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48BEC"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r w:rsidRPr="007B7F59">
        <w:rPr>
          <w:rFonts w:eastAsia="Times New Roman" w:cs="Arial"/>
          <w:b/>
          <w:noProof/>
          <w:szCs w:val="24"/>
          <w:lang w:val="en-ZA" w:eastAsia="en-ZA"/>
        </w:rPr>
        <w:t>REPUBLIC OF SOUTH AFRICA</w:t>
      </w:r>
    </w:p>
    <w:p w14:paraId="7388A21D"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5BC03A61"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US"/>
        </w:rPr>
        <w:drawing>
          <wp:inline distT="0" distB="0" distL="0" distR="0" wp14:anchorId="6E0AA271" wp14:editId="2906B853">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788C8136"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4145FCFD"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35073FDE"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GAUTENG LOCAL DIVISION, JOHANNESBURG</w:t>
      </w:r>
    </w:p>
    <w:p w14:paraId="7229E5D6" w14:textId="77777777" w:rsidR="007B7F59" w:rsidRPr="007B7F59" w:rsidRDefault="007B7F59" w:rsidP="007B7F59">
      <w:pPr>
        <w:spacing w:after="0" w:line="240" w:lineRule="auto"/>
        <w:ind w:left="0"/>
        <w:rPr>
          <w:rFonts w:eastAsia="Times New Roman" w:cs="Arial"/>
          <w:szCs w:val="24"/>
          <w:lang w:val="en-ZA"/>
        </w:rPr>
      </w:pPr>
    </w:p>
    <w:p w14:paraId="4C6339CE" w14:textId="77777777" w:rsidR="007B7F59" w:rsidRPr="00A62D24" w:rsidRDefault="007B7F59" w:rsidP="007B7F59">
      <w:pPr>
        <w:spacing w:after="0" w:line="240" w:lineRule="auto"/>
        <w:ind w:left="0"/>
        <w:rPr>
          <w:rFonts w:eastAsia="Times New Roman" w:cs="Arial"/>
          <w:bCs/>
          <w:szCs w:val="24"/>
          <w:lang w:val="en-ZA"/>
        </w:rPr>
      </w:pPr>
    </w:p>
    <w:p w14:paraId="15AD5F71" w14:textId="4F2AA57E" w:rsidR="007B7F59" w:rsidRPr="00A62D24" w:rsidRDefault="007B7F59" w:rsidP="007B7F59">
      <w:pPr>
        <w:tabs>
          <w:tab w:val="right" w:pos="9029"/>
        </w:tabs>
        <w:spacing w:after="0" w:line="240" w:lineRule="auto"/>
        <w:ind w:left="0"/>
        <w:rPr>
          <w:rFonts w:cs="Arial"/>
          <w:bCs/>
          <w:noProof/>
          <w:color w:val="000000"/>
          <w:sz w:val="25"/>
          <w:lang w:val="en-ZA"/>
        </w:rPr>
      </w:pPr>
      <w:r w:rsidRPr="00A62D24">
        <w:rPr>
          <w:rFonts w:eastAsia="Times New Roman" w:cs="Arial"/>
          <w:bCs/>
          <w:szCs w:val="24"/>
          <w:lang w:val="en-ZA"/>
        </w:rPr>
        <w:tab/>
      </w:r>
      <w:r w:rsidR="00343BBB" w:rsidRPr="00A62D24">
        <w:rPr>
          <w:rFonts w:cs="Arial"/>
          <w:bCs/>
          <w:noProof/>
          <w:color w:val="000000"/>
          <w:sz w:val="25"/>
          <w:lang w:val="en-ZA"/>
        </w:rPr>
        <w:t>Case Number</w:t>
      </w:r>
      <w:r w:rsidR="00636D9B" w:rsidRPr="00A62D24">
        <w:rPr>
          <w:rFonts w:cs="Arial"/>
          <w:bCs/>
          <w:noProof/>
          <w:color w:val="000000"/>
          <w:sz w:val="25"/>
          <w:lang w:val="en-ZA"/>
        </w:rPr>
        <w:t>: 2022/1496</w:t>
      </w:r>
    </w:p>
    <w:tbl>
      <w:tblPr>
        <w:tblpPr w:leftFromText="180" w:rightFromText="180" w:vertAnchor="text" w:horzAnchor="margin" w:tblpY="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582"/>
      </w:tblGrid>
      <w:tr w:rsidR="00DB444A" w:rsidRPr="00EB2D24" w14:paraId="1B0D78CB" w14:textId="77777777" w:rsidTr="00DB444A">
        <w:trPr>
          <w:gridAfter w:val="1"/>
          <w:wAfter w:w="4582" w:type="dxa"/>
        </w:trPr>
        <w:tc>
          <w:tcPr>
            <w:tcW w:w="4428" w:type="dxa"/>
          </w:tcPr>
          <w:p w14:paraId="0F97BEE4" w14:textId="73BECF65" w:rsidR="00DB444A" w:rsidRPr="00E81667" w:rsidRDefault="00DB444A" w:rsidP="00F258BE">
            <w:pPr>
              <w:spacing w:line="240" w:lineRule="auto"/>
              <w:contextualSpacing/>
              <w:rPr>
                <w:rFonts w:cs="Arial"/>
                <w:bCs/>
                <w:noProof/>
                <w:sz w:val="18"/>
                <w:lang w:val="en-ZA"/>
              </w:rPr>
            </w:pPr>
          </w:p>
          <w:p w14:paraId="4B82F769" w14:textId="1751B476" w:rsidR="00DB444A" w:rsidRPr="00E81667" w:rsidRDefault="00DB444A" w:rsidP="00F258BE">
            <w:pPr>
              <w:spacing w:line="240" w:lineRule="auto"/>
              <w:ind w:left="32"/>
              <w:contextualSpacing/>
              <w:rPr>
                <w:rFonts w:cs="Arial"/>
                <w:bCs/>
                <w:noProof/>
                <w:sz w:val="18"/>
                <w:lang w:val="en-ZA"/>
              </w:rPr>
            </w:pPr>
            <w:r w:rsidRPr="00E81667">
              <w:rPr>
                <w:rFonts w:cs="Arial"/>
                <w:bCs/>
                <w:noProof/>
                <w:sz w:val="18"/>
                <w:lang w:val="en-ZA"/>
              </w:rPr>
              <w:t>(1) REPORTABLE:  NO</w:t>
            </w:r>
          </w:p>
          <w:p w14:paraId="7A5A5507" w14:textId="63734F98" w:rsidR="00DB444A" w:rsidRPr="00E81667" w:rsidRDefault="00DB444A" w:rsidP="00F258BE">
            <w:pPr>
              <w:spacing w:line="240" w:lineRule="auto"/>
              <w:ind w:left="32"/>
              <w:contextualSpacing/>
              <w:rPr>
                <w:rFonts w:cs="Arial"/>
                <w:bCs/>
                <w:noProof/>
                <w:sz w:val="18"/>
                <w:lang w:val="en-ZA"/>
              </w:rPr>
            </w:pPr>
            <w:r w:rsidRPr="00E81667">
              <w:rPr>
                <w:rFonts w:cs="Arial"/>
                <w:bCs/>
                <w:noProof/>
                <w:sz w:val="18"/>
                <w:lang w:val="en-ZA"/>
              </w:rPr>
              <w:t>(2) OF INTEREST TO OTHER JUDGES:  NO</w:t>
            </w:r>
          </w:p>
          <w:p w14:paraId="767CDE3B" w14:textId="18FBABBD" w:rsidR="00DB444A" w:rsidRPr="00E81667" w:rsidRDefault="00DB444A" w:rsidP="00F258BE">
            <w:pPr>
              <w:spacing w:line="240" w:lineRule="auto"/>
              <w:ind w:left="32"/>
              <w:contextualSpacing/>
              <w:rPr>
                <w:rFonts w:cs="Arial"/>
                <w:bCs/>
                <w:noProof/>
                <w:sz w:val="18"/>
                <w:lang w:val="en-ZA"/>
              </w:rPr>
            </w:pPr>
            <w:r w:rsidRPr="00E81667">
              <w:rPr>
                <w:rFonts w:cs="Arial"/>
                <w:bCs/>
                <w:noProof/>
                <w:sz w:val="18"/>
                <w:lang w:val="en-ZA"/>
              </w:rPr>
              <w:t>(3) REVISED: NO</w:t>
            </w:r>
          </w:p>
          <w:p w14:paraId="0B029B8D" w14:textId="49749973" w:rsidR="00DB444A" w:rsidRPr="00E81667" w:rsidRDefault="00DB444A" w:rsidP="00F258BE">
            <w:pPr>
              <w:spacing w:line="240" w:lineRule="auto"/>
              <w:ind w:left="32"/>
              <w:contextualSpacing/>
              <w:rPr>
                <w:rFonts w:cs="Arial"/>
                <w:bCs/>
                <w:noProof/>
                <w:sz w:val="18"/>
                <w:lang w:val="en-ZA"/>
              </w:rPr>
            </w:pPr>
          </w:p>
          <w:p w14:paraId="7E161E3A" w14:textId="24A69831" w:rsidR="00DB444A" w:rsidRPr="00E81667" w:rsidRDefault="00DB444A" w:rsidP="00F258BE">
            <w:pPr>
              <w:spacing w:line="240" w:lineRule="auto"/>
              <w:ind w:left="32"/>
              <w:contextualSpacing/>
              <w:rPr>
                <w:rFonts w:cs="Arial"/>
                <w:bCs/>
                <w:noProof/>
                <w:sz w:val="18"/>
                <w:lang w:val="en-ZA"/>
              </w:rPr>
            </w:pPr>
          </w:p>
          <w:p w14:paraId="31928524" w14:textId="12F179DC" w:rsidR="00DB444A" w:rsidRPr="00E81667" w:rsidRDefault="00DB444A" w:rsidP="00F258BE">
            <w:pPr>
              <w:spacing w:line="240" w:lineRule="auto"/>
              <w:ind w:left="32"/>
              <w:contextualSpacing/>
              <w:rPr>
                <w:rFonts w:cs="Arial"/>
                <w:bCs/>
                <w:noProof/>
                <w:sz w:val="18"/>
                <w:lang w:val="en-ZA"/>
              </w:rPr>
            </w:pPr>
          </w:p>
          <w:p w14:paraId="5D0A8979" w14:textId="77777777" w:rsidR="00DB444A" w:rsidRPr="00E81667" w:rsidRDefault="00DB444A" w:rsidP="00F258BE">
            <w:pPr>
              <w:spacing w:line="240" w:lineRule="auto"/>
              <w:ind w:left="32"/>
              <w:contextualSpacing/>
              <w:rPr>
                <w:rFonts w:cs="Arial"/>
                <w:bCs/>
                <w:noProof/>
                <w:sz w:val="18"/>
                <w:lang w:val="en-ZA"/>
              </w:rPr>
            </w:pPr>
          </w:p>
          <w:p w14:paraId="7848C729" w14:textId="392F9B4B" w:rsidR="00DB444A" w:rsidRPr="00F90BA7" w:rsidRDefault="00DB444A" w:rsidP="00A62D24">
            <w:pPr>
              <w:spacing w:line="276" w:lineRule="auto"/>
              <w:ind w:left="32"/>
              <w:contextualSpacing/>
              <w:rPr>
                <w:rFonts w:cs="Arial"/>
                <w:b/>
                <w:noProof/>
                <w:sz w:val="18"/>
                <w:u w:val="single"/>
                <w:lang w:val="en-ZA"/>
              </w:rPr>
            </w:pPr>
            <w:r w:rsidRPr="00E81667">
              <w:rPr>
                <w:rFonts w:cs="Arial"/>
                <w:bCs/>
                <w:noProof/>
                <w:sz w:val="18"/>
                <w:u w:val="single"/>
                <w:lang w:val="en-ZA"/>
              </w:rPr>
              <w:t>DATE</w:t>
            </w:r>
            <w:r w:rsidRPr="00E81667">
              <w:rPr>
                <w:rFonts w:cs="Arial"/>
                <w:bCs/>
                <w:noProof/>
                <w:sz w:val="18"/>
                <w:lang w:val="en-ZA"/>
              </w:rPr>
              <w:t xml:space="preserve"> </w:t>
            </w:r>
            <w:r w:rsidR="007B4B91">
              <w:rPr>
                <w:rFonts w:cs="Arial"/>
                <w:bCs/>
                <w:noProof/>
                <w:sz w:val="18"/>
                <w:lang w:val="en-ZA"/>
              </w:rPr>
              <w:t>18</w:t>
            </w:r>
            <w:r w:rsidRPr="00E81667">
              <w:rPr>
                <w:rFonts w:cs="Arial"/>
                <w:bCs/>
                <w:noProof/>
                <w:sz w:val="18"/>
                <w:lang w:val="en-ZA"/>
              </w:rPr>
              <w:t xml:space="preserve"> OCTOBER 2023      </w:t>
            </w:r>
            <w:r w:rsidRPr="00E81667">
              <w:rPr>
                <w:rFonts w:cs="Arial"/>
                <w:bCs/>
                <w:noProof/>
                <w:sz w:val="18"/>
                <w:u w:val="single"/>
                <w:lang w:val="en-ZA"/>
              </w:rPr>
              <w:t xml:space="preserve">SIGNATURE </w:t>
            </w:r>
          </w:p>
        </w:tc>
      </w:tr>
      <w:tr w:rsidR="00DB444A" w:rsidRPr="00EB2D24" w14:paraId="0A3A88DC" w14:textId="77777777" w:rsidTr="00DB4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p w14:paraId="5A79B5A6" w14:textId="77777777" w:rsidR="00DB444A" w:rsidRPr="00EB2D24" w:rsidRDefault="00DB444A" w:rsidP="00F258BE">
            <w:pPr>
              <w:spacing w:line="240" w:lineRule="auto"/>
              <w:contextualSpacing/>
              <w:rPr>
                <w:rFonts w:cs="Arial"/>
                <w:b/>
                <w:noProof/>
                <w:color w:val="000000"/>
                <w:sz w:val="25"/>
                <w:lang w:val="en-ZA"/>
              </w:rPr>
            </w:pPr>
          </w:p>
        </w:tc>
      </w:tr>
      <w:tr w:rsidR="00DB444A" w:rsidRPr="00EB2D24" w14:paraId="789A3FEA" w14:textId="77777777" w:rsidTr="00DB4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9010" w:type="dxa"/>
            <w:gridSpan w:val="2"/>
            <w:shd w:val="clear" w:color="auto" w:fill="auto"/>
          </w:tcPr>
          <w:p w14:paraId="02A11473" w14:textId="64D04CAD" w:rsidR="00DB444A" w:rsidRPr="00EB2D24" w:rsidRDefault="00DB444A" w:rsidP="00F258BE">
            <w:pPr>
              <w:tabs>
                <w:tab w:val="left" w:pos="2260"/>
              </w:tabs>
              <w:spacing w:line="240" w:lineRule="auto"/>
              <w:ind w:left="-110"/>
              <w:contextualSpacing/>
              <w:jc w:val="left"/>
              <w:rPr>
                <w:rFonts w:cs="Arial"/>
                <w:b/>
                <w:noProof/>
                <w:color w:val="000000"/>
                <w:lang w:val="en-ZA"/>
              </w:rPr>
            </w:pPr>
          </w:p>
        </w:tc>
      </w:tr>
    </w:tbl>
    <w:p w14:paraId="0825E1F2" w14:textId="04C870F1" w:rsidR="007B7F59" w:rsidRPr="007B7F59" w:rsidRDefault="007B7F59" w:rsidP="00B71550">
      <w:pPr>
        <w:tabs>
          <w:tab w:val="left" w:pos="8998"/>
        </w:tabs>
        <w:spacing w:after="0" w:line="240" w:lineRule="auto"/>
        <w:ind w:left="0"/>
        <w:rPr>
          <w:rFonts w:eastAsia="Times New Roman" w:cs="Arial"/>
          <w:szCs w:val="24"/>
          <w:lang w:val="en-ZA"/>
        </w:rPr>
      </w:pPr>
    </w:p>
    <w:p w14:paraId="58400408" w14:textId="77777777" w:rsidR="00B71550" w:rsidRPr="00B71550" w:rsidRDefault="00B71550" w:rsidP="00073BFC">
      <w:pPr>
        <w:tabs>
          <w:tab w:val="right" w:pos="9029"/>
        </w:tabs>
        <w:spacing w:after="0" w:line="240" w:lineRule="auto"/>
        <w:ind w:left="0"/>
        <w:rPr>
          <w:rFonts w:eastAsia="Times New Roman" w:cs="Arial"/>
          <w:szCs w:val="24"/>
          <w:lang w:val="en-ZA"/>
        </w:rPr>
      </w:pPr>
      <w:r w:rsidRPr="00B71550">
        <w:rPr>
          <w:rFonts w:eastAsia="Times New Roman" w:cs="Arial"/>
          <w:szCs w:val="24"/>
          <w:lang w:val="en-ZA"/>
        </w:rPr>
        <w:t>In the matter between:</w:t>
      </w:r>
    </w:p>
    <w:p w14:paraId="78CE4DC9" w14:textId="77777777" w:rsidR="00B71550" w:rsidRDefault="00B71550" w:rsidP="00073BFC">
      <w:pPr>
        <w:tabs>
          <w:tab w:val="right" w:pos="9029"/>
        </w:tabs>
        <w:spacing w:after="0" w:line="240" w:lineRule="auto"/>
        <w:ind w:left="0"/>
        <w:rPr>
          <w:rFonts w:eastAsia="Times New Roman" w:cs="Arial"/>
          <w:szCs w:val="24"/>
          <w:lang w:val="en-ZA"/>
        </w:rPr>
      </w:pPr>
    </w:p>
    <w:p w14:paraId="2AE798B9" w14:textId="0D43B047" w:rsidR="00B71550" w:rsidRPr="00B71550" w:rsidRDefault="00B71550" w:rsidP="00073BFC">
      <w:pPr>
        <w:tabs>
          <w:tab w:val="right" w:pos="9029"/>
        </w:tabs>
        <w:spacing w:after="0" w:line="240" w:lineRule="auto"/>
        <w:ind w:left="0"/>
        <w:rPr>
          <w:rFonts w:eastAsia="Times New Roman" w:cs="Arial"/>
          <w:szCs w:val="24"/>
          <w:lang w:val="en-ZA"/>
        </w:rPr>
      </w:pPr>
      <w:r w:rsidRPr="00B71550">
        <w:rPr>
          <w:rFonts w:eastAsia="Times New Roman" w:cs="Arial"/>
          <w:szCs w:val="24"/>
          <w:lang w:val="en-ZA"/>
        </w:rPr>
        <w:t>JAMES NJETO</w:t>
      </w:r>
      <w:r w:rsidRPr="00B71550">
        <w:rPr>
          <w:rFonts w:eastAsia="Times New Roman" w:cs="Arial"/>
          <w:szCs w:val="24"/>
          <w:lang w:val="en-ZA"/>
        </w:rPr>
        <w:tab/>
        <w:t>Applicant</w:t>
      </w:r>
    </w:p>
    <w:p w14:paraId="79D16F9C" w14:textId="77777777" w:rsidR="00B71550" w:rsidRDefault="00B71550" w:rsidP="00073BFC">
      <w:pPr>
        <w:tabs>
          <w:tab w:val="right" w:pos="9029"/>
        </w:tabs>
        <w:spacing w:after="0" w:line="240" w:lineRule="auto"/>
        <w:ind w:left="0"/>
        <w:rPr>
          <w:rFonts w:eastAsia="Times New Roman" w:cs="Arial"/>
          <w:szCs w:val="24"/>
          <w:lang w:val="en-ZA"/>
        </w:rPr>
      </w:pPr>
    </w:p>
    <w:p w14:paraId="11DAC7AD" w14:textId="1D8B087D" w:rsidR="00B71550" w:rsidRPr="00B71550" w:rsidRDefault="00B71550" w:rsidP="00073BFC">
      <w:pPr>
        <w:tabs>
          <w:tab w:val="right" w:pos="9029"/>
        </w:tabs>
        <w:spacing w:after="0" w:line="240" w:lineRule="auto"/>
        <w:ind w:left="0"/>
        <w:rPr>
          <w:rFonts w:eastAsia="Times New Roman" w:cs="Arial"/>
          <w:szCs w:val="24"/>
          <w:lang w:val="en-ZA"/>
        </w:rPr>
      </w:pPr>
      <w:r w:rsidRPr="00B71550">
        <w:rPr>
          <w:rFonts w:eastAsia="Times New Roman" w:cs="Arial"/>
          <w:szCs w:val="24"/>
          <w:lang w:val="en-ZA"/>
        </w:rPr>
        <w:t>and</w:t>
      </w:r>
    </w:p>
    <w:p w14:paraId="7178DC05" w14:textId="77777777" w:rsidR="00B71550" w:rsidRDefault="00B71550" w:rsidP="00073BFC">
      <w:pPr>
        <w:tabs>
          <w:tab w:val="right" w:pos="9029"/>
        </w:tabs>
        <w:spacing w:after="0" w:line="240" w:lineRule="auto"/>
        <w:ind w:left="0"/>
        <w:rPr>
          <w:rFonts w:eastAsia="Times New Roman" w:cs="Arial"/>
          <w:szCs w:val="24"/>
          <w:lang w:val="en-ZA"/>
        </w:rPr>
      </w:pPr>
    </w:p>
    <w:p w14:paraId="112B02DB" w14:textId="72B3A975" w:rsidR="00B71550" w:rsidRPr="00B71550" w:rsidRDefault="00B71550" w:rsidP="00073BFC">
      <w:pPr>
        <w:tabs>
          <w:tab w:val="right" w:pos="9029"/>
        </w:tabs>
        <w:spacing w:after="0" w:line="240" w:lineRule="auto"/>
        <w:ind w:left="0"/>
        <w:rPr>
          <w:rFonts w:eastAsia="Times New Roman" w:cs="Arial"/>
          <w:szCs w:val="24"/>
          <w:lang w:val="en-ZA"/>
        </w:rPr>
      </w:pPr>
      <w:r w:rsidRPr="00B71550">
        <w:rPr>
          <w:rFonts w:eastAsia="Times New Roman" w:cs="Arial"/>
          <w:szCs w:val="24"/>
          <w:lang w:val="en-ZA"/>
        </w:rPr>
        <w:t>JACK ERNEST TREVENA N.O.</w:t>
      </w:r>
      <w:r w:rsidRPr="00B71550">
        <w:rPr>
          <w:rFonts w:eastAsia="Times New Roman" w:cs="Arial"/>
          <w:szCs w:val="24"/>
          <w:lang w:val="en-ZA"/>
        </w:rPr>
        <w:tab/>
        <w:t>First Respondent</w:t>
      </w:r>
    </w:p>
    <w:p w14:paraId="504B4E1E" w14:textId="77777777" w:rsidR="00833210" w:rsidRDefault="00833210" w:rsidP="00073BFC">
      <w:pPr>
        <w:tabs>
          <w:tab w:val="right" w:pos="9029"/>
        </w:tabs>
        <w:spacing w:after="0" w:line="240" w:lineRule="auto"/>
        <w:ind w:left="0"/>
        <w:rPr>
          <w:rFonts w:eastAsia="Times New Roman" w:cs="Arial"/>
          <w:szCs w:val="24"/>
          <w:lang w:val="en-ZA"/>
        </w:rPr>
      </w:pPr>
    </w:p>
    <w:p w14:paraId="3A193837" w14:textId="584453AF" w:rsidR="00B71550" w:rsidRPr="00B71550" w:rsidRDefault="00B71550" w:rsidP="00073BFC">
      <w:pPr>
        <w:tabs>
          <w:tab w:val="right" w:pos="9029"/>
        </w:tabs>
        <w:spacing w:after="0" w:line="240" w:lineRule="auto"/>
        <w:ind w:left="0"/>
        <w:rPr>
          <w:rFonts w:eastAsia="Times New Roman" w:cs="Arial"/>
          <w:szCs w:val="24"/>
          <w:lang w:val="en-ZA"/>
        </w:rPr>
      </w:pPr>
      <w:r w:rsidRPr="00B71550">
        <w:rPr>
          <w:rFonts w:eastAsia="Times New Roman" w:cs="Arial"/>
          <w:szCs w:val="24"/>
          <w:lang w:val="en-ZA"/>
        </w:rPr>
        <w:t>NICOLAAS BURGER KOTZE N.O.</w:t>
      </w:r>
      <w:r w:rsidRPr="00B71550">
        <w:rPr>
          <w:rFonts w:eastAsia="Times New Roman" w:cs="Arial"/>
          <w:szCs w:val="24"/>
          <w:lang w:val="en-ZA"/>
        </w:rPr>
        <w:tab/>
        <w:t>Second Respondent</w:t>
      </w:r>
    </w:p>
    <w:p w14:paraId="5C727558" w14:textId="77777777" w:rsidR="00833210" w:rsidRDefault="00833210" w:rsidP="00073BFC">
      <w:pPr>
        <w:tabs>
          <w:tab w:val="right" w:pos="9029"/>
        </w:tabs>
        <w:spacing w:after="0" w:line="240" w:lineRule="auto"/>
        <w:ind w:left="0"/>
        <w:rPr>
          <w:rFonts w:eastAsia="Times New Roman" w:cs="Arial"/>
          <w:szCs w:val="24"/>
          <w:lang w:val="en-ZA"/>
        </w:rPr>
      </w:pPr>
    </w:p>
    <w:p w14:paraId="748E79B5" w14:textId="7400C42A" w:rsidR="00B71550" w:rsidRDefault="00B71550" w:rsidP="00073BFC">
      <w:pPr>
        <w:tabs>
          <w:tab w:val="right" w:pos="9029"/>
        </w:tabs>
        <w:spacing w:after="0" w:line="240" w:lineRule="auto"/>
        <w:ind w:left="0"/>
        <w:rPr>
          <w:rFonts w:eastAsia="Times New Roman" w:cs="Arial"/>
          <w:szCs w:val="24"/>
          <w:lang w:val="en-ZA"/>
        </w:rPr>
      </w:pPr>
      <w:r w:rsidRPr="00B71550">
        <w:rPr>
          <w:rFonts w:eastAsia="Times New Roman" w:cs="Arial"/>
          <w:szCs w:val="24"/>
          <w:lang w:val="en-ZA"/>
        </w:rPr>
        <w:t>SHERIFF SOWETO EAST</w:t>
      </w:r>
      <w:r w:rsidRPr="00B71550">
        <w:rPr>
          <w:rFonts w:eastAsia="Times New Roman" w:cs="Arial"/>
          <w:szCs w:val="24"/>
          <w:lang w:val="en-ZA"/>
        </w:rPr>
        <w:tab/>
        <w:t>Third Respondent</w:t>
      </w:r>
    </w:p>
    <w:p w14:paraId="6F86757E" w14:textId="77777777" w:rsidR="00287702" w:rsidRDefault="00287702" w:rsidP="00287702">
      <w:pPr>
        <w:pStyle w:val="JudgmentNumbered"/>
        <w:numPr>
          <w:ilvl w:val="0"/>
          <w:numId w:val="0"/>
        </w:numPr>
        <w:spacing w:line="240" w:lineRule="auto"/>
        <w:ind w:left="567" w:hanging="567"/>
        <w:contextualSpacing/>
        <w:rPr>
          <w:lang w:val="en-ZA"/>
        </w:rPr>
      </w:pPr>
    </w:p>
    <w:p w14:paraId="68E0E7A3" w14:textId="77777777" w:rsidR="008E0FCF" w:rsidRPr="00287702" w:rsidRDefault="008E0FCF" w:rsidP="00287702">
      <w:pPr>
        <w:pStyle w:val="JudgmentNumbered"/>
        <w:numPr>
          <w:ilvl w:val="0"/>
          <w:numId w:val="0"/>
        </w:numPr>
        <w:spacing w:line="240" w:lineRule="auto"/>
        <w:ind w:left="567" w:hanging="567"/>
        <w:contextualSpacing/>
        <w:rPr>
          <w:lang w:val="en-ZA"/>
        </w:rPr>
      </w:pPr>
    </w:p>
    <w:p w14:paraId="6634FC79" w14:textId="77777777" w:rsidR="00B71550" w:rsidRPr="00833210" w:rsidRDefault="00B71550" w:rsidP="00431526">
      <w:pPr>
        <w:tabs>
          <w:tab w:val="right" w:pos="9029"/>
        </w:tabs>
        <w:spacing w:after="0" w:line="240" w:lineRule="auto"/>
        <w:ind w:left="0"/>
        <w:contextualSpacing/>
        <w:rPr>
          <w:rFonts w:eastAsia="Times New Roman" w:cs="Arial"/>
          <w:i/>
          <w:iCs/>
          <w:szCs w:val="24"/>
          <w:lang w:val="en-ZA"/>
        </w:rPr>
      </w:pPr>
      <w:r w:rsidRPr="00833210">
        <w:rPr>
          <w:rFonts w:eastAsia="Times New Roman" w:cs="Arial"/>
          <w:i/>
          <w:iCs/>
          <w:szCs w:val="24"/>
          <w:lang w:val="en-ZA"/>
        </w:rPr>
        <w:t>In re:</w:t>
      </w:r>
    </w:p>
    <w:p w14:paraId="733D54E0" w14:textId="77777777" w:rsidR="00833210" w:rsidRDefault="00833210" w:rsidP="00B71550">
      <w:pPr>
        <w:tabs>
          <w:tab w:val="right" w:pos="9029"/>
        </w:tabs>
        <w:spacing w:after="0" w:line="240" w:lineRule="auto"/>
        <w:ind w:left="0"/>
        <w:contextualSpacing/>
        <w:rPr>
          <w:rFonts w:eastAsia="Times New Roman" w:cs="Arial"/>
          <w:szCs w:val="24"/>
          <w:lang w:val="en-ZA"/>
        </w:rPr>
      </w:pPr>
    </w:p>
    <w:p w14:paraId="19C69536" w14:textId="66054538" w:rsidR="00B71550" w:rsidRPr="00B71550" w:rsidRDefault="00B71550" w:rsidP="00B71550">
      <w:pPr>
        <w:tabs>
          <w:tab w:val="right" w:pos="9029"/>
        </w:tabs>
        <w:spacing w:after="0" w:line="240" w:lineRule="auto"/>
        <w:ind w:left="0"/>
        <w:contextualSpacing/>
        <w:rPr>
          <w:rFonts w:eastAsia="Times New Roman" w:cs="Arial"/>
          <w:szCs w:val="24"/>
          <w:lang w:val="en-ZA"/>
        </w:rPr>
      </w:pPr>
      <w:r w:rsidRPr="00B71550">
        <w:rPr>
          <w:rFonts w:eastAsia="Times New Roman" w:cs="Arial"/>
          <w:szCs w:val="24"/>
          <w:lang w:val="en-ZA"/>
        </w:rPr>
        <w:t>JACK ERNEST TREVENA N.O.</w:t>
      </w:r>
      <w:r w:rsidRPr="00B71550">
        <w:rPr>
          <w:rFonts w:eastAsia="Times New Roman" w:cs="Arial"/>
          <w:szCs w:val="24"/>
          <w:lang w:val="en-ZA"/>
        </w:rPr>
        <w:tab/>
        <w:t>First Plaintiff</w:t>
      </w:r>
    </w:p>
    <w:p w14:paraId="7256F7A1" w14:textId="2E0C9500" w:rsidR="00B71550" w:rsidRPr="00B71550" w:rsidRDefault="00B71550" w:rsidP="00B71550">
      <w:pPr>
        <w:tabs>
          <w:tab w:val="right" w:pos="9029"/>
        </w:tabs>
        <w:spacing w:after="0" w:line="240" w:lineRule="auto"/>
        <w:ind w:left="0"/>
        <w:contextualSpacing/>
        <w:rPr>
          <w:rFonts w:eastAsia="Times New Roman" w:cs="Arial"/>
          <w:szCs w:val="24"/>
          <w:lang w:val="en-ZA"/>
        </w:rPr>
      </w:pPr>
      <w:r w:rsidRPr="00B71550">
        <w:rPr>
          <w:rFonts w:eastAsia="Times New Roman" w:cs="Arial"/>
          <w:szCs w:val="24"/>
          <w:lang w:val="en-ZA"/>
        </w:rPr>
        <w:t>NICOLAAS BURGER KOTZE N.O.</w:t>
      </w:r>
      <w:r w:rsidRPr="00B71550">
        <w:rPr>
          <w:rFonts w:eastAsia="Times New Roman" w:cs="Arial"/>
          <w:szCs w:val="24"/>
          <w:lang w:val="en-ZA"/>
        </w:rPr>
        <w:tab/>
        <w:t>Second Plaintiff</w:t>
      </w:r>
    </w:p>
    <w:p w14:paraId="387A77C4" w14:textId="77777777" w:rsidR="00C824A2" w:rsidRDefault="00C824A2" w:rsidP="00833210">
      <w:pPr>
        <w:tabs>
          <w:tab w:val="right" w:pos="9029"/>
        </w:tabs>
        <w:spacing w:after="0" w:line="240" w:lineRule="auto"/>
        <w:ind w:left="0"/>
        <w:contextualSpacing/>
        <w:rPr>
          <w:rFonts w:eastAsia="Times New Roman" w:cs="Arial"/>
          <w:szCs w:val="24"/>
          <w:lang w:val="en-ZA"/>
        </w:rPr>
      </w:pPr>
    </w:p>
    <w:p w14:paraId="5065DB9E" w14:textId="5D023364" w:rsidR="00833210" w:rsidRPr="00833210" w:rsidRDefault="00B71550" w:rsidP="00833210">
      <w:pPr>
        <w:tabs>
          <w:tab w:val="right" w:pos="9029"/>
        </w:tabs>
        <w:spacing w:after="0" w:line="240" w:lineRule="auto"/>
        <w:ind w:left="0"/>
        <w:contextualSpacing/>
        <w:rPr>
          <w:rFonts w:eastAsia="Times New Roman" w:cs="Arial"/>
          <w:szCs w:val="24"/>
          <w:lang w:val="en-ZA"/>
        </w:rPr>
      </w:pPr>
      <w:r w:rsidRPr="00B71550">
        <w:rPr>
          <w:rFonts w:eastAsia="Times New Roman" w:cs="Arial"/>
          <w:szCs w:val="24"/>
          <w:lang w:val="en-ZA"/>
        </w:rPr>
        <w:t>and</w:t>
      </w:r>
    </w:p>
    <w:p w14:paraId="4A6A49D2" w14:textId="77777777" w:rsidR="00C824A2" w:rsidRDefault="00C824A2" w:rsidP="00B71550">
      <w:pPr>
        <w:tabs>
          <w:tab w:val="right" w:pos="9029"/>
        </w:tabs>
        <w:spacing w:after="0" w:line="240" w:lineRule="auto"/>
        <w:ind w:left="0"/>
        <w:contextualSpacing/>
        <w:rPr>
          <w:rFonts w:eastAsia="Times New Roman" w:cs="Arial"/>
          <w:szCs w:val="24"/>
          <w:lang w:val="en-ZA"/>
        </w:rPr>
      </w:pPr>
    </w:p>
    <w:p w14:paraId="3059B0CB" w14:textId="4D517E62" w:rsidR="007B7F59" w:rsidRDefault="00B71550" w:rsidP="00B71550">
      <w:pPr>
        <w:tabs>
          <w:tab w:val="right" w:pos="9029"/>
        </w:tabs>
        <w:spacing w:after="0" w:line="240" w:lineRule="auto"/>
        <w:ind w:left="0"/>
        <w:contextualSpacing/>
        <w:rPr>
          <w:rFonts w:eastAsia="Times New Roman" w:cs="Arial"/>
          <w:szCs w:val="24"/>
          <w:lang w:val="en-ZA"/>
        </w:rPr>
      </w:pPr>
      <w:r w:rsidRPr="00B71550">
        <w:rPr>
          <w:rFonts w:eastAsia="Times New Roman" w:cs="Arial"/>
          <w:szCs w:val="24"/>
          <w:lang w:val="en-ZA"/>
        </w:rPr>
        <w:t>JACK NJETO</w:t>
      </w:r>
      <w:r w:rsidRPr="00B71550">
        <w:rPr>
          <w:rFonts w:eastAsia="Times New Roman" w:cs="Arial"/>
          <w:szCs w:val="24"/>
          <w:lang w:val="en-ZA"/>
        </w:rPr>
        <w:tab/>
        <w:t>Defendant</w:t>
      </w:r>
    </w:p>
    <w:p w14:paraId="3F9832D7" w14:textId="77777777" w:rsidR="00ED358F" w:rsidRPr="00ED358F" w:rsidRDefault="00ED358F" w:rsidP="00ED358F">
      <w:pPr>
        <w:pStyle w:val="JudgmentNumbered"/>
        <w:numPr>
          <w:ilvl w:val="0"/>
          <w:numId w:val="0"/>
        </w:numPr>
        <w:ind w:left="567" w:hanging="567"/>
        <w:rPr>
          <w:lang w:val="en-ZA"/>
        </w:rPr>
      </w:pPr>
    </w:p>
    <w:p w14:paraId="359E6B10"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197E20AD" w14:textId="77777777" w:rsidR="007B7F59" w:rsidRPr="007B7F59" w:rsidRDefault="007B7F59" w:rsidP="007B7F59">
      <w:pPr>
        <w:spacing w:after="0" w:line="240" w:lineRule="auto"/>
        <w:ind w:left="1440" w:hanging="1440"/>
        <w:jc w:val="left"/>
        <w:rPr>
          <w:rFonts w:cs="Arial"/>
          <w:b/>
          <w:szCs w:val="24"/>
        </w:rPr>
      </w:pPr>
    </w:p>
    <w:p w14:paraId="16B85ADA" w14:textId="77777777" w:rsidR="007B7F59" w:rsidRPr="007B7F59" w:rsidRDefault="007B7F59" w:rsidP="007B7F59">
      <w:pPr>
        <w:pBdr>
          <w:bottom w:val="single" w:sz="12" w:space="1" w:color="auto"/>
        </w:pBdr>
        <w:spacing w:line="480" w:lineRule="auto"/>
        <w:ind w:left="0"/>
        <w:jc w:val="center"/>
        <w:rPr>
          <w:rFonts w:cs="Arial"/>
          <w:b/>
          <w:szCs w:val="24"/>
          <w:lang w:val="en-ZA"/>
        </w:rPr>
      </w:pPr>
      <w:r w:rsidRPr="007B7F59">
        <w:rPr>
          <w:rFonts w:cs="Arial"/>
          <w:b/>
          <w:szCs w:val="24"/>
          <w:lang w:val="en-ZA"/>
        </w:rPr>
        <w:t>JUDGMENT</w:t>
      </w:r>
    </w:p>
    <w:p w14:paraId="3982140B" w14:textId="76A9DE10" w:rsidR="007B7F59" w:rsidRPr="00663847" w:rsidRDefault="00663847" w:rsidP="007B7F59">
      <w:pPr>
        <w:spacing w:after="0" w:line="240" w:lineRule="auto"/>
        <w:ind w:left="0"/>
        <w:jc w:val="left"/>
        <w:rPr>
          <w:rFonts w:cs="Arial"/>
          <w:b/>
          <w:bCs/>
          <w:szCs w:val="24"/>
        </w:rPr>
      </w:pPr>
      <w:r>
        <w:rPr>
          <w:rFonts w:cs="Arial"/>
          <w:b/>
          <w:bCs/>
          <w:szCs w:val="24"/>
        </w:rPr>
        <w:t>KORF</w:t>
      </w:r>
      <w:r w:rsidR="003D08A7">
        <w:rPr>
          <w:rFonts w:cs="Arial"/>
          <w:b/>
          <w:bCs/>
          <w:szCs w:val="24"/>
        </w:rPr>
        <w:t>, AJ</w:t>
      </w:r>
    </w:p>
    <w:p w14:paraId="4E47C256" w14:textId="77777777" w:rsidR="007B7F59" w:rsidRPr="007B7F59" w:rsidRDefault="007B7F59" w:rsidP="007B7F59">
      <w:pPr>
        <w:spacing w:after="0" w:line="240" w:lineRule="auto"/>
        <w:ind w:left="0"/>
        <w:jc w:val="left"/>
        <w:rPr>
          <w:rFonts w:cs="Arial"/>
          <w:szCs w:val="24"/>
        </w:rPr>
      </w:pPr>
    </w:p>
    <w:p w14:paraId="31F73D00" w14:textId="77777777" w:rsidR="007B7F59" w:rsidRPr="007B7F59" w:rsidRDefault="007B7F59" w:rsidP="007B7F59">
      <w:pPr>
        <w:spacing w:after="0" w:line="240" w:lineRule="auto"/>
        <w:ind w:left="0"/>
        <w:jc w:val="left"/>
        <w:rPr>
          <w:rFonts w:cs="Arial"/>
          <w:szCs w:val="24"/>
        </w:rPr>
      </w:pPr>
    </w:p>
    <w:p w14:paraId="74EC0815" w14:textId="69860514" w:rsidR="00794DCB" w:rsidRDefault="000070AD" w:rsidP="007B7F59">
      <w:pPr>
        <w:pStyle w:val="JudgmentHeading"/>
      </w:pPr>
      <w:r>
        <w:t>Introduction</w:t>
      </w:r>
    </w:p>
    <w:p w14:paraId="59E57707" w14:textId="0897C0E2" w:rsidR="007B7F59" w:rsidRDefault="00C84FE9" w:rsidP="00C84FE9">
      <w:pPr>
        <w:pStyle w:val="JudgmentNumbered"/>
        <w:numPr>
          <w:ilvl w:val="0"/>
          <w:numId w:val="0"/>
        </w:numPr>
        <w:ind w:left="567" w:hanging="567"/>
      </w:pPr>
      <w:r>
        <w:t>[1</w:t>
      </w:r>
      <w:bookmarkStart w:id="0" w:name="_GoBack"/>
      <w:bookmarkEnd w:id="0"/>
      <w:r>
        <w:t>]</w:t>
      </w:r>
      <w:r>
        <w:tab/>
      </w:r>
      <w:r w:rsidR="00591610">
        <w:t>This is an</w:t>
      </w:r>
      <w:r w:rsidR="00A5329E">
        <w:t xml:space="preserve"> opposed</w:t>
      </w:r>
      <w:r w:rsidR="00591610">
        <w:t xml:space="preserve"> application for rescission of a default judgment granted</w:t>
      </w:r>
      <w:r w:rsidR="00103D65">
        <w:t xml:space="preserve"> against the applicant at the behest of</w:t>
      </w:r>
      <w:r w:rsidR="00FA11C3">
        <w:t xml:space="preserve"> the first and second respondents</w:t>
      </w:r>
      <w:r w:rsidR="00091065">
        <w:t>.</w:t>
      </w:r>
      <w:r w:rsidR="00E24612">
        <w:t xml:space="preserve"> </w:t>
      </w:r>
      <w:r w:rsidR="00672196">
        <w:t xml:space="preserve">On the face of the </w:t>
      </w:r>
      <w:r w:rsidR="00C37462">
        <w:t xml:space="preserve">founding, answering and replying affidavits, the application seems </w:t>
      </w:r>
      <w:r w:rsidR="006A3477">
        <w:t>to be on par with</w:t>
      </w:r>
      <w:r w:rsidR="003F035F">
        <w:t xml:space="preserve"> rescission applications</w:t>
      </w:r>
      <w:r w:rsidR="006A3477">
        <w:t xml:space="preserve"> that courts</w:t>
      </w:r>
      <w:r w:rsidR="00520308">
        <w:t xml:space="preserve"> </w:t>
      </w:r>
      <w:r w:rsidR="00A72725">
        <w:t>commonly entertain</w:t>
      </w:r>
      <w:r w:rsidR="009024BB">
        <w:t>.</w:t>
      </w:r>
      <w:r w:rsidR="00B64663">
        <w:t xml:space="preserve"> However,</w:t>
      </w:r>
      <w:r w:rsidR="00474218">
        <w:t xml:space="preserve"> and as will </w:t>
      </w:r>
      <w:r w:rsidR="00B64AB4">
        <w:t>be explained below,</w:t>
      </w:r>
      <w:r w:rsidR="00B64663">
        <w:t xml:space="preserve"> a </w:t>
      </w:r>
      <w:r w:rsidR="008E2E16">
        <w:t>deeper</w:t>
      </w:r>
      <w:r w:rsidR="005A5B52">
        <w:t xml:space="preserve"> consideration of t</w:t>
      </w:r>
      <w:r w:rsidR="001D708F">
        <w:t xml:space="preserve">he papers </w:t>
      </w:r>
      <w:r w:rsidR="00F6005E">
        <w:t>raises issues that set this matter</w:t>
      </w:r>
      <w:r w:rsidR="0038256E">
        <w:t xml:space="preserve"> out of the ordinary</w:t>
      </w:r>
      <w:r w:rsidR="00185AF2">
        <w:t>.</w:t>
      </w:r>
    </w:p>
    <w:p w14:paraId="1EA081E2" w14:textId="77777777" w:rsidR="0002566A" w:rsidRDefault="0002566A" w:rsidP="0002566A">
      <w:pPr>
        <w:pStyle w:val="JudgmentNumbered"/>
        <w:numPr>
          <w:ilvl w:val="0"/>
          <w:numId w:val="0"/>
        </w:numPr>
      </w:pPr>
    </w:p>
    <w:p w14:paraId="70D4E073" w14:textId="0E20C748" w:rsidR="00A83A79" w:rsidRDefault="00E17C87" w:rsidP="00A83A79">
      <w:pPr>
        <w:pStyle w:val="JudgmentHeading"/>
      </w:pPr>
      <w:r>
        <w:t>The Parties</w:t>
      </w:r>
    </w:p>
    <w:p w14:paraId="31B37DA3" w14:textId="31B1AF1D" w:rsidR="00A83A79" w:rsidRDefault="00C84FE9" w:rsidP="00C84FE9">
      <w:pPr>
        <w:pStyle w:val="JudgmentNumbered"/>
        <w:numPr>
          <w:ilvl w:val="0"/>
          <w:numId w:val="0"/>
        </w:numPr>
        <w:ind w:left="567" w:hanging="567"/>
      </w:pPr>
      <w:r>
        <w:t>[2]</w:t>
      </w:r>
      <w:r>
        <w:tab/>
      </w:r>
      <w:r w:rsidR="003A7F00">
        <w:t xml:space="preserve">The </w:t>
      </w:r>
      <w:r w:rsidR="00681CB4">
        <w:t>first and second plaintiffs in the main action</w:t>
      </w:r>
      <w:r w:rsidR="00112C61">
        <w:t xml:space="preserve">, i.e. </w:t>
      </w:r>
      <w:r w:rsidR="00681CB4">
        <w:t>the first and</w:t>
      </w:r>
      <w:r w:rsidR="00485B33">
        <w:t xml:space="preserve"> second respondents in the rescission application</w:t>
      </w:r>
      <w:r w:rsidR="00112C61">
        <w:t>,</w:t>
      </w:r>
      <w:r w:rsidR="00A5686E">
        <w:t xml:space="preserve"> were cited</w:t>
      </w:r>
      <w:r w:rsidR="00EF2D05">
        <w:t xml:space="preserve"> in their official capacity as </w:t>
      </w:r>
      <w:r w:rsidR="00A672D5">
        <w:t xml:space="preserve">trustees of the </w:t>
      </w:r>
      <w:r w:rsidR="00584AA7">
        <w:t>“</w:t>
      </w:r>
      <w:r w:rsidR="00A672D5" w:rsidRPr="00584AA7">
        <w:rPr>
          <w:i/>
          <w:iCs/>
        </w:rPr>
        <w:t xml:space="preserve">Velocity </w:t>
      </w:r>
      <w:r w:rsidR="007A5A73" w:rsidRPr="00584AA7">
        <w:rPr>
          <w:i/>
          <w:iCs/>
        </w:rPr>
        <w:t>Trust</w:t>
      </w:r>
      <w:r w:rsidR="00584AA7">
        <w:t>”</w:t>
      </w:r>
      <w:r w:rsidR="007A5A73">
        <w:t>. I shall elaborate on the description of the plaintiffs below</w:t>
      </w:r>
      <w:r w:rsidR="00BD54BC">
        <w:t>.</w:t>
      </w:r>
    </w:p>
    <w:p w14:paraId="102268C9" w14:textId="576AA7BC" w:rsidR="0018650F" w:rsidRDefault="00C84FE9" w:rsidP="00C84FE9">
      <w:pPr>
        <w:pStyle w:val="JudgmentNumbered"/>
        <w:numPr>
          <w:ilvl w:val="0"/>
          <w:numId w:val="0"/>
        </w:numPr>
        <w:ind w:left="567" w:hanging="567"/>
      </w:pPr>
      <w:r>
        <w:t>[3]</w:t>
      </w:r>
      <w:r>
        <w:tab/>
      </w:r>
      <w:r w:rsidR="0018650F">
        <w:t>The defendant was the purchaser of a 2016 Volkswagen Polo motor</w:t>
      </w:r>
      <w:r w:rsidR="00EC0ED0">
        <w:t xml:space="preserve"> </w:t>
      </w:r>
      <w:r w:rsidR="0018650F">
        <w:t xml:space="preserve">vehicle from </w:t>
      </w:r>
      <w:r w:rsidR="008638EA">
        <w:t>Volkswagen Financial Services (Pty) Ltd (“Volkswagen”)</w:t>
      </w:r>
      <w:r w:rsidR="0018650F">
        <w:t xml:space="preserve"> in terms of an Instalment</w:t>
      </w:r>
      <w:r w:rsidR="00B1378E">
        <w:t xml:space="preserve"> Sale</w:t>
      </w:r>
      <w:r w:rsidR="0018650F">
        <w:t xml:space="preserve"> Agreement</w:t>
      </w:r>
      <w:r w:rsidR="005B6314">
        <w:t xml:space="preserve"> concluded</w:t>
      </w:r>
      <w:r w:rsidR="0018650F">
        <w:t xml:space="preserve"> on 29 July 2016.</w:t>
      </w:r>
    </w:p>
    <w:p w14:paraId="07CD31C2" w14:textId="3938E9B5" w:rsidR="007B5558" w:rsidRDefault="00C84FE9" w:rsidP="00C84FE9">
      <w:pPr>
        <w:pStyle w:val="JudgmentNumbered"/>
        <w:numPr>
          <w:ilvl w:val="0"/>
          <w:numId w:val="0"/>
        </w:numPr>
        <w:ind w:left="567" w:hanging="567"/>
      </w:pPr>
      <w:r>
        <w:t>[4]</w:t>
      </w:r>
      <w:r>
        <w:tab/>
      </w:r>
      <w:r w:rsidR="00DC0676">
        <w:t>In terms of an alleged written cession agreement concluded on 3 November 2016, Vol</w:t>
      </w:r>
      <w:r w:rsidR="00B47DB3">
        <w:t xml:space="preserve">kswagen ceded </w:t>
      </w:r>
      <w:r w:rsidR="006508B8">
        <w:t>all rights</w:t>
      </w:r>
      <w:r w:rsidR="00167659">
        <w:t>,</w:t>
      </w:r>
      <w:r w:rsidR="006508B8">
        <w:t xml:space="preserve"> title and interest</w:t>
      </w:r>
      <w:r w:rsidR="004D709B">
        <w:t xml:space="preserve"> in and to</w:t>
      </w:r>
      <w:r w:rsidR="00DE0A10">
        <w:t xml:space="preserve"> </w:t>
      </w:r>
      <w:r w:rsidR="00713601">
        <w:t>the</w:t>
      </w:r>
      <w:r w:rsidR="00E00C02">
        <w:t xml:space="preserve"> aforesaid</w:t>
      </w:r>
      <w:r w:rsidR="00251DC3">
        <w:t xml:space="preserve"> Instalment</w:t>
      </w:r>
      <w:r w:rsidR="00AF5FD4">
        <w:t xml:space="preserve"> Sale</w:t>
      </w:r>
      <w:r w:rsidR="00251DC3">
        <w:t xml:space="preserve"> Agreement</w:t>
      </w:r>
      <w:r w:rsidR="00B47DB3">
        <w:t xml:space="preserve"> to the </w:t>
      </w:r>
      <w:r w:rsidR="007B5558">
        <w:t>plaintiffs.</w:t>
      </w:r>
    </w:p>
    <w:p w14:paraId="745C6CDD" w14:textId="10D43D1B" w:rsidR="008A0599" w:rsidRDefault="00C84FE9" w:rsidP="00C84FE9">
      <w:pPr>
        <w:pStyle w:val="JudgmentNumbered"/>
        <w:numPr>
          <w:ilvl w:val="0"/>
          <w:numId w:val="0"/>
        </w:numPr>
        <w:ind w:left="567" w:hanging="567"/>
      </w:pPr>
      <w:r>
        <w:t>[5]</w:t>
      </w:r>
      <w:r>
        <w:tab/>
      </w:r>
      <w:r w:rsidR="008A0599">
        <w:t>I shall refer to the</w:t>
      </w:r>
      <w:r w:rsidR="008124EB">
        <w:t xml:space="preserve"> parties as described in the main action</w:t>
      </w:r>
      <w:r w:rsidR="00EC0ED0">
        <w:t>,</w:t>
      </w:r>
      <w:r w:rsidR="008124EB">
        <w:t xml:space="preserve"> i.e., to the applicant (in the rescission application) as the defendant</w:t>
      </w:r>
      <w:r w:rsidR="008C1F77">
        <w:t xml:space="preserve"> and to the first and second respondents as the plaintiffs.</w:t>
      </w:r>
    </w:p>
    <w:p w14:paraId="34BDE4D8" w14:textId="15C6C438" w:rsidR="00E17C87" w:rsidRDefault="00E17C87" w:rsidP="00E90061">
      <w:pPr>
        <w:pStyle w:val="JudgmentHeading"/>
      </w:pPr>
      <w:r>
        <w:lastRenderedPageBreak/>
        <w:t>Litigation History</w:t>
      </w:r>
    </w:p>
    <w:p w14:paraId="65B26E25" w14:textId="645E4D9C" w:rsidR="00E90061" w:rsidRDefault="00C84FE9" w:rsidP="00C84FE9">
      <w:pPr>
        <w:pStyle w:val="JudgmentNumbered"/>
        <w:numPr>
          <w:ilvl w:val="0"/>
          <w:numId w:val="0"/>
        </w:numPr>
        <w:ind w:left="567" w:hanging="567"/>
      </w:pPr>
      <w:r>
        <w:t>[6]</w:t>
      </w:r>
      <w:r>
        <w:tab/>
      </w:r>
      <w:r w:rsidR="00F0217C">
        <w:t>On 5 February 202</w:t>
      </w:r>
      <w:r w:rsidR="009F215E">
        <w:t>2</w:t>
      </w:r>
      <w:r w:rsidR="00F0217C">
        <w:t xml:space="preserve">, the combined summons was served on the defendant’s wife at his </w:t>
      </w:r>
      <w:r w:rsidR="00F0217C" w:rsidRPr="00AF2B1F">
        <w:rPr>
          <w:i/>
          <w:iCs/>
        </w:rPr>
        <w:t>chosen domicil</w:t>
      </w:r>
      <w:r w:rsidR="00890C3C" w:rsidRPr="00AF2B1F">
        <w:rPr>
          <w:i/>
          <w:iCs/>
        </w:rPr>
        <w:t>ium citandi et executandi</w:t>
      </w:r>
      <w:r w:rsidR="00EC0ED0">
        <w:rPr>
          <w:i/>
          <w:iCs/>
        </w:rPr>
        <w:t>,</w:t>
      </w:r>
      <w:r w:rsidR="00C210DF">
        <w:t xml:space="preserve"> i.e.</w:t>
      </w:r>
      <w:r w:rsidR="003E6F9B">
        <w:t xml:space="preserve"> </w:t>
      </w:r>
      <w:r w:rsidR="00B855FB">
        <w:t>6006 […] Diepkloof.</w:t>
      </w:r>
      <w:r w:rsidR="00B779ED">
        <w:t xml:space="preserve"> According to the Sheriff’s return of service</w:t>
      </w:r>
      <w:r w:rsidR="00254384">
        <w:t>, the defendant’s address was at number “6006A”.</w:t>
      </w:r>
      <w:r w:rsidR="00CC7CDF">
        <w:t xml:space="preserve"> I pause to state</w:t>
      </w:r>
      <w:r w:rsidR="006817FC">
        <w:t xml:space="preserve"> that this discrepancy is i</w:t>
      </w:r>
      <w:r w:rsidR="00AF2B1F">
        <w:t>m</w:t>
      </w:r>
      <w:r w:rsidR="006817FC">
        <w:t>material because</w:t>
      </w:r>
      <w:r w:rsidR="00FA1C41">
        <w:t>,</w:t>
      </w:r>
      <w:r w:rsidR="006817FC">
        <w:t xml:space="preserve"> in the defendant’s founding affidavit, </w:t>
      </w:r>
      <w:r w:rsidR="002D4E89" w:rsidRPr="00AD55C9">
        <w:rPr>
          <w:i/>
          <w:iCs/>
        </w:rPr>
        <w:t>firstly</w:t>
      </w:r>
      <w:r w:rsidR="00FA1C41">
        <w:t>, he</w:t>
      </w:r>
      <w:r w:rsidR="006817FC">
        <w:t xml:space="preserve"> describes</w:t>
      </w:r>
      <w:r w:rsidR="002D4E89">
        <w:t xml:space="preserve"> his residential address as number 6006</w:t>
      </w:r>
      <w:r w:rsidR="00EC0ED0">
        <w:t>,</w:t>
      </w:r>
      <w:r w:rsidR="005524D8">
        <w:t xml:space="preserve"> and </w:t>
      </w:r>
      <w:r w:rsidR="005524D8" w:rsidRPr="00AD55C9">
        <w:rPr>
          <w:i/>
          <w:iCs/>
        </w:rPr>
        <w:t>secondly</w:t>
      </w:r>
      <w:r w:rsidR="00B60BC5">
        <w:t>, he</w:t>
      </w:r>
      <w:r w:rsidR="005524D8">
        <w:t xml:space="preserve"> confirms </w:t>
      </w:r>
      <w:r w:rsidR="00B60BC5">
        <w:t>having received</w:t>
      </w:r>
      <w:r w:rsidR="005524D8">
        <w:t xml:space="preserve"> the summons as served on his spouse.</w:t>
      </w:r>
    </w:p>
    <w:p w14:paraId="36AB3249" w14:textId="28DDE9C7" w:rsidR="003E6F9B" w:rsidRPr="00EE321F" w:rsidRDefault="00C84FE9" w:rsidP="00C84FE9">
      <w:pPr>
        <w:pStyle w:val="JudgmentNumbered"/>
        <w:numPr>
          <w:ilvl w:val="0"/>
          <w:numId w:val="0"/>
        </w:numPr>
        <w:ind w:left="567" w:hanging="567"/>
      </w:pPr>
      <w:r w:rsidRPr="00EE321F">
        <w:t>[7]</w:t>
      </w:r>
      <w:r w:rsidRPr="00EE321F">
        <w:tab/>
      </w:r>
      <w:r w:rsidR="00B4276D">
        <w:t xml:space="preserve">After </w:t>
      </w:r>
      <w:r w:rsidR="00EC0ED0">
        <w:t xml:space="preserve">the </w:t>
      </w:r>
      <w:r w:rsidR="00B4276D">
        <w:t>expiry of the</w:t>
      </w:r>
      <w:r w:rsidR="000766D9">
        <w:t xml:space="preserve"> </w:t>
      </w:r>
      <w:r w:rsidR="000766D9">
        <w:rPr>
          <w:i/>
        </w:rPr>
        <w:t>dies induciae</w:t>
      </w:r>
      <w:r w:rsidR="000766D9">
        <w:rPr>
          <w:iCs/>
        </w:rPr>
        <w:t xml:space="preserve"> on 21 February 2022</w:t>
      </w:r>
      <w:r w:rsidR="00906178">
        <w:rPr>
          <w:iCs/>
        </w:rPr>
        <w:t>,</w:t>
      </w:r>
      <w:r w:rsidR="00746196">
        <w:rPr>
          <w:iCs/>
        </w:rPr>
        <w:t xml:space="preserve"> and absent </w:t>
      </w:r>
      <w:r w:rsidR="004B61D8">
        <w:rPr>
          <w:iCs/>
        </w:rPr>
        <w:t>a notice of appearance to defend,</w:t>
      </w:r>
      <w:r w:rsidR="00742FE5">
        <w:rPr>
          <w:iCs/>
        </w:rPr>
        <w:t xml:space="preserve"> the plaintiff applied</w:t>
      </w:r>
      <w:r w:rsidR="00032360">
        <w:rPr>
          <w:iCs/>
        </w:rPr>
        <w:t xml:space="preserve"> to the registrar</w:t>
      </w:r>
      <w:r w:rsidR="00742FE5">
        <w:rPr>
          <w:iCs/>
        </w:rPr>
        <w:t xml:space="preserve"> for default judgment</w:t>
      </w:r>
      <w:r w:rsidR="001B6B98">
        <w:rPr>
          <w:iCs/>
        </w:rPr>
        <w:t xml:space="preserve"> under </w:t>
      </w:r>
      <w:r w:rsidR="0074271A">
        <w:rPr>
          <w:iCs/>
        </w:rPr>
        <w:t>Uniform Rule</w:t>
      </w:r>
      <w:r w:rsidR="001B6B98">
        <w:rPr>
          <w:iCs/>
        </w:rPr>
        <w:t xml:space="preserve"> 31(5)(a)</w:t>
      </w:r>
      <w:r w:rsidR="00742FE5">
        <w:rPr>
          <w:iCs/>
        </w:rPr>
        <w:t xml:space="preserve"> in terms of a notice</w:t>
      </w:r>
      <w:r w:rsidR="005F13F0">
        <w:rPr>
          <w:iCs/>
        </w:rPr>
        <w:t xml:space="preserve"> dated 22 March 2022</w:t>
      </w:r>
      <w:r w:rsidR="00911EB0">
        <w:rPr>
          <w:iCs/>
        </w:rPr>
        <w:t xml:space="preserve">. This application </w:t>
      </w:r>
      <w:r w:rsidR="006C2C68">
        <w:rPr>
          <w:iCs/>
        </w:rPr>
        <w:t xml:space="preserve">was </w:t>
      </w:r>
      <w:r w:rsidR="003C752E">
        <w:rPr>
          <w:iCs/>
        </w:rPr>
        <w:t>granted on 18 May 2022</w:t>
      </w:r>
      <w:r w:rsidR="00EE321F">
        <w:rPr>
          <w:iCs/>
        </w:rPr>
        <w:t xml:space="preserve"> in the following terms:</w:t>
      </w:r>
    </w:p>
    <w:p w14:paraId="3CA7D6F4" w14:textId="46E1B62A" w:rsidR="00EE321F" w:rsidRDefault="00EE321F" w:rsidP="001436EF">
      <w:pPr>
        <w:pStyle w:val="JudgmentNumbered"/>
        <w:numPr>
          <w:ilvl w:val="0"/>
          <w:numId w:val="0"/>
        </w:numPr>
        <w:spacing w:line="240" w:lineRule="auto"/>
        <w:ind w:left="1440"/>
        <w:rPr>
          <w:i/>
          <w:iCs/>
        </w:rPr>
      </w:pPr>
      <w:r>
        <w:t>“</w:t>
      </w:r>
      <w:r>
        <w:rPr>
          <w:i/>
          <w:iCs/>
        </w:rPr>
        <w:t>A.</w:t>
      </w:r>
      <w:r>
        <w:rPr>
          <w:i/>
          <w:iCs/>
        </w:rPr>
        <w:tab/>
        <w:t>Cancellation of the Agreement</w:t>
      </w:r>
      <w:r w:rsidR="00CD5707">
        <w:rPr>
          <w:i/>
          <w:iCs/>
        </w:rPr>
        <w:t xml:space="preserve"> on date of the Judgment;</w:t>
      </w:r>
    </w:p>
    <w:p w14:paraId="7F69EF63" w14:textId="1982C298" w:rsidR="00CD5707" w:rsidRDefault="00CD5707" w:rsidP="001436EF">
      <w:pPr>
        <w:pStyle w:val="JudgmentNumbered"/>
        <w:numPr>
          <w:ilvl w:val="0"/>
          <w:numId w:val="0"/>
        </w:numPr>
        <w:spacing w:line="240" w:lineRule="auto"/>
        <w:ind w:left="2160" w:hanging="720"/>
        <w:rPr>
          <w:i/>
          <w:iCs/>
        </w:rPr>
      </w:pPr>
      <w:r>
        <w:rPr>
          <w:i/>
          <w:iCs/>
        </w:rPr>
        <w:t>B.</w:t>
      </w:r>
      <w:r>
        <w:rPr>
          <w:i/>
          <w:iCs/>
        </w:rPr>
        <w:tab/>
        <w:t xml:space="preserve">An Order directing the </w:t>
      </w:r>
      <w:r w:rsidR="00EC0ED0">
        <w:rPr>
          <w:i/>
          <w:iCs/>
        </w:rPr>
        <w:t>defendant</w:t>
      </w:r>
      <w:r>
        <w:rPr>
          <w:i/>
          <w:iCs/>
        </w:rPr>
        <w:t xml:space="preserve"> to return to the Plaintiff the 2016 Volkswagen Polo […]</w:t>
      </w:r>
      <w:r w:rsidR="00E70605">
        <w:rPr>
          <w:i/>
          <w:iCs/>
        </w:rPr>
        <w:t xml:space="preserve"> with CHA</w:t>
      </w:r>
      <w:r w:rsidR="001436EF">
        <w:rPr>
          <w:i/>
          <w:iCs/>
        </w:rPr>
        <w:t>S</w:t>
      </w:r>
      <w:r w:rsidR="00E70605">
        <w:rPr>
          <w:i/>
          <w:iCs/>
        </w:rPr>
        <w:t>S</w:t>
      </w:r>
      <w:r w:rsidR="001436EF">
        <w:rPr>
          <w:i/>
          <w:iCs/>
        </w:rPr>
        <w:t>I</w:t>
      </w:r>
      <w:r w:rsidR="00E70605">
        <w:rPr>
          <w:i/>
          <w:iCs/>
        </w:rPr>
        <w:t>S NUMBER</w:t>
      </w:r>
      <w:r w:rsidR="00745659">
        <w:rPr>
          <w:i/>
          <w:iCs/>
        </w:rPr>
        <w:t>…ENGINE NUMBER…;</w:t>
      </w:r>
    </w:p>
    <w:p w14:paraId="33C36D29" w14:textId="3A2ABB5B" w:rsidR="00745659" w:rsidRDefault="00745659" w:rsidP="001436EF">
      <w:pPr>
        <w:pStyle w:val="JudgmentNumbered"/>
        <w:numPr>
          <w:ilvl w:val="0"/>
          <w:numId w:val="0"/>
        </w:numPr>
        <w:spacing w:line="240" w:lineRule="auto"/>
        <w:ind w:left="1440"/>
        <w:rPr>
          <w:i/>
          <w:iCs/>
        </w:rPr>
      </w:pPr>
      <w:r>
        <w:rPr>
          <w:i/>
          <w:iCs/>
        </w:rPr>
        <w:t>C.</w:t>
      </w:r>
      <w:r>
        <w:rPr>
          <w:i/>
          <w:iCs/>
        </w:rPr>
        <w:tab/>
      </w:r>
      <w:r w:rsidR="00121E3F" w:rsidRPr="008453FE">
        <w:t>[</w:t>
      </w:r>
      <w:r w:rsidR="00C916CF">
        <w:t xml:space="preserve">the contents of </w:t>
      </w:r>
      <w:r w:rsidR="00121E3F" w:rsidRPr="008453FE">
        <w:t>paragraph C.</w:t>
      </w:r>
      <w:r w:rsidR="004F77BE" w:rsidRPr="008453FE">
        <w:t xml:space="preserve"> </w:t>
      </w:r>
      <w:r w:rsidR="008453FE">
        <w:t>w</w:t>
      </w:r>
      <w:r w:rsidR="003717A1" w:rsidRPr="008453FE">
        <w:t>as</w:t>
      </w:r>
      <w:r w:rsidR="00121E3F" w:rsidRPr="008453FE">
        <w:t xml:space="preserve"> redacted</w:t>
      </w:r>
      <w:r w:rsidR="004F77BE" w:rsidRPr="008453FE">
        <w:t>]</w:t>
      </w:r>
      <w:r w:rsidR="004F77BE">
        <w:rPr>
          <w:i/>
          <w:iCs/>
        </w:rPr>
        <w:t>;</w:t>
      </w:r>
    </w:p>
    <w:p w14:paraId="4C96296A" w14:textId="20E0853B" w:rsidR="004F77BE" w:rsidRDefault="004F77BE" w:rsidP="001436EF">
      <w:pPr>
        <w:pStyle w:val="JudgmentNumbered"/>
        <w:numPr>
          <w:ilvl w:val="0"/>
          <w:numId w:val="0"/>
        </w:numPr>
        <w:spacing w:line="240" w:lineRule="auto"/>
        <w:ind w:left="2160" w:hanging="720"/>
      </w:pPr>
      <w:r>
        <w:rPr>
          <w:i/>
          <w:iCs/>
        </w:rPr>
        <w:t>D.</w:t>
      </w:r>
      <w:r>
        <w:rPr>
          <w:i/>
          <w:iCs/>
        </w:rPr>
        <w:tab/>
        <w:t>The defendant is ordered to pay the plaintiff’s</w:t>
      </w:r>
      <w:r w:rsidR="003E3F39">
        <w:rPr>
          <w:i/>
          <w:iCs/>
        </w:rPr>
        <w:t xml:space="preserve"> text costs of suit and Sheriff’s costs in the amount of R343.28.</w:t>
      </w:r>
      <w:r w:rsidR="008453FE">
        <w:t>”</w:t>
      </w:r>
    </w:p>
    <w:p w14:paraId="2D402CB7" w14:textId="09EECA92" w:rsidR="002F1B8E" w:rsidRDefault="00C84FE9" w:rsidP="00C84FE9">
      <w:pPr>
        <w:pStyle w:val="JudgmentNumbered"/>
        <w:numPr>
          <w:ilvl w:val="0"/>
          <w:numId w:val="0"/>
        </w:numPr>
        <w:ind w:left="567" w:hanging="567"/>
      </w:pPr>
      <w:r>
        <w:t>[8]</w:t>
      </w:r>
      <w:r>
        <w:tab/>
      </w:r>
      <w:r w:rsidR="00EE5479">
        <w:t xml:space="preserve">The application for </w:t>
      </w:r>
      <w:r w:rsidR="002F577D">
        <w:t>rescission</w:t>
      </w:r>
      <w:r w:rsidR="00EE5479">
        <w:t xml:space="preserve"> of judgment was delivered on </w:t>
      </w:r>
      <w:r w:rsidR="00BC3BA8">
        <w:t>26 July 2022</w:t>
      </w:r>
      <w:r w:rsidR="001573E9">
        <w:t>, in which the defendant seeks</w:t>
      </w:r>
      <w:r w:rsidR="008F2868">
        <w:t xml:space="preserve"> an order</w:t>
      </w:r>
      <w:r w:rsidR="00F51546">
        <w:t xml:space="preserve"> for the rescission of</w:t>
      </w:r>
      <w:r w:rsidR="008F2868">
        <w:t xml:space="preserve"> the default judgment</w:t>
      </w:r>
      <w:r w:rsidR="00F51546">
        <w:t xml:space="preserve">, the stay of the </w:t>
      </w:r>
      <w:r w:rsidR="007F2B09">
        <w:t>warrant for the delivery of the motor vehicle, and costs in the event of opposition.</w:t>
      </w:r>
      <w:r w:rsidR="00302856">
        <w:t xml:space="preserve"> The plaintiffs opposed </w:t>
      </w:r>
      <w:r w:rsidR="005079B5">
        <w:t>the defendant’s application on the grounds to be alluded to below.</w:t>
      </w:r>
    </w:p>
    <w:p w14:paraId="531B3001" w14:textId="7E331646" w:rsidR="00E90061" w:rsidRDefault="00EC0ED0" w:rsidP="00FB6B4E">
      <w:pPr>
        <w:pStyle w:val="JudgmentHeading"/>
      </w:pPr>
      <w:r>
        <w:t>Defendant</w:t>
      </w:r>
      <w:r w:rsidR="00FB6B4E">
        <w:t>’s</w:t>
      </w:r>
      <w:r w:rsidR="005306B9">
        <w:t xml:space="preserve"> </w:t>
      </w:r>
      <w:r>
        <w:t>c</w:t>
      </w:r>
      <w:r w:rsidR="004454EF">
        <w:t>ase</w:t>
      </w:r>
    </w:p>
    <w:p w14:paraId="2FE04A21" w14:textId="2B878B11" w:rsidR="0023390B" w:rsidRDefault="00C84FE9" w:rsidP="00C84FE9">
      <w:pPr>
        <w:pStyle w:val="JudgmentNumbered"/>
        <w:numPr>
          <w:ilvl w:val="0"/>
          <w:numId w:val="0"/>
        </w:numPr>
        <w:ind w:left="567" w:hanging="567"/>
      </w:pPr>
      <w:r>
        <w:t>[9]</w:t>
      </w:r>
      <w:r>
        <w:tab/>
      </w:r>
      <w:r w:rsidR="00FE087A">
        <w:t>T</w:t>
      </w:r>
      <w:r w:rsidR="00E829AB">
        <w:t>he defendant stated that</w:t>
      </w:r>
      <w:r w:rsidR="00A10DC8">
        <w:t xml:space="preserve"> a week or two after receipt of the summons, he attended the office of </w:t>
      </w:r>
      <w:r w:rsidR="00EC0ED0">
        <w:t xml:space="preserve">the </w:t>
      </w:r>
      <w:r w:rsidR="00A10DC8">
        <w:t>plaintiffs’ attorneys</w:t>
      </w:r>
      <w:r w:rsidR="00790EE9">
        <w:t>, where he met wi</w:t>
      </w:r>
      <w:r w:rsidR="009C0272">
        <w:t>th</w:t>
      </w:r>
      <w:r w:rsidR="00790EE9">
        <w:t xml:space="preserve"> an unidentified</w:t>
      </w:r>
      <w:r w:rsidR="0003797C">
        <w:t xml:space="preserve"> </w:t>
      </w:r>
      <w:r w:rsidR="00BD12BA">
        <w:t>person</w:t>
      </w:r>
      <w:r w:rsidR="00BA7DD9">
        <w:t>. The defendant stated that</w:t>
      </w:r>
      <w:r w:rsidR="00A10DC8">
        <w:t xml:space="preserve"> he</w:t>
      </w:r>
      <w:r w:rsidR="004C6800">
        <w:t xml:space="preserve"> and the plaintiffs’ </w:t>
      </w:r>
      <w:r w:rsidR="000D6E62">
        <w:t>representative</w:t>
      </w:r>
      <w:r w:rsidR="00A10DC8">
        <w:t xml:space="preserve"> agreed </w:t>
      </w:r>
      <w:r w:rsidR="00A10DC8">
        <w:lastRenderedPageBreak/>
        <w:t>that the legal action w</w:t>
      </w:r>
      <w:r w:rsidR="00EC0ED0">
        <w:t>ould</w:t>
      </w:r>
      <w:r w:rsidR="00A10DC8">
        <w:t xml:space="preserve"> be suspended</w:t>
      </w:r>
      <w:r w:rsidR="007551D4">
        <w:t xml:space="preserve"> and that he would</w:t>
      </w:r>
      <w:r w:rsidR="00A10DC8">
        <w:t xml:space="preserve"> resum</w:t>
      </w:r>
      <w:r w:rsidR="00095F02">
        <w:t>e</w:t>
      </w:r>
      <w:r w:rsidR="00A10DC8">
        <w:t xml:space="preserve"> the payment of monthly instalments and insurance premiums</w:t>
      </w:r>
      <w:r w:rsidR="000511F2">
        <w:t xml:space="preserve"> in respect</w:t>
      </w:r>
      <w:r w:rsidR="00767BC9">
        <w:t xml:space="preserve"> of</w:t>
      </w:r>
      <w:r w:rsidR="000511F2">
        <w:t xml:space="preserve"> </w:t>
      </w:r>
      <w:r w:rsidR="00B90367">
        <w:t>motor vehicle</w:t>
      </w:r>
      <w:r w:rsidR="005A68DA">
        <w:t xml:space="preserve"> purchased as stated</w:t>
      </w:r>
      <w:r w:rsidR="00804D70">
        <w:t xml:space="preserve">. </w:t>
      </w:r>
    </w:p>
    <w:p w14:paraId="37ABE34E" w14:textId="3E6B0ABB" w:rsidR="00E829AB" w:rsidRDefault="00C84FE9" w:rsidP="00C84FE9">
      <w:pPr>
        <w:pStyle w:val="JudgmentNumbered"/>
        <w:numPr>
          <w:ilvl w:val="0"/>
          <w:numId w:val="0"/>
        </w:numPr>
        <w:ind w:left="567" w:hanging="567"/>
      </w:pPr>
      <w:r>
        <w:t>[10]</w:t>
      </w:r>
      <w:r>
        <w:tab/>
      </w:r>
      <w:r w:rsidR="00804D70">
        <w:t>H</w:t>
      </w:r>
      <w:r w:rsidR="00450C2D">
        <w:t>owever</w:t>
      </w:r>
      <w:r w:rsidR="00EC0ED0">
        <w:t xml:space="preserve">, </w:t>
      </w:r>
      <w:r w:rsidR="00E829AB">
        <w:t>on 30 June 2022</w:t>
      </w:r>
      <w:r w:rsidR="00D7792D">
        <w:t xml:space="preserve">, </w:t>
      </w:r>
      <w:r w:rsidR="00F42C2A">
        <w:t xml:space="preserve">the </w:t>
      </w:r>
      <w:r w:rsidR="00AD61C6">
        <w:t xml:space="preserve">defendant became aware that </w:t>
      </w:r>
      <w:r w:rsidR="00680869">
        <w:t>default judgment had been granted against him</w:t>
      </w:r>
      <w:r w:rsidR="009C7756">
        <w:t>. H</w:t>
      </w:r>
      <w:r w:rsidR="008D6BDB">
        <w:t>e avers that</w:t>
      </w:r>
      <w:r w:rsidR="001D4F50">
        <w:t xml:space="preserve"> he</w:t>
      </w:r>
      <w:r w:rsidR="00E829AB">
        <w:t xml:space="preserve"> delivered the rescission application within the period of 20 days after acquiring knowledge of the judgment, as is required by Uniform Rule 31(2)(b).</w:t>
      </w:r>
    </w:p>
    <w:p w14:paraId="29EC4AD0" w14:textId="0EE9E7B7" w:rsidR="00152C85" w:rsidRDefault="00C84FE9" w:rsidP="00C84FE9">
      <w:pPr>
        <w:pStyle w:val="JudgmentNumbered"/>
        <w:numPr>
          <w:ilvl w:val="0"/>
          <w:numId w:val="0"/>
        </w:numPr>
        <w:ind w:left="567" w:hanging="567"/>
      </w:pPr>
      <w:r>
        <w:t>[11]</w:t>
      </w:r>
      <w:r>
        <w:tab/>
      </w:r>
      <w:r w:rsidR="00FE087A">
        <w:t>T</w:t>
      </w:r>
      <w:r w:rsidR="004454EF">
        <w:t>he defendant cites the following</w:t>
      </w:r>
      <w:r w:rsidR="00E260C2">
        <w:t xml:space="preserve"> main</w:t>
      </w:r>
      <w:r w:rsidR="004454EF">
        <w:t xml:space="preserve"> grounds in support of the rescission application:</w:t>
      </w:r>
    </w:p>
    <w:p w14:paraId="2AA3E284" w14:textId="44E48C5F" w:rsidR="004454EF" w:rsidRDefault="00C84FE9" w:rsidP="00C84FE9">
      <w:pPr>
        <w:pStyle w:val="JudgmentNumbered"/>
        <w:numPr>
          <w:ilvl w:val="0"/>
          <w:numId w:val="0"/>
        </w:numPr>
        <w:ind w:left="1134" w:hanging="567"/>
      </w:pPr>
      <w:r>
        <w:t>a.</w:t>
      </w:r>
      <w:r>
        <w:tab/>
      </w:r>
      <w:r w:rsidR="004454EF">
        <w:t>he was not in wilful default;</w:t>
      </w:r>
    </w:p>
    <w:p w14:paraId="6C35AC94" w14:textId="39AD355A" w:rsidR="004454EF" w:rsidRDefault="00C84FE9" w:rsidP="00C84FE9">
      <w:pPr>
        <w:pStyle w:val="JudgmentNumbered"/>
        <w:numPr>
          <w:ilvl w:val="0"/>
          <w:numId w:val="0"/>
        </w:numPr>
        <w:ind w:left="1134" w:hanging="567"/>
      </w:pPr>
      <w:r>
        <w:t>b.</w:t>
      </w:r>
      <w:r>
        <w:tab/>
      </w:r>
      <w:r w:rsidR="004454EF">
        <w:t>the plaintiff’s notice in terms of section 129(1)(a) of the N</w:t>
      </w:r>
      <w:r w:rsidR="00B86C5B">
        <w:t xml:space="preserve">ational Credit Act, </w:t>
      </w:r>
      <w:r w:rsidR="009421CC">
        <w:t>34 of 2005</w:t>
      </w:r>
      <w:r w:rsidR="002F0420">
        <w:t xml:space="preserve"> (“N</w:t>
      </w:r>
      <w:r w:rsidR="004454EF">
        <w:t>CA</w:t>
      </w:r>
      <w:r w:rsidR="002F0420">
        <w:t>”)</w:t>
      </w:r>
      <w:r w:rsidR="004454EF">
        <w:t xml:space="preserve"> never reached him, that the plaintiffs failed to “</w:t>
      </w:r>
      <w:r w:rsidR="004454EF" w:rsidRPr="00776E02">
        <w:rPr>
          <w:i/>
          <w:iCs/>
        </w:rPr>
        <w:t>draw the default to the notice of the consumer in writing</w:t>
      </w:r>
      <w:r w:rsidR="004454EF">
        <w:t xml:space="preserve">”, that the legal proceeding instituted by the plaintiffs’ was irregular or unlawful, and that the </w:t>
      </w:r>
      <w:r w:rsidR="00EC0ED0">
        <w:t>same fate of irregularity or unlawfulness struck the default judgement</w:t>
      </w:r>
      <w:r w:rsidR="004454EF">
        <w:t>;</w:t>
      </w:r>
    </w:p>
    <w:p w14:paraId="622AA6AB" w14:textId="270D0608" w:rsidR="004454EF" w:rsidRDefault="00C84FE9" w:rsidP="00C84FE9">
      <w:pPr>
        <w:pStyle w:val="JudgmentNumbered"/>
        <w:numPr>
          <w:ilvl w:val="0"/>
          <w:numId w:val="0"/>
        </w:numPr>
        <w:ind w:left="1134" w:hanging="567"/>
      </w:pPr>
      <w:r>
        <w:t>c.</w:t>
      </w:r>
      <w:r>
        <w:tab/>
      </w:r>
      <w:r w:rsidR="004454EF">
        <w:t>the plaintiff’s breached the procedural requirements set in clauses 13.3 and 13.4 of the Instalment Sale Agreement;</w:t>
      </w:r>
    </w:p>
    <w:p w14:paraId="1948E689" w14:textId="46257BD9" w:rsidR="004454EF" w:rsidRDefault="00C84FE9" w:rsidP="00C84FE9">
      <w:pPr>
        <w:pStyle w:val="JudgmentNumbered"/>
        <w:numPr>
          <w:ilvl w:val="0"/>
          <w:numId w:val="0"/>
        </w:numPr>
        <w:ind w:left="1134" w:hanging="567"/>
      </w:pPr>
      <w:r>
        <w:t>d.</w:t>
      </w:r>
      <w:r>
        <w:tab/>
      </w:r>
      <w:r w:rsidR="001269F9">
        <w:t>the</w:t>
      </w:r>
      <w:r w:rsidR="00172FE6">
        <w:t xml:space="preserve"> default judgment</w:t>
      </w:r>
      <w:r w:rsidR="00104269">
        <w:t xml:space="preserve"> should no</w:t>
      </w:r>
      <w:r w:rsidR="00AD6B7A">
        <w:t>t</w:t>
      </w:r>
      <w:r w:rsidR="00104269">
        <w:t xml:space="preserve"> have been granted in view of</w:t>
      </w:r>
      <w:r w:rsidR="001269F9">
        <w:t xml:space="preserve"> </w:t>
      </w:r>
      <w:r w:rsidR="00AD6B7A">
        <w:t xml:space="preserve">the </w:t>
      </w:r>
      <w:r w:rsidR="001269F9">
        <w:t>agreement to stay legal proceedings</w:t>
      </w:r>
      <w:r w:rsidR="004454EF">
        <w:t>; and,</w:t>
      </w:r>
    </w:p>
    <w:p w14:paraId="1CC0C547" w14:textId="02565C74" w:rsidR="004454EF" w:rsidRDefault="00C84FE9" w:rsidP="00C84FE9">
      <w:pPr>
        <w:pStyle w:val="JudgmentNumbered"/>
        <w:numPr>
          <w:ilvl w:val="0"/>
          <w:numId w:val="0"/>
        </w:numPr>
        <w:ind w:left="1134" w:hanging="567"/>
      </w:pPr>
      <w:r>
        <w:t>e.</w:t>
      </w:r>
      <w:r>
        <w:tab/>
      </w:r>
      <w:r w:rsidR="004454EF">
        <w:t>the paltry arrears of R 12</w:t>
      </w:r>
      <w:r w:rsidR="00F531EB">
        <w:t>,</w:t>
      </w:r>
      <w:r w:rsidR="004454EF">
        <w:t>322.79 (which</w:t>
      </w:r>
      <w:r w:rsidR="00F165E1">
        <w:t xml:space="preserve"> arrears</w:t>
      </w:r>
      <w:r w:rsidR="004454EF">
        <w:t xml:space="preserve"> </w:t>
      </w:r>
      <w:r w:rsidR="00506ABA">
        <w:t>w</w:t>
      </w:r>
      <w:r w:rsidR="00AD6B7A">
        <w:t>ere</w:t>
      </w:r>
      <w:r w:rsidR="004454EF">
        <w:t xml:space="preserve"> admitted)</w:t>
      </w:r>
      <w:r w:rsidR="00774D74">
        <w:t>,</w:t>
      </w:r>
      <w:r w:rsidR="004454EF">
        <w:t xml:space="preserve"> weighed against the due payment</w:t>
      </w:r>
      <w:r w:rsidR="00467794">
        <w:t xml:space="preserve"> by the defendant</w:t>
      </w:r>
      <w:r w:rsidR="004454EF">
        <w:t xml:space="preserve"> of R 238</w:t>
      </w:r>
      <w:r w:rsidR="00F531EB">
        <w:t>,</w:t>
      </w:r>
      <w:r w:rsidR="004454EF">
        <w:t>445.71</w:t>
      </w:r>
      <w:r w:rsidR="001F1A43">
        <w:t>,</w:t>
      </w:r>
      <w:r w:rsidR="004454EF">
        <w:t xml:space="preserve"> did not warrant the granting of default judgment.</w:t>
      </w:r>
    </w:p>
    <w:p w14:paraId="0303051F" w14:textId="1374C92C" w:rsidR="00E90061" w:rsidRDefault="00C84FE9" w:rsidP="00C84FE9">
      <w:pPr>
        <w:pStyle w:val="JudgmentNumbered"/>
        <w:numPr>
          <w:ilvl w:val="0"/>
          <w:numId w:val="0"/>
        </w:numPr>
        <w:ind w:left="567" w:hanging="567"/>
      </w:pPr>
      <w:r>
        <w:t>[12]</w:t>
      </w:r>
      <w:r>
        <w:tab/>
      </w:r>
      <w:r w:rsidR="00FC7E81">
        <w:t xml:space="preserve">The defendant </w:t>
      </w:r>
      <w:r w:rsidR="00B8460B">
        <w:t>contended</w:t>
      </w:r>
      <w:r w:rsidR="00F1666D">
        <w:t xml:space="preserve"> that the application is brought in terms of </w:t>
      </w:r>
      <w:r w:rsidR="0074271A">
        <w:t>rules</w:t>
      </w:r>
      <w:r w:rsidR="00F1666D">
        <w:t xml:space="preserve"> 31(2)(b) and/or 42(1)(a)</w:t>
      </w:r>
      <w:r w:rsidR="00055CFF">
        <w:t xml:space="preserve"> of the Uniform Rules of Court and/or under the </w:t>
      </w:r>
      <w:r w:rsidR="00E34998">
        <w:t>c</w:t>
      </w:r>
      <w:r w:rsidR="00055CFF">
        <w:t xml:space="preserve">ommon </w:t>
      </w:r>
      <w:r w:rsidR="00E34998">
        <w:t>l</w:t>
      </w:r>
      <w:r w:rsidR="00055CFF">
        <w:t>aw.</w:t>
      </w:r>
    </w:p>
    <w:p w14:paraId="4866C3BB" w14:textId="77777777" w:rsidR="0002566A" w:rsidRDefault="0002566A" w:rsidP="005C1654">
      <w:pPr>
        <w:pStyle w:val="JudgmentHeading"/>
      </w:pPr>
    </w:p>
    <w:p w14:paraId="3B343917" w14:textId="77777777" w:rsidR="0002566A" w:rsidRDefault="0002566A" w:rsidP="005C1654">
      <w:pPr>
        <w:pStyle w:val="JudgmentHeading"/>
      </w:pPr>
    </w:p>
    <w:p w14:paraId="57E09A76" w14:textId="296FA5B1" w:rsidR="00E90061" w:rsidRPr="005C1654" w:rsidRDefault="00EC0ED0" w:rsidP="005C1654">
      <w:pPr>
        <w:pStyle w:val="JudgmentHeading"/>
      </w:pPr>
      <w:r>
        <w:lastRenderedPageBreak/>
        <w:t>Plaintiffs</w:t>
      </w:r>
      <w:r w:rsidR="000F42B1">
        <w:t>’</w:t>
      </w:r>
      <w:r w:rsidR="005C1654">
        <w:t xml:space="preserve"> </w:t>
      </w:r>
      <w:r>
        <w:t>c</w:t>
      </w:r>
      <w:r w:rsidR="008E1AE7">
        <w:t>ase</w:t>
      </w:r>
    </w:p>
    <w:p w14:paraId="6F47012A" w14:textId="7CF9BA80" w:rsidR="00B57E09" w:rsidRDefault="00C84FE9" w:rsidP="00C84FE9">
      <w:pPr>
        <w:pStyle w:val="JudgmentNumbered"/>
        <w:numPr>
          <w:ilvl w:val="0"/>
          <w:numId w:val="0"/>
        </w:numPr>
        <w:ind w:left="567" w:hanging="567"/>
      </w:pPr>
      <w:r>
        <w:t>[13]</w:t>
      </w:r>
      <w:r>
        <w:tab/>
      </w:r>
      <w:r w:rsidR="00B57E09">
        <w:t>The following provides a summary of the main grounds of</w:t>
      </w:r>
      <w:r w:rsidR="001F12A3">
        <w:t xml:space="preserve"> plaintiffs</w:t>
      </w:r>
      <w:r w:rsidR="001C7E55">
        <w:t>’</w:t>
      </w:r>
      <w:r w:rsidR="00B57E09">
        <w:t xml:space="preserve"> opposition </w:t>
      </w:r>
      <w:r w:rsidR="00FF7AD9">
        <w:t>to the re</w:t>
      </w:r>
      <w:r w:rsidR="002154F8">
        <w:t>scission application</w:t>
      </w:r>
      <w:r w:rsidR="00B57E09">
        <w:t>:</w:t>
      </w:r>
    </w:p>
    <w:p w14:paraId="407C4DD0" w14:textId="476EB3EF" w:rsidR="000343F8" w:rsidRDefault="00C84FE9" w:rsidP="00C84FE9">
      <w:pPr>
        <w:pStyle w:val="JudgmentNumbered"/>
        <w:numPr>
          <w:ilvl w:val="0"/>
          <w:numId w:val="0"/>
        </w:numPr>
        <w:ind w:left="1134" w:hanging="567"/>
      </w:pPr>
      <w:r>
        <w:t>a.</w:t>
      </w:r>
      <w:r>
        <w:tab/>
      </w:r>
      <w:r w:rsidR="000343F8">
        <w:t xml:space="preserve">The </w:t>
      </w:r>
      <w:r w:rsidR="00215FFE">
        <w:t>p</w:t>
      </w:r>
      <w:r w:rsidR="000343F8">
        <w:t>laintiff</w:t>
      </w:r>
      <w:r w:rsidR="00560ABA">
        <w:t>s</w:t>
      </w:r>
      <w:r w:rsidR="000343F8">
        <w:t xml:space="preserve"> </w:t>
      </w:r>
      <w:r w:rsidR="00EC0ED0">
        <w:t>do not know</w:t>
      </w:r>
      <w:r w:rsidR="00560ABA">
        <w:t xml:space="preserve"> when the </w:t>
      </w:r>
      <w:r w:rsidR="00215FFE">
        <w:t>d</w:t>
      </w:r>
      <w:r w:rsidR="00560ABA">
        <w:t>efendant gained knowledge of the default judgment</w:t>
      </w:r>
      <w:r w:rsidR="00EC0ED0">
        <w:t>,</w:t>
      </w:r>
      <w:r w:rsidR="00560ABA">
        <w:t xml:space="preserve"> and </w:t>
      </w:r>
      <w:r w:rsidR="00293BB4">
        <w:t>they do not contend that the application was delivered out of time.</w:t>
      </w:r>
    </w:p>
    <w:p w14:paraId="521D8032" w14:textId="750B23F0" w:rsidR="00F55E0E" w:rsidRDefault="00C84FE9" w:rsidP="00C84FE9">
      <w:pPr>
        <w:pStyle w:val="JudgmentNumbered"/>
        <w:numPr>
          <w:ilvl w:val="0"/>
          <w:numId w:val="0"/>
        </w:numPr>
        <w:ind w:left="1134" w:hanging="567"/>
      </w:pPr>
      <w:r>
        <w:t>b.</w:t>
      </w:r>
      <w:r>
        <w:tab/>
      </w:r>
      <w:r w:rsidR="00F55E0E">
        <w:t xml:space="preserve">The </w:t>
      </w:r>
      <w:r w:rsidR="00215FFE">
        <w:t>p</w:t>
      </w:r>
      <w:r w:rsidR="00F55E0E">
        <w:t xml:space="preserve">laintiffs dispute that the </w:t>
      </w:r>
      <w:r w:rsidR="00215FFE">
        <w:t>d</w:t>
      </w:r>
      <w:r w:rsidR="00F55E0E">
        <w:t>efendant was not in wilful</w:t>
      </w:r>
      <w:r w:rsidR="00970E36">
        <w:t xml:space="preserve"> default, contending that there is no cogent reason why the </w:t>
      </w:r>
      <w:r w:rsidR="00215FFE">
        <w:t>d</w:t>
      </w:r>
      <w:r w:rsidR="00970E36">
        <w:t xml:space="preserve">efendant failed to </w:t>
      </w:r>
      <w:r w:rsidR="00215FFE">
        <w:t xml:space="preserve">enter </w:t>
      </w:r>
      <w:r w:rsidR="00EC0ED0">
        <w:t xml:space="preserve">an </w:t>
      </w:r>
      <w:r w:rsidR="00215FFE">
        <w:t>appearance to defend.</w:t>
      </w:r>
      <w:r w:rsidR="006B6E5E">
        <w:t xml:space="preserve"> The plaintiffs contend that </w:t>
      </w:r>
      <w:r w:rsidR="000D2D72">
        <w:t>the defendant’s wife (on whom the summons had been served) would have informed the defendant</w:t>
      </w:r>
      <w:r w:rsidR="00095E9B">
        <w:t xml:space="preserve"> thereof</w:t>
      </w:r>
      <w:r w:rsidR="000D2D72">
        <w:t>.</w:t>
      </w:r>
    </w:p>
    <w:p w14:paraId="3057C056" w14:textId="582A97B7" w:rsidR="0076004B" w:rsidRDefault="00C84FE9" w:rsidP="00C84FE9">
      <w:pPr>
        <w:pStyle w:val="JudgmentNumbered"/>
        <w:numPr>
          <w:ilvl w:val="0"/>
          <w:numId w:val="0"/>
        </w:numPr>
        <w:ind w:left="1134" w:hanging="567"/>
      </w:pPr>
      <w:r>
        <w:t>c.</w:t>
      </w:r>
      <w:r>
        <w:tab/>
      </w:r>
      <w:r w:rsidR="0076004B">
        <w:t>The plaintiff denied any agreement between the plaintiff’s attorney and the defendant to suspend the proceedings and, in any event, contended that no agreement has been reduced to writing and signed on behalf of both parties as is required by the so-called “non-variation clause” (clause 22.6 of the Instalment Sale Agreement).</w:t>
      </w:r>
    </w:p>
    <w:p w14:paraId="14E85519" w14:textId="488CAF36" w:rsidR="002866E2" w:rsidRDefault="00C84FE9" w:rsidP="00C84FE9">
      <w:pPr>
        <w:pStyle w:val="JudgmentNumbered"/>
        <w:numPr>
          <w:ilvl w:val="0"/>
          <w:numId w:val="0"/>
        </w:numPr>
        <w:ind w:left="1134" w:hanging="567"/>
      </w:pPr>
      <w:r>
        <w:t>d.</w:t>
      </w:r>
      <w:r>
        <w:tab/>
      </w:r>
      <w:r w:rsidR="000F5EDB">
        <w:t>A</w:t>
      </w:r>
      <w:r w:rsidR="00946EC9">
        <w:t xml:space="preserve">s </w:t>
      </w:r>
      <w:r w:rsidR="00EC0ED0">
        <w:t>of</w:t>
      </w:r>
      <w:r w:rsidR="00946EC9">
        <w:t xml:space="preserve"> 17 January 2022</w:t>
      </w:r>
      <w:r w:rsidR="00EC0ED0">
        <w:t>,</w:t>
      </w:r>
      <w:r w:rsidR="00E85091">
        <w:t xml:space="preserve"> the </w:t>
      </w:r>
      <w:r w:rsidR="006B24C9">
        <w:t>defendant</w:t>
      </w:r>
      <w:r w:rsidR="00002ABF">
        <w:t xml:space="preserve">’s </w:t>
      </w:r>
      <w:r w:rsidR="00E85091">
        <w:t>arrears amounted to R 20</w:t>
      </w:r>
      <w:r w:rsidR="00F531EB">
        <w:t>,</w:t>
      </w:r>
      <w:r w:rsidR="00E85091">
        <w:t>612.94</w:t>
      </w:r>
      <w:r w:rsidR="00AD6B7A">
        <w:t>,</w:t>
      </w:r>
      <w:r w:rsidR="00F531EB">
        <w:t xml:space="preserve"> with an outstanding balance of R106,947.34</w:t>
      </w:r>
      <w:r w:rsidR="003B06A9">
        <w:t>.</w:t>
      </w:r>
      <w:r w:rsidR="008A6C3F">
        <w:t xml:space="preserve"> </w:t>
      </w:r>
    </w:p>
    <w:p w14:paraId="61EA99C4" w14:textId="01FFAC96" w:rsidR="00C30378" w:rsidRDefault="00C84FE9" w:rsidP="00C84FE9">
      <w:pPr>
        <w:pStyle w:val="JudgmentNumbered"/>
        <w:numPr>
          <w:ilvl w:val="0"/>
          <w:numId w:val="0"/>
        </w:numPr>
        <w:ind w:left="1134" w:hanging="567"/>
      </w:pPr>
      <w:r>
        <w:t>e.</w:t>
      </w:r>
      <w:r>
        <w:tab/>
      </w:r>
      <w:r w:rsidR="00C30378">
        <w:t>The plaintiff</w:t>
      </w:r>
      <w:r w:rsidR="00701F4A">
        <w:t>s</w:t>
      </w:r>
      <w:r w:rsidR="00C30378">
        <w:t xml:space="preserve"> </w:t>
      </w:r>
      <w:r w:rsidR="004B330B">
        <w:t xml:space="preserve">contended that it was not </w:t>
      </w:r>
      <w:r w:rsidR="00C30378">
        <w:t>required</w:t>
      </w:r>
      <w:r w:rsidR="007F3DD3">
        <w:t>,</w:t>
      </w:r>
      <w:r w:rsidR="00701F4A">
        <w:t xml:space="preserve"> as a matter of law</w:t>
      </w:r>
      <w:r w:rsidR="007F3DD3">
        <w:t>,</w:t>
      </w:r>
      <w:r w:rsidR="00027C91">
        <w:t xml:space="preserve"> to bring the section 129</w:t>
      </w:r>
      <w:r w:rsidR="00437BF4" w:rsidRPr="00C305BA">
        <w:rPr>
          <w:bCs/>
        </w:rPr>
        <w:t>(1)(b)(i)</w:t>
      </w:r>
      <w:r w:rsidR="00027C91">
        <w:t xml:space="preserve"> notice</w:t>
      </w:r>
      <w:r w:rsidR="00701F4A">
        <w:t xml:space="preserve"> to the subjective </w:t>
      </w:r>
      <w:r w:rsidR="00DB5BAE">
        <w:t>knowledge</w:t>
      </w:r>
      <w:r w:rsidR="00701F4A">
        <w:t xml:space="preserve"> of the defendant.</w:t>
      </w:r>
    </w:p>
    <w:p w14:paraId="761CF934" w14:textId="6C793C00" w:rsidR="00021FED" w:rsidRDefault="00C84FE9" w:rsidP="00C84FE9">
      <w:pPr>
        <w:pStyle w:val="JudgmentNumbered"/>
        <w:numPr>
          <w:ilvl w:val="0"/>
          <w:numId w:val="0"/>
        </w:numPr>
        <w:ind w:left="567" w:hanging="567"/>
      </w:pPr>
      <w:r>
        <w:t>[14]</w:t>
      </w:r>
      <w:r>
        <w:tab/>
      </w:r>
      <w:r w:rsidR="004B33B8">
        <w:t>The plaintiffs accordingly seek an order dismissing the application with costs.</w:t>
      </w:r>
    </w:p>
    <w:p w14:paraId="08367CFA" w14:textId="77777777" w:rsidR="00E260C2" w:rsidRPr="00E3543E" w:rsidRDefault="00E260C2" w:rsidP="00E260C2">
      <w:pPr>
        <w:pStyle w:val="JudgmentHeading"/>
      </w:pPr>
      <w:r>
        <w:t>The Issues</w:t>
      </w:r>
    </w:p>
    <w:p w14:paraId="2D652643" w14:textId="641AA001" w:rsidR="00E260C2" w:rsidRPr="00896E7A" w:rsidRDefault="00C84FE9" w:rsidP="00C84FE9">
      <w:pPr>
        <w:pStyle w:val="JudgmentNumbered"/>
        <w:numPr>
          <w:ilvl w:val="0"/>
          <w:numId w:val="0"/>
        </w:numPr>
        <w:ind w:left="567" w:hanging="567"/>
      </w:pPr>
      <w:r w:rsidRPr="00896E7A">
        <w:t>[15]</w:t>
      </w:r>
      <w:r w:rsidRPr="00896E7A">
        <w:tab/>
      </w:r>
      <w:r w:rsidR="00B6022B">
        <w:t>According to the papers exchanged</w:t>
      </w:r>
      <w:r w:rsidR="00AE6282">
        <w:t>, the main disputes as formulated by the parties are</w:t>
      </w:r>
      <w:r w:rsidR="00AE6282">
        <w:rPr>
          <w:b/>
        </w:rPr>
        <w:t xml:space="preserve"> first</w:t>
      </w:r>
      <w:r w:rsidR="00AE6282">
        <w:t xml:space="preserve"> whether the defendant was in wilful default</w:t>
      </w:r>
      <w:r w:rsidR="00003803">
        <w:t>;</w:t>
      </w:r>
      <w:r w:rsidR="00003803">
        <w:rPr>
          <w:b/>
        </w:rPr>
        <w:t xml:space="preserve"> second</w:t>
      </w:r>
      <w:r w:rsidR="00003803" w:rsidRPr="00C305BA">
        <w:rPr>
          <w:bCs/>
        </w:rPr>
        <w:t xml:space="preserve"> whether the plaintiffs failed to satisfy the requirements of section 129</w:t>
      </w:r>
      <w:r w:rsidR="00633419" w:rsidRPr="00C305BA">
        <w:rPr>
          <w:bCs/>
        </w:rPr>
        <w:t>(1)(</w:t>
      </w:r>
      <w:r w:rsidR="00CD0D2D" w:rsidRPr="00C305BA">
        <w:rPr>
          <w:bCs/>
        </w:rPr>
        <w:t>b)(i) of the NCA</w:t>
      </w:r>
      <w:r w:rsidR="008D4121">
        <w:rPr>
          <w:bCs/>
        </w:rPr>
        <w:t xml:space="preserve">, and the failure to have issued a demand in terms of clause 13 of the </w:t>
      </w:r>
      <w:r w:rsidR="004A0CAC">
        <w:rPr>
          <w:bCs/>
        </w:rPr>
        <w:t xml:space="preserve">Instalment Sale </w:t>
      </w:r>
      <w:r w:rsidR="004A0CAC">
        <w:rPr>
          <w:bCs/>
        </w:rPr>
        <w:lastRenderedPageBreak/>
        <w:t>Agreement</w:t>
      </w:r>
      <w:r w:rsidR="00CD0D2D" w:rsidRPr="00C305BA">
        <w:rPr>
          <w:bCs/>
        </w:rPr>
        <w:t xml:space="preserve">; </w:t>
      </w:r>
      <w:r w:rsidR="00164C25" w:rsidRPr="00C305BA">
        <w:rPr>
          <w:bCs/>
        </w:rPr>
        <w:t>and</w:t>
      </w:r>
      <w:r w:rsidR="00CD0D2D" w:rsidRPr="00C305BA">
        <w:rPr>
          <w:bCs/>
        </w:rPr>
        <w:t xml:space="preserve"> </w:t>
      </w:r>
      <w:r w:rsidR="00CD0D2D" w:rsidRPr="000576A8">
        <w:rPr>
          <w:b/>
        </w:rPr>
        <w:t>third</w:t>
      </w:r>
      <w:r w:rsidR="00CD0D2D" w:rsidRPr="00C305BA">
        <w:rPr>
          <w:bCs/>
        </w:rPr>
        <w:t>, whether the parties concluded</w:t>
      </w:r>
      <w:r w:rsidR="000576A8">
        <w:rPr>
          <w:bCs/>
        </w:rPr>
        <w:t xml:space="preserve"> an</w:t>
      </w:r>
      <w:r w:rsidR="00766BBB">
        <w:rPr>
          <w:b/>
        </w:rPr>
        <w:t xml:space="preserve"> </w:t>
      </w:r>
      <w:r w:rsidR="00766BBB" w:rsidRPr="00C305BA">
        <w:rPr>
          <w:bCs/>
        </w:rPr>
        <w:t>enforceable agreement for plaintiff to suspend its legal action</w:t>
      </w:r>
      <w:r w:rsidR="00E67EBE">
        <w:rPr>
          <w:bCs/>
        </w:rPr>
        <w:t xml:space="preserve"> pending the resumption of </w:t>
      </w:r>
      <w:r w:rsidR="004048F0">
        <w:rPr>
          <w:bCs/>
        </w:rPr>
        <w:t>monthly</w:t>
      </w:r>
      <w:r w:rsidR="002D0E22">
        <w:rPr>
          <w:bCs/>
        </w:rPr>
        <w:t xml:space="preserve"> instalments</w:t>
      </w:r>
      <w:r w:rsidR="00C305BA" w:rsidRPr="00C305BA">
        <w:rPr>
          <w:bCs/>
        </w:rPr>
        <w:t xml:space="preserve"> (and not to seek and obtain default judgement against the defendant)</w:t>
      </w:r>
      <w:r w:rsidR="00783057">
        <w:rPr>
          <w:bCs/>
        </w:rPr>
        <w:t>.</w:t>
      </w:r>
    </w:p>
    <w:p w14:paraId="1397FF0D" w14:textId="05CEA849" w:rsidR="00896E7A" w:rsidRDefault="00C84FE9" w:rsidP="00C84FE9">
      <w:pPr>
        <w:pStyle w:val="JudgmentNumbered"/>
        <w:numPr>
          <w:ilvl w:val="0"/>
          <w:numId w:val="0"/>
        </w:numPr>
        <w:ind w:left="567" w:hanging="567"/>
      </w:pPr>
      <w:r>
        <w:t>[16]</w:t>
      </w:r>
      <w:r>
        <w:tab/>
      </w:r>
      <w:r w:rsidR="00896E7A">
        <w:t>During oral argument, I raised the following issue with Mr Peter, the plaintiffs’ counsel: Given that the plaintiffs’ cause of action was based on an Instalment Sale Agreement</w:t>
      </w:r>
      <w:r w:rsidR="00BE4AC7">
        <w:t xml:space="preserve"> concluded between Volkswagen and the defendant,</w:t>
      </w:r>
      <w:r w:rsidR="00896E7A">
        <w:t xml:space="preserve"> </w:t>
      </w:r>
      <w:r w:rsidR="00B165C0">
        <w:t>and</w:t>
      </w:r>
      <w:r w:rsidR="0010226B">
        <w:t xml:space="preserve"> given</w:t>
      </w:r>
      <w:r w:rsidR="00B165C0">
        <w:t xml:space="preserve"> that, </w:t>
      </w:r>
      <w:r w:rsidR="002E5E57">
        <w:t xml:space="preserve">on the plaintiffs’ pleaded case, the said agreement </w:t>
      </w:r>
      <w:r w:rsidR="00896E7A">
        <w:t>is subject to the provisions of the NCA, whether or not it was required of the plaintiffs to allege in their particulars of claim that Volkswagen</w:t>
      </w:r>
      <w:r w:rsidR="001773B2">
        <w:t xml:space="preserve"> was</w:t>
      </w:r>
      <w:r w:rsidR="00896E7A">
        <w:t xml:space="preserve"> a registered credit provider</w:t>
      </w:r>
      <w:r w:rsidR="001773B2">
        <w:t xml:space="preserve"> as at the conclusion of the </w:t>
      </w:r>
      <w:r w:rsidR="00081977">
        <w:t>said agreement?</w:t>
      </w:r>
      <w:r w:rsidR="00896E7A">
        <w:t xml:space="preserve"> If so, whether the</w:t>
      </w:r>
      <w:r w:rsidR="00081977">
        <w:t xml:space="preserve"> plaintiffs’</w:t>
      </w:r>
      <w:r w:rsidR="00896E7A">
        <w:t xml:space="preserve"> failure to have made an </w:t>
      </w:r>
      <w:r w:rsidR="00A97D01">
        <w:t>allegation</w:t>
      </w:r>
      <w:r w:rsidR="00BD7096">
        <w:t>(</w:t>
      </w:r>
      <w:r w:rsidR="00A97D01">
        <w:t>s</w:t>
      </w:r>
      <w:r w:rsidR="00BD7096">
        <w:t>)</w:t>
      </w:r>
      <w:r w:rsidR="00896E7A">
        <w:t xml:space="preserve"> to this effect provides a basis to rescind the judgment as having been erroneously sought and granted as envisaged by </w:t>
      </w:r>
      <w:r w:rsidR="0074271A">
        <w:t>Uniform Rule</w:t>
      </w:r>
      <w:r w:rsidR="00896E7A">
        <w:t xml:space="preserve"> 42(1)(a) of the Uniform Rules of Court. Mr Peter assisted the court by providing supplementary </w:t>
      </w:r>
      <w:r w:rsidR="00850625">
        <w:t>submissions</w:t>
      </w:r>
      <w:r w:rsidR="00896E7A">
        <w:t xml:space="preserve"> on this issue</w:t>
      </w:r>
      <w:r w:rsidR="00764F41">
        <w:t>, to which I shall refer more fully below</w:t>
      </w:r>
      <w:r w:rsidR="00896E7A">
        <w:t xml:space="preserve">. </w:t>
      </w:r>
    </w:p>
    <w:p w14:paraId="2529A7DE" w14:textId="0DA81F8A" w:rsidR="00FA08B0" w:rsidRDefault="00C84FE9" w:rsidP="00C84FE9">
      <w:pPr>
        <w:pStyle w:val="JudgmentNumbered"/>
        <w:numPr>
          <w:ilvl w:val="0"/>
          <w:numId w:val="0"/>
        </w:numPr>
        <w:ind w:left="567" w:hanging="567"/>
      </w:pPr>
      <w:r>
        <w:t>[17]</w:t>
      </w:r>
      <w:r>
        <w:tab/>
      </w:r>
      <w:r w:rsidR="00C554E2">
        <w:t>It is trite that once a court holds that an order</w:t>
      </w:r>
      <w:r w:rsidR="005F7C03">
        <w:t xml:space="preserve"> or judgement was erroneously sought or granted, it should</w:t>
      </w:r>
      <w:r w:rsidR="00486E77">
        <w:t>,</w:t>
      </w:r>
      <w:r w:rsidR="005F7C03">
        <w:t xml:space="preserve"> without further consideration</w:t>
      </w:r>
      <w:r w:rsidR="007E08AA">
        <w:t>,</w:t>
      </w:r>
      <w:r w:rsidR="005F7C03">
        <w:t xml:space="preserve"> rescind or vary the order.</w:t>
      </w:r>
      <w:r w:rsidR="00C34BF5">
        <w:rPr>
          <w:rStyle w:val="FootnoteReference"/>
        </w:rPr>
        <w:footnoteReference w:id="2"/>
      </w:r>
      <w:r w:rsidR="00FA08B0">
        <w:t xml:space="preserve"> For </w:t>
      </w:r>
      <w:r w:rsidR="00BF570D">
        <w:t>this reason</w:t>
      </w:r>
      <w:r w:rsidR="0023289B">
        <w:t>, I shall first deal with the</w:t>
      </w:r>
      <w:r w:rsidR="007C1848">
        <w:t xml:space="preserve"> question </w:t>
      </w:r>
      <w:r w:rsidR="007E08AA">
        <w:t xml:space="preserve">of </w:t>
      </w:r>
      <w:r w:rsidR="007C1848">
        <w:t>whether</w:t>
      </w:r>
      <w:r w:rsidR="000E47B4">
        <w:t xml:space="preserve"> the default judgment ought to be rescinded in view of</w:t>
      </w:r>
      <w:r w:rsidR="007B75D8">
        <w:t xml:space="preserve"> the absence of an allegation</w:t>
      </w:r>
      <w:r w:rsidR="0004779E">
        <w:t xml:space="preserve"> that </w:t>
      </w:r>
      <w:r w:rsidR="009E5B5C">
        <w:t>Volkswagen was a registered credit provider</w:t>
      </w:r>
      <w:r w:rsidR="00A014F5">
        <w:t xml:space="preserve"> </w:t>
      </w:r>
      <w:r w:rsidR="0034311D">
        <w:t>as envisaged by the NCA</w:t>
      </w:r>
      <w:r w:rsidR="0003551E">
        <w:t>.</w:t>
      </w:r>
    </w:p>
    <w:p w14:paraId="3FDABFA1" w14:textId="2E3B5A80" w:rsidR="006E336D" w:rsidRDefault="00662247" w:rsidP="00662247">
      <w:pPr>
        <w:pStyle w:val="JudgmentHeading"/>
      </w:pPr>
      <w:r>
        <w:t>Was the application brought within a reasonable period?</w:t>
      </w:r>
    </w:p>
    <w:p w14:paraId="79BA3EAF" w14:textId="651910D8" w:rsidR="00662247" w:rsidRDefault="00C84FE9" w:rsidP="00C84FE9">
      <w:pPr>
        <w:pStyle w:val="JudgmentNumbered"/>
        <w:numPr>
          <w:ilvl w:val="0"/>
          <w:numId w:val="0"/>
        </w:numPr>
        <w:ind w:left="567" w:hanging="567"/>
      </w:pPr>
      <w:r>
        <w:t>[18]</w:t>
      </w:r>
      <w:r>
        <w:tab/>
      </w:r>
      <w:r w:rsidR="00650E3F" w:rsidRPr="008270D5">
        <w:t xml:space="preserve">An application for rescission brought under </w:t>
      </w:r>
      <w:r w:rsidR="0074271A">
        <w:t>Uniform Rule</w:t>
      </w:r>
      <w:r w:rsidR="00650E3F" w:rsidRPr="008270D5">
        <w:t xml:space="preserve"> 42 must be brought within a reasonable</w:t>
      </w:r>
      <w:r w:rsidR="004678B3">
        <w:t xml:space="preserve"> period of</w:t>
      </w:r>
      <w:r w:rsidR="00650E3F" w:rsidRPr="008270D5">
        <w:t xml:space="preserve"> time</w:t>
      </w:r>
      <w:r w:rsidR="003F45F8">
        <w:t>.</w:t>
      </w:r>
      <w:r w:rsidR="003F45F8">
        <w:rPr>
          <w:rStyle w:val="FootnoteReference"/>
        </w:rPr>
        <w:footnoteReference w:id="3"/>
      </w:r>
    </w:p>
    <w:p w14:paraId="40FDEAC4" w14:textId="21B2D81A" w:rsidR="00447D42" w:rsidRDefault="00C84FE9" w:rsidP="00C84FE9">
      <w:pPr>
        <w:pStyle w:val="JudgmentNumbered"/>
        <w:numPr>
          <w:ilvl w:val="0"/>
          <w:numId w:val="0"/>
        </w:numPr>
        <w:ind w:left="567" w:hanging="567"/>
      </w:pPr>
      <w:r>
        <w:t>[19]</w:t>
      </w:r>
      <w:r>
        <w:tab/>
      </w:r>
      <w:r w:rsidR="00DC5298">
        <w:t xml:space="preserve">As stated above, the defendant stated that he had a meeting with </w:t>
      </w:r>
      <w:r w:rsidR="00587DD8">
        <w:t xml:space="preserve">the </w:t>
      </w:r>
      <w:r w:rsidR="00DC5298">
        <w:t>plaintiffs’ attorney</w:t>
      </w:r>
      <w:r w:rsidR="009F5DD4">
        <w:t xml:space="preserve">, at which occasion an agreement was reached to suspend proceedings. </w:t>
      </w:r>
      <w:r w:rsidR="009F5DD4">
        <w:lastRenderedPageBreak/>
        <w:t>The</w:t>
      </w:r>
      <w:r w:rsidR="00E54EB9">
        <w:t xml:space="preserve"> plaintiffs denied </w:t>
      </w:r>
      <w:r w:rsidR="007C4210">
        <w:t xml:space="preserve">the meeting and the conclusion of any such agreement and, in any event, </w:t>
      </w:r>
      <w:r w:rsidR="00ED6AEB">
        <w:t>contended that even if the alleged suspension agreement had been</w:t>
      </w:r>
      <w:r w:rsidR="008D5BAB">
        <w:t xml:space="preserve"> concluded, it would not ha</w:t>
      </w:r>
      <w:r w:rsidR="00F457D8">
        <w:t xml:space="preserve">ve been </w:t>
      </w:r>
      <w:r w:rsidR="00C63C53">
        <w:t>of any</w:t>
      </w:r>
      <w:r w:rsidR="007D08FC">
        <w:t xml:space="preserve"> legal</w:t>
      </w:r>
      <w:r w:rsidR="00C63C53">
        <w:t xml:space="preserve"> force </w:t>
      </w:r>
      <w:r w:rsidR="007D08FC">
        <w:t>or effect</w:t>
      </w:r>
      <w:r w:rsidR="00F457D8">
        <w:t xml:space="preserve"> by virtue of the non-variation clause in the Instalment Sale Agreement</w:t>
      </w:r>
      <w:r w:rsidR="00E54EB9">
        <w:t xml:space="preserve">. </w:t>
      </w:r>
    </w:p>
    <w:p w14:paraId="108E3A14" w14:textId="5D0EF3FB" w:rsidR="008900C5" w:rsidRDefault="00C84FE9" w:rsidP="00C84FE9">
      <w:pPr>
        <w:pStyle w:val="JudgmentNumbered"/>
        <w:numPr>
          <w:ilvl w:val="0"/>
          <w:numId w:val="0"/>
        </w:numPr>
        <w:ind w:left="567" w:hanging="567"/>
      </w:pPr>
      <w:r>
        <w:t>[20]</w:t>
      </w:r>
      <w:r>
        <w:tab/>
      </w:r>
      <w:r w:rsidR="00E54EB9">
        <w:t xml:space="preserve">Although details of the meeting are scant, </w:t>
      </w:r>
      <w:r w:rsidR="005C558C">
        <w:t xml:space="preserve">it cannot be found that the defendant’s version is </w:t>
      </w:r>
      <w:r w:rsidR="00DF7DD0">
        <w:t>patently false</w:t>
      </w:r>
      <w:r w:rsidR="00F00D9B">
        <w:t xml:space="preserve"> or that it lacks credence</w:t>
      </w:r>
      <w:r w:rsidR="00DF7DD0">
        <w:t>.</w:t>
      </w:r>
      <w:r w:rsidR="0022336E">
        <w:t xml:space="preserve"> </w:t>
      </w:r>
      <w:r w:rsidR="00FA5D6B">
        <w:t xml:space="preserve">Even if the </w:t>
      </w:r>
      <w:r w:rsidR="003814A2">
        <w:t>suspension agreement was unenforceable as contended for by the plaintiffs</w:t>
      </w:r>
      <w:r w:rsidR="0022336E">
        <w:t xml:space="preserve">, the events surrounding </w:t>
      </w:r>
      <w:r w:rsidR="000901F2">
        <w:t xml:space="preserve">the meeting and agreement (whether </w:t>
      </w:r>
      <w:r w:rsidR="0058324A">
        <w:t xml:space="preserve">of legal force or effect or not) </w:t>
      </w:r>
      <w:r w:rsidR="004825F8">
        <w:t xml:space="preserve">do </w:t>
      </w:r>
      <w:r w:rsidR="00587DD8">
        <w:t>explain</w:t>
      </w:r>
      <w:r w:rsidR="004825F8">
        <w:t xml:space="preserve"> the</w:t>
      </w:r>
      <w:r w:rsidR="00F8691F">
        <w:t xml:space="preserve"> defendant’s failure to have entered </w:t>
      </w:r>
      <w:r w:rsidR="00C723E1">
        <w:t xml:space="preserve">an </w:t>
      </w:r>
      <w:r w:rsidR="00F8691F">
        <w:t>appearance to defend the action.</w:t>
      </w:r>
      <w:r w:rsidR="00193994">
        <w:t xml:space="preserve"> </w:t>
      </w:r>
    </w:p>
    <w:p w14:paraId="49C4A5F6" w14:textId="68173311" w:rsidR="008900C5" w:rsidRDefault="00C84FE9" w:rsidP="00C84FE9">
      <w:pPr>
        <w:pStyle w:val="JudgmentNumbered"/>
        <w:numPr>
          <w:ilvl w:val="0"/>
          <w:numId w:val="0"/>
        </w:numPr>
        <w:ind w:left="567" w:hanging="567"/>
      </w:pPr>
      <w:r>
        <w:t>[21]</w:t>
      </w:r>
      <w:r>
        <w:tab/>
      </w:r>
      <w:r w:rsidR="00193994">
        <w:t xml:space="preserve">The plaintiffs do not dispute the date </w:t>
      </w:r>
      <w:r w:rsidR="004D23AD">
        <w:t xml:space="preserve">on which the defendant alleges that he </w:t>
      </w:r>
      <w:r w:rsidR="00EF278B">
        <w:t>had learnt of the judgment, i.e. 30 June 2022.</w:t>
      </w:r>
      <w:r w:rsidR="003C3E2A">
        <w:t xml:space="preserve"> </w:t>
      </w:r>
      <w:r w:rsidR="00DD37FE">
        <w:t xml:space="preserve">The </w:t>
      </w:r>
      <w:r w:rsidR="00017CDB">
        <w:t>rescission</w:t>
      </w:r>
      <w:r w:rsidR="00DD37FE">
        <w:t xml:space="preserve"> application was </w:t>
      </w:r>
      <w:r w:rsidR="005606C4">
        <w:t>delivered</w:t>
      </w:r>
      <w:r w:rsidR="00017CDB">
        <w:t xml:space="preserve"> </w:t>
      </w:r>
      <w:r w:rsidR="00900870">
        <w:t>some 18</w:t>
      </w:r>
      <w:r w:rsidR="005606C4">
        <w:t xml:space="preserve"> court days </w:t>
      </w:r>
      <w:r w:rsidR="00C723E1">
        <w:t>after that</w:t>
      </w:r>
      <w:r w:rsidR="00017CDB">
        <w:t>.</w:t>
      </w:r>
      <w:r w:rsidR="007B60D7">
        <w:t xml:space="preserve"> </w:t>
      </w:r>
    </w:p>
    <w:p w14:paraId="47AC5BA2" w14:textId="23009314" w:rsidR="009576C0" w:rsidRPr="00783057" w:rsidRDefault="00C84FE9" w:rsidP="00C84FE9">
      <w:pPr>
        <w:pStyle w:val="JudgmentNumbered"/>
        <w:numPr>
          <w:ilvl w:val="0"/>
          <w:numId w:val="0"/>
        </w:numPr>
        <w:ind w:left="567" w:hanging="567"/>
      </w:pPr>
      <w:r w:rsidRPr="00783057">
        <w:t>[22]</w:t>
      </w:r>
      <w:r w:rsidRPr="00783057">
        <w:tab/>
      </w:r>
      <w:r w:rsidR="00436DB6">
        <w:t>I</w:t>
      </w:r>
      <w:r w:rsidR="008900C5">
        <w:t>n view of the above, i</w:t>
      </w:r>
      <w:r w:rsidR="00436DB6">
        <w:t>t cannot be found that the rescission application was not brought within a reasonable period of time</w:t>
      </w:r>
      <w:r w:rsidR="00116542">
        <w:t>.</w:t>
      </w:r>
      <w:r w:rsidR="00DF7DD0">
        <w:t xml:space="preserve"> </w:t>
      </w:r>
    </w:p>
    <w:p w14:paraId="385A8B6C" w14:textId="3904ECB1" w:rsidR="008D75C9" w:rsidRDefault="009765BF" w:rsidP="00502B74">
      <w:pPr>
        <w:pStyle w:val="JudgmentHeading"/>
      </w:pPr>
      <w:r>
        <w:t xml:space="preserve">The </w:t>
      </w:r>
      <w:r w:rsidR="00CA3691">
        <w:t xml:space="preserve">requirement of registration as a </w:t>
      </w:r>
      <w:r w:rsidR="0063038E">
        <w:t>credit provider</w:t>
      </w:r>
    </w:p>
    <w:p w14:paraId="709A6FA7" w14:textId="2B20C3B4" w:rsidR="00C576A1" w:rsidRDefault="00C84FE9" w:rsidP="00C84FE9">
      <w:pPr>
        <w:pStyle w:val="JudgmentNumbered"/>
        <w:numPr>
          <w:ilvl w:val="0"/>
          <w:numId w:val="0"/>
        </w:numPr>
        <w:ind w:left="567" w:hanging="567"/>
      </w:pPr>
      <w:r>
        <w:t>[23]</w:t>
      </w:r>
      <w:r>
        <w:tab/>
      </w:r>
      <w:r w:rsidR="007A7B0E">
        <w:t xml:space="preserve">There are a multitude of statutes that require members of specific professions or trades to be registered with </w:t>
      </w:r>
      <w:r w:rsidR="00E41DD6">
        <w:t>the</w:t>
      </w:r>
      <w:r w:rsidR="00414BB8">
        <w:t>ir relevant</w:t>
      </w:r>
      <w:r w:rsidR="007A7B0E">
        <w:t xml:space="preserve"> regulatory body</w:t>
      </w:r>
      <w:r w:rsidR="00414BB8">
        <w:t xml:space="preserve">. Failure to be </w:t>
      </w:r>
      <w:r w:rsidR="00814ECB">
        <w:t>registered has various unwanted consequences</w:t>
      </w:r>
      <w:r w:rsidR="00500A93">
        <w:t>,</w:t>
      </w:r>
      <w:r w:rsidR="00814ECB">
        <w:t xml:space="preserve"> </w:t>
      </w:r>
      <w:r w:rsidR="0062763C">
        <w:t>includin</w:t>
      </w:r>
      <w:r w:rsidR="00500A93">
        <w:t>g</w:t>
      </w:r>
      <w:r w:rsidR="0062763C">
        <w:t xml:space="preserve"> that </w:t>
      </w:r>
      <w:r w:rsidR="000849A5">
        <w:t>the perfo</w:t>
      </w:r>
      <w:r w:rsidR="00D4279C">
        <w:t>r</w:t>
      </w:r>
      <w:r w:rsidR="002F4CEC">
        <w:t xml:space="preserve">mance </w:t>
      </w:r>
      <w:r w:rsidR="00BA7F2B">
        <w:t xml:space="preserve">of </w:t>
      </w:r>
      <w:r w:rsidR="002F4CEC">
        <w:t>specific conduct is prohibited,</w:t>
      </w:r>
      <w:r w:rsidR="007A7B0E">
        <w:t xml:space="preserve"> a contract concluded by h</w:t>
      </w:r>
      <w:r w:rsidR="00F602AE">
        <w:t>im</w:t>
      </w:r>
      <w:r w:rsidR="007A7B0E">
        <w:t>/</w:t>
      </w:r>
      <w:r w:rsidR="00F602AE">
        <w:t>her</w:t>
      </w:r>
      <w:r w:rsidR="007A7B0E">
        <w:t>/it would be unlawful, void or criminalised</w:t>
      </w:r>
      <w:r w:rsidR="00A55698">
        <w:t xml:space="preserve">, or </w:t>
      </w:r>
      <w:r w:rsidR="0020015E">
        <w:t xml:space="preserve">disentitling </w:t>
      </w:r>
      <w:r w:rsidR="0084585D">
        <w:t xml:space="preserve">such professional or tradesperson to claim </w:t>
      </w:r>
      <w:r w:rsidR="00D56CB1">
        <w:t>remuneration</w:t>
      </w:r>
      <w:r w:rsidR="007A7B0E">
        <w:t>.</w:t>
      </w:r>
      <w:r w:rsidR="00E946FD">
        <w:t xml:space="preserve"> </w:t>
      </w:r>
      <w:r w:rsidR="005A24AC">
        <w:t>Amongst these by way of example resort</w:t>
      </w:r>
      <w:r w:rsidR="00420055">
        <w:t xml:space="preserve"> </w:t>
      </w:r>
      <w:r w:rsidR="009A1972">
        <w:t>architects</w:t>
      </w:r>
      <w:r w:rsidR="00C52711">
        <w:rPr>
          <w:rStyle w:val="FootnoteReference"/>
        </w:rPr>
        <w:footnoteReference w:id="4"/>
      </w:r>
      <w:r w:rsidR="009A1972">
        <w:t xml:space="preserve">, </w:t>
      </w:r>
      <w:r w:rsidR="009A1972">
        <w:lastRenderedPageBreak/>
        <w:t>estate agents</w:t>
      </w:r>
      <w:r w:rsidR="002A5DB1">
        <w:t xml:space="preserve"> (</w:t>
      </w:r>
      <w:r w:rsidR="00D820C6">
        <w:t>property practitioners)</w:t>
      </w:r>
      <w:r w:rsidR="00E037D4">
        <w:t xml:space="preserve"> who are required to hold a fidelity fund certificate</w:t>
      </w:r>
      <w:r w:rsidR="00D820C6">
        <w:rPr>
          <w:rStyle w:val="FootnoteReference"/>
        </w:rPr>
        <w:footnoteReference w:id="5"/>
      </w:r>
      <w:r w:rsidR="00F229D5">
        <w:t xml:space="preserve">, </w:t>
      </w:r>
      <w:r w:rsidR="00C56CA2">
        <w:t>legal practitioners</w:t>
      </w:r>
      <w:r w:rsidR="00F0158C">
        <w:rPr>
          <w:rStyle w:val="FootnoteReference"/>
        </w:rPr>
        <w:footnoteReference w:id="6"/>
      </w:r>
      <w:r w:rsidR="00FD2AB9">
        <w:t>,</w:t>
      </w:r>
      <w:r w:rsidR="00CA7044">
        <w:t xml:space="preserve"> home</w:t>
      </w:r>
      <w:r w:rsidR="00FD2AB9">
        <w:t xml:space="preserve"> builders</w:t>
      </w:r>
      <w:r w:rsidR="00CA7044">
        <w:rPr>
          <w:rStyle w:val="FootnoteReference"/>
        </w:rPr>
        <w:footnoteReference w:id="7"/>
      </w:r>
      <w:r w:rsidR="00CA7044">
        <w:t xml:space="preserve">, </w:t>
      </w:r>
      <w:r w:rsidR="001D647E">
        <w:t xml:space="preserve">and </w:t>
      </w:r>
      <w:r w:rsidR="00530E9D">
        <w:t>many others</w:t>
      </w:r>
      <w:r w:rsidR="00CA7044">
        <w:t>.</w:t>
      </w:r>
    </w:p>
    <w:p w14:paraId="63DFB151" w14:textId="4D6B5ECD" w:rsidR="00C40A5E" w:rsidRPr="00C40A5E" w:rsidRDefault="00C84FE9" w:rsidP="00C84FE9">
      <w:pPr>
        <w:pStyle w:val="JudgmentNumbered"/>
        <w:numPr>
          <w:ilvl w:val="0"/>
          <w:numId w:val="0"/>
        </w:numPr>
        <w:ind w:left="567" w:hanging="567"/>
      </w:pPr>
      <w:r w:rsidRPr="00C40A5E">
        <w:t>[24]</w:t>
      </w:r>
      <w:r w:rsidRPr="00C40A5E">
        <w:tab/>
      </w:r>
      <w:r w:rsidR="00BB668C">
        <w:t>Various sections</w:t>
      </w:r>
      <w:r w:rsidR="00DD2910">
        <w:t xml:space="preserve"> of the NCA</w:t>
      </w:r>
      <w:r w:rsidR="00CC74BF">
        <w:t xml:space="preserve"> deal with the r</w:t>
      </w:r>
      <w:r w:rsidR="00CC74BF" w:rsidRPr="007533CA">
        <w:t>egistration of credit providers</w:t>
      </w:r>
      <w:r w:rsidR="005201DD">
        <w:t xml:space="preserve">. </w:t>
      </w:r>
      <w:r w:rsidR="00047281">
        <w:t>I</w:t>
      </w:r>
      <w:r w:rsidR="00487288">
        <w:t>n section 40(1)</w:t>
      </w:r>
      <w:r w:rsidR="00AE5AB1">
        <w:t xml:space="preserve">, </w:t>
      </w:r>
      <w:r w:rsidR="00C06F8E">
        <w:t>the NCA</w:t>
      </w:r>
      <w:r w:rsidR="00047281">
        <w:t xml:space="preserve"> obliges credit provide</w:t>
      </w:r>
      <w:r w:rsidR="00F97E02">
        <w:t>rs to apply for registration</w:t>
      </w:r>
      <w:r w:rsidR="006409AA">
        <w:rPr>
          <w:rStyle w:val="FootnoteReference"/>
        </w:rPr>
        <w:footnoteReference w:id="8"/>
      </w:r>
      <w:r w:rsidR="00AE5AB1">
        <w:t>. Section 40(</w:t>
      </w:r>
      <w:r w:rsidR="00A65A18">
        <w:t>3</w:t>
      </w:r>
      <w:r w:rsidR="00AE5AB1">
        <w:t>)</w:t>
      </w:r>
      <w:r w:rsidR="00ED152C">
        <w:t xml:space="preserve"> prohibits a person </w:t>
      </w:r>
      <w:r w:rsidR="00571EA0">
        <w:t>obliged to be registered</w:t>
      </w:r>
      <w:r w:rsidR="00446EF8">
        <w:t xml:space="preserve"> under subsection 40(1)</w:t>
      </w:r>
      <w:r w:rsidR="00934671">
        <w:t xml:space="preserve"> but who failed to register</w:t>
      </w:r>
      <w:r w:rsidR="00571EA0">
        <w:t xml:space="preserve"> from offering</w:t>
      </w:r>
      <w:r w:rsidR="00446EF8">
        <w:t>, making available</w:t>
      </w:r>
      <w:r w:rsidR="00571EA0">
        <w:t xml:space="preserve"> or extending credit</w:t>
      </w:r>
      <w:r w:rsidR="00244A2A">
        <w:rPr>
          <w:rStyle w:val="FootnoteReference"/>
        </w:rPr>
        <w:footnoteReference w:id="9"/>
      </w:r>
      <w:r w:rsidR="00D95580">
        <w:t xml:space="preserve">. </w:t>
      </w:r>
      <w:r w:rsidR="005A50AA">
        <w:t>Section</w:t>
      </w:r>
      <w:r w:rsidR="00393B95">
        <w:t xml:space="preserve"> 40(4)</w:t>
      </w:r>
      <w:r w:rsidR="002E491B">
        <w:rPr>
          <w:rStyle w:val="FootnoteReference"/>
        </w:rPr>
        <w:footnoteReference w:id="10"/>
      </w:r>
      <w:r w:rsidR="00CC0CC4">
        <w:t xml:space="preserve"> provides that a credit agreement concluded </w:t>
      </w:r>
      <w:r w:rsidR="001034C0">
        <w:t>by a</w:t>
      </w:r>
      <w:r w:rsidR="00C7695C">
        <w:t>n unregistered</w:t>
      </w:r>
      <w:r w:rsidR="001034C0">
        <w:t xml:space="preserve"> credit provider</w:t>
      </w:r>
      <w:r w:rsidR="001419E7">
        <w:t xml:space="preserve"> obliged</w:t>
      </w:r>
      <w:r w:rsidR="00C7695C">
        <w:t xml:space="preserve">, despite his/her/its obligation </w:t>
      </w:r>
      <w:r w:rsidR="006343AB">
        <w:t>to be registered,</w:t>
      </w:r>
      <w:r w:rsidR="00292A0E">
        <w:t xml:space="preserve"> shall be</w:t>
      </w:r>
      <w:r w:rsidR="002E13C5">
        <w:t xml:space="preserve"> unlawful and</w:t>
      </w:r>
      <w:r w:rsidR="00292A0E" w:rsidRPr="00312296">
        <w:t xml:space="preserve"> void to the extent provided for in section 89</w:t>
      </w:r>
      <w:r w:rsidR="00312296" w:rsidRPr="00312296">
        <w:t>.</w:t>
      </w:r>
      <w:r w:rsidR="00473E84">
        <w:t xml:space="preserve"> </w:t>
      </w:r>
      <w:r w:rsidR="00B50545">
        <w:t xml:space="preserve">Under section </w:t>
      </w:r>
      <w:r w:rsidR="002A23A0">
        <w:t>89(2)</w:t>
      </w:r>
      <w:r w:rsidR="001676D0">
        <w:t>(d)</w:t>
      </w:r>
      <w:r w:rsidR="002A23A0">
        <w:t>, u</w:t>
      </w:r>
      <w:r w:rsidR="00251A2B">
        <w:t xml:space="preserve">nless excluded </w:t>
      </w:r>
      <w:r w:rsidR="0072331B">
        <w:t xml:space="preserve">under section 89(4)(a) </w:t>
      </w:r>
      <w:r w:rsidR="00693411">
        <w:t>or</w:t>
      </w:r>
      <w:r w:rsidR="0072331B">
        <w:t xml:space="preserve"> (b)</w:t>
      </w:r>
      <w:r w:rsidR="00693411">
        <w:rPr>
          <w:rStyle w:val="FootnoteReference"/>
        </w:rPr>
        <w:footnoteReference w:id="11"/>
      </w:r>
      <w:r w:rsidR="00251A2B">
        <w:t xml:space="preserve">, </w:t>
      </w:r>
      <w:r w:rsidR="00F96D0E">
        <w:t>a credit provider must</w:t>
      </w:r>
      <w:r w:rsidR="00251A2B">
        <w:t xml:space="preserve"> be regis</w:t>
      </w:r>
      <w:r w:rsidR="00A954A8">
        <w:t>t</w:t>
      </w:r>
      <w:r w:rsidR="00251A2B">
        <w:t>ered at the time of conclu</w:t>
      </w:r>
      <w:r w:rsidR="00CE3472">
        <w:t>ding the credit agreement</w:t>
      </w:r>
      <w:r w:rsidR="00166CB9">
        <w:t xml:space="preserve">, failing which </w:t>
      </w:r>
      <w:r w:rsidR="00571AC8">
        <w:t xml:space="preserve">that credit agreement shall be </w:t>
      </w:r>
      <w:r w:rsidR="001F7AFE">
        <w:t>unlawful</w:t>
      </w:r>
      <w:r w:rsidR="00042AA2">
        <w:rPr>
          <w:rStyle w:val="FootnoteReference"/>
        </w:rPr>
        <w:footnoteReference w:id="12"/>
      </w:r>
      <w:r w:rsidR="0004710F">
        <w:t xml:space="preserve"> and</w:t>
      </w:r>
      <w:r w:rsidR="00213721">
        <w:t xml:space="preserve"> the credit provider’s</w:t>
      </w:r>
      <w:r w:rsidR="007A2A1F">
        <w:t xml:space="preserve"> conduct</w:t>
      </w:r>
      <w:r w:rsidR="0004710F">
        <w:t xml:space="preserve"> constitutes an offence</w:t>
      </w:r>
      <w:r w:rsidR="009A6BF7">
        <w:rPr>
          <w:rStyle w:val="FootnoteReference"/>
        </w:rPr>
        <w:footnoteReference w:id="13"/>
      </w:r>
      <w:r w:rsidR="00CE3472">
        <w:t>.</w:t>
      </w:r>
      <w:r w:rsidR="00F229FF">
        <w:t xml:space="preserve"> </w:t>
      </w:r>
      <w:r w:rsidR="007D5F89">
        <w:t xml:space="preserve">Section 52(3) provides that </w:t>
      </w:r>
      <w:r w:rsidR="001E34B4">
        <w:t>a</w:t>
      </w:r>
      <w:r w:rsidR="001E34B4" w:rsidRPr="001E34B4">
        <w:t xml:space="preserve"> valid certificate or duplicate certificate of </w:t>
      </w:r>
      <w:r w:rsidR="001E34B4" w:rsidRPr="001E34B4">
        <w:lastRenderedPageBreak/>
        <w:t xml:space="preserve">registration, or a certified copy of it, is </w:t>
      </w:r>
      <w:r w:rsidR="001E34B4" w:rsidRPr="001E34B4">
        <w:rPr>
          <w:i/>
          <w:iCs/>
        </w:rPr>
        <w:t>prima facie</w:t>
      </w:r>
      <w:r w:rsidR="001E34B4" w:rsidRPr="001E34B4">
        <w:t xml:space="preserve"> proof that the </w:t>
      </w:r>
      <w:r w:rsidR="005A0516">
        <w:t>credit provider</w:t>
      </w:r>
      <w:r w:rsidR="001E34B4" w:rsidRPr="001E34B4">
        <w:t xml:space="preserve"> is registered in terms of this Act.</w:t>
      </w:r>
    </w:p>
    <w:p w14:paraId="1090005B" w14:textId="45364113" w:rsidR="008E5344" w:rsidRDefault="00C84FE9" w:rsidP="00C84FE9">
      <w:pPr>
        <w:pStyle w:val="JudgmentNumbered"/>
        <w:numPr>
          <w:ilvl w:val="0"/>
          <w:numId w:val="0"/>
        </w:numPr>
        <w:ind w:left="567" w:hanging="567"/>
      </w:pPr>
      <w:r>
        <w:t>[25]</w:t>
      </w:r>
      <w:r>
        <w:tab/>
      </w:r>
      <w:r w:rsidR="00C060CA" w:rsidRPr="00C060CA">
        <w:t>At common law</w:t>
      </w:r>
      <w:r w:rsidR="00037A9B">
        <w:t>,</w:t>
      </w:r>
      <w:r w:rsidR="00C060CA" w:rsidRPr="00C060CA">
        <w:t xml:space="preserve"> a</w:t>
      </w:r>
      <w:r w:rsidR="00383285">
        <w:t>n unlawful contract</w:t>
      </w:r>
      <w:r w:rsidR="00C060CA" w:rsidRPr="00C060CA">
        <w:t xml:space="preserve"> is generally considered to be void </w:t>
      </w:r>
      <w:r w:rsidR="00C060CA" w:rsidRPr="002C50DF">
        <w:rPr>
          <w:i/>
          <w:iCs/>
        </w:rPr>
        <w:t>ab initio</w:t>
      </w:r>
      <w:r w:rsidR="00C060CA" w:rsidRPr="00C060CA">
        <w:t xml:space="preserve"> (from the outset) and of no effect, as it is a nullity and cannot be enforced. Thus, no party can acquire rights under it</w:t>
      </w:r>
      <w:r w:rsidR="00383285">
        <w:t>,</w:t>
      </w:r>
      <w:r w:rsidR="00C060CA" w:rsidRPr="00C060CA">
        <w:t xml:space="preserve"> and if a party fails to perform in terms of such an agreement</w:t>
      </w:r>
      <w:r w:rsidR="00383285">
        <w:t>,</w:t>
      </w:r>
      <w:r w:rsidR="00C060CA" w:rsidRPr="00C060CA">
        <w:t xml:space="preserve"> the other cannot compel him/her to do so by way of a contractual claim for specific performance or damages. This is expressed in the</w:t>
      </w:r>
      <w:r w:rsidR="00C060CA" w:rsidRPr="00383285">
        <w:t xml:space="preserve"> maxim </w:t>
      </w:r>
      <w:r w:rsidR="00C060CA" w:rsidRPr="004B3504">
        <w:rPr>
          <w:i/>
          <w:iCs/>
        </w:rPr>
        <w:t>ex turpi causa non oritur actio</w:t>
      </w:r>
      <w:r w:rsidR="00C060CA" w:rsidRPr="00C060CA">
        <w:t>: no action arises from a cause that is turpitudinous. The exception to this principle is where it is apparent from the language of a statutory injunction from which the unlawfulness originates that an agreement or act performed contrary t</w:t>
      </w:r>
      <w:r w:rsidR="001955BF">
        <w:t>o it</w:t>
      </w:r>
      <w:r w:rsidR="00C060CA" w:rsidRPr="00C060CA">
        <w:t xml:space="preserve"> will not be invalid.</w:t>
      </w:r>
      <w:r w:rsidR="00C93AE4">
        <w:rPr>
          <w:rStyle w:val="FootnoteReference"/>
        </w:rPr>
        <w:footnoteReference w:id="14"/>
      </w:r>
    </w:p>
    <w:p w14:paraId="3E009D7F" w14:textId="5C4459CF" w:rsidR="00A2333D" w:rsidRDefault="00C84FE9" w:rsidP="00C84FE9">
      <w:pPr>
        <w:pStyle w:val="JudgmentNumbered"/>
        <w:numPr>
          <w:ilvl w:val="0"/>
          <w:numId w:val="0"/>
        </w:numPr>
        <w:ind w:left="567" w:hanging="567"/>
      </w:pPr>
      <w:r>
        <w:t>[26]</w:t>
      </w:r>
      <w:r>
        <w:tab/>
      </w:r>
      <w:r w:rsidR="008D3B27">
        <w:t>It follows that</w:t>
      </w:r>
      <w:r w:rsidR="002D43E8">
        <w:t xml:space="preserve"> the status of a credit provider</w:t>
      </w:r>
      <w:r w:rsidR="00926AF5">
        <w:t xml:space="preserve"> </w:t>
      </w:r>
      <w:r w:rsidR="002D43E8">
        <w:t xml:space="preserve">as registered </w:t>
      </w:r>
      <w:r w:rsidR="002E178A">
        <w:t xml:space="preserve">or unregistered at the time of </w:t>
      </w:r>
      <w:r w:rsidR="00662491">
        <w:t xml:space="preserve">the </w:t>
      </w:r>
      <w:r w:rsidR="002E178A">
        <w:t xml:space="preserve">conclusion of </w:t>
      </w:r>
      <w:r w:rsidR="005005DF">
        <w:t>a</w:t>
      </w:r>
      <w:r w:rsidR="002E178A">
        <w:t xml:space="preserve"> credit agreement</w:t>
      </w:r>
      <w:r w:rsidR="00BF1C8E">
        <w:t xml:space="preserve"> is </w:t>
      </w:r>
      <w:r w:rsidR="00F52DB6">
        <w:t>determin</w:t>
      </w:r>
      <w:r w:rsidR="00662491">
        <w:t>a</w:t>
      </w:r>
      <w:r w:rsidR="00F52DB6">
        <w:t>tive</w:t>
      </w:r>
      <w:r w:rsidR="007E227C">
        <w:t>, in part,</w:t>
      </w:r>
      <w:r w:rsidR="00F52DB6">
        <w:t xml:space="preserve"> of the</w:t>
      </w:r>
      <w:r w:rsidR="001F6480">
        <w:t xml:space="preserve"> </w:t>
      </w:r>
      <w:r w:rsidR="003626B2">
        <w:t>lawfulness</w:t>
      </w:r>
      <w:r w:rsidR="005A04BE">
        <w:t xml:space="preserve"> and</w:t>
      </w:r>
      <w:r w:rsidR="003626B2">
        <w:t xml:space="preserve"> validity</w:t>
      </w:r>
      <w:r w:rsidR="009A160B">
        <w:t xml:space="preserve"> of th</w:t>
      </w:r>
      <w:r w:rsidR="005005DF">
        <w:t>at</w:t>
      </w:r>
      <w:r w:rsidR="00A40E72">
        <w:t xml:space="preserve"> agreement</w:t>
      </w:r>
      <w:r w:rsidR="000A0E48">
        <w:t xml:space="preserve"> and the enforceability of its claim against the debtor</w:t>
      </w:r>
      <w:r w:rsidR="00BB2BA6">
        <w:t>.</w:t>
      </w:r>
    </w:p>
    <w:p w14:paraId="5C18133C" w14:textId="13EBE888" w:rsidR="00160C28" w:rsidRDefault="00C84FE9" w:rsidP="00C84FE9">
      <w:pPr>
        <w:pStyle w:val="JudgmentNumbered"/>
        <w:numPr>
          <w:ilvl w:val="0"/>
          <w:numId w:val="0"/>
        </w:numPr>
        <w:ind w:left="567" w:hanging="567"/>
      </w:pPr>
      <w:r>
        <w:t>[27]</w:t>
      </w:r>
      <w:r>
        <w:tab/>
      </w:r>
      <w:r w:rsidR="006D6B4D">
        <w:t xml:space="preserve">The defendant did not mount the rescission application on the plaintiffs’ failure to have made allegations in their particulars of claim regarding Volkswagen’s status as a registered credit provider. As will be explained below, the absence of those allegations concerns the defendant’s right to a fair hearing under section 34 of the Constitution. </w:t>
      </w:r>
    </w:p>
    <w:p w14:paraId="1B007F3C" w14:textId="0CFAFDEB" w:rsidR="007A6DEE" w:rsidRDefault="00C84FE9" w:rsidP="00C84FE9">
      <w:pPr>
        <w:pStyle w:val="JudgmentNumbered"/>
        <w:numPr>
          <w:ilvl w:val="0"/>
          <w:numId w:val="0"/>
        </w:numPr>
        <w:ind w:left="567" w:hanging="567"/>
      </w:pPr>
      <w:r>
        <w:t>[28]</w:t>
      </w:r>
      <w:r>
        <w:tab/>
      </w:r>
      <w:r w:rsidR="006D6B4D">
        <w:t>I am of the view that the court is obliged to consider and uphold the defendant’s rights to a fair hearing and to consider the relevant provisions of the NCA, even though the defendant did not raise this issue as a ground for rescission.</w:t>
      </w:r>
      <w:r w:rsidR="003418A9">
        <w:t xml:space="preserve"> In any event, as will be demonstrated below, the absence of allegations regarding Volkswagen’s </w:t>
      </w:r>
      <w:r w:rsidR="00213CDE">
        <w:t xml:space="preserve">status as a registered credit provider appears from the </w:t>
      </w:r>
      <w:r w:rsidR="00B752B1">
        <w:t>papers</w:t>
      </w:r>
      <w:r w:rsidR="00F61EC5">
        <w:t xml:space="preserve"> </w:t>
      </w:r>
      <w:r w:rsidR="00F61EC5">
        <w:lastRenderedPageBreak/>
        <w:t xml:space="preserve">before </w:t>
      </w:r>
      <w:r w:rsidR="00676588">
        <w:t xml:space="preserve">the </w:t>
      </w:r>
      <w:r w:rsidR="00F61EC5">
        <w:t>court</w:t>
      </w:r>
      <w:r w:rsidR="00B752B1">
        <w:t xml:space="preserve">. </w:t>
      </w:r>
      <w:r w:rsidR="001314B4">
        <w:t xml:space="preserve">It would not be </w:t>
      </w:r>
      <w:r w:rsidR="00E16AA9">
        <w:t>in the interest of justice</w:t>
      </w:r>
      <w:r w:rsidR="001314B4">
        <w:t xml:space="preserve"> for this court to ignore this </w:t>
      </w:r>
      <w:r w:rsidR="00E16AA9">
        <w:rPr>
          <w:i/>
          <w:iCs/>
        </w:rPr>
        <w:t>lacuna</w:t>
      </w:r>
      <w:r w:rsidR="00E16AA9">
        <w:t xml:space="preserve"> in the plain</w:t>
      </w:r>
      <w:r w:rsidR="00BA0E3B">
        <w:t>tiffs claim because the defendant did not raise th</w:t>
      </w:r>
      <w:r w:rsidR="00160C28">
        <w:t>e issue.</w:t>
      </w:r>
    </w:p>
    <w:p w14:paraId="7C76A469" w14:textId="465FE7A2" w:rsidR="00C318E2" w:rsidRPr="00D52B17" w:rsidRDefault="00C318E2" w:rsidP="00C318E2">
      <w:pPr>
        <w:pStyle w:val="JudgmentHeading"/>
      </w:pPr>
      <w:r w:rsidRPr="00D52B17">
        <w:t>The absence of allegation</w:t>
      </w:r>
      <w:r w:rsidR="00212903">
        <w:t>(</w:t>
      </w:r>
      <w:r w:rsidRPr="00D52B17">
        <w:t>s</w:t>
      </w:r>
      <w:r w:rsidR="00212903">
        <w:t>)</w:t>
      </w:r>
      <w:r w:rsidRPr="00D52B17">
        <w:t xml:space="preserve"> regarding Volkswagen</w:t>
      </w:r>
      <w:r>
        <w:t>’s registration</w:t>
      </w:r>
      <w:r w:rsidRPr="00D52B17">
        <w:t xml:space="preserve"> as a credit provider</w:t>
      </w:r>
    </w:p>
    <w:p w14:paraId="24C10836" w14:textId="5DD34495" w:rsidR="007C670B" w:rsidRDefault="00C84FE9" w:rsidP="00C84FE9">
      <w:pPr>
        <w:pStyle w:val="JudgmentNumbered"/>
        <w:numPr>
          <w:ilvl w:val="0"/>
          <w:numId w:val="0"/>
        </w:numPr>
        <w:ind w:left="567" w:hanging="567"/>
      </w:pPr>
      <w:r>
        <w:t>[29]</w:t>
      </w:r>
      <w:r>
        <w:tab/>
      </w:r>
      <w:r w:rsidR="007C670B" w:rsidRPr="00335133">
        <w:t>It is a</w:t>
      </w:r>
      <w:r w:rsidR="003D491E">
        <w:t xml:space="preserve"> trite</w:t>
      </w:r>
      <w:r w:rsidR="007C670B" w:rsidRPr="00335133">
        <w:t xml:space="preserve"> principle of our law that a party must plead its cause of action in the court of first instance so as to warn other parties of the case they have to meet and the relief sought against them.</w:t>
      </w:r>
      <w:r w:rsidR="00077D92">
        <w:t xml:space="preserve"> As such, a plaintiff is obliged to </w:t>
      </w:r>
      <w:r w:rsidR="002A0447">
        <w:t>plead all allegations necessary to sustain a cause of action.</w:t>
      </w:r>
    </w:p>
    <w:p w14:paraId="1348DE4A" w14:textId="51FFCFC9" w:rsidR="00824F85" w:rsidRDefault="00C84FE9" w:rsidP="00C84FE9">
      <w:pPr>
        <w:pStyle w:val="JudgmentNumbered"/>
        <w:numPr>
          <w:ilvl w:val="0"/>
          <w:numId w:val="0"/>
        </w:numPr>
        <w:ind w:left="567" w:hanging="567"/>
      </w:pPr>
      <w:r>
        <w:t>[30]</w:t>
      </w:r>
      <w:r>
        <w:tab/>
      </w:r>
      <w:r w:rsidR="0074271A">
        <w:t>Rule</w:t>
      </w:r>
      <w:r w:rsidR="001D5238">
        <w:t xml:space="preserve"> 18(4) of the Uniform Rules of Court </w:t>
      </w:r>
      <w:r w:rsidR="00B77B06">
        <w:t>requires that “</w:t>
      </w:r>
      <w:r w:rsidR="001D2A02">
        <w:t>[E]</w:t>
      </w:r>
      <w:r w:rsidR="00B77B06" w:rsidRPr="00B77B06">
        <w:rPr>
          <w:i/>
          <w:iCs/>
        </w:rPr>
        <w:t xml:space="preserve">very pleading shall contain </w:t>
      </w:r>
      <w:bookmarkStart w:id="1" w:name="_Hlk148465732"/>
      <w:r w:rsidR="00B77B06" w:rsidRPr="00B77B06">
        <w:rPr>
          <w:i/>
          <w:iCs/>
        </w:rPr>
        <w:t>a clear and concise statement of the material facts upon which the pleader relies for his or her claim, defence or answer to any pleading, as the case may be, with sufficient particularity to enable the opposite party to reply thereto</w:t>
      </w:r>
      <w:bookmarkEnd w:id="1"/>
      <w:r w:rsidR="00B77B06" w:rsidRPr="00B77B06">
        <w:rPr>
          <w:i/>
          <w:iCs/>
        </w:rPr>
        <w:t>.</w:t>
      </w:r>
      <w:r w:rsidR="00B77B06">
        <w:t>”</w:t>
      </w:r>
    </w:p>
    <w:p w14:paraId="46258719" w14:textId="4175746A" w:rsidR="005D00AF" w:rsidRDefault="00C84FE9" w:rsidP="00C84FE9">
      <w:pPr>
        <w:pStyle w:val="JudgmentNumbered"/>
        <w:numPr>
          <w:ilvl w:val="0"/>
          <w:numId w:val="0"/>
        </w:numPr>
        <w:ind w:left="567" w:hanging="567"/>
      </w:pPr>
      <w:r>
        <w:t>[31]</w:t>
      </w:r>
      <w:r>
        <w:tab/>
      </w:r>
      <w:r w:rsidR="003E3C37">
        <w:t xml:space="preserve">The obligation to plead </w:t>
      </w:r>
      <w:r w:rsidR="00135D04">
        <w:t>a cause of action</w:t>
      </w:r>
      <w:r w:rsidR="00D12D5D">
        <w:t>,</w:t>
      </w:r>
      <w:r w:rsidR="00512F56">
        <w:t xml:space="preserve"> as described above</w:t>
      </w:r>
      <w:r w:rsidR="00D12D5D">
        <w:t>,</w:t>
      </w:r>
      <w:r w:rsidR="003E3C37" w:rsidRPr="00335133">
        <w:t xml:space="preserve"> is a fundamental principle of fairness in the conduct of litigation. It promotes the parties’ rights to a fair hearing</w:t>
      </w:r>
      <w:r w:rsidR="00D12D5D">
        <w:t>,</w:t>
      </w:r>
      <w:r w:rsidR="003E3C37" w:rsidRPr="00335133">
        <w:t xml:space="preserve"> which is guaranteed by section 34</w:t>
      </w:r>
      <w:r w:rsidR="003E3C37">
        <w:rPr>
          <w:rStyle w:val="FootnoteReference"/>
        </w:rPr>
        <w:footnoteReference w:id="15"/>
      </w:r>
      <w:r w:rsidR="003E3C37" w:rsidRPr="00335133">
        <w:t xml:space="preserve"> of the Constitution.</w:t>
      </w:r>
      <w:r w:rsidR="003E3C37">
        <w:rPr>
          <w:rStyle w:val="FootnoteReference"/>
        </w:rPr>
        <w:footnoteReference w:id="16"/>
      </w:r>
      <w:r w:rsidR="00592C53">
        <w:t xml:space="preserve"> </w:t>
      </w:r>
      <w:r w:rsidR="00404746">
        <w:t xml:space="preserve">In my view, the same can be said </w:t>
      </w:r>
      <w:r w:rsidR="00752AE0">
        <w:t xml:space="preserve">in relation to the requirements of </w:t>
      </w:r>
      <w:r w:rsidR="0074271A">
        <w:t>Uniform Rule</w:t>
      </w:r>
      <w:r w:rsidR="00752AE0">
        <w:t xml:space="preserve"> 18(4): </w:t>
      </w:r>
      <w:r w:rsidR="00B26B24">
        <w:t xml:space="preserve">a </w:t>
      </w:r>
      <w:r w:rsidR="00B628C4">
        <w:t xml:space="preserve">clear and concise statement of the material facts on which </w:t>
      </w:r>
      <w:r w:rsidR="00E42E0C">
        <w:t>the pleader relies</w:t>
      </w:r>
      <w:r w:rsidR="00FA1D33">
        <w:t xml:space="preserve">, adequately </w:t>
      </w:r>
      <w:r w:rsidR="00FF4803">
        <w:t>particularised</w:t>
      </w:r>
      <w:r w:rsidR="00F63B0D">
        <w:t xml:space="preserve"> for the other party to reply, </w:t>
      </w:r>
      <w:r w:rsidR="007F2B74">
        <w:t>will promote</w:t>
      </w:r>
      <w:r w:rsidR="00F63B0D">
        <w:t xml:space="preserve"> </w:t>
      </w:r>
      <w:r w:rsidR="001D1628">
        <w:t>the parties’ rights to a fair hearing.</w:t>
      </w:r>
    </w:p>
    <w:p w14:paraId="5B245EEF" w14:textId="31666D22" w:rsidR="0010366D" w:rsidRDefault="00C84FE9" w:rsidP="00C84FE9">
      <w:pPr>
        <w:pStyle w:val="JudgmentNumbered"/>
        <w:numPr>
          <w:ilvl w:val="0"/>
          <w:numId w:val="0"/>
        </w:numPr>
        <w:ind w:left="567" w:hanging="567"/>
      </w:pPr>
      <w:r>
        <w:t>[32]</w:t>
      </w:r>
      <w:r>
        <w:tab/>
      </w:r>
      <w:r w:rsidR="0010366D">
        <w:t xml:space="preserve">Applied to the facts </w:t>
      </w:r>
      <w:r w:rsidR="0010366D">
        <w:rPr>
          <w:i/>
          <w:iCs/>
        </w:rPr>
        <w:t>in casu</w:t>
      </w:r>
      <w:r w:rsidR="0010366D">
        <w:t xml:space="preserve">, the question </w:t>
      </w:r>
      <w:r w:rsidR="000F792C">
        <w:t xml:space="preserve">of </w:t>
      </w:r>
      <w:r w:rsidR="0010366D">
        <w:t>whether Volkswagen was registered as a credit provider at the time of conclusion of the Instalment Sale Agreement on or about 29 July 2016 is determin</w:t>
      </w:r>
      <w:r w:rsidR="000F792C">
        <w:t>a</w:t>
      </w:r>
      <w:r w:rsidR="0010366D">
        <w:t>tive</w:t>
      </w:r>
      <w:r w:rsidR="00A74C56">
        <w:t>, in part,</w:t>
      </w:r>
      <w:r w:rsidR="0010366D">
        <w:t xml:space="preserve"> of the lawfulness and validity of the Instalment Sale Agreement and enforceability of the plaintiffs’ claim as the alleged cessionary of all Volkswagen’s rights, title and interest under the Instalment Sale Agreement.</w:t>
      </w:r>
    </w:p>
    <w:p w14:paraId="35514630" w14:textId="34DA2FBE" w:rsidR="00B261D8" w:rsidRDefault="00C84FE9" w:rsidP="00C84FE9">
      <w:pPr>
        <w:pStyle w:val="JudgmentNumbered"/>
        <w:numPr>
          <w:ilvl w:val="0"/>
          <w:numId w:val="0"/>
        </w:numPr>
        <w:ind w:left="567" w:hanging="567"/>
      </w:pPr>
      <w:r>
        <w:lastRenderedPageBreak/>
        <w:t>[33]</w:t>
      </w:r>
      <w:r>
        <w:tab/>
      </w:r>
      <w:r w:rsidR="00C4399C">
        <w:t>I</w:t>
      </w:r>
      <w:r w:rsidR="00BB5A4B">
        <w:t>n my view</w:t>
      </w:r>
      <w:r w:rsidR="00C4399C">
        <w:t>, an allegation that Volkswagen was a regi</w:t>
      </w:r>
      <w:r w:rsidR="0081231A">
        <w:t>s</w:t>
      </w:r>
      <w:r w:rsidR="00C4399C">
        <w:t xml:space="preserve">tered credit provider </w:t>
      </w:r>
      <w:r w:rsidR="0053663B">
        <w:t>at the time of the conclusion of the Instalment Sale Agreement is</w:t>
      </w:r>
      <w:r w:rsidR="00BB5A4B">
        <w:t xml:space="preserve"> </w:t>
      </w:r>
      <w:r w:rsidR="00437A44">
        <w:t>essential</w:t>
      </w:r>
      <w:r w:rsidR="00BA09FD">
        <w:t xml:space="preserve"> to</w:t>
      </w:r>
      <w:r w:rsidR="00BB5A4B">
        <w:t xml:space="preserve"> the plaintiffs’ cause of action</w:t>
      </w:r>
      <w:r w:rsidR="00FF07A3">
        <w:t>.</w:t>
      </w:r>
      <w:r w:rsidR="00AA17A5">
        <w:t xml:space="preserve"> Consequently, the inquiry turns to whether or not</w:t>
      </w:r>
      <w:r w:rsidR="003C3D23">
        <w:t xml:space="preserve"> the plaintiffs have made</w:t>
      </w:r>
      <w:r w:rsidR="00CA510B">
        <w:t xml:space="preserve"> </w:t>
      </w:r>
      <w:r w:rsidR="00E61178">
        <w:t>the</w:t>
      </w:r>
      <w:r w:rsidR="0061760C">
        <w:t xml:space="preserve"> necessary</w:t>
      </w:r>
      <w:r w:rsidR="003F69A8">
        <w:t>/required</w:t>
      </w:r>
      <w:r w:rsidR="00E61178">
        <w:t xml:space="preserve"> allegations</w:t>
      </w:r>
      <w:r w:rsidR="00672344">
        <w:t xml:space="preserve"> in </w:t>
      </w:r>
      <w:r w:rsidR="002868BD">
        <w:t>their</w:t>
      </w:r>
      <w:r w:rsidR="00672344">
        <w:t xml:space="preserve"> particulars of claim</w:t>
      </w:r>
      <w:r w:rsidR="00994CEE">
        <w:t xml:space="preserve"> regarding the registration of Volkswagen as a credit provider at the conclusion of the</w:t>
      </w:r>
      <w:r w:rsidR="00E74C70">
        <w:t xml:space="preserve"> a</w:t>
      </w:r>
      <w:r w:rsidR="008F2291">
        <w:t>greement mentioned above</w:t>
      </w:r>
      <w:r w:rsidR="0010455F">
        <w:t>.</w:t>
      </w:r>
      <w:r w:rsidR="004B5E5F">
        <w:t xml:space="preserve"> </w:t>
      </w:r>
    </w:p>
    <w:p w14:paraId="6A23E731" w14:textId="77777777" w:rsidR="008C4E43" w:rsidRDefault="008C4E43" w:rsidP="005C78E4">
      <w:pPr>
        <w:pStyle w:val="JudgmentHeading"/>
      </w:pPr>
    </w:p>
    <w:p w14:paraId="2381F9F9" w14:textId="77777777" w:rsidR="008C4E43" w:rsidRDefault="008C4E43" w:rsidP="005C78E4">
      <w:pPr>
        <w:pStyle w:val="JudgmentHeading"/>
      </w:pPr>
    </w:p>
    <w:p w14:paraId="4F38A1E0" w14:textId="7E692A20" w:rsidR="005C78E4" w:rsidRDefault="005C78E4" w:rsidP="005C78E4">
      <w:pPr>
        <w:pStyle w:val="JudgmentHeading"/>
      </w:pPr>
      <w:r>
        <w:t>Analysis</w:t>
      </w:r>
    </w:p>
    <w:p w14:paraId="2F33456E" w14:textId="25728161" w:rsidR="00FF3B8A" w:rsidRDefault="00C84FE9" w:rsidP="00C84FE9">
      <w:pPr>
        <w:pStyle w:val="JudgmentNumbered"/>
        <w:numPr>
          <w:ilvl w:val="0"/>
          <w:numId w:val="0"/>
        </w:numPr>
        <w:ind w:left="567" w:hanging="567"/>
      </w:pPr>
      <w:r>
        <w:t>[34]</w:t>
      </w:r>
      <w:r>
        <w:tab/>
      </w:r>
      <w:r w:rsidR="00FF3B8A">
        <w:t>The following allegations in the plaintiffs’ particulars of claim or portions of the annexures t</w:t>
      </w:r>
      <w:r w:rsidR="00822ECE">
        <w:t>o it</w:t>
      </w:r>
      <w:r w:rsidR="00FF3B8A">
        <w:t xml:space="preserve"> are pertinent to the question concerning the description of </w:t>
      </w:r>
      <w:r w:rsidR="0031331E">
        <w:t>the credit provider’s registration</w:t>
      </w:r>
      <w:r w:rsidR="007D1448">
        <w:t xml:space="preserve"> required by section 40 of the NCA</w:t>
      </w:r>
      <w:r w:rsidR="00FF3B8A">
        <w:t>:</w:t>
      </w:r>
    </w:p>
    <w:p w14:paraId="5CFB545E" w14:textId="3A59E352" w:rsidR="00FF3B8A" w:rsidRDefault="00C84FE9" w:rsidP="00C84FE9">
      <w:pPr>
        <w:pStyle w:val="JudgmentNumbered"/>
        <w:numPr>
          <w:ilvl w:val="0"/>
          <w:numId w:val="0"/>
        </w:numPr>
        <w:ind w:left="1134" w:hanging="567"/>
      </w:pPr>
      <w:r>
        <w:t>a.</w:t>
      </w:r>
      <w:r>
        <w:tab/>
      </w:r>
      <w:r w:rsidR="00FF3B8A">
        <w:t>The plaintiffs are cited as “</w:t>
      </w:r>
      <w:r w:rsidR="00FF3B8A" w:rsidRPr="00BD54BC">
        <w:rPr>
          <w:i/>
          <w:iCs/>
        </w:rPr>
        <w:t>trustee</w:t>
      </w:r>
      <w:r w:rsidR="00FF3B8A">
        <w:t>[s]</w:t>
      </w:r>
      <w:r w:rsidR="00FF3B8A" w:rsidRPr="00BD54BC">
        <w:rPr>
          <w:i/>
          <w:iCs/>
        </w:rPr>
        <w:t xml:space="preserve"> of the Velocity Trust being a duly registered credit provider with its registration </w:t>
      </w:r>
      <w:r w:rsidR="00FF3B8A">
        <w:t>[number]</w:t>
      </w:r>
      <w:r w:rsidR="00FF3B8A" w:rsidRPr="00BD54BC">
        <w:rPr>
          <w:i/>
          <w:iCs/>
        </w:rPr>
        <w:t xml:space="preserve"> being NCRCP7024 in terms of the National Credit Act 34 of 2005</w:t>
      </w:r>
      <w:r w:rsidR="00FF3B8A">
        <w:rPr>
          <w:i/>
          <w:iCs/>
        </w:rPr>
        <w:t>, as per NCR Certificate annexed hereto marked “A1”)</w:t>
      </w:r>
      <w:r w:rsidR="00FF3B8A">
        <w:t>…</w:t>
      </w:r>
      <w:r w:rsidR="00FF3B8A">
        <w:rPr>
          <w:i/>
          <w:iCs/>
        </w:rPr>
        <w:t>. A copy of the Letter of Authority of The Velocity Trust is annexed hereto marked “A2”</w:t>
      </w:r>
      <w:r w:rsidR="00FF3B8A">
        <w:t>…</w:t>
      </w:r>
      <w:r w:rsidR="00FF3B8A" w:rsidRPr="0032711A">
        <w:t>”.</w:t>
      </w:r>
      <w:r w:rsidR="00FF3B8A">
        <w:t xml:space="preserve"> Annexure “A1”.</w:t>
      </w:r>
    </w:p>
    <w:p w14:paraId="30E077F6" w14:textId="5AA9ACE0" w:rsidR="00FF3B8A" w:rsidRPr="00205DBE" w:rsidRDefault="00C84FE9" w:rsidP="00C84FE9">
      <w:pPr>
        <w:pStyle w:val="JudgmentNumbered"/>
        <w:numPr>
          <w:ilvl w:val="0"/>
          <w:numId w:val="0"/>
        </w:numPr>
        <w:ind w:left="1134" w:hanging="567"/>
      </w:pPr>
      <w:r w:rsidRPr="00205DBE">
        <w:t>b.</w:t>
      </w:r>
      <w:r w:rsidRPr="00205DBE">
        <w:tab/>
      </w:r>
      <w:r w:rsidR="00FF3B8A">
        <w:t>Annexure “A1” appears to be a certificate issued by the National Credit Regulator on 1 August 2021, certifying that “</w:t>
      </w:r>
      <w:r w:rsidR="00FF3B8A">
        <w:rPr>
          <w:i/>
        </w:rPr>
        <w:t>THE VELOCITY FINANCE ISSUER TRUST IT20747/2014…NCRCP7024 (National Credit Regulator registration number) … HAS BEEN REGISTERED AS A CREDIT PROVIDER IN TERMS OF</w:t>
      </w:r>
      <w:r w:rsidR="00FF3B8A" w:rsidRPr="00992E9B">
        <w:rPr>
          <w:rFonts w:eastAsia="Times New Roman"/>
          <w:i/>
          <w:iCs/>
          <w:szCs w:val="24"/>
          <w:lang w:val="en-ZA"/>
        </w:rPr>
        <w:t xml:space="preserve"> THE NATIONAL CREDIT ACT 43 OF 2005, AS AMENDED …</w:t>
      </w:r>
      <w:r w:rsidR="00FF3B8A">
        <w:rPr>
          <w:rFonts w:eastAsia="Times New Roman"/>
          <w:szCs w:val="24"/>
          <w:lang w:val="en-ZA"/>
        </w:rPr>
        <w:t>”.</w:t>
      </w:r>
    </w:p>
    <w:p w14:paraId="2E66DBBB" w14:textId="7D8461D2" w:rsidR="00FF3B8A" w:rsidRPr="00570967" w:rsidRDefault="00C84FE9" w:rsidP="00C84FE9">
      <w:pPr>
        <w:pStyle w:val="JudgmentNumbered"/>
        <w:numPr>
          <w:ilvl w:val="0"/>
          <w:numId w:val="0"/>
        </w:numPr>
        <w:ind w:left="1134" w:hanging="567"/>
      </w:pPr>
      <w:r w:rsidRPr="00570967">
        <w:t>c.</w:t>
      </w:r>
      <w:r w:rsidRPr="00570967">
        <w:tab/>
      </w:r>
      <w:r w:rsidR="00FF3B8A">
        <w:t>The allegation concerning the conclusion of the Instalment Sale Agreement reads as follows: “</w:t>
      </w:r>
      <w:r w:rsidR="00FF3B8A">
        <w:rPr>
          <w:i/>
          <w:iCs/>
        </w:rPr>
        <w:t>[</w:t>
      </w:r>
      <w:r w:rsidR="00FF3B8A">
        <w:rPr>
          <w:i/>
        </w:rPr>
        <w:t xml:space="preserve">O]n … 29 July 2016, Volkswagen Financial Services South Africa (Pty) Ltd, represented by a duly authorised employee… and the </w:t>
      </w:r>
      <w:r w:rsidR="00EC0ED0">
        <w:rPr>
          <w:i/>
        </w:rPr>
        <w:t>defendant</w:t>
      </w:r>
      <w:r w:rsidR="00FF3B8A">
        <w:rPr>
          <w:i/>
        </w:rPr>
        <w:t xml:space="preserve">…entered into an Electronic Instalment Agreement…. A copy </w:t>
      </w:r>
      <w:r w:rsidR="00FF3B8A">
        <w:rPr>
          <w:i/>
        </w:rPr>
        <w:lastRenderedPageBreak/>
        <w:t xml:space="preserve">of the Agreement, concluded under account number … with the </w:t>
      </w:r>
      <w:r w:rsidR="00EC0ED0">
        <w:rPr>
          <w:i/>
        </w:rPr>
        <w:t>defendant</w:t>
      </w:r>
      <w:r w:rsidR="00FF3B8A">
        <w:rPr>
          <w:i/>
        </w:rPr>
        <w:t xml:space="preserve">, as </w:t>
      </w:r>
      <w:r w:rsidR="000752CE">
        <w:rPr>
          <w:i/>
        </w:rPr>
        <w:t>annexed</w:t>
      </w:r>
      <w:r w:rsidR="00FF3B8A">
        <w:rPr>
          <w:i/>
        </w:rPr>
        <w:t xml:space="preserve"> hereto marked</w:t>
      </w:r>
      <w:r w:rsidR="00FF3B8A">
        <w:rPr>
          <w:b/>
          <w:i/>
        </w:rPr>
        <w:t xml:space="preserve"> Annexure “B”</w:t>
      </w:r>
      <w:r w:rsidR="00FF3B8A">
        <w:rPr>
          <w:bCs/>
          <w:i/>
        </w:rPr>
        <w:t>…”</w:t>
      </w:r>
      <w:r w:rsidR="00FF3B8A">
        <w:rPr>
          <w:bCs/>
          <w:iCs/>
        </w:rPr>
        <w:t>.</w:t>
      </w:r>
    </w:p>
    <w:p w14:paraId="34D605A5" w14:textId="524A0A92" w:rsidR="00CF6AE7" w:rsidRDefault="00C84FE9" w:rsidP="00C84FE9">
      <w:pPr>
        <w:pStyle w:val="JudgmentNumbered"/>
        <w:numPr>
          <w:ilvl w:val="0"/>
          <w:numId w:val="0"/>
        </w:numPr>
        <w:ind w:left="1134" w:hanging="567"/>
      </w:pPr>
      <w:r>
        <w:t>d.</w:t>
      </w:r>
      <w:r>
        <w:tab/>
      </w:r>
      <w:r w:rsidR="00CF6AE7">
        <w:t>The National Credit Act, 34 of 2005, applies to the Instalment Sale Agreement.</w:t>
      </w:r>
    </w:p>
    <w:p w14:paraId="03D924CD" w14:textId="2FA7C555" w:rsidR="00BE71B9" w:rsidRDefault="00C84FE9" w:rsidP="00C84FE9">
      <w:pPr>
        <w:pStyle w:val="JudgmentNumbered"/>
        <w:numPr>
          <w:ilvl w:val="0"/>
          <w:numId w:val="0"/>
        </w:numPr>
        <w:ind w:left="1134" w:hanging="567"/>
      </w:pPr>
      <w:r>
        <w:t>e.</w:t>
      </w:r>
      <w:r>
        <w:tab/>
      </w:r>
      <w:r w:rsidR="00BE71B9">
        <w:t>On or about 3 November 2016, Volkswagen ceded to the plaintiffs all its rights, title and interest in and to the Instalment Sale Agreement, including ownership of the vehicle.</w:t>
      </w:r>
    </w:p>
    <w:p w14:paraId="28956508" w14:textId="536DA034" w:rsidR="006838FA" w:rsidRDefault="00C84FE9" w:rsidP="00C84FE9">
      <w:pPr>
        <w:pStyle w:val="JudgmentNumbered"/>
        <w:numPr>
          <w:ilvl w:val="0"/>
          <w:numId w:val="0"/>
        </w:numPr>
        <w:ind w:left="1134" w:hanging="567"/>
      </w:pPr>
      <w:r>
        <w:t>f.</w:t>
      </w:r>
      <w:r>
        <w:tab/>
      </w:r>
      <w:r w:rsidR="008936A9">
        <w:t>Annexure “B”</w:t>
      </w:r>
      <w:r w:rsidR="00A85A8E">
        <w:t xml:space="preserve"> to the particulars of claim</w:t>
      </w:r>
      <w:r w:rsidR="000322C3">
        <w:t xml:space="preserve"> comprises</w:t>
      </w:r>
      <w:r w:rsidR="00FF5AF0">
        <w:t xml:space="preserve"> variou</w:t>
      </w:r>
      <w:r w:rsidR="00517D6A">
        <w:t>s documents including</w:t>
      </w:r>
      <w:r w:rsidR="000322C3">
        <w:t xml:space="preserve"> </w:t>
      </w:r>
      <w:r w:rsidR="00A85A8E">
        <w:t>the</w:t>
      </w:r>
      <w:r w:rsidR="00F325BF">
        <w:t xml:space="preserve"> “</w:t>
      </w:r>
      <w:r w:rsidR="00BF164F" w:rsidRPr="009E0CA8">
        <w:rPr>
          <w:i/>
          <w:iCs/>
        </w:rPr>
        <w:t>QUOTATION / COST OF CREDIT FOR AN INTERMEDIATE INSTALMENT AGREEMENT (VARIABLE)</w:t>
      </w:r>
      <w:r w:rsidR="009E0CA8" w:rsidRPr="009E0CA8">
        <w:rPr>
          <w:i/>
          <w:iCs/>
        </w:rPr>
        <w:t xml:space="preserve"> </w:t>
      </w:r>
      <w:r w:rsidR="00916AF7" w:rsidRPr="00EC479B">
        <w:t>[…]</w:t>
      </w:r>
      <w:r w:rsidR="009E0CA8" w:rsidRPr="009E0CA8">
        <w:rPr>
          <w:i/>
          <w:iCs/>
        </w:rPr>
        <w:t xml:space="preserve"> In terms of Section 92(2) of the NCA</w:t>
      </w:r>
      <w:r w:rsidR="007736D7">
        <w:rPr>
          <w:i/>
          <w:iCs/>
        </w:rPr>
        <w:t xml:space="preserve"> </w:t>
      </w:r>
      <w:r w:rsidR="00916AF7" w:rsidRPr="00EC479B">
        <w:t>[…]</w:t>
      </w:r>
      <w:r w:rsidR="007736D7">
        <w:rPr>
          <w:i/>
          <w:iCs/>
        </w:rPr>
        <w:t xml:space="preserve"> </w:t>
      </w:r>
      <w:r w:rsidR="003E6BB5">
        <w:rPr>
          <w:i/>
          <w:iCs/>
        </w:rPr>
        <w:t>NCR NUMBER: NCRCP6635</w:t>
      </w:r>
      <w:r w:rsidR="009E0CA8">
        <w:t>”</w:t>
      </w:r>
      <w:r w:rsidR="00305593">
        <w:t>,</w:t>
      </w:r>
      <w:r w:rsidR="00B70FD2">
        <w:t xml:space="preserve"> a</w:t>
      </w:r>
      <w:r w:rsidR="00A25E41">
        <w:t xml:space="preserve"> </w:t>
      </w:r>
      <w:r w:rsidR="00944747">
        <w:t>D</w:t>
      </w:r>
      <w:r w:rsidR="00B70FD2">
        <w:t xml:space="preserve">ebit </w:t>
      </w:r>
      <w:r w:rsidR="00944747">
        <w:t>O</w:t>
      </w:r>
      <w:r w:rsidR="00B70FD2">
        <w:t xml:space="preserve">rder </w:t>
      </w:r>
      <w:r w:rsidR="00944747">
        <w:t>A</w:t>
      </w:r>
      <w:r w:rsidR="00B70FD2">
        <w:t>uthorisation,</w:t>
      </w:r>
      <w:r w:rsidR="00944747">
        <w:t xml:space="preserve"> </w:t>
      </w:r>
      <w:r w:rsidR="00517D6A">
        <w:t xml:space="preserve">a </w:t>
      </w:r>
      <w:r w:rsidR="00944747">
        <w:t>Delivery Receipt,</w:t>
      </w:r>
      <w:r w:rsidR="00517D6A">
        <w:t xml:space="preserve"> an</w:t>
      </w:r>
      <w:r w:rsidR="00944747">
        <w:t xml:space="preserve"> </w:t>
      </w:r>
      <w:r w:rsidR="001E1442">
        <w:t>E-Sign Cover Page</w:t>
      </w:r>
      <w:r w:rsidR="007E544C">
        <w:t xml:space="preserve"> and</w:t>
      </w:r>
      <w:r w:rsidR="00517D6A">
        <w:t xml:space="preserve"> the</w:t>
      </w:r>
      <w:r w:rsidR="007E544C">
        <w:t xml:space="preserve"> signature page</w:t>
      </w:r>
      <w:r w:rsidR="003B305F">
        <w:t>.</w:t>
      </w:r>
    </w:p>
    <w:p w14:paraId="3822152E" w14:textId="6D9A4C4A" w:rsidR="0010039C" w:rsidRDefault="00C84FE9" w:rsidP="00C84FE9">
      <w:pPr>
        <w:pStyle w:val="JudgmentNumbered"/>
        <w:numPr>
          <w:ilvl w:val="0"/>
          <w:numId w:val="0"/>
        </w:numPr>
        <w:ind w:left="1134" w:hanging="567"/>
      </w:pPr>
      <w:r>
        <w:t>g.</w:t>
      </w:r>
      <w:r>
        <w:tab/>
      </w:r>
      <w:r w:rsidR="008F023F">
        <w:t>T</w:t>
      </w:r>
      <w:r w:rsidR="00220F76">
        <w:t>owards the upper-left corner of the</w:t>
      </w:r>
      <w:r w:rsidR="0093327D">
        <w:t xml:space="preserve"> first</w:t>
      </w:r>
      <w:r w:rsidR="00EC479B">
        <w:t xml:space="preserve"> five</w:t>
      </w:r>
      <w:r w:rsidR="0093327D">
        <w:t xml:space="preserve"> page</w:t>
      </w:r>
      <w:r w:rsidR="00EC479B">
        <w:t>s</w:t>
      </w:r>
      <w:r w:rsidR="0093327D">
        <w:t xml:space="preserve"> of Annexure “B”</w:t>
      </w:r>
      <w:r w:rsidR="00220F76">
        <w:t xml:space="preserve">, </w:t>
      </w:r>
      <w:r w:rsidR="00915D48">
        <w:t xml:space="preserve">the following is </w:t>
      </w:r>
      <w:r w:rsidR="006E38D7">
        <w:t>displayed</w:t>
      </w:r>
      <w:r w:rsidR="00842B63">
        <w:t>:</w:t>
      </w:r>
      <w:r w:rsidR="00915D48">
        <w:t xml:space="preserve"> “</w:t>
      </w:r>
      <w:r w:rsidR="00974798" w:rsidRPr="00D321D5">
        <w:rPr>
          <w:i/>
          <w:iCs/>
        </w:rPr>
        <w:t>NCRCP6635</w:t>
      </w:r>
      <w:r w:rsidR="00974798">
        <w:t>”.</w:t>
      </w:r>
    </w:p>
    <w:p w14:paraId="08463413" w14:textId="2CB31786" w:rsidR="005004C1" w:rsidRDefault="00C84FE9" w:rsidP="00C84FE9">
      <w:pPr>
        <w:pStyle w:val="JudgmentNumbered"/>
        <w:numPr>
          <w:ilvl w:val="0"/>
          <w:numId w:val="0"/>
        </w:numPr>
        <w:ind w:left="567" w:hanging="567"/>
      </w:pPr>
      <w:r>
        <w:t>[35]</w:t>
      </w:r>
      <w:r>
        <w:tab/>
      </w:r>
      <w:r w:rsidR="005D30F6">
        <w:t xml:space="preserve">The credit provider envisaged by the Instalment Sale Agreement was Volkswagen, not the </w:t>
      </w:r>
      <w:r w:rsidR="00A8447E">
        <w:t>“</w:t>
      </w:r>
      <w:r w:rsidR="005D30F6" w:rsidRPr="00A8447E">
        <w:rPr>
          <w:i/>
          <w:iCs/>
        </w:rPr>
        <w:t>Velocity Trust</w:t>
      </w:r>
      <w:r w:rsidR="00A8447E">
        <w:t>”</w:t>
      </w:r>
      <w:r w:rsidR="005D30F6">
        <w:t xml:space="preserve">. </w:t>
      </w:r>
      <w:r w:rsidR="005004C1">
        <w:t>As stated, it is required of the plaintiffs to plead and prove that Volkswagen was a registered credit provider when it concluded the Instalment Sale Agreement with the defendant.</w:t>
      </w:r>
    </w:p>
    <w:p w14:paraId="59D1AFCD" w14:textId="691383C5" w:rsidR="001F21D6" w:rsidRDefault="00C84FE9" w:rsidP="00C84FE9">
      <w:pPr>
        <w:pStyle w:val="JudgmentNumbered"/>
        <w:numPr>
          <w:ilvl w:val="0"/>
          <w:numId w:val="0"/>
        </w:numPr>
        <w:ind w:left="567" w:hanging="567"/>
      </w:pPr>
      <w:r>
        <w:t>[36]</w:t>
      </w:r>
      <w:r>
        <w:tab/>
      </w:r>
      <w:r w:rsidR="001F21D6">
        <w:t xml:space="preserve">It is apparent from the </w:t>
      </w:r>
      <w:r w:rsidR="005870DF">
        <w:t>a</w:t>
      </w:r>
      <w:r w:rsidR="001F21D6">
        <w:t>foregoing that the author of the particulars of claim deemed it necessary and apt to plead, in considerable detail, that the “</w:t>
      </w:r>
      <w:r w:rsidR="001F21D6" w:rsidRPr="00C16866">
        <w:rPr>
          <w:i/>
          <w:iCs/>
        </w:rPr>
        <w:t>Velocity Trust</w:t>
      </w:r>
      <w:r w:rsidR="001F21D6">
        <w:t>” was a registered credit provider</w:t>
      </w:r>
      <w:r w:rsidR="00E22701">
        <w:t xml:space="preserve"> and its </w:t>
      </w:r>
      <w:r w:rsidR="001F21D6">
        <w:t xml:space="preserve">NCR registration number, which allegations incorporated </w:t>
      </w:r>
      <w:r w:rsidR="00C84D5F">
        <w:t>a</w:t>
      </w:r>
      <w:r w:rsidR="00A8090F">
        <w:t>n annexed</w:t>
      </w:r>
      <w:r w:rsidR="001F21D6">
        <w:t xml:space="preserve"> Credit Provider</w:t>
      </w:r>
      <w:r w:rsidR="005B2ECB">
        <w:t xml:space="preserve"> Certificate</w:t>
      </w:r>
      <w:r w:rsidR="00417DB1">
        <w:t xml:space="preserve"> issued by the National Credit Regulator</w:t>
      </w:r>
      <w:r w:rsidR="001F21D6">
        <w:t>.</w:t>
      </w:r>
    </w:p>
    <w:p w14:paraId="68FD0834" w14:textId="2086A924" w:rsidR="00122185" w:rsidRDefault="00C84FE9" w:rsidP="00C84FE9">
      <w:pPr>
        <w:pStyle w:val="JudgmentNumbered"/>
        <w:numPr>
          <w:ilvl w:val="0"/>
          <w:numId w:val="0"/>
        </w:numPr>
        <w:ind w:left="567" w:hanging="567"/>
      </w:pPr>
      <w:r>
        <w:t>[37]</w:t>
      </w:r>
      <w:r>
        <w:tab/>
      </w:r>
      <w:r w:rsidR="00251248">
        <w:t xml:space="preserve">These allegations, inasmuch as they relate to the registration of </w:t>
      </w:r>
      <w:r w:rsidR="00A8090F">
        <w:t>“</w:t>
      </w:r>
      <w:r w:rsidR="005B706C">
        <w:t>Velocity T</w:t>
      </w:r>
      <w:r w:rsidR="00EE37A0">
        <w:t>ru</w:t>
      </w:r>
      <w:r w:rsidR="005B706C">
        <w:t>st</w:t>
      </w:r>
      <w:r w:rsidR="00A8090F">
        <w:t>”</w:t>
      </w:r>
      <w:r w:rsidR="005B706C">
        <w:t xml:space="preserve"> as a registered credit provider</w:t>
      </w:r>
      <w:r w:rsidR="005004C1">
        <w:t>,</w:t>
      </w:r>
      <w:r w:rsidR="002C4D2F">
        <w:t xml:space="preserve"> in my view</w:t>
      </w:r>
      <w:r w:rsidR="00C45750">
        <w:t xml:space="preserve">, </w:t>
      </w:r>
      <w:r w:rsidR="00592C68">
        <w:t xml:space="preserve">are </w:t>
      </w:r>
      <w:r w:rsidR="00B92183">
        <w:t>irrelevant to</w:t>
      </w:r>
      <w:r w:rsidR="00085ED6">
        <w:t xml:space="preserve"> requisite</w:t>
      </w:r>
      <w:r w:rsidR="00B92183">
        <w:t xml:space="preserve"> allegations pertaining to the registration status of Volkswagen</w:t>
      </w:r>
      <w:r w:rsidR="00F50A66">
        <w:t xml:space="preserve"> as the credit provider,</w:t>
      </w:r>
      <w:r w:rsidR="008B46A8">
        <w:t xml:space="preserve"> as at </w:t>
      </w:r>
      <w:r w:rsidR="005F042F">
        <w:t xml:space="preserve">the </w:t>
      </w:r>
      <w:r w:rsidR="008B46A8">
        <w:t>conclusion of the a</w:t>
      </w:r>
      <w:r w:rsidR="005F042F">
        <w:t>greement mentioned above</w:t>
      </w:r>
      <w:r w:rsidR="00B92183">
        <w:t>.</w:t>
      </w:r>
      <w:r w:rsidR="005B3CA8">
        <w:t xml:space="preserve"> </w:t>
      </w:r>
    </w:p>
    <w:p w14:paraId="52197261" w14:textId="1AC8B2F9" w:rsidR="00F44C89" w:rsidRDefault="00C84FE9" w:rsidP="00C84FE9">
      <w:pPr>
        <w:pStyle w:val="JudgmentNumbered"/>
        <w:numPr>
          <w:ilvl w:val="0"/>
          <w:numId w:val="0"/>
        </w:numPr>
        <w:ind w:left="567" w:hanging="567"/>
      </w:pPr>
      <w:r>
        <w:lastRenderedPageBreak/>
        <w:t>[38]</w:t>
      </w:r>
      <w:r>
        <w:tab/>
      </w:r>
      <w:r w:rsidR="00B731EB">
        <w:t>Th</w:t>
      </w:r>
      <w:r w:rsidR="000279FE">
        <w:t xml:space="preserve">e allegations pertaining to the registration of </w:t>
      </w:r>
      <w:r w:rsidR="009137A5">
        <w:t xml:space="preserve">the Velocity Trust </w:t>
      </w:r>
      <w:r w:rsidR="00B80C47">
        <w:t>are</w:t>
      </w:r>
      <w:r w:rsidR="005F042F">
        <w:t>,</w:t>
      </w:r>
      <w:r w:rsidR="009137A5">
        <w:t xml:space="preserve"> in any event</w:t>
      </w:r>
      <w:r w:rsidR="005F042F">
        <w:t>,</w:t>
      </w:r>
      <w:r w:rsidR="009137A5">
        <w:t xml:space="preserve"> flawed. </w:t>
      </w:r>
      <w:r w:rsidR="00496451">
        <w:t>The</w:t>
      </w:r>
      <w:r w:rsidR="00636382">
        <w:t xml:space="preserve"> provisions of the NCA referred to above regarding the registration as a credit provider</w:t>
      </w:r>
      <w:r w:rsidR="00713C48">
        <w:t xml:space="preserve"> make it clear that a credit provider must be registered at the time of </w:t>
      </w:r>
      <w:r w:rsidR="00BA01D6">
        <w:t xml:space="preserve">the </w:t>
      </w:r>
      <w:r w:rsidR="00713C48">
        <w:t xml:space="preserve">conclusion of the </w:t>
      </w:r>
      <w:r w:rsidR="003F1328">
        <w:t>credit agreement.</w:t>
      </w:r>
      <w:r w:rsidR="00D82A25">
        <w:t xml:space="preserve"> No such allegations are made pertaining to the </w:t>
      </w:r>
      <w:r w:rsidR="00EC4E78">
        <w:t>“</w:t>
      </w:r>
      <w:r w:rsidR="00D82A25" w:rsidRPr="00EC4E78">
        <w:rPr>
          <w:i/>
          <w:iCs/>
        </w:rPr>
        <w:t>Velocity Trust</w:t>
      </w:r>
      <w:r w:rsidR="00EC4E78">
        <w:t>”</w:t>
      </w:r>
      <w:r w:rsidR="00D82A25">
        <w:t>.</w:t>
      </w:r>
      <w:r w:rsidR="008617DF">
        <w:t xml:space="preserve"> Further, </w:t>
      </w:r>
      <w:r w:rsidR="00BA01D6">
        <w:t xml:space="preserve">in </w:t>
      </w:r>
      <w:r w:rsidR="00DA4099">
        <w:t xml:space="preserve">Annexure </w:t>
      </w:r>
      <w:r w:rsidR="00A25A68">
        <w:t>“</w:t>
      </w:r>
      <w:r w:rsidR="00DA4099">
        <w:t>A1</w:t>
      </w:r>
      <w:r w:rsidR="00A25A68">
        <w:t>”</w:t>
      </w:r>
      <w:r w:rsidR="00DA4099">
        <w:t xml:space="preserve"> to the particulars of claim, t</w:t>
      </w:r>
      <w:r w:rsidR="003F1328">
        <w:t>he</w:t>
      </w:r>
      <w:r w:rsidR="006C39DC">
        <w:t xml:space="preserve"> “</w:t>
      </w:r>
      <w:r w:rsidR="006C39DC" w:rsidRPr="00A60588">
        <w:rPr>
          <w:i/>
          <w:iCs/>
        </w:rPr>
        <w:t>Credit Provider Certificate</w:t>
      </w:r>
      <w:r w:rsidR="006C39DC">
        <w:t>” of “</w:t>
      </w:r>
      <w:r w:rsidR="006C39DC" w:rsidRPr="00A60588">
        <w:rPr>
          <w:i/>
          <w:iCs/>
        </w:rPr>
        <w:t>The Velocity</w:t>
      </w:r>
      <w:r w:rsidR="00DA4099" w:rsidRPr="00A60588">
        <w:rPr>
          <w:i/>
          <w:iCs/>
        </w:rPr>
        <w:t xml:space="preserve"> Finance Issuer Trust</w:t>
      </w:r>
      <w:r w:rsidR="00DA4099">
        <w:t>”</w:t>
      </w:r>
      <w:r w:rsidR="00610137">
        <w:t xml:space="preserve"> </w:t>
      </w:r>
      <w:r w:rsidR="0058792D">
        <w:t>was</w:t>
      </w:r>
      <w:r w:rsidR="00610137">
        <w:t xml:space="preserve"> dated 1 August 2021 and expired on 31</w:t>
      </w:r>
      <w:r w:rsidR="0058792D">
        <w:t xml:space="preserve"> July 2022.</w:t>
      </w:r>
      <w:r w:rsidR="002B75B6">
        <w:t xml:space="preserve"> The date of conclusion of the Instalment Sale Agreement</w:t>
      </w:r>
      <w:r w:rsidR="0099093F">
        <w:t xml:space="preserve"> (</w:t>
      </w:r>
      <w:r w:rsidR="00C50200">
        <w:t>29 July 2016)</w:t>
      </w:r>
      <w:r w:rsidR="002B75B6">
        <w:t xml:space="preserve"> </w:t>
      </w:r>
      <w:r w:rsidR="00BD74CB">
        <w:t xml:space="preserve">precedes the validity period of </w:t>
      </w:r>
      <w:r w:rsidR="00A25A68">
        <w:t>Annexure “A1”.</w:t>
      </w:r>
    </w:p>
    <w:p w14:paraId="69667375" w14:textId="7D6EB2A7" w:rsidR="00517C99" w:rsidRDefault="00C84FE9" w:rsidP="00C84FE9">
      <w:pPr>
        <w:pStyle w:val="JudgmentNumbered"/>
        <w:numPr>
          <w:ilvl w:val="0"/>
          <w:numId w:val="0"/>
        </w:numPr>
        <w:ind w:left="567" w:hanging="567"/>
      </w:pPr>
      <w:r>
        <w:t>[39]</w:t>
      </w:r>
      <w:r>
        <w:tab/>
      </w:r>
      <w:r w:rsidR="006E4BA7">
        <w:t xml:space="preserve">In </w:t>
      </w:r>
      <w:r w:rsidR="00162328">
        <w:t xml:space="preserve">his supplementary submissions, </w:t>
      </w:r>
      <w:r w:rsidR="00900464">
        <w:t>Mr Peter</w:t>
      </w:r>
      <w:r w:rsidR="00162328">
        <w:t xml:space="preserve"> referred to authorities </w:t>
      </w:r>
      <w:r w:rsidR="0035132C">
        <w:t xml:space="preserve">both in support of his contentions and </w:t>
      </w:r>
      <w:r w:rsidR="00F02EE4">
        <w:t xml:space="preserve">others that do not support his </w:t>
      </w:r>
      <w:r w:rsidR="00F176E3">
        <w:t xml:space="preserve">case. This approach </w:t>
      </w:r>
      <w:r w:rsidR="00234EF7">
        <w:t>by</w:t>
      </w:r>
      <w:r w:rsidR="00F176E3">
        <w:t xml:space="preserve"> counsel is</w:t>
      </w:r>
      <w:r w:rsidR="00234EF7">
        <w:t xml:space="preserve"> proper and</w:t>
      </w:r>
      <w:r w:rsidR="00F176E3">
        <w:t xml:space="preserve"> commendable.</w:t>
      </w:r>
      <w:r w:rsidR="00D51368">
        <w:t xml:space="preserve"> </w:t>
      </w:r>
    </w:p>
    <w:p w14:paraId="6EC133E2" w14:textId="7D9FFB0A" w:rsidR="00051FD0" w:rsidRDefault="00C84FE9" w:rsidP="00C84FE9">
      <w:pPr>
        <w:pStyle w:val="JudgmentNumbered"/>
        <w:numPr>
          <w:ilvl w:val="0"/>
          <w:numId w:val="0"/>
        </w:numPr>
        <w:ind w:left="567" w:hanging="567"/>
      </w:pPr>
      <w:r>
        <w:t>[40]</w:t>
      </w:r>
      <w:r>
        <w:tab/>
      </w:r>
      <w:r w:rsidR="008117EF">
        <w:t xml:space="preserve">Relying on </w:t>
      </w:r>
      <w:r w:rsidR="00593BFA" w:rsidRPr="008345F1">
        <w:rPr>
          <w:i/>
          <w:iCs/>
        </w:rPr>
        <w:t>Telematrix (Pty) Ltd v Advertising Standards Authority SA</w:t>
      </w:r>
      <w:r w:rsidR="00593BFA">
        <w:rPr>
          <w:rStyle w:val="FootnoteReference"/>
        </w:rPr>
        <w:footnoteReference w:id="17"/>
      </w:r>
      <w:r w:rsidR="00593BFA">
        <w:t xml:space="preserve">, </w:t>
      </w:r>
      <w:r w:rsidR="00D51368">
        <w:t xml:space="preserve">Mr Peter </w:t>
      </w:r>
      <w:r w:rsidR="00B428BE">
        <w:t>contended that the particulars of claim and the annexures thereto are to be read as a whole</w:t>
      </w:r>
      <w:r w:rsidR="006B4047">
        <w:t xml:space="preserve">, and where the particulars of claim lacked </w:t>
      </w:r>
      <w:r w:rsidR="00F97BC7">
        <w:t>averments</w:t>
      </w:r>
      <w:r w:rsidR="00A53B1C">
        <w:t xml:space="preserve"> which are fleshed out in annexures</w:t>
      </w:r>
      <w:r w:rsidR="00F75720">
        <w:t xml:space="preserve">, the contents of the annexures should be read into </w:t>
      </w:r>
      <w:r w:rsidR="002D6C2B">
        <w:t>particulars of claim</w:t>
      </w:r>
      <w:r w:rsidR="00F302A8">
        <w:t>.</w:t>
      </w:r>
      <w:r w:rsidR="004006F7">
        <w:t xml:space="preserve"> Further, </w:t>
      </w:r>
      <w:r w:rsidR="00AD4ECE">
        <w:t xml:space="preserve">one should not be overly technical </w:t>
      </w:r>
      <w:r w:rsidR="008E5190">
        <w:t>when considering whether a pleading is excipiable</w:t>
      </w:r>
      <w:r w:rsidR="00AE3AB7">
        <w:t>.</w:t>
      </w:r>
      <w:r w:rsidR="004006F7">
        <w:t xml:space="preserve"> </w:t>
      </w:r>
    </w:p>
    <w:p w14:paraId="7395BE00" w14:textId="5F634020" w:rsidR="00C05F49" w:rsidRDefault="00C84FE9" w:rsidP="00C84FE9">
      <w:pPr>
        <w:pStyle w:val="JudgmentNumbered"/>
        <w:numPr>
          <w:ilvl w:val="0"/>
          <w:numId w:val="0"/>
        </w:numPr>
        <w:ind w:left="567" w:hanging="567"/>
      </w:pPr>
      <w:r>
        <w:t>[41]</w:t>
      </w:r>
      <w:r>
        <w:tab/>
      </w:r>
      <w:r w:rsidR="00CA3BCB">
        <w:t xml:space="preserve">In </w:t>
      </w:r>
      <w:r w:rsidR="00CA3BCB" w:rsidRPr="008345F1">
        <w:rPr>
          <w:i/>
          <w:iCs/>
        </w:rPr>
        <w:t>Telematrix</w:t>
      </w:r>
      <w:r w:rsidR="00DB4877">
        <w:rPr>
          <w:i/>
          <w:iCs/>
        </w:rPr>
        <w:t>,</w:t>
      </w:r>
      <w:r w:rsidR="00B641B4">
        <w:rPr>
          <w:i/>
          <w:iCs/>
        </w:rPr>
        <w:t xml:space="preserve"> </w:t>
      </w:r>
      <w:r w:rsidR="00B641B4">
        <w:t>t</w:t>
      </w:r>
      <w:r w:rsidR="00CA3BCB">
        <w:t xml:space="preserve">he judgment focused on various legal aspects related to </w:t>
      </w:r>
      <w:r w:rsidR="00DB4877">
        <w:t xml:space="preserve">the </w:t>
      </w:r>
      <w:r w:rsidR="00CA3BCB">
        <w:t>delictual liability of officials for making incorrect and negligent decisions.</w:t>
      </w:r>
      <w:r w:rsidR="009E5129">
        <w:t xml:space="preserve"> </w:t>
      </w:r>
      <w:r w:rsidR="00DB4877">
        <w:t>However</w:t>
      </w:r>
      <w:r w:rsidR="00552427">
        <w:t xml:space="preserve">, </w:t>
      </w:r>
      <w:r w:rsidR="00DE68DA">
        <w:t>i</w:t>
      </w:r>
      <w:r w:rsidR="00974508">
        <w:t xml:space="preserve">t cannot be gainsaid that </w:t>
      </w:r>
      <w:r w:rsidR="002C020F">
        <w:t>the contents of annexures are to be incorporated into pleadings</w:t>
      </w:r>
      <w:r w:rsidR="0096486A">
        <w:t xml:space="preserve"> and</w:t>
      </w:r>
      <w:r w:rsidR="009E5129">
        <w:t>,</w:t>
      </w:r>
      <w:r w:rsidR="00DE68DA">
        <w:t xml:space="preserve"> further,</w:t>
      </w:r>
      <w:r w:rsidR="0096486A">
        <w:t xml:space="preserve"> that an overly technical approach </w:t>
      </w:r>
      <w:r w:rsidR="00B40E5F">
        <w:t xml:space="preserve">at the exception stage is </w:t>
      </w:r>
      <w:r w:rsidR="00E33858">
        <w:t>inappropriate</w:t>
      </w:r>
      <w:r w:rsidR="002C020F">
        <w:t xml:space="preserve">. </w:t>
      </w:r>
    </w:p>
    <w:p w14:paraId="08FB4234" w14:textId="16308B78" w:rsidR="00D4392A" w:rsidRDefault="00C84FE9" w:rsidP="00C84FE9">
      <w:pPr>
        <w:pStyle w:val="JudgmentNumbered"/>
        <w:numPr>
          <w:ilvl w:val="0"/>
          <w:numId w:val="0"/>
        </w:numPr>
        <w:ind w:left="567" w:hanging="567"/>
      </w:pPr>
      <w:r>
        <w:t>[42]</w:t>
      </w:r>
      <w:r>
        <w:tab/>
      </w:r>
      <w:r w:rsidR="00C43214">
        <w:t xml:space="preserve">An important </w:t>
      </w:r>
      <w:r w:rsidR="002F5C2C">
        <w:t>feature</w:t>
      </w:r>
      <w:r w:rsidR="00C43214">
        <w:t xml:space="preserve"> of </w:t>
      </w:r>
      <w:r w:rsidR="00866D14" w:rsidRPr="008345F1">
        <w:rPr>
          <w:i/>
          <w:iCs/>
        </w:rPr>
        <w:t>Telematrix</w:t>
      </w:r>
      <w:r w:rsidR="00866D14">
        <w:t xml:space="preserve"> </w:t>
      </w:r>
      <w:r w:rsidR="00C43214">
        <w:t>is that</w:t>
      </w:r>
      <w:r w:rsidR="00F3160C">
        <w:t xml:space="preserve"> the contents of the annexures</w:t>
      </w:r>
      <w:r w:rsidR="001542C1">
        <w:t xml:space="preserve">, as </w:t>
      </w:r>
      <w:r w:rsidR="00745D3F">
        <w:t xml:space="preserve">incorporated into the pleadings, </w:t>
      </w:r>
      <w:r w:rsidR="0015403A">
        <w:t>thwarted</w:t>
      </w:r>
      <w:r w:rsidR="003C0A79">
        <w:t xml:space="preserve"> the factual basis of</w:t>
      </w:r>
      <w:r w:rsidR="0015403A">
        <w:t xml:space="preserve"> </w:t>
      </w:r>
      <w:r w:rsidR="00646AD4">
        <w:t xml:space="preserve">two of the complaints </w:t>
      </w:r>
      <w:r w:rsidR="004C7583">
        <w:t xml:space="preserve">that the plaintiff in that matter </w:t>
      </w:r>
      <w:r w:rsidR="008C0E65">
        <w:t>had relied on in its claim.</w:t>
      </w:r>
      <w:r w:rsidR="00B02955">
        <w:t xml:space="preserve"> </w:t>
      </w:r>
      <w:r w:rsidR="00DE1651">
        <w:t xml:space="preserve">Borrowing </w:t>
      </w:r>
      <w:r w:rsidR="00DE1651">
        <w:lastRenderedPageBreak/>
        <w:t xml:space="preserve">from the </w:t>
      </w:r>
      <w:r w:rsidR="00AF0C7A">
        <w:t>judgment itself</w:t>
      </w:r>
      <w:r w:rsidR="00931193">
        <w:t>, “[T]</w:t>
      </w:r>
      <w:r w:rsidR="00B35C3F">
        <w:rPr>
          <w:i/>
          <w:iCs/>
        </w:rPr>
        <w:t xml:space="preserve">he </w:t>
      </w:r>
      <w:r w:rsidR="00B35C3F" w:rsidRPr="00B35C3F">
        <w:rPr>
          <w:i/>
          <w:iCs/>
        </w:rPr>
        <w:t>case does not therefore have to be decided on bare allegations only but on allegations that were fleshed out by means of annexures that tell a story</w:t>
      </w:r>
      <w:r w:rsidR="00336A09">
        <w:rPr>
          <w:i/>
          <w:iCs/>
        </w:rPr>
        <w:t>…</w:t>
      </w:r>
      <w:r w:rsidR="00B35C3F">
        <w:t>”</w:t>
      </w:r>
      <w:r w:rsidR="00336A09">
        <w:t>.</w:t>
      </w:r>
      <w:r w:rsidR="00336A09">
        <w:rPr>
          <w:rStyle w:val="FootnoteReference"/>
        </w:rPr>
        <w:footnoteReference w:id="18"/>
      </w:r>
      <w:r w:rsidR="00F80407">
        <w:t xml:space="preserve"> It speaks for itself that the incorporation of contents of the annexures into the pleading must at least be </w:t>
      </w:r>
      <w:r w:rsidR="00D04703">
        <w:t xml:space="preserve">meaningful, </w:t>
      </w:r>
      <w:r w:rsidR="00F80407">
        <w:t>relevant and material.</w:t>
      </w:r>
      <w:r w:rsidR="0092244F">
        <w:t xml:space="preserve"> </w:t>
      </w:r>
      <w:r w:rsidR="00601335">
        <w:t xml:space="preserve">In my view, </w:t>
      </w:r>
      <w:r w:rsidR="0016680E">
        <w:rPr>
          <w:i/>
          <w:iCs/>
        </w:rPr>
        <w:t>Telematrix</w:t>
      </w:r>
      <w:r w:rsidR="0016680E">
        <w:t xml:space="preserve"> su</w:t>
      </w:r>
      <w:r w:rsidR="00116D3A">
        <w:t>ggests that</w:t>
      </w:r>
      <w:r w:rsidR="0092244F">
        <w:t xml:space="preserve"> </w:t>
      </w:r>
      <w:r w:rsidR="00601335">
        <w:t>incorporating</w:t>
      </w:r>
      <w:r w:rsidR="0092244F">
        <w:t xml:space="preserve"> </w:t>
      </w:r>
      <w:r w:rsidR="00D71D91">
        <w:t xml:space="preserve">information from </w:t>
      </w:r>
      <w:r w:rsidR="00F5644A">
        <w:t>annexures</w:t>
      </w:r>
      <w:r w:rsidR="00EB1B03">
        <w:t xml:space="preserve"> into a pleading</w:t>
      </w:r>
      <w:r w:rsidR="00F5644A">
        <w:t xml:space="preserve"> that </w:t>
      </w:r>
      <w:r w:rsidR="00601335">
        <w:t>is</w:t>
      </w:r>
      <w:r w:rsidR="00F5644A">
        <w:t xml:space="preserve"> </w:t>
      </w:r>
      <w:r w:rsidR="00D72557">
        <w:t>not</w:t>
      </w:r>
      <w:r w:rsidR="009F3C13">
        <w:t xml:space="preserve"> meaningful and</w:t>
      </w:r>
      <w:r w:rsidR="00D72557">
        <w:t xml:space="preserve"> relevant and </w:t>
      </w:r>
      <w:r w:rsidR="00AC7FE6">
        <w:t>that lacks substance</w:t>
      </w:r>
      <w:r w:rsidR="00D71D91">
        <w:t xml:space="preserve"> would </w:t>
      </w:r>
      <w:r w:rsidR="00D4392A">
        <w:t xml:space="preserve">either </w:t>
      </w:r>
      <w:r w:rsidR="004A7AE3">
        <w:t>be</w:t>
      </w:r>
      <w:r w:rsidR="00F061D2">
        <w:t xml:space="preserve"> valueless</w:t>
      </w:r>
      <w:r w:rsidR="004A7AE3">
        <w:t xml:space="preserve"> or </w:t>
      </w:r>
      <w:r w:rsidR="009E7E16">
        <w:t>prejudicial.</w:t>
      </w:r>
      <w:r w:rsidR="00D4392A">
        <w:t xml:space="preserve"> </w:t>
      </w:r>
    </w:p>
    <w:p w14:paraId="555A2196" w14:textId="3A7784DB" w:rsidR="00F44C89" w:rsidRDefault="00C84FE9" w:rsidP="00C84FE9">
      <w:pPr>
        <w:pStyle w:val="JudgmentNumbered"/>
        <w:numPr>
          <w:ilvl w:val="0"/>
          <w:numId w:val="0"/>
        </w:numPr>
        <w:ind w:left="567" w:hanging="567"/>
      </w:pPr>
      <w:r>
        <w:t>[43]</w:t>
      </w:r>
      <w:r>
        <w:tab/>
      </w:r>
      <w:r w:rsidR="000E1391">
        <w:t xml:space="preserve">Based on </w:t>
      </w:r>
      <w:r w:rsidR="00E5675A" w:rsidRPr="00E5675A">
        <w:rPr>
          <w:i/>
          <w:iCs/>
        </w:rPr>
        <w:t>Sasfin Bank Ltd and Another v Melamed and Hurwitz Incorporated</w:t>
      </w:r>
      <w:r w:rsidR="003C6B00">
        <w:rPr>
          <w:i/>
          <w:iCs/>
        </w:rPr>
        <w:t xml:space="preserve"> and</w:t>
      </w:r>
      <w:r w:rsidR="00E5675A" w:rsidRPr="00E5675A">
        <w:rPr>
          <w:i/>
          <w:iCs/>
        </w:rPr>
        <w:t xml:space="preserve"> Another</w:t>
      </w:r>
      <w:r w:rsidR="00987286">
        <w:rPr>
          <w:rStyle w:val="FootnoteReference"/>
          <w:i/>
          <w:iCs/>
        </w:rPr>
        <w:footnoteReference w:id="19"/>
      </w:r>
      <w:r w:rsidR="00E5675A">
        <w:t xml:space="preserve">, </w:t>
      </w:r>
      <w:r w:rsidR="00E01FED">
        <w:t xml:space="preserve">Mr Peter argued that </w:t>
      </w:r>
      <w:r w:rsidR="00667ED2">
        <w:t>it must be shown</w:t>
      </w:r>
      <w:r w:rsidR="006E7559">
        <w:t xml:space="preserve"> i)</w:t>
      </w:r>
      <w:r w:rsidR="00E5675A">
        <w:t xml:space="preserve"> that </w:t>
      </w:r>
      <w:r w:rsidR="00403E3A">
        <w:t xml:space="preserve">absent an amendment, an exception </w:t>
      </w:r>
      <w:r w:rsidR="00667ED2">
        <w:t xml:space="preserve">would have </w:t>
      </w:r>
      <w:r w:rsidR="002F0FBE">
        <w:t>succeeded</w:t>
      </w:r>
      <w:r w:rsidR="00601335">
        <w:t>,</w:t>
      </w:r>
      <w:r w:rsidR="002F0FBE">
        <w:t xml:space="preserve"> and the claim would have been dismissed</w:t>
      </w:r>
      <w:r w:rsidR="00B64CC8">
        <w:t xml:space="preserve">, </w:t>
      </w:r>
      <w:r w:rsidR="006E7559">
        <w:t xml:space="preserve">ii) </w:t>
      </w:r>
      <w:r w:rsidR="00B64CC8">
        <w:t xml:space="preserve">that </w:t>
      </w:r>
      <w:r w:rsidR="00906CDC">
        <w:t xml:space="preserve">a court would not have observed any of the defects </w:t>
      </w:r>
      <w:r w:rsidR="00906CDC">
        <w:rPr>
          <w:i/>
          <w:iCs/>
        </w:rPr>
        <w:t>mero motu</w:t>
      </w:r>
      <w:r w:rsidR="00906CDC">
        <w:t xml:space="preserve"> </w:t>
      </w:r>
      <w:r w:rsidR="00D06051">
        <w:t>when considering granting default judgment, and there</w:t>
      </w:r>
      <w:r w:rsidR="00E81540">
        <w:t xml:space="preserve">fore, that the judgment was not erroneously granted. </w:t>
      </w:r>
      <w:r w:rsidR="007B617F">
        <w:t>Mr Peter argued that the annexures</w:t>
      </w:r>
      <w:r w:rsidR="005F5BEF">
        <w:t xml:space="preserve"> prove that </w:t>
      </w:r>
      <w:r w:rsidR="007B617F">
        <w:t>Volkswagen</w:t>
      </w:r>
      <w:r w:rsidR="00A76833">
        <w:t xml:space="preserve"> and, for that matter, the plaintiffs</w:t>
      </w:r>
      <w:r w:rsidR="00EE4CE1">
        <w:t>,</w:t>
      </w:r>
      <w:r w:rsidR="007B617F">
        <w:t xml:space="preserve"> w</w:t>
      </w:r>
      <w:r w:rsidR="00A76833">
        <w:t>ere</w:t>
      </w:r>
      <w:r w:rsidR="007B617F">
        <w:t xml:space="preserve"> registered as credit provider</w:t>
      </w:r>
      <w:r w:rsidR="00A76833">
        <w:t>s</w:t>
      </w:r>
      <w:r w:rsidR="003C6B00">
        <w:t>,</w:t>
      </w:r>
      <w:r w:rsidR="00A833AF">
        <w:t xml:space="preserve"> and </w:t>
      </w:r>
      <w:r w:rsidR="007813DB">
        <w:t>further aspects can be covered by evidence.</w:t>
      </w:r>
      <w:r w:rsidR="007B617F">
        <w:t xml:space="preserve"> </w:t>
      </w:r>
      <w:r w:rsidR="00E81540">
        <w:t xml:space="preserve"> </w:t>
      </w:r>
    </w:p>
    <w:p w14:paraId="17BFB40E" w14:textId="30835C45" w:rsidR="0006547E" w:rsidRDefault="00C84FE9" w:rsidP="00C84FE9">
      <w:pPr>
        <w:pStyle w:val="JudgmentNumbered"/>
        <w:numPr>
          <w:ilvl w:val="0"/>
          <w:numId w:val="0"/>
        </w:numPr>
        <w:ind w:left="567" w:hanging="567"/>
      </w:pPr>
      <w:r>
        <w:t>[44]</w:t>
      </w:r>
      <w:r>
        <w:tab/>
      </w:r>
      <w:r w:rsidR="00564AA8">
        <w:t xml:space="preserve">In </w:t>
      </w:r>
      <w:r w:rsidR="00564AA8">
        <w:rPr>
          <w:i/>
          <w:iCs/>
        </w:rPr>
        <w:t>Sasfin</w:t>
      </w:r>
      <w:r w:rsidR="00564AA8">
        <w:t xml:space="preserve">, </w:t>
      </w:r>
      <w:r w:rsidR="00E84255">
        <w:t xml:space="preserve">the applicant in the application for rescission of a default judgment contended that </w:t>
      </w:r>
      <w:r w:rsidR="007D0345">
        <w:t xml:space="preserve">the particulars of claim were excipiable because </w:t>
      </w:r>
      <w:r w:rsidR="00462CDE" w:rsidRPr="00462CDE">
        <w:t xml:space="preserve">the cessions on which the </w:t>
      </w:r>
      <w:r w:rsidR="00462CDE">
        <w:t>r</w:t>
      </w:r>
      <w:r w:rsidR="00462CDE" w:rsidRPr="00462CDE">
        <w:t xml:space="preserve">espondent had relied to establish their claims had not been properly pleaded, that a lost document referred to in the particulars of claim had not been properly dealt with in the pleadings and that as regards the suretyship under which the </w:t>
      </w:r>
      <w:r w:rsidR="004878B0">
        <w:t>s</w:t>
      </w:r>
      <w:r w:rsidR="00462CDE" w:rsidRPr="00462CDE">
        <w:t xml:space="preserve">econd </w:t>
      </w:r>
      <w:r w:rsidR="004878B0">
        <w:t>a</w:t>
      </w:r>
      <w:r w:rsidR="00462CDE" w:rsidRPr="00462CDE">
        <w:t>pplicant was held liable there was an error on the face of the suretyship document that created uncertainty as to the identity of the creditor, leaving the suretyship agreement “open to interpretation”</w:t>
      </w:r>
      <w:r w:rsidR="004878B0">
        <w:t>.</w:t>
      </w:r>
      <w:r w:rsidR="004878B0">
        <w:rPr>
          <w:rStyle w:val="FootnoteReference"/>
        </w:rPr>
        <w:footnoteReference w:id="20"/>
      </w:r>
      <w:r w:rsidR="00E84255">
        <w:t xml:space="preserve"> </w:t>
      </w:r>
      <w:r w:rsidR="0003666A">
        <w:t xml:space="preserve">The court found that </w:t>
      </w:r>
      <w:r w:rsidR="00F12FE0" w:rsidRPr="00F12FE0">
        <w:t xml:space="preserve">none of the matters raised by the </w:t>
      </w:r>
      <w:r w:rsidR="00F12FE0">
        <w:t>a</w:t>
      </w:r>
      <w:r w:rsidR="00F12FE0" w:rsidRPr="00F12FE0">
        <w:t xml:space="preserve">pplicant </w:t>
      </w:r>
      <w:r w:rsidR="00F12FE0">
        <w:t>w</w:t>
      </w:r>
      <w:r w:rsidR="00C60043">
        <w:t>ere</w:t>
      </w:r>
      <w:r w:rsidR="00F12FE0" w:rsidRPr="00F12FE0">
        <w:t xml:space="preserve"> matters which a court would ordinarily have been expected to observe </w:t>
      </w:r>
      <w:r w:rsidR="00F12FE0" w:rsidRPr="003B3C37">
        <w:rPr>
          <w:i/>
          <w:iCs/>
        </w:rPr>
        <w:t>mero motu</w:t>
      </w:r>
      <w:r w:rsidR="00F12FE0" w:rsidRPr="00F12FE0">
        <w:t xml:space="preserve"> in deliberating on whether or not to grant </w:t>
      </w:r>
      <w:r w:rsidR="00C60043">
        <w:t xml:space="preserve">a </w:t>
      </w:r>
      <w:r w:rsidR="00F12FE0" w:rsidRPr="00F12FE0">
        <w:t>default judgment, and for that reason</w:t>
      </w:r>
      <w:r w:rsidR="00F2600B">
        <w:t>,</w:t>
      </w:r>
      <w:r w:rsidR="00F12FE0" w:rsidRPr="00F12FE0">
        <w:t xml:space="preserve"> it cannot be said that the </w:t>
      </w:r>
      <w:r w:rsidR="00F12FE0" w:rsidRPr="00F12FE0">
        <w:lastRenderedPageBreak/>
        <w:t>judgment was erroneously granted</w:t>
      </w:r>
      <w:r w:rsidR="007521A2">
        <w:t>.</w:t>
      </w:r>
      <w:r w:rsidR="006E2F06">
        <w:t xml:space="preserve"> Regrettably, the court did not mention any </w:t>
      </w:r>
      <w:r w:rsidR="00F0719A">
        <w:t>authority</w:t>
      </w:r>
      <w:r w:rsidR="00CB3095">
        <w:t xml:space="preserve"> for</w:t>
      </w:r>
      <w:r w:rsidR="008C39FB">
        <w:t xml:space="preserve"> or the reasoning</w:t>
      </w:r>
      <w:r w:rsidR="00B2294F">
        <w:t xml:space="preserve"> underpinning</w:t>
      </w:r>
      <w:r w:rsidR="00F0719A">
        <w:t xml:space="preserve"> </w:t>
      </w:r>
      <w:r w:rsidR="002D7792">
        <w:t xml:space="preserve">the test that </w:t>
      </w:r>
      <w:r w:rsidR="00CB3095">
        <w:t>it</w:t>
      </w:r>
      <w:r w:rsidR="002D7792">
        <w:t xml:space="preserve"> applied in that matter, </w:t>
      </w:r>
      <w:r w:rsidR="00193977">
        <w:t>i.e.,</w:t>
      </w:r>
      <w:r w:rsidR="002D7792">
        <w:t xml:space="preserve"> what </w:t>
      </w:r>
      <w:r w:rsidR="00E61139">
        <w:t>a court would ordinarily have been expected to observe.</w:t>
      </w:r>
      <w:r w:rsidR="00EB26D8">
        <w:t xml:space="preserve"> </w:t>
      </w:r>
    </w:p>
    <w:p w14:paraId="6BC6B266" w14:textId="06F64360" w:rsidR="00970C33" w:rsidRDefault="00C84FE9" w:rsidP="00C84FE9">
      <w:pPr>
        <w:pStyle w:val="JudgmentNumbered"/>
        <w:numPr>
          <w:ilvl w:val="0"/>
          <w:numId w:val="0"/>
        </w:numPr>
        <w:ind w:left="567" w:hanging="567"/>
      </w:pPr>
      <w:r>
        <w:t>[45]</w:t>
      </w:r>
      <w:r>
        <w:tab/>
      </w:r>
      <w:r w:rsidR="00612223">
        <w:t>In the instant</w:t>
      </w:r>
      <w:r w:rsidR="00676DF0">
        <w:t xml:space="preserve"> case, the plaintiffs</w:t>
      </w:r>
      <w:r w:rsidR="00530CB6">
        <w:t xml:space="preserve"> had</w:t>
      </w:r>
      <w:r w:rsidR="00676DF0">
        <w:t xml:space="preserve"> applied to the registrar for default judgment under </w:t>
      </w:r>
      <w:r w:rsidR="0074271A">
        <w:t>Uniform Rule</w:t>
      </w:r>
      <w:r w:rsidR="00676DF0">
        <w:t xml:space="preserve"> 31(5)(a)</w:t>
      </w:r>
      <w:r w:rsidR="00530CB6">
        <w:t>,</w:t>
      </w:r>
      <w:r w:rsidR="00DB5313">
        <w:t xml:space="preserve"> and</w:t>
      </w:r>
      <w:r w:rsidR="00034BBE">
        <w:t xml:space="preserve"> </w:t>
      </w:r>
      <w:r w:rsidR="00FA0FCD">
        <w:t>a judge did not grant it</w:t>
      </w:r>
      <w:r w:rsidR="001715AD">
        <w:t>. In my view, i</w:t>
      </w:r>
      <w:r w:rsidR="002E14DF">
        <w:t>t cannot reasonably be expected of the registrar to consider whether a</w:t>
      </w:r>
      <w:r w:rsidR="005A5B40">
        <w:t xml:space="preserve"> pleading</w:t>
      </w:r>
      <w:r w:rsidR="002E14DF">
        <w:t xml:space="preserve"> claim is excipiable</w:t>
      </w:r>
      <w:r w:rsidR="005A5B40">
        <w:t xml:space="preserve"> before granting default judgment</w:t>
      </w:r>
      <w:r w:rsidR="002E14DF">
        <w:t>.</w:t>
      </w:r>
      <w:r w:rsidR="001715AD">
        <w:t xml:space="preserve"> Therefore, the</w:t>
      </w:r>
      <w:r w:rsidR="007B782A">
        <w:t xml:space="preserve"> test applied in </w:t>
      </w:r>
      <w:r w:rsidR="007B782A">
        <w:rPr>
          <w:i/>
          <w:iCs/>
        </w:rPr>
        <w:t>Sasfin</w:t>
      </w:r>
      <w:r w:rsidR="00860F05">
        <w:t xml:space="preserve">, assuming that it is </w:t>
      </w:r>
      <w:r w:rsidR="00BA6CF8">
        <w:t xml:space="preserve">authoritative, would not apply to judgments </w:t>
      </w:r>
      <w:r w:rsidR="00FB382F">
        <w:t xml:space="preserve">applied for under </w:t>
      </w:r>
      <w:r w:rsidR="003C4224">
        <w:t xml:space="preserve">Uniform </w:t>
      </w:r>
      <w:r w:rsidR="0074271A">
        <w:t>R</w:t>
      </w:r>
      <w:r w:rsidR="003C4224">
        <w:t>ule 31(5)(a)</w:t>
      </w:r>
      <w:r w:rsidR="00BB7D69">
        <w:t xml:space="preserve"> and granted by the </w:t>
      </w:r>
      <w:r w:rsidR="00D8285B">
        <w:t>registrar</w:t>
      </w:r>
      <w:r w:rsidR="008766AE">
        <w:t xml:space="preserve">, as </w:t>
      </w:r>
      <w:r w:rsidR="00FA30E2">
        <w:t xml:space="preserve">occurred in the instant </w:t>
      </w:r>
      <w:r w:rsidR="002E14DF">
        <w:t>matter</w:t>
      </w:r>
      <w:r w:rsidR="00D8285B">
        <w:t>.</w:t>
      </w:r>
      <w:r w:rsidR="000A7BF6">
        <w:t xml:space="preserve"> </w:t>
      </w:r>
    </w:p>
    <w:p w14:paraId="466508E8" w14:textId="46856812" w:rsidR="00FB02DB" w:rsidRDefault="00C84FE9" w:rsidP="00C84FE9">
      <w:pPr>
        <w:pStyle w:val="JudgmentNumbered"/>
        <w:numPr>
          <w:ilvl w:val="0"/>
          <w:numId w:val="0"/>
        </w:numPr>
        <w:ind w:left="567" w:hanging="567"/>
      </w:pPr>
      <w:r>
        <w:t>[46]</w:t>
      </w:r>
      <w:r>
        <w:tab/>
      </w:r>
      <w:r w:rsidR="000B68AD">
        <w:t xml:space="preserve">In </w:t>
      </w:r>
      <w:r w:rsidR="000B68AD" w:rsidRPr="009C1A92">
        <w:rPr>
          <w:i/>
          <w:iCs/>
        </w:rPr>
        <w:t>Silver Falcon</w:t>
      </w:r>
      <w:r w:rsidR="000B68AD" w:rsidRPr="00F36E5B">
        <w:rPr>
          <w:i/>
          <w:iCs/>
        </w:rPr>
        <w:t xml:space="preserve"> Trading 333 (Pty) Ltd and Others v Nedbank Ltd</w:t>
      </w:r>
      <w:r w:rsidR="00480911" w:rsidRPr="000D005F">
        <w:rPr>
          <w:rStyle w:val="FootnoteReference"/>
        </w:rPr>
        <w:footnoteReference w:id="21"/>
      </w:r>
      <w:r w:rsidR="000D005F">
        <w:t xml:space="preserve">, </w:t>
      </w:r>
      <w:r w:rsidR="00D64DBD">
        <w:t xml:space="preserve">the </w:t>
      </w:r>
      <w:r w:rsidR="005D0C6D">
        <w:t xml:space="preserve">court referred, with approval, to </w:t>
      </w:r>
      <w:r w:rsidR="00A07DB4">
        <w:t xml:space="preserve">the </w:t>
      </w:r>
      <w:r w:rsidR="000E5FD4" w:rsidRPr="000E5FD4">
        <w:t xml:space="preserve">approach adopted by Coetzee J in </w:t>
      </w:r>
      <w:r w:rsidR="000E5FD4" w:rsidRPr="00A07DB4">
        <w:rPr>
          <w:i/>
          <w:iCs/>
        </w:rPr>
        <w:t>Marais v Standard Credit Corporation Ltd</w:t>
      </w:r>
      <w:r w:rsidR="002B6C67">
        <w:t xml:space="preserve"> (</w:t>
      </w:r>
      <w:r w:rsidR="00525356" w:rsidRPr="00525356">
        <w:t>2002 (4) SA 892 (W)</w:t>
      </w:r>
      <w:r w:rsidR="00525356">
        <w:t>)</w:t>
      </w:r>
      <w:r w:rsidR="000E5FD4" w:rsidRPr="000E5FD4">
        <w:t>. In that matter</w:t>
      </w:r>
      <w:r w:rsidR="00F2600B">
        <w:t>,</w:t>
      </w:r>
      <w:r w:rsidR="000E5FD4" w:rsidRPr="000E5FD4">
        <w:t xml:space="preserve"> he rescinded a default judgment granted on a claim subject to the Credit Agreements Act</w:t>
      </w:r>
      <w:r w:rsidR="00FC110A">
        <w:t>, 75 of 1980</w:t>
      </w:r>
      <w:r w:rsidR="00C36450">
        <w:t>,</w:t>
      </w:r>
      <w:r w:rsidR="000E5FD4" w:rsidRPr="000E5FD4">
        <w:t xml:space="preserve"> where the summons failed to aver that s 6(5) of that Act had been complied with. He held that this was an essential averment absent which the summons was excipiable as not disclosing a cause of action. This was because he held s 6(5) of that Act imposed by law a suspensive condition in respect of contracts subject to that Act and that a suspensive condition and its fulfilment must be pleaded.</w:t>
      </w:r>
      <w:r w:rsidR="00FB02DB">
        <w:t xml:space="preserve"> Dealing with the application of </w:t>
      </w:r>
      <w:r w:rsidR="0074271A">
        <w:t>Uniform Rule</w:t>
      </w:r>
      <w:r w:rsidR="00FB02DB">
        <w:t xml:space="preserve"> 42(1)(a) he said:</w:t>
      </w:r>
    </w:p>
    <w:p w14:paraId="31C58D14" w14:textId="6E9F84F1" w:rsidR="00CF7F8C" w:rsidRDefault="00FB02DB" w:rsidP="004A463F">
      <w:pPr>
        <w:pStyle w:val="JudgmentNumbered"/>
        <w:numPr>
          <w:ilvl w:val="0"/>
          <w:numId w:val="0"/>
        </w:numPr>
        <w:spacing w:line="240" w:lineRule="auto"/>
        <w:ind w:left="1440"/>
      </w:pPr>
      <w:r>
        <w:t>‘</w:t>
      </w:r>
      <w:r w:rsidRPr="00CD3613">
        <w:rPr>
          <w:i/>
          <w:iCs/>
        </w:rPr>
        <w:t>In terms of Rule 42(1)(a) I can rescind the judgment on application by the party affected. In my view the word “erroneously” covers a matter such as the present one, where the allegation is that for want of an averment there is no cause of action, i</w:t>
      </w:r>
      <w:r w:rsidR="008D5511">
        <w:rPr>
          <w:i/>
          <w:iCs/>
        </w:rPr>
        <w:t>.</w:t>
      </w:r>
      <w:r w:rsidRPr="00CD3613">
        <w:rPr>
          <w:i/>
          <w:iCs/>
        </w:rPr>
        <w:t>e</w:t>
      </w:r>
      <w:r w:rsidR="008D5511">
        <w:rPr>
          <w:i/>
          <w:iCs/>
        </w:rPr>
        <w:t>.</w:t>
      </w:r>
      <w:r w:rsidRPr="00CD3613">
        <w:rPr>
          <w:i/>
          <w:iCs/>
        </w:rPr>
        <w:t xml:space="preserve"> nothing to sustain a judgment, and that the order was without legal foundation and as such was erroneously granted for the purposes of Rule 42(1)(a)</w:t>
      </w:r>
      <w:r>
        <w:t>.</w:t>
      </w:r>
      <w:r w:rsidR="008D5511">
        <w:t>’</w:t>
      </w:r>
      <w:r w:rsidR="00CD3613">
        <w:t>”</w:t>
      </w:r>
    </w:p>
    <w:p w14:paraId="7F9CAC09" w14:textId="0B6A659F" w:rsidR="00DA704D" w:rsidRDefault="00C84FE9" w:rsidP="00C84FE9">
      <w:pPr>
        <w:pStyle w:val="JudgmentNumbered"/>
        <w:numPr>
          <w:ilvl w:val="0"/>
          <w:numId w:val="0"/>
        </w:numPr>
        <w:ind w:left="567" w:hanging="567"/>
      </w:pPr>
      <w:r>
        <w:t>[47]</w:t>
      </w:r>
      <w:r>
        <w:tab/>
      </w:r>
      <w:r w:rsidR="009D763F">
        <w:t xml:space="preserve">In </w:t>
      </w:r>
      <w:r w:rsidR="009D763F" w:rsidRPr="009C1A92">
        <w:rPr>
          <w:i/>
          <w:iCs/>
        </w:rPr>
        <w:t>Silver Falcon</w:t>
      </w:r>
      <w:r w:rsidR="00DA46DF">
        <w:rPr>
          <w:i/>
          <w:iCs/>
        </w:rPr>
        <w:t>,</w:t>
      </w:r>
      <w:r w:rsidR="009D763F">
        <w:t xml:space="preserve"> the court</w:t>
      </w:r>
      <w:r w:rsidR="006321FA">
        <w:t xml:space="preserve"> further</w:t>
      </w:r>
      <w:r w:rsidR="009D763F">
        <w:t xml:space="preserve"> </w:t>
      </w:r>
      <w:r w:rsidR="00A2403C">
        <w:t>concluded</w:t>
      </w:r>
      <w:r w:rsidR="00A40DCD">
        <w:t xml:space="preserve"> in paragraph 5 </w:t>
      </w:r>
      <w:r w:rsidR="00A2403C">
        <w:t>that if there are insufficient averments</w:t>
      </w:r>
      <w:r w:rsidR="00A40DCD">
        <w:t xml:space="preserve"> to sustain a cause of action, i</w:t>
      </w:r>
      <w:r w:rsidR="00DA704D" w:rsidRPr="00DA704D">
        <w:t xml:space="preserve">t follows that the judgment </w:t>
      </w:r>
      <w:r w:rsidR="00DA704D" w:rsidRPr="00DA704D">
        <w:lastRenderedPageBreak/>
        <w:t>must have been erroneously granted within the meaning of th</w:t>
      </w:r>
      <w:r w:rsidR="001E575E">
        <w:t xml:space="preserve">e wording of </w:t>
      </w:r>
      <w:r w:rsidR="0074271A">
        <w:t>Uniform Rule</w:t>
      </w:r>
      <w:r w:rsidR="001E575E">
        <w:t xml:space="preserve"> 42(1)(a)</w:t>
      </w:r>
      <w:r w:rsidR="00DA704D" w:rsidRPr="00DA704D">
        <w:t xml:space="preserve"> because there can have been no legal basis for granting </w:t>
      </w:r>
      <w:r w:rsidR="004A1264">
        <w:t>the default judgment</w:t>
      </w:r>
      <w:r w:rsidR="00DA704D" w:rsidRPr="00DA704D">
        <w:t>.</w:t>
      </w:r>
    </w:p>
    <w:p w14:paraId="2B03AFC0" w14:textId="0DFBAEB7" w:rsidR="00517C99" w:rsidRDefault="00C84FE9" w:rsidP="00C84FE9">
      <w:pPr>
        <w:pStyle w:val="JudgmentNumbered"/>
        <w:numPr>
          <w:ilvl w:val="0"/>
          <w:numId w:val="0"/>
        </w:numPr>
        <w:ind w:left="567" w:hanging="567"/>
      </w:pPr>
      <w:r>
        <w:t>[48]</w:t>
      </w:r>
      <w:r>
        <w:tab/>
      </w:r>
      <w:r w:rsidR="00517C99">
        <w:t xml:space="preserve">As indicated above, the </w:t>
      </w:r>
      <w:r w:rsidR="00F4011B">
        <w:t xml:space="preserve">first five pages of Annexure “B” display </w:t>
      </w:r>
      <w:r w:rsidR="000A4780">
        <w:t>the description</w:t>
      </w:r>
      <w:r w:rsidR="00465419">
        <w:t>s</w:t>
      </w:r>
      <w:r w:rsidR="00F4011B">
        <w:t xml:space="preserve"> </w:t>
      </w:r>
      <w:r w:rsidR="00051FD0">
        <w:t>“</w:t>
      </w:r>
      <w:r w:rsidR="003947A1">
        <w:rPr>
          <w:i/>
          <w:iCs/>
        </w:rPr>
        <w:t>NCR NUMBER: NCRCP6635</w:t>
      </w:r>
      <w:r w:rsidR="00051FD0">
        <w:t>”</w:t>
      </w:r>
      <w:r w:rsidR="00C72FEB">
        <w:t xml:space="preserve"> and/or “</w:t>
      </w:r>
      <w:r w:rsidR="00C72FEB">
        <w:rPr>
          <w:i/>
          <w:iCs/>
        </w:rPr>
        <w:t>NCRCP6635</w:t>
      </w:r>
      <w:r w:rsidR="00C72FEB">
        <w:t>”</w:t>
      </w:r>
      <w:r w:rsidR="00051FD0">
        <w:t>.</w:t>
      </w:r>
      <w:r w:rsidR="00241BC8">
        <w:t xml:space="preserve"> This method of numbering</w:t>
      </w:r>
      <w:r w:rsidR="00597133">
        <w:t xml:space="preserve"> by the National Credit Regulator</w:t>
      </w:r>
      <w:r w:rsidR="00241BC8">
        <w:t xml:space="preserve"> </w:t>
      </w:r>
      <w:r w:rsidR="003D5188">
        <w:t>often appears in documents</w:t>
      </w:r>
      <w:r w:rsidR="007813DB">
        <w:t xml:space="preserve"> that serve before courts.</w:t>
      </w:r>
      <w:r w:rsidR="00E610F9">
        <w:t xml:space="preserve"> The question is whether this </w:t>
      </w:r>
      <w:r w:rsidR="00617792">
        <w:t xml:space="preserve">data or </w:t>
      </w:r>
      <w:r w:rsidR="00E610F9">
        <w:t>information</w:t>
      </w:r>
      <w:r w:rsidR="00D7373B">
        <w:t xml:space="preserve"> is</w:t>
      </w:r>
      <w:r w:rsidR="009A7EB5">
        <w:t xml:space="preserve"> i)</w:t>
      </w:r>
      <w:r w:rsidR="00B05181">
        <w:t xml:space="preserve"> </w:t>
      </w:r>
      <w:r w:rsidR="003A58F0">
        <w:t xml:space="preserve">meaningful, </w:t>
      </w:r>
      <w:r w:rsidR="00B05181">
        <w:t xml:space="preserve">relevant and material </w:t>
      </w:r>
      <w:r w:rsidR="00970B6A">
        <w:t xml:space="preserve">to the </w:t>
      </w:r>
      <w:r w:rsidR="001A2A52">
        <w:t>particulars of claim</w:t>
      </w:r>
      <w:r w:rsidR="00585788">
        <w:t>;</w:t>
      </w:r>
      <w:r w:rsidR="009A7EB5">
        <w:t xml:space="preserve"> and</w:t>
      </w:r>
      <w:r w:rsidR="00585788">
        <w:t xml:space="preserve"> ii)</w:t>
      </w:r>
      <w:r w:rsidR="00142AE9">
        <w:t xml:space="preserve"> </w:t>
      </w:r>
      <w:r w:rsidR="00B05181">
        <w:t xml:space="preserve">capable </w:t>
      </w:r>
      <w:r w:rsidR="00EE0A6F">
        <w:t xml:space="preserve">of being understood as an allegation </w:t>
      </w:r>
      <w:r w:rsidR="00F13BDA">
        <w:t xml:space="preserve">that Volkswagen was registered as a credit provider at the time of </w:t>
      </w:r>
      <w:r w:rsidR="00530B7D">
        <w:t xml:space="preserve">the </w:t>
      </w:r>
      <w:r w:rsidR="00F13BDA">
        <w:t xml:space="preserve">conclusion of the </w:t>
      </w:r>
      <w:r w:rsidR="003433CB">
        <w:t>Instalment Sale Agreement</w:t>
      </w:r>
      <w:r w:rsidR="009A7C0F">
        <w:t>.</w:t>
      </w:r>
    </w:p>
    <w:p w14:paraId="26046EC8" w14:textId="3F6E8546" w:rsidR="001A2A52" w:rsidRDefault="00C84FE9" w:rsidP="00C84FE9">
      <w:pPr>
        <w:pStyle w:val="JudgmentNumbered"/>
        <w:numPr>
          <w:ilvl w:val="0"/>
          <w:numId w:val="0"/>
        </w:numPr>
        <w:ind w:left="567" w:hanging="567"/>
      </w:pPr>
      <w:r>
        <w:t>[49]</w:t>
      </w:r>
      <w:r>
        <w:tab/>
      </w:r>
      <w:r w:rsidR="001A2A52">
        <w:t xml:space="preserve">In my view, the answer to </w:t>
      </w:r>
      <w:r w:rsidR="00B02EC8">
        <w:t xml:space="preserve">both questions </w:t>
      </w:r>
      <w:r w:rsidR="006B4413">
        <w:t>is</w:t>
      </w:r>
      <w:r w:rsidR="00B02EC8">
        <w:t xml:space="preserve"> in the negative.</w:t>
      </w:r>
      <w:r w:rsidR="008D3F60">
        <w:t xml:space="preserve"> The display of th</w:t>
      </w:r>
      <w:r w:rsidR="00FD3C90">
        <w:t>is information</w:t>
      </w:r>
      <w:r w:rsidR="00F01D56">
        <w:t xml:space="preserve"> where </w:t>
      </w:r>
      <w:r w:rsidR="00596928">
        <w:t>it appears</w:t>
      </w:r>
      <w:r w:rsidR="003926B4">
        <w:t xml:space="preserve"> has no evidentiary value</w:t>
      </w:r>
      <w:r w:rsidR="006B4413">
        <w:t>. It</w:t>
      </w:r>
      <w:r w:rsidR="00F01D56">
        <w:t xml:space="preserve"> is</w:t>
      </w:r>
      <w:r w:rsidR="00682DC7">
        <w:t xml:space="preserve"> further</w:t>
      </w:r>
      <w:r w:rsidR="00F01D56">
        <w:t xml:space="preserve"> meaningless</w:t>
      </w:r>
      <w:r w:rsidR="00596928">
        <w:t>,</w:t>
      </w:r>
      <w:r w:rsidR="00DA6A55">
        <w:t xml:space="preserve"> irrelevant and </w:t>
      </w:r>
      <w:r w:rsidR="00425B3C">
        <w:t>immaterial</w:t>
      </w:r>
      <w:r w:rsidR="00596928">
        <w:t xml:space="preserve"> absent averments to the effect that</w:t>
      </w:r>
      <w:r w:rsidR="00574D0F">
        <w:t xml:space="preserve"> Volkswagen</w:t>
      </w:r>
      <w:r w:rsidR="00EF44D3">
        <w:t>, as at the conclusion of the Instalment Sale Agreement,</w:t>
      </w:r>
      <w:r w:rsidR="00574D0F">
        <w:t xml:space="preserve"> was a registered credit provider </w:t>
      </w:r>
      <w:r w:rsidR="00EF44D3">
        <w:t>in terms of the NCA</w:t>
      </w:r>
      <w:r w:rsidR="006D5FFF">
        <w:t xml:space="preserve">, and </w:t>
      </w:r>
      <w:r w:rsidR="0026094C">
        <w:t>“</w:t>
      </w:r>
      <w:r w:rsidR="0026094C">
        <w:rPr>
          <w:i/>
          <w:iCs/>
        </w:rPr>
        <w:t>NCRCP6635</w:t>
      </w:r>
      <w:r w:rsidR="0026094C">
        <w:t xml:space="preserve">” has reference to </w:t>
      </w:r>
      <w:r w:rsidR="00565340">
        <w:t>Volkswagen’s registration status at the</w:t>
      </w:r>
      <w:r w:rsidR="00164360">
        <w:t xml:space="preserve"> relevant</w:t>
      </w:r>
      <w:r w:rsidR="00565340">
        <w:t xml:space="preserve"> time</w:t>
      </w:r>
      <w:r w:rsidR="005E01EE">
        <w:t>.</w:t>
      </w:r>
    </w:p>
    <w:p w14:paraId="6A7977B9" w14:textId="14F96A45" w:rsidR="00B96D7B" w:rsidRDefault="00C84FE9" w:rsidP="00C84FE9">
      <w:pPr>
        <w:pStyle w:val="JudgmentNumbered"/>
        <w:numPr>
          <w:ilvl w:val="0"/>
          <w:numId w:val="0"/>
        </w:numPr>
        <w:ind w:left="567" w:hanging="567"/>
      </w:pPr>
      <w:r>
        <w:t>[50]</w:t>
      </w:r>
      <w:r>
        <w:tab/>
      </w:r>
      <w:r w:rsidR="005E01EE">
        <w:t xml:space="preserve">In the absence of </w:t>
      </w:r>
      <w:r w:rsidR="00601B0D">
        <w:t>the latter allegations, the particulars of claim</w:t>
      </w:r>
      <w:r w:rsidR="003C016A">
        <w:t xml:space="preserve"> (including its annexures)</w:t>
      </w:r>
      <w:r w:rsidR="00601B0D">
        <w:t xml:space="preserve"> lacks </w:t>
      </w:r>
      <w:r w:rsidR="00DA46DF">
        <w:t xml:space="preserve">the </w:t>
      </w:r>
      <w:r w:rsidR="00601B0D">
        <w:t>necessary allegations to sustain a cause of action</w:t>
      </w:r>
      <w:r w:rsidR="00383D89">
        <w:t xml:space="preserve">. This </w:t>
      </w:r>
      <w:r w:rsidR="00E45FCB">
        <w:rPr>
          <w:i/>
          <w:iCs/>
        </w:rPr>
        <w:t>lacuna</w:t>
      </w:r>
      <w:r w:rsidR="00601B0D">
        <w:t xml:space="preserve"> rendering </w:t>
      </w:r>
      <w:r w:rsidR="00E45FCB">
        <w:t>renders the plaintiffs’ claim</w:t>
      </w:r>
      <w:r w:rsidR="0090369B">
        <w:t xml:space="preserve"> excipiable</w:t>
      </w:r>
      <w:r w:rsidR="00E45FCB">
        <w:t>.</w:t>
      </w:r>
      <w:r w:rsidR="00F6348C">
        <w:t xml:space="preserve"> Additionally, </w:t>
      </w:r>
      <w:r w:rsidR="00107990">
        <w:t>the particulars of claim</w:t>
      </w:r>
      <w:r w:rsidR="003C016A">
        <w:t xml:space="preserve"> (including its annexures)</w:t>
      </w:r>
      <w:r w:rsidR="00B6158F">
        <w:t xml:space="preserve"> lacks</w:t>
      </w:r>
      <w:r w:rsidR="003752B4">
        <w:t xml:space="preserve"> </w:t>
      </w:r>
      <w:r w:rsidR="003752B4" w:rsidRPr="003752B4">
        <w:t xml:space="preserve">a clear and concise statement of </w:t>
      </w:r>
      <w:r w:rsidR="00125BE4">
        <w:t>a</w:t>
      </w:r>
      <w:r w:rsidR="003752B4" w:rsidRPr="003752B4">
        <w:t xml:space="preserve"> material fact</w:t>
      </w:r>
      <w:r w:rsidR="00125BE4">
        <w:t xml:space="preserve"> (</w:t>
      </w:r>
      <w:r w:rsidR="00F6348C">
        <w:t>i.e.</w:t>
      </w:r>
      <w:r w:rsidR="00125BE4">
        <w:t xml:space="preserve"> </w:t>
      </w:r>
      <w:r w:rsidR="00FB0A7A">
        <w:t>Volkswagen</w:t>
      </w:r>
      <w:r w:rsidR="00125BE4">
        <w:t>s’ registration as a credit provider</w:t>
      </w:r>
      <w:r w:rsidR="001008C2">
        <w:t xml:space="preserve"> as at </w:t>
      </w:r>
      <w:r w:rsidR="00C94D5B">
        <w:t xml:space="preserve">the </w:t>
      </w:r>
      <w:r w:rsidR="001008C2">
        <w:t xml:space="preserve">conclusion </w:t>
      </w:r>
      <w:r w:rsidR="00D47209">
        <w:t>of the</w:t>
      </w:r>
      <w:r w:rsidR="00107990">
        <w:t xml:space="preserve"> credit agreement</w:t>
      </w:r>
      <w:r w:rsidR="00125BE4">
        <w:t>)</w:t>
      </w:r>
      <w:r w:rsidR="003752B4" w:rsidRPr="003752B4">
        <w:t xml:space="preserve"> upon which the pleader relies for his or her claim, with sufficient particularity to enable the </w:t>
      </w:r>
      <w:r w:rsidR="00110C7F">
        <w:t>defendant</w:t>
      </w:r>
      <w:r w:rsidR="003752B4" w:rsidRPr="003752B4">
        <w:t xml:space="preserve"> to reply thereto</w:t>
      </w:r>
      <w:r w:rsidR="001D72B6">
        <w:t>.</w:t>
      </w:r>
      <w:r w:rsidR="00552187">
        <w:t xml:space="preserve"> As such, the particulars of </w:t>
      </w:r>
      <w:r w:rsidR="00AD5D63">
        <w:t xml:space="preserve">the </w:t>
      </w:r>
      <w:r w:rsidR="00552187">
        <w:t>claim do</w:t>
      </w:r>
      <w:r w:rsidR="00AD5D63">
        <w:t>es</w:t>
      </w:r>
      <w:r w:rsidR="00552187">
        <w:t xml:space="preserve"> not satisfy the provisions of </w:t>
      </w:r>
      <w:r w:rsidR="0074271A">
        <w:t>Uniform Rule</w:t>
      </w:r>
      <w:r w:rsidR="00552187">
        <w:t xml:space="preserve"> 18(4)</w:t>
      </w:r>
      <w:r w:rsidR="00AD5D63">
        <w:t>,</w:t>
      </w:r>
      <w:r w:rsidR="00C903D7">
        <w:t xml:space="preserve"> which constitutes an irregularity</w:t>
      </w:r>
      <w:r w:rsidR="006B6421">
        <w:t xml:space="preserve"> as envisaged by </w:t>
      </w:r>
      <w:r w:rsidR="0074271A">
        <w:t>Uniform Rule</w:t>
      </w:r>
      <w:r w:rsidR="006B6421">
        <w:t xml:space="preserve"> 30.</w:t>
      </w:r>
    </w:p>
    <w:p w14:paraId="3B9C90F3" w14:textId="54D89C85" w:rsidR="007764E3" w:rsidRDefault="00C84FE9" w:rsidP="00C84FE9">
      <w:pPr>
        <w:pStyle w:val="JudgmentNumbered"/>
        <w:numPr>
          <w:ilvl w:val="0"/>
          <w:numId w:val="0"/>
        </w:numPr>
        <w:ind w:left="567" w:hanging="567"/>
      </w:pPr>
      <w:r>
        <w:t>[51]</w:t>
      </w:r>
      <w:r>
        <w:tab/>
      </w:r>
      <w:r w:rsidR="007764E3">
        <w:t xml:space="preserve">These deficiencies in </w:t>
      </w:r>
      <w:r w:rsidR="0085313C">
        <w:t>the pleaded case go to the root of the plaintiffs’ case against the defendant.</w:t>
      </w:r>
    </w:p>
    <w:p w14:paraId="696A07A2" w14:textId="7010F01E" w:rsidR="002628E7" w:rsidRDefault="00C84FE9" w:rsidP="00C84FE9">
      <w:pPr>
        <w:pStyle w:val="JudgmentNumbered"/>
        <w:numPr>
          <w:ilvl w:val="0"/>
          <w:numId w:val="0"/>
        </w:numPr>
        <w:ind w:left="567" w:hanging="567"/>
      </w:pPr>
      <w:r>
        <w:lastRenderedPageBreak/>
        <w:t>[52]</w:t>
      </w:r>
      <w:r>
        <w:tab/>
      </w:r>
      <w:r w:rsidR="002628E7">
        <w:t xml:space="preserve">Lastly, Mr Peter urged me to take into account that </w:t>
      </w:r>
      <w:r w:rsidR="00074C57">
        <w:t>an unknown individual assisted the defendant</w:t>
      </w:r>
      <w:r w:rsidR="0071427D">
        <w:t xml:space="preserve"> in preparing </w:t>
      </w:r>
      <w:r w:rsidR="00DC1D29">
        <w:t xml:space="preserve">papers on </w:t>
      </w:r>
      <w:r w:rsidR="00591E7F">
        <w:t xml:space="preserve">the </w:t>
      </w:r>
      <w:r w:rsidR="00DC1D29">
        <w:t>defendant’s behalf.</w:t>
      </w:r>
      <w:r w:rsidR="0071427D">
        <w:t xml:space="preserve"> </w:t>
      </w:r>
      <w:r w:rsidR="003F2741">
        <w:t xml:space="preserve">While there appears to be merit in Mr Peter’s </w:t>
      </w:r>
      <w:r w:rsidR="006C5214">
        <w:t xml:space="preserve">contention, there is no evidence on the identity </w:t>
      </w:r>
      <w:r w:rsidR="00CF1B8A">
        <w:t xml:space="preserve">or qualifications </w:t>
      </w:r>
      <w:r w:rsidR="006C5214">
        <w:t xml:space="preserve">of this </w:t>
      </w:r>
      <w:r w:rsidR="00CF1B8A">
        <w:t>person</w:t>
      </w:r>
      <w:r w:rsidR="0095319E">
        <w:t xml:space="preserve"> and</w:t>
      </w:r>
      <w:r w:rsidR="00CF1B8A">
        <w:t xml:space="preserve"> the extent of his/her “assistance”</w:t>
      </w:r>
      <w:r w:rsidR="0095319E">
        <w:t>.</w:t>
      </w:r>
      <w:r w:rsidR="00FB0E22">
        <w:t xml:space="preserve"> It follows that this court cannot</w:t>
      </w:r>
      <w:r w:rsidR="00AD09F2">
        <w:t xml:space="preserve"> deviate from applying the law </w:t>
      </w:r>
      <w:r w:rsidR="00F27C5C">
        <w:t>because</w:t>
      </w:r>
      <w:r w:rsidR="00AD09F2">
        <w:t xml:space="preserve"> the </w:t>
      </w:r>
      <w:r w:rsidR="00DB24B4">
        <w:t xml:space="preserve">defendant </w:t>
      </w:r>
      <w:r w:rsidR="00F27C5C">
        <w:t xml:space="preserve">was </w:t>
      </w:r>
      <w:r w:rsidR="00DB24B4">
        <w:t xml:space="preserve">possibly </w:t>
      </w:r>
      <w:r w:rsidR="00F27C5C">
        <w:t>“</w:t>
      </w:r>
      <w:r w:rsidR="00DB24B4">
        <w:t>assisted</w:t>
      </w:r>
      <w:r w:rsidR="00F27C5C">
        <w:t>”</w:t>
      </w:r>
      <w:r w:rsidR="00DB24B4">
        <w:t xml:space="preserve"> by an unqualified </w:t>
      </w:r>
      <w:r w:rsidR="00677D8B">
        <w:t>advisor</w:t>
      </w:r>
      <w:r w:rsidR="00F27C5C">
        <w:t>.</w:t>
      </w:r>
      <w:r w:rsidR="00761ED3">
        <w:t xml:space="preserve"> </w:t>
      </w:r>
      <w:r w:rsidR="00EF2C8A">
        <w:t xml:space="preserve">It would certainly not be </w:t>
      </w:r>
      <w:r w:rsidR="00343F34">
        <w:t>unfounded for the plaintiffs to have this aspect investigated by the Legal Practice Council</w:t>
      </w:r>
      <w:r w:rsidR="00FB0E22">
        <w:t>.</w:t>
      </w:r>
    </w:p>
    <w:p w14:paraId="3005F1CF" w14:textId="600D00CF" w:rsidR="00AE21AA" w:rsidRDefault="00AE21AA" w:rsidP="00AE21AA">
      <w:pPr>
        <w:pStyle w:val="JudgmentHeading"/>
        <w:rPr>
          <w:i w:val="0"/>
          <w:iCs/>
        </w:rPr>
      </w:pPr>
      <w:r>
        <w:t>Obiter</w:t>
      </w:r>
    </w:p>
    <w:p w14:paraId="238126CC" w14:textId="39A7A926" w:rsidR="0058638E" w:rsidRDefault="00C84FE9" w:rsidP="00C84FE9">
      <w:pPr>
        <w:pStyle w:val="JudgmentNumbered"/>
        <w:numPr>
          <w:ilvl w:val="0"/>
          <w:numId w:val="0"/>
        </w:numPr>
        <w:ind w:left="567" w:hanging="567"/>
      </w:pPr>
      <w:r>
        <w:t>[53]</w:t>
      </w:r>
      <w:r>
        <w:tab/>
      </w:r>
      <w:r w:rsidR="0058638E">
        <w:t xml:space="preserve">It appears that </w:t>
      </w:r>
      <w:r w:rsidR="00F96840">
        <w:t>the plaintiffs’ particulars of claim</w:t>
      </w:r>
      <w:r w:rsidR="00036F51">
        <w:t xml:space="preserve"> or annexures</w:t>
      </w:r>
      <w:r w:rsidR="00F96840">
        <w:t xml:space="preserve"> may be defective in </w:t>
      </w:r>
      <w:r w:rsidR="009959D0">
        <w:t>other regards</w:t>
      </w:r>
      <w:r w:rsidR="00710036">
        <w:t xml:space="preserve">. </w:t>
      </w:r>
      <w:r w:rsidR="005404FC">
        <w:t xml:space="preserve">My views are </w:t>
      </w:r>
      <w:r w:rsidR="005404FC">
        <w:rPr>
          <w:i/>
          <w:iCs/>
        </w:rPr>
        <w:t>prima facie</w:t>
      </w:r>
      <w:r w:rsidR="007211A2">
        <w:t>;</w:t>
      </w:r>
      <w:r w:rsidR="005404FC">
        <w:t xml:space="preserve"> I make no</w:t>
      </w:r>
      <w:r w:rsidR="00046179">
        <w:t xml:space="preserve"> findings</w:t>
      </w:r>
      <w:r w:rsidR="00A237E1">
        <w:t xml:space="preserve"> on the </w:t>
      </w:r>
      <w:r w:rsidR="009E6DF2">
        <w:t xml:space="preserve">aspects mentioned below, and </w:t>
      </w:r>
      <w:r w:rsidR="009B3758">
        <w:t>the</w:t>
      </w:r>
      <w:r w:rsidR="007211A2">
        <w:t>se</w:t>
      </w:r>
      <w:r w:rsidR="009B3758">
        <w:t xml:space="preserve"> aspects</w:t>
      </w:r>
      <w:r w:rsidR="009E6DF2">
        <w:t xml:space="preserve"> are not taken into account</w:t>
      </w:r>
      <w:r w:rsidR="00681BA4">
        <w:t xml:space="preserve"> in arriving at the ultimate</w:t>
      </w:r>
      <w:r w:rsidR="00425539">
        <w:t xml:space="preserve"> my ultimate</w:t>
      </w:r>
      <w:r w:rsidR="00681BA4">
        <w:t xml:space="preserve"> conclusion</w:t>
      </w:r>
      <w:r w:rsidR="00467756">
        <w:t xml:space="preserve"> and order</w:t>
      </w:r>
      <w:r w:rsidR="00681BA4">
        <w:t>.</w:t>
      </w:r>
      <w:r w:rsidR="00F46B86">
        <w:t xml:space="preserve"> I highlight the following aspects</w:t>
      </w:r>
      <w:r w:rsidR="009959D0">
        <w:t>:</w:t>
      </w:r>
    </w:p>
    <w:p w14:paraId="6A328D80" w14:textId="434498D3" w:rsidR="001E49D0" w:rsidRDefault="00C84FE9" w:rsidP="00C84FE9">
      <w:pPr>
        <w:pStyle w:val="JudgmentNumbered"/>
        <w:numPr>
          <w:ilvl w:val="0"/>
          <w:numId w:val="0"/>
        </w:numPr>
        <w:ind w:left="1134" w:hanging="567"/>
      </w:pPr>
      <w:r>
        <w:t>a.</w:t>
      </w:r>
      <w:r>
        <w:tab/>
      </w:r>
      <w:r w:rsidR="001E49D0">
        <w:t xml:space="preserve">The first and second plaintiffs are cited as trustees </w:t>
      </w:r>
      <w:r w:rsidR="00BC56A2">
        <w:t>of the “</w:t>
      </w:r>
      <w:r w:rsidR="00BC56A2">
        <w:rPr>
          <w:i/>
          <w:iCs/>
        </w:rPr>
        <w:t>Velocity Trust</w:t>
      </w:r>
      <w:r w:rsidR="00BC56A2">
        <w:t>”</w:t>
      </w:r>
      <w:r w:rsidR="005A6678">
        <w:t>. The referenced Letters of Authority (“A</w:t>
      </w:r>
      <w:r w:rsidR="001A54C3">
        <w:t xml:space="preserve">2”) mentions the name of </w:t>
      </w:r>
      <w:r w:rsidR="00900AFA">
        <w:t xml:space="preserve">five trustees. There does not appear to be an explanation </w:t>
      </w:r>
      <w:r w:rsidR="00C34B82">
        <w:t xml:space="preserve">why the five trustees stated in the Letters of Authority have not been </w:t>
      </w:r>
      <w:r w:rsidR="00786FFB">
        <w:t>cited in the combined summons</w:t>
      </w:r>
      <w:r w:rsidR="002755C9">
        <w:t>;</w:t>
      </w:r>
    </w:p>
    <w:p w14:paraId="3DD2E900" w14:textId="2F82AD71" w:rsidR="009959D0" w:rsidRDefault="00C84FE9" w:rsidP="00C84FE9">
      <w:pPr>
        <w:pStyle w:val="JudgmentNumbered"/>
        <w:numPr>
          <w:ilvl w:val="0"/>
          <w:numId w:val="0"/>
        </w:numPr>
        <w:ind w:left="1134" w:hanging="567"/>
      </w:pPr>
      <w:r>
        <w:t>b.</w:t>
      </w:r>
      <w:r>
        <w:tab/>
      </w:r>
      <w:r w:rsidR="009959D0">
        <w:t>The</w:t>
      </w:r>
      <w:r w:rsidR="000E3D60">
        <w:t xml:space="preserve"> </w:t>
      </w:r>
      <w:r w:rsidR="009959D0">
        <w:t>particulars of claim</w:t>
      </w:r>
      <w:r w:rsidR="000E3D60">
        <w:t xml:space="preserve"> mentions </w:t>
      </w:r>
      <w:r w:rsidR="00FC5CBB">
        <w:t>the “</w:t>
      </w:r>
      <w:r w:rsidR="00FC5CBB">
        <w:rPr>
          <w:i/>
          <w:iCs/>
        </w:rPr>
        <w:t>Velocity Trust</w:t>
      </w:r>
      <w:r w:rsidR="00FC5CBB">
        <w:t xml:space="preserve">” while the referenced </w:t>
      </w:r>
      <w:r w:rsidR="002755C9">
        <w:t>A</w:t>
      </w:r>
      <w:r w:rsidR="00FC5CBB">
        <w:t xml:space="preserve">nnexures </w:t>
      </w:r>
      <w:r w:rsidR="00331670">
        <w:t>“A1” and “A2” refer to “</w:t>
      </w:r>
      <w:r w:rsidR="005E5813">
        <w:rPr>
          <w:i/>
          <w:iCs/>
        </w:rPr>
        <w:t>THE VELOCITY FINANCE ISSUER TRUST</w:t>
      </w:r>
      <w:r w:rsidR="005E5813">
        <w:t>”;</w:t>
      </w:r>
    </w:p>
    <w:p w14:paraId="70CB5E7F" w14:textId="0ED2292F" w:rsidR="005E5813" w:rsidRDefault="00C84FE9" w:rsidP="00C84FE9">
      <w:pPr>
        <w:pStyle w:val="JudgmentNumbered"/>
        <w:numPr>
          <w:ilvl w:val="0"/>
          <w:numId w:val="0"/>
        </w:numPr>
        <w:ind w:left="1134" w:hanging="567"/>
      </w:pPr>
      <w:r>
        <w:t>c.</w:t>
      </w:r>
      <w:r>
        <w:tab/>
      </w:r>
      <w:r w:rsidR="00653810">
        <w:t xml:space="preserve">In paragraphs 11 to 14 of the particulars of claim, reference is made to a written </w:t>
      </w:r>
      <w:r w:rsidR="00561092">
        <w:t>cession agreement without attaching the agreement or the relevant portion thereof</w:t>
      </w:r>
      <w:r w:rsidR="006B35E7">
        <w:t xml:space="preserve">. This may fall short of the requirements of Uniform </w:t>
      </w:r>
      <w:r w:rsidR="00696916">
        <w:t>R</w:t>
      </w:r>
      <w:r w:rsidR="006B35E7">
        <w:t>ule 18(6)</w:t>
      </w:r>
      <w:r w:rsidR="00834C2D">
        <w:t>;</w:t>
      </w:r>
    </w:p>
    <w:p w14:paraId="31F387FE" w14:textId="2C45DA3D" w:rsidR="00C73DBD" w:rsidRPr="0058638E" w:rsidRDefault="00C84FE9" w:rsidP="00C84FE9">
      <w:pPr>
        <w:pStyle w:val="JudgmentNumbered"/>
        <w:numPr>
          <w:ilvl w:val="0"/>
          <w:numId w:val="0"/>
        </w:numPr>
        <w:ind w:left="1134" w:hanging="567"/>
      </w:pPr>
      <w:r w:rsidRPr="0058638E">
        <w:t>d.</w:t>
      </w:r>
      <w:r w:rsidRPr="0058638E">
        <w:tab/>
      </w:r>
      <w:r w:rsidR="00C73DBD">
        <w:t xml:space="preserve">The plaintiffs plead that the Instalment Sale Agreement was concluded on </w:t>
      </w:r>
      <w:r w:rsidR="009A772B">
        <w:t>29 July 2016, and the cession of Volkswagen</w:t>
      </w:r>
      <w:r w:rsidR="00696916">
        <w:t>’</w:t>
      </w:r>
      <w:r w:rsidR="009A772B">
        <w:t>s rights</w:t>
      </w:r>
      <w:r w:rsidR="005B6C00">
        <w:t xml:space="preserve">, title, interest and ownership took place on </w:t>
      </w:r>
      <w:r w:rsidR="0027492E">
        <w:t>3 November 2016.</w:t>
      </w:r>
      <w:r w:rsidR="000F04AE">
        <w:t xml:space="preserve"> T</w:t>
      </w:r>
      <w:r w:rsidR="007E0CDE">
        <w:t>he section 129 notice</w:t>
      </w:r>
      <w:r w:rsidR="00815CE8">
        <w:t xml:space="preserve"> was </w:t>
      </w:r>
      <w:r w:rsidR="00815CE8">
        <w:lastRenderedPageBreak/>
        <w:t xml:space="preserve">issued </w:t>
      </w:r>
      <w:r w:rsidR="006A0821">
        <w:t>on behalf of the Trustees of The Velocity</w:t>
      </w:r>
      <w:r w:rsidR="004D357A">
        <w:t xml:space="preserve"> Finance Issuer Trust</w:t>
      </w:r>
      <w:r w:rsidR="00CB48BF">
        <w:t xml:space="preserve"> on or about 23 November 2021. However, according to the Certificate of Balance dated </w:t>
      </w:r>
      <w:r w:rsidR="00893568">
        <w:t xml:space="preserve">2 December 2021, the creditor was </w:t>
      </w:r>
      <w:r w:rsidR="00FD4F78">
        <w:t>“</w:t>
      </w:r>
      <w:r w:rsidR="00FD4F78" w:rsidRPr="00705174">
        <w:rPr>
          <w:i/>
          <w:iCs/>
        </w:rPr>
        <w:t>Volkswagen Financial Services</w:t>
      </w:r>
      <w:r w:rsidR="00FD4F78">
        <w:t>”</w:t>
      </w:r>
      <w:r w:rsidR="00705174">
        <w:t xml:space="preserve"> and not “</w:t>
      </w:r>
      <w:r w:rsidR="00705174" w:rsidRPr="00705174">
        <w:rPr>
          <w:i/>
          <w:iCs/>
        </w:rPr>
        <w:t>The Velocity Finance Issuer Trust</w:t>
      </w:r>
      <w:r w:rsidR="00705174">
        <w:t>”</w:t>
      </w:r>
      <w:r w:rsidR="001E49D0">
        <w:t>, as one would have expected in view of the alleg</w:t>
      </w:r>
      <w:r w:rsidR="00634779">
        <w:t>e</w:t>
      </w:r>
      <w:r w:rsidR="001E49D0">
        <w:t>d cession.</w:t>
      </w:r>
    </w:p>
    <w:p w14:paraId="7AA77939" w14:textId="448C024E" w:rsidR="00573E8D" w:rsidRDefault="00573E8D" w:rsidP="00573E8D">
      <w:pPr>
        <w:pStyle w:val="JudgmentHeading"/>
      </w:pPr>
      <w:r>
        <w:t>Conclusion</w:t>
      </w:r>
    </w:p>
    <w:p w14:paraId="7EC39C5D" w14:textId="157E606C" w:rsidR="000F0743" w:rsidRDefault="00C84FE9" w:rsidP="00C84FE9">
      <w:pPr>
        <w:pStyle w:val="JudgmentNumbered"/>
        <w:numPr>
          <w:ilvl w:val="0"/>
          <w:numId w:val="0"/>
        </w:numPr>
        <w:ind w:left="567" w:hanging="567"/>
      </w:pPr>
      <w:r>
        <w:t>[54]</w:t>
      </w:r>
      <w:r>
        <w:tab/>
      </w:r>
      <w:r w:rsidR="0076561F">
        <w:t>For the reasons</w:t>
      </w:r>
      <w:r w:rsidR="00C94F68">
        <w:t xml:space="preserve"> stated above</w:t>
      </w:r>
      <w:r w:rsidR="0076561F">
        <w:t xml:space="preserve">, the </w:t>
      </w:r>
      <w:r w:rsidR="00F5250D">
        <w:t xml:space="preserve">default judgment has been erroneously sought and granted and falls to be rescinded under </w:t>
      </w:r>
      <w:r w:rsidR="0074271A">
        <w:t>Uniform Rule</w:t>
      </w:r>
      <w:r w:rsidR="00F5250D">
        <w:t xml:space="preserve"> 42(1)(a).</w:t>
      </w:r>
    </w:p>
    <w:p w14:paraId="406A3D22" w14:textId="0E34AA85" w:rsidR="009058E1" w:rsidRDefault="00C84FE9" w:rsidP="00C84FE9">
      <w:pPr>
        <w:pStyle w:val="JudgmentNumbered"/>
        <w:numPr>
          <w:ilvl w:val="0"/>
          <w:numId w:val="0"/>
        </w:numPr>
        <w:ind w:left="567" w:hanging="567"/>
      </w:pPr>
      <w:r>
        <w:t>[55]</w:t>
      </w:r>
      <w:r>
        <w:tab/>
      </w:r>
      <w:r w:rsidR="009058E1">
        <w:t xml:space="preserve">As has been explained above, given the </w:t>
      </w:r>
      <w:r w:rsidR="00F250C9">
        <w:t xml:space="preserve">above finding, the court does not consider the application inasmuch as it relates to </w:t>
      </w:r>
      <w:r w:rsidR="001C39D4">
        <w:t xml:space="preserve">the provisions of </w:t>
      </w:r>
      <w:r w:rsidR="0074271A">
        <w:t>Uniform Rule</w:t>
      </w:r>
      <w:r w:rsidR="001C39D4">
        <w:t xml:space="preserve"> </w:t>
      </w:r>
      <w:r w:rsidR="00226359">
        <w:t xml:space="preserve">31(2)(b) or rescission </w:t>
      </w:r>
      <w:r w:rsidR="00565840">
        <w:t xml:space="preserve">of default judgment </w:t>
      </w:r>
      <w:r w:rsidR="00226359">
        <w:t>under the common law.</w:t>
      </w:r>
    </w:p>
    <w:p w14:paraId="021A49FE" w14:textId="5DC94A4F" w:rsidR="006F2E97" w:rsidRDefault="00C84FE9" w:rsidP="00C84FE9">
      <w:pPr>
        <w:pStyle w:val="JudgmentNumbered"/>
        <w:numPr>
          <w:ilvl w:val="0"/>
          <w:numId w:val="0"/>
        </w:numPr>
        <w:ind w:left="567" w:hanging="567"/>
      </w:pPr>
      <w:r>
        <w:t>[56]</w:t>
      </w:r>
      <w:r>
        <w:tab/>
      </w:r>
      <w:r w:rsidR="008C0BC5">
        <w:t>The relief sought for the stay of the warrant for the delivery of the motor vehicle</w:t>
      </w:r>
      <w:r w:rsidR="0033710D">
        <w:t xml:space="preserve"> is </w:t>
      </w:r>
      <w:r w:rsidR="00D37172">
        <w:t>superfluo</w:t>
      </w:r>
      <w:r w:rsidR="00360567">
        <w:t xml:space="preserve">us in view of the </w:t>
      </w:r>
      <w:r w:rsidR="00A6186F">
        <w:t>order for the resci</w:t>
      </w:r>
      <w:r w:rsidR="00DF5283">
        <w:t>s</w:t>
      </w:r>
      <w:r w:rsidR="00A6186F">
        <w:t xml:space="preserve">sion of the default </w:t>
      </w:r>
      <w:r w:rsidR="00DA3E4C">
        <w:t>judgment.</w:t>
      </w:r>
    </w:p>
    <w:p w14:paraId="1F42BBD3" w14:textId="2B916902" w:rsidR="00312819" w:rsidRDefault="00BE6622" w:rsidP="00BE6622">
      <w:pPr>
        <w:pStyle w:val="JudgmentHeading"/>
      </w:pPr>
      <w:r>
        <w:t>Costs</w:t>
      </w:r>
    </w:p>
    <w:p w14:paraId="02DDE644" w14:textId="3A2FFB52" w:rsidR="00E04C0A" w:rsidRDefault="00C84FE9" w:rsidP="00C84FE9">
      <w:pPr>
        <w:pStyle w:val="JudgmentNumbered"/>
        <w:numPr>
          <w:ilvl w:val="0"/>
          <w:numId w:val="0"/>
        </w:numPr>
        <w:ind w:left="567" w:hanging="567"/>
      </w:pPr>
      <w:r>
        <w:t>[57]</w:t>
      </w:r>
      <w:r>
        <w:tab/>
      </w:r>
      <w:r w:rsidR="00E04C0A">
        <w:t>I take into account that</w:t>
      </w:r>
      <w:r w:rsidR="00B66410">
        <w:t xml:space="preserve"> the </w:t>
      </w:r>
      <w:r w:rsidR="007C2359">
        <w:t>below order means that the</w:t>
      </w:r>
      <w:r w:rsidR="00E94DB2">
        <w:t xml:space="preserve"> application </w:t>
      </w:r>
      <w:r w:rsidR="00565840">
        <w:t>would have</w:t>
      </w:r>
      <w:r w:rsidR="00E94DB2">
        <w:t xml:space="preserve"> succeeded. </w:t>
      </w:r>
      <w:r w:rsidR="00C27058">
        <w:t xml:space="preserve">However, the </w:t>
      </w:r>
      <w:r w:rsidR="00282A33">
        <w:t xml:space="preserve">outcome of the application is not </w:t>
      </w:r>
      <w:r w:rsidR="00FA47F6">
        <w:t xml:space="preserve">by virtue of </w:t>
      </w:r>
      <w:r w:rsidR="006C40B0">
        <w:t xml:space="preserve">the </w:t>
      </w:r>
      <w:r w:rsidR="001F18E2">
        <w:t xml:space="preserve">reasons advanced by the </w:t>
      </w:r>
      <w:r w:rsidR="006C40B0">
        <w:t>defendant</w:t>
      </w:r>
      <w:r w:rsidR="001F18E2">
        <w:t xml:space="preserve">. In any event, it does not appear from the record that </w:t>
      </w:r>
      <w:r w:rsidR="00591E7F">
        <w:t>an admitted and enrolled attorney has represented the defendant</w:t>
      </w:r>
      <w:r w:rsidR="00B70337">
        <w:t>.</w:t>
      </w:r>
    </w:p>
    <w:p w14:paraId="55A92ECD" w14:textId="284D57D9" w:rsidR="00BE6622" w:rsidRDefault="00C84FE9" w:rsidP="00C84FE9">
      <w:pPr>
        <w:pStyle w:val="JudgmentNumbered"/>
        <w:numPr>
          <w:ilvl w:val="0"/>
          <w:numId w:val="0"/>
        </w:numPr>
        <w:ind w:left="567" w:hanging="567"/>
      </w:pPr>
      <w:r>
        <w:t>[58]</w:t>
      </w:r>
      <w:r>
        <w:tab/>
      </w:r>
      <w:r w:rsidR="000E63DD">
        <w:t xml:space="preserve">I believe that </w:t>
      </w:r>
      <w:r w:rsidR="00BF1875">
        <w:t xml:space="preserve">the costs of this application should be </w:t>
      </w:r>
      <w:r w:rsidR="00C076E4">
        <w:t>costs in the c</w:t>
      </w:r>
      <w:r w:rsidR="00A160CE">
        <w:t>au</w:t>
      </w:r>
      <w:r w:rsidR="00C076E4">
        <w:t>se</w:t>
      </w:r>
      <w:r w:rsidR="00152473">
        <w:t>.</w:t>
      </w:r>
    </w:p>
    <w:p w14:paraId="47E78DF8" w14:textId="78759D5B" w:rsidR="00A83A79" w:rsidRDefault="00A21966" w:rsidP="00A83A79">
      <w:pPr>
        <w:pStyle w:val="JudgmentHeading"/>
      </w:pPr>
      <w:r>
        <w:t>Order</w:t>
      </w:r>
    </w:p>
    <w:p w14:paraId="206AA40B" w14:textId="1BD4054C" w:rsidR="0089389C" w:rsidRPr="0089389C" w:rsidRDefault="0089389C" w:rsidP="0089389C">
      <w:pPr>
        <w:pStyle w:val="JudgmentNumbered"/>
        <w:numPr>
          <w:ilvl w:val="0"/>
          <w:numId w:val="0"/>
        </w:numPr>
        <w:ind w:left="567" w:hanging="567"/>
      </w:pPr>
      <w:r>
        <w:t>Accordingly, the following order is made:</w:t>
      </w:r>
    </w:p>
    <w:p w14:paraId="193E512B" w14:textId="3FB89C34" w:rsidR="00A83A79" w:rsidRDefault="00C84FE9" w:rsidP="00C84FE9">
      <w:pPr>
        <w:pStyle w:val="JudgmentNumbered"/>
        <w:numPr>
          <w:ilvl w:val="0"/>
          <w:numId w:val="0"/>
        </w:numPr>
        <w:ind w:left="567" w:hanging="567"/>
      </w:pPr>
      <w:r>
        <w:t>[1]</w:t>
      </w:r>
      <w:r>
        <w:tab/>
      </w:r>
      <w:r w:rsidR="0089389C">
        <w:t xml:space="preserve">The default judgment </w:t>
      </w:r>
      <w:r w:rsidR="00324E1B">
        <w:t>granted against the defendant on 18 May 2022</w:t>
      </w:r>
      <w:r w:rsidR="00B34DD0">
        <w:t xml:space="preserve">, as it appears at </w:t>
      </w:r>
      <w:r w:rsidR="00CC1C7E">
        <w:t>Caselines 021-2,</w:t>
      </w:r>
      <w:r w:rsidR="00324E1B">
        <w:t xml:space="preserve"> is</w:t>
      </w:r>
      <w:r w:rsidR="00CC1C7E">
        <w:t xml:space="preserve"> hereby</w:t>
      </w:r>
      <w:r w:rsidR="00324E1B">
        <w:t xml:space="preserve"> rescinded.</w:t>
      </w:r>
    </w:p>
    <w:p w14:paraId="06BC8B95" w14:textId="5F544A70" w:rsidR="00A83A79" w:rsidRDefault="00C84FE9" w:rsidP="00C84FE9">
      <w:pPr>
        <w:pStyle w:val="JudgmentNumbered"/>
        <w:numPr>
          <w:ilvl w:val="0"/>
          <w:numId w:val="0"/>
        </w:numPr>
        <w:ind w:left="567" w:hanging="567"/>
      </w:pPr>
      <w:r>
        <w:t>[2]</w:t>
      </w:r>
      <w:r>
        <w:tab/>
      </w:r>
      <w:r w:rsidR="00CC1C7E">
        <w:t>T</w:t>
      </w:r>
      <w:r w:rsidR="00CC1C7E" w:rsidRPr="00CC1C7E">
        <w:t xml:space="preserve">he defendant shall deliver </w:t>
      </w:r>
      <w:r w:rsidR="00A4148C">
        <w:t>his</w:t>
      </w:r>
      <w:r w:rsidR="00CC1C7E" w:rsidRPr="00CC1C7E">
        <w:t xml:space="preserve"> plea within </w:t>
      </w:r>
      <w:r w:rsidR="00D079AC">
        <w:t>20 (twenty)</w:t>
      </w:r>
      <w:r w:rsidR="00CC1C7E" w:rsidRPr="00CC1C7E">
        <w:t xml:space="preserve"> days from </w:t>
      </w:r>
      <w:r w:rsidR="00143282">
        <w:t xml:space="preserve">the </w:t>
      </w:r>
      <w:r w:rsidR="00CC1C7E" w:rsidRPr="00CC1C7E">
        <w:t>date of this order</w:t>
      </w:r>
      <w:r w:rsidR="00A4148C">
        <w:t>.</w:t>
      </w:r>
    </w:p>
    <w:p w14:paraId="0A438602" w14:textId="76ACD42A" w:rsidR="00A83A79" w:rsidRDefault="00C84FE9" w:rsidP="00C84FE9">
      <w:pPr>
        <w:pStyle w:val="JudgmentNumbered"/>
        <w:numPr>
          <w:ilvl w:val="0"/>
          <w:numId w:val="0"/>
        </w:numPr>
        <w:ind w:left="567" w:hanging="567"/>
      </w:pPr>
      <w:r>
        <w:lastRenderedPageBreak/>
        <w:t>[3]</w:t>
      </w:r>
      <w:r>
        <w:tab/>
      </w:r>
      <w:r w:rsidR="00A00BC8">
        <w:t>The costs of this application shall be costs in the cause.</w:t>
      </w:r>
    </w:p>
    <w:p w14:paraId="338A0BB0" w14:textId="17DC14D1" w:rsidR="00991950" w:rsidRDefault="00991950" w:rsidP="00991950">
      <w:pPr>
        <w:pStyle w:val="JudgmentNumbered"/>
        <w:numPr>
          <w:ilvl w:val="0"/>
          <w:numId w:val="0"/>
        </w:numPr>
      </w:pPr>
    </w:p>
    <w:p w14:paraId="5DECA3CC" w14:textId="7FF2B3CC" w:rsidR="00991950" w:rsidRDefault="00991950" w:rsidP="00D176B4">
      <w:pPr>
        <w:pStyle w:val="JudgmentNumbered"/>
        <w:numPr>
          <w:ilvl w:val="0"/>
          <w:numId w:val="0"/>
        </w:numPr>
        <w:jc w:val="right"/>
      </w:pPr>
    </w:p>
    <w:p w14:paraId="5B78BB04" w14:textId="7C60D22E" w:rsidR="002B448C" w:rsidRDefault="002B448C" w:rsidP="00EB01DA">
      <w:pPr>
        <w:pStyle w:val="JudgmentNumbered"/>
        <w:numPr>
          <w:ilvl w:val="0"/>
          <w:numId w:val="0"/>
        </w:numPr>
        <w:spacing w:after="0"/>
        <w:ind w:left="567" w:hanging="567"/>
        <w:jc w:val="right"/>
      </w:pPr>
      <w:r>
        <w:t>___________</w:t>
      </w:r>
      <w:r w:rsidR="00EB01DA">
        <w:t>__</w:t>
      </w:r>
      <w:r>
        <w:t>______________</w:t>
      </w:r>
    </w:p>
    <w:p w14:paraId="41AB5C73" w14:textId="2AF90389" w:rsidR="002B448C" w:rsidRDefault="00DF2CAA" w:rsidP="00EB01DA">
      <w:pPr>
        <w:pStyle w:val="JudgmentNumbered"/>
        <w:numPr>
          <w:ilvl w:val="0"/>
          <w:numId w:val="0"/>
        </w:numPr>
        <w:spacing w:after="0"/>
        <w:ind w:left="567" w:hanging="567"/>
        <w:jc w:val="right"/>
        <w:rPr>
          <w:b/>
        </w:rPr>
      </w:pPr>
      <w:r>
        <w:rPr>
          <w:b/>
        </w:rPr>
        <w:t xml:space="preserve">C.A.C. </w:t>
      </w:r>
      <w:r w:rsidR="001B5B0F">
        <w:rPr>
          <w:b/>
        </w:rPr>
        <w:t>KOR</w:t>
      </w:r>
      <w:r>
        <w:rPr>
          <w:b/>
        </w:rPr>
        <w:t>F</w:t>
      </w:r>
    </w:p>
    <w:p w14:paraId="66067301" w14:textId="2F9B39FB" w:rsidR="002B448C" w:rsidRDefault="00DF2CAA" w:rsidP="00EB01DA">
      <w:pPr>
        <w:pStyle w:val="JudgmentNumbered"/>
        <w:numPr>
          <w:ilvl w:val="0"/>
          <w:numId w:val="0"/>
        </w:numPr>
        <w:spacing w:after="0"/>
        <w:ind w:left="567" w:hanging="567"/>
        <w:jc w:val="right"/>
        <w:rPr>
          <w:b/>
        </w:rPr>
      </w:pPr>
      <w:r>
        <w:rPr>
          <w:b/>
        </w:rPr>
        <w:t xml:space="preserve">ACTING </w:t>
      </w:r>
      <w:r w:rsidR="002B448C">
        <w:rPr>
          <w:b/>
        </w:rPr>
        <w:t>JUDGE OF THE HIGH COURT</w:t>
      </w:r>
    </w:p>
    <w:p w14:paraId="4DA53842" w14:textId="77777777" w:rsidR="00EB01DA" w:rsidRDefault="002B448C" w:rsidP="00EB01DA">
      <w:pPr>
        <w:pStyle w:val="JudgmentNumbered"/>
        <w:numPr>
          <w:ilvl w:val="0"/>
          <w:numId w:val="0"/>
        </w:numPr>
        <w:spacing w:after="0"/>
        <w:ind w:left="567" w:hanging="567"/>
        <w:jc w:val="right"/>
        <w:rPr>
          <w:b/>
        </w:rPr>
      </w:pPr>
      <w:r>
        <w:rPr>
          <w:b/>
        </w:rPr>
        <w:t>JOHANNESBUR</w:t>
      </w:r>
      <w:r w:rsidR="00D20AE4">
        <w:rPr>
          <w:b/>
        </w:rPr>
        <w:t>G</w:t>
      </w:r>
    </w:p>
    <w:p w14:paraId="0979FC87" w14:textId="77777777" w:rsidR="00D20AE4" w:rsidRDefault="00D20AE4" w:rsidP="00EB01DA">
      <w:pPr>
        <w:pStyle w:val="JudgmentNumbered"/>
        <w:numPr>
          <w:ilvl w:val="0"/>
          <w:numId w:val="0"/>
        </w:numPr>
        <w:spacing w:after="0"/>
        <w:ind w:left="567" w:hanging="567"/>
        <w:jc w:val="right"/>
        <w:rPr>
          <w:b/>
        </w:rPr>
      </w:pPr>
    </w:p>
    <w:p w14:paraId="49A6ABC9" w14:textId="77777777" w:rsidR="00CC1090" w:rsidRDefault="00CC1090" w:rsidP="00EB01DA">
      <w:pPr>
        <w:pStyle w:val="JudgmentNumbered"/>
        <w:numPr>
          <w:ilvl w:val="0"/>
          <w:numId w:val="0"/>
        </w:numPr>
        <w:spacing w:after="0"/>
        <w:ind w:left="567" w:hanging="567"/>
        <w:jc w:val="right"/>
        <w:rPr>
          <w:b/>
        </w:rPr>
      </w:pPr>
    </w:p>
    <w:p w14:paraId="3CAE84DB" w14:textId="2D12D4CA" w:rsidR="002222D5" w:rsidRPr="003673B7" w:rsidRDefault="002222D5" w:rsidP="002222D5">
      <w:pPr>
        <w:spacing w:after="0" w:line="240" w:lineRule="auto"/>
        <w:ind w:left="0"/>
        <w:rPr>
          <w:rFonts w:eastAsia="Times New Roman" w:cs="Arial"/>
          <w:szCs w:val="24"/>
          <w:lang w:val="en-ZA"/>
        </w:rPr>
      </w:pPr>
      <w:r w:rsidRPr="003673B7">
        <w:rPr>
          <w:rFonts w:eastAsia="Times New Roman" w:cs="Arial"/>
          <w:szCs w:val="24"/>
          <w:lang w:val="en-ZA"/>
        </w:rPr>
        <w:t>For the Applicant:</w:t>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Pr>
          <w:rFonts w:eastAsia="Times New Roman" w:cs="Arial"/>
          <w:szCs w:val="24"/>
          <w:lang w:val="en-ZA"/>
        </w:rPr>
        <w:tab/>
      </w:r>
      <w:r w:rsidR="000910FC" w:rsidRPr="006D02AB">
        <w:rPr>
          <w:rFonts w:eastAsia="Times New Roman" w:cs="Arial"/>
          <w:b/>
          <w:bCs/>
          <w:szCs w:val="24"/>
          <w:lang w:val="en-ZA"/>
        </w:rPr>
        <w:t>In Person</w:t>
      </w:r>
    </w:p>
    <w:p w14:paraId="0E2B92B3" w14:textId="77777777" w:rsidR="002222D5" w:rsidRPr="003673B7" w:rsidRDefault="002222D5" w:rsidP="002222D5">
      <w:pPr>
        <w:spacing w:after="0" w:line="240" w:lineRule="auto"/>
        <w:ind w:left="0"/>
        <w:rPr>
          <w:rFonts w:eastAsia="Times New Roman" w:cs="Arial"/>
          <w:szCs w:val="24"/>
          <w:lang w:val="en-ZA"/>
        </w:rPr>
      </w:pPr>
    </w:p>
    <w:p w14:paraId="38A7A39C" w14:textId="77777777" w:rsidR="002222D5" w:rsidRPr="003673B7" w:rsidRDefault="002222D5" w:rsidP="002222D5">
      <w:pPr>
        <w:spacing w:after="0" w:line="240" w:lineRule="auto"/>
        <w:ind w:left="0"/>
        <w:rPr>
          <w:rFonts w:eastAsia="Times New Roman" w:cs="Arial"/>
          <w:szCs w:val="24"/>
          <w:lang w:val="en-ZA"/>
        </w:rPr>
      </w:pPr>
    </w:p>
    <w:p w14:paraId="123C758F" w14:textId="31AA6EA0" w:rsidR="002222D5" w:rsidRDefault="002222D5" w:rsidP="000910FC">
      <w:pPr>
        <w:spacing w:after="0" w:line="240" w:lineRule="auto"/>
        <w:ind w:left="4320" w:hanging="4320"/>
        <w:rPr>
          <w:rFonts w:cs="Arial"/>
          <w:bCs/>
          <w:szCs w:val="24"/>
        </w:rPr>
      </w:pPr>
      <w:r w:rsidRPr="003673B7">
        <w:rPr>
          <w:rFonts w:eastAsia="Times New Roman" w:cs="Arial"/>
          <w:szCs w:val="24"/>
          <w:lang w:val="en-ZA"/>
        </w:rPr>
        <w:t xml:space="preserve">For the </w:t>
      </w:r>
      <w:r>
        <w:rPr>
          <w:rFonts w:eastAsia="Times New Roman" w:cs="Arial"/>
          <w:szCs w:val="24"/>
          <w:lang w:val="en-ZA"/>
        </w:rPr>
        <w:t xml:space="preserve">First and Second </w:t>
      </w:r>
      <w:r w:rsidRPr="003673B7">
        <w:rPr>
          <w:rFonts w:eastAsia="Times New Roman" w:cs="Arial"/>
          <w:szCs w:val="24"/>
          <w:lang w:val="en-ZA"/>
        </w:rPr>
        <w:t>Respondent:</w:t>
      </w:r>
      <w:r w:rsidR="000910FC">
        <w:rPr>
          <w:rFonts w:eastAsia="Times New Roman" w:cs="Arial"/>
          <w:szCs w:val="24"/>
          <w:lang w:val="en-ZA"/>
        </w:rPr>
        <w:tab/>
      </w:r>
      <w:r w:rsidR="00AA1ED1" w:rsidRPr="00AA1ED1">
        <w:rPr>
          <w:rFonts w:eastAsia="Times New Roman" w:cs="Arial"/>
          <w:b/>
          <w:bCs/>
          <w:szCs w:val="24"/>
          <w:lang w:val="en-ZA"/>
        </w:rPr>
        <w:t xml:space="preserve">ADV </w:t>
      </w:r>
      <w:r w:rsidR="000910FC">
        <w:rPr>
          <w:rFonts w:cs="Arial"/>
          <w:b/>
          <w:szCs w:val="24"/>
        </w:rPr>
        <w:t>L PETER</w:t>
      </w:r>
      <w:r w:rsidR="00082CC7">
        <w:rPr>
          <w:rFonts w:cs="Arial"/>
          <w:b/>
          <w:szCs w:val="24"/>
        </w:rPr>
        <w:t>,</w:t>
      </w:r>
      <w:r w:rsidR="000910FC">
        <w:rPr>
          <w:rFonts w:cs="Arial"/>
          <w:b/>
          <w:szCs w:val="24"/>
        </w:rPr>
        <w:t xml:space="preserve"> instructed by ROSSOUWS,  LESIE INC.</w:t>
      </w:r>
    </w:p>
    <w:p w14:paraId="61AD0F9D" w14:textId="77777777" w:rsidR="00EE440B" w:rsidRDefault="00EE440B" w:rsidP="00EE440B">
      <w:pPr>
        <w:pStyle w:val="JudgmentNumbered"/>
        <w:numPr>
          <w:ilvl w:val="0"/>
          <w:numId w:val="0"/>
        </w:numPr>
        <w:ind w:left="567" w:hanging="567"/>
      </w:pPr>
    </w:p>
    <w:p w14:paraId="0853339B" w14:textId="591964ED" w:rsidR="00EE440B" w:rsidRDefault="00EE440B" w:rsidP="00EE440B">
      <w:pPr>
        <w:pStyle w:val="JudgmentNumbered"/>
        <w:numPr>
          <w:ilvl w:val="0"/>
          <w:numId w:val="0"/>
        </w:numPr>
        <w:ind w:left="567" w:hanging="567"/>
      </w:pPr>
      <w:r>
        <w:t>Date of hearing:</w:t>
      </w:r>
      <w:r>
        <w:tab/>
      </w:r>
      <w:r>
        <w:tab/>
      </w:r>
      <w:r>
        <w:tab/>
      </w:r>
      <w:r>
        <w:tab/>
      </w:r>
      <w:r w:rsidR="004F43A6">
        <w:t>11 April 2023</w:t>
      </w:r>
    </w:p>
    <w:p w14:paraId="021EAE20" w14:textId="08FE0AEC" w:rsidR="002B448C" w:rsidRPr="00B93205" w:rsidRDefault="004F43A6" w:rsidP="00B93205">
      <w:pPr>
        <w:pStyle w:val="JudgmentNumbered"/>
        <w:numPr>
          <w:ilvl w:val="0"/>
          <w:numId w:val="0"/>
        </w:numPr>
        <w:ind w:left="567" w:hanging="567"/>
        <w:rPr>
          <w:bCs/>
          <w:szCs w:val="24"/>
        </w:rPr>
      </w:pPr>
      <w:r>
        <w:t>Date of judgment:</w:t>
      </w:r>
      <w:r>
        <w:tab/>
      </w:r>
      <w:r>
        <w:tab/>
      </w:r>
      <w:r>
        <w:tab/>
      </w:r>
      <w:r>
        <w:tab/>
        <w:t>18 October 202</w:t>
      </w:r>
      <w:r w:rsidR="00D21EDE">
        <w:t>3</w:t>
      </w:r>
    </w:p>
    <w:sectPr w:rsidR="002B448C" w:rsidRPr="00B93205" w:rsidSect="00D41F7F">
      <w:footerReference w:type="default" r:id="rId10"/>
      <w:type w:val="continuous"/>
      <w:pgSz w:w="11907" w:h="16839" w:code="9"/>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649E8" w14:textId="77777777" w:rsidR="00170509" w:rsidRDefault="00170509" w:rsidP="00B10990">
      <w:pPr>
        <w:spacing w:after="0" w:line="240" w:lineRule="auto"/>
      </w:pPr>
      <w:r>
        <w:separator/>
      </w:r>
    </w:p>
  </w:endnote>
  <w:endnote w:type="continuationSeparator" w:id="0">
    <w:p w14:paraId="3512F0F8" w14:textId="77777777" w:rsidR="00170509" w:rsidRDefault="00170509" w:rsidP="00B10990">
      <w:pPr>
        <w:spacing w:after="0" w:line="240" w:lineRule="auto"/>
      </w:pPr>
      <w:r>
        <w:continuationSeparator/>
      </w:r>
    </w:p>
  </w:endnote>
  <w:endnote w:type="continuationNotice" w:id="1">
    <w:p w14:paraId="1CCB6CCE" w14:textId="77777777" w:rsidR="00170509" w:rsidRDefault="00170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148904"/>
      <w:docPartObj>
        <w:docPartGallery w:val="Page Numbers (Bottom of Page)"/>
        <w:docPartUnique/>
      </w:docPartObj>
    </w:sdtPr>
    <w:sdtEndPr>
      <w:rPr>
        <w:b/>
        <w:bCs/>
        <w:noProof/>
      </w:rPr>
    </w:sdtEndPr>
    <w:sdtContent>
      <w:p w14:paraId="0C7EE9FC" w14:textId="77777777" w:rsidR="00E0709A" w:rsidRDefault="00E0709A" w:rsidP="00E0709A">
        <w:pPr>
          <w:pStyle w:val="Footer"/>
          <w:jc w:val="right"/>
        </w:pPr>
      </w:p>
      <w:p w14:paraId="1492E2E0" w14:textId="77777777" w:rsidR="00E0709A" w:rsidRDefault="00E0709A" w:rsidP="00E0709A">
        <w:pPr>
          <w:pStyle w:val="Footer"/>
          <w:jc w:val="right"/>
        </w:pPr>
      </w:p>
      <w:p w14:paraId="1FF23219" w14:textId="6F8C8146" w:rsidR="001C3BF2" w:rsidRDefault="00B10990" w:rsidP="00E0709A">
        <w:pPr>
          <w:pStyle w:val="Footer"/>
          <w:jc w:val="right"/>
          <w:rPr>
            <w:b/>
            <w:bCs/>
            <w:noProof/>
          </w:rPr>
        </w:pPr>
        <w:r w:rsidRPr="00B10990">
          <w:rPr>
            <w:b/>
            <w:bCs/>
          </w:rPr>
          <w:fldChar w:fldCharType="begin"/>
        </w:r>
        <w:r w:rsidRPr="00B10990">
          <w:rPr>
            <w:b/>
            <w:bCs/>
          </w:rPr>
          <w:instrText xml:space="preserve"> PAGE   \* MERGEFORMAT </w:instrText>
        </w:r>
        <w:r w:rsidRPr="00B10990">
          <w:rPr>
            <w:b/>
            <w:bCs/>
          </w:rPr>
          <w:fldChar w:fldCharType="separate"/>
        </w:r>
        <w:r w:rsidR="00C84FE9">
          <w:rPr>
            <w:b/>
            <w:bCs/>
            <w:noProof/>
          </w:rPr>
          <w:t>2</w:t>
        </w:r>
        <w:r w:rsidRPr="00B10990">
          <w:rPr>
            <w:b/>
            <w:bCs/>
            <w:noProof/>
          </w:rPr>
          <w:fldChar w:fldCharType="end"/>
        </w:r>
      </w:p>
      <w:p w14:paraId="26F96CF3" w14:textId="77777777" w:rsidR="00E52EAC" w:rsidRDefault="00E52EAC" w:rsidP="00E0709A">
        <w:pPr>
          <w:pStyle w:val="Footer"/>
          <w:jc w:val="right"/>
          <w:rPr>
            <w:noProof/>
          </w:rPr>
        </w:pPr>
      </w:p>
      <w:p w14:paraId="42668037" w14:textId="77C371D0" w:rsidR="00B10990" w:rsidRPr="00B10990" w:rsidRDefault="00170509" w:rsidP="00E0709A">
        <w:pPr>
          <w:pStyle w:val="Footer"/>
          <w:jc w:val="right"/>
          <w:rPr>
            <w:b/>
            <w:bCs/>
          </w:rPr>
        </w:pPr>
      </w:p>
    </w:sdtContent>
  </w:sdt>
  <w:p w14:paraId="1E1EEEE1" w14:textId="77777777" w:rsidR="00B10990" w:rsidRDefault="00B109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F7CA" w14:textId="77777777" w:rsidR="00170509" w:rsidRDefault="00170509" w:rsidP="00B10990">
      <w:pPr>
        <w:spacing w:after="0" w:line="240" w:lineRule="auto"/>
      </w:pPr>
      <w:r>
        <w:separator/>
      </w:r>
    </w:p>
  </w:footnote>
  <w:footnote w:type="continuationSeparator" w:id="0">
    <w:p w14:paraId="3E189BD4" w14:textId="77777777" w:rsidR="00170509" w:rsidRDefault="00170509" w:rsidP="00B10990">
      <w:pPr>
        <w:spacing w:after="0" w:line="240" w:lineRule="auto"/>
      </w:pPr>
      <w:r>
        <w:continuationSeparator/>
      </w:r>
    </w:p>
  </w:footnote>
  <w:footnote w:type="continuationNotice" w:id="1">
    <w:p w14:paraId="2B89315E" w14:textId="77777777" w:rsidR="00170509" w:rsidRDefault="00170509">
      <w:pPr>
        <w:spacing w:after="0" w:line="240" w:lineRule="auto"/>
      </w:pPr>
    </w:p>
  </w:footnote>
  <w:footnote w:id="2">
    <w:p w14:paraId="160279D9" w14:textId="0A0C3061" w:rsidR="00C34BF5" w:rsidRPr="00842DC9" w:rsidRDefault="00C34BF5" w:rsidP="00842DC9">
      <w:pPr>
        <w:pStyle w:val="FootnoteText"/>
      </w:pPr>
      <w:r>
        <w:rPr>
          <w:rStyle w:val="FootnoteReference"/>
        </w:rPr>
        <w:footnoteRef/>
      </w:r>
      <w:r>
        <w:t xml:space="preserve"> </w:t>
      </w:r>
      <w:r w:rsidR="008C5F1A" w:rsidRPr="00FA1556">
        <w:rPr>
          <w:i/>
          <w:iCs/>
        </w:rPr>
        <w:t xml:space="preserve">Rossitter &amp; others v Nedbank Ltd </w:t>
      </w:r>
      <w:r w:rsidR="008C5F1A">
        <w:t>(96/2014) ZASCA 196 (1 December 2015)</w:t>
      </w:r>
      <w:r w:rsidR="00842DC9">
        <w:t xml:space="preserve"> at paragraph [16].</w:t>
      </w:r>
    </w:p>
  </w:footnote>
  <w:footnote w:id="3">
    <w:p w14:paraId="2C97E055" w14:textId="70BFCD9B" w:rsidR="003F45F8" w:rsidRPr="003F45F8" w:rsidRDefault="003F45F8">
      <w:pPr>
        <w:pStyle w:val="FootnoteText"/>
        <w:rPr>
          <w:lang w:val="en-ZA"/>
        </w:rPr>
      </w:pPr>
      <w:r>
        <w:rPr>
          <w:rStyle w:val="FootnoteReference"/>
        </w:rPr>
        <w:footnoteRef/>
      </w:r>
      <w:r>
        <w:t xml:space="preserve"> </w:t>
      </w:r>
      <w:r w:rsidR="00A27D8D" w:rsidRPr="00A27D8D">
        <w:rPr>
          <w:i/>
          <w:iCs/>
        </w:rPr>
        <w:t>First National Bank of Southern Africa Limited v van Rensburg N.O.: in re First National Bank of Southern Africa Limited v Jurgens</w:t>
      </w:r>
      <w:r w:rsidR="00A27D8D" w:rsidRPr="00A27D8D">
        <w:t xml:space="preserve"> 1994 (1) SA 677(T) at 681B-G; </w:t>
      </w:r>
      <w:r w:rsidR="00A27D8D" w:rsidRPr="00A27D8D">
        <w:rPr>
          <w:i/>
          <w:iCs/>
        </w:rPr>
        <w:t>Promedia Drukkers and Uitgewers (Edms) Bpk v Kaimowitz</w:t>
      </w:r>
      <w:r w:rsidR="00A27D8D" w:rsidRPr="00A27D8D">
        <w:t xml:space="preserve"> 1996 (4) SA 411(C) at 421G</w:t>
      </w:r>
      <w:r w:rsidR="004678B3">
        <w:t>.</w:t>
      </w:r>
    </w:p>
  </w:footnote>
  <w:footnote w:id="4">
    <w:p w14:paraId="4B611972" w14:textId="4D420999" w:rsidR="00C52711" w:rsidRPr="00C52711" w:rsidRDefault="00C52711">
      <w:pPr>
        <w:pStyle w:val="FootnoteText"/>
        <w:rPr>
          <w:lang w:val="en-ZA"/>
        </w:rPr>
      </w:pPr>
      <w:r>
        <w:rPr>
          <w:rStyle w:val="FootnoteReference"/>
        </w:rPr>
        <w:footnoteRef/>
      </w:r>
      <w:r w:rsidR="00966FDC">
        <w:t xml:space="preserve"> Architectural Professions Act, 44 of 2000, sections 18(1) and (2)</w:t>
      </w:r>
      <w:r w:rsidR="00412E03">
        <w:t>, read with section 41(3).</w:t>
      </w:r>
    </w:p>
  </w:footnote>
  <w:footnote w:id="5">
    <w:p w14:paraId="2708B7F7" w14:textId="1C80808E" w:rsidR="00D820C6" w:rsidRPr="00D820C6" w:rsidRDefault="00D820C6">
      <w:pPr>
        <w:pStyle w:val="FootnoteText"/>
        <w:rPr>
          <w:lang w:val="en-ZA"/>
        </w:rPr>
      </w:pPr>
      <w:r>
        <w:rPr>
          <w:rStyle w:val="FootnoteReference"/>
        </w:rPr>
        <w:footnoteRef/>
      </w:r>
      <w:r>
        <w:t xml:space="preserve"> </w:t>
      </w:r>
      <w:r>
        <w:rPr>
          <w:lang w:val="en-ZA"/>
        </w:rPr>
        <w:t>The Property Practitioner</w:t>
      </w:r>
      <w:r w:rsidR="001B0AE1">
        <w:rPr>
          <w:lang w:val="en-ZA"/>
        </w:rPr>
        <w:t>s Act, 22 of 2019, section</w:t>
      </w:r>
      <w:r w:rsidR="00DD1367">
        <w:rPr>
          <w:lang w:val="en-ZA"/>
        </w:rPr>
        <w:t xml:space="preserve"> </w:t>
      </w:r>
      <w:r w:rsidR="00AC1E7E">
        <w:rPr>
          <w:lang w:val="en-ZA"/>
        </w:rPr>
        <w:t>48(1)</w:t>
      </w:r>
      <w:r w:rsidR="00C52711">
        <w:rPr>
          <w:lang w:val="en-ZA"/>
        </w:rPr>
        <w:t>.</w:t>
      </w:r>
    </w:p>
  </w:footnote>
  <w:footnote w:id="6">
    <w:p w14:paraId="78F1C4D5" w14:textId="5D24A763" w:rsidR="00F0158C" w:rsidRPr="00F0158C" w:rsidRDefault="00F0158C">
      <w:pPr>
        <w:pStyle w:val="FootnoteText"/>
        <w:rPr>
          <w:lang w:val="en-ZA"/>
        </w:rPr>
      </w:pPr>
      <w:r>
        <w:rPr>
          <w:rStyle w:val="FootnoteReference"/>
        </w:rPr>
        <w:footnoteRef/>
      </w:r>
      <w:r>
        <w:t xml:space="preserve"> </w:t>
      </w:r>
      <w:r w:rsidR="003075E3">
        <w:rPr>
          <w:lang w:val="en-ZA"/>
        </w:rPr>
        <w:t>Legal Practice Act, 28 of 2014, sections 24(1)</w:t>
      </w:r>
      <w:r w:rsidR="00304175">
        <w:rPr>
          <w:lang w:val="en-ZA"/>
        </w:rPr>
        <w:t xml:space="preserve">, </w:t>
      </w:r>
      <w:r w:rsidR="0065528F">
        <w:rPr>
          <w:lang w:val="en-ZA"/>
        </w:rPr>
        <w:t>and 33(1), (2), and (3).</w:t>
      </w:r>
    </w:p>
  </w:footnote>
  <w:footnote w:id="7">
    <w:p w14:paraId="3A4DEF4C" w14:textId="628107D1" w:rsidR="00CA7044" w:rsidRPr="00CA7044" w:rsidRDefault="00CA7044">
      <w:pPr>
        <w:pStyle w:val="FootnoteText"/>
        <w:rPr>
          <w:lang w:val="en-ZA"/>
        </w:rPr>
      </w:pPr>
      <w:r>
        <w:rPr>
          <w:rStyle w:val="FootnoteReference"/>
        </w:rPr>
        <w:footnoteRef/>
      </w:r>
      <w:r>
        <w:t xml:space="preserve"> </w:t>
      </w:r>
      <w:r w:rsidR="0021533E" w:rsidRPr="0021533E">
        <w:t>Housing Consumers Protection Measures Act</w:t>
      </w:r>
      <w:r w:rsidR="0021533E">
        <w:t xml:space="preserve">, </w:t>
      </w:r>
      <w:r w:rsidR="003B2C14">
        <w:t>95 of 1998</w:t>
      </w:r>
      <w:r w:rsidR="00240538">
        <w:t xml:space="preserve">, section 10(1) read with </w:t>
      </w:r>
      <w:r w:rsidR="0037705C" w:rsidRPr="00927741">
        <w:rPr>
          <w:i/>
          <w:iCs/>
        </w:rPr>
        <w:t>Cool Ideas 1186 CC v Hubbard and Another</w:t>
      </w:r>
      <w:r w:rsidR="0037705C" w:rsidRPr="0037705C">
        <w:t xml:space="preserve"> (CCT 99/13) [2014] ZACC 16; 2014 (4) SA 474 (CC)</w:t>
      </w:r>
      <w:r w:rsidR="00927741">
        <w:t xml:space="preserve"> at</w:t>
      </w:r>
      <w:r w:rsidR="00F963EA">
        <w:t xml:space="preserve"> </w:t>
      </w:r>
      <w:r w:rsidR="00C3760E">
        <w:t>[37].</w:t>
      </w:r>
    </w:p>
  </w:footnote>
  <w:footnote w:id="8">
    <w:p w14:paraId="36CF2E6F" w14:textId="5112A8EB" w:rsidR="006409AA" w:rsidRPr="006409AA" w:rsidRDefault="006409AA">
      <w:pPr>
        <w:pStyle w:val="FootnoteText"/>
        <w:rPr>
          <w:lang w:val="en-ZA"/>
        </w:rPr>
      </w:pPr>
      <w:r>
        <w:rPr>
          <w:rStyle w:val="FootnoteReference"/>
        </w:rPr>
        <w:footnoteRef/>
      </w:r>
      <w:r>
        <w:t xml:space="preserve"> </w:t>
      </w:r>
      <w:r w:rsidR="007D45AE">
        <w:rPr>
          <w:lang w:val="en-ZA"/>
        </w:rPr>
        <w:t xml:space="preserve">Section 40(1): </w:t>
      </w:r>
      <w:r w:rsidR="007D45AE" w:rsidRPr="007D45AE">
        <w:rPr>
          <w:lang w:val="en-ZA"/>
        </w:rPr>
        <w:t>“</w:t>
      </w:r>
      <w:r w:rsidR="007D45AE" w:rsidRPr="00B22689">
        <w:rPr>
          <w:i/>
          <w:iCs/>
          <w:lang w:val="en-ZA"/>
        </w:rPr>
        <w:t>A person must apply to be registered as a credit provider if the total principal debt owed to that credit provider under all outstanding credit agreements, other than incidental credit agreements, exceeds the threshold prescribed in terms of section 42(1)</w:t>
      </w:r>
      <w:r w:rsidR="007D45AE" w:rsidRPr="007D45AE">
        <w:rPr>
          <w:lang w:val="en-ZA"/>
        </w:rPr>
        <w:t>.</w:t>
      </w:r>
      <w:r w:rsidR="00B22689">
        <w:rPr>
          <w:lang w:val="en-ZA"/>
        </w:rPr>
        <w:t>”</w:t>
      </w:r>
    </w:p>
  </w:footnote>
  <w:footnote w:id="9">
    <w:p w14:paraId="2A4A9A6B" w14:textId="0B7FB60D" w:rsidR="00244A2A" w:rsidRPr="00244A2A" w:rsidRDefault="00244A2A">
      <w:pPr>
        <w:pStyle w:val="FootnoteText"/>
        <w:rPr>
          <w:lang w:val="en-ZA"/>
        </w:rPr>
      </w:pPr>
      <w:r>
        <w:rPr>
          <w:rStyle w:val="FootnoteReference"/>
        </w:rPr>
        <w:footnoteRef/>
      </w:r>
      <w:r>
        <w:t xml:space="preserve"> </w:t>
      </w:r>
      <w:r w:rsidR="00E92B7F">
        <w:rPr>
          <w:lang w:val="en-ZA"/>
        </w:rPr>
        <w:t>Section 40(3): “</w:t>
      </w:r>
      <w:r w:rsidR="00E92B7F" w:rsidRPr="00E92B7F">
        <w:rPr>
          <w:i/>
          <w:iCs/>
          <w:lang w:val="en-ZA"/>
        </w:rPr>
        <w:t>A person who is required in terms of subsection (1) to be registered as a credit provider, but who is not so registered, must not offer, make available or extend credit, enter into a credit agreement or agree to do any of those things.</w:t>
      </w:r>
      <w:r w:rsidR="00E92B7F">
        <w:rPr>
          <w:lang w:val="en-ZA"/>
        </w:rPr>
        <w:t>”</w:t>
      </w:r>
    </w:p>
  </w:footnote>
  <w:footnote w:id="10">
    <w:p w14:paraId="35F22D98" w14:textId="77777777" w:rsidR="002E491B" w:rsidRPr="00312296" w:rsidRDefault="002E491B" w:rsidP="002E491B">
      <w:pPr>
        <w:pStyle w:val="FootnoteText"/>
        <w:rPr>
          <w:lang w:val="en-ZA"/>
        </w:rPr>
      </w:pPr>
      <w:r>
        <w:rPr>
          <w:rStyle w:val="FootnoteReference"/>
        </w:rPr>
        <w:footnoteRef/>
      </w:r>
      <w:r>
        <w:t xml:space="preserve"> Section 40(4): “</w:t>
      </w:r>
      <w:r w:rsidRPr="00C40A5E">
        <w:rPr>
          <w:i/>
          <w:iCs/>
        </w:rPr>
        <w:t>(4)</w:t>
      </w:r>
      <w:r>
        <w:rPr>
          <w:i/>
          <w:iCs/>
        </w:rPr>
        <w:t xml:space="preserve"> </w:t>
      </w:r>
      <w:r w:rsidRPr="00C40A5E">
        <w:rPr>
          <w:i/>
          <w:iCs/>
        </w:rPr>
        <w:t>A credit agreement entered into by a credit provider who is required to be registered in terms of subsection (1) but who is not so registered is an unlawful agreement and void to the extent provided for in section 89.</w:t>
      </w:r>
      <w:r>
        <w:t>”</w:t>
      </w:r>
    </w:p>
  </w:footnote>
  <w:footnote w:id="11">
    <w:p w14:paraId="049A3E3C" w14:textId="77777777" w:rsidR="00693411" w:rsidRDefault="00693411" w:rsidP="00693411">
      <w:pPr>
        <w:pStyle w:val="FootnoteText"/>
      </w:pPr>
      <w:r>
        <w:rPr>
          <w:rStyle w:val="FootnoteReference"/>
        </w:rPr>
        <w:footnoteRef/>
      </w:r>
      <w:r>
        <w:t xml:space="preserve"> Section 89(4) provides that: </w:t>
      </w:r>
    </w:p>
    <w:p w14:paraId="2C523075" w14:textId="77777777" w:rsidR="00693411" w:rsidRPr="008620DA" w:rsidRDefault="00693411" w:rsidP="00693411">
      <w:pPr>
        <w:pStyle w:val="FootnoteText"/>
        <w:ind w:firstLine="153"/>
        <w:rPr>
          <w:i/>
          <w:iCs/>
        </w:rPr>
      </w:pPr>
      <w:r>
        <w:t>“</w:t>
      </w:r>
      <w:r w:rsidRPr="008620DA">
        <w:rPr>
          <w:i/>
          <w:iCs/>
        </w:rPr>
        <w:t>Subsection (2) (d) does not apply to a credit provider if—</w:t>
      </w:r>
    </w:p>
    <w:p w14:paraId="6819B5DE" w14:textId="77777777" w:rsidR="00693411" w:rsidRPr="008620DA" w:rsidRDefault="00693411" w:rsidP="00693411">
      <w:pPr>
        <w:pStyle w:val="FootnoteText"/>
        <w:ind w:left="1440" w:hanging="567"/>
        <w:rPr>
          <w:i/>
          <w:iCs/>
        </w:rPr>
      </w:pPr>
      <w:r w:rsidRPr="008620DA">
        <w:rPr>
          <w:i/>
          <w:iCs/>
        </w:rPr>
        <w:t>(a)</w:t>
      </w:r>
      <w:r w:rsidRPr="008620DA">
        <w:rPr>
          <w:i/>
          <w:iCs/>
        </w:rPr>
        <w:tab/>
        <w:t>at the time the credit agreement was made, or within 30 days after that time, the credit provider had applied for registration in terms of section 40, and was awaiting a determination of that application; or</w:t>
      </w:r>
    </w:p>
    <w:p w14:paraId="3D62FCC9" w14:textId="77777777" w:rsidR="00693411" w:rsidRPr="008620DA" w:rsidRDefault="00693411" w:rsidP="00693411">
      <w:pPr>
        <w:pStyle w:val="FootnoteText"/>
        <w:ind w:left="1440" w:hanging="567"/>
      </w:pPr>
      <w:r w:rsidRPr="008620DA">
        <w:rPr>
          <w:i/>
          <w:iCs/>
        </w:rPr>
        <w:t>(b)</w:t>
      </w:r>
      <w:r w:rsidRPr="008620DA">
        <w:rPr>
          <w:i/>
          <w:iCs/>
        </w:rPr>
        <w:tab/>
        <w:t>at the time the credit agreement was made, the credit provider held a valid clearance certificate issued by the National Credit Regulator in terms of section 42 (3) (b).</w:t>
      </w:r>
      <w:r>
        <w:t>”</w:t>
      </w:r>
    </w:p>
  </w:footnote>
  <w:footnote w:id="12">
    <w:p w14:paraId="717009D2" w14:textId="448C6654" w:rsidR="00042AA2" w:rsidRPr="00042AA2" w:rsidRDefault="00042AA2">
      <w:pPr>
        <w:pStyle w:val="FootnoteText"/>
        <w:rPr>
          <w:lang w:val="en-ZA"/>
        </w:rPr>
      </w:pPr>
      <w:r>
        <w:rPr>
          <w:rStyle w:val="FootnoteReference"/>
        </w:rPr>
        <w:footnoteRef/>
      </w:r>
      <w:r>
        <w:t xml:space="preserve"> </w:t>
      </w:r>
      <w:r>
        <w:rPr>
          <w:lang w:val="en-ZA"/>
        </w:rPr>
        <w:t>Section 89(2): “</w:t>
      </w:r>
      <w:r w:rsidR="008E0D8B" w:rsidRPr="003D6BAF">
        <w:rPr>
          <w:i/>
          <w:iCs/>
          <w:lang w:val="en-ZA"/>
        </w:rPr>
        <w:t>Subject to subsections (3) and (4), a credit agreement is unlawful if</w:t>
      </w:r>
      <w:r w:rsidR="003D6BAF">
        <w:rPr>
          <w:i/>
          <w:iCs/>
          <w:lang w:val="en-ZA"/>
        </w:rPr>
        <w:t>…</w:t>
      </w:r>
      <w:r w:rsidR="004E64D6">
        <w:rPr>
          <w:i/>
          <w:iCs/>
          <w:lang w:val="en-ZA"/>
        </w:rPr>
        <w:t xml:space="preserve"> </w:t>
      </w:r>
      <w:r w:rsidR="003D6BAF">
        <w:rPr>
          <w:i/>
          <w:iCs/>
          <w:lang w:val="en-ZA"/>
        </w:rPr>
        <w:t>(d)</w:t>
      </w:r>
      <w:r w:rsidR="003D6BAF" w:rsidRPr="003D6BAF">
        <w:rPr>
          <w:i/>
          <w:iCs/>
          <w:lang w:val="en-ZA"/>
        </w:rPr>
        <w:t xml:space="preserve"> </w:t>
      </w:r>
      <w:r w:rsidRPr="00042AA2">
        <w:rPr>
          <w:i/>
          <w:iCs/>
          <w:lang w:val="en-ZA"/>
        </w:rPr>
        <w:t>at the time the agreement was made, the credit provider was unregistered and this Act requires that credit provider to be registered</w:t>
      </w:r>
      <w:r>
        <w:rPr>
          <w:lang w:val="en-ZA"/>
        </w:rPr>
        <w:t>.”</w:t>
      </w:r>
    </w:p>
  </w:footnote>
  <w:footnote w:id="13">
    <w:p w14:paraId="10EE333D" w14:textId="569355E0" w:rsidR="009A6BF7" w:rsidRPr="009A6BF7" w:rsidRDefault="009A6BF7">
      <w:pPr>
        <w:pStyle w:val="FootnoteText"/>
        <w:rPr>
          <w:lang w:val="en-ZA"/>
        </w:rPr>
      </w:pPr>
      <w:r>
        <w:rPr>
          <w:rStyle w:val="FootnoteReference"/>
        </w:rPr>
        <w:footnoteRef/>
      </w:r>
      <w:r>
        <w:t xml:space="preserve"> The intentional conclusion of a credit agreement by an unregistered credit provider, or a person intentionally protraying him/her/itself as a registered credit provider while not registered as such, is an offence subject to the provisions of sections 157B and 157C.</w:t>
      </w:r>
    </w:p>
  </w:footnote>
  <w:footnote w:id="14">
    <w:p w14:paraId="4AAB961F" w14:textId="03D6BBF9" w:rsidR="00C93AE4" w:rsidRPr="00C93AE4" w:rsidRDefault="00C93AE4">
      <w:pPr>
        <w:pStyle w:val="FootnoteText"/>
        <w:rPr>
          <w:lang w:val="en-ZA"/>
        </w:rPr>
      </w:pPr>
      <w:r>
        <w:rPr>
          <w:rStyle w:val="FootnoteReference"/>
        </w:rPr>
        <w:footnoteRef/>
      </w:r>
      <w:r>
        <w:t xml:space="preserve"> </w:t>
      </w:r>
      <w:r w:rsidR="009B2E23" w:rsidRPr="009B2E23">
        <w:rPr>
          <w:i/>
          <w:iCs/>
        </w:rPr>
        <w:t>National Credit Regulator v Opperman and Others</w:t>
      </w:r>
      <w:r w:rsidR="009B2E23" w:rsidRPr="009B2E23">
        <w:t xml:space="preserve"> [2012] ZACC 29; 2013 (2) BCLR 170 (CC); 2013 (2) SA 1 (CC)</w:t>
      </w:r>
      <w:r w:rsidR="009B2E23">
        <w:t xml:space="preserve"> at paragraphs [14]</w:t>
      </w:r>
      <w:r w:rsidR="00823B1E">
        <w:t xml:space="preserve"> to</w:t>
      </w:r>
      <w:r w:rsidR="009B2E23">
        <w:t xml:space="preserve"> [1</w:t>
      </w:r>
      <w:r w:rsidR="00823B1E">
        <w:t>7</w:t>
      </w:r>
      <w:r w:rsidR="009B2E23">
        <w:t>].</w:t>
      </w:r>
    </w:p>
  </w:footnote>
  <w:footnote w:id="15">
    <w:p w14:paraId="09BEB1BC" w14:textId="77777777" w:rsidR="003E3C37" w:rsidRPr="009A3320" w:rsidRDefault="003E3C37" w:rsidP="003E3C37">
      <w:pPr>
        <w:pStyle w:val="FootnoteText"/>
        <w:rPr>
          <w:lang w:val="en-ZA"/>
        </w:rPr>
      </w:pPr>
      <w:r>
        <w:rPr>
          <w:rStyle w:val="FootnoteReference"/>
        </w:rPr>
        <w:footnoteRef/>
      </w:r>
      <w:r>
        <w:t xml:space="preserve"> Section 34 of the Constitution provides that everyone has the right to have any dispute that can be resolved by the application of law decided in a fair public hearing before a court.</w:t>
      </w:r>
    </w:p>
  </w:footnote>
  <w:footnote w:id="16">
    <w:p w14:paraId="73B53324" w14:textId="77777777" w:rsidR="003E3C37" w:rsidRPr="00F37C7D" w:rsidRDefault="003E3C37" w:rsidP="003E3C37">
      <w:pPr>
        <w:pStyle w:val="FootnoteText"/>
        <w:rPr>
          <w:lang w:val="en-ZA"/>
        </w:rPr>
      </w:pPr>
      <w:r>
        <w:rPr>
          <w:rStyle w:val="FootnoteReference"/>
        </w:rPr>
        <w:footnoteRef/>
      </w:r>
      <w:r>
        <w:t xml:space="preserve"> </w:t>
      </w:r>
      <w:r w:rsidRPr="00C1074A">
        <w:rPr>
          <w:i/>
          <w:iCs/>
        </w:rPr>
        <w:t>South African Police Service v Solidarity obo Barnard</w:t>
      </w:r>
      <w:r w:rsidRPr="00C1074A">
        <w:t xml:space="preserve"> (CCT 01/14) [2014] ZACC 23; 2014 (6) SA 123 (CC); [2014] 11 BLLR 1025 (CC)</w:t>
      </w:r>
      <w:r>
        <w:t xml:space="preserve"> at paragraph [202].</w:t>
      </w:r>
    </w:p>
  </w:footnote>
  <w:footnote w:id="17">
    <w:p w14:paraId="15A70DC8" w14:textId="6022788D" w:rsidR="00593BFA" w:rsidRPr="00593BFA" w:rsidRDefault="00593BFA">
      <w:pPr>
        <w:pStyle w:val="FootnoteText"/>
        <w:rPr>
          <w:lang w:val="en-ZA"/>
        </w:rPr>
      </w:pPr>
      <w:r>
        <w:rPr>
          <w:rStyle w:val="FootnoteReference"/>
        </w:rPr>
        <w:footnoteRef/>
      </w:r>
      <w:r>
        <w:t xml:space="preserve"> </w:t>
      </w:r>
      <w:r w:rsidRPr="00593BFA">
        <w:rPr>
          <w:i/>
          <w:iCs/>
        </w:rPr>
        <w:t>Telematrix (Pty) Ltd v Advertising Standards Authority SA</w:t>
      </w:r>
      <w:r w:rsidRPr="00593BFA">
        <w:t xml:space="preserve"> (459/2004) [2005] ZASCA 73; [2006] 1 All SA 6 (SCA); 2006 (1) SA 461 (SCA)</w:t>
      </w:r>
      <w:r w:rsidR="00336A09">
        <w:t>.</w:t>
      </w:r>
    </w:p>
  </w:footnote>
  <w:footnote w:id="18">
    <w:p w14:paraId="37C51E99" w14:textId="1DF49903" w:rsidR="00336A09" w:rsidRPr="002F5C2C" w:rsidRDefault="00336A09">
      <w:pPr>
        <w:pStyle w:val="FootnoteText"/>
        <w:rPr>
          <w:lang w:val="en-ZA"/>
        </w:rPr>
      </w:pPr>
      <w:r>
        <w:rPr>
          <w:rStyle w:val="FootnoteReference"/>
        </w:rPr>
        <w:footnoteRef/>
      </w:r>
      <w:r>
        <w:t xml:space="preserve"> </w:t>
      </w:r>
      <w:r w:rsidR="002F5C2C" w:rsidRPr="00593BFA">
        <w:rPr>
          <w:i/>
          <w:iCs/>
        </w:rPr>
        <w:t>Telematrix (Pty) Ltd v Advertising Standards Authority SA</w:t>
      </w:r>
      <w:r w:rsidR="002F5C2C">
        <w:t xml:space="preserve"> at [2].</w:t>
      </w:r>
    </w:p>
  </w:footnote>
  <w:footnote w:id="19">
    <w:p w14:paraId="4B38C05B" w14:textId="5688B91C" w:rsidR="00987286" w:rsidRPr="00987286" w:rsidRDefault="00987286">
      <w:pPr>
        <w:pStyle w:val="FootnoteText"/>
        <w:rPr>
          <w:lang w:val="en-ZA"/>
        </w:rPr>
      </w:pPr>
      <w:r>
        <w:rPr>
          <w:rStyle w:val="FootnoteReference"/>
        </w:rPr>
        <w:footnoteRef/>
      </w:r>
      <w:r>
        <w:t xml:space="preserve"> </w:t>
      </w:r>
      <w:r w:rsidRPr="00987286">
        <w:rPr>
          <w:i/>
          <w:iCs/>
        </w:rPr>
        <w:t>Sasfin Bank Ltd and Another v Melamed and Hurwitz Incorporated and Another</w:t>
      </w:r>
      <w:r w:rsidRPr="00987286">
        <w:t xml:space="preserve"> (31948/19) [2022] ZAGPPHC 620 (24 August 2022)</w:t>
      </w:r>
      <w:r w:rsidR="00BE0FE4">
        <w:t>, unreported</w:t>
      </w:r>
      <w:r>
        <w:t>.</w:t>
      </w:r>
    </w:p>
  </w:footnote>
  <w:footnote w:id="20">
    <w:p w14:paraId="6B62B4D1" w14:textId="54C6C393" w:rsidR="004878B0" w:rsidRPr="004878B0" w:rsidRDefault="004878B0">
      <w:pPr>
        <w:pStyle w:val="FootnoteText"/>
        <w:rPr>
          <w:lang w:val="en-ZA"/>
        </w:rPr>
      </w:pPr>
      <w:r>
        <w:rPr>
          <w:rStyle w:val="FootnoteReference"/>
        </w:rPr>
        <w:footnoteRef/>
      </w:r>
      <w:r>
        <w:t xml:space="preserve"> </w:t>
      </w:r>
      <w:r w:rsidR="00BE0FE4" w:rsidRPr="00987286">
        <w:rPr>
          <w:i/>
          <w:iCs/>
        </w:rPr>
        <w:t>Sasfin Bank Ltd and Another v Melamed and Hurwitz Incorporated and Another</w:t>
      </w:r>
      <w:r w:rsidR="008E509E">
        <w:t xml:space="preserve"> at </w:t>
      </w:r>
      <w:r w:rsidR="00181CAF">
        <w:t>paragraph 15.</w:t>
      </w:r>
    </w:p>
  </w:footnote>
  <w:footnote w:id="21">
    <w:p w14:paraId="79C273E5" w14:textId="29727716" w:rsidR="00480911" w:rsidRPr="00480911" w:rsidRDefault="00480911">
      <w:pPr>
        <w:pStyle w:val="FootnoteText"/>
        <w:rPr>
          <w:lang w:val="en-ZA"/>
        </w:rPr>
      </w:pPr>
      <w:r>
        <w:rPr>
          <w:rStyle w:val="FootnoteReference"/>
        </w:rPr>
        <w:footnoteRef/>
      </w:r>
      <w:r>
        <w:t xml:space="preserve"> </w:t>
      </w:r>
      <w:r w:rsidR="000D005F" w:rsidRPr="00F36E5B">
        <w:rPr>
          <w:i/>
          <w:iCs/>
        </w:rPr>
        <w:t>Silver Falcon Trading 333 (Pty) Ltd and Others v Nedbank Ltd</w:t>
      </w:r>
      <w:r w:rsidR="000D005F">
        <w:t xml:space="preserve"> 2012 (3) SA 371 KZP at 373F-375E.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F45473B"/>
    <w:multiLevelType w:val="multilevel"/>
    <w:tmpl w:val="191A5ECE"/>
    <w:lvl w:ilvl="0">
      <w:start w:val="1"/>
      <w:numFmt w:val="decimal"/>
      <w:pStyle w:val="Judgmen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2">
    <w:nsid w:val="259E5E69"/>
    <w:multiLevelType w:val="hybridMultilevel"/>
    <w:tmpl w:val="BEA8E63E"/>
    <w:lvl w:ilvl="0" w:tplc="38FA354A">
      <w:start w:val="39"/>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nsid w:val="41A64B3B"/>
    <w:multiLevelType w:val="hybridMultilevel"/>
    <w:tmpl w:val="9C145AB8"/>
    <w:lvl w:ilvl="0" w:tplc="3FA04BCE">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5B6C7CDF"/>
    <w:multiLevelType w:val="hybridMultilevel"/>
    <w:tmpl w:val="7F626B70"/>
    <w:lvl w:ilvl="0" w:tplc="7526A6CC">
      <w:start w:val="1"/>
      <w:numFmt w:val="decimal"/>
      <w:lvlText w:val="%1)"/>
      <w:lvlJc w:val="left"/>
      <w:pPr>
        <w:ind w:left="1233" w:hanging="360"/>
      </w:pPr>
      <w:rPr>
        <w:rFonts w:hint="default"/>
      </w:rPr>
    </w:lvl>
    <w:lvl w:ilvl="1" w:tplc="1C090019" w:tentative="1">
      <w:start w:val="1"/>
      <w:numFmt w:val="lowerLetter"/>
      <w:lvlText w:val="%2."/>
      <w:lvlJc w:val="left"/>
      <w:pPr>
        <w:ind w:left="1953" w:hanging="360"/>
      </w:pPr>
    </w:lvl>
    <w:lvl w:ilvl="2" w:tplc="1C09001B" w:tentative="1">
      <w:start w:val="1"/>
      <w:numFmt w:val="lowerRoman"/>
      <w:lvlText w:val="%3."/>
      <w:lvlJc w:val="right"/>
      <w:pPr>
        <w:ind w:left="2673" w:hanging="180"/>
      </w:pPr>
    </w:lvl>
    <w:lvl w:ilvl="3" w:tplc="1C09000F" w:tentative="1">
      <w:start w:val="1"/>
      <w:numFmt w:val="decimal"/>
      <w:lvlText w:val="%4."/>
      <w:lvlJc w:val="left"/>
      <w:pPr>
        <w:ind w:left="3393" w:hanging="360"/>
      </w:pPr>
    </w:lvl>
    <w:lvl w:ilvl="4" w:tplc="1C090019" w:tentative="1">
      <w:start w:val="1"/>
      <w:numFmt w:val="lowerLetter"/>
      <w:lvlText w:val="%5."/>
      <w:lvlJc w:val="left"/>
      <w:pPr>
        <w:ind w:left="4113" w:hanging="360"/>
      </w:pPr>
    </w:lvl>
    <w:lvl w:ilvl="5" w:tplc="1C09001B" w:tentative="1">
      <w:start w:val="1"/>
      <w:numFmt w:val="lowerRoman"/>
      <w:lvlText w:val="%6."/>
      <w:lvlJc w:val="right"/>
      <w:pPr>
        <w:ind w:left="4833" w:hanging="180"/>
      </w:pPr>
    </w:lvl>
    <w:lvl w:ilvl="6" w:tplc="1C09000F" w:tentative="1">
      <w:start w:val="1"/>
      <w:numFmt w:val="decimal"/>
      <w:lvlText w:val="%7."/>
      <w:lvlJc w:val="left"/>
      <w:pPr>
        <w:ind w:left="5553" w:hanging="360"/>
      </w:pPr>
    </w:lvl>
    <w:lvl w:ilvl="7" w:tplc="1C090019" w:tentative="1">
      <w:start w:val="1"/>
      <w:numFmt w:val="lowerLetter"/>
      <w:lvlText w:val="%8."/>
      <w:lvlJc w:val="left"/>
      <w:pPr>
        <w:ind w:left="6273" w:hanging="360"/>
      </w:pPr>
    </w:lvl>
    <w:lvl w:ilvl="8" w:tplc="1C09001B" w:tentative="1">
      <w:start w:val="1"/>
      <w:numFmt w:val="lowerRoman"/>
      <w:lvlText w:val="%9."/>
      <w:lvlJc w:val="right"/>
      <w:pPr>
        <w:ind w:left="6993" w:hanging="180"/>
      </w:pPr>
    </w:lvl>
  </w:abstractNum>
  <w:num w:numId="1">
    <w:abstractNumId w:val="1"/>
  </w:num>
  <w:num w:numId="2">
    <w:abstractNumId w:val="3"/>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AwNzE1sjA1NjYwNjdS0lEKTi0uzszPAykwNKwFAM3+wu0tAAAA"/>
    <w:docVar w:name="dgnword-docGUID" w:val="{2BF3A08A-297F-4D4D-B142-2A4584F6AC00}"/>
    <w:docVar w:name="dgnword-eventsink" w:val="1526610911840"/>
  </w:docVars>
  <w:rsids>
    <w:rsidRoot w:val="00B963C0"/>
    <w:rsid w:val="00002017"/>
    <w:rsid w:val="00002ABF"/>
    <w:rsid w:val="00003803"/>
    <w:rsid w:val="000042E9"/>
    <w:rsid w:val="000070AD"/>
    <w:rsid w:val="0001149F"/>
    <w:rsid w:val="00012A77"/>
    <w:rsid w:val="00017CDB"/>
    <w:rsid w:val="00021DA3"/>
    <w:rsid w:val="00021FED"/>
    <w:rsid w:val="00022BE3"/>
    <w:rsid w:val="00023C4D"/>
    <w:rsid w:val="0002566A"/>
    <w:rsid w:val="000279FE"/>
    <w:rsid w:val="00027C91"/>
    <w:rsid w:val="0003100B"/>
    <w:rsid w:val="00031818"/>
    <w:rsid w:val="000322C3"/>
    <w:rsid w:val="00032360"/>
    <w:rsid w:val="00033DCB"/>
    <w:rsid w:val="00033E1C"/>
    <w:rsid w:val="00033FB8"/>
    <w:rsid w:val="000343F8"/>
    <w:rsid w:val="00034BBE"/>
    <w:rsid w:val="00035113"/>
    <w:rsid w:val="0003551E"/>
    <w:rsid w:val="0003577A"/>
    <w:rsid w:val="0003666A"/>
    <w:rsid w:val="00036F51"/>
    <w:rsid w:val="0003797C"/>
    <w:rsid w:val="00037A9B"/>
    <w:rsid w:val="00037D14"/>
    <w:rsid w:val="00042AA2"/>
    <w:rsid w:val="0004574F"/>
    <w:rsid w:val="00045FCA"/>
    <w:rsid w:val="00046179"/>
    <w:rsid w:val="00046E1D"/>
    <w:rsid w:val="0004710F"/>
    <w:rsid w:val="00047281"/>
    <w:rsid w:val="0004779E"/>
    <w:rsid w:val="000511F2"/>
    <w:rsid w:val="00051FD0"/>
    <w:rsid w:val="00055CFF"/>
    <w:rsid w:val="000576A8"/>
    <w:rsid w:val="00062345"/>
    <w:rsid w:val="00063301"/>
    <w:rsid w:val="0006547E"/>
    <w:rsid w:val="0007121E"/>
    <w:rsid w:val="000725B5"/>
    <w:rsid w:val="00073530"/>
    <w:rsid w:val="00073BFC"/>
    <w:rsid w:val="00074C57"/>
    <w:rsid w:val="000752CE"/>
    <w:rsid w:val="000766D9"/>
    <w:rsid w:val="00077D92"/>
    <w:rsid w:val="00081977"/>
    <w:rsid w:val="000829F3"/>
    <w:rsid w:val="00082CC7"/>
    <w:rsid w:val="000849A5"/>
    <w:rsid w:val="00085ED6"/>
    <w:rsid w:val="000901F2"/>
    <w:rsid w:val="00091065"/>
    <w:rsid w:val="000910FC"/>
    <w:rsid w:val="0009272C"/>
    <w:rsid w:val="00094753"/>
    <w:rsid w:val="00095E9B"/>
    <w:rsid w:val="00095F02"/>
    <w:rsid w:val="00097268"/>
    <w:rsid w:val="000A0ACF"/>
    <w:rsid w:val="000A0E48"/>
    <w:rsid w:val="000A2837"/>
    <w:rsid w:val="000A4780"/>
    <w:rsid w:val="000A4F8A"/>
    <w:rsid w:val="000A6617"/>
    <w:rsid w:val="000A7897"/>
    <w:rsid w:val="000A7BF6"/>
    <w:rsid w:val="000B02A0"/>
    <w:rsid w:val="000B0FB0"/>
    <w:rsid w:val="000B1543"/>
    <w:rsid w:val="000B68AD"/>
    <w:rsid w:val="000B75F9"/>
    <w:rsid w:val="000C0326"/>
    <w:rsid w:val="000C3AE2"/>
    <w:rsid w:val="000C65A3"/>
    <w:rsid w:val="000C73D5"/>
    <w:rsid w:val="000C74F8"/>
    <w:rsid w:val="000D005F"/>
    <w:rsid w:val="000D25E2"/>
    <w:rsid w:val="000D2D72"/>
    <w:rsid w:val="000D2FE2"/>
    <w:rsid w:val="000D4B58"/>
    <w:rsid w:val="000D6E62"/>
    <w:rsid w:val="000E1391"/>
    <w:rsid w:val="000E3D60"/>
    <w:rsid w:val="000E47B4"/>
    <w:rsid w:val="000E49D7"/>
    <w:rsid w:val="000E4B75"/>
    <w:rsid w:val="000E5545"/>
    <w:rsid w:val="000E5FD4"/>
    <w:rsid w:val="000E63DD"/>
    <w:rsid w:val="000F04AE"/>
    <w:rsid w:val="000F0743"/>
    <w:rsid w:val="000F42B1"/>
    <w:rsid w:val="000F5D62"/>
    <w:rsid w:val="000F5EDB"/>
    <w:rsid w:val="000F75BB"/>
    <w:rsid w:val="000F792C"/>
    <w:rsid w:val="0010039C"/>
    <w:rsid w:val="00100546"/>
    <w:rsid w:val="001005EA"/>
    <w:rsid w:val="001006BA"/>
    <w:rsid w:val="001008C2"/>
    <w:rsid w:val="00100C7F"/>
    <w:rsid w:val="0010226B"/>
    <w:rsid w:val="001034C0"/>
    <w:rsid w:val="0010366D"/>
    <w:rsid w:val="00103D65"/>
    <w:rsid w:val="00104269"/>
    <w:rsid w:val="0010455F"/>
    <w:rsid w:val="001052AC"/>
    <w:rsid w:val="00105E68"/>
    <w:rsid w:val="0010683E"/>
    <w:rsid w:val="00107990"/>
    <w:rsid w:val="0011077B"/>
    <w:rsid w:val="00110C7F"/>
    <w:rsid w:val="001124D7"/>
    <w:rsid w:val="001126D5"/>
    <w:rsid w:val="00112C61"/>
    <w:rsid w:val="0011408E"/>
    <w:rsid w:val="00114528"/>
    <w:rsid w:val="00116542"/>
    <w:rsid w:val="00116D3A"/>
    <w:rsid w:val="00121688"/>
    <w:rsid w:val="00121E3F"/>
    <w:rsid w:val="00122185"/>
    <w:rsid w:val="00123C96"/>
    <w:rsid w:val="00125BE4"/>
    <w:rsid w:val="001269F9"/>
    <w:rsid w:val="001314B4"/>
    <w:rsid w:val="0013455F"/>
    <w:rsid w:val="00134FE1"/>
    <w:rsid w:val="00135D04"/>
    <w:rsid w:val="00137123"/>
    <w:rsid w:val="00137DF2"/>
    <w:rsid w:val="00140748"/>
    <w:rsid w:val="0014123B"/>
    <w:rsid w:val="001419E7"/>
    <w:rsid w:val="00142028"/>
    <w:rsid w:val="00142908"/>
    <w:rsid w:val="00142AE9"/>
    <w:rsid w:val="00143282"/>
    <w:rsid w:val="001436EF"/>
    <w:rsid w:val="00152473"/>
    <w:rsid w:val="00152C85"/>
    <w:rsid w:val="0015403A"/>
    <w:rsid w:val="001542C1"/>
    <w:rsid w:val="0015713F"/>
    <w:rsid w:val="001573E9"/>
    <w:rsid w:val="00160C28"/>
    <w:rsid w:val="00162328"/>
    <w:rsid w:val="00164360"/>
    <w:rsid w:val="0016460A"/>
    <w:rsid w:val="00164BA4"/>
    <w:rsid w:val="00164C25"/>
    <w:rsid w:val="0016680E"/>
    <w:rsid w:val="00166CB9"/>
    <w:rsid w:val="00167659"/>
    <w:rsid w:val="001676D0"/>
    <w:rsid w:val="00167C9F"/>
    <w:rsid w:val="001701E3"/>
    <w:rsid w:val="00170509"/>
    <w:rsid w:val="001715AD"/>
    <w:rsid w:val="00172FE6"/>
    <w:rsid w:val="001734F0"/>
    <w:rsid w:val="001773B2"/>
    <w:rsid w:val="00181CAF"/>
    <w:rsid w:val="00185308"/>
    <w:rsid w:val="00185AF2"/>
    <w:rsid w:val="001861CA"/>
    <w:rsid w:val="0018650F"/>
    <w:rsid w:val="00186728"/>
    <w:rsid w:val="00187330"/>
    <w:rsid w:val="00193977"/>
    <w:rsid w:val="00193994"/>
    <w:rsid w:val="00194194"/>
    <w:rsid w:val="001955BF"/>
    <w:rsid w:val="00196D49"/>
    <w:rsid w:val="001A0827"/>
    <w:rsid w:val="001A2A52"/>
    <w:rsid w:val="001A54C3"/>
    <w:rsid w:val="001A7CC6"/>
    <w:rsid w:val="001B0AE1"/>
    <w:rsid w:val="001B34AE"/>
    <w:rsid w:val="001B4CD4"/>
    <w:rsid w:val="001B5A8E"/>
    <w:rsid w:val="001B5B0F"/>
    <w:rsid w:val="001B6B98"/>
    <w:rsid w:val="001C3576"/>
    <w:rsid w:val="001C39D4"/>
    <w:rsid w:val="001C3BF2"/>
    <w:rsid w:val="001C4C4E"/>
    <w:rsid w:val="001C5042"/>
    <w:rsid w:val="001C7D51"/>
    <w:rsid w:val="001C7E55"/>
    <w:rsid w:val="001D03CA"/>
    <w:rsid w:val="001D1628"/>
    <w:rsid w:val="001D2A02"/>
    <w:rsid w:val="001D3455"/>
    <w:rsid w:val="001D4731"/>
    <w:rsid w:val="001D4F50"/>
    <w:rsid w:val="001D5038"/>
    <w:rsid w:val="001D5238"/>
    <w:rsid w:val="001D5F77"/>
    <w:rsid w:val="001D60DE"/>
    <w:rsid w:val="001D647E"/>
    <w:rsid w:val="001D6CF8"/>
    <w:rsid w:val="001D708F"/>
    <w:rsid w:val="001D72B6"/>
    <w:rsid w:val="001E1442"/>
    <w:rsid w:val="001E34B4"/>
    <w:rsid w:val="001E3C02"/>
    <w:rsid w:val="001E49D0"/>
    <w:rsid w:val="001E575E"/>
    <w:rsid w:val="001F12A3"/>
    <w:rsid w:val="001F18E2"/>
    <w:rsid w:val="001F1A43"/>
    <w:rsid w:val="001F1EA2"/>
    <w:rsid w:val="001F21D6"/>
    <w:rsid w:val="001F3D5C"/>
    <w:rsid w:val="001F6480"/>
    <w:rsid w:val="001F7031"/>
    <w:rsid w:val="001F7760"/>
    <w:rsid w:val="001F7AFE"/>
    <w:rsid w:val="001F7BFC"/>
    <w:rsid w:val="0020015E"/>
    <w:rsid w:val="00203B55"/>
    <w:rsid w:val="002052E8"/>
    <w:rsid w:val="00205DBE"/>
    <w:rsid w:val="002116FF"/>
    <w:rsid w:val="00212903"/>
    <w:rsid w:val="00213721"/>
    <w:rsid w:val="00213CDE"/>
    <w:rsid w:val="0021533E"/>
    <w:rsid w:val="002154F8"/>
    <w:rsid w:val="00215F54"/>
    <w:rsid w:val="00215FFE"/>
    <w:rsid w:val="002170BC"/>
    <w:rsid w:val="00220F76"/>
    <w:rsid w:val="002222D5"/>
    <w:rsid w:val="002228A7"/>
    <w:rsid w:val="0022336E"/>
    <w:rsid w:val="00226359"/>
    <w:rsid w:val="00231958"/>
    <w:rsid w:val="0023289B"/>
    <w:rsid w:val="0023390B"/>
    <w:rsid w:val="00234EF7"/>
    <w:rsid w:val="00240538"/>
    <w:rsid w:val="00241958"/>
    <w:rsid w:val="00241BC8"/>
    <w:rsid w:val="00241BFD"/>
    <w:rsid w:val="00244A2A"/>
    <w:rsid w:val="00251248"/>
    <w:rsid w:val="002513E9"/>
    <w:rsid w:val="00251A2B"/>
    <w:rsid w:val="00251DC3"/>
    <w:rsid w:val="00254384"/>
    <w:rsid w:val="002573B0"/>
    <w:rsid w:val="0026094C"/>
    <w:rsid w:val="002628E7"/>
    <w:rsid w:val="00263B3B"/>
    <w:rsid w:val="00264491"/>
    <w:rsid w:val="002703B2"/>
    <w:rsid w:val="00270D37"/>
    <w:rsid w:val="0027492E"/>
    <w:rsid w:val="002755C9"/>
    <w:rsid w:val="00282A33"/>
    <w:rsid w:val="0028495E"/>
    <w:rsid w:val="002866E2"/>
    <w:rsid w:val="002868BD"/>
    <w:rsid w:val="00287702"/>
    <w:rsid w:val="00291C1C"/>
    <w:rsid w:val="00292A0E"/>
    <w:rsid w:val="00293BB4"/>
    <w:rsid w:val="00294221"/>
    <w:rsid w:val="0029438A"/>
    <w:rsid w:val="0029645A"/>
    <w:rsid w:val="00296A3A"/>
    <w:rsid w:val="002A0447"/>
    <w:rsid w:val="002A23A0"/>
    <w:rsid w:val="002A51A4"/>
    <w:rsid w:val="002A5DB1"/>
    <w:rsid w:val="002B2459"/>
    <w:rsid w:val="002B3279"/>
    <w:rsid w:val="002B4288"/>
    <w:rsid w:val="002B448C"/>
    <w:rsid w:val="002B66FE"/>
    <w:rsid w:val="002B6C67"/>
    <w:rsid w:val="002B75B6"/>
    <w:rsid w:val="002C020F"/>
    <w:rsid w:val="002C475B"/>
    <w:rsid w:val="002C4D2F"/>
    <w:rsid w:val="002C50DF"/>
    <w:rsid w:val="002C7420"/>
    <w:rsid w:val="002D0E22"/>
    <w:rsid w:val="002D2E2C"/>
    <w:rsid w:val="002D43E8"/>
    <w:rsid w:val="002D4E89"/>
    <w:rsid w:val="002D6C2B"/>
    <w:rsid w:val="002D7792"/>
    <w:rsid w:val="002E13C5"/>
    <w:rsid w:val="002E14DF"/>
    <w:rsid w:val="002E178A"/>
    <w:rsid w:val="002E1993"/>
    <w:rsid w:val="002E1D1E"/>
    <w:rsid w:val="002E491B"/>
    <w:rsid w:val="002E4E9F"/>
    <w:rsid w:val="002E5E57"/>
    <w:rsid w:val="002F040C"/>
    <w:rsid w:val="002F0420"/>
    <w:rsid w:val="002F0856"/>
    <w:rsid w:val="002F0FBE"/>
    <w:rsid w:val="002F1B8E"/>
    <w:rsid w:val="002F1CDD"/>
    <w:rsid w:val="002F4CEC"/>
    <w:rsid w:val="002F577D"/>
    <w:rsid w:val="002F5C2C"/>
    <w:rsid w:val="002F6FBC"/>
    <w:rsid w:val="00300454"/>
    <w:rsid w:val="00300A9C"/>
    <w:rsid w:val="00302856"/>
    <w:rsid w:val="00304175"/>
    <w:rsid w:val="00305593"/>
    <w:rsid w:val="003073AA"/>
    <w:rsid w:val="003075E3"/>
    <w:rsid w:val="0030768D"/>
    <w:rsid w:val="00312296"/>
    <w:rsid w:val="00312819"/>
    <w:rsid w:val="0031331E"/>
    <w:rsid w:val="00313C51"/>
    <w:rsid w:val="00316CAF"/>
    <w:rsid w:val="00322380"/>
    <w:rsid w:val="003231CE"/>
    <w:rsid w:val="003231DC"/>
    <w:rsid w:val="00324E1B"/>
    <w:rsid w:val="003255C8"/>
    <w:rsid w:val="0032711A"/>
    <w:rsid w:val="00327DDC"/>
    <w:rsid w:val="003313BB"/>
    <w:rsid w:val="00331670"/>
    <w:rsid w:val="003347C2"/>
    <w:rsid w:val="00335133"/>
    <w:rsid w:val="00336A09"/>
    <w:rsid w:val="0033710D"/>
    <w:rsid w:val="003418A9"/>
    <w:rsid w:val="0034311D"/>
    <w:rsid w:val="003433CB"/>
    <w:rsid w:val="00343BBB"/>
    <w:rsid w:val="00343F34"/>
    <w:rsid w:val="003462FC"/>
    <w:rsid w:val="00347DD7"/>
    <w:rsid w:val="00350C8B"/>
    <w:rsid w:val="0035132C"/>
    <w:rsid w:val="00355A8F"/>
    <w:rsid w:val="00360567"/>
    <w:rsid w:val="003626B2"/>
    <w:rsid w:val="00362894"/>
    <w:rsid w:val="00363880"/>
    <w:rsid w:val="003658F8"/>
    <w:rsid w:val="003673B7"/>
    <w:rsid w:val="00370029"/>
    <w:rsid w:val="003710D2"/>
    <w:rsid w:val="003717A1"/>
    <w:rsid w:val="00372C60"/>
    <w:rsid w:val="003752B4"/>
    <w:rsid w:val="00375408"/>
    <w:rsid w:val="0037705C"/>
    <w:rsid w:val="0037729C"/>
    <w:rsid w:val="003814A2"/>
    <w:rsid w:val="003821F6"/>
    <w:rsid w:val="0038256E"/>
    <w:rsid w:val="00383285"/>
    <w:rsid w:val="00383D89"/>
    <w:rsid w:val="003877F3"/>
    <w:rsid w:val="003926B4"/>
    <w:rsid w:val="003927E9"/>
    <w:rsid w:val="0039314D"/>
    <w:rsid w:val="00393B95"/>
    <w:rsid w:val="0039400B"/>
    <w:rsid w:val="003947A1"/>
    <w:rsid w:val="00396506"/>
    <w:rsid w:val="00397152"/>
    <w:rsid w:val="003A2EB6"/>
    <w:rsid w:val="003A5176"/>
    <w:rsid w:val="003A58F0"/>
    <w:rsid w:val="003A7F00"/>
    <w:rsid w:val="003B06A9"/>
    <w:rsid w:val="003B0BEA"/>
    <w:rsid w:val="003B2B20"/>
    <w:rsid w:val="003B2C14"/>
    <w:rsid w:val="003B305F"/>
    <w:rsid w:val="003B3689"/>
    <w:rsid w:val="003B3C37"/>
    <w:rsid w:val="003C016A"/>
    <w:rsid w:val="003C0A79"/>
    <w:rsid w:val="003C0E4E"/>
    <w:rsid w:val="003C3D23"/>
    <w:rsid w:val="003C3E2A"/>
    <w:rsid w:val="003C40DA"/>
    <w:rsid w:val="003C4224"/>
    <w:rsid w:val="003C681F"/>
    <w:rsid w:val="003C6B00"/>
    <w:rsid w:val="003C752E"/>
    <w:rsid w:val="003C767C"/>
    <w:rsid w:val="003D05EA"/>
    <w:rsid w:val="003D08A7"/>
    <w:rsid w:val="003D0A7E"/>
    <w:rsid w:val="003D1889"/>
    <w:rsid w:val="003D2192"/>
    <w:rsid w:val="003D491E"/>
    <w:rsid w:val="003D5188"/>
    <w:rsid w:val="003D6823"/>
    <w:rsid w:val="003D694B"/>
    <w:rsid w:val="003D6BAF"/>
    <w:rsid w:val="003E3C37"/>
    <w:rsid w:val="003E3F39"/>
    <w:rsid w:val="003E6BB5"/>
    <w:rsid w:val="003E6F9B"/>
    <w:rsid w:val="003E725E"/>
    <w:rsid w:val="003F035F"/>
    <w:rsid w:val="003F1328"/>
    <w:rsid w:val="003F2741"/>
    <w:rsid w:val="003F45F8"/>
    <w:rsid w:val="003F5D6B"/>
    <w:rsid w:val="003F69A8"/>
    <w:rsid w:val="00400028"/>
    <w:rsid w:val="004004A3"/>
    <w:rsid w:val="004006F7"/>
    <w:rsid w:val="00403B98"/>
    <w:rsid w:val="00403E3A"/>
    <w:rsid w:val="00404746"/>
    <w:rsid w:val="004048F0"/>
    <w:rsid w:val="00406C27"/>
    <w:rsid w:val="00407F76"/>
    <w:rsid w:val="004118F3"/>
    <w:rsid w:val="00412E03"/>
    <w:rsid w:val="00413A2D"/>
    <w:rsid w:val="00413BA6"/>
    <w:rsid w:val="00414BB8"/>
    <w:rsid w:val="00417DB1"/>
    <w:rsid w:val="00420055"/>
    <w:rsid w:val="00420117"/>
    <w:rsid w:val="00425506"/>
    <w:rsid w:val="00425539"/>
    <w:rsid w:val="00425B3C"/>
    <w:rsid w:val="00426CE2"/>
    <w:rsid w:val="004302D2"/>
    <w:rsid w:val="00431526"/>
    <w:rsid w:val="00436DB6"/>
    <w:rsid w:val="00437A44"/>
    <w:rsid w:val="00437BF4"/>
    <w:rsid w:val="004407E7"/>
    <w:rsid w:val="004411D2"/>
    <w:rsid w:val="00441694"/>
    <w:rsid w:val="00442B80"/>
    <w:rsid w:val="004454EF"/>
    <w:rsid w:val="00445DA1"/>
    <w:rsid w:val="00446EF8"/>
    <w:rsid w:val="00447D42"/>
    <w:rsid w:val="00450C2D"/>
    <w:rsid w:val="004533F5"/>
    <w:rsid w:val="0045607D"/>
    <w:rsid w:val="004567F7"/>
    <w:rsid w:val="00456A46"/>
    <w:rsid w:val="0046026F"/>
    <w:rsid w:val="004623FC"/>
    <w:rsid w:val="00462CDE"/>
    <w:rsid w:val="00464E6B"/>
    <w:rsid w:val="00465419"/>
    <w:rsid w:val="00467756"/>
    <w:rsid w:val="00467794"/>
    <w:rsid w:val="004678B3"/>
    <w:rsid w:val="004705F5"/>
    <w:rsid w:val="00471059"/>
    <w:rsid w:val="00471297"/>
    <w:rsid w:val="00472AD1"/>
    <w:rsid w:val="0047360F"/>
    <w:rsid w:val="004739B9"/>
    <w:rsid w:val="00473E84"/>
    <w:rsid w:val="00474094"/>
    <w:rsid w:val="00474218"/>
    <w:rsid w:val="00476B52"/>
    <w:rsid w:val="004807A6"/>
    <w:rsid w:val="00480911"/>
    <w:rsid w:val="004825F8"/>
    <w:rsid w:val="00484258"/>
    <w:rsid w:val="00484AA9"/>
    <w:rsid w:val="00484F75"/>
    <w:rsid w:val="00485B33"/>
    <w:rsid w:val="00485FBB"/>
    <w:rsid w:val="004864CB"/>
    <w:rsid w:val="00486E40"/>
    <w:rsid w:val="00486E77"/>
    <w:rsid w:val="00487288"/>
    <w:rsid w:val="004878B0"/>
    <w:rsid w:val="00492DB8"/>
    <w:rsid w:val="0049392A"/>
    <w:rsid w:val="00494F1D"/>
    <w:rsid w:val="00496451"/>
    <w:rsid w:val="00496E11"/>
    <w:rsid w:val="004A0B55"/>
    <w:rsid w:val="004A0CAC"/>
    <w:rsid w:val="004A1264"/>
    <w:rsid w:val="004A463F"/>
    <w:rsid w:val="004A7AE3"/>
    <w:rsid w:val="004A7D98"/>
    <w:rsid w:val="004B177C"/>
    <w:rsid w:val="004B330B"/>
    <w:rsid w:val="004B33B8"/>
    <w:rsid w:val="004B3504"/>
    <w:rsid w:val="004B3FFA"/>
    <w:rsid w:val="004B5E5F"/>
    <w:rsid w:val="004B61D8"/>
    <w:rsid w:val="004C51D8"/>
    <w:rsid w:val="004C6800"/>
    <w:rsid w:val="004C6960"/>
    <w:rsid w:val="004C7583"/>
    <w:rsid w:val="004D23AD"/>
    <w:rsid w:val="004D2899"/>
    <w:rsid w:val="004D2EF0"/>
    <w:rsid w:val="004D357A"/>
    <w:rsid w:val="004D709B"/>
    <w:rsid w:val="004E1768"/>
    <w:rsid w:val="004E2A91"/>
    <w:rsid w:val="004E41B7"/>
    <w:rsid w:val="004E64D6"/>
    <w:rsid w:val="004F0F9B"/>
    <w:rsid w:val="004F151C"/>
    <w:rsid w:val="004F1D5A"/>
    <w:rsid w:val="004F1E97"/>
    <w:rsid w:val="004F43A6"/>
    <w:rsid w:val="004F6021"/>
    <w:rsid w:val="004F77BE"/>
    <w:rsid w:val="005004C1"/>
    <w:rsid w:val="005005DF"/>
    <w:rsid w:val="00500A93"/>
    <w:rsid w:val="00501430"/>
    <w:rsid w:val="00501B2C"/>
    <w:rsid w:val="00502271"/>
    <w:rsid w:val="00502B74"/>
    <w:rsid w:val="00505066"/>
    <w:rsid w:val="00506ABA"/>
    <w:rsid w:val="005079B5"/>
    <w:rsid w:val="005128B2"/>
    <w:rsid w:val="00512F56"/>
    <w:rsid w:val="00517C99"/>
    <w:rsid w:val="00517D6A"/>
    <w:rsid w:val="005201DD"/>
    <w:rsid w:val="00520308"/>
    <w:rsid w:val="00520799"/>
    <w:rsid w:val="00520A11"/>
    <w:rsid w:val="00522A78"/>
    <w:rsid w:val="00523ADA"/>
    <w:rsid w:val="00525356"/>
    <w:rsid w:val="00527FDB"/>
    <w:rsid w:val="005306B9"/>
    <w:rsid w:val="00530984"/>
    <w:rsid w:val="00530B7D"/>
    <w:rsid w:val="00530CB6"/>
    <w:rsid w:val="00530E9D"/>
    <w:rsid w:val="00532BED"/>
    <w:rsid w:val="00533435"/>
    <w:rsid w:val="0053663B"/>
    <w:rsid w:val="005372FD"/>
    <w:rsid w:val="005404FC"/>
    <w:rsid w:val="00541147"/>
    <w:rsid w:val="0054151E"/>
    <w:rsid w:val="0054228A"/>
    <w:rsid w:val="0054408A"/>
    <w:rsid w:val="0054463A"/>
    <w:rsid w:val="00546126"/>
    <w:rsid w:val="005474FD"/>
    <w:rsid w:val="00547CF8"/>
    <w:rsid w:val="005508A9"/>
    <w:rsid w:val="00552187"/>
    <w:rsid w:val="00552427"/>
    <w:rsid w:val="005524D8"/>
    <w:rsid w:val="00555A83"/>
    <w:rsid w:val="00556AEF"/>
    <w:rsid w:val="005606C4"/>
    <w:rsid w:val="00560ABA"/>
    <w:rsid w:val="00561092"/>
    <w:rsid w:val="005619C0"/>
    <w:rsid w:val="00563B6E"/>
    <w:rsid w:val="00564AA8"/>
    <w:rsid w:val="00565291"/>
    <w:rsid w:val="00565340"/>
    <w:rsid w:val="00565840"/>
    <w:rsid w:val="00566985"/>
    <w:rsid w:val="00570967"/>
    <w:rsid w:val="00571AC8"/>
    <w:rsid w:val="00571EA0"/>
    <w:rsid w:val="00571EA6"/>
    <w:rsid w:val="00572630"/>
    <w:rsid w:val="005731B8"/>
    <w:rsid w:val="00573E8D"/>
    <w:rsid w:val="00574D0F"/>
    <w:rsid w:val="00581D65"/>
    <w:rsid w:val="0058324A"/>
    <w:rsid w:val="00583F8A"/>
    <w:rsid w:val="005842E2"/>
    <w:rsid w:val="005846D5"/>
    <w:rsid w:val="00584AA7"/>
    <w:rsid w:val="00585788"/>
    <w:rsid w:val="00585901"/>
    <w:rsid w:val="0058638E"/>
    <w:rsid w:val="005870DF"/>
    <w:rsid w:val="0058792D"/>
    <w:rsid w:val="00587DD8"/>
    <w:rsid w:val="00591610"/>
    <w:rsid w:val="00591D30"/>
    <w:rsid w:val="00591E7F"/>
    <w:rsid w:val="005920FB"/>
    <w:rsid w:val="005921F5"/>
    <w:rsid w:val="00592C53"/>
    <w:rsid w:val="00592C68"/>
    <w:rsid w:val="00592C8B"/>
    <w:rsid w:val="00592E63"/>
    <w:rsid w:val="00593BFA"/>
    <w:rsid w:val="00593EA4"/>
    <w:rsid w:val="005948E1"/>
    <w:rsid w:val="0059642A"/>
    <w:rsid w:val="00596928"/>
    <w:rsid w:val="00597133"/>
    <w:rsid w:val="005A04BE"/>
    <w:rsid w:val="005A0516"/>
    <w:rsid w:val="005A24AC"/>
    <w:rsid w:val="005A275D"/>
    <w:rsid w:val="005A50AA"/>
    <w:rsid w:val="005A5B40"/>
    <w:rsid w:val="005A5B52"/>
    <w:rsid w:val="005A61AC"/>
    <w:rsid w:val="005A629C"/>
    <w:rsid w:val="005A6678"/>
    <w:rsid w:val="005A68DA"/>
    <w:rsid w:val="005B2ECB"/>
    <w:rsid w:val="005B3CA8"/>
    <w:rsid w:val="005B59C0"/>
    <w:rsid w:val="005B5EF5"/>
    <w:rsid w:val="005B6314"/>
    <w:rsid w:val="005B6C00"/>
    <w:rsid w:val="005B706C"/>
    <w:rsid w:val="005B7BE1"/>
    <w:rsid w:val="005C1654"/>
    <w:rsid w:val="005C1C2C"/>
    <w:rsid w:val="005C558C"/>
    <w:rsid w:val="005C68C2"/>
    <w:rsid w:val="005C78E4"/>
    <w:rsid w:val="005D00AF"/>
    <w:rsid w:val="005D0C6D"/>
    <w:rsid w:val="005D2F92"/>
    <w:rsid w:val="005D30F6"/>
    <w:rsid w:val="005D4CFE"/>
    <w:rsid w:val="005E01EE"/>
    <w:rsid w:val="005E18C4"/>
    <w:rsid w:val="005E5813"/>
    <w:rsid w:val="005E7D66"/>
    <w:rsid w:val="005F042F"/>
    <w:rsid w:val="005F13F0"/>
    <w:rsid w:val="005F405A"/>
    <w:rsid w:val="005F4ECD"/>
    <w:rsid w:val="005F5BEF"/>
    <w:rsid w:val="005F7C03"/>
    <w:rsid w:val="00601335"/>
    <w:rsid w:val="00601761"/>
    <w:rsid w:val="006017CD"/>
    <w:rsid w:val="00601B0D"/>
    <w:rsid w:val="00603668"/>
    <w:rsid w:val="00605FED"/>
    <w:rsid w:val="00610137"/>
    <w:rsid w:val="00612223"/>
    <w:rsid w:val="00617597"/>
    <w:rsid w:val="0061760C"/>
    <w:rsid w:val="00617792"/>
    <w:rsid w:val="00621184"/>
    <w:rsid w:val="00622074"/>
    <w:rsid w:val="00622F41"/>
    <w:rsid w:val="0062763C"/>
    <w:rsid w:val="006277DE"/>
    <w:rsid w:val="0063004E"/>
    <w:rsid w:val="0063038E"/>
    <w:rsid w:val="006321FA"/>
    <w:rsid w:val="00633419"/>
    <w:rsid w:val="006343AB"/>
    <w:rsid w:val="00634779"/>
    <w:rsid w:val="00635C33"/>
    <w:rsid w:val="00636382"/>
    <w:rsid w:val="00636D9B"/>
    <w:rsid w:val="006409AA"/>
    <w:rsid w:val="00640C39"/>
    <w:rsid w:val="00642378"/>
    <w:rsid w:val="0064446F"/>
    <w:rsid w:val="006444B8"/>
    <w:rsid w:val="00646AD4"/>
    <w:rsid w:val="006508B8"/>
    <w:rsid w:val="00650E3F"/>
    <w:rsid w:val="0065239F"/>
    <w:rsid w:val="00653810"/>
    <w:rsid w:val="00654116"/>
    <w:rsid w:val="0065528F"/>
    <w:rsid w:val="006555D2"/>
    <w:rsid w:val="00657E8A"/>
    <w:rsid w:val="00662247"/>
    <w:rsid w:val="00662491"/>
    <w:rsid w:val="00663847"/>
    <w:rsid w:val="00663900"/>
    <w:rsid w:val="00665206"/>
    <w:rsid w:val="00666034"/>
    <w:rsid w:val="006669E0"/>
    <w:rsid w:val="00667ED2"/>
    <w:rsid w:val="006711A5"/>
    <w:rsid w:val="00672196"/>
    <w:rsid w:val="00672344"/>
    <w:rsid w:val="00672B0C"/>
    <w:rsid w:val="00676588"/>
    <w:rsid w:val="00676DF0"/>
    <w:rsid w:val="00677D8B"/>
    <w:rsid w:val="00680869"/>
    <w:rsid w:val="006817FC"/>
    <w:rsid w:val="00681BA4"/>
    <w:rsid w:val="00681CB4"/>
    <w:rsid w:val="00682DC7"/>
    <w:rsid w:val="006838FA"/>
    <w:rsid w:val="0068517E"/>
    <w:rsid w:val="006870EA"/>
    <w:rsid w:val="006871C5"/>
    <w:rsid w:val="00691041"/>
    <w:rsid w:val="00693411"/>
    <w:rsid w:val="006940C8"/>
    <w:rsid w:val="006963C6"/>
    <w:rsid w:val="00696916"/>
    <w:rsid w:val="0069740F"/>
    <w:rsid w:val="006A0821"/>
    <w:rsid w:val="006A3477"/>
    <w:rsid w:val="006A354C"/>
    <w:rsid w:val="006A6FDE"/>
    <w:rsid w:val="006B0790"/>
    <w:rsid w:val="006B150D"/>
    <w:rsid w:val="006B24C9"/>
    <w:rsid w:val="006B3461"/>
    <w:rsid w:val="006B35E7"/>
    <w:rsid w:val="006B4047"/>
    <w:rsid w:val="006B4413"/>
    <w:rsid w:val="006B6421"/>
    <w:rsid w:val="006B6E5E"/>
    <w:rsid w:val="006B711F"/>
    <w:rsid w:val="006C2C68"/>
    <w:rsid w:val="006C39DC"/>
    <w:rsid w:val="006C40B0"/>
    <w:rsid w:val="006C4524"/>
    <w:rsid w:val="006C5214"/>
    <w:rsid w:val="006C553B"/>
    <w:rsid w:val="006D02AB"/>
    <w:rsid w:val="006D147F"/>
    <w:rsid w:val="006D2B9B"/>
    <w:rsid w:val="006D5FFF"/>
    <w:rsid w:val="006D6B4D"/>
    <w:rsid w:val="006E2468"/>
    <w:rsid w:val="006E2F06"/>
    <w:rsid w:val="006E336D"/>
    <w:rsid w:val="006E38D7"/>
    <w:rsid w:val="006E4BA7"/>
    <w:rsid w:val="006E5F2B"/>
    <w:rsid w:val="006E6229"/>
    <w:rsid w:val="006E7559"/>
    <w:rsid w:val="006F0081"/>
    <w:rsid w:val="006F20A5"/>
    <w:rsid w:val="006F2E97"/>
    <w:rsid w:val="006F663B"/>
    <w:rsid w:val="006F69DE"/>
    <w:rsid w:val="00700419"/>
    <w:rsid w:val="0070076F"/>
    <w:rsid w:val="00701F4A"/>
    <w:rsid w:val="00705174"/>
    <w:rsid w:val="007053FD"/>
    <w:rsid w:val="00710036"/>
    <w:rsid w:val="0071021D"/>
    <w:rsid w:val="00713601"/>
    <w:rsid w:val="00713C48"/>
    <w:rsid w:val="0071427D"/>
    <w:rsid w:val="00714E9F"/>
    <w:rsid w:val="007211A2"/>
    <w:rsid w:val="0072331B"/>
    <w:rsid w:val="00727DA5"/>
    <w:rsid w:val="007366AC"/>
    <w:rsid w:val="007416D2"/>
    <w:rsid w:val="0074271A"/>
    <w:rsid w:val="00742FE5"/>
    <w:rsid w:val="00744B29"/>
    <w:rsid w:val="00745659"/>
    <w:rsid w:val="00745D3F"/>
    <w:rsid w:val="00746196"/>
    <w:rsid w:val="00746DD8"/>
    <w:rsid w:val="007521A2"/>
    <w:rsid w:val="00752AE0"/>
    <w:rsid w:val="007533CA"/>
    <w:rsid w:val="007538DB"/>
    <w:rsid w:val="007551D4"/>
    <w:rsid w:val="0076004B"/>
    <w:rsid w:val="007607EB"/>
    <w:rsid w:val="00761ED3"/>
    <w:rsid w:val="00763925"/>
    <w:rsid w:val="00764F41"/>
    <w:rsid w:val="0076561F"/>
    <w:rsid w:val="00766BBB"/>
    <w:rsid w:val="007672EE"/>
    <w:rsid w:val="00767BC9"/>
    <w:rsid w:val="00770229"/>
    <w:rsid w:val="007736D7"/>
    <w:rsid w:val="00774D74"/>
    <w:rsid w:val="00774FBA"/>
    <w:rsid w:val="00775637"/>
    <w:rsid w:val="0077614E"/>
    <w:rsid w:val="007764E3"/>
    <w:rsid w:val="0077694A"/>
    <w:rsid w:val="00776E02"/>
    <w:rsid w:val="007813DB"/>
    <w:rsid w:val="00783057"/>
    <w:rsid w:val="00783D86"/>
    <w:rsid w:val="007860D9"/>
    <w:rsid w:val="00786FFB"/>
    <w:rsid w:val="007909B9"/>
    <w:rsid w:val="00790EE9"/>
    <w:rsid w:val="007934CF"/>
    <w:rsid w:val="00794DCB"/>
    <w:rsid w:val="00795851"/>
    <w:rsid w:val="007A19A7"/>
    <w:rsid w:val="007A1B8C"/>
    <w:rsid w:val="007A2A1F"/>
    <w:rsid w:val="007A5A73"/>
    <w:rsid w:val="007A6DEE"/>
    <w:rsid w:val="007A7B0E"/>
    <w:rsid w:val="007A7E41"/>
    <w:rsid w:val="007B18CC"/>
    <w:rsid w:val="007B3CC4"/>
    <w:rsid w:val="007B4B91"/>
    <w:rsid w:val="007B5558"/>
    <w:rsid w:val="007B60D7"/>
    <w:rsid w:val="007B617F"/>
    <w:rsid w:val="007B75D8"/>
    <w:rsid w:val="007B782A"/>
    <w:rsid w:val="007B7F59"/>
    <w:rsid w:val="007C0CFE"/>
    <w:rsid w:val="007C1848"/>
    <w:rsid w:val="007C2359"/>
    <w:rsid w:val="007C3683"/>
    <w:rsid w:val="007C3B34"/>
    <w:rsid w:val="007C3C49"/>
    <w:rsid w:val="007C4210"/>
    <w:rsid w:val="007C670B"/>
    <w:rsid w:val="007D0345"/>
    <w:rsid w:val="007D08FC"/>
    <w:rsid w:val="007D1448"/>
    <w:rsid w:val="007D1682"/>
    <w:rsid w:val="007D45AE"/>
    <w:rsid w:val="007D5F89"/>
    <w:rsid w:val="007E0401"/>
    <w:rsid w:val="007E08AA"/>
    <w:rsid w:val="007E0CDE"/>
    <w:rsid w:val="007E227C"/>
    <w:rsid w:val="007E544C"/>
    <w:rsid w:val="007F0B43"/>
    <w:rsid w:val="007F22E6"/>
    <w:rsid w:val="007F2B09"/>
    <w:rsid w:val="007F2B74"/>
    <w:rsid w:val="007F3B46"/>
    <w:rsid w:val="007F3DD3"/>
    <w:rsid w:val="007F4D2A"/>
    <w:rsid w:val="007F621E"/>
    <w:rsid w:val="007F6909"/>
    <w:rsid w:val="00804D70"/>
    <w:rsid w:val="00806216"/>
    <w:rsid w:val="008117EF"/>
    <w:rsid w:val="0081231A"/>
    <w:rsid w:val="008123EE"/>
    <w:rsid w:val="008124EB"/>
    <w:rsid w:val="00813D15"/>
    <w:rsid w:val="00814ECB"/>
    <w:rsid w:val="00815423"/>
    <w:rsid w:val="00815CE8"/>
    <w:rsid w:val="00822ECE"/>
    <w:rsid w:val="0082320B"/>
    <w:rsid w:val="0082379A"/>
    <w:rsid w:val="00823B1E"/>
    <w:rsid w:val="00823B3E"/>
    <w:rsid w:val="00824F85"/>
    <w:rsid w:val="00825AD2"/>
    <w:rsid w:val="00826B00"/>
    <w:rsid w:val="00826FA3"/>
    <w:rsid w:val="008270D5"/>
    <w:rsid w:val="00827324"/>
    <w:rsid w:val="00831DD9"/>
    <w:rsid w:val="00833210"/>
    <w:rsid w:val="00833DED"/>
    <w:rsid w:val="008345F1"/>
    <w:rsid w:val="00834C2D"/>
    <w:rsid w:val="00836D77"/>
    <w:rsid w:val="00842B63"/>
    <w:rsid w:val="00842DC9"/>
    <w:rsid w:val="0084334B"/>
    <w:rsid w:val="00844E67"/>
    <w:rsid w:val="008453FE"/>
    <w:rsid w:val="0084585D"/>
    <w:rsid w:val="0084591B"/>
    <w:rsid w:val="00845F21"/>
    <w:rsid w:val="008500A8"/>
    <w:rsid w:val="00850625"/>
    <w:rsid w:val="0085313C"/>
    <w:rsid w:val="00855504"/>
    <w:rsid w:val="00855624"/>
    <w:rsid w:val="008556F4"/>
    <w:rsid w:val="0085625E"/>
    <w:rsid w:val="00860F05"/>
    <w:rsid w:val="008617DF"/>
    <w:rsid w:val="008620DA"/>
    <w:rsid w:val="008638EA"/>
    <w:rsid w:val="00866343"/>
    <w:rsid w:val="00866D14"/>
    <w:rsid w:val="00871185"/>
    <w:rsid w:val="008766AE"/>
    <w:rsid w:val="00876B3F"/>
    <w:rsid w:val="00881B54"/>
    <w:rsid w:val="008821A8"/>
    <w:rsid w:val="00882A88"/>
    <w:rsid w:val="0088341C"/>
    <w:rsid w:val="00885951"/>
    <w:rsid w:val="008900C5"/>
    <w:rsid w:val="00890C3C"/>
    <w:rsid w:val="00893568"/>
    <w:rsid w:val="008936A9"/>
    <w:rsid w:val="0089389C"/>
    <w:rsid w:val="00896250"/>
    <w:rsid w:val="00896E7A"/>
    <w:rsid w:val="0089707F"/>
    <w:rsid w:val="008A0599"/>
    <w:rsid w:val="008A0BEA"/>
    <w:rsid w:val="008A6C3F"/>
    <w:rsid w:val="008B382D"/>
    <w:rsid w:val="008B3B51"/>
    <w:rsid w:val="008B46A8"/>
    <w:rsid w:val="008B6D50"/>
    <w:rsid w:val="008B7DDE"/>
    <w:rsid w:val="008C0BC5"/>
    <w:rsid w:val="008C0E01"/>
    <w:rsid w:val="008C0E65"/>
    <w:rsid w:val="008C1F77"/>
    <w:rsid w:val="008C3558"/>
    <w:rsid w:val="008C39FB"/>
    <w:rsid w:val="008C3C02"/>
    <w:rsid w:val="008C4E43"/>
    <w:rsid w:val="008C5F1A"/>
    <w:rsid w:val="008C71B2"/>
    <w:rsid w:val="008D1DB5"/>
    <w:rsid w:val="008D3B27"/>
    <w:rsid w:val="008D3F60"/>
    <w:rsid w:val="008D4121"/>
    <w:rsid w:val="008D43F0"/>
    <w:rsid w:val="008D5511"/>
    <w:rsid w:val="008D56EB"/>
    <w:rsid w:val="008D5BAB"/>
    <w:rsid w:val="008D6BDB"/>
    <w:rsid w:val="008D75C9"/>
    <w:rsid w:val="008D75E3"/>
    <w:rsid w:val="008E0D8B"/>
    <w:rsid w:val="008E0FCF"/>
    <w:rsid w:val="008E1354"/>
    <w:rsid w:val="008E1AE7"/>
    <w:rsid w:val="008E2E16"/>
    <w:rsid w:val="008E509E"/>
    <w:rsid w:val="008E5190"/>
    <w:rsid w:val="008E5344"/>
    <w:rsid w:val="008E66C5"/>
    <w:rsid w:val="008F00E5"/>
    <w:rsid w:val="008F023F"/>
    <w:rsid w:val="008F1819"/>
    <w:rsid w:val="008F2291"/>
    <w:rsid w:val="008F2868"/>
    <w:rsid w:val="008F2EB9"/>
    <w:rsid w:val="008F3010"/>
    <w:rsid w:val="008F504B"/>
    <w:rsid w:val="00900464"/>
    <w:rsid w:val="00900870"/>
    <w:rsid w:val="00900AFA"/>
    <w:rsid w:val="00901428"/>
    <w:rsid w:val="0090173A"/>
    <w:rsid w:val="009024BB"/>
    <w:rsid w:val="0090369B"/>
    <w:rsid w:val="009058E1"/>
    <w:rsid w:val="00906178"/>
    <w:rsid w:val="00906CDC"/>
    <w:rsid w:val="00911EB0"/>
    <w:rsid w:val="00913158"/>
    <w:rsid w:val="009137A5"/>
    <w:rsid w:val="009137F0"/>
    <w:rsid w:val="00915D48"/>
    <w:rsid w:val="00916AF7"/>
    <w:rsid w:val="00920E8D"/>
    <w:rsid w:val="0092244F"/>
    <w:rsid w:val="00922B7A"/>
    <w:rsid w:val="009239BF"/>
    <w:rsid w:val="00926949"/>
    <w:rsid w:val="00926AF5"/>
    <w:rsid w:val="00927741"/>
    <w:rsid w:val="00931193"/>
    <w:rsid w:val="00932D4E"/>
    <w:rsid w:val="00932DBC"/>
    <w:rsid w:val="0093327D"/>
    <w:rsid w:val="00934671"/>
    <w:rsid w:val="009404D4"/>
    <w:rsid w:val="00942184"/>
    <w:rsid w:val="009421CC"/>
    <w:rsid w:val="009423AC"/>
    <w:rsid w:val="00944747"/>
    <w:rsid w:val="009468A1"/>
    <w:rsid w:val="00946EC9"/>
    <w:rsid w:val="0095319E"/>
    <w:rsid w:val="00956C40"/>
    <w:rsid w:val="009576C0"/>
    <w:rsid w:val="00960C24"/>
    <w:rsid w:val="00963DBA"/>
    <w:rsid w:val="0096486A"/>
    <w:rsid w:val="0096591C"/>
    <w:rsid w:val="00966745"/>
    <w:rsid w:val="00966FDC"/>
    <w:rsid w:val="00970B6A"/>
    <w:rsid w:val="00970C33"/>
    <w:rsid w:val="00970E36"/>
    <w:rsid w:val="00974508"/>
    <w:rsid w:val="00974798"/>
    <w:rsid w:val="00976074"/>
    <w:rsid w:val="009765BF"/>
    <w:rsid w:val="00980317"/>
    <w:rsid w:val="009817B4"/>
    <w:rsid w:val="009826DE"/>
    <w:rsid w:val="00984C0C"/>
    <w:rsid w:val="00986CD5"/>
    <w:rsid w:val="00987286"/>
    <w:rsid w:val="0099093F"/>
    <w:rsid w:val="009916E9"/>
    <w:rsid w:val="00991950"/>
    <w:rsid w:val="00992E9B"/>
    <w:rsid w:val="00993657"/>
    <w:rsid w:val="00994CEE"/>
    <w:rsid w:val="009959D0"/>
    <w:rsid w:val="009A160B"/>
    <w:rsid w:val="009A1972"/>
    <w:rsid w:val="009A3320"/>
    <w:rsid w:val="009A6BF7"/>
    <w:rsid w:val="009A7646"/>
    <w:rsid w:val="009A772B"/>
    <w:rsid w:val="009A7C0F"/>
    <w:rsid w:val="009A7EB5"/>
    <w:rsid w:val="009A7FE0"/>
    <w:rsid w:val="009B1E25"/>
    <w:rsid w:val="009B2E23"/>
    <w:rsid w:val="009B3758"/>
    <w:rsid w:val="009B50E0"/>
    <w:rsid w:val="009C0272"/>
    <w:rsid w:val="009C08C0"/>
    <w:rsid w:val="009C168C"/>
    <w:rsid w:val="009C1A92"/>
    <w:rsid w:val="009C1E69"/>
    <w:rsid w:val="009C4607"/>
    <w:rsid w:val="009C7756"/>
    <w:rsid w:val="009D0662"/>
    <w:rsid w:val="009D1871"/>
    <w:rsid w:val="009D21B8"/>
    <w:rsid w:val="009D3C35"/>
    <w:rsid w:val="009D4F3C"/>
    <w:rsid w:val="009D5992"/>
    <w:rsid w:val="009D763F"/>
    <w:rsid w:val="009E0CA8"/>
    <w:rsid w:val="009E3425"/>
    <w:rsid w:val="009E3FB7"/>
    <w:rsid w:val="009E5129"/>
    <w:rsid w:val="009E5B5C"/>
    <w:rsid w:val="009E60FE"/>
    <w:rsid w:val="009E6A9A"/>
    <w:rsid w:val="009E6DF2"/>
    <w:rsid w:val="009E78B6"/>
    <w:rsid w:val="009E7E16"/>
    <w:rsid w:val="009F0FCE"/>
    <w:rsid w:val="009F215E"/>
    <w:rsid w:val="009F3C13"/>
    <w:rsid w:val="009F5DD4"/>
    <w:rsid w:val="009F5E1C"/>
    <w:rsid w:val="009F5EE7"/>
    <w:rsid w:val="009F643C"/>
    <w:rsid w:val="00A00545"/>
    <w:rsid w:val="00A00BC8"/>
    <w:rsid w:val="00A014F5"/>
    <w:rsid w:val="00A07DB4"/>
    <w:rsid w:val="00A10DC8"/>
    <w:rsid w:val="00A1114B"/>
    <w:rsid w:val="00A15EB4"/>
    <w:rsid w:val="00A160CE"/>
    <w:rsid w:val="00A20F47"/>
    <w:rsid w:val="00A21966"/>
    <w:rsid w:val="00A2333D"/>
    <w:rsid w:val="00A237E1"/>
    <w:rsid w:val="00A2403C"/>
    <w:rsid w:val="00A25A68"/>
    <w:rsid w:val="00A25E41"/>
    <w:rsid w:val="00A266B0"/>
    <w:rsid w:val="00A279BC"/>
    <w:rsid w:val="00A27D8D"/>
    <w:rsid w:val="00A3080E"/>
    <w:rsid w:val="00A30E1B"/>
    <w:rsid w:val="00A35135"/>
    <w:rsid w:val="00A40DCD"/>
    <w:rsid w:val="00A40E72"/>
    <w:rsid w:val="00A4148C"/>
    <w:rsid w:val="00A52BCB"/>
    <w:rsid w:val="00A5329E"/>
    <w:rsid w:val="00A53B1C"/>
    <w:rsid w:val="00A55698"/>
    <w:rsid w:val="00A5686E"/>
    <w:rsid w:val="00A5765B"/>
    <w:rsid w:val="00A60588"/>
    <w:rsid w:val="00A6186F"/>
    <w:rsid w:val="00A62D24"/>
    <w:rsid w:val="00A65A18"/>
    <w:rsid w:val="00A672D5"/>
    <w:rsid w:val="00A72725"/>
    <w:rsid w:val="00A73CAE"/>
    <w:rsid w:val="00A73F69"/>
    <w:rsid w:val="00A74C56"/>
    <w:rsid w:val="00A756BD"/>
    <w:rsid w:val="00A76833"/>
    <w:rsid w:val="00A8090F"/>
    <w:rsid w:val="00A80B9C"/>
    <w:rsid w:val="00A81F21"/>
    <w:rsid w:val="00A833AF"/>
    <w:rsid w:val="00A83671"/>
    <w:rsid w:val="00A83A79"/>
    <w:rsid w:val="00A83F00"/>
    <w:rsid w:val="00A8447E"/>
    <w:rsid w:val="00A85A8E"/>
    <w:rsid w:val="00A91213"/>
    <w:rsid w:val="00A93F8B"/>
    <w:rsid w:val="00A9427E"/>
    <w:rsid w:val="00A954A8"/>
    <w:rsid w:val="00A9600D"/>
    <w:rsid w:val="00A97A33"/>
    <w:rsid w:val="00A97D01"/>
    <w:rsid w:val="00AA04C1"/>
    <w:rsid w:val="00AA0C67"/>
    <w:rsid w:val="00AA17A5"/>
    <w:rsid w:val="00AA1ED1"/>
    <w:rsid w:val="00AA582B"/>
    <w:rsid w:val="00AB1B2E"/>
    <w:rsid w:val="00AB44A6"/>
    <w:rsid w:val="00AB456D"/>
    <w:rsid w:val="00AB6501"/>
    <w:rsid w:val="00AB7F8D"/>
    <w:rsid w:val="00AC1E7E"/>
    <w:rsid w:val="00AC6A7B"/>
    <w:rsid w:val="00AC7FE6"/>
    <w:rsid w:val="00AD00C2"/>
    <w:rsid w:val="00AD09F2"/>
    <w:rsid w:val="00AD0F7C"/>
    <w:rsid w:val="00AD2E86"/>
    <w:rsid w:val="00AD4ECE"/>
    <w:rsid w:val="00AD55C9"/>
    <w:rsid w:val="00AD5D63"/>
    <w:rsid w:val="00AD61C6"/>
    <w:rsid w:val="00AD6B7A"/>
    <w:rsid w:val="00AE00F7"/>
    <w:rsid w:val="00AE015F"/>
    <w:rsid w:val="00AE0871"/>
    <w:rsid w:val="00AE1B0F"/>
    <w:rsid w:val="00AE21AA"/>
    <w:rsid w:val="00AE3AB7"/>
    <w:rsid w:val="00AE50E3"/>
    <w:rsid w:val="00AE5514"/>
    <w:rsid w:val="00AE5AB1"/>
    <w:rsid w:val="00AE6282"/>
    <w:rsid w:val="00AF0C7A"/>
    <w:rsid w:val="00AF27CF"/>
    <w:rsid w:val="00AF2B1F"/>
    <w:rsid w:val="00AF2BEF"/>
    <w:rsid w:val="00AF2C07"/>
    <w:rsid w:val="00AF35F1"/>
    <w:rsid w:val="00AF50C3"/>
    <w:rsid w:val="00AF5A15"/>
    <w:rsid w:val="00AF5FD4"/>
    <w:rsid w:val="00AF7138"/>
    <w:rsid w:val="00B0143B"/>
    <w:rsid w:val="00B02955"/>
    <w:rsid w:val="00B02EC8"/>
    <w:rsid w:val="00B05181"/>
    <w:rsid w:val="00B06352"/>
    <w:rsid w:val="00B10935"/>
    <w:rsid w:val="00B10990"/>
    <w:rsid w:val="00B10AF1"/>
    <w:rsid w:val="00B12E1B"/>
    <w:rsid w:val="00B1378E"/>
    <w:rsid w:val="00B1451A"/>
    <w:rsid w:val="00B14909"/>
    <w:rsid w:val="00B165C0"/>
    <w:rsid w:val="00B17A96"/>
    <w:rsid w:val="00B20505"/>
    <w:rsid w:val="00B22689"/>
    <w:rsid w:val="00B2294F"/>
    <w:rsid w:val="00B25C4B"/>
    <w:rsid w:val="00B261D8"/>
    <w:rsid w:val="00B26B24"/>
    <w:rsid w:val="00B2751C"/>
    <w:rsid w:val="00B27C08"/>
    <w:rsid w:val="00B30BCA"/>
    <w:rsid w:val="00B315ED"/>
    <w:rsid w:val="00B31ED2"/>
    <w:rsid w:val="00B34DD0"/>
    <w:rsid w:val="00B35C3F"/>
    <w:rsid w:val="00B369FB"/>
    <w:rsid w:val="00B40E5F"/>
    <w:rsid w:val="00B4276D"/>
    <w:rsid w:val="00B428BE"/>
    <w:rsid w:val="00B42CFF"/>
    <w:rsid w:val="00B47DB3"/>
    <w:rsid w:val="00B50545"/>
    <w:rsid w:val="00B52919"/>
    <w:rsid w:val="00B554F7"/>
    <w:rsid w:val="00B57E09"/>
    <w:rsid w:val="00B6022B"/>
    <w:rsid w:val="00B60469"/>
    <w:rsid w:val="00B60BC5"/>
    <w:rsid w:val="00B6158F"/>
    <w:rsid w:val="00B628C4"/>
    <w:rsid w:val="00B641B4"/>
    <w:rsid w:val="00B64663"/>
    <w:rsid w:val="00B64AB4"/>
    <w:rsid w:val="00B64CC8"/>
    <w:rsid w:val="00B66410"/>
    <w:rsid w:val="00B66C27"/>
    <w:rsid w:val="00B67FED"/>
    <w:rsid w:val="00B7021F"/>
    <w:rsid w:val="00B70337"/>
    <w:rsid w:val="00B70FD2"/>
    <w:rsid w:val="00B71550"/>
    <w:rsid w:val="00B731EB"/>
    <w:rsid w:val="00B752B1"/>
    <w:rsid w:val="00B75E3B"/>
    <w:rsid w:val="00B76AC0"/>
    <w:rsid w:val="00B779ED"/>
    <w:rsid w:val="00B77B06"/>
    <w:rsid w:val="00B80C47"/>
    <w:rsid w:val="00B8460B"/>
    <w:rsid w:val="00B855FB"/>
    <w:rsid w:val="00B85CC3"/>
    <w:rsid w:val="00B86C5B"/>
    <w:rsid w:val="00B90367"/>
    <w:rsid w:val="00B92183"/>
    <w:rsid w:val="00B922CC"/>
    <w:rsid w:val="00B93205"/>
    <w:rsid w:val="00B94117"/>
    <w:rsid w:val="00B963C0"/>
    <w:rsid w:val="00B96D7B"/>
    <w:rsid w:val="00BA01D6"/>
    <w:rsid w:val="00BA09FD"/>
    <w:rsid w:val="00BA0E3B"/>
    <w:rsid w:val="00BA46CB"/>
    <w:rsid w:val="00BA6CF8"/>
    <w:rsid w:val="00BA772A"/>
    <w:rsid w:val="00BA7CE6"/>
    <w:rsid w:val="00BA7DD9"/>
    <w:rsid w:val="00BA7F2B"/>
    <w:rsid w:val="00BB03B8"/>
    <w:rsid w:val="00BB20E6"/>
    <w:rsid w:val="00BB2BA6"/>
    <w:rsid w:val="00BB2F7E"/>
    <w:rsid w:val="00BB2FB2"/>
    <w:rsid w:val="00BB3FD7"/>
    <w:rsid w:val="00BB5A4B"/>
    <w:rsid w:val="00BB668C"/>
    <w:rsid w:val="00BB7D69"/>
    <w:rsid w:val="00BC0DBA"/>
    <w:rsid w:val="00BC3BA8"/>
    <w:rsid w:val="00BC56A2"/>
    <w:rsid w:val="00BD12BA"/>
    <w:rsid w:val="00BD54BC"/>
    <w:rsid w:val="00BD6731"/>
    <w:rsid w:val="00BD6BF5"/>
    <w:rsid w:val="00BD7096"/>
    <w:rsid w:val="00BD74CB"/>
    <w:rsid w:val="00BE0FE4"/>
    <w:rsid w:val="00BE1115"/>
    <w:rsid w:val="00BE14F9"/>
    <w:rsid w:val="00BE2D7C"/>
    <w:rsid w:val="00BE4AC7"/>
    <w:rsid w:val="00BE6622"/>
    <w:rsid w:val="00BE71B9"/>
    <w:rsid w:val="00BF164F"/>
    <w:rsid w:val="00BF1875"/>
    <w:rsid w:val="00BF1C8E"/>
    <w:rsid w:val="00BF2B8C"/>
    <w:rsid w:val="00BF570D"/>
    <w:rsid w:val="00C0075F"/>
    <w:rsid w:val="00C00E83"/>
    <w:rsid w:val="00C04FFB"/>
    <w:rsid w:val="00C05B57"/>
    <w:rsid w:val="00C05F49"/>
    <w:rsid w:val="00C060CA"/>
    <w:rsid w:val="00C0644A"/>
    <w:rsid w:val="00C06F8E"/>
    <w:rsid w:val="00C076E4"/>
    <w:rsid w:val="00C1074A"/>
    <w:rsid w:val="00C12736"/>
    <w:rsid w:val="00C1301A"/>
    <w:rsid w:val="00C15B9B"/>
    <w:rsid w:val="00C16866"/>
    <w:rsid w:val="00C210DF"/>
    <w:rsid w:val="00C2436D"/>
    <w:rsid w:val="00C27058"/>
    <w:rsid w:val="00C30378"/>
    <w:rsid w:val="00C305BA"/>
    <w:rsid w:val="00C318E2"/>
    <w:rsid w:val="00C321D4"/>
    <w:rsid w:val="00C34B82"/>
    <w:rsid w:val="00C34BF5"/>
    <w:rsid w:val="00C36450"/>
    <w:rsid w:val="00C36AB7"/>
    <w:rsid w:val="00C37462"/>
    <w:rsid w:val="00C3760E"/>
    <w:rsid w:val="00C40A5E"/>
    <w:rsid w:val="00C43214"/>
    <w:rsid w:val="00C4399C"/>
    <w:rsid w:val="00C44340"/>
    <w:rsid w:val="00C45050"/>
    <w:rsid w:val="00C45750"/>
    <w:rsid w:val="00C50200"/>
    <w:rsid w:val="00C52711"/>
    <w:rsid w:val="00C52F21"/>
    <w:rsid w:val="00C53CB0"/>
    <w:rsid w:val="00C54FDD"/>
    <w:rsid w:val="00C554E2"/>
    <w:rsid w:val="00C555D2"/>
    <w:rsid w:val="00C56CA2"/>
    <w:rsid w:val="00C576A1"/>
    <w:rsid w:val="00C57DAA"/>
    <w:rsid w:val="00C60043"/>
    <w:rsid w:val="00C62009"/>
    <w:rsid w:val="00C63529"/>
    <w:rsid w:val="00C63562"/>
    <w:rsid w:val="00C63C53"/>
    <w:rsid w:val="00C657DA"/>
    <w:rsid w:val="00C6601B"/>
    <w:rsid w:val="00C723E1"/>
    <w:rsid w:val="00C72FEB"/>
    <w:rsid w:val="00C73DBD"/>
    <w:rsid w:val="00C7515E"/>
    <w:rsid w:val="00C767D0"/>
    <w:rsid w:val="00C7695C"/>
    <w:rsid w:val="00C81D23"/>
    <w:rsid w:val="00C824A2"/>
    <w:rsid w:val="00C84D5F"/>
    <w:rsid w:val="00C84FE9"/>
    <w:rsid w:val="00C8721B"/>
    <w:rsid w:val="00C903D7"/>
    <w:rsid w:val="00C916CF"/>
    <w:rsid w:val="00C92054"/>
    <w:rsid w:val="00C933D6"/>
    <w:rsid w:val="00C93AE4"/>
    <w:rsid w:val="00C94D5B"/>
    <w:rsid w:val="00C94F68"/>
    <w:rsid w:val="00CA2F59"/>
    <w:rsid w:val="00CA3145"/>
    <w:rsid w:val="00CA3691"/>
    <w:rsid w:val="00CA3BCB"/>
    <w:rsid w:val="00CA510B"/>
    <w:rsid w:val="00CA6471"/>
    <w:rsid w:val="00CA7044"/>
    <w:rsid w:val="00CB0128"/>
    <w:rsid w:val="00CB0FE4"/>
    <w:rsid w:val="00CB1D93"/>
    <w:rsid w:val="00CB3095"/>
    <w:rsid w:val="00CB48BF"/>
    <w:rsid w:val="00CB5CE8"/>
    <w:rsid w:val="00CC01AF"/>
    <w:rsid w:val="00CC0CC4"/>
    <w:rsid w:val="00CC1090"/>
    <w:rsid w:val="00CC1C7E"/>
    <w:rsid w:val="00CC6D92"/>
    <w:rsid w:val="00CC74BF"/>
    <w:rsid w:val="00CC7CDF"/>
    <w:rsid w:val="00CD0D2D"/>
    <w:rsid w:val="00CD3613"/>
    <w:rsid w:val="00CD5707"/>
    <w:rsid w:val="00CD5C58"/>
    <w:rsid w:val="00CE1D80"/>
    <w:rsid w:val="00CE1FAB"/>
    <w:rsid w:val="00CE33BB"/>
    <w:rsid w:val="00CE3472"/>
    <w:rsid w:val="00CE6630"/>
    <w:rsid w:val="00CE6FF8"/>
    <w:rsid w:val="00CF1B8A"/>
    <w:rsid w:val="00CF6AE7"/>
    <w:rsid w:val="00CF7F8C"/>
    <w:rsid w:val="00D018AA"/>
    <w:rsid w:val="00D01EEC"/>
    <w:rsid w:val="00D03EE1"/>
    <w:rsid w:val="00D04703"/>
    <w:rsid w:val="00D04ED3"/>
    <w:rsid w:val="00D06051"/>
    <w:rsid w:val="00D0626E"/>
    <w:rsid w:val="00D079AC"/>
    <w:rsid w:val="00D101D3"/>
    <w:rsid w:val="00D1214A"/>
    <w:rsid w:val="00D12D5D"/>
    <w:rsid w:val="00D176B4"/>
    <w:rsid w:val="00D17D0E"/>
    <w:rsid w:val="00D20AE4"/>
    <w:rsid w:val="00D21EDE"/>
    <w:rsid w:val="00D22EDC"/>
    <w:rsid w:val="00D27770"/>
    <w:rsid w:val="00D321D5"/>
    <w:rsid w:val="00D37172"/>
    <w:rsid w:val="00D404C3"/>
    <w:rsid w:val="00D40A05"/>
    <w:rsid w:val="00D41F7F"/>
    <w:rsid w:val="00D4211A"/>
    <w:rsid w:val="00D4279C"/>
    <w:rsid w:val="00D4392A"/>
    <w:rsid w:val="00D4593A"/>
    <w:rsid w:val="00D47209"/>
    <w:rsid w:val="00D50F26"/>
    <w:rsid w:val="00D51368"/>
    <w:rsid w:val="00D5241F"/>
    <w:rsid w:val="00D52B17"/>
    <w:rsid w:val="00D54408"/>
    <w:rsid w:val="00D56CB1"/>
    <w:rsid w:val="00D57DBC"/>
    <w:rsid w:val="00D60B3A"/>
    <w:rsid w:val="00D613CC"/>
    <w:rsid w:val="00D64DBD"/>
    <w:rsid w:val="00D66FF1"/>
    <w:rsid w:val="00D67083"/>
    <w:rsid w:val="00D71D91"/>
    <w:rsid w:val="00D71E7F"/>
    <w:rsid w:val="00D7247F"/>
    <w:rsid w:val="00D72557"/>
    <w:rsid w:val="00D73130"/>
    <w:rsid w:val="00D7373B"/>
    <w:rsid w:val="00D76C5C"/>
    <w:rsid w:val="00D7792D"/>
    <w:rsid w:val="00D80762"/>
    <w:rsid w:val="00D80773"/>
    <w:rsid w:val="00D820C6"/>
    <w:rsid w:val="00D8285B"/>
    <w:rsid w:val="00D82A25"/>
    <w:rsid w:val="00D902B2"/>
    <w:rsid w:val="00D907FD"/>
    <w:rsid w:val="00D90DE4"/>
    <w:rsid w:val="00D91974"/>
    <w:rsid w:val="00D931B9"/>
    <w:rsid w:val="00D94F07"/>
    <w:rsid w:val="00D95580"/>
    <w:rsid w:val="00D966C1"/>
    <w:rsid w:val="00D97302"/>
    <w:rsid w:val="00DA1F56"/>
    <w:rsid w:val="00DA3E4C"/>
    <w:rsid w:val="00DA4099"/>
    <w:rsid w:val="00DA46DF"/>
    <w:rsid w:val="00DA6A55"/>
    <w:rsid w:val="00DA704D"/>
    <w:rsid w:val="00DB0B9F"/>
    <w:rsid w:val="00DB24B4"/>
    <w:rsid w:val="00DB444A"/>
    <w:rsid w:val="00DB4877"/>
    <w:rsid w:val="00DB5313"/>
    <w:rsid w:val="00DB5BAE"/>
    <w:rsid w:val="00DC0676"/>
    <w:rsid w:val="00DC1D29"/>
    <w:rsid w:val="00DC5298"/>
    <w:rsid w:val="00DD1367"/>
    <w:rsid w:val="00DD2910"/>
    <w:rsid w:val="00DD37FE"/>
    <w:rsid w:val="00DD7E8B"/>
    <w:rsid w:val="00DE0A10"/>
    <w:rsid w:val="00DE1651"/>
    <w:rsid w:val="00DE2C23"/>
    <w:rsid w:val="00DE68DA"/>
    <w:rsid w:val="00DF2CAA"/>
    <w:rsid w:val="00DF5283"/>
    <w:rsid w:val="00DF7DD0"/>
    <w:rsid w:val="00E00C02"/>
    <w:rsid w:val="00E017AC"/>
    <w:rsid w:val="00E01FED"/>
    <w:rsid w:val="00E02B2F"/>
    <w:rsid w:val="00E037D4"/>
    <w:rsid w:val="00E04C0A"/>
    <w:rsid w:val="00E0709A"/>
    <w:rsid w:val="00E141EA"/>
    <w:rsid w:val="00E16AA9"/>
    <w:rsid w:val="00E17C87"/>
    <w:rsid w:val="00E17DE3"/>
    <w:rsid w:val="00E22701"/>
    <w:rsid w:val="00E24612"/>
    <w:rsid w:val="00E260C2"/>
    <w:rsid w:val="00E328B0"/>
    <w:rsid w:val="00E33113"/>
    <w:rsid w:val="00E33858"/>
    <w:rsid w:val="00E34998"/>
    <w:rsid w:val="00E34C1F"/>
    <w:rsid w:val="00E3543E"/>
    <w:rsid w:val="00E35A4A"/>
    <w:rsid w:val="00E372B1"/>
    <w:rsid w:val="00E41C9E"/>
    <w:rsid w:val="00E41DD6"/>
    <w:rsid w:val="00E42E0C"/>
    <w:rsid w:val="00E45FCB"/>
    <w:rsid w:val="00E472ED"/>
    <w:rsid w:val="00E47B18"/>
    <w:rsid w:val="00E51BAC"/>
    <w:rsid w:val="00E52EAC"/>
    <w:rsid w:val="00E54EB9"/>
    <w:rsid w:val="00E5540B"/>
    <w:rsid w:val="00E55CB6"/>
    <w:rsid w:val="00E55D7E"/>
    <w:rsid w:val="00E5675A"/>
    <w:rsid w:val="00E56F93"/>
    <w:rsid w:val="00E60943"/>
    <w:rsid w:val="00E610F9"/>
    <w:rsid w:val="00E61139"/>
    <w:rsid w:val="00E61178"/>
    <w:rsid w:val="00E614A6"/>
    <w:rsid w:val="00E615F8"/>
    <w:rsid w:val="00E644F6"/>
    <w:rsid w:val="00E67EBE"/>
    <w:rsid w:val="00E70605"/>
    <w:rsid w:val="00E7457F"/>
    <w:rsid w:val="00E74C70"/>
    <w:rsid w:val="00E74DAD"/>
    <w:rsid w:val="00E7690E"/>
    <w:rsid w:val="00E81540"/>
    <w:rsid w:val="00E81667"/>
    <w:rsid w:val="00E829AB"/>
    <w:rsid w:val="00E82B52"/>
    <w:rsid w:val="00E84255"/>
    <w:rsid w:val="00E85091"/>
    <w:rsid w:val="00E877CE"/>
    <w:rsid w:val="00E90061"/>
    <w:rsid w:val="00E910B0"/>
    <w:rsid w:val="00E910F1"/>
    <w:rsid w:val="00E91F6F"/>
    <w:rsid w:val="00E92B7F"/>
    <w:rsid w:val="00E94454"/>
    <w:rsid w:val="00E946FD"/>
    <w:rsid w:val="00E94DB2"/>
    <w:rsid w:val="00E956DA"/>
    <w:rsid w:val="00EA0895"/>
    <w:rsid w:val="00EB01DA"/>
    <w:rsid w:val="00EB0565"/>
    <w:rsid w:val="00EB06F7"/>
    <w:rsid w:val="00EB1282"/>
    <w:rsid w:val="00EB1B03"/>
    <w:rsid w:val="00EB26D8"/>
    <w:rsid w:val="00EB3697"/>
    <w:rsid w:val="00EC0ED0"/>
    <w:rsid w:val="00EC0EF9"/>
    <w:rsid w:val="00EC1620"/>
    <w:rsid w:val="00EC479B"/>
    <w:rsid w:val="00EC4E78"/>
    <w:rsid w:val="00ED0A8B"/>
    <w:rsid w:val="00ED152C"/>
    <w:rsid w:val="00ED358F"/>
    <w:rsid w:val="00ED3B38"/>
    <w:rsid w:val="00ED63D9"/>
    <w:rsid w:val="00ED63F0"/>
    <w:rsid w:val="00ED6AEB"/>
    <w:rsid w:val="00ED76CF"/>
    <w:rsid w:val="00EE020B"/>
    <w:rsid w:val="00EE0A6F"/>
    <w:rsid w:val="00EE14F0"/>
    <w:rsid w:val="00EE321F"/>
    <w:rsid w:val="00EE37A0"/>
    <w:rsid w:val="00EE440B"/>
    <w:rsid w:val="00EE4CE1"/>
    <w:rsid w:val="00EE5479"/>
    <w:rsid w:val="00EE7958"/>
    <w:rsid w:val="00EF0B6D"/>
    <w:rsid w:val="00EF14E9"/>
    <w:rsid w:val="00EF278B"/>
    <w:rsid w:val="00EF2C8A"/>
    <w:rsid w:val="00EF2D05"/>
    <w:rsid w:val="00EF44D3"/>
    <w:rsid w:val="00EF524C"/>
    <w:rsid w:val="00EF7F7A"/>
    <w:rsid w:val="00F008CF"/>
    <w:rsid w:val="00F00D9B"/>
    <w:rsid w:val="00F01542"/>
    <w:rsid w:val="00F0158C"/>
    <w:rsid w:val="00F01D56"/>
    <w:rsid w:val="00F0217C"/>
    <w:rsid w:val="00F02EE4"/>
    <w:rsid w:val="00F04DD7"/>
    <w:rsid w:val="00F061D2"/>
    <w:rsid w:val="00F06DC4"/>
    <w:rsid w:val="00F0719A"/>
    <w:rsid w:val="00F07E63"/>
    <w:rsid w:val="00F12FE0"/>
    <w:rsid w:val="00F1323B"/>
    <w:rsid w:val="00F13BDA"/>
    <w:rsid w:val="00F165E1"/>
    <w:rsid w:val="00F1666D"/>
    <w:rsid w:val="00F17117"/>
    <w:rsid w:val="00F176E3"/>
    <w:rsid w:val="00F229D5"/>
    <w:rsid w:val="00F229FF"/>
    <w:rsid w:val="00F250C9"/>
    <w:rsid w:val="00F2572E"/>
    <w:rsid w:val="00F258BE"/>
    <w:rsid w:val="00F2600B"/>
    <w:rsid w:val="00F273C6"/>
    <w:rsid w:val="00F27C5C"/>
    <w:rsid w:val="00F30032"/>
    <w:rsid w:val="00F302A8"/>
    <w:rsid w:val="00F30C5C"/>
    <w:rsid w:val="00F3160C"/>
    <w:rsid w:val="00F31767"/>
    <w:rsid w:val="00F325BF"/>
    <w:rsid w:val="00F33690"/>
    <w:rsid w:val="00F36E5B"/>
    <w:rsid w:val="00F37C7D"/>
    <w:rsid w:val="00F4011B"/>
    <w:rsid w:val="00F41532"/>
    <w:rsid w:val="00F42C2A"/>
    <w:rsid w:val="00F4356E"/>
    <w:rsid w:val="00F4382B"/>
    <w:rsid w:val="00F43869"/>
    <w:rsid w:val="00F44064"/>
    <w:rsid w:val="00F44C89"/>
    <w:rsid w:val="00F457D8"/>
    <w:rsid w:val="00F46B86"/>
    <w:rsid w:val="00F50A66"/>
    <w:rsid w:val="00F51546"/>
    <w:rsid w:val="00F5204D"/>
    <w:rsid w:val="00F5250D"/>
    <w:rsid w:val="00F52B9D"/>
    <w:rsid w:val="00F52DB6"/>
    <w:rsid w:val="00F531EB"/>
    <w:rsid w:val="00F5506B"/>
    <w:rsid w:val="00F55E0E"/>
    <w:rsid w:val="00F5644A"/>
    <w:rsid w:val="00F6005E"/>
    <w:rsid w:val="00F602AE"/>
    <w:rsid w:val="00F61212"/>
    <w:rsid w:val="00F61CE7"/>
    <w:rsid w:val="00F61EC5"/>
    <w:rsid w:val="00F62225"/>
    <w:rsid w:val="00F6348C"/>
    <w:rsid w:val="00F63B0D"/>
    <w:rsid w:val="00F75720"/>
    <w:rsid w:val="00F80407"/>
    <w:rsid w:val="00F806DC"/>
    <w:rsid w:val="00F806EA"/>
    <w:rsid w:val="00F830B4"/>
    <w:rsid w:val="00F85207"/>
    <w:rsid w:val="00F85945"/>
    <w:rsid w:val="00F8691F"/>
    <w:rsid w:val="00F90BA7"/>
    <w:rsid w:val="00F91BF6"/>
    <w:rsid w:val="00F937DC"/>
    <w:rsid w:val="00F93F5B"/>
    <w:rsid w:val="00F963EA"/>
    <w:rsid w:val="00F96840"/>
    <w:rsid w:val="00F96D0E"/>
    <w:rsid w:val="00F97A03"/>
    <w:rsid w:val="00F97A65"/>
    <w:rsid w:val="00F97BC7"/>
    <w:rsid w:val="00F97E02"/>
    <w:rsid w:val="00FA08B0"/>
    <w:rsid w:val="00FA0F35"/>
    <w:rsid w:val="00FA0FCD"/>
    <w:rsid w:val="00FA11C3"/>
    <w:rsid w:val="00FA1556"/>
    <w:rsid w:val="00FA1C41"/>
    <w:rsid w:val="00FA1D33"/>
    <w:rsid w:val="00FA30E2"/>
    <w:rsid w:val="00FA47F6"/>
    <w:rsid w:val="00FA53C1"/>
    <w:rsid w:val="00FA5A1B"/>
    <w:rsid w:val="00FA5D6B"/>
    <w:rsid w:val="00FA5E40"/>
    <w:rsid w:val="00FB02DB"/>
    <w:rsid w:val="00FB0A7A"/>
    <w:rsid w:val="00FB0E22"/>
    <w:rsid w:val="00FB382F"/>
    <w:rsid w:val="00FB5DC8"/>
    <w:rsid w:val="00FB6B4E"/>
    <w:rsid w:val="00FC110A"/>
    <w:rsid w:val="00FC1F27"/>
    <w:rsid w:val="00FC2501"/>
    <w:rsid w:val="00FC452D"/>
    <w:rsid w:val="00FC5CBB"/>
    <w:rsid w:val="00FC75CA"/>
    <w:rsid w:val="00FC7E81"/>
    <w:rsid w:val="00FD2AB9"/>
    <w:rsid w:val="00FD395A"/>
    <w:rsid w:val="00FD3C90"/>
    <w:rsid w:val="00FD4F78"/>
    <w:rsid w:val="00FE040C"/>
    <w:rsid w:val="00FE087A"/>
    <w:rsid w:val="00FE1CFD"/>
    <w:rsid w:val="00FE241C"/>
    <w:rsid w:val="00FE5C91"/>
    <w:rsid w:val="00FF07A3"/>
    <w:rsid w:val="00FF339B"/>
    <w:rsid w:val="00FF37A6"/>
    <w:rsid w:val="00FF3B8A"/>
    <w:rsid w:val="00FF44BB"/>
    <w:rsid w:val="00FF4803"/>
    <w:rsid w:val="00FF4EBA"/>
    <w:rsid w:val="00FF5AF0"/>
    <w:rsid w:val="00FF5F5A"/>
    <w:rsid w:val="00FF69C6"/>
    <w:rsid w:val="00FF7AD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64B21"/>
  <w15:chartTrackingRefBased/>
  <w15:docId w15:val="{066555E7-BD28-4824-A49E-4E5CF5EFA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B10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990"/>
    <w:rPr>
      <w:rFonts w:ascii="Arial" w:hAnsi="Arial"/>
      <w:sz w:val="24"/>
      <w:lang w:val="en-GB"/>
    </w:rPr>
  </w:style>
  <w:style w:type="paragraph" w:styleId="Footer">
    <w:name w:val="footer"/>
    <w:basedOn w:val="Normal"/>
    <w:link w:val="FooterChar"/>
    <w:uiPriority w:val="99"/>
    <w:unhideWhenUsed/>
    <w:rsid w:val="00B10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990"/>
    <w:rPr>
      <w:rFonts w:ascii="Arial" w:hAnsi="Arial"/>
      <w:sz w:val="24"/>
      <w:lang w:val="en-GB"/>
    </w:rPr>
  </w:style>
  <w:style w:type="paragraph" w:styleId="FootnoteText">
    <w:name w:val="footnote text"/>
    <w:basedOn w:val="Normal"/>
    <w:link w:val="FootnoteTextChar"/>
    <w:uiPriority w:val="99"/>
    <w:semiHidden/>
    <w:unhideWhenUsed/>
    <w:rsid w:val="00C34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4BF5"/>
    <w:rPr>
      <w:rFonts w:ascii="Arial" w:hAnsi="Arial"/>
      <w:sz w:val="20"/>
      <w:szCs w:val="20"/>
      <w:lang w:val="en-GB"/>
    </w:rPr>
  </w:style>
  <w:style w:type="character" w:styleId="FootnoteReference">
    <w:name w:val="footnote reference"/>
    <w:basedOn w:val="DefaultParagraphFont"/>
    <w:uiPriority w:val="99"/>
    <w:semiHidden/>
    <w:unhideWhenUsed/>
    <w:rsid w:val="00C34B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81981">
      <w:bodyDiv w:val="1"/>
      <w:marLeft w:val="0"/>
      <w:marRight w:val="0"/>
      <w:marTop w:val="0"/>
      <w:marBottom w:val="0"/>
      <w:divBdr>
        <w:top w:val="none" w:sz="0" w:space="0" w:color="auto"/>
        <w:left w:val="none" w:sz="0" w:space="0" w:color="auto"/>
        <w:bottom w:val="none" w:sz="0" w:space="0" w:color="auto"/>
        <w:right w:val="none" w:sz="0" w:space="0" w:color="auto"/>
      </w:divBdr>
    </w:div>
    <w:div w:id="171245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ient\AppData\Local\Microsoft\Windows\INetCache\Content.Outlook\E8JWXGMU\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A7237-38E8-45FD-B076-F52E6C2F9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High Court Judgment Template</Template>
  <TotalTime>1</TotalTime>
  <Pages>19</Pages>
  <Words>4492</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Krisjan Korf</dc:creator>
  <cp:keywords/>
  <dc:description/>
  <cp:lastModifiedBy>Mokone</cp:lastModifiedBy>
  <cp:revision>3</cp:revision>
  <cp:lastPrinted>2023-10-18T09:29:00Z</cp:lastPrinted>
  <dcterms:created xsi:type="dcterms:W3CDTF">2023-10-18T13:30:00Z</dcterms:created>
  <dcterms:modified xsi:type="dcterms:W3CDTF">2023-10-18T13:31:00Z</dcterms:modified>
</cp:coreProperties>
</file>