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F5151" w14:textId="77777777" w:rsidR="000026A6" w:rsidRPr="006E2081" w:rsidRDefault="000026A6" w:rsidP="000026A6">
      <w:pPr>
        <w:rPr>
          <w:b/>
          <w:u w:val="none"/>
          <w:lang w:val="en-ZA"/>
        </w:rPr>
      </w:pPr>
      <w:bookmarkStart w:id="0" w:name="_GoBack"/>
      <w:bookmarkEnd w:id="0"/>
      <w:r w:rsidRPr="006E2081">
        <w:rPr>
          <w:b/>
          <w:u w:val="none"/>
          <w:lang w:val="en-ZA"/>
        </w:rPr>
        <w:tab/>
      </w:r>
      <w:r w:rsidRPr="006E2081">
        <w:rPr>
          <w:b/>
          <w:u w:val="none"/>
          <w:lang w:val="en-ZA"/>
        </w:rPr>
        <w:tab/>
      </w:r>
      <w:r w:rsidRPr="006E2081">
        <w:rPr>
          <w:b/>
          <w:u w:val="none"/>
          <w:lang w:val="en-ZA"/>
        </w:rPr>
        <w:tab/>
        <w:t>REPUBLIC OF SOUTH AFRICA</w:t>
      </w:r>
    </w:p>
    <w:p w14:paraId="4CCF7D12" w14:textId="77777777" w:rsidR="000026A6" w:rsidRPr="00F3610A" w:rsidRDefault="000026A6" w:rsidP="000026A6">
      <w:pPr>
        <w:jc w:val="center"/>
        <w:rPr>
          <w:b/>
          <w:u w:val="none"/>
          <w:lang w:val="en-ZA"/>
        </w:rPr>
      </w:pPr>
      <w:r>
        <w:rPr>
          <w:u w:val="none"/>
          <w:lang w:val="en-US"/>
        </w:rPr>
        <w:t xml:space="preserve">          </w:t>
      </w:r>
      <w:r>
        <w:rPr>
          <w:noProof/>
          <w:u w:val="none"/>
          <w:lang w:val="en-ZA" w:eastAsia="en-ZA"/>
        </w:rPr>
        <w:drawing>
          <wp:inline distT="0" distB="0" distL="0" distR="0" wp14:anchorId="1F76EE5C" wp14:editId="30A3155E">
            <wp:extent cx="1441450" cy="1441450"/>
            <wp:effectExtent l="0" t="0" r="6350" b="635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41450" cy="1441450"/>
                    </a:xfrm>
                    <a:prstGeom prst="rect">
                      <a:avLst/>
                    </a:prstGeom>
                    <a:noFill/>
                    <a:ln>
                      <a:noFill/>
                    </a:ln>
                  </pic:spPr>
                </pic:pic>
              </a:graphicData>
            </a:graphic>
          </wp:inline>
        </w:drawing>
      </w:r>
      <w:r>
        <w:rPr>
          <w:b/>
          <w:noProof/>
          <w:u w:val="none"/>
          <w:lang w:val="en-ZA" w:eastAsia="en-ZA"/>
        </w:rPr>
        <mc:AlternateContent>
          <mc:Choice Requires="wpc">
            <w:drawing>
              <wp:inline distT="0" distB="0" distL="0" distR="0" wp14:anchorId="7B7777BC" wp14:editId="3139572B">
                <wp:extent cx="673100" cy="863600"/>
                <wp:effectExtent l="635" t="3175" r="254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C531E78" id="Canvas 3" o:spid="_x0000_s1026" editas="canvas" style="width:53pt;height:68pt;mso-position-horizontal-relative:char;mso-position-vertical-relative:line" coordsize="6731,8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31;height:8636;visibility:visible;mso-wrap-style:square">
                  <v:fill o:detectmouseclick="t"/>
                  <v:path o:connecttype="none"/>
                </v:shape>
                <w10:anchorlock/>
              </v:group>
            </w:pict>
          </mc:Fallback>
        </mc:AlternateContent>
      </w:r>
    </w:p>
    <w:p w14:paraId="4EFE03EA" w14:textId="4B98AE80" w:rsidR="000026A6" w:rsidRPr="006E2081" w:rsidRDefault="000026A6" w:rsidP="000026A6">
      <w:pPr>
        <w:jc w:val="center"/>
        <w:rPr>
          <w:b/>
          <w:u w:val="none"/>
          <w:lang w:val="en-ZA"/>
        </w:rPr>
      </w:pPr>
      <w:r w:rsidRPr="006E2081">
        <w:rPr>
          <w:b/>
          <w:u w:val="none"/>
          <w:lang w:val="en-ZA"/>
        </w:rPr>
        <w:t xml:space="preserve">IN THE HIGH COURT OF SOUTH AFRICA, </w:t>
      </w:r>
    </w:p>
    <w:p w14:paraId="01E902D3" w14:textId="77777777" w:rsidR="000026A6" w:rsidRPr="006E2081" w:rsidRDefault="000026A6" w:rsidP="000026A6">
      <w:pPr>
        <w:jc w:val="center"/>
        <w:rPr>
          <w:b/>
          <w:u w:val="none"/>
          <w:lang w:val="en-ZA"/>
        </w:rPr>
      </w:pPr>
      <w:r w:rsidRPr="006E2081">
        <w:rPr>
          <w:b/>
          <w:u w:val="none"/>
          <w:lang w:val="en-ZA"/>
        </w:rPr>
        <w:t xml:space="preserve">GAUTENG LOCAL DIVISION, </w:t>
      </w:r>
      <w:smartTag w:uri="urn:schemas-microsoft-com:office:smarttags" w:element="City">
        <w:smartTag w:uri="urn:schemas-microsoft-com:office:smarttags" w:element="place">
          <w:r w:rsidRPr="006E2081">
            <w:rPr>
              <w:b/>
              <w:u w:val="none"/>
              <w:lang w:val="en-ZA"/>
            </w:rPr>
            <w:t>JOHANNESBURG</w:t>
          </w:r>
        </w:smartTag>
      </w:smartTag>
    </w:p>
    <w:p w14:paraId="631E11D2" w14:textId="77777777" w:rsidR="000026A6" w:rsidRDefault="000026A6" w:rsidP="000026A6">
      <w:pPr>
        <w:jc w:val="center"/>
        <w:rPr>
          <w:b/>
          <w:u w:val="none"/>
          <w:lang w:val="en-ZA"/>
        </w:rPr>
      </w:pPr>
    </w:p>
    <w:p w14:paraId="64752D2B" w14:textId="77777777" w:rsidR="00646614" w:rsidRPr="006E2081" w:rsidRDefault="00646614" w:rsidP="000026A6">
      <w:pPr>
        <w:jc w:val="center"/>
        <w:rPr>
          <w:b/>
          <w:u w:val="none"/>
          <w:lang w:val="en-ZA"/>
        </w:rPr>
      </w:pPr>
    </w:p>
    <w:p w14:paraId="139E95D6" w14:textId="77777777" w:rsidR="000026A6" w:rsidRDefault="000026A6" w:rsidP="000026A6">
      <w:pPr>
        <w:rPr>
          <w:b/>
          <w:u w:val="none"/>
          <w:lang w:val="en-ZA"/>
        </w:rPr>
      </w:pPr>
    </w:p>
    <w:p w14:paraId="45E6F67A" w14:textId="77777777" w:rsidR="000026A6" w:rsidRDefault="000026A6" w:rsidP="000026A6">
      <w:pPr>
        <w:rPr>
          <w:b/>
          <w:u w:val="none"/>
          <w:lang w:val="en-ZA"/>
        </w:rPr>
      </w:pPr>
    </w:p>
    <w:p w14:paraId="2293D611" w14:textId="77777777" w:rsidR="00C71EF1" w:rsidRPr="006E2081" w:rsidRDefault="00C71EF1" w:rsidP="000026A6">
      <w:pPr>
        <w:rPr>
          <w:b/>
          <w:u w:val="none"/>
          <w:lang w:val="en-ZA"/>
        </w:rPr>
      </w:pPr>
    </w:p>
    <w:p w14:paraId="488A87F4" w14:textId="77777777" w:rsidR="000026A6" w:rsidRDefault="000026A6" w:rsidP="000026A6">
      <w:pPr>
        <w:jc w:val="center"/>
        <w:rPr>
          <w:b/>
          <w:u w:val="none"/>
          <w:lang w:val="en-ZA"/>
        </w:rPr>
      </w:pPr>
      <w:r>
        <w:rPr>
          <w:b/>
          <w:u w:val="none"/>
          <w:lang w:val="en-ZA"/>
        </w:rPr>
        <w:t xml:space="preserve">                                                                                CASE NO:</w:t>
      </w:r>
      <w:r>
        <w:rPr>
          <w:noProof/>
          <w:lang w:val="en-ZA" w:eastAsia="en-ZA"/>
        </w:rPr>
        <mc:AlternateContent>
          <mc:Choice Requires="wps">
            <w:drawing>
              <wp:anchor distT="0" distB="0" distL="114300" distR="114300" simplePos="0" relativeHeight="251659264" behindDoc="0" locked="0" layoutInCell="1" allowOverlap="1" wp14:anchorId="7FD1C770" wp14:editId="2DDD0415">
                <wp:simplePos x="0" y="0"/>
                <wp:positionH relativeFrom="column">
                  <wp:posOffset>0</wp:posOffset>
                </wp:positionH>
                <wp:positionV relativeFrom="paragraph">
                  <wp:posOffset>154940</wp:posOffset>
                </wp:positionV>
                <wp:extent cx="3314700" cy="1371600"/>
                <wp:effectExtent l="9525" t="11430" r="952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51C87858" w14:textId="77777777" w:rsidR="000026A6" w:rsidRPr="00913F95" w:rsidRDefault="000026A6" w:rsidP="000026A6">
                            <w:pPr>
                              <w:jc w:val="center"/>
                              <w:rPr>
                                <w:rFonts w:ascii="Century Gothic" w:hAnsi="Century Gothic"/>
                                <w:b/>
                                <w:sz w:val="20"/>
                                <w:szCs w:val="20"/>
                              </w:rPr>
                            </w:pPr>
                          </w:p>
                          <w:p w14:paraId="12BDBB36" w14:textId="63B83B31" w:rsidR="000026A6" w:rsidRDefault="007D1E68" w:rsidP="007D1E68">
                            <w:pPr>
                              <w:tabs>
                                <w:tab w:val="left" w:pos="900"/>
                              </w:tabs>
                              <w:ind w:left="900" w:hanging="720"/>
                              <w:rPr>
                                <w:rFonts w:ascii="Century Gothic" w:hAnsi="Century Gothic"/>
                                <w:sz w:val="20"/>
                                <w:szCs w:val="20"/>
                              </w:rPr>
                            </w:pPr>
                            <w:r>
                              <w:rPr>
                                <w:rFonts w:ascii="Century Gothic" w:hAnsi="Century Gothic"/>
                                <w:sz w:val="20"/>
                                <w:szCs w:val="20"/>
                                <w:u w:val="none"/>
                              </w:rPr>
                              <w:t>(1)</w:t>
                            </w:r>
                            <w:r>
                              <w:rPr>
                                <w:rFonts w:ascii="Century Gothic" w:hAnsi="Century Gothic"/>
                                <w:sz w:val="20"/>
                                <w:szCs w:val="20"/>
                                <w:u w:val="none"/>
                              </w:rPr>
                              <w:tab/>
                            </w:r>
                            <w:r w:rsidR="000026A6" w:rsidRPr="00913F95">
                              <w:rPr>
                                <w:rFonts w:ascii="Century Gothic" w:hAnsi="Century Gothic"/>
                                <w:sz w:val="20"/>
                                <w:szCs w:val="20"/>
                              </w:rPr>
                              <w:t xml:space="preserve">REPORTABLE: </w:t>
                            </w:r>
                            <w:r w:rsidR="000026A6">
                              <w:rPr>
                                <w:rFonts w:ascii="Century Gothic" w:hAnsi="Century Gothic"/>
                                <w:sz w:val="20"/>
                                <w:szCs w:val="20"/>
                              </w:rPr>
                              <w:t>NO</w:t>
                            </w:r>
                          </w:p>
                          <w:p w14:paraId="13C3C808" w14:textId="031F52CD" w:rsidR="000026A6" w:rsidRPr="00913F95" w:rsidRDefault="007D1E68" w:rsidP="007D1E68">
                            <w:pPr>
                              <w:tabs>
                                <w:tab w:val="left" w:pos="900"/>
                              </w:tabs>
                              <w:ind w:left="900" w:hanging="720"/>
                              <w:rPr>
                                <w:rFonts w:ascii="Century Gothic" w:hAnsi="Century Gothic"/>
                                <w:sz w:val="20"/>
                                <w:szCs w:val="20"/>
                              </w:rPr>
                            </w:pPr>
                            <w:r w:rsidRPr="00913F95">
                              <w:rPr>
                                <w:rFonts w:ascii="Century Gothic" w:hAnsi="Century Gothic"/>
                                <w:sz w:val="20"/>
                                <w:szCs w:val="20"/>
                                <w:u w:val="none"/>
                              </w:rPr>
                              <w:t>(2)</w:t>
                            </w:r>
                            <w:r w:rsidRPr="00913F95">
                              <w:rPr>
                                <w:rFonts w:ascii="Century Gothic" w:hAnsi="Century Gothic"/>
                                <w:sz w:val="20"/>
                                <w:szCs w:val="20"/>
                                <w:u w:val="none"/>
                              </w:rPr>
                              <w:tab/>
                            </w:r>
                            <w:r w:rsidR="000026A6" w:rsidRPr="00913F95">
                              <w:rPr>
                                <w:rFonts w:ascii="Century Gothic" w:hAnsi="Century Gothic"/>
                                <w:sz w:val="20"/>
                                <w:szCs w:val="20"/>
                              </w:rPr>
                              <w:t>OF INTEREST TO OTHER JUDGES: NO</w:t>
                            </w:r>
                          </w:p>
                          <w:p w14:paraId="58DDA456" w14:textId="77777777" w:rsidR="000026A6" w:rsidRPr="00913F95" w:rsidRDefault="000026A6" w:rsidP="000026A6">
                            <w:pPr>
                              <w:ind w:left="900"/>
                              <w:rPr>
                                <w:rFonts w:ascii="Century Gothic" w:hAnsi="Century Gothic"/>
                                <w:sz w:val="20"/>
                                <w:szCs w:val="20"/>
                              </w:rPr>
                            </w:pPr>
                          </w:p>
                          <w:p w14:paraId="49F65161" w14:textId="77777777" w:rsidR="000026A6" w:rsidRDefault="000026A6" w:rsidP="000026A6">
                            <w:pPr>
                              <w:rPr>
                                <w:rFonts w:ascii="Century Gothic" w:hAnsi="Century Gothic"/>
                                <w:b/>
                                <w:sz w:val="18"/>
                                <w:szCs w:val="18"/>
                              </w:rPr>
                            </w:pPr>
                          </w:p>
                          <w:p w14:paraId="099CE3C9" w14:textId="7FBCD7D0" w:rsidR="000026A6" w:rsidRPr="00084341" w:rsidRDefault="000026A6" w:rsidP="000026A6">
                            <w:pPr>
                              <w:rPr>
                                <w:rFonts w:ascii="Century Gothic" w:hAnsi="Century Gothic"/>
                                <w:b/>
                                <w:sz w:val="18"/>
                                <w:szCs w:val="18"/>
                                <w:u w:val="none"/>
                              </w:rPr>
                            </w:pPr>
                            <w:r w:rsidRPr="00084341">
                              <w:rPr>
                                <w:rFonts w:ascii="Century Gothic" w:hAnsi="Century Gothic"/>
                                <w:b/>
                                <w:sz w:val="18"/>
                                <w:szCs w:val="18"/>
                                <w:u w:val="none"/>
                              </w:rPr>
                              <w:t xml:space="preserve">       </w:t>
                            </w:r>
                            <w:r>
                              <w:rPr>
                                <w:rFonts w:ascii="Century Gothic" w:hAnsi="Century Gothic"/>
                                <w:b/>
                                <w:sz w:val="18"/>
                                <w:szCs w:val="18"/>
                                <w:u w:val="none"/>
                              </w:rPr>
                              <w:tab/>
                            </w:r>
                            <w:r w:rsidR="000C6F33">
                              <w:rPr>
                                <w:rFonts w:ascii="Century Gothic" w:hAnsi="Century Gothic"/>
                                <w:b/>
                                <w:sz w:val="18"/>
                                <w:szCs w:val="18"/>
                                <w:u w:val="none"/>
                              </w:rPr>
                              <w:t>20</w:t>
                            </w:r>
                            <w:r>
                              <w:rPr>
                                <w:rFonts w:ascii="Century Gothic" w:hAnsi="Century Gothic"/>
                                <w:b/>
                                <w:sz w:val="18"/>
                                <w:szCs w:val="18"/>
                                <w:u w:val="none"/>
                              </w:rPr>
                              <w:t xml:space="preserve"> </w:t>
                            </w:r>
                            <w:r w:rsidR="001E33E8">
                              <w:rPr>
                                <w:rFonts w:ascii="Century Gothic" w:hAnsi="Century Gothic"/>
                                <w:b/>
                                <w:sz w:val="18"/>
                                <w:szCs w:val="18"/>
                                <w:u w:val="none"/>
                              </w:rPr>
                              <w:t>October</w:t>
                            </w:r>
                            <w:r>
                              <w:rPr>
                                <w:rFonts w:ascii="Century Gothic" w:hAnsi="Century Gothic"/>
                                <w:b/>
                                <w:sz w:val="18"/>
                                <w:szCs w:val="18"/>
                                <w:u w:val="none"/>
                              </w:rPr>
                              <w:t xml:space="preserve"> 2023</w:t>
                            </w:r>
                            <w:r w:rsidRPr="00084341">
                              <w:rPr>
                                <w:rFonts w:ascii="Century Gothic" w:hAnsi="Century Gothic"/>
                                <w:b/>
                                <w:sz w:val="18"/>
                                <w:szCs w:val="18"/>
                                <w:u w:val="none"/>
                              </w:rPr>
                              <w:tab/>
                            </w:r>
                            <w:r w:rsidRPr="00084341">
                              <w:rPr>
                                <w:rFonts w:ascii="Century Gothic" w:hAnsi="Century Gothic"/>
                                <w:b/>
                                <w:sz w:val="18"/>
                                <w:szCs w:val="18"/>
                                <w:u w:val="none"/>
                              </w:rPr>
                              <w:tab/>
                              <w:t>………………………...</w:t>
                            </w:r>
                          </w:p>
                          <w:p w14:paraId="62DB5EEC" w14:textId="77777777" w:rsidR="000026A6" w:rsidRPr="00084341" w:rsidRDefault="000026A6" w:rsidP="000026A6">
                            <w:pPr>
                              <w:rPr>
                                <w:rFonts w:ascii="Century Gothic" w:hAnsi="Century Gothic"/>
                                <w:sz w:val="18"/>
                                <w:szCs w:val="18"/>
                                <w:u w:val="none"/>
                              </w:rPr>
                            </w:pPr>
                            <w:r w:rsidRPr="00084341">
                              <w:rPr>
                                <w:rFonts w:ascii="Century Gothic" w:hAnsi="Century Gothic"/>
                                <w:sz w:val="18"/>
                                <w:szCs w:val="18"/>
                                <w:u w:val="none"/>
                              </w:rPr>
                              <w:t xml:space="preserve">                   DATE</w:t>
                            </w:r>
                            <w:r w:rsidRPr="00084341">
                              <w:rPr>
                                <w:rFonts w:ascii="Century Gothic" w:hAnsi="Century Gothic"/>
                                <w:sz w:val="18"/>
                                <w:szCs w:val="18"/>
                                <w:u w:val="none"/>
                              </w:rPr>
                              <w:tab/>
                            </w:r>
                            <w:r w:rsidRPr="00084341">
                              <w:rPr>
                                <w:rFonts w:ascii="Century Gothic" w:hAnsi="Century Gothic"/>
                                <w:sz w:val="18"/>
                                <w:szCs w:val="18"/>
                                <w:u w:val="none"/>
                              </w:rPr>
                              <w:tab/>
                            </w:r>
                            <w:r w:rsidRPr="00084341">
                              <w:rPr>
                                <w:rFonts w:ascii="Century Gothic" w:hAnsi="Century Gothic"/>
                                <w:sz w:val="18"/>
                                <w:szCs w:val="18"/>
                                <w:u w:val="none"/>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1C770" id="_x0000_t202" coordsize="21600,21600" o:spt="202" path="m,l,21600r21600,l21600,xe">
                <v:stroke joinstyle="miter"/>
                <v:path gradientshapeok="t" o:connecttype="rect"/>
              </v:shapetype>
              <v:shape id="Text Box 2" o:spid="_x0000_s1026" type="#_x0000_t202" style="position:absolute;left:0;text-align:left;margin-left:0;margin-top:12.2pt;width:26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">
                <v:textbox>
                  <w:txbxContent>
                    <w:p w14:paraId="51C87858" w14:textId="77777777" w:rsidR="000026A6" w:rsidRPr="00913F95" w:rsidRDefault="000026A6" w:rsidP="000026A6">
                      <w:pPr>
                        <w:jc w:val="center"/>
                        <w:rPr>
                          <w:rFonts w:ascii="Century Gothic" w:hAnsi="Century Gothic"/>
                          <w:b/>
                          <w:sz w:val="20"/>
                          <w:szCs w:val="20"/>
                        </w:rPr>
                      </w:pPr>
                    </w:p>
                    <w:p w14:paraId="12BDBB36" w14:textId="63B83B31" w:rsidR="000026A6" w:rsidRDefault="007D1E68" w:rsidP="007D1E68">
                      <w:pPr>
                        <w:tabs>
                          <w:tab w:val="left" w:pos="900"/>
                        </w:tabs>
                        <w:ind w:left="900" w:hanging="720"/>
                        <w:rPr>
                          <w:rFonts w:ascii="Century Gothic" w:hAnsi="Century Gothic"/>
                          <w:sz w:val="20"/>
                          <w:szCs w:val="20"/>
                        </w:rPr>
                      </w:pPr>
                      <w:r>
                        <w:rPr>
                          <w:rFonts w:ascii="Century Gothic" w:hAnsi="Century Gothic"/>
                          <w:sz w:val="20"/>
                          <w:szCs w:val="20"/>
                          <w:u w:val="none"/>
                        </w:rPr>
                        <w:t>(1)</w:t>
                      </w:r>
                      <w:r>
                        <w:rPr>
                          <w:rFonts w:ascii="Century Gothic" w:hAnsi="Century Gothic"/>
                          <w:sz w:val="20"/>
                          <w:szCs w:val="20"/>
                          <w:u w:val="none"/>
                        </w:rPr>
                        <w:tab/>
                      </w:r>
                      <w:r w:rsidR="000026A6" w:rsidRPr="00913F95">
                        <w:rPr>
                          <w:rFonts w:ascii="Century Gothic" w:hAnsi="Century Gothic"/>
                          <w:sz w:val="20"/>
                          <w:szCs w:val="20"/>
                        </w:rPr>
                        <w:t xml:space="preserve">REPORTABLE: </w:t>
                      </w:r>
                      <w:r w:rsidR="000026A6">
                        <w:rPr>
                          <w:rFonts w:ascii="Century Gothic" w:hAnsi="Century Gothic"/>
                          <w:sz w:val="20"/>
                          <w:szCs w:val="20"/>
                        </w:rPr>
                        <w:t>NO</w:t>
                      </w:r>
                    </w:p>
                    <w:p w14:paraId="13C3C808" w14:textId="031F52CD" w:rsidR="000026A6" w:rsidRPr="00913F95" w:rsidRDefault="007D1E68" w:rsidP="007D1E68">
                      <w:pPr>
                        <w:tabs>
                          <w:tab w:val="left" w:pos="900"/>
                        </w:tabs>
                        <w:ind w:left="900" w:hanging="720"/>
                        <w:rPr>
                          <w:rFonts w:ascii="Century Gothic" w:hAnsi="Century Gothic"/>
                          <w:sz w:val="20"/>
                          <w:szCs w:val="20"/>
                        </w:rPr>
                      </w:pPr>
                      <w:r w:rsidRPr="00913F95">
                        <w:rPr>
                          <w:rFonts w:ascii="Century Gothic" w:hAnsi="Century Gothic"/>
                          <w:sz w:val="20"/>
                          <w:szCs w:val="20"/>
                          <w:u w:val="none"/>
                        </w:rPr>
                        <w:t>(2)</w:t>
                      </w:r>
                      <w:r w:rsidRPr="00913F95">
                        <w:rPr>
                          <w:rFonts w:ascii="Century Gothic" w:hAnsi="Century Gothic"/>
                          <w:sz w:val="20"/>
                          <w:szCs w:val="20"/>
                          <w:u w:val="none"/>
                        </w:rPr>
                        <w:tab/>
                      </w:r>
                      <w:r w:rsidR="000026A6" w:rsidRPr="00913F95">
                        <w:rPr>
                          <w:rFonts w:ascii="Century Gothic" w:hAnsi="Century Gothic"/>
                          <w:sz w:val="20"/>
                          <w:szCs w:val="20"/>
                        </w:rPr>
                        <w:t>OF INTEREST TO OTHER JUDGES: NO</w:t>
                      </w:r>
                    </w:p>
                    <w:p w14:paraId="58DDA456" w14:textId="77777777" w:rsidR="000026A6" w:rsidRPr="00913F95" w:rsidRDefault="000026A6" w:rsidP="000026A6">
                      <w:pPr>
                        <w:ind w:left="900"/>
                        <w:rPr>
                          <w:rFonts w:ascii="Century Gothic" w:hAnsi="Century Gothic"/>
                          <w:sz w:val="20"/>
                          <w:szCs w:val="20"/>
                        </w:rPr>
                      </w:pPr>
                    </w:p>
                    <w:p w14:paraId="49F65161" w14:textId="77777777" w:rsidR="000026A6" w:rsidRDefault="000026A6" w:rsidP="000026A6">
                      <w:pPr>
                        <w:rPr>
                          <w:rFonts w:ascii="Century Gothic" w:hAnsi="Century Gothic"/>
                          <w:b/>
                          <w:sz w:val="18"/>
                          <w:szCs w:val="18"/>
                        </w:rPr>
                      </w:pPr>
                    </w:p>
                    <w:p w14:paraId="099CE3C9" w14:textId="7FBCD7D0" w:rsidR="000026A6" w:rsidRPr="00084341" w:rsidRDefault="000026A6" w:rsidP="000026A6">
                      <w:pPr>
                        <w:rPr>
                          <w:rFonts w:ascii="Century Gothic" w:hAnsi="Century Gothic"/>
                          <w:b/>
                          <w:sz w:val="18"/>
                          <w:szCs w:val="18"/>
                          <w:u w:val="none"/>
                        </w:rPr>
                      </w:pPr>
                      <w:r w:rsidRPr="00084341">
                        <w:rPr>
                          <w:rFonts w:ascii="Century Gothic" w:hAnsi="Century Gothic"/>
                          <w:b/>
                          <w:sz w:val="18"/>
                          <w:szCs w:val="18"/>
                          <w:u w:val="none"/>
                        </w:rPr>
                        <w:t xml:space="preserve">       </w:t>
                      </w:r>
                      <w:r>
                        <w:rPr>
                          <w:rFonts w:ascii="Century Gothic" w:hAnsi="Century Gothic"/>
                          <w:b/>
                          <w:sz w:val="18"/>
                          <w:szCs w:val="18"/>
                          <w:u w:val="none"/>
                        </w:rPr>
                        <w:tab/>
                      </w:r>
                      <w:r w:rsidR="000C6F33">
                        <w:rPr>
                          <w:rFonts w:ascii="Century Gothic" w:hAnsi="Century Gothic"/>
                          <w:b/>
                          <w:sz w:val="18"/>
                          <w:szCs w:val="18"/>
                          <w:u w:val="none"/>
                        </w:rPr>
                        <w:t>20</w:t>
                      </w:r>
                      <w:r>
                        <w:rPr>
                          <w:rFonts w:ascii="Century Gothic" w:hAnsi="Century Gothic"/>
                          <w:b/>
                          <w:sz w:val="18"/>
                          <w:szCs w:val="18"/>
                          <w:u w:val="none"/>
                        </w:rPr>
                        <w:t xml:space="preserve"> </w:t>
                      </w:r>
                      <w:r w:rsidR="001E33E8">
                        <w:rPr>
                          <w:rFonts w:ascii="Century Gothic" w:hAnsi="Century Gothic"/>
                          <w:b/>
                          <w:sz w:val="18"/>
                          <w:szCs w:val="18"/>
                          <w:u w:val="none"/>
                        </w:rPr>
                        <w:t>October</w:t>
                      </w:r>
                      <w:r>
                        <w:rPr>
                          <w:rFonts w:ascii="Century Gothic" w:hAnsi="Century Gothic"/>
                          <w:b/>
                          <w:sz w:val="18"/>
                          <w:szCs w:val="18"/>
                          <w:u w:val="none"/>
                        </w:rPr>
                        <w:t xml:space="preserve"> 2023</w:t>
                      </w:r>
                      <w:r w:rsidRPr="00084341">
                        <w:rPr>
                          <w:rFonts w:ascii="Century Gothic" w:hAnsi="Century Gothic"/>
                          <w:b/>
                          <w:sz w:val="18"/>
                          <w:szCs w:val="18"/>
                          <w:u w:val="none"/>
                        </w:rPr>
                        <w:tab/>
                      </w:r>
                      <w:r w:rsidRPr="00084341">
                        <w:rPr>
                          <w:rFonts w:ascii="Century Gothic" w:hAnsi="Century Gothic"/>
                          <w:b/>
                          <w:sz w:val="18"/>
                          <w:szCs w:val="18"/>
                          <w:u w:val="none"/>
                        </w:rPr>
                        <w:tab/>
                        <w:t>………………………...</w:t>
                      </w:r>
                    </w:p>
                    <w:p w14:paraId="62DB5EEC" w14:textId="77777777" w:rsidR="000026A6" w:rsidRPr="00084341" w:rsidRDefault="000026A6" w:rsidP="000026A6">
                      <w:pPr>
                        <w:rPr>
                          <w:rFonts w:ascii="Century Gothic" w:hAnsi="Century Gothic"/>
                          <w:sz w:val="18"/>
                          <w:szCs w:val="18"/>
                          <w:u w:val="none"/>
                        </w:rPr>
                      </w:pPr>
                      <w:r w:rsidRPr="00084341">
                        <w:rPr>
                          <w:rFonts w:ascii="Century Gothic" w:hAnsi="Century Gothic"/>
                          <w:sz w:val="18"/>
                          <w:szCs w:val="18"/>
                          <w:u w:val="none"/>
                        </w:rPr>
                        <w:t xml:space="preserve">                   DATE</w:t>
                      </w:r>
                      <w:r w:rsidRPr="00084341">
                        <w:rPr>
                          <w:rFonts w:ascii="Century Gothic" w:hAnsi="Century Gothic"/>
                          <w:sz w:val="18"/>
                          <w:szCs w:val="18"/>
                          <w:u w:val="none"/>
                        </w:rPr>
                        <w:tab/>
                      </w:r>
                      <w:r w:rsidRPr="00084341">
                        <w:rPr>
                          <w:rFonts w:ascii="Century Gothic" w:hAnsi="Century Gothic"/>
                          <w:sz w:val="18"/>
                          <w:szCs w:val="18"/>
                          <w:u w:val="none"/>
                        </w:rPr>
                        <w:tab/>
                      </w:r>
                      <w:r w:rsidRPr="00084341">
                        <w:rPr>
                          <w:rFonts w:ascii="Century Gothic" w:hAnsi="Century Gothic"/>
                          <w:sz w:val="18"/>
                          <w:szCs w:val="18"/>
                          <w:u w:val="none"/>
                        </w:rPr>
                        <w:tab/>
                        <w:t xml:space="preserve">        SIGNATURE</w:t>
                      </w:r>
                    </w:p>
                  </w:txbxContent>
                </v:textbox>
              </v:shape>
            </w:pict>
          </mc:Fallback>
        </mc:AlternateContent>
      </w:r>
      <w:r>
        <w:rPr>
          <w:b/>
          <w:u w:val="none"/>
          <w:lang w:val="en-ZA"/>
        </w:rPr>
        <w:t xml:space="preserve"> </w:t>
      </w:r>
      <w:r w:rsidRPr="005461AB">
        <w:rPr>
          <w:b/>
          <w:u w:val="none"/>
          <w:lang w:val="en-ZA"/>
        </w:rPr>
        <w:t>55974/2021</w:t>
      </w:r>
    </w:p>
    <w:p w14:paraId="06DC9118" w14:textId="77777777" w:rsidR="00571E2A" w:rsidRDefault="00571E2A" w:rsidP="000026A6">
      <w:pPr>
        <w:jc w:val="center"/>
        <w:rPr>
          <w:b/>
          <w:u w:val="none"/>
          <w:lang w:val="en-ZA"/>
        </w:rPr>
      </w:pPr>
    </w:p>
    <w:p w14:paraId="46F568A5" w14:textId="77777777" w:rsidR="00571E2A" w:rsidRDefault="00571E2A" w:rsidP="000026A6">
      <w:pPr>
        <w:jc w:val="center"/>
        <w:rPr>
          <w:b/>
          <w:u w:val="none"/>
          <w:lang w:val="en-ZA"/>
        </w:rPr>
      </w:pPr>
    </w:p>
    <w:p w14:paraId="484FCF45" w14:textId="77777777" w:rsidR="00571E2A" w:rsidRPr="00F3610A" w:rsidRDefault="00571E2A" w:rsidP="000026A6">
      <w:pPr>
        <w:jc w:val="center"/>
        <w:rPr>
          <w:b/>
          <w:u w:val="none"/>
          <w:lang w:val="en-ZA"/>
        </w:rPr>
      </w:pPr>
    </w:p>
    <w:p w14:paraId="058E691F" w14:textId="77777777" w:rsidR="000026A6" w:rsidRPr="006E2081" w:rsidRDefault="000026A6" w:rsidP="000026A6">
      <w:pPr>
        <w:jc w:val="both"/>
      </w:pPr>
    </w:p>
    <w:p w14:paraId="436376B2" w14:textId="77777777" w:rsidR="000026A6" w:rsidRPr="006E2081" w:rsidRDefault="000026A6" w:rsidP="000026A6">
      <w:pPr>
        <w:jc w:val="both"/>
      </w:pPr>
    </w:p>
    <w:p w14:paraId="59CD597D" w14:textId="77777777" w:rsidR="000026A6" w:rsidRPr="006E2081" w:rsidRDefault="000026A6" w:rsidP="000026A6">
      <w:pPr>
        <w:jc w:val="both"/>
      </w:pPr>
    </w:p>
    <w:p w14:paraId="35EEED8C" w14:textId="77777777" w:rsidR="000026A6" w:rsidRPr="006E2081" w:rsidRDefault="000026A6" w:rsidP="000026A6">
      <w:pPr>
        <w:jc w:val="both"/>
      </w:pPr>
    </w:p>
    <w:p w14:paraId="2A1BE53C" w14:textId="77777777" w:rsidR="000026A6" w:rsidRPr="006E2081" w:rsidRDefault="000026A6" w:rsidP="000026A6">
      <w:pPr>
        <w:jc w:val="both"/>
      </w:pPr>
    </w:p>
    <w:p w14:paraId="0B35EC51" w14:textId="77777777" w:rsidR="000026A6" w:rsidRPr="006E2081" w:rsidRDefault="000026A6" w:rsidP="000026A6">
      <w:pPr>
        <w:jc w:val="both"/>
      </w:pPr>
    </w:p>
    <w:p w14:paraId="5446512F" w14:textId="77777777" w:rsidR="000026A6" w:rsidRPr="006E2081" w:rsidRDefault="000026A6" w:rsidP="000026A6">
      <w:pPr>
        <w:rPr>
          <w:u w:val="none"/>
        </w:rPr>
      </w:pPr>
    </w:p>
    <w:p w14:paraId="28A55224" w14:textId="77777777" w:rsidR="000026A6" w:rsidRDefault="000026A6" w:rsidP="000026A6">
      <w:pPr>
        <w:rPr>
          <w:u w:val="none"/>
        </w:rPr>
      </w:pPr>
    </w:p>
    <w:p w14:paraId="694CEF4A" w14:textId="77777777" w:rsidR="000026A6" w:rsidRPr="006E2081" w:rsidRDefault="000026A6" w:rsidP="000026A6">
      <w:pPr>
        <w:rPr>
          <w:u w:val="none"/>
        </w:rPr>
      </w:pPr>
      <w:r w:rsidRPr="006E2081">
        <w:rPr>
          <w:u w:val="none"/>
        </w:rPr>
        <w:t>In the matter between:</w:t>
      </w:r>
    </w:p>
    <w:p w14:paraId="4784DD46" w14:textId="77777777" w:rsidR="000026A6" w:rsidRDefault="000026A6" w:rsidP="000026A6">
      <w:pPr>
        <w:spacing w:line="360" w:lineRule="auto"/>
        <w:jc w:val="both"/>
        <w:rPr>
          <w:b/>
          <w:u w:val="none"/>
        </w:rPr>
      </w:pPr>
      <w:r>
        <w:rPr>
          <w:b/>
          <w:u w:val="none"/>
        </w:rPr>
        <w:tab/>
      </w:r>
      <w:r w:rsidRPr="0096135C">
        <w:rPr>
          <w:b/>
          <w:u w:val="none"/>
        </w:rPr>
        <w:tab/>
      </w:r>
      <w:r w:rsidRPr="0096135C">
        <w:rPr>
          <w:b/>
          <w:u w:val="none"/>
        </w:rPr>
        <w:tab/>
      </w:r>
      <w:r w:rsidRPr="0096135C">
        <w:rPr>
          <w:b/>
          <w:u w:val="none"/>
        </w:rPr>
        <w:tab/>
      </w:r>
      <w:r>
        <w:rPr>
          <w:b/>
          <w:u w:val="none"/>
        </w:rPr>
        <w:t xml:space="preserve">         </w:t>
      </w:r>
    </w:p>
    <w:p w14:paraId="4F2995C7" w14:textId="5756CEAB" w:rsidR="000026A6" w:rsidRPr="005461AB" w:rsidRDefault="000026A6" w:rsidP="000026A6">
      <w:pPr>
        <w:pBdr>
          <w:bottom w:val="single" w:sz="12" w:space="1" w:color="auto"/>
        </w:pBdr>
        <w:spacing w:line="360" w:lineRule="auto"/>
        <w:jc w:val="both"/>
        <w:rPr>
          <w:b/>
          <w:u w:val="none"/>
        </w:rPr>
      </w:pPr>
      <w:r w:rsidRPr="005461AB">
        <w:rPr>
          <w:b/>
          <w:u w:val="none"/>
        </w:rPr>
        <w:t xml:space="preserve">LOGGONATHAN MOODLEY </w:t>
      </w:r>
      <w:r>
        <w:rPr>
          <w:b/>
          <w:u w:val="none"/>
        </w:rPr>
        <w:tab/>
      </w:r>
      <w:r>
        <w:rPr>
          <w:u w:val="none"/>
        </w:rPr>
        <w:tab/>
      </w:r>
      <w:r>
        <w:rPr>
          <w:u w:val="none"/>
        </w:rPr>
        <w:tab/>
      </w:r>
      <w:r>
        <w:rPr>
          <w:u w:val="none"/>
        </w:rPr>
        <w:tab/>
      </w:r>
      <w:r w:rsidRPr="002644A9">
        <w:rPr>
          <w:u w:val="none"/>
        </w:rPr>
        <w:t xml:space="preserve"> Applicant</w:t>
      </w:r>
    </w:p>
    <w:p w14:paraId="0963DAD9" w14:textId="7235DDAA" w:rsidR="000026A6" w:rsidRDefault="000026A6" w:rsidP="000026A6">
      <w:pPr>
        <w:pBdr>
          <w:bottom w:val="single" w:sz="12" w:space="1" w:color="auto"/>
        </w:pBdr>
        <w:spacing w:line="360" w:lineRule="auto"/>
        <w:jc w:val="both"/>
        <w:rPr>
          <w:b/>
          <w:u w:val="none"/>
        </w:rPr>
      </w:pPr>
      <w:r>
        <w:rPr>
          <w:b/>
          <w:u w:val="none"/>
        </w:rPr>
        <w:tab/>
      </w:r>
    </w:p>
    <w:p w14:paraId="56CF6B5B" w14:textId="77777777" w:rsidR="000026A6" w:rsidRPr="005461AB" w:rsidRDefault="000026A6" w:rsidP="000026A6">
      <w:pPr>
        <w:pBdr>
          <w:bottom w:val="single" w:sz="12" w:space="1" w:color="auto"/>
        </w:pBdr>
        <w:spacing w:line="360" w:lineRule="auto"/>
        <w:jc w:val="both"/>
        <w:rPr>
          <w:b/>
          <w:u w:val="none"/>
        </w:rPr>
      </w:pPr>
    </w:p>
    <w:p w14:paraId="6E56688F" w14:textId="77777777" w:rsidR="000026A6" w:rsidRDefault="000026A6" w:rsidP="000026A6">
      <w:pPr>
        <w:pBdr>
          <w:bottom w:val="single" w:sz="12" w:space="1" w:color="auto"/>
        </w:pBdr>
        <w:spacing w:line="360" w:lineRule="auto"/>
        <w:jc w:val="both"/>
        <w:rPr>
          <w:b/>
          <w:u w:val="none"/>
        </w:rPr>
      </w:pPr>
      <w:r>
        <w:rPr>
          <w:b/>
          <w:u w:val="none"/>
        </w:rPr>
        <w:t>A</w:t>
      </w:r>
      <w:r w:rsidRPr="005461AB">
        <w:rPr>
          <w:b/>
          <w:u w:val="none"/>
        </w:rPr>
        <w:t>nd</w:t>
      </w:r>
    </w:p>
    <w:p w14:paraId="03F62260" w14:textId="77777777" w:rsidR="000026A6" w:rsidRPr="005461AB" w:rsidRDefault="000026A6" w:rsidP="000026A6">
      <w:pPr>
        <w:pBdr>
          <w:bottom w:val="single" w:sz="12" w:space="1" w:color="auto"/>
        </w:pBdr>
        <w:spacing w:line="360" w:lineRule="auto"/>
        <w:jc w:val="both"/>
        <w:rPr>
          <w:b/>
          <w:u w:val="none"/>
        </w:rPr>
      </w:pPr>
    </w:p>
    <w:p w14:paraId="14916A0F" w14:textId="3A8B490D" w:rsidR="000026A6" w:rsidRPr="00D50732" w:rsidRDefault="000026A6" w:rsidP="000026A6">
      <w:pPr>
        <w:pBdr>
          <w:bottom w:val="single" w:sz="12" w:space="1" w:color="auto"/>
        </w:pBdr>
        <w:spacing w:line="360" w:lineRule="auto"/>
        <w:jc w:val="both"/>
        <w:rPr>
          <w:b/>
          <w:u w:val="none"/>
        </w:rPr>
      </w:pPr>
      <w:r w:rsidRPr="005461AB">
        <w:rPr>
          <w:b/>
          <w:u w:val="none"/>
        </w:rPr>
        <w:t>THEODOR WILHELM VAN DEN HEEVER N.O.</w:t>
      </w:r>
      <w:r>
        <w:rPr>
          <w:b/>
          <w:u w:val="none"/>
        </w:rPr>
        <w:tab/>
      </w:r>
      <w:r w:rsidRPr="000026A6">
        <w:rPr>
          <w:bCs/>
          <w:u w:val="none"/>
        </w:rPr>
        <w:t>First</w:t>
      </w:r>
      <w:r>
        <w:rPr>
          <w:b/>
          <w:u w:val="none"/>
        </w:rPr>
        <w:tab/>
      </w:r>
      <w:r w:rsidRPr="002644A9">
        <w:rPr>
          <w:u w:val="none"/>
        </w:rPr>
        <w:t>Respondent</w:t>
      </w:r>
    </w:p>
    <w:p w14:paraId="299E893B" w14:textId="0310099D" w:rsidR="000026A6" w:rsidRDefault="000026A6" w:rsidP="000026A6">
      <w:pPr>
        <w:pBdr>
          <w:bottom w:val="single" w:sz="12" w:space="1" w:color="auto"/>
        </w:pBdr>
        <w:spacing w:line="360" w:lineRule="auto"/>
        <w:jc w:val="both"/>
        <w:rPr>
          <w:b/>
          <w:u w:val="none"/>
        </w:rPr>
      </w:pPr>
      <w:r w:rsidRPr="005461AB">
        <w:rPr>
          <w:b/>
          <w:u w:val="none"/>
        </w:rPr>
        <w:t>CLINTON ARTHUR JOHANNES N.O.</w:t>
      </w:r>
      <w:r>
        <w:rPr>
          <w:b/>
          <w:u w:val="none"/>
        </w:rPr>
        <w:tab/>
      </w:r>
      <w:r>
        <w:rPr>
          <w:b/>
          <w:u w:val="none"/>
        </w:rPr>
        <w:tab/>
      </w:r>
      <w:r>
        <w:rPr>
          <w:b/>
          <w:u w:val="none"/>
        </w:rPr>
        <w:tab/>
      </w:r>
      <w:r w:rsidRPr="000026A6">
        <w:rPr>
          <w:bCs/>
          <w:u w:val="none"/>
        </w:rPr>
        <w:t xml:space="preserve">Second Respondent </w:t>
      </w:r>
    </w:p>
    <w:p w14:paraId="53932ABF" w14:textId="77777777" w:rsidR="00FB655E" w:rsidRDefault="00FB655E" w:rsidP="000026A6">
      <w:pPr>
        <w:pBdr>
          <w:bottom w:val="single" w:sz="12" w:space="1" w:color="auto"/>
        </w:pBdr>
        <w:spacing w:line="360" w:lineRule="auto"/>
        <w:jc w:val="both"/>
        <w:rPr>
          <w:sz w:val="22"/>
          <w:szCs w:val="22"/>
          <w:u w:val="none"/>
        </w:rPr>
      </w:pPr>
    </w:p>
    <w:p w14:paraId="19EE6C54" w14:textId="0BAEFFAC" w:rsidR="000026A6" w:rsidRPr="008D2F45" w:rsidRDefault="000026A6" w:rsidP="000026A6">
      <w:pPr>
        <w:pBdr>
          <w:bottom w:val="single" w:sz="12" w:space="1" w:color="auto"/>
        </w:pBdr>
        <w:spacing w:line="360" w:lineRule="auto"/>
        <w:jc w:val="both"/>
        <w:rPr>
          <w:sz w:val="22"/>
          <w:szCs w:val="22"/>
          <w:u w:val="none"/>
        </w:rPr>
      </w:pPr>
      <w:r w:rsidRPr="008D2F45">
        <w:rPr>
          <w:sz w:val="22"/>
          <w:szCs w:val="22"/>
          <w:u w:val="none"/>
        </w:rPr>
        <w:t xml:space="preserve"> </w:t>
      </w:r>
    </w:p>
    <w:p w14:paraId="6ABE932D" w14:textId="77777777" w:rsidR="000026A6" w:rsidRPr="0096135C" w:rsidRDefault="000026A6" w:rsidP="000026A6">
      <w:pPr>
        <w:spacing w:line="360" w:lineRule="auto"/>
        <w:rPr>
          <w:b/>
          <w:u w:val="none"/>
        </w:rPr>
      </w:pPr>
    </w:p>
    <w:p w14:paraId="2C211C2F" w14:textId="77777777" w:rsidR="000026A6" w:rsidRPr="0096135C" w:rsidRDefault="000026A6" w:rsidP="000026A6">
      <w:pPr>
        <w:pBdr>
          <w:bottom w:val="single" w:sz="12" w:space="1" w:color="auto"/>
        </w:pBdr>
        <w:spacing w:line="360" w:lineRule="auto"/>
        <w:jc w:val="center"/>
        <w:rPr>
          <w:u w:val="none"/>
        </w:rPr>
      </w:pPr>
      <w:r>
        <w:rPr>
          <w:b/>
          <w:u w:val="none"/>
        </w:rPr>
        <w:t>JUDGMENT</w:t>
      </w:r>
    </w:p>
    <w:p w14:paraId="0D431410" w14:textId="041224DB" w:rsidR="000026A6" w:rsidRDefault="000026A6" w:rsidP="000026A6">
      <w:pPr>
        <w:spacing w:before="180" w:line="360" w:lineRule="auto"/>
        <w:ind w:left="720" w:hanging="720"/>
        <w:jc w:val="both"/>
        <w:rPr>
          <w:b/>
          <w:u w:val="none"/>
        </w:rPr>
      </w:pPr>
      <w:r>
        <w:rPr>
          <w:b/>
          <w:u w:val="none"/>
        </w:rPr>
        <w:t xml:space="preserve">MIA, </w:t>
      </w:r>
      <w:r w:rsidRPr="0096135C">
        <w:rPr>
          <w:b/>
          <w:u w:val="none"/>
        </w:rPr>
        <w:t>J</w:t>
      </w:r>
    </w:p>
    <w:p w14:paraId="71F5F703" w14:textId="77777777" w:rsidR="002A1911" w:rsidRDefault="002A1911" w:rsidP="000026A6">
      <w:pPr>
        <w:spacing w:before="180" w:line="360" w:lineRule="auto"/>
        <w:ind w:left="720" w:hanging="720"/>
        <w:jc w:val="both"/>
        <w:rPr>
          <w:b/>
          <w:u w:val="none"/>
        </w:rPr>
      </w:pPr>
    </w:p>
    <w:p w14:paraId="14FDA3F6" w14:textId="77777777" w:rsidR="00D411B8" w:rsidRDefault="000026A6" w:rsidP="000026A6">
      <w:pPr>
        <w:spacing w:after="480" w:line="360" w:lineRule="auto"/>
        <w:jc w:val="both"/>
        <w:rPr>
          <w:color w:val="000000"/>
          <w:kern w:val="28"/>
          <w:u w:val="none"/>
          <w:lang w:val="en-CA"/>
        </w:rPr>
      </w:pPr>
      <w:r w:rsidRPr="00532589">
        <w:rPr>
          <w:color w:val="000000"/>
          <w:kern w:val="28"/>
          <w:u w:val="none"/>
        </w:rPr>
        <w:t>[1]</w:t>
      </w:r>
      <w:r w:rsidRPr="00532589">
        <w:rPr>
          <w:color w:val="000000"/>
          <w:kern w:val="28"/>
          <w:u w:val="none"/>
        </w:rPr>
        <w:tab/>
        <w:t>The applicant</w:t>
      </w:r>
      <w:r>
        <w:rPr>
          <w:color w:val="000000"/>
          <w:kern w:val="28"/>
          <w:u w:val="none"/>
        </w:rPr>
        <w:t xml:space="preserve"> </w:t>
      </w:r>
      <w:r w:rsidR="00D411B8">
        <w:rPr>
          <w:color w:val="000000"/>
          <w:kern w:val="28"/>
          <w:u w:val="none"/>
        </w:rPr>
        <w:t xml:space="preserve">brings this </w:t>
      </w:r>
      <w:r w:rsidRPr="000026A6">
        <w:rPr>
          <w:color w:val="000000"/>
          <w:kern w:val="28"/>
          <w:u w:val="none"/>
          <w:lang w:val="en-CA"/>
        </w:rPr>
        <w:t xml:space="preserve">application for leave to appeal against the judgment </w:t>
      </w:r>
      <w:r w:rsidR="00D411B8">
        <w:rPr>
          <w:color w:val="000000"/>
          <w:kern w:val="28"/>
          <w:u w:val="none"/>
          <w:lang w:val="en-CA"/>
        </w:rPr>
        <w:t xml:space="preserve">and order </w:t>
      </w:r>
      <w:r w:rsidRPr="000026A6">
        <w:rPr>
          <w:color w:val="000000"/>
          <w:kern w:val="28"/>
          <w:u w:val="none"/>
          <w:lang w:val="en-CA"/>
        </w:rPr>
        <w:t>handed down on 13 March 2023 by this court</w:t>
      </w:r>
      <w:r>
        <w:rPr>
          <w:color w:val="000000"/>
          <w:kern w:val="28"/>
          <w:u w:val="none"/>
          <w:lang w:val="en-CA"/>
        </w:rPr>
        <w:t xml:space="preserve">, </w:t>
      </w:r>
      <w:r w:rsidRPr="000026A6">
        <w:rPr>
          <w:color w:val="000000"/>
          <w:kern w:val="28"/>
          <w:u w:val="none"/>
          <w:lang w:val="en-CA"/>
        </w:rPr>
        <w:t>w</w:t>
      </w:r>
      <w:r>
        <w:rPr>
          <w:color w:val="000000"/>
          <w:kern w:val="28"/>
          <w:u w:val="none"/>
          <w:lang w:val="en-CA"/>
        </w:rPr>
        <w:t xml:space="preserve">here </w:t>
      </w:r>
      <w:r w:rsidRPr="000026A6">
        <w:rPr>
          <w:color w:val="000000"/>
          <w:kern w:val="28"/>
          <w:u w:val="none"/>
          <w:lang w:val="en-CA"/>
        </w:rPr>
        <w:t xml:space="preserve">the respondents instituted </w:t>
      </w:r>
      <w:r>
        <w:rPr>
          <w:color w:val="000000"/>
          <w:kern w:val="28"/>
          <w:u w:val="none"/>
          <w:lang w:val="en-CA"/>
        </w:rPr>
        <w:t xml:space="preserve">an </w:t>
      </w:r>
      <w:r w:rsidRPr="000026A6">
        <w:rPr>
          <w:color w:val="000000"/>
          <w:kern w:val="28"/>
          <w:u w:val="none"/>
          <w:lang w:val="en-CA"/>
        </w:rPr>
        <w:t xml:space="preserve">application </w:t>
      </w:r>
      <w:r>
        <w:rPr>
          <w:color w:val="000000"/>
          <w:kern w:val="28"/>
          <w:u w:val="none"/>
          <w:lang w:val="en-CA"/>
        </w:rPr>
        <w:t xml:space="preserve">for </w:t>
      </w:r>
      <w:r w:rsidRPr="000026A6">
        <w:rPr>
          <w:color w:val="000000"/>
          <w:kern w:val="28"/>
          <w:u w:val="none"/>
          <w:lang w:val="en-CA"/>
        </w:rPr>
        <w:t xml:space="preserve"> </w:t>
      </w:r>
      <w:r w:rsidR="00D411B8">
        <w:rPr>
          <w:color w:val="000000"/>
          <w:kern w:val="28"/>
          <w:u w:val="none"/>
          <w:lang w:val="en-CA"/>
        </w:rPr>
        <w:t xml:space="preserve">striking out and </w:t>
      </w:r>
      <w:r w:rsidRPr="000026A6">
        <w:rPr>
          <w:color w:val="000000"/>
          <w:kern w:val="28"/>
          <w:u w:val="none"/>
          <w:lang w:val="en-CA"/>
        </w:rPr>
        <w:t>declaratory relief</w:t>
      </w:r>
      <w:r>
        <w:rPr>
          <w:color w:val="000000"/>
          <w:kern w:val="28"/>
          <w:u w:val="none"/>
          <w:lang w:val="en-CA"/>
        </w:rPr>
        <w:t>.</w:t>
      </w:r>
      <w:r w:rsidR="00D411B8">
        <w:rPr>
          <w:color w:val="000000"/>
          <w:kern w:val="28"/>
          <w:u w:val="none"/>
          <w:lang w:val="en-CA"/>
        </w:rPr>
        <w:t xml:space="preserve"> The court granted an order as follows:</w:t>
      </w:r>
    </w:p>
    <w:p w14:paraId="6187DFBE" w14:textId="77777777" w:rsidR="00D411B8" w:rsidRPr="00D411B8" w:rsidRDefault="00D411B8" w:rsidP="00D411B8">
      <w:pPr>
        <w:spacing w:after="480" w:line="360" w:lineRule="auto"/>
        <w:ind w:left="1440" w:hanging="720"/>
        <w:jc w:val="both"/>
        <w:rPr>
          <w:sz w:val="22"/>
          <w:szCs w:val="22"/>
          <w:u w:val="none"/>
        </w:rPr>
      </w:pPr>
      <w:r w:rsidRPr="00D411B8">
        <w:rPr>
          <w:color w:val="000000"/>
          <w:kern w:val="28"/>
          <w:sz w:val="22"/>
          <w:szCs w:val="22"/>
          <w:u w:val="none"/>
        </w:rPr>
        <w:t xml:space="preserve">16.1 </w:t>
      </w:r>
      <w:r w:rsidRPr="00D411B8">
        <w:rPr>
          <w:color w:val="000000"/>
          <w:kern w:val="28"/>
          <w:sz w:val="22"/>
          <w:szCs w:val="22"/>
          <w:u w:val="none"/>
        </w:rPr>
        <w:tab/>
      </w:r>
      <w:r w:rsidRPr="00D411B8">
        <w:rPr>
          <w:sz w:val="22"/>
          <w:szCs w:val="22"/>
          <w:u w:val="none"/>
        </w:rPr>
        <w:t xml:space="preserve">Paragraphs </w:t>
      </w:r>
      <w:r w:rsidRPr="00D411B8">
        <w:rPr>
          <w:color w:val="000000"/>
          <w:kern w:val="28"/>
          <w:sz w:val="22"/>
          <w:szCs w:val="22"/>
          <w:u w:val="none"/>
        </w:rPr>
        <w:t xml:space="preserve">22.2 -22.16 and 22.27 and 22.28 as well as Annexures “SO” and “AA” are struck from the record. </w:t>
      </w:r>
      <w:r w:rsidRPr="00D411B8">
        <w:rPr>
          <w:sz w:val="22"/>
          <w:szCs w:val="22"/>
          <w:u w:val="none"/>
        </w:rPr>
        <w:t xml:space="preserve"> </w:t>
      </w:r>
      <w:r w:rsidRPr="00D411B8">
        <w:rPr>
          <w:sz w:val="22"/>
          <w:szCs w:val="22"/>
          <w:u w:val="none"/>
        </w:rPr>
        <w:tab/>
      </w:r>
    </w:p>
    <w:p w14:paraId="349F71E3" w14:textId="77777777" w:rsidR="00D411B8" w:rsidRPr="00D411B8" w:rsidRDefault="00D411B8" w:rsidP="00D411B8">
      <w:pPr>
        <w:spacing w:after="480" w:line="360" w:lineRule="auto"/>
        <w:ind w:left="1440" w:hanging="720"/>
        <w:jc w:val="both"/>
        <w:rPr>
          <w:color w:val="000000"/>
          <w:kern w:val="28"/>
          <w:sz w:val="22"/>
          <w:szCs w:val="22"/>
          <w:u w:val="none"/>
        </w:rPr>
      </w:pPr>
      <w:r w:rsidRPr="00D411B8">
        <w:rPr>
          <w:sz w:val="22"/>
          <w:szCs w:val="22"/>
          <w:u w:val="none"/>
        </w:rPr>
        <w:t>16.2</w:t>
      </w:r>
      <w:r w:rsidRPr="00D411B8">
        <w:rPr>
          <w:sz w:val="22"/>
          <w:szCs w:val="22"/>
          <w:u w:val="none"/>
        </w:rPr>
        <w:tab/>
      </w:r>
      <w:r w:rsidRPr="00D411B8">
        <w:rPr>
          <w:color w:val="000000"/>
          <w:kern w:val="28"/>
          <w:sz w:val="22"/>
          <w:szCs w:val="22"/>
          <w:u w:val="none"/>
        </w:rPr>
        <w:t>Draharama Lingum Moodley is declared the sole member of Co-props 1099 CC (Registration No 1997/031376/23) (Co-Props CC) from August 1997;</w:t>
      </w:r>
    </w:p>
    <w:p w14:paraId="63E0E096" w14:textId="77777777" w:rsidR="00D411B8" w:rsidRPr="00D411B8" w:rsidRDefault="00D411B8" w:rsidP="00D411B8">
      <w:pPr>
        <w:spacing w:after="480" w:line="360" w:lineRule="auto"/>
        <w:ind w:left="1440" w:hanging="720"/>
        <w:jc w:val="both"/>
        <w:rPr>
          <w:color w:val="000000"/>
          <w:kern w:val="28"/>
          <w:sz w:val="22"/>
          <w:szCs w:val="22"/>
          <w:u w:val="none"/>
        </w:rPr>
      </w:pPr>
      <w:r w:rsidRPr="00D411B8">
        <w:rPr>
          <w:color w:val="000000"/>
          <w:kern w:val="28"/>
          <w:sz w:val="22"/>
          <w:szCs w:val="22"/>
          <w:u w:val="none"/>
        </w:rPr>
        <w:t xml:space="preserve">16.3 </w:t>
      </w:r>
      <w:r w:rsidRPr="00D411B8">
        <w:rPr>
          <w:color w:val="000000"/>
          <w:kern w:val="28"/>
          <w:sz w:val="22"/>
          <w:szCs w:val="22"/>
          <w:u w:val="none"/>
        </w:rPr>
        <w:tab/>
        <w:t>The respondent is declared not to be, and to have never been a member of Co-Props CC;</w:t>
      </w:r>
    </w:p>
    <w:p w14:paraId="4514D380" w14:textId="2B3EF4CD" w:rsidR="00D411B8" w:rsidRPr="00D411B8" w:rsidRDefault="00D411B8" w:rsidP="00D411B8">
      <w:pPr>
        <w:spacing w:after="480" w:line="360" w:lineRule="auto"/>
        <w:ind w:left="1440" w:hanging="720"/>
        <w:jc w:val="both"/>
        <w:rPr>
          <w:sz w:val="22"/>
          <w:szCs w:val="22"/>
          <w:u w:val="none"/>
        </w:rPr>
      </w:pPr>
      <w:r w:rsidRPr="00D411B8">
        <w:rPr>
          <w:color w:val="000000"/>
          <w:kern w:val="28"/>
          <w:sz w:val="22"/>
          <w:szCs w:val="22"/>
          <w:u w:val="none"/>
        </w:rPr>
        <w:t>16.4</w:t>
      </w:r>
      <w:r w:rsidRPr="00D411B8">
        <w:rPr>
          <w:color w:val="000000"/>
          <w:kern w:val="28"/>
          <w:sz w:val="22"/>
          <w:szCs w:val="22"/>
          <w:u w:val="none"/>
        </w:rPr>
        <w:tab/>
        <w:t>The respondent shall pay the costs of the application.””</w:t>
      </w:r>
    </w:p>
    <w:p w14:paraId="3FDC54FE" w14:textId="01542278" w:rsidR="000969F9" w:rsidRPr="00D71BB7" w:rsidRDefault="000026A6" w:rsidP="000969F9">
      <w:pPr>
        <w:spacing w:after="480" w:line="360" w:lineRule="auto"/>
        <w:jc w:val="both"/>
        <w:rPr>
          <w:color w:val="000000"/>
          <w:kern w:val="28"/>
          <w:u w:val="none"/>
          <w:lang w:val="en-CA"/>
        </w:rPr>
      </w:pPr>
      <w:r w:rsidRPr="00532589">
        <w:rPr>
          <w:color w:val="000000"/>
          <w:kern w:val="28"/>
          <w:u w:val="none"/>
        </w:rPr>
        <w:t xml:space="preserve"> </w:t>
      </w:r>
      <w:r w:rsidR="00D411B8">
        <w:rPr>
          <w:color w:val="000000"/>
          <w:kern w:val="28"/>
          <w:u w:val="none"/>
        </w:rPr>
        <w:t>[</w:t>
      </w:r>
      <w:r>
        <w:rPr>
          <w:color w:val="000000"/>
          <w:kern w:val="28"/>
          <w:u w:val="none"/>
        </w:rPr>
        <w:t>2]</w:t>
      </w:r>
      <w:r>
        <w:rPr>
          <w:color w:val="000000"/>
          <w:kern w:val="28"/>
          <w:u w:val="none"/>
        </w:rPr>
        <w:tab/>
      </w:r>
      <w:r w:rsidR="000969F9" w:rsidRPr="00637293">
        <w:rPr>
          <w:color w:val="000000"/>
          <w:kern w:val="28"/>
          <w:u w:val="none"/>
          <w:lang w:val="en-CA"/>
        </w:rPr>
        <w:t xml:space="preserve">Having regard to the test for </w:t>
      </w:r>
      <w:r w:rsidR="000969F9">
        <w:rPr>
          <w:color w:val="000000"/>
          <w:kern w:val="28"/>
          <w:u w:val="none"/>
          <w:lang w:val="en-CA"/>
        </w:rPr>
        <w:t>leave to</w:t>
      </w:r>
      <w:r w:rsidR="000969F9" w:rsidRPr="00637293">
        <w:rPr>
          <w:color w:val="000000"/>
          <w:kern w:val="28"/>
          <w:u w:val="none"/>
          <w:lang w:val="en-CA"/>
        </w:rPr>
        <w:t xml:space="preserve"> appeal as established by </w:t>
      </w:r>
      <w:r w:rsidR="000969F9">
        <w:rPr>
          <w:color w:val="000000"/>
          <w:kern w:val="28"/>
          <w:u w:val="none"/>
          <w:lang w:val="en-CA"/>
        </w:rPr>
        <w:t xml:space="preserve">section 17(1)(a) of </w:t>
      </w:r>
      <w:r w:rsidR="000969F9" w:rsidRPr="00637293">
        <w:rPr>
          <w:color w:val="000000"/>
          <w:kern w:val="28"/>
          <w:u w:val="none"/>
          <w:lang w:val="en-CA"/>
        </w:rPr>
        <w:t xml:space="preserve">the </w:t>
      </w:r>
      <w:r w:rsidR="000969F9">
        <w:rPr>
          <w:color w:val="000000"/>
          <w:kern w:val="28"/>
          <w:u w:val="none"/>
          <w:lang w:val="en-CA"/>
        </w:rPr>
        <w:t>S</w:t>
      </w:r>
      <w:r w:rsidR="000969F9" w:rsidRPr="00637293">
        <w:rPr>
          <w:color w:val="000000"/>
          <w:kern w:val="28"/>
          <w:u w:val="none"/>
          <w:lang w:val="en-CA"/>
        </w:rPr>
        <w:t xml:space="preserve">uperior </w:t>
      </w:r>
      <w:r w:rsidR="000969F9">
        <w:rPr>
          <w:color w:val="000000"/>
          <w:kern w:val="28"/>
          <w:u w:val="none"/>
          <w:lang w:val="en-CA"/>
        </w:rPr>
        <w:t>C</w:t>
      </w:r>
      <w:r w:rsidR="000969F9" w:rsidRPr="00637293">
        <w:rPr>
          <w:color w:val="000000"/>
          <w:kern w:val="28"/>
          <w:u w:val="none"/>
          <w:lang w:val="en-CA"/>
        </w:rPr>
        <w:t xml:space="preserve">ourts </w:t>
      </w:r>
      <w:r w:rsidR="000969F9">
        <w:rPr>
          <w:color w:val="000000"/>
          <w:kern w:val="28"/>
          <w:u w:val="none"/>
          <w:lang w:val="en-CA"/>
        </w:rPr>
        <w:t>A</w:t>
      </w:r>
      <w:r w:rsidR="000969F9" w:rsidRPr="00637293">
        <w:rPr>
          <w:color w:val="000000"/>
          <w:kern w:val="28"/>
          <w:u w:val="none"/>
          <w:lang w:val="en-CA"/>
        </w:rPr>
        <w:t xml:space="preserve">ct </w:t>
      </w:r>
      <w:r w:rsidR="000969F9">
        <w:rPr>
          <w:color w:val="000000"/>
          <w:kern w:val="28"/>
          <w:u w:val="none"/>
          <w:lang w:val="en-CA"/>
        </w:rPr>
        <w:t xml:space="preserve">10 </w:t>
      </w:r>
      <w:r w:rsidR="000969F9" w:rsidRPr="00637293">
        <w:rPr>
          <w:color w:val="000000"/>
          <w:kern w:val="28"/>
          <w:u w:val="none"/>
          <w:lang w:val="en-CA"/>
        </w:rPr>
        <w:t xml:space="preserve">of 2013 </w:t>
      </w:r>
      <w:r w:rsidR="000969F9">
        <w:rPr>
          <w:color w:val="000000"/>
          <w:kern w:val="28"/>
          <w:u w:val="none"/>
          <w:lang w:val="en-CA"/>
        </w:rPr>
        <w:t xml:space="preserve">whether </w:t>
      </w:r>
      <w:r w:rsidR="000969F9" w:rsidRPr="00637293">
        <w:rPr>
          <w:color w:val="000000"/>
          <w:kern w:val="28"/>
          <w:u w:val="none"/>
          <w:lang w:val="en-CA"/>
        </w:rPr>
        <w:t>reasonable prospects of success exist</w:t>
      </w:r>
      <w:r w:rsidR="000969F9">
        <w:rPr>
          <w:color w:val="000000"/>
          <w:kern w:val="28"/>
          <w:u w:val="none"/>
          <w:lang w:val="en-CA"/>
        </w:rPr>
        <w:t xml:space="preserve">, </w:t>
      </w:r>
      <w:r w:rsidR="000969F9" w:rsidRPr="00637293">
        <w:rPr>
          <w:color w:val="000000"/>
          <w:kern w:val="28"/>
          <w:u w:val="none"/>
          <w:lang w:val="en-CA"/>
        </w:rPr>
        <w:t>the test</w:t>
      </w:r>
      <w:r w:rsidR="000969F9">
        <w:rPr>
          <w:color w:val="000000"/>
          <w:kern w:val="28"/>
          <w:u w:val="none"/>
          <w:lang w:val="en-CA"/>
        </w:rPr>
        <w:t xml:space="preserve">s referred to were the oft cited </w:t>
      </w:r>
      <w:r w:rsidR="000969F9" w:rsidRPr="00104A40">
        <w:rPr>
          <w:i/>
          <w:iCs/>
          <w:color w:val="000000"/>
          <w:kern w:val="28"/>
          <w:u w:val="none"/>
          <w:lang w:val="en-CA"/>
        </w:rPr>
        <w:t>Mont Chevaux Trust v Goosen</w:t>
      </w:r>
      <w:r w:rsidR="000969F9">
        <w:rPr>
          <w:rStyle w:val="FootnoteReference"/>
          <w:color w:val="000000"/>
          <w:kern w:val="28"/>
          <w:u w:val="none"/>
          <w:lang w:val="en-CA"/>
        </w:rPr>
        <w:footnoteReference w:id="1"/>
      </w:r>
      <w:r w:rsidR="000969F9">
        <w:rPr>
          <w:color w:val="000000"/>
          <w:kern w:val="28"/>
          <w:u w:val="none"/>
          <w:lang w:val="en-CA"/>
        </w:rPr>
        <w:t xml:space="preserve"> and </w:t>
      </w:r>
      <w:r w:rsidR="000969F9">
        <w:rPr>
          <w:i/>
          <w:iCs/>
          <w:color w:val="000000"/>
          <w:kern w:val="28"/>
          <w:u w:val="none"/>
          <w:lang w:val="en-CA"/>
        </w:rPr>
        <w:t>Ramakatsa and Others v African National Congress and Another</w:t>
      </w:r>
      <w:r w:rsidR="000969F9">
        <w:rPr>
          <w:rStyle w:val="FootnoteReference"/>
          <w:i/>
          <w:iCs/>
          <w:color w:val="000000"/>
          <w:kern w:val="28"/>
          <w:u w:val="none"/>
          <w:lang w:val="en-CA"/>
        </w:rPr>
        <w:footnoteReference w:id="2"/>
      </w:r>
      <w:r w:rsidR="000969F9">
        <w:rPr>
          <w:i/>
          <w:iCs/>
          <w:color w:val="000000"/>
          <w:kern w:val="28"/>
          <w:u w:val="none"/>
          <w:lang w:val="en-CA"/>
        </w:rPr>
        <w:t xml:space="preserve"> </w:t>
      </w:r>
      <w:r w:rsidR="000969F9" w:rsidRPr="00637293">
        <w:rPr>
          <w:color w:val="000000"/>
          <w:kern w:val="28"/>
          <w:u w:val="none"/>
          <w:lang w:val="en-CA"/>
        </w:rPr>
        <w:t xml:space="preserve"> </w:t>
      </w:r>
      <w:r w:rsidR="000969F9">
        <w:rPr>
          <w:color w:val="000000"/>
          <w:kern w:val="28"/>
          <w:u w:val="none"/>
          <w:lang w:val="en-CA"/>
        </w:rPr>
        <w:t xml:space="preserve">where the Supreme Court of Appeal indicated that there </w:t>
      </w:r>
      <w:r w:rsidR="000A2F71">
        <w:rPr>
          <w:color w:val="000000"/>
          <w:kern w:val="28"/>
          <w:u w:val="none"/>
          <w:lang w:val="en-CA"/>
        </w:rPr>
        <w:t>might</w:t>
      </w:r>
      <w:r w:rsidR="000969F9">
        <w:rPr>
          <w:color w:val="000000"/>
          <w:kern w:val="28"/>
          <w:u w:val="none"/>
          <w:lang w:val="en-CA"/>
        </w:rPr>
        <w:t xml:space="preserve"> be reasons to </w:t>
      </w:r>
      <w:r w:rsidR="0036561B">
        <w:rPr>
          <w:color w:val="000000"/>
          <w:kern w:val="28"/>
          <w:u w:val="none"/>
          <w:lang w:val="en-CA"/>
        </w:rPr>
        <w:t>entertain</w:t>
      </w:r>
      <w:r w:rsidR="000969F9">
        <w:rPr>
          <w:color w:val="000000"/>
          <w:kern w:val="28"/>
          <w:u w:val="none"/>
          <w:lang w:val="en-CA"/>
        </w:rPr>
        <w:t xml:space="preserve"> an appeal:</w:t>
      </w:r>
    </w:p>
    <w:p w14:paraId="02B56653" w14:textId="77777777" w:rsidR="000969F9" w:rsidRPr="00D71BB7" w:rsidRDefault="000969F9" w:rsidP="000969F9">
      <w:pPr>
        <w:spacing w:after="480" w:line="360" w:lineRule="auto"/>
        <w:ind w:left="1440"/>
        <w:jc w:val="both"/>
        <w:rPr>
          <w:color w:val="000000"/>
          <w:kern w:val="28"/>
          <w:sz w:val="22"/>
          <w:szCs w:val="22"/>
          <w:u w:val="none"/>
        </w:rPr>
      </w:pPr>
      <w:r w:rsidRPr="00D71BB7">
        <w:rPr>
          <w:color w:val="242121"/>
          <w:sz w:val="22"/>
          <w:szCs w:val="22"/>
          <w:u w:val="none"/>
          <w:shd w:val="clear" w:color="auto" w:fill="FFFFFF"/>
        </w:rPr>
        <w:t xml:space="preserve">[10]      Turning the focus to the relevant provisions of the Superior Courts </w:t>
      </w:r>
      <w:r>
        <w:rPr>
          <w:color w:val="242121"/>
          <w:sz w:val="22"/>
          <w:szCs w:val="22"/>
          <w:u w:val="none"/>
          <w:shd w:val="clear" w:color="auto" w:fill="FFFFFF"/>
        </w:rPr>
        <w:t>“</w:t>
      </w:r>
      <w:r w:rsidRPr="00D71BB7">
        <w:rPr>
          <w:color w:val="242121"/>
          <w:sz w:val="22"/>
          <w:szCs w:val="22"/>
          <w:u w:val="none"/>
          <w:shd w:val="clear" w:color="auto" w:fill="FFFFFF"/>
        </w:rPr>
        <w:t>Act</w:t>
      </w:r>
      <w:bookmarkStart w:id="1" w:name="_ftnref5"/>
      <w:r w:rsidRPr="00D71BB7">
        <w:rPr>
          <w:color w:val="242121"/>
          <w:sz w:val="22"/>
          <w:szCs w:val="22"/>
          <w:u w:val="none"/>
          <w:shd w:val="clear" w:color="auto" w:fill="FFFFFF"/>
        </w:rPr>
        <w:fldChar w:fldCharType="begin"/>
      </w:r>
      <w:r w:rsidRPr="00D71BB7">
        <w:rPr>
          <w:color w:val="242121"/>
          <w:sz w:val="22"/>
          <w:szCs w:val="22"/>
          <w:u w:val="none"/>
          <w:shd w:val="clear" w:color="auto" w:fill="FFFFFF"/>
        </w:rPr>
        <w:instrText>HYPERLINK "https://www.saflii.org/za/cases/ZASCA/2021/31.html" \l "_ftn5"</w:instrText>
      </w:r>
      <w:r w:rsidRPr="00D71BB7">
        <w:rPr>
          <w:color w:val="242121"/>
          <w:sz w:val="22"/>
          <w:szCs w:val="22"/>
          <w:u w:val="none"/>
          <w:shd w:val="clear" w:color="auto" w:fill="FFFFFF"/>
        </w:rPr>
        <w:fldChar w:fldCharType="separate"/>
      </w:r>
      <w:r w:rsidRPr="00D71BB7">
        <w:rPr>
          <w:rStyle w:val="Hyperlink"/>
          <w:color w:val="0B4B0B"/>
          <w:sz w:val="22"/>
          <w:szCs w:val="22"/>
          <w:u w:val="none"/>
          <w:shd w:val="clear" w:color="auto" w:fill="FFFFFF"/>
        </w:rPr>
        <w:t>[5]</w:t>
      </w:r>
      <w:r w:rsidRPr="00D71BB7">
        <w:rPr>
          <w:color w:val="242121"/>
          <w:sz w:val="22"/>
          <w:szCs w:val="22"/>
          <w:u w:val="none"/>
          <w:shd w:val="clear" w:color="auto" w:fill="FFFFFF"/>
        </w:rPr>
        <w:fldChar w:fldCharType="end"/>
      </w:r>
      <w:bookmarkEnd w:id="1"/>
      <w:r w:rsidRPr="00D71BB7">
        <w:rPr>
          <w:color w:val="242121"/>
          <w:sz w:val="22"/>
          <w:szCs w:val="22"/>
          <w:u w:val="none"/>
          <w:shd w:val="clear" w:color="auto" w:fill="FFFFFF"/>
        </w:rPr>
        <w:t> (the SC Act), leave to appeal may only be granted where the judges concerned are of the opinion that the appeal would have a reasonable prospect of success or there are compelling reasons which exist why the appeal should be heard such as the interests of justice.</w:t>
      </w:r>
      <w:bookmarkStart w:id="2" w:name="_ftnref6"/>
      <w:r w:rsidRPr="00D71BB7">
        <w:rPr>
          <w:color w:val="242121"/>
          <w:sz w:val="22"/>
          <w:szCs w:val="22"/>
          <w:u w:val="none"/>
          <w:shd w:val="clear" w:color="auto" w:fill="FFFFFF"/>
        </w:rPr>
        <w:fldChar w:fldCharType="begin"/>
      </w:r>
      <w:r w:rsidRPr="00D71BB7">
        <w:rPr>
          <w:color w:val="242121"/>
          <w:sz w:val="22"/>
          <w:szCs w:val="22"/>
          <w:u w:val="none"/>
          <w:shd w:val="clear" w:color="auto" w:fill="FFFFFF"/>
        </w:rPr>
        <w:instrText>HYPERLINK "https://www.saflii.org/za/cases/ZASCA/2021/31.html" \l "_ftn6"</w:instrText>
      </w:r>
      <w:r w:rsidRPr="00D71BB7">
        <w:rPr>
          <w:color w:val="242121"/>
          <w:sz w:val="22"/>
          <w:szCs w:val="22"/>
          <w:u w:val="none"/>
          <w:shd w:val="clear" w:color="auto" w:fill="FFFFFF"/>
        </w:rPr>
        <w:fldChar w:fldCharType="separate"/>
      </w:r>
      <w:r w:rsidRPr="00D71BB7">
        <w:rPr>
          <w:rStyle w:val="Hyperlink"/>
          <w:color w:val="0B4B0B"/>
          <w:sz w:val="22"/>
          <w:szCs w:val="22"/>
          <w:u w:val="none"/>
          <w:shd w:val="clear" w:color="auto" w:fill="FFFFFF"/>
        </w:rPr>
        <w:t>[6]</w:t>
      </w:r>
      <w:r w:rsidRPr="00D71BB7">
        <w:rPr>
          <w:color w:val="242121"/>
          <w:sz w:val="22"/>
          <w:szCs w:val="22"/>
          <w:u w:val="none"/>
          <w:shd w:val="clear" w:color="auto" w:fill="FFFFFF"/>
        </w:rPr>
        <w:fldChar w:fldCharType="end"/>
      </w:r>
      <w:bookmarkEnd w:id="2"/>
      <w:r w:rsidRPr="00D71BB7">
        <w:rPr>
          <w:color w:val="242121"/>
          <w:sz w:val="22"/>
          <w:szCs w:val="22"/>
          <w:u w:val="none"/>
          <w:shd w:val="clear" w:color="auto" w:fill="FFFFFF"/>
        </w:rPr>
        <w:t> This Court in </w:t>
      </w:r>
      <w:r w:rsidRPr="00D71BB7">
        <w:rPr>
          <w:i/>
          <w:iCs/>
          <w:color w:val="242121"/>
          <w:sz w:val="22"/>
          <w:szCs w:val="22"/>
          <w:u w:val="none"/>
          <w:shd w:val="clear" w:color="auto" w:fill="FFFFFF"/>
        </w:rPr>
        <w:t>Caratco</w:t>
      </w:r>
      <w:bookmarkStart w:id="3" w:name="_ftnref7"/>
      <w:r w:rsidRPr="00D71BB7">
        <w:rPr>
          <w:sz w:val="22"/>
          <w:szCs w:val="22"/>
          <w:u w:val="none"/>
        </w:rPr>
        <w:fldChar w:fldCharType="begin"/>
      </w:r>
      <w:r w:rsidRPr="00D71BB7">
        <w:rPr>
          <w:sz w:val="22"/>
          <w:szCs w:val="22"/>
          <w:u w:val="none"/>
        </w:rPr>
        <w:instrText>HYPERLINK "https://www.saflii.org/za/cases/ZASCA/2021/31.html" \l "_ftn7"</w:instrText>
      </w:r>
      <w:r w:rsidRPr="00D71BB7">
        <w:rPr>
          <w:sz w:val="22"/>
          <w:szCs w:val="22"/>
          <w:u w:val="none"/>
        </w:rPr>
        <w:fldChar w:fldCharType="separate"/>
      </w:r>
      <w:r w:rsidRPr="00D71BB7">
        <w:rPr>
          <w:rStyle w:val="Hyperlink"/>
          <w:color w:val="0B4B0B"/>
          <w:sz w:val="22"/>
          <w:szCs w:val="22"/>
          <w:u w:val="none"/>
          <w:shd w:val="clear" w:color="auto" w:fill="FFFFFF"/>
        </w:rPr>
        <w:t>[7]</w:t>
      </w:r>
      <w:r w:rsidRPr="00D71BB7">
        <w:rPr>
          <w:sz w:val="22"/>
          <w:szCs w:val="22"/>
          <w:u w:val="none"/>
        </w:rPr>
        <w:fldChar w:fldCharType="end"/>
      </w:r>
      <w:bookmarkEnd w:id="3"/>
      <w:r w:rsidRPr="00D71BB7">
        <w:rPr>
          <w:i/>
          <w:iCs/>
          <w:color w:val="242121"/>
          <w:sz w:val="22"/>
          <w:szCs w:val="22"/>
          <w:u w:val="none"/>
          <w:shd w:val="clear" w:color="auto" w:fill="FFFFFF"/>
        </w:rPr>
        <w:t>, </w:t>
      </w:r>
      <w:r w:rsidRPr="00D71BB7">
        <w:rPr>
          <w:color w:val="242121"/>
          <w:sz w:val="22"/>
          <w:szCs w:val="22"/>
          <w:u w:val="none"/>
          <w:shd w:val="clear" w:color="auto" w:fill="FFFFFF"/>
        </w:rPr>
        <w:t>concerning the provisions of s 17(1)</w:t>
      </w:r>
      <w:r w:rsidRPr="00D71BB7">
        <w:rPr>
          <w:i/>
          <w:iCs/>
          <w:color w:val="242121"/>
          <w:sz w:val="22"/>
          <w:szCs w:val="22"/>
          <w:u w:val="none"/>
          <w:shd w:val="clear" w:color="auto" w:fill="FFFFFF"/>
        </w:rPr>
        <w:t>(a)</w:t>
      </w:r>
      <w:r w:rsidRPr="00D71BB7">
        <w:rPr>
          <w:color w:val="242121"/>
          <w:sz w:val="22"/>
          <w:szCs w:val="22"/>
          <w:u w:val="none"/>
          <w:shd w:val="clear" w:color="auto" w:fill="FFFFFF"/>
        </w:rPr>
        <w:t xml:space="preserve">(ii) of the SC Act pointed out that if the court is unpersuaded </w:t>
      </w:r>
      <w:r w:rsidRPr="00D71BB7">
        <w:rPr>
          <w:color w:val="242121"/>
          <w:sz w:val="22"/>
          <w:szCs w:val="22"/>
          <w:u w:val="none"/>
          <w:shd w:val="clear" w:color="auto" w:fill="FFFFFF"/>
        </w:rPr>
        <w:lastRenderedPageBreak/>
        <w:t>that there are prospects of success, it must still enquire into whether there is a compelling reason to entertain the appeal. Compelling reason would of course include an important question of law or a discreet issue of public importance that will have an effect on future disputes. However, this Court correctly added that ‘but here too the merits remain vitally important and are often decisive’.</w:t>
      </w:r>
      <w:bookmarkStart w:id="4" w:name="_ftnref8"/>
      <w:r w:rsidRPr="00D71BB7">
        <w:rPr>
          <w:color w:val="242121"/>
          <w:sz w:val="22"/>
          <w:szCs w:val="22"/>
          <w:u w:val="none"/>
          <w:shd w:val="clear" w:color="auto" w:fill="FFFFFF"/>
        </w:rPr>
        <w:fldChar w:fldCharType="begin"/>
      </w:r>
      <w:r w:rsidRPr="00D71BB7">
        <w:rPr>
          <w:color w:val="242121"/>
          <w:sz w:val="22"/>
          <w:szCs w:val="22"/>
          <w:u w:val="none"/>
          <w:shd w:val="clear" w:color="auto" w:fill="FFFFFF"/>
        </w:rPr>
        <w:instrText>HYPERLINK "https://www.saflii.org/za/cases/ZASCA/2021/31.html" \l "_ftn8"</w:instrText>
      </w:r>
      <w:r w:rsidRPr="00D71BB7">
        <w:rPr>
          <w:color w:val="242121"/>
          <w:sz w:val="22"/>
          <w:szCs w:val="22"/>
          <w:u w:val="none"/>
          <w:shd w:val="clear" w:color="auto" w:fill="FFFFFF"/>
        </w:rPr>
        <w:fldChar w:fldCharType="separate"/>
      </w:r>
      <w:r w:rsidRPr="00D71BB7">
        <w:rPr>
          <w:rStyle w:val="Hyperlink"/>
          <w:color w:val="0B4B0B"/>
          <w:sz w:val="22"/>
          <w:szCs w:val="22"/>
          <w:u w:val="none"/>
          <w:shd w:val="clear" w:color="auto" w:fill="FFFFFF"/>
        </w:rPr>
        <w:t>[8]</w:t>
      </w:r>
      <w:r w:rsidRPr="00D71BB7">
        <w:rPr>
          <w:color w:val="242121"/>
          <w:sz w:val="22"/>
          <w:szCs w:val="22"/>
          <w:u w:val="none"/>
          <w:shd w:val="clear" w:color="auto" w:fill="FFFFFF"/>
        </w:rPr>
        <w:fldChar w:fldCharType="end"/>
      </w:r>
      <w:bookmarkEnd w:id="4"/>
      <w:r w:rsidRPr="00D71BB7">
        <w:rPr>
          <w:color w:val="242121"/>
          <w:sz w:val="22"/>
          <w:szCs w:val="22"/>
          <w:u w:val="none"/>
          <w:shd w:val="clear" w:color="auto" w:fill="FFFFFF"/>
        </w:rPr>
        <w:t> I am mindful of the decisions at high court level debating whether the use of the word ‘would’ as opposed to ‘could’ possibly means that the threshold for granting the appeal has been raised. If a reasonable prospect of success is established, leave to appeal should be granted. Similarly, if there are some other compelling reasons why the appeal should be heard, leave to appeal should be granted. The test of reasonable prospects of success postulates a dispassionate decision based on the facts and the law that a court of appeal could reasonably arrive at a conclusion different to that of the trial court. In other words, the appellants in this matter need to convince this Court on proper grounds that they have prospects of success on appeal. Those prospects of success must not be remote, but there must exist a reasonable chance of succeeding.</w:t>
      </w:r>
      <w:r w:rsidRPr="00D71BB7">
        <w:rPr>
          <w:color w:val="000000"/>
          <w:kern w:val="28"/>
          <w:sz w:val="22"/>
          <w:szCs w:val="22"/>
          <w:u w:val="none"/>
          <w:lang w:val="en-CA"/>
        </w:rPr>
        <w:t xml:space="preserve"> </w:t>
      </w:r>
    </w:p>
    <w:p w14:paraId="73725620" w14:textId="201974A9" w:rsidR="008903D9" w:rsidRDefault="000026A6" w:rsidP="000026A6">
      <w:pPr>
        <w:spacing w:after="480" w:line="360" w:lineRule="auto"/>
        <w:jc w:val="both"/>
        <w:rPr>
          <w:color w:val="000000"/>
          <w:kern w:val="28"/>
          <w:u w:val="none"/>
          <w:lang w:val="en-CA"/>
        </w:rPr>
      </w:pPr>
      <w:r>
        <w:rPr>
          <w:color w:val="000000"/>
          <w:kern w:val="28"/>
          <w:u w:val="none"/>
        </w:rPr>
        <w:t xml:space="preserve"> [3</w:t>
      </w:r>
      <w:r w:rsidRPr="00532589">
        <w:rPr>
          <w:color w:val="000000"/>
          <w:kern w:val="28"/>
          <w:u w:val="none"/>
        </w:rPr>
        <w:t>]</w:t>
      </w:r>
      <w:r w:rsidRPr="00532589">
        <w:rPr>
          <w:color w:val="000000"/>
          <w:kern w:val="28"/>
          <w:u w:val="none"/>
        </w:rPr>
        <w:tab/>
      </w:r>
      <w:r w:rsidR="00A932A2" w:rsidRPr="00532589">
        <w:rPr>
          <w:color w:val="000000"/>
          <w:kern w:val="28"/>
          <w:u w:val="none"/>
        </w:rPr>
        <w:t xml:space="preserve">The </w:t>
      </w:r>
      <w:r w:rsidR="00A932A2" w:rsidRPr="00D411B8">
        <w:rPr>
          <w:color w:val="000000"/>
          <w:kern w:val="28"/>
          <w:u w:val="none"/>
          <w:lang w:val="en-CA"/>
        </w:rPr>
        <w:t>the applicant sub</w:t>
      </w:r>
      <w:r w:rsidR="007965B4">
        <w:rPr>
          <w:color w:val="000000"/>
          <w:kern w:val="28"/>
          <w:u w:val="none"/>
          <w:lang w:val="en-CA"/>
        </w:rPr>
        <w:t xml:space="preserve">mitted </w:t>
      </w:r>
      <w:r w:rsidR="00A932A2" w:rsidRPr="00D411B8">
        <w:rPr>
          <w:color w:val="000000"/>
          <w:kern w:val="28"/>
          <w:u w:val="none"/>
          <w:lang w:val="en-CA"/>
        </w:rPr>
        <w:t xml:space="preserve">that the court erred in striking </w:t>
      </w:r>
      <w:r w:rsidR="009B3534">
        <w:rPr>
          <w:color w:val="000000"/>
          <w:kern w:val="28"/>
          <w:u w:val="none"/>
          <w:lang w:val="en-CA"/>
        </w:rPr>
        <w:t xml:space="preserve">out </w:t>
      </w:r>
      <w:r w:rsidR="00A932A2" w:rsidRPr="00D411B8">
        <w:rPr>
          <w:color w:val="000000"/>
          <w:kern w:val="28"/>
          <w:u w:val="none"/>
          <w:lang w:val="en-CA"/>
        </w:rPr>
        <w:t xml:space="preserve">certain material </w:t>
      </w:r>
      <w:r w:rsidR="000A2F71">
        <w:rPr>
          <w:color w:val="000000"/>
          <w:kern w:val="28"/>
          <w:u w:val="none"/>
          <w:lang w:val="en-CA"/>
        </w:rPr>
        <w:t>based on</w:t>
      </w:r>
      <w:r w:rsidR="00A932A2" w:rsidRPr="00D411B8">
        <w:rPr>
          <w:color w:val="000000"/>
          <w:kern w:val="28"/>
          <w:u w:val="none"/>
          <w:lang w:val="en-CA"/>
        </w:rPr>
        <w:t xml:space="preserve"> privilege and irrelevance in circumstances </w:t>
      </w:r>
      <w:r w:rsidR="009B3534">
        <w:rPr>
          <w:color w:val="000000"/>
          <w:kern w:val="28"/>
          <w:u w:val="none"/>
          <w:lang w:val="en-CA"/>
        </w:rPr>
        <w:t xml:space="preserve">where </w:t>
      </w:r>
      <w:r w:rsidR="00A932A2" w:rsidRPr="00D411B8">
        <w:rPr>
          <w:color w:val="000000"/>
          <w:kern w:val="28"/>
          <w:u w:val="none"/>
          <w:lang w:val="en-CA"/>
        </w:rPr>
        <w:t>such material contained admissions unrelated to any pre-existing dispute between the parties</w:t>
      </w:r>
      <w:r w:rsidR="00A932A2">
        <w:rPr>
          <w:color w:val="000000"/>
          <w:kern w:val="28"/>
          <w:u w:val="none"/>
          <w:lang w:val="en-CA"/>
        </w:rPr>
        <w:t xml:space="preserve">. It was contended </w:t>
      </w:r>
      <w:r w:rsidR="00A932A2" w:rsidRPr="00D411B8">
        <w:rPr>
          <w:color w:val="000000"/>
          <w:kern w:val="28"/>
          <w:u w:val="none"/>
          <w:lang w:val="en-CA"/>
        </w:rPr>
        <w:t>that</w:t>
      </w:r>
      <w:r w:rsidR="00A3504E">
        <w:rPr>
          <w:color w:val="000000"/>
          <w:kern w:val="28"/>
          <w:u w:val="none"/>
          <w:lang w:val="en-CA"/>
        </w:rPr>
        <w:t xml:space="preserve"> privilege did not cover such admissions</w:t>
      </w:r>
      <w:r w:rsidR="00A932A2">
        <w:rPr>
          <w:color w:val="000000"/>
          <w:kern w:val="28"/>
          <w:u w:val="none"/>
          <w:lang w:val="en-CA"/>
        </w:rPr>
        <w:t xml:space="preserve">. </w:t>
      </w:r>
      <w:r w:rsidR="00A932A2" w:rsidRPr="00D411B8">
        <w:rPr>
          <w:color w:val="000000"/>
          <w:kern w:val="28"/>
          <w:u w:val="none"/>
          <w:lang w:val="en-CA"/>
        </w:rPr>
        <w:t>On the second ground</w:t>
      </w:r>
      <w:r w:rsidR="009B3534">
        <w:rPr>
          <w:color w:val="000000"/>
          <w:kern w:val="28"/>
          <w:u w:val="none"/>
          <w:lang w:val="en-CA"/>
        </w:rPr>
        <w:t>,</w:t>
      </w:r>
      <w:r w:rsidR="00A932A2" w:rsidRPr="00D411B8">
        <w:rPr>
          <w:color w:val="000000"/>
          <w:kern w:val="28"/>
          <w:u w:val="none"/>
          <w:lang w:val="en-CA"/>
        </w:rPr>
        <w:t xml:space="preserve"> it was </w:t>
      </w:r>
      <w:r w:rsidR="00A932A2" w:rsidRPr="00AD136F">
        <w:rPr>
          <w:color w:val="000000"/>
          <w:kern w:val="28"/>
          <w:u w:val="none"/>
          <w:lang w:val="en-CA"/>
        </w:rPr>
        <w:t xml:space="preserve">submitted that the court erred in granting a declaratory order that the applicant was not and has never been a member of the corporation in that the </w:t>
      </w:r>
      <w:r w:rsidR="00A932A2">
        <w:rPr>
          <w:color w:val="000000"/>
          <w:kern w:val="28"/>
          <w:u w:val="none"/>
          <w:lang w:val="en-CA"/>
        </w:rPr>
        <w:t>court</w:t>
      </w:r>
      <w:r w:rsidR="00A932A2" w:rsidRPr="00AD136F">
        <w:rPr>
          <w:color w:val="000000"/>
          <w:kern w:val="28"/>
          <w:u w:val="none"/>
          <w:lang w:val="en-CA"/>
        </w:rPr>
        <w:t xml:space="preserve"> did not p</w:t>
      </w:r>
      <w:r w:rsidR="009B3534">
        <w:rPr>
          <w:color w:val="000000"/>
          <w:kern w:val="28"/>
          <w:u w:val="none"/>
          <w:lang w:val="en-CA"/>
        </w:rPr>
        <w:t>lace</w:t>
      </w:r>
      <w:r w:rsidR="00A932A2" w:rsidRPr="00AD136F">
        <w:rPr>
          <w:color w:val="000000"/>
          <w:kern w:val="28"/>
          <w:u w:val="none"/>
          <w:lang w:val="en-CA"/>
        </w:rPr>
        <w:t xml:space="preserve"> sufficient weight on sections 14</w:t>
      </w:r>
      <w:r w:rsidR="00A932A2">
        <w:rPr>
          <w:color w:val="000000"/>
          <w:kern w:val="28"/>
          <w:u w:val="none"/>
          <w:lang w:val="en-CA"/>
        </w:rPr>
        <w:t>(1)</w:t>
      </w:r>
      <w:r w:rsidR="00A932A2" w:rsidRPr="00AD136F">
        <w:rPr>
          <w:color w:val="000000"/>
          <w:kern w:val="28"/>
          <w:u w:val="none"/>
          <w:lang w:val="en-CA"/>
        </w:rPr>
        <w:t xml:space="preserve"> and 14</w:t>
      </w:r>
      <w:r w:rsidR="00A932A2">
        <w:rPr>
          <w:color w:val="000000"/>
          <w:kern w:val="28"/>
          <w:u w:val="none"/>
          <w:lang w:val="en-CA"/>
        </w:rPr>
        <w:t>(2)</w:t>
      </w:r>
      <w:r w:rsidR="00A932A2" w:rsidRPr="00AD136F">
        <w:rPr>
          <w:color w:val="000000"/>
          <w:kern w:val="28"/>
          <w:u w:val="none"/>
          <w:lang w:val="en-CA"/>
        </w:rPr>
        <w:t xml:space="preserve"> of the </w:t>
      </w:r>
      <w:r w:rsidR="00A932A2">
        <w:rPr>
          <w:color w:val="000000"/>
          <w:kern w:val="28"/>
          <w:u w:val="none"/>
          <w:lang w:val="en-CA"/>
        </w:rPr>
        <w:t>C</w:t>
      </w:r>
      <w:r w:rsidR="00A932A2" w:rsidRPr="00AD136F">
        <w:rPr>
          <w:color w:val="000000"/>
          <w:kern w:val="28"/>
          <w:u w:val="none"/>
          <w:lang w:val="en-CA"/>
        </w:rPr>
        <w:t xml:space="preserve">lose </w:t>
      </w:r>
      <w:r w:rsidR="00A932A2">
        <w:rPr>
          <w:color w:val="000000"/>
          <w:kern w:val="28"/>
          <w:u w:val="none"/>
          <w:lang w:val="en-CA"/>
        </w:rPr>
        <w:t>C</w:t>
      </w:r>
      <w:r w:rsidR="00A932A2" w:rsidRPr="00AD136F">
        <w:rPr>
          <w:color w:val="000000"/>
          <w:kern w:val="28"/>
          <w:u w:val="none"/>
          <w:lang w:val="en-CA"/>
        </w:rPr>
        <w:t xml:space="preserve">orporation </w:t>
      </w:r>
      <w:r w:rsidR="00A932A2">
        <w:rPr>
          <w:color w:val="000000"/>
          <w:kern w:val="28"/>
          <w:u w:val="none"/>
          <w:lang w:val="en-CA"/>
        </w:rPr>
        <w:t>A</w:t>
      </w:r>
      <w:r w:rsidR="00A932A2" w:rsidRPr="00AD136F">
        <w:rPr>
          <w:color w:val="000000"/>
          <w:kern w:val="28"/>
          <w:u w:val="none"/>
          <w:lang w:val="en-CA"/>
        </w:rPr>
        <w:t>ct 69 of 1984</w:t>
      </w:r>
      <w:r w:rsidR="007E71D1">
        <w:rPr>
          <w:color w:val="000000"/>
          <w:kern w:val="28"/>
          <w:u w:val="none"/>
          <w:lang w:val="en-CA"/>
        </w:rPr>
        <w:t xml:space="preserve"> </w:t>
      </w:r>
      <w:r w:rsidR="00A932A2">
        <w:rPr>
          <w:color w:val="000000"/>
          <w:kern w:val="28"/>
          <w:u w:val="none"/>
          <w:lang w:val="en-CA"/>
        </w:rPr>
        <w:t>(the Act)</w:t>
      </w:r>
      <w:r w:rsidR="00A932A2" w:rsidRPr="00AD136F">
        <w:rPr>
          <w:color w:val="000000"/>
          <w:kern w:val="28"/>
          <w:u w:val="none"/>
          <w:lang w:val="en-CA"/>
        </w:rPr>
        <w:t xml:space="preserve"> re</w:t>
      </w:r>
      <w:r w:rsidR="00A932A2">
        <w:rPr>
          <w:color w:val="000000"/>
          <w:kern w:val="28"/>
          <w:u w:val="none"/>
          <w:lang w:val="en-CA"/>
        </w:rPr>
        <w:t>a</w:t>
      </w:r>
      <w:r w:rsidR="00A932A2" w:rsidRPr="00AD136F">
        <w:rPr>
          <w:color w:val="000000"/>
          <w:kern w:val="28"/>
          <w:u w:val="none"/>
          <w:lang w:val="en-CA"/>
        </w:rPr>
        <w:t xml:space="preserve">d with regulation </w:t>
      </w:r>
      <w:r w:rsidR="00A932A2">
        <w:rPr>
          <w:color w:val="000000"/>
          <w:kern w:val="28"/>
          <w:u w:val="none"/>
          <w:lang w:val="en-CA"/>
        </w:rPr>
        <w:t>2(5) of the A</w:t>
      </w:r>
      <w:r w:rsidR="00A932A2" w:rsidRPr="00AD136F">
        <w:rPr>
          <w:color w:val="000000"/>
          <w:kern w:val="28"/>
          <w:u w:val="none"/>
          <w:lang w:val="en-CA"/>
        </w:rPr>
        <w:t>dministrative</w:t>
      </w:r>
      <w:r w:rsidR="00A932A2">
        <w:rPr>
          <w:color w:val="000000"/>
          <w:kern w:val="28"/>
          <w:u w:val="none"/>
          <w:lang w:val="en-CA"/>
        </w:rPr>
        <w:t xml:space="preserve"> R</w:t>
      </w:r>
      <w:r w:rsidR="00A932A2" w:rsidRPr="00AD136F">
        <w:rPr>
          <w:color w:val="000000"/>
          <w:kern w:val="28"/>
          <w:u w:val="none"/>
          <w:lang w:val="en-CA"/>
        </w:rPr>
        <w:t xml:space="preserve">egulations published under GN </w:t>
      </w:r>
      <w:r w:rsidR="00A932A2">
        <w:rPr>
          <w:color w:val="000000"/>
          <w:kern w:val="28"/>
          <w:u w:val="none"/>
          <w:lang w:val="en-CA"/>
        </w:rPr>
        <w:t>R</w:t>
      </w:r>
      <w:r w:rsidR="00A932A2" w:rsidRPr="00AD136F">
        <w:rPr>
          <w:color w:val="000000"/>
          <w:kern w:val="28"/>
          <w:u w:val="none"/>
          <w:lang w:val="en-CA"/>
        </w:rPr>
        <w:t>2487</w:t>
      </w:r>
      <w:r w:rsidR="00A932A2">
        <w:rPr>
          <w:color w:val="000000"/>
          <w:kern w:val="28"/>
          <w:u w:val="none"/>
          <w:lang w:val="en-CA"/>
        </w:rPr>
        <w:t xml:space="preserve"> </w:t>
      </w:r>
      <w:r w:rsidR="00A932A2" w:rsidRPr="00AD136F">
        <w:rPr>
          <w:color w:val="000000"/>
          <w:kern w:val="28"/>
          <w:u w:val="none"/>
          <w:lang w:val="en-CA"/>
        </w:rPr>
        <w:t xml:space="preserve">in </w:t>
      </w:r>
      <w:r w:rsidR="00A932A2">
        <w:rPr>
          <w:color w:val="000000"/>
          <w:kern w:val="28"/>
          <w:u w:val="none"/>
          <w:lang w:val="en-CA"/>
        </w:rPr>
        <w:t>G</w:t>
      </w:r>
      <w:r w:rsidR="00A932A2" w:rsidRPr="00AD136F">
        <w:rPr>
          <w:color w:val="000000"/>
          <w:kern w:val="28"/>
          <w:u w:val="none"/>
          <w:lang w:val="en-CA"/>
        </w:rPr>
        <w:t>overnment Gazette 9503 o</w:t>
      </w:r>
      <w:r w:rsidR="00A932A2">
        <w:rPr>
          <w:color w:val="000000"/>
          <w:kern w:val="28"/>
          <w:u w:val="none"/>
          <w:lang w:val="en-CA"/>
        </w:rPr>
        <w:t>f</w:t>
      </w:r>
      <w:r w:rsidR="00A932A2" w:rsidRPr="00AD136F">
        <w:rPr>
          <w:color w:val="000000"/>
          <w:kern w:val="28"/>
          <w:u w:val="none"/>
          <w:lang w:val="en-CA"/>
        </w:rPr>
        <w:t xml:space="preserve"> 16 November 1984 which render the founding statement and the amended f</w:t>
      </w:r>
      <w:r w:rsidR="009B3534">
        <w:rPr>
          <w:color w:val="000000"/>
          <w:kern w:val="28"/>
          <w:u w:val="none"/>
          <w:lang w:val="en-CA"/>
        </w:rPr>
        <w:t>o</w:t>
      </w:r>
      <w:r w:rsidR="00A932A2" w:rsidRPr="00AD136F">
        <w:rPr>
          <w:color w:val="000000"/>
          <w:kern w:val="28"/>
          <w:u w:val="none"/>
          <w:lang w:val="en-CA"/>
        </w:rPr>
        <w:t xml:space="preserve">unding statement conclusive evidence </w:t>
      </w:r>
      <w:r w:rsidR="004947DC">
        <w:rPr>
          <w:color w:val="000000"/>
          <w:kern w:val="28"/>
          <w:u w:val="none"/>
          <w:lang w:val="en-CA"/>
        </w:rPr>
        <w:t xml:space="preserve">in respect of </w:t>
      </w:r>
      <w:r w:rsidR="00A932A2" w:rsidRPr="00AD136F">
        <w:rPr>
          <w:color w:val="000000"/>
          <w:kern w:val="28"/>
          <w:u w:val="none"/>
          <w:lang w:val="en-CA"/>
        </w:rPr>
        <w:t xml:space="preserve">all the requirements of the </w:t>
      </w:r>
      <w:r w:rsidR="004947DC">
        <w:rPr>
          <w:color w:val="000000"/>
          <w:kern w:val="28"/>
          <w:u w:val="none"/>
          <w:lang w:val="en-CA"/>
        </w:rPr>
        <w:t>A</w:t>
      </w:r>
      <w:r w:rsidR="00A932A2" w:rsidRPr="00AD136F">
        <w:rPr>
          <w:color w:val="000000"/>
          <w:kern w:val="28"/>
          <w:u w:val="none"/>
          <w:lang w:val="en-CA"/>
        </w:rPr>
        <w:t>ct in respect of registration of the corporation</w:t>
      </w:r>
      <w:r w:rsidR="004947DC">
        <w:rPr>
          <w:color w:val="000000"/>
          <w:kern w:val="28"/>
          <w:u w:val="none"/>
          <w:lang w:val="en-CA"/>
        </w:rPr>
        <w:t xml:space="preserve">. </w:t>
      </w:r>
      <w:r w:rsidR="005618FC">
        <w:rPr>
          <w:color w:val="000000"/>
          <w:kern w:val="28"/>
          <w:u w:val="none"/>
          <w:lang w:val="en-CA"/>
        </w:rPr>
        <w:t xml:space="preserve">This leg </w:t>
      </w:r>
      <w:r w:rsidR="00F436E1">
        <w:rPr>
          <w:color w:val="000000"/>
          <w:kern w:val="28"/>
          <w:u w:val="none"/>
          <w:lang w:val="en-CA"/>
        </w:rPr>
        <w:t>regarding</w:t>
      </w:r>
      <w:r w:rsidR="0086667D">
        <w:rPr>
          <w:color w:val="000000"/>
          <w:kern w:val="28"/>
          <w:u w:val="none"/>
          <w:lang w:val="en-CA"/>
        </w:rPr>
        <w:t xml:space="preserve"> </w:t>
      </w:r>
      <w:r w:rsidR="00B63220">
        <w:rPr>
          <w:color w:val="000000"/>
          <w:kern w:val="28"/>
          <w:u w:val="none"/>
          <w:lang w:val="en-CA"/>
        </w:rPr>
        <w:t>section 14</w:t>
      </w:r>
      <w:r w:rsidR="00142705">
        <w:rPr>
          <w:color w:val="000000"/>
          <w:kern w:val="28"/>
          <w:u w:val="none"/>
          <w:lang w:val="en-CA"/>
        </w:rPr>
        <w:t xml:space="preserve"> </w:t>
      </w:r>
      <w:r w:rsidR="005618FC">
        <w:rPr>
          <w:color w:val="000000"/>
          <w:kern w:val="28"/>
          <w:u w:val="none"/>
          <w:lang w:val="en-CA"/>
        </w:rPr>
        <w:t>was not pursued during counsel’s submissions</w:t>
      </w:r>
      <w:r w:rsidR="0086667D">
        <w:rPr>
          <w:color w:val="000000"/>
          <w:kern w:val="28"/>
          <w:u w:val="none"/>
          <w:lang w:val="en-CA"/>
        </w:rPr>
        <w:t>.</w:t>
      </w:r>
      <w:r w:rsidR="005618FC">
        <w:rPr>
          <w:color w:val="000000"/>
          <w:kern w:val="28"/>
          <w:u w:val="none"/>
          <w:lang w:val="en-CA"/>
        </w:rPr>
        <w:t xml:space="preserve"> </w:t>
      </w:r>
    </w:p>
    <w:p w14:paraId="3EE56F5B" w14:textId="65A73F23" w:rsidR="004B508D" w:rsidRDefault="007F5EC7" w:rsidP="000026A6">
      <w:pPr>
        <w:spacing w:after="480" w:line="360" w:lineRule="auto"/>
        <w:jc w:val="both"/>
        <w:rPr>
          <w:color w:val="000000"/>
          <w:kern w:val="28"/>
          <w:u w:val="none"/>
          <w:lang w:val="en-CA"/>
        </w:rPr>
      </w:pPr>
      <w:r>
        <w:rPr>
          <w:color w:val="000000"/>
          <w:kern w:val="28"/>
          <w:u w:val="none"/>
          <w:lang w:val="en-CA"/>
        </w:rPr>
        <w:t>[4]</w:t>
      </w:r>
      <w:r>
        <w:rPr>
          <w:color w:val="000000"/>
          <w:kern w:val="28"/>
          <w:u w:val="none"/>
          <w:lang w:val="en-CA"/>
        </w:rPr>
        <w:tab/>
      </w:r>
      <w:r w:rsidR="00142705">
        <w:rPr>
          <w:color w:val="000000"/>
          <w:kern w:val="28"/>
          <w:u w:val="none"/>
          <w:lang w:val="en-CA"/>
        </w:rPr>
        <w:t xml:space="preserve">Counsel </w:t>
      </w:r>
      <w:r>
        <w:rPr>
          <w:color w:val="000000"/>
          <w:kern w:val="28"/>
          <w:u w:val="none"/>
          <w:lang w:val="en-CA"/>
        </w:rPr>
        <w:t xml:space="preserve">submitted that </w:t>
      </w:r>
      <w:r w:rsidR="00595AE0">
        <w:rPr>
          <w:color w:val="000000"/>
          <w:kern w:val="28"/>
          <w:u w:val="none"/>
          <w:lang w:val="en-CA"/>
        </w:rPr>
        <w:t xml:space="preserve">once the founding statement </w:t>
      </w:r>
      <w:r w:rsidR="0073505B">
        <w:rPr>
          <w:color w:val="000000"/>
          <w:kern w:val="28"/>
          <w:u w:val="none"/>
          <w:lang w:val="en-CA"/>
        </w:rPr>
        <w:t>of the close corporation was presented</w:t>
      </w:r>
      <w:r w:rsidR="007E71D1">
        <w:rPr>
          <w:color w:val="000000"/>
          <w:kern w:val="28"/>
          <w:u w:val="none"/>
          <w:lang w:val="en-CA"/>
        </w:rPr>
        <w:t>,</w:t>
      </w:r>
      <w:r w:rsidR="0073505B">
        <w:rPr>
          <w:color w:val="000000"/>
          <w:kern w:val="28"/>
          <w:u w:val="none"/>
          <w:lang w:val="en-CA"/>
        </w:rPr>
        <w:t xml:space="preserve"> the members</w:t>
      </w:r>
      <w:r w:rsidR="00E5208E">
        <w:rPr>
          <w:color w:val="000000"/>
          <w:kern w:val="28"/>
          <w:u w:val="none"/>
          <w:lang w:val="en-CA"/>
        </w:rPr>
        <w:t>hip</w:t>
      </w:r>
      <w:r w:rsidR="0073505B">
        <w:rPr>
          <w:color w:val="000000"/>
          <w:kern w:val="28"/>
          <w:u w:val="none"/>
          <w:lang w:val="en-CA"/>
        </w:rPr>
        <w:t xml:space="preserve"> could not be challenged except </w:t>
      </w:r>
      <w:r w:rsidR="00FD7070">
        <w:rPr>
          <w:color w:val="000000"/>
          <w:kern w:val="28"/>
          <w:u w:val="none"/>
          <w:lang w:val="en-CA"/>
        </w:rPr>
        <w:lastRenderedPageBreak/>
        <w:t>through cessation of membership having regard to section 3</w:t>
      </w:r>
      <w:r w:rsidR="00E5208E">
        <w:rPr>
          <w:color w:val="000000"/>
          <w:kern w:val="28"/>
          <w:u w:val="none"/>
          <w:lang w:val="en-CA"/>
        </w:rPr>
        <w:t>6</w:t>
      </w:r>
      <w:r w:rsidR="00437650">
        <w:rPr>
          <w:color w:val="000000"/>
          <w:kern w:val="28"/>
          <w:u w:val="none"/>
          <w:lang w:val="en-CA"/>
        </w:rPr>
        <w:t xml:space="preserve"> of the Act</w:t>
      </w:r>
      <w:r w:rsidR="00837F77">
        <w:rPr>
          <w:color w:val="000000"/>
          <w:kern w:val="28"/>
          <w:u w:val="none"/>
          <w:lang w:val="en-CA"/>
        </w:rPr>
        <w:t xml:space="preserve">. </w:t>
      </w:r>
      <w:r w:rsidR="002B4E55">
        <w:rPr>
          <w:color w:val="000000"/>
          <w:kern w:val="28"/>
          <w:u w:val="none"/>
          <w:lang w:val="en-CA"/>
        </w:rPr>
        <w:t xml:space="preserve">He argued that this </w:t>
      </w:r>
      <w:r w:rsidR="00837F77">
        <w:rPr>
          <w:color w:val="000000"/>
          <w:kern w:val="28"/>
          <w:u w:val="none"/>
          <w:lang w:val="en-CA"/>
        </w:rPr>
        <w:t xml:space="preserve">aspect was considered </w:t>
      </w:r>
      <w:r w:rsidR="002D52F6">
        <w:rPr>
          <w:color w:val="000000"/>
          <w:kern w:val="28"/>
          <w:u w:val="none"/>
          <w:lang w:val="en-CA"/>
        </w:rPr>
        <w:t>in the main application</w:t>
      </w:r>
      <w:r w:rsidR="00437650">
        <w:rPr>
          <w:color w:val="000000"/>
          <w:kern w:val="28"/>
          <w:u w:val="none"/>
          <w:lang w:val="en-CA"/>
        </w:rPr>
        <w:t>,</w:t>
      </w:r>
      <w:r w:rsidR="002D52F6">
        <w:rPr>
          <w:color w:val="000000"/>
          <w:kern w:val="28"/>
          <w:u w:val="none"/>
          <w:lang w:val="en-CA"/>
        </w:rPr>
        <w:t xml:space="preserve"> </w:t>
      </w:r>
      <w:r w:rsidR="00837F77">
        <w:rPr>
          <w:color w:val="000000"/>
          <w:kern w:val="28"/>
          <w:u w:val="none"/>
          <w:lang w:val="en-CA"/>
        </w:rPr>
        <w:t xml:space="preserve">and no merit was found in this inquiry. </w:t>
      </w:r>
      <w:r w:rsidR="00437650">
        <w:rPr>
          <w:color w:val="000000"/>
          <w:kern w:val="28"/>
          <w:u w:val="none"/>
          <w:lang w:val="en-CA"/>
        </w:rPr>
        <w:t>He continued moreover, that t</w:t>
      </w:r>
      <w:r w:rsidR="00335A71">
        <w:rPr>
          <w:color w:val="000000"/>
          <w:kern w:val="28"/>
          <w:u w:val="none"/>
          <w:lang w:val="en-CA"/>
        </w:rPr>
        <w:t xml:space="preserve">he respondent has not demonstrated the grounds </w:t>
      </w:r>
      <w:r w:rsidR="00375D93">
        <w:rPr>
          <w:color w:val="000000"/>
          <w:kern w:val="28"/>
          <w:u w:val="none"/>
          <w:lang w:val="en-CA"/>
        </w:rPr>
        <w:t xml:space="preserve">on which </w:t>
      </w:r>
      <w:r w:rsidR="00335A71">
        <w:rPr>
          <w:color w:val="000000"/>
          <w:kern w:val="28"/>
          <w:u w:val="none"/>
          <w:lang w:val="en-CA"/>
        </w:rPr>
        <w:t>the applicant ceased to be a member</w:t>
      </w:r>
      <w:r w:rsidR="00375D93">
        <w:rPr>
          <w:color w:val="000000"/>
          <w:kern w:val="28"/>
          <w:u w:val="none"/>
          <w:lang w:val="en-CA"/>
        </w:rPr>
        <w:t xml:space="preserve"> </w:t>
      </w:r>
      <w:r w:rsidR="004D250F">
        <w:rPr>
          <w:color w:val="000000"/>
          <w:kern w:val="28"/>
          <w:u w:val="none"/>
          <w:lang w:val="en-CA"/>
        </w:rPr>
        <w:t xml:space="preserve">of Co-props CC </w:t>
      </w:r>
      <w:r w:rsidR="00375D93">
        <w:rPr>
          <w:color w:val="000000"/>
          <w:kern w:val="28"/>
          <w:u w:val="none"/>
          <w:lang w:val="en-CA"/>
        </w:rPr>
        <w:t>in terms of section 36</w:t>
      </w:r>
      <w:r w:rsidR="004D250F">
        <w:rPr>
          <w:color w:val="000000"/>
          <w:kern w:val="28"/>
          <w:u w:val="none"/>
          <w:lang w:val="en-CA"/>
        </w:rPr>
        <w:t xml:space="preserve"> of the Act</w:t>
      </w:r>
      <w:r w:rsidR="00335A71">
        <w:rPr>
          <w:color w:val="000000"/>
          <w:kern w:val="28"/>
          <w:u w:val="none"/>
          <w:lang w:val="en-CA"/>
        </w:rPr>
        <w:t xml:space="preserve">. </w:t>
      </w:r>
      <w:r w:rsidR="00033606">
        <w:rPr>
          <w:color w:val="000000"/>
          <w:kern w:val="28"/>
          <w:u w:val="none"/>
          <w:lang w:val="en-CA"/>
        </w:rPr>
        <w:t xml:space="preserve"> The</w:t>
      </w:r>
      <w:r w:rsidR="004D250F">
        <w:rPr>
          <w:color w:val="000000"/>
          <w:kern w:val="28"/>
          <w:u w:val="none"/>
          <w:lang w:val="en-CA"/>
        </w:rPr>
        <w:t xml:space="preserve"> respondents </w:t>
      </w:r>
      <w:r w:rsidR="00E725BF">
        <w:rPr>
          <w:color w:val="000000"/>
          <w:kern w:val="28"/>
          <w:u w:val="none"/>
          <w:lang w:val="en-CA"/>
        </w:rPr>
        <w:t xml:space="preserve">proceeded </w:t>
      </w:r>
      <w:r w:rsidR="004D250F">
        <w:rPr>
          <w:color w:val="000000"/>
          <w:kern w:val="28"/>
          <w:u w:val="none"/>
          <w:lang w:val="en-CA"/>
        </w:rPr>
        <w:t xml:space="preserve">with their application, he argued </w:t>
      </w:r>
      <w:r w:rsidR="00E86873">
        <w:rPr>
          <w:color w:val="000000"/>
          <w:kern w:val="28"/>
          <w:u w:val="none"/>
          <w:lang w:val="en-CA"/>
        </w:rPr>
        <w:t xml:space="preserve">in terms of </w:t>
      </w:r>
      <w:r w:rsidR="00E725BF">
        <w:rPr>
          <w:color w:val="000000"/>
          <w:kern w:val="28"/>
          <w:u w:val="none"/>
          <w:lang w:val="en-CA"/>
        </w:rPr>
        <w:t>section 24</w:t>
      </w:r>
      <w:r w:rsidR="004D250F">
        <w:rPr>
          <w:color w:val="000000"/>
          <w:kern w:val="28"/>
          <w:u w:val="none"/>
          <w:lang w:val="en-CA"/>
        </w:rPr>
        <w:t xml:space="preserve"> of the Act</w:t>
      </w:r>
      <w:r w:rsidR="00EF69C4">
        <w:rPr>
          <w:color w:val="000000"/>
          <w:kern w:val="28"/>
          <w:u w:val="none"/>
          <w:lang w:val="en-CA"/>
        </w:rPr>
        <w:t>,</w:t>
      </w:r>
      <w:r w:rsidR="004D250F">
        <w:rPr>
          <w:color w:val="000000"/>
          <w:kern w:val="28"/>
          <w:u w:val="none"/>
          <w:lang w:val="en-CA"/>
        </w:rPr>
        <w:t xml:space="preserve"> </w:t>
      </w:r>
      <w:r w:rsidR="005C040F">
        <w:rPr>
          <w:color w:val="000000"/>
          <w:kern w:val="28"/>
          <w:u w:val="none"/>
          <w:lang w:val="en-CA"/>
        </w:rPr>
        <w:t xml:space="preserve">which </w:t>
      </w:r>
      <w:r w:rsidR="00E725BF">
        <w:rPr>
          <w:color w:val="000000"/>
          <w:kern w:val="28"/>
          <w:u w:val="none"/>
          <w:lang w:val="en-CA"/>
        </w:rPr>
        <w:t>required a</w:t>
      </w:r>
      <w:r w:rsidR="00B62202">
        <w:rPr>
          <w:color w:val="000000"/>
          <w:kern w:val="28"/>
          <w:u w:val="none"/>
          <w:lang w:val="en-CA"/>
        </w:rPr>
        <w:t xml:space="preserve"> member's </w:t>
      </w:r>
      <w:r w:rsidR="00E725BF">
        <w:rPr>
          <w:color w:val="000000"/>
          <w:kern w:val="28"/>
          <w:u w:val="none"/>
          <w:lang w:val="en-CA"/>
        </w:rPr>
        <w:t xml:space="preserve">contribution. </w:t>
      </w:r>
      <w:r w:rsidR="0092679F">
        <w:rPr>
          <w:color w:val="000000"/>
          <w:kern w:val="28"/>
          <w:u w:val="none"/>
          <w:lang w:val="en-CA"/>
        </w:rPr>
        <w:t xml:space="preserve">Counsel </w:t>
      </w:r>
      <w:r w:rsidR="00D04607">
        <w:rPr>
          <w:color w:val="000000"/>
          <w:kern w:val="28"/>
          <w:u w:val="none"/>
          <w:lang w:val="en-CA"/>
        </w:rPr>
        <w:t>submitted that t</w:t>
      </w:r>
      <w:r w:rsidR="00F11F02">
        <w:rPr>
          <w:color w:val="000000"/>
          <w:kern w:val="28"/>
          <w:u w:val="none"/>
          <w:lang w:val="en-CA"/>
        </w:rPr>
        <w:t>he applicant had complied with the requirement</w:t>
      </w:r>
      <w:r w:rsidR="00F52B51">
        <w:rPr>
          <w:color w:val="000000"/>
          <w:kern w:val="28"/>
          <w:u w:val="none"/>
          <w:lang w:val="en-CA"/>
        </w:rPr>
        <w:t xml:space="preserve"> that the membership contribution be paid.</w:t>
      </w:r>
      <w:r w:rsidR="00BD4226">
        <w:rPr>
          <w:color w:val="000000"/>
          <w:kern w:val="28"/>
          <w:u w:val="none"/>
          <w:lang w:val="en-CA"/>
        </w:rPr>
        <w:t xml:space="preserve"> The factual inquiry </w:t>
      </w:r>
      <w:r w:rsidR="0074414D">
        <w:rPr>
          <w:color w:val="000000"/>
          <w:kern w:val="28"/>
          <w:u w:val="none"/>
          <w:lang w:val="en-CA"/>
        </w:rPr>
        <w:t xml:space="preserve">was neither here </w:t>
      </w:r>
      <w:r w:rsidR="00A86B00">
        <w:rPr>
          <w:color w:val="000000"/>
          <w:kern w:val="28"/>
          <w:u w:val="none"/>
          <w:lang w:val="en-CA"/>
        </w:rPr>
        <w:t xml:space="preserve">nor </w:t>
      </w:r>
      <w:r w:rsidR="0074414D">
        <w:rPr>
          <w:color w:val="000000"/>
          <w:kern w:val="28"/>
          <w:u w:val="none"/>
          <w:lang w:val="en-CA"/>
        </w:rPr>
        <w:t>there</w:t>
      </w:r>
      <w:r w:rsidR="00A975EF">
        <w:rPr>
          <w:color w:val="000000"/>
          <w:kern w:val="28"/>
          <w:u w:val="none"/>
          <w:lang w:val="en-CA"/>
        </w:rPr>
        <w:t xml:space="preserve">. </w:t>
      </w:r>
      <w:r w:rsidR="00841502">
        <w:rPr>
          <w:color w:val="000000"/>
          <w:kern w:val="28"/>
          <w:u w:val="none"/>
          <w:lang w:val="en-CA"/>
        </w:rPr>
        <w:t>It did not matter w</w:t>
      </w:r>
      <w:r w:rsidR="00A975EF">
        <w:rPr>
          <w:color w:val="000000"/>
          <w:kern w:val="28"/>
          <w:u w:val="none"/>
          <w:lang w:val="en-CA"/>
        </w:rPr>
        <w:t xml:space="preserve">hether the </w:t>
      </w:r>
      <w:r w:rsidR="00EF69C4">
        <w:rPr>
          <w:color w:val="000000"/>
          <w:kern w:val="28"/>
          <w:u w:val="none"/>
          <w:lang w:val="en-CA"/>
        </w:rPr>
        <w:t>member's</w:t>
      </w:r>
      <w:r w:rsidR="00841502">
        <w:rPr>
          <w:color w:val="000000"/>
          <w:kern w:val="28"/>
          <w:u w:val="none"/>
          <w:lang w:val="en-CA"/>
        </w:rPr>
        <w:t xml:space="preserve"> fee </w:t>
      </w:r>
      <w:r w:rsidR="00A975EF">
        <w:rPr>
          <w:color w:val="000000"/>
          <w:kern w:val="28"/>
          <w:u w:val="none"/>
          <w:lang w:val="en-CA"/>
        </w:rPr>
        <w:t>was paid by the applicant or paid on behalf of the applicant</w:t>
      </w:r>
      <w:r w:rsidR="00AA511D">
        <w:rPr>
          <w:color w:val="000000"/>
          <w:kern w:val="28"/>
          <w:u w:val="none"/>
          <w:lang w:val="en-CA"/>
        </w:rPr>
        <w:t>;</w:t>
      </w:r>
      <w:r w:rsidR="00841502">
        <w:rPr>
          <w:color w:val="000000"/>
          <w:kern w:val="28"/>
          <w:u w:val="none"/>
          <w:lang w:val="en-CA"/>
        </w:rPr>
        <w:t xml:space="preserve"> the fee was paid</w:t>
      </w:r>
      <w:r w:rsidR="00AA511D">
        <w:rPr>
          <w:color w:val="000000"/>
          <w:kern w:val="28"/>
          <w:u w:val="none"/>
          <w:lang w:val="en-CA"/>
        </w:rPr>
        <w:t>,</w:t>
      </w:r>
      <w:r w:rsidR="0044267D">
        <w:rPr>
          <w:color w:val="000000"/>
          <w:kern w:val="28"/>
          <w:u w:val="none"/>
          <w:lang w:val="en-CA"/>
        </w:rPr>
        <w:t xml:space="preserve"> and there was compliance </w:t>
      </w:r>
      <w:r w:rsidR="00CA5872">
        <w:rPr>
          <w:color w:val="000000"/>
          <w:kern w:val="28"/>
          <w:u w:val="none"/>
          <w:lang w:val="en-CA"/>
        </w:rPr>
        <w:t>with the</w:t>
      </w:r>
      <w:r w:rsidR="00A02825">
        <w:rPr>
          <w:color w:val="000000"/>
          <w:kern w:val="28"/>
          <w:u w:val="none"/>
          <w:lang w:val="en-CA"/>
        </w:rPr>
        <w:t xml:space="preserve"> </w:t>
      </w:r>
      <w:r w:rsidR="008F0B4C">
        <w:rPr>
          <w:color w:val="000000"/>
          <w:kern w:val="28"/>
          <w:u w:val="none"/>
          <w:lang w:val="en-CA"/>
        </w:rPr>
        <w:t>requirement</w:t>
      </w:r>
      <w:r w:rsidR="00CA5872">
        <w:rPr>
          <w:color w:val="000000"/>
          <w:kern w:val="28"/>
          <w:u w:val="none"/>
          <w:lang w:val="en-CA"/>
        </w:rPr>
        <w:t>.</w:t>
      </w:r>
      <w:r w:rsidR="005F769E">
        <w:rPr>
          <w:color w:val="000000"/>
          <w:kern w:val="28"/>
          <w:u w:val="none"/>
          <w:lang w:val="en-CA"/>
        </w:rPr>
        <w:t xml:space="preserve"> </w:t>
      </w:r>
      <w:r w:rsidR="008B3741">
        <w:rPr>
          <w:color w:val="000000"/>
          <w:kern w:val="28"/>
          <w:u w:val="none"/>
          <w:lang w:val="en-CA"/>
        </w:rPr>
        <w:t xml:space="preserve"> He also </w:t>
      </w:r>
      <w:r w:rsidR="00520466">
        <w:rPr>
          <w:color w:val="000000"/>
          <w:kern w:val="28"/>
          <w:u w:val="none"/>
          <w:lang w:val="en-CA"/>
        </w:rPr>
        <w:t xml:space="preserve">submitted that the Registrar of </w:t>
      </w:r>
      <w:r w:rsidR="000F1184">
        <w:rPr>
          <w:color w:val="000000"/>
          <w:kern w:val="28"/>
          <w:u w:val="none"/>
          <w:lang w:val="en-CA"/>
        </w:rPr>
        <w:t>Companies</w:t>
      </w:r>
      <w:r w:rsidR="00520466">
        <w:rPr>
          <w:color w:val="000000"/>
          <w:kern w:val="28"/>
          <w:u w:val="none"/>
          <w:lang w:val="en-CA"/>
        </w:rPr>
        <w:t xml:space="preserve"> </w:t>
      </w:r>
      <w:r w:rsidR="00AA511D">
        <w:rPr>
          <w:color w:val="000000"/>
          <w:kern w:val="28"/>
          <w:u w:val="none"/>
          <w:lang w:val="en-CA"/>
        </w:rPr>
        <w:t>had not been joined</w:t>
      </w:r>
      <w:r w:rsidR="00520466">
        <w:rPr>
          <w:color w:val="000000"/>
          <w:kern w:val="28"/>
          <w:u w:val="none"/>
          <w:lang w:val="en-CA"/>
        </w:rPr>
        <w:t xml:space="preserve"> the application</w:t>
      </w:r>
      <w:r w:rsidR="000F1184">
        <w:rPr>
          <w:color w:val="000000"/>
          <w:kern w:val="28"/>
          <w:u w:val="none"/>
          <w:lang w:val="en-CA"/>
        </w:rPr>
        <w:t xml:space="preserve">. The </w:t>
      </w:r>
      <w:r w:rsidR="00AA511D">
        <w:rPr>
          <w:color w:val="000000"/>
          <w:kern w:val="28"/>
          <w:u w:val="none"/>
          <w:lang w:val="en-CA"/>
        </w:rPr>
        <w:t>R</w:t>
      </w:r>
      <w:r w:rsidR="000F1184">
        <w:rPr>
          <w:color w:val="000000"/>
          <w:kern w:val="28"/>
          <w:u w:val="none"/>
          <w:lang w:val="en-CA"/>
        </w:rPr>
        <w:t xml:space="preserve">egistrar </w:t>
      </w:r>
      <w:r w:rsidR="00320BE4">
        <w:rPr>
          <w:color w:val="000000"/>
          <w:kern w:val="28"/>
          <w:u w:val="none"/>
          <w:lang w:val="en-CA"/>
        </w:rPr>
        <w:t xml:space="preserve">did not have an opportunity to comment on the </w:t>
      </w:r>
      <w:r w:rsidR="00A15475">
        <w:rPr>
          <w:color w:val="000000"/>
          <w:kern w:val="28"/>
          <w:u w:val="none"/>
          <w:lang w:val="en-CA"/>
        </w:rPr>
        <w:t xml:space="preserve">application or the authenticity of the membership forms. </w:t>
      </w:r>
      <w:r w:rsidR="008F0B4C">
        <w:rPr>
          <w:color w:val="000000"/>
          <w:kern w:val="28"/>
          <w:u w:val="none"/>
          <w:lang w:val="en-CA"/>
        </w:rPr>
        <w:t xml:space="preserve"> </w:t>
      </w:r>
      <w:r w:rsidR="00B37BB5">
        <w:rPr>
          <w:color w:val="000000"/>
          <w:kern w:val="28"/>
          <w:u w:val="none"/>
          <w:lang w:val="en-CA"/>
        </w:rPr>
        <w:t xml:space="preserve"> </w:t>
      </w:r>
      <w:r w:rsidR="00837F77">
        <w:rPr>
          <w:color w:val="000000"/>
          <w:kern w:val="28"/>
          <w:u w:val="none"/>
          <w:lang w:val="en-CA"/>
        </w:rPr>
        <w:t xml:space="preserve"> </w:t>
      </w:r>
    </w:p>
    <w:p w14:paraId="05316E61" w14:textId="155A1045" w:rsidR="004B508D" w:rsidRDefault="009A575B" w:rsidP="000026A6">
      <w:pPr>
        <w:spacing w:after="480" w:line="360" w:lineRule="auto"/>
        <w:jc w:val="both"/>
        <w:rPr>
          <w:color w:val="000000"/>
          <w:kern w:val="28"/>
          <w:u w:val="none"/>
          <w:lang w:val="en-CA"/>
        </w:rPr>
      </w:pPr>
      <w:r>
        <w:rPr>
          <w:color w:val="000000"/>
          <w:kern w:val="28"/>
          <w:u w:val="none"/>
          <w:lang w:val="en-CA"/>
        </w:rPr>
        <w:t>[5</w:t>
      </w:r>
      <w:r w:rsidR="00C22D2F">
        <w:rPr>
          <w:color w:val="000000"/>
          <w:kern w:val="28"/>
          <w:u w:val="none"/>
          <w:lang w:val="en-CA"/>
        </w:rPr>
        <w:t>]</w:t>
      </w:r>
      <w:r w:rsidR="00C22D2F">
        <w:rPr>
          <w:color w:val="000000"/>
          <w:kern w:val="28"/>
          <w:u w:val="none"/>
          <w:lang w:val="en-CA"/>
        </w:rPr>
        <w:tab/>
      </w:r>
      <w:r w:rsidR="00432C3D">
        <w:rPr>
          <w:color w:val="000000"/>
          <w:kern w:val="28"/>
          <w:u w:val="none"/>
          <w:lang w:val="en-CA"/>
        </w:rPr>
        <w:t>Furthermore, Counsel</w:t>
      </w:r>
      <w:r w:rsidR="0001327D" w:rsidRPr="0001327D">
        <w:rPr>
          <w:color w:val="000000"/>
          <w:kern w:val="28"/>
          <w:u w:val="none"/>
          <w:lang w:val="en-CA"/>
        </w:rPr>
        <w:t xml:space="preserve"> for the applicants submitted </w:t>
      </w:r>
      <w:r w:rsidR="00102731">
        <w:rPr>
          <w:color w:val="000000"/>
          <w:kern w:val="28"/>
          <w:u w:val="none"/>
          <w:lang w:val="en-CA"/>
        </w:rPr>
        <w:t>tha</w:t>
      </w:r>
      <w:r w:rsidR="0001327D" w:rsidRPr="0001327D">
        <w:rPr>
          <w:color w:val="000000"/>
          <w:kern w:val="28"/>
          <w:u w:val="none"/>
          <w:lang w:val="en-CA"/>
        </w:rPr>
        <w:t xml:space="preserve">t the </w:t>
      </w:r>
      <w:r w:rsidR="0001327D">
        <w:rPr>
          <w:color w:val="000000"/>
          <w:kern w:val="28"/>
          <w:u w:val="none"/>
          <w:lang w:val="en-CA"/>
        </w:rPr>
        <w:t xml:space="preserve">court </w:t>
      </w:r>
      <w:r w:rsidR="0001327D" w:rsidRPr="0001327D">
        <w:rPr>
          <w:color w:val="000000"/>
          <w:kern w:val="28"/>
          <w:u w:val="none"/>
          <w:lang w:val="en-CA"/>
        </w:rPr>
        <w:t>erred</w:t>
      </w:r>
      <w:r w:rsidR="0001327D">
        <w:rPr>
          <w:color w:val="000000"/>
          <w:kern w:val="28"/>
          <w:u w:val="none"/>
          <w:lang w:val="en-CA"/>
        </w:rPr>
        <w:t xml:space="preserve"> </w:t>
      </w:r>
      <w:r w:rsidR="0001327D" w:rsidRPr="0001327D">
        <w:rPr>
          <w:color w:val="000000"/>
          <w:kern w:val="28"/>
          <w:u w:val="none"/>
          <w:lang w:val="en-CA"/>
        </w:rPr>
        <w:t xml:space="preserve">in striking out the relevant passages as there was no pre-existing dispute regarding the </w:t>
      </w:r>
      <w:r w:rsidR="003144CF">
        <w:rPr>
          <w:color w:val="000000"/>
          <w:kern w:val="28"/>
          <w:u w:val="none"/>
          <w:lang w:val="en-CA"/>
        </w:rPr>
        <w:t>applicant's</w:t>
      </w:r>
      <w:r w:rsidR="0001327D" w:rsidRPr="0001327D">
        <w:rPr>
          <w:color w:val="000000"/>
          <w:kern w:val="28"/>
          <w:u w:val="none"/>
          <w:lang w:val="en-CA"/>
        </w:rPr>
        <w:t xml:space="preserve"> membership in the close corporation</w:t>
      </w:r>
      <w:r w:rsidR="0001327D">
        <w:rPr>
          <w:color w:val="000000"/>
          <w:kern w:val="28"/>
          <w:u w:val="none"/>
          <w:lang w:val="en-CA"/>
        </w:rPr>
        <w:t xml:space="preserve">. </w:t>
      </w:r>
      <w:r w:rsidR="00042E81">
        <w:rPr>
          <w:color w:val="000000"/>
          <w:kern w:val="28"/>
          <w:u w:val="none"/>
          <w:lang w:val="en-CA"/>
        </w:rPr>
        <w:t>T</w:t>
      </w:r>
      <w:r w:rsidR="003144CF">
        <w:rPr>
          <w:color w:val="000000"/>
          <w:kern w:val="28"/>
          <w:u w:val="none"/>
          <w:lang w:val="en-CA"/>
        </w:rPr>
        <w:t xml:space="preserve">he </w:t>
      </w:r>
      <w:r w:rsidR="0001327D" w:rsidRPr="0001327D">
        <w:rPr>
          <w:color w:val="000000"/>
          <w:kern w:val="28"/>
          <w:u w:val="none"/>
          <w:lang w:val="en-CA"/>
        </w:rPr>
        <w:t>only dispute between the parties relat</w:t>
      </w:r>
      <w:r w:rsidR="00432C3D">
        <w:rPr>
          <w:color w:val="000000"/>
          <w:kern w:val="28"/>
          <w:u w:val="none"/>
          <w:lang w:val="en-CA"/>
        </w:rPr>
        <w:t>ed</w:t>
      </w:r>
      <w:r w:rsidR="003144CF">
        <w:rPr>
          <w:color w:val="000000"/>
          <w:kern w:val="28"/>
          <w:u w:val="none"/>
          <w:lang w:val="en-CA"/>
        </w:rPr>
        <w:t xml:space="preserve"> </w:t>
      </w:r>
      <w:r w:rsidR="0001327D" w:rsidRPr="0001327D">
        <w:rPr>
          <w:color w:val="000000"/>
          <w:kern w:val="28"/>
          <w:u w:val="none"/>
          <w:lang w:val="en-CA"/>
        </w:rPr>
        <w:t>to the value placed on the applicant</w:t>
      </w:r>
      <w:r w:rsidR="00566002">
        <w:rPr>
          <w:color w:val="000000"/>
          <w:kern w:val="28"/>
          <w:u w:val="none"/>
          <w:lang w:val="en-CA"/>
        </w:rPr>
        <w:t>’</w:t>
      </w:r>
      <w:r w:rsidR="0001327D" w:rsidRPr="0001327D">
        <w:rPr>
          <w:color w:val="000000"/>
          <w:kern w:val="28"/>
          <w:u w:val="none"/>
          <w:lang w:val="en-CA"/>
        </w:rPr>
        <w:t xml:space="preserve">s membership </w:t>
      </w:r>
      <w:r w:rsidR="00591638">
        <w:rPr>
          <w:color w:val="000000"/>
          <w:kern w:val="28"/>
          <w:u w:val="none"/>
          <w:lang w:val="en-CA"/>
        </w:rPr>
        <w:t xml:space="preserve">as </w:t>
      </w:r>
      <w:r w:rsidR="0001327D" w:rsidRPr="0001327D">
        <w:rPr>
          <w:color w:val="000000"/>
          <w:kern w:val="28"/>
          <w:u w:val="none"/>
          <w:lang w:val="en-CA"/>
        </w:rPr>
        <w:t xml:space="preserve">was evident from the unconcluded settlement agreement </w:t>
      </w:r>
      <w:r w:rsidR="00566002">
        <w:rPr>
          <w:color w:val="000000"/>
          <w:kern w:val="28"/>
          <w:u w:val="none"/>
          <w:lang w:val="en-CA"/>
        </w:rPr>
        <w:t xml:space="preserve">from </w:t>
      </w:r>
      <w:r w:rsidR="0001327D" w:rsidRPr="0001327D">
        <w:rPr>
          <w:color w:val="000000"/>
          <w:kern w:val="28"/>
          <w:u w:val="none"/>
          <w:lang w:val="en-CA"/>
        </w:rPr>
        <w:t xml:space="preserve">the contents of the e-mail between the </w:t>
      </w:r>
      <w:r w:rsidR="00566002">
        <w:rPr>
          <w:color w:val="000000"/>
          <w:kern w:val="28"/>
          <w:u w:val="none"/>
          <w:lang w:val="en-CA"/>
        </w:rPr>
        <w:t>parties'</w:t>
      </w:r>
      <w:r w:rsidR="0001327D" w:rsidRPr="0001327D">
        <w:rPr>
          <w:color w:val="000000"/>
          <w:kern w:val="28"/>
          <w:u w:val="none"/>
          <w:lang w:val="en-CA"/>
        </w:rPr>
        <w:t xml:space="preserve"> respective attorneys o</w:t>
      </w:r>
      <w:r w:rsidR="00042E81">
        <w:rPr>
          <w:color w:val="000000"/>
          <w:kern w:val="28"/>
          <w:u w:val="none"/>
          <w:lang w:val="en-CA"/>
        </w:rPr>
        <w:t>n</w:t>
      </w:r>
      <w:r w:rsidR="0001327D" w:rsidRPr="0001327D">
        <w:rPr>
          <w:color w:val="000000"/>
          <w:kern w:val="28"/>
          <w:u w:val="none"/>
          <w:lang w:val="en-CA"/>
        </w:rPr>
        <w:t xml:space="preserve"> 27 September 2021</w:t>
      </w:r>
      <w:r w:rsidR="0001327D">
        <w:rPr>
          <w:color w:val="000000"/>
          <w:kern w:val="28"/>
          <w:u w:val="none"/>
          <w:lang w:val="en-CA"/>
        </w:rPr>
        <w:t xml:space="preserve">. </w:t>
      </w:r>
      <w:r w:rsidR="0001327D" w:rsidRPr="0001327D">
        <w:rPr>
          <w:color w:val="000000"/>
          <w:kern w:val="28"/>
          <w:u w:val="none"/>
          <w:lang w:val="en-CA"/>
        </w:rPr>
        <w:t>The correspondence conceded the applicant</w:t>
      </w:r>
      <w:r w:rsidR="00042E81">
        <w:rPr>
          <w:color w:val="000000"/>
          <w:kern w:val="28"/>
          <w:u w:val="none"/>
          <w:lang w:val="en-CA"/>
        </w:rPr>
        <w:t>’</w:t>
      </w:r>
      <w:r w:rsidR="0001327D" w:rsidRPr="0001327D">
        <w:rPr>
          <w:color w:val="000000"/>
          <w:kern w:val="28"/>
          <w:u w:val="none"/>
          <w:lang w:val="en-CA"/>
        </w:rPr>
        <w:t>s membership</w:t>
      </w:r>
      <w:r w:rsidR="000E1037">
        <w:rPr>
          <w:color w:val="000000"/>
          <w:kern w:val="28"/>
          <w:u w:val="none"/>
          <w:lang w:val="en-CA"/>
        </w:rPr>
        <w:t>,</w:t>
      </w:r>
      <w:r w:rsidR="0001327D" w:rsidRPr="0001327D">
        <w:rPr>
          <w:color w:val="000000"/>
          <w:kern w:val="28"/>
          <w:u w:val="none"/>
          <w:lang w:val="en-CA"/>
        </w:rPr>
        <w:t xml:space="preserve"> </w:t>
      </w:r>
      <w:r w:rsidR="00B13EE4">
        <w:rPr>
          <w:color w:val="000000"/>
          <w:kern w:val="28"/>
          <w:u w:val="none"/>
          <w:lang w:val="en-CA"/>
        </w:rPr>
        <w:t xml:space="preserve">and </w:t>
      </w:r>
      <w:r w:rsidR="00A80807">
        <w:rPr>
          <w:color w:val="000000"/>
          <w:kern w:val="28"/>
          <w:u w:val="none"/>
          <w:lang w:val="en-CA"/>
        </w:rPr>
        <w:t xml:space="preserve">only </w:t>
      </w:r>
      <w:r w:rsidR="0001327D" w:rsidRPr="0001327D">
        <w:rPr>
          <w:color w:val="000000"/>
          <w:kern w:val="28"/>
          <w:u w:val="none"/>
          <w:lang w:val="en-CA"/>
        </w:rPr>
        <w:t>the value was the subject of negotiations</w:t>
      </w:r>
      <w:r w:rsidR="00902F76">
        <w:rPr>
          <w:color w:val="000000"/>
          <w:kern w:val="28"/>
          <w:u w:val="none"/>
          <w:lang w:val="en-CA"/>
        </w:rPr>
        <w:t>. T</w:t>
      </w:r>
      <w:r w:rsidR="0001327D" w:rsidRPr="0001327D">
        <w:rPr>
          <w:color w:val="000000"/>
          <w:kern w:val="28"/>
          <w:u w:val="none"/>
          <w:lang w:val="en-CA"/>
        </w:rPr>
        <w:t xml:space="preserve">hus </w:t>
      </w:r>
      <w:r w:rsidR="00902F76">
        <w:rPr>
          <w:color w:val="000000"/>
          <w:kern w:val="28"/>
          <w:u w:val="none"/>
          <w:lang w:val="en-CA"/>
        </w:rPr>
        <w:t xml:space="preserve">it was submitted, that </w:t>
      </w:r>
      <w:r w:rsidR="0001327D" w:rsidRPr="0001327D">
        <w:rPr>
          <w:color w:val="000000"/>
          <w:kern w:val="28"/>
          <w:u w:val="none"/>
          <w:lang w:val="en-CA"/>
        </w:rPr>
        <w:t xml:space="preserve">the correspondence and the concession </w:t>
      </w:r>
      <w:r w:rsidR="000E1037">
        <w:rPr>
          <w:color w:val="000000"/>
          <w:kern w:val="28"/>
          <w:u w:val="none"/>
          <w:lang w:val="en-CA"/>
        </w:rPr>
        <w:t>were</w:t>
      </w:r>
      <w:r w:rsidR="00AF1488">
        <w:rPr>
          <w:color w:val="000000"/>
          <w:kern w:val="28"/>
          <w:u w:val="none"/>
          <w:lang w:val="en-CA"/>
        </w:rPr>
        <w:t xml:space="preserve"> </w:t>
      </w:r>
      <w:r w:rsidR="00591638">
        <w:rPr>
          <w:color w:val="000000"/>
          <w:kern w:val="28"/>
          <w:u w:val="none"/>
          <w:lang w:val="en-CA"/>
        </w:rPr>
        <w:t>directly relevant</w:t>
      </w:r>
      <w:r w:rsidR="0001327D" w:rsidRPr="0001327D">
        <w:rPr>
          <w:color w:val="000000"/>
          <w:kern w:val="28"/>
          <w:u w:val="none"/>
          <w:lang w:val="en-CA"/>
        </w:rPr>
        <w:t xml:space="preserve"> to the question before the court</w:t>
      </w:r>
      <w:r w:rsidR="0001327D">
        <w:rPr>
          <w:color w:val="000000"/>
          <w:kern w:val="28"/>
          <w:u w:val="none"/>
          <w:lang w:val="en-CA"/>
        </w:rPr>
        <w:t>.</w:t>
      </w:r>
    </w:p>
    <w:p w14:paraId="71C344F8" w14:textId="56265EC5" w:rsidR="00F80674" w:rsidRDefault="000026A6" w:rsidP="000026A6">
      <w:pPr>
        <w:spacing w:after="480" w:line="360" w:lineRule="auto"/>
        <w:jc w:val="both"/>
        <w:rPr>
          <w:color w:val="000000"/>
          <w:kern w:val="28"/>
          <w:u w:val="none"/>
        </w:rPr>
      </w:pPr>
      <w:r>
        <w:rPr>
          <w:color w:val="000000"/>
          <w:kern w:val="28"/>
          <w:u w:val="none"/>
        </w:rPr>
        <w:t>[</w:t>
      </w:r>
      <w:r w:rsidR="009A575B">
        <w:rPr>
          <w:color w:val="000000"/>
          <w:kern w:val="28"/>
          <w:u w:val="none"/>
        </w:rPr>
        <w:t>6</w:t>
      </w:r>
      <w:r>
        <w:rPr>
          <w:color w:val="000000"/>
          <w:kern w:val="28"/>
          <w:u w:val="none"/>
        </w:rPr>
        <w:t>]</w:t>
      </w:r>
      <w:r w:rsidRPr="00532589">
        <w:rPr>
          <w:color w:val="000000"/>
          <w:kern w:val="28"/>
          <w:u w:val="none"/>
        </w:rPr>
        <w:tab/>
      </w:r>
      <w:r w:rsidR="009D28F3">
        <w:rPr>
          <w:color w:val="000000"/>
          <w:kern w:val="28"/>
          <w:u w:val="none"/>
        </w:rPr>
        <w:t xml:space="preserve">In rebuttal, </w:t>
      </w:r>
      <w:r w:rsidR="00902F76">
        <w:rPr>
          <w:color w:val="000000"/>
          <w:kern w:val="28"/>
          <w:u w:val="none"/>
        </w:rPr>
        <w:t>c</w:t>
      </w:r>
      <w:r w:rsidR="00AD7809">
        <w:rPr>
          <w:color w:val="000000"/>
          <w:kern w:val="28"/>
          <w:u w:val="none"/>
        </w:rPr>
        <w:t xml:space="preserve">ounsel for the respondent argued </w:t>
      </w:r>
      <w:r w:rsidR="009D28F3">
        <w:rPr>
          <w:color w:val="000000"/>
          <w:kern w:val="28"/>
          <w:u w:val="none"/>
        </w:rPr>
        <w:t xml:space="preserve">that </w:t>
      </w:r>
      <w:r w:rsidR="00BC0088">
        <w:rPr>
          <w:color w:val="000000"/>
          <w:kern w:val="28"/>
          <w:u w:val="none"/>
        </w:rPr>
        <w:t xml:space="preserve">the </w:t>
      </w:r>
      <w:r w:rsidR="00E11228">
        <w:rPr>
          <w:color w:val="000000"/>
          <w:kern w:val="28"/>
          <w:u w:val="none"/>
        </w:rPr>
        <w:t xml:space="preserve">submission on behalf of the </w:t>
      </w:r>
      <w:r w:rsidR="00BC0088">
        <w:rPr>
          <w:color w:val="000000"/>
          <w:kern w:val="28"/>
          <w:u w:val="none"/>
        </w:rPr>
        <w:t xml:space="preserve">applicants </w:t>
      </w:r>
      <w:r w:rsidR="00C11138">
        <w:rPr>
          <w:color w:val="000000"/>
          <w:kern w:val="28"/>
          <w:u w:val="none"/>
        </w:rPr>
        <w:t>in respect of section 36 of the Act</w:t>
      </w:r>
      <w:r w:rsidR="008763D0">
        <w:rPr>
          <w:color w:val="000000"/>
          <w:kern w:val="28"/>
          <w:u w:val="none"/>
        </w:rPr>
        <w:t xml:space="preserve">, </w:t>
      </w:r>
      <w:r w:rsidR="00BC0088">
        <w:rPr>
          <w:color w:val="000000"/>
          <w:kern w:val="28"/>
          <w:u w:val="none"/>
        </w:rPr>
        <w:t>had</w:t>
      </w:r>
      <w:r w:rsidR="00DC419F">
        <w:rPr>
          <w:color w:val="000000"/>
          <w:kern w:val="28"/>
          <w:u w:val="none"/>
        </w:rPr>
        <w:t xml:space="preserve"> </w:t>
      </w:r>
      <w:r w:rsidR="003D4FD6">
        <w:rPr>
          <w:color w:val="000000"/>
          <w:kern w:val="28"/>
          <w:u w:val="none"/>
        </w:rPr>
        <w:t xml:space="preserve">not </w:t>
      </w:r>
      <w:r w:rsidR="00C11138">
        <w:rPr>
          <w:color w:val="000000"/>
          <w:kern w:val="28"/>
          <w:u w:val="none"/>
        </w:rPr>
        <w:t xml:space="preserve">been </w:t>
      </w:r>
      <w:r w:rsidR="003D4FD6">
        <w:rPr>
          <w:color w:val="000000"/>
          <w:kern w:val="28"/>
          <w:u w:val="none"/>
        </w:rPr>
        <w:t xml:space="preserve">argued based on the heads of arguments </w:t>
      </w:r>
      <w:r w:rsidR="00E11228">
        <w:rPr>
          <w:color w:val="000000"/>
          <w:kern w:val="28"/>
          <w:u w:val="none"/>
        </w:rPr>
        <w:t xml:space="preserve">and was </w:t>
      </w:r>
      <w:r w:rsidR="007C12FD">
        <w:rPr>
          <w:color w:val="000000"/>
          <w:kern w:val="28"/>
          <w:u w:val="none"/>
        </w:rPr>
        <w:t xml:space="preserve">not related to the grounds raised in </w:t>
      </w:r>
      <w:r w:rsidR="00DC419F">
        <w:rPr>
          <w:color w:val="000000"/>
          <w:kern w:val="28"/>
          <w:u w:val="none"/>
        </w:rPr>
        <w:t xml:space="preserve">the application for leave to appeal or the heads of </w:t>
      </w:r>
      <w:r w:rsidR="007C12FD">
        <w:rPr>
          <w:color w:val="000000"/>
          <w:kern w:val="28"/>
          <w:u w:val="none"/>
        </w:rPr>
        <w:t xml:space="preserve">argument. </w:t>
      </w:r>
      <w:r w:rsidR="006C7A34">
        <w:rPr>
          <w:color w:val="000000"/>
          <w:kern w:val="28"/>
          <w:u w:val="none"/>
        </w:rPr>
        <w:t xml:space="preserve">The submission made by counsel for the applicant relating to section 36 </w:t>
      </w:r>
      <w:r w:rsidR="00134793">
        <w:rPr>
          <w:color w:val="000000"/>
          <w:kern w:val="28"/>
          <w:u w:val="none"/>
        </w:rPr>
        <w:t xml:space="preserve">specifically </w:t>
      </w:r>
      <w:r w:rsidR="0047047D">
        <w:rPr>
          <w:color w:val="000000"/>
          <w:kern w:val="28"/>
          <w:u w:val="none"/>
        </w:rPr>
        <w:t xml:space="preserve">related to </w:t>
      </w:r>
      <w:r w:rsidR="00131444">
        <w:rPr>
          <w:color w:val="000000"/>
          <w:kern w:val="28"/>
          <w:u w:val="none"/>
        </w:rPr>
        <w:t>the cessation of member</w:t>
      </w:r>
      <w:r w:rsidR="00CF7F12">
        <w:rPr>
          <w:color w:val="000000"/>
          <w:kern w:val="28"/>
          <w:u w:val="none"/>
        </w:rPr>
        <w:t xml:space="preserve">ship on application to a court. </w:t>
      </w:r>
      <w:r w:rsidR="00134793">
        <w:rPr>
          <w:color w:val="000000"/>
          <w:kern w:val="28"/>
          <w:u w:val="none"/>
        </w:rPr>
        <w:t xml:space="preserve">This counsel argued was not raised as </w:t>
      </w:r>
      <w:r w:rsidR="008763D0">
        <w:rPr>
          <w:color w:val="000000"/>
          <w:kern w:val="28"/>
          <w:u w:val="none"/>
        </w:rPr>
        <w:t>grounds</w:t>
      </w:r>
      <w:r w:rsidR="00134793">
        <w:rPr>
          <w:color w:val="000000"/>
          <w:kern w:val="28"/>
          <w:u w:val="none"/>
        </w:rPr>
        <w:t xml:space="preserve"> </w:t>
      </w:r>
      <w:r w:rsidR="00B61B60">
        <w:rPr>
          <w:color w:val="000000"/>
          <w:kern w:val="28"/>
          <w:u w:val="none"/>
        </w:rPr>
        <w:t>for</w:t>
      </w:r>
      <w:r w:rsidR="00A4612D">
        <w:rPr>
          <w:color w:val="000000"/>
          <w:kern w:val="28"/>
          <w:u w:val="none"/>
        </w:rPr>
        <w:t xml:space="preserve"> a</w:t>
      </w:r>
      <w:r w:rsidR="00B61B60">
        <w:rPr>
          <w:color w:val="000000"/>
          <w:kern w:val="28"/>
          <w:u w:val="none"/>
        </w:rPr>
        <w:t>n</w:t>
      </w:r>
      <w:r w:rsidR="00A4612D">
        <w:rPr>
          <w:color w:val="000000"/>
          <w:kern w:val="28"/>
          <w:u w:val="none"/>
        </w:rPr>
        <w:t xml:space="preserve"> appeal and was not covered in the heads of argument. </w:t>
      </w:r>
      <w:r w:rsidR="00FB4CD7">
        <w:rPr>
          <w:color w:val="000000"/>
          <w:kern w:val="28"/>
          <w:u w:val="none"/>
        </w:rPr>
        <w:t>In any event, she submitted an application in terms of section 36</w:t>
      </w:r>
      <w:r w:rsidR="006747D0">
        <w:rPr>
          <w:color w:val="000000"/>
          <w:kern w:val="28"/>
          <w:u w:val="none"/>
        </w:rPr>
        <w:t xml:space="preserve"> of </w:t>
      </w:r>
      <w:r w:rsidR="006747D0">
        <w:rPr>
          <w:color w:val="000000"/>
          <w:kern w:val="28"/>
          <w:u w:val="none"/>
        </w:rPr>
        <w:lastRenderedPageBreak/>
        <w:t>the Act,</w:t>
      </w:r>
      <w:r w:rsidR="00FB4CD7">
        <w:rPr>
          <w:color w:val="000000"/>
          <w:kern w:val="28"/>
          <w:u w:val="none"/>
        </w:rPr>
        <w:t xml:space="preserve"> was not the relief the </w:t>
      </w:r>
      <w:r w:rsidR="001B5545">
        <w:rPr>
          <w:color w:val="000000"/>
          <w:kern w:val="28"/>
          <w:u w:val="none"/>
        </w:rPr>
        <w:t xml:space="preserve">respondents had </w:t>
      </w:r>
      <w:r w:rsidR="0086675F">
        <w:rPr>
          <w:color w:val="000000"/>
          <w:kern w:val="28"/>
          <w:u w:val="none"/>
        </w:rPr>
        <w:t>sought</w:t>
      </w:r>
      <w:r w:rsidR="00FB4CD7">
        <w:rPr>
          <w:color w:val="000000"/>
          <w:kern w:val="28"/>
          <w:u w:val="none"/>
        </w:rPr>
        <w:t xml:space="preserve"> in the application before the court</w:t>
      </w:r>
      <w:r w:rsidR="0086675F">
        <w:rPr>
          <w:color w:val="000000"/>
          <w:kern w:val="28"/>
          <w:u w:val="none"/>
        </w:rPr>
        <w:t xml:space="preserve">. The court </w:t>
      </w:r>
      <w:r w:rsidR="0080573D">
        <w:rPr>
          <w:color w:val="000000"/>
          <w:kern w:val="28"/>
          <w:u w:val="none"/>
        </w:rPr>
        <w:t>understood the application as</w:t>
      </w:r>
      <w:r w:rsidR="00B67E35">
        <w:rPr>
          <w:color w:val="000000"/>
          <w:kern w:val="28"/>
          <w:u w:val="none"/>
        </w:rPr>
        <w:t xml:space="preserve"> </w:t>
      </w:r>
      <w:r w:rsidR="008C25E3">
        <w:rPr>
          <w:color w:val="000000"/>
          <w:kern w:val="28"/>
          <w:u w:val="none"/>
        </w:rPr>
        <w:t xml:space="preserve">a declaratory order that </w:t>
      </w:r>
      <w:r w:rsidR="00B67E35">
        <w:rPr>
          <w:color w:val="000000"/>
          <w:kern w:val="28"/>
          <w:u w:val="none"/>
        </w:rPr>
        <w:t>the applicant</w:t>
      </w:r>
      <w:r w:rsidR="008C25E3">
        <w:rPr>
          <w:color w:val="000000"/>
          <w:kern w:val="28"/>
          <w:u w:val="none"/>
        </w:rPr>
        <w:t xml:space="preserve"> was never a member</w:t>
      </w:r>
      <w:r w:rsidR="00317940">
        <w:rPr>
          <w:color w:val="000000"/>
          <w:kern w:val="28"/>
          <w:u w:val="none"/>
        </w:rPr>
        <w:t>.</w:t>
      </w:r>
      <w:r w:rsidR="008C25E3">
        <w:rPr>
          <w:color w:val="000000"/>
          <w:kern w:val="28"/>
          <w:u w:val="none"/>
        </w:rPr>
        <w:t xml:space="preserve"> </w:t>
      </w:r>
      <w:r w:rsidR="00317940">
        <w:rPr>
          <w:color w:val="000000"/>
          <w:kern w:val="28"/>
          <w:u w:val="none"/>
        </w:rPr>
        <w:t>T</w:t>
      </w:r>
      <w:r w:rsidR="0075073B">
        <w:rPr>
          <w:color w:val="000000"/>
          <w:kern w:val="28"/>
          <w:u w:val="none"/>
        </w:rPr>
        <w:t xml:space="preserve">he </w:t>
      </w:r>
      <w:r w:rsidR="00317940">
        <w:rPr>
          <w:color w:val="000000"/>
          <w:kern w:val="28"/>
          <w:u w:val="none"/>
        </w:rPr>
        <w:t xml:space="preserve">relief </w:t>
      </w:r>
      <w:r w:rsidR="0075073B">
        <w:rPr>
          <w:color w:val="000000"/>
          <w:kern w:val="28"/>
          <w:u w:val="none"/>
        </w:rPr>
        <w:t xml:space="preserve">was granted based on the evidence </w:t>
      </w:r>
      <w:r w:rsidR="00317940">
        <w:rPr>
          <w:color w:val="000000"/>
          <w:kern w:val="28"/>
          <w:u w:val="none"/>
        </w:rPr>
        <w:t xml:space="preserve">that the applicant </w:t>
      </w:r>
      <w:r w:rsidR="00B67E35">
        <w:rPr>
          <w:color w:val="000000"/>
          <w:kern w:val="28"/>
          <w:u w:val="none"/>
        </w:rPr>
        <w:t xml:space="preserve">was not a member of the </w:t>
      </w:r>
      <w:r w:rsidR="00F80674">
        <w:rPr>
          <w:color w:val="000000"/>
          <w:kern w:val="28"/>
          <w:u w:val="none"/>
        </w:rPr>
        <w:t xml:space="preserve">close corporation. </w:t>
      </w:r>
    </w:p>
    <w:p w14:paraId="55590F64" w14:textId="7F6FC99E" w:rsidR="00914D04" w:rsidRDefault="00E909B1" w:rsidP="000026A6">
      <w:pPr>
        <w:spacing w:after="480" w:line="360" w:lineRule="auto"/>
        <w:jc w:val="both"/>
        <w:rPr>
          <w:color w:val="000000"/>
          <w:kern w:val="28"/>
          <w:u w:val="none"/>
        </w:rPr>
      </w:pPr>
      <w:r>
        <w:rPr>
          <w:color w:val="000000"/>
          <w:kern w:val="28"/>
          <w:u w:val="none"/>
        </w:rPr>
        <w:t>[</w:t>
      </w:r>
      <w:r w:rsidR="009A575B">
        <w:rPr>
          <w:color w:val="000000"/>
          <w:kern w:val="28"/>
          <w:u w:val="none"/>
        </w:rPr>
        <w:t>7</w:t>
      </w:r>
      <w:r>
        <w:rPr>
          <w:color w:val="000000"/>
          <w:kern w:val="28"/>
          <w:u w:val="none"/>
        </w:rPr>
        <w:t>]</w:t>
      </w:r>
      <w:r>
        <w:rPr>
          <w:color w:val="000000"/>
          <w:kern w:val="28"/>
          <w:u w:val="none"/>
        </w:rPr>
        <w:tab/>
      </w:r>
      <w:r w:rsidR="003B6A4F">
        <w:rPr>
          <w:color w:val="000000"/>
          <w:kern w:val="28"/>
          <w:u w:val="none"/>
        </w:rPr>
        <w:t xml:space="preserve">She continued </w:t>
      </w:r>
      <w:r w:rsidR="00094266">
        <w:rPr>
          <w:color w:val="000000"/>
          <w:kern w:val="28"/>
          <w:u w:val="none"/>
        </w:rPr>
        <w:t>to</w:t>
      </w:r>
      <w:r w:rsidR="00CB03F0">
        <w:rPr>
          <w:color w:val="000000"/>
          <w:kern w:val="28"/>
          <w:u w:val="none"/>
        </w:rPr>
        <w:t xml:space="preserve"> submit, </w:t>
      </w:r>
      <w:r w:rsidR="003B6A4F">
        <w:rPr>
          <w:color w:val="000000"/>
          <w:kern w:val="28"/>
          <w:u w:val="none"/>
        </w:rPr>
        <w:t>that counsel for the applicant</w:t>
      </w:r>
      <w:r w:rsidR="00CB03F0">
        <w:rPr>
          <w:color w:val="000000"/>
          <w:kern w:val="28"/>
          <w:u w:val="none"/>
        </w:rPr>
        <w:t>,</w:t>
      </w:r>
      <w:r w:rsidR="003B6A4F">
        <w:rPr>
          <w:color w:val="000000"/>
          <w:kern w:val="28"/>
          <w:u w:val="none"/>
        </w:rPr>
        <w:t xml:space="preserve"> </w:t>
      </w:r>
      <w:r w:rsidR="006078C7">
        <w:rPr>
          <w:color w:val="000000"/>
          <w:kern w:val="28"/>
          <w:u w:val="none"/>
        </w:rPr>
        <w:t>deal</w:t>
      </w:r>
      <w:r w:rsidR="00CB03F0">
        <w:rPr>
          <w:color w:val="000000"/>
          <w:kern w:val="28"/>
          <w:u w:val="none"/>
        </w:rPr>
        <w:t>t</w:t>
      </w:r>
      <w:r w:rsidR="006078C7">
        <w:rPr>
          <w:color w:val="000000"/>
          <w:kern w:val="28"/>
          <w:u w:val="none"/>
        </w:rPr>
        <w:t xml:space="preserve"> with section 14 of the </w:t>
      </w:r>
      <w:r w:rsidR="001B3DA0">
        <w:rPr>
          <w:color w:val="000000"/>
          <w:kern w:val="28"/>
          <w:u w:val="none"/>
        </w:rPr>
        <w:t>Close</w:t>
      </w:r>
      <w:r w:rsidR="006078C7">
        <w:rPr>
          <w:color w:val="000000"/>
          <w:kern w:val="28"/>
          <w:u w:val="none"/>
        </w:rPr>
        <w:t xml:space="preserve"> Corporations Act</w:t>
      </w:r>
      <w:r w:rsidR="00FF1B42">
        <w:rPr>
          <w:color w:val="000000"/>
          <w:kern w:val="28"/>
          <w:u w:val="none"/>
        </w:rPr>
        <w:t xml:space="preserve"> in their heads of argument,</w:t>
      </w:r>
      <w:r w:rsidR="006078C7">
        <w:rPr>
          <w:color w:val="000000"/>
          <w:kern w:val="28"/>
          <w:u w:val="none"/>
        </w:rPr>
        <w:t xml:space="preserve"> which referred to </w:t>
      </w:r>
      <w:r w:rsidR="001B3DA0">
        <w:rPr>
          <w:color w:val="000000"/>
          <w:kern w:val="28"/>
          <w:u w:val="none"/>
        </w:rPr>
        <w:t>a</w:t>
      </w:r>
      <w:r w:rsidR="006078C7">
        <w:rPr>
          <w:color w:val="000000"/>
          <w:kern w:val="28"/>
          <w:u w:val="none"/>
        </w:rPr>
        <w:t xml:space="preserve"> cert</w:t>
      </w:r>
      <w:r w:rsidR="001B3DA0">
        <w:rPr>
          <w:color w:val="000000"/>
          <w:kern w:val="28"/>
          <w:u w:val="none"/>
        </w:rPr>
        <w:t>ificate of incorporation and not a founding statement</w:t>
      </w:r>
      <w:r w:rsidR="00FF1B42">
        <w:rPr>
          <w:color w:val="000000"/>
          <w:kern w:val="28"/>
          <w:u w:val="none"/>
        </w:rPr>
        <w:t>.</w:t>
      </w:r>
      <w:r w:rsidR="000B4858">
        <w:rPr>
          <w:color w:val="000000"/>
          <w:kern w:val="28"/>
          <w:u w:val="none"/>
        </w:rPr>
        <w:t xml:space="preserve"> </w:t>
      </w:r>
      <w:r w:rsidR="00541198">
        <w:rPr>
          <w:color w:val="000000"/>
          <w:kern w:val="28"/>
          <w:u w:val="none"/>
        </w:rPr>
        <w:t xml:space="preserve"> Sectio</w:t>
      </w:r>
      <w:r w:rsidR="008238B1">
        <w:rPr>
          <w:color w:val="000000"/>
          <w:kern w:val="28"/>
          <w:u w:val="none"/>
        </w:rPr>
        <w:t>n</w:t>
      </w:r>
      <w:r w:rsidR="00541198">
        <w:rPr>
          <w:color w:val="000000"/>
          <w:kern w:val="28"/>
          <w:u w:val="none"/>
        </w:rPr>
        <w:t xml:space="preserve">s 12 </w:t>
      </w:r>
      <w:r w:rsidR="00377252">
        <w:rPr>
          <w:color w:val="000000"/>
          <w:kern w:val="28"/>
          <w:u w:val="none"/>
        </w:rPr>
        <w:t>and</w:t>
      </w:r>
      <w:r w:rsidR="00541198">
        <w:rPr>
          <w:color w:val="000000"/>
          <w:kern w:val="28"/>
          <w:u w:val="none"/>
        </w:rPr>
        <w:t xml:space="preserve"> 15 of the </w:t>
      </w:r>
      <w:r w:rsidR="008238B1">
        <w:rPr>
          <w:color w:val="000000"/>
          <w:kern w:val="28"/>
          <w:u w:val="none"/>
        </w:rPr>
        <w:t>Close</w:t>
      </w:r>
      <w:r w:rsidR="00541198">
        <w:rPr>
          <w:color w:val="000000"/>
          <w:kern w:val="28"/>
          <w:u w:val="none"/>
        </w:rPr>
        <w:t xml:space="preserve"> Corporation Act</w:t>
      </w:r>
      <w:r w:rsidR="00F06921">
        <w:rPr>
          <w:color w:val="000000"/>
          <w:kern w:val="28"/>
          <w:u w:val="none"/>
        </w:rPr>
        <w:t xml:space="preserve">, she </w:t>
      </w:r>
      <w:r w:rsidR="00D71555">
        <w:rPr>
          <w:color w:val="000000"/>
          <w:kern w:val="28"/>
          <w:u w:val="none"/>
        </w:rPr>
        <w:t xml:space="preserve">argued, </w:t>
      </w:r>
      <w:r w:rsidR="00541198">
        <w:rPr>
          <w:color w:val="000000"/>
          <w:kern w:val="28"/>
          <w:u w:val="none"/>
        </w:rPr>
        <w:t xml:space="preserve"> deal with the founding statement and </w:t>
      </w:r>
      <w:r w:rsidR="00085C48">
        <w:rPr>
          <w:color w:val="000000"/>
          <w:kern w:val="28"/>
          <w:u w:val="none"/>
        </w:rPr>
        <w:t>do</w:t>
      </w:r>
      <w:r w:rsidR="00377252">
        <w:rPr>
          <w:color w:val="000000"/>
          <w:kern w:val="28"/>
          <w:u w:val="none"/>
        </w:rPr>
        <w:t xml:space="preserve"> not state that the founding</w:t>
      </w:r>
      <w:r w:rsidR="00D71555">
        <w:rPr>
          <w:color w:val="000000"/>
          <w:kern w:val="28"/>
          <w:u w:val="none"/>
        </w:rPr>
        <w:t xml:space="preserve"> statement </w:t>
      </w:r>
      <w:r w:rsidR="00377252">
        <w:rPr>
          <w:color w:val="000000"/>
          <w:kern w:val="28"/>
          <w:u w:val="none"/>
        </w:rPr>
        <w:t>and amended founding statement are conclusive</w:t>
      </w:r>
      <w:r w:rsidR="00BF1457">
        <w:rPr>
          <w:color w:val="000000"/>
          <w:kern w:val="28"/>
          <w:u w:val="none"/>
        </w:rPr>
        <w:t xml:space="preserve"> documents</w:t>
      </w:r>
      <w:r w:rsidR="00085C48">
        <w:rPr>
          <w:color w:val="000000"/>
          <w:kern w:val="28"/>
          <w:u w:val="none"/>
        </w:rPr>
        <w:t xml:space="preserve">. </w:t>
      </w:r>
      <w:r w:rsidR="00BF1457">
        <w:rPr>
          <w:color w:val="000000"/>
          <w:kern w:val="28"/>
          <w:u w:val="none"/>
        </w:rPr>
        <w:t>In contrast</w:t>
      </w:r>
      <w:r w:rsidR="005E57EC">
        <w:rPr>
          <w:color w:val="000000"/>
          <w:kern w:val="28"/>
          <w:u w:val="none"/>
        </w:rPr>
        <w:t>,</w:t>
      </w:r>
      <w:r w:rsidR="00BF1457">
        <w:rPr>
          <w:color w:val="000000"/>
          <w:kern w:val="28"/>
          <w:u w:val="none"/>
        </w:rPr>
        <w:t xml:space="preserve"> the </w:t>
      </w:r>
      <w:r w:rsidR="00085C48">
        <w:rPr>
          <w:color w:val="000000"/>
          <w:kern w:val="28"/>
          <w:u w:val="none"/>
        </w:rPr>
        <w:t xml:space="preserve">Certificate of Incorporation </w:t>
      </w:r>
      <w:r w:rsidR="00964DE9">
        <w:rPr>
          <w:color w:val="000000"/>
          <w:kern w:val="28"/>
          <w:u w:val="none"/>
        </w:rPr>
        <w:t xml:space="preserve">which section 14 of the Act deals with </w:t>
      </w:r>
      <w:r w:rsidR="00085C48">
        <w:rPr>
          <w:color w:val="000000"/>
          <w:kern w:val="28"/>
          <w:u w:val="none"/>
        </w:rPr>
        <w:t xml:space="preserve">is </w:t>
      </w:r>
      <w:r w:rsidR="000602AD">
        <w:rPr>
          <w:color w:val="000000"/>
          <w:kern w:val="28"/>
          <w:u w:val="none"/>
        </w:rPr>
        <w:t xml:space="preserve">a </w:t>
      </w:r>
      <w:r w:rsidR="00085C48">
        <w:rPr>
          <w:color w:val="000000"/>
          <w:kern w:val="28"/>
          <w:u w:val="none"/>
        </w:rPr>
        <w:t>conclusive</w:t>
      </w:r>
      <w:r w:rsidR="00194CDE">
        <w:rPr>
          <w:color w:val="000000"/>
          <w:kern w:val="28"/>
          <w:u w:val="none"/>
        </w:rPr>
        <w:t xml:space="preserve"> </w:t>
      </w:r>
      <w:r w:rsidR="00C53854">
        <w:rPr>
          <w:color w:val="000000"/>
          <w:kern w:val="28"/>
          <w:u w:val="none"/>
        </w:rPr>
        <w:t xml:space="preserve">fact that the </w:t>
      </w:r>
      <w:r w:rsidR="00BF1457">
        <w:rPr>
          <w:color w:val="000000"/>
          <w:kern w:val="28"/>
          <w:u w:val="none"/>
        </w:rPr>
        <w:t>c</w:t>
      </w:r>
      <w:r w:rsidR="00C53854">
        <w:rPr>
          <w:color w:val="000000"/>
          <w:kern w:val="28"/>
          <w:u w:val="none"/>
        </w:rPr>
        <w:t>lose</w:t>
      </w:r>
      <w:r w:rsidR="000602AD">
        <w:rPr>
          <w:color w:val="000000"/>
          <w:kern w:val="28"/>
          <w:u w:val="none"/>
        </w:rPr>
        <w:t>d</w:t>
      </w:r>
      <w:r w:rsidR="00C53854">
        <w:rPr>
          <w:color w:val="000000"/>
          <w:kern w:val="28"/>
          <w:u w:val="none"/>
        </w:rPr>
        <w:t xml:space="preserve"> </w:t>
      </w:r>
      <w:r w:rsidR="00BF1457">
        <w:rPr>
          <w:color w:val="000000"/>
          <w:kern w:val="28"/>
          <w:u w:val="none"/>
        </w:rPr>
        <w:t>co</w:t>
      </w:r>
      <w:r w:rsidR="00C53854">
        <w:rPr>
          <w:color w:val="000000"/>
          <w:kern w:val="28"/>
          <w:u w:val="none"/>
        </w:rPr>
        <w:t>rporation is registered</w:t>
      </w:r>
      <w:r w:rsidR="00ED1173">
        <w:rPr>
          <w:color w:val="000000"/>
          <w:kern w:val="28"/>
          <w:u w:val="none"/>
        </w:rPr>
        <w:t xml:space="preserve">. It bears </w:t>
      </w:r>
      <w:r w:rsidR="00194CDE">
        <w:rPr>
          <w:color w:val="000000"/>
          <w:kern w:val="28"/>
          <w:u w:val="none"/>
        </w:rPr>
        <w:t>no reflection</w:t>
      </w:r>
      <w:r w:rsidR="00C53854">
        <w:rPr>
          <w:color w:val="000000"/>
          <w:kern w:val="28"/>
          <w:u w:val="none"/>
        </w:rPr>
        <w:t xml:space="preserve"> on the membership </w:t>
      </w:r>
      <w:r w:rsidR="00194CDE">
        <w:rPr>
          <w:color w:val="000000"/>
          <w:kern w:val="28"/>
          <w:u w:val="none"/>
        </w:rPr>
        <w:t>and the change in membership</w:t>
      </w:r>
      <w:r w:rsidR="000602AD">
        <w:rPr>
          <w:color w:val="000000"/>
          <w:kern w:val="28"/>
          <w:u w:val="none"/>
        </w:rPr>
        <w:t xml:space="preserve"> however</w:t>
      </w:r>
      <w:r w:rsidR="00194CDE">
        <w:rPr>
          <w:color w:val="000000"/>
          <w:kern w:val="28"/>
          <w:u w:val="none"/>
        </w:rPr>
        <w:t xml:space="preserve">. </w:t>
      </w:r>
      <w:r w:rsidR="00F857FA">
        <w:rPr>
          <w:color w:val="000000"/>
          <w:kern w:val="28"/>
          <w:u w:val="none"/>
        </w:rPr>
        <w:t>The content of the founding statement and an amended founding statement</w:t>
      </w:r>
      <w:r w:rsidR="00CD3DB7">
        <w:rPr>
          <w:color w:val="000000"/>
          <w:kern w:val="28"/>
          <w:u w:val="none"/>
        </w:rPr>
        <w:t xml:space="preserve"> do not bear the same level of certainty and </w:t>
      </w:r>
      <w:r w:rsidR="00F857FA">
        <w:rPr>
          <w:color w:val="000000"/>
          <w:kern w:val="28"/>
          <w:u w:val="none"/>
        </w:rPr>
        <w:t>are</w:t>
      </w:r>
      <w:r w:rsidR="009B6A7C">
        <w:rPr>
          <w:color w:val="000000"/>
          <w:kern w:val="28"/>
          <w:u w:val="none"/>
        </w:rPr>
        <w:t xml:space="preserve"> different</w:t>
      </w:r>
      <w:r w:rsidR="000936E0">
        <w:rPr>
          <w:color w:val="000000"/>
          <w:kern w:val="28"/>
          <w:u w:val="none"/>
        </w:rPr>
        <w:t>. Section</w:t>
      </w:r>
      <w:r w:rsidR="0075647E">
        <w:rPr>
          <w:color w:val="000000"/>
          <w:kern w:val="28"/>
          <w:u w:val="none"/>
        </w:rPr>
        <w:t xml:space="preserve"> 14</w:t>
      </w:r>
      <w:r w:rsidR="00CD3DB7">
        <w:rPr>
          <w:color w:val="000000"/>
          <w:kern w:val="28"/>
          <w:u w:val="none"/>
        </w:rPr>
        <w:t>,</w:t>
      </w:r>
      <w:r w:rsidR="0075647E">
        <w:rPr>
          <w:color w:val="000000"/>
          <w:kern w:val="28"/>
          <w:u w:val="none"/>
        </w:rPr>
        <w:t xml:space="preserve"> </w:t>
      </w:r>
      <w:r w:rsidR="000936E0">
        <w:rPr>
          <w:color w:val="000000"/>
          <w:kern w:val="28"/>
          <w:u w:val="none"/>
        </w:rPr>
        <w:t>which the applicant</w:t>
      </w:r>
      <w:r w:rsidR="0075647E">
        <w:rPr>
          <w:color w:val="000000"/>
          <w:kern w:val="28"/>
          <w:u w:val="none"/>
        </w:rPr>
        <w:t>’s ground of appeal is based on does not</w:t>
      </w:r>
      <w:r w:rsidR="00A66DAA">
        <w:rPr>
          <w:color w:val="000000"/>
          <w:kern w:val="28"/>
          <w:u w:val="none"/>
        </w:rPr>
        <w:t xml:space="preserve"> </w:t>
      </w:r>
      <w:r w:rsidR="0029153D">
        <w:rPr>
          <w:color w:val="000000"/>
          <w:kern w:val="28"/>
          <w:u w:val="none"/>
        </w:rPr>
        <w:t xml:space="preserve">provide conclusive evidence </w:t>
      </w:r>
      <w:r w:rsidR="00252759">
        <w:rPr>
          <w:color w:val="000000"/>
          <w:kern w:val="28"/>
          <w:u w:val="none"/>
        </w:rPr>
        <w:t>concerning</w:t>
      </w:r>
      <w:r w:rsidR="0029153D">
        <w:rPr>
          <w:color w:val="000000"/>
          <w:kern w:val="28"/>
          <w:u w:val="none"/>
        </w:rPr>
        <w:t xml:space="preserve"> membership of the close</w:t>
      </w:r>
      <w:r w:rsidR="00252759">
        <w:rPr>
          <w:color w:val="000000"/>
          <w:kern w:val="28"/>
          <w:u w:val="none"/>
        </w:rPr>
        <w:t>d</w:t>
      </w:r>
      <w:r w:rsidR="0029153D">
        <w:rPr>
          <w:color w:val="000000"/>
          <w:kern w:val="28"/>
          <w:u w:val="none"/>
        </w:rPr>
        <w:t xml:space="preserve"> corporation. </w:t>
      </w:r>
      <w:r w:rsidR="00B62132">
        <w:rPr>
          <w:color w:val="000000"/>
          <w:kern w:val="28"/>
          <w:u w:val="none"/>
        </w:rPr>
        <w:t>Moreover,</w:t>
      </w:r>
      <w:r w:rsidR="00D826F9">
        <w:rPr>
          <w:color w:val="000000"/>
          <w:kern w:val="28"/>
          <w:u w:val="none"/>
        </w:rPr>
        <w:t xml:space="preserve"> their reliance on section 36</w:t>
      </w:r>
      <w:r w:rsidR="00252759">
        <w:rPr>
          <w:color w:val="000000"/>
          <w:kern w:val="28"/>
          <w:u w:val="none"/>
        </w:rPr>
        <w:t>,</w:t>
      </w:r>
      <w:r w:rsidR="00D826F9">
        <w:rPr>
          <w:color w:val="000000"/>
          <w:kern w:val="28"/>
          <w:u w:val="none"/>
        </w:rPr>
        <w:t xml:space="preserve"> which was not raised as a ground </w:t>
      </w:r>
      <w:r w:rsidR="00252759">
        <w:rPr>
          <w:color w:val="000000"/>
          <w:kern w:val="28"/>
          <w:u w:val="none"/>
        </w:rPr>
        <w:t xml:space="preserve">of appeal </w:t>
      </w:r>
      <w:r w:rsidR="00D826F9">
        <w:rPr>
          <w:color w:val="000000"/>
          <w:kern w:val="28"/>
          <w:u w:val="none"/>
        </w:rPr>
        <w:t>in the application for leave to appeal</w:t>
      </w:r>
      <w:r w:rsidR="00252759">
        <w:rPr>
          <w:color w:val="000000"/>
          <w:kern w:val="28"/>
          <w:u w:val="none"/>
        </w:rPr>
        <w:t>,</w:t>
      </w:r>
      <w:r w:rsidR="00D826F9">
        <w:rPr>
          <w:color w:val="000000"/>
          <w:kern w:val="28"/>
          <w:u w:val="none"/>
        </w:rPr>
        <w:t xml:space="preserve"> is </w:t>
      </w:r>
      <w:r w:rsidR="00505783">
        <w:rPr>
          <w:color w:val="000000"/>
          <w:kern w:val="28"/>
          <w:u w:val="none"/>
        </w:rPr>
        <w:t xml:space="preserve">misplaced and based on incorrect legal </w:t>
      </w:r>
      <w:r w:rsidR="00D17914">
        <w:rPr>
          <w:color w:val="000000"/>
          <w:kern w:val="28"/>
          <w:u w:val="none"/>
        </w:rPr>
        <w:t>facts</w:t>
      </w:r>
      <w:r w:rsidR="00505783">
        <w:rPr>
          <w:color w:val="000000"/>
          <w:kern w:val="28"/>
          <w:u w:val="none"/>
        </w:rPr>
        <w:t xml:space="preserve">. </w:t>
      </w:r>
    </w:p>
    <w:p w14:paraId="60FEA7B7" w14:textId="691FCBB0" w:rsidR="00505783" w:rsidRDefault="00914D04" w:rsidP="000026A6">
      <w:pPr>
        <w:spacing w:after="480" w:line="360" w:lineRule="auto"/>
        <w:jc w:val="both"/>
        <w:rPr>
          <w:u w:val="none"/>
        </w:rPr>
      </w:pPr>
      <w:r>
        <w:rPr>
          <w:color w:val="000000"/>
          <w:kern w:val="28"/>
          <w:u w:val="none"/>
        </w:rPr>
        <w:t>[</w:t>
      </w:r>
      <w:r w:rsidR="009A575B">
        <w:rPr>
          <w:color w:val="000000"/>
          <w:kern w:val="28"/>
          <w:u w:val="none"/>
        </w:rPr>
        <w:t>8</w:t>
      </w:r>
      <w:r>
        <w:rPr>
          <w:color w:val="000000"/>
          <w:kern w:val="28"/>
          <w:u w:val="none"/>
        </w:rPr>
        <w:t>]</w:t>
      </w:r>
      <w:r>
        <w:rPr>
          <w:color w:val="000000"/>
          <w:kern w:val="28"/>
          <w:u w:val="none"/>
        </w:rPr>
        <w:tab/>
        <w:t xml:space="preserve">Having considered the submissions of both counsel, </w:t>
      </w:r>
      <w:r w:rsidR="008234C1">
        <w:rPr>
          <w:color w:val="000000"/>
          <w:kern w:val="28"/>
          <w:u w:val="none"/>
        </w:rPr>
        <w:t>the applicant must persuade the court</w:t>
      </w:r>
      <w:r w:rsidR="00210D54">
        <w:rPr>
          <w:color w:val="000000"/>
          <w:kern w:val="28"/>
          <w:u w:val="none"/>
        </w:rPr>
        <w:t xml:space="preserve"> </w:t>
      </w:r>
      <w:r w:rsidR="007E01F7">
        <w:rPr>
          <w:color w:val="000000"/>
          <w:kern w:val="28"/>
          <w:u w:val="none"/>
        </w:rPr>
        <w:t xml:space="preserve">that </w:t>
      </w:r>
      <w:r w:rsidR="00620BBD">
        <w:rPr>
          <w:color w:val="000000"/>
          <w:kern w:val="28"/>
          <w:u w:val="none"/>
        </w:rPr>
        <w:t xml:space="preserve">there are reasonable prospects that </w:t>
      </w:r>
      <w:r w:rsidR="007E01F7">
        <w:rPr>
          <w:color w:val="000000"/>
          <w:kern w:val="28"/>
          <w:u w:val="none"/>
        </w:rPr>
        <w:t>another court would</w:t>
      </w:r>
      <w:r w:rsidR="00620BBD">
        <w:rPr>
          <w:color w:val="000000"/>
          <w:kern w:val="28"/>
          <w:u w:val="none"/>
        </w:rPr>
        <w:t xml:space="preserve"> come to another decision</w:t>
      </w:r>
      <w:r w:rsidR="00210D54">
        <w:rPr>
          <w:color w:val="000000"/>
          <w:kern w:val="28"/>
          <w:u w:val="none"/>
        </w:rPr>
        <w:t xml:space="preserve">. I am mindful of the </w:t>
      </w:r>
      <w:r w:rsidR="00416988">
        <w:rPr>
          <w:color w:val="000000"/>
          <w:kern w:val="28"/>
          <w:u w:val="none"/>
        </w:rPr>
        <w:t xml:space="preserve">aspect to be considered </w:t>
      </w:r>
      <w:r w:rsidR="00E314EB">
        <w:rPr>
          <w:color w:val="000000"/>
          <w:kern w:val="28"/>
          <w:u w:val="none"/>
        </w:rPr>
        <w:t>whether there is a</w:t>
      </w:r>
      <w:r w:rsidR="00B56DC9" w:rsidRPr="00B56DC9">
        <w:rPr>
          <w:color w:val="000000"/>
          <w:kern w:val="28"/>
          <w:u w:val="none"/>
        </w:rPr>
        <w:t xml:space="preserve"> compelling question of law or a discreet issue of public importance </w:t>
      </w:r>
      <w:r w:rsidR="00437B90">
        <w:rPr>
          <w:color w:val="000000"/>
          <w:kern w:val="28"/>
          <w:u w:val="none"/>
        </w:rPr>
        <w:t xml:space="preserve">in the matter that </w:t>
      </w:r>
      <w:r w:rsidR="00B56DC9" w:rsidRPr="00B56DC9">
        <w:rPr>
          <w:color w:val="000000"/>
          <w:kern w:val="28"/>
          <w:u w:val="none"/>
        </w:rPr>
        <w:t>unequivocally demands attention and cannot be ignored.</w:t>
      </w:r>
      <w:r w:rsidR="00B56DC9" w:rsidRPr="00D71F6B">
        <w:rPr>
          <w:u w:val="none"/>
        </w:rPr>
        <w:t xml:space="preserve"> </w:t>
      </w:r>
      <w:r w:rsidR="00D71F6B" w:rsidRPr="00D71F6B">
        <w:rPr>
          <w:u w:val="none"/>
        </w:rPr>
        <w:t>This</w:t>
      </w:r>
      <w:r w:rsidR="00437B90">
        <w:rPr>
          <w:u w:val="none"/>
        </w:rPr>
        <w:t>,</w:t>
      </w:r>
      <w:r w:rsidR="00D71F6B" w:rsidRPr="00D71F6B">
        <w:rPr>
          <w:u w:val="none"/>
        </w:rPr>
        <w:t xml:space="preserve"> too</w:t>
      </w:r>
      <w:r w:rsidR="00C32F70">
        <w:rPr>
          <w:u w:val="none"/>
        </w:rPr>
        <w:t>,</w:t>
      </w:r>
      <w:r w:rsidR="00D71F6B" w:rsidRPr="00D71F6B">
        <w:rPr>
          <w:u w:val="none"/>
        </w:rPr>
        <w:t xml:space="preserve"> may afford the applicant an opportunity for leave to appeal. </w:t>
      </w:r>
    </w:p>
    <w:p w14:paraId="6502DF16" w14:textId="41AD52B5" w:rsidR="00D71F6B" w:rsidRDefault="00D71F6B" w:rsidP="000026A6">
      <w:pPr>
        <w:spacing w:after="480" w:line="360" w:lineRule="auto"/>
        <w:jc w:val="both"/>
        <w:rPr>
          <w:u w:val="none"/>
        </w:rPr>
      </w:pPr>
      <w:r>
        <w:rPr>
          <w:u w:val="none"/>
        </w:rPr>
        <w:t>[</w:t>
      </w:r>
      <w:r w:rsidR="009A575B">
        <w:rPr>
          <w:u w:val="none"/>
        </w:rPr>
        <w:t>9</w:t>
      </w:r>
      <w:r>
        <w:rPr>
          <w:u w:val="none"/>
        </w:rPr>
        <w:t>]</w:t>
      </w:r>
      <w:r>
        <w:rPr>
          <w:u w:val="none"/>
        </w:rPr>
        <w:tab/>
        <w:t>On the question of striking out</w:t>
      </w:r>
      <w:r w:rsidR="008B1F48">
        <w:rPr>
          <w:u w:val="none"/>
        </w:rPr>
        <w:t>,</w:t>
      </w:r>
      <w:r>
        <w:rPr>
          <w:u w:val="none"/>
        </w:rPr>
        <w:t xml:space="preserve"> the </w:t>
      </w:r>
      <w:r w:rsidR="00C63CBE">
        <w:rPr>
          <w:u w:val="none"/>
        </w:rPr>
        <w:t>applicant's</w:t>
      </w:r>
      <w:r w:rsidR="007B7170">
        <w:rPr>
          <w:u w:val="none"/>
        </w:rPr>
        <w:t xml:space="preserve"> own version conceded that there was </w:t>
      </w:r>
      <w:r w:rsidR="0044660A">
        <w:rPr>
          <w:u w:val="none"/>
        </w:rPr>
        <w:t xml:space="preserve">a </w:t>
      </w:r>
      <w:r w:rsidR="00BB7A28">
        <w:rPr>
          <w:u w:val="none"/>
        </w:rPr>
        <w:t>discussion between the attorneys</w:t>
      </w:r>
      <w:r w:rsidR="00FF593F">
        <w:rPr>
          <w:u w:val="none"/>
        </w:rPr>
        <w:t xml:space="preserve"> and negotiations</w:t>
      </w:r>
      <w:r w:rsidR="00526C48">
        <w:rPr>
          <w:u w:val="none"/>
        </w:rPr>
        <w:t xml:space="preserve"> </w:t>
      </w:r>
      <w:r w:rsidR="008B1F48">
        <w:rPr>
          <w:u w:val="none"/>
        </w:rPr>
        <w:t>about</w:t>
      </w:r>
      <w:r w:rsidR="00C63CBE">
        <w:rPr>
          <w:u w:val="none"/>
        </w:rPr>
        <w:t xml:space="preserve"> </w:t>
      </w:r>
      <w:r w:rsidR="002325A8">
        <w:rPr>
          <w:u w:val="none"/>
        </w:rPr>
        <w:t>an attempt to settle the matter</w:t>
      </w:r>
      <w:r w:rsidR="0070611F">
        <w:rPr>
          <w:u w:val="none"/>
        </w:rPr>
        <w:t xml:space="preserve">. </w:t>
      </w:r>
      <w:r w:rsidR="00A1623C">
        <w:rPr>
          <w:u w:val="none"/>
        </w:rPr>
        <w:t>Thus</w:t>
      </w:r>
      <w:r w:rsidR="008B1F48">
        <w:rPr>
          <w:u w:val="none"/>
        </w:rPr>
        <w:t>, introducing</w:t>
      </w:r>
      <w:r w:rsidR="00A1623C">
        <w:rPr>
          <w:u w:val="none"/>
        </w:rPr>
        <w:t xml:space="preserve"> </w:t>
      </w:r>
      <w:r w:rsidR="0070611F">
        <w:rPr>
          <w:u w:val="none"/>
        </w:rPr>
        <w:t xml:space="preserve">the </w:t>
      </w:r>
      <w:r w:rsidR="00214776">
        <w:rPr>
          <w:u w:val="none"/>
        </w:rPr>
        <w:t>communication</w:t>
      </w:r>
      <w:r w:rsidR="000D27BF">
        <w:rPr>
          <w:u w:val="none"/>
        </w:rPr>
        <w:t>s</w:t>
      </w:r>
      <w:r w:rsidR="00214776">
        <w:rPr>
          <w:u w:val="none"/>
        </w:rPr>
        <w:t xml:space="preserve"> relating to the settlement </w:t>
      </w:r>
      <w:r w:rsidR="005D48ED">
        <w:rPr>
          <w:u w:val="none"/>
        </w:rPr>
        <w:t xml:space="preserve">that were the subject of the negotiations </w:t>
      </w:r>
      <w:r w:rsidR="008F5108">
        <w:rPr>
          <w:u w:val="none"/>
        </w:rPr>
        <w:t xml:space="preserve">was prejudicial </w:t>
      </w:r>
      <w:r w:rsidR="00A46F12">
        <w:rPr>
          <w:u w:val="none"/>
        </w:rPr>
        <w:t xml:space="preserve">to the respondents. </w:t>
      </w:r>
      <w:r w:rsidR="006C7ADB">
        <w:rPr>
          <w:u w:val="none"/>
        </w:rPr>
        <w:t xml:space="preserve">Whilst the applicant </w:t>
      </w:r>
      <w:r w:rsidR="00091315">
        <w:rPr>
          <w:u w:val="none"/>
        </w:rPr>
        <w:t xml:space="preserve">submitted that </w:t>
      </w:r>
      <w:r w:rsidR="006C7ADB">
        <w:rPr>
          <w:u w:val="none"/>
        </w:rPr>
        <w:t xml:space="preserve">there was no question about </w:t>
      </w:r>
      <w:r w:rsidR="006C7ADB">
        <w:rPr>
          <w:u w:val="none"/>
        </w:rPr>
        <w:lastRenderedPageBreak/>
        <w:t xml:space="preserve">his membership, the </w:t>
      </w:r>
      <w:r w:rsidR="00AC0EC9">
        <w:rPr>
          <w:u w:val="none"/>
        </w:rPr>
        <w:t>enquiry and his own responses indicate that the questions</w:t>
      </w:r>
      <w:r w:rsidR="00CC3197">
        <w:rPr>
          <w:u w:val="none"/>
        </w:rPr>
        <w:t xml:space="preserve"> posed during the enquiry</w:t>
      </w:r>
      <w:r w:rsidR="00AC0EC9">
        <w:rPr>
          <w:u w:val="none"/>
        </w:rPr>
        <w:t xml:space="preserve"> raised </w:t>
      </w:r>
      <w:r w:rsidR="00C31E40">
        <w:rPr>
          <w:u w:val="none"/>
        </w:rPr>
        <w:t xml:space="preserve">questions </w:t>
      </w:r>
      <w:r w:rsidR="00AC0EC9">
        <w:rPr>
          <w:u w:val="none"/>
        </w:rPr>
        <w:t>about his role as a member</w:t>
      </w:r>
      <w:r w:rsidR="00C73232">
        <w:rPr>
          <w:u w:val="none"/>
        </w:rPr>
        <w:t>.</w:t>
      </w:r>
      <w:r w:rsidR="00C31E40">
        <w:rPr>
          <w:u w:val="none"/>
        </w:rPr>
        <w:t xml:space="preserve"> The negotiations may thus have been misconstrued as the respondents indicate</w:t>
      </w:r>
      <w:r w:rsidR="00A41031">
        <w:rPr>
          <w:u w:val="none"/>
        </w:rPr>
        <w:t>.</w:t>
      </w:r>
      <w:r w:rsidR="00C73232">
        <w:rPr>
          <w:u w:val="none"/>
        </w:rPr>
        <w:t xml:space="preserve"> In any event</w:t>
      </w:r>
      <w:r w:rsidR="00CA133B">
        <w:rPr>
          <w:u w:val="none"/>
        </w:rPr>
        <w:t>,</w:t>
      </w:r>
      <w:r w:rsidR="00C73232">
        <w:rPr>
          <w:u w:val="none"/>
        </w:rPr>
        <w:t xml:space="preserve"> the </w:t>
      </w:r>
      <w:r w:rsidR="00CA133B">
        <w:rPr>
          <w:u w:val="none"/>
        </w:rPr>
        <w:t xml:space="preserve">communications </w:t>
      </w:r>
      <w:r w:rsidR="00C73232">
        <w:rPr>
          <w:u w:val="none"/>
        </w:rPr>
        <w:t xml:space="preserve">relating to the negotiations </w:t>
      </w:r>
      <w:r w:rsidR="00363885">
        <w:rPr>
          <w:u w:val="none"/>
        </w:rPr>
        <w:t>are</w:t>
      </w:r>
      <w:r w:rsidR="00677011">
        <w:rPr>
          <w:u w:val="none"/>
        </w:rPr>
        <w:t xml:space="preserve"> inadmissible</w:t>
      </w:r>
      <w:r w:rsidR="00501F5C">
        <w:rPr>
          <w:u w:val="none"/>
        </w:rPr>
        <w:t xml:space="preserve"> being privileged from disclosure</w:t>
      </w:r>
      <w:r w:rsidR="00363885">
        <w:rPr>
          <w:u w:val="none"/>
        </w:rPr>
        <w:t>.</w:t>
      </w:r>
      <w:r w:rsidR="00501F5C">
        <w:rPr>
          <w:u w:val="none"/>
        </w:rPr>
        <w:t xml:space="preserve"> I</w:t>
      </w:r>
      <w:r w:rsidR="00EF4C5D">
        <w:rPr>
          <w:u w:val="none"/>
        </w:rPr>
        <w:t xml:space="preserve"> am not persuaded that another court would come to a different conclusion on this</w:t>
      </w:r>
      <w:r w:rsidR="00E16D42">
        <w:rPr>
          <w:u w:val="none"/>
        </w:rPr>
        <w:t xml:space="preserve"> issue.</w:t>
      </w:r>
    </w:p>
    <w:p w14:paraId="7DF635F9" w14:textId="56F6C429" w:rsidR="0083285D" w:rsidRDefault="00795995" w:rsidP="0083285D">
      <w:pPr>
        <w:spacing w:after="480" w:line="360" w:lineRule="auto"/>
        <w:jc w:val="both"/>
        <w:rPr>
          <w:u w:val="none"/>
        </w:rPr>
      </w:pPr>
      <w:r>
        <w:rPr>
          <w:u w:val="none"/>
        </w:rPr>
        <w:t>[</w:t>
      </w:r>
      <w:r w:rsidR="009A575B">
        <w:rPr>
          <w:u w:val="none"/>
        </w:rPr>
        <w:t>10</w:t>
      </w:r>
      <w:r>
        <w:rPr>
          <w:u w:val="none"/>
        </w:rPr>
        <w:t>]</w:t>
      </w:r>
      <w:r>
        <w:rPr>
          <w:u w:val="none"/>
        </w:rPr>
        <w:tab/>
      </w:r>
      <w:r w:rsidR="00B61B60">
        <w:rPr>
          <w:u w:val="none"/>
        </w:rPr>
        <w:t xml:space="preserve">The ground raised in </w:t>
      </w:r>
      <w:r w:rsidR="008579EB">
        <w:rPr>
          <w:u w:val="none"/>
        </w:rPr>
        <w:t xml:space="preserve">terms of section 14 </w:t>
      </w:r>
      <w:r w:rsidR="00A41031">
        <w:rPr>
          <w:u w:val="none"/>
        </w:rPr>
        <w:t xml:space="preserve">was </w:t>
      </w:r>
      <w:r w:rsidR="008579EB">
        <w:rPr>
          <w:u w:val="none"/>
        </w:rPr>
        <w:t xml:space="preserve">not addressed in </w:t>
      </w:r>
      <w:r w:rsidR="00575BF3">
        <w:rPr>
          <w:u w:val="none"/>
        </w:rPr>
        <w:t xml:space="preserve">his </w:t>
      </w:r>
      <w:r w:rsidR="008579EB">
        <w:rPr>
          <w:u w:val="none"/>
        </w:rPr>
        <w:t>submission</w:t>
      </w:r>
      <w:r w:rsidR="00575BF3">
        <w:rPr>
          <w:u w:val="none"/>
        </w:rPr>
        <w:t>s</w:t>
      </w:r>
      <w:r w:rsidR="008579EB">
        <w:rPr>
          <w:u w:val="none"/>
        </w:rPr>
        <w:t xml:space="preserve"> by counsel for the applicant </w:t>
      </w:r>
      <w:r w:rsidR="00575BF3">
        <w:rPr>
          <w:u w:val="none"/>
        </w:rPr>
        <w:t>however</w:t>
      </w:r>
      <w:r w:rsidR="008B29BC">
        <w:rPr>
          <w:u w:val="none"/>
        </w:rPr>
        <w:t>,</w:t>
      </w:r>
      <w:r w:rsidR="00575BF3">
        <w:rPr>
          <w:u w:val="none"/>
        </w:rPr>
        <w:t xml:space="preserve"> to the extent that counsel stands by his </w:t>
      </w:r>
      <w:r w:rsidR="00B61B60">
        <w:rPr>
          <w:u w:val="none"/>
        </w:rPr>
        <w:t xml:space="preserve">heads </w:t>
      </w:r>
      <w:r w:rsidR="00575BF3">
        <w:rPr>
          <w:u w:val="none"/>
        </w:rPr>
        <w:t>of argument</w:t>
      </w:r>
      <w:r w:rsidR="006E1BD2">
        <w:rPr>
          <w:u w:val="none"/>
        </w:rPr>
        <w:t xml:space="preserve">, section 14 </w:t>
      </w:r>
      <w:r w:rsidR="00BF10F0">
        <w:rPr>
          <w:u w:val="none"/>
        </w:rPr>
        <w:t>refers to the certificate of incorporation</w:t>
      </w:r>
      <w:r w:rsidR="006E1BD2">
        <w:rPr>
          <w:u w:val="none"/>
        </w:rPr>
        <w:t xml:space="preserve">. </w:t>
      </w:r>
      <w:r w:rsidR="008B29BC">
        <w:rPr>
          <w:u w:val="none"/>
        </w:rPr>
        <w:t>While the section refers to the founding statement, it provides</w:t>
      </w:r>
      <w:r w:rsidR="00792FB7">
        <w:rPr>
          <w:u w:val="none"/>
        </w:rPr>
        <w:t xml:space="preserve"> no </w:t>
      </w:r>
      <w:r w:rsidR="00AD56BE">
        <w:rPr>
          <w:u w:val="none"/>
        </w:rPr>
        <w:t xml:space="preserve">conclusive proof of membership. It </w:t>
      </w:r>
      <w:r w:rsidR="00024461">
        <w:rPr>
          <w:u w:val="none"/>
        </w:rPr>
        <w:t>provides conclusive proof of the</w:t>
      </w:r>
      <w:r w:rsidR="00FA2B10">
        <w:rPr>
          <w:u w:val="none"/>
        </w:rPr>
        <w:t xml:space="preserve"> </w:t>
      </w:r>
      <w:r w:rsidR="00024461">
        <w:rPr>
          <w:u w:val="none"/>
        </w:rPr>
        <w:t xml:space="preserve">registration of the </w:t>
      </w:r>
      <w:r w:rsidR="00AE7AB4">
        <w:rPr>
          <w:u w:val="none"/>
        </w:rPr>
        <w:t>closed</w:t>
      </w:r>
      <w:r w:rsidR="00024461">
        <w:rPr>
          <w:u w:val="none"/>
        </w:rPr>
        <w:t xml:space="preserve"> corpo</w:t>
      </w:r>
      <w:r w:rsidR="005055CE">
        <w:rPr>
          <w:u w:val="none"/>
        </w:rPr>
        <w:t>ration. The sections dealing with membership do not deal with any conclusive proof relating to me</w:t>
      </w:r>
      <w:r w:rsidR="004D720D">
        <w:rPr>
          <w:u w:val="none"/>
        </w:rPr>
        <w:t>mbership and in this present instance</w:t>
      </w:r>
      <w:r w:rsidR="00441F09">
        <w:rPr>
          <w:u w:val="none"/>
        </w:rPr>
        <w:t>,</w:t>
      </w:r>
      <w:r w:rsidR="004D720D">
        <w:rPr>
          <w:u w:val="none"/>
        </w:rPr>
        <w:t xml:space="preserve"> the amended membership of </w:t>
      </w:r>
      <w:r w:rsidR="00FA2B10">
        <w:rPr>
          <w:u w:val="none"/>
        </w:rPr>
        <w:t xml:space="preserve">Co-props CC, the close corporation </w:t>
      </w:r>
      <w:r w:rsidR="00D526DE">
        <w:rPr>
          <w:u w:val="none"/>
        </w:rPr>
        <w:t xml:space="preserve">was </w:t>
      </w:r>
      <w:r w:rsidR="00FA2B10">
        <w:rPr>
          <w:u w:val="none"/>
        </w:rPr>
        <w:t>in question.</w:t>
      </w:r>
      <w:r w:rsidR="00AE7AB4">
        <w:rPr>
          <w:u w:val="none"/>
        </w:rPr>
        <w:t xml:space="preserve"> I applicant has </w:t>
      </w:r>
      <w:r w:rsidR="00D526DE">
        <w:rPr>
          <w:u w:val="none"/>
        </w:rPr>
        <w:t xml:space="preserve">not </w:t>
      </w:r>
      <w:r w:rsidR="00AE7AB4">
        <w:rPr>
          <w:u w:val="none"/>
        </w:rPr>
        <w:t xml:space="preserve">met the higher threshold </w:t>
      </w:r>
      <w:r w:rsidR="00441F09">
        <w:rPr>
          <w:u w:val="none"/>
        </w:rPr>
        <w:t xml:space="preserve">for leave to appeal </w:t>
      </w:r>
      <w:r w:rsidR="00AE7AB4">
        <w:rPr>
          <w:u w:val="none"/>
        </w:rPr>
        <w:t>on t</w:t>
      </w:r>
      <w:r w:rsidR="006128A9">
        <w:rPr>
          <w:u w:val="none"/>
        </w:rPr>
        <w:t xml:space="preserve">his ground. </w:t>
      </w:r>
    </w:p>
    <w:p w14:paraId="260382C0" w14:textId="0B78FB0A" w:rsidR="006128A9" w:rsidRPr="00532589" w:rsidRDefault="006128A9" w:rsidP="0083285D">
      <w:pPr>
        <w:spacing w:after="480" w:line="360" w:lineRule="auto"/>
        <w:jc w:val="both"/>
        <w:rPr>
          <w:color w:val="000000"/>
          <w:kern w:val="28"/>
          <w:u w:val="none"/>
        </w:rPr>
      </w:pPr>
      <w:r>
        <w:rPr>
          <w:u w:val="none"/>
        </w:rPr>
        <w:t>[1</w:t>
      </w:r>
      <w:r w:rsidR="009A575B">
        <w:rPr>
          <w:u w:val="none"/>
        </w:rPr>
        <w:t>1</w:t>
      </w:r>
      <w:r>
        <w:rPr>
          <w:u w:val="none"/>
        </w:rPr>
        <w:t>]</w:t>
      </w:r>
      <w:r>
        <w:rPr>
          <w:u w:val="none"/>
        </w:rPr>
        <w:tab/>
        <w:t xml:space="preserve">The submission made in respect of section 36 was not a ground of appeal raised in the </w:t>
      </w:r>
      <w:r w:rsidR="008D72EA">
        <w:rPr>
          <w:u w:val="none"/>
        </w:rPr>
        <w:t xml:space="preserve">application for leave to appeal. I deal with </w:t>
      </w:r>
      <w:r w:rsidR="00BA1232">
        <w:rPr>
          <w:u w:val="none"/>
        </w:rPr>
        <w:t>this,</w:t>
      </w:r>
      <w:r w:rsidR="008D72EA">
        <w:rPr>
          <w:u w:val="none"/>
        </w:rPr>
        <w:t xml:space="preserve"> nonetheless</w:t>
      </w:r>
      <w:r w:rsidR="00BA1232">
        <w:rPr>
          <w:u w:val="none"/>
        </w:rPr>
        <w:t xml:space="preserve">. </w:t>
      </w:r>
      <w:r w:rsidR="00226744">
        <w:rPr>
          <w:u w:val="none"/>
        </w:rPr>
        <w:t>Section 36</w:t>
      </w:r>
      <w:r w:rsidR="00441F09">
        <w:rPr>
          <w:u w:val="none"/>
        </w:rPr>
        <w:t>,</w:t>
      </w:r>
      <w:r w:rsidR="00226744">
        <w:rPr>
          <w:u w:val="none"/>
        </w:rPr>
        <w:t xml:space="preserve"> as counsel for respondent </w:t>
      </w:r>
      <w:r w:rsidR="00441F09">
        <w:rPr>
          <w:u w:val="none"/>
        </w:rPr>
        <w:t>correctly</w:t>
      </w:r>
      <w:r w:rsidR="00226744">
        <w:rPr>
          <w:u w:val="none"/>
        </w:rPr>
        <w:t xml:space="preserve"> submitted deals with </w:t>
      </w:r>
      <w:r w:rsidR="005819BC">
        <w:rPr>
          <w:u w:val="none"/>
        </w:rPr>
        <w:t>a member of a closed corporation’s</w:t>
      </w:r>
      <w:r w:rsidR="00B5110D">
        <w:rPr>
          <w:u w:val="none"/>
        </w:rPr>
        <w:t xml:space="preserve"> </w:t>
      </w:r>
      <w:r w:rsidR="005819BC">
        <w:rPr>
          <w:u w:val="none"/>
        </w:rPr>
        <w:t xml:space="preserve">cessation of membership upon application </w:t>
      </w:r>
      <w:r w:rsidR="00513330">
        <w:rPr>
          <w:u w:val="none"/>
        </w:rPr>
        <w:t xml:space="preserve">by </w:t>
      </w:r>
      <w:r w:rsidR="00441F09">
        <w:rPr>
          <w:u w:val="none"/>
        </w:rPr>
        <w:t>court order</w:t>
      </w:r>
      <w:r w:rsidR="00513330">
        <w:rPr>
          <w:u w:val="none"/>
        </w:rPr>
        <w:t xml:space="preserve">. This would apply </w:t>
      </w:r>
      <w:r w:rsidR="00441F09">
        <w:rPr>
          <w:u w:val="none"/>
        </w:rPr>
        <w:t>when there is an application by a corporation member</w:t>
      </w:r>
      <w:r w:rsidR="00513330">
        <w:rPr>
          <w:u w:val="none"/>
        </w:rPr>
        <w:t xml:space="preserve">. The application that served before this court </w:t>
      </w:r>
      <w:r w:rsidR="006E39EE">
        <w:rPr>
          <w:u w:val="none"/>
        </w:rPr>
        <w:t xml:space="preserve">was </w:t>
      </w:r>
      <w:r w:rsidR="00513330">
        <w:rPr>
          <w:u w:val="none"/>
        </w:rPr>
        <w:t>not such an application for termination of membership</w:t>
      </w:r>
      <w:r w:rsidR="000E3F99">
        <w:rPr>
          <w:u w:val="none"/>
        </w:rPr>
        <w:t xml:space="preserve"> in terms of section 36. The application was for a declaratory order that the applicant was not a member of</w:t>
      </w:r>
      <w:r w:rsidR="00E4289D">
        <w:rPr>
          <w:u w:val="none"/>
        </w:rPr>
        <w:t xml:space="preserve"> and was never a </w:t>
      </w:r>
      <w:r w:rsidR="00DA7AF3">
        <w:rPr>
          <w:u w:val="none"/>
        </w:rPr>
        <w:t xml:space="preserve">member of </w:t>
      </w:r>
      <w:r w:rsidR="000E3F99">
        <w:rPr>
          <w:u w:val="none"/>
        </w:rPr>
        <w:t xml:space="preserve">the closed corporation </w:t>
      </w:r>
      <w:r w:rsidR="00DA7AF3">
        <w:rPr>
          <w:u w:val="none"/>
        </w:rPr>
        <w:t xml:space="preserve">Co-props CC. </w:t>
      </w:r>
    </w:p>
    <w:p w14:paraId="2E4EFBF0" w14:textId="78791B80" w:rsidR="000026A6" w:rsidRDefault="000026A6" w:rsidP="000026A6">
      <w:pPr>
        <w:spacing w:after="480" w:line="360" w:lineRule="auto"/>
        <w:jc w:val="both"/>
        <w:rPr>
          <w:color w:val="000000"/>
          <w:kern w:val="28"/>
          <w:u w:val="none"/>
        </w:rPr>
      </w:pPr>
      <w:r>
        <w:rPr>
          <w:color w:val="000000"/>
          <w:kern w:val="28"/>
          <w:u w:val="none"/>
        </w:rPr>
        <w:t>[1</w:t>
      </w:r>
      <w:r w:rsidR="009A575B">
        <w:rPr>
          <w:color w:val="000000"/>
          <w:kern w:val="28"/>
          <w:u w:val="none"/>
        </w:rPr>
        <w:t>2</w:t>
      </w:r>
      <w:r w:rsidRPr="00532589">
        <w:rPr>
          <w:color w:val="000000"/>
          <w:kern w:val="28"/>
          <w:u w:val="none"/>
        </w:rPr>
        <w:t>]</w:t>
      </w:r>
      <w:r w:rsidRPr="00532589">
        <w:rPr>
          <w:color w:val="000000"/>
          <w:kern w:val="28"/>
          <w:u w:val="none"/>
        </w:rPr>
        <w:tab/>
        <w:t>For the reasons above, I make the following order:</w:t>
      </w:r>
    </w:p>
    <w:p w14:paraId="7CE83123" w14:textId="77777777" w:rsidR="00B12B42" w:rsidRPr="00532589" w:rsidRDefault="00B12B42" w:rsidP="00B12B42">
      <w:pPr>
        <w:spacing w:after="480" w:line="360" w:lineRule="auto"/>
        <w:ind w:firstLine="720"/>
        <w:jc w:val="both"/>
        <w:rPr>
          <w:b/>
          <w:color w:val="000000"/>
          <w:kern w:val="28"/>
          <w:u w:val="none"/>
        </w:rPr>
      </w:pPr>
      <w:r w:rsidRPr="00532589">
        <w:rPr>
          <w:b/>
          <w:color w:val="000000"/>
          <w:kern w:val="28"/>
          <w:u w:val="none"/>
        </w:rPr>
        <w:t>ORDER</w:t>
      </w:r>
    </w:p>
    <w:p w14:paraId="7D9FF789" w14:textId="77777777" w:rsidR="00B12B42" w:rsidRDefault="00B12B42" w:rsidP="000026A6">
      <w:pPr>
        <w:spacing w:after="480" w:line="360" w:lineRule="auto"/>
        <w:jc w:val="both"/>
        <w:rPr>
          <w:color w:val="000000"/>
          <w:kern w:val="28"/>
          <w:u w:val="none"/>
        </w:rPr>
      </w:pPr>
    </w:p>
    <w:p w14:paraId="664C2DE4" w14:textId="3A7DF913" w:rsidR="0072603C" w:rsidRPr="00532589" w:rsidRDefault="0072603C" w:rsidP="000026A6">
      <w:pPr>
        <w:spacing w:after="480" w:line="360" w:lineRule="auto"/>
        <w:jc w:val="both"/>
        <w:rPr>
          <w:color w:val="000000"/>
          <w:kern w:val="28"/>
          <w:u w:val="none"/>
        </w:rPr>
      </w:pPr>
      <w:r>
        <w:rPr>
          <w:color w:val="000000"/>
          <w:kern w:val="28"/>
          <w:u w:val="none"/>
        </w:rPr>
        <w:lastRenderedPageBreak/>
        <w:tab/>
        <w:t>1. The application for leave to appeal is dismissed with costs.</w:t>
      </w:r>
    </w:p>
    <w:p w14:paraId="73504D8C" w14:textId="77777777" w:rsidR="000026A6" w:rsidRDefault="000026A6" w:rsidP="000026A6">
      <w:pPr>
        <w:spacing w:before="180" w:line="360" w:lineRule="auto"/>
        <w:ind w:left="720" w:hanging="720"/>
        <w:jc w:val="both"/>
        <w:rPr>
          <w:b/>
          <w:u w:val="none"/>
        </w:rPr>
      </w:pPr>
    </w:p>
    <w:p w14:paraId="6ABBEE5D" w14:textId="77777777" w:rsidR="000026A6" w:rsidRDefault="000026A6" w:rsidP="000026A6">
      <w:pPr>
        <w:spacing w:before="180" w:line="360" w:lineRule="auto"/>
        <w:ind w:left="720" w:hanging="720"/>
        <w:jc w:val="both"/>
        <w:rPr>
          <w:b/>
          <w:u w:val="none"/>
        </w:rPr>
      </w:pPr>
    </w:p>
    <w:p w14:paraId="46B46563" w14:textId="77777777" w:rsidR="000026A6" w:rsidRPr="0096135C" w:rsidRDefault="000026A6" w:rsidP="000026A6">
      <w:pPr>
        <w:tabs>
          <w:tab w:val="right" w:pos="0"/>
        </w:tabs>
        <w:spacing w:line="360" w:lineRule="auto"/>
        <w:jc w:val="both"/>
        <w:rPr>
          <w:u w:val="none"/>
          <w:lang w:val="en-ZA"/>
        </w:rPr>
      </w:pPr>
      <w:r>
        <w:rPr>
          <w:b/>
          <w:u w:val="none"/>
        </w:rPr>
        <w:tab/>
      </w:r>
      <w:r>
        <w:rPr>
          <w:b/>
          <w:u w:val="none"/>
        </w:rPr>
        <w:tab/>
      </w:r>
      <w:r w:rsidRPr="0096135C">
        <w:rPr>
          <w:b/>
          <w:u w:val="none"/>
          <w:lang w:val="en-ZA"/>
        </w:rPr>
        <w:t xml:space="preserve"> </w:t>
      </w:r>
      <w:r w:rsidRPr="0096135C">
        <w:rPr>
          <w:u w:val="none"/>
          <w:lang w:val="en-ZA"/>
        </w:rPr>
        <w:t>_________________________________________________</w:t>
      </w:r>
    </w:p>
    <w:p w14:paraId="11A26D9F" w14:textId="77777777" w:rsidR="000026A6" w:rsidRPr="0096135C" w:rsidRDefault="000026A6" w:rsidP="000026A6">
      <w:pPr>
        <w:tabs>
          <w:tab w:val="right" w:pos="0"/>
        </w:tabs>
        <w:jc w:val="both"/>
        <w:rPr>
          <w:b/>
          <w:u w:val="none"/>
          <w:lang w:val="en-ZA"/>
        </w:rPr>
      </w:pPr>
      <w:r w:rsidRPr="0096135C">
        <w:rPr>
          <w:u w:val="none"/>
          <w:lang w:val="en-ZA"/>
        </w:rPr>
        <w:tab/>
      </w:r>
      <w:r w:rsidRPr="0096135C">
        <w:rPr>
          <w:u w:val="none"/>
          <w:lang w:val="en-ZA"/>
        </w:rPr>
        <w:tab/>
      </w:r>
      <w:r w:rsidRPr="0096135C">
        <w:rPr>
          <w:u w:val="none"/>
          <w:lang w:val="en-ZA"/>
        </w:rPr>
        <w:tab/>
      </w:r>
      <w:r w:rsidRPr="0096135C">
        <w:rPr>
          <w:u w:val="none"/>
          <w:lang w:val="en-ZA"/>
        </w:rPr>
        <w:tab/>
      </w:r>
      <w:r w:rsidRPr="0096135C">
        <w:rPr>
          <w:u w:val="none"/>
          <w:lang w:val="en-ZA"/>
        </w:rPr>
        <w:tab/>
      </w:r>
      <w:r w:rsidRPr="0096135C">
        <w:rPr>
          <w:u w:val="none"/>
          <w:lang w:val="en-ZA"/>
        </w:rPr>
        <w:tab/>
        <w:t xml:space="preserve"> </w:t>
      </w:r>
      <w:r w:rsidRPr="0096135C">
        <w:rPr>
          <w:b/>
          <w:u w:val="none"/>
          <w:lang w:val="en-ZA"/>
        </w:rPr>
        <w:t>S C MIA</w:t>
      </w:r>
    </w:p>
    <w:p w14:paraId="1F541A65" w14:textId="77777777" w:rsidR="000026A6" w:rsidRPr="0096135C" w:rsidRDefault="000026A6" w:rsidP="000026A6">
      <w:pPr>
        <w:tabs>
          <w:tab w:val="right" w:pos="0"/>
        </w:tabs>
        <w:jc w:val="both"/>
        <w:rPr>
          <w:b/>
          <w:u w:val="none"/>
          <w:lang w:val="en-ZA"/>
        </w:rPr>
      </w:pPr>
      <w:r w:rsidRPr="0096135C">
        <w:rPr>
          <w:b/>
          <w:u w:val="none"/>
          <w:lang w:val="en-ZA"/>
        </w:rPr>
        <w:tab/>
      </w:r>
      <w:r w:rsidRPr="0096135C">
        <w:rPr>
          <w:b/>
          <w:u w:val="none"/>
          <w:lang w:val="en-ZA"/>
        </w:rPr>
        <w:tab/>
        <w:t xml:space="preserve">   </w:t>
      </w:r>
      <w:r>
        <w:rPr>
          <w:b/>
          <w:u w:val="none"/>
          <w:lang w:val="en-ZA"/>
        </w:rPr>
        <w:t xml:space="preserve">      </w:t>
      </w:r>
      <w:r w:rsidRPr="0096135C">
        <w:rPr>
          <w:b/>
          <w:u w:val="none"/>
          <w:lang w:val="en-ZA"/>
        </w:rPr>
        <w:t xml:space="preserve"> JUDGE OF THE HIGH COURT OF SOUTH AFRICA</w:t>
      </w:r>
    </w:p>
    <w:p w14:paraId="78855FEB" w14:textId="77777777" w:rsidR="000026A6" w:rsidRDefault="000026A6" w:rsidP="000026A6">
      <w:pPr>
        <w:tabs>
          <w:tab w:val="right" w:pos="0"/>
        </w:tabs>
        <w:jc w:val="both"/>
        <w:rPr>
          <w:b/>
          <w:u w:val="none"/>
          <w:lang w:val="en-ZA"/>
        </w:rPr>
      </w:pPr>
      <w:r w:rsidRPr="0096135C">
        <w:rPr>
          <w:b/>
          <w:u w:val="none"/>
          <w:lang w:val="en-ZA"/>
        </w:rPr>
        <w:tab/>
      </w:r>
      <w:r w:rsidRPr="0096135C">
        <w:rPr>
          <w:b/>
          <w:u w:val="none"/>
          <w:lang w:val="en-ZA"/>
        </w:rPr>
        <w:tab/>
        <w:t xml:space="preserve">             GAUTENG  </w:t>
      </w:r>
      <w:r>
        <w:rPr>
          <w:b/>
          <w:u w:val="none"/>
          <w:lang w:val="en-ZA"/>
        </w:rPr>
        <w:t xml:space="preserve">LOCAL </w:t>
      </w:r>
      <w:r w:rsidRPr="0096135C">
        <w:rPr>
          <w:b/>
          <w:u w:val="none"/>
          <w:lang w:val="en-ZA"/>
        </w:rPr>
        <w:t>DIVISION, JOHANNESBURG</w:t>
      </w:r>
    </w:p>
    <w:p w14:paraId="2FBDA24C" w14:textId="77777777" w:rsidR="000026A6" w:rsidRPr="0096135C" w:rsidRDefault="000026A6" w:rsidP="000026A6">
      <w:pPr>
        <w:tabs>
          <w:tab w:val="right" w:pos="0"/>
        </w:tabs>
        <w:jc w:val="both"/>
        <w:rPr>
          <w:b/>
          <w:u w:val="none"/>
          <w:lang w:val="en-ZA"/>
        </w:rPr>
      </w:pPr>
    </w:p>
    <w:p w14:paraId="1908150E" w14:textId="77777777" w:rsidR="000026A6" w:rsidRDefault="000026A6" w:rsidP="000026A6">
      <w:pPr>
        <w:tabs>
          <w:tab w:val="right" w:pos="0"/>
        </w:tabs>
        <w:jc w:val="both"/>
        <w:rPr>
          <w:b/>
          <w:u w:val="none"/>
          <w:lang w:val="en-ZA"/>
        </w:rPr>
      </w:pPr>
    </w:p>
    <w:p w14:paraId="661C6C96" w14:textId="77777777" w:rsidR="000026A6" w:rsidRDefault="000026A6" w:rsidP="000026A6">
      <w:pPr>
        <w:tabs>
          <w:tab w:val="right" w:pos="0"/>
        </w:tabs>
        <w:jc w:val="both"/>
        <w:rPr>
          <w:b/>
          <w:u w:val="none"/>
          <w:lang w:val="en-ZA"/>
        </w:rPr>
      </w:pPr>
    </w:p>
    <w:p w14:paraId="6B7EA0AA" w14:textId="77777777" w:rsidR="000026A6" w:rsidRDefault="000026A6" w:rsidP="000026A6">
      <w:pPr>
        <w:tabs>
          <w:tab w:val="right" w:pos="0"/>
        </w:tabs>
        <w:jc w:val="both"/>
        <w:rPr>
          <w:b/>
          <w:u w:val="none"/>
          <w:lang w:val="en-ZA"/>
        </w:rPr>
      </w:pPr>
    </w:p>
    <w:p w14:paraId="73E6825B" w14:textId="77777777" w:rsidR="000026A6" w:rsidRDefault="000026A6" w:rsidP="000026A6">
      <w:pPr>
        <w:tabs>
          <w:tab w:val="right" w:pos="0"/>
        </w:tabs>
        <w:jc w:val="both"/>
        <w:rPr>
          <w:b/>
          <w:u w:val="none"/>
          <w:lang w:val="en-ZA"/>
        </w:rPr>
      </w:pPr>
    </w:p>
    <w:p w14:paraId="6D23CCC6" w14:textId="77777777" w:rsidR="000026A6" w:rsidRDefault="000026A6" w:rsidP="000026A6">
      <w:pPr>
        <w:tabs>
          <w:tab w:val="right" w:pos="0"/>
        </w:tabs>
        <w:jc w:val="both"/>
        <w:rPr>
          <w:b/>
          <w:u w:val="none"/>
          <w:lang w:val="en-ZA"/>
        </w:rPr>
      </w:pPr>
    </w:p>
    <w:p w14:paraId="1173C18B" w14:textId="77777777" w:rsidR="000026A6" w:rsidRDefault="000026A6" w:rsidP="000026A6">
      <w:pPr>
        <w:tabs>
          <w:tab w:val="right" w:pos="0"/>
        </w:tabs>
        <w:jc w:val="both"/>
        <w:rPr>
          <w:b/>
          <w:u w:val="none"/>
          <w:lang w:val="en-ZA"/>
        </w:rPr>
      </w:pPr>
    </w:p>
    <w:p w14:paraId="20D49D7B" w14:textId="77777777" w:rsidR="000026A6" w:rsidRDefault="000026A6" w:rsidP="000026A6">
      <w:pPr>
        <w:tabs>
          <w:tab w:val="right" w:pos="0"/>
        </w:tabs>
        <w:jc w:val="both"/>
        <w:rPr>
          <w:b/>
          <w:u w:val="none"/>
          <w:lang w:val="en-ZA"/>
        </w:rPr>
      </w:pPr>
    </w:p>
    <w:p w14:paraId="17AA4310" w14:textId="77777777" w:rsidR="000026A6" w:rsidRDefault="000026A6" w:rsidP="000026A6">
      <w:pPr>
        <w:tabs>
          <w:tab w:val="right" w:pos="0"/>
        </w:tabs>
        <w:jc w:val="both"/>
        <w:rPr>
          <w:b/>
          <w:u w:val="none"/>
          <w:lang w:val="en-ZA"/>
        </w:rPr>
      </w:pPr>
    </w:p>
    <w:p w14:paraId="79DB8C4F" w14:textId="77777777" w:rsidR="000026A6" w:rsidRDefault="000026A6" w:rsidP="000026A6">
      <w:pPr>
        <w:tabs>
          <w:tab w:val="right" w:pos="0"/>
        </w:tabs>
        <w:jc w:val="both"/>
        <w:rPr>
          <w:b/>
          <w:u w:val="none"/>
          <w:lang w:val="en-ZA"/>
        </w:rPr>
      </w:pPr>
      <w:r>
        <w:rPr>
          <w:b/>
          <w:u w:val="none"/>
          <w:lang w:val="en-ZA"/>
        </w:rPr>
        <w:t>Appearances:</w:t>
      </w:r>
    </w:p>
    <w:p w14:paraId="76A2A82F" w14:textId="77777777" w:rsidR="000026A6" w:rsidRPr="00813D40" w:rsidRDefault="000026A6" w:rsidP="000026A6">
      <w:pPr>
        <w:tabs>
          <w:tab w:val="right" w:pos="0"/>
        </w:tabs>
        <w:jc w:val="both"/>
        <w:rPr>
          <w:b/>
          <w:u w:val="none"/>
          <w:lang w:val="en-ZA"/>
        </w:rPr>
      </w:pPr>
    </w:p>
    <w:p w14:paraId="591B0C15" w14:textId="13498F64" w:rsidR="000026A6" w:rsidRDefault="000026A6" w:rsidP="000026A6">
      <w:pPr>
        <w:tabs>
          <w:tab w:val="right" w:pos="0"/>
        </w:tabs>
        <w:spacing w:line="360" w:lineRule="auto"/>
        <w:jc w:val="both"/>
        <w:rPr>
          <w:u w:val="none"/>
        </w:rPr>
      </w:pPr>
      <w:r>
        <w:rPr>
          <w:u w:val="none"/>
          <w:lang w:val="en-ZA"/>
        </w:rPr>
        <w:t>On behalf of the applicant</w:t>
      </w:r>
      <w:r>
        <w:rPr>
          <w:u w:val="none"/>
          <w:lang w:val="en-ZA"/>
        </w:rPr>
        <w:tab/>
      </w:r>
      <w:r>
        <w:rPr>
          <w:u w:val="none"/>
          <w:lang w:val="en-ZA"/>
        </w:rPr>
        <w:tab/>
        <w:t>:</w:t>
      </w:r>
      <w:r w:rsidRPr="00EA4F48">
        <w:rPr>
          <w:u w:val="none"/>
        </w:rPr>
        <w:t xml:space="preserve"> </w:t>
      </w:r>
      <w:r w:rsidR="00E76A42">
        <w:rPr>
          <w:u w:val="none"/>
          <w:lang w:val="en-ZA"/>
        </w:rPr>
        <w:t>Mr Q Khumalo</w:t>
      </w:r>
      <w:r w:rsidR="00E76A42">
        <w:rPr>
          <w:u w:val="none"/>
        </w:rPr>
        <w:t xml:space="preserve"> </w:t>
      </w:r>
    </w:p>
    <w:p w14:paraId="7DAB68F4" w14:textId="77777777" w:rsidR="000026A6" w:rsidRDefault="000026A6" w:rsidP="000026A6">
      <w:pPr>
        <w:tabs>
          <w:tab w:val="right" w:pos="0"/>
        </w:tabs>
        <w:spacing w:line="360" w:lineRule="auto"/>
        <w:jc w:val="both"/>
        <w:rPr>
          <w:u w:val="none"/>
        </w:rPr>
      </w:pPr>
    </w:p>
    <w:p w14:paraId="33E644FD" w14:textId="4F631225" w:rsidR="000026A6" w:rsidRDefault="000026A6" w:rsidP="000026A6">
      <w:pPr>
        <w:tabs>
          <w:tab w:val="right" w:pos="0"/>
        </w:tabs>
        <w:spacing w:line="360" w:lineRule="auto"/>
        <w:jc w:val="both"/>
        <w:rPr>
          <w:u w:val="none"/>
          <w:lang w:val="en-ZA"/>
        </w:rPr>
      </w:pPr>
      <w:r>
        <w:rPr>
          <w:u w:val="none"/>
          <w:lang w:val="en-ZA"/>
        </w:rPr>
        <w:t xml:space="preserve">Instructed by                                 </w:t>
      </w:r>
      <w:r>
        <w:rPr>
          <w:u w:val="none"/>
          <w:lang w:val="en-ZA"/>
        </w:rPr>
        <w:tab/>
        <w:t>:</w:t>
      </w:r>
      <w:r w:rsidR="00E76A42">
        <w:rPr>
          <w:u w:val="none"/>
          <w:lang w:val="en-ZA"/>
        </w:rPr>
        <w:t xml:space="preserve"> Quinton Khumalo Inc</w:t>
      </w:r>
      <w:r>
        <w:rPr>
          <w:u w:val="none"/>
          <w:lang w:val="en-ZA"/>
        </w:rPr>
        <w:tab/>
      </w:r>
      <w:r>
        <w:rPr>
          <w:u w:val="none"/>
          <w:lang w:val="en-ZA"/>
        </w:rPr>
        <w:tab/>
      </w:r>
      <w:r>
        <w:rPr>
          <w:u w:val="none"/>
          <w:lang w:val="en-ZA"/>
        </w:rPr>
        <w:tab/>
      </w:r>
      <w:r>
        <w:rPr>
          <w:u w:val="none"/>
          <w:lang w:val="en-ZA"/>
        </w:rPr>
        <w:tab/>
        <w:t xml:space="preserve">  </w:t>
      </w:r>
    </w:p>
    <w:p w14:paraId="23F16A90" w14:textId="77777777" w:rsidR="000026A6" w:rsidRDefault="000026A6" w:rsidP="000026A6">
      <w:pPr>
        <w:tabs>
          <w:tab w:val="right" w:pos="0"/>
        </w:tabs>
        <w:jc w:val="both"/>
        <w:rPr>
          <w:u w:val="none"/>
          <w:lang w:val="en-ZA"/>
        </w:rPr>
      </w:pPr>
    </w:p>
    <w:p w14:paraId="7F91E92E" w14:textId="080EBAA3" w:rsidR="000026A6" w:rsidRDefault="000026A6" w:rsidP="000026A6">
      <w:pPr>
        <w:tabs>
          <w:tab w:val="right" w:pos="0"/>
        </w:tabs>
        <w:spacing w:line="360" w:lineRule="auto"/>
        <w:jc w:val="both"/>
        <w:rPr>
          <w:u w:val="none"/>
          <w:lang w:val="en-ZA"/>
        </w:rPr>
      </w:pPr>
      <w:r>
        <w:rPr>
          <w:u w:val="none"/>
          <w:lang w:val="en-ZA"/>
        </w:rPr>
        <w:t>On behalf of the respondent</w:t>
      </w:r>
      <w:r w:rsidR="00E76A42">
        <w:rPr>
          <w:u w:val="none"/>
          <w:lang w:val="en-ZA"/>
        </w:rPr>
        <w:t>s</w:t>
      </w:r>
      <w:r>
        <w:rPr>
          <w:u w:val="none"/>
          <w:lang w:val="en-ZA"/>
        </w:rPr>
        <w:tab/>
        <w:t xml:space="preserve">: </w:t>
      </w:r>
      <w:r w:rsidR="00E76A42">
        <w:rPr>
          <w:u w:val="none"/>
        </w:rPr>
        <w:t>Adv. A Cooke</w:t>
      </w:r>
    </w:p>
    <w:p w14:paraId="1BAB85DF" w14:textId="77777777" w:rsidR="000026A6" w:rsidRDefault="000026A6" w:rsidP="000026A6">
      <w:pPr>
        <w:tabs>
          <w:tab w:val="right" w:pos="0"/>
        </w:tabs>
        <w:spacing w:line="360" w:lineRule="auto"/>
        <w:jc w:val="both"/>
        <w:rPr>
          <w:u w:val="none"/>
          <w:lang w:val="en-ZA"/>
        </w:rPr>
      </w:pPr>
      <w:r>
        <w:rPr>
          <w:u w:val="none"/>
          <w:lang w:val="en-ZA"/>
        </w:rPr>
        <w:tab/>
      </w:r>
      <w:r>
        <w:rPr>
          <w:u w:val="none"/>
          <w:lang w:val="en-ZA"/>
        </w:rPr>
        <w:tab/>
      </w:r>
      <w:r>
        <w:rPr>
          <w:u w:val="none"/>
          <w:lang w:val="en-ZA"/>
        </w:rPr>
        <w:tab/>
      </w:r>
      <w:r>
        <w:rPr>
          <w:u w:val="none"/>
          <w:lang w:val="en-ZA"/>
        </w:rPr>
        <w:tab/>
      </w:r>
      <w:r>
        <w:rPr>
          <w:u w:val="none"/>
          <w:lang w:val="en-ZA"/>
        </w:rPr>
        <w:tab/>
      </w:r>
    </w:p>
    <w:p w14:paraId="1E3B6EBE" w14:textId="34E4FA4C" w:rsidR="000026A6" w:rsidRDefault="000026A6" w:rsidP="000026A6">
      <w:pPr>
        <w:tabs>
          <w:tab w:val="right" w:pos="0"/>
        </w:tabs>
        <w:spacing w:line="360" w:lineRule="auto"/>
        <w:jc w:val="both"/>
        <w:rPr>
          <w:u w:val="none"/>
          <w:lang w:val="en-ZA"/>
        </w:rPr>
      </w:pPr>
      <w:r>
        <w:rPr>
          <w:u w:val="none"/>
          <w:lang w:val="en-ZA"/>
        </w:rPr>
        <w:t xml:space="preserve">Instructed by                           </w:t>
      </w:r>
      <w:r>
        <w:rPr>
          <w:u w:val="none"/>
          <w:lang w:val="en-ZA"/>
        </w:rPr>
        <w:tab/>
        <w:t>:</w:t>
      </w:r>
      <w:r w:rsidR="00E76A42" w:rsidRPr="00E76A42">
        <w:rPr>
          <w:u w:val="none"/>
          <w:lang w:val="en-ZA"/>
        </w:rPr>
        <w:t xml:space="preserve"> </w:t>
      </w:r>
      <w:r w:rsidR="00E76A42">
        <w:rPr>
          <w:u w:val="none"/>
          <w:lang w:val="en-ZA"/>
        </w:rPr>
        <w:t>Mathopo Moshimane Mulangaphuma Inc</w:t>
      </w:r>
    </w:p>
    <w:p w14:paraId="69142160" w14:textId="77777777" w:rsidR="000026A6" w:rsidRDefault="000026A6" w:rsidP="000026A6">
      <w:pPr>
        <w:tabs>
          <w:tab w:val="right" w:pos="0"/>
        </w:tabs>
        <w:spacing w:line="360" w:lineRule="auto"/>
        <w:jc w:val="both"/>
        <w:rPr>
          <w:u w:val="none"/>
          <w:lang w:val="en-ZA"/>
        </w:rPr>
      </w:pPr>
      <w:r>
        <w:rPr>
          <w:u w:val="none"/>
          <w:lang w:val="en-ZA"/>
        </w:rPr>
        <w:tab/>
      </w:r>
      <w:r>
        <w:rPr>
          <w:u w:val="none"/>
          <w:lang w:val="en-ZA"/>
        </w:rPr>
        <w:tab/>
      </w:r>
      <w:r>
        <w:rPr>
          <w:u w:val="none"/>
          <w:lang w:val="en-ZA"/>
        </w:rPr>
        <w:tab/>
      </w:r>
      <w:r>
        <w:rPr>
          <w:u w:val="none"/>
          <w:lang w:val="en-ZA"/>
        </w:rPr>
        <w:tab/>
      </w:r>
      <w:r>
        <w:rPr>
          <w:u w:val="none"/>
          <w:lang w:val="en-ZA"/>
        </w:rPr>
        <w:tab/>
      </w:r>
    </w:p>
    <w:p w14:paraId="44513C1D" w14:textId="77777777" w:rsidR="000026A6" w:rsidRDefault="000026A6" w:rsidP="000026A6">
      <w:pPr>
        <w:tabs>
          <w:tab w:val="right" w:pos="0"/>
        </w:tabs>
        <w:spacing w:line="360" w:lineRule="auto"/>
        <w:jc w:val="both"/>
        <w:rPr>
          <w:u w:val="none"/>
          <w:lang w:val="en-ZA"/>
        </w:rPr>
      </w:pPr>
    </w:p>
    <w:p w14:paraId="7B7BEF03" w14:textId="1CD132B7" w:rsidR="000026A6" w:rsidRDefault="000026A6" w:rsidP="000026A6">
      <w:pPr>
        <w:tabs>
          <w:tab w:val="right" w:pos="0"/>
        </w:tabs>
        <w:spacing w:line="360" w:lineRule="auto"/>
        <w:jc w:val="both"/>
        <w:rPr>
          <w:u w:val="none"/>
          <w:lang w:val="en-ZA"/>
        </w:rPr>
      </w:pPr>
      <w:r>
        <w:rPr>
          <w:u w:val="none"/>
          <w:lang w:val="en-ZA"/>
        </w:rPr>
        <w:t>Date of hearing                              :</w:t>
      </w:r>
      <w:r w:rsidR="002A1911">
        <w:rPr>
          <w:u w:val="none"/>
          <w:lang w:val="en-ZA"/>
        </w:rPr>
        <w:t xml:space="preserve"> 13</w:t>
      </w:r>
      <w:r w:rsidR="00E76A42">
        <w:rPr>
          <w:u w:val="none"/>
          <w:lang w:val="en-ZA"/>
        </w:rPr>
        <w:t>October</w:t>
      </w:r>
      <w:r>
        <w:rPr>
          <w:u w:val="none"/>
          <w:lang w:val="en-ZA"/>
        </w:rPr>
        <w:t xml:space="preserve"> 2023</w:t>
      </w:r>
    </w:p>
    <w:p w14:paraId="5C8D350F" w14:textId="34B253FF" w:rsidR="000026A6" w:rsidRDefault="000026A6" w:rsidP="000026A6">
      <w:pPr>
        <w:tabs>
          <w:tab w:val="right" w:pos="0"/>
        </w:tabs>
        <w:spacing w:line="360" w:lineRule="auto"/>
        <w:jc w:val="both"/>
        <w:rPr>
          <w:u w:val="none"/>
          <w:lang w:val="en-ZA"/>
        </w:rPr>
      </w:pPr>
      <w:r>
        <w:rPr>
          <w:u w:val="none"/>
          <w:lang w:val="en-ZA"/>
        </w:rPr>
        <w:t xml:space="preserve">Date of judgment                          </w:t>
      </w:r>
      <w:r>
        <w:rPr>
          <w:u w:val="none"/>
          <w:lang w:val="en-ZA"/>
        </w:rPr>
        <w:tab/>
        <w:t xml:space="preserve"> : </w:t>
      </w:r>
      <w:r w:rsidR="00E76A42">
        <w:rPr>
          <w:u w:val="none"/>
          <w:lang w:val="en-ZA"/>
        </w:rPr>
        <w:t xml:space="preserve">20 October </w:t>
      </w:r>
      <w:r>
        <w:rPr>
          <w:u w:val="none"/>
          <w:lang w:val="en-ZA"/>
        </w:rPr>
        <w:t>2023</w:t>
      </w:r>
    </w:p>
    <w:p w14:paraId="30395ABD" w14:textId="77777777" w:rsidR="000026A6" w:rsidRDefault="000026A6" w:rsidP="000026A6">
      <w:pPr>
        <w:tabs>
          <w:tab w:val="right" w:pos="0"/>
        </w:tabs>
        <w:spacing w:line="360" w:lineRule="auto"/>
        <w:jc w:val="both"/>
        <w:rPr>
          <w:u w:val="none"/>
          <w:lang w:val="en-ZA"/>
        </w:rPr>
      </w:pPr>
      <w:r>
        <w:rPr>
          <w:u w:val="none"/>
          <w:lang w:val="en-ZA"/>
        </w:rPr>
        <w:t xml:space="preserve">                                                                 </w:t>
      </w:r>
    </w:p>
    <w:p w14:paraId="235AD9C8" w14:textId="77777777" w:rsidR="000026A6" w:rsidRDefault="000026A6" w:rsidP="000026A6">
      <w:pPr>
        <w:tabs>
          <w:tab w:val="right" w:pos="0"/>
        </w:tabs>
        <w:spacing w:line="360" w:lineRule="auto"/>
        <w:jc w:val="both"/>
        <w:rPr>
          <w:u w:val="none"/>
          <w:lang w:val="en-ZA"/>
        </w:rPr>
      </w:pPr>
      <w:r>
        <w:rPr>
          <w:u w:val="none"/>
          <w:lang w:val="en-ZA"/>
        </w:rPr>
        <w:t xml:space="preserve">                                                        </w:t>
      </w:r>
    </w:p>
    <w:p w14:paraId="6F618E51" w14:textId="77777777" w:rsidR="000026A6" w:rsidRPr="00FB1C7B" w:rsidRDefault="000026A6" w:rsidP="000026A6">
      <w:pPr>
        <w:tabs>
          <w:tab w:val="right" w:pos="0"/>
        </w:tabs>
        <w:jc w:val="both"/>
        <w:rPr>
          <w:u w:val="none"/>
          <w:lang w:val="en-ZA"/>
        </w:rPr>
      </w:pPr>
    </w:p>
    <w:p w14:paraId="0C9DB044" w14:textId="77777777" w:rsidR="000026A6" w:rsidRDefault="000026A6" w:rsidP="000026A6"/>
    <w:p w14:paraId="187FD77A" w14:textId="77777777" w:rsidR="000026A6" w:rsidRDefault="000026A6" w:rsidP="000026A6"/>
    <w:p w14:paraId="7B7A34B0" w14:textId="77777777" w:rsidR="000026A6" w:rsidRDefault="000026A6" w:rsidP="000026A6"/>
    <w:p w14:paraId="1A444E2F" w14:textId="77777777" w:rsidR="000026A6" w:rsidRDefault="000026A6" w:rsidP="000026A6"/>
    <w:p w14:paraId="4978197F" w14:textId="77777777" w:rsidR="000026A6" w:rsidRDefault="000026A6" w:rsidP="000026A6"/>
    <w:p w14:paraId="1265ACF8" w14:textId="77777777" w:rsidR="0040108D" w:rsidRDefault="0040108D"/>
    <w:sectPr w:rsidR="0040108D" w:rsidSect="00E53117">
      <w:headerReference w:type="even" r:id="rId10"/>
      <w:headerReference w:type="default" r:id="rId11"/>
      <w:pgSz w:w="11906" w:h="16838"/>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99502" w14:textId="77777777" w:rsidR="00EF18D5" w:rsidRDefault="00EF18D5" w:rsidP="000026A6">
      <w:r>
        <w:separator/>
      </w:r>
    </w:p>
  </w:endnote>
  <w:endnote w:type="continuationSeparator" w:id="0">
    <w:p w14:paraId="05874386" w14:textId="77777777" w:rsidR="00EF18D5" w:rsidRDefault="00EF18D5" w:rsidP="00002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1D60E" w14:textId="77777777" w:rsidR="00EF18D5" w:rsidRDefault="00EF18D5" w:rsidP="000026A6">
      <w:r>
        <w:separator/>
      </w:r>
    </w:p>
  </w:footnote>
  <w:footnote w:type="continuationSeparator" w:id="0">
    <w:p w14:paraId="764E5D9E" w14:textId="77777777" w:rsidR="00EF18D5" w:rsidRDefault="00EF18D5" w:rsidP="000026A6">
      <w:r>
        <w:continuationSeparator/>
      </w:r>
    </w:p>
  </w:footnote>
  <w:footnote w:id="1">
    <w:p w14:paraId="549B6604" w14:textId="77777777" w:rsidR="000969F9" w:rsidRPr="00104A40" w:rsidRDefault="000969F9" w:rsidP="000969F9">
      <w:pPr>
        <w:pStyle w:val="FootnoteText"/>
        <w:rPr>
          <w:u w:val="none"/>
        </w:rPr>
      </w:pPr>
      <w:r w:rsidRPr="00104A40">
        <w:rPr>
          <w:rStyle w:val="FootnoteReference"/>
          <w:u w:val="none"/>
        </w:rPr>
        <w:footnoteRef/>
      </w:r>
      <w:r w:rsidRPr="00104A40">
        <w:rPr>
          <w:u w:val="none"/>
        </w:rPr>
        <w:t xml:space="preserve"> 2014 JDR 2325 (LCC) at para 5 and 6</w:t>
      </w:r>
    </w:p>
  </w:footnote>
  <w:footnote w:id="2">
    <w:p w14:paraId="68A58C12" w14:textId="77777777" w:rsidR="000969F9" w:rsidRPr="00104A40" w:rsidRDefault="000969F9" w:rsidP="000969F9">
      <w:pPr>
        <w:pStyle w:val="FootnoteText"/>
        <w:rPr>
          <w:u w:val="none"/>
        </w:rPr>
      </w:pPr>
      <w:r w:rsidRPr="00104A40">
        <w:rPr>
          <w:rStyle w:val="FootnoteReference"/>
          <w:u w:val="none"/>
        </w:rPr>
        <w:footnoteRef/>
      </w:r>
      <w:r w:rsidRPr="00104A40">
        <w:rPr>
          <w:u w:val="none"/>
        </w:rPr>
        <w:t xml:space="preserve"> [2021] ZASCA 31 (31 March 2021) Para 10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489B1" w14:textId="77777777" w:rsidR="00D96304" w:rsidRDefault="00921D8B" w:rsidP="002122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3342D0" w14:textId="77777777" w:rsidR="00D96304" w:rsidRDefault="00D9630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988227"/>
      <w:docPartObj>
        <w:docPartGallery w:val="Page Numbers (Top of Page)"/>
        <w:docPartUnique/>
      </w:docPartObj>
    </w:sdtPr>
    <w:sdtEndPr>
      <w:rPr>
        <w:noProof/>
      </w:rPr>
    </w:sdtEndPr>
    <w:sdtContent>
      <w:p w14:paraId="2489AF0B" w14:textId="2EB35638" w:rsidR="00AF3E38" w:rsidRDefault="00AF3E38">
        <w:pPr>
          <w:pStyle w:val="Header"/>
          <w:jc w:val="center"/>
        </w:pPr>
        <w:r>
          <w:fldChar w:fldCharType="begin"/>
        </w:r>
        <w:r>
          <w:instrText xml:space="preserve"> PAGE   \* MERGEFORMAT </w:instrText>
        </w:r>
        <w:r>
          <w:fldChar w:fldCharType="separate"/>
        </w:r>
        <w:r w:rsidR="007D1E68">
          <w:rPr>
            <w:noProof/>
          </w:rPr>
          <w:t>7</w:t>
        </w:r>
        <w:r>
          <w:rPr>
            <w:noProof/>
          </w:rPr>
          <w:fldChar w:fldCharType="end"/>
        </w:r>
      </w:p>
    </w:sdtContent>
  </w:sdt>
  <w:p w14:paraId="1AE925AD" w14:textId="77777777" w:rsidR="00D96304" w:rsidRDefault="00D963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6A6"/>
    <w:rsid w:val="000026A6"/>
    <w:rsid w:val="0001327D"/>
    <w:rsid w:val="00024461"/>
    <w:rsid w:val="00033606"/>
    <w:rsid w:val="00042E81"/>
    <w:rsid w:val="000602AD"/>
    <w:rsid w:val="00065FCC"/>
    <w:rsid w:val="00085C48"/>
    <w:rsid w:val="00091315"/>
    <w:rsid w:val="000936E0"/>
    <w:rsid w:val="00094266"/>
    <w:rsid w:val="000969F9"/>
    <w:rsid w:val="000A2F71"/>
    <w:rsid w:val="000B4858"/>
    <w:rsid w:val="000B5A00"/>
    <w:rsid w:val="000C6F33"/>
    <w:rsid w:val="000D27BF"/>
    <w:rsid w:val="000D7D3D"/>
    <w:rsid w:val="000E1037"/>
    <w:rsid w:val="000E3F99"/>
    <w:rsid w:val="000E6A4B"/>
    <w:rsid w:val="000F1184"/>
    <w:rsid w:val="000F7C7A"/>
    <w:rsid w:val="00102731"/>
    <w:rsid w:val="00104A40"/>
    <w:rsid w:val="00131444"/>
    <w:rsid w:val="00134793"/>
    <w:rsid w:val="00142705"/>
    <w:rsid w:val="00150AA5"/>
    <w:rsid w:val="001525E3"/>
    <w:rsid w:val="00170931"/>
    <w:rsid w:val="00194CDE"/>
    <w:rsid w:val="001B253A"/>
    <w:rsid w:val="001B3DA0"/>
    <w:rsid w:val="001B5545"/>
    <w:rsid w:val="001E33E8"/>
    <w:rsid w:val="00205BA9"/>
    <w:rsid w:val="00206A8D"/>
    <w:rsid w:val="00210D54"/>
    <w:rsid w:val="00214776"/>
    <w:rsid w:val="00217CF0"/>
    <w:rsid w:val="00222F3E"/>
    <w:rsid w:val="00226744"/>
    <w:rsid w:val="002325A8"/>
    <w:rsid w:val="002348AC"/>
    <w:rsid w:val="00247D78"/>
    <w:rsid w:val="00252759"/>
    <w:rsid w:val="00256B84"/>
    <w:rsid w:val="00257250"/>
    <w:rsid w:val="0029153D"/>
    <w:rsid w:val="002A1911"/>
    <w:rsid w:val="002B4E55"/>
    <w:rsid w:val="002C1355"/>
    <w:rsid w:val="002C41A8"/>
    <w:rsid w:val="002D52F6"/>
    <w:rsid w:val="002F2E71"/>
    <w:rsid w:val="003141C9"/>
    <w:rsid w:val="003144CF"/>
    <w:rsid w:val="00317940"/>
    <w:rsid w:val="00320BE4"/>
    <w:rsid w:val="00335A71"/>
    <w:rsid w:val="0034144D"/>
    <w:rsid w:val="00363885"/>
    <w:rsid w:val="0036561B"/>
    <w:rsid w:val="00372E83"/>
    <w:rsid w:val="00375D93"/>
    <w:rsid w:val="003768D6"/>
    <w:rsid w:val="00377252"/>
    <w:rsid w:val="003B0DAE"/>
    <w:rsid w:val="003B6A4F"/>
    <w:rsid w:val="003C01F3"/>
    <w:rsid w:val="003D4FD6"/>
    <w:rsid w:val="003D7E21"/>
    <w:rsid w:val="003E3688"/>
    <w:rsid w:val="003F07B5"/>
    <w:rsid w:val="0040108D"/>
    <w:rsid w:val="00416988"/>
    <w:rsid w:val="00427F08"/>
    <w:rsid w:val="0043053E"/>
    <w:rsid w:val="00432C3D"/>
    <w:rsid w:val="00437650"/>
    <w:rsid w:val="00437B90"/>
    <w:rsid w:val="00441F09"/>
    <w:rsid w:val="0044267D"/>
    <w:rsid w:val="0044660A"/>
    <w:rsid w:val="00452D30"/>
    <w:rsid w:val="0047047D"/>
    <w:rsid w:val="004748DA"/>
    <w:rsid w:val="004947DC"/>
    <w:rsid w:val="004A196B"/>
    <w:rsid w:val="004B3B41"/>
    <w:rsid w:val="004B508D"/>
    <w:rsid w:val="004B6AEA"/>
    <w:rsid w:val="004B70C8"/>
    <w:rsid w:val="004D250F"/>
    <w:rsid w:val="004D720D"/>
    <w:rsid w:val="004E274A"/>
    <w:rsid w:val="00501F5C"/>
    <w:rsid w:val="005055CE"/>
    <w:rsid w:val="00505783"/>
    <w:rsid w:val="00513330"/>
    <w:rsid w:val="00520466"/>
    <w:rsid w:val="00523AD8"/>
    <w:rsid w:val="00526C48"/>
    <w:rsid w:val="00536771"/>
    <w:rsid w:val="00541198"/>
    <w:rsid w:val="00554977"/>
    <w:rsid w:val="005618FC"/>
    <w:rsid w:val="00566002"/>
    <w:rsid w:val="00571E2A"/>
    <w:rsid w:val="00575BF3"/>
    <w:rsid w:val="005819BC"/>
    <w:rsid w:val="00583CB6"/>
    <w:rsid w:val="00591638"/>
    <w:rsid w:val="00595AE0"/>
    <w:rsid w:val="005B2813"/>
    <w:rsid w:val="005B7B6B"/>
    <w:rsid w:val="005C040F"/>
    <w:rsid w:val="005D48ED"/>
    <w:rsid w:val="005E02F8"/>
    <w:rsid w:val="005E57EC"/>
    <w:rsid w:val="005F769E"/>
    <w:rsid w:val="006078C7"/>
    <w:rsid w:val="006128A9"/>
    <w:rsid w:val="00620BBD"/>
    <w:rsid w:val="00637293"/>
    <w:rsid w:val="00646614"/>
    <w:rsid w:val="00652545"/>
    <w:rsid w:val="006747D0"/>
    <w:rsid w:val="00677011"/>
    <w:rsid w:val="006C69C6"/>
    <w:rsid w:val="006C7A34"/>
    <w:rsid w:val="006C7ADB"/>
    <w:rsid w:val="006D54E8"/>
    <w:rsid w:val="006E1BD2"/>
    <w:rsid w:val="006E39EE"/>
    <w:rsid w:val="006E6D42"/>
    <w:rsid w:val="006F3A0C"/>
    <w:rsid w:val="006F3DCC"/>
    <w:rsid w:val="0070611F"/>
    <w:rsid w:val="0072603C"/>
    <w:rsid w:val="0073505B"/>
    <w:rsid w:val="0074414D"/>
    <w:rsid w:val="0075073B"/>
    <w:rsid w:val="0075647E"/>
    <w:rsid w:val="00792FB7"/>
    <w:rsid w:val="00793442"/>
    <w:rsid w:val="00795995"/>
    <w:rsid w:val="007965B4"/>
    <w:rsid w:val="007B7170"/>
    <w:rsid w:val="007C12FD"/>
    <w:rsid w:val="007D1E68"/>
    <w:rsid w:val="007E01F7"/>
    <w:rsid w:val="007E71D1"/>
    <w:rsid w:val="007F5EC7"/>
    <w:rsid w:val="0080573D"/>
    <w:rsid w:val="00822E08"/>
    <w:rsid w:val="008234C1"/>
    <w:rsid w:val="008238B1"/>
    <w:rsid w:val="0083285D"/>
    <w:rsid w:val="00837F77"/>
    <w:rsid w:val="00841502"/>
    <w:rsid w:val="00850637"/>
    <w:rsid w:val="00852C88"/>
    <w:rsid w:val="008579EB"/>
    <w:rsid w:val="0086667D"/>
    <w:rsid w:val="0086675F"/>
    <w:rsid w:val="00874AEF"/>
    <w:rsid w:val="008763D0"/>
    <w:rsid w:val="008903D9"/>
    <w:rsid w:val="008923E1"/>
    <w:rsid w:val="00892A7B"/>
    <w:rsid w:val="008B1F48"/>
    <w:rsid w:val="008B29BC"/>
    <w:rsid w:val="008B3741"/>
    <w:rsid w:val="008C25E3"/>
    <w:rsid w:val="008D72EA"/>
    <w:rsid w:val="008E707D"/>
    <w:rsid w:val="008F0B4C"/>
    <w:rsid w:val="008F5108"/>
    <w:rsid w:val="00902F76"/>
    <w:rsid w:val="00914D04"/>
    <w:rsid w:val="00921D8B"/>
    <w:rsid w:val="0092679F"/>
    <w:rsid w:val="00940859"/>
    <w:rsid w:val="00964DE9"/>
    <w:rsid w:val="00972D5B"/>
    <w:rsid w:val="0097477D"/>
    <w:rsid w:val="009A575B"/>
    <w:rsid w:val="009A5824"/>
    <w:rsid w:val="009B3534"/>
    <w:rsid w:val="009B6A7C"/>
    <w:rsid w:val="009D28F3"/>
    <w:rsid w:val="009D64B3"/>
    <w:rsid w:val="00A02825"/>
    <w:rsid w:val="00A15475"/>
    <w:rsid w:val="00A1623C"/>
    <w:rsid w:val="00A16DEE"/>
    <w:rsid w:val="00A3504E"/>
    <w:rsid w:val="00A41031"/>
    <w:rsid w:val="00A42DCB"/>
    <w:rsid w:val="00A4612D"/>
    <w:rsid w:val="00A46F12"/>
    <w:rsid w:val="00A508B6"/>
    <w:rsid w:val="00A61AD1"/>
    <w:rsid w:val="00A66DAA"/>
    <w:rsid w:val="00A80807"/>
    <w:rsid w:val="00A86B00"/>
    <w:rsid w:val="00A932A2"/>
    <w:rsid w:val="00A975EF"/>
    <w:rsid w:val="00A9790A"/>
    <w:rsid w:val="00AA511D"/>
    <w:rsid w:val="00AB2294"/>
    <w:rsid w:val="00AC0EC9"/>
    <w:rsid w:val="00AD136F"/>
    <w:rsid w:val="00AD56BE"/>
    <w:rsid w:val="00AD7809"/>
    <w:rsid w:val="00AE7AB4"/>
    <w:rsid w:val="00AF1488"/>
    <w:rsid w:val="00AF3E38"/>
    <w:rsid w:val="00B12B42"/>
    <w:rsid w:val="00B13EE4"/>
    <w:rsid w:val="00B27134"/>
    <w:rsid w:val="00B37BB5"/>
    <w:rsid w:val="00B5110D"/>
    <w:rsid w:val="00B535FF"/>
    <w:rsid w:val="00B56DC9"/>
    <w:rsid w:val="00B61B60"/>
    <w:rsid w:val="00B62132"/>
    <w:rsid w:val="00B62202"/>
    <w:rsid w:val="00B63220"/>
    <w:rsid w:val="00B67E35"/>
    <w:rsid w:val="00BA1232"/>
    <w:rsid w:val="00BB7A28"/>
    <w:rsid w:val="00BC0088"/>
    <w:rsid w:val="00BD4226"/>
    <w:rsid w:val="00BE1402"/>
    <w:rsid w:val="00BF10F0"/>
    <w:rsid w:val="00BF1457"/>
    <w:rsid w:val="00C11138"/>
    <w:rsid w:val="00C11971"/>
    <w:rsid w:val="00C22D2F"/>
    <w:rsid w:val="00C31E40"/>
    <w:rsid w:val="00C32F70"/>
    <w:rsid w:val="00C45554"/>
    <w:rsid w:val="00C53854"/>
    <w:rsid w:val="00C63CBE"/>
    <w:rsid w:val="00C71EF1"/>
    <w:rsid w:val="00C73232"/>
    <w:rsid w:val="00C74C25"/>
    <w:rsid w:val="00CA133B"/>
    <w:rsid w:val="00CA5872"/>
    <w:rsid w:val="00CB03F0"/>
    <w:rsid w:val="00CC3197"/>
    <w:rsid w:val="00CC4415"/>
    <w:rsid w:val="00CD3DB7"/>
    <w:rsid w:val="00CE3DFB"/>
    <w:rsid w:val="00CF7F12"/>
    <w:rsid w:val="00D04607"/>
    <w:rsid w:val="00D17914"/>
    <w:rsid w:val="00D3064C"/>
    <w:rsid w:val="00D411B8"/>
    <w:rsid w:val="00D526DE"/>
    <w:rsid w:val="00D71555"/>
    <w:rsid w:val="00D71BB7"/>
    <w:rsid w:val="00D71F6B"/>
    <w:rsid w:val="00D826F9"/>
    <w:rsid w:val="00D96304"/>
    <w:rsid w:val="00DA4A34"/>
    <w:rsid w:val="00DA681A"/>
    <w:rsid w:val="00DA7AF3"/>
    <w:rsid w:val="00DB3F7E"/>
    <w:rsid w:val="00DC419F"/>
    <w:rsid w:val="00DD2FB1"/>
    <w:rsid w:val="00DD77E3"/>
    <w:rsid w:val="00E11228"/>
    <w:rsid w:val="00E16D42"/>
    <w:rsid w:val="00E17AAF"/>
    <w:rsid w:val="00E314EB"/>
    <w:rsid w:val="00E4289D"/>
    <w:rsid w:val="00E42EEA"/>
    <w:rsid w:val="00E5208E"/>
    <w:rsid w:val="00E53117"/>
    <w:rsid w:val="00E662EA"/>
    <w:rsid w:val="00E67750"/>
    <w:rsid w:val="00E725BF"/>
    <w:rsid w:val="00E72851"/>
    <w:rsid w:val="00E76A42"/>
    <w:rsid w:val="00E86873"/>
    <w:rsid w:val="00E909B1"/>
    <w:rsid w:val="00EA4F74"/>
    <w:rsid w:val="00EB3925"/>
    <w:rsid w:val="00ED1173"/>
    <w:rsid w:val="00EE0583"/>
    <w:rsid w:val="00EF18D5"/>
    <w:rsid w:val="00EF4C5D"/>
    <w:rsid w:val="00EF56B8"/>
    <w:rsid w:val="00EF69C4"/>
    <w:rsid w:val="00F06921"/>
    <w:rsid w:val="00F11F02"/>
    <w:rsid w:val="00F4200A"/>
    <w:rsid w:val="00F436E1"/>
    <w:rsid w:val="00F52B51"/>
    <w:rsid w:val="00F80674"/>
    <w:rsid w:val="00F857FA"/>
    <w:rsid w:val="00FA2B10"/>
    <w:rsid w:val="00FB4CD7"/>
    <w:rsid w:val="00FB655E"/>
    <w:rsid w:val="00FD239F"/>
    <w:rsid w:val="00FD2DD4"/>
    <w:rsid w:val="00FD58E1"/>
    <w:rsid w:val="00FD7070"/>
    <w:rsid w:val="00FF1B42"/>
    <w:rsid w:val="00FF593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7E3F2F7"/>
  <w15:chartTrackingRefBased/>
  <w15:docId w15:val="{A8965085-D0A0-4CEE-BCB8-CBB74151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6A6"/>
    <w:pPr>
      <w:spacing w:after="0" w:line="240" w:lineRule="auto"/>
    </w:pPr>
    <w:rPr>
      <w:rFonts w:ascii="Arial" w:eastAsia="Times New Roman" w:hAnsi="Arial" w:cs="Arial"/>
      <w:kern w:val="0"/>
      <w:sz w:val="24"/>
      <w:szCs w:val="24"/>
      <w:u w:val="single"/>
      <w:lang w:val="en-GB"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026A6"/>
    <w:pPr>
      <w:tabs>
        <w:tab w:val="center" w:pos="4153"/>
        <w:tab w:val="right" w:pos="8306"/>
      </w:tabs>
    </w:pPr>
  </w:style>
  <w:style w:type="character" w:customStyle="1" w:styleId="HeaderChar">
    <w:name w:val="Header Char"/>
    <w:basedOn w:val="DefaultParagraphFont"/>
    <w:link w:val="Header"/>
    <w:uiPriority w:val="99"/>
    <w:rsid w:val="000026A6"/>
    <w:rPr>
      <w:rFonts w:ascii="Arial" w:eastAsia="Times New Roman" w:hAnsi="Arial" w:cs="Arial"/>
      <w:kern w:val="0"/>
      <w:sz w:val="24"/>
      <w:szCs w:val="24"/>
      <w:u w:val="single"/>
      <w:lang w:val="en-GB" w:eastAsia="en-GB"/>
      <w14:ligatures w14:val="none"/>
    </w:rPr>
  </w:style>
  <w:style w:type="character" w:styleId="PageNumber">
    <w:name w:val="page number"/>
    <w:basedOn w:val="DefaultParagraphFont"/>
    <w:rsid w:val="000026A6"/>
  </w:style>
  <w:style w:type="paragraph" w:styleId="FootnoteText">
    <w:name w:val="footnote text"/>
    <w:basedOn w:val="Normal"/>
    <w:link w:val="FootnoteTextChar"/>
    <w:uiPriority w:val="99"/>
    <w:semiHidden/>
    <w:unhideWhenUsed/>
    <w:rsid w:val="000026A6"/>
    <w:rPr>
      <w:sz w:val="20"/>
      <w:szCs w:val="20"/>
    </w:rPr>
  </w:style>
  <w:style w:type="character" w:customStyle="1" w:styleId="FootnoteTextChar">
    <w:name w:val="Footnote Text Char"/>
    <w:basedOn w:val="DefaultParagraphFont"/>
    <w:link w:val="FootnoteText"/>
    <w:uiPriority w:val="99"/>
    <w:semiHidden/>
    <w:rsid w:val="000026A6"/>
    <w:rPr>
      <w:rFonts w:ascii="Arial" w:eastAsia="Times New Roman" w:hAnsi="Arial" w:cs="Arial"/>
      <w:kern w:val="0"/>
      <w:sz w:val="20"/>
      <w:szCs w:val="20"/>
      <w:u w:val="single"/>
      <w:lang w:val="en-GB" w:eastAsia="en-GB"/>
      <w14:ligatures w14:val="none"/>
    </w:rPr>
  </w:style>
  <w:style w:type="character" w:styleId="FootnoteReference">
    <w:name w:val="footnote reference"/>
    <w:basedOn w:val="DefaultParagraphFont"/>
    <w:uiPriority w:val="99"/>
    <w:semiHidden/>
    <w:unhideWhenUsed/>
    <w:rsid w:val="000026A6"/>
    <w:rPr>
      <w:vertAlign w:val="superscript"/>
    </w:rPr>
  </w:style>
  <w:style w:type="character" w:styleId="Hyperlink">
    <w:name w:val="Hyperlink"/>
    <w:basedOn w:val="DefaultParagraphFont"/>
    <w:uiPriority w:val="99"/>
    <w:semiHidden/>
    <w:unhideWhenUsed/>
    <w:rsid w:val="00E67750"/>
    <w:rPr>
      <w:color w:val="0000FF"/>
      <w:u w:val="single"/>
    </w:rPr>
  </w:style>
  <w:style w:type="paragraph" w:styleId="Footer">
    <w:name w:val="footer"/>
    <w:basedOn w:val="Normal"/>
    <w:link w:val="FooterChar"/>
    <w:uiPriority w:val="99"/>
    <w:unhideWhenUsed/>
    <w:rsid w:val="00AF3E38"/>
    <w:pPr>
      <w:tabs>
        <w:tab w:val="center" w:pos="4513"/>
        <w:tab w:val="right" w:pos="9026"/>
      </w:tabs>
    </w:pPr>
  </w:style>
  <w:style w:type="character" w:customStyle="1" w:styleId="FooterChar">
    <w:name w:val="Footer Char"/>
    <w:basedOn w:val="DefaultParagraphFont"/>
    <w:link w:val="Footer"/>
    <w:uiPriority w:val="99"/>
    <w:rsid w:val="00AF3E38"/>
    <w:rPr>
      <w:rFonts w:ascii="Arial" w:eastAsia="Times New Roman" w:hAnsi="Arial" w:cs="Arial"/>
      <w:kern w:val="0"/>
      <w:sz w:val="24"/>
      <w:szCs w:val="24"/>
      <w:u w:val="single"/>
      <w:lang w:val="en-GB" w:eastAsia="en-GB"/>
      <w14:ligatures w14:val="none"/>
    </w:rPr>
  </w:style>
  <w:style w:type="paragraph" w:styleId="BalloonText">
    <w:name w:val="Balloon Text"/>
    <w:basedOn w:val="Normal"/>
    <w:link w:val="BalloonTextChar"/>
    <w:uiPriority w:val="99"/>
    <w:semiHidden/>
    <w:unhideWhenUsed/>
    <w:rsid w:val="009A5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75B"/>
    <w:rPr>
      <w:rFonts w:ascii="Segoe UI" w:eastAsia="Times New Roman" w:hAnsi="Segoe UI" w:cs="Segoe UI"/>
      <w:kern w:val="0"/>
      <w:sz w:val="18"/>
      <w:szCs w:val="18"/>
      <w:u w:val="single"/>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AA2E7-0F09-41B8-A420-7CA974763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1775</Words>
  <Characters>10122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Judge-Shanaaz Mia</dc:creator>
  <cp:keywords/>
  <dc:description/>
  <cp:lastModifiedBy>Mary Bruce</cp:lastModifiedBy>
  <cp:revision>3</cp:revision>
  <cp:lastPrinted>2023-10-20T13:07:00Z</cp:lastPrinted>
  <dcterms:created xsi:type="dcterms:W3CDTF">2023-10-23T07:52:00Z</dcterms:created>
  <dcterms:modified xsi:type="dcterms:W3CDTF">2023-10-23T09:49:00Z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b1f5c75c-2a2f-4eba-9844-96ffdd1905b1</vt:lpwstr>
  </property>
</Properties>
</file>