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81421" w14:textId="1F039A82" w:rsidR="006C43D7" w:rsidRPr="000F7813" w:rsidRDefault="00AD3D5D" w:rsidP="00C74E97">
      <w:pPr>
        <w:spacing w:after="120" w:line="360" w:lineRule="auto"/>
        <w:jc w:val="center"/>
        <w:rPr>
          <w:rFonts w:cs="Arial"/>
          <w:b/>
          <w:bCs/>
          <w:szCs w:val="22"/>
        </w:rPr>
      </w:pPr>
      <w:r w:rsidRPr="000F7813">
        <w:rPr>
          <w:rFonts w:cs="Arial"/>
          <w:b/>
          <w:bCs/>
          <w:szCs w:val="22"/>
        </w:rPr>
        <w:t xml:space="preserve"> </w:t>
      </w:r>
      <w:r w:rsidR="006C43D7" w:rsidRPr="000F7813">
        <w:rPr>
          <w:rFonts w:cs="Arial"/>
          <w:b/>
          <w:bCs/>
          <w:noProof/>
          <w:szCs w:val="22"/>
          <w:lang w:eastAsia="en-ZA"/>
        </w:rPr>
        <w:drawing>
          <wp:inline distT="0" distB="0" distL="0" distR="0" wp14:anchorId="533B6FEC" wp14:editId="2A4182C8">
            <wp:extent cx="1536065" cy="1536065"/>
            <wp:effectExtent l="0" t="0" r="698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E492062" w14:textId="77777777" w:rsidR="006C43D7" w:rsidRPr="00A9539C" w:rsidRDefault="006C43D7" w:rsidP="00C74E97">
      <w:pPr>
        <w:spacing w:line="360" w:lineRule="auto"/>
        <w:jc w:val="center"/>
        <w:rPr>
          <w:rFonts w:cs="Arial"/>
          <w:b/>
          <w:szCs w:val="22"/>
        </w:rPr>
      </w:pPr>
      <w:r w:rsidRPr="00A9539C">
        <w:rPr>
          <w:rFonts w:cs="Arial"/>
          <w:b/>
          <w:szCs w:val="22"/>
        </w:rPr>
        <w:t xml:space="preserve">IN THE HIGH COURT OF SOUTH AFRICA, </w:t>
      </w:r>
    </w:p>
    <w:p w14:paraId="566C4D1B" w14:textId="77777777" w:rsidR="006C43D7" w:rsidRPr="00A9539C" w:rsidRDefault="006C43D7" w:rsidP="00C74E97">
      <w:pPr>
        <w:spacing w:line="360" w:lineRule="auto"/>
        <w:jc w:val="center"/>
        <w:rPr>
          <w:rFonts w:cs="Arial"/>
          <w:b/>
          <w:szCs w:val="22"/>
        </w:rPr>
      </w:pPr>
      <w:r w:rsidRPr="00A9539C">
        <w:rPr>
          <w:rFonts w:cs="Arial"/>
          <w:b/>
          <w:szCs w:val="22"/>
        </w:rPr>
        <w:t>GAUTENG DIVISION, JOHANNESBURG</w:t>
      </w:r>
    </w:p>
    <w:p w14:paraId="13D6E83E" w14:textId="77777777" w:rsidR="006C43D7" w:rsidRPr="00A9539C" w:rsidRDefault="006C43D7" w:rsidP="00C74E97">
      <w:pPr>
        <w:spacing w:line="360" w:lineRule="auto"/>
        <w:jc w:val="both"/>
        <w:rPr>
          <w:rFonts w:cs="Arial"/>
          <w:b/>
          <w:szCs w:val="22"/>
        </w:rPr>
      </w:pPr>
    </w:p>
    <w:p w14:paraId="0AF8DD38" w14:textId="0D0BC2BD" w:rsidR="006C43D7" w:rsidRPr="00A9539C" w:rsidRDefault="00F913C7" w:rsidP="00C74E97">
      <w:pPr>
        <w:spacing w:line="360" w:lineRule="auto"/>
        <w:jc w:val="right"/>
        <w:rPr>
          <w:rFonts w:cs="Arial"/>
          <w:b/>
          <w:szCs w:val="22"/>
        </w:rPr>
      </w:pPr>
      <w:r w:rsidRPr="00A9539C">
        <w:rPr>
          <w:rFonts w:cs="Arial"/>
          <w:b/>
          <w:szCs w:val="22"/>
        </w:rPr>
        <w:t xml:space="preserve">CASE NO: </w:t>
      </w:r>
      <w:r w:rsidR="00C56E55" w:rsidRPr="00A9539C">
        <w:rPr>
          <w:rFonts w:cs="Arial"/>
          <w:noProof/>
          <w:szCs w:val="22"/>
          <w:lang w:eastAsia="en-ZA"/>
        </w:rPr>
        <mc:AlternateContent>
          <mc:Choice Requires="wps">
            <w:drawing>
              <wp:anchor distT="0" distB="0" distL="114300" distR="114300" simplePos="0" relativeHeight="251659264" behindDoc="0" locked="0" layoutInCell="1" allowOverlap="1" wp14:anchorId="15401FE8" wp14:editId="56542595">
                <wp:simplePos x="0" y="0"/>
                <wp:positionH relativeFrom="margin">
                  <wp:align>left</wp:align>
                </wp:positionH>
                <wp:positionV relativeFrom="paragraph">
                  <wp:posOffset>49530</wp:posOffset>
                </wp:positionV>
                <wp:extent cx="3314700" cy="1592580"/>
                <wp:effectExtent l="0" t="0" r="0" b="7620"/>
                <wp:wrapNone/>
                <wp:docPr id="119049700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92580"/>
                        </a:xfrm>
                        <a:prstGeom prst="rect">
                          <a:avLst/>
                        </a:prstGeom>
                        <a:solidFill>
                          <a:srgbClr val="FFFFFF"/>
                        </a:solidFill>
                        <a:ln w="9525">
                          <a:solidFill>
                            <a:srgbClr val="000000"/>
                          </a:solidFill>
                          <a:miter lim="800000"/>
                          <a:headEnd/>
                          <a:tailEnd/>
                        </a:ln>
                      </wps:spPr>
                      <wps:txbx>
                        <w:txbxContent>
                          <w:p w14:paraId="0EA4B470" w14:textId="77777777" w:rsidR="00893C08" w:rsidRPr="00913F95" w:rsidRDefault="00893C08" w:rsidP="006C43D7">
                            <w:pPr>
                              <w:jc w:val="center"/>
                              <w:rPr>
                                <w:rFonts w:ascii="Century Gothic" w:hAnsi="Century Gothic"/>
                                <w:b/>
                                <w:sz w:val="20"/>
                                <w:szCs w:val="20"/>
                              </w:rPr>
                            </w:pPr>
                          </w:p>
                          <w:p w14:paraId="01FDAE28" w14:textId="0AF5215D" w:rsidR="00893C08" w:rsidRDefault="00893C08" w:rsidP="00FC42BD">
                            <w:pPr>
                              <w:numPr>
                                <w:ilvl w:val="0"/>
                                <w:numId w:val="2"/>
                              </w:numPr>
                              <w:rPr>
                                <w:rFonts w:ascii="Century Gothic" w:hAnsi="Century Gothic"/>
                                <w:sz w:val="20"/>
                                <w:szCs w:val="20"/>
                              </w:rPr>
                            </w:pPr>
                            <w:r w:rsidRPr="001D3CC2">
                              <w:rPr>
                                <w:rFonts w:ascii="Century Gothic" w:hAnsi="Century Gothic"/>
                                <w:sz w:val="20"/>
                                <w:szCs w:val="20"/>
                              </w:rPr>
                              <w:t xml:space="preserve">REPORTABLE: </w:t>
                            </w:r>
                            <w:r w:rsidR="00B32C8D">
                              <w:rPr>
                                <w:rFonts w:ascii="Century Gothic" w:hAnsi="Century Gothic"/>
                                <w:sz w:val="20"/>
                                <w:szCs w:val="20"/>
                              </w:rPr>
                              <w:t>NO</w:t>
                            </w:r>
                          </w:p>
                          <w:p w14:paraId="3A4C7296" w14:textId="2989EE46" w:rsidR="00893C08" w:rsidRDefault="00893C08" w:rsidP="00FC42BD">
                            <w:pPr>
                              <w:numPr>
                                <w:ilvl w:val="0"/>
                                <w:numId w:val="2"/>
                              </w:numPr>
                              <w:rPr>
                                <w:rFonts w:ascii="Century Gothic" w:hAnsi="Century Gothic"/>
                                <w:sz w:val="20"/>
                                <w:szCs w:val="20"/>
                              </w:rPr>
                            </w:pPr>
                            <w:r w:rsidRPr="001D3CC2">
                              <w:rPr>
                                <w:rFonts w:ascii="Century Gothic" w:hAnsi="Century Gothic"/>
                                <w:sz w:val="20"/>
                                <w:szCs w:val="20"/>
                              </w:rPr>
                              <w:t>OF INTEREST TO OTHER JUDGES</w:t>
                            </w:r>
                            <w:r>
                              <w:rPr>
                                <w:rFonts w:ascii="Century Gothic" w:hAnsi="Century Gothic"/>
                                <w:sz w:val="20"/>
                                <w:szCs w:val="20"/>
                              </w:rPr>
                              <w:t xml:space="preserve">: </w:t>
                            </w:r>
                            <w:r w:rsidR="00B32C8D">
                              <w:rPr>
                                <w:rFonts w:ascii="Century Gothic" w:hAnsi="Century Gothic"/>
                                <w:sz w:val="20"/>
                                <w:szCs w:val="20"/>
                              </w:rPr>
                              <w:t>NO</w:t>
                            </w:r>
                          </w:p>
                          <w:p w14:paraId="1545E4B8" w14:textId="74255A93" w:rsidR="00CA0F98" w:rsidRPr="001D3CC2" w:rsidRDefault="00CA0F98" w:rsidP="004479C3">
                            <w:pPr>
                              <w:rPr>
                                <w:rFonts w:ascii="Century Gothic" w:hAnsi="Century Gothic"/>
                                <w:sz w:val="20"/>
                                <w:szCs w:val="20"/>
                              </w:rPr>
                            </w:pPr>
                          </w:p>
                          <w:p w14:paraId="21D4A71B" w14:textId="5B58BFC8" w:rsidR="00893C08" w:rsidRPr="00913F95" w:rsidRDefault="00893C08" w:rsidP="001D3CC2">
                            <w:pPr>
                              <w:ind w:left="180"/>
                              <w:rPr>
                                <w:rFonts w:ascii="Century Gothic" w:hAnsi="Century Gothic"/>
                                <w:sz w:val="20"/>
                                <w:szCs w:val="20"/>
                              </w:rPr>
                            </w:pPr>
                          </w:p>
                          <w:p w14:paraId="761B7CA4" w14:textId="77777777" w:rsidR="00893C08" w:rsidRDefault="00893C08" w:rsidP="006C43D7">
                            <w:pPr>
                              <w:rPr>
                                <w:rFonts w:ascii="Century Gothic" w:hAnsi="Century Gothic"/>
                                <w:b/>
                                <w:sz w:val="18"/>
                                <w:szCs w:val="18"/>
                              </w:rPr>
                            </w:pPr>
                          </w:p>
                          <w:p w14:paraId="0EC4BA5C" w14:textId="61945B0D" w:rsidR="00893C08" w:rsidRPr="001D3CC2" w:rsidRDefault="00893C08"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893C08" w:rsidRPr="00084341" w:rsidRDefault="00893C08"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5401FE8" id="_x0000_t202" coordsize="21600,21600" o:spt="202" path="m,l,21600r21600,l21600,xe">
                <v:stroke joinstyle="miter"/>
                <v:path gradientshapeok="t" o:connecttype="rect"/>
              </v:shapetype>
              <v:shape id="Text Box 1" o:spid="_x0000_s1026" type="#_x0000_t202" style="position:absolute;left:0;text-align:left;margin-left:0;margin-top:3.9pt;width:261pt;height:12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">
                <v:textbox>
                  <w:txbxContent>
                    <w:p w14:paraId="0EA4B470" w14:textId="77777777" w:rsidR="00893C08" w:rsidRPr="00913F95" w:rsidRDefault="00893C08" w:rsidP="006C43D7">
                      <w:pPr>
                        <w:jc w:val="center"/>
                        <w:rPr>
                          <w:rFonts w:ascii="Century Gothic" w:hAnsi="Century Gothic"/>
                          <w:b/>
                          <w:sz w:val="20"/>
                          <w:szCs w:val="20"/>
                        </w:rPr>
                      </w:pPr>
                    </w:p>
                    <w:p w14:paraId="01FDAE28" w14:textId="0AF5215D" w:rsidR="00893C08" w:rsidRDefault="00893C08" w:rsidP="00FC42BD">
                      <w:pPr>
                        <w:numPr>
                          <w:ilvl w:val="0"/>
                          <w:numId w:val="2"/>
                        </w:numPr>
                        <w:rPr>
                          <w:rFonts w:ascii="Century Gothic" w:hAnsi="Century Gothic"/>
                          <w:sz w:val="20"/>
                          <w:szCs w:val="20"/>
                        </w:rPr>
                      </w:pPr>
                      <w:r w:rsidRPr="001D3CC2">
                        <w:rPr>
                          <w:rFonts w:ascii="Century Gothic" w:hAnsi="Century Gothic"/>
                          <w:sz w:val="20"/>
                          <w:szCs w:val="20"/>
                        </w:rPr>
                        <w:t xml:space="preserve">REPORTABLE: </w:t>
                      </w:r>
                      <w:r w:rsidR="00B32C8D">
                        <w:rPr>
                          <w:rFonts w:ascii="Century Gothic" w:hAnsi="Century Gothic"/>
                          <w:sz w:val="20"/>
                          <w:szCs w:val="20"/>
                        </w:rPr>
                        <w:t>NO</w:t>
                      </w:r>
                    </w:p>
                    <w:p w14:paraId="3A4C7296" w14:textId="2989EE46" w:rsidR="00893C08" w:rsidRDefault="00893C08" w:rsidP="00FC42BD">
                      <w:pPr>
                        <w:numPr>
                          <w:ilvl w:val="0"/>
                          <w:numId w:val="2"/>
                        </w:numPr>
                        <w:rPr>
                          <w:rFonts w:ascii="Century Gothic" w:hAnsi="Century Gothic"/>
                          <w:sz w:val="20"/>
                          <w:szCs w:val="20"/>
                        </w:rPr>
                      </w:pPr>
                      <w:r w:rsidRPr="001D3CC2">
                        <w:rPr>
                          <w:rFonts w:ascii="Century Gothic" w:hAnsi="Century Gothic"/>
                          <w:sz w:val="20"/>
                          <w:szCs w:val="20"/>
                        </w:rPr>
                        <w:t>OF INTEREST TO OTHER JUDGES</w:t>
                      </w:r>
                      <w:r>
                        <w:rPr>
                          <w:rFonts w:ascii="Century Gothic" w:hAnsi="Century Gothic"/>
                          <w:sz w:val="20"/>
                          <w:szCs w:val="20"/>
                        </w:rPr>
                        <w:t xml:space="preserve">: </w:t>
                      </w:r>
                      <w:r w:rsidR="00B32C8D">
                        <w:rPr>
                          <w:rFonts w:ascii="Century Gothic" w:hAnsi="Century Gothic"/>
                          <w:sz w:val="20"/>
                          <w:szCs w:val="20"/>
                        </w:rPr>
                        <w:t>NO</w:t>
                      </w:r>
                    </w:p>
                    <w:p w14:paraId="1545E4B8" w14:textId="74255A93" w:rsidR="00CA0F98" w:rsidRPr="001D3CC2" w:rsidRDefault="00CA0F98" w:rsidP="004479C3">
                      <w:pPr>
                        <w:rPr>
                          <w:rFonts w:ascii="Century Gothic" w:hAnsi="Century Gothic"/>
                          <w:sz w:val="20"/>
                          <w:szCs w:val="20"/>
                        </w:rPr>
                      </w:pPr>
                    </w:p>
                    <w:p w14:paraId="21D4A71B" w14:textId="5B58BFC8" w:rsidR="00893C08" w:rsidRPr="00913F95" w:rsidRDefault="00893C08" w:rsidP="001D3CC2">
                      <w:pPr>
                        <w:ind w:left="180"/>
                        <w:rPr>
                          <w:rFonts w:ascii="Century Gothic" w:hAnsi="Century Gothic"/>
                          <w:sz w:val="20"/>
                          <w:szCs w:val="20"/>
                        </w:rPr>
                      </w:pPr>
                    </w:p>
                    <w:p w14:paraId="761B7CA4" w14:textId="77777777" w:rsidR="00893C08" w:rsidRDefault="00893C08" w:rsidP="006C43D7">
                      <w:pPr>
                        <w:rPr>
                          <w:rFonts w:ascii="Century Gothic" w:hAnsi="Century Gothic"/>
                          <w:b/>
                          <w:sz w:val="18"/>
                          <w:szCs w:val="18"/>
                        </w:rPr>
                      </w:pPr>
                    </w:p>
                    <w:p w14:paraId="0EC4BA5C" w14:textId="61945B0D" w:rsidR="00893C08" w:rsidRPr="001D3CC2" w:rsidRDefault="00893C08"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893C08" w:rsidRPr="00084341" w:rsidRDefault="00893C08"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r w:rsidR="00236E47" w:rsidRPr="00A9539C">
        <w:rPr>
          <w:rFonts w:cs="Arial"/>
          <w:b/>
          <w:szCs w:val="22"/>
        </w:rPr>
        <w:t>202</w:t>
      </w:r>
      <w:r w:rsidR="00515FD8" w:rsidRPr="00A9539C">
        <w:rPr>
          <w:rFonts w:cs="Arial"/>
          <w:b/>
          <w:szCs w:val="22"/>
        </w:rPr>
        <w:t xml:space="preserve">3 - </w:t>
      </w:r>
      <w:r w:rsidR="00B32C8D" w:rsidRPr="00A9539C">
        <w:rPr>
          <w:rFonts w:cs="Arial"/>
          <w:b/>
          <w:szCs w:val="22"/>
        </w:rPr>
        <w:t>102660</w:t>
      </w:r>
    </w:p>
    <w:p w14:paraId="084B5ECD" w14:textId="77777777" w:rsidR="006C43D7" w:rsidRPr="00A9539C" w:rsidRDefault="006C43D7" w:rsidP="00C74E97">
      <w:pPr>
        <w:spacing w:line="360" w:lineRule="auto"/>
        <w:jc w:val="both"/>
        <w:rPr>
          <w:rFonts w:cs="Arial"/>
          <w:szCs w:val="22"/>
        </w:rPr>
      </w:pPr>
    </w:p>
    <w:p w14:paraId="4E808D74" w14:textId="77777777" w:rsidR="006C43D7" w:rsidRPr="00A9539C" w:rsidRDefault="006C43D7" w:rsidP="00C74E97">
      <w:pPr>
        <w:spacing w:line="360" w:lineRule="auto"/>
        <w:jc w:val="both"/>
        <w:rPr>
          <w:rFonts w:cs="Arial"/>
          <w:szCs w:val="22"/>
        </w:rPr>
      </w:pPr>
    </w:p>
    <w:p w14:paraId="34BF70B6" w14:textId="77777777" w:rsidR="006C43D7" w:rsidRPr="00A9539C" w:rsidRDefault="006C43D7" w:rsidP="00C74E97">
      <w:pPr>
        <w:spacing w:line="360" w:lineRule="auto"/>
        <w:jc w:val="both"/>
        <w:rPr>
          <w:rFonts w:cs="Arial"/>
          <w:szCs w:val="22"/>
        </w:rPr>
      </w:pPr>
    </w:p>
    <w:p w14:paraId="2F53BA3A" w14:textId="7CE26CA8" w:rsidR="006C43D7" w:rsidRPr="00A9539C" w:rsidRDefault="00C56E55" w:rsidP="00C74E97">
      <w:pPr>
        <w:spacing w:line="360" w:lineRule="auto"/>
        <w:jc w:val="both"/>
        <w:rPr>
          <w:rFonts w:cs="Arial"/>
          <w:szCs w:val="22"/>
        </w:rPr>
      </w:pPr>
      <w:r w:rsidRPr="00A9539C">
        <w:rPr>
          <w:rFonts w:cs="Arial"/>
          <w:szCs w:val="22"/>
        </w:rPr>
        <w:t xml:space="preserve">                        </w:t>
      </w:r>
    </w:p>
    <w:p w14:paraId="3A1C212E" w14:textId="77777777" w:rsidR="006C43D7" w:rsidRPr="00A9539C" w:rsidRDefault="006C43D7" w:rsidP="00C74E97">
      <w:pPr>
        <w:spacing w:line="360" w:lineRule="auto"/>
        <w:jc w:val="both"/>
        <w:rPr>
          <w:rFonts w:cs="Arial"/>
          <w:szCs w:val="22"/>
        </w:rPr>
      </w:pPr>
    </w:p>
    <w:p w14:paraId="04919B1B" w14:textId="77777777" w:rsidR="001D3CC2" w:rsidRPr="00A9539C" w:rsidRDefault="001D3CC2" w:rsidP="00C74E97">
      <w:pPr>
        <w:spacing w:line="360" w:lineRule="auto"/>
        <w:jc w:val="both"/>
        <w:rPr>
          <w:rFonts w:cs="Arial"/>
          <w:szCs w:val="22"/>
        </w:rPr>
      </w:pPr>
    </w:p>
    <w:p w14:paraId="045D3852" w14:textId="77777777" w:rsidR="00E57446" w:rsidRPr="00A9539C" w:rsidRDefault="00E57446" w:rsidP="00C74E97">
      <w:pPr>
        <w:spacing w:line="360" w:lineRule="auto"/>
        <w:jc w:val="both"/>
        <w:rPr>
          <w:rFonts w:cs="Arial"/>
          <w:szCs w:val="22"/>
        </w:rPr>
      </w:pPr>
    </w:p>
    <w:p w14:paraId="2B86AF73" w14:textId="77777777" w:rsidR="00B32C8D" w:rsidRPr="00A9539C" w:rsidRDefault="00B32C8D" w:rsidP="00B32C8D">
      <w:pPr>
        <w:pStyle w:val="Default"/>
        <w:rPr>
          <w:bCs/>
          <w:sz w:val="22"/>
          <w:szCs w:val="22"/>
        </w:rPr>
      </w:pPr>
      <w:r w:rsidRPr="00A9539C">
        <w:rPr>
          <w:bCs/>
          <w:sz w:val="22"/>
          <w:szCs w:val="22"/>
        </w:rPr>
        <w:t>In the matter between</w:t>
      </w:r>
    </w:p>
    <w:p w14:paraId="69059535" w14:textId="77777777" w:rsidR="00B32C8D" w:rsidRPr="00A9539C" w:rsidRDefault="00B32C8D" w:rsidP="00B32C8D">
      <w:pPr>
        <w:pStyle w:val="Default"/>
        <w:rPr>
          <w:bCs/>
          <w:sz w:val="22"/>
          <w:szCs w:val="22"/>
        </w:rPr>
      </w:pPr>
    </w:p>
    <w:tbl>
      <w:tblPr>
        <w:tblStyle w:val="TableGrid"/>
        <w:tblW w:w="0" w:type="auto"/>
        <w:tblLook w:val="04A0" w:firstRow="1" w:lastRow="0" w:firstColumn="1" w:lastColumn="0" w:noHBand="0" w:noVBand="1"/>
      </w:tblPr>
      <w:tblGrid>
        <w:gridCol w:w="6237"/>
        <w:gridCol w:w="2314"/>
      </w:tblGrid>
      <w:tr w:rsidR="00B32C8D" w:rsidRPr="00A9539C" w14:paraId="5B09D22B" w14:textId="77777777" w:rsidTr="00B32C8D">
        <w:tc>
          <w:tcPr>
            <w:tcW w:w="6237" w:type="dxa"/>
            <w:tcBorders>
              <w:top w:val="nil"/>
              <w:left w:val="nil"/>
              <w:bottom w:val="nil"/>
              <w:right w:val="nil"/>
            </w:tcBorders>
          </w:tcPr>
          <w:p w14:paraId="163A0892" w14:textId="77777777" w:rsidR="00B32C8D" w:rsidRPr="00A9539C" w:rsidRDefault="00B32C8D" w:rsidP="00A046C6">
            <w:pPr>
              <w:pStyle w:val="Default"/>
              <w:spacing w:before="120"/>
              <w:rPr>
                <w:bCs/>
                <w:sz w:val="22"/>
                <w:szCs w:val="22"/>
              </w:rPr>
            </w:pPr>
            <w:r w:rsidRPr="00A9539C">
              <w:rPr>
                <w:b/>
                <w:bCs/>
                <w:sz w:val="22"/>
                <w:szCs w:val="22"/>
              </w:rPr>
              <w:t>THE HOUSE OF TANDOOR ENTERTAINMENT</w:t>
            </w:r>
          </w:p>
        </w:tc>
        <w:tc>
          <w:tcPr>
            <w:tcW w:w="2314" w:type="dxa"/>
            <w:tcBorders>
              <w:top w:val="nil"/>
              <w:left w:val="nil"/>
              <w:bottom w:val="nil"/>
              <w:right w:val="nil"/>
            </w:tcBorders>
          </w:tcPr>
          <w:p w14:paraId="4B67753F" w14:textId="77777777" w:rsidR="00B32C8D" w:rsidRPr="00A9539C" w:rsidRDefault="00B32C8D" w:rsidP="00A046C6">
            <w:pPr>
              <w:pStyle w:val="Default"/>
              <w:spacing w:before="120"/>
              <w:rPr>
                <w:sz w:val="22"/>
                <w:szCs w:val="22"/>
              </w:rPr>
            </w:pPr>
            <w:r w:rsidRPr="00A9539C">
              <w:rPr>
                <w:sz w:val="22"/>
                <w:szCs w:val="22"/>
              </w:rPr>
              <w:t xml:space="preserve">First Applicant </w:t>
            </w:r>
          </w:p>
        </w:tc>
      </w:tr>
      <w:tr w:rsidR="00B32C8D" w:rsidRPr="00A9539C" w14:paraId="027877AD" w14:textId="77777777" w:rsidTr="00B32C8D">
        <w:tc>
          <w:tcPr>
            <w:tcW w:w="6237" w:type="dxa"/>
            <w:tcBorders>
              <w:top w:val="nil"/>
              <w:left w:val="nil"/>
              <w:bottom w:val="nil"/>
              <w:right w:val="nil"/>
            </w:tcBorders>
          </w:tcPr>
          <w:p w14:paraId="22D0A51F" w14:textId="77777777" w:rsidR="00B32C8D" w:rsidRPr="00A9539C" w:rsidRDefault="00B32C8D" w:rsidP="00A046C6">
            <w:pPr>
              <w:pStyle w:val="Default"/>
              <w:spacing w:before="120"/>
              <w:rPr>
                <w:bCs/>
                <w:sz w:val="22"/>
                <w:szCs w:val="22"/>
              </w:rPr>
            </w:pPr>
            <w:r w:rsidRPr="00A9539C">
              <w:rPr>
                <w:b/>
                <w:bCs/>
                <w:sz w:val="22"/>
                <w:szCs w:val="22"/>
              </w:rPr>
              <w:t>ESTATE OF THE LATE ERIC MNTUVEDWA MPOBOLA</w:t>
            </w:r>
          </w:p>
        </w:tc>
        <w:tc>
          <w:tcPr>
            <w:tcW w:w="2314" w:type="dxa"/>
            <w:tcBorders>
              <w:top w:val="nil"/>
              <w:left w:val="nil"/>
              <w:bottom w:val="nil"/>
              <w:right w:val="nil"/>
            </w:tcBorders>
          </w:tcPr>
          <w:p w14:paraId="395B6683" w14:textId="77777777" w:rsidR="00B32C8D" w:rsidRPr="00A9539C" w:rsidRDefault="00B32C8D" w:rsidP="00A046C6">
            <w:pPr>
              <w:pStyle w:val="Default"/>
              <w:spacing w:before="120"/>
              <w:rPr>
                <w:sz w:val="22"/>
                <w:szCs w:val="22"/>
              </w:rPr>
            </w:pPr>
            <w:r w:rsidRPr="00A9539C">
              <w:rPr>
                <w:sz w:val="22"/>
                <w:szCs w:val="22"/>
              </w:rPr>
              <w:t xml:space="preserve">Second Applicant </w:t>
            </w:r>
          </w:p>
        </w:tc>
      </w:tr>
      <w:tr w:rsidR="00B32C8D" w:rsidRPr="00A9539C" w14:paraId="6DE9B1B2" w14:textId="77777777" w:rsidTr="00B32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37" w:type="dxa"/>
          </w:tcPr>
          <w:p w14:paraId="6293D148" w14:textId="77777777" w:rsidR="00B32C8D" w:rsidRPr="00A9539C" w:rsidRDefault="00B32C8D" w:rsidP="00A046C6">
            <w:pPr>
              <w:pStyle w:val="Default"/>
              <w:spacing w:before="120"/>
              <w:rPr>
                <w:b/>
                <w:bCs/>
                <w:sz w:val="22"/>
                <w:szCs w:val="22"/>
              </w:rPr>
            </w:pPr>
            <w:r w:rsidRPr="00A9539C">
              <w:rPr>
                <w:b/>
                <w:bCs/>
                <w:sz w:val="22"/>
                <w:szCs w:val="22"/>
              </w:rPr>
              <w:t xml:space="preserve">MOKHEMA, MAHLOKO SIMON </w:t>
            </w:r>
          </w:p>
        </w:tc>
        <w:tc>
          <w:tcPr>
            <w:tcW w:w="2314" w:type="dxa"/>
          </w:tcPr>
          <w:p w14:paraId="5BD0A228" w14:textId="77777777" w:rsidR="00B32C8D" w:rsidRPr="00A9539C" w:rsidRDefault="00B32C8D" w:rsidP="00A046C6">
            <w:pPr>
              <w:pStyle w:val="Default"/>
              <w:spacing w:before="120"/>
              <w:rPr>
                <w:sz w:val="22"/>
                <w:szCs w:val="22"/>
              </w:rPr>
            </w:pPr>
            <w:r w:rsidRPr="00A9539C">
              <w:rPr>
                <w:sz w:val="22"/>
                <w:szCs w:val="22"/>
              </w:rPr>
              <w:t>Third Applicant</w:t>
            </w:r>
          </w:p>
        </w:tc>
      </w:tr>
      <w:tr w:rsidR="00B32C8D" w:rsidRPr="00A9539C" w14:paraId="69B8FD80" w14:textId="77777777" w:rsidTr="00B32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37" w:type="dxa"/>
          </w:tcPr>
          <w:p w14:paraId="3952D959" w14:textId="77777777" w:rsidR="00B32C8D" w:rsidRPr="00A9539C" w:rsidRDefault="00B32C8D" w:rsidP="00A046C6">
            <w:pPr>
              <w:pStyle w:val="Default"/>
              <w:spacing w:before="120"/>
              <w:rPr>
                <w:b/>
                <w:bCs/>
                <w:sz w:val="22"/>
                <w:szCs w:val="22"/>
              </w:rPr>
            </w:pPr>
            <w:r w:rsidRPr="00A9539C">
              <w:rPr>
                <w:b/>
                <w:bCs/>
                <w:sz w:val="22"/>
                <w:szCs w:val="22"/>
              </w:rPr>
              <w:t xml:space="preserve">MOKHEMA, GLORIA DINAH </w:t>
            </w:r>
          </w:p>
        </w:tc>
        <w:tc>
          <w:tcPr>
            <w:tcW w:w="2314" w:type="dxa"/>
          </w:tcPr>
          <w:p w14:paraId="3A690386" w14:textId="77777777" w:rsidR="00B32C8D" w:rsidRPr="00A9539C" w:rsidRDefault="00B32C8D" w:rsidP="00A046C6">
            <w:pPr>
              <w:pStyle w:val="Default"/>
              <w:spacing w:before="120"/>
              <w:rPr>
                <w:sz w:val="22"/>
                <w:szCs w:val="22"/>
              </w:rPr>
            </w:pPr>
            <w:r w:rsidRPr="00A9539C">
              <w:rPr>
                <w:sz w:val="22"/>
                <w:szCs w:val="22"/>
              </w:rPr>
              <w:t xml:space="preserve">Fourth Applicant </w:t>
            </w:r>
          </w:p>
        </w:tc>
      </w:tr>
      <w:tr w:rsidR="00B32C8D" w:rsidRPr="00A9539C" w14:paraId="5AD3B9A6" w14:textId="77777777" w:rsidTr="00B32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37" w:type="dxa"/>
          </w:tcPr>
          <w:p w14:paraId="78E1FED3" w14:textId="77777777" w:rsidR="00B32C8D" w:rsidRPr="00A9539C" w:rsidRDefault="00B32C8D" w:rsidP="00A046C6">
            <w:pPr>
              <w:pStyle w:val="Default"/>
              <w:spacing w:before="120"/>
              <w:rPr>
                <w:b/>
                <w:bCs/>
                <w:sz w:val="22"/>
                <w:szCs w:val="22"/>
              </w:rPr>
            </w:pPr>
            <w:r w:rsidRPr="00A9539C">
              <w:rPr>
                <w:b/>
                <w:bCs/>
                <w:sz w:val="22"/>
                <w:szCs w:val="22"/>
              </w:rPr>
              <w:t xml:space="preserve">MRADU, BUYISILE </w:t>
            </w:r>
          </w:p>
        </w:tc>
        <w:tc>
          <w:tcPr>
            <w:tcW w:w="2314" w:type="dxa"/>
          </w:tcPr>
          <w:p w14:paraId="10F9D100" w14:textId="77777777" w:rsidR="00B32C8D" w:rsidRPr="00A9539C" w:rsidRDefault="00B32C8D" w:rsidP="00A046C6">
            <w:pPr>
              <w:pStyle w:val="Default"/>
              <w:spacing w:before="120"/>
              <w:rPr>
                <w:sz w:val="22"/>
                <w:szCs w:val="22"/>
              </w:rPr>
            </w:pPr>
            <w:r w:rsidRPr="00A9539C">
              <w:rPr>
                <w:sz w:val="22"/>
                <w:szCs w:val="22"/>
              </w:rPr>
              <w:t>Fifth Applicant</w:t>
            </w:r>
          </w:p>
        </w:tc>
      </w:tr>
      <w:tr w:rsidR="00B32C8D" w:rsidRPr="00A9539C" w14:paraId="4265F21D" w14:textId="77777777" w:rsidTr="00B32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37" w:type="dxa"/>
          </w:tcPr>
          <w:p w14:paraId="7E462083" w14:textId="77777777" w:rsidR="00B32C8D" w:rsidRPr="00A9539C" w:rsidRDefault="00B32C8D" w:rsidP="00A046C6">
            <w:pPr>
              <w:pStyle w:val="Default"/>
              <w:spacing w:before="120"/>
              <w:rPr>
                <w:sz w:val="22"/>
                <w:szCs w:val="22"/>
              </w:rPr>
            </w:pPr>
          </w:p>
          <w:p w14:paraId="1A91E3F0" w14:textId="265FC3D5" w:rsidR="00B32C8D" w:rsidRPr="00A9539C" w:rsidRDefault="00B32C8D" w:rsidP="00A046C6">
            <w:pPr>
              <w:pStyle w:val="Default"/>
              <w:spacing w:before="120"/>
              <w:rPr>
                <w:sz w:val="22"/>
                <w:szCs w:val="22"/>
              </w:rPr>
            </w:pPr>
            <w:r w:rsidRPr="00A9539C">
              <w:rPr>
                <w:sz w:val="22"/>
                <w:szCs w:val="22"/>
              </w:rPr>
              <w:t>And</w:t>
            </w:r>
          </w:p>
          <w:p w14:paraId="07860E8B" w14:textId="1F6845AF" w:rsidR="00B32C8D" w:rsidRPr="00A9539C" w:rsidRDefault="00B32C8D" w:rsidP="00A046C6">
            <w:pPr>
              <w:pStyle w:val="Default"/>
              <w:spacing w:before="120"/>
              <w:rPr>
                <w:sz w:val="22"/>
                <w:szCs w:val="22"/>
              </w:rPr>
            </w:pPr>
            <w:bookmarkStart w:id="0" w:name="_GoBack"/>
            <w:bookmarkEnd w:id="0"/>
          </w:p>
        </w:tc>
        <w:tc>
          <w:tcPr>
            <w:tcW w:w="2314" w:type="dxa"/>
          </w:tcPr>
          <w:p w14:paraId="3CE899ED" w14:textId="77777777" w:rsidR="00B32C8D" w:rsidRPr="00A9539C" w:rsidRDefault="00B32C8D" w:rsidP="00A046C6">
            <w:pPr>
              <w:pStyle w:val="Default"/>
              <w:spacing w:before="120"/>
              <w:rPr>
                <w:sz w:val="22"/>
                <w:szCs w:val="22"/>
              </w:rPr>
            </w:pPr>
          </w:p>
        </w:tc>
      </w:tr>
      <w:tr w:rsidR="00B32C8D" w:rsidRPr="00A9539C" w14:paraId="1F7F080F" w14:textId="77777777" w:rsidTr="00B32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37" w:type="dxa"/>
          </w:tcPr>
          <w:p w14:paraId="5C061448" w14:textId="77777777" w:rsidR="00B32C8D" w:rsidRPr="00A9539C" w:rsidRDefault="00B32C8D" w:rsidP="00A046C6">
            <w:pPr>
              <w:pStyle w:val="Default"/>
              <w:spacing w:before="120"/>
              <w:rPr>
                <w:b/>
                <w:bCs/>
                <w:sz w:val="22"/>
                <w:szCs w:val="22"/>
              </w:rPr>
            </w:pPr>
            <w:r w:rsidRPr="00A9539C">
              <w:rPr>
                <w:b/>
                <w:bCs/>
                <w:sz w:val="22"/>
                <w:szCs w:val="22"/>
              </w:rPr>
              <w:t>TUHF URBAN FINANCE (RF) LTD</w:t>
            </w:r>
          </w:p>
        </w:tc>
        <w:tc>
          <w:tcPr>
            <w:tcW w:w="2314" w:type="dxa"/>
          </w:tcPr>
          <w:p w14:paraId="7044EE83" w14:textId="77777777" w:rsidR="00B32C8D" w:rsidRPr="00A9539C" w:rsidRDefault="00B32C8D" w:rsidP="00A046C6">
            <w:pPr>
              <w:pStyle w:val="Default"/>
              <w:spacing w:before="120"/>
              <w:rPr>
                <w:sz w:val="22"/>
                <w:szCs w:val="22"/>
              </w:rPr>
            </w:pPr>
            <w:r w:rsidRPr="00A9539C">
              <w:rPr>
                <w:sz w:val="22"/>
                <w:szCs w:val="22"/>
              </w:rPr>
              <w:t xml:space="preserve">First Respondent </w:t>
            </w:r>
          </w:p>
        </w:tc>
      </w:tr>
      <w:tr w:rsidR="00B32C8D" w:rsidRPr="00A9539C" w14:paraId="183CE9E1" w14:textId="77777777" w:rsidTr="00B32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37" w:type="dxa"/>
          </w:tcPr>
          <w:p w14:paraId="6764F3A6" w14:textId="77777777" w:rsidR="00B32C8D" w:rsidRPr="00A9539C" w:rsidRDefault="00B32C8D" w:rsidP="00A046C6">
            <w:pPr>
              <w:pStyle w:val="Default"/>
              <w:spacing w:before="120"/>
              <w:rPr>
                <w:b/>
                <w:bCs/>
                <w:sz w:val="22"/>
                <w:szCs w:val="22"/>
              </w:rPr>
            </w:pPr>
            <w:r w:rsidRPr="00A9539C">
              <w:rPr>
                <w:b/>
                <w:bCs/>
                <w:sz w:val="22"/>
                <w:szCs w:val="22"/>
              </w:rPr>
              <w:t>ACTING SHERIFF OF JOHANNESBURG EAST</w:t>
            </w:r>
          </w:p>
        </w:tc>
        <w:tc>
          <w:tcPr>
            <w:tcW w:w="2314" w:type="dxa"/>
          </w:tcPr>
          <w:p w14:paraId="26E41D18" w14:textId="77777777" w:rsidR="00B32C8D" w:rsidRPr="00A9539C" w:rsidRDefault="00B32C8D" w:rsidP="00A046C6">
            <w:pPr>
              <w:pStyle w:val="Default"/>
              <w:spacing w:before="120"/>
              <w:rPr>
                <w:sz w:val="22"/>
                <w:szCs w:val="22"/>
              </w:rPr>
            </w:pPr>
            <w:r w:rsidRPr="00A9539C">
              <w:rPr>
                <w:sz w:val="22"/>
                <w:szCs w:val="22"/>
              </w:rPr>
              <w:t>Second Respondent</w:t>
            </w:r>
          </w:p>
        </w:tc>
      </w:tr>
      <w:tr w:rsidR="00B32C8D" w:rsidRPr="00A9539C" w14:paraId="7468ED9D" w14:textId="77777777" w:rsidTr="00B32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37" w:type="dxa"/>
          </w:tcPr>
          <w:p w14:paraId="73E50D24" w14:textId="77777777" w:rsidR="00B32C8D" w:rsidRPr="00A9539C" w:rsidRDefault="00B32C8D" w:rsidP="00A046C6">
            <w:pPr>
              <w:pStyle w:val="Default"/>
              <w:spacing w:before="120"/>
              <w:rPr>
                <w:b/>
                <w:bCs/>
                <w:sz w:val="22"/>
                <w:szCs w:val="22"/>
              </w:rPr>
            </w:pPr>
            <w:r w:rsidRPr="00A9539C">
              <w:rPr>
                <w:b/>
                <w:bCs/>
                <w:sz w:val="22"/>
                <w:szCs w:val="22"/>
              </w:rPr>
              <w:t>SHERIFF OF JOHANNESBURG CENTRAL</w:t>
            </w:r>
          </w:p>
        </w:tc>
        <w:tc>
          <w:tcPr>
            <w:tcW w:w="2314" w:type="dxa"/>
          </w:tcPr>
          <w:p w14:paraId="353604F5" w14:textId="77777777" w:rsidR="00B32C8D" w:rsidRPr="00A9539C" w:rsidRDefault="00B32C8D" w:rsidP="00A046C6">
            <w:pPr>
              <w:pStyle w:val="Default"/>
              <w:spacing w:before="120"/>
              <w:rPr>
                <w:sz w:val="22"/>
                <w:szCs w:val="22"/>
              </w:rPr>
            </w:pPr>
            <w:r w:rsidRPr="00A9539C">
              <w:rPr>
                <w:sz w:val="22"/>
                <w:szCs w:val="22"/>
              </w:rPr>
              <w:t>Third Respondent</w:t>
            </w:r>
          </w:p>
        </w:tc>
      </w:tr>
      <w:tr w:rsidR="00B32C8D" w:rsidRPr="00A9539C" w14:paraId="47A1F509" w14:textId="77777777" w:rsidTr="00B32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37" w:type="dxa"/>
          </w:tcPr>
          <w:p w14:paraId="78708C3A" w14:textId="77777777" w:rsidR="00B32C8D" w:rsidRPr="00A9539C" w:rsidRDefault="00B32C8D" w:rsidP="00A046C6">
            <w:pPr>
              <w:pStyle w:val="Default"/>
              <w:spacing w:before="120"/>
              <w:rPr>
                <w:b/>
                <w:bCs/>
                <w:sz w:val="22"/>
                <w:szCs w:val="22"/>
              </w:rPr>
            </w:pPr>
            <w:r w:rsidRPr="00A9539C">
              <w:rPr>
                <w:b/>
                <w:bCs/>
                <w:sz w:val="22"/>
                <w:szCs w:val="22"/>
              </w:rPr>
              <w:t>SHERIFF OF RANDBURG WEST</w:t>
            </w:r>
          </w:p>
        </w:tc>
        <w:tc>
          <w:tcPr>
            <w:tcW w:w="2314" w:type="dxa"/>
          </w:tcPr>
          <w:p w14:paraId="10C0985D" w14:textId="77777777" w:rsidR="00B32C8D" w:rsidRPr="00A9539C" w:rsidRDefault="00B32C8D" w:rsidP="00A046C6">
            <w:pPr>
              <w:pStyle w:val="Default"/>
              <w:spacing w:before="120"/>
              <w:rPr>
                <w:sz w:val="22"/>
                <w:szCs w:val="22"/>
              </w:rPr>
            </w:pPr>
            <w:r w:rsidRPr="00A9539C">
              <w:rPr>
                <w:sz w:val="22"/>
                <w:szCs w:val="22"/>
              </w:rPr>
              <w:t>Fourth Respondent</w:t>
            </w:r>
          </w:p>
        </w:tc>
      </w:tr>
      <w:tr w:rsidR="00B32C8D" w:rsidRPr="00A9539C" w14:paraId="7A67A1A8" w14:textId="77777777" w:rsidTr="00B32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37" w:type="dxa"/>
          </w:tcPr>
          <w:p w14:paraId="2B423E86" w14:textId="77777777" w:rsidR="00B32C8D" w:rsidRPr="00A9539C" w:rsidRDefault="00B32C8D" w:rsidP="00A046C6">
            <w:pPr>
              <w:pStyle w:val="Default"/>
              <w:spacing w:before="120"/>
              <w:rPr>
                <w:b/>
                <w:bCs/>
                <w:sz w:val="22"/>
                <w:szCs w:val="22"/>
              </w:rPr>
            </w:pPr>
            <w:r w:rsidRPr="00A9539C">
              <w:rPr>
                <w:b/>
                <w:bCs/>
                <w:sz w:val="22"/>
                <w:szCs w:val="22"/>
              </w:rPr>
              <w:t>FIRST NATIONAL BANK</w:t>
            </w:r>
          </w:p>
        </w:tc>
        <w:tc>
          <w:tcPr>
            <w:tcW w:w="2314" w:type="dxa"/>
          </w:tcPr>
          <w:p w14:paraId="276575DF" w14:textId="77777777" w:rsidR="00B32C8D" w:rsidRPr="00A9539C" w:rsidRDefault="00B32C8D" w:rsidP="00A046C6">
            <w:pPr>
              <w:pStyle w:val="Default"/>
              <w:spacing w:before="120"/>
              <w:rPr>
                <w:sz w:val="22"/>
                <w:szCs w:val="22"/>
              </w:rPr>
            </w:pPr>
            <w:r w:rsidRPr="00A9539C">
              <w:rPr>
                <w:sz w:val="22"/>
                <w:szCs w:val="22"/>
              </w:rPr>
              <w:t>Fifth Respondent</w:t>
            </w:r>
          </w:p>
        </w:tc>
      </w:tr>
    </w:tbl>
    <w:p w14:paraId="74B1AC54" w14:textId="77777777" w:rsidR="00B32C8D" w:rsidRPr="00A9539C" w:rsidRDefault="00B32C8D" w:rsidP="00B32C8D">
      <w:pPr>
        <w:pStyle w:val="Default"/>
        <w:rPr>
          <w:bCs/>
          <w:sz w:val="22"/>
          <w:szCs w:val="22"/>
        </w:rPr>
      </w:pPr>
    </w:p>
    <w:p w14:paraId="5F2D0DEC" w14:textId="77777777" w:rsidR="00B32C8D" w:rsidRPr="00A9539C" w:rsidRDefault="00B32C8D" w:rsidP="00B32C8D">
      <w:pPr>
        <w:pStyle w:val="Default"/>
        <w:rPr>
          <w:bCs/>
          <w:sz w:val="22"/>
          <w:szCs w:val="22"/>
        </w:rPr>
      </w:pPr>
    </w:p>
    <w:p w14:paraId="2E9E9900" w14:textId="77777777" w:rsidR="0023405C" w:rsidRPr="00A9539C" w:rsidRDefault="0023405C" w:rsidP="00C74E97">
      <w:pPr>
        <w:pBdr>
          <w:bottom w:val="single" w:sz="4" w:space="1" w:color="auto"/>
        </w:pBdr>
        <w:spacing w:line="360" w:lineRule="auto"/>
        <w:jc w:val="both"/>
        <w:rPr>
          <w:rFonts w:cs="Arial"/>
          <w:szCs w:val="22"/>
        </w:rPr>
      </w:pPr>
    </w:p>
    <w:p w14:paraId="62906DF6" w14:textId="77777777" w:rsidR="00B32C8D" w:rsidRPr="00A9539C" w:rsidRDefault="00B32C8D" w:rsidP="00C74E97">
      <w:pPr>
        <w:pBdr>
          <w:bottom w:val="single" w:sz="4" w:space="1" w:color="auto"/>
        </w:pBdr>
        <w:spacing w:line="360" w:lineRule="auto"/>
        <w:jc w:val="both"/>
        <w:rPr>
          <w:rFonts w:cs="Arial"/>
          <w:szCs w:val="22"/>
        </w:rPr>
      </w:pPr>
    </w:p>
    <w:p w14:paraId="2BF1292A" w14:textId="77777777" w:rsidR="0023405C" w:rsidRPr="00A9539C" w:rsidRDefault="0023405C" w:rsidP="00C74E97">
      <w:pPr>
        <w:pBdr>
          <w:bottom w:val="single" w:sz="4" w:space="1" w:color="auto"/>
        </w:pBdr>
        <w:spacing w:line="360" w:lineRule="auto"/>
        <w:jc w:val="both"/>
        <w:rPr>
          <w:rFonts w:cs="Arial"/>
          <w:szCs w:val="22"/>
        </w:rPr>
      </w:pPr>
    </w:p>
    <w:p w14:paraId="67781CE9" w14:textId="77777777" w:rsidR="0023405C" w:rsidRPr="00A9539C" w:rsidRDefault="0023405C" w:rsidP="00C74E97">
      <w:pPr>
        <w:pBdr>
          <w:bottom w:val="single" w:sz="4" w:space="1" w:color="auto"/>
        </w:pBdr>
        <w:spacing w:line="360" w:lineRule="auto"/>
        <w:jc w:val="both"/>
        <w:rPr>
          <w:rFonts w:cs="Arial"/>
          <w:szCs w:val="22"/>
        </w:rPr>
      </w:pPr>
    </w:p>
    <w:p w14:paraId="58DE5549" w14:textId="77777777" w:rsidR="006C43D7" w:rsidRPr="00A9539C" w:rsidRDefault="006C43D7" w:rsidP="00C74E97">
      <w:pPr>
        <w:spacing w:line="360" w:lineRule="auto"/>
        <w:jc w:val="both"/>
        <w:rPr>
          <w:rFonts w:cs="Arial"/>
          <w:szCs w:val="22"/>
        </w:rPr>
      </w:pPr>
    </w:p>
    <w:p w14:paraId="647AB70C" w14:textId="77777777" w:rsidR="006C43D7" w:rsidRPr="00A9539C" w:rsidRDefault="006C43D7" w:rsidP="00C74E97">
      <w:pPr>
        <w:keepNext/>
        <w:spacing w:line="360" w:lineRule="auto"/>
        <w:jc w:val="center"/>
        <w:outlineLvl w:val="1"/>
        <w:rPr>
          <w:rFonts w:cs="Arial"/>
          <w:b/>
          <w:bCs/>
          <w:szCs w:val="22"/>
        </w:rPr>
      </w:pPr>
      <w:r w:rsidRPr="00A9539C">
        <w:rPr>
          <w:rFonts w:cs="Arial"/>
          <w:b/>
          <w:bCs/>
          <w:szCs w:val="22"/>
        </w:rPr>
        <w:t>JUDGMENT</w:t>
      </w:r>
    </w:p>
    <w:p w14:paraId="52CD25EB" w14:textId="77777777" w:rsidR="006C43D7" w:rsidRPr="00A9539C" w:rsidRDefault="006C43D7" w:rsidP="00C74E97">
      <w:pPr>
        <w:pBdr>
          <w:bottom w:val="single" w:sz="4" w:space="1" w:color="auto"/>
        </w:pBdr>
        <w:spacing w:line="360" w:lineRule="auto"/>
        <w:jc w:val="both"/>
        <w:rPr>
          <w:rFonts w:cs="Arial"/>
          <w:szCs w:val="22"/>
        </w:rPr>
      </w:pPr>
    </w:p>
    <w:p w14:paraId="0CA76DA1" w14:textId="77777777" w:rsidR="00DC621D" w:rsidRPr="00A9539C" w:rsidRDefault="00DC621D" w:rsidP="00C74E97">
      <w:pPr>
        <w:spacing w:line="360" w:lineRule="auto"/>
        <w:jc w:val="both"/>
        <w:rPr>
          <w:rFonts w:cs="Arial"/>
          <w:b/>
          <w:szCs w:val="22"/>
        </w:rPr>
      </w:pPr>
    </w:p>
    <w:p w14:paraId="5BD82EFE" w14:textId="0F8FBF70" w:rsidR="00BE6AB8" w:rsidRPr="00A9539C" w:rsidRDefault="00C676F3" w:rsidP="00C74E97">
      <w:pPr>
        <w:spacing w:after="480" w:line="360" w:lineRule="auto"/>
        <w:jc w:val="both"/>
        <w:rPr>
          <w:rFonts w:cs="Arial"/>
          <w:b/>
          <w:szCs w:val="22"/>
        </w:rPr>
      </w:pPr>
      <w:r w:rsidRPr="00A9539C">
        <w:rPr>
          <w:rFonts w:cs="Arial"/>
          <w:b/>
          <w:szCs w:val="22"/>
        </w:rPr>
        <w:t>MOORCROFT</w:t>
      </w:r>
      <w:r w:rsidR="006C43D7" w:rsidRPr="00A9539C">
        <w:rPr>
          <w:rFonts w:cs="Arial"/>
          <w:b/>
          <w:szCs w:val="22"/>
        </w:rPr>
        <w:t xml:space="preserve"> AJ:</w:t>
      </w:r>
    </w:p>
    <w:p w14:paraId="09239A78" w14:textId="205827F2" w:rsidR="00C460A0" w:rsidRDefault="00C460A0" w:rsidP="00C74E97">
      <w:pPr>
        <w:keepNext/>
        <w:spacing w:after="480" w:line="360" w:lineRule="auto"/>
        <w:jc w:val="both"/>
        <w:rPr>
          <w:rFonts w:cs="Arial"/>
          <w:bCs/>
          <w:i/>
          <w:iCs/>
          <w:szCs w:val="22"/>
          <w:u w:val="single"/>
        </w:rPr>
      </w:pPr>
      <w:r w:rsidRPr="00A9539C">
        <w:rPr>
          <w:rFonts w:cs="Arial"/>
          <w:bCs/>
          <w:i/>
          <w:iCs/>
          <w:szCs w:val="22"/>
          <w:u w:val="single"/>
        </w:rPr>
        <w:t>Summary</w:t>
      </w:r>
    </w:p>
    <w:p w14:paraId="01FF4460" w14:textId="7BD683F2" w:rsidR="00610327" w:rsidRDefault="00610327" w:rsidP="00C74E97">
      <w:pPr>
        <w:keepNext/>
        <w:spacing w:after="480" w:line="360" w:lineRule="auto"/>
        <w:jc w:val="both"/>
        <w:rPr>
          <w:rFonts w:cs="Arial"/>
          <w:bCs/>
          <w:i/>
          <w:iCs/>
          <w:szCs w:val="22"/>
        </w:rPr>
      </w:pPr>
      <w:r>
        <w:rPr>
          <w:rFonts w:cs="Arial"/>
          <w:bCs/>
          <w:i/>
          <w:iCs/>
          <w:szCs w:val="22"/>
        </w:rPr>
        <w:t>Stay of execution – appeal lapsed – application for leave to appeal out of time – applicants not entitled to a stay</w:t>
      </w:r>
    </w:p>
    <w:p w14:paraId="2283879C" w14:textId="6E4FA31D" w:rsidR="00610327" w:rsidRPr="00610327" w:rsidRDefault="00610327" w:rsidP="00C74E97">
      <w:pPr>
        <w:keepNext/>
        <w:spacing w:after="480" w:line="360" w:lineRule="auto"/>
        <w:jc w:val="both"/>
        <w:rPr>
          <w:rFonts w:cs="Arial"/>
          <w:bCs/>
          <w:i/>
          <w:iCs/>
          <w:szCs w:val="22"/>
        </w:rPr>
      </w:pPr>
      <w:r>
        <w:rPr>
          <w:rFonts w:cs="Arial"/>
          <w:bCs/>
          <w:i/>
          <w:iCs/>
          <w:szCs w:val="22"/>
        </w:rPr>
        <w:t xml:space="preserve">Contempt of court – third </w:t>
      </w:r>
      <w:r w:rsidR="00FA2116">
        <w:rPr>
          <w:rFonts w:cs="Arial"/>
          <w:bCs/>
          <w:i/>
          <w:iCs/>
          <w:szCs w:val="22"/>
        </w:rPr>
        <w:t>applicant’s</w:t>
      </w:r>
      <w:r>
        <w:rPr>
          <w:rFonts w:cs="Arial"/>
          <w:bCs/>
          <w:i/>
          <w:iCs/>
          <w:szCs w:val="22"/>
        </w:rPr>
        <w:t xml:space="preserve"> professed understanding of the law wrong – is represented by attorneys – litigant expected to familiarise him or herself with law applicable to his or her actions – professed ignorance of the law no excuse</w:t>
      </w:r>
    </w:p>
    <w:p w14:paraId="36DBD405" w14:textId="77777777" w:rsidR="00B32C8D" w:rsidRPr="00A9539C" w:rsidRDefault="00B32C8D" w:rsidP="00C74E97">
      <w:pPr>
        <w:keepNext/>
        <w:spacing w:after="480" w:line="360" w:lineRule="auto"/>
        <w:jc w:val="both"/>
        <w:rPr>
          <w:rFonts w:cs="Arial"/>
          <w:bCs/>
          <w:i/>
          <w:iCs/>
          <w:szCs w:val="22"/>
        </w:rPr>
      </w:pPr>
    </w:p>
    <w:p w14:paraId="18AFD427" w14:textId="7B3D0B7D" w:rsidR="00BE6AB8" w:rsidRPr="00A9539C" w:rsidRDefault="00BE6AB8" w:rsidP="00C74E97">
      <w:pPr>
        <w:keepNext/>
        <w:spacing w:after="480" w:line="360" w:lineRule="auto"/>
        <w:jc w:val="both"/>
        <w:rPr>
          <w:rFonts w:cs="Arial"/>
          <w:bCs/>
          <w:szCs w:val="22"/>
          <w:u w:val="single"/>
        </w:rPr>
      </w:pPr>
      <w:r w:rsidRPr="00A9539C">
        <w:rPr>
          <w:rFonts w:cs="Arial"/>
          <w:bCs/>
          <w:szCs w:val="22"/>
          <w:u w:val="single"/>
        </w:rPr>
        <w:t>Order</w:t>
      </w:r>
    </w:p>
    <w:p w14:paraId="63515C87" w14:textId="5333A5C8" w:rsidR="004E3D0E" w:rsidRPr="00A9539C" w:rsidRDefault="003B4100" w:rsidP="00AD4080">
      <w:pPr>
        <w:numPr>
          <w:ilvl w:val="0"/>
          <w:numId w:val="1"/>
        </w:numPr>
        <w:spacing w:after="480" w:line="360" w:lineRule="auto"/>
        <w:jc w:val="both"/>
        <w:rPr>
          <w:rFonts w:cs="Arial"/>
          <w:i/>
          <w:iCs/>
          <w:szCs w:val="22"/>
        </w:rPr>
      </w:pPr>
      <w:r w:rsidRPr="00A9539C">
        <w:rPr>
          <w:rFonts w:cs="Arial"/>
          <w:bCs/>
          <w:szCs w:val="22"/>
        </w:rPr>
        <w:t xml:space="preserve">In this </w:t>
      </w:r>
      <w:r w:rsidR="00B56906" w:rsidRPr="00A9539C">
        <w:rPr>
          <w:rFonts w:cs="Arial"/>
          <w:bCs/>
          <w:szCs w:val="22"/>
        </w:rPr>
        <w:t xml:space="preserve">matter </w:t>
      </w:r>
      <w:r w:rsidR="00C460A0" w:rsidRPr="00A9539C">
        <w:rPr>
          <w:rFonts w:cs="Arial"/>
          <w:bCs/>
          <w:szCs w:val="22"/>
        </w:rPr>
        <w:t>I ma</w:t>
      </w:r>
      <w:r w:rsidR="000976D2" w:rsidRPr="00A9539C">
        <w:rPr>
          <w:rFonts w:cs="Arial"/>
          <w:bCs/>
          <w:szCs w:val="22"/>
        </w:rPr>
        <w:t>k</w:t>
      </w:r>
      <w:r w:rsidR="00DC6EF8" w:rsidRPr="00A9539C">
        <w:rPr>
          <w:rFonts w:cs="Arial"/>
          <w:bCs/>
          <w:szCs w:val="22"/>
        </w:rPr>
        <w:t>e</w:t>
      </w:r>
      <w:r w:rsidR="00C460A0" w:rsidRPr="00A9539C">
        <w:rPr>
          <w:rFonts w:cs="Arial"/>
          <w:bCs/>
          <w:szCs w:val="22"/>
        </w:rPr>
        <w:t xml:space="preserve"> the following order</w:t>
      </w:r>
      <w:r w:rsidR="000976D2" w:rsidRPr="00A9539C">
        <w:rPr>
          <w:rFonts w:cs="Arial"/>
          <w:bCs/>
          <w:szCs w:val="22"/>
        </w:rPr>
        <w:t>:</w:t>
      </w:r>
    </w:p>
    <w:p w14:paraId="79F91518" w14:textId="1B22D52C" w:rsidR="00B32C8D" w:rsidRPr="00A9539C" w:rsidRDefault="00610327" w:rsidP="005D56A8">
      <w:pPr>
        <w:pStyle w:val="ListParagraph"/>
        <w:numPr>
          <w:ilvl w:val="0"/>
          <w:numId w:val="19"/>
        </w:numPr>
        <w:spacing w:before="120" w:after="120" w:line="360" w:lineRule="auto"/>
        <w:jc w:val="both"/>
        <w:rPr>
          <w:rFonts w:cs="Arial"/>
          <w:i/>
          <w:iCs/>
          <w:szCs w:val="22"/>
          <w:lang w:val="en-GB"/>
        </w:rPr>
      </w:pPr>
      <w:r>
        <w:rPr>
          <w:rFonts w:cs="Arial"/>
          <w:i/>
          <w:iCs/>
          <w:szCs w:val="22"/>
          <w:lang w:val="en-GB"/>
        </w:rPr>
        <w:t>The applicants’ application is dismissed</w:t>
      </w:r>
      <w:r w:rsidR="00344D4C">
        <w:rPr>
          <w:rFonts w:cs="Arial"/>
          <w:i/>
          <w:iCs/>
          <w:szCs w:val="22"/>
          <w:lang w:val="en-GB"/>
        </w:rPr>
        <w:t>;</w:t>
      </w:r>
    </w:p>
    <w:p w14:paraId="391698DC" w14:textId="12657153" w:rsidR="00B32C8D" w:rsidRDefault="00344D4C" w:rsidP="005D56A8">
      <w:pPr>
        <w:pStyle w:val="ListParagraph"/>
        <w:numPr>
          <w:ilvl w:val="0"/>
          <w:numId w:val="19"/>
        </w:numPr>
        <w:spacing w:before="120" w:after="120" w:line="360" w:lineRule="auto"/>
        <w:jc w:val="both"/>
        <w:rPr>
          <w:rFonts w:cs="Arial"/>
          <w:i/>
          <w:iCs/>
          <w:szCs w:val="22"/>
          <w:lang w:val="en-GB"/>
        </w:rPr>
      </w:pPr>
      <w:r>
        <w:rPr>
          <w:rFonts w:cs="Arial"/>
          <w:i/>
          <w:iCs/>
          <w:szCs w:val="22"/>
          <w:lang w:val="en-GB"/>
        </w:rPr>
        <w:t>The applicants</w:t>
      </w:r>
      <w:r w:rsidR="00C60F7B">
        <w:rPr>
          <w:rFonts w:cs="Arial"/>
          <w:i/>
          <w:iCs/>
          <w:szCs w:val="22"/>
          <w:lang w:val="en-GB"/>
        </w:rPr>
        <w:t xml:space="preserve"> jointly and severally, the one paying the other to be absolved,</w:t>
      </w:r>
      <w:r>
        <w:rPr>
          <w:rFonts w:cs="Arial"/>
          <w:i/>
          <w:iCs/>
          <w:szCs w:val="22"/>
          <w:lang w:val="en-GB"/>
        </w:rPr>
        <w:t xml:space="preserve"> are ordered to pay the costs of the application on the scale as between attorney and own client;</w:t>
      </w:r>
    </w:p>
    <w:p w14:paraId="606205CA" w14:textId="115912AC" w:rsidR="00344D4C" w:rsidRPr="00344D4C" w:rsidRDefault="00344D4C" w:rsidP="005D56A8">
      <w:pPr>
        <w:pStyle w:val="ListParagraph"/>
        <w:numPr>
          <w:ilvl w:val="0"/>
          <w:numId w:val="19"/>
        </w:numPr>
        <w:spacing w:before="120" w:after="120" w:line="360" w:lineRule="auto"/>
        <w:jc w:val="both"/>
        <w:rPr>
          <w:rFonts w:cs="Arial"/>
          <w:i/>
          <w:iCs/>
          <w:szCs w:val="22"/>
          <w:lang w:val="en-GB"/>
        </w:rPr>
      </w:pPr>
      <w:r>
        <w:rPr>
          <w:rFonts w:cs="Arial"/>
          <w:i/>
          <w:iCs/>
          <w:szCs w:val="22"/>
          <w:lang w:val="en-GB"/>
        </w:rPr>
        <w:t xml:space="preserve">The third </w:t>
      </w:r>
      <w:r w:rsidR="001E1BE3">
        <w:rPr>
          <w:rFonts w:cs="Arial"/>
          <w:i/>
          <w:iCs/>
          <w:szCs w:val="22"/>
          <w:lang w:val="en-GB"/>
        </w:rPr>
        <w:t>applicant</w:t>
      </w:r>
      <w:r>
        <w:rPr>
          <w:rFonts w:cs="Arial"/>
          <w:i/>
          <w:iCs/>
          <w:szCs w:val="22"/>
          <w:lang w:val="en-GB"/>
        </w:rPr>
        <w:t xml:space="preserve"> is declared to be in contempt of court of the order granted on</w:t>
      </w:r>
      <w:r w:rsidRPr="00A9539C">
        <w:rPr>
          <w:rFonts w:cs="Arial"/>
          <w:bCs/>
          <w:szCs w:val="22"/>
          <w:lang w:val="en-GB"/>
        </w:rPr>
        <w:t xml:space="preserve"> </w:t>
      </w:r>
      <w:r w:rsidRPr="00344D4C">
        <w:rPr>
          <w:rFonts w:cs="Arial"/>
          <w:bCs/>
          <w:i/>
          <w:iCs/>
          <w:szCs w:val="22"/>
          <w:lang w:val="en-GB"/>
        </w:rPr>
        <w:t>10 December 2021 under case number 2020/42518</w:t>
      </w:r>
      <w:r>
        <w:rPr>
          <w:rFonts w:cs="Arial"/>
          <w:bCs/>
          <w:i/>
          <w:iCs/>
          <w:szCs w:val="22"/>
          <w:lang w:val="en-GB"/>
        </w:rPr>
        <w:t>;</w:t>
      </w:r>
    </w:p>
    <w:p w14:paraId="34691278" w14:textId="59D06B77" w:rsidR="00344D4C" w:rsidRDefault="001E1BE3" w:rsidP="005D56A8">
      <w:pPr>
        <w:pStyle w:val="ListParagraph"/>
        <w:numPr>
          <w:ilvl w:val="0"/>
          <w:numId w:val="19"/>
        </w:numPr>
        <w:spacing w:before="120" w:after="120" w:line="360" w:lineRule="auto"/>
        <w:jc w:val="both"/>
        <w:rPr>
          <w:rFonts w:cs="Arial"/>
          <w:i/>
          <w:iCs/>
          <w:szCs w:val="22"/>
          <w:lang w:val="en-GB"/>
        </w:rPr>
      </w:pPr>
      <w:r>
        <w:rPr>
          <w:rFonts w:cs="Arial"/>
          <w:i/>
          <w:iCs/>
          <w:szCs w:val="22"/>
          <w:lang w:val="en-GB"/>
        </w:rPr>
        <w:t xml:space="preserve">In the event of the third </w:t>
      </w:r>
      <w:r w:rsidR="00FA2116">
        <w:rPr>
          <w:rFonts w:cs="Arial"/>
          <w:i/>
          <w:iCs/>
          <w:szCs w:val="22"/>
          <w:lang w:val="en-GB"/>
        </w:rPr>
        <w:t>applicant</w:t>
      </w:r>
      <w:r>
        <w:rPr>
          <w:rFonts w:cs="Arial"/>
          <w:i/>
          <w:iCs/>
          <w:szCs w:val="22"/>
          <w:lang w:val="en-GB"/>
        </w:rPr>
        <w:t xml:space="preserve"> persisting with his conduct in collecting rent in breach of the said order the first respondent is granted leave to approach the court on amplified papers to seek an order </w:t>
      </w:r>
      <w:r w:rsidR="009256CA">
        <w:rPr>
          <w:rFonts w:cs="Arial"/>
          <w:i/>
          <w:iCs/>
          <w:szCs w:val="22"/>
          <w:lang w:val="en-GB"/>
        </w:rPr>
        <w:t>for</w:t>
      </w:r>
      <w:r>
        <w:rPr>
          <w:rFonts w:cs="Arial"/>
          <w:i/>
          <w:iCs/>
          <w:szCs w:val="22"/>
          <w:lang w:val="en-GB"/>
        </w:rPr>
        <w:t xml:space="preserve"> imprisonment or other relief;</w:t>
      </w:r>
    </w:p>
    <w:p w14:paraId="2AF8D89C" w14:textId="07BF61D9" w:rsidR="00344D4C" w:rsidRPr="00A9539C" w:rsidRDefault="00344D4C" w:rsidP="005D56A8">
      <w:pPr>
        <w:pStyle w:val="ListParagraph"/>
        <w:numPr>
          <w:ilvl w:val="0"/>
          <w:numId w:val="19"/>
        </w:numPr>
        <w:spacing w:before="120" w:after="120" w:line="360" w:lineRule="auto"/>
        <w:jc w:val="both"/>
        <w:rPr>
          <w:rFonts w:cs="Arial"/>
          <w:i/>
          <w:iCs/>
          <w:szCs w:val="22"/>
          <w:lang w:val="en-GB"/>
        </w:rPr>
      </w:pPr>
      <w:r>
        <w:rPr>
          <w:rFonts w:cs="Arial"/>
          <w:i/>
          <w:iCs/>
          <w:szCs w:val="22"/>
          <w:lang w:val="en-GB"/>
        </w:rPr>
        <w:t xml:space="preserve">The third </w:t>
      </w:r>
      <w:r w:rsidR="00FA2116">
        <w:rPr>
          <w:rFonts w:cs="Arial"/>
          <w:i/>
          <w:iCs/>
          <w:szCs w:val="22"/>
          <w:lang w:val="en-GB"/>
        </w:rPr>
        <w:t>applicant</w:t>
      </w:r>
      <w:r>
        <w:rPr>
          <w:rFonts w:cs="Arial"/>
          <w:i/>
          <w:iCs/>
          <w:szCs w:val="22"/>
          <w:lang w:val="en-GB"/>
        </w:rPr>
        <w:t xml:space="preserve"> is ordered to pay the costs of the counter-application.</w:t>
      </w:r>
      <w:r w:rsidR="009256CA" w:rsidRPr="009256CA">
        <w:rPr>
          <w:rFonts w:cs="Arial"/>
          <w:i/>
          <w:iCs/>
          <w:szCs w:val="22"/>
          <w:lang w:val="en-GB"/>
        </w:rPr>
        <w:t xml:space="preserve"> </w:t>
      </w:r>
      <w:r w:rsidR="009256CA">
        <w:rPr>
          <w:rFonts w:cs="Arial"/>
          <w:i/>
          <w:iCs/>
          <w:szCs w:val="22"/>
          <w:lang w:val="en-GB"/>
        </w:rPr>
        <w:t>on the scale as between attorney and own client</w:t>
      </w:r>
    </w:p>
    <w:p w14:paraId="08540072" w14:textId="67AF2A53" w:rsidR="00C9310B" w:rsidRPr="00A9539C" w:rsidRDefault="00573FF9" w:rsidP="00C74E97">
      <w:pPr>
        <w:pStyle w:val="ListParagraph"/>
        <w:widowControl w:val="0"/>
        <w:numPr>
          <w:ilvl w:val="0"/>
          <w:numId w:val="1"/>
        </w:numPr>
        <w:spacing w:before="480" w:after="480" w:line="360" w:lineRule="auto"/>
        <w:contextualSpacing w:val="0"/>
        <w:jc w:val="both"/>
        <w:rPr>
          <w:rFonts w:cs="Arial"/>
          <w:bCs/>
          <w:szCs w:val="22"/>
          <w:u w:val="single"/>
        </w:rPr>
      </w:pPr>
      <w:r w:rsidRPr="00A9539C">
        <w:rPr>
          <w:rFonts w:cs="Arial"/>
          <w:bCs/>
          <w:szCs w:val="22"/>
        </w:rPr>
        <w:t xml:space="preserve">The reasons for the order </w:t>
      </w:r>
      <w:r w:rsidR="00A63709" w:rsidRPr="00A9539C">
        <w:rPr>
          <w:rFonts w:cs="Arial"/>
          <w:bCs/>
          <w:szCs w:val="22"/>
        </w:rPr>
        <w:t>follow</w:t>
      </w:r>
      <w:r w:rsidRPr="00A9539C">
        <w:rPr>
          <w:rFonts w:cs="Arial"/>
          <w:bCs/>
          <w:szCs w:val="22"/>
        </w:rPr>
        <w:t xml:space="preserve"> below.</w:t>
      </w:r>
    </w:p>
    <w:p w14:paraId="037F1A01" w14:textId="77777777" w:rsidR="00A444DD" w:rsidRPr="00A9539C" w:rsidRDefault="00A444DD" w:rsidP="00C74E97">
      <w:pPr>
        <w:keepNext/>
        <w:widowControl w:val="0"/>
        <w:spacing w:before="480" w:after="480" w:line="360" w:lineRule="auto"/>
        <w:jc w:val="both"/>
        <w:rPr>
          <w:rFonts w:cs="Arial"/>
          <w:bCs/>
          <w:szCs w:val="22"/>
          <w:u w:val="single"/>
        </w:rPr>
      </w:pPr>
    </w:p>
    <w:p w14:paraId="3658C913" w14:textId="6056F843" w:rsidR="00573FF9" w:rsidRPr="00A9539C" w:rsidRDefault="00D9086C" w:rsidP="00C74E97">
      <w:pPr>
        <w:keepNext/>
        <w:widowControl w:val="0"/>
        <w:spacing w:before="480" w:after="480" w:line="360" w:lineRule="auto"/>
        <w:jc w:val="both"/>
        <w:rPr>
          <w:rFonts w:cs="Arial"/>
          <w:bCs/>
          <w:szCs w:val="22"/>
          <w:u w:val="single"/>
        </w:rPr>
      </w:pPr>
      <w:r w:rsidRPr="00A9539C">
        <w:rPr>
          <w:rFonts w:cs="Arial"/>
          <w:bCs/>
          <w:szCs w:val="22"/>
          <w:u w:val="single"/>
        </w:rPr>
        <w:t>Introduction</w:t>
      </w:r>
    </w:p>
    <w:p w14:paraId="7993C6FF" w14:textId="77777777" w:rsidR="00344D4C" w:rsidRPr="00344D4C" w:rsidRDefault="00993D67" w:rsidP="006407E9">
      <w:pPr>
        <w:widowControl w:val="0"/>
        <w:numPr>
          <w:ilvl w:val="0"/>
          <w:numId w:val="1"/>
        </w:numPr>
        <w:spacing w:before="480" w:after="480" w:line="360" w:lineRule="auto"/>
        <w:jc w:val="both"/>
        <w:rPr>
          <w:rFonts w:cs="Arial"/>
          <w:bCs/>
          <w:szCs w:val="22"/>
        </w:rPr>
      </w:pPr>
      <w:r w:rsidRPr="00A9539C">
        <w:rPr>
          <w:rFonts w:cs="Arial"/>
          <w:bCs/>
          <w:szCs w:val="22"/>
          <w:lang w:val="en-GB"/>
        </w:rPr>
        <w:t xml:space="preserve">In this urgent application the applicants seek orders to stay </w:t>
      </w:r>
    </w:p>
    <w:p w14:paraId="5CF21571" w14:textId="77777777" w:rsidR="00344D4C" w:rsidRPr="00344D4C" w:rsidRDefault="00993D67" w:rsidP="00344D4C">
      <w:pPr>
        <w:widowControl w:val="0"/>
        <w:numPr>
          <w:ilvl w:val="1"/>
          <w:numId w:val="1"/>
        </w:numPr>
        <w:spacing w:before="480" w:after="480" w:line="360" w:lineRule="auto"/>
        <w:jc w:val="both"/>
        <w:rPr>
          <w:rFonts w:cs="Arial"/>
          <w:bCs/>
          <w:szCs w:val="22"/>
        </w:rPr>
      </w:pPr>
      <w:r w:rsidRPr="00A9539C">
        <w:rPr>
          <w:rFonts w:cs="Arial"/>
          <w:bCs/>
          <w:szCs w:val="22"/>
          <w:lang w:val="en-GB"/>
        </w:rPr>
        <w:t xml:space="preserve">the execution of a cost order, </w:t>
      </w:r>
    </w:p>
    <w:p w14:paraId="42FB96B1" w14:textId="77777777" w:rsidR="00344D4C" w:rsidRPr="00344D4C" w:rsidRDefault="00993D67" w:rsidP="00344D4C">
      <w:pPr>
        <w:widowControl w:val="0"/>
        <w:numPr>
          <w:ilvl w:val="1"/>
          <w:numId w:val="1"/>
        </w:numPr>
        <w:spacing w:before="480" w:after="480" w:line="360" w:lineRule="auto"/>
        <w:jc w:val="both"/>
        <w:rPr>
          <w:rFonts w:cs="Arial"/>
          <w:bCs/>
          <w:szCs w:val="22"/>
        </w:rPr>
      </w:pPr>
      <w:r w:rsidRPr="00A9539C">
        <w:rPr>
          <w:rFonts w:cs="Arial"/>
          <w:bCs/>
          <w:szCs w:val="22"/>
          <w:lang w:val="en-GB"/>
        </w:rPr>
        <w:t xml:space="preserve">a writ of execution against movable property, </w:t>
      </w:r>
    </w:p>
    <w:p w14:paraId="5F4BB151" w14:textId="520B7AD1" w:rsidR="00344D4C" w:rsidRPr="00344D4C" w:rsidRDefault="00993D67" w:rsidP="00344D4C">
      <w:pPr>
        <w:widowControl w:val="0"/>
        <w:numPr>
          <w:ilvl w:val="1"/>
          <w:numId w:val="1"/>
        </w:numPr>
        <w:spacing w:before="480" w:after="480" w:line="360" w:lineRule="auto"/>
        <w:jc w:val="both"/>
        <w:rPr>
          <w:rFonts w:cs="Arial"/>
          <w:bCs/>
          <w:szCs w:val="22"/>
        </w:rPr>
      </w:pPr>
      <w:r w:rsidRPr="00A9539C">
        <w:rPr>
          <w:rFonts w:cs="Arial"/>
          <w:bCs/>
          <w:szCs w:val="22"/>
          <w:lang w:val="en-GB"/>
        </w:rPr>
        <w:t xml:space="preserve">execution </w:t>
      </w:r>
      <w:r w:rsidR="00344D4C">
        <w:rPr>
          <w:rFonts w:cs="Arial"/>
          <w:bCs/>
          <w:szCs w:val="22"/>
          <w:lang w:val="en-GB"/>
        </w:rPr>
        <w:t>against</w:t>
      </w:r>
      <w:r w:rsidRPr="00A9539C">
        <w:rPr>
          <w:rFonts w:cs="Arial"/>
          <w:bCs/>
          <w:szCs w:val="22"/>
          <w:lang w:val="en-GB"/>
        </w:rPr>
        <w:t xml:space="preserve"> bank accounts, </w:t>
      </w:r>
    </w:p>
    <w:p w14:paraId="7093CDAB" w14:textId="77777777" w:rsidR="00344D4C" w:rsidRPr="00344D4C" w:rsidRDefault="00993D67" w:rsidP="00344D4C">
      <w:pPr>
        <w:widowControl w:val="0"/>
        <w:numPr>
          <w:ilvl w:val="1"/>
          <w:numId w:val="1"/>
        </w:numPr>
        <w:spacing w:before="480" w:after="480" w:line="360" w:lineRule="auto"/>
        <w:jc w:val="both"/>
        <w:rPr>
          <w:rFonts w:cs="Arial"/>
          <w:bCs/>
          <w:szCs w:val="22"/>
        </w:rPr>
      </w:pPr>
      <w:r w:rsidRPr="00A9539C">
        <w:rPr>
          <w:rFonts w:cs="Arial"/>
          <w:bCs/>
          <w:szCs w:val="22"/>
          <w:lang w:val="en-GB"/>
        </w:rPr>
        <w:t xml:space="preserve">the setting aside of the </w:t>
      </w:r>
      <w:r w:rsidR="00372D62" w:rsidRPr="00A9539C">
        <w:rPr>
          <w:rFonts w:cs="Arial"/>
          <w:bCs/>
          <w:szCs w:val="22"/>
          <w:lang w:val="en-GB"/>
        </w:rPr>
        <w:t xml:space="preserve">attachment of the </w:t>
      </w:r>
      <w:r w:rsidRPr="00A9539C">
        <w:rPr>
          <w:rFonts w:cs="Arial"/>
          <w:bCs/>
          <w:szCs w:val="22"/>
          <w:lang w:val="en-GB"/>
        </w:rPr>
        <w:t>applicants</w:t>
      </w:r>
      <w:r w:rsidR="00372D62" w:rsidRPr="00A9539C">
        <w:rPr>
          <w:rFonts w:cs="Arial"/>
          <w:bCs/>
          <w:szCs w:val="22"/>
          <w:lang w:val="en-GB"/>
        </w:rPr>
        <w:t>’</w:t>
      </w:r>
      <w:r w:rsidRPr="00A9539C">
        <w:rPr>
          <w:rFonts w:cs="Arial"/>
          <w:bCs/>
          <w:szCs w:val="22"/>
          <w:lang w:val="en-GB"/>
        </w:rPr>
        <w:t xml:space="preserve"> bank accounts, and </w:t>
      </w:r>
    </w:p>
    <w:p w14:paraId="4561F57D" w14:textId="0F473482" w:rsidR="00B03037" w:rsidRPr="00A9539C" w:rsidRDefault="00993D67" w:rsidP="00344D4C">
      <w:pPr>
        <w:widowControl w:val="0"/>
        <w:numPr>
          <w:ilvl w:val="1"/>
          <w:numId w:val="1"/>
        </w:numPr>
        <w:spacing w:before="480" w:after="480" w:line="360" w:lineRule="auto"/>
        <w:jc w:val="both"/>
        <w:rPr>
          <w:rFonts w:cs="Arial"/>
          <w:bCs/>
          <w:szCs w:val="22"/>
        </w:rPr>
      </w:pPr>
      <w:proofErr w:type="gramStart"/>
      <w:r w:rsidRPr="00A9539C">
        <w:rPr>
          <w:rFonts w:cs="Arial"/>
          <w:bCs/>
          <w:szCs w:val="22"/>
          <w:lang w:val="en-GB"/>
        </w:rPr>
        <w:t>the</w:t>
      </w:r>
      <w:proofErr w:type="gramEnd"/>
      <w:r w:rsidRPr="00A9539C">
        <w:rPr>
          <w:rFonts w:cs="Arial"/>
          <w:bCs/>
          <w:szCs w:val="22"/>
          <w:lang w:val="en-GB"/>
        </w:rPr>
        <w:t xml:space="preserve"> stay of a sale of execution</w:t>
      </w:r>
      <w:r w:rsidR="00344D4C">
        <w:rPr>
          <w:rFonts w:cs="Arial"/>
          <w:bCs/>
          <w:szCs w:val="22"/>
          <w:lang w:val="en-GB"/>
        </w:rPr>
        <w:t>.</w:t>
      </w:r>
    </w:p>
    <w:p w14:paraId="53389141" w14:textId="38B986BD" w:rsidR="009256CA" w:rsidRPr="00A9539C" w:rsidRDefault="009256CA" w:rsidP="009256CA">
      <w:pPr>
        <w:widowControl w:val="0"/>
        <w:numPr>
          <w:ilvl w:val="0"/>
          <w:numId w:val="1"/>
        </w:numPr>
        <w:spacing w:before="480" w:after="480" w:line="360" w:lineRule="auto"/>
        <w:jc w:val="both"/>
        <w:rPr>
          <w:rFonts w:cs="Arial"/>
          <w:bCs/>
          <w:szCs w:val="22"/>
        </w:rPr>
      </w:pPr>
      <w:r w:rsidRPr="00A9539C">
        <w:rPr>
          <w:rFonts w:cs="Arial"/>
          <w:bCs/>
          <w:szCs w:val="22"/>
          <w:lang w:val="en-GB"/>
        </w:rPr>
        <w:t xml:space="preserve">The applicants also seek in order that the respondent be prohibited from interfering with the business of the first </w:t>
      </w:r>
      <w:r w:rsidR="00FA2116">
        <w:rPr>
          <w:rFonts w:cs="Arial"/>
          <w:bCs/>
          <w:szCs w:val="22"/>
          <w:lang w:val="en-GB"/>
        </w:rPr>
        <w:t>applicant</w:t>
      </w:r>
      <w:r w:rsidRPr="00A9539C">
        <w:rPr>
          <w:rFonts w:cs="Arial"/>
          <w:bCs/>
          <w:szCs w:val="22"/>
          <w:lang w:val="en-GB"/>
        </w:rPr>
        <w:t xml:space="preserve"> pending the adjudication of an appeal in the Supreme Court of Appeal and before the full court.</w:t>
      </w:r>
    </w:p>
    <w:p w14:paraId="61EEF80F" w14:textId="3C295B02" w:rsidR="00344D4C" w:rsidRPr="00344D4C" w:rsidRDefault="00344D4C" w:rsidP="00344D4C">
      <w:pPr>
        <w:widowControl w:val="0"/>
        <w:numPr>
          <w:ilvl w:val="0"/>
          <w:numId w:val="1"/>
        </w:numPr>
        <w:spacing w:before="480" w:after="480" w:line="360" w:lineRule="auto"/>
        <w:jc w:val="both"/>
        <w:rPr>
          <w:rFonts w:cs="Arial"/>
          <w:bCs/>
          <w:szCs w:val="22"/>
        </w:rPr>
      </w:pPr>
      <w:r>
        <w:rPr>
          <w:rFonts w:cs="Arial"/>
          <w:bCs/>
          <w:szCs w:val="22"/>
          <w:lang w:val="en-GB"/>
        </w:rPr>
        <w:t xml:space="preserve">The applicants seek these order pending applications for </w:t>
      </w:r>
      <w:r w:rsidR="009256CA">
        <w:rPr>
          <w:rFonts w:cs="Arial"/>
          <w:bCs/>
          <w:szCs w:val="22"/>
          <w:lang w:val="en-GB"/>
        </w:rPr>
        <w:t>-</w:t>
      </w:r>
    </w:p>
    <w:p w14:paraId="299B02D2" w14:textId="50B59A58" w:rsidR="00B03037" w:rsidRPr="00A9539C" w:rsidRDefault="00372D62" w:rsidP="00344D4C">
      <w:pPr>
        <w:widowControl w:val="0"/>
        <w:numPr>
          <w:ilvl w:val="1"/>
          <w:numId w:val="1"/>
        </w:numPr>
        <w:spacing w:before="480" w:after="480" w:line="360" w:lineRule="auto"/>
        <w:jc w:val="both"/>
        <w:rPr>
          <w:rFonts w:cs="Arial"/>
          <w:bCs/>
          <w:szCs w:val="22"/>
        </w:rPr>
      </w:pPr>
      <w:r w:rsidRPr="00A9539C">
        <w:rPr>
          <w:rFonts w:cs="Arial"/>
          <w:bCs/>
          <w:szCs w:val="22"/>
          <w:lang w:val="en-GB"/>
        </w:rPr>
        <w:t>condonation and</w:t>
      </w:r>
      <w:r w:rsidR="00993D67" w:rsidRPr="00A9539C">
        <w:rPr>
          <w:rFonts w:cs="Arial"/>
          <w:bCs/>
          <w:szCs w:val="22"/>
          <w:lang w:val="en-GB"/>
        </w:rPr>
        <w:t xml:space="preserve"> leave to appeal to the Supreme Court of </w:t>
      </w:r>
      <w:r w:rsidRPr="00A9539C">
        <w:rPr>
          <w:rFonts w:cs="Arial"/>
          <w:bCs/>
          <w:szCs w:val="22"/>
          <w:lang w:val="en-GB"/>
        </w:rPr>
        <w:t xml:space="preserve">Appeal </w:t>
      </w:r>
      <w:r w:rsidR="00993D67" w:rsidRPr="00A9539C">
        <w:rPr>
          <w:rFonts w:cs="Arial"/>
          <w:bCs/>
          <w:szCs w:val="22"/>
          <w:lang w:val="en-GB"/>
        </w:rPr>
        <w:t xml:space="preserve">and </w:t>
      </w:r>
    </w:p>
    <w:p w14:paraId="06A1135A" w14:textId="56417E66" w:rsidR="00372D62" w:rsidRPr="00A9539C" w:rsidRDefault="00372D62" w:rsidP="00B03037">
      <w:pPr>
        <w:widowControl w:val="0"/>
        <w:numPr>
          <w:ilvl w:val="1"/>
          <w:numId w:val="1"/>
        </w:numPr>
        <w:spacing w:before="480" w:after="480" w:line="360" w:lineRule="auto"/>
        <w:jc w:val="both"/>
        <w:rPr>
          <w:rFonts w:cs="Arial"/>
          <w:bCs/>
          <w:szCs w:val="22"/>
        </w:rPr>
      </w:pPr>
      <w:proofErr w:type="gramStart"/>
      <w:r w:rsidRPr="00A9539C">
        <w:rPr>
          <w:rFonts w:cs="Arial"/>
          <w:bCs/>
          <w:szCs w:val="22"/>
          <w:lang w:val="en-GB"/>
        </w:rPr>
        <w:t>condonation</w:t>
      </w:r>
      <w:proofErr w:type="gramEnd"/>
      <w:r w:rsidRPr="00A9539C">
        <w:rPr>
          <w:rFonts w:cs="Arial"/>
          <w:bCs/>
          <w:szCs w:val="22"/>
          <w:lang w:val="en-GB"/>
        </w:rPr>
        <w:t xml:space="preserve"> and an </w:t>
      </w:r>
      <w:r w:rsidR="00993D67" w:rsidRPr="00A9539C">
        <w:rPr>
          <w:rFonts w:cs="Arial"/>
          <w:bCs/>
          <w:szCs w:val="22"/>
          <w:lang w:val="en-GB"/>
        </w:rPr>
        <w:t xml:space="preserve">appeal to the full court. </w:t>
      </w:r>
    </w:p>
    <w:p w14:paraId="520A163B" w14:textId="4186EF46" w:rsidR="00B03037" w:rsidRPr="00A9539C" w:rsidRDefault="00B03037" w:rsidP="00B03037">
      <w:pPr>
        <w:widowControl w:val="0"/>
        <w:numPr>
          <w:ilvl w:val="0"/>
          <w:numId w:val="1"/>
        </w:numPr>
        <w:spacing w:before="480" w:after="480" w:line="360" w:lineRule="auto"/>
        <w:jc w:val="both"/>
        <w:rPr>
          <w:rFonts w:cs="Arial"/>
          <w:bCs/>
          <w:szCs w:val="22"/>
          <w:u w:val="single"/>
        </w:rPr>
      </w:pPr>
      <w:r w:rsidRPr="00A9539C">
        <w:rPr>
          <w:rFonts w:cs="Arial"/>
          <w:bCs/>
          <w:szCs w:val="22"/>
          <w:lang w:val="en-GB"/>
        </w:rPr>
        <w:t xml:space="preserve">The </w:t>
      </w:r>
      <w:r w:rsidR="00FA2116">
        <w:rPr>
          <w:rFonts w:cs="Arial"/>
          <w:bCs/>
          <w:szCs w:val="22"/>
          <w:lang w:val="en-GB"/>
        </w:rPr>
        <w:t xml:space="preserve">first </w:t>
      </w:r>
      <w:r w:rsidRPr="00A9539C">
        <w:rPr>
          <w:rFonts w:cs="Arial"/>
          <w:bCs/>
          <w:szCs w:val="22"/>
          <w:lang w:val="en-GB"/>
        </w:rPr>
        <w:t>respondent say</w:t>
      </w:r>
      <w:r w:rsidR="00FA2116">
        <w:rPr>
          <w:rFonts w:cs="Arial"/>
          <w:bCs/>
          <w:szCs w:val="22"/>
          <w:lang w:val="en-GB"/>
        </w:rPr>
        <w:t>s</w:t>
      </w:r>
      <w:r w:rsidRPr="00A9539C">
        <w:rPr>
          <w:rFonts w:cs="Arial"/>
          <w:bCs/>
          <w:szCs w:val="22"/>
          <w:lang w:val="en-GB"/>
        </w:rPr>
        <w:t xml:space="preserve"> that the present application is merely a </w:t>
      </w:r>
      <w:r w:rsidR="00916BC9" w:rsidRPr="00A9539C">
        <w:rPr>
          <w:rFonts w:cs="Arial"/>
          <w:bCs/>
          <w:szCs w:val="22"/>
          <w:lang w:val="en-GB"/>
        </w:rPr>
        <w:t>stratag</w:t>
      </w:r>
      <w:r w:rsidR="00916BC9">
        <w:rPr>
          <w:rFonts w:cs="Arial"/>
          <w:bCs/>
          <w:szCs w:val="22"/>
          <w:lang w:val="en-GB"/>
        </w:rPr>
        <w:t>em</w:t>
      </w:r>
      <w:r w:rsidRPr="00A9539C">
        <w:rPr>
          <w:rFonts w:cs="Arial"/>
          <w:bCs/>
          <w:szCs w:val="22"/>
          <w:lang w:val="en-GB"/>
        </w:rPr>
        <w:t xml:space="preserve"> to avoid and delay execution. The </w:t>
      </w:r>
      <w:r w:rsidR="00FA2116">
        <w:rPr>
          <w:rFonts w:cs="Arial"/>
          <w:bCs/>
          <w:szCs w:val="22"/>
          <w:lang w:val="en-GB"/>
        </w:rPr>
        <w:t xml:space="preserve">first </w:t>
      </w:r>
      <w:r w:rsidRPr="00A9539C">
        <w:rPr>
          <w:rFonts w:cs="Arial"/>
          <w:bCs/>
          <w:szCs w:val="22"/>
          <w:lang w:val="en-GB"/>
        </w:rPr>
        <w:t>respondent also challenge the applicants</w:t>
      </w:r>
      <w:r w:rsidR="00FA2116">
        <w:rPr>
          <w:rFonts w:cs="Arial"/>
          <w:bCs/>
          <w:szCs w:val="22"/>
          <w:lang w:val="en-GB"/>
        </w:rPr>
        <w:t>’</w:t>
      </w:r>
      <w:r w:rsidRPr="00A9539C">
        <w:rPr>
          <w:rFonts w:cs="Arial"/>
          <w:bCs/>
          <w:szCs w:val="22"/>
          <w:lang w:val="en-GB"/>
        </w:rPr>
        <w:t xml:space="preserve"> entitlement to a stay</w:t>
      </w:r>
      <w:r w:rsidRPr="00A9539C">
        <w:rPr>
          <w:rStyle w:val="FootnoteReference"/>
          <w:rFonts w:cs="Arial"/>
          <w:bCs/>
          <w:szCs w:val="22"/>
          <w:lang w:val="en-GB"/>
        </w:rPr>
        <w:footnoteReference w:id="1"/>
      </w:r>
      <w:r w:rsidR="00FA2116">
        <w:rPr>
          <w:rFonts w:cs="Arial"/>
          <w:bCs/>
          <w:szCs w:val="22"/>
          <w:lang w:val="en-GB"/>
        </w:rPr>
        <w:t xml:space="preserve"> and seeks a punitive cost order on the ground that the application is frivolous.</w:t>
      </w:r>
    </w:p>
    <w:p w14:paraId="598E56D7" w14:textId="7B8B553C" w:rsidR="00372D62" w:rsidRPr="00A9539C" w:rsidRDefault="00993D67" w:rsidP="006407E9">
      <w:pPr>
        <w:widowControl w:val="0"/>
        <w:numPr>
          <w:ilvl w:val="0"/>
          <w:numId w:val="1"/>
        </w:numPr>
        <w:spacing w:before="480" w:after="480" w:line="360" w:lineRule="auto"/>
        <w:jc w:val="both"/>
        <w:rPr>
          <w:rFonts w:cs="Arial"/>
          <w:bCs/>
          <w:szCs w:val="22"/>
        </w:rPr>
      </w:pPr>
      <w:r w:rsidRPr="00A9539C">
        <w:rPr>
          <w:rFonts w:cs="Arial"/>
          <w:bCs/>
          <w:szCs w:val="22"/>
          <w:lang w:val="en-GB"/>
        </w:rPr>
        <w:t>The first respondent is a secured credit</w:t>
      </w:r>
      <w:r w:rsidR="00372D62" w:rsidRPr="00A9539C">
        <w:rPr>
          <w:rFonts w:cs="Arial"/>
          <w:bCs/>
          <w:szCs w:val="22"/>
          <w:lang w:val="en-GB"/>
        </w:rPr>
        <w:t>or</w:t>
      </w:r>
      <w:r w:rsidRPr="00A9539C">
        <w:rPr>
          <w:rFonts w:cs="Arial"/>
          <w:bCs/>
          <w:szCs w:val="22"/>
          <w:lang w:val="en-GB"/>
        </w:rPr>
        <w:t xml:space="preserve"> of the first applicant in terms of a written loan agreement and mortgage bond over commercial property</w:t>
      </w:r>
      <w:r w:rsidR="00372D62" w:rsidRPr="00A9539C">
        <w:rPr>
          <w:rFonts w:cs="Arial"/>
          <w:bCs/>
          <w:szCs w:val="22"/>
          <w:lang w:val="en-GB"/>
        </w:rPr>
        <w:t xml:space="preserve"> situate at Erf 444 Belle </w:t>
      </w:r>
      <w:proofErr w:type="spellStart"/>
      <w:r w:rsidR="00372D62" w:rsidRPr="00A9539C">
        <w:rPr>
          <w:rFonts w:cs="Arial"/>
          <w:bCs/>
          <w:szCs w:val="22"/>
          <w:lang w:val="en-GB"/>
        </w:rPr>
        <w:lastRenderedPageBreak/>
        <w:t>Vue</w:t>
      </w:r>
      <w:proofErr w:type="spellEnd"/>
      <w:r w:rsidR="00372D62" w:rsidRPr="00A9539C">
        <w:rPr>
          <w:rFonts w:cs="Arial"/>
          <w:bCs/>
          <w:szCs w:val="22"/>
          <w:lang w:val="en-GB"/>
        </w:rPr>
        <w:t xml:space="preserve"> Township in Gauteng.</w:t>
      </w:r>
      <w:r w:rsidRPr="00A9539C">
        <w:rPr>
          <w:rFonts w:cs="Arial"/>
          <w:bCs/>
          <w:szCs w:val="22"/>
          <w:lang w:val="en-GB"/>
        </w:rPr>
        <w:t xml:space="preserve"> </w:t>
      </w:r>
      <w:r w:rsidR="00355C50" w:rsidRPr="00A9539C">
        <w:rPr>
          <w:rFonts w:cs="Arial"/>
          <w:bCs/>
          <w:szCs w:val="22"/>
          <w:lang w:val="en-GB"/>
        </w:rPr>
        <w:t>The mortgage bond secured the loan.</w:t>
      </w:r>
    </w:p>
    <w:p w14:paraId="674ABF8A" w14:textId="415922DD" w:rsidR="00993D67" w:rsidRPr="00A9539C" w:rsidRDefault="00993D67" w:rsidP="006407E9">
      <w:pPr>
        <w:widowControl w:val="0"/>
        <w:numPr>
          <w:ilvl w:val="0"/>
          <w:numId w:val="1"/>
        </w:numPr>
        <w:spacing w:before="480" w:after="480" w:line="360" w:lineRule="auto"/>
        <w:jc w:val="both"/>
        <w:rPr>
          <w:rFonts w:cs="Arial"/>
          <w:bCs/>
          <w:szCs w:val="22"/>
        </w:rPr>
      </w:pPr>
      <w:r w:rsidRPr="00A9539C">
        <w:rPr>
          <w:rFonts w:cs="Arial"/>
          <w:bCs/>
          <w:szCs w:val="22"/>
          <w:lang w:val="en-GB"/>
        </w:rPr>
        <w:t xml:space="preserve">The second, third and fifth applicants are sureties for and co- principal debtors with the first applicant for </w:t>
      </w:r>
      <w:r w:rsidR="00372D62" w:rsidRPr="00A9539C">
        <w:rPr>
          <w:rFonts w:cs="Arial"/>
          <w:bCs/>
          <w:szCs w:val="22"/>
          <w:lang w:val="en-GB"/>
        </w:rPr>
        <w:t>the debt</w:t>
      </w:r>
      <w:r w:rsidRPr="00A9539C">
        <w:rPr>
          <w:rFonts w:cs="Arial"/>
          <w:bCs/>
          <w:szCs w:val="22"/>
          <w:lang w:val="en-GB"/>
        </w:rPr>
        <w:t xml:space="preserve"> owed to the first respondent.</w:t>
      </w:r>
      <w:r w:rsidR="00372D62" w:rsidRPr="00A9539C">
        <w:rPr>
          <w:rFonts w:cs="Arial"/>
          <w:bCs/>
          <w:szCs w:val="22"/>
          <w:lang w:val="en-GB"/>
        </w:rPr>
        <w:t xml:space="preserve"> The deeds of suretyship were signed in 2012.</w:t>
      </w:r>
    </w:p>
    <w:p w14:paraId="1B36E52F" w14:textId="77777777" w:rsidR="00733932" w:rsidRPr="00A9539C" w:rsidRDefault="00733932" w:rsidP="00733932">
      <w:pPr>
        <w:widowControl w:val="0"/>
        <w:spacing w:before="480" w:after="480" w:line="360" w:lineRule="auto"/>
        <w:jc w:val="both"/>
        <w:rPr>
          <w:rFonts w:cs="Arial"/>
          <w:bCs/>
          <w:szCs w:val="22"/>
          <w:u w:val="single"/>
          <w:lang w:val="en-GB"/>
        </w:rPr>
      </w:pPr>
    </w:p>
    <w:p w14:paraId="58C85D07" w14:textId="0B3F6CA0" w:rsidR="00733932" w:rsidRPr="00A9539C" w:rsidRDefault="00733932" w:rsidP="00733932">
      <w:pPr>
        <w:widowControl w:val="0"/>
        <w:spacing w:before="480" w:after="480" w:line="360" w:lineRule="auto"/>
        <w:jc w:val="both"/>
        <w:rPr>
          <w:rFonts w:cs="Arial"/>
          <w:bCs/>
          <w:szCs w:val="22"/>
          <w:u w:val="single"/>
        </w:rPr>
      </w:pPr>
      <w:r w:rsidRPr="00A9539C">
        <w:rPr>
          <w:rFonts w:cs="Arial"/>
          <w:bCs/>
          <w:szCs w:val="22"/>
          <w:u w:val="single"/>
          <w:lang w:val="en-GB"/>
        </w:rPr>
        <w:t>The interdict</w:t>
      </w:r>
    </w:p>
    <w:p w14:paraId="6BF09C66" w14:textId="77777777" w:rsidR="00CA1D9D" w:rsidRPr="00CA1D9D" w:rsidRDefault="00372D62" w:rsidP="006407E9">
      <w:pPr>
        <w:widowControl w:val="0"/>
        <w:numPr>
          <w:ilvl w:val="0"/>
          <w:numId w:val="1"/>
        </w:numPr>
        <w:spacing w:before="480" w:after="480" w:line="360" w:lineRule="auto"/>
        <w:jc w:val="both"/>
        <w:rPr>
          <w:rFonts w:cs="Arial"/>
          <w:bCs/>
          <w:szCs w:val="22"/>
        </w:rPr>
      </w:pPr>
      <w:r w:rsidRPr="00A9539C">
        <w:rPr>
          <w:rFonts w:cs="Arial"/>
          <w:bCs/>
          <w:szCs w:val="22"/>
          <w:lang w:val="en-GB"/>
        </w:rPr>
        <w:t>On 10 December 2021 the applicants were interdicted</w:t>
      </w:r>
      <w:r w:rsidR="00733932" w:rsidRPr="00A9539C">
        <w:rPr>
          <w:rFonts w:cs="Arial"/>
          <w:bCs/>
          <w:szCs w:val="22"/>
          <w:lang w:val="en-GB"/>
        </w:rPr>
        <w:t xml:space="preserve"> </w:t>
      </w:r>
      <w:r w:rsidRPr="00A9539C">
        <w:rPr>
          <w:rFonts w:cs="Arial"/>
          <w:bCs/>
          <w:szCs w:val="22"/>
          <w:lang w:val="en-GB"/>
        </w:rPr>
        <w:t xml:space="preserve">and restrained </w:t>
      </w:r>
      <w:r w:rsidR="00733932" w:rsidRPr="00A9539C">
        <w:rPr>
          <w:rFonts w:cs="Arial"/>
          <w:bCs/>
          <w:szCs w:val="22"/>
          <w:lang w:val="en-GB"/>
        </w:rPr>
        <w:t xml:space="preserve">under case number 2020/42518 </w:t>
      </w:r>
      <w:r w:rsidRPr="00A9539C">
        <w:rPr>
          <w:rFonts w:cs="Arial"/>
          <w:bCs/>
          <w:szCs w:val="22"/>
          <w:lang w:val="en-GB"/>
        </w:rPr>
        <w:t xml:space="preserve">from interfering with the first respondent’s right to collect rent from tenants occupying the property. </w:t>
      </w:r>
      <w:r w:rsidR="00355C50" w:rsidRPr="00A9539C">
        <w:rPr>
          <w:rFonts w:cs="Arial"/>
          <w:bCs/>
          <w:szCs w:val="22"/>
          <w:lang w:val="en-GB"/>
        </w:rPr>
        <w:t>The interdict was obtained on the basis that the applicants w</w:t>
      </w:r>
      <w:r w:rsidR="00344D4C">
        <w:rPr>
          <w:rFonts w:cs="Arial"/>
          <w:bCs/>
          <w:szCs w:val="22"/>
          <w:lang w:val="en-GB"/>
        </w:rPr>
        <w:t>ere</w:t>
      </w:r>
      <w:r w:rsidR="00355C50" w:rsidRPr="00A9539C">
        <w:rPr>
          <w:rFonts w:cs="Arial"/>
          <w:bCs/>
          <w:szCs w:val="22"/>
          <w:lang w:val="en-GB"/>
        </w:rPr>
        <w:t xml:space="preserve"> unlawfully misappropriating the rental money paid by tenants at the property. </w:t>
      </w:r>
    </w:p>
    <w:p w14:paraId="0FAA9C40" w14:textId="2ED63D0B" w:rsidR="00372D62" w:rsidRPr="00A9539C" w:rsidRDefault="00355C50" w:rsidP="006407E9">
      <w:pPr>
        <w:widowControl w:val="0"/>
        <w:numPr>
          <w:ilvl w:val="0"/>
          <w:numId w:val="1"/>
        </w:numPr>
        <w:spacing w:before="480" w:after="480" w:line="360" w:lineRule="auto"/>
        <w:jc w:val="both"/>
        <w:rPr>
          <w:rFonts w:cs="Arial"/>
          <w:bCs/>
          <w:szCs w:val="22"/>
        </w:rPr>
      </w:pPr>
      <w:r w:rsidRPr="00A9539C">
        <w:rPr>
          <w:rFonts w:cs="Arial"/>
          <w:bCs/>
          <w:szCs w:val="22"/>
          <w:lang w:val="en-GB"/>
        </w:rPr>
        <w:t xml:space="preserve">After the unfortunate passing of </w:t>
      </w:r>
      <w:proofErr w:type="spellStart"/>
      <w:r w:rsidRPr="00A9539C">
        <w:rPr>
          <w:rFonts w:cs="Arial"/>
          <w:bCs/>
          <w:szCs w:val="22"/>
          <w:lang w:val="en-GB"/>
        </w:rPr>
        <w:t>Monama</w:t>
      </w:r>
      <w:proofErr w:type="spellEnd"/>
      <w:r w:rsidRPr="00A9539C">
        <w:rPr>
          <w:rFonts w:cs="Arial"/>
          <w:bCs/>
          <w:szCs w:val="22"/>
          <w:lang w:val="en-GB"/>
        </w:rPr>
        <w:t xml:space="preserve"> J leave to appeal was granted </w:t>
      </w:r>
      <w:r w:rsidR="00916BC9">
        <w:rPr>
          <w:rFonts w:cs="Arial"/>
          <w:bCs/>
          <w:szCs w:val="22"/>
          <w:lang w:val="en-GB"/>
        </w:rPr>
        <w:t>by</w:t>
      </w:r>
      <w:r w:rsidR="00916BC9" w:rsidRPr="00A9539C">
        <w:rPr>
          <w:rFonts w:cs="Arial"/>
          <w:bCs/>
          <w:szCs w:val="22"/>
          <w:lang w:val="en-GB"/>
        </w:rPr>
        <w:t xml:space="preserve"> Sutherland</w:t>
      </w:r>
      <w:r w:rsidRPr="00A9539C">
        <w:rPr>
          <w:rFonts w:cs="Arial"/>
          <w:bCs/>
          <w:szCs w:val="22"/>
          <w:lang w:val="en-GB"/>
        </w:rPr>
        <w:t xml:space="preserve"> DJP on 4 March 2022. </w:t>
      </w:r>
    </w:p>
    <w:p w14:paraId="24A0A935" w14:textId="23942166" w:rsidR="00355C50" w:rsidRPr="00A9539C" w:rsidRDefault="00355C50" w:rsidP="00CA1D9D">
      <w:pPr>
        <w:widowControl w:val="0"/>
        <w:spacing w:before="480" w:after="480" w:line="360" w:lineRule="auto"/>
        <w:jc w:val="both"/>
        <w:rPr>
          <w:rFonts w:cs="Arial"/>
          <w:bCs/>
          <w:szCs w:val="22"/>
        </w:rPr>
      </w:pPr>
      <w:r w:rsidRPr="00A9539C">
        <w:rPr>
          <w:rFonts w:cs="Arial"/>
          <w:bCs/>
          <w:szCs w:val="22"/>
          <w:lang w:val="en-GB"/>
        </w:rPr>
        <w:t>The notice of appeal was due by 4 April 2022 but was not filed. On 16 May 2022 the first respondent informed the applicants that the appeal had lapsed.</w:t>
      </w:r>
    </w:p>
    <w:p w14:paraId="40131FEB" w14:textId="2EA653A9" w:rsidR="00355C50" w:rsidRPr="00A9539C" w:rsidRDefault="00355C50" w:rsidP="006407E9">
      <w:pPr>
        <w:widowControl w:val="0"/>
        <w:numPr>
          <w:ilvl w:val="0"/>
          <w:numId w:val="1"/>
        </w:numPr>
        <w:spacing w:before="480" w:after="480" w:line="360" w:lineRule="auto"/>
        <w:jc w:val="both"/>
        <w:rPr>
          <w:rFonts w:cs="Arial"/>
          <w:bCs/>
          <w:szCs w:val="22"/>
        </w:rPr>
      </w:pPr>
      <w:r w:rsidRPr="00A9539C">
        <w:rPr>
          <w:rFonts w:cs="Arial"/>
          <w:bCs/>
          <w:szCs w:val="22"/>
          <w:lang w:val="en-GB"/>
        </w:rPr>
        <w:t xml:space="preserve">The applicants filed a notice of appeal out of time on 15 September 2022. </w:t>
      </w:r>
      <w:r w:rsidR="00733932" w:rsidRPr="00A9539C">
        <w:rPr>
          <w:rFonts w:cs="Arial"/>
          <w:bCs/>
          <w:szCs w:val="22"/>
          <w:lang w:val="en-GB"/>
        </w:rPr>
        <w:t>The applicants say that the notice does not comply with rule 49(4</w:t>
      </w:r>
      <w:proofErr w:type="gramStart"/>
      <w:r w:rsidR="00733932" w:rsidRPr="00A9539C">
        <w:rPr>
          <w:rFonts w:cs="Arial"/>
          <w:bCs/>
          <w:szCs w:val="22"/>
          <w:lang w:val="en-GB"/>
        </w:rPr>
        <w:t>)(</w:t>
      </w:r>
      <w:proofErr w:type="gramEnd"/>
      <w:r w:rsidR="00733932" w:rsidRPr="00A9539C">
        <w:rPr>
          <w:rFonts w:cs="Arial"/>
          <w:bCs/>
          <w:szCs w:val="22"/>
          <w:lang w:val="en-GB"/>
        </w:rPr>
        <w:t>b) in that in that it does not state the particular respect in which variation of the order is sought.</w:t>
      </w:r>
    </w:p>
    <w:p w14:paraId="76DD28E1" w14:textId="33E67C9C" w:rsidR="00733932" w:rsidRPr="00E130D1" w:rsidRDefault="00733932" w:rsidP="006407E9">
      <w:pPr>
        <w:widowControl w:val="0"/>
        <w:numPr>
          <w:ilvl w:val="0"/>
          <w:numId w:val="1"/>
        </w:numPr>
        <w:spacing w:before="480" w:after="480" w:line="360" w:lineRule="auto"/>
        <w:jc w:val="both"/>
        <w:rPr>
          <w:rFonts w:cs="Arial"/>
          <w:bCs/>
          <w:szCs w:val="22"/>
        </w:rPr>
      </w:pPr>
      <w:r w:rsidRPr="00A9539C">
        <w:rPr>
          <w:rFonts w:cs="Arial"/>
          <w:bCs/>
          <w:szCs w:val="22"/>
          <w:lang w:val="en-GB"/>
        </w:rPr>
        <w:t xml:space="preserve">On 20 October 2022 the applicants launched an application for the condonation of the late filing of the notice of appeal. The first respondent filed an answering affidavit on 17 November 2022. The applicants took no further steps to </w:t>
      </w:r>
      <w:r w:rsidR="00E130D1">
        <w:rPr>
          <w:rFonts w:cs="Arial"/>
          <w:bCs/>
          <w:szCs w:val="22"/>
          <w:lang w:val="en-GB"/>
        </w:rPr>
        <w:t>bring</w:t>
      </w:r>
      <w:r w:rsidRPr="00A9539C">
        <w:rPr>
          <w:rFonts w:cs="Arial"/>
          <w:bCs/>
          <w:szCs w:val="22"/>
          <w:lang w:val="en-GB"/>
        </w:rPr>
        <w:t xml:space="preserve"> the application</w:t>
      </w:r>
      <w:r w:rsidR="00E130D1">
        <w:rPr>
          <w:rFonts w:cs="Arial"/>
          <w:bCs/>
          <w:szCs w:val="22"/>
          <w:lang w:val="en-GB"/>
        </w:rPr>
        <w:t xml:space="preserve"> to finality</w:t>
      </w:r>
      <w:r w:rsidRPr="00A9539C">
        <w:rPr>
          <w:rFonts w:cs="Arial"/>
          <w:bCs/>
          <w:szCs w:val="22"/>
          <w:lang w:val="en-GB"/>
        </w:rPr>
        <w:t>.</w:t>
      </w:r>
    </w:p>
    <w:p w14:paraId="44BC6905" w14:textId="4ABA5796" w:rsidR="00E130D1" w:rsidRDefault="00E130D1" w:rsidP="00E130D1">
      <w:pPr>
        <w:widowControl w:val="0"/>
        <w:numPr>
          <w:ilvl w:val="0"/>
          <w:numId w:val="1"/>
        </w:numPr>
        <w:spacing w:before="480" w:after="480" w:line="360" w:lineRule="auto"/>
        <w:jc w:val="both"/>
        <w:rPr>
          <w:rFonts w:cs="Arial"/>
          <w:bCs/>
          <w:szCs w:val="22"/>
        </w:rPr>
      </w:pPr>
      <w:r w:rsidRPr="00A9539C">
        <w:rPr>
          <w:rFonts w:cs="Arial"/>
          <w:bCs/>
          <w:szCs w:val="22"/>
          <w:lang w:val="en-GB"/>
        </w:rPr>
        <w:t xml:space="preserve">It is also argued on behalf of the </w:t>
      </w:r>
      <w:r w:rsidR="00FA2116">
        <w:rPr>
          <w:rFonts w:cs="Arial"/>
          <w:bCs/>
          <w:szCs w:val="22"/>
          <w:lang w:val="en-GB"/>
        </w:rPr>
        <w:t>first respondent</w:t>
      </w:r>
      <w:r w:rsidRPr="00A9539C">
        <w:rPr>
          <w:rFonts w:cs="Arial"/>
          <w:bCs/>
          <w:szCs w:val="22"/>
          <w:lang w:val="en-GB"/>
        </w:rPr>
        <w:t xml:space="preserve"> that the applicants have </w:t>
      </w:r>
      <w:proofErr w:type="spellStart"/>
      <w:r>
        <w:rPr>
          <w:rFonts w:cs="Arial"/>
          <w:bCs/>
          <w:szCs w:val="22"/>
          <w:lang w:val="en-GB"/>
        </w:rPr>
        <w:t>perempted</w:t>
      </w:r>
      <w:proofErr w:type="spellEnd"/>
      <w:r w:rsidRPr="00A9539C">
        <w:rPr>
          <w:rFonts w:cs="Arial"/>
          <w:bCs/>
          <w:szCs w:val="22"/>
          <w:lang w:val="en-GB"/>
        </w:rPr>
        <w:t xml:space="preserve"> the right to appeal in that they reached an agreement with the first respondent to settle the costs of the interdict proceedings and the settlement is inconsistent with an intention to continue </w:t>
      </w:r>
      <w:r>
        <w:rPr>
          <w:rFonts w:cs="Arial"/>
          <w:bCs/>
          <w:szCs w:val="22"/>
          <w:lang w:val="en-GB"/>
        </w:rPr>
        <w:t xml:space="preserve">to </w:t>
      </w:r>
      <w:r w:rsidRPr="00A9539C">
        <w:rPr>
          <w:rFonts w:cs="Arial"/>
          <w:bCs/>
          <w:szCs w:val="22"/>
          <w:lang w:val="en-GB"/>
        </w:rPr>
        <w:t>challeng</w:t>
      </w:r>
      <w:r>
        <w:rPr>
          <w:rFonts w:cs="Arial"/>
          <w:bCs/>
          <w:szCs w:val="22"/>
          <w:lang w:val="en-GB"/>
        </w:rPr>
        <w:t>e</w:t>
      </w:r>
      <w:r w:rsidRPr="00A9539C">
        <w:rPr>
          <w:rFonts w:cs="Arial"/>
          <w:bCs/>
          <w:szCs w:val="22"/>
          <w:lang w:val="en-GB"/>
        </w:rPr>
        <w:t xml:space="preserve"> the interdict order. </w:t>
      </w:r>
      <w:r>
        <w:rPr>
          <w:rFonts w:cs="Arial"/>
          <w:bCs/>
          <w:szCs w:val="22"/>
        </w:rPr>
        <w:t xml:space="preserve">When a litigant unequivocally </w:t>
      </w:r>
      <w:r>
        <w:rPr>
          <w:rFonts w:cs="Arial"/>
          <w:bCs/>
          <w:szCs w:val="22"/>
        </w:rPr>
        <w:lastRenderedPageBreak/>
        <w:t xml:space="preserve">indicates that it intends to acquiesce in an adverse judgment it </w:t>
      </w:r>
      <w:r w:rsidR="00916BC9">
        <w:rPr>
          <w:rFonts w:cs="Arial"/>
          <w:bCs/>
          <w:szCs w:val="22"/>
        </w:rPr>
        <w:t>cannot</w:t>
      </w:r>
      <w:r>
        <w:rPr>
          <w:rFonts w:cs="Arial"/>
          <w:bCs/>
          <w:szCs w:val="22"/>
        </w:rPr>
        <w:t xml:space="preserve"> subsequently change its mind and commence appeal or review proceedings.</w:t>
      </w:r>
      <w:r>
        <w:rPr>
          <w:rStyle w:val="FootnoteReference"/>
          <w:rFonts w:cs="Arial"/>
          <w:bCs/>
          <w:szCs w:val="22"/>
        </w:rPr>
        <w:footnoteReference w:id="2"/>
      </w:r>
      <w:r>
        <w:rPr>
          <w:rFonts w:cs="Arial"/>
          <w:bCs/>
          <w:szCs w:val="22"/>
        </w:rPr>
        <w:t xml:space="preserve"> </w:t>
      </w:r>
    </w:p>
    <w:p w14:paraId="74D8E7F1" w14:textId="2C474204" w:rsidR="00E130D1" w:rsidRPr="00A9539C" w:rsidRDefault="00E130D1" w:rsidP="00E130D1">
      <w:pPr>
        <w:widowControl w:val="0"/>
        <w:numPr>
          <w:ilvl w:val="0"/>
          <w:numId w:val="1"/>
        </w:numPr>
        <w:spacing w:before="480" w:after="480" w:line="360" w:lineRule="auto"/>
        <w:jc w:val="both"/>
        <w:rPr>
          <w:rFonts w:cs="Arial"/>
          <w:bCs/>
          <w:szCs w:val="22"/>
        </w:rPr>
      </w:pPr>
      <w:r>
        <w:rPr>
          <w:rFonts w:cs="Arial"/>
          <w:bCs/>
          <w:szCs w:val="22"/>
        </w:rPr>
        <w:t xml:space="preserve">By agreeing to settle the cost of the interdict proceedings the </w:t>
      </w:r>
      <w:proofErr w:type="gramStart"/>
      <w:r>
        <w:rPr>
          <w:rFonts w:cs="Arial"/>
          <w:bCs/>
          <w:szCs w:val="22"/>
        </w:rPr>
        <w:t>applicants</w:t>
      </w:r>
      <w:proofErr w:type="gramEnd"/>
      <w:r>
        <w:rPr>
          <w:rFonts w:cs="Arial"/>
          <w:bCs/>
          <w:szCs w:val="22"/>
        </w:rPr>
        <w:t xml:space="preserve"> </w:t>
      </w:r>
      <w:proofErr w:type="spellStart"/>
      <w:r>
        <w:rPr>
          <w:rFonts w:cs="Arial"/>
          <w:bCs/>
          <w:szCs w:val="22"/>
        </w:rPr>
        <w:t>perempted</w:t>
      </w:r>
      <w:proofErr w:type="spellEnd"/>
      <w:r>
        <w:rPr>
          <w:rFonts w:cs="Arial"/>
          <w:bCs/>
          <w:szCs w:val="22"/>
        </w:rPr>
        <w:t xml:space="preserve"> the appeal.</w:t>
      </w:r>
    </w:p>
    <w:p w14:paraId="3171E22B" w14:textId="77777777" w:rsidR="00733932" w:rsidRPr="00A9539C" w:rsidRDefault="00733932" w:rsidP="00733932">
      <w:pPr>
        <w:widowControl w:val="0"/>
        <w:spacing w:before="480" w:after="480" w:line="360" w:lineRule="auto"/>
        <w:jc w:val="both"/>
        <w:rPr>
          <w:rFonts w:cs="Arial"/>
          <w:bCs/>
          <w:szCs w:val="22"/>
          <w:u w:val="single"/>
        </w:rPr>
      </w:pPr>
    </w:p>
    <w:p w14:paraId="3A325288" w14:textId="2D79B718" w:rsidR="00733932" w:rsidRPr="00A9539C" w:rsidRDefault="00733932" w:rsidP="00733932">
      <w:pPr>
        <w:widowControl w:val="0"/>
        <w:spacing w:before="480" w:after="480" w:line="360" w:lineRule="auto"/>
        <w:jc w:val="both"/>
        <w:rPr>
          <w:rFonts w:cs="Arial"/>
          <w:bCs/>
          <w:szCs w:val="22"/>
          <w:u w:val="single"/>
        </w:rPr>
      </w:pPr>
      <w:r w:rsidRPr="00A9539C">
        <w:rPr>
          <w:rFonts w:cs="Arial"/>
          <w:bCs/>
          <w:szCs w:val="22"/>
          <w:u w:val="single"/>
        </w:rPr>
        <w:t>The foreclosure order</w:t>
      </w:r>
    </w:p>
    <w:p w14:paraId="65B65DF7" w14:textId="5EBE27FE" w:rsidR="00372D62" w:rsidRPr="00A9539C" w:rsidRDefault="00372D62" w:rsidP="006407E9">
      <w:pPr>
        <w:widowControl w:val="0"/>
        <w:numPr>
          <w:ilvl w:val="0"/>
          <w:numId w:val="1"/>
        </w:numPr>
        <w:spacing w:before="480" w:after="480" w:line="360" w:lineRule="auto"/>
        <w:jc w:val="both"/>
        <w:rPr>
          <w:rFonts w:cs="Arial"/>
          <w:bCs/>
          <w:szCs w:val="22"/>
        </w:rPr>
      </w:pPr>
      <w:r w:rsidRPr="00A9539C">
        <w:rPr>
          <w:rFonts w:cs="Arial"/>
          <w:bCs/>
          <w:szCs w:val="22"/>
          <w:lang w:val="en-GB"/>
        </w:rPr>
        <w:t xml:space="preserve">On 9 March 2022 the first respondent obtained an order (“the foreclosure order”) under case number 2020/42518 </w:t>
      </w:r>
      <w:r w:rsidR="00E130D1">
        <w:rPr>
          <w:rFonts w:cs="Arial"/>
          <w:bCs/>
          <w:szCs w:val="22"/>
          <w:lang w:val="en-GB"/>
        </w:rPr>
        <w:t>a</w:t>
      </w:r>
      <w:r w:rsidRPr="00A9539C">
        <w:rPr>
          <w:rFonts w:cs="Arial"/>
          <w:bCs/>
          <w:szCs w:val="22"/>
          <w:lang w:val="en-GB"/>
        </w:rPr>
        <w:t xml:space="preserve">gainst the applicants for payment of </w:t>
      </w:r>
      <w:r w:rsidR="00733932" w:rsidRPr="00A9539C">
        <w:rPr>
          <w:rFonts w:cs="Arial"/>
          <w:bCs/>
          <w:szCs w:val="22"/>
          <w:lang w:val="en-GB"/>
        </w:rPr>
        <w:t>R</w:t>
      </w:r>
      <w:r w:rsidRPr="00A9539C">
        <w:rPr>
          <w:rFonts w:cs="Arial"/>
          <w:bCs/>
          <w:szCs w:val="22"/>
          <w:lang w:val="en-GB"/>
        </w:rPr>
        <w:t>1</w:t>
      </w:r>
      <w:proofErr w:type="gramStart"/>
      <w:r w:rsidRPr="00A9539C">
        <w:rPr>
          <w:rFonts w:cs="Arial"/>
          <w:bCs/>
          <w:szCs w:val="22"/>
          <w:lang w:val="en-GB"/>
        </w:rPr>
        <w:t>,556,482.59</w:t>
      </w:r>
      <w:proofErr w:type="gramEnd"/>
      <w:r w:rsidRPr="00A9539C">
        <w:rPr>
          <w:rFonts w:cs="Arial"/>
          <w:bCs/>
          <w:szCs w:val="22"/>
          <w:lang w:val="en-GB"/>
        </w:rPr>
        <w:t xml:space="preserve"> together with interest and costs. The property of the first respondent subject to a mortgage bond was declared </w:t>
      </w:r>
      <w:proofErr w:type="gramStart"/>
      <w:r w:rsidRPr="00A9539C">
        <w:rPr>
          <w:rFonts w:cs="Arial"/>
          <w:bCs/>
          <w:szCs w:val="22"/>
          <w:lang w:val="en-GB"/>
        </w:rPr>
        <w:t>specially</w:t>
      </w:r>
      <w:proofErr w:type="gramEnd"/>
      <w:r w:rsidRPr="00A9539C">
        <w:rPr>
          <w:rFonts w:cs="Arial"/>
          <w:bCs/>
          <w:szCs w:val="22"/>
          <w:lang w:val="en-GB"/>
        </w:rPr>
        <w:t xml:space="preserve"> executable.</w:t>
      </w:r>
    </w:p>
    <w:p w14:paraId="2EAF8A6D" w14:textId="6AC7A9CF" w:rsidR="00D6611D" w:rsidRPr="00A9539C" w:rsidRDefault="00D6611D" w:rsidP="006407E9">
      <w:pPr>
        <w:widowControl w:val="0"/>
        <w:numPr>
          <w:ilvl w:val="0"/>
          <w:numId w:val="1"/>
        </w:numPr>
        <w:spacing w:before="480" w:after="480" w:line="360" w:lineRule="auto"/>
        <w:jc w:val="both"/>
        <w:rPr>
          <w:rFonts w:cs="Arial"/>
          <w:bCs/>
          <w:szCs w:val="22"/>
        </w:rPr>
      </w:pPr>
      <w:r w:rsidRPr="00A9539C">
        <w:rPr>
          <w:rFonts w:cs="Arial"/>
          <w:bCs/>
          <w:szCs w:val="22"/>
          <w:lang w:val="en-GB"/>
        </w:rPr>
        <w:t xml:space="preserve">The applicants applied for leave to appeal the foreclosure order and the application was dismissed with costs on 1 June 2023. On 21 September 2023 the applicant filed </w:t>
      </w:r>
      <w:r w:rsidR="00916BC9" w:rsidRPr="00A9539C">
        <w:rPr>
          <w:rFonts w:cs="Arial"/>
          <w:bCs/>
          <w:szCs w:val="22"/>
          <w:lang w:val="en-GB"/>
        </w:rPr>
        <w:t>an</w:t>
      </w:r>
      <w:r w:rsidRPr="00A9539C">
        <w:rPr>
          <w:rFonts w:cs="Arial"/>
          <w:bCs/>
          <w:szCs w:val="22"/>
          <w:lang w:val="en-GB"/>
        </w:rPr>
        <w:t xml:space="preserve"> application for leave to appeal to the Supreme Court of Appeal.</w:t>
      </w:r>
      <w:r w:rsidR="00FA2116">
        <w:rPr>
          <w:rFonts w:cs="Arial"/>
          <w:bCs/>
          <w:szCs w:val="22"/>
          <w:lang w:val="en-GB"/>
        </w:rPr>
        <w:t xml:space="preserve"> The application was filed out of time.</w:t>
      </w:r>
    </w:p>
    <w:p w14:paraId="6EDEC325" w14:textId="00476214" w:rsidR="00D6611D" w:rsidRPr="00A9539C" w:rsidRDefault="00D6611D" w:rsidP="006407E9">
      <w:pPr>
        <w:widowControl w:val="0"/>
        <w:numPr>
          <w:ilvl w:val="0"/>
          <w:numId w:val="1"/>
        </w:numPr>
        <w:spacing w:before="480" w:after="480" w:line="360" w:lineRule="auto"/>
        <w:jc w:val="both"/>
        <w:rPr>
          <w:rFonts w:cs="Arial"/>
          <w:bCs/>
          <w:szCs w:val="22"/>
        </w:rPr>
      </w:pPr>
      <w:r w:rsidRPr="00A9539C">
        <w:rPr>
          <w:rFonts w:cs="Arial"/>
          <w:bCs/>
          <w:szCs w:val="22"/>
          <w:lang w:val="en-GB"/>
        </w:rPr>
        <w:t xml:space="preserve">The first respondent disputed the authority of the </w:t>
      </w:r>
      <w:proofErr w:type="gramStart"/>
      <w:r w:rsidRPr="00A9539C">
        <w:rPr>
          <w:rFonts w:cs="Arial"/>
          <w:bCs/>
          <w:szCs w:val="22"/>
          <w:lang w:val="en-GB"/>
        </w:rPr>
        <w:t>applicants</w:t>
      </w:r>
      <w:proofErr w:type="gramEnd"/>
      <w:r w:rsidRPr="00A9539C">
        <w:rPr>
          <w:rFonts w:cs="Arial"/>
          <w:bCs/>
          <w:szCs w:val="22"/>
          <w:lang w:val="en-GB"/>
        </w:rPr>
        <w:t xml:space="preserve"> attorneys by filing a notice in terms of SCA rule 5. The applicants did not respond.</w:t>
      </w:r>
    </w:p>
    <w:p w14:paraId="4AE04707" w14:textId="1B4C3390" w:rsidR="00D6611D" w:rsidRPr="00A9539C" w:rsidRDefault="00D6611D" w:rsidP="00CA1D9D">
      <w:pPr>
        <w:widowControl w:val="0"/>
        <w:spacing w:before="480" w:after="480" w:line="360" w:lineRule="auto"/>
        <w:jc w:val="both"/>
        <w:rPr>
          <w:rFonts w:cs="Arial"/>
          <w:bCs/>
          <w:szCs w:val="22"/>
        </w:rPr>
      </w:pPr>
      <w:r w:rsidRPr="00A9539C">
        <w:rPr>
          <w:rFonts w:cs="Arial"/>
          <w:bCs/>
          <w:szCs w:val="22"/>
          <w:lang w:val="en-GB"/>
        </w:rPr>
        <w:t xml:space="preserve">On 9 October 2023 the first </w:t>
      </w:r>
      <w:r w:rsidR="009256CA">
        <w:rPr>
          <w:rFonts w:cs="Arial"/>
          <w:bCs/>
          <w:szCs w:val="22"/>
          <w:lang w:val="en-GB"/>
        </w:rPr>
        <w:t>respondent’s</w:t>
      </w:r>
      <w:r w:rsidRPr="00A9539C">
        <w:rPr>
          <w:rFonts w:cs="Arial"/>
          <w:bCs/>
          <w:szCs w:val="22"/>
          <w:lang w:val="en-GB"/>
        </w:rPr>
        <w:t xml:space="preserve"> attorneys served a notice in terms of uniform rule 7.</w:t>
      </w:r>
      <w:r w:rsidR="008816C0" w:rsidRPr="00A9539C">
        <w:rPr>
          <w:rStyle w:val="FootnoteReference"/>
          <w:rFonts w:cs="Arial"/>
          <w:bCs/>
          <w:szCs w:val="22"/>
          <w:lang w:val="en-GB"/>
        </w:rPr>
        <w:footnoteReference w:id="3"/>
      </w:r>
      <w:r w:rsidRPr="00A9539C">
        <w:rPr>
          <w:rFonts w:cs="Arial"/>
          <w:bCs/>
          <w:szCs w:val="22"/>
          <w:lang w:val="en-GB"/>
        </w:rPr>
        <w:t xml:space="preserve"> The applicants did not respond.</w:t>
      </w:r>
    </w:p>
    <w:p w14:paraId="35C517D8" w14:textId="512C7B94" w:rsidR="00E130D1" w:rsidRPr="00A9539C" w:rsidRDefault="00D6611D" w:rsidP="00E130D1">
      <w:pPr>
        <w:widowControl w:val="0"/>
        <w:numPr>
          <w:ilvl w:val="0"/>
          <w:numId w:val="1"/>
        </w:numPr>
        <w:spacing w:before="480" w:after="480" w:line="360" w:lineRule="auto"/>
        <w:jc w:val="both"/>
        <w:rPr>
          <w:rFonts w:cs="Arial"/>
          <w:bCs/>
          <w:szCs w:val="22"/>
        </w:rPr>
      </w:pPr>
      <w:r w:rsidRPr="00A9539C">
        <w:rPr>
          <w:rFonts w:cs="Arial"/>
          <w:bCs/>
          <w:szCs w:val="22"/>
          <w:lang w:val="en-GB"/>
        </w:rPr>
        <w:lastRenderedPageBreak/>
        <w:t xml:space="preserve">The last payment in terms of the loan was paid in October 2021. </w:t>
      </w:r>
    </w:p>
    <w:p w14:paraId="4484F180" w14:textId="2D650A50" w:rsidR="00D6611D" w:rsidRPr="00A9539C" w:rsidRDefault="00D6611D" w:rsidP="00E130D1">
      <w:pPr>
        <w:widowControl w:val="0"/>
        <w:spacing w:before="480" w:after="480" w:line="360" w:lineRule="auto"/>
        <w:jc w:val="both"/>
        <w:rPr>
          <w:rFonts w:cs="Arial"/>
          <w:bCs/>
          <w:szCs w:val="22"/>
        </w:rPr>
      </w:pPr>
    </w:p>
    <w:p w14:paraId="18E14F64" w14:textId="77777777" w:rsidR="00A9539C" w:rsidRPr="00A9539C" w:rsidRDefault="00A9539C" w:rsidP="00A9539C">
      <w:pPr>
        <w:widowControl w:val="0"/>
        <w:spacing w:before="480" w:after="480" w:line="360" w:lineRule="auto"/>
        <w:jc w:val="both"/>
        <w:rPr>
          <w:rFonts w:cs="Arial"/>
          <w:bCs/>
          <w:szCs w:val="22"/>
          <w:u w:val="single"/>
        </w:rPr>
      </w:pPr>
      <w:r w:rsidRPr="00A9539C">
        <w:rPr>
          <w:rFonts w:cs="Arial"/>
          <w:bCs/>
          <w:szCs w:val="22"/>
          <w:u w:val="single"/>
          <w:lang w:val="en-GB"/>
        </w:rPr>
        <w:t>Attachment of money in a bank account</w:t>
      </w:r>
    </w:p>
    <w:p w14:paraId="63795B63" w14:textId="249A7BF5" w:rsidR="00A9539C" w:rsidRPr="000C548D" w:rsidRDefault="00A9539C" w:rsidP="00BE679B">
      <w:pPr>
        <w:widowControl w:val="0"/>
        <w:numPr>
          <w:ilvl w:val="0"/>
          <w:numId w:val="1"/>
        </w:numPr>
        <w:spacing w:before="480" w:after="480" w:line="360" w:lineRule="auto"/>
        <w:jc w:val="both"/>
        <w:rPr>
          <w:rFonts w:cs="Arial"/>
          <w:bCs/>
          <w:szCs w:val="22"/>
          <w:u w:val="single"/>
        </w:rPr>
      </w:pPr>
      <w:r>
        <w:rPr>
          <w:rFonts w:cs="Arial"/>
          <w:bCs/>
          <w:szCs w:val="22"/>
        </w:rPr>
        <w:t>The applicants argue that the attachment of money in a bank account</w:t>
      </w:r>
      <w:r w:rsidR="00DA3853">
        <w:rPr>
          <w:rStyle w:val="FootnoteReference"/>
          <w:rFonts w:cs="Arial"/>
          <w:bCs/>
          <w:szCs w:val="22"/>
        </w:rPr>
        <w:footnoteReference w:id="4"/>
      </w:r>
      <w:r>
        <w:rPr>
          <w:rFonts w:cs="Arial"/>
          <w:bCs/>
          <w:szCs w:val="22"/>
        </w:rPr>
        <w:t xml:space="preserve"> </w:t>
      </w:r>
      <w:r w:rsidR="00610327">
        <w:rPr>
          <w:rFonts w:cs="Arial"/>
          <w:bCs/>
          <w:szCs w:val="22"/>
        </w:rPr>
        <w:t>“</w:t>
      </w:r>
      <w:r>
        <w:rPr>
          <w:rFonts w:cs="Arial"/>
          <w:bCs/>
          <w:szCs w:val="22"/>
        </w:rPr>
        <w:t xml:space="preserve">without judicial authority” is wrongful. In this regard the applicants refer to the judgment in </w:t>
      </w:r>
      <w:r w:rsidRPr="00436DFC">
        <w:rPr>
          <w:i/>
          <w:iCs/>
          <w:lang w:eastAsia="en-ZA"/>
        </w:rPr>
        <w:t>CB v ABSA Bank Limited and Others</w:t>
      </w:r>
      <w:r>
        <w:rPr>
          <w:i/>
          <w:iCs/>
          <w:lang w:eastAsia="en-ZA"/>
        </w:rPr>
        <w:t>.</w:t>
      </w:r>
      <w:r>
        <w:rPr>
          <w:rStyle w:val="FootnoteReference"/>
          <w:i/>
          <w:iCs/>
          <w:lang w:eastAsia="en-ZA"/>
        </w:rPr>
        <w:footnoteReference w:id="5"/>
      </w:r>
      <w:r w:rsidR="000C548D">
        <w:rPr>
          <w:i/>
          <w:iCs/>
          <w:lang w:eastAsia="en-ZA"/>
        </w:rPr>
        <w:t xml:space="preserve"> </w:t>
      </w:r>
      <w:r w:rsidR="000C548D">
        <w:rPr>
          <w:lang w:eastAsia="en-ZA"/>
        </w:rPr>
        <w:t xml:space="preserve">I do not understand the </w:t>
      </w:r>
      <w:r w:rsidR="000C548D" w:rsidRPr="00284ACC">
        <w:rPr>
          <w:i/>
          <w:iCs/>
          <w:lang w:eastAsia="en-ZA"/>
        </w:rPr>
        <w:t>ratio</w:t>
      </w:r>
      <w:r w:rsidR="000C548D">
        <w:rPr>
          <w:lang w:eastAsia="en-ZA"/>
        </w:rPr>
        <w:t xml:space="preserve"> in the CB matter to be applicable in this case and if </w:t>
      </w:r>
      <w:r w:rsidR="00CA1D9D">
        <w:rPr>
          <w:lang w:eastAsia="en-ZA"/>
        </w:rPr>
        <w:t xml:space="preserve">it </w:t>
      </w:r>
      <w:r w:rsidR="000C548D">
        <w:rPr>
          <w:lang w:eastAsia="en-ZA"/>
        </w:rPr>
        <w:t>were applicable, I am in respectful disagreement.</w:t>
      </w:r>
    </w:p>
    <w:p w14:paraId="7955E0D2" w14:textId="18EA1F98" w:rsidR="000C548D" w:rsidRPr="00A9539C" w:rsidRDefault="000C548D" w:rsidP="00BE679B">
      <w:pPr>
        <w:widowControl w:val="0"/>
        <w:numPr>
          <w:ilvl w:val="0"/>
          <w:numId w:val="1"/>
        </w:numPr>
        <w:spacing w:before="480" w:after="480" w:line="360" w:lineRule="auto"/>
        <w:jc w:val="both"/>
        <w:rPr>
          <w:rFonts w:cs="Arial"/>
          <w:bCs/>
          <w:szCs w:val="22"/>
          <w:u w:val="single"/>
        </w:rPr>
      </w:pPr>
      <w:r>
        <w:rPr>
          <w:rFonts w:cs="Arial"/>
          <w:bCs/>
          <w:szCs w:val="22"/>
          <w:lang w:val="en-GB"/>
        </w:rPr>
        <w:t>Different considerations come into play when an emoluments attachment order</w:t>
      </w:r>
      <w:r>
        <w:rPr>
          <w:rStyle w:val="FootnoteReference"/>
          <w:rFonts w:cs="Arial"/>
          <w:bCs/>
          <w:szCs w:val="22"/>
          <w:lang w:val="en-GB"/>
        </w:rPr>
        <w:footnoteReference w:id="6"/>
      </w:r>
      <w:r>
        <w:rPr>
          <w:rFonts w:cs="Arial"/>
          <w:bCs/>
          <w:szCs w:val="22"/>
          <w:lang w:val="en-GB"/>
        </w:rPr>
        <w:t xml:space="preserve"> or a garnishee order</w:t>
      </w:r>
      <w:r>
        <w:rPr>
          <w:rStyle w:val="FootnoteReference"/>
          <w:rFonts w:cs="Arial"/>
          <w:bCs/>
          <w:szCs w:val="22"/>
          <w:lang w:val="en-GB"/>
        </w:rPr>
        <w:footnoteReference w:id="7"/>
      </w:r>
      <w:r>
        <w:rPr>
          <w:rFonts w:cs="Arial"/>
          <w:bCs/>
          <w:szCs w:val="22"/>
          <w:lang w:val="en-GB"/>
        </w:rPr>
        <w:t xml:space="preserve"> is sought. That is not the case in this matter.</w:t>
      </w:r>
    </w:p>
    <w:p w14:paraId="22FB2C5A" w14:textId="6215CAF5" w:rsidR="00A9539C" w:rsidRPr="000C548D" w:rsidRDefault="002110D9" w:rsidP="006A163A">
      <w:pPr>
        <w:widowControl w:val="0"/>
        <w:numPr>
          <w:ilvl w:val="0"/>
          <w:numId w:val="1"/>
        </w:numPr>
        <w:spacing w:before="480" w:after="480" w:line="360" w:lineRule="auto"/>
        <w:jc w:val="both"/>
        <w:rPr>
          <w:rFonts w:cs="Arial"/>
          <w:bCs/>
          <w:szCs w:val="22"/>
          <w:u w:val="single"/>
        </w:rPr>
      </w:pPr>
      <w:r w:rsidRPr="000C548D">
        <w:rPr>
          <w:rFonts w:cs="Arial"/>
          <w:bCs/>
          <w:szCs w:val="22"/>
          <w:lang w:val="en-GB"/>
        </w:rPr>
        <w:t>An attachment of money in the bank account is only complete when</w:t>
      </w:r>
      <w:r w:rsidR="000C548D" w:rsidRPr="000C548D">
        <w:rPr>
          <w:rFonts w:cs="Arial"/>
          <w:lang w:eastAsia="en-ZA"/>
        </w:rPr>
        <w:t xml:space="preserve"> notice of the attachment has been given in writing by the sheriff to all interested parties.</w:t>
      </w:r>
      <w:r w:rsidR="000C548D">
        <w:rPr>
          <w:rStyle w:val="FootnoteReference"/>
          <w:rFonts w:cs="Arial"/>
          <w:lang w:eastAsia="en-ZA"/>
        </w:rPr>
        <w:footnoteReference w:id="8"/>
      </w:r>
      <w:r w:rsidR="000C548D" w:rsidRPr="000C548D">
        <w:rPr>
          <w:rFonts w:cs="Arial"/>
          <w:lang w:eastAsia="en-ZA"/>
        </w:rPr>
        <w:t xml:space="preserve"> </w:t>
      </w:r>
      <w:r w:rsidR="00284ACC">
        <w:rPr>
          <w:rFonts w:cs="Arial"/>
          <w:lang w:eastAsia="en-ZA"/>
        </w:rPr>
        <w:t xml:space="preserve">The requirement of notice provides an execution debtor with the information required to protect his or her rights. </w:t>
      </w:r>
      <w:r w:rsidR="00A9539C" w:rsidRPr="000C548D">
        <w:rPr>
          <w:rFonts w:cs="Arial"/>
          <w:bCs/>
          <w:szCs w:val="22"/>
        </w:rPr>
        <w:t>Rule 45(8) provides as follows:</w:t>
      </w:r>
    </w:p>
    <w:p w14:paraId="7170EBE6" w14:textId="0CA22722" w:rsidR="000A02AD" w:rsidRPr="000A02AD" w:rsidRDefault="000A02AD" w:rsidP="000A02AD">
      <w:pPr>
        <w:spacing w:before="120" w:after="120" w:line="360" w:lineRule="auto"/>
        <w:ind w:left="720"/>
        <w:jc w:val="both"/>
        <w:rPr>
          <w:rFonts w:cs="Arial"/>
          <w:i/>
          <w:iCs/>
          <w:lang w:eastAsia="en-ZA"/>
        </w:rPr>
      </w:pPr>
      <w:r w:rsidRPr="000A02AD">
        <w:rPr>
          <w:rFonts w:cs="Arial"/>
          <w:i/>
          <w:iCs/>
          <w:lang w:eastAsia="en-ZA"/>
        </w:rPr>
        <w:t>“</w:t>
      </w:r>
      <w:r w:rsidR="00284ACC">
        <w:rPr>
          <w:rFonts w:cs="Arial"/>
          <w:i/>
          <w:iCs/>
          <w:lang w:eastAsia="en-ZA"/>
        </w:rPr>
        <w:t xml:space="preserve">45 </w:t>
      </w:r>
      <w:r w:rsidRPr="000A02AD">
        <w:rPr>
          <w:rFonts w:cs="Arial"/>
          <w:i/>
          <w:iCs/>
          <w:lang w:eastAsia="en-ZA"/>
        </w:rPr>
        <w:t>(8) If incorporeal property, whether movable or immovable, is available for attachment, it may be attached without the necessity of a prior application to court in the manner hereinafter provided:</w:t>
      </w:r>
    </w:p>
    <w:p w14:paraId="1416C347" w14:textId="77777777" w:rsidR="000A02AD" w:rsidRPr="000A02AD" w:rsidRDefault="000A02AD" w:rsidP="000A02AD">
      <w:pPr>
        <w:spacing w:before="120" w:after="120" w:line="360" w:lineRule="auto"/>
        <w:ind w:left="720"/>
        <w:jc w:val="both"/>
        <w:rPr>
          <w:rFonts w:cs="Arial"/>
          <w:i/>
          <w:iCs/>
          <w:lang w:eastAsia="en-ZA"/>
        </w:rPr>
      </w:pPr>
      <w:r w:rsidRPr="000A02AD">
        <w:rPr>
          <w:rFonts w:cs="Arial"/>
          <w:i/>
          <w:iCs/>
          <w:lang w:eastAsia="en-ZA"/>
        </w:rPr>
        <w:t>   (a)   Where the property or right to be attached is a lease or a bill of exchange, promissory note, bond or other security for the payment of money, the attachment shall be complete only when—</w:t>
      </w:r>
    </w:p>
    <w:p w14:paraId="484E43D9" w14:textId="77777777" w:rsidR="000A02AD" w:rsidRPr="000A02AD" w:rsidRDefault="000A02AD" w:rsidP="000A02AD">
      <w:pPr>
        <w:spacing w:before="120" w:after="120" w:line="360" w:lineRule="auto"/>
        <w:ind w:left="720"/>
        <w:jc w:val="both"/>
        <w:rPr>
          <w:rFonts w:cs="Arial"/>
          <w:i/>
          <w:iCs/>
          <w:lang w:eastAsia="en-ZA"/>
        </w:rPr>
      </w:pPr>
      <w:r w:rsidRPr="000A02AD">
        <w:rPr>
          <w:rFonts w:cs="Arial"/>
          <w:i/>
          <w:iCs/>
          <w:lang w:eastAsia="en-ZA"/>
        </w:rPr>
        <w:t>       (</w:t>
      </w:r>
      <w:proofErr w:type="spellStart"/>
      <w:r w:rsidRPr="000A02AD">
        <w:rPr>
          <w:rFonts w:cs="Arial"/>
          <w:i/>
          <w:iCs/>
          <w:lang w:eastAsia="en-ZA"/>
        </w:rPr>
        <w:t>i</w:t>
      </w:r>
      <w:proofErr w:type="spellEnd"/>
      <w:r w:rsidRPr="000A02AD">
        <w:rPr>
          <w:rFonts w:cs="Arial"/>
          <w:i/>
          <w:iCs/>
          <w:lang w:eastAsia="en-ZA"/>
        </w:rPr>
        <w:t>)  notice has been given by the sheriff to the lessor and lessee, mortgagor and mortgagee or person liable on the bill of exchange or promissory note or security as the case may be, and</w:t>
      </w:r>
    </w:p>
    <w:p w14:paraId="7D8DB97D" w14:textId="77777777" w:rsidR="000A02AD" w:rsidRPr="000A02AD" w:rsidRDefault="000A02AD" w:rsidP="000A02AD">
      <w:pPr>
        <w:spacing w:before="120" w:after="120" w:line="360" w:lineRule="auto"/>
        <w:ind w:left="720"/>
        <w:jc w:val="both"/>
        <w:rPr>
          <w:rFonts w:cs="Arial"/>
          <w:i/>
          <w:iCs/>
          <w:lang w:eastAsia="en-ZA"/>
        </w:rPr>
      </w:pPr>
      <w:r w:rsidRPr="000A02AD">
        <w:rPr>
          <w:rFonts w:cs="Arial"/>
          <w:i/>
          <w:iCs/>
          <w:lang w:eastAsia="en-ZA"/>
        </w:rPr>
        <w:lastRenderedPageBreak/>
        <w:t>      (ii)  the sheriff shall have taken possession of the writing (if any) evidencing the lease, or of the bill of exchange or promissory note, bond or other security as the case may be, and</w:t>
      </w:r>
    </w:p>
    <w:p w14:paraId="4111F290" w14:textId="77777777" w:rsidR="000A02AD" w:rsidRPr="000A02AD" w:rsidRDefault="000A02AD" w:rsidP="000A02AD">
      <w:pPr>
        <w:spacing w:before="120" w:after="120" w:line="360" w:lineRule="auto"/>
        <w:ind w:left="720"/>
        <w:jc w:val="both"/>
        <w:rPr>
          <w:rFonts w:cs="Arial"/>
          <w:i/>
          <w:iCs/>
          <w:lang w:eastAsia="en-ZA"/>
        </w:rPr>
      </w:pPr>
      <w:r w:rsidRPr="000A02AD">
        <w:rPr>
          <w:rFonts w:cs="Arial"/>
          <w:i/>
          <w:iCs/>
          <w:lang w:eastAsia="en-ZA"/>
        </w:rPr>
        <w:t>     (iii)  </w:t>
      </w:r>
      <w:proofErr w:type="gramStart"/>
      <w:r w:rsidRPr="000A02AD">
        <w:rPr>
          <w:rFonts w:cs="Arial"/>
          <w:i/>
          <w:iCs/>
          <w:lang w:eastAsia="en-ZA"/>
        </w:rPr>
        <w:t>in</w:t>
      </w:r>
      <w:proofErr w:type="gramEnd"/>
      <w:r w:rsidRPr="000A02AD">
        <w:rPr>
          <w:rFonts w:cs="Arial"/>
          <w:i/>
          <w:iCs/>
          <w:lang w:eastAsia="en-ZA"/>
        </w:rPr>
        <w:t xml:space="preserve"> the case of a registered lease or any registered right, notice has been given to the registrar of deeds.</w:t>
      </w:r>
    </w:p>
    <w:p w14:paraId="6893456B" w14:textId="77777777" w:rsidR="000A02AD" w:rsidRPr="000A02AD" w:rsidRDefault="000A02AD" w:rsidP="000A02AD">
      <w:pPr>
        <w:spacing w:before="120" w:after="120" w:line="360" w:lineRule="auto"/>
        <w:ind w:left="720"/>
        <w:jc w:val="both"/>
        <w:rPr>
          <w:rFonts w:cs="Arial"/>
          <w:i/>
          <w:iCs/>
          <w:lang w:eastAsia="en-ZA"/>
        </w:rPr>
      </w:pPr>
      <w:r w:rsidRPr="000A02AD">
        <w:rPr>
          <w:rFonts w:cs="Arial"/>
          <w:i/>
          <w:iCs/>
          <w:lang w:eastAsia="en-ZA"/>
        </w:rPr>
        <w:t>   (b)   Where movable property sought to be attached is the interest of the execution debtor in property pledged, leased or sold under a suspensive condition to or by a third person, the attachment shall be complete only when the sheriff has served on the execution debtor and on the third person notice of the attachment with a copy of the warrant of execution. The sheriff may upon exhibiting the original of such warrant of execution to the pledgee, lessor, lessee, purchaser or seller enter upon the premises where such property is and make an inventory and valuation of the said interest.</w:t>
      </w:r>
    </w:p>
    <w:p w14:paraId="74DB022B" w14:textId="77777777" w:rsidR="000A02AD" w:rsidRPr="000A02AD" w:rsidRDefault="000A02AD" w:rsidP="000A02AD">
      <w:pPr>
        <w:spacing w:before="120" w:after="120" w:line="360" w:lineRule="auto"/>
        <w:ind w:left="720"/>
        <w:jc w:val="both"/>
        <w:rPr>
          <w:rFonts w:cs="Arial"/>
          <w:i/>
          <w:iCs/>
          <w:lang w:eastAsia="en-ZA"/>
        </w:rPr>
      </w:pPr>
      <w:r w:rsidRPr="000A02AD">
        <w:rPr>
          <w:rFonts w:cs="Arial"/>
          <w:i/>
          <w:iCs/>
          <w:lang w:eastAsia="en-ZA"/>
        </w:rPr>
        <w:t>   (c)   In the case of the attachment of all other incorporeal property or incorporeal rights in property as aforesaid,</w:t>
      </w:r>
    </w:p>
    <w:p w14:paraId="10EF25D5" w14:textId="77777777" w:rsidR="000A02AD" w:rsidRPr="000A02AD" w:rsidRDefault="000A02AD" w:rsidP="000A02AD">
      <w:pPr>
        <w:spacing w:before="120" w:after="120" w:line="360" w:lineRule="auto"/>
        <w:ind w:left="720"/>
        <w:jc w:val="both"/>
        <w:rPr>
          <w:rFonts w:cs="Arial"/>
          <w:i/>
          <w:iCs/>
          <w:lang w:eastAsia="en-ZA"/>
        </w:rPr>
      </w:pPr>
      <w:r w:rsidRPr="000A02AD">
        <w:rPr>
          <w:rFonts w:cs="Arial"/>
          <w:i/>
          <w:iCs/>
          <w:lang w:eastAsia="en-ZA"/>
        </w:rPr>
        <w:t>       (</w:t>
      </w:r>
      <w:proofErr w:type="spellStart"/>
      <w:r w:rsidRPr="000A02AD">
        <w:rPr>
          <w:rFonts w:cs="Arial"/>
          <w:i/>
          <w:iCs/>
          <w:lang w:eastAsia="en-ZA"/>
        </w:rPr>
        <w:t>i</w:t>
      </w:r>
      <w:proofErr w:type="spellEnd"/>
      <w:r w:rsidRPr="000A02AD">
        <w:rPr>
          <w:rFonts w:cs="Arial"/>
          <w:i/>
          <w:iCs/>
          <w:lang w:eastAsia="en-ZA"/>
        </w:rPr>
        <w:t>)  </w:t>
      </w:r>
      <w:proofErr w:type="gramStart"/>
      <w:r w:rsidRPr="000A02AD">
        <w:rPr>
          <w:rFonts w:cs="Arial"/>
          <w:i/>
          <w:iCs/>
          <w:lang w:eastAsia="en-ZA"/>
        </w:rPr>
        <w:t>the</w:t>
      </w:r>
      <w:proofErr w:type="gramEnd"/>
      <w:r w:rsidRPr="000A02AD">
        <w:rPr>
          <w:rFonts w:cs="Arial"/>
          <w:i/>
          <w:iCs/>
          <w:lang w:eastAsia="en-ZA"/>
        </w:rPr>
        <w:t xml:space="preserve"> attachment shall only be complete when —</w:t>
      </w:r>
    </w:p>
    <w:p w14:paraId="418B19BF" w14:textId="77777777" w:rsidR="000A02AD" w:rsidRPr="000A02AD" w:rsidRDefault="000A02AD" w:rsidP="000A02AD">
      <w:pPr>
        <w:spacing w:before="120" w:after="120" w:line="360" w:lineRule="auto"/>
        <w:ind w:left="720"/>
        <w:jc w:val="both"/>
        <w:rPr>
          <w:rFonts w:cs="Arial"/>
          <w:i/>
          <w:iCs/>
          <w:lang w:eastAsia="en-ZA"/>
        </w:rPr>
      </w:pPr>
      <w:r w:rsidRPr="000A02AD">
        <w:rPr>
          <w:rFonts w:cs="Arial"/>
          <w:i/>
          <w:iCs/>
          <w:lang w:eastAsia="en-ZA"/>
        </w:rPr>
        <w:t>   (a)   notice of the attachment has been given in writing by the sheriff to all interested parties and where the asset consists of incorporeal immovable property or an incorporeal right in immovable property, notice shall also have been given to the registrar of deeds in whose deeds registry the property or right is registered, and</w:t>
      </w:r>
    </w:p>
    <w:p w14:paraId="1067852A" w14:textId="77777777" w:rsidR="000A02AD" w:rsidRPr="000A02AD" w:rsidRDefault="000A02AD" w:rsidP="000A02AD">
      <w:pPr>
        <w:spacing w:before="120" w:after="120" w:line="360" w:lineRule="auto"/>
        <w:ind w:left="720"/>
        <w:jc w:val="both"/>
        <w:rPr>
          <w:rFonts w:cs="Arial"/>
          <w:i/>
          <w:iCs/>
          <w:lang w:eastAsia="en-ZA"/>
        </w:rPr>
      </w:pPr>
      <w:r w:rsidRPr="000A02AD">
        <w:rPr>
          <w:rFonts w:cs="Arial"/>
          <w:i/>
          <w:iCs/>
          <w:lang w:eastAsia="en-ZA"/>
        </w:rPr>
        <w:t>   (b)   the sheriff shall have taken possession of the writing or document evidencing the ownership of such property or right, or shall have certified that he has been unable, despite diligent search, to obtain possession of the writing or document;</w:t>
      </w:r>
    </w:p>
    <w:p w14:paraId="6E6C4863" w14:textId="77777777" w:rsidR="000A02AD" w:rsidRPr="000A02AD" w:rsidRDefault="000A02AD" w:rsidP="000A02AD">
      <w:pPr>
        <w:spacing w:before="120" w:after="120" w:line="360" w:lineRule="auto"/>
        <w:ind w:left="720"/>
        <w:jc w:val="both"/>
        <w:rPr>
          <w:rFonts w:cs="Arial"/>
          <w:i/>
          <w:iCs/>
          <w:lang w:eastAsia="en-ZA"/>
        </w:rPr>
      </w:pPr>
      <w:r w:rsidRPr="000A02AD">
        <w:rPr>
          <w:rFonts w:cs="Arial"/>
          <w:i/>
          <w:iCs/>
          <w:lang w:eastAsia="en-ZA"/>
        </w:rPr>
        <w:t>      (ii)</w:t>
      </w:r>
      <w:proofErr w:type="gramStart"/>
      <w:r w:rsidRPr="000A02AD">
        <w:rPr>
          <w:rFonts w:cs="Arial"/>
          <w:i/>
          <w:iCs/>
          <w:lang w:eastAsia="en-ZA"/>
        </w:rPr>
        <w:t>  the</w:t>
      </w:r>
      <w:proofErr w:type="gramEnd"/>
      <w:r w:rsidRPr="000A02AD">
        <w:rPr>
          <w:rFonts w:cs="Arial"/>
          <w:i/>
          <w:iCs/>
          <w:lang w:eastAsia="en-ZA"/>
        </w:rPr>
        <w:t xml:space="preserve"> sheriff may upon exhibiting the original of the warrant of execution to the person having possession of property in which incorporeal rights exist, enter upon the premises where such property is and make an inventory and valuation of the right attached.”</w:t>
      </w:r>
    </w:p>
    <w:p w14:paraId="3B606925" w14:textId="4642511C" w:rsidR="002110D9" w:rsidRDefault="00610327" w:rsidP="00BE679B">
      <w:pPr>
        <w:widowControl w:val="0"/>
        <w:numPr>
          <w:ilvl w:val="0"/>
          <w:numId w:val="1"/>
        </w:numPr>
        <w:spacing w:before="480" w:after="480" w:line="360" w:lineRule="auto"/>
        <w:jc w:val="both"/>
        <w:rPr>
          <w:rFonts w:cs="Arial"/>
          <w:bCs/>
          <w:szCs w:val="22"/>
        </w:rPr>
      </w:pPr>
      <w:r w:rsidRPr="00610327">
        <w:rPr>
          <w:rFonts w:cs="Arial"/>
          <w:bCs/>
          <w:szCs w:val="22"/>
        </w:rPr>
        <w:t>The a</w:t>
      </w:r>
      <w:r>
        <w:rPr>
          <w:rFonts w:cs="Arial"/>
          <w:bCs/>
          <w:szCs w:val="22"/>
        </w:rPr>
        <w:t>ttachment complained of was made in terms of a court order and due process was followed.</w:t>
      </w:r>
    </w:p>
    <w:p w14:paraId="6DDF2EF7" w14:textId="02BD2F8F" w:rsidR="00284ACC" w:rsidRPr="00610327" w:rsidRDefault="00284ACC" w:rsidP="00BE679B">
      <w:pPr>
        <w:widowControl w:val="0"/>
        <w:numPr>
          <w:ilvl w:val="0"/>
          <w:numId w:val="1"/>
        </w:numPr>
        <w:spacing w:before="480" w:after="480" w:line="360" w:lineRule="auto"/>
        <w:jc w:val="both"/>
        <w:rPr>
          <w:rFonts w:cs="Arial"/>
          <w:bCs/>
          <w:szCs w:val="22"/>
        </w:rPr>
      </w:pPr>
      <w:r>
        <w:rPr>
          <w:rFonts w:cs="Arial"/>
          <w:bCs/>
          <w:szCs w:val="22"/>
        </w:rPr>
        <w:t xml:space="preserve">I find that the applicants have not made out a case for interlocutory relief in the form </w:t>
      </w:r>
      <w:r>
        <w:rPr>
          <w:rFonts w:cs="Arial"/>
          <w:bCs/>
          <w:szCs w:val="22"/>
        </w:rPr>
        <w:lastRenderedPageBreak/>
        <w:t>of a stay of proceedings, or for any form of final relief.</w:t>
      </w:r>
      <w:r w:rsidR="00CA1D9D">
        <w:rPr>
          <w:rFonts w:cs="Arial"/>
          <w:bCs/>
          <w:szCs w:val="22"/>
        </w:rPr>
        <w:t xml:space="preserve"> The application is indeed frivolous when the history of the matters and the timelines are considered.</w:t>
      </w:r>
    </w:p>
    <w:p w14:paraId="293D0243" w14:textId="77777777" w:rsidR="00993D67" w:rsidRPr="00A9539C" w:rsidRDefault="00993D67" w:rsidP="00E16F27">
      <w:pPr>
        <w:widowControl w:val="0"/>
        <w:spacing w:before="480" w:after="480" w:line="360" w:lineRule="auto"/>
        <w:jc w:val="both"/>
        <w:rPr>
          <w:rFonts w:cs="Arial"/>
          <w:bCs/>
          <w:szCs w:val="22"/>
        </w:rPr>
      </w:pPr>
    </w:p>
    <w:p w14:paraId="40F38403" w14:textId="5DE8AB6A" w:rsidR="00993D67" w:rsidRPr="00A9539C" w:rsidRDefault="00E16F27" w:rsidP="00E16F27">
      <w:pPr>
        <w:widowControl w:val="0"/>
        <w:spacing w:before="480" w:after="480" w:line="360" w:lineRule="auto"/>
        <w:jc w:val="both"/>
        <w:rPr>
          <w:rFonts w:cs="Arial"/>
          <w:bCs/>
          <w:szCs w:val="22"/>
          <w:u w:val="single"/>
        </w:rPr>
      </w:pPr>
      <w:r w:rsidRPr="00A9539C">
        <w:rPr>
          <w:rFonts w:cs="Arial"/>
          <w:bCs/>
          <w:szCs w:val="22"/>
          <w:u w:val="single"/>
        </w:rPr>
        <w:t>The counter application</w:t>
      </w:r>
    </w:p>
    <w:p w14:paraId="13795EFC" w14:textId="70D6B9CB" w:rsidR="00E16F27" w:rsidRPr="00A9539C" w:rsidRDefault="00631F50" w:rsidP="006407E9">
      <w:pPr>
        <w:widowControl w:val="0"/>
        <w:numPr>
          <w:ilvl w:val="0"/>
          <w:numId w:val="1"/>
        </w:numPr>
        <w:spacing w:before="480" w:after="480" w:line="360" w:lineRule="auto"/>
        <w:jc w:val="both"/>
        <w:rPr>
          <w:rFonts w:cs="Arial"/>
          <w:bCs/>
          <w:szCs w:val="22"/>
        </w:rPr>
      </w:pPr>
      <w:r w:rsidRPr="00A9539C">
        <w:rPr>
          <w:rFonts w:cs="Arial"/>
          <w:bCs/>
          <w:szCs w:val="22"/>
          <w:lang w:val="en-GB"/>
        </w:rPr>
        <w:t>The first respondent brings a counter</w:t>
      </w:r>
      <w:r w:rsidR="002110D9">
        <w:rPr>
          <w:rFonts w:cs="Arial"/>
          <w:bCs/>
          <w:szCs w:val="22"/>
          <w:lang w:val="en-GB"/>
        </w:rPr>
        <w:t>-</w:t>
      </w:r>
      <w:r w:rsidRPr="00A9539C">
        <w:rPr>
          <w:rFonts w:cs="Arial"/>
          <w:bCs/>
          <w:szCs w:val="22"/>
          <w:lang w:val="en-GB"/>
        </w:rPr>
        <w:t>application to declare the third applicant to be in contempt of court in respect of the interdict order.</w:t>
      </w:r>
      <w:r w:rsidR="007A786A" w:rsidRPr="00A9539C">
        <w:rPr>
          <w:rFonts w:cs="Arial"/>
          <w:bCs/>
          <w:szCs w:val="22"/>
          <w:lang w:val="en-GB"/>
        </w:rPr>
        <w:t xml:space="preserve"> </w:t>
      </w:r>
    </w:p>
    <w:p w14:paraId="1F08BD27" w14:textId="766A498E" w:rsidR="006E6BA1" w:rsidRPr="00E130D1" w:rsidRDefault="007A786A" w:rsidP="00890517">
      <w:pPr>
        <w:widowControl w:val="0"/>
        <w:numPr>
          <w:ilvl w:val="0"/>
          <w:numId w:val="1"/>
        </w:numPr>
        <w:spacing w:before="480" w:after="480" w:line="360" w:lineRule="auto"/>
        <w:jc w:val="both"/>
        <w:rPr>
          <w:rFonts w:cs="Arial"/>
          <w:bCs/>
          <w:szCs w:val="22"/>
        </w:rPr>
      </w:pPr>
      <w:r w:rsidRPr="00E130D1">
        <w:rPr>
          <w:rFonts w:cs="Arial"/>
          <w:bCs/>
          <w:szCs w:val="22"/>
          <w:lang w:val="en-GB"/>
        </w:rPr>
        <w:t xml:space="preserve">The third applicant collects rental owed to the first applicant that is ceded to the first respondent knowing that he is in breach of the interdict order. </w:t>
      </w:r>
      <w:r w:rsidR="00E16F27" w:rsidRPr="00E130D1">
        <w:rPr>
          <w:rFonts w:cs="Arial"/>
          <w:bCs/>
          <w:szCs w:val="22"/>
          <w:lang w:val="en-GB"/>
        </w:rPr>
        <w:t>The applicants</w:t>
      </w:r>
      <w:r w:rsidRPr="00E130D1">
        <w:rPr>
          <w:rFonts w:cs="Arial"/>
          <w:bCs/>
          <w:szCs w:val="22"/>
          <w:lang w:val="en-GB"/>
        </w:rPr>
        <w:t xml:space="preserve"> retain</w:t>
      </w:r>
      <w:r w:rsidR="00E130D1" w:rsidRPr="00E130D1">
        <w:rPr>
          <w:rFonts w:cs="Arial"/>
          <w:bCs/>
          <w:szCs w:val="22"/>
          <w:lang w:val="en-GB"/>
        </w:rPr>
        <w:t xml:space="preserve"> </w:t>
      </w:r>
      <w:r w:rsidRPr="00E130D1">
        <w:rPr>
          <w:rFonts w:cs="Arial"/>
          <w:bCs/>
          <w:szCs w:val="22"/>
          <w:lang w:val="en-GB"/>
        </w:rPr>
        <w:t xml:space="preserve">these payments received. </w:t>
      </w:r>
      <w:r w:rsidR="00E130D1" w:rsidRPr="00E130D1">
        <w:rPr>
          <w:rFonts w:cs="Arial"/>
          <w:bCs/>
          <w:szCs w:val="22"/>
          <w:lang w:val="en-GB"/>
        </w:rPr>
        <w:t>The applicants stop</w:t>
      </w:r>
      <w:r w:rsidR="00284ACC">
        <w:rPr>
          <w:rFonts w:cs="Arial"/>
          <w:bCs/>
          <w:szCs w:val="22"/>
          <w:lang w:val="en-GB"/>
        </w:rPr>
        <w:t>ped</w:t>
      </w:r>
      <w:r w:rsidR="00E130D1" w:rsidRPr="00E130D1">
        <w:rPr>
          <w:rFonts w:cs="Arial"/>
          <w:bCs/>
          <w:szCs w:val="22"/>
          <w:lang w:val="en-GB"/>
        </w:rPr>
        <w:t xml:space="preserve"> making payments towards the City of Johannesburg for municipal services and charges in September 2021 and the account is stated to be in arrears in the amount of R2</w:t>
      </w:r>
      <w:proofErr w:type="gramStart"/>
      <w:r w:rsidR="00E130D1" w:rsidRPr="00E130D1">
        <w:rPr>
          <w:rFonts w:cs="Arial"/>
          <w:bCs/>
          <w:szCs w:val="22"/>
          <w:lang w:val="en-GB"/>
        </w:rPr>
        <w:t>,866,845.47</w:t>
      </w:r>
      <w:proofErr w:type="gramEnd"/>
      <w:r w:rsidR="00E130D1" w:rsidRPr="00E130D1">
        <w:rPr>
          <w:rFonts w:cs="Arial"/>
          <w:bCs/>
          <w:szCs w:val="22"/>
          <w:lang w:val="en-GB"/>
        </w:rPr>
        <w:t xml:space="preserve">. The City of Johannesburg has a </w:t>
      </w:r>
      <w:proofErr w:type="spellStart"/>
      <w:r w:rsidR="00E130D1" w:rsidRPr="00E130D1">
        <w:rPr>
          <w:rFonts w:cs="Arial"/>
          <w:bCs/>
          <w:szCs w:val="22"/>
          <w:lang w:val="en-GB"/>
        </w:rPr>
        <w:t>preferent</w:t>
      </w:r>
      <w:proofErr w:type="spellEnd"/>
      <w:r w:rsidR="00E130D1" w:rsidRPr="00E130D1">
        <w:rPr>
          <w:rFonts w:cs="Arial"/>
          <w:bCs/>
          <w:szCs w:val="22"/>
          <w:lang w:val="en-GB"/>
        </w:rPr>
        <w:t xml:space="preserve"> claim in respect of this amount. The rentals collected by the applicants are not used to defray the expenses of the property and tenants face the danger that municipal services may be discontinued.</w:t>
      </w:r>
    </w:p>
    <w:p w14:paraId="3FE76471" w14:textId="49EC67DE" w:rsidR="006E6BA1" w:rsidRPr="00A9539C" w:rsidRDefault="006E6BA1" w:rsidP="006E6BA1">
      <w:pPr>
        <w:widowControl w:val="0"/>
        <w:numPr>
          <w:ilvl w:val="0"/>
          <w:numId w:val="1"/>
        </w:numPr>
        <w:spacing w:before="480" w:after="480" w:line="480" w:lineRule="auto"/>
        <w:jc w:val="both"/>
        <w:rPr>
          <w:rFonts w:cs="Arial"/>
          <w:bCs/>
          <w:szCs w:val="22"/>
        </w:rPr>
      </w:pPr>
      <w:r w:rsidRPr="00A9539C">
        <w:rPr>
          <w:rFonts w:cs="Arial"/>
          <w:bCs/>
          <w:szCs w:val="22"/>
        </w:rPr>
        <w:t>The criminal standard of proof, namely proof beyond reasonable doubt, applies</w:t>
      </w:r>
      <w:r w:rsidR="00E130D1">
        <w:rPr>
          <w:rFonts w:cs="Arial"/>
          <w:bCs/>
          <w:szCs w:val="22"/>
        </w:rPr>
        <w:t xml:space="preserve"> in a contempt of court application</w:t>
      </w:r>
      <w:r w:rsidRPr="00A9539C">
        <w:rPr>
          <w:rFonts w:cs="Arial"/>
          <w:bCs/>
          <w:szCs w:val="22"/>
        </w:rPr>
        <w:t xml:space="preserve">. The </w:t>
      </w:r>
      <w:r w:rsidR="00E130D1">
        <w:rPr>
          <w:rFonts w:cs="Arial"/>
          <w:bCs/>
          <w:szCs w:val="22"/>
        </w:rPr>
        <w:t>first respondent</w:t>
      </w:r>
      <w:r w:rsidRPr="00A9539C">
        <w:rPr>
          <w:rFonts w:cs="Arial"/>
          <w:bCs/>
          <w:szCs w:val="22"/>
        </w:rPr>
        <w:t xml:space="preserve"> must show -</w:t>
      </w:r>
    </w:p>
    <w:p w14:paraId="2B050A62" w14:textId="2C1DCF64" w:rsidR="006E6BA1" w:rsidRPr="00A9539C" w:rsidRDefault="006E6BA1" w:rsidP="006E6BA1">
      <w:pPr>
        <w:numPr>
          <w:ilvl w:val="1"/>
          <w:numId w:val="1"/>
        </w:numPr>
        <w:spacing w:before="480" w:after="480" w:line="480" w:lineRule="auto"/>
        <w:jc w:val="both"/>
        <w:rPr>
          <w:rFonts w:cs="Arial"/>
          <w:bCs/>
          <w:szCs w:val="22"/>
        </w:rPr>
      </w:pPr>
      <w:r w:rsidRPr="00A9539C">
        <w:rPr>
          <w:rFonts w:cs="Arial"/>
          <w:bCs/>
          <w:szCs w:val="22"/>
        </w:rPr>
        <w:t xml:space="preserve">that the </w:t>
      </w:r>
      <w:r w:rsidR="00E130D1">
        <w:rPr>
          <w:rFonts w:cs="Arial"/>
          <w:bCs/>
          <w:szCs w:val="22"/>
        </w:rPr>
        <w:t>third applicant</w:t>
      </w:r>
      <w:r w:rsidRPr="00A9539C">
        <w:rPr>
          <w:rFonts w:cs="Arial"/>
          <w:bCs/>
          <w:szCs w:val="22"/>
        </w:rPr>
        <w:t xml:space="preserve"> was served with or otherwise informed</w:t>
      </w:r>
    </w:p>
    <w:p w14:paraId="7B6C2871" w14:textId="77777777" w:rsidR="006E6BA1" w:rsidRPr="00A9539C" w:rsidRDefault="006E6BA1" w:rsidP="006E6BA1">
      <w:pPr>
        <w:numPr>
          <w:ilvl w:val="1"/>
          <w:numId w:val="1"/>
        </w:numPr>
        <w:spacing w:before="480" w:after="480" w:line="480" w:lineRule="auto"/>
        <w:jc w:val="both"/>
        <w:rPr>
          <w:rFonts w:cs="Arial"/>
          <w:bCs/>
          <w:szCs w:val="22"/>
        </w:rPr>
      </w:pPr>
      <w:r w:rsidRPr="00A9539C">
        <w:rPr>
          <w:rFonts w:cs="Arial"/>
          <w:bCs/>
          <w:szCs w:val="22"/>
        </w:rPr>
        <w:t xml:space="preserve">of an existing court order granted against him, </w:t>
      </w:r>
    </w:p>
    <w:p w14:paraId="7F5864E4" w14:textId="77777777" w:rsidR="006E6BA1" w:rsidRPr="00A9539C" w:rsidRDefault="006E6BA1" w:rsidP="006E6BA1">
      <w:pPr>
        <w:numPr>
          <w:ilvl w:val="1"/>
          <w:numId w:val="1"/>
        </w:numPr>
        <w:spacing w:before="480" w:after="480" w:line="480" w:lineRule="auto"/>
        <w:jc w:val="both"/>
        <w:rPr>
          <w:rFonts w:cs="Arial"/>
          <w:bCs/>
          <w:szCs w:val="22"/>
        </w:rPr>
      </w:pPr>
      <w:proofErr w:type="gramStart"/>
      <w:r w:rsidRPr="00A9539C">
        <w:rPr>
          <w:rFonts w:cs="Arial"/>
          <w:bCs/>
          <w:szCs w:val="22"/>
        </w:rPr>
        <w:t>and</w:t>
      </w:r>
      <w:proofErr w:type="gramEnd"/>
      <w:r w:rsidRPr="00A9539C">
        <w:rPr>
          <w:rFonts w:cs="Arial"/>
          <w:bCs/>
          <w:szCs w:val="22"/>
        </w:rPr>
        <w:t xml:space="preserve"> has either ignored or disobeyed it.</w:t>
      </w:r>
      <w:r w:rsidRPr="00A9539C">
        <w:rPr>
          <w:rStyle w:val="FootnoteReference"/>
          <w:rFonts w:cs="Arial"/>
          <w:bCs/>
          <w:szCs w:val="22"/>
        </w:rPr>
        <w:footnoteReference w:id="9"/>
      </w:r>
      <w:r w:rsidRPr="00A9539C">
        <w:rPr>
          <w:rFonts w:cs="Arial"/>
          <w:bCs/>
          <w:szCs w:val="22"/>
        </w:rPr>
        <w:t xml:space="preserve"> </w:t>
      </w:r>
    </w:p>
    <w:p w14:paraId="7D238A1E" w14:textId="7490BC90" w:rsidR="006E6BA1" w:rsidRPr="00A9539C" w:rsidRDefault="006E6BA1" w:rsidP="006E6BA1">
      <w:pPr>
        <w:numPr>
          <w:ilvl w:val="0"/>
          <w:numId w:val="1"/>
        </w:numPr>
        <w:spacing w:before="480" w:after="480" w:line="480" w:lineRule="auto"/>
        <w:jc w:val="both"/>
        <w:rPr>
          <w:rFonts w:cs="Arial"/>
          <w:bCs/>
          <w:color w:val="000000" w:themeColor="text1"/>
          <w:szCs w:val="22"/>
        </w:rPr>
      </w:pPr>
      <w:r w:rsidRPr="00A9539C">
        <w:rPr>
          <w:rFonts w:cs="Arial"/>
          <w:bCs/>
          <w:szCs w:val="22"/>
        </w:rPr>
        <w:lastRenderedPageBreak/>
        <w:t xml:space="preserve">To avoid being convicted the </w:t>
      </w:r>
      <w:r w:rsidR="00E130D1">
        <w:rPr>
          <w:rFonts w:cs="Arial"/>
          <w:bCs/>
          <w:szCs w:val="22"/>
        </w:rPr>
        <w:t xml:space="preserve">third </w:t>
      </w:r>
      <w:r w:rsidR="00FA2116">
        <w:rPr>
          <w:rFonts w:cs="Arial"/>
          <w:bCs/>
          <w:szCs w:val="22"/>
        </w:rPr>
        <w:t>applicant</w:t>
      </w:r>
      <w:r w:rsidRPr="00A9539C">
        <w:rPr>
          <w:rFonts w:cs="Arial"/>
          <w:bCs/>
          <w:szCs w:val="22"/>
        </w:rPr>
        <w:t xml:space="preserve"> must establish a reasonable doubt as </w:t>
      </w:r>
      <w:r w:rsidRPr="00A9539C">
        <w:rPr>
          <w:rFonts w:cs="Arial"/>
          <w:bCs/>
          <w:color w:val="000000" w:themeColor="text1"/>
          <w:szCs w:val="22"/>
        </w:rPr>
        <w:t>to whether</w:t>
      </w:r>
      <w:r w:rsidRPr="00A9539C">
        <w:rPr>
          <w:rFonts w:cs="Arial"/>
          <w:color w:val="000000" w:themeColor="text1"/>
          <w:szCs w:val="22"/>
          <w:shd w:val="clear" w:color="auto" w:fill="FFFFFF"/>
        </w:rPr>
        <w:t xml:space="preserve"> his failure to comply was wilful and </w:t>
      </w:r>
      <w:r w:rsidRPr="00A9539C">
        <w:rPr>
          <w:rFonts w:cs="Arial"/>
          <w:i/>
          <w:iCs/>
          <w:color w:val="000000" w:themeColor="text1"/>
          <w:szCs w:val="22"/>
          <w:shd w:val="clear" w:color="auto" w:fill="FFFFFF"/>
        </w:rPr>
        <w:t xml:space="preserve">mala fide. </w:t>
      </w:r>
      <w:r w:rsidRPr="00A9539C">
        <w:rPr>
          <w:rFonts w:cs="Arial"/>
          <w:color w:val="000000" w:themeColor="text1"/>
          <w:szCs w:val="22"/>
          <w:shd w:val="clear" w:color="auto" w:fill="FFFFFF"/>
        </w:rPr>
        <w:t xml:space="preserve">In </w:t>
      </w:r>
      <w:proofErr w:type="spellStart"/>
      <w:r w:rsidRPr="00A9539C">
        <w:rPr>
          <w:rFonts w:cs="Arial"/>
          <w:i/>
          <w:iCs/>
          <w:color w:val="000000" w:themeColor="text1"/>
          <w:szCs w:val="22"/>
        </w:rPr>
        <w:t>Fakie</w:t>
      </w:r>
      <w:proofErr w:type="spellEnd"/>
      <w:r w:rsidRPr="00A9539C">
        <w:rPr>
          <w:rFonts w:cs="Arial"/>
          <w:i/>
          <w:iCs/>
          <w:color w:val="000000" w:themeColor="text1"/>
          <w:szCs w:val="22"/>
        </w:rPr>
        <w:t xml:space="preserve"> NO v CCII Systems (Pty) Ltd</w:t>
      </w:r>
      <w:r w:rsidRPr="00A9539C">
        <w:rPr>
          <w:rFonts w:cs="Arial"/>
          <w:i/>
          <w:iCs/>
          <w:color w:val="000000" w:themeColor="text1"/>
          <w:szCs w:val="22"/>
          <w:shd w:val="clear" w:color="auto" w:fill="FFFFFF"/>
        </w:rPr>
        <w:t>,</w:t>
      </w:r>
      <w:r w:rsidRPr="00A9539C">
        <w:rPr>
          <w:rStyle w:val="FootnoteReference"/>
          <w:rFonts w:cs="Arial"/>
          <w:i/>
          <w:iCs/>
          <w:color w:val="000000" w:themeColor="text1"/>
          <w:szCs w:val="22"/>
          <w:shd w:val="clear" w:color="auto" w:fill="FFFFFF"/>
        </w:rPr>
        <w:footnoteReference w:id="10"/>
      </w:r>
      <w:r w:rsidRPr="00A9539C">
        <w:rPr>
          <w:rFonts w:cs="Arial"/>
          <w:color w:val="000000" w:themeColor="text1"/>
          <w:szCs w:val="22"/>
          <w:shd w:val="clear" w:color="auto" w:fill="FFFFFF"/>
        </w:rPr>
        <w:t xml:space="preserve"> Cameron J said:</w:t>
      </w:r>
    </w:p>
    <w:p w14:paraId="57769483" w14:textId="77777777" w:rsidR="006E6BA1" w:rsidRPr="00A9539C" w:rsidRDefault="006E6BA1" w:rsidP="006E6BA1">
      <w:pPr>
        <w:pStyle w:val="lrpara"/>
        <w:shd w:val="clear" w:color="auto" w:fill="FFFFFF"/>
        <w:spacing w:before="180" w:beforeAutospacing="0" w:after="0" w:afterAutospacing="0" w:line="360" w:lineRule="auto"/>
        <w:ind w:left="1440"/>
        <w:jc w:val="both"/>
        <w:rPr>
          <w:rFonts w:ascii="Arial" w:hAnsi="Arial" w:cs="Arial"/>
          <w:i/>
          <w:iCs/>
          <w:color w:val="000000" w:themeColor="text1"/>
          <w:sz w:val="22"/>
          <w:szCs w:val="22"/>
        </w:rPr>
      </w:pPr>
      <w:r w:rsidRPr="00A9539C">
        <w:rPr>
          <w:rFonts w:ascii="Arial" w:hAnsi="Arial" w:cs="Arial"/>
          <w:i/>
          <w:iCs/>
          <w:color w:val="000000" w:themeColor="text1"/>
          <w:sz w:val="22"/>
          <w:szCs w:val="22"/>
        </w:rPr>
        <w:t>“[23] It should be noted that developing the common law thus does not require the prosecution to lead evidence as to the accused's state of mind or motive: Once the three requisites mentioned have been proved, in the absence of evidence raising a reasonable doubt as to whether the accused acted wilfully and mala fide, all the requisites of the offence will have been established. What is changed is that the accused no longer bears a legal burden to disprove wilfulness and mala fides on a balance of probabilities, but to avoid conviction need only lead evidence that establishes a reasonable doubt.”</w:t>
      </w:r>
    </w:p>
    <w:p w14:paraId="371B4C59" w14:textId="265FA307" w:rsidR="006E6BA1" w:rsidRPr="00A9539C" w:rsidRDefault="006E6BA1" w:rsidP="006E6BA1">
      <w:pPr>
        <w:widowControl w:val="0"/>
        <w:numPr>
          <w:ilvl w:val="0"/>
          <w:numId w:val="1"/>
        </w:numPr>
        <w:spacing w:before="480" w:after="480" w:line="360" w:lineRule="auto"/>
        <w:jc w:val="both"/>
        <w:rPr>
          <w:rFonts w:cs="Arial"/>
          <w:bCs/>
          <w:szCs w:val="22"/>
        </w:rPr>
      </w:pPr>
      <w:r w:rsidRPr="00A9539C">
        <w:rPr>
          <w:rFonts w:cs="Arial"/>
          <w:bCs/>
          <w:szCs w:val="22"/>
          <w:lang w:val="en-GB"/>
        </w:rPr>
        <w:t xml:space="preserve">Any failure to comply with an order of court undermines the Constitution and </w:t>
      </w:r>
      <w:r w:rsidR="00916BC9" w:rsidRPr="00A9539C">
        <w:rPr>
          <w:rFonts w:cs="Arial"/>
          <w:bCs/>
          <w:szCs w:val="22"/>
          <w:lang w:val="en-GB"/>
        </w:rPr>
        <w:t>cannot</w:t>
      </w:r>
      <w:r w:rsidRPr="00A9539C">
        <w:rPr>
          <w:rFonts w:cs="Arial"/>
          <w:bCs/>
          <w:szCs w:val="22"/>
          <w:lang w:val="en-GB"/>
        </w:rPr>
        <w:t xml:space="preserve"> be taken lightly.</w:t>
      </w:r>
      <w:r w:rsidR="00610327" w:rsidRPr="00A9539C">
        <w:rPr>
          <w:rStyle w:val="FootnoteReference"/>
          <w:rFonts w:cs="Arial"/>
          <w:bCs/>
          <w:szCs w:val="22"/>
          <w:lang w:val="en-GB"/>
        </w:rPr>
        <w:footnoteReference w:id="11"/>
      </w:r>
    </w:p>
    <w:p w14:paraId="4A5D3FDD" w14:textId="71324BA9" w:rsidR="00610327" w:rsidRPr="00610327" w:rsidRDefault="00E16F27" w:rsidP="006407E9">
      <w:pPr>
        <w:widowControl w:val="0"/>
        <w:numPr>
          <w:ilvl w:val="0"/>
          <w:numId w:val="1"/>
        </w:numPr>
        <w:spacing w:before="480" w:after="480" w:line="360" w:lineRule="auto"/>
        <w:jc w:val="both"/>
        <w:rPr>
          <w:rFonts w:cs="Arial"/>
          <w:bCs/>
          <w:szCs w:val="22"/>
        </w:rPr>
      </w:pPr>
      <w:r w:rsidRPr="00A9539C">
        <w:rPr>
          <w:rFonts w:cs="Arial"/>
          <w:bCs/>
          <w:szCs w:val="22"/>
          <w:lang w:val="en-GB"/>
        </w:rPr>
        <w:t xml:space="preserve">The third </w:t>
      </w:r>
      <w:r w:rsidR="00FA2116">
        <w:rPr>
          <w:rFonts w:cs="Arial"/>
          <w:bCs/>
          <w:szCs w:val="22"/>
          <w:lang w:val="en-GB"/>
        </w:rPr>
        <w:t>applicant</w:t>
      </w:r>
      <w:r w:rsidRPr="00A9539C">
        <w:rPr>
          <w:rFonts w:cs="Arial"/>
          <w:bCs/>
          <w:szCs w:val="22"/>
          <w:lang w:val="en-GB"/>
        </w:rPr>
        <w:t xml:space="preserve"> is the deponent to the </w:t>
      </w:r>
      <w:r w:rsidR="00FA2116">
        <w:rPr>
          <w:rFonts w:cs="Arial"/>
          <w:bCs/>
          <w:szCs w:val="22"/>
          <w:lang w:val="en-GB"/>
        </w:rPr>
        <w:t>condonation</w:t>
      </w:r>
      <w:r w:rsidRPr="00A9539C">
        <w:rPr>
          <w:rFonts w:cs="Arial"/>
          <w:bCs/>
          <w:szCs w:val="22"/>
          <w:lang w:val="en-GB"/>
        </w:rPr>
        <w:t xml:space="preserve"> application in respect of the interdict. He is fully aware of the order. On 3 October 2023 he wrote a letter to the first respondent</w:t>
      </w:r>
      <w:r w:rsidR="00FA2116">
        <w:rPr>
          <w:rFonts w:cs="Arial"/>
          <w:bCs/>
          <w:szCs w:val="22"/>
          <w:lang w:val="en-GB"/>
        </w:rPr>
        <w:t>’</w:t>
      </w:r>
      <w:r w:rsidRPr="00A9539C">
        <w:rPr>
          <w:rFonts w:cs="Arial"/>
          <w:bCs/>
          <w:szCs w:val="22"/>
          <w:lang w:val="en-GB"/>
        </w:rPr>
        <w:t xml:space="preserve">s attorney on behalf of the first applicant stating that it </w:t>
      </w:r>
      <w:r w:rsidR="00E130D1">
        <w:rPr>
          <w:rFonts w:cs="Arial"/>
          <w:bCs/>
          <w:szCs w:val="22"/>
          <w:lang w:val="en-GB"/>
        </w:rPr>
        <w:t>-</w:t>
      </w:r>
    </w:p>
    <w:p w14:paraId="057F1467" w14:textId="3AD9A35F" w:rsidR="006E6BA1" w:rsidRPr="00A9539C" w:rsidRDefault="00E16F27" w:rsidP="00610327">
      <w:pPr>
        <w:widowControl w:val="0"/>
        <w:spacing w:before="480" w:after="480" w:line="360" w:lineRule="auto"/>
        <w:ind w:left="720"/>
        <w:jc w:val="both"/>
        <w:rPr>
          <w:rFonts w:cs="Arial"/>
          <w:bCs/>
          <w:szCs w:val="22"/>
        </w:rPr>
      </w:pPr>
      <w:r w:rsidRPr="00A9539C">
        <w:rPr>
          <w:rFonts w:cs="Arial"/>
          <w:bCs/>
          <w:i/>
          <w:iCs/>
          <w:szCs w:val="22"/>
          <w:lang w:val="en-GB"/>
        </w:rPr>
        <w:t>“</w:t>
      </w:r>
      <w:proofErr w:type="gramStart"/>
      <w:r w:rsidRPr="00A9539C">
        <w:rPr>
          <w:rFonts w:cs="Arial"/>
          <w:bCs/>
          <w:i/>
          <w:iCs/>
          <w:szCs w:val="22"/>
          <w:lang w:val="en-GB"/>
        </w:rPr>
        <w:t>has</w:t>
      </w:r>
      <w:proofErr w:type="gramEnd"/>
      <w:r w:rsidRPr="00A9539C">
        <w:rPr>
          <w:rFonts w:cs="Arial"/>
          <w:bCs/>
          <w:i/>
          <w:iCs/>
          <w:szCs w:val="22"/>
          <w:lang w:val="en-GB"/>
        </w:rPr>
        <w:t xml:space="preserve"> come to our attention that you have approached our tenants demanding that they pay you the amounts due to our company. Furthermore you have threatened our tenants with eviction should they not comply with your unlawful demands. We hereby demand that you immediately cease and desist from unlawfully demanding payment of rentals from our tenants, failing which we shall take through the urgent action. We furthermore dim and that immediately sees entering our property without prior written consent from us, failing which we shall take further urgent steps.”</w:t>
      </w:r>
    </w:p>
    <w:p w14:paraId="2FC79352" w14:textId="3C730E90" w:rsidR="006E6BA1" w:rsidRPr="00A9539C" w:rsidRDefault="00B03037" w:rsidP="006407E9">
      <w:pPr>
        <w:widowControl w:val="0"/>
        <w:numPr>
          <w:ilvl w:val="0"/>
          <w:numId w:val="1"/>
        </w:numPr>
        <w:spacing w:before="480" w:after="480" w:line="360" w:lineRule="auto"/>
        <w:jc w:val="both"/>
        <w:rPr>
          <w:rFonts w:cs="Arial"/>
          <w:bCs/>
          <w:szCs w:val="22"/>
        </w:rPr>
      </w:pPr>
      <w:r w:rsidRPr="00A9539C">
        <w:rPr>
          <w:rFonts w:cs="Arial"/>
          <w:bCs/>
          <w:szCs w:val="22"/>
          <w:lang w:val="en-GB"/>
        </w:rPr>
        <w:lastRenderedPageBreak/>
        <w:t xml:space="preserve">The averments made by the first respondent are not seriously disputed in the replying affidavit that also serves as an answering affidavit to the counter application. The third applicant who signed to the affidavit adopts the point of view that he is entitled to collect the rentals because of the pending condonation application. This explanation can never stand as the third applicant is represented by attorneys and he cannot rely on his ignorance of the law in this regard. While no one is expected to know all of the law it is incumbent upon any person entering upon any sphere of the law to familiarise himself </w:t>
      </w:r>
      <w:r w:rsidR="00610327">
        <w:rPr>
          <w:rFonts w:cs="Arial"/>
          <w:bCs/>
          <w:szCs w:val="22"/>
          <w:lang w:val="en-GB"/>
        </w:rPr>
        <w:t>or</w:t>
      </w:r>
      <w:r w:rsidRPr="00A9539C">
        <w:rPr>
          <w:rFonts w:cs="Arial"/>
          <w:bCs/>
          <w:szCs w:val="22"/>
          <w:lang w:val="en-GB"/>
        </w:rPr>
        <w:t xml:space="preserve"> herself with the applicable law.</w:t>
      </w:r>
      <w:r w:rsidR="00284ACC">
        <w:rPr>
          <w:rFonts w:cs="Arial"/>
          <w:bCs/>
          <w:szCs w:val="22"/>
          <w:lang w:val="en-GB"/>
        </w:rPr>
        <w:t xml:space="preserve"> The third applicant’s conduct is wilful and </w:t>
      </w:r>
      <w:r w:rsidR="00284ACC" w:rsidRPr="00284ACC">
        <w:rPr>
          <w:rFonts w:cs="Arial"/>
          <w:bCs/>
          <w:i/>
          <w:iCs/>
          <w:szCs w:val="22"/>
          <w:lang w:val="en-GB"/>
        </w:rPr>
        <w:t>mala fide</w:t>
      </w:r>
      <w:r w:rsidR="00284ACC">
        <w:rPr>
          <w:rFonts w:cs="Arial"/>
          <w:bCs/>
          <w:szCs w:val="22"/>
          <w:lang w:val="en-GB"/>
        </w:rPr>
        <w:t>.</w:t>
      </w:r>
    </w:p>
    <w:p w14:paraId="2AA3CB97" w14:textId="3AF915E7" w:rsidR="00B03037" w:rsidRPr="00A9539C" w:rsidRDefault="00B03037" w:rsidP="006407E9">
      <w:pPr>
        <w:widowControl w:val="0"/>
        <w:numPr>
          <w:ilvl w:val="0"/>
          <w:numId w:val="1"/>
        </w:numPr>
        <w:spacing w:before="480" w:after="480" w:line="360" w:lineRule="auto"/>
        <w:jc w:val="both"/>
        <w:rPr>
          <w:rFonts w:cs="Arial"/>
          <w:bCs/>
          <w:szCs w:val="22"/>
        </w:rPr>
      </w:pPr>
      <w:r w:rsidRPr="00A9539C">
        <w:rPr>
          <w:rFonts w:cs="Arial"/>
          <w:bCs/>
          <w:szCs w:val="22"/>
          <w:lang w:val="en-GB"/>
        </w:rPr>
        <w:t>I therefore find that the</w:t>
      </w:r>
      <w:r w:rsidR="00610327">
        <w:rPr>
          <w:rFonts w:cs="Arial"/>
          <w:bCs/>
          <w:szCs w:val="22"/>
          <w:lang w:val="en-GB"/>
        </w:rPr>
        <w:t xml:space="preserve"> first respondent’s case is unanswered and that the</w:t>
      </w:r>
      <w:r w:rsidRPr="00A9539C">
        <w:rPr>
          <w:rFonts w:cs="Arial"/>
          <w:bCs/>
          <w:szCs w:val="22"/>
          <w:lang w:val="en-GB"/>
        </w:rPr>
        <w:t xml:space="preserve"> third </w:t>
      </w:r>
      <w:r w:rsidR="00610327">
        <w:rPr>
          <w:rFonts w:cs="Arial"/>
          <w:bCs/>
          <w:szCs w:val="22"/>
          <w:lang w:val="en-GB"/>
        </w:rPr>
        <w:t>applicant</w:t>
      </w:r>
      <w:r w:rsidRPr="00A9539C">
        <w:rPr>
          <w:rFonts w:cs="Arial"/>
          <w:bCs/>
          <w:szCs w:val="22"/>
          <w:lang w:val="en-GB"/>
        </w:rPr>
        <w:t xml:space="preserve"> is in contempt of court.</w:t>
      </w:r>
    </w:p>
    <w:p w14:paraId="3B5C63C8" w14:textId="77777777" w:rsidR="00610327" w:rsidRDefault="00610327" w:rsidP="00610327">
      <w:pPr>
        <w:widowControl w:val="0"/>
        <w:spacing w:before="480" w:after="480" w:line="360" w:lineRule="auto"/>
        <w:jc w:val="both"/>
        <w:rPr>
          <w:rFonts w:cs="Arial"/>
          <w:bCs/>
          <w:szCs w:val="22"/>
          <w:u w:val="single"/>
        </w:rPr>
      </w:pPr>
    </w:p>
    <w:p w14:paraId="658ECBDA" w14:textId="06D52E43" w:rsidR="00610327" w:rsidRPr="00610327" w:rsidRDefault="00610327" w:rsidP="00610327">
      <w:pPr>
        <w:widowControl w:val="0"/>
        <w:spacing w:before="480" w:after="480" w:line="360" w:lineRule="auto"/>
        <w:jc w:val="both"/>
        <w:rPr>
          <w:rFonts w:cs="Arial"/>
          <w:bCs/>
          <w:szCs w:val="22"/>
          <w:u w:val="single"/>
        </w:rPr>
      </w:pPr>
      <w:r w:rsidRPr="00610327">
        <w:rPr>
          <w:rFonts w:cs="Arial"/>
          <w:bCs/>
          <w:szCs w:val="22"/>
          <w:u w:val="single"/>
        </w:rPr>
        <w:t>Conclusion</w:t>
      </w:r>
    </w:p>
    <w:p w14:paraId="50826F15" w14:textId="00CA2234" w:rsidR="00D2164A" w:rsidRPr="00A9539C" w:rsidRDefault="00D2164A" w:rsidP="00DD1C72">
      <w:pPr>
        <w:widowControl w:val="0"/>
        <w:numPr>
          <w:ilvl w:val="0"/>
          <w:numId w:val="1"/>
        </w:numPr>
        <w:spacing w:before="480" w:after="480" w:line="360" w:lineRule="auto"/>
        <w:jc w:val="both"/>
        <w:rPr>
          <w:rFonts w:cs="Arial"/>
          <w:bCs/>
          <w:szCs w:val="22"/>
        </w:rPr>
      </w:pPr>
      <w:r w:rsidRPr="00A9539C">
        <w:rPr>
          <w:rFonts w:cs="Arial"/>
          <w:bCs/>
          <w:szCs w:val="22"/>
          <w:lang w:val="en-US"/>
        </w:rPr>
        <w:t>For the reasons set out above I make the order in paragraph 1.</w:t>
      </w:r>
    </w:p>
    <w:p w14:paraId="5E3F3A66" w14:textId="6CAAB854" w:rsidR="00293C02" w:rsidRPr="00A9539C" w:rsidRDefault="00293C02" w:rsidP="005B380D">
      <w:pPr>
        <w:widowControl w:val="0"/>
        <w:tabs>
          <w:tab w:val="right" w:pos="0"/>
        </w:tabs>
        <w:spacing w:line="360" w:lineRule="auto"/>
        <w:contextualSpacing/>
        <w:rPr>
          <w:rFonts w:cs="Arial"/>
          <w:b/>
          <w:szCs w:val="22"/>
        </w:rPr>
      </w:pPr>
    </w:p>
    <w:p w14:paraId="53CD27EE" w14:textId="0B3A7FA3" w:rsidR="00AE287F" w:rsidRPr="00A9539C" w:rsidRDefault="00A649E6" w:rsidP="003A1D18">
      <w:pPr>
        <w:widowControl w:val="0"/>
        <w:tabs>
          <w:tab w:val="right" w:pos="0"/>
        </w:tabs>
        <w:spacing w:line="360" w:lineRule="auto"/>
        <w:contextualSpacing/>
        <w:jc w:val="right"/>
        <w:rPr>
          <w:rFonts w:cs="Arial"/>
          <w:b/>
          <w:szCs w:val="22"/>
        </w:rPr>
      </w:pPr>
      <w:r w:rsidRPr="00A9539C">
        <w:rPr>
          <w:rFonts w:cs="Arial"/>
          <w:b/>
          <w:szCs w:val="22"/>
        </w:rPr>
        <w:t>______________</w:t>
      </w:r>
    </w:p>
    <w:p w14:paraId="0CCB9BFE" w14:textId="7ABE564D" w:rsidR="006C43D7" w:rsidRPr="00A9539C" w:rsidRDefault="00C676F3" w:rsidP="003A1D18">
      <w:pPr>
        <w:widowControl w:val="0"/>
        <w:tabs>
          <w:tab w:val="right" w:pos="0"/>
        </w:tabs>
        <w:spacing w:line="360" w:lineRule="auto"/>
        <w:contextualSpacing/>
        <w:jc w:val="right"/>
        <w:rPr>
          <w:rFonts w:cs="Arial"/>
          <w:b/>
          <w:szCs w:val="22"/>
        </w:rPr>
      </w:pPr>
      <w:r w:rsidRPr="00A9539C">
        <w:rPr>
          <w:rFonts w:cs="Arial"/>
          <w:b/>
          <w:szCs w:val="22"/>
        </w:rPr>
        <w:t>J MOORCROFT</w:t>
      </w:r>
    </w:p>
    <w:p w14:paraId="7A2C1059" w14:textId="77777777" w:rsidR="006C43D7" w:rsidRPr="00A9539C" w:rsidRDefault="006C43D7" w:rsidP="003A1D18">
      <w:pPr>
        <w:widowControl w:val="0"/>
        <w:tabs>
          <w:tab w:val="right" w:pos="0"/>
        </w:tabs>
        <w:spacing w:line="360" w:lineRule="auto"/>
        <w:contextualSpacing/>
        <w:jc w:val="right"/>
        <w:rPr>
          <w:rFonts w:cs="Arial"/>
          <w:b/>
          <w:szCs w:val="22"/>
        </w:rPr>
      </w:pPr>
      <w:r w:rsidRPr="00A9539C">
        <w:rPr>
          <w:rFonts w:cs="Arial"/>
          <w:b/>
          <w:szCs w:val="22"/>
        </w:rPr>
        <w:t>ACTING JUDGE OF THE HIGH COURT OF SOUTH AFRICA</w:t>
      </w:r>
    </w:p>
    <w:p w14:paraId="077C2590" w14:textId="7452355B" w:rsidR="006C43D7" w:rsidRPr="00A9539C" w:rsidRDefault="006C43D7" w:rsidP="003A1D18">
      <w:pPr>
        <w:widowControl w:val="0"/>
        <w:tabs>
          <w:tab w:val="right" w:pos="0"/>
          <w:tab w:val="left" w:pos="4253"/>
        </w:tabs>
        <w:spacing w:line="360" w:lineRule="auto"/>
        <w:contextualSpacing/>
        <w:jc w:val="right"/>
        <w:rPr>
          <w:rFonts w:cs="Arial"/>
          <w:b/>
          <w:szCs w:val="22"/>
        </w:rPr>
      </w:pPr>
      <w:r w:rsidRPr="00A9539C">
        <w:rPr>
          <w:rFonts w:cs="Arial"/>
          <w:b/>
          <w:szCs w:val="22"/>
        </w:rPr>
        <w:t>GAUTENG DIVISION</w:t>
      </w:r>
    </w:p>
    <w:p w14:paraId="40B9C946" w14:textId="77777777" w:rsidR="006C43D7" w:rsidRPr="00A9539C" w:rsidRDefault="006C43D7" w:rsidP="0005282E">
      <w:pPr>
        <w:widowControl w:val="0"/>
        <w:tabs>
          <w:tab w:val="right" w:pos="0"/>
          <w:tab w:val="left" w:pos="4253"/>
        </w:tabs>
        <w:spacing w:line="360" w:lineRule="auto"/>
        <w:contextualSpacing/>
        <w:jc w:val="right"/>
        <w:rPr>
          <w:rFonts w:cs="Arial"/>
          <w:b/>
          <w:szCs w:val="22"/>
        </w:rPr>
      </w:pPr>
      <w:r w:rsidRPr="00A9539C">
        <w:rPr>
          <w:rFonts w:cs="Arial"/>
          <w:b/>
          <w:szCs w:val="22"/>
        </w:rPr>
        <w:t>JOHANNESBURG</w:t>
      </w:r>
    </w:p>
    <w:p w14:paraId="326B529B" w14:textId="77777777" w:rsidR="006C43D7" w:rsidRPr="00A9539C" w:rsidRDefault="006C43D7" w:rsidP="003A1D18">
      <w:pPr>
        <w:widowControl w:val="0"/>
        <w:tabs>
          <w:tab w:val="right" w:pos="0"/>
          <w:tab w:val="left" w:pos="4253"/>
        </w:tabs>
        <w:spacing w:line="360" w:lineRule="auto"/>
        <w:contextualSpacing/>
        <w:jc w:val="center"/>
        <w:rPr>
          <w:rFonts w:cs="Arial"/>
          <w:b/>
          <w:szCs w:val="22"/>
        </w:rPr>
      </w:pPr>
    </w:p>
    <w:p w14:paraId="5A4CC56C" w14:textId="051C4E22" w:rsidR="006C43D7" w:rsidRPr="00A9539C" w:rsidRDefault="006C43D7" w:rsidP="003A1D18">
      <w:pPr>
        <w:widowControl w:val="0"/>
        <w:spacing w:after="200" w:line="480" w:lineRule="auto"/>
        <w:contextualSpacing/>
        <w:jc w:val="right"/>
        <w:rPr>
          <w:rFonts w:cs="Arial"/>
          <w:b/>
          <w:i/>
          <w:iCs/>
          <w:szCs w:val="22"/>
        </w:rPr>
      </w:pPr>
      <w:r w:rsidRPr="00A9539C">
        <w:rPr>
          <w:rFonts w:cs="Arial"/>
          <w:b/>
          <w:i/>
          <w:iCs/>
          <w:szCs w:val="22"/>
        </w:rPr>
        <w:t>Electronically submitted</w:t>
      </w:r>
    </w:p>
    <w:p w14:paraId="4E3E9427" w14:textId="77777777" w:rsidR="006C43D7" w:rsidRPr="00A9539C" w:rsidRDefault="006C43D7" w:rsidP="003A1D18">
      <w:pPr>
        <w:widowControl w:val="0"/>
        <w:spacing w:after="200" w:line="360" w:lineRule="auto"/>
        <w:contextualSpacing/>
        <w:jc w:val="both"/>
        <w:rPr>
          <w:rFonts w:eastAsia="Arial Unicode MS" w:cs="Arial"/>
          <w:bCs/>
          <w:szCs w:val="22"/>
        </w:rPr>
      </w:pPr>
    </w:p>
    <w:p w14:paraId="51C686CA" w14:textId="5ED90C09" w:rsidR="006C43D7" w:rsidRPr="00A9539C" w:rsidRDefault="006C43D7" w:rsidP="003A1D18">
      <w:pPr>
        <w:widowControl w:val="0"/>
        <w:spacing w:after="200" w:line="360" w:lineRule="auto"/>
        <w:contextualSpacing/>
        <w:jc w:val="both"/>
        <w:rPr>
          <w:rFonts w:eastAsia="Arial Unicode MS" w:cs="Arial"/>
          <w:bCs/>
          <w:szCs w:val="22"/>
        </w:rPr>
      </w:pPr>
      <w:r w:rsidRPr="00A9539C">
        <w:rPr>
          <w:rFonts w:eastAsia="Arial Unicode MS" w:cs="Arial"/>
          <w:bCs/>
          <w:szCs w:val="22"/>
        </w:rPr>
        <w:t xml:space="preserve">Delivered: This judgement was prepared and authored by the Acting Judge whose name is reflected and is handed down electronically by circulation to the Parties / their legal representatives by email and by uploading it to the electronic file of this matter on </w:t>
      </w:r>
      <w:proofErr w:type="spellStart"/>
      <w:r w:rsidRPr="00A9539C">
        <w:rPr>
          <w:rFonts w:eastAsia="Arial Unicode MS" w:cs="Arial"/>
          <w:bCs/>
          <w:szCs w:val="22"/>
        </w:rPr>
        <w:t>CaseLines</w:t>
      </w:r>
      <w:proofErr w:type="spellEnd"/>
      <w:r w:rsidRPr="00A9539C">
        <w:rPr>
          <w:rFonts w:eastAsia="Arial Unicode MS" w:cs="Arial"/>
          <w:bCs/>
          <w:szCs w:val="22"/>
        </w:rPr>
        <w:t>. The date of the judgment is deemed to be</w:t>
      </w:r>
      <w:r w:rsidR="0005282E" w:rsidRPr="00A9539C">
        <w:rPr>
          <w:rFonts w:eastAsia="Arial Unicode MS" w:cs="Arial"/>
          <w:b/>
          <w:szCs w:val="22"/>
        </w:rPr>
        <w:t xml:space="preserve"> </w:t>
      </w:r>
      <w:r w:rsidR="00CA1D9D">
        <w:rPr>
          <w:rFonts w:eastAsia="Arial Unicode MS" w:cs="Arial"/>
          <w:b/>
          <w:szCs w:val="22"/>
        </w:rPr>
        <w:t>23</w:t>
      </w:r>
      <w:r w:rsidR="000976D2" w:rsidRPr="00A9539C">
        <w:rPr>
          <w:rFonts w:eastAsia="Arial Unicode MS" w:cs="Arial"/>
          <w:b/>
          <w:szCs w:val="22"/>
        </w:rPr>
        <w:t xml:space="preserve"> OCTOBER </w:t>
      </w:r>
      <w:r w:rsidR="00237FF9" w:rsidRPr="00A9539C">
        <w:rPr>
          <w:rFonts w:eastAsia="Arial Unicode MS" w:cs="Arial"/>
          <w:b/>
          <w:bCs/>
          <w:szCs w:val="22"/>
        </w:rPr>
        <w:t>202</w:t>
      </w:r>
      <w:r w:rsidR="00051A2B" w:rsidRPr="00A9539C">
        <w:rPr>
          <w:rFonts w:eastAsia="Arial Unicode MS" w:cs="Arial"/>
          <w:b/>
          <w:bCs/>
          <w:szCs w:val="22"/>
        </w:rPr>
        <w:t>3</w:t>
      </w:r>
      <w:r w:rsidR="00051A2B" w:rsidRPr="00A9539C">
        <w:rPr>
          <w:rFonts w:eastAsia="Arial Unicode MS" w:cs="Arial"/>
          <w:bCs/>
          <w:szCs w:val="22"/>
        </w:rPr>
        <w:t>.</w:t>
      </w:r>
    </w:p>
    <w:p w14:paraId="482DDF6E" w14:textId="77777777" w:rsidR="006C43D7" w:rsidRPr="00A9539C" w:rsidRDefault="006C43D7" w:rsidP="006C43D7">
      <w:pPr>
        <w:tabs>
          <w:tab w:val="right" w:pos="0"/>
          <w:tab w:val="left" w:pos="4253"/>
        </w:tabs>
        <w:spacing w:line="360" w:lineRule="auto"/>
        <w:contextualSpacing/>
        <w:jc w:val="center"/>
        <w:rPr>
          <w:rFonts w:cs="Arial"/>
          <w:b/>
          <w:szCs w:val="22"/>
        </w:rPr>
      </w:pPr>
    </w:p>
    <w:tbl>
      <w:tblPr>
        <w:tblStyle w:val="TableGrid"/>
        <w:tblW w:w="861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935"/>
      </w:tblGrid>
      <w:tr w:rsidR="009D35B5" w:rsidRPr="00A9539C" w14:paraId="493AF0D7" w14:textId="77777777" w:rsidTr="00615F6B">
        <w:tc>
          <w:tcPr>
            <w:tcW w:w="4678" w:type="dxa"/>
          </w:tcPr>
          <w:p w14:paraId="6A05541A" w14:textId="4813D80C" w:rsidR="009D35B5" w:rsidRPr="00A9539C" w:rsidRDefault="009D35B5" w:rsidP="00A25AB4">
            <w:pPr>
              <w:tabs>
                <w:tab w:val="right" w:pos="0"/>
                <w:tab w:val="left" w:pos="4253"/>
              </w:tabs>
              <w:spacing w:before="120" w:after="120"/>
              <w:rPr>
                <w:rFonts w:cs="Arial"/>
                <w:szCs w:val="22"/>
              </w:rPr>
            </w:pPr>
            <w:r w:rsidRPr="00A9539C">
              <w:rPr>
                <w:rFonts w:cs="Arial"/>
                <w:szCs w:val="22"/>
              </w:rPr>
              <w:t xml:space="preserve">COUNSEL FOR </w:t>
            </w:r>
            <w:r w:rsidR="00404A52" w:rsidRPr="00A9539C">
              <w:rPr>
                <w:rFonts w:cs="Arial"/>
                <w:szCs w:val="22"/>
              </w:rPr>
              <w:t>THE APPLICANT</w:t>
            </w:r>
            <w:r w:rsidR="00FA2116">
              <w:rPr>
                <w:rFonts w:cs="Arial"/>
                <w:szCs w:val="22"/>
              </w:rPr>
              <w:t>S</w:t>
            </w:r>
            <w:r w:rsidRPr="00A9539C">
              <w:rPr>
                <w:rFonts w:cs="Arial"/>
                <w:szCs w:val="22"/>
              </w:rPr>
              <w:t>:</w:t>
            </w:r>
          </w:p>
        </w:tc>
        <w:tc>
          <w:tcPr>
            <w:tcW w:w="3935" w:type="dxa"/>
          </w:tcPr>
          <w:p w14:paraId="69785AA9" w14:textId="781E7FB0" w:rsidR="000976D2" w:rsidRPr="00A9539C" w:rsidRDefault="00CA1D9D" w:rsidP="00D65571">
            <w:pPr>
              <w:tabs>
                <w:tab w:val="right" w:pos="0"/>
                <w:tab w:val="left" w:pos="567"/>
                <w:tab w:val="right" w:pos="2727"/>
                <w:tab w:val="left" w:pos="4253"/>
              </w:tabs>
              <w:spacing w:before="120" w:after="120"/>
              <w:jc w:val="right"/>
              <w:rPr>
                <w:rFonts w:cs="Arial"/>
                <w:szCs w:val="22"/>
              </w:rPr>
            </w:pPr>
            <w:r>
              <w:rPr>
                <w:rFonts w:cs="Arial"/>
                <w:szCs w:val="22"/>
              </w:rPr>
              <w:t>V L MAKOFANE</w:t>
            </w:r>
          </w:p>
        </w:tc>
      </w:tr>
      <w:tr w:rsidR="00FA2116" w:rsidRPr="00A9539C" w14:paraId="183C176D" w14:textId="77777777" w:rsidTr="00615F6B">
        <w:tc>
          <w:tcPr>
            <w:tcW w:w="4678" w:type="dxa"/>
          </w:tcPr>
          <w:p w14:paraId="75365413" w14:textId="481747BC" w:rsidR="00FA2116" w:rsidRPr="00A9539C" w:rsidRDefault="00FA2116" w:rsidP="00FA2116">
            <w:pPr>
              <w:tabs>
                <w:tab w:val="right" w:pos="0"/>
                <w:tab w:val="left" w:pos="4253"/>
              </w:tabs>
              <w:spacing w:before="120" w:after="120"/>
              <w:rPr>
                <w:rFonts w:cs="Arial"/>
                <w:szCs w:val="22"/>
              </w:rPr>
            </w:pPr>
            <w:r w:rsidRPr="00A9539C">
              <w:rPr>
                <w:rFonts w:cs="Arial"/>
                <w:szCs w:val="22"/>
              </w:rPr>
              <w:t>INSTRUCTED BY:</w:t>
            </w:r>
          </w:p>
        </w:tc>
        <w:tc>
          <w:tcPr>
            <w:tcW w:w="3935" w:type="dxa"/>
          </w:tcPr>
          <w:p w14:paraId="4044534A" w14:textId="640B32D2" w:rsidR="00FA2116" w:rsidRPr="00A9539C" w:rsidRDefault="00FA2116" w:rsidP="00FA2116">
            <w:pPr>
              <w:tabs>
                <w:tab w:val="right" w:pos="0"/>
                <w:tab w:val="left" w:pos="4253"/>
              </w:tabs>
              <w:spacing w:before="120" w:after="120"/>
              <w:jc w:val="right"/>
              <w:rPr>
                <w:rFonts w:cs="Arial"/>
                <w:szCs w:val="22"/>
              </w:rPr>
            </w:pPr>
            <w:r>
              <w:rPr>
                <w:rFonts w:cs="Arial"/>
                <w:szCs w:val="22"/>
              </w:rPr>
              <w:t>MOROAMOHUBE PK ATTORNEYS</w:t>
            </w:r>
          </w:p>
        </w:tc>
      </w:tr>
      <w:tr w:rsidR="00FA2116" w:rsidRPr="00A9539C" w14:paraId="6E2BF966" w14:textId="77777777" w:rsidTr="00615F6B">
        <w:tc>
          <w:tcPr>
            <w:tcW w:w="4678" w:type="dxa"/>
          </w:tcPr>
          <w:p w14:paraId="545B6665" w14:textId="5D91714F" w:rsidR="00FA2116" w:rsidRPr="00A9539C" w:rsidRDefault="00FA2116" w:rsidP="00FA2116">
            <w:pPr>
              <w:tabs>
                <w:tab w:val="right" w:pos="0"/>
                <w:tab w:val="left" w:pos="4253"/>
              </w:tabs>
              <w:spacing w:before="120" w:after="120"/>
              <w:rPr>
                <w:rFonts w:cs="Arial"/>
                <w:szCs w:val="22"/>
              </w:rPr>
            </w:pPr>
            <w:r w:rsidRPr="00A9539C">
              <w:rPr>
                <w:rFonts w:cs="Arial"/>
                <w:szCs w:val="22"/>
              </w:rPr>
              <w:lastRenderedPageBreak/>
              <w:t>COUNSEL FOR THE FIRST RESPONDENT:</w:t>
            </w:r>
          </w:p>
        </w:tc>
        <w:tc>
          <w:tcPr>
            <w:tcW w:w="3935" w:type="dxa"/>
          </w:tcPr>
          <w:p w14:paraId="51741A90" w14:textId="5F9BFBB5" w:rsidR="00FA2116" w:rsidRPr="00A9539C" w:rsidRDefault="00CA1D9D" w:rsidP="00FA2116">
            <w:pPr>
              <w:tabs>
                <w:tab w:val="right" w:pos="0"/>
                <w:tab w:val="left" w:pos="4253"/>
              </w:tabs>
              <w:spacing w:before="120" w:after="120"/>
              <w:jc w:val="right"/>
              <w:rPr>
                <w:rFonts w:cs="Arial"/>
                <w:szCs w:val="22"/>
              </w:rPr>
            </w:pPr>
            <w:r>
              <w:rPr>
                <w:rFonts w:cs="Arial"/>
                <w:szCs w:val="22"/>
              </w:rPr>
              <w:t>M DE OLIVIERA</w:t>
            </w:r>
          </w:p>
        </w:tc>
      </w:tr>
      <w:tr w:rsidR="00FA2116" w:rsidRPr="00A9539C" w14:paraId="1EC4105A" w14:textId="77777777" w:rsidTr="00615F6B">
        <w:tc>
          <w:tcPr>
            <w:tcW w:w="4678" w:type="dxa"/>
          </w:tcPr>
          <w:p w14:paraId="184EC2ED" w14:textId="1E42F28A" w:rsidR="00FA2116" w:rsidRPr="00A9539C" w:rsidRDefault="00FA2116" w:rsidP="00FA2116">
            <w:pPr>
              <w:tabs>
                <w:tab w:val="right" w:pos="0"/>
                <w:tab w:val="left" w:pos="4253"/>
              </w:tabs>
              <w:spacing w:before="120" w:after="120"/>
              <w:rPr>
                <w:rFonts w:cs="Arial"/>
                <w:szCs w:val="22"/>
              </w:rPr>
            </w:pPr>
            <w:r w:rsidRPr="00A9539C">
              <w:rPr>
                <w:rFonts w:cs="Arial"/>
                <w:szCs w:val="22"/>
              </w:rPr>
              <w:t>INSTRUCTED BY:</w:t>
            </w:r>
          </w:p>
        </w:tc>
        <w:tc>
          <w:tcPr>
            <w:tcW w:w="3935" w:type="dxa"/>
          </w:tcPr>
          <w:p w14:paraId="2098BE2A" w14:textId="590AD80A" w:rsidR="00FA2116" w:rsidRPr="00A9539C" w:rsidRDefault="00FA2116" w:rsidP="00FA2116">
            <w:pPr>
              <w:tabs>
                <w:tab w:val="right" w:pos="0"/>
                <w:tab w:val="left" w:pos="4253"/>
              </w:tabs>
              <w:spacing w:before="120" w:after="120"/>
              <w:jc w:val="right"/>
              <w:rPr>
                <w:rFonts w:cs="Arial"/>
                <w:szCs w:val="22"/>
              </w:rPr>
            </w:pPr>
            <w:r>
              <w:rPr>
                <w:rFonts w:cs="Arial"/>
                <w:szCs w:val="22"/>
              </w:rPr>
              <w:t>SCHINDLERS ATTORNEYS</w:t>
            </w:r>
          </w:p>
        </w:tc>
      </w:tr>
      <w:tr w:rsidR="00FA2116" w:rsidRPr="00A9539C" w14:paraId="2A3FE2B1" w14:textId="77777777" w:rsidTr="00615F6B">
        <w:tc>
          <w:tcPr>
            <w:tcW w:w="4678" w:type="dxa"/>
          </w:tcPr>
          <w:p w14:paraId="0767D0FE" w14:textId="61925A22" w:rsidR="00FA2116" w:rsidRPr="00A9539C" w:rsidRDefault="00FA2116" w:rsidP="00FA2116">
            <w:pPr>
              <w:tabs>
                <w:tab w:val="right" w:pos="0"/>
                <w:tab w:val="left" w:pos="4253"/>
              </w:tabs>
              <w:spacing w:before="120" w:after="120"/>
              <w:rPr>
                <w:rFonts w:cs="Arial"/>
                <w:szCs w:val="22"/>
              </w:rPr>
            </w:pPr>
            <w:r w:rsidRPr="00A9539C">
              <w:rPr>
                <w:rFonts w:cs="Arial"/>
                <w:szCs w:val="22"/>
              </w:rPr>
              <w:t>DATE OF ARGUMENT:</w:t>
            </w:r>
          </w:p>
        </w:tc>
        <w:tc>
          <w:tcPr>
            <w:tcW w:w="3935" w:type="dxa"/>
          </w:tcPr>
          <w:p w14:paraId="34C95147" w14:textId="50787696" w:rsidR="00FA2116" w:rsidRPr="00A9539C" w:rsidRDefault="00FA2116" w:rsidP="00FA2116">
            <w:pPr>
              <w:tabs>
                <w:tab w:val="right" w:pos="0"/>
                <w:tab w:val="left" w:pos="4253"/>
              </w:tabs>
              <w:spacing w:before="120" w:after="120"/>
              <w:jc w:val="right"/>
              <w:rPr>
                <w:rFonts w:cs="Arial"/>
                <w:szCs w:val="22"/>
              </w:rPr>
            </w:pPr>
            <w:r w:rsidRPr="00A9539C">
              <w:rPr>
                <w:rFonts w:cs="Arial"/>
                <w:szCs w:val="22"/>
              </w:rPr>
              <w:t>18 OCTOBER 2023</w:t>
            </w:r>
          </w:p>
        </w:tc>
      </w:tr>
      <w:tr w:rsidR="00FA2116" w:rsidRPr="00A9539C" w14:paraId="5ECDFF3A" w14:textId="77777777" w:rsidTr="00615F6B">
        <w:tc>
          <w:tcPr>
            <w:tcW w:w="4678" w:type="dxa"/>
          </w:tcPr>
          <w:p w14:paraId="1DF2AE9E" w14:textId="1FC539A4" w:rsidR="00FA2116" w:rsidRPr="00A9539C" w:rsidRDefault="00FA2116" w:rsidP="00FA2116">
            <w:pPr>
              <w:tabs>
                <w:tab w:val="right" w:pos="0"/>
                <w:tab w:val="left" w:pos="4253"/>
              </w:tabs>
              <w:spacing w:before="120" w:after="120"/>
              <w:rPr>
                <w:rFonts w:cs="Arial"/>
                <w:szCs w:val="22"/>
              </w:rPr>
            </w:pPr>
            <w:r w:rsidRPr="00A9539C">
              <w:rPr>
                <w:rFonts w:cs="Arial"/>
                <w:szCs w:val="22"/>
              </w:rPr>
              <w:t>DATE OF JUDGMENT:</w:t>
            </w:r>
          </w:p>
        </w:tc>
        <w:tc>
          <w:tcPr>
            <w:tcW w:w="3935" w:type="dxa"/>
          </w:tcPr>
          <w:p w14:paraId="02219E99" w14:textId="60BAA507" w:rsidR="00FA2116" w:rsidRPr="00A9539C" w:rsidRDefault="00FA2116" w:rsidP="00FA2116">
            <w:pPr>
              <w:tabs>
                <w:tab w:val="right" w:pos="0"/>
                <w:tab w:val="left" w:pos="4253"/>
              </w:tabs>
              <w:spacing w:before="120" w:after="120"/>
              <w:jc w:val="right"/>
              <w:rPr>
                <w:rFonts w:cs="Arial"/>
                <w:szCs w:val="22"/>
              </w:rPr>
            </w:pPr>
            <w:r>
              <w:rPr>
                <w:rFonts w:cs="Arial"/>
                <w:szCs w:val="22"/>
              </w:rPr>
              <w:t>23</w:t>
            </w:r>
            <w:r w:rsidRPr="00A9539C">
              <w:rPr>
                <w:rFonts w:cs="Arial"/>
                <w:szCs w:val="22"/>
              </w:rPr>
              <w:t xml:space="preserve"> OCTOBER 2023</w:t>
            </w:r>
          </w:p>
        </w:tc>
      </w:tr>
    </w:tbl>
    <w:p w14:paraId="1BD8F4EB" w14:textId="491B3C8F" w:rsidR="00A402F6" w:rsidRPr="00A9539C" w:rsidRDefault="00A402F6" w:rsidP="001966E8">
      <w:pPr>
        <w:widowControl w:val="0"/>
        <w:spacing w:before="480" w:after="480" w:line="360" w:lineRule="auto"/>
        <w:jc w:val="both"/>
        <w:rPr>
          <w:rFonts w:cs="Arial"/>
          <w:szCs w:val="22"/>
        </w:rPr>
      </w:pPr>
    </w:p>
    <w:sectPr w:rsidR="00A402F6" w:rsidRPr="00A9539C" w:rsidSect="009869F2">
      <w:headerReference w:type="default" r:id="rId9"/>
      <w:pgSz w:w="11906" w:h="16838"/>
      <w:pgMar w:top="1440" w:right="1558"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48471" w14:textId="77777777" w:rsidR="00210C79" w:rsidRDefault="00210C79">
      <w:r>
        <w:separator/>
      </w:r>
    </w:p>
  </w:endnote>
  <w:endnote w:type="continuationSeparator" w:id="0">
    <w:p w14:paraId="6014570A" w14:textId="77777777" w:rsidR="00210C79" w:rsidRDefault="00210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77A1D" w14:textId="77777777" w:rsidR="00210C79" w:rsidRDefault="00210C79">
      <w:r>
        <w:separator/>
      </w:r>
    </w:p>
  </w:footnote>
  <w:footnote w:type="continuationSeparator" w:id="0">
    <w:p w14:paraId="5845EF79" w14:textId="77777777" w:rsidR="00210C79" w:rsidRDefault="00210C79">
      <w:r>
        <w:continuationSeparator/>
      </w:r>
    </w:p>
  </w:footnote>
  <w:footnote w:id="1">
    <w:p w14:paraId="6803AA53" w14:textId="77777777" w:rsidR="00B03037" w:rsidRDefault="00B03037" w:rsidP="00B03037">
      <w:pPr>
        <w:pStyle w:val="FootnoteText"/>
      </w:pPr>
      <w:r>
        <w:rPr>
          <w:rStyle w:val="FootnoteReference"/>
        </w:rPr>
        <w:footnoteRef/>
      </w:r>
      <w:r>
        <w:t xml:space="preserve"> See </w:t>
      </w:r>
      <w:proofErr w:type="spellStart"/>
      <w:r w:rsidRPr="00631F50">
        <w:rPr>
          <w:i/>
          <w:iCs/>
        </w:rPr>
        <w:t>Panayiotou</w:t>
      </w:r>
      <w:proofErr w:type="spellEnd"/>
      <w:r w:rsidRPr="00631F50">
        <w:rPr>
          <w:i/>
          <w:iCs/>
        </w:rPr>
        <w:t xml:space="preserve"> v Shoprite Checkers (Pty) Ltd and Others</w:t>
      </w:r>
      <w:r>
        <w:t xml:space="preserve"> </w:t>
      </w:r>
      <w:r w:rsidRPr="00F264F6">
        <w:t>2016 (3) SA 110 (GJ)</w:t>
      </w:r>
      <w:r>
        <w:t>.</w:t>
      </w:r>
    </w:p>
  </w:footnote>
  <w:footnote w:id="2">
    <w:p w14:paraId="40470588" w14:textId="77777777" w:rsidR="00E130D1" w:rsidRDefault="00E130D1" w:rsidP="00E130D1">
      <w:pPr>
        <w:pStyle w:val="FootnoteText"/>
      </w:pPr>
      <w:r>
        <w:rPr>
          <w:rStyle w:val="FootnoteReference"/>
        </w:rPr>
        <w:footnoteRef/>
      </w:r>
      <w:r>
        <w:t xml:space="preserve"> </w:t>
      </w:r>
      <w:r>
        <w:tab/>
      </w:r>
      <w:proofErr w:type="spellStart"/>
      <w:r w:rsidRPr="00C60F27">
        <w:rPr>
          <w:i/>
          <w:iCs/>
        </w:rPr>
        <w:t>Dabner</w:t>
      </w:r>
      <w:proofErr w:type="spellEnd"/>
      <w:r w:rsidRPr="00C60F27">
        <w:rPr>
          <w:i/>
          <w:iCs/>
        </w:rPr>
        <w:t xml:space="preserve"> v South African Railways &amp; Harbours</w:t>
      </w:r>
      <w:r>
        <w:t xml:space="preserve"> 1920 AD 583 at 594; </w:t>
      </w:r>
      <w:proofErr w:type="spellStart"/>
      <w:r w:rsidRPr="00F65168">
        <w:rPr>
          <w:i/>
          <w:iCs/>
        </w:rPr>
        <w:t>Gentiruco</w:t>
      </w:r>
      <w:proofErr w:type="spellEnd"/>
      <w:r w:rsidRPr="00F65168">
        <w:rPr>
          <w:i/>
          <w:iCs/>
        </w:rPr>
        <w:t xml:space="preserve"> AG v Firestone SA (Pty) Ltd</w:t>
      </w:r>
      <w:r>
        <w:t xml:space="preserve"> </w:t>
      </w:r>
      <w:r w:rsidRPr="00F65168">
        <w:t>1972 (1) SA 589 (A)</w:t>
      </w:r>
      <w:r>
        <w:t xml:space="preserve">; </w:t>
      </w:r>
      <w:proofErr w:type="spellStart"/>
      <w:r w:rsidRPr="00F65168">
        <w:rPr>
          <w:i/>
          <w:iCs/>
        </w:rPr>
        <w:t>Qoboshiyane</w:t>
      </w:r>
      <w:proofErr w:type="spellEnd"/>
      <w:r w:rsidRPr="00F65168">
        <w:rPr>
          <w:i/>
          <w:iCs/>
        </w:rPr>
        <w:t xml:space="preserve"> NO and Others v </w:t>
      </w:r>
      <w:proofErr w:type="spellStart"/>
      <w:r w:rsidRPr="00F65168">
        <w:rPr>
          <w:i/>
          <w:iCs/>
        </w:rPr>
        <w:t>Avusa</w:t>
      </w:r>
      <w:proofErr w:type="spellEnd"/>
      <w:r w:rsidRPr="00F65168">
        <w:rPr>
          <w:i/>
          <w:iCs/>
        </w:rPr>
        <w:t xml:space="preserve"> Publishing Eastern Cape (Pty) Ltd and Others</w:t>
      </w:r>
      <w:r>
        <w:rPr>
          <w:i/>
          <w:iCs/>
        </w:rPr>
        <w:t xml:space="preserve"> </w:t>
      </w:r>
      <w:r w:rsidRPr="00F65168">
        <w:t>2013</w:t>
      </w:r>
      <w:r>
        <w:t xml:space="preserve"> </w:t>
      </w:r>
      <w:r w:rsidRPr="00F65168">
        <w:t>(3)</w:t>
      </w:r>
      <w:r>
        <w:t xml:space="preserve"> </w:t>
      </w:r>
      <w:r w:rsidRPr="00F65168">
        <w:t>SA</w:t>
      </w:r>
      <w:r>
        <w:t xml:space="preserve"> </w:t>
      </w:r>
      <w:r w:rsidRPr="00F65168">
        <w:t>315</w:t>
      </w:r>
      <w:r>
        <w:t xml:space="preserve"> </w:t>
      </w:r>
      <w:r w:rsidRPr="00F65168">
        <w:t>(SCA)</w:t>
      </w:r>
      <w:r>
        <w:t xml:space="preserve">; </w:t>
      </w:r>
      <w:r w:rsidRPr="00F95D51">
        <w:rPr>
          <w:i/>
          <w:iCs/>
        </w:rPr>
        <w:t>South African Revenue Service v Commission for Conciliation, Mediation and Arbitration and Others</w:t>
      </w:r>
      <w:r>
        <w:rPr>
          <w:i/>
          <w:iCs/>
        </w:rPr>
        <w:t xml:space="preserve"> </w:t>
      </w:r>
      <w:r w:rsidRPr="00834A4B">
        <w:t>2017 (1) SA 549 (CC)</w:t>
      </w:r>
      <w:r>
        <w:t xml:space="preserve"> para 26.</w:t>
      </w:r>
    </w:p>
  </w:footnote>
  <w:footnote w:id="3">
    <w:p w14:paraId="294B2DF8" w14:textId="65360A1C" w:rsidR="008816C0" w:rsidRDefault="008816C0">
      <w:pPr>
        <w:pStyle w:val="FootnoteText"/>
      </w:pPr>
      <w:r>
        <w:rPr>
          <w:rStyle w:val="FootnoteReference"/>
        </w:rPr>
        <w:footnoteRef/>
      </w:r>
      <w:r>
        <w:t xml:space="preserve"> </w:t>
      </w:r>
      <w:r>
        <w:tab/>
        <w:t xml:space="preserve">Rule 7(1) reads as follows: </w:t>
      </w:r>
      <w:r w:rsidRPr="008816C0">
        <w:rPr>
          <w:i/>
          <w:iCs/>
        </w:rPr>
        <w:t xml:space="preserve">“(1) Subject to the provisions of </w:t>
      </w:r>
      <w:proofErr w:type="spellStart"/>
      <w:r w:rsidRPr="008816C0">
        <w:rPr>
          <w:i/>
          <w:iCs/>
        </w:rPr>
        <w:t>subrules</w:t>
      </w:r>
      <w:proofErr w:type="spellEnd"/>
      <w:r w:rsidRPr="008816C0">
        <w:rPr>
          <w:i/>
          <w:iCs/>
        </w:rPr>
        <w:t xml:space="preserve"> (2) and (3) a power of attorney to act need not be filed, but the authority of anyone acting on behalf of a party may, within 10 days after it has come to the notice of a party that such person is so acting, or with the leave of the court on good cause shown at any time before judgment, be disputed, </w:t>
      </w:r>
      <w:proofErr w:type="spellStart"/>
      <w:r w:rsidRPr="008816C0">
        <w:rPr>
          <w:i/>
          <w:iCs/>
        </w:rPr>
        <w:t>whereafter</w:t>
      </w:r>
      <w:proofErr w:type="spellEnd"/>
      <w:r w:rsidRPr="008816C0">
        <w:rPr>
          <w:i/>
          <w:iCs/>
        </w:rPr>
        <w:t xml:space="preserve"> such person may no longer act unless he satisfied the court that he is authorised so to act, and to enable him to do so the court may postpone the hearing of the action or application.”</w:t>
      </w:r>
    </w:p>
  </w:footnote>
  <w:footnote w:id="4">
    <w:p w14:paraId="21FFD64E" w14:textId="478BC831" w:rsidR="00DA3853" w:rsidRDefault="00DA3853">
      <w:pPr>
        <w:pStyle w:val="FootnoteText"/>
      </w:pPr>
      <w:r>
        <w:rPr>
          <w:rStyle w:val="FootnoteReference"/>
        </w:rPr>
        <w:footnoteRef/>
      </w:r>
      <w:r>
        <w:t xml:space="preserve"> </w:t>
      </w:r>
      <w:r>
        <w:tab/>
        <w:t xml:space="preserve">See </w:t>
      </w:r>
      <w:r w:rsidRPr="009F4F01">
        <w:rPr>
          <w:i/>
          <w:iCs/>
          <w:color w:val="000000" w:themeColor="text1"/>
        </w:rPr>
        <w:t>Simpson v Standard Bank of SA Ltd</w:t>
      </w:r>
      <w:r w:rsidRPr="009F4F01">
        <w:rPr>
          <w:color w:val="000000" w:themeColor="text1"/>
        </w:rPr>
        <w:t> </w:t>
      </w:r>
      <w:hyperlink r:id="rId1" w:anchor="y1966v1SApg590" w:history="1">
        <w:r w:rsidRPr="009F4F01">
          <w:rPr>
            <w:rStyle w:val="Hyperlink"/>
            <w:color w:val="000000" w:themeColor="text1"/>
            <w:u w:val="none"/>
          </w:rPr>
          <w:t>1966 (1) SA 590 (W)</w:t>
        </w:r>
      </w:hyperlink>
      <w:r>
        <w:rPr>
          <w:color w:val="000000" w:themeColor="text1"/>
        </w:rPr>
        <w:t xml:space="preserve"> and </w:t>
      </w:r>
      <w:proofErr w:type="spellStart"/>
      <w:r w:rsidRPr="009F4F01">
        <w:rPr>
          <w:i/>
          <w:iCs/>
          <w:color w:val="000000" w:themeColor="text1"/>
        </w:rPr>
        <w:t>Ormerod</w:t>
      </w:r>
      <w:proofErr w:type="spellEnd"/>
      <w:r w:rsidRPr="009F4F01">
        <w:rPr>
          <w:i/>
          <w:iCs/>
          <w:color w:val="000000" w:themeColor="text1"/>
        </w:rPr>
        <w:t xml:space="preserve"> v Deputy Sheriff, Durban</w:t>
      </w:r>
      <w:r w:rsidRPr="009F4F01">
        <w:rPr>
          <w:color w:val="000000" w:themeColor="text1"/>
        </w:rPr>
        <w:t> </w:t>
      </w:r>
      <w:hyperlink r:id="rId2" w:anchor="y1965v4SApg670" w:history="1">
        <w:r w:rsidRPr="009F4F01">
          <w:rPr>
            <w:rStyle w:val="Hyperlink"/>
            <w:color w:val="000000" w:themeColor="text1"/>
            <w:u w:val="none"/>
          </w:rPr>
          <w:t>1965 (4) SA 670 (D)</w:t>
        </w:r>
      </w:hyperlink>
      <w:r>
        <w:rPr>
          <w:color w:val="000000" w:themeColor="text1"/>
        </w:rPr>
        <w:t>.</w:t>
      </w:r>
    </w:p>
  </w:footnote>
  <w:footnote w:id="5">
    <w:p w14:paraId="7D4034FC" w14:textId="646310F3" w:rsidR="00A9539C" w:rsidRDefault="00A9539C">
      <w:pPr>
        <w:pStyle w:val="FootnoteText"/>
      </w:pPr>
      <w:r>
        <w:rPr>
          <w:rStyle w:val="FootnoteReference"/>
        </w:rPr>
        <w:footnoteRef/>
      </w:r>
      <w:r>
        <w:t xml:space="preserve"> </w:t>
      </w:r>
      <w:r>
        <w:tab/>
      </w:r>
      <w:r w:rsidRPr="00436DFC">
        <w:rPr>
          <w:i/>
          <w:iCs/>
          <w:lang w:eastAsia="en-ZA"/>
        </w:rPr>
        <w:t>CB v ABSA Bank Limited and Others</w:t>
      </w:r>
      <w:r w:rsidRPr="00436DFC">
        <w:rPr>
          <w:lang w:eastAsia="en-ZA"/>
        </w:rPr>
        <w:t xml:space="preserve"> [2020] ZAGPJHC 303</w:t>
      </w:r>
      <w:r w:rsidR="000A02AD">
        <w:rPr>
          <w:lang w:eastAsia="en-ZA"/>
        </w:rPr>
        <w:t>.</w:t>
      </w:r>
    </w:p>
  </w:footnote>
  <w:footnote w:id="6">
    <w:p w14:paraId="0E4F93AB" w14:textId="77777777" w:rsidR="000C548D" w:rsidRDefault="000C548D" w:rsidP="000C548D">
      <w:pPr>
        <w:pStyle w:val="FootnoteText"/>
      </w:pPr>
      <w:r>
        <w:rPr>
          <w:rStyle w:val="FootnoteReference"/>
        </w:rPr>
        <w:footnoteRef/>
      </w:r>
      <w:r>
        <w:t xml:space="preserve"> </w:t>
      </w:r>
      <w:r>
        <w:tab/>
      </w:r>
      <w:r w:rsidRPr="00545F72">
        <w:rPr>
          <w:i/>
          <w:iCs/>
        </w:rPr>
        <w:t>University of Stellenbosch Legal Aid Clinic and Others v Minister of Justice and Correctional Services and Others</w:t>
      </w:r>
      <w:r>
        <w:t xml:space="preserve"> </w:t>
      </w:r>
      <w:r w:rsidRPr="009F4F01">
        <w:t>2016 (6) SA 596 (CC)</w:t>
      </w:r>
      <w:r>
        <w:t>.</w:t>
      </w:r>
    </w:p>
  </w:footnote>
  <w:footnote w:id="7">
    <w:p w14:paraId="1DE0AF6F" w14:textId="77777777" w:rsidR="000C548D" w:rsidRDefault="000C548D" w:rsidP="000C548D">
      <w:pPr>
        <w:pStyle w:val="FootnoteText"/>
      </w:pPr>
      <w:r>
        <w:rPr>
          <w:rStyle w:val="FootnoteReference"/>
        </w:rPr>
        <w:footnoteRef/>
      </w:r>
      <w:r>
        <w:t xml:space="preserve"> </w:t>
      </w:r>
      <w:r>
        <w:tab/>
        <w:t xml:space="preserve">See rule 6(12) and </w:t>
      </w:r>
      <w:r w:rsidRPr="00A826D5">
        <w:rPr>
          <w:i/>
          <w:iCs/>
        </w:rPr>
        <w:t xml:space="preserve">South African Congo Oil Co (Pty) Ltd v </w:t>
      </w:r>
      <w:proofErr w:type="spellStart"/>
      <w:r w:rsidRPr="00A826D5">
        <w:rPr>
          <w:i/>
          <w:iCs/>
        </w:rPr>
        <w:t>Identiguard</w:t>
      </w:r>
      <w:proofErr w:type="spellEnd"/>
      <w:r w:rsidRPr="00A826D5">
        <w:rPr>
          <w:i/>
          <w:iCs/>
        </w:rPr>
        <w:t xml:space="preserve"> International (Pty) Ltd</w:t>
      </w:r>
      <w:r>
        <w:t xml:space="preserve"> </w:t>
      </w:r>
      <w:r w:rsidRPr="00A826D5">
        <w:t>2012 (5) SA 125 (SCA)</w:t>
      </w:r>
      <w:r>
        <w:t xml:space="preserve"> paras 18 to 22.</w:t>
      </w:r>
    </w:p>
  </w:footnote>
  <w:footnote w:id="8">
    <w:p w14:paraId="5C45704F" w14:textId="18AF502B" w:rsidR="000C548D" w:rsidRDefault="000C548D">
      <w:pPr>
        <w:pStyle w:val="FootnoteText"/>
      </w:pPr>
      <w:r>
        <w:rPr>
          <w:rStyle w:val="FootnoteReference"/>
        </w:rPr>
        <w:footnoteRef/>
      </w:r>
      <w:r>
        <w:t xml:space="preserve"> </w:t>
      </w:r>
      <w:r>
        <w:tab/>
        <w:t>See</w:t>
      </w:r>
      <w:r w:rsidRPr="000C548D">
        <w:rPr>
          <w:color w:val="000000" w:themeColor="text1"/>
        </w:rPr>
        <w:t xml:space="preserve"> </w:t>
      </w:r>
      <w:proofErr w:type="spellStart"/>
      <w:r w:rsidRPr="00A550B1">
        <w:rPr>
          <w:i/>
          <w:iCs/>
          <w:color w:val="000000" w:themeColor="text1"/>
        </w:rPr>
        <w:t>Stratgro</w:t>
      </w:r>
      <w:proofErr w:type="spellEnd"/>
      <w:r w:rsidRPr="00A550B1">
        <w:rPr>
          <w:i/>
          <w:iCs/>
          <w:color w:val="000000" w:themeColor="text1"/>
        </w:rPr>
        <w:t xml:space="preserve"> Capital (SA) Ltd v Lombard NO and Others </w:t>
      </w:r>
      <w:hyperlink r:id="rId3" w:history="1">
        <w:r w:rsidRPr="00A550B1">
          <w:rPr>
            <w:rStyle w:val="Hyperlink"/>
            <w:color w:val="000000" w:themeColor="text1"/>
            <w:u w:val="none"/>
          </w:rPr>
          <w:t>2010 (2) SA 530 (SCA)</w:t>
        </w:r>
      </w:hyperlink>
      <w:r w:rsidRPr="00A550B1">
        <w:rPr>
          <w:color w:val="000000" w:themeColor="text1"/>
        </w:rPr>
        <w:t xml:space="preserve"> paras 15 </w:t>
      </w:r>
      <w:r>
        <w:rPr>
          <w:color w:val="000000" w:themeColor="text1"/>
        </w:rPr>
        <w:t xml:space="preserve">to </w:t>
      </w:r>
      <w:r w:rsidRPr="00A550B1">
        <w:rPr>
          <w:color w:val="000000" w:themeColor="text1"/>
        </w:rPr>
        <w:t>17</w:t>
      </w:r>
      <w:r>
        <w:rPr>
          <w:color w:val="000000" w:themeColor="text1"/>
        </w:rPr>
        <w:t xml:space="preserve"> and </w:t>
      </w:r>
      <w:r w:rsidRPr="00A550B1">
        <w:rPr>
          <w:i/>
          <w:iCs/>
          <w:color w:val="000000" w:themeColor="text1"/>
        </w:rPr>
        <w:t>Schmidt v Weaving</w:t>
      </w:r>
      <w:r w:rsidRPr="00A550B1">
        <w:rPr>
          <w:color w:val="000000" w:themeColor="text1"/>
        </w:rPr>
        <w:t> </w:t>
      </w:r>
      <w:hyperlink r:id="rId4" w:history="1">
        <w:r w:rsidRPr="00A550B1">
          <w:rPr>
            <w:rStyle w:val="Hyperlink"/>
            <w:color w:val="000000" w:themeColor="text1"/>
            <w:u w:val="none"/>
          </w:rPr>
          <w:t>2009 (1) SA 170 (SCA)</w:t>
        </w:r>
      </w:hyperlink>
      <w:r w:rsidRPr="00A550B1">
        <w:rPr>
          <w:color w:val="000000" w:themeColor="text1"/>
        </w:rPr>
        <w:t xml:space="preserve"> paras 15 </w:t>
      </w:r>
      <w:r>
        <w:rPr>
          <w:color w:val="000000" w:themeColor="text1"/>
        </w:rPr>
        <w:t xml:space="preserve">to </w:t>
      </w:r>
      <w:r w:rsidRPr="00A550B1">
        <w:rPr>
          <w:color w:val="000000" w:themeColor="text1"/>
        </w:rPr>
        <w:t>21</w:t>
      </w:r>
      <w:r>
        <w:rPr>
          <w:color w:val="000000" w:themeColor="text1"/>
        </w:rPr>
        <w:t>.</w:t>
      </w:r>
    </w:p>
  </w:footnote>
  <w:footnote w:id="9">
    <w:p w14:paraId="7B2C49EA" w14:textId="77777777" w:rsidR="006E6BA1" w:rsidRPr="00E43C23" w:rsidRDefault="006E6BA1" w:rsidP="006E6BA1">
      <w:pPr>
        <w:pStyle w:val="FootnoteText"/>
        <w:rPr>
          <w:color w:val="000000" w:themeColor="text1"/>
        </w:rPr>
      </w:pPr>
      <w:r>
        <w:rPr>
          <w:rStyle w:val="FootnoteReference"/>
        </w:rPr>
        <w:footnoteRef/>
      </w:r>
      <w:r>
        <w:t xml:space="preserve"> </w:t>
      </w:r>
      <w:r>
        <w:tab/>
      </w:r>
      <w:proofErr w:type="spellStart"/>
      <w:r w:rsidRPr="00E43C23">
        <w:rPr>
          <w:i/>
          <w:iCs/>
          <w:color w:val="000000" w:themeColor="text1"/>
        </w:rPr>
        <w:t>Fakie</w:t>
      </w:r>
      <w:proofErr w:type="spellEnd"/>
      <w:r w:rsidRPr="00E43C23">
        <w:rPr>
          <w:i/>
          <w:iCs/>
          <w:color w:val="000000" w:themeColor="text1"/>
        </w:rPr>
        <w:t xml:space="preserve"> NO v CCII Systems (Pty) Ltd</w:t>
      </w:r>
      <w:r w:rsidRPr="00E43C23">
        <w:rPr>
          <w:color w:val="000000" w:themeColor="text1"/>
        </w:rPr>
        <w:t xml:space="preserve"> 2006 (4) SA 326 (SCA)</w:t>
      </w:r>
      <w:r>
        <w:rPr>
          <w:color w:val="000000" w:themeColor="text1"/>
        </w:rPr>
        <w:t xml:space="preserve"> para 6 et seq</w:t>
      </w:r>
      <w:r w:rsidRPr="00E43C23">
        <w:rPr>
          <w:color w:val="000000" w:themeColor="text1"/>
        </w:rPr>
        <w:t>. See also</w:t>
      </w:r>
      <w:r w:rsidRPr="00E43C23">
        <w:rPr>
          <w:rFonts w:cs="Arial"/>
          <w:color w:val="000000" w:themeColor="text1"/>
        </w:rPr>
        <w:t xml:space="preserve"> </w:t>
      </w:r>
      <w:proofErr w:type="spellStart"/>
      <w:r w:rsidRPr="00E43C23">
        <w:rPr>
          <w:rFonts w:cs="Arial"/>
          <w:i/>
          <w:iCs/>
          <w:color w:val="000000" w:themeColor="text1"/>
        </w:rPr>
        <w:t>Uncedo</w:t>
      </w:r>
      <w:proofErr w:type="spellEnd"/>
      <w:r w:rsidRPr="00E43C23">
        <w:rPr>
          <w:rFonts w:cs="Arial"/>
          <w:i/>
          <w:iCs/>
          <w:color w:val="000000" w:themeColor="text1"/>
        </w:rPr>
        <w:t xml:space="preserve"> Taxi Service Association v </w:t>
      </w:r>
      <w:proofErr w:type="spellStart"/>
      <w:r w:rsidRPr="00E43C23">
        <w:rPr>
          <w:rFonts w:cs="Arial"/>
          <w:i/>
          <w:iCs/>
          <w:color w:val="000000" w:themeColor="text1"/>
        </w:rPr>
        <w:t>Maninjwa</w:t>
      </w:r>
      <w:proofErr w:type="spellEnd"/>
      <w:r w:rsidRPr="00E43C23">
        <w:rPr>
          <w:rFonts w:cs="Arial"/>
          <w:color w:val="000000" w:themeColor="text1"/>
        </w:rPr>
        <w:t xml:space="preserve"> 1998 (3) SA 417 (ECD) 429 G – I,</w:t>
      </w:r>
      <w:r w:rsidRPr="00E43C23">
        <w:rPr>
          <w:color w:val="000000" w:themeColor="text1"/>
        </w:rPr>
        <w:t xml:space="preserve"> </w:t>
      </w:r>
      <w:proofErr w:type="spellStart"/>
      <w:r w:rsidRPr="00E43C23">
        <w:rPr>
          <w:rFonts w:cs="Arial"/>
          <w:i/>
          <w:iCs/>
          <w:color w:val="000000" w:themeColor="text1"/>
        </w:rPr>
        <w:t>Dezius</w:t>
      </w:r>
      <w:proofErr w:type="spellEnd"/>
      <w:r w:rsidRPr="00E43C23">
        <w:rPr>
          <w:rFonts w:cs="Arial"/>
          <w:i/>
          <w:iCs/>
          <w:color w:val="000000" w:themeColor="text1"/>
        </w:rPr>
        <w:t xml:space="preserve"> v </w:t>
      </w:r>
      <w:proofErr w:type="spellStart"/>
      <w:r w:rsidRPr="00E43C23">
        <w:rPr>
          <w:rFonts w:cs="Arial"/>
          <w:i/>
          <w:iCs/>
          <w:color w:val="000000" w:themeColor="text1"/>
        </w:rPr>
        <w:t>Dezius</w:t>
      </w:r>
      <w:proofErr w:type="spellEnd"/>
      <w:r w:rsidRPr="00E43C23">
        <w:rPr>
          <w:rFonts w:cs="Arial"/>
          <w:color w:val="000000" w:themeColor="text1"/>
        </w:rPr>
        <w:t> </w:t>
      </w:r>
      <w:hyperlink r:id="rId5" w:tooltip="View LawCiteRecord" w:history="1">
        <w:r w:rsidRPr="00E43C23">
          <w:rPr>
            <w:rStyle w:val="Hyperlink"/>
            <w:rFonts w:cs="Arial"/>
            <w:color w:val="000000" w:themeColor="text1"/>
            <w:u w:val="none"/>
          </w:rPr>
          <w:t>2006 (6) SA 395</w:t>
        </w:r>
      </w:hyperlink>
      <w:r w:rsidRPr="00E43C23">
        <w:rPr>
          <w:rFonts w:cs="Arial"/>
          <w:color w:val="000000" w:themeColor="text1"/>
        </w:rPr>
        <w:t xml:space="preserve"> (CPD), </w:t>
      </w:r>
      <w:r w:rsidRPr="00E43C23">
        <w:rPr>
          <w:i/>
          <w:iCs/>
          <w:color w:val="000000" w:themeColor="text1"/>
        </w:rPr>
        <w:t xml:space="preserve">Wilson v Wilson </w:t>
      </w:r>
      <w:r w:rsidRPr="00E43C23">
        <w:rPr>
          <w:color w:val="000000" w:themeColor="text1"/>
        </w:rPr>
        <w:t>[2009] ZAFSHC 2</w:t>
      </w:r>
      <w:r>
        <w:rPr>
          <w:color w:val="000000" w:themeColor="text1"/>
        </w:rPr>
        <w:t xml:space="preserve"> para 10, </w:t>
      </w:r>
      <w:r w:rsidRPr="00E43C23">
        <w:rPr>
          <w:color w:val="000000" w:themeColor="text1"/>
        </w:rPr>
        <w:t xml:space="preserve">and </w:t>
      </w:r>
      <w:r w:rsidRPr="00E43C23">
        <w:rPr>
          <w:rFonts w:cs="Arial"/>
          <w:i/>
          <w:iCs/>
          <w:color w:val="000000" w:themeColor="text1"/>
        </w:rPr>
        <w:t xml:space="preserve">AR v </w:t>
      </w:r>
      <w:proofErr w:type="gramStart"/>
      <w:r w:rsidRPr="00E43C23">
        <w:rPr>
          <w:rFonts w:cs="Arial"/>
          <w:i/>
          <w:iCs/>
          <w:color w:val="000000" w:themeColor="text1"/>
        </w:rPr>
        <w:t>MN</w:t>
      </w:r>
      <w:r w:rsidRPr="00E43C23">
        <w:rPr>
          <w:rFonts w:cs="Arial"/>
          <w:color w:val="000000" w:themeColor="text1"/>
        </w:rPr>
        <w:t xml:space="preserve">  [</w:t>
      </w:r>
      <w:proofErr w:type="gramEnd"/>
      <w:r w:rsidRPr="00E43C23">
        <w:rPr>
          <w:rFonts w:cs="Arial"/>
          <w:color w:val="000000" w:themeColor="text1"/>
        </w:rPr>
        <w:t>2020] ZAGPJHC 215.</w:t>
      </w:r>
    </w:p>
  </w:footnote>
  <w:footnote w:id="10">
    <w:p w14:paraId="6D1C9E86" w14:textId="77777777" w:rsidR="006E6BA1" w:rsidRDefault="006E6BA1" w:rsidP="006E6BA1">
      <w:pPr>
        <w:pStyle w:val="FootnoteText"/>
      </w:pPr>
      <w:r>
        <w:rPr>
          <w:rStyle w:val="FootnoteReference"/>
        </w:rPr>
        <w:footnoteRef/>
      </w:r>
      <w:r>
        <w:t xml:space="preserve"> </w:t>
      </w:r>
      <w:r>
        <w:tab/>
      </w:r>
      <w:proofErr w:type="spellStart"/>
      <w:r w:rsidRPr="00E43C23">
        <w:rPr>
          <w:i/>
          <w:iCs/>
          <w:color w:val="000000" w:themeColor="text1"/>
        </w:rPr>
        <w:t>Fakie</w:t>
      </w:r>
      <w:proofErr w:type="spellEnd"/>
      <w:r w:rsidRPr="00E43C23">
        <w:rPr>
          <w:i/>
          <w:iCs/>
          <w:color w:val="000000" w:themeColor="text1"/>
        </w:rPr>
        <w:t xml:space="preserve"> NO v CCII Systems (Pty) Ltd</w:t>
      </w:r>
      <w:r w:rsidRPr="00E43C23">
        <w:rPr>
          <w:color w:val="000000" w:themeColor="text1"/>
        </w:rPr>
        <w:t xml:space="preserve"> 2006 (4) SA 326 (SCA)</w:t>
      </w:r>
      <w:r>
        <w:rPr>
          <w:color w:val="000000" w:themeColor="text1"/>
        </w:rPr>
        <w:t xml:space="preserve"> para 23.</w:t>
      </w:r>
    </w:p>
  </w:footnote>
  <w:footnote w:id="11">
    <w:p w14:paraId="0BD62938" w14:textId="77777777" w:rsidR="00610327" w:rsidRDefault="00610327" w:rsidP="00610327">
      <w:pPr>
        <w:pStyle w:val="FootnoteText"/>
      </w:pPr>
      <w:r>
        <w:rPr>
          <w:rStyle w:val="FootnoteReference"/>
        </w:rPr>
        <w:footnoteRef/>
      </w:r>
      <w:r>
        <w:t xml:space="preserve"> </w:t>
      </w:r>
      <w:r>
        <w:tab/>
      </w:r>
      <w:proofErr w:type="spellStart"/>
      <w:r w:rsidRPr="00212B99">
        <w:rPr>
          <w:i/>
          <w:iCs/>
        </w:rPr>
        <w:t>Matjhabeng</w:t>
      </w:r>
      <w:proofErr w:type="spellEnd"/>
      <w:r w:rsidRPr="00212B99">
        <w:rPr>
          <w:i/>
          <w:iCs/>
        </w:rPr>
        <w:t xml:space="preserve"> Local Municipality v Eskom Holdings Ltd and Others</w:t>
      </w:r>
      <w:r>
        <w:t xml:space="preserve"> </w:t>
      </w:r>
      <w:r w:rsidRPr="00212B99">
        <w:t>2018 (1) SA 1 (CC)</w:t>
      </w:r>
      <w:r>
        <w:t xml:space="preserve"> paras 46 to 67, and the authorities referred to.</w:t>
      </w:r>
      <w:r w:rsidRPr="00610327">
        <w:t xml:space="preserve"> </w:t>
      </w:r>
      <w:r>
        <w:t xml:space="preserve">See also </w:t>
      </w:r>
      <w:r w:rsidRPr="00996EBE">
        <w:rPr>
          <w:i/>
          <w:iCs/>
        </w:rPr>
        <w:t>Federation of Governing Bodies of South African Schools (Gauteng) v MEC for Education, Gauteng</w:t>
      </w:r>
      <w:r w:rsidRPr="00996EBE">
        <w:t xml:space="preserve"> 2002 (1) SA 660 (T)</w:t>
      </w:r>
      <w:proofErr w:type="gramStart"/>
      <w:r>
        <w:t xml:space="preserve">, </w:t>
      </w:r>
      <w:r w:rsidRPr="00996EBE">
        <w:rPr>
          <w:rFonts w:ascii="Verdana" w:hAnsi="Verdana"/>
          <w:color w:val="2C3E50"/>
          <w:sz w:val="16"/>
          <w:szCs w:val="16"/>
          <w:lang w:eastAsia="en-ZA"/>
        </w:rPr>
        <w:t> </w:t>
      </w:r>
      <w:r w:rsidRPr="00996EBE">
        <w:rPr>
          <w:i/>
          <w:iCs/>
          <w:color w:val="000000" w:themeColor="text1"/>
          <w:lang w:eastAsia="en-ZA"/>
        </w:rPr>
        <w:t>SH</w:t>
      </w:r>
      <w:proofErr w:type="gramEnd"/>
      <w:r w:rsidRPr="00996EBE">
        <w:rPr>
          <w:i/>
          <w:iCs/>
          <w:color w:val="000000" w:themeColor="text1"/>
          <w:lang w:eastAsia="en-ZA"/>
        </w:rPr>
        <w:t xml:space="preserve"> v GF</w:t>
      </w:r>
      <w:r w:rsidRPr="00996EBE">
        <w:rPr>
          <w:color w:val="000000" w:themeColor="text1"/>
        </w:rPr>
        <w:t xml:space="preserve"> </w:t>
      </w:r>
      <w:hyperlink r:id="rId6" w:anchor="y2013v6SApg621" w:history="1">
        <w:r w:rsidRPr="00996EBE">
          <w:rPr>
            <w:rStyle w:val="Hyperlink"/>
            <w:color w:val="000000" w:themeColor="text1"/>
            <w:u w:val="none"/>
            <w:lang w:eastAsia="en-ZA"/>
          </w:rPr>
          <w:t>2013 (6) SA 621 (SCA)</w:t>
        </w:r>
      </w:hyperlink>
      <w:r w:rsidRPr="00996EBE">
        <w:rPr>
          <w:color w:val="000000" w:themeColor="text1"/>
        </w:rPr>
        <w:t>,</w:t>
      </w:r>
      <w:r>
        <w:rPr>
          <w:color w:val="000000" w:themeColor="text1"/>
        </w:rPr>
        <w:t xml:space="preserve"> </w:t>
      </w:r>
      <w:r w:rsidRPr="00996EBE">
        <w:rPr>
          <w:i/>
          <w:iCs/>
          <w:color w:val="000000" w:themeColor="text1"/>
          <w:lang w:eastAsia="en-ZA"/>
        </w:rPr>
        <w:t>JC v DC</w:t>
      </w:r>
      <w:r w:rsidRPr="00996EBE">
        <w:rPr>
          <w:color w:val="000000" w:themeColor="text1"/>
          <w:lang w:eastAsia="en-ZA"/>
        </w:rPr>
        <w:t> </w:t>
      </w:r>
      <w:hyperlink r:id="rId7" w:anchor="y2014v2SApg138" w:history="1">
        <w:r w:rsidRPr="00996EBE">
          <w:rPr>
            <w:rStyle w:val="Hyperlink"/>
            <w:color w:val="000000" w:themeColor="text1"/>
            <w:u w:val="none"/>
            <w:lang w:eastAsia="en-ZA"/>
          </w:rPr>
          <w:t>2014 (2) SA 138 (WCC)</w:t>
        </w:r>
      </w:hyperlink>
      <w:r>
        <w:rPr>
          <w:color w:val="000000" w:themeColor="text1"/>
          <w:lang w:eastAsia="en-ZA"/>
        </w:rPr>
        <w:t>, and</w:t>
      </w:r>
      <w:r w:rsidRPr="00996EBE">
        <w:rPr>
          <w:i/>
          <w:iCs/>
        </w:rPr>
        <w:t xml:space="preserve"> </w:t>
      </w:r>
      <w:proofErr w:type="spellStart"/>
      <w:r w:rsidRPr="00996EBE">
        <w:rPr>
          <w:i/>
          <w:iCs/>
        </w:rPr>
        <w:t>Ndabeni</w:t>
      </w:r>
      <w:proofErr w:type="spellEnd"/>
      <w:r w:rsidRPr="00996EBE">
        <w:rPr>
          <w:i/>
          <w:iCs/>
        </w:rPr>
        <w:t xml:space="preserve"> v Municipal Manager: OR Tambo District Municipality (</w:t>
      </w:r>
      <w:proofErr w:type="spellStart"/>
      <w:r w:rsidRPr="00996EBE">
        <w:rPr>
          <w:i/>
          <w:iCs/>
        </w:rPr>
        <w:t>Hlazo</w:t>
      </w:r>
      <w:proofErr w:type="spellEnd"/>
      <w:r w:rsidRPr="00996EBE">
        <w:rPr>
          <w:i/>
          <w:iCs/>
        </w:rPr>
        <w:t>) and another</w:t>
      </w:r>
      <w:r>
        <w:t xml:space="preserve"> [2021] JOL 49383 (SCA).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68A9B" w14:textId="74687DAB" w:rsidR="00893C08" w:rsidRPr="006C43D7" w:rsidRDefault="00893C08" w:rsidP="004B21D9">
    <w:pPr>
      <w:tabs>
        <w:tab w:val="center" w:pos="4153"/>
        <w:tab w:val="right" w:pos="8306"/>
      </w:tabs>
      <w:spacing w:line="276" w:lineRule="auto"/>
      <w:rPr>
        <w:rFonts w:cs="Arial"/>
        <w:sz w:val="20"/>
        <w:szCs w:val="20"/>
        <w:lang w:val="en-GB"/>
      </w:rPr>
    </w:pPr>
    <w:r w:rsidRPr="006C43D7">
      <w:rPr>
        <w:rFonts w:cs="Arial"/>
        <w:sz w:val="20"/>
        <w:szCs w:val="20"/>
        <w:lang w:val="en-GB"/>
      </w:rPr>
      <w:fldChar w:fldCharType="begin"/>
    </w:r>
    <w:r w:rsidRPr="006C43D7">
      <w:rPr>
        <w:rFonts w:cs="Arial"/>
        <w:sz w:val="20"/>
        <w:szCs w:val="20"/>
        <w:lang w:val="en-GB"/>
      </w:rPr>
      <w:instrText xml:space="preserve"> PAGE </w:instrText>
    </w:r>
    <w:r w:rsidRPr="006C43D7">
      <w:rPr>
        <w:rFonts w:cs="Arial"/>
        <w:sz w:val="20"/>
        <w:szCs w:val="20"/>
        <w:lang w:val="en-GB"/>
      </w:rPr>
      <w:fldChar w:fldCharType="separate"/>
    </w:r>
    <w:r w:rsidR="00934663">
      <w:rPr>
        <w:rFonts w:cs="Arial"/>
        <w:noProof/>
        <w:sz w:val="20"/>
        <w:szCs w:val="20"/>
        <w:lang w:val="en-GB"/>
      </w:rPr>
      <w:t>2</w:t>
    </w:r>
    <w:r w:rsidRPr="006C43D7">
      <w:rPr>
        <w:rFonts w:cs="Arial"/>
        <w:sz w:val="20"/>
        <w:szCs w:val="20"/>
        <w:lang w:val="en-GB"/>
      </w:rPr>
      <w:fldChar w:fldCharType="end"/>
    </w:r>
  </w:p>
  <w:p w14:paraId="08C008E5" w14:textId="77777777" w:rsidR="00893C08" w:rsidRPr="006C43D7" w:rsidRDefault="00893C08" w:rsidP="006C43D7">
    <w:pPr>
      <w:tabs>
        <w:tab w:val="center" w:pos="4153"/>
        <w:tab w:val="right" w:pos="8306"/>
      </w:tabs>
      <w:spacing w:line="276" w:lineRule="auto"/>
      <w:jc w:val="right"/>
      <w:rPr>
        <w:rFonts w:cs="Arial"/>
        <w:lang w:val="en-US"/>
      </w:rPr>
    </w:pPr>
  </w:p>
  <w:p w14:paraId="4A21EF97" w14:textId="77777777" w:rsidR="00893C08" w:rsidRPr="006C43D7" w:rsidRDefault="00893C08" w:rsidP="006C4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149B"/>
    <w:multiLevelType w:val="multilevel"/>
    <w:tmpl w:val="BB262BC0"/>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0A0D50CD"/>
    <w:multiLevelType w:val="hybridMultilevel"/>
    <w:tmpl w:val="9DC0471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1395632B"/>
    <w:multiLevelType w:val="multilevel"/>
    <w:tmpl w:val="18D4C7F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14576F93"/>
    <w:multiLevelType w:val="hybridMultilevel"/>
    <w:tmpl w:val="64068F0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5DE0EE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DD7D02"/>
    <w:multiLevelType w:val="multilevel"/>
    <w:tmpl w:val="DF0C55CC"/>
    <w:lvl w:ilvl="0">
      <w:start w:val="1"/>
      <w:numFmt w:val="decimal"/>
      <w:pStyle w:val="AFUaffidavitnumbering"/>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7" w15:restartNumberingAfterBreak="0">
    <w:nsid w:val="2FFC1874"/>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3126397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CA61CD"/>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15:restartNumberingAfterBreak="0">
    <w:nsid w:val="384B5003"/>
    <w:multiLevelType w:val="multilevel"/>
    <w:tmpl w:val="BA7E0772"/>
    <w:lvl w:ilvl="0">
      <w:start w:val="8"/>
      <w:numFmt w:val="decimal"/>
      <w:lvlText w:val="%1"/>
      <w:lvlJc w:val="left"/>
      <w:pPr>
        <w:ind w:left="360" w:hanging="360"/>
      </w:pPr>
    </w:lvl>
    <w:lvl w:ilvl="1">
      <w:start w:val="1"/>
      <w:numFmt w:val="decimal"/>
      <w:lvlText w:val="%2."/>
      <w:lvlJc w:val="left"/>
      <w:pPr>
        <w:ind w:left="1440" w:hanging="360"/>
      </w:pPr>
      <w:rPr>
        <w:rFonts w:ascii="Arial" w:eastAsia="Times New Roman" w:hAnsi="Arial" w:cs="Arial"/>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11" w15:restartNumberingAfterBreak="0">
    <w:nsid w:val="3F8F0C59"/>
    <w:multiLevelType w:val="hybridMultilevel"/>
    <w:tmpl w:val="FCCCA750"/>
    <w:lvl w:ilvl="0" w:tplc="F6887E70">
      <w:start w:val="1"/>
      <w:numFmt w:val="decimal"/>
      <w:lvlText w:val="%1."/>
      <w:lvlJc w:val="left"/>
      <w:pPr>
        <w:ind w:left="1650" w:hanging="564"/>
      </w:pPr>
      <w:rPr>
        <w:rFonts w:hint="default"/>
      </w:rPr>
    </w:lvl>
    <w:lvl w:ilvl="1" w:tplc="1C090019">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12" w15:restartNumberingAfterBreak="0">
    <w:nsid w:val="43317FD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39C0D19"/>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462F3097"/>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9950EA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4C2701"/>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900780E"/>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8" w15:restartNumberingAfterBreak="0">
    <w:nsid w:val="77EE27A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2"/>
  </w:num>
  <w:num w:numId="3">
    <w:abstractNumId w:val="17"/>
  </w:num>
  <w:num w:numId="4">
    <w:abstractNumId w:val="9"/>
  </w:num>
  <w:num w:numId="5">
    <w:abstractNumId w:val="16"/>
  </w:num>
  <w:num w:numId="6">
    <w:abstractNumId w:val="14"/>
  </w:num>
  <w:num w:numId="7">
    <w:abstractNumId w:val="0"/>
  </w:num>
  <w:num w:numId="8">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
  </w:num>
  <w:num w:numId="11">
    <w:abstractNumId w:val="18"/>
  </w:num>
  <w:num w:numId="12">
    <w:abstractNumId w:val="6"/>
    <w:lvlOverride w:ilvl="0">
      <w:lvl w:ilvl="0">
        <w:start w:val="1"/>
        <w:numFmt w:val="decimal"/>
        <w:pStyle w:val="AFUaffidavitnumbering"/>
        <w:lvlText w:val="%1"/>
        <w:lvlJc w:val="left"/>
        <w:pPr>
          <w:tabs>
            <w:tab w:val="num" w:pos="567"/>
          </w:tabs>
          <w:ind w:left="567" w:hanging="567"/>
        </w:pPr>
        <w:rPr>
          <w:rFonts w:hint="default"/>
        </w:rPr>
      </w:lvl>
    </w:lvlOverride>
    <w:lvlOverride w:ilvl="1">
      <w:lvl w:ilvl="1">
        <w:start w:val="1"/>
        <w:numFmt w:val="decimal"/>
        <w:lvlText w:val="%1.%2"/>
        <w:lvlJc w:val="left"/>
        <w:pPr>
          <w:tabs>
            <w:tab w:val="num" w:pos="1418"/>
          </w:tabs>
          <w:ind w:left="1418" w:hanging="851"/>
        </w:pPr>
        <w:rPr>
          <w:rFonts w:hint="default"/>
        </w:rPr>
      </w:lvl>
    </w:lvlOverride>
    <w:lvlOverride w:ilvl="2">
      <w:lvl w:ilvl="2">
        <w:start w:val="1"/>
        <w:numFmt w:val="decimal"/>
        <w:lvlText w:val="%1.%2.%3"/>
        <w:lvlJc w:val="left"/>
        <w:pPr>
          <w:tabs>
            <w:tab w:val="num" w:pos="2268"/>
          </w:tabs>
          <w:ind w:left="2268" w:hanging="850"/>
        </w:pPr>
        <w:rPr>
          <w:rFonts w:hint="default"/>
          <w:b w:val="0"/>
        </w:rPr>
      </w:lvl>
    </w:lvlOverride>
    <w:lvlOverride w:ilvl="3">
      <w:lvl w:ilvl="3">
        <w:start w:val="1"/>
        <w:numFmt w:val="decimal"/>
        <w:lvlText w:val="%1.%2.%3.%4"/>
        <w:lvlJc w:val="left"/>
        <w:pPr>
          <w:tabs>
            <w:tab w:val="num" w:pos="141"/>
          </w:tabs>
          <w:ind w:left="2409" w:hanging="567"/>
        </w:pPr>
        <w:rPr>
          <w:rFonts w:hint="default"/>
          <w:b w:val="0"/>
        </w:rPr>
      </w:lvl>
    </w:lvlOverride>
    <w:lvlOverride w:ilvl="4">
      <w:lvl w:ilvl="4">
        <w:start w:val="1"/>
        <w:numFmt w:val="decimal"/>
        <w:lvlText w:val="%1.%2.%3.%4.%5."/>
        <w:lvlJc w:val="left"/>
        <w:pPr>
          <w:tabs>
            <w:tab w:val="num" w:pos="0"/>
          </w:tabs>
          <w:ind w:left="2835" w:hanging="567"/>
        </w:pPr>
        <w:rPr>
          <w:rFonts w:hint="default"/>
        </w:rPr>
      </w:lvl>
    </w:lvlOverride>
    <w:lvlOverride w:ilvl="5">
      <w:lvl w:ilvl="5">
        <w:start w:val="1"/>
        <w:numFmt w:val="decimal"/>
        <w:lvlText w:val="%1.%2.%3.%4.%5.%6."/>
        <w:lvlJc w:val="left"/>
        <w:pPr>
          <w:tabs>
            <w:tab w:val="num" w:pos="0"/>
          </w:tabs>
          <w:ind w:left="3402" w:hanging="567"/>
        </w:pPr>
        <w:rPr>
          <w:rFonts w:hint="default"/>
        </w:rPr>
      </w:lvl>
    </w:lvlOverride>
    <w:lvlOverride w:ilvl="6">
      <w:lvl w:ilvl="6">
        <w:start w:val="1"/>
        <w:numFmt w:val="decimal"/>
        <w:lvlText w:val="%1.%2.%3.%4.%5.%6.%7."/>
        <w:lvlJc w:val="left"/>
        <w:pPr>
          <w:tabs>
            <w:tab w:val="num" w:pos="0"/>
          </w:tabs>
          <w:ind w:left="3969" w:hanging="567"/>
        </w:pPr>
        <w:rPr>
          <w:rFonts w:hint="default"/>
        </w:rPr>
      </w:lvl>
    </w:lvlOverride>
    <w:lvlOverride w:ilvl="7">
      <w:lvl w:ilvl="7">
        <w:start w:val="1"/>
        <w:numFmt w:val="decimal"/>
        <w:lvlText w:val="%1.%2.%3.%4.%5.%6.%7.%8."/>
        <w:lvlJc w:val="left"/>
        <w:pPr>
          <w:tabs>
            <w:tab w:val="num" w:pos="0"/>
          </w:tabs>
          <w:ind w:left="4536" w:hanging="567"/>
        </w:pPr>
        <w:rPr>
          <w:rFonts w:hint="default"/>
        </w:rPr>
      </w:lvl>
    </w:lvlOverride>
    <w:lvlOverride w:ilvl="8">
      <w:lvl w:ilvl="8">
        <w:start w:val="1"/>
        <w:numFmt w:val="decimal"/>
        <w:lvlText w:val="%1.%2.%3.%4.%5.%6.%7.%8.%9."/>
        <w:lvlJc w:val="left"/>
        <w:pPr>
          <w:tabs>
            <w:tab w:val="num" w:pos="0"/>
          </w:tabs>
          <w:ind w:left="5103" w:hanging="567"/>
        </w:pPr>
        <w:rPr>
          <w:rFonts w:hint="default"/>
        </w:rPr>
      </w:lvl>
    </w:lvlOverride>
  </w:num>
  <w:num w:numId="13">
    <w:abstractNumId w:val="15"/>
  </w:num>
  <w:num w:numId="14">
    <w:abstractNumId w:val="13"/>
  </w:num>
  <w:num w:numId="15">
    <w:abstractNumId w:val="5"/>
  </w:num>
  <w:num w:numId="16">
    <w:abstractNumId w:val="8"/>
  </w:num>
  <w:num w:numId="17">
    <w:abstractNumId w:val="4"/>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F3"/>
    <w:rsid w:val="000004A3"/>
    <w:rsid w:val="00000AFE"/>
    <w:rsid w:val="00001138"/>
    <w:rsid w:val="000019D2"/>
    <w:rsid w:val="00005CDD"/>
    <w:rsid w:val="00006113"/>
    <w:rsid w:val="0001111B"/>
    <w:rsid w:val="0001140A"/>
    <w:rsid w:val="00011522"/>
    <w:rsid w:val="00013B7F"/>
    <w:rsid w:val="00013F00"/>
    <w:rsid w:val="0001593E"/>
    <w:rsid w:val="00015D74"/>
    <w:rsid w:val="00022ACD"/>
    <w:rsid w:val="00024A29"/>
    <w:rsid w:val="00025815"/>
    <w:rsid w:val="000262B3"/>
    <w:rsid w:val="000264AE"/>
    <w:rsid w:val="00026D9A"/>
    <w:rsid w:val="00027D19"/>
    <w:rsid w:val="00030A89"/>
    <w:rsid w:val="000319AA"/>
    <w:rsid w:val="000325E2"/>
    <w:rsid w:val="00036508"/>
    <w:rsid w:val="00040CD3"/>
    <w:rsid w:val="000426C0"/>
    <w:rsid w:val="0004286D"/>
    <w:rsid w:val="00042D0E"/>
    <w:rsid w:val="0004506F"/>
    <w:rsid w:val="0004508D"/>
    <w:rsid w:val="00047F26"/>
    <w:rsid w:val="00050086"/>
    <w:rsid w:val="000504F1"/>
    <w:rsid w:val="00051A2B"/>
    <w:rsid w:val="0005282E"/>
    <w:rsid w:val="000528B3"/>
    <w:rsid w:val="000550EB"/>
    <w:rsid w:val="000554B8"/>
    <w:rsid w:val="0005636C"/>
    <w:rsid w:val="00060AF8"/>
    <w:rsid w:val="00063F7B"/>
    <w:rsid w:val="00066971"/>
    <w:rsid w:val="00072105"/>
    <w:rsid w:val="000737E1"/>
    <w:rsid w:val="00073E30"/>
    <w:rsid w:val="000742CD"/>
    <w:rsid w:val="00077D11"/>
    <w:rsid w:val="00081716"/>
    <w:rsid w:val="00082EDC"/>
    <w:rsid w:val="000833BB"/>
    <w:rsid w:val="000835BE"/>
    <w:rsid w:val="00085288"/>
    <w:rsid w:val="00087AE6"/>
    <w:rsid w:val="000906B5"/>
    <w:rsid w:val="00090FFC"/>
    <w:rsid w:val="00092591"/>
    <w:rsid w:val="0009429D"/>
    <w:rsid w:val="0009488C"/>
    <w:rsid w:val="0009540B"/>
    <w:rsid w:val="000956E5"/>
    <w:rsid w:val="00096A67"/>
    <w:rsid w:val="000976D2"/>
    <w:rsid w:val="00097968"/>
    <w:rsid w:val="000A02AD"/>
    <w:rsid w:val="000A6AD8"/>
    <w:rsid w:val="000B0A70"/>
    <w:rsid w:val="000B21DA"/>
    <w:rsid w:val="000B39D7"/>
    <w:rsid w:val="000B709B"/>
    <w:rsid w:val="000C548D"/>
    <w:rsid w:val="000C7A3D"/>
    <w:rsid w:val="000D01E0"/>
    <w:rsid w:val="000D21E7"/>
    <w:rsid w:val="000D2265"/>
    <w:rsid w:val="000D415C"/>
    <w:rsid w:val="000D4E84"/>
    <w:rsid w:val="000D53F5"/>
    <w:rsid w:val="000D5760"/>
    <w:rsid w:val="000D71C5"/>
    <w:rsid w:val="000D7D6A"/>
    <w:rsid w:val="000E1EC8"/>
    <w:rsid w:val="000E3EE8"/>
    <w:rsid w:val="000E4985"/>
    <w:rsid w:val="000E5343"/>
    <w:rsid w:val="000E5830"/>
    <w:rsid w:val="000F00EF"/>
    <w:rsid w:val="000F430D"/>
    <w:rsid w:val="000F59F8"/>
    <w:rsid w:val="000F7813"/>
    <w:rsid w:val="00101890"/>
    <w:rsid w:val="001025B5"/>
    <w:rsid w:val="00104142"/>
    <w:rsid w:val="00105F97"/>
    <w:rsid w:val="00107D26"/>
    <w:rsid w:val="00107D90"/>
    <w:rsid w:val="001114D8"/>
    <w:rsid w:val="001142D1"/>
    <w:rsid w:val="00120C79"/>
    <w:rsid w:val="00120FB1"/>
    <w:rsid w:val="00130253"/>
    <w:rsid w:val="00130C4A"/>
    <w:rsid w:val="00130EA6"/>
    <w:rsid w:val="00133E81"/>
    <w:rsid w:val="001342B3"/>
    <w:rsid w:val="00140CED"/>
    <w:rsid w:val="00141AD1"/>
    <w:rsid w:val="0014628D"/>
    <w:rsid w:val="00147FF5"/>
    <w:rsid w:val="00151DA9"/>
    <w:rsid w:val="00152899"/>
    <w:rsid w:val="00154961"/>
    <w:rsid w:val="00155A21"/>
    <w:rsid w:val="00161057"/>
    <w:rsid w:val="0016589D"/>
    <w:rsid w:val="001671C1"/>
    <w:rsid w:val="00171182"/>
    <w:rsid w:val="0017124B"/>
    <w:rsid w:val="00171D7F"/>
    <w:rsid w:val="00172763"/>
    <w:rsid w:val="00172DDF"/>
    <w:rsid w:val="00175DDD"/>
    <w:rsid w:val="001802F8"/>
    <w:rsid w:val="00180CB6"/>
    <w:rsid w:val="001838CC"/>
    <w:rsid w:val="00183EB6"/>
    <w:rsid w:val="00185ACF"/>
    <w:rsid w:val="00190579"/>
    <w:rsid w:val="00190F4E"/>
    <w:rsid w:val="001916C4"/>
    <w:rsid w:val="0019236B"/>
    <w:rsid w:val="001923E3"/>
    <w:rsid w:val="00192613"/>
    <w:rsid w:val="00192F78"/>
    <w:rsid w:val="00193DDD"/>
    <w:rsid w:val="00195810"/>
    <w:rsid w:val="001966E8"/>
    <w:rsid w:val="00196E14"/>
    <w:rsid w:val="001A2608"/>
    <w:rsid w:val="001A5145"/>
    <w:rsid w:val="001A522A"/>
    <w:rsid w:val="001A70B4"/>
    <w:rsid w:val="001A7904"/>
    <w:rsid w:val="001B1550"/>
    <w:rsid w:val="001B1D39"/>
    <w:rsid w:val="001B35C2"/>
    <w:rsid w:val="001B4217"/>
    <w:rsid w:val="001B4812"/>
    <w:rsid w:val="001B4893"/>
    <w:rsid w:val="001B5D3E"/>
    <w:rsid w:val="001B5E58"/>
    <w:rsid w:val="001B606B"/>
    <w:rsid w:val="001B7889"/>
    <w:rsid w:val="001C0755"/>
    <w:rsid w:val="001C2371"/>
    <w:rsid w:val="001C33E6"/>
    <w:rsid w:val="001C608F"/>
    <w:rsid w:val="001C7048"/>
    <w:rsid w:val="001D1569"/>
    <w:rsid w:val="001D3CC2"/>
    <w:rsid w:val="001E0529"/>
    <w:rsid w:val="001E1BE3"/>
    <w:rsid w:val="001E2EED"/>
    <w:rsid w:val="001E44D1"/>
    <w:rsid w:val="001E4691"/>
    <w:rsid w:val="001E518E"/>
    <w:rsid w:val="001F09D1"/>
    <w:rsid w:val="001F0A29"/>
    <w:rsid w:val="001F0CE5"/>
    <w:rsid w:val="001F361F"/>
    <w:rsid w:val="001F3DBD"/>
    <w:rsid w:val="001F648A"/>
    <w:rsid w:val="001F6F43"/>
    <w:rsid w:val="00200B96"/>
    <w:rsid w:val="00201620"/>
    <w:rsid w:val="00203DA2"/>
    <w:rsid w:val="0020474A"/>
    <w:rsid w:val="00205392"/>
    <w:rsid w:val="00205E72"/>
    <w:rsid w:val="00206919"/>
    <w:rsid w:val="002104BF"/>
    <w:rsid w:val="002108B6"/>
    <w:rsid w:val="00210C79"/>
    <w:rsid w:val="002110D9"/>
    <w:rsid w:val="00211F49"/>
    <w:rsid w:val="00213738"/>
    <w:rsid w:val="00214877"/>
    <w:rsid w:val="00215824"/>
    <w:rsid w:val="00216BC8"/>
    <w:rsid w:val="002175BA"/>
    <w:rsid w:val="002200DC"/>
    <w:rsid w:val="0022218D"/>
    <w:rsid w:val="00226926"/>
    <w:rsid w:val="00227C24"/>
    <w:rsid w:val="002302E3"/>
    <w:rsid w:val="00232528"/>
    <w:rsid w:val="0023405C"/>
    <w:rsid w:val="00235D20"/>
    <w:rsid w:val="00236E47"/>
    <w:rsid w:val="00237806"/>
    <w:rsid w:val="00237FF9"/>
    <w:rsid w:val="0024012B"/>
    <w:rsid w:val="00243D2F"/>
    <w:rsid w:val="00244FB9"/>
    <w:rsid w:val="00250164"/>
    <w:rsid w:val="00251668"/>
    <w:rsid w:val="002535F0"/>
    <w:rsid w:val="00253F38"/>
    <w:rsid w:val="00253F72"/>
    <w:rsid w:val="00260B0A"/>
    <w:rsid w:val="002625C5"/>
    <w:rsid w:val="00262819"/>
    <w:rsid w:val="00263A96"/>
    <w:rsid w:val="00270557"/>
    <w:rsid w:val="002709AE"/>
    <w:rsid w:val="00272B77"/>
    <w:rsid w:val="0027600C"/>
    <w:rsid w:val="00277491"/>
    <w:rsid w:val="00284ACC"/>
    <w:rsid w:val="00285040"/>
    <w:rsid w:val="00285062"/>
    <w:rsid w:val="0029196F"/>
    <w:rsid w:val="00292E3E"/>
    <w:rsid w:val="0029369B"/>
    <w:rsid w:val="00293C02"/>
    <w:rsid w:val="0029605B"/>
    <w:rsid w:val="00296DAF"/>
    <w:rsid w:val="002976B8"/>
    <w:rsid w:val="002A030C"/>
    <w:rsid w:val="002A4B7B"/>
    <w:rsid w:val="002B0355"/>
    <w:rsid w:val="002B05EA"/>
    <w:rsid w:val="002B12D6"/>
    <w:rsid w:val="002B528D"/>
    <w:rsid w:val="002B6270"/>
    <w:rsid w:val="002C15AC"/>
    <w:rsid w:val="002C2E80"/>
    <w:rsid w:val="002C4687"/>
    <w:rsid w:val="002C48E7"/>
    <w:rsid w:val="002D2842"/>
    <w:rsid w:val="002D47B3"/>
    <w:rsid w:val="002E0E37"/>
    <w:rsid w:val="002E3586"/>
    <w:rsid w:val="002E5B57"/>
    <w:rsid w:val="002E612C"/>
    <w:rsid w:val="002E6CD7"/>
    <w:rsid w:val="002F1C4D"/>
    <w:rsid w:val="002F2881"/>
    <w:rsid w:val="002F41F8"/>
    <w:rsid w:val="002F4A5D"/>
    <w:rsid w:val="002F508A"/>
    <w:rsid w:val="002F6309"/>
    <w:rsid w:val="002F72D3"/>
    <w:rsid w:val="00302290"/>
    <w:rsid w:val="003023F9"/>
    <w:rsid w:val="00302C31"/>
    <w:rsid w:val="003031A1"/>
    <w:rsid w:val="00303919"/>
    <w:rsid w:val="003047C2"/>
    <w:rsid w:val="0030653F"/>
    <w:rsid w:val="00306B41"/>
    <w:rsid w:val="003102C8"/>
    <w:rsid w:val="0031117B"/>
    <w:rsid w:val="00312EBC"/>
    <w:rsid w:val="00313056"/>
    <w:rsid w:val="00321DF8"/>
    <w:rsid w:val="00323058"/>
    <w:rsid w:val="00324EDF"/>
    <w:rsid w:val="003312BF"/>
    <w:rsid w:val="003313A2"/>
    <w:rsid w:val="00337135"/>
    <w:rsid w:val="0034147B"/>
    <w:rsid w:val="00342E02"/>
    <w:rsid w:val="003448B1"/>
    <w:rsid w:val="00344D4C"/>
    <w:rsid w:val="003463D6"/>
    <w:rsid w:val="00346D31"/>
    <w:rsid w:val="00346DE6"/>
    <w:rsid w:val="00347E19"/>
    <w:rsid w:val="0035170A"/>
    <w:rsid w:val="003541F6"/>
    <w:rsid w:val="00354395"/>
    <w:rsid w:val="003543C5"/>
    <w:rsid w:val="00354EF2"/>
    <w:rsid w:val="00355BEB"/>
    <w:rsid w:val="00355C50"/>
    <w:rsid w:val="00357081"/>
    <w:rsid w:val="00357D35"/>
    <w:rsid w:val="0036253D"/>
    <w:rsid w:val="00363FCD"/>
    <w:rsid w:val="00364C43"/>
    <w:rsid w:val="00364E6A"/>
    <w:rsid w:val="00364E80"/>
    <w:rsid w:val="00366E5C"/>
    <w:rsid w:val="003676CF"/>
    <w:rsid w:val="00367720"/>
    <w:rsid w:val="00367778"/>
    <w:rsid w:val="0037029D"/>
    <w:rsid w:val="00371332"/>
    <w:rsid w:val="00372A48"/>
    <w:rsid w:val="00372D62"/>
    <w:rsid w:val="00373181"/>
    <w:rsid w:val="00375E93"/>
    <w:rsid w:val="003761BD"/>
    <w:rsid w:val="00377123"/>
    <w:rsid w:val="00377CD6"/>
    <w:rsid w:val="00380919"/>
    <w:rsid w:val="00381213"/>
    <w:rsid w:val="003832F7"/>
    <w:rsid w:val="00383EAF"/>
    <w:rsid w:val="003840EC"/>
    <w:rsid w:val="00385DBA"/>
    <w:rsid w:val="00386938"/>
    <w:rsid w:val="0038715A"/>
    <w:rsid w:val="00390C3F"/>
    <w:rsid w:val="00393127"/>
    <w:rsid w:val="003940DD"/>
    <w:rsid w:val="00394A1A"/>
    <w:rsid w:val="00395873"/>
    <w:rsid w:val="003959D1"/>
    <w:rsid w:val="003A1D18"/>
    <w:rsid w:val="003A62CC"/>
    <w:rsid w:val="003A649B"/>
    <w:rsid w:val="003A7864"/>
    <w:rsid w:val="003A7CA2"/>
    <w:rsid w:val="003B0845"/>
    <w:rsid w:val="003B0C56"/>
    <w:rsid w:val="003B11F4"/>
    <w:rsid w:val="003B1882"/>
    <w:rsid w:val="003B4100"/>
    <w:rsid w:val="003B6C02"/>
    <w:rsid w:val="003B75AD"/>
    <w:rsid w:val="003C067B"/>
    <w:rsid w:val="003C0ED8"/>
    <w:rsid w:val="003C1488"/>
    <w:rsid w:val="003C1A16"/>
    <w:rsid w:val="003C1E91"/>
    <w:rsid w:val="003C5536"/>
    <w:rsid w:val="003C7FCC"/>
    <w:rsid w:val="003D1202"/>
    <w:rsid w:val="003D19C3"/>
    <w:rsid w:val="003D36F9"/>
    <w:rsid w:val="003D77F1"/>
    <w:rsid w:val="003D7970"/>
    <w:rsid w:val="003E0159"/>
    <w:rsid w:val="003E449A"/>
    <w:rsid w:val="003E4A33"/>
    <w:rsid w:val="003E54E1"/>
    <w:rsid w:val="003E724B"/>
    <w:rsid w:val="003E7A60"/>
    <w:rsid w:val="003F1F49"/>
    <w:rsid w:val="003F23F0"/>
    <w:rsid w:val="003F4801"/>
    <w:rsid w:val="003F7448"/>
    <w:rsid w:val="00404A52"/>
    <w:rsid w:val="00407B85"/>
    <w:rsid w:val="00407F28"/>
    <w:rsid w:val="00410BA9"/>
    <w:rsid w:val="0041100A"/>
    <w:rsid w:val="004131C5"/>
    <w:rsid w:val="0041363D"/>
    <w:rsid w:val="00413D9B"/>
    <w:rsid w:val="00415439"/>
    <w:rsid w:val="0042161A"/>
    <w:rsid w:val="0042423E"/>
    <w:rsid w:val="00424BA6"/>
    <w:rsid w:val="004274E7"/>
    <w:rsid w:val="00430142"/>
    <w:rsid w:val="00430B04"/>
    <w:rsid w:val="00431ABD"/>
    <w:rsid w:val="004339E6"/>
    <w:rsid w:val="00434796"/>
    <w:rsid w:val="0043683A"/>
    <w:rsid w:val="00437EB1"/>
    <w:rsid w:val="00441422"/>
    <w:rsid w:val="00444ED6"/>
    <w:rsid w:val="00445DCB"/>
    <w:rsid w:val="00447235"/>
    <w:rsid w:val="004479C3"/>
    <w:rsid w:val="0045044C"/>
    <w:rsid w:val="00451D8F"/>
    <w:rsid w:val="00460495"/>
    <w:rsid w:val="00460EEA"/>
    <w:rsid w:val="004630B6"/>
    <w:rsid w:val="00463106"/>
    <w:rsid w:val="00466A30"/>
    <w:rsid w:val="00467F5B"/>
    <w:rsid w:val="00472F97"/>
    <w:rsid w:val="00474607"/>
    <w:rsid w:val="00474910"/>
    <w:rsid w:val="004749AF"/>
    <w:rsid w:val="00475410"/>
    <w:rsid w:val="00475E80"/>
    <w:rsid w:val="004774FF"/>
    <w:rsid w:val="0048285C"/>
    <w:rsid w:val="00483F21"/>
    <w:rsid w:val="00484116"/>
    <w:rsid w:val="00484163"/>
    <w:rsid w:val="0048424E"/>
    <w:rsid w:val="00484F8A"/>
    <w:rsid w:val="00486F42"/>
    <w:rsid w:val="00487D14"/>
    <w:rsid w:val="0049165E"/>
    <w:rsid w:val="004923A9"/>
    <w:rsid w:val="00494337"/>
    <w:rsid w:val="00495F7C"/>
    <w:rsid w:val="004976D5"/>
    <w:rsid w:val="004A11D9"/>
    <w:rsid w:val="004A1E3F"/>
    <w:rsid w:val="004A2C7E"/>
    <w:rsid w:val="004A5056"/>
    <w:rsid w:val="004A6625"/>
    <w:rsid w:val="004A69D6"/>
    <w:rsid w:val="004A70AB"/>
    <w:rsid w:val="004A7DFE"/>
    <w:rsid w:val="004B085D"/>
    <w:rsid w:val="004B0DBA"/>
    <w:rsid w:val="004B21D9"/>
    <w:rsid w:val="004B255A"/>
    <w:rsid w:val="004B3CA9"/>
    <w:rsid w:val="004C0CE3"/>
    <w:rsid w:val="004C368B"/>
    <w:rsid w:val="004D1A31"/>
    <w:rsid w:val="004D1A91"/>
    <w:rsid w:val="004D2123"/>
    <w:rsid w:val="004D262A"/>
    <w:rsid w:val="004D2C6F"/>
    <w:rsid w:val="004D2E01"/>
    <w:rsid w:val="004D3237"/>
    <w:rsid w:val="004D4E89"/>
    <w:rsid w:val="004D635C"/>
    <w:rsid w:val="004E0F3F"/>
    <w:rsid w:val="004E1191"/>
    <w:rsid w:val="004E1349"/>
    <w:rsid w:val="004E1AF1"/>
    <w:rsid w:val="004E3305"/>
    <w:rsid w:val="004E3D0E"/>
    <w:rsid w:val="004E568C"/>
    <w:rsid w:val="004E5AD8"/>
    <w:rsid w:val="004E61DE"/>
    <w:rsid w:val="004F0806"/>
    <w:rsid w:val="004F12D8"/>
    <w:rsid w:val="004F2189"/>
    <w:rsid w:val="004F22A6"/>
    <w:rsid w:val="004F4A37"/>
    <w:rsid w:val="004F5D23"/>
    <w:rsid w:val="00502E5E"/>
    <w:rsid w:val="00504B53"/>
    <w:rsid w:val="00505FF7"/>
    <w:rsid w:val="0051015D"/>
    <w:rsid w:val="0051292D"/>
    <w:rsid w:val="00512B49"/>
    <w:rsid w:val="00514162"/>
    <w:rsid w:val="00514426"/>
    <w:rsid w:val="0051442D"/>
    <w:rsid w:val="00515FD8"/>
    <w:rsid w:val="0051622D"/>
    <w:rsid w:val="00517A09"/>
    <w:rsid w:val="0052025F"/>
    <w:rsid w:val="005207B2"/>
    <w:rsid w:val="005219EB"/>
    <w:rsid w:val="005262C2"/>
    <w:rsid w:val="005263F0"/>
    <w:rsid w:val="0052705A"/>
    <w:rsid w:val="005272E3"/>
    <w:rsid w:val="00532E26"/>
    <w:rsid w:val="00537126"/>
    <w:rsid w:val="00537A72"/>
    <w:rsid w:val="005405F8"/>
    <w:rsid w:val="00542EAE"/>
    <w:rsid w:val="005431B1"/>
    <w:rsid w:val="00546878"/>
    <w:rsid w:val="005509BE"/>
    <w:rsid w:val="00560E18"/>
    <w:rsid w:val="005615BB"/>
    <w:rsid w:val="005621E7"/>
    <w:rsid w:val="00562B7E"/>
    <w:rsid w:val="00563355"/>
    <w:rsid w:val="00571E81"/>
    <w:rsid w:val="00573424"/>
    <w:rsid w:val="00573FF9"/>
    <w:rsid w:val="005743CA"/>
    <w:rsid w:val="005755B7"/>
    <w:rsid w:val="00576B16"/>
    <w:rsid w:val="00577427"/>
    <w:rsid w:val="005808E5"/>
    <w:rsid w:val="005875A9"/>
    <w:rsid w:val="00593C34"/>
    <w:rsid w:val="005949BC"/>
    <w:rsid w:val="005971D5"/>
    <w:rsid w:val="005A313A"/>
    <w:rsid w:val="005A35EB"/>
    <w:rsid w:val="005A3E0F"/>
    <w:rsid w:val="005A5582"/>
    <w:rsid w:val="005A680F"/>
    <w:rsid w:val="005A70F0"/>
    <w:rsid w:val="005A747A"/>
    <w:rsid w:val="005A7D15"/>
    <w:rsid w:val="005B07CB"/>
    <w:rsid w:val="005B2FF9"/>
    <w:rsid w:val="005B380D"/>
    <w:rsid w:val="005B3F1C"/>
    <w:rsid w:val="005B696E"/>
    <w:rsid w:val="005B6D81"/>
    <w:rsid w:val="005B7767"/>
    <w:rsid w:val="005B7DD3"/>
    <w:rsid w:val="005C11DA"/>
    <w:rsid w:val="005C1E41"/>
    <w:rsid w:val="005C7FC2"/>
    <w:rsid w:val="005D1F92"/>
    <w:rsid w:val="005D2137"/>
    <w:rsid w:val="005D2408"/>
    <w:rsid w:val="005D32A9"/>
    <w:rsid w:val="005D56A8"/>
    <w:rsid w:val="005D6122"/>
    <w:rsid w:val="005D6E80"/>
    <w:rsid w:val="005E02FB"/>
    <w:rsid w:val="005E03B3"/>
    <w:rsid w:val="005E0B20"/>
    <w:rsid w:val="005E2936"/>
    <w:rsid w:val="005E2F7B"/>
    <w:rsid w:val="005E3C94"/>
    <w:rsid w:val="005E5C01"/>
    <w:rsid w:val="005E6A9D"/>
    <w:rsid w:val="005E7118"/>
    <w:rsid w:val="005E7B14"/>
    <w:rsid w:val="005E7E9F"/>
    <w:rsid w:val="005F1CDA"/>
    <w:rsid w:val="005F35C5"/>
    <w:rsid w:val="005F37A4"/>
    <w:rsid w:val="005F561B"/>
    <w:rsid w:val="005F5C0C"/>
    <w:rsid w:val="005F7244"/>
    <w:rsid w:val="005F7E15"/>
    <w:rsid w:val="00602403"/>
    <w:rsid w:val="006041A4"/>
    <w:rsid w:val="00610327"/>
    <w:rsid w:val="00610873"/>
    <w:rsid w:val="006109EC"/>
    <w:rsid w:val="00610F53"/>
    <w:rsid w:val="00611D8A"/>
    <w:rsid w:val="006122AB"/>
    <w:rsid w:val="0061430D"/>
    <w:rsid w:val="006150CE"/>
    <w:rsid w:val="00615F6B"/>
    <w:rsid w:val="006165F4"/>
    <w:rsid w:val="00617EAE"/>
    <w:rsid w:val="006245EC"/>
    <w:rsid w:val="00626ABB"/>
    <w:rsid w:val="006309D5"/>
    <w:rsid w:val="00631F50"/>
    <w:rsid w:val="006376C5"/>
    <w:rsid w:val="006407E9"/>
    <w:rsid w:val="00641F4F"/>
    <w:rsid w:val="00642664"/>
    <w:rsid w:val="0064486F"/>
    <w:rsid w:val="00644BBE"/>
    <w:rsid w:val="006466DA"/>
    <w:rsid w:val="00646711"/>
    <w:rsid w:val="006479F9"/>
    <w:rsid w:val="00647DDD"/>
    <w:rsid w:val="00653BA4"/>
    <w:rsid w:val="00656E2E"/>
    <w:rsid w:val="00657478"/>
    <w:rsid w:val="00657EDA"/>
    <w:rsid w:val="00657F9A"/>
    <w:rsid w:val="006609A2"/>
    <w:rsid w:val="00660C84"/>
    <w:rsid w:val="0066132D"/>
    <w:rsid w:val="0066194B"/>
    <w:rsid w:val="00661FC4"/>
    <w:rsid w:val="006630E1"/>
    <w:rsid w:val="00666D4D"/>
    <w:rsid w:val="00672205"/>
    <w:rsid w:val="00672E95"/>
    <w:rsid w:val="0067508C"/>
    <w:rsid w:val="006762B3"/>
    <w:rsid w:val="00677059"/>
    <w:rsid w:val="00680072"/>
    <w:rsid w:val="00680421"/>
    <w:rsid w:val="00681B06"/>
    <w:rsid w:val="006858DA"/>
    <w:rsid w:val="00686C3F"/>
    <w:rsid w:val="0068719B"/>
    <w:rsid w:val="006902F1"/>
    <w:rsid w:val="00690BE6"/>
    <w:rsid w:val="006918E9"/>
    <w:rsid w:val="00692A13"/>
    <w:rsid w:val="006951CE"/>
    <w:rsid w:val="0069571F"/>
    <w:rsid w:val="00695B2C"/>
    <w:rsid w:val="006A1F2C"/>
    <w:rsid w:val="006A3B6B"/>
    <w:rsid w:val="006A438B"/>
    <w:rsid w:val="006A4F20"/>
    <w:rsid w:val="006A6039"/>
    <w:rsid w:val="006B1E87"/>
    <w:rsid w:val="006B514A"/>
    <w:rsid w:val="006C06E5"/>
    <w:rsid w:val="006C1EA3"/>
    <w:rsid w:val="006C1EDF"/>
    <w:rsid w:val="006C279A"/>
    <w:rsid w:val="006C2AB0"/>
    <w:rsid w:val="006C2B5F"/>
    <w:rsid w:val="006C31B7"/>
    <w:rsid w:val="006C3CE1"/>
    <w:rsid w:val="006C4213"/>
    <w:rsid w:val="006C43D7"/>
    <w:rsid w:val="006C49F6"/>
    <w:rsid w:val="006C53ED"/>
    <w:rsid w:val="006C5694"/>
    <w:rsid w:val="006D11AD"/>
    <w:rsid w:val="006D193A"/>
    <w:rsid w:val="006D25DD"/>
    <w:rsid w:val="006D29AA"/>
    <w:rsid w:val="006D4128"/>
    <w:rsid w:val="006D4C1B"/>
    <w:rsid w:val="006D5E45"/>
    <w:rsid w:val="006D5E57"/>
    <w:rsid w:val="006E0B4D"/>
    <w:rsid w:val="006E2083"/>
    <w:rsid w:val="006E2725"/>
    <w:rsid w:val="006E3064"/>
    <w:rsid w:val="006E405E"/>
    <w:rsid w:val="006E4BD7"/>
    <w:rsid w:val="006E68E6"/>
    <w:rsid w:val="006E6BA1"/>
    <w:rsid w:val="006E73D0"/>
    <w:rsid w:val="006F042A"/>
    <w:rsid w:val="006F0C74"/>
    <w:rsid w:val="006F1875"/>
    <w:rsid w:val="006F2187"/>
    <w:rsid w:val="006F25E5"/>
    <w:rsid w:val="006F2FCE"/>
    <w:rsid w:val="006F36B9"/>
    <w:rsid w:val="006F415C"/>
    <w:rsid w:val="006F489F"/>
    <w:rsid w:val="00700C86"/>
    <w:rsid w:val="0070560F"/>
    <w:rsid w:val="007112CA"/>
    <w:rsid w:val="00714728"/>
    <w:rsid w:val="007202BD"/>
    <w:rsid w:val="007205BF"/>
    <w:rsid w:val="00721AE9"/>
    <w:rsid w:val="007237D1"/>
    <w:rsid w:val="007241D4"/>
    <w:rsid w:val="00724D82"/>
    <w:rsid w:val="00730BF2"/>
    <w:rsid w:val="00732A6F"/>
    <w:rsid w:val="00733932"/>
    <w:rsid w:val="007351A5"/>
    <w:rsid w:val="0074214D"/>
    <w:rsid w:val="00742764"/>
    <w:rsid w:val="00745456"/>
    <w:rsid w:val="00746E92"/>
    <w:rsid w:val="00750950"/>
    <w:rsid w:val="00751452"/>
    <w:rsid w:val="0075156A"/>
    <w:rsid w:val="00751D8C"/>
    <w:rsid w:val="00751F90"/>
    <w:rsid w:val="00752EF6"/>
    <w:rsid w:val="00754BDD"/>
    <w:rsid w:val="007619C5"/>
    <w:rsid w:val="00761B26"/>
    <w:rsid w:val="00761C35"/>
    <w:rsid w:val="00762178"/>
    <w:rsid w:val="00765F62"/>
    <w:rsid w:val="00766026"/>
    <w:rsid w:val="00772025"/>
    <w:rsid w:val="007726C0"/>
    <w:rsid w:val="00775AB7"/>
    <w:rsid w:val="00776B34"/>
    <w:rsid w:val="00781088"/>
    <w:rsid w:val="00781AA0"/>
    <w:rsid w:val="00781CF7"/>
    <w:rsid w:val="00781D24"/>
    <w:rsid w:val="00782550"/>
    <w:rsid w:val="00782DE8"/>
    <w:rsid w:val="00786D45"/>
    <w:rsid w:val="00787202"/>
    <w:rsid w:val="00792E10"/>
    <w:rsid w:val="0079383D"/>
    <w:rsid w:val="007A006B"/>
    <w:rsid w:val="007A1D60"/>
    <w:rsid w:val="007A34D1"/>
    <w:rsid w:val="007A5BDB"/>
    <w:rsid w:val="007A7102"/>
    <w:rsid w:val="007A786A"/>
    <w:rsid w:val="007B165A"/>
    <w:rsid w:val="007B2DAD"/>
    <w:rsid w:val="007B2DF7"/>
    <w:rsid w:val="007B46E7"/>
    <w:rsid w:val="007B7246"/>
    <w:rsid w:val="007B78C2"/>
    <w:rsid w:val="007C23FF"/>
    <w:rsid w:val="007C25B0"/>
    <w:rsid w:val="007C416B"/>
    <w:rsid w:val="007C4CB7"/>
    <w:rsid w:val="007C5008"/>
    <w:rsid w:val="007C6046"/>
    <w:rsid w:val="007C658B"/>
    <w:rsid w:val="007D1E79"/>
    <w:rsid w:val="007D27CF"/>
    <w:rsid w:val="007D4DAF"/>
    <w:rsid w:val="007D6531"/>
    <w:rsid w:val="007D7F5C"/>
    <w:rsid w:val="007E1175"/>
    <w:rsid w:val="007E220A"/>
    <w:rsid w:val="007E468A"/>
    <w:rsid w:val="007E54E5"/>
    <w:rsid w:val="007E58FC"/>
    <w:rsid w:val="007E7463"/>
    <w:rsid w:val="007F07D4"/>
    <w:rsid w:val="007F1517"/>
    <w:rsid w:val="007F207F"/>
    <w:rsid w:val="007F5842"/>
    <w:rsid w:val="007F5B91"/>
    <w:rsid w:val="007F75AC"/>
    <w:rsid w:val="007F7DAA"/>
    <w:rsid w:val="00800BE5"/>
    <w:rsid w:val="008019A7"/>
    <w:rsid w:val="00802382"/>
    <w:rsid w:val="00803CEC"/>
    <w:rsid w:val="008040B5"/>
    <w:rsid w:val="00804B15"/>
    <w:rsid w:val="008076A4"/>
    <w:rsid w:val="00807DC2"/>
    <w:rsid w:val="0081003E"/>
    <w:rsid w:val="00810CA3"/>
    <w:rsid w:val="008112DE"/>
    <w:rsid w:val="00811776"/>
    <w:rsid w:val="008200A7"/>
    <w:rsid w:val="00822050"/>
    <w:rsid w:val="008304EC"/>
    <w:rsid w:val="00830952"/>
    <w:rsid w:val="00830F84"/>
    <w:rsid w:val="00832522"/>
    <w:rsid w:val="00833453"/>
    <w:rsid w:val="0084184E"/>
    <w:rsid w:val="00841B33"/>
    <w:rsid w:val="00841C01"/>
    <w:rsid w:val="00843EFD"/>
    <w:rsid w:val="008443A9"/>
    <w:rsid w:val="0084599C"/>
    <w:rsid w:val="008469B3"/>
    <w:rsid w:val="00847539"/>
    <w:rsid w:val="008535CA"/>
    <w:rsid w:val="00856FA8"/>
    <w:rsid w:val="00856FF2"/>
    <w:rsid w:val="008578F4"/>
    <w:rsid w:val="00860576"/>
    <w:rsid w:val="00861120"/>
    <w:rsid w:val="0086688C"/>
    <w:rsid w:val="008674AA"/>
    <w:rsid w:val="008675CC"/>
    <w:rsid w:val="0087609B"/>
    <w:rsid w:val="00880850"/>
    <w:rsid w:val="0088094C"/>
    <w:rsid w:val="00881004"/>
    <w:rsid w:val="008816C0"/>
    <w:rsid w:val="00882C40"/>
    <w:rsid w:val="00885973"/>
    <w:rsid w:val="0089145D"/>
    <w:rsid w:val="008919D3"/>
    <w:rsid w:val="00891DC8"/>
    <w:rsid w:val="00891F55"/>
    <w:rsid w:val="00892908"/>
    <w:rsid w:val="00893C08"/>
    <w:rsid w:val="008942FC"/>
    <w:rsid w:val="0089562F"/>
    <w:rsid w:val="008957BF"/>
    <w:rsid w:val="00895BE0"/>
    <w:rsid w:val="0089629F"/>
    <w:rsid w:val="008A082A"/>
    <w:rsid w:val="008A389B"/>
    <w:rsid w:val="008A4DF4"/>
    <w:rsid w:val="008B0617"/>
    <w:rsid w:val="008B0950"/>
    <w:rsid w:val="008B1DA9"/>
    <w:rsid w:val="008B23D4"/>
    <w:rsid w:val="008B571D"/>
    <w:rsid w:val="008B6162"/>
    <w:rsid w:val="008C3710"/>
    <w:rsid w:val="008C3EBC"/>
    <w:rsid w:val="008C4AE0"/>
    <w:rsid w:val="008C57F6"/>
    <w:rsid w:val="008C68A7"/>
    <w:rsid w:val="008C7019"/>
    <w:rsid w:val="008D2A7F"/>
    <w:rsid w:val="008D33A3"/>
    <w:rsid w:val="008D4715"/>
    <w:rsid w:val="008D5B23"/>
    <w:rsid w:val="008D6F1D"/>
    <w:rsid w:val="008E03A3"/>
    <w:rsid w:val="008E1B11"/>
    <w:rsid w:val="008E2ACD"/>
    <w:rsid w:val="008E2D8C"/>
    <w:rsid w:val="008E53BA"/>
    <w:rsid w:val="008E6B69"/>
    <w:rsid w:val="008E6E63"/>
    <w:rsid w:val="008E7E5E"/>
    <w:rsid w:val="008E7F87"/>
    <w:rsid w:val="008F0CC7"/>
    <w:rsid w:val="008F11CF"/>
    <w:rsid w:val="008F14EA"/>
    <w:rsid w:val="008F189C"/>
    <w:rsid w:val="008F1FE1"/>
    <w:rsid w:val="008F32FF"/>
    <w:rsid w:val="008F4486"/>
    <w:rsid w:val="008F4FC6"/>
    <w:rsid w:val="008F6436"/>
    <w:rsid w:val="008F72CD"/>
    <w:rsid w:val="009015D3"/>
    <w:rsid w:val="00902179"/>
    <w:rsid w:val="00903877"/>
    <w:rsid w:val="0090677E"/>
    <w:rsid w:val="00913A4A"/>
    <w:rsid w:val="00914A6E"/>
    <w:rsid w:val="0091544C"/>
    <w:rsid w:val="00916BC9"/>
    <w:rsid w:val="00921D03"/>
    <w:rsid w:val="00921DE6"/>
    <w:rsid w:val="009256CA"/>
    <w:rsid w:val="00925CD2"/>
    <w:rsid w:val="00932559"/>
    <w:rsid w:val="00933065"/>
    <w:rsid w:val="00933569"/>
    <w:rsid w:val="00934663"/>
    <w:rsid w:val="009365B1"/>
    <w:rsid w:val="0093799C"/>
    <w:rsid w:val="009422A1"/>
    <w:rsid w:val="00943484"/>
    <w:rsid w:val="00944804"/>
    <w:rsid w:val="009449FB"/>
    <w:rsid w:val="0094634F"/>
    <w:rsid w:val="009473D8"/>
    <w:rsid w:val="00947F51"/>
    <w:rsid w:val="00954386"/>
    <w:rsid w:val="009564B5"/>
    <w:rsid w:val="00957513"/>
    <w:rsid w:val="00960ADF"/>
    <w:rsid w:val="009623DA"/>
    <w:rsid w:val="00963A0C"/>
    <w:rsid w:val="009661A4"/>
    <w:rsid w:val="009661B5"/>
    <w:rsid w:val="009725C0"/>
    <w:rsid w:val="009727D8"/>
    <w:rsid w:val="009729BD"/>
    <w:rsid w:val="00974A92"/>
    <w:rsid w:val="00974C91"/>
    <w:rsid w:val="00975270"/>
    <w:rsid w:val="00975BA1"/>
    <w:rsid w:val="00976F39"/>
    <w:rsid w:val="009809DD"/>
    <w:rsid w:val="009835E3"/>
    <w:rsid w:val="009837A6"/>
    <w:rsid w:val="009839B9"/>
    <w:rsid w:val="00983C64"/>
    <w:rsid w:val="009869F2"/>
    <w:rsid w:val="00987CDB"/>
    <w:rsid w:val="00993D67"/>
    <w:rsid w:val="009A087C"/>
    <w:rsid w:val="009A2613"/>
    <w:rsid w:val="009A2726"/>
    <w:rsid w:val="009A30E0"/>
    <w:rsid w:val="009A3619"/>
    <w:rsid w:val="009A57B9"/>
    <w:rsid w:val="009A66D0"/>
    <w:rsid w:val="009A739F"/>
    <w:rsid w:val="009B08AF"/>
    <w:rsid w:val="009B0AC9"/>
    <w:rsid w:val="009B10F4"/>
    <w:rsid w:val="009B39FA"/>
    <w:rsid w:val="009B3DFC"/>
    <w:rsid w:val="009B53BC"/>
    <w:rsid w:val="009B793E"/>
    <w:rsid w:val="009C1EA6"/>
    <w:rsid w:val="009C37B9"/>
    <w:rsid w:val="009C38E7"/>
    <w:rsid w:val="009D31D8"/>
    <w:rsid w:val="009D31FA"/>
    <w:rsid w:val="009D32BD"/>
    <w:rsid w:val="009D33F1"/>
    <w:rsid w:val="009D35B5"/>
    <w:rsid w:val="009D3771"/>
    <w:rsid w:val="009D37BD"/>
    <w:rsid w:val="009D4486"/>
    <w:rsid w:val="009D7128"/>
    <w:rsid w:val="009D7613"/>
    <w:rsid w:val="009E21DE"/>
    <w:rsid w:val="009E6174"/>
    <w:rsid w:val="009F1DC7"/>
    <w:rsid w:val="009F211E"/>
    <w:rsid w:val="009F2572"/>
    <w:rsid w:val="009F294E"/>
    <w:rsid w:val="009F30F1"/>
    <w:rsid w:val="009F37C7"/>
    <w:rsid w:val="009F50AB"/>
    <w:rsid w:val="00A005F6"/>
    <w:rsid w:val="00A03986"/>
    <w:rsid w:val="00A0424F"/>
    <w:rsid w:val="00A051FB"/>
    <w:rsid w:val="00A0659C"/>
    <w:rsid w:val="00A07164"/>
    <w:rsid w:val="00A10039"/>
    <w:rsid w:val="00A100BA"/>
    <w:rsid w:val="00A103FF"/>
    <w:rsid w:val="00A121B5"/>
    <w:rsid w:val="00A16C6E"/>
    <w:rsid w:val="00A17DB2"/>
    <w:rsid w:val="00A21DEA"/>
    <w:rsid w:val="00A22A14"/>
    <w:rsid w:val="00A23A49"/>
    <w:rsid w:val="00A25AB4"/>
    <w:rsid w:val="00A26214"/>
    <w:rsid w:val="00A26566"/>
    <w:rsid w:val="00A27A51"/>
    <w:rsid w:val="00A31837"/>
    <w:rsid w:val="00A31D70"/>
    <w:rsid w:val="00A33018"/>
    <w:rsid w:val="00A3310D"/>
    <w:rsid w:val="00A3484C"/>
    <w:rsid w:val="00A351B3"/>
    <w:rsid w:val="00A35CE6"/>
    <w:rsid w:val="00A37BA4"/>
    <w:rsid w:val="00A402F6"/>
    <w:rsid w:val="00A42167"/>
    <w:rsid w:val="00A434B9"/>
    <w:rsid w:val="00A43739"/>
    <w:rsid w:val="00A444DD"/>
    <w:rsid w:val="00A467A3"/>
    <w:rsid w:val="00A47150"/>
    <w:rsid w:val="00A471EF"/>
    <w:rsid w:val="00A47466"/>
    <w:rsid w:val="00A47815"/>
    <w:rsid w:val="00A47A18"/>
    <w:rsid w:val="00A47A3D"/>
    <w:rsid w:val="00A47CD6"/>
    <w:rsid w:val="00A5359C"/>
    <w:rsid w:val="00A539CB"/>
    <w:rsid w:val="00A57DA7"/>
    <w:rsid w:val="00A60542"/>
    <w:rsid w:val="00A63709"/>
    <w:rsid w:val="00A643AB"/>
    <w:rsid w:val="00A649E6"/>
    <w:rsid w:val="00A660AF"/>
    <w:rsid w:val="00A7021C"/>
    <w:rsid w:val="00A70814"/>
    <w:rsid w:val="00A70A95"/>
    <w:rsid w:val="00A70BDA"/>
    <w:rsid w:val="00A740B6"/>
    <w:rsid w:val="00A7621E"/>
    <w:rsid w:val="00A76BE4"/>
    <w:rsid w:val="00A817D5"/>
    <w:rsid w:val="00A841B2"/>
    <w:rsid w:val="00A843FC"/>
    <w:rsid w:val="00A84F01"/>
    <w:rsid w:val="00A9029A"/>
    <w:rsid w:val="00A908B2"/>
    <w:rsid w:val="00A91332"/>
    <w:rsid w:val="00A9303B"/>
    <w:rsid w:val="00A93351"/>
    <w:rsid w:val="00A9539C"/>
    <w:rsid w:val="00A95538"/>
    <w:rsid w:val="00A975E2"/>
    <w:rsid w:val="00AA0013"/>
    <w:rsid w:val="00AA26FF"/>
    <w:rsid w:val="00AA2D63"/>
    <w:rsid w:val="00AA43EC"/>
    <w:rsid w:val="00AA4C92"/>
    <w:rsid w:val="00AA4E77"/>
    <w:rsid w:val="00AA587F"/>
    <w:rsid w:val="00AA6E8C"/>
    <w:rsid w:val="00AA6F19"/>
    <w:rsid w:val="00AA75E6"/>
    <w:rsid w:val="00AA79A8"/>
    <w:rsid w:val="00AA7A76"/>
    <w:rsid w:val="00AA7C2E"/>
    <w:rsid w:val="00AB0286"/>
    <w:rsid w:val="00AB0DD9"/>
    <w:rsid w:val="00AB3676"/>
    <w:rsid w:val="00AB404E"/>
    <w:rsid w:val="00AB4C6D"/>
    <w:rsid w:val="00AB53F2"/>
    <w:rsid w:val="00AB55F7"/>
    <w:rsid w:val="00AB6E29"/>
    <w:rsid w:val="00AB7162"/>
    <w:rsid w:val="00AC022F"/>
    <w:rsid w:val="00AC114D"/>
    <w:rsid w:val="00AC2995"/>
    <w:rsid w:val="00AC2F6A"/>
    <w:rsid w:val="00AC38A4"/>
    <w:rsid w:val="00AC4165"/>
    <w:rsid w:val="00AC556A"/>
    <w:rsid w:val="00AC76EA"/>
    <w:rsid w:val="00AC7FB7"/>
    <w:rsid w:val="00AD0007"/>
    <w:rsid w:val="00AD23B3"/>
    <w:rsid w:val="00AD23BF"/>
    <w:rsid w:val="00AD25B6"/>
    <w:rsid w:val="00AD2631"/>
    <w:rsid w:val="00AD2C31"/>
    <w:rsid w:val="00AD3D5D"/>
    <w:rsid w:val="00AD4080"/>
    <w:rsid w:val="00AD40E8"/>
    <w:rsid w:val="00AD5A05"/>
    <w:rsid w:val="00AD662C"/>
    <w:rsid w:val="00AE1220"/>
    <w:rsid w:val="00AE287F"/>
    <w:rsid w:val="00AE39F3"/>
    <w:rsid w:val="00AE4006"/>
    <w:rsid w:val="00AE4875"/>
    <w:rsid w:val="00AE5118"/>
    <w:rsid w:val="00AE63BD"/>
    <w:rsid w:val="00AF0B2B"/>
    <w:rsid w:val="00AF20DB"/>
    <w:rsid w:val="00AF2914"/>
    <w:rsid w:val="00AF345A"/>
    <w:rsid w:val="00AF363F"/>
    <w:rsid w:val="00AF3E4F"/>
    <w:rsid w:val="00AF71E5"/>
    <w:rsid w:val="00B00DA5"/>
    <w:rsid w:val="00B03037"/>
    <w:rsid w:val="00B0366D"/>
    <w:rsid w:val="00B071FF"/>
    <w:rsid w:val="00B110BC"/>
    <w:rsid w:val="00B11505"/>
    <w:rsid w:val="00B11DC2"/>
    <w:rsid w:val="00B15142"/>
    <w:rsid w:val="00B16F69"/>
    <w:rsid w:val="00B1789D"/>
    <w:rsid w:val="00B207DD"/>
    <w:rsid w:val="00B20DD8"/>
    <w:rsid w:val="00B21CA9"/>
    <w:rsid w:val="00B223FE"/>
    <w:rsid w:val="00B3161A"/>
    <w:rsid w:val="00B3208F"/>
    <w:rsid w:val="00B3260E"/>
    <w:rsid w:val="00B32C8D"/>
    <w:rsid w:val="00B36F2F"/>
    <w:rsid w:val="00B413BD"/>
    <w:rsid w:val="00B42807"/>
    <w:rsid w:val="00B428A6"/>
    <w:rsid w:val="00B43340"/>
    <w:rsid w:val="00B4461C"/>
    <w:rsid w:val="00B46D68"/>
    <w:rsid w:val="00B53913"/>
    <w:rsid w:val="00B54D6D"/>
    <w:rsid w:val="00B554D4"/>
    <w:rsid w:val="00B5572D"/>
    <w:rsid w:val="00B55F3A"/>
    <w:rsid w:val="00B562B0"/>
    <w:rsid w:val="00B56906"/>
    <w:rsid w:val="00B569F1"/>
    <w:rsid w:val="00B6007E"/>
    <w:rsid w:val="00B61484"/>
    <w:rsid w:val="00B6179E"/>
    <w:rsid w:val="00B62B08"/>
    <w:rsid w:val="00B71CB5"/>
    <w:rsid w:val="00B71F16"/>
    <w:rsid w:val="00B72922"/>
    <w:rsid w:val="00B72A13"/>
    <w:rsid w:val="00B72ADA"/>
    <w:rsid w:val="00B7473A"/>
    <w:rsid w:val="00B74A39"/>
    <w:rsid w:val="00B75819"/>
    <w:rsid w:val="00B75CDA"/>
    <w:rsid w:val="00B81526"/>
    <w:rsid w:val="00B819E4"/>
    <w:rsid w:val="00B84042"/>
    <w:rsid w:val="00B84DD5"/>
    <w:rsid w:val="00B903CC"/>
    <w:rsid w:val="00B9165A"/>
    <w:rsid w:val="00B91F7E"/>
    <w:rsid w:val="00B924B4"/>
    <w:rsid w:val="00B9487E"/>
    <w:rsid w:val="00B95910"/>
    <w:rsid w:val="00B9692A"/>
    <w:rsid w:val="00BA0848"/>
    <w:rsid w:val="00BA29E7"/>
    <w:rsid w:val="00BA33AF"/>
    <w:rsid w:val="00BA385E"/>
    <w:rsid w:val="00BA3A4C"/>
    <w:rsid w:val="00BA61FA"/>
    <w:rsid w:val="00BA67FC"/>
    <w:rsid w:val="00BA6851"/>
    <w:rsid w:val="00BB0F20"/>
    <w:rsid w:val="00BB17D2"/>
    <w:rsid w:val="00BB2328"/>
    <w:rsid w:val="00BB3264"/>
    <w:rsid w:val="00BB50D7"/>
    <w:rsid w:val="00BB7F08"/>
    <w:rsid w:val="00BC0623"/>
    <w:rsid w:val="00BC35CD"/>
    <w:rsid w:val="00BC3C54"/>
    <w:rsid w:val="00BC415B"/>
    <w:rsid w:val="00BC5B96"/>
    <w:rsid w:val="00BC6256"/>
    <w:rsid w:val="00BD2C66"/>
    <w:rsid w:val="00BD2CDE"/>
    <w:rsid w:val="00BD3D16"/>
    <w:rsid w:val="00BD41CF"/>
    <w:rsid w:val="00BD75F3"/>
    <w:rsid w:val="00BE0164"/>
    <w:rsid w:val="00BE12BD"/>
    <w:rsid w:val="00BE2ED7"/>
    <w:rsid w:val="00BE3498"/>
    <w:rsid w:val="00BE5A3E"/>
    <w:rsid w:val="00BE6AB8"/>
    <w:rsid w:val="00BF040B"/>
    <w:rsid w:val="00BF086D"/>
    <w:rsid w:val="00BF1C99"/>
    <w:rsid w:val="00BF2167"/>
    <w:rsid w:val="00BF43BC"/>
    <w:rsid w:val="00BF491B"/>
    <w:rsid w:val="00BF4DDA"/>
    <w:rsid w:val="00BF55C7"/>
    <w:rsid w:val="00BF7ED8"/>
    <w:rsid w:val="00C00A14"/>
    <w:rsid w:val="00C0222C"/>
    <w:rsid w:val="00C04139"/>
    <w:rsid w:val="00C0476F"/>
    <w:rsid w:val="00C0572E"/>
    <w:rsid w:val="00C1108E"/>
    <w:rsid w:val="00C14A51"/>
    <w:rsid w:val="00C14B1A"/>
    <w:rsid w:val="00C15C65"/>
    <w:rsid w:val="00C17853"/>
    <w:rsid w:val="00C17EE4"/>
    <w:rsid w:val="00C21656"/>
    <w:rsid w:val="00C21B3D"/>
    <w:rsid w:val="00C21B6B"/>
    <w:rsid w:val="00C2200F"/>
    <w:rsid w:val="00C24267"/>
    <w:rsid w:val="00C243E6"/>
    <w:rsid w:val="00C26FA6"/>
    <w:rsid w:val="00C2788D"/>
    <w:rsid w:val="00C31189"/>
    <w:rsid w:val="00C31D37"/>
    <w:rsid w:val="00C33398"/>
    <w:rsid w:val="00C34388"/>
    <w:rsid w:val="00C34C5B"/>
    <w:rsid w:val="00C361F6"/>
    <w:rsid w:val="00C3669A"/>
    <w:rsid w:val="00C371D5"/>
    <w:rsid w:val="00C423E3"/>
    <w:rsid w:val="00C428AB"/>
    <w:rsid w:val="00C44BAC"/>
    <w:rsid w:val="00C45626"/>
    <w:rsid w:val="00C458AF"/>
    <w:rsid w:val="00C460A0"/>
    <w:rsid w:val="00C46244"/>
    <w:rsid w:val="00C4720D"/>
    <w:rsid w:val="00C47768"/>
    <w:rsid w:val="00C50068"/>
    <w:rsid w:val="00C50180"/>
    <w:rsid w:val="00C51C4B"/>
    <w:rsid w:val="00C51EE9"/>
    <w:rsid w:val="00C539A5"/>
    <w:rsid w:val="00C53DFA"/>
    <w:rsid w:val="00C549F4"/>
    <w:rsid w:val="00C555FE"/>
    <w:rsid w:val="00C56E55"/>
    <w:rsid w:val="00C60DD4"/>
    <w:rsid w:val="00C60F27"/>
    <w:rsid w:val="00C60F7B"/>
    <w:rsid w:val="00C610F2"/>
    <w:rsid w:val="00C61B5E"/>
    <w:rsid w:val="00C676F3"/>
    <w:rsid w:val="00C71AB8"/>
    <w:rsid w:val="00C73E8B"/>
    <w:rsid w:val="00C74E97"/>
    <w:rsid w:val="00C75909"/>
    <w:rsid w:val="00C767D5"/>
    <w:rsid w:val="00C77219"/>
    <w:rsid w:val="00C77EFD"/>
    <w:rsid w:val="00C809AF"/>
    <w:rsid w:val="00C81A10"/>
    <w:rsid w:val="00C81F39"/>
    <w:rsid w:val="00C829DF"/>
    <w:rsid w:val="00C82F5A"/>
    <w:rsid w:val="00C84021"/>
    <w:rsid w:val="00C85B7F"/>
    <w:rsid w:val="00C86AEA"/>
    <w:rsid w:val="00C875AE"/>
    <w:rsid w:val="00C90B1C"/>
    <w:rsid w:val="00C90CE6"/>
    <w:rsid w:val="00C93030"/>
    <w:rsid w:val="00C9310B"/>
    <w:rsid w:val="00C937FB"/>
    <w:rsid w:val="00CA0F98"/>
    <w:rsid w:val="00CA1D9D"/>
    <w:rsid w:val="00CA2964"/>
    <w:rsid w:val="00CA696D"/>
    <w:rsid w:val="00CA6B5A"/>
    <w:rsid w:val="00CA757B"/>
    <w:rsid w:val="00CB1536"/>
    <w:rsid w:val="00CB3907"/>
    <w:rsid w:val="00CB3B51"/>
    <w:rsid w:val="00CB46F0"/>
    <w:rsid w:val="00CB5B24"/>
    <w:rsid w:val="00CB6167"/>
    <w:rsid w:val="00CC0C54"/>
    <w:rsid w:val="00CC1016"/>
    <w:rsid w:val="00CC32A0"/>
    <w:rsid w:val="00CC3829"/>
    <w:rsid w:val="00CC585C"/>
    <w:rsid w:val="00CD0D1D"/>
    <w:rsid w:val="00CD1673"/>
    <w:rsid w:val="00CD1721"/>
    <w:rsid w:val="00CD25F1"/>
    <w:rsid w:val="00CD4DDC"/>
    <w:rsid w:val="00CD6592"/>
    <w:rsid w:val="00CE0808"/>
    <w:rsid w:val="00CE2E22"/>
    <w:rsid w:val="00CE35B4"/>
    <w:rsid w:val="00CE569F"/>
    <w:rsid w:val="00CE6301"/>
    <w:rsid w:val="00CF06D4"/>
    <w:rsid w:val="00CF2008"/>
    <w:rsid w:val="00CF2496"/>
    <w:rsid w:val="00CF3649"/>
    <w:rsid w:val="00CF4188"/>
    <w:rsid w:val="00CF4E9E"/>
    <w:rsid w:val="00CF52CE"/>
    <w:rsid w:val="00CF7848"/>
    <w:rsid w:val="00D00B84"/>
    <w:rsid w:val="00D058FC"/>
    <w:rsid w:val="00D06213"/>
    <w:rsid w:val="00D073D1"/>
    <w:rsid w:val="00D10010"/>
    <w:rsid w:val="00D11510"/>
    <w:rsid w:val="00D116EE"/>
    <w:rsid w:val="00D12BB7"/>
    <w:rsid w:val="00D159D4"/>
    <w:rsid w:val="00D15C79"/>
    <w:rsid w:val="00D1641A"/>
    <w:rsid w:val="00D20E16"/>
    <w:rsid w:val="00D21601"/>
    <w:rsid w:val="00D2164A"/>
    <w:rsid w:val="00D21AA7"/>
    <w:rsid w:val="00D22F1C"/>
    <w:rsid w:val="00D23D75"/>
    <w:rsid w:val="00D256F0"/>
    <w:rsid w:val="00D26D4B"/>
    <w:rsid w:val="00D31882"/>
    <w:rsid w:val="00D31BAB"/>
    <w:rsid w:val="00D31D27"/>
    <w:rsid w:val="00D32109"/>
    <w:rsid w:val="00D330B3"/>
    <w:rsid w:val="00D336A4"/>
    <w:rsid w:val="00D34AFB"/>
    <w:rsid w:val="00D352EE"/>
    <w:rsid w:val="00D35A03"/>
    <w:rsid w:val="00D37377"/>
    <w:rsid w:val="00D41830"/>
    <w:rsid w:val="00D42EF8"/>
    <w:rsid w:val="00D45B8C"/>
    <w:rsid w:val="00D56058"/>
    <w:rsid w:val="00D567E0"/>
    <w:rsid w:val="00D56A09"/>
    <w:rsid w:val="00D57976"/>
    <w:rsid w:val="00D61F2D"/>
    <w:rsid w:val="00D630DE"/>
    <w:rsid w:val="00D63DBC"/>
    <w:rsid w:val="00D645C6"/>
    <w:rsid w:val="00D6548A"/>
    <w:rsid w:val="00D65571"/>
    <w:rsid w:val="00D65905"/>
    <w:rsid w:val="00D65A71"/>
    <w:rsid w:val="00D6611D"/>
    <w:rsid w:val="00D66C66"/>
    <w:rsid w:val="00D67355"/>
    <w:rsid w:val="00D712C3"/>
    <w:rsid w:val="00D71B03"/>
    <w:rsid w:val="00D7327A"/>
    <w:rsid w:val="00D74EC8"/>
    <w:rsid w:val="00D76F23"/>
    <w:rsid w:val="00D81AC9"/>
    <w:rsid w:val="00D858CC"/>
    <w:rsid w:val="00D9086C"/>
    <w:rsid w:val="00D91172"/>
    <w:rsid w:val="00D922E1"/>
    <w:rsid w:val="00D92C84"/>
    <w:rsid w:val="00D93AAA"/>
    <w:rsid w:val="00D93ECC"/>
    <w:rsid w:val="00D94745"/>
    <w:rsid w:val="00D94921"/>
    <w:rsid w:val="00D95DFF"/>
    <w:rsid w:val="00D963D5"/>
    <w:rsid w:val="00D96C96"/>
    <w:rsid w:val="00DA2201"/>
    <w:rsid w:val="00DA3853"/>
    <w:rsid w:val="00DA41B2"/>
    <w:rsid w:val="00DA5D06"/>
    <w:rsid w:val="00DA62C4"/>
    <w:rsid w:val="00DA7B20"/>
    <w:rsid w:val="00DB049D"/>
    <w:rsid w:val="00DB473D"/>
    <w:rsid w:val="00DB5727"/>
    <w:rsid w:val="00DB64E9"/>
    <w:rsid w:val="00DB68CC"/>
    <w:rsid w:val="00DC2E38"/>
    <w:rsid w:val="00DC2FBF"/>
    <w:rsid w:val="00DC52BC"/>
    <w:rsid w:val="00DC60C2"/>
    <w:rsid w:val="00DC621D"/>
    <w:rsid w:val="00DC6A98"/>
    <w:rsid w:val="00DC6EF8"/>
    <w:rsid w:val="00DC7245"/>
    <w:rsid w:val="00DC730A"/>
    <w:rsid w:val="00DC7A0C"/>
    <w:rsid w:val="00DD12FC"/>
    <w:rsid w:val="00DD1ED6"/>
    <w:rsid w:val="00DD2B0D"/>
    <w:rsid w:val="00DE130A"/>
    <w:rsid w:val="00DE1F21"/>
    <w:rsid w:val="00DE26A3"/>
    <w:rsid w:val="00DE3369"/>
    <w:rsid w:val="00DE33DB"/>
    <w:rsid w:val="00DE38B2"/>
    <w:rsid w:val="00DF2C9A"/>
    <w:rsid w:val="00DF32E5"/>
    <w:rsid w:val="00DF5291"/>
    <w:rsid w:val="00DF6AC1"/>
    <w:rsid w:val="00E010C4"/>
    <w:rsid w:val="00E03EBC"/>
    <w:rsid w:val="00E05572"/>
    <w:rsid w:val="00E06927"/>
    <w:rsid w:val="00E06AB6"/>
    <w:rsid w:val="00E10D04"/>
    <w:rsid w:val="00E1217F"/>
    <w:rsid w:val="00E130D1"/>
    <w:rsid w:val="00E16292"/>
    <w:rsid w:val="00E166FD"/>
    <w:rsid w:val="00E16F27"/>
    <w:rsid w:val="00E17143"/>
    <w:rsid w:val="00E20294"/>
    <w:rsid w:val="00E221E9"/>
    <w:rsid w:val="00E25706"/>
    <w:rsid w:val="00E25F47"/>
    <w:rsid w:val="00E26321"/>
    <w:rsid w:val="00E264BB"/>
    <w:rsid w:val="00E267F5"/>
    <w:rsid w:val="00E276DF"/>
    <w:rsid w:val="00E27A89"/>
    <w:rsid w:val="00E30596"/>
    <w:rsid w:val="00E30E0D"/>
    <w:rsid w:val="00E31FF9"/>
    <w:rsid w:val="00E33434"/>
    <w:rsid w:val="00E33B23"/>
    <w:rsid w:val="00E37B1B"/>
    <w:rsid w:val="00E37B97"/>
    <w:rsid w:val="00E417B9"/>
    <w:rsid w:val="00E41B67"/>
    <w:rsid w:val="00E43C23"/>
    <w:rsid w:val="00E4477A"/>
    <w:rsid w:val="00E448A9"/>
    <w:rsid w:val="00E45160"/>
    <w:rsid w:val="00E45E6A"/>
    <w:rsid w:val="00E50A42"/>
    <w:rsid w:val="00E52F6E"/>
    <w:rsid w:val="00E53930"/>
    <w:rsid w:val="00E54FA5"/>
    <w:rsid w:val="00E56D64"/>
    <w:rsid w:val="00E57446"/>
    <w:rsid w:val="00E61081"/>
    <w:rsid w:val="00E61788"/>
    <w:rsid w:val="00E65B18"/>
    <w:rsid w:val="00E65B9D"/>
    <w:rsid w:val="00E704E0"/>
    <w:rsid w:val="00E71CE6"/>
    <w:rsid w:val="00E71E16"/>
    <w:rsid w:val="00E728C6"/>
    <w:rsid w:val="00E73E65"/>
    <w:rsid w:val="00E75732"/>
    <w:rsid w:val="00E76641"/>
    <w:rsid w:val="00E77AC7"/>
    <w:rsid w:val="00E83DA2"/>
    <w:rsid w:val="00E851E8"/>
    <w:rsid w:val="00E856E9"/>
    <w:rsid w:val="00E862E7"/>
    <w:rsid w:val="00E86395"/>
    <w:rsid w:val="00E86DF2"/>
    <w:rsid w:val="00E879EC"/>
    <w:rsid w:val="00E94A64"/>
    <w:rsid w:val="00E9538B"/>
    <w:rsid w:val="00E95703"/>
    <w:rsid w:val="00E95707"/>
    <w:rsid w:val="00E95C5F"/>
    <w:rsid w:val="00E964C2"/>
    <w:rsid w:val="00EA0297"/>
    <w:rsid w:val="00EA116B"/>
    <w:rsid w:val="00EA2C29"/>
    <w:rsid w:val="00EA3F05"/>
    <w:rsid w:val="00EA5E85"/>
    <w:rsid w:val="00EB0B07"/>
    <w:rsid w:val="00EB0C6A"/>
    <w:rsid w:val="00EB144E"/>
    <w:rsid w:val="00EB1B82"/>
    <w:rsid w:val="00EB2F49"/>
    <w:rsid w:val="00EB462A"/>
    <w:rsid w:val="00EB545A"/>
    <w:rsid w:val="00EB635D"/>
    <w:rsid w:val="00EB6554"/>
    <w:rsid w:val="00EB6AA6"/>
    <w:rsid w:val="00EC0354"/>
    <w:rsid w:val="00EC5A70"/>
    <w:rsid w:val="00EC5B97"/>
    <w:rsid w:val="00EC692F"/>
    <w:rsid w:val="00EC6BED"/>
    <w:rsid w:val="00EC70BC"/>
    <w:rsid w:val="00ED018E"/>
    <w:rsid w:val="00ED044F"/>
    <w:rsid w:val="00ED07AD"/>
    <w:rsid w:val="00ED2A04"/>
    <w:rsid w:val="00ED370F"/>
    <w:rsid w:val="00ED3804"/>
    <w:rsid w:val="00ED39D5"/>
    <w:rsid w:val="00ED3B36"/>
    <w:rsid w:val="00EE21F2"/>
    <w:rsid w:val="00EE55F9"/>
    <w:rsid w:val="00EE62A5"/>
    <w:rsid w:val="00EE63DE"/>
    <w:rsid w:val="00EE64F9"/>
    <w:rsid w:val="00EF00EA"/>
    <w:rsid w:val="00EF0CBA"/>
    <w:rsid w:val="00EF34E1"/>
    <w:rsid w:val="00EF3688"/>
    <w:rsid w:val="00EF36A0"/>
    <w:rsid w:val="00EF6CC3"/>
    <w:rsid w:val="00F00D0F"/>
    <w:rsid w:val="00F0109E"/>
    <w:rsid w:val="00F03A0B"/>
    <w:rsid w:val="00F11454"/>
    <w:rsid w:val="00F12E5A"/>
    <w:rsid w:val="00F2125A"/>
    <w:rsid w:val="00F221FC"/>
    <w:rsid w:val="00F23C89"/>
    <w:rsid w:val="00F24025"/>
    <w:rsid w:val="00F24190"/>
    <w:rsid w:val="00F26083"/>
    <w:rsid w:val="00F322F5"/>
    <w:rsid w:val="00F35033"/>
    <w:rsid w:val="00F35CAE"/>
    <w:rsid w:val="00F36EE7"/>
    <w:rsid w:val="00F4192F"/>
    <w:rsid w:val="00F41B64"/>
    <w:rsid w:val="00F41D9D"/>
    <w:rsid w:val="00F44250"/>
    <w:rsid w:val="00F4468A"/>
    <w:rsid w:val="00F47653"/>
    <w:rsid w:val="00F47EFB"/>
    <w:rsid w:val="00F50412"/>
    <w:rsid w:val="00F505CE"/>
    <w:rsid w:val="00F5169E"/>
    <w:rsid w:val="00F51C0B"/>
    <w:rsid w:val="00F57AFC"/>
    <w:rsid w:val="00F627E4"/>
    <w:rsid w:val="00F6494D"/>
    <w:rsid w:val="00F65A5D"/>
    <w:rsid w:val="00F65DBD"/>
    <w:rsid w:val="00F669B9"/>
    <w:rsid w:val="00F67D80"/>
    <w:rsid w:val="00F773E6"/>
    <w:rsid w:val="00F77DEE"/>
    <w:rsid w:val="00F80A07"/>
    <w:rsid w:val="00F80C1E"/>
    <w:rsid w:val="00F80CEE"/>
    <w:rsid w:val="00F81639"/>
    <w:rsid w:val="00F81C18"/>
    <w:rsid w:val="00F81F36"/>
    <w:rsid w:val="00F83E85"/>
    <w:rsid w:val="00F8493C"/>
    <w:rsid w:val="00F85468"/>
    <w:rsid w:val="00F86A45"/>
    <w:rsid w:val="00F86BC7"/>
    <w:rsid w:val="00F907D4"/>
    <w:rsid w:val="00F913C7"/>
    <w:rsid w:val="00F91DA3"/>
    <w:rsid w:val="00F9202F"/>
    <w:rsid w:val="00F92AA4"/>
    <w:rsid w:val="00FA2116"/>
    <w:rsid w:val="00FA2519"/>
    <w:rsid w:val="00FA625E"/>
    <w:rsid w:val="00FA6B1E"/>
    <w:rsid w:val="00FA7FD2"/>
    <w:rsid w:val="00FB4165"/>
    <w:rsid w:val="00FB48E1"/>
    <w:rsid w:val="00FB59A0"/>
    <w:rsid w:val="00FC1484"/>
    <w:rsid w:val="00FC1792"/>
    <w:rsid w:val="00FC1944"/>
    <w:rsid w:val="00FC42BD"/>
    <w:rsid w:val="00FD2E9B"/>
    <w:rsid w:val="00FD378D"/>
    <w:rsid w:val="00FD41A2"/>
    <w:rsid w:val="00FE065B"/>
    <w:rsid w:val="00FE06D8"/>
    <w:rsid w:val="00FE128D"/>
    <w:rsid w:val="00FE17D2"/>
    <w:rsid w:val="00FE2BF0"/>
    <w:rsid w:val="00FE43C6"/>
    <w:rsid w:val="00FE7835"/>
    <w:rsid w:val="00FF6D2A"/>
    <w:rsid w:val="00FF7F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57696"/>
  <w15:docId w15:val="{4C5185BA-A775-4610-B2F9-5591E17B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69A"/>
    <w:rPr>
      <w:rFonts w:ascii="Arial" w:hAnsi="Arial"/>
      <w:sz w:val="22"/>
      <w:szCs w:val="24"/>
      <w:lang w:eastAsia="en-US"/>
    </w:rPr>
  </w:style>
  <w:style w:type="paragraph" w:styleId="Heading1">
    <w:name w:val="heading 1"/>
    <w:basedOn w:val="Normal"/>
    <w:next w:val="Normal"/>
    <w:qFormat/>
    <w:pPr>
      <w:keepNext/>
      <w:spacing w:line="480" w:lineRule="auto"/>
      <w:jc w:val="both"/>
      <w:outlineLvl w:val="0"/>
    </w:pPr>
    <w:rPr>
      <w:rFonts w:cs="Arial"/>
      <w:b/>
      <w:bCs/>
    </w:rPr>
  </w:style>
  <w:style w:type="paragraph" w:styleId="Heading2">
    <w:name w:val="heading 2"/>
    <w:basedOn w:val="Normal"/>
    <w:next w:val="Normal"/>
    <w:qFormat/>
    <w:rsid w:val="009B08AF"/>
    <w:pPr>
      <w:keepNext/>
      <w:spacing w:after="480" w:line="480" w:lineRule="auto"/>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4021"/>
    <w:pPr>
      <w:keepNext/>
      <w:widowControl w:val="0"/>
      <w:spacing w:before="360" w:after="240"/>
    </w:pPr>
    <w:rPr>
      <w:rFonts w:cs="Arial"/>
      <w:b/>
      <w:bCs/>
    </w:rPr>
  </w:style>
  <w:style w:type="paragraph" w:styleId="Header">
    <w:name w:val="header"/>
    <w:basedOn w:val="Normal"/>
    <w:semiHidden/>
    <w:pPr>
      <w:tabs>
        <w:tab w:val="center" w:pos="4153"/>
        <w:tab w:val="right" w:pos="8306"/>
      </w:tabs>
    </w:pPr>
    <w:rPr>
      <w:lang w:val="en-GB"/>
    </w:rPr>
  </w:style>
  <w:style w:type="character" w:styleId="PageNumber">
    <w:name w:val="page number"/>
    <w:basedOn w:val="DefaultParagraphFont"/>
    <w:semiHidden/>
  </w:style>
  <w:style w:type="paragraph" w:styleId="BodyText">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basedOn w:val="DefaultParagraphFont"/>
    <w:link w:val="Footer"/>
    <w:uiPriority w:val="99"/>
    <w:rsid w:val="008B1DA9"/>
    <w:rPr>
      <w:sz w:val="24"/>
      <w:szCs w:val="24"/>
      <w:lang w:eastAsia="en-US"/>
    </w:rPr>
  </w:style>
  <w:style w:type="paragraph" w:styleId="BalloonText">
    <w:name w:val="Balloon Text"/>
    <w:basedOn w:val="Normal"/>
    <w:link w:val="BalloonTextChar"/>
    <w:uiPriority w:val="99"/>
    <w:semiHidden/>
    <w:unhideWhenUsed/>
    <w:rsid w:val="006C43D7"/>
    <w:rPr>
      <w:rFonts w:ascii="Tahoma" w:hAnsi="Tahoma" w:cs="Tahoma"/>
      <w:sz w:val="16"/>
      <w:szCs w:val="16"/>
    </w:rPr>
  </w:style>
  <w:style w:type="character" w:customStyle="1" w:styleId="BalloonTextChar">
    <w:name w:val="Balloon Text Char"/>
    <w:basedOn w:val="DefaultParagraphFont"/>
    <w:link w:val="BalloonText"/>
    <w:uiPriority w:val="99"/>
    <w:semiHidden/>
    <w:rsid w:val="006C43D7"/>
    <w:rPr>
      <w:rFonts w:ascii="Tahoma" w:hAnsi="Tahoma" w:cs="Tahoma"/>
      <w:sz w:val="16"/>
      <w:szCs w:val="16"/>
      <w:lang w:eastAsia="en-US"/>
    </w:rPr>
  </w:style>
  <w:style w:type="paragraph" w:styleId="FootnoteText">
    <w:name w:val="footnote text"/>
    <w:basedOn w:val="Normal"/>
    <w:link w:val="FootnoteTextChar"/>
    <w:uiPriority w:val="99"/>
    <w:unhideWhenUsed/>
    <w:rsid w:val="009869F2"/>
    <w:pPr>
      <w:ind w:left="340" w:hanging="340"/>
      <w:jc w:val="both"/>
    </w:pPr>
    <w:rPr>
      <w:sz w:val="20"/>
      <w:szCs w:val="20"/>
    </w:rPr>
  </w:style>
  <w:style w:type="character" w:customStyle="1" w:styleId="FootnoteTextChar">
    <w:name w:val="Footnote Text Char"/>
    <w:basedOn w:val="DefaultParagraphFont"/>
    <w:link w:val="FootnoteText"/>
    <w:uiPriority w:val="99"/>
    <w:rsid w:val="009869F2"/>
    <w:rPr>
      <w:rFonts w:ascii="Arial" w:hAnsi="Arial"/>
      <w:lang w:eastAsia="en-US"/>
    </w:rPr>
  </w:style>
  <w:style w:type="character" w:styleId="FootnoteReference">
    <w:name w:val="footnote reference"/>
    <w:basedOn w:val="DefaultParagraphFont"/>
    <w:uiPriority w:val="99"/>
    <w:semiHidden/>
    <w:unhideWhenUsed/>
    <w:rsid w:val="00AD2631"/>
    <w:rPr>
      <w:vertAlign w:val="superscript"/>
    </w:rPr>
  </w:style>
  <w:style w:type="paragraph" w:styleId="ListParagraph">
    <w:name w:val="List Paragraph"/>
    <w:basedOn w:val="Normal"/>
    <w:uiPriority w:val="34"/>
    <w:qFormat/>
    <w:rsid w:val="00504B53"/>
    <w:pPr>
      <w:ind w:left="720"/>
      <w:contextualSpacing/>
    </w:pPr>
  </w:style>
  <w:style w:type="paragraph" w:styleId="Quote">
    <w:name w:val="Quote"/>
    <w:basedOn w:val="Normal"/>
    <w:next w:val="Normal"/>
    <w:link w:val="QuoteChar"/>
    <w:uiPriority w:val="29"/>
    <w:qFormat/>
    <w:rsid w:val="00933065"/>
    <w:pPr>
      <w:spacing w:before="200" w:after="160"/>
      <w:ind w:left="864" w:right="864"/>
    </w:pPr>
    <w:rPr>
      <w:i/>
      <w:iCs/>
      <w:color w:val="000000" w:themeColor="text1"/>
    </w:rPr>
  </w:style>
  <w:style w:type="character" w:customStyle="1" w:styleId="QuoteChar">
    <w:name w:val="Quote Char"/>
    <w:basedOn w:val="DefaultParagraphFont"/>
    <w:link w:val="Quote"/>
    <w:uiPriority w:val="29"/>
    <w:rsid w:val="00933065"/>
    <w:rPr>
      <w:rFonts w:ascii="Arial" w:hAnsi="Arial"/>
      <w:i/>
      <w:iCs/>
      <w:color w:val="000000" w:themeColor="text1"/>
      <w:sz w:val="22"/>
      <w:szCs w:val="24"/>
      <w:lang w:eastAsia="en-US"/>
    </w:rPr>
  </w:style>
  <w:style w:type="paragraph" w:customStyle="1" w:styleId="lrpara">
    <w:name w:val="lrpara"/>
    <w:basedOn w:val="Normal"/>
    <w:rsid w:val="00EA3F05"/>
    <w:pPr>
      <w:spacing w:before="100" w:beforeAutospacing="1" w:after="100" w:afterAutospacing="1"/>
    </w:pPr>
    <w:rPr>
      <w:rFonts w:ascii="Times New Roman" w:hAnsi="Times New Roman"/>
      <w:sz w:val="24"/>
      <w:lang w:eastAsia="en-ZA"/>
    </w:rPr>
  </w:style>
  <w:style w:type="paragraph" w:customStyle="1" w:styleId="pageno">
    <w:name w:val="pageno"/>
    <w:basedOn w:val="Normal"/>
    <w:rsid w:val="00EA3F05"/>
    <w:pPr>
      <w:spacing w:before="100" w:beforeAutospacing="1" w:after="100" w:afterAutospacing="1"/>
    </w:pPr>
    <w:rPr>
      <w:rFonts w:ascii="Times New Roman" w:hAnsi="Times New Roman"/>
      <w:sz w:val="24"/>
      <w:lang w:eastAsia="en-ZA"/>
    </w:rPr>
  </w:style>
  <w:style w:type="paragraph" w:customStyle="1" w:styleId="lrjudgecont">
    <w:name w:val="lrjudgecont"/>
    <w:basedOn w:val="Normal"/>
    <w:rsid w:val="00EA3F05"/>
    <w:pPr>
      <w:spacing w:before="100" w:beforeAutospacing="1" w:after="100" w:afterAutospacing="1"/>
    </w:pPr>
    <w:rPr>
      <w:rFonts w:ascii="Times New Roman" w:hAnsi="Times New Roman"/>
      <w:sz w:val="24"/>
      <w:lang w:eastAsia="en-ZA"/>
    </w:rPr>
  </w:style>
  <w:style w:type="paragraph" w:styleId="NormalWeb">
    <w:name w:val="Normal (Web)"/>
    <w:basedOn w:val="Normal"/>
    <w:uiPriority w:val="99"/>
    <w:semiHidden/>
    <w:unhideWhenUsed/>
    <w:rsid w:val="00EA3F05"/>
    <w:pPr>
      <w:spacing w:before="100" w:beforeAutospacing="1" w:after="100" w:afterAutospacing="1"/>
    </w:pPr>
    <w:rPr>
      <w:rFonts w:ascii="Times New Roman" w:hAnsi="Times New Roman"/>
      <w:sz w:val="24"/>
      <w:lang w:eastAsia="en-ZA"/>
    </w:rPr>
  </w:style>
  <w:style w:type="character" w:customStyle="1" w:styleId="mc">
    <w:name w:val="mc"/>
    <w:basedOn w:val="DefaultParagraphFont"/>
    <w:rsid w:val="00EA3F05"/>
  </w:style>
  <w:style w:type="character" w:customStyle="1" w:styleId="italic">
    <w:name w:val="italic"/>
    <w:basedOn w:val="DefaultParagraphFont"/>
    <w:rsid w:val="008675CC"/>
  </w:style>
  <w:style w:type="character" w:styleId="Hyperlink">
    <w:name w:val="Hyperlink"/>
    <w:basedOn w:val="DefaultParagraphFont"/>
    <w:uiPriority w:val="99"/>
    <w:unhideWhenUsed/>
    <w:rsid w:val="008675CC"/>
    <w:rPr>
      <w:color w:val="0000FF"/>
      <w:u w:val="single"/>
    </w:rPr>
  </w:style>
  <w:style w:type="paragraph" w:customStyle="1" w:styleId="normaltext">
    <w:name w:val="normaltext"/>
    <w:basedOn w:val="Normal"/>
    <w:rsid w:val="002A030C"/>
    <w:pPr>
      <w:spacing w:before="100" w:beforeAutospacing="1" w:after="100" w:afterAutospacing="1"/>
    </w:pPr>
    <w:rPr>
      <w:rFonts w:ascii="Times New Roman" w:hAnsi="Times New Roman"/>
      <w:sz w:val="24"/>
      <w:lang w:eastAsia="en-ZA"/>
    </w:rPr>
  </w:style>
  <w:style w:type="table" w:styleId="TableGrid">
    <w:name w:val="Table Grid"/>
    <w:basedOn w:val="TableNormal"/>
    <w:uiPriority w:val="39"/>
    <w:rsid w:val="00210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30A89"/>
    <w:rPr>
      <w:sz w:val="20"/>
      <w:szCs w:val="20"/>
    </w:rPr>
  </w:style>
  <w:style w:type="character" w:customStyle="1" w:styleId="EndnoteTextChar">
    <w:name w:val="Endnote Text Char"/>
    <w:basedOn w:val="DefaultParagraphFont"/>
    <w:link w:val="EndnoteText"/>
    <w:uiPriority w:val="99"/>
    <w:semiHidden/>
    <w:rsid w:val="00030A89"/>
    <w:rPr>
      <w:rFonts w:ascii="Arial" w:hAnsi="Arial"/>
      <w:lang w:eastAsia="en-US"/>
    </w:rPr>
  </w:style>
  <w:style w:type="character" w:styleId="EndnoteReference">
    <w:name w:val="endnote reference"/>
    <w:basedOn w:val="DefaultParagraphFont"/>
    <w:uiPriority w:val="99"/>
    <w:semiHidden/>
    <w:unhideWhenUsed/>
    <w:rsid w:val="00030A89"/>
    <w:rPr>
      <w:vertAlign w:val="superscript"/>
    </w:rPr>
  </w:style>
  <w:style w:type="character" w:customStyle="1" w:styleId="footnoteanchor">
    <w:name w:val="footnoteanchor"/>
    <w:basedOn w:val="DefaultParagraphFont"/>
    <w:rsid w:val="00BF7ED8"/>
  </w:style>
  <w:style w:type="character" w:customStyle="1" w:styleId="AFUBodytextCharChar">
    <w:name w:val="AFU Body text Char Char"/>
    <w:basedOn w:val="DefaultParagraphFont"/>
    <w:link w:val="AFUBodytext"/>
    <w:locked/>
    <w:rsid w:val="007A1D60"/>
    <w:rPr>
      <w:rFonts w:ascii="Arial" w:hAnsi="Arial" w:cs="Arial"/>
      <w:sz w:val="22"/>
      <w:szCs w:val="22"/>
      <w:lang w:eastAsia="en-GB"/>
    </w:rPr>
  </w:style>
  <w:style w:type="paragraph" w:customStyle="1" w:styleId="AFUBodytext">
    <w:name w:val="AFU Body text"/>
    <w:basedOn w:val="Normal"/>
    <w:link w:val="AFUBodytextCharChar"/>
    <w:rsid w:val="007A1D60"/>
    <w:pPr>
      <w:spacing w:before="120" w:after="120" w:line="480" w:lineRule="auto"/>
      <w:jc w:val="both"/>
    </w:pPr>
    <w:rPr>
      <w:rFonts w:cs="Arial"/>
      <w:szCs w:val="22"/>
      <w:lang w:eastAsia="en-GB"/>
    </w:rPr>
  </w:style>
  <w:style w:type="paragraph" w:customStyle="1" w:styleId="AFUaffidavitnumbering">
    <w:name w:val="AFU affidavit numbering"/>
    <w:basedOn w:val="Normal"/>
    <w:link w:val="AFUaffidavitnumberingCharChar"/>
    <w:uiPriority w:val="99"/>
    <w:qFormat/>
    <w:rsid w:val="00E61081"/>
    <w:pPr>
      <w:numPr>
        <w:numId w:val="12"/>
      </w:numPr>
      <w:spacing w:before="240" w:after="240" w:line="480" w:lineRule="auto"/>
      <w:jc w:val="both"/>
    </w:pPr>
    <w:rPr>
      <w:rFonts w:eastAsia="Calibri"/>
      <w:szCs w:val="22"/>
    </w:rPr>
  </w:style>
  <w:style w:type="character" w:customStyle="1" w:styleId="AFUaffidavitnumberingCharChar">
    <w:name w:val="AFU affidavit numbering Char Char"/>
    <w:basedOn w:val="DefaultParagraphFont"/>
    <w:link w:val="AFUaffidavitnumbering"/>
    <w:uiPriority w:val="99"/>
    <w:rsid w:val="00E61081"/>
    <w:rPr>
      <w:rFonts w:ascii="Arial" w:eastAsia="Calibri" w:hAnsi="Arial"/>
      <w:sz w:val="22"/>
      <w:szCs w:val="22"/>
      <w:lang w:eastAsia="en-US"/>
    </w:rPr>
  </w:style>
  <w:style w:type="paragraph" w:customStyle="1" w:styleId="Default">
    <w:name w:val="Default"/>
    <w:rsid w:val="00A434B9"/>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B20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4104">
      <w:bodyDiv w:val="1"/>
      <w:marLeft w:val="0"/>
      <w:marRight w:val="0"/>
      <w:marTop w:val="0"/>
      <w:marBottom w:val="0"/>
      <w:divBdr>
        <w:top w:val="none" w:sz="0" w:space="0" w:color="auto"/>
        <w:left w:val="none" w:sz="0" w:space="0" w:color="auto"/>
        <w:bottom w:val="none" w:sz="0" w:space="0" w:color="auto"/>
        <w:right w:val="none" w:sz="0" w:space="0" w:color="auto"/>
      </w:divBdr>
    </w:div>
    <w:div w:id="163209253">
      <w:bodyDiv w:val="1"/>
      <w:marLeft w:val="0"/>
      <w:marRight w:val="0"/>
      <w:marTop w:val="0"/>
      <w:marBottom w:val="0"/>
      <w:divBdr>
        <w:top w:val="none" w:sz="0" w:space="0" w:color="auto"/>
        <w:left w:val="none" w:sz="0" w:space="0" w:color="auto"/>
        <w:bottom w:val="none" w:sz="0" w:space="0" w:color="auto"/>
        <w:right w:val="none" w:sz="0" w:space="0" w:color="auto"/>
      </w:divBdr>
      <w:divsChild>
        <w:div w:id="559486776">
          <w:marLeft w:val="0"/>
          <w:marRight w:val="0"/>
          <w:marTop w:val="120"/>
          <w:marBottom w:val="0"/>
          <w:divBdr>
            <w:top w:val="none" w:sz="0" w:space="0" w:color="auto"/>
            <w:left w:val="none" w:sz="0" w:space="0" w:color="auto"/>
            <w:bottom w:val="none" w:sz="0" w:space="0" w:color="auto"/>
            <w:right w:val="none" w:sz="0" w:space="0" w:color="auto"/>
          </w:divBdr>
        </w:div>
        <w:div w:id="1238244361">
          <w:marLeft w:val="0"/>
          <w:marRight w:val="0"/>
          <w:marTop w:val="240"/>
          <w:marBottom w:val="0"/>
          <w:divBdr>
            <w:top w:val="none" w:sz="0" w:space="0" w:color="auto"/>
            <w:left w:val="none" w:sz="0" w:space="0" w:color="auto"/>
            <w:bottom w:val="none" w:sz="0" w:space="0" w:color="auto"/>
            <w:right w:val="none" w:sz="0" w:space="0" w:color="auto"/>
          </w:divBdr>
        </w:div>
        <w:div w:id="1412848520">
          <w:marLeft w:val="567"/>
          <w:marRight w:val="567"/>
          <w:marTop w:val="20"/>
          <w:marBottom w:val="20"/>
          <w:divBdr>
            <w:top w:val="none" w:sz="0" w:space="0" w:color="auto"/>
            <w:left w:val="none" w:sz="0" w:space="0" w:color="auto"/>
            <w:bottom w:val="none" w:sz="0" w:space="0" w:color="auto"/>
            <w:right w:val="none" w:sz="0" w:space="0" w:color="auto"/>
          </w:divBdr>
        </w:div>
      </w:divsChild>
    </w:div>
    <w:div w:id="339508733">
      <w:bodyDiv w:val="1"/>
      <w:marLeft w:val="0"/>
      <w:marRight w:val="0"/>
      <w:marTop w:val="0"/>
      <w:marBottom w:val="0"/>
      <w:divBdr>
        <w:top w:val="none" w:sz="0" w:space="0" w:color="auto"/>
        <w:left w:val="none" w:sz="0" w:space="0" w:color="auto"/>
        <w:bottom w:val="none" w:sz="0" w:space="0" w:color="auto"/>
        <w:right w:val="none" w:sz="0" w:space="0" w:color="auto"/>
      </w:divBdr>
    </w:div>
    <w:div w:id="352655753">
      <w:bodyDiv w:val="1"/>
      <w:marLeft w:val="0"/>
      <w:marRight w:val="0"/>
      <w:marTop w:val="0"/>
      <w:marBottom w:val="0"/>
      <w:divBdr>
        <w:top w:val="none" w:sz="0" w:space="0" w:color="auto"/>
        <w:left w:val="none" w:sz="0" w:space="0" w:color="auto"/>
        <w:bottom w:val="none" w:sz="0" w:space="0" w:color="auto"/>
        <w:right w:val="none" w:sz="0" w:space="0" w:color="auto"/>
      </w:divBdr>
      <w:divsChild>
        <w:div w:id="543565086">
          <w:marLeft w:val="0"/>
          <w:marRight w:val="0"/>
          <w:marTop w:val="60"/>
          <w:marBottom w:val="0"/>
          <w:divBdr>
            <w:top w:val="none" w:sz="0" w:space="0" w:color="auto"/>
            <w:left w:val="none" w:sz="0" w:space="0" w:color="auto"/>
            <w:bottom w:val="none" w:sz="0" w:space="0" w:color="auto"/>
            <w:right w:val="none" w:sz="0" w:space="0" w:color="auto"/>
          </w:divBdr>
        </w:div>
        <w:div w:id="795026512">
          <w:marLeft w:val="0"/>
          <w:marRight w:val="0"/>
          <w:marTop w:val="120"/>
          <w:marBottom w:val="0"/>
          <w:divBdr>
            <w:top w:val="none" w:sz="0" w:space="0" w:color="auto"/>
            <w:left w:val="none" w:sz="0" w:space="0" w:color="auto"/>
            <w:bottom w:val="none" w:sz="0" w:space="0" w:color="auto"/>
            <w:right w:val="none" w:sz="0" w:space="0" w:color="auto"/>
          </w:divBdr>
        </w:div>
      </w:divsChild>
    </w:div>
    <w:div w:id="538202760">
      <w:bodyDiv w:val="1"/>
      <w:marLeft w:val="0"/>
      <w:marRight w:val="0"/>
      <w:marTop w:val="0"/>
      <w:marBottom w:val="0"/>
      <w:divBdr>
        <w:top w:val="none" w:sz="0" w:space="0" w:color="auto"/>
        <w:left w:val="none" w:sz="0" w:space="0" w:color="auto"/>
        <w:bottom w:val="none" w:sz="0" w:space="0" w:color="auto"/>
        <w:right w:val="none" w:sz="0" w:space="0" w:color="auto"/>
      </w:divBdr>
    </w:div>
    <w:div w:id="552427858">
      <w:bodyDiv w:val="1"/>
      <w:marLeft w:val="0"/>
      <w:marRight w:val="0"/>
      <w:marTop w:val="0"/>
      <w:marBottom w:val="0"/>
      <w:divBdr>
        <w:top w:val="none" w:sz="0" w:space="0" w:color="auto"/>
        <w:left w:val="none" w:sz="0" w:space="0" w:color="auto"/>
        <w:bottom w:val="none" w:sz="0" w:space="0" w:color="auto"/>
        <w:right w:val="none" w:sz="0" w:space="0" w:color="auto"/>
      </w:divBdr>
    </w:div>
    <w:div w:id="570697089">
      <w:bodyDiv w:val="1"/>
      <w:marLeft w:val="0"/>
      <w:marRight w:val="0"/>
      <w:marTop w:val="0"/>
      <w:marBottom w:val="0"/>
      <w:divBdr>
        <w:top w:val="none" w:sz="0" w:space="0" w:color="auto"/>
        <w:left w:val="none" w:sz="0" w:space="0" w:color="auto"/>
        <w:bottom w:val="none" w:sz="0" w:space="0" w:color="auto"/>
        <w:right w:val="none" w:sz="0" w:space="0" w:color="auto"/>
      </w:divBdr>
    </w:div>
    <w:div w:id="813523022">
      <w:bodyDiv w:val="1"/>
      <w:marLeft w:val="0"/>
      <w:marRight w:val="0"/>
      <w:marTop w:val="0"/>
      <w:marBottom w:val="0"/>
      <w:divBdr>
        <w:top w:val="none" w:sz="0" w:space="0" w:color="auto"/>
        <w:left w:val="none" w:sz="0" w:space="0" w:color="auto"/>
        <w:bottom w:val="none" w:sz="0" w:space="0" w:color="auto"/>
        <w:right w:val="none" w:sz="0" w:space="0" w:color="auto"/>
      </w:divBdr>
    </w:div>
    <w:div w:id="900557229">
      <w:bodyDiv w:val="1"/>
      <w:marLeft w:val="0"/>
      <w:marRight w:val="0"/>
      <w:marTop w:val="0"/>
      <w:marBottom w:val="0"/>
      <w:divBdr>
        <w:top w:val="none" w:sz="0" w:space="0" w:color="auto"/>
        <w:left w:val="none" w:sz="0" w:space="0" w:color="auto"/>
        <w:bottom w:val="none" w:sz="0" w:space="0" w:color="auto"/>
        <w:right w:val="none" w:sz="0" w:space="0" w:color="auto"/>
      </w:divBdr>
    </w:div>
    <w:div w:id="1026834901">
      <w:bodyDiv w:val="1"/>
      <w:marLeft w:val="0"/>
      <w:marRight w:val="0"/>
      <w:marTop w:val="0"/>
      <w:marBottom w:val="0"/>
      <w:divBdr>
        <w:top w:val="none" w:sz="0" w:space="0" w:color="auto"/>
        <w:left w:val="none" w:sz="0" w:space="0" w:color="auto"/>
        <w:bottom w:val="none" w:sz="0" w:space="0" w:color="auto"/>
        <w:right w:val="none" w:sz="0" w:space="0" w:color="auto"/>
      </w:divBdr>
    </w:div>
    <w:div w:id="1150560590">
      <w:bodyDiv w:val="1"/>
      <w:marLeft w:val="0"/>
      <w:marRight w:val="0"/>
      <w:marTop w:val="0"/>
      <w:marBottom w:val="0"/>
      <w:divBdr>
        <w:top w:val="none" w:sz="0" w:space="0" w:color="auto"/>
        <w:left w:val="none" w:sz="0" w:space="0" w:color="auto"/>
        <w:bottom w:val="none" w:sz="0" w:space="0" w:color="auto"/>
        <w:right w:val="none" w:sz="0" w:space="0" w:color="auto"/>
      </w:divBdr>
    </w:div>
    <w:div w:id="1170483299">
      <w:bodyDiv w:val="1"/>
      <w:marLeft w:val="0"/>
      <w:marRight w:val="0"/>
      <w:marTop w:val="0"/>
      <w:marBottom w:val="0"/>
      <w:divBdr>
        <w:top w:val="none" w:sz="0" w:space="0" w:color="auto"/>
        <w:left w:val="none" w:sz="0" w:space="0" w:color="auto"/>
        <w:bottom w:val="none" w:sz="0" w:space="0" w:color="auto"/>
        <w:right w:val="none" w:sz="0" w:space="0" w:color="auto"/>
      </w:divBdr>
    </w:div>
    <w:div w:id="1174035608">
      <w:bodyDiv w:val="1"/>
      <w:marLeft w:val="0"/>
      <w:marRight w:val="0"/>
      <w:marTop w:val="0"/>
      <w:marBottom w:val="0"/>
      <w:divBdr>
        <w:top w:val="none" w:sz="0" w:space="0" w:color="auto"/>
        <w:left w:val="none" w:sz="0" w:space="0" w:color="auto"/>
        <w:bottom w:val="none" w:sz="0" w:space="0" w:color="auto"/>
        <w:right w:val="none" w:sz="0" w:space="0" w:color="auto"/>
      </w:divBdr>
    </w:div>
    <w:div w:id="1197696140">
      <w:bodyDiv w:val="1"/>
      <w:marLeft w:val="0"/>
      <w:marRight w:val="0"/>
      <w:marTop w:val="0"/>
      <w:marBottom w:val="0"/>
      <w:divBdr>
        <w:top w:val="none" w:sz="0" w:space="0" w:color="auto"/>
        <w:left w:val="none" w:sz="0" w:space="0" w:color="auto"/>
        <w:bottom w:val="none" w:sz="0" w:space="0" w:color="auto"/>
        <w:right w:val="none" w:sz="0" w:space="0" w:color="auto"/>
      </w:divBdr>
      <w:divsChild>
        <w:div w:id="1878808815">
          <w:marLeft w:val="675"/>
          <w:marRight w:val="0"/>
          <w:marTop w:val="0"/>
          <w:marBottom w:val="0"/>
          <w:divBdr>
            <w:top w:val="none" w:sz="0" w:space="0" w:color="auto"/>
            <w:left w:val="none" w:sz="0" w:space="0" w:color="auto"/>
            <w:bottom w:val="none" w:sz="0" w:space="0" w:color="auto"/>
            <w:right w:val="none" w:sz="0" w:space="0" w:color="auto"/>
          </w:divBdr>
        </w:div>
        <w:div w:id="1892958996">
          <w:marLeft w:val="675"/>
          <w:marRight w:val="0"/>
          <w:marTop w:val="0"/>
          <w:marBottom w:val="0"/>
          <w:divBdr>
            <w:top w:val="none" w:sz="0" w:space="0" w:color="auto"/>
            <w:left w:val="none" w:sz="0" w:space="0" w:color="auto"/>
            <w:bottom w:val="none" w:sz="0" w:space="0" w:color="auto"/>
            <w:right w:val="none" w:sz="0" w:space="0" w:color="auto"/>
          </w:divBdr>
        </w:div>
        <w:div w:id="1937789993">
          <w:marLeft w:val="675"/>
          <w:marRight w:val="0"/>
          <w:marTop w:val="0"/>
          <w:marBottom w:val="0"/>
          <w:divBdr>
            <w:top w:val="none" w:sz="0" w:space="0" w:color="auto"/>
            <w:left w:val="none" w:sz="0" w:space="0" w:color="auto"/>
            <w:bottom w:val="none" w:sz="0" w:space="0" w:color="auto"/>
            <w:right w:val="none" w:sz="0" w:space="0" w:color="auto"/>
          </w:divBdr>
        </w:div>
      </w:divsChild>
    </w:div>
    <w:div w:id="1338922163">
      <w:bodyDiv w:val="1"/>
      <w:marLeft w:val="0"/>
      <w:marRight w:val="0"/>
      <w:marTop w:val="0"/>
      <w:marBottom w:val="0"/>
      <w:divBdr>
        <w:top w:val="none" w:sz="0" w:space="0" w:color="auto"/>
        <w:left w:val="none" w:sz="0" w:space="0" w:color="auto"/>
        <w:bottom w:val="none" w:sz="0" w:space="0" w:color="auto"/>
        <w:right w:val="none" w:sz="0" w:space="0" w:color="auto"/>
      </w:divBdr>
    </w:div>
    <w:div w:id="1558584358">
      <w:bodyDiv w:val="1"/>
      <w:marLeft w:val="0"/>
      <w:marRight w:val="0"/>
      <w:marTop w:val="0"/>
      <w:marBottom w:val="0"/>
      <w:divBdr>
        <w:top w:val="none" w:sz="0" w:space="0" w:color="auto"/>
        <w:left w:val="none" w:sz="0" w:space="0" w:color="auto"/>
        <w:bottom w:val="none" w:sz="0" w:space="0" w:color="auto"/>
        <w:right w:val="none" w:sz="0" w:space="0" w:color="auto"/>
      </w:divBdr>
    </w:div>
    <w:div w:id="1658531569">
      <w:bodyDiv w:val="1"/>
      <w:marLeft w:val="0"/>
      <w:marRight w:val="0"/>
      <w:marTop w:val="0"/>
      <w:marBottom w:val="0"/>
      <w:divBdr>
        <w:top w:val="none" w:sz="0" w:space="0" w:color="auto"/>
        <w:left w:val="none" w:sz="0" w:space="0" w:color="auto"/>
        <w:bottom w:val="none" w:sz="0" w:space="0" w:color="auto"/>
        <w:right w:val="none" w:sz="0" w:space="0" w:color="auto"/>
      </w:divBdr>
    </w:div>
    <w:div w:id="1670987435">
      <w:bodyDiv w:val="1"/>
      <w:marLeft w:val="0"/>
      <w:marRight w:val="0"/>
      <w:marTop w:val="0"/>
      <w:marBottom w:val="0"/>
      <w:divBdr>
        <w:top w:val="none" w:sz="0" w:space="0" w:color="auto"/>
        <w:left w:val="none" w:sz="0" w:space="0" w:color="auto"/>
        <w:bottom w:val="none" w:sz="0" w:space="0" w:color="auto"/>
        <w:right w:val="none" w:sz="0" w:space="0" w:color="auto"/>
      </w:divBdr>
    </w:div>
    <w:div w:id="1767656935">
      <w:bodyDiv w:val="1"/>
      <w:marLeft w:val="0"/>
      <w:marRight w:val="0"/>
      <w:marTop w:val="0"/>
      <w:marBottom w:val="0"/>
      <w:divBdr>
        <w:top w:val="none" w:sz="0" w:space="0" w:color="auto"/>
        <w:left w:val="none" w:sz="0" w:space="0" w:color="auto"/>
        <w:bottom w:val="none" w:sz="0" w:space="0" w:color="auto"/>
        <w:right w:val="none" w:sz="0" w:space="0" w:color="auto"/>
      </w:divBdr>
    </w:div>
    <w:div w:id="1782408303">
      <w:bodyDiv w:val="1"/>
      <w:marLeft w:val="0"/>
      <w:marRight w:val="0"/>
      <w:marTop w:val="0"/>
      <w:marBottom w:val="0"/>
      <w:divBdr>
        <w:top w:val="none" w:sz="0" w:space="0" w:color="auto"/>
        <w:left w:val="none" w:sz="0" w:space="0" w:color="auto"/>
        <w:bottom w:val="none" w:sz="0" w:space="0" w:color="auto"/>
        <w:right w:val="none" w:sz="0" w:space="0" w:color="auto"/>
      </w:divBdr>
    </w:div>
    <w:div w:id="1796942867">
      <w:bodyDiv w:val="1"/>
      <w:marLeft w:val="0"/>
      <w:marRight w:val="0"/>
      <w:marTop w:val="0"/>
      <w:marBottom w:val="0"/>
      <w:divBdr>
        <w:top w:val="none" w:sz="0" w:space="0" w:color="auto"/>
        <w:left w:val="none" w:sz="0" w:space="0" w:color="auto"/>
        <w:bottom w:val="none" w:sz="0" w:space="0" w:color="auto"/>
        <w:right w:val="none" w:sz="0" w:space="0" w:color="auto"/>
      </w:divBdr>
      <w:divsChild>
        <w:div w:id="180821449">
          <w:marLeft w:val="0"/>
          <w:marRight w:val="0"/>
          <w:marTop w:val="120"/>
          <w:marBottom w:val="0"/>
          <w:divBdr>
            <w:top w:val="none" w:sz="0" w:space="0" w:color="auto"/>
            <w:left w:val="none" w:sz="0" w:space="0" w:color="auto"/>
            <w:bottom w:val="none" w:sz="0" w:space="0" w:color="auto"/>
            <w:right w:val="none" w:sz="0" w:space="0" w:color="auto"/>
          </w:divBdr>
        </w:div>
        <w:div w:id="1104307864">
          <w:marLeft w:val="0"/>
          <w:marRight w:val="0"/>
          <w:marTop w:val="60"/>
          <w:marBottom w:val="0"/>
          <w:divBdr>
            <w:top w:val="none" w:sz="0" w:space="0" w:color="auto"/>
            <w:left w:val="none" w:sz="0" w:space="0" w:color="auto"/>
            <w:bottom w:val="none" w:sz="0" w:space="0" w:color="auto"/>
            <w:right w:val="none" w:sz="0" w:space="0" w:color="auto"/>
          </w:divBdr>
        </w:div>
      </w:divsChild>
    </w:div>
    <w:div w:id="1867060159">
      <w:bodyDiv w:val="1"/>
      <w:marLeft w:val="0"/>
      <w:marRight w:val="0"/>
      <w:marTop w:val="0"/>
      <w:marBottom w:val="0"/>
      <w:divBdr>
        <w:top w:val="none" w:sz="0" w:space="0" w:color="auto"/>
        <w:left w:val="none" w:sz="0" w:space="0" w:color="auto"/>
        <w:bottom w:val="none" w:sz="0" w:space="0" w:color="auto"/>
        <w:right w:val="none" w:sz="0" w:space="0" w:color="auto"/>
      </w:divBdr>
    </w:div>
    <w:div w:id="1939872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app.jutastatevolve.co.za/y2010v2SApg530" TargetMode="External"/><Relationship Id="rId7" Type="http://schemas.openxmlformats.org/officeDocument/2006/relationships/hyperlink" Target="https://app.jutastatevolve.co.za/y2014v2SApg138" TargetMode="External"/><Relationship Id="rId2" Type="http://schemas.openxmlformats.org/officeDocument/2006/relationships/hyperlink" Target="https://app.jutastatevolve.co.za/y1965v4SApg670" TargetMode="External"/><Relationship Id="rId1" Type="http://schemas.openxmlformats.org/officeDocument/2006/relationships/hyperlink" Target="https://app.jutastatevolve.co.za/y1966v1SApg590" TargetMode="External"/><Relationship Id="rId6" Type="http://schemas.openxmlformats.org/officeDocument/2006/relationships/hyperlink" Target="https://app.jutastatevolve.co.za/y2013v6SApg621" TargetMode="External"/><Relationship Id="rId5" Type="http://schemas.openxmlformats.org/officeDocument/2006/relationships/hyperlink" Target="http://www.saflii.org/cgi-bin/LawCite?cit=2006%20%286%29%20SA%20395" TargetMode="External"/><Relationship Id="rId4" Type="http://schemas.openxmlformats.org/officeDocument/2006/relationships/hyperlink" Target="https://app.jutastatevolve.co.za/y2009v1SApg1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udgment%20Ac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4D9CA-3C44-4199-83FA-777097497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Acting</Template>
  <TotalTime>2</TotalTime>
  <Pages>11</Pages>
  <Words>2089</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JUDGMENT</vt:lpstr>
    </vt:vector>
  </TitlesOfParts>
  <Company>Group21</Company>
  <LinksUpToDate>false</LinksUpToDate>
  <CharactersWithSpaces>13970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subject/>
  <dc:creator>JR TYPING SERVICES</dc:creator>
  <cp:keywords>JOHAN MOORCROFT</cp:keywords>
  <dc:description/>
  <cp:lastModifiedBy>Tshwarelo Mabina</cp:lastModifiedBy>
  <cp:revision>2</cp:revision>
  <cp:lastPrinted>2023-10-21T09:27:00Z</cp:lastPrinted>
  <dcterms:created xsi:type="dcterms:W3CDTF">2023-10-24T07:57:00Z</dcterms:created>
  <dcterms:modified xsi:type="dcterms:W3CDTF">2023-10-24T07:57:00Z</dcterms:modified>
</cp:coreProperties>
</file>