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3374" w14:textId="7F8DD078" w:rsidR="00C61BA6" w:rsidRPr="00C61BA6" w:rsidRDefault="00C61BA6" w:rsidP="00C61BA6">
      <w:r>
        <w:rPr>
          <w:rFonts w:ascii="Arial" w:hAnsi="Arial" w:cs="Arial"/>
          <w:color w:val="FF0000"/>
        </w:rPr>
        <w:t>Editorial note: Certain information has been redacted from this judgment in compliance with the law.</w:t>
      </w:r>
      <w:bookmarkStart w:id="0" w:name="_GoBack"/>
      <w:bookmarkEnd w:id="0"/>
    </w:p>
    <w:p w14:paraId="4152CBB9" w14:textId="7087B748" w:rsidR="00F13BE8" w:rsidRDefault="00F13BE8" w:rsidP="009B0061">
      <w:pPr>
        <w:spacing w:line="360" w:lineRule="auto"/>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5B25A30F" wp14:editId="4DED6126">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38C12AF3" w14:textId="240079F1" w:rsidR="0035762F" w:rsidRDefault="00C4136D" w:rsidP="009B0061">
      <w:pPr>
        <w:spacing w:line="360" w:lineRule="auto"/>
        <w:jc w:val="center"/>
        <w:rPr>
          <w:rFonts w:ascii="Arial" w:hAnsi="Arial" w:cs="Arial"/>
          <w:b/>
          <w:bCs/>
          <w:sz w:val="24"/>
          <w:szCs w:val="24"/>
        </w:rPr>
      </w:pPr>
      <w:r>
        <w:rPr>
          <w:rFonts w:ascii="Arial" w:hAnsi="Arial" w:cs="Arial"/>
          <w:b/>
          <w:bCs/>
          <w:sz w:val="24"/>
          <w:szCs w:val="24"/>
        </w:rPr>
        <w:t xml:space="preserve">IN THE </w:t>
      </w:r>
      <w:r w:rsidR="008D1340">
        <w:rPr>
          <w:rFonts w:ascii="Arial" w:hAnsi="Arial" w:cs="Arial"/>
          <w:b/>
          <w:bCs/>
          <w:sz w:val="24"/>
          <w:szCs w:val="24"/>
        </w:rPr>
        <w:t>HIGH</w:t>
      </w:r>
      <w:r w:rsidR="0035762F">
        <w:rPr>
          <w:rFonts w:ascii="Arial" w:hAnsi="Arial" w:cs="Arial"/>
          <w:b/>
          <w:bCs/>
          <w:sz w:val="24"/>
          <w:szCs w:val="24"/>
        </w:rPr>
        <w:t xml:space="preserve"> </w:t>
      </w:r>
      <w:r>
        <w:rPr>
          <w:rFonts w:ascii="Arial" w:hAnsi="Arial" w:cs="Arial"/>
          <w:b/>
          <w:bCs/>
          <w:sz w:val="24"/>
          <w:szCs w:val="24"/>
        </w:rPr>
        <w:t xml:space="preserve">COURT </w:t>
      </w:r>
      <w:r w:rsidR="009B0061">
        <w:rPr>
          <w:rFonts w:ascii="Arial" w:hAnsi="Arial" w:cs="Arial"/>
          <w:b/>
          <w:bCs/>
          <w:sz w:val="24"/>
          <w:szCs w:val="24"/>
        </w:rPr>
        <w:t>OF SOUTH AFRICA</w:t>
      </w:r>
    </w:p>
    <w:p w14:paraId="7E49AE4B" w14:textId="5CBF7777" w:rsidR="009B0061" w:rsidRDefault="009B0061" w:rsidP="009B0061">
      <w:pPr>
        <w:spacing w:line="360" w:lineRule="auto"/>
        <w:jc w:val="center"/>
        <w:rPr>
          <w:rFonts w:ascii="Arial" w:hAnsi="Arial" w:cs="Arial"/>
          <w:b/>
          <w:bCs/>
          <w:sz w:val="24"/>
          <w:szCs w:val="24"/>
        </w:rPr>
      </w:pPr>
      <w:r>
        <w:rPr>
          <w:rFonts w:ascii="Arial" w:hAnsi="Arial" w:cs="Arial"/>
          <w:b/>
          <w:bCs/>
          <w:sz w:val="24"/>
          <w:szCs w:val="24"/>
        </w:rPr>
        <w:t>GA</w:t>
      </w:r>
      <w:r w:rsidR="00573AAF">
        <w:rPr>
          <w:rFonts w:ascii="Arial" w:hAnsi="Arial" w:cs="Arial"/>
          <w:b/>
          <w:bCs/>
          <w:sz w:val="24"/>
          <w:szCs w:val="24"/>
        </w:rPr>
        <w:t>U</w:t>
      </w:r>
      <w:r>
        <w:rPr>
          <w:rFonts w:ascii="Arial" w:hAnsi="Arial" w:cs="Arial"/>
          <w:b/>
          <w:bCs/>
          <w:sz w:val="24"/>
          <w:szCs w:val="24"/>
        </w:rPr>
        <w:t>TENG DIVISON JOHANNESBURG</w:t>
      </w:r>
    </w:p>
    <w:p w14:paraId="195038E5" w14:textId="35A35FAA" w:rsidR="00C4136D" w:rsidRDefault="00C4136D" w:rsidP="00C4136D">
      <w:pPr>
        <w:spacing w:line="360" w:lineRule="auto"/>
        <w:jc w:val="center"/>
        <w:rPr>
          <w:rFonts w:ascii="Arial" w:hAnsi="Arial" w:cs="Arial"/>
          <w:b/>
          <w:bCs/>
          <w:sz w:val="24"/>
          <w:szCs w:val="24"/>
        </w:rPr>
      </w:pPr>
    </w:p>
    <w:p w14:paraId="5799D89E" w14:textId="399DDBA0" w:rsidR="00C4136D" w:rsidRDefault="00C4136D" w:rsidP="00C4136D">
      <w:pPr>
        <w:spacing w:line="360" w:lineRule="auto"/>
        <w:jc w:val="right"/>
        <w:rPr>
          <w:rFonts w:ascii="Arial" w:hAnsi="Arial" w:cs="Arial"/>
          <w:b/>
          <w:bCs/>
          <w:sz w:val="24"/>
          <w:szCs w:val="24"/>
        </w:rPr>
      </w:pPr>
      <w:r>
        <w:rPr>
          <w:rFonts w:ascii="Arial" w:hAnsi="Arial" w:cs="Arial"/>
          <w:b/>
          <w:bCs/>
          <w:sz w:val="24"/>
          <w:szCs w:val="24"/>
        </w:rPr>
        <w:t xml:space="preserve">CASE NO: </w:t>
      </w:r>
      <w:r w:rsidR="00F13BE8">
        <w:rPr>
          <w:rFonts w:ascii="Arial" w:hAnsi="Arial" w:cs="Arial"/>
          <w:b/>
          <w:bCs/>
          <w:sz w:val="24"/>
          <w:szCs w:val="24"/>
        </w:rPr>
        <w:t>17370/</w:t>
      </w:r>
      <w:r w:rsidR="009B0061">
        <w:rPr>
          <w:rFonts w:ascii="Arial" w:hAnsi="Arial" w:cs="Arial"/>
          <w:b/>
          <w:bCs/>
          <w:sz w:val="24"/>
          <w:szCs w:val="24"/>
        </w:rPr>
        <w:t>2022</w:t>
      </w:r>
    </w:p>
    <w:p w14:paraId="18A49083" w14:textId="230AC759" w:rsidR="00F13BE8" w:rsidRDefault="00F13BE8" w:rsidP="00C4136D">
      <w:pPr>
        <w:spacing w:line="360" w:lineRule="auto"/>
        <w:jc w:val="right"/>
        <w:rPr>
          <w:rFonts w:ascii="Arial" w:hAnsi="Arial" w:cs="Arial"/>
          <w:b/>
          <w:bCs/>
          <w:sz w:val="24"/>
          <w:szCs w:val="24"/>
        </w:rPr>
      </w:pPr>
      <w:r>
        <w:rPr>
          <w:rFonts w:ascii="Arial" w:hAnsi="Arial" w:cs="Arial"/>
          <w:b/>
          <w:bCs/>
          <w:sz w:val="24"/>
          <w:szCs w:val="24"/>
        </w:rPr>
        <w:t>Heard on: 22/08/2023</w:t>
      </w:r>
    </w:p>
    <w:p w14:paraId="4709E4D0" w14:textId="0F1D43CA" w:rsidR="00F13BE8" w:rsidRDefault="00FA35D1" w:rsidP="00C4136D">
      <w:pPr>
        <w:spacing w:line="360" w:lineRule="auto"/>
        <w:jc w:val="right"/>
        <w:rPr>
          <w:rFonts w:ascii="Arial" w:hAnsi="Arial" w:cs="Arial"/>
          <w:b/>
          <w:bCs/>
          <w:sz w:val="24"/>
          <w:szCs w:val="24"/>
        </w:rPr>
      </w:pPr>
      <w:r w:rsidRPr="007E6966">
        <w:rPr>
          <w:rFonts w:ascii="Arial" w:hAnsi="Arial" w:cs="Arial"/>
          <w:b/>
          <w:bCs/>
          <w:noProof/>
          <w:sz w:val="24"/>
          <w:szCs w:val="24"/>
          <w:lang w:eastAsia="en-ZA"/>
        </w:rPr>
        <mc:AlternateContent>
          <mc:Choice Requires="wps">
            <w:drawing>
              <wp:anchor distT="0" distB="0" distL="114300" distR="114300" simplePos="0" relativeHeight="251659264" behindDoc="0" locked="0" layoutInCell="1" allowOverlap="1" wp14:anchorId="64E9AEE8" wp14:editId="109BD17C">
                <wp:simplePos x="0" y="0"/>
                <wp:positionH relativeFrom="column">
                  <wp:posOffset>-254000</wp:posOffset>
                </wp:positionH>
                <wp:positionV relativeFrom="paragraph">
                  <wp:posOffset>299720</wp:posOffset>
                </wp:positionV>
                <wp:extent cx="4311650" cy="18732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311650" cy="1873250"/>
                        </a:xfrm>
                        <a:prstGeom prst="rect">
                          <a:avLst/>
                        </a:prstGeom>
                        <a:solidFill>
                          <a:schemeClr val="lt1"/>
                        </a:solidFill>
                        <a:ln w="6350">
                          <a:solidFill>
                            <a:prstClr val="black"/>
                          </a:solidFill>
                        </a:ln>
                      </wps:spPr>
                      <wps:txbx>
                        <w:txbxContent>
                          <w:p w14:paraId="136C3C87" w14:textId="77777777" w:rsidR="00F13BE8" w:rsidRDefault="00F13BE8" w:rsidP="00F13BE8">
                            <w:pPr>
                              <w:pStyle w:val="ListParagraph"/>
                              <w:numPr>
                                <w:ilvl w:val="0"/>
                                <w:numId w:val="6"/>
                              </w:numPr>
                            </w:pPr>
                            <w:r>
                              <w:t>REPORTABLE: YES / NO</w:t>
                            </w:r>
                          </w:p>
                          <w:p w14:paraId="3A5ACC34" w14:textId="77777777" w:rsidR="00F13BE8" w:rsidRDefault="00F13BE8" w:rsidP="00F13BE8">
                            <w:pPr>
                              <w:pStyle w:val="ListParagraph"/>
                              <w:numPr>
                                <w:ilvl w:val="0"/>
                                <w:numId w:val="6"/>
                              </w:numPr>
                            </w:pPr>
                            <w:r>
                              <w:t xml:space="preserve">OF INTEREST TO OTHER JUDGES: YES / NO </w:t>
                            </w:r>
                          </w:p>
                          <w:p w14:paraId="4858B378" w14:textId="77777777" w:rsidR="00F13BE8" w:rsidRDefault="00F13BE8" w:rsidP="00F13BE8">
                            <w:pPr>
                              <w:pStyle w:val="ListParagraph"/>
                              <w:numPr>
                                <w:ilvl w:val="0"/>
                                <w:numId w:val="6"/>
                              </w:numPr>
                            </w:pPr>
                            <w:r>
                              <w:t xml:space="preserve">REVISED. </w:t>
                            </w:r>
                          </w:p>
                          <w:p w14:paraId="0DE9CE80" w14:textId="77777777" w:rsidR="00F13BE8" w:rsidRDefault="00F13BE8" w:rsidP="00F13BE8"/>
                          <w:p w14:paraId="5DA3B80D" w14:textId="77777777" w:rsidR="00F13BE8" w:rsidRDefault="00F13BE8" w:rsidP="00F13BE8">
                            <w:pPr>
                              <w:ind w:left="2880"/>
                            </w:pPr>
                            <w:r>
                              <w:t xml:space="preserve">        ________________</w:t>
                            </w:r>
                          </w:p>
                          <w:p w14:paraId="6CD8A35C" w14:textId="2ECE02A7" w:rsidR="00F13BE8" w:rsidRDefault="00F13BE8" w:rsidP="00FA35D1">
                            <w:proofErr w:type="gramStart"/>
                            <w:r>
                              <w:t xml:space="preserve">DATE </w:t>
                            </w:r>
                            <w:r w:rsidR="00FA35D1">
                              <w:t>:</w:t>
                            </w:r>
                            <w:proofErr w:type="gramEnd"/>
                            <w:r w:rsidR="00FA35D1">
                              <w:t xml:space="preserve"> 24 October 2023 </w:t>
                            </w:r>
                            <w:r w:rsidR="00FA35D1">
                              <w:tab/>
                              <w:t xml:space="preserve">        </w:t>
                            </w: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4E9AEE8" id="_x0000_t202" coordsize="21600,21600" o:spt="202" path="m,l,21600r21600,l21600,xe">
                <v:stroke joinstyle="miter"/>
                <v:path gradientshapeok="t" o:connecttype="rect"/>
              </v:shapetype>
              <v:shape id="Text Box 4" o:spid="_x0000_s1026" type="#_x0000_t202" style="position:absolute;left:0;text-align:left;margin-left:-20pt;margin-top:23.6pt;width:339.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jaSgIAAKIEAAAOAAAAZHJzL2Uyb0RvYy54bWysVMtu2zAQvBfoPxC8N7Js51EjcuAmSFEg&#10;SAI4Rc40RdlCKS5L0pbSr++Qkh036anohdoXh7uzu7q86hrNdsr5mkzB85MRZ8pIKmuzLvj3p9tP&#10;F5z5IEwpNBlV8Bfl+dX844fL1s7UmDakS+UYQIyftbbgmxDsLMu83KhG+BOyysBZkWtEgOrWWelE&#10;C/RGZ+PR6CxryZXWkVTew3rTO/k84VeVkuGhqrwKTBccuYV0unSu4pnNL8Vs7YTd1HJIQ/xDFo2o&#10;DR49QN2IINjW1e+gmlo68lSFE0lNRlVVS5VqQDX56E01y42wKtUCcrw90OT/H6y83z06VpcFn3Jm&#10;RIMWPakusC/UsWlkp7V+hqClRVjoYEaX93YPYyy6q1wTvyiHwQ+eXw7cRjAJ43SS52encEn48ovz&#10;yRgK8LPX69b58FVRw6JQcIfmJU7F7s6HPnQfEl/zpOvyttY6KXFg1LV2bCfQah1SkgD/I0ob1hb8&#10;bIKn3yFE6MP9lRbyx5DeEQLwtEHOkZS++CiFbtUNTK2ofAFRjvpB81be1sC9Ez48CofJAgHYlvCA&#10;o9KEZGiQONuQ+/U3e4xHw+HlrMWkFtz/3AqnONPfDEbhcz6dxtFOyvT0fAzFHXtWxx6zba4JDOXY&#10;SyuTGOOD3ouVo+YZS7WIr8IljMTbBQ978Tr0+4OllGqxSEEYZivCnVlaGaEjuZHPp+5ZODv0M2AU&#10;7mk/02L2pq19bLxpaLENVNWp55HgntWBdyxCmpphaeOmHesp6vXXMv8NAAD//wMAUEsDBBQABgAI&#10;AAAAIQCWd2VT3gAAAAoBAAAPAAAAZHJzL2Rvd25yZXYueG1sTI/BTsMwEETvSPyDtUjcWoc0KmmI&#10;UwEqXDi1IM7beGtbxHZku2n4e8wJjrMzmn3Tbmc7sIlCNN4JuFsWwMj1XhqnBHy8vyxqYDGhkzh4&#10;RwK+KcK2u75qsZH+4vY0HZJiucTFBgXolMaG89hrshiXfiSXvZMPFlOWQXEZ8JLL7cDLolhzi8bl&#10;DxpHetbUfx3OVsDuSW1UX2PQu1oaM82fpzf1KsTtzfz4ACzRnP7C8Iuf0aHLTEd/djKyQcCiKvKW&#10;JKC6L4HlwHq1yYejgFVVlsC7lv+f0P0AAAD//wMAUEsBAi0AFAAGAAgAAAAhALaDOJL+AAAA4QEA&#10;ABMAAAAAAAAAAAAAAAAAAAAAAFtDb250ZW50X1R5cGVzXS54bWxQSwECLQAUAAYACAAAACEAOP0h&#10;/9YAAACUAQAACwAAAAAAAAAAAAAAAAAvAQAAX3JlbHMvLnJlbHNQSwECLQAUAAYACAAAACEAxh44&#10;2koCAACiBAAADgAAAAAAAAAAAAAAAAAuAgAAZHJzL2Uyb0RvYy54bWxQSwECLQAUAAYACAAAACEA&#10;lndlU94AAAAKAQAADwAAAAAAAAAAAAAAAACkBAAAZHJzL2Rvd25yZXYueG1sUEsFBgAAAAAEAAQA&#10;8wAAAK8FAAAAAA==&#10;" fillcolor="white [3201]" strokeweight=".5pt">
                <v:textbox>
                  <w:txbxContent>
                    <w:p w14:paraId="136C3C87" w14:textId="77777777" w:rsidR="00F13BE8" w:rsidRDefault="00F13BE8" w:rsidP="00F13BE8">
                      <w:pPr>
                        <w:pStyle w:val="ListParagraph"/>
                        <w:numPr>
                          <w:ilvl w:val="0"/>
                          <w:numId w:val="6"/>
                        </w:numPr>
                      </w:pPr>
                      <w:r>
                        <w:t>REPORTABLE: YES / NO</w:t>
                      </w:r>
                    </w:p>
                    <w:p w14:paraId="3A5ACC34" w14:textId="77777777" w:rsidR="00F13BE8" w:rsidRDefault="00F13BE8" w:rsidP="00F13BE8">
                      <w:pPr>
                        <w:pStyle w:val="ListParagraph"/>
                        <w:numPr>
                          <w:ilvl w:val="0"/>
                          <w:numId w:val="6"/>
                        </w:numPr>
                      </w:pPr>
                      <w:r>
                        <w:t xml:space="preserve">OF INTEREST TO OTHER JUDGES: YES / NO </w:t>
                      </w:r>
                    </w:p>
                    <w:p w14:paraId="4858B378" w14:textId="77777777" w:rsidR="00F13BE8" w:rsidRDefault="00F13BE8" w:rsidP="00F13BE8">
                      <w:pPr>
                        <w:pStyle w:val="ListParagraph"/>
                        <w:numPr>
                          <w:ilvl w:val="0"/>
                          <w:numId w:val="6"/>
                        </w:numPr>
                      </w:pPr>
                      <w:r>
                        <w:t xml:space="preserve">REVISED. </w:t>
                      </w:r>
                    </w:p>
                    <w:p w14:paraId="0DE9CE80" w14:textId="77777777" w:rsidR="00F13BE8" w:rsidRDefault="00F13BE8" w:rsidP="00F13BE8"/>
                    <w:p w14:paraId="5DA3B80D" w14:textId="77777777" w:rsidR="00F13BE8" w:rsidRDefault="00F13BE8" w:rsidP="00F13BE8">
                      <w:pPr>
                        <w:ind w:left="2880"/>
                      </w:pPr>
                      <w:r>
                        <w:t xml:space="preserve">        ________________</w:t>
                      </w:r>
                    </w:p>
                    <w:p w14:paraId="6CD8A35C" w14:textId="2ECE02A7" w:rsidR="00F13BE8" w:rsidRDefault="00F13BE8" w:rsidP="00FA35D1">
                      <w:proofErr w:type="gramStart"/>
                      <w:r>
                        <w:t xml:space="preserve">DATE </w:t>
                      </w:r>
                      <w:r w:rsidR="00FA35D1">
                        <w:t>:</w:t>
                      </w:r>
                      <w:proofErr w:type="gramEnd"/>
                      <w:r w:rsidR="00FA35D1">
                        <w:t xml:space="preserve"> 24 October 2023 </w:t>
                      </w:r>
                      <w:r w:rsidR="00FA35D1">
                        <w:tab/>
                        <w:t xml:space="preserve">        </w:t>
                      </w:r>
                      <w:r>
                        <w:t>SIGNATURE</w:t>
                      </w:r>
                    </w:p>
                  </w:txbxContent>
                </v:textbox>
              </v:shape>
            </w:pict>
          </mc:Fallback>
        </mc:AlternateContent>
      </w:r>
      <w:r w:rsidR="00F13BE8">
        <w:rPr>
          <w:rFonts w:ascii="Arial" w:hAnsi="Arial" w:cs="Arial"/>
          <w:b/>
          <w:bCs/>
          <w:sz w:val="24"/>
          <w:szCs w:val="24"/>
        </w:rPr>
        <w:t>Judgment:</w:t>
      </w:r>
      <w:r w:rsidR="00573AAF">
        <w:rPr>
          <w:rFonts w:ascii="Arial" w:hAnsi="Arial" w:cs="Arial"/>
          <w:b/>
          <w:bCs/>
          <w:sz w:val="24"/>
          <w:szCs w:val="24"/>
        </w:rPr>
        <w:t xml:space="preserve"> 24/10/2023    </w:t>
      </w:r>
      <w:r w:rsidR="00F13BE8">
        <w:rPr>
          <w:rFonts w:ascii="Arial" w:hAnsi="Arial" w:cs="Arial"/>
          <w:b/>
          <w:bCs/>
          <w:sz w:val="24"/>
          <w:szCs w:val="24"/>
        </w:rPr>
        <w:t xml:space="preserve">   </w:t>
      </w:r>
    </w:p>
    <w:p w14:paraId="63EE9D89" w14:textId="3C2C6B4D" w:rsidR="00C4136D" w:rsidRDefault="00C4136D" w:rsidP="00F13BE8">
      <w:pPr>
        <w:spacing w:line="360" w:lineRule="auto"/>
        <w:rPr>
          <w:rFonts w:ascii="Arial" w:hAnsi="Arial" w:cs="Arial"/>
          <w:b/>
          <w:bCs/>
          <w:sz w:val="24"/>
          <w:szCs w:val="24"/>
        </w:rPr>
      </w:pPr>
    </w:p>
    <w:p w14:paraId="74AFAA16" w14:textId="77777777" w:rsidR="00F13BE8" w:rsidRDefault="00F13BE8" w:rsidP="00C4136D">
      <w:pPr>
        <w:spacing w:line="360" w:lineRule="auto"/>
        <w:jc w:val="right"/>
        <w:rPr>
          <w:rFonts w:ascii="Arial" w:hAnsi="Arial" w:cs="Arial"/>
          <w:b/>
          <w:bCs/>
          <w:sz w:val="24"/>
          <w:szCs w:val="24"/>
        </w:rPr>
      </w:pPr>
    </w:p>
    <w:p w14:paraId="7C5DCC72" w14:textId="77777777" w:rsidR="00F13BE8" w:rsidRDefault="00F13BE8" w:rsidP="00C4136D">
      <w:pPr>
        <w:spacing w:line="360" w:lineRule="auto"/>
        <w:jc w:val="right"/>
        <w:rPr>
          <w:rFonts w:ascii="Arial" w:hAnsi="Arial" w:cs="Arial"/>
          <w:b/>
          <w:bCs/>
          <w:sz w:val="24"/>
          <w:szCs w:val="24"/>
        </w:rPr>
      </w:pPr>
    </w:p>
    <w:p w14:paraId="067CA00C" w14:textId="77777777" w:rsidR="00F13BE8" w:rsidRDefault="00F13BE8" w:rsidP="00C4136D">
      <w:pPr>
        <w:spacing w:line="360" w:lineRule="auto"/>
        <w:jc w:val="right"/>
        <w:rPr>
          <w:rFonts w:ascii="Arial" w:hAnsi="Arial" w:cs="Arial"/>
          <w:b/>
          <w:bCs/>
          <w:sz w:val="24"/>
          <w:szCs w:val="24"/>
        </w:rPr>
      </w:pPr>
    </w:p>
    <w:p w14:paraId="1041C68C" w14:textId="77777777" w:rsidR="00F13BE8" w:rsidRDefault="00F13BE8" w:rsidP="00C4136D">
      <w:pPr>
        <w:spacing w:line="360" w:lineRule="auto"/>
        <w:jc w:val="right"/>
        <w:rPr>
          <w:rFonts w:ascii="Arial" w:hAnsi="Arial" w:cs="Arial"/>
          <w:b/>
          <w:bCs/>
          <w:sz w:val="24"/>
          <w:szCs w:val="24"/>
        </w:rPr>
      </w:pPr>
    </w:p>
    <w:p w14:paraId="038C1A74" w14:textId="77777777" w:rsidR="00F13BE8" w:rsidRDefault="00F13BE8" w:rsidP="00C4136D">
      <w:pPr>
        <w:spacing w:line="360" w:lineRule="auto"/>
        <w:jc w:val="right"/>
        <w:rPr>
          <w:rFonts w:ascii="Arial" w:hAnsi="Arial" w:cs="Arial"/>
          <w:b/>
          <w:bCs/>
          <w:sz w:val="24"/>
          <w:szCs w:val="24"/>
        </w:rPr>
      </w:pPr>
    </w:p>
    <w:p w14:paraId="7DA071A8" w14:textId="2ECABA68" w:rsidR="0035762F" w:rsidRDefault="00C4136D" w:rsidP="00D01430">
      <w:pPr>
        <w:spacing w:line="360" w:lineRule="auto"/>
        <w:rPr>
          <w:rFonts w:ascii="Arial" w:hAnsi="Arial" w:cs="Arial"/>
          <w:b/>
          <w:bCs/>
          <w:sz w:val="24"/>
          <w:szCs w:val="24"/>
        </w:rPr>
      </w:pPr>
      <w:r>
        <w:rPr>
          <w:rFonts w:ascii="Arial" w:hAnsi="Arial" w:cs="Arial"/>
          <w:b/>
          <w:bCs/>
          <w:sz w:val="24"/>
          <w:szCs w:val="24"/>
        </w:rPr>
        <w:t>IN THE MATTER BETWEEN:</w:t>
      </w:r>
    </w:p>
    <w:p w14:paraId="0AB1ACD1" w14:textId="74181FA6" w:rsidR="00F13BE8" w:rsidRDefault="00F13BE8" w:rsidP="00D01430">
      <w:pPr>
        <w:spacing w:line="360" w:lineRule="auto"/>
        <w:rPr>
          <w:rFonts w:ascii="Arial" w:hAnsi="Arial" w:cs="Arial"/>
          <w:b/>
          <w:bCs/>
          <w:sz w:val="24"/>
          <w:szCs w:val="24"/>
        </w:rPr>
      </w:pPr>
      <w:r>
        <w:rPr>
          <w:rFonts w:ascii="Arial" w:hAnsi="Arial" w:cs="Arial"/>
          <w:b/>
          <w:bCs/>
          <w:sz w:val="24"/>
          <w:szCs w:val="24"/>
        </w:rPr>
        <w:t>KES</w:t>
      </w:r>
      <w:r w:rsidR="00573AAF">
        <w:rPr>
          <w:rFonts w:ascii="Arial" w:hAnsi="Arial" w:cs="Arial"/>
          <w:b/>
          <w:bCs/>
          <w:sz w:val="24"/>
          <w:szCs w:val="24"/>
        </w:rPr>
        <w:t>H</w:t>
      </w:r>
      <w:r>
        <w:rPr>
          <w:rFonts w:ascii="Arial" w:hAnsi="Arial" w:cs="Arial"/>
          <w:b/>
          <w:bCs/>
          <w:sz w:val="24"/>
          <w:szCs w:val="24"/>
        </w:rPr>
        <w:t>IA MOHAMED-PADAYACHEE</w:t>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Pr>
          <w:rFonts w:ascii="Arial" w:hAnsi="Arial" w:cs="Arial"/>
          <w:b/>
          <w:bCs/>
          <w:sz w:val="24"/>
          <w:szCs w:val="24"/>
        </w:rPr>
        <w:t xml:space="preserve">FIRST </w:t>
      </w:r>
      <w:r w:rsidR="00C4136D">
        <w:rPr>
          <w:rFonts w:ascii="Arial" w:hAnsi="Arial" w:cs="Arial"/>
          <w:b/>
          <w:bCs/>
          <w:sz w:val="24"/>
          <w:szCs w:val="24"/>
        </w:rPr>
        <w:t>APP</w:t>
      </w:r>
      <w:r w:rsidR="009B0061">
        <w:rPr>
          <w:rFonts w:ascii="Arial" w:hAnsi="Arial" w:cs="Arial"/>
          <w:b/>
          <w:bCs/>
          <w:sz w:val="24"/>
          <w:szCs w:val="24"/>
        </w:rPr>
        <w:t>LICANT</w:t>
      </w:r>
    </w:p>
    <w:p w14:paraId="6A56A6F0" w14:textId="03835ED4" w:rsidR="00F13BE8" w:rsidRDefault="00F13BE8" w:rsidP="00D01430">
      <w:pPr>
        <w:spacing w:line="360" w:lineRule="auto"/>
        <w:rPr>
          <w:rFonts w:ascii="Arial" w:hAnsi="Arial" w:cs="Arial"/>
          <w:b/>
          <w:bCs/>
          <w:sz w:val="24"/>
          <w:szCs w:val="24"/>
        </w:rPr>
      </w:pPr>
      <w:r>
        <w:rPr>
          <w:rFonts w:ascii="Arial" w:hAnsi="Arial" w:cs="Arial"/>
          <w:b/>
          <w:bCs/>
          <w:sz w:val="24"/>
          <w:szCs w:val="24"/>
        </w:rPr>
        <w:t>CLINT RAYMOND PADAYACHEE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SECOND APPLICANT</w:t>
      </w:r>
    </w:p>
    <w:p w14:paraId="6E4D0C8B" w14:textId="56F61609" w:rsidR="0035762F" w:rsidRDefault="00C4136D" w:rsidP="00D01430">
      <w:pPr>
        <w:spacing w:line="360" w:lineRule="auto"/>
        <w:rPr>
          <w:rFonts w:ascii="Arial" w:hAnsi="Arial" w:cs="Arial"/>
          <w:b/>
          <w:bCs/>
          <w:sz w:val="24"/>
          <w:szCs w:val="24"/>
        </w:rPr>
      </w:pPr>
      <w:r>
        <w:rPr>
          <w:rFonts w:ascii="Arial" w:hAnsi="Arial" w:cs="Arial"/>
          <w:b/>
          <w:bCs/>
          <w:sz w:val="24"/>
          <w:szCs w:val="24"/>
        </w:rPr>
        <w:t xml:space="preserve">AND </w:t>
      </w:r>
    </w:p>
    <w:p w14:paraId="58C89305" w14:textId="6158E5DE" w:rsidR="0035762F" w:rsidRDefault="00F13BE8" w:rsidP="00D01430">
      <w:pPr>
        <w:spacing w:line="360" w:lineRule="auto"/>
        <w:rPr>
          <w:rFonts w:ascii="Arial" w:hAnsi="Arial" w:cs="Arial"/>
          <w:b/>
          <w:bCs/>
          <w:sz w:val="24"/>
          <w:szCs w:val="24"/>
        </w:rPr>
      </w:pPr>
      <w:r>
        <w:rPr>
          <w:rFonts w:ascii="Arial" w:hAnsi="Arial" w:cs="Arial"/>
          <w:b/>
          <w:bCs/>
          <w:sz w:val="24"/>
          <w:szCs w:val="24"/>
        </w:rPr>
        <w:t>RASHIDA MOHAMED</w:t>
      </w:r>
      <w:r>
        <w:rPr>
          <w:rFonts w:ascii="Arial" w:hAnsi="Arial" w:cs="Arial"/>
          <w:b/>
          <w:bCs/>
          <w:sz w:val="24"/>
          <w:szCs w:val="24"/>
        </w:rPr>
        <w:tab/>
      </w:r>
      <w:r>
        <w:rPr>
          <w:rFonts w:ascii="Arial" w:hAnsi="Arial" w:cs="Arial"/>
          <w:b/>
          <w:bCs/>
          <w:sz w:val="24"/>
          <w:szCs w:val="24"/>
        </w:rPr>
        <w:tab/>
      </w:r>
      <w:r w:rsidR="009B0061">
        <w:rPr>
          <w:rFonts w:ascii="Arial" w:hAnsi="Arial" w:cs="Arial"/>
          <w:b/>
          <w:bCs/>
          <w:sz w:val="24"/>
          <w:szCs w:val="24"/>
        </w:rPr>
        <w:t xml:space="preserve"> </w:t>
      </w:r>
      <w:r w:rsidR="0035762F">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9B0061">
        <w:rPr>
          <w:rFonts w:ascii="Arial" w:hAnsi="Arial" w:cs="Arial"/>
          <w:b/>
          <w:bCs/>
          <w:sz w:val="24"/>
          <w:szCs w:val="24"/>
        </w:rPr>
        <w:t xml:space="preserve">FIRST </w:t>
      </w:r>
      <w:r w:rsidR="00C4136D">
        <w:rPr>
          <w:rFonts w:ascii="Arial" w:hAnsi="Arial" w:cs="Arial"/>
          <w:b/>
          <w:bCs/>
          <w:sz w:val="24"/>
          <w:szCs w:val="24"/>
        </w:rPr>
        <w:t>RESPONDENT</w:t>
      </w:r>
    </w:p>
    <w:p w14:paraId="30B125B4" w14:textId="39B82B57" w:rsidR="009B0061" w:rsidRDefault="00F13BE8" w:rsidP="00D01430">
      <w:pPr>
        <w:spacing w:line="360" w:lineRule="auto"/>
        <w:rPr>
          <w:rFonts w:ascii="Arial" w:hAnsi="Arial" w:cs="Arial"/>
          <w:b/>
          <w:bCs/>
          <w:sz w:val="24"/>
          <w:szCs w:val="24"/>
        </w:rPr>
      </w:pPr>
      <w:r>
        <w:rPr>
          <w:rFonts w:ascii="Arial" w:hAnsi="Arial" w:cs="Arial"/>
          <w:b/>
          <w:bCs/>
          <w:sz w:val="24"/>
          <w:szCs w:val="24"/>
        </w:rPr>
        <w:t>REGISTRAR OF DEEDS</w:t>
      </w:r>
      <w:r>
        <w:rPr>
          <w:rFonts w:ascii="Arial" w:hAnsi="Arial" w:cs="Arial"/>
          <w:b/>
          <w:bCs/>
          <w:sz w:val="24"/>
          <w:szCs w:val="24"/>
        </w:rPr>
        <w:tab/>
      </w:r>
      <w:r w:rsidR="009B0061">
        <w:rPr>
          <w:rFonts w:ascii="Arial" w:hAnsi="Arial" w:cs="Arial"/>
          <w:b/>
          <w:bCs/>
          <w:sz w:val="24"/>
          <w:szCs w:val="24"/>
        </w:rPr>
        <w:t xml:space="preserve"> </w:t>
      </w:r>
      <w:r w:rsidR="009B0061">
        <w:rPr>
          <w:rFonts w:ascii="Arial" w:hAnsi="Arial" w:cs="Arial"/>
          <w:b/>
          <w:bCs/>
          <w:sz w:val="24"/>
          <w:szCs w:val="24"/>
        </w:rPr>
        <w:tab/>
      </w:r>
      <w:r w:rsidR="009B0061">
        <w:rPr>
          <w:rFonts w:ascii="Arial" w:hAnsi="Arial" w:cs="Arial"/>
          <w:b/>
          <w:bCs/>
          <w:sz w:val="24"/>
          <w:szCs w:val="24"/>
        </w:rPr>
        <w:tab/>
      </w:r>
      <w:r w:rsidR="009B0061">
        <w:rPr>
          <w:rFonts w:ascii="Arial" w:hAnsi="Arial" w:cs="Arial"/>
          <w:b/>
          <w:bCs/>
          <w:sz w:val="24"/>
          <w:szCs w:val="24"/>
        </w:rPr>
        <w:tab/>
      </w:r>
      <w:r w:rsidR="009B0061">
        <w:rPr>
          <w:rFonts w:ascii="Arial" w:hAnsi="Arial" w:cs="Arial"/>
          <w:b/>
          <w:bCs/>
          <w:sz w:val="24"/>
          <w:szCs w:val="24"/>
        </w:rPr>
        <w:tab/>
        <w:t xml:space="preserve">     </w:t>
      </w:r>
      <w:r>
        <w:rPr>
          <w:rFonts w:ascii="Arial" w:hAnsi="Arial" w:cs="Arial"/>
          <w:b/>
          <w:bCs/>
          <w:sz w:val="24"/>
          <w:szCs w:val="24"/>
        </w:rPr>
        <w:t xml:space="preserve">  </w:t>
      </w:r>
      <w:r w:rsidR="009B0061">
        <w:rPr>
          <w:rFonts w:ascii="Arial" w:hAnsi="Arial" w:cs="Arial"/>
          <w:b/>
          <w:bCs/>
          <w:sz w:val="24"/>
          <w:szCs w:val="24"/>
        </w:rPr>
        <w:t>SECOND RESPONDENT</w:t>
      </w:r>
    </w:p>
    <w:p w14:paraId="69637ACD" w14:textId="77777777" w:rsidR="00D01430" w:rsidRDefault="00D01430" w:rsidP="00D01430">
      <w:pPr>
        <w:spacing w:line="360" w:lineRule="auto"/>
        <w:rPr>
          <w:rFonts w:ascii="Arial" w:hAnsi="Arial" w:cs="Arial"/>
          <w:b/>
          <w:bCs/>
          <w:sz w:val="24"/>
          <w:szCs w:val="24"/>
        </w:rPr>
      </w:pPr>
    </w:p>
    <w:p w14:paraId="1F36FFCB" w14:textId="77777777" w:rsidR="009B0061" w:rsidRDefault="009B0061" w:rsidP="00D01430">
      <w:pPr>
        <w:spacing w:line="360" w:lineRule="auto"/>
        <w:rPr>
          <w:rFonts w:ascii="Arial" w:hAnsi="Arial" w:cs="Arial"/>
          <w:b/>
          <w:bCs/>
          <w:sz w:val="24"/>
          <w:szCs w:val="24"/>
        </w:rPr>
      </w:pPr>
    </w:p>
    <w:p w14:paraId="10EF49B8" w14:textId="2E95E325" w:rsidR="00F13BE8" w:rsidRDefault="009B0061" w:rsidP="00D01430">
      <w:pPr>
        <w:pBdr>
          <w:top w:val="single" w:sz="4" w:space="1" w:color="auto"/>
          <w:bottom w:val="single" w:sz="4" w:space="1" w:color="auto"/>
        </w:pBdr>
        <w:spacing w:line="360" w:lineRule="auto"/>
        <w:jc w:val="center"/>
        <w:rPr>
          <w:rFonts w:ascii="Arial" w:hAnsi="Arial" w:cs="Arial"/>
          <w:b/>
          <w:bCs/>
          <w:sz w:val="24"/>
          <w:szCs w:val="24"/>
        </w:rPr>
      </w:pPr>
      <w:r>
        <w:rPr>
          <w:rFonts w:ascii="Arial" w:hAnsi="Arial" w:cs="Arial"/>
          <w:b/>
          <w:bCs/>
          <w:sz w:val="24"/>
          <w:szCs w:val="24"/>
        </w:rPr>
        <w:t>JUDGMENT</w:t>
      </w:r>
    </w:p>
    <w:p w14:paraId="6757CD14" w14:textId="4504C816" w:rsidR="009B0061" w:rsidRPr="00D01430" w:rsidRDefault="009B0061" w:rsidP="009B0061">
      <w:pPr>
        <w:rPr>
          <w:rFonts w:ascii="Arial" w:hAnsi="Arial" w:cs="Arial"/>
          <w:b/>
          <w:bCs/>
          <w:sz w:val="24"/>
          <w:szCs w:val="24"/>
        </w:rPr>
      </w:pPr>
      <w:r w:rsidRPr="00F13BE8">
        <w:rPr>
          <w:rFonts w:ascii="Arial" w:hAnsi="Arial" w:cs="Arial"/>
          <w:b/>
          <w:bCs/>
          <w:sz w:val="24"/>
          <w:szCs w:val="24"/>
        </w:rPr>
        <w:t>STRIJDOM AJ</w:t>
      </w:r>
    </w:p>
    <w:p w14:paraId="62509304" w14:textId="54B3C8FD" w:rsidR="00F13BE8" w:rsidRDefault="00F13BE8" w:rsidP="009B0061">
      <w:pPr>
        <w:rPr>
          <w:rFonts w:ascii="Arial" w:hAnsi="Arial" w:cs="Arial"/>
          <w:b/>
          <w:bCs/>
          <w:sz w:val="24"/>
          <w:szCs w:val="24"/>
          <w:u w:val="single"/>
        </w:rPr>
      </w:pPr>
      <w:r>
        <w:rPr>
          <w:rFonts w:ascii="Arial" w:hAnsi="Arial" w:cs="Arial"/>
          <w:b/>
          <w:bCs/>
          <w:sz w:val="24"/>
          <w:szCs w:val="24"/>
          <w:u w:val="single"/>
        </w:rPr>
        <w:t>INTRODUCTION</w:t>
      </w:r>
    </w:p>
    <w:p w14:paraId="794E1711" w14:textId="77777777" w:rsidR="00F13BE8" w:rsidRPr="00F13BE8" w:rsidRDefault="00F13BE8" w:rsidP="00F13BE8">
      <w:pPr>
        <w:spacing w:line="360" w:lineRule="auto"/>
        <w:rPr>
          <w:rFonts w:ascii="Arial" w:hAnsi="Arial" w:cs="Arial"/>
          <w:b/>
          <w:bCs/>
          <w:sz w:val="24"/>
          <w:szCs w:val="24"/>
          <w:u w:val="single"/>
        </w:rPr>
      </w:pPr>
    </w:p>
    <w:p w14:paraId="7D286C35" w14:textId="198E0931" w:rsidR="009B0061" w:rsidRDefault="005079C4"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In this matter the applicants seek the first respondent be ordered to effect transfer of an undivided one third share in Erf </w:t>
      </w:r>
      <w:r w:rsidR="00027DB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M</w:t>
      </w:r>
      <w:r w:rsidR="00027DB7">
        <w:rPr>
          <w:rFonts w:ascii="Arial" w:hAnsi="Arial" w:cs="Arial"/>
          <w:sz w:val="24"/>
          <w:szCs w:val="24"/>
        </w:rPr>
        <w:t>[</w:t>
      </w:r>
      <w:proofErr w:type="gramEnd"/>
      <w:r w:rsidR="00027DB7">
        <w:rPr>
          <w:rFonts w:ascii="Arial" w:hAnsi="Arial" w:cs="Arial"/>
          <w:sz w:val="24"/>
          <w:szCs w:val="24"/>
        </w:rPr>
        <w:t>…]</w:t>
      </w:r>
      <w:r>
        <w:rPr>
          <w:rFonts w:ascii="Arial" w:hAnsi="Arial" w:cs="Arial"/>
          <w:sz w:val="24"/>
          <w:szCs w:val="24"/>
        </w:rPr>
        <w:t xml:space="preserve">, situated at </w:t>
      </w:r>
      <w:r w:rsidR="00027DB7">
        <w:rPr>
          <w:rFonts w:ascii="Arial" w:hAnsi="Arial" w:cs="Arial"/>
          <w:sz w:val="24"/>
          <w:szCs w:val="24"/>
        </w:rPr>
        <w:t>[…]</w:t>
      </w:r>
      <w:r>
        <w:rPr>
          <w:rFonts w:ascii="Arial" w:hAnsi="Arial" w:cs="Arial"/>
          <w:sz w:val="24"/>
          <w:szCs w:val="24"/>
        </w:rPr>
        <w:t>, M</w:t>
      </w:r>
      <w:r w:rsidR="00027DB7">
        <w:rPr>
          <w:rFonts w:ascii="Arial" w:hAnsi="Arial" w:cs="Arial"/>
          <w:sz w:val="24"/>
          <w:szCs w:val="24"/>
        </w:rPr>
        <w:t>[…]</w:t>
      </w:r>
      <w:r>
        <w:rPr>
          <w:rFonts w:ascii="Arial" w:hAnsi="Arial" w:cs="Arial"/>
          <w:sz w:val="24"/>
          <w:szCs w:val="24"/>
        </w:rPr>
        <w:t xml:space="preserve"> (‘the property’) to each of the applicants, and should the first respondent fail to do so, that the Sheriff be authorised to sign all such documents which may be necessary to effect transfer as aforesaid.</w:t>
      </w:r>
    </w:p>
    <w:p w14:paraId="0008C05D" w14:textId="77777777" w:rsidR="005079C4" w:rsidRDefault="005079C4" w:rsidP="005079C4">
      <w:pPr>
        <w:pStyle w:val="ListParagraph"/>
        <w:spacing w:line="360" w:lineRule="auto"/>
        <w:rPr>
          <w:rFonts w:ascii="Arial" w:hAnsi="Arial" w:cs="Arial"/>
          <w:sz w:val="24"/>
          <w:szCs w:val="24"/>
        </w:rPr>
      </w:pPr>
    </w:p>
    <w:p w14:paraId="7073C01D" w14:textId="1025F179" w:rsidR="005079C4" w:rsidRDefault="005079C4"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application was opposed by the first respondent, who appeared in person.</w:t>
      </w:r>
    </w:p>
    <w:p w14:paraId="7EA9D248" w14:textId="77777777" w:rsidR="005079C4" w:rsidRDefault="005079C4" w:rsidP="005079C4">
      <w:pPr>
        <w:pStyle w:val="ListParagraph"/>
        <w:rPr>
          <w:rFonts w:ascii="Arial" w:hAnsi="Arial" w:cs="Arial"/>
          <w:sz w:val="24"/>
          <w:szCs w:val="24"/>
        </w:rPr>
      </w:pPr>
    </w:p>
    <w:p w14:paraId="1CD36F6F" w14:textId="77777777" w:rsidR="005079C4" w:rsidRDefault="005079C4" w:rsidP="005079C4">
      <w:pPr>
        <w:pStyle w:val="ListParagraph"/>
        <w:rPr>
          <w:rFonts w:ascii="Arial" w:hAnsi="Arial" w:cs="Arial"/>
          <w:sz w:val="24"/>
          <w:szCs w:val="24"/>
        </w:rPr>
      </w:pPr>
    </w:p>
    <w:p w14:paraId="156D102B" w14:textId="1269DF0D" w:rsidR="005079C4" w:rsidRPr="005079C4" w:rsidRDefault="005079C4" w:rsidP="005079C4">
      <w:pPr>
        <w:rPr>
          <w:rFonts w:ascii="Arial" w:hAnsi="Arial" w:cs="Arial"/>
          <w:b/>
          <w:bCs/>
          <w:sz w:val="24"/>
          <w:szCs w:val="24"/>
          <w:u w:val="single"/>
        </w:rPr>
      </w:pPr>
      <w:r>
        <w:rPr>
          <w:rFonts w:ascii="Arial" w:hAnsi="Arial" w:cs="Arial"/>
          <w:b/>
          <w:bCs/>
          <w:sz w:val="24"/>
          <w:szCs w:val="24"/>
          <w:u w:val="single"/>
        </w:rPr>
        <w:t>THE SALIENT FACTS</w:t>
      </w:r>
    </w:p>
    <w:p w14:paraId="12B1F234" w14:textId="77777777" w:rsidR="005079C4" w:rsidRDefault="005079C4" w:rsidP="005079C4">
      <w:pPr>
        <w:pStyle w:val="ListParagraph"/>
        <w:rPr>
          <w:rFonts w:ascii="Arial" w:hAnsi="Arial" w:cs="Arial"/>
          <w:sz w:val="24"/>
          <w:szCs w:val="24"/>
        </w:rPr>
      </w:pPr>
    </w:p>
    <w:p w14:paraId="0AFBF31A" w14:textId="5194CCF6" w:rsidR="005079C4" w:rsidRDefault="005079C4"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applicants are married in community of property.</w:t>
      </w:r>
      <w:r>
        <w:rPr>
          <w:rStyle w:val="FootnoteReference"/>
          <w:rFonts w:ascii="Arial" w:hAnsi="Arial" w:cs="Arial"/>
          <w:sz w:val="24"/>
          <w:szCs w:val="24"/>
        </w:rPr>
        <w:footnoteReference w:id="1"/>
      </w:r>
    </w:p>
    <w:p w14:paraId="73D8F34C" w14:textId="77777777" w:rsidR="005079C4" w:rsidRDefault="005079C4" w:rsidP="005079C4">
      <w:pPr>
        <w:pStyle w:val="ListParagraph"/>
        <w:spacing w:line="360" w:lineRule="auto"/>
        <w:rPr>
          <w:rFonts w:ascii="Arial" w:hAnsi="Arial" w:cs="Arial"/>
          <w:sz w:val="24"/>
          <w:szCs w:val="24"/>
        </w:rPr>
      </w:pPr>
    </w:p>
    <w:p w14:paraId="163E023E" w14:textId="443F29D8" w:rsidR="005079C4" w:rsidRDefault="005079C4"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first respondent is a 68-year-old pensioner.</w:t>
      </w:r>
    </w:p>
    <w:p w14:paraId="43E48D44" w14:textId="77777777" w:rsidR="005079C4" w:rsidRPr="005079C4" w:rsidRDefault="005079C4" w:rsidP="005079C4">
      <w:pPr>
        <w:pStyle w:val="ListParagraph"/>
        <w:rPr>
          <w:rFonts w:ascii="Arial" w:hAnsi="Arial" w:cs="Arial"/>
          <w:sz w:val="24"/>
          <w:szCs w:val="24"/>
        </w:rPr>
      </w:pPr>
    </w:p>
    <w:p w14:paraId="0F86DD4D" w14:textId="4DC26F13" w:rsidR="005079C4" w:rsidRDefault="005079C4"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parties all currently live on the property. The applicants reside in the main house and the first respondent in a cottage on the property.</w:t>
      </w:r>
      <w:r>
        <w:rPr>
          <w:rStyle w:val="FootnoteReference"/>
          <w:rFonts w:ascii="Arial" w:hAnsi="Arial" w:cs="Arial"/>
          <w:sz w:val="24"/>
          <w:szCs w:val="24"/>
        </w:rPr>
        <w:footnoteReference w:id="2"/>
      </w:r>
    </w:p>
    <w:p w14:paraId="32D1E52A" w14:textId="77777777" w:rsidR="005079C4" w:rsidRPr="005079C4" w:rsidRDefault="005079C4" w:rsidP="005079C4">
      <w:pPr>
        <w:pStyle w:val="ListParagraph"/>
        <w:rPr>
          <w:rFonts w:ascii="Arial" w:hAnsi="Arial" w:cs="Arial"/>
          <w:sz w:val="24"/>
          <w:szCs w:val="24"/>
        </w:rPr>
      </w:pPr>
    </w:p>
    <w:p w14:paraId="4C74AB06" w14:textId="4A9E915A" w:rsidR="005079C4" w:rsidRDefault="005079C4"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During 2003, the first respondent resided in </w:t>
      </w:r>
      <w:proofErr w:type="spellStart"/>
      <w:r>
        <w:rPr>
          <w:rFonts w:ascii="Arial" w:hAnsi="Arial" w:cs="Arial"/>
          <w:sz w:val="24"/>
          <w:szCs w:val="24"/>
        </w:rPr>
        <w:t>Walkerville</w:t>
      </w:r>
      <w:proofErr w:type="spellEnd"/>
      <w:r>
        <w:rPr>
          <w:rFonts w:ascii="Arial" w:hAnsi="Arial" w:cs="Arial"/>
          <w:sz w:val="24"/>
          <w:szCs w:val="24"/>
        </w:rPr>
        <w:t>.  The area had become unsafe, and the applicants proposed that the first respondent and the first applicant’s younger brother move in with the applicants. The applicants</w:t>
      </w:r>
      <w:r w:rsidR="00D734F9">
        <w:rPr>
          <w:rFonts w:ascii="Arial" w:hAnsi="Arial" w:cs="Arial"/>
          <w:sz w:val="24"/>
          <w:szCs w:val="24"/>
        </w:rPr>
        <w:t>’</w:t>
      </w:r>
      <w:r>
        <w:rPr>
          <w:rFonts w:ascii="Arial" w:hAnsi="Arial" w:cs="Arial"/>
          <w:sz w:val="24"/>
          <w:szCs w:val="24"/>
        </w:rPr>
        <w:t xml:space="preserve"> then home could not accommodate everyone.</w:t>
      </w:r>
      <w:r>
        <w:rPr>
          <w:rStyle w:val="FootnoteReference"/>
          <w:rFonts w:ascii="Arial" w:hAnsi="Arial" w:cs="Arial"/>
          <w:sz w:val="24"/>
          <w:szCs w:val="24"/>
        </w:rPr>
        <w:footnoteReference w:id="3"/>
      </w:r>
    </w:p>
    <w:p w14:paraId="3B277F5B" w14:textId="77777777" w:rsidR="00D734F9" w:rsidRPr="00D734F9" w:rsidRDefault="00D734F9" w:rsidP="00D734F9">
      <w:pPr>
        <w:pStyle w:val="ListParagraph"/>
        <w:rPr>
          <w:rFonts w:ascii="Arial" w:hAnsi="Arial" w:cs="Arial"/>
          <w:sz w:val="24"/>
          <w:szCs w:val="24"/>
        </w:rPr>
      </w:pPr>
    </w:p>
    <w:p w14:paraId="36000E0B" w14:textId="4C6D6F1F" w:rsidR="00D734F9" w:rsidRDefault="00D734F9"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lastRenderedPageBreak/>
        <w:t>During 2004 the applicants found the property. It had a main dwelling and a cottage that could accommodate everyone. After discussing the property with the first respondent, it was decided that the applicants sell their existing home and submit an offer for the property.</w:t>
      </w:r>
      <w:r>
        <w:rPr>
          <w:rStyle w:val="FootnoteReference"/>
          <w:rFonts w:ascii="Arial" w:hAnsi="Arial" w:cs="Arial"/>
          <w:sz w:val="24"/>
          <w:szCs w:val="24"/>
        </w:rPr>
        <w:footnoteReference w:id="4"/>
      </w:r>
    </w:p>
    <w:p w14:paraId="4E859FB7" w14:textId="77777777" w:rsidR="00D734F9" w:rsidRPr="00D734F9" w:rsidRDefault="00D734F9" w:rsidP="00D734F9">
      <w:pPr>
        <w:pStyle w:val="ListParagraph"/>
        <w:rPr>
          <w:rFonts w:ascii="Arial" w:hAnsi="Arial" w:cs="Arial"/>
          <w:sz w:val="24"/>
          <w:szCs w:val="24"/>
        </w:rPr>
      </w:pPr>
    </w:p>
    <w:p w14:paraId="37DDAEBF" w14:textId="63BE2FA6" w:rsidR="00D734F9" w:rsidRDefault="00D734F9"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On 15 August 2004 an offer to purchase the property for R 720 000 was signed, reflecting the applicants and the first respondent as co-purchasers.</w:t>
      </w:r>
      <w:r>
        <w:rPr>
          <w:rStyle w:val="FootnoteReference"/>
          <w:rFonts w:ascii="Arial" w:hAnsi="Arial" w:cs="Arial"/>
          <w:sz w:val="24"/>
          <w:szCs w:val="24"/>
        </w:rPr>
        <w:footnoteReference w:id="5"/>
      </w:r>
      <w:r>
        <w:rPr>
          <w:rFonts w:ascii="Arial" w:hAnsi="Arial" w:cs="Arial"/>
          <w:sz w:val="24"/>
          <w:szCs w:val="24"/>
        </w:rPr>
        <w:t xml:space="preserve"> </w:t>
      </w:r>
    </w:p>
    <w:p w14:paraId="5E7D3136" w14:textId="77777777" w:rsidR="00D734F9" w:rsidRPr="00D734F9" w:rsidRDefault="00D734F9" w:rsidP="00D734F9">
      <w:pPr>
        <w:pStyle w:val="ListParagraph"/>
        <w:rPr>
          <w:rFonts w:ascii="Arial" w:hAnsi="Arial" w:cs="Arial"/>
          <w:sz w:val="24"/>
          <w:szCs w:val="24"/>
        </w:rPr>
      </w:pPr>
    </w:p>
    <w:p w14:paraId="17A63648" w14:textId="7C96F2EC" w:rsidR="00D734F9" w:rsidRDefault="00D734F9"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purchase price for the property was largely paid by the first applicant. The applicants had a shortfall of R 50 000, which the first respondent paid. The first applicant paid R 670 000.</w:t>
      </w:r>
      <w:r>
        <w:rPr>
          <w:rStyle w:val="FootnoteReference"/>
          <w:rFonts w:ascii="Arial" w:hAnsi="Arial" w:cs="Arial"/>
          <w:sz w:val="24"/>
          <w:szCs w:val="24"/>
        </w:rPr>
        <w:footnoteReference w:id="6"/>
      </w:r>
    </w:p>
    <w:p w14:paraId="0C8F1960" w14:textId="77777777" w:rsidR="00D734F9" w:rsidRPr="00D734F9" w:rsidRDefault="00D734F9" w:rsidP="00D734F9">
      <w:pPr>
        <w:pStyle w:val="ListParagraph"/>
        <w:rPr>
          <w:rFonts w:ascii="Arial" w:hAnsi="Arial" w:cs="Arial"/>
          <w:sz w:val="24"/>
          <w:szCs w:val="24"/>
        </w:rPr>
      </w:pPr>
    </w:p>
    <w:p w14:paraId="3C0E52E6" w14:textId="6F181DE9" w:rsidR="00D734F9" w:rsidRDefault="00D734F9"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property was registered subsequently in the first respondent’s name. The municipal account in respect of services was also opened in the first respondent’s name.</w:t>
      </w:r>
    </w:p>
    <w:p w14:paraId="5BC2928C" w14:textId="77777777" w:rsidR="00D734F9" w:rsidRPr="00D734F9" w:rsidRDefault="00D734F9" w:rsidP="00D734F9">
      <w:pPr>
        <w:pStyle w:val="ListParagraph"/>
        <w:rPr>
          <w:rFonts w:ascii="Arial" w:hAnsi="Arial" w:cs="Arial"/>
          <w:sz w:val="24"/>
          <w:szCs w:val="24"/>
        </w:rPr>
      </w:pPr>
    </w:p>
    <w:p w14:paraId="3F05C77B" w14:textId="6BDA3064" w:rsidR="00D734F9" w:rsidRDefault="00E47A54"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first respondent, in her last will and testament of 15 August 2017, bequeathed, inter alia, the property to the first applicant.</w:t>
      </w:r>
      <w:r>
        <w:rPr>
          <w:rStyle w:val="FootnoteReference"/>
          <w:rFonts w:ascii="Arial" w:hAnsi="Arial" w:cs="Arial"/>
          <w:sz w:val="24"/>
          <w:szCs w:val="24"/>
        </w:rPr>
        <w:footnoteReference w:id="7"/>
      </w:r>
    </w:p>
    <w:p w14:paraId="28616CED" w14:textId="77777777" w:rsidR="00E47A54" w:rsidRPr="00E47A54" w:rsidRDefault="00E47A54" w:rsidP="00E47A54">
      <w:pPr>
        <w:pStyle w:val="ListParagraph"/>
        <w:rPr>
          <w:rFonts w:ascii="Arial" w:hAnsi="Arial" w:cs="Arial"/>
          <w:sz w:val="24"/>
          <w:szCs w:val="24"/>
        </w:rPr>
      </w:pPr>
    </w:p>
    <w:p w14:paraId="12C4F115" w14:textId="22C950A1" w:rsidR="00E47A54" w:rsidRDefault="00E47A54"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There has been a breakdown of trust between the parties during 2020, apparently triggered by the first respondent’s payment of R 400 000 to the first applicant’s </w:t>
      </w:r>
      <w:r w:rsidR="00B46B26">
        <w:rPr>
          <w:rFonts w:ascii="Arial" w:hAnsi="Arial" w:cs="Arial"/>
          <w:sz w:val="24"/>
          <w:szCs w:val="24"/>
        </w:rPr>
        <w:t>brother to enable him and his wife to acquire their own home (‘the underlying dispute’).</w:t>
      </w:r>
    </w:p>
    <w:p w14:paraId="5F7DA337" w14:textId="77777777" w:rsidR="00B46B26" w:rsidRPr="00B46B26" w:rsidRDefault="00B46B26" w:rsidP="00B46B26">
      <w:pPr>
        <w:pStyle w:val="ListParagraph"/>
        <w:rPr>
          <w:rFonts w:ascii="Arial" w:hAnsi="Arial" w:cs="Arial"/>
          <w:sz w:val="24"/>
          <w:szCs w:val="24"/>
        </w:rPr>
      </w:pPr>
    </w:p>
    <w:p w14:paraId="121234BB" w14:textId="2B3A4B5F" w:rsidR="00B46B26" w:rsidRDefault="00B46B26"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The latter payment represents the proceeds of the sale of another property (‘the </w:t>
      </w:r>
      <w:proofErr w:type="spellStart"/>
      <w:r>
        <w:rPr>
          <w:rFonts w:ascii="Arial" w:hAnsi="Arial" w:cs="Arial"/>
          <w:sz w:val="24"/>
          <w:szCs w:val="24"/>
        </w:rPr>
        <w:t>Roseacre</w:t>
      </w:r>
      <w:proofErr w:type="spellEnd"/>
      <w:r>
        <w:rPr>
          <w:rFonts w:ascii="Arial" w:hAnsi="Arial" w:cs="Arial"/>
          <w:sz w:val="24"/>
          <w:szCs w:val="24"/>
        </w:rPr>
        <w:t xml:space="preserve"> property’), which was registered in the first respondent’s name, but as nominee for the first applicant.</w:t>
      </w:r>
      <w:r>
        <w:rPr>
          <w:rStyle w:val="FootnoteReference"/>
          <w:rFonts w:ascii="Arial" w:hAnsi="Arial" w:cs="Arial"/>
          <w:sz w:val="24"/>
          <w:szCs w:val="24"/>
        </w:rPr>
        <w:footnoteReference w:id="8"/>
      </w:r>
    </w:p>
    <w:p w14:paraId="3FEA868C" w14:textId="77777777" w:rsidR="00B46B26" w:rsidRPr="00B46B26" w:rsidRDefault="00B46B26" w:rsidP="00B46B26">
      <w:pPr>
        <w:pStyle w:val="ListParagraph"/>
        <w:rPr>
          <w:rFonts w:ascii="Arial" w:hAnsi="Arial" w:cs="Arial"/>
          <w:sz w:val="24"/>
          <w:szCs w:val="24"/>
        </w:rPr>
      </w:pPr>
    </w:p>
    <w:p w14:paraId="5CE45DAC" w14:textId="04F79951" w:rsidR="00B46B26" w:rsidRDefault="00B46B26"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first applicant’s brother and his wife subsequently executed AOD’s in favour of the first applicant on 18 March 2020 for payment of R 400 000.</w:t>
      </w:r>
      <w:r>
        <w:rPr>
          <w:rStyle w:val="FootnoteReference"/>
          <w:rFonts w:ascii="Arial" w:hAnsi="Arial" w:cs="Arial"/>
          <w:sz w:val="24"/>
          <w:szCs w:val="24"/>
        </w:rPr>
        <w:footnoteReference w:id="9"/>
      </w:r>
    </w:p>
    <w:p w14:paraId="1ED51CAB" w14:textId="77777777" w:rsidR="00B46B26" w:rsidRPr="00B46B26" w:rsidRDefault="00B46B26" w:rsidP="00B46B26">
      <w:pPr>
        <w:pStyle w:val="ListParagraph"/>
        <w:rPr>
          <w:rFonts w:ascii="Arial" w:hAnsi="Arial" w:cs="Arial"/>
          <w:sz w:val="24"/>
          <w:szCs w:val="24"/>
        </w:rPr>
      </w:pPr>
    </w:p>
    <w:p w14:paraId="1920EA9C" w14:textId="78A28003" w:rsidR="00B46B26" w:rsidRDefault="00B46B26" w:rsidP="005079C4">
      <w:pPr>
        <w:pStyle w:val="ListParagraph"/>
        <w:numPr>
          <w:ilvl w:val="0"/>
          <w:numId w:val="4"/>
        </w:numPr>
        <w:spacing w:line="360" w:lineRule="auto"/>
        <w:ind w:hanging="720"/>
        <w:rPr>
          <w:rFonts w:ascii="Arial" w:hAnsi="Arial" w:cs="Arial"/>
          <w:sz w:val="24"/>
          <w:szCs w:val="24"/>
        </w:rPr>
      </w:pPr>
      <w:r>
        <w:rPr>
          <w:rFonts w:ascii="Arial" w:hAnsi="Arial" w:cs="Arial"/>
          <w:sz w:val="24"/>
          <w:szCs w:val="24"/>
        </w:rPr>
        <w:lastRenderedPageBreak/>
        <w:t>On 3 November 2021 a letter of demand was addressed to the first respondent, inter alia, demanding an undertaking that she will not sell the property. The first respondent has not responded to the demand.</w:t>
      </w:r>
    </w:p>
    <w:p w14:paraId="7C3E04DF" w14:textId="77777777" w:rsidR="00B46B26" w:rsidRPr="00B46B26" w:rsidRDefault="00B46B26" w:rsidP="00B46B26">
      <w:pPr>
        <w:pStyle w:val="ListParagraph"/>
        <w:rPr>
          <w:rFonts w:ascii="Arial" w:hAnsi="Arial" w:cs="Arial"/>
          <w:sz w:val="24"/>
          <w:szCs w:val="24"/>
        </w:rPr>
      </w:pPr>
    </w:p>
    <w:p w14:paraId="1C296CC2" w14:textId="77777777" w:rsidR="00B46B26" w:rsidRDefault="00B46B26" w:rsidP="00B46B26">
      <w:pPr>
        <w:spacing w:line="360" w:lineRule="auto"/>
        <w:rPr>
          <w:rFonts w:ascii="Arial" w:hAnsi="Arial" w:cs="Arial"/>
          <w:sz w:val="24"/>
          <w:szCs w:val="24"/>
        </w:rPr>
      </w:pPr>
    </w:p>
    <w:p w14:paraId="70749169" w14:textId="38666CAD" w:rsidR="00B46B26" w:rsidRDefault="00B46B26" w:rsidP="00B46B26">
      <w:pPr>
        <w:spacing w:line="360" w:lineRule="auto"/>
        <w:rPr>
          <w:rFonts w:ascii="Arial" w:hAnsi="Arial" w:cs="Arial"/>
          <w:sz w:val="24"/>
          <w:szCs w:val="24"/>
        </w:rPr>
      </w:pPr>
      <w:r>
        <w:rPr>
          <w:rFonts w:ascii="Arial" w:hAnsi="Arial" w:cs="Arial"/>
          <w:b/>
          <w:bCs/>
          <w:sz w:val="24"/>
          <w:szCs w:val="24"/>
          <w:u w:val="single"/>
        </w:rPr>
        <w:t>THE RESPONDENT’S CASE</w:t>
      </w:r>
    </w:p>
    <w:p w14:paraId="31A2E450" w14:textId="77777777" w:rsidR="00B46B26" w:rsidRDefault="00B46B26" w:rsidP="00B46B26">
      <w:pPr>
        <w:spacing w:line="360" w:lineRule="auto"/>
        <w:rPr>
          <w:rFonts w:ascii="Arial" w:hAnsi="Arial" w:cs="Arial"/>
          <w:sz w:val="24"/>
          <w:szCs w:val="24"/>
        </w:rPr>
      </w:pPr>
    </w:p>
    <w:p w14:paraId="775AF24E" w14:textId="7A094B67" w:rsidR="00B46B26" w:rsidRDefault="00B46B26" w:rsidP="00B46B2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respondent opposes the application on the following grounds:</w:t>
      </w:r>
    </w:p>
    <w:p w14:paraId="4D61D52B" w14:textId="77777777" w:rsidR="00B46B26" w:rsidRDefault="00B46B26" w:rsidP="00B46B26">
      <w:pPr>
        <w:pStyle w:val="ListParagraph"/>
        <w:spacing w:line="360" w:lineRule="auto"/>
        <w:rPr>
          <w:rFonts w:ascii="Arial" w:hAnsi="Arial" w:cs="Arial"/>
          <w:sz w:val="24"/>
          <w:szCs w:val="24"/>
        </w:rPr>
      </w:pPr>
    </w:p>
    <w:p w14:paraId="376D845B" w14:textId="2E837422" w:rsidR="00B46B26" w:rsidRDefault="00B46B26" w:rsidP="00B46B26">
      <w:pPr>
        <w:pStyle w:val="ListParagraph"/>
        <w:spacing w:line="360" w:lineRule="auto"/>
        <w:ind w:left="1440" w:hanging="720"/>
        <w:rPr>
          <w:rFonts w:ascii="Arial" w:hAnsi="Arial" w:cs="Arial"/>
          <w:sz w:val="24"/>
          <w:szCs w:val="24"/>
        </w:rPr>
      </w:pPr>
      <w:r>
        <w:rPr>
          <w:rFonts w:ascii="Arial" w:hAnsi="Arial" w:cs="Arial"/>
          <w:sz w:val="24"/>
          <w:szCs w:val="24"/>
        </w:rPr>
        <w:t>16.1</w:t>
      </w:r>
      <w:r>
        <w:rPr>
          <w:rFonts w:ascii="Arial" w:hAnsi="Arial" w:cs="Arial"/>
          <w:sz w:val="24"/>
          <w:szCs w:val="24"/>
        </w:rPr>
        <w:tab/>
        <w:t xml:space="preserve">She denies that she caused the property to be registered in her name fraudulently. She states that she had an agreement with the first applicant that the property </w:t>
      </w:r>
      <w:r w:rsidR="00573AAF">
        <w:rPr>
          <w:rFonts w:ascii="Arial" w:hAnsi="Arial" w:cs="Arial"/>
          <w:sz w:val="24"/>
          <w:szCs w:val="24"/>
        </w:rPr>
        <w:t xml:space="preserve">be </w:t>
      </w:r>
      <w:r>
        <w:rPr>
          <w:rFonts w:ascii="Arial" w:hAnsi="Arial" w:cs="Arial"/>
          <w:sz w:val="24"/>
          <w:szCs w:val="24"/>
        </w:rPr>
        <w:t>registered in her name, allegedly as the first applicant did not want the property to form part of her joint estate with the second applicant, and that it would give the first applicant and her children some safeguard. The first applicant has accordingly known about the fact that the property was registered in the first respondent’s name for 18 years.</w:t>
      </w:r>
      <w:r>
        <w:rPr>
          <w:rStyle w:val="FootnoteReference"/>
          <w:rFonts w:ascii="Arial" w:hAnsi="Arial" w:cs="Arial"/>
          <w:sz w:val="24"/>
          <w:szCs w:val="24"/>
        </w:rPr>
        <w:footnoteReference w:id="10"/>
      </w:r>
    </w:p>
    <w:p w14:paraId="4E5BD40F" w14:textId="77777777" w:rsidR="007814BE" w:rsidRDefault="007814BE" w:rsidP="00B46B26">
      <w:pPr>
        <w:pStyle w:val="ListParagraph"/>
        <w:spacing w:line="360" w:lineRule="auto"/>
        <w:ind w:left="1440" w:hanging="720"/>
        <w:rPr>
          <w:rFonts w:ascii="Arial" w:hAnsi="Arial" w:cs="Arial"/>
          <w:sz w:val="24"/>
          <w:szCs w:val="24"/>
        </w:rPr>
      </w:pPr>
    </w:p>
    <w:p w14:paraId="29D93DB7" w14:textId="4FEB78C8" w:rsidR="007814BE" w:rsidRDefault="007814BE" w:rsidP="00B46B26">
      <w:pPr>
        <w:pStyle w:val="ListParagraph"/>
        <w:spacing w:line="360" w:lineRule="auto"/>
        <w:ind w:left="1440" w:hanging="720"/>
        <w:rPr>
          <w:rFonts w:ascii="Arial" w:hAnsi="Arial" w:cs="Arial"/>
          <w:sz w:val="24"/>
          <w:szCs w:val="24"/>
        </w:rPr>
      </w:pPr>
      <w:r>
        <w:rPr>
          <w:rFonts w:ascii="Arial" w:hAnsi="Arial" w:cs="Arial"/>
          <w:sz w:val="24"/>
          <w:szCs w:val="24"/>
        </w:rPr>
        <w:t>16.2</w:t>
      </w:r>
      <w:r>
        <w:rPr>
          <w:rFonts w:ascii="Arial" w:hAnsi="Arial" w:cs="Arial"/>
          <w:sz w:val="24"/>
          <w:szCs w:val="24"/>
        </w:rPr>
        <w:tab/>
        <w:t xml:space="preserve">The second applicant did not contribute to the </w:t>
      </w:r>
      <w:r w:rsidR="00023BB0">
        <w:rPr>
          <w:rFonts w:ascii="Arial" w:hAnsi="Arial" w:cs="Arial"/>
          <w:sz w:val="24"/>
          <w:szCs w:val="24"/>
        </w:rPr>
        <w:t>acquisition of the property ‘… whether financially or otherwise and no mention has been made of his contribution…’</w:t>
      </w:r>
    </w:p>
    <w:p w14:paraId="746A5AC5" w14:textId="77777777" w:rsidR="00023BB0" w:rsidRDefault="00023BB0" w:rsidP="00B46B26">
      <w:pPr>
        <w:pStyle w:val="ListParagraph"/>
        <w:spacing w:line="360" w:lineRule="auto"/>
        <w:ind w:left="1440" w:hanging="720"/>
        <w:rPr>
          <w:rFonts w:ascii="Arial" w:hAnsi="Arial" w:cs="Arial"/>
          <w:sz w:val="24"/>
          <w:szCs w:val="24"/>
        </w:rPr>
      </w:pPr>
    </w:p>
    <w:p w14:paraId="5C0B09C7" w14:textId="53198944" w:rsidR="00023BB0" w:rsidRDefault="00023BB0" w:rsidP="00B46B26">
      <w:pPr>
        <w:pStyle w:val="ListParagraph"/>
        <w:spacing w:line="360" w:lineRule="auto"/>
        <w:ind w:left="1440" w:hanging="720"/>
        <w:rPr>
          <w:rFonts w:ascii="Arial" w:hAnsi="Arial" w:cs="Arial"/>
          <w:sz w:val="24"/>
          <w:szCs w:val="24"/>
        </w:rPr>
      </w:pPr>
      <w:r>
        <w:rPr>
          <w:rFonts w:ascii="Arial" w:hAnsi="Arial" w:cs="Arial"/>
          <w:sz w:val="24"/>
          <w:szCs w:val="24"/>
        </w:rPr>
        <w:t>16.3</w:t>
      </w:r>
      <w:r>
        <w:rPr>
          <w:rFonts w:ascii="Arial" w:hAnsi="Arial" w:cs="Arial"/>
          <w:sz w:val="24"/>
          <w:szCs w:val="24"/>
        </w:rPr>
        <w:tab/>
        <w:t>The agreement between the parties on 12 August 2004 when ‘… the applicants and I signed and</w:t>
      </w:r>
      <w:r w:rsidR="000B4E7B">
        <w:rPr>
          <w:rFonts w:ascii="Arial" w:hAnsi="Arial" w:cs="Arial"/>
          <w:sz w:val="24"/>
          <w:szCs w:val="24"/>
        </w:rPr>
        <w:t xml:space="preserve"> concluded an offer to purchase t</w:t>
      </w:r>
      <w:r w:rsidR="00573AAF">
        <w:rPr>
          <w:rFonts w:ascii="Arial" w:hAnsi="Arial" w:cs="Arial"/>
          <w:sz w:val="24"/>
          <w:szCs w:val="24"/>
        </w:rPr>
        <w:t>he</w:t>
      </w:r>
      <w:r w:rsidR="000B4E7B">
        <w:rPr>
          <w:rFonts w:ascii="Arial" w:hAnsi="Arial" w:cs="Arial"/>
          <w:sz w:val="24"/>
          <w:szCs w:val="24"/>
        </w:rPr>
        <w:t xml:space="preserve"> property as co-owners, and it was further emphasised that the first applicant and I would effect payment for the</w:t>
      </w:r>
      <w:r w:rsidR="0079330E">
        <w:rPr>
          <w:rFonts w:ascii="Arial" w:hAnsi="Arial" w:cs="Arial"/>
          <w:sz w:val="24"/>
          <w:szCs w:val="24"/>
        </w:rPr>
        <w:t xml:space="preserve"> property and its transfer costs…’</w:t>
      </w:r>
    </w:p>
    <w:p w14:paraId="0F60754D" w14:textId="77777777" w:rsidR="0079330E" w:rsidRDefault="0079330E" w:rsidP="00B46B26">
      <w:pPr>
        <w:pStyle w:val="ListParagraph"/>
        <w:spacing w:line="360" w:lineRule="auto"/>
        <w:ind w:left="1440" w:hanging="720"/>
        <w:rPr>
          <w:rFonts w:ascii="Arial" w:hAnsi="Arial" w:cs="Arial"/>
          <w:sz w:val="24"/>
          <w:szCs w:val="24"/>
        </w:rPr>
      </w:pPr>
    </w:p>
    <w:p w14:paraId="218702E6" w14:textId="601987E9" w:rsidR="0079330E" w:rsidRDefault="0079330E" w:rsidP="00B46B26">
      <w:pPr>
        <w:pStyle w:val="ListParagraph"/>
        <w:spacing w:line="360" w:lineRule="auto"/>
        <w:ind w:left="1440" w:hanging="720"/>
        <w:rPr>
          <w:rFonts w:ascii="Arial" w:hAnsi="Arial" w:cs="Arial"/>
          <w:sz w:val="24"/>
          <w:szCs w:val="24"/>
        </w:rPr>
      </w:pPr>
      <w:r>
        <w:rPr>
          <w:rFonts w:ascii="Arial" w:hAnsi="Arial" w:cs="Arial"/>
          <w:sz w:val="24"/>
          <w:szCs w:val="24"/>
        </w:rPr>
        <w:t>16.4</w:t>
      </w:r>
      <w:r>
        <w:rPr>
          <w:rFonts w:ascii="Arial" w:hAnsi="Arial" w:cs="Arial"/>
          <w:sz w:val="24"/>
          <w:szCs w:val="24"/>
        </w:rPr>
        <w:tab/>
        <w:t xml:space="preserve">The first respondent alone paid for utilities, monthly maintenance and garden services, and from 2013 received a rebate as a pensioner from the City of Johannesburg and the applicants were ‘… enjoying the fruits </w:t>
      </w:r>
      <w:r>
        <w:rPr>
          <w:rFonts w:ascii="Arial" w:hAnsi="Arial" w:cs="Arial"/>
          <w:sz w:val="24"/>
          <w:szCs w:val="24"/>
        </w:rPr>
        <w:lastRenderedPageBreak/>
        <w:t>of my labour…’</w:t>
      </w:r>
      <w:r w:rsidR="00015263">
        <w:rPr>
          <w:rFonts w:ascii="Arial" w:hAnsi="Arial" w:cs="Arial"/>
          <w:sz w:val="24"/>
          <w:szCs w:val="24"/>
        </w:rPr>
        <w:t xml:space="preserve"> The applicants deny this in reply, pointing out that the first respondent is a pensioner since 1997, and that they in fact, all along, paid utilities and maintenance.</w:t>
      </w:r>
    </w:p>
    <w:p w14:paraId="1D1BA21C" w14:textId="77777777" w:rsidR="00015263" w:rsidRDefault="00015263" w:rsidP="00015263">
      <w:pPr>
        <w:spacing w:line="360" w:lineRule="auto"/>
        <w:rPr>
          <w:rFonts w:ascii="Arial" w:hAnsi="Arial" w:cs="Arial"/>
          <w:sz w:val="24"/>
          <w:szCs w:val="24"/>
        </w:rPr>
      </w:pPr>
    </w:p>
    <w:p w14:paraId="35A2DE7A" w14:textId="2FA94819" w:rsidR="00015263" w:rsidRDefault="00015263" w:rsidP="00015263">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first applicant contends that she ha</w:t>
      </w:r>
      <w:r w:rsidR="00573AAF">
        <w:rPr>
          <w:rFonts w:ascii="Arial" w:hAnsi="Arial" w:cs="Arial"/>
          <w:sz w:val="24"/>
          <w:szCs w:val="24"/>
        </w:rPr>
        <w:t>d</w:t>
      </w:r>
      <w:r>
        <w:rPr>
          <w:rFonts w:ascii="Arial" w:hAnsi="Arial" w:cs="Arial"/>
          <w:sz w:val="24"/>
          <w:szCs w:val="24"/>
        </w:rPr>
        <w:t xml:space="preserve"> no alternative, other than to have launched this application, for the following reasons:</w:t>
      </w:r>
    </w:p>
    <w:p w14:paraId="22F1A491" w14:textId="77777777" w:rsidR="00015263" w:rsidRDefault="00015263" w:rsidP="00015263">
      <w:pPr>
        <w:pStyle w:val="ListParagraph"/>
        <w:spacing w:line="360" w:lineRule="auto"/>
        <w:rPr>
          <w:rFonts w:ascii="Arial" w:hAnsi="Arial" w:cs="Arial"/>
          <w:sz w:val="24"/>
          <w:szCs w:val="24"/>
        </w:rPr>
      </w:pPr>
    </w:p>
    <w:p w14:paraId="467C8F68" w14:textId="442CEAF0" w:rsidR="00015263" w:rsidRDefault="00015263" w:rsidP="00015263">
      <w:pPr>
        <w:pStyle w:val="ListParagraph"/>
        <w:spacing w:line="360" w:lineRule="auto"/>
        <w:ind w:left="1440" w:hanging="720"/>
        <w:rPr>
          <w:rFonts w:ascii="Arial" w:hAnsi="Arial" w:cs="Arial"/>
          <w:sz w:val="24"/>
          <w:szCs w:val="24"/>
        </w:rPr>
      </w:pPr>
      <w:r>
        <w:rPr>
          <w:rFonts w:ascii="Arial" w:hAnsi="Arial" w:cs="Arial"/>
          <w:sz w:val="24"/>
          <w:szCs w:val="24"/>
        </w:rPr>
        <w:t>17.1</w:t>
      </w:r>
      <w:r>
        <w:rPr>
          <w:rFonts w:ascii="Arial" w:hAnsi="Arial" w:cs="Arial"/>
          <w:sz w:val="24"/>
          <w:szCs w:val="24"/>
        </w:rPr>
        <w:tab/>
        <w:t>The property was bequeathed to her in order to compensate for the incorrect transfer of the property into the first respondent’s name;</w:t>
      </w:r>
    </w:p>
    <w:p w14:paraId="0159BF45" w14:textId="77777777" w:rsidR="00015263" w:rsidRDefault="00015263" w:rsidP="00015263">
      <w:pPr>
        <w:pStyle w:val="ListParagraph"/>
        <w:spacing w:line="360" w:lineRule="auto"/>
        <w:ind w:left="1440" w:hanging="720"/>
        <w:rPr>
          <w:rFonts w:ascii="Arial" w:hAnsi="Arial" w:cs="Arial"/>
          <w:sz w:val="24"/>
          <w:szCs w:val="24"/>
        </w:rPr>
      </w:pPr>
    </w:p>
    <w:p w14:paraId="30BB3C11" w14:textId="5208FE78" w:rsidR="00015263" w:rsidRDefault="00015263" w:rsidP="00015263">
      <w:pPr>
        <w:pStyle w:val="ListParagraph"/>
        <w:spacing w:line="360" w:lineRule="auto"/>
        <w:ind w:left="1440" w:hanging="720"/>
        <w:rPr>
          <w:rFonts w:ascii="Arial" w:hAnsi="Arial" w:cs="Arial"/>
          <w:sz w:val="24"/>
          <w:szCs w:val="24"/>
        </w:rPr>
      </w:pPr>
      <w:r>
        <w:rPr>
          <w:rFonts w:ascii="Arial" w:hAnsi="Arial" w:cs="Arial"/>
          <w:sz w:val="24"/>
          <w:szCs w:val="24"/>
        </w:rPr>
        <w:t>17.2</w:t>
      </w:r>
      <w:r>
        <w:rPr>
          <w:rFonts w:ascii="Arial" w:hAnsi="Arial" w:cs="Arial"/>
          <w:sz w:val="24"/>
          <w:szCs w:val="24"/>
        </w:rPr>
        <w:tab/>
        <w:t>Th fact that the first respondent has now changed her will;</w:t>
      </w:r>
    </w:p>
    <w:p w14:paraId="1AE58789" w14:textId="77777777" w:rsidR="00015263" w:rsidRDefault="00015263" w:rsidP="00015263">
      <w:pPr>
        <w:pStyle w:val="ListParagraph"/>
        <w:spacing w:line="360" w:lineRule="auto"/>
        <w:ind w:left="1440" w:hanging="720"/>
        <w:rPr>
          <w:rFonts w:ascii="Arial" w:hAnsi="Arial" w:cs="Arial"/>
          <w:sz w:val="24"/>
          <w:szCs w:val="24"/>
        </w:rPr>
      </w:pPr>
    </w:p>
    <w:p w14:paraId="335C1313" w14:textId="0C3FB995" w:rsidR="00015263" w:rsidRDefault="00015263" w:rsidP="00015263">
      <w:pPr>
        <w:pStyle w:val="ListParagraph"/>
        <w:spacing w:line="360" w:lineRule="auto"/>
        <w:ind w:left="1440" w:hanging="720"/>
        <w:rPr>
          <w:rFonts w:ascii="Arial" w:hAnsi="Arial" w:cs="Arial"/>
          <w:sz w:val="24"/>
          <w:szCs w:val="24"/>
        </w:rPr>
      </w:pPr>
      <w:r>
        <w:rPr>
          <w:rFonts w:ascii="Arial" w:hAnsi="Arial" w:cs="Arial"/>
          <w:sz w:val="24"/>
          <w:szCs w:val="24"/>
        </w:rPr>
        <w:t>17.3</w:t>
      </w:r>
      <w:r>
        <w:rPr>
          <w:rFonts w:ascii="Arial" w:hAnsi="Arial" w:cs="Arial"/>
          <w:sz w:val="24"/>
          <w:szCs w:val="24"/>
        </w:rPr>
        <w:tab/>
        <w:t>The first respondent obtained a valuation of the property and has not reacted to the letter of demand, seeking an undertaking that</w:t>
      </w:r>
      <w:r w:rsidR="00573AAF">
        <w:rPr>
          <w:rFonts w:ascii="Arial" w:hAnsi="Arial" w:cs="Arial"/>
          <w:sz w:val="24"/>
          <w:szCs w:val="24"/>
        </w:rPr>
        <w:t xml:space="preserve"> </w:t>
      </w:r>
      <w:r>
        <w:rPr>
          <w:rFonts w:ascii="Arial" w:hAnsi="Arial" w:cs="Arial"/>
          <w:sz w:val="24"/>
          <w:szCs w:val="24"/>
        </w:rPr>
        <w:t>she will not sell the property;</w:t>
      </w:r>
    </w:p>
    <w:p w14:paraId="0268599B" w14:textId="77777777" w:rsidR="00015263" w:rsidRDefault="00015263" w:rsidP="00015263">
      <w:pPr>
        <w:pStyle w:val="ListParagraph"/>
        <w:spacing w:line="360" w:lineRule="auto"/>
        <w:ind w:left="1440" w:hanging="720"/>
        <w:rPr>
          <w:rFonts w:ascii="Arial" w:hAnsi="Arial" w:cs="Arial"/>
          <w:sz w:val="24"/>
          <w:szCs w:val="24"/>
        </w:rPr>
      </w:pPr>
    </w:p>
    <w:p w14:paraId="57771028" w14:textId="04601D78" w:rsidR="00573AAF" w:rsidRDefault="00015263" w:rsidP="00D01430">
      <w:pPr>
        <w:pStyle w:val="ListParagraph"/>
        <w:spacing w:line="360" w:lineRule="auto"/>
        <w:ind w:left="1440" w:hanging="720"/>
        <w:rPr>
          <w:rFonts w:ascii="Arial" w:hAnsi="Arial" w:cs="Arial"/>
          <w:sz w:val="24"/>
          <w:szCs w:val="24"/>
        </w:rPr>
      </w:pPr>
      <w:r>
        <w:rPr>
          <w:rFonts w:ascii="Arial" w:hAnsi="Arial" w:cs="Arial"/>
          <w:sz w:val="24"/>
          <w:szCs w:val="24"/>
        </w:rPr>
        <w:t>17.4</w:t>
      </w:r>
      <w:r>
        <w:rPr>
          <w:rFonts w:ascii="Arial" w:hAnsi="Arial" w:cs="Arial"/>
          <w:sz w:val="24"/>
          <w:szCs w:val="24"/>
        </w:rPr>
        <w:tab/>
        <w:t xml:space="preserve">The ‘unauthorised transfer of funds’ to the first applicant’s brother following the sale of the </w:t>
      </w:r>
      <w:proofErr w:type="spellStart"/>
      <w:r>
        <w:rPr>
          <w:rFonts w:ascii="Arial" w:hAnsi="Arial" w:cs="Arial"/>
          <w:sz w:val="24"/>
          <w:szCs w:val="24"/>
        </w:rPr>
        <w:t>Roseacre</w:t>
      </w:r>
      <w:proofErr w:type="spellEnd"/>
      <w:r>
        <w:rPr>
          <w:rFonts w:ascii="Arial" w:hAnsi="Arial" w:cs="Arial"/>
          <w:sz w:val="24"/>
          <w:szCs w:val="24"/>
        </w:rPr>
        <w:t xml:space="preserve"> property</w:t>
      </w:r>
      <w:r w:rsidR="00745E1A">
        <w:rPr>
          <w:rFonts w:ascii="Arial" w:hAnsi="Arial" w:cs="Arial"/>
          <w:sz w:val="24"/>
          <w:szCs w:val="24"/>
        </w:rPr>
        <w:t>.</w:t>
      </w:r>
    </w:p>
    <w:p w14:paraId="7657421B" w14:textId="77777777" w:rsidR="00D01430" w:rsidRDefault="00D01430" w:rsidP="00D01430">
      <w:pPr>
        <w:pStyle w:val="ListParagraph"/>
        <w:spacing w:line="360" w:lineRule="auto"/>
        <w:ind w:left="1440" w:hanging="720"/>
        <w:rPr>
          <w:rFonts w:ascii="Arial" w:hAnsi="Arial" w:cs="Arial"/>
          <w:sz w:val="24"/>
          <w:szCs w:val="24"/>
        </w:rPr>
      </w:pPr>
    </w:p>
    <w:p w14:paraId="5846744C" w14:textId="71544E41" w:rsidR="00745E1A" w:rsidRDefault="00745E1A" w:rsidP="00745E1A">
      <w:pPr>
        <w:spacing w:line="360" w:lineRule="auto"/>
        <w:rPr>
          <w:rFonts w:ascii="Arial" w:hAnsi="Arial" w:cs="Arial"/>
          <w:b/>
          <w:bCs/>
          <w:sz w:val="24"/>
          <w:szCs w:val="24"/>
          <w:u w:val="single"/>
        </w:rPr>
      </w:pPr>
      <w:r>
        <w:rPr>
          <w:rFonts w:ascii="Arial" w:hAnsi="Arial" w:cs="Arial"/>
          <w:b/>
          <w:bCs/>
          <w:sz w:val="24"/>
          <w:szCs w:val="24"/>
          <w:u w:val="single"/>
        </w:rPr>
        <w:t>LEGAL PRINCIPLES</w:t>
      </w:r>
    </w:p>
    <w:p w14:paraId="3A6FAB43" w14:textId="77777777" w:rsidR="00745E1A" w:rsidRDefault="00745E1A" w:rsidP="00745E1A">
      <w:pPr>
        <w:spacing w:line="360" w:lineRule="auto"/>
        <w:rPr>
          <w:rFonts w:ascii="Arial" w:hAnsi="Arial" w:cs="Arial"/>
          <w:b/>
          <w:bCs/>
          <w:sz w:val="24"/>
          <w:szCs w:val="24"/>
          <w:u w:val="single"/>
        </w:rPr>
      </w:pPr>
    </w:p>
    <w:p w14:paraId="418A5D7A" w14:textId="1E86FCD0" w:rsidR="00745E1A" w:rsidRDefault="00745E1A" w:rsidP="00745E1A">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Section 4(1)(b) of the Deeds Registries Act 47 of 1937 provides for the rectification of a deed of transfer:</w:t>
      </w:r>
    </w:p>
    <w:p w14:paraId="3F6640A9" w14:textId="77777777" w:rsidR="00573AAF" w:rsidRDefault="00573AAF" w:rsidP="00745E1A">
      <w:pPr>
        <w:pStyle w:val="ListParagraph"/>
        <w:spacing w:line="360" w:lineRule="auto"/>
        <w:rPr>
          <w:rFonts w:ascii="Arial" w:hAnsi="Arial" w:cs="Arial"/>
          <w:sz w:val="24"/>
          <w:szCs w:val="24"/>
        </w:rPr>
      </w:pPr>
    </w:p>
    <w:p w14:paraId="24228DA6" w14:textId="0DB3A24E" w:rsidR="00745E1A" w:rsidRDefault="00745E1A" w:rsidP="00745E1A">
      <w:pPr>
        <w:pStyle w:val="ListParagraph"/>
        <w:spacing w:line="360" w:lineRule="auto"/>
        <w:rPr>
          <w:rFonts w:ascii="Arial" w:hAnsi="Arial" w:cs="Arial"/>
          <w:sz w:val="24"/>
          <w:szCs w:val="24"/>
        </w:rPr>
      </w:pPr>
      <w:r>
        <w:rPr>
          <w:rFonts w:ascii="Arial" w:hAnsi="Arial" w:cs="Arial"/>
          <w:sz w:val="24"/>
          <w:szCs w:val="24"/>
        </w:rPr>
        <w:t xml:space="preserve">‘4 Powers of registrar – </w:t>
      </w:r>
    </w:p>
    <w:p w14:paraId="288BD812" w14:textId="29494DA3" w:rsidR="00745E1A" w:rsidRDefault="00745E1A" w:rsidP="00745E1A">
      <w:pPr>
        <w:pStyle w:val="ListParagraph"/>
        <w:spacing w:line="360" w:lineRule="auto"/>
        <w:rPr>
          <w:rFonts w:ascii="Arial" w:hAnsi="Arial" w:cs="Arial"/>
          <w:sz w:val="24"/>
          <w:szCs w:val="24"/>
        </w:rPr>
      </w:pPr>
      <w:r>
        <w:rPr>
          <w:rFonts w:ascii="Arial" w:hAnsi="Arial" w:cs="Arial"/>
          <w:sz w:val="24"/>
          <w:szCs w:val="24"/>
        </w:rPr>
        <w:t>…</w:t>
      </w:r>
    </w:p>
    <w:p w14:paraId="791786F3" w14:textId="3ADAF974" w:rsidR="00745E1A" w:rsidRDefault="00745E1A" w:rsidP="00745E1A">
      <w:pPr>
        <w:pStyle w:val="ListParagraph"/>
        <w:spacing w:line="360" w:lineRule="auto"/>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whenever it is in his opinion necessary or desirable to rectify in any deed or other document, registered or filed in his registry, an error in the name or the description of any person or property mentioned therein, or in the conditions affecting any such property, to rectify the error: provided that –</w:t>
      </w:r>
    </w:p>
    <w:p w14:paraId="6EB8A717" w14:textId="77777777" w:rsidR="00745E1A" w:rsidRDefault="00745E1A" w:rsidP="00745E1A">
      <w:pPr>
        <w:pStyle w:val="ListParagraph"/>
        <w:spacing w:line="360" w:lineRule="auto"/>
        <w:ind w:left="1440" w:hanging="720"/>
        <w:rPr>
          <w:rFonts w:ascii="Arial" w:hAnsi="Arial" w:cs="Arial"/>
          <w:sz w:val="24"/>
          <w:szCs w:val="24"/>
        </w:rPr>
      </w:pPr>
    </w:p>
    <w:p w14:paraId="19E5F105" w14:textId="15FC5695" w:rsidR="00745E1A" w:rsidRDefault="00745E1A" w:rsidP="00745E1A">
      <w:pPr>
        <w:pStyle w:val="ListParagraph"/>
        <w:numPr>
          <w:ilvl w:val="0"/>
          <w:numId w:val="7"/>
        </w:numPr>
        <w:spacing w:line="360" w:lineRule="auto"/>
        <w:rPr>
          <w:rFonts w:ascii="Arial" w:hAnsi="Arial" w:cs="Arial"/>
          <w:sz w:val="24"/>
          <w:szCs w:val="24"/>
        </w:rPr>
      </w:pPr>
      <w:r>
        <w:rPr>
          <w:rFonts w:ascii="Arial" w:hAnsi="Arial" w:cs="Arial"/>
          <w:sz w:val="24"/>
          <w:szCs w:val="24"/>
        </w:rPr>
        <w:lastRenderedPageBreak/>
        <w:t>Every person appearing from the deed or other document to be interested in the rectification, has consented thereto in writing;</w:t>
      </w:r>
    </w:p>
    <w:p w14:paraId="19CDA111" w14:textId="77777777" w:rsidR="00745E1A" w:rsidRDefault="00745E1A" w:rsidP="00745E1A">
      <w:pPr>
        <w:pStyle w:val="ListParagraph"/>
        <w:spacing w:line="360" w:lineRule="auto"/>
        <w:ind w:left="2160"/>
        <w:rPr>
          <w:rFonts w:ascii="Arial" w:hAnsi="Arial" w:cs="Arial"/>
          <w:sz w:val="24"/>
          <w:szCs w:val="24"/>
        </w:rPr>
      </w:pPr>
    </w:p>
    <w:p w14:paraId="637C51DB" w14:textId="4E6B0BCD" w:rsidR="00745E1A" w:rsidRDefault="00745E1A" w:rsidP="00745E1A">
      <w:pPr>
        <w:pStyle w:val="ListParagraph"/>
        <w:numPr>
          <w:ilvl w:val="0"/>
          <w:numId w:val="7"/>
        </w:numPr>
        <w:spacing w:line="360" w:lineRule="auto"/>
        <w:rPr>
          <w:rFonts w:ascii="Arial" w:hAnsi="Arial" w:cs="Arial"/>
          <w:sz w:val="24"/>
          <w:szCs w:val="24"/>
        </w:rPr>
      </w:pPr>
      <w:r>
        <w:rPr>
          <w:rFonts w:ascii="Arial" w:hAnsi="Arial" w:cs="Arial"/>
          <w:sz w:val="24"/>
          <w:szCs w:val="24"/>
        </w:rPr>
        <w:t>If any such person refuses to consent thereto, the rectification may be made on the authority of an order of court;</w:t>
      </w:r>
    </w:p>
    <w:p w14:paraId="7E9FC750" w14:textId="77777777" w:rsidR="00745E1A" w:rsidRPr="00745E1A" w:rsidRDefault="00745E1A" w:rsidP="00745E1A">
      <w:pPr>
        <w:pStyle w:val="ListParagraph"/>
        <w:rPr>
          <w:rFonts w:ascii="Arial" w:hAnsi="Arial" w:cs="Arial"/>
          <w:sz w:val="24"/>
          <w:szCs w:val="24"/>
        </w:rPr>
      </w:pPr>
    </w:p>
    <w:p w14:paraId="443D4C2A" w14:textId="3E2320A8" w:rsidR="00745E1A" w:rsidRDefault="00745E1A" w:rsidP="00745E1A">
      <w:pPr>
        <w:pStyle w:val="ListParagraph"/>
        <w:numPr>
          <w:ilvl w:val="0"/>
          <w:numId w:val="7"/>
        </w:numPr>
        <w:spacing w:line="360" w:lineRule="auto"/>
        <w:rPr>
          <w:rFonts w:ascii="Arial" w:hAnsi="Arial" w:cs="Arial"/>
          <w:sz w:val="24"/>
          <w:szCs w:val="24"/>
        </w:rPr>
      </w:pPr>
      <w:r>
        <w:rPr>
          <w:rFonts w:ascii="Arial" w:hAnsi="Arial" w:cs="Arial"/>
          <w:sz w:val="24"/>
          <w:szCs w:val="24"/>
        </w:rPr>
        <w:t>If the error is common to two or more deeds or other documents</w:t>
      </w:r>
      <w:r w:rsidR="000B1A88">
        <w:rPr>
          <w:rFonts w:ascii="Arial" w:hAnsi="Arial" w:cs="Arial"/>
          <w:sz w:val="24"/>
          <w:szCs w:val="24"/>
        </w:rPr>
        <w:t>, including any register in his or her registry, the error shall be rectified in all those deeds or other documents, unless the registrar, on good cause shown, directs otherwise;</w:t>
      </w:r>
    </w:p>
    <w:p w14:paraId="1CFEB906" w14:textId="77777777" w:rsidR="000B1A88" w:rsidRPr="000B1A88" w:rsidRDefault="000B1A88" w:rsidP="000B1A88">
      <w:pPr>
        <w:pStyle w:val="ListParagraph"/>
        <w:rPr>
          <w:rFonts w:ascii="Arial" w:hAnsi="Arial" w:cs="Arial"/>
          <w:sz w:val="24"/>
          <w:szCs w:val="24"/>
        </w:rPr>
      </w:pPr>
    </w:p>
    <w:p w14:paraId="3583D13C" w14:textId="2514B44C" w:rsidR="000B1A88" w:rsidRDefault="000B1A88" w:rsidP="00745E1A">
      <w:pPr>
        <w:pStyle w:val="ListParagraph"/>
        <w:numPr>
          <w:ilvl w:val="0"/>
          <w:numId w:val="7"/>
        </w:numPr>
        <w:spacing w:line="360" w:lineRule="auto"/>
        <w:rPr>
          <w:rFonts w:ascii="Arial" w:hAnsi="Arial" w:cs="Arial"/>
          <w:sz w:val="24"/>
          <w:szCs w:val="24"/>
        </w:rPr>
      </w:pPr>
      <w:r>
        <w:rPr>
          <w:rFonts w:ascii="Arial" w:hAnsi="Arial" w:cs="Arial"/>
          <w:sz w:val="24"/>
          <w:szCs w:val="24"/>
        </w:rPr>
        <w:t>No such rectification shall be made if it would have the effect of transferring any right…’</w:t>
      </w:r>
    </w:p>
    <w:p w14:paraId="406EBE46" w14:textId="77777777" w:rsidR="000B1A88" w:rsidRPr="000B1A88" w:rsidRDefault="000B1A88" w:rsidP="000B1A88">
      <w:pPr>
        <w:pStyle w:val="ListParagraph"/>
        <w:rPr>
          <w:rFonts w:ascii="Arial" w:hAnsi="Arial" w:cs="Arial"/>
          <w:sz w:val="24"/>
          <w:szCs w:val="24"/>
        </w:rPr>
      </w:pPr>
    </w:p>
    <w:p w14:paraId="75009134" w14:textId="77777777" w:rsidR="000B1A88" w:rsidRDefault="000B1A88" w:rsidP="000B1A88">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In </w:t>
      </w:r>
      <w:proofErr w:type="spellStart"/>
      <w:r>
        <w:rPr>
          <w:rFonts w:ascii="Arial" w:hAnsi="Arial" w:cs="Arial"/>
          <w:b/>
          <w:bCs/>
          <w:sz w:val="24"/>
          <w:szCs w:val="24"/>
          <w:u w:val="single"/>
        </w:rPr>
        <w:t>Weinerlein</w:t>
      </w:r>
      <w:proofErr w:type="spellEnd"/>
      <w:r>
        <w:rPr>
          <w:rFonts w:ascii="Arial" w:hAnsi="Arial" w:cs="Arial"/>
          <w:b/>
          <w:bCs/>
          <w:sz w:val="24"/>
          <w:szCs w:val="24"/>
          <w:u w:val="single"/>
        </w:rPr>
        <w:t xml:space="preserve"> v </w:t>
      </w:r>
      <w:proofErr w:type="spellStart"/>
      <w:r>
        <w:rPr>
          <w:rFonts w:ascii="Arial" w:hAnsi="Arial" w:cs="Arial"/>
          <w:b/>
          <w:bCs/>
          <w:sz w:val="24"/>
          <w:szCs w:val="24"/>
          <w:u w:val="single"/>
        </w:rPr>
        <w:t>Goch</w:t>
      </w:r>
      <w:proofErr w:type="spellEnd"/>
      <w:r>
        <w:rPr>
          <w:rFonts w:ascii="Arial" w:hAnsi="Arial" w:cs="Arial"/>
          <w:b/>
          <w:bCs/>
          <w:sz w:val="24"/>
          <w:szCs w:val="24"/>
          <w:u w:val="single"/>
        </w:rPr>
        <w:t xml:space="preserve"> Buildings Ltd</w:t>
      </w:r>
      <w:r w:rsidRPr="000B1A88">
        <w:rPr>
          <w:rStyle w:val="FootnoteReference"/>
          <w:rFonts w:ascii="Arial" w:hAnsi="Arial" w:cs="Arial"/>
          <w:sz w:val="24"/>
          <w:szCs w:val="24"/>
        </w:rPr>
        <w:footnoteReference w:id="11"/>
      </w:r>
      <w:r>
        <w:rPr>
          <w:rFonts w:ascii="Arial" w:hAnsi="Arial" w:cs="Arial"/>
          <w:sz w:val="24"/>
          <w:szCs w:val="24"/>
        </w:rPr>
        <w:t xml:space="preserve"> it was decided that:</w:t>
      </w:r>
    </w:p>
    <w:p w14:paraId="7B4B2FFC" w14:textId="77777777" w:rsidR="000B1A88" w:rsidRDefault="000B1A88" w:rsidP="000B1A88">
      <w:pPr>
        <w:pStyle w:val="ListParagraph"/>
        <w:spacing w:line="360" w:lineRule="auto"/>
        <w:rPr>
          <w:rFonts w:ascii="Arial" w:hAnsi="Arial" w:cs="Arial"/>
          <w:sz w:val="24"/>
          <w:szCs w:val="24"/>
        </w:rPr>
      </w:pPr>
    </w:p>
    <w:p w14:paraId="3876CBA1" w14:textId="7DBB159B" w:rsidR="000B1A88" w:rsidRDefault="000B1A88" w:rsidP="000B1A88">
      <w:pPr>
        <w:pStyle w:val="ListParagraph"/>
        <w:spacing w:line="360" w:lineRule="auto"/>
        <w:rPr>
          <w:rFonts w:ascii="Arial" w:hAnsi="Arial" w:cs="Arial"/>
          <w:sz w:val="24"/>
          <w:szCs w:val="24"/>
        </w:rPr>
      </w:pPr>
      <w:r>
        <w:rPr>
          <w:rFonts w:ascii="Arial" w:hAnsi="Arial" w:cs="Arial"/>
          <w:sz w:val="24"/>
          <w:szCs w:val="24"/>
        </w:rPr>
        <w:t>‘…The policy of our registration laws with regard to fixed property requires the true contract under which the land is held, to be reflected on the register.’</w:t>
      </w:r>
    </w:p>
    <w:p w14:paraId="561C86DC" w14:textId="77777777" w:rsidR="000B1A88" w:rsidRDefault="000B1A88" w:rsidP="000B1A88">
      <w:pPr>
        <w:spacing w:line="360" w:lineRule="auto"/>
        <w:rPr>
          <w:rFonts w:ascii="Arial" w:hAnsi="Arial" w:cs="Arial"/>
          <w:sz w:val="24"/>
          <w:szCs w:val="24"/>
        </w:rPr>
      </w:pPr>
    </w:p>
    <w:p w14:paraId="25615D09" w14:textId="77777777" w:rsidR="00573AAF" w:rsidRDefault="000B1A88" w:rsidP="007814BE">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Although the more common application of the remedy of rectification is to the case of mis-recording due to the common mistake of both parties, rectification may also be granted when the mis-recording is due to the </w:t>
      </w:r>
      <w:proofErr w:type="spellStart"/>
      <w:r w:rsidRPr="000B1A88">
        <w:rPr>
          <w:rFonts w:ascii="Arial" w:hAnsi="Arial" w:cs="Arial"/>
          <w:i/>
          <w:iCs/>
          <w:sz w:val="24"/>
          <w:szCs w:val="24"/>
        </w:rPr>
        <w:t>dolus</w:t>
      </w:r>
      <w:proofErr w:type="spellEnd"/>
      <w:r>
        <w:rPr>
          <w:rFonts w:ascii="Arial" w:hAnsi="Arial" w:cs="Arial"/>
          <w:sz w:val="24"/>
          <w:szCs w:val="24"/>
        </w:rPr>
        <w:t xml:space="preserve"> of one party.</w:t>
      </w:r>
      <w:r>
        <w:rPr>
          <w:rStyle w:val="FootnoteReference"/>
          <w:rFonts w:ascii="Arial" w:hAnsi="Arial" w:cs="Arial"/>
          <w:sz w:val="24"/>
          <w:szCs w:val="24"/>
        </w:rPr>
        <w:footnoteReference w:id="12"/>
      </w:r>
    </w:p>
    <w:p w14:paraId="765CD541" w14:textId="50CB6152" w:rsidR="007814BE" w:rsidRPr="007814BE" w:rsidRDefault="000B1A88" w:rsidP="00573AAF">
      <w:pPr>
        <w:pStyle w:val="ListParagraph"/>
        <w:spacing w:line="360" w:lineRule="auto"/>
        <w:rPr>
          <w:rFonts w:ascii="Arial" w:hAnsi="Arial" w:cs="Arial"/>
          <w:sz w:val="24"/>
          <w:szCs w:val="24"/>
        </w:rPr>
      </w:pPr>
      <w:r>
        <w:rPr>
          <w:rFonts w:ascii="Arial" w:hAnsi="Arial" w:cs="Arial"/>
          <w:sz w:val="24"/>
          <w:szCs w:val="24"/>
        </w:rPr>
        <w:t xml:space="preserve"> </w:t>
      </w:r>
    </w:p>
    <w:p w14:paraId="43C01475" w14:textId="1321A5D4" w:rsidR="00D41DD0" w:rsidRDefault="00663C04" w:rsidP="00777C9D">
      <w:pPr>
        <w:pStyle w:val="ListParagraph"/>
        <w:numPr>
          <w:ilvl w:val="0"/>
          <w:numId w:val="4"/>
        </w:numPr>
        <w:spacing w:line="360" w:lineRule="auto"/>
        <w:ind w:hanging="720"/>
        <w:rPr>
          <w:rFonts w:ascii="Arial" w:hAnsi="Arial" w:cs="Arial"/>
          <w:sz w:val="24"/>
          <w:szCs w:val="24"/>
        </w:rPr>
      </w:pPr>
      <w:r w:rsidRPr="00663C04">
        <w:rPr>
          <w:rFonts w:ascii="Arial" w:hAnsi="Arial" w:cs="Arial"/>
          <w:sz w:val="24"/>
          <w:szCs w:val="24"/>
        </w:rPr>
        <w:t>The applicant</w:t>
      </w:r>
      <w:r>
        <w:rPr>
          <w:rFonts w:ascii="Arial" w:hAnsi="Arial" w:cs="Arial"/>
          <w:sz w:val="24"/>
          <w:szCs w:val="24"/>
        </w:rPr>
        <w:t>s establish, with reference to the signed offer to purchase in respect</w:t>
      </w:r>
      <w:r w:rsidR="008E0DCB">
        <w:rPr>
          <w:rFonts w:ascii="Arial" w:hAnsi="Arial" w:cs="Arial"/>
          <w:sz w:val="24"/>
          <w:szCs w:val="24"/>
        </w:rPr>
        <w:t xml:space="preserve"> of the property, that a common intention existed that the applicants and the first respondent be the co-owners of the property. This is not disputed by the first respondent.</w:t>
      </w:r>
    </w:p>
    <w:p w14:paraId="0F26797F" w14:textId="77777777" w:rsidR="008E0DCB" w:rsidRDefault="008E0DCB" w:rsidP="008E0DCB">
      <w:pPr>
        <w:pStyle w:val="ListParagraph"/>
        <w:spacing w:line="360" w:lineRule="auto"/>
        <w:rPr>
          <w:rFonts w:ascii="Arial" w:hAnsi="Arial" w:cs="Arial"/>
          <w:sz w:val="24"/>
          <w:szCs w:val="24"/>
        </w:rPr>
      </w:pPr>
    </w:p>
    <w:p w14:paraId="0DE51AD5" w14:textId="1062D553" w:rsidR="008E0DCB" w:rsidRDefault="008E0DCB" w:rsidP="00777C9D">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first respondent contends that a new offer to purchase was subsequently concluded, reflecting her as the sole purchaser, by agreement</w:t>
      </w:r>
      <w:r w:rsidR="00B23B21">
        <w:rPr>
          <w:rFonts w:ascii="Arial" w:hAnsi="Arial" w:cs="Arial"/>
          <w:sz w:val="24"/>
          <w:szCs w:val="24"/>
        </w:rPr>
        <w:t xml:space="preserve"> with the first </w:t>
      </w:r>
      <w:r w:rsidR="00B23B21">
        <w:rPr>
          <w:rFonts w:ascii="Arial" w:hAnsi="Arial" w:cs="Arial"/>
          <w:sz w:val="24"/>
          <w:szCs w:val="24"/>
        </w:rPr>
        <w:lastRenderedPageBreak/>
        <w:t>applicant, ostensibly because it would keep the property out of the applicants’ joint estate, and it would be in the best interest if the family that the property be registered in the first respondent’s name. The first applicant contends that the property was largely purchased with funds of the applicants’ joint estate.</w:t>
      </w:r>
    </w:p>
    <w:p w14:paraId="4BD674FA" w14:textId="77777777" w:rsidR="00B23B21" w:rsidRPr="00B23B21" w:rsidRDefault="00B23B21" w:rsidP="00B23B21">
      <w:pPr>
        <w:pStyle w:val="ListParagraph"/>
        <w:rPr>
          <w:rFonts w:ascii="Arial" w:hAnsi="Arial" w:cs="Arial"/>
          <w:sz w:val="24"/>
          <w:szCs w:val="24"/>
        </w:rPr>
      </w:pPr>
    </w:p>
    <w:p w14:paraId="6FE5540D" w14:textId="5CDCDB96" w:rsidR="00B23B21" w:rsidRDefault="00B23B21" w:rsidP="00777C9D">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It is long-established that parties married in community of property hold the joint estate in equal shares.</w:t>
      </w:r>
    </w:p>
    <w:p w14:paraId="1A58A524" w14:textId="77777777" w:rsidR="00B23B21" w:rsidRPr="00B23B21" w:rsidRDefault="00B23B21" w:rsidP="00B23B21">
      <w:pPr>
        <w:pStyle w:val="ListParagraph"/>
        <w:rPr>
          <w:rFonts w:ascii="Arial" w:hAnsi="Arial" w:cs="Arial"/>
          <w:sz w:val="24"/>
          <w:szCs w:val="24"/>
        </w:rPr>
      </w:pPr>
    </w:p>
    <w:p w14:paraId="14D3BF25" w14:textId="02D5216E" w:rsidR="00B23B21" w:rsidRDefault="00B23B21" w:rsidP="00777C9D">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The first respondent does not dispute that the property was largely paid by the first applicant. Such payment consequently carries with it the </w:t>
      </w:r>
      <w:r w:rsidRPr="00B23B21">
        <w:rPr>
          <w:rFonts w:ascii="Arial" w:hAnsi="Arial" w:cs="Arial"/>
          <w:i/>
          <w:iCs/>
          <w:sz w:val="24"/>
          <w:szCs w:val="24"/>
        </w:rPr>
        <w:t xml:space="preserve">ex </w:t>
      </w:r>
      <w:proofErr w:type="spellStart"/>
      <w:r w:rsidRPr="00B23B21">
        <w:rPr>
          <w:rFonts w:ascii="Arial" w:hAnsi="Arial" w:cs="Arial"/>
          <w:i/>
          <w:iCs/>
          <w:sz w:val="24"/>
          <w:szCs w:val="24"/>
        </w:rPr>
        <w:t>lege</w:t>
      </w:r>
      <w:proofErr w:type="spellEnd"/>
      <w:r>
        <w:rPr>
          <w:rFonts w:ascii="Arial" w:hAnsi="Arial" w:cs="Arial"/>
          <w:i/>
          <w:iCs/>
          <w:sz w:val="24"/>
          <w:szCs w:val="24"/>
        </w:rPr>
        <w:t xml:space="preserve"> </w:t>
      </w:r>
      <w:r>
        <w:rPr>
          <w:rFonts w:ascii="Arial" w:hAnsi="Arial" w:cs="Arial"/>
          <w:sz w:val="24"/>
          <w:szCs w:val="24"/>
        </w:rPr>
        <w:t>implication that payment was effected by both applicants, with the result that if the alleged agreement between the first respondent and the first applicant did occur, the second applicant would have a claim to his undivided half share from the first applicant.</w:t>
      </w:r>
    </w:p>
    <w:p w14:paraId="56509746" w14:textId="77777777" w:rsidR="00B23B21" w:rsidRPr="00B23B21" w:rsidRDefault="00B23B21" w:rsidP="00B23B21">
      <w:pPr>
        <w:pStyle w:val="ListParagraph"/>
        <w:rPr>
          <w:rFonts w:ascii="Arial" w:hAnsi="Arial" w:cs="Arial"/>
          <w:sz w:val="24"/>
          <w:szCs w:val="24"/>
        </w:rPr>
      </w:pPr>
    </w:p>
    <w:p w14:paraId="7965ED61" w14:textId="28FC8712" w:rsidR="00B23B21" w:rsidRDefault="00B23B21" w:rsidP="00777C9D">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It was argued by the first respondent that the applicants have been aware of the state of affairs for 18 years. </w:t>
      </w:r>
    </w:p>
    <w:p w14:paraId="58429F37" w14:textId="77777777" w:rsidR="00B2099D" w:rsidRPr="00B2099D" w:rsidRDefault="00B2099D" w:rsidP="00B2099D">
      <w:pPr>
        <w:pStyle w:val="ListParagraph"/>
        <w:rPr>
          <w:rFonts w:ascii="Arial" w:hAnsi="Arial" w:cs="Arial"/>
          <w:sz w:val="24"/>
          <w:szCs w:val="24"/>
        </w:rPr>
      </w:pPr>
    </w:p>
    <w:p w14:paraId="073D5DC2" w14:textId="3689A233" w:rsidR="00B2099D" w:rsidRDefault="00B2099D" w:rsidP="00777C9D">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It is inferred that it is an imprecise reliance on a defence of extinctive prescription.</w:t>
      </w:r>
    </w:p>
    <w:p w14:paraId="44597796" w14:textId="77777777" w:rsidR="00B2099D" w:rsidRPr="00B2099D" w:rsidRDefault="00B2099D" w:rsidP="00B2099D">
      <w:pPr>
        <w:pStyle w:val="ListParagraph"/>
        <w:rPr>
          <w:rFonts w:ascii="Arial" w:hAnsi="Arial" w:cs="Arial"/>
          <w:sz w:val="24"/>
          <w:szCs w:val="24"/>
        </w:rPr>
      </w:pPr>
    </w:p>
    <w:p w14:paraId="49079E87" w14:textId="2E63BCEA" w:rsidR="00B2099D" w:rsidRDefault="00B2099D" w:rsidP="00777C9D">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A claim for rectification of a contract is not susceptible to extinctive prescription.</w:t>
      </w:r>
      <w:r w:rsidR="0009616C">
        <w:rPr>
          <w:rStyle w:val="FootnoteReference"/>
          <w:rFonts w:ascii="Arial" w:hAnsi="Arial" w:cs="Arial"/>
          <w:sz w:val="24"/>
          <w:szCs w:val="24"/>
        </w:rPr>
        <w:footnoteReference w:id="13"/>
      </w:r>
    </w:p>
    <w:p w14:paraId="262FB571" w14:textId="77777777" w:rsidR="0009616C" w:rsidRPr="0009616C" w:rsidRDefault="0009616C" w:rsidP="0009616C">
      <w:pPr>
        <w:pStyle w:val="ListParagraph"/>
        <w:rPr>
          <w:rFonts w:ascii="Arial" w:hAnsi="Arial" w:cs="Arial"/>
          <w:sz w:val="24"/>
          <w:szCs w:val="24"/>
        </w:rPr>
      </w:pPr>
    </w:p>
    <w:p w14:paraId="31EB2D25" w14:textId="233AD85F" w:rsidR="0009616C" w:rsidRDefault="0009616C" w:rsidP="00777C9D">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In t</w:t>
      </w:r>
      <w:r w:rsidR="00573AAF">
        <w:rPr>
          <w:rFonts w:ascii="Arial" w:hAnsi="Arial" w:cs="Arial"/>
          <w:sz w:val="24"/>
          <w:szCs w:val="24"/>
        </w:rPr>
        <w:t>h</w:t>
      </w:r>
      <w:r>
        <w:rPr>
          <w:rFonts w:ascii="Arial" w:hAnsi="Arial" w:cs="Arial"/>
          <w:sz w:val="24"/>
          <w:szCs w:val="24"/>
        </w:rPr>
        <w:t>is matter it was necessary to take a robust common-sense approach to the dispute, otherwise the effective functioning of the court can be hamstrung. A court must not hesitate to decide an issue of fact on affidavit, merely because it would be difficult to do so. Justice can be defeated or seriously impeded and delayed by an over-fastidious approach to a dispute raised in the affidavits.</w:t>
      </w:r>
      <w:r>
        <w:rPr>
          <w:rStyle w:val="FootnoteReference"/>
          <w:rFonts w:ascii="Arial" w:hAnsi="Arial" w:cs="Arial"/>
          <w:sz w:val="24"/>
          <w:szCs w:val="24"/>
        </w:rPr>
        <w:footnoteReference w:id="14"/>
      </w:r>
    </w:p>
    <w:p w14:paraId="62760D9D" w14:textId="77777777" w:rsidR="0009616C" w:rsidRPr="0009616C" w:rsidRDefault="0009616C" w:rsidP="0009616C">
      <w:pPr>
        <w:pStyle w:val="ListParagraph"/>
        <w:rPr>
          <w:rFonts w:ascii="Arial" w:hAnsi="Arial" w:cs="Arial"/>
          <w:sz w:val="24"/>
          <w:szCs w:val="24"/>
        </w:rPr>
      </w:pPr>
    </w:p>
    <w:p w14:paraId="379B78CC" w14:textId="238B6D89" w:rsidR="0009616C" w:rsidRDefault="0009616C" w:rsidP="00777C9D">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In my view, a </w:t>
      </w:r>
      <w:r w:rsidR="00573AAF">
        <w:rPr>
          <w:rFonts w:ascii="Arial" w:hAnsi="Arial" w:cs="Arial"/>
          <w:sz w:val="24"/>
          <w:szCs w:val="24"/>
        </w:rPr>
        <w:t>p</w:t>
      </w:r>
      <w:r>
        <w:rPr>
          <w:rFonts w:ascii="Arial" w:hAnsi="Arial" w:cs="Arial"/>
          <w:sz w:val="24"/>
          <w:szCs w:val="24"/>
        </w:rPr>
        <w:t>roper case has been made out for the relief sought by the applicants.</w:t>
      </w:r>
    </w:p>
    <w:p w14:paraId="3F0E69B6" w14:textId="77777777" w:rsidR="0009616C" w:rsidRPr="0009616C" w:rsidRDefault="0009616C" w:rsidP="0009616C">
      <w:pPr>
        <w:pStyle w:val="ListParagraph"/>
        <w:rPr>
          <w:rFonts w:ascii="Arial" w:hAnsi="Arial" w:cs="Arial"/>
          <w:sz w:val="24"/>
          <w:szCs w:val="24"/>
        </w:rPr>
      </w:pPr>
    </w:p>
    <w:p w14:paraId="475DA979" w14:textId="2932C5E3" w:rsidR="008D1340" w:rsidRDefault="0009616C" w:rsidP="0009616C">
      <w:pPr>
        <w:rPr>
          <w:rFonts w:ascii="Arial" w:hAnsi="Arial" w:cs="Arial"/>
          <w:sz w:val="24"/>
          <w:szCs w:val="24"/>
        </w:rPr>
      </w:pPr>
      <w:r>
        <w:rPr>
          <w:rFonts w:ascii="Arial" w:hAnsi="Arial" w:cs="Arial"/>
          <w:sz w:val="24"/>
          <w:szCs w:val="24"/>
        </w:rPr>
        <w:t>30</w:t>
      </w:r>
      <w:r>
        <w:rPr>
          <w:rFonts w:ascii="Arial" w:hAnsi="Arial" w:cs="Arial"/>
          <w:sz w:val="24"/>
          <w:szCs w:val="24"/>
        </w:rPr>
        <w:tab/>
      </w:r>
      <w:r w:rsidR="00D41DD0">
        <w:rPr>
          <w:rFonts w:ascii="Arial" w:hAnsi="Arial" w:cs="Arial"/>
          <w:sz w:val="24"/>
          <w:szCs w:val="24"/>
        </w:rPr>
        <w:t>In the result</w:t>
      </w:r>
      <w:r>
        <w:rPr>
          <w:rFonts w:ascii="Arial" w:hAnsi="Arial" w:cs="Arial"/>
          <w:sz w:val="24"/>
          <w:szCs w:val="24"/>
        </w:rPr>
        <w:t>,</w:t>
      </w:r>
      <w:r w:rsidR="00D41DD0">
        <w:rPr>
          <w:rFonts w:ascii="Arial" w:hAnsi="Arial" w:cs="Arial"/>
          <w:sz w:val="24"/>
          <w:szCs w:val="24"/>
        </w:rPr>
        <w:t xml:space="preserve"> the </w:t>
      </w:r>
      <w:r>
        <w:rPr>
          <w:rFonts w:ascii="Arial" w:hAnsi="Arial" w:cs="Arial"/>
          <w:sz w:val="24"/>
          <w:szCs w:val="24"/>
        </w:rPr>
        <w:t>draft</w:t>
      </w:r>
      <w:r w:rsidR="00D41DD0">
        <w:rPr>
          <w:rFonts w:ascii="Arial" w:hAnsi="Arial" w:cs="Arial"/>
          <w:sz w:val="24"/>
          <w:szCs w:val="24"/>
        </w:rPr>
        <w:t xml:space="preserve"> </w:t>
      </w:r>
      <w:r w:rsidR="00D734F9">
        <w:rPr>
          <w:rFonts w:ascii="Arial" w:hAnsi="Arial" w:cs="Arial"/>
          <w:sz w:val="24"/>
          <w:szCs w:val="24"/>
        </w:rPr>
        <w:t>o</w:t>
      </w:r>
      <w:r w:rsidR="00D41DD0">
        <w:rPr>
          <w:rFonts w:ascii="Arial" w:hAnsi="Arial" w:cs="Arial"/>
          <w:sz w:val="24"/>
          <w:szCs w:val="24"/>
        </w:rPr>
        <w:t xml:space="preserve">rder </w:t>
      </w:r>
      <w:r w:rsidR="00D41DD0" w:rsidRPr="00D41DD0">
        <w:rPr>
          <w:rFonts w:ascii="Arial" w:hAnsi="Arial" w:cs="Arial"/>
          <w:sz w:val="24"/>
          <w:szCs w:val="24"/>
        </w:rPr>
        <w:t xml:space="preserve">marked “X” is made an order of court. </w:t>
      </w:r>
    </w:p>
    <w:p w14:paraId="6B39E487" w14:textId="30ACCB3B" w:rsidR="00D41DD0" w:rsidRDefault="00D41DD0" w:rsidP="00D41DD0">
      <w:pPr>
        <w:rPr>
          <w:rFonts w:ascii="Arial" w:hAnsi="Arial" w:cs="Arial"/>
          <w:sz w:val="24"/>
          <w:szCs w:val="24"/>
        </w:rPr>
      </w:pPr>
    </w:p>
    <w:p w14:paraId="4EBD684F" w14:textId="7BC9918D" w:rsidR="000D25D8" w:rsidRDefault="000D25D8" w:rsidP="00F13BE8">
      <w:pPr>
        <w:spacing w:line="276" w:lineRule="auto"/>
        <w:rPr>
          <w:rFonts w:ascii="Arial" w:hAnsi="Arial" w:cs="Arial"/>
          <w:b/>
          <w:bCs/>
          <w:sz w:val="24"/>
          <w:szCs w:val="24"/>
        </w:rPr>
      </w:pPr>
    </w:p>
    <w:p w14:paraId="3C6FB6E4" w14:textId="77777777" w:rsidR="0009616C" w:rsidRPr="00F13BE8" w:rsidRDefault="0009616C" w:rsidP="00F13BE8">
      <w:pPr>
        <w:spacing w:line="276" w:lineRule="auto"/>
        <w:rPr>
          <w:rFonts w:ascii="Arial" w:hAnsi="Arial" w:cs="Arial"/>
          <w:b/>
          <w:bCs/>
          <w:sz w:val="24"/>
          <w:szCs w:val="24"/>
        </w:rPr>
      </w:pPr>
    </w:p>
    <w:p w14:paraId="7EE1B95E" w14:textId="75B92320" w:rsidR="00D41DD0" w:rsidRPr="00F13BE8" w:rsidRDefault="00D41DD0" w:rsidP="00F13BE8">
      <w:pPr>
        <w:spacing w:line="276" w:lineRule="auto"/>
        <w:jc w:val="right"/>
        <w:rPr>
          <w:rFonts w:ascii="Arial" w:hAnsi="Arial" w:cs="Arial"/>
          <w:b/>
          <w:bCs/>
          <w:sz w:val="24"/>
          <w:szCs w:val="24"/>
        </w:rPr>
      </w:pPr>
      <w:r w:rsidRPr="00F13BE8">
        <w:rPr>
          <w:rFonts w:ascii="Arial" w:hAnsi="Arial" w:cs="Arial"/>
          <w:b/>
          <w:bCs/>
          <w:sz w:val="24"/>
          <w:szCs w:val="24"/>
        </w:rPr>
        <w:t>___________________________</w:t>
      </w:r>
    </w:p>
    <w:p w14:paraId="43949DFF" w14:textId="14CE243C" w:rsidR="00D41DD0" w:rsidRPr="00F13BE8" w:rsidRDefault="00F13BE8" w:rsidP="00F13BE8">
      <w:pPr>
        <w:spacing w:line="276" w:lineRule="auto"/>
        <w:jc w:val="right"/>
        <w:rPr>
          <w:rFonts w:ascii="Arial" w:hAnsi="Arial" w:cs="Arial"/>
          <w:b/>
          <w:bCs/>
          <w:sz w:val="24"/>
          <w:szCs w:val="24"/>
        </w:rPr>
      </w:pPr>
      <w:r w:rsidRPr="00F13BE8">
        <w:rPr>
          <w:rFonts w:ascii="Arial" w:hAnsi="Arial" w:cs="Arial"/>
          <w:b/>
          <w:bCs/>
          <w:sz w:val="24"/>
          <w:szCs w:val="24"/>
        </w:rPr>
        <w:t>STRIJDOM JJ</w:t>
      </w:r>
    </w:p>
    <w:p w14:paraId="49926B40" w14:textId="0CA1609F" w:rsidR="00D41DD0" w:rsidRPr="00F13BE8" w:rsidRDefault="00F13BE8" w:rsidP="00F13BE8">
      <w:pPr>
        <w:spacing w:line="276" w:lineRule="auto"/>
        <w:jc w:val="right"/>
        <w:rPr>
          <w:rFonts w:ascii="Arial" w:hAnsi="Arial" w:cs="Arial"/>
          <w:b/>
          <w:bCs/>
          <w:sz w:val="24"/>
          <w:szCs w:val="24"/>
        </w:rPr>
      </w:pPr>
      <w:r w:rsidRPr="00F13BE8">
        <w:rPr>
          <w:rFonts w:ascii="Arial" w:hAnsi="Arial" w:cs="Arial"/>
          <w:b/>
          <w:bCs/>
          <w:sz w:val="24"/>
          <w:szCs w:val="24"/>
        </w:rPr>
        <w:t>ACTING JUDGE OF THE HIGH COURT</w:t>
      </w:r>
    </w:p>
    <w:p w14:paraId="0299BA51" w14:textId="14608529" w:rsidR="00D41DD0" w:rsidRPr="00F13BE8" w:rsidRDefault="00F13BE8" w:rsidP="00F13BE8">
      <w:pPr>
        <w:spacing w:line="276" w:lineRule="auto"/>
        <w:jc w:val="right"/>
        <w:rPr>
          <w:rFonts w:ascii="Arial" w:hAnsi="Arial" w:cs="Arial"/>
          <w:b/>
          <w:bCs/>
          <w:sz w:val="24"/>
          <w:szCs w:val="24"/>
        </w:rPr>
      </w:pPr>
      <w:r w:rsidRPr="00F13BE8">
        <w:rPr>
          <w:rFonts w:ascii="Arial" w:hAnsi="Arial" w:cs="Arial"/>
          <w:b/>
          <w:bCs/>
          <w:sz w:val="24"/>
          <w:szCs w:val="24"/>
        </w:rPr>
        <w:t>OF SOUTH AFRICA GAUTENG DIVISION</w:t>
      </w:r>
    </w:p>
    <w:p w14:paraId="65C68EB2" w14:textId="39FCF32F" w:rsidR="00D41DD0" w:rsidRPr="00F13BE8" w:rsidRDefault="00F13BE8" w:rsidP="00F13BE8">
      <w:pPr>
        <w:spacing w:line="276" w:lineRule="auto"/>
        <w:jc w:val="right"/>
        <w:rPr>
          <w:rFonts w:ascii="Arial" w:hAnsi="Arial" w:cs="Arial"/>
          <w:b/>
          <w:bCs/>
          <w:sz w:val="24"/>
          <w:szCs w:val="24"/>
        </w:rPr>
      </w:pPr>
      <w:r w:rsidRPr="00F13BE8">
        <w:rPr>
          <w:rFonts w:ascii="Arial" w:hAnsi="Arial" w:cs="Arial"/>
          <w:b/>
          <w:bCs/>
          <w:sz w:val="24"/>
          <w:szCs w:val="24"/>
        </w:rPr>
        <w:t xml:space="preserve">JOHANNESBURG </w:t>
      </w:r>
    </w:p>
    <w:p w14:paraId="78D8EF77" w14:textId="35679A1F" w:rsidR="00D41DD0" w:rsidRDefault="00D41DD0" w:rsidP="00F13BE8">
      <w:pPr>
        <w:spacing w:line="276" w:lineRule="auto"/>
        <w:rPr>
          <w:rFonts w:ascii="Arial" w:hAnsi="Arial" w:cs="Arial"/>
          <w:b/>
          <w:bCs/>
          <w:sz w:val="24"/>
          <w:szCs w:val="24"/>
        </w:rPr>
      </w:pPr>
    </w:p>
    <w:p w14:paraId="112C976E" w14:textId="77777777" w:rsidR="00573AAF" w:rsidRDefault="00573AAF" w:rsidP="00F13BE8">
      <w:pPr>
        <w:spacing w:line="276" w:lineRule="auto"/>
        <w:rPr>
          <w:rFonts w:ascii="Arial" w:hAnsi="Arial" w:cs="Arial"/>
          <w:b/>
          <w:bCs/>
          <w:sz w:val="24"/>
          <w:szCs w:val="24"/>
        </w:rPr>
      </w:pPr>
    </w:p>
    <w:p w14:paraId="5C99408E" w14:textId="77777777" w:rsidR="00573AAF" w:rsidRDefault="00573AAF" w:rsidP="00F13BE8">
      <w:pPr>
        <w:spacing w:line="276" w:lineRule="auto"/>
        <w:rPr>
          <w:rFonts w:ascii="Arial" w:hAnsi="Arial" w:cs="Arial"/>
          <w:b/>
          <w:bCs/>
          <w:sz w:val="24"/>
          <w:szCs w:val="24"/>
        </w:rPr>
      </w:pPr>
    </w:p>
    <w:p w14:paraId="1F612B41" w14:textId="77777777" w:rsidR="00573AAF" w:rsidRPr="00F13BE8" w:rsidRDefault="00573AAF" w:rsidP="00F13BE8">
      <w:pPr>
        <w:spacing w:line="276" w:lineRule="auto"/>
        <w:rPr>
          <w:rFonts w:ascii="Arial" w:hAnsi="Arial" w:cs="Arial"/>
          <w:b/>
          <w:bCs/>
          <w:sz w:val="24"/>
          <w:szCs w:val="24"/>
        </w:rPr>
      </w:pPr>
    </w:p>
    <w:p w14:paraId="0CFE4A5C" w14:textId="77777777" w:rsidR="00D01430" w:rsidRDefault="00D01430" w:rsidP="00F13BE8">
      <w:pPr>
        <w:spacing w:line="276" w:lineRule="auto"/>
        <w:rPr>
          <w:rFonts w:ascii="Arial" w:hAnsi="Arial" w:cs="Arial"/>
          <w:b/>
          <w:bCs/>
          <w:sz w:val="24"/>
          <w:szCs w:val="24"/>
        </w:rPr>
      </w:pPr>
    </w:p>
    <w:p w14:paraId="08890ED8" w14:textId="77777777" w:rsidR="00D01430" w:rsidRDefault="00D01430" w:rsidP="00F13BE8">
      <w:pPr>
        <w:spacing w:line="276" w:lineRule="auto"/>
        <w:rPr>
          <w:rFonts w:ascii="Arial" w:hAnsi="Arial" w:cs="Arial"/>
          <w:b/>
          <w:bCs/>
          <w:sz w:val="24"/>
          <w:szCs w:val="24"/>
        </w:rPr>
      </w:pPr>
    </w:p>
    <w:p w14:paraId="7E1CB6B2" w14:textId="77777777" w:rsidR="00D01430" w:rsidRDefault="00D01430" w:rsidP="00F13BE8">
      <w:pPr>
        <w:spacing w:line="276" w:lineRule="auto"/>
        <w:rPr>
          <w:rFonts w:ascii="Arial" w:hAnsi="Arial" w:cs="Arial"/>
          <w:b/>
          <w:bCs/>
          <w:sz w:val="24"/>
          <w:szCs w:val="24"/>
        </w:rPr>
      </w:pPr>
    </w:p>
    <w:p w14:paraId="5F1680CD" w14:textId="77777777" w:rsidR="00D01430" w:rsidRDefault="00D01430" w:rsidP="00F13BE8">
      <w:pPr>
        <w:spacing w:line="276" w:lineRule="auto"/>
        <w:rPr>
          <w:rFonts w:ascii="Arial" w:hAnsi="Arial" w:cs="Arial"/>
          <w:b/>
          <w:bCs/>
          <w:sz w:val="24"/>
          <w:szCs w:val="24"/>
        </w:rPr>
      </w:pPr>
    </w:p>
    <w:p w14:paraId="3ABFCAD3" w14:textId="77777777" w:rsidR="00D01430" w:rsidRDefault="00D01430" w:rsidP="00F13BE8">
      <w:pPr>
        <w:spacing w:line="276" w:lineRule="auto"/>
        <w:rPr>
          <w:rFonts w:ascii="Arial" w:hAnsi="Arial" w:cs="Arial"/>
          <w:b/>
          <w:bCs/>
          <w:sz w:val="24"/>
          <w:szCs w:val="24"/>
        </w:rPr>
      </w:pPr>
    </w:p>
    <w:p w14:paraId="01FA2F05" w14:textId="77777777" w:rsidR="00D01430" w:rsidRDefault="00D01430" w:rsidP="00F13BE8">
      <w:pPr>
        <w:spacing w:line="276" w:lineRule="auto"/>
        <w:rPr>
          <w:rFonts w:ascii="Arial" w:hAnsi="Arial" w:cs="Arial"/>
          <w:b/>
          <w:bCs/>
          <w:sz w:val="24"/>
          <w:szCs w:val="24"/>
        </w:rPr>
      </w:pPr>
    </w:p>
    <w:p w14:paraId="40D2C10F" w14:textId="77777777" w:rsidR="00D01430" w:rsidRDefault="00D01430" w:rsidP="00F13BE8">
      <w:pPr>
        <w:spacing w:line="276" w:lineRule="auto"/>
        <w:rPr>
          <w:rFonts w:ascii="Arial" w:hAnsi="Arial" w:cs="Arial"/>
          <w:b/>
          <w:bCs/>
          <w:sz w:val="24"/>
          <w:szCs w:val="24"/>
        </w:rPr>
      </w:pPr>
    </w:p>
    <w:p w14:paraId="2A68C4BF" w14:textId="77777777" w:rsidR="00D01430" w:rsidRDefault="00D01430" w:rsidP="00F13BE8">
      <w:pPr>
        <w:spacing w:line="276" w:lineRule="auto"/>
        <w:rPr>
          <w:rFonts w:ascii="Arial" w:hAnsi="Arial" w:cs="Arial"/>
          <w:b/>
          <w:bCs/>
          <w:sz w:val="24"/>
          <w:szCs w:val="24"/>
        </w:rPr>
      </w:pPr>
    </w:p>
    <w:p w14:paraId="7F1B7DE1" w14:textId="77777777" w:rsidR="00D01430" w:rsidRDefault="00D01430" w:rsidP="00F13BE8">
      <w:pPr>
        <w:spacing w:line="276" w:lineRule="auto"/>
        <w:rPr>
          <w:rFonts w:ascii="Arial" w:hAnsi="Arial" w:cs="Arial"/>
          <w:b/>
          <w:bCs/>
          <w:sz w:val="24"/>
          <w:szCs w:val="24"/>
        </w:rPr>
      </w:pPr>
    </w:p>
    <w:p w14:paraId="47313847" w14:textId="77777777" w:rsidR="00D01430" w:rsidRDefault="00D01430" w:rsidP="00F13BE8">
      <w:pPr>
        <w:spacing w:line="276" w:lineRule="auto"/>
        <w:rPr>
          <w:rFonts w:ascii="Arial" w:hAnsi="Arial" w:cs="Arial"/>
          <w:b/>
          <w:bCs/>
          <w:sz w:val="24"/>
          <w:szCs w:val="24"/>
        </w:rPr>
      </w:pPr>
    </w:p>
    <w:p w14:paraId="7380564A" w14:textId="77777777" w:rsidR="00D01430" w:rsidRDefault="00D01430" w:rsidP="00F13BE8">
      <w:pPr>
        <w:spacing w:line="276" w:lineRule="auto"/>
        <w:rPr>
          <w:rFonts w:ascii="Arial" w:hAnsi="Arial" w:cs="Arial"/>
          <w:b/>
          <w:bCs/>
          <w:sz w:val="24"/>
          <w:szCs w:val="24"/>
        </w:rPr>
      </w:pPr>
    </w:p>
    <w:p w14:paraId="1B79CCFC" w14:textId="77777777" w:rsidR="00D01430" w:rsidRDefault="00D01430" w:rsidP="00F13BE8">
      <w:pPr>
        <w:spacing w:line="276" w:lineRule="auto"/>
        <w:rPr>
          <w:rFonts w:ascii="Arial" w:hAnsi="Arial" w:cs="Arial"/>
          <w:b/>
          <w:bCs/>
          <w:sz w:val="24"/>
          <w:szCs w:val="24"/>
        </w:rPr>
      </w:pPr>
    </w:p>
    <w:p w14:paraId="3052106D" w14:textId="77777777" w:rsidR="00D01430" w:rsidRDefault="00D01430" w:rsidP="00F13BE8">
      <w:pPr>
        <w:spacing w:line="276" w:lineRule="auto"/>
        <w:rPr>
          <w:rFonts w:ascii="Arial" w:hAnsi="Arial" w:cs="Arial"/>
          <w:b/>
          <w:bCs/>
          <w:sz w:val="24"/>
          <w:szCs w:val="24"/>
        </w:rPr>
      </w:pPr>
    </w:p>
    <w:p w14:paraId="3CA04383" w14:textId="77777777" w:rsidR="00D01430" w:rsidRDefault="00D01430" w:rsidP="00F13BE8">
      <w:pPr>
        <w:spacing w:line="276" w:lineRule="auto"/>
        <w:rPr>
          <w:rFonts w:ascii="Arial" w:hAnsi="Arial" w:cs="Arial"/>
          <w:b/>
          <w:bCs/>
          <w:sz w:val="24"/>
          <w:szCs w:val="24"/>
        </w:rPr>
      </w:pPr>
    </w:p>
    <w:p w14:paraId="7A4F3118" w14:textId="77777777" w:rsidR="00D01430" w:rsidRDefault="00D01430" w:rsidP="00F13BE8">
      <w:pPr>
        <w:spacing w:line="276" w:lineRule="auto"/>
        <w:rPr>
          <w:rFonts w:ascii="Arial" w:hAnsi="Arial" w:cs="Arial"/>
          <w:b/>
          <w:bCs/>
          <w:sz w:val="24"/>
          <w:szCs w:val="24"/>
        </w:rPr>
      </w:pPr>
    </w:p>
    <w:p w14:paraId="5458BB31" w14:textId="1E81F2E0" w:rsidR="00D41DD0" w:rsidRPr="00D01430" w:rsidRDefault="00D41DD0" w:rsidP="00F13BE8">
      <w:pPr>
        <w:spacing w:line="276" w:lineRule="auto"/>
        <w:rPr>
          <w:rFonts w:ascii="Arial" w:hAnsi="Arial" w:cs="Arial"/>
          <w:b/>
          <w:bCs/>
          <w:sz w:val="24"/>
          <w:szCs w:val="24"/>
          <w:u w:val="single"/>
        </w:rPr>
      </w:pPr>
      <w:r w:rsidRPr="00D01430">
        <w:rPr>
          <w:rFonts w:ascii="Arial" w:hAnsi="Arial" w:cs="Arial"/>
          <w:b/>
          <w:bCs/>
          <w:sz w:val="24"/>
          <w:szCs w:val="24"/>
          <w:u w:val="single"/>
        </w:rPr>
        <w:lastRenderedPageBreak/>
        <w:t>Appearances:</w:t>
      </w:r>
    </w:p>
    <w:p w14:paraId="1FAF0E32" w14:textId="19C0580D" w:rsidR="00D41DD0" w:rsidRPr="00F13BE8" w:rsidRDefault="00D41DD0" w:rsidP="00F13BE8">
      <w:pPr>
        <w:spacing w:line="276" w:lineRule="auto"/>
        <w:rPr>
          <w:rFonts w:ascii="Arial" w:hAnsi="Arial" w:cs="Arial"/>
          <w:b/>
          <w:bCs/>
          <w:sz w:val="24"/>
          <w:szCs w:val="24"/>
        </w:rPr>
      </w:pPr>
    </w:p>
    <w:p w14:paraId="02FEB3EF" w14:textId="11FD47C7"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For the Applicant</w:t>
      </w:r>
      <w:r w:rsidR="005079C4">
        <w:rPr>
          <w:rFonts w:ascii="Arial" w:hAnsi="Arial" w:cs="Arial"/>
          <w:b/>
          <w:bCs/>
          <w:sz w:val="24"/>
          <w:szCs w:val="24"/>
        </w:rPr>
        <w:t>s</w:t>
      </w:r>
      <w:r w:rsidRPr="00F13BE8">
        <w:rPr>
          <w:rFonts w:ascii="Arial" w:hAnsi="Arial" w:cs="Arial"/>
          <w:b/>
          <w:bCs/>
          <w:sz w:val="24"/>
          <w:szCs w:val="24"/>
        </w:rPr>
        <w:t>:</w:t>
      </w:r>
      <w:r w:rsidR="005079C4">
        <w:rPr>
          <w:rFonts w:ascii="Arial" w:hAnsi="Arial" w:cs="Arial"/>
          <w:b/>
          <w:bCs/>
          <w:sz w:val="24"/>
          <w:szCs w:val="24"/>
        </w:rPr>
        <w:tab/>
      </w:r>
      <w:r w:rsidR="005079C4">
        <w:rPr>
          <w:rFonts w:ascii="Arial" w:hAnsi="Arial" w:cs="Arial"/>
          <w:b/>
          <w:bCs/>
          <w:sz w:val="24"/>
          <w:szCs w:val="24"/>
        </w:rPr>
        <w:tab/>
        <w:t>Adv J.G. Botha</w:t>
      </w:r>
      <w:r w:rsidRPr="00F13BE8">
        <w:rPr>
          <w:rFonts w:ascii="Arial" w:hAnsi="Arial" w:cs="Arial"/>
          <w:b/>
          <w:bCs/>
          <w:sz w:val="24"/>
          <w:szCs w:val="24"/>
        </w:rPr>
        <w:tab/>
      </w:r>
      <w:r w:rsidRPr="00F13BE8">
        <w:rPr>
          <w:rFonts w:ascii="Arial" w:hAnsi="Arial" w:cs="Arial"/>
          <w:b/>
          <w:bCs/>
          <w:sz w:val="24"/>
          <w:szCs w:val="24"/>
        </w:rPr>
        <w:tab/>
      </w:r>
    </w:p>
    <w:p w14:paraId="1873A802" w14:textId="767DB0C1"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 xml:space="preserve">Instructed by: </w:t>
      </w:r>
      <w:r w:rsidRPr="00F13BE8">
        <w:rPr>
          <w:rFonts w:ascii="Arial" w:hAnsi="Arial" w:cs="Arial"/>
          <w:b/>
          <w:bCs/>
          <w:sz w:val="24"/>
          <w:szCs w:val="24"/>
        </w:rPr>
        <w:tab/>
      </w:r>
      <w:r w:rsidRPr="00F13BE8">
        <w:rPr>
          <w:rFonts w:ascii="Arial" w:hAnsi="Arial" w:cs="Arial"/>
          <w:b/>
          <w:bCs/>
          <w:sz w:val="24"/>
          <w:szCs w:val="24"/>
        </w:rPr>
        <w:tab/>
        <w:t xml:space="preserve"> </w:t>
      </w:r>
      <w:r w:rsidR="005079C4">
        <w:rPr>
          <w:rFonts w:ascii="Arial" w:hAnsi="Arial" w:cs="Arial"/>
          <w:b/>
          <w:bCs/>
          <w:sz w:val="24"/>
          <w:szCs w:val="24"/>
        </w:rPr>
        <w:tab/>
        <w:t>Klopper Jonker Inc.</w:t>
      </w:r>
    </w:p>
    <w:p w14:paraId="04A21A9E" w14:textId="098C41F0"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 xml:space="preserve">For the </w:t>
      </w:r>
      <w:r w:rsidR="005079C4">
        <w:rPr>
          <w:rFonts w:ascii="Arial" w:hAnsi="Arial" w:cs="Arial"/>
          <w:b/>
          <w:bCs/>
          <w:sz w:val="24"/>
          <w:szCs w:val="24"/>
        </w:rPr>
        <w:t xml:space="preserve">First </w:t>
      </w:r>
      <w:r w:rsidRPr="00F13BE8">
        <w:rPr>
          <w:rFonts w:ascii="Arial" w:hAnsi="Arial" w:cs="Arial"/>
          <w:b/>
          <w:bCs/>
          <w:sz w:val="24"/>
          <w:szCs w:val="24"/>
        </w:rPr>
        <w:t xml:space="preserve">Respondent: </w:t>
      </w:r>
      <w:r w:rsidRPr="00F13BE8">
        <w:rPr>
          <w:rFonts w:ascii="Arial" w:hAnsi="Arial" w:cs="Arial"/>
          <w:b/>
          <w:bCs/>
          <w:sz w:val="24"/>
          <w:szCs w:val="24"/>
        </w:rPr>
        <w:tab/>
      </w:r>
      <w:r w:rsidR="005079C4">
        <w:rPr>
          <w:rFonts w:ascii="Arial" w:hAnsi="Arial" w:cs="Arial"/>
          <w:b/>
          <w:bCs/>
          <w:sz w:val="24"/>
          <w:szCs w:val="24"/>
        </w:rPr>
        <w:t>In person</w:t>
      </w:r>
      <w:r w:rsidRPr="00F13BE8">
        <w:rPr>
          <w:rFonts w:ascii="Arial" w:hAnsi="Arial" w:cs="Arial"/>
          <w:b/>
          <w:bCs/>
          <w:sz w:val="24"/>
          <w:szCs w:val="24"/>
        </w:rPr>
        <w:tab/>
        <w:t xml:space="preserve"> </w:t>
      </w:r>
    </w:p>
    <w:p w14:paraId="40A4DF35" w14:textId="53201CCA"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ab/>
      </w:r>
      <w:r w:rsidRPr="00F13BE8">
        <w:rPr>
          <w:rFonts w:ascii="Arial" w:hAnsi="Arial" w:cs="Arial"/>
          <w:b/>
          <w:bCs/>
          <w:sz w:val="24"/>
          <w:szCs w:val="24"/>
        </w:rPr>
        <w:tab/>
        <w:t xml:space="preserve"> </w:t>
      </w:r>
    </w:p>
    <w:sectPr w:rsidR="00D41DD0" w:rsidRPr="00F13B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F9AC2" w14:textId="77777777" w:rsidR="007310A8" w:rsidRDefault="007310A8" w:rsidP="00FE31BD">
      <w:pPr>
        <w:spacing w:after="0" w:line="240" w:lineRule="auto"/>
      </w:pPr>
      <w:r>
        <w:separator/>
      </w:r>
    </w:p>
  </w:endnote>
  <w:endnote w:type="continuationSeparator" w:id="0">
    <w:p w14:paraId="0D987D2C" w14:textId="77777777" w:rsidR="007310A8" w:rsidRDefault="007310A8" w:rsidP="00F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FFD7" w14:textId="77777777" w:rsidR="007310A8" w:rsidRDefault="007310A8" w:rsidP="00FE31BD">
      <w:pPr>
        <w:spacing w:after="0" w:line="240" w:lineRule="auto"/>
      </w:pPr>
      <w:r>
        <w:separator/>
      </w:r>
    </w:p>
  </w:footnote>
  <w:footnote w:type="continuationSeparator" w:id="0">
    <w:p w14:paraId="26753419" w14:textId="77777777" w:rsidR="007310A8" w:rsidRDefault="007310A8" w:rsidP="00FE31BD">
      <w:pPr>
        <w:spacing w:after="0" w:line="240" w:lineRule="auto"/>
      </w:pPr>
      <w:r>
        <w:continuationSeparator/>
      </w:r>
    </w:p>
  </w:footnote>
  <w:footnote w:id="1">
    <w:p w14:paraId="5487D022" w14:textId="20097473" w:rsidR="005079C4" w:rsidRPr="005079C4" w:rsidRDefault="005079C4">
      <w:pPr>
        <w:pStyle w:val="FootnoteText"/>
        <w:rPr>
          <w:lang w:val="en-US"/>
        </w:rPr>
      </w:pPr>
      <w:r>
        <w:rPr>
          <w:rStyle w:val="FootnoteReference"/>
        </w:rPr>
        <w:footnoteRef/>
      </w:r>
      <w:r>
        <w:t xml:space="preserve"> </w:t>
      </w:r>
      <w:proofErr w:type="spellStart"/>
      <w:r>
        <w:rPr>
          <w:lang w:val="en-US"/>
        </w:rPr>
        <w:t>Caselines</w:t>
      </w:r>
      <w:proofErr w:type="spellEnd"/>
      <w:r>
        <w:rPr>
          <w:lang w:val="en-US"/>
        </w:rPr>
        <w:t>: 001 – 5; FA para 4, AA, para 59 (011 – 18)</w:t>
      </w:r>
    </w:p>
  </w:footnote>
  <w:footnote w:id="2">
    <w:p w14:paraId="372C0E22" w14:textId="7A250AC8" w:rsidR="005079C4" w:rsidRPr="005079C4" w:rsidRDefault="005079C4">
      <w:pPr>
        <w:pStyle w:val="FootnoteText"/>
        <w:rPr>
          <w:lang w:val="en-US"/>
        </w:rPr>
      </w:pPr>
      <w:r>
        <w:rPr>
          <w:rStyle w:val="FootnoteReference"/>
        </w:rPr>
        <w:footnoteRef/>
      </w:r>
      <w:r>
        <w:t xml:space="preserve"> </w:t>
      </w:r>
      <w:proofErr w:type="spellStart"/>
      <w:r>
        <w:rPr>
          <w:lang w:val="en-US"/>
        </w:rPr>
        <w:t>Caselines</w:t>
      </w:r>
      <w:proofErr w:type="spellEnd"/>
      <w:r>
        <w:rPr>
          <w:lang w:val="en-US"/>
        </w:rPr>
        <w:t>: 0</w:t>
      </w:r>
      <w:r w:rsidR="00573AAF">
        <w:rPr>
          <w:lang w:val="en-US"/>
        </w:rPr>
        <w:t>1</w:t>
      </w:r>
      <w:r>
        <w:rPr>
          <w:lang w:val="en-US"/>
        </w:rPr>
        <w:t>1 – 12 and 13 AA, para 35</w:t>
      </w:r>
    </w:p>
  </w:footnote>
  <w:footnote w:id="3">
    <w:p w14:paraId="28B3DA57" w14:textId="0F44A4C7" w:rsidR="005079C4" w:rsidRPr="005079C4" w:rsidRDefault="005079C4">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w:t>
      </w:r>
      <w:r w:rsidR="00D734F9">
        <w:rPr>
          <w:lang w:val="en-US"/>
        </w:rPr>
        <w:t>0</w:t>
      </w:r>
      <w:r w:rsidR="00573AAF">
        <w:rPr>
          <w:lang w:val="en-US"/>
        </w:rPr>
        <w:t>1</w:t>
      </w:r>
      <w:r w:rsidR="00D734F9">
        <w:rPr>
          <w:lang w:val="en-US"/>
        </w:rPr>
        <w:t>1 – 13 AA, para 36</w:t>
      </w:r>
    </w:p>
  </w:footnote>
  <w:footnote w:id="4">
    <w:p w14:paraId="1D4CDF84" w14:textId="69C98A5C" w:rsidR="00D734F9" w:rsidRPr="00D734F9" w:rsidRDefault="00D734F9">
      <w:pPr>
        <w:pStyle w:val="FootnoteText"/>
        <w:rPr>
          <w:lang w:val="en-US"/>
        </w:rPr>
      </w:pPr>
      <w:r>
        <w:rPr>
          <w:rStyle w:val="FootnoteReference"/>
        </w:rPr>
        <w:footnoteRef/>
      </w:r>
      <w:r>
        <w:t xml:space="preserve"> </w:t>
      </w:r>
      <w:proofErr w:type="spellStart"/>
      <w:r>
        <w:rPr>
          <w:lang w:val="en-US"/>
        </w:rPr>
        <w:t>Caselines</w:t>
      </w:r>
      <w:proofErr w:type="spellEnd"/>
      <w:r>
        <w:rPr>
          <w:lang w:val="en-US"/>
        </w:rPr>
        <w:t>: 001 – 6; FA para 9; AA, para 60 [011 – 18]</w:t>
      </w:r>
    </w:p>
  </w:footnote>
  <w:footnote w:id="5">
    <w:p w14:paraId="1236D444" w14:textId="35819062" w:rsidR="00D734F9" w:rsidRPr="00D734F9" w:rsidRDefault="00D734F9">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001 – 7; FA para 11, Annexure </w:t>
      </w:r>
      <w:r w:rsidR="00E47A54">
        <w:rPr>
          <w:lang w:val="en-US"/>
        </w:rPr>
        <w:t>‘</w:t>
      </w:r>
      <w:r>
        <w:rPr>
          <w:lang w:val="en-US"/>
        </w:rPr>
        <w:t>APP1</w:t>
      </w:r>
      <w:r w:rsidR="00E47A54">
        <w:rPr>
          <w:lang w:val="en-US"/>
        </w:rPr>
        <w:t>’</w:t>
      </w:r>
      <w:r>
        <w:rPr>
          <w:lang w:val="en-US"/>
        </w:rPr>
        <w:t xml:space="preserve"> [001 – 22 to 25]</w:t>
      </w:r>
    </w:p>
  </w:footnote>
  <w:footnote w:id="6">
    <w:p w14:paraId="45F2337B" w14:textId="0C3EDBF5" w:rsidR="00D734F9" w:rsidRPr="00D734F9" w:rsidRDefault="00D734F9">
      <w:pPr>
        <w:pStyle w:val="FootnoteText"/>
        <w:rPr>
          <w:lang w:val="en-US"/>
        </w:rPr>
      </w:pPr>
      <w:r>
        <w:rPr>
          <w:rStyle w:val="FootnoteReference"/>
        </w:rPr>
        <w:footnoteRef/>
      </w:r>
      <w:r>
        <w:t xml:space="preserve"> </w:t>
      </w:r>
      <w:proofErr w:type="spellStart"/>
      <w:r>
        <w:rPr>
          <w:lang w:val="en-US"/>
        </w:rPr>
        <w:t>Caselines</w:t>
      </w:r>
      <w:proofErr w:type="spellEnd"/>
      <w:r>
        <w:rPr>
          <w:lang w:val="en-US"/>
        </w:rPr>
        <w:t>: 011 – 14; AA, para 39</w:t>
      </w:r>
    </w:p>
  </w:footnote>
  <w:footnote w:id="7">
    <w:p w14:paraId="2C7F662A" w14:textId="52DFC35F" w:rsidR="00E47A54" w:rsidRPr="00E47A54" w:rsidRDefault="00E47A54">
      <w:pPr>
        <w:pStyle w:val="FootnoteText"/>
        <w:rPr>
          <w:lang w:val="en-US"/>
        </w:rPr>
      </w:pPr>
      <w:r>
        <w:rPr>
          <w:rStyle w:val="FootnoteReference"/>
        </w:rPr>
        <w:footnoteRef/>
      </w:r>
      <w:r>
        <w:t xml:space="preserve"> </w:t>
      </w:r>
      <w:proofErr w:type="spellStart"/>
      <w:r>
        <w:rPr>
          <w:lang w:val="en-US"/>
        </w:rPr>
        <w:t>Caselines</w:t>
      </w:r>
      <w:proofErr w:type="spellEnd"/>
      <w:r>
        <w:rPr>
          <w:lang w:val="en-US"/>
        </w:rPr>
        <w:t>: 0</w:t>
      </w:r>
      <w:r w:rsidR="00573AAF">
        <w:rPr>
          <w:lang w:val="en-US"/>
        </w:rPr>
        <w:t>0</w:t>
      </w:r>
      <w:r>
        <w:rPr>
          <w:lang w:val="en-US"/>
        </w:rPr>
        <w:t>1 – 12; FA para 25; Annexure ‘APP5’ [001 – 34] at clause 2.1 [001 – 35]</w:t>
      </w:r>
    </w:p>
  </w:footnote>
  <w:footnote w:id="8">
    <w:p w14:paraId="766A5725" w14:textId="1F9DE923" w:rsidR="00B46B26" w:rsidRPr="00B46B26" w:rsidRDefault="00B46B26">
      <w:pPr>
        <w:pStyle w:val="FootnoteText"/>
        <w:rPr>
          <w:lang w:val="en-US"/>
        </w:rPr>
      </w:pPr>
      <w:r>
        <w:rPr>
          <w:rStyle w:val="FootnoteReference"/>
        </w:rPr>
        <w:footnoteRef/>
      </w:r>
      <w:r>
        <w:t xml:space="preserve"> </w:t>
      </w:r>
      <w:proofErr w:type="spellStart"/>
      <w:r>
        <w:rPr>
          <w:lang w:val="en-US"/>
        </w:rPr>
        <w:t>Caselines</w:t>
      </w:r>
      <w:proofErr w:type="spellEnd"/>
      <w:r>
        <w:rPr>
          <w:lang w:val="en-US"/>
        </w:rPr>
        <w:t>: 001 – 13; FA, para 28; AA, para 90 [011 – 23]</w:t>
      </w:r>
    </w:p>
  </w:footnote>
  <w:footnote w:id="9">
    <w:p w14:paraId="29C177AB" w14:textId="259A6B28" w:rsidR="00B46B26" w:rsidRPr="00B46B26" w:rsidRDefault="00B46B26">
      <w:pPr>
        <w:pStyle w:val="FootnoteText"/>
        <w:rPr>
          <w:lang w:val="en-US"/>
        </w:rPr>
      </w:pPr>
      <w:r>
        <w:rPr>
          <w:rStyle w:val="FootnoteReference"/>
        </w:rPr>
        <w:footnoteRef/>
      </w:r>
      <w:r>
        <w:t xml:space="preserve"> </w:t>
      </w:r>
      <w:proofErr w:type="spellStart"/>
      <w:r>
        <w:rPr>
          <w:lang w:val="en-US"/>
        </w:rPr>
        <w:t>Caselines</w:t>
      </w:r>
      <w:proofErr w:type="spellEnd"/>
      <w:r>
        <w:rPr>
          <w:lang w:val="en-US"/>
        </w:rPr>
        <w:t>: 001 – 14; FA, para 29; AA, para 93 [011 – 24]</w:t>
      </w:r>
    </w:p>
  </w:footnote>
  <w:footnote w:id="10">
    <w:p w14:paraId="6F93C3C1" w14:textId="3772C702" w:rsidR="00B46B26" w:rsidRPr="00B46B26" w:rsidRDefault="00B46B26">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011 – 14; AA, para 41; para 43 [011 </w:t>
      </w:r>
      <w:r w:rsidR="007814BE">
        <w:rPr>
          <w:lang w:val="en-US"/>
        </w:rPr>
        <w:t>–</w:t>
      </w:r>
      <w:r>
        <w:rPr>
          <w:lang w:val="en-US"/>
        </w:rPr>
        <w:t xml:space="preserve"> 15</w:t>
      </w:r>
      <w:r w:rsidR="007814BE">
        <w:rPr>
          <w:lang w:val="en-US"/>
        </w:rPr>
        <w:t>]; para 63 [011 – 18]; para 64 [011 – 19]</w:t>
      </w:r>
    </w:p>
  </w:footnote>
  <w:footnote w:id="11">
    <w:p w14:paraId="531537E1" w14:textId="7CCCB58D" w:rsidR="000B1A88" w:rsidRPr="000B1A88" w:rsidRDefault="000B1A88">
      <w:pPr>
        <w:pStyle w:val="FootnoteText"/>
        <w:rPr>
          <w:lang w:val="en-US"/>
        </w:rPr>
      </w:pPr>
      <w:r>
        <w:rPr>
          <w:rStyle w:val="FootnoteReference"/>
        </w:rPr>
        <w:footnoteRef/>
      </w:r>
      <w:r>
        <w:t xml:space="preserve"> </w:t>
      </w:r>
      <w:r>
        <w:rPr>
          <w:lang w:val="en-US"/>
        </w:rPr>
        <w:t>1925 AD 282 at 293</w:t>
      </w:r>
    </w:p>
  </w:footnote>
  <w:footnote w:id="12">
    <w:p w14:paraId="5548C64B" w14:textId="3CBCBA18" w:rsidR="000B1A88" w:rsidRPr="000B1A88" w:rsidRDefault="000B1A88">
      <w:pPr>
        <w:pStyle w:val="FootnoteText"/>
        <w:rPr>
          <w:lang w:val="en-US"/>
        </w:rPr>
      </w:pPr>
      <w:r>
        <w:rPr>
          <w:rStyle w:val="FootnoteReference"/>
        </w:rPr>
        <w:footnoteRef/>
      </w:r>
      <w:r>
        <w:t xml:space="preserve"> </w:t>
      </w:r>
      <w:r>
        <w:rPr>
          <w:lang w:val="en-US"/>
        </w:rPr>
        <w:t xml:space="preserve">Vide: Christie R H and Bradfield G B. Christie’s The Law of </w:t>
      </w:r>
      <w:r w:rsidR="00663C04">
        <w:rPr>
          <w:lang w:val="en-US"/>
        </w:rPr>
        <w:t>C</w:t>
      </w:r>
      <w:r>
        <w:rPr>
          <w:lang w:val="en-US"/>
        </w:rPr>
        <w:t>ontract in South Africa</w:t>
      </w:r>
      <w:r w:rsidR="00663C04">
        <w:rPr>
          <w:lang w:val="en-US"/>
        </w:rPr>
        <w:t xml:space="preserve"> (6</w:t>
      </w:r>
      <w:r w:rsidR="00663C04" w:rsidRPr="00663C04">
        <w:rPr>
          <w:vertAlign w:val="superscript"/>
          <w:lang w:val="en-US"/>
        </w:rPr>
        <w:t>th</w:t>
      </w:r>
      <w:r w:rsidR="00663C04">
        <w:rPr>
          <w:lang w:val="en-US"/>
        </w:rPr>
        <w:t xml:space="preserve"> Edition, Lexis Nexis (2011) at 344</w:t>
      </w:r>
    </w:p>
  </w:footnote>
  <w:footnote w:id="13">
    <w:p w14:paraId="4353204B" w14:textId="3A73413D" w:rsidR="0009616C" w:rsidRPr="0009616C" w:rsidRDefault="0009616C">
      <w:pPr>
        <w:pStyle w:val="FootnoteText"/>
        <w:rPr>
          <w:lang w:val="en-US"/>
        </w:rPr>
      </w:pPr>
      <w:r>
        <w:rPr>
          <w:rStyle w:val="FootnoteReference"/>
        </w:rPr>
        <w:footnoteRef/>
      </w:r>
      <w:r>
        <w:t xml:space="preserve"> </w:t>
      </w:r>
      <w:r>
        <w:rPr>
          <w:lang w:val="en-US"/>
        </w:rPr>
        <w:t xml:space="preserve">Bester NO and Others v Schmidt </w:t>
      </w:r>
      <w:proofErr w:type="spellStart"/>
      <w:r>
        <w:rPr>
          <w:lang w:val="en-US"/>
        </w:rPr>
        <w:t>Bou</w:t>
      </w:r>
      <w:proofErr w:type="spellEnd"/>
      <w:r>
        <w:rPr>
          <w:lang w:val="en-US"/>
        </w:rPr>
        <w:t xml:space="preserve"> </w:t>
      </w:r>
      <w:proofErr w:type="spellStart"/>
      <w:r>
        <w:rPr>
          <w:lang w:val="en-US"/>
        </w:rPr>
        <w:t>Ontwikkelings</w:t>
      </w:r>
      <w:proofErr w:type="spellEnd"/>
      <w:r>
        <w:rPr>
          <w:lang w:val="en-US"/>
        </w:rPr>
        <w:t xml:space="preserve"> CC 2013 (1) SA 125 (SCA) at [12]</w:t>
      </w:r>
    </w:p>
  </w:footnote>
  <w:footnote w:id="14">
    <w:p w14:paraId="734189AB" w14:textId="27ECDFB2" w:rsidR="0009616C" w:rsidRDefault="0009616C">
      <w:pPr>
        <w:pStyle w:val="FootnoteText"/>
        <w:rPr>
          <w:lang w:val="en-US"/>
        </w:rPr>
      </w:pPr>
      <w:r>
        <w:rPr>
          <w:rStyle w:val="FootnoteReference"/>
        </w:rPr>
        <w:footnoteRef/>
      </w:r>
      <w:r>
        <w:t xml:space="preserve"> </w:t>
      </w:r>
      <w:proofErr w:type="spellStart"/>
      <w:r>
        <w:rPr>
          <w:lang w:val="en-US"/>
        </w:rPr>
        <w:t>Soffiantini</w:t>
      </w:r>
      <w:proofErr w:type="spellEnd"/>
      <w:r>
        <w:rPr>
          <w:lang w:val="en-US"/>
        </w:rPr>
        <w:t xml:space="preserve"> v </w:t>
      </w:r>
      <w:proofErr w:type="spellStart"/>
      <w:r>
        <w:rPr>
          <w:lang w:val="en-US"/>
        </w:rPr>
        <w:t>Mould</w:t>
      </w:r>
      <w:proofErr w:type="spellEnd"/>
      <w:r>
        <w:rPr>
          <w:lang w:val="en-US"/>
        </w:rPr>
        <w:t xml:space="preserve"> [1956] 4 ALL SA 171 [E]</w:t>
      </w:r>
    </w:p>
    <w:p w14:paraId="6DC210C7" w14:textId="77777777" w:rsidR="0009616C" w:rsidRPr="0009616C" w:rsidRDefault="0009616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781D"/>
    <w:multiLevelType w:val="multilevel"/>
    <w:tmpl w:val="23969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CA725C3"/>
    <w:multiLevelType w:val="hybridMultilevel"/>
    <w:tmpl w:val="50763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EA0F59"/>
    <w:multiLevelType w:val="multilevel"/>
    <w:tmpl w:val="FF9A70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C2E5211"/>
    <w:multiLevelType w:val="hybridMultilevel"/>
    <w:tmpl w:val="278C907C"/>
    <w:lvl w:ilvl="0" w:tplc="4F5873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6AD7CB3"/>
    <w:multiLevelType w:val="hybridMultilevel"/>
    <w:tmpl w:val="A25405A0"/>
    <w:lvl w:ilvl="0" w:tplc="C28ACF3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576A533B"/>
    <w:multiLevelType w:val="hybridMultilevel"/>
    <w:tmpl w:val="53820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D"/>
    <w:rsid w:val="00015263"/>
    <w:rsid w:val="00023BB0"/>
    <w:rsid w:val="00027DB7"/>
    <w:rsid w:val="000570EE"/>
    <w:rsid w:val="00086C39"/>
    <w:rsid w:val="00091771"/>
    <w:rsid w:val="0009616C"/>
    <w:rsid w:val="000A6604"/>
    <w:rsid w:val="000B1A88"/>
    <w:rsid w:val="000B4E7B"/>
    <w:rsid w:val="000D25D8"/>
    <w:rsid w:val="00120441"/>
    <w:rsid w:val="00151575"/>
    <w:rsid w:val="001A351C"/>
    <w:rsid w:val="001A3727"/>
    <w:rsid w:val="001C1E54"/>
    <w:rsid w:val="00202F59"/>
    <w:rsid w:val="00224B5B"/>
    <w:rsid w:val="00233092"/>
    <w:rsid w:val="0029404A"/>
    <w:rsid w:val="002B7A57"/>
    <w:rsid w:val="003004EA"/>
    <w:rsid w:val="00320956"/>
    <w:rsid w:val="0035762F"/>
    <w:rsid w:val="00366C79"/>
    <w:rsid w:val="003D07E5"/>
    <w:rsid w:val="003E420D"/>
    <w:rsid w:val="003F4C44"/>
    <w:rsid w:val="004230DC"/>
    <w:rsid w:val="00435D1A"/>
    <w:rsid w:val="00474289"/>
    <w:rsid w:val="00486979"/>
    <w:rsid w:val="004A0153"/>
    <w:rsid w:val="004C5DE8"/>
    <w:rsid w:val="004E7A96"/>
    <w:rsid w:val="00505397"/>
    <w:rsid w:val="00505CBB"/>
    <w:rsid w:val="005079C4"/>
    <w:rsid w:val="00524150"/>
    <w:rsid w:val="00573AAF"/>
    <w:rsid w:val="005E4033"/>
    <w:rsid w:val="005E7DC8"/>
    <w:rsid w:val="005F672D"/>
    <w:rsid w:val="0060090F"/>
    <w:rsid w:val="00616D57"/>
    <w:rsid w:val="00626331"/>
    <w:rsid w:val="00626BC6"/>
    <w:rsid w:val="00637875"/>
    <w:rsid w:val="00663C04"/>
    <w:rsid w:val="006B5950"/>
    <w:rsid w:val="006C24CD"/>
    <w:rsid w:val="006E07D1"/>
    <w:rsid w:val="007310A8"/>
    <w:rsid w:val="00745E1A"/>
    <w:rsid w:val="00777C9D"/>
    <w:rsid w:val="007814BE"/>
    <w:rsid w:val="0079330E"/>
    <w:rsid w:val="007C193C"/>
    <w:rsid w:val="008746E2"/>
    <w:rsid w:val="008870EF"/>
    <w:rsid w:val="0089650E"/>
    <w:rsid w:val="008C239C"/>
    <w:rsid w:val="008D1340"/>
    <w:rsid w:val="008D2E75"/>
    <w:rsid w:val="008D4AE6"/>
    <w:rsid w:val="008E0DCB"/>
    <w:rsid w:val="009369C9"/>
    <w:rsid w:val="0095453C"/>
    <w:rsid w:val="00992E8D"/>
    <w:rsid w:val="009B0061"/>
    <w:rsid w:val="009B5F83"/>
    <w:rsid w:val="00A43768"/>
    <w:rsid w:val="00AB7C65"/>
    <w:rsid w:val="00AE321A"/>
    <w:rsid w:val="00B14125"/>
    <w:rsid w:val="00B2099D"/>
    <w:rsid w:val="00B23B21"/>
    <w:rsid w:val="00B46B26"/>
    <w:rsid w:val="00B53C70"/>
    <w:rsid w:val="00B80229"/>
    <w:rsid w:val="00B83AFF"/>
    <w:rsid w:val="00B92D4F"/>
    <w:rsid w:val="00B96930"/>
    <w:rsid w:val="00BB06BD"/>
    <w:rsid w:val="00BB619E"/>
    <w:rsid w:val="00C4136D"/>
    <w:rsid w:val="00C447E1"/>
    <w:rsid w:val="00C61BA6"/>
    <w:rsid w:val="00D01430"/>
    <w:rsid w:val="00D41DD0"/>
    <w:rsid w:val="00D734F9"/>
    <w:rsid w:val="00D8302B"/>
    <w:rsid w:val="00D9552C"/>
    <w:rsid w:val="00DA4106"/>
    <w:rsid w:val="00DC045D"/>
    <w:rsid w:val="00DC2D79"/>
    <w:rsid w:val="00DD7162"/>
    <w:rsid w:val="00DE0EA4"/>
    <w:rsid w:val="00DE39F3"/>
    <w:rsid w:val="00DE61BA"/>
    <w:rsid w:val="00DE7320"/>
    <w:rsid w:val="00E43FE9"/>
    <w:rsid w:val="00E47A54"/>
    <w:rsid w:val="00E6045B"/>
    <w:rsid w:val="00E75D5E"/>
    <w:rsid w:val="00ED0CD7"/>
    <w:rsid w:val="00F13BE8"/>
    <w:rsid w:val="00F17098"/>
    <w:rsid w:val="00F55E3C"/>
    <w:rsid w:val="00F57A9F"/>
    <w:rsid w:val="00F70F2B"/>
    <w:rsid w:val="00FA35D1"/>
    <w:rsid w:val="00FA4C60"/>
    <w:rsid w:val="00FE3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6237"/>
  <w15:chartTrackingRefBased/>
  <w15:docId w15:val="{00642126-76C2-4434-A91D-2B744EB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6D"/>
    <w:pPr>
      <w:ind w:left="720"/>
      <w:contextualSpacing/>
    </w:pPr>
  </w:style>
  <w:style w:type="paragraph" w:styleId="FootnoteText">
    <w:name w:val="footnote text"/>
    <w:basedOn w:val="Normal"/>
    <w:link w:val="FootnoteTextChar"/>
    <w:uiPriority w:val="99"/>
    <w:semiHidden/>
    <w:unhideWhenUsed/>
    <w:rsid w:val="00FE3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1BD"/>
    <w:rPr>
      <w:sz w:val="20"/>
      <w:szCs w:val="20"/>
    </w:rPr>
  </w:style>
  <w:style w:type="character" w:styleId="FootnoteReference">
    <w:name w:val="footnote reference"/>
    <w:basedOn w:val="DefaultParagraphFont"/>
    <w:uiPriority w:val="99"/>
    <w:semiHidden/>
    <w:unhideWhenUsed/>
    <w:rsid w:val="00FE3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512C-6085-411A-A3D2-C6BA2A78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Mary Bruce</cp:lastModifiedBy>
  <cp:revision>5</cp:revision>
  <dcterms:created xsi:type="dcterms:W3CDTF">2023-10-25T13:12:00Z</dcterms:created>
  <dcterms:modified xsi:type="dcterms:W3CDTF">2023-10-26T08:27:00Z</dcterms:modified>
</cp:coreProperties>
</file>