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BDA97" w14:textId="4BCB4E6E" w:rsidR="007B7F59" w:rsidRPr="00B2223A" w:rsidRDefault="007B7F59" w:rsidP="00943A58">
      <w:pPr>
        <w:tabs>
          <w:tab w:val="left" w:pos="2342"/>
          <w:tab w:val="center" w:pos="4513"/>
        </w:tabs>
        <w:spacing w:after="0" w:line="240" w:lineRule="auto"/>
        <w:ind w:left="0"/>
        <w:outlineLvl w:val="0"/>
        <w:rPr>
          <w:rFonts w:eastAsia="Times New Roman" w:cs="Arial"/>
          <w:b/>
          <w:noProof/>
          <w:szCs w:val="24"/>
          <w:lang w:val="en-ZA" w:eastAsia="en-ZA"/>
        </w:rPr>
      </w:pPr>
      <w:bookmarkStart w:id="0" w:name="_GoBack"/>
      <w:bookmarkEnd w:id="0"/>
    </w:p>
    <w:p w14:paraId="2D5D8522" w14:textId="77777777" w:rsidR="007B7F59" w:rsidRPr="00B2223A"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p>
    <w:p w14:paraId="77C93E9E" w14:textId="77777777" w:rsidR="007B7F59" w:rsidRPr="00B2223A" w:rsidRDefault="007B7F59" w:rsidP="007B7F59">
      <w:pPr>
        <w:tabs>
          <w:tab w:val="left" w:pos="2342"/>
          <w:tab w:val="center" w:pos="4513"/>
        </w:tabs>
        <w:spacing w:after="0" w:line="240" w:lineRule="auto"/>
        <w:ind w:left="0"/>
        <w:jc w:val="center"/>
        <w:outlineLvl w:val="0"/>
        <w:rPr>
          <w:rFonts w:eastAsia="Times New Roman" w:cs="Arial"/>
          <w:szCs w:val="24"/>
          <w:lang w:val="en-ZA"/>
        </w:rPr>
      </w:pPr>
      <w:r w:rsidRPr="00B2223A">
        <w:rPr>
          <w:rFonts w:eastAsia="Times New Roman" w:cs="Arial"/>
          <w:noProof/>
          <w:szCs w:val="24"/>
          <w:lang w:val="en-ZA" w:eastAsia="en-ZA"/>
        </w:rPr>
        <w:drawing>
          <wp:inline distT="0" distB="0" distL="0" distR="0" wp14:anchorId="7263FB3A" wp14:editId="00A9CD52">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7E74285C" w14:textId="77777777" w:rsidR="007B7F59" w:rsidRPr="00B2223A" w:rsidRDefault="007B7F59" w:rsidP="007B7F59">
      <w:pPr>
        <w:spacing w:after="0" w:line="240" w:lineRule="auto"/>
        <w:ind w:left="0"/>
        <w:jc w:val="center"/>
        <w:outlineLvl w:val="0"/>
        <w:rPr>
          <w:rFonts w:eastAsia="Times New Roman" w:cs="Arial"/>
          <w:b/>
          <w:szCs w:val="24"/>
          <w:lang w:val="en-ZA"/>
        </w:rPr>
      </w:pPr>
    </w:p>
    <w:p w14:paraId="493D4017" w14:textId="77777777" w:rsidR="007B7F59" w:rsidRPr="00B2223A" w:rsidRDefault="007B7F59" w:rsidP="007B7F59">
      <w:pPr>
        <w:spacing w:after="0" w:line="240" w:lineRule="auto"/>
        <w:ind w:left="0"/>
        <w:jc w:val="center"/>
        <w:outlineLvl w:val="0"/>
        <w:rPr>
          <w:rFonts w:eastAsia="Times New Roman" w:cs="Arial"/>
          <w:b/>
          <w:szCs w:val="24"/>
          <w:lang w:val="en-ZA"/>
        </w:rPr>
      </w:pPr>
      <w:r w:rsidRPr="00B2223A">
        <w:rPr>
          <w:rFonts w:eastAsia="Times New Roman" w:cs="Arial"/>
          <w:b/>
          <w:szCs w:val="24"/>
          <w:lang w:val="en-ZA"/>
        </w:rPr>
        <w:t>IN THE HIGH COURT OF SOUTH AFRICA</w:t>
      </w:r>
    </w:p>
    <w:p w14:paraId="4DD09722" w14:textId="33473FFA" w:rsidR="007B7F59" w:rsidRPr="00B2223A" w:rsidRDefault="007B7F59" w:rsidP="007B7F59">
      <w:pPr>
        <w:spacing w:after="0" w:line="240" w:lineRule="auto"/>
        <w:ind w:left="0"/>
        <w:jc w:val="center"/>
        <w:outlineLvl w:val="0"/>
        <w:rPr>
          <w:rFonts w:eastAsia="Times New Roman" w:cs="Arial"/>
          <w:b/>
          <w:szCs w:val="24"/>
          <w:lang w:val="en-ZA"/>
        </w:rPr>
      </w:pPr>
      <w:r w:rsidRPr="00B2223A">
        <w:rPr>
          <w:rFonts w:eastAsia="Times New Roman" w:cs="Arial"/>
          <w:b/>
          <w:szCs w:val="24"/>
          <w:lang w:val="en-ZA"/>
        </w:rPr>
        <w:t>GAUTENG</w:t>
      </w:r>
      <w:r w:rsidR="00943A58">
        <w:rPr>
          <w:rFonts w:eastAsia="Times New Roman" w:cs="Arial"/>
          <w:b/>
          <w:szCs w:val="24"/>
          <w:lang w:val="en-ZA"/>
        </w:rPr>
        <w:t xml:space="preserve"> LOCAL</w:t>
      </w:r>
      <w:r w:rsidRPr="00B2223A">
        <w:rPr>
          <w:rFonts w:eastAsia="Times New Roman" w:cs="Arial"/>
          <w:b/>
          <w:szCs w:val="24"/>
          <w:lang w:val="en-ZA"/>
        </w:rPr>
        <w:t xml:space="preserve"> DIVISION, JOHANNESBURG</w:t>
      </w:r>
    </w:p>
    <w:p w14:paraId="5642D8F4" w14:textId="77777777" w:rsidR="007B7F59" w:rsidRPr="00B2223A" w:rsidRDefault="007B7F59" w:rsidP="007B7F59">
      <w:pPr>
        <w:spacing w:after="0" w:line="240" w:lineRule="auto"/>
        <w:ind w:left="0"/>
        <w:rPr>
          <w:rFonts w:eastAsia="Times New Roman" w:cs="Arial"/>
          <w:szCs w:val="24"/>
          <w:lang w:val="en-ZA"/>
        </w:rPr>
      </w:pPr>
    </w:p>
    <w:p w14:paraId="5D89EE2B" w14:textId="5901D352" w:rsidR="007B7F59" w:rsidRPr="00B2223A" w:rsidRDefault="007B7F59" w:rsidP="007B7F59">
      <w:pPr>
        <w:spacing w:after="0" w:line="240" w:lineRule="auto"/>
        <w:ind w:left="0"/>
        <w:rPr>
          <w:rFonts w:eastAsia="Times New Roman" w:cs="Arial"/>
          <w:szCs w:val="24"/>
          <w:lang w:val="en-ZA"/>
        </w:rPr>
      </w:pPr>
    </w:p>
    <w:p w14:paraId="0F82C62F" w14:textId="442B5368" w:rsidR="007B7F59" w:rsidRPr="00B2223A" w:rsidRDefault="007B7F59" w:rsidP="007B7F59">
      <w:pPr>
        <w:tabs>
          <w:tab w:val="right" w:pos="9029"/>
        </w:tabs>
        <w:spacing w:after="0" w:line="240" w:lineRule="auto"/>
        <w:ind w:left="0"/>
        <w:rPr>
          <w:rFonts w:eastAsia="Times New Roman" w:cs="Arial"/>
          <w:bCs/>
          <w:szCs w:val="24"/>
          <w:lang w:val="en-ZA"/>
        </w:rPr>
      </w:pPr>
      <w:r w:rsidRPr="00B2223A">
        <w:rPr>
          <w:rFonts w:eastAsia="Times New Roman" w:cs="Arial"/>
          <w:szCs w:val="24"/>
          <w:lang w:val="en-ZA"/>
        </w:rPr>
        <w:tab/>
      </w:r>
      <w:r w:rsidRPr="00B2223A">
        <w:rPr>
          <w:rFonts w:eastAsia="Times New Roman" w:cs="Arial"/>
          <w:bCs/>
          <w:szCs w:val="24"/>
          <w:lang w:val="en-ZA"/>
        </w:rPr>
        <w:t xml:space="preserve">Case Number: </w:t>
      </w:r>
      <w:r w:rsidR="00B2223A" w:rsidRPr="00B2223A">
        <w:rPr>
          <w:rFonts w:eastAsia="Times New Roman" w:cs="Arial"/>
          <w:bCs/>
          <w:szCs w:val="24"/>
          <w:lang w:val="en-ZA"/>
        </w:rPr>
        <w:t>7434/2022</w:t>
      </w:r>
    </w:p>
    <w:p w14:paraId="26F9B565" w14:textId="4D2B96D8" w:rsidR="007B7F59" w:rsidRPr="00B2223A" w:rsidRDefault="00943A58" w:rsidP="007B7F59">
      <w:pPr>
        <w:tabs>
          <w:tab w:val="right" w:pos="9029"/>
        </w:tabs>
        <w:spacing w:after="0" w:line="240" w:lineRule="auto"/>
        <w:ind w:left="0"/>
        <w:rPr>
          <w:rFonts w:eastAsia="Times New Roman" w:cs="Arial"/>
          <w:szCs w:val="24"/>
          <w:lang w:val="en-ZA"/>
        </w:rPr>
      </w:pPr>
      <w:r w:rsidRPr="00B2223A">
        <w:rPr>
          <w:rFonts w:cs="Arial"/>
          <w:noProof/>
          <w:szCs w:val="24"/>
          <w:lang w:val="en-ZA" w:eastAsia="en-ZA"/>
        </w:rPr>
        <mc:AlternateContent>
          <mc:Choice Requires="wps">
            <w:drawing>
              <wp:anchor distT="0" distB="0" distL="114300" distR="114300" simplePos="0" relativeHeight="251659264" behindDoc="0" locked="0" layoutInCell="1" allowOverlap="1" wp14:anchorId="0D366FF9" wp14:editId="4F005460">
                <wp:simplePos x="0" y="0"/>
                <wp:positionH relativeFrom="margin">
                  <wp:align>left</wp:align>
                </wp:positionH>
                <wp:positionV relativeFrom="paragraph">
                  <wp:posOffset>20320</wp:posOffset>
                </wp:positionV>
                <wp:extent cx="3314700" cy="13589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58900"/>
                        </a:xfrm>
                        <a:prstGeom prst="rect">
                          <a:avLst/>
                        </a:prstGeom>
                        <a:solidFill>
                          <a:srgbClr val="FFFFFF"/>
                        </a:solidFill>
                        <a:ln w="9525">
                          <a:solidFill>
                            <a:srgbClr val="000000"/>
                          </a:solidFill>
                          <a:miter lim="800000"/>
                          <a:headEnd/>
                          <a:tailEnd/>
                        </a:ln>
                      </wps:spPr>
                      <wps:txbx>
                        <w:txbxContent>
                          <w:p w14:paraId="017BAFE3" w14:textId="3E14B5AD" w:rsidR="007B7F59" w:rsidRPr="00B2223A" w:rsidRDefault="00BF1DCE" w:rsidP="00BF1DCE">
                            <w:pPr>
                              <w:tabs>
                                <w:tab w:val="left" w:pos="900"/>
                              </w:tabs>
                              <w:spacing w:after="0" w:line="240" w:lineRule="auto"/>
                              <w:ind w:left="900" w:hanging="720"/>
                              <w:jc w:val="left"/>
                              <w:rPr>
                                <w:rFonts w:cs="Arial"/>
                                <w:sz w:val="18"/>
                                <w:szCs w:val="20"/>
                              </w:rPr>
                            </w:pPr>
                            <w:r w:rsidRPr="00B2223A">
                              <w:rPr>
                                <w:rFonts w:cs="Arial"/>
                                <w:sz w:val="18"/>
                                <w:szCs w:val="20"/>
                              </w:rPr>
                              <w:t>(1)</w:t>
                            </w:r>
                            <w:r w:rsidRPr="00B2223A">
                              <w:rPr>
                                <w:rFonts w:cs="Arial"/>
                                <w:sz w:val="18"/>
                                <w:szCs w:val="20"/>
                              </w:rPr>
                              <w:tab/>
                            </w:r>
                            <w:r w:rsidR="007B7F59" w:rsidRPr="003B746C">
                              <w:rPr>
                                <w:rFonts w:cs="Arial"/>
                                <w:sz w:val="18"/>
                                <w:szCs w:val="20"/>
                              </w:rPr>
                              <w:t xml:space="preserve">REPORTABLE: </w:t>
                            </w:r>
                            <w:r w:rsidR="007B7F59" w:rsidRPr="00B2223A">
                              <w:rPr>
                                <w:rFonts w:cs="Arial"/>
                                <w:sz w:val="18"/>
                                <w:szCs w:val="20"/>
                              </w:rPr>
                              <w:t>YES / NO</w:t>
                            </w:r>
                          </w:p>
                          <w:p w14:paraId="01174A1F" w14:textId="05AC4D0E" w:rsidR="007B7F59" w:rsidRPr="00B2223A" w:rsidRDefault="00BF1DCE" w:rsidP="00BF1DCE">
                            <w:pPr>
                              <w:tabs>
                                <w:tab w:val="left" w:pos="900"/>
                              </w:tabs>
                              <w:spacing w:after="0" w:line="240" w:lineRule="auto"/>
                              <w:ind w:left="900" w:hanging="720"/>
                              <w:jc w:val="left"/>
                              <w:rPr>
                                <w:rFonts w:cs="Arial"/>
                                <w:sz w:val="18"/>
                                <w:szCs w:val="20"/>
                              </w:rPr>
                            </w:pPr>
                            <w:r w:rsidRPr="00B2223A">
                              <w:rPr>
                                <w:rFonts w:cs="Arial"/>
                                <w:sz w:val="18"/>
                                <w:szCs w:val="20"/>
                              </w:rPr>
                              <w:t>(2)</w:t>
                            </w:r>
                            <w:r w:rsidRPr="00B2223A">
                              <w:rPr>
                                <w:rFonts w:cs="Arial"/>
                                <w:sz w:val="18"/>
                                <w:szCs w:val="20"/>
                              </w:rPr>
                              <w:tab/>
                            </w:r>
                            <w:r w:rsidR="007B7F59" w:rsidRPr="00B2223A">
                              <w:rPr>
                                <w:rFonts w:cs="Arial"/>
                                <w:sz w:val="18"/>
                                <w:szCs w:val="20"/>
                              </w:rPr>
                              <w:t>OF INTEREST TO OTHER JUDGES: YES/NO</w:t>
                            </w:r>
                          </w:p>
                          <w:p w14:paraId="758332A5" w14:textId="4FA4F087" w:rsidR="007B7F59" w:rsidRPr="00B2223A" w:rsidRDefault="00BF1DCE" w:rsidP="00BF1DCE">
                            <w:pPr>
                              <w:tabs>
                                <w:tab w:val="left" w:pos="900"/>
                              </w:tabs>
                              <w:spacing w:after="0" w:line="240" w:lineRule="auto"/>
                              <w:ind w:left="900" w:hanging="720"/>
                              <w:jc w:val="left"/>
                              <w:rPr>
                                <w:rFonts w:cs="Arial"/>
                                <w:sz w:val="18"/>
                                <w:szCs w:val="20"/>
                              </w:rPr>
                            </w:pPr>
                            <w:r w:rsidRPr="00B2223A">
                              <w:rPr>
                                <w:rFonts w:cs="Arial"/>
                                <w:sz w:val="18"/>
                                <w:szCs w:val="20"/>
                              </w:rPr>
                              <w:t>(3)</w:t>
                            </w:r>
                            <w:r w:rsidRPr="00B2223A">
                              <w:rPr>
                                <w:rFonts w:cs="Arial"/>
                                <w:sz w:val="18"/>
                                <w:szCs w:val="20"/>
                              </w:rPr>
                              <w:tab/>
                            </w:r>
                            <w:r w:rsidR="007B7F59" w:rsidRPr="00B2223A">
                              <w:rPr>
                                <w:rFonts w:cs="Arial"/>
                                <w:sz w:val="18"/>
                                <w:szCs w:val="20"/>
                              </w:rPr>
                              <w:t>REVISED: YES/NO</w:t>
                            </w:r>
                          </w:p>
                          <w:p w14:paraId="453ACFCC" w14:textId="1C2037DD" w:rsidR="007B7F59" w:rsidRPr="00E623F2" w:rsidRDefault="007B7F59" w:rsidP="002B448C">
                            <w:pPr>
                              <w:spacing w:before="240" w:after="0"/>
                              <w:rPr>
                                <w:rFonts w:cs="Arial"/>
                                <w:b/>
                                <w:sz w:val="18"/>
                                <w:szCs w:val="20"/>
                                <w:u w:val="single"/>
                              </w:rPr>
                            </w:pPr>
                            <w:r w:rsidRPr="003B746C">
                              <w:rPr>
                                <w:rFonts w:cs="Arial"/>
                                <w:b/>
                                <w:sz w:val="18"/>
                                <w:szCs w:val="20"/>
                              </w:rPr>
                              <w:t>__</w:t>
                            </w:r>
                            <w:r w:rsidR="00E623F2" w:rsidRPr="00E623F2">
                              <w:rPr>
                                <w:rFonts w:cs="Arial"/>
                                <w:b/>
                                <w:sz w:val="18"/>
                                <w:szCs w:val="20"/>
                                <w:u w:val="single"/>
                              </w:rPr>
                              <w:t>24/10/2023</w:t>
                            </w:r>
                            <w:r w:rsidRPr="003B746C">
                              <w:rPr>
                                <w:rFonts w:cs="Arial"/>
                                <w:b/>
                                <w:sz w:val="18"/>
                                <w:szCs w:val="20"/>
                              </w:rPr>
                              <w:t>__</w:t>
                            </w:r>
                            <w:r w:rsidRPr="003B746C">
                              <w:rPr>
                                <w:rFonts w:cs="Arial"/>
                                <w:b/>
                                <w:sz w:val="18"/>
                                <w:szCs w:val="20"/>
                              </w:rPr>
                              <w:tab/>
                            </w:r>
                            <w:r w:rsidRPr="00E623F2">
                              <w:rPr>
                                <w:rFonts w:cs="Arial"/>
                                <w:b/>
                                <w:sz w:val="18"/>
                                <w:szCs w:val="20"/>
                                <w:u w:val="single"/>
                              </w:rPr>
                              <w:t>_____</w:t>
                            </w:r>
                          </w:p>
                          <w:p w14:paraId="7C42AD55" w14:textId="2B0875C9" w:rsidR="007B7F59" w:rsidRPr="00943A58" w:rsidRDefault="00E623F2" w:rsidP="007B7F59">
                            <w:pPr>
                              <w:rPr>
                                <w:rFonts w:cs="Arial"/>
                                <w:b/>
                                <w:bCs/>
                                <w:sz w:val="18"/>
                                <w:szCs w:val="20"/>
                              </w:rPr>
                            </w:pPr>
                            <w:r>
                              <w:rPr>
                                <w:rFonts w:cs="Arial"/>
                                <w:b/>
                                <w:bCs/>
                                <w:sz w:val="18"/>
                                <w:szCs w:val="20"/>
                              </w:rPr>
                              <w:t xml:space="preserve">      </w:t>
                            </w:r>
                            <w:r w:rsidR="007B7F59" w:rsidRPr="00943A58">
                              <w:rPr>
                                <w:rFonts w:cs="Arial"/>
                                <w:b/>
                                <w:bCs/>
                                <w:sz w:val="18"/>
                                <w:szCs w:val="20"/>
                              </w:rPr>
                              <w:t>DATE</w:t>
                            </w:r>
                            <w:r w:rsidR="007B7F59" w:rsidRPr="00943A58">
                              <w:rPr>
                                <w:rFonts w:cs="Arial"/>
                                <w:b/>
                                <w:bCs/>
                                <w:sz w:val="18"/>
                                <w:szCs w:val="20"/>
                              </w:rPr>
                              <w:tab/>
                            </w:r>
                            <w:r w:rsidR="007B7F59" w:rsidRPr="00943A58">
                              <w:rPr>
                                <w:rFonts w:cs="Arial"/>
                                <w:b/>
                                <w:bCs/>
                                <w:sz w:val="18"/>
                                <w:szCs w:val="20"/>
                              </w:rPr>
                              <w:tab/>
                              <w:t xml:space="preserve"> </w:t>
                            </w:r>
                            <w:r w:rsidR="00943A58">
                              <w:rPr>
                                <w:rFonts w:cs="Arial"/>
                                <w:b/>
                                <w:bCs/>
                                <w:sz w:val="18"/>
                                <w:szCs w:val="20"/>
                              </w:rPr>
                              <w:t>M L TWALA</w:t>
                            </w:r>
                          </w:p>
                          <w:p w14:paraId="4B513FD0" w14:textId="77777777" w:rsidR="00943A58" w:rsidRPr="00943A58" w:rsidRDefault="00943A58" w:rsidP="00943A58">
                            <w:pPr>
                              <w:pStyle w:val="JudgmentNumbered"/>
                              <w:numPr>
                                <w:ilvl w:val="0"/>
                                <w:numId w:val="0"/>
                              </w:numPr>
                              <w:ind w:left="567" w:hanging="56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66FF9" id="_x0000_t202" coordsize="21600,21600" o:spt="202" path="m,l,21600r21600,l21600,xe">
                <v:stroke joinstyle="miter"/>
                <v:path gradientshapeok="t" o:connecttype="rect"/>
              </v:shapetype>
              <v:shape id="Text Box 2" o:spid="_x0000_s1026" type="#_x0000_t202" style="position:absolute;left:0;text-align:left;margin-left:0;margin-top:1.6pt;width:261pt;height:10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">
                <v:textbox>
                  <w:txbxContent>
                    <w:p w14:paraId="017BAFE3" w14:textId="3E14B5AD" w:rsidR="007B7F59" w:rsidRPr="00B2223A" w:rsidRDefault="00BF1DCE" w:rsidP="00BF1DCE">
                      <w:pPr>
                        <w:tabs>
                          <w:tab w:val="left" w:pos="900"/>
                        </w:tabs>
                        <w:spacing w:after="0" w:line="240" w:lineRule="auto"/>
                        <w:ind w:left="900" w:hanging="720"/>
                        <w:jc w:val="left"/>
                        <w:rPr>
                          <w:rFonts w:cs="Arial"/>
                          <w:sz w:val="18"/>
                          <w:szCs w:val="20"/>
                        </w:rPr>
                      </w:pPr>
                      <w:r w:rsidRPr="00B2223A">
                        <w:rPr>
                          <w:rFonts w:cs="Arial"/>
                          <w:sz w:val="18"/>
                          <w:szCs w:val="20"/>
                        </w:rPr>
                        <w:t>(1)</w:t>
                      </w:r>
                      <w:r w:rsidRPr="00B2223A">
                        <w:rPr>
                          <w:rFonts w:cs="Arial"/>
                          <w:sz w:val="18"/>
                          <w:szCs w:val="20"/>
                        </w:rPr>
                        <w:tab/>
                      </w:r>
                      <w:r w:rsidR="007B7F59" w:rsidRPr="003B746C">
                        <w:rPr>
                          <w:rFonts w:cs="Arial"/>
                          <w:sz w:val="18"/>
                          <w:szCs w:val="20"/>
                        </w:rPr>
                        <w:t xml:space="preserve">REPORTABLE: </w:t>
                      </w:r>
                      <w:r w:rsidR="007B7F59" w:rsidRPr="00B2223A">
                        <w:rPr>
                          <w:rFonts w:cs="Arial"/>
                          <w:sz w:val="18"/>
                          <w:szCs w:val="20"/>
                        </w:rPr>
                        <w:t>YES / NO</w:t>
                      </w:r>
                    </w:p>
                    <w:p w14:paraId="01174A1F" w14:textId="05AC4D0E" w:rsidR="007B7F59" w:rsidRPr="00B2223A" w:rsidRDefault="00BF1DCE" w:rsidP="00BF1DCE">
                      <w:pPr>
                        <w:tabs>
                          <w:tab w:val="left" w:pos="900"/>
                        </w:tabs>
                        <w:spacing w:after="0" w:line="240" w:lineRule="auto"/>
                        <w:ind w:left="900" w:hanging="720"/>
                        <w:jc w:val="left"/>
                        <w:rPr>
                          <w:rFonts w:cs="Arial"/>
                          <w:sz w:val="18"/>
                          <w:szCs w:val="20"/>
                        </w:rPr>
                      </w:pPr>
                      <w:r w:rsidRPr="00B2223A">
                        <w:rPr>
                          <w:rFonts w:cs="Arial"/>
                          <w:sz w:val="18"/>
                          <w:szCs w:val="20"/>
                        </w:rPr>
                        <w:t>(2)</w:t>
                      </w:r>
                      <w:r w:rsidRPr="00B2223A">
                        <w:rPr>
                          <w:rFonts w:cs="Arial"/>
                          <w:sz w:val="18"/>
                          <w:szCs w:val="20"/>
                        </w:rPr>
                        <w:tab/>
                      </w:r>
                      <w:r w:rsidR="007B7F59" w:rsidRPr="00B2223A">
                        <w:rPr>
                          <w:rFonts w:cs="Arial"/>
                          <w:sz w:val="18"/>
                          <w:szCs w:val="20"/>
                        </w:rPr>
                        <w:t>OF INTEREST TO OTHER JUDGES: YES/NO</w:t>
                      </w:r>
                    </w:p>
                    <w:p w14:paraId="758332A5" w14:textId="4FA4F087" w:rsidR="007B7F59" w:rsidRPr="00B2223A" w:rsidRDefault="00BF1DCE" w:rsidP="00BF1DCE">
                      <w:pPr>
                        <w:tabs>
                          <w:tab w:val="left" w:pos="900"/>
                        </w:tabs>
                        <w:spacing w:after="0" w:line="240" w:lineRule="auto"/>
                        <w:ind w:left="900" w:hanging="720"/>
                        <w:jc w:val="left"/>
                        <w:rPr>
                          <w:rFonts w:cs="Arial"/>
                          <w:sz w:val="18"/>
                          <w:szCs w:val="20"/>
                        </w:rPr>
                      </w:pPr>
                      <w:r w:rsidRPr="00B2223A">
                        <w:rPr>
                          <w:rFonts w:cs="Arial"/>
                          <w:sz w:val="18"/>
                          <w:szCs w:val="20"/>
                        </w:rPr>
                        <w:t>(3)</w:t>
                      </w:r>
                      <w:r w:rsidRPr="00B2223A">
                        <w:rPr>
                          <w:rFonts w:cs="Arial"/>
                          <w:sz w:val="18"/>
                          <w:szCs w:val="20"/>
                        </w:rPr>
                        <w:tab/>
                      </w:r>
                      <w:r w:rsidR="007B7F59" w:rsidRPr="00B2223A">
                        <w:rPr>
                          <w:rFonts w:cs="Arial"/>
                          <w:sz w:val="18"/>
                          <w:szCs w:val="20"/>
                        </w:rPr>
                        <w:t>REVISED: YES/NO</w:t>
                      </w:r>
                    </w:p>
                    <w:p w14:paraId="453ACFCC" w14:textId="1C2037DD" w:rsidR="007B7F59" w:rsidRPr="00E623F2" w:rsidRDefault="007B7F59" w:rsidP="002B448C">
                      <w:pPr>
                        <w:spacing w:before="240" w:after="0"/>
                        <w:rPr>
                          <w:rFonts w:cs="Arial"/>
                          <w:b/>
                          <w:sz w:val="18"/>
                          <w:szCs w:val="20"/>
                          <w:u w:val="single"/>
                        </w:rPr>
                      </w:pPr>
                      <w:r w:rsidRPr="003B746C">
                        <w:rPr>
                          <w:rFonts w:cs="Arial"/>
                          <w:b/>
                          <w:sz w:val="18"/>
                          <w:szCs w:val="20"/>
                        </w:rPr>
                        <w:t>__</w:t>
                      </w:r>
                      <w:r w:rsidR="00E623F2" w:rsidRPr="00E623F2">
                        <w:rPr>
                          <w:rFonts w:cs="Arial"/>
                          <w:b/>
                          <w:sz w:val="18"/>
                          <w:szCs w:val="20"/>
                          <w:u w:val="single"/>
                        </w:rPr>
                        <w:t>24/10/2023</w:t>
                      </w:r>
                      <w:r w:rsidRPr="003B746C">
                        <w:rPr>
                          <w:rFonts w:cs="Arial"/>
                          <w:b/>
                          <w:sz w:val="18"/>
                          <w:szCs w:val="20"/>
                        </w:rPr>
                        <w:t>__</w:t>
                      </w:r>
                      <w:r w:rsidRPr="003B746C">
                        <w:rPr>
                          <w:rFonts w:cs="Arial"/>
                          <w:b/>
                          <w:sz w:val="18"/>
                          <w:szCs w:val="20"/>
                        </w:rPr>
                        <w:tab/>
                      </w:r>
                      <w:r w:rsidRPr="00E623F2">
                        <w:rPr>
                          <w:rFonts w:cs="Arial"/>
                          <w:b/>
                          <w:sz w:val="18"/>
                          <w:szCs w:val="20"/>
                          <w:u w:val="single"/>
                        </w:rPr>
                        <w:t>_____</w:t>
                      </w:r>
                    </w:p>
                    <w:p w14:paraId="7C42AD55" w14:textId="2B0875C9" w:rsidR="007B7F59" w:rsidRPr="00943A58" w:rsidRDefault="00E623F2" w:rsidP="007B7F59">
                      <w:pPr>
                        <w:rPr>
                          <w:rFonts w:cs="Arial"/>
                          <w:b/>
                          <w:bCs/>
                          <w:sz w:val="18"/>
                          <w:szCs w:val="20"/>
                        </w:rPr>
                      </w:pPr>
                      <w:r>
                        <w:rPr>
                          <w:rFonts w:cs="Arial"/>
                          <w:b/>
                          <w:bCs/>
                          <w:sz w:val="18"/>
                          <w:szCs w:val="20"/>
                        </w:rPr>
                        <w:t xml:space="preserve">      </w:t>
                      </w:r>
                      <w:r w:rsidR="007B7F59" w:rsidRPr="00943A58">
                        <w:rPr>
                          <w:rFonts w:cs="Arial"/>
                          <w:b/>
                          <w:bCs/>
                          <w:sz w:val="18"/>
                          <w:szCs w:val="20"/>
                        </w:rPr>
                        <w:t>DATE</w:t>
                      </w:r>
                      <w:r w:rsidR="007B7F59" w:rsidRPr="00943A58">
                        <w:rPr>
                          <w:rFonts w:cs="Arial"/>
                          <w:b/>
                          <w:bCs/>
                          <w:sz w:val="18"/>
                          <w:szCs w:val="20"/>
                        </w:rPr>
                        <w:tab/>
                      </w:r>
                      <w:r w:rsidR="007B7F59" w:rsidRPr="00943A58">
                        <w:rPr>
                          <w:rFonts w:cs="Arial"/>
                          <w:b/>
                          <w:bCs/>
                          <w:sz w:val="18"/>
                          <w:szCs w:val="20"/>
                        </w:rPr>
                        <w:tab/>
                        <w:t xml:space="preserve"> </w:t>
                      </w:r>
                      <w:r w:rsidR="00943A58">
                        <w:rPr>
                          <w:rFonts w:cs="Arial"/>
                          <w:b/>
                          <w:bCs/>
                          <w:sz w:val="18"/>
                          <w:szCs w:val="20"/>
                        </w:rPr>
                        <w:t>M L TWALA</w:t>
                      </w:r>
                    </w:p>
                    <w:p w14:paraId="4B513FD0" w14:textId="77777777" w:rsidR="00943A58" w:rsidRPr="00943A58" w:rsidRDefault="00943A58" w:rsidP="00943A58">
                      <w:pPr>
                        <w:pStyle w:val="JudgmentNumbered"/>
                        <w:numPr>
                          <w:ilvl w:val="0"/>
                          <w:numId w:val="0"/>
                        </w:numPr>
                        <w:ind w:left="567" w:hanging="567"/>
                      </w:pPr>
                    </w:p>
                  </w:txbxContent>
                </v:textbox>
                <w10:wrap anchorx="margin"/>
              </v:shape>
            </w:pict>
          </mc:Fallback>
        </mc:AlternateContent>
      </w:r>
    </w:p>
    <w:p w14:paraId="54B09FA2" w14:textId="01A40329" w:rsidR="007B7F59" w:rsidRPr="00B2223A" w:rsidRDefault="007B7F59" w:rsidP="007B7F59">
      <w:pPr>
        <w:tabs>
          <w:tab w:val="left" w:pos="8998"/>
        </w:tabs>
        <w:spacing w:after="0" w:line="240" w:lineRule="auto"/>
        <w:ind w:left="0"/>
        <w:rPr>
          <w:rFonts w:eastAsia="Times New Roman" w:cs="Arial"/>
          <w:szCs w:val="24"/>
          <w:lang w:val="en-ZA"/>
        </w:rPr>
      </w:pPr>
    </w:p>
    <w:p w14:paraId="16E8EFAF" w14:textId="208ED223" w:rsidR="007B7F59" w:rsidRPr="00B2223A" w:rsidRDefault="007B7F59" w:rsidP="007B7F59">
      <w:pPr>
        <w:tabs>
          <w:tab w:val="left" w:pos="8998"/>
        </w:tabs>
        <w:spacing w:after="0" w:line="240" w:lineRule="auto"/>
        <w:ind w:left="0"/>
        <w:rPr>
          <w:rFonts w:eastAsia="Times New Roman" w:cs="Arial"/>
          <w:szCs w:val="24"/>
          <w:lang w:val="en-ZA"/>
        </w:rPr>
      </w:pPr>
    </w:p>
    <w:p w14:paraId="013FBA49" w14:textId="77777777" w:rsidR="007B7F59" w:rsidRPr="00B2223A" w:rsidRDefault="007B7F59" w:rsidP="007B7F59">
      <w:pPr>
        <w:tabs>
          <w:tab w:val="left" w:pos="8998"/>
        </w:tabs>
        <w:spacing w:after="0" w:line="240" w:lineRule="auto"/>
        <w:ind w:left="0"/>
        <w:rPr>
          <w:rFonts w:eastAsia="Times New Roman" w:cs="Arial"/>
          <w:szCs w:val="24"/>
          <w:lang w:val="en-ZA"/>
        </w:rPr>
      </w:pPr>
      <w:r w:rsidRPr="00B2223A">
        <w:rPr>
          <w:rFonts w:eastAsia="Times New Roman" w:cs="Arial"/>
          <w:szCs w:val="24"/>
          <w:lang w:val="en-ZA"/>
        </w:rPr>
        <w:t>In the matter between:</w:t>
      </w:r>
    </w:p>
    <w:p w14:paraId="04DA2E5B" w14:textId="77777777" w:rsidR="007B7F59" w:rsidRPr="00B2223A" w:rsidRDefault="007B7F59" w:rsidP="007B7F59">
      <w:pPr>
        <w:tabs>
          <w:tab w:val="right" w:pos="9029"/>
        </w:tabs>
        <w:spacing w:after="0" w:line="240" w:lineRule="auto"/>
        <w:ind w:left="0"/>
        <w:rPr>
          <w:rFonts w:eastAsia="Times New Roman" w:cs="Arial"/>
          <w:szCs w:val="24"/>
          <w:lang w:val="en-ZA"/>
        </w:rPr>
      </w:pPr>
    </w:p>
    <w:p w14:paraId="41311680" w14:textId="77777777" w:rsidR="007B7F59" w:rsidRPr="00B2223A" w:rsidRDefault="007B7F59" w:rsidP="007B7F59">
      <w:pPr>
        <w:tabs>
          <w:tab w:val="right" w:pos="9029"/>
        </w:tabs>
        <w:spacing w:after="0" w:line="240" w:lineRule="auto"/>
        <w:ind w:left="0"/>
        <w:rPr>
          <w:rFonts w:eastAsia="Times New Roman" w:cs="Arial"/>
          <w:szCs w:val="24"/>
          <w:lang w:val="en-ZA"/>
        </w:rPr>
      </w:pPr>
    </w:p>
    <w:p w14:paraId="13390FBE" w14:textId="77777777" w:rsidR="007B7F59" w:rsidRPr="00B2223A" w:rsidRDefault="007B7F59" w:rsidP="007B7F59">
      <w:pPr>
        <w:tabs>
          <w:tab w:val="right" w:pos="9029"/>
        </w:tabs>
        <w:spacing w:after="0" w:line="240" w:lineRule="auto"/>
        <w:ind w:left="0"/>
        <w:contextualSpacing/>
        <w:rPr>
          <w:rFonts w:eastAsia="Times New Roman" w:cs="Arial"/>
          <w:b/>
          <w:szCs w:val="24"/>
          <w:lang w:val="en-ZA"/>
        </w:rPr>
      </w:pPr>
    </w:p>
    <w:p w14:paraId="0F1D9B15" w14:textId="77777777" w:rsidR="007B7F59" w:rsidRPr="00B2223A" w:rsidRDefault="007B7F59" w:rsidP="007B7F59">
      <w:pPr>
        <w:tabs>
          <w:tab w:val="right" w:pos="9029"/>
        </w:tabs>
        <w:spacing w:after="0" w:line="240" w:lineRule="auto"/>
        <w:ind w:left="0"/>
        <w:contextualSpacing/>
        <w:rPr>
          <w:rFonts w:eastAsia="Times New Roman" w:cs="Arial"/>
          <w:b/>
          <w:szCs w:val="24"/>
          <w:lang w:val="en-ZA"/>
        </w:rPr>
      </w:pPr>
    </w:p>
    <w:p w14:paraId="7DD32ACC" w14:textId="77777777" w:rsidR="007B7F59" w:rsidRPr="00B2223A" w:rsidRDefault="007B7F59" w:rsidP="007B7F59">
      <w:pPr>
        <w:tabs>
          <w:tab w:val="right" w:pos="9029"/>
        </w:tabs>
        <w:spacing w:after="0" w:line="240" w:lineRule="auto"/>
        <w:ind w:left="0"/>
        <w:contextualSpacing/>
        <w:rPr>
          <w:rFonts w:eastAsia="Times New Roman" w:cs="Arial"/>
          <w:szCs w:val="24"/>
          <w:lang w:val="en-ZA"/>
        </w:rPr>
      </w:pPr>
      <w:r w:rsidRPr="00B2223A">
        <w:rPr>
          <w:rFonts w:eastAsia="Times New Roman" w:cs="Arial"/>
          <w:szCs w:val="24"/>
          <w:lang w:val="en-ZA"/>
        </w:rPr>
        <w:t>In the matter between:</w:t>
      </w:r>
    </w:p>
    <w:p w14:paraId="291DE0D4" w14:textId="77777777" w:rsidR="007B7F59" w:rsidRPr="00B2223A" w:rsidRDefault="007B7F59" w:rsidP="007B7F59">
      <w:pPr>
        <w:tabs>
          <w:tab w:val="right" w:pos="9029"/>
        </w:tabs>
        <w:spacing w:after="0" w:line="240" w:lineRule="auto"/>
        <w:ind w:left="0"/>
        <w:contextualSpacing/>
        <w:rPr>
          <w:rFonts w:eastAsia="Times New Roman" w:cs="Arial"/>
          <w:b/>
          <w:szCs w:val="24"/>
          <w:lang w:val="en-ZA"/>
        </w:rPr>
      </w:pPr>
    </w:p>
    <w:p w14:paraId="7A46DD49" w14:textId="77777777" w:rsidR="007B7F59" w:rsidRPr="00B2223A" w:rsidRDefault="007B7F59" w:rsidP="007B7F59">
      <w:pPr>
        <w:tabs>
          <w:tab w:val="right" w:pos="9029"/>
        </w:tabs>
        <w:spacing w:after="0" w:line="240" w:lineRule="auto"/>
        <w:ind w:left="0"/>
        <w:contextualSpacing/>
        <w:rPr>
          <w:rFonts w:eastAsia="Times New Roman" w:cs="Arial"/>
          <w:b/>
          <w:szCs w:val="24"/>
          <w:lang w:val="en-ZA"/>
        </w:rPr>
      </w:pPr>
    </w:p>
    <w:p w14:paraId="0BA4232C" w14:textId="77777777" w:rsidR="007B7F59" w:rsidRPr="00B2223A" w:rsidRDefault="00B2223A" w:rsidP="007B7F59">
      <w:pPr>
        <w:tabs>
          <w:tab w:val="right" w:pos="9029"/>
        </w:tabs>
        <w:spacing w:after="0" w:line="240" w:lineRule="auto"/>
        <w:ind w:left="0"/>
        <w:contextualSpacing/>
        <w:rPr>
          <w:rFonts w:eastAsia="Times New Roman" w:cs="Arial"/>
          <w:szCs w:val="24"/>
          <w:lang w:val="en-ZA"/>
        </w:rPr>
      </w:pPr>
      <w:r>
        <w:rPr>
          <w:rFonts w:eastAsia="Times New Roman" w:cs="Times New Roman"/>
          <w:b/>
          <w:kern w:val="28"/>
          <w:szCs w:val="24"/>
          <w:lang w:eastAsia="en-GB"/>
        </w:rPr>
        <w:t>ITHALA SOC LIMITED</w:t>
      </w:r>
      <w:r w:rsidR="007B7F59" w:rsidRPr="00B2223A">
        <w:rPr>
          <w:rFonts w:eastAsia="Times New Roman" w:cs="Arial"/>
          <w:b/>
          <w:szCs w:val="24"/>
          <w:lang w:val="en-ZA"/>
        </w:rPr>
        <w:tab/>
      </w:r>
      <w:r>
        <w:rPr>
          <w:rFonts w:eastAsia="Times New Roman" w:cs="Arial"/>
          <w:szCs w:val="24"/>
          <w:lang w:val="en-ZA"/>
        </w:rPr>
        <w:t>Plaintiff</w:t>
      </w:r>
    </w:p>
    <w:p w14:paraId="32E606F5" w14:textId="77777777" w:rsidR="007B7F59" w:rsidRPr="00B2223A" w:rsidRDefault="007B7F59" w:rsidP="007B7F59">
      <w:pPr>
        <w:tabs>
          <w:tab w:val="right" w:pos="9029"/>
        </w:tabs>
        <w:spacing w:after="0" w:line="240" w:lineRule="auto"/>
        <w:ind w:left="0"/>
        <w:contextualSpacing/>
        <w:rPr>
          <w:rFonts w:eastAsia="Times New Roman" w:cs="Arial"/>
          <w:szCs w:val="24"/>
          <w:lang w:val="en-ZA"/>
        </w:rPr>
      </w:pPr>
    </w:p>
    <w:p w14:paraId="3DA5B2C8" w14:textId="77777777" w:rsidR="007B7F59" w:rsidRPr="00B2223A" w:rsidRDefault="007B7F59" w:rsidP="007B7F59">
      <w:pPr>
        <w:tabs>
          <w:tab w:val="right" w:pos="9029"/>
        </w:tabs>
        <w:spacing w:after="0" w:line="240" w:lineRule="auto"/>
        <w:ind w:left="0"/>
        <w:contextualSpacing/>
        <w:rPr>
          <w:rFonts w:eastAsia="Times New Roman" w:cs="Arial"/>
          <w:szCs w:val="24"/>
          <w:lang w:val="en-ZA"/>
        </w:rPr>
      </w:pPr>
    </w:p>
    <w:p w14:paraId="18C86AF7" w14:textId="77777777" w:rsidR="007B7F59" w:rsidRPr="00B2223A" w:rsidRDefault="007B7F59" w:rsidP="007B7F59">
      <w:pPr>
        <w:tabs>
          <w:tab w:val="right" w:pos="9029"/>
        </w:tabs>
        <w:spacing w:after="0" w:line="240" w:lineRule="auto"/>
        <w:ind w:left="0"/>
        <w:contextualSpacing/>
        <w:rPr>
          <w:rFonts w:eastAsia="Times New Roman" w:cs="Arial"/>
          <w:szCs w:val="24"/>
          <w:lang w:val="en-ZA"/>
        </w:rPr>
      </w:pPr>
      <w:r w:rsidRPr="00B2223A">
        <w:rPr>
          <w:rFonts w:eastAsia="Times New Roman" w:cs="Arial"/>
          <w:szCs w:val="24"/>
          <w:lang w:val="en-ZA"/>
        </w:rPr>
        <w:t>and</w:t>
      </w:r>
    </w:p>
    <w:p w14:paraId="5BBC4412" w14:textId="77777777" w:rsidR="007B7F59" w:rsidRPr="00B2223A" w:rsidRDefault="007B7F59" w:rsidP="007B7F59">
      <w:pPr>
        <w:tabs>
          <w:tab w:val="right" w:pos="9029"/>
        </w:tabs>
        <w:spacing w:after="0" w:line="240" w:lineRule="auto"/>
        <w:ind w:left="0"/>
        <w:contextualSpacing/>
        <w:rPr>
          <w:rFonts w:eastAsia="Times New Roman" w:cs="Arial"/>
          <w:szCs w:val="24"/>
          <w:lang w:val="en-ZA"/>
        </w:rPr>
      </w:pPr>
    </w:p>
    <w:p w14:paraId="608C452C" w14:textId="77777777" w:rsidR="007B7F59" w:rsidRPr="00B2223A" w:rsidRDefault="00B2223A" w:rsidP="007B7F59">
      <w:pPr>
        <w:tabs>
          <w:tab w:val="right" w:pos="9029"/>
        </w:tabs>
        <w:spacing w:after="0" w:line="240" w:lineRule="auto"/>
        <w:ind w:left="0"/>
        <w:contextualSpacing/>
        <w:rPr>
          <w:rFonts w:eastAsia="Times New Roman" w:cs="Arial"/>
          <w:szCs w:val="24"/>
          <w:lang w:val="en-ZA"/>
        </w:rPr>
      </w:pPr>
      <w:r>
        <w:rPr>
          <w:rFonts w:cs="Arial"/>
          <w:b/>
          <w:szCs w:val="24"/>
        </w:rPr>
        <w:t>TECH MAHINDRA SOUTH AFRICA (PTY) LTD</w:t>
      </w:r>
      <w:r w:rsidR="007B7F59" w:rsidRPr="00B2223A">
        <w:rPr>
          <w:rFonts w:cs="Arial"/>
          <w:b/>
          <w:szCs w:val="24"/>
          <w:lang w:val="en-ZA"/>
        </w:rPr>
        <w:tab/>
      </w:r>
      <w:r w:rsidR="007B7F59" w:rsidRPr="00B2223A">
        <w:rPr>
          <w:rFonts w:eastAsia="Times New Roman" w:cs="Arial"/>
          <w:szCs w:val="24"/>
          <w:lang w:val="en-ZA"/>
        </w:rPr>
        <w:t xml:space="preserve">First </w:t>
      </w:r>
      <w:r>
        <w:rPr>
          <w:rFonts w:eastAsia="Times New Roman" w:cs="Arial"/>
          <w:szCs w:val="24"/>
          <w:lang w:val="en-ZA"/>
        </w:rPr>
        <w:t>Defendant</w:t>
      </w:r>
    </w:p>
    <w:p w14:paraId="004692A3" w14:textId="77777777" w:rsidR="007B7F59" w:rsidRPr="00B2223A" w:rsidRDefault="007B7F59" w:rsidP="007B7F59">
      <w:pPr>
        <w:tabs>
          <w:tab w:val="right" w:pos="9029"/>
        </w:tabs>
        <w:spacing w:after="0" w:line="240" w:lineRule="auto"/>
        <w:ind w:left="0"/>
        <w:contextualSpacing/>
        <w:rPr>
          <w:rFonts w:eastAsia="Times New Roman" w:cs="Arial"/>
          <w:szCs w:val="24"/>
          <w:lang w:val="en-ZA"/>
        </w:rPr>
      </w:pPr>
    </w:p>
    <w:p w14:paraId="2E742F0A" w14:textId="77777777" w:rsidR="007B7F59" w:rsidRDefault="00B2223A" w:rsidP="007B7F59">
      <w:pPr>
        <w:tabs>
          <w:tab w:val="right" w:pos="9029"/>
        </w:tabs>
        <w:spacing w:after="0" w:line="240" w:lineRule="auto"/>
        <w:ind w:left="0"/>
        <w:contextualSpacing/>
        <w:rPr>
          <w:rFonts w:eastAsia="Times New Roman" w:cs="Arial"/>
          <w:szCs w:val="24"/>
          <w:lang w:val="en-ZA"/>
        </w:rPr>
      </w:pPr>
      <w:r w:rsidRPr="00B2223A">
        <w:rPr>
          <w:rFonts w:eastAsia="Times New Roman" w:cs="Arial"/>
          <w:b/>
          <w:szCs w:val="24"/>
          <w:lang w:val="en-ZA"/>
        </w:rPr>
        <w:t>LUVUWO KEYISE</w:t>
      </w:r>
      <w:r w:rsidR="007B7F59" w:rsidRPr="00B2223A">
        <w:rPr>
          <w:rFonts w:eastAsia="Times New Roman" w:cs="Arial"/>
          <w:szCs w:val="24"/>
          <w:lang w:val="en-ZA"/>
        </w:rPr>
        <w:tab/>
        <w:t xml:space="preserve">Second </w:t>
      </w:r>
      <w:r>
        <w:rPr>
          <w:rFonts w:eastAsia="Times New Roman" w:cs="Arial"/>
          <w:szCs w:val="24"/>
          <w:lang w:val="en-ZA"/>
        </w:rPr>
        <w:t>Defendant</w:t>
      </w:r>
    </w:p>
    <w:p w14:paraId="3A3D5279" w14:textId="77777777" w:rsidR="00B2223A" w:rsidRDefault="00B2223A" w:rsidP="00B2223A">
      <w:pPr>
        <w:pStyle w:val="NoSpacing"/>
        <w:ind w:left="0"/>
        <w:rPr>
          <w:rFonts w:cs="Arial"/>
          <w:lang w:val="en-ZA"/>
        </w:rPr>
      </w:pPr>
    </w:p>
    <w:p w14:paraId="5D91CAE4" w14:textId="77777777" w:rsidR="00B2223A" w:rsidRPr="00B2223A" w:rsidRDefault="00B2223A" w:rsidP="00B2223A">
      <w:pPr>
        <w:tabs>
          <w:tab w:val="right" w:pos="9029"/>
        </w:tabs>
        <w:spacing w:after="0" w:line="240" w:lineRule="auto"/>
        <w:ind w:left="0"/>
        <w:contextualSpacing/>
        <w:rPr>
          <w:rFonts w:eastAsia="Times New Roman" w:cs="Arial"/>
          <w:szCs w:val="24"/>
          <w:lang w:val="en-ZA"/>
        </w:rPr>
      </w:pPr>
      <w:r>
        <w:rPr>
          <w:rFonts w:cs="Arial"/>
          <w:b/>
          <w:szCs w:val="24"/>
        </w:rPr>
        <w:t>LEBOGANG SERITHI</w:t>
      </w:r>
      <w:r w:rsidRPr="00B2223A">
        <w:rPr>
          <w:rFonts w:cs="Arial"/>
          <w:b/>
          <w:szCs w:val="24"/>
          <w:lang w:val="en-ZA"/>
        </w:rPr>
        <w:tab/>
      </w:r>
      <w:r>
        <w:rPr>
          <w:rFonts w:eastAsia="Times New Roman" w:cs="Arial"/>
          <w:szCs w:val="24"/>
          <w:lang w:val="en-ZA"/>
        </w:rPr>
        <w:t>Third Defendant</w:t>
      </w:r>
    </w:p>
    <w:p w14:paraId="3D216BFD" w14:textId="77777777" w:rsidR="00B2223A" w:rsidRPr="00B2223A" w:rsidRDefault="00B2223A" w:rsidP="00B2223A">
      <w:pPr>
        <w:pStyle w:val="NoSpacing"/>
        <w:ind w:left="0"/>
        <w:rPr>
          <w:lang w:val="en-ZA"/>
        </w:rPr>
      </w:pPr>
    </w:p>
    <w:p w14:paraId="4638969C" w14:textId="77777777" w:rsidR="007B7F59" w:rsidRPr="00B2223A" w:rsidRDefault="007B7F59" w:rsidP="007B7F59">
      <w:pPr>
        <w:tabs>
          <w:tab w:val="right" w:pos="9029"/>
        </w:tabs>
        <w:spacing w:after="0" w:line="240" w:lineRule="auto"/>
        <w:ind w:left="0"/>
        <w:contextualSpacing/>
        <w:rPr>
          <w:rFonts w:cs="Arial"/>
          <w:b/>
          <w:szCs w:val="24"/>
        </w:rPr>
      </w:pPr>
    </w:p>
    <w:p w14:paraId="03F6C660" w14:textId="77777777" w:rsidR="007B7F59" w:rsidRPr="00B2223A" w:rsidRDefault="007B7F59" w:rsidP="007B7F59">
      <w:pPr>
        <w:pBdr>
          <w:bottom w:val="single" w:sz="12" w:space="1" w:color="auto"/>
        </w:pBdr>
        <w:spacing w:after="0" w:line="240" w:lineRule="auto"/>
        <w:ind w:left="0"/>
        <w:jc w:val="left"/>
        <w:rPr>
          <w:rFonts w:cs="Arial"/>
          <w:b/>
          <w:szCs w:val="24"/>
          <w:lang w:val="en-ZA"/>
        </w:rPr>
      </w:pPr>
    </w:p>
    <w:p w14:paraId="2D251356" w14:textId="77777777" w:rsidR="007B7F59" w:rsidRPr="00B2223A" w:rsidRDefault="007B7F59" w:rsidP="007B7F59">
      <w:pPr>
        <w:spacing w:after="0" w:line="240" w:lineRule="auto"/>
        <w:ind w:left="1440" w:hanging="1440"/>
        <w:jc w:val="left"/>
        <w:rPr>
          <w:rFonts w:cs="Arial"/>
          <w:b/>
          <w:szCs w:val="24"/>
        </w:rPr>
      </w:pPr>
    </w:p>
    <w:p w14:paraId="0263A882" w14:textId="77777777" w:rsidR="007B7F59" w:rsidRPr="00B2223A" w:rsidRDefault="007B7F59" w:rsidP="007B7F59">
      <w:pPr>
        <w:pBdr>
          <w:bottom w:val="single" w:sz="12" w:space="1" w:color="auto"/>
        </w:pBdr>
        <w:spacing w:line="480" w:lineRule="auto"/>
        <w:ind w:left="0"/>
        <w:jc w:val="center"/>
        <w:rPr>
          <w:rFonts w:cs="Arial"/>
          <w:b/>
          <w:szCs w:val="24"/>
          <w:lang w:val="en-ZA"/>
        </w:rPr>
      </w:pPr>
      <w:r w:rsidRPr="00B2223A">
        <w:rPr>
          <w:rFonts w:cs="Arial"/>
          <w:b/>
          <w:szCs w:val="24"/>
          <w:lang w:val="en-ZA"/>
        </w:rPr>
        <w:t>JUDGMENT</w:t>
      </w:r>
    </w:p>
    <w:p w14:paraId="444423AC" w14:textId="77777777" w:rsidR="007B7F59" w:rsidRPr="00B2223A" w:rsidRDefault="00B2223A" w:rsidP="007B7F59">
      <w:pPr>
        <w:spacing w:after="0" w:line="240" w:lineRule="auto"/>
        <w:ind w:left="0"/>
        <w:jc w:val="left"/>
        <w:rPr>
          <w:rFonts w:cs="Arial"/>
          <w:szCs w:val="24"/>
        </w:rPr>
      </w:pPr>
      <w:r>
        <w:rPr>
          <w:rFonts w:cs="Arial"/>
          <w:szCs w:val="24"/>
        </w:rPr>
        <w:t>TWALA J:</w:t>
      </w:r>
    </w:p>
    <w:p w14:paraId="051949EB" w14:textId="77777777" w:rsidR="007B7F59" w:rsidRPr="00B2223A" w:rsidRDefault="007B7F59" w:rsidP="007B7F59">
      <w:pPr>
        <w:spacing w:after="0" w:line="240" w:lineRule="auto"/>
        <w:ind w:left="0"/>
        <w:jc w:val="left"/>
        <w:rPr>
          <w:rFonts w:cs="Arial"/>
          <w:szCs w:val="24"/>
        </w:rPr>
      </w:pPr>
    </w:p>
    <w:p w14:paraId="36356AFA" w14:textId="77777777" w:rsidR="007B7F59" w:rsidRPr="00B2223A" w:rsidRDefault="007B7F59" w:rsidP="007B7F59">
      <w:pPr>
        <w:spacing w:after="0" w:line="240" w:lineRule="auto"/>
        <w:ind w:left="0"/>
        <w:jc w:val="left"/>
        <w:rPr>
          <w:rFonts w:cs="Arial"/>
          <w:szCs w:val="24"/>
        </w:rPr>
      </w:pPr>
    </w:p>
    <w:p w14:paraId="3A55D1E9" w14:textId="138AD1F2" w:rsidR="007B7F59" w:rsidRPr="00B2223A" w:rsidRDefault="00BF1DCE" w:rsidP="00BF1DCE">
      <w:pPr>
        <w:pStyle w:val="JudgmentNumbered"/>
        <w:numPr>
          <w:ilvl w:val="0"/>
          <w:numId w:val="0"/>
        </w:numPr>
        <w:ind w:left="567" w:hanging="567"/>
      </w:pPr>
      <w:r w:rsidRPr="00B2223A">
        <w:t>[1]</w:t>
      </w:r>
      <w:r w:rsidRPr="00B2223A">
        <w:tab/>
      </w:r>
      <w:r w:rsidR="00B2223A" w:rsidRPr="00B2223A">
        <w:t xml:space="preserve">The first defendant has taken an exception against the plaintiff’s particulars of claim to the summons as amended on the basis that it lacks the averment </w:t>
      </w:r>
      <w:r w:rsidR="00B2223A" w:rsidRPr="00B2223A">
        <w:lastRenderedPageBreak/>
        <w:t>necessary to sustain the cause of action and or does not disclose the cause of action</w:t>
      </w:r>
      <w:r w:rsidR="003165DD">
        <w:t xml:space="preserve"> and or that it is bad in law</w:t>
      </w:r>
      <w:r w:rsidR="00B2223A" w:rsidRPr="00B2223A">
        <w:t xml:space="preserve">. Primarily the cause of complaint is that it is incompetent for the plaintiff to set aside the </w:t>
      </w:r>
      <w:r w:rsidR="00CE623C">
        <w:t xml:space="preserve">service </w:t>
      </w:r>
      <w:r w:rsidR="00B2223A" w:rsidRPr="00B2223A">
        <w:t>agreement on public law grounds without setting aside the administrative decision that resulted in the agreement.</w:t>
      </w:r>
    </w:p>
    <w:p w14:paraId="0962B05D" w14:textId="45FCEFDD" w:rsidR="007B7F59" w:rsidRPr="00B2223A" w:rsidRDefault="00BF1DCE" w:rsidP="00BF1DCE">
      <w:pPr>
        <w:pStyle w:val="JudgmentNumbered"/>
        <w:numPr>
          <w:ilvl w:val="0"/>
          <w:numId w:val="0"/>
        </w:numPr>
        <w:ind w:left="567" w:hanging="567"/>
      </w:pPr>
      <w:r w:rsidRPr="00B2223A">
        <w:t>[2]</w:t>
      </w:r>
      <w:r w:rsidRPr="00B2223A">
        <w:tab/>
      </w:r>
      <w:r w:rsidR="00B2223A" w:rsidRPr="00B2223A">
        <w:t>The plaintiff is opposing the exception. I propose to refer to the parties herein as the plaintiff and defendant since the second and third defendants are not participating in these proceedings. However, I will refer to the defendants by their respective numbers where necessary.</w:t>
      </w:r>
    </w:p>
    <w:p w14:paraId="2A1495A9" w14:textId="20D27C72" w:rsidR="00B2223A" w:rsidRDefault="00BF1DCE" w:rsidP="00BF1DCE">
      <w:pPr>
        <w:pStyle w:val="JudgmentNumbered"/>
        <w:numPr>
          <w:ilvl w:val="0"/>
          <w:numId w:val="0"/>
        </w:numPr>
        <w:ind w:left="567" w:hanging="567"/>
      </w:pPr>
      <w:r>
        <w:t>[3]</w:t>
      </w:r>
      <w:r>
        <w:tab/>
      </w:r>
      <w:r w:rsidR="00B2223A" w:rsidRPr="00B2223A">
        <w:t>It is common cause that on the 11th of April 2018 the plaintiff awarded RFP number 09/07, a tender for the supply, implementation, and maintenance of an integrated banking solution to the defendant who in turn accepted the award. Pursuant to the award, on the 11th of June 2018 the parties concluded RFP number 09/17, a written service agreement in terms whereof the defendant was contracted to supply, implement, and maintain the integrated banking solution for the plaintiff. The plaintiff was to pay fees to the defendant for equipment, software, deliverables, and services as set out in the statement of works or relevant schedules. It is undisputed that the plaintiff has, as a result of the service agreement</w:t>
      </w:r>
      <w:r w:rsidR="003165DD">
        <w:t>,</w:t>
      </w:r>
      <w:r w:rsidR="00B2223A" w:rsidRPr="00B2223A">
        <w:t xml:space="preserve"> paid the defendant a sum of R34 973 512.55.</w:t>
      </w:r>
    </w:p>
    <w:p w14:paraId="72BE3EDF" w14:textId="66B3F532" w:rsidR="00B2223A" w:rsidRDefault="00BF1DCE" w:rsidP="00BF1DCE">
      <w:pPr>
        <w:pStyle w:val="JudgmentNumbered"/>
        <w:numPr>
          <w:ilvl w:val="0"/>
          <w:numId w:val="0"/>
        </w:numPr>
        <w:ind w:left="567" w:hanging="567"/>
      </w:pPr>
      <w:r>
        <w:t>[4]</w:t>
      </w:r>
      <w:r>
        <w:tab/>
      </w:r>
      <w:r w:rsidR="00B2223A" w:rsidRPr="00B2223A">
        <w:t xml:space="preserve">On the 23rd of February 2022 the plaintiff instituted action proceedings against the defendants whereby it sought the service agreement to be declared illegal and invalid and set aside for the tender process was fraught with irregularities and misrepresentations in that prior to the tender process that resulted in the first defendant being awarded the tender: (i) members of the first defendant held private meetings and exchanged private e-mails with members of the plaintiff in which the defendant was informed of the operation, requirements, and infrastructure in anticipation of the possible conclusion of the service agreement; (ii) the shared information was not made available to the other bidders – thus the defendant was placed at an advantage to the other bidders in contravention of section 217(1) of the Constitution of the Republic and the Public Finance Management Act; and (iii) the defendant did not achieve the minimum score </w:t>
      </w:r>
      <w:r w:rsidR="00B2223A" w:rsidRPr="00B2223A">
        <w:lastRenderedPageBreak/>
        <w:t>required to qualify for appointment thereby did not comply with the Supply Chain Management Systems of the plaintiff.</w:t>
      </w:r>
    </w:p>
    <w:p w14:paraId="077EDFFC" w14:textId="26DF7C65" w:rsidR="00B2223A" w:rsidRDefault="00BF1DCE" w:rsidP="00BF1DCE">
      <w:pPr>
        <w:pStyle w:val="JudgmentNumbered"/>
        <w:numPr>
          <w:ilvl w:val="0"/>
          <w:numId w:val="0"/>
        </w:numPr>
        <w:ind w:left="567" w:hanging="567"/>
      </w:pPr>
      <w:r>
        <w:t>[5]</w:t>
      </w:r>
      <w:r>
        <w:tab/>
      </w:r>
      <w:r w:rsidR="00B2223A" w:rsidRPr="00B2223A">
        <w:t xml:space="preserve">It is trite that an exception that a pleading does not disclose a cause of action strikes at the formulation of the cause of action and its legal validity. The complaint is not directed at a particular paragraph in the pleading but at the pleading as a whole, which must be demonstrated to be lacking the necessary averments to sustain a cause of action. Furthermore, it is trite that exceptions should be dealt with sensibly since they provide a useful mechanism to weed out cases without legal merit. However, an overly technical approach should be avoided because it destroys the usefulness of the exception procedure. (See </w:t>
      </w:r>
      <w:r w:rsidR="00B2223A" w:rsidRPr="00B2223A">
        <w:rPr>
          <w:i/>
        </w:rPr>
        <w:t>Telematrix (Pty) Limited</w:t>
      </w:r>
      <w:r w:rsidR="001A04A7">
        <w:rPr>
          <w:i/>
        </w:rPr>
        <w:t xml:space="preserve"> t/a Matrix Vehicle Tracking</w:t>
      </w:r>
      <w:r w:rsidR="00B2223A" w:rsidRPr="00B2223A">
        <w:rPr>
          <w:i/>
        </w:rPr>
        <w:t xml:space="preserve"> v Advertising Standards Authority</w:t>
      </w:r>
      <w:r w:rsidR="001A04A7">
        <w:rPr>
          <w:rStyle w:val="FootnoteReference"/>
          <w:i/>
        </w:rPr>
        <w:footnoteReference w:id="1"/>
      </w:r>
      <w:r w:rsidR="00B2223A" w:rsidRPr="00B2223A">
        <w:rPr>
          <w:i/>
        </w:rPr>
        <w:t>).</w:t>
      </w:r>
    </w:p>
    <w:p w14:paraId="29637A79" w14:textId="7524FBDE" w:rsidR="00B2223A" w:rsidRDefault="00BF1DCE" w:rsidP="00BF1DCE">
      <w:pPr>
        <w:pStyle w:val="JudgmentNumbered"/>
        <w:numPr>
          <w:ilvl w:val="0"/>
          <w:numId w:val="0"/>
        </w:numPr>
        <w:ind w:left="567" w:hanging="567"/>
      </w:pPr>
      <w:r>
        <w:t>[6]</w:t>
      </w:r>
      <w:r>
        <w:tab/>
      </w:r>
      <w:r w:rsidR="009B3667" w:rsidRPr="009B3667">
        <w:t xml:space="preserve">Recently, the Supreme Court of Appeal in </w:t>
      </w:r>
      <w:r w:rsidR="009B3667" w:rsidRPr="00091AC1">
        <w:rPr>
          <w:i/>
        </w:rPr>
        <w:t>Tembani and Others v President of the Republic of South Africa and Another</w:t>
      </w:r>
      <w:r w:rsidR="001A04A7">
        <w:rPr>
          <w:rStyle w:val="FootnoteReference"/>
          <w:i/>
        </w:rPr>
        <w:footnoteReference w:id="2"/>
      </w:r>
      <w:r w:rsidR="009B3667" w:rsidRPr="009B3667">
        <w:t xml:space="preserve"> referring to the authority quoted above stated the following:</w:t>
      </w:r>
    </w:p>
    <w:p w14:paraId="685E4913" w14:textId="4F35F835" w:rsidR="009B3667" w:rsidRPr="00C11878" w:rsidRDefault="009B3667" w:rsidP="009B3667">
      <w:pPr>
        <w:pStyle w:val="JudgmentNumbered"/>
        <w:numPr>
          <w:ilvl w:val="0"/>
          <w:numId w:val="0"/>
        </w:numPr>
        <w:ind w:left="1440"/>
        <w:rPr>
          <w:i/>
          <w:sz w:val="22"/>
        </w:rPr>
      </w:pPr>
      <w:r w:rsidRPr="00C11878">
        <w:rPr>
          <w:i/>
          <w:sz w:val="22"/>
        </w:rPr>
        <w:t>“</w:t>
      </w:r>
      <w:r w:rsidR="003165DD">
        <w:rPr>
          <w:i/>
          <w:sz w:val="22"/>
        </w:rPr>
        <w:t xml:space="preserve">[14] </w:t>
      </w:r>
      <w:r w:rsidRPr="00C11878">
        <w:rPr>
          <w:i/>
          <w:sz w:val="22"/>
        </w:rPr>
        <w:t xml:space="preserve">Whilst exceptions provide a useful mechanism </w:t>
      </w:r>
      <w:r w:rsidR="00A46602">
        <w:rPr>
          <w:i/>
          <w:sz w:val="22"/>
        </w:rPr>
        <w:t>‘</w:t>
      </w:r>
      <w:r w:rsidRPr="00C11878">
        <w:rPr>
          <w:i/>
          <w:sz w:val="22"/>
        </w:rPr>
        <w:t>to weed out cases without legal merit</w:t>
      </w:r>
      <w:r w:rsidR="00A46602">
        <w:rPr>
          <w:i/>
          <w:sz w:val="22"/>
        </w:rPr>
        <w:t>’</w:t>
      </w:r>
      <w:r w:rsidRPr="00C11878">
        <w:rPr>
          <w:i/>
          <w:sz w:val="22"/>
        </w:rPr>
        <w:t>, it is nonetheless necessary that they be dealt with sensibly. It is where pleadings are so vague that it is impossible to determine the nature of the claim or where pleadings are bad in law</w:t>
      </w:r>
      <w:r w:rsidR="00A46602">
        <w:rPr>
          <w:i/>
          <w:sz w:val="22"/>
        </w:rPr>
        <w:t>,</w:t>
      </w:r>
      <w:r w:rsidRPr="00C11878">
        <w:rPr>
          <w:i/>
          <w:sz w:val="22"/>
        </w:rPr>
        <w:t xml:space="preserve"> in that their contents do not support a discernible and legally recognised cause of action, that </w:t>
      </w:r>
      <w:r w:rsidR="00A46602">
        <w:rPr>
          <w:i/>
          <w:sz w:val="22"/>
        </w:rPr>
        <w:t xml:space="preserve">an </w:t>
      </w:r>
      <w:r w:rsidRPr="00C11878">
        <w:rPr>
          <w:i/>
          <w:sz w:val="22"/>
        </w:rPr>
        <w:t>exception is competent. The burden rests on an excipient, who must establish that on every interpretation that can reasonably be attached to it, the pleading is excipiable. The test is whether on all possible readings of the facts no cause of action may be made out; it being for the excipient to satisfy the court that the conclusion of law for which the plaintiff contends cannot be supported on every interpretation that can be put upon the facts.”</w:t>
      </w:r>
    </w:p>
    <w:p w14:paraId="042644EF" w14:textId="310A59D5" w:rsidR="00B2223A" w:rsidRDefault="00BF1DCE" w:rsidP="00BF1DCE">
      <w:pPr>
        <w:pStyle w:val="JudgmentNumbered"/>
        <w:numPr>
          <w:ilvl w:val="0"/>
          <w:numId w:val="0"/>
        </w:numPr>
        <w:ind w:left="567" w:hanging="567"/>
      </w:pPr>
      <w:r>
        <w:t>[7]</w:t>
      </w:r>
      <w:r>
        <w:tab/>
      </w:r>
      <w:r w:rsidR="005703A9" w:rsidRPr="005703A9">
        <w:t xml:space="preserve">I do not understand the plaintiff to be disputing that the service agreement came into existence as a result of the tender process that awarded the defendant the tender. Furthermore, the plaintiff does not raise any issue of irregularity or misrepresentation that induced it to conclude the service agreement. The plaintiff </w:t>
      </w:r>
      <w:r w:rsidR="005703A9" w:rsidRPr="005703A9">
        <w:lastRenderedPageBreak/>
        <w:t>does not deny that it is a state-owned entity and as such its decision to issue a public tender and appoint a service provider is an administrative decision.</w:t>
      </w:r>
    </w:p>
    <w:p w14:paraId="4B2F2EEF" w14:textId="12D92FC5" w:rsidR="005703A9" w:rsidRDefault="00BF1DCE" w:rsidP="00BF1DCE">
      <w:pPr>
        <w:pStyle w:val="JudgmentNumbered"/>
        <w:numPr>
          <w:ilvl w:val="0"/>
          <w:numId w:val="0"/>
        </w:numPr>
        <w:ind w:left="567" w:hanging="567"/>
      </w:pPr>
      <w:r>
        <w:t>[8]</w:t>
      </w:r>
      <w:r>
        <w:tab/>
      </w:r>
      <w:r w:rsidR="005703A9" w:rsidRPr="005703A9">
        <w:t xml:space="preserve">The fundamental question that arises, in this case, is whether it is competent for the plaintiff to resile from the service agreement concluded as a result of its decision to award the tender to the defendant if its processes, before the award of the tender, were flouted by its employees and members of the defendant. Put in another way, is it competent for the </w:t>
      </w:r>
      <w:r w:rsidR="00C6487D">
        <w:t>plaintiff</w:t>
      </w:r>
      <w:r w:rsidR="005703A9" w:rsidRPr="005703A9">
        <w:t xml:space="preserve"> to cancel or set aside the service agreement, which owes its existence in the award of a </w:t>
      </w:r>
      <w:r w:rsidR="000160BA" w:rsidRPr="005703A9">
        <w:t>tender</w:t>
      </w:r>
      <w:r w:rsidR="000160BA">
        <w:t xml:space="preserve"> and</w:t>
      </w:r>
      <w:r w:rsidR="005703A9" w:rsidRPr="005703A9">
        <w:t xml:space="preserve"> claim back all the money it had paid to the defendant</w:t>
      </w:r>
      <w:r w:rsidR="00C6487D">
        <w:t>,</w:t>
      </w:r>
      <w:r w:rsidR="005703A9" w:rsidRPr="005703A9">
        <w:t xml:space="preserve"> without reviewing and setting aside the administrative decision that awarded the tender to the defendant.</w:t>
      </w:r>
      <w:r w:rsidR="005703A9">
        <w:t xml:space="preserve">  </w:t>
      </w:r>
    </w:p>
    <w:p w14:paraId="6C2863CF" w14:textId="28099656" w:rsidR="005703A9" w:rsidRDefault="00BF1DCE" w:rsidP="00BF1DCE">
      <w:pPr>
        <w:pStyle w:val="JudgmentNumbered"/>
        <w:numPr>
          <w:ilvl w:val="0"/>
          <w:numId w:val="0"/>
        </w:numPr>
        <w:ind w:left="567" w:hanging="567"/>
      </w:pPr>
      <w:r>
        <w:t>[9]</w:t>
      </w:r>
      <w:r>
        <w:tab/>
      </w:r>
      <w:r w:rsidR="005703A9" w:rsidRPr="00EE5E08">
        <w:rPr>
          <w:szCs w:val="24"/>
        </w:rPr>
        <w:t>It is now settled that an unlawful administrative act exists in fact and may give rise to legal consequences for as long as it has not been set aside. Put differently, if the validity of consequent acts is dependent on no more than the factual existence of the initial act, then the consequent act will have legal effect for so long as the initial act is not set aside.</w:t>
      </w:r>
    </w:p>
    <w:p w14:paraId="6489E5FF" w14:textId="30578156" w:rsidR="001938AE" w:rsidRDefault="00BF1DCE" w:rsidP="00BF1DCE">
      <w:pPr>
        <w:pStyle w:val="JudgmentNumbered"/>
        <w:numPr>
          <w:ilvl w:val="0"/>
          <w:numId w:val="0"/>
        </w:numPr>
        <w:ind w:left="567" w:hanging="567"/>
      </w:pPr>
      <w:r>
        <w:t>[10]</w:t>
      </w:r>
      <w:r>
        <w:tab/>
      </w:r>
      <w:r w:rsidR="005703A9">
        <w:t xml:space="preserve"> </w:t>
      </w:r>
      <w:r w:rsidR="005703A9" w:rsidRPr="00EE5E08">
        <w:rPr>
          <w:szCs w:val="24"/>
        </w:rPr>
        <w:t>In</w:t>
      </w:r>
      <w:r w:rsidR="005703A9" w:rsidRPr="00EE5E08">
        <w:rPr>
          <w:i/>
          <w:iCs/>
          <w:szCs w:val="24"/>
        </w:rPr>
        <w:t xml:space="preserve"> Oudekraal Estates (Pty) Ltd v City of Cape Town and Others</w:t>
      </w:r>
      <w:r w:rsidR="00067738">
        <w:rPr>
          <w:rStyle w:val="FootnoteReference"/>
          <w:i/>
          <w:iCs/>
          <w:szCs w:val="24"/>
        </w:rPr>
        <w:footnoteReference w:id="3"/>
      </w:r>
      <w:r w:rsidR="005703A9" w:rsidRPr="00EE5E08">
        <w:rPr>
          <w:i/>
          <w:iCs/>
          <w:szCs w:val="24"/>
        </w:rPr>
        <w:t xml:space="preserve"> </w:t>
      </w:r>
      <w:r w:rsidR="005703A9" w:rsidRPr="00EE5E08">
        <w:rPr>
          <w:szCs w:val="24"/>
        </w:rPr>
        <w:t xml:space="preserve">which laid down a principle that was quoted with approval by the Constitutional Court in </w:t>
      </w:r>
      <w:r w:rsidR="005703A9" w:rsidRPr="00EE5E08">
        <w:rPr>
          <w:i/>
          <w:iCs/>
          <w:szCs w:val="24"/>
        </w:rPr>
        <w:t>Magnificent Mile Trading 30 (Pty) Limited v Celliers NO and Others</w:t>
      </w:r>
      <w:r w:rsidR="00525D13">
        <w:rPr>
          <w:rStyle w:val="FootnoteReference"/>
          <w:i/>
          <w:iCs/>
          <w:szCs w:val="24"/>
        </w:rPr>
        <w:footnoteReference w:id="4"/>
      </w:r>
      <w:r w:rsidR="005703A9" w:rsidRPr="00EE5E08">
        <w:rPr>
          <w:i/>
          <w:iCs/>
          <w:szCs w:val="24"/>
        </w:rPr>
        <w:t xml:space="preserve"> </w:t>
      </w:r>
      <w:r w:rsidR="005703A9" w:rsidRPr="00EE5E08">
        <w:rPr>
          <w:szCs w:val="24"/>
        </w:rPr>
        <w:t>the Court stated the following:</w:t>
      </w:r>
    </w:p>
    <w:p w14:paraId="194953C3" w14:textId="77777777" w:rsidR="001938AE" w:rsidRPr="00C11878" w:rsidRDefault="001938AE" w:rsidP="001938AE">
      <w:pPr>
        <w:spacing w:after="0"/>
        <w:ind w:left="1440"/>
        <w:rPr>
          <w:rFonts w:cs="Arial"/>
          <w:i/>
          <w:iCs/>
          <w:sz w:val="22"/>
          <w:szCs w:val="24"/>
        </w:rPr>
      </w:pPr>
      <w:r w:rsidRPr="00C11878">
        <w:rPr>
          <w:rFonts w:cs="Arial"/>
          <w:i/>
          <w:iCs/>
          <w:sz w:val="22"/>
          <w:szCs w:val="24"/>
        </w:rPr>
        <w:t>“[31] Thus the proper enquiry in each case – at least at first – is not whether the initial act was valid but rather whether its substantive validity was a necessary precondition for the validity of consequent acts. If the validity of consequent acts is dependent on no more than the factual existence of the initial act then the consequent act will have legal effect for so long as the initial act is not set aside by a competent court.”</w:t>
      </w:r>
    </w:p>
    <w:p w14:paraId="2D1F1770" w14:textId="77777777" w:rsidR="001938AE" w:rsidRPr="001938AE" w:rsidRDefault="001938AE" w:rsidP="001938AE">
      <w:pPr>
        <w:pStyle w:val="NoSpacing"/>
      </w:pPr>
    </w:p>
    <w:p w14:paraId="1CD2F4FD" w14:textId="5154769F" w:rsidR="001938AE" w:rsidRPr="00D32042" w:rsidRDefault="00BF1DCE" w:rsidP="00BF1DCE">
      <w:pPr>
        <w:pStyle w:val="JudgmentNumbered"/>
        <w:numPr>
          <w:ilvl w:val="0"/>
          <w:numId w:val="0"/>
        </w:numPr>
        <w:ind w:left="567" w:hanging="567"/>
      </w:pPr>
      <w:r w:rsidRPr="00D32042">
        <w:t>[11]</w:t>
      </w:r>
      <w:r w:rsidRPr="00D32042">
        <w:tab/>
      </w:r>
      <w:r w:rsidR="00A44C47" w:rsidRPr="00C11878">
        <w:t>In the</w:t>
      </w:r>
      <w:r w:rsidR="00A44C47" w:rsidRPr="00D32042">
        <w:rPr>
          <w:i/>
        </w:rPr>
        <w:t xml:space="preserve"> Magnificent Mile Trading </w:t>
      </w:r>
      <w:r w:rsidR="00A44C47" w:rsidRPr="00C11878">
        <w:t>case quoted above</w:t>
      </w:r>
      <w:r w:rsidR="00A44C47" w:rsidRPr="00D32042">
        <w:rPr>
          <w:i/>
        </w:rPr>
        <w:t xml:space="preserve">, </w:t>
      </w:r>
      <w:r w:rsidR="00A44C47" w:rsidRPr="00C11878">
        <w:t>the Constitutional Court further</w:t>
      </w:r>
      <w:r w:rsidR="006C1067">
        <w:t xml:space="preserve"> considered </w:t>
      </w:r>
      <w:r w:rsidR="00C6487D">
        <w:t xml:space="preserve">the Oudekraal principle </w:t>
      </w:r>
      <w:r w:rsidR="006C1067">
        <w:t>and</w:t>
      </w:r>
      <w:r w:rsidR="00A44C47" w:rsidRPr="00C11878">
        <w:t xml:space="preserve"> quoted from the case of</w:t>
      </w:r>
      <w:r w:rsidR="00A44C47" w:rsidRPr="00D32042">
        <w:rPr>
          <w:i/>
        </w:rPr>
        <w:t xml:space="preserve"> M</w:t>
      </w:r>
      <w:r w:rsidR="002C478E">
        <w:rPr>
          <w:i/>
        </w:rPr>
        <w:t xml:space="preserve">EC </w:t>
      </w:r>
      <w:r w:rsidR="00A44C47" w:rsidRPr="00D32042">
        <w:rPr>
          <w:i/>
        </w:rPr>
        <w:t xml:space="preserve">for </w:t>
      </w:r>
      <w:r w:rsidR="00A44C47" w:rsidRPr="00D32042">
        <w:rPr>
          <w:i/>
        </w:rPr>
        <w:lastRenderedPageBreak/>
        <w:t>Health</w:t>
      </w:r>
      <w:r w:rsidR="002C478E">
        <w:rPr>
          <w:i/>
        </w:rPr>
        <w:t xml:space="preserve">, </w:t>
      </w:r>
      <w:r w:rsidR="00A44C47" w:rsidRPr="00D32042">
        <w:rPr>
          <w:i/>
        </w:rPr>
        <w:t>Eastern Cape and Another v Kirland Investment (Pty) Ltd</w:t>
      </w:r>
      <w:r w:rsidR="002C478E">
        <w:rPr>
          <w:i/>
        </w:rPr>
        <w:t xml:space="preserve"> t/a Lazer Institute</w:t>
      </w:r>
      <w:r w:rsidR="002C478E">
        <w:rPr>
          <w:rStyle w:val="FootnoteReference"/>
          <w:i/>
        </w:rPr>
        <w:footnoteReference w:id="5"/>
      </w:r>
      <w:r w:rsidR="00A44C47" w:rsidRPr="00D32042">
        <w:rPr>
          <w:i/>
        </w:rPr>
        <w:t xml:space="preserve"> </w:t>
      </w:r>
      <w:r w:rsidR="00A44C47" w:rsidRPr="00D32042">
        <w:t>the Court stated the following:</w:t>
      </w:r>
    </w:p>
    <w:p w14:paraId="640D4475" w14:textId="77777777" w:rsidR="00A44C47" w:rsidRPr="00C11878" w:rsidRDefault="00A44C47" w:rsidP="00A44C47">
      <w:pPr>
        <w:spacing w:after="0"/>
        <w:ind w:left="1440"/>
        <w:rPr>
          <w:rFonts w:cs="Arial"/>
          <w:i/>
          <w:iCs/>
          <w:sz w:val="22"/>
          <w:szCs w:val="24"/>
        </w:rPr>
      </w:pPr>
      <w:r w:rsidRPr="00C11878">
        <w:rPr>
          <w:rFonts w:cs="Arial"/>
          <w:i/>
          <w:iCs/>
          <w:sz w:val="22"/>
          <w:szCs w:val="24"/>
        </w:rPr>
        <w:t xml:space="preserve">“[51] It is for this reason that the rule of law does not countenance this. The Oudekraal rule averts the chaos by saying an unlawful administrative act exists in fact and may give rise to legal consequences for as long as it has not been set aside. The operative words are that it exists </w:t>
      </w:r>
      <w:r w:rsidR="000B0F6F">
        <w:rPr>
          <w:rFonts w:cs="Arial"/>
          <w:i/>
          <w:iCs/>
          <w:sz w:val="22"/>
          <w:szCs w:val="24"/>
        </w:rPr>
        <w:t>‘</w:t>
      </w:r>
      <w:r w:rsidRPr="00C11878">
        <w:rPr>
          <w:rFonts w:cs="Arial"/>
          <w:i/>
          <w:iCs/>
          <w:sz w:val="22"/>
          <w:szCs w:val="24"/>
        </w:rPr>
        <w:t>in fact</w:t>
      </w:r>
      <w:r w:rsidR="000B0F6F">
        <w:rPr>
          <w:rFonts w:cs="Arial"/>
          <w:i/>
          <w:iCs/>
          <w:sz w:val="22"/>
          <w:szCs w:val="24"/>
        </w:rPr>
        <w:t>’</w:t>
      </w:r>
      <w:r w:rsidRPr="00C11878">
        <w:rPr>
          <w:rFonts w:cs="Arial"/>
          <w:i/>
          <w:iCs/>
          <w:sz w:val="22"/>
          <w:szCs w:val="24"/>
        </w:rPr>
        <w:t>. This does not seek to confer legal validity to the unlawful administrative act. Rather, it prevents self-help and guarantees orderly governance and administration. That this is about the rule of law is made plain by Kirland:</w:t>
      </w:r>
    </w:p>
    <w:p w14:paraId="6C081F55" w14:textId="77777777" w:rsidR="00A44C47" w:rsidRPr="00C11878" w:rsidRDefault="000131D0" w:rsidP="00A44C47">
      <w:pPr>
        <w:spacing w:after="0"/>
        <w:ind w:left="2160"/>
        <w:rPr>
          <w:rFonts w:cs="Arial"/>
          <w:i/>
          <w:iCs/>
          <w:sz w:val="22"/>
          <w:szCs w:val="24"/>
        </w:rPr>
      </w:pPr>
      <w:r>
        <w:rPr>
          <w:rFonts w:cs="Arial"/>
          <w:i/>
          <w:iCs/>
          <w:sz w:val="22"/>
          <w:szCs w:val="24"/>
        </w:rPr>
        <w:t>‘</w:t>
      </w:r>
      <w:r w:rsidR="00A44C47" w:rsidRPr="00C11878">
        <w:rPr>
          <w:rFonts w:cs="Arial"/>
          <w:i/>
          <w:iCs/>
          <w:sz w:val="22"/>
          <w:szCs w:val="24"/>
        </w:rPr>
        <w:t xml:space="preserve">The fundamental notion – that official conduct that is vulnerable to challenge may have legal consequences and may not be ignored until properly set aside – springs deeply from the rule of law. The courts alone, and not public officials, are the arbiters of legality. As Khampepe J stated in Welkom, </w:t>
      </w:r>
      <w:r w:rsidR="00B72DCD">
        <w:rPr>
          <w:rFonts w:cs="Arial"/>
          <w:i/>
          <w:iCs/>
          <w:sz w:val="22"/>
          <w:szCs w:val="24"/>
        </w:rPr>
        <w:t>“</w:t>
      </w:r>
      <w:r w:rsidR="00A44C47" w:rsidRPr="00C11878">
        <w:rPr>
          <w:rFonts w:cs="Arial"/>
          <w:i/>
          <w:iCs/>
          <w:sz w:val="22"/>
          <w:szCs w:val="24"/>
        </w:rPr>
        <w:t>[t]he rule of law does not permit an organ of state to reach what may turn out to be a correct outcome by any means. On the contrary, the rule of law obliges an organ of state to use the correct legal process.</w:t>
      </w:r>
      <w:r w:rsidR="00B72DCD">
        <w:rPr>
          <w:rFonts w:cs="Arial"/>
          <w:i/>
          <w:iCs/>
          <w:sz w:val="22"/>
          <w:szCs w:val="24"/>
        </w:rPr>
        <w:t>”</w:t>
      </w:r>
      <w:r w:rsidR="00A44C47" w:rsidRPr="00C11878">
        <w:rPr>
          <w:rFonts w:cs="Arial"/>
          <w:i/>
          <w:iCs/>
          <w:sz w:val="22"/>
          <w:szCs w:val="24"/>
        </w:rPr>
        <w:t xml:space="preserve"> </w:t>
      </w:r>
      <w:r w:rsidR="00534135">
        <w:rPr>
          <w:rFonts w:cs="Arial"/>
          <w:i/>
          <w:iCs/>
          <w:sz w:val="22"/>
          <w:szCs w:val="24"/>
        </w:rPr>
        <w:t>‘</w:t>
      </w:r>
      <w:r w:rsidR="00A44C47" w:rsidRPr="00C11878">
        <w:rPr>
          <w:rFonts w:cs="Arial"/>
          <w:i/>
          <w:iCs/>
          <w:sz w:val="22"/>
          <w:szCs w:val="24"/>
        </w:rPr>
        <w:t>For a public official to ignore irregular administrative action on the basis that it is a nullity amounts to self-help.</w:t>
      </w:r>
      <w:r w:rsidR="00534135">
        <w:rPr>
          <w:rFonts w:cs="Arial"/>
          <w:i/>
          <w:iCs/>
          <w:sz w:val="22"/>
          <w:szCs w:val="24"/>
        </w:rPr>
        <w:t>’”</w:t>
      </w:r>
    </w:p>
    <w:p w14:paraId="0EA6F020" w14:textId="77777777" w:rsidR="00A44C47" w:rsidRPr="00A44C47" w:rsidRDefault="00A44C47" w:rsidP="00A44C47">
      <w:pPr>
        <w:pStyle w:val="NoSpacing"/>
      </w:pPr>
    </w:p>
    <w:p w14:paraId="3556B2FF" w14:textId="10135945" w:rsidR="005703A9" w:rsidRDefault="00BF1DCE" w:rsidP="00BF1DCE">
      <w:pPr>
        <w:pStyle w:val="JudgmentNumbered"/>
        <w:numPr>
          <w:ilvl w:val="0"/>
          <w:numId w:val="0"/>
        </w:numPr>
        <w:ind w:left="567" w:hanging="567"/>
      </w:pPr>
      <w:r>
        <w:t>[12]</w:t>
      </w:r>
      <w:r>
        <w:tab/>
      </w:r>
      <w:r w:rsidR="007E0B2D" w:rsidRPr="007E0B2D">
        <w:t xml:space="preserve">It is undisputed that the service agreement was concluded as a result of the decision to award the tender to the defendant. The unlawful conduct that is complained of by the plaintiff occurred before the award of the tender. The plaintiff does not complain, or challenge nor is it alleging any breach of the terms of the </w:t>
      </w:r>
      <w:r w:rsidR="000160BA">
        <w:t xml:space="preserve">service </w:t>
      </w:r>
      <w:r w:rsidR="007E0B2D" w:rsidRPr="007E0B2D">
        <w:t xml:space="preserve">agreement which entitles it to resile from it or set aside. The plaintiff cannot appropriate to itself the right to determine the lawfulness or unlawfulness of the administrative act because that is strictly in the domain of the Courts. </w:t>
      </w:r>
      <w:r w:rsidR="000160BA">
        <w:t>I align myself with the ab</w:t>
      </w:r>
      <w:r w:rsidR="007E0B2D" w:rsidRPr="007E0B2D">
        <w:t>ove authorities</w:t>
      </w:r>
      <w:r w:rsidR="000160BA">
        <w:t xml:space="preserve"> in</w:t>
      </w:r>
      <w:r w:rsidR="007E0B2D" w:rsidRPr="007E0B2D">
        <w:t xml:space="preserve"> that</w:t>
      </w:r>
      <w:r w:rsidR="000160BA">
        <w:t>, if the plaintiff were to be allowed to decide the legality of the contract, it</w:t>
      </w:r>
      <w:r w:rsidR="007E0B2D" w:rsidRPr="007E0B2D">
        <w:t xml:space="preserve"> would amount to self-help.</w:t>
      </w:r>
      <w:r w:rsidR="005703A9">
        <w:t xml:space="preserve">  </w:t>
      </w:r>
    </w:p>
    <w:p w14:paraId="5A1DC364" w14:textId="72039FB8" w:rsidR="005703A9" w:rsidRDefault="00BF1DCE" w:rsidP="00BF1DCE">
      <w:pPr>
        <w:pStyle w:val="JudgmentNumbered"/>
        <w:numPr>
          <w:ilvl w:val="0"/>
          <w:numId w:val="0"/>
        </w:numPr>
        <w:ind w:left="567" w:hanging="567"/>
      </w:pPr>
      <w:r>
        <w:t>[13]</w:t>
      </w:r>
      <w:r>
        <w:tab/>
      </w:r>
      <w:r w:rsidR="007E0B2D" w:rsidRPr="007E0B2D">
        <w:t xml:space="preserve">There is no merit in the plaintiff's argument that it was not necessary for it to first review and set aside the decision to award the tender before </w:t>
      </w:r>
      <w:r w:rsidR="00C6487D">
        <w:t>seeking</w:t>
      </w:r>
      <w:r w:rsidR="007E0B2D" w:rsidRPr="007E0B2D">
        <w:t xml:space="preserve"> the declaratory of the service agreement to be illegal and invalid. The plaintiff places its reliance on </w:t>
      </w:r>
      <w:r w:rsidR="005418A5" w:rsidRPr="00C11878">
        <w:rPr>
          <w:i/>
        </w:rPr>
        <w:t>Municipal Manager:</w:t>
      </w:r>
      <w:r w:rsidR="005418A5">
        <w:t xml:space="preserve"> </w:t>
      </w:r>
      <w:r w:rsidR="007E0B2D" w:rsidRPr="0057395F">
        <w:rPr>
          <w:i/>
        </w:rPr>
        <w:t xml:space="preserve">Qaukeni Local Municipality v FV General </w:t>
      </w:r>
      <w:r w:rsidR="007E0B2D" w:rsidRPr="0057395F">
        <w:rPr>
          <w:i/>
        </w:rPr>
        <w:lastRenderedPageBreak/>
        <w:t>Trading</w:t>
      </w:r>
      <w:r w:rsidR="005418A5">
        <w:rPr>
          <w:i/>
        </w:rPr>
        <w:t xml:space="preserve"> CC</w:t>
      </w:r>
      <w:r w:rsidR="00EF4227">
        <w:rPr>
          <w:rStyle w:val="FootnoteReference"/>
          <w:i/>
        </w:rPr>
        <w:footnoteReference w:id="6"/>
      </w:r>
      <w:r w:rsidR="007E0B2D" w:rsidRPr="007E0B2D">
        <w:t xml:space="preserve">. </w:t>
      </w:r>
      <w:r w:rsidR="007E0B2D" w:rsidRPr="0057395F">
        <w:rPr>
          <w:i/>
        </w:rPr>
        <w:t xml:space="preserve">Qaukeni </w:t>
      </w:r>
      <w:r w:rsidR="007E0B2D" w:rsidRPr="007E0B2D">
        <w:t xml:space="preserve">is distinguishable from the present case in that the municipality was sought to be interdicted from terminating the contract until it was lawfully terminated. In defending itself and by way of a counter </w:t>
      </w:r>
      <w:r w:rsidR="00C6487D">
        <w:t xml:space="preserve">claim or </w:t>
      </w:r>
      <w:r w:rsidR="007E0B2D" w:rsidRPr="007E0B2D">
        <w:t>application, the municipality raised the issue of legality of the contract for it was concluded in breach of its prescribed procu</w:t>
      </w:r>
      <w:r w:rsidR="00616F01">
        <w:t>rement</w:t>
      </w:r>
      <w:r w:rsidR="007E0B2D" w:rsidRPr="007E0B2D">
        <w:t xml:space="preserve"> processes. </w:t>
      </w:r>
      <w:r w:rsidR="005703A9">
        <w:t xml:space="preserve">  </w:t>
      </w:r>
    </w:p>
    <w:p w14:paraId="42DDBC9A" w14:textId="4A5D55C4" w:rsidR="005703A9" w:rsidRDefault="00BF1DCE" w:rsidP="00BF1DCE">
      <w:pPr>
        <w:pStyle w:val="JudgmentNumbered"/>
        <w:numPr>
          <w:ilvl w:val="0"/>
          <w:numId w:val="0"/>
        </w:numPr>
        <w:ind w:left="567" w:hanging="567"/>
      </w:pPr>
      <w:r>
        <w:t>[14]</w:t>
      </w:r>
      <w:r>
        <w:tab/>
      </w:r>
      <w:r w:rsidR="005703A9">
        <w:t xml:space="preserve"> </w:t>
      </w:r>
      <w:r w:rsidR="008E3319" w:rsidRPr="008E3319">
        <w:t xml:space="preserve">In </w:t>
      </w:r>
      <w:r w:rsidR="008E3319" w:rsidRPr="0031722D">
        <w:rPr>
          <w:i/>
        </w:rPr>
        <w:t>Qaukeni</w:t>
      </w:r>
      <w:r w:rsidR="008E3319" w:rsidRPr="008E3319">
        <w:t>, the court stated the following:</w:t>
      </w:r>
    </w:p>
    <w:p w14:paraId="4F9941A7" w14:textId="77777777" w:rsidR="008E3319" w:rsidRPr="00C11878" w:rsidRDefault="008E3319" w:rsidP="008E3319">
      <w:pPr>
        <w:spacing w:after="0"/>
        <w:ind w:left="1440"/>
        <w:rPr>
          <w:rFonts w:cs="Arial"/>
          <w:i/>
          <w:iCs/>
          <w:sz w:val="22"/>
          <w:szCs w:val="24"/>
        </w:rPr>
      </w:pPr>
      <w:r w:rsidRPr="00C11878">
        <w:rPr>
          <w:rFonts w:cs="Arial"/>
          <w:i/>
          <w:iCs/>
          <w:sz w:val="22"/>
          <w:szCs w:val="24"/>
        </w:rPr>
        <w:t>“[26]</w:t>
      </w:r>
      <w:r w:rsidR="00941A55" w:rsidRPr="00C11878">
        <w:rPr>
          <w:rFonts w:cs="Arial"/>
          <w:i/>
          <w:iCs/>
          <w:sz w:val="22"/>
          <w:szCs w:val="24"/>
        </w:rPr>
        <w:t xml:space="preserve"> </w:t>
      </w:r>
      <w:r w:rsidRPr="00C11878">
        <w:rPr>
          <w:rFonts w:cs="Arial"/>
          <w:i/>
          <w:iCs/>
          <w:sz w:val="22"/>
          <w:szCs w:val="24"/>
        </w:rPr>
        <w:t xml:space="preserve">While I accept that the award of a municipal service amounts to administrative action that may be reviewed by an interested third party under PAJA, it may not be necessary to proceed by review when a municipality seeks to avoid a contract it has concluded in respect of which no other party has an interest. But it is unnecessary to reach any final conclusion in that regard. If the second </w:t>
      </w:r>
      <w:r w:rsidR="00DC1C16">
        <w:rPr>
          <w:rFonts w:cs="Arial"/>
          <w:i/>
          <w:iCs/>
          <w:sz w:val="22"/>
          <w:szCs w:val="24"/>
        </w:rPr>
        <w:t>appellants</w:t>
      </w:r>
      <w:r w:rsidRPr="00C11878">
        <w:rPr>
          <w:rFonts w:cs="Arial"/>
          <w:i/>
          <w:iCs/>
          <w:sz w:val="22"/>
          <w:szCs w:val="24"/>
        </w:rPr>
        <w:t>’ procurement of municipal services through its contract with the respondent was unlawful, its invalid and this is a case in which the appellants were duty</w:t>
      </w:r>
      <w:r w:rsidR="0067208D">
        <w:rPr>
          <w:rFonts w:cs="Arial"/>
          <w:i/>
          <w:iCs/>
          <w:sz w:val="22"/>
          <w:szCs w:val="24"/>
        </w:rPr>
        <w:t>-</w:t>
      </w:r>
      <w:r w:rsidRPr="00C11878">
        <w:rPr>
          <w:rFonts w:cs="Arial"/>
          <w:i/>
          <w:iCs/>
          <w:sz w:val="22"/>
          <w:szCs w:val="24"/>
        </w:rPr>
        <w:t>bound not to submit to an unlawful contract but to oppose the respondent’s attempt to enforce it. This it did by way of its opposition to the main application and by seeking a declaration of unlawfulness in the counter-application. In doing so it raised the question of the legality of the contract fairly and squarely, just as it would have done in a formal review. In these circumstances, substance must triumph over form. And while my observations should not be construed as a finding that a review of the award of the contract to the respondent could not have been brought by an interested party, the appellants’ failure to bring formal review proceedings under PAJA is no reason to deny them</w:t>
      </w:r>
      <w:r w:rsidR="0067208D">
        <w:rPr>
          <w:rFonts w:cs="Arial"/>
          <w:i/>
          <w:iCs/>
          <w:sz w:val="22"/>
          <w:szCs w:val="24"/>
        </w:rPr>
        <w:t xml:space="preserve"> relief</w:t>
      </w:r>
      <w:r w:rsidRPr="00C11878">
        <w:rPr>
          <w:rFonts w:cs="Arial"/>
          <w:i/>
          <w:iCs/>
          <w:sz w:val="22"/>
          <w:szCs w:val="24"/>
        </w:rPr>
        <w:t>.”</w:t>
      </w:r>
    </w:p>
    <w:p w14:paraId="4578781D" w14:textId="77777777" w:rsidR="005703A9" w:rsidRDefault="005703A9" w:rsidP="008E3319">
      <w:pPr>
        <w:pStyle w:val="NoSpacing"/>
      </w:pPr>
    </w:p>
    <w:p w14:paraId="39A4BF36" w14:textId="31F62104" w:rsidR="008E3319" w:rsidRDefault="00BF1DCE" w:rsidP="00BF1DCE">
      <w:pPr>
        <w:pStyle w:val="JudgmentNumbered"/>
        <w:numPr>
          <w:ilvl w:val="0"/>
          <w:numId w:val="0"/>
        </w:numPr>
        <w:ind w:left="567" w:hanging="567"/>
      </w:pPr>
      <w:r>
        <w:t>[15]</w:t>
      </w:r>
      <w:r>
        <w:tab/>
      </w:r>
      <w:r w:rsidR="008E3319">
        <w:t xml:space="preserve">In my judgment, it is therefore not open to the plaintiff, who instituted the proceedings in this case, to just ignore the decision that brought about the existence of the contract and challenge the legality thereof (the contract) on the basis of the conduct that influenced the award of the tender to the defendant. It is incumbent on the </w:t>
      </w:r>
      <w:r w:rsidR="000160BA">
        <w:t xml:space="preserve">plaintiff </w:t>
      </w:r>
      <w:r w:rsidR="008E3319">
        <w:t>who as an initiator of this action to bring proceedings to review and set aside its own decision on the principle of legality and then cancel the contract if the Court finds that the decision was unlawful.</w:t>
      </w:r>
      <w:r w:rsidR="00C6487D">
        <w:t xml:space="preserve"> Even if the contract was to be cancelled, the tender award would </w:t>
      </w:r>
      <w:r w:rsidR="00CE623C">
        <w:t>remain</w:t>
      </w:r>
      <w:r w:rsidR="00C6487D">
        <w:t xml:space="preserve"> in extant</w:t>
      </w:r>
      <w:r w:rsidR="00943A58">
        <w:t xml:space="preserve"> for the </w:t>
      </w:r>
      <w:r w:rsidR="00943A58">
        <w:lastRenderedPageBreak/>
        <w:t>decision to award the tender would not have been set aside and legal consequences would flow therefrom.</w:t>
      </w:r>
    </w:p>
    <w:p w14:paraId="004849D2" w14:textId="4E1C625B" w:rsidR="008E3319" w:rsidRDefault="00BF1DCE" w:rsidP="00BF1DCE">
      <w:pPr>
        <w:pStyle w:val="JudgmentNumbered"/>
        <w:numPr>
          <w:ilvl w:val="0"/>
          <w:numId w:val="0"/>
        </w:numPr>
        <w:ind w:left="567" w:hanging="567"/>
      </w:pPr>
      <w:r>
        <w:t>[16]</w:t>
      </w:r>
      <w:r>
        <w:tab/>
      </w:r>
      <w:r w:rsidR="008E3319" w:rsidRPr="008E3319">
        <w:t xml:space="preserve">I am unable to disagree with the defendant that there is </w:t>
      </w:r>
      <w:r w:rsidR="00CE623C">
        <w:t>insufficient</w:t>
      </w:r>
      <w:r w:rsidR="008E3319" w:rsidRPr="008E3319">
        <w:t xml:space="preserve"> evidence before this Court to determine </w:t>
      </w:r>
      <w:r w:rsidR="00943A58">
        <w:t xml:space="preserve">the </w:t>
      </w:r>
      <w:r w:rsidR="008E3319" w:rsidRPr="008E3319">
        <w:t xml:space="preserve">legality and invalidity of the service agreement since no record of the tender process has been filed. The plaintiff testified that the defendant was placed at an advantage from other bidders but has not afforded any of those bidders </w:t>
      </w:r>
      <w:r w:rsidR="00943A58">
        <w:t xml:space="preserve">an opportunity </w:t>
      </w:r>
      <w:r w:rsidR="008E3319" w:rsidRPr="008E3319">
        <w:t>to participate in these proceedings. It is therefore my considered view that the plaintiff should first review and set aside its decision to award the tender to the defendant</w:t>
      </w:r>
      <w:r w:rsidR="007F5FA1">
        <w:t>,</w:t>
      </w:r>
      <w:r w:rsidR="008E3319" w:rsidRPr="008E3319">
        <w:t xml:space="preserve"> for as long as that decision remain</w:t>
      </w:r>
      <w:r w:rsidR="007F5FA1">
        <w:t>s</w:t>
      </w:r>
      <w:r w:rsidR="008E3319" w:rsidRPr="008E3319">
        <w:t xml:space="preserve"> in existent, it will have legal consequences. </w:t>
      </w:r>
      <w:bookmarkStart w:id="1" w:name="_Hlk148963745"/>
      <w:r w:rsidR="008E3319" w:rsidRPr="008E3319">
        <w:t xml:space="preserve">The ineluctable conclusion is therefore that the </w:t>
      </w:r>
      <w:r w:rsidR="00CE623C">
        <w:t xml:space="preserve">plaintiff’s particulars of claim are excepiable and the </w:t>
      </w:r>
      <w:r w:rsidR="008E3319" w:rsidRPr="008E3319">
        <w:t xml:space="preserve">defendant </w:t>
      </w:r>
      <w:r w:rsidR="00CE623C">
        <w:t>is entitled to the order that it seeks in terms of the notice of motion.</w:t>
      </w:r>
    </w:p>
    <w:bookmarkEnd w:id="1"/>
    <w:p w14:paraId="7044B08A" w14:textId="12B53E1C" w:rsidR="007B7F59" w:rsidRDefault="00BF1DCE" w:rsidP="00BF1DCE">
      <w:pPr>
        <w:pStyle w:val="JudgmentNumbered"/>
        <w:numPr>
          <w:ilvl w:val="0"/>
          <w:numId w:val="0"/>
        </w:numPr>
        <w:ind w:left="567" w:hanging="567"/>
      </w:pPr>
      <w:r>
        <w:t>[17]</w:t>
      </w:r>
      <w:r>
        <w:tab/>
      </w:r>
      <w:r w:rsidR="000D155C" w:rsidRPr="000D155C">
        <w:t>In the result, the following order is made:</w:t>
      </w:r>
    </w:p>
    <w:p w14:paraId="16358144" w14:textId="77777777" w:rsidR="00371EB6" w:rsidRDefault="00371EB6" w:rsidP="00371EB6">
      <w:pPr>
        <w:pStyle w:val="JudgmentNumbered"/>
        <w:numPr>
          <w:ilvl w:val="0"/>
          <w:numId w:val="0"/>
        </w:numPr>
        <w:ind w:left="1287" w:hanging="720"/>
      </w:pPr>
      <w:r>
        <w:t>1.</w:t>
      </w:r>
      <w:r>
        <w:tab/>
        <w:t>The exception is upheld;</w:t>
      </w:r>
    </w:p>
    <w:p w14:paraId="1DACDB8E" w14:textId="3576FC0C" w:rsidR="00371EB6" w:rsidRDefault="00371EB6" w:rsidP="00371EB6">
      <w:pPr>
        <w:pStyle w:val="JudgmentNumbered"/>
        <w:numPr>
          <w:ilvl w:val="0"/>
          <w:numId w:val="0"/>
        </w:numPr>
        <w:ind w:left="1287" w:hanging="720"/>
      </w:pPr>
      <w:r>
        <w:t>2.</w:t>
      </w:r>
      <w:r>
        <w:tab/>
        <w:t>The plaintiff is afforded 1</w:t>
      </w:r>
      <w:r w:rsidR="00943A58">
        <w:t>0</w:t>
      </w:r>
      <w:r>
        <w:t xml:space="preserve"> days from the date of this order to remove the cause of complaint;</w:t>
      </w:r>
    </w:p>
    <w:p w14:paraId="0B6FA5DD" w14:textId="77777777" w:rsidR="00371EB6" w:rsidRPr="00B2223A" w:rsidRDefault="00371EB6" w:rsidP="00371EB6">
      <w:pPr>
        <w:pStyle w:val="JudgmentNumbered"/>
        <w:numPr>
          <w:ilvl w:val="0"/>
          <w:numId w:val="0"/>
        </w:numPr>
        <w:ind w:left="1287" w:hanging="720"/>
      </w:pPr>
      <w:r>
        <w:t>3.</w:t>
      </w:r>
      <w:r>
        <w:tab/>
        <w:t>The plaintiff is to pay the costs of this application including the costs of two counsel.</w:t>
      </w:r>
    </w:p>
    <w:p w14:paraId="797FBC9B" w14:textId="77777777" w:rsidR="00943A58" w:rsidRDefault="00943A58" w:rsidP="00EB01DA">
      <w:pPr>
        <w:pStyle w:val="JudgmentNumbered"/>
        <w:numPr>
          <w:ilvl w:val="0"/>
          <w:numId w:val="0"/>
        </w:numPr>
        <w:spacing w:after="0"/>
        <w:ind w:left="567" w:hanging="567"/>
        <w:jc w:val="right"/>
        <w:rPr>
          <w:noProof/>
          <w:lang w:eastAsia="en-ZA"/>
        </w:rPr>
      </w:pPr>
      <w:r>
        <w:t xml:space="preserve">      </w:t>
      </w:r>
      <w:r>
        <w:tab/>
      </w:r>
      <w:r>
        <w:tab/>
        <w:t xml:space="preserve">     </w:t>
      </w:r>
    </w:p>
    <w:p w14:paraId="506930FD" w14:textId="7C487C63" w:rsidR="00943A58" w:rsidRDefault="00943A58" w:rsidP="00EB01DA">
      <w:pPr>
        <w:pStyle w:val="JudgmentNumbered"/>
        <w:numPr>
          <w:ilvl w:val="0"/>
          <w:numId w:val="0"/>
        </w:numPr>
        <w:spacing w:after="0"/>
        <w:ind w:left="567" w:hanging="567"/>
        <w:jc w:val="right"/>
        <w:rPr>
          <w:noProof/>
          <w:lang w:val="en-ZA" w:eastAsia="en-ZA"/>
        </w:rPr>
      </w:pPr>
    </w:p>
    <w:p w14:paraId="03D8D223" w14:textId="77777777" w:rsidR="00F039C4" w:rsidRDefault="00F039C4" w:rsidP="00EB01DA">
      <w:pPr>
        <w:pStyle w:val="JudgmentNumbered"/>
        <w:numPr>
          <w:ilvl w:val="0"/>
          <w:numId w:val="0"/>
        </w:numPr>
        <w:spacing w:after="0"/>
        <w:ind w:left="567" w:hanging="567"/>
        <w:jc w:val="right"/>
        <w:rPr>
          <w:noProof/>
          <w:lang w:eastAsia="en-ZA"/>
        </w:rPr>
      </w:pPr>
    </w:p>
    <w:p w14:paraId="553AC981" w14:textId="34739007" w:rsidR="002B448C" w:rsidRPr="00B2223A" w:rsidRDefault="002B448C" w:rsidP="00EB01DA">
      <w:pPr>
        <w:pStyle w:val="JudgmentNumbered"/>
        <w:numPr>
          <w:ilvl w:val="0"/>
          <w:numId w:val="0"/>
        </w:numPr>
        <w:spacing w:after="0"/>
        <w:ind w:left="567" w:hanging="567"/>
        <w:jc w:val="right"/>
      </w:pPr>
      <w:r w:rsidRPr="00B2223A">
        <w:t>________</w:t>
      </w:r>
      <w:r w:rsidR="00EB01DA" w:rsidRPr="00B2223A">
        <w:t>__</w:t>
      </w:r>
      <w:r w:rsidRPr="00B2223A">
        <w:t>______________</w:t>
      </w:r>
    </w:p>
    <w:p w14:paraId="4B5138DF" w14:textId="77777777" w:rsidR="002B448C" w:rsidRPr="00B2223A" w:rsidRDefault="000D155C" w:rsidP="00EB01DA">
      <w:pPr>
        <w:pStyle w:val="JudgmentNumbered"/>
        <w:numPr>
          <w:ilvl w:val="0"/>
          <w:numId w:val="0"/>
        </w:numPr>
        <w:spacing w:after="0"/>
        <w:ind w:left="567" w:hanging="567"/>
        <w:jc w:val="right"/>
        <w:rPr>
          <w:b/>
        </w:rPr>
      </w:pPr>
      <w:r>
        <w:rPr>
          <w:b/>
        </w:rPr>
        <w:t>TWALA J</w:t>
      </w:r>
    </w:p>
    <w:p w14:paraId="05FFA925" w14:textId="77777777" w:rsidR="002B448C" w:rsidRPr="00B2223A" w:rsidRDefault="002B448C" w:rsidP="00EB01DA">
      <w:pPr>
        <w:pStyle w:val="JudgmentNumbered"/>
        <w:numPr>
          <w:ilvl w:val="0"/>
          <w:numId w:val="0"/>
        </w:numPr>
        <w:spacing w:after="0"/>
        <w:ind w:left="567" w:hanging="567"/>
        <w:jc w:val="right"/>
        <w:rPr>
          <w:b/>
        </w:rPr>
      </w:pPr>
      <w:r w:rsidRPr="00B2223A">
        <w:rPr>
          <w:b/>
        </w:rPr>
        <w:t>JUDGE OF THE HIGH COURT</w:t>
      </w:r>
    </w:p>
    <w:p w14:paraId="3C0893A9" w14:textId="77777777" w:rsidR="00EB01DA" w:rsidRPr="00B2223A" w:rsidRDefault="002B448C" w:rsidP="00EB01DA">
      <w:pPr>
        <w:pStyle w:val="JudgmentNumbered"/>
        <w:numPr>
          <w:ilvl w:val="0"/>
          <w:numId w:val="0"/>
        </w:numPr>
        <w:spacing w:after="0"/>
        <w:ind w:left="567" w:hanging="567"/>
        <w:jc w:val="right"/>
        <w:rPr>
          <w:b/>
        </w:rPr>
        <w:sectPr w:rsidR="00EB01DA" w:rsidRPr="00B2223A" w:rsidSect="00E469E1">
          <w:footerReference w:type="default" r:id="rId10"/>
          <w:pgSz w:w="11906" w:h="16838"/>
          <w:pgMar w:top="1440" w:right="1440" w:bottom="1440" w:left="1440" w:header="708" w:footer="708" w:gutter="0"/>
          <w:cols w:space="708"/>
          <w:titlePg/>
          <w:docGrid w:linePitch="360"/>
        </w:sectPr>
      </w:pPr>
      <w:r w:rsidRPr="00B2223A">
        <w:rPr>
          <w:b/>
        </w:rPr>
        <w:t>JOHANNESBURG</w:t>
      </w:r>
    </w:p>
    <w:p w14:paraId="30157C1C" w14:textId="77777777" w:rsidR="00EB01DA" w:rsidRDefault="00EB01DA" w:rsidP="00EB01DA">
      <w:pPr>
        <w:pStyle w:val="JudgmentNumbered"/>
        <w:numPr>
          <w:ilvl w:val="0"/>
          <w:numId w:val="0"/>
        </w:numPr>
        <w:spacing w:after="0"/>
        <w:ind w:left="567" w:hanging="567"/>
        <w:jc w:val="right"/>
        <w:rPr>
          <w:b/>
        </w:rPr>
      </w:pPr>
    </w:p>
    <w:p w14:paraId="4346FD1D" w14:textId="4F4599D1" w:rsidR="00422D71" w:rsidRPr="00AA52EB" w:rsidRDefault="00422D71" w:rsidP="00422D71">
      <w:pPr>
        <w:spacing w:after="0"/>
        <w:ind w:left="1440" w:hanging="1440"/>
        <w:rPr>
          <w:rFonts w:cs="Arial"/>
          <w:szCs w:val="24"/>
        </w:rPr>
      </w:pPr>
      <w:r>
        <w:t xml:space="preserve"> </w:t>
      </w:r>
      <w:r w:rsidRPr="00AA52EB">
        <w:rPr>
          <w:rFonts w:cs="Arial"/>
          <w:b/>
          <w:szCs w:val="24"/>
        </w:rPr>
        <w:t>Delivered:</w:t>
      </w:r>
      <w:r w:rsidRPr="00AA52EB">
        <w:rPr>
          <w:rFonts w:cs="Arial"/>
          <w:b/>
          <w:szCs w:val="24"/>
        </w:rPr>
        <w:tab/>
      </w:r>
      <w:r w:rsidRPr="00AA52EB">
        <w:rPr>
          <w:rFonts w:cs="Arial"/>
          <w:szCs w:val="24"/>
        </w:rPr>
        <w:t xml:space="preserve">This judgment and order was prepared and authored by the Judge whose name is reflected and is handed down electronically by circulation to Parties / their legal representatives by email and by uploading it to the </w:t>
      </w:r>
      <w:r w:rsidRPr="00AA52EB">
        <w:rPr>
          <w:rFonts w:cs="Arial"/>
          <w:szCs w:val="24"/>
        </w:rPr>
        <w:lastRenderedPageBreak/>
        <w:t>electronic file of this matter on CaseLines. The date of the order is deemed to be the</w:t>
      </w:r>
      <w:r w:rsidR="00943A58">
        <w:rPr>
          <w:rFonts w:cs="Arial"/>
          <w:szCs w:val="24"/>
        </w:rPr>
        <w:t xml:space="preserve"> 24</w:t>
      </w:r>
      <w:r w:rsidR="00943A58" w:rsidRPr="00943A58">
        <w:rPr>
          <w:rFonts w:cs="Arial"/>
          <w:szCs w:val="24"/>
          <w:vertAlign w:val="superscript"/>
        </w:rPr>
        <w:t>th</w:t>
      </w:r>
      <w:r w:rsidR="00943A58">
        <w:rPr>
          <w:rFonts w:cs="Arial"/>
          <w:szCs w:val="24"/>
        </w:rPr>
        <w:t xml:space="preserve"> of</w:t>
      </w:r>
      <w:r w:rsidRPr="00AA52EB">
        <w:rPr>
          <w:rFonts w:cs="Arial"/>
          <w:szCs w:val="24"/>
        </w:rPr>
        <w:t xml:space="preserve"> October 2023.</w:t>
      </w:r>
    </w:p>
    <w:p w14:paraId="15690B31" w14:textId="77777777" w:rsidR="00422D71" w:rsidRDefault="00422D71" w:rsidP="00422D71">
      <w:pPr>
        <w:pStyle w:val="Normal1"/>
      </w:pPr>
    </w:p>
    <w:p w14:paraId="79DF1F7A" w14:textId="77777777" w:rsidR="00FF0137" w:rsidRPr="00FF0137" w:rsidRDefault="00FF0137" w:rsidP="00FF0137">
      <w:pPr>
        <w:tabs>
          <w:tab w:val="left" w:pos="3240"/>
          <w:tab w:val="left" w:pos="3330"/>
          <w:tab w:val="left" w:pos="3420"/>
        </w:tabs>
        <w:spacing w:after="0" w:line="240" w:lineRule="auto"/>
        <w:ind w:left="0"/>
        <w:rPr>
          <w:rFonts w:eastAsia="Times New Roman" w:cs="Arial"/>
          <w:b/>
          <w:szCs w:val="24"/>
          <w:lang w:val="en-ZA"/>
        </w:rPr>
      </w:pPr>
      <w:r w:rsidRPr="00FF0137">
        <w:rPr>
          <w:rFonts w:eastAsia="Times New Roman" w:cs="Arial"/>
          <w:b/>
          <w:szCs w:val="24"/>
          <w:lang w:val="en-ZA"/>
        </w:rPr>
        <w:t>Appearances</w:t>
      </w:r>
    </w:p>
    <w:p w14:paraId="7FC792DD" w14:textId="77777777" w:rsidR="00FF0137" w:rsidRPr="00FF0137" w:rsidRDefault="00FF0137" w:rsidP="00FF0137">
      <w:pPr>
        <w:tabs>
          <w:tab w:val="left" w:pos="3240"/>
          <w:tab w:val="left" w:pos="3330"/>
          <w:tab w:val="left" w:pos="3420"/>
        </w:tabs>
        <w:spacing w:after="0" w:line="240" w:lineRule="auto"/>
        <w:ind w:left="0"/>
        <w:rPr>
          <w:rFonts w:eastAsia="Times New Roman" w:cs="Arial"/>
          <w:b/>
          <w:szCs w:val="24"/>
          <w:lang w:val="en-ZA"/>
        </w:rPr>
      </w:pPr>
    </w:p>
    <w:p w14:paraId="265A18C1" w14:textId="77777777" w:rsidR="00FF0137" w:rsidRPr="00FF0137" w:rsidRDefault="00FF0137" w:rsidP="00FF0137">
      <w:pPr>
        <w:tabs>
          <w:tab w:val="left" w:pos="3240"/>
          <w:tab w:val="left" w:pos="3330"/>
          <w:tab w:val="left" w:pos="3420"/>
        </w:tabs>
        <w:spacing w:after="0" w:line="240" w:lineRule="auto"/>
        <w:ind w:left="0"/>
        <w:rPr>
          <w:rFonts w:eastAsia="Times New Roman" w:cs="Arial"/>
          <w:szCs w:val="24"/>
          <w:lang w:val="en-ZA"/>
        </w:rPr>
      </w:pPr>
      <w:r w:rsidRPr="00FF0137">
        <w:rPr>
          <w:rFonts w:eastAsia="Times New Roman" w:cs="Arial"/>
          <w:b/>
          <w:szCs w:val="24"/>
          <w:lang w:val="en-ZA"/>
        </w:rPr>
        <w:t>For the Plaintiff:</w:t>
      </w:r>
      <w:r w:rsidRPr="00FF0137">
        <w:rPr>
          <w:rFonts w:eastAsia="Times New Roman" w:cs="Arial"/>
          <w:szCs w:val="24"/>
          <w:lang w:val="en-ZA"/>
        </w:rPr>
        <w:tab/>
        <w:t>Advocate A Stokes SC</w:t>
      </w:r>
    </w:p>
    <w:p w14:paraId="69747050" w14:textId="77777777" w:rsidR="00FF0137" w:rsidRPr="00FF0137" w:rsidRDefault="00FF0137" w:rsidP="00FF0137">
      <w:pPr>
        <w:tabs>
          <w:tab w:val="left" w:pos="3240"/>
          <w:tab w:val="left" w:pos="3330"/>
          <w:tab w:val="left" w:pos="3420"/>
        </w:tabs>
        <w:spacing w:after="0" w:line="240" w:lineRule="auto"/>
        <w:ind w:left="0"/>
        <w:rPr>
          <w:rFonts w:eastAsia="Times New Roman" w:cs="Arial"/>
          <w:szCs w:val="24"/>
          <w:lang w:val="en-ZA"/>
        </w:rPr>
      </w:pPr>
    </w:p>
    <w:p w14:paraId="3305A2DA" w14:textId="77777777" w:rsidR="00FF0137" w:rsidRPr="00FF0137" w:rsidRDefault="00FF0137" w:rsidP="00FF0137">
      <w:pPr>
        <w:tabs>
          <w:tab w:val="left" w:pos="3240"/>
          <w:tab w:val="left" w:pos="3330"/>
          <w:tab w:val="left" w:pos="3420"/>
        </w:tabs>
        <w:spacing w:after="0" w:line="240" w:lineRule="auto"/>
        <w:ind w:left="0"/>
        <w:rPr>
          <w:rFonts w:eastAsia="Times New Roman" w:cs="Arial"/>
          <w:szCs w:val="24"/>
          <w:lang w:val="en-ZA"/>
        </w:rPr>
      </w:pPr>
      <w:r w:rsidRPr="00FF0137">
        <w:rPr>
          <w:rFonts w:eastAsia="Times New Roman" w:cs="Arial"/>
          <w:b/>
          <w:szCs w:val="24"/>
          <w:lang w:val="en-ZA"/>
        </w:rPr>
        <w:t>Instructed by:</w:t>
      </w:r>
      <w:r w:rsidRPr="00FF0137">
        <w:rPr>
          <w:rFonts w:eastAsia="Times New Roman" w:cs="Arial"/>
          <w:szCs w:val="24"/>
          <w:lang w:val="en-ZA"/>
        </w:rPr>
        <w:tab/>
        <w:t>Ramdass &amp; Associates</w:t>
      </w:r>
    </w:p>
    <w:p w14:paraId="7A454D59" w14:textId="77777777" w:rsidR="00FF0137" w:rsidRPr="00FF0137" w:rsidRDefault="00FF0137" w:rsidP="00FF0137">
      <w:pPr>
        <w:tabs>
          <w:tab w:val="left" w:pos="3240"/>
          <w:tab w:val="left" w:pos="3330"/>
          <w:tab w:val="left" w:pos="3420"/>
        </w:tabs>
        <w:spacing w:after="0" w:line="240" w:lineRule="auto"/>
        <w:ind w:left="0"/>
        <w:rPr>
          <w:rFonts w:eastAsia="Times New Roman" w:cs="Arial"/>
          <w:szCs w:val="24"/>
          <w:lang w:val="en-ZA"/>
        </w:rPr>
      </w:pPr>
      <w:r w:rsidRPr="00FF0137">
        <w:rPr>
          <w:rFonts w:eastAsia="Times New Roman" w:cs="Arial"/>
          <w:szCs w:val="24"/>
          <w:lang w:val="en-ZA"/>
        </w:rPr>
        <w:tab/>
        <w:t>Tel: 031 312 2411</w:t>
      </w:r>
    </w:p>
    <w:p w14:paraId="4FB54C76" w14:textId="77777777" w:rsidR="00FF0137" w:rsidRPr="00C70794" w:rsidRDefault="00FF0137" w:rsidP="00FF0137">
      <w:pPr>
        <w:tabs>
          <w:tab w:val="left" w:pos="3240"/>
          <w:tab w:val="left" w:pos="3330"/>
          <w:tab w:val="left" w:pos="3420"/>
        </w:tabs>
        <w:spacing w:after="0" w:line="240" w:lineRule="auto"/>
        <w:ind w:left="0"/>
        <w:rPr>
          <w:rFonts w:eastAsia="Times New Roman" w:cs="Arial"/>
          <w:color w:val="0000FF"/>
          <w:szCs w:val="24"/>
          <w:u w:val="single"/>
          <w:lang w:val="en-ZA"/>
        </w:rPr>
      </w:pPr>
      <w:r w:rsidRPr="00FF0137">
        <w:rPr>
          <w:rFonts w:eastAsia="Times New Roman" w:cs="Arial"/>
          <w:szCs w:val="24"/>
          <w:lang w:val="en-ZA"/>
        </w:rPr>
        <w:tab/>
      </w:r>
      <w:hyperlink r:id="rId11" w:history="1">
        <w:r w:rsidRPr="00C70794">
          <w:rPr>
            <w:rFonts w:eastAsia="Times New Roman" w:cs="Arial"/>
            <w:color w:val="0000FF"/>
            <w:szCs w:val="24"/>
            <w:u w:val="single"/>
            <w:lang w:val="en-ZA"/>
          </w:rPr>
          <w:t>shahir@ramdass.co.za</w:t>
        </w:r>
      </w:hyperlink>
    </w:p>
    <w:p w14:paraId="794331E4" w14:textId="77777777" w:rsidR="00FF0137" w:rsidRPr="00FF0137" w:rsidRDefault="00FF0137" w:rsidP="00FF0137">
      <w:pPr>
        <w:tabs>
          <w:tab w:val="left" w:pos="2835"/>
        </w:tabs>
        <w:spacing w:after="0" w:line="240" w:lineRule="auto"/>
        <w:ind w:left="0"/>
        <w:rPr>
          <w:rFonts w:eastAsia="Times New Roman" w:cs="Arial"/>
          <w:szCs w:val="24"/>
          <w:lang w:val="en-ZA"/>
        </w:rPr>
      </w:pPr>
      <w:r w:rsidRPr="00FF0137">
        <w:rPr>
          <w:rFonts w:eastAsia="Times New Roman" w:cs="Arial"/>
          <w:szCs w:val="24"/>
          <w:lang w:val="en-ZA"/>
        </w:rPr>
        <w:t xml:space="preserve"> </w:t>
      </w:r>
    </w:p>
    <w:p w14:paraId="21DDEEAB" w14:textId="77777777" w:rsidR="00FF0137" w:rsidRPr="00FF0137" w:rsidRDefault="00FF0137" w:rsidP="00FF0137">
      <w:pPr>
        <w:tabs>
          <w:tab w:val="left" w:pos="2835"/>
        </w:tabs>
        <w:spacing w:after="0" w:line="240" w:lineRule="auto"/>
        <w:ind w:left="0"/>
        <w:rPr>
          <w:rFonts w:eastAsia="Times New Roman" w:cs="Arial"/>
          <w:szCs w:val="24"/>
          <w:lang w:val="en-ZA"/>
        </w:rPr>
      </w:pPr>
    </w:p>
    <w:p w14:paraId="5A19CCE4" w14:textId="77777777" w:rsidR="00FF0137" w:rsidRPr="00FF0137" w:rsidRDefault="00FF0137" w:rsidP="00FF0137">
      <w:pPr>
        <w:tabs>
          <w:tab w:val="left" w:pos="2835"/>
          <w:tab w:val="left" w:pos="3060"/>
          <w:tab w:val="left" w:pos="3240"/>
        </w:tabs>
        <w:spacing w:after="0" w:line="240" w:lineRule="auto"/>
        <w:ind w:left="0"/>
        <w:rPr>
          <w:rFonts w:eastAsia="Times New Roman" w:cs="Arial"/>
          <w:szCs w:val="24"/>
          <w:lang w:val="en-ZA"/>
        </w:rPr>
      </w:pPr>
      <w:r w:rsidRPr="00FF0137">
        <w:rPr>
          <w:rFonts w:eastAsia="Times New Roman" w:cs="Arial"/>
          <w:b/>
          <w:szCs w:val="24"/>
          <w:lang w:val="en-ZA"/>
        </w:rPr>
        <w:t>For the Defendants:</w:t>
      </w:r>
      <w:r w:rsidRPr="00FF0137">
        <w:rPr>
          <w:rFonts w:eastAsia="Times New Roman" w:cs="Arial"/>
          <w:szCs w:val="24"/>
          <w:lang w:val="en-ZA"/>
        </w:rPr>
        <w:t xml:space="preserve">      </w:t>
      </w:r>
      <w:r w:rsidRPr="00FF0137">
        <w:rPr>
          <w:rFonts w:eastAsia="Times New Roman" w:cs="Arial"/>
          <w:szCs w:val="24"/>
          <w:lang w:val="en-ZA"/>
        </w:rPr>
        <w:tab/>
        <w:t xml:space="preserve">     Advocate A D Stein SC</w:t>
      </w:r>
    </w:p>
    <w:p w14:paraId="2AD63E91" w14:textId="77777777" w:rsidR="00FF0137" w:rsidRPr="00FF0137" w:rsidRDefault="00FF0137" w:rsidP="00FF0137">
      <w:pPr>
        <w:tabs>
          <w:tab w:val="left" w:pos="2835"/>
          <w:tab w:val="left" w:pos="3060"/>
          <w:tab w:val="left" w:pos="3240"/>
        </w:tabs>
        <w:spacing w:after="0" w:line="240" w:lineRule="auto"/>
        <w:ind w:left="0"/>
        <w:rPr>
          <w:rFonts w:eastAsia="Times New Roman" w:cs="Arial"/>
          <w:szCs w:val="24"/>
          <w:lang w:val="en-ZA"/>
        </w:rPr>
      </w:pPr>
      <w:r w:rsidRPr="00FF0137">
        <w:rPr>
          <w:rFonts w:eastAsia="Times New Roman" w:cs="Arial"/>
          <w:szCs w:val="24"/>
          <w:lang w:val="en-ZA"/>
        </w:rPr>
        <w:tab/>
        <w:t xml:space="preserve">     Advocate MCJ Van Kerkhoven</w:t>
      </w:r>
    </w:p>
    <w:p w14:paraId="782AFE30" w14:textId="77777777" w:rsidR="00FF0137" w:rsidRPr="00FF0137" w:rsidRDefault="00FF0137" w:rsidP="00C70794">
      <w:pPr>
        <w:tabs>
          <w:tab w:val="left" w:pos="2835"/>
          <w:tab w:val="left" w:pos="3060"/>
          <w:tab w:val="left" w:pos="3240"/>
        </w:tabs>
        <w:spacing w:after="0" w:line="240" w:lineRule="auto"/>
        <w:ind w:left="0"/>
        <w:rPr>
          <w:rFonts w:eastAsia="Times New Roman" w:cs="Arial"/>
          <w:szCs w:val="24"/>
          <w:lang w:val="en-ZA"/>
        </w:rPr>
      </w:pPr>
      <w:r w:rsidRPr="00FF0137">
        <w:rPr>
          <w:rFonts w:eastAsia="Times New Roman" w:cs="Arial"/>
          <w:szCs w:val="24"/>
          <w:lang w:val="en-ZA"/>
        </w:rPr>
        <w:tab/>
      </w:r>
      <w:r w:rsidRPr="00FF0137">
        <w:rPr>
          <w:rFonts w:eastAsia="Times New Roman" w:cs="Arial"/>
          <w:szCs w:val="24"/>
          <w:lang w:val="en-ZA"/>
        </w:rPr>
        <w:tab/>
      </w:r>
    </w:p>
    <w:p w14:paraId="24667C83" w14:textId="77777777" w:rsidR="00FF0137" w:rsidRPr="00FF0137" w:rsidRDefault="00FF0137" w:rsidP="00FF0137">
      <w:pPr>
        <w:tabs>
          <w:tab w:val="left" w:pos="2835"/>
        </w:tabs>
        <w:spacing w:after="0" w:line="240" w:lineRule="auto"/>
        <w:ind w:left="0"/>
        <w:rPr>
          <w:rFonts w:eastAsia="Times New Roman" w:cs="Arial"/>
          <w:szCs w:val="24"/>
          <w:lang w:val="en-ZA"/>
        </w:rPr>
      </w:pPr>
      <w:r w:rsidRPr="00FF0137">
        <w:rPr>
          <w:rFonts w:eastAsia="Times New Roman" w:cs="Arial"/>
          <w:b/>
          <w:szCs w:val="24"/>
          <w:lang w:val="en-ZA"/>
        </w:rPr>
        <w:t>Instructed by:</w:t>
      </w:r>
      <w:r w:rsidRPr="00FF0137">
        <w:rPr>
          <w:rFonts w:eastAsia="Times New Roman" w:cs="Arial"/>
          <w:szCs w:val="24"/>
          <w:lang w:val="en-ZA"/>
        </w:rPr>
        <w:t xml:space="preserve">                       Bowman Gilfillan Incorporated</w:t>
      </w:r>
    </w:p>
    <w:p w14:paraId="0AC377D9" w14:textId="77777777" w:rsidR="00FF0137" w:rsidRPr="00FF0137" w:rsidRDefault="00FF0137" w:rsidP="00FF0137">
      <w:pPr>
        <w:tabs>
          <w:tab w:val="left" w:pos="2835"/>
        </w:tabs>
        <w:spacing w:after="0" w:line="240" w:lineRule="auto"/>
        <w:ind w:left="0"/>
        <w:rPr>
          <w:rFonts w:eastAsia="Times New Roman" w:cs="Arial"/>
          <w:szCs w:val="24"/>
          <w:lang w:val="en-ZA"/>
        </w:rPr>
      </w:pPr>
      <w:r w:rsidRPr="00FF0137">
        <w:rPr>
          <w:rFonts w:eastAsia="Times New Roman" w:cs="Arial"/>
          <w:szCs w:val="24"/>
          <w:lang w:val="en-ZA"/>
        </w:rPr>
        <w:tab/>
      </w:r>
      <w:r w:rsidRPr="00FF0137">
        <w:rPr>
          <w:rFonts w:eastAsia="Times New Roman" w:cs="Arial"/>
          <w:szCs w:val="24"/>
          <w:lang w:val="en-ZA"/>
        </w:rPr>
        <w:tab/>
        <w:t xml:space="preserve">   </w:t>
      </w:r>
      <w:r w:rsidR="00C70794">
        <w:rPr>
          <w:rFonts w:eastAsia="Times New Roman" w:cs="Arial"/>
          <w:szCs w:val="24"/>
          <w:lang w:val="en-ZA"/>
        </w:rPr>
        <w:t xml:space="preserve"> </w:t>
      </w:r>
      <w:r w:rsidRPr="00FF0137">
        <w:rPr>
          <w:rFonts w:eastAsia="Times New Roman" w:cs="Arial"/>
          <w:szCs w:val="24"/>
          <w:lang w:val="en-ZA"/>
        </w:rPr>
        <w:t>Tel: 011 263 9000</w:t>
      </w:r>
    </w:p>
    <w:p w14:paraId="07D97389" w14:textId="77777777" w:rsidR="00FF0137" w:rsidRPr="00FF0137" w:rsidRDefault="00FF0137" w:rsidP="00FF0137">
      <w:pPr>
        <w:tabs>
          <w:tab w:val="left" w:pos="2835"/>
        </w:tabs>
        <w:spacing w:after="0" w:line="240" w:lineRule="auto"/>
        <w:ind w:left="0"/>
        <w:rPr>
          <w:rFonts w:eastAsia="Times New Roman" w:cs="Arial"/>
          <w:szCs w:val="24"/>
          <w:lang w:val="en-ZA"/>
        </w:rPr>
      </w:pPr>
      <w:r w:rsidRPr="00FF0137">
        <w:rPr>
          <w:rFonts w:eastAsia="Times New Roman" w:cs="Arial"/>
          <w:szCs w:val="24"/>
          <w:lang w:val="en-ZA"/>
        </w:rPr>
        <w:t xml:space="preserve">                                               </w:t>
      </w:r>
      <w:hyperlink r:id="rId12" w:history="1">
        <w:r w:rsidR="00C70794" w:rsidRPr="00BD4EBE">
          <w:rPr>
            <w:rStyle w:val="Hyperlink"/>
            <w:rFonts w:eastAsia="Times New Roman" w:cs="Arial"/>
            <w:szCs w:val="24"/>
            <w:lang w:val="en-ZA"/>
          </w:rPr>
          <w:t>richard.shein@bowmanslaw.com</w:t>
        </w:r>
      </w:hyperlink>
      <w:r w:rsidRPr="00FF0137">
        <w:rPr>
          <w:rFonts w:eastAsia="Times New Roman" w:cs="Arial"/>
          <w:szCs w:val="24"/>
          <w:lang w:val="en-ZA"/>
        </w:rPr>
        <w:t xml:space="preserve"> </w:t>
      </w:r>
    </w:p>
    <w:p w14:paraId="3C320EFC" w14:textId="77777777" w:rsidR="00FF0137" w:rsidRPr="00FF0137" w:rsidRDefault="00FF0137" w:rsidP="00FF0137">
      <w:pPr>
        <w:tabs>
          <w:tab w:val="left" w:pos="2835"/>
        </w:tabs>
        <w:spacing w:after="0" w:line="240" w:lineRule="auto"/>
        <w:ind w:left="0"/>
        <w:rPr>
          <w:rFonts w:eastAsia="Times New Roman" w:cs="Arial"/>
          <w:szCs w:val="24"/>
          <w:lang w:val="en-ZA"/>
        </w:rPr>
      </w:pPr>
      <w:r w:rsidRPr="00FF0137">
        <w:rPr>
          <w:rFonts w:eastAsia="Times New Roman" w:cs="Arial"/>
          <w:szCs w:val="24"/>
          <w:lang w:val="en-ZA"/>
        </w:rPr>
        <w:tab/>
      </w:r>
      <w:r w:rsidRPr="00FF0137">
        <w:rPr>
          <w:rFonts w:eastAsia="Times New Roman" w:cs="Arial"/>
          <w:szCs w:val="24"/>
          <w:lang w:val="en-ZA"/>
        </w:rPr>
        <w:tab/>
        <w:t xml:space="preserve">     </w:t>
      </w:r>
    </w:p>
    <w:p w14:paraId="6775A692" w14:textId="77777777" w:rsidR="00FF0137" w:rsidRPr="00FF0137" w:rsidRDefault="00FF0137" w:rsidP="00FF0137">
      <w:pPr>
        <w:tabs>
          <w:tab w:val="left" w:pos="2835"/>
        </w:tabs>
        <w:spacing w:after="0" w:line="240" w:lineRule="auto"/>
        <w:ind w:left="0"/>
        <w:rPr>
          <w:rFonts w:eastAsia="Times New Roman" w:cs="Arial"/>
          <w:szCs w:val="24"/>
          <w:lang w:val="en-ZA"/>
        </w:rPr>
      </w:pPr>
      <w:r w:rsidRPr="00FF0137">
        <w:rPr>
          <w:rFonts w:eastAsia="Times New Roman" w:cs="Arial"/>
          <w:szCs w:val="24"/>
          <w:lang w:val="en-ZA"/>
        </w:rPr>
        <w:t xml:space="preserve">                                              </w:t>
      </w:r>
    </w:p>
    <w:p w14:paraId="278424C1" w14:textId="77777777" w:rsidR="00FF0137" w:rsidRPr="00FF0137" w:rsidRDefault="00FF0137" w:rsidP="00FF0137">
      <w:pPr>
        <w:tabs>
          <w:tab w:val="left" w:pos="3240"/>
          <w:tab w:val="left" w:pos="3330"/>
          <w:tab w:val="left" w:pos="3420"/>
        </w:tabs>
        <w:spacing w:after="0" w:line="240" w:lineRule="auto"/>
        <w:ind w:left="0"/>
        <w:rPr>
          <w:rFonts w:eastAsia="Times New Roman" w:cs="Arial"/>
          <w:szCs w:val="24"/>
          <w:lang w:val="en-ZA"/>
        </w:rPr>
      </w:pPr>
    </w:p>
    <w:p w14:paraId="1382C14E" w14:textId="77777777" w:rsidR="00FF0137" w:rsidRPr="00FF0137" w:rsidRDefault="00FF0137" w:rsidP="00FF0137">
      <w:pPr>
        <w:tabs>
          <w:tab w:val="left" w:pos="2835"/>
        </w:tabs>
        <w:spacing w:after="0" w:line="240" w:lineRule="auto"/>
        <w:ind w:left="0"/>
        <w:rPr>
          <w:rFonts w:eastAsia="Times New Roman" w:cs="Arial"/>
          <w:szCs w:val="24"/>
          <w:lang w:val="en-ZA"/>
        </w:rPr>
      </w:pPr>
      <w:r w:rsidRPr="00FF0137">
        <w:rPr>
          <w:rFonts w:eastAsia="Times New Roman" w:cs="Arial"/>
          <w:b/>
          <w:szCs w:val="24"/>
          <w:lang w:val="en-ZA"/>
        </w:rPr>
        <w:t>Date of Hearing:</w:t>
      </w:r>
      <w:r w:rsidRPr="00FF0137">
        <w:rPr>
          <w:rFonts w:eastAsia="Times New Roman" w:cs="Arial"/>
          <w:szCs w:val="24"/>
          <w:lang w:val="en-ZA"/>
        </w:rPr>
        <w:tab/>
      </w:r>
      <w:r w:rsidRPr="00FF0137">
        <w:rPr>
          <w:rFonts w:eastAsia="Times New Roman" w:cs="Arial"/>
          <w:szCs w:val="24"/>
          <w:lang w:val="en-ZA"/>
        </w:rPr>
        <w:tab/>
        <w:t xml:space="preserve">      9</w:t>
      </w:r>
      <w:r w:rsidRPr="00FF0137">
        <w:rPr>
          <w:rFonts w:eastAsia="Times New Roman" w:cs="Arial"/>
          <w:szCs w:val="24"/>
          <w:vertAlign w:val="superscript"/>
          <w:lang w:val="en-ZA"/>
        </w:rPr>
        <w:t>th</w:t>
      </w:r>
      <w:r w:rsidRPr="00FF0137">
        <w:rPr>
          <w:rFonts w:eastAsia="Times New Roman" w:cs="Arial"/>
          <w:szCs w:val="24"/>
          <w:lang w:val="en-ZA"/>
        </w:rPr>
        <w:t xml:space="preserve"> of October 2023</w:t>
      </w:r>
    </w:p>
    <w:p w14:paraId="1A3E81DD" w14:textId="77777777" w:rsidR="00FF0137" w:rsidRPr="00FF0137" w:rsidRDefault="00FF0137" w:rsidP="00FF0137">
      <w:pPr>
        <w:tabs>
          <w:tab w:val="left" w:pos="2835"/>
        </w:tabs>
        <w:spacing w:after="0" w:line="240" w:lineRule="auto"/>
        <w:ind w:left="0"/>
        <w:rPr>
          <w:rFonts w:eastAsia="Times New Roman" w:cs="Arial"/>
          <w:szCs w:val="24"/>
          <w:lang w:val="en-ZA"/>
        </w:rPr>
      </w:pPr>
    </w:p>
    <w:p w14:paraId="6B08BB6C" w14:textId="01669BE6" w:rsidR="00FF0137" w:rsidRPr="00FF0137" w:rsidRDefault="00FF0137" w:rsidP="00FF0137">
      <w:pPr>
        <w:tabs>
          <w:tab w:val="left" w:pos="3240"/>
          <w:tab w:val="left" w:pos="3330"/>
          <w:tab w:val="left" w:pos="3420"/>
        </w:tabs>
        <w:spacing w:after="0" w:line="240" w:lineRule="auto"/>
        <w:ind w:left="0"/>
        <w:rPr>
          <w:rFonts w:eastAsia="Times New Roman" w:cs="Arial"/>
          <w:szCs w:val="24"/>
          <w:lang w:val="en-ZA"/>
        </w:rPr>
      </w:pPr>
      <w:r w:rsidRPr="00FF0137">
        <w:rPr>
          <w:rFonts w:eastAsia="Times New Roman" w:cs="Arial"/>
          <w:b/>
          <w:szCs w:val="24"/>
          <w:lang w:val="en-ZA"/>
        </w:rPr>
        <w:t>Date of Judgment:</w:t>
      </w:r>
      <w:r w:rsidRPr="00FF0137">
        <w:rPr>
          <w:rFonts w:eastAsia="Times New Roman" w:cs="Arial"/>
          <w:szCs w:val="24"/>
          <w:lang w:val="en-ZA"/>
        </w:rPr>
        <w:tab/>
        <w:t xml:space="preserve"> </w:t>
      </w:r>
      <w:r w:rsidR="00943A58">
        <w:rPr>
          <w:rFonts w:eastAsia="Times New Roman" w:cs="Arial"/>
          <w:szCs w:val="24"/>
          <w:lang w:val="en-ZA"/>
        </w:rPr>
        <w:t>24</w:t>
      </w:r>
      <w:r w:rsidR="00943A58" w:rsidRPr="00943A58">
        <w:rPr>
          <w:rFonts w:eastAsia="Times New Roman" w:cs="Arial"/>
          <w:szCs w:val="24"/>
          <w:vertAlign w:val="superscript"/>
          <w:lang w:val="en-ZA"/>
        </w:rPr>
        <w:t>th</w:t>
      </w:r>
      <w:r w:rsidR="00943A58">
        <w:rPr>
          <w:rFonts w:eastAsia="Times New Roman" w:cs="Arial"/>
          <w:szCs w:val="24"/>
          <w:lang w:val="en-ZA"/>
        </w:rPr>
        <w:t xml:space="preserve"> of</w:t>
      </w:r>
      <w:r w:rsidRPr="00FF0137">
        <w:rPr>
          <w:rFonts w:eastAsia="Times New Roman" w:cs="Arial"/>
          <w:szCs w:val="24"/>
          <w:lang w:val="en-ZA"/>
        </w:rPr>
        <w:t xml:space="preserve"> October 2023 </w:t>
      </w:r>
    </w:p>
    <w:p w14:paraId="490B0AA8" w14:textId="77777777" w:rsidR="00FF0137" w:rsidRPr="00FF0137" w:rsidRDefault="00FF0137" w:rsidP="00FF0137">
      <w:pPr>
        <w:tabs>
          <w:tab w:val="left" w:pos="3240"/>
          <w:tab w:val="left" w:pos="3330"/>
          <w:tab w:val="left" w:pos="3420"/>
        </w:tabs>
        <w:spacing w:after="0" w:line="240" w:lineRule="auto"/>
        <w:ind w:left="0"/>
        <w:rPr>
          <w:rFonts w:eastAsia="Times New Roman" w:cs="Arial"/>
          <w:szCs w:val="24"/>
          <w:lang w:val="en-ZA"/>
        </w:rPr>
      </w:pPr>
    </w:p>
    <w:p w14:paraId="47A4A293" w14:textId="77777777" w:rsidR="00FF0137" w:rsidRPr="00FF0137" w:rsidRDefault="00FF0137" w:rsidP="00FF0137">
      <w:pPr>
        <w:tabs>
          <w:tab w:val="left" w:pos="3240"/>
          <w:tab w:val="left" w:pos="3330"/>
          <w:tab w:val="left" w:pos="3420"/>
        </w:tabs>
        <w:spacing w:after="0" w:line="240" w:lineRule="auto"/>
        <w:ind w:left="0"/>
        <w:rPr>
          <w:rFonts w:eastAsia="Times New Roman" w:cs="Arial"/>
          <w:szCs w:val="24"/>
          <w:lang w:val="en-ZA"/>
        </w:rPr>
      </w:pPr>
      <w:r w:rsidRPr="00FF0137">
        <w:rPr>
          <w:rFonts w:eastAsia="Times New Roman" w:cs="Arial"/>
          <w:szCs w:val="24"/>
          <w:lang w:val="en-ZA"/>
        </w:rPr>
        <w:tab/>
      </w:r>
      <w:r w:rsidRPr="00FF0137">
        <w:rPr>
          <w:rFonts w:eastAsia="Times New Roman" w:cs="Arial"/>
          <w:szCs w:val="24"/>
          <w:lang w:val="en-ZA"/>
        </w:rPr>
        <w:tab/>
      </w:r>
      <w:r w:rsidRPr="00FF0137">
        <w:rPr>
          <w:rFonts w:eastAsia="Times New Roman" w:cs="Arial"/>
          <w:szCs w:val="24"/>
          <w:lang w:val="en-ZA"/>
        </w:rPr>
        <w:tab/>
      </w:r>
      <w:r w:rsidRPr="00FF0137">
        <w:rPr>
          <w:rFonts w:eastAsia="Times New Roman" w:cs="Arial"/>
          <w:szCs w:val="24"/>
          <w:lang w:val="en-ZA"/>
        </w:rPr>
        <w:tab/>
      </w:r>
    </w:p>
    <w:p w14:paraId="11FDCF8D" w14:textId="77777777" w:rsidR="00FF0137" w:rsidRPr="00FF0137" w:rsidRDefault="00FF0137" w:rsidP="00FF0137">
      <w:pPr>
        <w:tabs>
          <w:tab w:val="left" w:pos="3240"/>
          <w:tab w:val="left" w:pos="3330"/>
          <w:tab w:val="left" w:pos="3420"/>
        </w:tabs>
        <w:spacing w:after="0" w:line="240" w:lineRule="auto"/>
        <w:ind w:left="0"/>
        <w:rPr>
          <w:rFonts w:eastAsia="Times New Roman" w:cs="Arial"/>
          <w:szCs w:val="24"/>
          <w:lang w:val="en-ZA"/>
        </w:rPr>
      </w:pPr>
      <w:r w:rsidRPr="00FF0137">
        <w:rPr>
          <w:rFonts w:eastAsia="Times New Roman" w:cs="Arial"/>
          <w:szCs w:val="24"/>
          <w:lang w:val="en-ZA"/>
        </w:rPr>
        <w:t xml:space="preserve">                                       </w:t>
      </w:r>
      <w:r w:rsidRPr="00FF0137">
        <w:rPr>
          <w:rFonts w:eastAsia="Times New Roman" w:cs="Arial"/>
          <w:szCs w:val="24"/>
          <w:lang w:val="en-ZA"/>
        </w:rPr>
        <w:tab/>
      </w:r>
      <w:r w:rsidRPr="00FF0137">
        <w:rPr>
          <w:rFonts w:eastAsia="Times New Roman" w:cs="Arial"/>
          <w:szCs w:val="24"/>
          <w:lang w:val="en-ZA"/>
        </w:rPr>
        <w:tab/>
      </w:r>
      <w:r w:rsidRPr="00FF0137">
        <w:rPr>
          <w:rFonts w:eastAsia="Times New Roman" w:cs="Arial"/>
          <w:szCs w:val="24"/>
          <w:lang w:val="en-ZA"/>
        </w:rPr>
        <w:tab/>
      </w:r>
      <w:r w:rsidRPr="00FF0137">
        <w:rPr>
          <w:rFonts w:eastAsia="Times New Roman" w:cs="Arial"/>
          <w:szCs w:val="24"/>
          <w:lang w:val="en-ZA"/>
        </w:rPr>
        <w:tab/>
      </w:r>
      <w:r w:rsidRPr="00FF0137">
        <w:rPr>
          <w:rFonts w:eastAsia="Times New Roman" w:cs="Arial"/>
          <w:szCs w:val="24"/>
          <w:lang w:val="en-ZA"/>
        </w:rPr>
        <w:tab/>
      </w:r>
      <w:r w:rsidRPr="00FF0137">
        <w:rPr>
          <w:rFonts w:eastAsia="Times New Roman" w:cs="Arial"/>
          <w:szCs w:val="24"/>
          <w:lang w:val="en-ZA"/>
        </w:rPr>
        <w:tab/>
      </w:r>
      <w:r w:rsidRPr="00FF0137">
        <w:rPr>
          <w:rFonts w:eastAsia="Times New Roman" w:cs="Arial"/>
          <w:szCs w:val="24"/>
          <w:lang w:val="en-ZA"/>
        </w:rPr>
        <w:tab/>
      </w:r>
      <w:r w:rsidRPr="00FF0137">
        <w:rPr>
          <w:rFonts w:eastAsia="Times New Roman" w:cs="Arial"/>
          <w:szCs w:val="24"/>
          <w:lang w:val="en-ZA"/>
        </w:rPr>
        <w:tab/>
      </w:r>
      <w:r w:rsidRPr="00FF0137">
        <w:rPr>
          <w:rFonts w:eastAsia="Times New Roman" w:cs="Arial"/>
          <w:szCs w:val="24"/>
          <w:lang w:val="en-ZA"/>
        </w:rPr>
        <w:tab/>
      </w:r>
      <w:r w:rsidRPr="00FF0137">
        <w:rPr>
          <w:rFonts w:eastAsia="Times New Roman" w:cs="Arial"/>
          <w:szCs w:val="24"/>
          <w:lang w:val="en-ZA"/>
        </w:rPr>
        <w:tab/>
      </w:r>
      <w:r w:rsidRPr="00FF0137">
        <w:rPr>
          <w:rFonts w:eastAsia="Times New Roman" w:cs="Arial"/>
          <w:szCs w:val="24"/>
          <w:lang w:val="en-ZA"/>
        </w:rPr>
        <w:tab/>
      </w:r>
      <w:r w:rsidRPr="00FF0137">
        <w:rPr>
          <w:rFonts w:eastAsia="Times New Roman" w:cs="Arial"/>
          <w:szCs w:val="24"/>
          <w:lang w:val="en-ZA"/>
        </w:rPr>
        <w:tab/>
        <w:t xml:space="preserve">                                </w:t>
      </w:r>
    </w:p>
    <w:p w14:paraId="51100826" w14:textId="77777777" w:rsidR="00FF0137" w:rsidRPr="00FF0137" w:rsidRDefault="00FF0137" w:rsidP="00FF0137">
      <w:pPr>
        <w:tabs>
          <w:tab w:val="left" w:pos="2835"/>
          <w:tab w:val="left" w:pos="3240"/>
        </w:tabs>
        <w:spacing w:after="0" w:line="240" w:lineRule="auto"/>
        <w:ind w:left="0"/>
        <w:rPr>
          <w:rFonts w:eastAsia="Times New Roman" w:cs="Arial"/>
          <w:szCs w:val="24"/>
          <w:lang w:val="en-ZA"/>
        </w:rPr>
      </w:pPr>
    </w:p>
    <w:p w14:paraId="6F156EEC" w14:textId="77777777" w:rsidR="00FF0137" w:rsidRPr="00FF0137" w:rsidRDefault="00FF0137" w:rsidP="00FF0137">
      <w:pPr>
        <w:tabs>
          <w:tab w:val="left" w:pos="2835"/>
        </w:tabs>
        <w:spacing w:after="0" w:line="240" w:lineRule="auto"/>
        <w:ind w:left="0"/>
        <w:rPr>
          <w:rFonts w:eastAsia="Times New Roman" w:cs="Arial"/>
          <w:szCs w:val="24"/>
          <w:lang w:val="en-ZA"/>
        </w:rPr>
      </w:pPr>
    </w:p>
    <w:p w14:paraId="244D3AC3" w14:textId="77777777" w:rsidR="00FF0137" w:rsidRPr="00FF0137" w:rsidRDefault="00FF0137" w:rsidP="00FF0137">
      <w:pPr>
        <w:tabs>
          <w:tab w:val="left" w:pos="2835"/>
        </w:tabs>
        <w:spacing w:after="0" w:line="240" w:lineRule="auto"/>
        <w:ind w:left="0"/>
        <w:rPr>
          <w:rFonts w:eastAsia="Times New Roman" w:cs="Arial"/>
          <w:szCs w:val="24"/>
          <w:lang w:val="en-ZA"/>
        </w:rPr>
      </w:pPr>
    </w:p>
    <w:p w14:paraId="41D41B63" w14:textId="77777777" w:rsidR="00FF0137" w:rsidRPr="00FF0137" w:rsidRDefault="00FF0137" w:rsidP="00FF0137">
      <w:pPr>
        <w:spacing w:after="0" w:line="240" w:lineRule="auto"/>
        <w:ind w:left="0"/>
        <w:rPr>
          <w:rFonts w:ascii="Times New Roman" w:eastAsia="Times New Roman" w:hAnsi="Times New Roman" w:cs="Times New Roman"/>
          <w:szCs w:val="24"/>
          <w:lang w:val="en-ZA"/>
        </w:rPr>
      </w:pPr>
    </w:p>
    <w:p w14:paraId="012B88EC" w14:textId="77777777" w:rsidR="00FF0137" w:rsidRPr="00FF0137" w:rsidRDefault="00FF0137" w:rsidP="00FF0137">
      <w:pPr>
        <w:spacing w:after="0" w:line="240" w:lineRule="auto"/>
        <w:ind w:left="0"/>
        <w:rPr>
          <w:rFonts w:ascii="Times New Roman" w:eastAsia="Times New Roman" w:hAnsi="Times New Roman" w:cs="Times New Roman"/>
          <w:szCs w:val="24"/>
          <w:lang w:val="en-ZA"/>
        </w:rPr>
      </w:pPr>
    </w:p>
    <w:p w14:paraId="7E30850C" w14:textId="77777777" w:rsidR="00FF0137" w:rsidRPr="00FF0137" w:rsidRDefault="00FF0137" w:rsidP="00FF0137">
      <w:pPr>
        <w:spacing w:after="0" w:line="240" w:lineRule="auto"/>
        <w:ind w:left="0"/>
        <w:rPr>
          <w:rFonts w:ascii="Times New Roman" w:eastAsia="Times New Roman" w:hAnsi="Times New Roman" w:cs="Times New Roman"/>
          <w:szCs w:val="24"/>
          <w:lang w:val="en-ZA"/>
        </w:rPr>
      </w:pPr>
    </w:p>
    <w:p w14:paraId="266D09DC" w14:textId="77777777" w:rsidR="00FF0137" w:rsidRPr="00FF0137" w:rsidRDefault="00FF0137" w:rsidP="00FF0137">
      <w:pPr>
        <w:spacing w:after="0" w:line="240" w:lineRule="auto"/>
        <w:ind w:left="0"/>
        <w:rPr>
          <w:rFonts w:ascii="Times New Roman" w:eastAsia="Times New Roman" w:hAnsi="Times New Roman" w:cs="Times New Roman"/>
          <w:szCs w:val="24"/>
          <w:lang w:val="en-ZA"/>
        </w:rPr>
      </w:pPr>
    </w:p>
    <w:p w14:paraId="401FFC89" w14:textId="77777777" w:rsidR="00FF0137" w:rsidRPr="00FF0137" w:rsidRDefault="00FF0137" w:rsidP="00FF0137">
      <w:pPr>
        <w:spacing w:after="0" w:line="240" w:lineRule="auto"/>
        <w:ind w:left="0"/>
        <w:rPr>
          <w:rFonts w:ascii="Times New Roman" w:eastAsia="Times New Roman" w:hAnsi="Times New Roman" w:cs="Times New Roman"/>
          <w:szCs w:val="24"/>
          <w:lang w:val="en-ZA"/>
        </w:rPr>
      </w:pPr>
    </w:p>
    <w:p w14:paraId="2627F5C7" w14:textId="77777777" w:rsidR="00FF0137" w:rsidRPr="00FF0137" w:rsidRDefault="00FF0137" w:rsidP="00FF0137">
      <w:pPr>
        <w:tabs>
          <w:tab w:val="left" w:pos="2835"/>
        </w:tabs>
        <w:spacing w:after="0" w:line="240" w:lineRule="auto"/>
        <w:ind w:left="0"/>
        <w:rPr>
          <w:rFonts w:ascii="Times New Roman" w:eastAsia="Times New Roman" w:hAnsi="Times New Roman" w:cs="Times New Roman"/>
          <w:szCs w:val="24"/>
          <w:lang w:val="en-ZA"/>
        </w:rPr>
      </w:pPr>
      <w:r w:rsidRPr="00FF0137">
        <w:rPr>
          <w:rFonts w:ascii="Times New Roman" w:eastAsia="Times New Roman" w:hAnsi="Times New Roman" w:cs="Times New Roman"/>
          <w:szCs w:val="24"/>
          <w:lang w:val="en-ZA"/>
        </w:rPr>
        <w:t xml:space="preserve">                                         </w:t>
      </w:r>
    </w:p>
    <w:p w14:paraId="55A8E5BF" w14:textId="0513262B" w:rsidR="00422D71" w:rsidRPr="00E623F2" w:rsidRDefault="00FF0137" w:rsidP="00E623F2">
      <w:pPr>
        <w:spacing w:after="0" w:line="240" w:lineRule="auto"/>
        <w:ind w:left="0"/>
        <w:rPr>
          <w:rFonts w:ascii="Times New Roman" w:eastAsia="Times New Roman" w:hAnsi="Times New Roman" w:cs="Times New Roman"/>
          <w:szCs w:val="24"/>
          <w:lang w:val="en-ZA"/>
        </w:rPr>
        <w:sectPr w:rsidR="00422D71" w:rsidRPr="00E623F2" w:rsidSect="00EB01DA">
          <w:type w:val="continuous"/>
          <w:pgSz w:w="11906" w:h="16838"/>
          <w:pgMar w:top="1440" w:right="1440" w:bottom="1440" w:left="1440" w:header="708" w:footer="708" w:gutter="0"/>
          <w:cols w:space="708"/>
          <w:docGrid w:linePitch="360"/>
        </w:sectPr>
      </w:pPr>
      <w:r w:rsidRPr="00FF0137">
        <w:rPr>
          <w:rFonts w:ascii="Times New Roman" w:eastAsia="Times New Roman" w:hAnsi="Times New Roman" w:cs="Times New Roman"/>
          <w:szCs w:val="24"/>
          <w:lang w:val="en-ZA"/>
        </w:rPr>
        <w:t xml:space="preserve">                                  </w:t>
      </w:r>
    </w:p>
    <w:p w14:paraId="4B82C247" w14:textId="77777777" w:rsidR="002B448C" w:rsidRPr="003673B7" w:rsidRDefault="002B448C" w:rsidP="00EB01DA">
      <w:pPr>
        <w:spacing w:after="0" w:line="240" w:lineRule="auto"/>
        <w:ind w:left="0"/>
        <w:rPr>
          <w:rFonts w:cs="Arial"/>
          <w:b/>
          <w:szCs w:val="24"/>
        </w:rPr>
      </w:pPr>
    </w:p>
    <w:sectPr w:rsidR="002B448C" w:rsidRPr="003673B7" w:rsidSect="00E469E1">
      <w:footerReference w:type="default" r:id="rId13"/>
      <w:type w:val="continuous"/>
      <w:pgSz w:w="11907" w:h="16839"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02E98" w14:textId="77777777" w:rsidR="0093310A" w:rsidRDefault="0093310A" w:rsidP="00E469E1">
      <w:pPr>
        <w:spacing w:after="0" w:line="240" w:lineRule="auto"/>
      </w:pPr>
      <w:r>
        <w:separator/>
      </w:r>
    </w:p>
  </w:endnote>
  <w:endnote w:type="continuationSeparator" w:id="0">
    <w:p w14:paraId="07D6BEA2" w14:textId="77777777" w:rsidR="0093310A" w:rsidRDefault="0093310A" w:rsidP="00E4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717268"/>
      <w:docPartObj>
        <w:docPartGallery w:val="Page Numbers (Bottom of Page)"/>
        <w:docPartUnique/>
      </w:docPartObj>
    </w:sdtPr>
    <w:sdtEndPr>
      <w:rPr>
        <w:noProof/>
      </w:rPr>
    </w:sdtEndPr>
    <w:sdtContent>
      <w:p w14:paraId="3E0E7190" w14:textId="4375A05C" w:rsidR="00E469E1" w:rsidRDefault="00E469E1" w:rsidP="00E469E1">
        <w:pPr>
          <w:pStyle w:val="Footer"/>
          <w:jc w:val="right"/>
        </w:pPr>
        <w:r>
          <w:fldChar w:fldCharType="begin"/>
        </w:r>
        <w:r>
          <w:instrText xml:space="preserve"> PAGE   \* MERGEFORMAT </w:instrText>
        </w:r>
        <w:r>
          <w:fldChar w:fldCharType="separate"/>
        </w:r>
        <w:r w:rsidR="00BF1DCE">
          <w:rPr>
            <w:noProof/>
          </w:rPr>
          <w:t>8</w:t>
        </w:r>
        <w:r>
          <w:rPr>
            <w:noProof/>
          </w:rPr>
          <w:fldChar w:fldCharType="end"/>
        </w:r>
      </w:p>
    </w:sdtContent>
  </w:sdt>
  <w:p w14:paraId="4B277C33" w14:textId="77777777" w:rsidR="00E469E1" w:rsidRDefault="00E469E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94832"/>
      <w:docPartObj>
        <w:docPartGallery w:val="Page Numbers (Bottom of Page)"/>
        <w:docPartUnique/>
      </w:docPartObj>
    </w:sdtPr>
    <w:sdtEndPr>
      <w:rPr>
        <w:noProof/>
      </w:rPr>
    </w:sdtEndPr>
    <w:sdtContent>
      <w:p w14:paraId="2AB2D3F7" w14:textId="151DFDE7" w:rsidR="00E469E1" w:rsidRDefault="00E469E1" w:rsidP="00E469E1">
        <w:pPr>
          <w:pStyle w:val="Footer"/>
          <w:jc w:val="right"/>
        </w:pPr>
        <w:r>
          <w:fldChar w:fldCharType="begin"/>
        </w:r>
        <w:r>
          <w:instrText xml:space="preserve"> PAGE   \* MERGEFORMAT </w:instrText>
        </w:r>
        <w:r>
          <w:fldChar w:fldCharType="separate"/>
        </w:r>
        <w:r w:rsidR="00BF1DCE">
          <w:rPr>
            <w:noProof/>
          </w:rPr>
          <w:t>9</w:t>
        </w:r>
        <w:r>
          <w:rPr>
            <w:noProof/>
          </w:rPr>
          <w:fldChar w:fldCharType="end"/>
        </w:r>
      </w:p>
    </w:sdtContent>
  </w:sdt>
  <w:p w14:paraId="297A7E34" w14:textId="77777777" w:rsidR="00E469E1" w:rsidRDefault="00E469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3530A" w14:textId="77777777" w:rsidR="0093310A" w:rsidRDefault="0093310A" w:rsidP="00E469E1">
      <w:pPr>
        <w:spacing w:after="0" w:line="240" w:lineRule="auto"/>
      </w:pPr>
      <w:r>
        <w:separator/>
      </w:r>
    </w:p>
  </w:footnote>
  <w:footnote w:type="continuationSeparator" w:id="0">
    <w:p w14:paraId="529129E3" w14:textId="77777777" w:rsidR="0093310A" w:rsidRDefault="0093310A" w:rsidP="00E469E1">
      <w:pPr>
        <w:spacing w:after="0" w:line="240" w:lineRule="auto"/>
      </w:pPr>
      <w:r>
        <w:continuationSeparator/>
      </w:r>
    </w:p>
  </w:footnote>
  <w:footnote w:id="1">
    <w:p w14:paraId="61234137" w14:textId="77777777" w:rsidR="001A04A7" w:rsidRPr="00C11878" w:rsidRDefault="001A04A7">
      <w:pPr>
        <w:pStyle w:val="FootnoteText"/>
        <w:rPr>
          <w:sz w:val="18"/>
          <w:szCs w:val="18"/>
          <w:lang w:val="en-ZA"/>
        </w:rPr>
      </w:pPr>
      <w:r w:rsidRPr="00C11878">
        <w:rPr>
          <w:rStyle w:val="FootnoteReference"/>
          <w:sz w:val="18"/>
          <w:szCs w:val="18"/>
        </w:rPr>
        <w:footnoteRef/>
      </w:r>
      <w:r w:rsidRPr="00C11878">
        <w:rPr>
          <w:sz w:val="18"/>
          <w:szCs w:val="18"/>
        </w:rPr>
        <w:t xml:space="preserve">SA 2006 </w:t>
      </w:r>
      <w:r w:rsidRPr="001A30FD">
        <w:rPr>
          <w:sz w:val="18"/>
          <w:szCs w:val="18"/>
        </w:rPr>
        <w:t>(</w:t>
      </w:r>
      <w:r w:rsidRPr="00C11878">
        <w:rPr>
          <w:sz w:val="18"/>
          <w:szCs w:val="18"/>
        </w:rPr>
        <w:t>1</w:t>
      </w:r>
      <w:r w:rsidRPr="001A30FD">
        <w:rPr>
          <w:sz w:val="18"/>
          <w:szCs w:val="18"/>
        </w:rPr>
        <w:t>)</w:t>
      </w:r>
      <w:r w:rsidRPr="00C11878">
        <w:rPr>
          <w:sz w:val="18"/>
          <w:szCs w:val="18"/>
        </w:rPr>
        <w:t xml:space="preserve"> SA 461 (SCA</w:t>
      </w:r>
      <w:r w:rsidRPr="001A30FD">
        <w:rPr>
          <w:sz w:val="18"/>
          <w:szCs w:val="18"/>
        </w:rPr>
        <w:t>)</w:t>
      </w:r>
      <w:r w:rsidRPr="00C11878">
        <w:rPr>
          <w:sz w:val="18"/>
          <w:szCs w:val="18"/>
        </w:rPr>
        <w:t xml:space="preserve">. </w:t>
      </w:r>
    </w:p>
  </w:footnote>
  <w:footnote w:id="2">
    <w:p w14:paraId="2089C588" w14:textId="77777777" w:rsidR="001A04A7" w:rsidRPr="00C11878" w:rsidRDefault="001A04A7">
      <w:pPr>
        <w:pStyle w:val="FootnoteText"/>
        <w:rPr>
          <w:lang w:val="en-ZA"/>
        </w:rPr>
      </w:pPr>
      <w:r w:rsidRPr="00C11878">
        <w:rPr>
          <w:rStyle w:val="FootnoteReference"/>
          <w:sz w:val="18"/>
          <w:szCs w:val="18"/>
        </w:rPr>
        <w:footnoteRef/>
      </w:r>
      <w:r w:rsidRPr="00C11878">
        <w:rPr>
          <w:sz w:val="18"/>
          <w:szCs w:val="18"/>
        </w:rPr>
        <w:t>2023 (1) SA 432 (SCA) at 14.</w:t>
      </w:r>
      <w:r>
        <w:t xml:space="preserve">  </w:t>
      </w:r>
    </w:p>
  </w:footnote>
  <w:footnote w:id="3">
    <w:p w14:paraId="606BBC95" w14:textId="77777777" w:rsidR="00067738" w:rsidRPr="00C11878" w:rsidRDefault="00067738">
      <w:pPr>
        <w:pStyle w:val="FootnoteText"/>
        <w:rPr>
          <w:sz w:val="18"/>
          <w:szCs w:val="18"/>
          <w:lang w:val="en-ZA"/>
        </w:rPr>
      </w:pPr>
      <w:r w:rsidRPr="00C11878">
        <w:rPr>
          <w:rStyle w:val="FootnoteReference"/>
          <w:sz w:val="18"/>
          <w:szCs w:val="18"/>
        </w:rPr>
        <w:footnoteRef/>
      </w:r>
      <w:r w:rsidRPr="00C11878">
        <w:rPr>
          <w:sz w:val="18"/>
          <w:szCs w:val="18"/>
        </w:rPr>
        <w:t xml:space="preserve"> </w:t>
      </w:r>
      <w:r w:rsidR="00EB31A8" w:rsidRPr="00C11878">
        <w:rPr>
          <w:sz w:val="18"/>
          <w:szCs w:val="18"/>
        </w:rPr>
        <w:t>2004 (6) SA 222 (SCA)</w:t>
      </w:r>
      <w:r w:rsidR="00525D13" w:rsidRPr="001A30FD">
        <w:rPr>
          <w:sz w:val="18"/>
          <w:szCs w:val="18"/>
        </w:rPr>
        <w:t xml:space="preserve"> at 31</w:t>
      </w:r>
      <w:r w:rsidR="00EB31A8" w:rsidRPr="00C11878">
        <w:rPr>
          <w:sz w:val="18"/>
          <w:szCs w:val="18"/>
        </w:rPr>
        <w:t xml:space="preserve">. </w:t>
      </w:r>
    </w:p>
  </w:footnote>
  <w:footnote w:id="4">
    <w:p w14:paraId="202E9997" w14:textId="77777777" w:rsidR="00525D13" w:rsidRPr="00C11878" w:rsidRDefault="00525D13">
      <w:pPr>
        <w:pStyle w:val="FootnoteText"/>
        <w:rPr>
          <w:lang w:val="en-ZA"/>
        </w:rPr>
      </w:pPr>
      <w:r w:rsidRPr="00C11878">
        <w:rPr>
          <w:rStyle w:val="FootnoteReference"/>
          <w:sz w:val="18"/>
          <w:szCs w:val="18"/>
        </w:rPr>
        <w:footnoteRef/>
      </w:r>
      <w:r w:rsidRPr="00C11878">
        <w:rPr>
          <w:sz w:val="18"/>
          <w:szCs w:val="18"/>
        </w:rPr>
        <w:t xml:space="preserve"> 2020 (4) SA 375 (CC).</w:t>
      </w:r>
      <w:r>
        <w:t xml:space="preserve"> </w:t>
      </w:r>
    </w:p>
  </w:footnote>
  <w:footnote w:id="5">
    <w:p w14:paraId="36C6FA31" w14:textId="77777777" w:rsidR="002C478E" w:rsidRPr="00C11878" w:rsidRDefault="002C478E">
      <w:pPr>
        <w:pStyle w:val="FootnoteText"/>
        <w:rPr>
          <w:lang w:val="en-ZA"/>
        </w:rPr>
      </w:pPr>
      <w:r w:rsidRPr="00C11878">
        <w:rPr>
          <w:rStyle w:val="FootnoteReference"/>
          <w:sz w:val="18"/>
        </w:rPr>
        <w:footnoteRef/>
      </w:r>
      <w:r w:rsidRPr="00C11878">
        <w:rPr>
          <w:sz w:val="18"/>
        </w:rPr>
        <w:t>2014 (3) SA 481 (CC).</w:t>
      </w:r>
    </w:p>
  </w:footnote>
  <w:footnote w:id="6">
    <w:p w14:paraId="0A78F675" w14:textId="77777777" w:rsidR="00EF4227" w:rsidRPr="00C11878" w:rsidRDefault="00EF4227">
      <w:pPr>
        <w:pStyle w:val="FootnoteText"/>
        <w:rPr>
          <w:sz w:val="18"/>
          <w:lang w:val="en-ZA"/>
        </w:rPr>
      </w:pPr>
      <w:r w:rsidRPr="00C11878">
        <w:rPr>
          <w:rStyle w:val="FootnoteReference"/>
          <w:sz w:val="18"/>
        </w:rPr>
        <w:footnoteRef/>
      </w:r>
      <w:r w:rsidRPr="00C11878">
        <w:rPr>
          <w:sz w:val="18"/>
        </w:rPr>
        <w:t xml:space="preserve">2010 (1) SA 356 (SCA).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F45473B"/>
    <w:multiLevelType w:val="multilevel"/>
    <w:tmpl w:val="6A42F10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15:restartNumberingAfterBreak="0">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3A"/>
    <w:rsid w:val="000131D0"/>
    <w:rsid w:val="000160BA"/>
    <w:rsid w:val="00035A75"/>
    <w:rsid w:val="00037086"/>
    <w:rsid w:val="000667FF"/>
    <w:rsid w:val="00067738"/>
    <w:rsid w:val="00091AC1"/>
    <w:rsid w:val="00093A43"/>
    <w:rsid w:val="000B0F6F"/>
    <w:rsid w:val="000B75F9"/>
    <w:rsid w:val="000D155C"/>
    <w:rsid w:val="000D31E3"/>
    <w:rsid w:val="001938AE"/>
    <w:rsid w:val="001A04A7"/>
    <w:rsid w:val="001A30FD"/>
    <w:rsid w:val="001A6753"/>
    <w:rsid w:val="001C20C5"/>
    <w:rsid w:val="001C3576"/>
    <w:rsid w:val="001C5042"/>
    <w:rsid w:val="001D03CA"/>
    <w:rsid w:val="001D203F"/>
    <w:rsid w:val="001E7B6A"/>
    <w:rsid w:val="00215862"/>
    <w:rsid w:val="002361BD"/>
    <w:rsid w:val="002739D1"/>
    <w:rsid w:val="002B448C"/>
    <w:rsid w:val="002C478E"/>
    <w:rsid w:val="003165DD"/>
    <w:rsid w:val="0031722D"/>
    <w:rsid w:val="003673B7"/>
    <w:rsid w:val="00371EB6"/>
    <w:rsid w:val="003B0BEA"/>
    <w:rsid w:val="003D20AE"/>
    <w:rsid w:val="00422D71"/>
    <w:rsid w:val="004F5EA4"/>
    <w:rsid w:val="00525D13"/>
    <w:rsid w:val="00534135"/>
    <w:rsid w:val="005418A5"/>
    <w:rsid w:val="005703A9"/>
    <w:rsid w:val="00571249"/>
    <w:rsid w:val="0057395F"/>
    <w:rsid w:val="00616F01"/>
    <w:rsid w:val="0067208D"/>
    <w:rsid w:val="006C1067"/>
    <w:rsid w:val="00794DCB"/>
    <w:rsid w:val="007B7F59"/>
    <w:rsid w:val="007E0B2D"/>
    <w:rsid w:val="007F5FA1"/>
    <w:rsid w:val="008C75EF"/>
    <w:rsid w:val="008E3319"/>
    <w:rsid w:val="00930519"/>
    <w:rsid w:val="0093310A"/>
    <w:rsid w:val="00941A55"/>
    <w:rsid w:val="00943A58"/>
    <w:rsid w:val="00960C24"/>
    <w:rsid w:val="00963E95"/>
    <w:rsid w:val="009951BA"/>
    <w:rsid w:val="009B3667"/>
    <w:rsid w:val="009C08C0"/>
    <w:rsid w:val="009F2E05"/>
    <w:rsid w:val="00A44C47"/>
    <w:rsid w:val="00A46602"/>
    <w:rsid w:val="00A60684"/>
    <w:rsid w:val="00A81CF7"/>
    <w:rsid w:val="00A83A79"/>
    <w:rsid w:val="00AB5CAA"/>
    <w:rsid w:val="00AF5518"/>
    <w:rsid w:val="00B20D2D"/>
    <w:rsid w:val="00B2223A"/>
    <w:rsid w:val="00B464CA"/>
    <w:rsid w:val="00B54195"/>
    <w:rsid w:val="00B629B6"/>
    <w:rsid w:val="00B72DCD"/>
    <w:rsid w:val="00BF1DCE"/>
    <w:rsid w:val="00BF2E11"/>
    <w:rsid w:val="00C11878"/>
    <w:rsid w:val="00C6487D"/>
    <w:rsid w:val="00C70794"/>
    <w:rsid w:val="00C747EB"/>
    <w:rsid w:val="00CE623C"/>
    <w:rsid w:val="00D01B3E"/>
    <w:rsid w:val="00D32042"/>
    <w:rsid w:val="00D436FA"/>
    <w:rsid w:val="00D85620"/>
    <w:rsid w:val="00DC1C16"/>
    <w:rsid w:val="00DF5389"/>
    <w:rsid w:val="00DF6ED9"/>
    <w:rsid w:val="00E13816"/>
    <w:rsid w:val="00E469E1"/>
    <w:rsid w:val="00E561D1"/>
    <w:rsid w:val="00E623F2"/>
    <w:rsid w:val="00E73691"/>
    <w:rsid w:val="00E84F3A"/>
    <w:rsid w:val="00EB01DA"/>
    <w:rsid w:val="00EB31A8"/>
    <w:rsid w:val="00EF4227"/>
    <w:rsid w:val="00F039C4"/>
    <w:rsid w:val="00FF013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A32B6"/>
  <w15:chartTrackingRefBased/>
  <w15:docId w15:val="{ADA54CEB-1D5E-4954-AB6F-FF46B451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Header">
    <w:name w:val="header"/>
    <w:basedOn w:val="Normal"/>
    <w:link w:val="HeaderChar"/>
    <w:uiPriority w:val="99"/>
    <w:unhideWhenUsed/>
    <w:rsid w:val="00E46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E1"/>
    <w:rPr>
      <w:rFonts w:ascii="Arial" w:hAnsi="Arial"/>
      <w:sz w:val="24"/>
      <w:lang w:val="en-GB"/>
    </w:rPr>
  </w:style>
  <w:style w:type="paragraph" w:styleId="Footer">
    <w:name w:val="footer"/>
    <w:basedOn w:val="Normal"/>
    <w:link w:val="FooterChar"/>
    <w:uiPriority w:val="99"/>
    <w:unhideWhenUsed/>
    <w:rsid w:val="00E46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E1"/>
    <w:rPr>
      <w:rFonts w:ascii="Arial" w:hAnsi="Arial"/>
      <w:sz w:val="24"/>
      <w:lang w:val="en-GB"/>
    </w:rPr>
  </w:style>
  <w:style w:type="paragraph" w:styleId="NoSpacing">
    <w:name w:val="No Spacing"/>
    <w:uiPriority w:val="1"/>
    <w:qFormat/>
    <w:rsid w:val="00B2223A"/>
    <w:pPr>
      <w:spacing w:after="0" w:line="240" w:lineRule="auto"/>
      <w:ind w:left="567"/>
      <w:jc w:val="both"/>
    </w:pPr>
    <w:rPr>
      <w:rFonts w:ascii="Arial" w:hAnsi="Arial"/>
      <w:sz w:val="24"/>
      <w:lang w:val="en-GB"/>
    </w:rPr>
  </w:style>
  <w:style w:type="character" w:styleId="Hyperlink">
    <w:name w:val="Hyperlink"/>
    <w:basedOn w:val="DefaultParagraphFont"/>
    <w:uiPriority w:val="99"/>
    <w:unhideWhenUsed/>
    <w:rsid w:val="00C70794"/>
    <w:rPr>
      <w:color w:val="0563C1" w:themeColor="hyperlink"/>
      <w:u w:val="single"/>
    </w:rPr>
  </w:style>
  <w:style w:type="character" w:customStyle="1" w:styleId="UnresolvedMention">
    <w:name w:val="Unresolved Mention"/>
    <w:basedOn w:val="DefaultParagraphFont"/>
    <w:uiPriority w:val="99"/>
    <w:semiHidden/>
    <w:unhideWhenUsed/>
    <w:rsid w:val="00C70794"/>
    <w:rPr>
      <w:color w:val="605E5C"/>
      <w:shd w:val="clear" w:color="auto" w:fill="E1DFDD"/>
    </w:rPr>
  </w:style>
  <w:style w:type="paragraph" w:styleId="BalloonText">
    <w:name w:val="Balloon Text"/>
    <w:basedOn w:val="Normal"/>
    <w:link w:val="BalloonTextChar"/>
    <w:uiPriority w:val="99"/>
    <w:semiHidden/>
    <w:unhideWhenUsed/>
    <w:rsid w:val="000D3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1E3"/>
    <w:rPr>
      <w:rFonts w:ascii="Segoe UI" w:hAnsi="Segoe UI" w:cs="Segoe UI"/>
      <w:sz w:val="18"/>
      <w:szCs w:val="18"/>
      <w:lang w:val="en-GB"/>
    </w:rPr>
  </w:style>
  <w:style w:type="paragraph" w:styleId="FootnoteText">
    <w:name w:val="footnote text"/>
    <w:basedOn w:val="Normal"/>
    <w:link w:val="FootnoteTextChar"/>
    <w:uiPriority w:val="99"/>
    <w:semiHidden/>
    <w:unhideWhenUsed/>
    <w:rsid w:val="001A04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04A7"/>
    <w:rPr>
      <w:rFonts w:ascii="Arial" w:hAnsi="Arial"/>
      <w:sz w:val="20"/>
      <w:szCs w:val="20"/>
      <w:lang w:val="en-GB"/>
    </w:rPr>
  </w:style>
  <w:style w:type="character" w:styleId="FootnoteReference">
    <w:name w:val="footnote reference"/>
    <w:basedOn w:val="DefaultParagraphFont"/>
    <w:uiPriority w:val="99"/>
    <w:semiHidden/>
    <w:unhideWhenUsed/>
    <w:rsid w:val="001A04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chard.shein@bowmanslaw.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hir@ramdass.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elani\AppData\Local\Microsoft\Windows\INetCache\Content.Outlook\Q6GK97CK\High%20Court%20Judgment%20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0FE2C-9F1E-49DE-8444-786BB278D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High Court Judgment Template (002)</Template>
  <TotalTime>2</TotalTime>
  <Pages>9</Pages>
  <Words>2110</Words>
  <Characters>12031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Luvo L. Nelani</dc:creator>
  <cp:keywords/>
  <dc:description/>
  <cp:lastModifiedBy>Mary Bruce</cp:lastModifiedBy>
  <cp:revision>3</cp:revision>
  <cp:lastPrinted>2023-10-24T12:31:00Z</cp:lastPrinted>
  <dcterms:created xsi:type="dcterms:W3CDTF">2023-10-25T13:40:00Z</dcterms:created>
  <dcterms:modified xsi:type="dcterms:W3CDTF">2023-10-26T09:15:00Z</dcterms:modified>
</cp:coreProperties>
</file>