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1918" w14:textId="77777777" w:rsidR="005F7DB8" w:rsidRPr="00DB2A06" w:rsidRDefault="005F7DB8" w:rsidP="005F7DB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77863C7A" w14:textId="77777777" w:rsidR="005F7DB8" w:rsidRDefault="005F7DB8" w:rsidP="000A7C97">
      <w:pPr>
        <w:jc w:val="center"/>
        <w:rPr>
          <w:rFonts w:ascii="Arial" w:hAnsi="Arial" w:cs="Arial"/>
          <w:b/>
          <w:szCs w:val="24"/>
          <w:lang w:val="en-GB"/>
        </w:rPr>
      </w:pPr>
    </w:p>
    <w:p w14:paraId="518E998A" w14:textId="77777777" w:rsidR="005F7DB8" w:rsidRDefault="005F7DB8" w:rsidP="000A7C97">
      <w:pPr>
        <w:jc w:val="center"/>
        <w:rPr>
          <w:rFonts w:ascii="Arial" w:hAnsi="Arial" w:cs="Arial"/>
          <w:b/>
          <w:szCs w:val="24"/>
          <w:lang w:val="en-GB"/>
        </w:rPr>
      </w:pPr>
    </w:p>
    <w:p w14:paraId="7B55DF79" w14:textId="77777777" w:rsidR="00E756C0" w:rsidRPr="001D363C" w:rsidRDefault="00E756C0" w:rsidP="000A7C97">
      <w:pPr>
        <w:jc w:val="center"/>
        <w:rPr>
          <w:rFonts w:ascii="Arial" w:hAnsi="Arial" w:cs="Arial"/>
          <w:b/>
          <w:szCs w:val="24"/>
          <w:lang w:val="en-GB"/>
        </w:rPr>
      </w:pPr>
      <w:r w:rsidRPr="001D363C">
        <w:rPr>
          <w:rFonts w:ascii="Arial" w:hAnsi="Arial" w:cs="Arial"/>
          <w:b/>
          <w:szCs w:val="24"/>
          <w:lang w:val="en-GB"/>
        </w:rPr>
        <w:t>REPUBLIC OF SOUTH AFRICA</w:t>
      </w:r>
    </w:p>
    <w:p w14:paraId="0250F9A7" w14:textId="77777777" w:rsidR="005F7DB8" w:rsidRDefault="005F7DB8" w:rsidP="000A7C97">
      <w:pPr>
        <w:jc w:val="center"/>
        <w:rPr>
          <w:rFonts w:ascii="Arial" w:hAnsi="Arial" w:cs="Arial"/>
          <w:b/>
          <w:noProof/>
          <w:szCs w:val="24"/>
        </w:rPr>
      </w:pPr>
    </w:p>
    <w:p w14:paraId="286B2C21" w14:textId="47643DFB" w:rsidR="00E756C0" w:rsidRPr="001D363C" w:rsidRDefault="0003481C" w:rsidP="000A7C97">
      <w:pPr>
        <w:jc w:val="center"/>
        <w:rPr>
          <w:rFonts w:ascii="Arial" w:hAnsi="Arial" w:cs="Arial"/>
          <w:b/>
          <w:color w:val="000000"/>
          <w:szCs w:val="24"/>
          <w:lang w:val="en-GB"/>
        </w:rPr>
      </w:pPr>
      <w:r>
        <w:rPr>
          <w:rFonts w:ascii="Arial" w:hAnsi="Arial" w:cs="Arial"/>
          <w:b/>
          <w:noProof/>
          <w:szCs w:val="24"/>
        </w:rPr>
        <w:drawing>
          <wp:inline distT="0" distB="0" distL="0" distR="0" wp14:anchorId="5157D78A" wp14:editId="21B8BE2B">
            <wp:extent cx="1114425" cy="1114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3288BB8A" w14:textId="77777777" w:rsidR="00E756C0" w:rsidRPr="001D363C" w:rsidRDefault="00E756C0" w:rsidP="000A7C97">
      <w:pPr>
        <w:jc w:val="center"/>
        <w:rPr>
          <w:rFonts w:ascii="Arial" w:hAnsi="Arial" w:cs="Arial"/>
          <w:b/>
          <w:szCs w:val="24"/>
          <w:lang w:val="en-GB"/>
        </w:rPr>
      </w:pPr>
      <w:r w:rsidRPr="001D363C">
        <w:rPr>
          <w:rFonts w:ascii="Arial" w:hAnsi="Arial" w:cs="Arial"/>
          <w:b/>
          <w:szCs w:val="24"/>
          <w:lang w:val="en-GB"/>
        </w:rPr>
        <w:t>IN THE HIGH COURT OF SOUTH AFRICA</w:t>
      </w:r>
    </w:p>
    <w:p w14:paraId="428F76E6" w14:textId="77777777" w:rsidR="00E756C0" w:rsidRPr="001D363C" w:rsidRDefault="00E756C0" w:rsidP="000A7C97">
      <w:pPr>
        <w:jc w:val="center"/>
        <w:rPr>
          <w:rFonts w:ascii="Arial" w:hAnsi="Arial" w:cs="Arial"/>
          <w:b/>
          <w:szCs w:val="24"/>
          <w:lang w:val="en-GB" w:eastAsia="en-ZA"/>
        </w:rPr>
      </w:pPr>
      <w:r w:rsidRPr="001D363C">
        <w:rPr>
          <w:rFonts w:ascii="Arial" w:hAnsi="Arial" w:cs="Arial"/>
          <w:b/>
          <w:szCs w:val="24"/>
          <w:lang w:val="en-GB"/>
        </w:rPr>
        <w:t>GAUTENG DIVISION, JOHANNESBURG</w:t>
      </w:r>
    </w:p>
    <w:p w14:paraId="32491B04" w14:textId="77777777" w:rsidR="00804CD3" w:rsidRPr="00B60C8A" w:rsidRDefault="00804CD3" w:rsidP="00901C68">
      <w:pPr>
        <w:jc w:val="both"/>
        <w:rPr>
          <w:rFonts w:ascii="Arial" w:hAnsi="Arial" w:cs="Arial"/>
          <w:b/>
          <w:lang w:val="en-GB" w:eastAsia="en-GB"/>
        </w:rPr>
      </w:pPr>
    </w:p>
    <w:p w14:paraId="399E3661" w14:textId="5BAC7D76" w:rsidR="00804CD3" w:rsidRDefault="0003481C" w:rsidP="000A7C97">
      <w:pPr>
        <w:widowControl/>
        <w:tabs>
          <w:tab w:val="right" w:pos="8220"/>
        </w:tabs>
        <w:jc w:val="right"/>
        <w:rPr>
          <w:rFonts w:ascii="Arial" w:hAnsi="Arial" w:cs="Arial"/>
          <w:b/>
          <w:bCs/>
          <w:lang w:val="en-GB"/>
        </w:rPr>
      </w:pPr>
      <w:r>
        <w:rPr>
          <w:noProof/>
        </w:rPr>
        <mc:AlternateContent>
          <mc:Choice Requires="wps">
            <w:drawing>
              <wp:anchor distT="0" distB="0" distL="114300" distR="114300" simplePos="0" relativeHeight="251657728" behindDoc="0" locked="0" layoutInCell="1" allowOverlap="1" wp14:anchorId="5F721772" wp14:editId="04696DF8">
                <wp:simplePos x="0" y="0"/>
                <wp:positionH relativeFrom="margin">
                  <wp:posOffset>6350</wp:posOffset>
                </wp:positionH>
                <wp:positionV relativeFrom="page">
                  <wp:posOffset>3048000</wp:posOffset>
                </wp:positionV>
                <wp:extent cx="3314700" cy="1266825"/>
                <wp:effectExtent l="0" t="0" r="0" b="952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9CC0408" w14:textId="77777777" w:rsidR="00E756C0" w:rsidRPr="00E756C0" w:rsidRDefault="00E756C0" w:rsidP="00E756C0">
                            <w:pPr>
                              <w:jc w:val="center"/>
                              <w:rPr>
                                <w:rFonts w:ascii="Arial" w:hAnsi="Arial" w:cs="Arial"/>
                                <w:b/>
                                <w:sz w:val="2"/>
                                <w:szCs w:val="18"/>
                              </w:rPr>
                            </w:pPr>
                          </w:p>
                          <w:p w14:paraId="62C38A2F" w14:textId="77777777" w:rsidR="00E756C0" w:rsidRPr="00E756C0" w:rsidRDefault="00E756C0" w:rsidP="00E756C0">
                            <w:pPr>
                              <w:widowControl/>
                              <w:numPr>
                                <w:ilvl w:val="0"/>
                                <w:numId w:val="6"/>
                              </w:numPr>
                              <w:autoSpaceDE/>
                              <w:autoSpaceDN/>
                              <w:adjustRightInd/>
                              <w:rPr>
                                <w:rFonts w:ascii="Arial" w:hAnsi="Arial" w:cs="Arial"/>
                                <w:sz w:val="18"/>
                                <w:szCs w:val="18"/>
                              </w:rPr>
                            </w:pPr>
                            <w:r w:rsidRPr="00E756C0">
                              <w:rPr>
                                <w:rFonts w:ascii="Arial" w:hAnsi="Arial" w:cs="Arial"/>
                                <w:sz w:val="18"/>
                                <w:szCs w:val="18"/>
                              </w:rPr>
                              <w:t>REPORTABLE: NO</w:t>
                            </w:r>
                          </w:p>
                          <w:p w14:paraId="029920C4" w14:textId="77777777" w:rsidR="00E756C0" w:rsidRPr="00E756C0" w:rsidRDefault="00E756C0" w:rsidP="00E756C0">
                            <w:pPr>
                              <w:widowControl/>
                              <w:numPr>
                                <w:ilvl w:val="0"/>
                                <w:numId w:val="6"/>
                              </w:numPr>
                              <w:autoSpaceDE/>
                              <w:autoSpaceDN/>
                              <w:adjustRightInd/>
                              <w:rPr>
                                <w:rFonts w:ascii="Arial" w:hAnsi="Arial" w:cs="Arial"/>
                                <w:sz w:val="18"/>
                                <w:szCs w:val="18"/>
                              </w:rPr>
                            </w:pPr>
                            <w:r w:rsidRPr="00E756C0">
                              <w:rPr>
                                <w:rFonts w:ascii="Arial" w:hAnsi="Arial" w:cs="Arial"/>
                                <w:sz w:val="18"/>
                                <w:szCs w:val="18"/>
                              </w:rPr>
                              <w:t>OF INTEREST TO OTHER JUDGES: NO</w:t>
                            </w:r>
                          </w:p>
                          <w:p w14:paraId="478AC410" w14:textId="77777777" w:rsidR="00E756C0" w:rsidRPr="00E756C0" w:rsidRDefault="00E756C0" w:rsidP="00E756C0">
                            <w:pPr>
                              <w:widowControl/>
                              <w:numPr>
                                <w:ilvl w:val="0"/>
                                <w:numId w:val="6"/>
                              </w:numPr>
                              <w:autoSpaceDE/>
                              <w:autoSpaceDN/>
                              <w:adjustRightInd/>
                              <w:rPr>
                                <w:rFonts w:ascii="Arial" w:hAnsi="Arial" w:cs="Arial"/>
                                <w:sz w:val="18"/>
                                <w:szCs w:val="18"/>
                              </w:rPr>
                            </w:pPr>
                            <w:r w:rsidRPr="00E756C0">
                              <w:rPr>
                                <w:rFonts w:ascii="Arial" w:hAnsi="Arial" w:cs="Arial"/>
                                <w:sz w:val="18"/>
                                <w:szCs w:val="18"/>
                              </w:rPr>
                              <w:t xml:space="preserve">REVISED. </w:t>
                            </w:r>
                          </w:p>
                          <w:p w14:paraId="319070E2" w14:textId="77777777" w:rsidR="00E756C0" w:rsidRPr="00E756C0" w:rsidRDefault="00E756C0" w:rsidP="00E756C0">
                            <w:pPr>
                              <w:rPr>
                                <w:rFonts w:ascii="Arial" w:hAnsi="Arial" w:cs="Arial"/>
                                <w:b/>
                                <w:sz w:val="18"/>
                                <w:szCs w:val="18"/>
                              </w:rPr>
                            </w:pPr>
                          </w:p>
                          <w:p w14:paraId="5850E908" w14:textId="77777777" w:rsidR="00E756C0" w:rsidRDefault="00E756C0" w:rsidP="00E756C0">
                            <w:pPr>
                              <w:rPr>
                                <w:rFonts w:ascii="Arial" w:hAnsi="Arial" w:cs="Arial"/>
                                <w:b/>
                                <w:sz w:val="18"/>
                                <w:szCs w:val="18"/>
                              </w:rPr>
                            </w:pPr>
                          </w:p>
                          <w:p w14:paraId="0D475B22" w14:textId="5F3A3D5C" w:rsidR="00E756C0" w:rsidRPr="00E756C0" w:rsidRDefault="00E756C0" w:rsidP="00E756C0">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057FD057" w14:textId="59D72431" w:rsidR="00E756C0" w:rsidRPr="00E756C0" w:rsidRDefault="00E756C0" w:rsidP="00E756C0">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756C0">
                              <w:rPr>
                                <w:rFonts w:ascii="Arial" w:hAnsi="Arial" w:cs="Arial"/>
                                <w:b/>
                                <w:sz w:val="18"/>
                                <w:szCs w:val="18"/>
                              </w:rPr>
                              <w:t>202</w:t>
                            </w:r>
                            <w:r w:rsidR="00546E14">
                              <w:rPr>
                                <w:rFonts w:ascii="Arial" w:hAnsi="Arial" w:cs="Arial"/>
                                <w:b/>
                                <w:sz w:val="18"/>
                                <w:szCs w:val="18"/>
                              </w:rPr>
                              <w:t>3</w:t>
                            </w:r>
                          </w:p>
                          <w:p w14:paraId="13685ACC" w14:textId="77777777" w:rsidR="00E756C0" w:rsidRPr="00E756C0" w:rsidRDefault="00E756C0" w:rsidP="00E756C0">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F721772" id="_x0000_t202" coordsize="21600,21600" o:spt="202" path="m,l,21600r21600,l21600,xe">
                <v:stroke joinstyle="miter"/>
                <v:path gradientshapeok="t" o:connecttype="rect"/>
              </v:shapetype>
              <v:shape id="Text Box 1" o:spid="_x0000_s1026" type="#_x0000_t202" style="position:absolute;left:0;text-align:left;margin-left:.5pt;margin-top:240pt;width:261pt;height:9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">
                <v:path arrowok="t"/>
                <v:textbox>
                  <w:txbxContent>
                    <w:p w14:paraId="39CC0408" w14:textId="77777777" w:rsidR="00E756C0" w:rsidRPr="00E756C0" w:rsidRDefault="00E756C0" w:rsidP="00E756C0">
                      <w:pPr>
                        <w:jc w:val="center"/>
                        <w:rPr>
                          <w:rFonts w:ascii="Arial" w:hAnsi="Arial" w:cs="Arial"/>
                          <w:b/>
                          <w:sz w:val="2"/>
                          <w:szCs w:val="18"/>
                        </w:rPr>
                      </w:pPr>
                    </w:p>
                    <w:p w14:paraId="62C38A2F" w14:textId="77777777" w:rsidR="00E756C0" w:rsidRPr="00E756C0" w:rsidRDefault="00E756C0" w:rsidP="00E756C0">
                      <w:pPr>
                        <w:widowControl/>
                        <w:numPr>
                          <w:ilvl w:val="0"/>
                          <w:numId w:val="6"/>
                        </w:numPr>
                        <w:autoSpaceDE/>
                        <w:autoSpaceDN/>
                        <w:adjustRightInd/>
                        <w:rPr>
                          <w:rFonts w:ascii="Arial" w:hAnsi="Arial" w:cs="Arial"/>
                          <w:sz w:val="18"/>
                          <w:szCs w:val="18"/>
                        </w:rPr>
                      </w:pPr>
                      <w:r w:rsidRPr="00E756C0">
                        <w:rPr>
                          <w:rFonts w:ascii="Arial" w:hAnsi="Arial" w:cs="Arial"/>
                          <w:sz w:val="18"/>
                          <w:szCs w:val="18"/>
                        </w:rPr>
                        <w:t>REPORTABLE: NO</w:t>
                      </w:r>
                    </w:p>
                    <w:p w14:paraId="029920C4" w14:textId="77777777" w:rsidR="00E756C0" w:rsidRPr="00E756C0" w:rsidRDefault="00E756C0" w:rsidP="00E756C0">
                      <w:pPr>
                        <w:widowControl/>
                        <w:numPr>
                          <w:ilvl w:val="0"/>
                          <w:numId w:val="6"/>
                        </w:numPr>
                        <w:autoSpaceDE/>
                        <w:autoSpaceDN/>
                        <w:adjustRightInd/>
                        <w:rPr>
                          <w:rFonts w:ascii="Arial" w:hAnsi="Arial" w:cs="Arial"/>
                          <w:sz w:val="18"/>
                          <w:szCs w:val="18"/>
                        </w:rPr>
                      </w:pPr>
                      <w:r w:rsidRPr="00E756C0">
                        <w:rPr>
                          <w:rFonts w:ascii="Arial" w:hAnsi="Arial" w:cs="Arial"/>
                          <w:sz w:val="18"/>
                          <w:szCs w:val="18"/>
                        </w:rPr>
                        <w:t>OF INTEREST TO OTHER JUDGES: NO</w:t>
                      </w:r>
                    </w:p>
                    <w:p w14:paraId="478AC410" w14:textId="77777777" w:rsidR="00E756C0" w:rsidRPr="00E756C0" w:rsidRDefault="00E756C0" w:rsidP="00E756C0">
                      <w:pPr>
                        <w:widowControl/>
                        <w:numPr>
                          <w:ilvl w:val="0"/>
                          <w:numId w:val="6"/>
                        </w:numPr>
                        <w:autoSpaceDE/>
                        <w:autoSpaceDN/>
                        <w:adjustRightInd/>
                        <w:rPr>
                          <w:rFonts w:ascii="Arial" w:hAnsi="Arial" w:cs="Arial"/>
                          <w:sz w:val="18"/>
                          <w:szCs w:val="18"/>
                        </w:rPr>
                      </w:pPr>
                      <w:r w:rsidRPr="00E756C0">
                        <w:rPr>
                          <w:rFonts w:ascii="Arial" w:hAnsi="Arial" w:cs="Arial"/>
                          <w:sz w:val="18"/>
                          <w:szCs w:val="18"/>
                        </w:rPr>
                        <w:t xml:space="preserve">REVISED. </w:t>
                      </w:r>
                    </w:p>
                    <w:p w14:paraId="319070E2" w14:textId="77777777" w:rsidR="00E756C0" w:rsidRPr="00E756C0" w:rsidRDefault="00E756C0" w:rsidP="00E756C0">
                      <w:pPr>
                        <w:rPr>
                          <w:rFonts w:ascii="Arial" w:hAnsi="Arial" w:cs="Arial"/>
                          <w:b/>
                          <w:sz w:val="18"/>
                          <w:szCs w:val="18"/>
                        </w:rPr>
                      </w:pPr>
                    </w:p>
                    <w:p w14:paraId="5850E908" w14:textId="77777777" w:rsidR="00E756C0" w:rsidRDefault="00E756C0" w:rsidP="00E756C0">
                      <w:pPr>
                        <w:rPr>
                          <w:rFonts w:ascii="Arial" w:hAnsi="Arial" w:cs="Arial"/>
                          <w:b/>
                          <w:sz w:val="18"/>
                          <w:szCs w:val="18"/>
                        </w:rPr>
                      </w:pPr>
                    </w:p>
                    <w:p w14:paraId="0D475B22" w14:textId="5F3A3D5C" w:rsidR="00E756C0" w:rsidRPr="00E756C0" w:rsidRDefault="00E756C0" w:rsidP="00E756C0">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057FD057" w14:textId="59D72431" w:rsidR="00E756C0" w:rsidRPr="00E756C0" w:rsidRDefault="00E756C0" w:rsidP="00E756C0">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E756C0">
                        <w:rPr>
                          <w:rFonts w:ascii="Arial" w:hAnsi="Arial" w:cs="Arial"/>
                          <w:b/>
                          <w:sz w:val="18"/>
                          <w:szCs w:val="18"/>
                        </w:rPr>
                        <w:t>202</w:t>
                      </w:r>
                      <w:r w:rsidR="00546E14">
                        <w:rPr>
                          <w:rFonts w:ascii="Arial" w:hAnsi="Arial" w:cs="Arial"/>
                          <w:b/>
                          <w:sz w:val="18"/>
                          <w:szCs w:val="18"/>
                        </w:rPr>
                        <w:t>3</w:t>
                      </w:r>
                    </w:p>
                    <w:p w14:paraId="13685ACC" w14:textId="77777777" w:rsidR="00E756C0" w:rsidRPr="00E756C0" w:rsidRDefault="00E756C0" w:rsidP="00E756C0">
                      <w:pPr>
                        <w:rPr>
                          <w:rFonts w:ascii="Arial" w:hAnsi="Arial" w:cs="Arial"/>
                          <w:b/>
                          <w:sz w:val="2"/>
                          <w:szCs w:val="18"/>
                        </w:rPr>
                      </w:pPr>
                    </w:p>
                  </w:txbxContent>
                </v:textbox>
                <w10:wrap type="topAndBottom" anchorx="margin" anchory="page"/>
              </v:shape>
            </w:pict>
          </mc:Fallback>
        </mc:AlternateContent>
      </w:r>
      <w:r w:rsidR="00E756C0">
        <w:rPr>
          <w:rFonts w:ascii="Arial" w:hAnsi="Arial" w:cs="Arial"/>
          <w:b/>
          <w:bCs/>
          <w:lang w:val="en-GB"/>
        </w:rPr>
        <w:t>CASE NUMBER:</w:t>
      </w:r>
      <w:r w:rsidR="00C135BC">
        <w:rPr>
          <w:rFonts w:ascii="Arial" w:hAnsi="Arial" w:cs="Arial"/>
          <w:b/>
          <w:bCs/>
          <w:lang w:val="en-GB"/>
        </w:rPr>
        <w:t xml:space="preserve"> </w:t>
      </w:r>
      <w:r w:rsidR="003F492E">
        <w:rPr>
          <w:rFonts w:ascii="Arial" w:hAnsi="Arial" w:cs="Arial"/>
          <w:b/>
          <w:bCs/>
          <w:lang w:val="en-GB"/>
        </w:rPr>
        <w:t>21/44429</w:t>
      </w:r>
    </w:p>
    <w:p w14:paraId="581D649F" w14:textId="359FF781" w:rsidR="00961EE9" w:rsidRPr="00DC7AFE" w:rsidRDefault="00961EE9" w:rsidP="00901C68">
      <w:pPr>
        <w:widowControl/>
        <w:jc w:val="both"/>
        <w:rPr>
          <w:rFonts w:ascii="Arial" w:hAnsi="Arial" w:cs="Arial"/>
          <w:b/>
          <w:bCs/>
          <w:lang w:val="en-GB"/>
        </w:rPr>
      </w:pPr>
    </w:p>
    <w:p w14:paraId="61D661CD" w14:textId="77777777" w:rsidR="00BB1AD9" w:rsidRDefault="00BB1AD9" w:rsidP="00901C68">
      <w:pPr>
        <w:widowControl/>
        <w:jc w:val="both"/>
        <w:rPr>
          <w:rFonts w:ascii="Arial" w:hAnsi="Arial" w:cs="Arial"/>
          <w:lang w:val="en-GB"/>
        </w:rPr>
      </w:pPr>
    </w:p>
    <w:p w14:paraId="2EF26BD3" w14:textId="60F63EDC" w:rsidR="00475AF2" w:rsidRDefault="00475AF2" w:rsidP="00901C68">
      <w:pPr>
        <w:widowControl/>
        <w:jc w:val="both"/>
        <w:rPr>
          <w:rFonts w:ascii="Arial" w:hAnsi="Arial" w:cs="Arial"/>
          <w:lang w:val="en-GB"/>
        </w:rPr>
      </w:pPr>
      <w:r w:rsidRPr="00DC7AFE">
        <w:rPr>
          <w:rFonts w:ascii="Arial" w:hAnsi="Arial" w:cs="Arial"/>
          <w:lang w:val="en-GB"/>
        </w:rPr>
        <w:t>In the matter between:</w:t>
      </w:r>
    </w:p>
    <w:p w14:paraId="251F443D" w14:textId="77777777" w:rsidR="006738FB" w:rsidRDefault="006738FB" w:rsidP="00901C68">
      <w:pPr>
        <w:widowControl/>
        <w:jc w:val="both"/>
        <w:rPr>
          <w:rFonts w:ascii="Arial" w:hAnsi="Arial" w:cs="Arial"/>
          <w:lang w:val="en-GB"/>
        </w:rPr>
      </w:pPr>
    </w:p>
    <w:p w14:paraId="3B898FAF" w14:textId="7DEB6307" w:rsidR="0022679C" w:rsidRPr="00E756C0" w:rsidRDefault="00C4617C" w:rsidP="00901C68">
      <w:pPr>
        <w:widowControl/>
        <w:tabs>
          <w:tab w:val="right" w:pos="8222"/>
        </w:tabs>
        <w:jc w:val="both"/>
        <w:rPr>
          <w:rFonts w:ascii="Arial" w:hAnsi="Arial" w:cs="Arial"/>
          <w:b/>
          <w:lang w:val="en-GB"/>
        </w:rPr>
      </w:pPr>
      <w:r>
        <w:rPr>
          <w:rFonts w:ascii="Arial" w:hAnsi="Arial" w:cs="Arial"/>
          <w:b/>
          <w:lang w:val="en-GB"/>
        </w:rPr>
        <w:t>INVESTEC BANK LIMITED</w:t>
      </w:r>
      <w:r w:rsidR="00E756C0">
        <w:rPr>
          <w:rFonts w:ascii="Arial" w:hAnsi="Arial" w:cs="Arial"/>
          <w:b/>
          <w:lang w:val="en-GB"/>
        </w:rPr>
        <w:t xml:space="preserve">                                                      </w:t>
      </w:r>
      <w:r>
        <w:rPr>
          <w:rFonts w:ascii="Arial" w:hAnsi="Arial" w:cs="Arial"/>
          <w:b/>
          <w:lang w:val="en-GB"/>
        </w:rPr>
        <w:tab/>
      </w:r>
      <w:r w:rsidR="00580F3C" w:rsidRPr="00580F3C">
        <w:rPr>
          <w:rFonts w:ascii="Arial" w:hAnsi="Arial" w:cs="Arial"/>
          <w:bCs/>
          <w:lang w:val="en-GB"/>
        </w:rPr>
        <w:t>Plaintiff</w:t>
      </w:r>
      <w:r w:rsidR="00580F3C">
        <w:rPr>
          <w:rFonts w:ascii="Arial" w:hAnsi="Arial" w:cs="Arial"/>
          <w:b/>
          <w:lang w:val="en-GB"/>
        </w:rPr>
        <w:t xml:space="preserve"> </w:t>
      </w:r>
    </w:p>
    <w:p w14:paraId="2759F6E8" w14:textId="4794A24D" w:rsidR="005765E1" w:rsidRDefault="00935C46" w:rsidP="00901C68">
      <w:pPr>
        <w:widowControl/>
        <w:tabs>
          <w:tab w:val="right" w:pos="8222"/>
        </w:tabs>
        <w:jc w:val="both"/>
        <w:rPr>
          <w:rFonts w:ascii="Arial" w:hAnsi="Arial" w:cs="Arial"/>
          <w:lang w:val="en-GB"/>
        </w:rPr>
      </w:pPr>
      <w:r>
        <w:rPr>
          <w:rFonts w:ascii="Arial" w:hAnsi="Arial" w:cs="Arial"/>
          <w:lang w:val="en-GB"/>
        </w:rPr>
        <w:t>(Registration Number 1969/004763/06</w:t>
      </w:r>
      <w:r w:rsidR="0054028F">
        <w:rPr>
          <w:rFonts w:ascii="Arial" w:hAnsi="Arial" w:cs="Arial"/>
          <w:lang w:val="en-GB"/>
        </w:rPr>
        <w:t>)</w:t>
      </w:r>
      <w:r>
        <w:rPr>
          <w:rFonts w:ascii="Arial" w:hAnsi="Arial" w:cs="Arial"/>
          <w:lang w:val="en-GB"/>
        </w:rPr>
        <w:t xml:space="preserve"> </w:t>
      </w:r>
    </w:p>
    <w:p w14:paraId="6065ED75" w14:textId="77777777" w:rsidR="0054028F" w:rsidRDefault="0054028F" w:rsidP="00901C68">
      <w:pPr>
        <w:widowControl/>
        <w:tabs>
          <w:tab w:val="right" w:pos="8222"/>
        </w:tabs>
        <w:jc w:val="both"/>
        <w:rPr>
          <w:rFonts w:ascii="Arial" w:hAnsi="Arial" w:cs="Arial"/>
          <w:lang w:val="en-GB"/>
        </w:rPr>
      </w:pPr>
    </w:p>
    <w:p w14:paraId="3E6725D6" w14:textId="77777777" w:rsidR="0054028F" w:rsidRDefault="0054028F" w:rsidP="00901C68">
      <w:pPr>
        <w:widowControl/>
        <w:tabs>
          <w:tab w:val="right" w:pos="8222"/>
        </w:tabs>
        <w:jc w:val="both"/>
        <w:rPr>
          <w:rFonts w:ascii="Arial" w:hAnsi="Arial" w:cs="Arial"/>
          <w:lang w:val="en-GB"/>
        </w:rPr>
      </w:pPr>
    </w:p>
    <w:p w14:paraId="4161DCF3" w14:textId="77777777" w:rsidR="00475AF2" w:rsidRPr="00DC7AFE" w:rsidRDefault="00475AF2" w:rsidP="00901C68">
      <w:pPr>
        <w:widowControl/>
        <w:tabs>
          <w:tab w:val="right" w:pos="8222"/>
        </w:tabs>
        <w:jc w:val="both"/>
        <w:rPr>
          <w:rFonts w:ascii="Arial" w:hAnsi="Arial" w:cs="Arial"/>
          <w:lang w:val="en-GB"/>
        </w:rPr>
      </w:pPr>
      <w:r w:rsidRPr="00DC7AFE">
        <w:rPr>
          <w:rFonts w:ascii="Arial" w:hAnsi="Arial" w:cs="Arial"/>
          <w:lang w:val="en-GB"/>
        </w:rPr>
        <w:t>and</w:t>
      </w:r>
    </w:p>
    <w:p w14:paraId="626638BB" w14:textId="77777777" w:rsidR="005765E1" w:rsidRDefault="005765E1" w:rsidP="00901C68">
      <w:pPr>
        <w:widowControl/>
        <w:tabs>
          <w:tab w:val="right" w:pos="8222"/>
          <w:tab w:val="right" w:pos="8505"/>
        </w:tabs>
        <w:jc w:val="both"/>
        <w:rPr>
          <w:rFonts w:ascii="Arial" w:hAnsi="Arial" w:cs="Arial"/>
          <w:lang w:val="en-GB"/>
        </w:rPr>
      </w:pPr>
    </w:p>
    <w:p w14:paraId="0EBE4476" w14:textId="77777777" w:rsidR="00285E7F" w:rsidRDefault="00285E7F" w:rsidP="00901C68">
      <w:pPr>
        <w:widowControl/>
        <w:tabs>
          <w:tab w:val="right" w:pos="8222"/>
          <w:tab w:val="right" w:pos="8505"/>
        </w:tabs>
        <w:jc w:val="both"/>
        <w:rPr>
          <w:rFonts w:ascii="Arial" w:hAnsi="Arial" w:cs="Arial"/>
          <w:lang w:val="en-GB"/>
        </w:rPr>
      </w:pPr>
    </w:p>
    <w:p w14:paraId="069B51B4" w14:textId="330EECA1" w:rsidR="00D569EB" w:rsidRDefault="008D1D8B" w:rsidP="00901C68">
      <w:pPr>
        <w:widowControl/>
        <w:tabs>
          <w:tab w:val="right" w:pos="8222"/>
          <w:tab w:val="right" w:pos="8505"/>
        </w:tabs>
        <w:jc w:val="both"/>
        <w:rPr>
          <w:rFonts w:ascii="Arial" w:hAnsi="Arial" w:cs="Arial"/>
          <w:lang w:val="en-GB"/>
        </w:rPr>
      </w:pPr>
      <w:r w:rsidRPr="008D1D8B">
        <w:rPr>
          <w:rFonts w:ascii="Arial" w:hAnsi="Arial" w:cs="Arial"/>
          <w:b/>
          <w:bCs/>
          <w:lang w:val="en-GB"/>
        </w:rPr>
        <w:t>OLIVIER CHARLES ZOUZOUA</w:t>
      </w:r>
      <w:r w:rsidR="00B73BF5">
        <w:rPr>
          <w:rFonts w:ascii="Arial" w:hAnsi="Arial" w:cs="Arial"/>
          <w:lang w:val="en-GB"/>
        </w:rPr>
        <w:tab/>
      </w:r>
      <w:r w:rsidR="00E756C0">
        <w:rPr>
          <w:rFonts w:ascii="Arial" w:hAnsi="Arial" w:cs="Arial"/>
          <w:lang w:val="en-GB"/>
        </w:rPr>
        <w:t xml:space="preserve">                                           </w:t>
      </w:r>
      <w:r w:rsidR="00580F3C">
        <w:rPr>
          <w:rFonts w:ascii="Arial" w:hAnsi="Arial" w:cs="Arial"/>
          <w:lang w:val="en-GB"/>
        </w:rPr>
        <w:t>Defendant</w:t>
      </w:r>
    </w:p>
    <w:p w14:paraId="0F9A0BDC" w14:textId="53B14268" w:rsidR="00E535AB" w:rsidRDefault="005F7DB8" w:rsidP="00901C68">
      <w:pPr>
        <w:widowControl/>
        <w:tabs>
          <w:tab w:val="right" w:pos="8222"/>
          <w:tab w:val="right" w:pos="8505"/>
        </w:tabs>
        <w:jc w:val="both"/>
        <w:rPr>
          <w:rFonts w:ascii="Arial" w:hAnsi="Arial" w:cs="Arial"/>
          <w:lang w:val="en-GB"/>
        </w:rPr>
      </w:pPr>
      <w:r>
        <w:rPr>
          <w:rFonts w:ascii="Arial" w:hAnsi="Arial" w:cs="Arial"/>
          <w:lang w:val="en-GB"/>
        </w:rPr>
        <w:t>(Identity Number […]</w:t>
      </w:r>
      <w:r w:rsidR="007C5E41">
        <w:rPr>
          <w:rFonts w:ascii="Arial" w:hAnsi="Arial" w:cs="Arial"/>
          <w:lang w:val="en-GB"/>
        </w:rPr>
        <w:t>)</w:t>
      </w:r>
    </w:p>
    <w:p w14:paraId="45463262" w14:textId="77777777" w:rsidR="00A5212B" w:rsidRDefault="00A5212B" w:rsidP="00901C68">
      <w:pPr>
        <w:widowControl/>
        <w:tabs>
          <w:tab w:val="right" w:pos="8222"/>
          <w:tab w:val="right" w:pos="8505"/>
        </w:tabs>
        <w:jc w:val="both"/>
        <w:rPr>
          <w:rFonts w:ascii="Arial" w:hAnsi="Arial" w:cs="Arial"/>
          <w:lang w:val="en-GB"/>
        </w:rPr>
      </w:pPr>
    </w:p>
    <w:p w14:paraId="071D4CD7" w14:textId="77777777" w:rsidR="00285E7F" w:rsidRDefault="006170D6" w:rsidP="00901C68">
      <w:pPr>
        <w:jc w:val="both"/>
        <w:rPr>
          <w:rFonts w:ascii="Arial" w:hAnsi="Arial" w:cs="Arial"/>
          <w:i/>
          <w:sz w:val="22"/>
          <w:szCs w:val="24"/>
        </w:rPr>
      </w:pPr>
      <w:r>
        <w:rPr>
          <w:rFonts w:ascii="Arial" w:hAnsi="Arial" w:cs="Arial"/>
          <w:i/>
          <w:sz w:val="22"/>
          <w:szCs w:val="24"/>
        </w:rPr>
        <w:t>This</w:t>
      </w:r>
      <w:r w:rsidR="00A5212B" w:rsidRPr="00A5212B">
        <w:rPr>
          <w:rFonts w:ascii="Arial" w:hAnsi="Arial" w:cs="Arial"/>
          <w:i/>
          <w:sz w:val="22"/>
          <w:szCs w:val="24"/>
        </w:rPr>
        <w:t xml:space="preserve"> </w:t>
      </w:r>
      <w:r w:rsidR="005B4366">
        <w:rPr>
          <w:rFonts w:ascii="Arial" w:hAnsi="Arial" w:cs="Arial"/>
          <w:i/>
          <w:sz w:val="22"/>
          <w:szCs w:val="24"/>
        </w:rPr>
        <w:t>judgment</w:t>
      </w:r>
      <w:r w:rsidR="00A5212B" w:rsidRPr="00A5212B">
        <w:rPr>
          <w:rFonts w:ascii="Arial" w:hAnsi="Arial" w:cs="Arial"/>
          <w:i/>
          <w:sz w:val="22"/>
          <w:szCs w:val="24"/>
        </w:rPr>
        <w:t xml:space="preserve"> </w:t>
      </w:r>
      <w:r w:rsidR="005B4366">
        <w:rPr>
          <w:rFonts w:ascii="Arial" w:hAnsi="Arial" w:cs="Arial"/>
          <w:i/>
          <w:sz w:val="22"/>
          <w:szCs w:val="24"/>
        </w:rPr>
        <w:t xml:space="preserve">was </w:t>
      </w:r>
      <w:r w:rsidR="00A5212B" w:rsidRPr="00A5212B">
        <w:rPr>
          <w:rFonts w:ascii="Arial" w:hAnsi="Arial" w:cs="Arial"/>
          <w:i/>
          <w:sz w:val="22"/>
          <w:szCs w:val="24"/>
        </w:rPr>
        <w:t>handed down electronically by circulation to the parties' and/or the parties' representatives by emai</w:t>
      </w:r>
      <w:r w:rsidR="005B4366">
        <w:rPr>
          <w:rFonts w:ascii="Arial" w:hAnsi="Arial" w:cs="Arial"/>
          <w:i/>
          <w:sz w:val="22"/>
          <w:szCs w:val="24"/>
        </w:rPr>
        <w:t xml:space="preserve">l and by being uploaded </w:t>
      </w:r>
      <w:r w:rsidR="000806A0">
        <w:rPr>
          <w:rFonts w:ascii="Arial" w:hAnsi="Arial" w:cs="Arial"/>
          <w:i/>
          <w:sz w:val="22"/>
          <w:szCs w:val="24"/>
        </w:rPr>
        <w:t>on</w:t>
      </w:r>
      <w:r w:rsidR="005B4366">
        <w:rPr>
          <w:rFonts w:ascii="Arial" w:hAnsi="Arial" w:cs="Arial"/>
          <w:i/>
          <w:sz w:val="22"/>
          <w:szCs w:val="24"/>
        </w:rPr>
        <w:t>to Case</w:t>
      </w:r>
      <w:r w:rsidR="00A5212B" w:rsidRPr="00A5212B">
        <w:rPr>
          <w:rFonts w:ascii="Arial" w:hAnsi="Arial" w:cs="Arial"/>
          <w:i/>
          <w:sz w:val="22"/>
          <w:szCs w:val="24"/>
        </w:rPr>
        <w:t>Lines. The date and time for hand-down is deemed to be 10h00</w:t>
      </w:r>
      <w:r w:rsidR="00143C05">
        <w:rPr>
          <w:rFonts w:ascii="Arial" w:hAnsi="Arial" w:cs="Arial"/>
          <w:i/>
          <w:sz w:val="22"/>
          <w:szCs w:val="24"/>
        </w:rPr>
        <w:t xml:space="preserve"> ______ 2023</w:t>
      </w:r>
    </w:p>
    <w:p w14:paraId="23C5A382" w14:textId="7617B8E6" w:rsidR="006738FB" w:rsidRPr="00A5212B" w:rsidRDefault="00E535AB" w:rsidP="00901C68">
      <w:pPr>
        <w:jc w:val="both"/>
        <w:rPr>
          <w:rFonts w:ascii="Arial" w:hAnsi="Arial" w:cs="Arial"/>
          <w:i/>
          <w:sz w:val="22"/>
          <w:szCs w:val="24"/>
        </w:rPr>
      </w:pPr>
      <w:r w:rsidRPr="00A5212B">
        <w:rPr>
          <w:rFonts w:ascii="Arial" w:hAnsi="Arial" w:cs="Arial"/>
          <w:sz w:val="22"/>
          <w:lang w:val="en-GB"/>
        </w:rPr>
        <w:tab/>
      </w:r>
    </w:p>
    <w:p w14:paraId="701E689F" w14:textId="7BE04AF2" w:rsidR="00CE31B5" w:rsidRDefault="00A5212B" w:rsidP="00901C68">
      <w:pPr>
        <w:widowControl/>
        <w:tabs>
          <w:tab w:val="right" w:pos="8222"/>
          <w:tab w:val="right" w:pos="8505"/>
        </w:tabs>
        <w:spacing w:line="360" w:lineRule="auto"/>
        <w:jc w:val="both"/>
      </w:pPr>
      <w:r>
        <w:t>_________________________________________________________________________________________</w:t>
      </w:r>
    </w:p>
    <w:p w14:paraId="59A09704" w14:textId="6BF6E437" w:rsidR="00475AF2" w:rsidRPr="00DC7AFE" w:rsidRDefault="00416C87" w:rsidP="00D773B3">
      <w:pPr>
        <w:widowControl/>
        <w:tabs>
          <w:tab w:val="center" w:pos="4278"/>
        </w:tabs>
        <w:jc w:val="center"/>
        <w:rPr>
          <w:rFonts w:ascii="Arial" w:hAnsi="Arial" w:cs="Arial"/>
          <w:b/>
          <w:bCs/>
          <w:lang w:val="en-GB"/>
        </w:rPr>
      </w:pPr>
      <w:r w:rsidRPr="00DC7AFE">
        <w:rPr>
          <w:rFonts w:ascii="Arial" w:hAnsi="Arial" w:cs="Arial"/>
          <w:b/>
          <w:bCs/>
          <w:lang w:val="en-GB"/>
        </w:rPr>
        <w:t>JUDGMENT</w:t>
      </w:r>
    </w:p>
    <w:p w14:paraId="00CE6D04" w14:textId="414FB2A6" w:rsidR="00CE31B5" w:rsidRDefault="00A5212B" w:rsidP="00901C68">
      <w:pPr>
        <w:jc w:val="both"/>
      </w:pPr>
      <w:r>
        <w:t>_________________________________________________________________________________________</w:t>
      </w:r>
    </w:p>
    <w:p w14:paraId="0A38EFE6" w14:textId="77777777" w:rsidR="00C44C06" w:rsidRPr="00DC7AFE" w:rsidRDefault="00C44C06" w:rsidP="00901C68">
      <w:pPr>
        <w:widowControl/>
        <w:tabs>
          <w:tab w:val="left" w:pos="851"/>
          <w:tab w:val="left" w:pos="1701"/>
          <w:tab w:val="left" w:pos="2835"/>
          <w:tab w:val="left" w:pos="3969"/>
          <w:tab w:val="right" w:pos="8222"/>
        </w:tabs>
        <w:autoSpaceDE/>
        <w:autoSpaceDN/>
        <w:adjustRightInd/>
        <w:jc w:val="both"/>
        <w:rPr>
          <w:rFonts w:ascii="Arial" w:hAnsi="Arial" w:cs="Arial"/>
          <w:lang w:val="en-GB"/>
        </w:rPr>
      </w:pPr>
    </w:p>
    <w:p w14:paraId="4557FBEF" w14:textId="346C0790" w:rsidR="00D879AE" w:rsidRPr="009900DF" w:rsidRDefault="00580F3C" w:rsidP="00901C68">
      <w:pPr>
        <w:widowControl/>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caps/>
          <w:lang w:val="en-GB"/>
        </w:rPr>
      </w:pPr>
      <w:r w:rsidRPr="00E756C0">
        <w:rPr>
          <w:rFonts w:ascii="Arial" w:hAnsi="Arial" w:cs="Arial"/>
          <w:b/>
          <w:caps/>
          <w:lang w:val="en-GB"/>
        </w:rPr>
        <w:t>REDMAN</w:t>
      </w:r>
      <w:r w:rsidR="007D2580" w:rsidRPr="00E756C0">
        <w:rPr>
          <w:rFonts w:ascii="Arial" w:hAnsi="Arial" w:cs="Arial"/>
          <w:b/>
          <w:caps/>
          <w:lang w:val="en-GB"/>
        </w:rPr>
        <w:t xml:space="preserve"> AJ</w:t>
      </w:r>
      <w:r w:rsidR="00E756C0">
        <w:rPr>
          <w:rFonts w:ascii="Arial" w:hAnsi="Arial" w:cs="Arial"/>
          <w:caps/>
          <w:lang w:val="en-GB"/>
        </w:rPr>
        <w:t>:</w:t>
      </w:r>
    </w:p>
    <w:p w14:paraId="3EBDC7FD" w14:textId="77777777" w:rsidR="00A5212B" w:rsidRDefault="00A5212B" w:rsidP="00901C6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B68D9B3" w14:textId="5932BD53" w:rsidR="000572E0" w:rsidRDefault="00330F69" w:rsidP="00901C68">
      <w:pPr>
        <w:widowControl/>
        <w:numPr>
          <w:ilvl w:val="0"/>
          <w:numId w:val="4"/>
        </w:numPr>
        <w:tabs>
          <w:tab w:val="left" w:pos="851"/>
          <w:tab w:val="left" w:pos="1701"/>
          <w:tab w:val="left" w:pos="2835"/>
          <w:tab w:val="left" w:pos="3969"/>
          <w:tab w:val="right" w:pos="8222"/>
        </w:tabs>
        <w:autoSpaceDE/>
        <w:autoSpaceDN/>
        <w:adjustRightInd/>
        <w:spacing w:after="240" w:line="480" w:lineRule="auto"/>
        <w:contextualSpacing/>
        <w:jc w:val="both"/>
        <w:rPr>
          <w:rFonts w:ascii="Arial" w:hAnsi="Arial" w:cs="Arial"/>
          <w:lang w:val="en-GB"/>
        </w:rPr>
      </w:pPr>
      <w:r>
        <w:rPr>
          <w:rFonts w:ascii="Arial" w:hAnsi="Arial" w:cs="Arial"/>
          <w:lang w:val="en-GB"/>
        </w:rPr>
        <w:lastRenderedPageBreak/>
        <w:t>During Septem</w:t>
      </w:r>
      <w:r w:rsidR="00080CB8">
        <w:rPr>
          <w:rFonts w:ascii="Arial" w:hAnsi="Arial" w:cs="Arial"/>
          <w:lang w:val="en-GB"/>
        </w:rPr>
        <w:t>ber 2021</w:t>
      </w:r>
      <w:r w:rsidR="00584AA4">
        <w:rPr>
          <w:rFonts w:ascii="Arial" w:hAnsi="Arial" w:cs="Arial"/>
          <w:lang w:val="en-GB"/>
        </w:rPr>
        <w:t>, the applicant (</w:t>
      </w:r>
      <w:r w:rsidR="007E140A">
        <w:rPr>
          <w:rFonts w:ascii="Arial" w:hAnsi="Arial" w:cs="Arial"/>
          <w:lang w:val="en-GB"/>
        </w:rPr>
        <w:t>"</w:t>
      </w:r>
      <w:r w:rsidR="00584AA4" w:rsidRPr="00BA306E">
        <w:rPr>
          <w:rFonts w:ascii="Arial" w:hAnsi="Arial" w:cs="Arial"/>
          <w:b/>
          <w:bCs/>
          <w:lang w:val="en-GB"/>
        </w:rPr>
        <w:t>Investec</w:t>
      </w:r>
      <w:r w:rsidR="007E140A">
        <w:rPr>
          <w:rFonts w:ascii="Arial" w:hAnsi="Arial" w:cs="Arial"/>
          <w:lang w:val="en-GB"/>
        </w:rPr>
        <w:t>"</w:t>
      </w:r>
      <w:r w:rsidR="00584AA4">
        <w:rPr>
          <w:rFonts w:ascii="Arial" w:hAnsi="Arial" w:cs="Arial"/>
          <w:lang w:val="en-GB"/>
        </w:rPr>
        <w:t>)</w:t>
      </w:r>
      <w:r w:rsidR="00EE4082">
        <w:rPr>
          <w:rFonts w:ascii="Arial" w:hAnsi="Arial" w:cs="Arial"/>
          <w:lang w:val="en-GB"/>
        </w:rPr>
        <w:t xml:space="preserve"> </w:t>
      </w:r>
      <w:r w:rsidR="00584AA4">
        <w:rPr>
          <w:rFonts w:ascii="Arial" w:hAnsi="Arial" w:cs="Arial"/>
          <w:lang w:val="en-GB"/>
        </w:rPr>
        <w:t xml:space="preserve">brought an application against the respondent </w:t>
      </w:r>
      <w:r w:rsidR="007E140A">
        <w:rPr>
          <w:rFonts w:ascii="Arial" w:hAnsi="Arial" w:cs="Arial"/>
          <w:lang w:val="en-GB"/>
        </w:rPr>
        <w:t>(</w:t>
      </w:r>
      <w:r w:rsidR="004C14C9">
        <w:rPr>
          <w:rFonts w:ascii="Arial" w:hAnsi="Arial" w:cs="Arial"/>
          <w:lang w:val="en-GB"/>
        </w:rPr>
        <w:t>"</w:t>
      </w:r>
      <w:r w:rsidR="007E140A" w:rsidRPr="00BA306E">
        <w:rPr>
          <w:rFonts w:ascii="Arial" w:hAnsi="Arial" w:cs="Arial"/>
          <w:b/>
          <w:bCs/>
          <w:lang w:val="en-GB"/>
        </w:rPr>
        <w:t>Zouzoua</w:t>
      </w:r>
      <w:r w:rsidR="004C14C9">
        <w:rPr>
          <w:rFonts w:ascii="Arial" w:hAnsi="Arial" w:cs="Arial"/>
          <w:lang w:val="en-GB"/>
        </w:rPr>
        <w:t>"</w:t>
      </w:r>
      <w:r w:rsidR="007E140A">
        <w:rPr>
          <w:rFonts w:ascii="Arial" w:hAnsi="Arial" w:cs="Arial"/>
          <w:lang w:val="en-GB"/>
        </w:rPr>
        <w:t xml:space="preserve">) wherein </w:t>
      </w:r>
      <w:r w:rsidR="004C14C9">
        <w:rPr>
          <w:rFonts w:ascii="Arial" w:hAnsi="Arial" w:cs="Arial"/>
          <w:lang w:val="en-GB"/>
        </w:rPr>
        <w:t xml:space="preserve">it sought payment of an amount of R1 924 122,66 (together with interest and costs) as well as an Order declaring </w:t>
      </w:r>
      <w:r w:rsidR="00123010">
        <w:rPr>
          <w:rFonts w:ascii="Arial" w:hAnsi="Arial" w:cs="Arial"/>
          <w:lang w:val="en-GB"/>
        </w:rPr>
        <w:t xml:space="preserve">the immovable property described as Erf 74, Carlswald Estate Township, registration division J.R., </w:t>
      </w:r>
      <w:r w:rsidR="00BA306E">
        <w:rPr>
          <w:rFonts w:ascii="Arial" w:hAnsi="Arial" w:cs="Arial"/>
          <w:lang w:val="en-GB"/>
        </w:rPr>
        <w:t xml:space="preserve">(Local Authority City of Johannesburg) </w:t>
      </w:r>
      <w:r w:rsidR="00123010">
        <w:rPr>
          <w:rFonts w:ascii="Arial" w:hAnsi="Arial" w:cs="Arial"/>
          <w:lang w:val="en-GB"/>
        </w:rPr>
        <w:t xml:space="preserve">Gauteng </w:t>
      </w:r>
      <w:r w:rsidR="00BA306E">
        <w:rPr>
          <w:rFonts w:ascii="Arial" w:hAnsi="Arial" w:cs="Arial"/>
          <w:lang w:val="en-GB"/>
        </w:rPr>
        <w:t>specially executable ("</w:t>
      </w:r>
      <w:r w:rsidR="00BA306E" w:rsidRPr="00BA306E">
        <w:rPr>
          <w:rFonts w:ascii="Arial" w:hAnsi="Arial" w:cs="Arial"/>
          <w:b/>
          <w:bCs/>
          <w:lang w:val="en-GB"/>
        </w:rPr>
        <w:t>the property</w:t>
      </w:r>
      <w:r w:rsidR="00BA306E">
        <w:rPr>
          <w:rFonts w:ascii="Arial" w:hAnsi="Arial" w:cs="Arial"/>
          <w:lang w:val="en-GB"/>
        </w:rPr>
        <w:t>").</w:t>
      </w:r>
    </w:p>
    <w:p w14:paraId="3580CCFB" w14:textId="7F656E8F" w:rsidR="00BA306E" w:rsidRDefault="00BA306E" w:rsidP="00901C68">
      <w:pPr>
        <w:widowControl/>
        <w:numPr>
          <w:ilvl w:val="0"/>
          <w:numId w:val="4"/>
        </w:numPr>
        <w:tabs>
          <w:tab w:val="left" w:pos="851"/>
          <w:tab w:val="left" w:pos="1701"/>
          <w:tab w:val="left" w:pos="2835"/>
          <w:tab w:val="left" w:pos="3969"/>
          <w:tab w:val="right" w:pos="8222"/>
        </w:tabs>
        <w:autoSpaceDE/>
        <w:autoSpaceDN/>
        <w:adjustRightInd/>
        <w:spacing w:after="240" w:line="480" w:lineRule="auto"/>
        <w:contextualSpacing/>
        <w:jc w:val="both"/>
        <w:rPr>
          <w:rFonts w:ascii="Arial" w:hAnsi="Arial" w:cs="Arial"/>
          <w:lang w:val="en-GB"/>
        </w:rPr>
      </w:pPr>
      <w:r>
        <w:rPr>
          <w:rFonts w:ascii="Arial" w:hAnsi="Arial" w:cs="Arial"/>
          <w:lang w:val="en-GB"/>
        </w:rPr>
        <w:t xml:space="preserve">The applicant's cause of action was based on a </w:t>
      </w:r>
      <w:r w:rsidR="00037526">
        <w:rPr>
          <w:rFonts w:ascii="Arial" w:hAnsi="Arial" w:cs="Arial"/>
          <w:lang w:val="en-GB"/>
        </w:rPr>
        <w:t xml:space="preserve">written loan agreement concluded between Investec and Zouzoua </w:t>
      </w:r>
      <w:r w:rsidR="009F6DD8">
        <w:rPr>
          <w:rFonts w:ascii="Arial" w:hAnsi="Arial" w:cs="Arial"/>
          <w:lang w:val="en-GB"/>
        </w:rPr>
        <w:t xml:space="preserve">which </w:t>
      </w:r>
      <w:r w:rsidR="00C10EC1">
        <w:rPr>
          <w:rFonts w:ascii="Arial" w:hAnsi="Arial" w:cs="Arial"/>
          <w:lang w:val="en-GB"/>
        </w:rPr>
        <w:t>was secured by means of two covering mortgage bonds registered over the property.</w:t>
      </w:r>
    </w:p>
    <w:p w14:paraId="4B9F8513" w14:textId="515C00C3" w:rsidR="004C54AE" w:rsidRDefault="00C10EC1" w:rsidP="00901C68">
      <w:pPr>
        <w:widowControl/>
        <w:numPr>
          <w:ilvl w:val="0"/>
          <w:numId w:val="4"/>
        </w:numPr>
        <w:tabs>
          <w:tab w:val="left" w:pos="851"/>
          <w:tab w:val="left" w:pos="1701"/>
          <w:tab w:val="left" w:pos="2835"/>
          <w:tab w:val="left" w:pos="3969"/>
          <w:tab w:val="right" w:pos="8222"/>
        </w:tabs>
        <w:autoSpaceDE/>
        <w:autoSpaceDN/>
        <w:adjustRightInd/>
        <w:spacing w:after="240" w:line="480" w:lineRule="auto"/>
        <w:contextualSpacing/>
        <w:jc w:val="both"/>
        <w:rPr>
          <w:rFonts w:ascii="Arial" w:hAnsi="Arial" w:cs="Arial"/>
          <w:lang w:val="en-GB"/>
        </w:rPr>
      </w:pPr>
      <w:r>
        <w:rPr>
          <w:rFonts w:ascii="Arial" w:hAnsi="Arial" w:cs="Arial"/>
          <w:lang w:val="en-GB"/>
        </w:rPr>
        <w:t xml:space="preserve">One of the defences raised </w:t>
      </w:r>
      <w:r w:rsidR="00E343A7">
        <w:rPr>
          <w:rFonts w:ascii="Arial" w:hAnsi="Arial" w:cs="Arial"/>
          <w:lang w:val="en-GB"/>
        </w:rPr>
        <w:t xml:space="preserve">by Zouzoua in his answering affidavit </w:t>
      </w:r>
      <w:r w:rsidR="009F6DD8">
        <w:rPr>
          <w:rFonts w:ascii="Arial" w:hAnsi="Arial" w:cs="Arial"/>
          <w:lang w:val="en-GB"/>
        </w:rPr>
        <w:t xml:space="preserve">was </w:t>
      </w:r>
      <w:r w:rsidR="00E343A7">
        <w:rPr>
          <w:rFonts w:ascii="Arial" w:hAnsi="Arial" w:cs="Arial"/>
          <w:lang w:val="en-GB"/>
        </w:rPr>
        <w:t>that Investec had not complied with the provisions of sections 129 and 130 of the National Credit Act, 34 of 2005, ("</w:t>
      </w:r>
      <w:r w:rsidR="00E343A7" w:rsidRPr="00E343A7">
        <w:rPr>
          <w:rFonts w:ascii="Arial" w:hAnsi="Arial" w:cs="Arial"/>
          <w:b/>
          <w:bCs/>
          <w:lang w:val="en-GB"/>
        </w:rPr>
        <w:t>the NCA</w:t>
      </w:r>
      <w:r w:rsidR="00E343A7">
        <w:rPr>
          <w:rFonts w:ascii="Arial" w:hAnsi="Arial" w:cs="Arial"/>
          <w:lang w:val="en-GB"/>
        </w:rPr>
        <w:t>").   Zouzoua contended</w:t>
      </w:r>
      <w:r w:rsidR="00D606AA">
        <w:rPr>
          <w:rFonts w:ascii="Arial" w:hAnsi="Arial" w:cs="Arial"/>
          <w:lang w:val="en-GB"/>
        </w:rPr>
        <w:t xml:space="preserve"> that prior to the institution of the proceedings he had changed his </w:t>
      </w:r>
      <w:r w:rsidR="00D606AA" w:rsidRPr="00D606AA">
        <w:rPr>
          <w:rFonts w:ascii="Arial" w:hAnsi="Arial" w:cs="Arial"/>
          <w:i/>
          <w:iCs/>
          <w:lang w:val="en-GB"/>
        </w:rPr>
        <w:t>domicilium citandi et executandi</w:t>
      </w:r>
      <w:r w:rsidR="00D606AA">
        <w:rPr>
          <w:rFonts w:ascii="Arial" w:hAnsi="Arial" w:cs="Arial"/>
          <w:lang w:val="en-GB"/>
        </w:rPr>
        <w:t xml:space="preserve"> </w:t>
      </w:r>
      <w:r w:rsidR="0034728A">
        <w:rPr>
          <w:rFonts w:ascii="Arial" w:hAnsi="Arial" w:cs="Arial"/>
          <w:lang w:val="en-GB"/>
        </w:rPr>
        <w:t xml:space="preserve">and accordingly the notice in terms of s 129(1) of the NCA relied upon by the applicant </w:t>
      </w:r>
      <w:r w:rsidR="003C7ACA">
        <w:rPr>
          <w:rFonts w:ascii="Arial" w:hAnsi="Arial" w:cs="Arial"/>
          <w:lang w:val="en-GB"/>
        </w:rPr>
        <w:t>was sent to the incorrect address.</w:t>
      </w:r>
      <w:r w:rsidR="004C54AE">
        <w:rPr>
          <w:rFonts w:ascii="Arial" w:hAnsi="Arial" w:cs="Arial"/>
          <w:lang w:val="en-GB"/>
        </w:rPr>
        <w:t xml:space="preserve">  </w:t>
      </w:r>
    </w:p>
    <w:p w14:paraId="0E97DA1D" w14:textId="09344266" w:rsidR="00C10EC1" w:rsidRDefault="004C54AE" w:rsidP="00901C68">
      <w:pPr>
        <w:widowControl/>
        <w:numPr>
          <w:ilvl w:val="0"/>
          <w:numId w:val="4"/>
        </w:numPr>
        <w:tabs>
          <w:tab w:val="left" w:pos="851"/>
          <w:tab w:val="left" w:pos="1701"/>
          <w:tab w:val="left" w:pos="2835"/>
          <w:tab w:val="left" w:pos="3969"/>
          <w:tab w:val="right" w:pos="8222"/>
        </w:tabs>
        <w:autoSpaceDE/>
        <w:autoSpaceDN/>
        <w:adjustRightInd/>
        <w:spacing w:after="240" w:line="480" w:lineRule="auto"/>
        <w:contextualSpacing/>
        <w:jc w:val="both"/>
        <w:rPr>
          <w:rFonts w:ascii="Arial" w:hAnsi="Arial" w:cs="Arial"/>
          <w:lang w:val="en-GB"/>
        </w:rPr>
      </w:pPr>
      <w:r>
        <w:rPr>
          <w:rFonts w:ascii="Arial" w:hAnsi="Arial" w:cs="Arial"/>
          <w:lang w:val="en-GB"/>
        </w:rPr>
        <w:t xml:space="preserve">In response to this defence, whilst not conceding that Zouzoua had formally and properly given notice of change of his </w:t>
      </w:r>
      <w:r w:rsidRPr="004C54AE">
        <w:rPr>
          <w:rFonts w:ascii="Arial" w:hAnsi="Arial" w:cs="Arial"/>
          <w:i/>
          <w:iCs/>
          <w:lang w:val="en-GB"/>
        </w:rPr>
        <w:t>domicilium</w:t>
      </w:r>
      <w:r>
        <w:rPr>
          <w:rFonts w:ascii="Arial" w:hAnsi="Arial" w:cs="Arial"/>
          <w:lang w:val="en-GB"/>
        </w:rPr>
        <w:t>, Investec brought an interlocutory application seeking the Court's leave to serve and/or re-serve a section 129 notice o</w:t>
      </w:r>
      <w:r w:rsidR="002E7AA8">
        <w:rPr>
          <w:rFonts w:ascii="Arial" w:hAnsi="Arial" w:cs="Arial"/>
          <w:lang w:val="en-GB"/>
        </w:rPr>
        <w:t>n</w:t>
      </w:r>
      <w:r>
        <w:rPr>
          <w:rFonts w:ascii="Arial" w:hAnsi="Arial" w:cs="Arial"/>
          <w:lang w:val="en-GB"/>
        </w:rPr>
        <w:t xml:space="preserve"> Zouzoua by e-mailing a copy thereof to his attorneys of record.  Investec also sought an order that </w:t>
      </w:r>
      <w:r w:rsidR="002170E9">
        <w:rPr>
          <w:rFonts w:ascii="Arial" w:hAnsi="Arial" w:cs="Arial"/>
          <w:lang w:val="en-GB"/>
        </w:rPr>
        <w:t>the main application resume upon the expiry of ten days after the section 129 notice was e-mailed to the respondent</w:t>
      </w:r>
      <w:r w:rsidR="00802077">
        <w:rPr>
          <w:rFonts w:ascii="Arial" w:hAnsi="Arial" w:cs="Arial"/>
          <w:lang w:val="en-GB"/>
        </w:rPr>
        <w:t>'s attorneys.</w:t>
      </w:r>
    </w:p>
    <w:p w14:paraId="472F2B6E" w14:textId="62F9650A" w:rsidR="00802077" w:rsidRDefault="00D11DE1" w:rsidP="00901C68">
      <w:pPr>
        <w:widowControl/>
        <w:numPr>
          <w:ilvl w:val="0"/>
          <w:numId w:val="4"/>
        </w:numPr>
        <w:tabs>
          <w:tab w:val="left" w:pos="851"/>
          <w:tab w:val="left" w:pos="1701"/>
          <w:tab w:val="left" w:pos="2835"/>
          <w:tab w:val="left" w:pos="3969"/>
          <w:tab w:val="right" w:pos="8222"/>
        </w:tabs>
        <w:autoSpaceDE/>
        <w:autoSpaceDN/>
        <w:adjustRightInd/>
        <w:spacing w:after="240" w:line="480" w:lineRule="auto"/>
        <w:contextualSpacing/>
        <w:jc w:val="both"/>
        <w:rPr>
          <w:rFonts w:ascii="Arial" w:hAnsi="Arial" w:cs="Arial"/>
          <w:lang w:val="en-GB"/>
        </w:rPr>
      </w:pPr>
      <w:r>
        <w:rPr>
          <w:rFonts w:ascii="Arial" w:hAnsi="Arial" w:cs="Arial"/>
          <w:lang w:val="en-GB"/>
        </w:rPr>
        <w:t xml:space="preserve">Zouzoua </w:t>
      </w:r>
      <w:r w:rsidR="00802077">
        <w:rPr>
          <w:rFonts w:ascii="Arial" w:hAnsi="Arial" w:cs="Arial"/>
          <w:lang w:val="en-GB"/>
        </w:rPr>
        <w:t xml:space="preserve">has </w:t>
      </w:r>
      <w:r w:rsidR="002E7AA8">
        <w:rPr>
          <w:rFonts w:ascii="Arial" w:hAnsi="Arial" w:cs="Arial"/>
          <w:lang w:val="en-GB"/>
        </w:rPr>
        <w:t xml:space="preserve">opposed </w:t>
      </w:r>
      <w:r w:rsidR="00802077">
        <w:rPr>
          <w:rFonts w:ascii="Arial" w:hAnsi="Arial" w:cs="Arial"/>
          <w:lang w:val="en-GB"/>
        </w:rPr>
        <w:t>the interlocutory application</w:t>
      </w:r>
      <w:r>
        <w:rPr>
          <w:rFonts w:ascii="Arial" w:hAnsi="Arial" w:cs="Arial"/>
          <w:lang w:val="en-GB"/>
        </w:rPr>
        <w:t xml:space="preserve"> </w:t>
      </w:r>
      <w:r w:rsidR="002E7AA8">
        <w:rPr>
          <w:rFonts w:ascii="Arial" w:hAnsi="Arial" w:cs="Arial"/>
          <w:lang w:val="en-GB"/>
        </w:rPr>
        <w:t>conte</w:t>
      </w:r>
      <w:r w:rsidR="000F4861">
        <w:rPr>
          <w:rFonts w:ascii="Arial" w:hAnsi="Arial" w:cs="Arial"/>
          <w:lang w:val="en-GB"/>
        </w:rPr>
        <w:t>n</w:t>
      </w:r>
      <w:r w:rsidR="002E7AA8">
        <w:rPr>
          <w:rFonts w:ascii="Arial" w:hAnsi="Arial" w:cs="Arial"/>
          <w:lang w:val="en-GB"/>
        </w:rPr>
        <w:t xml:space="preserve">ding that </w:t>
      </w:r>
      <w:r>
        <w:rPr>
          <w:rFonts w:ascii="Arial" w:hAnsi="Arial" w:cs="Arial"/>
          <w:lang w:val="en-GB"/>
        </w:rPr>
        <w:t xml:space="preserve">the applicant </w:t>
      </w:r>
      <w:r w:rsidR="002E7AA8">
        <w:rPr>
          <w:rFonts w:ascii="Arial" w:hAnsi="Arial" w:cs="Arial"/>
          <w:lang w:val="en-GB"/>
        </w:rPr>
        <w:t>wa</w:t>
      </w:r>
      <w:r w:rsidR="00185EFE">
        <w:rPr>
          <w:rFonts w:ascii="Arial" w:hAnsi="Arial" w:cs="Arial"/>
          <w:lang w:val="en-GB"/>
        </w:rPr>
        <w:t>s o</w:t>
      </w:r>
      <w:r>
        <w:rPr>
          <w:rFonts w:ascii="Arial" w:hAnsi="Arial" w:cs="Arial"/>
          <w:lang w:val="en-GB"/>
        </w:rPr>
        <w:t xml:space="preserve">nly entitled to approach the Court under section 130(4)(b) of the NCA in circumstances where the Court had determined that </w:t>
      </w:r>
      <w:r w:rsidR="007C4E7A">
        <w:rPr>
          <w:rFonts w:ascii="Arial" w:hAnsi="Arial" w:cs="Arial"/>
          <w:lang w:val="en-GB"/>
        </w:rPr>
        <w:t xml:space="preserve">there </w:t>
      </w:r>
      <w:r>
        <w:rPr>
          <w:rFonts w:ascii="Arial" w:hAnsi="Arial" w:cs="Arial"/>
          <w:lang w:val="en-GB"/>
        </w:rPr>
        <w:t xml:space="preserve">was no </w:t>
      </w:r>
      <w:r>
        <w:rPr>
          <w:rFonts w:ascii="Arial" w:hAnsi="Arial" w:cs="Arial"/>
          <w:lang w:val="en-GB"/>
        </w:rPr>
        <w:lastRenderedPageBreak/>
        <w:t xml:space="preserve">compliance with </w:t>
      </w:r>
      <w:r w:rsidR="007C4E7A">
        <w:rPr>
          <w:rFonts w:ascii="Arial" w:hAnsi="Arial" w:cs="Arial"/>
          <w:lang w:val="en-GB"/>
        </w:rPr>
        <w:t xml:space="preserve">s 129 of the NCA.  According to Zouzoua, any application brought under section 130(4)(b) would be premature in the absence of a determination of non-compliance. </w:t>
      </w:r>
    </w:p>
    <w:p w14:paraId="705A41DB" w14:textId="43A363E4" w:rsidR="007C4E7A" w:rsidRPr="007C4E7A" w:rsidRDefault="007C4E7A" w:rsidP="00901C68">
      <w:pPr>
        <w:widowControl/>
        <w:tabs>
          <w:tab w:val="left" w:pos="1701"/>
          <w:tab w:val="left" w:pos="2835"/>
          <w:tab w:val="left" w:pos="3969"/>
          <w:tab w:val="right" w:pos="8222"/>
        </w:tabs>
        <w:autoSpaceDE/>
        <w:autoSpaceDN/>
        <w:adjustRightInd/>
        <w:spacing w:after="240" w:line="480" w:lineRule="auto"/>
        <w:contextualSpacing/>
        <w:jc w:val="both"/>
        <w:rPr>
          <w:rFonts w:ascii="Arial" w:hAnsi="Arial" w:cs="Arial"/>
          <w:b/>
          <w:bCs/>
          <w:lang w:val="en-GB"/>
        </w:rPr>
      </w:pPr>
      <w:r w:rsidRPr="007C4E7A">
        <w:rPr>
          <w:rFonts w:ascii="Arial" w:hAnsi="Arial" w:cs="Arial"/>
          <w:b/>
          <w:bCs/>
          <w:lang w:val="en-GB"/>
        </w:rPr>
        <w:t>PROVISIONS OF THE NATIONAL CREDIT ACT</w:t>
      </w:r>
    </w:p>
    <w:p w14:paraId="2CA39C04" w14:textId="2CD9436B" w:rsidR="00E22FA0" w:rsidRPr="00285E7F" w:rsidRDefault="00E22FA0" w:rsidP="00E22FA0">
      <w:pPr>
        <w:numPr>
          <w:ilvl w:val="0"/>
          <w:numId w:val="4"/>
        </w:numPr>
        <w:spacing w:line="480" w:lineRule="auto"/>
        <w:jc w:val="both"/>
        <w:rPr>
          <w:rFonts w:ascii="Arial" w:hAnsi="Arial" w:cs="Arial"/>
          <w:lang w:val="en-GB"/>
        </w:rPr>
      </w:pPr>
      <w:r w:rsidRPr="00285E7F">
        <w:rPr>
          <w:rFonts w:ascii="Arial" w:hAnsi="Arial" w:cs="Arial"/>
          <w:lang w:val="en-GB"/>
        </w:rPr>
        <w:t xml:space="preserve">The agreement relied upon by Investec is a credit agreement within the meaning of the NCA.   The following provisions of the NCA are relevant– </w:t>
      </w:r>
    </w:p>
    <w:p w14:paraId="733D74ED" w14:textId="4DF8CAAC" w:rsidR="00E22FA0" w:rsidRPr="00285E7F" w:rsidRDefault="002D72A2" w:rsidP="00E22FA0">
      <w:pPr>
        <w:numPr>
          <w:ilvl w:val="1"/>
          <w:numId w:val="4"/>
        </w:numPr>
        <w:spacing w:line="480" w:lineRule="auto"/>
        <w:jc w:val="both"/>
        <w:rPr>
          <w:rFonts w:ascii="Arial" w:hAnsi="Arial" w:cs="Arial"/>
          <w:lang w:val="en-GB"/>
        </w:rPr>
      </w:pPr>
      <w:r w:rsidRPr="00285E7F">
        <w:rPr>
          <w:rFonts w:ascii="Arial" w:hAnsi="Arial" w:cs="Arial"/>
          <w:lang w:val="en-GB"/>
        </w:rPr>
        <w:t>S</w:t>
      </w:r>
      <w:r w:rsidR="00E22FA0" w:rsidRPr="00285E7F">
        <w:rPr>
          <w:rFonts w:ascii="Arial" w:hAnsi="Arial" w:cs="Arial"/>
          <w:lang w:val="en-GB"/>
        </w:rPr>
        <w:t>ection 129</w:t>
      </w:r>
      <w:r w:rsidR="00817004" w:rsidRPr="00285E7F">
        <w:rPr>
          <w:rFonts w:ascii="Arial" w:hAnsi="Arial" w:cs="Arial"/>
          <w:lang w:val="en-GB"/>
        </w:rPr>
        <w:t>(1) provides as follows</w:t>
      </w:r>
      <w:r w:rsidR="00D80CF3" w:rsidRPr="00285E7F">
        <w:rPr>
          <w:rFonts w:ascii="Arial" w:hAnsi="Arial" w:cs="Arial"/>
          <w:lang w:val="en-GB"/>
        </w:rPr>
        <w:t>:</w:t>
      </w:r>
    </w:p>
    <w:p w14:paraId="041B97A2" w14:textId="51F24DE9" w:rsidR="00D80CF3" w:rsidRPr="00285E7F" w:rsidRDefault="00D80CF3" w:rsidP="00536C2C">
      <w:pPr>
        <w:ind w:left="1702"/>
        <w:jc w:val="both"/>
        <w:rPr>
          <w:rFonts w:ascii="Arial" w:hAnsi="Arial" w:cs="Arial"/>
          <w:i/>
          <w:iCs/>
          <w:lang w:val="en-GB"/>
        </w:rPr>
      </w:pPr>
      <w:r w:rsidRPr="00285E7F">
        <w:rPr>
          <w:rFonts w:ascii="Arial" w:hAnsi="Arial" w:cs="Arial"/>
          <w:i/>
          <w:iCs/>
          <w:lang w:val="en-GB"/>
        </w:rPr>
        <w:t xml:space="preserve">"If the consumer is in default under a credit agreement, the credit provider </w:t>
      </w:r>
      <w:r w:rsidR="00D74A24" w:rsidRPr="00285E7F">
        <w:rPr>
          <w:rFonts w:ascii="Arial" w:hAnsi="Arial" w:cs="Arial"/>
          <w:i/>
          <w:iCs/>
          <w:lang w:val="en-GB"/>
        </w:rPr>
        <w:t xml:space="preserve">– </w:t>
      </w:r>
    </w:p>
    <w:p w14:paraId="1AF4807B" w14:textId="77777777" w:rsidR="00C933EC" w:rsidRPr="00285E7F" w:rsidRDefault="00C933EC" w:rsidP="00536C2C">
      <w:pPr>
        <w:ind w:left="1702"/>
        <w:jc w:val="both"/>
        <w:rPr>
          <w:rFonts w:ascii="Arial" w:hAnsi="Arial" w:cs="Arial"/>
          <w:i/>
          <w:iCs/>
          <w:lang w:val="en-GB"/>
        </w:rPr>
      </w:pPr>
    </w:p>
    <w:p w14:paraId="5DC122A9" w14:textId="2602EA78" w:rsidR="00D74A24" w:rsidRPr="00285E7F" w:rsidRDefault="00D74A24" w:rsidP="00536C2C">
      <w:pPr>
        <w:widowControl/>
        <w:numPr>
          <w:ilvl w:val="0"/>
          <w:numId w:val="14"/>
        </w:numPr>
        <w:tabs>
          <w:tab w:val="left" w:pos="1701"/>
          <w:tab w:val="left" w:pos="2268"/>
          <w:tab w:val="left" w:pos="2835"/>
          <w:tab w:val="left" w:pos="3969"/>
          <w:tab w:val="right" w:pos="8222"/>
        </w:tabs>
        <w:autoSpaceDE/>
        <w:autoSpaceDN/>
        <w:adjustRightInd/>
        <w:spacing w:after="120"/>
        <w:ind w:left="2268" w:hanging="567"/>
        <w:jc w:val="both"/>
        <w:rPr>
          <w:rFonts w:ascii="Arial" w:hAnsi="Arial" w:cs="Arial"/>
          <w:i/>
          <w:iCs/>
          <w:lang w:val="en-GB"/>
        </w:rPr>
      </w:pPr>
      <w:r w:rsidRPr="00285E7F">
        <w:rPr>
          <w:rFonts w:ascii="Arial" w:hAnsi="Arial" w:cs="Arial"/>
          <w:i/>
          <w:iCs/>
          <w:lang w:val="en-GB"/>
        </w:rPr>
        <w:t>may draw the default to the notice of the consumer in writing and propose that the consumer refer the credit agreement to a debt counsellor, alternative dispute resolution agent, consumer court or ombud with jurisdiction, with the intent that the parties resolve any dispute under the agreement or develop and agree on a plan to bring the payments under the agreement up to date</w:t>
      </w:r>
      <w:r w:rsidR="00F20CC3" w:rsidRPr="00285E7F">
        <w:rPr>
          <w:rFonts w:ascii="Arial" w:hAnsi="Arial" w:cs="Arial"/>
          <w:i/>
          <w:iCs/>
          <w:lang w:val="en-GB"/>
        </w:rPr>
        <w:t>; and</w:t>
      </w:r>
    </w:p>
    <w:p w14:paraId="1A5738E6" w14:textId="0B58EB7C" w:rsidR="00F20CC3" w:rsidRPr="00285E7F" w:rsidRDefault="00F20CC3" w:rsidP="00536C2C">
      <w:pPr>
        <w:widowControl/>
        <w:numPr>
          <w:ilvl w:val="0"/>
          <w:numId w:val="14"/>
        </w:numPr>
        <w:tabs>
          <w:tab w:val="left" w:pos="1701"/>
          <w:tab w:val="left" w:pos="2268"/>
          <w:tab w:val="left" w:pos="2835"/>
          <w:tab w:val="left" w:pos="3969"/>
          <w:tab w:val="right" w:pos="8222"/>
        </w:tabs>
        <w:autoSpaceDE/>
        <w:autoSpaceDN/>
        <w:adjustRightInd/>
        <w:spacing w:after="120"/>
        <w:ind w:left="2268" w:hanging="567"/>
        <w:jc w:val="both"/>
        <w:rPr>
          <w:rFonts w:ascii="Arial" w:hAnsi="Arial" w:cs="Arial"/>
          <w:i/>
          <w:iCs/>
          <w:lang w:val="en-GB"/>
        </w:rPr>
      </w:pPr>
      <w:r w:rsidRPr="00285E7F">
        <w:rPr>
          <w:rFonts w:ascii="Arial" w:hAnsi="Arial" w:cs="Arial"/>
          <w:i/>
          <w:iCs/>
          <w:lang w:val="en-GB"/>
        </w:rPr>
        <w:t xml:space="preserve">subject to section 130(2), may not commence any legal proceedings to enforce the agreement </w:t>
      </w:r>
      <w:r w:rsidR="005201D7" w:rsidRPr="00285E7F">
        <w:rPr>
          <w:rFonts w:ascii="Arial" w:hAnsi="Arial" w:cs="Arial"/>
          <w:i/>
          <w:iCs/>
          <w:lang w:val="en-GB"/>
        </w:rPr>
        <w:t xml:space="preserve">before – </w:t>
      </w:r>
    </w:p>
    <w:p w14:paraId="1B64EB38" w14:textId="23092153" w:rsidR="005201D7" w:rsidRPr="00285E7F" w:rsidRDefault="00377AEC" w:rsidP="00C933EC">
      <w:pPr>
        <w:widowControl/>
        <w:numPr>
          <w:ilvl w:val="0"/>
          <w:numId w:val="15"/>
        </w:numPr>
        <w:tabs>
          <w:tab w:val="left" w:pos="1701"/>
          <w:tab w:val="left" w:pos="2268"/>
          <w:tab w:val="left" w:pos="2835"/>
          <w:tab w:val="left" w:pos="3969"/>
          <w:tab w:val="right" w:pos="8222"/>
        </w:tabs>
        <w:autoSpaceDE/>
        <w:autoSpaceDN/>
        <w:adjustRightInd/>
        <w:spacing w:after="120"/>
        <w:ind w:left="2835" w:hanging="567"/>
        <w:jc w:val="both"/>
        <w:rPr>
          <w:rFonts w:ascii="Arial" w:hAnsi="Arial" w:cs="Arial"/>
          <w:i/>
          <w:iCs/>
          <w:lang w:val="en-GB"/>
        </w:rPr>
      </w:pPr>
      <w:r w:rsidRPr="00285E7F">
        <w:rPr>
          <w:rFonts w:ascii="Arial" w:hAnsi="Arial" w:cs="Arial"/>
          <w:i/>
          <w:iCs/>
          <w:lang w:val="en-GB"/>
        </w:rPr>
        <w:t xml:space="preserve">first providing notice </w:t>
      </w:r>
      <w:r w:rsidR="00C933EC" w:rsidRPr="00285E7F">
        <w:rPr>
          <w:rFonts w:ascii="Arial" w:hAnsi="Arial" w:cs="Arial"/>
          <w:i/>
          <w:iCs/>
          <w:lang w:val="en-GB"/>
        </w:rPr>
        <w:t>to the consumer as contemplated in paragraph (a) or in section 86(10), as the case may be; and</w:t>
      </w:r>
    </w:p>
    <w:p w14:paraId="417727D3" w14:textId="335B1562" w:rsidR="005201D7" w:rsidRPr="00285E7F" w:rsidRDefault="00C933EC" w:rsidP="00F7008B">
      <w:pPr>
        <w:widowControl/>
        <w:numPr>
          <w:ilvl w:val="0"/>
          <w:numId w:val="15"/>
        </w:numPr>
        <w:tabs>
          <w:tab w:val="left" w:pos="1701"/>
          <w:tab w:val="left" w:pos="2268"/>
          <w:tab w:val="left" w:pos="2835"/>
          <w:tab w:val="left" w:pos="3969"/>
          <w:tab w:val="right" w:pos="8222"/>
        </w:tabs>
        <w:autoSpaceDE/>
        <w:autoSpaceDN/>
        <w:adjustRightInd/>
        <w:spacing w:after="240"/>
        <w:ind w:left="2268" w:hanging="567"/>
        <w:jc w:val="both"/>
        <w:rPr>
          <w:rFonts w:ascii="Arial" w:hAnsi="Arial" w:cs="Arial"/>
          <w:i/>
          <w:iCs/>
          <w:lang w:val="en-GB"/>
        </w:rPr>
      </w:pPr>
      <w:r w:rsidRPr="00285E7F">
        <w:rPr>
          <w:rFonts w:ascii="Arial" w:hAnsi="Arial" w:cs="Arial"/>
          <w:i/>
          <w:iCs/>
          <w:lang w:val="en-GB"/>
        </w:rPr>
        <w:t>meeting any further requirements set out in section 130.</w:t>
      </w:r>
      <w:r w:rsidR="00F7008B" w:rsidRPr="00285E7F">
        <w:rPr>
          <w:rFonts w:ascii="Arial" w:hAnsi="Arial" w:cs="Arial"/>
          <w:i/>
          <w:iCs/>
          <w:lang w:val="en-GB"/>
        </w:rPr>
        <w:t>"</w:t>
      </w:r>
    </w:p>
    <w:p w14:paraId="63B473C2" w14:textId="40154F27" w:rsidR="00D80CF3" w:rsidRPr="00285E7F" w:rsidRDefault="008874F4" w:rsidP="00E22FA0">
      <w:pPr>
        <w:numPr>
          <w:ilvl w:val="1"/>
          <w:numId w:val="4"/>
        </w:numPr>
        <w:spacing w:line="480" w:lineRule="auto"/>
        <w:jc w:val="both"/>
        <w:rPr>
          <w:rFonts w:ascii="Arial" w:hAnsi="Arial" w:cs="Arial"/>
          <w:lang w:val="en-GB"/>
        </w:rPr>
      </w:pPr>
      <w:r w:rsidRPr="00285E7F">
        <w:rPr>
          <w:rFonts w:ascii="Arial" w:hAnsi="Arial" w:cs="Arial"/>
          <w:lang w:val="en-GB"/>
        </w:rPr>
        <w:t>Section 130 provides as follows:</w:t>
      </w:r>
    </w:p>
    <w:p w14:paraId="35C77E96" w14:textId="79002BFD" w:rsidR="008874F4" w:rsidRPr="00285E7F" w:rsidRDefault="00606BC3" w:rsidP="00752868">
      <w:pPr>
        <w:numPr>
          <w:ilvl w:val="0"/>
          <w:numId w:val="16"/>
        </w:numPr>
        <w:tabs>
          <w:tab w:val="left" w:pos="2268"/>
          <w:tab w:val="left" w:pos="2835"/>
        </w:tabs>
        <w:spacing w:after="120"/>
        <w:ind w:left="2268" w:hanging="566"/>
        <w:jc w:val="both"/>
        <w:rPr>
          <w:rFonts w:ascii="Arial" w:hAnsi="Arial" w:cs="Arial"/>
          <w:i/>
          <w:iCs/>
          <w:lang w:val="en-GB"/>
        </w:rPr>
      </w:pPr>
      <w:r w:rsidRPr="00285E7F">
        <w:rPr>
          <w:rFonts w:ascii="Arial" w:hAnsi="Arial" w:cs="Arial"/>
          <w:i/>
          <w:iCs/>
          <w:lang w:val="en-GB"/>
        </w:rPr>
        <w:t>subject to sub-section (2), a credit provider may approach the Court for an order to enforce a credit agreement only if, at that time, the consumer is in default and has been in default under the credit agreement for at least twenty business days</w:t>
      </w:r>
      <w:r w:rsidR="00754569" w:rsidRPr="00285E7F">
        <w:rPr>
          <w:rFonts w:ascii="Arial" w:hAnsi="Arial" w:cs="Arial"/>
          <w:i/>
          <w:iCs/>
          <w:lang w:val="en-GB"/>
        </w:rPr>
        <w:t xml:space="preserve"> and – </w:t>
      </w:r>
    </w:p>
    <w:p w14:paraId="4282FFF8" w14:textId="672FD2CC" w:rsidR="00754569" w:rsidRPr="00285E7F" w:rsidRDefault="00754569" w:rsidP="00752868">
      <w:pPr>
        <w:numPr>
          <w:ilvl w:val="0"/>
          <w:numId w:val="17"/>
        </w:numPr>
        <w:tabs>
          <w:tab w:val="left" w:pos="2268"/>
          <w:tab w:val="left" w:pos="2835"/>
        </w:tabs>
        <w:spacing w:after="120"/>
        <w:ind w:left="2835" w:hanging="567"/>
        <w:jc w:val="both"/>
        <w:rPr>
          <w:rFonts w:ascii="Arial" w:hAnsi="Arial" w:cs="Arial"/>
          <w:i/>
          <w:iCs/>
          <w:lang w:val="en-GB"/>
        </w:rPr>
      </w:pPr>
      <w:r w:rsidRPr="00285E7F">
        <w:rPr>
          <w:rFonts w:ascii="Arial" w:hAnsi="Arial" w:cs="Arial"/>
          <w:i/>
          <w:iCs/>
          <w:lang w:val="en-GB"/>
        </w:rPr>
        <w:t xml:space="preserve">at least ten business days have elapsed since the credit provider delivered a notice to the consumer as contemplated in section 86(10), </w:t>
      </w:r>
      <w:r w:rsidR="00544BE2" w:rsidRPr="00285E7F">
        <w:rPr>
          <w:rFonts w:ascii="Arial" w:hAnsi="Arial" w:cs="Arial"/>
          <w:i/>
          <w:iCs/>
          <w:lang w:val="en-GB"/>
        </w:rPr>
        <w:t>or section 129(1), as the case may be;</w:t>
      </w:r>
    </w:p>
    <w:p w14:paraId="72205B61" w14:textId="2869EC06" w:rsidR="00544BE2" w:rsidRPr="00285E7F" w:rsidRDefault="00544BE2" w:rsidP="00752868">
      <w:pPr>
        <w:numPr>
          <w:ilvl w:val="0"/>
          <w:numId w:val="17"/>
        </w:numPr>
        <w:tabs>
          <w:tab w:val="left" w:pos="2268"/>
          <w:tab w:val="left" w:pos="2835"/>
        </w:tabs>
        <w:spacing w:after="120"/>
        <w:ind w:left="2835" w:hanging="567"/>
        <w:jc w:val="both"/>
        <w:rPr>
          <w:rFonts w:ascii="Arial" w:hAnsi="Arial" w:cs="Arial"/>
          <w:i/>
          <w:iCs/>
          <w:lang w:val="en-GB"/>
        </w:rPr>
      </w:pPr>
      <w:r w:rsidRPr="00285E7F">
        <w:rPr>
          <w:rFonts w:ascii="Arial" w:hAnsi="Arial" w:cs="Arial"/>
          <w:i/>
          <w:iCs/>
          <w:lang w:val="en-GB"/>
        </w:rPr>
        <w:t xml:space="preserve">in the case of a notice contemplated in section 129(1), the consumer has – </w:t>
      </w:r>
    </w:p>
    <w:p w14:paraId="7A3DB124" w14:textId="6E1A940E" w:rsidR="00544BE2" w:rsidRPr="00285E7F" w:rsidRDefault="00544BE2" w:rsidP="00752868">
      <w:pPr>
        <w:numPr>
          <w:ilvl w:val="0"/>
          <w:numId w:val="18"/>
        </w:numPr>
        <w:tabs>
          <w:tab w:val="left" w:pos="2268"/>
          <w:tab w:val="left" w:pos="2835"/>
          <w:tab w:val="left" w:pos="3402"/>
        </w:tabs>
        <w:spacing w:after="120"/>
        <w:ind w:left="3402" w:hanging="567"/>
        <w:jc w:val="both"/>
        <w:rPr>
          <w:rFonts w:ascii="Arial" w:hAnsi="Arial" w:cs="Arial"/>
          <w:i/>
          <w:iCs/>
          <w:lang w:val="en-GB"/>
        </w:rPr>
      </w:pPr>
      <w:r w:rsidRPr="00285E7F">
        <w:rPr>
          <w:rFonts w:ascii="Arial" w:hAnsi="Arial" w:cs="Arial"/>
          <w:i/>
          <w:iCs/>
          <w:lang w:val="en-GB"/>
        </w:rPr>
        <w:t>not responded to that notice; or</w:t>
      </w:r>
    </w:p>
    <w:p w14:paraId="2A2FFFDB" w14:textId="1A8E2E7D" w:rsidR="00544BE2" w:rsidRPr="00285E7F" w:rsidRDefault="00544BE2" w:rsidP="00752868">
      <w:pPr>
        <w:numPr>
          <w:ilvl w:val="0"/>
          <w:numId w:val="18"/>
        </w:numPr>
        <w:tabs>
          <w:tab w:val="left" w:pos="2268"/>
          <w:tab w:val="left" w:pos="2835"/>
          <w:tab w:val="left" w:pos="3402"/>
        </w:tabs>
        <w:spacing w:after="120"/>
        <w:ind w:left="3402" w:hanging="567"/>
        <w:jc w:val="both"/>
        <w:rPr>
          <w:rFonts w:ascii="Arial" w:hAnsi="Arial" w:cs="Arial"/>
          <w:i/>
          <w:iCs/>
          <w:lang w:val="en-GB"/>
        </w:rPr>
      </w:pPr>
      <w:r w:rsidRPr="00285E7F">
        <w:rPr>
          <w:rFonts w:ascii="Arial" w:hAnsi="Arial" w:cs="Arial"/>
          <w:i/>
          <w:iCs/>
          <w:lang w:val="en-GB"/>
        </w:rPr>
        <w:t>responded to the notice by rejecting the credit provider's proposals; and</w:t>
      </w:r>
    </w:p>
    <w:p w14:paraId="3957A959" w14:textId="48B23D16" w:rsidR="00544BE2" w:rsidRPr="00285E7F" w:rsidRDefault="007A140F" w:rsidP="00752868">
      <w:pPr>
        <w:numPr>
          <w:ilvl w:val="0"/>
          <w:numId w:val="17"/>
        </w:numPr>
        <w:tabs>
          <w:tab w:val="left" w:pos="2268"/>
          <w:tab w:val="left" w:pos="2835"/>
        </w:tabs>
        <w:spacing w:after="120"/>
        <w:ind w:left="2835" w:hanging="567"/>
        <w:jc w:val="both"/>
        <w:rPr>
          <w:rFonts w:ascii="Arial" w:hAnsi="Arial" w:cs="Arial"/>
          <w:i/>
          <w:iCs/>
          <w:lang w:val="en-GB"/>
        </w:rPr>
      </w:pPr>
      <w:r w:rsidRPr="00285E7F">
        <w:rPr>
          <w:rFonts w:ascii="Arial" w:hAnsi="Arial" w:cs="Arial"/>
          <w:i/>
          <w:iCs/>
          <w:lang w:val="en-GB"/>
        </w:rPr>
        <w:t xml:space="preserve">in the case of an instalment agreement, secured loan, or lease, the consumer has not surrendered the relevant property to the credit provider as contemplated in section </w:t>
      </w:r>
      <w:bookmarkStart w:id="0" w:name="_GoBack"/>
      <w:bookmarkEnd w:id="0"/>
      <w:r w:rsidRPr="00285E7F">
        <w:rPr>
          <w:rFonts w:ascii="Arial" w:hAnsi="Arial" w:cs="Arial"/>
          <w:i/>
          <w:iCs/>
          <w:lang w:val="en-GB"/>
        </w:rPr>
        <w:lastRenderedPageBreak/>
        <w:t>127</w:t>
      </w:r>
      <w:r w:rsidR="00526815" w:rsidRPr="00285E7F">
        <w:rPr>
          <w:rFonts w:ascii="Arial" w:hAnsi="Arial" w:cs="Arial"/>
          <w:i/>
          <w:iCs/>
          <w:lang w:val="en-GB"/>
        </w:rPr>
        <w:t>.</w:t>
      </w:r>
    </w:p>
    <w:p w14:paraId="6BE745BA" w14:textId="74C06B59" w:rsidR="00754569" w:rsidRPr="00285E7F" w:rsidRDefault="00526815" w:rsidP="00752868">
      <w:pPr>
        <w:numPr>
          <w:ilvl w:val="0"/>
          <w:numId w:val="16"/>
        </w:numPr>
        <w:tabs>
          <w:tab w:val="left" w:pos="2268"/>
          <w:tab w:val="left" w:pos="2835"/>
        </w:tabs>
        <w:spacing w:after="120"/>
        <w:ind w:left="2268" w:hanging="566"/>
        <w:jc w:val="both"/>
        <w:rPr>
          <w:rFonts w:ascii="Arial" w:hAnsi="Arial" w:cs="Arial"/>
          <w:i/>
          <w:iCs/>
          <w:lang w:val="en-GB"/>
        </w:rPr>
      </w:pPr>
      <w:r w:rsidRPr="00285E7F">
        <w:rPr>
          <w:rFonts w:ascii="Arial" w:hAnsi="Arial" w:cs="Arial"/>
          <w:i/>
          <w:iCs/>
          <w:lang w:val="en-GB"/>
        </w:rPr>
        <w:t>...</w:t>
      </w:r>
    </w:p>
    <w:p w14:paraId="69C92EB0" w14:textId="030E0F40" w:rsidR="00526815" w:rsidRPr="00285E7F" w:rsidRDefault="00526815" w:rsidP="00752868">
      <w:pPr>
        <w:numPr>
          <w:ilvl w:val="0"/>
          <w:numId w:val="16"/>
        </w:numPr>
        <w:tabs>
          <w:tab w:val="left" w:pos="2268"/>
          <w:tab w:val="left" w:pos="2835"/>
        </w:tabs>
        <w:spacing w:after="120"/>
        <w:ind w:left="2268" w:hanging="566"/>
        <w:jc w:val="both"/>
        <w:rPr>
          <w:rFonts w:ascii="Arial" w:hAnsi="Arial" w:cs="Arial"/>
          <w:i/>
          <w:iCs/>
          <w:lang w:val="en-GB"/>
        </w:rPr>
      </w:pPr>
      <w:r w:rsidRPr="00285E7F">
        <w:rPr>
          <w:rFonts w:ascii="Arial" w:hAnsi="Arial" w:cs="Arial"/>
          <w:i/>
          <w:iCs/>
          <w:lang w:val="en-GB"/>
        </w:rPr>
        <w:t>Despite any provision of law or contracts to the contrary, in any proceedings commenced in a court in respect of a credit agreement</w:t>
      </w:r>
      <w:r w:rsidR="000012BE" w:rsidRPr="00285E7F">
        <w:rPr>
          <w:rFonts w:ascii="Arial" w:hAnsi="Arial" w:cs="Arial"/>
          <w:i/>
          <w:iCs/>
          <w:lang w:val="en-GB"/>
        </w:rPr>
        <w:t xml:space="preserve"> to which this Act applies, the court may determine the matter only if the court is satisfied </w:t>
      </w:r>
      <w:r w:rsidR="005E3B3C" w:rsidRPr="00285E7F">
        <w:rPr>
          <w:rFonts w:ascii="Arial" w:hAnsi="Arial" w:cs="Arial"/>
          <w:i/>
          <w:iCs/>
          <w:lang w:val="en-GB"/>
        </w:rPr>
        <w:t xml:space="preserve">that – </w:t>
      </w:r>
    </w:p>
    <w:p w14:paraId="14DB3614" w14:textId="77777777" w:rsidR="00CA3394" w:rsidRPr="00285E7F" w:rsidRDefault="005E3B3C" w:rsidP="00752868">
      <w:pPr>
        <w:numPr>
          <w:ilvl w:val="0"/>
          <w:numId w:val="19"/>
        </w:numPr>
        <w:tabs>
          <w:tab w:val="left" w:pos="2268"/>
          <w:tab w:val="left" w:pos="2835"/>
        </w:tabs>
        <w:spacing w:after="120"/>
        <w:ind w:left="2835" w:hanging="567"/>
        <w:jc w:val="both"/>
        <w:rPr>
          <w:rFonts w:ascii="Arial" w:hAnsi="Arial" w:cs="Arial"/>
          <w:i/>
          <w:iCs/>
          <w:lang w:val="en-GB"/>
        </w:rPr>
      </w:pPr>
      <w:r w:rsidRPr="00285E7F">
        <w:rPr>
          <w:rFonts w:ascii="Arial" w:hAnsi="Arial" w:cs="Arial"/>
          <w:i/>
          <w:iCs/>
          <w:lang w:val="en-GB"/>
        </w:rPr>
        <w:t>in the case of proceedings to which sections 127, 129 or 131 apply, the procedures required by those sections have been complied with</w:t>
      </w:r>
      <w:r w:rsidR="002D72A2" w:rsidRPr="00285E7F">
        <w:rPr>
          <w:rFonts w:ascii="Arial" w:hAnsi="Arial" w:cs="Arial"/>
          <w:i/>
          <w:iCs/>
          <w:lang w:val="en-GB"/>
        </w:rPr>
        <w:t>;</w:t>
      </w:r>
    </w:p>
    <w:p w14:paraId="1E7780D8" w14:textId="32C25894" w:rsidR="00CA3394" w:rsidRPr="00285E7F" w:rsidRDefault="00CA3394" w:rsidP="00752868">
      <w:pPr>
        <w:numPr>
          <w:ilvl w:val="0"/>
          <w:numId w:val="19"/>
        </w:numPr>
        <w:tabs>
          <w:tab w:val="left" w:pos="2268"/>
          <w:tab w:val="left" w:pos="2835"/>
        </w:tabs>
        <w:spacing w:after="120"/>
        <w:ind w:left="2835" w:hanging="567"/>
        <w:jc w:val="both"/>
        <w:rPr>
          <w:rFonts w:ascii="Arial" w:hAnsi="Arial" w:cs="Arial"/>
          <w:i/>
          <w:iCs/>
          <w:lang w:val="en-GB"/>
        </w:rPr>
      </w:pPr>
      <w:r w:rsidRPr="00285E7F">
        <w:rPr>
          <w:rFonts w:ascii="Arial" w:hAnsi="Arial" w:cs="Arial"/>
          <w:i/>
          <w:iCs/>
          <w:lang w:val="en-GB"/>
        </w:rPr>
        <w:t>...</w:t>
      </w:r>
    </w:p>
    <w:p w14:paraId="295877E7" w14:textId="2EBFF308" w:rsidR="002F5260" w:rsidRPr="00285E7F" w:rsidRDefault="00A42109" w:rsidP="00CA3394">
      <w:pPr>
        <w:tabs>
          <w:tab w:val="left" w:pos="2268"/>
          <w:tab w:val="left" w:pos="2835"/>
        </w:tabs>
        <w:spacing w:after="120"/>
        <w:ind w:left="2268" w:hanging="567"/>
        <w:jc w:val="both"/>
        <w:rPr>
          <w:rFonts w:ascii="Arial" w:hAnsi="Arial" w:cs="Arial"/>
          <w:i/>
          <w:iCs/>
          <w:lang w:val="en-GB"/>
        </w:rPr>
      </w:pPr>
      <w:r w:rsidRPr="00285E7F">
        <w:rPr>
          <w:rFonts w:ascii="Arial" w:hAnsi="Arial" w:cs="Arial"/>
          <w:i/>
          <w:iCs/>
          <w:lang w:val="en-GB"/>
        </w:rPr>
        <w:t>(4)</w:t>
      </w:r>
      <w:r w:rsidRPr="00285E7F">
        <w:rPr>
          <w:rFonts w:ascii="Arial" w:hAnsi="Arial" w:cs="Arial"/>
          <w:i/>
          <w:iCs/>
          <w:lang w:val="en-GB"/>
        </w:rPr>
        <w:tab/>
        <w:t>In any proceedings contemplated in this section, if the Court determines</w:t>
      </w:r>
      <w:r w:rsidR="002F5260" w:rsidRPr="00285E7F">
        <w:rPr>
          <w:rFonts w:ascii="Arial" w:hAnsi="Arial" w:cs="Arial"/>
          <w:i/>
          <w:iCs/>
          <w:lang w:val="en-GB"/>
        </w:rPr>
        <w:t xml:space="preserve"> in this section, if the Court determines that –</w:t>
      </w:r>
    </w:p>
    <w:p w14:paraId="113BE8F6" w14:textId="77777777" w:rsidR="00517034" w:rsidRPr="00285E7F" w:rsidRDefault="00517034" w:rsidP="00517034">
      <w:pPr>
        <w:widowControl/>
        <w:numPr>
          <w:ilvl w:val="0"/>
          <w:numId w:val="10"/>
        </w:numPr>
        <w:tabs>
          <w:tab w:val="left" w:pos="1701"/>
          <w:tab w:val="left" w:pos="2268"/>
          <w:tab w:val="left" w:pos="2835"/>
          <w:tab w:val="left" w:pos="3969"/>
          <w:tab w:val="right" w:pos="8222"/>
        </w:tabs>
        <w:autoSpaceDE/>
        <w:autoSpaceDN/>
        <w:adjustRightInd/>
        <w:spacing w:after="120"/>
        <w:ind w:left="1701" w:firstLine="0"/>
        <w:jc w:val="both"/>
        <w:rPr>
          <w:rFonts w:ascii="Arial" w:hAnsi="Arial" w:cs="Arial"/>
          <w:i/>
          <w:iCs/>
          <w:lang w:val="en-GB"/>
        </w:rPr>
      </w:pPr>
      <w:r w:rsidRPr="00285E7F">
        <w:rPr>
          <w:rFonts w:ascii="Arial" w:hAnsi="Arial" w:cs="Arial"/>
          <w:i/>
          <w:iCs/>
          <w:lang w:val="en-GB"/>
        </w:rPr>
        <w:t>...</w:t>
      </w:r>
    </w:p>
    <w:p w14:paraId="6BC19AC7" w14:textId="4929FD85" w:rsidR="00A42109" w:rsidRPr="00285E7F" w:rsidRDefault="00517034" w:rsidP="00517034">
      <w:pPr>
        <w:widowControl/>
        <w:numPr>
          <w:ilvl w:val="0"/>
          <w:numId w:val="10"/>
        </w:numPr>
        <w:tabs>
          <w:tab w:val="left" w:pos="2268"/>
          <w:tab w:val="left" w:pos="2835"/>
          <w:tab w:val="left" w:pos="3969"/>
          <w:tab w:val="right" w:pos="8222"/>
        </w:tabs>
        <w:autoSpaceDE/>
        <w:autoSpaceDN/>
        <w:adjustRightInd/>
        <w:spacing w:after="120"/>
        <w:ind w:left="2268" w:hanging="567"/>
        <w:jc w:val="both"/>
        <w:rPr>
          <w:rFonts w:ascii="Arial" w:hAnsi="Arial" w:cs="Arial"/>
          <w:i/>
          <w:iCs/>
          <w:lang w:val="en-GB"/>
        </w:rPr>
      </w:pPr>
      <w:r w:rsidRPr="00285E7F">
        <w:rPr>
          <w:rFonts w:ascii="Arial" w:hAnsi="Arial" w:cs="Arial"/>
          <w:i/>
          <w:iCs/>
          <w:lang w:val="en-GB"/>
        </w:rPr>
        <w:t xml:space="preserve">The </w:t>
      </w:r>
      <w:r w:rsidR="00EF7EC7" w:rsidRPr="00285E7F">
        <w:rPr>
          <w:rFonts w:ascii="Arial" w:hAnsi="Arial" w:cs="Arial"/>
          <w:i/>
          <w:iCs/>
          <w:lang w:val="en-GB"/>
        </w:rPr>
        <w:t xml:space="preserve">credit provider has not complied with the relevant provisions of this </w:t>
      </w:r>
      <w:r w:rsidR="00940060" w:rsidRPr="00285E7F">
        <w:rPr>
          <w:rFonts w:ascii="Arial" w:hAnsi="Arial" w:cs="Arial"/>
          <w:i/>
          <w:iCs/>
          <w:lang w:val="en-GB"/>
        </w:rPr>
        <w:t>Act, as</w:t>
      </w:r>
      <w:r w:rsidR="00EF7EC7" w:rsidRPr="00285E7F">
        <w:rPr>
          <w:rFonts w:ascii="Arial" w:hAnsi="Arial" w:cs="Arial"/>
          <w:i/>
          <w:iCs/>
          <w:lang w:val="en-GB"/>
        </w:rPr>
        <w:t xml:space="preserve"> contemplated in subsection (3)(a), or has approached the Court in circumstances contemplated in subsection (3)(c) the Cour</w:t>
      </w:r>
      <w:r w:rsidR="00714D91" w:rsidRPr="00285E7F">
        <w:rPr>
          <w:rFonts w:ascii="Arial" w:hAnsi="Arial" w:cs="Arial"/>
          <w:i/>
          <w:iCs/>
          <w:lang w:val="en-GB"/>
        </w:rPr>
        <w:t xml:space="preserve">t must – </w:t>
      </w:r>
    </w:p>
    <w:p w14:paraId="6C29C89E" w14:textId="44A8C7FE" w:rsidR="00714D91" w:rsidRPr="00285E7F" w:rsidRDefault="00714D91" w:rsidP="00517034">
      <w:pPr>
        <w:widowControl/>
        <w:numPr>
          <w:ilvl w:val="0"/>
          <w:numId w:val="11"/>
        </w:numPr>
        <w:tabs>
          <w:tab w:val="left" w:pos="1701"/>
          <w:tab w:val="left" w:pos="2268"/>
          <w:tab w:val="left" w:pos="2835"/>
          <w:tab w:val="left" w:pos="3969"/>
          <w:tab w:val="right" w:pos="8222"/>
        </w:tabs>
        <w:autoSpaceDE/>
        <w:autoSpaceDN/>
        <w:adjustRightInd/>
        <w:spacing w:after="120"/>
        <w:ind w:left="2268" w:firstLine="0"/>
        <w:jc w:val="both"/>
        <w:rPr>
          <w:rFonts w:ascii="Arial" w:hAnsi="Arial" w:cs="Arial"/>
          <w:i/>
          <w:iCs/>
          <w:lang w:val="en-GB"/>
        </w:rPr>
      </w:pPr>
      <w:r w:rsidRPr="00285E7F">
        <w:rPr>
          <w:rFonts w:ascii="Arial" w:hAnsi="Arial" w:cs="Arial"/>
          <w:i/>
          <w:iCs/>
          <w:lang w:val="en-GB"/>
        </w:rPr>
        <w:t>adjourn the matter before it, and</w:t>
      </w:r>
    </w:p>
    <w:p w14:paraId="05F81F84" w14:textId="2B66D0E9" w:rsidR="00714D91" w:rsidRPr="00285E7F" w:rsidRDefault="00714D91" w:rsidP="00517034">
      <w:pPr>
        <w:widowControl/>
        <w:numPr>
          <w:ilvl w:val="0"/>
          <w:numId w:val="11"/>
        </w:numPr>
        <w:tabs>
          <w:tab w:val="left" w:pos="1701"/>
          <w:tab w:val="left" w:pos="2268"/>
          <w:tab w:val="left" w:pos="2835"/>
          <w:tab w:val="left" w:pos="3969"/>
          <w:tab w:val="right" w:pos="8222"/>
        </w:tabs>
        <w:autoSpaceDE/>
        <w:autoSpaceDN/>
        <w:adjustRightInd/>
        <w:spacing w:after="240"/>
        <w:ind w:left="2835" w:hanging="567"/>
        <w:jc w:val="both"/>
        <w:rPr>
          <w:rFonts w:ascii="Arial" w:hAnsi="Arial" w:cs="Arial"/>
          <w:i/>
          <w:iCs/>
          <w:lang w:val="en-GB"/>
        </w:rPr>
      </w:pPr>
      <w:r w:rsidRPr="00285E7F">
        <w:rPr>
          <w:rFonts w:ascii="Arial" w:hAnsi="Arial" w:cs="Arial"/>
          <w:i/>
          <w:iCs/>
          <w:lang w:val="en-GB"/>
        </w:rPr>
        <w:t xml:space="preserve">make an appropriate order setting out the steps </w:t>
      </w:r>
      <w:r w:rsidR="004976B1" w:rsidRPr="00285E7F">
        <w:rPr>
          <w:rFonts w:ascii="Arial" w:hAnsi="Arial" w:cs="Arial"/>
          <w:i/>
          <w:iCs/>
          <w:lang w:val="en-GB"/>
        </w:rPr>
        <w:t>the credit provider must complete before the matter may be resumed.</w:t>
      </w:r>
      <w:r w:rsidR="004976B1" w:rsidRPr="00285E7F">
        <w:rPr>
          <w:rFonts w:ascii="Arial" w:hAnsi="Arial" w:cs="Arial"/>
          <w:lang w:val="en-GB"/>
        </w:rPr>
        <w:t>"</w:t>
      </w:r>
    </w:p>
    <w:p w14:paraId="47C50A51" w14:textId="05F51C82" w:rsidR="00663EF8" w:rsidRDefault="00663EF8" w:rsidP="00663EF8">
      <w:pPr>
        <w:widowControl/>
        <w:numPr>
          <w:ilvl w:val="0"/>
          <w:numId w:val="4"/>
        </w:numPr>
        <w:tabs>
          <w:tab w:val="left" w:pos="851"/>
          <w:tab w:val="left" w:pos="1701"/>
          <w:tab w:val="left" w:pos="2835"/>
          <w:tab w:val="left" w:pos="3969"/>
          <w:tab w:val="right" w:pos="8222"/>
        </w:tabs>
        <w:autoSpaceDE/>
        <w:autoSpaceDN/>
        <w:adjustRightInd/>
        <w:spacing w:after="120" w:line="480" w:lineRule="auto"/>
        <w:jc w:val="both"/>
        <w:rPr>
          <w:rFonts w:ascii="Arial" w:hAnsi="Arial" w:cs="Arial"/>
          <w:lang w:val="en-GB"/>
        </w:rPr>
      </w:pPr>
      <w:r w:rsidRPr="00555F11">
        <w:rPr>
          <w:rFonts w:ascii="Arial" w:hAnsi="Arial" w:cs="Arial"/>
          <w:lang w:val="en-GB"/>
        </w:rPr>
        <w:t>In terms of s 129</w:t>
      </w:r>
      <w:r>
        <w:rPr>
          <w:rFonts w:ascii="Arial" w:hAnsi="Arial" w:cs="Arial"/>
          <w:lang w:val="en-GB"/>
        </w:rPr>
        <w:t>(1)</w:t>
      </w:r>
      <w:r w:rsidRPr="00555F11">
        <w:rPr>
          <w:rFonts w:ascii="Arial" w:hAnsi="Arial" w:cs="Arial"/>
          <w:lang w:val="en-GB"/>
        </w:rPr>
        <w:t>(</w:t>
      </w:r>
      <w:r>
        <w:rPr>
          <w:rFonts w:ascii="Arial" w:hAnsi="Arial" w:cs="Arial"/>
          <w:lang w:val="en-GB"/>
        </w:rPr>
        <w:t xml:space="preserve">b) </w:t>
      </w:r>
      <w:r w:rsidRPr="00555F11">
        <w:rPr>
          <w:rFonts w:ascii="Arial" w:hAnsi="Arial" w:cs="Arial"/>
          <w:lang w:val="en-GB"/>
        </w:rPr>
        <w:t>of the NCA, a credit provider</w:t>
      </w:r>
      <w:r>
        <w:rPr>
          <w:rFonts w:ascii="Arial" w:hAnsi="Arial" w:cs="Arial"/>
          <w:lang w:val="en-GB"/>
        </w:rPr>
        <w:t xml:space="preserve"> may not commence any legal proceedings to enforce a credit agreement before – </w:t>
      </w:r>
    </w:p>
    <w:p w14:paraId="6D299F1D" w14:textId="77777777" w:rsidR="00663EF8" w:rsidRPr="00D00DF6" w:rsidRDefault="00663EF8" w:rsidP="00663EF8">
      <w:pPr>
        <w:widowControl/>
        <w:tabs>
          <w:tab w:val="left" w:pos="1701"/>
          <w:tab w:val="left" w:pos="2835"/>
          <w:tab w:val="left" w:pos="3969"/>
          <w:tab w:val="right" w:pos="8222"/>
        </w:tabs>
        <w:autoSpaceDE/>
        <w:autoSpaceDN/>
        <w:adjustRightInd/>
        <w:spacing w:after="120" w:line="276" w:lineRule="auto"/>
        <w:ind w:left="1701" w:hanging="850"/>
        <w:jc w:val="both"/>
        <w:rPr>
          <w:rFonts w:ascii="Arial" w:hAnsi="Arial" w:cs="Arial"/>
          <w:i/>
          <w:iCs/>
          <w:lang w:val="en-GB"/>
        </w:rPr>
      </w:pPr>
      <w:r w:rsidRPr="00D00DF6">
        <w:rPr>
          <w:rFonts w:ascii="Arial" w:hAnsi="Arial" w:cs="Arial"/>
          <w:i/>
          <w:iCs/>
          <w:lang w:val="en-GB"/>
        </w:rPr>
        <w:t>"(1)</w:t>
      </w:r>
      <w:r w:rsidRPr="00D00DF6">
        <w:rPr>
          <w:rFonts w:ascii="Arial" w:hAnsi="Arial" w:cs="Arial"/>
          <w:i/>
          <w:iCs/>
          <w:lang w:val="en-GB"/>
        </w:rPr>
        <w:tab/>
        <w:t xml:space="preserve">first providing notice to the consumer, as contemplated in paragraph (a), or in section 86(10), as the case may be; and </w:t>
      </w:r>
    </w:p>
    <w:p w14:paraId="70CA05A2" w14:textId="77777777" w:rsidR="00663EF8" w:rsidRPr="00D00DF6" w:rsidRDefault="00663EF8" w:rsidP="00663EF8">
      <w:pPr>
        <w:widowControl/>
        <w:tabs>
          <w:tab w:val="left" w:pos="1701"/>
          <w:tab w:val="left" w:pos="2835"/>
          <w:tab w:val="left" w:pos="3969"/>
          <w:tab w:val="right" w:pos="8222"/>
        </w:tabs>
        <w:autoSpaceDE/>
        <w:autoSpaceDN/>
        <w:adjustRightInd/>
        <w:spacing w:after="240" w:line="276" w:lineRule="auto"/>
        <w:ind w:left="851"/>
        <w:jc w:val="both"/>
        <w:rPr>
          <w:rFonts w:ascii="Arial" w:hAnsi="Arial" w:cs="Arial"/>
          <w:i/>
          <w:iCs/>
          <w:lang w:val="en-GB"/>
        </w:rPr>
      </w:pPr>
      <w:r w:rsidRPr="00D00DF6">
        <w:rPr>
          <w:rFonts w:ascii="Arial" w:hAnsi="Arial" w:cs="Arial"/>
          <w:i/>
          <w:iCs/>
          <w:lang w:val="en-GB"/>
        </w:rPr>
        <w:t>(2)</w:t>
      </w:r>
      <w:r w:rsidRPr="00D00DF6">
        <w:rPr>
          <w:rFonts w:ascii="Arial" w:hAnsi="Arial" w:cs="Arial"/>
          <w:i/>
          <w:iCs/>
          <w:lang w:val="en-GB"/>
        </w:rPr>
        <w:tab/>
        <w:t>meeting any further requirements set out in section 130."</w:t>
      </w:r>
    </w:p>
    <w:p w14:paraId="0B1981DC" w14:textId="51164FB0" w:rsidR="0037425E" w:rsidRPr="00971BB8" w:rsidRDefault="00EB704C" w:rsidP="00663EF8">
      <w:pPr>
        <w:widowControl/>
        <w:numPr>
          <w:ilvl w:val="0"/>
          <w:numId w:val="4"/>
        </w:numPr>
        <w:tabs>
          <w:tab w:val="left" w:pos="851"/>
          <w:tab w:val="left" w:pos="1701"/>
          <w:tab w:val="left" w:pos="2835"/>
          <w:tab w:val="left" w:pos="3969"/>
          <w:tab w:val="right" w:pos="8222"/>
        </w:tabs>
        <w:autoSpaceDE/>
        <w:autoSpaceDN/>
        <w:adjustRightInd/>
        <w:spacing w:after="120" w:line="480" w:lineRule="auto"/>
        <w:jc w:val="both"/>
        <w:rPr>
          <w:rFonts w:ascii="Arial" w:hAnsi="Arial" w:cs="Arial"/>
          <w:lang w:val="en-GB"/>
        </w:rPr>
      </w:pPr>
      <w:r w:rsidRPr="00663EF8">
        <w:rPr>
          <w:rFonts w:ascii="Arial" w:hAnsi="Arial" w:cs="Arial"/>
          <w:lang w:val="en-GB"/>
        </w:rPr>
        <w:t xml:space="preserve">The process of statutory interpretation was described by Wallis JA in </w:t>
      </w:r>
      <w:r w:rsidR="0037425E" w:rsidRPr="00663EF8">
        <w:rPr>
          <w:rFonts w:ascii="Arial" w:hAnsi="Arial" w:cs="Arial"/>
          <w:bCs/>
          <w:i/>
          <w:lang w:val="en-GB"/>
        </w:rPr>
        <w:t>Natal Joint Municipal Pension Fund v Endumeni Municipality</w:t>
      </w:r>
      <w:r w:rsidR="0037425E" w:rsidRPr="00663EF8">
        <w:rPr>
          <w:rFonts w:ascii="Arial" w:hAnsi="Arial" w:cs="Arial"/>
          <w:bCs/>
          <w:lang w:val="en-GB"/>
        </w:rPr>
        <w:t>, 2012 (4) SA 593 (SCA) at</w:t>
      </w:r>
      <w:r w:rsidR="00A77ADC" w:rsidRPr="00663EF8">
        <w:rPr>
          <w:rFonts w:ascii="Arial" w:hAnsi="Arial" w:cs="Arial"/>
          <w:bCs/>
          <w:lang w:val="en-GB"/>
        </w:rPr>
        <w:t xml:space="preserve"> paragraph </w:t>
      </w:r>
      <w:r w:rsidR="006C238C" w:rsidRPr="00663EF8">
        <w:rPr>
          <w:rFonts w:ascii="Arial" w:hAnsi="Arial" w:cs="Arial"/>
          <w:bCs/>
          <w:lang w:val="en-GB"/>
        </w:rPr>
        <w:t>18 as follows:</w:t>
      </w:r>
    </w:p>
    <w:p w14:paraId="1B3C3546" w14:textId="77777777" w:rsidR="00971BB8" w:rsidRPr="00485925" w:rsidRDefault="00971BB8" w:rsidP="00971BB8">
      <w:pPr>
        <w:tabs>
          <w:tab w:val="left" w:pos="0"/>
          <w:tab w:val="left" w:pos="851"/>
          <w:tab w:val="left" w:pos="2835"/>
          <w:tab w:val="left" w:pos="3969"/>
          <w:tab w:val="right" w:pos="8222"/>
        </w:tabs>
        <w:spacing w:after="360"/>
        <w:ind w:left="851"/>
        <w:jc w:val="both"/>
        <w:rPr>
          <w:rFonts w:ascii="Arial" w:hAnsi="Arial" w:cs="Arial"/>
          <w:i/>
          <w:iCs/>
          <w:szCs w:val="24"/>
        </w:rPr>
      </w:pPr>
      <w:r w:rsidRPr="00485925">
        <w:rPr>
          <w:rFonts w:ascii="Arial" w:hAnsi="Arial" w:cs="Arial"/>
          <w:bCs/>
          <w:i/>
          <w:iCs/>
          <w:szCs w:val="24"/>
          <w:lang w:val="en-GB"/>
        </w:rPr>
        <w:t xml:space="preserve">"... </w:t>
      </w:r>
      <w:r w:rsidRPr="00485925">
        <w:rPr>
          <w:rFonts w:ascii="Arial" w:hAnsi="Arial" w:cs="Arial"/>
          <w:i/>
          <w:iCs/>
          <w:szCs w:val="24"/>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w:t>
      </w:r>
      <w:r w:rsidRPr="00485925">
        <w:rPr>
          <w:rFonts w:ascii="Arial" w:hAnsi="Arial" w:cs="Arial"/>
          <w:i/>
          <w:iCs/>
          <w:szCs w:val="24"/>
        </w:rPr>
        <w:lastRenderedPageBreak/>
        <w:t>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 read in context and having regard to the purpose of the provision and the background to the preparation and production of the document."</w:t>
      </w:r>
    </w:p>
    <w:p w14:paraId="49316C9B" w14:textId="018FA372" w:rsidR="004E6F24" w:rsidRDefault="00B01E08" w:rsidP="00485925">
      <w:pPr>
        <w:widowControl/>
        <w:numPr>
          <w:ilvl w:val="0"/>
          <w:numId w:val="4"/>
        </w:numPr>
        <w:tabs>
          <w:tab w:val="left" w:pos="851"/>
          <w:tab w:val="left" w:pos="1701"/>
          <w:tab w:val="left" w:pos="2835"/>
          <w:tab w:val="left" w:pos="3969"/>
          <w:tab w:val="right" w:pos="8222"/>
        </w:tabs>
        <w:autoSpaceDE/>
        <w:autoSpaceDN/>
        <w:adjustRightInd/>
        <w:spacing w:after="120" w:line="480" w:lineRule="auto"/>
        <w:jc w:val="both"/>
        <w:rPr>
          <w:rFonts w:ascii="Arial" w:hAnsi="Arial" w:cs="Arial"/>
          <w:lang w:val="en-GB"/>
        </w:rPr>
      </w:pPr>
      <w:r w:rsidRPr="00971BB8">
        <w:rPr>
          <w:rFonts w:ascii="Arial" w:hAnsi="Arial" w:cs="Arial"/>
          <w:lang w:val="en-GB"/>
        </w:rPr>
        <w:t xml:space="preserve">A default notice </w:t>
      </w:r>
      <w:r w:rsidR="00971BB8">
        <w:rPr>
          <w:rFonts w:ascii="Arial" w:hAnsi="Arial" w:cs="Arial"/>
          <w:lang w:val="en-GB"/>
        </w:rPr>
        <w:t xml:space="preserve">under </w:t>
      </w:r>
      <w:r w:rsidR="006365F0" w:rsidRPr="00971BB8">
        <w:rPr>
          <w:rFonts w:ascii="Arial" w:hAnsi="Arial" w:cs="Arial"/>
          <w:lang w:val="en-GB"/>
        </w:rPr>
        <w:t>s 129(1)(a) is required to noti</w:t>
      </w:r>
      <w:r w:rsidR="004F1A24">
        <w:rPr>
          <w:rFonts w:ascii="Arial" w:hAnsi="Arial" w:cs="Arial"/>
          <w:lang w:val="en-GB"/>
        </w:rPr>
        <w:t>fy</w:t>
      </w:r>
      <w:r w:rsidR="006365F0" w:rsidRPr="00971BB8">
        <w:rPr>
          <w:rFonts w:ascii="Arial" w:hAnsi="Arial" w:cs="Arial"/>
          <w:lang w:val="en-GB"/>
        </w:rPr>
        <w:t xml:space="preserve"> the consumer </w:t>
      </w:r>
      <w:r w:rsidR="004F1A24">
        <w:rPr>
          <w:rFonts w:ascii="Arial" w:hAnsi="Arial" w:cs="Arial"/>
          <w:lang w:val="en-GB"/>
        </w:rPr>
        <w:t xml:space="preserve">of his/her rights to </w:t>
      </w:r>
      <w:r w:rsidR="006365F0" w:rsidRPr="00971BB8">
        <w:rPr>
          <w:rFonts w:ascii="Arial" w:hAnsi="Arial" w:cs="Arial"/>
          <w:lang w:val="en-GB"/>
        </w:rPr>
        <w:t xml:space="preserve">refer the credit agreement to </w:t>
      </w:r>
      <w:r w:rsidR="003559D0" w:rsidRPr="00971BB8">
        <w:rPr>
          <w:rFonts w:ascii="Arial" w:hAnsi="Arial" w:cs="Arial"/>
          <w:lang w:val="en-GB"/>
        </w:rPr>
        <w:t>a debt counsellor, alternative</w:t>
      </w:r>
      <w:r w:rsidR="00C05BD7">
        <w:rPr>
          <w:rFonts w:ascii="Arial" w:hAnsi="Arial" w:cs="Arial"/>
          <w:lang w:val="en-GB"/>
        </w:rPr>
        <w:t>ly</w:t>
      </w:r>
      <w:r w:rsidR="003559D0" w:rsidRPr="00971BB8">
        <w:rPr>
          <w:rFonts w:ascii="Arial" w:hAnsi="Arial" w:cs="Arial"/>
          <w:lang w:val="en-GB"/>
        </w:rPr>
        <w:t xml:space="preserve"> </w:t>
      </w:r>
      <w:r w:rsidR="00D74A24" w:rsidRPr="00971BB8">
        <w:rPr>
          <w:rFonts w:ascii="Arial" w:hAnsi="Arial" w:cs="Arial"/>
          <w:lang w:val="en-GB"/>
        </w:rPr>
        <w:t xml:space="preserve"> </w:t>
      </w:r>
      <w:r w:rsidR="003559D0" w:rsidRPr="00971BB8">
        <w:rPr>
          <w:rFonts w:ascii="Arial" w:hAnsi="Arial" w:cs="Arial"/>
          <w:lang w:val="en-GB"/>
        </w:rPr>
        <w:t>dispute resolution agent, consumer court or ombud with jurisdiction</w:t>
      </w:r>
      <w:r w:rsidR="00C05BD7">
        <w:rPr>
          <w:rFonts w:ascii="Arial" w:hAnsi="Arial" w:cs="Arial"/>
          <w:lang w:val="en-GB"/>
        </w:rPr>
        <w:t xml:space="preserve">. The intention is to enable </w:t>
      </w:r>
      <w:r w:rsidR="003559D0" w:rsidRPr="00971BB8">
        <w:rPr>
          <w:rFonts w:ascii="Arial" w:hAnsi="Arial" w:cs="Arial"/>
          <w:lang w:val="en-GB"/>
        </w:rPr>
        <w:t xml:space="preserve">the parties </w:t>
      </w:r>
      <w:r w:rsidR="00643F73">
        <w:rPr>
          <w:rFonts w:ascii="Arial" w:hAnsi="Arial" w:cs="Arial"/>
          <w:lang w:val="en-GB"/>
        </w:rPr>
        <w:t xml:space="preserve">to </w:t>
      </w:r>
      <w:r w:rsidR="003559D0" w:rsidRPr="00971BB8">
        <w:rPr>
          <w:rFonts w:ascii="Arial" w:hAnsi="Arial" w:cs="Arial"/>
          <w:lang w:val="en-GB"/>
        </w:rPr>
        <w:t>resolve any dispute under the agreement or develop and agree on a plan to bring the payments under the agreement up to date.</w:t>
      </w:r>
    </w:p>
    <w:p w14:paraId="4295299D" w14:textId="77777777" w:rsidR="00971BB8" w:rsidRDefault="00971BB8" w:rsidP="00971BB8">
      <w:pPr>
        <w:pStyle w:val="ListParagraph"/>
        <w:rPr>
          <w:rFonts w:ascii="Arial" w:hAnsi="Arial" w:cs="Arial"/>
          <w:lang w:val="en-GB"/>
        </w:rPr>
      </w:pPr>
    </w:p>
    <w:p w14:paraId="22A9A60A" w14:textId="3FEA58B6" w:rsidR="00BD34BD" w:rsidRPr="00C05BD7" w:rsidRDefault="00BD34BD" w:rsidP="00C05BD7">
      <w:pPr>
        <w:widowControl/>
        <w:numPr>
          <w:ilvl w:val="0"/>
          <w:numId w:val="4"/>
        </w:numPr>
        <w:tabs>
          <w:tab w:val="left" w:pos="851"/>
          <w:tab w:val="left" w:pos="1701"/>
          <w:tab w:val="left" w:pos="2835"/>
          <w:tab w:val="left" w:pos="3969"/>
          <w:tab w:val="right" w:pos="8222"/>
        </w:tabs>
        <w:autoSpaceDE/>
        <w:autoSpaceDN/>
        <w:adjustRightInd/>
        <w:spacing w:after="120" w:line="480" w:lineRule="auto"/>
        <w:jc w:val="both"/>
        <w:rPr>
          <w:rFonts w:ascii="Arial" w:hAnsi="Arial" w:cs="Arial"/>
          <w:lang w:val="en-GB"/>
        </w:rPr>
      </w:pPr>
      <w:r w:rsidRPr="00C05BD7">
        <w:rPr>
          <w:rFonts w:ascii="Arial" w:hAnsi="Arial" w:cs="Arial"/>
          <w:lang w:val="en-GB"/>
        </w:rPr>
        <w:t xml:space="preserve">Failure to comply with the provisions of s 129(1)(a) does not render the proceedings void.  The position was succinctly described by the Constitutional Court in </w:t>
      </w:r>
      <w:r w:rsidRPr="00C05BD7">
        <w:rPr>
          <w:rFonts w:ascii="Arial" w:hAnsi="Arial" w:cs="Arial"/>
          <w:i/>
          <w:iCs/>
          <w:lang w:val="en-GB"/>
        </w:rPr>
        <w:t>Sebola and Another v Standard Bank of South Africa Ltd and Another</w:t>
      </w:r>
      <w:r w:rsidRPr="00C05BD7">
        <w:rPr>
          <w:rFonts w:ascii="Arial" w:hAnsi="Arial" w:cs="Arial"/>
          <w:lang w:val="en-GB"/>
        </w:rPr>
        <w:t xml:space="preserve"> 2012 (5) SA 142 CC at </w:t>
      </w:r>
      <w:r w:rsidR="000A41E4" w:rsidRPr="00C05BD7">
        <w:rPr>
          <w:rFonts w:ascii="Arial" w:hAnsi="Arial" w:cs="Arial"/>
          <w:lang w:val="en-GB"/>
        </w:rPr>
        <w:t>para [140] as follows</w:t>
      </w:r>
      <w:r w:rsidR="002C252A" w:rsidRPr="00C05BD7">
        <w:rPr>
          <w:rFonts w:ascii="Arial" w:hAnsi="Arial" w:cs="Arial"/>
          <w:lang w:val="en-GB"/>
        </w:rPr>
        <w:t>:</w:t>
      </w:r>
    </w:p>
    <w:p w14:paraId="383BC65B" w14:textId="4FFE3705" w:rsidR="002C252A" w:rsidRPr="002C252A" w:rsidRDefault="002C252A" w:rsidP="00901C68">
      <w:pPr>
        <w:widowControl/>
        <w:tabs>
          <w:tab w:val="left" w:pos="1701"/>
          <w:tab w:val="left" w:pos="2835"/>
          <w:tab w:val="left" w:pos="3969"/>
          <w:tab w:val="right" w:pos="8222"/>
        </w:tabs>
        <w:autoSpaceDE/>
        <w:autoSpaceDN/>
        <w:adjustRightInd/>
        <w:spacing w:after="240"/>
        <w:ind w:left="851"/>
        <w:jc w:val="both"/>
        <w:rPr>
          <w:rFonts w:ascii="Arial" w:hAnsi="Arial" w:cs="Arial"/>
          <w:i/>
          <w:iCs/>
          <w:lang w:val="en-GB"/>
        </w:rPr>
      </w:pPr>
      <w:r w:rsidRPr="002C252A">
        <w:rPr>
          <w:rFonts w:ascii="Arial" w:hAnsi="Arial" w:cs="Arial"/>
          <w:i/>
          <w:iCs/>
          <w:lang w:val="en-GB"/>
        </w:rPr>
        <w:t>"... section 130 makes it clear that where action is instituted without prior notice, the action is not void. ... Far from it. The proceedings have life, but a court “must” adjourn the matter, and make an appropriate order requiring the credit provider to complete specified steps before resuming the matter. The bar on proceedings is thus not absolute, but only dilatory. The absence of notice leads to a pause, not to nullity. ..."</w:t>
      </w:r>
    </w:p>
    <w:p w14:paraId="48D4327A" w14:textId="2B2E5211" w:rsidR="002C252A" w:rsidRDefault="009075E8"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t xml:space="preserve">The purpose of the NCA is to, </w:t>
      </w:r>
      <w:r w:rsidRPr="009075E8">
        <w:rPr>
          <w:rFonts w:ascii="Arial" w:hAnsi="Arial" w:cs="Arial"/>
          <w:i/>
          <w:iCs/>
          <w:lang w:val="en-GB"/>
        </w:rPr>
        <w:t>inter alia</w:t>
      </w:r>
      <w:r>
        <w:rPr>
          <w:rFonts w:ascii="Arial" w:hAnsi="Arial" w:cs="Arial"/>
          <w:lang w:val="en-GB"/>
        </w:rPr>
        <w:t>, protect consumers and to promote a fair and non-discriminatory marketplace for access to consumer credit.  (See preamble to the NCA).</w:t>
      </w:r>
    </w:p>
    <w:p w14:paraId="7BA73530" w14:textId="634B3D04" w:rsidR="009075E8" w:rsidRDefault="009075E8"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t xml:space="preserve">The applicant has brought this application </w:t>
      </w:r>
      <w:r w:rsidR="00746A5C" w:rsidRPr="00746A5C">
        <w:rPr>
          <w:rFonts w:ascii="Arial" w:hAnsi="Arial" w:cs="Arial"/>
          <w:i/>
          <w:iCs/>
          <w:lang w:val="en-GB"/>
        </w:rPr>
        <w:t>ex abundante cautela</w:t>
      </w:r>
      <w:r w:rsidR="00746A5C">
        <w:rPr>
          <w:rFonts w:ascii="Arial" w:hAnsi="Arial" w:cs="Arial"/>
          <w:lang w:val="en-GB"/>
        </w:rPr>
        <w:t xml:space="preserve"> and premised on the assumption that the requisite notice in terms of s 129(1) relied upon by </w:t>
      </w:r>
      <w:r w:rsidR="00746A5C">
        <w:rPr>
          <w:rFonts w:ascii="Arial" w:hAnsi="Arial" w:cs="Arial"/>
          <w:lang w:val="en-GB"/>
        </w:rPr>
        <w:lastRenderedPageBreak/>
        <w:t xml:space="preserve">the applicant was non-compliant </w:t>
      </w:r>
      <w:r w:rsidR="002661C6">
        <w:rPr>
          <w:rFonts w:ascii="Arial" w:hAnsi="Arial" w:cs="Arial"/>
          <w:lang w:val="en-GB"/>
        </w:rPr>
        <w:t xml:space="preserve">with the provisions of the NCA.   The Court can </w:t>
      </w:r>
      <w:r w:rsidR="00C05BD7">
        <w:rPr>
          <w:rFonts w:ascii="Arial" w:hAnsi="Arial" w:cs="Arial"/>
          <w:lang w:val="en-GB"/>
        </w:rPr>
        <w:t xml:space="preserve">thus </w:t>
      </w:r>
      <w:r w:rsidR="002661C6">
        <w:rPr>
          <w:rFonts w:ascii="Arial" w:hAnsi="Arial" w:cs="Arial"/>
          <w:lang w:val="en-GB"/>
        </w:rPr>
        <w:t xml:space="preserve">determine, for the purpose of this interlocutory application, </w:t>
      </w:r>
      <w:r w:rsidR="00C05BD7">
        <w:rPr>
          <w:rFonts w:ascii="Arial" w:hAnsi="Arial" w:cs="Arial"/>
          <w:lang w:val="en-GB"/>
        </w:rPr>
        <w:t xml:space="preserve">that </w:t>
      </w:r>
      <w:r w:rsidR="002661C6">
        <w:rPr>
          <w:rFonts w:ascii="Arial" w:hAnsi="Arial" w:cs="Arial"/>
          <w:lang w:val="en-GB"/>
        </w:rPr>
        <w:t>Investec ha</w:t>
      </w:r>
      <w:r w:rsidR="00A25958">
        <w:rPr>
          <w:rFonts w:ascii="Arial" w:hAnsi="Arial" w:cs="Arial"/>
          <w:lang w:val="en-GB"/>
        </w:rPr>
        <w:t>s</w:t>
      </w:r>
      <w:r w:rsidR="002661C6">
        <w:rPr>
          <w:rFonts w:ascii="Arial" w:hAnsi="Arial" w:cs="Arial"/>
          <w:lang w:val="en-GB"/>
        </w:rPr>
        <w:t xml:space="preserve"> not complied with the provisions of s 129(1) of the Act and </w:t>
      </w:r>
      <w:r w:rsidR="009D629B">
        <w:rPr>
          <w:rFonts w:ascii="Arial" w:hAnsi="Arial" w:cs="Arial"/>
          <w:lang w:val="en-GB"/>
        </w:rPr>
        <w:t xml:space="preserve">that it </w:t>
      </w:r>
      <w:r w:rsidR="002661C6">
        <w:rPr>
          <w:rFonts w:ascii="Arial" w:hAnsi="Arial" w:cs="Arial"/>
          <w:lang w:val="en-GB"/>
        </w:rPr>
        <w:t>commenced legal proceedings to enforce the agreement prior to providing a notice to Zouzoua as contemplated in s 129(1)(a)</w:t>
      </w:r>
      <w:r w:rsidR="00E3207D">
        <w:rPr>
          <w:rFonts w:ascii="Arial" w:hAnsi="Arial" w:cs="Arial"/>
          <w:lang w:val="en-GB"/>
        </w:rPr>
        <w:t xml:space="preserve"> of the NCA.</w:t>
      </w:r>
      <w:r w:rsidR="00A25958">
        <w:rPr>
          <w:rFonts w:ascii="Arial" w:hAnsi="Arial" w:cs="Arial"/>
          <w:lang w:val="en-GB"/>
        </w:rPr>
        <w:t xml:space="preserve">  There is accordingly nothing precluding this court from making an order in terms of s 130(4) of the NCA</w:t>
      </w:r>
      <w:r w:rsidR="00800FDB">
        <w:rPr>
          <w:rFonts w:ascii="Arial" w:hAnsi="Arial" w:cs="Arial"/>
          <w:lang w:val="en-GB"/>
        </w:rPr>
        <w:t>.</w:t>
      </w:r>
    </w:p>
    <w:p w14:paraId="4DDA6EF1" w14:textId="15985E83" w:rsidR="004F6F1B" w:rsidRDefault="00800FDB"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t>In terms of s 130(4) of the NCA, upon a finding of non-compliance with s</w:t>
      </w:r>
      <w:r w:rsidR="00BF45C5">
        <w:rPr>
          <w:rFonts w:ascii="Arial" w:hAnsi="Arial" w:cs="Arial"/>
          <w:lang w:val="en-GB"/>
        </w:rPr>
        <w:t> </w:t>
      </w:r>
      <w:r>
        <w:rPr>
          <w:rFonts w:ascii="Arial" w:hAnsi="Arial" w:cs="Arial"/>
          <w:lang w:val="en-GB"/>
        </w:rPr>
        <w:t>129(1)(a)</w:t>
      </w:r>
      <w:r w:rsidR="00081E03">
        <w:rPr>
          <w:rFonts w:ascii="Arial" w:hAnsi="Arial" w:cs="Arial"/>
          <w:lang w:val="en-GB"/>
        </w:rPr>
        <w:t>,</w:t>
      </w:r>
      <w:r w:rsidR="004C2003">
        <w:rPr>
          <w:rFonts w:ascii="Arial" w:hAnsi="Arial" w:cs="Arial"/>
          <w:lang w:val="en-GB"/>
        </w:rPr>
        <w:t xml:space="preserve"> </w:t>
      </w:r>
      <w:r w:rsidR="00B57CBB">
        <w:rPr>
          <w:rFonts w:ascii="Arial" w:hAnsi="Arial" w:cs="Arial"/>
          <w:lang w:val="en-GB"/>
        </w:rPr>
        <w:t xml:space="preserve">the Court must </w:t>
      </w:r>
      <w:r w:rsidR="004F6F1B">
        <w:rPr>
          <w:rFonts w:ascii="Arial" w:hAnsi="Arial" w:cs="Arial"/>
          <w:lang w:val="en-GB"/>
        </w:rPr>
        <w:t>adjourn the matter before it and make an appropriate Order setting out the steps the credit provider must complete before the matter may be resumed.</w:t>
      </w:r>
    </w:p>
    <w:p w14:paraId="1A19D9B8" w14:textId="25D712B7" w:rsidR="0005311F" w:rsidRDefault="004F6F1B"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t xml:space="preserve">The purpose of the section is to ensure that </w:t>
      </w:r>
      <w:r w:rsidR="004F3F79">
        <w:rPr>
          <w:rFonts w:ascii="Arial" w:hAnsi="Arial" w:cs="Arial"/>
          <w:lang w:val="en-GB"/>
        </w:rPr>
        <w:t xml:space="preserve">the consumer is given adequate notice </w:t>
      </w:r>
      <w:r w:rsidR="00E05D72">
        <w:rPr>
          <w:rFonts w:ascii="Arial" w:hAnsi="Arial" w:cs="Arial"/>
          <w:lang w:val="en-GB"/>
        </w:rPr>
        <w:t xml:space="preserve">to enable it to exercise the rights </w:t>
      </w:r>
      <w:r w:rsidR="004E2717">
        <w:rPr>
          <w:rFonts w:ascii="Arial" w:hAnsi="Arial" w:cs="Arial"/>
          <w:lang w:val="en-GB"/>
        </w:rPr>
        <w:t>afforded to it under the NCA.</w:t>
      </w:r>
    </w:p>
    <w:p w14:paraId="5D37A320" w14:textId="07212270" w:rsidR="004E2717" w:rsidRDefault="004E2717"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t xml:space="preserve">There is nothing in the NCA which precludes a Court from granting an order in terms of s 130(4)(b) </w:t>
      </w:r>
      <w:r w:rsidR="009D629B">
        <w:rPr>
          <w:rFonts w:ascii="Arial" w:hAnsi="Arial" w:cs="Arial"/>
          <w:lang w:val="en-GB"/>
        </w:rPr>
        <w:t>at</w:t>
      </w:r>
      <w:r>
        <w:rPr>
          <w:rFonts w:ascii="Arial" w:hAnsi="Arial" w:cs="Arial"/>
          <w:lang w:val="en-GB"/>
        </w:rPr>
        <w:t xml:space="preserve"> an interlocutory </w:t>
      </w:r>
      <w:r w:rsidR="009D629B">
        <w:rPr>
          <w:rFonts w:ascii="Arial" w:hAnsi="Arial" w:cs="Arial"/>
          <w:lang w:val="en-GB"/>
        </w:rPr>
        <w:t>stage</w:t>
      </w:r>
      <w:r w:rsidR="00D01135">
        <w:rPr>
          <w:rFonts w:ascii="Arial" w:hAnsi="Arial" w:cs="Arial"/>
          <w:lang w:val="en-GB"/>
        </w:rPr>
        <w:t xml:space="preserve">.  Such order can be </w:t>
      </w:r>
      <w:r w:rsidR="00901C68">
        <w:rPr>
          <w:rFonts w:ascii="Arial" w:hAnsi="Arial" w:cs="Arial"/>
          <w:lang w:val="en-GB"/>
        </w:rPr>
        <w:t xml:space="preserve">made by the Court hearing </w:t>
      </w:r>
      <w:r w:rsidR="00BF45C5">
        <w:rPr>
          <w:rFonts w:ascii="Arial" w:hAnsi="Arial" w:cs="Arial"/>
          <w:lang w:val="en-GB"/>
        </w:rPr>
        <w:t xml:space="preserve">a </w:t>
      </w:r>
      <w:r w:rsidR="00901C68">
        <w:rPr>
          <w:rFonts w:ascii="Arial" w:hAnsi="Arial" w:cs="Arial"/>
          <w:lang w:val="en-GB"/>
        </w:rPr>
        <w:t>default judgment, summary judgment, an opposed application</w:t>
      </w:r>
      <w:r w:rsidR="007B2ADC">
        <w:rPr>
          <w:rFonts w:ascii="Arial" w:hAnsi="Arial" w:cs="Arial"/>
          <w:lang w:val="en-GB"/>
        </w:rPr>
        <w:t xml:space="preserve">, the trial or in any other proceedings. (See </w:t>
      </w:r>
      <w:r w:rsidR="007B2ADC" w:rsidRPr="007746AD">
        <w:rPr>
          <w:rFonts w:ascii="Arial" w:hAnsi="Arial" w:cs="Arial"/>
          <w:i/>
          <w:iCs/>
          <w:lang w:val="en-GB"/>
        </w:rPr>
        <w:t>FirstRand Bank Ltd of South Africa v Phiri and Others</w:t>
      </w:r>
      <w:r w:rsidR="003544AB">
        <w:rPr>
          <w:rFonts w:ascii="Arial" w:hAnsi="Arial" w:cs="Arial"/>
          <w:lang w:val="en-GB"/>
        </w:rPr>
        <w:t xml:space="preserve"> [2013] ZAGPHC 90 (4 April 2013)</w:t>
      </w:r>
      <w:r w:rsidR="001875DF">
        <w:rPr>
          <w:rFonts w:ascii="Arial" w:hAnsi="Arial" w:cs="Arial"/>
          <w:lang w:val="en-GB"/>
        </w:rPr>
        <w:t xml:space="preserve"> at para 18 and </w:t>
      </w:r>
      <w:r w:rsidR="001875DF" w:rsidRPr="007746AD">
        <w:rPr>
          <w:rFonts w:ascii="Arial" w:hAnsi="Arial" w:cs="Arial"/>
          <w:i/>
          <w:iCs/>
          <w:lang w:val="en-GB"/>
        </w:rPr>
        <w:t xml:space="preserve">Standard Bank of SA v Bekker and Four Similar cases </w:t>
      </w:r>
      <w:r w:rsidR="001875DF">
        <w:rPr>
          <w:rFonts w:ascii="Arial" w:hAnsi="Arial" w:cs="Arial"/>
          <w:lang w:val="en-GB"/>
        </w:rPr>
        <w:t>2011 (6) SA 111 (WCC) at para 35-3</w:t>
      </w:r>
      <w:r w:rsidR="007746AD">
        <w:rPr>
          <w:rFonts w:ascii="Arial" w:hAnsi="Arial" w:cs="Arial"/>
          <w:lang w:val="en-GB"/>
        </w:rPr>
        <w:t xml:space="preserve"> 0?qw).</w:t>
      </w:r>
    </w:p>
    <w:p w14:paraId="678CB45B" w14:textId="2A1E620F" w:rsidR="007746AD" w:rsidRDefault="007746AD"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t xml:space="preserve">An interlocutory application was described in </w:t>
      </w:r>
      <w:r w:rsidRPr="00594FB8">
        <w:rPr>
          <w:rFonts w:ascii="Arial" w:hAnsi="Arial" w:cs="Arial"/>
          <w:i/>
          <w:iCs/>
          <w:lang w:val="en-GB"/>
        </w:rPr>
        <w:t>Graham v Law Soc</w:t>
      </w:r>
      <w:r w:rsidR="00074739" w:rsidRPr="00594FB8">
        <w:rPr>
          <w:rFonts w:ascii="Arial" w:hAnsi="Arial" w:cs="Arial"/>
          <w:i/>
          <w:iCs/>
          <w:lang w:val="en-GB"/>
        </w:rPr>
        <w:t>iety, Northern Provinces</w:t>
      </w:r>
      <w:r w:rsidR="00074739">
        <w:rPr>
          <w:rFonts w:ascii="Arial" w:hAnsi="Arial" w:cs="Arial"/>
          <w:lang w:val="en-GB"/>
        </w:rPr>
        <w:t xml:space="preserve"> 2016 (1) SA 279 (GP) at 289E-F</w:t>
      </w:r>
      <w:r w:rsidR="00594FB8">
        <w:rPr>
          <w:rFonts w:ascii="Arial" w:hAnsi="Arial" w:cs="Arial"/>
          <w:lang w:val="en-GB"/>
        </w:rPr>
        <w:t xml:space="preserve"> to be – </w:t>
      </w:r>
    </w:p>
    <w:p w14:paraId="66416197" w14:textId="7FB331BC" w:rsidR="00594FB8" w:rsidRPr="00594FB8" w:rsidRDefault="00594FB8" w:rsidP="00594FB8">
      <w:pPr>
        <w:widowControl/>
        <w:tabs>
          <w:tab w:val="left" w:pos="1701"/>
          <w:tab w:val="left" w:pos="2835"/>
          <w:tab w:val="left" w:pos="3969"/>
          <w:tab w:val="right" w:pos="8222"/>
        </w:tabs>
        <w:autoSpaceDE/>
        <w:autoSpaceDN/>
        <w:adjustRightInd/>
        <w:spacing w:after="240"/>
        <w:ind w:left="851"/>
        <w:jc w:val="both"/>
        <w:rPr>
          <w:rFonts w:ascii="Arial" w:hAnsi="Arial" w:cs="Arial"/>
          <w:i/>
          <w:iCs/>
          <w:lang w:val="en-GB"/>
        </w:rPr>
      </w:pPr>
      <w:r w:rsidRPr="00594FB8">
        <w:rPr>
          <w:rFonts w:ascii="Arial" w:hAnsi="Arial" w:cs="Arial"/>
          <w:i/>
          <w:iCs/>
          <w:lang w:val="en-GB"/>
        </w:rPr>
        <w:t>"... an incidental application for an order at an intermediate stage in the course of litigation, aimed at settling or giving directions with regard to some preliminary or procedural question that has arisen in the dispute between the parties."</w:t>
      </w:r>
    </w:p>
    <w:p w14:paraId="34D39BCE" w14:textId="051EB3DF" w:rsidR="00BA5DFD" w:rsidRDefault="00594FB8"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lastRenderedPageBreak/>
        <w:t>In the instant matter, the failure to comply with s 129</w:t>
      </w:r>
      <w:r w:rsidR="000D67F6">
        <w:rPr>
          <w:rFonts w:ascii="Arial" w:hAnsi="Arial" w:cs="Arial"/>
          <w:lang w:val="en-GB"/>
        </w:rPr>
        <w:t xml:space="preserve">(1) of the NCA is manifestly a procedural step which can and should be remedied at the earliest opportunity.  It would be nonsensical for the parties to be required </w:t>
      </w:r>
      <w:r w:rsidR="00B23C44">
        <w:rPr>
          <w:rFonts w:ascii="Arial" w:hAnsi="Arial" w:cs="Arial"/>
          <w:lang w:val="en-GB"/>
        </w:rPr>
        <w:t xml:space="preserve">to set the main application down </w:t>
      </w:r>
      <w:r w:rsidR="00052D97">
        <w:rPr>
          <w:rFonts w:ascii="Arial" w:hAnsi="Arial" w:cs="Arial"/>
          <w:lang w:val="en-GB"/>
        </w:rPr>
        <w:t xml:space="preserve">for hearing </w:t>
      </w:r>
      <w:r w:rsidR="00B23C44">
        <w:rPr>
          <w:rFonts w:ascii="Arial" w:hAnsi="Arial" w:cs="Arial"/>
          <w:lang w:val="en-GB"/>
        </w:rPr>
        <w:t xml:space="preserve">on the opposed roll in circumstances where an order in terms of s 130(4), including the postponement of the matter, would be the inevitable consequence.  It would be both convenient and practicable for this aspect to be addressed at an </w:t>
      </w:r>
      <w:r w:rsidR="002234F2">
        <w:rPr>
          <w:rFonts w:ascii="Arial" w:hAnsi="Arial" w:cs="Arial"/>
          <w:lang w:val="en-GB"/>
        </w:rPr>
        <w:t>interlocutory stage.  S 130(4)(b) vests the Court with a discretion to address the credit provider's failure to comply with the NCA.</w:t>
      </w:r>
    </w:p>
    <w:p w14:paraId="3315643F" w14:textId="5AAD68C7" w:rsidR="002234F2" w:rsidRDefault="002234F2"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t xml:space="preserve">The respondent's opposition to the application was without merit.  </w:t>
      </w:r>
      <w:r w:rsidR="00A543EB">
        <w:rPr>
          <w:rFonts w:ascii="Arial" w:hAnsi="Arial" w:cs="Arial"/>
          <w:lang w:val="en-GB"/>
        </w:rPr>
        <w:t>Th</w:t>
      </w:r>
      <w:r>
        <w:rPr>
          <w:rFonts w:ascii="Arial" w:hAnsi="Arial" w:cs="Arial"/>
          <w:lang w:val="en-GB"/>
        </w:rPr>
        <w:t>e purpose of the relief sought by the applicant was to give effect to the provisions of the Act</w:t>
      </w:r>
      <w:r w:rsidR="00052D97">
        <w:rPr>
          <w:rFonts w:ascii="Arial" w:hAnsi="Arial" w:cs="Arial"/>
          <w:lang w:val="en-GB"/>
        </w:rPr>
        <w:t xml:space="preserve"> and to </w:t>
      </w:r>
      <w:r w:rsidR="00512460">
        <w:rPr>
          <w:rFonts w:ascii="Arial" w:hAnsi="Arial" w:cs="Arial"/>
          <w:lang w:val="en-GB"/>
        </w:rPr>
        <w:t xml:space="preserve">notify the consumer of his rights thereunder.  It is thus surprising that the respondent elected to oppose the relief </w:t>
      </w:r>
      <w:r w:rsidR="00A543EB">
        <w:rPr>
          <w:rFonts w:ascii="Arial" w:hAnsi="Arial" w:cs="Arial"/>
          <w:lang w:val="en-GB"/>
        </w:rPr>
        <w:t>at all</w:t>
      </w:r>
      <w:r w:rsidR="00512460">
        <w:rPr>
          <w:rFonts w:ascii="Arial" w:hAnsi="Arial" w:cs="Arial"/>
          <w:lang w:val="en-GB"/>
        </w:rPr>
        <w:t>.</w:t>
      </w:r>
    </w:p>
    <w:p w14:paraId="1729B702" w14:textId="0E214F2C" w:rsidR="00616CFD" w:rsidRDefault="00616CFD"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t xml:space="preserve">In argument, the respondent proposed that service of the notice should be </w:t>
      </w:r>
      <w:r w:rsidR="00CD2BA9">
        <w:rPr>
          <w:rFonts w:ascii="Arial" w:hAnsi="Arial" w:cs="Arial"/>
          <w:lang w:val="en-GB"/>
        </w:rPr>
        <w:t>affected</w:t>
      </w:r>
      <w:r>
        <w:rPr>
          <w:rFonts w:ascii="Arial" w:hAnsi="Arial" w:cs="Arial"/>
          <w:lang w:val="en-GB"/>
        </w:rPr>
        <w:t xml:space="preserve"> on the respondent himself, rather than on his attorney of record.  The respondent further contended that an order granted in terms of s 130(4)(b) would affect his rights under the NCA.  I do not agree.  The primary objective of an Order under section 130(4)(b) is to provide the consumer with the same protection as that which he would have been afforded had the credit provider complied with the Act.  An Order under s 130(4)(b) would not deprive the consumer of any </w:t>
      </w:r>
      <w:r w:rsidR="00D175B9">
        <w:rPr>
          <w:rFonts w:ascii="Arial" w:hAnsi="Arial" w:cs="Arial"/>
          <w:lang w:val="en-GB"/>
        </w:rPr>
        <w:t xml:space="preserve">rights, or defences, provided to him under the NCA.  (See </w:t>
      </w:r>
      <w:r w:rsidR="00D175B9" w:rsidRPr="007746AD">
        <w:rPr>
          <w:rFonts w:ascii="Arial" w:hAnsi="Arial" w:cs="Arial"/>
          <w:i/>
          <w:iCs/>
          <w:lang w:val="en-GB"/>
        </w:rPr>
        <w:t>FirstRand Bank v Phiri</w:t>
      </w:r>
      <w:r w:rsidR="00D175B9">
        <w:rPr>
          <w:rFonts w:ascii="Arial" w:hAnsi="Arial" w:cs="Arial"/>
          <w:i/>
          <w:iCs/>
          <w:lang w:val="en-GB"/>
        </w:rPr>
        <w:t xml:space="preserve"> supra, paras 27-28</w:t>
      </w:r>
      <w:r w:rsidR="00E5223D">
        <w:rPr>
          <w:rFonts w:ascii="Arial" w:hAnsi="Arial" w:cs="Arial"/>
          <w:lang w:val="en-GB"/>
        </w:rPr>
        <w:t>).</w:t>
      </w:r>
    </w:p>
    <w:p w14:paraId="69521768" w14:textId="02B3935C" w:rsidR="00E5223D" w:rsidRPr="00052D97" w:rsidRDefault="00E5223D" w:rsidP="00901C68">
      <w:pPr>
        <w:widowControl/>
        <w:numPr>
          <w:ilvl w:val="0"/>
          <w:numId w:val="4"/>
        </w:numPr>
        <w:tabs>
          <w:tab w:val="left" w:pos="851"/>
          <w:tab w:val="left" w:pos="1701"/>
          <w:tab w:val="left" w:pos="2835"/>
          <w:tab w:val="left" w:pos="3969"/>
          <w:tab w:val="right" w:pos="8222"/>
        </w:tabs>
        <w:autoSpaceDE/>
        <w:autoSpaceDN/>
        <w:adjustRightInd/>
        <w:spacing w:line="480" w:lineRule="auto"/>
        <w:contextualSpacing/>
        <w:jc w:val="both"/>
        <w:rPr>
          <w:rFonts w:ascii="Arial" w:hAnsi="Arial" w:cs="Arial"/>
          <w:lang w:val="en-GB"/>
        </w:rPr>
      </w:pPr>
      <w:r>
        <w:rPr>
          <w:rFonts w:ascii="Arial" w:hAnsi="Arial" w:cs="Arial"/>
          <w:lang w:val="en-GB"/>
        </w:rPr>
        <w:t>In the circumstances I make an Order in the following terms:</w:t>
      </w:r>
    </w:p>
    <w:p w14:paraId="3F68BB00" w14:textId="3C451E0B" w:rsidR="00E5223D" w:rsidRPr="00052D97" w:rsidRDefault="00E5223D" w:rsidP="00E5223D">
      <w:pPr>
        <w:widowControl/>
        <w:numPr>
          <w:ilvl w:val="0"/>
          <w:numId w:val="12"/>
        </w:numPr>
        <w:tabs>
          <w:tab w:val="left" w:pos="851"/>
          <w:tab w:val="left" w:pos="1701"/>
          <w:tab w:val="left" w:pos="2835"/>
          <w:tab w:val="left" w:pos="3969"/>
          <w:tab w:val="right" w:pos="8222"/>
        </w:tabs>
        <w:autoSpaceDE/>
        <w:autoSpaceDN/>
        <w:adjustRightInd/>
        <w:spacing w:line="480" w:lineRule="auto"/>
        <w:ind w:left="1701" w:hanging="850"/>
        <w:contextualSpacing/>
        <w:jc w:val="both"/>
        <w:rPr>
          <w:rFonts w:ascii="Arial" w:hAnsi="Arial" w:cs="Arial"/>
          <w:lang w:val="en-GB"/>
        </w:rPr>
      </w:pPr>
      <w:r w:rsidRPr="00052D97">
        <w:rPr>
          <w:rFonts w:ascii="Arial" w:hAnsi="Arial" w:cs="Arial"/>
          <w:lang w:val="en-GB"/>
        </w:rPr>
        <w:t xml:space="preserve">The main application is adjourned in terms of section 130(4)(b)(i) of the NCA; </w:t>
      </w:r>
    </w:p>
    <w:p w14:paraId="03B05C27" w14:textId="2CEFC1A2" w:rsidR="00C40FFC" w:rsidRPr="00052D97" w:rsidRDefault="00E5223D" w:rsidP="00C40FFC">
      <w:pPr>
        <w:widowControl/>
        <w:numPr>
          <w:ilvl w:val="0"/>
          <w:numId w:val="12"/>
        </w:numPr>
        <w:tabs>
          <w:tab w:val="left" w:pos="851"/>
          <w:tab w:val="left" w:pos="1701"/>
          <w:tab w:val="left" w:pos="2835"/>
          <w:tab w:val="left" w:pos="3969"/>
          <w:tab w:val="right" w:pos="8222"/>
        </w:tabs>
        <w:autoSpaceDE/>
        <w:autoSpaceDN/>
        <w:adjustRightInd/>
        <w:spacing w:line="480" w:lineRule="auto"/>
        <w:ind w:left="1701" w:hanging="850"/>
        <w:contextualSpacing/>
        <w:jc w:val="both"/>
        <w:rPr>
          <w:rFonts w:ascii="Arial" w:hAnsi="Arial" w:cs="Arial"/>
          <w:lang w:val="en-GB"/>
        </w:rPr>
      </w:pPr>
      <w:r w:rsidRPr="00052D97">
        <w:rPr>
          <w:rFonts w:ascii="Arial" w:hAnsi="Arial" w:cs="Arial"/>
          <w:lang w:val="en-GB"/>
        </w:rPr>
        <w:lastRenderedPageBreak/>
        <w:t>The applicant shall deliver a notice in terms of s 129(1)</w:t>
      </w:r>
      <w:r w:rsidR="00C40FFC" w:rsidRPr="00052D97">
        <w:rPr>
          <w:rFonts w:ascii="Arial" w:hAnsi="Arial" w:cs="Arial"/>
          <w:lang w:val="en-GB"/>
        </w:rPr>
        <w:t xml:space="preserve"> of the National Credit Act, 34 of 2005 </w:t>
      </w:r>
      <w:r w:rsidR="004D59C8" w:rsidRPr="00052D97">
        <w:rPr>
          <w:rFonts w:ascii="Arial" w:hAnsi="Arial" w:cs="Arial"/>
          <w:lang w:val="en-GB"/>
        </w:rPr>
        <w:t xml:space="preserve">- </w:t>
      </w:r>
    </w:p>
    <w:p w14:paraId="527BEB7D" w14:textId="404841B1" w:rsidR="00E5223D" w:rsidRPr="00052D97" w:rsidRDefault="00C40FFC" w:rsidP="00C40FFC">
      <w:pPr>
        <w:widowControl/>
        <w:tabs>
          <w:tab w:val="left" w:pos="851"/>
          <w:tab w:val="left" w:pos="2268"/>
          <w:tab w:val="left" w:pos="2835"/>
          <w:tab w:val="left" w:pos="3969"/>
          <w:tab w:val="right" w:pos="8222"/>
        </w:tabs>
        <w:autoSpaceDE/>
        <w:autoSpaceDN/>
        <w:adjustRightInd/>
        <w:spacing w:line="480" w:lineRule="auto"/>
        <w:ind w:left="2268" w:hanging="567"/>
        <w:contextualSpacing/>
        <w:jc w:val="both"/>
        <w:rPr>
          <w:rFonts w:ascii="Arial" w:hAnsi="Arial" w:cs="Arial"/>
          <w:lang w:val="en-GB"/>
        </w:rPr>
      </w:pPr>
      <w:r w:rsidRPr="00052D97">
        <w:rPr>
          <w:rFonts w:ascii="Arial" w:hAnsi="Arial" w:cs="Arial"/>
          <w:lang w:val="en-GB"/>
        </w:rPr>
        <w:t>2.1.</w:t>
      </w:r>
      <w:r w:rsidRPr="00052D97">
        <w:rPr>
          <w:rFonts w:ascii="Arial" w:hAnsi="Arial" w:cs="Arial"/>
          <w:lang w:val="en-GB"/>
        </w:rPr>
        <w:tab/>
      </w:r>
      <w:r w:rsidR="004D59C8" w:rsidRPr="00052D97">
        <w:rPr>
          <w:rFonts w:ascii="Arial" w:hAnsi="Arial" w:cs="Arial"/>
          <w:lang w:val="en-GB"/>
        </w:rPr>
        <w:t>b</w:t>
      </w:r>
      <w:r w:rsidRPr="00052D97">
        <w:rPr>
          <w:rFonts w:ascii="Arial" w:hAnsi="Arial" w:cs="Arial"/>
          <w:lang w:val="en-GB"/>
        </w:rPr>
        <w:t xml:space="preserve">y e-mailing a copy thereof to the respondent's attorney of record, Mr Mahango of Bazuka Attorneys at </w:t>
      </w:r>
      <w:hyperlink r:id="rId9" w:history="1">
        <w:r w:rsidR="004D59C8" w:rsidRPr="00052D97">
          <w:rPr>
            <w:rStyle w:val="Hyperlink"/>
            <w:rFonts w:ascii="Arial" w:hAnsi="Arial" w:cs="Arial"/>
            <w:lang w:val="en-GB"/>
          </w:rPr>
          <w:t>bazukam@bazukalaw.co.za</w:t>
        </w:r>
      </w:hyperlink>
      <w:r w:rsidR="004D59C8" w:rsidRPr="00052D97">
        <w:rPr>
          <w:rFonts w:ascii="Arial" w:hAnsi="Arial" w:cs="Arial"/>
          <w:lang w:val="en-GB"/>
        </w:rPr>
        <w:t>; and</w:t>
      </w:r>
    </w:p>
    <w:p w14:paraId="0064CB84" w14:textId="4DC5A7C3" w:rsidR="004D59C8" w:rsidRPr="00052D97" w:rsidRDefault="004D59C8" w:rsidP="00C40FFC">
      <w:pPr>
        <w:widowControl/>
        <w:tabs>
          <w:tab w:val="left" w:pos="851"/>
          <w:tab w:val="left" w:pos="2268"/>
          <w:tab w:val="left" w:pos="2835"/>
          <w:tab w:val="left" w:pos="3969"/>
          <w:tab w:val="right" w:pos="8222"/>
        </w:tabs>
        <w:autoSpaceDE/>
        <w:autoSpaceDN/>
        <w:adjustRightInd/>
        <w:spacing w:line="480" w:lineRule="auto"/>
        <w:ind w:left="2268" w:hanging="567"/>
        <w:contextualSpacing/>
        <w:jc w:val="both"/>
        <w:rPr>
          <w:rFonts w:ascii="Arial" w:hAnsi="Arial" w:cs="Arial"/>
          <w:lang w:val="en-GB"/>
        </w:rPr>
      </w:pPr>
      <w:r w:rsidRPr="00052D97">
        <w:rPr>
          <w:rFonts w:ascii="Arial" w:hAnsi="Arial" w:cs="Arial"/>
          <w:lang w:val="en-GB"/>
        </w:rPr>
        <w:t>2.2.</w:t>
      </w:r>
      <w:r w:rsidRPr="00052D97">
        <w:rPr>
          <w:rFonts w:ascii="Arial" w:hAnsi="Arial" w:cs="Arial"/>
          <w:lang w:val="en-GB"/>
        </w:rPr>
        <w:tab/>
        <w:t xml:space="preserve">by pre-paid registered post to </w:t>
      </w:r>
      <w:r w:rsidR="00DA21C8" w:rsidRPr="00052D97">
        <w:rPr>
          <w:rFonts w:ascii="Arial" w:hAnsi="Arial" w:cs="Arial"/>
          <w:lang w:val="en-GB"/>
        </w:rPr>
        <w:t>74 Carlswald Avenue, 140 Walton Road, Midrand and/or per Sheriff at 74 Carlswald Estate</w:t>
      </w:r>
      <w:r w:rsidR="00E57007" w:rsidRPr="00052D97">
        <w:rPr>
          <w:rFonts w:ascii="Arial" w:hAnsi="Arial" w:cs="Arial"/>
          <w:lang w:val="en-GB"/>
        </w:rPr>
        <w:t>, 140 Walton Road, Midrand in terms of Rule 4 of the Uniform Rules of Court.</w:t>
      </w:r>
    </w:p>
    <w:p w14:paraId="4E824347" w14:textId="3F68F572" w:rsidR="00E57007" w:rsidRPr="00052D97" w:rsidRDefault="00E57007" w:rsidP="00E57007">
      <w:pPr>
        <w:widowControl/>
        <w:tabs>
          <w:tab w:val="left" w:pos="851"/>
          <w:tab w:val="left" w:pos="1701"/>
          <w:tab w:val="left" w:pos="2268"/>
          <w:tab w:val="left" w:pos="2835"/>
          <w:tab w:val="left" w:pos="3969"/>
          <w:tab w:val="right" w:pos="8222"/>
        </w:tabs>
        <w:autoSpaceDE/>
        <w:autoSpaceDN/>
        <w:adjustRightInd/>
        <w:spacing w:line="480" w:lineRule="auto"/>
        <w:ind w:left="851" w:hanging="851"/>
        <w:contextualSpacing/>
        <w:jc w:val="both"/>
        <w:rPr>
          <w:rFonts w:ascii="Arial" w:hAnsi="Arial" w:cs="Arial"/>
          <w:lang w:val="en-GB"/>
        </w:rPr>
      </w:pPr>
      <w:r w:rsidRPr="00052D97">
        <w:rPr>
          <w:rFonts w:ascii="Arial" w:hAnsi="Arial" w:cs="Arial"/>
          <w:lang w:val="en-GB"/>
        </w:rPr>
        <w:tab/>
        <w:t>3.</w:t>
      </w:r>
      <w:r w:rsidRPr="00052D97">
        <w:rPr>
          <w:rFonts w:ascii="Arial" w:hAnsi="Arial" w:cs="Arial"/>
          <w:lang w:val="en-GB"/>
        </w:rPr>
        <w:tab/>
        <w:t xml:space="preserve">The main application will resume </w:t>
      </w:r>
      <w:r w:rsidR="007F3569" w:rsidRPr="00052D97">
        <w:rPr>
          <w:rFonts w:ascii="Arial" w:hAnsi="Arial" w:cs="Arial"/>
          <w:lang w:val="en-GB"/>
        </w:rPr>
        <w:t xml:space="preserve">ten days after – </w:t>
      </w:r>
    </w:p>
    <w:p w14:paraId="1F5F5316" w14:textId="6BAEC432" w:rsidR="007F3569" w:rsidRPr="00052D97" w:rsidRDefault="007F3569" w:rsidP="007F3569">
      <w:pPr>
        <w:widowControl/>
        <w:tabs>
          <w:tab w:val="left" w:pos="1701"/>
          <w:tab w:val="left" w:pos="2268"/>
          <w:tab w:val="left" w:pos="2835"/>
          <w:tab w:val="left" w:pos="3969"/>
          <w:tab w:val="right" w:pos="8222"/>
        </w:tabs>
        <w:autoSpaceDE/>
        <w:autoSpaceDN/>
        <w:adjustRightInd/>
        <w:spacing w:line="480" w:lineRule="auto"/>
        <w:ind w:left="2268" w:hanging="2268"/>
        <w:contextualSpacing/>
        <w:jc w:val="both"/>
        <w:rPr>
          <w:rFonts w:ascii="Arial" w:hAnsi="Arial" w:cs="Arial"/>
          <w:lang w:val="en-GB"/>
        </w:rPr>
      </w:pPr>
      <w:r w:rsidRPr="00052D97">
        <w:rPr>
          <w:rFonts w:ascii="Arial" w:hAnsi="Arial" w:cs="Arial"/>
          <w:lang w:val="en-GB"/>
        </w:rPr>
        <w:tab/>
        <w:t>3.1.</w:t>
      </w:r>
      <w:r w:rsidRPr="00052D97">
        <w:rPr>
          <w:rFonts w:ascii="Arial" w:hAnsi="Arial" w:cs="Arial"/>
          <w:lang w:val="en-GB"/>
        </w:rPr>
        <w:tab/>
        <w:t>the applicant has complied with paragraph 2 above as contemplated in s</w:t>
      </w:r>
      <w:r w:rsidR="00C768B9" w:rsidRPr="00052D97">
        <w:rPr>
          <w:rFonts w:ascii="Arial" w:hAnsi="Arial" w:cs="Arial"/>
          <w:lang w:val="en-GB"/>
        </w:rPr>
        <w:t xml:space="preserve"> </w:t>
      </w:r>
      <w:r w:rsidRPr="00052D97">
        <w:rPr>
          <w:rFonts w:ascii="Arial" w:hAnsi="Arial" w:cs="Arial"/>
          <w:lang w:val="en-GB"/>
        </w:rPr>
        <w:t>130(4)</w:t>
      </w:r>
      <w:r w:rsidR="00C768B9" w:rsidRPr="00052D97">
        <w:rPr>
          <w:rFonts w:ascii="Arial" w:hAnsi="Arial" w:cs="Arial"/>
          <w:lang w:val="en-GB"/>
        </w:rPr>
        <w:t xml:space="preserve">(b)(ii) of the NCA; and </w:t>
      </w:r>
    </w:p>
    <w:p w14:paraId="3A895272" w14:textId="4A383CF6" w:rsidR="00C768B9" w:rsidRPr="00052D97" w:rsidRDefault="00C768B9" w:rsidP="007F3569">
      <w:pPr>
        <w:widowControl/>
        <w:tabs>
          <w:tab w:val="left" w:pos="1701"/>
          <w:tab w:val="left" w:pos="2268"/>
          <w:tab w:val="left" w:pos="2835"/>
          <w:tab w:val="left" w:pos="3969"/>
          <w:tab w:val="right" w:pos="8222"/>
        </w:tabs>
        <w:autoSpaceDE/>
        <w:autoSpaceDN/>
        <w:adjustRightInd/>
        <w:spacing w:line="480" w:lineRule="auto"/>
        <w:ind w:left="2268" w:hanging="2268"/>
        <w:contextualSpacing/>
        <w:jc w:val="both"/>
        <w:rPr>
          <w:rFonts w:ascii="Arial" w:hAnsi="Arial" w:cs="Arial"/>
          <w:lang w:val="en-GB"/>
        </w:rPr>
      </w:pPr>
      <w:r w:rsidRPr="00052D97">
        <w:rPr>
          <w:rFonts w:ascii="Arial" w:hAnsi="Arial" w:cs="Arial"/>
          <w:lang w:val="en-GB"/>
        </w:rPr>
        <w:tab/>
        <w:t>3.2.</w:t>
      </w:r>
      <w:r w:rsidRPr="00052D97">
        <w:rPr>
          <w:rFonts w:ascii="Arial" w:hAnsi="Arial" w:cs="Arial"/>
          <w:lang w:val="en-GB"/>
        </w:rPr>
        <w:tab/>
        <w:t>the respondent has not responded to the</w:t>
      </w:r>
      <w:bookmarkStart w:id="1" w:name="_Hlk124333329"/>
      <w:r w:rsidRPr="00052D97">
        <w:rPr>
          <w:rFonts w:ascii="Arial" w:hAnsi="Arial" w:cs="Arial"/>
          <w:lang w:val="en-GB"/>
        </w:rPr>
        <w:t xml:space="preserve"> s 129(1) notice as contemplated in s 130(1)(a) of the NCA; o</w:t>
      </w:r>
      <w:bookmarkEnd w:id="1"/>
      <w:r w:rsidRPr="00052D97">
        <w:rPr>
          <w:rFonts w:ascii="Arial" w:hAnsi="Arial" w:cs="Arial"/>
          <w:lang w:val="en-GB"/>
        </w:rPr>
        <w:t>r</w:t>
      </w:r>
    </w:p>
    <w:p w14:paraId="5175C2C6" w14:textId="65E69553" w:rsidR="00C768B9" w:rsidRPr="00052D97" w:rsidRDefault="00C768B9" w:rsidP="007F3569">
      <w:pPr>
        <w:widowControl/>
        <w:tabs>
          <w:tab w:val="left" w:pos="1701"/>
          <w:tab w:val="left" w:pos="2268"/>
          <w:tab w:val="left" w:pos="2835"/>
          <w:tab w:val="left" w:pos="3969"/>
          <w:tab w:val="right" w:pos="8222"/>
        </w:tabs>
        <w:autoSpaceDE/>
        <w:autoSpaceDN/>
        <w:adjustRightInd/>
        <w:spacing w:line="480" w:lineRule="auto"/>
        <w:ind w:left="2268" w:hanging="2268"/>
        <w:contextualSpacing/>
        <w:jc w:val="both"/>
        <w:rPr>
          <w:rFonts w:ascii="Arial" w:hAnsi="Arial" w:cs="Arial"/>
          <w:lang w:val="en-GB"/>
        </w:rPr>
      </w:pPr>
      <w:r w:rsidRPr="00052D97">
        <w:rPr>
          <w:rFonts w:ascii="Arial" w:hAnsi="Arial" w:cs="Arial"/>
          <w:lang w:val="en-GB"/>
        </w:rPr>
        <w:tab/>
        <w:t>3.3.</w:t>
      </w:r>
      <w:r w:rsidRPr="00052D97">
        <w:rPr>
          <w:rFonts w:ascii="Arial" w:hAnsi="Arial" w:cs="Arial"/>
          <w:lang w:val="en-GB"/>
        </w:rPr>
        <w:tab/>
        <w:t>the respondent has responded to the s 129(1) notice by rejecting the applicant's proposals as contemplated in s 130(1)(b) of the NCA.</w:t>
      </w:r>
    </w:p>
    <w:p w14:paraId="21ED4E47" w14:textId="7DFAC464" w:rsidR="00C768B9" w:rsidRPr="00052D97" w:rsidRDefault="00C768B9" w:rsidP="00C768B9">
      <w:pPr>
        <w:widowControl/>
        <w:tabs>
          <w:tab w:val="left" w:pos="851"/>
          <w:tab w:val="left" w:pos="1701"/>
          <w:tab w:val="left" w:pos="2835"/>
          <w:tab w:val="left" w:pos="3969"/>
          <w:tab w:val="right" w:pos="8222"/>
        </w:tabs>
        <w:autoSpaceDE/>
        <w:autoSpaceDN/>
        <w:adjustRightInd/>
        <w:spacing w:line="480" w:lineRule="auto"/>
        <w:ind w:left="1701" w:hanging="1701"/>
        <w:contextualSpacing/>
        <w:jc w:val="both"/>
        <w:rPr>
          <w:rFonts w:ascii="Arial" w:hAnsi="Arial" w:cs="Arial"/>
          <w:lang w:val="en-GB"/>
        </w:rPr>
      </w:pPr>
      <w:r w:rsidRPr="00052D97">
        <w:rPr>
          <w:rFonts w:ascii="Arial" w:hAnsi="Arial" w:cs="Arial"/>
          <w:lang w:val="en-GB"/>
        </w:rPr>
        <w:tab/>
        <w:t>4.</w:t>
      </w:r>
      <w:r w:rsidRPr="00052D97">
        <w:rPr>
          <w:rFonts w:ascii="Arial" w:hAnsi="Arial" w:cs="Arial"/>
          <w:lang w:val="en-GB"/>
        </w:rPr>
        <w:tab/>
        <w:t xml:space="preserve">The provisions of s 86(2) of the NCA will not be applicable for the period up until the resumption of the main application as envisaged by paragraph 3 above, </w:t>
      </w:r>
      <w:r w:rsidR="00DD7073" w:rsidRPr="00052D97">
        <w:rPr>
          <w:rFonts w:ascii="Arial" w:hAnsi="Arial" w:cs="Arial"/>
          <w:lang w:val="en-GB"/>
        </w:rPr>
        <w:t>i.e.,</w:t>
      </w:r>
      <w:r w:rsidRPr="00052D97">
        <w:rPr>
          <w:rFonts w:ascii="Arial" w:hAnsi="Arial" w:cs="Arial"/>
          <w:lang w:val="en-GB"/>
        </w:rPr>
        <w:t xml:space="preserve"> </w:t>
      </w:r>
      <w:r w:rsidR="006B7BB6" w:rsidRPr="00052D97">
        <w:rPr>
          <w:rFonts w:ascii="Arial" w:hAnsi="Arial" w:cs="Arial"/>
          <w:lang w:val="en-GB"/>
        </w:rPr>
        <w:t>Zouzoua may exercise the rights afforded to him in terms of s 129(1)(a) of the NCA up until the date of resumption of the main application.</w:t>
      </w:r>
    </w:p>
    <w:p w14:paraId="613E6649" w14:textId="46A89647" w:rsidR="006B7BB6" w:rsidRPr="00E5223D" w:rsidRDefault="006B7BB6" w:rsidP="00C768B9">
      <w:pPr>
        <w:widowControl/>
        <w:tabs>
          <w:tab w:val="left" w:pos="851"/>
          <w:tab w:val="left" w:pos="1701"/>
          <w:tab w:val="left" w:pos="2835"/>
          <w:tab w:val="left" w:pos="3969"/>
          <w:tab w:val="right" w:pos="8222"/>
        </w:tabs>
        <w:autoSpaceDE/>
        <w:autoSpaceDN/>
        <w:adjustRightInd/>
        <w:spacing w:line="480" w:lineRule="auto"/>
        <w:ind w:left="1701" w:hanging="1701"/>
        <w:contextualSpacing/>
        <w:jc w:val="both"/>
        <w:rPr>
          <w:rFonts w:ascii="Arial" w:hAnsi="Arial" w:cs="Arial"/>
          <w:b/>
          <w:bCs/>
          <w:lang w:val="en-GB"/>
        </w:rPr>
      </w:pPr>
      <w:r w:rsidRPr="00052D97">
        <w:rPr>
          <w:rFonts w:ascii="Arial" w:hAnsi="Arial" w:cs="Arial"/>
          <w:lang w:val="en-GB"/>
        </w:rPr>
        <w:tab/>
        <w:t>5.</w:t>
      </w:r>
      <w:r w:rsidRPr="00052D97">
        <w:rPr>
          <w:rFonts w:ascii="Arial" w:hAnsi="Arial" w:cs="Arial"/>
          <w:lang w:val="en-GB"/>
        </w:rPr>
        <w:tab/>
        <w:t xml:space="preserve">The respondent is ordered to pay the applicant's costs of opposition to this </w:t>
      </w:r>
      <w:r w:rsidR="006B1DA5" w:rsidRPr="00052D97">
        <w:rPr>
          <w:rFonts w:ascii="Arial" w:hAnsi="Arial" w:cs="Arial"/>
          <w:lang w:val="en-GB"/>
        </w:rPr>
        <w:t>application.</w:t>
      </w:r>
    </w:p>
    <w:p w14:paraId="61C3DFA9" w14:textId="232B0EE7" w:rsidR="008B4683" w:rsidRDefault="008B4683" w:rsidP="00901C68">
      <w:pPr>
        <w:widowControl/>
        <w:tabs>
          <w:tab w:val="left" w:pos="1701"/>
          <w:tab w:val="left" w:pos="2835"/>
          <w:tab w:val="left" w:pos="3969"/>
          <w:tab w:val="right" w:pos="8222"/>
        </w:tabs>
        <w:autoSpaceDE/>
        <w:autoSpaceDN/>
        <w:adjustRightInd/>
        <w:spacing w:line="276" w:lineRule="auto"/>
        <w:ind w:left="1701"/>
        <w:contextualSpacing/>
        <w:jc w:val="both"/>
        <w:rPr>
          <w:rFonts w:ascii="Arial" w:hAnsi="Arial" w:cs="Arial"/>
          <w:lang w:val="en-GB"/>
        </w:rPr>
      </w:pPr>
    </w:p>
    <w:p w14:paraId="39BAC4F9" w14:textId="332E2925" w:rsidR="00FE392A" w:rsidRPr="00DC7AFE" w:rsidRDefault="006B1DA5" w:rsidP="006B1DA5">
      <w:pPr>
        <w:pStyle w:val="ListParagraph"/>
        <w:spacing w:line="276" w:lineRule="auto"/>
        <w:jc w:val="right"/>
        <w:rPr>
          <w:rFonts w:ascii="Arial" w:hAnsi="Arial" w:cs="Arial"/>
          <w:lang w:val="en-GB"/>
        </w:rPr>
      </w:pPr>
      <w:r>
        <w:rPr>
          <w:rFonts w:ascii="Arial" w:hAnsi="Arial" w:cs="Arial"/>
          <w:lang w:val="en-GB"/>
        </w:rPr>
        <w:tab/>
      </w:r>
      <w:r w:rsidR="00FE392A">
        <w:rPr>
          <w:rFonts w:ascii="Arial" w:hAnsi="Arial" w:cs="Arial"/>
          <w:lang w:val="en-GB"/>
        </w:rPr>
        <w:tab/>
        <w:t xml:space="preserve">        </w:t>
      </w:r>
      <w:r>
        <w:rPr>
          <w:rFonts w:ascii="Arial" w:hAnsi="Arial" w:cs="Arial"/>
          <w:lang w:val="en-GB"/>
        </w:rPr>
        <w:t>___</w:t>
      </w:r>
      <w:r w:rsidR="00FE392A">
        <w:rPr>
          <w:rFonts w:ascii="Arial" w:hAnsi="Arial" w:cs="Arial"/>
          <w:lang w:val="en-GB"/>
        </w:rPr>
        <w:t>___</w:t>
      </w:r>
      <w:r w:rsidR="00FE392A" w:rsidRPr="00DC7AFE">
        <w:rPr>
          <w:rFonts w:ascii="Arial" w:hAnsi="Arial" w:cs="Arial"/>
          <w:lang w:val="en-GB"/>
        </w:rPr>
        <w:t>__</w:t>
      </w:r>
      <w:r w:rsidR="006E36F5">
        <w:rPr>
          <w:rFonts w:ascii="Arial" w:hAnsi="Arial" w:cs="Arial"/>
          <w:lang w:val="en-GB"/>
        </w:rPr>
        <w:t>__</w:t>
      </w:r>
      <w:r w:rsidR="00FE392A" w:rsidRPr="00DC7AFE">
        <w:rPr>
          <w:rFonts w:ascii="Arial" w:hAnsi="Arial" w:cs="Arial"/>
          <w:lang w:val="en-GB"/>
        </w:rPr>
        <w:t>____________________</w:t>
      </w:r>
    </w:p>
    <w:p w14:paraId="4D235C1F" w14:textId="499B287D" w:rsidR="00FE392A" w:rsidRPr="00A5212B" w:rsidRDefault="00FE392A" w:rsidP="006B1DA5">
      <w:pPr>
        <w:tabs>
          <w:tab w:val="left" w:pos="4253"/>
          <w:tab w:val="left" w:pos="4536"/>
          <w:tab w:val="left" w:pos="5103"/>
          <w:tab w:val="left" w:pos="5670"/>
        </w:tabs>
        <w:ind w:left="851"/>
        <w:jc w:val="both"/>
        <w:rPr>
          <w:rFonts w:ascii="Arial" w:hAnsi="Arial" w:cs="Arial"/>
          <w:b/>
          <w:lang w:val="en-GB"/>
        </w:rPr>
      </w:pPr>
      <w:r w:rsidRPr="00A5212B">
        <w:rPr>
          <w:rFonts w:ascii="Arial" w:hAnsi="Arial" w:cs="Arial"/>
          <w:b/>
          <w:lang w:val="en-GB"/>
        </w:rPr>
        <w:lastRenderedPageBreak/>
        <w:tab/>
      </w:r>
      <w:r w:rsidR="006B1DA5">
        <w:rPr>
          <w:rFonts w:ascii="Arial" w:hAnsi="Arial" w:cs="Arial"/>
          <w:b/>
          <w:lang w:val="en-GB"/>
        </w:rPr>
        <w:tab/>
      </w:r>
      <w:r w:rsidR="006B1DA5">
        <w:rPr>
          <w:rFonts w:ascii="Arial" w:hAnsi="Arial" w:cs="Arial"/>
          <w:b/>
          <w:lang w:val="en-GB"/>
        </w:rPr>
        <w:tab/>
      </w:r>
      <w:r w:rsidR="002F0308" w:rsidRPr="00A5212B">
        <w:rPr>
          <w:rFonts w:ascii="Arial" w:hAnsi="Arial" w:cs="Arial"/>
          <w:b/>
          <w:lang w:val="en-GB"/>
        </w:rPr>
        <w:t>N</w:t>
      </w:r>
      <w:r w:rsidR="00A5212B">
        <w:rPr>
          <w:rFonts w:ascii="Arial" w:hAnsi="Arial" w:cs="Arial"/>
          <w:b/>
          <w:lang w:val="en-GB"/>
        </w:rPr>
        <w:t>.</w:t>
      </w:r>
      <w:r w:rsidR="002F0308" w:rsidRPr="00A5212B">
        <w:rPr>
          <w:rFonts w:ascii="Arial" w:hAnsi="Arial" w:cs="Arial"/>
          <w:b/>
          <w:lang w:val="en-GB"/>
        </w:rPr>
        <w:t xml:space="preserve"> REDMAN</w:t>
      </w:r>
      <w:r w:rsidR="00C93165" w:rsidRPr="00A5212B">
        <w:rPr>
          <w:rFonts w:ascii="Arial" w:hAnsi="Arial" w:cs="Arial"/>
          <w:b/>
          <w:lang w:val="en-GB"/>
        </w:rPr>
        <w:t xml:space="preserve"> </w:t>
      </w:r>
    </w:p>
    <w:p w14:paraId="6091FF08" w14:textId="000B3920" w:rsidR="00FE392A" w:rsidRDefault="00FE392A" w:rsidP="006B1DA5">
      <w:pPr>
        <w:tabs>
          <w:tab w:val="left" w:pos="4253"/>
          <w:tab w:val="left" w:pos="4536"/>
        </w:tabs>
        <w:ind w:left="1440"/>
        <w:jc w:val="both"/>
        <w:rPr>
          <w:rFonts w:ascii="Arial" w:hAnsi="Arial" w:cs="Arial"/>
          <w:lang w:val="en-GB"/>
        </w:rPr>
      </w:pPr>
      <w:r>
        <w:rPr>
          <w:rFonts w:ascii="Arial" w:hAnsi="Arial" w:cs="Arial"/>
          <w:lang w:val="en-GB"/>
        </w:rPr>
        <w:tab/>
      </w:r>
      <w:r w:rsidR="006B1DA5">
        <w:rPr>
          <w:rFonts w:ascii="Arial" w:hAnsi="Arial" w:cs="Arial"/>
          <w:lang w:val="en-GB"/>
        </w:rPr>
        <w:tab/>
      </w:r>
      <w:r w:rsidR="006B1DA5">
        <w:rPr>
          <w:rFonts w:ascii="Arial" w:hAnsi="Arial" w:cs="Arial"/>
          <w:lang w:val="en-GB"/>
        </w:rPr>
        <w:tab/>
      </w:r>
      <w:r w:rsidRPr="00DC7AFE">
        <w:rPr>
          <w:rFonts w:ascii="Arial" w:hAnsi="Arial" w:cs="Arial"/>
          <w:lang w:val="en-GB"/>
        </w:rPr>
        <w:t>Acting Judge of the High Court</w:t>
      </w:r>
    </w:p>
    <w:p w14:paraId="7C314FEC" w14:textId="709B0400" w:rsidR="00A5212B" w:rsidRPr="00DC7AFE" w:rsidRDefault="006B1DA5" w:rsidP="006B1DA5">
      <w:pPr>
        <w:tabs>
          <w:tab w:val="left" w:pos="4253"/>
          <w:tab w:val="left" w:pos="4536"/>
        </w:tabs>
        <w:ind w:left="1440"/>
        <w:jc w:val="both"/>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sidR="00A5212B">
        <w:rPr>
          <w:rFonts w:ascii="Arial" w:hAnsi="Arial" w:cs="Arial"/>
          <w:lang w:val="en-GB"/>
        </w:rPr>
        <w:t>Gauteng Division, Johannesburg</w:t>
      </w:r>
    </w:p>
    <w:p w14:paraId="5BF1B3B7" w14:textId="77777777" w:rsidR="00FE392A" w:rsidRDefault="00FE392A" w:rsidP="00901C68">
      <w:pPr>
        <w:ind w:left="851"/>
        <w:jc w:val="both"/>
        <w:rPr>
          <w:rFonts w:ascii="Arial" w:hAnsi="Arial" w:cs="Arial"/>
          <w:lang w:val="en-GB"/>
        </w:rPr>
      </w:pPr>
    </w:p>
    <w:p w14:paraId="02BF2A17" w14:textId="6E1D97BF" w:rsidR="00681CA1" w:rsidRPr="00B8049F" w:rsidRDefault="00FE392A" w:rsidP="00901C68">
      <w:pPr>
        <w:jc w:val="both"/>
        <w:rPr>
          <w:rFonts w:ascii="Arial" w:hAnsi="Arial" w:cs="Arial"/>
          <w:bCs/>
          <w:lang w:val="en-GB"/>
        </w:rPr>
      </w:pPr>
      <w:r w:rsidRPr="00B8049F">
        <w:rPr>
          <w:rFonts w:ascii="Arial" w:hAnsi="Arial" w:cs="Arial"/>
          <w:bCs/>
          <w:lang w:val="en-GB"/>
        </w:rPr>
        <w:t xml:space="preserve">Heard: </w:t>
      </w:r>
      <w:r w:rsidRPr="00B8049F">
        <w:rPr>
          <w:rFonts w:ascii="Arial" w:hAnsi="Arial" w:cs="Arial"/>
          <w:bCs/>
          <w:lang w:val="en-GB"/>
        </w:rPr>
        <w:tab/>
      </w:r>
      <w:r w:rsidRPr="00B8049F">
        <w:rPr>
          <w:rFonts w:ascii="Arial" w:hAnsi="Arial" w:cs="Arial"/>
          <w:bCs/>
          <w:lang w:val="en-GB"/>
        </w:rPr>
        <w:tab/>
      </w:r>
      <w:r w:rsidRPr="00B8049F">
        <w:rPr>
          <w:rFonts w:ascii="Arial" w:hAnsi="Arial" w:cs="Arial"/>
          <w:bCs/>
          <w:lang w:val="en-GB"/>
        </w:rPr>
        <w:tab/>
      </w:r>
      <w:r w:rsidR="00B8049F" w:rsidRPr="00B8049F">
        <w:rPr>
          <w:rFonts w:ascii="Arial" w:hAnsi="Arial" w:cs="Arial"/>
          <w:bCs/>
          <w:lang w:val="en-GB"/>
        </w:rPr>
        <w:t xml:space="preserve">29 November </w:t>
      </w:r>
      <w:r w:rsidR="00681CA1" w:rsidRPr="00B8049F">
        <w:rPr>
          <w:rFonts w:ascii="Arial" w:hAnsi="Arial" w:cs="Arial"/>
          <w:bCs/>
          <w:lang w:val="en-GB"/>
        </w:rPr>
        <w:t>20</w:t>
      </w:r>
      <w:r w:rsidR="00393A1C" w:rsidRPr="00B8049F">
        <w:rPr>
          <w:rFonts w:ascii="Arial" w:hAnsi="Arial" w:cs="Arial"/>
          <w:bCs/>
          <w:lang w:val="en-GB"/>
        </w:rPr>
        <w:t>2</w:t>
      </w:r>
      <w:r w:rsidR="00037180" w:rsidRPr="00B8049F">
        <w:rPr>
          <w:rFonts w:ascii="Arial" w:hAnsi="Arial" w:cs="Arial"/>
          <w:bCs/>
          <w:lang w:val="en-GB"/>
        </w:rPr>
        <w:t>2</w:t>
      </w:r>
    </w:p>
    <w:p w14:paraId="7ABE55FF" w14:textId="679AC5EA" w:rsidR="00FE392A" w:rsidRPr="00B8049F" w:rsidRDefault="00681CA1" w:rsidP="00901C68">
      <w:pPr>
        <w:jc w:val="both"/>
        <w:rPr>
          <w:rFonts w:ascii="Arial" w:hAnsi="Arial" w:cs="Arial"/>
          <w:bCs/>
          <w:lang w:val="en-GB"/>
        </w:rPr>
      </w:pPr>
      <w:r w:rsidRPr="00B8049F">
        <w:rPr>
          <w:rFonts w:ascii="Arial" w:hAnsi="Arial" w:cs="Arial"/>
          <w:bCs/>
          <w:lang w:val="en-GB"/>
        </w:rPr>
        <w:t>J</w:t>
      </w:r>
      <w:r w:rsidR="00671193" w:rsidRPr="00B8049F">
        <w:rPr>
          <w:rFonts w:ascii="Arial" w:hAnsi="Arial" w:cs="Arial"/>
          <w:bCs/>
          <w:lang w:val="en-GB"/>
        </w:rPr>
        <w:t>udgment</w:t>
      </w:r>
      <w:r w:rsidR="00A5212B" w:rsidRPr="00B8049F">
        <w:rPr>
          <w:rFonts w:ascii="Arial" w:hAnsi="Arial" w:cs="Arial"/>
          <w:bCs/>
          <w:lang w:val="en-GB"/>
        </w:rPr>
        <w:t>:</w:t>
      </w:r>
      <w:r w:rsidR="00A5212B" w:rsidRPr="00B8049F">
        <w:rPr>
          <w:rFonts w:ascii="Arial" w:hAnsi="Arial" w:cs="Arial"/>
          <w:bCs/>
          <w:lang w:val="en-GB"/>
        </w:rPr>
        <w:tab/>
      </w:r>
      <w:r w:rsidR="00A5212B" w:rsidRPr="00B8049F">
        <w:rPr>
          <w:rFonts w:ascii="Arial" w:hAnsi="Arial" w:cs="Arial"/>
          <w:bCs/>
          <w:lang w:val="en-GB"/>
        </w:rPr>
        <w:tab/>
      </w:r>
      <w:r w:rsidR="00A5212B" w:rsidRPr="00B8049F">
        <w:rPr>
          <w:rFonts w:ascii="Arial" w:hAnsi="Arial" w:cs="Arial"/>
          <w:bCs/>
          <w:lang w:val="en-GB"/>
        </w:rPr>
        <w:tab/>
      </w:r>
      <w:r w:rsidR="0003481C">
        <w:rPr>
          <w:rFonts w:ascii="Arial" w:hAnsi="Arial" w:cs="Arial"/>
          <w:bCs/>
          <w:lang w:val="en-GB"/>
        </w:rPr>
        <w:t>07</w:t>
      </w:r>
      <w:r w:rsidR="006B1DA5" w:rsidRPr="00B8049F">
        <w:rPr>
          <w:rFonts w:ascii="Arial" w:hAnsi="Arial" w:cs="Arial"/>
          <w:bCs/>
          <w:lang w:val="en-GB"/>
        </w:rPr>
        <w:t xml:space="preserve"> </w:t>
      </w:r>
      <w:r w:rsidR="00FA19CA">
        <w:rPr>
          <w:rFonts w:ascii="Arial" w:hAnsi="Arial" w:cs="Arial"/>
          <w:bCs/>
          <w:lang w:val="en-GB"/>
        </w:rPr>
        <w:t xml:space="preserve">February </w:t>
      </w:r>
      <w:r w:rsidRPr="00B8049F">
        <w:rPr>
          <w:rFonts w:ascii="Arial" w:hAnsi="Arial" w:cs="Arial"/>
          <w:bCs/>
          <w:lang w:val="en-GB"/>
        </w:rPr>
        <w:t>20</w:t>
      </w:r>
      <w:r w:rsidR="00393A1C" w:rsidRPr="00B8049F">
        <w:rPr>
          <w:rFonts w:ascii="Arial" w:hAnsi="Arial" w:cs="Arial"/>
          <w:bCs/>
          <w:lang w:val="en-GB"/>
        </w:rPr>
        <w:t>2</w:t>
      </w:r>
      <w:r w:rsidR="000572E0" w:rsidRPr="00B8049F">
        <w:rPr>
          <w:rFonts w:ascii="Arial" w:hAnsi="Arial" w:cs="Arial"/>
          <w:bCs/>
          <w:lang w:val="en-GB"/>
        </w:rPr>
        <w:t>3</w:t>
      </w:r>
    </w:p>
    <w:p w14:paraId="72F606D4" w14:textId="77777777" w:rsidR="004B5AB6" w:rsidRPr="00B8049F" w:rsidRDefault="004B5AB6" w:rsidP="00901C68">
      <w:pPr>
        <w:jc w:val="both"/>
        <w:rPr>
          <w:rFonts w:ascii="Arial" w:hAnsi="Arial" w:cs="Arial"/>
          <w:bCs/>
          <w:lang w:val="en-GB"/>
        </w:rPr>
      </w:pPr>
    </w:p>
    <w:p w14:paraId="6370F936" w14:textId="77777777" w:rsidR="00FE392A" w:rsidRPr="00B8049F" w:rsidRDefault="00FE392A" w:rsidP="00901C68">
      <w:pPr>
        <w:jc w:val="both"/>
        <w:rPr>
          <w:rFonts w:ascii="Arial" w:hAnsi="Arial" w:cs="Arial"/>
          <w:bCs/>
          <w:lang w:val="en-GB"/>
        </w:rPr>
      </w:pPr>
      <w:r w:rsidRPr="00B8049F">
        <w:rPr>
          <w:rFonts w:ascii="Arial" w:hAnsi="Arial" w:cs="Arial"/>
          <w:bCs/>
          <w:u w:val="single"/>
          <w:lang w:val="en-GB"/>
        </w:rPr>
        <w:t>Appearances</w:t>
      </w:r>
      <w:r w:rsidRPr="00B8049F">
        <w:rPr>
          <w:rFonts w:ascii="Arial" w:hAnsi="Arial" w:cs="Arial"/>
          <w:bCs/>
          <w:lang w:val="en-GB"/>
        </w:rPr>
        <w:t>:</w:t>
      </w:r>
    </w:p>
    <w:p w14:paraId="001572C0" w14:textId="77777777" w:rsidR="00FE392A" w:rsidRPr="00B8049F" w:rsidRDefault="00FE392A" w:rsidP="00901C68">
      <w:pPr>
        <w:jc w:val="both"/>
        <w:rPr>
          <w:rFonts w:ascii="Arial" w:hAnsi="Arial" w:cs="Arial"/>
          <w:bCs/>
          <w:lang w:val="en-GB"/>
        </w:rPr>
      </w:pPr>
    </w:p>
    <w:p w14:paraId="51DFD2F7" w14:textId="5BACF861" w:rsidR="00FE392A" w:rsidRPr="00B8049F" w:rsidRDefault="00A5212B" w:rsidP="00901C68">
      <w:pPr>
        <w:jc w:val="both"/>
        <w:rPr>
          <w:rFonts w:ascii="Arial" w:hAnsi="Arial" w:cs="Arial"/>
          <w:bCs/>
          <w:lang w:val="en-GB"/>
        </w:rPr>
      </w:pPr>
      <w:r w:rsidRPr="00B8049F">
        <w:rPr>
          <w:rFonts w:ascii="Arial" w:hAnsi="Arial" w:cs="Arial"/>
          <w:bCs/>
          <w:lang w:val="en-GB"/>
        </w:rPr>
        <w:t xml:space="preserve">For </w:t>
      </w:r>
      <w:r w:rsidR="00FE392A" w:rsidRPr="00B8049F">
        <w:rPr>
          <w:rFonts w:ascii="Arial" w:hAnsi="Arial" w:cs="Arial"/>
          <w:bCs/>
          <w:lang w:val="en-GB"/>
        </w:rPr>
        <w:t>Plaintiff</w:t>
      </w:r>
      <w:r w:rsidRPr="00B8049F">
        <w:rPr>
          <w:rFonts w:ascii="Arial" w:hAnsi="Arial" w:cs="Arial"/>
          <w:bCs/>
          <w:lang w:val="en-GB"/>
        </w:rPr>
        <w:t>:</w:t>
      </w:r>
      <w:r w:rsidRPr="00B8049F">
        <w:rPr>
          <w:rFonts w:ascii="Arial" w:hAnsi="Arial" w:cs="Arial"/>
          <w:bCs/>
          <w:lang w:val="en-GB"/>
        </w:rPr>
        <w:tab/>
      </w:r>
      <w:r w:rsidR="00FE392A" w:rsidRPr="00B8049F">
        <w:rPr>
          <w:rFonts w:ascii="Arial" w:hAnsi="Arial" w:cs="Arial"/>
          <w:bCs/>
          <w:lang w:val="en-GB"/>
        </w:rPr>
        <w:tab/>
      </w:r>
      <w:r w:rsidR="00BB1AD9" w:rsidRPr="00B8049F">
        <w:rPr>
          <w:rFonts w:ascii="Arial" w:hAnsi="Arial" w:cs="Arial"/>
          <w:bCs/>
          <w:lang w:val="en-GB"/>
        </w:rPr>
        <w:tab/>
      </w:r>
      <w:r w:rsidR="00D42BE1">
        <w:rPr>
          <w:rFonts w:ascii="Arial" w:hAnsi="Arial" w:cs="Arial"/>
          <w:bCs/>
          <w:lang w:val="en-GB"/>
        </w:rPr>
        <w:t>M de Oliveira</w:t>
      </w:r>
    </w:p>
    <w:p w14:paraId="12AD35CF" w14:textId="042800E8" w:rsidR="00FE392A" w:rsidRPr="00B8049F" w:rsidRDefault="00A5212B" w:rsidP="00901C68">
      <w:pPr>
        <w:jc w:val="both"/>
        <w:rPr>
          <w:rFonts w:ascii="Arial" w:hAnsi="Arial" w:cs="Arial"/>
          <w:bCs/>
          <w:lang w:val="en-GB"/>
        </w:rPr>
      </w:pPr>
      <w:r w:rsidRPr="00B8049F">
        <w:rPr>
          <w:rFonts w:ascii="Arial" w:hAnsi="Arial" w:cs="Arial"/>
          <w:bCs/>
          <w:lang w:val="en-GB"/>
        </w:rPr>
        <w:t>Instructed by:</w:t>
      </w:r>
      <w:r w:rsidRPr="00B8049F">
        <w:rPr>
          <w:rFonts w:ascii="Arial" w:hAnsi="Arial" w:cs="Arial"/>
          <w:bCs/>
          <w:lang w:val="en-GB"/>
        </w:rPr>
        <w:tab/>
      </w:r>
      <w:r w:rsidRPr="00B8049F">
        <w:rPr>
          <w:rFonts w:ascii="Arial" w:hAnsi="Arial" w:cs="Arial"/>
          <w:bCs/>
          <w:lang w:val="en-GB"/>
        </w:rPr>
        <w:tab/>
      </w:r>
      <w:r w:rsidR="00D42BE1">
        <w:rPr>
          <w:rFonts w:ascii="Arial" w:hAnsi="Arial" w:cs="Arial"/>
          <w:bCs/>
          <w:lang w:val="en-GB"/>
        </w:rPr>
        <w:t>ENS Africa</w:t>
      </w:r>
    </w:p>
    <w:p w14:paraId="7E414891" w14:textId="77777777" w:rsidR="00A5212B" w:rsidRPr="00B8049F" w:rsidRDefault="00A5212B" w:rsidP="00901C68">
      <w:pPr>
        <w:jc w:val="both"/>
        <w:rPr>
          <w:rFonts w:ascii="Arial" w:hAnsi="Arial" w:cs="Arial"/>
          <w:bCs/>
          <w:lang w:val="en-GB"/>
        </w:rPr>
      </w:pPr>
    </w:p>
    <w:p w14:paraId="397E37E8" w14:textId="618B0153" w:rsidR="00B528A5" w:rsidRPr="00B8049F" w:rsidRDefault="00A5212B" w:rsidP="00901C68">
      <w:pPr>
        <w:jc w:val="both"/>
        <w:rPr>
          <w:rFonts w:ascii="Arial" w:hAnsi="Arial" w:cs="Arial"/>
          <w:bCs/>
          <w:lang w:val="en-GB"/>
        </w:rPr>
      </w:pPr>
      <w:r w:rsidRPr="00B8049F">
        <w:rPr>
          <w:rFonts w:ascii="Arial" w:hAnsi="Arial" w:cs="Arial"/>
          <w:bCs/>
          <w:lang w:val="en-GB"/>
        </w:rPr>
        <w:t xml:space="preserve">For </w:t>
      </w:r>
      <w:r w:rsidR="0022679C" w:rsidRPr="00B8049F">
        <w:rPr>
          <w:rFonts w:ascii="Arial" w:hAnsi="Arial" w:cs="Arial"/>
          <w:bCs/>
          <w:lang w:val="en-GB"/>
        </w:rPr>
        <w:t>Defendant</w:t>
      </w:r>
      <w:r w:rsidR="00721217" w:rsidRPr="00B8049F">
        <w:rPr>
          <w:rFonts w:ascii="Arial" w:hAnsi="Arial" w:cs="Arial"/>
          <w:bCs/>
          <w:lang w:val="en-GB"/>
        </w:rPr>
        <w:t>s</w:t>
      </w:r>
      <w:r w:rsidR="00FE392A" w:rsidRPr="00B8049F">
        <w:rPr>
          <w:rFonts w:ascii="Arial" w:hAnsi="Arial" w:cs="Arial"/>
          <w:bCs/>
          <w:lang w:val="en-GB"/>
        </w:rPr>
        <w:t xml:space="preserve">: </w:t>
      </w:r>
      <w:r w:rsidR="00721217" w:rsidRPr="00B8049F">
        <w:rPr>
          <w:rFonts w:ascii="Arial" w:hAnsi="Arial" w:cs="Arial"/>
          <w:bCs/>
          <w:lang w:val="en-GB"/>
        </w:rPr>
        <w:tab/>
      </w:r>
      <w:r w:rsidRPr="00B8049F">
        <w:rPr>
          <w:rFonts w:ascii="Arial" w:hAnsi="Arial" w:cs="Arial"/>
          <w:bCs/>
          <w:lang w:val="en-GB"/>
        </w:rPr>
        <w:tab/>
      </w:r>
      <w:r w:rsidR="00D42BE1">
        <w:rPr>
          <w:rFonts w:ascii="Arial" w:hAnsi="Arial" w:cs="Arial"/>
          <w:bCs/>
          <w:lang w:val="en-GB"/>
        </w:rPr>
        <w:t>MB Mhango</w:t>
      </w:r>
    </w:p>
    <w:p w14:paraId="3A33948D" w14:textId="2A7E32D5" w:rsidR="00B528A5" w:rsidRPr="00B8049F" w:rsidRDefault="00A5212B" w:rsidP="00901C68">
      <w:pPr>
        <w:jc w:val="both"/>
        <w:rPr>
          <w:rFonts w:ascii="Arial" w:hAnsi="Arial" w:cs="Arial"/>
          <w:bCs/>
          <w:lang w:val="en-GB"/>
        </w:rPr>
      </w:pPr>
      <w:r w:rsidRPr="00B8049F">
        <w:rPr>
          <w:rFonts w:ascii="Arial" w:hAnsi="Arial" w:cs="Arial"/>
          <w:bCs/>
          <w:lang w:val="en-GB"/>
        </w:rPr>
        <w:t>Instructed by:</w:t>
      </w:r>
      <w:r w:rsidRPr="00B8049F">
        <w:rPr>
          <w:rFonts w:ascii="Arial" w:hAnsi="Arial" w:cs="Arial"/>
          <w:bCs/>
          <w:lang w:val="en-GB"/>
        </w:rPr>
        <w:tab/>
      </w:r>
      <w:r w:rsidRPr="00B8049F">
        <w:rPr>
          <w:rFonts w:ascii="Arial" w:hAnsi="Arial" w:cs="Arial"/>
          <w:bCs/>
          <w:lang w:val="en-GB"/>
        </w:rPr>
        <w:tab/>
      </w:r>
      <w:r w:rsidR="00D42BE1">
        <w:rPr>
          <w:rFonts w:ascii="Arial" w:hAnsi="Arial" w:cs="Arial"/>
          <w:bCs/>
          <w:lang w:val="en-GB"/>
        </w:rPr>
        <w:t>Bazuka and Co</w:t>
      </w:r>
      <w:r w:rsidR="00720B39">
        <w:rPr>
          <w:rFonts w:ascii="Arial" w:hAnsi="Arial" w:cs="Arial"/>
          <w:bCs/>
          <w:lang w:val="en-GB"/>
        </w:rPr>
        <w:t>.</w:t>
      </w:r>
    </w:p>
    <w:p w14:paraId="67D6B3D2" w14:textId="77777777" w:rsidR="00B528A5" w:rsidRPr="00B8049F" w:rsidRDefault="00B528A5" w:rsidP="00901C68">
      <w:pPr>
        <w:jc w:val="both"/>
        <w:rPr>
          <w:rFonts w:ascii="Arial" w:hAnsi="Arial" w:cs="Arial"/>
          <w:bCs/>
          <w:lang w:val="en-GB"/>
        </w:rPr>
      </w:pPr>
    </w:p>
    <w:p w14:paraId="32BD6DE2" w14:textId="77777777" w:rsidR="00B528A5" w:rsidRPr="00B8049F" w:rsidRDefault="00B528A5" w:rsidP="00901C68">
      <w:pPr>
        <w:jc w:val="both"/>
        <w:rPr>
          <w:rFonts w:ascii="Arial" w:hAnsi="Arial" w:cs="Arial"/>
          <w:bCs/>
          <w:lang w:val="en-GB"/>
        </w:rPr>
      </w:pPr>
    </w:p>
    <w:p w14:paraId="282D54D7" w14:textId="77777777" w:rsidR="00B528A5" w:rsidRPr="00B8049F" w:rsidRDefault="00B528A5" w:rsidP="00901C68">
      <w:pPr>
        <w:jc w:val="both"/>
        <w:rPr>
          <w:rFonts w:ascii="Arial" w:hAnsi="Arial" w:cs="Arial"/>
          <w:bCs/>
          <w:lang w:val="en-GB"/>
        </w:rPr>
      </w:pPr>
    </w:p>
    <w:sectPr w:rsidR="00B528A5" w:rsidRPr="00B8049F" w:rsidSect="009F6DD8">
      <w:headerReference w:type="default" r:id="rId10"/>
      <w:type w:val="continuous"/>
      <w:pgSz w:w="11906" w:h="16838" w:code="9"/>
      <w:pgMar w:top="1440" w:right="1440" w:bottom="1440" w:left="1440" w:header="726" w:footer="72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FD5F" w14:textId="77777777" w:rsidR="008D7E06" w:rsidRDefault="008D7E06">
      <w:pPr>
        <w:spacing w:line="20" w:lineRule="exact"/>
        <w:rPr>
          <w:rFonts w:cs="Times New Roman"/>
          <w:szCs w:val="24"/>
        </w:rPr>
      </w:pPr>
    </w:p>
  </w:endnote>
  <w:endnote w:type="continuationSeparator" w:id="0">
    <w:p w14:paraId="01DCA2A1" w14:textId="77777777" w:rsidR="008D7E06" w:rsidRDefault="008D7E06" w:rsidP="00023FA2">
      <w:r>
        <w:rPr>
          <w:rFonts w:cs="Times New Roman"/>
          <w:szCs w:val="24"/>
        </w:rPr>
        <w:t xml:space="preserve"> </w:t>
      </w:r>
    </w:p>
  </w:endnote>
  <w:endnote w:type="continuationNotice" w:id="1">
    <w:p w14:paraId="253E3F7A" w14:textId="77777777" w:rsidR="008D7E06" w:rsidRDefault="008D7E06"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Optim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gold">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D4AD7" w14:textId="77777777" w:rsidR="008D7E06" w:rsidRDefault="008D7E06" w:rsidP="00023FA2">
      <w:r>
        <w:rPr>
          <w:rFonts w:cs="Times New Roman"/>
          <w:szCs w:val="24"/>
        </w:rPr>
        <w:separator/>
      </w:r>
    </w:p>
  </w:footnote>
  <w:footnote w:type="continuationSeparator" w:id="0">
    <w:p w14:paraId="2D07E545" w14:textId="77777777" w:rsidR="008D7E06" w:rsidRDefault="008D7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DC7F" w14:textId="75493711" w:rsidR="003135AC" w:rsidRPr="00D879AE" w:rsidRDefault="003135AC">
    <w:pPr>
      <w:tabs>
        <w:tab w:val="center" w:pos="3987"/>
        <w:tab w:val="right" w:pos="7975"/>
      </w:tabs>
      <w:suppressAutoHyphens/>
      <w:spacing w:line="180" w:lineRule="atLeast"/>
      <w:jc w:val="both"/>
      <w:rPr>
        <w:rFonts w:ascii="Arial" w:hAnsi="Arial"/>
        <w:spacing w:val="-2"/>
        <w:szCs w:val="22"/>
        <w:u w:val="single"/>
        <w:lang w:val="en-GB"/>
      </w:rPr>
    </w:pPr>
    <w:r>
      <w:rPr>
        <w:spacing w:val="-3"/>
        <w:sz w:val="26"/>
        <w:szCs w:val="26"/>
        <w:lang w:val="en-GB"/>
      </w:rPr>
      <w:tab/>
      <w:t xml:space="preserve"> </w:t>
    </w:r>
    <w:r w:rsidRPr="00D879AE">
      <w:rPr>
        <w:rFonts w:ascii="Arial" w:hAnsi="Arial"/>
        <w:bCs/>
        <w:spacing w:val="-3"/>
        <w:szCs w:val="26"/>
        <w:lang w:val="en-GB"/>
      </w:rPr>
      <w:fldChar w:fldCharType="begin"/>
    </w:r>
    <w:r w:rsidRPr="00D879AE">
      <w:rPr>
        <w:rFonts w:ascii="Arial" w:hAnsi="Arial"/>
        <w:bCs/>
        <w:spacing w:val="-3"/>
        <w:szCs w:val="26"/>
        <w:lang w:val="en-GB"/>
      </w:rPr>
      <w:instrText>page \* arabic</w:instrText>
    </w:r>
    <w:r w:rsidRPr="00D879AE">
      <w:rPr>
        <w:rFonts w:ascii="Arial" w:hAnsi="Arial"/>
        <w:bCs/>
        <w:spacing w:val="-3"/>
        <w:szCs w:val="26"/>
        <w:lang w:val="en-GB"/>
      </w:rPr>
      <w:fldChar w:fldCharType="separate"/>
    </w:r>
    <w:r w:rsidR="005F7DB8">
      <w:rPr>
        <w:rFonts w:ascii="Arial" w:hAnsi="Arial"/>
        <w:bCs/>
        <w:noProof/>
        <w:spacing w:val="-3"/>
        <w:szCs w:val="26"/>
        <w:lang w:val="en-GB"/>
      </w:rPr>
      <w:t>4</w:t>
    </w:r>
    <w:r w:rsidRPr="00D879AE">
      <w:rPr>
        <w:rFonts w:ascii="Arial" w:hAnsi="Arial"/>
        <w:bCs/>
        <w:spacing w:val="-3"/>
        <w:szCs w:val="26"/>
        <w:lang w:val="en-GB"/>
      </w:rPr>
      <w:fldChar w:fldCharType="end"/>
    </w:r>
    <w:r w:rsidRPr="00D879AE">
      <w:rPr>
        <w:rFonts w:ascii="Arial" w:hAnsi="Arial"/>
        <w:spacing w:val="-3"/>
        <w:szCs w:val="26"/>
        <w:lang w:val="en-GB"/>
      </w:rPr>
      <w:t xml:space="preserve"> </w:t>
    </w:r>
    <w:r w:rsidRPr="00D879AE">
      <w:rPr>
        <w:rFonts w:ascii="Arial" w:hAnsi="Arial"/>
        <w:spacing w:val="-2"/>
        <w:szCs w:val="22"/>
        <w:lang w:val="en-GB"/>
      </w:rPr>
      <w:tab/>
    </w:r>
  </w:p>
  <w:p w14:paraId="2C45A7EA"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lang w:val="en-GB"/>
      </w:rPr>
    </w:pPr>
  </w:p>
  <w:p w14:paraId="07478332" w14:textId="08405194" w:rsidR="003135AC" w:rsidRDefault="0003481C">
    <w:pPr>
      <w:spacing w:after="140" w:line="100" w:lineRule="exact"/>
      <w:rPr>
        <w:rFonts w:cs="Times New Roman"/>
        <w:sz w:val="10"/>
        <w:szCs w:val="10"/>
      </w:rPr>
    </w:pPr>
    <w:r>
      <w:rPr>
        <w:rFonts w:cs="Times New Roman"/>
        <w:noProof/>
        <w:sz w:val="10"/>
        <w:szCs w:val="10"/>
      </w:rPr>
      <mc:AlternateContent>
        <mc:Choice Requires="wps">
          <w:drawing>
            <wp:anchor distT="0" distB="0" distL="114300" distR="114300" simplePos="0" relativeHeight="251657728" behindDoc="0" locked="0" layoutInCell="1" allowOverlap="1" wp14:anchorId="6045AE59" wp14:editId="4AE32CF3">
              <wp:simplePos x="0" y="0"/>
              <wp:positionH relativeFrom="column">
                <wp:posOffset>5298440</wp:posOffset>
              </wp:positionH>
              <wp:positionV relativeFrom="paragraph">
                <wp:posOffset>105410</wp:posOffset>
              </wp:positionV>
              <wp:extent cx="532130" cy="94056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807C" w14:textId="77777777" w:rsidR="003135AC" w:rsidRPr="00B528A5" w:rsidRDefault="003135AC" w:rsidP="00457EB0">
                          <w:pPr>
                            <w:spacing w:line="480" w:lineRule="auto"/>
                            <w:rPr>
                              <w:rFonts w:ascii="Arial" w:hAnsi="Arial" w:cs="Arial"/>
                              <w:sz w:val="28"/>
                              <w:szCs w:val="28"/>
                            </w:rPr>
                          </w:pPr>
                        </w:p>
                        <w:p w14:paraId="230F0118"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5AE59" id="_x0000_t202" coordsize="21600,21600" o:spt="202" path="m,l,21600r21600,l21600,xe">
              <v:stroke joinstyle="miter"/>
              <v:path gradientshapeok="t" o:connecttype="rect"/>
            </v:shapetype>
            <v:shape id="Text Box 8" o:spid="_x0000_s1027" type="#_x0000_t202" style="position:absolute;margin-left:417.2pt;margin-top:8.3pt;width:41.9pt;height:7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Kr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" filled="f" stroked="f">
              <v:textbox>
                <w:txbxContent>
                  <w:p w14:paraId="59B5807C" w14:textId="77777777" w:rsidR="003135AC" w:rsidRPr="00B528A5" w:rsidRDefault="003135AC" w:rsidP="00457EB0">
                    <w:pPr>
                      <w:spacing w:line="480" w:lineRule="auto"/>
                      <w:rPr>
                        <w:rFonts w:ascii="Arial" w:hAnsi="Arial" w:cs="Arial"/>
                        <w:sz w:val="28"/>
                        <w:szCs w:val="28"/>
                      </w:rPr>
                    </w:pPr>
                  </w:p>
                  <w:p w14:paraId="230F0118"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84D2B70"/>
    <w:multiLevelType w:val="hybridMultilevel"/>
    <w:tmpl w:val="C1B6013A"/>
    <w:lvl w:ilvl="0" w:tplc="6D6C57D4">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13252A42"/>
    <w:multiLevelType w:val="hybridMultilevel"/>
    <w:tmpl w:val="77A20364"/>
    <w:lvl w:ilvl="0" w:tplc="6B8EBC4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83F65C4"/>
    <w:multiLevelType w:val="hybridMultilevel"/>
    <w:tmpl w:val="2618D19A"/>
    <w:lvl w:ilvl="0" w:tplc="73CCEB9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7">
    <w:nsid w:val="23AD6624"/>
    <w:multiLevelType w:val="multilevel"/>
    <w:tmpl w:val="6E58A270"/>
    <w:lvl w:ilvl="0">
      <w:start w:val="1"/>
      <w:numFmt w:val="decimal"/>
      <w:lvlText w:val="%1."/>
      <w:lvlJc w:val="left"/>
      <w:pPr>
        <w:ind w:left="390" w:hanging="390"/>
      </w:pPr>
      <w:rPr>
        <w:rFonts w:hint="default"/>
      </w:rPr>
    </w:lvl>
    <w:lvl w:ilvl="1">
      <w:start w:val="1"/>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8">
    <w:nsid w:val="2FE112BD"/>
    <w:multiLevelType w:val="hybridMultilevel"/>
    <w:tmpl w:val="F61AFE0C"/>
    <w:lvl w:ilvl="0" w:tplc="D76CE3CE">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30E863CF"/>
    <w:multiLevelType w:val="hybridMultilevel"/>
    <w:tmpl w:val="BA249D20"/>
    <w:lvl w:ilvl="0" w:tplc="B46AFD7A">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0">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AB1393"/>
    <w:multiLevelType w:val="hybridMultilevel"/>
    <w:tmpl w:val="3828E224"/>
    <w:lvl w:ilvl="0" w:tplc="5D18FD90">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2">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4">
    <w:nsid w:val="5F8D638E"/>
    <w:multiLevelType w:val="hybridMultilevel"/>
    <w:tmpl w:val="E640AC0C"/>
    <w:lvl w:ilvl="0" w:tplc="D24E87F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6C3A4C96"/>
    <w:multiLevelType w:val="hybridMultilevel"/>
    <w:tmpl w:val="14D814A8"/>
    <w:lvl w:ilvl="0" w:tplc="B9E8A388">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6">
    <w:nsid w:val="71761512"/>
    <w:multiLevelType w:val="hybridMultilevel"/>
    <w:tmpl w:val="5C58FC60"/>
    <w:lvl w:ilvl="0" w:tplc="B59219FC">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nsid w:val="73066EA8"/>
    <w:multiLevelType w:val="hybridMultilevel"/>
    <w:tmpl w:val="3C4A4FFA"/>
    <w:lvl w:ilvl="0" w:tplc="D61A417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8">
    <w:nsid w:val="7F0E08B5"/>
    <w:multiLevelType w:val="hybridMultilevel"/>
    <w:tmpl w:val="379E0B98"/>
    <w:lvl w:ilvl="0" w:tplc="720E073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0"/>
  </w:num>
  <w:num w:numId="2">
    <w:abstractNumId w:val="1"/>
  </w:num>
  <w:num w:numId="3">
    <w:abstractNumId w:val="2"/>
  </w:num>
  <w:num w:numId="4">
    <w:abstractNumId w:val="13"/>
  </w:num>
  <w:num w:numId="5">
    <w:abstractNumId w:val="12"/>
  </w:num>
  <w:num w:numId="6">
    <w:abstractNumId w:val="4"/>
  </w:num>
  <w:num w:numId="7">
    <w:abstractNumId w:val="10"/>
  </w:num>
  <w:num w:numId="8">
    <w:abstractNumId w:val="3"/>
  </w:num>
  <w:num w:numId="9">
    <w:abstractNumId w:val="7"/>
  </w:num>
  <w:num w:numId="10">
    <w:abstractNumId w:val="5"/>
  </w:num>
  <w:num w:numId="11">
    <w:abstractNumId w:val="17"/>
  </w:num>
  <w:num w:numId="12">
    <w:abstractNumId w:val="8"/>
  </w:num>
  <w:num w:numId="13">
    <w:abstractNumId w:val="15"/>
  </w:num>
  <w:num w:numId="14">
    <w:abstractNumId w:val="14"/>
  </w:num>
  <w:num w:numId="15">
    <w:abstractNumId w:val="16"/>
  </w:num>
  <w:num w:numId="16">
    <w:abstractNumId w:val="9"/>
  </w:num>
  <w:num w:numId="17">
    <w:abstractNumId w:val="6"/>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A2"/>
    <w:rsid w:val="000012BE"/>
    <w:rsid w:val="00003893"/>
    <w:rsid w:val="00006876"/>
    <w:rsid w:val="00006B60"/>
    <w:rsid w:val="00006D80"/>
    <w:rsid w:val="00013A00"/>
    <w:rsid w:val="000174A4"/>
    <w:rsid w:val="00021183"/>
    <w:rsid w:val="00023FA2"/>
    <w:rsid w:val="0002536B"/>
    <w:rsid w:val="0002596B"/>
    <w:rsid w:val="0003022A"/>
    <w:rsid w:val="000323CD"/>
    <w:rsid w:val="0003481C"/>
    <w:rsid w:val="000354B2"/>
    <w:rsid w:val="00037180"/>
    <w:rsid w:val="00037526"/>
    <w:rsid w:val="00046136"/>
    <w:rsid w:val="00052D97"/>
    <w:rsid w:val="0005311F"/>
    <w:rsid w:val="0005627D"/>
    <w:rsid w:val="000572E0"/>
    <w:rsid w:val="00057B29"/>
    <w:rsid w:val="00064A9E"/>
    <w:rsid w:val="00065F9A"/>
    <w:rsid w:val="00071782"/>
    <w:rsid w:val="00073131"/>
    <w:rsid w:val="00074739"/>
    <w:rsid w:val="000748A0"/>
    <w:rsid w:val="000806A0"/>
    <w:rsid w:val="00080CB8"/>
    <w:rsid w:val="00081E03"/>
    <w:rsid w:val="00082008"/>
    <w:rsid w:val="00083FE0"/>
    <w:rsid w:val="000858DE"/>
    <w:rsid w:val="00085B98"/>
    <w:rsid w:val="00086DBA"/>
    <w:rsid w:val="00092257"/>
    <w:rsid w:val="000927A1"/>
    <w:rsid w:val="0009446F"/>
    <w:rsid w:val="00097DD1"/>
    <w:rsid w:val="000A272B"/>
    <w:rsid w:val="000A41E4"/>
    <w:rsid w:val="000A7C97"/>
    <w:rsid w:val="000B06CB"/>
    <w:rsid w:val="000C273E"/>
    <w:rsid w:val="000C3AC3"/>
    <w:rsid w:val="000C71D4"/>
    <w:rsid w:val="000D1F48"/>
    <w:rsid w:val="000D411B"/>
    <w:rsid w:val="000D54CE"/>
    <w:rsid w:val="000D67F6"/>
    <w:rsid w:val="000D6D55"/>
    <w:rsid w:val="000E01B4"/>
    <w:rsid w:val="000E4DCF"/>
    <w:rsid w:val="000F3F48"/>
    <w:rsid w:val="000F4861"/>
    <w:rsid w:val="001036D3"/>
    <w:rsid w:val="001041E9"/>
    <w:rsid w:val="00107028"/>
    <w:rsid w:val="00110492"/>
    <w:rsid w:val="00122B11"/>
    <w:rsid w:val="00123010"/>
    <w:rsid w:val="00123325"/>
    <w:rsid w:val="0013265A"/>
    <w:rsid w:val="001340CD"/>
    <w:rsid w:val="00134356"/>
    <w:rsid w:val="001357DA"/>
    <w:rsid w:val="00136C15"/>
    <w:rsid w:val="00143A09"/>
    <w:rsid w:val="00143C05"/>
    <w:rsid w:val="00144A12"/>
    <w:rsid w:val="001453F6"/>
    <w:rsid w:val="001462CD"/>
    <w:rsid w:val="00147991"/>
    <w:rsid w:val="0015009B"/>
    <w:rsid w:val="0016275F"/>
    <w:rsid w:val="00172BE9"/>
    <w:rsid w:val="001855AA"/>
    <w:rsid w:val="00185EFE"/>
    <w:rsid w:val="001875DF"/>
    <w:rsid w:val="0019026D"/>
    <w:rsid w:val="0019167A"/>
    <w:rsid w:val="001A4416"/>
    <w:rsid w:val="001A5628"/>
    <w:rsid w:val="001B10F2"/>
    <w:rsid w:val="001B16C3"/>
    <w:rsid w:val="001B3058"/>
    <w:rsid w:val="001B3F3F"/>
    <w:rsid w:val="001B5171"/>
    <w:rsid w:val="001B632F"/>
    <w:rsid w:val="001C2147"/>
    <w:rsid w:val="001C3CB8"/>
    <w:rsid w:val="001C7AAB"/>
    <w:rsid w:val="001E4E85"/>
    <w:rsid w:val="001F1553"/>
    <w:rsid w:val="001F3369"/>
    <w:rsid w:val="002170E9"/>
    <w:rsid w:val="00221EF1"/>
    <w:rsid w:val="002234F2"/>
    <w:rsid w:val="0022609E"/>
    <w:rsid w:val="0022679C"/>
    <w:rsid w:val="00227651"/>
    <w:rsid w:val="0023372B"/>
    <w:rsid w:val="00234A8E"/>
    <w:rsid w:val="00244287"/>
    <w:rsid w:val="002515E0"/>
    <w:rsid w:val="00254665"/>
    <w:rsid w:val="002661C6"/>
    <w:rsid w:val="00266D2A"/>
    <w:rsid w:val="0026754F"/>
    <w:rsid w:val="00271F3C"/>
    <w:rsid w:val="0027756D"/>
    <w:rsid w:val="00283C67"/>
    <w:rsid w:val="00285E7F"/>
    <w:rsid w:val="002935EC"/>
    <w:rsid w:val="00297176"/>
    <w:rsid w:val="002A238F"/>
    <w:rsid w:val="002A2C6D"/>
    <w:rsid w:val="002A31B8"/>
    <w:rsid w:val="002B10BC"/>
    <w:rsid w:val="002B404B"/>
    <w:rsid w:val="002B4A15"/>
    <w:rsid w:val="002C252A"/>
    <w:rsid w:val="002C26AF"/>
    <w:rsid w:val="002C6BD3"/>
    <w:rsid w:val="002D271C"/>
    <w:rsid w:val="002D344B"/>
    <w:rsid w:val="002D64D2"/>
    <w:rsid w:val="002D72A2"/>
    <w:rsid w:val="002E276E"/>
    <w:rsid w:val="002E7AA8"/>
    <w:rsid w:val="002F0308"/>
    <w:rsid w:val="002F106F"/>
    <w:rsid w:val="002F5260"/>
    <w:rsid w:val="002F635E"/>
    <w:rsid w:val="002F6D18"/>
    <w:rsid w:val="002F7CFB"/>
    <w:rsid w:val="003015F8"/>
    <w:rsid w:val="003100EB"/>
    <w:rsid w:val="00311771"/>
    <w:rsid w:val="00312B53"/>
    <w:rsid w:val="003135AC"/>
    <w:rsid w:val="00314759"/>
    <w:rsid w:val="00320F07"/>
    <w:rsid w:val="0032664E"/>
    <w:rsid w:val="00330F69"/>
    <w:rsid w:val="00331016"/>
    <w:rsid w:val="0033374D"/>
    <w:rsid w:val="00340CED"/>
    <w:rsid w:val="0034160F"/>
    <w:rsid w:val="00341FFE"/>
    <w:rsid w:val="003463CC"/>
    <w:rsid w:val="0034728A"/>
    <w:rsid w:val="00347936"/>
    <w:rsid w:val="0035081A"/>
    <w:rsid w:val="003518DA"/>
    <w:rsid w:val="00352982"/>
    <w:rsid w:val="00352B68"/>
    <w:rsid w:val="003544AB"/>
    <w:rsid w:val="0035594C"/>
    <w:rsid w:val="003559D0"/>
    <w:rsid w:val="003577F8"/>
    <w:rsid w:val="00371F32"/>
    <w:rsid w:val="0037202F"/>
    <w:rsid w:val="0037425E"/>
    <w:rsid w:val="003750F5"/>
    <w:rsid w:val="003775BD"/>
    <w:rsid w:val="00377AEC"/>
    <w:rsid w:val="0038084F"/>
    <w:rsid w:val="00381755"/>
    <w:rsid w:val="00392DA7"/>
    <w:rsid w:val="00393A1C"/>
    <w:rsid w:val="00394B85"/>
    <w:rsid w:val="00396019"/>
    <w:rsid w:val="003A0F30"/>
    <w:rsid w:val="003C7ACA"/>
    <w:rsid w:val="003F0ACA"/>
    <w:rsid w:val="003F2D6A"/>
    <w:rsid w:val="003F492E"/>
    <w:rsid w:val="003F76CB"/>
    <w:rsid w:val="004025EC"/>
    <w:rsid w:val="00404817"/>
    <w:rsid w:val="00416C87"/>
    <w:rsid w:val="004174FF"/>
    <w:rsid w:val="0042293B"/>
    <w:rsid w:val="00431B40"/>
    <w:rsid w:val="00432888"/>
    <w:rsid w:val="004353C4"/>
    <w:rsid w:val="00440EE5"/>
    <w:rsid w:val="0044105C"/>
    <w:rsid w:val="0045397A"/>
    <w:rsid w:val="00454667"/>
    <w:rsid w:val="004555BB"/>
    <w:rsid w:val="00457EB0"/>
    <w:rsid w:val="00462A89"/>
    <w:rsid w:val="004656CA"/>
    <w:rsid w:val="00475AF2"/>
    <w:rsid w:val="0047744D"/>
    <w:rsid w:val="0048157B"/>
    <w:rsid w:val="0048171E"/>
    <w:rsid w:val="00482EDB"/>
    <w:rsid w:val="00484463"/>
    <w:rsid w:val="00485925"/>
    <w:rsid w:val="00487E38"/>
    <w:rsid w:val="00490DBD"/>
    <w:rsid w:val="00495F71"/>
    <w:rsid w:val="004976B1"/>
    <w:rsid w:val="00497ABA"/>
    <w:rsid w:val="004A352E"/>
    <w:rsid w:val="004A6318"/>
    <w:rsid w:val="004B281C"/>
    <w:rsid w:val="004B2EAB"/>
    <w:rsid w:val="004B32DD"/>
    <w:rsid w:val="004B5AB6"/>
    <w:rsid w:val="004B6353"/>
    <w:rsid w:val="004B7AAA"/>
    <w:rsid w:val="004C14C9"/>
    <w:rsid w:val="004C2003"/>
    <w:rsid w:val="004C3D9C"/>
    <w:rsid w:val="004C4548"/>
    <w:rsid w:val="004C54AE"/>
    <w:rsid w:val="004C5FA2"/>
    <w:rsid w:val="004D14C8"/>
    <w:rsid w:val="004D1DAF"/>
    <w:rsid w:val="004D59C8"/>
    <w:rsid w:val="004E0512"/>
    <w:rsid w:val="004E2717"/>
    <w:rsid w:val="004E414D"/>
    <w:rsid w:val="004E6F24"/>
    <w:rsid w:val="004F1A24"/>
    <w:rsid w:val="004F218A"/>
    <w:rsid w:val="004F2D4D"/>
    <w:rsid w:val="004F3F79"/>
    <w:rsid w:val="004F3FA8"/>
    <w:rsid w:val="004F60F1"/>
    <w:rsid w:val="004F6A9F"/>
    <w:rsid w:val="004F6F1B"/>
    <w:rsid w:val="004F7B15"/>
    <w:rsid w:val="0050076B"/>
    <w:rsid w:val="005039DA"/>
    <w:rsid w:val="00512460"/>
    <w:rsid w:val="005134DE"/>
    <w:rsid w:val="0051409B"/>
    <w:rsid w:val="00517034"/>
    <w:rsid w:val="005201D7"/>
    <w:rsid w:val="00521E39"/>
    <w:rsid w:val="00522469"/>
    <w:rsid w:val="00526815"/>
    <w:rsid w:val="00534229"/>
    <w:rsid w:val="00536C2C"/>
    <w:rsid w:val="0054028F"/>
    <w:rsid w:val="00544BE2"/>
    <w:rsid w:val="00546E14"/>
    <w:rsid w:val="00555F11"/>
    <w:rsid w:val="00557D98"/>
    <w:rsid w:val="00563E3E"/>
    <w:rsid w:val="00567752"/>
    <w:rsid w:val="00572531"/>
    <w:rsid w:val="00572C66"/>
    <w:rsid w:val="005765E1"/>
    <w:rsid w:val="00580F3C"/>
    <w:rsid w:val="00582926"/>
    <w:rsid w:val="005843FF"/>
    <w:rsid w:val="00584AA4"/>
    <w:rsid w:val="005850DB"/>
    <w:rsid w:val="00585D76"/>
    <w:rsid w:val="00587359"/>
    <w:rsid w:val="005906D7"/>
    <w:rsid w:val="00594FB8"/>
    <w:rsid w:val="005A0BE3"/>
    <w:rsid w:val="005A16A3"/>
    <w:rsid w:val="005A2E3E"/>
    <w:rsid w:val="005A4B12"/>
    <w:rsid w:val="005B23D5"/>
    <w:rsid w:val="005B2865"/>
    <w:rsid w:val="005B4366"/>
    <w:rsid w:val="005C48CF"/>
    <w:rsid w:val="005D65E3"/>
    <w:rsid w:val="005D73FA"/>
    <w:rsid w:val="005E2A58"/>
    <w:rsid w:val="005E3B3C"/>
    <w:rsid w:val="005F22FE"/>
    <w:rsid w:val="005F28D4"/>
    <w:rsid w:val="005F2CB0"/>
    <w:rsid w:val="005F3C91"/>
    <w:rsid w:val="005F6053"/>
    <w:rsid w:val="005F761C"/>
    <w:rsid w:val="005F7DB8"/>
    <w:rsid w:val="00600C74"/>
    <w:rsid w:val="006016A9"/>
    <w:rsid w:val="0060398B"/>
    <w:rsid w:val="00606BC3"/>
    <w:rsid w:val="00612E41"/>
    <w:rsid w:val="00616CFD"/>
    <w:rsid w:val="006170D6"/>
    <w:rsid w:val="00620A4B"/>
    <w:rsid w:val="00621EC2"/>
    <w:rsid w:val="00623EA4"/>
    <w:rsid w:val="00624848"/>
    <w:rsid w:val="0062745A"/>
    <w:rsid w:val="00633BDE"/>
    <w:rsid w:val="006365F0"/>
    <w:rsid w:val="00642EB1"/>
    <w:rsid w:val="0064334A"/>
    <w:rsid w:val="00643F73"/>
    <w:rsid w:val="006564E2"/>
    <w:rsid w:val="00660DE4"/>
    <w:rsid w:val="00663909"/>
    <w:rsid w:val="00663EF8"/>
    <w:rsid w:val="0066456C"/>
    <w:rsid w:val="006647DD"/>
    <w:rsid w:val="006658B9"/>
    <w:rsid w:val="00670F6E"/>
    <w:rsid w:val="00671193"/>
    <w:rsid w:val="006738FB"/>
    <w:rsid w:val="00681CA1"/>
    <w:rsid w:val="00683324"/>
    <w:rsid w:val="0068590A"/>
    <w:rsid w:val="006907D6"/>
    <w:rsid w:val="006951C1"/>
    <w:rsid w:val="006960F4"/>
    <w:rsid w:val="006A2214"/>
    <w:rsid w:val="006B1DA5"/>
    <w:rsid w:val="006B494B"/>
    <w:rsid w:val="006B7BB6"/>
    <w:rsid w:val="006C238C"/>
    <w:rsid w:val="006D0D48"/>
    <w:rsid w:val="006D2C75"/>
    <w:rsid w:val="006E36F5"/>
    <w:rsid w:val="006F1752"/>
    <w:rsid w:val="006F26C4"/>
    <w:rsid w:val="006F5826"/>
    <w:rsid w:val="006F7960"/>
    <w:rsid w:val="00700866"/>
    <w:rsid w:val="00703898"/>
    <w:rsid w:val="00704407"/>
    <w:rsid w:val="007137C8"/>
    <w:rsid w:val="007142DE"/>
    <w:rsid w:val="00714498"/>
    <w:rsid w:val="00714D91"/>
    <w:rsid w:val="0071663B"/>
    <w:rsid w:val="00720B39"/>
    <w:rsid w:val="00721217"/>
    <w:rsid w:val="007229B5"/>
    <w:rsid w:val="00732BB5"/>
    <w:rsid w:val="00733CFA"/>
    <w:rsid w:val="00741CE4"/>
    <w:rsid w:val="007428B5"/>
    <w:rsid w:val="00746A5C"/>
    <w:rsid w:val="007511A8"/>
    <w:rsid w:val="007526CC"/>
    <w:rsid w:val="00752868"/>
    <w:rsid w:val="00754569"/>
    <w:rsid w:val="007576DD"/>
    <w:rsid w:val="00763E23"/>
    <w:rsid w:val="007672D8"/>
    <w:rsid w:val="007709EB"/>
    <w:rsid w:val="007733E5"/>
    <w:rsid w:val="007746AD"/>
    <w:rsid w:val="007763A2"/>
    <w:rsid w:val="00782036"/>
    <w:rsid w:val="00783725"/>
    <w:rsid w:val="00791FAB"/>
    <w:rsid w:val="007A0D29"/>
    <w:rsid w:val="007A140F"/>
    <w:rsid w:val="007A591E"/>
    <w:rsid w:val="007B2ADC"/>
    <w:rsid w:val="007C4E7A"/>
    <w:rsid w:val="007C5E41"/>
    <w:rsid w:val="007D1748"/>
    <w:rsid w:val="007D2580"/>
    <w:rsid w:val="007D2965"/>
    <w:rsid w:val="007E140A"/>
    <w:rsid w:val="007E2FAA"/>
    <w:rsid w:val="007E6D03"/>
    <w:rsid w:val="007F08FA"/>
    <w:rsid w:val="007F2F1E"/>
    <w:rsid w:val="007F3569"/>
    <w:rsid w:val="008004CA"/>
    <w:rsid w:val="00800FDB"/>
    <w:rsid w:val="00802077"/>
    <w:rsid w:val="008029E6"/>
    <w:rsid w:val="00804CD3"/>
    <w:rsid w:val="00805413"/>
    <w:rsid w:val="0081376E"/>
    <w:rsid w:val="00817004"/>
    <w:rsid w:val="00820AC5"/>
    <w:rsid w:val="0082198C"/>
    <w:rsid w:val="00824748"/>
    <w:rsid w:val="008251E1"/>
    <w:rsid w:val="008319CF"/>
    <w:rsid w:val="00833B39"/>
    <w:rsid w:val="00837949"/>
    <w:rsid w:val="008548D7"/>
    <w:rsid w:val="00854A64"/>
    <w:rsid w:val="00855403"/>
    <w:rsid w:val="00862B87"/>
    <w:rsid w:val="0086644A"/>
    <w:rsid w:val="00874606"/>
    <w:rsid w:val="00875FF3"/>
    <w:rsid w:val="00877381"/>
    <w:rsid w:val="0088157F"/>
    <w:rsid w:val="008874F4"/>
    <w:rsid w:val="008879DD"/>
    <w:rsid w:val="008A2626"/>
    <w:rsid w:val="008B10B8"/>
    <w:rsid w:val="008B4683"/>
    <w:rsid w:val="008B77FF"/>
    <w:rsid w:val="008D1D8B"/>
    <w:rsid w:val="008D7E06"/>
    <w:rsid w:val="008D7EB2"/>
    <w:rsid w:val="008E5D71"/>
    <w:rsid w:val="008E68C8"/>
    <w:rsid w:val="008F0F02"/>
    <w:rsid w:val="008F6767"/>
    <w:rsid w:val="009007EC"/>
    <w:rsid w:val="009016A3"/>
    <w:rsid w:val="00901C68"/>
    <w:rsid w:val="009066D8"/>
    <w:rsid w:val="009075E8"/>
    <w:rsid w:val="00912E93"/>
    <w:rsid w:val="00923952"/>
    <w:rsid w:val="009267B5"/>
    <w:rsid w:val="00933FE0"/>
    <w:rsid w:val="009347C8"/>
    <w:rsid w:val="00935283"/>
    <w:rsid w:val="00935C46"/>
    <w:rsid w:val="00940060"/>
    <w:rsid w:val="00942A2E"/>
    <w:rsid w:val="00945754"/>
    <w:rsid w:val="00950527"/>
    <w:rsid w:val="009506A1"/>
    <w:rsid w:val="00951D98"/>
    <w:rsid w:val="00961EE9"/>
    <w:rsid w:val="009631D3"/>
    <w:rsid w:val="009636A2"/>
    <w:rsid w:val="00965755"/>
    <w:rsid w:val="00971BB8"/>
    <w:rsid w:val="00971F7B"/>
    <w:rsid w:val="0097636B"/>
    <w:rsid w:val="00983053"/>
    <w:rsid w:val="00984A27"/>
    <w:rsid w:val="009860F4"/>
    <w:rsid w:val="00986ADE"/>
    <w:rsid w:val="009900DF"/>
    <w:rsid w:val="009A1138"/>
    <w:rsid w:val="009A1FC2"/>
    <w:rsid w:val="009A3C1F"/>
    <w:rsid w:val="009A3FE8"/>
    <w:rsid w:val="009A6B16"/>
    <w:rsid w:val="009A79E2"/>
    <w:rsid w:val="009B1A89"/>
    <w:rsid w:val="009B2283"/>
    <w:rsid w:val="009B658C"/>
    <w:rsid w:val="009C09B1"/>
    <w:rsid w:val="009C4956"/>
    <w:rsid w:val="009C4ABE"/>
    <w:rsid w:val="009D14AB"/>
    <w:rsid w:val="009D320D"/>
    <w:rsid w:val="009D629B"/>
    <w:rsid w:val="009E047D"/>
    <w:rsid w:val="009E3BEF"/>
    <w:rsid w:val="009F09C0"/>
    <w:rsid w:val="009F0E8D"/>
    <w:rsid w:val="009F39D3"/>
    <w:rsid w:val="009F6DD8"/>
    <w:rsid w:val="00A029D8"/>
    <w:rsid w:val="00A05EC2"/>
    <w:rsid w:val="00A13490"/>
    <w:rsid w:val="00A24FEB"/>
    <w:rsid w:val="00A25958"/>
    <w:rsid w:val="00A3479A"/>
    <w:rsid w:val="00A4110D"/>
    <w:rsid w:val="00A42109"/>
    <w:rsid w:val="00A47AF3"/>
    <w:rsid w:val="00A5212B"/>
    <w:rsid w:val="00A5267C"/>
    <w:rsid w:val="00A53EFC"/>
    <w:rsid w:val="00A543EB"/>
    <w:rsid w:val="00A5651C"/>
    <w:rsid w:val="00A66E48"/>
    <w:rsid w:val="00A729DB"/>
    <w:rsid w:val="00A730A4"/>
    <w:rsid w:val="00A76FBE"/>
    <w:rsid w:val="00A77ADC"/>
    <w:rsid w:val="00A85680"/>
    <w:rsid w:val="00A957AE"/>
    <w:rsid w:val="00AA1F13"/>
    <w:rsid w:val="00AB0B8C"/>
    <w:rsid w:val="00AB62B9"/>
    <w:rsid w:val="00AC23A1"/>
    <w:rsid w:val="00AC6666"/>
    <w:rsid w:val="00AE1FC2"/>
    <w:rsid w:val="00AF0567"/>
    <w:rsid w:val="00AF1FC7"/>
    <w:rsid w:val="00AF5EF1"/>
    <w:rsid w:val="00AF7BD1"/>
    <w:rsid w:val="00B01E08"/>
    <w:rsid w:val="00B07013"/>
    <w:rsid w:val="00B11081"/>
    <w:rsid w:val="00B128F2"/>
    <w:rsid w:val="00B23C44"/>
    <w:rsid w:val="00B24A49"/>
    <w:rsid w:val="00B25782"/>
    <w:rsid w:val="00B33714"/>
    <w:rsid w:val="00B347A8"/>
    <w:rsid w:val="00B3491E"/>
    <w:rsid w:val="00B45077"/>
    <w:rsid w:val="00B45D8F"/>
    <w:rsid w:val="00B528A5"/>
    <w:rsid w:val="00B53817"/>
    <w:rsid w:val="00B57CBB"/>
    <w:rsid w:val="00B6330F"/>
    <w:rsid w:val="00B63ED7"/>
    <w:rsid w:val="00B66166"/>
    <w:rsid w:val="00B70FFE"/>
    <w:rsid w:val="00B72826"/>
    <w:rsid w:val="00B72E6F"/>
    <w:rsid w:val="00B73BF5"/>
    <w:rsid w:val="00B7733F"/>
    <w:rsid w:val="00B8049F"/>
    <w:rsid w:val="00B86DD0"/>
    <w:rsid w:val="00B93FAD"/>
    <w:rsid w:val="00BA306E"/>
    <w:rsid w:val="00BA3D56"/>
    <w:rsid w:val="00BA5DFD"/>
    <w:rsid w:val="00BB1AD9"/>
    <w:rsid w:val="00BB3055"/>
    <w:rsid w:val="00BB3FC5"/>
    <w:rsid w:val="00BD34BD"/>
    <w:rsid w:val="00BD59EE"/>
    <w:rsid w:val="00BD75DF"/>
    <w:rsid w:val="00BE7217"/>
    <w:rsid w:val="00BF0579"/>
    <w:rsid w:val="00BF45C5"/>
    <w:rsid w:val="00C05BD7"/>
    <w:rsid w:val="00C10EC1"/>
    <w:rsid w:val="00C11106"/>
    <w:rsid w:val="00C135BC"/>
    <w:rsid w:val="00C13B26"/>
    <w:rsid w:val="00C23668"/>
    <w:rsid w:val="00C403C3"/>
    <w:rsid w:val="00C40671"/>
    <w:rsid w:val="00C40FFC"/>
    <w:rsid w:val="00C44C06"/>
    <w:rsid w:val="00C45B3F"/>
    <w:rsid w:val="00C4617C"/>
    <w:rsid w:val="00C501F2"/>
    <w:rsid w:val="00C516E1"/>
    <w:rsid w:val="00C653B5"/>
    <w:rsid w:val="00C7439F"/>
    <w:rsid w:val="00C768B9"/>
    <w:rsid w:val="00C822C8"/>
    <w:rsid w:val="00C8478A"/>
    <w:rsid w:val="00C848E5"/>
    <w:rsid w:val="00C91106"/>
    <w:rsid w:val="00C93165"/>
    <w:rsid w:val="00C933EC"/>
    <w:rsid w:val="00CA164B"/>
    <w:rsid w:val="00CA18D4"/>
    <w:rsid w:val="00CA3394"/>
    <w:rsid w:val="00CC002A"/>
    <w:rsid w:val="00CC0382"/>
    <w:rsid w:val="00CC1C71"/>
    <w:rsid w:val="00CD07C3"/>
    <w:rsid w:val="00CD2773"/>
    <w:rsid w:val="00CD279B"/>
    <w:rsid w:val="00CD2BA9"/>
    <w:rsid w:val="00CD2EE3"/>
    <w:rsid w:val="00CD675D"/>
    <w:rsid w:val="00CE31B5"/>
    <w:rsid w:val="00CF3C34"/>
    <w:rsid w:val="00D00950"/>
    <w:rsid w:val="00D00DF6"/>
    <w:rsid w:val="00D01135"/>
    <w:rsid w:val="00D075CC"/>
    <w:rsid w:val="00D114D9"/>
    <w:rsid w:val="00D11DE1"/>
    <w:rsid w:val="00D14DB1"/>
    <w:rsid w:val="00D16FAE"/>
    <w:rsid w:val="00D17271"/>
    <w:rsid w:val="00D175B9"/>
    <w:rsid w:val="00D22661"/>
    <w:rsid w:val="00D251D6"/>
    <w:rsid w:val="00D34ED7"/>
    <w:rsid w:val="00D41C99"/>
    <w:rsid w:val="00D42BE1"/>
    <w:rsid w:val="00D47BF9"/>
    <w:rsid w:val="00D518DC"/>
    <w:rsid w:val="00D5192D"/>
    <w:rsid w:val="00D52AAB"/>
    <w:rsid w:val="00D569EB"/>
    <w:rsid w:val="00D606AA"/>
    <w:rsid w:val="00D63480"/>
    <w:rsid w:val="00D72E3E"/>
    <w:rsid w:val="00D73139"/>
    <w:rsid w:val="00D74A24"/>
    <w:rsid w:val="00D773B3"/>
    <w:rsid w:val="00D80CF3"/>
    <w:rsid w:val="00D8713D"/>
    <w:rsid w:val="00D879AE"/>
    <w:rsid w:val="00DA21C8"/>
    <w:rsid w:val="00DB02E5"/>
    <w:rsid w:val="00DB1EA2"/>
    <w:rsid w:val="00DC4C5F"/>
    <w:rsid w:val="00DC589B"/>
    <w:rsid w:val="00DC7AFE"/>
    <w:rsid w:val="00DD5EB2"/>
    <w:rsid w:val="00DD7073"/>
    <w:rsid w:val="00DE040D"/>
    <w:rsid w:val="00DE0D77"/>
    <w:rsid w:val="00DE1379"/>
    <w:rsid w:val="00DE563E"/>
    <w:rsid w:val="00DF309B"/>
    <w:rsid w:val="00E05D4F"/>
    <w:rsid w:val="00E05D72"/>
    <w:rsid w:val="00E06D9A"/>
    <w:rsid w:val="00E07458"/>
    <w:rsid w:val="00E1275D"/>
    <w:rsid w:val="00E13008"/>
    <w:rsid w:val="00E172EB"/>
    <w:rsid w:val="00E22FA0"/>
    <w:rsid w:val="00E31429"/>
    <w:rsid w:val="00E3207D"/>
    <w:rsid w:val="00E32ED0"/>
    <w:rsid w:val="00E340B1"/>
    <w:rsid w:val="00E343A7"/>
    <w:rsid w:val="00E3523A"/>
    <w:rsid w:val="00E36CC8"/>
    <w:rsid w:val="00E5223D"/>
    <w:rsid w:val="00E535AB"/>
    <w:rsid w:val="00E566A5"/>
    <w:rsid w:val="00E57007"/>
    <w:rsid w:val="00E575CD"/>
    <w:rsid w:val="00E67A05"/>
    <w:rsid w:val="00E7134E"/>
    <w:rsid w:val="00E71FF4"/>
    <w:rsid w:val="00E74D59"/>
    <w:rsid w:val="00E7551C"/>
    <w:rsid w:val="00E756C0"/>
    <w:rsid w:val="00E759D8"/>
    <w:rsid w:val="00E75E54"/>
    <w:rsid w:val="00E77730"/>
    <w:rsid w:val="00E8405B"/>
    <w:rsid w:val="00E86278"/>
    <w:rsid w:val="00E90FA2"/>
    <w:rsid w:val="00E92197"/>
    <w:rsid w:val="00E9664B"/>
    <w:rsid w:val="00EA036A"/>
    <w:rsid w:val="00EB014B"/>
    <w:rsid w:val="00EB55E0"/>
    <w:rsid w:val="00EB5970"/>
    <w:rsid w:val="00EB704C"/>
    <w:rsid w:val="00EC0B7D"/>
    <w:rsid w:val="00EC2B65"/>
    <w:rsid w:val="00EC56C7"/>
    <w:rsid w:val="00EC5BDB"/>
    <w:rsid w:val="00ED29EF"/>
    <w:rsid w:val="00ED4514"/>
    <w:rsid w:val="00ED76E1"/>
    <w:rsid w:val="00EE3FEC"/>
    <w:rsid w:val="00EE4082"/>
    <w:rsid w:val="00EF1C30"/>
    <w:rsid w:val="00EF2A4F"/>
    <w:rsid w:val="00EF2C5D"/>
    <w:rsid w:val="00EF7EC7"/>
    <w:rsid w:val="00F10940"/>
    <w:rsid w:val="00F15B79"/>
    <w:rsid w:val="00F15C2D"/>
    <w:rsid w:val="00F20CC3"/>
    <w:rsid w:val="00F2208D"/>
    <w:rsid w:val="00F31A08"/>
    <w:rsid w:val="00F3432F"/>
    <w:rsid w:val="00F418C8"/>
    <w:rsid w:val="00F41E21"/>
    <w:rsid w:val="00F5643A"/>
    <w:rsid w:val="00F56BEC"/>
    <w:rsid w:val="00F6161C"/>
    <w:rsid w:val="00F61B4F"/>
    <w:rsid w:val="00F7008B"/>
    <w:rsid w:val="00F80C43"/>
    <w:rsid w:val="00F86C73"/>
    <w:rsid w:val="00F86C91"/>
    <w:rsid w:val="00F90793"/>
    <w:rsid w:val="00F91E37"/>
    <w:rsid w:val="00F96EC8"/>
    <w:rsid w:val="00FA19CA"/>
    <w:rsid w:val="00FB338F"/>
    <w:rsid w:val="00FB4149"/>
    <w:rsid w:val="00FB52D2"/>
    <w:rsid w:val="00FC4CD1"/>
    <w:rsid w:val="00FD2895"/>
    <w:rsid w:val="00FE02A2"/>
    <w:rsid w:val="00FE392A"/>
    <w:rsid w:val="00FE3FA2"/>
    <w:rsid w:val="00FE4BB6"/>
    <w:rsid w:val="00FF107D"/>
    <w:rsid w:val="00FF5AF0"/>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2F19B1"/>
  <w15:chartTrackingRefBased/>
  <w15:docId w15:val="{38AFC983-C29B-42CB-B251-4903F45A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7"/>
    <w:pPr>
      <w:widowControl w:val="0"/>
      <w:autoSpaceDE w:val="0"/>
      <w:autoSpaceDN w:val="0"/>
      <w:adjustRightInd w:val="0"/>
    </w:pPr>
    <w:rPr>
      <w:rFonts w:ascii="Optima" w:hAnsi="Optima" w:cs="Univers"/>
      <w:sz w:val="24"/>
      <w:szCs w:val="25"/>
      <w:lang w:val="en-US" w:eastAsia="en-US"/>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link w:val="FootnoteTextChar"/>
    <w:uiPriority w:val="99"/>
    <w:semiHidden/>
    <w:rsid w:val="00D879AE"/>
    <w:pPr>
      <w:tabs>
        <w:tab w:val="left" w:pos="-720"/>
      </w:tabs>
      <w:suppressAutoHyphens/>
      <w:spacing w:line="240" w:lineRule="atLeast"/>
    </w:pPr>
    <w:rPr>
      <w:rFonts w:ascii="Calibri" w:hAnsi="Calibri"/>
    </w:rPr>
  </w:style>
  <w:style w:type="character" w:styleId="FootnoteReference">
    <w:name w:val="footnote reference"/>
    <w:uiPriority w:val="99"/>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 w:type="paragraph" w:styleId="ListParagraph">
    <w:name w:val="List Paragraph"/>
    <w:basedOn w:val="Normal"/>
    <w:uiPriority w:val="34"/>
    <w:qFormat/>
    <w:rsid w:val="00A5212B"/>
    <w:pPr>
      <w:ind w:left="720"/>
    </w:pPr>
  </w:style>
  <w:style w:type="character" w:customStyle="1" w:styleId="UnresolvedMention">
    <w:name w:val="Unresolved Mention"/>
    <w:uiPriority w:val="99"/>
    <w:semiHidden/>
    <w:unhideWhenUsed/>
    <w:rsid w:val="004D59C8"/>
    <w:rPr>
      <w:color w:val="605E5C"/>
      <w:shd w:val="clear" w:color="auto" w:fill="E1DFDD"/>
    </w:rPr>
  </w:style>
  <w:style w:type="paragraph" w:styleId="BodyText3">
    <w:name w:val="Body Text 3"/>
    <w:basedOn w:val="Normal"/>
    <w:link w:val="BodyText3Char"/>
    <w:rsid w:val="004025EC"/>
    <w:pPr>
      <w:spacing w:after="120"/>
    </w:pPr>
    <w:rPr>
      <w:sz w:val="16"/>
      <w:szCs w:val="16"/>
    </w:rPr>
  </w:style>
  <w:style w:type="character" w:customStyle="1" w:styleId="BodyText3Char">
    <w:name w:val="Body Text 3 Char"/>
    <w:link w:val="BodyText3"/>
    <w:rsid w:val="004025EC"/>
    <w:rPr>
      <w:rFonts w:ascii="Optima" w:hAnsi="Optima" w:cs="Univers"/>
      <w:sz w:val="16"/>
      <w:szCs w:val="16"/>
    </w:rPr>
  </w:style>
  <w:style w:type="character" w:customStyle="1" w:styleId="FootnoteTextChar">
    <w:name w:val="Footnote Text Char"/>
    <w:link w:val="FootnoteText"/>
    <w:uiPriority w:val="99"/>
    <w:semiHidden/>
    <w:locked/>
    <w:rsid w:val="004025EC"/>
    <w:rPr>
      <w:rFonts w:ascii="Calibri" w:hAnsi="Calibri" w:cs="Univers"/>
      <w:sz w:val="24"/>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zukam@bazukalaw.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05502-D022-418D-AA29-1E54B21F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13991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Francois</dc:creator>
  <cp:keywords/>
  <dc:description/>
  <cp:lastModifiedBy>Mokone</cp:lastModifiedBy>
  <cp:revision>2</cp:revision>
  <cp:lastPrinted>2023-01-24T14:24:00Z</cp:lastPrinted>
  <dcterms:created xsi:type="dcterms:W3CDTF">2023-02-17T10:36:00Z</dcterms:created>
  <dcterms:modified xsi:type="dcterms:W3CDTF">2023-02-17T10:36:00Z</dcterms:modified>
</cp:coreProperties>
</file>