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C8FC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bookmarkStart w:id="0" w:name="KVWin_undoend"/>
      <w:bookmarkEnd w:id="0"/>
    </w:p>
    <w:p w14:paraId="2C1F3D72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r w:rsidRPr="00FC3E54">
        <w:rPr>
          <w:rFonts w:eastAsia="Times New Roman" w:cs="Arial"/>
          <w:b/>
          <w:sz w:val="24"/>
          <w:szCs w:val="24"/>
          <w:lang w:val="en-ZA" w:eastAsia="en-GB"/>
        </w:rPr>
        <w:t>REPUBLIC OF SOUTH AFRICA</w:t>
      </w:r>
    </w:p>
    <w:p w14:paraId="45850658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</w:p>
    <w:p w14:paraId="1B514632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noProof/>
          <w:sz w:val="24"/>
          <w:szCs w:val="24"/>
          <w:lang w:val="en-US"/>
        </w:rPr>
      </w:pPr>
    </w:p>
    <w:p w14:paraId="17FEB90B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r w:rsidRPr="00FC3E54">
        <w:rPr>
          <w:rFonts w:eastAsia="Times New Roman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1AC3AABD" wp14:editId="5F79DF36">
            <wp:extent cx="136207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D9C69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</w:p>
    <w:p w14:paraId="7F363192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r w:rsidRPr="00FC3E54">
        <w:rPr>
          <w:rFonts w:eastAsia="Times New Roman" w:cs="Arial"/>
          <w:b/>
          <w:sz w:val="24"/>
          <w:szCs w:val="24"/>
          <w:lang w:val="en-ZA" w:eastAsia="en-GB"/>
        </w:rPr>
        <w:t>IN THE HIGH COURT OF SOUTH AFRICA</w:t>
      </w:r>
    </w:p>
    <w:p w14:paraId="5D18AE8A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r w:rsidRPr="00FC3E54">
        <w:rPr>
          <w:rFonts w:eastAsia="Times New Roman" w:cs="Arial"/>
          <w:b/>
          <w:sz w:val="24"/>
          <w:szCs w:val="24"/>
          <w:lang w:val="en-ZA" w:eastAsia="en-GB"/>
        </w:rPr>
        <w:t xml:space="preserve">GAUTENG DIVISION </w:t>
      </w:r>
    </w:p>
    <w:p w14:paraId="16ECD1C1" w14:textId="77777777" w:rsidR="00FC3E54" w:rsidRPr="00FC3E54" w:rsidRDefault="00FC3E54" w:rsidP="00FC3E5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n-ZA" w:eastAsia="en-GB"/>
        </w:rPr>
      </w:pPr>
      <w:r w:rsidRPr="00FC3E54">
        <w:rPr>
          <w:rFonts w:eastAsia="Times New Roman" w:cs="Arial"/>
          <w:b/>
          <w:sz w:val="24"/>
          <w:szCs w:val="24"/>
          <w:lang w:val="en-ZA" w:eastAsia="en-GB"/>
        </w:rPr>
        <w:t>LOCAL SEAT, JOHANNESBURG</w:t>
      </w:r>
    </w:p>
    <w:p w14:paraId="1637A8FD" w14:textId="77777777" w:rsidR="00FC3E54" w:rsidRDefault="00FC3E54" w:rsidP="00C46165">
      <w:pPr>
        <w:spacing w:before="240" w:line="240" w:lineRule="auto"/>
        <w:ind w:right="98"/>
        <w:jc w:val="right"/>
        <w:rPr>
          <w:rFonts w:cs="Arial"/>
          <w:b/>
          <w:sz w:val="24"/>
          <w:szCs w:val="24"/>
          <w:lang w:eastAsia="en-GB"/>
        </w:rPr>
      </w:pPr>
    </w:p>
    <w:p w14:paraId="705ABD83" w14:textId="3D041C08" w:rsidR="00C46165" w:rsidRDefault="00EB54A7" w:rsidP="00C46165">
      <w:pPr>
        <w:spacing w:before="240" w:line="240" w:lineRule="auto"/>
        <w:ind w:right="98"/>
        <w:jc w:val="right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CASE NO</w:t>
      </w:r>
      <w:r w:rsidR="00C46165" w:rsidRPr="0024480A">
        <w:rPr>
          <w:rFonts w:cs="Arial"/>
          <w:b/>
          <w:sz w:val="24"/>
          <w:szCs w:val="24"/>
          <w:lang w:eastAsia="en-GB"/>
        </w:rPr>
        <w:t>:</w:t>
      </w:r>
      <w:r w:rsidR="004F3788">
        <w:rPr>
          <w:rFonts w:cs="Arial"/>
          <w:b/>
          <w:sz w:val="24"/>
          <w:szCs w:val="24"/>
          <w:lang w:eastAsia="en-GB"/>
        </w:rPr>
        <w:t xml:space="preserve"> </w:t>
      </w:r>
      <w:r w:rsidR="00185F28">
        <w:rPr>
          <w:rFonts w:cs="Arial"/>
          <w:b/>
          <w:sz w:val="24"/>
          <w:szCs w:val="24"/>
          <w:lang w:eastAsia="en-GB"/>
        </w:rPr>
        <w:t>00</w:t>
      </w:r>
      <w:r w:rsidR="00481497">
        <w:rPr>
          <w:rFonts w:cs="Arial"/>
          <w:b/>
          <w:sz w:val="24"/>
          <w:szCs w:val="24"/>
          <w:lang w:eastAsia="en-GB"/>
        </w:rPr>
        <w:t>3406</w:t>
      </w:r>
      <w:r w:rsidR="004F3788">
        <w:rPr>
          <w:rFonts w:cs="Arial"/>
          <w:b/>
          <w:sz w:val="24"/>
          <w:szCs w:val="24"/>
          <w:lang w:eastAsia="en-GB"/>
        </w:rPr>
        <w:t xml:space="preserve"> </w:t>
      </w:r>
      <w:r w:rsidR="009364B0">
        <w:rPr>
          <w:rFonts w:cs="Arial"/>
          <w:b/>
          <w:sz w:val="24"/>
          <w:szCs w:val="24"/>
          <w:lang w:eastAsia="en-GB"/>
        </w:rPr>
        <w:t>/20</w:t>
      </w:r>
      <w:r w:rsidR="00185F28">
        <w:rPr>
          <w:rFonts w:cs="Arial"/>
          <w:b/>
          <w:sz w:val="24"/>
          <w:szCs w:val="24"/>
          <w:lang w:eastAsia="en-GB"/>
        </w:rPr>
        <w:t>23</w:t>
      </w:r>
    </w:p>
    <w:p w14:paraId="64252EFE" w14:textId="615830E2" w:rsidR="00F21918" w:rsidRDefault="00CD699A" w:rsidP="00C46165">
      <w:pPr>
        <w:spacing w:before="240" w:line="240" w:lineRule="auto"/>
        <w:ind w:right="98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eastAsia="en-GB"/>
        </w:rPr>
        <w:t xml:space="preserve"> </w:t>
      </w:r>
      <w:r w:rsidR="002955C6">
        <w:rPr>
          <w:rFonts w:cs="Arial"/>
          <w:b/>
          <w:sz w:val="24"/>
          <w:szCs w:val="24"/>
        </w:rPr>
        <w:t>DATE:</w:t>
      </w:r>
      <w:r w:rsidR="004F3788">
        <w:rPr>
          <w:rFonts w:cs="Arial"/>
          <w:b/>
          <w:sz w:val="24"/>
          <w:szCs w:val="24"/>
        </w:rPr>
        <w:t xml:space="preserve"> </w:t>
      </w:r>
      <w:r w:rsidR="00787E7D">
        <w:rPr>
          <w:rFonts w:cs="Arial"/>
          <w:b/>
          <w:sz w:val="24"/>
          <w:szCs w:val="24"/>
        </w:rPr>
        <w:t>2</w:t>
      </w:r>
      <w:r w:rsidR="00EF1724">
        <w:rPr>
          <w:rFonts w:cs="Arial"/>
          <w:b/>
          <w:sz w:val="24"/>
          <w:szCs w:val="24"/>
        </w:rPr>
        <w:t>7</w:t>
      </w:r>
      <w:r w:rsidR="004F3788">
        <w:rPr>
          <w:rFonts w:cs="Arial"/>
          <w:b/>
          <w:sz w:val="24"/>
          <w:szCs w:val="24"/>
        </w:rPr>
        <w:t xml:space="preserve"> </w:t>
      </w:r>
      <w:r w:rsidR="00185F28">
        <w:rPr>
          <w:rFonts w:cs="Arial"/>
          <w:b/>
          <w:sz w:val="24"/>
          <w:szCs w:val="24"/>
        </w:rPr>
        <w:t>October</w:t>
      </w:r>
      <w:r w:rsidR="004F3788">
        <w:rPr>
          <w:rFonts w:cs="Arial"/>
          <w:b/>
          <w:sz w:val="24"/>
          <w:szCs w:val="24"/>
        </w:rPr>
        <w:t xml:space="preserve"> 202</w:t>
      </w:r>
      <w:r w:rsidR="00185F28">
        <w:rPr>
          <w:rFonts w:cs="Arial"/>
          <w:b/>
          <w:sz w:val="24"/>
          <w:szCs w:val="24"/>
        </w:rPr>
        <w:t>3</w:t>
      </w:r>
    </w:p>
    <w:p w14:paraId="0188AF67" w14:textId="77777777" w:rsidR="00F21918" w:rsidRPr="0024480A" w:rsidRDefault="00F21918" w:rsidP="00C46165">
      <w:pPr>
        <w:spacing w:before="240" w:line="240" w:lineRule="auto"/>
        <w:ind w:right="98"/>
        <w:jc w:val="right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</w:tblGrid>
      <w:tr w:rsidR="00C46165" w:rsidRPr="0024480A" w14:paraId="4F0F0E57" w14:textId="77777777" w:rsidTr="00A82DE1">
        <w:tc>
          <w:tcPr>
            <w:tcW w:w="4855" w:type="dxa"/>
          </w:tcPr>
          <w:p w14:paraId="73BDAFD2" w14:textId="77777777" w:rsidR="00C46165" w:rsidRPr="004A1A9A" w:rsidRDefault="00C46165" w:rsidP="00A82DE1">
            <w:pPr>
              <w:spacing w:before="240"/>
              <w:ind w:right="101"/>
              <w:contextualSpacing/>
              <w:rPr>
                <w:rFonts w:cs="Arial"/>
                <w:b/>
                <w:szCs w:val="20"/>
                <w:lang w:eastAsia="en-GB"/>
              </w:rPr>
            </w:pPr>
            <w:r w:rsidRPr="004A1A9A">
              <w:rPr>
                <w:rFonts w:cs="Arial"/>
                <w:b/>
                <w:szCs w:val="20"/>
                <w:lang w:eastAsia="en-GB"/>
              </w:rPr>
              <w:t>DELETE WHICHEVER IS NOT APPLICABLE</w:t>
            </w:r>
          </w:p>
        </w:tc>
      </w:tr>
      <w:tr w:rsidR="00C46165" w:rsidRPr="0024480A" w14:paraId="6D53DC9A" w14:textId="77777777" w:rsidTr="00A82DE1">
        <w:tc>
          <w:tcPr>
            <w:tcW w:w="4855" w:type="dxa"/>
          </w:tcPr>
          <w:p w14:paraId="0FA5F926" w14:textId="77777777" w:rsidR="00C46165" w:rsidRPr="004A1A9A" w:rsidRDefault="00C46165" w:rsidP="00A82DE1">
            <w:pPr>
              <w:spacing w:before="240"/>
              <w:ind w:right="101"/>
              <w:rPr>
                <w:rFonts w:cs="Arial"/>
                <w:szCs w:val="20"/>
                <w:lang w:eastAsia="en-GB"/>
              </w:rPr>
            </w:pPr>
            <w:r w:rsidRPr="004A1A9A">
              <w:rPr>
                <w:rFonts w:cs="Arial"/>
                <w:szCs w:val="20"/>
                <w:lang w:eastAsia="en-GB"/>
              </w:rPr>
              <w:t xml:space="preserve">1. </w:t>
            </w:r>
            <w:r w:rsidR="00CA4D53" w:rsidRPr="004A1A9A">
              <w:rPr>
                <w:rFonts w:cs="Arial"/>
                <w:szCs w:val="20"/>
                <w:lang w:eastAsia="en-GB"/>
              </w:rPr>
              <w:t>Reportable</w:t>
            </w:r>
            <w:r w:rsidRPr="004A1A9A">
              <w:rPr>
                <w:rFonts w:cs="Arial"/>
                <w:szCs w:val="20"/>
                <w:lang w:eastAsia="en-GB"/>
              </w:rPr>
              <w:t xml:space="preserve">: </w:t>
            </w:r>
            <w:r w:rsidR="00CA4D53" w:rsidRPr="004A1A9A">
              <w:rPr>
                <w:rFonts w:cs="Arial"/>
                <w:szCs w:val="20"/>
                <w:lang w:eastAsia="en-GB"/>
              </w:rPr>
              <w:t xml:space="preserve">Yes </w:t>
            </w:r>
            <w:r w:rsidRPr="004A1A9A">
              <w:rPr>
                <w:rFonts w:cs="Arial"/>
                <w:szCs w:val="20"/>
                <w:lang w:eastAsia="en-GB"/>
              </w:rPr>
              <w:t xml:space="preserve">/ </w:t>
            </w:r>
            <w:r w:rsidR="00CA4D53" w:rsidRPr="004A1A9A">
              <w:rPr>
                <w:rFonts w:cs="Arial"/>
                <w:szCs w:val="20"/>
                <w:lang w:eastAsia="en-GB"/>
              </w:rPr>
              <w:t>No</w:t>
            </w:r>
          </w:p>
        </w:tc>
      </w:tr>
      <w:tr w:rsidR="00C46165" w:rsidRPr="0024480A" w14:paraId="3310EA17" w14:textId="77777777" w:rsidTr="00A82DE1">
        <w:tc>
          <w:tcPr>
            <w:tcW w:w="4855" w:type="dxa"/>
          </w:tcPr>
          <w:p w14:paraId="4542E9D2" w14:textId="118350E4" w:rsidR="00C46165" w:rsidRPr="004A1A9A" w:rsidRDefault="00C46165" w:rsidP="00A82DE1">
            <w:pPr>
              <w:spacing w:before="240"/>
              <w:ind w:right="101"/>
              <w:contextualSpacing/>
              <w:rPr>
                <w:rFonts w:cs="Arial"/>
                <w:szCs w:val="20"/>
                <w:lang w:eastAsia="en-GB"/>
              </w:rPr>
            </w:pPr>
            <w:r w:rsidRPr="004A1A9A">
              <w:rPr>
                <w:rFonts w:cs="Arial"/>
                <w:szCs w:val="20"/>
                <w:lang w:eastAsia="en-GB"/>
              </w:rPr>
              <w:t xml:space="preserve">2. </w:t>
            </w:r>
            <w:r w:rsidR="00CA4D53" w:rsidRPr="004A1A9A">
              <w:rPr>
                <w:rFonts w:cs="Arial"/>
                <w:szCs w:val="20"/>
                <w:lang w:eastAsia="en-GB"/>
              </w:rPr>
              <w:t xml:space="preserve">Of Interest </w:t>
            </w:r>
            <w:r w:rsidR="00660BD5">
              <w:rPr>
                <w:rFonts w:cs="Arial"/>
                <w:szCs w:val="20"/>
                <w:lang w:eastAsia="en-GB"/>
              </w:rPr>
              <w:t>t</w:t>
            </w:r>
            <w:r w:rsidR="00CA4D53" w:rsidRPr="004A1A9A">
              <w:rPr>
                <w:rFonts w:cs="Arial"/>
                <w:szCs w:val="20"/>
                <w:lang w:eastAsia="en-GB"/>
              </w:rPr>
              <w:t>o Other Judges</w:t>
            </w:r>
            <w:r w:rsidRPr="004A1A9A">
              <w:rPr>
                <w:rFonts w:cs="Arial"/>
                <w:szCs w:val="20"/>
                <w:lang w:eastAsia="en-GB"/>
              </w:rPr>
              <w:t xml:space="preserve">: </w:t>
            </w:r>
            <w:r w:rsidR="00CA4D53" w:rsidRPr="004A1A9A">
              <w:rPr>
                <w:rFonts w:cs="Arial"/>
                <w:szCs w:val="20"/>
                <w:lang w:eastAsia="en-GB"/>
              </w:rPr>
              <w:t>Yes / No</w:t>
            </w:r>
          </w:p>
        </w:tc>
      </w:tr>
      <w:tr w:rsidR="00C46165" w:rsidRPr="0024480A" w14:paraId="075CF9D0" w14:textId="77777777" w:rsidTr="00A82DE1">
        <w:tc>
          <w:tcPr>
            <w:tcW w:w="4855" w:type="dxa"/>
            <w:tcBorders>
              <w:bottom w:val="nil"/>
            </w:tcBorders>
          </w:tcPr>
          <w:p w14:paraId="2AF1552A" w14:textId="77777777" w:rsidR="00C46165" w:rsidRPr="004A1A9A" w:rsidRDefault="00C46165" w:rsidP="00A82DE1">
            <w:pPr>
              <w:spacing w:before="240"/>
              <w:ind w:right="101"/>
              <w:contextualSpacing/>
              <w:rPr>
                <w:rFonts w:cs="Arial"/>
                <w:szCs w:val="20"/>
                <w:lang w:eastAsia="en-GB"/>
              </w:rPr>
            </w:pPr>
            <w:r w:rsidRPr="004A1A9A">
              <w:rPr>
                <w:rFonts w:cs="Arial"/>
                <w:szCs w:val="20"/>
                <w:lang w:eastAsia="en-GB"/>
              </w:rPr>
              <w:t xml:space="preserve">3. </w:t>
            </w:r>
            <w:r w:rsidR="00CA4D53" w:rsidRPr="004A1A9A">
              <w:rPr>
                <w:rFonts w:cs="Arial"/>
                <w:szCs w:val="20"/>
                <w:lang w:eastAsia="en-GB"/>
              </w:rPr>
              <w:t>Revised</w:t>
            </w:r>
          </w:p>
        </w:tc>
      </w:tr>
      <w:tr w:rsidR="00C46165" w:rsidRPr="0024480A" w14:paraId="2FE9F56F" w14:textId="77777777" w:rsidTr="00A82DE1">
        <w:tc>
          <w:tcPr>
            <w:tcW w:w="4855" w:type="dxa"/>
            <w:tcBorders>
              <w:top w:val="nil"/>
              <w:bottom w:val="nil"/>
            </w:tcBorders>
          </w:tcPr>
          <w:p w14:paraId="14E853F7" w14:textId="77777777" w:rsidR="00C46165" w:rsidRPr="004A1A9A" w:rsidRDefault="00C46165" w:rsidP="00A82DE1">
            <w:pPr>
              <w:spacing w:before="240"/>
              <w:ind w:right="101"/>
              <w:contextualSpacing/>
              <w:rPr>
                <w:rFonts w:cs="Arial"/>
                <w:szCs w:val="20"/>
                <w:u w:val="single"/>
                <w:lang w:eastAsia="en-GB"/>
              </w:rPr>
            </w:pPr>
          </w:p>
        </w:tc>
      </w:tr>
      <w:tr w:rsidR="00C46165" w:rsidRPr="0024480A" w14:paraId="79505F97" w14:textId="77777777" w:rsidTr="00A82DE1">
        <w:tc>
          <w:tcPr>
            <w:tcW w:w="4855" w:type="dxa"/>
            <w:tcBorders>
              <w:top w:val="nil"/>
            </w:tcBorders>
          </w:tcPr>
          <w:p w14:paraId="3D7980D6" w14:textId="77777777" w:rsidR="00C46165" w:rsidRPr="004A1A9A" w:rsidRDefault="00C46165" w:rsidP="00A82DE1">
            <w:pPr>
              <w:spacing w:before="240"/>
              <w:ind w:right="101"/>
              <w:contextualSpacing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DATE:</w:t>
            </w:r>
            <w:r w:rsidRPr="004A1A9A">
              <w:rPr>
                <w:rFonts w:cs="Arial"/>
                <w:szCs w:val="20"/>
                <w:lang w:eastAsia="en-GB"/>
              </w:rPr>
              <w:t xml:space="preserve">                            SIGNATURE</w:t>
            </w:r>
            <w:r>
              <w:rPr>
                <w:rFonts w:cs="Arial"/>
                <w:szCs w:val="20"/>
                <w:lang w:eastAsia="en-GB"/>
              </w:rPr>
              <w:t>:</w:t>
            </w:r>
          </w:p>
        </w:tc>
      </w:tr>
    </w:tbl>
    <w:p w14:paraId="1B70197F" w14:textId="77777777" w:rsidR="00C46165" w:rsidRPr="0024480A" w:rsidRDefault="00C46165" w:rsidP="00C46165">
      <w:pPr>
        <w:spacing w:before="240" w:after="0" w:line="240" w:lineRule="auto"/>
        <w:ind w:right="101"/>
        <w:rPr>
          <w:rFonts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471"/>
      </w:tblGrid>
      <w:tr w:rsidR="00C46165" w:rsidRPr="0024480A" w14:paraId="736B4F15" w14:textId="77777777" w:rsidTr="00895B6B">
        <w:tc>
          <w:tcPr>
            <w:tcW w:w="4889" w:type="dxa"/>
          </w:tcPr>
          <w:p w14:paraId="368ED782" w14:textId="77777777" w:rsidR="00C46165" w:rsidRPr="0024480A" w:rsidRDefault="00C46165" w:rsidP="00A82DE1">
            <w:pPr>
              <w:spacing w:before="240" w:after="120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24480A">
              <w:rPr>
                <w:rFonts w:cs="Arial"/>
                <w:sz w:val="24"/>
                <w:szCs w:val="24"/>
                <w:lang w:eastAsia="en-GB"/>
              </w:rPr>
              <w:t>In the matter between:</w:t>
            </w:r>
          </w:p>
        </w:tc>
        <w:tc>
          <w:tcPr>
            <w:tcW w:w="4471" w:type="dxa"/>
          </w:tcPr>
          <w:p w14:paraId="20EE5CD0" w14:textId="77777777" w:rsidR="00C46165" w:rsidRPr="0024480A" w:rsidRDefault="00C46165" w:rsidP="00A82DE1">
            <w:pPr>
              <w:spacing w:before="240" w:after="120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C46165" w:rsidRPr="0024480A" w14:paraId="41704C40" w14:textId="77777777" w:rsidTr="00895B6B">
        <w:tc>
          <w:tcPr>
            <w:tcW w:w="4889" w:type="dxa"/>
          </w:tcPr>
          <w:p w14:paraId="1CC92FD3" w14:textId="557E297A" w:rsidR="009364B0" w:rsidRPr="00185F28" w:rsidRDefault="00481497" w:rsidP="00A82DE1">
            <w:pPr>
              <w:spacing w:before="240" w:after="120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  <w:szCs w:val="24"/>
                <w:lang w:eastAsia="en-GB"/>
              </w:rPr>
              <w:t>SA Taxi Impact Fund (RF) (Pty) Ltd</w:t>
            </w:r>
          </w:p>
        </w:tc>
        <w:tc>
          <w:tcPr>
            <w:tcW w:w="4471" w:type="dxa"/>
          </w:tcPr>
          <w:p w14:paraId="424DE5A9" w14:textId="3B17CF97" w:rsidR="00895B6B" w:rsidRPr="00D06A29" w:rsidRDefault="00EB54A7" w:rsidP="00D06A29">
            <w:pPr>
              <w:spacing w:before="240" w:after="120"/>
              <w:jc w:val="right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D06A29">
              <w:rPr>
                <w:rFonts w:cs="Arial"/>
                <w:b/>
                <w:bCs/>
                <w:sz w:val="24"/>
                <w:szCs w:val="24"/>
                <w:lang w:eastAsia="en-GB"/>
              </w:rPr>
              <w:t>Applicant</w:t>
            </w:r>
            <w:r w:rsidR="00EF1724">
              <w:rPr>
                <w:rFonts w:cs="Arial"/>
                <w:b/>
                <w:bCs/>
                <w:sz w:val="24"/>
                <w:szCs w:val="24"/>
                <w:lang w:eastAsia="en-GB"/>
              </w:rPr>
              <w:t>/Plaintiff</w:t>
            </w:r>
          </w:p>
        </w:tc>
      </w:tr>
      <w:tr w:rsidR="00D06A29" w:rsidRPr="0024480A" w14:paraId="491CC945" w14:textId="77777777" w:rsidTr="00895B6B">
        <w:tc>
          <w:tcPr>
            <w:tcW w:w="4889" w:type="dxa"/>
          </w:tcPr>
          <w:p w14:paraId="09CC5CEA" w14:textId="70622EDC" w:rsidR="00D06A29" w:rsidRPr="00D95692" w:rsidRDefault="00D06A29" w:rsidP="00A82DE1">
            <w:pPr>
              <w:spacing w:before="24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and</w:t>
            </w:r>
          </w:p>
        </w:tc>
        <w:tc>
          <w:tcPr>
            <w:tcW w:w="4471" w:type="dxa"/>
          </w:tcPr>
          <w:p w14:paraId="00153848" w14:textId="77777777" w:rsidR="00D06A29" w:rsidRDefault="00D06A29" w:rsidP="00A82DE1">
            <w:pPr>
              <w:spacing w:before="240"/>
              <w:jc w:val="right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C46165" w:rsidRPr="0024480A" w14:paraId="60808901" w14:textId="77777777" w:rsidTr="00895B6B">
        <w:tc>
          <w:tcPr>
            <w:tcW w:w="4889" w:type="dxa"/>
          </w:tcPr>
          <w:p w14:paraId="4AE6C21C" w14:textId="1E94FA5D" w:rsidR="00C46165" w:rsidRPr="0024480A" w:rsidRDefault="00481497" w:rsidP="00A82DE1">
            <w:pPr>
              <w:spacing w:before="240" w:after="120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z w:val="24"/>
              </w:rPr>
              <w:t>Kgasi, Lucas Joshua</w:t>
            </w:r>
          </w:p>
        </w:tc>
        <w:tc>
          <w:tcPr>
            <w:tcW w:w="4471" w:type="dxa"/>
          </w:tcPr>
          <w:p w14:paraId="11B17920" w14:textId="5654D90C" w:rsidR="00C46165" w:rsidRPr="00D06A29" w:rsidRDefault="00EB54A7" w:rsidP="00A82DE1">
            <w:pPr>
              <w:spacing w:before="240" w:after="120"/>
              <w:jc w:val="right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D06A29">
              <w:rPr>
                <w:rFonts w:cs="Arial"/>
                <w:b/>
                <w:bCs/>
                <w:sz w:val="24"/>
                <w:szCs w:val="24"/>
                <w:lang w:eastAsia="en-GB"/>
              </w:rPr>
              <w:t>Respondent</w:t>
            </w:r>
            <w:r w:rsidR="00EF1724">
              <w:rPr>
                <w:rFonts w:cs="Arial"/>
                <w:b/>
                <w:bCs/>
                <w:sz w:val="24"/>
                <w:szCs w:val="24"/>
                <w:lang w:eastAsia="en-GB"/>
              </w:rPr>
              <w:t>/Defendant</w:t>
            </w:r>
          </w:p>
        </w:tc>
      </w:tr>
      <w:tr w:rsidR="00C46165" w:rsidRPr="0024480A" w14:paraId="23D2E9E1" w14:textId="77777777" w:rsidTr="00895B6B">
        <w:tc>
          <w:tcPr>
            <w:tcW w:w="4889" w:type="dxa"/>
          </w:tcPr>
          <w:p w14:paraId="408A4EC8" w14:textId="5CE97678" w:rsidR="009364B0" w:rsidRPr="0024480A" w:rsidRDefault="009364B0" w:rsidP="00A82DE1">
            <w:pPr>
              <w:spacing w:before="240" w:after="120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471" w:type="dxa"/>
          </w:tcPr>
          <w:p w14:paraId="74A973F8" w14:textId="12C9A5C7" w:rsidR="009364B0" w:rsidRPr="00D06A29" w:rsidRDefault="009364B0" w:rsidP="00A82DE1">
            <w:pPr>
              <w:spacing w:before="240" w:after="120"/>
              <w:jc w:val="right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46165" w:rsidRPr="009A46AD" w14:paraId="00F04E2A" w14:textId="77777777" w:rsidTr="00D06A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2"/>
          </w:tcPr>
          <w:p w14:paraId="11122A60" w14:textId="77777777" w:rsidR="00C46165" w:rsidRPr="009A46AD" w:rsidRDefault="00C46165" w:rsidP="00A82DE1">
            <w:pPr>
              <w:spacing w:before="360" w:after="360" w:line="360" w:lineRule="exact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JUDGMENT</w:t>
            </w:r>
          </w:p>
        </w:tc>
      </w:tr>
    </w:tbl>
    <w:p w14:paraId="1DF357F5" w14:textId="77777777" w:rsidR="00C46165" w:rsidRDefault="00C46165">
      <w:pPr>
        <w:rPr>
          <w:b/>
        </w:rPr>
      </w:pPr>
      <w:bookmarkStart w:id="1" w:name="_GoBack"/>
      <w:bookmarkEnd w:id="1"/>
    </w:p>
    <w:p w14:paraId="1B821C69" w14:textId="77777777" w:rsidR="00C46165" w:rsidRDefault="009364B0" w:rsidP="0037771E">
      <w:pPr>
        <w:rPr>
          <w:sz w:val="24"/>
        </w:rPr>
      </w:pPr>
      <w:r>
        <w:rPr>
          <w:b/>
          <w:sz w:val="24"/>
          <w:szCs w:val="24"/>
        </w:rPr>
        <w:t xml:space="preserve">Johann </w:t>
      </w:r>
      <w:r w:rsidR="00681F44">
        <w:rPr>
          <w:b/>
          <w:sz w:val="24"/>
          <w:szCs w:val="24"/>
        </w:rPr>
        <w:t>Gauts</w:t>
      </w:r>
      <w:r w:rsidR="0037771E">
        <w:rPr>
          <w:b/>
          <w:sz w:val="24"/>
          <w:szCs w:val="24"/>
        </w:rPr>
        <w:t>c</w:t>
      </w:r>
      <w:r w:rsidR="00681F44">
        <w:rPr>
          <w:b/>
          <w:sz w:val="24"/>
          <w:szCs w:val="24"/>
        </w:rPr>
        <w:t>h</w:t>
      </w:r>
      <w:r w:rsidR="0037771E">
        <w:rPr>
          <w:b/>
          <w:sz w:val="24"/>
          <w:szCs w:val="24"/>
        </w:rPr>
        <w:t>i</w:t>
      </w:r>
      <w:r w:rsidR="00681F44">
        <w:rPr>
          <w:b/>
          <w:sz w:val="24"/>
          <w:szCs w:val="24"/>
        </w:rPr>
        <w:t xml:space="preserve"> </w:t>
      </w:r>
      <w:r w:rsidR="0037771E">
        <w:rPr>
          <w:b/>
          <w:sz w:val="24"/>
          <w:szCs w:val="24"/>
        </w:rPr>
        <w:t>A</w:t>
      </w:r>
      <w:r w:rsidR="009A5E4B">
        <w:rPr>
          <w:b/>
          <w:sz w:val="24"/>
          <w:szCs w:val="24"/>
        </w:rPr>
        <w:t>J</w:t>
      </w:r>
    </w:p>
    <w:p w14:paraId="58A5EA23" w14:textId="7B77A91F" w:rsidR="00D14F71" w:rsidRDefault="009364B0" w:rsidP="00E45C36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>Th</w:t>
      </w:r>
      <w:r w:rsidR="00766F5E">
        <w:rPr>
          <w:sz w:val="24"/>
        </w:rPr>
        <w:t xml:space="preserve">e plaintiff, a registered credit provider, seeks </w:t>
      </w:r>
      <w:r w:rsidR="00481497">
        <w:rPr>
          <w:sz w:val="24"/>
        </w:rPr>
        <w:t>summary judgment</w:t>
      </w:r>
      <w:r w:rsidR="00766F5E">
        <w:rPr>
          <w:sz w:val="24"/>
        </w:rPr>
        <w:t xml:space="preserve"> for the return of a taxi motor vehicle</w:t>
      </w:r>
      <w:r w:rsidR="00465462">
        <w:rPr>
          <w:sz w:val="24"/>
        </w:rPr>
        <w:t>, 2022 Toyota Quantum/HiAce 2.5 D-4D Sesfikile 16S with engine number 2KDB111318 and chassis number AHTSS22P707134605,</w:t>
      </w:r>
      <w:r w:rsidR="00766F5E">
        <w:rPr>
          <w:sz w:val="24"/>
        </w:rPr>
        <w:t xml:space="preserve"> following </w:t>
      </w:r>
      <w:r w:rsidR="0082194B">
        <w:rPr>
          <w:sz w:val="24"/>
        </w:rPr>
        <w:t xml:space="preserve">cancellation of </w:t>
      </w:r>
      <w:r w:rsidR="00766F5E">
        <w:rPr>
          <w:sz w:val="24"/>
        </w:rPr>
        <w:t>a written credit agreement</w:t>
      </w:r>
      <w:r w:rsidR="0082194B">
        <w:rPr>
          <w:sz w:val="24"/>
        </w:rPr>
        <w:t xml:space="preserve"> (the agreement)</w:t>
      </w:r>
      <w:r w:rsidR="0094036B">
        <w:rPr>
          <w:sz w:val="24"/>
        </w:rPr>
        <w:t xml:space="preserve"> between </w:t>
      </w:r>
      <w:r w:rsidR="00766F5E">
        <w:rPr>
          <w:sz w:val="24"/>
        </w:rPr>
        <w:t>the plaintiff and the defendant</w:t>
      </w:r>
      <w:r w:rsidR="0082194B" w:rsidRPr="0082194B">
        <w:rPr>
          <w:sz w:val="24"/>
        </w:rPr>
        <w:t xml:space="preserve"> </w:t>
      </w:r>
      <w:r w:rsidR="0082194B">
        <w:rPr>
          <w:sz w:val="24"/>
        </w:rPr>
        <w:t xml:space="preserve">as result of defendant’s alleged breach of the agreement by reason of </w:t>
      </w:r>
      <w:r w:rsidR="0094036B">
        <w:rPr>
          <w:sz w:val="24"/>
        </w:rPr>
        <w:t xml:space="preserve">the defendant </w:t>
      </w:r>
      <w:r w:rsidR="0082194B">
        <w:rPr>
          <w:sz w:val="24"/>
        </w:rPr>
        <w:t>failing to pay the instalments due in terms of the agreement</w:t>
      </w:r>
      <w:r w:rsidR="00EF1724">
        <w:rPr>
          <w:sz w:val="24"/>
        </w:rPr>
        <w:t>.</w:t>
      </w:r>
    </w:p>
    <w:p w14:paraId="09D3E743" w14:textId="6789D79B" w:rsidR="004B55AD" w:rsidRDefault="00766F5E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 xml:space="preserve">The defence pleaded by the defendant is a denial that there ever was an agreement because he did not understand what he was signing, that he was induced into signing the agreement through a misrepresentation, that he was coerced into signing the agreement and that in any event the agreement was void </w:t>
      </w:r>
      <w:r w:rsidRPr="005F5863">
        <w:rPr>
          <w:i/>
          <w:iCs/>
          <w:sz w:val="24"/>
        </w:rPr>
        <w:t>ab initio</w:t>
      </w:r>
      <w:r>
        <w:rPr>
          <w:sz w:val="24"/>
        </w:rPr>
        <w:t xml:space="preserve"> because the credit granted to him by the plaintiff constituted reckless lending as provided in the National Credit Act</w:t>
      </w:r>
      <w:r w:rsidR="005F5863">
        <w:rPr>
          <w:sz w:val="24"/>
        </w:rPr>
        <w:t>, 34 of 2005 (the Act). The defendant also denies having received the letter</w:t>
      </w:r>
      <w:r w:rsidR="000A5EBB">
        <w:rPr>
          <w:sz w:val="24"/>
        </w:rPr>
        <w:t xml:space="preserve"> required </w:t>
      </w:r>
      <w:r w:rsidR="005F5863">
        <w:rPr>
          <w:sz w:val="24"/>
        </w:rPr>
        <w:t>by section 129 of the Act.</w:t>
      </w:r>
    </w:p>
    <w:p w14:paraId="6291066D" w14:textId="5A9FFE63" w:rsidR="0078368F" w:rsidRDefault="0094036B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 xml:space="preserve">The difficulty facing the defendant is that, whilst claiming that the agreement is void </w:t>
      </w:r>
      <w:r w:rsidRPr="00B8639A">
        <w:rPr>
          <w:i/>
          <w:iCs/>
          <w:sz w:val="24"/>
        </w:rPr>
        <w:t>ab initio</w:t>
      </w:r>
      <w:r>
        <w:rPr>
          <w:sz w:val="24"/>
        </w:rPr>
        <w:t>, he also claims to be entitled to retain the vehicle and has retained the vehicle for over a year since conclusion of the credit agreement in April 2022.</w:t>
      </w:r>
    </w:p>
    <w:p w14:paraId="11370D83" w14:textId="0E4CB18D" w:rsidR="000A5EBB" w:rsidRDefault="0094036B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 xml:space="preserve">The heads of argument filed by the defendant’s </w:t>
      </w:r>
      <w:r w:rsidR="00287B62">
        <w:rPr>
          <w:sz w:val="24"/>
        </w:rPr>
        <w:t xml:space="preserve">own </w:t>
      </w:r>
      <w:r>
        <w:rPr>
          <w:sz w:val="24"/>
        </w:rPr>
        <w:t xml:space="preserve">counsel draws attention to the judgment in </w:t>
      </w:r>
      <w:r w:rsidRPr="0094036B">
        <w:rPr>
          <w:sz w:val="24"/>
          <w:u w:val="single"/>
        </w:rPr>
        <w:t>Standard Bank Of South Africa Ltd v Panayiotts</w:t>
      </w:r>
      <w:r>
        <w:rPr>
          <w:sz w:val="24"/>
        </w:rPr>
        <w:t xml:space="preserve"> </w:t>
      </w:r>
      <w:r w:rsidR="000A5EBB" w:rsidRPr="000A5EBB">
        <w:rPr>
          <w:sz w:val="24"/>
        </w:rPr>
        <w:t>2009 (3) SA 363 (W)</w:t>
      </w:r>
      <w:r>
        <w:rPr>
          <w:sz w:val="24"/>
        </w:rPr>
        <w:t xml:space="preserve"> in which it is held that the Act does not envisage that a consumer may claim that the credit agreement </w:t>
      </w:r>
      <w:r w:rsidR="00DF0795">
        <w:rPr>
          <w:sz w:val="24"/>
        </w:rPr>
        <w:t>i</w:t>
      </w:r>
      <w:r>
        <w:rPr>
          <w:sz w:val="24"/>
        </w:rPr>
        <w:t>s reckless whilst at the same time retaining possession of the goods which form the subject matter of the agreement.</w:t>
      </w:r>
    </w:p>
    <w:p w14:paraId="3934F16E" w14:textId="77777777" w:rsidR="00287B62" w:rsidRDefault="0094036B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 xml:space="preserve">The judgment in </w:t>
      </w:r>
      <w:r w:rsidR="000A5EBB" w:rsidRPr="0094036B">
        <w:rPr>
          <w:sz w:val="24"/>
          <w:u w:val="single"/>
        </w:rPr>
        <w:t>SA</w:t>
      </w:r>
      <w:r w:rsidRPr="0094036B">
        <w:rPr>
          <w:sz w:val="24"/>
          <w:u w:val="single"/>
        </w:rPr>
        <w:t xml:space="preserve"> Taxi Securitisation (Pty) Ltd v Mbatha and Two Similar Cases</w:t>
      </w:r>
      <w:r>
        <w:rPr>
          <w:sz w:val="24"/>
        </w:rPr>
        <w:t xml:space="preserve"> </w:t>
      </w:r>
      <w:r w:rsidR="000A5EBB" w:rsidRPr="000A5EBB">
        <w:rPr>
          <w:sz w:val="24"/>
        </w:rPr>
        <w:t>2011 (1) SA 310 (GSJ)</w:t>
      </w:r>
      <w:r>
        <w:rPr>
          <w:sz w:val="24"/>
        </w:rPr>
        <w:t xml:space="preserve"> is to similar effect in pointing out that the Act does not contemplate the consumer retaining “</w:t>
      </w:r>
      <w:r w:rsidRPr="0094036B">
        <w:rPr>
          <w:i/>
          <w:iCs/>
          <w:sz w:val="24"/>
        </w:rPr>
        <w:t>the money and the box</w:t>
      </w:r>
      <w:r>
        <w:rPr>
          <w:sz w:val="24"/>
        </w:rPr>
        <w:t>”.</w:t>
      </w:r>
      <w:r w:rsidR="00287B62">
        <w:rPr>
          <w:sz w:val="24"/>
        </w:rPr>
        <w:t xml:space="preserve"> </w:t>
      </w:r>
    </w:p>
    <w:p w14:paraId="657FAE2B" w14:textId="77777777" w:rsidR="00DF0795" w:rsidRDefault="0094036B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>The defendant’s reliance on his alleged failure to receive the section 129 notice in terms of the Act is also to no avail</w:t>
      </w:r>
      <w:r w:rsidR="00287B62">
        <w:rPr>
          <w:sz w:val="24"/>
        </w:rPr>
        <w:t xml:space="preserve"> for reasons set out in the heads of argument of the plaintiff’s counsel</w:t>
      </w:r>
      <w:r>
        <w:rPr>
          <w:sz w:val="24"/>
        </w:rPr>
        <w:t xml:space="preserve">. </w:t>
      </w:r>
    </w:p>
    <w:p w14:paraId="19620AB7" w14:textId="7A041481" w:rsidR="00DF0795" w:rsidRDefault="0094036B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Firstly, </w:t>
      </w:r>
      <w:r w:rsidR="00B8639A">
        <w:rPr>
          <w:sz w:val="24"/>
        </w:rPr>
        <w:t xml:space="preserve">the Track and Trace report from the Post Office attached to the particulars of claim shows that a notification to collect the letter was sent from the post office. This is in compliance with the Constitutional Court judgment in </w:t>
      </w:r>
      <w:r w:rsidR="00B8639A" w:rsidRPr="00B8639A">
        <w:rPr>
          <w:sz w:val="24"/>
          <w:u w:val="single"/>
        </w:rPr>
        <w:t>Standard Bank v Kubyana</w:t>
      </w:r>
      <w:r w:rsidR="00B8639A">
        <w:rPr>
          <w:sz w:val="24"/>
        </w:rPr>
        <w:t xml:space="preserve"> CCT 65/13 which decided that the letter need only reach the defendant’s post offic</w:t>
      </w:r>
      <w:r w:rsidR="00DF0795">
        <w:rPr>
          <w:sz w:val="24"/>
        </w:rPr>
        <w:t>e</w:t>
      </w:r>
      <w:r w:rsidR="00B8639A">
        <w:rPr>
          <w:sz w:val="24"/>
        </w:rPr>
        <w:t xml:space="preserve"> </w:t>
      </w:r>
      <w:r w:rsidR="00DF0795">
        <w:rPr>
          <w:sz w:val="24"/>
        </w:rPr>
        <w:t xml:space="preserve">and </w:t>
      </w:r>
      <w:r w:rsidR="00B8639A">
        <w:rPr>
          <w:sz w:val="24"/>
        </w:rPr>
        <w:t xml:space="preserve">does not need to be collected for the plaintiff to comply with the Act. </w:t>
      </w:r>
    </w:p>
    <w:p w14:paraId="353A983B" w14:textId="5E91DDD3" w:rsidR="004B4F63" w:rsidRDefault="00B8639A" w:rsidP="00481497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 xml:space="preserve">Secondly, as decided in </w:t>
      </w:r>
      <w:r w:rsidR="004B4F63" w:rsidRPr="00B8639A">
        <w:rPr>
          <w:sz w:val="24"/>
          <w:u w:val="single"/>
        </w:rPr>
        <w:t>ABSA</w:t>
      </w:r>
      <w:r w:rsidRPr="00B8639A">
        <w:rPr>
          <w:sz w:val="24"/>
          <w:u w:val="single"/>
        </w:rPr>
        <w:t xml:space="preserve"> Bank Ltd v Petersen</w:t>
      </w:r>
      <w:r>
        <w:rPr>
          <w:sz w:val="24"/>
        </w:rPr>
        <w:t xml:space="preserve"> </w:t>
      </w:r>
      <w:r w:rsidR="004B4F63" w:rsidRPr="004B4F63">
        <w:rPr>
          <w:sz w:val="24"/>
        </w:rPr>
        <w:t>2013 (1) SA 481 (WCC)</w:t>
      </w:r>
      <w:r>
        <w:rPr>
          <w:sz w:val="24"/>
        </w:rPr>
        <w:t>, mere non-receipt of the section 129 letter is not by itself a defence as the respondent must explain how</w:t>
      </w:r>
      <w:r w:rsidR="00EF6AB9">
        <w:rPr>
          <w:sz w:val="24"/>
        </w:rPr>
        <w:t xml:space="preserve"> he </w:t>
      </w:r>
      <w:r>
        <w:rPr>
          <w:sz w:val="24"/>
        </w:rPr>
        <w:t>would have availed himself of the rights afforded by the Act and to put up evidence to demonstrate the prospect of a debt-review application being successful.</w:t>
      </w:r>
      <w:r w:rsidR="00EF6AB9">
        <w:rPr>
          <w:sz w:val="24"/>
        </w:rPr>
        <w:t xml:space="preserve"> The defendant made no attempt to do so in the present case.</w:t>
      </w:r>
    </w:p>
    <w:p w14:paraId="222A0A32" w14:textId="218510B5" w:rsidR="003C66F0" w:rsidRDefault="00C15213" w:rsidP="00E45C36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>In the result</w:t>
      </w:r>
      <w:r w:rsidR="001A2C48">
        <w:rPr>
          <w:sz w:val="24"/>
        </w:rPr>
        <w:t>,</w:t>
      </w:r>
      <w:r w:rsidR="003C66F0">
        <w:rPr>
          <w:sz w:val="24"/>
        </w:rPr>
        <w:t xml:space="preserve"> I am of the view that the application</w:t>
      </w:r>
      <w:r w:rsidR="00481497">
        <w:rPr>
          <w:sz w:val="24"/>
        </w:rPr>
        <w:t xml:space="preserve"> for summary judgment </w:t>
      </w:r>
      <w:r w:rsidR="00B8639A">
        <w:rPr>
          <w:sz w:val="24"/>
        </w:rPr>
        <w:t xml:space="preserve">for return of the vehicle </w:t>
      </w:r>
      <w:r w:rsidR="00481497">
        <w:rPr>
          <w:sz w:val="24"/>
        </w:rPr>
        <w:t>should be granted</w:t>
      </w:r>
      <w:r w:rsidR="003C66F0">
        <w:rPr>
          <w:sz w:val="24"/>
        </w:rPr>
        <w:t>.</w:t>
      </w:r>
    </w:p>
    <w:p w14:paraId="7A88C9C9" w14:textId="4F11B71A" w:rsidR="00B8639A" w:rsidRDefault="00B8639A" w:rsidP="00E45C36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>As regards costs</w:t>
      </w:r>
      <w:r w:rsidR="00465462">
        <w:rPr>
          <w:sz w:val="24"/>
        </w:rPr>
        <w:t xml:space="preserve"> of the view that an order for costs</w:t>
      </w:r>
      <w:r w:rsidR="00EF6AB9">
        <w:rPr>
          <w:sz w:val="24"/>
        </w:rPr>
        <w:t xml:space="preserve"> on </w:t>
      </w:r>
      <w:r w:rsidR="00465462">
        <w:rPr>
          <w:sz w:val="24"/>
        </w:rPr>
        <w:t>the attorney and client scale is warranted given the clear absence of any basis for resisting the claim for return of the vehicle</w:t>
      </w:r>
      <w:r w:rsidR="00EF6AB9">
        <w:rPr>
          <w:sz w:val="24"/>
        </w:rPr>
        <w:t xml:space="preserve"> and the defendant’s persistence in refusing to return the vehicle contrary to clear legal authority recognised by the defendant’s counsel</w:t>
      </w:r>
      <w:r w:rsidR="00465462">
        <w:rPr>
          <w:sz w:val="24"/>
        </w:rPr>
        <w:t xml:space="preserve">. </w:t>
      </w:r>
      <w:r w:rsidR="00EF6AB9">
        <w:rPr>
          <w:sz w:val="24"/>
        </w:rPr>
        <w:t xml:space="preserve"> </w:t>
      </w:r>
      <w:r w:rsidR="00465462">
        <w:rPr>
          <w:sz w:val="24"/>
        </w:rPr>
        <w:t>I specifically refrain from ordering such costs in terms of the explicit provisions of the agreement</w:t>
      </w:r>
      <w:r w:rsidR="00EF6AB9">
        <w:rPr>
          <w:sz w:val="24"/>
        </w:rPr>
        <w:t xml:space="preserve"> so as to avoid pre-empting </w:t>
      </w:r>
      <w:r w:rsidR="00465462">
        <w:rPr>
          <w:sz w:val="24"/>
        </w:rPr>
        <w:t>such disputes relating to the agreement as may still have to be adjudicated on in future</w:t>
      </w:r>
      <w:r w:rsidR="00EF6AB9">
        <w:rPr>
          <w:sz w:val="24"/>
        </w:rPr>
        <w:t xml:space="preserve"> litigation</w:t>
      </w:r>
      <w:r w:rsidR="00465462">
        <w:rPr>
          <w:sz w:val="24"/>
        </w:rPr>
        <w:t>.</w:t>
      </w:r>
    </w:p>
    <w:p w14:paraId="41A0CE0A" w14:textId="55EB9DFB" w:rsidR="007100C4" w:rsidRDefault="003C66F0" w:rsidP="00E45C36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</w:rPr>
      </w:pPr>
      <w:r>
        <w:rPr>
          <w:sz w:val="24"/>
        </w:rPr>
        <w:t>Accordingly</w:t>
      </w:r>
      <w:r w:rsidR="00417A3F">
        <w:rPr>
          <w:sz w:val="24"/>
        </w:rPr>
        <w:t>,</w:t>
      </w:r>
      <w:r>
        <w:rPr>
          <w:sz w:val="24"/>
        </w:rPr>
        <w:t xml:space="preserve"> I make the following order</w:t>
      </w:r>
      <w:r w:rsidR="00EF6AB9">
        <w:rPr>
          <w:sz w:val="24"/>
        </w:rPr>
        <w:t>:</w:t>
      </w:r>
    </w:p>
    <w:p w14:paraId="06CEAE07" w14:textId="77777777" w:rsidR="00EF6AB9" w:rsidRDefault="00EF6AB9" w:rsidP="00EF6AB9">
      <w:pPr>
        <w:jc w:val="both"/>
        <w:rPr>
          <w:sz w:val="24"/>
        </w:rPr>
      </w:pPr>
    </w:p>
    <w:p w14:paraId="4C2290D5" w14:textId="77777777" w:rsidR="00EF6AB9" w:rsidRDefault="00EF6AB9" w:rsidP="00EF6AB9">
      <w:pPr>
        <w:jc w:val="both"/>
        <w:rPr>
          <w:sz w:val="24"/>
        </w:rPr>
      </w:pPr>
    </w:p>
    <w:p w14:paraId="5C03EBC3" w14:textId="77777777" w:rsidR="00EF6AB9" w:rsidRDefault="00EF6AB9" w:rsidP="00EF6AB9">
      <w:pPr>
        <w:jc w:val="both"/>
        <w:rPr>
          <w:sz w:val="24"/>
        </w:rPr>
      </w:pPr>
    </w:p>
    <w:p w14:paraId="345FA756" w14:textId="77777777" w:rsidR="00EF6AB9" w:rsidRDefault="00EF6AB9" w:rsidP="00EF6AB9">
      <w:pPr>
        <w:jc w:val="both"/>
        <w:rPr>
          <w:sz w:val="24"/>
        </w:rPr>
      </w:pPr>
    </w:p>
    <w:p w14:paraId="19D476B6" w14:textId="77777777" w:rsidR="00EF6AB9" w:rsidRDefault="00EF6AB9" w:rsidP="00EF6AB9">
      <w:pPr>
        <w:jc w:val="both"/>
        <w:rPr>
          <w:sz w:val="24"/>
        </w:rPr>
      </w:pPr>
    </w:p>
    <w:p w14:paraId="1708F750" w14:textId="77777777" w:rsidR="00EF6AB9" w:rsidRDefault="00EF6AB9" w:rsidP="00EF6AB9">
      <w:pPr>
        <w:jc w:val="both"/>
        <w:rPr>
          <w:sz w:val="24"/>
        </w:rPr>
      </w:pPr>
    </w:p>
    <w:p w14:paraId="1C0B6E62" w14:textId="77777777" w:rsidR="00EF6AB9" w:rsidRDefault="00EF6AB9" w:rsidP="00EF6AB9">
      <w:pPr>
        <w:jc w:val="both"/>
        <w:rPr>
          <w:sz w:val="24"/>
        </w:rPr>
      </w:pPr>
    </w:p>
    <w:p w14:paraId="0DE0EF0D" w14:textId="77777777" w:rsidR="00EF6AB9" w:rsidRDefault="00EF6AB9" w:rsidP="00EF6AB9">
      <w:pPr>
        <w:jc w:val="both"/>
        <w:rPr>
          <w:sz w:val="24"/>
        </w:rPr>
      </w:pPr>
    </w:p>
    <w:p w14:paraId="62F6ECC0" w14:textId="77777777" w:rsidR="00EF6AB9" w:rsidRDefault="00EF6AB9" w:rsidP="00EF6AB9">
      <w:pPr>
        <w:jc w:val="both"/>
        <w:rPr>
          <w:sz w:val="24"/>
        </w:rPr>
      </w:pPr>
    </w:p>
    <w:p w14:paraId="3C8FAF2A" w14:textId="77777777" w:rsidR="00EF6AB9" w:rsidRPr="00EF6AB9" w:rsidRDefault="00EF6AB9" w:rsidP="00EF6AB9">
      <w:pPr>
        <w:jc w:val="both"/>
        <w:rPr>
          <w:sz w:val="24"/>
        </w:rPr>
      </w:pPr>
    </w:p>
    <w:p w14:paraId="5B608BB9" w14:textId="56F942F9" w:rsidR="00E627CB" w:rsidRPr="00E627CB" w:rsidRDefault="00E627CB" w:rsidP="00E627CB">
      <w:pPr>
        <w:rPr>
          <w:b/>
          <w:sz w:val="24"/>
        </w:rPr>
      </w:pPr>
      <w:r w:rsidRPr="00E627CB">
        <w:rPr>
          <w:b/>
          <w:sz w:val="24"/>
        </w:rPr>
        <w:t>ORDER:</w:t>
      </w:r>
    </w:p>
    <w:p w14:paraId="21DD15B8" w14:textId="1CAAE401" w:rsidR="00E627CB" w:rsidRDefault="00B769A4" w:rsidP="00E627CB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>
        <w:rPr>
          <w:sz w:val="24"/>
        </w:rPr>
        <w:t>The application</w:t>
      </w:r>
      <w:r w:rsidR="00481497">
        <w:rPr>
          <w:sz w:val="24"/>
        </w:rPr>
        <w:t xml:space="preserve"> for summary judgment is granted</w:t>
      </w:r>
      <w:r w:rsidR="00465462">
        <w:rPr>
          <w:sz w:val="24"/>
        </w:rPr>
        <w:t xml:space="preserve"> for immediate return by the defendant to the plaintiff of the vehicle, 2022 Toyota Quantum/HiAce 2.5 D-4D Sesfikile 16S with engine number 2KDB111318 and chassis number AHTSS22P707134605.</w:t>
      </w:r>
    </w:p>
    <w:p w14:paraId="012C5CD3" w14:textId="35C50DA2" w:rsidR="00465462" w:rsidRDefault="00465462" w:rsidP="00E627CB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>
        <w:rPr>
          <w:sz w:val="24"/>
        </w:rPr>
        <w:t>The defendant is ordered to pay the costs of the summary judgment application on the scale as between attorney and client.</w:t>
      </w:r>
    </w:p>
    <w:p w14:paraId="7128D8EF" w14:textId="77777777" w:rsidR="009A5E4B" w:rsidRDefault="009A5E4B" w:rsidP="009A5E4B">
      <w:pPr>
        <w:rPr>
          <w:sz w:val="24"/>
        </w:rPr>
      </w:pPr>
    </w:p>
    <w:p w14:paraId="47174FC5" w14:textId="77777777" w:rsidR="009A5E4B" w:rsidRDefault="009A5E4B" w:rsidP="009A5E4B">
      <w:pPr>
        <w:rPr>
          <w:sz w:val="24"/>
        </w:rPr>
      </w:pPr>
    </w:p>
    <w:p w14:paraId="78FF7A57" w14:textId="77777777" w:rsidR="00EF6AB9" w:rsidRDefault="00EF6AB9" w:rsidP="009A5E4B">
      <w:pPr>
        <w:rPr>
          <w:sz w:val="24"/>
        </w:rPr>
      </w:pPr>
    </w:p>
    <w:p w14:paraId="72558053" w14:textId="77777777" w:rsidR="00EF6AB9" w:rsidRDefault="00EF6AB9" w:rsidP="009A5E4B">
      <w:pPr>
        <w:rPr>
          <w:sz w:val="24"/>
        </w:rPr>
      </w:pPr>
    </w:p>
    <w:p w14:paraId="1F181F1E" w14:textId="77777777" w:rsidR="00EF6AB9" w:rsidRDefault="00EF6AB9" w:rsidP="009A5E4B">
      <w:pPr>
        <w:rPr>
          <w:sz w:val="24"/>
        </w:rPr>
      </w:pPr>
    </w:p>
    <w:p w14:paraId="5A263830" w14:textId="77777777" w:rsidR="00EF6AB9" w:rsidRDefault="00EF6AB9" w:rsidP="009A5E4B">
      <w:pPr>
        <w:rPr>
          <w:sz w:val="24"/>
        </w:rPr>
      </w:pPr>
    </w:p>
    <w:p w14:paraId="068EBCE1" w14:textId="77777777" w:rsidR="009A5E4B" w:rsidRPr="009A5E4B" w:rsidRDefault="009A5E4B" w:rsidP="009A5E4B">
      <w:pPr>
        <w:rPr>
          <w:b/>
          <w:sz w:val="24"/>
        </w:rPr>
      </w:pPr>
      <w:r w:rsidRPr="009A5E4B">
        <w:rPr>
          <w:b/>
          <w:sz w:val="24"/>
        </w:rPr>
        <w:t>___________________</w:t>
      </w:r>
    </w:p>
    <w:p w14:paraId="2CF0C5D4" w14:textId="77777777" w:rsidR="009A5E4B" w:rsidRPr="009A5E4B" w:rsidRDefault="009A5E4B" w:rsidP="009A5E4B">
      <w:pPr>
        <w:rPr>
          <w:b/>
          <w:sz w:val="24"/>
        </w:rPr>
      </w:pPr>
      <w:r w:rsidRPr="009A5E4B">
        <w:rPr>
          <w:b/>
          <w:sz w:val="24"/>
        </w:rPr>
        <w:t>Johann Gautschi AJ</w:t>
      </w:r>
    </w:p>
    <w:p w14:paraId="2BE2116F" w14:textId="698AC89E" w:rsidR="009A5E4B" w:rsidRPr="009A5E4B" w:rsidRDefault="0050203F" w:rsidP="009A5E4B">
      <w:pPr>
        <w:rPr>
          <w:b/>
          <w:sz w:val="24"/>
        </w:rPr>
      </w:pPr>
      <w:r>
        <w:rPr>
          <w:b/>
          <w:sz w:val="24"/>
        </w:rPr>
        <w:t>2</w:t>
      </w:r>
      <w:r w:rsidR="001A2C48">
        <w:rPr>
          <w:b/>
          <w:sz w:val="24"/>
        </w:rPr>
        <w:t>7</w:t>
      </w:r>
      <w:r w:rsidR="00E45C36">
        <w:rPr>
          <w:b/>
          <w:sz w:val="24"/>
        </w:rPr>
        <w:t xml:space="preserve"> October 2023</w:t>
      </w:r>
    </w:p>
    <w:sectPr w:rsidR="009A5E4B" w:rsidRPr="009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B3F0" w14:textId="77777777" w:rsidR="005C7A52" w:rsidRDefault="005C7A52" w:rsidP="00081964">
      <w:pPr>
        <w:spacing w:after="0" w:line="240" w:lineRule="auto"/>
      </w:pPr>
      <w:r>
        <w:separator/>
      </w:r>
    </w:p>
  </w:endnote>
  <w:endnote w:type="continuationSeparator" w:id="0">
    <w:p w14:paraId="6A434AB8" w14:textId="77777777" w:rsidR="005C7A52" w:rsidRDefault="005C7A52" w:rsidP="0008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1C96" w14:textId="77777777" w:rsidR="005C7A52" w:rsidRDefault="005C7A52" w:rsidP="00081964">
      <w:pPr>
        <w:spacing w:after="0" w:line="240" w:lineRule="auto"/>
      </w:pPr>
      <w:r>
        <w:separator/>
      </w:r>
    </w:p>
  </w:footnote>
  <w:footnote w:type="continuationSeparator" w:id="0">
    <w:p w14:paraId="7577053D" w14:textId="77777777" w:rsidR="005C7A52" w:rsidRDefault="005C7A52" w:rsidP="0008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66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EB016" w14:textId="0332FAE2" w:rsidR="00081964" w:rsidRDefault="000819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5FF22" w14:textId="77777777" w:rsidR="00081964" w:rsidRDefault="00081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A9265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8052DD"/>
    <w:multiLevelType w:val="hybridMultilevel"/>
    <w:tmpl w:val="7C5C31AC"/>
    <w:lvl w:ilvl="0" w:tplc="F9F6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F661E8-627C-4ED6-AE4F-2BEF79409B48}"/>
    <w:docVar w:name="dgnword-eventsink" w:val="363505344"/>
    <w:docVar w:name="dgnword-lastRevisionsView" w:val="0"/>
  </w:docVars>
  <w:rsids>
    <w:rsidRoot w:val="00C46165"/>
    <w:rsid w:val="000411F2"/>
    <w:rsid w:val="00047A18"/>
    <w:rsid w:val="000644B6"/>
    <w:rsid w:val="000717A4"/>
    <w:rsid w:val="00073F29"/>
    <w:rsid w:val="00076D7A"/>
    <w:rsid w:val="00081964"/>
    <w:rsid w:val="00096754"/>
    <w:rsid w:val="000A1C68"/>
    <w:rsid w:val="000A5EBB"/>
    <w:rsid w:val="000B5186"/>
    <w:rsid w:val="000E582C"/>
    <w:rsid w:val="000F24E4"/>
    <w:rsid w:val="001318E1"/>
    <w:rsid w:val="001339B1"/>
    <w:rsid w:val="00133F6C"/>
    <w:rsid w:val="00140F76"/>
    <w:rsid w:val="001431FB"/>
    <w:rsid w:val="001567E1"/>
    <w:rsid w:val="00156C88"/>
    <w:rsid w:val="001773ED"/>
    <w:rsid w:val="00185400"/>
    <w:rsid w:val="00185F28"/>
    <w:rsid w:val="001A2C48"/>
    <w:rsid w:val="001B4362"/>
    <w:rsid w:val="001C154E"/>
    <w:rsid w:val="002372DF"/>
    <w:rsid w:val="00245E38"/>
    <w:rsid w:val="0025376E"/>
    <w:rsid w:val="00287B62"/>
    <w:rsid w:val="00290154"/>
    <w:rsid w:val="002955C6"/>
    <w:rsid w:val="002A6C9B"/>
    <w:rsid w:val="002B6F5E"/>
    <w:rsid w:val="002D0913"/>
    <w:rsid w:val="002E46AD"/>
    <w:rsid w:val="003371A7"/>
    <w:rsid w:val="00365022"/>
    <w:rsid w:val="0037771E"/>
    <w:rsid w:val="003A72B8"/>
    <w:rsid w:val="003B5315"/>
    <w:rsid w:val="003C5955"/>
    <w:rsid w:val="003C66F0"/>
    <w:rsid w:val="00411604"/>
    <w:rsid w:val="00417A3F"/>
    <w:rsid w:val="00431093"/>
    <w:rsid w:val="0046419D"/>
    <w:rsid w:val="00465462"/>
    <w:rsid w:val="004661F1"/>
    <w:rsid w:val="00473C42"/>
    <w:rsid w:val="00481497"/>
    <w:rsid w:val="00485ACF"/>
    <w:rsid w:val="00492CD1"/>
    <w:rsid w:val="004B4F63"/>
    <w:rsid w:val="004B55AD"/>
    <w:rsid w:val="004B5D99"/>
    <w:rsid w:val="004D02A0"/>
    <w:rsid w:val="004E4084"/>
    <w:rsid w:val="004F3788"/>
    <w:rsid w:val="0050203F"/>
    <w:rsid w:val="00522904"/>
    <w:rsid w:val="00530B98"/>
    <w:rsid w:val="00557686"/>
    <w:rsid w:val="00577C5E"/>
    <w:rsid w:val="005B0185"/>
    <w:rsid w:val="005C7A52"/>
    <w:rsid w:val="005D6F1C"/>
    <w:rsid w:val="005F5863"/>
    <w:rsid w:val="00612893"/>
    <w:rsid w:val="00643462"/>
    <w:rsid w:val="00655924"/>
    <w:rsid w:val="00660BD5"/>
    <w:rsid w:val="00681F44"/>
    <w:rsid w:val="006A2048"/>
    <w:rsid w:val="006A3F61"/>
    <w:rsid w:val="006B23B6"/>
    <w:rsid w:val="006E0462"/>
    <w:rsid w:val="007100C4"/>
    <w:rsid w:val="00711420"/>
    <w:rsid w:val="00711861"/>
    <w:rsid w:val="00751E21"/>
    <w:rsid w:val="00761FDA"/>
    <w:rsid w:val="00766F5E"/>
    <w:rsid w:val="00780E20"/>
    <w:rsid w:val="0078368F"/>
    <w:rsid w:val="00787088"/>
    <w:rsid w:val="00787E7D"/>
    <w:rsid w:val="007D6774"/>
    <w:rsid w:val="007E2F6B"/>
    <w:rsid w:val="00811A43"/>
    <w:rsid w:val="008166AA"/>
    <w:rsid w:val="0082194B"/>
    <w:rsid w:val="00841EAF"/>
    <w:rsid w:val="0084550D"/>
    <w:rsid w:val="008751F2"/>
    <w:rsid w:val="0087668D"/>
    <w:rsid w:val="00894149"/>
    <w:rsid w:val="00895B6B"/>
    <w:rsid w:val="008B2142"/>
    <w:rsid w:val="008F41C8"/>
    <w:rsid w:val="009364B0"/>
    <w:rsid w:val="0094036B"/>
    <w:rsid w:val="009471EE"/>
    <w:rsid w:val="0096172C"/>
    <w:rsid w:val="00974910"/>
    <w:rsid w:val="00981719"/>
    <w:rsid w:val="00982155"/>
    <w:rsid w:val="009A5E4B"/>
    <w:rsid w:val="009D380E"/>
    <w:rsid w:val="009D691A"/>
    <w:rsid w:val="009E3516"/>
    <w:rsid w:val="00A03870"/>
    <w:rsid w:val="00A30A94"/>
    <w:rsid w:val="00A62117"/>
    <w:rsid w:val="00A663C4"/>
    <w:rsid w:val="00AD1362"/>
    <w:rsid w:val="00AE174C"/>
    <w:rsid w:val="00AE3E9C"/>
    <w:rsid w:val="00B34B5F"/>
    <w:rsid w:val="00B769A4"/>
    <w:rsid w:val="00B8639A"/>
    <w:rsid w:val="00BF1EB5"/>
    <w:rsid w:val="00C15213"/>
    <w:rsid w:val="00C4030B"/>
    <w:rsid w:val="00C44B66"/>
    <w:rsid w:val="00C46165"/>
    <w:rsid w:val="00C62FB2"/>
    <w:rsid w:val="00C72DF8"/>
    <w:rsid w:val="00C808D1"/>
    <w:rsid w:val="00CA4D53"/>
    <w:rsid w:val="00CB29A1"/>
    <w:rsid w:val="00CD699A"/>
    <w:rsid w:val="00D06A29"/>
    <w:rsid w:val="00D14F71"/>
    <w:rsid w:val="00D25665"/>
    <w:rsid w:val="00D331E0"/>
    <w:rsid w:val="00D71041"/>
    <w:rsid w:val="00D97E23"/>
    <w:rsid w:val="00DA363E"/>
    <w:rsid w:val="00DA6D1C"/>
    <w:rsid w:val="00DC4FFE"/>
    <w:rsid w:val="00DD5B35"/>
    <w:rsid w:val="00DE7294"/>
    <w:rsid w:val="00DF0795"/>
    <w:rsid w:val="00E45C36"/>
    <w:rsid w:val="00E627CB"/>
    <w:rsid w:val="00EB54A7"/>
    <w:rsid w:val="00EB7ADA"/>
    <w:rsid w:val="00ED7C35"/>
    <w:rsid w:val="00EE23A0"/>
    <w:rsid w:val="00EE2D47"/>
    <w:rsid w:val="00EF1724"/>
    <w:rsid w:val="00EF6AB9"/>
    <w:rsid w:val="00F02FA1"/>
    <w:rsid w:val="00F037A9"/>
    <w:rsid w:val="00F05E1F"/>
    <w:rsid w:val="00F1248D"/>
    <w:rsid w:val="00F21918"/>
    <w:rsid w:val="00F43E32"/>
    <w:rsid w:val="00FC3E54"/>
    <w:rsid w:val="00FD4AF6"/>
    <w:rsid w:val="00FE3A1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5EBCA"/>
  <w15:chartTrackingRefBased/>
  <w15:docId w15:val="{92A38F94-9E20-477C-A96E-E20E079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65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1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64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64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Linoa Sibanda</dc:creator>
  <cp:keywords/>
  <dc:description/>
  <cp:lastModifiedBy>Tshwarelo Mabina</cp:lastModifiedBy>
  <cp:revision>2</cp:revision>
  <cp:lastPrinted>2023-10-27T07:49:00Z</cp:lastPrinted>
  <dcterms:created xsi:type="dcterms:W3CDTF">2023-10-30T09:14:00Z</dcterms:created>
  <dcterms:modified xsi:type="dcterms:W3CDTF">2023-10-30T09:14:00Z</dcterms:modified>
</cp:coreProperties>
</file>