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28C2" w14:textId="77777777" w:rsidR="00273DF4" w:rsidRPr="001B0DFE" w:rsidRDefault="00273DF4" w:rsidP="001A4766">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55DE4DF4" w14:textId="77777777" w:rsidR="00273DF4" w:rsidRPr="001B0DFE" w:rsidRDefault="00273DF4" w:rsidP="00273DF4">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rPr>
        <w:drawing>
          <wp:inline distT="0" distB="0" distL="0" distR="0" wp14:anchorId="5A2B1F68" wp14:editId="4360ACED">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C615B50" w14:textId="77777777" w:rsidR="00273DF4" w:rsidRPr="001B0DFE" w:rsidRDefault="00273DF4" w:rsidP="00273DF4">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4DF8E574" w14:textId="77777777" w:rsidR="00273DF4" w:rsidRPr="001B0DFE" w:rsidRDefault="00273DF4" w:rsidP="00273DF4">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6087615D" w14:textId="77777777" w:rsidR="00273DF4" w:rsidRPr="001B0DFE" w:rsidRDefault="00273DF4" w:rsidP="00273DF4">
      <w:pPr>
        <w:spacing w:after="0" w:line="276" w:lineRule="auto"/>
        <w:ind w:left="0"/>
        <w:jc w:val="right"/>
        <w:rPr>
          <w:rFonts w:ascii="Arial" w:eastAsia="Times New Roman" w:hAnsi="Arial" w:cs="Arial"/>
          <w:b/>
          <w:szCs w:val="24"/>
        </w:rPr>
      </w:pPr>
    </w:p>
    <w:p w14:paraId="44AF1EE7" w14:textId="18ED81AB" w:rsidR="00273DF4" w:rsidRPr="001B0DFE" w:rsidRDefault="008D5964" w:rsidP="00273DF4">
      <w:pPr>
        <w:spacing w:after="0" w:line="276" w:lineRule="auto"/>
        <w:ind w:left="0"/>
        <w:jc w:val="right"/>
        <w:rPr>
          <w:rFonts w:ascii="Arial" w:eastAsia="Times New Roman" w:hAnsi="Arial" w:cs="Arial"/>
          <w:b/>
          <w:szCs w:val="24"/>
        </w:rPr>
      </w:pPr>
      <w:r w:rsidRPr="001B0DFE">
        <w:rPr>
          <w:rFonts w:ascii="Arial" w:hAnsi="Arial" w:cs="Arial"/>
          <w:noProof/>
          <w:szCs w:val="24"/>
        </w:rPr>
        <mc:AlternateContent>
          <mc:Choice Requires="wps">
            <w:drawing>
              <wp:anchor distT="0" distB="0" distL="114300" distR="114300" simplePos="0" relativeHeight="251659264" behindDoc="0" locked="0" layoutInCell="1" allowOverlap="1" wp14:anchorId="6ED6D943" wp14:editId="6A942FEC">
                <wp:simplePos x="0" y="0"/>
                <wp:positionH relativeFrom="margin">
                  <wp:align>left</wp:align>
                </wp:positionH>
                <wp:positionV relativeFrom="page">
                  <wp:posOffset>3200400</wp:posOffset>
                </wp:positionV>
                <wp:extent cx="3168650" cy="1266825"/>
                <wp:effectExtent l="0" t="0" r="1270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0" cy="1266825"/>
                        </a:xfrm>
                        <a:prstGeom prst="rect">
                          <a:avLst/>
                        </a:prstGeom>
                        <a:solidFill>
                          <a:srgbClr val="FFFFFF"/>
                        </a:solidFill>
                        <a:ln w="9525">
                          <a:solidFill>
                            <a:srgbClr val="000000"/>
                          </a:solidFill>
                          <a:miter lim="800000"/>
                          <a:headEnd/>
                          <a:tailEnd/>
                        </a:ln>
                      </wps:spPr>
                      <wps:txbx>
                        <w:txbxContent>
                          <w:p w14:paraId="3E6F44D1" w14:textId="77777777" w:rsidR="00F77F37" w:rsidRPr="004120A8" w:rsidRDefault="00F77F37" w:rsidP="00273DF4">
                            <w:pPr>
                              <w:jc w:val="center"/>
                              <w:rPr>
                                <w:rFonts w:ascii="Century Gothic" w:hAnsi="Century Gothic"/>
                                <w:b/>
                                <w:sz w:val="2"/>
                                <w:szCs w:val="18"/>
                              </w:rPr>
                            </w:pPr>
                          </w:p>
                          <w:p w14:paraId="4DAFDFEA" w14:textId="77777777" w:rsidR="00F77F37" w:rsidRPr="004120A8" w:rsidRDefault="00F77F37" w:rsidP="00273DF4">
                            <w:pPr>
                              <w:numPr>
                                <w:ilvl w:val="0"/>
                                <w:numId w:val="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6F2DF39D" w14:textId="77777777" w:rsidR="00F77F37" w:rsidRPr="004120A8" w:rsidRDefault="00F77F37" w:rsidP="00273DF4">
                            <w:pPr>
                              <w:numPr>
                                <w:ilvl w:val="0"/>
                                <w:numId w:val="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50E7C58C" w14:textId="77777777" w:rsidR="00F77F37" w:rsidRPr="004120A8" w:rsidRDefault="00F77F37" w:rsidP="00273DF4">
                            <w:pPr>
                              <w:numPr>
                                <w:ilvl w:val="0"/>
                                <w:numId w:val="1"/>
                              </w:numPr>
                              <w:spacing w:after="0" w:line="240" w:lineRule="auto"/>
                              <w:jc w:val="left"/>
                              <w:rPr>
                                <w:rFonts w:ascii="Century Gothic" w:hAnsi="Century Gothic"/>
                                <w:sz w:val="18"/>
                                <w:szCs w:val="18"/>
                              </w:rPr>
                            </w:pPr>
                            <w:r w:rsidRPr="004120A8">
                              <w:rPr>
                                <w:rFonts w:ascii="Century Gothic" w:hAnsi="Century Gothic"/>
                                <w:sz w:val="18"/>
                                <w:szCs w:val="18"/>
                              </w:rPr>
                              <w:t>REVISED.</w:t>
                            </w:r>
                          </w:p>
                          <w:p w14:paraId="66925AE8" w14:textId="77777777" w:rsidR="00F77F37" w:rsidRPr="004120A8" w:rsidRDefault="00F77F37" w:rsidP="00273DF4">
                            <w:pPr>
                              <w:rPr>
                                <w:rFonts w:ascii="Century Gothic" w:hAnsi="Century Gothic"/>
                                <w:b/>
                                <w:sz w:val="18"/>
                                <w:szCs w:val="18"/>
                              </w:rPr>
                            </w:pPr>
                          </w:p>
                          <w:p w14:paraId="17B66853" w14:textId="77777777" w:rsidR="00F77F37" w:rsidRPr="00D261E0" w:rsidRDefault="00F77F37" w:rsidP="00273DF4">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4BCCFD29" w14:textId="5CBCFF35" w:rsidR="00F77F37" w:rsidRPr="004120A8" w:rsidRDefault="00F77F37" w:rsidP="00273DF4">
                            <w:pPr>
                              <w:spacing w:after="0"/>
                              <w:rPr>
                                <w:rFonts w:ascii="Century Gothic" w:hAnsi="Century Gothic"/>
                                <w:b/>
                                <w:sz w:val="18"/>
                                <w:szCs w:val="18"/>
                              </w:rPr>
                            </w:pPr>
                            <w:r w:rsidRPr="004120A8">
                              <w:rPr>
                                <w:rFonts w:ascii="Century Gothic" w:hAnsi="Century Gothic"/>
                                <w:b/>
                                <w:sz w:val="18"/>
                                <w:szCs w:val="18"/>
                              </w:rPr>
                              <w:t xml:space="preserve"> </w:t>
                            </w:r>
                            <w:r w:rsidR="0048467C">
                              <w:rPr>
                                <w:rFonts w:ascii="Century Gothic" w:hAnsi="Century Gothic"/>
                                <w:b/>
                                <w:sz w:val="18"/>
                                <w:szCs w:val="18"/>
                              </w:rPr>
                              <w:t>R</w:t>
                            </w:r>
                            <w:r w:rsidRPr="00595D44">
                              <w:rPr>
                                <w:rFonts w:ascii="Century Gothic" w:hAnsi="Century Gothic"/>
                                <w:b/>
                                <w:sz w:val="18"/>
                                <w:szCs w:val="18"/>
                              </w:rPr>
                              <w:t>.</w:t>
                            </w:r>
                            <w:r w:rsidR="002F699A">
                              <w:rPr>
                                <w:rFonts w:ascii="Century Gothic" w:hAnsi="Century Gothic"/>
                                <w:b/>
                                <w:sz w:val="18"/>
                                <w:szCs w:val="18"/>
                              </w:rPr>
                              <w:t>S.</w:t>
                            </w:r>
                            <w:r w:rsidRPr="00595D44">
                              <w:rPr>
                                <w:rFonts w:ascii="Century Gothic" w:hAnsi="Century Gothic"/>
                                <w:b/>
                                <w:sz w:val="18"/>
                                <w:szCs w:val="18"/>
                              </w:rPr>
                              <w:t xml:space="preserve"> </w:t>
                            </w:r>
                            <w:r w:rsidR="0048467C">
                              <w:rPr>
                                <w:rFonts w:ascii="Century Gothic" w:hAnsi="Century Gothic"/>
                                <w:b/>
                                <w:sz w:val="18"/>
                                <w:szCs w:val="18"/>
                              </w:rPr>
                              <w:t>SHEPSTONE</w:t>
                            </w:r>
                            <w:r w:rsidRPr="00595D44">
                              <w:rPr>
                                <w:rFonts w:ascii="Century Gothic" w:hAnsi="Century Gothic"/>
                                <w:b/>
                                <w:sz w:val="18"/>
                                <w:szCs w:val="18"/>
                              </w:rPr>
                              <w:tab/>
                            </w:r>
                            <w:r w:rsidRPr="00595D44">
                              <w:rPr>
                                <w:rFonts w:ascii="Century Gothic" w:hAnsi="Century Gothic"/>
                                <w:b/>
                                <w:sz w:val="18"/>
                                <w:szCs w:val="18"/>
                              </w:rPr>
                              <w:tab/>
                            </w:r>
                            <w:r w:rsidR="00FF0E0C">
                              <w:rPr>
                                <w:rFonts w:ascii="Century Gothic" w:hAnsi="Century Gothic"/>
                                <w:b/>
                                <w:sz w:val="18"/>
                                <w:szCs w:val="18"/>
                              </w:rPr>
                              <w:tab/>
                            </w:r>
                            <w:r w:rsidR="006E5E01">
                              <w:rPr>
                                <w:rFonts w:ascii="Century Gothic" w:hAnsi="Century Gothic"/>
                                <w:b/>
                                <w:sz w:val="18"/>
                                <w:szCs w:val="18"/>
                              </w:rPr>
                              <w:t>30</w:t>
                            </w:r>
                            <w:r w:rsidRPr="00595D44">
                              <w:rPr>
                                <w:rFonts w:ascii="Century Gothic" w:hAnsi="Century Gothic"/>
                                <w:b/>
                                <w:sz w:val="18"/>
                                <w:szCs w:val="18"/>
                              </w:rPr>
                              <w:t xml:space="preserve"> </w:t>
                            </w:r>
                            <w:r w:rsidR="001A4766">
                              <w:rPr>
                                <w:rFonts w:ascii="Century Gothic" w:hAnsi="Century Gothic"/>
                                <w:b/>
                                <w:sz w:val="18"/>
                                <w:szCs w:val="18"/>
                              </w:rPr>
                              <w:t>OCTOBER</w:t>
                            </w:r>
                            <w:r w:rsidRPr="00595D44">
                              <w:rPr>
                                <w:rFonts w:ascii="Century Gothic" w:hAnsi="Century Gothic"/>
                                <w:b/>
                                <w:sz w:val="18"/>
                                <w:szCs w:val="18"/>
                              </w:rPr>
                              <w:t xml:space="preserve"> 2023</w:t>
                            </w:r>
                          </w:p>
                          <w:p w14:paraId="1218F2E7" w14:textId="77777777" w:rsidR="00F77F37" w:rsidRPr="004120A8" w:rsidRDefault="00F77F37" w:rsidP="00273DF4">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D6D943" id="_x0000_t202" coordsize="21600,21600" o:spt="202" path="m,l,21600r21600,l21600,xe">
                <v:stroke joinstyle="miter"/>
                <v:path gradientshapeok="t" o:connecttype="rect"/>
              </v:shapetype>
              <v:shape id="Text Box 1" o:spid="_x0000_s1026" type="#_x0000_t202" style="position:absolute;left:0;text-align:left;margin-left:0;margin-top:252pt;width:249.5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">
                <v:path arrowok="t"/>
                <v:textbox>
                  <w:txbxContent>
                    <w:p w14:paraId="3E6F44D1" w14:textId="77777777" w:rsidR="00F77F37" w:rsidRPr="004120A8" w:rsidRDefault="00F77F37" w:rsidP="00273DF4">
                      <w:pPr>
                        <w:jc w:val="center"/>
                        <w:rPr>
                          <w:rFonts w:ascii="Century Gothic" w:hAnsi="Century Gothic"/>
                          <w:b/>
                          <w:sz w:val="2"/>
                          <w:szCs w:val="18"/>
                        </w:rPr>
                      </w:pPr>
                    </w:p>
                    <w:p w14:paraId="4DAFDFEA" w14:textId="77777777" w:rsidR="00F77F37" w:rsidRPr="004120A8" w:rsidRDefault="00F77F37" w:rsidP="00273DF4">
                      <w:pPr>
                        <w:numPr>
                          <w:ilvl w:val="0"/>
                          <w:numId w:val="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6F2DF39D" w14:textId="77777777" w:rsidR="00F77F37" w:rsidRPr="004120A8" w:rsidRDefault="00F77F37" w:rsidP="00273DF4">
                      <w:pPr>
                        <w:numPr>
                          <w:ilvl w:val="0"/>
                          <w:numId w:val="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50E7C58C" w14:textId="77777777" w:rsidR="00F77F37" w:rsidRPr="004120A8" w:rsidRDefault="00F77F37" w:rsidP="00273DF4">
                      <w:pPr>
                        <w:numPr>
                          <w:ilvl w:val="0"/>
                          <w:numId w:val="1"/>
                        </w:numPr>
                        <w:spacing w:after="0" w:line="240" w:lineRule="auto"/>
                        <w:jc w:val="left"/>
                        <w:rPr>
                          <w:rFonts w:ascii="Century Gothic" w:hAnsi="Century Gothic"/>
                          <w:sz w:val="18"/>
                          <w:szCs w:val="18"/>
                        </w:rPr>
                      </w:pPr>
                      <w:r w:rsidRPr="004120A8">
                        <w:rPr>
                          <w:rFonts w:ascii="Century Gothic" w:hAnsi="Century Gothic"/>
                          <w:sz w:val="18"/>
                          <w:szCs w:val="18"/>
                        </w:rPr>
                        <w:t>REVISED.</w:t>
                      </w:r>
                    </w:p>
                    <w:p w14:paraId="66925AE8" w14:textId="77777777" w:rsidR="00F77F37" w:rsidRPr="004120A8" w:rsidRDefault="00F77F37" w:rsidP="00273DF4">
                      <w:pPr>
                        <w:rPr>
                          <w:rFonts w:ascii="Century Gothic" w:hAnsi="Century Gothic"/>
                          <w:b/>
                          <w:sz w:val="18"/>
                          <w:szCs w:val="18"/>
                        </w:rPr>
                      </w:pPr>
                    </w:p>
                    <w:p w14:paraId="17B66853" w14:textId="77777777" w:rsidR="00F77F37" w:rsidRPr="00D261E0" w:rsidRDefault="00F77F37" w:rsidP="00273DF4">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4BCCFD29" w14:textId="5CBCFF35" w:rsidR="00F77F37" w:rsidRPr="004120A8" w:rsidRDefault="00F77F37" w:rsidP="00273DF4">
                      <w:pPr>
                        <w:spacing w:after="0"/>
                        <w:rPr>
                          <w:rFonts w:ascii="Century Gothic" w:hAnsi="Century Gothic"/>
                          <w:b/>
                          <w:sz w:val="18"/>
                          <w:szCs w:val="18"/>
                        </w:rPr>
                      </w:pPr>
                      <w:r w:rsidRPr="004120A8">
                        <w:rPr>
                          <w:rFonts w:ascii="Century Gothic" w:hAnsi="Century Gothic"/>
                          <w:b/>
                          <w:sz w:val="18"/>
                          <w:szCs w:val="18"/>
                        </w:rPr>
                        <w:t xml:space="preserve"> </w:t>
                      </w:r>
                      <w:r w:rsidR="0048467C">
                        <w:rPr>
                          <w:rFonts w:ascii="Century Gothic" w:hAnsi="Century Gothic"/>
                          <w:b/>
                          <w:sz w:val="18"/>
                          <w:szCs w:val="18"/>
                        </w:rPr>
                        <w:t>R</w:t>
                      </w:r>
                      <w:r w:rsidRPr="00595D44">
                        <w:rPr>
                          <w:rFonts w:ascii="Century Gothic" w:hAnsi="Century Gothic"/>
                          <w:b/>
                          <w:sz w:val="18"/>
                          <w:szCs w:val="18"/>
                        </w:rPr>
                        <w:t>.</w:t>
                      </w:r>
                      <w:r w:rsidR="002F699A">
                        <w:rPr>
                          <w:rFonts w:ascii="Century Gothic" w:hAnsi="Century Gothic"/>
                          <w:b/>
                          <w:sz w:val="18"/>
                          <w:szCs w:val="18"/>
                        </w:rPr>
                        <w:t>S.</w:t>
                      </w:r>
                      <w:r w:rsidRPr="00595D44">
                        <w:rPr>
                          <w:rFonts w:ascii="Century Gothic" w:hAnsi="Century Gothic"/>
                          <w:b/>
                          <w:sz w:val="18"/>
                          <w:szCs w:val="18"/>
                        </w:rPr>
                        <w:t xml:space="preserve"> </w:t>
                      </w:r>
                      <w:r w:rsidR="0048467C">
                        <w:rPr>
                          <w:rFonts w:ascii="Century Gothic" w:hAnsi="Century Gothic"/>
                          <w:b/>
                          <w:sz w:val="18"/>
                          <w:szCs w:val="18"/>
                        </w:rPr>
                        <w:t>SHEPSTONE</w:t>
                      </w:r>
                      <w:r w:rsidRPr="00595D44">
                        <w:rPr>
                          <w:rFonts w:ascii="Century Gothic" w:hAnsi="Century Gothic"/>
                          <w:b/>
                          <w:sz w:val="18"/>
                          <w:szCs w:val="18"/>
                        </w:rPr>
                        <w:tab/>
                      </w:r>
                      <w:r w:rsidRPr="00595D44">
                        <w:rPr>
                          <w:rFonts w:ascii="Century Gothic" w:hAnsi="Century Gothic"/>
                          <w:b/>
                          <w:sz w:val="18"/>
                          <w:szCs w:val="18"/>
                        </w:rPr>
                        <w:tab/>
                      </w:r>
                      <w:r w:rsidR="00FF0E0C">
                        <w:rPr>
                          <w:rFonts w:ascii="Century Gothic" w:hAnsi="Century Gothic"/>
                          <w:b/>
                          <w:sz w:val="18"/>
                          <w:szCs w:val="18"/>
                        </w:rPr>
                        <w:tab/>
                      </w:r>
                      <w:r w:rsidR="006E5E01">
                        <w:rPr>
                          <w:rFonts w:ascii="Century Gothic" w:hAnsi="Century Gothic"/>
                          <w:b/>
                          <w:sz w:val="18"/>
                          <w:szCs w:val="18"/>
                        </w:rPr>
                        <w:t>30</w:t>
                      </w:r>
                      <w:r w:rsidRPr="00595D44">
                        <w:rPr>
                          <w:rFonts w:ascii="Century Gothic" w:hAnsi="Century Gothic"/>
                          <w:b/>
                          <w:sz w:val="18"/>
                          <w:szCs w:val="18"/>
                        </w:rPr>
                        <w:t xml:space="preserve"> </w:t>
                      </w:r>
                      <w:r w:rsidR="001A4766">
                        <w:rPr>
                          <w:rFonts w:ascii="Century Gothic" w:hAnsi="Century Gothic"/>
                          <w:b/>
                          <w:sz w:val="18"/>
                          <w:szCs w:val="18"/>
                        </w:rPr>
                        <w:t>OCTOBER</w:t>
                      </w:r>
                      <w:r w:rsidRPr="00595D44">
                        <w:rPr>
                          <w:rFonts w:ascii="Century Gothic" w:hAnsi="Century Gothic"/>
                          <w:b/>
                          <w:sz w:val="18"/>
                          <w:szCs w:val="18"/>
                        </w:rPr>
                        <w:t xml:space="preserve"> 2023</w:t>
                      </w:r>
                    </w:p>
                    <w:p w14:paraId="1218F2E7" w14:textId="77777777" w:rsidR="00F77F37" w:rsidRPr="004120A8" w:rsidRDefault="00F77F37" w:rsidP="00273DF4">
                      <w:pPr>
                        <w:rPr>
                          <w:rFonts w:ascii="Century Gothic" w:hAnsi="Century Gothic"/>
                          <w:b/>
                          <w:sz w:val="2"/>
                          <w:szCs w:val="18"/>
                        </w:rPr>
                      </w:pPr>
                    </w:p>
                  </w:txbxContent>
                </v:textbox>
                <w10:wrap type="topAndBottom" anchorx="margin" anchory="page"/>
              </v:shape>
            </w:pict>
          </mc:Fallback>
        </mc:AlternateContent>
      </w:r>
      <w:r w:rsidR="00273DF4" w:rsidRPr="001B0DFE">
        <w:rPr>
          <w:rFonts w:ascii="Arial" w:eastAsia="Times New Roman" w:hAnsi="Arial" w:cs="Arial"/>
          <w:b/>
          <w:szCs w:val="24"/>
        </w:rPr>
        <w:t xml:space="preserve">CASE NUMBER: </w:t>
      </w:r>
      <w:r w:rsidR="00273DF4">
        <w:rPr>
          <w:rFonts w:ascii="Arial" w:eastAsia="Times New Roman" w:hAnsi="Arial" w:cs="Arial"/>
          <w:b/>
          <w:szCs w:val="24"/>
          <w:u w:val="single"/>
        </w:rPr>
        <w:t>20</w:t>
      </w:r>
      <w:r w:rsidR="0048467C">
        <w:rPr>
          <w:rFonts w:ascii="Arial" w:eastAsia="Times New Roman" w:hAnsi="Arial" w:cs="Arial"/>
          <w:b/>
          <w:szCs w:val="24"/>
          <w:u w:val="single"/>
        </w:rPr>
        <w:t>2</w:t>
      </w:r>
      <w:r w:rsidR="004B3483">
        <w:rPr>
          <w:rFonts w:ascii="Arial" w:eastAsia="Times New Roman" w:hAnsi="Arial" w:cs="Arial"/>
          <w:b/>
          <w:szCs w:val="24"/>
          <w:u w:val="single"/>
        </w:rPr>
        <w:t>2</w:t>
      </w:r>
      <w:r w:rsidR="00273DF4">
        <w:rPr>
          <w:rFonts w:ascii="Arial" w:eastAsia="Times New Roman" w:hAnsi="Arial" w:cs="Arial"/>
          <w:b/>
          <w:szCs w:val="24"/>
          <w:u w:val="single"/>
        </w:rPr>
        <w:t>/</w:t>
      </w:r>
      <w:r w:rsidR="0048467C">
        <w:rPr>
          <w:rFonts w:ascii="Arial" w:eastAsia="Times New Roman" w:hAnsi="Arial" w:cs="Arial"/>
          <w:b/>
          <w:szCs w:val="24"/>
          <w:u w:val="single"/>
        </w:rPr>
        <w:t>4340</w:t>
      </w:r>
    </w:p>
    <w:p w14:paraId="0D414FE6" w14:textId="0EB6E14A" w:rsidR="00273DF4" w:rsidRPr="001B0DFE" w:rsidRDefault="00273DF4" w:rsidP="00273DF4">
      <w:pPr>
        <w:spacing w:after="0" w:line="276" w:lineRule="auto"/>
        <w:ind w:left="0"/>
        <w:jc w:val="left"/>
        <w:rPr>
          <w:rFonts w:ascii="Arial" w:eastAsia="Times New Roman" w:hAnsi="Arial" w:cs="Arial"/>
          <w:b/>
          <w:szCs w:val="24"/>
        </w:rPr>
      </w:pPr>
    </w:p>
    <w:p w14:paraId="622B35B3" w14:textId="77777777" w:rsidR="009D40E5" w:rsidRDefault="009D40E5" w:rsidP="00273DF4">
      <w:pPr>
        <w:spacing w:after="0" w:line="240" w:lineRule="auto"/>
        <w:ind w:left="0"/>
        <w:rPr>
          <w:rFonts w:ascii="Arial" w:eastAsia="Times New Roman" w:hAnsi="Arial" w:cs="Arial"/>
          <w:b/>
          <w:szCs w:val="24"/>
        </w:rPr>
      </w:pPr>
    </w:p>
    <w:p w14:paraId="2EB7ED32" w14:textId="77777777" w:rsidR="00273DF4" w:rsidRPr="001B0DFE" w:rsidRDefault="00273DF4" w:rsidP="00FF06E7">
      <w:pPr>
        <w:spacing w:after="0" w:line="240" w:lineRule="auto"/>
        <w:ind w:left="0"/>
        <w:rPr>
          <w:rFonts w:ascii="Arial" w:eastAsia="Times New Roman" w:hAnsi="Arial" w:cs="Arial"/>
          <w:szCs w:val="24"/>
          <w:lang w:eastAsia="en-US"/>
        </w:rPr>
      </w:pPr>
      <w:r w:rsidRPr="001B0DFE">
        <w:rPr>
          <w:rFonts w:ascii="Arial" w:eastAsia="Times New Roman" w:hAnsi="Arial" w:cs="Arial"/>
          <w:szCs w:val="24"/>
        </w:rPr>
        <w:t>In the matter between:</w:t>
      </w:r>
    </w:p>
    <w:p w14:paraId="6113507C" w14:textId="77777777" w:rsidR="00273DF4" w:rsidRPr="001B0DFE" w:rsidRDefault="00273DF4" w:rsidP="00FF06E7">
      <w:pPr>
        <w:spacing w:after="0" w:line="240" w:lineRule="auto"/>
        <w:ind w:left="0"/>
        <w:rPr>
          <w:rFonts w:ascii="Arial" w:eastAsia="Times New Roman" w:hAnsi="Arial" w:cs="Arial"/>
          <w:b/>
          <w:szCs w:val="24"/>
        </w:rPr>
      </w:pPr>
    </w:p>
    <w:p w14:paraId="3D037D2A" w14:textId="58498449" w:rsidR="00273DF4" w:rsidRPr="001A4766" w:rsidRDefault="00403366" w:rsidP="00FF06E7">
      <w:pPr>
        <w:spacing w:after="0" w:line="240" w:lineRule="auto"/>
        <w:ind w:left="2160" w:hanging="2160"/>
        <w:rPr>
          <w:rFonts w:ascii="Arial" w:eastAsia="Times New Roman" w:hAnsi="Arial" w:cs="Arial"/>
          <w:b/>
          <w:szCs w:val="24"/>
        </w:rPr>
      </w:pPr>
      <w:r>
        <w:rPr>
          <w:rFonts w:ascii="Arial" w:eastAsia="Times New Roman" w:hAnsi="Arial" w:cs="Arial"/>
          <w:b/>
          <w:szCs w:val="24"/>
        </w:rPr>
        <w:t>NORMAN OGANA</w:t>
      </w:r>
      <w:r>
        <w:rPr>
          <w:rFonts w:ascii="Arial" w:eastAsia="Times New Roman" w:hAnsi="Arial" w:cs="Arial"/>
          <w:b/>
          <w:szCs w:val="24"/>
        </w:rPr>
        <w:tab/>
      </w:r>
      <w:r>
        <w:rPr>
          <w:rFonts w:ascii="Arial" w:eastAsia="Times New Roman" w:hAnsi="Arial" w:cs="Arial"/>
          <w:b/>
          <w:szCs w:val="24"/>
        </w:rPr>
        <w:tab/>
      </w:r>
      <w:r w:rsidR="008637FF">
        <w:rPr>
          <w:rFonts w:ascii="Arial" w:eastAsia="Times New Roman" w:hAnsi="Arial" w:cs="Arial"/>
          <w:b/>
          <w:szCs w:val="24"/>
        </w:rPr>
        <w:tab/>
      </w:r>
      <w:r w:rsidR="00273DF4">
        <w:rPr>
          <w:rFonts w:ascii="Arial" w:eastAsia="Times New Roman" w:hAnsi="Arial" w:cs="Arial"/>
          <w:b/>
          <w:szCs w:val="24"/>
        </w:rPr>
        <w:t xml:space="preserve"> </w:t>
      </w:r>
      <w:r w:rsidR="00273DF4">
        <w:rPr>
          <w:rFonts w:ascii="Arial" w:eastAsia="Times New Roman" w:hAnsi="Arial" w:cs="Arial"/>
          <w:b/>
          <w:szCs w:val="24"/>
        </w:rPr>
        <w:tab/>
      </w:r>
      <w:r w:rsidR="00273DF4">
        <w:rPr>
          <w:rFonts w:ascii="Arial" w:eastAsia="Times New Roman" w:hAnsi="Arial" w:cs="Arial"/>
          <w:b/>
          <w:szCs w:val="24"/>
        </w:rPr>
        <w:tab/>
      </w:r>
      <w:r w:rsidR="008637FF">
        <w:rPr>
          <w:rFonts w:ascii="Arial" w:eastAsia="Times New Roman" w:hAnsi="Arial" w:cs="Arial"/>
          <w:b/>
          <w:szCs w:val="24"/>
        </w:rPr>
        <w:tab/>
      </w:r>
      <w:r w:rsidR="008637FF">
        <w:rPr>
          <w:rFonts w:ascii="Arial" w:eastAsia="Times New Roman" w:hAnsi="Arial" w:cs="Arial"/>
          <w:b/>
          <w:szCs w:val="24"/>
        </w:rPr>
        <w:tab/>
      </w:r>
      <w:r w:rsidR="008637FF">
        <w:rPr>
          <w:rFonts w:ascii="Arial" w:eastAsia="Times New Roman" w:hAnsi="Arial" w:cs="Arial"/>
          <w:b/>
          <w:szCs w:val="24"/>
        </w:rPr>
        <w:tab/>
      </w:r>
      <w:r w:rsidR="001A4766">
        <w:rPr>
          <w:rFonts w:ascii="Arial" w:eastAsia="Times New Roman" w:hAnsi="Arial" w:cs="Arial"/>
          <w:b/>
          <w:szCs w:val="24"/>
        </w:rPr>
        <w:tab/>
        <w:t xml:space="preserve"> </w:t>
      </w:r>
      <w:r w:rsidR="008637FF">
        <w:rPr>
          <w:rFonts w:ascii="Arial" w:eastAsia="Times New Roman" w:hAnsi="Arial" w:cs="Arial"/>
          <w:szCs w:val="24"/>
        </w:rPr>
        <w:t>Applicant</w:t>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t xml:space="preserve">   </w:t>
      </w:r>
    </w:p>
    <w:p w14:paraId="49E57F1C" w14:textId="77777777" w:rsidR="00273DF4" w:rsidRPr="007849C9" w:rsidRDefault="00273DF4" w:rsidP="00FF06E7">
      <w:pPr>
        <w:spacing w:after="0" w:line="240" w:lineRule="auto"/>
        <w:ind w:left="2160" w:hanging="2160"/>
        <w:rPr>
          <w:rFonts w:ascii="Arial" w:eastAsia="Times New Roman" w:hAnsi="Arial" w:cs="Arial"/>
          <w:szCs w:val="24"/>
        </w:rPr>
      </w:pPr>
      <w:r w:rsidRPr="007849C9">
        <w:rPr>
          <w:rFonts w:ascii="Arial" w:eastAsia="Times New Roman" w:hAnsi="Arial" w:cs="Arial"/>
          <w:szCs w:val="24"/>
        </w:rPr>
        <w:t>and</w:t>
      </w:r>
    </w:p>
    <w:p w14:paraId="044A409F" w14:textId="77777777" w:rsidR="00273DF4" w:rsidRPr="007849C9" w:rsidRDefault="00273DF4" w:rsidP="00FF06E7">
      <w:pPr>
        <w:spacing w:after="0" w:line="240" w:lineRule="auto"/>
        <w:ind w:left="2160" w:hanging="2160"/>
        <w:rPr>
          <w:rFonts w:ascii="Arial" w:eastAsia="Times New Roman" w:hAnsi="Arial" w:cs="Arial"/>
          <w:b/>
          <w:szCs w:val="24"/>
        </w:rPr>
      </w:pPr>
    </w:p>
    <w:p w14:paraId="2F9DD95F" w14:textId="5D844FDC" w:rsidR="00273DF4" w:rsidRDefault="00403366" w:rsidP="00FF06E7">
      <w:pPr>
        <w:spacing w:after="0" w:line="240" w:lineRule="auto"/>
        <w:ind w:left="2160" w:hanging="2160"/>
        <w:rPr>
          <w:rFonts w:ascii="Arial" w:eastAsia="Times New Roman" w:hAnsi="Arial" w:cs="Arial"/>
          <w:szCs w:val="24"/>
        </w:rPr>
      </w:pPr>
      <w:r>
        <w:rPr>
          <w:rFonts w:ascii="Arial" w:eastAsia="Times New Roman" w:hAnsi="Arial" w:cs="Arial"/>
          <w:b/>
          <w:szCs w:val="24"/>
        </w:rPr>
        <w:t xml:space="preserve">GREEN OUTDOOR GYMS (PTY) LTD </w:t>
      </w:r>
      <w:r w:rsidR="00273DF4">
        <w:rPr>
          <w:rFonts w:ascii="Arial" w:eastAsia="Times New Roman" w:hAnsi="Arial" w:cs="Arial"/>
          <w:b/>
          <w:szCs w:val="24"/>
        </w:rPr>
        <w:tab/>
      </w:r>
      <w:r w:rsidR="00273DF4">
        <w:rPr>
          <w:rFonts w:ascii="Arial" w:eastAsia="Times New Roman" w:hAnsi="Arial" w:cs="Arial"/>
          <w:b/>
          <w:szCs w:val="24"/>
        </w:rPr>
        <w:tab/>
        <w:t xml:space="preserve">         </w:t>
      </w:r>
      <w:r w:rsidR="008637FF">
        <w:rPr>
          <w:rFonts w:ascii="Arial" w:eastAsia="Times New Roman" w:hAnsi="Arial" w:cs="Arial"/>
          <w:b/>
          <w:szCs w:val="24"/>
        </w:rPr>
        <w:tab/>
      </w:r>
      <w:r w:rsidR="008637FF">
        <w:rPr>
          <w:rFonts w:ascii="Arial" w:eastAsia="Times New Roman" w:hAnsi="Arial" w:cs="Arial"/>
          <w:b/>
          <w:szCs w:val="24"/>
        </w:rPr>
        <w:tab/>
      </w:r>
      <w:r w:rsidR="001A4766">
        <w:rPr>
          <w:rFonts w:ascii="Arial" w:eastAsia="Times New Roman" w:hAnsi="Arial" w:cs="Arial"/>
          <w:b/>
          <w:szCs w:val="24"/>
        </w:rPr>
        <w:tab/>
      </w:r>
      <w:r w:rsidR="008637FF">
        <w:rPr>
          <w:rFonts w:ascii="Arial" w:eastAsia="Times New Roman" w:hAnsi="Arial" w:cs="Arial"/>
          <w:szCs w:val="24"/>
        </w:rPr>
        <w:t>First Respondent</w:t>
      </w:r>
    </w:p>
    <w:p w14:paraId="55A8E189" w14:textId="77777777" w:rsidR="008637FF" w:rsidRDefault="008637FF" w:rsidP="00FF06E7">
      <w:pPr>
        <w:spacing w:after="0" w:line="240" w:lineRule="auto"/>
        <w:ind w:left="2160" w:hanging="2160"/>
        <w:rPr>
          <w:rFonts w:ascii="Arial" w:eastAsia="Times New Roman" w:hAnsi="Arial" w:cs="Arial"/>
          <w:szCs w:val="24"/>
        </w:rPr>
      </w:pPr>
    </w:p>
    <w:p w14:paraId="4AE11E4F" w14:textId="37C36D2E" w:rsidR="008637FF" w:rsidRDefault="00403366" w:rsidP="00FF06E7">
      <w:pPr>
        <w:spacing w:after="0" w:line="240" w:lineRule="auto"/>
        <w:ind w:left="2160" w:hanging="2160"/>
        <w:rPr>
          <w:rFonts w:ascii="Arial" w:eastAsia="Times New Roman" w:hAnsi="Arial" w:cs="Arial"/>
          <w:szCs w:val="24"/>
        </w:rPr>
      </w:pPr>
      <w:r>
        <w:rPr>
          <w:rFonts w:ascii="Arial" w:eastAsia="Times New Roman" w:hAnsi="Arial" w:cs="Arial"/>
          <w:b/>
          <w:szCs w:val="24"/>
        </w:rPr>
        <w:t>TIMOTHY PAUL HOGINS</w:t>
      </w:r>
      <w:r w:rsidR="008637FF">
        <w:rPr>
          <w:rFonts w:ascii="Arial" w:eastAsia="Times New Roman" w:hAnsi="Arial" w:cs="Arial"/>
          <w:szCs w:val="24"/>
        </w:rPr>
        <w:tab/>
      </w:r>
      <w:r w:rsidR="008637FF">
        <w:rPr>
          <w:rFonts w:ascii="Arial" w:eastAsia="Times New Roman" w:hAnsi="Arial" w:cs="Arial"/>
          <w:szCs w:val="24"/>
        </w:rPr>
        <w:tab/>
      </w:r>
      <w:r w:rsidR="008637FF">
        <w:rPr>
          <w:rFonts w:ascii="Arial" w:eastAsia="Times New Roman" w:hAnsi="Arial" w:cs="Arial"/>
          <w:szCs w:val="24"/>
        </w:rPr>
        <w:tab/>
      </w:r>
      <w:r w:rsidR="008637FF">
        <w:rPr>
          <w:rFonts w:ascii="Arial" w:eastAsia="Times New Roman" w:hAnsi="Arial" w:cs="Arial"/>
          <w:szCs w:val="24"/>
        </w:rPr>
        <w:tab/>
      </w:r>
      <w:r w:rsidR="008637FF">
        <w:rPr>
          <w:rFonts w:ascii="Arial" w:eastAsia="Times New Roman" w:hAnsi="Arial" w:cs="Arial"/>
          <w:szCs w:val="24"/>
        </w:rPr>
        <w:tab/>
      </w:r>
      <w:r w:rsidR="008637FF">
        <w:rPr>
          <w:rFonts w:ascii="Arial" w:eastAsia="Times New Roman" w:hAnsi="Arial" w:cs="Arial"/>
          <w:szCs w:val="24"/>
        </w:rPr>
        <w:tab/>
      </w:r>
      <w:r w:rsidR="001A4766">
        <w:rPr>
          <w:rFonts w:ascii="Arial" w:eastAsia="Times New Roman" w:hAnsi="Arial" w:cs="Arial"/>
          <w:szCs w:val="24"/>
        </w:rPr>
        <w:t xml:space="preserve">     </w:t>
      </w:r>
      <w:r w:rsidR="008637FF">
        <w:rPr>
          <w:rFonts w:ascii="Arial" w:eastAsia="Times New Roman" w:hAnsi="Arial" w:cs="Arial"/>
          <w:szCs w:val="24"/>
        </w:rPr>
        <w:t>Second Respondent</w:t>
      </w:r>
    </w:p>
    <w:p w14:paraId="236A4C71" w14:textId="77777777" w:rsidR="00273DF4" w:rsidRPr="001B0DFE" w:rsidRDefault="00273DF4" w:rsidP="00FF06E7">
      <w:pPr>
        <w:spacing w:after="0" w:line="240"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w:t>
      </w:r>
    </w:p>
    <w:p w14:paraId="40035947" w14:textId="77777777" w:rsidR="00273DF4" w:rsidRPr="001B0DFE" w:rsidRDefault="00273DF4" w:rsidP="00FF06E7">
      <w:pPr>
        <w:spacing w:after="0" w:line="240" w:lineRule="auto"/>
        <w:ind w:left="0"/>
        <w:jc w:val="center"/>
        <w:rPr>
          <w:rFonts w:ascii="Arial" w:eastAsia="Times New Roman" w:hAnsi="Arial" w:cs="Arial"/>
          <w:b/>
          <w:szCs w:val="24"/>
        </w:rPr>
      </w:pPr>
    </w:p>
    <w:p w14:paraId="5B84DB8C" w14:textId="5CA63BB6" w:rsidR="00273DF4" w:rsidRDefault="00273DF4" w:rsidP="00FF06E7">
      <w:pPr>
        <w:spacing w:after="0" w:line="240" w:lineRule="auto"/>
        <w:ind w:left="0"/>
        <w:jc w:val="center"/>
        <w:rPr>
          <w:rFonts w:ascii="Arial" w:eastAsia="Times New Roman" w:hAnsi="Arial" w:cs="Arial"/>
          <w:b/>
          <w:szCs w:val="24"/>
        </w:rPr>
      </w:pPr>
      <w:r>
        <w:rPr>
          <w:rFonts w:ascii="Arial" w:eastAsia="Times New Roman" w:hAnsi="Arial" w:cs="Arial"/>
          <w:b/>
          <w:szCs w:val="24"/>
        </w:rPr>
        <w:t>JUDGMENT</w:t>
      </w:r>
    </w:p>
    <w:p w14:paraId="704D9912" w14:textId="6117465E" w:rsidR="006E5E01" w:rsidRPr="001B0DFE" w:rsidRDefault="00496A29" w:rsidP="00FF06E7">
      <w:pPr>
        <w:spacing w:after="0" w:line="240" w:lineRule="auto"/>
        <w:ind w:left="0"/>
        <w:jc w:val="center"/>
        <w:rPr>
          <w:rFonts w:ascii="Arial" w:eastAsia="Times New Roman" w:hAnsi="Arial" w:cs="Arial"/>
          <w:b/>
          <w:szCs w:val="24"/>
        </w:rPr>
      </w:pPr>
      <w:r>
        <w:rPr>
          <w:rFonts w:ascii="Arial" w:eastAsia="Times New Roman" w:hAnsi="Arial" w:cs="Arial"/>
          <w:b/>
          <w:szCs w:val="24"/>
        </w:rPr>
        <w:t>(</w:t>
      </w:r>
      <w:r w:rsidR="006E5E01">
        <w:rPr>
          <w:rFonts w:ascii="Arial" w:eastAsia="Times New Roman" w:hAnsi="Arial" w:cs="Arial"/>
          <w:b/>
          <w:szCs w:val="24"/>
        </w:rPr>
        <w:t>LEAVE TO APPEAL</w:t>
      </w:r>
      <w:r>
        <w:rPr>
          <w:rFonts w:ascii="Arial" w:eastAsia="Times New Roman" w:hAnsi="Arial" w:cs="Arial"/>
          <w:b/>
          <w:szCs w:val="24"/>
        </w:rPr>
        <w:t>)</w:t>
      </w:r>
    </w:p>
    <w:p w14:paraId="12E77323" w14:textId="77777777" w:rsidR="00273DF4" w:rsidRPr="00DA3AA2" w:rsidRDefault="00273DF4" w:rsidP="00FF06E7">
      <w:pPr>
        <w:spacing w:after="0" w:line="240"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w:t>
      </w:r>
    </w:p>
    <w:p w14:paraId="5438C10F" w14:textId="77777777" w:rsidR="001A4766" w:rsidRDefault="001A4766" w:rsidP="00FF06E7">
      <w:pPr>
        <w:spacing w:after="0" w:line="240" w:lineRule="auto"/>
        <w:rPr>
          <w:rFonts w:ascii="Arial" w:hAnsi="Arial" w:cs="Arial"/>
          <w:b/>
          <w:bCs/>
          <w:w w:val="104"/>
          <w:u w:val="single"/>
          <w:lang w:val="en-GB"/>
        </w:rPr>
      </w:pPr>
    </w:p>
    <w:p w14:paraId="602147DA" w14:textId="357CFABE" w:rsidR="002F699A" w:rsidRDefault="0048467C" w:rsidP="00FF06E7">
      <w:pPr>
        <w:spacing w:after="0" w:line="240" w:lineRule="auto"/>
        <w:rPr>
          <w:rFonts w:ascii="Arial" w:hAnsi="Arial" w:cs="Arial"/>
          <w:b/>
          <w:bCs/>
          <w:w w:val="104"/>
          <w:u w:val="single"/>
          <w:lang w:val="en-GB"/>
        </w:rPr>
      </w:pPr>
      <w:r>
        <w:rPr>
          <w:rFonts w:ascii="Arial" w:hAnsi="Arial" w:cs="Arial"/>
          <w:b/>
          <w:bCs/>
          <w:w w:val="104"/>
          <w:u w:val="single"/>
          <w:lang w:val="en-GB"/>
        </w:rPr>
        <w:t>SHEPSTON</w:t>
      </w:r>
      <w:r w:rsidR="002F699A">
        <w:rPr>
          <w:rFonts w:ascii="Arial" w:hAnsi="Arial" w:cs="Arial"/>
          <w:b/>
          <w:bCs/>
          <w:w w:val="104"/>
          <w:u w:val="single"/>
          <w:lang w:val="en-GB"/>
        </w:rPr>
        <w:t>E</w:t>
      </w:r>
      <w:r w:rsidR="00273DF4" w:rsidRPr="00030051">
        <w:rPr>
          <w:rFonts w:ascii="Arial" w:hAnsi="Arial" w:cs="Arial"/>
          <w:b/>
          <w:bCs/>
          <w:w w:val="104"/>
          <w:u w:val="single"/>
          <w:lang w:val="en-GB"/>
        </w:rPr>
        <w:t xml:space="preserve"> AJ</w:t>
      </w:r>
    </w:p>
    <w:p w14:paraId="16AC0FE3" w14:textId="61EA282B" w:rsidR="006E5E01" w:rsidRDefault="006E5E01" w:rsidP="006E5E01">
      <w:pPr>
        <w:spacing w:after="0" w:line="276" w:lineRule="auto"/>
        <w:rPr>
          <w:rFonts w:ascii="Arial" w:hAnsi="Arial" w:cs="Arial"/>
          <w:b/>
          <w:bCs/>
          <w:w w:val="104"/>
          <w:u w:val="single"/>
          <w:lang w:val="en-GB"/>
        </w:rPr>
      </w:pPr>
    </w:p>
    <w:p w14:paraId="6C3203AA" w14:textId="77777777" w:rsidR="004C60CE" w:rsidRDefault="004C60CE" w:rsidP="004C60CE">
      <w:pPr>
        <w:spacing w:after="0" w:line="276" w:lineRule="auto"/>
        <w:ind w:left="720"/>
        <w:rPr>
          <w:rFonts w:ascii="Arial" w:hAnsi="Arial" w:cs="Arial"/>
          <w:bCs/>
          <w:w w:val="104"/>
          <w:lang w:val="en-US"/>
        </w:rPr>
      </w:pPr>
    </w:p>
    <w:p w14:paraId="234B3FE1" w14:textId="6A62DC15" w:rsid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t>The applicant applies to this Court for leave to appeal in terms of section</w:t>
      </w:r>
      <w:r w:rsidR="006B788B">
        <w:rPr>
          <w:rFonts w:ascii="Arial" w:hAnsi="Arial" w:cs="Arial"/>
          <w:bCs/>
          <w:w w:val="104"/>
          <w:lang w:val="en-US"/>
        </w:rPr>
        <w:t xml:space="preserve"> </w:t>
      </w:r>
      <w:r w:rsidRPr="006E5E01">
        <w:rPr>
          <w:rFonts w:ascii="Arial" w:hAnsi="Arial" w:cs="Arial"/>
          <w:bCs/>
          <w:w w:val="104"/>
          <w:lang w:val="en-US"/>
        </w:rPr>
        <w:t>17(1)(a) of the Superior Courts Act</w:t>
      </w:r>
      <w:r w:rsidRPr="006E5E01">
        <w:rPr>
          <w:rFonts w:ascii="Arial" w:hAnsi="Arial" w:cs="Arial"/>
          <w:bCs/>
          <w:w w:val="104"/>
          <w:vertAlign w:val="superscript"/>
          <w:lang w:val="en-US"/>
        </w:rPr>
        <w:t xml:space="preserve"> </w:t>
      </w:r>
      <w:r w:rsidRPr="006E5E01">
        <w:rPr>
          <w:rFonts w:ascii="Arial" w:hAnsi="Arial" w:cs="Arial"/>
          <w:bCs/>
          <w:w w:val="104"/>
          <w:lang w:val="en-US"/>
        </w:rPr>
        <w:t>10 of 2013 (“</w:t>
      </w:r>
      <w:r w:rsidRPr="006E5E01">
        <w:rPr>
          <w:rFonts w:ascii="Arial" w:hAnsi="Arial" w:cs="Arial"/>
          <w:b/>
          <w:bCs/>
          <w:w w:val="104"/>
          <w:lang w:val="en-US"/>
        </w:rPr>
        <w:t>the Act</w:t>
      </w:r>
      <w:r w:rsidRPr="006E5E01">
        <w:rPr>
          <w:rFonts w:ascii="Arial" w:hAnsi="Arial" w:cs="Arial"/>
          <w:bCs/>
          <w:w w:val="104"/>
          <w:lang w:val="en-US"/>
        </w:rPr>
        <w:t>”).</w:t>
      </w:r>
    </w:p>
    <w:p w14:paraId="28704BD8" w14:textId="77777777" w:rsidR="006E5E01" w:rsidRDefault="006E5E01" w:rsidP="004E1A18">
      <w:pPr>
        <w:spacing w:after="0" w:line="276" w:lineRule="auto"/>
        <w:ind w:left="0"/>
        <w:rPr>
          <w:rFonts w:ascii="Arial" w:hAnsi="Arial" w:cs="Arial"/>
          <w:b/>
          <w:bCs/>
          <w:w w:val="104"/>
          <w:lang w:val="en-US"/>
        </w:rPr>
      </w:pPr>
    </w:p>
    <w:p w14:paraId="3936766C" w14:textId="18DE6FB6" w:rsidR="006E5E01" w:rsidRPr="006E5E01" w:rsidRDefault="006E5E01" w:rsidP="004E1A18">
      <w:pPr>
        <w:spacing w:after="0" w:line="276" w:lineRule="auto"/>
        <w:ind w:left="0"/>
        <w:rPr>
          <w:rFonts w:ascii="Arial" w:hAnsi="Arial" w:cs="Arial"/>
          <w:bCs/>
          <w:w w:val="104"/>
          <w:lang w:val="en-US"/>
        </w:rPr>
      </w:pPr>
      <w:r w:rsidRPr="006E5E01">
        <w:rPr>
          <w:rFonts w:ascii="Arial" w:hAnsi="Arial" w:cs="Arial"/>
          <w:b/>
          <w:bCs/>
          <w:w w:val="104"/>
          <w:lang w:val="en-US"/>
        </w:rPr>
        <w:t>The law</w:t>
      </w:r>
    </w:p>
    <w:p w14:paraId="4D34C54F" w14:textId="77777777" w:rsidR="006E5E01" w:rsidRDefault="006E5E01" w:rsidP="004E1A18">
      <w:pPr>
        <w:spacing w:after="0" w:line="276" w:lineRule="auto"/>
        <w:ind w:left="360"/>
        <w:rPr>
          <w:rFonts w:ascii="Arial" w:hAnsi="Arial" w:cs="Arial"/>
          <w:bCs/>
          <w:w w:val="104"/>
          <w:lang w:val="en-US"/>
        </w:rPr>
      </w:pPr>
      <w:bookmarkStart w:id="0" w:name="_GoBack"/>
      <w:bookmarkEnd w:id="0"/>
    </w:p>
    <w:p w14:paraId="7969D0AB" w14:textId="771A762E"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t>The test for leave to appeal is not controversial.</w:t>
      </w:r>
    </w:p>
    <w:p w14:paraId="2F8E74F9" w14:textId="77777777" w:rsidR="006E5E01" w:rsidRDefault="006E5E01" w:rsidP="004E1A18">
      <w:pPr>
        <w:spacing w:after="0" w:line="276" w:lineRule="auto"/>
        <w:ind w:left="360"/>
        <w:rPr>
          <w:rFonts w:ascii="Arial" w:hAnsi="Arial" w:cs="Arial"/>
          <w:bCs/>
          <w:w w:val="104"/>
          <w:lang w:val="en-US"/>
        </w:rPr>
      </w:pPr>
    </w:p>
    <w:p w14:paraId="14F44D76" w14:textId="77777777" w:rsid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lastRenderedPageBreak/>
        <w:t xml:space="preserve">In terms section 17(1)(a) of the Act, leave </w:t>
      </w:r>
      <w:r w:rsidRPr="006E5E01">
        <w:rPr>
          <w:rFonts w:ascii="Arial" w:hAnsi="Arial" w:cs="Arial"/>
          <w:b/>
          <w:bCs/>
          <w:w w:val="104"/>
          <w:u w:val="single"/>
          <w:lang w:val="en-US"/>
        </w:rPr>
        <w:t>may only</w:t>
      </w:r>
      <w:r w:rsidRPr="006E5E01">
        <w:rPr>
          <w:rFonts w:ascii="Arial" w:hAnsi="Arial" w:cs="Arial"/>
          <w:bCs/>
          <w:w w:val="104"/>
          <w:lang w:val="en-US"/>
        </w:rPr>
        <w:t xml:space="preserve"> be granted where the judge or judges concerned are of the opinion that:</w:t>
      </w:r>
    </w:p>
    <w:p w14:paraId="7B4C67ED" w14:textId="77777777" w:rsidR="006E5E01" w:rsidRDefault="006E5E01" w:rsidP="004E1A18">
      <w:pPr>
        <w:pStyle w:val="ListParagraph"/>
        <w:spacing w:after="0" w:line="276" w:lineRule="auto"/>
        <w:rPr>
          <w:rFonts w:ascii="Arial" w:hAnsi="Arial" w:cs="Arial"/>
          <w:bCs/>
          <w:w w:val="104"/>
          <w:lang w:val="en-US"/>
        </w:rPr>
      </w:pPr>
    </w:p>
    <w:p w14:paraId="0B424E13" w14:textId="77777777" w:rsidR="006E5E01" w:rsidRDefault="006E5E01" w:rsidP="004E1A18">
      <w:pPr>
        <w:pStyle w:val="ListParagraph"/>
        <w:numPr>
          <w:ilvl w:val="1"/>
          <w:numId w:val="29"/>
        </w:numPr>
        <w:spacing w:after="0" w:line="276" w:lineRule="auto"/>
        <w:ind w:left="1440" w:hanging="720"/>
        <w:rPr>
          <w:rFonts w:ascii="Arial" w:hAnsi="Arial" w:cs="Arial"/>
          <w:bCs/>
          <w:w w:val="104"/>
          <w:lang w:val="en-US"/>
        </w:rPr>
      </w:pPr>
      <w:r w:rsidRPr="006E5E01">
        <w:rPr>
          <w:rFonts w:ascii="Arial" w:hAnsi="Arial" w:cs="Arial"/>
          <w:bCs/>
          <w:w w:val="104"/>
          <w:lang w:val="en-US"/>
        </w:rPr>
        <w:t>the appeal would have a reasonable prospect of success; or</w:t>
      </w:r>
    </w:p>
    <w:p w14:paraId="3D7E9A45" w14:textId="77777777" w:rsidR="006E5E01" w:rsidRDefault="006E5E01" w:rsidP="004E1A18">
      <w:pPr>
        <w:pStyle w:val="ListParagraph"/>
        <w:spacing w:after="0" w:line="276" w:lineRule="auto"/>
        <w:ind w:left="1440"/>
        <w:rPr>
          <w:rFonts w:ascii="Arial" w:hAnsi="Arial" w:cs="Arial"/>
          <w:bCs/>
          <w:w w:val="104"/>
          <w:lang w:val="en-US"/>
        </w:rPr>
      </w:pPr>
    </w:p>
    <w:p w14:paraId="704FCA49" w14:textId="09B9F1D1" w:rsidR="006E5E01" w:rsidRPr="006E5E01" w:rsidRDefault="006E5E01" w:rsidP="004E1A18">
      <w:pPr>
        <w:pStyle w:val="ListParagraph"/>
        <w:numPr>
          <w:ilvl w:val="1"/>
          <w:numId w:val="29"/>
        </w:numPr>
        <w:spacing w:after="0" w:line="276" w:lineRule="auto"/>
        <w:ind w:left="1440" w:hanging="720"/>
        <w:rPr>
          <w:rFonts w:ascii="Arial" w:hAnsi="Arial" w:cs="Arial"/>
          <w:bCs/>
          <w:w w:val="104"/>
          <w:lang w:val="en-US"/>
        </w:rPr>
      </w:pPr>
      <w:r w:rsidRPr="006E5E01">
        <w:rPr>
          <w:rFonts w:ascii="Arial" w:hAnsi="Arial" w:cs="Arial"/>
          <w:bCs/>
          <w:w w:val="104"/>
          <w:lang w:val="en-US"/>
        </w:rPr>
        <w:t>there is some other compelling reason why the appeal should be heard, including conflicting judgments on the matter under consideration.</w:t>
      </w:r>
    </w:p>
    <w:p w14:paraId="42CB2B16" w14:textId="77777777" w:rsidR="006E5E01" w:rsidRDefault="006E5E01" w:rsidP="004E1A18">
      <w:pPr>
        <w:spacing w:after="0" w:line="276" w:lineRule="auto"/>
        <w:ind w:left="360"/>
        <w:rPr>
          <w:rFonts w:ascii="Arial" w:hAnsi="Arial" w:cs="Arial"/>
          <w:bCs/>
          <w:w w:val="104"/>
          <w:lang w:val="en-US"/>
        </w:rPr>
      </w:pPr>
    </w:p>
    <w:p w14:paraId="401058A4" w14:textId="4D8A0413"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t xml:space="preserve">In </w:t>
      </w:r>
      <w:r w:rsidRPr="006E5E01">
        <w:rPr>
          <w:rFonts w:ascii="Arial" w:hAnsi="Arial" w:cs="Arial"/>
          <w:b/>
          <w:bCs/>
          <w:i/>
          <w:iCs/>
          <w:w w:val="104"/>
          <w:lang w:val="en-US"/>
        </w:rPr>
        <w:t>Caratco (Pty) Ltd v Independent Advisory Ltd</w:t>
      </w:r>
      <w:r w:rsidRPr="006E5E01">
        <w:rPr>
          <w:rFonts w:ascii="Arial" w:hAnsi="Arial" w:cs="Arial"/>
          <w:bCs/>
          <w:w w:val="104"/>
          <w:vertAlign w:val="superscript"/>
          <w:lang w:val="en-US"/>
        </w:rPr>
        <w:footnoteReference w:id="1"/>
      </w:r>
      <w:r w:rsidRPr="006E5E01">
        <w:rPr>
          <w:rFonts w:ascii="Arial" w:hAnsi="Arial" w:cs="Arial"/>
          <w:bCs/>
          <w:w w:val="104"/>
          <w:lang w:val="en-US"/>
        </w:rPr>
        <w:t xml:space="preserve"> the Supreme Court of Appeal held as follows regarding the threshold which a party seeking leave to appeal is required to satisfy:</w:t>
      </w:r>
    </w:p>
    <w:p w14:paraId="62912E56" w14:textId="77777777" w:rsidR="006E5E01" w:rsidRDefault="006E5E01" w:rsidP="004E1A18">
      <w:pPr>
        <w:spacing w:after="0" w:line="276" w:lineRule="auto"/>
        <w:rPr>
          <w:rFonts w:ascii="Arial" w:hAnsi="Arial" w:cs="Arial"/>
          <w:bCs/>
          <w:w w:val="104"/>
        </w:rPr>
      </w:pPr>
    </w:p>
    <w:p w14:paraId="4E256AD0" w14:textId="2E924E74" w:rsidR="006E5E01" w:rsidRPr="006E5E01" w:rsidRDefault="006E5E01" w:rsidP="00496A29">
      <w:pPr>
        <w:spacing w:after="0" w:line="276" w:lineRule="auto"/>
        <w:ind w:left="2160" w:hanging="720"/>
        <w:rPr>
          <w:rFonts w:ascii="Arial" w:hAnsi="Arial" w:cs="Arial"/>
          <w:bCs/>
          <w:w w:val="104"/>
        </w:rPr>
      </w:pPr>
      <w:r w:rsidRPr="006E5E01">
        <w:rPr>
          <w:rFonts w:ascii="Arial" w:hAnsi="Arial" w:cs="Arial"/>
          <w:bCs/>
          <w:w w:val="104"/>
        </w:rPr>
        <w:t>“</w:t>
      </w:r>
      <w:r w:rsidRPr="006E5E01">
        <w:rPr>
          <w:rFonts w:ascii="Arial" w:hAnsi="Arial" w:cs="Arial"/>
          <w:bCs/>
          <w:i/>
          <w:iCs/>
          <w:w w:val="104"/>
        </w:rPr>
        <w:t>[2]</w:t>
      </w:r>
      <w:r>
        <w:rPr>
          <w:rFonts w:ascii="Arial" w:hAnsi="Arial" w:cs="Arial"/>
          <w:bCs/>
          <w:i/>
          <w:iCs/>
          <w:w w:val="104"/>
        </w:rPr>
        <w:tab/>
      </w:r>
      <w:r w:rsidRPr="006E5E01">
        <w:rPr>
          <w:rFonts w:ascii="Arial" w:hAnsi="Arial" w:cs="Arial"/>
          <w:bCs/>
          <w:i/>
          <w:iCs/>
          <w:w w:val="104"/>
        </w:rPr>
        <w:t>In order to be granted leave to appeal in terms of s 17(1)(a)(i) and s 17(1)(a)(ii) of the Superior Courts Act an applicant for leave must satisfy the court that the appeal would have a reasonable prospect of success or that there is some other compelling reason why the appeal should be heard. If the court is unpersuaded of the prospects of success, it must still enquire into whether there is a compelling reason to entertain the appeal. A compelling reason includes an important question of law or a discrete issue of public importance that will have an effect on future disputes. But here too, the merits remain vitally important and are often decisive. Caratco must satisfy this court that it has met this threshold.</w:t>
      </w:r>
      <w:r w:rsidRPr="006E5E01">
        <w:rPr>
          <w:rFonts w:ascii="Arial" w:hAnsi="Arial" w:cs="Arial"/>
          <w:bCs/>
          <w:w w:val="104"/>
        </w:rPr>
        <w:t>”</w:t>
      </w:r>
    </w:p>
    <w:p w14:paraId="3409CE09" w14:textId="77777777" w:rsidR="006E5E01" w:rsidRDefault="006E5E01" w:rsidP="004E1A18">
      <w:pPr>
        <w:spacing w:after="0" w:line="276" w:lineRule="auto"/>
        <w:ind w:left="360"/>
        <w:rPr>
          <w:rFonts w:ascii="Arial" w:hAnsi="Arial" w:cs="Arial"/>
          <w:bCs/>
          <w:w w:val="104"/>
          <w:lang w:val="en-US"/>
        </w:rPr>
      </w:pPr>
    </w:p>
    <w:p w14:paraId="0C7F823C" w14:textId="3DD874E8"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t xml:space="preserve">The test applied in </w:t>
      </w:r>
      <w:r w:rsidRPr="006E5E01">
        <w:rPr>
          <w:rFonts w:ascii="Arial" w:hAnsi="Arial" w:cs="Arial"/>
          <w:b/>
          <w:bCs/>
          <w:i/>
          <w:iCs/>
          <w:w w:val="104"/>
          <w:lang w:val="en-US"/>
        </w:rPr>
        <w:t>Caratco</w:t>
      </w:r>
      <w:r w:rsidRPr="006E5E01">
        <w:rPr>
          <w:rFonts w:ascii="Arial" w:hAnsi="Arial" w:cs="Arial"/>
          <w:bCs/>
          <w:w w:val="104"/>
          <w:lang w:val="en-US"/>
        </w:rPr>
        <w:t xml:space="preserve"> was referred to with approval by the SCA in </w:t>
      </w:r>
      <w:r w:rsidRPr="006E5E01">
        <w:rPr>
          <w:rFonts w:ascii="Arial" w:hAnsi="Arial" w:cs="Arial"/>
          <w:b/>
          <w:bCs/>
          <w:i/>
          <w:iCs/>
          <w:w w:val="104"/>
          <w:lang w:val="en-US"/>
        </w:rPr>
        <w:t>Ramakatsa and Others v African National Congress and Others</w:t>
      </w:r>
      <w:r w:rsidRPr="006E5E01">
        <w:rPr>
          <w:rFonts w:ascii="Arial" w:hAnsi="Arial" w:cs="Arial"/>
          <w:bCs/>
          <w:w w:val="104"/>
          <w:lang w:val="en-US"/>
        </w:rPr>
        <w:t>,</w:t>
      </w:r>
      <w:r w:rsidRPr="006E5E01">
        <w:rPr>
          <w:rFonts w:ascii="Arial" w:hAnsi="Arial" w:cs="Arial"/>
          <w:bCs/>
          <w:w w:val="104"/>
          <w:vertAlign w:val="superscript"/>
          <w:lang w:val="en-US"/>
        </w:rPr>
        <w:footnoteReference w:id="2"/>
      </w:r>
      <w:r w:rsidRPr="006E5E01">
        <w:rPr>
          <w:rFonts w:ascii="Arial" w:hAnsi="Arial" w:cs="Arial"/>
          <w:bCs/>
          <w:w w:val="104"/>
          <w:lang w:val="en-US"/>
        </w:rPr>
        <w:t xml:space="preserve"> in which the SCA held as follows:</w:t>
      </w:r>
    </w:p>
    <w:p w14:paraId="62AC06AD" w14:textId="77777777" w:rsidR="006E5E01" w:rsidRDefault="006E5E01" w:rsidP="004E1A18">
      <w:pPr>
        <w:spacing w:after="0" w:line="276" w:lineRule="auto"/>
        <w:ind w:left="1440" w:hanging="720"/>
        <w:rPr>
          <w:rFonts w:ascii="Arial" w:hAnsi="Arial" w:cs="Arial"/>
          <w:bCs/>
          <w:w w:val="104"/>
        </w:rPr>
      </w:pPr>
    </w:p>
    <w:p w14:paraId="12B3F504" w14:textId="79F90E71" w:rsidR="006E5E01" w:rsidRPr="006E5E01" w:rsidRDefault="006E5E01" w:rsidP="004F62AB">
      <w:pPr>
        <w:spacing w:after="0" w:line="276" w:lineRule="auto"/>
        <w:ind w:left="2160" w:hanging="720"/>
        <w:rPr>
          <w:rFonts w:ascii="Arial" w:hAnsi="Arial" w:cs="Arial"/>
          <w:bCs/>
          <w:w w:val="104"/>
        </w:rPr>
      </w:pPr>
      <w:r w:rsidRPr="006E5E01">
        <w:rPr>
          <w:rFonts w:ascii="Arial" w:hAnsi="Arial" w:cs="Arial"/>
          <w:bCs/>
          <w:w w:val="104"/>
        </w:rPr>
        <w:t>“</w:t>
      </w:r>
      <w:r w:rsidRPr="006E5E01">
        <w:rPr>
          <w:rFonts w:ascii="Arial" w:hAnsi="Arial" w:cs="Arial"/>
          <w:bCs/>
          <w:i/>
          <w:iCs/>
          <w:w w:val="104"/>
        </w:rPr>
        <w:t>[10]</w:t>
      </w:r>
      <w:r>
        <w:rPr>
          <w:rFonts w:ascii="Arial" w:hAnsi="Arial" w:cs="Arial"/>
          <w:bCs/>
          <w:i/>
          <w:iCs/>
          <w:w w:val="104"/>
        </w:rPr>
        <w:tab/>
      </w:r>
      <w:r w:rsidRPr="006E5E01">
        <w:rPr>
          <w:rFonts w:ascii="Arial" w:hAnsi="Arial" w:cs="Arial"/>
          <w:bCs/>
          <w:i/>
          <w:iCs/>
          <w:w w:val="104"/>
        </w:rPr>
        <w:t>Turning the focus to the relevant provisions of the Superior Courts Act (the SC Act), leave to appeal may only be granted where the judges concerned are of the opinion that the appeal would have a reasonable prospect of success or there are compelling reasons which exist why the appeal should be heard such as the interests of justice.</w:t>
      </w:r>
      <w:r w:rsidRPr="006E5E01">
        <w:rPr>
          <w:rFonts w:ascii="Arial" w:hAnsi="Arial" w:cs="Arial"/>
          <w:bCs/>
          <w:i/>
          <w:iCs/>
          <w:w w:val="104"/>
          <w:vertAlign w:val="superscript"/>
        </w:rPr>
        <w:footnoteReference w:id="3"/>
      </w:r>
      <w:r w:rsidRPr="006E5E01">
        <w:rPr>
          <w:rFonts w:ascii="Arial" w:hAnsi="Arial" w:cs="Arial"/>
          <w:bCs/>
          <w:i/>
          <w:iCs/>
          <w:w w:val="104"/>
        </w:rPr>
        <w:t xml:space="preserve"> This Court in Caratco, concerning the provisions of s 17(1)(a)(ii) of the Act pointed out that if the court is unpersuaded that there are prospects of success, it must still enquire into whether there is a compelling reason to entertain the appeal. Compelling reason would of course include an important question of law or a discreet issue </w:t>
      </w:r>
      <w:r w:rsidRPr="006E5E01">
        <w:rPr>
          <w:rFonts w:ascii="Arial" w:hAnsi="Arial" w:cs="Arial"/>
          <w:bCs/>
          <w:i/>
          <w:iCs/>
          <w:w w:val="104"/>
        </w:rPr>
        <w:lastRenderedPageBreak/>
        <w:t xml:space="preserve">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w:t>
      </w:r>
      <w:r w:rsidRPr="006E5E01">
        <w:rPr>
          <w:rFonts w:ascii="Arial" w:hAnsi="Arial" w:cs="Arial"/>
          <w:bCs/>
          <w:i/>
          <w:iCs/>
          <w:w w:val="104"/>
          <w:u w:val="single"/>
        </w:rPr>
        <w:t>The test of reasonable prospects of success postulates a dispassionate decision based on the facts and the law that a court of appeal could reasonably arrive at a conclusion different to that of the trial court.</w:t>
      </w:r>
      <w:r w:rsidRPr="006E5E01">
        <w:rPr>
          <w:rFonts w:ascii="Arial" w:hAnsi="Arial" w:cs="Arial"/>
          <w:bCs/>
          <w:i/>
          <w:iCs/>
          <w:w w:val="104"/>
        </w:rPr>
        <w:t xml:space="preserve"> In other words, the appellants in this matter need to convince this Court on proper grounds that they have prospects of success on appeal. </w:t>
      </w:r>
      <w:r w:rsidRPr="006E5E01">
        <w:rPr>
          <w:rFonts w:ascii="Arial" w:hAnsi="Arial" w:cs="Arial"/>
          <w:bCs/>
          <w:i/>
          <w:iCs/>
          <w:w w:val="104"/>
          <w:u w:val="single"/>
        </w:rPr>
        <w:t>Those prospects of success must not be remote, but there must exist a reasonable chance of succeeding. A sound rational basis for the conclusion that there are prospects of success must be shown to exist.</w:t>
      </w:r>
      <w:r w:rsidRPr="006E5E01">
        <w:rPr>
          <w:rFonts w:ascii="Arial" w:hAnsi="Arial" w:cs="Arial"/>
          <w:bCs/>
          <w:w w:val="104"/>
        </w:rPr>
        <w:t>” (My emphasis)</w:t>
      </w:r>
    </w:p>
    <w:p w14:paraId="1CCB5D4B" w14:textId="77777777" w:rsidR="006E5E01" w:rsidRPr="006E5E01" w:rsidRDefault="006E5E01" w:rsidP="004E1A18">
      <w:pPr>
        <w:spacing w:after="0" w:line="276" w:lineRule="auto"/>
        <w:rPr>
          <w:rFonts w:ascii="Arial" w:hAnsi="Arial" w:cs="Arial"/>
          <w:bCs/>
          <w:w w:val="104"/>
        </w:rPr>
      </w:pPr>
    </w:p>
    <w:p w14:paraId="40C6BA9F" w14:textId="77777777" w:rsidR="006E5E01" w:rsidRPr="006E5E01" w:rsidRDefault="006E5E01" w:rsidP="004E1A18">
      <w:pPr>
        <w:numPr>
          <w:ilvl w:val="0"/>
          <w:numId w:val="20"/>
        </w:numPr>
        <w:spacing w:after="0" w:line="276" w:lineRule="auto"/>
        <w:ind w:left="720" w:hanging="720"/>
        <w:rPr>
          <w:rFonts w:ascii="Arial" w:hAnsi="Arial" w:cs="Arial"/>
          <w:bCs/>
          <w:w w:val="104"/>
        </w:rPr>
      </w:pPr>
      <w:r w:rsidRPr="006E5E01">
        <w:rPr>
          <w:rFonts w:ascii="Arial" w:hAnsi="Arial" w:cs="Arial"/>
          <w:bCs/>
          <w:w w:val="104"/>
        </w:rPr>
        <w:t>Importantly, a Judge hearing an application for leave to appeal is not called upon to decide if his or her decision was right or wrong.</w:t>
      </w:r>
      <w:r w:rsidRPr="006E5E01">
        <w:rPr>
          <w:rFonts w:ascii="Arial" w:hAnsi="Arial" w:cs="Arial"/>
          <w:bCs/>
          <w:w w:val="104"/>
          <w:vertAlign w:val="superscript"/>
        </w:rPr>
        <w:footnoteReference w:id="4"/>
      </w:r>
    </w:p>
    <w:p w14:paraId="459B5E9E" w14:textId="77777777" w:rsidR="006E5E01" w:rsidRDefault="006E5E01" w:rsidP="004E1A18">
      <w:pPr>
        <w:spacing w:after="0" w:line="276" w:lineRule="auto"/>
        <w:ind w:left="720"/>
        <w:rPr>
          <w:rFonts w:ascii="Arial" w:hAnsi="Arial" w:cs="Arial"/>
          <w:bCs/>
          <w:w w:val="104"/>
          <w:lang w:val="en-US"/>
        </w:rPr>
      </w:pPr>
    </w:p>
    <w:p w14:paraId="3A892CB9" w14:textId="77777777" w:rsid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t xml:space="preserve">In the matter of </w:t>
      </w:r>
      <w:r w:rsidRPr="006E5E01">
        <w:rPr>
          <w:rFonts w:ascii="Arial" w:hAnsi="Arial" w:cs="Arial"/>
          <w:b/>
          <w:bCs/>
          <w:i/>
          <w:iCs/>
          <w:w w:val="104"/>
          <w:lang w:val="en-US"/>
        </w:rPr>
        <w:t>Dexgroup (Pty)Ltd vs TrustCo Group International (Pty) Ltd and others</w:t>
      </w:r>
      <w:r w:rsidRPr="006E5E01">
        <w:rPr>
          <w:rFonts w:ascii="Arial" w:hAnsi="Arial" w:cs="Arial"/>
          <w:bCs/>
          <w:w w:val="104"/>
          <w:vertAlign w:val="superscript"/>
          <w:lang w:val="en-US"/>
        </w:rPr>
        <w:footnoteReference w:id="5"/>
      </w:r>
      <w:r w:rsidRPr="006E5E01">
        <w:rPr>
          <w:rFonts w:ascii="Arial" w:hAnsi="Arial" w:cs="Arial"/>
          <w:bCs/>
          <w:w w:val="104"/>
          <w:lang w:val="en-US"/>
        </w:rPr>
        <w:t>, Justice Wallis observed that a court should not grant leave to appeal and indeed is under a duty not to do so where the threshold which warrants such leave has not been cleared. In paragraph [24] the court held as follows: -</w:t>
      </w:r>
    </w:p>
    <w:p w14:paraId="3B858861" w14:textId="77777777" w:rsidR="006E5E01" w:rsidRDefault="006E5E01" w:rsidP="004E1A18">
      <w:pPr>
        <w:pStyle w:val="ListParagraph"/>
        <w:spacing w:after="0" w:line="276" w:lineRule="auto"/>
        <w:rPr>
          <w:rFonts w:ascii="Arial" w:hAnsi="Arial" w:cs="Arial"/>
          <w:bCs/>
          <w:w w:val="104"/>
          <w:lang w:val="en-US"/>
        </w:rPr>
      </w:pPr>
    </w:p>
    <w:p w14:paraId="424DEAD1" w14:textId="53713EF5" w:rsidR="006E5E01" w:rsidRPr="006E5E01" w:rsidRDefault="006E5E01" w:rsidP="004E1A18">
      <w:pPr>
        <w:spacing w:after="0" w:line="276" w:lineRule="auto"/>
        <w:ind w:left="1440"/>
        <w:rPr>
          <w:rFonts w:ascii="Arial" w:hAnsi="Arial" w:cs="Arial"/>
          <w:bCs/>
          <w:w w:val="104"/>
          <w:lang w:val="en-US"/>
        </w:rPr>
      </w:pPr>
      <w:r w:rsidRPr="006E5E01">
        <w:rPr>
          <w:rFonts w:ascii="Arial" w:hAnsi="Arial" w:cs="Arial"/>
          <w:bCs/>
          <w:w w:val="104"/>
          <w:lang w:val="en-US"/>
        </w:rPr>
        <w:t>“</w:t>
      </w:r>
      <w:r w:rsidRPr="006E5E01">
        <w:rPr>
          <w:rFonts w:ascii="Arial" w:hAnsi="Arial" w:cs="Arial"/>
          <w:bCs/>
          <w:i/>
          <w:iCs/>
          <w:w w:val="104"/>
          <w:lang w:val="en-US"/>
        </w:rPr>
        <w:t xml:space="preserve">Although points of some interest in arbitration law have been canvassed in this judgment, they would have arisen on some other occasion and has been demonstrated. The appeal was bound to fail on the facts. </w:t>
      </w:r>
      <w:r w:rsidRPr="006E5E01">
        <w:rPr>
          <w:rFonts w:ascii="Arial" w:hAnsi="Arial" w:cs="Arial"/>
          <w:b/>
          <w:bCs/>
          <w:i/>
          <w:iCs/>
          <w:w w:val="104"/>
          <w:lang w:val="en-US"/>
        </w:rPr>
        <w:t>The need to obtain leave to appeal is a valuable tool in ensuring that scarce judicial resources are not spent on appeals that lack merit</w:t>
      </w:r>
      <w:r w:rsidRPr="006E5E01">
        <w:rPr>
          <w:rFonts w:ascii="Arial" w:hAnsi="Arial" w:cs="Arial"/>
          <w:bCs/>
          <w:i/>
          <w:iCs/>
          <w:w w:val="104"/>
          <w:lang w:val="en-US"/>
        </w:rPr>
        <w:t>. It should in this case have been deployed by refusing leave to appeal.”</w:t>
      </w:r>
    </w:p>
    <w:p w14:paraId="4BC6E907" w14:textId="77777777" w:rsidR="006E5E01" w:rsidRDefault="006E5E01" w:rsidP="004E1A18">
      <w:pPr>
        <w:spacing w:after="0" w:line="276" w:lineRule="auto"/>
        <w:ind w:left="360"/>
        <w:rPr>
          <w:rFonts w:ascii="Arial" w:hAnsi="Arial" w:cs="Arial"/>
          <w:bCs/>
          <w:w w:val="104"/>
          <w:lang w:val="en-US"/>
        </w:rPr>
      </w:pPr>
    </w:p>
    <w:p w14:paraId="6C20C836" w14:textId="7EBC0A2E" w:rsid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US"/>
        </w:rPr>
        <w:t xml:space="preserve">There must be a compelling reason that warrants the attention of another court before leave to appeal ought to be granted. In </w:t>
      </w:r>
      <w:r w:rsidRPr="006E5E01">
        <w:rPr>
          <w:rFonts w:ascii="Arial" w:hAnsi="Arial" w:cs="Arial"/>
          <w:b/>
          <w:bCs/>
          <w:i/>
          <w:iCs/>
          <w:w w:val="104"/>
          <w:lang w:val="en-US"/>
        </w:rPr>
        <w:t xml:space="preserve">Four Wheel Drive </w:t>
      </w:r>
      <w:r w:rsidRPr="006E5E01">
        <w:rPr>
          <w:rFonts w:ascii="Arial" w:hAnsi="Arial" w:cs="Arial"/>
          <w:b/>
          <w:bCs/>
          <w:i/>
          <w:iCs/>
          <w:w w:val="104"/>
          <w:lang w:val="en-US"/>
        </w:rPr>
        <w:lastRenderedPageBreak/>
        <w:t xml:space="preserve">Accessory </w:t>
      </w:r>
      <w:r w:rsidR="006B788B" w:rsidRPr="006E5E01">
        <w:rPr>
          <w:rFonts w:ascii="Arial" w:hAnsi="Arial" w:cs="Arial"/>
          <w:b/>
          <w:bCs/>
          <w:i/>
          <w:iCs/>
          <w:w w:val="104"/>
          <w:lang w:val="en-US"/>
        </w:rPr>
        <w:t>Distributors</w:t>
      </w:r>
      <w:r w:rsidRPr="006E5E01">
        <w:rPr>
          <w:rFonts w:ascii="Arial" w:hAnsi="Arial" w:cs="Arial"/>
          <w:b/>
          <w:bCs/>
          <w:i/>
          <w:iCs/>
          <w:w w:val="104"/>
          <w:lang w:val="en-US"/>
        </w:rPr>
        <w:t xml:space="preserve"> v Ratt</w:t>
      </w:r>
      <w:r w:rsidR="006B788B">
        <w:rPr>
          <w:rFonts w:ascii="Arial" w:hAnsi="Arial" w:cs="Arial"/>
          <w:b/>
          <w:bCs/>
          <w:i/>
          <w:iCs/>
          <w:w w:val="104"/>
          <w:lang w:val="en-US"/>
        </w:rPr>
        <w:t>a</w:t>
      </w:r>
      <w:r w:rsidRPr="006E5E01">
        <w:rPr>
          <w:rFonts w:ascii="Arial" w:hAnsi="Arial" w:cs="Arial"/>
          <w:b/>
          <w:bCs/>
          <w:i/>
          <w:iCs/>
          <w:w w:val="104"/>
          <w:lang w:val="en-US"/>
        </w:rPr>
        <w:t>n N.O</w:t>
      </w:r>
      <w:r w:rsidR="006B788B">
        <w:rPr>
          <w:rFonts w:ascii="Arial" w:hAnsi="Arial" w:cs="Arial"/>
          <w:b/>
          <w:bCs/>
          <w:i/>
          <w:iCs/>
          <w:w w:val="104"/>
          <w:lang w:val="en-US"/>
        </w:rPr>
        <w:t>.</w:t>
      </w:r>
      <w:r w:rsidRPr="006E5E01">
        <w:rPr>
          <w:rFonts w:ascii="Arial" w:hAnsi="Arial" w:cs="Arial"/>
          <w:bCs/>
          <w:w w:val="104"/>
          <w:lang w:val="en-US"/>
        </w:rPr>
        <w:t xml:space="preserve"> 2019 (3) SA 451 at [34] the SCA held as follows: -</w:t>
      </w:r>
    </w:p>
    <w:p w14:paraId="5F8E87B2" w14:textId="77777777" w:rsidR="006E5E01" w:rsidRDefault="006E5E01" w:rsidP="004E1A18">
      <w:pPr>
        <w:spacing w:after="0" w:line="276" w:lineRule="auto"/>
        <w:ind w:left="720"/>
        <w:rPr>
          <w:rFonts w:ascii="Arial" w:hAnsi="Arial" w:cs="Arial"/>
          <w:bCs/>
          <w:w w:val="104"/>
          <w:lang w:val="en-US"/>
        </w:rPr>
      </w:pPr>
    </w:p>
    <w:p w14:paraId="32757629" w14:textId="40AD9DE1" w:rsidR="006E5E01" w:rsidRPr="006E5E01" w:rsidRDefault="006E5E01" w:rsidP="004E1A18">
      <w:pPr>
        <w:spacing w:after="0" w:line="276" w:lineRule="auto"/>
        <w:ind w:left="1440"/>
        <w:rPr>
          <w:rFonts w:ascii="Arial" w:hAnsi="Arial" w:cs="Arial"/>
          <w:bCs/>
          <w:w w:val="104"/>
          <w:lang w:val="en-US"/>
        </w:rPr>
      </w:pPr>
      <w:r w:rsidRPr="006E5E01">
        <w:rPr>
          <w:rFonts w:ascii="Arial" w:hAnsi="Arial" w:cs="Arial"/>
          <w:bCs/>
          <w:w w:val="104"/>
          <w:lang w:val="en-US"/>
        </w:rPr>
        <w:t>“</w:t>
      </w:r>
      <w:r w:rsidRPr="006E5E01">
        <w:rPr>
          <w:rFonts w:ascii="Arial" w:hAnsi="Arial" w:cs="Arial"/>
          <w:bCs/>
          <w:i/>
          <w:iCs/>
          <w:w w:val="104"/>
          <w:lang w:val="en-US"/>
        </w:rPr>
        <w:t xml:space="preserve">There is a further principle that the Court </w:t>
      </w:r>
      <w:r w:rsidRPr="006E5E01">
        <w:rPr>
          <w:rFonts w:ascii="Arial" w:hAnsi="Arial" w:cs="Arial"/>
          <w:bCs/>
          <w:w w:val="104"/>
          <w:lang w:val="en-US"/>
        </w:rPr>
        <w:t>a quo</w:t>
      </w:r>
      <w:r w:rsidRPr="006E5E01">
        <w:rPr>
          <w:rFonts w:ascii="Arial" w:hAnsi="Arial" w:cs="Arial"/>
          <w:bCs/>
          <w:i/>
          <w:iCs/>
          <w:w w:val="104"/>
          <w:lang w:val="en-US"/>
        </w:rPr>
        <w:t xml:space="preserve"> seems to have overlooked. </w:t>
      </w:r>
      <w:r w:rsidRPr="006E5E01">
        <w:rPr>
          <w:rFonts w:ascii="Arial" w:hAnsi="Arial" w:cs="Arial"/>
          <w:b/>
          <w:bCs/>
          <w:i/>
          <w:iCs/>
          <w:w w:val="104"/>
          <w:lang w:val="en-US"/>
        </w:rPr>
        <w:t>Leave to appeal should be granted only when there is a sound, rational basis for the conclusion that there are prospects of success on appeal</w:t>
      </w:r>
      <w:r w:rsidRPr="006E5E01">
        <w:rPr>
          <w:rFonts w:ascii="Arial" w:hAnsi="Arial" w:cs="Arial"/>
          <w:bCs/>
          <w:i/>
          <w:iCs/>
          <w:w w:val="104"/>
          <w:lang w:val="en-US"/>
        </w:rPr>
        <w:t>. In the light of its findings that the plaintiff filed to prove locus standi or the conclusion of the agreement, I do not think that there was a reasonable prospect of an appeal to this court succeeding or that there was a compelling reason to hear an appeal. In the result, the parties were put through the inconvenience and expense of an appeal without any merit.</w:t>
      </w:r>
      <w:r w:rsidRPr="006E5E01">
        <w:rPr>
          <w:rFonts w:ascii="Arial" w:hAnsi="Arial" w:cs="Arial"/>
          <w:bCs/>
          <w:w w:val="104"/>
          <w:lang w:val="en-US"/>
        </w:rPr>
        <w:t>”</w:t>
      </w:r>
    </w:p>
    <w:p w14:paraId="62576351" w14:textId="77777777" w:rsidR="006E5E01" w:rsidRDefault="006E5E01" w:rsidP="004E1A18">
      <w:pPr>
        <w:spacing w:after="0" w:line="276" w:lineRule="auto"/>
        <w:rPr>
          <w:rFonts w:ascii="Arial" w:hAnsi="Arial" w:cs="Arial"/>
          <w:b/>
          <w:bCs/>
          <w:w w:val="104"/>
          <w:lang w:val="en-US"/>
        </w:rPr>
      </w:pPr>
    </w:p>
    <w:p w14:paraId="5F42E426" w14:textId="69AB0E7B" w:rsidR="006E5E01" w:rsidRPr="006E5E01" w:rsidRDefault="006E5E01" w:rsidP="004E1A18">
      <w:pPr>
        <w:spacing w:after="0" w:line="276" w:lineRule="auto"/>
        <w:rPr>
          <w:rFonts w:ascii="Arial" w:hAnsi="Arial" w:cs="Arial"/>
          <w:b/>
          <w:bCs/>
          <w:w w:val="104"/>
          <w:lang w:val="en-US"/>
        </w:rPr>
      </w:pPr>
      <w:r w:rsidRPr="006E5E01">
        <w:rPr>
          <w:rFonts w:ascii="Arial" w:hAnsi="Arial" w:cs="Arial"/>
          <w:b/>
          <w:bCs/>
          <w:w w:val="104"/>
          <w:lang w:val="en-US"/>
        </w:rPr>
        <w:t>Grounds</w:t>
      </w:r>
    </w:p>
    <w:p w14:paraId="5C1A4D7D" w14:textId="538C062A" w:rsidR="006E5E01" w:rsidRPr="006E5E01" w:rsidRDefault="006E5E01" w:rsidP="004E1A18">
      <w:pPr>
        <w:spacing w:after="0" w:line="276" w:lineRule="auto"/>
        <w:ind w:left="360"/>
        <w:rPr>
          <w:rFonts w:ascii="Arial" w:hAnsi="Arial" w:cs="Arial"/>
          <w:bCs/>
          <w:w w:val="104"/>
          <w:lang w:val="en-US"/>
        </w:rPr>
      </w:pPr>
    </w:p>
    <w:p w14:paraId="24377D2B" w14:textId="3EE342A2"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GB"/>
        </w:rPr>
        <w:t xml:space="preserve">Mr. Mashao, on behalf the applicant, submitted that a Magistrate’s </w:t>
      </w:r>
      <w:r w:rsidR="00775E98">
        <w:rPr>
          <w:rFonts w:ascii="Arial" w:hAnsi="Arial" w:cs="Arial"/>
          <w:bCs/>
          <w:w w:val="104"/>
          <w:lang w:val="en-GB"/>
        </w:rPr>
        <w:t>C</w:t>
      </w:r>
      <w:r w:rsidRPr="006E5E01">
        <w:rPr>
          <w:rFonts w:ascii="Arial" w:hAnsi="Arial" w:cs="Arial"/>
          <w:bCs/>
          <w:w w:val="104"/>
          <w:lang w:val="en-GB"/>
        </w:rPr>
        <w:t>ourt which does not have jurisdiction in the main matter, has the competence to transfer the matter to another court. I asked him to direct me to any authority for this proposition.</w:t>
      </w:r>
    </w:p>
    <w:p w14:paraId="3BED373D" w14:textId="77777777" w:rsidR="006E5E01" w:rsidRPr="006E5E01" w:rsidRDefault="006E5E01" w:rsidP="004E1A18">
      <w:pPr>
        <w:spacing w:after="0" w:line="276" w:lineRule="auto"/>
        <w:ind w:left="360"/>
        <w:rPr>
          <w:rFonts w:ascii="Arial" w:hAnsi="Arial" w:cs="Arial"/>
          <w:bCs/>
          <w:w w:val="104"/>
          <w:lang w:val="en-US"/>
        </w:rPr>
      </w:pPr>
    </w:p>
    <w:p w14:paraId="7FC99BA8" w14:textId="5187AB21"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lang w:val="en-GB"/>
        </w:rPr>
        <w:t xml:space="preserve">He referred me to </w:t>
      </w:r>
      <w:r w:rsidRPr="006E5E01">
        <w:rPr>
          <w:rFonts w:ascii="Arial" w:hAnsi="Arial" w:cs="Arial"/>
          <w:b/>
          <w:bCs/>
          <w:i/>
          <w:iCs/>
          <w:w w:val="104"/>
          <w:lang w:val="en-GB"/>
        </w:rPr>
        <w:t>Botha v Singh and Others</w:t>
      </w:r>
      <w:r w:rsidR="00FF0E0C" w:rsidRPr="009B7C9B">
        <w:rPr>
          <w:rFonts w:ascii="Arial" w:hAnsi="Arial" w:cs="Arial"/>
          <w:bCs/>
          <w:iCs/>
          <w:w w:val="104"/>
          <w:lang w:val="en-GB"/>
        </w:rPr>
        <w:t>,</w:t>
      </w:r>
      <w:r w:rsidRPr="009B7C9B">
        <w:rPr>
          <w:rFonts w:ascii="Arial" w:hAnsi="Arial" w:cs="Arial"/>
          <w:bCs/>
          <w:iCs/>
          <w:w w:val="104"/>
          <w:vertAlign w:val="superscript"/>
          <w:lang w:val="en-GB"/>
        </w:rPr>
        <w:footnoteReference w:id="6"/>
      </w:r>
      <w:r w:rsidRPr="006E5E01">
        <w:rPr>
          <w:rFonts w:ascii="Arial" w:hAnsi="Arial" w:cs="Arial"/>
          <w:bCs/>
          <w:w w:val="104"/>
          <w:lang w:val="en-GB"/>
        </w:rPr>
        <w:t xml:space="preserve"> </w:t>
      </w:r>
      <w:r w:rsidRPr="006E5E01">
        <w:rPr>
          <w:rFonts w:ascii="Arial" w:hAnsi="Arial" w:cs="Arial"/>
          <w:b/>
          <w:bCs/>
          <w:i/>
          <w:iCs/>
          <w:w w:val="104"/>
        </w:rPr>
        <w:t>Amalgamated Services v Bojanala Platinum District Municipality</w:t>
      </w:r>
      <w:r w:rsidR="00FF0E0C" w:rsidRPr="009B7C9B">
        <w:rPr>
          <w:rFonts w:ascii="Arial" w:hAnsi="Arial" w:cs="Arial"/>
          <w:bCs/>
          <w:iCs/>
          <w:w w:val="104"/>
        </w:rPr>
        <w:t>,</w:t>
      </w:r>
      <w:r w:rsidRPr="009B7C9B">
        <w:rPr>
          <w:rFonts w:ascii="Arial" w:hAnsi="Arial" w:cs="Arial"/>
          <w:bCs/>
          <w:w w:val="104"/>
          <w:vertAlign w:val="superscript"/>
        </w:rPr>
        <w:footnoteReference w:id="7"/>
      </w:r>
      <w:r w:rsidRPr="006E5E01">
        <w:rPr>
          <w:rFonts w:ascii="Arial" w:hAnsi="Arial" w:cs="Arial"/>
          <w:b/>
          <w:bCs/>
          <w:w w:val="104"/>
        </w:rPr>
        <w:t xml:space="preserve"> </w:t>
      </w:r>
      <w:r w:rsidRPr="006E5E01">
        <w:rPr>
          <w:rFonts w:ascii="Arial" w:hAnsi="Arial" w:cs="Arial"/>
          <w:b/>
          <w:bCs/>
          <w:i/>
          <w:iCs/>
          <w:w w:val="104"/>
        </w:rPr>
        <w:t>Road Accident Fund v Rampukar; Road Accident Fund v Gumede</w:t>
      </w:r>
      <w:r w:rsidR="00FF0E0C" w:rsidRPr="009B7C9B">
        <w:rPr>
          <w:rFonts w:ascii="Arial" w:hAnsi="Arial" w:cs="Arial"/>
          <w:bCs/>
          <w:iCs/>
          <w:w w:val="104"/>
        </w:rPr>
        <w:t>,</w:t>
      </w:r>
      <w:r w:rsidRPr="009B7C9B">
        <w:rPr>
          <w:rFonts w:ascii="Arial" w:hAnsi="Arial" w:cs="Arial"/>
          <w:bCs/>
          <w:iCs/>
          <w:w w:val="104"/>
          <w:vertAlign w:val="superscript"/>
        </w:rPr>
        <w:footnoteReference w:id="8"/>
      </w:r>
      <w:r w:rsidRPr="006E5E01">
        <w:rPr>
          <w:rFonts w:ascii="Arial" w:hAnsi="Arial" w:cs="Arial"/>
          <w:b/>
          <w:bCs/>
          <w:w w:val="104"/>
        </w:rPr>
        <w:t xml:space="preserve"> </w:t>
      </w:r>
      <w:r w:rsidRPr="006E5E01">
        <w:rPr>
          <w:rFonts w:ascii="Arial" w:hAnsi="Arial" w:cs="Arial"/>
          <w:bCs/>
          <w:w w:val="104"/>
        </w:rPr>
        <w:t xml:space="preserve">and </w:t>
      </w:r>
      <w:r w:rsidRPr="006E5E01">
        <w:rPr>
          <w:rFonts w:ascii="Arial" w:hAnsi="Arial" w:cs="Arial"/>
          <w:b/>
          <w:bCs/>
          <w:i/>
          <w:iCs/>
          <w:w w:val="104"/>
        </w:rPr>
        <w:t>Seloana and Others v Director of Public Prosecutions and Others</w:t>
      </w:r>
      <w:r w:rsidRPr="006E5E01">
        <w:rPr>
          <w:rFonts w:ascii="Arial" w:hAnsi="Arial" w:cs="Arial"/>
          <w:bCs/>
          <w:w w:val="104"/>
        </w:rPr>
        <w:t>.</w:t>
      </w:r>
      <w:r w:rsidRPr="006E5E01">
        <w:rPr>
          <w:rFonts w:ascii="Arial" w:hAnsi="Arial" w:cs="Arial"/>
          <w:bCs/>
          <w:w w:val="104"/>
          <w:vertAlign w:val="superscript"/>
        </w:rPr>
        <w:footnoteReference w:id="9"/>
      </w:r>
    </w:p>
    <w:p w14:paraId="6B0FA3E6" w14:textId="77777777" w:rsidR="006E5E01" w:rsidRPr="006E5E01" w:rsidRDefault="006E5E01" w:rsidP="004E1A18">
      <w:pPr>
        <w:spacing w:after="0" w:line="276" w:lineRule="auto"/>
        <w:ind w:left="360"/>
        <w:rPr>
          <w:rFonts w:ascii="Arial" w:hAnsi="Arial" w:cs="Arial"/>
          <w:bCs/>
          <w:w w:val="104"/>
          <w:lang w:val="en-US"/>
        </w:rPr>
      </w:pPr>
    </w:p>
    <w:p w14:paraId="74656F58" w14:textId="166CE811"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rPr>
        <w:t xml:space="preserve">These authorities are not on point. </w:t>
      </w:r>
      <w:r w:rsidRPr="006E5E01">
        <w:rPr>
          <w:rFonts w:ascii="Arial" w:hAnsi="Arial" w:cs="Arial"/>
          <w:bCs/>
          <w:w w:val="104"/>
          <w:lang w:val="en-US"/>
        </w:rPr>
        <w:t xml:space="preserve">The </w:t>
      </w:r>
      <w:r w:rsidRPr="006E5E01">
        <w:rPr>
          <w:rFonts w:ascii="Arial" w:hAnsi="Arial" w:cs="Arial"/>
          <w:b/>
          <w:bCs/>
          <w:i/>
          <w:iCs/>
          <w:w w:val="104"/>
          <w:lang w:val="en-US"/>
        </w:rPr>
        <w:t>Seloana</w:t>
      </w:r>
      <w:r w:rsidRPr="006E5E01">
        <w:rPr>
          <w:rFonts w:ascii="Arial" w:hAnsi="Arial" w:cs="Arial"/>
          <w:bCs/>
          <w:w w:val="104"/>
          <w:lang w:val="en-US"/>
        </w:rPr>
        <w:t xml:space="preserve"> matter related to criminal proceedings and specifically the provisions of Section 75 of the Criminal Procedure Act, Act 51 of 1977. </w:t>
      </w:r>
    </w:p>
    <w:p w14:paraId="6919D30A" w14:textId="77777777" w:rsidR="006E5E01" w:rsidRDefault="006E5E01" w:rsidP="004E1A18">
      <w:pPr>
        <w:spacing w:after="0" w:line="276" w:lineRule="auto"/>
        <w:ind w:left="360"/>
        <w:rPr>
          <w:rFonts w:ascii="Arial" w:hAnsi="Arial" w:cs="Arial"/>
          <w:bCs/>
          <w:w w:val="104"/>
        </w:rPr>
      </w:pPr>
    </w:p>
    <w:p w14:paraId="726D71C9" w14:textId="0D7F562E" w:rsidR="006E5E01" w:rsidRPr="006E5E01" w:rsidRDefault="006E5E01" w:rsidP="004E1A18">
      <w:pPr>
        <w:numPr>
          <w:ilvl w:val="0"/>
          <w:numId w:val="20"/>
        </w:numPr>
        <w:spacing w:after="0" w:line="276" w:lineRule="auto"/>
        <w:ind w:left="720" w:hanging="720"/>
        <w:rPr>
          <w:rFonts w:ascii="Arial" w:hAnsi="Arial" w:cs="Arial"/>
          <w:bCs/>
          <w:w w:val="104"/>
        </w:rPr>
      </w:pPr>
      <w:r w:rsidRPr="006E5E01">
        <w:rPr>
          <w:rFonts w:ascii="Arial" w:hAnsi="Arial" w:cs="Arial"/>
          <w:bCs/>
          <w:w w:val="104"/>
        </w:rPr>
        <w:t xml:space="preserve">In </w:t>
      </w:r>
      <w:r w:rsidRPr="006E5E01">
        <w:rPr>
          <w:rFonts w:ascii="Arial" w:hAnsi="Arial" w:cs="Arial"/>
          <w:b/>
          <w:bCs/>
          <w:i/>
          <w:iCs/>
          <w:w w:val="104"/>
        </w:rPr>
        <w:t>Rampukar</w:t>
      </w:r>
      <w:r w:rsidRPr="006E5E01">
        <w:rPr>
          <w:rFonts w:ascii="Arial" w:hAnsi="Arial" w:cs="Arial"/>
          <w:bCs/>
          <w:w w:val="104"/>
        </w:rPr>
        <w:t xml:space="preserve"> and </w:t>
      </w:r>
      <w:r w:rsidRPr="006E5E01">
        <w:rPr>
          <w:rFonts w:ascii="Arial" w:hAnsi="Arial" w:cs="Arial"/>
          <w:b/>
          <w:bCs/>
          <w:i/>
          <w:iCs/>
          <w:w w:val="104"/>
        </w:rPr>
        <w:t>Amalgamated Services</w:t>
      </w:r>
      <w:r w:rsidRPr="006E5E01">
        <w:rPr>
          <w:rFonts w:ascii="Arial" w:hAnsi="Arial" w:cs="Arial"/>
          <w:bCs/>
          <w:w w:val="104"/>
        </w:rPr>
        <w:t xml:space="preserve"> the courts’ judgment was based on an interpretation of the Interim Rationalisation of jurisdiction of High Courts Act 41 of 2001 conferring jurisdiction on the High Court to transfer matters to another Division of High Court which it would otherwise not have</w:t>
      </w:r>
      <w:r w:rsidRPr="006E5E01">
        <w:rPr>
          <w:rFonts w:ascii="Arial" w:hAnsi="Arial" w:cs="Arial"/>
          <w:bCs/>
          <w:w w:val="104"/>
          <w:lang w:val="en-US"/>
        </w:rPr>
        <w:t xml:space="preserve">. </w:t>
      </w:r>
      <w:r w:rsidRPr="006E5E01">
        <w:rPr>
          <w:rFonts w:ascii="Arial" w:hAnsi="Arial" w:cs="Arial"/>
          <w:bCs/>
          <w:w w:val="104"/>
        </w:rPr>
        <w:t xml:space="preserve">These matters are not applicable to the Magistrates’ Courts. </w:t>
      </w:r>
    </w:p>
    <w:p w14:paraId="520EC205" w14:textId="77777777" w:rsidR="006E5E01" w:rsidRDefault="006E5E01" w:rsidP="004E1A18">
      <w:pPr>
        <w:spacing w:after="0" w:line="276" w:lineRule="auto"/>
        <w:ind w:left="360"/>
        <w:rPr>
          <w:rFonts w:ascii="Arial" w:hAnsi="Arial" w:cs="Arial"/>
          <w:bCs/>
          <w:w w:val="104"/>
        </w:rPr>
      </w:pPr>
    </w:p>
    <w:p w14:paraId="6BB31EBB" w14:textId="4EA91594" w:rsidR="006E5E01" w:rsidRPr="006E5E01" w:rsidRDefault="006E5E01" w:rsidP="004E1A18">
      <w:pPr>
        <w:numPr>
          <w:ilvl w:val="0"/>
          <w:numId w:val="20"/>
        </w:numPr>
        <w:spacing w:after="0" w:line="276" w:lineRule="auto"/>
        <w:ind w:left="720" w:hanging="720"/>
        <w:rPr>
          <w:rFonts w:ascii="Arial" w:hAnsi="Arial" w:cs="Arial"/>
          <w:bCs/>
          <w:w w:val="104"/>
        </w:rPr>
      </w:pPr>
      <w:r w:rsidRPr="006E5E01">
        <w:rPr>
          <w:rFonts w:ascii="Arial" w:hAnsi="Arial" w:cs="Arial"/>
          <w:bCs/>
          <w:w w:val="104"/>
        </w:rPr>
        <w:t xml:space="preserve">In </w:t>
      </w:r>
      <w:r w:rsidRPr="006E5E01">
        <w:rPr>
          <w:rFonts w:ascii="Arial" w:hAnsi="Arial" w:cs="Arial"/>
          <w:b/>
          <w:bCs/>
          <w:i/>
          <w:iCs/>
          <w:w w:val="104"/>
        </w:rPr>
        <w:t>Botha</w:t>
      </w:r>
      <w:r w:rsidRPr="006E5E01">
        <w:rPr>
          <w:rFonts w:ascii="Arial" w:hAnsi="Arial" w:cs="Arial"/>
          <w:bCs/>
          <w:w w:val="104"/>
        </w:rPr>
        <w:t xml:space="preserve"> the court interpreted section 35(1) of the Magistrates’ Courts Act 32 of 1944 and concluded that “</w:t>
      </w:r>
      <w:r w:rsidRPr="006E5E01">
        <w:rPr>
          <w:rFonts w:ascii="Arial" w:hAnsi="Arial" w:cs="Arial"/>
          <w:bCs/>
          <w:i/>
          <w:iCs/>
          <w:w w:val="104"/>
        </w:rPr>
        <w:t>any other court</w:t>
      </w:r>
      <w:r w:rsidRPr="006E5E01">
        <w:rPr>
          <w:rFonts w:ascii="Arial" w:hAnsi="Arial" w:cs="Arial"/>
          <w:bCs/>
          <w:w w:val="104"/>
        </w:rPr>
        <w:t xml:space="preserve">” may include a </w:t>
      </w:r>
      <w:r w:rsidR="00511B53">
        <w:rPr>
          <w:rFonts w:ascii="Arial" w:hAnsi="Arial" w:cs="Arial"/>
          <w:bCs/>
          <w:w w:val="104"/>
        </w:rPr>
        <w:t>M</w:t>
      </w:r>
      <w:r w:rsidRPr="006E5E01">
        <w:rPr>
          <w:rFonts w:ascii="Arial" w:hAnsi="Arial" w:cs="Arial"/>
          <w:bCs/>
          <w:w w:val="104"/>
        </w:rPr>
        <w:t>agistrates</w:t>
      </w:r>
      <w:r w:rsidR="00511B53">
        <w:rPr>
          <w:rFonts w:ascii="Arial" w:hAnsi="Arial" w:cs="Arial"/>
          <w:bCs/>
          <w:w w:val="104"/>
        </w:rPr>
        <w:t>’</w:t>
      </w:r>
      <w:r w:rsidRPr="006E5E01">
        <w:rPr>
          <w:rFonts w:ascii="Arial" w:hAnsi="Arial" w:cs="Arial"/>
          <w:bCs/>
          <w:w w:val="104"/>
        </w:rPr>
        <w:t xml:space="preserve"> </w:t>
      </w:r>
      <w:r w:rsidR="00511B53">
        <w:rPr>
          <w:rFonts w:ascii="Arial" w:hAnsi="Arial" w:cs="Arial"/>
          <w:bCs/>
          <w:w w:val="104"/>
        </w:rPr>
        <w:t>C</w:t>
      </w:r>
      <w:r w:rsidRPr="006E5E01">
        <w:rPr>
          <w:rFonts w:ascii="Arial" w:hAnsi="Arial" w:cs="Arial"/>
          <w:bCs/>
          <w:w w:val="104"/>
        </w:rPr>
        <w:t xml:space="preserve">ourt, </w:t>
      </w:r>
      <w:r w:rsidR="00511B53">
        <w:rPr>
          <w:rFonts w:ascii="Arial" w:hAnsi="Arial" w:cs="Arial"/>
          <w:bCs/>
          <w:w w:val="104"/>
        </w:rPr>
        <w:t>R</w:t>
      </w:r>
      <w:r w:rsidRPr="006E5E01">
        <w:rPr>
          <w:rFonts w:ascii="Arial" w:hAnsi="Arial" w:cs="Arial"/>
          <w:bCs/>
          <w:w w:val="104"/>
        </w:rPr>
        <w:t xml:space="preserve">egional </w:t>
      </w:r>
      <w:r w:rsidR="00511B53">
        <w:rPr>
          <w:rFonts w:ascii="Arial" w:hAnsi="Arial" w:cs="Arial"/>
          <w:bCs/>
          <w:w w:val="104"/>
        </w:rPr>
        <w:t>C</w:t>
      </w:r>
      <w:r w:rsidRPr="006E5E01">
        <w:rPr>
          <w:rFonts w:ascii="Arial" w:hAnsi="Arial" w:cs="Arial"/>
          <w:bCs/>
          <w:w w:val="104"/>
        </w:rPr>
        <w:t xml:space="preserve">ourt or </w:t>
      </w:r>
      <w:r w:rsidR="00511B53">
        <w:rPr>
          <w:rFonts w:ascii="Arial" w:hAnsi="Arial" w:cs="Arial"/>
          <w:bCs/>
          <w:w w:val="104"/>
        </w:rPr>
        <w:t>H</w:t>
      </w:r>
      <w:r w:rsidRPr="006E5E01">
        <w:rPr>
          <w:rFonts w:ascii="Arial" w:hAnsi="Arial" w:cs="Arial"/>
          <w:bCs/>
          <w:w w:val="104"/>
        </w:rPr>
        <w:t xml:space="preserve">igh </w:t>
      </w:r>
      <w:r w:rsidR="00511B53">
        <w:rPr>
          <w:rFonts w:ascii="Arial" w:hAnsi="Arial" w:cs="Arial"/>
          <w:bCs/>
          <w:w w:val="104"/>
        </w:rPr>
        <w:t>C</w:t>
      </w:r>
      <w:r w:rsidRPr="006E5E01">
        <w:rPr>
          <w:rFonts w:ascii="Arial" w:hAnsi="Arial" w:cs="Arial"/>
          <w:bCs/>
          <w:w w:val="104"/>
        </w:rPr>
        <w:t xml:space="preserve">ourt. This case did not pronounce on the issue whether a Magistrates’ </w:t>
      </w:r>
      <w:r w:rsidR="002E297A">
        <w:rPr>
          <w:rFonts w:ascii="Arial" w:hAnsi="Arial" w:cs="Arial"/>
          <w:bCs/>
          <w:w w:val="104"/>
        </w:rPr>
        <w:t>C</w:t>
      </w:r>
      <w:r w:rsidRPr="006E5E01">
        <w:rPr>
          <w:rFonts w:ascii="Arial" w:hAnsi="Arial" w:cs="Arial"/>
          <w:bCs/>
          <w:w w:val="104"/>
        </w:rPr>
        <w:t>ourt without jurisdiction may transfer a matter to another court.</w:t>
      </w:r>
    </w:p>
    <w:p w14:paraId="076B8560" w14:textId="77777777" w:rsidR="006E5E01" w:rsidRPr="006E5E01" w:rsidRDefault="006E5E01" w:rsidP="004E1A18">
      <w:pPr>
        <w:spacing w:after="0" w:line="276" w:lineRule="auto"/>
        <w:ind w:left="360"/>
        <w:rPr>
          <w:rFonts w:ascii="Arial" w:hAnsi="Arial" w:cs="Arial"/>
          <w:bCs/>
          <w:w w:val="104"/>
          <w:lang w:val="en-US"/>
        </w:rPr>
      </w:pPr>
    </w:p>
    <w:p w14:paraId="51AEEFBB" w14:textId="1B362664" w:rsidR="006E5E01" w:rsidRPr="006E5E01" w:rsidRDefault="006E5E01" w:rsidP="004E1A18">
      <w:pPr>
        <w:numPr>
          <w:ilvl w:val="0"/>
          <w:numId w:val="20"/>
        </w:numPr>
        <w:spacing w:after="0" w:line="276" w:lineRule="auto"/>
        <w:ind w:left="720" w:hanging="720"/>
        <w:rPr>
          <w:rFonts w:ascii="Arial" w:hAnsi="Arial" w:cs="Arial"/>
          <w:bCs/>
          <w:w w:val="104"/>
          <w:lang w:val="en-US"/>
        </w:rPr>
      </w:pPr>
      <w:r w:rsidRPr="006E5E01">
        <w:rPr>
          <w:rFonts w:ascii="Arial" w:hAnsi="Arial" w:cs="Arial"/>
          <w:bCs/>
          <w:w w:val="104"/>
        </w:rPr>
        <w:t xml:space="preserve">There is no sound, rational basis for the conclusion that there are prospects of success on appeal. </w:t>
      </w:r>
    </w:p>
    <w:p w14:paraId="69953092" w14:textId="77777777" w:rsidR="006E5E01" w:rsidRDefault="006E5E01" w:rsidP="004E1A18">
      <w:pPr>
        <w:spacing w:after="0" w:line="276" w:lineRule="auto"/>
        <w:ind w:left="360"/>
        <w:rPr>
          <w:rFonts w:ascii="Arial" w:hAnsi="Arial" w:cs="Arial"/>
          <w:bCs/>
          <w:w w:val="104"/>
          <w:lang w:val="en-US"/>
        </w:rPr>
      </w:pPr>
    </w:p>
    <w:p w14:paraId="3F2FC641" w14:textId="42E86C72" w:rsidR="006E5E01" w:rsidRPr="006E5E01" w:rsidRDefault="006E5E01" w:rsidP="004E1A18">
      <w:pPr>
        <w:numPr>
          <w:ilvl w:val="0"/>
          <w:numId w:val="20"/>
        </w:numPr>
        <w:spacing w:after="0" w:line="276" w:lineRule="auto"/>
        <w:rPr>
          <w:rFonts w:ascii="Arial" w:hAnsi="Arial" w:cs="Arial"/>
          <w:bCs/>
          <w:w w:val="104"/>
          <w:lang w:val="en-US"/>
        </w:rPr>
      </w:pPr>
      <w:r w:rsidRPr="006E5E01">
        <w:rPr>
          <w:rFonts w:ascii="Arial" w:hAnsi="Arial" w:cs="Arial"/>
          <w:bCs/>
          <w:w w:val="104"/>
          <w:lang w:val="en-US"/>
        </w:rPr>
        <w:t>There is no merit in this application.</w:t>
      </w:r>
    </w:p>
    <w:p w14:paraId="26D585FB" w14:textId="77777777" w:rsidR="006E5E01" w:rsidRPr="006E5E01" w:rsidRDefault="006E5E01" w:rsidP="004E1A18">
      <w:pPr>
        <w:spacing w:after="0" w:line="276" w:lineRule="auto"/>
        <w:rPr>
          <w:rFonts w:ascii="Arial" w:hAnsi="Arial" w:cs="Arial"/>
          <w:bCs/>
          <w:w w:val="104"/>
          <w:lang w:val="en-US"/>
        </w:rPr>
      </w:pPr>
    </w:p>
    <w:p w14:paraId="6881A3E8" w14:textId="77777777" w:rsidR="006E5E01" w:rsidRPr="006E5E01" w:rsidRDefault="006E5E01" w:rsidP="004E1A18">
      <w:pPr>
        <w:spacing w:after="0" w:line="276" w:lineRule="auto"/>
        <w:rPr>
          <w:rFonts w:ascii="Arial" w:hAnsi="Arial" w:cs="Arial"/>
          <w:b/>
          <w:bCs/>
          <w:w w:val="104"/>
          <w:lang w:val="en-US"/>
        </w:rPr>
      </w:pPr>
      <w:r w:rsidRPr="006E5E01">
        <w:rPr>
          <w:rFonts w:ascii="Arial" w:hAnsi="Arial" w:cs="Arial"/>
          <w:b/>
          <w:bCs/>
          <w:w w:val="104"/>
          <w:lang w:val="en-US"/>
        </w:rPr>
        <w:t>Conclusion</w:t>
      </w:r>
    </w:p>
    <w:p w14:paraId="7CE8DE25" w14:textId="77777777" w:rsidR="006E5E01" w:rsidRDefault="006E5E01" w:rsidP="004E1A18">
      <w:pPr>
        <w:spacing w:after="0" w:line="276" w:lineRule="auto"/>
        <w:ind w:left="360"/>
        <w:rPr>
          <w:rFonts w:ascii="Arial" w:hAnsi="Arial" w:cs="Arial"/>
          <w:bCs/>
          <w:w w:val="104"/>
          <w:lang w:val="en-US"/>
        </w:rPr>
      </w:pPr>
    </w:p>
    <w:p w14:paraId="29131C74" w14:textId="77777777" w:rsidR="006E5C90" w:rsidRDefault="006E5C90" w:rsidP="004E1A18">
      <w:pPr>
        <w:numPr>
          <w:ilvl w:val="0"/>
          <w:numId w:val="20"/>
        </w:numPr>
        <w:spacing w:after="0" w:line="276" w:lineRule="auto"/>
        <w:rPr>
          <w:rFonts w:ascii="Arial" w:hAnsi="Arial" w:cs="Arial"/>
          <w:bCs/>
          <w:w w:val="104"/>
          <w:lang w:val="en-US"/>
        </w:rPr>
      </w:pPr>
      <w:r>
        <w:rPr>
          <w:rFonts w:ascii="Arial" w:hAnsi="Arial" w:cs="Arial"/>
          <w:bCs/>
          <w:w w:val="104"/>
          <w:lang w:val="en-US"/>
        </w:rPr>
        <w:t>In the result, the following order is made:</w:t>
      </w:r>
    </w:p>
    <w:p w14:paraId="305AE857" w14:textId="77777777" w:rsidR="006E5C90" w:rsidRDefault="006E5C90" w:rsidP="004E1A18">
      <w:pPr>
        <w:spacing w:after="0" w:line="276" w:lineRule="auto"/>
        <w:ind w:left="360" w:firstLine="360"/>
        <w:rPr>
          <w:rFonts w:ascii="Arial" w:hAnsi="Arial" w:cs="Arial"/>
          <w:bCs/>
          <w:w w:val="104"/>
          <w:lang w:val="en-US"/>
        </w:rPr>
      </w:pPr>
    </w:p>
    <w:p w14:paraId="5079DE30" w14:textId="14E046EF" w:rsidR="006E5E01" w:rsidRPr="006E5C90" w:rsidRDefault="006E5E01" w:rsidP="0014697F">
      <w:pPr>
        <w:pStyle w:val="ListParagraph"/>
        <w:numPr>
          <w:ilvl w:val="0"/>
          <w:numId w:val="30"/>
        </w:numPr>
        <w:spacing w:after="0" w:line="276" w:lineRule="auto"/>
        <w:ind w:left="1440" w:hanging="720"/>
        <w:rPr>
          <w:rFonts w:ascii="Arial" w:hAnsi="Arial" w:cs="Arial"/>
          <w:bCs/>
          <w:w w:val="104"/>
          <w:lang w:val="en-US"/>
        </w:rPr>
      </w:pPr>
      <w:r w:rsidRPr="006E5C90">
        <w:rPr>
          <w:rFonts w:ascii="Arial" w:hAnsi="Arial" w:cs="Arial"/>
          <w:bCs/>
          <w:w w:val="104"/>
          <w:lang w:val="en-US"/>
        </w:rPr>
        <w:t>The application for leave to appeal is dismissed with costs.</w:t>
      </w:r>
    </w:p>
    <w:p w14:paraId="6F13D601" w14:textId="77777777" w:rsidR="006E5E01" w:rsidRPr="006E5E01" w:rsidRDefault="006E5E01" w:rsidP="006E5E01">
      <w:pPr>
        <w:spacing w:after="0" w:line="276" w:lineRule="auto"/>
        <w:rPr>
          <w:rFonts w:ascii="Arial" w:hAnsi="Arial" w:cs="Arial"/>
          <w:bCs/>
          <w:w w:val="104"/>
          <w:lang w:val="en-GB"/>
        </w:rPr>
      </w:pPr>
    </w:p>
    <w:p w14:paraId="36A464AE" w14:textId="7A7F6F9B" w:rsidR="00330920" w:rsidRDefault="00330920" w:rsidP="001A4766">
      <w:pPr>
        <w:spacing w:after="0" w:line="276" w:lineRule="auto"/>
        <w:rPr>
          <w:rFonts w:ascii="Arial" w:hAnsi="Arial" w:cs="Arial"/>
        </w:rPr>
      </w:pPr>
    </w:p>
    <w:p w14:paraId="1C9E4B8F" w14:textId="77777777" w:rsidR="00BC453B" w:rsidRDefault="00BC453B" w:rsidP="004E1A18">
      <w:pPr>
        <w:spacing w:after="0" w:line="240" w:lineRule="auto"/>
        <w:ind w:left="0"/>
        <w:rPr>
          <w:rFonts w:ascii="Arial" w:hAnsi="Arial" w:cs="Arial"/>
        </w:rPr>
      </w:pPr>
    </w:p>
    <w:p w14:paraId="7FC560B9" w14:textId="77777777" w:rsidR="00323DDE" w:rsidRDefault="00BC453B" w:rsidP="004E1A18">
      <w:pPr>
        <w:spacing w:after="0" w:line="240" w:lineRule="auto"/>
        <w:jc w:val="right"/>
        <w:rPr>
          <w:rFonts w:ascii="Arial" w:hAnsi="Arial" w:cs="Arial"/>
        </w:rPr>
      </w:pPr>
      <w:r>
        <w:rPr>
          <w:rFonts w:ascii="Arial" w:hAnsi="Arial" w:cs="Arial"/>
        </w:rPr>
        <w:t>______________________________</w:t>
      </w:r>
    </w:p>
    <w:p w14:paraId="521C86C0" w14:textId="798804DA" w:rsidR="00330920" w:rsidRPr="008F03BC" w:rsidRDefault="002F699A" w:rsidP="004E1A18">
      <w:pPr>
        <w:spacing w:after="0" w:line="240" w:lineRule="auto"/>
        <w:jc w:val="right"/>
        <w:rPr>
          <w:rFonts w:ascii="Arial" w:hAnsi="Arial" w:cs="Arial"/>
          <w:b/>
        </w:rPr>
      </w:pPr>
      <w:r>
        <w:rPr>
          <w:rFonts w:ascii="Arial" w:hAnsi="Arial" w:cs="Arial"/>
          <w:b/>
        </w:rPr>
        <w:t>R</w:t>
      </w:r>
      <w:r w:rsidR="00F8457D" w:rsidRPr="008F03BC">
        <w:rPr>
          <w:rFonts w:ascii="Arial" w:hAnsi="Arial" w:cs="Arial"/>
          <w:b/>
        </w:rPr>
        <w:t>.</w:t>
      </w:r>
      <w:r>
        <w:rPr>
          <w:rFonts w:ascii="Arial" w:hAnsi="Arial" w:cs="Arial"/>
          <w:b/>
        </w:rPr>
        <w:t>S</w:t>
      </w:r>
      <w:r w:rsidR="00F8457D" w:rsidRPr="008F03BC">
        <w:rPr>
          <w:rFonts w:ascii="Arial" w:hAnsi="Arial" w:cs="Arial"/>
          <w:b/>
        </w:rPr>
        <w:t xml:space="preserve">. </w:t>
      </w:r>
      <w:r>
        <w:rPr>
          <w:rFonts w:ascii="Arial" w:hAnsi="Arial" w:cs="Arial"/>
          <w:b/>
        </w:rPr>
        <w:t>SHEPSTONE</w:t>
      </w:r>
    </w:p>
    <w:p w14:paraId="2B6A632C" w14:textId="77777777" w:rsidR="00330920" w:rsidRDefault="00330920" w:rsidP="004E1A18">
      <w:pPr>
        <w:spacing w:after="0" w:line="240" w:lineRule="auto"/>
        <w:jc w:val="right"/>
        <w:rPr>
          <w:rFonts w:ascii="Arial" w:hAnsi="Arial" w:cs="Arial"/>
        </w:rPr>
      </w:pPr>
      <w:r>
        <w:rPr>
          <w:rFonts w:ascii="Arial" w:hAnsi="Arial" w:cs="Arial"/>
        </w:rPr>
        <w:t>Acting Judge of the High Court</w:t>
      </w:r>
    </w:p>
    <w:p w14:paraId="2B6B4648" w14:textId="77777777" w:rsidR="00330920" w:rsidRDefault="00F8457D" w:rsidP="004E1A18">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t>Gauteng Division, Johannesburg</w:t>
      </w:r>
    </w:p>
    <w:p w14:paraId="4D7413F1" w14:textId="77777777" w:rsidR="00330920" w:rsidRDefault="00330920" w:rsidP="004E1A18">
      <w:pPr>
        <w:spacing w:after="0" w:line="240" w:lineRule="auto"/>
        <w:rPr>
          <w:rFonts w:ascii="Arial" w:hAnsi="Arial" w:cs="Arial"/>
        </w:rPr>
      </w:pPr>
    </w:p>
    <w:p w14:paraId="792DF1F1" w14:textId="77777777" w:rsidR="00F343AE" w:rsidRDefault="00F343AE" w:rsidP="004E1A18">
      <w:pPr>
        <w:spacing w:after="0" w:line="240" w:lineRule="auto"/>
        <w:rPr>
          <w:rFonts w:ascii="Arial" w:hAnsi="Arial" w:cs="Arial"/>
        </w:rPr>
      </w:pPr>
    </w:p>
    <w:p w14:paraId="60126ABB" w14:textId="77777777" w:rsidR="004930B0" w:rsidRDefault="004930B0" w:rsidP="004E1A18">
      <w:pPr>
        <w:spacing w:after="0" w:line="240" w:lineRule="auto"/>
        <w:ind w:left="0"/>
        <w:rPr>
          <w:rFonts w:ascii="Arial" w:hAnsi="Arial" w:cs="Arial"/>
        </w:rPr>
      </w:pPr>
    </w:p>
    <w:p w14:paraId="1161B841" w14:textId="77777777" w:rsidR="00AE70F6" w:rsidRDefault="00AE70F6" w:rsidP="004E1A18">
      <w:pPr>
        <w:spacing w:after="0" w:line="240" w:lineRule="auto"/>
        <w:ind w:left="0"/>
        <w:rPr>
          <w:rFonts w:ascii="Arial" w:hAnsi="Arial" w:cs="Arial"/>
          <w:b/>
        </w:rPr>
      </w:pPr>
    </w:p>
    <w:p w14:paraId="5AB3FBD6" w14:textId="77777777" w:rsidR="00AE70F6" w:rsidRDefault="00AE70F6" w:rsidP="004E1A18">
      <w:pPr>
        <w:spacing w:after="0" w:line="240" w:lineRule="auto"/>
        <w:ind w:left="0"/>
        <w:rPr>
          <w:rFonts w:ascii="Arial" w:hAnsi="Arial" w:cs="Arial"/>
          <w:b/>
        </w:rPr>
      </w:pPr>
    </w:p>
    <w:p w14:paraId="022395BC" w14:textId="77777777" w:rsidR="00AE70F6" w:rsidRDefault="00AE70F6" w:rsidP="004E1A18">
      <w:pPr>
        <w:spacing w:after="0" w:line="240" w:lineRule="auto"/>
        <w:ind w:left="0"/>
        <w:rPr>
          <w:rFonts w:ascii="Arial" w:hAnsi="Arial" w:cs="Arial"/>
          <w:b/>
        </w:rPr>
      </w:pPr>
    </w:p>
    <w:p w14:paraId="299B2BC2" w14:textId="77777777" w:rsidR="00AE70F6" w:rsidRDefault="00AE70F6" w:rsidP="004E1A18">
      <w:pPr>
        <w:spacing w:after="0" w:line="240" w:lineRule="auto"/>
        <w:ind w:left="0"/>
        <w:rPr>
          <w:rFonts w:ascii="Arial" w:hAnsi="Arial" w:cs="Arial"/>
          <w:b/>
        </w:rPr>
      </w:pPr>
    </w:p>
    <w:p w14:paraId="7F93A3BE" w14:textId="77777777" w:rsidR="00AE70F6" w:rsidRDefault="00AE70F6" w:rsidP="004E1A18">
      <w:pPr>
        <w:spacing w:after="0" w:line="240" w:lineRule="auto"/>
        <w:ind w:left="0"/>
        <w:rPr>
          <w:rFonts w:ascii="Arial" w:hAnsi="Arial" w:cs="Arial"/>
          <w:b/>
        </w:rPr>
      </w:pPr>
    </w:p>
    <w:p w14:paraId="684A53A5" w14:textId="77777777" w:rsidR="00AE70F6" w:rsidRDefault="00AE70F6" w:rsidP="004E1A18">
      <w:pPr>
        <w:spacing w:after="0" w:line="240" w:lineRule="auto"/>
        <w:ind w:left="0"/>
        <w:rPr>
          <w:rFonts w:ascii="Arial" w:hAnsi="Arial" w:cs="Arial"/>
          <w:b/>
        </w:rPr>
      </w:pPr>
    </w:p>
    <w:p w14:paraId="3E86CB50" w14:textId="77777777" w:rsidR="00AE70F6" w:rsidRDefault="00AE70F6" w:rsidP="004E1A18">
      <w:pPr>
        <w:spacing w:after="0" w:line="240" w:lineRule="auto"/>
        <w:ind w:left="0"/>
        <w:rPr>
          <w:rFonts w:ascii="Arial" w:hAnsi="Arial" w:cs="Arial"/>
          <w:b/>
        </w:rPr>
      </w:pPr>
    </w:p>
    <w:p w14:paraId="3542DE5B" w14:textId="77777777" w:rsidR="00AE70F6" w:rsidRDefault="00AE70F6" w:rsidP="004E1A18">
      <w:pPr>
        <w:spacing w:after="0" w:line="240" w:lineRule="auto"/>
        <w:ind w:left="0"/>
        <w:rPr>
          <w:rFonts w:ascii="Arial" w:hAnsi="Arial" w:cs="Arial"/>
          <w:b/>
        </w:rPr>
      </w:pPr>
    </w:p>
    <w:p w14:paraId="32B3CDB4" w14:textId="77777777" w:rsidR="00AE70F6" w:rsidRDefault="00AE70F6" w:rsidP="004E1A18">
      <w:pPr>
        <w:spacing w:after="0" w:line="240" w:lineRule="auto"/>
        <w:ind w:left="0"/>
        <w:rPr>
          <w:rFonts w:ascii="Arial" w:hAnsi="Arial" w:cs="Arial"/>
          <w:b/>
        </w:rPr>
      </w:pPr>
    </w:p>
    <w:p w14:paraId="609B39AB" w14:textId="77777777" w:rsidR="00AE70F6" w:rsidRDefault="00AE70F6" w:rsidP="004E1A18">
      <w:pPr>
        <w:spacing w:after="0" w:line="240" w:lineRule="auto"/>
        <w:ind w:left="0"/>
        <w:rPr>
          <w:rFonts w:ascii="Arial" w:hAnsi="Arial" w:cs="Arial"/>
          <w:b/>
        </w:rPr>
      </w:pPr>
    </w:p>
    <w:p w14:paraId="287B0084" w14:textId="77777777" w:rsidR="00AE70F6" w:rsidRDefault="00AE70F6" w:rsidP="004E1A18">
      <w:pPr>
        <w:spacing w:after="0" w:line="240" w:lineRule="auto"/>
        <w:ind w:left="0"/>
        <w:rPr>
          <w:rFonts w:ascii="Arial" w:hAnsi="Arial" w:cs="Arial"/>
          <w:b/>
        </w:rPr>
      </w:pPr>
    </w:p>
    <w:p w14:paraId="610F4D80" w14:textId="77777777" w:rsidR="00AE70F6" w:rsidRDefault="00AE70F6" w:rsidP="004E1A18">
      <w:pPr>
        <w:spacing w:after="0" w:line="240" w:lineRule="auto"/>
        <w:ind w:left="0"/>
        <w:rPr>
          <w:rFonts w:ascii="Arial" w:hAnsi="Arial" w:cs="Arial"/>
          <w:b/>
        </w:rPr>
      </w:pPr>
    </w:p>
    <w:p w14:paraId="2D333C79" w14:textId="77777777" w:rsidR="00AE70F6" w:rsidRDefault="00AE70F6" w:rsidP="004E1A18">
      <w:pPr>
        <w:spacing w:after="0" w:line="240" w:lineRule="auto"/>
        <w:ind w:left="0"/>
        <w:rPr>
          <w:rFonts w:ascii="Arial" w:hAnsi="Arial" w:cs="Arial"/>
          <w:b/>
        </w:rPr>
      </w:pPr>
    </w:p>
    <w:p w14:paraId="229695E5" w14:textId="77777777" w:rsidR="00AE70F6" w:rsidRDefault="00AE70F6" w:rsidP="004E1A18">
      <w:pPr>
        <w:spacing w:after="0" w:line="240" w:lineRule="auto"/>
        <w:ind w:left="0"/>
        <w:rPr>
          <w:rFonts w:ascii="Arial" w:hAnsi="Arial" w:cs="Arial"/>
          <w:b/>
        </w:rPr>
      </w:pPr>
    </w:p>
    <w:p w14:paraId="7A36476E" w14:textId="77777777" w:rsidR="00AE70F6" w:rsidRDefault="00AE70F6" w:rsidP="004E1A18">
      <w:pPr>
        <w:spacing w:after="0" w:line="240" w:lineRule="auto"/>
        <w:ind w:left="0"/>
        <w:rPr>
          <w:rFonts w:ascii="Arial" w:hAnsi="Arial" w:cs="Arial"/>
          <w:b/>
        </w:rPr>
      </w:pPr>
    </w:p>
    <w:p w14:paraId="53655D02" w14:textId="77777777" w:rsidR="00AE70F6" w:rsidRDefault="00AE70F6" w:rsidP="004E1A18">
      <w:pPr>
        <w:spacing w:after="0" w:line="240" w:lineRule="auto"/>
        <w:ind w:left="0"/>
        <w:rPr>
          <w:rFonts w:ascii="Arial" w:hAnsi="Arial" w:cs="Arial"/>
          <w:b/>
        </w:rPr>
      </w:pPr>
    </w:p>
    <w:p w14:paraId="18A95E5F" w14:textId="77777777" w:rsidR="00AE70F6" w:rsidRDefault="00AE70F6" w:rsidP="004E1A18">
      <w:pPr>
        <w:spacing w:after="0" w:line="240" w:lineRule="auto"/>
        <w:ind w:left="0"/>
        <w:rPr>
          <w:rFonts w:ascii="Arial" w:hAnsi="Arial" w:cs="Arial"/>
          <w:b/>
        </w:rPr>
      </w:pPr>
    </w:p>
    <w:p w14:paraId="0045F503" w14:textId="77777777" w:rsidR="00AE70F6" w:rsidRDefault="00AE70F6" w:rsidP="004E1A18">
      <w:pPr>
        <w:spacing w:after="0" w:line="240" w:lineRule="auto"/>
        <w:ind w:left="0"/>
        <w:rPr>
          <w:rFonts w:ascii="Arial" w:hAnsi="Arial" w:cs="Arial"/>
          <w:b/>
        </w:rPr>
      </w:pPr>
    </w:p>
    <w:p w14:paraId="0B082F98" w14:textId="77777777" w:rsidR="00AE70F6" w:rsidRDefault="00AE70F6" w:rsidP="004E1A18">
      <w:pPr>
        <w:spacing w:after="0" w:line="240" w:lineRule="auto"/>
        <w:ind w:left="0"/>
        <w:rPr>
          <w:rFonts w:ascii="Arial" w:hAnsi="Arial" w:cs="Arial"/>
          <w:b/>
        </w:rPr>
      </w:pPr>
    </w:p>
    <w:p w14:paraId="7FCD44CC" w14:textId="77777777" w:rsidR="00AE70F6" w:rsidRDefault="00AE70F6" w:rsidP="004E1A18">
      <w:pPr>
        <w:spacing w:after="0" w:line="240" w:lineRule="auto"/>
        <w:ind w:left="0"/>
        <w:rPr>
          <w:rFonts w:ascii="Arial" w:hAnsi="Arial" w:cs="Arial"/>
          <w:b/>
        </w:rPr>
      </w:pPr>
    </w:p>
    <w:p w14:paraId="0FAF8B8E" w14:textId="77777777" w:rsidR="00AE70F6" w:rsidRDefault="00AE70F6" w:rsidP="004E1A18">
      <w:pPr>
        <w:spacing w:after="0" w:line="240" w:lineRule="auto"/>
        <w:ind w:left="0"/>
        <w:rPr>
          <w:rFonts w:ascii="Arial" w:hAnsi="Arial" w:cs="Arial"/>
          <w:b/>
        </w:rPr>
      </w:pPr>
    </w:p>
    <w:p w14:paraId="2380D971" w14:textId="77777777" w:rsidR="00AE70F6" w:rsidRDefault="00AE70F6" w:rsidP="004E1A18">
      <w:pPr>
        <w:spacing w:after="0" w:line="240" w:lineRule="auto"/>
        <w:ind w:left="0"/>
        <w:rPr>
          <w:rFonts w:ascii="Arial" w:hAnsi="Arial" w:cs="Arial"/>
          <w:b/>
        </w:rPr>
      </w:pPr>
    </w:p>
    <w:p w14:paraId="4521C741" w14:textId="77777777" w:rsidR="00AE70F6" w:rsidRDefault="00AE70F6" w:rsidP="004E1A18">
      <w:pPr>
        <w:spacing w:after="0" w:line="240" w:lineRule="auto"/>
        <w:ind w:left="0"/>
        <w:rPr>
          <w:rFonts w:ascii="Arial" w:hAnsi="Arial" w:cs="Arial"/>
          <w:b/>
        </w:rPr>
      </w:pPr>
    </w:p>
    <w:p w14:paraId="7D52AC21" w14:textId="77777777" w:rsidR="00AE70F6" w:rsidRDefault="00AE70F6" w:rsidP="004E1A18">
      <w:pPr>
        <w:spacing w:after="0" w:line="240" w:lineRule="auto"/>
        <w:ind w:left="0"/>
        <w:rPr>
          <w:rFonts w:ascii="Arial" w:hAnsi="Arial" w:cs="Arial"/>
          <w:b/>
        </w:rPr>
      </w:pPr>
    </w:p>
    <w:p w14:paraId="5B115AA6" w14:textId="77777777" w:rsidR="00AE70F6" w:rsidRDefault="00AE70F6" w:rsidP="004E1A18">
      <w:pPr>
        <w:spacing w:after="0" w:line="240" w:lineRule="auto"/>
        <w:ind w:left="0"/>
        <w:rPr>
          <w:rFonts w:ascii="Arial" w:hAnsi="Arial" w:cs="Arial"/>
          <w:b/>
        </w:rPr>
      </w:pPr>
    </w:p>
    <w:p w14:paraId="0C1203F7" w14:textId="77777777" w:rsidR="00AE70F6" w:rsidRDefault="00AE70F6" w:rsidP="004E1A18">
      <w:pPr>
        <w:spacing w:after="0" w:line="240" w:lineRule="auto"/>
        <w:ind w:left="0"/>
        <w:rPr>
          <w:rFonts w:ascii="Arial" w:hAnsi="Arial" w:cs="Arial"/>
          <w:b/>
        </w:rPr>
      </w:pPr>
    </w:p>
    <w:p w14:paraId="5FFB76AA" w14:textId="77777777" w:rsidR="00AE70F6" w:rsidRDefault="00AE70F6" w:rsidP="004E1A18">
      <w:pPr>
        <w:spacing w:after="0" w:line="240" w:lineRule="auto"/>
        <w:ind w:left="0"/>
        <w:rPr>
          <w:rFonts w:ascii="Arial" w:hAnsi="Arial" w:cs="Arial"/>
          <w:b/>
        </w:rPr>
      </w:pPr>
    </w:p>
    <w:p w14:paraId="36795A8A" w14:textId="7CC5BF32" w:rsidR="00AE70F6" w:rsidRDefault="00AE70F6" w:rsidP="004E1A18">
      <w:pPr>
        <w:spacing w:after="0" w:line="240" w:lineRule="auto"/>
        <w:ind w:left="0"/>
        <w:rPr>
          <w:rFonts w:ascii="Arial" w:hAnsi="Arial" w:cs="Arial"/>
          <w:b/>
        </w:rPr>
      </w:pPr>
    </w:p>
    <w:p w14:paraId="4944CD36" w14:textId="77777777" w:rsidR="00FD4952" w:rsidRDefault="00FD4952" w:rsidP="004E1A18">
      <w:pPr>
        <w:spacing w:after="0" w:line="240" w:lineRule="auto"/>
        <w:ind w:left="0"/>
        <w:rPr>
          <w:rFonts w:ascii="Arial" w:hAnsi="Arial" w:cs="Arial"/>
          <w:b/>
        </w:rPr>
      </w:pPr>
    </w:p>
    <w:p w14:paraId="1B1F3AC6" w14:textId="4D043BDD" w:rsidR="00183A2E" w:rsidRDefault="00F343AE" w:rsidP="004E1A18">
      <w:pPr>
        <w:spacing w:after="0" w:line="240" w:lineRule="auto"/>
        <w:ind w:left="0"/>
        <w:rPr>
          <w:rFonts w:ascii="Arial" w:hAnsi="Arial" w:cs="Arial"/>
        </w:rPr>
      </w:pPr>
      <w:r w:rsidRPr="00F343AE">
        <w:rPr>
          <w:rFonts w:ascii="Arial" w:hAnsi="Arial" w:cs="Arial"/>
          <w:b/>
        </w:rPr>
        <w:t>Heard</w:t>
      </w:r>
      <w:r>
        <w:rPr>
          <w:rFonts w:ascii="Arial" w:hAnsi="Arial" w:cs="Arial"/>
        </w:rPr>
        <w:t>:</w:t>
      </w:r>
      <w:r>
        <w:rPr>
          <w:rFonts w:ascii="Arial" w:hAnsi="Arial" w:cs="Arial"/>
        </w:rPr>
        <w:tab/>
      </w:r>
      <w:r>
        <w:rPr>
          <w:rFonts w:ascii="Arial" w:hAnsi="Arial" w:cs="Arial"/>
        </w:rPr>
        <w:tab/>
      </w:r>
      <w:r>
        <w:rPr>
          <w:rFonts w:ascii="Arial" w:hAnsi="Arial" w:cs="Arial"/>
        </w:rPr>
        <w:tab/>
      </w:r>
      <w:r w:rsidR="002F699A">
        <w:rPr>
          <w:rFonts w:ascii="Arial" w:hAnsi="Arial" w:cs="Arial"/>
        </w:rPr>
        <w:t>26</w:t>
      </w:r>
      <w:r w:rsidR="009D40E5">
        <w:rPr>
          <w:rFonts w:ascii="Arial" w:hAnsi="Arial" w:cs="Arial"/>
        </w:rPr>
        <w:t xml:space="preserve"> </w:t>
      </w:r>
      <w:r w:rsidR="002F699A">
        <w:rPr>
          <w:rFonts w:ascii="Arial" w:hAnsi="Arial" w:cs="Arial"/>
        </w:rPr>
        <w:t xml:space="preserve">October </w:t>
      </w:r>
      <w:r w:rsidR="009D40E5">
        <w:rPr>
          <w:rFonts w:ascii="Arial" w:hAnsi="Arial" w:cs="Arial"/>
        </w:rPr>
        <w:t>2023</w:t>
      </w:r>
    </w:p>
    <w:p w14:paraId="09D07CD2" w14:textId="7FAC43D9" w:rsidR="00F343AE" w:rsidRDefault="00F343AE" w:rsidP="004E1A18">
      <w:pPr>
        <w:spacing w:after="0" w:line="240" w:lineRule="auto"/>
        <w:ind w:left="0"/>
        <w:rPr>
          <w:rFonts w:ascii="Arial" w:hAnsi="Arial" w:cs="Arial"/>
        </w:rPr>
      </w:pPr>
      <w:r w:rsidRPr="00F343AE">
        <w:rPr>
          <w:rFonts w:ascii="Arial" w:hAnsi="Arial" w:cs="Arial"/>
          <w:b/>
        </w:rPr>
        <w:t>Judgment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6E5E01">
        <w:rPr>
          <w:rFonts w:ascii="Arial" w:hAnsi="Arial" w:cs="Arial"/>
        </w:rPr>
        <w:t>30</w:t>
      </w:r>
      <w:r>
        <w:rPr>
          <w:rFonts w:ascii="Arial" w:hAnsi="Arial" w:cs="Arial"/>
        </w:rPr>
        <w:t xml:space="preserve"> October 2023</w:t>
      </w:r>
    </w:p>
    <w:p w14:paraId="1E5129AE" w14:textId="77777777" w:rsidR="00F343AE" w:rsidRDefault="00F343AE" w:rsidP="004E1A18">
      <w:pPr>
        <w:spacing w:after="0" w:line="240" w:lineRule="auto"/>
        <w:rPr>
          <w:rFonts w:ascii="Arial" w:hAnsi="Arial" w:cs="Arial"/>
        </w:rPr>
      </w:pPr>
    </w:p>
    <w:p w14:paraId="2AB8C431" w14:textId="77777777" w:rsidR="00330920" w:rsidRDefault="00330920" w:rsidP="004E1A18">
      <w:pPr>
        <w:spacing w:after="0" w:line="240" w:lineRule="auto"/>
        <w:ind w:left="0"/>
        <w:rPr>
          <w:rFonts w:ascii="Arial" w:hAnsi="Arial" w:cs="Arial"/>
        </w:rPr>
      </w:pPr>
      <w:r w:rsidRPr="00F343AE">
        <w:rPr>
          <w:rFonts w:ascii="Arial" w:hAnsi="Arial" w:cs="Arial"/>
          <w:u w:val="single"/>
        </w:rPr>
        <w:t>A</w:t>
      </w:r>
      <w:r w:rsidR="00A37E59">
        <w:rPr>
          <w:rFonts w:ascii="Arial" w:hAnsi="Arial" w:cs="Arial"/>
          <w:u w:val="single"/>
        </w:rPr>
        <w:t>ppearances</w:t>
      </w:r>
      <w:r>
        <w:rPr>
          <w:rFonts w:ascii="Arial" w:hAnsi="Arial" w:cs="Arial"/>
        </w:rPr>
        <w:t>:</w:t>
      </w:r>
    </w:p>
    <w:p w14:paraId="0D4B4653" w14:textId="77777777" w:rsidR="00F343AE" w:rsidRDefault="00F343AE" w:rsidP="004E1A18">
      <w:pPr>
        <w:spacing w:after="0" w:line="240" w:lineRule="auto"/>
        <w:rPr>
          <w:rFonts w:ascii="Arial" w:hAnsi="Arial" w:cs="Arial"/>
        </w:rPr>
      </w:pPr>
    </w:p>
    <w:p w14:paraId="1BD58C50" w14:textId="63FCB1BB" w:rsidR="00330920" w:rsidRDefault="00330920" w:rsidP="004E1A18">
      <w:pPr>
        <w:spacing w:after="0" w:line="240" w:lineRule="auto"/>
        <w:ind w:left="0"/>
        <w:rPr>
          <w:rFonts w:ascii="Arial" w:hAnsi="Arial" w:cs="Arial"/>
        </w:rPr>
      </w:pPr>
      <w:r w:rsidRPr="00F343AE">
        <w:rPr>
          <w:rFonts w:ascii="Arial" w:hAnsi="Arial" w:cs="Arial"/>
          <w:b/>
        </w:rPr>
        <w:t>For Applicant</w:t>
      </w:r>
      <w:r>
        <w:rPr>
          <w:rFonts w:ascii="Arial" w:hAnsi="Arial" w:cs="Arial"/>
        </w:rPr>
        <w:t xml:space="preserve">: </w:t>
      </w:r>
      <w:r w:rsidR="00867353">
        <w:rPr>
          <w:rFonts w:ascii="Arial" w:hAnsi="Arial" w:cs="Arial"/>
        </w:rPr>
        <w:tab/>
      </w:r>
      <w:r w:rsidR="00323DDE">
        <w:rPr>
          <w:rFonts w:ascii="Arial" w:hAnsi="Arial" w:cs="Arial"/>
        </w:rPr>
        <w:tab/>
      </w:r>
      <w:r w:rsidR="004B3483">
        <w:rPr>
          <w:rFonts w:ascii="Arial" w:hAnsi="Arial" w:cs="Arial"/>
        </w:rPr>
        <w:t>C Mashao</w:t>
      </w:r>
    </w:p>
    <w:p w14:paraId="6A748857" w14:textId="1A3E47C0" w:rsidR="00867353" w:rsidRDefault="00867353" w:rsidP="004E1A18">
      <w:pPr>
        <w:spacing w:after="0" w:line="240" w:lineRule="auto"/>
        <w:ind w:left="0"/>
        <w:rPr>
          <w:rFonts w:ascii="Arial" w:hAnsi="Arial" w:cs="Arial"/>
        </w:rPr>
      </w:pPr>
      <w:r w:rsidRPr="00616F25">
        <w:rPr>
          <w:rFonts w:ascii="Arial" w:hAnsi="Arial" w:cs="Arial"/>
          <w:b/>
        </w:rPr>
        <w:t>Instructed by</w:t>
      </w:r>
      <w:r>
        <w:rPr>
          <w:rFonts w:ascii="Arial" w:hAnsi="Arial" w:cs="Arial"/>
        </w:rPr>
        <w:t>:</w:t>
      </w:r>
      <w:r>
        <w:rPr>
          <w:rFonts w:ascii="Arial" w:hAnsi="Arial" w:cs="Arial"/>
        </w:rPr>
        <w:tab/>
      </w:r>
      <w:r w:rsidR="00323DDE">
        <w:rPr>
          <w:rFonts w:ascii="Arial" w:hAnsi="Arial" w:cs="Arial"/>
        </w:rPr>
        <w:tab/>
      </w:r>
      <w:r w:rsidR="004B3483">
        <w:rPr>
          <w:rFonts w:ascii="Arial" w:hAnsi="Arial" w:cs="Arial"/>
        </w:rPr>
        <w:t>Z &amp; Z Ngogodo Attorneys Inc.</w:t>
      </w:r>
    </w:p>
    <w:p w14:paraId="139F630D" w14:textId="77777777" w:rsidR="00330920" w:rsidRDefault="00330920" w:rsidP="004E1A18">
      <w:pPr>
        <w:spacing w:after="0" w:line="240" w:lineRule="auto"/>
        <w:rPr>
          <w:rFonts w:ascii="Arial" w:hAnsi="Arial" w:cs="Arial"/>
        </w:rPr>
      </w:pPr>
    </w:p>
    <w:p w14:paraId="64A79D59" w14:textId="65792682" w:rsidR="00330920" w:rsidRDefault="00330920" w:rsidP="004E1A18">
      <w:pPr>
        <w:spacing w:after="0" w:line="240" w:lineRule="auto"/>
        <w:ind w:left="0"/>
        <w:rPr>
          <w:rFonts w:ascii="Arial" w:hAnsi="Arial" w:cs="Arial"/>
        </w:rPr>
      </w:pPr>
      <w:r w:rsidRPr="00F343AE">
        <w:rPr>
          <w:rFonts w:ascii="Arial" w:hAnsi="Arial" w:cs="Arial"/>
          <w:b/>
        </w:rPr>
        <w:t>For Respondent</w:t>
      </w:r>
      <w:r w:rsidR="00183A2E">
        <w:rPr>
          <w:rFonts w:ascii="Arial" w:hAnsi="Arial" w:cs="Arial"/>
          <w:b/>
        </w:rPr>
        <w:t>s</w:t>
      </w:r>
      <w:r>
        <w:rPr>
          <w:rFonts w:ascii="Arial" w:hAnsi="Arial" w:cs="Arial"/>
        </w:rPr>
        <w:t xml:space="preserve">: </w:t>
      </w:r>
      <w:r w:rsidR="00183A2E">
        <w:rPr>
          <w:rFonts w:ascii="Arial" w:hAnsi="Arial" w:cs="Arial"/>
        </w:rPr>
        <w:tab/>
      </w:r>
      <w:r>
        <w:rPr>
          <w:rFonts w:ascii="Arial" w:hAnsi="Arial" w:cs="Arial"/>
        </w:rPr>
        <w:tab/>
      </w:r>
      <w:r w:rsidR="004B3483">
        <w:rPr>
          <w:rFonts w:ascii="Arial" w:hAnsi="Arial" w:cs="Arial"/>
        </w:rPr>
        <w:t>M Jacobs</w:t>
      </w:r>
    </w:p>
    <w:p w14:paraId="0D4C3EF2" w14:textId="026F7F06" w:rsidR="00330920" w:rsidRPr="00330920" w:rsidRDefault="00330920" w:rsidP="004E1A18">
      <w:pPr>
        <w:spacing w:after="0" w:line="240" w:lineRule="auto"/>
        <w:ind w:left="0"/>
        <w:rPr>
          <w:rFonts w:ascii="Arial" w:hAnsi="Arial" w:cs="Arial"/>
        </w:rPr>
      </w:pPr>
      <w:r w:rsidRPr="00F343AE">
        <w:rPr>
          <w:rFonts w:ascii="Arial" w:hAnsi="Arial" w:cs="Arial"/>
          <w:b/>
        </w:rPr>
        <w:t>Instructed by</w:t>
      </w:r>
      <w:r>
        <w:rPr>
          <w:rFonts w:ascii="Arial" w:hAnsi="Arial" w:cs="Arial"/>
        </w:rPr>
        <w:t>:</w:t>
      </w:r>
      <w:r>
        <w:rPr>
          <w:rFonts w:ascii="Arial" w:hAnsi="Arial" w:cs="Arial"/>
        </w:rPr>
        <w:tab/>
      </w:r>
      <w:r w:rsidR="00867353">
        <w:rPr>
          <w:rFonts w:ascii="Arial" w:hAnsi="Arial" w:cs="Arial"/>
        </w:rPr>
        <w:tab/>
      </w:r>
      <w:r w:rsidR="004B3483">
        <w:rPr>
          <w:rFonts w:ascii="Arial" w:hAnsi="Arial" w:cs="Arial"/>
        </w:rPr>
        <w:t>Phillip Venter Attorneys</w:t>
      </w:r>
    </w:p>
    <w:p w14:paraId="411774B3" w14:textId="77777777" w:rsidR="00517414" w:rsidRDefault="00517414" w:rsidP="004E1A18">
      <w:pPr>
        <w:spacing w:after="0" w:line="240" w:lineRule="auto"/>
        <w:rPr>
          <w:rFonts w:ascii="Arial" w:hAnsi="Arial" w:cs="Arial"/>
        </w:rPr>
      </w:pPr>
    </w:p>
    <w:p w14:paraId="3BE4C601" w14:textId="77777777" w:rsidR="00517414" w:rsidRPr="00A04357" w:rsidRDefault="00517414" w:rsidP="00FE2F80">
      <w:pPr>
        <w:spacing w:line="360" w:lineRule="auto"/>
        <w:rPr>
          <w:rFonts w:ascii="Arial" w:hAnsi="Arial" w:cs="Arial"/>
        </w:rPr>
      </w:pPr>
    </w:p>
    <w:sectPr w:rsidR="00517414" w:rsidRPr="00A04357" w:rsidSect="00282F4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86BC" w14:textId="77777777" w:rsidR="002718EB" w:rsidRDefault="002718EB" w:rsidP="002F5930">
      <w:pPr>
        <w:spacing w:after="0" w:line="240" w:lineRule="auto"/>
      </w:pPr>
      <w:r>
        <w:separator/>
      </w:r>
    </w:p>
  </w:endnote>
  <w:endnote w:type="continuationSeparator" w:id="0">
    <w:p w14:paraId="60DD756B" w14:textId="77777777" w:rsidR="002718EB" w:rsidRDefault="002718EB" w:rsidP="002F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2201190"/>
      <w:docPartObj>
        <w:docPartGallery w:val="Page Numbers (Bottom of Page)"/>
        <w:docPartUnique/>
      </w:docPartObj>
    </w:sdtPr>
    <w:sdtEndPr>
      <w:rPr>
        <w:rStyle w:val="PageNumber"/>
      </w:rPr>
    </w:sdtEndPr>
    <w:sdtContent>
      <w:p w14:paraId="1BE8D03D" w14:textId="77777777" w:rsidR="00A00741" w:rsidRDefault="00A00741" w:rsidP="0026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96922" w14:textId="77777777" w:rsidR="00A00741" w:rsidRDefault="00A00741" w:rsidP="00A00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6725956"/>
      <w:docPartObj>
        <w:docPartGallery w:val="Page Numbers (Bottom of Page)"/>
        <w:docPartUnique/>
      </w:docPartObj>
    </w:sdtPr>
    <w:sdtEndPr>
      <w:rPr>
        <w:rStyle w:val="PageNumber"/>
      </w:rPr>
    </w:sdtEndPr>
    <w:sdtContent>
      <w:p w14:paraId="475788AB" w14:textId="2A93E360" w:rsidR="00A00741" w:rsidRDefault="00A00741" w:rsidP="0026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5940">
          <w:rPr>
            <w:rStyle w:val="PageNumber"/>
            <w:noProof/>
          </w:rPr>
          <w:t>6</w:t>
        </w:r>
        <w:r>
          <w:rPr>
            <w:rStyle w:val="PageNumber"/>
          </w:rPr>
          <w:fldChar w:fldCharType="end"/>
        </w:r>
      </w:p>
    </w:sdtContent>
  </w:sdt>
  <w:p w14:paraId="0422DDD8" w14:textId="77777777" w:rsidR="00A00741" w:rsidRDefault="00A00741" w:rsidP="00A007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34F9" w14:textId="77777777" w:rsidR="002718EB" w:rsidRDefault="002718EB" w:rsidP="002F5930">
      <w:pPr>
        <w:spacing w:after="0" w:line="240" w:lineRule="auto"/>
      </w:pPr>
      <w:r>
        <w:separator/>
      </w:r>
    </w:p>
  </w:footnote>
  <w:footnote w:type="continuationSeparator" w:id="0">
    <w:p w14:paraId="159B08F5" w14:textId="77777777" w:rsidR="002718EB" w:rsidRDefault="002718EB" w:rsidP="002F5930">
      <w:pPr>
        <w:spacing w:after="0" w:line="240" w:lineRule="auto"/>
      </w:pPr>
      <w:r>
        <w:continuationSeparator/>
      </w:r>
    </w:p>
  </w:footnote>
  <w:footnote w:id="1">
    <w:p w14:paraId="6E4DA848" w14:textId="77777777" w:rsidR="006E5E01" w:rsidRPr="006E5E01" w:rsidRDefault="006E5E01" w:rsidP="006E5E01">
      <w:pPr>
        <w:autoSpaceDE w:val="0"/>
        <w:autoSpaceDN w:val="0"/>
        <w:adjustRightInd w:val="0"/>
        <w:spacing w:after="0"/>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2020 (5) SA 35 SCA.</w:t>
      </w:r>
    </w:p>
  </w:footnote>
  <w:footnote w:id="2">
    <w:p w14:paraId="343DD1FC" w14:textId="77777777" w:rsidR="006E5E01" w:rsidRPr="006E5E01" w:rsidRDefault="006E5E01" w:rsidP="006E5E01">
      <w:pPr>
        <w:autoSpaceDE w:val="0"/>
        <w:autoSpaceDN w:val="0"/>
        <w:adjustRightInd w:val="0"/>
        <w:spacing w:after="0"/>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Unreported SCA case no. 724/2019 dated 31 March 2021.</w:t>
      </w:r>
    </w:p>
  </w:footnote>
  <w:footnote w:id="3">
    <w:p w14:paraId="42AD85E4" w14:textId="77777777" w:rsidR="006E5E01" w:rsidRPr="006E5E01" w:rsidRDefault="006E5E01" w:rsidP="006E5E01">
      <w:pPr>
        <w:autoSpaceDE w:val="0"/>
        <w:autoSpaceDN w:val="0"/>
        <w:adjustRightInd w:val="0"/>
        <w:spacing w:after="0"/>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r>
      <w:r w:rsidRPr="006E5E01">
        <w:rPr>
          <w:rFonts w:ascii="Arial" w:hAnsi="Arial" w:cs="Arial"/>
          <w:b/>
          <w:bCs/>
          <w:i/>
          <w:iCs/>
          <w:sz w:val="16"/>
          <w:szCs w:val="16"/>
        </w:rPr>
        <w:t>Nova Property Holdings Limited v Cobbett &amp; Others</w:t>
      </w:r>
      <w:r w:rsidRPr="006E5E01">
        <w:rPr>
          <w:rFonts w:ascii="Arial" w:hAnsi="Arial" w:cs="Arial"/>
          <w:sz w:val="16"/>
          <w:szCs w:val="16"/>
        </w:rPr>
        <w:t xml:space="preserve"> 2016 (4) SA 317 (SCA) para 8.</w:t>
      </w:r>
    </w:p>
  </w:footnote>
  <w:footnote w:id="4">
    <w:p w14:paraId="259D7A2B" w14:textId="59718A17" w:rsidR="006E5E01" w:rsidRPr="006E5E01" w:rsidRDefault="006E5E01" w:rsidP="006E5E01">
      <w:pPr>
        <w:pStyle w:val="FootnoteText"/>
        <w:ind w:left="709" w:hanging="709"/>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r>
      <w:r w:rsidRPr="006E5E01">
        <w:rPr>
          <w:rFonts w:ascii="Arial" w:hAnsi="Arial" w:cs="Arial"/>
          <w:b/>
          <w:bCs/>
          <w:i/>
          <w:iCs/>
          <w:sz w:val="16"/>
          <w:szCs w:val="16"/>
        </w:rPr>
        <w:t xml:space="preserve">Altech Radio Holdings (Pty) Ltd v Aeonova360 Management Services (Pty) Ltd and Another </w:t>
      </w:r>
      <w:r w:rsidRPr="006E5E01">
        <w:rPr>
          <w:rFonts w:ascii="Arial" w:hAnsi="Arial" w:cs="Arial"/>
          <w:sz w:val="16"/>
          <w:szCs w:val="16"/>
        </w:rPr>
        <w:t>(2023/001585) [2023] ZAGPJHC 1082 (28 September 2023)</w:t>
      </w:r>
      <w:r w:rsidR="00FF0E0C">
        <w:rPr>
          <w:rFonts w:ascii="Arial" w:hAnsi="Arial" w:cs="Arial"/>
          <w:sz w:val="16"/>
          <w:szCs w:val="16"/>
        </w:rPr>
        <w:t>.</w:t>
      </w:r>
    </w:p>
  </w:footnote>
  <w:footnote w:id="5">
    <w:p w14:paraId="25647B5F" w14:textId="1EEBDC5C" w:rsidR="006E5E01" w:rsidRPr="006E5E01" w:rsidRDefault="006E5E01" w:rsidP="006E5E01">
      <w:pPr>
        <w:pStyle w:val="FootnoteText"/>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2013 (6) SA 520</w:t>
      </w:r>
      <w:r w:rsidR="00FF0E0C">
        <w:rPr>
          <w:rFonts w:ascii="Arial" w:hAnsi="Arial" w:cs="Arial"/>
          <w:sz w:val="16"/>
          <w:szCs w:val="16"/>
        </w:rPr>
        <w:t>.</w:t>
      </w:r>
    </w:p>
  </w:footnote>
  <w:footnote w:id="6">
    <w:p w14:paraId="1ADDA463" w14:textId="77777777" w:rsidR="006E5E01" w:rsidRPr="006E5E01" w:rsidRDefault="006E5E01" w:rsidP="006E5E01">
      <w:pPr>
        <w:pStyle w:val="FootnoteText"/>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(30761/14) [2015] ZAGPHC 447 (21 May 2015).</w:t>
      </w:r>
    </w:p>
  </w:footnote>
  <w:footnote w:id="7">
    <w:p w14:paraId="43F81845" w14:textId="77777777" w:rsidR="006E5E01" w:rsidRPr="006E5E01" w:rsidRDefault="006E5E01" w:rsidP="006E5E01">
      <w:pPr>
        <w:pStyle w:val="FootnoteText"/>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2007 (6) SA 143 (T).</w:t>
      </w:r>
    </w:p>
  </w:footnote>
  <w:footnote w:id="8">
    <w:p w14:paraId="1FC7F2A6" w14:textId="77777777" w:rsidR="006E5E01" w:rsidRPr="006E5E01" w:rsidRDefault="006E5E01" w:rsidP="006E5E01">
      <w:pPr>
        <w:pStyle w:val="FootnoteText"/>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2008 (2) SA 534 (SCA).</w:t>
      </w:r>
    </w:p>
  </w:footnote>
  <w:footnote w:id="9">
    <w:p w14:paraId="54B48D24" w14:textId="77777777" w:rsidR="006E5E01" w:rsidRPr="006E5E01" w:rsidRDefault="006E5E01" w:rsidP="006E5E01">
      <w:pPr>
        <w:pStyle w:val="FootnoteText"/>
        <w:rPr>
          <w:rFonts w:ascii="Arial" w:hAnsi="Arial" w:cs="Arial"/>
          <w:sz w:val="16"/>
          <w:szCs w:val="16"/>
        </w:rPr>
      </w:pPr>
      <w:r w:rsidRPr="006E5E01">
        <w:rPr>
          <w:rStyle w:val="FootnoteReference"/>
          <w:rFonts w:ascii="Arial" w:hAnsi="Arial" w:cs="Arial"/>
          <w:sz w:val="16"/>
          <w:szCs w:val="16"/>
        </w:rPr>
        <w:footnoteRef/>
      </w:r>
      <w:r w:rsidRPr="006E5E01">
        <w:rPr>
          <w:rFonts w:ascii="Arial" w:hAnsi="Arial" w:cs="Arial"/>
          <w:sz w:val="16"/>
          <w:szCs w:val="16"/>
        </w:rPr>
        <w:t xml:space="preserve"> </w:t>
      </w:r>
      <w:r w:rsidRPr="006E5E01">
        <w:rPr>
          <w:rFonts w:ascii="Arial" w:hAnsi="Arial" w:cs="Arial"/>
          <w:sz w:val="16"/>
          <w:szCs w:val="16"/>
        </w:rPr>
        <w:tab/>
        <w:t>(4019/2020) [2021] ZAFSHC 176 (24 August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DD6"/>
    <w:multiLevelType w:val="hybridMultilevel"/>
    <w:tmpl w:val="2C2268D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15:restartNumberingAfterBreak="0">
    <w:nsid w:val="06761273"/>
    <w:multiLevelType w:val="hybridMultilevel"/>
    <w:tmpl w:val="0E4CF6F0"/>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6901FE"/>
    <w:multiLevelType w:val="hybridMultilevel"/>
    <w:tmpl w:val="41C6A0E2"/>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0CEC7517"/>
    <w:multiLevelType w:val="hybridMultilevel"/>
    <w:tmpl w:val="AE96618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0D081353"/>
    <w:multiLevelType w:val="hybridMultilevel"/>
    <w:tmpl w:val="2D2AEB9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129F0C0C"/>
    <w:multiLevelType w:val="hybridMultilevel"/>
    <w:tmpl w:val="BE6819B8"/>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43320E0"/>
    <w:multiLevelType w:val="hybridMultilevel"/>
    <w:tmpl w:val="3FD4FDC2"/>
    <w:lvl w:ilvl="0" w:tplc="10D0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6E90"/>
    <w:multiLevelType w:val="hybridMultilevel"/>
    <w:tmpl w:val="85C09D8C"/>
    <w:lvl w:ilvl="0" w:tplc="D6421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A117E"/>
    <w:multiLevelType w:val="hybridMultilevel"/>
    <w:tmpl w:val="979CC564"/>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23180E1B"/>
    <w:multiLevelType w:val="hybridMultilevel"/>
    <w:tmpl w:val="C8201C7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15:restartNumberingAfterBreak="0">
    <w:nsid w:val="28190CC0"/>
    <w:multiLevelType w:val="multilevel"/>
    <w:tmpl w:val="8C4CC8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562310"/>
    <w:multiLevelType w:val="hybridMultilevel"/>
    <w:tmpl w:val="B83EC2EE"/>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3901124B"/>
    <w:multiLevelType w:val="hybridMultilevel"/>
    <w:tmpl w:val="0C24FCE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3B13166B"/>
    <w:multiLevelType w:val="hybridMultilevel"/>
    <w:tmpl w:val="620A731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15:restartNumberingAfterBreak="0">
    <w:nsid w:val="3B9D2816"/>
    <w:multiLevelType w:val="hybridMultilevel"/>
    <w:tmpl w:val="2FB6A1B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3C124493"/>
    <w:multiLevelType w:val="hybridMultilevel"/>
    <w:tmpl w:val="11123C8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42503A64"/>
    <w:multiLevelType w:val="multilevel"/>
    <w:tmpl w:val="A760B4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6CF262B"/>
    <w:multiLevelType w:val="multilevel"/>
    <w:tmpl w:val="074E7B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EE4202"/>
    <w:multiLevelType w:val="hybridMultilevel"/>
    <w:tmpl w:val="FB6882A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0" w15:restartNumberingAfterBreak="0">
    <w:nsid w:val="488F4ACB"/>
    <w:multiLevelType w:val="hybridMultilevel"/>
    <w:tmpl w:val="04EAFB4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5AAF396F"/>
    <w:multiLevelType w:val="multilevel"/>
    <w:tmpl w:val="1E308A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DC551E"/>
    <w:multiLevelType w:val="hybridMultilevel"/>
    <w:tmpl w:val="1ADE3754"/>
    <w:lvl w:ilvl="0" w:tplc="BFFA744E">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15:restartNumberingAfterBreak="0">
    <w:nsid w:val="64304B4C"/>
    <w:multiLevelType w:val="hybridMultilevel"/>
    <w:tmpl w:val="C5562B9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15:restartNumberingAfterBreak="0">
    <w:nsid w:val="69B92CAD"/>
    <w:multiLevelType w:val="hybridMultilevel"/>
    <w:tmpl w:val="393ACA2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15:restartNumberingAfterBreak="0">
    <w:nsid w:val="6C8A2B1B"/>
    <w:multiLevelType w:val="hybridMultilevel"/>
    <w:tmpl w:val="DB5AAA1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B74E9"/>
    <w:multiLevelType w:val="hybridMultilevel"/>
    <w:tmpl w:val="89A2A87E"/>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103A12"/>
    <w:multiLevelType w:val="hybridMultilevel"/>
    <w:tmpl w:val="26F87516"/>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15:restartNumberingAfterBreak="0">
    <w:nsid w:val="7B0C607C"/>
    <w:multiLevelType w:val="hybridMultilevel"/>
    <w:tmpl w:val="9CC6F302"/>
    <w:lvl w:ilvl="0" w:tplc="D49A9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53E31"/>
    <w:multiLevelType w:val="multilevel"/>
    <w:tmpl w:val="1E0C19AC"/>
    <w:lvl w:ilvl="0">
      <w:start w:val="1"/>
      <w:numFmt w:val="decimal"/>
      <w:lvlText w:val="[%1]"/>
      <w:lvlJc w:val="left"/>
      <w:pPr>
        <w:ind w:left="360" w:hanging="360"/>
      </w:pPr>
      <w:rPr>
        <w:rFonts w:hint="default"/>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4"/>
  </w:num>
  <w:num w:numId="3">
    <w:abstractNumId w:val="22"/>
  </w:num>
  <w:num w:numId="4">
    <w:abstractNumId w:val="0"/>
  </w:num>
  <w:num w:numId="5">
    <w:abstractNumId w:val="27"/>
  </w:num>
  <w:num w:numId="6">
    <w:abstractNumId w:val="10"/>
  </w:num>
  <w:num w:numId="7">
    <w:abstractNumId w:val="15"/>
  </w:num>
  <w:num w:numId="8">
    <w:abstractNumId w:val="19"/>
  </w:num>
  <w:num w:numId="9">
    <w:abstractNumId w:val="5"/>
  </w:num>
  <w:num w:numId="10">
    <w:abstractNumId w:val="4"/>
  </w:num>
  <w:num w:numId="11">
    <w:abstractNumId w:val="1"/>
  </w:num>
  <w:num w:numId="12">
    <w:abstractNumId w:val="6"/>
  </w:num>
  <w:num w:numId="13">
    <w:abstractNumId w:val="9"/>
  </w:num>
  <w:num w:numId="14">
    <w:abstractNumId w:val="12"/>
  </w:num>
  <w:num w:numId="15">
    <w:abstractNumId w:val="16"/>
  </w:num>
  <w:num w:numId="16">
    <w:abstractNumId w:val="25"/>
  </w:num>
  <w:num w:numId="17">
    <w:abstractNumId w:val="8"/>
  </w:num>
  <w:num w:numId="18">
    <w:abstractNumId w:val="21"/>
  </w:num>
  <w:num w:numId="19">
    <w:abstractNumId w:val="18"/>
  </w:num>
  <w:num w:numId="20">
    <w:abstractNumId w:val="29"/>
  </w:num>
  <w:num w:numId="21">
    <w:abstractNumId w:val="26"/>
  </w:num>
  <w:num w:numId="22">
    <w:abstractNumId w:val="17"/>
  </w:num>
  <w:num w:numId="23">
    <w:abstractNumId w:val="13"/>
  </w:num>
  <w:num w:numId="24">
    <w:abstractNumId w:val="20"/>
  </w:num>
  <w:num w:numId="25">
    <w:abstractNumId w:val="24"/>
  </w:num>
  <w:num w:numId="26">
    <w:abstractNumId w:val="23"/>
  </w:num>
  <w:num w:numId="27">
    <w:abstractNumId w:val="3"/>
  </w:num>
  <w:num w:numId="28">
    <w:abstractNumId w:val="7"/>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F4"/>
    <w:rsid w:val="00001DDD"/>
    <w:rsid w:val="000118F6"/>
    <w:rsid w:val="00012E73"/>
    <w:rsid w:val="00022D09"/>
    <w:rsid w:val="00027A1A"/>
    <w:rsid w:val="00027C0E"/>
    <w:rsid w:val="00054B3B"/>
    <w:rsid w:val="000A01BD"/>
    <w:rsid w:val="000A1ED2"/>
    <w:rsid w:val="000B1797"/>
    <w:rsid w:val="000C3C64"/>
    <w:rsid w:val="000C4614"/>
    <w:rsid w:val="000E0FB0"/>
    <w:rsid w:val="000F27F5"/>
    <w:rsid w:val="00107889"/>
    <w:rsid w:val="001378C3"/>
    <w:rsid w:val="0014697F"/>
    <w:rsid w:val="0015602C"/>
    <w:rsid w:val="00171395"/>
    <w:rsid w:val="001811D6"/>
    <w:rsid w:val="00183A2E"/>
    <w:rsid w:val="001A099B"/>
    <w:rsid w:val="001A0CF8"/>
    <w:rsid w:val="001A4766"/>
    <w:rsid w:val="001C5FD9"/>
    <w:rsid w:val="001C7306"/>
    <w:rsid w:val="001E13CA"/>
    <w:rsid w:val="001E5B55"/>
    <w:rsid w:val="001F0045"/>
    <w:rsid w:val="002056ED"/>
    <w:rsid w:val="00210B03"/>
    <w:rsid w:val="0021693C"/>
    <w:rsid w:val="0022297D"/>
    <w:rsid w:val="00256CA4"/>
    <w:rsid w:val="00260112"/>
    <w:rsid w:val="002718EB"/>
    <w:rsid w:val="00273DF4"/>
    <w:rsid w:val="002752AA"/>
    <w:rsid w:val="00282F4A"/>
    <w:rsid w:val="00293EEE"/>
    <w:rsid w:val="002A02B2"/>
    <w:rsid w:val="002B0CED"/>
    <w:rsid w:val="002B7AF3"/>
    <w:rsid w:val="002D49EF"/>
    <w:rsid w:val="002E297A"/>
    <w:rsid w:val="002E74BB"/>
    <w:rsid w:val="002F5930"/>
    <w:rsid w:val="002F699A"/>
    <w:rsid w:val="00306571"/>
    <w:rsid w:val="003209FF"/>
    <w:rsid w:val="00322695"/>
    <w:rsid w:val="00323DDE"/>
    <w:rsid w:val="00326A4D"/>
    <w:rsid w:val="00330920"/>
    <w:rsid w:val="003414A9"/>
    <w:rsid w:val="003415A1"/>
    <w:rsid w:val="003534D7"/>
    <w:rsid w:val="0035477F"/>
    <w:rsid w:val="003619B1"/>
    <w:rsid w:val="00374808"/>
    <w:rsid w:val="003818E1"/>
    <w:rsid w:val="00381AA2"/>
    <w:rsid w:val="00392C9F"/>
    <w:rsid w:val="003A193A"/>
    <w:rsid w:val="003A6CF2"/>
    <w:rsid w:val="003C2632"/>
    <w:rsid w:val="003C2C45"/>
    <w:rsid w:val="003E669A"/>
    <w:rsid w:val="003F2D55"/>
    <w:rsid w:val="00403366"/>
    <w:rsid w:val="00412715"/>
    <w:rsid w:val="004127A3"/>
    <w:rsid w:val="00413429"/>
    <w:rsid w:val="0041673F"/>
    <w:rsid w:val="00423762"/>
    <w:rsid w:val="00432EAD"/>
    <w:rsid w:val="00437CFE"/>
    <w:rsid w:val="00445B78"/>
    <w:rsid w:val="00451FB6"/>
    <w:rsid w:val="00466886"/>
    <w:rsid w:val="00466D8F"/>
    <w:rsid w:val="00477D86"/>
    <w:rsid w:val="00482BD5"/>
    <w:rsid w:val="0048467C"/>
    <w:rsid w:val="0049161A"/>
    <w:rsid w:val="004930B0"/>
    <w:rsid w:val="00496A29"/>
    <w:rsid w:val="004B3483"/>
    <w:rsid w:val="004C60CE"/>
    <w:rsid w:val="004C6CC0"/>
    <w:rsid w:val="004E1A18"/>
    <w:rsid w:val="004E4892"/>
    <w:rsid w:val="004F1400"/>
    <w:rsid w:val="004F5B1B"/>
    <w:rsid w:val="004F62AB"/>
    <w:rsid w:val="005026E3"/>
    <w:rsid w:val="005049EA"/>
    <w:rsid w:val="00511B53"/>
    <w:rsid w:val="00517414"/>
    <w:rsid w:val="00525642"/>
    <w:rsid w:val="005677FF"/>
    <w:rsid w:val="00571B7D"/>
    <w:rsid w:val="00576366"/>
    <w:rsid w:val="005845F5"/>
    <w:rsid w:val="005A63A0"/>
    <w:rsid w:val="005D135B"/>
    <w:rsid w:val="00604294"/>
    <w:rsid w:val="0060496E"/>
    <w:rsid w:val="00616F25"/>
    <w:rsid w:val="00620502"/>
    <w:rsid w:val="006418B0"/>
    <w:rsid w:val="006674E2"/>
    <w:rsid w:val="00671489"/>
    <w:rsid w:val="00677DD5"/>
    <w:rsid w:val="006A42A1"/>
    <w:rsid w:val="006B788B"/>
    <w:rsid w:val="006D5430"/>
    <w:rsid w:val="006D63E4"/>
    <w:rsid w:val="006E3A8F"/>
    <w:rsid w:val="006E5C90"/>
    <w:rsid w:val="006E5E01"/>
    <w:rsid w:val="006F2B40"/>
    <w:rsid w:val="006F575B"/>
    <w:rsid w:val="006F5E64"/>
    <w:rsid w:val="00740141"/>
    <w:rsid w:val="00744E57"/>
    <w:rsid w:val="00746FA6"/>
    <w:rsid w:val="00763C41"/>
    <w:rsid w:val="00765733"/>
    <w:rsid w:val="00771A9A"/>
    <w:rsid w:val="00775E98"/>
    <w:rsid w:val="007804E5"/>
    <w:rsid w:val="007B1C6F"/>
    <w:rsid w:val="007B3D1F"/>
    <w:rsid w:val="007D0EF9"/>
    <w:rsid w:val="007D359A"/>
    <w:rsid w:val="007F24DF"/>
    <w:rsid w:val="00810431"/>
    <w:rsid w:val="00820338"/>
    <w:rsid w:val="00841E77"/>
    <w:rsid w:val="008637FF"/>
    <w:rsid w:val="00867353"/>
    <w:rsid w:val="00880097"/>
    <w:rsid w:val="0089167C"/>
    <w:rsid w:val="00897771"/>
    <w:rsid w:val="008A5AA3"/>
    <w:rsid w:val="008A7BE9"/>
    <w:rsid w:val="008B0E26"/>
    <w:rsid w:val="008B6266"/>
    <w:rsid w:val="008B7823"/>
    <w:rsid w:val="008D5964"/>
    <w:rsid w:val="008E489F"/>
    <w:rsid w:val="008E5337"/>
    <w:rsid w:val="008F03BC"/>
    <w:rsid w:val="0091392B"/>
    <w:rsid w:val="00923402"/>
    <w:rsid w:val="00926722"/>
    <w:rsid w:val="00926989"/>
    <w:rsid w:val="009322BC"/>
    <w:rsid w:val="0094235B"/>
    <w:rsid w:val="00954F67"/>
    <w:rsid w:val="0095616C"/>
    <w:rsid w:val="00984B31"/>
    <w:rsid w:val="009B42D4"/>
    <w:rsid w:val="009B7C9B"/>
    <w:rsid w:val="009C6D79"/>
    <w:rsid w:val="009D40E5"/>
    <w:rsid w:val="009D736E"/>
    <w:rsid w:val="009E407E"/>
    <w:rsid w:val="00A00741"/>
    <w:rsid w:val="00A04357"/>
    <w:rsid w:val="00A04F83"/>
    <w:rsid w:val="00A05803"/>
    <w:rsid w:val="00A05CD0"/>
    <w:rsid w:val="00A15545"/>
    <w:rsid w:val="00A17C4C"/>
    <w:rsid w:val="00A21306"/>
    <w:rsid w:val="00A33776"/>
    <w:rsid w:val="00A37459"/>
    <w:rsid w:val="00A37E59"/>
    <w:rsid w:val="00A46B38"/>
    <w:rsid w:val="00A50515"/>
    <w:rsid w:val="00A65A72"/>
    <w:rsid w:val="00A669CA"/>
    <w:rsid w:val="00A66F13"/>
    <w:rsid w:val="00A97AD8"/>
    <w:rsid w:val="00AA0AE2"/>
    <w:rsid w:val="00AA56E5"/>
    <w:rsid w:val="00AD45C4"/>
    <w:rsid w:val="00AD5894"/>
    <w:rsid w:val="00AD5940"/>
    <w:rsid w:val="00AE3012"/>
    <w:rsid w:val="00AE5712"/>
    <w:rsid w:val="00AE70F6"/>
    <w:rsid w:val="00AF039B"/>
    <w:rsid w:val="00AF417C"/>
    <w:rsid w:val="00B01863"/>
    <w:rsid w:val="00B17C5D"/>
    <w:rsid w:val="00B2356F"/>
    <w:rsid w:val="00B255AC"/>
    <w:rsid w:val="00B25C69"/>
    <w:rsid w:val="00B343BC"/>
    <w:rsid w:val="00B5028B"/>
    <w:rsid w:val="00B856D0"/>
    <w:rsid w:val="00B872C6"/>
    <w:rsid w:val="00B91CE2"/>
    <w:rsid w:val="00B92E1C"/>
    <w:rsid w:val="00B975A6"/>
    <w:rsid w:val="00BA1986"/>
    <w:rsid w:val="00BA3028"/>
    <w:rsid w:val="00BB284B"/>
    <w:rsid w:val="00BB389E"/>
    <w:rsid w:val="00BC022B"/>
    <w:rsid w:val="00BC453B"/>
    <w:rsid w:val="00BC4C88"/>
    <w:rsid w:val="00BC4DEE"/>
    <w:rsid w:val="00BF611A"/>
    <w:rsid w:val="00C061B5"/>
    <w:rsid w:val="00C16CD3"/>
    <w:rsid w:val="00C332F4"/>
    <w:rsid w:val="00C40780"/>
    <w:rsid w:val="00C4306B"/>
    <w:rsid w:val="00C514BB"/>
    <w:rsid w:val="00C6462D"/>
    <w:rsid w:val="00C8091B"/>
    <w:rsid w:val="00CA0E67"/>
    <w:rsid w:val="00CA5753"/>
    <w:rsid w:val="00CB73CF"/>
    <w:rsid w:val="00CC57FC"/>
    <w:rsid w:val="00CD4B75"/>
    <w:rsid w:val="00CD7054"/>
    <w:rsid w:val="00D4705A"/>
    <w:rsid w:val="00D64BAE"/>
    <w:rsid w:val="00D65388"/>
    <w:rsid w:val="00D659FA"/>
    <w:rsid w:val="00D7481B"/>
    <w:rsid w:val="00D93696"/>
    <w:rsid w:val="00DA3AA2"/>
    <w:rsid w:val="00DA78D7"/>
    <w:rsid w:val="00DB5820"/>
    <w:rsid w:val="00DB7F46"/>
    <w:rsid w:val="00DC2DCF"/>
    <w:rsid w:val="00DE4B33"/>
    <w:rsid w:val="00DF077A"/>
    <w:rsid w:val="00DF4769"/>
    <w:rsid w:val="00DF5E92"/>
    <w:rsid w:val="00DF7069"/>
    <w:rsid w:val="00E16203"/>
    <w:rsid w:val="00E31C22"/>
    <w:rsid w:val="00E32E40"/>
    <w:rsid w:val="00E70CAE"/>
    <w:rsid w:val="00E93023"/>
    <w:rsid w:val="00EA149E"/>
    <w:rsid w:val="00EB2C2E"/>
    <w:rsid w:val="00ED63AB"/>
    <w:rsid w:val="00EF7604"/>
    <w:rsid w:val="00F0109B"/>
    <w:rsid w:val="00F01674"/>
    <w:rsid w:val="00F06A80"/>
    <w:rsid w:val="00F255C1"/>
    <w:rsid w:val="00F3436D"/>
    <w:rsid w:val="00F343AE"/>
    <w:rsid w:val="00F37217"/>
    <w:rsid w:val="00F42E3D"/>
    <w:rsid w:val="00F47934"/>
    <w:rsid w:val="00F55CB9"/>
    <w:rsid w:val="00F70672"/>
    <w:rsid w:val="00F71366"/>
    <w:rsid w:val="00F72F83"/>
    <w:rsid w:val="00F77F37"/>
    <w:rsid w:val="00F8457D"/>
    <w:rsid w:val="00F84F2A"/>
    <w:rsid w:val="00F871CC"/>
    <w:rsid w:val="00FB5282"/>
    <w:rsid w:val="00FC3A2C"/>
    <w:rsid w:val="00FC3E46"/>
    <w:rsid w:val="00FD4952"/>
    <w:rsid w:val="00FE2F80"/>
    <w:rsid w:val="00FE66E8"/>
    <w:rsid w:val="00FF06E7"/>
    <w:rsid w:val="00FF0CD7"/>
    <w:rsid w:val="00FF0E0C"/>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8EAF"/>
  <w14:defaultImageDpi w14:val="32767"/>
  <w15:chartTrackingRefBased/>
  <w15:docId w15:val="{2D8DE6B7-D742-374B-80B0-38ECCB7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F4"/>
    <w:pPr>
      <w:spacing w:after="5" w:line="264" w:lineRule="auto"/>
      <w:ind w:left="34"/>
      <w:jc w:val="both"/>
    </w:pPr>
    <w:rPr>
      <w:rFonts w:ascii="Calibri" w:eastAsia="Calibri" w:hAnsi="Calibri" w:cs="Calibri"/>
      <w:color w:val="000000"/>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F4"/>
    <w:pPr>
      <w:ind w:left="720"/>
      <w:contextualSpacing/>
    </w:pPr>
  </w:style>
  <w:style w:type="paragraph" w:styleId="FootnoteText">
    <w:name w:val="footnote text"/>
    <w:basedOn w:val="Normal"/>
    <w:link w:val="FootnoteTextChar"/>
    <w:uiPriority w:val="99"/>
    <w:semiHidden/>
    <w:unhideWhenUsed/>
    <w:rsid w:val="002F5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930"/>
    <w:rPr>
      <w:rFonts w:ascii="Calibri" w:eastAsia="Calibri" w:hAnsi="Calibri" w:cs="Calibri"/>
      <w:color w:val="000000"/>
      <w:sz w:val="20"/>
      <w:szCs w:val="20"/>
      <w:lang w:val="en-ZA" w:eastAsia="en-ZA"/>
    </w:rPr>
  </w:style>
  <w:style w:type="character" w:styleId="FootnoteReference">
    <w:name w:val="footnote reference"/>
    <w:basedOn w:val="DefaultParagraphFont"/>
    <w:uiPriority w:val="99"/>
    <w:semiHidden/>
    <w:unhideWhenUsed/>
    <w:rsid w:val="002F5930"/>
    <w:rPr>
      <w:vertAlign w:val="superscript"/>
    </w:rPr>
  </w:style>
  <w:style w:type="paragraph" w:styleId="Footer">
    <w:name w:val="footer"/>
    <w:basedOn w:val="Normal"/>
    <w:link w:val="FooterChar"/>
    <w:uiPriority w:val="99"/>
    <w:unhideWhenUsed/>
    <w:rsid w:val="00A0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41"/>
    <w:rPr>
      <w:rFonts w:ascii="Calibri" w:eastAsia="Calibri" w:hAnsi="Calibri" w:cs="Calibri"/>
      <w:color w:val="000000"/>
      <w:szCs w:val="22"/>
      <w:lang w:val="en-ZA" w:eastAsia="en-ZA"/>
    </w:rPr>
  </w:style>
  <w:style w:type="character" w:styleId="PageNumber">
    <w:name w:val="page number"/>
    <w:basedOn w:val="DefaultParagraphFont"/>
    <w:uiPriority w:val="99"/>
    <w:semiHidden/>
    <w:unhideWhenUsed/>
    <w:rsid w:val="00A0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F0840B-150E-4284-96F2-1D6E7B14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Tshwarelo Mabina</cp:lastModifiedBy>
  <cp:revision>2</cp:revision>
  <dcterms:created xsi:type="dcterms:W3CDTF">2023-10-30T13:31:00Z</dcterms:created>
  <dcterms:modified xsi:type="dcterms:W3CDTF">2023-10-30T13:31:00Z</dcterms:modified>
</cp:coreProperties>
</file>