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07E8" w14:textId="77777777" w:rsidR="0048436A" w:rsidRDefault="0048436A" w:rsidP="0048436A">
      <w:pPr>
        <w:pStyle w:val="Title"/>
        <w:spacing w:after="120" w:line="360" w:lineRule="auto"/>
      </w:pPr>
      <w:bookmarkStart w:id="0" w:name="_GoBack"/>
      <w:bookmarkEnd w:id="0"/>
      <w:r>
        <w:rPr>
          <w:noProof/>
          <w:lang w:eastAsia="en-ZA"/>
        </w:rPr>
        <w:drawing>
          <wp:inline distT="0" distB="0" distL="0" distR="0" wp14:anchorId="510A0864" wp14:editId="510A0865">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10A07E9" w14:textId="77777777" w:rsidR="0048436A" w:rsidRPr="002B0678" w:rsidRDefault="0048436A" w:rsidP="00A6437F">
      <w:pPr>
        <w:jc w:val="center"/>
        <w:rPr>
          <w:rFonts w:cs="Arial"/>
          <w:b/>
          <w:sz w:val="24"/>
        </w:rPr>
      </w:pPr>
      <w:r w:rsidRPr="002B0678">
        <w:rPr>
          <w:rFonts w:cs="Arial"/>
          <w:b/>
          <w:sz w:val="24"/>
        </w:rPr>
        <w:t xml:space="preserve">IN </w:t>
      </w:r>
      <w:r w:rsidR="000B74FB" w:rsidRPr="002B0678">
        <w:rPr>
          <w:rFonts w:cs="Arial"/>
          <w:b/>
          <w:sz w:val="24"/>
        </w:rPr>
        <w:t>THE HIGH COURT OF SOUTH AFRICA</w:t>
      </w:r>
    </w:p>
    <w:p w14:paraId="510A07EA" w14:textId="77777777" w:rsidR="0048436A" w:rsidRPr="002B0678" w:rsidRDefault="0048436A" w:rsidP="0048436A">
      <w:pPr>
        <w:spacing w:line="240" w:lineRule="auto"/>
        <w:jc w:val="center"/>
        <w:rPr>
          <w:rFonts w:cs="Arial"/>
          <w:b/>
          <w:sz w:val="24"/>
        </w:rPr>
      </w:pPr>
      <w:r w:rsidRPr="002B0678">
        <w:rPr>
          <w:rFonts w:cs="Arial"/>
          <w:b/>
          <w:sz w:val="24"/>
        </w:rPr>
        <w:t>GAUTENG DIVISION, JOHANNESBURG</w:t>
      </w:r>
    </w:p>
    <w:p w14:paraId="510A07EB" w14:textId="77777777" w:rsidR="0048436A" w:rsidRPr="002B0678" w:rsidRDefault="0048436A" w:rsidP="0048436A">
      <w:pPr>
        <w:spacing w:line="240" w:lineRule="auto"/>
        <w:rPr>
          <w:rFonts w:cs="Arial"/>
          <w:b/>
          <w:sz w:val="24"/>
        </w:rPr>
      </w:pPr>
    </w:p>
    <w:p w14:paraId="622659BF" w14:textId="30F031EB" w:rsidR="00EC25FA" w:rsidRPr="002B0678" w:rsidRDefault="00D111BF" w:rsidP="00EC25FA">
      <w:pPr>
        <w:spacing w:line="240" w:lineRule="auto"/>
        <w:jc w:val="right"/>
        <w:rPr>
          <w:rFonts w:cs="Arial"/>
          <w:b/>
          <w:sz w:val="24"/>
        </w:rPr>
      </w:pPr>
      <w:r w:rsidRPr="002B0678">
        <w:rPr>
          <w:rFonts w:cs="Arial"/>
          <w:noProof/>
          <w:sz w:val="24"/>
          <w:lang w:eastAsia="en-ZA"/>
        </w:rPr>
        <mc:AlternateContent>
          <mc:Choice Requires="wps">
            <w:drawing>
              <wp:anchor distT="0" distB="0" distL="114300" distR="114300" simplePos="0" relativeHeight="251659264" behindDoc="0" locked="0" layoutInCell="1" allowOverlap="1" wp14:anchorId="510A0866" wp14:editId="65930232">
                <wp:simplePos x="0" y="0"/>
                <wp:positionH relativeFrom="column">
                  <wp:posOffset>40005</wp:posOffset>
                </wp:positionH>
                <wp:positionV relativeFrom="paragraph">
                  <wp:posOffset>32385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10A086E" w14:textId="77777777" w:rsidR="0048436A" w:rsidRPr="00E3247C" w:rsidRDefault="0048436A" w:rsidP="0048436A">
                            <w:pPr>
                              <w:jc w:val="center"/>
                              <w:rPr>
                                <w:rFonts w:cs="Arial"/>
                                <w:b/>
                                <w:sz w:val="18"/>
                                <w:szCs w:val="18"/>
                              </w:rPr>
                            </w:pPr>
                          </w:p>
                          <w:p w14:paraId="510A086F" w14:textId="7184A522" w:rsidR="0048436A" w:rsidRPr="00E3247C" w:rsidRDefault="00753FBC" w:rsidP="00753FBC">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41BC57E4" w:rsidR="0048436A" w:rsidRPr="00E3247C" w:rsidRDefault="00753FBC" w:rsidP="00753FBC">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832BD7" w:rsidRPr="00E3247C">
                              <w:rPr>
                                <w:rFonts w:cs="Arial"/>
                                <w:b/>
                                <w:sz w:val="18"/>
                                <w:szCs w:val="18"/>
                              </w:rPr>
                              <w:t>NO</w:t>
                            </w:r>
                          </w:p>
                          <w:p w14:paraId="510A0871" w14:textId="06032558" w:rsidR="0048436A" w:rsidRPr="00E3247C" w:rsidRDefault="00753FBC" w:rsidP="00753FBC">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77777777" w:rsidR="0048436A" w:rsidRPr="00E3247C" w:rsidRDefault="0048436A" w:rsidP="0048436A">
                            <w:pPr>
                              <w:rPr>
                                <w:rFonts w:cs="Arial"/>
                                <w:b/>
                                <w:sz w:val="18"/>
                                <w:szCs w:val="18"/>
                              </w:rPr>
                            </w:pPr>
                            <w:r w:rsidRPr="00E3247C">
                              <w:rPr>
                                <w:rFonts w:cs="Arial"/>
                                <w:b/>
                                <w:sz w:val="18"/>
                                <w:szCs w:val="18"/>
                              </w:rPr>
                              <w:t xml:space="preserve">         ……………………</w:t>
                            </w:r>
                            <w:r w:rsidR="00A35FB8" w:rsidRPr="00E3247C">
                              <w:rPr>
                                <w:rFonts w:cs="Arial"/>
                                <w:b/>
                                <w:sz w:val="18"/>
                                <w:szCs w:val="18"/>
                              </w:rPr>
                              <w:t>….</w:t>
                            </w:r>
                            <w:r w:rsidRPr="00E3247C">
                              <w:rPr>
                                <w:rFonts w:cs="Arial"/>
                                <w:b/>
                                <w:sz w:val="18"/>
                                <w:szCs w:val="18"/>
                              </w:rPr>
                              <w:tab/>
                            </w:r>
                            <w:r w:rsidRPr="00E3247C">
                              <w:rPr>
                                <w:rFonts w:cs="Arial"/>
                                <w:b/>
                                <w:sz w:val="18"/>
                                <w:szCs w:val="18"/>
                              </w:rPr>
                              <w:tab/>
                              <w:t>………………………...</w:t>
                            </w:r>
                            <w:r w:rsidR="00A35FB8" w:rsidRPr="00E3247C">
                              <w:rPr>
                                <w:rFonts w:cs="Arial"/>
                                <w:b/>
                                <w:sz w:val="18"/>
                                <w:szCs w:val="18"/>
                              </w:rPr>
                              <w:t xml:space="preserve"> </w:t>
                            </w:r>
                          </w:p>
                          <w:p w14:paraId="510A0874" w14:textId="77777777" w:rsidR="0048436A" w:rsidRPr="00E3247C" w:rsidRDefault="0048436A" w:rsidP="0048436A">
                            <w:pPr>
                              <w:rPr>
                                <w:rFonts w:cs="Arial"/>
                                <w:sz w:val="18"/>
                                <w:szCs w:val="18"/>
                              </w:rPr>
                            </w:pPr>
                            <w:r w:rsidRPr="00E3247C">
                              <w:rPr>
                                <w:rFonts w:cs="Arial"/>
                                <w:sz w:val="18"/>
                                <w:szCs w:val="18"/>
                              </w:rPr>
                              <w:t xml:space="preserve">                   DATE</w:t>
                            </w:r>
                            <w:r w:rsidRPr="00E3247C">
                              <w:rPr>
                                <w:rFonts w:cs="Arial"/>
                                <w:sz w:val="18"/>
                                <w:szCs w:val="18"/>
                              </w:rPr>
                              <w:tab/>
                            </w:r>
                            <w:r w:rsidRPr="00E3247C">
                              <w:rPr>
                                <w:rFonts w:cs="Arial"/>
                                <w:sz w:val="18"/>
                                <w:szCs w:val="18"/>
                              </w:rPr>
                              <w:tab/>
                            </w:r>
                            <w:r w:rsidRPr="00E3247C">
                              <w:rPr>
                                <w:rFonts w:cs="Arial"/>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0866" id="_x0000_t202" coordsize="21600,21600" o:spt="202" path="m,l,21600r21600,l21600,xe">
                <v:stroke joinstyle="miter"/>
                <v:path gradientshapeok="t" o:connecttype="rect"/>
              </v:shapetype>
              <v:shape id="Text Box 2" o:spid="_x0000_s1026" type="#_x0000_t202" style="position:absolute;left:0;text-align:left;margin-left:3.15pt;margin-top:2.55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">
                <v:textbox>
                  <w:txbxContent>
                    <w:p w14:paraId="510A086E" w14:textId="77777777" w:rsidR="0048436A" w:rsidRPr="00E3247C" w:rsidRDefault="0048436A" w:rsidP="0048436A">
                      <w:pPr>
                        <w:jc w:val="center"/>
                        <w:rPr>
                          <w:rFonts w:cs="Arial"/>
                          <w:b/>
                          <w:sz w:val="18"/>
                          <w:szCs w:val="18"/>
                        </w:rPr>
                      </w:pPr>
                    </w:p>
                    <w:p w14:paraId="510A086F" w14:textId="7184A522" w:rsidR="0048436A" w:rsidRPr="00E3247C" w:rsidRDefault="00753FBC" w:rsidP="00753FBC">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41BC57E4" w:rsidR="0048436A" w:rsidRPr="00E3247C" w:rsidRDefault="00753FBC" w:rsidP="00753FBC">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832BD7" w:rsidRPr="00E3247C">
                        <w:rPr>
                          <w:rFonts w:cs="Arial"/>
                          <w:b/>
                          <w:sz w:val="18"/>
                          <w:szCs w:val="18"/>
                        </w:rPr>
                        <w:t>NO</w:t>
                      </w:r>
                    </w:p>
                    <w:p w14:paraId="510A0871" w14:textId="06032558" w:rsidR="0048436A" w:rsidRPr="00E3247C" w:rsidRDefault="00753FBC" w:rsidP="00753FBC">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77777777" w:rsidR="0048436A" w:rsidRPr="00E3247C" w:rsidRDefault="0048436A" w:rsidP="0048436A">
                      <w:pPr>
                        <w:rPr>
                          <w:rFonts w:cs="Arial"/>
                          <w:b/>
                          <w:sz w:val="18"/>
                          <w:szCs w:val="18"/>
                        </w:rPr>
                      </w:pPr>
                      <w:r w:rsidRPr="00E3247C">
                        <w:rPr>
                          <w:rFonts w:cs="Arial"/>
                          <w:b/>
                          <w:sz w:val="18"/>
                          <w:szCs w:val="18"/>
                        </w:rPr>
                        <w:t xml:space="preserve">         ……………………</w:t>
                      </w:r>
                      <w:r w:rsidR="00A35FB8" w:rsidRPr="00E3247C">
                        <w:rPr>
                          <w:rFonts w:cs="Arial"/>
                          <w:b/>
                          <w:sz w:val="18"/>
                          <w:szCs w:val="18"/>
                        </w:rPr>
                        <w:t>….</w:t>
                      </w:r>
                      <w:r w:rsidRPr="00E3247C">
                        <w:rPr>
                          <w:rFonts w:cs="Arial"/>
                          <w:b/>
                          <w:sz w:val="18"/>
                          <w:szCs w:val="18"/>
                        </w:rPr>
                        <w:tab/>
                      </w:r>
                      <w:r w:rsidRPr="00E3247C">
                        <w:rPr>
                          <w:rFonts w:cs="Arial"/>
                          <w:b/>
                          <w:sz w:val="18"/>
                          <w:szCs w:val="18"/>
                        </w:rPr>
                        <w:tab/>
                        <w:t>………………………...</w:t>
                      </w:r>
                      <w:r w:rsidR="00A35FB8" w:rsidRPr="00E3247C">
                        <w:rPr>
                          <w:rFonts w:cs="Arial"/>
                          <w:b/>
                          <w:sz w:val="18"/>
                          <w:szCs w:val="18"/>
                        </w:rPr>
                        <w:t xml:space="preserve"> </w:t>
                      </w:r>
                    </w:p>
                    <w:p w14:paraId="510A0874" w14:textId="77777777" w:rsidR="0048436A" w:rsidRPr="00E3247C" w:rsidRDefault="0048436A" w:rsidP="0048436A">
                      <w:pPr>
                        <w:rPr>
                          <w:rFonts w:cs="Arial"/>
                          <w:sz w:val="18"/>
                          <w:szCs w:val="18"/>
                        </w:rPr>
                      </w:pPr>
                      <w:r w:rsidRPr="00E3247C">
                        <w:rPr>
                          <w:rFonts w:cs="Arial"/>
                          <w:sz w:val="18"/>
                          <w:szCs w:val="18"/>
                        </w:rPr>
                        <w:t xml:space="preserve">                   DATE</w:t>
                      </w:r>
                      <w:r w:rsidRPr="00E3247C">
                        <w:rPr>
                          <w:rFonts w:cs="Arial"/>
                          <w:sz w:val="18"/>
                          <w:szCs w:val="18"/>
                        </w:rPr>
                        <w:tab/>
                      </w:r>
                      <w:r w:rsidRPr="00E3247C">
                        <w:rPr>
                          <w:rFonts w:cs="Arial"/>
                          <w:sz w:val="18"/>
                          <w:szCs w:val="18"/>
                        </w:rPr>
                        <w:tab/>
                      </w:r>
                      <w:r w:rsidRPr="00E3247C">
                        <w:rPr>
                          <w:rFonts w:cs="Arial"/>
                          <w:sz w:val="18"/>
                          <w:szCs w:val="18"/>
                        </w:rPr>
                        <w:tab/>
                        <w:t xml:space="preserve">        SIGNATURE</w:t>
                      </w:r>
                    </w:p>
                  </w:txbxContent>
                </v:textbox>
              </v:shape>
            </w:pict>
          </mc:Fallback>
        </mc:AlternateContent>
      </w:r>
      <w:r w:rsidR="00EC25FA" w:rsidRPr="002B0678">
        <w:rPr>
          <w:rFonts w:cs="Arial"/>
          <w:b/>
          <w:sz w:val="24"/>
        </w:rPr>
        <w:t>C</w:t>
      </w:r>
      <w:r w:rsidR="008C04EC">
        <w:rPr>
          <w:rFonts w:cs="Arial"/>
          <w:b/>
          <w:sz w:val="24"/>
        </w:rPr>
        <w:t>ase</w:t>
      </w:r>
      <w:r w:rsidR="00EC25FA" w:rsidRPr="002B0678">
        <w:rPr>
          <w:rFonts w:cs="Arial"/>
          <w:b/>
          <w:sz w:val="24"/>
        </w:rPr>
        <w:t xml:space="preserve"> N</w:t>
      </w:r>
      <w:r w:rsidR="008C04EC">
        <w:rPr>
          <w:rFonts w:cs="Arial"/>
          <w:b/>
          <w:sz w:val="24"/>
        </w:rPr>
        <w:t>o</w:t>
      </w:r>
      <w:r w:rsidR="00EC25FA" w:rsidRPr="002B0678">
        <w:rPr>
          <w:rFonts w:cs="Arial"/>
          <w:b/>
          <w:sz w:val="24"/>
        </w:rPr>
        <w:t xml:space="preserve">: </w:t>
      </w:r>
      <w:r w:rsidR="000950A3">
        <w:rPr>
          <w:rFonts w:cs="Arial"/>
          <w:b/>
          <w:sz w:val="24"/>
        </w:rPr>
        <w:t>00</w:t>
      </w:r>
      <w:r w:rsidR="007C2DB2">
        <w:rPr>
          <w:rFonts w:cs="Arial"/>
          <w:b/>
          <w:sz w:val="24"/>
        </w:rPr>
        <w:t>5540</w:t>
      </w:r>
      <w:r w:rsidR="00EC25FA" w:rsidRPr="002B0678">
        <w:rPr>
          <w:rFonts w:cs="Arial"/>
          <w:b/>
          <w:sz w:val="24"/>
        </w:rPr>
        <w:t>/20</w:t>
      </w:r>
      <w:r w:rsidR="00860964">
        <w:rPr>
          <w:rFonts w:cs="Arial"/>
          <w:b/>
          <w:sz w:val="24"/>
        </w:rPr>
        <w:t>2</w:t>
      </w:r>
      <w:r w:rsidR="007C2DB2">
        <w:rPr>
          <w:rFonts w:cs="Arial"/>
          <w:b/>
          <w:sz w:val="24"/>
        </w:rPr>
        <w:t>2</w:t>
      </w:r>
    </w:p>
    <w:p w14:paraId="510A07EC" w14:textId="1F7ACF36" w:rsidR="0048436A" w:rsidRPr="002B0678" w:rsidRDefault="0048436A" w:rsidP="0048436A">
      <w:pPr>
        <w:spacing w:line="240" w:lineRule="auto"/>
        <w:rPr>
          <w:rFonts w:cs="Arial"/>
          <w:b/>
          <w:sz w:val="24"/>
        </w:rPr>
      </w:pPr>
    </w:p>
    <w:p w14:paraId="36C9C4E3" w14:textId="7AF884A0" w:rsidR="0046184A" w:rsidRPr="002B0678" w:rsidRDefault="0046184A" w:rsidP="0048436A">
      <w:pPr>
        <w:spacing w:line="240" w:lineRule="auto"/>
        <w:rPr>
          <w:rFonts w:cs="Arial"/>
          <w:b/>
          <w:sz w:val="24"/>
        </w:rPr>
      </w:pPr>
    </w:p>
    <w:p w14:paraId="510A07ED" w14:textId="7AD3F879" w:rsidR="0048436A" w:rsidRPr="002B0678" w:rsidRDefault="0048436A" w:rsidP="0048436A">
      <w:pPr>
        <w:jc w:val="right"/>
        <w:rPr>
          <w:rFonts w:cs="Arial"/>
          <w:b/>
          <w:sz w:val="24"/>
        </w:rPr>
      </w:pPr>
    </w:p>
    <w:p w14:paraId="510A07EE" w14:textId="77777777" w:rsidR="0048436A" w:rsidRPr="002B0678" w:rsidRDefault="0048436A" w:rsidP="0048436A">
      <w:pPr>
        <w:rPr>
          <w:rFonts w:cs="Arial"/>
          <w:sz w:val="24"/>
        </w:rPr>
      </w:pPr>
    </w:p>
    <w:p w14:paraId="510A07EF" w14:textId="77777777" w:rsidR="0048436A" w:rsidRPr="002B0678" w:rsidRDefault="0048436A" w:rsidP="0048436A">
      <w:pPr>
        <w:rPr>
          <w:rFonts w:cs="Arial"/>
          <w:sz w:val="24"/>
        </w:rPr>
      </w:pPr>
    </w:p>
    <w:p w14:paraId="510A07F0" w14:textId="77777777" w:rsidR="0048436A" w:rsidRPr="002B0678" w:rsidRDefault="0048436A" w:rsidP="0048436A">
      <w:pPr>
        <w:rPr>
          <w:rFonts w:cs="Arial"/>
          <w:sz w:val="24"/>
        </w:rPr>
      </w:pPr>
    </w:p>
    <w:p w14:paraId="7937F2A4" w14:textId="77777777" w:rsidR="00BB04F4" w:rsidRPr="002B0678" w:rsidRDefault="00BB04F4" w:rsidP="00BB04F4">
      <w:pPr>
        <w:spacing w:line="240" w:lineRule="auto"/>
        <w:rPr>
          <w:rFonts w:cs="Arial"/>
          <w:sz w:val="24"/>
        </w:rPr>
      </w:pPr>
    </w:p>
    <w:p w14:paraId="726472FD" w14:textId="0871707B" w:rsidR="00BB04F4" w:rsidRPr="00715134" w:rsidRDefault="00BB04F4" w:rsidP="00BB04F4">
      <w:pPr>
        <w:spacing w:after="120" w:line="240" w:lineRule="auto"/>
        <w:rPr>
          <w:rFonts w:cs="Arial"/>
          <w:sz w:val="24"/>
        </w:rPr>
      </w:pPr>
      <w:r w:rsidRPr="00715134">
        <w:rPr>
          <w:rFonts w:cs="Arial"/>
          <w:sz w:val="24"/>
        </w:rPr>
        <w:t xml:space="preserve">In the </w:t>
      </w:r>
      <w:r w:rsidR="009344C1">
        <w:rPr>
          <w:rFonts w:cs="Arial"/>
          <w:sz w:val="24"/>
        </w:rPr>
        <w:t>application for leave to appeal</w:t>
      </w:r>
      <w:r w:rsidRPr="00715134">
        <w:rPr>
          <w:rFonts w:cs="Arial"/>
          <w:sz w:val="24"/>
        </w:rPr>
        <w:t xml:space="preserve"> between</w:t>
      </w:r>
    </w:p>
    <w:p w14:paraId="129C4607" w14:textId="77777777" w:rsidR="00BB04F4" w:rsidRPr="00715134" w:rsidRDefault="00BB04F4" w:rsidP="00BB04F4">
      <w:pPr>
        <w:spacing w:line="240" w:lineRule="auto"/>
        <w:rPr>
          <w:rFonts w:cs="Arial"/>
          <w:sz w:val="24"/>
        </w:rPr>
      </w:pPr>
    </w:p>
    <w:tbl>
      <w:tblPr>
        <w:tblW w:w="0" w:type="auto"/>
        <w:tblLook w:val="04A0" w:firstRow="1" w:lastRow="0" w:firstColumn="1" w:lastColumn="0" w:noHBand="0" w:noVBand="1"/>
      </w:tblPr>
      <w:tblGrid>
        <w:gridCol w:w="6237"/>
        <w:gridCol w:w="3119"/>
      </w:tblGrid>
      <w:tr w:rsidR="009344C1" w:rsidRPr="00715134" w14:paraId="271ACC35" w14:textId="77777777" w:rsidTr="00126421">
        <w:tc>
          <w:tcPr>
            <w:tcW w:w="6237" w:type="dxa"/>
            <w:hideMark/>
          </w:tcPr>
          <w:p w14:paraId="10374699" w14:textId="63BE0B16" w:rsidR="009344C1" w:rsidRPr="00AE6840" w:rsidRDefault="009344C1" w:rsidP="009344C1">
            <w:pPr>
              <w:spacing w:line="240" w:lineRule="auto"/>
              <w:jc w:val="left"/>
              <w:rPr>
                <w:rFonts w:cs="Arial"/>
                <w:b/>
                <w:bCs/>
                <w:sz w:val="24"/>
                <w:lang w:eastAsia="en-ZA"/>
              </w:rPr>
            </w:pPr>
            <w:r w:rsidRPr="00AE6840">
              <w:rPr>
                <w:b/>
                <w:bCs/>
                <w:sz w:val="24"/>
                <w:lang w:eastAsia="en-ZA"/>
              </w:rPr>
              <w:t xml:space="preserve">SELBY PANEL &amp; PAINT PROPRIETARY LIMITED </w:t>
            </w:r>
          </w:p>
        </w:tc>
        <w:tc>
          <w:tcPr>
            <w:tcW w:w="3119" w:type="dxa"/>
            <w:hideMark/>
          </w:tcPr>
          <w:p w14:paraId="339C1D12" w14:textId="77777777" w:rsidR="009344C1" w:rsidRPr="00715134" w:rsidRDefault="009344C1" w:rsidP="009344C1">
            <w:pPr>
              <w:spacing w:line="240" w:lineRule="auto"/>
              <w:jc w:val="right"/>
              <w:rPr>
                <w:rFonts w:cs="Arial"/>
                <w:sz w:val="24"/>
                <w:lang w:eastAsia="en-ZA"/>
              </w:rPr>
            </w:pPr>
            <w:r w:rsidRPr="00715134">
              <w:rPr>
                <w:rFonts w:cs="Arial"/>
                <w:sz w:val="24"/>
                <w:lang w:eastAsia="en-ZA"/>
              </w:rPr>
              <w:t>Applicant</w:t>
            </w:r>
          </w:p>
          <w:p w14:paraId="07140BF1" w14:textId="77777777" w:rsidR="009344C1" w:rsidRPr="00715134" w:rsidRDefault="009344C1" w:rsidP="009344C1">
            <w:pPr>
              <w:spacing w:line="240" w:lineRule="auto"/>
              <w:jc w:val="right"/>
              <w:rPr>
                <w:rFonts w:cs="Arial"/>
                <w:sz w:val="24"/>
                <w:lang w:eastAsia="en-ZA"/>
              </w:rPr>
            </w:pPr>
          </w:p>
        </w:tc>
      </w:tr>
      <w:tr w:rsidR="00BB04F4" w:rsidRPr="00715134" w14:paraId="2DC9C966" w14:textId="77777777" w:rsidTr="00126421">
        <w:tc>
          <w:tcPr>
            <w:tcW w:w="6237" w:type="dxa"/>
          </w:tcPr>
          <w:p w14:paraId="4A18D4CF" w14:textId="77777777" w:rsidR="00BB04F4" w:rsidRPr="00715134" w:rsidRDefault="00BB04F4" w:rsidP="00126421">
            <w:pPr>
              <w:spacing w:line="240" w:lineRule="auto"/>
              <w:jc w:val="left"/>
              <w:rPr>
                <w:rFonts w:cs="Arial"/>
                <w:sz w:val="24"/>
                <w:lang w:eastAsia="en-ZA"/>
              </w:rPr>
            </w:pPr>
          </w:p>
        </w:tc>
        <w:tc>
          <w:tcPr>
            <w:tcW w:w="3119" w:type="dxa"/>
          </w:tcPr>
          <w:p w14:paraId="35A8F4F2" w14:textId="77777777" w:rsidR="00BB04F4" w:rsidRPr="00715134" w:rsidRDefault="00BB04F4" w:rsidP="00126421">
            <w:pPr>
              <w:spacing w:line="240" w:lineRule="auto"/>
              <w:jc w:val="right"/>
              <w:rPr>
                <w:rFonts w:cs="Arial"/>
                <w:sz w:val="24"/>
                <w:lang w:eastAsia="en-ZA"/>
              </w:rPr>
            </w:pPr>
          </w:p>
        </w:tc>
      </w:tr>
      <w:tr w:rsidR="00BB04F4" w:rsidRPr="00715134" w14:paraId="03B5F3E8" w14:textId="77777777" w:rsidTr="00126421">
        <w:tc>
          <w:tcPr>
            <w:tcW w:w="6237" w:type="dxa"/>
            <w:hideMark/>
          </w:tcPr>
          <w:p w14:paraId="31400D98" w14:textId="77777777" w:rsidR="00BB04F4" w:rsidRPr="00715134" w:rsidRDefault="00BB04F4" w:rsidP="00126421">
            <w:pPr>
              <w:pStyle w:val="Heading1"/>
              <w:spacing w:line="240" w:lineRule="auto"/>
              <w:jc w:val="left"/>
              <w:rPr>
                <w:b w:val="0"/>
                <w:bCs w:val="0"/>
                <w:sz w:val="24"/>
                <w:lang w:eastAsia="en-ZA"/>
              </w:rPr>
            </w:pPr>
            <w:r w:rsidRPr="00715134">
              <w:rPr>
                <w:b w:val="0"/>
                <w:bCs w:val="0"/>
                <w:sz w:val="24"/>
                <w:lang w:eastAsia="en-ZA"/>
              </w:rPr>
              <w:t>And</w:t>
            </w:r>
          </w:p>
          <w:p w14:paraId="01565B43" w14:textId="77777777" w:rsidR="00BB04F4" w:rsidRPr="00715134" w:rsidRDefault="00BB04F4" w:rsidP="00126421">
            <w:pPr>
              <w:spacing w:line="240" w:lineRule="auto"/>
              <w:rPr>
                <w:rFonts w:cs="Arial"/>
                <w:sz w:val="24"/>
                <w:lang w:eastAsia="en-ZA"/>
              </w:rPr>
            </w:pPr>
          </w:p>
        </w:tc>
        <w:tc>
          <w:tcPr>
            <w:tcW w:w="3119" w:type="dxa"/>
          </w:tcPr>
          <w:p w14:paraId="68F7C10D" w14:textId="77777777" w:rsidR="00BB04F4" w:rsidRPr="00715134" w:rsidRDefault="00BB04F4" w:rsidP="00126421">
            <w:pPr>
              <w:spacing w:line="240" w:lineRule="auto"/>
              <w:jc w:val="right"/>
              <w:rPr>
                <w:rFonts w:cs="Arial"/>
                <w:sz w:val="24"/>
                <w:lang w:eastAsia="en-ZA"/>
              </w:rPr>
            </w:pPr>
          </w:p>
        </w:tc>
      </w:tr>
      <w:tr w:rsidR="00BB04F4" w:rsidRPr="00715134" w14:paraId="781BD0AA" w14:textId="77777777" w:rsidTr="00126421">
        <w:tc>
          <w:tcPr>
            <w:tcW w:w="6237" w:type="dxa"/>
          </w:tcPr>
          <w:p w14:paraId="765AC499" w14:textId="77777777" w:rsidR="00BB04F4" w:rsidRPr="00715134" w:rsidRDefault="00BB04F4" w:rsidP="00126421">
            <w:pPr>
              <w:spacing w:line="240" w:lineRule="auto"/>
              <w:jc w:val="left"/>
              <w:rPr>
                <w:rFonts w:cs="Arial"/>
                <w:sz w:val="24"/>
                <w:lang w:eastAsia="en-ZA"/>
              </w:rPr>
            </w:pPr>
          </w:p>
        </w:tc>
        <w:tc>
          <w:tcPr>
            <w:tcW w:w="3119" w:type="dxa"/>
          </w:tcPr>
          <w:p w14:paraId="13352010" w14:textId="77777777" w:rsidR="00BB04F4" w:rsidRPr="00715134" w:rsidRDefault="00BB04F4" w:rsidP="00126421">
            <w:pPr>
              <w:spacing w:line="240" w:lineRule="auto"/>
              <w:jc w:val="right"/>
              <w:rPr>
                <w:rFonts w:cs="Arial"/>
                <w:sz w:val="24"/>
                <w:lang w:eastAsia="en-ZA"/>
              </w:rPr>
            </w:pPr>
          </w:p>
        </w:tc>
      </w:tr>
      <w:tr w:rsidR="00BB04F4" w:rsidRPr="00715134" w14:paraId="0C7F290E" w14:textId="77777777" w:rsidTr="00126421">
        <w:tc>
          <w:tcPr>
            <w:tcW w:w="6237" w:type="dxa"/>
            <w:hideMark/>
          </w:tcPr>
          <w:p w14:paraId="5E20F534" w14:textId="5176AA69" w:rsidR="00BB04F4" w:rsidRPr="00715134" w:rsidRDefault="009344C1" w:rsidP="00126421">
            <w:pPr>
              <w:pStyle w:val="Heading1"/>
              <w:spacing w:line="240" w:lineRule="auto"/>
              <w:jc w:val="left"/>
              <w:rPr>
                <w:sz w:val="24"/>
                <w:lang w:eastAsia="en-ZA"/>
              </w:rPr>
            </w:pPr>
            <w:r>
              <w:rPr>
                <w:bCs w:val="0"/>
                <w:sz w:val="24"/>
                <w:lang w:eastAsia="en-ZA"/>
              </w:rPr>
              <w:t>SANTAM</w:t>
            </w:r>
            <w:r w:rsidR="00BB04F4">
              <w:rPr>
                <w:bCs w:val="0"/>
                <w:sz w:val="24"/>
                <w:lang w:eastAsia="en-ZA"/>
              </w:rPr>
              <w:t xml:space="preserve"> LIMITED </w:t>
            </w:r>
          </w:p>
        </w:tc>
        <w:tc>
          <w:tcPr>
            <w:tcW w:w="3119" w:type="dxa"/>
            <w:hideMark/>
          </w:tcPr>
          <w:p w14:paraId="316BB803" w14:textId="77777777" w:rsidR="00BB04F4" w:rsidRPr="00715134" w:rsidRDefault="00BB04F4" w:rsidP="00126421">
            <w:pPr>
              <w:spacing w:line="240" w:lineRule="auto"/>
              <w:jc w:val="right"/>
              <w:rPr>
                <w:rFonts w:cs="Arial"/>
                <w:sz w:val="24"/>
                <w:lang w:eastAsia="en-ZA"/>
              </w:rPr>
            </w:pPr>
            <w:r w:rsidRPr="00715134">
              <w:rPr>
                <w:rFonts w:cs="Arial"/>
                <w:sz w:val="24"/>
                <w:lang w:eastAsia="en-ZA"/>
              </w:rPr>
              <w:t>Respondent</w:t>
            </w:r>
          </w:p>
        </w:tc>
      </w:tr>
    </w:tbl>
    <w:p w14:paraId="4D4B7C4C" w14:textId="77777777" w:rsidR="00BB04F4" w:rsidRPr="0060587A" w:rsidRDefault="00BB04F4" w:rsidP="00AE6840">
      <w:pPr>
        <w:spacing w:line="240" w:lineRule="auto"/>
        <w:rPr>
          <w:rFonts w:cs="Arial"/>
          <w:sz w:val="24"/>
        </w:rPr>
      </w:pPr>
    </w:p>
    <w:p w14:paraId="510A07F3" w14:textId="77777777" w:rsidR="00E12330" w:rsidRPr="002B0678" w:rsidRDefault="00E12330" w:rsidP="00E12330">
      <w:pPr>
        <w:spacing w:line="240" w:lineRule="auto"/>
        <w:rPr>
          <w:rFonts w:cs="Arial"/>
          <w:sz w:val="24"/>
        </w:rPr>
      </w:pPr>
    </w:p>
    <w:p w14:paraId="11C68F17" w14:textId="202C1C10" w:rsidR="00EE71E0" w:rsidRPr="00715134" w:rsidRDefault="00EE71E0" w:rsidP="00C164AE">
      <w:pPr>
        <w:spacing w:after="120" w:line="240" w:lineRule="auto"/>
        <w:rPr>
          <w:rFonts w:cs="Arial"/>
          <w:sz w:val="24"/>
        </w:rPr>
      </w:pPr>
      <w:r w:rsidRPr="00715134">
        <w:rPr>
          <w:rFonts w:cs="Arial"/>
          <w:sz w:val="24"/>
        </w:rPr>
        <w:t xml:space="preserve">In the </w:t>
      </w:r>
      <w:r w:rsidR="00563422">
        <w:rPr>
          <w:rFonts w:cs="Arial"/>
          <w:sz w:val="24"/>
        </w:rPr>
        <w:t>main application</w:t>
      </w:r>
      <w:r w:rsidR="00563422" w:rsidRPr="00715134">
        <w:rPr>
          <w:rFonts w:cs="Arial"/>
          <w:sz w:val="24"/>
        </w:rPr>
        <w:t xml:space="preserve"> </w:t>
      </w:r>
      <w:r w:rsidRPr="00715134">
        <w:rPr>
          <w:rFonts w:cs="Arial"/>
          <w:sz w:val="24"/>
        </w:rPr>
        <w:t>between</w:t>
      </w:r>
    </w:p>
    <w:p w14:paraId="096C2FFD" w14:textId="77777777" w:rsidR="00EE71E0" w:rsidRPr="00715134" w:rsidRDefault="00EE71E0" w:rsidP="00715134">
      <w:pPr>
        <w:spacing w:line="240" w:lineRule="auto"/>
        <w:rPr>
          <w:rFonts w:cs="Arial"/>
          <w:sz w:val="24"/>
        </w:rPr>
      </w:pPr>
    </w:p>
    <w:tbl>
      <w:tblPr>
        <w:tblW w:w="0" w:type="auto"/>
        <w:tblLook w:val="04A0" w:firstRow="1" w:lastRow="0" w:firstColumn="1" w:lastColumn="0" w:noHBand="0" w:noVBand="1"/>
      </w:tblPr>
      <w:tblGrid>
        <w:gridCol w:w="6237"/>
        <w:gridCol w:w="3119"/>
      </w:tblGrid>
      <w:tr w:rsidR="00EE71E0" w:rsidRPr="00715134" w14:paraId="4CD63C9D" w14:textId="77777777" w:rsidTr="00CA72B7">
        <w:tc>
          <w:tcPr>
            <w:tcW w:w="6237" w:type="dxa"/>
            <w:hideMark/>
          </w:tcPr>
          <w:p w14:paraId="1679AD18" w14:textId="5B43924E" w:rsidR="00EE71E0" w:rsidRPr="00715134" w:rsidRDefault="004A4FD7" w:rsidP="00715134">
            <w:pPr>
              <w:spacing w:line="240" w:lineRule="auto"/>
              <w:jc w:val="left"/>
              <w:rPr>
                <w:rFonts w:cs="Arial"/>
                <w:bCs/>
                <w:sz w:val="24"/>
                <w:lang w:eastAsia="en-ZA"/>
              </w:rPr>
            </w:pPr>
            <w:r>
              <w:rPr>
                <w:rFonts w:cs="Arial"/>
                <w:b/>
                <w:bCs/>
                <w:sz w:val="24"/>
                <w:lang w:eastAsia="en-ZA"/>
              </w:rPr>
              <w:t>SANTAM LIMITED</w:t>
            </w:r>
          </w:p>
        </w:tc>
        <w:tc>
          <w:tcPr>
            <w:tcW w:w="3119" w:type="dxa"/>
            <w:hideMark/>
          </w:tcPr>
          <w:p w14:paraId="54F21D53" w14:textId="2E022816" w:rsidR="00EE71E0" w:rsidRPr="00715134" w:rsidRDefault="00EE71E0" w:rsidP="00715134">
            <w:pPr>
              <w:spacing w:line="240" w:lineRule="auto"/>
              <w:jc w:val="right"/>
              <w:rPr>
                <w:rFonts w:cs="Arial"/>
                <w:sz w:val="24"/>
                <w:lang w:eastAsia="en-ZA"/>
              </w:rPr>
            </w:pPr>
            <w:r w:rsidRPr="00715134">
              <w:rPr>
                <w:rFonts w:cs="Arial"/>
                <w:sz w:val="24"/>
                <w:lang w:eastAsia="en-ZA"/>
              </w:rPr>
              <w:t>Applicant</w:t>
            </w:r>
          </w:p>
          <w:p w14:paraId="675BEE6A" w14:textId="77777777" w:rsidR="00EE71E0" w:rsidRPr="00715134" w:rsidRDefault="00EE71E0" w:rsidP="00715134">
            <w:pPr>
              <w:spacing w:line="240" w:lineRule="auto"/>
              <w:jc w:val="right"/>
              <w:rPr>
                <w:rFonts w:cs="Arial"/>
                <w:sz w:val="24"/>
                <w:lang w:eastAsia="en-ZA"/>
              </w:rPr>
            </w:pPr>
          </w:p>
        </w:tc>
      </w:tr>
      <w:tr w:rsidR="0058292C" w:rsidRPr="00715134" w14:paraId="4ECD2F43" w14:textId="77777777" w:rsidTr="00CA72B7">
        <w:tc>
          <w:tcPr>
            <w:tcW w:w="6237" w:type="dxa"/>
          </w:tcPr>
          <w:p w14:paraId="59EF502C" w14:textId="77777777" w:rsidR="0058292C" w:rsidRPr="00715134" w:rsidRDefault="0058292C" w:rsidP="0058292C">
            <w:pPr>
              <w:spacing w:line="240" w:lineRule="auto"/>
              <w:jc w:val="left"/>
              <w:rPr>
                <w:rFonts w:cs="Arial"/>
                <w:sz w:val="24"/>
                <w:lang w:eastAsia="en-ZA"/>
              </w:rPr>
            </w:pPr>
          </w:p>
        </w:tc>
        <w:tc>
          <w:tcPr>
            <w:tcW w:w="3119" w:type="dxa"/>
          </w:tcPr>
          <w:p w14:paraId="4CE380B3" w14:textId="77777777" w:rsidR="0058292C" w:rsidRPr="00715134" w:rsidRDefault="0058292C" w:rsidP="0058292C">
            <w:pPr>
              <w:spacing w:line="240" w:lineRule="auto"/>
              <w:jc w:val="right"/>
              <w:rPr>
                <w:rFonts w:cs="Arial"/>
                <w:sz w:val="24"/>
                <w:lang w:eastAsia="en-ZA"/>
              </w:rPr>
            </w:pPr>
          </w:p>
        </w:tc>
      </w:tr>
      <w:tr w:rsidR="0058292C" w:rsidRPr="00715134" w14:paraId="31BE2DC0" w14:textId="77777777" w:rsidTr="00CA72B7">
        <w:tc>
          <w:tcPr>
            <w:tcW w:w="6237" w:type="dxa"/>
            <w:hideMark/>
          </w:tcPr>
          <w:p w14:paraId="309B0E2F" w14:textId="77777777" w:rsidR="0058292C" w:rsidRPr="00715134" w:rsidRDefault="0058292C" w:rsidP="0058292C">
            <w:pPr>
              <w:pStyle w:val="Heading1"/>
              <w:spacing w:line="240" w:lineRule="auto"/>
              <w:jc w:val="left"/>
              <w:rPr>
                <w:b w:val="0"/>
                <w:bCs w:val="0"/>
                <w:sz w:val="24"/>
                <w:lang w:eastAsia="en-ZA"/>
              </w:rPr>
            </w:pPr>
            <w:r w:rsidRPr="00715134">
              <w:rPr>
                <w:b w:val="0"/>
                <w:bCs w:val="0"/>
                <w:sz w:val="24"/>
                <w:lang w:eastAsia="en-ZA"/>
              </w:rPr>
              <w:t>And</w:t>
            </w:r>
          </w:p>
          <w:p w14:paraId="477BE9AE" w14:textId="77777777" w:rsidR="0058292C" w:rsidRPr="00715134" w:rsidRDefault="0058292C" w:rsidP="0058292C">
            <w:pPr>
              <w:spacing w:line="240" w:lineRule="auto"/>
              <w:rPr>
                <w:rFonts w:cs="Arial"/>
                <w:sz w:val="24"/>
                <w:lang w:eastAsia="en-ZA"/>
              </w:rPr>
            </w:pPr>
          </w:p>
        </w:tc>
        <w:tc>
          <w:tcPr>
            <w:tcW w:w="3119" w:type="dxa"/>
          </w:tcPr>
          <w:p w14:paraId="77C0926C" w14:textId="77777777" w:rsidR="0058292C" w:rsidRPr="00715134" w:rsidRDefault="0058292C" w:rsidP="0058292C">
            <w:pPr>
              <w:spacing w:line="240" w:lineRule="auto"/>
              <w:jc w:val="right"/>
              <w:rPr>
                <w:rFonts w:cs="Arial"/>
                <w:sz w:val="24"/>
                <w:lang w:eastAsia="en-ZA"/>
              </w:rPr>
            </w:pPr>
          </w:p>
        </w:tc>
      </w:tr>
      <w:tr w:rsidR="0058292C" w:rsidRPr="00715134" w14:paraId="6ED9650B" w14:textId="77777777" w:rsidTr="00CA72B7">
        <w:tc>
          <w:tcPr>
            <w:tcW w:w="6237" w:type="dxa"/>
          </w:tcPr>
          <w:p w14:paraId="67EDE39B" w14:textId="77777777" w:rsidR="0058292C" w:rsidRPr="00715134" w:rsidRDefault="0058292C" w:rsidP="0058292C">
            <w:pPr>
              <w:spacing w:line="240" w:lineRule="auto"/>
              <w:jc w:val="left"/>
              <w:rPr>
                <w:rFonts w:cs="Arial"/>
                <w:sz w:val="24"/>
                <w:lang w:eastAsia="en-ZA"/>
              </w:rPr>
            </w:pPr>
          </w:p>
        </w:tc>
        <w:tc>
          <w:tcPr>
            <w:tcW w:w="3119" w:type="dxa"/>
          </w:tcPr>
          <w:p w14:paraId="2C41AEBD" w14:textId="77777777" w:rsidR="0058292C" w:rsidRPr="00715134" w:rsidRDefault="0058292C" w:rsidP="0058292C">
            <w:pPr>
              <w:spacing w:line="240" w:lineRule="auto"/>
              <w:jc w:val="right"/>
              <w:rPr>
                <w:rFonts w:cs="Arial"/>
                <w:sz w:val="24"/>
                <w:lang w:eastAsia="en-ZA"/>
              </w:rPr>
            </w:pPr>
          </w:p>
        </w:tc>
      </w:tr>
      <w:tr w:rsidR="0058292C" w:rsidRPr="00715134" w14:paraId="7502CEFE" w14:textId="77777777" w:rsidTr="00CA72B7">
        <w:tc>
          <w:tcPr>
            <w:tcW w:w="6237" w:type="dxa"/>
            <w:hideMark/>
          </w:tcPr>
          <w:p w14:paraId="250655C7" w14:textId="1E0F7DAF" w:rsidR="0058292C" w:rsidRPr="00715134" w:rsidRDefault="00F37ED7" w:rsidP="0058292C">
            <w:pPr>
              <w:pStyle w:val="Heading1"/>
              <w:spacing w:line="240" w:lineRule="auto"/>
              <w:jc w:val="left"/>
              <w:rPr>
                <w:sz w:val="24"/>
                <w:lang w:eastAsia="en-ZA"/>
              </w:rPr>
            </w:pPr>
            <w:r>
              <w:rPr>
                <w:bCs w:val="0"/>
                <w:sz w:val="24"/>
                <w:lang w:eastAsia="en-ZA"/>
              </w:rPr>
              <w:t xml:space="preserve">SELBY PANEL &amp; PAINT PROPRIETARY LIMITED </w:t>
            </w:r>
          </w:p>
        </w:tc>
        <w:tc>
          <w:tcPr>
            <w:tcW w:w="3119" w:type="dxa"/>
            <w:hideMark/>
          </w:tcPr>
          <w:p w14:paraId="7F1573A7" w14:textId="5AC8BF66" w:rsidR="0058292C" w:rsidRPr="00715134" w:rsidRDefault="0058292C" w:rsidP="0058292C">
            <w:pPr>
              <w:spacing w:line="240" w:lineRule="auto"/>
              <w:jc w:val="right"/>
              <w:rPr>
                <w:rFonts w:cs="Arial"/>
                <w:sz w:val="24"/>
                <w:lang w:eastAsia="en-ZA"/>
              </w:rPr>
            </w:pPr>
            <w:r w:rsidRPr="00715134">
              <w:rPr>
                <w:rFonts w:cs="Arial"/>
                <w:sz w:val="24"/>
                <w:lang w:eastAsia="en-ZA"/>
              </w:rPr>
              <w:t>Respondent</w:t>
            </w:r>
          </w:p>
        </w:tc>
      </w:tr>
    </w:tbl>
    <w:p w14:paraId="0F670BAC" w14:textId="77777777" w:rsidR="00EE71E0" w:rsidRPr="0060587A" w:rsidRDefault="00EE71E0" w:rsidP="00715134">
      <w:pPr>
        <w:pBdr>
          <w:bottom w:val="single" w:sz="4" w:space="1" w:color="auto"/>
        </w:pBdr>
        <w:spacing w:line="240" w:lineRule="auto"/>
        <w:rPr>
          <w:rFonts w:cs="Arial"/>
          <w:sz w:val="24"/>
        </w:rPr>
      </w:pPr>
    </w:p>
    <w:p w14:paraId="78F51A51" w14:textId="77777777" w:rsidR="00F64E24" w:rsidRPr="0060587A" w:rsidRDefault="00F64E24" w:rsidP="00715134">
      <w:pPr>
        <w:pBdr>
          <w:bottom w:val="single" w:sz="4" w:space="1" w:color="auto"/>
        </w:pBdr>
        <w:spacing w:line="240" w:lineRule="auto"/>
        <w:rPr>
          <w:rFonts w:cs="Arial"/>
          <w:sz w:val="24"/>
        </w:rPr>
      </w:pPr>
    </w:p>
    <w:p w14:paraId="510A0813" w14:textId="77777777" w:rsidR="0048436A" w:rsidRPr="0060587A" w:rsidRDefault="0048436A" w:rsidP="0048436A">
      <w:pPr>
        <w:spacing w:line="276" w:lineRule="auto"/>
        <w:rPr>
          <w:rFonts w:cs="Arial"/>
          <w:sz w:val="24"/>
        </w:rPr>
      </w:pPr>
    </w:p>
    <w:p w14:paraId="510A0814" w14:textId="053077F0" w:rsidR="0048436A" w:rsidRPr="002B0678" w:rsidRDefault="0048436A" w:rsidP="0048436A">
      <w:pPr>
        <w:pStyle w:val="Heading2"/>
        <w:spacing w:line="276" w:lineRule="auto"/>
        <w:rPr>
          <w:sz w:val="24"/>
        </w:rPr>
      </w:pPr>
      <w:r w:rsidRPr="002B0678">
        <w:rPr>
          <w:sz w:val="24"/>
        </w:rPr>
        <w:t>JUDGMENT</w:t>
      </w:r>
      <w:r w:rsidR="00D7462D">
        <w:rPr>
          <w:sz w:val="24"/>
        </w:rPr>
        <w:t xml:space="preserve"> IN APPLICATION FOR LEAVE TO APPEAL</w:t>
      </w:r>
    </w:p>
    <w:p w14:paraId="510A0815" w14:textId="77777777" w:rsidR="0048436A" w:rsidRPr="002B0678" w:rsidRDefault="0048436A" w:rsidP="0048436A">
      <w:pPr>
        <w:pBdr>
          <w:bottom w:val="single" w:sz="4" w:space="1" w:color="auto"/>
        </w:pBdr>
        <w:spacing w:line="240" w:lineRule="auto"/>
        <w:rPr>
          <w:rFonts w:cs="Arial"/>
          <w:sz w:val="24"/>
        </w:rPr>
      </w:pPr>
    </w:p>
    <w:p w14:paraId="510A0816" w14:textId="0B7B8C25" w:rsidR="006632B6" w:rsidRPr="002B0678" w:rsidRDefault="006632B6" w:rsidP="009B237D">
      <w:pPr>
        <w:pStyle w:val="WLGLevel1"/>
        <w:numPr>
          <w:ilvl w:val="0"/>
          <w:numId w:val="0"/>
        </w:numPr>
        <w:suppressAutoHyphens w:val="0"/>
        <w:spacing w:before="0" w:after="360"/>
        <w:ind w:left="567" w:hanging="567"/>
        <w:rPr>
          <w:rFonts w:cs="Arial"/>
          <w:szCs w:val="24"/>
          <w:lang w:val="en-GB"/>
        </w:rPr>
      </w:pPr>
    </w:p>
    <w:p w14:paraId="5FEF4E76" w14:textId="75D490C6" w:rsidR="009B237D" w:rsidRPr="0070438A" w:rsidRDefault="00456EEA" w:rsidP="0070438A">
      <w:pPr>
        <w:keepNext/>
        <w:spacing w:after="480" w:line="480" w:lineRule="auto"/>
        <w:rPr>
          <w:rFonts w:cs="Arial"/>
          <w:sz w:val="24"/>
          <w:u w:val="single"/>
        </w:rPr>
      </w:pPr>
      <w:r w:rsidRPr="0070438A">
        <w:rPr>
          <w:rFonts w:cs="Arial"/>
          <w:sz w:val="24"/>
          <w:u w:val="single"/>
        </w:rPr>
        <w:t>PEARSE AJ:</w:t>
      </w:r>
    </w:p>
    <w:p w14:paraId="03DBBCD3" w14:textId="22C8A232" w:rsidR="009428E0"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1.</w:t>
      </w:r>
      <w:r>
        <w:rPr>
          <w:rFonts w:cs="Arial"/>
          <w:bCs/>
          <w:iCs/>
          <w:szCs w:val="24"/>
          <w:lang w:val="en-GB"/>
        </w:rPr>
        <w:tab/>
      </w:r>
      <w:r w:rsidR="009428E0">
        <w:rPr>
          <w:rFonts w:cs="Arial"/>
          <w:szCs w:val="24"/>
          <w:lang w:val="en-GB"/>
        </w:rPr>
        <w:t xml:space="preserve">This is an application for leave to appeal against </w:t>
      </w:r>
      <w:r w:rsidR="00590C22">
        <w:rPr>
          <w:rFonts w:cs="Arial"/>
          <w:szCs w:val="24"/>
          <w:lang w:val="en-GB"/>
        </w:rPr>
        <w:t xml:space="preserve">a </w:t>
      </w:r>
      <w:r w:rsidR="009428E0">
        <w:rPr>
          <w:rFonts w:cs="Arial"/>
          <w:szCs w:val="24"/>
          <w:lang w:val="en-GB"/>
        </w:rPr>
        <w:t xml:space="preserve">judgment and order in </w:t>
      </w:r>
      <w:r w:rsidR="0044511A">
        <w:rPr>
          <w:rFonts w:cs="Arial"/>
          <w:szCs w:val="24"/>
          <w:lang w:val="en-GB"/>
        </w:rPr>
        <w:t xml:space="preserve">a </w:t>
      </w:r>
      <w:r w:rsidR="009428E0">
        <w:rPr>
          <w:rFonts w:cs="Arial"/>
          <w:szCs w:val="24"/>
          <w:lang w:val="en-GB"/>
        </w:rPr>
        <w:t>main application</w:t>
      </w:r>
      <w:r w:rsidR="00BA4919">
        <w:rPr>
          <w:rFonts w:cs="Arial"/>
          <w:szCs w:val="24"/>
          <w:lang w:val="en-GB"/>
        </w:rPr>
        <w:t>, under the same case number,</w:t>
      </w:r>
      <w:r w:rsidR="009428E0">
        <w:rPr>
          <w:rFonts w:cs="Arial"/>
          <w:szCs w:val="24"/>
          <w:lang w:val="en-GB"/>
        </w:rPr>
        <w:t xml:space="preserve"> </w:t>
      </w:r>
      <w:r w:rsidR="003B7CF2">
        <w:rPr>
          <w:rFonts w:cs="Arial"/>
          <w:szCs w:val="24"/>
          <w:lang w:val="en-GB"/>
        </w:rPr>
        <w:t xml:space="preserve">that I </w:t>
      </w:r>
      <w:r w:rsidR="009428E0">
        <w:rPr>
          <w:rFonts w:cs="Arial"/>
          <w:szCs w:val="24"/>
          <w:lang w:val="en-GB"/>
        </w:rPr>
        <w:t xml:space="preserve">delivered on </w:t>
      </w:r>
      <w:r w:rsidR="004F396A">
        <w:rPr>
          <w:rFonts w:cs="Arial"/>
          <w:szCs w:val="24"/>
          <w:lang w:val="en-GB"/>
        </w:rPr>
        <w:t xml:space="preserve">15 </w:t>
      </w:r>
      <w:r w:rsidR="009428E0">
        <w:rPr>
          <w:rFonts w:cs="Arial"/>
          <w:szCs w:val="24"/>
          <w:lang w:val="en-GB"/>
        </w:rPr>
        <w:t>June 2023.</w:t>
      </w:r>
    </w:p>
    <w:p w14:paraId="1FE78FBE" w14:textId="5DD3D614" w:rsidR="009428E0"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2.</w:t>
      </w:r>
      <w:r>
        <w:rPr>
          <w:rFonts w:cs="Arial"/>
          <w:bCs/>
          <w:iCs/>
          <w:szCs w:val="24"/>
          <w:lang w:val="en-GB"/>
        </w:rPr>
        <w:tab/>
      </w:r>
      <w:r w:rsidR="009428E0">
        <w:rPr>
          <w:rFonts w:cs="Arial"/>
          <w:szCs w:val="24"/>
          <w:lang w:val="en-GB"/>
        </w:rPr>
        <w:t xml:space="preserve">The facts and disputed issues of relevance to the determination of </w:t>
      </w:r>
      <w:r w:rsidR="00043EC9">
        <w:rPr>
          <w:rFonts w:cs="Arial"/>
          <w:szCs w:val="24"/>
          <w:lang w:val="en-GB"/>
        </w:rPr>
        <w:t xml:space="preserve">both </w:t>
      </w:r>
      <w:r w:rsidR="009428E0">
        <w:rPr>
          <w:rFonts w:cs="Arial"/>
          <w:szCs w:val="24"/>
          <w:lang w:val="en-GB"/>
        </w:rPr>
        <w:t>application</w:t>
      </w:r>
      <w:r w:rsidR="0044511A">
        <w:rPr>
          <w:rFonts w:cs="Arial"/>
          <w:szCs w:val="24"/>
          <w:lang w:val="en-GB"/>
        </w:rPr>
        <w:t>s</w:t>
      </w:r>
      <w:r w:rsidR="009428E0">
        <w:rPr>
          <w:rFonts w:cs="Arial"/>
          <w:szCs w:val="24"/>
          <w:lang w:val="en-GB"/>
        </w:rPr>
        <w:t xml:space="preserve"> are detailed in </w:t>
      </w:r>
      <w:r w:rsidR="00AB3D95">
        <w:rPr>
          <w:rFonts w:cs="Arial"/>
          <w:szCs w:val="24"/>
          <w:lang w:val="en-GB"/>
        </w:rPr>
        <w:t xml:space="preserve">that </w:t>
      </w:r>
      <w:r w:rsidR="009428E0">
        <w:rPr>
          <w:rFonts w:cs="Arial"/>
          <w:szCs w:val="24"/>
          <w:lang w:val="en-GB"/>
        </w:rPr>
        <w:t>judgment.</w:t>
      </w:r>
    </w:p>
    <w:p w14:paraId="1182427E" w14:textId="602B7D5D" w:rsidR="009428E0" w:rsidRDefault="00753FBC" w:rsidP="00753FBC">
      <w:pPr>
        <w:pStyle w:val="WLGLevel1"/>
        <w:numPr>
          <w:ilvl w:val="0"/>
          <w:numId w:val="0"/>
        </w:numPr>
        <w:suppressAutoHyphens w:val="0"/>
        <w:spacing w:before="0" w:after="480"/>
        <w:ind w:left="709" w:hanging="709"/>
        <w:rPr>
          <w:rFonts w:cs="Arial"/>
          <w:szCs w:val="24"/>
          <w:lang w:val="en-GB"/>
        </w:rPr>
      </w:pPr>
      <w:bookmarkStart w:id="1" w:name="_Ref149555764"/>
      <w:r>
        <w:rPr>
          <w:rFonts w:cs="Arial"/>
          <w:bCs/>
          <w:iCs/>
          <w:szCs w:val="24"/>
          <w:lang w:val="en-GB"/>
        </w:rPr>
        <w:t>3.</w:t>
      </w:r>
      <w:r>
        <w:rPr>
          <w:rFonts w:cs="Arial"/>
          <w:bCs/>
          <w:iCs/>
          <w:szCs w:val="24"/>
          <w:lang w:val="en-GB"/>
        </w:rPr>
        <w:tab/>
      </w:r>
      <w:r w:rsidR="009428E0">
        <w:rPr>
          <w:rFonts w:cs="Arial"/>
          <w:szCs w:val="24"/>
          <w:lang w:val="en-GB"/>
        </w:rPr>
        <w:t xml:space="preserve">The </w:t>
      </w:r>
      <w:r w:rsidR="00655927">
        <w:rPr>
          <w:rFonts w:cs="Arial"/>
          <w:szCs w:val="24"/>
          <w:lang w:val="en-GB"/>
        </w:rPr>
        <w:t>15-day</w:t>
      </w:r>
      <w:r w:rsidR="009428E0">
        <w:rPr>
          <w:rFonts w:cs="Arial"/>
          <w:szCs w:val="24"/>
          <w:lang w:val="en-GB"/>
        </w:rPr>
        <w:t xml:space="preserve"> period </w:t>
      </w:r>
      <w:r w:rsidR="00CE5EDE">
        <w:rPr>
          <w:rFonts w:cs="Arial"/>
          <w:szCs w:val="24"/>
          <w:lang w:val="en-GB"/>
        </w:rPr>
        <w:t>afforded</w:t>
      </w:r>
      <w:r w:rsidR="009428E0">
        <w:rPr>
          <w:rFonts w:cs="Arial"/>
          <w:szCs w:val="24"/>
          <w:lang w:val="en-GB"/>
        </w:rPr>
        <w:t xml:space="preserve"> by rule </w:t>
      </w:r>
      <w:r w:rsidR="00AD6D1A">
        <w:rPr>
          <w:rFonts w:cs="Arial"/>
          <w:szCs w:val="24"/>
          <w:lang w:val="en-GB"/>
        </w:rPr>
        <w:t xml:space="preserve">49(1)(b) </w:t>
      </w:r>
      <w:r w:rsidR="009428E0">
        <w:rPr>
          <w:rFonts w:cs="Arial"/>
          <w:szCs w:val="24"/>
          <w:lang w:val="en-GB"/>
        </w:rPr>
        <w:t xml:space="preserve">for the initiation of this application lapsed on </w:t>
      </w:r>
      <w:r w:rsidR="00A24E97">
        <w:rPr>
          <w:rFonts w:cs="Arial"/>
          <w:szCs w:val="24"/>
          <w:lang w:val="en-GB"/>
        </w:rPr>
        <w:t xml:space="preserve">07 July </w:t>
      </w:r>
      <w:r w:rsidR="009428E0">
        <w:rPr>
          <w:rFonts w:cs="Arial"/>
          <w:szCs w:val="24"/>
          <w:lang w:val="en-GB"/>
        </w:rPr>
        <w:t xml:space="preserve">2023 and it was only on </w:t>
      </w:r>
      <w:r w:rsidR="0037552E">
        <w:rPr>
          <w:rFonts w:cs="Arial"/>
          <w:szCs w:val="24"/>
          <w:lang w:val="en-GB"/>
        </w:rPr>
        <w:t xml:space="preserve">31 August </w:t>
      </w:r>
      <w:r w:rsidR="009428E0">
        <w:rPr>
          <w:rFonts w:cs="Arial"/>
          <w:szCs w:val="24"/>
          <w:lang w:val="en-GB"/>
        </w:rPr>
        <w:t>2023 that the respondent in the main application (</w:t>
      </w:r>
      <w:r w:rsidR="009428E0" w:rsidRPr="006E18B7">
        <w:rPr>
          <w:rFonts w:cs="Arial"/>
          <w:b/>
          <w:bCs/>
          <w:szCs w:val="24"/>
          <w:lang w:val="en-GB"/>
        </w:rPr>
        <w:t>Selby</w:t>
      </w:r>
      <w:r w:rsidR="009428E0">
        <w:rPr>
          <w:rFonts w:cs="Arial"/>
          <w:szCs w:val="24"/>
          <w:lang w:val="en-GB"/>
        </w:rPr>
        <w:t>) deliver</w:t>
      </w:r>
      <w:r w:rsidR="00EC62C2">
        <w:rPr>
          <w:rFonts w:cs="Arial"/>
          <w:szCs w:val="24"/>
          <w:lang w:val="en-GB"/>
        </w:rPr>
        <w:t>ed</w:t>
      </w:r>
      <w:r w:rsidR="009428E0">
        <w:rPr>
          <w:rFonts w:cs="Arial"/>
          <w:szCs w:val="24"/>
          <w:lang w:val="en-GB"/>
        </w:rPr>
        <w:t xml:space="preserve"> notices requesting reasons for my determination of the main application and seeking leave to appeal against that determination.</w:t>
      </w:r>
      <w:bookmarkEnd w:id="1"/>
      <w:r w:rsidR="009428E0">
        <w:rPr>
          <w:rFonts w:cs="Arial"/>
          <w:szCs w:val="24"/>
          <w:lang w:val="en-GB"/>
        </w:rPr>
        <w:t xml:space="preserve"> </w:t>
      </w:r>
    </w:p>
    <w:p w14:paraId="61C8BECA" w14:textId="46CA765C" w:rsidR="00B85B1C" w:rsidRPr="000267F0" w:rsidRDefault="00753FBC" w:rsidP="00753FBC">
      <w:pPr>
        <w:pStyle w:val="WLGLevel1"/>
        <w:numPr>
          <w:ilvl w:val="0"/>
          <w:numId w:val="0"/>
        </w:numPr>
        <w:suppressAutoHyphens w:val="0"/>
        <w:spacing w:before="0" w:after="480"/>
        <w:ind w:left="709" w:hanging="709"/>
        <w:rPr>
          <w:rFonts w:cs="Arial"/>
          <w:szCs w:val="24"/>
          <w:lang w:val="en-GB"/>
        </w:rPr>
      </w:pPr>
      <w:r w:rsidRPr="000267F0">
        <w:rPr>
          <w:rFonts w:cs="Arial"/>
          <w:bCs/>
          <w:iCs/>
          <w:szCs w:val="24"/>
          <w:lang w:val="en-GB"/>
        </w:rPr>
        <w:t>4.</w:t>
      </w:r>
      <w:r w:rsidRPr="000267F0">
        <w:rPr>
          <w:rFonts w:cs="Arial"/>
          <w:bCs/>
          <w:iCs/>
          <w:szCs w:val="24"/>
          <w:lang w:val="en-GB"/>
        </w:rPr>
        <w:tab/>
      </w:r>
      <w:r w:rsidR="009428E0" w:rsidRPr="000267F0">
        <w:rPr>
          <w:rFonts w:cs="Arial"/>
          <w:szCs w:val="24"/>
          <w:lang w:val="en-GB"/>
        </w:rPr>
        <w:t xml:space="preserve">On </w:t>
      </w:r>
      <w:r w:rsidR="00E83C0F" w:rsidRPr="000267F0">
        <w:rPr>
          <w:rFonts w:cs="Arial"/>
          <w:szCs w:val="24"/>
          <w:lang w:val="en-GB"/>
        </w:rPr>
        <w:t xml:space="preserve">05 September </w:t>
      </w:r>
      <w:r w:rsidR="009428E0" w:rsidRPr="000267F0">
        <w:rPr>
          <w:rFonts w:cs="Arial"/>
          <w:szCs w:val="24"/>
          <w:lang w:val="en-GB"/>
        </w:rPr>
        <w:t xml:space="preserve">2023, through my registrar, I </w:t>
      </w:r>
      <w:r w:rsidR="00795EE6" w:rsidRPr="000267F0">
        <w:rPr>
          <w:rFonts w:cs="Arial"/>
          <w:szCs w:val="24"/>
          <w:lang w:val="en-GB"/>
        </w:rPr>
        <w:t>issued a directive in the following terms:</w:t>
      </w:r>
    </w:p>
    <w:p w14:paraId="6F8F4383" w14:textId="6DA7508F" w:rsidR="00B85B1C" w:rsidRPr="000267F0" w:rsidRDefault="00753FBC" w:rsidP="00753FBC">
      <w:pPr>
        <w:pStyle w:val="WLGLevel1"/>
        <w:numPr>
          <w:ilvl w:val="0"/>
          <w:numId w:val="0"/>
        </w:numPr>
        <w:tabs>
          <w:tab w:val="left" w:pos="1560"/>
        </w:tabs>
        <w:suppressAutoHyphens w:val="0"/>
        <w:spacing w:before="0" w:after="480"/>
        <w:ind w:left="1560" w:hanging="851"/>
        <w:rPr>
          <w:rFonts w:cs="Arial"/>
          <w:szCs w:val="24"/>
          <w:lang w:val="en-GB"/>
        </w:rPr>
      </w:pPr>
      <w:r w:rsidRPr="000267F0">
        <w:rPr>
          <w:rFonts w:cs="Arial"/>
          <w:szCs w:val="24"/>
          <w:lang w:val="en-GB"/>
        </w:rPr>
        <w:t>4.1.</w:t>
      </w:r>
      <w:r w:rsidRPr="000267F0">
        <w:rPr>
          <w:rFonts w:cs="Arial"/>
          <w:szCs w:val="24"/>
          <w:lang w:val="en-GB"/>
        </w:rPr>
        <w:tab/>
      </w:r>
      <w:r w:rsidR="00795EE6" w:rsidRPr="00CB45F2">
        <w:rPr>
          <w:rFonts w:cs="Arial"/>
        </w:rPr>
        <w:t>It is confirmed that the judgment of 15 June 2023 contains the reasons for the order of that date. No further reasons will be forthcoming.</w:t>
      </w:r>
    </w:p>
    <w:p w14:paraId="0D5DDD26" w14:textId="4CE291DD" w:rsidR="00B85B1C" w:rsidRPr="000267F0" w:rsidRDefault="00753FBC" w:rsidP="00753FBC">
      <w:pPr>
        <w:pStyle w:val="WLGLevel1"/>
        <w:numPr>
          <w:ilvl w:val="0"/>
          <w:numId w:val="0"/>
        </w:numPr>
        <w:tabs>
          <w:tab w:val="left" w:pos="1560"/>
        </w:tabs>
        <w:suppressAutoHyphens w:val="0"/>
        <w:spacing w:before="0" w:after="480"/>
        <w:ind w:left="1560" w:hanging="851"/>
        <w:rPr>
          <w:rFonts w:cs="Arial"/>
          <w:szCs w:val="24"/>
          <w:lang w:val="en-GB"/>
        </w:rPr>
      </w:pPr>
      <w:bookmarkStart w:id="2" w:name="_Ref149594270"/>
      <w:r w:rsidRPr="000267F0">
        <w:rPr>
          <w:rFonts w:cs="Arial"/>
          <w:szCs w:val="24"/>
          <w:lang w:val="en-GB"/>
        </w:rPr>
        <w:lastRenderedPageBreak/>
        <w:t>4.2.</w:t>
      </w:r>
      <w:r w:rsidRPr="000267F0">
        <w:rPr>
          <w:rFonts w:cs="Arial"/>
          <w:szCs w:val="24"/>
          <w:lang w:val="en-GB"/>
        </w:rPr>
        <w:tab/>
      </w:r>
      <w:r w:rsidR="00795EE6" w:rsidRPr="00CB45F2">
        <w:rPr>
          <w:rFonts w:cs="Arial"/>
        </w:rPr>
        <w:t>If Selby persists with its application for leave to appeal, it must deliver any application for the extension of the 15-day period, including a founding affidavit addressing the issue of good cause for delay, within 5 days of issue of this directive.</w:t>
      </w:r>
      <w:bookmarkEnd w:id="2"/>
    </w:p>
    <w:p w14:paraId="04D33812" w14:textId="61C13A33" w:rsidR="00B85B1C" w:rsidRPr="000267F0" w:rsidRDefault="00753FBC" w:rsidP="00753FBC">
      <w:pPr>
        <w:pStyle w:val="WLGLevel1"/>
        <w:numPr>
          <w:ilvl w:val="0"/>
          <w:numId w:val="0"/>
        </w:numPr>
        <w:tabs>
          <w:tab w:val="left" w:pos="1560"/>
        </w:tabs>
        <w:suppressAutoHyphens w:val="0"/>
        <w:spacing w:before="0" w:after="480"/>
        <w:ind w:left="1560" w:hanging="851"/>
        <w:rPr>
          <w:rFonts w:cs="Arial"/>
          <w:szCs w:val="24"/>
          <w:lang w:val="en-GB"/>
        </w:rPr>
      </w:pPr>
      <w:r w:rsidRPr="000267F0">
        <w:rPr>
          <w:rFonts w:cs="Arial"/>
          <w:szCs w:val="24"/>
          <w:lang w:val="en-GB"/>
        </w:rPr>
        <w:t>4.3.</w:t>
      </w:r>
      <w:r w:rsidRPr="000267F0">
        <w:rPr>
          <w:rFonts w:cs="Arial"/>
          <w:szCs w:val="24"/>
          <w:lang w:val="en-GB"/>
        </w:rPr>
        <w:tab/>
      </w:r>
      <w:r w:rsidR="00795EE6" w:rsidRPr="00CB45F2">
        <w:rPr>
          <w:rFonts w:cs="Arial"/>
        </w:rPr>
        <w:t xml:space="preserve">If </w:t>
      </w:r>
      <w:r w:rsidR="005B2946" w:rsidRPr="000267F0">
        <w:rPr>
          <w:rFonts w:cs="Arial"/>
          <w:szCs w:val="24"/>
          <w:lang w:val="en-GB"/>
        </w:rPr>
        <w:t>the applicant in the main application (</w:t>
      </w:r>
      <w:r w:rsidR="005B2946" w:rsidRPr="000267F0">
        <w:rPr>
          <w:rFonts w:cs="Arial"/>
          <w:b/>
          <w:bCs/>
          <w:szCs w:val="24"/>
          <w:lang w:val="en-GB"/>
        </w:rPr>
        <w:t>Santam</w:t>
      </w:r>
      <w:r w:rsidR="005B2946" w:rsidRPr="000267F0">
        <w:rPr>
          <w:rFonts w:cs="Arial"/>
          <w:szCs w:val="24"/>
          <w:lang w:val="en-GB"/>
        </w:rPr>
        <w:t xml:space="preserve">) </w:t>
      </w:r>
      <w:r w:rsidR="00795EE6" w:rsidRPr="00CB45F2">
        <w:rPr>
          <w:rFonts w:cs="Arial"/>
        </w:rPr>
        <w:t>opposes the extension application, it must deliver any answering affidavit within 5 days of delivery of the application.</w:t>
      </w:r>
    </w:p>
    <w:p w14:paraId="2198A834" w14:textId="7BA41B88" w:rsidR="00B85B1C" w:rsidRPr="000267F0" w:rsidRDefault="00753FBC" w:rsidP="00753FBC">
      <w:pPr>
        <w:pStyle w:val="WLGLevel1"/>
        <w:numPr>
          <w:ilvl w:val="0"/>
          <w:numId w:val="0"/>
        </w:numPr>
        <w:tabs>
          <w:tab w:val="left" w:pos="1560"/>
        </w:tabs>
        <w:suppressAutoHyphens w:val="0"/>
        <w:spacing w:before="0" w:after="480"/>
        <w:ind w:left="1560" w:hanging="851"/>
        <w:rPr>
          <w:rFonts w:cs="Arial"/>
          <w:szCs w:val="24"/>
          <w:lang w:val="en-GB"/>
        </w:rPr>
      </w:pPr>
      <w:r w:rsidRPr="000267F0">
        <w:rPr>
          <w:rFonts w:cs="Arial"/>
          <w:szCs w:val="24"/>
          <w:lang w:val="en-GB"/>
        </w:rPr>
        <w:t>4.4.</w:t>
      </w:r>
      <w:r w:rsidRPr="000267F0">
        <w:rPr>
          <w:rFonts w:cs="Arial"/>
          <w:szCs w:val="24"/>
          <w:lang w:val="en-GB"/>
        </w:rPr>
        <w:tab/>
      </w:r>
      <w:r w:rsidR="00795EE6" w:rsidRPr="00CB45F2">
        <w:rPr>
          <w:rFonts w:cs="Arial"/>
        </w:rPr>
        <w:t>If the extension application is opposed, Selby must deliver any replying affidavit within 5 days of delivery of the answering affidavit.</w:t>
      </w:r>
    </w:p>
    <w:p w14:paraId="02FC35AD" w14:textId="05BE9699" w:rsidR="00B85B1C" w:rsidRPr="000267F0" w:rsidRDefault="00753FBC" w:rsidP="00753FBC">
      <w:pPr>
        <w:pStyle w:val="WLGLevel1"/>
        <w:numPr>
          <w:ilvl w:val="0"/>
          <w:numId w:val="0"/>
        </w:numPr>
        <w:tabs>
          <w:tab w:val="left" w:pos="1560"/>
        </w:tabs>
        <w:suppressAutoHyphens w:val="0"/>
        <w:spacing w:before="0" w:after="480"/>
        <w:ind w:left="1560" w:hanging="851"/>
        <w:rPr>
          <w:rFonts w:cs="Arial"/>
          <w:szCs w:val="24"/>
          <w:lang w:val="en-GB"/>
        </w:rPr>
      </w:pPr>
      <w:r w:rsidRPr="000267F0">
        <w:rPr>
          <w:rFonts w:cs="Arial"/>
          <w:szCs w:val="24"/>
          <w:lang w:val="en-GB"/>
        </w:rPr>
        <w:t>4.5.</w:t>
      </w:r>
      <w:r w:rsidRPr="000267F0">
        <w:rPr>
          <w:rFonts w:cs="Arial"/>
          <w:szCs w:val="24"/>
          <w:lang w:val="en-GB"/>
        </w:rPr>
        <w:tab/>
      </w:r>
      <w:r w:rsidR="00795EE6" w:rsidRPr="00CB45F2">
        <w:rPr>
          <w:rFonts w:cs="Arial"/>
        </w:rPr>
        <w:t>A date and time will thereafter be allocated by the registrar for the hearing of the extension and leave to appeal applications.</w:t>
      </w:r>
    </w:p>
    <w:p w14:paraId="74E333BF" w14:textId="08D59B97" w:rsidR="00795EE6" w:rsidRPr="000267F0" w:rsidRDefault="00753FBC" w:rsidP="00753FBC">
      <w:pPr>
        <w:pStyle w:val="WLGLevel1"/>
        <w:numPr>
          <w:ilvl w:val="0"/>
          <w:numId w:val="0"/>
        </w:numPr>
        <w:tabs>
          <w:tab w:val="left" w:pos="1560"/>
        </w:tabs>
        <w:suppressAutoHyphens w:val="0"/>
        <w:spacing w:before="0" w:after="480"/>
        <w:ind w:left="1560" w:hanging="851"/>
        <w:rPr>
          <w:rFonts w:cs="Arial"/>
          <w:szCs w:val="24"/>
          <w:lang w:val="en-GB"/>
        </w:rPr>
      </w:pPr>
      <w:r w:rsidRPr="000267F0">
        <w:rPr>
          <w:rFonts w:cs="Arial"/>
          <w:szCs w:val="24"/>
          <w:lang w:val="en-GB"/>
        </w:rPr>
        <w:t>4.6.</w:t>
      </w:r>
      <w:r w:rsidRPr="000267F0">
        <w:rPr>
          <w:rFonts w:cs="Arial"/>
          <w:szCs w:val="24"/>
          <w:lang w:val="en-GB"/>
        </w:rPr>
        <w:tab/>
      </w:r>
      <w:r w:rsidR="00795EE6" w:rsidRPr="00CB45F2">
        <w:rPr>
          <w:rFonts w:cs="Arial"/>
        </w:rPr>
        <w:t>Any written submissions in either or both applications must be delivered not later than 48 hours before the allocated hearing date and time.</w:t>
      </w:r>
    </w:p>
    <w:p w14:paraId="510A27CB" w14:textId="3543E5DA" w:rsidR="009428E0" w:rsidRPr="000267F0" w:rsidRDefault="00753FBC" w:rsidP="00753FBC">
      <w:pPr>
        <w:pStyle w:val="WLGLevel1"/>
        <w:numPr>
          <w:ilvl w:val="0"/>
          <w:numId w:val="0"/>
        </w:numPr>
        <w:suppressAutoHyphens w:val="0"/>
        <w:spacing w:before="0" w:after="480"/>
        <w:ind w:left="709" w:hanging="709"/>
        <w:rPr>
          <w:rFonts w:cs="Arial"/>
          <w:szCs w:val="24"/>
          <w:lang w:val="en-GB"/>
        </w:rPr>
      </w:pPr>
      <w:r w:rsidRPr="000267F0">
        <w:rPr>
          <w:rFonts w:cs="Arial"/>
          <w:bCs/>
          <w:iCs/>
          <w:szCs w:val="24"/>
          <w:lang w:val="en-GB"/>
        </w:rPr>
        <w:t>5.</w:t>
      </w:r>
      <w:r w:rsidRPr="000267F0">
        <w:rPr>
          <w:rFonts w:cs="Arial"/>
          <w:bCs/>
          <w:iCs/>
          <w:szCs w:val="24"/>
          <w:lang w:val="en-GB"/>
        </w:rPr>
        <w:tab/>
      </w:r>
      <w:r w:rsidR="009428E0" w:rsidRPr="000267F0">
        <w:rPr>
          <w:rFonts w:cs="Arial"/>
          <w:szCs w:val="24"/>
          <w:lang w:val="en-GB"/>
        </w:rPr>
        <w:t xml:space="preserve">Selby delivered a condonation application </w:t>
      </w:r>
      <w:r w:rsidR="00634457" w:rsidRPr="000267F0">
        <w:rPr>
          <w:rFonts w:cs="Arial"/>
          <w:szCs w:val="24"/>
          <w:lang w:val="en-GB"/>
        </w:rPr>
        <w:t xml:space="preserve">on </w:t>
      </w:r>
      <w:r w:rsidR="0030205C" w:rsidRPr="000267F0">
        <w:rPr>
          <w:rFonts w:cs="Arial"/>
          <w:szCs w:val="24"/>
          <w:lang w:val="en-GB"/>
        </w:rPr>
        <w:t>13 September 2023</w:t>
      </w:r>
      <w:r w:rsidR="00CC7CB2">
        <w:rPr>
          <w:rStyle w:val="FootnoteReference"/>
          <w:rFonts w:cs="Arial"/>
          <w:szCs w:val="24"/>
          <w:lang w:val="en-GB"/>
        </w:rPr>
        <w:footnoteReference w:id="1"/>
      </w:r>
      <w:r w:rsidR="0030205C" w:rsidRPr="000267F0">
        <w:rPr>
          <w:rFonts w:cs="Arial"/>
          <w:szCs w:val="24"/>
          <w:lang w:val="en-GB"/>
        </w:rPr>
        <w:t xml:space="preserve"> </w:t>
      </w:r>
      <w:r w:rsidR="009428E0" w:rsidRPr="000267F0">
        <w:rPr>
          <w:rFonts w:cs="Arial"/>
          <w:szCs w:val="24"/>
          <w:lang w:val="en-GB"/>
        </w:rPr>
        <w:t>and the parties exchanged further papers more or less in accordance with my directive.</w:t>
      </w:r>
    </w:p>
    <w:p w14:paraId="0DA56786" w14:textId="1FB67219" w:rsidR="009428E0"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6.</w:t>
      </w:r>
      <w:r>
        <w:rPr>
          <w:rFonts w:cs="Arial"/>
          <w:bCs/>
          <w:iCs/>
          <w:szCs w:val="24"/>
          <w:lang w:val="en-GB"/>
        </w:rPr>
        <w:tab/>
      </w:r>
      <w:r w:rsidR="009428E0">
        <w:rPr>
          <w:rFonts w:cs="Arial"/>
          <w:szCs w:val="24"/>
          <w:lang w:val="en-GB"/>
        </w:rPr>
        <w:t xml:space="preserve">Thereafter, I directed that both applications be set down for hearing on </w:t>
      </w:r>
      <w:r w:rsidR="00D01F32">
        <w:rPr>
          <w:rFonts w:cs="Arial"/>
          <w:szCs w:val="24"/>
          <w:lang w:val="en-GB"/>
        </w:rPr>
        <w:t xml:space="preserve">30 October </w:t>
      </w:r>
      <w:r w:rsidR="009428E0">
        <w:rPr>
          <w:rFonts w:cs="Arial"/>
          <w:szCs w:val="24"/>
          <w:lang w:val="en-GB"/>
        </w:rPr>
        <w:t xml:space="preserve">2023, on which date Selby was represented by </w:t>
      </w:r>
      <w:r w:rsidR="00D01F32">
        <w:rPr>
          <w:rFonts w:cs="Arial"/>
          <w:szCs w:val="24"/>
          <w:lang w:val="en-GB"/>
        </w:rPr>
        <w:t xml:space="preserve">Mr </w:t>
      </w:r>
      <w:r w:rsidR="005E6E5A">
        <w:rPr>
          <w:rFonts w:cs="Arial"/>
          <w:lang w:val="en-GB"/>
        </w:rPr>
        <w:t>Ncongwane</w:t>
      </w:r>
      <w:r w:rsidR="005E6E5A">
        <w:rPr>
          <w:rFonts w:cs="Arial"/>
          <w:szCs w:val="24"/>
          <w:lang w:val="en-GB"/>
        </w:rPr>
        <w:t xml:space="preserve"> </w:t>
      </w:r>
      <w:r w:rsidR="009428E0">
        <w:rPr>
          <w:rFonts w:cs="Arial"/>
          <w:szCs w:val="24"/>
          <w:lang w:val="en-GB"/>
        </w:rPr>
        <w:t xml:space="preserve">and </w:t>
      </w:r>
      <w:r w:rsidR="005B2946">
        <w:rPr>
          <w:rFonts w:cs="Arial"/>
          <w:szCs w:val="24"/>
          <w:lang w:val="en-GB"/>
        </w:rPr>
        <w:t>Santam</w:t>
      </w:r>
      <w:r w:rsidR="009428E0">
        <w:rPr>
          <w:rFonts w:cs="Arial"/>
          <w:szCs w:val="24"/>
          <w:lang w:val="en-GB"/>
        </w:rPr>
        <w:t xml:space="preserve"> was represented by </w:t>
      </w:r>
      <w:r w:rsidR="0006064C">
        <w:rPr>
          <w:rFonts w:cs="Arial"/>
          <w:szCs w:val="24"/>
          <w:lang w:val="en-GB"/>
        </w:rPr>
        <w:t xml:space="preserve">Mr </w:t>
      </w:r>
      <w:r w:rsidR="00C11C91">
        <w:rPr>
          <w:rFonts w:cs="Arial"/>
          <w:szCs w:val="24"/>
          <w:lang w:val="en-GB"/>
        </w:rPr>
        <w:t>Oosthuizen</w:t>
      </w:r>
      <w:r w:rsidR="009428E0">
        <w:rPr>
          <w:rFonts w:cs="Arial"/>
          <w:szCs w:val="24"/>
          <w:lang w:val="en-GB"/>
        </w:rPr>
        <w:t>.</w:t>
      </w:r>
    </w:p>
    <w:p w14:paraId="57ACDF5C" w14:textId="440C1CB7" w:rsidR="00F519EA"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7.</w:t>
      </w:r>
      <w:r>
        <w:rPr>
          <w:rFonts w:cs="Arial"/>
          <w:bCs/>
          <w:iCs/>
          <w:szCs w:val="24"/>
          <w:lang w:val="en-GB"/>
        </w:rPr>
        <w:tab/>
      </w:r>
      <w:r w:rsidR="009428E0">
        <w:rPr>
          <w:rFonts w:cs="Arial"/>
          <w:szCs w:val="24"/>
          <w:lang w:val="en-GB"/>
        </w:rPr>
        <w:t>In addition to reconsidering the papers delivered and the submissions advanced in the main application, I have consider</w:t>
      </w:r>
      <w:r w:rsidR="00344E36">
        <w:rPr>
          <w:rFonts w:cs="Arial"/>
          <w:szCs w:val="24"/>
          <w:lang w:val="en-GB"/>
        </w:rPr>
        <w:t>ed</w:t>
      </w:r>
      <w:r w:rsidR="009428E0">
        <w:rPr>
          <w:rFonts w:cs="Arial"/>
          <w:szCs w:val="24"/>
          <w:lang w:val="en-GB"/>
        </w:rPr>
        <w:t xml:space="preserve"> the written and oral submissions made on behalf of the parties in the </w:t>
      </w:r>
      <w:r w:rsidR="009E6F40">
        <w:rPr>
          <w:rFonts w:cs="Arial"/>
          <w:szCs w:val="24"/>
          <w:lang w:val="en-GB"/>
        </w:rPr>
        <w:t>condonation</w:t>
      </w:r>
      <w:r w:rsidR="009428E0">
        <w:rPr>
          <w:rFonts w:cs="Arial"/>
          <w:szCs w:val="24"/>
          <w:lang w:val="en-GB"/>
        </w:rPr>
        <w:t xml:space="preserve"> and leave to appeal applications.</w:t>
      </w:r>
    </w:p>
    <w:p w14:paraId="1D812BD1" w14:textId="0F442355" w:rsidR="009428E0"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8.</w:t>
      </w:r>
      <w:r>
        <w:rPr>
          <w:rFonts w:cs="Arial"/>
          <w:bCs/>
          <w:iCs/>
          <w:szCs w:val="24"/>
          <w:lang w:val="en-GB"/>
        </w:rPr>
        <w:tab/>
      </w:r>
      <w:r w:rsidR="00F519EA">
        <w:rPr>
          <w:rFonts w:cs="Arial"/>
          <w:szCs w:val="24"/>
          <w:lang w:val="en-GB"/>
        </w:rPr>
        <w:t xml:space="preserve">For reasons outlined below, </w:t>
      </w:r>
      <w:r w:rsidR="00D36463">
        <w:rPr>
          <w:rFonts w:cs="Arial"/>
          <w:szCs w:val="24"/>
          <w:lang w:val="en-GB"/>
        </w:rPr>
        <w:t>I am of the view that leave to appeal should be refused</w:t>
      </w:r>
      <w:r w:rsidR="00F519EA">
        <w:rPr>
          <w:rFonts w:cs="Arial"/>
          <w:szCs w:val="24"/>
          <w:lang w:val="en-GB"/>
        </w:rPr>
        <w:t>.</w:t>
      </w:r>
    </w:p>
    <w:p w14:paraId="7ABDDB20" w14:textId="08CF2ED4" w:rsidR="00A4413B"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9.</w:t>
      </w:r>
      <w:r>
        <w:rPr>
          <w:rFonts w:cs="Arial"/>
          <w:bCs/>
          <w:iCs/>
          <w:szCs w:val="24"/>
          <w:lang w:val="en-GB"/>
        </w:rPr>
        <w:tab/>
      </w:r>
      <w:r w:rsidR="009428E0">
        <w:rPr>
          <w:rFonts w:cs="Arial"/>
          <w:szCs w:val="24"/>
          <w:lang w:val="en-GB"/>
        </w:rPr>
        <w:t xml:space="preserve">I am </w:t>
      </w:r>
      <w:r w:rsidR="00792CB8">
        <w:rPr>
          <w:rFonts w:cs="Arial"/>
          <w:szCs w:val="24"/>
          <w:lang w:val="en-GB"/>
        </w:rPr>
        <w:t>not</w:t>
      </w:r>
      <w:r w:rsidR="009428E0">
        <w:rPr>
          <w:rFonts w:cs="Arial"/>
          <w:szCs w:val="24"/>
          <w:lang w:val="en-GB"/>
        </w:rPr>
        <w:t xml:space="preserve"> persuaded that an adequate case for </w:t>
      </w:r>
      <w:r w:rsidR="00B03FD0">
        <w:rPr>
          <w:rFonts w:cs="Arial"/>
          <w:szCs w:val="24"/>
          <w:lang w:val="en-GB"/>
        </w:rPr>
        <w:t>condonation</w:t>
      </w:r>
      <w:r w:rsidR="00B507B1">
        <w:rPr>
          <w:rFonts w:cs="Arial"/>
          <w:szCs w:val="24"/>
          <w:lang w:val="en-GB"/>
        </w:rPr>
        <w:t xml:space="preserve"> </w:t>
      </w:r>
      <w:r w:rsidR="009428E0">
        <w:rPr>
          <w:rFonts w:cs="Arial"/>
          <w:szCs w:val="24"/>
          <w:lang w:val="en-GB"/>
        </w:rPr>
        <w:t>is made out by and on behalf of Selby</w:t>
      </w:r>
      <w:r w:rsidR="00792CB8">
        <w:rPr>
          <w:rFonts w:cs="Arial"/>
          <w:szCs w:val="24"/>
          <w:lang w:val="en-GB"/>
        </w:rPr>
        <w:t xml:space="preserve">. </w:t>
      </w:r>
      <w:r w:rsidR="00CA007D">
        <w:rPr>
          <w:rFonts w:cs="Arial"/>
          <w:szCs w:val="24"/>
          <w:lang w:val="en-GB"/>
        </w:rPr>
        <w:t xml:space="preserve">The founding affidavit in </w:t>
      </w:r>
      <w:r w:rsidR="00113D6A">
        <w:rPr>
          <w:rFonts w:cs="Arial"/>
          <w:szCs w:val="24"/>
          <w:lang w:val="en-GB"/>
        </w:rPr>
        <w:t>that</w:t>
      </w:r>
      <w:r w:rsidR="00CA007D">
        <w:rPr>
          <w:rFonts w:cs="Arial"/>
          <w:szCs w:val="24"/>
          <w:lang w:val="en-GB"/>
        </w:rPr>
        <w:t xml:space="preserve"> </w:t>
      </w:r>
      <w:r w:rsidR="00674A86">
        <w:rPr>
          <w:rFonts w:cs="Arial"/>
          <w:szCs w:val="24"/>
          <w:lang w:val="en-GB"/>
        </w:rPr>
        <w:t xml:space="preserve">application is deposed to by a manager of Selby. There is no confirmatory affidavit </w:t>
      </w:r>
      <w:r w:rsidR="00E9657C">
        <w:rPr>
          <w:rFonts w:cs="Arial"/>
          <w:szCs w:val="24"/>
          <w:lang w:val="en-GB"/>
        </w:rPr>
        <w:t>in the name of any member of Selby’s legal team</w:t>
      </w:r>
      <w:r w:rsidR="00522A4F">
        <w:rPr>
          <w:rFonts w:cs="Arial"/>
          <w:szCs w:val="24"/>
          <w:lang w:val="en-GB"/>
        </w:rPr>
        <w:t xml:space="preserve">. </w:t>
      </w:r>
      <w:r w:rsidR="00B93EE8">
        <w:rPr>
          <w:rFonts w:cs="Arial"/>
          <w:szCs w:val="24"/>
          <w:lang w:val="en-GB"/>
        </w:rPr>
        <w:t xml:space="preserve">There is consequently no explanation by anyone with personal knowledge of the facts as to </w:t>
      </w:r>
      <w:r w:rsidR="00DC4719">
        <w:rPr>
          <w:rFonts w:cs="Arial"/>
          <w:szCs w:val="24"/>
          <w:lang w:val="en-GB"/>
        </w:rPr>
        <w:t xml:space="preserve">why </w:t>
      </w:r>
      <w:r w:rsidR="00B93EE8">
        <w:rPr>
          <w:rFonts w:cs="Arial"/>
          <w:szCs w:val="24"/>
          <w:lang w:val="en-GB"/>
        </w:rPr>
        <w:t xml:space="preserve">the judgment </w:t>
      </w:r>
      <w:r w:rsidR="00DE435B">
        <w:rPr>
          <w:rFonts w:cs="Arial"/>
          <w:szCs w:val="24"/>
          <w:lang w:val="en-GB"/>
        </w:rPr>
        <w:t xml:space="preserve">and order </w:t>
      </w:r>
      <w:r w:rsidR="00B93EE8">
        <w:rPr>
          <w:rFonts w:cs="Arial"/>
          <w:szCs w:val="24"/>
          <w:lang w:val="en-GB"/>
        </w:rPr>
        <w:t xml:space="preserve">emailed to the parties’ respective counsel and </w:t>
      </w:r>
      <w:r w:rsidR="0056777D">
        <w:rPr>
          <w:rFonts w:cs="Arial"/>
          <w:szCs w:val="24"/>
          <w:lang w:val="en-GB"/>
        </w:rPr>
        <w:t xml:space="preserve">also </w:t>
      </w:r>
      <w:r w:rsidR="00B93EE8">
        <w:rPr>
          <w:rFonts w:cs="Arial"/>
          <w:szCs w:val="24"/>
          <w:lang w:val="en-GB"/>
        </w:rPr>
        <w:t xml:space="preserve">uploaded on Caselines on 15 June 2023 came to Selby’s attention only on </w:t>
      </w:r>
      <w:r w:rsidR="00681D96">
        <w:rPr>
          <w:rFonts w:cs="Arial"/>
          <w:szCs w:val="24"/>
          <w:lang w:val="en-GB"/>
        </w:rPr>
        <w:t>25 July 2023</w:t>
      </w:r>
      <w:r w:rsidR="00DE435B">
        <w:rPr>
          <w:rFonts w:cs="Arial"/>
          <w:szCs w:val="24"/>
          <w:lang w:val="en-GB"/>
        </w:rPr>
        <w:t xml:space="preserve">. Nor is there any explanation for the further 5-week delay that ensued </w:t>
      </w:r>
      <w:r w:rsidR="007E1773">
        <w:rPr>
          <w:rFonts w:cs="Arial"/>
          <w:szCs w:val="24"/>
          <w:lang w:val="en-GB"/>
        </w:rPr>
        <w:t xml:space="preserve">before delivery of the notices referred to in paragraph </w:t>
      </w:r>
      <w:r w:rsidR="007E1773">
        <w:rPr>
          <w:rFonts w:cs="Arial"/>
          <w:szCs w:val="24"/>
          <w:lang w:val="en-GB"/>
        </w:rPr>
        <w:fldChar w:fldCharType="begin"/>
      </w:r>
      <w:r w:rsidR="007E1773">
        <w:rPr>
          <w:rFonts w:cs="Arial"/>
          <w:szCs w:val="24"/>
          <w:lang w:val="en-GB"/>
        </w:rPr>
        <w:instrText xml:space="preserve"> REF _Ref149555764 \r \p \h </w:instrText>
      </w:r>
      <w:r w:rsidR="007E1773">
        <w:rPr>
          <w:rFonts w:cs="Arial"/>
          <w:szCs w:val="24"/>
          <w:lang w:val="en-GB"/>
        </w:rPr>
      </w:r>
      <w:r w:rsidR="007E1773">
        <w:rPr>
          <w:rFonts w:cs="Arial"/>
          <w:szCs w:val="24"/>
          <w:lang w:val="en-GB"/>
        </w:rPr>
        <w:fldChar w:fldCharType="separate"/>
      </w:r>
      <w:r w:rsidR="00E123A9">
        <w:rPr>
          <w:rFonts w:cs="Arial"/>
          <w:szCs w:val="24"/>
          <w:lang w:val="en-GB"/>
        </w:rPr>
        <w:t>3 above</w:t>
      </w:r>
      <w:r w:rsidR="007E1773">
        <w:rPr>
          <w:rFonts w:cs="Arial"/>
          <w:szCs w:val="24"/>
          <w:lang w:val="en-GB"/>
        </w:rPr>
        <w:fldChar w:fldCharType="end"/>
      </w:r>
      <w:r w:rsidR="00A4413B">
        <w:rPr>
          <w:rFonts w:cs="Arial"/>
          <w:szCs w:val="24"/>
          <w:lang w:val="en-GB"/>
        </w:rPr>
        <w:t>.</w:t>
      </w:r>
      <w:r w:rsidR="00D52F1B">
        <w:rPr>
          <w:rFonts w:cs="Arial"/>
          <w:szCs w:val="24"/>
          <w:lang w:val="en-GB"/>
        </w:rPr>
        <w:t xml:space="preserve"> Such explanation as is offered in the founding affidavit </w:t>
      </w:r>
      <w:r w:rsidR="0027456F">
        <w:rPr>
          <w:rFonts w:cs="Arial"/>
          <w:szCs w:val="24"/>
          <w:lang w:val="en-GB"/>
        </w:rPr>
        <w:t>was challenged in the answering affidavit as being of a hearsay nature</w:t>
      </w:r>
      <w:r w:rsidR="00D06D29">
        <w:rPr>
          <w:rFonts w:cs="Arial"/>
          <w:szCs w:val="24"/>
          <w:lang w:val="en-GB"/>
        </w:rPr>
        <w:t xml:space="preserve"> </w:t>
      </w:r>
      <w:r w:rsidR="0099596C">
        <w:rPr>
          <w:rFonts w:cs="Arial"/>
          <w:szCs w:val="24"/>
          <w:lang w:val="en-GB"/>
        </w:rPr>
        <w:t xml:space="preserve">– </w:t>
      </w:r>
      <w:r w:rsidR="00DC4719">
        <w:rPr>
          <w:rFonts w:cs="Arial"/>
          <w:szCs w:val="24"/>
          <w:lang w:val="en-GB"/>
        </w:rPr>
        <w:t>affairs of</w:t>
      </w:r>
      <w:r w:rsidR="0099596C">
        <w:rPr>
          <w:rFonts w:cs="Arial"/>
          <w:szCs w:val="24"/>
          <w:lang w:val="en-GB"/>
        </w:rPr>
        <w:t xml:space="preserve"> the legal team lying beyond the personal knowledge of the deponent – </w:t>
      </w:r>
      <w:r w:rsidR="00D06D29">
        <w:rPr>
          <w:rFonts w:cs="Arial"/>
          <w:szCs w:val="24"/>
          <w:lang w:val="en-GB"/>
        </w:rPr>
        <w:t>yet no attempt was made to remedy that position in reply.</w:t>
      </w:r>
    </w:p>
    <w:p w14:paraId="7F7AA3E0" w14:textId="35473BD5" w:rsidR="009428E0"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10.</w:t>
      </w:r>
      <w:r>
        <w:rPr>
          <w:rFonts w:cs="Arial"/>
          <w:bCs/>
          <w:iCs/>
          <w:szCs w:val="24"/>
          <w:lang w:val="en-GB"/>
        </w:rPr>
        <w:tab/>
      </w:r>
      <w:r w:rsidR="009428E0">
        <w:rPr>
          <w:rFonts w:cs="Arial"/>
          <w:szCs w:val="24"/>
          <w:lang w:val="en-GB"/>
        </w:rPr>
        <w:t>I</w:t>
      </w:r>
      <w:r w:rsidR="0041723F">
        <w:rPr>
          <w:rFonts w:cs="Arial"/>
          <w:szCs w:val="24"/>
          <w:lang w:val="en-GB"/>
        </w:rPr>
        <w:t>n the circumstances</w:t>
      </w:r>
      <w:r w:rsidR="00E844C4">
        <w:rPr>
          <w:rFonts w:cs="Arial"/>
          <w:szCs w:val="24"/>
          <w:lang w:val="en-GB"/>
        </w:rPr>
        <w:t xml:space="preserve">, </w:t>
      </w:r>
      <w:r w:rsidR="00257838">
        <w:rPr>
          <w:rFonts w:cs="Arial"/>
          <w:szCs w:val="24"/>
          <w:lang w:val="en-GB"/>
        </w:rPr>
        <w:t>I consider Selby to have failed</w:t>
      </w:r>
      <w:r w:rsidR="00C62010">
        <w:rPr>
          <w:rFonts w:cs="Arial"/>
          <w:szCs w:val="24"/>
          <w:lang w:val="en-GB"/>
        </w:rPr>
        <w:t xml:space="preserve"> to demonstrate </w:t>
      </w:r>
      <w:r w:rsidR="009428E0">
        <w:rPr>
          <w:rFonts w:cs="Arial"/>
          <w:szCs w:val="24"/>
          <w:lang w:val="en-GB"/>
        </w:rPr>
        <w:t xml:space="preserve">good cause for the relief sought in the </w:t>
      </w:r>
      <w:r w:rsidR="00C62010">
        <w:rPr>
          <w:rFonts w:cs="Arial"/>
          <w:szCs w:val="24"/>
          <w:lang w:val="en-GB"/>
        </w:rPr>
        <w:t xml:space="preserve">condonation </w:t>
      </w:r>
      <w:r w:rsidR="009428E0">
        <w:rPr>
          <w:rFonts w:cs="Arial"/>
          <w:szCs w:val="24"/>
          <w:lang w:val="en-GB"/>
        </w:rPr>
        <w:t>application</w:t>
      </w:r>
      <w:r w:rsidR="00F1515E">
        <w:rPr>
          <w:rFonts w:cs="Arial"/>
          <w:szCs w:val="24"/>
          <w:lang w:val="en-GB"/>
        </w:rPr>
        <w:t xml:space="preserve">, despite </w:t>
      </w:r>
      <w:r w:rsidR="006956CE">
        <w:rPr>
          <w:rFonts w:cs="Arial"/>
          <w:szCs w:val="24"/>
          <w:lang w:val="en-GB"/>
        </w:rPr>
        <w:t>rule 49(1)(b)</w:t>
      </w:r>
      <w:r w:rsidR="0056777D">
        <w:rPr>
          <w:rFonts w:cs="Arial"/>
          <w:szCs w:val="24"/>
          <w:lang w:val="en-GB"/>
        </w:rPr>
        <w:t>, well</w:t>
      </w:r>
      <w:r w:rsidR="00DE54CC">
        <w:rPr>
          <w:rFonts w:cs="Arial"/>
          <w:szCs w:val="24"/>
          <w:lang w:val="en-GB"/>
        </w:rPr>
        <w:t>-</w:t>
      </w:r>
      <w:r w:rsidR="0056777D">
        <w:rPr>
          <w:rFonts w:cs="Arial"/>
          <w:szCs w:val="24"/>
          <w:lang w:val="en-GB"/>
        </w:rPr>
        <w:t>known case law</w:t>
      </w:r>
      <w:r w:rsidR="0050341D" w:rsidRPr="00F955F5">
        <w:rPr>
          <w:rStyle w:val="FootnoteReference"/>
          <w:rFonts w:cs="Arial"/>
          <w:szCs w:val="24"/>
        </w:rPr>
        <w:footnoteReference w:id="2"/>
      </w:r>
      <w:r w:rsidR="006956CE">
        <w:rPr>
          <w:rFonts w:cs="Arial"/>
          <w:szCs w:val="24"/>
          <w:lang w:val="en-GB"/>
        </w:rPr>
        <w:t xml:space="preserve"> and </w:t>
      </w:r>
      <w:r w:rsidR="00F1515E">
        <w:rPr>
          <w:rFonts w:cs="Arial"/>
          <w:szCs w:val="24"/>
          <w:lang w:val="en-GB"/>
        </w:rPr>
        <w:t xml:space="preserve">the </w:t>
      </w:r>
      <w:r w:rsidR="00042BEE">
        <w:rPr>
          <w:rFonts w:cs="Arial"/>
          <w:szCs w:val="24"/>
          <w:lang w:val="en-GB"/>
        </w:rPr>
        <w:t xml:space="preserve">directive paraphrased in paragraph </w:t>
      </w:r>
      <w:r w:rsidR="00B6016D">
        <w:rPr>
          <w:rFonts w:cs="Arial"/>
          <w:szCs w:val="24"/>
          <w:lang w:val="en-GB"/>
        </w:rPr>
        <w:fldChar w:fldCharType="begin"/>
      </w:r>
      <w:r w:rsidR="00B6016D">
        <w:rPr>
          <w:rFonts w:cs="Arial"/>
          <w:szCs w:val="24"/>
          <w:lang w:val="en-GB"/>
        </w:rPr>
        <w:instrText xml:space="preserve"> REF _Ref149594270 \r \p \h </w:instrText>
      </w:r>
      <w:r w:rsidR="00B6016D">
        <w:rPr>
          <w:rFonts w:cs="Arial"/>
          <w:szCs w:val="24"/>
          <w:lang w:val="en-GB"/>
        </w:rPr>
      </w:r>
      <w:r w:rsidR="00B6016D">
        <w:rPr>
          <w:rFonts w:cs="Arial"/>
          <w:szCs w:val="24"/>
          <w:lang w:val="en-GB"/>
        </w:rPr>
        <w:fldChar w:fldCharType="separate"/>
      </w:r>
      <w:r w:rsidR="00E123A9">
        <w:rPr>
          <w:rFonts w:cs="Arial"/>
          <w:szCs w:val="24"/>
          <w:lang w:val="en-GB"/>
        </w:rPr>
        <w:t>4.2 above</w:t>
      </w:r>
      <w:r w:rsidR="00B6016D">
        <w:rPr>
          <w:rFonts w:cs="Arial"/>
          <w:szCs w:val="24"/>
          <w:lang w:val="en-GB"/>
        </w:rPr>
        <w:fldChar w:fldCharType="end"/>
      </w:r>
      <w:r w:rsidR="009428E0">
        <w:rPr>
          <w:rFonts w:cs="Arial"/>
          <w:szCs w:val="24"/>
          <w:lang w:val="en-GB"/>
        </w:rPr>
        <w:t>.</w:t>
      </w:r>
      <w:r w:rsidR="00460DD2">
        <w:rPr>
          <w:rFonts w:cs="Arial"/>
          <w:szCs w:val="24"/>
          <w:lang w:val="en-GB"/>
        </w:rPr>
        <w:t xml:space="preserve"> The application for leave to appeal should be dismissed for that reason alone.</w:t>
      </w:r>
    </w:p>
    <w:p w14:paraId="1CB73D30" w14:textId="6C9BEFB1" w:rsidR="006D29B3"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11.</w:t>
      </w:r>
      <w:r>
        <w:rPr>
          <w:rFonts w:cs="Arial"/>
          <w:bCs/>
          <w:iCs/>
          <w:szCs w:val="24"/>
          <w:lang w:val="en-GB"/>
        </w:rPr>
        <w:tab/>
      </w:r>
      <w:r w:rsidR="00385A95">
        <w:rPr>
          <w:rFonts w:cs="Arial"/>
          <w:szCs w:val="24"/>
          <w:lang w:val="en-GB"/>
        </w:rPr>
        <w:t xml:space="preserve">Out of caution, I proceed to consider the merits of </w:t>
      </w:r>
      <w:r w:rsidR="004C6236">
        <w:rPr>
          <w:rFonts w:cs="Arial"/>
          <w:szCs w:val="24"/>
          <w:lang w:val="en-GB"/>
        </w:rPr>
        <w:t xml:space="preserve">that </w:t>
      </w:r>
      <w:r w:rsidR="00385A95">
        <w:rPr>
          <w:rFonts w:cs="Arial"/>
          <w:szCs w:val="24"/>
          <w:lang w:val="en-GB"/>
        </w:rPr>
        <w:t xml:space="preserve">application. </w:t>
      </w:r>
    </w:p>
    <w:p w14:paraId="206BC796" w14:textId="5E43DDAC" w:rsidR="009428E0"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12.</w:t>
      </w:r>
      <w:r>
        <w:rPr>
          <w:rFonts w:cs="Arial"/>
          <w:bCs/>
          <w:iCs/>
          <w:szCs w:val="24"/>
          <w:lang w:val="en-GB"/>
        </w:rPr>
        <w:tab/>
      </w:r>
      <w:r w:rsidR="009428E0">
        <w:rPr>
          <w:rFonts w:cs="Arial"/>
          <w:szCs w:val="24"/>
          <w:lang w:val="en-GB"/>
        </w:rPr>
        <w:t>The grounds on which Selby seeks leave to appeal against my judgment and order are</w:t>
      </w:r>
      <w:r w:rsidR="00385A95">
        <w:rPr>
          <w:rFonts w:cs="Arial"/>
          <w:szCs w:val="24"/>
          <w:lang w:val="en-GB"/>
        </w:rPr>
        <w:t>, in essence,</w:t>
      </w:r>
      <w:r w:rsidR="009428E0">
        <w:rPr>
          <w:rFonts w:cs="Arial"/>
          <w:szCs w:val="24"/>
          <w:lang w:val="en-GB"/>
        </w:rPr>
        <w:t xml:space="preserve"> that</w:t>
      </w:r>
      <w:r w:rsidR="005A7F17">
        <w:rPr>
          <w:rFonts w:cs="Arial"/>
          <w:szCs w:val="24"/>
          <w:lang w:val="en-GB"/>
        </w:rPr>
        <w:t xml:space="preserve"> I erred in</w:t>
      </w:r>
      <w:r w:rsidR="009428E0">
        <w:rPr>
          <w:rFonts w:cs="Arial"/>
          <w:szCs w:val="24"/>
          <w:lang w:val="en-GB"/>
        </w:rPr>
        <w:t>:</w:t>
      </w:r>
    </w:p>
    <w:p w14:paraId="61D49810" w14:textId="39A7325D" w:rsidR="009428E0" w:rsidRDefault="00753FBC" w:rsidP="00753FBC">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12.1.</w:t>
      </w:r>
      <w:r>
        <w:rPr>
          <w:rFonts w:cs="Arial"/>
          <w:szCs w:val="24"/>
          <w:lang w:val="en-GB"/>
        </w:rPr>
        <w:tab/>
      </w:r>
      <w:r w:rsidR="005A7F17">
        <w:rPr>
          <w:rFonts w:cs="Arial"/>
          <w:szCs w:val="24"/>
          <w:lang w:val="en-GB"/>
        </w:rPr>
        <w:t xml:space="preserve">ordering </w:t>
      </w:r>
      <w:r w:rsidR="00920677">
        <w:rPr>
          <w:rFonts w:cs="Arial"/>
          <w:szCs w:val="24"/>
          <w:lang w:val="en-GB"/>
        </w:rPr>
        <w:t xml:space="preserve">the release of the vehicle to Santam against </w:t>
      </w:r>
      <w:r w:rsidR="00940049">
        <w:rPr>
          <w:rFonts w:cs="Arial"/>
          <w:szCs w:val="24"/>
          <w:lang w:val="en-GB"/>
        </w:rPr>
        <w:t>entrust</w:t>
      </w:r>
      <w:r w:rsidR="00F433D0">
        <w:rPr>
          <w:rFonts w:cs="Arial"/>
          <w:szCs w:val="24"/>
          <w:lang w:val="en-GB"/>
        </w:rPr>
        <w:t>ment</w:t>
      </w:r>
      <w:r w:rsidR="009A010C">
        <w:rPr>
          <w:rFonts w:cs="Arial"/>
          <w:szCs w:val="24"/>
          <w:lang w:val="en-GB"/>
        </w:rPr>
        <w:t xml:space="preserve"> of cash</w:t>
      </w:r>
      <w:r w:rsidR="00920677">
        <w:rPr>
          <w:rFonts w:cs="Arial"/>
          <w:szCs w:val="24"/>
          <w:lang w:val="en-GB"/>
        </w:rPr>
        <w:t xml:space="preserve"> security as opposed to </w:t>
      </w:r>
      <w:r w:rsidR="00FA2CB3">
        <w:rPr>
          <w:rFonts w:cs="Arial"/>
          <w:szCs w:val="24"/>
          <w:lang w:val="en-GB"/>
        </w:rPr>
        <w:t>“</w:t>
      </w:r>
      <w:r w:rsidR="00FA2CB3">
        <w:rPr>
          <w:rFonts w:cs="Arial"/>
          <w:i/>
          <w:iCs/>
          <w:szCs w:val="24"/>
          <w:lang w:val="en-GB"/>
        </w:rPr>
        <w:t>concom</w:t>
      </w:r>
      <w:r w:rsidR="00D276F3">
        <w:rPr>
          <w:rFonts w:cs="Arial"/>
          <w:i/>
          <w:iCs/>
          <w:szCs w:val="24"/>
          <w:lang w:val="en-GB"/>
        </w:rPr>
        <w:t>itant payment to [Selby] for payment of the services rendered on the vehicle</w:t>
      </w:r>
      <w:r w:rsidR="00FA4707">
        <w:rPr>
          <w:rFonts w:cs="Arial"/>
          <w:i/>
          <w:iCs/>
          <w:szCs w:val="24"/>
          <w:lang w:val="en-GB"/>
        </w:rPr>
        <w:t>.</w:t>
      </w:r>
      <w:r w:rsidR="00FA2CB3">
        <w:rPr>
          <w:rFonts w:cs="Arial"/>
          <w:szCs w:val="24"/>
          <w:lang w:val="en-GB"/>
        </w:rPr>
        <w:t>”</w:t>
      </w:r>
      <w:r w:rsidR="00C43882">
        <w:rPr>
          <w:rFonts w:cs="Arial"/>
          <w:szCs w:val="24"/>
          <w:lang w:val="en-GB"/>
        </w:rPr>
        <w:t xml:space="preserve"> According to Selby, </w:t>
      </w:r>
      <w:r w:rsidR="00B93E08">
        <w:rPr>
          <w:rFonts w:cs="Arial"/>
          <w:szCs w:val="24"/>
          <w:lang w:val="en-GB"/>
        </w:rPr>
        <w:t>I “</w:t>
      </w:r>
      <w:r w:rsidR="00B93E08" w:rsidRPr="00FF6CB4">
        <w:rPr>
          <w:rFonts w:cs="Arial"/>
          <w:i/>
          <w:iCs/>
          <w:szCs w:val="24"/>
          <w:lang w:val="en-GB"/>
        </w:rPr>
        <w:t>shoul</w:t>
      </w:r>
      <w:r w:rsidR="005B14E8">
        <w:rPr>
          <w:rFonts w:cs="Arial"/>
          <w:i/>
          <w:iCs/>
          <w:szCs w:val="24"/>
          <w:lang w:val="en-GB"/>
        </w:rPr>
        <w:t>d have gone ahead to finalise the matter by ruling that [Santam] must effect actual payment for all the costs to [Selby]</w:t>
      </w:r>
      <w:r w:rsidR="00A728BF">
        <w:rPr>
          <w:rFonts w:cs="Arial"/>
          <w:i/>
          <w:iCs/>
          <w:szCs w:val="24"/>
          <w:lang w:val="en-GB"/>
        </w:rPr>
        <w:t xml:space="preserve"> as per [Selby’s] defence in the application proceedings</w:t>
      </w:r>
      <w:r w:rsidR="00B93E08">
        <w:rPr>
          <w:rFonts w:cs="Arial"/>
          <w:szCs w:val="24"/>
          <w:lang w:val="en-GB"/>
        </w:rPr>
        <w:t>”</w:t>
      </w:r>
      <w:r w:rsidR="009A010C">
        <w:rPr>
          <w:rFonts w:cs="Arial"/>
          <w:szCs w:val="24"/>
          <w:lang w:val="en-GB"/>
        </w:rPr>
        <w:t>;</w:t>
      </w:r>
      <w:r w:rsidR="00D4324D">
        <w:rPr>
          <w:rStyle w:val="FootnoteReference"/>
          <w:rFonts w:cs="Arial"/>
          <w:szCs w:val="24"/>
          <w:lang w:val="en-GB"/>
        </w:rPr>
        <w:footnoteReference w:id="3"/>
      </w:r>
    </w:p>
    <w:p w14:paraId="146B4D24" w14:textId="01C33A7B" w:rsidR="00BF567D" w:rsidRDefault="00753FBC" w:rsidP="00753FBC">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12.2.</w:t>
      </w:r>
      <w:r>
        <w:rPr>
          <w:rFonts w:cs="Arial"/>
          <w:szCs w:val="24"/>
          <w:lang w:val="en-GB"/>
        </w:rPr>
        <w:tab/>
      </w:r>
      <w:r w:rsidR="00740E5B">
        <w:rPr>
          <w:rFonts w:cs="Arial"/>
          <w:szCs w:val="24"/>
          <w:lang w:val="en-GB"/>
        </w:rPr>
        <w:t>effectively and prejudicially</w:t>
      </w:r>
      <w:r w:rsidR="00A01946">
        <w:rPr>
          <w:rFonts w:cs="Arial"/>
          <w:szCs w:val="24"/>
          <w:lang w:val="en-GB"/>
        </w:rPr>
        <w:t xml:space="preserve"> </w:t>
      </w:r>
      <w:r w:rsidR="00A642A4">
        <w:rPr>
          <w:rFonts w:cs="Arial"/>
          <w:szCs w:val="24"/>
          <w:lang w:val="en-GB"/>
        </w:rPr>
        <w:t>requiring Selby to institute “</w:t>
      </w:r>
      <w:r w:rsidR="00A642A4">
        <w:rPr>
          <w:rFonts w:cs="Arial"/>
          <w:i/>
          <w:iCs/>
          <w:szCs w:val="24"/>
          <w:lang w:val="en-GB"/>
        </w:rPr>
        <w:t xml:space="preserve">a fresh application </w:t>
      </w:r>
      <w:r w:rsidR="001A5B0E">
        <w:rPr>
          <w:rFonts w:cs="Arial"/>
          <w:i/>
          <w:iCs/>
          <w:szCs w:val="24"/>
          <w:lang w:val="en-GB"/>
        </w:rPr>
        <w:t>[</w:t>
      </w:r>
      <w:r w:rsidR="006846DD">
        <w:rPr>
          <w:rFonts w:cs="Arial"/>
          <w:i/>
          <w:iCs/>
          <w:szCs w:val="24"/>
          <w:lang w:val="en-GB"/>
        </w:rPr>
        <w:t>to recover payment for such services</w:t>
      </w:r>
      <w:r w:rsidR="001A5B0E">
        <w:rPr>
          <w:rFonts w:cs="Arial"/>
          <w:i/>
          <w:iCs/>
          <w:szCs w:val="24"/>
          <w:lang w:val="en-GB"/>
        </w:rPr>
        <w:t>]</w:t>
      </w:r>
      <w:r w:rsidR="006846DD">
        <w:rPr>
          <w:rFonts w:cs="Arial"/>
          <w:i/>
          <w:iCs/>
          <w:szCs w:val="24"/>
          <w:lang w:val="en-GB"/>
        </w:rPr>
        <w:t xml:space="preserve"> </w:t>
      </w:r>
      <w:r w:rsidR="00A642A4">
        <w:rPr>
          <w:rFonts w:cs="Arial"/>
          <w:i/>
          <w:iCs/>
          <w:szCs w:val="24"/>
          <w:lang w:val="en-GB"/>
        </w:rPr>
        <w:t xml:space="preserve">would be an illogical step and unreasonably delay [Selby’s] recovery </w:t>
      </w:r>
      <w:r w:rsidR="00F83F50">
        <w:rPr>
          <w:rFonts w:cs="Arial"/>
          <w:i/>
          <w:iCs/>
          <w:szCs w:val="24"/>
          <w:lang w:val="en-GB"/>
        </w:rPr>
        <w:t>of expenses in this regard</w:t>
      </w:r>
      <w:r w:rsidR="00A642A4">
        <w:rPr>
          <w:rFonts w:cs="Arial"/>
          <w:szCs w:val="24"/>
          <w:lang w:val="en-GB"/>
        </w:rPr>
        <w:t xml:space="preserve">” </w:t>
      </w:r>
      <w:r w:rsidR="00F83F50">
        <w:rPr>
          <w:rFonts w:cs="Arial"/>
          <w:szCs w:val="24"/>
          <w:lang w:val="en-GB"/>
        </w:rPr>
        <w:t xml:space="preserve">because </w:t>
      </w:r>
      <w:r w:rsidR="00F83F50">
        <w:rPr>
          <w:rFonts w:cs="Arial"/>
          <w:szCs w:val="24"/>
          <w:lang w:val="en-GB"/>
        </w:rPr>
        <w:lastRenderedPageBreak/>
        <w:t>“</w:t>
      </w:r>
      <w:r w:rsidR="00F83F50">
        <w:rPr>
          <w:rFonts w:cs="Arial"/>
          <w:i/>
          <w:iCs/>
          <w:szCs w:val="24"/>
          <w:lang w:val="en-GB"/>
        </w:rPr>
        <w:t>[i]t was thus common cause between the parties that [Santam] had to pay [Selby] for services done on the vehicle and [Selby] would thus be bound to release the said vehicle, accordingly</w:t>
      </w:r>
      <w:r w:rsidR="00320470">
        <w:rPr>
          <w:rFonts w:cs="Arial"/>
          <w:szCs w:val="24"/>
          <w:lang w:val="en-GB"/>
        </w:rPr>
        <w:t>”;</w:t>
      </w:r>
      <w:r w:rsidR="00320470">
        <w:rPr>
          <w:rStyle w:val="FootnoteReference"/>
          <w:rFonts w:cs="Arial"/>
          <w:szCs w:val="24"/>
          <w:lang w:val="en-GB"/>
        </w:rPr>
        <w:footnoteReference w:id="4"/>
      </w:r>
      <w:r w:rsidR="002B7574">
        <w:rPr>
          <w:rFonts w:cs="Arial"/>
          <w:szCs w:val="24"/>
          <w:lang w:val="en-GB"/>
        </w:rPr>
        <w:t xml:space="preserve"> and</w:t>
      </w:r>
    </w:p>
    <w:p w14:paraId="09341A9F" w14:textId="16F3783B" w:rsidR="006D4413" w:rsidRDefault="00753FBC" w:rsidP="00753FBC">
      <w:pPr>
        <w:pStyle w:val="WLGLevel1"/>
        <w:keepNext/>
        <w:numPr>
          <w:ilvl w:val="0"/>
          <w:numId w:val="0"/>
        </w:numPr>
        <w:tabs>
          <w:tab w:val="left" w:pos="1560"/>
        </w:tabs>
        <w:suppressAutoHyphens w:val="0"/>
        <w:spacing w:before="0" w:after="480"/>
        <w:ind w:left="1560" w:hanging="851"/>
        <w:rPr>
          <w:rFonts w:cs="Arial"/>
          <w:szCs w:val="24"/>
          <w:lang w:val="en-GB"/>
        </w:rPr>
      </w:pPr>
      <w:bookmarkStart w:id="3" w:name="_Ref149640375"/>
      <w:r>
        <w:rPr>
          <w:rFonts w:cs="Arial"/>
          <w:szCs w:val="24"/>
          <w:lang w:val="en-GB"/>
        </w:rPr>
        <w:t>12.3.</w:t>
      </w:r>
      <w:r>
        <w:rPr>
          <w:rFonts w:cs="Arial"/>
          <w:szCs w:val="24"/>
          <w:lang w:val="en-GB"/>
        </w:rPr>
        <w:tab/>
      </w:r>
      <w:r w:rsidR="005A7F17">
        <w:rPr>
          <w:rFonts w:cs="Arial"/>
          <w:szCs w:val="24"/>
          <w:lang w:val="en-GB"/>
        </w:rPr>
        <w:t xml:space="preserve">awarding </w:t>
      </w:r>
      <w:r w:rsidR="00552CB2">
        <w:rPr>
          <w:rFonts w:cs="Arial"/>
          <w:szCs w:val="24"/>
          <w:lang w:val="en-GB"/>
        </w:rPr>
        <w:t>a costs order</w:t>
      </w:r>
      <w:r w:rsidR="00386D94">
        <w:rPr>
          <w:rFonts w:cs="Arial"/>
          <w:szCs w:val="24"/>
          <w:lang w:val="en-GB"/>
        </w:rPr>
        <w:t xml:space="preserve"> against Selby in circumstances in which</w:t>
      </w:r>
      <w:r w:rsidR="006D4413">
        <w:rPr>
          <w:rFonts w:cs="Arial"/>
          <w:szCs w:val="24"/>
          <w:lang w:val="en-GB"/>
        </w:rPr>
        <w:t>:</w:t>
      </w:r>
      <w:bookmarkEnd w:id="3"/>
    </w:p>
    <w:p w14:paraId="5CC6EABC" w14:textId="1051388F" w:rsidR="006D4413" w:rsidRDefault="00753FBC" w:rsidP="00753FBC">
      <w:pPr>
        <w:pStyle w:val="WLGLevel1"/>
        <w:numPr>
          <w:ilvl w:val="0"/>
          <w:numId w:val="0"/>
        </w:numPr>
        <w:tabs>
          <w:tab w:val="left" w:pos="2552"/>
        </w:tabs>
        <w:suppressAutoHyphens w:val="0"/>
        <w:spacing w:before="0" w:after="480"/>
        <w:ind w:left="2552" w:hanging="992"/>
        <w:rPr>
          <w:rFonts w:cs="Arial"/>
          <w:szCs w:val="24"/>
          <w:lang w:val="en-GB"/>
        </w:rPr>
      </w:pPr>
      <w:r>
        <w:rPr>
          <w:rFonts w:cs="Arial"/>
          <w:szCs w:val="24"/>
          <w:lang w:val="en-GB"/>
        </w:rPr>
        <w:t>12.3.1.</w:t>
      </w:r>
      <w:r>
        <w:rPr>
          <w:rFonts w:cs="Arial"/>
          <w:szCs w:val="24"/>
          <w:lang w:val="en-GB"/>
        </w:rPr>
        <w:tab/>
      </w:r>
      <w:r w:rsidR="00386D94">
        <w:rPr>
          <w:rFonts w:cs="Arial"/>
          <w:szCs w:val="24"/>
          <w:lang w:val="en-GB"/>
        </w:rPr>
        <w:t xml:space="preserve">it had acted in good faith </w:t>
      </w:r>
      <w:r w:rsidR="00D86BF9">
        <w:rPr>
          <w:rFonts w:cs="Arial"/>
          <w:szCs w:val="24"/>
          <w:lang w:val="en-GB"/>
        </w:rPr>
        <w:t xml:space="preserve">and reasonably </w:t>
      </w:r>
      <w:r w:rsidR="00D21CAA">
        <w:rPr>
          <w:rFonts w:cs="Arial"/>
          <w:szCs w:val="24"/>
          <w:lang w:val="en-GB"/>
        </w:rPr>
        <w:t xml:space="preserve">in seeking payment of its costs </w:t>
      </w:r>
      <w:r w:rsidR="006C1419">
        <w:rPr>
          <w:rFonts w:cs="Arial"/>
          <w:szCs w:val="24"/>
          <w:lang w:val="en-GB"/>
        </w:rPr>
        <w:t>in return for the rele</w:t>
      </w:r>
      <w:r w:rsidR="003962D2">
        <w:rPr>
          <w:rFonts w:cs="Arial"/>
          <w:szCs w:val="24"/>
          <w:lang w:val="en-GB"/>
        </w:rPr>
        <w:t>ase of the vehicle</w:t>
      </w:r>
      <w:r w:rsidR="006D4413">
        <w:rPr>
          <w:rFonts w:cs="Arial"/>
          <w:szCs w:val="24"/>
          <w:lang w:val="en-GB"/>
        </w:rPr>
        <w:t>; and</w:t>
      </w:r>
    </w:p>
    <w:p w14:paraId="33DA7E19" w14:textId="771C3604" w:rsidR="009428E0" w:rsidRDefault="00753FBC" w:rsidP="00753FBC">
      <w:pPr>
        <w:pStyle w:val="WLGLevel1"/>
        <w:numPr>
          <w:ilvl w:val="0"/>
          <w:numId w:val="0"/>
        </w:numPr>
        <w:tabs>
          <w:tab w:val="left" w:pos="2552"/>
        </w:tabs>
        <w:suppressAutoHyphens w:val="0"/>
        <w:spacing w:before="0" w:after="480"/>
        <w:ind w:left="2552" w:hanging="992"/>
        <w:rPr>
          <w:rFonts w:cs="Arial"/>
          <w:szCs w:val="24"/>
          <w:lang w:val="en-GB"/>
        </w:rPr>
      </w:pPr>
      <w:r>
        <w:rPr>
          <w:rFonts w:cs="Arial"/>
          <w:szCs w:val="24"/>
          <w:lang w:val="en-GB"/>
        </w:rPr>
        <w:t>12.3.2.</w:t>
      </w:r>
      <w:r>
        <w:rPr>
          <w:rFonts w:cs="Arial"/>
          <w:szCs w:val="24"/>
          <w:lang w:val="en-GB"/>
        </w:rPr>
        <w:tab/>
      </w:r>
      <w:r w:rsidR="006D4413">
        <w:rPr>
          <w:rFonts w:cs="Arial"/>
          <w:szCs w:val="24"/>
          <w:lang w:val="en-GB"/>
        </w:rPr>
        <w:t>Santam</w:t>
      </w:r>
      <w:r w:rsidR="002C70B8">
        <w:rPr>
          <w:rFonts w:cs="Arial"/>
          <w:szCs w:val="24"/>
          <w:lang w:val="en-GB"/>
        </w:rPr>
        <w:t xml:space="preserve"> had not achieved substantial success in the main application</w:t>
      </w:r>
      <w:r w:rsidR="009428E0">
        <w:rPr>
          <w:rFonts w:cs="Arial"/>
          <w:szCs w:val="24"/>
          <w:lang w:val="en-GB"/>
        </w:rPr>
        <w:t>.</w:t>
      </w:r>
      <w:r w:rsidR="000D3AA6">
        <w:rPr>
          <w:rStyle w:val="FootnoteReference"/>
          <w:rFonts w:cs="Arial"/>
          <w:szCs w:val="24"/>
          <w:lang w:val="en-GB"/>
        </w:rPr>
        <w:footnoteReference w:id="5"/>
      </w:r>
    </w:p>
    <w:p w14:paraId="6AF35C97" w14:textId="6A87CEFA" w:rsidR="009428E0"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13.</w:t>
      </w:r>
      <w:r>
        <w:rPr>
          <w:rFonts w:cs="Arial"/>
          <w:bCs/>
          <w:iCs/>
          <w:szCs w:val="24"/>
          <w:lang w:val="en-GB"/>
        </w:rPr>
        <w:tab/>
      </w:r>
      <w:r w:rsidR="0066641F">
        <w:rPr>
          <w:rFonts w:cs="Arial"/>
          <w:szCs w:val="24"/>
          <w:lang w:val="en-GB"/>
        </w:rPr>
        <w:t xml:space="preserve">The first </w:t>
      </w:r>
      <w:r w:rsidR="009428E0">
        <w:rPr>
          <w:rFonts w:cs="Arial"/>
          <w:szCs w:val="24"/>
          <w:lang w:val="en-GB"/>
        </w:rPr>
        <w:t xml:space="preserve">ground of appeal </w:t>
      </w:r>
      <w:r w:rsidR="0066641F">
        <w:rPr>
          <w:rFonts w:cs="Arial"/>
          <w:szCs w:val="24"/>
          <w:lang w:val="en-GB"/>
        </w:rPr>
        <w:t xml:space="preserve">is </w:t>
      </w:r>
      <w:r w:rsidR="009428E0">
        <w:rPr>
          <w:rFonts w:cs="Arial"/>
          <w:szCs w:val="24"/>
          <w:lang w:val="en-GB"/>
        </w:rPr>
        <w:t xml:space="preserve">to the effect that, in considering and deciding the main application, I ought to have determined the underlying money dispute between the parties because, as I understand the argument, failing to do so would </w:t>
      </w:r>
      <w:r w:rsidR="00AC5EA6">
        <w:rPr>
          <w:rFonts w:cs="Arial"/>
          <w:szCs w:val="24"/>
          <w:lang w:val="en-GB"/>
        </w:rPr>
        <w:t xml:space="preserve">effectively </w:t>
      </w:r>
      <w:r w:rsidR="009428E0">
        <w:rPr>
          <w:rFonts w:cs="Arial"/>
          <w:szCs w:val="24"/>
          <w:lang w:val="en-GB"/>
        </w:rPr>
        <w:t xml:space="preserve">deprive Selby of a remedy inasmuch as it would make no commercial sense to initiate litigation aimed at recovering what it considers to be the outstanding storage </w:t>
      </w:r>
      <w:r w:rsidR="001C2DE1">
        <w:rPr>
          <w:rFonts w:cs="Arial"/>
          <w:lang w:val="en-GB"/>
        </w:rPr>
        <w:t>charges</w:t>
      </w:r>
      <w:r w:rsidR="009428E0">
        <w:rPr>
          <w:rFonts w:cs="Arial"/>
          <w:szCs w:val="24"/>
          <w:lang w:val="en-GB"/>
        </w:rPr>
        <w:t>.</w:t>
      </w:r>
    </w:p>
    <w:p w14:paraId="62D99F93" w14:textId="673E6577" w:rsidR="00B572D7" w:rsidRDefault="00753FBC" w:rsidP="00753FBC">
      <w:pPr>
        <w:pStyle w:val="WLGLevel1"/>
        <w:numPr>
          <w:ilvl w:val="0"/>
          <w:numId w:val="0"/>
        </w:numPr>
        <w:suppressAutoHyphens w:val="0"/>
        <w:spacing w:before="0" w:after="480"/>
        <w:ind w:left="709" w:hanging="709"/>
        <w:rPr>
          <w:rFonts w:cs="Arial"/>
          <w:szCs w:val="24"/>
          <w:lang w:val="en-GB"/>
        </w:rPr>
      </w:pPr>
      <w:bookmarkStart w:id="4" w:name="_Ref149639961"/>
      <w:r>
        <w:rPr>
          <w:rFonts w:cs="Arial"/>
          <w:bCs/>
          <w:iCs/>
          <w:szCs w:val="24"/>
          <w:lang w:val="en-GB"/>
        </w:rPr>
        <w:t>14.</w:t>
      </w:r>
      <w:r>
        <w:rPr>
          <w:rFonts w:cs="Arial"/>
          <w:bCs/>
          <w:iCs/>
          <w:szCs w:val="24"/>
          <w:lang w:val="en-GB"/>
        </w:rPr>
        <w:tab/>
      </w:r>
      <w:r w:rsidR="009428E0">
        <w:rPr>
          <w:rFonts w:cs="Arial"/>
          <w:szCs w:val="24"/>
          <w:lang w:val="en-GB"/>
        </w:rPr>
        <w:t xml:space="preserve">The </w:t>
      </w:r>
      <w:r w:rsidR="00AC5EA6">
        <w:rPr>
          <w:rFonts w:cs="Arial"/>
          <w:szCs w:val="24"/>
          <w:lang w:val="en-GB"/>
        </w:rPr>
        <w:t>argument</w:t>
      </w:r>
      <w:r w:rsidR="009428E0">
        <w:rPr>
          <w:rFonts w:cs="Arial"/>
          <w:szCs w:val="24"/>
          <w:lang w:val="en-GB"/>
        </w:rPr>
        <w:t xml:space="preserve"> is without merit, in my view, because it misconceives the nature of the main application brought by Santam, which seeks an order substituting cash </w:t>
      </w:r>
      <w:r w:rsidR="009428E0">
        <w:rPr>
          <w:rFonts w:cs="Arial"/>
          <w:szCs w:val="24"/>
          <w:lang w:val="en-GB"/>
        </w:rPr>
        <w:lastRenderedPageBreak/>
        <w:t xml:space="preserve">security for security previously provided by the vehicle retained by Selby. The merits of Selby’s claim for residual storage </w:t>
      </w:r>
      <w:r w:rsidR="001C2DE1">
        <w:rPr>
          <w:rFonts w:cs="Arial"/>
          <w:lang w:val="en-GB"/>
        </w:rPr>
        <w:t xml:space="preserve">charges </w:t>
      </w:r>
      <w:r w:rsidR="009428E0">
        <w:rPr>
          <w:rFonts w:cs="Arial"/>
          <w:szCs w:val="24"/>
          <w:lang w:val="en-GB"/>
        </w:rPr>
        <w:t xml:space="preserve">were not before me in the main application and are unpersuasive as a ground of appeal in this application. Before me in the main application was </w:t>
      </w:r>
      <w:r w:rsidR="00FD737D">
        <w:rPr>
          <w:rFonts w:cs="Arial"/>
          <w:szCs w:val="24"/>
          <w:lang w:val="en-GB"/>
        </w:rPr>
        <w:t xml:space="preserve">(only) </w:t>
      </w:r>
      <w:r w:rsidR="009428E0">
        <w:rPr>
          <w:rFonts w:cs="Arial"/>
          <w:szCs w:val="24"/>
          <w:lang w:val="en-GB"/>
        </w:rPr>
        <w:t xml:space="preserve">the question whether the cash tendered by Santam would suffice to secure a successful outcome to litigation envisaged to be initiated by Selby in vindication of its asserted claim for storage </w:t>
      </w:r>
      <w:r w:rsidR="001C2DE1">
        <w:rPr>
          <w:rFonts w:cs="Arial"/>
          <w:lang w:val="en-GB"/>
        </w:rPr>
        <w:t>charges</w:t>
      </w:r>
      <w:r w:rsidR="009428E0">
        <w:rPr>
          <w:rFonts w:cs="Arial"/>
          <w:szCs w:val="24"/>
          <w:lang w:val="en-GB"/>
        </w:rPr>
        <w:t>.</w:t>
      </w:r>
      <w:r w:rsidR="00D22594">
        <w:rPr>
          <w:rStyle w:val="FootnoteReference"/>
          <w:rFonts w:cs="Arial"/>
          <w:szCs w:val="24"/>
          <w:lang w:val="en-GB"/>
        </w:rPr>
        <w:footnoteReference w:id="6"/>
      </w:r>
      <w:r w:rsidR="0059255F">
        <w:rPr>
          <w:rFonts w:cs="Arial"/>
          <w:szCs w:val="24"/>
          <w:lang w:val="en-GB"/>
        </w:rPr>
        <w:t xml:space="preserve"> I was </w:t>
      </w:r>
      <w:r w:rsidR="00B572D7">
        <w:rPr>
          <w:rFonts w:cs="Arial"/>
          <w:szCs w:val="24"/>
          <w:lang w:val="en-GB"/>
        </w:rPr>
        <w:t xml:space="preserve">satisfied of </w:t>
      </w:r>
      <w:r w:rsidR="001062AD">
        <w:rPr>
          <w:rFonts w:cs="Arial"/>
          <w:szCs w:val="24"/>
          <w:lang w:val="en-GB"/>
        </w:rPr>
        <w:t xml:space="preserve">that security’s </w:t>
      </w:r>
      <w:r w:rsidR="00B572D7">
        <w:rPr>
          <w:rFonts w:cs="Arial"/>
          <w:szCs w:val="24"/>
          <w:lang w:val="en-GB"/>
        </w:rPr>
        <w:t>sufficiency</w:t>
      </w:r>
      <w:r w:rsidR="001E581F">
        <w:rPr>
          <w:rFonts w:cs="Arial"/>
          <w:szCs w:val="24"/>
          <w:lang w:val="en-GB"/>
        </w:rPr>
        <w:t xml:space="preserve"> and exercised my discretion accordingly</w:t>
      </w:r>
      <w:r w:rsidR="00B572D7">
        <w:rPr>
          <w:rFonts w:cs="Arial"/>
          <w:szCs w:val="24"/>
          <w:lang w:val="en-GB"/>
        </w:rPr>
        <w:t>.</w:t>
      </w:r>
      <w:bookmarkEnd w:id="4"/>
    </w:p>
    <w:p w14:paraId="55A14E51" w14:textId="4EFD51F8" w:rsidR="00232AB0"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15.</w:t>
      </w:r>
      <w:r>
        <w:rPr>
          <w:rFonts w:cs="Arial"/>
          <w:bCs/>
          <w:iCs/>
          <w:szCs w:val="24"/>
          <w:lang w:val="en-GB"/>
        </w:rPr>
        <w:tab/>
      </w:r>
      <w:r w:rsidR="00865940">
        <w:rPr>
          <w:rFonts w:cs="Arial"/>
          <w:szCs w:val="24"/>
          <w:lang w:val="en-GB"/>
        </w:rPr>
        <w:t>In argument in this application,</w:t>
      </w:r>
      <w:r w:rsidR="00865940" w:rsidRPr="00865940">
        <w:rPr>
          <w:rFonts w:cs="Arial"/>
          <w:szCs w:val="24"/>
          <w:lang w:val="en-GB"/>
        </w:rPr>
        <w:t xml:space="preserve"> </w:t>
      </w:r>
      <w:r w:rsidR="00865940">
        <w:rPr>
          <w:rFonts w:cs="Arial"/>
          <w:szCs w:val="24"/>
          <w:lang w:val="en-GB"/>
        </w:rPr>
        <w:t xml:space="preserve">Mr </w:t>
      </w:r>
      <w:r w:rsidR="00865940">
        <w:rPr>
          <w:rFonts w:cs="Arial"/>
          <w:lang w:val="en-GB"/>
        </w:rPr>
        <w:t>Ncongwane a</w:t>
      </w:r>
      <w:r w:rsidR="00273380">
        <w:rPr>
          <w:rFonts w:cs="Arial"/>
          <w:lang w:val="en-GB"/>
        </w:rPr>
        <w:t xml:space="preserve">cknowledged that Selby had not sought any such relief in the main application but submitted that I ought to have </w:t>
      </w:r>
      <w:r w:rsidR="001062AD">
        <w:rPr>
          <w:rFonts w:cs="Arial"/>
          <w:lang w:val="en-GB"/>
        </w:rPr>
        <w:t xml:space="preserve">invoked </w:t>
      </w:r>
      <w:r w:rsidR="00273380">
        <w:rPr>
          <w:rFonts w:cs="Arial"/>
          <w:lang w:val="en-GB"/>
        </w:rPr>
        <w:t xml:space="preserve">the court’s inherent jurisdiction to grant such relief </w:t>
      </w:r>
      <w:r w:rsidR="00273380">
        <w:rPr>
          <w:rFonts w:cs="Arial"/>
          <w:i/>
          <w:iCs/>
          <w:lang w:val="en-GB"/>
        </w:rPr>
        <w:t>mero motu</w:t>
      </w:r>
      <w:r w:rsidR="00B572D7">
        <w:rPr>
          <w:rFonts w:cs="Arial"/>
          <w:szCs w:val="24"/>
          <w:lang w:val="en-GB"/>
        </w:rPr>
        <w:t>.</w:t>
      </w:r>
      <w:r w:rsidR="00273380">
        <w:rPr>
          <w:rFonts w:cs="Arial"/>
          <w:szCs w:val="24"/>
          <w:lang w:val="en-GB"/>
        </w:rPr>
        <w:t xml:space="preserve"> I am not satisfied that this court has that power or</w:t>
      </w:r>
      <w:r w:rsidR="00232AB0">
        <w:rPr>
          <w:rFonts w:cs="Arial"/>
          <w:szCs w:val="24"/>
          <w:lang w:val="en-GB"/>
        </w:rPr>
        <w:t>, in any event,</w:t>
      </w:r>
      <w:r w:rsidR="00273380">
        <w:rPr>
          <w:rFonts w:cs="Arial"/>
          <w:szCs w:val="24"/>
          <w:lang w:val="en-GB"/>
        </w:rPr>
        <w:t xml:space="preserve"> </w:t>
      </w:r>
      <w:r w:rsidR="00232AB0">
        <w:rPr>
          <w:rFonts w:cs="Arial"/>
          <w:szCs w:val="24"/>
          <w:lang w:val="en-GB"/>
        </w:rPr>
        <w:t xml:space="preserve">that </w:t>
      </w:r>
      <w:r w:rsidR="00273380">
        <w:rPr>
          <w:rFonts w:cs="Arial"/>
          <w:szCs w:val="24"/>
          <w:lang w:val="en-GB"/>
        </w:rPr>
        <w:t>a money judgment</w:t>
      </w:r>
      <w:r w:rsidR="002131D3">
        <w:rPr>
          <w:rFonts w:cs="Arial"/>
          <w:szCs w:val="24"/>
          <w:lang w:val="en-GB"/>
        </w:rPr>
        <w:t xml:space="preserve"> could have been </w:t>
      </w:r>
      <w:r w:rsidR="00771709">
        <w:rPr>
          <w:rFonts w:cs="Arial"/>
          <w:szCs w:val="24"/>
          <w:lang w:val="en-GB"/>
        </w:rPr>
        <w:t>entered</w:t>
      </w:r>
      <w:r w:rsidR="00232AB0">
        <w:rPr>
          <w:rFonts w:cs="Arial"/>
          <w:szCs w:val="24"/>
          <w:lang w:val="en-GB"/>
        </w:rPr>
        <w:t xml:space="preserve"> </w:t>
      </w:r>
      <w:r w:rsidR="002131D3">
        <w:rPr>
          <w:rFonts w:cs="Arial"/>
          <w:szCs w:val="24"/>
          <w:lang w:val="en-GB"/>
        </w:rPr>
        <w:t>on the facts placed before</w:t>
      </w:r>
      <w:r w:rsidR="00232AB0">
        <w:rPr>
          <w:rFonts w:cs="Arial"/>
          <w:szCs w:val="24"/>
          <w:lang w:val="en-GB"/>
        </w:rPr>
        <w:t xml:space="preserve"> court.</w:t>
      </w:r>
    </w:p>
    <w:p w14:paraId="1533FB4D" w14:textId="09A30B83" w:rsidR="009428E0"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16.</w:t>
      </w:r>
      <w:r>
        <w:rPr>
          <w:rFonts w:cs="Arial"/>
          <w:bCs/>
          <w:iCs/>
          <w:szCs w:val="24"/>
          <w:lang w:val="en-GB"/>
        </w:rPr>
        <w:tab/>
      </w:r>
      <w:r w:rsidR="00F84E85">
        <w:rPr>
          <w:rFonts w:cs="Arial"/>
          <w:szCs w:val="24"/>
          <w:lang w:val="en-GB"/>
        </w:rPr>
        <w:t xml:space="preserve">When pressed </w:t>
      </w:r>
      <w:r w:rsidR="00B03670">
        <w:rPr>
          <w:rFonts w:cs="Arial"/>
          <w:szCs w:val="24"/>
          <w:lang w:val="en-GB"/>
        </w:rPr>
        <w:t>as to why th</w:t>
      </w:r>
      <w:r w:rsidR="001E581F">
        <w:rPr>
          <w:rFonts w:cs="Arial"/>
          <w:szCs w:val="24"/>
          <w:lang w:val="en-GB"/>
        </w:rPr>
        <w:t xml:space="preserve">e exercise of discretion referenced in paragraph </w:t>
      </w:r>
      <w:r w:rsidR="001E581F">
        <w:rPr>
          <w:rFonts w:cs="Arial"/>
          <w:szCs w:val="24"/>
          <w:lang w:val="en-GB"/>
        </w:rPr>
        <w:fldChar w:fldCharType="begin"/>
      </w:r>
      <w:r w:rsidR="001E581F">
        <w:rPr>
          <w:rFonts w:cs="Arial"/>
          <w:szCs w:val="24"/>
          <w:lang w:val="en-GB"/>
        </w:rPr>
        <w:instrText xml:space="preserve"> REF _Ref149639961 \r \p \h </w:instrText>
      </w:r>
      <w:r w:rsidR="001E581F">
        <w:rPr>
          <w:rFonts w:cs="Arial"/>
          <w:szCs w:val="24"/>
          <w:lang w:val="en-GB"/>
        </w:rPr>
      </w:r>
      <w:r w:rsidR="001E581F">
        <w:rPr>
          <w:rFonts w:cs="Arial"/>
          <w:szCs w:val="24"/>
          <w:lang w:val="en-GB"/>
        </w:rPr>
        <w:fldChar w:fldCharType="separate"/>
      </w:r>
      <w:r w:rsidR="00E123A9">
        <w:rPr>
          <w:rFonts w:cs="Arial"/>
          <w:szCs w:val="24"/>
          <w:lang w:val="en-GB"/>
        </w:rPr>
        <w:t>14 above</w:t>
      </w:r>
      <w:r w:rsidR="001E581F">
        <w:rPr>
          <w:rFonts w:cs="Arial"/>
          <w:szCs w:val="24"/>
          <w:lang w:val="en-GB"/>
        </w:rPr>
        <w:fldChar w:fldCharType="end"/>
      </w:r>
      <w:r w:rsidR="00771709">
        <w:rPr>
          <w:rFonts w:cs="Arial"/>
          <w:szCs w:val="24"/>
          <w:lang w:val="en-GB"/>
        </w:rPr>
        <w:t xml:space="preserve"> was unjudicial or otherwise unsustainable,</w:t>
      </w:r>
      <w:r w:rsidR="00771709" w:rsidRPr="00771709">
        <w:rPr>
          <w:rFonts w:cs="Arial"/>
          <w:szCs w:val="24"/>
          <w:lang w:val="en-GB"/>
        </w:rPr>
        <w:t xml:space="preserve"> </w:t>
      </w:r>
      <w:r w:rsidR="00771709">
        <w:rPr>
          <w:rFonts w:cs="Arial"/>
          <w:szCs w:val="24"/>
          <w:lang w:val="en-GB"/>
        </w:rPr>
        <w:t xml:space="preserve">Mr </w:t>
      </w:r>
      <w:r w:rsidR="00771709">
        <w:rPr>
          <w:rFonts w:cs="Arial"/>
          <w:lang w:val="en-GB"/>
        </w:rPr>
        <w:t>Ncongwane could not take the matter</w:t>
      </w:r>
      <w:r w:rsidR="00F92F0A">
        <w:rPr>
          <w:rFonts w:cs="Arial"/>
          <w:lang w:val="en-GB"/>
        </w:rPr>
        <w:t xml:space="preserve"> beyond the submission that it would have been preferable to resolve the entire dispute then-and-there. </w:t>
      </w:r>
      <w:r w:rsidR="00C367C8">
        <w:rPr>
          <w:rFonts w:cs="Arial"/>
          <w:lang w:val="en-GB"/>
        </w:rPr>
        <w:t>As noted, however, ‘the entire dispute’ was not pleaded</w:t>
      </w:r>
      <w:r w:rsidR="001062AD">
        <w:rPr>
          <w:rFonts w:cs="Arial"/>
          <w:lang w:val="en-GB"/>
        </w:rPr>
        <w:t>, prayed-for</w:t>
      </w:r>
      <w:r w:rsidR="009B0CAA">
        <w:rPr>
          <w:rFonts w:cs="Arial"/>
          <w:lang w:val="en-GB"/>
        </w:rPr>
        <w:t xml:space="preserve"> </w:t>
      </w:r>
      <w:r w:rsidR="004C169F">
        <w:rPr>
          <w:rFonts w:cs="Arial"/>
          <w:lang w:val="en-GB"/>
        </w:rPr>
        <w:t xml:space="preserve">or even argued </w:t>
      </w:r>
      <w:r w:rsidR="009B0CAA">
        <w:rPr>
          <w:rFonts w:cs="Arial"/>
          <w:lang w:val="en-GB"/>
        </w:rPr>
        <w:t>in the main application.</w:t>
      </w:r>
      <w:r w:rsidR="00273380">
        <w:rPr>
          <w:rFonts w:cs="Arial"/>
          <w:szCs w:val="24"/>
          <w:lang w:val="en-GB"/>
        </w:rPr>
        <w:t xml:space="preserve"> </w:t>
      </w:r>
    </w:p>
    <w:p w14:paraId="1784321C" w14:textId="70DA8166" w:rsidR="00222762"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17.</w:t>
      </w:r>
      <w:r>
        <w:rPr>
          <w:rFonts w:cs="Arial"/>
          <w:bCs/>
          <w:iCs/>
          <w:szCs w:val="24"/>
          <w:lang w:val="en-GB"/>
        </w:rPr>
        <w:tab/>
      </w:r>
      <w:r w:rsidR="00EF55A6">
        <w:rPr>
          <w:rFonts w:cs="Arial"/>
          <w:szCs w:val="24"/>
          <w:lang w:val="en-GB"/>
        </w:rPr>
        <w:t xml:space="preserve">As regards the suggestion that the </w:t>
      </w:r>
      <w:r w:rsidR="00075112">
        <w:rPr>
          <w:rFonts w:cs="Arial"/>
          <w:szCs w:val="24"/>
          <w:lang w:val="en-GB"/>
        </w:rPr>
        <w:t>claim belatedly</w:t>
      </w:r>
      <w:r w:rsidR="00EF55A6">
        <w:rPr>
          <w:rFonts w:cs="Arial"/>
          <w:szCs w:val="24"/>
          <w:lang w:val="en-GB"/>
        </w:rPr>
        <w:t xml:space="preserve"> contended for by Selby was common cause between the parties</w:t>
      </w:r>
      <w:r w:rsidR="00075112" w:rsidRPr="00075112">
        <w:rPr>
          <w:rFonts w:cs="Arial"/>
          <w:szCs w:val="24"/>
          <w:lang w:val="en-GB"/>
        </w:rPr>
        <w:t xml:space="preserve"> </w:t>
      </w:r>
      <w:r w:rsidR="00075112">
        <w:rPr>
          <w:rFonts w:cs="Arial"/>
          <w:szCs w:val="24"/>
          <w:lang w:val="en-GB"/>
        </w:rPr>
        <w:t>in the main application</w:t>
      </w:r>
      <w:r w:rsidR="00EF55A6">
        <w:rPr>
          <w:rFonts w:cs="Arial"/>
          <w:szCs w:val="24"/>
          <w:lang w:val="en-GB"/>
        </w:rPr>
        <w:t xml:space="preserve">, I disagree. </w:t>
      </w:r>
    </w:p>
    <w:p w14:paraId="22E684A2" w14:textId="0C67454E" w:rsidR="00B60E2B"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18.</w:t>
      </w:r>
      <w:r>
        <w:rPr>
          <w:rFonts w:cs="Arial"/>
          <w:bCs/>
          <w:iCs/>
          <w:szCs w:val="24"/>
          <w:lang w:val="en-GB"/>
        </w:rPr>
        <w:tab/>
      </w:r>
      <w:r w:rsidR="00EF55A6">
        <w:rPr>
          <w:rFonts w:cs="Arial"/>
          <w:szCs w:val="24"/>
          <w:lang w:val="en-GB"/>
        </w:rPr>
        <w:t xml:space="preserve">My reading of the papers is that Santam placed in issue whether, in the absence of any agreement between the parties, Selby enjoyed any entitlement to retain possession of the vehicle on account of an alleged indebtedness in respect of its storage as opposed to its repair. The merits of that dispute did not require determination in the main application and do not require determination in this application. </w:t>
      </w:r>
      <w:r w:rsidR="00222762">
        <w:rPr>
          <w:rFonts w:cs="Arial"/>
          <w:szCs w:val="24"/>
          <w:lang w:val="en-GB"/>
        </w:rPr>
        <w:t xml:space="preserve">In any event, </w:t>
      </w:r>
      <w:r w:rsidR="00AB3D09">
        <w:rPr>
          <w:rFonts w:cs="Arial"/>
          <w:szCs w:val="24"/>
          <w:lang w:val="en-GB"/>
        </w:rPr>
        <w:t>Santam disputed any obligation to pay any amount in addition to the sum previously paid to Selby</w:t>
      </w:r>
      <w:r w:rsidR="00B60E2B">
        <w:rPr>
          <w:rFonts w:cs="Arial"/>
          <w:szCs w:val="24"/>
          <w:lang w:val="en-GB"/>
        </w:rPr>
        <w:t>.</w:t>
      </w:r>
    </w:p>
    <w:p w14:paraId="4FD450FB" w14:textId="4B656883" w:rsidR="00A44EC4"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19.</w:t>
      </w:r>
      <w:r>
        <w:rPr>
          <w:rFonts w:cs="Arial"/>
          <w:bCs/>
          <w:iCs/>
          <w:szCs w:val="24"/>
          <w:lang w:val="en-GB"/>
        </w:rPr>
        <w:tab/>
      </w:r>
      <w:r w:rsidR="00B60E2B">
        <w:rPr>
          <w:rFonts w:cs="Arial"/>
          <w:szCs w:val="24"/>
          <w:lang w:val="en-GB"/>
        </w:rPr>
        <w:t>The third ground of appeal</w:t>
      </w:r>
      <w:r w:rsidR="00052DA7">
        <w:rPr>
          <w:rFonts w:cs="Arial"/>
          <w:szCs w:val="24"/>
          <w:lang w:val="en-GB"/>
        </w:rPr>
        <w:t xml:space="preserve"> is outlined in paragraph </w:t>
      </w:r>
      <w:r w:rsidR="00052DA7">
        <w:rPr>
          <w:rFonts w:cs="Arial"/>
          <w:szCs w:val="24"/>
          <w:lang w:val="en-GB"/>
        </w:rPr>
        <w:fldChar w:fldCharType="begin"/>
      </w:r>
      <w:r w:rsidR="00052DA7">
        <w:rPr>
          <w:rFonts w:cs="Arial"/>
          <w:szCs w:val="24"/>
          <w:lang w:val="en-GB"/>
        </w:rPr>
        <w:instrText xml:space="preserve"> REF _Ref149640375 \r \p \h </w:instrText>
      </w:r>
      <w:r w:rsidR="00052DA7">
        <w:rPr>
          <w:rFonts w:cs="Arial"/>
          <w:szCs w:val="24"/>
          <w:lang w:val="en-GB"/>
        </w:rPr>
      </w:r>
      <w:r w:rsidR="00052DA7">
        <w:rPr>
          <w:rFonts w:cs="Arial"/>
          <w:szCs w:val="24"/>
          <w:lang w:val="en-GB"/>
        </w:rPr>
        <w:fldChar w:fldCharType="separate"/>
      </w:r>
      <w:r w:rsidR="00E123A9">
        <w:rPr>
          <w:rFonts w:cs="Arial"/>
          <w:szCs w:val="24"/>
          <w:lang w:val="en-GB"/>
        </w:rPr>
        <w:t>12.3 above</w:t>
      </w:r>
      <w:r w:rsidR="00052DA7">
        <w:rPr>
          <w:rFonts w:cs="Arial"/>
          <w:szCs w:val="24"/>
          <w:lang w:val="en-GB"/>
        </w:rPr>
        <w:fldChar w:fldCharType="end"/>
      </w:r>
      <w:r w:rsidR="00A44EC4">
        <w:rPr>
          <w:rFonts w:cs="Arial"/>
          <w:szCs w:val="24"/>
          <w:lang w:val="en-GB"/>
        </w:rPr>
        <w:t>.</w:t>
      </w:r>
    </w:p>
    <w:p w14:paraId="3DCCFE92" w14:textId="490B23B3" w:rsidR="00D31E93"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20.</w:t>
      </w:r>
      <w:r>
        <w:rPr>
          <w:rFonts w:cs="Arial"/>
          <w:bCs/>
          <w:iCs/>
          <w:szCs w:val="24"/>
          <w:lang w:val="en-GB"/>
        </w:rPr>
        <w:tab/>
      </w:r>
      <w:r w:rsidR="00A44EC4">
        <w:rPr>
          <w:rFonts w:cs="Arial"/>
          <w:szCs w:val="24"/>
          <w:lang w:val="en-GB"/>
        </w:rPr>
        <w:t>In my view, besides the intrinsically discretionary</w:t>
      </w:r>
      <w:r w:rsidR="005852E7">
        <w:rPr>
          <w:rFonts w:cs="Arial"/>
          <w:szCs w:val="24"/>
          <w:lang w:val="en-GB"/>
        </w:rPr>
        <w:t xml:space="preserve"> nature of an award of costs, </w:t>
      </w:r>
      <w:r w:rsidR="00DC250A">
        <w:rPr>
          <w:rFonts w:cs="Arial"/>
          <w:szCs w:val="24"/>
          <w:lang w:val="en-GB"/>
        </w:rPr>
        <w:t>it was unreasonable of Selby not to accept Santam’s tender of substituted security</w:t>
      </w:r>
      <w:r w:rsidR="00CB5963">
        <w:rPr>
          <w:rFonts w:cs="Arial"/>
          <w:szCs w:val="24"/>
          <w:lang w:val="en-GB"/>
        </w:rPr>
        <w:t>, for reasons traversed in my judgment in the main application. It is also plain that Santam was subst</w:t>
      </w:r>
      <w:r w:rsidR="00D31E93">
        <w:rPr>
          <w:rFonts w:cs="Arial"/>
          <w:szCs w:val="24"/>
          <w:lang w:val="en-GB"/>
        </w:rPr>
        <w:t>antially successful in that matter.</w:t>
      </w:r>
    </w:p>
    <w:p w14:paraId="0C488215" w14:textId="457F8B2D" w:rsidR="00EF55A6"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21.</w:t>
      </w:r>
      <w:r>
        <w:rPr>
          <w:rFonts w:cs="Arial"/>
          <w:bCs/>
          <w:iCs/>
          <w:szCs w:val="24"/>
          <w:lang w:val="en-GB"/>
        </w:rPr>
        <w:tab/>
      </w:r>
      <w:r w:rsidR="004733EA">
        <w:rPr>
          <w:rFonts w:cs="Arial"/>
          <w:szCs w:val="24"/>
          <w:lang w:val="en-GB"/>
        </w:rPr>
        <w:t>Finally, in argument in this application,</w:t>
      </w:r>
      <w:r w:rsidR="004733EA" w:rsidRPr="00865940">
        <w:rPr>
          <w:rFonts w:cs="Arial"/>
          <w:szCs w:val="24"/>
          <w:lang w:val="en-GB"/>
        </w:rPr>
        <w:t xml:space="preserve"> </w:t>
      </w:r>
      <w:r w:rsidR="004733EA">
        <w:rPr>
          <w:rFonts w:cs="Arial"/>
          <w:szCs w:val="24"/>
          <w:lang w:val="en-GB"/>
        </w:rPr>
        <w:t xml:space="preserve">Mr </w:t>
      </w:r>
      <w:r w:rsidR="004733EA">
        <w:rPr>
          <w:rFonts w:cs="Arial"/>
          <w:lang w:val="en-GB"/>
        </w:rPr>
        <w:t xml:space="preserve">Ncongwane belatedly </w:t>
      </w:r>
      <w:r w:rsidR="00D57246">
        <w:rPr>
          <w:rFonts w:cs="Arial"/>
          <w:lang w:val="en-GB"/>
        </w:rPr>
        <w:t xml:space="preserve">submitted that section 22 of the Constitution should have tipped the discretionary scales in favour of Selby </w:t>
      </w:r>
      <w:r w:rsidR="001825B1">
        <w:rPr>
          <w:rFonts w:cs="Arial"/>
          <w:lang w:val="en-GB"/>
        </w:rPr>
        <w:t xml:space="preserve">inasmuch as </w:t>
      </w:r>
      <w:r w:rsidR="00D255C8">
        <w:rPr>
          <w:rFonts w:cs="Arial"/>
          <w:lang w:val="en-GB"/>
        </w:rPr>
        <w:t>a large insurer’s refusal</w:t>
      </w:r>
      <w:r w:rsidR="001874B7">
        <w:rPr>
          <w:rFonts w:cs="Arial"/>
          <w:lang w:val="en-GB"/>
        </w:rPr>
        <w:t xml:space="preserve"> to pay the storage </w:t>
      </w:r>
      <w:r w:rsidR="001C2DE1">
        <w:rPr>
          <w:rFonts w:cs="Arial"/>
          <w:lang w:val="en-GB"/>
        </w:rPr>
        <w:t xml:space="preserve">charges </w:t>
      </w:r>
      <w:r w:rsidR="001874B7">
        <w:rPr>
          <w:rFonts w:cs="Arial"/>
          <w:lang w:val="en-GB"/>
        </w:rPr>
        <w:t xml:space="preserve">of a small tower and repairer </w:t>
      </w:r>
      <w:r w:rsidR="00502A15">
        <w:rPr>
          <w:rFonts w:cs="Arial"/>
          <w:lang w:val="en-GB"/>
        </w:rPr>
        <w:t>could bring about the latter’s demise</w:t>
      </w:r>
      <w:r w:rsidR="000473E8">
        <w:rPr>
          <w:rFonts w:cs="Arial"/>
          <w:szCs w:val="24"/>
          <w:lang w:val="en-GB"/>
        </w:rPr>
        <w:t>.</w:t>
      </w:r>
      <w:r w:rsidR="000473E8">
        <w:rPr>
          <w:rStyle w:val="FootnoteReference"/>
          <w:rFonts w:cs="Arial"/>
          <w:szCs w:val="24"/>
          <w:lang w:val="en-GB"/>
        </w:rPr>
        <w:footnoteReference w:id="7"/>
      </w:r>
      <w:r w:rsidR="00502A15">
        <w:rPr>
          <w:rFonts w:cs="Arial"/>
          <w:lang w:val="en-GB"/>
        </w:rPr>
        <w:t xml:space="preserve"> The point was not raised</w:t>
      </w:r>
      <w:r w:rsidR="003C5094">
        <w:rPr>
          <w:rFonts w:cs="Arial"/>
          <w:lang w:val="en-GB"/>
        </w:rPr>
        <w:t xml:space="preserve"> </w:t>
      </w:r>
      <w:r w:rsidR="003C5094">
        <w:rPr>
          <w:rFonts w:cs="Arial"/>
          <w:lang w:val="en-GB"/>
        </w:rPr>
        <w:lastRenderedPageBreak/>
        <w:t>in the main application or as a ground of appeal.</w:t>
      </w:r>
      <w:r w:rsidR="00491311" w:rsidRPr="00491311">
        <w:rPr>
          <w:rFonts w:cs="Arial"/>
          <w:szCs w:val="24"/>
          <w:lang w:val="en-GB"/>
        </w:rPr>
        <w:t xml:space="preserve"> </w:t>
      </w:r>
      <w:r w:rsidR="00491311">
        <w:rPr>
          <w:rFonts w:cs="Arial"/>
          <w:szCs w:val="24"/>
          <w:lang w:val="en-GB"/>
        </w:rPr>
        <w:t xml:space="preserve">It falls outside of what the parties agreed </w:t>
      </w:r>
      <w:r w:rsidR="006F090D">
        <w:rPr>
          <w:rFonts w:cs="Arial"/>
          <w:szCs w:val="24"/>
          <w:lang w:val="en-GB"/>
        </w:rPr>
        <w:t xml:space="preserve">to place before court </w:t>
      </w:r>
      <w:r w:rsidR="00491311">
        <w:rPr>
          <w:rFonts w:cs="Arial"/>
          <w:szCs w:val="24"/>
          <w:lang w:val="en-GB"/>
        </w:rPr>
        <w:t>in the main application</w:t>
      </w:r>
      <w:r w:rsidR="006F090D">
        <w:rPr>
          <w:rFonts w:cs="Arial"/>
          <w:szCs w:val="24"/>
          <w:lang w:val="en-GB"/>
        </w:rPr>
        <w:t xml:space="preserve">. </w:t>
      </w:r>
      <w:r w:rsidR="005F44EB">
        <w:rPr>
          <w:rFonts w:cs="Arial"/>
          <w:szCs w:val="24"/>
          <w:lang w:val="en-GB"/>
        </w:rPr>
        <w:t>It</w:t>
      </w:r>
      <w:r w:rsidR="00D2544B">
        <w:rPr>
          <w:rFonts w:cs="Arial"/>
          <w:szCs w:val="24"/>
          <w:lang w:val="en-GB"/>
        </w:rPr>
        <w:t xml:space="preserve"> appeared to take Mr Oosthuizen by surprise and its lateness precluded any meaningful debate before me </w:t>
      </w:r>
      <w:r w:rsidR="001638F1">
        <w:rPr>
          <w:rFonts w:cs="Arial"/>
          <w:szCs w:val="24"/>
          <w:lang w:val="en-GB"/>
        </w:rPr>
        <w:t>as to whether a substitution of security</w:t>
      </w:r>
      <w:r w:rsidR="00A92BF8">
        <w:rPr>
          <w:rFonts w:cs="Arial"/>
          <w:szCs w:val="24"/>
          <w:lang w:val="en-GB"/>
        </w:rPr>
        <w:t xml:space="preserve"> would or could </w:t>
      </w:r>
      <w:r w:rsidR="00655444">
        <w:rPr>
          <w:rFonts w:cs="Arial"/>
          <w:szCs w:val="24"/>
          <w:lang w:val="en-GB"/>
        </w:rPr>
        <w:t>implicate</w:t>
      </w:r>
      <w:r w:rsidR="00111832">
        <w:rPr>
          <w:rFonts w:cs="Arial"/>
          <w:szCs w:val="24"/>
          <w:lang w:val="en-GB"/>
        </w:rPr>
        <w:t xml:space="preserve"> and potentially </w:t>
      </w:r>
      <w:r w:rsidR="00A92BF8">
        <w:rPr>
          <w:rFonts w:cs="Arial"/>
          <w:szCs w:val="24"/>
          <w:lang w:val="en-GB"/>
        </w:rPr>
        <w:t>infringe such right</w:t>
      </w:r>
      <w:r w:rsidR="00111832">
        <w:rPr>
          <w:rFonts w:cs="Arial"/>
          <w:szCs w:val="24"/>
          <w:lang w:val="en-GB"/>
        </w:rPr>
        <w:t>s</w:t>
      </w:r>
      <w:r w:rsidR="00A92BF8">
        <w:rPr>
          <w:rFonts w:cs="Arial"/>
          <w:szCs w:val="24"/>
          <w:lang w:val="en-GB"/>
        </w:rPr>
        <w:t xml:space="preserve"> as section 22 may confer on Selby, a juristic person.</w:t>
      </w:r>
      <w:r w:rsidR="00FA42F2">
        <w:rPr>
          <w:rFonts w:cs="Arial"/>
          <w:szCs w:val="24"/>
          <w:lang w:val="en-GB"/>
        </w:rPr>
        <w:t xml:space="preserve"> </w:t>
      </w:r>
      <w:r w:rsidR="000F48EC">
        <w:rPr>
          <w:rFonts w:cs="Arial"/>
          <w:szCs w:val="24"/>
          <w:lang w:val="en-GB"/>
        </w:rPr>
        <w:t>It is unnecessary – and therefore unwise – for me to express any view on this question</w:t>
      </w:r>
      <w:r w:rsidR="0097656D">
        <w:rPr>
          <w:rFonts w:cs="Arial"/>
          <w:szCs w:val="24"/>
          <w:lang w:val="en-GB"/>
        </w:rPr>
        <w:t xml:space="preserve"> for purposes of deciding this application</w:t>
      </w:r>
      <w:r w:rsidR="000F48EC">
        <w:rPr>
          <w:rFonts w:cs="Arial"/>
          <w:szCs w:val="24"/>
          <w:lang w:val="en-GB"/>
        </w:rPr>
        <w:t>.</w:t>
      </w:r>
    </w:p>
    <w:p w14:paraId="4E1B724E" w14:textId="4AA8B6F4" w:rsidR="00005774"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22.</w:t>
      </w:r>
      <w:r>
        <w:rPr>
          <w:rFonts w:cs="Arial"/>
          <w:bCs/>
          <w:iCs/>
          <w:szCs w:val="24"/>
          <w:lang w:val="en-GB"/>
        </w:rPr>
        <w:tab/>
      </w:r>
      <w:r w:rsidR="00A44EC4">
        <w:rPr>
          <w:rFonts w:cs="Arial"/>
          <w:szCs w:val="24"/>
          <w:lang w:val="en-GB"/>
        </w:rPr>
        <w:t>Ultimately, i</w:t>
      </w:r>
      <w:r w:rsidR="009428E0">
        <w:rPr>
          <w:rFonts w:cs="Arial"/>
          <w:szCs w:val="24"/>
          <w:lang w:val="en-GB"/>
        </w:rPr>
        <w:t>n the exercise of my discretion, having regard to all the facts and circumstances before me at the time</w:t>
      </w:r>
      <w:r w:rsidR="00C47C95">
        <w:rPr>
          <w:rFonts w:cs="Arial"/>
          <w:szCs w:val="24"/>
          <w:lang w:val="en-GB"/>
        </w:rPr>
        <w:t xml:space="preserve"> of the main application</w:t>
      </w:r>
      <w:r w:rsidR="009428E0">
        <w:rPr>
          <w:rFonts w:cs="Arial"/>
          <w:szCs w:val="24"/>
          <w:lang w:val="en-GB"/>
        </w:rPr>
        <w:t xml:space="preserve">, I determined that the substituted security would suffice for its purpose and I am unpersuaded that an appellate court would reasonably reach a different determination in accordance with section </w:t>
      </w:r>
      <w:r w:rsidR="009B573F">
        <w:rPr>
          <w:rFonts w:cs="Arial"/>
          <w:szCs w:val="24"/>
          <w:lang w:val="en-GB"/>
        </w:rPr>
        <w:t>17(</w:t>
      </w:r>
      <w:r w:rsidR="00005774">
        <w:rPr>
          <w:rFonts w:cs="Arial"/>
          <w:szCs w:val="24"/>
          <w:lang w:val="en-GB"/>
        </w:rPr>
        <w:t>1)(a)(i)</w:t>
      </w:r>
      <w:r w:rsidR="009B573F">
        <w:rPr>
          <w:rFonts w:cs="Arial"/>
          <w:szCs w:val="24"/>
          <w:lang w:val="en-GB"/>
        </w:rPr>
        <w:t xml:space="preserve"> </w:t>
      </w:r>
      <w:r w:rsidR="009428E0">
        <w:rPr>
          <w:rFonts w:cs="Arial"/>
          <w:szCs w:val="24"/>
          <w:lang w:val="en-GB"/>
        </w:rPr>
        <w:t xml:space="preserve">of the Superior Courts Act </w:t>
      </w:r>
      <w:r w:rsidR="001F2752">
        <w:rPr>
          <w:rFonts w:cs="Arial"/>
          <w:szCs w:val="24"/>
          <w:lang w:val="en-GB"/>
        </w:rPr>
        <w:t xml:space="preserve">10 </w:t>
      </w:r>
      <w:r w:rsidR="009428E0">
        <w:rPr>
          <w:rFonts w:cs="Arial"/>
          <w:szCs w:val="24"/>
          <w:lang w:val="en-GB"/>
        </w:rPr>
        <w:t xml:space="preserve">of </w:t>
      </w:r>
      <w:r w:rsidR="001F2752">
        <w:rPr>
          <w:rFonts w:cs="Arial"/>
          <w:szCs w:val="24"/>
          <w:lang w:val="en-GB"/>
        </w:rPr>
        <w:t>2013</w:t>
      </w:r>
      <w:r w:rsidR="001E77FB">
        <w:rPr>
          <w:rFonts w:cs="Arial"/>
          <w:szCs w:val="24"/>
          <w:lang w:val="en-GB"/>
        </w:rPr>
        <w:t xml:space="preserve"> and recent case law</w:t>
      </w:r>
      <w:r w:rsidR="001F2752">
        <w:rPr>
          <w:rFonts w:cs="Arial"/>
          <w:szCs w:val="24"/>
          <w:lang w:val="en-GB"/>
        </w:rPr>
        <w:t>.</w:t>
      </w:r>
      <w:r w:rsidR="00455B23">
        <w:rPr>
          <w:rStyle w:val="FootnoteReference"/>
        </w:rPr>
        <w:footnoteReference w:id="8"/>
      </w:r>
    </w:p>
    <w:p w14:paraId="063C88ED" w14:textId="5EF805EF" w:rsidR="009428E0" w:rsidRDefault="00753FBC" w:rsidP="00753FBC">
      <w:pPr>
        <w:pStyle w:val="WLGLevel1"/>
        <w:numPr>
          <w:ilvl w:val="0"/>
          <w:numId w:val="0"/>
        </w:numPr>
        <w:suppressAutoHyphens w:val="0"/>
        <w:spacing w:before="0" w:after="480"/>
        <w:ind w:left="709" w:hanging="709"/>
        <w:rPr>
          <w:rFonts w:cs="Arial"/>
          <w:szCs w:val="24"/>
          <w:lang w:val="en-GB"/>
        </w:rPr>
      </w:pPr>
      <w:r>
        <w:rPr>
          <w:rFonts w:cs="Arial"/>
          <w:bCs/>
          <w:iCs/>
          <w:szCs w:val="24"/>
          <w:lang w:val="en-GB"/>
        </w:rPr>
        <w:t>23.</w:t>
      </w:r>
      <w:r>
        <w:rPr>
          <w:rFonts w:cs="Arial"/>
          <w:bCs/>
          <w:iCs/>
          <w:szCs w:val="24"/>
          <w:lang w:val="en-GB"/>
        </w:rPr>
        <w:tab/>
      </w:r>
      <w:r w:rsidR="00005774">
        <w:rPr>
          <w:rFonts w:cs="Arial"/>
          <w:szCs w:val="24"/>
          <w:lang w:val="en-GB"/>
        </w:rPr>
        <w:t>Nor</w:t>
      </w:r>
      <w:r w:rsidR="00F86160">
        <w:rPr>
          <w:rFonts w:cs="Arial"/>
          <w:szCs w:val="24"/>
          <w:lang w:val="en-GB"/>
        </w:rPr>
        <w:t xml:space="preserve"> do I consider there to be any other compelling reason</w:t>
      </w:r>
      <w:r w:rsidR="00244B74">
        <w:rPr>
          <w:rFonts w:cs="Arial"/>
          <w:szCs w:val="24"/>
          <w:lang w:val="en-GB"/>
        </w:rPr>
        <w:t>,</w:t>
      </w:r>
      <w:r w:rsidR="00244B74" w:rsidRPr="00244B74">
        <w:rPr>
          <w:rFonts w:cs="Arial"/>
          <w:szCs w:val="24"/>
          <w:lang w:val="en-GB"/>
        </w:rPr>
        <w:t xml:space="preserve"> </w:t>
      </w:r>
      <w:r w:rsidR="00244B74">
        <w:rPr>
          <w:rFonts w:cs="Arial"/>
          <w:szCs w:val="24"/>
          <w:lang w:val="en-GB"/>
        </w:rPr>
        <w:t>within the meaning</w:t>
      </w:r>
      <w:r w:rsidR="00244B74" w:rsidRPr="00005774">
        <w:rPr>
          <w:rFonts w:cs="Arial"/>
          <w:szCs w:val="24"/>
          <w:lang w:val="en-GB"/>
        </w:rPr>
        <w:t xml:space="preserve"> </w:t>
      </w:r>
      <w:r w:rsidR="00244B74">
        <w:rPr>
          <w:rFonts w:cs="Arial"/>
          <w:szCs w:val="24"/>
          <w:lang w:val="en-GB"/>
        </w:rPr>
        <w:t>of section 17(1)(a)(ii) of the Act,</w:t>
      </w:r>
      <w:r w:rsidR="00F86160">
        <w:rPr>
          <w:rFonts w:cs="Arial"/>
          <w:szCs w:val="24"/>
          <w:lang w:val="en-GB"/>
        </w:rPr>
        <w:t xml:space="preserve"> why an appeal should be heard.</w:t>
      </w:r>
    </w:p>
    <w:p w14:paraId="5B5D984E" w14:textId="5F4E6EA8" w:rsidR="009428E0" w:rsidRPr="0011354F" w:rsidRDefault="00753FBC" w:rsidP="00753FBC">
      <w:pPr>
        <w:pStyle w:val="WLGLevel1"/>
        <w:numPr>
          <w:ilvl w:val="0"/>
          <w:numId w:val="0"/>
        </w:numPr>
        <w:suppressAutoHyphens w:val="0"/>
        <w:spacing w:before="0" w:after="480"/>
        <w:ind w:left="709" w:hanging="709"/>
        <w:rPr>
          <w:rFonts w:cs="Arial"/>
          <w:szCs w:val="24"/>
          <w:lang w:val="en-GB"/>
        </w:rPr>
      </w:pPr>
      <w:r w:rsidRPr="0011354F">
        <w:rPr>
          <w:rFonts w:cs="Arial"/>
          <w:bCs/>
          <w:iCs/>
          <w:szCs w:val="24"/>
          <w:lang w:val="en-GB"/>
        </w:rPr>
        <w:t>24.</w:t>
      </w:r>
      <w:r w:rsidRPr="0011354F">
        <w:rPr>
          <w:rFonts w:cs="Arial"/>
          <w:bCs/>
          <w:iCs/>
          <w:szCs w:val="24"/>
          <w:lang w:val="en-GB"/>
        </w:rPr>
        <w:tab/>
      </w:r>
      <w:r w:rsidR="009428E0">
        <w:rPr>
          <w:rFonts w:cs="Arial"/>
          <w:szCs w:val="24"/>
          <w:lang w:val="en-GB"/>
        </w:rPr>
        <w:t>In the circumstances, the application for leave to appeal is dismissed with costs</w:t>
      </w:r>
      <w:r w:rsidR="00C67F6C">
        <w:rPr>
          <w:rFonts w:cs="Arial"/>
          <w:szCs w:val="24"/>
          <w:lang w:val="en-GB"/>
        </w:rPr>
        <w:t>, including the costs of the condonation application</w:t>
      </w:r>
      <w:r w:rsidR="009428E0">
        <w:rPr>
          <w:rFonts w:cs="Arial"/>
          <w:szCs w:val="24"/>
          <w:lang w:val="en-GB"/>
        </w:rPr>
        <w:t>.</w:t>
      </w:r>
    </w:p>
    <w:p w14:paraId="510A0842" w14:textId="77777777" w:rsidR="00F07027" w:rsidRPr="00364902" w:rsidRDefault="00F07027" w:rsidP="00D12C62">
      <w:pPr>
        <w:pStyle w:val="ListParagraph"/>
        <w:tabs>
          <w:tab w:val="right" w:pos="0"/>
        </w:tabs>
        <w:spacing w:before="120"/>
        <w:ind w:left="0"/>
        <w:contextualSpacing w:val="0"/>
        <w:rPr>
          <w:rFonts w:cs="Arial"/>
          <w:sz w:val="24"/>
        </w:rPr>
      </w:pPr>
    </w:p>
    <w:p w14:paraId="510A0843" w14:textId="77777777" w:rsidR="00F07027" w:rsidRPr="004D4164" w:rsidRDefault="00F07027" w:rsidP="000C5D99">
      <w:pPr>
        <w:pStyle w:val="ListParagraph"/>
        <w:keepNext/>
        <w:tabs>
          <w:tab w:val="right" w:pos="0"/>
        </w:tabs>
        <w:spacing w:before="360"/>
        <w:ind w:left="0"/>
        <w:contextualSpacing w:val="0"/>
        <w:jc w:val="right"/>
        <w:rPr>
          <w:rFonts w:cs="Arial"/>
          <w:b/>
          <w:sz w:val="24"/>
        </w:rPr>
      </w:pPr>
      <w:r w:rsidRPr="004D4164">
        <w:rPr>
          <w:rFonts w:cs="Arial"/>
          <w:sz w:val="24"/>
          <w:lang w:val="en-GB"/>
        </w:rPr>
        <w:lastRenderedPageBreak/>
        <w:t>____________</w:t>
      </w:r>
      <w:r w:rsidR="009037B0" w:rsidRPr="004D4164">
        <w:rPr>
          <w:rFonts w:cs="Arial"/>
          <w:sz w:val="24"/>
          <w:lang w:val="en-GB"/>
        </w:rPr>
        <w:t>________</w:t>
      </w:r>
      <w:r w:rsidRPr="004D4164">
        <w:rPr>
          <w:rFonts w:cs="Arial"/>
          <w:b/>
          <w:sz w:val="24"/>
        </w:rPr>
        <w:t xml:space="preserve"> </w:t>
      </w:r>
    </w:p>
    <w:p w14:paraId="510A0844" w14:textId="7142DF34" w:rsidR="00F07027" w:rsidRPr="004D4164" w:rsidRDefault="00F07027" w:rsidP="00D12C62">
      <w:pPr>
        <w:pStyle w:val="ListParagraph"/>
        <w:keepNext/>
        <w:tabs>
          <w:tab w:val="right" w:pos="0"/>
        </w:tabs>
        <w:spacing w:before="120"/>
        <w:ind w:left="0"/>
        <w:contextualSpacing w:val="0"/>
        <w:jc w:val="right"/>
        <w:rPr>
          <w:rFonts w:cs="Arial"/>
          <w:b/>
          <w:sz w:val="24"/>
        </w:rPr>
      </w:pPr>
      <w:r w:rsidRPr="004D4164">
        <w:rPr>
          <w:rFonts w:cs="Arial"/>
          <w:b/>
          <w:sz w:val="24"/>
        </w:rPr>
        <w:t xml:space="preserve">PEARSE </w:t>
      </w:r>
      <w:r w:rsidR="00D26A84">
        <w:rPr>
          <w:rFonts w:cs="Arial"/>
          <w:b/>
          <w:sz w:val="24"/>
        </w:rPr>
        <w:t>AJ</w:t>
      </w:r>
    </w:p>
    <w:p w14:paraId="510A0848" w14:textId="77777777" w:rsidR="00F07027" w:rsidRPr="004D4164" w:rsidRDefault="00F07027" w:rsidP="00D12C62">
      <w:pPr>
        <w:tabs>
          <w:tab w:val="right" w:pos="0"/>
          <w:tab w:val="left" w:pos="4253"/>
        </w:tabs>
        <w:spacing w:before="120"/>
        <w:jc w:val="right"/>
        <w:rPr>
          <w:rFonts w:cs="Arial"/>
          <w:sz w:val="24"/>
        </w:rPr>
      </w:pPr>
    </w:p>
    <w:p w14:paraId="510A0849" w14:textId="7A2F89E6" w:rsidR="00054BDA" w:rsidRPr="004D4164" w:rsidRDefault="00054BDA" w:rsidP="006A17B6">
      <w:pPr>
        <w:spacing w:before="120" w:line="480" w:lineRule="auto"/>
        <w:rPr>
          <w:rFonts w:cs="Arial"/>
          <w:b/>
          <w:sz w:val="24"/>
        </w:rPr>
      </w:pPr>
      <w:r w:rsidRPr="004D4164">
        <w:rPr>
          <w:rFonts w:cs="Arial"/>
          <w:sz w:val="24"/>
        </w:rPr>
        <w:t xml:space="preserve">This judgment is handed down </w:t>
      </w:r>
      <w:r w:rsidR="00252BFB">
        <w:rPr>
          <w:rFonts w:cs="Arial"/>
          <w:sz w:val="24"/>
        </w:rPr>
        <w:t xml:space="preserve">electronically </w:t>
      </w:r>
      <w:r w:rsidRPr="004D4164">
        <w:rPr>
          <w:rFonts w:cs="Arial"/>
          <w:sz w:val="24"/>
        </w:rPr>
        <w:t xml:space="preserve">by uploading it to the file of this matter on CaseLines. </w:t>
      </w:r>
      <w:r w:rsidR="003C12C5">
        <w:rPr>
          <w:rFonts w:cs="Arial"/>
          <w:sz w:val="24"/>
        </w:rPr>
        <w:t>I</w:t>
      </w:r>
      <w:r w:rsidR="000C217C">
        <w:rPr>
          <w:rFonts w:cs="Arial"/>
          <w:sz w:val="24"/>
        </w:rPr>
        <w:t>t will also be emailed to the parties or their legal representatives</w:t>
      </w:r>
      <w:r w:rsidR="00A355F7">
        <w:rPr>
          <w:rFonts w:cs="Arial"/>
          <w:sz w:val="24"/>
        </w:rPr>
        <w:t xml:space="preserve">. The date of delivery of this judgment is </w:t>
      </w:r>
      <w:r w:rsidR="00DA6DDF">
        <w:rPr>
          <w:rFonts w:cs="Arial"/>
          <w:sz w:val="24"/>
        </w:rPr>
        <w:t xml:space="preserve">deemed to be </w:t>
      </w:r>
      <w:r w:rsidR="006410FC">
        <w:rPr>
          <w:rFonts w:cs="Arial"/>
          <w:sz w:val="24"/>
        </w:rPr>
        <w:t xml:space="preserve">31 </w:t>
      </w:r>
      <w:r w:rsidR="009A407D">
        <w:rPr>
          <w:rFonts w:cs="Arial"/>
          <w:sz w:val="24"/>
        </w:rPr>
        <w:t>October</w:t>
      </w:r>
      <w:r w:rsidR="00A355F7">
        <w:rPr>
          <w:rFonts w:cs="Arial"/>
          <w:sz w:val="24"/>
        </w:rPr>
        <w:t xml:space="preserve"> 2023.</w:t>
      </w:r>
    </w:p>
    <w:p w14:paraId="510A084A" w14:textId="1168A00D" w:rsidR="003F72EB" w:rsidRDefault="003F72EB">
      <w:pPr>
        <w:spacing w:after="160" w:line="259" w:lineRule="auto"/>
        <w:jc w:val="left"/>
        <w:rPr>
          <w:rFonts w:cs="Arial"/>
          <w:sz w:val="24"/>
        </w:rPr>
      </w:pPr>
    </w:p>
    <w:p w14:paraId="1FC4AD96" w14:textId="77777777" w:rsidR="00054BDA" w:rsidRPr="004D4164" w:rsidRDefault="00054BDA" w:rsidP="00D12C62">
      <w:pPr>
        <w:spacing w:before="120"/>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8"/>
      </w:tblGrid>
      <w:tr w:rsidR="00374537" w:rsidRPr="004D4164" w14:paraId="510A0856" w14:textId="77777777" w:rsidTr="00EF40AF">
        <w:tc>
          <w:tcPr>
            <w:tcW w:w="5382" w:type="dxa"/>
          </w:tcPr>
          <w:p w14:paraId="510A0854" w14:textId="3805A902" w:rsidR="00374537" w:rsidRPr="004D4164" w:rsidRDefault="00374537" w:rsidP="00374537">
            <w:pPr>
              <w:tabs>
                <w:tab w:val="right" w:pos="0"/>
                <w:tab w:val="left" w:pos="4253"/>
              </w:tabs>
              <w:spacing w:before="120"/>
              <w:jc w:val="left"/>
              <w:rPr>
                <w:rFonts w:cs="Arial"/>
                <w:sz w:val="24"/>
              </w:rPr>
            </w:pPr>
            <w:r w:rsidRPr="004D4164">
              <w:rPr>
                <w:rFonts w:cs="Arial"/>
                <w:sz w:val="24"/>
              </w:rPr>
              <w:t xml:space="preserve">Counsel for </w:t>
            </w:r>
            <w:r>
              <w:rPr>
                <w:rFonts w:cs="Arial"/>
                <w:sz w:val="24"/>
              </w:rPr>
              <w:t>Selby</w:t>
            </w:r>
            <w:r w:rsidRPr="004D4164">
              <w:rPr>
                <w:rFonts w:cs="Arial"/>
                <w:sz w:val="24"/>
              </w:rPr>
              <w:t>:</w:t>
            </w:r>
          </w:p>
        </w:tc>
        <w:tc>
          <w:tcPr>
            <w:tcW w:w="3968" w:type="dxa"/>
          </w:tcPr>
          <w:p w14:paraId="510A0855" w14:textId="4C31795C" w:rsidR="00374537" w:rsidRPr="002B21F2" w:rsidRDefault="00374537" w:rsidP="00374537">
            <w:pPr>
              <w:tabs>
                <w:tab w:val="right" w:pos="0"/>
                <w:tab w:val="left" w:pos="4253"/>
              </w:tabs>
              <w:spacing w:before="120"/>
              <w:jc w:val="right"/>
              <w:rPr>
                <w:rFonts w:cs="Arial"/>
                <w:sz w:val="24"/>
              </w:rPr>
            </w:pPr>
            <w:r w:rsidRPr="00A83CC5">
              <w:rPr>
                <w:rFonts w:cs="Arial"/>
                <w:sz w:val="24"/>
                <w:lang w:val="en-GB"/>
              </w:rPr>
              <w:t xml:space="preserve">Macbeth </w:t>
            </w:r>
            <w:r w:rsidR="005437CE">
              <w:rPr>
                <w:rFonts w:cs="Arial"/>
                <w:sz w:val="24"/>
                <w:lang w:val="en-GB"/>
              </w:rPr>
              <w:t>Ncongwane</w:t>
            </w:r>
          </w:p>
        </w:tc>
      </w:tr>
      <w:tr w:rsidR="0005307F" w:rsidRPr="004D4164" w14:paraId="510A0859" w14:textId="77777777" w:rsidTr="00EF40AF">
        <w:tc>
          <w:tcPr>
            <w:tcW w:w="5382" w:type="dxa"/>
          </w:tcPr>
          <w:p w14:paraId="510A0857" w14:textId="77777777" w:rsidR="0005307F" w:rsidRPr="004D4164" w:rsidRDefault="0005307F" w:rsidP="00D12C62">
            <w:pPr>
              <w:tabs>
                <w:tab w:val="right" w:pos="0"/>
                <w:tab w:val="left" w:pos="4253"/>
              </w:tabs>
              <w:spacing w:before="120"/>
              <w:jc w:val="left"/>
              <w:rPr>
                <w:rFonts w:cs="Arial"/>
                <w:sz w:val="24"/>
              </w:rPr>
            </w:pPr>
            <w:r w:rsidRPr="004D4164">
              <w:rPr>
                <w:rFonts w:cs="Arial"/>
                <w:sz w:val="24"/>
              </w:rPr>
              <w:t>Instructed By:</w:t>
            </w:r>
          </w:p>
        </w:tc>
        <w:tc>
          <w:tcPr>
            <w:tcW w:w="3968" w:type="dxa"/>
          </w:tcPr>
          <w:p w14:paraId="510A0858" w14:textId="2206FC40" w:rsidR="0005307F" w:rsidRPr="002B21F2" w:rsidRDefault="00975476" w:rsidP="00D12C62">
            <w:pPr>
              <w:tabs>
                <w:tab w:val="right" w:pos="0"/>
                <w:tab w:val="left" w:pos="4253"/>
              </w:tabs>
              <w:spacing w:before="120"/>
              <w:jc w:val="right"/>
              <w:rPr>
                <w:rFonts w:cs="Arial"/>
                <w:sz w:val="24"/>
              </w:rPr>
            </w:pPr>
            <w:r w:rsidRPr="00A83CC5">
              <w:rPr>
                <w:rFonts w:cs="Arial"/>
                <w:sz w:val="24"/>
                <w:lang w:val="en-GB"/>
              </w:rPr>
              <w:t>Macbeth Incorporated</w:t>
            </w:r>
          </w:p>
        </w:tc>
      </w:tr>
      <w:tr w:rsidR="00F568B3" w:rsidRPr="004D4164" w14:paraId="73DA793E" w14:textId="77777777" w:rsidTr="00EF40AF">
        <w:tc>
          <w:tcPr>
            <w:tcW w:w="5382" w:type="dxa"/>
          </w:tcPr>
          <w:p w14:paraId="6DC98381" w14:textId="48ABAFD4" w:rsidR="00F568B3" w:rsidRPr="004D4164" w:rsidRDefault="00F568B3" w:rsidP="00F568B3">
            <w:pPr>
              <w:keepNext/>
              <w:tabs>
                <w:tab w:val="right" w:pos="0"/>
                <w:tab w:val="left" w:pos="4253"/>
              </w:tabs>
              <w:spacing w:before="120"/>
              <w:jc w:val="left"/>
              <w:rPr>
                <w:rFonts w:cs="Arial"/>
                <w:sz w:val="24"/>
              </w:rPr>
            </w:pPr>
            <w:r w:rsidRPr="004D4164">
              <w:rPr>
                <w:rFonts w:cs="Arial"/>
                <w:sz w:val="24"/>
              </w:rPr>
              <w:t xml:space="preserve">Counsel for </w:t>
            </w:r>
            <w:r>
              <w:rPr>
                <w:rFonts w:cs="Arial"/>
                <w:sz w:val="24"/>
              </w:rPr>
              <w:t>Santam</w:t>
            </w:r>
            <w:r w:rsidRPr="004D4164">
              <w:rPr>
                <w:rFonts w:cs="Arial"/>
                <w:sz w:val="24"/>
              </w:rPr>
              <w:t>:</w:t>
            </w:r>
          </w:p>
        </w:tc>
        <w:tc>
          <w:tcPr>
            <w:tcW w:w="3968" w:type="dxa"/>
          </w:tcPr>
          <w:p w14:paraId="66C6CE05" w14:textId="7D85312D" w:rsidR="00F568B3" w:rsidRDefault="00F568B3" w:rsidP="00F568B3">
            <w:pPr>
              <w:keepNext/>
              <w:tabs>
                <w:tab w:val="right" w:pos="0"/>
                <w:tab w:val="left" w:pos="4253"/>
              </w:tabs>
              <w:spacing w:before="120"/>
              <w:jc w:val="right"/>
              <w:rPr>
                <w:rFonts w:cs="Arial"/>
                <w:sz w:val="24"/>
              </w:rPr>
            </w:pPr>
            <w:r w:rsidRPr="00A83CC5">
              <w:rPr>
                <w:rFonts w:cs="Arial"/>
                <w:sz w:val="24"/>
                <w:lang w:val="en-GB"/>
              </w:rPr>
              <w:t>Pieter Oosthuizen</w:t>
            </w:r>
          </w:p>
        </w:tc>
      </w:tr>
      <w:tr w:rsidR="00F568B3" w:rsidRPr="004D4164" w14:paraId="209F437C" w14:textId="77777777" w:rsidTr="00EF40AF">
        <w:tc>
          <w:tcPr>
            <w:tcW w:w="5382" w:type="dxa"/>
          </w:tcPr>
          <w:p w14:paraId="7D651692" w14:textId="79BC9164" w:rsidR="00F568B3" w:rsidRPr="004D4164" w:rsidRDefault="00F568B3" w:rsidP="00F568B3">
            <w:pPr>
              <w:keepNext/>
              <w:tabs>
                <w:tab w:val="right" w:pos="0"/>
                <w:tab w:val="left" w:pos="4253"/>
              </w:tabs>
              <w:spacing w:before="120"/>
              <w:jc w:val="left"/>
              <w:rPr>
                <w:rFonts w:cs="Arial"/>
                <w:sz w:val="24"/>
              </w:rPr>
            </w:pPr>
            <w:r w:rsidRPr="004D4164">
              <w:rPr>
                <w:rFonts w:cs="Arial"/>
                <w:sz w:val="24"/>
              </w:rPr>
              <w:t>Instructed By:</w:t>
            </w:r>
          </w:p>
        </w:tc>
        <w:tc>
          <w:tcPr>
            <w:tcW w:w="3968" w:type="dxa"/>
          </w:tcPr>
          <w:p w14:paraId="2A1FCA43" w14:textId="5222A7E2" w:rsidR="00F568B3" w:rsidRDefault="00F568B3" w:rsidP="00F568B3">
            <w:pPr>
              <w:keepNext/>
              <w:tabs>
                <w:tab w:val="right" w:pos="0"/>
                <w:tab w:val="left" w:pos="4253"/>
              </w:tabs>
              <w:spacing w:before="120"/>
              <w:jc w:val="right"/>
              <w:rPr>
                <w:rFonts w:cs="Arial"/>
                <w:sz w:val="24"/>
              </w:rPr>
            </w:pPr>
            <w:r w:rsidRPr="002B21F2">
              <w:rPr>
                <w:rFonts w:cs="Arial"/>
                <w:sz w:val="24"/>
              </w:rPr>
              <w:t>Pierre Krynauw</w:t>
            </w:r>
            <w:r>
              <w:rPr>
                <w:rFonts w:cs="Arial"/>
                <w:sz w:val="24"/>
              </w:rPr>
              <w:t xml:space="preserve"> Attorneys</w:t>
            </w:r>
          </w:p>
        </w:tc>
      </w:tr>
      <w:tr w:rsidR="00F568B3" w:rsidRPr="004D4164" w14:paraId="510A085F" w14:textId="77777777" w:rsidTr="00EF40AF">
        <w:tc>
          <w:tcPr>
            <w:tcW w:w="5382" w:type="dxa"/>
          </w:tcPr>
          <w:p w14:paraId="510A085D" w14:textId="77777777" w:rsidR="00F568B3" w:rsidRPr="004D4164" w:rsidRDefault="00F568B3" w:rsidP="00F568B3">
            <w:pPr>
              <w:keepNext/>
              <w:tabs>
                <w:tab w:val="right" w:pos="0"/>
                <w:tab w:val="left" w:pos="4253"/>
              </w:tabs>
              <w:spacing w:before="120"/>
              <w:jc w:val="left"/>
              <w:rPr>
                <w:rFonts w:cs="Arial"/>
                <w:sz w:val="24"/>
              </w:rPr>
            </w:pPr>
            <w:r w:rsidRPr="004D4164">
              <w:rPr>
                <w:rFonts w:cs="Arial"/>
                <w:sz w:val="24"/>
              </w:rPr>
              <w:t>Date of Hearing:</w:t>
            </w:r>
          </w:p>
        </w:tc>
        <w:tc>
          <w:tcPr>
            <w:tcW w:w="3968" w:type="dxa"/>
          </w:tcPr>
          <w:p w14:paraId="510A085E" w14:textId="3B411C29" w:rsidR="00F568B3" w:rsidRPr="002B21F2" w:rsidRDefault="00F568B3" w:rsidP="00F568B3">
            <w:pPr>
              <w:keepNext/>
              <w:tabs>
                <w:tab w:val="right" w:pos="0"/>
                <w:tab w:val="left" w:pos="4253"/>
              </w:tabs>
              <w:spacing w:before="120"/>
              <w:jc w:val="right"/>
              <w:rPr>
                <w:rFonts w:cs="Arial"/>
                <w:sz w:val="24"/>
              </w:rPr>
            </w:pPr>
            <w:r>
              <w:rPr>
                <w:rFonts w:cs="Arial"/>
                <w:sz w:val="24"/>
              </w:rPr>
              <w:t xml:space="preserve">30 October </w:t>
            </w:r>
            <w:r w:rsidRPr="002B21F2">
              <w:rPr>
                <w:rFonts w:cs="Arial"/>
                <w:sz w:val="24"/>
              </w:rPr>
              <w:t>2023</w:t>
            </w:r>
          </w:p>
        </w:tc>
      </w:tr>
      <w:tr w:rsidR="00F568B3" w:rsidRPr="004D4164" w14:paraId="510A0862" w14:textId="77777777" w:rsidTr="00EF40AF">
        <w:tc>
          <w:tcPr>
            <w:tcW w:w="5382" w:type="dxa"/>
          </w:tcPr>
          <w:p w14:paraId="510A0860" w14:textId="77777777" w:rsidR="00F568B3" w:rsidRPr="004D4164" w:rsidRDefault="00F568B3" w:rsidP="00F568B3">
            <w:pPr>
              <w:tabs>
                <w:tab w:val="right" w:pos="0"/>
                <w:tab w:val="left" w:pos="4253"/>
              </w:tabs>
              <w:spacing w:before="120"/>
              <w:jc w:val="left"/>
              <w:rPr>
                <w:rFonts w:cs="Arial"/>
                <w:sz w:val="24"/>
              </w:rPr>
            </w:pPr>
            <w:r w:rsidRPr="004D4164">
              <w:rPr>
                <w:rFonts w:cs="Arial"/>
                <w:sz w:val="24"/>
              </w:rPr>
              <w:t>Date of Judgment:</w:t>
            </w:r>
          </w:p>
        </w:tc>
        <w:tc>
          <w:tcPr>
            <w:tcW w:w="3968" w:type="dxa"/>
          </w:tcPr>
          <w:p w14:paraId="510A0861" w14:textId="0CCA2B27" w:rsidR="00F568B3" w:rsidRPr="004D4164" w:rsidRDefault="00C23C66" w:rsidP="00F568B3">
            <w:pPr>
              <w:tabs>
                <w:tab w:val="right" w:pos="0"/>
                <w:tab w:val="left" w:pos="4253"/>
              </w:tabs>
              <w:spacing w:before="120"/>
              <w:jc w:val="right"/>
              <w:rPr>
                <w:rFonts w:cs="Arial"/>
                <w:sz w:val="24"/>
              </w:rPr>
            </w:pPr>
            <w:r>
              <w:rPr>
                <w:rFonts w:cs="Arial"/>
                <w:sz w:val="24"/>
              </w:rPr>
              <w:t xml:space="preserve">31 </w:t>
            </w:r>
            <w:r w:rsidR="00F568B3">
              <w:rPr>
                <w:rFonts w:cs="Arial"/>
                <w:sz w:val="24"/>
              </w:rPr>
              <w:t>October 2023</w:t>
            </w:r>
          </w:p>
        </w:tc>
      </w:tr>
    </w:tbl>
    <w:p w14:paraId="510A0863" w14:textId="77777777" w:rsidR="0005307F" w:rsidRPr="004D4164" w:rsidRDefault="0005307F" w:rsidP="00D12C62">
      <w:pPr>
        <w:tabs>
          <w:tab w:val="right" w:pos="0"/>
          <w:tab w:val="left" w:pos="4253"/>
        </w:tabs>
        <w:spacing w:before="120"/>
        <w:rPr>
          <w:rFonts w:cs="Arial"/>
          <w:sz w:val="24"/>
        </w:rPr>
      </w:pPr>
    </w:p>
    <w:sectPr w:rsidR="0005307F" w:rsidRPr="004D41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0AAAE" w14:textId="77777777" w:rsidR="00F3152C" w:rsidRDefault="00F3152C" w:rsidP="009037B0">
      <w:pPr>
        <w:spacing w:line="240" w:lineRule="auto"/>
      </w:pPr>
      <w:r>
        <w:separator/>
      </w:r>
    </w:p>
  </w:endnote>
  <w:endnote w:type="continuationSeparator" w:id="0">
    <w:p w14:paraId="0729776A" w14:textId="77777777" w:rsidR="00F3152C" w:rsidRDefault="00F3152C" w:rsidP="00903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519602"/>
      <w:docPartObj>
        <w:docPartGallery w:val="Page Numbers (Bottom of Page)"/>
        <w:docPartUnique/>
      </w:docPartObj>
    </w:sdtPr>
    <w:sdtEndPr>
      <w:rPr>
        <w:noProof/>
      </w:rPr>
    </w:sdtEndPr>
    <w:sdtContent>
      <w:p w14:paraId="510A086C" w14:textId="5E339E3B" w:rsidR="00E960D4" w:rsidRDefault="00E960D4">
        <w:pPr>
          <w:pStyle w:val="Footer"/>
          <w:jc w:val="right"/>
        </w:pPr>
        <w:r>
          <w:fldChar w:fldCharType="begin"/>
        </w:r>
        <w:r>
          <w:instrText xml:space="preserve"> PAGE   \* MERGEFORMAT </w:instrText>
        </w:r>
        <w:r>
          <w:fldChar w:fldCharType="separate"/>
        </w:r>
        <w:r w:rsidR="00753FBC">
          <w:rPr>
            <w:noProof/>
          </w:rPr>
          <w:t>1</w:t>
        </w:r>
        <w:r>
          <w:rPr>
            <w:noProof/>
          </w:rPr>
          <w:fldChar w:fldCharType="end"/>
        </w:r>
      </w:p>
    </w:sdtContent>
  </w:sdt>
  <w:p w14:paraId="510A086D" w14:textId="77777777" w:rsidR="00E960D4" w:rsidRDefault="00E960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82204" w14:textId="77777777" w:rsidR="00F3152C" w:rsidRDefault="00F3152C" w:rsidP="009037B0">
      <w:pPr>
        <w:spacing w:line="240" w:lineRule="auto"/>
      </w:pPr>
      <w:r>
        <w:separator/>
      </w:r>
    </w:p>
  </w:footnote>
  <w:footnote w:type="continuationSeparator" w:id="0">
    <w:p w14:paraId="67581D55" w14:textId="77777777" w:rsidR="00F3152C" w:rsidRDefault="00F3152C" w:rsidP="009037B0">
      <w:pPr>
        <w:spacing w:line="240" w:lineRule="auto"/>
      </w:pPr>
      <w:r>
        <w:continuationSeparator/>
      </w:r>
    </w:p>
  </w:footnote>
  <w:footnote w:id="1">
    <w:p w14:paraId="056D12D6" w14:textId="1A147CC8" w:rsidR="00CC7CB2" w:rsidRPr="00071B3A" w:rsidRDefault="00CC7CB2" w:rsidP="00512E1E">
      <w:pPr>
        <w:pStyle w:val="FootnoteText"/>
        <w:spacing w:before="120" w:line="360" w:lineRule="auto"/>
        <w:ind w:left="709" w:hanging="709"/>
        <w:jc w:val="both"/>
        <w:rPr>
          <w:rFonts w:ascii="Arial" w:hAnsi="Arial" w:cs="Arial"/>
          <w:lang w:val="en-US"/>
        </w:rPr>
      </w:pPr>
      <w:r w:rsidRPr="00071B3A">
        <w:rPr>
          <w:rStyle w:val="FootnoteReference"/>
          <w:rFonts w:ascii="Arial" w:hAnsi="Arial" w:cs="Arial"/>
        </w:rPr>
        <w:footnoteRef/>
      </w:r>
      <w:r w:rsidRPr="00071B3A">
        <w:rPr>
          <w:rFonts w:ascii="Arial" w:hAnsi="Arial" w:cs="Arial"/>
        </w:rPr>
        <w:t xml:space="preserve"> </w:t>
      </w:r>
      <w:r w:rsidRPr="00071B3A">
        <w:rPr>
          <w:rFonts w:ascii="Arial" w:hAnsi="Arial" w:cs="Arial"/>
          <w:lang w:val="en-US"/>
        </w:rPr>
        <w:tab/>
      </w:r>
      <w:r w:rsidR="00F97046">
        <w:rPr>
          <w:rFonts w:ascii="Arial" w:hAnsi="Arial" w:cs="Arial"/>
          <w:lang w:val="en-US"/>
        </w:rPr>
        <w:t xml:space="preserve">On the same day </w:t>
      </w:r>
      <w:r w:rsidR="00B277EC">
        <w:rPr>
          <w:rFonts w:ascii="Arial" w:hAnsi="Arial" w:cs="Arial"/>
          <w:lang w:val="en-US"/>
        </w:rPr>
        <w:t xml:space="preserve">(13 September 2023) </w:t>
      </w:r>
      <w:r w:rsidR="00F97046">
        <w:rPr>
          <w:rFonts w:ascii="Arial" w:hAnsi="Arial" w:cs="Arial"/>
          <w:lang w:val="en-US"/>
        </w:rPr>
        <w:t>Selby delivered a second</w:t>
      </w:r>
      <w:r w:rsidR="00B277EC">
        <w:rPr>
          <w:rFonts w:ascii="Arial" w:hAnsi="Arial" w:cs="Arial"/>
          <w:lang w:val="en-US"/>
        </w:rPr>
        <w:t xml:space="preserve"> </w:t>
      </w:r>
      <w:r>
        <w:rPr>
          <w:rFonts w:ascii="Arial" w:hAnsi="Arial" w:cs="Arial"/>
          <w:lang w:val="en-US"/>
        </w:rPr>
        <w:t>notice of application for leave to appeal</w:t>
      </w:r>
      <w:r w:rsidR="00B277EC">
        <w:rPr>
          <w:rFonts w:ascii="Arial" w:hAnsi="Arial" w:cs="Arial"/>
          <w:lang w:val="en-US"/>
        </w:rPr>
        <w:t xml:space="preserve"> in similar terms to that of </w:t>
      </w:r>
      <w:r>
        <w:rPr>
          <w:rFonts w:ascii="Arial" w:hAnsi="Arial" w:cs="Arial"/>
          <w:lang w:val="en-US"/>
        </w:rPr>
        <w:t>31 August 2023</w:t>
      </w:r>
      <w:r w:rsidR="00B277EC">
        <w:rPr>
          <w:rFonts w:ascii="Arial" w:hAnsi="Arial" w:cs="Arial"/>
          <w:lang w:val="en-US"/>
        </w:rPr>
        <w:t>.</w:t>
      </w:r>
      <w:r w:rsidR="000D7809">
        <w:rPr>
          <w:rFonts w:ascii="Arial" w:hAnsi="Arial" w:cs="Arial"/>
          <w:lang w:val="en-US"/>
        </w:rPr>
        <w:t xml:space="preserve"> Any need for </w:t>
      </w:r>
      <w:r w:rsidR="00CB75E4">
        <w:rPr>
          <w:rFonts w:ascii="Arial" w:hAnsi="Arial" w:cs="Arial"/>
          <w:lang w:val="en-US"/>
        </w:rPr>
        <w:t>a</w:t>
      </w:r>
      <w:r w:rsidR="000D7809">
        <w:rPr>
          <w:rFonts w:ascii="Arial" w:hAnsi="Arial" w:cs="Arial"/>
          <w:lang w:val="en-US"/>
        </w:rPr>
        <w:t xml:space="preserve"> second notice is not addressed in the condonation application. </w:t>
      </w:r>
    </w:p>
  </w:footnote>
  <w:footnote w:id="2">
    <w:p w14:paraId="17CFB672" w14:textId="3D12F57B" w:rsidR="0050341D" w:rsidRPr="00D93F21" w:rsidRDefault="0050341D" w:rsidP="0050341D">
      <w:pPr>
        <w:pStyle w:val="FootnoteText"/>
        <w:spacing w:before="120" w:line="360" w:lineRule="auto"/>
        <w:ind w:left="709" w:hanging="709"/>
        <w:jc w:val="both"/>
        <w:rPr>
          <w:rFonts w:ascii="Arial" w:hAnsi="Arial" w:cs="Arial"/>
          <w:szCs w:val="18"/>
        </w:rPr>
      </w:pPr>
      <w:r w:rsidRPr="00D93F21">
        <w:rPr>
          <w:rStyle w:val="FootnoteReference"/>
          <w:rFonts w:ascii="Arial" w:hAnsi="Arial" w:cs="Arial"/>
          <w:szCs w:val="18"/>
        </w:rPr>
        <w:footnoteRef/>
      </w:r>
      <w:r w:rsidRPr="00D93F21">
        <w:rPr>
          <w:rFonts w:ascii="Arial" w:hAnsi="Arial" w:cs="Arial"/>
          <w:szCs w:val="18"/>
        </w:rPr>
        <w:t xml:space="preserve"> </w:t>
      </w:r>
      <w:r w:rsidRPr="00D93F21">
        <w:rPr>
          <w:rFonts w:ascii="Arial" w:hAnsi="Arial" w:cs="Arial"/>
          <w:szCs w:val="18"/>
        </w:rPr>
        <w:tab/>
      </w:r>
      <w:r w:rsidRPr="00D93F21">
        <w:rPr>
          <w:rFonts w:ascii="Arial" w:hAnsi="Arial" w:cs="Arial"/>
          <w:i/>
          <w:iCs/>
        </w:rPr>
        <w:t>Saloojee and Another NNO v Minister of Community Development</w:t>
      </w:r>
      <w:r w:rsidRPr="00D93F21">
        <w:rPr>
          <w:rFonts w:ascii="Arial" w:hAnsi="Arial" w:cs="Arial"/>
        </w:rPr>
        <w:t xml:space="preserve"> 1965 (2) SA 135 (A) </w:t>
      </w:r>
      <w:r w:rsidRPr="00D93F21">
        <w:rPr>
          <w:rFonts w:ascii="Arial" w:hAnsi="Arial" w:cs="Arial"/>
          <w:szCs w:val="18"/>
        </w:rPr>
        <w:t>141C</w:t>
      </w:r>
      <w:r w:rsidRPr="00D93F21">
        <w:rPr>
          <w:rFonts w:ascii="Arial" w:hAnsi="Arial" w:cs="Arial"/>
          <w:color w:val="242121"/>
          <w:shd w:val="clear" w:color="auto" w:fill="FFFFFF"/>
        </w:rPr>
        <w:t>-E</w:t>
      </w:r>
      <w:r w:rsidRPr="0050341D">
        <w:rPr>
          <w:rFonts w:ascii="Arial" w:hAnsi="Arial" w:cs="Arial"/>
          <w:szCs w:val="18"/>
        </w:rPr>
        <w:t xml:space="preserve">; </w:t>
      </w:r>
      <w:r w:rsidRPr="00D93F21">
        <w:rPr>
          <w:rFonts w:ascii="Arial" w:hAnsi="Arial" w:cs="Arial"/>
          <w:i/>
          <w:iCs/>
          <w:szCs w:val="18"/>
        </w:rPr>
        <w:t>Uitenhage Transitional Local Council v South African Revenue Service</w:t>
      </w:r>
      <w:r w:rsidRPr="00D93F21">
        <w:rPr>
          <w:rFonts w:ascii="Arial" w:hAnsi="Arial" w:cs="Arial"/>
          <w:szCs w:val="18"/>
        </w:rPr>
        <w:t xml:space="preserve"> 2004 (1) SA 292 (SCA) </w:t>
      </w:r>
      <w:r w:rsidRPr="0050341D">
        <w:rPr>
          <w:rFonts w:ascii="Arial" w:hAnsi="Arial" w:cs="Arial"/>
          <w:szCs w:val="18"/>
        </w:rPr>
        <w:t>[</w:t>
      </w:r>
      <w:r w:rsidRPr="00D93F21">
        <w:rPr>
          <w:rFonts w:ascii="Arial" w:hAnsi="Arial" w:cs="Arial"/>
          <w:szCs w:val="18"/>
        </w:rPr>
        <w:t>6</w:t>
      </w:r>
      <w:r w:rsidRPr="0050341D">
        <w:rPr>
          <w:rFonts w:ascii="Arial" w:hAnsi="Arial" w:cs="Arial"/>
          <w:szCs w:val="18"/>
        </w:rPr>
        <w:t>]-[7]</w:t>
      </w:r>
      <w:r w:rsidRPr="00D93F21">
        <w:rPr>
          <w:rFonts w:ascii="Arial" w:hAnsi="Arial" w:cs="Arial"/>
          <w:lang w:val="en-US"/>
        </w:rPr>
        <w:t xml:space="preserve">; </w:t>
      </w:r>
      <w:r w:rsidRPr="00D93F21">
        <w:rPr>
          <w:rFonts w:ascii="Arial" w:hAnsi="Arial" w:cs="Arial"/>
          <w:i/>
          <w:iCs/>
          <w:lang w:val="en-US"/>
        </w:rPr>
        <w:t>eThekwini Municipality v Ingonyama Trust</w:t>
      </w:r>
      <w:r w:rsidRPr="00D93F21">
        <w:rPr>
          <w:rFonts w:ascii="Arial" w:hAnsi="Arial" w:cs="Arial"/>
          <w:lang w:val="en-US"/>
        </w:rPr>
        <w:t xml:space="preserve"> 2014 (3) SA 240 (CC) </w:t>
      </w:r>
      <w:r>
        <w:rPr>
          <w:rFonts w:ascii="Arial" w:hAnsi="Arial" w:cs="Arial"/>
          <w:lang w:val="en-US"/>
        </w:rPr>
        <w:t>[</w:t>
      </w:r>
      <w:r w:rsidRPr="00D93F21">
        <w:rPr>
          <w:rFonts w:ascii="Arial" w:hAnsi="Arial" w:cs="Arial"/>
          <w:lang w:val="en-US"/>
        </w:rPr>
        <w:t>26</w:t>
      </w:r>
      <w:r>
        <w:rPr>
          <w:rFonts w:ascii="Arial" w:hAnsi="Arial" w:cs="Arial"/>
          <w:lang w:val="en-US"/>
        </w:rPr>
        <w:t>]-[</w:t>
      </w:r>
      <w:r w:rsidRPr="00D93F21">
        <w:rPr>
          <w:rFonts w:ascii="Arial" w:hAnsi="Arial" w:cs="Arial"/>
          <w:lang w:val="en-US"/>
        </w:rPr>
        <w:t>32</w:t>
      </w:r>
      <w:r>
        <w:rPr>
          <w:rFonts w:ascii="Arial" w:hAnsi="Arial" w:cs="Arial"/>
          <w:lang w:val="en-US"/>
        </w:rPr>
        <w:t>]</w:t>
      </w:r>
    </w:p>
  </w:footnote>
  <w:footnote w:id="3">
    <w:p w14:paraId="32E42042" w14:textId="7BCCBF7C" w:rsidR="00D4324D" w:rsidRPr="00071B3A" w:rsidRDefault="00D4324D" w:rsidP="00EE7509">
      <w:pPr>
        <w:pStyle w:val="FootnoteText"/>
        <w:spacing w:before="120" w:line="360" w:lineRule="auto"/>
        <w:ind w:left="709" w:hanging="709"/>
        <w:jc w:val="both"/>
        <w:rPr>
          <w:rFonts w:ascii="Arial" w:hAnsi="Arial" w:cs="Arial"/>
          <w:lang w:val="en-US"/>
        </w:rPr>
      </w:pPr>
      <w:r w:rsidRPr="00071B3A">
        <w:rPr>
          <w:rStyle w:val="FootnoteReference"/>
          <w:rFonts w:ascii="Arial" w:hAnsi="Arial" w:cs="Arial"/>
        </w:rPr>
        <w:footnoteRef/>
      </w:r>
      <w:r w:rsidRPr="00071B3A">
        <w:rPr>
          <w:rFonts w:ascii="Arial" w:hAnsi="Arial" w:cs="Arial"/>
        </w:rPr>
        <w:t xml:space="preserve"> </w:t>
      </w:r>
      <w:r w:rsidR="002C140F" w:rsidRPr="00071B3A">
        <w:rPr>
          <w:rFonts w:ascii="Arial" w:hAnsi="Arial" w:cs="Arial"/>
          <w:lang w:val="en-US"/>
        </w:rPr>
        <w:tab/>
      </w:r>
      <w:r w:rsidR="002C140F">
        <w:rPr>
          <w:rFonts w:ascii="Arial" w:hAnsi="Arial" w:cs="Arial"/>
          <w:lang w:val="en-US"/>
        </w:rPr>
        <w:t>Para 1 of notice of application for leave to appeal</w:t>
      </w:r>
      <w:r w:rsidR="005A7600">
        <w:rPr>
          <w:rFonts w:ascii="Arial" w:hAnsi="Arial" w:cs="Arial"/>
          <w:lang w:val="en-US"/>
        </w:rPr>
        <w:t xml:space="preserve"> dated 31 August 2023</w:t>
      </w:r>
    </w:p>
  </w:footnote>
  <w:footnote w:id="4">
    <w:p w14:paraId="261C580A" w14:textId="2D3EF8A4" w:rsidR="00320470" w:rsidRPr="00912B73" w:rsidRDefault="00320470" w:rsidP="00D617F3">
      <w:pPr>
        <w:pStyle w:val="FootnoteText"/>
        <w:spacing w:before="120" w:line="360" w:lineRule="auto"/>
        <w:ind w:left="709" w:hanging="709"/>
        <w:jc w:val="both"/>
        <w:rPr>
          <w:rFonts w:ascii="Arial" w:hAnsi="Arial" w:cs="Arial"/>
          <w:lang w:val="en-ZA"/>
        </w:rPr>
      </w:pPr>
      <w:r w:rsidRPr="007A665F">
        <w:rPr>
          <w:rStyle w:val="FootnoteReference"/>
          <w:rFonts w:ascii="Arial" w:hAnsi="Arial" w:cs="Arial"/>
        </w:rPr>
        <w:footnoteRef/>
      </w:r>
      <w:r w:rsidRPr="00912B73">
        <w:rPr>
          <w:rFonts w:ascii="Arial" w:hAnsi="Arial" w:cs="Arial"/>
          <w:lang w:val="en-ZA"/>
        </w:rPr>
        <w:t xml:space="preserve"> </w:t>
      </w:r>
      <w:r w:rsidRPr="00912B73">
        <w:rPr>
          <w:rFonts w:ascii="Arial" w:hAnsi="Arial" w:cs="Arial"/>
          <w:lang w:val="en-ZA"/>
        </w:rPr>
        <w:tab/>
        <w:t xml:space="preserve">Para </w:t>
      </w:r>
      <w:r w:rsidR="00740E5B" w:rsidRPr="00912B73">
        <w:rPr>
          <w:rFonts w:ascii="Arial" w:hAnsi="Arial" w:cs="Arial"/>
          <w:lang w:val="en-ZA"/>
        </w:rPr>
        <w:t>2</w:t>
      </w:r>
    </w:p>
  </w:footnote>
  <w:footnote w:id="5">
    <w:p w14:paraId="5D5E82E6" w14:textId="03019754" w:rsidR="000D3AA6" w:rsidRPr="00912B73" w:rsidRDefault="000D3AA6" w:rsidP="00D617F3">
      <w:pPr>
        <w:pStyle w:val="FootnoteText"/>
        <w:spacing w:before="120" w:line="360" w:lineRule="auto"/>
        <w:ind w:left="709" w:hanging="709"/>
        <w:jc w:val="both"/>
        <w:rPr>
          <w:rFonts w:ascii="Arial" w:hAnsi="Arial" w:cs="Arial"/>
          <w:lang w:val="en-ZA"/>
        </w:rPr>
      </w:pPr>
      <w:r w:rsidRPr="007A665F">
        <w:rPr>
          <w:rStyle w:val="FootnoteReference"/>
          <w:rFonts w:ascii="Arial" w:hAnsi="Arial" w:cs="Arial"/>
        </w:rPr>
        <w:footnoteRef/>
      </w:r>
      <w:r w:rsidRPr="00912B73">
        <w:rPr>
          <w:rFonts w:ascii="Arial" w:hAnsi="Arial" w:cs="Arial"/>
          <w:lang w:val="en-ZA"/>
        </w:rPr>
        <w:t xml:space="preserve"> </w:t>
      </w:r>
      <w:r w:rsidRPr="00912B73">
        <w:rPr>
          <w:rFonts w:ascii="Arial" w:hAnsi="Arial" w:cs="Arial"/>
          <w:lang w:val="en-ZA"/>
        </w:rPr>
        <w:tab/>
        <w:t>Para 3</w:t>
      </w:r>
    </w:p>
  </w:footnote>
  <w:footnote w:id="6">
    <w:p w14:paraId="02713737" w14:textId="1AC01082" w:rsidR="00D22594" w:rsidRPr="00D617F3" w:rsidRDefault="00D22594" w:rsidP="00D617F3">
      <w:pPr>
        <w:pStyle w:val="FootnoteText"/>
        <w:spacing w:before="120" w:line="360" w:lineRule="auto"/>
        <w:ind w:left="709" w:hanging="709"/>
        <w:jc w:val="both"/>
        <w:rPr>
          <w:rFonts w:ascii="Arial" w:hAnsi="Arial" w:cs="Arial"/>
          <w:lang w:val="en-ZA"/>
        </w:rPr>
      </w:pPr>
      <w:r w:rsidRPr="007A665F">
        <w:rPr>
          <w:rStyle w:val="FootnoteReference"/>
          <w:rFonts w:ascii="Arial" w:hAnsi="Arial" w:cs="Arial"/>
        </w:rPr>
        <w:footnoteRef/>
      </w:r>
      <w:r w:rsidRPr="00D617F3">
        <w:rPr>
          <w:rFonts w:ascii="Arial" w:hAnsi="Arial" w:cs="Arial"/>
          <w:lang w:val="en-ZA"/>
        </w:rPr>
        <w:t xml:space="preserve"> </w:t>
      </w:r>
      <w:r w:rsidRPr="00D617F3">
        <w:rPr>
          <w:rFonts w:ascii="Arial" w:hAnsi="Arial" w:cs="Arial"/>
          <w:lang w:val="en-ZA"/>
        </w:rPr>
        <w:tab/>
        <w:t xml:space="preserve">See para </w:t>
      </w:r>
      <w:r w:rsidR="00B86771" w:rsidRPr="00D617F3">
        <w:rPr>
          <w:rFonts w:ascii="Arial" w:hAnsi="Arial" w:cs="Arial"/>
          <w:lang w:val="en-ZA"/>
        </w:rPr>
        <w:t>36.2 of my judgment in the main application, which</w:t>
      </w:r>
      <w:r w:rsidR="00B86771">
        <w:rPr>
          <w:rFonts w:ascii="Arial" w:hAnsi="Arial" w:cs="Arial"/>
          <w:lang w:val="en-ZA"/>
        </w:rPr>
        <w:t xml:space="preserve"> references </w:t>
      </w:r>
      <w:r w:rsidR="006243AF">
        <w:rPr>
          <w:rFonts w:ascii="Arial" w:hAnsi="Arial" w:cs="Arial"/>
          <w:lang w:val="en-ZA"/>
        </w:rPr>
        <w:t xml:space="preserve">the parties’ consensus in this regard </w:t>
      </w:r>
      <w:r w:rsidR="005D2035">
        <w:rPr>
          <w:rFonts w:ascii="Arial" w:hAnsi="Arial" w:cs="Arial"/>
          <w:lang w:val="en-ZA"/>
        </w:rPr>
        <w:t>as recorded</w:t>
      </w:r>
      <w:r w:rsidR="00B53115">
        <w:rPr>
          <w:rFonts w:ascii="Arial" w:hAnsi="Arial" w:cs="Arial"/>
          <w:lang w:val="en-ZA"/>
        </w:rPr>
        <w:t xml:space="preserve"> </w:t>
      </w:r>
      <w:r w:rsidR="00F10E7C">
        <w:rPr>
          <w:rFonts w:ascii="Arial" w:hAnsi="Arial" w:cs="Arial"/>
          <w:lang w:val="en-ZA"/>
        </w:rPr>
        <w:t xml:space="preserve">in </w:t>
      </w:r>
      <w:r w:rsidR="00B86771">
        <w:rPr>
          <w:rFonts w:ascii="Arial" w:hAnsi="Arial" w:cs="Arial"/>
          <w:lang w:val="en-ZA"/>
        </w:rPr>
        <w:t xml:space="preserve">para 10.1 of </w:t>
      </w:r>
      <w:r w:rsidR="001F6BB2">
        <w:rPr>
          <w:rFonts w:ascii="Arial" w:hAnsi="Arial" w:cs="Arial"/>
          <w:lang w:val="en-ZA"/>
        </w:rPr>
        <w:t>a joint practice note dated 25 April 2023</w:t>
      </w:r>
      <w:r w:rsidR="00B53115">
        <w:rPr>
          <w:rFonts w:ascii="Arial" w:hAnsi="Arial" w:cs="Arial"/>
          <w:lang w:val="en-ZA"/>
        </w:rPr>
        <w:t>: “</w:t>
      </w:r>
      <w:r w:rsidR="00B53115">
        <w:rPr>
          <w:rFonts w:ascii="Arial" w:hAnsi="Arial" w:cs="Arial"/>
          <w:i/>
          <w:iCs/>
          <w:lang w:val="en-ZA"/>
        </w:rPr>
        <w:t>[t]he crisp and sole issue in dispute for the exercise of a discretion by this honourable court is, whether the security that has been tended</w:t>
      </w:r>
      <w:r w:rsidR="00792618">
        <w:rPr>
          <w:rFonts w:ascii="Arial" w:hAnsi="Arial" w:cs="Arial"/>
          <w:i/>
          <w:iCs/>
          <w:lang w:val="en-ZA"/>
        </w:rPr>
        <w:t xml:space="preserve"> by </w:t>
      </w:r>
      <w:r w:rsidR="002F1157">
        <w:rPr>
          <w:rFonts w:ascii="Arial" w:hAnsi="Arial" w:cs="Arial"/>
          <w:i/>
          <w:iCs/>
          <w:lang w:val="en-ZA"/>
        </w:rPr>
        <w:t>[Santam]</w:t>
      </w:r>
      <w:r w:rsidR="00792618">
        <w:rPr>
          <w:rFonts w:ascii="Arial" w:hAnsi="Arial" w:cs="Arial"/>
          <w:i/>
          <w:iCs/>
          <w:lang w:val="en-ZA"/>
        </w:rPr>
        <w:t xml:space="preserve"> is sufficient for </w:t>
      </w:r>
      <w:r w:rsidR="002F1157">
        <w:rPr>
          <w:rFonts w:ascii="Arial" w:hAnsi="Arial" w:cs="Arial"/>
          <w:i/>
          <w:iCs/>
          <w:lang w:val="en-ZA"/>
        </w:rPr>
        <w:t>[</w:t>
      </w:r>
      <w:r w:rsidR="008F19B2">
        <w:rPr>
          <w:rFonts w:ascii="Arial" w:hAnsi="Arial" w:cs="Arial"/>
          <w:i/>
          <w:iCs/>
          <w:lang w:val="en-ZA"/>
        </w:rPr>
        <w:t>Selby</w:t>
      </w:r>
      <w:r w:rsidR="002F1157">
        <w:rPr>
          <w:rFonts w:ascii="Arial" w:hAnsi="Arial" w:cs="Arial"/>
          <w:i/>
          <w:iCs/>
          <w:lang w:val="en-ZA"/>
        </w:rPr>
        <w:t xml:space="preserve">] </w:t>
      </w:r>
      <w:r w:rsidR="00792618">
        <w:rPr>
          <w:rFonts w:ascii="Arial" w:hAnsi="Arial" w:cs="Arial"/>
          <w:i/>
          <w:iCs/>
          <w:lang w:val="en-ZA"/>
        </w:rPr>
        <w:t xml:space="preserve">to be ordered to release the vehicle to </w:t>
      </w:r>
      <w:r w:rsidR="008F19B2">
        <w:rPr>
          <w:rFonts w:ascii="Arial" w:hAnsi="Arial" w:cs="Arial"/>
          <w:i/>
          <w:iCs/>
          <w:lang w:val="en-ZA"/>
        </w:rPr>
        <w:t xml:space="preserve">[Santam] </w:t>
      </w:r>
      <w:r w:rsidR="00792618">
        <w:rPr>
          <w:rFonts w:ascii="Arial" w:hAnsi="Arial" w:cs="Arial"/>
          <w:i/>
          <w:iCs/>
          <w:lang w:val="en-ZA"/>
        </w:rPr>
        <w:t xml:space="preserve">and/or </w:t>
      </w:r>
      <w:r w:rsidR="008F19B2">
        <w:rPr>
          <w:rFonts w:ascii="Arial" w:hAnsi="Arial" w:cs="Arial"/>
          <w:i/>
          <w:iCs/>
          <w:lang w:val="en-ZA"/>
        </w:rPr>
        <w:t>[its]</w:t>
      </w:r>
      <w:r w:rsidR="002F1157">
        <w:rPr>
          <w:rFonts w:ascii="Arial" w:hAnsi="Arial" w:cs="Arial"/>
          <w:i/>
          <w:iCs/>
          <w:lang w:val="en-ZA"/>
        </w:rPr>
        <w:t xml:space="preserve"> nominated representative</w:t>
      </w:r>
      <w:r w:rsidR="001F6BB2">
        <w:rPr>
          <w:rFonts w:ascii="Arial" w:hAnsi="Arial" w:cs="Arial"/>
          <w:lang w:val="en-ZA"/>
        </w:rPr>
        <w:t>.</w:t>
      </w:r>
      <w:r w:rsidR="00B53115">
        <w:rPr>
          <w:rFonts w:ascii="Arial" w:hAnsi="Arial" w:cs="Arial"/>
          <w:lang w:val="en-ZA"/>
        </w:rPr>
        <w:t>”</w:t>
      </w:r>
    </w:p>
  </w:footnote>
  <w:footnote w:id="7">
    <w:p w14:paraId="38A60B41" w14:textId="61F058A8" w:rsidR="000473E8" w:rsidRPr="00071B3A" w:rsidRDefault="000473E8" w:rsidP="000473E8">
      <w:pPr>
        <w:pStyle w:val="FootnoteText"/>
        <w:spacing w:before="120" w:line="360" w:lineRule="auto"/>
        <w:ind w:left="709" w:hanging="709"/>
        <w:jc w:val="both"/>
        <w:rPr>
          <w:rFonts w:ascii="Arial" w:hAnsi="Arial" w:cs="Arial"/>
          <w:lang w:val="en-US"/>
        </w:rPr>
      </w:pPr>
      <w:r w:rsidRPr="00071B3A">
        <w:rPr>
          <w:rStyle w:val="FootnoteReference"/>
          <w:rFonts w:ascii="Arial" w:hAnsi="Arial" w:cs="Arial"/>
        </w:rPr>
        <w:footnoteRef/>
      </w:r>
      <w:r w:rsidRPr="00071B3A">
        <w:rPr>
          <w:rFonts w:ascii="Arial" w:hAnsi="Arial" w:cs="Arial"/>
        </w:rPr>
        <w:t xml:space="preserve"> </w:t>
      </w:r>
      <w:r w:rsidRPr="00071B3A">
        <w:rPr>
          <w:rFonts w:ascii="Arial" w:hAnsi="Arial" w:cs="Arial"/>
          <w:lang w:val="en-US"/>
        </w:rPr>
        <w:tab/>
      </w:r>
      <w:r w:rsidR="009B62CB">
        <w:rPr>
          <w:rFonts w:ascii="Arial" w:hAnsi="Arial" w:cs="Arial"/>
          <w:lang w:val="en-US"/>
        </w:rPr>
        <w:t>There was no pertinent attempt to locate that fear within the wording of the right to “</w:t>
      </w:r>
      <w:r w:rsidR="009B62CB">
        <w:rPr>
          <w:rFonts w:ascii="Arial" w:hAnsi="Arial" w:cs="Arial"/>
          <w:i/>
          <w:iCs/>
          <w:lang w:val="en-US"/>
        </w:rPr>
        <w:t>[f]reedom of trade, occupation and pro</w:t>
      </w:r>
      <w:r w:rsidR="00655444">
        <w:rPr>
          <w:rFonts w:ascii="Arial" w:hAnsi="Arial" w:cs="Arial"/>
          <w:i/>
          <w:iCs/>
          <w:lang w:val="en-US"/>
        </w:rPr>
        <w:t>fession.</w:t>
      </w:r>
      <w:r w:rsidR="009B62CB">
        <w:rPr>
          <w:rFonts w:ascii="Arial" w:hAnsi="Arial" w:cs="Arial"/>
          <w:lang w:val="en-US"/>
        </w:rPr>
        <w:t>”</w:t>
      </w:r>
    </w:p>
  </w:footnote>
  <w:footnote w:id="8">
    <w:p w14:paraId="458F7A78" w14:textId="49FCAD82" w:rsidR="00455B23" w:rsidRPr="00912B73" w:rsidRDefault="00455B23" w:rsidP="00912B73">
      <w:pPr>
        <w:pStyle w:val="FootnoteText"/>
        <w:spacing w:before="120" w:line="360" w:lineRule="auto"/>
        <w:ind w:left="709" w:hanging="709"/>
        <w:jc w:val="both"/>
        <w:rPr>
          <w:rFonts w:ascii="Arial" w:hAnsi="Arial" w:cs="Arial"/>
        </w:rPr>
      </w:pPr>
      <w:r w:rsidRPr="00912B73">
        <w:rPr>
          <w:rStyle w:val="FootnoteReference"/>
          <w:rFonts w:ascii="Arial" w:hAnsi="Arial" w:cs="Arial"/>
        </w:rPr>
        <w:footnoteRef/>
      </w:r>
      <w:r w:rsidRPr="00912B73">
        <w:rPr>
          <w:rFonts w:ascii="Arial" w:hAnsi="Arial" w:cs="Arial"/>
        </w:rPr>
        <w:t xml:space="preserve"> </w:t>
      </w:r>
      <w:r w:rsidRPr="00912B73">
        <w:rPr>
          <w:rFonts w:ascii="Arial" w:hAnsi="Arial" w:cs="Arial"/>
        </w:rPr>
        <w:tab/>
      </w:r>
      <w:r w:rsidRPr="00912B73">
        <w:rPr>
          <w:rFonts w:ascii="Arial" w:hAnsi="Arial" w:cs="Arial"/>
          <w:i/>
          <w:iCs/>
        </w:rPr>
        <w:t>Ramakatsa and Others v African National Congress and Another</w:t>
      </w:r>
      <w:r w:rsidRPr="00912B73">
        <w:rPr>
          <w:rFonts w:ascii="Arial" w:hAnsi="Arial" w:cs="Arial"/>
        </w:rPr>
        <w:t xml:space="preserve"> (724/2019) [2021] ZASCA 31 (31 March 2021) </w:t>
      </w:r>
      <w:r w:rsidR="00E5410F">
        <w:rPr>
          <w:rFonts w:ascii="Arial" w:hAnsi="Arial" w:cs="Arial"/>
        </w:rPr>
        <w:t>[</w:t>
      </w:r>
      <w:r w:rsidRPr="00912B73">
        <w:rPr>
          <w:rFonts w:ascii="Arial" w:hAnsi="Arial" w:cs="Arial"/>
        </w:rPr>
        <w:t>10</w:t>
      </w:r>
      <w:r w:rsidR="00E5410F">
        <w:rPr>
          <w:rFonts w:ascii="Arial" w:hAnsi="Arial" w:cs="Aria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E28FDB"/>
    <w:multiLevelType w:val="hybridMultilevel"/>
    <w:tmpl w:val="1939B3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1500C"/>
    <w:multiLevelType w:val="multilevel"/>
    <w:tmpl w:val="FE187EC4"/>
    <w:lvl w:ilvl="0">
      <w:start w:val="1"/>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B44FBB"/>
    <w:multiLevelType w:val="hybridMultilevel"/>
    <w:tmpl w:val="14BCCD5A"/>
    <w:lvl w:ilvl="0" w:tplc="83D28E36">
      <w:numFmt w:val="bullet"/>
      <w:lvlText w:val=""/>
      <w:lvlJc w:val="left"/>
      <w:pPr>
        <w:ind w:left="1800" w:hanging="360"/>
      </w:pPr>
      <w:rPr>
        <w:rFonts w:ascii="Symbol" w:eastAsia="SimSu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14518E"/>
    <w:multiLevelType w:val="hybridMultilevel"/>
    <w:tmpl w:val="EFC604A2"/>
    <w:lvl w:ilvl="0" w:tplc="29945B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3267628"/>
    <w:multiLevelType w:val="multilevel"/>
    <w:tmpl w:val="611E3AB0"/>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3C14D2"/>
    <w:multiLevelType w:val="multilevel"/>
    <w:tmpl w:val="1CCAD94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354CBA"/>
    <w:multiLevelType w:val="hybridMultilevel"/>
    <w:tmpl w:val="5E6238D8"/>
    <w:lvl w:ilvl="0" w:tplc="1C090015">
      <w:start w:val="1"/>
      <w:numFmt w:val="upperLetter"/>
      <w:lvlText w:val="%1."/>
      <w:lvlJc w:val="left"/>
      <w:pPr>
        <w:ind w:left="709" w:hanging="360"/>
      </w:p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7" w15:restartNumberingAfterBreak="0">
    <w:nsid w:val="0936204A"/>
    <w:multiLevelType w:val="multilevel"/>
    <w:tmpl w:val="CF56B5C0"/>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9" w15:restartNumberingAfterBreak="0">
    <w:nsid w:val="0F58434B"/>
    <w:multiLevelType w:val="hybridMultilevel"/>
    <w:tmpl w:val="A0CA10DC"/>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0" w15:restartNumberingAfterBreak="0">
    <w:nsid w:val="104B3794"/>
    <w:multiLevelType w:val="multilevel"/>
    <w:tmpl w:val="09CE93A2"/>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01CF9E"/>
    <w:multiLevelType w:val="hybridMultilevel"/>
    <w:tmpl w:val="4CA9A2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0D2B89"/>
    <w:multiLevelType w:val="hybridMultilevel"/>
    <w:tmpl w:val="BE7EA1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7247441"/>
    <w:multiLevelType w:val="multilevel"/>
    <w:tmpl w:val="796EECC2"/>
    <w:lvl w:ilvl="0">
      <w:start w:val="1"/>
      <w:numFmt w:val="decimal"/>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5D62CC"/>
    <w:multiLevelType w:val="multilevel"/>
    <w:tmpl w:val="A3789DC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814"/>
        </w:tabs>
        <w:ind w:left="1814" w:hanging="1077"/>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5188"/>
        </w:tabs>
        <w:ind w:left="5188" w:hanging="1440"/>
      </w:pPr>
      <w:rPr>
        <w:rFonts w:hint="default"/>
      </w:rPr>
    </w:lvl>
    <w:lvl w:ilvl="5">
      <w:start w:val="1"/>
      <w:numFmt w:val="decimal"/>
      <w:lvlText w:val="%1.%2.%3.%4.%5.%6"/>
      <w:lvlJc w:val="left"/>
      <w:pPr>
        <w:tabs>
          <w:tab w:val="num" w:pos="6485"/>
        </w:tabs>
        <w:ind w:left="6485" w:hanging="1800"/>
      </w:pPr>
      <w:rPr>
        <w:rFonts w:hint="default"/>
      </w:rPr>
    </w:lvl>
    <w:lvl w:ilvl="6">
      <w:start w:val="1"/>
      <w:numFmt w:val="decimal"/>
      <w:lvlText w:val="%1.%2.%3.%4.%5.%6.%7"/>
      <w:lvlJc w:val="left"/>
      <w:pPr>
        <w:tabs>
          <w:tab w:val="num" w:pos="7422"/>
        </w:tabs>
        <w:ind w:left="7422" w:hanging="1800"/>
      </w:pPr>
      <w:rPr>
        <w:rFonts w:hint="default"/>
      </w:rPr>
    </w:lvl>
    <w:lvl w:ilvl="7">
      <w:start w:val="1"/>
      <w:numFmt w:val="decimal"/>
      <w:lvlText w:val="%1.%2.%3.%4.%5.%6.%7.%8"/>
      <w:lvlJc w:val="left"/>
      <w:pPr>
        <w:tabs>
          <w:tab w:val="num" w:pos="8719"/>
        </w:tabs>
        <w:ind w:left="8719" w:hanging="2160"/>
      </w:pPr>
      <w:rPr>
        <w:rFonts w:hint="default"/>
      </w:rPr>
    </w:lvl>
    <w:lvl w:ilvl="8">
      <w:start w:val="1"/>
      <w:numFmt w:val="decimal"/>
      <w:lvlText w:val="%1.%2.%3.%4.%5.%6.%7.%8.%9"/>
      <w:lvlJc w:val="left"/>
      <w:pPr>
        <w:tabs>
          <w:tab w:val="num" w:pos="10016"/>
        </w:tabs>
        <w:ind w:left="10016" w:hanging="2520"/>
      </w:pPr>
      <w:rPr>
        <w:rFonts w:hint="default"/>
      </w:rPr>
    </w:lvl>
  </w:abstractNum>
  <w:abstractNum w:abstractNumId="15" w15:restartNumberingAfterBreak="0">
    <w:nsid w:val="1C896BE7"/>
    <w:multiLevelType w:val="hybridMultilevel"/>
    <w:tmpl w:val="76E0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E80195"/>
    <w:multiLevelType w:val="multilevel"/>
    <w:tmpl w:val="D68C3E28"/>
    <w:lvl w:ilvl="0">
      <w:start w:val="1"/>
      <w:numFmt w:val="decimal"/>
      <w:pStyle w:val="BLLevel1HeadingAltQ"/>
      <w:lvlText w:val="%1."/>
      <w:lvlJc w:val="left"/>
      <w:pPr>
        <w:tabs>
          <w:tab w:val="num" w:pos="567"/>
        </w:tabs>
        <w:ind w:left="567" w:hanging="567"/>
      </w:pPr>
      <w:rPr>
        <w:rFonts w:hint="default"/>
        <w:b w:val="0"/>
        <w:i w:val="0"/>
        <w:sz w:val="18"/>
      </w:rPr>
    </w:lvl>
    <w:lvl w:ilvl="1">
      <w:start w:val="1"/>
      <w:numFmt w:val="decimal"/>
      <w:pStyle w:val="BLLevel2ListAlt"/>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LLevel3ListAlt"/>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LLevel4ListAlt"/>
      <w:lvlText w:val="%1.%2.%3.%4"/>
      <w:lvlJc w:val="left"/>
      <w:pPr>
        <w:tabs>
          <w:tab w:val="num" w:pos="1418"/>
        </w:tabs>
        <w:ind w:left="1418" w:hanging="1418"/>
      </w:pPr>
      <w:rPr>
        <w:rFonts w:hint="default"/>
        <w:b w:val="0"/>
        <w:i w:val="0"/>
        <w:sz w:val="18"/>
      </w:rPr>
    </w:lvl>
    <w:lvl w:ilvl="4">
      <w:start w:val="1"/>
      <w:numFmt w:val="decimal"/>
      <w:pStyle w:val="BLLevel5ListAlt"/>
      <w:lvlText w:val="%1.%2.%3.%4.%5"/>
      <w:lvlJc w:val="left"/>
      <w:pPr>
        <w:tabs>
          <w:tab w:val="num" w:pos="1701"/>
        </w:tabs>
        <w:ind w:left="1701" w:hanging="1701"/>
      </w:pPr>
      <w:rPr>
        <w:rFonts w:hint="default"/>
        <w:b w:val="0"/>
        <w:i w:val="0"/>
        <w:sz w:val="18"/>
      </w:rPr>
    </w:lvl>
    <w:lvl w:ilvl="5">
      <w:start w:val="1"/>
      <w:numFmt w:val="decimal"/>
      <w:pStyle w:val="BLLevel6ListAlt"/>
      <w:lvlText w:val="%1.%2.%3.%4.%5.%6"/>
      <w:lvlJc w:val="left"/>
      <w:pPr>
        <w:tabs>
          <w:tab w:val="num" w:pos="1985"/>
        </w:tabs>
        <w:ind w:left="1985" w:hanging="1985"/>
      </w:pPr>
      <w:rPr>
        <w:rFonts w:hint="default"/>
        <w:b w:val="0"/>
        <w:i w:val="0"/>
        <w:sz w:val="18"/>
      </w:rPr>
    </w:lvl>
    <w:lvl w:ilvl="6">
      <w:start w:val="1"/>
      <w:numFmt w:val="decimal"/>
      <w:pStyle w:val="BLLevel7ListAltM"/>
      <w:lvlText w:val="%1.%2.%3.%4.%5.%6.%7"/>
      <w:lvlJc w:val="left"/>
      <w:pPr>
        <w:tabs>
          <w:tab w:val="num" w:pos="2268"/>
        </w:tabs>
        <w:ind w:left="2268" w:hanging="226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EC32EAB"/>
    <w:multiLevelType w:val="multilevel"/>
    <w:tmpl w:val="1E90C3EE"/>
    <w:lvl w:ilvl="0">
      <w:start w:val="1"/>
      <w:numFmt w:val="decimal"/>
      <w:pStyle w:val="1"/>
      <w:lvlText w:val="%1"/>
      <w:lvlJc w:val="left"/>
      <w:pPr>
        <w:tabs>
          <w:tab w:val="num" w:pos="567"/>
        </w:tabs>
        <w:ind w:left="567" w:hanging="567"/>
      </w:pPr>
      <w:rPr>
        <w:rFonts w:hint="default"/>
        <w:b w:val="0"/>
        <w:sz w:val="24"/>
        <w:szCs w:val="24"/>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F405F02"/>
    <w:multiLevelType w:val="hybridMultilevel"/>
    <w:tmpl w:val="A89CF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37DF2E7B"/>
    <w:multiLevelType w:val="multilevel"/>
    <w:tmpl w:val="DCFAE0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DE2D21"/>
    <w:multiLevelType w:val="multilevel"/>
    <w:tmpl w:val="C85E4948"/>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165F8E"/>
    <w:multiLevelType w:val="multilevel"/>
    <w:tmpl w:val="C6449C2A"/>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215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E73B1C"/>
    <w:multiLevelType w:val="hybridMultilevel"/>
    <w:tmpl w:val="A54E3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03C96"/>
    <w:multiLevelType w:val="multilevel"/>
    <w:tmpl w:val="1A56B566"/>
    <w:lvl w:ilvl="0">
      <w:start w:val="1"/>
      <w:numFmt w:val="upperLetter"/>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A6362"/>
    <w:multiLevelType w:val="hybridMultilevel"/>
    <w:tmpl w:val="A08CC74A"/>
    <w:lvl w:ilvl="0" w:tplc="F2FC6E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00A2A70"/>
    <w:multiLevelType w:val="multilevel"/>
    <w:tmpl w:val="8D30EAB4"/>
    <w:lvl w:ilvl="0">
      <w:start w:val="1"/>
      <w:numFmt w:val="upperLetter"/>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29" w15:restartNumberingAfterBreak="0">
    <w:nsid w:val="64A61304"/>
    <w:multiLevelType w:val="multilevel"/>
    <w:tmpl w:val="5336B056"/>
    <w:lvl w:ilvl="0">
      <w:start w:val="1"/>
      <w:numFmt w:val="decimal"/>
      <w:pStyle w:val="WLGLevel1"/>
      <w:lvlText w:val="%1"/>
      <w:lvlJc w:val="left"/>
      <w:pPr>
        <w:tabs>
          <w:tab w:val="num" w:pos="567"/>
        </w:tabs>
        <w:ind w:left="567" w:hanging="567"/>
      </w:pPr>
    </w:lvl>
    <w:lvl w:ilvl="1">
      <w:start w:val="1"/>
      <w:numFmt w:val="decimal"/>
      <w:pStyle w:val="WLGLevel2"/>
      <w:lvlText w:val="%1.%2"/>
      <w:lvlJc w:val="left"/>
      <w:pPr>
        <w:tabs>
          <w:tab w:val="num" w:pos="1361"/>
        </w:tabs>
        <w:ind w:left="1361" w:hanging="794"/>
      </w:pPr>
    </w:lvl>
    <w:lvl w:ilvl="2">
      <w:start w:val="1"/>
      <w:numFmt w:val="decimal"/>
      <w:pStyle w:val="WLGLevel3"/>
      <w:lvlText w:val="%1.%2.%3"/>
      <w:lvlJc w:val="left"/>
      <w:pPr>
        <w:tabs>
          <w:tab w:val="num" w:pos="2381"/>
        </w:tabs>
        <w:ind w:left="2381" w:hanging="1020"/>
      </w:pPr>
    </w:lvl>
    <w:lvl w:ilvl="3">
      <w:start w:val="1"/>
      <w:numFmt w:val="decimal"/>
      <w:pStyle w:val="WLGLevel4"/>
      <w:lvlText w:val="%1.%2.%3.%4"/>
      <w:lvlJc w:val="left"/>
      <w:pPr>
        <w:tabs>
          <w:tab w:val="num" w:pos="3969"/>
        </w:tabs>
        <w:ind w:left="3969" w:hanging="1276"/>
      </w:pPr>
    </w:lvl>
    <w:lvl w:ilvl="4">
      <w:start w:val="1"/>
      <w:numFmt w:val="decimal"/>
      <w:pStyle w:val="WLGLevel5"/>
      <w:lvlText w:val="%1.%2.%3.%4.%5"/>
      <w:lvlJc w:val="left"/>
      <w:pPr>
        <w:tabs>
          <w:tab w:val="num" w:pos="4933"/>
        </w:tabs>
        <w:ind w:left="4933" w:hanging="1361"/>
      </w:pPr>
    </w:lvl>
    <w:lvl w:ilvl="5">
      <w:start w:val="1"/>
      <w:numFmt w:val="decimal"/>
      <w:lvlText w:val="%1.%2.%3.%4.%5.%6"/>
      <w:lvlJc w:val="left"/>
      <w:pPr>
        <w:tabs>
          <w:tab w:val="num" w:pos="3629"/>
        </w:tabs>
        <w:ind w:left="3629" w:hanging="3062"/>
      </w:pPr>
    </w:lvl>
    <w:lvl w:ilvl="6">
      <w:start w:val="1"/>
      <w:numFmt w:val="decimal"/>
      <w:lvlText w:val="%1.%2.%3.%4.%5.%6.%7"/>
      <w:lvlJc w:val="left"/>
      <w:pPr>
        <w:tabs>
          <w:tab w:val="num" w:pos="4139"/>
        </w:tabs>
        <w:ind w:left="4139" w:hanging="3572"/>
      </w:pPr>
    </w:lvl>
    <w:lvl w:ilvl="7">
      <w:start w:val="1"/>
      <w:numFmt w:val="decimal"/>
      <w:lvlText w:val="%1.%2.%3.%4.%5.%6.%7.%8"/>
      <w:lvlJc w:val="left"/>
      <w:pPr>
        <w:tabs>
          <w:tab w:val="num" w:pos="4649"/>
        </w:tabs>
        <w:ind w:left="4649" w:hanging="4082"/>
      </w:pPr>
    </w:lvl>
    <w:lvl w:ilvl="8">
      <w:start w:val="1"/>
      <w:numFmt w:val="decimal"/>
      <w:lvlText w:val="%1.%2.%3.%4.%5.%6.%7.%8.%9"/>
      <w:lvlJc w:val="left"/>
      <w:pPr>
        <w:tabs>
          <w:tab w:val="num" w:pos="5160"/>
        </w:tabs>
        <w:ind w:left="5160" w:hanging="4593"/>
      </w:pPr>
    </w:lvl>
  </w:abstractNum>
  <w:abstractNum w:abstractNumId="30" w15:restartNumberingAfterBreak="0">
    <w:nsid w:val="67FB54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B6039C"/>
    <w:multiLevelType w:val="multilevel"/>
    <w:tmpl w:val="75CC7AA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BD6805"/>
    <w:multiLevelType w:val="multilevel"/>
    <w:tmpl w:val="DFFC8078"/>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9"/>
  </w:num>
  <w:num w:numId="7">
    <w:abstractNumId w:val="28"/>
  </w:num>
  <w:num w:numId="8">
    <w:abstractNumId w:val="6"/>
  </w:num>
  <w:num w:numId="9">
    <w:abstractNumId w:val="27"/>
  </w:num>
  <w:num w:numId="10">
    <w:abstractNumId w:val="20"/>
  </w:num>
  <w:num w:numId="11">
    <w:abstractNumId w:val="25"/>
  </w:num>
  <w:num w:numId="12">
    <w:abstractNumId w:val="9"/>
  </w:num>
  <w:num w:numId="13">
    <w:abstractNumId w:val="14"/>
  </w:num>
  <w:num w:numId="14">
    <w:abstractNumId w:val="19"/>
  </w:num>
  <w:num w:numId="15">
    <w:abstractNumId w:val="1"/>
  </w:num>
  <w:num w:numId="16">
    <w:abstractNumId w:val="2"/>
  </w:num>
  <w:num w:numId="17">
    <w:abstractNumId w:val="26"/>
  </w:num>
  <w:num w:numId="18">
    <w:abstractNumId w:val="22"/>
  </w:num>
  <w:num w:numId="19">
    <w:abstractNumId w:val="10"/>
  </w:num>
  <w:num w:numId="20">
    <w:abstractNumId w:val="3"/>
  </w:num>
  <w:num w:numId="21">
    <w:abstractNumId w:val="30"/>
  </w:num>
  <w:num w:numId="22">
    <w:abstractNumId w:val="16"/>
  </w:num>
  <w:num w:numId="23">
    <w:abstractNumId w:val="4"/>
  </w:num>
  <w:num w:numId="24">
    <w:abstractNumId w:val="0"/>
  </w:num>
  <w:num w:numId="25">
    <w:abstractNumId w:val="11"/>
  </w:num>
  <w:num w:numId="26">
    <w:abstractNumId w:val="32"/>
  </w:num>
  <w:num w:numId="27">
    <w:abstractNumId w:val="21"/>
  </w:num>
  <w:num w:numId="28">
    <w:abstractNumId w:val="31"/>
  </w:num>
  <w:num w:numId="29">
    <w:abstractNumId w:val="7"/>
  </w:num>
  <w:num w:numId="30">
    <w:abstractNumId w:val="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1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6A"/>
    <w:rsid w:val="00004393"/>
    <w:rsid w:val="0000446F"/>
    <w:rsid w:val="00005774"/>
    <w:rsid w:val="00007A76"/>
    <w:rsid w:val="00017505"/>
    <w:rsid w:val="00020F97"/>
    <w:rsid w:val="000267F0"/>
    <w:rsid w:val="00034881"/>
    <w:rsid w:val="00042BEE"/>
    <w:rsid w:val="00043EC9"/>
    <w:rsid w:val="000473E8"/>
    <w:rsid w:val="00052DA7"/>
    <w:rsid w:val="0005307F"/>
    <w:rsid w:val="0005398F"/>
    <w:rsid w:val="00054BDA"/>
    <w:rsid w:val="000603C0"/>
    <w:rsid w:val="0006064C"/>
    <w:rsid w:val="00064BD7"/>
    <w:rsid w:val="00067B64"/>
    <w:rsid w:val="00071B3A"/>
    <w:rsid w:val="00075112"/>
    <w:rsid w:val="00091A7E"/>
    <w:rsid w:val="000950A3"/>
    <w:rsid w:val="000A31F3"/>
    <w:rsid w:val="000A5257"/>
    <w:rsid w:val="000A7616"/>
    <w:rsid w:val="000B3A69"/>
    <w:rsid w:val="000B74FB"/>
    <w:rsid w:val="000C217C"/>
    <w:rsid w:val="000C5D99"/>
    <w:rsid w:val="000D3AA6"/>
    <w:rsid w:val="000D3CCC"/>
    <w:rsid w:val="000D4E3C"/>
    <w:rsid w:val="000D7809"/>
    <w:rsid w:val="000F057B"/>
    <w:rsid w:val="000F48EC"/>
    <w:rsid w:val="000F626A"/>
    <w:rsid w:val="000F6F51"/>
    <w:rsid w:val="001062AD"/>
    <w:rsid w:val="001107D7"/>
    <w:rsid w:val="00111832"/>
    <w:rsid w:val="00113D6A"/>
    <w:rsid w:val="001254DB"/>
    <w:rsid w:val="001359D8"/>
    <w:rsid w:val="001465B2"/>
    <w:rsid w:val="00154E99"/>
    <w:rsid w:val="00155768"/>
    <w:rsid w:val="001620A8"/>
    <w:rsid w:val="001638F1"/>
    <w:rsid w:val="00171A92"/>
    <w:rsid w:val="001825B1"/>
    <w:rsid w:val="001874B7"/>
    <w:rsid w:val="00190674"/>
    <w:rsid w:val="001A108E"/>
    <w:rsid w:val="001A5B0E"/>
    <w:rsid w:val="001A6760"/>
    <w:rsid w:val="001A6DD1"/>
    <w:rsid w:val="001B4752"/>
    <w:rsid w:val="001B47A2"/>
    <w:rsid w:val="001B61CE"/>
    <w:rsid w:val="001C2DE1"/>
    <w:rsid w:val="001E581F"/>
    <w:rsid w:val="001E77FB"/>
    <w:rsid w:val="001F2752"/>
    <w:rsid w:val="001F3E0E"/>
    <w:rsid w:val="001F6BB2"/>
    <w:rsid w:val="00203232"/>
    <w:rsid w:val="00205E5D"/>
    <w:rsid w:val="00206124"/>
    <w:rsid w:val="002131D3"/>
    <w:rsid w:val="00222762"/>
    <w:rsid w:val="002268DE"/>
    <w:rsid w:val="0023274F"/>
    <w:rsid w:val="00232AB0"/>
    <w:rsid w:val="00234CEB"/>
    <w:rsid w:val="00235E77"/>
    <w:rsid w:val="0023658E"/>
    <w:rsid w:val="00241010"/>
    <w:rsid w:val="00244B74"/>
    <w:rsid w:val="00246821"/>
    <w:rsid w:val="00251F52"/>
    <w:rsid w:val="00252BFB"/>
    <w:rsid w:val="00255903"/>
    <w:rsid w:val="00257838"/>
    <w:rsid w:val="00262AD2"/>
    <w:rsid w:val="00273380"/>
    <w:rsid w:val="0027456F"/>
    <w:rsid w:val="00281E22"/>
    <w:rsid w:val="002832E5"/>
    <w:rsid w:val="0028346F"/>
    <w:rsid w:val="00294CEB"/>
    <w:rsid w:val="0029694B"/>
    <w:rsid w:val="002A7A23"/>
    <w:rsid w:val="002B0678"/>
    <w:rsid w:val="002B21F2"/>
    <w:rsid w:val="002B53F7"/>
    <w:rsid w:val="002B6434"/>
    <w:rsid w:val="002B7574"/>
    <w:rsid w:val="002C140F"/>
    <w:rsid w:val="002C3571"/>
    <w:rsid w:val="002C5C8C"/>
    <w:rsid w:val="002C70B8"/>
    <w:rsid w:val="002E0099"/>
    <w:rsid w:val="002E0A92"/>
    <w:rsid w:val="002E74BD"/>
    <w:rsid w:val="002F08C5"/>
    <w:rsid w:val="002F1157"/>
    <w:rsid w:val="0030205C"/>
    <w:rsid w:val="0030248F"/>
    <w:rsid w:val="00304974"/>
    <w:rsid w:val="00311AB8"/>
    <w:rsid w:val="00320470"/>
    <w:rsid w:val="0032113B"/>
    <w:rsid w:val="003218BF"/>
    <w:rsid w:val="00344E36"/>
    <w:rsid w:val="00352375"/>
    <w:rsid w:val="00356C24"/>
    <w:rsid w:val="00357143"/>
    <w:rsid w:val="0035783A"/>
    <w:rsid w:val="00360C4B"/>
    <w:rsid w:val="00361FB0"/>
    <w:rsid w:val="00364902"/>
    <w:rsid w:val="00370401"/>
    <w:rsid w:val="00372C7C"/>
    <w:rsid w:val="003737B2"/>
    <w:rsid w:val="00374537"/>
    <w:rsid w:val="0037552E"/>
    <w:rsid w:val="003774D3"/>
    <w:rsid w:val="00380481"/>
    <w:rsid w:val="003817CE"/>
    <w:rsid w:val="00385A95"/>
    <w:rsid w:val="00386D94"/>
    <w:rsid w:val="0039017E"/>
    <w:rsid w:val="00395F9A"/>
    <w:rsid w:val="003960A0"/>
    <w:rsid w:val="003962D2"/>
    <w:rsid w:val="0039782A"/>
    <w:rsid w:val="003A2604"/>
    <w:rsid w:val="003A28A3"/>
    <w:rsid w:val="003A4B41"/>
    <w:rsid w:val="003A7560"/>
    <w:rsid w:val="003B69D3"/>
    <w:rsid w:val="003B7CF2"/>
    <w:rsid w:val="003C12C5"/>
    <w:rsid w:val="003C3AEC"/>
    <w:rsid w:val="003C5094"/>
    <w:rsid w:val="003C7079"/>
    <w:rsid w:val="003D01C0"/>
    <w:rsid w:val="003D6089"/>
    <w:rsid w:val="003E7279"/>
    <w:rsid w:val="003F186C"/>
    <w:rsid w:val="003F72EB"/>
    <w:rsid w:val="0040670F"/>
    <w:rsid w:val="0041723F"/>
    <w:rsid w:val="004230C3"/>
    <w:rsid w:val="004253BC"/>
    <w:rsid w:val="004369CE"/>
    <w:rsid w:val="0044511A"/>
    <w:rsid w:val="00452C45"/>
    <w:rsid w:val="00455B23"/>
    <w:rsid w:val="00456EEA"/>
    <w:rsid w:val="00460DD2"/>
    <w:rsid w:val="004614C8"/>
    <w:rsid w:val="0046184A"/>
    <w:rsid w:val="00464608"/>
    <w:rsid w:val="0046517D"/>
    <w:rsid w:val="004705BF"/>
    <w:rsid w:val="00471AC6"/>
    <w:rsid w:val="004733EA"/>
    <w:rsid w:val="004740D6"/>
    <w:rsid w:val="0048436A"/>
    <w:rsid w:val="004871CA"/>
    <w:rsid w:val="004876CA"/>
    <w:rsid w:val="00491311"/>
    <w:rsid w:val="00494414"/>
    <w:rsid w:val="00494580"/>
    <w:rsid w:val="004A4B95"/>
    <w:rsid w:val="004A4FD7"/>
    <w:rsid w:val="004B53BB"/>
    <w:rsid w:val="004C169F"/>
    <w:rsid w:val="004C6236"/>
    <w:rsid w:val="004D3E86"/>
    <w:rsid w:val="004D4164"/>
    <w:rsid w:val="004E2269"/>
    <w:rsid w:val="004F0429"/>
    <w:rsid w:val="004F0A95"/>
    <w:rsid w:val="004F396A"/>
    <w:rsid w:val="004F65E9"/>
    <w:rsid w:val="00502A15"/>
    <w:rsid w:val="0050341D"/>
    <w:rsid w:val="00512E1E"/>
    <w:rsid w:val="005165B5"/>
    <w:rsid w:val="00517699"/>
    <w:rsid w:val="00521639"/>
    <w:rsid w:val="00522A4F"/>
    <w:rsid w:val="0052624C"/>
    <w:rsid w:val="005305F0"/>
    <w:rsid w:val="00534299"/>
    <w:rsid w:val="00540A25"/>
    <w:rsid w:val="00541527"/>
    <w:rsid w:val="005427F3"/>
    <w:rsid w:val="005437CE"/>
    <w:rsid w:val="00544FAA"/>
    <w:rsid w:val="005502BE"/>
    <w:rsid w:val="005505B1"/>
    <w:rsid w:val="00552CB2"/>
    <w:rsid w:val="00557B83"/>
    <w:rsid w:val="00563422"/>
    <w:rsid w:val="005652A6"/>
    <w:rsid w:val="0056777D"/>
    <w:rsid w:val="005738FB"/>
    <w:rsid w:val="005776EA"/>
    <w:rsid w:val="005801F9"/>
    <w:rsid w:val="0058292C"/>
    <w:rsid w:val="005852E7"/>
    <w:rsid w:val="005869D0"/>
    <w:rsid w:val="00590C22"/>
    <w:rsid w:val="0059255F"/>
    <w:rsid w:val="005A6284"/>
    <w:rsid w:val="005A7600"/>
    <w:rsid w:val="005A7F17"/>
    <w:rsid w:val="005B1282"/>
    <w:rsid w:val="005B14E8"/>
    <w:rsid w:val="005B2946"/>
    <w:rsid w:val="005B5D82"/>
    <w:rsid w:val="005B690C"/>
    <w:rsid w:val="005C4257"/>
    <w:rsid w:val="005C727E"/>
    <w:rsid w:val="005D2035"/>
    <w:rsid w:val="005E3624"/>
    <w:rsid w:val="005E4A96"/>
    <w:rsid w:val="005E6E5A"/>
    <w:rsid w:val="005F058D"/>
    <w:rsid w:val="005F44EB"/>
    <w:rsid w:val="005F6E2B"/>
    <w:rsid w:val="0060587A"/>
    <w:rsid w:val="00616F5E"/>
    <w:rsid w:val="006243AF"/>
    <w:rsid w:val="006303AA"/>
    <w:rsid w:val="006307CF"/>
    <w:rsid w:val="00634457"/>
    <w:rsid w:val="00636B64"/>
    <w:rsid w:val="006410FC"/>
    <w:rsid w:val="006447DA"/>
    <w:rsid w:val="00647DB6"/>
    <w:rsid w:val="00651FBE"/>
    <w:rsid w:val="0065464A"/>
    <w:rsid w:val="00655444"/>
    <w:rsid w:val="00655927"/>
    <w:rsid w:val="00656B6B"/>
    <w:rsid w:val="006632B6"/>
    <w:rsid w:val="0066641F"/>
    <w:rsid w:val="0067235C"/>
    <w:rsid w:val="00674A86"/>
    <w:rsid w:val="006755C5"/>
    <w:rsid w:val="00675787"/>
    <w:rsid w:val="00681D96"/>
    <w:rsid w:val="006846DD"/>
    <w:rsid w:val="00684CCD"/>
    <w:rsid w:val="006905DC"/>
    <w:rsid w:val="006907B6"/>
    <w:rsid w:val="006956CE"/>
    <w:rsid w:val="006A17B6"/>
    <w:rsid w:val="006A3CA6"/>
    <w:rsid w:val="006B65DC"/>
    <w:rsid w:val="006C1419"/>
    <w:rsid w:val="006C1DE2"/>
    <w:rsid w:val="006C31AF"/>
    <w:rsid w:val="006C3320"/>
    <w:rsid w:val="006D0CD9"/>
    <w:rsid w:val="006D13E9"/>
    <w:rsid w:val="006D29B3"/>
    <w:rsid w:val="006D3F4C"/>
    <w:rsid w:val="006D41C4"/>
    <w:rsid w:val="006D4413"/>
    <w:rsid w:val="006E18B7"/>
    <w:rsid w:val="006E4359"/>
    <w:rsid w:val="006F037C"/>
    <w:rsid w:val="006F090D"/>
    <w:rsid w:val="006F71A1"/>
    <w:rsid w:val="00700D1F"/>
    <w:rsid w:val="0070156D"/>
    <w:rsid w:val="007028C6"/>
    <w:rsid w:val="0070438A"/>
    <w:rsid w:val="00705894"/>
    <w:rsid w:val="00710A5F"/>
    <w:rsid w:val="00715134"/>
    <w:rsid w:val="007219C6"/>
    <w:rsid w:val="007223C1"/>
    <w:rsid w:val="00740E5B"/>
    <w:rsid w:val="00751C56"/>
    <w:rsid w:val="00753FBC"/>
    <w:rsid w:val="007607EC"/>
    <w:rsid w:val="00760A3C"/>
    <w:rsid w:val="00761117"/>
    <w:rsid w:val="00767274"/>
    <w:rsid w:val="00770238"/>
    <w:rsid w:val="00771709"/>
    <w:rsid w:val="00771AC8"/>
    <w:rsid w:val="00780230"/>
    <w:rsid w:val="00785293"/>
    <w:rsid w:val="00792618"/>
    <w:rsid w:val="00792CB8"/>
    <w:rsid w:val="00795EE6"/>
    <w:rsid w:val="007A0182"/>
    <w:rsid w:val="007A4658"/>
    <w:rsid w:val="007A7A72"/>
    <w:rsid w:val="007B5ED5"/>
    <w:rsid w:val="007C2DB2"/>
    <w:rsid w:val="007C30F4"/>
    <w:rsid w:val="007C32FD"/>
    <w:rsid w:val="007D7391"/>
    <w:rsid w:val="007E00AB"/>
    <w:rsid w:val="007E1773"/>
    <w:rsid w:val="007E43E7"/>
    <w:rsid w:val="007F5CE7"/>
    <w:rsid w:val="0081046E"/>
    <w:rsid w:val="008117A6"/>
    <w:rsid w:val="00830A55"/>
    <w:rsid w:val="00832BD7"/>
    <w:rsid w:val="008361EA"/>
    <w:rsid w:val="0084250A"/>
    <w:rsid w:val="00843A06"/>
    <w:rsid w:val="00844676"/>
    <w:rsid w:val="0085408C"/>
    <w:rsid w:val="00860964"/>
    <w:rsid w:val="00862336"/>
    <w:rsid w:val="00865940"/>
    <w:rsid w:val="00872699"/>
    <w:rsid w:val="00885490"/>
    <w:rsid w:val="00892EA2"/>
    <w:rsid w:val="008A2244"/>
    <w:rsid w:val="008A3531"/>
    <w:rsid w:val="008A5145"/>
    <w:rsid w:val="008A5E31"/>
    <w:rsid w:val="008A6269"/>
    <w:rsid w:val="008A7754"/>
    <w:rsid w:val="008B33AA"/>
    <w:rsid w:val="008B6569"/>
    <w:rsid w:val="008C04EC"/>
    <w:rsid w:val="008C14E5"/>
    <w:rsid w:val="008C331C"/>
    <w:rsid w:val="008C3983"/>
    <w:rsid w:val="008D17F1"/>
    <w:rsid w:val="008D6807"/>
    <w:rsid w:val="008F0041"/>
    <w:rsid w:val="008F19B2"/>
    <w:rsid w:val="008F6538"/>
    <w:rsid w:val="008F6C2D"/>
    <w:rsid w:val="009025E7"/>
    <w:rsid w:val="009037B0"/>
    <w:rsid w:val="00912B73"/>
    <w:rsid w:val="00914DF0"/>
    <w:rsid w:val="00915241"/>
    <w:rsid w:val="00920677"/>
    <w:rsid w:val="00930FA7"/>
    <w:rsid w:val="00931A58"/>
    <w:rsid w:val="009344C1"/>
    <w:rsid w:val="00936C7E"/>
    <w:rsid w:val="00940049"/>
    <w:rsid w:val="009428E0"/>
    <w:rsid w:val="00960BC0"/>
    <w:rsid w:val="00962D76"/>
    <w:rsid w:val="00963B51"/>
    <w:rsid w:val="0097272F"/>
    <w:rsid w:val="0097354E"/>
    <w:rsid w:val="00975476"/>
    <w:rsid w:val="0097656D"/>
    <w:rsid w:val="00977A2A"/>
    <w:rsid w:val="00985AB9"/>
    <w:rsid w:val="00985EF0"/>
    <w:rsid w:val="009905D0"/>
    <w:rsid w:val="009907C9"/>
    <w:rsid w:val="009935F0"/>
    <w:rsid w:val="0099596C"/>
    <w:rsid w:val="00995DEE"/>
    <w:rsid w:val="009963D4"/>
    <w:rsid w:val="009A010C"/>
    <w:rsid w:val="009A37C8"/>
    <w:rsid w:val="009A407D"/>
    <w:rsid w:val="009A62B5"/>
    <w:rsid w:val="009B0CAA"/>
    <w:rsid w:val="009B237D"/>
    <w:rsid w:val="009B2C29"/>
    <w:rsid w:val="009B5105"/>
    <w:rsid w:val="009B573F"/>
    <w:rsid w:val="009B62CB"/>
    <w:rsid w:val="009C41A7"/>
    <w:rsid w:val="009C4A5C"/>
    <w:rsid w:val="009E1FC4"/>
    <w:rsid w:val="009E1FF8"/>
    <w:rsid w:val="009E5CF7"/>
    <w:rsid w:val="009E6F40"/>
    <w:rsid w:val="009F01D7"/>
    <w:rsid w:val="009F63F9"/>
    <w:rsid w:val="00A01946"/>
    <w:rsid w:val="00A01B98"/>
    <w:rsid w:val="00A042EC"/>
    <w:rsid w:val="00A04B1B"/>
    <w:rsid w:val="00A2109E"/>
    <w:rsid w:val="00A24E97"/>
    <w:rsid w:val="00A25604"/>
    <w:rsid w:val="00A30D54"/>
    <w:rsid w:val="00A313B0"/>
    <w:rsid w:val="00A355F7"/>
    <w:rsid w:val="00A35FB8"/>
    <w:rsid w:val="00A4413B"/>
    <w:rsid w:val="00A44EC4"/>
    <w:rsid w:val="00A46C83"/>
    <w:rsid w:val="00A55A5C"/>
    <w:rsid w:val="00A61216"/>
    <w:rsid w:val="00A642A4"/>
    <w:rsid w:val="00A6437F"/>
    <w:rsid w:val="00A6612E"/>
    <w:rsid w:val="00A728BF"/>
    <w:rsid w:val="00A75D58"/>
    <w:rsid w:val="00A81CA0"/>
    <w:rsid w:val="00A83CC5"/>
    <w:rsid w:val="00A84414"/>
    <w:rsid w:val="00A847BB"/>
    <w:rsid w:val="00A8516B"/>
    <w:rsid w:val="00A8684A"/>
    <w:rsid w:val="00A92BF8"/>
    <w:rsid w:val="00A968D9"/>
    <w:rsid w:val="00AA1318"/>
    <w:rsid w:val="00AA6795"/>
    <w:rsid w:val="00AB3D09"/>
    <w:rsid w:val="00AB3D95"/>
    <w:rsid w:val="00AB65C0"/>
    <w:rsid w:val="00AC0A8B"/>
    <w:rsid w:val="00AC281F"/>
    <w:rsid w:val="00AC5EA6"/>
    <w:rsid w:val="00AC72D3"/>
    <w:rsid w:val="00AD04A9"/>
    <w:rsid w:val="00AD185B"/>
    <w:rsid w:val="00AD3EFF"/>
    <w:rsid w:val="00AD6D1A"/>
    <w:rsid w:val="00AE0B35"/>
    <w:rsid w:val="00AE21C3"/>
    <w:rsid w:val="00AE53F3"/>
    <w:rsid w:val="00AE60DB"/>
    <w:rsid w:val="00AE6840"/>
    <w:rsid w:val="00AF2679"/>
    <w:rsid w:val="00AF69AB"/>
    <w:rsid w:val="00B01B30"/>
    <w:rsid w:val="00B03670"/>
    <w:rsid w:val="00B03FD0"/>
    <w:rsid w:val="00B11B56"/>
    <w:rsid w:val="00B15356"/>
    <w:rsid w:val="00B15939"/>
    <w:rsid w:val="00B15ED3"/>
    <w:rsid w:val="00B2259E"/>
    <w:rsid w:val="00B2440A"/>
    <w:rsid w:val="00B277EC"/>
    <w:rsid w:val="00B33399"/>
    <w:rsid w:val="00B45DDC"/>
    <w:rsid w:val="00B507B1"/>
    <w:rsid w:val="00B53115"/>
    <w:rsid w:val="00B53E3F"/>
    <w:rsid w:val="00B572D7"/>
    <w:rsid w:val="00B6016D"/>
    <w:rsid w:val="00B60E2B"/>
    <w:rsid w:val="00B62E10"/>
    <w:rsid w:val="00B63B2A"/>
    <w:rsid w:val="00B70058"/>
    <w:rsid w:val="00B743DB"/>
    <w:rsid w:val="00B767C3"/>
    <w:rsid w:val="00B81286"/>
    <w:rsid w:val="00B8319F"/>
    <w:rsid w:val="00B83471"/>
    <w:rsid w:val="00B84D18"/>
    <w:rsid w:val="00B85B1C"/>
    <w:rsid w:val="00B86771"/>
    <w:rsid w:val="00B872B4"/>
    <w:rsid w:val="00B93E08"/>
    <w:rsid w:val="00B93EE8"/>
    <w:rsid w:val="00BA416F"/>
    <w:rsid w:val="00BA4919"/>
    <w:rsid w:val="00BA7B7E"/>
    <w:rsid w:val="00BB04F4"/>
    <w:rsid w:val="00BB1CCB"/>
    <w:rsid w:val="00BB5AF3"/>
    <w:rsid w:val="00BC3110"/>
    <w:rsid w:val="00BE16BD"/>
    <w:rsid w:val="00BF27EB"/>
    <w:rsid w:val="00BF4426"/>
    <w:rsid w:val="00BF4C4E"/>
    <w:rsid w:val="00BF567D"/>
    <w:rsid w:val="00BF6634"/>
    <w:rsid w:val="00C028D0"/>
    <w:rsid w:val="00C03C7D"/>
    <w:rsid w:val="00C11C91"/>
    <w:rsid w:val="00C164AE"/>
    <w:rsid w:val="00C23C66"/>
    <w:rsid w:val="00C303E0"/>
    <w:rsid w:val="00C367C8"/>
    <w:rsid w:val="00C43788"/>
    <w:rsid w:val="00C43882"/>
    <w:rsid w:val="00C471A7"/>
    <w:rsid w:val="00C473CF"/>
    <w:rsid w:val="00C47C95"/>
    <w:rsid w:val="00C53738"/>
    <w:rsid w:val="00C5459D"/>
    <w:rsid w:val="00C557B9"/>
    <w:rsid w:val="00C62010"/>
    <w:rsid w:val="00C67F6C"/>
    <w:rsid w:val="00C814DA"/>
    <w:rsid w:val="00C831AA"/>
    <w:rsid w:val="00C951E5"/>
    <w:rsid w:val="00CA007D"/>
    <w:rsid w:val="00CA678C"/>
    <w:rsid w:val="00CA7C38"/>
    <w:rsid w:val="00CB45F2"/>
    <w:rsid w:val="00CB51F6"/>
    <w:rsid w:val="00CB5963"/>
    <w:rsid w:val="00CB75E4"/>
    <w:rsid w:val="00CC7C05"/>
    <w:rsid w:val="00CC7CB2"/>
    <w:rsid w:val="00CD59E2"/>
    <w:rsid w:val="00CE07DA"/>
    <w:rsid w:val="00CE155A"/>
    <w:rsid w:val="00CE5EDE"/>
    <w:rsid w:val="00CF20CD"/>
    <w:rsid w:val="00D01F32"/>
    <w:rsid w:val="00D060C9"/>
    <w:rsid w:val="00D06D29"/>
    <w:rsid w:val="00D10414"/>
    <w:rsid w:val="00D111BF"/>
    <w:rsid w:val="00D12C62"/>
    <w:rsid w:val="00D151E6"/>
    <w:rsid w:val="00D17679"/>
    <w:rsid w:val="00D21CAA"/>
    <w:rsid w:val="00D22594"/>
    <w:rsid w:val="00D2544B"/>
    <w:rsid w:val="00D255C8"/>
    <w:rsid w:val="00D26A84"/>
    <w:rsid w:val="00D276F3"/>
    <w:rsid w:val="00D31E93"/>
    <w:rsid w:val="00D36463"/>
    <w:rsid w:val="00D4231A"/>
    <w:rsid w:val="00D4324D"/>
    <w:rsid w:val="00D435E7"/>
    <w:rsid w:val="00D51808"/>
    <w:rsid w:val="00D5200E"/>
    <w:rsid w:val="00D52F1B"/>
    <w:rsid w:val="00D56D43"/>
    <w:rsid w:val="00D57246"/>
    <w:rsid w:val="00D617F3"/>
    <w:rsid w:val="00D64C57"/>
    <w:rsid w:val="00D662AE"/>
    <w:rsid w:val="00D70389"/>
    <w:rsid w:val="00D7462D"/>
    <w:rsid w:val="00D80E57"/>
    <w:rsid w:val="00D85272"/>
    <w:rsid w:val="00D85630"/>
    <w:rsid w:val="00D85A1E"/>
    <w:rsid w:val="00D86BF9"/>
    <w:rsid w:val="00D9003B"/>
    <w:rsid w:val="00D97D81"/>
    <w:rsid w:val="00DA6DDF"/>
    <w:rsid w:val="00DC2460"/>
    <w:rsid w:val="00DC250A"/>
    <w:rsid w:val="00DC4719"/>
    <w:rsid w:val="00DC5C5A"/>
    <w:rsid w:val="00DD20E3"/>
    <w:rsid w:val="00DD33AA"/>
    <w:rsid w:val="00DD4519"/>
    <w:rsid w:val="00DE0706"/>
    <w:rsid w:val="00DE435B"/>
    <w:rsid w:val="00DE54CC"/>
    <w:rsid w:val="00DF0173"/>
    <w:rsid w:val="00DF3A70"/>
    <w:rsid w:val="00DF72E9"/>
    <w:rsid w:val="00DF7BF5"/>
    <w:rsid w:val="00E12330"/>
    <w:rsid w:val="00E123A9"/>
    <w:rsid w:val="00E141A8"/>
    <w:rsid w:val="00E14BBE"/>
    <w:rsid w:val="00E22CFB"/>
    <w:rsid w:val="00E237FF"/>
    <w:rsid w:val="00E27AFD"/>
    <w:rsid w:val="00E3247C"/>
    <w:rsid w:val="00E349A3"/>
    <w:rsid w:val="00E446B7"/>
    <w:rsid w:val="00E47617"/>
    <w:rsid w:val="00E50063"/>
    <w:rsid w:val="00E50B9C"/>
    <w:rsid w:val="00E5410F"/>
    <w:rsid w:val="00E60C76"/>
    <w:rsid w:val="00E73BAD"/>
    <w:rsid w:val="00E81AC1"/>
    <w:rsid w:val="00E83C0F"/>
    <w:rsid w:val="00E844C4"/>
    <w:rsid w:val="00E8541C"/>
    <w:rsid w:val="00E86395"/>
    <w:rsid w:val="00E960D4"/>
    <w:rsid w:val="00E9657C"/>
    <w:rsid w:val="00EB0172"/>
    <w:rsid w:val="00EB0223"/>
    <w:rsid w:val="00EB25CA"/>
    <w:rsid w:val="00EB2F82"/>
    <w:rsid w:val="00EB5EB6"/>
    <w:rsid w:val="00EB7457"/>
    <w:rsid w:val="00EC25FA"/>
    <w:rsid w:val="00EC62C2"/>
    <w:rsid w:val="00ED0CD9"/>
    <w:rsid w:val="00ED22C9"/>
    <w:rsid w:val="00ED4A2E"/>
    <w:rsid w:val="00EE381A"/>
    <w:rsid w:val="00EE510D"/>
    <w:rsid w:val="00EE71E0"/>
    <w:rsid w:val="00EE7509"/>
    <w:rsid w:val="00EF15E4"/>
    <w:rsid w:val="00EF1C15"/>
    <w:rsid w:val="00EF40AF"/>
    <w:rsid w:val="00EF55A6"/>
    <w:rsid w:val="00F007ED"/>
    <w:rsid w:val="00F02733"/>
    <w:rsid w:val="00F0357B"/>
    <w:rsid w:val="00F0578B"/>
    <w:rsid w:val="00F07027"/>
    <w:rsid w:val="00F10D41"/>
    <w:rsid w:val="00F10E7C"/>
    <w:rsid w:val="00F11F69"/>
    <w:rsid w:val="00F120BD"/>
    <w:rsid w:val="00F1515E"/>
    <w:rsid w:val="00F15EB6"/>
    <w:rsid w:val="00F20A9A"/>
    <w:rsid w:val="00F20FE2"/>
    <w:rsid w:val="00F3152C"/>
    <w:rsid w:val="00F3408A"/>
    <w:rsid w:val="00F37ED7"/>
    <w:rsid w:val="00F433D0"/>
    <w:rsid w:val="00F519EA"/>
    <w:rsid w:val="00F568B3"/>
    <w:rsid w:val="00F5722D"/>
    <w:rsid w:val="00F6035A"/>
    <w:rsid w:val="00F613CE"/>
    <w:rsid w:val="00F64E24"/>
    <w:rsid w:val="00F6616D"/>
    <w:rsid w:val="00F7250C"/>
    <w:rsid w:val="00F776C7"/>
    <w:rsid w:val="00F81541"/>
    <w:rsid w:val="00F82550"/>
    <w:rsid w:val="00F82D8E"/>
    <w:rsid w:val="00F8345F"/>
    <w:rsid w:val="00F83F50"/>
    <w:rsid w:val="00F84E85"/>
    <w:rsid w:val="00F86160"/>
    <w:rsid w:val="00F87272"/>
    <w:rsid w:val="00F87436"/>
    <w:rsid w:val="00F92F0A"/>
    <w:rsid w:val="00F942B7"/>
    <w:rsid w:val="00F9440A"/>
    <w:rsid w:val="00F97046"/>
    <w:rsid w:val="00FA2CB3"/>
    <w:rsid w:val="00FA42F2"/>
    <w:rsid w:val="00FA4707"/>
    <w:rsid w:val="00FB2AE6"/>
    <w:rsid w:val="00FB496A"/>
    <w:rsid w:val="00FB55A0"/>
    <w:rsid w:val="00FB55A1"/>
    <w:rsid w:val="00FC0CC6"/>
    <w:rsid w:val="00FC5993"/>
    <w:rsid w:val="00FC668B"/>
    <w:rsid w:val="00FD0F9C"/>
    <w:rsid w:val="00FD737D"/>
    <w:rsid w:val="00FE057A"/>
    <w:rsid w:val="00FE0C04"/>
    <w:rsid w:val="00FE7F13"/>
    <w:rsid w:val="00FF6CB4"/>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07E8"/>
  <w15:chartTrackingRefBased/>
  <w15:docId w15:val="{DB08234C-95EC-4D4E-BAFA-AEA9BAB0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6A"/>
    <w:pPr>
      <w:spacing w:after="0" w:line="360" w:lineRule="auto"/>
      <w:jc w:val="both"/>
    </w:pPr>
    <w:rPr>
      <w:rFonts w:ascii="Arial" w:eastAsia="Times New Roman" w:hAnsi="Arial" w:cs="Times New Roman"/>
      <w:szCs w:val="24"/>
      <w:lang w:val="en-ZA"/>
    </w:rPr>
  </w:style>
  <w:style w:type="paragraph" w:styleId="Heading1">
    <w:name w:val="heading 1"/>
    <w:basedOn w:val="Normal"/>
    <w:next w:val="Normal"/>
    <w:link w:val="Heading1Char"/>
    <w:qFormat/>
    <w:rsid w:val="0048436A"/>
    <w:pPr>
      <w:keepNext/>
      <w:spacing w:line="480" w:lineRule="auto"/>
      <w:outlineLvl w:val="0"/>
    </w:pPr>
    <w:rPr>
      <w:rFonts w:cs="Arial"/>
      <w:b/>
      <w:bCs/>
    </w:rPr>
  </w:style>
  <w:style w:type="paragraph" w:styleId="Heading2">
    <w:name w:val="heading 2"/>
    <w:basedOn w:val="Normal"/>
    <w:next w:val="Normal"/>
    <w:link w:val="Heading2Char"/>
    <w:uiPriority w:val="9"/>
    <w:semiHidden/>
    <w:unhideWhenUsed/>
    <w:qFormat/>
    <w:rsid w:val="0048436A"/>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36A"/>
    <w:rPr>
      <w:rFonts w:ascii="Arial" w:eastAsia="Times New Roman" w:hAnsi="Arial" w:cs="Arial"/>
      <w:b/>
      <w:bCs/>
      <w:szCs w:val="24"/>
      <w:lang w:val="en-ZA"/>
    </w:rPr>
  </w:style>
  <w:style w:type="character" w:customStyle="1" w:styleId="Heading2Char">
    <w:name w:val="Heading 2 Char"/>
    <w:basedOn w:val="DefaultParagraphFont"/>
    <w:link w:val="Heading2"/>
    <w:uiPriority w:val="9"/>
    <w:semiHidden/>
    <w:rsid w:val="0048436A"/>
    <w:rPr>
      <w:rFonts w:ascii="Arial" w:eastAsia="Times New Roman" w:hAnsi="Arial" w:cs="Arial"/>
      <w:b/>
      <w:bCs/>
      <w:szCs w:val="24"/>
      <w:lang w:val="en-ZA"/>
    </w:rPr>
  </w:style>
  <w:style w:type="paragraph" w:styleId="Title">
    <w:name w:val="Title"/>
    <w:basedOn w:val="Normal"/>
    <w:link w:val="TitleChar"/>
    <w:qFormat/>
    <w:rsid w:val="0048436A"/>
    <w:pPr>
      <w:spacing w:line="480" w:lineRule="auto"/>
      <w:jc w:val="center"/>
    </w:pPr>
    <w:rPr>
      <w:rFonts w:cs="Arial"/>
      <w:b/>
      <w:bCs/>
    </w:rPr>
  </w:style>
  <w:style w:type="character" w:customStyle="1" w:styleId="TitleChar">
    <w:name w:val="Title Char"/>
    <w:basedOn w:val="DefaultParagraphFont"/>
    <w:link w:val="Title"/>
    <w:rsid w:val="0048436A"/>
    <w:rPr>
      <w:rFonts w:ascii="Arial" w:eastAsia="Times New Roman" w:hAnsi="Arial" w:cs="Arial"/>
      <w:b/>
      <w:bCs/>
      <w:szCs w:val="24"/>
      <w:lang w:val="en-ZA"/>
    </w:rPr>
  </w:style>
  <w:style w:type="paragraph" w:customStyle="1" w:styleId="WLGLevel1">
    <w:name w:val="WLGLevel1"/>
    <w:basedOn w:val="Normal"/>
    <w:qFormat/>
    <w:rsid w:val="00F07027"/>
    <w:pPr>
      <w:numPr>
        <w:numId w:val="2"/>
      </w:numPr>
      <w:suppressAutoHyphens/>
      <w:spacing w:before="320" w:after="320" w:line="480" w:lineRule="auto"/>
      <w:outlineLvl w:val="0"/>
    </w:pPr>
    <w:rPr>
      <w:sz w:val="24"/>
      <w:szCs w:val="20"/>
    </w:rPr>
  </w:style>
  <w:style w:type="paragraph" w:customStyle="1" w:styleId="WLGLevel2">
    <w:name w:val="WLGLevel2"/>
    <w:basedOn w:val="Normal"/>
    <w:qFormat/>
    <w:rsid w:val="00F07027"/>
    <w:pPr>
      <w:numPr>
        <w:ilvl w:val="1"/>
        <w:numId w:val="2"/>
      </w:numPr>
      <w:suppressAutoHyphens/>
      <w:spacing w:after="320" w:line="480" w:lineRule="auto"/>
      <w:outlineLvl w:val="1"/>
    </w:pPr>
    <w:rPr>
      <w:sz w:val="24"/>
      <w:szCs w:val="20"/>
    </w:rPr>
  </w:style>
  <w:style w:type="paragraph" w:customStyle="1" w:styleId="WLGLevel3">
    <w:name w:val="WLGLevel3"/>
    <w:basedOn w:val="Normal"/>
    <w:qFormat/>
    <w:rsid w:val="00F07027"/>
    <w:pPr>
      <w:numPr>
        <w:ilvl w:val="2"/>
        <w:numId w:val="2"/>
      </w:numPr>
      <w:suppressAutoHyphens/>
      <w:spacing w:after="320" w:line="480" w:lineRule="auto"/>
      <w:outlineLvl w:val="2"/>
    </w:pPr>
    <w:rPr>
      <w:sz w:val="24"/>
      <w:szCs w:val="20"/>
    </w:rPr>
  </w:style>
  <w:style w:type="paragraph" w:customStyle="1" w:styleId="WLGLevel4">
    <w:name w:val="WLGLevel4"/>
    <w:basedOn w:val="Normal"/>
    <w:qFormat/>
    <w:rsid w:val="00F07027"/>
    <w:pPr>
      <w:numPr>
        <w:ilvl w:val="3"/>
        <w:numId w:val="2"/>
      </w:numPr>
      <w:suppressAutoHyphens/>
      <w:spacing w:after="320" w:line="480" w:lineRule="auto"/>
      <w:outlineLvl w:val="3"/>
    </w:pPr>
    <w:rPr>
      <w:sz w:val="24"/>
      <w:szCs w:val="20"/>
    </w:rPr>
  </w:style>
  <w:style w:type="paragraph" w:customStyle="1" w:styleId="WLGLevel5">
    <w:name w:val="WLGLevel5"/>
    <w:basedOn w:val="Normal"/>
    <w:qFormat/>
    <w:rsid w:val="00F07027"/>
    <w:pPr>
      <w:numPr>
        <w:ilvl w:val="4"/>
        <w:numId w:val="2"/>
      </w:numPr>
      <w:suppressAutoHyphens/>
      <w:spacing w:after="320" w:line="480" w:lineRule="auto"/>
      <w:outlineLvl w:val="4"/>
    </w:pPr>
    <w:rPr>
      <w:sz w:val="24"/>
      <w:szCs w:val="20"/>
    </w:rPr>
  </w:style>
  <w:style w:type="paragraph" w:styleId="ListParagraph">
    <w:name w:val="List Paragraph"/>
    <w:basedOn w:val="Normal"/>
    <w:uiPriority w:val="34"/>
    <w:qFormat/>
    <w:rsid w:val="00F07027"/>
    <w:pPr>
      <w:ind w:left="720"/>
      <w:contextualSpacing/>
    </w:pPr>
  </w:style>
  <w:style w:type="paragraph" w:styleId="BalloonText">
    <w:name w:val="Balloon Text"/>
    <w:basedOn w:val="Normal"/>
    <w:link w:val="BalloonTextChar"/>
    <w:uiPriority w:val="99"/>
    <w:semiHidden/>
    <w:unhideWhenUsed/>
    <w:rsid w:val="00AD04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9"/>
    <w:rPr>
      <w:rFonts w:ascii="Segoe UI" w:eastAsia="Times New Roman" w:hAnsi="Segoe UI" w:cs="Segoe UI"/>
      <w:sz w:val="18"/>
      <w:szCs w:val="18"/>
      <w:lang w:val="en-ZA"/>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f"/>
    <w:basedOn w:val="Normal"/>
    <w:link w:val="FootnoteTextChar"/>
    <w:qFormat/>
    <w:rsid w:val="009037B0"/>
    <w:pPr>
      <w:spacing w:line="240" w:lineRule="auto"/>
      <w:jc w:val="left"/>
    </w:pPr>
    <w:rPr>
      <w:rFonts w:ascii="Times New Roman" w:eastAsia="SimSun" w:hAnsi="Times New Roman"/>
      <w:sz w:val="20"/>
      <w:szCs w:val="20"/>
      <w:lang w:val="en-GB" w:eastAsia="zh-CN"/>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f Char"/>
    <w:basedOn w:val="DefaultParagraphFont"/>
    <w:link w:val="FootnoteText"/>
    <w:qFormat/>
    <w:rsid w:val="009037B0"/>
    <w:rPr>
      <w:rFonts w:ascii="Times New Roman" w:eastAsia="SimSun" w:hAnsi="Times New Roman" w:cs="Times New Roman"/>
      <w:sz w:val="20"/>
      <w:szCs w:val="20"/>
      <w:lang w:val="en-GB" w:eastAsia="zh-CN"/>
    </w:rPr>
  </w:style>
  <w:style w:type="character" w:styleId="FootnoteReference">
    <w:name w:val="footnote reference"/>
    <w:aliases w:val="Ref,de nota al pie,註腳內容,Heading 6 Char1,do not use4 Char1,Footnote symbol,(NECG) Footnote Reference,Footnotes refss,Appel note de bas de page,fr,Footnote Reference + Superscript,Style 12,Footnote Reference in text,o,Style 4,Nota,Ref1"/>
    <w:qFormat/>
    <w:rsid w:val="009037B0"/>
    <w:rPr>
      <w:vertAlign w:val="superscript"/>
    </w:rPr>
  </w:style>
  <w:style w:type="table" w:styleId="TableGrid">
    <w:name w:val="Table Grid"/>
    <w:basedOn w:val="TableNormal"/>
    <w:uiPriority w:val="59"/>
    <w:rsid w:val="000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0D4"/>
    <w:pPr>
      <w:tabs>
        <w:tab w:val="center" w:pos="4513"/>
        <w:tab w:val="right" w:pos="9026"/>
      </w:tabs>
      <w:spacing w:line="240" w:lineRule="auto"/>
    </w:pPr>
  </w:style>
  <w:style w:type="character" w:customStyle="1" w:styleId="HeaderChar">
    <w:name w:val="Header Char"/>
    <w:basedOn w:val="DefaultParagraphFont"/>
    <w:link w:val="Header"/>
    <w:uiPriority w:val="99"/>
    <w:rsid w:val="00E960D4"/>
    <w:rPr>
      <w:rFonts w:ascii="Arial" w:eastAsia="Times New Roman" w:hAnsi="Arial" w:cs="Times New Roman"/>
      <w:szCs w:val="24"/>
      <w:lang w:val="en-ZA"/>
    </w:rPr>
  </w:style>
  <w:style w:type="paragraph" w:styleId="Footer">
    <w:name w:val="footer"/>
    <w:basedOn w:val="Normal"/>
    <w:link w:val="FooterChar"/>
    <w:uiPriority w:val="99"/>
    <w:unhideWhenUsed/>
    <w:rsid w:val="00E960D4"/>
    <w:pPr>
      <w:tabs>
        <w:tab w:val="center" w:pos="4513"/>
        <w:tab w:val="right" w:pos="9026"/>
      </w:tabs>
      <w:spacing w:line="240" w:lineRule="auto"/>
    </w:pPr>
  </w:style>
  <w:style w:type="character" w:customStyle="1" w:styleId="FooterChar">
    <w:name w:val="Footer Char"/>
    <w:basedOn w:val="DefaultParagraphFont"/>
    <w:link w:val="Footer"/>
    <w:uiPriority w:val="99"/>
    <w:rsid w:val="00E960D4"/>
    <w:rPr>
      <w:rFonts w:ascii="Arial" w:eastAsia="Times New Roman" w:hAnsi="Arial" w:cs="Times New Roman"/>
      <w:szCs w:val="24"/>
      <w:lang w:val="en-ZA"/>
    </w:rPr>
  </w:style>
  <w:style w:type="character" w:styleId="Hyperlink">
    <w:name w:val="Hyperlink"/>
    <w:uiPriority w:val="99"/>
    <w:unhideWhenUsed/>
    <w:rsid w:val="00521639"/>
    <w:rPr>
      <w:color w:val="0563C1"/>
      <w:u w:val="single"/>
    </w:rPr>
  </w:style>
  <w:style w:type="paragraph" w:customStyle="1" w:styleId="Level1">
    <w:name w:val="Level 1"/>
    <w:basedOn w:val="Normal"/>
    <w:rsid w:val="00521639"/>
    <w:pPr>
      <w:widowControl w:val="0"/>
      <w:autoSpaceDE w:val="0"/>
      <w:autoSpaceDN w:val="0"/>
      <w:adjustRightInd w:val="0"/>
      <w:spacing w:line="240" w:lineRule="auto"/>
      <w:ind w:left="720" w:hanging="720"/>
      <w:jc w:val="left"/>
      <w:outlineLvl w:val="0"/>
    </w:pPr>
    <w:rPr>
      <w:rFonts w:eastAsia="Calibri" w:cs="Arial"/>
      <w:sz w:val="24"/>
      <w:lang w:val="en-US" w:eastAsia="en-ZA"/>
    </w:rPr>
  </w:style>
  <w:style w:type="paragraph" w:customStyle="1" w:styleId="BLLevel1HeadingAltQ">
    <w:name w:val="BL_Level 1 Heading Alt+Q"/>
    <w:basedOn w:val="Normal"/>
    <w:next w:val="BLLevel2ListAlt"/>
    <w:rsid w:val="00521639"/>
    <w:pPr>
      <w:keepNext/>
      <w:numPr>
        <w:numId w:val="22"/>
      </w:numPr>
      <w:spacing w:line="240" w:lineRule="auto"/>
      <w:outlineLvl w:val="0"/>
    </w:pPr>
    <w:rPr>
      <w:rFonts w:ascii="Century Gothic" w:hAnsi="Century Gothic"/>
      <w:b/>
      <w:caps/>
      <w:sz w:val="18"/>
      <w:szCs w:val="18"/>
      <w:lang w:eastAsia="en-ZA"/>
    </w:rPr>
  </w:style>
  <w:style w:type="paragraph" w:customStyle="1" w:styleId="BLLevel2ListAlt">
    <w:name w:val="BL_Level 2 List Alt+]"/>
    <w:basedOn w:val="Normal"/>
    <w:rsid w:val="00521639"/>
    <w:pPr>
      <w:numPr>
        <w:ilvl w:val="1"/>
        <w:numId w:val="22"/>
      </w:numPr>
      <w:spacing w:line="240" w:lineRule="auto"/>
      <w:outlineLvl w:val="1"/>
    </w:pPr>
    <w:rPr>
      <w:rFonts w:ascii="Century Gothic" w:hAnsi="Century Gothic"/>
      <w:sz w:val="18"/>
      <w:szCs w:val="18"/>
      <w:lang w:eastAsia="en-ZA"/>
    </w:rPr>
  </w:style>
  <w:style w:type="paragraph" w:customStyle="1" w:styleId="BLLevel3ListAlt">
    <w:name w:val="BL_Level 3 List Alt+'"/>
    <w:basedOn w:val="Normal"/>
    <w:rsid w:val="00521639"/>
    <w:pPr>
      <w:numPr>
        <w:ilvl w:val="2"/>
        <w:numId w:val="22"/>
      </w:numPr>
      <w:spacing w:line="240" w:lineRule="auto"/>
      <w:outlineLvl w:val="2"/>
    </w:pPr>
    <w:rPr>
      <w:rFonts w:ascii="Century Gothic" w:hAnsi="Century Gothic"/>
      <w:sz w:val="18"/>
      <w:szCs w:val="18"/>
      <w:lang w:eastAsia="en-ZA"/>
    </w:rPr>
  </w:style>
  <w:style w:type="paragraph" w:customStyle="1" w:styleId="BLLevel4ListAlt">
    <w:name w:val="BL_Level 4 List Alt+/"/>
    <w:basedOn w:val="Normal"/>
    <w:rsid w:val="00521639"/>
    <w:pPr>
      <w:numPr>
        <w:ilvl w:val="3"/>
        <w:numId w:val="22"/>
      </w:numPr>
      <w:spacing w:line="240" w:lineRule="auto"/>
      <w:outlineLvl w:val="3"/>
    </w:pPr>
    <w:rPr>
      <w:rFonts w:ascii="Century Gothic" w:hAnsi="Century Gothic"/>
      <w:sz w:val="18"/>
      <w:szCs w:val="18"/>
      <w:lang w:eastAsia="en-ZA"/>
    </w:rPr>
  </w:style>
  <w:style w:type="paragraph" w:customStyle="1" w:styleId="BLLevel5ListAlt">
    <w:name w:val="BL_Level 5 List Alt+."/>
    <w:basedOn w:val="Normal"/>
    <w:rsid w:val="00521639"/>
    <w:pPr>
      <w:numPr>
        <w:ilvl w:val="4"/>
        <w:numId w:val="22"/>
      </w:numPr>
      <w:spacing w:line="240" w:lineRule="auto"/>
      <w:outlineLvl w:val="4"/>
    </w:pPr>
    <w:rPr>
      <w:rFonts w:ascii="Century Gothic" w:hAnsi="Century Gothic"/>
      <w:sz w:val="18"/>
      <w:szCs w:val="18"/>
      <w:lang w:eastAsia="en-ZA"/>
    </w:rPr>
  </w:style>
  <w:style w:type="paragraph" w:customStyle="1" w:styleId="BLLevel6ListAlt">
    <w:name w:val="BL_Level 6 List Alt+"/>
    <w:basedOn w:val="Normal"/>
    <w:rsid w:val="00521639"/>
    <w:pPr>
      <w:numPr>
        <w:ilvl w:val="5"/>
        <w:numId w:val="22"/>
      </w:numPr>
      <w:spacing w:line="240" w:lineRule="auto"/>
      <w:outlineLvl w:val="5"/>
    </w:pPr>
    <w:rPr>
      <w:rFonts w:ascii="Century Gothic" w:hAnsi="Century Gothic"/>
      <w:sz w:val="18"/>
      <w:szCs w:val="18"/>
      <w:lang w:eastAsia="en-ZA"/>
    </w:rPr>
  </w:style>
  <w:style w:type="paragraph" w:customStyle="1" w:styleId="BLLevel7ListAltM">
    <w:name w:val="BL_Level 7 List Alt+M"/>
    <w:basedOn w:val="Normal"/>
    <w:rsid w:val="00521639"/>
    <w:pPr>
      <w:numPr>
        <w:ilvl w:val="6"/>
        <w:numId w:val="22"/>
      </w:numPr>
      <w:spacing w:line="240" w:lineRule="auto"/>
      <w:outlineLvl w:val="6"/>
    </w:pPr>
    <w:rPr>
      <w:rFonts w:ascii="Century Gothic" w:hAnsi="Century Gothic"/>
      <w:sz w:val="18"/>
      <w:szCs w:val="18"/>
      <w:lang w:eastAsia="en-ZA"/>
    </w:rPr>
  </w:style>
  <w:style w:type="character" w:customStyle="1" w:styleId="UnresolvedMention">
    <w:name w:val="Unresolved Mention"/>
    <w:uiPriority w:val="99"/>
    <w:semiHidden/>
    <w:unhideWhenUsed/>
    <w:rsid w:val="00521639"/>
    <w:rPr>
      <w:color w:val="808080"/>
      <w:shd w:val="clear" w:color="auto" w:fill="E6E6E6"/>
    </w:rPr>
  </w:style>
  <w:style w:type="paragraph" w:styleId="Revision">
    <w:name w:val="Revision"/>
    <w:hidden/>
    <w:uiPriority w:val="99"/>
    <w:semiHidden/>
    <w:rsid w:val="00521639"/>
    <w:pPr>
      <w:spacing w:after="0" w:line="240" w:lineRule="auto"/>
    </w:pPr>
    <w:rPr>
      <w:rFonts w:ascii="Times New Roman" w:eastAsia="SimSun" w:hAnsi="Times New Roman" w:cs="Times New Roman"/>
      <w:sz w:val="24"/>
      <w:szCs w:val="24"/>
      <w:lang w:val="en-GB" w:eastAsia="zh-CN"/>
    </w:rPr>
  </w:style>
  <w:style w:type="paragraph" w:customStyle="1" w:styleId="Default">
    <w:name w:val="Default"/>
    <w:rsid w:val="00521639"/>
    <w:pPr>
      <w:autoSpaceDE w:val="0"/>
      <w:autoSpaceDN w:val="0"/>
      <w:adjustRightInd w:val="0"/>
      <w:spacing w:after="0" w:line="240" w:lineRule="auto"/>
    </w:pPr>
    <w:rPr>
      <w:rFonts w:ascii="Calibri" w:eastAsia="SimSun" w:hAnsi="Calibri" w:cs="Calibri"/>
      <w:color w:val="000000"/>
      <w:sz w:val="24"/>
      <w:szCs w:val="24"/>
      <w:lang w:val="en-ZA" w:eastAsia="en-ZA"/>
    </w:rPr>
  </w:style>
  <w:style w:type="character" w:styleId="CommentReference">
    <w:name w:val="annotation reference"/>
    <w:uiPriority w:val="99"/>
    <w:semiHidden/>
    <w:unhideWhenUsed/>
    <w:rsid w:val="00521639"/>
    <w:rPr>
      <w:sz w:val="16"/>
      <w:szCs w:val="16"/>
    </w:rPr>
  </w:style>
  <w:style w:type="paragraph" w:styleId="CommentText">
    <w:name w:val="annotation text"/>
    <w:basedOn w:val="Normal"/>
    <w:link w:val="Comment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semiHidden/>
    <w:rsid w:val="00521639"/>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21639"/>
    <w:rPr>
      <w:b/>
      <w:bCs/>
    </w:rPr>
  </w:style>
  <w:style w:type="character" w:customStyle="1" w:styleId="CommentSubjectChar">
    <w:name w:val="Comment Subject Char"/>
    <w:basedOn w:val="CommentTextChar"/>
    <w:link w:val="CommentSubject"/>
    <w:uiPriority w:val="99"/>
    <w:semiHidden/>
    <w:rsid w:val="00521639"/>
    <w:rPr>
      <w:rFonts w:ascii="Times New Roman" w:eastAsia="SimSun" w:hAnsi="Times New Roman" w:cs="Times New Roman"/>
      <w:b/>
      <w:bCs/>
      <w:sz w:val="20"/>
      <w:szCs w:val="20"/>
      <w:lang w:val="en-GB" w:eastAsia="zh-CN"/>
    </w:rPr>
  </w:style>
  <w:style w:type="paragraph" w:styleId="EndnoteText">
    <w:name w:val="endnote text"/>
    <w:basedOn w:val="Normal"/>
    <w:link w:val="Endnote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EndnoteTextChar">
    <w:name w:val="Endnote Text Char"/>
    <w:basedOn w:val="DefaultParagraphFont"/>
    <w:link w:val="EndnoteText"/>
    <w:uiPriority w:val="99"/>
    <w:semiHidden/>
    <w:rsid w:val="00521639"/>
    <w:rPr>
      <w:rFonts w:ascii="Times New Roman" w:eastAsia="SimSun" w:hAnsi="Times New Roman" w:cs="Times New Roman"/>
      <w:sz w:val="20"/>
      <w:szCs w:val="20"/>
      <w:lang w:val="en-GB" w:eastAsia="zh-CN"/>
    </w:rPr>
  </w:style>
  <w:style w:type="character" w:styleId="EndnoteReference">
    <w:name w:val="endnote reference"/>
    <w:uiPriority w:val="99"/>
    <w:semiHidden/>
    <w:unhideWhenUsed/>
    <w:rsid w:val="00521639"/>
    <w:rPr>
      <w:vertAlign w:val="superscript"/>
    </w:rPr>
  </w:style>
  <w:style w:type="paragraph" w:customStyle="1" w:styleId="1">
    <w:name w:val="1"/>
    <w:qFormat/>
    <w:rsid w:val="00FB496A"/>
    <w:pPr>
      <w:numPr>
        <w:numId w:val="36"/>
      </w:numPr>
      <w:spacing w:before="480" w:after="0" w:line="480" w:lineRule="auto"/>
      <w:jc w:val="both"/>
    </w:pPr>
    <w:rPr>
      <w:rFonts w:ascii="Arial" w:eastAsia="Times New Roman" w:hAnsi="Arial" w:cs="Times New Roman"/>
      <w:iCs/>
      <w:color w:val="000000"/>
      <w:sz w:val="24"/>
      <w:lang w:val="en-GB"/>
    </w:rPr>
  </w:style>
  <w:style w:type="paragraph" w:customStyle="1" w:styleId="2">
    <w:name w:val="2"/>
    <w:basedOn w:val="1"/>
    <w:qFormat/>
    <w:rsid w:val="00FB496A"/>
    <w:pPr>
      <w:numPr>
        <w:ilvl w:val="1"/>
      </w:numPr>
      <w:spacing w:before="240"/>
    </w:pPr>
  </w:style>
  <w:style w:type="paragraph" w:customStyle="1" w:styleId="3">
    <w:name w:val="3"/>
    <w:basedOn w:val="2"/>
    <w:qFormat/>
    <w:rsid w:val="00FB496A"/>
    <w:pPr>
      <w:numPr>
        <w:ilvl w:val="2"/>
      </w:numPr>
    </w:pPr>
  </w:style>
  <w:style w:type="paragraph" w:customStyle="1" w:styleId="4">
    <w:name w:val="4"/>
    <w:basedOn w:val="Normal"/>
    <w:qFormat/>
    <w:rsid w:val="00FB496A"/>
    <w:pPr>
      <w:numPr>
        <w:ilvl w:val="3"/>
        <w:numId w:val="36"/>
      </w:numPr>
      <w:spacing w:before="240" w:line="480" w:lineRule="auto"/>
    </w:pPr>
    <w:rPr>
      <w:iCs/>
      <w:color w:val="000000"/>
      <w:sz w:val="24"/>
      <w:szCs w:val="16"/>
      <w:lang w:eastAsia="en-ZA"/>
    </w:rPr>
  </w:style>
  <w:style w:type="paragraph" w:customStyle="1" w:styleId="5">
    <w:name w:val="5"/>
    <w:basedOn w:val="4"/>
    <w:qFormat/>
    <w:rsid w:val="00FB496A"/>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6161">
      <w:bodyDiv w:val="1"/>
      <w:marLeft w:val="0"/>
      <w:marRight w:val="0"/>
      <w:marTop w:val="0"/>
      <w:marBottom w:val="0"/>
      <w:divBdr>
        <w:top w:val="none" w:sz="0" w:space="0" w:color="auto"/>
        <w:left w:val="none" w:sz="0" w:space="0" w:color="auto"/>
        <w:bottom w:val="none" w:sz="0" w:space="0" w:color="auto"/>
        <w:right w:val="none" w:sz="0" w:space="0" w:color="auto"/>
      </w:divBdr>
    </w:div>
    <w:div w:id="1239559162">
      <w:bodyDiv w:val="1"/>
      <w:marLeft w:val="0"/>
      <w:marRight w:val="0"/>
      <w:marTop w:val="0"/>
      <w:marBottom w:val="0"/>
      <w:divBdr>
        <w:top w:val="none" w:sz="0" w:space="0" w:color="auto"/>
        <w:left w:val="none" w:sz="0" w:space="0" w:color="auto"/>
        <w:bottom w:val="none" w:sz="0" w:space="0" w:color="auto"/>
        <w:right w:val="none" w:sz="0" w:space="0" w:color="auto"/>
      </w:divBdr>
    </w:div>
    <w:div w:id="14420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285B-9928-412A-81D0-DF19A962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Fulufhelo Mawela</dc:creator>
  <cp:keywords/>
  <dc:description/>
  <cp:lastModifiedBy>Mary Bruce</cp:lastModifiedBy>
  <cp:revision>3</cp:revision>
  <cp:lastPrinted>2023-10-31T09:59:00Z</cp:lastPrinted>
  <dcterms:created xsi:type="dcterms:W3CDTF">2023-11-02T06:36:00Z</dcterms:created>
  <dcterms:modified xsi:type="dcterms:W3CDTF">2023-11-02T14:08:00Z</dcterms:modified>
</cp:coreProperties>
</file>