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E05C5" w14:textId="77777777" w:rsidR="00B70B08" w:rsidRPr="00067C82" w:rsidRDefault="00B70B08" w:rsidP="00B70B08">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bookmarkStart w:id="0" w:name="_GoBack"/>
      <w:bookmarkEnd w:id="0"/>
      <w:r w:rsidRPr="00067C82">
        <w:rPr>
          <w:rFonts w:ascii="Arial" w:eastAsia="Times New Roman" w:hAnsi="Arial" w:cs="Arial"/>
          <w:b/>
          <w:noProof/>
          <w:kern w:val="0"/>
          <w:sz w:val="24"/>
          <w:szCs w:val="24"/>
          <w:lang w:eastAsia="en-ZA"/>
          <w14:ligatures w14:val="none"/>
        </w:rPr>
        <w:t>REPUBLIC OF SOUTH AFRICA</w:t>
      </w:r>
    </w:p>
    <w:p w14:paraId="12504517" w14:textId="77777777" w:rsidR="00B70B08" w:rsidRPr="00067C82" w:rsidRDefault="00B70B08" w:rsidP="00B70B08">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p>
    <w:p w14:paraId="2C7733C3" w14:textId="77777777" w:rsidR="00B70B08" w:rsidRPr="00067C82" w:rsidRDefault="00B70B08" w:rsidP="00B70B08">
      <w:pPr>
        <w:tabs>
          <w:tab w:val="left" w:pos="2342"/>
          <w:tab w:val="center" w:pos="4513"/>
        </w:tabs>
        <w:spacing w:after="0" w:line="240" w:lineRule="auto"/>
        <w:jc w:val="center"/>
        <w:outlineLvl w:val="0"/>
        <w:rPr>
          <w:rFonts w:ascii="Arial" w:eastAsia="Times New Roman" w:hAnsi="Arial" w:cs="Arial"/>
          <w:kern w:val="0"/>
          <w:sz w:val="24"/>
          <w:szCs w:val="24"/>
          <w14:ligatures w14:val="none"/>
        </w:rPr>
      </w:pPr>
      <w:r w:rsidRPr="00067C82">
        <w:rPr>
          <w:rFonts w:ascii="Arial" w:eastAsia="Times New Roman" w:hAnsi="Arial" w:cs="Arial"/>
          <w:noProof/>
          <w:kern w:val="0"/>
          <w:sz w:val="24"/>
          <w:szCs w:val="24"/>
          <w:lang w:eastAsia="en-ZA"/>
          <w14:ligatures w14:val="none"/>
        </w:rPr>
        <w:drawing>
          <wp:inline distT="0" distB="0" distL="0" distR="0" wp14:anchorId="4F1FC698" wp14:editId="11129761">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409805A" w14:textId="77777777" w:rsidR="00B70B08" w:rsidRPr="00067C82" w:rsidRDefault="00B70B08" w:rsidP="00B70B08">
      <w:pPr>
        <w:spacing w:after="0" w:line="240" w:lineRule="auto"/>
        <w:jc w:val="center"/>
        <w:outlineLvl w:val="0"/>
        <w:rPr>
          <w:rFonts w:ascii="Arial" w:eastAsia="Times New Roman" w:hAnsi="Arial" w:cs="Arial"/>
          <w:b/>
          <w:kern w:val="0"/>
          <w:sz w:val="24"/>
          <w:szCs w:val="24"/>
          <w14:ligatures w14:val="none"/>
        </w:rPr>
      </w:pPr>
    </w:p>
    <w:p w14:paraId="2B8DE599" w14:textId="77777777" w:rsidR="00B70B08" w:rsidRPr="00067C82" w:rsidRDefault="00B70B08" w:rsidP="00B70B08">
      <w:pPr>
        <w:spacing w:after="0" w:line="240" w:lineRule="auto"/>
        <w:jc w:val="center"/>
        <w:outlineLvl w:val="0"/>
        <w:rPr>
          <w:rFonts w:ascii="Arial" w:eastAsia="Times New Roman" w:hAnsi="Arial" w:cs="Arial"/>
          <w:b/>
          <w:kern w:val="0"/>
          <w:sz w:val="24"/>
          <w:szCs w:val="24"/>
          <w14:ligatures w14:val="none"/>
        </w:rPr>
      </w:pPr>
      <w:r w:rsidRPr="00067C82">
        <w:rPr>
          <w:rFonts w:ascii="Arial" w:eastAsia="Times New Roman" w:hAnsi="Arial" w:cs="Arial"/>
          <w:b/>
          <w:kern w:val="0"/>
          <w:sz w:val="24"/>
          <w:szCs w:val="24"/>
          <w14:ligatures w14:val="none"/>
        </w:rPr>
        <w:t>IN THE HIGH COURT OF SOUTH AFRICA</w:t>
      </w:r>
    </w:p>
    <w:p w14:paraId="7DADDD72" w14:textId="77777777" w:rsidR="00B70B08" w:rsidRPr="00067C82" w:rsidRDefault="00B70B08" w:rsidP="00B70B08">
      <w:pPr>
        <w:spacing w:after="0" w:line="240" w:lineRule="auto"/>
        <w:jc w:val="center"/>
        <w:outlineLvl w:val="0"/>
        <w:rPr>
          <w:rFonts w:ascii="Arial" w:eastAsia="Times New Roman" w:hAnsi="Arial" w:cs="Arial"/>
          <w:b/>
          <w:kern w:val="0"/>
          <w:sz w:val="24"/>
          <w:szCs w:val="24"/>
          <w14:ligatures w14:val="none"/>
        </w:rPr>
      </w:pPr>
      <w:r w:rsidRPr="00067C82">
        <w:rPr>
          <w:rFonts w:ascii="Arial" w:eastAsia="Times New Roman" w:hAnsi="Arial" w:cs="Arial"/>
          <w:b/>
          <w:kern w:val="0"/>
          <w:sz w:val="24"/>
          <w:szCs w:val="24"/>
          <w14:ligatures w14:val="none"/>
        </w:rPr>
        <w:t>GAUTENG DIVISION, JOHANNESBURG</w:t>
      </w:r>
    </w:p>
    <w:p w14:paraId="12154777" w14:textId="77777777" w:rsidR="00B70B08" w:rsidRPr="00067C82" w:rsidRDefault="00B70B08" w:rsidP="00B70B08">
      <w:pPr>
        <w:spacing w:after="0" w:line="240" w:lineRule="auto"/>
        <w:jc w:val="both"/>
        <w:rPr>
          <w:rFonts w:ascii="Arial" w:eastAsia="Times New Roman" w:hAnsi="Arial" w:cs="Arial"/>
          <w:kern w:val="0"/>
          <w:sz w:val="24"/>
          <w:szCs w:val="24"/>
          <w14:ligatures w14:val="none"/>
        </w:rPr>
      </w:pPr>
    </w:p>
    <w:p w14:paraId="55636D2E" w14:textId="77777777" w:rsidR="00B70B08" w:rsidRPr="00067C82" w:rsidRDefault="00B70B08" w:rsidP="00B70B08">
      <w:pPr>
        <w:spacing w:after="0" w:line="240" w:lineRule="auto"/>
        <w:jc w:val="both"/>
        <w:rPr>
          <w:rFonts w:ascii="Arial" w:eastAsia="Times New Roman" w:hAnsi="Arial" w:cs="Arial"/>
          <w:kern w:val="0"/>
          <w:sz w:val="24"/>
          <w:szCs w:val="24"/>
          <w14:ligatures w14:val="none"/>
        </w:rPr>
      </w:pPr>
    </w:p>
    <w:p w14:paraId="62606C74" w14:textId="77777777" w:rsidR="00B70B08" w:rsidRPr="00067C82" w:rsidRDefault="00B70B08" w:rsidP="00B70B08">
      <w:pPr>
        <w:tabs>
          <w:tab w:val="right" w:pos="9029"/>
        </w:tabs>
        <w:spacing w:after="0" w:line="240" w:lineRule="auto"/>
        <w:jc w:val="both"/>
        <w:rPr>
          <w:rFonts w:ascii="Arial" w:eastAsia="Times New Roman" w:hAnsi="Arial" w:cs="Arial"/>
          <w:bCs/>
          <w:kern w:val="0"/>
          <w:sz w:val="24"/>
          <w:szCs w:val="24"/>
          <w14:ligatures w14:val="none"/>
        </w:rPr>
      </w:pPr>
      <w:r w:rsidRPr="00067C82">
        <w:rPr>
          <w:rFonts w:ascii="Arial" w:eastAsia="Times New Roman" w:hAnsi="Arial" w:cs="Arial"/>
          <w:kern w:val="0"/>
          <w:sz w:val="24"/>
          <w:szCs w:val="24"/>
          <w14:ligatures w14:val="none"/>
        </w:rPr>
        <w:tab/>
      </w:r>
      <w:r w:rsidRPr="00067C82">
        <w:rPr>
          <w:rFonts w:ascii="Arial" w:eastAsia="Times New Roman" w:hAnsi="Arial" w:cs="Arial"/>
          <w:bCs/>
          <w:kern w:val="0"/>
          <w:sz w:val="24"/>
          <w:szCs w:val="24"/>
          <w14:ligatures w14:val="none"/>
        </w:rPr>
        <w:t xml:space="preserve">Case Number: </w:t>
      </w:r>
      <w:r w:rsidRPr="00067C82">
        <w:rPr>
          <w:rFonts w:ascii="Arial" w:eastAsia="Times New Roman" w:hAnsi="Arial" w:cs="Arial"/>
          <w:bCs/>
          <w:kern w:val="0"/>
          <w:sz w:val="24"/>
          <w:szCs w:val="24"/>
          <w:lang w:val="en-GB"/>
          <w14:ligatures w14:val="none"/>
        </w:rPr>
        <w:t>2022-054818</w:t>
      </w:r>
    </w:p>
    <w:p w14:paraId="282D89D0" w14:textId="2DB05512" w:rsidR="00B70B08" w:rsidRPr="00067C82" w:rsidRDefault="00A62E1F" w:rsidP="00B70B08">
      <w:pPr>
        <w:tabs>
          <w:tab w:val="right" w:pos="9029"/>
        </w:tabs>
        <w:spacing w:after="0" w:line="240" w:lineRule="auto"/>
        <w:jc w:val="both"/>
        <w:rPr>
          <w:rFonts w:ascii="Arial" w:eastAsia="Times New Roman" w:hAnsi="Arial" w:cs="Arial"/>
          <w:kern w:val="0"/>
          <w:sz w:val="24"/>
          <w:szCs w:val="24"/>
          <w14:ligatures w14:val="none"/>
        </w:rPr>
      </w:pPr>
      <w:r w:rsidRPr="00E06007">
        <w:rPr>
          <w:rFonts w:ascii="Arial" w:hAnsi="Arial" w:cs="Arial"/>
          <w:noProof/>
          <w:lang w:eastAsia="en-ZA"/>
        </w:rPr>
        <mc:AlternateContent>
          <mc:Choice Requires="wps">
            <w:drawing>
              <wp:anchor distT="0" distB="0" distL="114300" distR="114300" simplePos="0" relativeHeight="251661312" behindDoc="0" locked="0" layoutInCell="1" allowOverlap="1" wp14:anchorId="243C8C7D" wp14:editId="7344B3BD">
                <wp:simplePos x="0" y="0"/>
                <wp:positionH relativeFrom="margin">
                  <wp:align>left</wp:align>
                </wp:positionH>
                <wp:positionV relativeFrom="paragraph">
                  <wp:posOffset>23495</wp:posOffset>
                </wp:positionV>
                <wp:extent cx="3314700" cy="1371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1C1B6010" w14:textId="056FBFC9" w:rsidR="00B70B08" w:rsidRPr="00D94E71" w:rsidRDefault="00D94E71" w:rsidP="00D94E71">
                            <w:pPr>
                              <w:ind w:left="567" w:hanging="567"/>
                              <w:rPr>
                                <w:rFonts w:ascii="Arial" w:hAnsi="Arial" w:cs="Arial"/>
                                <w:sz w:val="18"/>
                              </w:rPr>
                            </w:pPr>
                            <w:r w:rsidRPr="00C344A5">
                              <w:rPr>
                                <w:rFonts w:ascii="Arial" w:hAnsi="Arial" w:cs="Arial"/>
                                <w:sz w:val="18"/>
                              </w:rPr>
                              <w:t>(1)</w:t>
                            </w:r>
                            <w:r w:rsidRPr="00C344A5">
                              <w:rPr>
                                <w:rFonts w:ascii="Arial" w:hAnsi="Arial" w:cs="Arial"/>
                                <w:sz w:val="18"/>
                              </w:rPr>
                              <w:tab/>
                            </w:r>
                            <w:r w:rsidR="00B70B08" w:rsidRPr="00D94E71">
                              <w:rPr>
                                <w:rFonts w:ascii="Arial" w:hAnsi="Arial" w:cs="Arial"/>
                                <w:sz w:val="18"/>
                              </w:rPr>
                              <w:t>REPORTABLE: YES / NO</w:t>
                            </w:r>
                          </w:p>
                          <w:p w14:paraId="446CBFB4" w14:textId="2F11A5CA" w:rsidR="00B70B08" w:rsidRPr="00D94E71" w:rsidRDefault="00D94E71" w:rsidP="00D94E71">
                            <w:pPr>
                              <w:ind w:left="567" w:hanging="567"/>
                              <w:rPr>
                                <w:rFonts w:ascii="Arial" w:hAnsi="Arial" w:cs="Arial"/>
                                <w:sz w:val="18"/>
                                <w:szCs w:val="20"/>
                              </w:rPr>
                            </w:pPr>
                            <w:r w:rsidRPr="00E06007">
                              <w:rPr>
                                <w:rFonts w:ascii="Arial" w:hAnsi="Arial" w:cs="Arial"/>
                                <w:sz w:val="18"/>
                                <w:szCs w:val="20"/>
                              </w:rPr>
                              <w:t>(2)</w:t>
                            </w:r>
                            <w:r w:rsidRPr="00E06007">
                              <w:rPr>
                                <w:rFonts w:ascii="Arial" w:hAnsi="Arial" w:cs="Arial"/>
                                <w:sz w:val="18"/>
                                <w:szCs w:val="20"/>
                              </w:rPr>
                              <w:tab/>
                            </w:r>
                            <w:r w:rsidR="00B70B08" w:rsidRPr="00D94E71">
                              <w:rPr>
                                <w:rFonts w:ascii="Arial" w:hAnsi="Arial" w:cs="Arial"/>
                                <w:sz w:val="18"/>
                                <w:szCs w:val="20"/>
                              </w:rPr>
                              <w:t>OF INTEREST TO OTHER JUDGES: YES / NO</w:t>
                            </w:r>
                          </w:p>
                          <w:p w14:paraId="0E6736A6" w14:textId="36632672" w:rsidR="00B70B08" w:rsidRPr="00D94E71" w:rsidRDefault="00D94E71" w:rsidP="00D94E71">
                            <w:pPr>
                              <w:ind w:left="567" w:hanging="567"/>
                              <w:rPr>
                                <w:rFonts w:ascii="Arial" w:hAnsi="Arial" w:cs="Arial"/>
                                <w:sz w:val="18"/>
                                <w:szCs w:val="20"/>
                              </w:rPr>
                            </w:pPr>
                            <w:r w:rsidRPr="00E06007">
                              <w:rPr>
                                <w:rFonts w:ascii="Arial" w:hAnsi="Arial" w:cs="Arial"/>
                                <w:sz w:val="18"/>
                                <w:szCs w:val="20"/>
                              </w:rPr>
                              <w:t>(3)</w:t>
                            </w:r>
                            <w:r w:rsidRPr="00E06007">
                              <w:rPr>
                                <w:rFonts w:ascii="Arial" w:hAnsi="Arial" w:cs="Arial"/>
                                <w:sz w:val="18"/>
                                <w:szCs w:val="20"/>
                              </w:rPr>
                              <w:tab/>
                            </w:r>
                            <w:r w:rsidR="00B70B08" w:rsidRPr="00D94E71">
                              <w:rPr>
                                <w:rFonts w:ascii="Arial" w:hAnsi="Arial" w:cs="Arial"/>
                                <w:sz w:val="18"/>
                                <w:szCs w:val="20"/>
                              </w:rPr>
                              <w:t>REVISED: YES / NO</w:t>
                            </w:r>
                          </w:p>
                          <w:p w14:paraId="28A8390D" w14:textId="77777777" w:rsidR="00B70B08" w:rsidRPr="00C344A5" w:rsidRDefault="00B70B08" w:rsidP="00B70B08">
                            <w:pPr>
                              <w:rPr>
                                <w:rFonts w:ascii="Arial" w:hAnsi="Arial" w:cs="Arial"/>
                                <w:b/>
                                <w:sz w:val="18"/>
                                <w:szCs w:val="20"/>
                              </w:rPr>
                            </w:pPr>
                          </w:p>
                          <w:p w14:paraId="58A16AC8" w14:textId="77777777" w:rsidR="00B70B08" w:rsidRPr="00C344A5" w:rsidRDefault="00B70B08" w:rsidP="00B70B08">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438A6A4D" w14:textId="77777777" w:rsidR="00B70B08" w:rsidRPr="00C344A5" w:rsidRDefault="00B70B08" w:rsidP="00B70B08">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C8C7D"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wYKQ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DlNXwYKQIAAFEEAAAOAAAAAAAAAAAAAAAAAC4CAABkcnMvZTJv&#10;RG9jLnhtbFBLAQItABQABgAIAAAAIQCR2ASs3QAAAAYBAAAPAAAAAAAAAAAAAAAAAIMEAABkcnMv&#10;ZG93bnJldi54bWxQSwUGAAAAAAQABADzAAAAjQUAAAAA&#10;">
                <v:textbox>
                  <w:txbxContent>
                    <w:p w14:paraId="1C1B6010" w14:textId="056FBFC9" w:rsidR="00B70B08" w:rsidRPr="00D94E71" w:rsidRDefault="00D94E71" w:rsidP="00D94E71">
                      <w:pPr>
                        <w:ind w:left="567" w:hanging="567"/>
                        <w:rPr>
                          <w:rFonts w:ascii="Arial" w:hAnsi="Arial" w:cs="Arial"/>
                          <w:sz w:val="18"/>
                        </w:rPr>
                      </w:pPr>
                      <w:r w:rsidRPr="00C344A5">
                        <w:rPr>
                          <w:rFonts w:ascii="Arial" w:hAnsi="Arial" w:cs="Arial"/>
                          <w:sz w:val="18"/>
                        </w:rPr>
                        <w:t>(1)</w:t>
                      </w:r>
                      <w:r w:rsidRPr="00C344A5">
                        <w:rPr>
                          <w:rFonts w:ascii="Arial" w:hAnsi="Arial" w:cs="Arial"/>
                          <w:sz w:val="18"/>
                        </w:rPr>
                        <w:tab/>
                      </w:r>
                      <w:r w:rsidR="00B70B08" w:rsidRPr="00D94E71">
                        <w:rPr>
                          <w:rFonts w:ascii="Arial" w:hAnsi="Arial" w:cs="Arial"/>
                          <w:sz w:val="18"/>
                        </w:rPr>
                        <w:t>REPORTABLE: YES / NO</w:t>
                      </w:r>
                    </w:p>
                    <w:p w14:paraId="446CBFB4" w14:textId="2F11A5CA" w:rsidR="00B70B08" w:rsidRPr="00D94E71" w:rsidRDefault="00D94E71" w:rsidP="00D94E71">
                      <w:pPr>
                        <w:ind w:left="567" w:hanging="567"/>
                        <w:rPr>
                          <w:rFonts w:ascii="Arial" w:hAnsi="Arial" w:cs="Arial"/>
                          <w:sz w:val="18"/>
                          <w:szCs w:val="20"/>
                        </w:rPr>
                      </w:pPr>
                      <w:r w:rsidRPr="00E06007">
                        <w:rPr>
                          <w:rFonts w:ascii="Arial" w:hAnsi="Arial" w:cs="Arial"/>
                          <w:sz w:val="18"/>
                          <w:szCs w:val="20"/>
                        </w:rPr>
                        <w:t>(2)</w:t>
                      </w:r>
                      <w:r w:rsidRPr="00E06007">
                        <w:rPr>
                          <w:rFonts w:ascii="Arial" w:hAnsi="Arial" w:cs="Arial"/>
                          <w:sz w:val="18"/>
                          <w:szCs w:val="20"/>
                        </w:rPr>
                        <w:tab/>
                      </w:r>
                      <w:r w:rsidR="00B70B08" w:rsidRPr="00D94E71">
                        <w:rPr>
                          <w:rFonts w:ascii="Arial" w:hAnsi="Arial" w:cs="Arial"/>
                          <w:sz w:val="18"/>
                          <w:szCs w:val="20"/>
                        </w:rPr>
                        <w:t>OF INTEREST TO OTHER JUDGES: YES / NO</w:t>
                      </w:r>
                    </w:p>
                    <w:p w14:paraId="0E6736A6" w14:textId="36632672" w:rsidR="00B70B08" w:rsidRPr="00D94E71" w:rsidRDefault="00D94E71" w:rsidP="00D94E71">
                      <w:pPr>
                        <w:ind w:left="567" w:hanging="567"/>
                        <w:rPr>
                          <w:rFonts w:ascii="Arial" w:hAnsi="Arial" w:cs="Arial"/>
                          <w:sz w:val="18"/>
                          <w:szCs w:val="20"/>
                        </w:rPr>
                      </w:pPr>
                      <w:r w:rsidRPr="00E06007">
                        <w:rPr>
                          <w:rFonts w:ascii="Arial" w:hAnsi="Arial" w:cs="Arial"/>
                          <w:sz w:val="18"/>
                          <w:szCs w:val="20"/>
                        </w:rPr>
                        <w:t>(3)</w:t>
                      </w:r>
                      <w:r w:rsidRPr="00E06007">
                        <w:rPr>
                          <w:rFonts w:ascii="Arial" w:hAnsi="Arial" w:cs="Arial"/>
                          <w:sz w:val="18"/>
                          <w:szCs w:val="20"/>
                        </w:rPr>
                        <w:tab/>
                      </w:r>
                      <w:r w:rsidR="00B70B08" w:rsidRPr="00D94E71">
                        <w:rPr>
                          <w:rFonts w:ascii="Arial" w:hAnsi="Arial" w:cs="Arial"/>
                          <w:sz w:val="18"/>
                          <w:szCs w:val="20"/>
                        </w:rPr>
                        <w:t>REVISED: YES / NO</w:t>
                      </w:r>
                    </w:p>
                    <w:p w14:paraId="28A8390D" w14:textId="77777777" w:rsidR="00B70B08" w:rsidRPr="00C344A5" w:rsidRDefault="00B70B08" w:rsidP="00B70B08">
                      <w:pPr>
                        <w:rPr>
                          <w:rFonts w:ascii="Arial" w:hAnsi="Arial" w:cs="Arial"/>
                          <w:b/>
                          <w:sz w:val="18"/>
                          <w:szCs w:val="20"/>
                        </w:rPr>
                      </w:pPr>
                    </w:p>
                    <w:p w14:paraId="58A16AC8" w14:textId="77777777" w:rsidR="00B70B08" w:rsidRPr="00C344A5" w:rsidRDefault="00B70B08" w:rsidP="00B70B08">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438A6A4D" w14:textId="77777777" w:rsidR="00B70B08" w:rsidRPr="00C344A5" w:rsidRDefault="00B70B08" w:rsidP="00B70B08">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760CCB13" w14:textId="77777777" w:rsidR="00B70B08" w:rsidRPr="00067C82" w:rsidRDefault="00B70B08" w:rsidP="00B70B08">
      <w:pPr>
        <w:tabs>
          <w:tab w:val="left" w:pos="8998"/>
        </w:tabs>
        <w:spacing w:after="0" w:line="240" w:lineRule="auto"/>
        <w:jc w:val="both"/>
        <w:rPr>
          <w:rFonts w:ascii="Arial" w:eastAsia="Times New Roman" w:hAnsi="Arial" w:cs="Arial"/>
          <w:kern w:val="0"/>
          <w:sz w:val="24"/>
          <w:szCs w:val="24"/>
          <w14:ligatures w14:val="none"/>
        </w:rPr>
      </w:pPr>
    </w:p>
    <w:p w14:paraId="63D781ED" w14:textId="77777777" w:rsidR="00B70B08" w:rsidRPr="00067C82" w:rsidRDefault="00B70B08" w:rsidP="00B70B08">
      <w:pPr>
        <w:tabs>
          <w:tab w:val="left" w:pos="8998"/>
        </w:tabs>
        <w:spacing w:after="0" w:line="240" w:lineRule="auto"/>
        <w:jc w:val="both"/>
        <w:rPr>
          <w:rFonts w:ascii="Arial" w:eastAsia="Times New Roman" w:hAnsi="Arial" w:cs="Arial"/>
          <w:kern w:val="0"/>
          <w:sz w:val="24"/>
          <w:szCs w:val="24"/>
          <w14:ligatures w14:val="none"/>
        </w:rPr>
      </w:pPr>
    </w:p>
    <w:p w14:paraId="5DA03BD6" w14:textId="77777777" w:rsidR="00B70B08" w:rsidRPr="00067C82" w:rsidRDefault="00B70B08" w:rsidP="00B70B08">
      <w:pPr>
        <w:tabs>
          <w:tab w:val="left" w:pos="8998"/>
        </w:tabs>
        <w:spacing w:after="0" w:line="240" w:lineRule="auto"/>
        <w:jc w:val="both"/>
        <w:rPr>
          <w:rFonts w:ascii="Arial" w:eastAsia="Times New Roman" w:hAnsi="Arial" w:cs="Arial"/>
          <w:kern w:val="0"/>
          <w:sz w:val="24"/>
          <w:szCs w:val="24"/>
          <w14:ligatures w14:val="none"/>
        </w:rPr>
      </w:pPr>
      <w:r w:rsidRPr="00067C82">
        <w:rPr>
          <w:rFonts w:ascii="Arial" w:eastAsia="Times New Roman" w:hAnsi="Arial" w:cs="Arial"/>
          <w:kern w:val="0"/>
          <w:sz w:val="24"/>
          <w:szCs w:val="24"/>
          <w14:ligatures w14:val="none"/>
        </w:rPr>
        <w:t>In the matter between:</w:t>
      </w:r>
    </w:p>
    <w:p w14:paraId="6724594E" w14:textId="77777777" w:rsidR="00B70B08" w:rsidRPr="00067C82" w:rsidRDefault="00B70B08" w:rsidP="00B70B08">
      <w:pPr>
        <w:tabs>
          <w:tab w:val="right" w:pos="9029"/>
        </w:tabs>
        <w:spacing w:after="0" w:line="240" w:lineRule="auto"/>
        <w:jc w:val="both"/>
        <w:rPr>
          <w:rFonts w:ascii="Arial" w:eastAsia="Times New Roman" w:hAnsi="Arial" w:cs="Arial"/>
          <w:kern w:val="0"/>
          <w:sz w:val="24"/>
          <w:szCs w:val="24"/>
          <w14:ligatures w14:val="none"/>
        </w:rPr>
      </w:pPr>
    </w:p>
    <w:p w14:paraId="7882F9FF" w14:textId="1D267D28" w:rsidR="00B70B08" w:rsidRPr="00067C82" w:rsidRDefault="00B70B08" w:rsidP="00E06007">
      <w:pPr>
        <w:tabs>
          <w:tab w:val="left" w:pos="7211"/>
        </w:tabs>
        <w:spacing w:after="0" w:line="240" w:lineRule="auto"/>
        <w:jc w:val="both"/>
        <w:rPr>
          <w:rFonts w:ascii="Arial" w:eastAsia="Times New Roman" w:hAnsi="Arial" w:cs="Arial"/>
          <w:kern w:val="0"/>
          <w:sz w:val="24"/>
          <w:szCs w:val="24"/>
          <w14:ligatures w14:val="none"/>
        </w:rPr>
      </w:pPr>
    </w:p>
    <w:p w14:paraId="53BDA4B8" w14:textId="77777777" w:rsidR="00B70B08" w:rsidRPr="00067C82" w:rsidRDefault="00B70B08" w:rsidP="00B70B08">
      <w:pPr>
        <w:tabs>
          <w:tab w:val="right" w:pos="9029"/>
        </w:tabs>
        <w:spacing w:after="0" w:line="240" w:lineRule="auto"/>
        <w:contextualSpacing/>
        <w:jc w:val="both"/>
        <w:rPr>
          <w:rFonts w:ascii="Arial" w:eastAsia="Times New Roman" w:hAnsi="Arial" w:cs="Arial"/>
          <w:b/>
          <w:kern w:val="0"/>
          <w:sz w:val="24"/>
          <w:szCs w:val="24"/>
          <w14:ligatures w14:val="none"/>
        </w:rPr>
      </w:pPr>
    </w:p>
    <w:p w14:paraId="2D651511" w14:textId="77777777" w:rsidR="00B70B08" w:rsidRPr="00067C82" w:rsidRDefault="00B70B08" w:rsidP="00B70B08">
      <w:pPr>
        <w:tabs>
          <w:tab w:val="right" w:pos="9029"/>
        </w:tabs>
        <w:spacing w:after="0" w:line="240" w:lineRule="auto"/>
        <w:contextualSpacing/>
        <w:jc w:val="both"/>
        <w:rPr>
          <w:rFonts w:ascii="Arial" w:eastAsia="Times New Roman" w:hAnsi="Arial" w:cs="Arial"/>
          <w:b/>
          <w:kern w:val="0"/>
          <w:sz w:val="24"/>
          <w:szCs w:val="24"/>
          <w14:ligatures w14:val="none"/>
        </w:rPr>
      </w:pPr>
    </w:p>
    <w:p w14:paraId="19E5E812" w14:textId="77777777" w:rsidR="00B70B08" w:rsidRPr="00067C82" w:rsidRDefault="00B70B08" w:rsidP="00B70B08">
      <w:pPr>
        <w:tabs>
          <w:tab w:val="right" w:pos="9029"/>
        </w:tabs>
        <w:spacing w:after="0" w:line="240" w:lineRule="auto"/>
        <w:contextualSpacing/>
        <w:jc w:val="both"/>
        <w:rPr>
          <w:rFonts w:ascii="Arial" w:eastAsia="Times New Roman" w:hAnsi="Arial" w:cs="Arial"/>
          <w:b/>
          <w:kern w:val="0"/>
          <w:sz w:val="24"/>
          <w:szCs w:val="24"/>
          <w14:ligatures w14:val="none"/>
        </w:rPr>
      </w:pPr>
    </w:p>
    <w:p w14:paraId="2404CB8A" w14:textId="77777777" w:rsidR="00B70B08" w:rsidRPr="00067C82" w:rsidRDefault="00B70B08" w:rsidP="00B70B08">
      <w:pPr>
        <w:tabs>
          <w:tab w:val="right" w:pos="9029"/>
        </w:tabs>
        <w:spacing w:after="0" w:line="240" w:lineRule="auto"/>
        <w:contextualSpacing/>
        <w:jc w:val="both"/>
        <w:rPr>
          <w:rFonts w:ascii="Arial" w:eastAsia="Times New Roman" w:hAnsi="Arial" w:cs="Arial"/>
          <w:b/>
          <w:kern w:val="0"/>
          <w:sz w:val="24"/>
          <w:szCs w:val="24"/>
          <w14:ligatures w14:val="none"/>
        </w:rPr>
      </w:pPr>
    </w:p>
    <w:p w14:paraId="67012E2B" w14:textId="77777777" w:rsidR="00B70B08" w:rsidRPr="00067C82" w:rsidRDefault="00B70B08" w:rsidP="00B70B08">
      <w:pPr>
        <w:tabs>
          <w:tab w:val="right" w:pos="9029"/>
        </w:tabs>
        <w:spacing w:after="0" w:line="240" w:lineRule="auto"/>
        <w:contextualSpacing/>
        <w:jc w:val="both"/>
        <w:rPr>
          <w:rFonts w:ascii="Arial" w:eastAsia="Times New Roman" w:hAnsi="Arial" w:cs="Arial"/>
          <w:kern w:val="0"/>
          <w:sz w:val="24"/>
          <w:szCs w:val="24"/>
          <w14:ligatures w14:val="none"/>
        </w:rPr>
      </w:pPr>
      <w:r w:rsidRPr="00067C82">
        <w:rPr>
          <w:rFonts w:ascii="Arial" w:eastAsia="Times New Roman" w:hAnsi="Arial" w:cs="Arial"/>
          <w:kern w:val="0"/>
          <w:sz w:val="24"/>
          <w:szCs w:val="24"/>
          <w14:ligatures w14:val="none"/>
        </w:rPr>
        <w:t>In the matter between:</w:t>
      </w:r>
    </w:p>
    <w:p w14:paraId="33551AF0" w14:textId="77777777" w:rsidR="00B70B08" w:rsidRPr="00067C82" w:rsidRDefault="00B70B08" w:rsidP="00B70B08">
      <w:pPr>
        <w:tabs>
          <w:tab w:val="right" w:pos="9029"/>
        </w:tabs>
        <w:spacing w:after="0" w:line="240" w:lineRule="auto"/>
        <w:contextualSpacing/>
        <w:jc w:val="both"/>
        <w:rPr>
          <w:rFonts w:ascii="Arial" w:eastAsia="Times New Roman" w:hAnsi="Arial" w:cs="Arial"/>
          <w:b/>
          <w:kern w:val="0"/>
          <w:sz w:val="24"/>
          <w:szCs w:val="24"/>
          <w14:ligatures w14:val="none"/>
        </w:rPr>
      </w:pPr>
    </w:p>
    <w:p w14:paraId="62F73191" w14:textId="77777777" w:rsidR="00B70B08" w:rsidRPr="00067C82" w:rsidRDefault="00B70B08" w:rsidP="00B70B08">
      <w:pPr>
        <w:tabs>
          <w:tab w:val="right" w:pos="9029"/>
        </w:tabs>
        <w:spacing w:after="0" w:line="240" w:lineRule="auto"/>
        <w:contextualSpacing/>
        <w:jc w:val="both"/>
        <w:rPr>
          <w:rFonts w:ascii="Arial" w:eastAsia="Times New Roman" w:hAnsi="Arial" w:cs="Arial"/>
          <w:b/>
          <w:kern w:val="0"/>
          <w:sz w:val="24"/>
          <w:szCs w:val="24"/>
          <w14:ligatures w14:val="none"/>
        </w:rPr>
      </w:pPr>
    </w:p>
    <w:p w14:paraId="40357359" w14:textId="77777777" w:rsidR="00B70B08" w:rsidRPr="00067C82" w:rsidRDefault="00B70B08" w:rsidP="00B70B08">
      <w:pPr>
        <w:tabs>
          <w:tab w:val="right" w:pos="9029"/>
        </w:tabs>
        <w:spacing w:after="0" w:line="240" w:lineRule="auto"/>
        <w:contextualSpacing/>
        <w:jc w:val="both"/>
        <w:rPr>
          <w:rFonts w:ascii="Arial" w:eastAsia="Times New Roman" w:hAnsi="Arial" w:cs="Arial"/>
          <w:kern w:val="0"/>
          <w:sz w:val="24"/>
          <w:szCs w:val="24"/>
          <w14:ligatures w14:val="none"/>
        </w:rPr>
      </w:pPr>
      <w:r w:rsidRPr="00067C82">
        <w:rPr>
          <w:rFonts w:ascii="Arial" w:eastAsia="Times New Roman" w:hAnsi="Arial" w:cs="Arial"/>
          <w:b/>
          <w:kern w:val="28"/>
          <w:sz w:val="24"/>
          <w:szCs w:val="24"/>
          <w:lang w:val="en-GB" w:eastAsia="en-GB"/>
          <w14:ligatures w14:val="none"/>
        </w:rPr>
        <w:t>AM</w:t>
      </w:r>
      <w:r w:rsidRPr="00067C82">
        <w:rPr>
          <w:rFonts w:ascii="Arial" w:eastAsia="Times New Roman" w:hAnsi="Arial" w:cs="Arial"/>
          <w:b/>
          <w:kern w:val="0"/>
          <w:sz w:val="24"/>
          <w:szCs w:val="24"/>
          <w14:ligatures w14:val="none"/>
        </w:rPr>
        <w:tab/>
      </w:r>
      <w:r w:rsidRPr="00067C82">
        <w:rPr>
          <w:rFonts w:ascii="Arial" w:eastAsia="Times New Roman" w:hAnsi="Arial" w:cs="Arial"/>
          <w:kern w:val="0"/>
          <w:sz w:val="24"/>
          <w:szCs w:val="24"/>
          <w14:ligatures w14:val="none"/>
        </w:rPr>
        <w:t>Applicant</w:t>
      </w:r>
    </w:p>
    <w:p w14:paraId="5D96F7D8" w14:textId="77777777" w:rsidR="00B70B08" w:rsidRPr="00067C82" w:rsidRDefault="00B70B08" w:rsidP="00B70B08">
      <w:pPr>
        <w:tabs>
          <w:tab w:val="right" w:pos="9029"/>
        </w:tabs>
        <w:spacing w:after="0" w:line="240" w:lineRule="auto"/>
        <w:contextualSpacing/>
        <w:jc w:val="both"/>
        <w:rPr>
          <w:rFonts w:ascii="Arial" w:eastAsia="Times New Roman" w:hAnsi="Arial" w:cs="Arial"/>
          <w:kern w:val="0"/>
          <w:sz w:val="24"/>
          <w:szCs w:val="24"/>
          <w14:ligatures w14:val="none"/>
        </w:rPr>
      </w:pPr>
    </w:p>
    <w:p w14:paraId="03AF037F" w14:textId="77777777" w:rsidR="00B70B08" w:rsidRPr="00067C82" w:rsidRDefault="00B70B08" w:rsidP="00B70B08">
      <w:pPr>
        <w:tabs>
          <w:tab w:val="right" w:pos="9029"/>
        </w:tabs>
        <w:spacing w:after="0" w:line="240" w:lineRule="auto"/>
        <w:contextualSpacing/>
        <w:jc w:val="both"/>
        <w:rPr>
          <w:rFonts w:ascii="Arial" w:eastAsia="Times New Roman" w:hAnsi="Arial" w:cs="Arial"/>
          <w:kern w:val="0"/>
          <w:sz w:val="24"/>
          <w:szCs w:val="24"/>
          <w14:ligatures w14:val="none"/>
        </w:rPr>
      </w:pPr>
      <w:r w:rsidRPr="00067C82">
        <w:rPr>
          <w:rFonts w:ascii="Arial" w:eastAsia="Times New Roman" w:hAnsi="Arial" w:cs="Arial"/>
          <w:kern w:val="0"/>
          <w:sz w:val="24"/>
          <w:szCs w:val="24"/>
          <w14:ligatures w14:val="none"/>
        </w:rPr>
        <w:t>and</w:t>
      </w:r>
    </w:p>
    <w:p w14:paraId="6C25D36F" w14:textId="77777777" w:rsidR="00B70B08" w:rsidRPr="00067C82" w:rsidRDefault="00B70B08" w:rsidP="00B70B08">
      <w:pPr>
        <w:tabs>
          <w:tab w:val="right" w:pos="9029"/>
        </w:tabs>
        <w:spacing w:after="0" w:line="240" w:lineRule="auto"/>
        <w:contextualSpacing/>
        <w:jc w:val="both"/>
        <w:rPr>
          <w:rFonts w:ascii="Arial" w:eastAsia="Times New Roman" w:hAnsi="Arial" w:cs="Arial"/>
          <w:kern w:val="0"/>
          <w:sz w:val="24"/>
          <w:szCs w:val="24"/>
          <w14:ligatures w14:val="none"/>
        </w:rPr>
      </w:pPr>
    </w:p>
    <w:p w14:paraId="022D414A" w14:textId="77777777" w:rsidR="00B70B08" w:rsidRPr="00067C82" w:rsidRDefault="00B70B08" w:rsidP="00B70B08">
      <w:pPr>
        <w:tabs>
          <w:tab w:val="right" w:pos="9029"/>
        </w:tabs>
        <w:spacing w:after="0" w:line="240" w:lineRule="auto"/>
        <w:contextualSpacing/>
        <w:jc w:val="both"/>
        <w:rPr>
          <w:rFonts w:ascii="Arial" w:eastAsia="Times New Roman" w:hAnsi="Arial" w:cs="Arial"/>
          <w:kern w:val="0"/>
          <w:sz w:val="24"/>
          <w:szCs w:val="24"/>
          <w14:ligatures w14:val="none"/>
        </w:rPr>
      </w:pPr>
      <w:r w:rsidRPr="00067C82">
        <w:rPr>
          <w:rFonts w:ascii="Arial" w:eastAsia="Calibri" w:hAnsi="Arial" w:cs="Arial"/>
          <w:b/>
          <w:kern w:val="0"/>
          <w:sz w:val="24"/>
          <w:szCs w:val="24"/>
          <w:lang w:val="en-GB"/>
          <w14:ligatures w14:val="none"/>
        </w:rPr>
        <w:t>LM</w:t>
      </w:r>
      <w:r w:rsidRPr="00067C82">
        <w:rPr>
          <w:rFonts w:ascii="Arial" w:eastAsia="Calibri" w:hAnsi="Arial" w:cs="Arial"/>
          <w:b/>
          <w:kern w:val="0"/>
          <w:sz w:val="24"/>
          <w:szCs w:val="24"/>
          <w14:ligatures w14:val="none"/>
        </w:rPr>
        <w:tab/>
      </w:r>
      <w:r w:rsidRPr="00067C82">
        <w:rPr>
          <w:rFonts w:ascii="Arial" w:eastAsia="Times New Roman" w:hAnsi="Arial" w:cs="Arial"/>
          <w:kern w:val="0"/>
          <w:sz w:val="24"/>
          <w:szCs w:val="24"/>
          <w14:ligatures w14:val="none"/>
        </w:rPr>
        <w:t>Respondent</w:t>
      </w:r>
    </w:p>
    <w:p w14:paraId="1D2E6005" w14:textId="77777777" w:rsidR="00B70B08" w:rsidRPr="00067C82" w:rsidRDefault="00B70B08" w:rsidP="00B70B08">
      <w:pPr>
        <w:spacing w:after="0" w:line="240" w:lineRule="auto"/>
        <w:contextualSpacing/>
        <w:jc w:val="both"/>
        <w:rPr>
          <w:rFonts w:ascii="Arial" w:eastAsia="Times New Roman" w:hAnsi="Arial" w:cs="Arial"/>
          <w:kern w:val="0"/>
          <w:sz w:val="24"/>
          <w:szCs w:val="24"/>
          <w14:ligatures w14:val="none"/>
        </w:rPr>
      </w:pPr>
    </w:p>
    <w:p w14:paraId="172652C6" w14:textId="77777777" w:rsidR="00B70B08" w:rsidRPr="00067C82" w:rsidRDefault="00B70B08" w:rsidP="00B70B08">
      <w:pPr>
        <w:pBdr>
          <w:bottom w:val="single" w:sz="12" w:space="1" w:color="auto"/>
        </w:pBdr>
        <w:spacing w:after="0" w:line="240" w:lineRule="auto"/>
        <w:rPr>
          <w:rFonts w:ascii="Arial" w:eastAsia="Calibri" w:hAnsi="Arial" w:cs="Arial"/>
          <w:b/>
          <w:kern w:val="0"/>
          <w:sz w:val="24"/>
          <w:szCs w:val="24"/>
          <w14:ligatures w14:val="none"/>
        </w:rPr>
      </w:pPr>
    </w:p>
    <w:p w14:paraId="34422DD4" w14:textId="77777777" w:rsidR="00B70B08" w:rsidRPr="00067C82" w:rsidRDefault="00B70B08" w:rsidP="00B70B08">
      <w:pPr>
        <w:spacing w:after="0" w:line="240" w:lineRule="auto"/>
        <w:ind w:left="1440" w:hanging="1440"/>
        <w:rPr>
          <w:rFonts w:ascii="Arial" w:eastAsia="Calibri" w:hAnsi="Arial" w:cs="Arial"/>
          <w:b/>
          <w:kern w:val="0"/>
          <w:sz w:val="24"/>
          <w:szCs w:val="24"/>
          <w:lang w:val="en-GB"/>
          <w14:ligatures w14:val="none"/>
        </w:rPr>
      </w:pPr>
    </w:p>
    <w:p w14:paraId="69E4E4D2" w14:textId="77777777" w:rsidR="00B70B08" w:rsidRPr="00067C82" w:rsidRDefault="00B70B08" w:rsidP="00B70B08">
      <w:pPr>
        <w:pBdr>
          <w:bottom w:val="single" w:sz="12" w:space="1" w:color="auto"/>
        </w:pBdr>
        <w:spacing w:after="240" w:line="480" w:lineRule="auto"/>
        <w:jc w:val="center"/>
        <w:rPr>
          <w:rFonts w:ascii="Arial" w:eastAsia="Calibri" w:hAnsi="Arial" w:cs="Arial"/>
          <w:b/>
          <w:kern w:val="0"/>
          <w:sz w:val="24"/>
          <w:szCs w:val="24"/>
          <w14:ligatures w14:val="none"/>
        </w:rPr>
      </w:pPr>
      <w:r w:rsidRPr="00067C82">
        <w:rPr>
          <w:rFonts w:ascii="Arial" w:eastAsia="Calibri" w:hAnsi="Arial" w:cs="Arial"/>
          <w:b/>
          <w:kern w:val="0"/>
          <w:sz w:val="24"/>
          <w:szCs w:val="24"/>
          <w14:ligatures w14:val="none"/>
        </w:rPr>
        <w:t>JUDGMENT</w:t>
      </w:r>
    </w:p>
    <w:p w14:paraId="0D2B3F15" w14:textId="77777777" w:rsidR="00B70B08" w:rsidRPr="00067C82" w:rsidRDefault="00B70B08" w:rsidP="00B70B08">
      <w:pPr>
        <w:spacing w:after="0" w:line="240" w:lineRule="auto"/>
        <w:rPr>
          <w:rFonts w:ascii="Arial" w:eastAsia="Calibri" w:hAnsi="Arial" w:cs="Arial"/>
          <w:kern w:val="0"/>
          <w:sz w:val="24"/>
          <w:szCs w:val="24"/>
          <w:lang w:val="en-GB"/>
          <w14:ligatures w14:val="none"/>
        </w:rPr>
      </w:pPr>
      <w:r w:rsidRPr="00067C82">
        <w:rPr>
          <w:rFonts w:ascii="Arial" w:eastAsia="Times New Roman" w:hAnsi="Arial" w:cs="Arial"/>
          <w:kern w:val="0"/>
          <w:sz w:val="24"/>
          <w:szCs w:val="24"/>
          <w:lang w:val="en-GB" w:eastAsia="en-ZA"/>
          <w14:ligatures w14:val="none"/>
        </w:rPr>
        <w:t>Nkutha-Nkontwana J</w:t>
      </w:r>
    </w:p>
    <w:p w14:paraId="09ED1E67" w14:textId="77777777" w:rsidR="001D77FB" w:rsidRPr="00067C82" w:rsidRDefault="001D77FB" w:rsidP="00C7198B">
      <w:pPr>
        <w:widowControl w:val="0"/>
        <w:kinsoku w:val="0"/>
        <w:overflowPunct w:val="0"/>
        <w:autoSpaceDE w:val="0"/>
        <w:autoSpaceDN w:val="0"/>
        <w:adjustRightInd w:val="0"/>
        <w:spacing w:after="0" w:line="360" w:lineRule="auto"/>
        <w:rPr>
          <w:rFonts w:ascii="Arial" w:eastAsia="Times New Roman" w:hAnsi="Arial" w:cs="Arial"/>
          <w:kern w:val="0"/>
          <w:sz w:val="24"/>
          <w:szCs w:val="24"/>
          <w:lang w:eastAsia="en-ZA"/>
          <w14:ligatures w14:val="none"/>
        </w:rPr>
      </w:pPr>
    </w:p>
    <w:p w14:paraId="190823EC" w14:textId="52016828" w:rsidR="001D77FB" w:rsidRPr="00067C82" w:rsidRDefault="001D77FB" w:rsidP="00C7198B">
      <w:pPr>
        <w:widowControl w:val="0"/>
        <w:kinsoku w:val="0"/>
        <w:overflowPunct w:val="0"/>
        <w:autoSpaceDE w:val="0"/>
        <w:autoSpaceDN w:val="0"/>
        <w:adjustRightInd w:val="0"/>
        <w:spacing w:after="0" w:line="360" w:lineRule="auto"/>
        <w:rPr>
          <w:rFonts w:ascii="Arial" w:eastAsia="Times New Roman" w:hAnsi="Arial" w:cs="Arial"/>
          <w:i/>
          <w:iCs/>
          <w:kern w:val="0"/>
          <w:sz w:val="24"/>
          <w:szCs w:val="24"/>
          <w:lang w:eastAsia="en-ZA"/>
          <w14:ligatures w14:val="none"/>
        </w:rPr>
      </w:pPr>
      <w:r w:rsidRPr="00067C82">
        <w:rPr>
          <w:rFonts w:ascii="Arial" w:eastAsia="Times New Roman" w:hAnsi="Arial" w:cs="Arial"/>
          <w:i/>
          <w:iCs/>
          <w:kern w:val="0"/>
          <w:sz w:val="24"/>
          <w:szCs w:val="24"/>
          <w:lang w:eastAsia="en-ZA"/>
          <w14:ligatures w14:val="none"/>
        </w:rPr>
        <w:t>Introduction</w:t>
      </w:r>
    </w:p>
    <w:p w14:paraId="03866FAB" w14:textId="77777777" w:rsidR="00C7198B" w:rsidRPr="00067C82" w:rsidRDefault="00C7198B" w:rsidP="00C7198B">
      <w:pPr>
        <w:spacing w:after="0" w:line="240" w:lineRule="auto"/>
        <w:rPr>
          <w:rFonts w:ascii="Arial" w:eastAsia="Calibri" w:hAnsi="Arial" w:cs="Arial"/>
          <w:kern w:val="0"/>
          <w:sz w:val="24"/>
          <w:szCs w:val="24"/>
          <w:lang w:val="en-GB"/>
          <w14:ligatures w14:val="none"/>
        </w:rPr>
      </w:pPr>
    </w:p>
    <w:p w14:paraId="74874B77" w14:textId="03326244" w:rsidR="00CB485E" w:rsidRPr="00067C82" w:rsidRDefault="00D94E71" w:rsidP="00D94E71">
      <w:pPr>
        <w:pStyle w:val="JudgmentNumbered"/>
        <w:numPr>
          <w:ilvl w:val="0"/>
          <w:numId w:val="0"/>
        </w:numPr>
        <w:ind w:left="567" w:hanging="567"/>
        <w:rPr>
          <w:lang w:val="en-ZA"/>
        </w:rPr>
      </w:pPr>
      <w:r w:rsidRPr="00067C82">
        <w:rPr>
          <w:lang w:val="en-ZA"/>
        </w:rPr>
        <w:t>[1]</w:t>
      </w:r>
      <w:r w:rsidRPr="00067C82">
        <w:rPr>
          <w:lang w:val="en-ZA"/>
        </w:rPr>
        <w:tab/>
      </w:r>
      <w:r w:rsidR="00CB485E" w:rsidRPr="00067C82">
        <w:t xml:space="preserve">The parties are married in community of property since 16 July 2005, a marriage that was covenanted in Johannesburg. </w:t>
      </w:r>
      <w:r w:rsidR="00A07190" w:rsidRPr="00067C82">
        <w:t xml:space="preserve"> </w:t>
      </w:r>
      <w:r w:rsidR="00CB1A38" w:rsidRPr="00067C82">
        <w:rPr>
          <w:lang w:val="en-ZA"/>
        </w:rPr>
        <w:t>The respondent vacated the matrimonial home in June 2011.</w:t>
      </w:r>
      <w:r w:rsidR="00A07190" w:rsidRPr="00067C82">
        <w:rPr>
          <w:lang w:val="en-ZA"/>
        </w:rPr>
        <w:t xml:space="preserve"> </w:t>
      </w:r>
      <w:r w:rsidR="00CB1A38" w:rsidRPr="00067C82">
        <w:rPr>
          <w:lang w:val="en-ZA"/>
        </w:rPr>
        <w:t xml:space="preserve"> </w:t>
      </w:r>
      <w:r w:rsidR="00CB485E" w:rsidRPr="00067C82">
        <w:t xml:space="preserve">On 24 January 2023, the applicant instituted a divorce action </w:t>
      </w:r>
      <w:r w:rsidR="00CB485E" w:rsidRPr="00067C82">
        <w:lastRenderedPageBreak/>
        <w:t>against the respondent</w:t>
      </w:r>
      <w:r w:rsidR="00E37E9B" w:rsidRPr="00067C82">
        <w:rPr>
          <w:lang w:val="en-ZA"/>
        </w:rPr>
        <w:t xml:space="preserve">. </w:t>
      </w:r>
      <w:r w:rsidR="00A07190" w:rsidRPr="00067C82">
        <w:rPr>
          <w:lang w:val="en-ZA"/>
        </w:rPr>
        <w:t xml:space="preserve"> </w:t>
      </w:r>
      <w:r w:rsidR="00CB485E" w:rsidRPr="00067C82">
        <w:rPr>
          <w:lang w:val="en-ZA"/>
        </w:rPr>
        <w:t xml:space="preserve">In these proceedings, the applicant </w:t>
      </w:r>
      <w:r w:rsidR="00CB485E" w:rsidRPr="00067C82">
        <w:t>seeks maintenance of the parties’ children pendente</w:t>
      </w:r>
      <w:r w:rsidR="00CB485E" w:rsidRPr="00067C82">
        <w:rPr>
          <w:i/>
          <w:iCs/>
        </w:rPr>
        <w:t xml:space="preserve"> lite</w:t>
      </w:r>
      <w:r w:rsidR="00437B41">
        <w:t xml:space="preserve"> in </w:t>
      </w:r>
      <w:r w:rsidR="007E73D2" w:rsidRPr="007E73D2">
        <w:rPr>
          <w:lang w:val="en-ZA"/>
        </w:rPr>
        <w:t>terms of Rule 43 of the Uniform Rules</w:t>
      </w:r>
      <w:r w:rsidR="007E73D2" w:rsidRPr="007E73D2">
        <w:rPr>
          <w:vertAlign w:val="superscript"/>
          <w:lang w:val="en-ZA"/>
        </w:rPr>
        <w:footnoteReference w:id="1"/>
      </w:r>
      <w:r w:rsidR="007E73D2" w:rsidRPr="007E73D2">
        <w:rPr>
          <w:lang w:val="en-ZA"/>
        </w:rPr>
        <w:t>.    </w:t>
      </w:r>
    </w:p>
    <w:p w14:paraId="477B3B29" w14:textId="1B05AD09" w:rsidR="001D77FB" w:rsidRPr="00067C82" w:rsidRDefault="001D77FB" w:rsidP="001D77FB">
      <w:pPr>
        <w:pStyle w:val="JudgmentNumbered"/>
        <w:numPr>
          <w:ilvl w:val="0"/>
          <w:numId w:val="0"/>
        </w:numPr>
        <w:rPr>
          <w:i/>
          <w:iCs/>
          <w:lang w:val="en-ZA"/>
        </w:rPr>
      </w:pPr>
      <w:r w:rsidRPr="00067C82">
        <w:rPr>
          <w:i/>
          <w:iCs/>
        </w:rPr>
        <w:t>Background</w:t>
      </w:r>
    </w:p>
    <w:p w14:paraId="36DE9978" w14:textId="12C3F8F4" w:rsidR="00E37E9B" w:rsidRPr="00067C82" w:rsidRDefault="00D94E71" w:rsidP="00D94E71">
      <w:pPr>
        <w:pStyle w:val="JudgmentNumbered"/>
        <w:numPr>
          <w:ilvl w:val="0"/>
          <w:numId w:val="0"/>
        </w:numPr>
        <w:ind w:left="567" w:hanging="567"/>
      </w:pPr>
      <w:r w:rsidRPr="00067C82">
        <w:t>[2]</w:t>
      </w:r>
      <w:r w:rsidRPr="00067C82">
        <w:tab/>
      </w:r>
      <w:r w:rsidR="00E37E9B" w:rsidRPr="00067C82">
        <w:t xml:space="preserve">There are </w:t>
      </w:r>
      <w:r w:rsidR="00CB485E" w:rsidRPr="00067C82">
        <w:t>three children born of the marriage between the parties</w:t>
      </w:r>
      <w:r w:rsidR="00E37E9B" w:rsidRPr="00067C82">
        <w:t>:</w:t>
      </w:r>
    </w:p>
    <w:p w14:paraId="46AC361C" w14:textId="5002B419" w:rsidR="00E37E9B" w:rsidRPr="00067C82" w:rsidRDefault="00D94E71" w:rsidP="00D94E71">
      <w:pPr>
        <w:pStyle w:val="JudgmentNumbered"/>
        <w:numPr>
          <w:ilvl w:val="0"/>
          <w:numId w:val="0"/>
        </w:numPr>
        <w:ind w:left="1985" w:hanging="567"/>
      </w:pPr>
      <w:r w:rsidRPr="00067C82">
        <w:t>2.1</w:t>
      </w:r>
      <w:r w:rsidRPr="00067C82">
        <w:tab/>
      </w:r>
      <w:r w:rsidR="00E37E9B" w:rsidRPr="00067C82">
        <w:t xml:space="preserve"> P</w:t>
      </w:r>
      <w:r w:rsidR="003F504F" w:rsidRPr="00067C82">
        <w:t>M</w:t>
      </w:r>
      <w:r w:rsidR="00E37E9B" w:rsidRPr="00067C82">
        <w:t xml:space="preserve">, a dependent major </w:t>
      </w:r>
      <w:r w:rsidR="001D2049" w:rsidRPr="00067C82">
        <w:t xml:space="preserve">male </w:t>
      </w:r>
      <w:r w:rsidR="00E37E9B" w:rsidRPr="00067C82">
        <w:t>child who is currently 20 years old;</w:t>
      </w:r>
    </w:p>
    <w:p w14:paraId="618A7D2B" w14:textId="57E38F71" w:rsidR="00E37E9B" w:rsidRPr="00067C82" w:rsidRDefault="00D94E71" w:rsidP="00D94E71">
      <w:pPr>
        <w:pStyle w:val="JudgmentNumbered"/>
        <w:numPr>
          <w:ilvl w:val="0"/>
          <w:numId w:val="0"/>
        </w:numPr>
        <w:ind w:left="1985" w:hanging="567"/>
      </w:pPr>
      <w:r w:rsidRPr="00067C82">
        <w:t>2.2</w:t>
      </w:r>
      <w:r w:rsidRPr="00067C82">
        <w:tab/>
      </w:r>
      <w:r w:rsidR="00CB485E" w:rsidRPr="00067C82">
        <w:t>K</w:t>
      </w:r>
      <w:r w:rsidR="007E7C9D" w:rsidRPr="00067C82">
        <w:t xml:space="preserve">M, </w:t>
      </w:r>
      <w:r w:rsidR="00CB485E" w:rsidRPr="00067C82">
        <w:t>a minor</w:t>
      </w:r>
      <w:r w:rsidR="00E37E9B" w:rsidRPr="00067C82">
        <w:t xml:space="preserve"> </w:t>
      </w:r>
      <w:r w:rsidR="001D2049" w:rsidRPr="00067C82">
        <w:t xml:space="preserve">male </w:t>
      </w:r>
      <w:r w:rsidR="00E37E9B" w:rsidRPr="00067C82">
        <w:t xml:space="preserve">child </w:t>
      </w:r>
      <w:r w:rsidR="00CB485E" w:rsidRPr="00067C82">
        <w:t xml:space="preserve">who is currently 16 years old; </w:t>
      </w:r>
      <w:r w:rsidR="00E37E9B" w:rsidRPr="00067C82">
        <w:t>and</w:t>
      </w:r>
    </w:p>
    <w:p w14:paraId="0A99A756" w14:textId="4E6D730D" w:rsidR="00CB485E" w:rsidRPr="00067C82" w:rsidRDefault="00D94E71" w:rsidP="00D94E71">
      <w:pPr>
        <w:pStyle w:val="JudgmentNumbered"/>
        <w:numPr>
          <w:ilvl w:val="0"/>
          <w:numId w:val="0"/>
        </w:numPr>
        <w:ind w:left="1985" w:hanging="567"/>
      </w:pPr>
      <w:r w:rsidRPr="00067C82">
        <w:t>2.3</w:t>
      </w:r>
      <w:r w:rsidRPr="00067C82">
        <w:tab/>
      </w:r>
      <w:r w:rsidR="00752848" w:rsidRPr="00067C82">
        <w:t>LM,</w:t>
      </w:r>
      <w:r w:rsidR="00CB485E" w:rsidRPr="00067C82">
        <w:t xml:space="preserve"> a </w:t>
      </w:r>
      <w:r w:rsidR="00E37E9B" w:rsidRPr="00067C82">
        <w:t xml:space="preserve">minor </w:t>
      </w:r>
      <w:r w:rsidR="001D2049" w:rsidRPr="00067C82">
        <w:t xml:space="preserve">male </w:t>
      </w:r>
      <w:r w:rsidR="00E37E9B" w:rsidRPr="00067C82">
        <w:t xml:space="preserve">child </w:t>
      </w:r>
      <w:r w:rsidR="00CB485E" w:rsidRPr="00067C82">
        <w:t>who is currently 13 years old.</w:t>
      </w:r>
    </w:p>
    <w:p w14:paraId="370B148D" w14:textId="25051117" w:rsidR="00811D05" w:rsidRPr="00067C82" w:rsidRDefault="00D94E71" w:rsidP="00D94E71">
      <w:pPr>
        <w:pStyle w:val="JudgmentNumbered"/>
        <w:numPr>
          <w:ilvl w:val="0"/>
          <w:numId w:val="0"/>
        </w:numPr>
        <w:ind w:left="567" w:hanging="567"/>
      </w:pPr>
      <w:r w:rsidRPr="00067C82">
        <w:t>[3]</w:t>
      </w:r>
      <w:r w:rsidRPr="00067C82">
        <w:tab/>
      </w:r>
      <w:r w:rsidR="00E37E9B" w:rsidRPr="00067C82">
        <w:t xml:space="preserve">The three children </w:t>
      </w:r>
      <w:r w:rsidR="00732D94" w:rsidRPr="00732D94">
        <w:rPr>
          <w:lang w:val="en-ZA"/>
        </w:rPr>
        <w:t>primarily</w:t>
      </w:r>
      <w:r w:rsidR="00732D94">
        <w:rPr>
          <w:lang w:val="en-ZA"/>
        </w:rPr>
        <w:t xml:space="preserve"> </w:t>
      </w:r>
      <w:r w:rsidR="00E37E9B" w:rsidRPr="00067C82">
        <w:t>reside with the applicant</w:t>
      </w:r>
      <w:r w:rsidR="00811D05" w:rsidRPr="00067C82">
        <w:t xml:space="preserve">. The </w:t>
      </w:r>
      <w:r w:rsidR="00E37E9B" w:rsidRPr="00067C82">
        <w:t>respondent pays the monthly rental in respect of the applicant and children's accommodation in the amount of R14</w:t>
      </w:r>
      <w:r w:rsidR="00A07190" w:rsidRPr="00067C82">
        <w:t> </w:t>
      </w:r>
      <w:r w:rsidR="00E37E9B" w:rsidRPr="00067C82">
        <w:t>500</w:t>
      </w:r>
      <w:r w:rsidR="00A07190" w:rsidRPr="00067C82">
        <w:t>.00</w:t>
      </w:r>
      <w:r w:rsidR="00E37E9B" w:rsidRPr="00067C82">
        <w:t xml:space="preserve"> per month</w:t>
      </w:r>
      <w:r w:rsidR="00811D05" w:rsidRPr="00067C82">
        <w:t>. He is also making payment towards the minor children’s school fees</w:t>
      </w:r>
      <w:r w:rsidR="00A145A1">
        <w:t xml:space="preserve"> in the amount </w:t>
      </w:r>
      <w:r w:rsidR="00570797">
        <w:t xml:space="preserve">of </w:t>
      </w:r>
      <w:r w:rsidR="00DD2DFC" w:rsidRPr="00DD2DFC">
        <w:t>R 8 600.00 per month</w:t>
      </w:r>
      <w:r w:rsidR="007E73D2">
        <w:t>.</w:t>
      </w:r>
    </w:p>
    <w:p w14:paraId="3A63F018" w14:textId="7776D638" w:rsidR="00C01DA0" w:rsidRPr="00C01DA0" w:rsidRDefault="00D94E71" w:rsidP="00D94E71">
      <w:pPr>
        <w:pStyle w:val="JudgmentNumbered"/>
        <w:numPr>
          <w:ilvl w:val="0"/>
          <w:numId w:val="0"/>
        </w:numPr>
        <w:ind w:left="567" w:hanging="567"/>
      </w:pPr>
      <w:r w:rsidRPr="00C01DA0">
        <w:t>[4]</w:t>
      </w:r>
      <w:r w:rsidRPr="00C01DA0">
        <w:tab/>
      </w:r>
      <w:r w:rsidR="00811D05" w:rsidRPr="00067C82">
        <w:t xml:space="preserve">The applicant contends that the </w:t>
      </w:r>
      <w:r w:rsidR="00E37E9B" w:rsidRPr="00067C82">
        <w:t xml:space="preserve">respondent </w:t>
      </w:r>
      <w:r w:rsidR="00811D05" w:rsidRPr="00067C82">
        <w:t xml:space="preserve">had reneged on his </w:t>
      </w:r>
      <w:r w:rsidR="00E37E9B" w:rsidRPr="00067C82">
        <w:t>undert</w:t>
      </w:r>
      <w:r w:rsidR="00811D05" w:rsidRPr="00067C82">
        <w:t xml:space="preserve">aking </w:t>
      </w:r>
      <w:r w:rsidR="00E37E9B" w:rsidRPr="00067C82">
        <w:t>to pay R7000</w:t>
      </w:r>
      <w:r w:rsidR="001D2049" w:rsidRPr="00067C82">
        <w:t>.00</w:t>
      </w:r>
      <w:r w:rsidR="00E37E9B" w:rsidRPr="00067C82">
        <w:t xml:space="preserve"> per month towards the children's maintenance</w:t>
      </w:r>
      <w:r w:rsidR="00811D05" w:rsidRPr="00067C82">
        <w:t xml:space="preserve">. </w:t>
      </w:r>
      <w:r w:rsidR="001D2049" w:rsidRPr="00067C82">
        <w:t xml:space="preserve"> </w:t>
      </w:r>
      <w:r w:rsidR="00811D05" w:rsidRPr="00067C82">
        <w:t xml:space="preserve">The last </w:t>
      </w:r>
      <w:r w:rsidR="00E37E9B" w:rsidRPr="00067C82">
        <w:t>payment</w:t>
      </w:r>
      <w:r w:rsidR="00811D05" w:rsidRPr="00067C82">
        <w:t xml:space="preserve"> he made towards maintenance</w:t>
      </w:r>
      <w:r w:rsidR="001D2049" w:rsidRPr="00067C82">
        <w:t xml:space="preserve"> was</w:t>
      </w:r>
      <w:r w:rsidR="00811D05" w:rsidRPr="00067C82">
        <w:t xml:space="preserve"> in May 2022 </w:t>
      </w:r>
      <w:r w:rsidR="00E37E9B" w:rsidRPr="00067C82">
        <w:t>in the amount of R3500</w:t>
      </w:r>
      <w:r w:rsidR="001D2049" w:rsidRPr="00067C82">
        <w:t>.00</w:t>
      </w:r>
      <w:r w:rsidR="00811D05" w:rsidRPr="00067C82">
        <w:t xml:space="preserve">. </w:t>
      </w:r>
      <w:r w:rsidR="001D2049" w:rsidRPr="00067C82">
        <w:t xml:space="preserve"> </w:t>
      </w:r>
      <w:r w:rsidR="00E7584A" w:rsidRPr="00067C82">
        <w:t>Hence in these proceedings</w:t>
      </w:r>
      <w:r w:rsidR="001D2049" w:rsidRPr="00067C82">
        <w:t>,</w:t>
      </w:r>
      <w:r w:rsidR="00E7584A" w:rsidRPr="00067C82">
        <w:t xml:space="preserve"> she is seeking a maintenance contribution of R7000.00 per month</w:t>
      </w:r>
      <w:r w:rsidR="00166EEF">
        <w:t xml:space="preserve">. </w:t>
      </w:r>
    </w:p>
    <w:p w14:paraId="7C2ABF77" w14:textId="0020700A" w:rsidR="005656C8" w:rsidRPr="005656C8" w:rsidRDefault="00D94E71" w:rsidP="00D94E71">
      <w:pPr>
        <w:pStyle w:val="JudgmentNumbered"/>
        <w:numPr>
          <w:ilvl w:val="0"/>
          <w:numId w:val="0"/>
        </w:numPr>
        <w:ind w:left="567" w:hanging="567"/>
      </w:pPr>
      <w:r w:rsidRPr="005656C8">
        <w:t>[5]</w:t>
      </w:r>
      <w:r w:rsidRPr="005656C8">
        <w:tab/>
      </w:r>
      <w:r w:rsidR="00D2403C" w:rsidRPr="00067C82">
        <w:t xml:space="preserve">The applicant earns </w:t>
      </w:r>
      <w:r w:rsidR="00F04015" w:rsidRPr="00512AEF">
        <w:t xml:space="preserve">R 17 999.15 </w:t>
      </w:r>
      <w:r w:rsidR="006E0B59">
        <w:t xml:space="preserve">net income </w:t>
      </w:r>
      <w:r w:rsidR="00D2403C" w:rsidRPr="00067C82">
        <w:t xml:space="preserve">per month. </w:t>
      </w:r>
      <w:r w:rsidR="000A49F5">
        <w:t xml:space="preserve">She has to resort to loans in order to </w:t>
      </w:r>
      <w:r w:rsidR="008D0A43">
        <w:t>make end</w:t>
      </w:r>
      <w:r w:rsidR="00683022">
        <w:t>s</w:t>
      </w:r>
      <w:r w:rsidR="008D0A43">
        <w:t xml:space="preserve"> </w:t>
      </w:r>
      <w:r w:rsidR="000A49F5">
        <w:t>mee</w:t>
      </w:r>
      <w:r w:rsidR="0067762D">
        <w:t xml:space="preserve">t every month. </w:t>
      </w:r>
      <w:r w:rsidR="00332963">
        <w:t xml:space="preserve">The maintenance contribution  by the respondent </w:t>
      </w:r>
      <w:r w:rsidR="00166EEF" w:rsidRPr="00C01DA0">
        <w:t xml:space="preserve">would cover expenses in relation </w:t>
      </w:r>
      <w:r w:rsidR="00886BD9">
        <w:t xml:space="preserve">basic needs like </w:t>
      </w:r>
      <w:r w:rsidR="00166EEF" w:rsidRPr="00C01DA0">
        <w:t xml:space="preserve">to water and electricity, groceries, toiletries, clothing </w:t>
      </w:r>
      <w:r w:rsidR="00886BD9">
        <w:t xml:space="preserve">and related </w:t>
      </w:r>
      <w:r w:rsidR="00EE5751">
        <w:t xml:space="preserve">expenses </w:t>
      </w:r>
      <w:r w:rsidR="00166EEF" w:rsidRPr="00C01DA0">
        <w:t>and the children</w:t>
      </w:r>
      <w:r w:rsidR="0054155F">
        <w:t xml:space="preserve">. She is also </w:t>
      </w:r>
      <w:r w:rsidR="00F15DFB">
        <w:t>seeking</w:t>
      </w:r>
      <w:r w:rsidR="0054155F">
        <w:t xml:space="preserve"> </w:t>
      </w:r>
      <w:r w:rsidR="00F15DFB">
        <w:t xml:space="preserve">that </w:t>
      </w:r>
      <w:r w:rsidR="00074FDA">
        <w:t xml:space="preserve">the respondent </w:t>
      </w:r>
      <w:r w:rsidR="00F15DFB">
        <w:t>contributes 50</w:t>
      </w:r>
      <w:r w:rsidR="00521212">
        <w:t>%</w:t>
      </w:r>
      <w:r w:rsidR="00820636">
        <w:t xml:space="preserve"> </w:t>
      </w:r>
      <w:r w:rsidR="008B5209">
        <w:t xml:space="preserve">of the </w:t>
      </w:r>
      <w:r w:rsidR="00094982">
        <w:t>monthly</w:t>
      </w:r>
      <w:r w:rsidR="008B5209">
        <w:t xml:space="preserve"> </w:t>
      </w:r>
      <w:r w:rsidR="00094982">
        <w:t xml:space="preserve">medical aid </w:t>
      </w:r>
      <w:r w:rsidR="008B5209">
        <w:t xml:space="preserve">costs </w:t>
      </w:r>
      <w:r w:rsidR="00556802">
        <w:t xml:space="preserve">for </w:t>
      </w:r>
      <w:r w:rsidR="00F15DFB">
        <w:t>the children</w:t>
      </w:r>
      <w:r w:rsidR="00EA1652">
        <w:t xml:space="preserve"> </w:t>
      </w:r>
      <w:r w:rsidR="00A20DBB">
        <w:t xml:space="preserve">who are </w:t>
      </w:r>
      <w:r w:rsidR="00820636">
        <w:t xml:space="preserve">currently </w:t>
      </w:r>
      <w:r w:rsidR="008854E1">
        <w:t xml:space="preserve">covered by </w:t>
      </w:r>
      <w:r w:rsidR="00A20DBB">
        <w:t xml:space="preserve">the applicant’s </w:t>
      </w:r>
      <w:r w:rsidR="00F15DFB">
        <w:t>the medical aid</w:t>
      </w:r>
      <w:r w:rsidR="001A2090">
        <w:t xml:space="preserve">. </w:t>
      </w:r>
      <w:r w:rsidR="00F15DFB">
        <w:t xml:space="preserve"> </w:t>
      </w:r>
    </w:p>
    <w:p w14:paraId="1FD9917D" w14:textId="35079D0B" w:rsidR="00E37E9B" w:rsidRPr="00067C82" w:rsidRDefault="00D94E71" w:rsidP="00D94E71">
      <w:pPr>
        <w:pStyle w:val="JudgmentNumbered"/>
        <w:numPr>
          <w:ilvl w:val="0"/>
          <w:numId w:val="0"/>
        </w:numPr>
        <w:ind w:left="567" w:hanging="567"/>
      </w:pPr>
      <w:r w:rsidRPr="00067C82">
        <w:lastRenderedPageBreak/>
        <w:t>[6]</w:t>
      </w:r>
      <w:r w:rsidRPr="00067C82">
        <w:tab/>
      </w:r>
      <w:r w:rsidR="005656C8" w:rsidRPr="005656C8">
        <w:rPr>
          <w:lang w:val="en-ZA"/>
        </w:rPr>
        <w:t>The applicant contends that he earns more than what he has disclosed in his Financial Disclosure Form (FDF) as he is the sole member of his close corporation. As such, he is in a position to afford the maintenance required.</w:t>
      </w:r>
    </w:p>
    <w:p w14:paraId="59638D59" w14:textId="45D5C587" w:rsidR="00DC087D" w:rsidRPr="00067C82" w:rsidRDefault="00D94E71" w:rsidP="00D94E71">
      <w:pPr>
        <w:pStyle w:val="JudgmentNumbered"/>
        <w:numPr>
          <w:ilvl w:val="0"/>
          <w:numId w:val="0"/>
        </w:numPr>
        <w:ind w:left="567" w:hanging="567"/>
      </w:pPr>
      <w:r w:rsidRPr="00067C82">
        <w:t>[7]</w:t>
      </w:r>
      <w:r w:rsidRPr="00067C82">
        <w:tab/>
      </w:r>
      <w:r w:rsidR="0038559B">
        <w:t xml:space="preserve">The </w:t>
      </w:r>
      <w:r w:rsidR="00CB1A38" w:rsidRPr="00067C82">
        <w:t xml:space="preserve">respondent </w:t>
      </w:r>
      <w:r w:rsidR="00811D05" w:rsidRPr="00067C82">
        <w:t xml:space="preserve">is a business man and a sole member of </w:t>
      </w:r>
      <w:r w:rsidR="00CB1A38" w:rsidRPr="00067C82">
        <w:t>his</w:t>
      </w:r>
      <w:r w:rsidR="00811D05" w:rsidRPr="00067C82">
        <w:t xml:space="preserve"> close corporation. </w:t>
      </w:r>
      <w:r w:rsidR="00735AB9" w:rsidRPr="00067C82">
        <w:t xml:space="preserve"> </w:t>
      </w:r>
      <w:r w:rsidR="00811D05" w:rsidRPr="00067C82">
        <w:t>He avers that he earns about R40</w:t>
      </w:r>
      <w:r w:rsidR="00735AB9" w:rsidRPr="00067C82">
        <w:t> </w:t>
      </w:r>
      <w:r w:rsidR="00811D05" w:rsidRPr="00067C82">
        <w:t>500.00</w:t>
      </w:r>
      <w:r w:rsidR="00732D94">
        <w:t xml:space="preserve"> per month</w:t>
      </w:r>
      <w:r w:rsidR="00811D05" w:rsidRPr="00067C82">
        <w:t>.</w:t>
      </w:r>
      <w:r w:rsidR="00735AB9" w:rsidRPr="00067C82">
        <w:t xml:space="preserve"> </w:t>
      </w:r>
      <w:r w:rsidR="005656C8">
        <w:t>He</w:t>
      </w:r>
      <w:r w:rsidR="00CB1A38" w:rsidRPr="00067C82">
        <w:t xml:space="preserve"> </w:t>
      </w:r>
      <w:r w:rsidR="00E7584A" w:rsidRPr="00067C82">
        <w:t xml:space="preserve">is opposing the application and, </w:t>
      </w:r>
      <w:r w:rsidR="00E7584A" w:rsidRPr="005656C8">
        <w:rPr>
          <w:i/>
          <w:iCs/>
        </w:rPr>
        <w:t>in limine</w:t>
      </w:r>
      <w:r w:rsidR="00E7584A" w:rsidRPr="00067C82">
        <w:t xml:space="preserve">, takes issue with the applicant’s </w:t>
      </w:r>
      <w:r w:rsidR="00E7584A" w:rsidRPr="005656C8">
        <w:rPr>
          <w:i/>
          <w:iCs/>
        </w:rPr>
        <w:t>locus standi</w:t>
      </w:r>
      <w:r w:rsidR="00E7584A" w:rsidRPr="00067C82">
        <w:t xml:space="preserve"> to seek maintenance o</w:t>
      </w:r>
      <w:r w:rsidR="00735AB9" w:rsidRPr="00067C82">
        <w:t>n</w:t>
      </w:r>
      <w:r w:rsidR="00E7584A" w:rsidRPr="00067C82">
        <w:t xml:space="preserve"> behalf </w:t>
      </w:r>
      <w:r w:rsidR="00735AB9" w:rsidRPr="00067C82">
        <w:t>of</w:t>
      </w:r>
      <w:r w:rsidR="00E7584A" w:rsidRPr="00067C82">
        <w:t xml:space="preserve"> </w:t>
      </w:r>
      <w:r w:rsidR="00735AB9" w:rsidRPr="00067C82">
        <w:t>PM</w:t>
      </w:r>
      <w:r w:rsidR="00E7584A" w:rsidRPr="00067C82">
        <w:t xml:space="preserve">. </w:t>
      </w:r>
      <w:r w:rsidR="00735AB9" w:rsidRPr="00067C82">
        <w:t xml:space="preserve"> </w:t>
      </w:r>
      <w:r w:rsidR="00E7584A" w:rsidRPr="00067C82">
        <w:t>He contends that P</w:t>
      </w:r>
      <w:r w:rsidR="00752848" w:rsidRPr="00067C82">
        <w:t xml:space="preserve">M </w:t>
      </w:r>
      <w:r w:rsidR="00E511BF" w:rsidRPr="00067C82">
        <w:t>can institute his own action for maintenance as a major child.</w:t>
      </w:r>
    </w:p>
    <w:p w14:paraId="3C96F981" w14:textId="5EF70709" w:rsidR="00DC087D" w:rsidRPr="00067C82" w:rsidRDefault="00D94E71" w:rsidP="00D94E71">
      <w:pPr>
        <w:pStyle w:val="JudgmentNumbered"/>
        <w:numPr>
          <w:ilvl w:val="0"/>
          <w:numId w:val="0"/>
        </w:numPr>
        <w:ind w:left="567" w:hanging="567"/>
      </w:pPr>
      <w:r w:rsidRPr="00067C82">
        <w:t>[8]</w:t>
      </w:r>
      <w:r w:rsidRPr="00067C82">
        <w:tab/>
      </w:r>
      <w:r w:rsidR="00963D9C" w:rsidRPr="00067C82">
        <w:t>On the merits, the respondent is pleading poverty.</w:t>
      </w:r>
      <w:r w:rsidR="00735AB9" w:rsidRPr="00067C82">
        <w:t xml:space="preserve"> </w:t>
      </w:r>
      <w:r w:rsidR="00963D9C" w:rsidRPr="00067C82">
        <w:t xml:space="preserve">He contends that </w:t>
      </w:r>
      <w:r w:rsidR="005C17C1" w:rsidRPr="00067C82">
        <w:t xml:space="preserve">his </w:t>
      </w:r>
      <w:r w:rsidR="00963D9C" w:rsidRPr="00067C82">
        <w:t xml:space="preserve">business was negatively impacted by </w:t>
      </w:r>
      <w:r w:rsidR="00735AB9" w:rsidRPr="00067C82">
        <w:t xml:space="preserve">the </w:t>
      </w:r>
      <w:r w:rsidR="005C17C1" w:rsidRPr="00067C82">
        <w:t>Covid-19 pandemic.</w:t>
      </w:r>
      <w:r w:rsidR="00732D94">
        <w:t xml:space="preserve"> </w:t>
      </w:r>
      <w:r w:rsidR="005C17C1" w:rsidRPr="00067C82">
        <w:t>Consequently, he had to downsize his business operations and he is currently</w:t>
      </w:r>
      <w:r w:rsidR="00963D9C" w:rsidRPr="00067C82">
        <w:t xml:space="preserve"> operating his business from his residential property</w:t>
      </w:r>
      <w:r w:rsidR="005C17C1" w:rsidRPr="00067C82">
        <w:t xml:space="preserve">. </w:t>
      </w:r>
      <w:r w:rsidR="00A13D68" w:rsidRPr="00067C82">
        <w:t xml:space="preserve"> </w:t>
      </w:r>
      <w:r w:rsidR="005C17C1" w:rsidRPr="00067C82">
        <w:t>His current</w:t>
      </w:r>
      <w:r w:rsidR="00963D9C" w:rsidRPr="00067C82">
        <w:t xml:space="preserve"> liabilities are standing at R13</w:t>
      </w:r>
      <w:r w:rsidR="00A13D68" w:rsidRPr="00067C82">
        <w:t> </w:t>
      </w:r>
      <w:r w:rsidR="00963D9C" w:rsidRPr="00067C82">
        <w:t>721</w:t>
      </w:r>
      <w:r w:rsidR="00A13D68" w:rsidRPr="00067C82">
        <w:t> </w:t>
      </w:r>
      <w:r w:rsidR="00963D9C" w:rsidRPr="00067C82">
        <w:t>724</w:t>
      </w:r>
      <w:r w:rsidR="00A13D68" w:rsidRPr="00067C82">
        <w:t>.00</w:t>
      </w:r>
      <w:r w:rsidR="005C17C1" w:rsidRPr="00067C82">
        <w:t xml:space="preserve"> with </w:t>
      </w:r>
      <w:r w:rsidR="00A13D68" w:rsidRPr="00067C82">
        <w:t xml:space="preserve">an </w:t>
      </w:r>
      <w:r w:rsidR="005C17C1" w:rsidRPr="00067C82">
        <w:t xml:space="preserve">income </w:t>
      </w:r>
      <w:r w:rsidR="00A13D68" w:rsidRPr="00067C82">
        <w:t xml:space="preserve">of </w:t>
      </w:r>
      <w:r w:rsidR="005C17C1" w:rsidRPr="00067C82">
        <w:t>R8</w:t>
      </w:r>
      <w:r w:rsidR="00A13D68" w:rsidRPr="00067C82">
        <w:t> </w:t>
      </w:r>
      <w:r w:rsidR="00963D9C" w:rsidRPr="00067C82">
        <w:t>951</w:t>
      </w:r>
      <w:r w:rsidR="00A13D68" w:rsidRPr="00067C82">
        <w:t> </w:t>
      </w:r>
      <w:r w:rsidR="00963D9C" w:rsidRPr="00067C82">
        <w:t>724.00</w:t>
      </w:r>
      <w:r w:rsidR="005C17C1" w:rsidRPr="00067C82">
        <w:t xml:space="preserve">. </w:t>
      </w:r>
      <w:r w:rsidR="00A13D68" w:rsidRPr="00067C82">
        <w:t xml:space="preserve"> H</w:t>
      </w:r>
      <w:r w:rsidR="005C17C1" w:rsidRPr="00067C82">
        <w:t xml:space="preserve">e </w:t>
      </w:r>
      <w:r w:rsidR="00A13D68" w:rsidRPr="00067C82">
        <w:t xml:space="preserve">also </w:t>
      </w:r>
      <w:r w:rsidR="005C17C1" w:rsidRPr="00067C82">
        <w:t xml:space="preserve">has </w:t>
      </w:r>
      <w:r w:rsidR="00963D9C" w:rsidRPr="00067C82">
        <w:t xml:space="preserve">four other children, </w:t>
      </w:r>
      <w:r w:rsidR="00A13D68" w:rsidRPr="00067C82">
        <w:t xml:space="preserve">excluding </w:t>
      </w:r>
      <w:r w:rsidR="00963D9C" w:rsidRPr="00067C82">
        <w:t xml:space="preserve">the </w:t>
      </w:r>
      <w:r w:rsidR="00A13D68" w:rsidRPr="00067C82">
        <w:t xml:space="preserve">children </w:t>
      </w:r>
      <w:r w:rsidR="00963D9C" w:rsidRPr="00067C82">
        <w:t>he ha</w:t>
      </w:r>
      <w:r w:rsidR="005C17C1" w:rsidRPr="00067C82">
        <w:t>s</w:t>
      </w:r>
      <w:r w:rsidR="00963D9C" w:rsidRPr="00067C82">
        <w:t xml:space="preserve"> with the </w:t>
      </w:r>
      <w:r w:rsidR="005C17C1" w:rsidRPr="00067C82">
        <w:t>a</w:t>
      </w:r>
      <w:r w:rsidR="00963D9C" w:rsidRPr="00067C82">
        <w:t>pplicant, that he is taking care</w:t>
      </w:r>
      <w:r w:rsidR="008A68C7" w:rsidRPr="00067C82">
        <w:t xml:space="preserve"> of</w:t>
      </w:r>
      <w:r w:rsidR="005C17C1" w:rsidRPr="00067C82">
        <w:t>.</w:t>
      </w:r>
    </w:p>
    <w:p w14:paraId="3D723973" w14:textId="72FC6B1A" w:rsidR="001D77FB" w:rsidRPr="00067C82" w:rsidRDefault="001D77FB" w:rsidP="001D77FB">
      <w:pPr>
        <w:pStyle w:val="JudgmentNumbered"/>
        <w:numPr>
          <w:ilvl w:val="0"/>
          <w:numId w:val="0"/>
        </w:numPr>
        <w:rPr>
          <w:i/>
          <w:iCs/>
        </w:rPr>
      </w:pPr>
      <w:r w:rsidRPr="00067C82">
        <w:rPr>
          <w:i/>
          <w:iCs/>
        </w:rPr>
        <w:t>Legal principles and analysis</w:t>
      </w:r>
    </w:p>
    <w:p w14:paraId="32E78DA9" w14:textId="29272D06" w:rsidR="001D77FB" w:rsidRPr="00067C82" w:rsidRDefault="00D94E71" w:rsidP="00D94E71">
      <w:pPr>
        <w:pStyle w:val="JudgmentNumbered"/>
        <w:numPr>
          <w:ilvl w:val="0"/>
          <w:numId w:val="0"/>
        </w:numPr>
        <w:ind w:left="567" w:hanging="567"/>
      </w:pPr>
      <w:r w:rsidRPr="00067C82">
        <w:t>[9]</w:t>
      </w:r>
      <w:r w:rsidRPr="00067C82">
        <w:tab/>
      </w:r>
      <w:r w:rsidR="001D77FB" w:rsidRPr="00067C82">
        <w:rPr>
          <w:lang w:val="en-ZA"/>
        </w:rPr>
        <w:t>In terms of Rule 43(2), a party seeking</w:t>
      </w:r>
      <w:r w:rsidR="008A68C7" w:rsidRPr="00067C82">
        <w:rPr>
          <w:lang w:val="en-ZA"/>
        </w:rPr>
        <w:t xml:space="preserve"> an</w:t>
      </w:r>
      <w:r w:rsidR="001D77FB" w:rsidRPr="00067C82">
        <w:rPr>
          <w:lang w:val="en-ZA"/>
        </w:rPr>
        <w:t xml:space="preserve"> interim relief in a matrimonial matter is required to do so on notice with a “</w:t>
      </w:r>
      <w:r w:rsidR="001D77FB" w:rsidRPr="00E06007">
        <w:rPr>
          <w:iCs/>
          <w:lang w:val="en-ZA"/>
        </w:rPr>
        <w:t>sworn statement in the nature of a declaration, setting out the relief claimed and the grounds therefor</w:t>
      </w:r>
      <w:r w:rsidR="00732D94">
        <w:rPr>
          <w:iCs/>
          <w:lang w:val="en-ZA"/>
        </w:rPr>
        <w:t>...</w:t>
      </w:r>
      <w:r w:rsidR="001D77FB" w:rsidRPr="00E06007">
        <w:rPr>
          <w:iCs/>
          <w:lang w:val="en-ZA"/>
        </w:rPr>
        <w:t>”</w:t>
      </w:r>
      <w:r w:rsidR="00DD3FD0" w:rsidRPr="00067C82">
        <w:rPr>
          <w:lang w:val="en-ZA"/>
        </w:rPr>
        <w:t xml:space="preserve">  </w:t>
      </w:r>
      <w:r w:rsidR="00732D94">
        <w:rPr>
          <w:lang w:val="en-ZA"/>
        </w:rPr>
        <w:t>While a</w:t>
      </w:r>
      <w:r w:rsidR="001D77FB" w:rsidRPr="00067C82">
        <w:rPr>
          <w:lang w:val="en-ZA"/>
        </w:rPr>
        <w:t xml:space="preserve"> respondent wishing to oppose the application is required by Rule 43(3) to deliver “</w:t>
      </w:r>
      <w:r w:rsidR="001D77FB" w:rsidRPr="00E06007">
        <w:rPr>
          <w:iCs/>
          <w:lang w:val="en-ZA"/>
        </w:rPr>
        <w:t>a sworn reply in the nature of a plea.”</w:t>
      </w:r>
    </w:p>
    <w:p w14:paraId="353AF890" w14:textId="13D9E4B2" w:rsidR="00901226" w:rsidRPr="00067C82" w:rsidRDefault="00D94E71" w:rsidP="00D94E71">
      <w:pPr>
        <w:pStyle w:val="JudgmentNumbered"/>
        <w:numPr>
          <w:ilvl w:val="0"/>
          <w:numId w:val="0"/>
        </w:numPr>
        <w:ind w:left="567" w:hanging="567"/>
      </w:pPr>
      <w:r w:rsidRPr="00067C82">
        <w:t>[10]</w:t>
      </w:r>
      <w:r w:rsidRPr="00067C82">
        <w:tab/>
      </w:r>
      <w:r w:rsidR="00FA48EE" w:rsidRPr="00067C82">
        <w:rPr>
          <w:lang w:val="en-ZA"/>
        </w:rPr>
        <w:t xml:space="preserve">It is trite that in Rule 43 applications, the court is called upon to intervene on </w:t>
      </w:r>
      <w:r w:rsidR="00067C82" w:rsidRPr="00067C82">
        <w:rPr>
          <w:lang w:val="en-ZA"/>
        </w:rPr>
        <w:t xml:space="preserve">an </w:t>
      </w:r>
      <w:r w:rsidR="00FA48EE" w:rsidRPr="00067C82">
        <w:rPr>
          <w:lang w:val="en-ZA"/>
        </w:rPr>
        <w:t>interlocutory basis and grant an interim relief</w:t>
      </w:r>
      <w:r w:rsidR="00F36407" w:rsidRPr="00067C82">
        <w:rPr>
          <w:lang w:val="en-ZA"/>
        </w:rPr>
        <w:t xml:space="preserve"> to mostly </w:t>
      </w:r>
      <w:r w:rsidR="008E7319" w:rsidRPr="00067C82">
        <w:rPr>
          <w:lang w:val="en-ZA"/>
        </w:rPr>
        <w:t xml:space="preserve">woman litigants and their minor children who may </w:t>
      </w:r>
      <w:r w:rsidR="00A87219" w:rsidRPr="00067C82">
        <w:rPr>
          <w:lang w:val="en-ZA"/>
        </w:rPr>
        <w:t>be penurious when</w:t>
      </w:r>
      <w:r w:rsidR="008E7319" w:rsidRPr="00067C82">
        <w:rPr>
          <w:lang w:val="en-ZA"/>
        </w:rPr>
        <w:t xml:space="preserve"> litigating against their spouse</w:t>
      </w:r>
      <w:r w:rsidR="00067C82" w:rsidRPr="00067C82">
        <w:rPr>
          <w:lang w:val="en-ZA"/>
        </w:rPr>
        <w:t>s</w:t>
      </w:r>
      <w:r w:rsidR="008E7319" w:rsidRPr="00067C82">
        <w:rPr>
          <w:lang w:val="en-ZA"/>
        </w:rPr>
        <w:t>, who were often in a stronger, financial position than themselves in divorce proceedings.</w:t>
      </w:r>
      <w:r w:rsidR="008E7319" w:rsidRPr="00E06007">
        <w:rPr>
          <w:rStyle w:val="FootnoteReference"/>
          <w:rFonts w:ascii="Arial" w:hAnsi="Arial"/>
          <w:lang w:val="en-ZA"/>
        </w:rPr>
        <w:footnoteReference w:id="2"/>
      </w:r>
    </w:p>
    <w:p w14:paraId="5D20DD66" w14:textId="427EC1B4" w:rsidR="001D77FB" w:rsidRPr="00067C82" w:rsidRDefault="00D94E71" w:rsidP="00D94E71">
      <w:pPr>
        <w:pStyle w:val="JudgmentNumbered"/>
        <w:numPr>
          <w:ilvl w:val="0"/>
          <w:numId w:val="0"/>
        </w:numPr>
        <w:ind w:left="567" w:hanging="567"/>
      </w:pPr>
      <w:r w:rsidRPr="00067C82">
        <w:t>[11]</w:t>
      </w:r>
      <w:r w:rsidRPr="00067C82">
        <w:tab/>
      </w:r>
      <w:r w:rsidR="00901226" w:rsidRPr="00067C82">
        <w:rPr>
          <w:lang w:val="en-US"/>
        </w:rPr>
        <w:t xml:space="preserve">The applicant’s eligibility to reasonable maintenance </w:t>
      </w:r>
      <w:r w:rsidR="00901226" w:rsidRPr="00067C82">
        <w:rPr>
          <w:i/>
          <w:iCs/>
          <w:lang w:val="en-US"/>
        </w:rPr>
        <w:t>pendente lite</w:t>
      </w:r>
      <w:r w:rsidR="00901226" w:rsidRPr="00067C82">
        <w:rPr>
          <w:lang w:val="en-US"/>
        </w:rPr>
        <w:t xml:space="preserve"> </w:t>
      </w:r>
      <w:r w:rsidR="00D6211F" w:rsidRPr="00067C82">
        <w:rPr>
          <w:lang w:val="en-US"/>
        </w:rPr>
        <w:t xml:space="preserve">is </w:t>
      </w:r>
      <w:r w:rsidR="00901226" w:rsidRPr="00067C82">
        <w:rPr>
          <w:lang w:val="en-US"/>
        </w:rPr>
        <w:t>dependent upon the marital standard of living of the parties</w:t>
      </w:r>
      <w:r w:rsidR="00A178C6">
        <w:rPr>
          <w:lang w:val="en-US"/>
        </w:rPr>
        <w:t>;</w:t>
      </w:r>
      <w:r w:rsidR="00901226" w:rsidRPr="00067C82">
        <w:rPr>
          <w:lang w:val="en-US"/>
        </w:rPr>
        <w:t xml:space="preserve"> her actual and reasonable requirements</w:t>
      </w:r>
      <w:r w:rsidR="00A178C6">
        <w:rPr>
          <w:lang w:val="en-US"/>
        </w:rPr>
        <w:t>;</w:t>
      </w:r>
      <w:r w:rsidR="00901226" w:rsidRPr="00067C82">
        <w:rPr>
          <w:lang w:val="en-US"/>
        </w:rPr>
        <w:t xml:space="preserve"> and the capacity of her husband to meet such requirements which </w:t>
      </w:r>
      <w:r w:rsidR="00901226" w:rsidRPr="00067C82">
        <w:rPr>
          <w:lang w:val="en-US"/>
        </w:rPr>
        <w:lastRenderedPageBreak/>
        <w:t>are normally met from income</w:t>
      </w:r>
      <w:r w:rsidR="00A178C6">
        <w:rPr>
          <w:lang w:val="en-US"/>
        </w:rPr>
        <w:t>,</w:t>
      </w:r>
      <w:r w:rsidR="00901226" w:rsidRPr="00067C82">
        <w:rPr>
          <w:lang w:val="en-US"/>
        </w:rPr>
        <w:t xml:space="preserve"> although in some circumstances inroads on capital may be justified.</w:t>
      </w:r>
      <w:r w:rsidR="00D6211F" w:rsidRPr="00E06007">
        <w:rPr>
          <w:rStyle w:val="FootnoteReference"/>
          <w:rFonts w:ascii="Arial" w:hAnsi="Arial"/>
          <w:lang w:val="en-US"/>
        </w:rPr>
        <w:footnoteReference w:id="3"/>
      </w:r>
    </w:p>
    <w:p w14:paraId="0B2C0A2E" w14:textId="570A557F" w:rsidR="009D61C4" w:rsidRDefault="00D94E71" w:rsidP="00D94E71">
      <w:pPr>
        <w:pStyle w:val="JudgmentNumbered"/>
        <w:numPr>
          <w:ilvl w:val="0"/>
          <w:numId w:val="0"/>
        </w:numPr>
        <w:ind w:left="567" w:hanging="567"/>
      </w:pPr>
      <w:r>
        <w:t>[12]</w:t>
      </w:r>
      <w:r>
        <w:tab/>
      </w:r>
      <w:r w:rsidR="001B1E10">
        <w:rPr>
          <w:lang w:val="en-AU"/>
        </w:rPr>
        <w:t xml:space="preserve">In </w:t>
      </w:r>
      <w:r w:rsidR="008A68C7" w:rsidRPr="00067C82">
        <w:rPr>
          <w:lang w:val="en-AU"/>
        </w:rPr>
        <w:t>the present case</w:t>
      </w:r>
      <w:r w:rsidR="00BB36B1" w:rsidRPr="00067C82">
        <w:rPr>
          <w:lang w:val="en-AU"/>
        </w:rPr>
        <w:t xml:space="preserve">, </w:t>
      </w:r>
      <w:r w:rsidR="00500208">
        <w:rPr>
          <w:lang w:val="en-AU"/>
        </w:rPr>
        <w:t xml:space="preserve">it is </w:t>
      </w:r>
      <w:r w:rsidR="0057253C">
        <w:rPr>
          <w:lang w:val="en-AU"/>
        </w:rPr>
        <w:t>conceded that</w:t>
      </w:r>
      <w:r w:rsidR="00BB36B1" w:rsidRPr="00067C82">
        <w:rPr>
          <w:lang w:val="en-AU"/>
        </w:rPr>
        <w:t xml:space="preserve"> the respondent is paying rental and school fees </w:t>
      </w:r>
      <w:r w:rsidR="00BF16EA" w:rsidRPr="00067C82">
        <w:rPr>
          <w:lang w:val="en-AU"/>
        </w:rPr>
        <w:t>f</w:t>
      </w:r>
      <w:r w:rsidR="00BB36B1" w:rsidRPr="00067C82">
        <w:rPr>
          <w:lang w:val="en-AU"/>
        </w:rPr>
        <w:t>or the minor children</w:t>
      </w:r>
      <w:r w:rsidR="00BF16EA" w:rsidRPr="00067C82">
        <w:rPr>
          <w:lang w:val="en-AU"/>
        </w:rPr>
        <w:t>. What he is being asked for is a contribution towards maintenance</w:t>
      </w:r>
      <w:r w:rsidR="009968EB">
        <w:rPr>
          <w:lang w:val="en-AU"/>
        </w:rPr>
        <w:t xml:space="preserve"> of the children as well</w:t>
      </w:r>
      <w:r w:rsidR="00BF16EA" w:rsidRPr="00067C82">
        <w:rPr>
          <w:lang w:val="en-AU"/>
        </w:rPr>
        <w:t>. The applicant’s modest income is not disputed</w:t>
      </w:r>
      <w:r w:rsidR="00A178C6">
        <w:rPr>
          <w:lang w:val="en-AU"/>
        </w:rPr>
        <w:t>,</w:t>
      </w:r>
      <w:r w:rsidR="00BF16EA" w:rsidRPr="00067C82">
        <w:rPr>
          <w:lang w:val="en-AU"/>
        </w:rPr>
        <w:t xml:space="preserve"> nor her expenses seriously challenged.</w:t>
      </w:r>
    </w:p>
    <w:p w14:paraId="2B6EBFB5" w14:textId="0711F5AB" w:rsidR="006318AE" w:rsidRPr="0093599F" w:rsidRDefault="00D94E71" w:rsidP="00D94E71">
      <w:pPr>
        <w:pStyle w:val="JudgmentNumbered"/>
        <w:numPr>
          <w:ilvl w:val="0"/>
          <w:numId w:val="0"/>
        </w:numPr>
        <w:ind w:left="567" w:hanging="567"/>
        <w:rPr>
          <w:lang w:val="en-AU"/>
        </w:rPr>
      </w:pPr>
      <w:r w:rsidRPr="0093599F">
        <w:rPr>
          <w:lang w:val="en-AU"/>
        </w:rPr>
        <w:t>[13]</w:t>
      </w:r>
      <w:r w:rsidRPr="0093599F">
        <w:rPr>
          <w:lang w:val="en-AU"/>
        </w:rPr>
        <w:tab/>
      </w:r>
      <w:r w:rsidR="00BE32DB" w:rsidRPr="009D61C4">
        <w:rPr>
          <w:lang w:val="en-AU"/>
        </w:rPr>
        <w:t xml:space="preserve">On the other hand, </w:t>
      </w:r>
      <w:r w:rsidR="003059DA" w:rsidRPr="009D61C4">
        <w:rPr>
          <w:lang w:val="en-AU"/>
        </w:rPr>
        <w:t xml:space="preserve">the </w:t>
      </w:r>
      <w:r w:rsidR="000D3003" w:rsidRPr="009D61C4">
        <w:rPr>
          <w:lang w:val="en-AU"/>
        </w:rPr>
        <w:t>respondent</w:t>
      </w:r>
      <w:r w:rsidR="0093599F" w:rsidRPr="009D61C4">
        <w:rPr>
          <w:lang w:val="en-AU"/>
        </w:rPr>
        <w:t xml:space="preserve"> seeks to be excused from fully providing for his children with the applicant but has failed to provide the necessary details about his income.</w:t>
      </w:r>
      <w:r w:rsidR="009D61C4">
        <w:rPr>
          <w:lang w:val="en-AU"/>
        </w:rPr>
        <w:t xml:space="preserve"> </w:t>
      </w:r>
      <w:r w:rsidR="0093599F" w:rsidRPr="009D61C4">
        <w:rPr>
          <w:lang w:val="en-AU"/>
        </w:rPr>
        <w:t>The bank statements attached to his FDF show that his Nebank business account is the main account he uses to transact</w:t>
      </w:r>
      <w:r w:rsidR="00BD180F" w:rsidRPr="009D61C4">
        <w:rPr>
          <w:lang w:val="en-AU"/>
        </w:rPr>
        <w:t xml:space="preserve"> despite his assertion that he earns an income</w:t>
      </w:r>
      <w:r w:rsidR="0093599F" w:rsidRPr="009D61C4">
        <w:rPr>
          <w:lang w:val="en-AU"/>
        </w:rPr>
        <w:t>.</w:t>
      </w:r>
      <w:r w:rsidR="006318AE" w:rsidRPr="006318AE">
        <w:rPr>
          <w:lang w:val="en-AU"/>
        </w:rPr>
        <w:t xml:space="preserve"> </w:t>
      </w:r>
      <w:r w:rsidR="006318AE" w:rsidRPr="0093599F">
        <w:rPr>
          <w:lang w:val="en-AU"/>
        </w:rPr>
        <w:t xml:space="preserve">That account always has a positive balance and enough funds to meet the maintenance contribution for his children with the applicant. </w:t>
      </w:r>
    </w:p>
    <w:p w14:paraId="2073E0C9" w14:textId="7FDAC705" w:rsidR="00775992" w:rsidRPr="00775992" w:rsidRDefault="00D94E71" w:rsidP="00D94E71">
      <w:pPr>
        <w:pStyle w:val="JudgmentNumbered"/>
        <w:numPr>
          <w:ilvl w:val="0"/>
          <w:numId w:val="0"/>
        </w:numPr>
        <w:ind w:left="567" w:hanging="567"/>
      </w:pPr>
      <w:r w:rsidRPr="00775992">
        <w:t>[14]</w:t>
      </w:r>
      <w:r w:rsidRPr="00775992">
        <w:tab/>
      </w:r>
      <w:r w:rsidR="00490591" w:rsidRPr="009D61C4">
        <w:rPr>
          <w:lang w:val="en-AU"/>
        </w:rPr>
        <w:t>I have noted also that his FNB private account statement has only one transaction of R20 000.00 that was transferred from his business account. That, therefore, begs a question — what informs his salary of R40 500.00?</w:t>
      </w:r>
      <w:r w:rsidR="00E3001E">
        <w:rPr>
          <w:lang w:val="en-AU"/>
        </w:rPr>
        <w:t xml:space="preserve"> </w:t>
      </w:r>
      <w:r w:rsidR="00F60552">
        <w:rPr>
          <w:lang w:val="en-AU"/>
        </w:rPr>
        <w:t>Especially</w:t>
      </w:r>
      <w:r w:rsidR="00A11C26">
        <w:rPr>
          <w:lang w:val="en-AU"/>
        </w:rPr>
        <w:t xml:space="preserve"> because</w:t>
      </w:r>
      <w:r w:rsidR="00DA2C09">
        <w:rPr>
          <w:lang w:val="en-ZA"/>
        </w:rPr>
        <w:t xml:space="preserve"> </w:t>
      </w:r>
      <w:r w:rsidR="00887E72">
        <w:rPr>
          <w:lang w:val="en-ZA"/>
        </w:rPr>
        <w:t>conspicuously absent</w:t>
      </w:r>
      <w:r w:rsidR="0071021A">
        <w:rPr>
          <w:lang w:val="en-ZA"/>
        </w:rPr>
        <w:t xml:space="preserve"> from the respondent’s FDF is</w:t>
      </w:r>
      <w:r w:rsidR="00F00004">
        <w:rPr>
          <w:lang w:val="en-ZA"/>
        </w:rPr>
        <w:t xml:space="preserve"> the</w:t>
      </w:r>
      <w:r w:rsidR="0071021A">
        <w:rPr>
          <w:lang w:val="en-ZA"/>
        </w:rPr>
        <w:t xml:space="preserve"> </w:t>
      </w:r>
      <w:r w:rsidR="0069381F" w:rsidRPr="009D61C4">
        <w:rPr>
          <w:lang w:val="en-ZA"/>
        </w:rPr>
        <w:t xml:space="preserve">information </w:t>
      </w:r>
      <w:r w:rsidR="009F5B05">
        <w:rPr>
          <w:lang w:val="en-ZA"/>
        </w:rPr>
        <w:t xml:space="preserve">pertaining to </w:t>
      </w:r>
      <w:r w:rsidR="0069381F" w:rsidRPr="009D61C4">
        <w:rPr>
          <w:lang w:val="en-ZA"/>
        </w:rPr>
        <w:t xml:space="preserve">the respondent’s personal income in a form of a </w:t>
      </w:r>
      <w:r w:rsidR="0069381F" w:rsidRPr="0069381F">
        <w:rPr>
          <w:lang w:val="en-ZA"/>
        </w:rPr>
        <w:t>payslip</w:t>
      </w:r>
      <w:r w:rsidR="0069381F" w:rsidRPr="009D61C4">
        <w:rPr>
          <w:lang w:val="en-ZA"/>
        </w:rPr>
        <w:t xml:space="preserve"> and/or personal income tax information (IRP5).</w:t>
      </w:r>
      <w:r w:rsidR="0069381F" w:rsidRPr="0069381F">
        <w:rPr>
          <w:vertAlign w:val="superscript"/>
          <w:lang w:val="en-ZA"/>
        </w:rPr>
        <w:footnoteReference w:id="4"/>
      </w:r>
      <w:r w:rsidR="005D1A93">
        <w:rPr>
          <w:lang w:val="en-ZA"/>
        </w:rPr>
        <w:t xml:space="preserve"> </w:t>
      </w:r>
    </w:p>
    <w:p w14:paraId="525D03CD" w14:textId="454EECAF" w:rsidR="004D7E4C" w:rsidRPr="0047557E" w:rsidRDefault="00D94E71" w:rsidP="00D94E71">
      <w:pPr>
        <w:pStyle w:val="JudgmentNumbered"/>
        <w:numPr>
          <w:ilvl w:val="0"/>
          <w:numId w:val="0"/>
        </w:numPr>
        <w:ind w:left="567" w:hanging="567"/>
      </w:pPr>
      <w:r w:rsidRPr="0047557E">
        <w:t>[15]</w:t>
      </w:r>
      <w:r w:rsidRPr="0047557E">
        <w:tab/>
      </w:r>
      <w:r w:rsidR="00527804">
        <w:rPr>
          <w:lang w:val="en-ZA"/>
        </w:rPr>
        <w:t xml:space="preserve">Listed </w:t>
      </w:r>
      <w:r w:rsidR="00147283">
        <w:rPr>
          <w:lang w:val="en-ZA"/>
        </w:rPr>
        <w:t xml:space="preserve">also in the </w:t>
      </w:r>
      <w:r w:rsidR="00527804" w:rsidRPr="00527804">
        <w:rPr>
          <w:lang w:val="en-ZA"/>
        </w:rPr>
        <w:t xml:space="preserve">respondent’s FDF </w:t>
      </w:r>
      <w:r w:rsidR="00147283">
        <w:rPr>
          <w:lang w:val="en-ZA"/>
        </w:rPr>
        <w:t xml:space="preserve">is a </w:t>
      </w:r>
      <w:r w:rsidR="00982CAC">
        <w:rPr>
          <w:lang w:val="en-ZA"/>
        </w:rPr>
        <w:t xml:space="preserve">Range Rover </w:t>
      </w:r>
      <w:r w:rsidR="00EB19AF">
        <w:rPr>
          <w:lang w:val="en-ZA"/>
        </w:rPr>
        <w:t>and</w:t>
      </w:r>
      <w:r w:rsidR="00714A2B">
        <w:rPr>
          <w:lang w:val="en-ZA"/>
        </w:rPr>
        <w:t xml:space="preserve"> </w:t>
      </w:r>
      <w:r w:rsidR="00EB19AF">
        <w:rPr>
          <w:lang w:val="en-ZA"/>
        </w:rPr>
        <w:t>M3 B</w:t>
      </w:r>
      <w:r w:rsidR="00714A2B">
        <w:rPr>
          <w:lang w:val="en-ZA"/>
        </w:rPr>
        <w:t xml:space="preserve">MW </w:t>
      </w:r>
      <w:r w:rsidR="00982CAC">
        <w:rPr>
          <w:lang w:val="en-ZA"/>
        </w:rPr>
        <w:t>motor vehicle</w:t>
      </w:r>
      <w:r w:rsidR="00EB19AF">
        <w:rPr>
          <w:lang w:val="en-ZA"/>
        </w:rPr>
        <w:t>s</w:t>
      </w:r>
      <w:r w:rsidR="00147283">
        <w:rPr>
          <w:lang w:val="en-ZA"/>
        </w:rPr>
        <w:t xml:space="preserve">; and two </w:t>
      </w:r>
      <w:r w:rsidR="00147283" w:rsidRPr="00CA14D7">
        <w:rPr>
          <w:lang w:val="en-ZA"/>
        </w:rPr>
        <w:t>Harley-Davidson</w:t>
      </w:r>
      <w:r w:rsidR="00147283">
        <w:rPr>
          <w:lang w:val="en-ZA"/>
        </w:rPr>
        <w:t xml:space="preserve"> motor bikes</w:t>
      </w:r>
      <w:r w:rsidR="007B4E89">
        <w:rPr>
          <w:lang w:val="en-ZA"/>
        </w:rPr>
        <w:t xml:space="preserve">. The respondent contends that the vehicles </w:t>
      </w:r>
      <w:r w:rsidR="00982CAC">
        <w:rPr>
          <w:lang w:val="en-ZA"/>
        </w:rPr>
        <w:t>belong</w:t>
      </w:r>
      <w:r w:rsidR="006D021C">
        <w:rPr>
          <w:lang w:val="en-ZA"/>
        </w:rPr>
        <w:t xml:space="preserve"> </w:t>
      </w:r>
      <w:r w:rsidR="00982CAC">
        <w:rPr>
          <w:lang w:val="en-ZA"/>
        </w:rPr>
        <w:t>to the close corporation</w:t>
      </w:r>
      <w:r w:rsidR="00631594">
        <w:rPr>
          <w:lang w:val="en-ZA"/>
        </w:rPr>
        <w:t>.</w:t>
      </w:r>
      <w:r w:rsidR="00926345">
        <w:rPr>
          <w:lang w:val="en-ZA"/>
        </w:rPr>
        <w:t xml:space="preserve"> T</w:t>
      </w:r>
      <w:r w:rsidR="00631594">
        <w:rPr>
          <w:lang w:val="en-ZA"/>
        </w:rPr>
        <w:t xml:space="preserve">his contention is </w:t>
      </w:r>
      <w:r w:rsidR="00926345">
        <w:rPr>
          <w:lang w:val="en-ZA"/>
        </w:rPr>
        <w:t>flawed</w:t>
      </w:r>
      <w:r w:rsidR="001D08D2">
        <w:rPr>
          <w:lang w:val="en-ZA"/>
        </w:rPr>
        <w:t xml:space="preserve"> given </w:t>
      </w:r>
      <w:r w:rsidR="00E4075E">
        <w:rPr>
          <w:lang w:val="en-ZA"/>
        </w:rPr>
        <w:t>my</w:t>
      </w:r>
      <w:r w:rsidR="001D08D2">
        <w:rPr>
          <w:lang w:val="en-ZA"/>
        </w:rPr>
        <w:t xml:space="preserve"> observation that</w:t>
      </w:r>
      <w:r w:rsidR="006E3098">
        <w:rPr>
          <w:lang w:val="en-ZA"/>
        </w:rPr>
        <w:t xml:space="preserve"> the affairs of the close corporation </w:t>
      </w:r>
      <w:r w:rsidR="00112D6A">
        <w:rPr>
          <w:lang w:val="en-ZA"/>
        </w:rPr>
        <w:t xml:space="preserve">are obviously </w:t>
      </w:r>
      <w:r w:rsidR="006E3098">
        <w:rPr>
          <w:lang w:val="en-ZA"/>
        </w:rPr>
        <w:t xml:space="preserve">intermingled with his </w:t>
      </w:r>
      <w:r w:rsidR="0016691F">
        <w:rPr>
          <w:lang w:val="en-ZA"/>
        </w:rPr>
        <w:t>private affairs.</w:t>
      </w:r>
      <w:r w:rsidR="003405B8">
        <w:rPr>
          <w:lang w:val="en-ZA"/>
        </w:rPr>
        <w:t xml:space="preserve"> </w:t>
      </w:r>
      <w:r w:rsidR="00D267BE" w:rsidRPr="003405B8">
        <w:rPr>
          <w:lang w:val="en-ZA"/>
        </w:rPr>
        <w:t xml:space="preserve">In my view, </w:t>
      </w:r>
      <w:r w:rsidR="00E4075E" w:rsidRPr="003405B8">
        <w:rPr>
          <w:lang w:val="en-ZA"/>
        </w:rPr>
        <w:t xml:space="preserve">the </w:t>
      </w:r>
      <w:r w:rsidR="00D267BE" w:rsidRPr="003405B8">
        <w:rPr>
          <w:lang w:val="en-ZA"/>
        </w:rPr>
        <w:t>respondent</w:t>
      </w:r>
      <w:r w:rsidR="003405B8">
        <w:rPr>
          <w:lang w:val="en-ZA"/>
        </w:rPr>
        <w:t xml:space="preserve"> </w:t>
      </w:r>
      <w:r w:rsidR="00CC1513">
        <w:rPr>
          <w:lang w:val="en-ZA"/>
        </w:rPr>
        <w:t>cannot</w:t>
      </w:r>
      <w:r w:rsidR="00257D57" w:rsidRPr="003405B8">
        <w:rPr>
          <w:lang w:val="en-ZA"/>
        </w:rPr>
        <w:t xml:space="preserve"> accuse the applicant of refusing to downgrade her standard of living when he, on the other </w:t>
      </w:r>
      <w:r w:rsidR="00415F0B" w:rsidRPr="003405B8">
        <w:rPr>
          <w:lang w:val="en-ZA"/>
        </w:rPr>
        <w:t xml:space="preserve">hand, </w:t>
      </w:r>
      <w:r w:rsidR="00257D57" w:rsidRPr="003405B8">
        <w:rPr>
          <w:lang w:val="en-ZA"/>
        </w:rPr>
        <w:t xml:space="preserve">is </w:t>
      </w:r>
      <w:r w:rsidR="0099192B" w:rsidRPr="003405B8">
        <w:rPr>
          <w:lang w:val="en-ZA"/>
        </w:rPr>
        <w:t xml:space="preserve">living </w:t>
      </w:r>
      <w:r w:rsidR="00415F0B" w:rsidRPr="003405B8">
        <w:rPr>
          <w:lang w:val="en-ZA"/>
        </w:rPr>
        <w:t>large</w:t>
      </w:r>
      <w:r w:rsidR="0099192B" w:rsidRPr="003405B8">
        <w:rPr>
          <w:lang w:val="en-ZA"/>
        </w:rPr>
        <w:t xml:space="preserve">. </w:t>
      </w:r>
    </w:p>
    <w:p w14:paraId="4039DBB9" w14:textId="29DAADEB" w:rsidR="0047557E" w:rsidRDefault="00D94E71" w:rsidP="00D94E71">
      <w:pPr>
        <w:pStyle w:val="JudgmentNumbered"/>
        <w:numPr>
          <w:ilvl w:val="0"/>
          <w:numId w:val="0"/>
        </w:numPr>
        <w:ind w:left="567" w:hanging="567"/>
      </w:pPr>
      <w:r>
        <w:t>[16]</w:t>
      </w:r>
      <w:r>
        <w:tab/>
      </w:r>
      <w:r w:rsidR="0047557E" w:rsidRPr="0047557E">
        <w:t>The respondent</w:t>
      </w:r>
      <w:r w:rsidR="00CE7C37">
        <w:t xml:space="preserve"> tells this court that he has other children </w:t>
      </w:r>
      <w:r w:rsidR="00735C42">
        <w:t xml:space="preserve">he is proving for </w:t>
      </w:r>
      <w:r w:rsidR="00810298">
        <w:t xml:space="preserve">and </w:t>
      </w:r>
      <w:r w:rsidR="0047557E" w:rsidRPr="0047557E">
        <w:t xml:space="preserve">chronicles the </w:t>
      </w:r>
      <w:r w:rsidR="00810298" w:rsidRPr="0047557E">
        <w:t xml:space="preserve">expenses </w:t>
      </w:r>
      <w:r w:rsidR="00810298">
        <w:t xml:space="preserve">as </w:t>
      </w:r>
      <w:r w:rsidR="0047557E" w:rsidRPr="0047557E">
        <w:t>follow</w:t>
      </w:r>
      <w:r w:rsidR="00810298">
        <w:t xml:space="preserve">s, I suppose </w:t>
      </w:r>
      <w:r w:rsidR="0047557E" w:rsidRPr="0047557E">
        <w:t xml:space="preserve">in respect </w:t>
      </w:r>
      <w:r w:rsidR="00810298">
        <w:t xml:space="preserve">all </w:t>
      </w:r>
      <w:r w:rsidR="0047557E" w:rsidRPr="0047557E">
        <w:t>of his children:</w:t>
      </w:r>
    </w:p>
    <w:p w14:paraId="0E624BA1" w14:textId="24ABA158" w:rsidR="00833176" w:rsidRDefault="00833176" w:rsidP="00833176">
      <w:pPr>
        <w:pStyle w:val="JudgmentNumbered"/>
        <w:numPr>
          <w:ilvl w:val="0"/>
          <w:numId w:val="0"/>
        </w:numPr>
        <w:ind w:left="567"/>
      </w:pPr>
      <w:r w:rsidRPr="00833176">
        <w:rPr>
          <w:noProof/>
          <w:lang w:val="en-ZA" w:eastAsia="en-ZA"/>
        </w:rPr>
        <w:lastRenderedPageBreak/>
        <w:drawing>
          <wp:inline distT="0" distB="0" distL="0" distR="0" wp14:anchorId="3B3B08FF" wp14:editId="70CECFAF">
            <wp:extent cx="5732145" cy="2976880"/>
            <wp:effectExtent l="0" t="0" r="0" b="0"/>
            <wp:docPr id="1593463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2145" cy="2976880"/>
                    </a:xfrm>
                    <a:prstGeom prst="rect">
                      <a:avLst/>
                    </a:prstGeom>
                    <a:noFill/>
                    <a:ln>
                      <a:noFill/>
                    </a:ln>
                  </pic:spPr>
                </pic:pic>
              </a:graphicData>
            </a:graphic>
          </wp:inline>
        </w:drawing>
      </w:r>
    </w:p>
    <w:p w14:paraId="7A357B7F" w14:textId="3DE8DFB3" w:rsidR="00B867A4" w:rsidRPr="00067C82" w:rsidRDefault="00D94E71" w:rsidP="00D94E71">
      <w:pPr>
        <w:pStyle w:val="JudgmentNumbered"/>
        <w:numPr>
          <w:ilvl w:val="0"/>
          <w:numId w:val="0"/>
        </w:numPr>
        <w:ind w:left="567" w:hanging="567"/>
      </w:pPr>
      <w:r w:rsidRPr="00067C82">
        <w:t>[17]</w:t>
      </w:r>
      <w:r w:rsidRPr="00067C82">
        <w:tab/>
      </w:r>
      <w:r w:rsidR="00156D8D" w:rsidRPr="00067C82">
        <w:t>What is</w:t>
      </w:r>
      <w:r w:rsidR="00C840E9">
        <w:t xml:space="preserve"> curious </w:t>
      </w:r>
      <w:r w:rsidR="00156D8D" w:rsidRPr="00067C82">
        <w:t xml:space="preserve">from the above </w:t>
      </w:r>
      <w:r w:rsidR="00BF16EA" w:rsidRPr="00067C82">
        <w:t>schedule</w:t>
      </w:r>
      <w:r w:rsidR="006E3549">
        <w:t xml:space="preserve"> </w:t>
      </w:r>
      <w:r w:rsidR="00156D8D" w:rsidRPr="00067C82">
        <w:t xml:space="preserve">is that </w:t>
      </w:r>
      <w:r w:rsidR="007C4487">
        <w:t xml:space="preserve">a </w:t>
      </w:r>
      <w:r w:rsidR="00CF6483">
        <w:t>paltry</w:t>
      </w:r>
      <w:r w:rsidR="00DD1F50">
        <w:t xml:space="preserve"> </w:t>
      </w:r>
      <w:r w:rsidR="00661A78">
        <w:t>amount</w:t>
      </w:r>
      <w:r w:rsidR="00096844">
        <w:t xml:space="preserve"> is expended towards the </w:t>
      </w:r>
      <w:r w:rsidR="00156D8D" w:rsidRPr="00067C82">
        <w:t>to the applicant’s children</w:t>
      </w:r>
      <w:r w:rsidR="00DE300D">
        <w:t xml:space="preserve"> in </w:t>
      </w:r>
      <w:r w:rsidR="00156D8D" w:rsidRPr="00067C82">
        <w:t>rental</w:t>
      </w:r>
      <w:r w:rsidR="00F45CD9">
        <w:t xml:space="preserve"> and</w:t>
      </w:r>
      <w:r w:rsidR="00156D8D" w:rsidRPr="00067C82">
        <w:t xml:space="preserve"> </w:t>
      </w:r>
      <w:r w:rsidR="00DE300D">
        <w:t xml:space="preserve">educational </w:t>
      </w:r>
      <w:r w:rsidR="00576FDC">
        <w:t>expenses</w:t>
      </w:r>
      <w:r w:rsidR="00985C4F">
        <w:t xml:space="preserve"> (</w:t>
      </w:r>
      <w:r w:rsidR="00E3765B">
        <w:t xml:space="preserve">including </w:t>
      </w:r>
      <w:r w:rsidR="00156D8D" w:rsidRPr="00067C82">
        <w:t>school fees</w:t>
      </w:r>
      <w:r w:rsidR="00E3765B">
        <w:t>)</w:t>
      </w:r>
      <w:r w:rsidR="00332297">
        <w:t xml:space="preserve">. Yet, </w:t>
      </w:r>
      <w:r w:rsidR="00B867A4" w:rsidRPr="00067C82">
        <w:t>despite pleading poverty, the respondent seemly expend</w:t>
      </w:r>
      <w:r w:rsidR="00F45CD9">
        <w:t>s an</w:t>
      </w:r>
      <w:r w:rsidR="00B867A4" w:rsidRPr="00067C82">
        <w:t xml:space="preserve"> amount of </w:t>
      </w:r>
      <w:r w:rsidR="00156D8D" w:rsidRPr="00067C82">
        <w:t>R10 000.00 in pocket money</w:t>
      </w:r>
      <w:r w:rsidR="00F45CD9">
        <w:t xml:space="preserve"> and </w:t>
      </w:r>
      <w:r w:rsidR="00156D8D" w:rsidRPr="00067C82">
        <w:t>R8</w:t>
      </w:r>
      <w:r w:rsidR="00F45CD9">
        <w:t> </w:t>
      </w:r>
      <w:r w:rsidR="00156D8D" w:rsidRPr="00067C82">
        <w:t>000.00</w:t>
      </w:r>
      <w:r w:rsidR="00B867A4" w:rsidRPr="00067C82">
        <w:t xml:space="preserve"> in groceries in respect of his other children</w:t>
      </w:r>
      <w:r w:rsidR="00156D8D" w:rsidRPr="00067C82">
        <w:t xml:space="preserve"> without affording the same level of provision </w:t>
      </w:r>
      <w:r w:rsidR="00BF16EA" w:rsidRPr="00067C82">
        <w:t xml:space="preserve">to </w:t>
      </w:r>
      <w:r w:rsidR="00156D8D" w:rsidRPr="00067C82">
        <w:t>his children with the applicant.</w:t>
      </w:r>
    </w:p>
    <w:p w14:paraId="352FDF29" w14:textId="2E95A508" w:rsidR="00CC426F" w:rsidRPr="00067C82" w:rsidRDefault="00D94E71" w:rsidP="00D94E71">
      <w:pPr>
        <w:pStyle w:val="JudgmentNumbered"/>
        <w:numPr>
          <w:ilvl w:val="0"/>
          <w:numId w:val="0"/>
        </w:numPr>
        <w:ind w:left="567" w:hanging="567"/>
      </w:pPr>
      <w:r w:rsidRPr="00067C82">
        <w:t>[18]</w:t>
      </w:r>
      <w:r w:rsidRPr="00067C82">
        <w:tab/>
      </w:r>
      <w:r w:rsidR="004C7037" w:rsidRPr="00067C82">
        <w:t>In my view, this is a typical case where</w:t>
      </w:r>
      <w:r w:rsidR="003C1406">
        <w:t>,</w:t>
      </w:r>
      <w:r w:rsidR="004C7037" w:rsidRPr="00067C82">
        <w:t xml:space="preserve"> because </w:t>
      </w:r>
      <w:r w:rsidR="003C1406">
        <w:t xml:space="preserve">of </w:t>
      </w:r>
      <w:r w:rsidR="004C7037" w:rsidRPr="00067C82">
        <w:t>the respondent’s failure to make</w:t>
      </w:r>
      <w:r w:rsidR="00CC426F" w:rsidRPr="00067C82">
        <w:rPr>
          <w:lang w:val="en-ZA"/>
        </w:rPr>
        <w:t xml:space="preserve"> a full and frank disclosure </w:t>
      </w:r>
      <w:r w:rsidR="004C7037" w:rsidRPr="00067C82">
        <w:rPr>
          <w:lang w:val="en-ZA"/>
        </w:rPr>
        <w:t xml:space="preserve">of his </w:t>
      </w:r>
      <w:r w:rsidR="005D1150">
        <w:rPr>
          <w:lang w:val="en-ZA"/>
        </w:rPr>
        <w:t>financial affairs</w:t>
      </w:r>
      <w:r w:rsidR="004C7037" w:rsidRPr="00067C82">
        <w:rPr>
          <w:lang w:val="en-ZA"/>
        </w:rPr>
        <w:t xml:space="preserve">, the </w:t>
      </w:r>
      <w:r w:rsidR="00CC426F" w:rsidRPr="00067C82">
        <w:rPr>
          <w:lang w:val="en-ZA"/>
        </w:rPr>
        <w:t>apportionment of the burden of child support</w:t>
      </w:r>
      <w:r w:rsidR="004C7037" w:rsidRPr="00067C82">
        <w:rPr>
          <w:lang w:val="en-ZA"/>
        </w:rPr>
        <w:t xml:space="preserve"> is obviously skewed. </w:t>
      </w:r>
      <w:r w:rsidR="003C1406">
        <w:rPr>
          <w:lang w:val="en-ZA"/>
        </w:rPr>
        <w:t xml:space="preserve"> </w:t>
      </w:r>
      <w:r w:rsidR="004C7037" w:rsidRPr="00067C82">
        <w:rPr>
          <w:lang w:val="en-ZA"/>
        </w:rPr>
        <w:t>The effect is that the applicant has had to resort to loan</w:t>
      </w:r>
      <w:r w:rsidR="003C1406">
        <w:rPr>
          <w:lang w:val="en-ZA"/>
        </w:rPr>
        <w:t>s</w:t>
      </w:r>
      <w:r w:rsidR="004C7037" w:rsidRPr="00067C82">
        <w:rPr>
          <w:lang w:val="en-ZA"/>
        </w:rPr>
        <w:t xml:space="preserve"> in order </w:t>
      </w:r>
      <w:r w:rsidR="00462DE3" w:rsidRPr="00067C82">
        <w:rPr>
          <w:lang w:val="en-ZA"/>
        </w:rPr>
        <w:t>to support</w:t>
      </w:r>
      <w:r w:rsidR="00CC426F" w:rsidRPr="00067C82">
        <w:rPr>
          <w:lang w:val="en-ZA"/>
        </w:rPr>
        <w:t xml:space="preserve"> herself</w:t>
      </w:r>
      <w:r w:rsidR="004C7037" w:rsidRPr="00067C82">
        <w:rPr>
          <w:lang w:val="en-ZA"/>
        </w:rPr>
        <w:t xml:space="preserve"> and the </w:t>
      </w:r>
      <w:r w:rsidR="00462DE3" w:rsidRPr="00067C82">
        <w:rPr>
          <w:lang w:val="en-ZA"/>
        </w:rPr>
        <w:t>children while</w:t>
      </w:r>
      <w:r w:rsidR="00CC426F" w:rsidRPr="00067C82">
        <w:rPr>
          <w:lang w:val="en-ZA"/>
        </w:rPr>
        <w:t xml:space="preserve"> the </w:t>
      </w:r>
      <w:r w:rsidR="004C7037" w:rsidRPr="00067C82">
        <w:rPr>
          <w:lang w:val="en-ZA"/>
        </w:rPr>
        <w:t>respondent’s</w:t>
      </w:r>
      <w:r w:rsidR="00CC426F" w:rsidRPr="00067C82">
        <w:rPr>
          <w:lang w:val="en-ZA"/>
        </w:rPr>
        <w:t xml:space="preserve"> burden is </w:t>
      </w:r>
      <w:r w:rsidR="00462DE3" w:rsidRPr="00067C82">
        <w:rPr>
          <w:lang w:val="en-ZA"/>
        </w:rPr>
        <w:t>congruently</w:t>
      </w:r>
      <w:r w:rsidR="00CC426F" w:rsidRPr="00067C82">
        <w:rPr>
          <w:lang w:val="en-ZA"/>
        </w:rPr>
        <w:t xml:space="preserve"> </w:t>
      </w:r>
      <w:r w:rsidR="00462DE3" w:rsidRPr="00067C82">
        <w:rPr>
          <w:lang w:val="en-ZA"/>
        </w:rPr>
        <w:t xml:space="preserve">eased and in turn </w:t>
      </w:r>
      <w:r w:rsidR="00CC426F" w:rsidRPr="00067C82">
        <w:rPr>
          <w:lang w:val="en-ZA"/>
        </w:rPr>
        <w:t xml:space="preserve">unfairly </w:t>
      </w:r>
      <w:r w:rsidR="00462DE3" w:rsidRPr="00067C82">
        <w:rPr>
          <w:lang w:val="en-ZA"/>
        </w:rPr>
        <w:t>shielded at the expense of the applicant</w:t>
      </w:r>
      <w:r w:rsidR="00CC426F" w:rsidRPr="00067C82">
        <w:rPr>
          <w:lang w:val="en-ZA"/>
        </w:rPr>
        <w:t>.</w:t>
      </w:r>
      <w:r w:rsidR="004C7037" w:rsidRPr="00E06007">
        <w:rPr>
          <w:rStyle w:val="FootnoteReference"/>
          <w:rFonts w:ascii="Arial" w:hAnsi="Arial"/>
          <w:lang w:val="en-ZA"/>
        </w:rPr>
        <w:footnoteReference w:id="5"/>
      </w:r>
    </w:p>
    <w:p w14:paraId="5D8D4F3D" w14:textId="268DF250" w:rsidR="000514FB" w:rsidRPr="00833C65" w:rsidRDefault="00D94E71" w:rsidP="00D94E71">
      <w:pPr>
        <w:pStyle w:val="JudgmentNumbered"/>
        <w:numPr>
          <w:ilvl w:val="0"/>
          <w:numId w:val="0"/>
        </w:numPr>
        <w:ind w:left="567" w:hanging="567"/>
        <w:rPr>
          <w:lang w:val="en-ZA"/>
        </w:rPr>
      </w:pPr>
      <w:r w:rsidRPr="00833C65">
        <w:rPr>
          <w:lang w:val="en-ZA"/>
        </w:rPr>
        <w:t>[19]</w:t>
      </w:r>
      <w:r w:rsidRPr="00833C65">
        <w:rPr>
          <w:lang w:val="en-ZA"/>
        </w:rPr>
        <w:tab/>
      </w:r>
      <w:r w:rsidR="00F05DE9" w:rsidRPr="00067C82">
        <w:t xml:space="preserve">It cannot be overemphasised that in </w:t>
      </w:r>
      <w:r w:rsidR="00F00C5A" w:rsidRPr="00067C82">
        <w:t xml:space="preserve">every matter concerning </w:t>
      </w:r>
      <w:r w:rsidR="00921CAE">
        <w:t xml:space="preserve">minor </w:t>
      </w:r>
      <w:r w:rsidR="00F05DE9" w:rsidRPr="00067C82">
        <w:t>children</w:t>
      </w:r>
      <w:r w:rsidR="00825B36">
        <w:t xml:space="preserve"> invokes </w:t>
      </w:r>
      <w:r w:rsidR="003F1A51">
        <w:t xml:space="preserve">the </w:t>
      </w:r>
      <w:r w:rsidR="00F00C5A" w:rsidRPr="00067C82">
        <w:t>constitutional imperative</w:t>
      </w:r>
      <w:r w:rsidR="003C78A1">
        <w:t xml:space="preserve">s </w:t>
      </w:r>
      <w:r w:rsidR="00C34A34">
        <w:t>regarding</w:t>
      </w:r>
      <w:r w:rsidR="003C78A1">
        <w:t xml:space="preserve"> the</w:t>
      </w:r>
      <w:r w:rsidR="00423A6D">
        <w:t>ir</w:t>
      </w:r>
      <w:r w:rsidR="003C78A1">
        <w:t xml:space="preserve"> </w:t>
      </w:r>
      <w:r w:rsidR="00F00C5A" w:rsidRPr="00067C82">
        <w:t xml:space="preserve">best </w:t>
      </w:r>
      <w:r w:rsidR="00F05DE9" w:rsidRPr="00067C82">
        <w:t>interests</w:t>
      </w:r>
      <w:r w:rsidR="009274DF">
        <w:t xml:space="preserve">, </w:t>
      </w:r>
      <w:r w:rsidR="00F00C5A" w:rsidRPr="00067C82">
        <w:t xml:space="preserve">including a right to parental care. </w:t>
      </w:r>
      <w:r w:rsidR="00CA1C3A" w:rsidRPr="00CA1C3A">
        <w:t xml:space="preserve">The </w:t>
      </w:r>
      <w:r w:rsidR="00C262B0">
        <w:t>applicant requires</w:t>
      </w:r>
      <w:r w:rsidR="003E3DDD">
        <w:t xml:space="preserve"> a contribution towards the </w:t>
      </w:r>
      <w:r w:rsidR="00CA1C3A" w:rsidRPr="00CA1C3A">
        <w:t xml:space="preserve">daily </w:t>
      </w:r>
      <w:r w:rsidR="003E3DDD" w:rsidRPr="00CA1C3A">
        <w:t>requirements</w:t>
      </w:r>
      <w:r w:rsidR="00CA1C3A" w:rsidRPr="00CA1C3A">
        <w:t xml:space="preserve"> </w:t>
      </w:r>
      <w:r w:rsidR="009A151F">
        <w:t xml:space="preserve">which clearly </w:t>
      </w:r>
      <w:r w:rsidR="00CA1C3A" w:rsidRPr="00CA1C3A">
        <w:t>implicate the constitutional rights of the minor children.</w:t>
      </w:r>
      <w:r w:rsidR="00CA1C3A" w:rsidRPr="00CA1C3A">
        <w:rPr>
          <w:vertAlign w:val="superscript"/>
        </w:rPr>
        <w:footnoteReference w:id="6"/>
      </w:r>
      <w:r w:rsidR="00CA1C3A" w:rsidRPr="00CA1C3A">
        <w:t xml:space="preserve"> </w:t>
      </w:r>
      <w:r w:rsidR="00F00C5A" w:rsidRPr="00833C65">
        <w:rPr>
          <w:lang w:val="en-ZA"/>
        </w:rPr>
        <w:t>Accordingly</w:t>
      </w:r>
      <w:r w:rsidR="00F00036" w:rsidRPr="00833C65">
        <w:rPr>
          <w:lang w:val="en-ZA"/>
        </w:rPr>
        <w:t>,</w:t>
      </w:r>
      <w:r w:rsidR="000514FB" w:rsidRPr="00833C65">
        <w:rPr>
          <w:lang w:val="en-ZA"/>
        </w:rPr>
        <w:t xml:space="preserve"> the respondent should contribute </w:t>
      </w:r>
      <w:r w:rsidR="00F00C5A" w:rsidRPr="00833C65">
        <w:rPr>
          <w:lang w:val="en-ZA"/>
        </w:rPr>
        <w:t xml:space="preserve">towards the costs of </w:t>
      </w:r>
      <w:r w:rsidR="000514FB" w:rsidRPr="00833C65">
        <w:rPr>
          <w:lang w:val="en-ZA"/>
        </w:rPr>
        <w:lastRenderedPageBreak/>
        <w:t xml:space="preserve">putting bread on the table for </w:t>
      </w:r>
      <w:r w:rsidR="00155438" w:rsidRPr="00833C65">
        <w:rPr>
          <w:lang w:val="en-ZA"/>
        </w:rPr>
        <w:t xml:space="preserve">his </w:t>
      </w:r>
      <w:r w:rsidR="00F00C5A" w:rsidRPr="00833C65">
        <w:rPr>
          <w:lang w:val="en-ZA"/>
        </w:rPr>
        <w:t>children</w:t>
      </w:r>
      <w:r w:rsidR="000514FB" w:rsidRPr="00833C65">
        <w:rPr>
          <w:lang w:val="en-ZA"/>
        </w:rPr>
        <w:t xml:space="preserve"> over and above the other expenses which he is already providing for.</w:t>
      </w:r>
      <w:r w:rsidR="008106CD" w:rsidRPr="00833C65">
        <w:rPr>
          <w:color w:val="4D5156"/>
          <w:kern w:val="2"/>
          <w:sz w:val="21"/>
          <w:szCs w:val="21"/>
          <w:shd w:val="clear" w:color="auto" w:fill="FFFFFF"/>
          <w:lang w:val="en-ZA"/>
        </w:rPr>
        <w:t xml:space="preserve"> </w:t>
      </w:r>
      <w:r w:rsidR="008106CD" w:rsidRPr="00833C65">
        <w:rPr>
          <w:lang w:val="en-ZA"/>
        </w:rPr>
        <w:t> </w:t>
      </w:r>
    </w:p>
    <w:p w14:paraId="64F192E0" w14:textId="11EF5B4A" w:rsidR="0060520D" w:rsidRPr="00067C82" w:rsidRDefault="00D94E71" w:rsidP="00D94E71">
      <w:pPr>
        <w:pStyle w:val="JudgmentNumbered"/>
        <w:numPr>
          <w:ilvl w:val="0"/>
          <w:numId w:val="0"/>
        </w:numPr>
        <w:ind w:left="567" w:hanging="567"/>
      </w:pPr>
      <w:r w:rsidRPr="00067C82">
        <w:t>[20]</w:t>
      </w:r>
      <w:r w:rsidRPr="00067C82">
        <w:tab/>
      </w:r>
      <w:r w:rsidR="000514FB" w:rsidRPr="00067C82">
        <w:rPr>
          <w:lang w:val="en-ZA"/>
        </w:rPr>
        <w:t>When it comes to P</w:t>
      </w:r>
      <w:r w:rsidR="00897DD8" w:rsidRPr="00067C82">
        <w:rPr>
          <w:lang w:val="en-ZA"/>
        </w:rPr>
        <w:t>M</w:t>
      </w:r>
      <w:r w:rsidR="000514FB" w:rsidRPr="00067C82">
        <w:rPr>
          <w:lang w:val="en-ZA"/>
        </w:rPr>
        <w:t>, the major child,</w:t>
      </w:r>
      <w:r w:rsidR="00B90ABC" w:rsidRPr="00067C82">
        <w:rPr>
          <w:lang w:val="en-ZA"/>
        </w:rPr>
        <w:t xml:space="preserve"> the </w:t>
      </w:r>
      <w:r w:rsidR="0060520D" w:rsidRPr="00067C82">
        <w:rPr>
          <w:lang w:val="en-ZA"/>
        </w:rPr>
        <w:t>respondent’s in</w:t>
      </w:r>
      <w:r w:rsidR="00B90ABC" w:rsidRPr="00067C82">
        <w:rPr>
          <w:i/>
          <w:iCs/>
          <w:lang w:val="en-ZA"/>
        </w:rPr>
        <w:t xml:space="preserve"> </w:t>
      </w:r>
      <w:r w:rsidR="0060520D" w:rsidRPr="00067C82">
        <w:rPr>
          <w:i/>
          <w:iCs/>
          <w:lang w:val="en-ZA"/>
        </w:rPr>
        <w:t>limine</w:t>
      </w:r>
      <w:r w:rsidR="0060520D" w:rsidRPr="00067C82">
        <w:rPr>
          <w:lang w:val="en-ZA"/>
        </w:rPr>
        <w:t xml:space="preserve"> impugn</w:t>
      </w:r>
      <w:r w:rsidR="00E865A4" w:rsidRPr="00067C82">
        <w:rPr>
          <w:lang w:val="en-ZA"/>
        </w:rPr>
        <w:t xml:space="preserve"> of t</w:t>
      </w:r>
      <w:r w:rsidR="0060520D" w:rsidRPr="00067C82">
        <w:rPr>
          <w:lang w:val="en-ZA"/>
        </w:rPr>
        <w:t>he</w:t>
      </w:r>
      <w:r w:rsidR="000514FB" w:rsidRPr="00067C82">
        <w:rPr>
          <w:lang w:val="en-ZA"/>
        </w:rPr>
        <w:t xml:space="preserve"> </w:t>
      </w:r>
      <w:r w:rsidR="0060520D" w:rsidRPr="00067C82">
        <w:rPr>
          <w:lang w:val="en-ZA"/>
        </w:rPr>
        <w:t xml:space="preserve">applicant’s </w:t>
      </w:r>
      <w:r w:rsidR="0060520D" w:rsidRPr="00067C82">
        <w:rPr>
          <w:i/>
          <w:iCs/>
          <w:lang w:val="en-ZA"/>
        </w:rPr>
        <w:t>locus standi</w:t>
      </w:r>
      <w:r w:rsidR="0060520D" w:rsidRPr="00067C82">
        <w:rPr>
          <w:lang w:val="en-ZA"/>
        </w:rPr>
        <w:t xml:space="preserve"> is untenable. </w:t>
      </w:r>
      <w:r w:rsidR="00F00036">
        <w:rPr>
          <w:lang w:val="en-ZA"/>
        </w:rPr>
        <w:t xml:space="preserve"> </w:t>
      </w:r>
      <w:r w:rsidR="0060520D" w:rsidRPr="00067C82">
        <w:rPr>
          <w:lang w:val="en-ZA"/>
        </w:rPr>
        <w:t xml:space="preserve">In </w:t>
      </w:r>
      <w:r w:rsidR="0060520D" w:rsidRPr="00067C82">
        <w:rPr>
          <w:i/>
          <w:iCs/>
        </w:rPr>
        <w:t>Z v Z</w:t>
      </w:r>
      <w:r w:rsidR="00F00036">
        <w:rPr>
          <w:iCs/>
        </w:rPr>
        <w:t>,</w:t>
      </w:r>
      <w:r w:rsidR="0060520D" w:rsidRPr="00E06007">
        <w:rPr>
          <w:rStyle w:val="FootnoteReference"/>
          <w:rFonts w:ascii="Arial" w:hAnsi="Arial"/>
        </w:rPr>
        <w:footnoteReference w:id="7"/>
      </w:r>
      <w:r w:rsidR="0060520D" w:rsidRPr="00067C82">
        <w:t xml:space="preserve"> the Supreme Court of Appeal referred</w:t>
      </w:r>
      <w:r w:rsidR="00F00036">
        <w:t>,</w:t>
      </w:r>
      <w:r w:rsidR="0060520D" w:rsidRPr="00067C82">
        <w:t xml:space="preserve"> with approval</w:t>
      </w:r>
      <w:r w:rsidR="00F00036">
        <w:t>,</w:t>
      </w:r>
      <w:r w:rsidR="0060520D" w:rsidRPr="00067C82">
        <w:t xml:space="preserve"> to the </w:t>
      </w:r>
      <w:r w:rsidR="004E6A66" w:rsidRPr="00067C82">
        <w:t xml:space="preserve">following </w:t>
      </w:r>
      <w:r w:rsidR="0060520D" w:rsidRPr="00067C82">
        <w:t>view</w:t>
      </w:r>
      <w:r w:rsidR="004E6A66" w:rsidRPr="00067C82">
        <w:t xml:space="preserve">s expressed </w:t>
      </w:r>
      <w:r w:rsidR="0060520D" w:rsidRPr="00067C82">
        <w:t xml:space="preserve">by </w:t>
      </w:r>
      <w:r w:rsidR="004E6A66" w:rsidRPr="00067C82">
        <w:t>Professor</w:t>
      </w:r>
      <w:r w:rsidR="00C06F30">
        <w:t> </w:t>
      </w:r>
      <w:r w:rsidR="0060520D" w:rsidRPr="00067C82">
        <w:t>M</w:t>
      </w:r>
      <w:r w:rsidR="00C06F30">
        <w:t> </w:t>
      </w:r>
      <w:r w:rsidR="0060520D" w:rsidRPr="00067C82">
        <w:t>de</w:t>
      </w:r>
      <w:r w:rsidR="00C06F30">
        <w:t> </w:t>
      </w:r>
      <w:r w:rsidR="0060520D" w:rsidRPr="00067C82">
        <w:t>Jong</w:t>
      </w:r>
      <w:r w:rsidR="004E6A66" w:rsidRPr="00E06007">
        <w:rPr>
          <w:rStyle w:val="FootnoteReference"/>
          <w:rFonts w:ascii="Arial" w:hAnsi="Arial"/>
        </w:rPr>
        <w:footnoteReference w:id="8"/>
      </w:r>
      <w:r w:rsidR="0060520D" w:rsidRPr="00067C82">
        <w:t xml:space="preserve"> </w:t>
      </w:r>
      <w:r w:rsidR="004E6A66" w:rsidRPr="00067C82">
        <w:t xml:space="preserve">and the court in </w:t>
      </w:r>
      <w:r w:rsidR="004E6A66" w:rsidRPr="00067C82">
        <w:rPr>
          <w:i/>
          <w:iCs/>
          <w:lang w:val="en-ZA"/>
        </w:rPr>
        <w:t>AF v MF</w:t>
      </w:r>
      <w:r w:rsidR="00067C82">
        <w:rPr>
          <w:iCs/>
          <w:lang w:val="en-ZA"/>
        </w:rPr>
        <w:t>:</w:t>
      </w:r>
      <w:r w:rsidR="004E6A66" w:rsidRPr="00E06007">
        <w:rPr>
          <w:rStyle w:val="FootnoteReference"/>
          <w:rFonts w:ascii="Arial" w:hAnsi="Arial"/>
          <w:iCs/>
          <w:lang w:val="en-ZA"/>
        </w:rPr>
        <w:footnoteReference w:id="9"/>
      </w:r>
    </w:p>
    <w:p w14:paraId="051CDA2D" w14:textId="5A5F9E31" w:rsidR="004E6A66" w:rsidRPr="00067C82" w:rsidRDefault="00C06F30" w:rsidP="00E06007">
      <w:pPr>
        <w:pStyle w:val="JudgmentNumbered"/>
        <w:numPr>
          <w:ilvl w:val="0"/>
          <w:numId w:val="0"/>
        </w:numPr>
        <w:ind w:left="1418"/>
        <w:rPr>
          <w:sz w:val="22"/>
        </w:rPr>
      </w:pPr>
      <w:r>
        <w:rPr>
          <w:sz w:val="22"/>
        </w:rPr>
        <w:t>“</w:t>
      </w:r>
      <w:r w:rsidR="00E865A4" w:rsidRPr="00067C82">
        <w:rPr>
          <w:sz w:val="22"/>
        </w:rPr>
        <w:t xml:space="preserve">Professor </w:t>
      </w:r>
      <w:r w:rsidR="00E865A4" w:rsidRPr="00E06007">
        <w:rPr>
          <w:iCs/>
          <w:sz w:val="22"/>
        </w:rPr>
        <w:t>M de Jong</w:t>
      </w:r>
      <w:r w:rsidR="00E865A4" w:rsidRPr="00067C82">
        <w:rPr>
          <w:sz w:val="22"/>
        </w:rPr>
        <w:t xml:space="preserve"> also advocates a similar interpretation of </w:t>
      </w:r>
      <w:r w:rsidR="00E865A4" w:rsidRPr="00E06007">
        <w:rPr>
          <w:i/>
          <w:sz w:val="22"/>
        </w:rPr>
        <w:t>inter alia</w:t>
      </w:r>
      <w:r w:rsidR="00E865A4" w:rsidRPr="00067C82">
        <w:rPr>
          <w:sz w:val="22"/>
        </w:rPr>
        <w:t xml:space="preserve"> s 6 of the Divorce Act. In doing so, she persuasively advances the view that-</w:t>
      </w:r>
    </w:p>
    <w:p w14:paraId="0569922A" w14:textId="21449DA3" w:rsidR="004E6A66" w:rsidRPr="00067C82" w:rsidRDefault="00E865A4" w:rsidP="00E06007">
      <w:pPr>
        <w:pStyle w:val="JudgmentNumbered"/>
        <w:numPr>
          <w:ilvl w:val="0"/>
          <w:numId w:val="0"/>
        </w:numPr>
        <w:ind w:left="1985"/>
        <w:rPr>
          <w:sz w:val="22"/>
        </w:rPr>
      </w:pPr>
      <w:r w:rsidRPr="00067C82">
        <w:rPr>
          <w:sz w:val="22"/>
        </w:rPr>
        <w:t>‘In the context of family law, policy considerations therefore include the values of equality and non-discrimination and the obligation of parents to maintain their children in accordance with their ability, as well as the needs of the children. Other policy considerations that should accordingly be taken into account are the following: the fact that adult dependent children’s general reluctance to get involved in litigation against one of their parents and institute their own separate maintenance claims upon their parents’ divorce may perpetuate and exacerbate women’s social and economic subordination to men and real inequality of the sexes; the fact that the duty to support their minor children should be borne equally by both parents; and possibly the fact that it could have negative repercussions for adult dependent children if their maintenance claims were to be adjudicated in isolation or after the date of their parents’ divorce . . .</w:t>
      </w:r>
      <w:r w:rsidR="00C06F30">
        <w:rPr>
          <w:sz w:val="22"/>
        </w:rPr>
        <w:t>’</w:t>
      </w:r>
    </w:p>
    <w:p w14:paraId="6FA09DE2" w14:textId="606035E7" w:rsidR="004E6A66" w:rsidRPr="00067C82" w:rsidRDefault="00E865A4" w:rsidP="00E06007">
      <w:pPr>
        <w:pStyle w:val="JudgmentNumbered"/>
        <w:numPr>
          <w:ilvl w:val="0"/>
          <w:numId w:val="0"/>
        </w:numPr>
        <w:ind w:left="1418"/>
        <w:rPr>
          <w:sz w:val="22"/>
        </w:rPr>
      </w:pPr>
      <w:r w:rsidRPr="00067C82">
        <w:rPr>
          <w:sz w:val="22"/>
        </w:rPr>
        <w:t xml:space="preserve">In </w:t>
      </w:r>
      <w:r w:rsidRPr="00E06007">
        <w:rPr>
          <w:i/>
          <w:sz w:val="22"/>
        </w:rPr>
        <w:t>AF</w:t>
      </w:r>
      <w:r w:rsidRPr="00067C82">
        <w:rPr>
          <w:sz w:val="22"/>
        </w:rPr>
        <w:t xml:space="preserve"> it was correctly observed that,</w:t>
      </w:r>
    </w:p>
    <w:p w14:paraId="166F72FC" w14:textId="77777777" w:rsidR="004E6A66" w:rsidRPr="00067C82" w:rsidRDefault="00E865A4" w:rsidP="00E06007">
      <w:pPr>
        <w:pStyle w:val="JudgmentNumbered"/>
        <w:numPr>
          <w:ilvl w:val="0"/>
          <w:numId w:val="0"/>
        </w:numPr>
        <w:ind w:left="1985"/>
        <w:rPr>
          <w:sz w:val="22"/>
        </w:rPr>
      </w:pPr>
      <w:r w:rsidRPr="00067C82">
        <w:rPr>
          <w:sz w:val="22"/>
        </w:rPr>
        <w:t xml:space="preserve">‘. . . courts should be alive to the vulnerable position of young adult dependants of parents going through a divorce. They may be majors in law, yet they still need the financial and emotional support of their parents. The parental conflict wrought by divorce can be profoundly stressful for young adult children, and it is particularly awkward for the adult child </w:t>
      </w:r>
      <w:r w:rsidRPr="00067C82">
        <w:rPr>
          <w:sz w:val="22"/>
        </w:rPr>
        <w:lastRenderedPageBreak/>
        <w:t>where the parents are at odds over the quantum of support for that child. Moreover, where one parent is recalcitrant, the power imbalance between parent and child makes it difficult for the child to access the necessary support. It is unimaginably difficult for a child to have to sue a parent for support — the emotional consequences are unthinkable.’</w:t>
      </w:r>
    </w:p>
    <w:p w14:paraId="3D7AC4D7" w14:textId="47016206" w:rsidR="004E6A66" w:rsidRPr="00067C82" w:rsidRDefault="00E865A4" w:rsidP="00E06007">
      <w:pPr>
        <w:pStyle w:val="JudgmentNumbered"/>
        <w:numPr>
          <w:ilvl w:val="0"/>
          <w:numId w:val="0"/>
        </w:numPr>
        <w:ind w:left="1418"/>
        <w:rPr>
          <w:sz w:val="22"/>
        </w:rPr>
      </w:pPr>
      <w:r w:rsidRPr="00067C82">
        <w:rPr>
          <w:sz w:val="22"/>
        </w:rPr>
        <w:t>I also agree with the conclusion reached that,</w:t>
      </w:r>
    </w:p>
    <w:p w14:paraId="680C04F9" w14:textId="4ED5497F" w:rsidR="00E865A4" w:rsidRPr="00067C82" w:rsidRDefault="00E865A4" w:rsidP="00E06007">
      <w:pPr>
        <w:pStyle w:val="JudgmentNumbered"/>
        <w:numPr>
          <w:ilvl w:val="0"/>
          <w:numId w:val="0"/>
        </w:numPr>
        <w:ind w:left="1985"/>
        <w:rPr>
          <w:sz w:val="22"/>
        </w:rPr>
      </w:pPr>
      <w:r w:rsidRPr="00067C82">
        <w:rPr>
          <w:sz w:val="22"/>
        </w:rPr>
        <w:t>‘. . . it is important to protect the dignity and emotional wellbeing of young adult dependants of divorcing parents by regulating the financial arrangements for their support in order to eliminate family conflict on this score and create stability and security for the dependent child.’</w:t>
      </w:r>
      <w:r w:rsidR="003701AC">
        <w:rPr>
          <w:sz w:val="22"/>
        </w:rPr>
        <w:t>”</w:t>
      </w:r>
    </w:p>
    <w:p w14:paraId="3D89A43E" w14:textId="547B2F06" w:rsidR="00010940" w:rsidRPr="00067C82" w:rsidRDefault="00D94E71" w:rsidP="00D94E71">
      <w:pPr>
        <w:pStyle w:val="JudgmentNumbered"/>
        <w:numPr>
          <w:ilvl w:val="0"/>
          <w:numId w:val="0"/>
        </w:numPr>
        <w:ind w:left="567" w:hanging="567"/>
        <w:rPr>
          <w:rFonts w:eastAsia="Calibri"/>
        </w:rPr>
      </w:pPr>
      <w:r w:rsidRPr="00067C82">
        <w:rPr>
          <w:rFonts w:eastAsia="Calibri"/>
        </w:rPr>
        <w:t>[21]</w:t>
      </w:r>
      <w:r w:rsidRPr="00067C82">
        <w:rPr>
          <w:rFonts w:eastAsia="Calibri"/>
        </w:rPr>
        <w:tab/>
      </w:r>
      <w:r w:rsidR="009C48BD">
        <w:rPr>
          <w:rFonts w:eastAsia="Calibri"/>
        </w:rPr>
        <w:t>Despite the fact that</w:t>
      </w:r>
      <w:r w:rsidR="009C48BD" w:rsidRPr="00067C82">
        <w:rPr>
          <w:rFonts w:eastAsia="Calibri"/>
        </w:rPr>
        <w:t xml:space="preserve"> </w:t>
      </w:r>
      <w:r w:rsidR="006D692D" w:rsidRPr="00067C82">
        <w:rPr>
          <w:rFonts w:eastAsia="Calibri"/>
        </w:rPr>
        <w:t xml:space="preserve">the respondent is pleadings poverty, it is </w:t>
      </w:r>
      <w:r w:rsidR="006F5F53" w:rsidRPr="00067C82">
        <w:rPr>
          <w:rFonts w:eastAsia="Calibri"/>
        </w:rPr>
        <w:t>clear</w:t>
      </w:r>
      <w:r w:rsidR="006D692D" w:rsidRPr="00067C82">
        <w:rPr>
          <w:rFonts w:eastAsia="Calibri"/>
        </w:rPr>
        <w:t xml:space="preserve"> that he </w:t>
      </w:r>
      <w:r w:rsidR="00C55753" w:rsidRPr="00067C82">
        <w:rPr>
          <w:rFonts w:eastAsia="Calibri"/>
        </w:rPr>
        <w:t>ha</w:t>
      </w:r>
      <w:r w:rsidR="006F5F53" w:rsidRPr="00067C82">
        <w:rPr>
          <w:rFonts w:eastAsia="Calibri"/>
        </w:rPr>
        <w:t>s</w:t>
      </w:r>
      <w:r w:rsidR="00C55753" w:rsidRPr="00067C82">
        <w:rPr>
          <w:rFonts w:eastAsia="Calibri"/>
        </w:rPr>
        <w:t xml:space="preserve"> not totally abdicated his duty of care as he</w:t>
      </w:r>
      <w:r w:rsidR="006F5F53" w:rsidRPr="00067C82">
        <w:rPr>
          <w:rFonts w:eastAsia="Calibri"/>
        </w:rPr>
        <w:t xml:space="preserve"> is</w:t>
      </w:r>
      <w:r w:rsidR="00C55753" w:rsidRPr="00067C82">
        <w:rPr>
          <w:rFonts w:eastAsia="Calibri"/>
        </w:rPr>
        <w:t xml:space="preserve"> </w:t>
      </w:r>
      <w:r w:rsidR="006F5F53" w:rsidRPr="00067C82">
        <w:rPr>
          <w:rFonts w:eastAsia="Calibri"/>
        </w:rPr>
        <w:t xml:space="preserve">continuing to </w:t>
      </w:r>
      <w:r w:rsidR="00C55753" w:rsidRPr="00067C82">
        <w:rPr>
          <w:rFonts w:eastAsia="Calibri"/>
        </w:rPr>
        <w:t>pay for</w:t>
      </w:r>
      <w:r w:rsidR="008A2CF7" w:rsidRPr="00067C82">
        <w:rPr>
          <w:rFonts w:eastAsia="Calibri"/>
        </w:rPr>
        <w:t xml:space="preserve"> the</w:t>
      </w:r>
      <w:r w:rsidR="00C55753" w:rsidRPr="00067C82">
        <w:rPr>
          <w:rFonts w:eastAsia="Calibri"/>
        </w:rPr>
        <w:t xml:space="preserve"> rental and </w:t>
      </w:r>
      <w:r w:rsidR="00D76DFB" w:rsidRPr="00067C82">
        <w:rPr>
          <w:rFonts w:eastAsia="Calibri"/>
        </w:rPr>
        <w:t xml:space="preserve">school fees for the minor children. </w:t>
      </w:r>
      <w:r w:rsidR="009054DE" w:rsidRPr="00067C82">
        <w:rPr>
          <w:rFonts w:eastAsia="Calibri"/>
        </w:rPr>
        <w:t>Even so</w:t>
      </w:r>
      <w:r w:rsidR="00D76DFB" w:rsidRPr="00067C82">
        <w:rPr>
          <w:rFonts w:eastAsia="Calibri"/>
        </w:rPr>
        <w:t xml:space="preserve">, </w:t>
      </w:r>
      <w:r w:rsidR="009F0C5D" w:rsidRPr="00067C82">
        <w:rPr>
          <w:rFonts w:eastAsia="Calibri"/>
        </w:rPr>
        <w:t>the respondent is in</w:t>
      </w:r>
      <w:r w:rsidR="00B14557">
        <w:rPr>
          <w:rFonts w:eastAsia="Calibri"/>
        </w:rPr>
        <w:t xml:space="preserve"> a</w:t>
      </w:r>
      <w:r w:rsidR="009F0C5D" w:rsidRPr="00067C82">
        <w:rPr>
          <w:rFonts w:eastAsia="Calibri"/>
        </w:rPr>
        <w:t xml:space="preserve"> better financial position to</w:t>
      </w:r>
      <w:r w:rsidR="009054DE" w:rsidRPr="00067C82">
        <w:rPr>
          <w:rFonts w:eastAsia="Calibri"/>
        </w:rPr>
        <w:t xml:space="preserve"> pay </w:t>
      </w:r>
      <w:r w:rsidR="00D21658">
        <w:rPr>
          <w:rFonts w:eastAsia="Calibri"/>
        </w:rPr>
        <w:t>for th</w:t>
      </w:r>
      <w:r w:rsidR="008F4421">
        <w:rPr>
          <w:rFonts w:eastAsia="Calibri"/>
        </w:rPr>
        <w:t>e maintenance</w:t>
      </w:r>
      <w:r w:rsidR="009054DE" w:rsidRPr="00067C82">
        <w:rPr>
          <w:rFonts w:eastAsia="Calibri"/>
        </w:rPr>
        <w:t xml:space="preserve"> as well.</w:t>
      </w:r>
      <w:r w:rsidR="00B14557">
        <w:rPr>
          <w:rFonts w:eastAsia="Calibri"/>
        </w:rPr>
        <w:t xml:space="preserve"> </w:t>
      </w:r>
      <w:r w:rsidR="00D71B4F" w:rsidRPr="00067C82">
        <w:rPr>
          <w:rFonts w:eastAsia="Calibri"/>
        </w:rPr>
        <w:t>The WhatsApp communication between the respondent</w:t>
      </w:r>
      <w:r w:rsidR="00BD3DAE" w:rsidRPr="00067C82">
        <w:rPr>
          <w:rFonts w:eastAsia="Calibri"/>
        </w:rPr>
        <w:t xml:space="preserve"> and the </w:t>
      </w:r>
      <w:r w:rsidR="00D71B4F" w:rsidRPr="00067C82">
        <w:rPr>
          <w:rFonts w:eastAsia="Calibri"/>
        </w:rPr>
        <w:t>minor children</w:t>
      </w:r>
      <w:r w:rsidR="00B14557">
        <w:rPr>
          <w:rFonts w:eastAsia="Calibri"/>
        </w:rPr>
        <w:t>,</w:t>
      </w:r>
      <w:r w:rsidR="00D71B4F" w:rsidRPr="00067C82">
        <w:rPr>
          <w:rFonts w:eastAsia="Calibri"/>
        </w:rPr>
        <w:t xml:space="preserve"> which </w:t>
      </w:r>
      <w:r w:rsidR="00BD3DAE" w:rsidRPr="00067C82">
        <w:rPr>
          <w:rFonts w:eastAsia="Calibri"/>
        </w:rPr>
        <w:t>he</w:t>
      </w:r>
      <w:r w:rsidR="00D71B4F" w:rsidRPr="00067C82">
        <w:rPr>
          <w:rFonts w:eastAsia="Calibri"/>
        </w:rPr>
        <w:t xml:space="preserve"> </w:t>
      </w:r>
      <w:r w:rsidR="00C41B60" w:rsidRPr="00067C82">
        <w:rPr>
          <w:rFonts w:eastAsia="Calibri"/>
        </w:rPr>
        <w:t>place</w:t>
      </w:r>
      <w:r w:rsidR="00BD3DAE" w:rsidRPr="00067C82">
        <w:rPr>
          <w:rFonts w:eastAsia="Calibri"/>
        </w:rPr>
        <w:t>s</w:t>
      </w:r>
      <w:r w:rsidR="00C41B60" w:rsidRPr="00067C82">
        <w:rPr>
          <w:rFonts w:eastAsia="Calibri"/>
        </w:rPr>
        <w:t xml:space="preserve"> reliance on</w:t>
      </w:r>
      <w:r w:rsidR="00D71B4F" w:rsidRPr="00067C82">
        <w:rPr>
          <w:rFonts w:eastAsia="Calibri"/>
        </w:rPr>
        <w:t xml:space="preserve"> to </w:t>
      </w:r>
      <w:r w:rsidR="008105BC" w:rsidRPr="00067C82">
        <w:rPr>
          <w:rFonts w:eastAsia="Calibri"/>
        </w:rPr>
        <w:t>prove</w:t>
      </w:r>
      <w:r w:rsidR="00C41B60" w:rsidRPr="00067C82">
        <w:rPr>
          <w:rFonts w:eastAsia="Calibri"/>
        </w:rPr>
        <w:t xml:space="preserve"> that he </w:t>
      </w:r>
      <w:r w:rsidR="001A3867" w:rsidRPr="00067C82">
        <w:rPr>
          <w:rFonts w:eastAsia="Calibri"/>
        </w:rPr>
        <w:t xml:space="preserve">still communicates with </w:t>
      </w:r>
      <w:r w:rsidR="000C2E98" w:rsidRPr="00067C82">
        <w:rPr>
          <w:rFonts w:eastAsia="Calibri"/>
        </w:rPr>
        <w:t>his children</w:t>
      </w:r>
      <w:r w:rsidR="00B14557">
        <w:rPr>
          <w:rFonts w:eastAsia="Calibri"/>
        </w:rPr>
        <w:t>,</w:t>
      </w:r>
      <w:r w:rsidR="000C2E98" w:rsidRPr="00067C82">
        <w:rPr>
          <w:rFonts w:eastAsia="Calibri"/>
        </w:rPr>
        <w:t xml:space="preserve"> is,</w:t>
      </w:r>
      <w:r w:rsidR="00A4152D" w:rsidRPr="00067C82">
        <w:rPr>
          <w:rFonts w:eastAsia="Calibri"/>
        </w:rPr>
        <w:t xml:space="preserve"> conversely, </w:t>
      </w:r>
      <w:r w:rsidR="001D3350" w:rsidRPr="00067C82">
        <w:rPr>
          <w:rFonts w:eastAsia="Calibri"/>
        </w:rPr>
        <w:t>support</w:t>
      </w:r>
      <w:r w:rsidR="000C2E98" w:rsidRPr="00067C82">
        <w:rPr>
          <w:rFonts w:eastAsia="Calibri"/>
        </w:rPr>
        <w:t>ing</w:t>
      </w:r>
      <w:r w:rsidR="001D3350" w:rsidRPr="00067C82">
        <w:rPr>
          <w:rFonts w:eastAsia="Calibri"/>
        </w:rPr>
        <w:t xml:space="preserve"> the applicant’s contention that she cannot afford to maintain the children</w:t>
      </w:r>
      <w:r w:rsidR="00CF1D9C" w:rsidRPr="00067C82">
        <w:rPr>
          <w:rFonts w:eastAsia="Calibri"/>
        </w:rPr>
        <w:t xml:space="preserve">. </w:t>
      </w:r>
      <w:r w:rsidR="00B14557">
        <w:rPr>
          <w:rFonts w:eastAsia="Calibri"/>
        </w:rPr>
        <w:t xml:space="preserve"> </w:t>
      </w:r>
      <w:r w:rsidR="002F4F78" w:rsidRPr="00067C82">
        <w:rPr>
          <w:rFonts w:eastAsia="Calibri"/>
        </w:rPr>
        <w:t>M</w:t>
      </w:r>
      <w:r w:rsidR="00CF1D9C" w:rsidRPr="00067C82">
        <w:rPr>
          <w:rFonts w:eastAsia="Calibri"/>
        </w:rPr>
        <w:t>ost of the messages are about the minor children asking the respondent to buy them food</w:t>
      </w:r>
      <w:r w:rsidR="00483DB7" w:rsidRPr="00067C82">
        <w:rPr>
          <w:rFonts w:eastAsia="Calibri"/>
        </w:rPr>
        <w:t xml:space="preserve"> as </w:t>
      </w:r>
      <w:r w:rsidR="0038142A" w:rsidRPr="00067C82">
        <w:rPr>
          <w:rFonts w:eastAsia="Calibri"/>
        </w:rPr>
        <w:t>they had nothing to eat</w:t>
      </w:r>
      <w:r w:rsidR="00483DB7" w:rsidRPr="00067C82">
        <w:rPr>
          <w:rFonts w:eastAsia="Calibri"/>
        </w:rPr>
        <w:t>.</w:t>
      </w:r>
      <w:r w:rsidR="00B14557">
        <w:rPr>
          <w:rFonts w:eastAsia="Calibri"/>
        </w:rPr>
        <w:t xml:space="preserve"> </w:t>
      </w:r>
      <w:r w:rsidR="00483DB7" w:rsidRPr="00067C82">
        <w:rPr>
          <w:rFonts w:eastAsia="Calibri"/>
        </w:rPr>
        <w:t xml:space="preserve"> </w:t>
      </w:r>
      <w:r w:rsidR="003B7659" w:rsidRPr="00067C82">
        <w:rPr>
          <w:rFonts w:eastAsia="Calibri"/>
        </w:rPr>
        <w:t>In response, the respondent would buy them fast food.</w:t>
      </w:r>
    </w:p>
    <w:p w14:paraId="29CBF731" w14:textId="64B024A8" w:rsidR="005018AD" w:rsidRPr="00067C82" w:rsidRDefault="00D94E71" w:rsidP="00D94E71">
      <w:pPr>
        <w:pStyle w:val="JudgmentNumbered"/>
        <w:numPr>
          <w:ilvl w:val="0"/>
          <w:numId w:val="0"/>
        </w:numPr>
        <w:ind w:left="567" w:hanging="567"/>
        <w:rPr>
          <w:rFonts w:eastAsia="Calibri"/>
        </w:rPr>
      </w:pPr>
      <w:r w:rsidRPr="00067C82">
        <w:rPr>
          <w:rFonts w:eastAsia="Calibri"/>
        </w:rPr>
        <w:t>[22]</w:t>
      </w:r>
      <w:r w:rsidRPr="00067C82">
        <w:rPr>
          <w:rFonts w:eastAsia="Calibri"/>
        </w:rPr>
        <w:tab/>
      </w:r>
      <w:r w:rsidR="008E18F4">
        <w:rPr>
          <w:rFonts w:eastAsia="Calibri"/>
        </w:rPr>
        <w:t xml:space="preserve">The </w:t>
      </w:r>
      <w:r w:rsidR="004607BA" w:rsidRPr="00067C82">
        <w:rPr>
          <w:rFonts w:eastAsia="Calibri"/>
        </w:rPr>
        <w:t xml:space="preserve">respondent </w:t>
      </w:r>
      <w:r w:rsidR="008E18F4">
        <w:rPr>
          <w:rFonts w:eastAsia="Calibri"/>
        </w:rPr>
        <w:t>has means to</w:t>
      </w:r>
      <w:r w:rsidR="0099784E" w:rsidRPr="00067C82">
        <w:rPr>
          <w:rFonts w:eastAsia="Calibri"/>
        </w:rPr>
        <w:t xml:space="preserve"> contribute towards </w:t>
      </w:r>
      <w:r w:rsidR="005C114E" w:rsidRPr="00067C82">
        <w:rPr>
          <w:rFonts w:eastAsia="Calibri"/>
        </w:rPr>
        <w:t xml:space="preserve">maintenance </w:t>
      </w:r>
      <w:r w:rsidR="00AE6B64" w:rsidRPr="00067C82">
        <w:rPr>
          <w:rFonts w:eastAsia="Calibri"/>
        </w:rPr>
        <w:t>of his children</w:t>
      </w:r>
      <w:r w:rsidR="00CC7374" w:rsidRPr="00067C82">
        <w:rPr>
          <w:rFonts w:eastAsia="Calibri"/>
        </w:rPr>
        <w:t>. In m</w:t>
      </w:r>
      <w:r w:rsidR="00B60D11" w:rsidRPr="00067C82">
        <w:rPr>
          <w:rFonts w:eastAsia="Calibri"/>
        </w:rPr>
        <w:t>y view</w:t>
      </w:r>
      <w:r w:rsidR="00CC7374" w:rsidRPr="00067C82">
        <w:rPr>
          <w:rFonts w:eastAsia="Calibri"/>
        </w:rPr>
        <w:t>,</w:t>
      </w:r>
      <w:r w:rsidR="00B60D11" w:rsidRPr="00067C82">
        <w:rPr>
          <w:rFonts w:eastAsia="Calibri"/>
        </w:rPr>
        <w:t xml:space="preserve"> </w:t>
      </w:r>
      <w:r w:rsidR="00EA6FDD" w:rsidRPr="00067C82">
        <w:rPr>
          <w:rFonts w:eastAsia="Calibri"/>
        </w:rPr>
        <w:t>R</w:t>
      </w:r>
      <w:r w:rsidR="00755CBA">
        <w:rPr>
          <w:rFonts w:eastAsia="Calibri"/>
        </w:rPr>
        <w:t>7</w:t>
      </w:r>
      <w:r w:rsidR="005C114E" w:rsidRPr="00067C82">
        <w:rPr>
          <w:rFonts w:eastAsia="Calibri"/>
        </w:rPr>
        <w:t xml:space="preserve">000.00 per month for </w:t>
      </w:r>
      <w:r w:rsidR="00B60D11" w:rsidRPr="00067C82">
        <w:rPr>
          <w:rFonts w:eastAsia="Calibri"/>
        </w:rPr>
        <w:t>all</w:t>
      </w:r>
      <w:r w:rsidR="008E18F4">
        <w:rPr>
          <w:rFonts w:eastAsia="Calibri"/>
        </w:rPr>
        <w:t xml:space="preserve"> the</w:t>
      </w:r>
      <w:r w:rsidR="005C114E" w:rsidRPr="00067C82">
        <w:rPr>
          <w:rFonts w:eastAsia="Calibri"/>
        </w:rPr>
        <w:t xml:space="preserve"> children</w:t>
      </w:r>
      <w:r w:rsidR="00B638BA" w:rsidRPr="00067C82">
        <w:rPr>
          <w:rFonts w:eastAsia="Calibri"/>
        </w:rPr>
        <w:t xml:space="preserve"> is reasonable</w:t>
      </w:r>
      <w:r w:rsidR="00E02557" w:rsidRPr="00067C82">
        <w:rPr>
          <w:rFonts w:eastAsia="Calibri"/>
        </w:rPr>
        <w:t>;</w:t>
      </w:r>
      <w:r w:rsidR="000E5EB7" w:rsidRPr="00067C82">
        <w:rPr>
          <w:rFonts w:eastAsia="Calibri"/>
        </w:rPr>
        <w:t xml:space="preserve"> </w:t>
      </w:r>
      <w:r w:rsidR="004B459D" w:rsidRPr="00067C82">
        <w:rPr>
          <w:rFonts w:eastAsia="Calibri"/>
        </w:rPr>
        <w:t>representing R</w:t>
      </w:r>
      <w:r w:rsidR="005C114E" w:rsidRPr="00067C82">
        <w:rPr>
          <w:rFonts w:eastAsia="Calibri"/>
        </w:rPr>
        <w:t>2</w:t>
      </w:r>
      <w:r w:rsidR="00755CBA">
        <w:rPr>
          <w:rFonts w:eastAsia="Calibri"/>
        </w:rPr>
        <w:t>5</w:t>
      </w:r>
      <w:r w:rsidR="005C114E" w:rsidRPr="00067C82">
        <w:rPr>
          <w:rFonts w:eastAsia="Calibri"/>
        </w:rPr>
        <w:t>00.00 per month for each minor child and R</w:t>
      </w:r>
      <w:r w:rsidR="00755CBA">
        <w:rPr>
          <w:rFonts w:eastAsia="Calibri"/>
        </w:rPr>
        <w:t>2</w:t>
      </w:r>
      <w:r w:rsidR="005C114E" w:rsidRPr="00067C82">
        <w:rPr>
          <w:rFonts w:eastAsia="Calibri"/>
        </w:rPr>
        <w:t xml:space="preserve">000.00 per month for the </w:t>
      </w:r>
      <w:r w:rsidR="00297D95" w:rsidRPr="00067C82">
        <w:rPr>
          <w:rFonts w:eastAsia="Calibri"/>
        </w:rPr>
        <w:t xml:space="preserve">dependent </w:t>
      </w:r>
      <w:r w:rsidR="005C114E" w:rsidRPr="00067C82">
        <w:rPr>
          <w:rFonts w:eastAsia="Calibri"/>
        </w:rPr>
        <w:t>major child.</w:t>
      </w:r>
      <w:r w:rsidR="008E18F4">
        <w:rPr>
          <w:rFonts w:eastAsia="Calibri"/>
        </w:rPr>
        <w:t xml:space="preserve"> </w:t>
      </w:r>
      <w:r w:rsidR="004B459D" w:rsidRPr="00067C82">
        <w:rPr>
          <w:rFonts w:eastAsia="Calibri"/>
        </w:rPr>
        <w:t xml:space="preserve">This amount is over and above the </w:t>
      </w:r>
      <w:r w:rsidR="00297D95">
        <w:rPr>
          <w:rFonts w:eastAsia="Calibri"/>
        </w:rPr>
        <w:t xml:space="preserve">amount the </w:t>
      </w:r>
      <w:r w:rsidR="004B459D" w:rsidRPr="00067C82">
        <w:rPr>
          <w:rFonts w:eastAsia="Calibri"/>
        </w:rPr>
        <w:t xml:space="preserve">respondent is currently </w:t>
      </w:r>
      <w:r w:rsidR="004756C2" w:rsidRPr="00067C82">
        <w:rPr>
          <w:rFonts w:eastAsia="Calibri"/>
        </w:rPr>
        <w:t>paying towards rental and school fees</w:t>
      </w:r>
      <w:r w:rsidR="005218E0" w:rsidRPr="00067C82">
        <w:rPr>
          <w:rFonts w:eastAsia="Calibri"/>
        </w:rPr>
        <w:t xml:space="preserve"> for the minor</w:t>
      </w:r>
      <w:r w:rsidR="00541A88" w:rsidRPr="00067C82">
        <w:rPr>
          <w:rFonts w:eastAsia="Calibri"/>
        </w:rPr>
        <w:t xml:space="preserve"> </w:t>
      </w:r>
      <w:r w:rsidR="005218E0" w:rsidRPr="00067C82">
        <w:rPr>
          <w:rFonts w:eastAsia="Calibri"/>
        </w:rPr>
        <w:t>children</w:t>
      </w:r>
      <w:r w:rsidR="00BC70FB">
        <w:rPr>
          <w:rFonts w:eastAsia="Calibri"/>
        </w:rPr>
        <w:t xml:space="preserve">. He should also </w:t>
      </w:r>
      <w:r w:rsidR="00BC70FB" w:rsidRPr="00067C82">
        <w:rPr>
          <w:rFonts w:eastAsia="Calibri"/>
        </w:rPr>
        <w:t>contribute</w:t>
      </w:r>
      <w:r w:rsidR="00BC70FB">
        <w:rPr>
          <w:rFonts w:eastAsia="Calibri"/>
        </w:rPr>
        <w:t xml:space="preserve"> </w:t>
      </w:r>
      <w:r w:rsidR="006B5E0F">
        <w:rPr>
          <w:rFonts w:eastAsia="Calibri"/>
        </w:rPr>
        <w:t xml:space="preserve">50% towards </w:t>
      </w:r>
      <w:r w:rsidR="00784741" w:rsidRPr="00067C82">
        <w:rPr>
          <w:rFonts w:eastAsia="Calibri"/>
        </w:rPr>
        <w:t>medical expenses</w:t>
      </w:r>
      <w:r w:rsidR="00541A88" w:rsidRPr="00067C82">
        <w:rPr>
          <w:rFonts w:eastAsia="Calibri"/>
        </w:rPr>
        <w:t xml:space="preserve"> for </w:t>
      </w:r>
      <w:r w:rsidR="00A255BE" w:rsidRPr="00067C82">
        <w:rPr>
          <w:rFonts w:eastAsia="Calibri"/>
        </w:rPr>
        <w:t xml:space="preserve">all </w:t>
      </w:r>
      <w:r w:rsidR="008E18F4">
        <w:rPr>
          <w:rFonts w:eastAsia="Calibri"/>
        </w:rPr>
        <w:t xml:space="preserve">the </w:t>
      </w:r>
      <w:r w:rsidR="00A255BE" w:rsidRPr="00067C82">
        <w:rPr>
          <w:rFonts w:eastAsia="Calibri"/>
        </w:rPr>
        <w:t>children.</w:t>
      </w:r>
    </w:p>
    <w:p w14:paraId="600DD86A" w14:textId="617BC7E2" w:rsidR="005C114E" w:rsidRDefault="00D94E71" w:rsidP="00D94E71">
      <w:pPr>
        <w:pStyle w:val="JudgmentNumbered"/>
        <w:numPr>
          <w:ilvl w:val="0"/>
          <w:numId w:val="0"/>
        </w:numPr>
        <w:ind w:left="567" w:hanging="567"/>
        <w:rPr>
          <w:rFonts w:eastAsia="Calibri"/>
        </w:rPr>
      </w:pPr>
      <w:r>
        <w:rPr>
          <w:rFonts w:eastAsia="Calibri"/>
        </w:rPr>
        <w:t>[23]</w:t>
      </w:r>
      <w:r>
        <w:rPr>
          <w:rFonts w:eastAsia="Calibri"/>
        </w:rPr>
        <w:tab/>
      </w:r>
      <w:r w:rsidR="008E18F4">
        <w:rPr>
          <w:rFonts w:eastAsia="Calibri"/>
        </w:rPr>
        <w:t>When it comes to t</w:t>
      </w:r>
      <w:r w:rsidR="00445E93" w:rsidRPr="00067C82">
        <w:rPr>
          <w:rFonts w:eastAsia="Calibri"/>
        </w:rPr>
        <w:t xml:space="preserve">he claim for </w:t>
      </w:r>
      <w:r w:rsidR="003A252E" w:rsidRPr="00067C82">
        <w:rPr>
          <w:rFonts w:eastAsia="Calibri"/>
        </w:rPr>
        <w:t>P</w:t>
      </w:r>
      <w:r w:rsidR="00576934" w:rsidRPr="00067C82">
        <w:rPr>
          <w:rFonts w:eastAsia="Calibri"/>
        </w:rPr>
        <w:t>M</w:t>
      </w:r>
      <w:r w:rsidR="003A252E" w:rsidRPr="00067C82">
        <w:rPr>
          <w:rFonts w:eastAsia="Calibri"/>
        </w:rPr>
        <w:t>’s tertiary fees</w:t>
      </w:r>
      <w:r w:rsidR="008E18F4">
        <w:rPr>
          <w:rFonts w:eastAsia="Calibri"/>
        </w:rPr>
        <w:t>, there</w:t>
      </w:r>
      <w:r w:rsidR="003A252E" w:rsidRPr="00067C82">
        <w:rPr>
          <w:rFonts w:eastAsia="Calibri"/>
        </w:rPr>
        <w:t xml:space="preserve"> is </w:t>
      </w:r>
      <w:r w:rsidR="008E18F4">
        <w:rPr>
          <w:rFonts w:eastAsia="Calibri"/>
        </w:rPr>
        <w:t xml:space="preserve">no evidence </w:t>
      </w:r>
      <w:r w:rsidR="003A252E" w:rsidRPr="00067C82">
        <w:rPr>
          <w:rFonts w:eastAsia="Calibri"/>
        </w:rPr>
        <w:t xml:space="preserve">to show that he is </w:t>
      </w:r>
      <w:r w:rsidR="00C32132">
        <w:rPr>
          <w:rFonts w:eastAsia="Calibri"/>
        </w:rPr>
        <w:t>registered as a</w:t>
      </w:r>
      <w:r w:rsidR="003A252E" w:rsidRPr="00067C82">
        <w:rPr>
          <w:rFonts w:eastAsia="Calibri"/>
        </w:rPr>
        <w:t xml:space="preserve"> tertiary student</w:t>
      </w:r>
      <w:r w:rsidR="00CA5A5A">
        <w:rPr>
          <w:rFonts w:eastAsia="Calibri"/>
        </w:rPr>
        <w:t>. A</w:t>
      </w:r>
      <w:r w:rsidR="00F5355C" w:rsidRPr="00067C82">
        <w:rPr>
          <w:rFonts w:eastAsia="Calibri"/>
        </w:rPr>
        <w:t>ccordingly</w:t>
      </w:r>
      <w:r w:rsidR="00CA5A5A">
        <w:rPr>
          <w:rFonts w:eastAsia="Calibri"/>
        </w:rPr>
        <w:t>, this claim must</w:t>
      </w:r>
      <w:r w:rsidR="00F5355C" w:rsidRPr="00067C82">
        <w:rPr>
          <w:rFonts w:eastAsia="Calibri"/>
        </w:rPr>
        <w:t xml:space="preserve"> fail.</w:t>
      </w:r>
    </w:p>
    <w:p w14:paraId="1ECE7BB9" w14:textId="77777777" w:rsidR="007C75BF" w:rsidRDefault="007C75BF" w:rsidP="007C75BF">
      <w:pPr>
        <w:pStyle w:val="JudgmentNumbered"/>
        <w:numPr>
          <w:ilvl w:val="0"/>
          <w:numId w:val="0"/>
        </w:numPr>
        <w:ind w:left="567"/>
        <w:rPr>
          <w:rFonts w:eastAsia="Calibri"/>
        </w:rPr>
      </w:pPr>
    </w:p>
    <w:p w14:paraId="605B6845" w14:textId="77777777" w:rsidR="007C75BF" w:rsidRPr="00067C82" w:rsidRDefault="007C75BF" w:rsidP="007C75BF">
      <w:pPr>
        <w:pStyle w:val="JudgmentNumbered"/>
        <w:numPr>
          <w:ilvl w:val="0"/>
          <w:numId w:val="0"/>
        </w:numPr>
        <w:ind w:left="567"/>
        <w:rPr>
          <w:rFonts w:eastAsia="Calibri"/>
        </w:rPr>
      </w:pPr>
    </w:p>
    <w:p w14:paraId="38B84F2D" w14:textId="4EB66B45" w:rsidR="005C114E" w:rsidRPr="00067C82" w:rsidRDefault="005C114E" w:rsidP="005C114E">
      <w:pPr>
        <w:pStyle w:val="JudgmentNumbered"/>
        <w:numPr>
          <w:ilvl w:val="0"/>
          <w:numId w:val="0"/>
        </w:numPr>
        <w:rPr>
          <w:rFonts w:eastAsia="Calibri"/>
        </w:rPr>
      </w:pPr>
      <w:r w:rsidRPr="00067C82">
        <w:rPr>
          <w:i/>
          <w:iCs/>
        </w:rPr>
        <w:t>Conclusion</w:t>
      </w:r>
    </w:p>
    <w:p w14:paraId="413B79F8" w14:textId="3CE9695C" w:rsidR="0077065B" w:rsidRPr="0077065B" w:rsidRDefault="00D94E71" w:rsidP="00D94E71">
      <w:pPr>
        <w:pStyle w:val="JudgmentNumbered"/>
        <w:numPr>
          <w:ilvl w:val="0"/>
          <w:numId w:val="0"/>
        </w:numPr>
        <w:ind w:left="567" w:hanging="567"/>
        <w:rPr>
          <w:rFonts w:eastAsia="Calibri"/>
        </w:rPr>
      </w:pPr>
      <w:r w:rsidRPr="0077065B">
        <w:rPr>
          <w:rFonts w:eastAsia="Calibri"/>
        </w:rPr>
        <w:t>[24]</w:t>
      </w:r>
      <w:r w:rsidRPr="0077065B">
        <w:rPr>
          <w:rFonts w:eastAsia="Calibri"/>
        </w:rPr>
        <w:tab/>
      </w:r>
      <w:r w:rsidR="0077065B" w:rsidRPr="0077065B">
        <w:rPr>
          <w:rFonts w:eastAsia="Calibri"/>
        </w:rPr>
        <w:t>In all the circumstances, and in the light of the reasons alluded to above, I deem it appropriate to make an order in the following terms:</w:t>
      </w:r>
    </w:p>
    <w:p w14:paraId="31C235B9" w14:textId="501117E2" w:rsidR="00CA2B3D" w:rsidRPr="00067C82" w:rsidRDefault="00CA2B3D" w:rsidP="00CA2B3D">
      <w:pPr>
        <w:pStyle w:val="JudgmentNumbered"/>
        <w:numPr>
          <w:ilvl w:val="0"/>
          <w:numId w:val="0"/>
        </w:numPr>
        <w:rPr>
          <w:rFonts w:eastAsia="Calibri"/>
          <w:i/>
          <w:iCs/>
        </w:rPr>
      </w:pPr>
      <w:r w:rsidRPr="00067C82">
        <w:rPr>
          <w:rFonts w:eastAsia="Calibri"/>
          <w:i/>
          <w:iCs/>
        </w:rPr>
        <w:t>Order</w:t>
      </w:r>
    </w:p>
    <w:p w14:paraId="78685ED3" w14:textId="5BEA0C5E" w:rsidR="00C32132" w:rsidRDefault="00D94E71" w:rsidP="00D94E71">
      <w:pPr>
        <w:pStyle w:val="JudgmentNumbered"/>
        <w:numPr>
          <w:ilvl w:val="0"/>
          <w:numId w:val="0"/>
        </w:numPr>
        <w:ind w:left="567" w:hanging="567"/>
      </w:pPr>
      <w:r>
        <w:t>1.</w:t>
      </w:r>
      <w:r>
        <w:tab/>
      </w:r>
      <w:r w:rsidR="00A635D5" w:rsidRPr="00931170">
        <w:rPr>
          <w:lang w:val="en-ZA"/>
        </w:rPr>
        <w:t>Pending the determination of the divorce action between the parties</w:t>
      </w:r>
      <w:r w:rsidR="00C32132">
        <w:rPr>
          <w:lang w:val="en-ZA"/>
        </w:rPr>
        <w:t>;</w:t>
      </w:r>
      <w:r w:rsidR="00C32132">
        <w:t xml:space="preserve"> t</w:t>
      </w:r>
      <w:r w:rsidR="00C32132" w:rsidRPr="00CA2B3D">
        <w:t>he respondent shall pay</w:t>
      </w:r>
      <w:r w:rsidR="00C32132">
        <w:t xml:space="preserve"> </w:t>
      </w:r>
      <w:r w:rsidR="00C32132" w:rsidRPr="00CA2B3D">
        <w:t xml:space="preserve">maintenance </w:t>
      </w:r>
      <w:r w:rsidR="00C32132">
        <w:t xml:space="preserve">for </w:t>
      </w:r>
      <w:r w:rsidR="00C32132" w:rsidRPr="00CA2B3D">
        <w:t xml:space="preserve">the </w:t>
      </w:r>
      <w:r w:rsidR="00C32132">
        <w:t xml:space="preserve">children </w:t>
      </w:r>
      <w:r w:rsidR="00437A6B">
        <w:t xml:space="preserve">as </w:t>
      </w:r>
      <w:r w:rsidR="00C32132">
        <w:t xml:space="preserve">follows: </w:t>
      </w:r>
    </w:p>
    <w:p w14:paraId="7EA89120" w14:textId="070B69E4" w:rsidR="00BA05E8" w:rsidRDefault="00D94E71" w:rsidP="00D94E71">
      <w:pPr>
        <w:pStyle w:val="JudgmentNumbered"/>
        <w:numPr>
          <w:ilvl w:val="0"/>
          <w:numId w:val="0"/>
        </w:numPr>
        <w:ind w:left="1134" w:hanging="567"/>
      </w:pPr>
      <w:r>
        <w:t>1.1</w:t>
      </w:r>
      <w:r>
        <w:tab/>
      </w:r>
      <w:r w:rsidR="00755CBA" w:rsidRPr="00755CBA">
        <w:rPr>
          <w:lang w:val="en-ZA"/>
        </w:rPr>
        <w:t xml:space="preserve">By paying cash maintenance for the children in the sum of </w:t>
      </w:r>
      <w:r w:rsidR="00755CBA" w:rsidRPr="000E1734">
        <w:rPr>
          <w:lang w:val="en-ZA"/>
        </w:rPr>
        <w:t xml:space="preserve">R </w:t>
      </w:r>
      <w:r w:rsidR="00755CBA">
        <w:rPr>
          <w:lang w:val="en-ZA"/>
        </w:rPr>
        <w:t>7 000</w:t>
      </w:r>
      <w:r w:rsidR="00755CBA" w:rsidRPr="000E1734">
        <w:rPr>
          <w:lang w:val="en-ZA"/>
        </w:rPr>
        <w:t>. 00</w:t>
      </w:r>
      <w:r w:rsidR="00755CBA" w:rsidRPr="00755CBA">
        <w:rPr>
          <w:lang w:val="en-ZA"/>
        </w:rPr>
        <w:t xml:space="preserve"> (</w:t>
      </w:r>
      <w:r w:rsidR="00755CBA">
        <w:rPr>
          <w:lang w:val="en-ZA"/>
        </w:rPr>
        <w:t xml:space="preserve">seven thousand rand) </w:t>
      </w:r>
      <w:r w:rsidR="00755CBA" w:rsidRPr="00755CBA">
        <w:rPr>
          <w:lang w:val="en-ZA"/>
        </w:rPr>
        <w:t>per month, payable in advance and directly to the applicant, without set off or deduction, into a bank account nominated by the applicant from time to time, on or before the first day of every month, to commence within 7 (seven) days of date of this order and to operate retrospectively for that month, and thereafter on the first day of each month</w:t>
      </w:r>
      <w:r w:rsidR="00755CBA">
        <w:rPr>
          <w:lang w:val="en-ZA"/>
        </w:rPr>
        <w:t xml:space="preserve"> and</w:t>
      </w:r>
      <w:r w:rsidR="00CA2B3D" w:rsidRPr="00067C82">
        <w:t xml:space="preserve"> increasing on the anniversary of the first payment, by the average weighted consumer price index;</w:t>
      </w:r>
    </w:p>
    <w:p w14:paraId="0257621C" w14:textId="3334AE31" w:rsidR="00AD4E0F" w:rsidRDefault="00D94E71" w:rsidP="00D94E71">
      <w:pPr>
        <w:pStyle w:val="JudgmentNumbered"/>
        <w:numPr>
          <w:ilvl w:val="0"/>
          <w:numId w:val="0"/>
        </w:numPr>
        <w:ind w:left="1134" w:hanging="567"/>
      </w:pPr>
      <w:r>
        <w:t>1.2</w:t>
      </w:r>
      <w:r>
        <w:tab/>
      </w:r>
      <w:r w:rsidR="00755CBA">
        <w:t xml:space="preserve">By paying </w:t>
      </w:r>
      <w:r w:rsidR="00755CBA" w:rsidRPr="00067C82">
        <w:t>R14</w:t>
      </w:r>
      <w:r w:rsidR="00755CBA">
        <w:t> </w:t>
      </w:r>
      <w:r w:rsidR="00755CBA" w:rsidRPr="00067C82">
        <w:t>500</w:t>
      </w:r>
      <w:r w:rsidR="00755CBA">
        <w:t>.00</w:t>
      </w:r>
      <w:r w:rsidR="00755CBA" w:rsidRPr="00067C82">
        <w:t xml:space="preserve"> </w:t>
      </w:r>
      <w:r w:rsidR="00755CBA">
        <w:t xml:space="preserve">(fourteen thousand five hundred rand) </w:t>
      </w:r>
      <w:r w:rsidR="00CA2B3D" w:rsidRPr="00067C82">
        <w:t>per month towards the rental of the premises occupied by the applicant and the children, which amount shall increase annually in terms</w:t>
      </w:r>
      <w:r w:rsidR="00BA05E8" w:rsidRPr="00067C82">
        <w:t xml:space="preserve"> of the lease agreement entered into from time to time or any other similar lease agreement should the applicant and the children relocate;</w:t>
      </w:r>
    </w:p>
    <w:p w14:paraId="33E64A1E" w14:textId="694FBDE3" w:rsidR="00AD4E0F" w:rsidRDefault="00D94E71" w:rsidP="00D94E71">
      <w:pPr>
        <w:pStyle w:val="JudgmentNumbered"/>
        <w:numPr>
          <w:ilvl w:val="0"/>
          <w:numId w:val="0"/>
        </w:numPr>
        <w:ind w:left="1134" w:hanging="567"/>
      </w:pPr>
      <w:r>
        <w:t>1.3</w:t>
      </w:r>
      <w:r>
        <w:tab/>
      </w:r>
      <w:r w:rsidR="00AD4E0F">
        <w:t xml:space="preserve">By paying </w:t>
      </w:r>
      <w:r w:rsidR="00BA05E8" w:rsidRPr="00067C82">
        <w:t>R1</w:t>
      </w:r>
      <w:r w:rsidR="00934537">
        <w:t> </w:t>
      </w:r>
      <w:r w:rsidR="00BA05E8" w:rsidRPr="00067C82">
        <w:t>450</w:t>
      </w:r>
      <w:r w:rsidR="00934537">
        <w:t>.00</w:t>
      </w:r>
      <w:r w:rsidR="00AD4E0F">
        <w:t xml:space="preserve"> (one thousand four hundred and fifty rand) </w:t>
      </w:r>
      <w:r w:rsidR="00BA05E8" w:rsidRPr="00067C82">
        <w:t>per month towards the children's medical aid</w:t>
      </w:r>
      <w:r w:rsidR="007F2B19">
        <w:t>;</w:t>
      </w:r>
      <w:r w:rsidR="00BA05E8" w:rsidRPr="00067C82">
        <w:t xml:space="preserve"> the children will be retained on the applicant's medical aid;</w:t>
      </w:r>
    </w:p>
    <w:p w14:paraId="5D511EE0" w14:textId="3A51A5BB" w:rsidR="00AD4E0F" w:rsidRDefault="00D94E71" w:rsidP="00D94E71">
      <w:pPr>
        <w:pStyle w:val="JudgmentNumbered"/>
        <w:numPr>
          <w:ilvl w:val="0"/>
          <w:numId w:val="0"/>
        </w:numPr>
        <w:ind w:left="1134" w:hanging="567"/>
      </w:pPr>
      <w:r>
        <w:t>1.4</w:t>
      </w:r>
      <w:r>
        <w:tab/>
      </w:r>
      <w:r w:rsidR="00AD4E0F">
        <w:t>By paying</w:t>
      </w:r>
      <w:r w:rsidR="00AD4E0F" w:rsidRPr="00067C82">
        <w:t xml:space="preserve"> half</w:t>
      </w:r>
      <w:r w:rsidR="00BA05E8" w:rsidRPr="00067C82">
        <w:t xml:space="preserve"> of all reasonable and essential medical expenses not covered by medical aid, additional expenses</w:t>
      </w:r>
      <w:r w:rsidR="00934537">
        <w:t>,</w:t>
      </w:r>
      <w:r w:rsidR="00BA05E8" w:rsidRPr="00067C82">
        <w:t xml:space="preserve"> and excess payments, including but not limited to dental, surgical, hospital, orthodontic, </w:t>
      </w:r>
      <w:r w:rsidR="00934537">
        <w:t xml:space="preserve">and </w:t>
      </w:r>
      <w:r w:rsidR="00BA05E8" w:rsidRPr="00067C82">
        <w:t>ophthalmological medical</w:t>
      </w:r>
      <w:r w:rsidR="00934537">
        <w:t>-</w:t>
      </w:r>
      <w:r w:rsidR="00BA05E8" w:rsidRPr="00067C82">
        <w:t>related expenses;</w:t>
      </w:r>
    </w:p>
    <w:p w14:paraId="6A19993D" w14:textId="4BD15FB6" w:rsidR="00AD4E0F" w:rsidRDefault="00D94E71" w:rsidP="00D94E71">
      <w:pPr>
        <w:pStyle w:val="JudgmentNumbered"/>
        <w:numPr>
          <w:ilvl w:val="0"/>
          <w:numId w:val="0"/>
        </w:numPr>
        <w:ind w:left="1134" w:hanging="567"/>
      </w:pPr>
      <w:r>
        <w:lastRenderedPageBreak/>
        <w:t>1.5</w:t>
      </w:r>
      <w:r>
        <w:tab/>
      </w:r>
      <w:r w:rsidR="00AD4E0F">
        <w:t xml:space="preserve">By paying </w:t>
      </w:r>
      <w:r w:rsidR="00BA05E8" w:rsidRPr="00067C82">
        <w:t>half of all upfront payments for medical consultations, procedures</w:t>
      </w:r>
      <w:r w:rsidR="00934537">
        <w:t>,</w:t>
      </w:r>
      <w:r w:rsidR="00BA05E8" w:rsidRPr="00067C82">
        <w:t xml:space="preserve"> or half of all upfront payments for medical consultations, procedures or medication paid by the applicant and not covered by medical aid within 7 days after receipt of the invoice in regard thereto;</w:t>
      </w:r>
    </w:p>
    <w:p w14:paraId="5BD324B4" w14:textId="579009B6" w:rsidR="0077065B" w:rsidRDefault="00D94E71" w:rsidP="00D94E71">
      <w:pPr>
        <w:pStyle w:val="JudgmentNumbered"/>
        <w:numPr>
          <w:ilvl w:val="0"/>
          <w:numId w:val="0"/>
        </w:numPr>
        <w:ind w:left="1134" w:hanging="567"/>
      </w:pPr>
      <w:r>
        <w:t>1.6</w:t>
      </w:r>
      <w:r>
        <w:tab/>
      </w:r>
      <w:r w:rsidR="00AD4E0F" w:rsidRPr="00AD4E0F">
        <w:rPr>
          <w:lang w:val="en-ZA"/>
        </w:rPr>
        <w:t>By paying for all educational expenses for the minor children, such which include</w:t>
      </w:r>
      <w:r w:rsidR="00AD4E0F" w:rsidRPr="00AD4E0F">
        <w:t xml:space="preserve"> </w:t>
      </w:r>
      <w:r w:rsidR="00AD4E0F" w:rsidRPr="00067C82">
        <w:t>but not limited to</w:t>
      </w:r>
      <w:r w:rsidR="00AD4E0F" w:rsidRPr="00AD4E0F">
        <w:rPr>
          <w:lang w:val="en-ZA"/>
        </w:rPr>
        <w:t xml:space="preserve">, </w:t>
      </w:r>
      <w:r w:rsidR="00BA05E8" w:rsidRPr="00067C82">
        <w:t>private school fees</w:t>
      </w:r>
      <w:r w:rsidR="00AD4E0F">
        <w:t xml:space="preserve">, </w:t>
      </w:r>
      <w:r w:rsidR="00BA05E8" w:rsidRPr="00067C82">
        <w:t>textbooks, stationary, tuition for extra mural activities, school tours and other school related expenses</w:t>
      </w:r>
      <w:r w:rsidR="005C114E" w:rsidRPr="00067C82">
        <w:t>.</w:t>
      </w:r>
    </w:p>
    <w:p w14:paraId="6DF94D26" w14:textId="654307D3" w:rsidR="0077065B" w:rsidRPr="0077065B" w:rsidRDefault="00D94E71" w:rsidP="00D94E71">
      <w:pPr>
        <w:pStyle w:val="JudgmentNumbered"/>
        <w:numPr>
          <w:ilvl w:val="0"/>
          <w:numId w:val="0"/>
        </w:numPr>
        <w:ind w:left="1134" w:hanging="567"/>
      </w:pPr>
      <w:r w:rsidRPr="0077065B">
        <w:t>1.7</w:t>
      </w:r>
      <w:r w:rsidRPr="0077065B">
        <w:tab/>
      </w:r>
      <w:r w:rsidR="0077065B" w:rsidRPr="0077065B">
        <w:t xml:space="preserve">In the event of the applicant incurring any of the expenses as referend to in prayers </w:t>
      </w:r>
      <w:r w:rsidR="0077065B">
        <w:t>1</w:t>
      </w:r>
      <w:r w:rsidR="0077065B" w:rsidRPr="0077065B">
        <w:t xml:space="preserve">.1 to </w:t>
      </w:r>
      <w:r w:rsidR="0077065B">
        <w:t>1.6</w:t>
      </w:r>
      <w:r w:rsidR="0077065B" w:rsidRPr="0077065B">
        <w:t xml:space="preserve"> above, the respondent shall reimburse the applicant within 5 (five) calendar days of receiving proof of payment, invoice or any till sip of such expense being paid.</w:t>
      </w:r>
    </w:p>
    <w:p w14:paraId="55669BA6" w14:textId="497D4168" w:rsidR="0077065B" w:rsidRPr="0077065B" w:rsidRDefault="00D94E71" w:rsidP="00D94E71">
      <w:pPr>
        <w:pStyle w:val="JudgmentNumbered"/>
        <w:numPr>
          <w:ilvl w:val="0"/>
          <w:numId w:val="0"/>
        </w:numPr>
        <w:ind w:left="567" w:hanging="567"/>
        <w:jc w:val="left"/>
      </w:pPr>
      <w:r w:rsidRPr="0077065B">
        <w:t>2.</w:t>
      </w:r>
      <w:r w:rsidRPr="0077065B">
        <w:tab/>
      </w:r>
      <w:r w:rsidR="0077065B" w:rsidRPr="0077065B">
        <w:t>Th</w:t>
      </w:r>
      <w:r w:rsidR="0077065B">
        <w:t>e</w:t>
      </w:r>
      <w:r w:rsidR="0077065B" w:rsidRPr="0077065B">
        <w:t xml:space="preserve"> respondent </w:t>
      </w:r>
      <w:r w:rsidR="0077065B">
        <w:t xml:space="preserve">is to </w:t>
      </w:r>
      <w:r w:rsidR="0077065B" w:rsidRPr="0077065B">
        <w:t>pay the costs of the application.</w:t>
      </w:r>
    </w:p>
    <w:p w14:paraId="214D206F" w14:textId="77777777" w:rsidR="0077065B" w:rsidRPr="00067C82" w:rsidRDefault="0077065B" w:rsidP="0077065B">
      <w:pPr>
        <w:pStyle w:val="JudgmentNumbered"/>
        <w:numPr>
          <w:ilvl w:val="0"/>
          <w:numId w:val="0"/>
        </w:numPr>
        <w:ind w:left="567"/>
        <w:jc w:val="left"/>
      </w:pPr>
    </w:p>
    <w:p w14:paraId="15875C97" w14:textId="77777777" w:rsidR="00CA2B3D" w:rsidRPr="00067C82" w:rsidRDefault="00CA2B3D" w:rsidP="00E06007">
      <w:pPr>
        <w:pStyle w:val="JudgmentNumbered"/>
        <w:numPr>
          <w:ilvl w:val="0"/>
          <w:numId w:val="0"/>
        </w:numPr>
        <w:spacing w:after="0"/>
        <w:ind w:left="567"/>
        <w:rPr>
          <w:rFonts w:eastAsia="Calibri"/>
        </w:rPr>
      </w:pPr>
    </w:p>
    <w:p w14:paraId="56AE4734" w14:textId="77777777" w:rsidR="00C7198B" w:rsidRPr="00067C82" w:rsidRDefault="00C7198B" w:rsidP="00C7198B">
      <w:pPr>
        <w:spacing w:after="0" w:line="360" w:lineRule="auto"/>
        <w:ind w:left="567" w:hanging="567"/>
        <w:jc w:val="right"/>
        <w:rPr>
          <w:rFonts w:ascii="Arial" w:eastAsia="Calibri" w:hAnsi="Arial" w:cs="Arial"/>
          <w:kern w:val="0"/>
          <w:sz w:val="24"/>
          <w:lang w:val="en-GB"/>
          <w14:ligatures w14:val="none"/>
        </w:rPr>
      </w:pPr>
      <w:r w:rsidRPr="00067C82">
        <w:rPr>
          <w:rFonts w:ascii="Arial" w:eastAsia="Calibri" w:hAnsi="Arial" w:cs="Arial"/>
          <w:kern w:val="0"/>
          <w:sz w:val="24"/>
          <w:lang w:val="en-GB"/>
          <w14:ligatures w14:val="none"/>
        </w:rPr>
        <w:t>___________________________</w:t>
      </w:r>
    </w:p>
    <w:p w14:paraId="76EE6D54" w14:textId="77777777" w:rsidR="00C7198B" w:rsidRPr="00067C82" w:rsidRDefault="00C7198B" w:rsidP="00C7198B">
      <w:pPr>
        <w:spacing w:after="0" w:line="360" w:lineRule="auto"/>
        <w:ind w:left="567" w:hanging="567"/>
        <w:jc w:val="right"/>
        <w:rPr>
          <w:rFonts w:ascii="Arial" w:eastAsia="Calibri" w:hAnsi="Arial" w:cs="Arial"/>
          <w:b/>
          <w:kern w:val="0"/>
          <w:sz w:val="24"/>
          <w:lang w:val="en-GB"/>
          <w14:ligatures w14:val="none"/>
        </w:rPr>
      </w:pPr>
      <w:r w:rsidRPr="00067C82">
        <w:rPr>
          <w:rFonts w:ascii="Arial" w:eastAsia="Calibri" w:hAnsi="Arial" w:cs="Arial"/>
          <w:b/>
          <w:kern w:val="0"/>
          <w:sz w:val="24"/>
          <w:lang w:val="en-GB"/>
          <w14:ligatures w14:val="none"/>
        </w:rPr>
        <w:t>P Nkutha-Nkontwana J</w:t>
      </w:r>
    </w:p>
    <w:p w14:paraId="33E52EBF" w14:textId="20B687AB" w:rsidR="00C7198B" w:rsidRPr="00067C82" w:rsidRDefault="00F25213" w:rsidP="00C7198B">
      <w:pPr>
        <w:spacing w:after="0" w:line="360" w:lineRule="auto"/>
        <w:ind w:left="567" w:hanging="567"/>
        <w:jc w:val="right"/>
        <w:rPr>
          <w:rFonts w:ascii="Arial" w:eastAsia="Calibri" w:hAnsi="Arial" w:cs="Arial"/>
          <w:b/>
          <w:kern w:val="0"/>
          <w:sz w:val="24"/>
          <w:lang w:val="en-GB"/>
          <w14:ligatures w14:val="none"/>
        </w:rPr>
      </w:pPr>
      <w:r w:rsidRPr="00067C82">
        <w:rPr>
          <w:rFonts w:ascii="Arial" w:eastAsia="Calibri" w:hAnsi="Arial" w:cs="Arial"/>
          <w:b/>
          <w:kern w:val="0"/>
          <w:sz w:val="24"/>
          <w:lang w:val="en-GB"/>
          <w14:ligatures w14:val="none"/>
        </w:rPr>
        <w:t xml:space="preserve">Judge </w:t>
      </w:r>
      <w:r>
        <w:rPr>
          <w:rFonts w:ascii="Arial" w:eastAsia="Calibri" w:hAnsi="Arial" w:cs="Arial"/>
          <w:b/>
          <w:kern w:val="0"/>
          <w:sz w:val="24"/>
          <w:lang w:val="en-GB"/>
          <w14:ligatures w14:val="none"/>
        </w:rPr>
        <w:t>o</w:t>
      </w:r>
      <w:r w:rsidRPr="00067C82">
        <w:rPr>
          <w:rFonts w:ascii="Arial" w:eastAsia="Calibri" w:hAnsi="Arial" w:cs="Arial"/>
          <w:b/>
          <w:kern w:val="0"/>
          <w:sz w:val="24"/>
          <w:lang w:val="en-GB"/>
          <w14:ligatures w14:val="none"/>
        </w:rPr>
        <w:t xml:space="preserve">f </w:t>
      </w:r>
      <w:r>
        <w:rPr>
          <w:rFonts w:ascii="Arial" w:eastAsia="Calibri" w:hAnsi="Arial" w:cs="Arial"/>
          <w:b/>
          <w:kern w:val="0"/>
          <w:sz w:val="24"/>
          <w:lang w:val="en-GB"/>
          <w14:ligatures w14:val="none"/>
        </w:rPr>
        <w:t>t</w:t>
      </w:r>
      <w:r w:rsidRPr="00067C82">
        <w:rPr>
          <w:rFonts w:ascii="Arial" w:eastAsia="Calibri" w:hAnsi="Arial" w:cs="Arial"/>
          <w:b/>
          <w:kern w:val="0"/>
          <w:sz w:val="24"/>
          <w:lang w:val="en-GB"/>
          <w14:ligatures w14:val="none"/>
        </w:rPr>
        <w:t>he High Court</w:t>
      </w:r>
      <w:r>
        <w:rPr>
          <w:rFonts w:ascii="Arial" w:eastAsia="Calibri" w:hAnsi="Arial" w:cs="Arial"/>
          <w:b/>
          <w:kern w:val="0"/>
          <w:sz w:val="24"/>
          <w:lang w:val="en-GB"/>
          <w14:ligatures w14:val="none"/>
        </w:rPr>
        <w:t>,</w:t>
      </w:r>
    </w:p>
    <w:p w14:paraId="7A3F1958" w14:textId="5DA5369A" w:rsidR="00C7198B" w:rsidRPr="00067C82" w:rsidRDefault="00F25213" w:rsidP="00C7198B">
      <w:pPr>
        <w:spacing w:after="0" w:line="360" w:lineRule="auto"/>
        <w:ind w:left="567" w:hanging="567"/>
        <w:jc w:val="right"/>
        <w:rPr>
          <w:rFonts w:ascii="Arial" w:eastAsia="Calibri" w:hAnsi="Arial" w:cs="Arial"/>
          <w:b/>
          <w:kern w:val="0"/>
          <w:sz w:val="24"/>
          <w:lang w:val="en-GB"/>
          <w14:ligatures w14:val="none"/>
        </w:rPr>
      </w:pPr>
      <w:r w:rsidRPr="00067C82">
        <w:rPr>
          <w:rFonts w:ascii="Arial" w:eastAsia="Calibri" w:hAnsi="Arial" w:cs="Arial"/>
          <w:b/>
          <w:kern w:val="0"/>
          <w:sz w:val="24"/>
          <w:lang w:val="en-GB"/>
          <w14:ligatures w14:val="none"/>
        </w:rPr>
        <w:t>Johannesburg</w:t>
      </w:r>
    </w:p>
    <w:p w14:paraId="6C7D5792" w14:textId="77777777" w:rsidR="00405C13" w:rsidRDefault="00405C13" w:rsidP="00C7198B">
      <w:pPr>
        <w:spacing w:before="240" w:after="120" w:line="360" w:lineRule="auto"/>
        <w:rPr>
          <w:rFonts w:ascii="Arial" w:eastAsia="Times New Roman" w:hAnsi="Arial" w:cs="Arial"/>
          <w:kern w:val="0"/>
          <w:sz w:val="24"/>
          <w:szCs w:val="24"/>
          <w:u w:val="single"/>
          <w:lang w:eastAsia="en-ZA"/>
          <w14:ligatures w14:val="none"/>
        </w:rPr>
      </w:pPr>
    </w:p>
    <w:p w14:paraId="3C7FC6C2" w14:textId="77777777" w:rsidR="00405C13" w:rsidRDefault="00405C13" w:rsidP="00C7198B">
      <w:pPr>
        <w:spacing w:before="240" w:after="120" w:line="360" w:lineRule="auto"/>
        <w:rPr>
          <w:rFonts w:ascii="Arial" w:eastAsia="Times New Roman" w:hAnsi="Arial" w:cs="Arial"/>
          <w:kern w:val="0"/>
          <w:sz w:val="24"/>
          <w:szCs w:val="24"/>
          <w:u w:val="single"/>
          <w:lang w:eastAsia="en-ZA"/>
          <w14:ligatures w14:val="none"/>
        </w:rPr>
      </w:pPr>
    </w:p>
    <w:p w14:paraId="77D8C31B" w14:textId="77777777" w:rsidR="00405C13" w:rsidRDefault="00405C13" w:rsidP="00C7198B">
      <w:pPr>
        <w:spacing w:before="240" w:after="120" w:line="360" w:lineRule="auto"/>
        <w:rPr>
          <w:rFonts w:ascii="Arial" w:eastAsia="Times New Roman" w:hAnsi="Arial" w:cs="Arial"/>
          <w:kern w:val="0"/>
          <w:sz w:val="24"/>
          <w:szCs w:val="24"/>
          <w:u w:val="single"/>
          <w:lang w:eastAsia="en-ZA"/>
          <w14:ligatures w14:val="none"/>
        </w:rPr>
      </w:pPr>
    </w:p>
    <w:p w14:paraId="554E749D" w14:textId="77777777" w:rsidR="00405C13" w:rsidRDefault="00405C13" w:rsidP="00C7198B">
      <w:pPr>
        <w:spacing w:before="240" w:after="120" w:line="360" w:lineRule="auto"/>
        <w:rPr>
          <w:rFonts w:ascii="Arial" w:eastAsia="Times New Roman" w:hAnsi="Arial" w:cs="Arial"/>
          <w:kern w:val="0"/>
          <w:sz w:val="24"/>
          <w:szCs w:val="24"/>
          <w:u w:val="single"/>
          <w:lang w:eastAsia="en-ZA"/>
          <w14:ligatures w14:val="none"/>
        </w:rPr>
      </w:pPr>
    </w:p>
    <w:p w14:paraId="0F50360E" w14:textId="77777777" w:rsidR="00405C13" w:rsidRDefault="00405C13" w:rsidP="00C7198B">
      <w:pPr>
        <w:spacing w:before="240" w:after="120" w:line="360" w:lineRule="auto"/>
        <w:rPr>
          <w:rFonts w:ascii="Arial" w:eastAsia="Times New Roman" w:hAnsi="Arial" w:cs="Arial"/>
          <w:kern w:val="0"/>
          <w:sz w:val="24"/>
          <w:szCs w:val="24"/>
          <w:u w:val="single"/>
          <w:lang w:eastAsia="en-ZA"/>
          <w14:ligatures w14:val="none"/>
        </w:rPr>
      </w:pPr>
    </w:p>
    <w:p w14:paraId="36DD75F1" w14:textId="77777777" w:rsidR="00405C13" w:rsidRDefault="00405C13" w:rsidP="00C7198B">
      <w:pPr>
        <w:spacing w:before="240" w:after="120" w:line="360" w:lineRule="auto"/>
        <w:rPr>
          <w:rFonts w:ascii="Arial" w:eastAsia="Times New Roman" w:hAnsi="Arial" w:cs="Arial"/>
          <w:kern w:val="0"/>
          <w:sz w:val="24"/>
          <w:szCs w:val="24"/>
          <w:u w:val="single"/>
          <w:lang w:eastAsia="en-ZA"/>
          <w14:ligatures w14:val="none"/>
        </w:rPr>
      </w:pPr>
    </w:p>
    <w:p w14:paraId="2186DEF5" w14:textId="77777777" w:rsidR="00405C13" w:rsidRDefault="00405C13" w:rsidP="00C7198B">
      <w:pPr>
        <w:spacing w:before="240" w:after="120" w:line="360" w:lineRule="auto"/>
        <w:rPr>
          <w:rFonts w:ascii="Arial" w:eastAsia="Times New Roman" w:hAnsi="Arial" w:cs="Arial"/>
          <w:kern w:val="0"/>
          <w:sz w:val="24"/>
          <w:szCs w:val="24"/>
          <w:u w:val="single"/>
          <w:lang w:eastAsia="en-ZA"/>
          <w14:ligatures w14:val="none"/>
        </w:rPr>
      </w:pPr>
    </w:p>
    <w:p w14:paraId="53F7FA60" w14:textId="77777777" w:rsidR="00405C13" w:rsidRDefault="00405C13" w:rsidP="00C7198B">
      <w:pPr>
        <w:spacing w:before="240" w:after="120" w:line="360" w:lineRule="auto"/>
        <w:rPr>
          <w:rFonts w:ascii="Arial" w:eastAsia="Times New Roman" w:hAnsi="Arial" w:cs="Arial"/>
          <w:kern w:val="0"/>
          <w:sz w:val="24"/>
          <w:szCs w:val="24"/>
          <w:u w:val="single"/>
          <w:lang w:eastAsia="en-ZA"/>
          <w14:ligatures w14:val="none"/>
        </w:rPr>
      </w:pPr>
    </w:p>
    <w:p w14:paraId="09B86D5C" w14:textId="76383968" w:rsidR="00405C13" w:rsidRPr="00405C13" w:rsidRDefault="00405C13" w:rsidP="00C7198B">
      <w:pPr>
        <w:spacing w:before="240" w:after="120" w:line="360" w:lineRule="auto"/>
        <w:rPr>
          <w:rFonts w:ascii="Arial" w:eastAsia="Times New Roman" w:hAnsi="Arial" w:cs="Arial"/>
          <w:kern w:val="0"/>
          <w:sz w:val="24"/>
          <w:szCs w:val="24"/>
          <w:lang w:eastAsia="en-ZA"/>
          <w14:ligatures w14:val="none"/>
        </w:rPr>
      </w:pPr>
      <w:r w:rsidRPr="00405C13">
        <w:rPr>
          <w:rFonts w:ascii="Arial" w:eastAsia="Times New Roman" w:hAnsi="Arial" w:cs="Arial"/>
          <w:kern w:val="0"/>
          <w:sz w:val="24"/>
          <w:szCs w:val="24"/>
          <w:lang w:eastAsia="en-ZA"/>
          <w14:ligatures w14:val="none"/>
        </w:rPr>
        <w:lastRenderedPageBreak/>
        <w:t>Heard on: 06 October 2023</w:t>
      </w:r>
    </w:p>
    <w:p w14:paraId="65FF4CB4" w14:textId="3F1BB3B4" w:rsidR="00405C13" w:rsidRPr="00405C13" w:rsidRDefault="00405C13" w:rsidP="00C7198B">
      <w:pPr>
        <w:spacing w:before="240" w:after="120" w:line="360" w:lineRule="auto"/>
        <w:rPr>
          <w:rFonts w:ascii="Arial" w:eastAsia="Times New Roman" w:hAnsi="Arial" w:cs="Arial"/>
          <w:kern w:val="0"/>
          <w:sz w:val="24"/>
          <w:szCs w:val="24"/>
          <w:lang w:eastAsia="en-ZA"/>
          <w14:ligatures w14:val="none"/>
        </w:rPr>
      </w:pPr>
      <w:r w:rsidRPr="00405C13">
        <w:rPr>
          <w:rFonts w:ascii="Arial" w:eastAsia="Times New Roman" w:hAnsi="Arial" w:cs="Arial"/>
          <w:kern w:val="0"/>
          <w:sz w:val="24"/>
          <w:szCs w:val="24"/>
          <w:lang w:eastAsia="en-ZA"/>
          <w14:ligatures w14:val="none"/>
        </w:rPr>
        <w:t>Handed down on: 01 November 2023</w:t>
      </w:r>
    </w:p>
    <w:p w14:paraId="23BA8D32" w14:textId="6A7AF290" w:rsidR="00405C13" w:rsidRPr="00067C82" w:rsidRDefault="00C7198B" w:rsidP="00C7198B">
      <w:pPr>
        <w:spacing w:before="240" w:after="120" w:line="360" w:lineRule="auto"/>
        <w:rPr>
          <w:rFonts w:ascii="Arial" w:eastAsia="Times New Roman" w:hAnsi="Arial" w:cs="Arial"/>
          <w:kern w:val="0"/>
          <w:sz w:val="24"/>
          <w:szCs w:val="24"/>
          <w:u w:val="single"/>
          <w:lang w:eastAsia="en-ZA"/>
          <w14:ligatures w14:val="none"/>
        </w:rPr>
      </w:pPr>
      <w:r w:rsidRPr="00067C82">
        <w:rPr>
          <w:rFonts w:ascii="Arial" w:eastAsia="Times New Roman" w:hAnsi="Arial" w:cs="Arial"/>
          <w:kern w:val="0"/>
          <w:sz w:val="24"/>
          <w:szCs w:val="24"/>
          <w:u w:val="single"/>
          <w:lang w:eastAsia="en-ZA"/>
          <w14:ligatures w14:val="none"/>
        </w:rPr>
        <w:t>Appearances:</w:t>
      </w:r>
    </w:p>
    <w:p w14:paraId="1B415F16" w14:textId="567760B9" w:rsidR="00C7198B" w:rsidRPr="00067C82" w:rsidRDefault="00C7198B" w:rsidP="00C7198B">
      <w:pPr>
        <w:tabs>
          <w:tab w:val="left" w:pos="3686"/>
        </w:tabs>
        <w:spacing w:before="240" w:after="120" w:line="360" w:lineRule="auto"/>
        <w:ind w:left="3686" w:hanging="3686"/>
        <w:rPr>
          <w:rFonts w:ascii="Arial" w:eastAsia="Times New Roman" w:hAnsi="Arial" w:cs="Arial"/>
          <w:bCs/>
          <w:kern w:val="0"/>
          <w:sz w:val="24"/>
          <w:szCs w:val="24"/>
          <w:lang w:val="en-US" w:eastAsia="en-ZA"/>
          <w14:ligatures w14:val="none"/>
        </w:rPr>
      </w:pPr>
      <w:r w:rsidRPr="00067C82">
        <w:rPr>
          <w:rFonts w:ascii="Arial" w:eastAsia="Times New Roman" w:hAnsi="Arial" w:cs="Arial"/>
          <w:kern w:val="0"/>
          <w:sz w:val="24"/>
          <w:szCs w:val="24"/>
          <w:lang w:eastAsia="en-ZA"/>
          <w14:ligatures w14:val="none"/>
        </w:rPr>
        <w:t xml:space="preserve">For the </w:t>
      </w:r>
      <w:r w:rsidR="007F37DB" w:rsidRPr="00067C82">
        <w:rPr>
          <w:rFonts w:ascii="Arial" w:eastAsia="Times New Roman" w:hAnsi="Arial" w:cs="Arial"/>
          <w:kern w:val="0"/>
          <w:sz w:val="24"/>
          <w:szCs w:val="24"/>
          <w:lang w:eastAsia="en-ZA"/>
          <w14:ligatures w14:val="none"/>
        </w:rPr>
        <w:t>A</w:t>
      </w:r>
      <w:r w:rsidRPr="00067C82">
        <w:rPr>
          <w:rFonts w:ascii="Arial" w:eastAsia="Times New Roman" w:hAnsi="Arial" w:cs="Arial"/>
          <w:kern w:val="0"/>
          <w:sz w:val="24"/>
          <w:szCs w:val="24"/>
          <w:lang w:eastAsia="en-ZA"/>
          <w14:ligatures w14:val="none"/>
        </w:rPr>
        <w:t>pplicant:</w:t>
      </w:r>
      <w:r w:rsidRPr="00067C82">
        <w:rPr>
          <w:rFonts w:ascii="Arial" w:eastAsia="Times New Roman" w:hAnsi="Arial" w:cs="Arial"/>
          <w:kern w:val="0"/>
          <w:sz w:val="24"/>
          <w:szCs w:val="24"/>
          <w:lang w:eastAsia="en-ZA"/>
          <w14:ligatures w14:val="none"/>
        </w:rPr>
        <w:tab/>
      </w:r>
      <w:r w:rsidR="00405C13">
        <w:rPr>
          <w:rFonts w:ascii="Arial" w:eastAsia="Times New Roman" w:hAnsi="Arial" w:cs="Arial"/>
          <w:bCs/>
          <w:kern w:val="0"/>
          <w:sz w:val="24"/>
          <w:szCs w:val="24"/>
          <w:lang w:val="en-US" w:eastAsia="en-ZA"/>
          <w14:ligatures w14:val="none"/>
        </w:rPr>
        <w:t>Adv S Meyer</w:t>
      </w:r>
    </w:p>
    <w:p w14:paraId="35E99580" w14:textId="26ACE515" w:rsidR="00C7198B" w:rsidRPr="00067C82" w:rsidRDefault="00C7198B" w:rsidP="00C7198B">
      <w:pPr>
        <w:tabs>
          <w:tab w:val="left" w:pos="3686"/>
        </w:tabs>
        <w:spacing w:before="240" w:after="120" w:line="360" w:lineRule="auto"/>
        <w:ind w:left="3686" w:hanging="3686"/>
        <w:rPr>
          <w:rFonts w:ascii="Arial" w:eastAsia="Times New Roman" w:hAnsi="Arial" w:cs="Arial"/>
          <w:kern w:val="0"/>
          <w:sz w:val="24"/>
          <w:szCs w:val="24"/>
          <w:lang w:eastAsia="en-ZA"/>
          <w14:ligatures w14:val="none"/>
        </w:rPr>
      </w:pPr>
      <w:r w:rsidRPr="00067C82">
        <w:rPr>
          <w:rFonts w:ascii="Arial" w:eastAsia="Times New Roman" w:hAnsi="Arial" w:cs="Arial"/>
          <w:kern w:val="0"/>
          <w:sz w:val="24"/>
          <w:szCs w:val="24"/>
          <w:lang w:eastAsia="en-ZA"/>
          <w14:ligatures w14:val="none"/>
        </w:rPr>
        <w:t>Instructed by:</w:t>
      </w:r>
      <w:r w:rsidRPr="00067C82">
        <w:rPr>
          <w:rFonts w:ascii="Arial" w:eastAsia="Times New Roman" w:hAnsi="Arial" w:cs="Arial"/>
          <w:kern w:val="0"/>
          <w:sz w:val="24"/>
          <w:szCs w:val="24"/>
          <w:lang w:eastAsia="en-ZA"/>
          <w14:ligatures w14:val="none"/>
        </w:rPr>
        <w:tab/>
      </w:r>
      <w:r w:rsidR="00405C13" w:rsidRPr="00405C13">
        <w:rPr>
          <w:rFonts w:ascii="Arial" w:eastAsia="Times New Roman" w:hAnsi="Arial" w:cs="Arial"/>
          <w:kern w:val="0"/>
          <w:sz w:val="24"/>
          <w:szCs w:val="24"/>
          <w:lang w:eastAsia="en-ZA"/>
          <w14:ligatures w14:val="none"/>
        </w:rPr>
        <w:t>Paul Friedman &amp; Associates</w:t>
      </w:r>
    </w:p>
    <w:p w14:paraId="5D19266A" w14:textId="14272590" w:rsidR="00C7198B" w:rsidRPr="00067C82" w:rsidRDefault="00C7198B" w:rsidP="00C7198B">
      <w:pPr>
        <w:tabs>
          <w:tab w:val="left" w:pos="3686"/>
        </w:tabs>
        <w:spacing w:before="240" w:after="120" w:line="360" w:lineRule="auto"/>
        <w:ind w:left="3686" w:hanging="3686"/>
        <w:rPr>
          <w:rFonts w:ascii="Arial" w:eastAsia="Times New Roman" w:hAnsi="Arial" w:cs="Arial"/>
          <w:kern w:val="0"/>
          <w:sz w:val="24"/>
          <w:szCs w:val="24"/>
          <w:lang w:eastAsia="en-ZA"/>
          <w14:ligatures w14:val="none"/>
        </w:rPr>
      </w:pPr>
      <w:r w:rsidRPr="00067C82">
        <w:rPr>
          <w:rFonts w:ascii="Arial" w:eastAsia="Times New Roman" w:hAnsi="Arial" w:cs="Arial"/>
          <w:kern w:val="0"/>
          <w:sz w:val="24"/>
          <w:szCs w:val="24"/>
          <w:lang w:eastAsia="en-ZA"/>
          <w14:ligatures w14:val="none"/>
        </w:rPr>
        <w:t xml:space="preserve">For the </w:t>
      </w:r>
      <w:r w:rsidR="007F37DB" w:rsidRPr="00067C82">
        <w:rPr>
          <w:rFonts w:ascii="Arial" w:eastAsia="Times New Roman" w:hAnsi="Arial" w:cs="Arial"/>
          <w:kern w:val="0"/>
          <w:sz w:val="24"/>
          <w:szCs w:val="24"/>
          <w:lang w:eastAsia="en-ZA"/>
          <w14:ligatures w14:val="none"/>
        </w:rPr>
        <w:t>R</w:t>
      </w:r>
      <w:r w:rsidRPr="00067C82">
        <w:rPr>
          <w:rFonts w:ascii="Arial" w:eastAsia="Times New Roman" w:hAnsi="Arial" w:cs="Arial"/>
          <w:kern w:val="0"/>
          <w:sz w:val="24"/>
          <w:szCs w:val="24"/>
          <w:lang w:eastAsia="en-ZA"/>
          <w14:ligatures w14:val="none"/>
        </w:rPr>
        <w:t>espondent:</w:t>
      </w:r>
      <w:r w:rsidR="007F37DB" w:rsidRPr="00067C82">
        <w:rPr>
          <w:rFonts w:ascii="Arial" w:eastAsia="Times New Roman" w:hAnsi="Arial" w:cs="Arial"/>
          <w:kern w:val="0"/>
          <w:sz w:val="24"/>
          <w:szCs w:val="24"/>
          <w:lang w:eastAsia="en-ZA"/>
          <w14:ligatures w14:val="none"/>
        </w:rPr>
        <w:tab/>
      </w:r>
      <w:r w:rsidR="00405C13" w:rsidRPr="00405C13">
        <w:rPr>
          <w:rFonts w:ascii="Arial" w:eastAsia="Times New Roman" w:hAnsi="Arial" w:cs="Arial"/>
          <w:kern w:val="0"/>
          <w:sz w:val="24"/>
          <w:szCs w:val="24"/>
          <w:lang w:eastAsia="en-ZA"/>
          <w14:ligatures w14:val="none"/>
        </w:rPr>
        <w:t>Adv N Mohlala</w:t>
      </w:r>
    </w:p>
    <w:p w14:paraId="03CB10E5" w14:textId="17A7D4B1" w:rsidR="007F37DB" w:rsidRPr="00067C82" w:rsidRDefault="00BE0D1D" w:rsidP="007F37DB">
      <w:pPr>
        <w:tabs>
          <w:tab w:val="left" w:pos="3686"/>
        </w:tabs>
        <w:spacing w:before="240" w:after="120" w:line="360" w:lineRule="auto"/>
        <w:ind w:left="3686" w:hanging="3686"/>
        <w:rPr>
          <w:rFonts w:ascii="Arial" w:eastAsia="Times New Roman" w:hAnsi="Arial" w:cs="Arial"/>
          <w:kern w:val="0"/>
          <w:sz w:val="24"/>
          <w:szCs w:val="24"/>
          <w:lang w:eastAsia="en-ZA"/>
          <w14:ligatures w14:val="none"/>
        </w:rPr>
      </w:pPr>
      <w:r>
        <w:rPr>
          <w:rFonts w:ascii="Arial" w:eastAsia="Times New Roman" w:hAnsi="Arial" w:cs="Arial"/>
          <w:kern w:val="0"/>
          <w:sz w:val="24"/>
          <w:szCs w:val="24"/>
          <w:lang w:eastAsia="en-ZA"/>
          <w14:ligatures w14:val="none"/>
        </w:rPr>
        <w:t>Instructed by</w:t>
      </w:r>
      <w:r w:rsidR="007F37DB" w:rsidRPr="00067C82">
        <w:rPr>
          <w:rFonts w:ascii="Arial" w:eastAsia="Times New Roman" w:hAnsi="Arial" w:cs="Arial"/>
          <w:kern w:val="0"/>
          <w:sz w:val="24"/>
          <w:szCs w:val="24"/>
          <w:lang w:eastAsia="en-ZA"/>
          <w14:ligatures w14:val="none"/>
        </w:rPr>
        <w:t>:</w:t>
      </w:r>
      <w:r w:rsidR="007F37DB" w:rsidRPr="00067C82">
        <w:rPr>
          <w:rFonts w:ascii="Arial" w:eastAsia="Times New Roman" w:hAnsi="Arial" w:cs="Arial"/>
          <w:kern w:val="0"/>
          <w:sz w:val="24"/>
          <w:szCs w:val="24"/>
          <w:lang w:eastAsia="en-ZA"/>
          <w14:ligatures w14:val="none"/>
        </w:rPr>
        <w:tab/>
      </w:r>
      <w:r w:rsidR="00405C13">
        <w:rPr>
          <w:rFonts w:ascii="Arial" w:eastAsia="Times New Roman" w:hAnsi="Arial" w:cs="Arial"/>
          <w:kern w:val="0"/>
          <w:sz w:val="24"/>
          <w:szCs w:val="24"/>
          <w:lang w:eastAsia="en-ZA"/>
          <w14:ligatures w14:val="none"/>
        </w:rPr>
        <w:t>Ngoetjana Attorneys</w:t>
      </w:r>
    </w:p>
    <w:p w14:paraId="2C40503B" w14:textId="77777777" w:rsidR="002074E1" w:rsidRPr="00E06007" w:rsidRDefault="002074E1" w:rsidP="007F37DB">
      <w:pPr>
        <w:rPr>
          <w:rFonts w:ascii="Arial" w:hAnsi="Arial" w:cs="Arial"/>
          <w:sz w:val="24"/>
          <w:szCs w:val="24"/>
        </w:rPr>
      </w:pPr>
    </w:p>
    <w:sectPr w:rsidR="002074E1" w:rsidRPr="00E06007" w:rsidSect="00E06007">
      <w:footerReference w:type="default" r:id="rId14"/>
      <w:type w:val="continuous"/>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6396D" w14:textId="77777777" w:rsidR="006B717A" w:rsidRDefault="006B717A" w:rsidP="00C7198B">
      <w:pPr>
        <w:spacing w:after="0" w:line="240" w:lineRule="auto"/>
      </w:pPr>
      <w:r>
        <w:separator/>
      </w:r>
    </w:p>
  </w:endnote>
  <w:endnote w:type="continuationSeparator" w:id="0">
    <w:p w14:paraId="2E5C8A4C" w14:textId="77777777" w:rsidR="006B717A" w:rsidRDefault="006B717A" w:rsidP="00C7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4832"/>
      <w:docPartObj>
        <w:docPartGallery w:val="Page Numbers (Bottom of Page)"/>
        <w:docPartUnique/>
      </w:docPartObj>
    </w:sdtPr>
    <w:sdtEndPr>
      <w:rPr>
        <w:noProof/>
      </w:rPr>
    </w:sdtEndPr>
    <w:sdtContent>
      <w:p w14:paraId="005DCA77" w14:textId="4A054BF5" w:rsidR="005C114E" w:rsidRDefault="005C114E" w:rsidP="00B3528E">
        <w:pPr>
          <w:pStyle w:val="Footer1"/>
          <w:jc w:val="right"/>
        </w:pPr>
        <w:r>
          <w:fldChar w:fldCharType="begin"/>
        </w:r>
        <w:r>
          <w:instrText xml:space="preserve"> PAGE   \* MERGEFORMAT </w:instrText>
        </w:r>
        <w:r>
          <w:fldChar w:fldCharType="separate"/>
        </w:r>
        <w:r w:rsidR="00D94E71">
          <w:rPr>
            <w:noProof/>
          </w:rPr>
          <w:t>10</w:t>
        </w:r>
        <w:r>
          <w:rPr>
            <w:noProof/>
          </w:rPr>
          <w:fldChar w:fldCharType="end"/>
        </w:r>
      </w:p>
    </w:sdtContent>
  </w:sdt>
  <w:p w14:paraId="292CDBB9" w14:textId="77777777" w:rsidR="005C114E" w:rsidRDefault="005C114E">
    <w:pPr>
      <w:pStyle w:val="Footer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11430" w14:textId="77777777" w:rsidR="006B717A" w:rsidRDefault="006B717A" w:rsidP="00C7198B">
      <w:pPr>
        <w:spacing w:after="0" w:line="240" w:lineRule="auto"/>
      </w:pPr>
      <w:r>
        <w:separator/>
      </w:r>
    </w:p>
  </w:footnote>
  <w:footnote w:type="continuationSeparator" w:id="0">
    <w:p w14:paraId="0745D579" w14:textId="77777777" w:rsidR="006B717A" w:rsidRDefault="006B717A" w:rsidP="00C7198B">
      <w:pPr>
        <w:spacing w:after="0" w:line="240" w:lineRule="auto"/>
      </w:pPr>
      <w:r>
        <w:continuationSeparator/>
      </w:r>
    </w:p>
  </w:footnote>
  <w:footnote w:id="1">
    <w:p w14:paraId="7EC96001" w14:textId="77777777" w:rsidR="007E73D2" w:rsidRPr="00023C4F" w:rsidRDefault="007E73D2" w:rsidP="007E73D2">
      <w:pPr>
        <w:pStyle w:val="FootnoteText"/>
        <w:ind w:left="142" w:hanging="142"/>
        <w:jc w:val="both"/>
        <w:rPr>
          <w:rFonts w:ascii="Arial" w:hAnsi="Arial" w:cs="Arial"/>
        </w:rPr>
      </w:pPr>
      <w:r w:rsidRPr="00023C4F">
        <w:rPr>
          <w:rStyle w:val="FootnoteReference"/>
          <w:rFonts w:ascii="Arial" w:hAnsi="Arial" w:cs="Arial"/>
        </w:rPr>
        <w:footnoteRef/>
      </w:r>
      <w:r w:rsidRPr="00023C4F">
        <w:rPr>
          <w:rFonts w:ascii="Arial" w:hAnsi="Arial" w:cs="Arial"/>
        </w:rPr>
        <w:t xml:space="preserve"> Rule 43 provides:</w:t>
      </w:r>
    </w:p>
    <w:p w14:paraId="0E7505A2" w14:textId="77777777" w:rsidR="007E73D2" w:rsidRPr="00023C4F" w:rsidRDefault="007E73D2" w:rsidP="007E73D2">
      <w:pPr>
        <w:pStyle w:val="FootnoteText"/>
        <w:ind w:left="851" w:hanging="426"/>
        <w:jc w:val="both"/>
        <w:rPr>
          <w:rFonts w:ascii="Arial" w:hAnsi="Arial" w:cs="Arial"/>
        </w:rPr>
      </w:pPr>
      <w:r w:rsidRPr="00023C4F">
        <w:rPr>
          <w:rFonts w:ascii="Arial" w:hAnsi="Arial" w:cs="Arial"/>
        </w:rPr>
        <w:t>“(1)</w:t>
      </w:r>
      <w:r w:rsidRPr="00023C4F">
        <w:rPr>
          <w:rFonts w:ascii="Arial" w:hAnsi="Arial" w:cs="Arial"/>
        </w:rPr>
        <w:tab/>
        <w:t>This rule shall apply whenever a spouse seeks relief from the court in respect of one or more of the following matters:</w:t>
      </w:r>
    </w:p>
    <w:p w14:paraId="3A65CC14" w14:textId="053909C0" w:rsidR="007E73D2" w:rsidRPr="00023C4F" w:rsidRDefault="00D94E71" w:rsidP="00D94E71">
      <w:pPr>
        <w:pStyle w:val="FootnoteText"/>
        <w:ind w:left="1276" w:hanging="425"/>
        <w:jc w:val="both"/>
        <w:rPr>
          <w:rFonts w:ascii="Arial" w:hAnsi="Arial" w:cs="Arial"/>
        </w:rPr>
      </w:pPr>
      <w:r w:rsidRPr="00023C4F">
        <w:rPr>
          <w:rFonts w:ascii="Arial" w:hAnsi="Arial" w:cs="Arial"/>
        </w:rPr>
        <w:t>(a)</w:t>
      </w:r>
      <w:r w:rsidRPr="00023C4F">
        <w:rPr>
          <w:rFonts w:ascii="Arial" w:hAnsi="Arial" w:cs="Arial"/>
        </w:rPr>
        <w:tab/>
      </w:r>
      <w:r w:rsidR="007E73D2" w:rsidRPr="00023C4F">
        <w:rPr>
          <w:rFonts w:ascii="Arial" w:hAnsi="Arial" w:cs="Arial"/>
        </w:rPr>
        <w:t>Maintenance pendente lite;</w:t>
      </w:r>
    </w:p>
    <w:p w14:paraId="6E52E5E4" w14:textId="214C3FD1" w:rsidR="007E73D2" w:rsidRPr="00023C4F" w:rsidRDefault="00D94E71" w:rsidP="00D94E71">
      <w:pPr>
        <w:pStyle w:val="FootnoteText"/>
        <w:ind w:left="1276" w:hanging="425"/>
        <w:jc w:val="both"/>
        <w:rPr>
          <w:rFonts w:ascii="Arial" w:hAnsi="Arial" w:cs="Arial"/>
        </w:rPr>
      </w:pPr>
      <w:r w:rsidRPr="00023C4F">
        <w:rPr>
          <w:rFonts w:ascii="Arial" w:hAnsi="Arial" w:cs="Arial"/>
        </w:rPr>
        <w:t>(b)</w:t>
      </w:r>
      <w:r w:rsidRPr="00023C4F">
        <w:rPr>
          <w:rFonts w:ascii="Arial" w:hAnsi="Arial" w:cs="Arial"/>
        </w:rPr>
        <w:tab/>
      </w:r>
      <w:r w:rsidR="007E73D2" w:rsidRPr="00023C4F">
        <w:rPr>
          <w:rFonts w:ascii="Arial" w:hAnsi="Arial" w:cs="Arial"/>
        </w:rPr>
        <w:t>A contribution towards the costs of a matrimonial action, pending or about to be instituted;</w:t>
      </w:r>
    </w:p>
    <w:p w14:paraId="7D4A58BB" w14:textId="2950F178" w:rsidR="007E73D2" w:rsidRPr="00023C4F" w:rsidRDefault="00D94E71" w:rsidP="00D94E71">
      <w:pPr>
        <w:pStyle w:val="FootnoteText"/>
        <w:ind w:left="1276" w:hanging="425"/>
        <w:jc w:val="both"/>
        <w:rPr>
          <w:rFonts w:ascii="Arial" w:hAnsi="Arial" w:cs="Arial"/>
        </w:rPr>
      </w:pPr>
      <w:r w:rsidRPr="00023C4F">
        <w:rPr>
          <w:rFonts w:ascii="Arial" w:hAnsi="Arial" w:cs="Arial"/>
        </w:rPr>
        <w:t>(c)</w:t>
      </w:r>
      <w:r w:rsidRPr="00023C4F">
        <w:rPr>
          <w:rFonts w:ascii="Arial" w:hAnsi="Arial" w:cs="Arial"/>
        </w:rPr>
        <w:tab/>
      </w:r>
      <w:r w:rsidR="007E73D2" w:rsidRPr="00023C4F">
        <w:rPr>
          <w:rFonts w:ascii="Arial" w:hAnsi="Arial" w:cs="Arial"/>
        </w:rPr>
        <w:t>Interim care of any child;</w:t>
      </w:r>
    </w:p>
    <w:p w14:paraId="283AF658" w14:textId="3EF071F7" w:rsidR="007E73D2" w:rsidRPr="00023C4F" w:rsidRDefault="00D94E71" w:rsidP="00D94E71">
      <w:pPr>
        <w:pStyle w:val="FootnoteText"/>
        <w:ind w:left="1276" w:hanging="425"/>
        <w:jc w:val="both"/>
        <w:rPr>
          <w:rFonts w:ascii="Arial" w:hAnsi="Arial" w:cs="Arial"/>
        </w:rPr>
      </w:pPr>
      <w:r w:rsidRPr="00023C4F">
        <w:rPr>
          <w:rFonts w:ascii="Arial" w:hAnsi="Arial" w:cs="Arial"/>
        </w:rPr>
        <w:t>(d)</w:t>
      </w:r>
      <w:r w:rsidRPr="00023C4F">
        <w:rPr>
          <w:rFonts w:ascii="Arial" w:hAnsi="Arial" w:cs="Arial"/>
        </w:rPr>
        <w:tab/>
      </w:r>
      <w:r w:rsidR="007E73D2" w:rsidRPr="00023C4F">
        <w:rPr>
          <w:rFonts w:ascii="Arial" w:hAnsi="Arial" w:cs="Arial"/>
        </w:rPr>
        <w:t xml:space="preserve"> Interim contact with any child.”</w:t>
      </w:r>
    </w:p>
  </w:footnote>
  <w:footnote w:id="2">
    <w:p w14:paraId="6753F9D0" w14:textId="725F93B5" w:rsidR="008E7319" w:rsidRPr="009B2541" w:rsidRDefault="008E7319" w:rsidP="009B2541">
      <w:pPr>
        <w:pStyle w:val="FootnoteText"/>
        <w:jc w:val="both"/>
        <w:rPr>
          <w:rFonts w:ascii="Arial" w:hAnsi="Arial" w:cs="Arial"/>
          <w:sz w:val="18"/>
          <w:szCs w:val="18"/>
        </w:rPr>
      </w:pPr>
      <w:r w:rsidRPr="009B2541">
        <w:rPr>
          <w:rStyle w:val="FootnoteReference"/>
          <w:rFonts w:ascii="Arial" w:hAnsi="Arial" w:cs="Arial"/>
          <w:sz w:val="18"/>
          <w:szCs w:val="18"/>
        </w:rPr>
        <w:footnoteRef/>
      </w:r>
      <w:r w:rsidRPr="009B2541">
        <w:rPr>
          <w:rFonts w:ascii="Arial" w:hAnsi="Arial" w:cs="Arial"/>
          <w:sz w:val="18"/>
          <w:szCs w:val="18"/>
        </w:rPr>
        <w:t xml:space="preserve"> </w:t>
      </w:r>
      <w:r w:rsidR="00BB36B1" w:rsidRPr="009B2541">
        <w:rPr>
          <w:rFonts w:ascii="Arial" w:hAnsi="Arial" w:cs="Arial"/>
          <w:sz w:val="18"/>
          <w:szCs w:val="18"/>
        </w:rPr>
        <w:t>See</w:t>
      </w:r>
      <w:r w:rsidR="007F37DB" w:rsidRPr="009B2541">
        <w:rPr>
          <w:rFonts w:ascii="Arial" w:hAnsi="Arial" w:cs="Arial"/>
          <w:sz w:val="18"/>
          <w:szCs w:val="18"/>
        </w:rPr>
        <w:t xml:space="preserve"> </w:t>
      </w:r>
      <w:r w:rsidR="00BB36B1" w:rsidRPr="009B2541">
        <w:rPr>
          <w:rFonts w:ascii="Arial" w:hAnsi="Arial" w:cs="Arial"/>
          <w:i/>
          <w:iCs/>
          <w:sz w:val="18"/>
          <w:szCs w:val="18"/>
        </w:rPr>
        <w:t>S.K v J.L</w:t>
      </w:r>
      <w:r w:rsidR="00A178C6" w:rsidRPr="009B2541">
        <w:rPr>
          <w:rFonts w:ascii="Arial" w:hAnsi="Arial" w:cs="Arial"/>
          <w:i/>
          <w:iCs/>
          <w:sz w:val="18"/>
          <w:szCs w:val="18"/>
        </w:rPr>
        <w:t>.</w:t>
      </w:r>
      <w:r w:rsidR="00BB36B1" w:rsidRPr="009B2541">
        <w:rPr>
          <w:rFonts w:ascii="Arial" w:hAnsi="Arial" w:cs="Arial"/>
          <w:i/>
          <w:iCs/>
          <w:sz w:val="18"/>
          <w:szCs w:val="18"/>
        </w:rPr>
        <w:t>K</w:t>
      </w:r>
      <w:r w:rsidR="00BB36B1" w:rsidRPr="009B2541">
        <w:rPr>
          <w:rFonts w:ascii="Arial" w:hAnsi="Arial" w:cs="Arial"/>
          <w:sz w:val="18"/>
          <w:szCs w:val="18"/>
        </w:rPr>
        <w:t xml:space="preserve"> [2023] ZAWCHC 62 at para 15.</w:t>
      </w:r>
    </w:p>
  </w:footnote>
  <w:footnote w:id="3">
    <w:p w14:paraId="5D79365E" w14:textId="67AC53EC" w:rsidR="00D6211F" w:rsidRPr="009B2541" w:rsidRDefault="00D6211F" w:rsidP="009B2541">
      <w:pPr>
        <w:pStyle w:val="FootnoteText"/>
        <w:jc w:val="both"/>
        <w:rPr>
          <w:rFonts w:ascii="Arial" w:hAnsi="Arial" w:cs="Arial"/>
          <w:sz w:val="18"/>
          <w:szCs w:val="18"/>
          <w:lang w:val="en-GB"/>
        </w:rPr>
      </w:pPr>
      <w:r w:rsidRPr="009B2541">
        <w:rPr>
          <w:rStyle w:val="FootnoteReference"/>
          <w:rFonts w:ascii="Arial" w:hAnsi="Arial" w:cs="Arial"/>
          <w:sz w:val="18"/>
          <w:szCs w:val="18"/>
        </w:rPr>
        <w:footnoteRef/>
      </w:r>
      <w:r w:rsidRPr="009B2541">
        <w:rPr>
          <w:rFonts w:ascii="Arial" w:hAnsi="Arial" w:cs="Arial"/>
          <w:sz w:val="18"/>
          <w:szCs w:val="18"/>
        </w:rPr>
        <w:t xml:space="preserve"> See </w:t>
      </w:r>
      <w:r w:rsidR="00BF16EA" w:rsidRPr="009B2541">
        <w:rPr>
          <w:rFonts w:ascii="Arial" w:hAnsi="Arial" w:cs="Arial"/>
          <w:i/>
          <w:iCs/>
          <w:sz w:val="18"/>
          <w:szCs w:val="18"/>
          <w:lang w:val="en-AU"/>
        </w:rPr>
        <w:t xml:space="preserve">Taute v Taute </w:t>
      </w:r>
      <w:r w:rsidR="00BF16EA" w:rsidRPr="009B2541">
        <w:rPr>
          <w:rFonts w:ascii="Arial" w:hAnsi="Arial" w:cs="Arial"/>
          <w:sz w:val="18"/>
          <w:szCs w:val="18"/>
          <w:lang w:val="en-AU"/>
        </w:rPr>
        <w:t>1974 (2) SA 675 (E) 676</w:t>
      </w:r>
      <w:r w:rsidR="00A178C6" w:rsidRPr="009B2541">
        <w:rPr>
          <w:rFonts w:ascii="Arial" w:hAnsi="Arial" w:cs="Arial"/>
          <w:sz w:val="18"/>
          <w:szCs w:val="18"/>
          <w:lang w:val="en-AU"/>
        </w:rPr>
        <w:t xml:space="preserve"> </w:t>
      </w:r>
      <w:r w:rsidR="00BF16EA" w:rsidRPr="009B2541">
        <w:rPr>
          <w:rFonts w:ascii="Arial" w:hAnsi="Arial" w:cs="Arial"/>
          <w:sz w:val="18"/>
          <w:szCs w:val="18"/>
          <w:lang w:val="en-AU"/>
        </w:rPr>
        <w:t>D-E;</w:t>
      </w:r>
      <w:r w:rsidR="00A178C6" w:rsidRPr="009B2541">
        <w:rPr>
          <w:rFonts w:ascii="Arial" w:hAnsi="Arial" w:cs="Arial"/>
          <w:sz w:val="18"/>
          <w:szCs w:val="18"/>
          <w:lang w:val="en-AU"/>
        </w:rPr>
        <w:t xml:space="preserve"> </w:t>
      </w:r>
      <w:r w:rsidR="00A178C6" w:rsidRPr="009B2541">
        <w:rPr>
          <w:rFonts w:ascii="Arial" w:hAnsi="Arial" w:cs="Arial"/>
          <w:i/>
          <w:sz w:val="18"/>
          <w:szCs w:val="18"/>
        </w:rPr>
        <w:t>C.M.S.C v N.C</w:t>
      </w:r>
      <w:r w:rsidR="00A178C6" w:rsidRPr="009B2541">
        <w:rPr>
          <w:rFonts w:ascii="Arial" w:hAnsi="Arial" w:cs="Arial"/>
          <w:sz w:val="18"/>
          <w:szCs w:val="18"/>
        </w:rPr>
        <w:t xml:space="preserve"> [2021] ZAWCHC 227 </w:t>
      </w:r>
      <w:r w:rsidR="00BF16EA" w:rsidRPr="009B2541">
        <w:rPr>
          <w:rFonts w:ascii="Arial" w:hAnsi="Arial" w:cs="Arial"/>
          <w:sz w:val="18"/>
          <w:szCs w:val="18"/>
          <w:lang w:val="en-AU"/>
        </w:rPr>
        <w:t>at para</w:t>
      </w:r>
      <w:r w:rsidR="00A178C6" w:rsidRPr="009B2541">
        <w:rPr>
          <w:rFonts w:ascii="Arial" w:hAnsi="Arial" w:cs="Arial"/>
          <w:i/>
          <w:iCs/>
          <w:sz w:val="18"/>
          <w:szCs w:val="18"/>
          <w:lang w:val="en-AU"/>
        </w:rPr>
        <w:t> </w:t>
      </w:r>
      <w:r w:rsidRPr="009B2541">
        <w:rPr>
          <w:rFonts w:ascii="Arial" w:hAnsi="Arial" w:cs="Arial"/>
          <w:sz w:val="18"/>
          <w:szCs w:val="18"/>
          <w:lang w:val="en-AU"/>
        </w:rPr>
        <w:t>14.</w:t>
      </w:r>
    </w:p>
  </w:footnote>
  <w:footnote w:id="4">
    <w:p w14:paraId="5FC9832E" w14:textId="77777777" w:rsidR="0069381F" w:rsidRPr="005B7992" w:rsidRDefault="0069381F" w:rsidP="0069381F">
      <w:pPr>
        <w:pStyle w:val="FootnoteText"/>
        <w:rPr>
          <w:lang w:val="en-GB"/>
        </w:rPr>
      </w:pPr>
      <w:r>
        <w:rPr>
          <w:rStyle w:val="FootnoteReference"/>
        </w:rPr>
        <w:footnoteRef/>
      </w:r>
      <w:r>
        <w:t xml:space="preserve"> </w:t>
      </w:r>
      <w:r w:rsidRPr="008B13BC">
        <w:rPr>
          <w:i/>
          <w:iCs/>
        </w:rPr>
        <w:t>TS v TS</w:t>
      </w:r>
      <w:r>
        <w:t xml:space="preserve"> </w:t>
      </w:r>
      <w:r w:rsidRPr="008B13BC">
        <w:rPr>
          <w:i/>
          <w:iCs/>
        </w:rPr>
        <w:t xml:space="preserve">supra </w:t>
      </w:r>
      <w:r>
        <w:t>fn 9 at para 12.</w:t>
      </w:r>
    </w:p>
  </w:footnote>
  <w:footnote w:id="5">
    <w:p w14:paraId="2C661D92" w14:textId="36165D82" w:rsidR="004C7037" w:rsidRPr="009B2541" w:rsidRDefault="004C7037" w:rsidP="009B2541">
      <w:pPr>
        <w:pStyle w:val="FootnoteText"/>
        <w:jc w:val="both"/>
        <w:rPr>
          <w:rFonts w:ascii="Arial" w:hAnsi="Arial" w:cs="Arial"/>
          <w:sz w:val="18"/>
          <w:szCs w:val="18"/>
          <w:lang w:val="en-GB"/>
        </w:rPr>
      </w:pPr>
      <w:r w:rsidRPr="009B2541">
        <w:rPr>
          <w:rStyle w:val="FootnoteReference"/>
          <w:rFonts w:ascii="Arial" w:hAnsi="Arial" w:cs="Arial"/>
          <w:sz w:val="18"/>
          <w:szCs w:val="18"/>
        </w:rPr>
        <w:footnoteRef/>
      </w:r>
      <w:r w:rsidRPr="009B2541">
        <w:rPr>
          <w:rFonts w:ascii="Arial" w:hAnsi="Arial" w:cs="Arial"/>
          <w:sz w:val="18"/>
          <w:szCs w:val="18"/>
        </w:rPr>
        <w:t xml:space="preserve"> See </w:t>
      </w:r>
      <w:r w:rsidRPr="009B2541">
        <w:rPr>
          <w:rFonts w:ascii="Arial" w:hAnsi="Arial" w:cs="Arial"/>
          <w:i/>
          <w:iCs/>
          <w:sz w:val="18"/>
          <w:szCs w:val="18"/>
        </w:rPr>
        <w:t>TS v TS</w:t>
      </w:r>
      <w:r w:rsidRPr="009B2541">
        <w:rPr>
          <w:rFonts w:ascii="Arial" w:hAnsi="Arial" w:cs="Arial"/>
          <w:sz w:val="18"/>
          <w:szCs w:val="18"/>
        </w:rPr>
        <w:t xml:space="preserve"> 2018 (3) SA 572 (GJ) at para 18</w:t>
      </w:r>
      <w:r w:rsidR="003C1406" w:rsidRPr="009B2541">
        <w:rPr>
          <w:rFonts w:ascii="Arial" w:hAnsi="Arial" w:cs="Arial"/>
          <w:sz w:val="18"/>
          <w:szCs w:val="18"/>
        </w:rPr>
        <w:t>-</w:t>
      </w:r>
      <w:r w:rsidRPr="009B2541">
        <w:rPr>
          <w:rFonts w:ascii="Arial" w:hAnsi="Arial" w:cs="Arial"/>
          <w:sz w:val="18"/>
          <w:szCs w:val="18"/>
        </w:rPr>
        <w:t>9.</w:t>
      </w:r>
    </w:p>
  </w:footnote>
  <w:footnote w:id="6">
    <w:p w14:paraId="3B53E41B" w14:textId="18571188" w:rsidR="00CA1C3A" w:rsidRPr="00023C4F" w:rsidRDefault="00CA1C3A" w:rsidP="00CA1C3A">
      <w:pPr>
        <w:pStyle w:val="FootnoteText"/>
        <w:ind w:left="142" w:hanging="142"/>
        <w:rPr>
          <w:rFonts w:ascii="Arial" w:hAnsi="Arial" w:cs="Arial"/>
          <w:lang w:val="en-GB"/>
        </w:rPr>
      </w:pPr>
      <w:r w:rsidRPr="00023C4F">
        <w:rPr>
          <w:rStyle w:val="FootnoteReference"/>
          <w:rFonts w:ascii="Arial" w:hAnsi="Arial" w:cs="Arial"/>
        </w:rPr>
        <w:footnoteRef/>
      </w:r>
      <w:r w:rsidRPr="00023C4F">
        <w:rPr>
          <w:rFonts w:ascii="Arial" w:hAnsi="Arial" w:cs="Arial"/>
        </w:rPr>
        <w:t xml:space="preserve"> See: </w:t>
      </w:r>
      <w:r w:rsidRPr="00023C4F">
        <w:rPr>
          <w:rFonts w:ascii="Arial" w:hAnsi="Arial" w:cs="Arial"/>
          <w:lang w:val="en-US"/>
        </w:rPr>
        <w:t>Section 28(2) of the Constitution and section 9 of the Children’s Act</w:t>
      </w:r>
      <w:r w:rsidR="00834D35">
        <w:rPr>
          <w:rFonts w:ascii="Arial" w:hAnsi="Arial" w:cs="Arial"/>
          <w:lang w:val="en-US"/>
        </w:rPr>
        <w:t xml:space="preserve">; </w:t>
      </w:r>
      <w:r w:rsidR="00834D35">
        <w:rPr>
          <w:rFonts w:ascii="Arial" w:hAnsi="Arial" w:cs="Arial"/>
        </w:rPr>
        <w:t>s</w:t>
      </w:r>
      <w:r w:rsidR="00834D35" w:rsidRPr="00834D35">
        <w:rPr>
          <w:rFonts w:ascii="Arial" w:hAnsi="Arial" w:cs="Arial"/>
        </w:rPr>
        <w:t>ee</w:t>
      </w:r>
      <w:r w:rsidR="00834D35">
        <w:rPr>
          <w:rFonts w:ascii="Arial" w:hAnsi="Arial" w:cs="Arial"/>
        </w:rPr>
        <w:t xml:space="preserve"> also</w:t>
      </w:r>
      <w:r w:rsidR="00834D35" w:rsidRPr="00834D35">
        <w:rPr>
          <w:rFonts w:ascii="Arial" w:hAnsi="Arial" w:cs="Arial"/>
        </w:rPr>
        <w:t xml:space="preserve"> </w:t>
      </w:r>
      <w:r w:rsidR="00834D35" w:rsidRPr="00834D35">
        <w:rPr>
          <w:rFonts w:ascii="Arial" w:hAnsi="Arial" w:cs="Arial"/>
          <w:i/>
          <w:iCs/>
        </w:rPr>
        <w:t>Kotze v Kotze</w:t>
      </w:r>
      <w:r w:rsidR="00834D35" w:rsidRPr="00834D35">
        <w:rPr>
          <w:rFonts w:ascii="Arial" w:hAnsi="Arial" w:cs="Arial"/>
        </w:rPr>
        <w:t xml:space="preserve"> 2003 (3) SA 628 (T) at 630G and endorsed by the Constitutional Court in </w:t>
      </w:r>
      <w:r w:rsidR="00834D35" w:rsidRPr="00834D35">
        <w:rPr>
          <w:rFonts w:ascii="Arial" w:hAnsi="Arial" w:cs="Arial"/>
          <w:i/>
          <w:iCs/>
        </w:rPr>
        <w:t xml:space="preserve">Mpofu v Minister for Justice and Constitutional Development and Others </w:t>
      </w:r>
      <w:r w:rsidR="00834D35" w:rsidRPr="00834D35">
        <w:rPr>
          <w:rFonts w:ascii="Arial" w:hAnsi="Arial" w:cs="Arial"/>
        </w:rPr>
        <w:t>[2013] ZACC 15; 2013 (9) BCLR 1072 (CC) at para 21.</w:t>
      </w:r>
    </w:p>
  </w:footnote>
  <w:footnote w:id="7">
    <w:p w14:paraId="57736021" w14:textId="130E0BDC" w:rsidR="0060520D" w:rsidRPr="009B2541" w:rsidRDefault="0060520D" w:rsidP="009B2541">
      <w:pPr>
        <w:pStyle w:val="FootnoteText"/>
        <w:jc w:val="both"/>
        <w:rPr>
          <w:rFonts w:ascii="Arial" w:hAnsi="Arial" w:cs="Arial"/>
          <w:sz w:val="18"/>
          <w:szCs w:val="18"/>
          <w:lang w:val="en-GB"/>
        </w:rPr>
      </w:pPr>
      <w:r w:rsidRPr="009B2541">
        <w:rPr>
          <w:rStyle w:val="FootnoteReference"/>
          <w:rFonts w:ascii="Arial" w:hAnsi="Arial" w:cs="Arial"/>
          <w:sz w:val="18"/>
          <w:szCs w:val="18"/>
        </w:rPr>
        <w:footnoteRef/>
      </w:r>
      <w:r w:rsidRPr="009B2541">
        <w:rPr>
          <w:rFonts w:ascii="Arial" w:hAnsi="Arial" w:cs="Arial"/>
          <w:sz w:val="18"/>
          <w:szCs w:val="18"/>
        </w:rPr>
        <w:t xml:space="preserve"> [2022] ZASCA 113; 2022 (5) SA 451 (SCA) at paras 19-21.</w:t>
      </w:r>
    </w:p>
  </w:footnote>
  <w:footnote w:id="8">
    <w:p w14:paraId="694273DC" w14:textId="1CE9C347" w:rsidR="004E6A66" w:rsidRPr="009B2541" w:rsidRDefault="004E6A66" w:rsidP="009B2541">
      <w:pPr>
        <w:pStyle w:val="FootnoteText"/>
        <w:jc w:val="both"/>
        <w:rPr>
          <w:rFonts w:ascii="Arial" w:hAnsi="Arial" w:cs="Arial"/>
          <w:sz w:val="18"/>
          <w:szCs w:val="18"/>
          <w:lang w:val="en-GB"/>
        </w:rPr>
      </w:pPr>
      <w:r w:rsidRPr="009B2541">
        <w:rPr>
          <w:rStyle w:val="FootnoteReference"/>
          <w:rFonts w:ascii="Arial" w:hAnsi="Arial" w:cs="Arial"/>
          <w:sz w:val="18"/>
          <w:szCs w:val="18"/>
        </w:rPr>
        <w:footnoteRef/>
      </w:r>
      <w:r w:rsidRPr="009B2541">
        <w:rPr>
          <w:rFonts w:ascii="Arial" w:hAnsi="Arial" w:cs="Arial"/>
          <w:sz w:val="18"/>
          <w:szCs w:val="18"/>
        </w:rPr>
        <w:t xml:space="preserve"> M de Jong </w:t>
      </w:r>
      <w:r w:rsidR="00F00036" w:rsidRPr="009B2541">
        <w:rPr>
          <w:rFonts w:ascii="Arial" w:hAnsi="Arial" w:cs="Arial"/>
          <w:sz w:val="18"/>
          <w:szCs w:val="18"/>
        </w:rPr>
        <w:t>“</w:t>
      </w:r>
      <w:r w:rsidRPr="009B2541">
        <w:rPr>
          <w:rFonts w:ascii="Arial" w:hAnsi="Arial" w:cs="Arial"/>
          <w:i/>
          <w:iCs/>
          <w:sz w:val="18"/>
          <w:szCs w:val="18"/>
        </w:rPr>
        <w:t>A better way to deal with the maintenance claims of adult dependent children upon their parents’ divorce</w:t>
      </w:r>
      <w:r w:rsidR="00F00036" w:rsidRPr="009B2541">
        <w:rPr>
          <w:rFonts w:ascii="Arial" w:hAnsi="Arial" w:cs="Arial"/>
          <w:i/>
          <w:iCs/>
          <w:sz w:val="18"/>
          <w:szCs w:val="18"/>
        </w:rPr>
        <w:t>”</w:t>
      </w:r>
      <w:r w:rsidRPr="009B2541">
        <w:rPr>
          <w:rFonts w:ascii="Arial" w:hAnsi="Arial" w:cs="Arial"/>
          <w:i/>
          <w:iCs/>
          <w:sz w:val="18"/>
          <w:szCs w:val="18"/>
        </w:rPr>
        <w:t xml:space="preserve"> </w:t>
      </w:r>
      <w:r w:rsidRPr="009B2541">
        <w:rPr>
          <w:rFonts w:ascii="Arial" w:hAnsi="Arial" w:cs="Arial"/>
          <w:sz w:val="18"/>
          <w:szCs w:val="18"/>
        </w:rPr>
        <w:t>2013 THRHR 654 at 655.</w:t>
      </w:r>
    </w:p>
  </w:footnote>
  <w:footnote w:id="9">
    <w:p w14:paraId="5B995B77" w14:textId="4EF531CA" w:rsidR="004E6A66" w:rsidRPr="009B2541" w:rsidRDefault="004E6A66" w:rsidP="009B2541">
      <w:pPr>
        <w:pStyle w:val="FootnoteText"/>
        <w:jc w:val="both"/>
        <w:rPr>
          <w:rFonts w:ascii="Arial" w:hAnsi="Arial" w:cs="Arial"/>
          <w:sz w:val="18"/>
          <w:szCs w:val="18"/>
          <w:lang w:val="en-GB"/>
        </w:rPr>
      </w:pPr>
      <w:r w:rsidRPr="009B2541">
        <w:rPr>
          <w:rStyle w:val="FootnoteReference"/>
          <w:rFonts w:ascii="Arial" w:hAnsi="Arial" w:cs="Arial"/>
          <w:sz w:val="18"/>
          <w:szCs w:val="18"/>
        </w:rPr>
        <w:footnoteRef/>
      </w:r>
      <w:r w:rsidRPr="009B2541">
        <w:rPr>
          <w:rFonts w:ascii="Arial" w:hAnsi="Arial" w:cs="Arial"/>
          <w:sz w:val="18"/>
          <w:szCs w:val="18"/>
        </w:rPr>
        <w:t xml:space="preserve"> </w:t>
      </w:r>
      <w:r w:rsidRPr="009B2541">
        <w:rPr>
          <w:rFonts w:ascii="Arial" w:hAnsi="Arial" w:cs="Arial"/>
          <w:i/>
          <w:sz w:val="18"/>
          <w:szCs w:val="18"/>
        </w:rPr>
        <w:t>AF v MF</w:t>
      </w:r>
      <w:r w:rsidRPr="009B2541">
        <w:rPr>
          <w:rFonts w:ascii="Arial" w:hAnsi="Arial" w:cs="Arial"/>
          <w:sz w:val="18"/>
          <w:szCs w:val="18"/>
        </w:rPr>
        <w:t xml:space="preserve"> 2019 (6) SA 422 (WCC) (AF) paras 71-7.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1B3C2E5C"/>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26703D55"/>
    <w:multiLevelType w:val="hybridMultilevel"/>
    <w:tmpl w:val="3F4C91DC"/>
    <w:lvl w:ilvl="0" w:tplc="40740A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3B5E58"/>
    <w:multiLevelType w:val="multilevel"/>
    <w:tmpl w:val="4D182840"/>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5F494C4D"/>
    <w:multiLevelType w:val="multilevel"/>
    <w:tmpl w:val="E8FCC9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C500982"/>
    <w:multiLevelType w:val="hybridMultilevel"/>
    <w:tmpl w:val="F4A87390"/>
    <w:lvl w:ilvl="0" w:tplc="CCCADDD0">
      <w:start w:val="1"/>
      <w:numFmt w:val="lowerLetter"/>
      <w:lvlText w:val="(%1)"/>
      <w:lvlJc w:val="left"/>
      <w:pPr>
        <w:ind w:left="2164" w:hanging="440"/>
      </w:pPr>
      <w:rPr>
        <w:rFonts w:hint="default"/>
      </w:rPr>
    </w:lvl>
    <w:lvl w:ilvl="1" w:tplc="1C090019" w:tentative="1">
      <w:start w:val="1"/>
      <w:numFmt w:val="lowerLetter"/>
      <w:lvlText w:val="%2."/>
      <w:lvlJc w:val="left"/>
      <w:pPr>
        <w:ind w:left="2804" w:hanging="360"/>
      </w:pPr>
    </w:lvl>
    <w:lvl w:ilvl="2" w:tplc="1C09001B" w:tentative="1">
      <w:start w:val="1"/>
      <w:numFmt w:val="lowerRoman"/>
      <w:lvlText w:val="%3."/>
      <w:lvlJc w:val="right"/>
      <w:pPr>
        <w:ind w:left="3524" w:hanging="180"/>
      </w:pPr>
    </w:lvl>
    <w:lvl w:ilvl="3" w:tplc="1C09000F" w:tentative="1">
      <w:start w:val="1"/>
      <w:numFmt w:val="decimal"/>
      <w:lvlText w:val="%4."/>
      <w:lvlJc w:val="left"/>
      <w:pPr>
        <w:ind w:left="4244" w:hanging="360"/>
      </w:pPr>
    </w:lvl>
    <w:lvl w:ilvl="4" w:tplc="1C090019" w:tentative="1">
      <w:start w:val="1"/>
      <w:numFmt w:val="lowerLetter"/>
      <w:lvlText w:val="%5."/>
      <w:lvlJc w:val="left"/>
      <w:pPr>
        <w:ind w:left="4964" w:hanging="360"/>
      </w:pPr>
    </w:lvl>
    <w:lvl w:ilvl="5" w:tplc="1C09001B" w:tentative="1">
      <w:start w:val="1"/>
      <w:numFmt w:val="lowerRoman"/>
      <w:lvlText w:val="%6."/>
      <w:lvlJc w:val="right"/>
      <w:pPr>
        <w:ind w:left="5684" w:hanging="180"/>
      </w:pPr>
    </w:lvl>
    <w:lvl w:ilvl="6" w:tplc="1C09000F" w:tentative="1">
      <w:start w:val="1"/>
      <w:numFmt w:val="decimal"/>
      <w:lvlText w:val="%7."/>
      <w:lvlJc w:val="left"/>
      <w:pPr>
        <w:ind w:left="6404" w:hanging="360"/>
      </w:pPr>
    </w:lvl>
    <w:lvl w:ilvl="7" w:tplc="1C090019" w:tentative="1">
      <w:start w:val="1"/>
      <w:numFmt w:val="lowerLetter"/>
      <w:lvlText w:val="%8."/>
      <w:lvlJc w:val="left"/>
      <w:pPr>
        <w:ind w:left="7124" w:hanging="360"/>
      </w:pPr>
    </w:lvl>
    <w:lvl w:ilvl="8" w:tplc="1C09001B" w:tentative="1">
      <w:start w:val="1"/>
      <w:numFmt w:val="lowerRoman"/>
      <w:lvlText w:val="%9."/>
      <w:lvlJc w:val="right"/>
      <w:pPr>
        <w:ind w:left="7844" w:hanging="180"/>
      </w:pPr>
    </w:lvl>
  </w:abstractNum>
  <w:abstractNum w:abstractNumId="6" w15:restartNumberingAfterBreak="0">
    <w:nsid w:val="71052A03"/>
    <w:multiLevelType w:val="multilevel"/>
    <w:tmpl w:val="805E351C"/>
    <w:lvl w:ilvl="0">
      <w:start w:val="1"/>
      <w:numFmt w:val="decimal"/>
      <w:lvlText w:val="[%1]"/>
      <w:lvlJc w:val="left"/>
      <w:pPr>
        <w:ind w:left="567" w:hanging="567"/>
      </w:pPr>
      <w:rPr>
        <w:rFonts w:ascii="Arial" w:hAnsi="Arial" w:cs="Times New Roman" w:hint="default"/>
        <w:b w:val="0"/>
        <w:i w:val="0"/>
        <w:color w:val="auto"/>
        <w:sz w:val="24"/>
      </w:rPr>
    </w:lvl>
    <w:lvl w:ilvl="1">
      <w:start w:val="1"/>
      <w:numFmt w:val="decimal"/>
      <w:lvlText w:val="[%1.%2]"/>
      <w:lvlJc w:val="left"/>
      <w:pPr>
        <w:ind w:left="1418" w:hanging="851"/>
      </w:pPr>
      <w:rPr>
        <w:rFonts w:ascii="Arial" w:hAnsi="Arial" w:cs="Times New Roman" w:hint="default"/>
        <w:sz w:val="24"/>
      </w:rPr>
    </w:lvl>
    <w:lvl w:ilvl="2">
      <w:start w:val="1"/>
      <w:numFmt w:val="none"/>
      <w:lvlText w:val="%3"/>
      <w:lvlJc w:val="left"/>
      <w:pPr>
        <w:ind w:left="1418" w:hanging="851"/>
      </w:pPr>
      <w:rPr>
        <w:rFonts w:ascii="Arial" w:hAnsi="Arial" w:cs="Times New Roman" w:hint="default"/>
        <w:b w:val="0"/>
        <w:i w:val="0"/>
        <w:caps w:val="0"/>
        <w:strike w:val="0"/>
        <w:dstrike w:val="0"/>
        <w:vanish w:val="0"/>
        <w:color w:val="auto"/>
        <w:sz w:val="22"/>
        <w:u w:val="none"/>
        <w:effect w:val="none"/>
        <w:vertAlign w:val="baseline"/>
      </w:rPr>
    </w:lvl>
    <w:lvl w:ilvl="3">
      <w:start w:val="1"/>
      <w:numFmt w:val="decimal"/>
      <w:lvlText w:val="(%4)"/>
      <w:lvlJc w:val="left"/>
      <w:pPr>
        <w:ind w:left="2126"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7767" w:hanging="567"/>
      </w:pPr>
      <w:rPr>
        <w:rFonts w:cs="Times New Roman" w:hint="default"/>
      </w:rPr>
    </w:lvl>
    <w:lvl w:ilvl="6">
      <w:start w:val="1"/>
      <w:numFmt w:val="decimal"/>
      <w:lvlText w:val="%7."/>
      <w:lvlJc w:val="left"/>
      <w:pPr>
        <w:ind w:left="9207" w:hanging="567"/>
      </w:pPr>
      <w:rPr>
        <w:rFonts w:cs="Times New Roman" w:hint="default"/>
      </w:rPr>
    </w:lvl>
    <w:lvl w:ilvl="7">
      <w:start w:val="1"/>
      <w:numFmt w:val="lowerLetter"/>
      <w:lvlText w:val="%8."/>
      <w:lvlJc w:val="left"/>
      <w:pPr>
        <w:ind w:left="10647" w:hanging="567"/>
      </w:pPr>
      <w:rPr>
        <w:rFonts w:cs="Times New Roman" w:hint="default"/>
      </w:rPr>
    </w:lvl>
    <w:lvl w:ilvl="8">
      <w:start w:val="1"/>
      <w:numFmt w:val="lowerRoman"/>
      <w:lvlText w:val="%9."/>
      <w:lvlJc w:val="left"/>
      <w:pPr>
        <w:ind w:left="12087" w:hanging="567"/>
      </w:pPr>
      <w:rPr>
        <w:rFonts w:cs="Times New Roman" w:hint="default"/>
      </w:rPr>
    </w:lvl>
  </w:abstractNum>
  <w:num w:numId="1">
    <w:abstractNumId w:val="0"/>
  </w:num>
  <w:num w:numId="2">
    <w:abstractNumId w:val="1"/>
  </w:num>
  <w:num w:numId="3">
    <w:abstractNumId w:val="6"/>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8B"/>
    <w:rsid w:val="00010940"/>
    <w:rsid w:val="00017CB2"/>
    <w:rsid w:val="000514FB"/>
    <w:rsid w:val="00064D49"/>
    <w:rsid w:val="00067C82"/>
    <w:rsid w:val="00074FDA"/>
    <w:rsid w:val="000903D0"/>
    <w:rsid w:val="00094982"/>
    <w:rsid w:val="00096844"/>
    <w:rsid w:val="000A49F5"/>
    <w:rsid w:val="000B72DF"/>
    <w:rsid w:val="000C2E98"/>
    <w:rsid w:val="000D2FAC"/>
    <w:rsid w:val="000D3003"/>
    <w:rsid w:val="000D3AFA"/>
    <w:rsid w:val="000E12F8"/>
    <w:rsid w:val="000E5EB7"/>
    <w:rsid w:val="000F4B06"/>
    <w:rsid w:val="00112D6A"/>
    <w:rsid w:val="00147283"/>
    <w:rsid w:val="00155438"/>
    <w:rsid w:val="00156D8D"/>
    <w:rsid w:val="00165BCD"/>
    <w:rsid w:val="0016691F"/>
    <w:rsid w:val="00166EEF"/>
    <w:rsid w:val="001A2090"/>
    <w:rsid w:val="001A383A"/>
    <w:rsid w:val="001A3867"/>
    <w:rsid w:val="001B1E10"/>
    <w:rsid w:val="001D08D2"/>
    <w:rsid w:val="001D0F5B"/>
    <w:rsid w:val="001D2049"/>
    <w:rsid w:val="001D3350"/>
    <w:rsid w:val="001D591A"/>
    <w:rsid w:val="001D77FB"/>
    <w:rsid w:val="002031C9"/>
    <w:rsid w:val="002074E1"/>
    <w:rsid w:val="002478F4"/>
    <w:rsid w:val="00257D57"/>
    <w:rsid w:val="002706A0"/>
    <w:rsid w:val="00270A9D"/>
    <w:rsid w:val="002856F5"/>
    <w:rsid w:val="0029246F"/>
    <w:rsid w:val="00297D95"/>
    <w:rsid w:val="002B5FA9"/>
    <w:rsid w:val="002C3376"/>
    <w:rsid w:val="002F4F78"/>
    <w:rsid w:val="003059DA"/>
    <w:rsid w:val="00315F31"/>
    <w:rsid w:val="00332297"/>
    <w:rsid w:val="00332963"/>
    <w:rsid w:val="003405B8"/>
    <w:rsid w:val="003701AC"/>
    <w:rsid w:val="003777D3"/>
    <w:rsid w:val="0038142A"/>
    <w:rsid w:val="0038559B"/>
    <w:rsid w:val="003A252E"/>
    <w:rsid w:val="003B66A3"/>
    <w:rsid w:val="003B7659"/>
    <w:rsid w:val="003C1406"/>
    <w:rsid w:val="003C78A1"/>
    <w:rsid w:val="003E2BB4"/>
    <w:rsid w:val="003E3DDD"/>
    <w:rsid w:val="003F1A51"/>
    <w:rsid w:val="003F504F"/>
    <w:rsid w:val="003F592D"/>
    <w:rsid w:val="004056AB"/>
    <w:rsid w:val="00405C13"/>
    <w:rsid w:val="00412E20"/>
    <w:rsid w:val="00415F0B"/>
    <w:rsid w:val="00423A6D"/>
    <w:rsid w:val="00424FF5"/>
    <w:rsid w:val="00437A6B"/>
    <w:rsid w:val="00437B41"/>
    <w:rsid w:val="0044399C"/>
    <w:rsid w:val="00445E93"/>
    <w:rsid w:val="004607BA"/>
    <w:rsid w:val="00462DE3"/>
    <w:rsid w:val="0047557E"/>
    <w:rsid w:val="004756C2"/>
    <w:rsid w:val="00481926"/>
    <w:rsid w:val="00483DB7"/>
    <w:rsid w:val="00490591"/>
    <w:rsid w:val="004A2973"/>
    <w:rsid w:val="004B459D"/>
    <w:rsid w:val="004B4A10"/>
    <w:rsid w:val="004C054A"/>
    <w:rsid w:val="004C6C88"/>
    <w:rsid w:val="004C7037"/>
    <w:rsid w:val="004D7E4C"/>
    <w:rsid w:val="004E6A66"/>
    <w:rsid w:val="004F60CB"/>
    <w:rsid w:val="00500208"/>
    <w:rsid w:val="005018AD"/>
    <w:rsid w:val="00504B7B"/>
    <w:rsid w:val="00512AEF"/>
    <w:rsid w:val="00521212"/>
    <w:rsid w:val="005218E0"/>
    <w:rsid w:val="00527804"/>
    <w:rsid w:val="005362E0"/>
    <w:rsid w:val="0054155F"/>
    <w:rsid w:val="00541A88"/>
    <w:rsid w:val="00556802"/>
    <w:rsid w:val="005656C8"/>
    <w:rsid w:val="005670F4"/>
    <w:rsid w:val="00570797"/>
    <w:rsid w:val="0057253C"/>
    <w:rsid w:val="00576934"/>
    <w:rsid w:val="00576FDC"/>
    <w:rsid w:val="005A6D1C"/>
    <w:rsid w:val="005C114E"/>
    <w:rsid w:val="005C17C1"/>
    <w:rsid w:val="005D1150"/>
    <w:rsid w:val="005D1A93"/>
    <w:rsid w:val="005F73CE"/>
    <w:rsid w:val="0060520D"/>
    <w:rsid w:val="00631594"/>
    <w:rsid w:val="006318AE"/>
    <w:rsid w:val="00640417"/>
    <w:rsid w:val="00644093"/>
    <w:rsid w:val="00661A78"/>
    <w:rsid w:val="0067762D"/>
    <w:rsid w:val="00683022"/>
    <w:rsid w:val="0069381F"/>
    <w:rsid w:val="006A6F00"/>
    <w:rsid w:val="006B5E0F"/>
    <w:rsid w:val="006B717A"/>
    <w:rsid w:val="006D021C"/>
    <w:rsid w:val="006D4D25"/>
    <w:rsid w:val="006D692D"/>
    <w:rsid w:val="006E0B59"/>
    <w:rsid w:val="006E1810"/>
    <w:rsid w:val="006E3098"/>
    <w:rsid w:val="006E3549"/>
    <w:rsid w:val="006F5F53"/>
    <w:rsid w:val="0071021A"/>
    <w:rsid w:val="00714A2B"/>
    <w:rsid w:val="00732D94"/>
    <w:rsid w:val="00735AB9"/>
    <w:rsid w:val="00735C42"/>
    <w:rsid w:val="00752848"/>
    <w:rsid w:val="00755CBA"/>
    <w:rsid w:val="00757489"/>
    <w:rsid w:val="00764B24"/>
    <w:rsid w:val="0077065B"/>
    <w:rsid w:val="00775992"/>
    <w:rsid w:val="00784741"/>
    <w:rsid w:val="007936BB"/>
    <w:rsid w:val="00796724"/>
    <w:rsid w:val="007B4616"/>
    <w:rsid w:val="007B4E89"/>
    <w:rsid w:val="007C4487"/>
    <w:rsid w:val="007C4A2F"/>
    <w:rsid w:val="007C75BF"/>
    <w:rsid w:val="007E4082"/>
    <w:rsid w:val="007E73D2"/>
    <w:rsid w:val="007E7C9D"/>
    <w:rsid w:val="007F2B19"/>
    <w:rsid w:val="007F37DB"/>
    <w:rsid w:val="00804394"/>
    <w:rsid w:val="0080594A"/>
    <w:rsid w:val="00810298"/>
    <w:rsid w:val="008105BC"/>
    <w:rsid w:val="008106CD"/>
    <w:rsid w:val="00811D05"/>
    <w:rsid w:val="00814EA6"/>
    <w:rsid w:val="00820636"/>
    <w:rsid w:val="00825B36"/>
    <w:rsid w:val="00833176"/>
    <w:rsid w:val="00833C65"/>
    <w:rsid w:val="00834D35"/>
    <w:rsid w:val="008410D9"/>
    <w:rsid w:val="00871FCE"/>
    <w:rsid w:val="0088188A"/>
    <w:rsid w:val="008854E1"/>
    <w:rsid w:val="00886BD9"/>
    <w:rsid w:val="00887E72"/>
    <w:rsid w:val="008930D9"/>
    <w:rsid w:val="00897DD8"/>
    <w:rsid w:val="008A2CF7"/>
    <w:rsid w:val="008A68C7"/>
    <w:rsid w:val="008A6E20"/>
    <w:rsid w:val="008B5209"/>
    <w:rsid w:val="008C6B34"/>
    <w:rsid w:val="008D0A43"/>
    <w:rsid w:val="008E18F4"/>
    <w:rsid w:val="008E7319"/>
    <w:rsid w:val="008F182F"/>
    <w:rsid w:val="008F4421"/>
    <w:rsid w:val="00901226"/>
    <w:rsid w:val="009054DE"/>
    <w:rsid w:val="00906B74"/>
    <w:rsid w:val="00910D6F"/>
    <w:rsid w:val="00921CAE"/>
    <w:rsid w:val="00926345"/>
    <w:rsid w:val="009274DF"/>
    <w:rsid w:val="00934537"/>
    <w:rsid w:val="0093599F"/>
    <w:rsid w:val="00963D9C"/>
    <w:rsid w:val="00982CAC"/>
    <w:rsid w:val="00985C4F"/>
    <w:rsid w:val="00987415"/>
    <w:rsid w:val="0099115D"/>
    <w:rsid w:val="0099192B"/>
    <w:rsid w:val="009968EB"/>
    <w:rsid w:val="0099784E"/>
    <w:rsid w:val="009A151F"/>
    <w:rsid w:val="009B2541"/>
    <w:rsid w:val="009B6B65"/>
    <w:rsid w:val="009C48BD"/>
    <w:rsid w:val="009D61C4"/>
    <w:rsid w:val="009E31C8"/>
    <w:rsid w:val="009F0C5D"/>
    <w:rsid w:val="009F5B05"/>
    <w:rsid w:val="00A07190"/>
    <w:rsid w:val="00A11C26"/>
    <w:rsid w:val="00A13D68"/>
    <w:rsid w:val="00A145A1"/>
    <w:rsid w:val="00A178C6"/>
    <w:rsid w:val="00A20DBB"/>
    <w:rsid w:val="00A255BE"/>
    <w:rsid w:val="00A3413B"/>
    <w:rsid w:val="00A4152D"/>
    <w:rsid w:val="00A53185"/>
    <w:rsid w:val="00A62A01"/>
    <w:rsid w:val="00A62E1F"/>
    <w:rsid w:val="00A635D5"/>
    <w:rsid w:val="00A75436"/>
    <w:rsid w:val="00A87219"/>
    <w:rsid w:val="00A97D69"/>
    <w:rsid w:val="00AB2BE5"/>
    <w:rsid w:val="00AD4E0F"/>
    <w:rsid w:val="00AE6B64"/>
    <w:rsid w:val="00B14557"/>
    <w:rsid w:val="00B24BBA"/>
    <w:rsid w:val="00B274B9"/>
    <w:rsid w:val="00B3528E"/>
    <w:rsid w:val="00B427AF"/>
    <w:rsid w:val="00B570B0"/>
    <w:rsid w:val="00B60D11"/>
    <w:rsid w:val="00B638BA"/>
    <w:rsid w:val="00B70B08"/>
    <w:rsid w:val="00B841D0"/>
    <w:rsid w:val="00B867A4"/>
    <w:rsid w:val="00B90ABC"/>
    <w:rsid w:val="00BA05E8"/>
    <w:rsid w:val="00BB36B1"/>
    <w:rsid w:val="00BB4DF7"/>
    <w:rsid w:val="00BC70FB"/>
    <w:rsid w:val="00BD180F"/>
    <w:rsid w:val="00BD1BE7"/>
    <w:rsid w:val="00BD3DAE"/>
    <w:rsid w:val="00BE0D1D"/>
    <w:rsid w:val="00BE32DB"/>
    <w:rsid w:val="00BF16EA"/>
    <w:rsid w:val="00C01DA0"/>
    <w:rsid w:val="00C06F30"/>
    <w:rsid w:val="00C125EE"/>
    <w:rsid w:val="00C262B0"/>
    <w:rsid w:val="00C32132"/>
    <w:rsid w:val="00C34A34"/>
    <w:rsid w:val="00C41B60"/>
    <w:rsid w:val="00C42F2B"/>
    <w:rsid w:val="00C5483F"/>
    <w:rsid w:val="00C552B0"/>
    <w:rsid w:val="00C55753"/>
    <w:rsid w:val="00C7077A"/>
    <w:rsid w:val="00C7198B"/>
    <w:rsid w:val="00C840E9"/>
    <w:rsid w:val="00CA14D7"/>
    <w:rsid w:val="00CA1C3A"/>
    <w:rsid w:val="00CA2B3D"/>
    <w:rsid w:val="00CA5A5A"/>
    <w:rsid w:val="00CA5AF2"/>
    <w:rsid w:val="00CB1A38"/>
    <w:rsid w:val="00CB485E"/>
    <w:rsid w:val="00CC1513"/>
    <w:rsid w:val="00CC426F"/>
    <w:rsid w:val="00CC7374"/>
    <w:rsid w:val="00CD72D0"/>
    <w:rsid w:val="00CE7C37"/>
    <w:rsid w:val="00CF1D9C"/>
    <w:rsid w:val="00CF2E0E"/>
    <w:rsid w:val="00CF6483"/>
    <w:rsid w:val="00D06279"/>
    <w:rsid w:val="00D21658"/>
    <w:rsid w:val="00D2403C"/>
    <w:rsid w:val="00D267BE"/>
    <w:rsid w:val="00D50043"/>
    <w:rsid w:val="00D56B01"/>
    <w:rsid w:val="00D6211F"/>
    <w:rsid w:val="00D64CDC"/>
    <w:rsid w:val="00D64D2A"/>
    <w:rsid w:val="00D71B4F"/>
    <w:rsid w:val="00D767FE"/>
    <w:rsid w:val="00D76DFB"/>
    <w:rsid w:val="00D94E71"/>
    <w:rsid w:val="00DA2C09"/>
    <w:rsid w:val="00DC087D"/>
    <w:rsid w:val="00DD1F50"/>
    <w:rsid w:val="00DD2DFC"/>
    <w:rsid w:val="00DD3FD0"/>
    <w:rsid w:val="00DD779F"/>
    <w:rsid w:val="00DE300D"/>
    <w:rsid w:val="00DF2CC9"/>
    <w:rsid w:val="00E02557"/>
    <w:rsid w:val="00E06007"/>
    <w:rsid w:val="00E3001E"/>
    <w:rsid w:val="00E3765B"/>
    <w:rsid w:val="00E37E9B"/>
    <w:rsid w:val="00E4075E"/>
    <w:rsid w:val="00E511BF"/>
    <w:rsid w:val="00E6542D"/>
    <w:rsid w:val="00E666E1"/>
    <w:rsid w:val="00E7584A"/>
    <w:rsid w:val="00E865A4"/>
    <w:rsid w:val="00EA1652"/>
    <w:rsid w:val="00EA26C6"/>
    <w:rsid w:val="00EA6FDD"/>
    <w:rsid w:val="00EB19AF"/>
    <w:rsid w:val="00ED0187"/>
    <w:rsid w:val="00ED673F"/>
    <w:rsid w:val="00EE09A6"/>
    <w:rsid w:val="00EE5751"/>
    <w:rsid w:val="00EE6FE2"/>
    <w:rsid w:val="00F00004"/>
    <w:rsid w:val="00F00036"/>
    <w:rsid w:val="00F00C5A"/>
    <w:rsid w:val="00F04015"/>
    <w:rsid w:val="00F05DE9"/>
    <w:rsid w:val="00F15DFB"/>
    <w:rsid w:val="00F25213"/>
    <w:rsid w:val="00F31636"/>
    <w:rsid w:val="00F36407"/>
    <w:rsid w:val="00F45CD9"/>
    <w:rsid w:val="00F46BF3"/>
    <w:rsid w:val="00F5355C"/>
    <w:rsid w:val="00F60552"/>
    <w:rsid w:val="00F67C51"/>
    <w:rsid w:val="00F94DBB"/>
    <w:rsid w:val="00F97E12"/>
    <w:rsid w:val="00FA48EE"/>
    <w:rsid w:val="00FC0F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D5BF"/>
  <w15:docId w15:val="{AD5E7AB1-0491-4EB7-BF8D-0ABBA39A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B36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 Char,Footnote Text Char Char1 Char Char,(NECG) Footnote Text,ALTS FOOTNOTE,AR Footnote Text,Footnote text Char,Char Char Char"/>
    <w:basedOn w:val="Normal"/>
    <w:link w:val="FootnoteTextChar"/>
    <w:uiPriority w:val="99"/>
    <w:unhideWhenUsed/>
    <w:qFormat/>
    <w:rsid w:val="00C7198B"/>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 Char,Footnote Text Char Char1 Char Char Char,(NECG) Footnote Text Char,ALTS FOOTNOTE Char,AR Footnote Text Char,Char Char Char Char"/>
    <w:basedOn w:val="DefaultParagraphFont"/>
    <w:link w:val="FootnoteText"/>
    <w:uiPriority w:val="99"/>
    <w:rsid w:val="00C7198B"/>
    <w:rPr>
      <w:sz w:val="20"/>
      <w:szCs w:val="20"/>
    </w:rPr>
  </w:style>
  <w:style w:type="paragraph" w:customStyle="1" w:styleId="JudgmentNumbered">
    <w:name w:val="Judgment Numbered"/>
    <w:basedOn w:val="Normal"/>
    <w:link w:val="JudgmentNumberedChar"/>
    <w:qFormat/>
    <w:rsid w:val="00C7198B"/>
    <w:pPr>
      <w:numPr>
        <w:numId w:val="2"/>
      </w:numPr>
      <w:spacing w:after="240" w:line="360" w:lineRule="auto"/>
      <w:jc w:val="both"/>
    </w:pPr>
    <w:rPr>
      <w:rFonts w:ascii="Arial" w:hAnsi="Arial" w:cs="Arial"/>
      <w:kern w:val="0"/>
      <w:sz w:val="24"/>
      <w:lang w:val="en-GB"/>
    </w:rPr>
  </w:style>
  <w:style w:type="paragraph" w:customStyle="1" w:styleId="Footer1">
    <w:name w:val="Footer1"/>
    <w:basedOn w:val="Normal"/>
    <w:next w:val="Footer"/>
    <w:link w:val="FooterChar"/>
    <w:uiPriority w:val="99"/>
    <w:unhideWhenUsed/>
    <w:rsid w:val="00C7198B"/>
    <w:pPr>
      <w:tabs>
        <w:tab w:val="center" w:pos="4513"/>
        <w:tab w:val="right" w:pos="9026"/>
      </w:tabs>
      <w:spacing w:after="0" w:line="240" w:lineRule="auto"/>
      <w:ind w:left="567"/>
      <w:jc w:val="both"/>
    </w:pPr>
    <w:rPr>
      <w:rFonts w:ascii="Arial" w:hAnsi="Arial"/>
      <w:sz w:val="24"/>
      <w:lang w:val="en-GB"/>
    </w:rPr>
  </w:style>
  <w:style w:type="character" w:customStyle="1" w:styleId="FooterChar">
    <w:name w:val="Footer Char"/>
    <w:basedOn w:val="DefaultParagraphFont"/>
    <w:link w:val="Footer1"/>
    <w:uiPriority w:val="99"/>
    <w:rsid w:val="00C7198B"/>
    <w:rPr>
      <w:rFonts w:ascii="Arial" w:hAnsi="Arial"/>
      <w:sz w:val="24"/>
      <w:lang w:val="en-GB"/>
    </w:rPr>
  </w:style>
  <w:style w:type="character" w:styleId="FootnoteReference">
    <w:name w:val="footnote reference"/>
    <w:basedOn w:val="DefaultParagraphFont"/>
    <w:uiPriority w:val="99"/>
    <w:unhideWhenUsed/>
    <w:rsid w:val="00C7198B"/>
    <w:rPr>
      <w:rFonts w:ascii="Times New Roman" w:hAnsi="Times New Roman"/>
      <w:vertAlign w:val="superscript"/>
    </w:rPr>
  </w:style>
  <w:style w:type="paragraph" w:styleId="Footer">
    <w:name w:val="footer"/>
    <w:basedOn w:val="Normal"/>
    <w:link w:val="FooterChar1"/>
    <w:uiPriority w:val="99"/>
    <w:unhideWhenUsed/>
    <w:rsid w:val="00C7198B"/>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C7198B"/>
  </w:style>
  <w:style w:type="character" w:customStyle="1" w:styleId="JudgmentNumberedChar">
    <w:name w:val="Judgment Numbered Char"/>
    <w:basedOn w:val="DefaultParagraphFont"/>
    <w:link w:val="JudgmentNumbered"/>
    <w:rsid w:val="00C7198B"/>
    <w:rPr>
      <w:rFonts w:ascii="Arial" w:hAnsi="Arial" w:cs="Arial"/>
      <w:kern w:val="0"/>
      <w:sz w:val="24"/>
      <w:lang w:val="en-GB"/>
    </w:rPr>
  </w:style>
  <w:style w:type="character" w:styleId="CommentReference">
    <w:name w:val="annotation reference"/>
    <w:basedOn w:val="DefaultParagraphFont"/>
    <w:uiPriority w:val="99"/>
    <w:semiHidden/>
    <w:unhideWhenUsed/>
    <w:rsid w:val="00E7584A"/>
    <w:rPr>
      <w:sz w:val="16"/>
      <w:szCs w:val="16"/>
    </w:rPr>
  </w:style>
  <w:style w:type="paragraph" w:styleId="CommentText">
    <w:name w:val="annotation text"/>
    <w:basedOn w:val="Normal"/>
    <w:link w:val="CommentTextChar"/>
    <w:uiPriority w:val="99"/>
    <w:semiHidden/>
    <w:unhideWhenUsed/>
    <w:rsid w:val="00E7584A"/>
    <w:pPr>
      <w:spacing w:line="240" w:lineRule="auto"/>
    </w:pPr>
    <w:rPr>
      <w:sz w:val="20"/>
      <w:szCs w:val="20"/>
    </w:rPr>
  </w:style>
  <w:style w:type="character" w:customStyle="1" w:styleId="CommentTextChar">
    <w:name w:val="Comment Text Char"/>
    <w:basedOn w:val="DefaultParagraphFont"/>
    <w:link w:val="CommentText"/>
    <w:uiPriority w:val="99"/>
    <w:semiHidden/>
    <w:rsid w:val="00E7584A"/>
    <w:rPr>
      <w:sz w:val="20"/>
      <w:szCs w:val="20"/>
    </w:rPr>
  </w:style>
  <w:style w:type="paragraph" w:styleId="CommentSubject">
    <w:name w:val="annotation subject"/>
    <w:basedOn w:val="CommentText"/>
    <w:next w:val="CommentText"/>
    <w:link w:val="CommentSubjectChar"/>
    <w:uiPriority w:val="99"/>
    <w:semiHidden/>
    <w:unhideWhenUsed/>
    <w:rsid w:val="00E7584A"/>
    <w:rPr>
      <w:b/>
      <w:bCs/>
    </w:rPr>
  </w:style>
  <w:style w:type="character" w:customStyle="1" w:styleId="CommentSubjectChar">
    <w:name w:val="Comment Subject Char"/>
    <w:basedOn w:val="CommentTextChar"/>
    <w:link w:val="CommentSubject"/>
    <w:uiPriority w:val="99"/>
    <w:semiHidden/>
    <w:rsid w:val="00E7584A"/>
    <w:rPr>
      <w:b/>
      <w:bCs/>
      <w:sz w:val="20"/>
      <w:szCs w:val="20"/>
    </w:rPr>
  </w:style>
  <w:style w:type="table" w:styleId="TableGrid">
    <w:name w:val="Table Grid"/>
    <w:basedOn w:val="TableNormal"/>
    <w:uiPriority w:val="39"/>
    <w:rsid w:val="00270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7FB"/>
    <w:rPr>
      <w:color w:val="0563C1" w:themeColor="hyperlink"/>
      <w:u w:val="single"/>
    </w:rPr>
  </w:style>
  <w:style w:type="character" w:customStyle="1" w:styleId="UnresolvedMention">
    <w:name w:val="Unresolved Mention"/>
    <w:basedOn w:val="DefaultParagraphFont"/>
    <w:uiPriority w:val="99"/>
    <w:semiHidden/>
    <w:unhideWhenUsed/>
    <w:rsid w:val="001D77FB"/>
    <w:rPr>
      <w:color w:val="605E5C"/>
      <w:shd w:val="clear" w:color="auto" w:fill="E1DFDD"/>
    </w:rPr>
  </w:style>
  <w:style w:type="character" w:customStyle="1" w:styleId="Heading2Char">
    <w:name w:val="Heading 2 Char"/>
    <w:basedOn w:val="DefaultParagraphFont"/>
    <w:link w:val="Heading2"/>
    <w:uiPriority w:val="9"/>
    <w:semiHidden/>
    <w:rsid w:val="00BB36B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70B08"/>
    <w:pPr>
      <w:ind w:left="720"/>
      <w:contextualSpacing/>
    </w:pPr>
  </w:style>
  <w:style w:type="paragraph" w:styleId="BalloonText">
    <w:name w:val="Balloon Text"/>
    <w:basedOn w:val="Normal"/>
    <w:link w:val="BalloonTextChar"/>
    <w:uiPriority w:val="99"/>
    <w:semiHidden/>
    <w:unhideWhenUsed/>
    <w:rsid w:val="00A62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E1F"/>
    <w:rPr>
      <w:rFonts w:ascii="Segoe UI" w:hAnsi="Segoe UI" w:cs="Segoe UI"/>
      <w:sz w:val="18"/>
      <w:szCs w:val="18"/>
    </w:rPr>
  </w:style>
  <w:style w:type="paragraph" w:styleId="Revision">
    <w:name w:val="Revision"/>
    <w:hidden/>
    <w:uiPriority w:val="99"/>
    <w:semiHidden/>
    <w:rsid w:val="00A62E1F"/>
    <w:pPr>
      <w:spacing w:after="0" w:line="240" w:lineRule="auto"/>
    </w:pPr>
  </w:style>
  <w:style w:type="paragraph" w:styleId="Header">
    <w:name w:val="header"/>
    <w:basedOn w:val="Normal"/>
    <w:link w:val="HeaderChar"/>
    <w:uiPriority w:val="99"/>
    <w:unhideWhenUsed/>
    <w:rsid w:val="007F3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3284">
      <w:bodyDiv w:val="1"/>
      <w:marLeft w:val="0"/>
      <w:marRight w:val="0"/>
      <w:marTop w:val="0"/>
      <w:marBottom w:val="0"/>
      <w:divBdr>
        <w:top w:val="none" w:sz="0" w:space="0" w:color="auto"/>
        <w:left w:val="none" w:sz="0" w:space="0" w:color="auto"/>
        <w:bottom w:val="none" w:sz="0" w:space="0" w:color="auto"/>
        <w:right w:val="none" w:sz="0" w:space="0" w:color="auto"/>
      </w:divBdr>
    </w:div>
    <w:div w:id="872575935">
      <w:bodyDiv w:val="1"/>
      <w:marLeft w:val="0"/>
      <w:marRight w:val="0"/>
      <w:marTop w:val="0"/>
      <w:marBottom w:val="0"/>
      <w:divBdr>
        <w:top w:val="none" w:sz="0" w:space="0" w:color="auto"/>
        <w:left w:val="none" w:sz="0" w:space="0" w:color="auto"/>
        <w:bottom w:val="none" w:sz="0" w:space="0" w:color="auto"/>
        <w:right w:val="none" w:sz="0" w:space="0" w:color="auto"/>
      </w:divBdr>
    </w:div>
    <w:div w:id="1315253393">
      <w:bodyDiv w:val="1"/>
      <w:marLeft w:val="0"/>
      <w:marRight w:val="0"/>
      <w:marTop w:val="0"/>
      <w:marBottom w:val="0"/>
      <w:divBdr>
        <w:top w:val="none" w:sz="0" w:space="0" w:color="auto"/>
        <w:left w:val="none" w:sz="0" w:space="0" w:color="auto"/>
        <w:bottom w:val="none" w:sz="0" w:space="0" w:color="auto"/>
        <w:right w:val="none" w:sz="0" w:space="0" w:color="auto"/>
      </w:divBdr>
      <w:divsChild>
        <w:div w:id="547843426">
          <w:marLeft w:val="0"/>
          <w:marRight w:val="0"/>
          <w:marTop w:val="120"/>
          <w:marBottom w:val="0"/>
          <w:divBdr>
            <w:top w:val="none" w:sz="0" w:space="0" w:color="auto"/>
            <w:left w:val="none" w:sz="0" w:space="0" w:color="auto"/>
            <w:bottom w:val="none" w:sz="0" w:space="0" w:color="auto"/>
            <w:right w:val="none" w:sz="0" w:space="0" w:color="auto"/>
          </w:divBdr>
        </w:div>
        <w:div w:id="1595671313">
          <w:marLeft w:val="0"/>
          <w:marRight w:val="0"/>
          <w:marTop w:val="120"/>
          <w:marBottom w:val="0"/>
          <w:divBdr>
            <w:top w:val="none" w:sz="0" w:space="0" w:color="auto"/>
            <w:left w:val="none" w:sz="0" w:space="0" w:color="auto"/>
            <w:bottom w:val="none" w:sz="0" w:space="0" w:color="auto"/>
            <w:right w:val="none" w:sz="0" w:space="0" w:color="auto"/>
          </w:divBdr>
        </w:div>
        <w:div w:id="2015448949">
          <w:marLeft w:val="0"/>
          <w:marRight w:val="0"/>
          <w:marTop w:val="120"/>
          <w:marBottom w:val="0"/>
          <w:divBdr>
            <w:top w:val="none" w:sz="0" w:space="0" w:color="auto"/>
            <w:left w:val="none" w:sz="0" w:space="0" w:color="auto"/>
            <w:bottom w:val="none" w:sz="0" w:space="0" w:color="auto"/>
            <w:right w:val="none" w:sz="0" w:space="0" w:color="auto"/>
          </w:divBdr>
        </w:div>
      </w:divsChild>
    </w:div>
    <w:div w:id="1570455035">
      <w:bodyDiv w:val="1"/>
      <w:marLeft w:val="0"/>
      <w:marRight w:val="0"/>
      <w:marTop w:val="0"/>
      <w:marBottom w:val="0"/>
      <w:divBdr>
        <w:top w:val="none" w:sz="0" w:space="0" w:color="auto"/>
        <w:left w:val="none" w:sz="0" w:space="0" w:color="auto"/>
        <w:bottom w:val="none" w:sz="0" w:space="0" w:color="auto"/>
        <w:right w:val="none" w:sz="0" w:space="0" w:color="auto"/>
      </w:divBdr>
      <w:divsChild>
        <w:div w:id="15692351">
          <w:marLeft w:val="0"/>
          <w:marRight w:val="0"/>
          <w:marTop w:val="0"/>
          <w:marBottom w:val="0"/>
          <w:divBdr>
            <w:top w:val="none" w:sz="0" w:space="0" w:color="auto"/>
            <w:left w:val="none" w:sz="0" w:space="0" w:color="auto"/>
            <w:bottom w:val="none" w:sz="0" w:space="0" w:color="auto"/>
            <w:right w:val="none" w:sz="0" w:space="0" w:color="auto"/>
          </w:divBdr>
        </w:div>
        <w:div w:id="121969996">
          <w:marLeft w:val="0"/>
          <w:marRight w:val="0"/>
          <w:marTop w:val="0"/>
          <w:marBottom w:val="0"/>
          <w:divBdr>
            <w:top w:val="none" w:sz="0" w:space="0" w:color="auto"/>
            <w:left w:val="none" w:sz="0" w:space="0" w:color="auto"/>
            <w:bottom w:val="none" w:sz="0" w:space="0" w:color="auto"/>
            <w:right w:val="none" w:sz="0" w:space="0" w:color="auto"/>
          </w:divBdr>
        </w:div>
        <w:div w:id="174078101">
          <w:marLeft w:val="0"/>
          <w:marRight w:val="0"/>
          <w:marTop w:val="0"/>
          <w:marBottom w:val="0"/>
          <w:divBdr>
            <w:top w:val="none" w:sz="0" w:space="0" w:color="auto"/>
            <w:left w:val="none" w:sz="0" w:space="0" w:color="auto"/>
            <w:bottom w:val="none" w:sz="0" w:space="0" w:color="auto"/>
            <w:right w:val="none" w:sz="0" w:space="0" w:color="auto"/>
          </w:divBdr>
        </w:div>
        <w:div w:id="509879325">
          <w:marLeft w:val="0"/>
          <w:marRight w:val="0"/>
          <w:marTop w:val="0"/>
          <w:marBottom w:val="0"/>
          <w:divBdr>
            <w:top w:val="none" w:sz="0" w:space="0" w:color="auto"/>
            <w:left w:val="none" w:sz="0" w:space="0" w:color="auto"/>
            <w:bottom w:val="none" w:sz="0" w:space="0" w:color="auto"/>
            <w:right w:val="none" w:sz="0" w:space="0" w:color="auto"/>
          </w:divBdr>
        </w:div>
        <w:div w:id="621230785">
          <w:marLeft w:val="0"/>
          <w:marRight w:val="0"/>
          <w:marTop w:val="0"/>
          <w:marBottom w:val="0"/>
          <w:divBdr>
            <w:top w:val="none" w:sz="0" w:space="0" w:color="auto"/>
            <w:left w:val="none" w:sz="0" w:space="0" w:color="auto"/>
            <w:bottom w:val="none" w:sz="0" w:space="0" w:color="auto"/>
            <w:right w:val="none" w:sz="0" w:space="0" w:color="auto"/>
          </w:divBdr>
        </w:div>
        <w:div w:id="1447001308">
          <w:marLeft w:val="0"/>
          <w:marRight w:val="0"/>
          <w:marTop w:val="0"/>
          <w:marBottom w:val="0"/>
          <w:divBdr>
            <w:top w:val="none" w:sz="0" w:space="0" w:color="auto"/>
            <w:left w:val="none" w:sz="0" w:space="0" w:color="auto"/>
            <w:bottom w:val="none" w:sz="0" w:space="0" w:color="auto"/>
            <w:right w:val="none" w:sz="0" w:space="0" w:color="auto"/>
          </w:divBdr>
        </w:div>
        <w:div w:id="1693605977">
          <w:marLeft w:val="0"/>
          <w:marRight w:val="0"/>
          <w:marTop w:val="0"/>
          <w:marBottom w:val="0"/>
          <w:divBdr>
            <w:top w:val="none" w:sz="0" w:space="0" w:color="auto"/>
            <w:left w:val="none" w:sz="0" w:space="0" w:color="auto"/>
            <w:bottom w:val="none" w:sz="0" w:space="0" w:color="auto"/>
            <w:right w:val="none" w:sz="0" w:space="0" w:color="auto"/>
          </w:divBdr>
        </w:div>
        <w:div w:id="2052723362">
          <w:marLeft w:val="0"/>
          <w:marRight w:val="0"/>
          <w:marTop w:val="0"/>
          <w:marBottom w:val="0"/>
          <w:divBdr>
            <w:top w:val="none" w:sz="0" w:space="0" w:color="auto"/>
            <w:left w:val="none" w:sz="0" w:space="0" w:color="auto"/>
            <w:bottom w:val="none" w:sz="0" w:space="0" w:color="auto"/>
            <w:right w:val="none" w:sz="0" w:space="0" w:color="auto"/>
          </w:divBdr>
        </w:div>
      </w:divsChild>
    </w:div>
    <w:div w:id="1594892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FCFD494BAD24482C8CC370613B16B" ma:contentTypeVersion="13" ma:contentTypeDescription="Create a new document." ma:contentTypeScope="" ma:versionID="52dea1f20ac820ff72d25c03474cc3e6">
  <xsd:schema xmlns:xsd="http://www.w3.org/2001/XMLSchema" xmlns:xs="http://www.w3.org/2001/XMLSchema" xmlns:p="http://schemas.microsoft.com/office/2006/metadata/properties" xmlns:ns3="c7bfb04e-5515-4b14-a7ad-3f0f3258a052" xmlns:ns4="30b9a6f5-933c-46cc-a227-1c9e051b2885" targetNamespace="http://schemas.microsoft.com/office/2006/metadata/properties" ma:root="true" ma:fieldsID="4e868ab0483c25fd92adf24a8980b4fc" ns3:_="" ns4:_="">
    <xsd:import namespace="c7bfb04e-5515-4b14-a7ad-3f0f3258a052"/>
    <xsd:import namespace="30b9a6f5-933c-46cc-a227-1c9e051b28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_activity" minOccurs="0"/>
                <xsd:element ref="ns4:MediaServiceObjectDetectorVersions" minOccurs="0"/>
                <xsd:element ref="ns4:MediaServiceGenerationTime" minOccurs="0"/>
                <xsd:element ref="ns4:MediaServiceEventHashCode"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fb04e-5515-4b14-a7ad-3f0f3258a0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9a6f5-933c-46cc-a227-1c9e051b28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0b9a6f5-933c-46cc-a227-1c9e051b288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8F63D-476D-4746-9F56-4347A9C09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fb04e-5515-4b14-a7ad-3f0f3258a052"/>
    <ds:schemaRef ds:uri="30b9a6f5-933c-46cc-a227-1c9e051b2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C1D70-B049-4FC9-8ED4-EC298828BB93}">
  <ds:schemaRefs>
    <ds:schemaRef ds:uri="http://schemas.microsoft.com/sharepoint/v3/contenttype/forms"/>
  </ds:schemaRefs>
</ds:datastoreItem>
</file>

<file path=customXml/itemProps3.xml><?xml version="1.0" encoding="utf-8"?>
<ds:datastoreItem xmlns:ds="http://schemas.openxmlformats.org/officeDocument/2006/customXml" ds:itemID="{72B2B893-2A6F-43EE-88DD-7430CDFE2F1E}">
  <ds:schemaRefs>
    <ds:schemaRef ds:uri="http://schemas.microsoft.com/office/2006/metadata/properties"/>
    <ds:schemaRef ds:uri="http://schemas.microsoft.com/office/infopath/2007/PartnerControls"/>
    <ds:schemaRef ds:uri="30b9a6f5-933c-46cc-a227-1c9e051b2885"/>
  </ds:schemaRefs>
</ds:datastoreItem>
</file>

<file path=customXml/itemProps4.xml><?xml version="1.0" encoding="utf-8"?>
<ds:datastoreItem xmlns:ds="http://schemas.openxmlformats.org/officeDocument/2006/customXml" ds:itemID="{354423B8-576E-428B-A725-ABEAAEE5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Judge-Portia Nkutha-Nkontwana</dc:creator>
  <cp:keywords/>
  <dc:description/>
  <cp:lastModifiedBy>Mary Bruce</cp:lastModifiedBy>
  <cp:revision>3</cp:revision>
  <cp:lastPrinted>2023-11-01T09:34:00Z</cp:lastPrinted>
  <dcterms:created xsi:type="dcterms:W3CDTF">2023-11-02T09:15:00Z</dcterms:created>
  <dcterms:modified xsi:type="dcterms:W3CDTF">2023-11-02T14:36:00Z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0x0101003DCFCFD494BAD24482C8CC370613B16B</vt:lpwstr>
  </property>
</Properties>
</file>