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BDCA" w14:textId="77777777" w:rsidR="00A06B6E" w:rsidRPr="006465A5" w:rsidRDefault="00A06B6E" w:rsidP="00A06B6E">
      <w:pPr>
        <w:jc w:val="center"/>
        <w:rPr>
          <w:rFonts w:ascii="Arial" w:hAnsi="Arial" w:cs="Arial"/>
          <w:b/>
          <w:szCs w:val="24"/>
        </w:rPr>
      </w:pPr>
      <w:r w:rsidRPr="006465A5">
        <w:rPr>
          <w:rFonts w:ascii="Arial" w:hAnsi="Arial" w:cs="Arial"/>
          <w:b/>
          <w:szCs w:val="24"/>
        </w:rPr>
        <w:t>REPUBLIC OF SOUTH AFRICA</w:t>
      </w:r>
    </w:p>
    <w:p w14:paraId="561DF388" w14:textId="6AAF5768" w:rsidR="00A06B6E" w:rsidRPr="006465A5" w:rsidRDefault="00145BD6" w:rsidP="00A06B6E">
      <w:pPr>
        <w:jc w:val="center"/>
        <w:rPr>
          <w:rFonts w:ascii="Arial" w:hAnsi="Arial" w:cs="Arial"/>
          <w:b/>
          <w:color w:val="000000"/>
          <w:szCs w:val="24"/>
        </w:rPr>
      </w:pPr>
      <w:r>
        <w:rPr>
          <w:rFonts w:ascii="Arial" w:hAnsi="Arial" w:cs="Arial"/>
          <w:b/>
          <w:noProof/>
          <w:szCs w:val="24"/>
          <w:lang w:val="en-US"/>
        </w:rPr>
        <w:drawing>
          <wp:inline distT="0" distB="0" distL="0" distR="0" wp14:anchorId="5DC5BE91" wp14:editId="23D98425">
            <wp:extent cx="1114425" cy="1114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561479B4" w14:textId="77777777" w:rsidR="00A06B6E" w:rsidRPr="006465A5" w:rsidRDefault="00A06B6E" w:rsidP="00A06B6E">
      <w:pPr>
        <w:jc w:val="center"/>
        <w:rPr>
          <w:rFonts w:ascii="Arial" w:hAnsi="Arial" w:cs="Arial"/>
          <w:b/>
          <w:szCs w:val="24"/>
        </w:rPr>
      </w:pPr>
      <w:r w:rsidRPr="006465A5">
        <w:rPr>
          <w:rFonts w:ascii="Arial" w:hAnsi="Arial" w:cs="Arial"/>
          <w:b/>
          <w:szCs w:val="24"/>
        </w:rPr>
        <w:t>IN THE HIGH COURT OF SOUTH AFRICA</w:t>
      </w:r>
    </w:p>
    <w:p w14:paraId="6A8DCB4D" w14:textId="77777777" w:rsidR="00A06B6E" w:rsidRPr="006465A5" w:rsidRDefault="00A06B6E" w:rsidP="00A06B6E">
      <w:pPr>
        <w:jc w:val="center"/>
        <w:rPr>
          <w:rFonts w:ascii="Arial" w:hAnsi="Arial" w:cs="Arial"/>
          <w:b/>
          <w:szCs w:val="24"/>
          <w:lang w:eastAsia="en-ZA"/>
        </w:rPr>
      </w:pPr>
      <w:r w:rsidRPr="006465A5">
        <w:rPr>
          <w:rFonts w:ascii="Arial" w:hAnsi="Arial" w:cs="Arial"/>
          <w:b/>
          <w:szCs w:val="24"/>
        </w:rPr>
        <w:t>GAUTENG DIVISION, JOHANNESBURG</w:t>
      </w:r>
    </w:p>
    <w:p w14:paraId="5CBD2BCD" w14:textId="77777777" w:rsidR="00A06B6E" w:rsidRPr="006465A5" w:rsidRDefault="00A06B6E" w:rsidP="00A06B6E">
      <w:pPr>
        <w:jc w:val="center"/>
        <w:rPr>
          <w:rFonts w:ascii="Arial" w:hAnsi="Arial" w:cs="Arial"/>
          <w:b/>
          <w:szCs w:val="24"/>
          <w:lang w:eastAsia="en-GB"/>
        </w:rPr>
      </w:pPr>
    </w:p>
    <w:p w14:paraId="604647B7" w14:textId="4C35F400" w:rsidR="00A06B6E" w:rsidRPr="006465A5" w:rsidRDefault="00145BD6" w:rsidP="00A06B6E">
      <w:pPr>
        <w:widowControl/>
        <w:tabs>
          <w:tab w:val="right" w:pos="8220"/>
        </w:tabs>
        <w:jc w:val="right"/>
        <w:rPr>
          <w:rFonts w:ascii="Arial" w:hAnsi="Arial" w:cs="Arial"/>
          <w:b/>
          <w:bCs/>
          <w:szCs w:val="24"/>
        </w:rPr>
      </w:pPr>
      <w:r>
        <w:rPr>
          <w:rFonts w:ascii="Arial" w:hAnsi="Arial" w:cs="Arial"/>
          <w:noProof/>
          <w:szCs w:val="24"/>
          <w:lang w:val="en-US"/>
        </w:rPr>
        <mc:AlternateContent>
          <mc:Choice Requires="wps">
            <w:drawing>
              <wp:anchor distT="0" distB="0" distL="114300" distR="114300" simplePos="0" relativeHeight="251657728" behindDoc="0" locked="0" layoutInCell="1" allowOverlap="1" wp14:anchorId="2BE3D095" wp14:editId="2DB32241">
                <wp:simplePos x="0" y="0"/>
                <wp:positionH relativeFrom="margin">
                  <wp:posOffset>6350</wp:posOffset>
                </wp:positionH>
                <wp:positionV relativeFrom="page">
                  <wp:posOffset>3048000</wp:posOffset>
                </wp:positionV>
                <wp:extent cx="3314700" cy="1266825"/>
                <wp:effectExtent l="0" t="0" r="0" b="952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062CA3BC" w14:textId="77777777" w:rsidR="00A06B6E" w:rsidRPr="00E756C0" w:rsidRDefault="00A06B6E" w:rsidP="00A06B6E">
                            <w:pPr>
                              <w:jc w:val="center"/>
                              <w:rPr>
                                <w:rFonts w:ascii="Arial" w:hAnsi="Arial" w:cs="Arial"/>
                                <w:b/>
                                <w:sz w:val="2"/>
                                <w:szCs w:val="18"/>
                              </w:rPr>
                            </w:pPr>
                          </w:p>
                          <w:p w14:paraId="79921BB7" w14:textId="0FB5A714" w:rsidR="00A06B6E" w:rsidRPr="00E756C0" w:rsidRDefault="000A48F3" w:rsidP="000A48F3">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A06B6E" w:rsidRPr="00E756C0">
                              <w:rPr>
                                <w:rFonts w:ascii="Arial" w:hAnsi="Arial" w:cs="Arial"/>
                                <w:sz w:val="18"/>
                                <w:szCs w:val="18"/>
                              </w:rPr>
                              <w:t>REPORTABLE: NO</w:t>
                            </w:r>
                          </w:p>
                          <w:p w14:paraId="753E3310" w14:textId="5A3DCB86" w:rsidR="00A06B6E" w:rsidRPr="00E756C0" w:rsidRDefault="000A48F3" w:rsidP="000A48F3">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A06B6E" w:rsidRPr="00E756C0">
                              <w:rPr>
                                <w:rFonts w:ascii="Arial" w:hAnsi="Arial" w:cs="Arial"/>
                                <w:sz w:val="18"/>
                                <w:szCs w:val="18"/>
                              </w:rPr>
                              <w:t>OF INTEREST TO OTHER JUDGES: NO</w:t>
                            </w:r>
                          </w:p>
                          <w:p w14:paraId="6E39E91E" w14:textId="0B0F04F4" w:rsidR="00A06B6E" w:rsidRPr="00E756C0" w:rsidRDefault="000A48F3" w:rsidP="000A48F3">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A06B6E" w:rsidRPr="00E756C0">
                              <w:rPr>
                                <w:rFonts w:ascii="Arial" w:hAnsi="Arial" w:cs="Arial"/>
                                <w:sz w:val="18"/>
                                <w:szCs w:val="18"/>
                              </w:rPr>
                              <w:t xml:space="preserve">REVISED. </w:t>
                            </w:r>
                          </w:p>
                          <w:p w14:paraId="3EB10AED" w14:textId="77777777" w:rsidR="00A06B6E" w:rsidRPr="00E756C0" w:rsidRDefault="00A06B6E" w:rsidP="00A06B6E">
                            <w:pPr>
                              <w:rPr>
                                <w:rFonts w:ascii="Arial" w:hAnsi="Arial" w:cs="Arial"/>
                                <w:b/>
                                <w:sz w:val="18"/>
                                <w:szCs w:val="18"/>
                              </w:rPr>
                            </w:pPr>
                          </w:p>
                          <w:p w14:paraId="28FCF6A6" w14:textId="77777777" w:rsidR="00A06B6E" w:rsidRDefault="00A06B6E" w:rsidP="00A06B6E">
                            <w:pPr>
                              <w:rPr>
                                <w:rFonts w:ascii="Arial" w:hAnsi="Arial" w:cs="Arial"/>
                                <w:b/>
                                <w:sz w:val="18"/>
                                <w:szCs w:val="18"/>
                              </w:rPr>
                            </w:pPr>
                          </w:p>
                          <w:p w14:paraId="0B8EFBE6" w14:textId="77777777" w:rsidR="00A06B6E" w:rsidRPr="00E756C0" w:rsidRDefault="00A06B6E" w:rsidP="00A06B6E">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076265DF" w14:textId="77777777" w:rsidR="00A06B6E" w:rsidRPr="00E756C0" w:rsidRDefault="00A06B6E" w:rsidP="00A06B6E">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756C0">
                              <w:rPr>
                                <w:rFonts w:ascii="Arial" w:hAnsi="Arial" w:cs="Arial"/>
                                <w:b/>
                                <w:sz w:val="18"/>
                                <w:szCs w:val="18"/>
                              </w:rPr>
                              <w:t>202</w:t>
                            </w:r>
                            <w:r>
                              <w:rPr>
                                <w:rFonts w:ascii="Arial" w:hAnsi="Arial" w:cs="Arial"/>
                                <w:b/>
                                <w:sz w:val="18"/>
                                <w:szCs w:val="18"/>
                              </w:rPr>
                              <w:t>3</w:t>
                            </w:r>
                          </w:p>
                          <w:p w14:paraId="64EAE225" w14:textId="77777777" w:rsidR="00A06B6E" w:rsidRPr="00E756C0" w:rsidRDefault="00A06B6E" w:rsidP="00A06B6E">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3D095" id="_x0000_t202" coordsize="21600,21600" o:spt="202" path="m,l,21600r21600,l21600,xe">
                <v:stroke joinstyle="miter"/>
                <v:path gradientshapeok="t" o:connecttype="rect"/>
              </v:shapetype>
              <v:shape id="Text Box 1" o:spid="_x0000_s1026" type="#_x0000_t202" style="position:absolute;left:0;text-align:left;margin-left:.5pt;margin-top:240pt;width:261pt;height:9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">
                <v:path arrowok="t"/>
                <v:textbox>
                  <w:txbxContent>
                    <w:p w14:paraId="062CA3BC" w14:textId="77777777" w:rsidR="00A06B6E" w:rsidRPr="00E756C0" w:rsidRDefault="00A06B6E" w:rsidP="00A06B6E">
                      <w:pPr>
                        <w:jc w:val="center"/>
                        <w:rPr>
                          <w:rFonts w:ascii="Arial" w:hAnsi="Arial" w:cs="Arial"/>
                          <w:b/>
                          <w:sz w:val="2"/>
                          <w:szCs w:val="18"/>
                        </w:rPr>
                      </w:pPr>
                    </w:p>
                    <w:p w14:paraId="79921BB7" w14:textId="0FB5A714" w:rsidR="00A06B6E" w:rsidRPr="00E756C0" w:rsidRDefault="000A48F3" w:rsidP="000A48F3">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A06B6E" w:rsidRPr="00E756C0">
                        <w:rPr>
                          <w:rFonts w:ascii="Arial" w:hAnsi="Arial" w:cs="Arial"/>
                          <w:sz w:val="18"/>
                          <w:szCs w:val="18"/>
                        </w:rPr>
                        <w:t>REPORTABLE: NO</w:t>
                      </w:r>
                    </w:p>
                    <w:p w14:paraId="753E3310" w14:textId="5A3DCB86" w:rsidR="00A06B6E" w:rsidRPr="00E756C0" w:rsidRDefault="000A48F3" w:rsidP="000A48F3">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A06B6E" w:rsidRPr="00E756C0">
                        <w:rPr>
                          <w:rFonts w:ascii="Arial" w:hAnsi="Arial" w:cs="Arial"/>
                          <w:sz w:val="18"/>
                          <w:szCs w:val="18"/>
                        </w:rPr>
                        <w:t>OF INTEREST TO OTHER JUDGES: NO</w:t>
                      </w:r>
                    </w:p>
                    <w:p w14:paraId="6E39E91E" w14:textId="0B0F04F4" w:rsidR="00A06B6E" w:rsidRPr="00E756C0" w:rsidRDefault="000A48F3" w:rsidP="000A48F3">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A06B6E" w:rsidRPr="00E756C0">
                        <w:rPr>
                          <w:rFonts w:ascii="Arial" w:hAnsi="Arial" w:cs="Arial"/>
                          <w:sz w:val="18"/>
                          <w:szCs w:val="18"/>
                        </w:rPr>
                        <w:t xml:space="preserve">REVISED. </w:t>
                      </w:r>
                    </w:p>
                    <w:p w14:paraId="3EB10AED" w14:textId="77777777" w:rsidR="00A06B6E" w:rsidRPr="00E756C0" w:rsidRDefault="00A06B6E" w:rsidP="00A06B6E">
                      <w:pPr>
                        <w:rPr>
                          <w:rFonts w:ascii="Arial" w:hAnsi="Arial" w:cs="Arial"/>
                          <w:b/>
                          <w:sz w:val="18"/>
                          <w:szCs w:val="18"/>
                        </w:rPr>
                      </w:pPr>
                    </w:p>
                    <w:p w14:paraId="28FCF6A6" w14:textId="77777777" w:rsidR="00A06B6E" w:rsidRDefault="00A06B6E" w:rsidP="00A06B6E">
                      <w:pPr>
                        <w:rPr>
                          <w:rFonts w:ascii="Arial" w:hAnsi="Arial" w:cs="Arial"/>
                          <w:b/>
                          <w:sz w:val="18"/>
                          <w:szCs w:val="18"/>
                        </w:rPr>
                      </w:pPr>
                    </w:p>
                    <w:p w14:paraId="0B8EFBE6" w14:textId="77777777" w:rsidR="00A06B6E" w:rsidRPr="00E756C0" w:rsidRDefault="00A06B6E" w:rsidP="00A06B6E">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076265DF" w14:textId="77777777" w:rsidR="00A06B6E" w:rsidRPr="00E756C0" w:rsidRDefault="00A06B6E" w:rsidP="00A06B6E">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756C0">
                        <w:rPr>
                          <w:rFonts w:ascii="Arial" w:hAnsi="Arial" w:cs="Arial"/>
                          <w:b/>
                          <w:sz w:val="18"/>
                          <w:szCs w:val="18"/>
                        </w:rPr>
                        <w:t>202</w:t>
                      </w:r>
                      <w:r>
                        <w:rPr>
                          <w:rFonts w:ascii="Arial" w:hAnsi="Arial" w:cs="Arial"/>
                          <w:b/>
                          <w:sz w:val="18"/>
                          <w:szCs w:val="18"/>
                        </w:rPr>
                        <w:t>3</w:t>
                      </w:r>
                    </w:p>
                    <w:p w14:paraId="64EAE225" w14:textId="77777777" w:rsidR="00A06B6E" w:rsidRPr="00E756C0" w:rsidRDefault="00A06B6E" w:rsidP="00A06B6E">
                      <w:pPr>
                        <w:rPr>
                          <w:rFonts w:ascii="Arial" w:hAnsi="Arial" w:cs="Arial"/>
                          <w:b/>
                          <w:sz w:val="2"/>
                          <w:szCs w:val="18"/>
                        </w:rPr>
                      </w:pPr>
                    </w:p>
                  </w:txbxContent>
                </v:textbox>
                <w10:wrap type="topAndBottom" anchorx="margin" anchory="page"/>
              </v:shape>
            </w:pict>
          </mc:Fallback>
        </mc:AlternateContent>
      </w:r>
      <w:r w:rsidR="00A06B6E" w:rsidRPr="006465A5">
        <w:rPr>
          <w:rFonts w:ascii="Arial" w:hAnsi="Arial" w:cs="Arial"/>
          <w:b/>
          <w:bCs/>
          <w:szCs w:val="24"/>
        </w:rPr>
        <w:t xml:space="preserve">CASE NUMBER: </w:t>
      </w:r>
      <w:r w:rsidRPr="00145BD6">
        <w:rPr>
          <w:rFonts w:ascii="Arial" w:hAnsi="Arial" w:cs="Arial"/>
          <w:b/>
          <w:bCs/>
          <w:szCs w:val="24"/>
          <w:lang w:val="en-US"/>
        </w:rPr>
        <w:t>2021/47032</w:t>
      </w:r>
    </w:p>
    <w:p w14:paraId="5D1A7B2C" w14:textId="77777777" w:rsidR="00961EE9" w:rsidRPr="006465A5" w:rsidRDefault="00961EE9" w:rsidP="00475AF2">
      <w:pPr>
        <w:widowControl/>
        <w:jc w:val="both"/>
        <w:rPr>
          <w:rFonts w:ascii="Arial" w:hAnsi="Arial" w:cs="Arial"/>
          <w:b/>
          <w:bCs/>
          <w:szCs w:val="24"/>
        </w:rPr>
      </w:pPr>
    </w:p>
    <w:p w14:paraId="4281AEF5" w14:textId="77777777" w:rsidR="00475AF2" w:rsidRPr="006465A5" w:rsidRDefault="00475AF2" w:rsidP="00475AF2">
      <w:pPr>
        <w:widowControl/>
        <w:jc w:val="both"/>
        <w:rPr>
          <w:rFonts w:ascii="Arial" w:hAnsi="Arial" w:cs="Arial"/>
          <w:szCs w:val="24"/>
        </w:rPr>
      </w:pPr>
      <w:r w:rsidRPr="006465A5">
        <w:rPr>
          <w:rFonts w:ascii="Arial" w:hAnsi="Arial" w:cs="Arial"/>
          <w:szCs w:val="24"/>
        </w:rPr>
        <w:t>In the matter between:</w:t>
      </w:r>
    </w:p>
    <w:p w14:paraId="0421D156" w14:textId="77777777" w:rsidR="00475AF2" w:rsidRPr="006465A5" w:rsidRDefault="00475AF2" w:rsidP="00475AF2">
      <w:pPr>
        <w:widowControl/>
        <w:jc w:val="both"/>
        <w:rPr>
          <w:rFonts w:ascii="Arial" w:hAnsi="Arial" w:cs="Arial"/>
          <w:szCs w:val="24"/>
        </w:rPr>
      </w:pPr>
    </w:p>
    <w:p w14:paraId="20688C0A" w14:textId="77777777" w:rsidR="006738FB" w:rsidRPr="006465A5" w:rsidRDefault="006738FB" w:rsidP="00475AF2">
      <w:pPr>
        <w:widowControl/>
        <w:jc w:val="both"/>
        <w:rPr>
          <w:rFonts w:ascii="Arial" w:hAnsi="Arial" w:cs="Arial"/>
          <w:szCs w:val="24"/>
        </w:rPr>
      </w:pPr>
    </w:p>
    <w:p w14:paraId="65D10D29" w14:textId="45BD63D1" w:rsidR="0022679C" w:rsidRPr="006465A5" w:rsidRDefault="00047030" w:rsidP="00703898">
      <w:pPr>
        <w:widowControl/>
        <w:tabs>
          <w:tab w:val="right" w:pos="8222"/>
        </w:tabs>
        <w:spacing w:line="312" w:lineRule="auto"/>
        <w:jc w:val="both"/>
        <w:rPr>
          <w:rFonts w:ascii="Arial" w:hAnsi="Arial" w:cs="Arial"/>
          <w:szCs w:val="24"/>
        </w:rPr>
      </w:pPr>
      <w:r w:rsidRPr="006465A5">
        <w:rPr>
          <w:rFonts w:ascii="Arial" w:hAnsi="Arial" w:cs="Arial"/>
          <w:b/>
          <w:szCs w:val="24"/>
        </w:rPr>
        <w:t>MBALI INDUSTRIAL SOLUTIONS CC</w:t>
      </w:r>
      <w:r w:rsidR="006738FB" w:rsidRPr="006465A5">
        <w:rPr>
          <w:rFonts w:ascii="Arial" w:hAnsi="Arial" w:cs="Arial"/>
          <w:b/>
          <w:szCs w:val="24"/>
        </w:rPr>
        <w:tab/>
      </w:r>
      <w:r w:rsidR="006738FB" w:rsidRPr="006465A5">
        <w:rPr>
          <w:rFonts w:ascii="Arial" w:hAnsi="Arial" w:cs="Arial"/>
          <w:szCs w:val="24"/>
        </w:rPr>
        <w:t>A</w:t>
      </w:r>
      <w:r w:rsidR="00234A8E" w:rsidRPr="006465A5">
        <w:rPr>
          <w:rFonts w:ascii="Arial" w:hAnsi="Arial" w:cs="Arial"/>
          <w:szCs w:val="24"/>
        </w:rPr>
        <w:t>pplicant</w:t>
      </w:r>
    </w:p>
    <w:p w14:paraId="1FF2BA35" w14:textId="77777777" w:rsidR="005765E1" w:rsidRPr="006465A5" w:rsidRDefault="005765E1" w:rsidP="0022679C">
      <w:pPr>
        <w:widowControl/>
        <w:tabs>
          <w:tab w:val="right" w:pos="8222"/>
        </w:tabs>
        <w:spacing w:line="312" w:lineRule="auto"/>
        <w:jc w:val="both"/>
        <w:rPr>
          <w:rFonts w:ascii="Arial" w:hAnsi="Arial" w:cs="Arial"/>
          <w:szCs w:val="24"/>
        </w:rPr>
      </w:pPr>
    </w:p>
    <w:p w14:paraId="3DDE54B4" w14:textId="77777777" w:rsidR="00475AF2" w:rsidRPr="006465A5" w:rsidRDefault="00475AF2" w:rsidP="0022679C">
      <w:pPr>
        <w:widowControl/>
        <w:tabs>
          <w:tab w:val="right" w:pos="8222"/>
        </w:tabs>
        <w:spacing w:line="312" w:lineRule="auto"/>
        <w:jc w:val="both"/>
        <w:rPr>
          <w:rFonts w:ascii="Arial" w:hAnsi="Arial" w:cs="Arial"/>
          <w:szCs w:val="24"/>
        </w:rPr>
      </w:pPr>
      <w:r w:rsidRPr="006465A5">
        <w:rPr>
          <w:rFonts w:ascii="Arial" w:hAnsi="Arial" w:cs="Arial"/>
          <w:szCs w:val="24"/>
        </w:rPr>
        <w:t>and</w:t>
      </w:r>
    </w:p>
    <w:p w14:paraId="156441E1" w14:textId="77777777" w:rsidR="005765E1" w:rsidRPr="006465A5" w:rsidRDefault="005765E1" w:rsidP="006738FB">
      <w:pPr>
        <w:widowControl/>
        <w:tabs>
          <w:tab w:val="right" w:pos="8222"/>
          <w:tab w:val="right" w:pos="8505"/>
        </w:tabs>
        <w:spacing w:line="312" w:lineRule="auto"/>
        <w:ind w:right="-285"/>
        <w:jc w:val="both"/>
        <w:rPr>
          <w:rFonts w:ascii="Arial" w:hAnsi="Arial" w:cs="Arial"/>
          <w:szCs w:val="24"/>
        </w:rPr>
      </w:pPr>
    </w:p>
    <w:p w14:paraId="424008F7" w14:textId="6535A83D" w:rsidR="0022679C" w:rsidRPr="006465A5" w:rsidRDefault="00047030" w:rsidP="006738FB">
      <w:pPr>
        <w:widowControl/>
        <w:tabs>
          <w:tab w:val="right" w:pos="8222"/>
          <w:tab w:val="right" w:pos="8505"/>
        </w:tabs>
        <w:spacing w:line="312" w:lineRule="auto"/>
        <w:ind w:right="-285"/>
        <w:jc w:val="both"/>
        <w:rPr>
          <w:rFonts w:ascii="Arial" w:hAnsi="Arial" w:cs="Arial"/>
          <w:szCs w:val="24"/>
        </w:rPr>
      </w:pPr>
      <w:r w:rsidRPr="006465A5">
        <w:rPr>
          <w:rFonts w:ascii="Arial" w:hAnsi="Arial" w:cs="Arial"/>
          <w:b/>
          <w:bCs/>
          <w:szCs w:val="24"/>
        </w:rPr>
        <w:t>ESKOM HOLDINGS SOC</w:t>
      </w:r>
      <w:r w:rsidR="00923952" w:rsidRPr="006465A5">
        <w:rPr>
          <w:rFonts w:ascii="Arial" w:hAnsi="Arial" w:cs="Arial"/>
          <w:szCs w:val="24"/>
        </w:rPr>
        <w:tab/>
      </w:r>
      <w:r w:rsidR="00E535AB" w:rsidRPr="006465A5">
        <w:rPr>
          <w:rFonts w:ascii="Arial" w:hAnsi="Arial" w:cs="Arial"/>
          <w:szCs w:val="24"/>
        </w:rPr>
        <w:t xml:space="preserve">First </w:t>
      </w:r>
      <w:r w:rsidR="00234A8E" w:rsidRPr="006465A5">
        <w:rPr>
          <w:rFonts w:ascii="Arial" w:hAnsi="Arial" w:cs="Arial"/>
          <w:szCs w:val="24"/>
        </w:rPr>
        <w:t>Respondent</w:t>
      </w:r>
    </w:p>
    <w:p w14:paraId="2DA4B65C" w14:textId="66C58050" w:rsidR="00E535AB" w:rsidRPr="006465A5" w:rsidRDefault="00612B05" w:rsidP="00E535AB">
      <w:pPr>
        <w:widowControl/>
        <w:tabs>
          <w:tab w:val="right" w:pos="8222"/>
          <w:tab w:val="right" w:pos="8505"/>
        </w:tabs>
        <w:spacing w:line="312" w:lineRule="auto"/>
        <w:ind w:right="-285"/>
        <w:jc w:val="both"/>
        <w:rPr>
          <w:rFonts w:ascii="Arial" w:hAnsi="Arial" w:cs="Arial"/>
          <w:szCs w:val="24"/>
        </w:rPr>
      </w:pPr>
      <w:r w:rsidRPr="006465A5">
        <w:rPr>
          <w:rFonts w:ascii="Arial" w:hAnsi="Arial" w:cs="Arial"/>
          <w:b/>
          <w:bCs/>
          <w:szCs w:val="24"/>
        </w:rPr>
        <w:t>THENGA HOLDINGS (PTY) LIMITED</w:t>
      </w:r>
      <w:r w:rsidR="00E535AB" w:rsidRPr="006465A5">
        <w:rPr>
          <w:rFonts w:ascii="Arial" w:hAnsi="Arial" w:cs="Arial"/>
          <w:szCs w:val="24"/>
        </w:rPr>
        <w:tab/>
        <w:t>Second Respondent</w:t>
      </w:r>
    </w:p>
    <w:p w14:paraId="22F4BDF7" w14:textId="77777777" w:rsidR="006738FB" w:rsidRPr="006465A5" w:rsidRDefault="00E535AB" w:rsidP="006738FB">
      <w:pPr>
        <w:widowControl/>
        <w:tabs>
          <w:tab w:val="right" w:pos="8222"/>
          <w:tab w:val="right" w:pos="8505"/>
        </w:tabs>
        <w:spacing w:line="312" w:lineRule="auto"/>
        <w:ind w:right="-285"/>
        <w:jc w:val="both"/>
        <w:rPr>
          <w:rFonts w:ascii="Arial" w:hAnsi="Arial" w:cs="Arial"/>
          <w:szCs w:val="24"/>
        </w:rPr>
      </w:pPr>
      <w:r w:rsidRPr="006465A5">
        <w:rPr>
          <w:rFonts w:ascii="Arial" w:hAnsi="Arial" w:cs="Arial"/>
          <w:szCs w:val="24"/>
        </w:rPr>
        <w:tab/>
      </w:r>
    </w:p>
    <w:p w14:paraId="22287EB4" w14:textId="77777777" w:rsidR="00CE31B5" w:rsidRPr="006465A5" w:rsidRDefault="00061AAD" w:rsidP="00EC56C7">
      <w:pPr>
        <w:widowControl/>
        <w:tabs>
          <w:tab w:val="right" w:pos="8222"/>
          <w:tab w:val="right" w:pos="8505"/>
        </w:tabs>
        <w:spacing w:line="360" w:lineRule="auto"/>
        <w:ind w:right="-285"/>
        <w:jc w:val="both"/>
        <w:rPr>
          <w:rFonts w:ascii="Arial" w:hAnsi="Arial" w:cs="Arial"/>
          <w:szCs w:val="24"/>
        </w:rPr>
      </w:pPr>
      <w:r>
        <w:rPr>
          <w:rFonts w:ascii="Arial" w:hAnsi="Arial" w:cs="Arial"/>
          <w:szCs w:val="24"/>
        </w:rPr>
        <w:pict w14:anchorId="2F264A7F">
          <v:rect id="_x0000_i1025" style="width:0;height:1.5pt" o:hralign="center" o:hrstd="t" o:hr="t" fillcolor="#aca899" stroked="f"/>
        </w:pict>
      </w:r>
    </w:p>
    <w:p w14:paraId="06918E4B" w14:textId="77777777" w:rsidR="00475AF2" w:rsidRPr="006465A5" w:rsidRDefault="00416C87" w:rsidP="00475AF2">
      <w:pPr>
        <w:widowControl/>
        <w:tabs>
          <w:tab w:val="center" w:pos="4278"/>
        </w:tabs>
        <w:jc w:val="both"/>
        <w:rPr>
          <w:rFonts w:ascii="Arial" w:hAnsi="Arial" w:cs="Arial"/>
          <w:b/>
          <w:bCs/>
          <w:szCs w:val="24"/>
        </w:rPr>
      </w:pPr>
      <w:r w:rsidRPr="006465A5">
        <w:rPr>
          <w:rFonts w:ascii="Arial" w:hAnsi="Arial" w:cs="Arial"/>
          <w:b/>
          <w:bCs/>
          <w:szCs w:val="24"/>
        </w:rPr>
        <w:tab/>
        <w:t>JUDGMENT</w:t>
      </w:r>
    </w:p>
    <w:p w14:paraId="190C90FD" w14:textId="77777777" w:rsidR="00CE31B5" w:rsidRPr="006465A5" w:rsidRDefault="00061AAD" w:rsidP="00CE31B5">
      <w:pPr>
        <w:rPr>
          <w:rFonts w:ascii="Arial" w:hAnsi="Arial" w:cs="Arial"/>
          <w:szCs w:val="24"/>
        </w:rPr>
      </w:pPr>
      <w:r>
        <w:rPr>
          <w:rFonts w:ascii="Arial" w:hAnsi="Arial" w:cs="Arial"/>
          <w:szCs w:val="24"/>
        </w:rPr>
        <w:pict w14:anchorId="6B04BEBA">
          <v:rect id="_x0000_i1026" style="width:0;height:1.5pt" o:hralign="center" o:hrstd="t" o:hr="t" fillcolor="#aca899" stroked="f"/>
        </w:pict>
      </w:r>
    </w:p>
    <w:p w14:paraId="1223072A" w14:textId="77777777" w:rsidR="00C44C06" w:rsidRPr="006465A5" w:rsidRDefault="00C44C06" w:rsidP="00C44C06">
      <w:pPr>
        <w:widowControl/>
        <w:tabs>
          <w:tab w:val="left" w:pos="851"/>
          <w:tab w:val="left" w:pos="1701"/>
          <w:tab w:val="left" w:pos="2835"/>
          <w:tab w:val="left" w:pos="3969"/>
          <w:tab w:val="right" w:pos="8222"/>
        </w:tabs>
        <w:autoSpaceDE/>
        <w:autoSpaceDN/>
        <w:adjustRightInd/>
        <w:jc w:val="both"/>
        <w:rPr>
          <w:rFonts w:ascii="Arial" w:hAnsi="Arial" w:cs="Arial"/>
          <w:szCs w:val="24"/>
        </w:rPr>
      </w:pPr>
    </w:p>
    <w:p w14:paraId="64D69426" w14:textId="7072236C" w:rsidR="00D879AE" w:rsidRPr="006465A5" w:rsidRDefault="00CE51C9" w:rsidP="009900DF">
      <w:pPr>
        <w:widowControl/>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caps/>
          <w:szCs w:val="24"/>
        </w:rPr>
      </w:pPr>
      <w:r>
        <w:rPr>
          <w:rFonts w:ascii="Arial" w:hAnsi="Arial" w:cs="Arial"/>
          <w:caps/>
          <w:szCs w:val="24"/>
        </w:rPr>
        <w:t>REDMAN</w:t>
      </w:r>
      <w:r w:rsidR="007D2580" w:rsidRPr="006465A5">
        <w:rPr>
          <w:rFonts w:ascii="Arial" w:hAnsi="Arial" w:cs="Arial"/>
          <w:caps/>
          <w:szCs w:val="24"/>
        </w:rPr>
        <w:t xml:space="preserve"> AJ</w:t>
      </w:r>
    </w:p>
    <w:p w14:paraId="2DCE9386" w14:textId="1530C555" w:rsidR="00834194"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[1]</w:t>
      </w:r>
      <w:r w:rsidRPr="006465A5">
        <w:rPr>
          <w:rFonts w:ascii="Arial" w:hAnsi="Arial" w:cs="Arial"/>
          <w:szCs w:val="24"/>
        </w:rPr>
        <w:tab/>
      </w:r>
      <w:r w:rsidR="00834194" w:rsidRPr="006465A5">
        <w:rPr>
          <w:rFonts w:ascii="Arial" w:hAnsi="Arial"/>
          <w:szCs w:val="24"/>
        </w:rPr>
        <w:t>On 10 July 2020 the first respondent ("</w:t>
      </w:r>
      <w:r w:rsidR="00834194" w:rsidRPr="002E171B">
        <w:rPr>
          <w:rFonts w:ascii="Arial" w:hAnsi="Arial"/>
          <w:b/>
          <w:bCs/>
          <w:szCs w:val="24"/>
        </w:rPr>
        <w:t>Eskom</w:t>
      </w:r>
      <w:r w:rsidR="00834194" w:rsidRPr="006465A5">
        <w:rPr>
          <w:rFonts w:ascii="Arial" w:hAnsi="Arial"/>
          <w:szCs w:val="24"/>
        </w:rPr>
        <w:t xml:space="preserve">") issued an invitation to tender for </w:t>
      </w:r>
      <w:r w:rsidR="002A2FF8">
        <w:rPr>
          <w:rFonts w:ascii="Arial" w:hAnsi="Arial"/>
          <w:szCs w:val="24"/>
        </w:rPr>
        <w:t>p</w:t>
      </w:r>
      <w:r w:rsidR="00834194" w:rsidRPr="006465A5">
        <w:rPr>
          <w:rFonts w:ascii="Arial" w:hAnsi="Arial"/>
          <w:szCs w:val="24"/>
        </w:rPr>
        <w:t>ipeline maintenance (slurry and ash plant)</w:t>
      </w:r>
      <w:r w:rsidR="005B27E6">
        <w:rPr>
          <w:rFonts w:ascii="Arial" w:hAnsi="Arial"/>
          <w:szCs w:val="24"/>
        </w:rPr>
        <w:t xml:space="preserve"> </w:t>
      </w:r>
      <w:r w:rsidR="000B1D1F">
        <w:rPr>
          <w:rFonts w:ascii="Arial" w:hAnsi="Arial"/>
          <w:szCs w:val="24"/>
        </w:rPr>
        <w:t xml:space="preserve">at the </w:t>
      </w:r>
      <w:r w:rsidR="000B1D1F">
        <w:rPr>
          <w:rFonts w:ascii="Arial" w:hAnsi="Arial" w:cs="Arial"/>
          <w:szCs w:val="24"/>
        </w:rPr>
        <w:t>Matla Power Station</w:t>
      </w:r>
      <w:r w:rsidR="00834194" w:rsidRPr="006465A5">
        <w:rPr>
          <w:rFonts w:ascii="Arial" w:hAnsi="Arial"/>
          <w:szCs w:val="24"/>
        </w:rPr>
        <w:t xml:space="preserve"> for a period of 36 months under tender MPGXC006248.</w:t>
      </w:r>
    </w:p>
    <w:p w14:paraId="68FE46D5" w14:textId="77410A30" w:rsidR="00834194"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[2]</w:t>
      </w:r>
      <w:r w:rsidRPr="006465A5">
        <w:rPr>
          <w:rFonts w:ascii="Arial" w:hAnsi="Arial" w:cs="Arial"/>
          <w:szCs w:val="24"/>
        </w:rPr>
        <w:tab/>
      </w:r>
      <w:r w:rsidR="00834194" w:rsidRPr="006465A5">
        <w:rPr>
          <w:rFonts w:ascii="Arial" w:hAnsi="Arial"/>
          <w:szCs w:val="24"/>
        </w:rPr>
        <w:t xml:space="preserve">The approved value of the tender was R96 million.  The closing date for submission of tenders was 10 September 2020.  The tender validity period was 18 weeks. </w:t>
      </w:r>
    </w:p>
    <w:p w14:paraId="7DF03A55" w14:textId="355ACB96" w:rsidR="00834194"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lastRenderedPageBreak/>
        <w:t>[3]</w:t>
      </w:r>
      <w:r w:rsidRPr="006465A5">
        <w:rPr>
          <w:rFonts w:ascii="Arial" w:hAnsi="Arial" w:cs="Arial"/>
          <w:szCs w:val="24"/>
        </w:rPr>
        <w:tab/>
      </w:r>
      <w:r w:rsidR="00834194" w:rsidRPr="006465A5">
        <w:rPr>
          <w:rFonts w:ascii="Arial" w:hAnsi="Arial"/>
          <w:szCs w:val="24"/>
        </w:rPr>
        <w:t xml:space="preserve">An eight-step evaluation </w:t>
      </w:r>
      <w:r w:rsidR="00E54711">
        <w:rPr>
          <w:rFonts w:ascii="Arial" w:hAnsi="Arial"/>
          <w:szCs w:val="24"/>
        </w:rPr>
        <w:t xml:space="preserve">set out in the Invitation to Tender </w:t>
      </w:r>
      <w:r w:rsidR="007612A6" w:rsidRPr="006465A5">
        <w:rPr>
          <w:rFonts w:ascii="Arial" w:hAnsi="Arial"/>
          <w:szCs w:val="24"/>
        </w:rPr>
        <w:t>("</w:t>
      </w:r>
      <w:r w:rsidR="007612A6" w:rsidRPr="002E171B">
        <w:rPr>
          <w:rFonts w:ascii="Arial" w:hAnsi="Arial"/>
          <w:b/>
          <w:bCs/>
          <w:szCs w:val="24"/>
        </w:rPr>
        <w:t>the ITT</w:t>
      </w:r>
      <w:r w:rsidR="007612A6" w:rsidRPr="006465A5">
        <w:rPr>
          <w:rFonts w:ascii="Arial" w:hAnsi="Arial"/>
          <w:szCs w:val="24"/>
        </w:rPr>
        <w:t>")</w:t>
      </w:r>
      <w:r w:rsidR="007612A6">
        <w:rPr>
          <w:rFonts w:ascii="Arial" w:hAnsi="Arial"/>
          <w:szCs w:val="24"/>
        </w:rPr>
        <w:t xml:space="preserve"> </w:t>
      </w:r>
      <w:r w:rsidR="00834194" w:rsidRPr="006465A5">
        <w:rPr>
          <w:rFonts w:ascii="Arial" w:hAnsi="Arial"/>
          <w:szCs w:val="24"/>
        </w:rPr>
        <w:t xml:space="preserve">was as follows – </w:t>
      </w:r>
    </w:p>
    <w:p w14:paraId="1C7983E6" w14:textId="77777777" w:rsidR="00507DBC" w:rsidRPr="006465A5" w:rsidRDefault="00507DBC" w:rsidP="00243A6D">
      <w:pPr>
        <w:pStyle w:val="ListParagraph"/>
        <w:spacing w:after="120"/>
        <w:ind w:left="851"/>
        <w:contextualSpacing w:val="0"/>
        <w:jc w:val="both"/>
        <w:rPr>
          <w:rFonts w:ascii="Arial" w:hAnsi="Arial"/>
          <w:i/>
          <w:iCs/>
          <w:szCs w:val="24"/>
        </w:rPr>
      </w:pPr>
      <w:r w:rsidRPr="006465A5">
        <w:rPr>
          <w:rFonts w:ascii="Arial" w:hAnsi="Arial"/>
          <w:i/>
          <w:iCs/>
          <w:szCs w:val="24"/>
        </w:rPr>
        <w:t>"2.</w:t>
      </w:r>
      <w:r w:rsidRPr="006465A5">
        <w:rPr>
          <w:rFonts w:ascii="Arial" w:hAnsi="Arial"/>
          <w:i/>
          <w:iCs/>
          <w:szCs w:val="24"/>
        </w:rPr>
        <w:tab/>
        <w:t>Evaluation process and criteria</w:t>
      </w:r>
    </w:p>
    <w:p w14:paraId="7CC5D103" w14:textId="77777777" w:rsidR="00507DBC" w:rsidRPr="006465A5" w:rsidRDefault="00507DBC" w:rsidP="00243A6D">
      <w:pPr>
        <w:pStyle w:val="ListParagraph"/>
        <w:spacing w:after="120"/>
        <w:ind w:left="851"/>
        <w:contextualSpacing w:val="0"/>
        <w:jc w:val="both"/>
        <w:rPr>
          <w:rFonts w:ascii="Arial" w:hAnsi="Arial"/>
          <w:i/>
          <w:iCs/>
          <w:szCs w:val="24"/>
        </w:rPr>
      </w:pPr>
      <w:bookmarkStart w:id="0" w:name="_GoBack"/>
      <w:bookmarkEnd w:id="0"/>
      <w:r w:rsidRPr="006465A5">
        <w:rPr>
          <w:rFonts w:ascii="Arial" w:hAnsi="Arial"/>
          <w:i/>
          <w:iCs/>
          <w:szCs w:val="24"/>
        </w:rPr>
        <w:t>2.1</w:t>
      </w:r>
      <w:r w:rsidRPr="006465A5">
        <w:rPr>
          <w:rFonts w:ascii="Arial" w:hAnsi="Arial"/>
          <w:i/>
          <w:iCs/>
          <w:szCs w:val="24"/>
        </w:rPr>
        <w:tab/>
        <w:t>Basic compliance</w:t>
      </w:r>
    </w:p>
    <w:p w14:paraId="4BF064B6" w14:textId="77777777" w:rsidR="00507DBC" w:rsidRPr="006465A5" w:rsidRDefault="00507DBC" w:rsidP="00243A6D">
      <w:pPr>
        <w:pStyle w:val="ListParagraph"/>
        <w:spacing w:after="120"/>
        <w:ind w:left="851"/>
        <w:contextualSpacing w:val="0"/>
        <w:jc w:val="both"/>
        <w:rPr>
          <w:rFonts w:ascii="Arial" w:hAnsi="Arial"/>
          <w:i/>
          <w:iCs/>
          <w:szCs w:val="24"/>
        </w:rPr>
      </w:pPr>
      <w:r w:rsidRPr="006465A5">
        <w:rPr>
          <w:rFonts w:ascii="Arial" w:hAnsi="Arial"/>
          <w:i/>
          <w:iCs/>
          <w:szCs w:val="24"/>
        </w:rPr>
        <w:t>2.2</w:t>
      </w:r>
      <w:r w:rsidRPr="006465A5">
        <w:rPr>
          <w:rFonts w:ascii="Arial" w:hAnsi="Arial"/>
          <w:i/>
          <w:iCs/>
          <w:szCs w:val="24"/>
        </w:rPr>
        <w:tab/>
        <w:t>Mandatory tender returnable</w:t>
      </w:r>
    </w:p>
    <w:p w14:paraId="60548770" w14:textId="77777777" w:rsidR="00507DBC" w:rsidRPr="006465A5" w:rsidRDefault="00507DBC" w:rsidP="00243A6D">
      <w:pPr>
        <w:pStyle w:val="ListParagraph"/>
        <w:spacing w:after="120"/>
        <w:ind w:left="851"/>
        <w:contextualSpacing w:val="0"/>
        <w:jc w:val="both"/>
        <w:rPr>
          <w:rFonts w:ascii="Arial" w:hAnsi="Arial"/>
          <w:i/>
          <w:iCs/>
          <w:szCs w:val="24"/>
        </w:rPr>
      </w:pPr>
      <w:r w:rsidRPr="006465A5">
        <w:rPr>
          <w:rFonts w:ascii="Arial" w:hAnsi="Arial"/>
          <w:i/>
          <w:iCs/>
          <w:szCs w:val="24"/>
        </w:rPr>
        <w:t xml:space="preserve">2.3 </w:t>
      </w:r>
      <w:r w:rsidRPr="006465A5">
        <w:rPr>
          <w:rFonts w:ascii="Arial" w:hAnsi="Arial"/>
          <w:i/>
          <w:iCs/>
          <w:szCs w:val="24"/>
        </w:rPr>
        <w:tab/>
        <w:t>Pre-qualification criteria</w:t>
      </w:r>
    </w:p>
    <w:p w14:paraId="25DCAE0E" w14:textId="77777777" w:rsidR="00507DBC" w:rsidRPr="006465A5" w:rsidRDefault="00507DBC" w:rsidP="00243A6D">
      <w:pPr>
        <w:pStyle w:val="ListParagraph"/>
        <w:tabs>
          <w:tab w:val="clear" w:pos="851"/>
        </w:tabs>
        <w:spacing w:after="120"/>
        <w:ind w:left="1701" w:hanging="850"/>
        <w:contextualSpacing w:val="0"/>
        <w:jc w:val="both"/>
        <w:rPr>
          <w:rFonts w:ascii="Arial" w:hAnsi="Arial"/>
          <w:i/>
          <w:iCs/>
          <w:szCs w:val="24"/>
        </w:rPr>
      </w:pPr>
      <w:r w:rsidRPr="006465A5">
        <w:rPr>
          <w:rFonts w:ascii="Arial" w:hAnsi="Arial"/>
          <w:i/>
          <w:iCs/>
          <w:szCs w:val="24"/>
        </w:rPr>
        <w:t>2.4</w:t>
      </w:r>
      <w:r w:rsidRPr="006465A5">
        <w:rPr>
          <w:rFonts w:ascii="Arial" w:hAnsi="Arial"/>
          <w:i/>
          <w:iCs/>
          <w:szCs w:val="24"/>
        </w:rPr>
        <w:tab/>
        <w:t>Local content and production (applicable where designated materials are included)</w:t>
      </w:r>
    </w:p>
    <w:p w14:paraId="1E0E04D0" w14:textId="77777777" w:rsidR="00507DBC" w:rsidRPr="006465A5" w:rsidRDefault="00507DBC" w:rsidP="00243A6D">
      <w:pPr>
        <w:pStyle w:val="ListParagraph"/>
        <w:tabs>
          <w:tab w:val="clear" w:pos="851"/>
        </w:tabs>
        <w:spacing w:after="120"/>
        <w:ind w:left="1701" w:hanging="850"/>
        <w:contextualSpacing w:val="0"/>
        <w:jc w:val="both"/>
        <w:rPr>
          <w:rFonts w:ascii="Arial" w:hAnsi="Arial"/>
          <w:i/>
          <w:iCs/>
          <w:szCs w:val="24"/>
        </w:rPr>
      </w:pPr>
      <w:r w:rsidRPr="006465A5">
        <w:rPr>
          <w:rFonts w:ascii="Arial" w:hAnsi="Arial"/>
          <w:i/>
          <w:iCs/>
          <w:szCs w:val="24"/>
        </w:rPr>
        <w:t>2.5</w:t>
      </w:r>
      <w:r w:rsidRPr="006465A5">
        <w:rPr>
          <w:rFonts w:ascii="Arial" w:hAnsi="Arial"/>
          <w:i/>
          <w:iCs/>
          <w:szCs w:val="24"/>
        </w:rPr>
        <w:tab/>
        <w:t>Functionality</w:t>
      </w:r>
    </w:p>
    <w:p w14:paraId="1ADB5C1B" w14:textId="77777777" w:rsidR="00507DBC" w:rsidRPr="006465A5" w:rsidRDefault="00507DBC" w:rsidP="00243A6D">
      <w:pPr>
        <w:pStyle w:val="ListParagraph"/>
        <w:tabs>
          <w:tab w:val="clear" w:pos="851"/>
        </w:tabs>
        <w:spacing w:after="120"/>
        <w:ind w:left="1701" w:hanging="850"/>
        <w:contextualSpacing w:val="0"/>
        <w:jc w:val="both"/>
        <w:rPr>
          <w:rFonts w:ascii="Arial" w:hAnsi="Arial"/>
          <w:i/>
          <w:iCs/>
          <w:szCs w:val="24"/>
        </w:rPr>
      </w:pPr>
      <w:r w:rsidRPr="006465A5">
        <w:rPr>
          <w:rFonts w:ascii="Arial" w:hAnsi="Arial"/>
          <w:i/>
          <w:iCs/>
          <w:szCs w:val="24"/>
        </w:rPr>
        <w:t>2.6</w:t>
      </w:r>
      <w:r w:rsidRPr="006465A5">
        <w:rPr>
          <w:rFonts w:ascii="Arial" w:hAnsi="Arial"/>
          <w:i/>
          <w:iCs/>
          <w:szCs w:val="24"/>
        </w:rPr>
        <w:tab/>
        <w:t>Financial Evaluation</w:t>
      </w:r>
    </w:p>
    <w:p w14:paraId="6C6948A7" w14:textId="1EEBA3A9" w:rsidR="00507DBC" w:rsidRPr="006465A5" w:rsidRDefault="00507DBC" w:rsidP="00243A6D">
      <w:pPr>
        <w:pStyle w:val="ListParagraph"/>
        <w:tabs>
          <w:tab w:val="clear" w:pos="851"/>
        </w:tabs>
        <w:spacing w:after="120"/>
        <w:ind w:left="1701" w:hanging="850"/>
        <w:contextualSpacing w:val="0"/>
        <w:jc w:val="both"/>
        <w:rPr>
          <w:rFonts w:ascii="Arial" w:hAnsi="Arial"/>
          <w:i/>
          <w:iCs/>
          <w:szCs w:val="24"/>
        </w:rPr>
      </w:pPr>
      <w:r w:rsidRPr="006465A5">
        <w:rPr>
          <w:rFonts w:ascii="Arial" w:hAnsi="Arial"/>
          <w:i/>
          <w:iCs/>
          <w:szCs w:val="24"/>
        </w:rPr>
        <w:t>2.7</w:t>
      </w:r>
      <w:r w:rsidRPr="006465A5">
        <w:rPr>
          <w:rFonts w:ascii="Arial" w:hAnsi="Arial"/>
          <w:i/>
          <w:iCs/>
          <w:szCs w:val="24"/>
        </w:rPr>
        <w:tab/>
        <w:t xml:space="preserve">Price and </w:t>
      </w:r>
      <w:r w:rsidR="000E0E63">
        <w:rPr>
          <w:rFonts w:ascii="Arial" w:hAnsi="Arial"/>
          <w:i/>
          <w:iCs/>
          <w:szCs w:val="24"/>
        </w:rPr>
        <w:t>P</w:t>
      </w:r>
      <w:r w:rsidRPr="006465A5">
        <w:rPr>
          <w:rFonts w:ascii="Arial" w:hAnsi="Arial"/>
          <w:i/>
          <w:iCs/>
          <w:szCs w:val="24"/>
        </w:rPr>
        <w:t>reference scoring</w:t>
      </w:r>
    </w:p>
    <w:p w14:paraId="1E152E7F" w14:textId="6FDE11B9" w:rsidR="00507DBC" w:rsidRPr="000A48F3" w:rsidRDefault="000A48F3" w:rsidP="000A48F3">
      <w:pPr>
        <w:ind w:left="1208" w:hanging="357"/>
        <w:jc w:val="both"/>
        <w:rPr>
          <w:rFonts w:ascii="Arial" w:hAnsi="Arial"/>
          <w:i/>
          <w:iCs/>
          <w:szCs w:val="24"/>
        </w:rPr>
      </w:pPr>
      <w:r w:rsidRPr="006465A5">
        <w:rPr>
          <w:rFonts w:ascii="Arial" w:eastAsia="Calibri" w:hAnsi="Arial" w:cs="Arial"/>
          <w:i/>
          <w:iCs/>
          <w:szCs w:val="24"/>
        </w:rPr>
        <w:t>2.8</w:t>
      </w:r>
      <w:r w:rsidRPr="006465A5">
        <w:rPr>
          <w:rFonts w:ascii="Arial" w:eastAsia="Calibri" w:hAnsi="Arial" w:cs="Arial"/>
          <w:i/>
          <w:iCs/>
          <w:szCs w:val="24"/>
        </w:rPr>
        <w:tab/>
      </w:r>
      <w:r w:rsidR="00507DBC" w:rsidRPr="000A48F3">
        <w:rPr>
          <w:rFonts w:ascii="Arial" w:hAnsi="Arial"/>
          <w:i/>
          <w:iCs/>
          <w:szCs w:val="24"/>
        </w:rPr>
        <w:t>Objective criteria"</w:t>
      </w:r>
    </w:p>
    <w:p w14:paraId="1A716230" w14:textId="2C46EC22" w:rsidR="00834194"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[4]</w:t>
      </w:r>
      <w:r w:rsidRPr="006465A5">
        <w:rPr>
          <w:rFonts w:ascii="Arial" w:hAnsi="Arial" w:cs="Arial"/>
          <w:szCs w:val="24"/>
        </w:rPr>
        <w:tab/>
      </w:r>
      <w:r w:rsidR="00834194" w:rsidRPr="006465A5">
        <w:rPr>
          <w:rFonts w:ascii="Arial" w:hAnsi="Arial"/>
          <w:szCs w:val="24"/>
        </w:rPr>
        <w:t xml:space="preserve">Clause 1.2 of the ITT indicated that several clauses in the Tender Data made reference to the Eskom Standard Conditions of Tender </w:t>
      </w:r>
      <w:r w:rsidR="000E0E63">
        <w:rPr>
          <w:rFonts w:ascii="Arial" w:hAnsi="Arial"/>
          <w:szCs w:val="24"/>
        </w:rPr>
        <w:t xml:space="preserve">which could be downloaded from the Eskom </w:t>
      </w:r>
      <w:r w:rsidR="00834194" w:rsidRPr="006465A5">
        <w:rPr>
          <w:rFonts w:ascii="Arial" w:hAnsi="Arial"/>
          <w:szCs w:val="24"/>
        </w:rPr>
        <w:t>website.</w:t>
      </w:r>
    </w:p>
    <w:p w14:paraId="3BCEB775" w14:textId="3FC2B92E" w:rsidR="00CF6935"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[5]</w:t>
      </w:r>
      <w:r w:rsidRPr="006465A5">
        <w:rPr>
          <w:rFonts w:ascii="Arial" w:hAnsi="Arial" w:cs="Arial"/>
          <w:szCs w:val="24"/>
        </w:rPr>
        <w:tab/>
      </w:r>
      <w:r w:rsidR="00834194" w:rsidRPr="006465A5">
        <w:rPr>
          <w:rFonts w:ascii="Arial" w:hAnsi="Arial"/>
          <w:szCs w:val="24"/>
        </w:rPr>
        <w:t xml:space="preserve">The basic compliance criteria for the ITT were the following – </w:t>
      </w:r>
    </w:p>
    <w:p w14:paraId="414F7681" w14:textId="03F7429A" w:rsidR="00CF6935" w:rsidRPr="000A48F3" w:rsidRDefault="000A48F3" w:rsidP="000A48F3">
      <w:pPr>
        <w:tabs>
          <w:tab w:val="left" w:pos="1418"/>
        </w:tabs>
        <w:spacing w:line="360" w:lineRule="auto"/>
        <w:ind w:left="1418" w:hanging="567"/>
        <w:jc w:val="both"/>
        <w:rPr>
          <w:rFonts w:ascii="Arial" w:hAnsi="Arial"/>
          <w:i/>
          <w:iCs/>
          <w:szCs w:val="24"/>
        </w:rPr>
      </w:pPr>
      <w:r w:rsidRPr="002E171B">
        <w:rPr>
          <w:rFonts w:ascii="Symbol" w:eastAsia="Calibri" w:hAnsi="Symbol" w:cs="Arial"/>
          <w:iCs/>
          <w:szCs w:val="24"/>
        </w:rPr>
        <w:t></w:t>
      </w:r>
      <w:r w:rsidRPr="002E171B">
        <w:rPr>
          <w:rFonts w:ascii="Symbol" w:eastAsia="Calibri" w:hAnsi="Symbol" w:cs="Arial"/>
          <w:iCs/>
          <w:szCs w:val="24"/>
        </w:rPr>
        <w:tab/>
      </w:r>
      <w:r w:rsidR="002E171B" w:rsidRPr="000A48F3">
        <w:rPr>
          <w:rFonts w:ascii="Arial" w:hAnsi="Arial"/>
          <w:szCs w:val="24"/>
        </w:rPr>
        <w:t>"</w:t>
      </w:r>
      <w:r w:rsidR="00CF6935" w:rsidRPr="000A48F3">
        <w:rPr>
          <w:rFonts w:ascii="Arial" w:hAnsi="Arial"/>
          <w:i/>
          <w:iCs/>
          <w:szCs w:val="24"/>
        </w:rPr>
        <w:t>Meet the eligibility criteria for a tenderer</w:t>
      </w:r>
      <w:r w:rsidR="0025435D" w:rsidRPr="000A48F3">
        <w:rPr>
          <w:rFonts w:ascii="Arial" w:hAnsi="Arial"/>
          <w:i/>
          <w:iCs/>
          <w:szCs w:val="24"/>
        </w:rPr>
        <w:t>;</w:t>
      </w:r>
    </w:p>
    <w:p w14:paraId="20820570" w14:textId="1E0C6852" w:rsidR="00CF6935" w:rsidRPr="000A48F3" w:rsidRDefault="000A48F3" w:rsidP="000A48F3">
      <w:pPr>
        <w:tabs>
          <w:tab w:val="left" w:pos="1418"/>
        </w:tabs>
        <w:spacing w:line="360" w:lineRule="auto"/>
        <w:ind w:left="1418" w:hanging="567"/>
        <w:jc w:val="both"/>
        <w:rPr>
          <w:rFonts w:ascii="Arial" w:hAnsi="Arial"/>
          <w:i/>
          <w:iCs/>
          <w:szCs w:val="24"/>
        </w:rPr>
      </w:pPr>
      <w:r w:rsidRPr="002E171B">
        <w:rPr>
          <w:rFonts w:ascii="Symbol" w:eastAsia="Calibri" w:hAnsi="Symbol" w:cs="Arial"/>
          <w:iCs/>
          <w:szCs w:val="24"/>
        </w:rPr>
        <w:t></w:t>
      </w:r>
      <w:r w:rsidRPr="002E171B">
        <w:rPr>
          <w:rFonts w:ascii="Symbol" w:eastAsia="Calibri" w:hAnsi="Symbol" w:cs="Arial"/>
          <w:iCs/>
          <w:szCs w:val="24"/>
        </w:rPr>
        <w:tab/>
      </w:r>
      <w:r w:rsidR="00CF6935" w:rsidRPr="000A48F3">
        <w:rPr>
          <w:rFonts w:ascii="Arial" w:hAnsi="Arial"/>
          <w:i/>
          <w:iCs/>
          <w:szCs w:val="24"/>
        </w:rPr>
        <w:t>Submit one (1) hard copy of the original tender to Eskom;</w:t>
      </w:r>
    </w:p>
    <w:p w14:paraId="3717539C" w14:textId="30A835EB" w:rsidR="00CF6935" w:rsidRPr="000A48F3" w:rsidRDefault="000A48F3" w:rsidP="000A48F3">
      <w:pPr>
        <w:tabs>
          <w:tab w:val="left" w:pos="1418"/>
        </w:tabs>
        <w:spacing w:line="360" w:lineRule="auto"/>
        <w:ind w:left="1418" w:hanging="567"/>
        <w:jc w:val="both"/>
        <w:rPr>
          <w:rFonts w:ascii="Arial" w:hAnsi="Arial"/>
          <w:i/>
          <w:iCs/>
          <w:szCs w:val="24"/>
        </w:rPr>
      </w:pPr>
      <w:r w:rsidRPr="002E171B">
        <w:rPr>
          <w:rFonts w:ascii="Symbol" w:eastAsia="Calibri" w:hAnsi="Symbol" w:cs="Arial"/>
          <w:iCs/>
          <w:szCs w:val="24"/>
        </w:rPr>
        <w:t></w:t>
      </w:r>
      <w:r w:rsidRPr="002E171B">
        <w:rPr>
          <w:rFonts w:ascii="Symbol" w:eastAsia="Calibri" w:hAnsi="Symbol" w:cs="Arial"/>
          <w:iCs/>
          <w:szCs w:val="24"/>
        </w:rPr>
        <w:tab/>
      </w:r>
      <w:r w:rsidR="00CF6935" w:rsidRPr="000A48F3">
        <w:rPr>
          <w:rFonts w:ascii="Arial" w:hAnsi="Arial"/>
          <w:i/>
          <w:iCs/>
          <w:szCs w:val="24"/>
        </w:rPr>
        <w:t>Submit a complete original tender with commercial, financial and technical information;</w:t>
      </w:r>
    </w:p>
    <w:p w14:paraId="14EF4AD0" w14:textId="0A617A0D" w:rsidR="00CF6935" w:rsidRPr="000A48F3" w:rsidRDefault="000A48F3" w:rsidP="000A48F3">
      <w:pPr>
        <w:tabs>
          <w:tab w:val="left" w:pos="1418"/>
        </w:tabs>
        <w:spacing w:line="360" w:lineRule="auto"/>
        <w:ind w:left="1418" w:hanging="567"/>
        <w:jc w:val="both"/>
        <w:rPr>
          <w:rFonts w:ascii="Arial" w:hAnsi="Arial"/>
          <w:i/>
          <w:iCs/>
          <w:szCs w:val="24"/>
        </w:rPr>
      </w:pPr>
      <w:r w:rsidRPr="002E171B">
        <w:rPr>
          <w:rFonts w:ascii="Symbol" w:eastAsia="Calibri" w:hAnsi="Symbol" w:cs="Arial"/>
          <w:iCs/>
          <w:szCs w:val="24"/>
        </w:rPr>
        <w:t></w:t>
      </w:r>
      <w:r w:rsidRPr="002E171B">
        <w:rPr>
          <w:rFonts w:ascii="Symbol" w:eastAsia="Calibri" w:hAnsi="Symbol" w:cs="Arial"/>
          <w:iCs/>
          <w:szCs w:val="24"/>
        </w:rPr>
        <w:tab/>
      </w:r>
      <w:r w:rsidR="00CF6935" w:rsidRPr="000A48F3">
        <w:rPr>
          <w:rFonts w:ascii="Arial" w:hAnsi="Arial"/>
          <w:i/>
          <w:iCs/>
          <w:szCs w:val="24"/>
        </w:rPr>
        <w:t>Submission of the mandatory commercial tender returnables as at stipulated deadlines</w:t>
      </w:r>
    </w:p>
    <w:p w14:paraId="3B15B773" w14:textId="3AE4B19F" w:rsidR="00CF6935" w:rsidRPr="000A48F3" w:rsidRDefault="000A48F3" w:rsidP="000A48F3">
      <w:pPr>
        <w:tabs>
          <w:tab w:val="left" w:pos="1418"/>
        </w:tabs>
        <w:spacing w:line="360" w:lineRule="auto"/>
        <w:ind w:left="1418" w:hanging="567"/>
        <w:jc w:val="both"/>
        <w:rPr>
          <w:rFonts w:ascii="Arial" w:hAnsi="Arial"/>
          <w:i/>
          <w:iCs/>
          <w:szCs w:val="24"/>
        </w:rPr>
      </w:pPr>
      <w:r w:rsidRPr="002E171B">
        <w:rPr>
          <w:rFonts w:ascii="Symbol" w:eastAsia="Calibri" w:hAnsi="Symbol" w:cs="Arial"/>
          <w:iCs/>
          <w:szCs w:val="24"/>
        </w:rPr>
        <w:t></w:t>
      </w:r>
      <w:r w:rsidRPr="002E171B">
        <w:rPr>
          <w:rFonts w:ascii="Symbol" w:eastAsia="Calibri" w:hAnsi="Symbol" w:cs="Arial"/>
          <w:iCs/>
          <w:szCs w:val="24"/>
        </w:rPr>
        <w:tab/>
      </w:r>
      <w:r w:rsidR="00CF6935" w:rsidRPr="000A48F3">
        <w:rPr>
          <w:rFonts w:ascii="Arial" w:hAnsi="Arial"/>
          <w:i/>
          <w:iCs/>
          <w:szCs w:val="24"/>
        </w:rPr>
        <w:t>Central Supplier Database (CSD) number (MAA ...)".</w:t>
      </w:r>
    </w:p>
    <w:p w14:paraId="7EA7C33E" w14:textId="5AF9FB5B" w:rsidR="00834194"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[6]</w:t>
      </w:r>
      <w:r w:rsidRPr="006465A5">
        <w:rPr>
          <w:rFonts w:ascii="Arial" w:hAnsi="Arial" w:cs="Arial"/>
          <w:szCs w:val="24"/>
        </w:rPr>
        <w:tab/>
      </w:r>
      <w:r w:rsidR="00834194" w:rsidRPr="006465A5">
        <w:rPr>
          <w:rFonts w:ascii="Arial" w:hAnsi="Arial"/>
          <w:szCs w:val="24"/>
        </w:rPr>
        <w:t xml:space="preserve">The pre-qualification criteria </w:t>
      </w:r>
      <w:r w:rsidR="00EB6E02">
        <w:rPr>
          <w:rFonts w:ascii="Arial" w:hAnsi="Arial"/>
          <w:szCs w:val="24"/>
        </w:rPr>
        <w:t xml:space="preserve">stipulated in the ITT </w:t>
      </w:r>
      <w:r w:rsidR="00834194" w:rsidRPr="006465A5">
        <w:rPr>
          <w:rFonts w:ascii="Arial" w:hAnsi="Arial"/>
          <w:szCs w:val="24"/>
        </w:rPr>
        <w:t xml:space="preserve">included the following – </w:t>
      </w:r>
    </w:p>
    <w:p w14:paraId="3EB07ABB" w14:textId="77777777" w:rsidR="00DD3D04" w:rsidRPr="006465A5" w:rsidRDefault="00DD3D04" w:rsidP="00DD3D04">
      <w:pPr>
        <w:tabs>
          <w:tab w:val="left" w:pos="851"/>
          <w:tab w:val="left" w:pos="1701"/>
          <w:tab w:val="left" w:pos="2268"/>
          <w:tab w:val="left" w:pos="2835"/>
        </w:tabs>
        <w:spacing w:after="120"/>
        <w:ind w:left="851" w:right="-2"/>
        <w:jc w:val="both"/>
        <w:rPr>
          <w:rFonts w:ascii="Arial" w:hAnsi="Arial" w:cs="Arial"/>
          <w:b/>
          <w:bCs/>
          <w:i/>
          <w:iCs/>
          <w:szCs w:val="24"/>
        </w:rPr>
      </w:pPr>
      <w:r w:rsidRPr="006465A5">
        <w:rPr>
          <w:rFonts w:ascii="Arial" w:hAnsi="Arial" w:cs="Arial"/>
          <w:i/>
          <w:iCs/>
          <w:szCs w:val="24"/>
        </w:rPr>
        <w:t>"</w:t>
      </w:r>
      <w:r w:rsidRPr="006465A5">
        <w:rPr>
          <w:rFonts w:ascii="Arial" w:hAnsi="Arial" w:cs="Arial"/>
          <w:b/>
          <w:bCs/>
          <w:i/>
          <w:iCs/>
          <w:szCs w:val="24"/>
        </w:rPr>
        <w:t>Pre-qualification No 1: Subcontracting</w:t>
      </w:r>
    </w:p>
    <w:p w14:paraId="13613D77" w14:textId="77777777" w:rsidR="00DD3D04" w:rsidRPr="006465A5" w:rsidRDefault="00DD3D04" w:rsidP="00DD3D04">
      <w:pPr>
        <w:tabs>
          <w:tab w:val="left" w:pos="851"/>
          <w:tab w:val="left" w:pos="1701"/>
          <w:tab w:val="left" w:pos="2268"/>
          <w:tab w:val="left" w:pos="2835"/>
        </w:tabs>
        <w:spacing w:after="120"/>
        <w:ind w:left="851" w:right="-2"/>
        <w:jc w:val="both"/>
        <w:rPr>
          <w:rFonts w:ascii="Arial" w:hAnsi="Arial" w:cs="Arial"/>
          <w:i/>
          <w:iCs/>
          <w:szCs w:val="24"/>
        </w:rPr>
      </w:pPr>
      <w:r w:rsidRPr="006465A5">
        <w:rPr>
          <w:rFonts w:ascii="Arial" w:hAnsi="Arial" w:cs="Arial"/>
          <w:b/>
          <w:bCs/>
          <w:i/>
          <w:iCs/>
          <w:szCs w:val="24"/>
        </w:rPr>
        <w:t>A tenderer shall subcontracting (sic) a minimum of 30% of the contract value to one or more of the following designated groups:</w:t>
      </w:r>
    </w:p>
    <w:p w14:paraId="147FB66E" w14:textId="47993102" w:rsidR="00DD3D04" w:rsidRPr="000A48F3" w:rsidRDefault="000A48F3" w:rsidP="000A48F3">
      <w:pPr>
        <w:tabs>
          <w:tab w:val="left" w:pos="2268"/>
        </w:tabs>
        <w:spacing w:after="120"/>
        <w:ind w:left="1702" w:hanging="851"/>
        <w:jc w:val="both"/>
        <w:rPr>
          <w:rFonts w:ascii="Arial" w:hAnsi="Arial"/>
          <w:i/>
          <w:iCs/>
          <w:szCs w:val="24"/>
        </w:rPr>
      </w:pPr>
      <w:r w:rsidRPr="006465A5">
        <w:rPr>
          <w:rFonts w:ascii="Arial" w:eastAsia="Calibri" w:hAnsi="Arial" w:cs="Arial"/>
          <w:i/>
          <w:iCs/>
          <w:szCs w:val="24"/>
        </w:rPr>
        <w:t>I.</w:t>
      </w:r>
      <w:r w:rsidRPr="006465A5">
        <w:rPr>
          <w:rFonts w:ascii="Arial" w:eastAsia="Calibri" w:hAnsi="Arial" w:cs="Arial"/>
          <w:i/>
          <w:iCs/>
          <w:szCs w:val="24"/>
        </w:rPr>
        <w:tab/>
      </w:r>
      <w:r w:rsidR="00DD3D04" w:rsidRPr="000A48F3">
        <w:rPr>
          <w:rFonts w:ascii="Arial" w:hAnsi="Arial"/>
          <w:i/>
          <w:iCs/>
          <w:szCs w:val="24"/>
        </w:rPr>
        <w:t xml:space="preserve">an EME or QSE which is at least 51% owned by black people; </w:t>
      </w:r>
    </w:p>
    <w:p w14:paraId="02865648" w14:textId="1FD26847" w:rsidR="00DD3D04" w:rsidRPr="000A48F3" w:rsidRDefault="000A48F3" w:rsidP="000A48F3">
      <w:pPr>
        <w:tabs>
          <w:tab w:val="left" w:pos="2268"/>
        </w:tabs>
        <w:spacing w:after="120"/>
        <w:ind w:left="1702" w:hanging="851"/>
        <w:jc w:val="both"/>
        <w:rPr>
          <w:rFonts w:ascii="Arial" w:hAnsi="Arial"/>
          <w:i/>
          <w:iCs/>
          <w:szCs w:val="24"/>
        </w:rPr>
      </w:pPr>
      <w:r w:rsidRPr="006465A5">
        <w:rPr>
          <w:rFonts w:ascii="Arial" w:eastAsia="Calibri" w:hAnsi="Arial" w:cs="Arial"/>
          <w:i/>
          <w:iCs/>
          <w:szCs w:val="24"/>
        </w:rPr>
        <w:t>II.</w:t>
      </w:r>
      <w:r w:rsidRPr="006465A5">
        <w:rPr>
          <w:rFonts w:ascii="Arial" w:eastAsia="Calibri" w:hAnsi="Arial" w:cs="Arial"/>
          <w:i/>
          <w:iCs/>
          <w:szCs w:val="24"/>
        </w:rPr>
        <w:tab/>
      </w:r>
      <w:r w:rsidR="00DD3D04" w:rsidRPr="000A48F3">
        <w:rPr>
          <w:rFonts w:ascii="Arial" w:hAnsi="Arial"/>
          <w:i/>
          <w:iCs/>
          <w:szCs w:val="24"/>
        </w:rPr>
        <w:t xml:space="preserve"> an EME or QSE which is at least 51% owned by black people who are youth;</w:t>
      </w:r>
    </w:p>
    <w:p w14:paraId="76A8C419" w14:textId="774A9CFF" w:rsidR="00DD3D04" w:rsidRPr="000A48F3" w:rsidRDefault="000A48F3" w:rsidP="000A48F3">
      <w:pPr>
        <w:tabs>
          <w:tab w:val="left" w:pos="2268"/>
        </w:tabs>
        <w:spacing w:after="120"/>
        <w:ind w:left="1702" w:hanging="851"/>
        <w:jc w:val="both"/>
        <w:rPr>
          <w:rFonts w:ascii="Arial" w:hAnsi="Arial"/>
          <w:i/>
          <w:iCs/>
          <w:szCs w:val="24"/>
        </w:rPr>
      </w:pPr>
      <w:r w:rsidRPr="006465A5">
        <w:rPr>
          <w:rFonts w:ascii="Arial" w:eastAsia="Calibri" w:hAnsi="Arial" w:cs="Arial"/>
          <w:i/>
          <w:iCs/>
          <w:szCs w:val="24"/>
        </w:rPr>
        <w:t>III.</w:t>
      </w:r>
      <w:r w:rsidRPr="006465A5">
        <w:rPr>
          <w:rFonts w:ascii="Arial" w:eastAsia="Calibri" w:hAnsi="Arial" w:cs="Arial"/>
          <w:i/>
          <w:iCs/>
          <w:szCs w:val="24"/>
        </w:rPr>
        <w:tab/>
      </w:r>
      <w:r w:rsidR="00DD3D04" w:rsidRPr="000A48F3">
        <w:rPr>
          <w:rFonts w:ascii="Arial" w:hAnsi="Arial"/>
          <w:i/>
          <w:iCs/>
          <w:szCs w:val="24"/>
        </w:rPr>
        <w:t xml:space="preserve"> an EME or QSE which is at least 51% owned by black people who are women</w:t>
      </w:r>
    </w:p>
    <w:p w14:paraId="4377D8E9" w14:textId="0F932F43" w:rsidR="00DD3D04" w:rsidRPr="000A48F3" w:rsidRDefault="000A48F3" w:rsidP="000A48F3">
      <w:pPr>
        <w:tabs>
          <w:tab w:val="left" w:pos="2268"/>
        </w:tabs>
        <w:spacing w:after="120"/>
        <w:ind w:left="1702" w:hanging="851"/>
        <w:jc w:val="both"/>
        <w:rPr>
          <w:rFonts w:ascii="Arial" w:hAnsi="Arial"/>
          <w:i/>
          <w:iCs/>
          <w:szCs w:val="24"/>
        </w:rPr>
      </w:pPr>
      <w:r w:rsidRPr="006465A5">
        <w:rPr>
          <w:rFonts w:ascii="Arial" w:eastAsia="Calibri" w:hAnsi="Arial" w:cs="Arial"/>
          <w:i/>
          <w:iCs/>
          <w:szCs w:val="24"/>
        </w:rPr>
        <w:t>IV.</w:t>
      </w:r>
      <w:r w:rsidRPr="006465A5">
        <w:rPr>
          <w:rFonts w:ascii="Arial" w:eastAsia="Calibri" w:hAnsi="Arial" w:cs="Arial"/>
          <w:i/>
          <w:iCs/>
          <w:szCs w:val="24"/>
        </w:rPr>
        <w:tab/>
      </w:r>
      <w:r w:rsidR="00DD3D04" w:rsidRPr="000A48F3">
        <w:rPr>
          <w:rFonts w:ascii="Arial" w:hAnsi="Arial"/>
          <w:i/>
          <w:iCs/>
          <w:szCs w:val="24"/>
        </w:rPr>
        <w:t xml:space="preserve"> an EME or QSE which is at least 51% owned by black people </w:t>
      </w:r>
      <w:r w:rsidR="00DD3D04" w:rsidRPr="000A48F3">
        <w:rPr>
          <w:rFonts w:ascii="Arial" w:hAnsi="Arial"/>
          <w:i/>
          <w:iCs/>
          <w:szCs w:val="24"/>
        </w:rPr>
        <w:lastRenderedPageBreak/>
        <w:t>who are people with disabilities;</w:t>
      </w:r>
    </w:p>
    <w:p w14:paraId="67C94DB7" w14:textId="29C155BE" w:rsidR="00DD3D04" w:rsidRPr="000A48F3" w:rsidRDefault="000A48F3" w:rsidP="000A48F3">
      <w:pPr>
        <w:tabs>
          <w:tab w:val="left" w:pos="2268"/>
        </w:tabs>
        <w:spacing w:after="120"/>
        <w:ind w:left="1702" w:hanging="851"/>
        <w:jc w:val="both"/>
        <w:rPr>
          <w:rFonts w:ascii="Arial" w:hAnsi="Arial"/>
          <w:i/>
          <w:iCs/>
          <w:szCs w:val="24"/>
        </w:rPr>
      </w:pPr>
      <w:r w:rsidRPr="006465A5">
        <w:rPr>
          <w:rFonts w:ascii="Arial" w:eastAsia="Calibri" w:hAnsi="Arial" w:cs="Arial"/>
          <w:i/>
          <w:iCs/>
          <w:szCs w:val="24"/>
        </w:rPr>
        <w:t>V.</w:t>
      </w:r>
      <w:r w:rsidRPr="006465A5">
        <w:rPr>
          <w:rFonts w:ascii="Arial" w:eastAsia="Calibri" w:hAnsi="Arial" w:cs="Arial"/>
          <w:i/>
          <w:iCs/>
          <w:szCs w:val="24"/>
        </w:rPr>
        <w:tab/>
      </w:r>
      <w:r w:rsidR="00DD3D04" w:rsidRPr="000A48F3">
        <w:rPr>
          <w:rFonts w:ascii="Arial" w:hAnsi="Arial"/>
          <w:i/>
          <w:iCs/>
          <w:szCs w:val="24"/>
        </w:rPr>
        <w:t>an EME or QSE which is at least 51% owned by black people living in rural or underdeveloped area or townships;</w:t>
      </w:r>
    </w:p>
    <w:p w14:paraId="30B754FA" w14:textId="45064CF7" w:rsidR="00DD3D04" w:rsidRPr="000A48F3" w:rsidRDefault="000A48F3" w:rsidP="000A48F3">
      <w:pPr>
        <w:tabs>
          <w:tab w:val="left" w:pos="2268"/>
        </w:tabs>
        <w:spacing w:after="120"/>
        <w:ind w:left="1702" w:hanging="851"/>
        <w:jc w:val="both"/>
        <w:rPr>
          <w:rFonts w:ascii="Arial" w:hAnsi="Arial"/>
          <w:i/>
          <w:iCs/>
          <w:szCs w:val="24"/>
        </w:rPr>
      </w:pPr>
      <w:r w:rsidRPr="006465A5">
        <w:rPr>
          <w:rFonts w:ascii="Arial" w:eastAsia="Calibri" w:hAnsi="Arial" w:cs="Arial"/>
          <w:i/>
          <w:iCs/>
          <w:szCs w:val="24"/>
        </w:rPr>
        <w:t>VI.</w:t>
      </w:r>
      <w:r w:rsidRPr="006465A5">
        <w:rPr>
          <w:rFonts w:ascii="Arial" w:eastAsia="Calibri" w:hAnsi="Arial" w:cs="Arial"/>
          <w:i/>
          <w:iCs/>
          <w:szCs w:val="24"/>
        </w:rPr>
        <w:tab/>
      </w:r>
      <w:r w:rsidR="00DD3D04" w:rsidRPr="000A48F3">
        <w:rPr>
          <w:rFonts w:ascii="Arial" w:hAnsi="Arial"/>
          <w:i/>
          <w:iCs/>
          <w:szCs w:val="24"/>
        </w:rPr>
        <w:t>a cooperative which is at least 51% owned by black people;</w:t>
      </w:r>
    </w:p>
    <w:p w14:paraId="0443B917" w14:textId="68C4CE45" w:rsidR="00DD3D04" w:rsidRPr="000A48F3" w:rsidRDefault="000A48F3" w:rsidP="000A48F3">
      <w:pPr>
        <w:tabs>
          <w:tab w:val="left" w:pos="2268"/>
        </w:tabs>
        <w:ind w:left="1702" w:hanging="851"/>
        <w:jc w:val="both"/>
        <w:rPr>
          <w:rFonts w:ascii="Arial" w:hAnsi="Arial"/>
          <w:i/>
          <w:iCs/>
          <w:szCs w:val="24"/>
        </w:rPr>
      </w:pPr>
      <w:r w:rsidRPr="006465A5">
        <w:rPr>
          <w:rFonts w:ascii="Arial" w:eastAsia="Calibri" w:hAnsi="Arial" w:cs="Arial"/>
          <w:i/>
          <w:iCs/>
          <w:szCs w:val="24"/>
        </w:rPr>
        <w:t>VII.</w:t>
      </w:r>
      <w:r w:rsidRPr="006465A5">
        <w:rPr>
          <w:rFonts w:ascii="Arial" w:eastAsia="Calibri" w:hAnsi="Arial" w:cs="Arial"/>
          <w:i/>
          <w:iCs/>
          <w:szCs w:val="24"/>
        </w:rPr>
        <w:tab/>
      </w:r>
      <w:r w:rsidR="00DD3D04" w:rsidRPr="000A48F3">
        <w:rPr>
          <w:rFonts w:ascii="Arial" w:hAnsi="Arial"/>
          <w:i/>
          <w:iCs/>
          <w:szCs w:val="24"/>
        </w:rPr>
        <w:t>an EME or QSE which is at least 51% owned by black people who are military veterans.</w:t>
      </w:r>
    </w:p>
    <w:p w14:paraId="57B983DF" w14:textId="2B153082" w:rsidR="00E87B0B"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[7]</w:t>
      </w:r>
      <w:r w:rsidRPr="006465A5">
        <w:rPr>
          <w:rFonts w:ascii="Arial" w:hAnsi="Arial" w:cs="Arial"/>
          <w:szCs w:val="24"/>
        </w:rPr>
        <w:tab/>
      </w:r>
      <w:r w:rsidR="00E87B0B" w:rsidRPr="006465A5">
        <w:rPr>
          <w:rFonts w:ascii="Arial" w:hAnsi="Arial"/>
          <w:szCs w:val="24"/>
        </w:rPr>
        <w:t>Tenderers were required to submit the following mandatory returnables</w:t>
      </w:r>
      <w:r w:rsidR="00BB3D86" w:rsidRPr="006465A5">
        <w:rPr>
          <w:rFonts w:ascii="Arial" w:hAnsi="Arial"/>
          <w:szCs w:val="24"/>
        </w:rPr>
        <w:t xml:space="preserve"> – </w:t>
      </w:r>
    </w:p>
    <w:p w14:paraId="43C76B38" w14:textId="56BCFBD0" w:rsidR="00BB3D86" w:rsidRPr="006465A5" w:rsidRDefault="000A48F3" w:rsidP="000A48F3">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szCs w:val="24"/>
        </w:rPr>
      </w:pPr>
      <w:r w:rsidRPr="006465A5">
        <w:rPr>
          <w:rFonts w:ascii="Univers" w:hAnsi="Univers" w:cs="Arial"/>
          <w:szCs w:val="24"/>
        </w:rPr>
        <w:t>7.1.</w:t>
      </w:r>
      <w:r w:rsidRPr="006465A5">
        <w:rPr>
          <w:rFonts w:ascii="Univers" w:hAnsi="Univers" w:cs="Arial"/>
          <w:szCs w:val="24"/>
        </w:rPr>
        <w:tab/>
      </w:r>
      <w:r w:rsidR="00BB3D86" w:rsidRPr="006465A5">
        <w:rPr>
          <w:rFonts w:ascii="Arial" w:hAnsi="Arial"/>
          <w:szCs w:val="24"/>
        </w:rPr>
        <w:t>a valid and certifi</w:t>
      </w:r>
      <w:r w:rsidR="00E152D3" w:rsidRPr="006465A5">
        <w:rPr>
          <w:rFonts w:ascii="Arial" w:hAnsi="Arial"/>
          <w:szCs w:val="24"/>
        </w:rPr>
        <w:t xml:space="preserve">ed copy of a </w:t>
      </w:r>
      <w:bookmarkStart w:id="1" w:name="_Hlk126569541"/>
      <w:r w:rsidR="00E152D3" w:rsidRPr="006465A5">
        <w:rPr>
          <w:rFonts w:ascii="Arial" w:hAnsi="Arial"/>
          <w:szCs w:val="24"/>
        </w:rPr>
        <w:t>BB</w:t>
      </w:r>
      <w:r w:rsidR="00D74BF8">
        <w:rPr>
          <w:rFonts w:ascii="Arial" w:hAnsi="Arial"/>
          <w:szCs w:val="24"/>
        </w:rPr>
        <w:t>-</w:t>
      </w:r>
      <w:r w:rsidR="00E152D3" w:rsidRPr="006465A5">
        <w:rPr>
          <w:rFonts w:ascii="Arial" w:hAnsi="Arial"/>
          <w:szCs w:val="24"/>
        </w:rPr>
        <w:t xml:space="preserve">BEE </w:t>
      </w:r>
      <w:bookmarkEnd w:id="1"/>
      <w:r w:rsidR="00E152D3" w:rsidRPr="006465A5">
        <w:rPr>
          <w:rFonts w:ascii="Arial" w:hAnsi="Arial"/>
          <w:szCs w:val="24"/>
        </w:rPr>
        <w:t>certificate issued by a SANAS accredited verification agency;</w:t>
      </w:r>
      <w:r w:rsidR="00FF2B2F" w:rsidRPr="006465A5">
        <w:rPr>
          <w:rFonts w:ascii="Arial" w:hAnsi="Arial"/>
          <w:szCs w:val="24"/>
        </w:rPr>
        <w:t xml:space="preserve"> or </w:t>
      </w:r>
    </w:p>
    <w:p w14:paraId="1A7D8574" w14:textId="18141D83" w:rsidR="00E152D3" w:rsidRPr="006465A5" w:rsidRDefault="000A48F3" w:rsidP="000A48F3">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szCs w:val="24"/>
        </w:rPr>
      </w:pPr>
      <w:r w:rsidRPr="006465A5">
        <w:rPr>
          <w:rFonts w:ascii="Univers" w:hAnsi="Univers" w:cs="Arial"/>
          <w:szCs w:val="24"/>
        </w:rPr>
        <w:t>7.2.</w:t>
      </w:r>
      <w:r w:rsidRPr="006465A5">
        <w:rPr>
          <w:rFonts w:ascii="Univers" w:hAnsi="Univers" w:cs="Arial"/>
          <w:szCs w:val="24"/>
        </w:rPr>
        <w:tab/>
      </w:r>
      <w:r w:rsidR="00FF2B2F" w:rsidRPr="006465A5">
        <w:rPr>
          <w:rFonts w:ascii="Arial" w:hAnsi="Arial"/>
          <w:szCs w:val="24"/>
        </w:rPr>
        <w:t xml:space="preserve">a valid and certified copy of a fully completed </w:t>
      </w:r>
      <w:r w:rsidR="00D835BA" w:rsidRPr="006465A5">
        <w:rPr>
          <w:rFonts w:ascii="Arial" w:hAnsi="Arial"/>
          <w:szCs w:val="24"/>
        </w:rPr>
        <w:t>BB</w:t>
      </w:r>
      <w:r w:rsidR="00D835BA">
        <w:rPr>
          <w:rFonts w:ascii="Arial" w:hAnsi="Arial"/>
          <w:szCs w:val="24"/>
        </w:rPr>
        <w:t>-</w:t>
      </w:r>
      <w:r w:rsidR="00D835BA" w:rsidRPr="006465A5">
        <w:rPr>
          <w:rFonts w:ascii="Arial" w:hAnsi="Arial"/>
          <w:szCs w:val="24"/>
        </w:rPr>
        <w:t xml:space="preserve">BEE </w:t>
      </w:r>
      <w:r w:rsidR="00D835BA">
        <w:rPr>
          <w:rFonts w:ascii="Arial" w:hAnsi="Arial"/>
          <w:szCs w:val="24"/>
        </w:rPr>
        <w:t xml:space="preserve"> </w:t>
      </w:r>
      <w:r w:rsidR="00FF2B2F" w:rsidRPr="006465A5">
        <w:rPr>
          <w:rFonts w:ascii="Arial" w:hAnsi="Arial"/>
          <w:szCs w:val="24"/>
        </w:rPr>
        <w:t>sworn affidavit for EMEs of QSEs; or</w:t>
      </w:r>
    </w:p>
    <w:p w14:paraId="06A23966" w14:textId="588F9A02" w:rsidR="00FF2B2F" w:rsidRPr="006465A5" w:rsidRDefault="000A48F3" w:rsidP="000A48F3">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szCs w:val="24"/>
        </w:rPr>
      </w:pPr>
      <w:r w:rsidRPr="006465A5">
        <w:rPr>
          <w:rFonts w:ascii="Univers" w:hAnsi="Univers" w:cs="Arial"/>
          <w:szCs w:val="24"/>
        </w:rPr>
        <w:t>7.3.</w:t>
      </w:r>
      <w:r w:rsidRPr="006465A5">
        <w:rPr>
          <w:rFonts w:ascii="Univers" w:hAnsi="Univers" w:cs="Arial"/>
          <w:szCs w:val="24"/>
        </w:rPr>
        <w:tab/>
      </w:r>
      <w:r w:rsidR="00FF2B2F" w:rsidRPr="006465A5">
        <w:rPr>
          <w:rFonts w:ascii="Arial" w:hAnsi="Arial"/>
          <w:szCs w:val="24"/>
        </w:rPr>
        <w:t xml:space="preserve">a valid and certified copy of a </w:t>
      </w:r>
      <w:r w:rsidR="001A3566" w:rsidRPr="006465A5">
        <w:rPr>
          <w:rFonts w:ascii="Arial" w:hAnsi="Arial"/>
          <w:szCs w:val="24"/>
        </w:rPr>
        <w:t>BB</w:t>
      </w:r>
      <w:r w:rsidR="001A3566">
        <w:rPr>
          <w:rFonts w:ascii="Arial" w:hAnsi="Arial"/>
          <w:szCs w:val="24"/>
        </w:rPr>
        <w:t>-</w:t>
      </w:r>
      <w:r w:rsidR="001A3566" w:rsidRPr="006465A5">
        <w:rPr>
          <w:rFonts w:ascii="Arial" w:hAnsi="Arial"/>
          <w:szCs w:val="24"/>
        </w:rPr>
        <w:t xml:space="preserve">BEE </w:t>
      </w:r>
      <w:r w:rsidR="00FF2B2F" w:rsidRPr="006465A5">
        <w:rPr>
          <w:rFonts w:ascii="Arial" w:hAnsi="Arial"/>
          <w:szCs w:val="24"/>
        </w:rPr>
        <w:t>issued by the CIPC for EMEs</w:t>
      </w:r>
      <w:r w:rsidR="00595693" w:rsidRPr="006465A5">
        <w:rPr>
          <w:rFonts w:ascii="Arial" w:hAnsi="Arial"/>
          <w:szCs w:val="24"/>
        </w:rPr>
        <w:t>.</w:t>
      </w:r>
    </w:p>
    <w:p w14:paraId="384F0BBA" w14:textId="1E7DBB85" w:rsidR="006517F1"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[8]</w:t>
      </w:r>
      <w:r w:rsidRPr="006465A5">
        <w:rPr>
          <w:rFonts w:ascii="Arial" w:hAnsi="Arial" w:cs="Arial"/>
          <w:szCs w:val="24"/>
        </w:rPr>
        <w:tab/>
      </w:r>
      <w:r w:rsidR="00595693" w:rsidRPr="006465A5">
        <w:rPr>
          <w:rFonts w:ascii="Arial" w:hAnsi="Arial" w:cs="Arial"/>
          <w:szCs w:val="24"/>
        </w:rPr>
        <w:t>Failure to submit the mandatory document</w:t>
      </w:r>
      <w:r w:rsidR="001A3566">
        <w:rPr>
          <w:rFonts w:ascii="Arial" w:hAnsi="Arial" w:cs="Arial"/>
          <w:szCs w:val="24"/>
        </w:rPr>
        <w:t>s</w:t>
      </w:r>
      <w:r w:rsidR="00595693" w:rsidRPr="006465A5">
        <w:rPr>
          <w:rFonts w:ascii="Arial" w:hAnsi="Arial" w:cs="Arial"/>
          <w:szCs w:val="24"/>
        </w:rPr>
        <w:t xml:space="preserve"> or information by the </w:t>
      </w:r>
      <w:r w:rsidR="00656B0B">
        <w:rPr>
          <w:rFonts w:ascii="Arial" w:hAnsi="Arial" w:cs="Arial"/>
          <w:szCs w:val="24"/>
        </w:rPr>
        <w:t xml:space="preserve">prescribed </w:t>
      </w:r>
      <w:r w:rsidR="00595693" w:rsidRPr="006465A5">
        <w:rPr>
          <w:rFonts w:ascii="Arial" w:hAnsi="Arial" w:cs="Arial"/>
          <w:szCs w:val="24"/>
        </w:rPr>
        <w:t>deadline</w:t>
      </w:r>
      <w:r w:rsidR="006465A5" w:rsidRPr="006465A5">
        <w:rPr>
          <w:rFonts w:ascii="Arial" w:hAnsi="Arial" w:cs="Arial"/>
          <w:szCs w:val="24"/>
        </w:rPr>
        <w:t xml:space="preserve"> would render </w:t>
      </w:r>
      <w:r w:rsidR="000D4B2F">
        <w:rPr>
          <w:rFonts w:ascii="Arial" w:hAnsi="Arial" w:cs="Arial"/>
          <w:szCs w:val="24"/>
        </w:rPr>
        <w:t xml:space="preserve">a </w:t>
      </w:r>
      <w:r w:rsidR="006465A5" w:rsidRPr="006465A5">
        <w:rPr>
          <w:rFonts w:ascii="Arial" w:hAnsi="Arial" w:cs="Arial"/>
          <w:szCs w:val="24"/>
        </w:rPr>
        <w:t>bid non-responsive.</w:t>
      </w:r>
    </w:p>
    <w:p w14:paraId="68A23727" w14:textId="0BE9AC25" w:rsidR="005D2506"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[9]</w:t>
      </w:r>
      <w:r w:rsidRPr="006465A5">
        <w:rPr>
          <w:rFonts w:ascii="Arial" w:hAnsi="Arial" w:cs="Arial"/>
          <w:szCs w:val="24"/>
        </w:rPr>
        <w:tab/>
      </w:r>
      <w:r w:rsidR="00834194" w:rsidRPr="006465A5">
        <w:rPr>
          <w:rFonts w:ascii="Arial" w:hAnsi="Arial"/>
          <w:szCs w:val="24"/>
        </w:rPr>
        <w:t>It was recorded that failure to meet the pre-qualification criteria would result in immediate disqualification</w:t>
      </w:r>
      <w:r w:rsidR="000D4B2F">
        <w:rPr>
          <w:rFonts w:ascii="Arial" w:hAnsi="Arial"/>
          <w:szCs w:val="24"/>
        </w:rPr>
        <w:t>;</w:t>
      </w:r>
      <w:r w:rsidR="00834194" w:rsidRPr="006465A5">
        <w:rPr>
          <w:rFonts w:ascii="Arial" w:hAnsi="Arial"/>
          <w:szCs w:val="24"/>
        </w:rPr>
        <w:t xml:space="preserve"> that is elimination from further evaluatio</w:t>
      </w:r>
      <w:r w:rsidR="00DD3D04" w:rsidRPr="006465A5">
        <w:rPr>
          <w:rFonts w:ascii="Arial" w:hAnsi="Arial"/>
          <w:szCs w:val="24"/>
        </w:rPr>
        <w:t>n</w:t>
      </w:r>
      <w:r w:rsidR="005D2506" w:rsidRPr="006465A5">
        <w:rPr>
          <w:rFonts w:ascii="Arial" w:hAnsi="Arial"/>
          <w:szCs w:val="24"/>
        </w:rPr>
        <w:t>.</w:t>
      </w:r>
    </w:p>
    <w:p w14:paraId="51468A10" w14:textId="03B9D9EB" w:rsidR="005D2506"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[10]</w:t>
      </w:r>
      <w:r w:rsidRPr="006465A5">
        <w:rPr>
          <w:rFonts w:ascii="Arial" w:hAnsi="Arial" w:cs="Arial"/>
          <w:szCs w:val="24"/>
        </w:rPr>
        <w:tab/>
      </w:r>
      <w:r w:rsidR="00834194" w:rsidRPr="006465A5">
        <w:rPr>
          <w:rFonts w:ascii="Arial" w:hAnsi="Arial"/>
          <w:szCs w:val="24"/>
        </w:rPr>
        <w:t>Tenderers were required to have a minimum CIDB grading of level 8ME and have ISO 3834 certification.   Absent same, the tender would not meet the technical valuation (functionality) criteria and would not be evaluated further.</w:t>
      </w:r>
    </w:p>
    <w:p w14:paraId="064DC276" w14:textId="1919896D" w:rsidR="00BF3B18"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[11]</w:t>
      </w:r>
      <w:r w:rsidRPr="006465A5">
        <w:rPr>
          <w:rFonts w:ascii="Arial" w:hAnsi="Arial" w:cs="Arial"/>
          <w:szCs w:val="24"/>
        </w:rPr>
        <w:tab/>
      </w:r>
      <w:r w:rsidR="00834194" w:rsidRPr="006465A5">
        <w:rPr>
          <w:rFonts w:ascii="Arial" w:hAnsi="Arial"/>
          <w:szCs w:val="24"/>
        </w:rPr>
        <w:t>Step 6 of the evaluation as described in the ITT entailed a financial evaluation of the tenderer's financial status.  This is described in the ITT as follows</w:t>
      </w:r>
      <w:r w:rsidR="001B6E60">
        <w:rPr>
          <w:rFonts w:ascii="Arial" w:hAnsi="Arial"/>
          <w:szCs w:val="24"/>
        </w:rPr>
        <w:t>:</w:t>
      </w:r>
      <w:r w:rsidR="00BF3B18" w:rsidRPr="006465A5">
        <w:rPr>
          <w:rFonts w:ascii="Arial" w:hAnsi="Arial"/>
          <w:szCs w:val="24"/>
        </w:rPr>
        <w:t xml:space="preserve"> </w:t>
      </w:r>
    </w:p>
    <w:p w14:paraId="575C5CC1" w14:textId="5B5F2905" w:rsidR="00BF3B18" w:rsidRPr="006465A5" w:rsidRDefault="00BF3B18" w:rsidP="00CE51C9">
      <w:pPr>
        <w:pStyle w:val="ListParagraph"/>
        <w:spacing w:after="120"/>
        <w:ind w:left="851"/>
        <w:contextualSpacing w:val="0"/>
        <w:jc w:val="both"/>
        <w:rPr>
          <w:rFonts w:ascii="Arial" w:hAnsi="Arial"/>
          <w:i/>
          <w:iCs/>
          <w:szCs w:val="24"/>
        </w:rPr>
      </w:pPr>
      <w:r w:rsidRPr="006465A5">
        <w:rPr>
          <w:rFonts w:ascii="Arial" w:hAnsi="Arial"/>
          <w:i/>
          <w:iCs/>
          <w:szCs w:val="24"/>
        </w:rPr>
        <w:t>"An analysis of the tenderers financial statements will be conducted for purpose of establishing the tenderers financial viability and ability to meet all its contractual obligations for the duration of the contract, should the tendere</w:t>
      </w:r>
      <w:r w:rsidR="001B6E60">
        <w:rPr>
          <w:rFonts w:ascii="Arial" w:hAnsi="Arial"/>
          <w:i/>
          <w:iCs/>
          <w:szCs w:val="24"/>
        </w:rPr>
        <w:t>r b</w:t>
      </w:r>
      <w:r w:rsidRPr="006465A5">
        <w:rPr>
          <w:rFonts w:ascii="Arial" w:hAnsi="Arial"/>
          <w:i/>
          <w:iCs/>
          <w:szCs w:val="24"/>
        </w:rPr>
        <w:t>e awarded the contract.</w:t>
      </w:r>
    </w:p>
    <w:p w14:paraId="0D5F401E" w14:textId="77777777" w:rsidR="00BF3B18" w:rsidRPr="006465A5" w:rsidRDefault="00BF3B18" w:rsidP="00CE51C9">
      <w:pPr>
        <w:pStyle w:val="ListParagraph"/>
        <w:ind w:left="851"/>
        <w:contextualSpacing w:val="0"/>
        <w:jc w:val="both"/>
        <w:rPr>
          <w:rFonts w:ascii="Arial" w:hAnsi="Arial"/>
          <w:i/>
          <w:iCs/>
          <w:szCs w:val="24"/>
        </w:rPr>
      </w:pPr>
      <w:r w:rsidRPr="006465A5">
        <w:rPr>
          <w:rFonts w:ascii="Arial" w:hAnsi="Arial"/>
          <w:b/>
          <w:bCs/>
          <w:i/>
          <w:iCs/>
          <w:szCs w:val="24"/>
        </w:rPr>
        <w:lastRenderedPageBreak/>
        <w:t>NB</w:t>
      </w:r>
      <w:r w:rsidRPr="006465A5">
        <w:rPr>
          <w:rFonts w:ascii="Arial" w:hAnsi="Arial"/>
          <w:i/>
          <w:iCs/>
          <w:szCs w:val="24"/>
        </w:rPr>
        <w:t>:  The supplier to submit the audited Financial Statements to be used to perform financial viability."</w:t>
      </w:r>
    </w:p>
    <w:p w14:paraId="5AEBD823" w14:textId="636AF3D8" w:rsidR="00834194" w:rsidRPr="00657293"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57293">
        <w:rPr>
          <w:rFonts w:ascii="Arial" w:hAnsi="Arial" w:cs="Arial"/>
          <w:szCs w:val="24"/>
        </w:rPr>
        <w:t>[12]</w:t>
      </w:r>
      <w:r w:rsidRPr="00657293">
        <w:rPr>
          <w:rFonts w:ascii="Arial" w:hAnsi="Arial" w:cs="Arial"/>
          <w:szCs w:val="24"/>
        </w:rPr>
        <w:tab/>
      </w:r>
      <w:r w:rsidR="00834194" w:rsidRPr="006465A5">
        <w:rPr>
          <w:rFonts w:ascii="Arial" w:hAnsi="Arial"/>
          <w:szCs w:val="24"/>
        </w:rPr>
        <w:t>Twelve bids</w:t>
      </w:r>
      <w:r w:rsidR="006465A5" w:rsidRPr="006465A5">
        <w:rPr>
          <w:rFonts w:ascii="Arial" w:hAnsi="Arial"/>
          <w:szCs w:val="24"/>
        </w:rPr>
        <w:t xml:space="preserve">, including that of </w:t>
      </w:r>
      <w:r w:rsidR="006465A5">
        <w:rPr>
          <w:rFonts w:ascii="Arial" w:hAnsi="Arial"/>
          <w:szCs w:val="24"/>
        </w:rPr>
        <w:t xml:space="preserve">the applicant, </w:t>
      </w:r>
      <w:r w:rsidR="00834194" w:rsidRPr="006465A5">
        <w:rPr>
          <w:rFonts w:ascii="Arial" w:hAnsi="Arial"/>
          <w:szCs w:val="24"/>
        </w:rPr>
        <w:t>were received in response to the ITT.  Four</w:t>
      </w:r>
      <w:r w:rsidR="006465A5">
        <w:rPr>
          <w:rFonts w:ascii="Arial" w:hAnsi="Arial"/>
          <w:szCs w:val="24"/>
        </w:rPr>
        <w:t xml:space="preserve"> of the bids were disqua</w:t>
      </w:r>
      <w:r w:rsidR="00EF6C62">
        <w:rPr>
          <w:rFonts w:ascii="Arial" w:hAnsi="Arial"/>
          <w:szCs w:val="24"/>
        </w:rPr>
        <w:t>l</w:t>
      </w:r>
      <w:r w:rsidR="006465A5">
        <w:rPr>
          <w:rFonts w:ascii="Arial" w:hAnsi="Arial"/>
          <w:szCs w:val="24"/>
        </w:rPr>
        <w:t>ified for want of compliance with the pre</w:t>
      </w:r>
      <w:r w:rsidR="00EF6C62">
        <w:rPr>
          <w:rFonts w:ascii="Arial" w:hAnsi="Arial"/>
          <w:szCs w:val="24"/>
        </w:rPr>
        <w:t>-qualification criteria.</w:t>
      </w:r>
      <w:r w:rsidR="00834194" w:rsidRPr="006465A5">
        <w:rPr>
          <w:rFonts w:ascii="Arial" w:hAnsi="Arial"/>
          <w:szCs w:val="24"/>
        </w:rPr>
        <w:t xml:space="preserve"> </w:t>
      </w:r>
      <w:r w:rsidR="00EF6C62">
        <w:rPr>
          <w:rFonts w:ascii="Arial" w:hAnsi="Arial"/>
          <w:szCs w:val="24"/>
        </w:rPr>
        <w:t xml:space="preserve">The remaining eight bids, including that of the applicant, were </w:t>
      </w:r>
      <w:r w:rsidR="00834194" w:rsidRPr="006465A5">
        <w:rPr>
          <w:rFonts w:ascii="Arial" w:hAnsi="Arial"/>
          <w:szCs w:val="24"/>
        </w:rPr>
        <w:t>technical</w:t>
      </w:r>
      <w:r w:rsidR="00EF6C62">
        <w:rPr>
          <w:rFonts w:ascii="Arial" w:hAnsi="Arial"/>
          <w:szCs w:val="24"/>
        </w:rPr>
        <w:t>ly</w:t>
      </w:r>
      <w:r w:rsidR="00834194" w:rsidRPr="006465A5">
        <w:rPr>
          <w:rFonts w:ascii="Arial" w:hAnsi="Arial"/>
          <w:szCs w:val="24"/>
        </w:rPr>
        <w:t xml:space="preserve"> evaluat</w:t>
      </w:r>
      <w:r w:rsidR="00EF6C62">
        <w:rPr>
          <w:rFonts w:ascii="Arial" w:hAnsi="Arial"/>
          <w:szCs w:val="24"/>
        </w:rPr>
        <w:t>ed</w:t>
      </w:r>
      <w:r w:rsidR="00834194" w:rsidRPr="006465A5">
        <w:rPr>
          <w:rFonts w:ascii="Arial" w:hAnsi="Arial"/>
          <w:szCs w:val="24"/>
        </w:rPr>
        <w:t xml:space="preserve">.  </w:t>
      </w:r>
      <w:r w:rsidR="004462A7">
        <w:rPr>
          <w:rFonts w:ascii="Arial" w:hAnsi="Arial"/>
          <w:szCs w:val="24"/>
        </w:rPr>
        <w:t>After the technical  evaluation and applying the 90</w:t>
      </w:r>
      <w:r w:rsidR="00895848">
        <w:rPr>
          <w:rFonts w:ascii="Arial" w:hAnsi="Arial"/>
          <w:szCs w:val="24"/>
        </w:rPr>
        <w:t>/</w:t>
      </w:r>
      <w:r w:rsidR="009053C2">
        <w:rPr>
          <w:rFonts w:ascii="Arial" w:hAnsi="Arial"/>
          <w:szCs w:val="24"/>
        </w:rPr>
        <w:t>10 tender principle (90% for price and 10% for empowerment status),</w:t>
      </w:r>
      <w:r w:rsidR="004462A7">
        <w:rPr>
          <w:rFonts w:ascii="Arial" w:hAnsi="Arial"/>
          <w:szCs w:val="24"/>
        </w:rPr>
        <w:t xml:space="preserve"> </w:t>
      </w:r>
      <w:r w:rsidR="009053C2">
        <w:rPr>
          <w:rFonts w:ascii="Arial" w:hAnsi="Arial"/>
          <w:szCs w:val="24"/>
        </w:rPr>
        <w:t>t</w:t>
      </w:r>
      <w:r w:rsidR="00834194" w:rsidRPr="006465A5">
        <w:rPr>
          <w:rFonts w:ascii="Arial" w:hAnsi="Arial"/>
          <w:szCs w:val="24"/>
        </w:rPr>
        <w:t>he applicant</w:t>
      </w:r>
      <w:r w:rsidR="009053C2">
        <w:rPr>
          <w:rFonts w:ascii="Arial" w:hAnsi="Arial"/>
          <w:szCs w:val="24"/>
        </w:rPr>
        <w:t xml:space="preserve"> </w:t>
      </w:r>
      <w:r w:rsidR="00834194" w:rsidRPr="006465A5">
        <w:rPr>
          <w:rFonts w:ascii="Arial" w:hAnsi="Arial"/>
          <w:szCs w:val="24"/>
        </w:rPr>
        <w:t xml:space="preserve">was ranked </w:t>
      </w:r>
      <w:r w:rsidR="009053C2">
        <w:rPr>
          <w:rFonts w:ascii="Arial" w:hAnsi="Arial"/>
          <w:szCs w:val="24"/>
        </w:rPr>
        <w:t>as the preferred supplier</w:t>
      </w:r>
      <w:r w:rsidR="00CE51C9">
        <w:rPr>
          <w:rFonts w:ascii="Arial" w:hAnsi="Arial"/>
          <w:szCs w:val="24"/>
        </w:rPr>
        <w:t xml:space="preserve"> </w:t>
      </w:r>
      <w:r w:rsidR="00834194" w:rsidRPr="006465A5">
        <w:rPr>
          <w:rFonts w:ascii="Arial" w:hAnsi="Arial"/>
          <w:szCs w:val="24"/>
        </w:rPr>
        <w:t xml:space="preserve">having </w:t>
      </w:r>
      <w:r w:rsidR="00CE51C9">
        <w:rPr>
          <w:rFonts w:ascii="Arial" w:hAnsi="Arial"/>
          <w:szCs w:val="24"/>
        </w:rPr>
        <w:t xml:space="preserve">scored </w:t>
      </w:r>
      <w:r w:rsidR="00834194" w:rsidRPr="006465A5">
        <w:rPr>
          <w:rFonts w:ascii="Arial" w:hAnsi="Arial"/>
          <w:szCs w:val="24"/>
        </w:rPr>
        <w:t xml:space="preserve">100 points. </w:t>
      </w:r>
      <w:r w:rsidR="00CE51C9">
        <w:rPr>
          <w:rFonts w:ascii="Arial" w:hAnsi="Arial"/>
          <w:szCs w:val="24"/>
        </w:rPr>
        <w:t xml:space="preserve"> Based on the estimated contract value of R9</w:t>
      </w:r>
      <w:r w:rsidR="00657293">
        <w:rPr>
          <w:rFonts w:ascii="Arial" w:hAnsi="Arial"/>
          <w:szCs w:val="24"/>
        </w:rPr>
        <w:t xml:space="preserve">3 156 637,83, including VAT, the four qualified bidders were ranked as follows: </w:t>
      </w:r>
    </w:p>
    <w:tbl>
      <w:tblPr>
        <w:tblW w:w="776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627"/>
        <w:gridCol w:w="931"/>
        <w:gridCol w:w="660"/>
        <w:gridCol w:w="899"/>
        <w:gridCol w:w="992"/>
        <w:gridCol w:w="992"/>
      </w:tblGrid>
      <w:tr w:rsidR="00001715" w14:paraId="3DA8A2F6" w14:textId="77777777">
        <w:tc>
          <w:tcPr>
            <w:tcW w:w="1661" w:type="dxa"/>
            <w:shd w:val="clear" w:color="auto" w:fill="auto"/>
          </w:tcPr>
          <w:p w14:paraId="4B365595" w14:textId="56C42197" w:rsidR="008A7DDB" w:rsidRDefault="000B3A2B">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Bidder</w:t>
            </w:r>
          </w:p>
        </w:tc>
        <w:tc>
          <w:tcPr>
            <w:tcW w:w="1627" w:type="dxa"/>
            <w:shd w:val="clear" w:color="auto" w:fill="auto"/>
          </w:tcPr>
          <w:p w14:paraId="7E7E1555" w14:textId="777F3F64" w:rsidR="008A7DDB" w:rsidRDefault="000B3A2B">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Price</w:t>
            </w:r>
          </w:p>
        </w:tc>
        <w:tc>
          <w:tcPr>
            <w:tcW w:w="931" w:type="dxa"/>
            <w:shd w:val="clear" w:color="auto" w:fill="auto"/>
          </w:tcPr>
          <w:p w14:paraId="460566C6" w14:textId="74B21D89" w:rsidR="008A7DDB" w:rsidRDefault="000B3A2B">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Points for price</w:t>
            </w:r>
          </w:p>
        </w:tc>
        <w:tc>
          <w:tcPr>
            <w:tcW w:w="660" w:type="dxa"/>
            <w:shd w:val="clear" w:color="auto" w:fill="auto"/>
          </w:tcPr>
          <w:p w14:paraId="58448E5F" w14:textId="6C029E07" w:rsidR="008A7DDB" w:rsidRDefault="000B3A2B">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B</w:t>
            </w:r>
            <w:r w:rsidR="005C475E">
              <w:rPr>
                <w:rFonts w:ascii="Arial" w:hAnsi="Arial" w:cs="Arial"/>
                <w:sz w:val="18"/>
                <w:szCs w:val="18"/>
              </w:rPr>
              <w:t>BBEE</w:t>
            </w:r>
            <w:r>
              <w:rPr>
                <w:rFonts w:ascii="Arial" w:hAnsi="Arial" w:cs="Arial"/>
                <w:sz w:val="18"/>
                <w:szCs w:val="18"/>
              </w:rPr>
              <w:t xml:space="preserve"> level</w:t>
            </w:r>
          </w:p>
        </w:tc>
        <w:tc>
          <w:tcPr>
            <w:tcW w:w="899" w:type="dxa"/>
            <w:shd w:val="clear" w:color="auto" w:fill="auto"/>
          </w:tcPr>
          <w:p w14:paraId="5916C78C" w14:textId="67C78A31" w:rsidR="008A7DDB" w:rsidRDefault="00DF7A8F">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Points for</w:t>
            </w:r>
            <w:r w:rsidR="005C475E">
              <w:rPr>
                <w:rFonts w:ascii="Arial" w:hAnsi="Arial" w:cs="Arial"/>
                <w:sz w:val="18"/>
                <w:szCs w:val="18"/>
              </w:rPr>
              <w:t xml:space="preserve"> BB</w:t>
            </w:r>
            <w:r w:rsidR="00590AD5">
              <w:rPr>
                <w:rFonts w:ascii="Arial" w:hAnsi="Arial" w:cs="Arial"/>
                <w:sz w:val="18"/>
                <w:szCs w:val="18"/>
              </w:rPr>
              <w:t>-</w:t>
            </w:r>
            <w:r w:rsidR="005C475E">
              <w:rPr>
                <w:rFonts w:ascii="Arial" w:hAnsi="Arial" w:cs="Arial"/>
                <w:sz w:val="18"/>
                <w:szCs w:val="18"/>
              </w:rPr>
              <w:t>B</w:t>
            </w:r>
            <w:r w:rsidR="00590AD5">
              <w:rPr>
                <w:rFonts w:ascii="Arial" w:hAnsi="Arial" w:cs="Arial"/>
                <w:sz w:val="18"/>
                <w:szCs w:val="18"/>
              </w:rPr>
              <w:t>EE</w:t>
            </w:r>
          </w:p>
        </w:tc>
        <w:tc>
          <w:tcPr>
            <w:tcW w:w="992" w:type="dxa"/>
            <w:shd w:val="clear" w:color="auto" w:fill="auto"/>
          </w:tcPr>
          <w:p w14:paraId="59F23B6C" w14:textId="2151EAA8" w:rsidR="008A7DDB" w:rsidRDefault="00DF7A8F">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Total points</w:t>
            </w:r>
            <w:r w:rsidR="005C475E">
              <w:rPr>
                <w:rFonts w:ascii="Arial" w:hAnsi="Arial" w:cs="Arial"/>
                <w:sz w:val="18"/>
                <w:szCs w:val="18"/>
              </w:rPr>
              <w:t xml:space="preserve"> scored</w:t>
            </w:r>
          </w:p>
        </w:tc>
        <w:tc>
          <w:tcPr>
            <w:tcW w:w="992" w:type="dxa"/>
            <w:shd w:val="clear" w:color="auto" w:fill="auto"/>
          </w:tcPr>
          <w:p w14:paraId="3CDE77D9" w14:textId="0EEAFEE0" w:rsidR="008A7DDB" w:rsidRDefault="00DF7A8F">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Ranking</w:t>
            </w:r>
          </w:p>
        </w:tc>
      </w:tr>
      <w:tr w:rsidR="00001715" w14:paraId="048AB867" w14:textId="77777777">
        <w:tc>
          <w:tcPr>
            <w:tcW w:w="1661" w:type="dxa"/>
            <w:shd w:val="clear" w:color="auto" w:fill="auto"/>
          </w:tcPr>
          <w:p w14:paraId="09809D20" w14:textId="6ECD0BE2" w:rsidR="008A7DDB" w:rsidRDefault="005C475E">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Mbali Industrial Solutions</w:t>
            </w:r>
          </w:p>
        </w:tc>
        <w:tc>
          <w:tcPr>
            <w:tcW w:w="1627" w:type="dxa"/>
            <w:shd w:val="clear" w:color="auto" w:fill="auto"/>
          </w:tcPr>
          <w:p w14:paraId="26187B5D" w14:textId="35663C67" w:rsidR="008A7DDB" w:rsidRDefault="007111DE">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R81 007 511,16</w:t>
            </w:r>
          </w:p>
        </w:tc>
        <w:tc>
          <w:tcPr>
            <w:tcW w:w="931" w:type="dxa"/>
            <w:shd w:val="clear" w:color="auto" w:fill="auto"/>
          </w:tcPr>
          <w:p w14:paraId="1441751B" w14:textId="505C2894" w:rsidR="008A7DDB" w:rsidRDefault="005F490B">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90.00</w:t>
            </w:r>
          </w:p>
        </w:tc>
        <w:tc>
          <w:tcPr>
            <w:tcW w:w="660" w:type="dxa"/>
            <w:shd w:val="clear" w:color="auto" w:fill="auto"/>
          </w:tcPr>
          <w:p w14:paraId="2E3649E0" w14:textId="60980025"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1</w:t>
            </w:r>
          </w:p>
        </w:tc>
        <w:tc>
          <w:tcPr>
            <w:tcW w:w="899" w:type="dxa"/>
            <w:shd w:val="clear" w:color="auto" w:fill="auto"/>
          </w:tcPr>
          <w:p w14:paraId="73BCF1A3" w14:textId="48F43C05"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10</w:t>
            </w:r>
          </w:p>
        </w:tc>
        <w:tc>
          <w:tcPr>
            <w:tcW w:w="992" w:type="dxa"/>
            <w:shd w:val="clear" w:color="auto" w:fill="auto"/>
          </w:tcPr>
          <w:p w14:paraId="328EDD32" w14:textId="3AEF9EB0"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100.00</w:t>
            </w:r>
          </w:p>
        </w:tc>
        <w:tc>
          <w:tcPr>
            <w:tcW w:w="992" w:type="dxa"/>
            <w:shd w:val="clear" w:color="auto" w:fill="auto"/>
          </w:tcPr>
          <w:p w14:paraId="2DC89F0E" w14:textId="7EA711AE" w:rsidR="008A7DDB" w:rsidRDefault="00AB6295">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1</w:t>
            </w:r>
          </w:p>
        </w:tc>
      </w:tr>
      <w:tr w:rsidR="00001715" w14:paraId="576C2FB1" w14:textId="77777777">
        <w:tc>
          <w:tcPr>
            <w:tcW w:w="1661" w:type="dxa"/>
            <w:shd w:val="clear" w:color="auto" w:fill="auto"/>
          </w:tcPr>
          <w:p w14:paraId="58D0F280" w14:textId="4262BC06" w:rsidR="008A7DDB" w:rsidRDefault="007111DE">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The</w:t>
            </w:r>
            <w:r w:rsidR="00895848">
              <w:rPr>
                <w:rFonts w:ascii="Arial" w:hAnsi="Arial" w:cs="Arial"/>
                <w:sz w:val="18"/>
                <w:szCs w:val="18"/>
              </w:rPr>
              <w:t>ng</w:t>
            </w:r>
            <w:r>
              <w:rPr>
                <w:rFonts w:ascii="Arial" w:hAnsi="Arial" w:cs="Arial"/>
                <w:sz w:val="18"/>
                <w:szCs w:val="18"/>
              </w:rPr>
              <w:t>a Holdings (Pty) Ltd</w:t>
            </w:r>
          </w:p>
        </w:tc>
        <w:tc>
          <w:tcPr>
            <w:tcW w:w="1627" w:type="dxa"/>
            <w:shd w:val="clear" w:color="auto" w:fill="auto"/>
          </w:tcPr>
          <w:p w14:paraId="62F40359" w14:textId="0A2619DD" w:rsidR="008A7DDB" w:rsidRDefault="00314E8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R82 572 422,40</w:t>
            </w:r>
          </w:p>
        </w:tc>
        <w:tc>
          <w:tcPr>
            <w:tcW w:w="931" w:type="dxa"/>
            <w:shd w:val="clear" w:color="auto" w:fill="auto"/>
          </w:tcPr>
          <w:p w14:paraId="463147EC" w14:textId="3CFF6AFC" w:rsidR="008A7DDB" w:rsidRDefault="005F490B">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88.2</w:t>
            </w:r>
            <w:r w:rsidR="00E909D7">
              <w:rPr>
                <w:rFonts w:ascii="Arial" w:hAnsi="Arial" w:cs="Arial"/>
                <w:sz w:val="18"/>
                <w:szCs w:val="18"/>
              </w:rPr>
              <w:t>6</w:t>
            </w:r>
          </w:p>
        </w:tc>
        <w:tc>
          <w:tcPr>
            <w:tcW w:w="660" w:type="dxa"/>
            <w:shd w:val="clear" w:color="auto" w:fill="auto"/>
          </w:tcPr>
          <w:p w14:paraId="6BA0F35C" w14:textId="424A6E1F"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1</w:t>
            </w:r>
          </w:p>
        </w:tc>
        <w:tc>
          <w:tcPr>
            <w:tcW w:w="899" w:type="dxa"/>
            <w:shd w:val="clear" w:color="auto" w:fill="auto"/>
          </w:tcPr>
          <w:p w14:paraId="18A50D54" w14:textId="0485693E"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10</w:t>
            </w:r>
          </w:p>
        </w:tc>
        <w:tc>
          <w:tcPr>
            <w:tcW w:w="992" w:type="dxa"/>
            <w:shd w:val="clear" w:color="auto" w:fill="auto"/>
          </w:tcPr>
          <w:p w14:paraId="0EFD2191" w14:textId="7BCD76B7" w:rsidR="008A7DDB" w:rsidRDefault="00AB6295">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98.26</w:t>
            </w:r>
          </w:p>
        </w:tc>
        <w:tc>
          <w:tcPr>
            <w:tcW w:w="992" w:type="dxa"/>
            <w:shd w:val="clear" w:color="auto" w:fill="auto"/>
          </w:tcPr>
          <w:p w14:paraId="1FFD672F" w14:textId="6A5E43C8" w:rsidR="008A7DDB" w:rsidRDefault="00AB6295">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2</w:t>
            </w:r>
          </w:p>
        </w:tc>
      </w:tr>
      <w:tr w:rsidR="00001715" w14:paraId="4DE55CE9" w14:textId="77777777">
        <w:tc>
          <w:tcPr>
            <w:tcW w:w="1661" w:type="dxa"/>
            <w:shd w:val="clear" w:color="auto" w:fill="auto"/>
          </w:tcPr>
          <w:p w14:paraId="6C6E8D4A" w14:textId="718D1FDB" w:rsidR="008A7DDB" w:rsidRDefault="00314E8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Maziya General Services</w:t>
            </w:r>
          </w:p>
        </w:tc>
        <w:tc>
          <w:tcPr>
            <w:tcW w:w="1627" w:type="dxa"/>
            <w:shd w:val="clear" w:color="auto" w:fill="auto"/>
          </w:tcPr>
          <w:p w14:paraId="682F309D" w14:textId="0003CC69" w:rsidR="008A7DDB" w:rsidRDefault="00314E8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R95 004 763,08</w:t>
            </w:r>
          </w:p>
        </w:tc>
        <w:tc>
          <w:tcPr>
            <w:tcW w:w="931" w:type="dxa"/>
            <w:shd w:val="clear" w:color="auto" w:fill="auto"/>
          </w:tcPr>
          <w:p w14:paraId="7568E40E" w14:textId="47434E1D"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74.45</w:t>
            </w:r>
          </w:p>
        </w:tc>
        <w:tc>
          <w:tcPr>
            <w:tcW w:w="660" w:type="dxa"/>
            <w:shd w:val="clear" w:color="auto" w:fill="auto"/>
          </w:tcPr>
          <w:p w14:paraId="5401D1F0" w14:textId="3C6F7D91"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1</w:t>
            </w:r>
          </w:p>
        </w:tc>
        <w:tc>
          <w:tcPr>
            <w:tcW w:w="899" w:type="dxa"/>
            <w:shd w:val="clear" w:color="auto" w:fill="auto"/>
          </w:tcPr>
          <w:p w14:paraId="64DFD0E8" w14:textId="0D2322DA"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10</w:t>
            </w:r>
          </w:p>
        </w:tc>
        <w:tc>
          <w:tcPr>
            <w:tcW w:w="992" w:type="dxa"/>
            <w:shd w:val="clear" w:color="auto" w:fill="auto"/>
          </w:tcPr>
          <w:p w14:paraId="795E439F" w14:textId="27A7B681" w:rsidR="008A7DDB" w:rsidRDefault="00AB6295">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84.45</w:t>
            </w:r>
          </w:p>
        </w:tc>
        <w:tc>
          <w:tcPr>
            <w:tcW w:w="992" w:type="dxa"/>
            <w:shd w:val="clear" w:color="auto" w:fill="auto"/>
          </w:tcPr>
          <w:p w14:paraId="305527D1" w14:textId="3D5B4E5C" w:rsidR="008A7DDB" w:rsidRDefault="00AB6295">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3</w:t>
            </w:r>
          </w:p>
        </w:tc>
      </w:tr>
      <w:tr w:rsidR="00001715" w14:paraId="68C79404" w14:textId="77777777">
        <w:tc>
          <w:tcPr>
            <w:tcW w:w="1661" w:type="dxa"/>
            <w:shd w:val="clear" w:color="auto" w:fill="auto"/>
          </w:tcPr>
          <w:p w14:paraId="732A2444" w14:textId="73D9CCF9" w:rsidR="008A7DDB" w:rsidRDefault="00314E8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Mzikampumi Eduardo Projects (Pty) Ltd</w:t>
            </w:r>
          </w:p>
        </w:tc>
        <w:tc>
          <w:tcPr>
            <w:tcW w:w="1627" w:type="dxa"/>
            <w:shd w:val="clear" w:color="auto" w:fill="auto"/>
          </w:tcPr>
          <w:p w14:paraId="32BE4BCD" w14:textId="62FE1D98" w:rsidR="008A7DDB" w:rsidRDefault="005F490B">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R445 753 565,85</w:t>
            </w:r>
          </w:p>
        </w:tc>
        <w:tc>
          <w:tcPr>
            <w:tcW w:w="931" w:type="dxa"/>
            <w:shd w:val="clear" w:color="auto" w:fill="auto"/>
          </w:tcPr>
          <w:p w14:paraId="496EBE21" w14:textId="349DF33F"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-315.24</w:t>
            </w:r>
          </w:p>
        </w:tc>
        <w:tc>
          <w:tcPr>
            <w:tcW w:w="660" w:type="dxa"/>
            <w:shd w:val="clear" w:color="auto" w:fill="auto"/>
          </w:tcPr>
          <w:p w14:paraId="3880DCD8" w14:textId="1C310981"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2</w:t>
            </w:r>
          </w:p>
        </w:tc>
        <w:tc>
          <w:tcPr>
            <w:tcW w:w="899" w:type="dxa"/>
            <w:shd w:val="clear" w:color="auto" w:fill="auto"/>
          </w:tcPr>
          <w:p w14:paraId="42A510AD" w14:textId="17FCC8EF" w:rsidR="008A7DDB" w:rsidRDefault="00E909D7">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10</w:t>
            </w:r>
          </w:p>
        </w:tc>
        <w:tc>
          <w:tcPr>
            <w:tcW w:w="992" w:type="dxa"/>
            <w:shd w:val="clear" w:color="auto" w:fill="auto"/>
          </w:tcPr>
          <w:p w14:paraId="517D9E41" w14:textId="2A266881" w:rsidR="008A7DDB" w:rsidRDefault="00AB6295">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w:t>
            </w:r>
            <w:r w:rsidR="00590AD5">
              <w:rPr>
                <w:rFonts w:ascii="Arial" w:hAnsi="Arial" w:cs="Arial"/>
                <w:sz w:val="18"/>
                <w:szCs w:val="18"/>
              </w:rPr>
              <w:t>30</w:t>
            </w:r>
            <w:r>
              <w:rPr>
                <w:rFonts w:ascii="Arial" w:hAnsi="Arial" w:cs="Arial"/>
                <w:sz w:val="18"/>
                <w:szCs w:val="18"/>
              </w:rPr>
              <w:t>4.24</w:t>
            </w:r>
          </w:p>
        </w:tc>
        <w:tc>
          <w:tcPr>
            <w:tcW w:w="992" w:type="dxa"/>
            <w:shd w:val="clear" w:color="auto" w:fill="auto"/>
          </w:tcPr>
          <w:p w14:paraId="5B2D028C" w14:textId="72D9FF2D" w:rsidR="008A7DDB" w:rsidRDefault="00AB6295">
            <w:pPr>
              <w:widowControl/>
              <w:tabs>
                <w:tab w:val="left" w:pos="1701"/>
                <w:tab w:val="left" w:pos="2835"/>
                <w:tab w:val="left" w:pos="3969"/>
                <w:tab w:val="right" w:pos="8222"/>
              </w:tabs>
              <w:autoSpaceDE/>
              <w:autoSpaceDN/>
              <w:adjustRightInd/>
              <w:contextualSpacing/>
              <w:jc w:val="both"/>
              <w:rPr>
                <w:rFonts w:ascii="Arial" w:hAnsi="Arial" w:cs="Arial"/>
                <w:sz w:val="18"/>
                <w:szCs w:val="18"/>
              </w:rPr>
            </w:pPr>
            <w:r>
              <w:rPr>
                <w:rFonts w:ascii="Arial" w:hAnsi="Arial" w:cs="Arial"/>
                <w:sz w:val="18"/>
                <w:szCs w:val="18"/>
              </w:rPr>
              <w:t>4</w:t>
            </w:r>
          </w:p>
        </w:tc>
      </w:tr>
    </w:tbl>
    <w:p w14:paraId="58D35DD4" w14:textId="77777777" w:rsidR="00657293" w:rsidRPr="00657293" w:rsidRDefault="00657293" w:rsidP="00657293">
      <w:pPr>
        <w:widowControl/>
        <w:tabs>
          <w:tab w:val="left" w:pos="1701"/>
          <w:tab w:val="left" w:pos="2835"/>
          <w:tab w:val="left" w:pos="3969"/>
          <w:tab w:val="right" w:pos="8222"/>
        </w:tabs>
        <w:autoSpaceDE/>
        <w:autoSpaceDN/>
        <w:adjustRightInd/>
        <w:spacing w:line="480" w:lineRule="auto"/>
        <w:ind w:left="851"/>
        <w:contextualSpacing/>
        <w:jc w:val="both"/>
        <w:rPr>
          <w:rFonts w:ascii="Arial" w:hAnsi="Arial" w:cs="Arial"/>
          <w:szCs w:val="24"/>
        </w:rPr>
      </w:pPr>
    </w:p>
    <w:p w14:paraId="46753D32" w14:textId="305C63BC" w:rsidR="00657293"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[13]</w:t>
      </w:r>
      <w:r>
        <w:rPr>
          <w:rFonts w:ascii="Arial" w:hAnsi="Arial" w:cs="Arial"/>
          <w:szCs w:val="24"/>
        </w:rPr>
        <w:tab/>
      </w:r>
      <w:r w:rsidR="00A55509">
        <w:rPr>
          <w:rFonts w:ascii="Arial" w:hAnsi="Arial" w:cs="Arial"/>
          <w:szCs w:val="24"/>
        </w:rPr>
        <w:t>Subsequent to the technical evaluation, on 1 April 2021, the Procurement and Supply Chain Management</w:t>
      </w:r>
      <w:r w:rsidR="00D95398">
        <w:rPr>
          <w:rFonts w:ascii="Arial" w:hAnsi="Arial" w:cs="Arial"/>
          <w:szCs w:val="24"/>
        </w:rPr>
        <w:t xml:space="preserve"> of Eskom submitted a document headed "Mandate to Negotiate – Post Tender" to the Chairman of Eskom's Sourcing division ("</w:t>
      </w:r>
      <w:r w:rsidR="00D95398" w:rsidRPr="005523E6">
        <w:rPr>
          <w:rFonts w:ascii="Arial" w:hAnsi="Arial" w:cs="Arial"/>
          <w:b/>
          <w:bCs/>
          <w:szCs w:val="24"/>
        </w:rPr>
        <w:t>Mandate to Negotiate</w:t>
      </w:r>
      <w:r w:rsidR="00D95398" w:rsidRPr="00816286">
        <w:rPr>
          <w:rFonts w:ascii="Arial" w:hAnsi="Arial" w:cs="Arial"/>
          <w:szCs w:val="24"/>
        </w:rPr>
        <w:t>").  The document described the process which had been followed by Eskom in the evaluation of the tenders.</w:t>
      </w:r>
      <w:r w:rsidR="00816286">
        <w:rPr>
          <w:rFonts w:ascii="Arial" w:hAnsi="Arial" w:cs="Arial"/>
          <w:szCs w:val="24"/>
        </w:rPr>
        <w:t xml:space="preserve">  The Mandate to Negotiate reveals that after the technical evaluation of the bids, the applicant was ranked as the highest scoring bi</w:t>
      </w:r>
      <w:r w:rsidR="006E69AE">
        <w:rPr>
          <w:rFonts w:ascii="Arial" w:hAnsi="Arial" w:cs="Arial"/>
          <w:szCs w:val="24"/>
        </w:rPr>
        <w:t>d</w:t>
      </w:r>
      <w:r w:rsidR="00816286">
        <w:rPr>
          <w:rFonts w:ascii="Arial" w:hAnsi="Arial" w:cs="Arial"/>
          <w:szCs w:val="24"/>
        </w:rPr>
        <w:t xml:space="preserve">der.  </w:t>
      </w:r>
      <w:r w:rsidR="006E69AE">
        <w:rPr>
          <w:rFonts w:ascii="Arial" w:hAnsi="Arial" w:cs="Arial"/>
          <w:szCs w:val="24"/>
        </w:rPr>
        <w:t xml:space="preserve">The </w:t>
      </w:r>
      <w:r w:rsidR="00712C90">
        <w:rPr>
          <w:rFonts w:ascii="Arial" w:hAnsi="Arial" w:cs="Arial"/>
          <w:szCs w:val="24"/>
        </w:rPr>
        <w:t xml:space="preserve">technical evaluation </w:t>
      </w:r>
      <w:r w:rsidR="00FF4572">
        <w:rPr>
          <w:rFonts w:ascii="Arial" w:hAnsi="Arial" w:cs="Arial"/>
          <w:szCs w:val="24"/>
        </w:rPr>
        <w:t>r</w:t>
      </w:r>
      <w:r w:rsidR="006E69AE">
        <w:rPr>
          <w:rFonts w:ascii="Arial" w:hAnsi="Arial" w:cs="Arial"/>
          <w:szCs w:val="24"/>
        </w:rPr>
        <w:t>eport was finalised on 12 December 2020.</w:t>
      </w:r>
    </w:p>
    <w:p w14:paraId="74FD3BD6" w14:textId="70F98B28" w:rsidR="006E69AE"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lastRenderedPageBreak/>
        <w:t>[14]</w:t>
      </w:r>
      <w:r>
        <w:rPr>
          <w:rFonts w:ascii="Arial" w:hAnsi="Arial" w:cs="Arial"/>
          <w:szCs w:val="24"/>
        </w:rPr>
        <w:tab/>
      </w:r>
      <w:r w:rsidR="006D581A">
        <w:rPr>
          <w:rFonts w:ascii="Arial" w:hAnsi="Arial" w:cs="Arial"/>
          <w:szCs w:val="24"/>
        </w:rPr>
        <w:t xml:space="preserve">After </w:t>
      </w:r>
      <w:r w:rsidR="006E69AE">
        <w:rPr>
          <w:rFonts w:ascii="Arial" w:hAnsi="Arial" w:cs="Arial"/>
          <w:szCs w:val="24"/>
        </w:rPr>
        <w:t xml:space="preserve">the finalisation of the </w:t>
      </w:r>
      <w:r w:rsidR="004F79DB">
        <w:rPr>
          <w:rFonts w:ascii="Arial" w:hAnsi="Arial" w:cs="Arial"/>
          <w:szCs w:val="24"/>
        </w:rPr>
        <w:t>technical e</w:t>
      </w:r>
      <w:r w:rsidR="006E69AE">
        <w:rPr>
          <w:rFonts w:ascii="Arial" w:hAnsi="Arial" w:cs="Arial"/>
          <w:szCs w:val="24"/>
        </w:rPr>
        <w:t>valuation, the applicant's financial statements were sent to the Group Finance Department of Eskom</w:t>
      </w:r>
      <w:r w:rsidR="000634A7">
        <w:rPr>
          <w:rFonts w:ascii="Arial" w:hAnsi="Arial" w:cs="Arial"/>
          <w:szCs w:val="24"/>
        </w:rPr>
        <w:t xml:space="preserve"> for analysis in order to assess the capability of the applicant to carry out the project. The Mandate to Negotiate records that according to the "Evaluator" (whose identity is not </w:t>
      </w:r>
      <w:r w:rsidR="004F79DB">
        <w:rPr>
          <w:rFonts w:ascii="Arial" w:hAnsi="Arial" w:cs="Arial"/>
          <w:szCs w:val="24"/>
        </w:rPr>
        <w:t>disclosed</w:t>
      </w:r>
      <w:r w:rsidR="000634A7">
        <w:rPr>
          <w:rFonts w:ascii="Arial" w:hAnsi="Arial" w:cs="Arial"/>
          <w:szCs w:val="24"/>
        </w:rPr>
        <w:t>), the applicant was not sound enough financially to be awarded a contract to the value of R96 million excluding VAT.  It is suggested in the Mandate to Negotiate that based on the strength of the applicant's financial statements it could be considered for a contract not exceeding R20 656 937 (excluding VAT) for pipeline maintenance (slurry and ash plant)</w:t>
      </w:r>
      <w:r w:rsidR="008017A7">
        <w:rPr>
          <w:rFonts w:ascii="Arial" w:hAnsi="Arial" w:cs="Arial"/>
          <w:szCs w:val="24"/>
        </w:rPr>
        <w:t xml:space="preserve"> for a period of three years.  The document further records that the financial statements of</w:t>
      </w:r>
      <w:r w:rsidR="001E0C64">
        <w:rPr>
          <w:rFonts w:ascii="Arial" w:hAnsi="Arial" w:cs="Arial"/>
          <w:szCs w:val="24"/>
        </w:rPr>
        <w:t>, the second respondent</w:t>
      </w:r>
      <w:r w:rsidR="008017A7">
        <w:rPr>
          <w:rFonts w:ascii="Arial" w:hAnsi="Arial" w:cs="Arial"/>
          <w:szCs w:val="24"/>
        </w:rPr>
        <w:t xml:space="preserve"> Thenga Holdin</w:t>
      </w:r>
      <w:r w:rsidR="0019724B">
        <w:rPr>
          <w:rFonts w:ascii="Arial" w:hAnsi="Arial" w:cs="Arial"/>
          <w:szCs w:val="24"/>
        </w:rPr>
        <w:t>g</w:t>
      </w:r>
      <w:r w:rsidR="008017A7">
        <w:rPr>
          <w:rFonts w:ascii="Arial" w:hAnsi="Arial" w:cs="Arial"/>
          <w:szCs w:val="24"/>
        </w:rPr>
        <w:t xml:space="preserve">s (Pty) Ltd </w:t>
      </w:r>
      <w:r w:rsidR="001E0C64">
        <w:rPr>
          <w:rFonts w:ascii="Arial" w:hAnsi="Arial" w:cs="Arial"/>
          <w:szCs w:val="24"/>
        </w:rPr>
        <w:t>("</w:t>
      </w:r>
      <w:r w:rsidR="001E0C64" w:rsidRPr="001E0C64">
        <w:rPr>
          <w:rFonts w:ascii="Arial" w:hAnsi="Arial" w:cs="Arial"/>
          <w:b/>
          <w:bCs/>
          <w:szCs w:val="24"/>
        </w:rPr>
        <w:t>Thenga</w:t>
      </w:r>
      <w:r w:rsidR="001E0C64">
        <w:rPr>
          <w:rFonts w:ascii="Arial" w:hAnsi="Arial" w:cs="Arial"/>
          <w:szCs w:val="24"/>
        </w:rPr>
        <w:t xml:space="preserve">") </w:t>
      </w:r>
      <w:r w:rsidR="008017A7">
        <w:rPr>
          <w:rFonts w:ascii="Arial" w:hAnsi="Arial" w:cs="Arial"/>
          <w:szCs w:val="24"/>
        </w:rPr>
        <w:t>had been submitted to the Corporate Finance division of Eskom (presumably the same division as the Grou</w:t>
      </w:r>
      <w:r w:rsidR="00DA5603">
        <w:rPr>
          <w:rFonts w:ascii="Arial" w:hAnsi="Arial" w:cs="Arial"/>
          <w:szCs w:val="24"/>
        </w:rPr>
        <w:t>p</w:t>
      </w:r>
      <w:r w:rsidR="008017A7">
        <w:rPr>
          <w:rFonts w:ascii="Arial" w:hAnsi="Arial" w:cs="Arial"/>
          <w:szCs w:val="24"/>
        </w:rPr>
        <w:t xml:space="preserve"> Finance depart</w:t>
      </w:r>
      <w:r w:rsidR="00DA5603">
        <w:rPr>
          <w:rFonts w:ascii="Arial" w:hAnsi="Arial" w:cs="Arial"/>
          <w:szCs w:val="24"/>
        </w:rPr>
        <w:t>m</w:t>
      </w:r>
      <w:r w:rsidR="008017A7">
        <w:rPr>
          <w:rFonts w:ascii="Arial" w:hAnsi="Arial" w:cs="Arial"/>
          <w:szCs w:val="24"/>
        </w:rPr>
        <w:t>e</w:t>
      </w:r>
      <w:r w:rsidR="00DA5603">
        <w:rPr>
          <w:rFonts w:ascii="Arial" w:hAnsi="Arial" w:cs="Arial"/>
          <w:szCs w:val="24"/>
        </w:rPr>
        <w:t>n</w:t>
      </w:r>
      <w:r w:rsidR="008017A7">
        <w:rPr>
          <w:rFonts w:ascii="Arial" w:hAnsi="Arial" w:cs="Arial"/>
          <w:szCs w:val="24"/>
        </w:rPr>
        <w:t xml:space="preserve">t) and that the findings in regard to </w:t>
      </w:r>
      <w:r w:rsidR="00DA5603">
        <w:rPr>
          <w:rFonts w:ascii="Arial" w:hAnsi="Arial" w:cs="Arial"/>
          <w:szCs w:val="24"/>
        </w:rPr>
        <w:t>Thenga would be submitted with the feedback report.</w:t>
      </w:r>
    </w:p>
    <w:p w14:paraId="2460853F" w14:textId="4EAD7F4D" w:rsidR="00DA5603"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[15]</w:t>
      </w:r>
      <w:r>
        <w:rPr>
          <w:rFonts w:ascii="Arial" w:hAnsi="Arial" w:cs="Arial"/>
          <w:szCs w:val="24"/>
        </w:rPr>
        <w:tab/>
      </w:r>
      <w:r w:rsidR="00DA5603">
        <w:rPr>
          <w:rFonts w:ascii="Arial" w:hAnsi="Arial" w:cs="Arial"/>
          <w:szCs w:val="24"/>
        </w:rPr>
        <w:t xml:space="preserve">The Mandate to Negotiate under the heading "Risk Mitigation" records the following – </w:t>
      </w:r>
    </w:p>
    <w:p w14:paraId="46EFA4D5" w14:textId="294DA82C" w:rsidR="00DA5603" w:rsidRPr="009D5633" w:rsidRDefault="00DA5603" w:rsidP="009D5633">
      <w:pPr>
        <w:widowControl/>
        <w:tabs>
          <w:tab w:val="left" w:pos="1701"/>
          <w:tab w:val="left" w:pos="2835"/>
          <w:tab w:val="left" w:pos="3969"/>
          <w:tab w:val="right" w:pos="8222"/>
        </w:tabs>
        <w:autoSpaceDE/>
        <w:autoSpaceDN/>
        <w:adjustRightInd/>
        <w:ind w:left="851"/>
        <w:contextualSpacing/>
        <w:jc w:val="both"/>
        <w:rPr>
          <w:rFonts w:ascii="Arial" w:hAnsi="Arial" w:cs="Arial"/>
          <w:i/>
          <w:iCs/>
          <w:szCs w:val="24"/>
        </w:rPr>
      </w:pPr>
      <w:r w:rsidRPr="009D5633">
        <w:rPr>
          <w:rFonts w:ascii="Arial" w:hAnsi="Arial" w:cs="Arial"/>
          <w:i/>
          <w:iCs/>
          <w:szCs w:val="24"/>
        </w:rPr>
        <w:t>"</w:t>
      </w:r>
      <w:r w:rsidR="006375CF" w:rsidRPr="009D5633">
        <w:rPr>
          <w:rFonts w:ascii="Arial" w:hAnsi="Arial" w:cs="Arial"/>
          <w:i/>
          <w:iCs/>
          <w:szCs w:val="24"/>
        </w:rPr>
        <w:t>The nature of the contract is a maintenance contract with 95% of the contract requiring the work to be done before the payment is made to the Contractor.  The other 5% is based on the consumable and PPE which should</w:t>
      </w:r>
      <w:r w:rsidR="009D5633" w:rsidRPr="009D5633">
        <w:rPr>
          <w:rFonts w:ascii="Arial" w:hAnsi="Arial" w:cs="Arial"/>
          <w:i/>
          <w:iCs/>
          <w:szCs w:val="24"/>
        </w:rPr>
        <w:t xml:space="preserve"> </w:t>
      </w:r>
      <w:r w:rsidR="006375CF" w:rsidRPr="009D5633">
        <w:rPr>
          <w:rFonts w:ascii="Arial" w:hAnsi="Arial" w:cs="Arial"/>
          <w:i/>
          <w:iCs/>
          <w:szCs w:val="24"/>
        </w:rPr>
        <w:t xml:space="preserve">be the day-to-day of the company expenses. Based on </w:t>
      </w:r>
      <w:r w:rsidR="009D5633" w:rsidRPr="009D5633">
        <w:rPr>
          <w:rFonts w:ascii="Arial" w:hAnsi="Arial" w:cs="Arial"/>
          <w:i/>
          <w:iCs/>
          <w:szCs w:val="24"/>
        </w:rPr>
        <w:t>the company profile evaluated the recommended company is executing similar work in the process industries including other site in Eskom successfully.  We therefore do not seek financial risk."</w:t>
      </w:r>
    </w:p>
    <w:p w14:paraId="3D89BFE0" w14:textId="36A763D4" w:rsidR="00DA5603"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[16]</w:t>
      </w:r>
      <w:r>
        <w:rPr>
          <w:rFonts w:ascii="Arial" w:hAnsi="Arial" w:cs="Arial"/>
          <w:szCs w:val="24"/>
        </w:rPr>
        <w:tab/>
      </w:r>
      <w:r w:rsidR="009D5633">
        <w:rPr>
          <w:rFonts w:ascii="Arial" w:hAnsi="Arial" w:cs="Arial"/>
          <w:szCs w:val="24"/>
        </w:rPr>
        <w:t>It appears that on 1 April 2021, Eskom's Procurement Tender Committee ("</w:t>
      </w:r>
      <w:r w:rsidR="009D5633" w:rsidRPr="005523E6">
        <w:rPr>
          <w:rFonts w:ascii="Arial" w:hAnsi="Arial" w:cs="Arial"/>
          <w:b/>
          <w:bCs/>
          <w:szCs w:val="24"/>
        </w:rPr>
        <w:t>PTC</w:t>
      </w:r>
      <w:r w:rsidR="009D5633">
        <w:rPr>
          <w:rFonts w:ascii="Arial" w:hAnsi="Arial" w:cs="Arial"/>
          <w:szCs w:val="24"/>
        </w:rPr>
        <w:t xml:space="preserve">") authorised certain representatives of Eskom to negotiate but not conclude a contract for pipeline maintenance (slurry and ash plant) for  period of 36 months with both the applicant and </w:t>
      </w:r>
      <w:r w:rsidR="009D5633">
        <w:rPr>
          <w:rFonts w:ascii="Arial" w:hAnsi="Arial" w:cs="Arial"/>
          <w:szCs w:val="24"/>
        </w:rPr>
        <w:lastRenderedPageBreak/>
        <w:t xml:space="preserve">Thenga.  Pursuant thereto, during the course of April </w:t>
      </w:r>
      <w:r w:rsidR="00266D7E">
        <w:rPr>
          <w:rFonts w:ascii="Arial" w:hAnsi="Arial" w:cs="Arial"/>
          <w:szCs w:val="24"/>
        </w:rPr>
        <w:t xml:space="preserve">2021 </w:t>
      </w:r>
      <w:r w:rsidR="009D5633">
        <w:rPr>
          <w:rFonts w:ascii="Arial" w:hAnsi="Arial" w:cs="Arial"/>
          <w:szCs w:val="24"/>
        </w:rPr>
        <w:t>there were negotiations between the applicant and the two identified tenderers (the applicant and Thenga).</w:t>
      </w:r>
    </w:p>
    <w:p w14:paraId="2BA5BBE9" w14:textId="42EDC4E5" w:rsidR="009D5633"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[17]</w:t>
      </w:r>
      <w:r>
        <w:rPr>
          <w:rFonts w:ascii="Arial" w:hAnsi="Arial" w:cs="Arial"/>
          <w:szCs w:val="24"/>
        </w:rPr>
        <w:tab/>
      </w:r>
      <w:r w:rsidR="009D5633">
        <w:rPr>
          <w:rFonts w:ascii="Arial" w:hAnsi="Arial" w:cs="Arial"/>
          <w:szCs w:val="24"/>
        </w:rPr>
        <w:t xml:space="preserve">On 22 April 2021, a feedback report detailing the progress of the negotiations was submitted to the Chairman of the Generation Division of Matla Power Station.  The feedback report requested </w:t>
      </w:r>
      <w:r w:rsidR="009A5723">
        <w:rPr>
          <w:rFonts w:ascii="Arial" w:hAnsi="Arial" w:cs="Arial"/>
          <w:szCs w:val="24"/>
        </w:rPr>
        <w:t>the Tender Committee to approve the negotiation outcome and recommended that a contract be awarded to the applicant at a contract value of R71 259 212,54 (being the discounted price agreed to by the applicant).</w:t>
      </w:r>
    </w:p>
    <w:p w14:paraId="19851A53" w14:textId="0E85ED50" w:rsidR="009A5723"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[18]</w:t>
      </w:r>
      <w:r>
        <w:rPr>
          <w:rFonts w:ascii="Arial" w:hAnsi="Arial" w:cs="Arial"/>
          <w:szCs w:val="24"/>
        </w:rPr>
        <w:tab/>
      </w:r>
      <w:r w:rsidR="00486E32">
        <w:rPr>
          <w:rFonts w:ascii="Arial" w:hAnsi="Arial" w:cs="Arial"/>
          <w:szCs w:val="24"/>
        </w:rPr>
        <w:t>On 23 April 2021, an internal e-mail was addressed by Lehlohnolo Senosi to Phuti Semenya a</w:t>
      </w:r>
      <w:r w:rsidR="00074C1D">
        <w:rPr>
          <w:rFonts w:ascii="Arial" w:hAnsi="Arial" w:cs="Arial"/>
          <w:szCs w:val="24"/>
        </w:rPr>
        <w:t>t</w:t>
      </w:r>
      <w:r w:rsidR="00486E32">
        <w:rPr>
          <w:rFonts w:ascii="Arial" w:hAnsi="Arial" w:cs="Arial"/>
          <w:szCs w:val="24"/>
        </w:rPr>
        <w:t xml:space="preserve"> Eskom's department of Finance requesting an advice and opinion on the risk of awarding multiple contracts to the applicant.</w:t>
      </w:r>
      <w:r w:rsidR="00C9133C">
        <w:rPr>
          <w:rFonts w:ascii="Arial" w:hAnsi="Arial" w:cs="Arial"/>
          <w:szCs w:val="24"/>
        </w:rPr>
        <w:t xml:space="preserve">  The e-mail reads as follows:</w:t>
      </w:r>
    </w:p>
    <w:p w14:paraId="6E16FE02" w14:textId="17F3057A" w:rsidR="00C9133C" w:rsidRPr="005523E6" w:rsidRDefault="00C9133C" w:rsidP="00AE364B">
      <w:pPr>
        <w:widowControl/>
        <w:tabs>
          <w:tab w:val="left" w:pos="1701"/>
          <w:tab w:val="left" w:pos="2835"/>
          <w:tab w:val="left" w:pos="3969"/>
          <w:tab w:val="right" w:pos="8222"/>
        </w:tabs>
        <w:autoSpaceDE/>
        <w:autoSpaceDN/>
        <w:adjustRightInd/>
        <w:spacing w:after="120"/>
        <w:ind w:left="851"/>
        <w:jc w:val="both"/>
        <w:rPr>
          <w:rFonts w:ascii="Arial" w:hAnsi="Arial" w:cs="Arial"/>
          <w:i/>
          <w:iCs/>
          <w:szCs w:val="24"/>
        </w:rPr>
      </w:pPr>
      <w:r>
        <w:rPr>
          <w:rFonts w:ascii="Arial" w:hAnsi="Arial" w:cs="Arial"/>
          <w:szCs w:val="24"/>
        </w:rPr>
        <w:t>"</w:t>
      </w:r>
      <w:r w:rsidRPr="00074C1D">
        <w:rPr>
          <w:rFonts w:ascii="Arial" w:hAnsi="Arial" w:cs="Arial"/>
          <w:i/>
          <w:iCs/>
          <w:szCs w:val="24"/>
        </w:rPr>
        <w:t>May I kindly request your advice and opinion on the matter relating</w:t>
      </w:r>
      <w:r>
        <w:rPr>
          <w:rFonts w:ascii="Arial" w:hAnsi="Arial" w:cs="Arial"/>
          <w:szCs w:val="24"/>
        </w:rPr>
        <w:t xml:space="preserve"> </w:t>
      </w:r>
      <w:r w:rsidRPr="005523E6">
        <w:rPr>
          <w:rFonts w:ascii="Arial" w:hAnsi="Arial" w:cs="Arial"/>
          <w:i/>
          <w:iCs/>
          <w:szCs w:val="24"/>
        </w:rPr>
        <w:t>to whether there is risk in awarding Mbali Solutions multiple contracts wherein they were evaluated and fou</w:t>
      </w:r>
      <w:r w:rsidR="00465C99" w:rsidRPr="005523E6">
        <w:rPr>
          <w:rFonts w:ascii="Arial" w:hAnsi="Arial" w:cs="Arial"/>
          <w:i/>
          <w:iCs/>
          <w:szCs w:val="24"/>
        </w:rPr>
        <w:t>n</w:t>
      </w:r>
      <w:r w:rsidRPr="005523E6">
        <w:rPr>
          <w:rFonts w:ascii="Arial" w:hAnsi="Arial" w:cs="Arial"/>
          <w:i/>
          <w:iCs/>
          <w:szCs w:val="24"/>
        </w:rPr>
        <w:t xml:space="preserve">d to be </w:t>
      </w:r>
      <w:r w:rsidR="00465C99" w:rsidRPr="005523E6">
        <w:rPr>
          <w:rFonts w:ascii="Arial" w:hAnsi="Arial" w:cs="Arial"/>
          <w:i/>
          <w:iCs/>
          <w:szCs w:val="24"/>
        </w:rPr>
        <w:t>T</w:t>
      </w:r>
      <w:r w:rsidRPr="005523E6">
        <w:rPr>
          <w:rFonts w:ascii="Arial" w:hAnsi="Arial" w:cs="Arial"/>
          <w:i/>
          <w:iCs/>
          <w:szCs w:val="24"/>
        </w:rPr>
        <w:t>echnic</w:t>
      </w:r>
      <w:r w:rsidR="00465C99" w:rsidRPr="005523E6">
        <w:rPr>
          <w:rFonts w:ascii="Arial" w:hAnsi="Arial" w:cs="Arial"/>
          <w:i/>
          <w:iCs/>
          <w:szCs w:val="24"/>
        </w:rPr>
        <w:t>ally suitable and their offers lower compared to other bidders which resulted in them being highest ranked after evaluations on all the bids.  Their bank guarantee letter states that they are guaranteed R120 Million, however, with the accumulative value of the contracts being recommended; the</w:t>
      </w:r>
      <w:r w:rsidR="000F0C07" w:rsidRPr="005523E6">
        <w:rPr>
          <w:rFonts w:ascii="Arial" w:hAnsi="Arial" w:cs="Arial"/>
          <w:i/>
          <w:iCs/>
          <w:szCs w:val="24"/>
        </w:rPr>
        <w:t xml:space="preserve"> guarantee value will be exceeded.  In addition to this, the finance analysis states, for example on the Pipeline Maintenance they should be considered </w:t>
      </w:r>
      <w:r w:rsidR="00F97B33">
        <w:rPr>
          <w:rFonts w:ascii="Arial" w:hAnsi="Arial" w:cs="Arial"/>
          <w:i/>
          <w:iCs/>
          <w:szCs w:val="24"/>
        </w:rPr>
        <w:t xml:space="preserve">for </w:t>
      </w:r>
      <w:r w:rsidR="000F0C07" w:rsidRPr="005523E6">
        <w:rPr>
          <w:rFonts w:ascii="Arial" w:hAnsi="Arial" w:cs="Arial"/>
          <w:i/>
          <w:iCs/>
          <w:szCs w:val="24"/>
        </w:rPr>
        <w:t xml:space="preserve">an award of </w:t>
      </w:r>
      <w:r w:rsidR="00236A7F">
        <w:rPr>
          <w:rFonts w:ascii="Arial" w:hAnsi="Arial" w:cs="Arial"/>
          <w:i/>
          <w:iCs/>
          <w:szCs w:val="24"/>
        </w:rPr>
        <w:t>+</w:t>
      </w:r>
      <w:r w:rsidR="000F0C07" w:rsidRPr="005523E6">
        <w:rPr>
          <w:rFonts w:ascii="Arial" w:hAnsi="Arial" w:cs="Arial"/>
          <w:i/>
          <w:iCs/>
          <w:szCs w:val="24"/>
        </w:rPr>
        <w:t>R20 Million instead of the recommended contract value.  There is a risk mitigation letter which is provided which states that the risk is minimal due to the supplier only being liable for payment once services have been rendered.</w:t>
      </w:r>
    </w:p>
    <w:p w14:paraId="06D2AA69" w14:textId="1F5F7044" w:rsidR="000F0C07" w:rsidRPr="005523E6" w:rsidRDefault="000F0C07" w:rsidP="00AE364B">
      <w:pPr>
        <w:widowControl/>
        <w:tabs>
          <w:tab w:val="left" w:pos="1701"/>
          <w:tab w:val="left" w:pos="2835"/>
          <w:tab w:val="left" w:pos="3969"/>
          <w:tab w:val="right" w:pos="8222"/>
        </w:tabs>
        <w:autoSpaceDE/>
        <w:autoSpaceDN/>
        <w:adjustRightInd/>
        <w:spacing w:after="120"/>
        <w:ind w:left="851"/>
        <w:jc w:val="both"/>
        <w:rPr>
          <w:rFonts w:ascii="Arial" w:hAnsi="Arial" w:cs="Arial"/>
          <w:i/>
          <w:iCs/>
          <w:szCs w:val="24"/>
        </w:rPr>
      </w:pPr>
      <w:r w:rsidRPr="005523E6">
        <w:rPr>
          <w:rFonts w:ascii="Arial" w:hAnsi="Arial" w:cs="Arial"/>
          <w:i/>
          <w:iCs/>
          <w:szCs w:val="24"/>
        </w:rPr>
        <w:t xml:space="preserve">The Committee is of the view that it may not be equitable for </w:t>
      </w:r>
      <w:r w:rsidR="00E7116A" w:rsidRPr="005523E6">
        <w:rPr>
          <w:rFonts w:ascii="Arial" w:hAnsi="Arial" w:cs="Arial"/>
          <w:i/>
          <w:iCs/>
          <w:szCs w:val="24"/>
        </w:rPr>
        <w:t xml:space="preserve">Eskom to award multiple contracts, siting (sic) the risk of possible compromise in quality of the work </w:t>
      </w:r>
      <w:r w:rsidR="00555F1B" w:rsidRPr="005523E6">
        <w:rPr>
          <w:rFonts w:ascii="Arial" w:hAnsi="Arial" w:cs="Arial"/>
          <w:i/>
          <w:iCs/>
          <w:szCs w:val="24"/>
        </w:rPr>
        <w:t>and financial overburden</w:t>
      </w:r>
      <w:r w:rsidR="00C7465A" w:rsidRPr="005523E6">
        <w:rPr>
          <w:rFonts w:ascii="Arial" w:hAnsi="Arial" w:cs="Arial"/>
          <w:i/>
          <w:iCs/>
          <w:szCs w:val="24"/>
        </w:rPr>
        <w:t xml:space="preserve"> to the supplier.</w:t>
      </w:r>
    </w:p>
    <w:p w14:paraId="0D8C5A7D" w14:textId="5D2A9FF3" w:rsidR="003D5A4D" w:rsidRPr="005523E6" w:rsidRDefault="003D5A4D" w:rsidP="00AE364B">
      <w:pPr>
        <w:widowControl/>
        <w:tabs>
          <w:tab w:val="left" w:pos="1701"/>
          <w:tab w:val="left" w:pos="2835"/>
          <w:tab w:val="left" w:pos="3969"/>
          <w:tab w:val="right" w:pos="8222"/>
        </w:tabs>
        <w:autoSpaceDE/>
        <w:autoSpaceDN/>
        <w:adjustRightInd/>
        <w:spacing w:after="240"/>
        <w:ind w:left="851"/>
        <w:jc w:val="both"/>
        <w:rPr>
          <w:rFonts w:ascii="Arial" w:hAnsi="Arial" w:cs="Arial"/>
          <w:i/>
          <w:iCs/>
          <w:szCs w:val="24"/>
        </w:rPr>
      </w:pPr>
      <w:r w:rsidRPr="005523E6">
        <w:rPr>
          <w:rFonts w:ascii="Arial" w:hAnsi="Arial" w:cs="Arial"/>
          <w:i/>
          <w:iCs/>
          <w:szCs w:val="24"/>
        </w:rPr>
        <w:t xml:space="preserve">The procurement procedure does not enlist any restrictions to awarding </w:t>
      </w:r>
      <w:r w:rsidR="00AE364B" w:rsidRPr="005523E6">
        <w:rPr>
          <w:rFonts w:ascii="Arial" w:hAnsi="Arial" w:cs="Arial"/>
          <w:i/>
          <w:iCs/>
          <w:szCs w:val="24"/>
        </w:rPr>
        <w:t xml:space="preserve">a supplier multiple contracts; however, this being said; I would appreciate your views on this."  </w:t>
      </w:r>
    </w:p>
    <w:p w14:paraId="4E006814" w14:textId="01D975B9" w:rsidR="00C50EFD"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[19]</w:t>
      </w:r>
      <w:r>
        <w:rPr>
          <w:rFonts w:ascii="Arial" w:hAnsi="Arial" w:cs="Arial"/>
          <w:szCs w:val="24"/>
        </w:rPr>
        <w:tab/>
      </w:r>
      <w:r w:rsidR="00C50EFD">
        <w:rPr>
          <w:rFonts w:ascii="Arial" w:hAnsi="Arial" w:cs="Arial"/>
          <w:szCs w:val="24"/>
        </w:rPr>
        <w:t>On 29 April 2021, Semenya responded to the e-mail.  In the e-mail Semenya</w:t>
      </w:r>
      <w:r w:rsidR="00225CEF">
        <w:rPr>
          <w:rFonts w:ascii="Arial" w:hAnsi="Arial" w:cs="Arial"/>
          <w:szCs w:val="24"/>
        </w:rPr>
        <w:t>,</w:t>
      </w:r>
      <w:r w:rsidR="00C50EFD">
        <w:rPr>
          <w:rFonts w:ascii="Arial" w:hAnsi="Arial" w:cs="Arial"/>
          <w:szCs w:val="24"/>
        </w:rPr>
        <w:t xml:space="preserve"> </w:t>
      </w:r>
      <w:r w:rsidR="00C50EFD" w:rsidRPr="00225CEF">
        <w:rPr>
          <w:rFonts w:ascii="Arial" w:hAnsi="Arial" w:cs="Arial"/>
          <w:i/>
          <w:iCs/>
          <w:szCs w:val="24"/>
        </w:rPr>
        <w:t>inter alia</w:t>
      </w:r>
      <w:r w:rsidR="00C50EFD">
        <w:rPr>
          <w:rFonts w:ascii="Arial" w:hAnsi="Arial" w:cs="Arial"/>
          <w:szCs w:val="24"/>
        </w:rPr>
        <w:t xml:space="preserve">, agreed that </w:t>
      </w:r>
      <w:r w:rsidR="00225CEF">
        <w:rPr>
          <w:rFonts w:ascii="Arial" w:hAnsi="Arial" w:cs="Arial"/>
          <w:szCs w:val="24"/>
        </w:rPr>
        <w:t xml:space="preserve">the Committee's concern was valid </w:t>
      </w:r>
      <w:r w:rsidR="00225CEF">
        <w:rPr>
          <w:rFonts w:ascii="Arial" w:hAnsi="Arial" w:cs="Arial"/>
          <w:szCs w:val="24"/>
        </w:rPr>
        <w:lastRenderedPageBreak/>
        <w:t xml:space="preserve">and indicated that the financial analysis report was done on affordability of </w:t>
      </w:r>
      <w:r w:rsidR="00236A7F">
        <w:rPr>
          <w:rFonts w:ascii="Arial" w:hAnsi="Arial" w:cs="Arial"/>
          <w:szCs w:val="24"/>
        </w:rPr>
        <w:t xml:space="preserve">a </w:t>
      </w:r>
      <w:r w:rsidR="008D62CF">
        <w:rPr>
          <w:rFonts w:ascii="Arial" w:hAnsi="Arial" w:cs="Arial"/>
          <w:szCs w:val="24"/>
        </w:rPr>
        <w:t>R96 million contract with no other commitment to Eskom at the time.  It was also indicated that subsequent to the financial analysis report having been issued, the applicant had been awarded another contract by Eskom thus "</w:t>
      </w:r>
      <w:r w:rsidR="008D62CF" w:rsidRPr="008A65B9">
        <w:rPr>
          <w:rFonts w:ascii="Arial" w:hAnsi="Arial" w:cs="Arial"/>
          <w:i/>
          <w:iCs/>
          <w:szCs w:val="24"/>
        </w:rPr>
        <w:t>depleting the</w:t>
      </w:r>
      <w:r w:rsidR="008A65B9" w:rsidRPr="008A65B9">
        <w:rPr>
          <w:rFonts w:ascii="Arial" w:hAnsi="Arial" w:cs="Arial"/>
          <w:i/>
          <w:iCs/>
          <w:szCs w:val="24"/>
        </w:rPr>
        <w:t xml:space="preserve"> supplier's affordability muscle to handle contracts with more value, with neither parent company guarantee nor performance bond</w:t>
      </w:r>
      <w:r w:rsidR="008A65B9">
        <w:rPr>
          <w:rFonts w:ascii="Arial" w:hAnsi="Arial" w:cs="Arial"/>
          <w:szCs w:val="24"/>
        </w:rPr>
        <w:t xml:space="preserve">".  Semenya also noted that a </w:t>
      </w:r>
      <w:r w:rsidR="000E5247">
        <w:rPr>
          <w:rFonts w:ascii="Arial" w:hAnsi="Arial" w:cs="Arial"/>
          <w:szCs w:val="24"/>
        </w:rPr>
        <w:t xml:space="preserve">financial analysis formed part of the contractual obligation in the tender which was mandatory for the award of the contract.  Semenya opined that in a case where a supplier failed to meet contractual obligations it would be disqualified as non-responsive and the second ranked supplier would be considered for the award provided that second supplier could offer market-related prices.  Semenya recommended that the contract be awarded to </w:t>
      </w:r>
      <w:r w:rsidR="002E171B">
        <w:rPr>
          <w:rFonts w:ascii="Arial" w:hAnsi="Arial" w:cs="Arial"/>
          <w:szCs w:val="24"/>
        </w:rPr>
        <w:t>the second ranked supplier provided it could meet the contractual obligations and offer market-related price.</w:t>
      </w:r>
    </w:p>
    <w:p w14:paraId="4BDE6B10" w14:textId="412D4C6B" w:rsidR="002E171B"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[20]</w:t>
      </w:r>
      <w:r>
        <w:rPr>
          <w:rFonts w:ascii="Arial" w:hAnsi="Arial" w:cs="Arial"/>
          <w:szCs w:val="24"/>
        </w:rPr>
        <w:tab/>
      </w:r>
      <w:r w:rsidR="002E171B">
        <w:rPr>
          <w:rFonts w:ascii="Arial" w:hAnsi="Arial" w:cs="Arial"/>
          <w:szCs w:val="24"/>
        </w:rPr>
        <w:t xml:space="preserve">On 22 April 2021, a further feedback report was submitted to the Chairman of the Generation Division of the Matla Power Station.  This report records that the </w:t>
      </w:r>
      <w:r w:rsidR="005523E6">
        <w:rPr>
          <w:rFonts w:ascii="Arial" w:hAnsi="Arial" w:cs="Arial"/>
          <w:szCs w:val="24"/>
        </w:rPr>
        <w:t xml:space="preserve">negotiation team had renegotiated the price of Thenga to match the price offered by Mbali.  </w:t>
      </w:r>
      <w:r w:rsidR="00D214BB">
        <w:rPr>
          <w:rFonts w:ascii="Arial" w:hAnsi="Arial" w:cs="Arial"/>
          <w:szCs w:val="24"/>
        </w:rPr>
        <w:t xml:space="preserve">This was not factually correct as </w:t>
      </w:r>
      <w:r w:rsidR="0062261A">
        <w:rPr>
          <w:rFonts w:ascii="Arial" w:hAnsi="Arial" w:cs="Arial"/>
          <w:szCs w:val="24"/>
        </w:rPr>
        <w:t>Thenga's price appears to have remained the same.  The feedback report records that the Matla Power Station</w:t>
      </w:r>
      <w:r w:rsidR="00DD17AC">
        <w:rPr>
          <w:rFonts w:ascii="Arial" w:hAnsi="Arial" w:cs="Arial"/>
          <w:szCs w:val="24"/>
        </w:rPr>
        <w:t>'s</w:t>
      </w:r>
      <w:r w:rsidR="00FD2BBF">
        <w:rPr>
          <w:rFonts w:ascii="Arial" w:hAnsi="Arial" w:cs="Arial"/>
          <w:szCs w:val="24"/>
        </w:rPr>
        <w:t xml:space="preserve"> Procurement Tender Committee</w:t>
      </w:r>
      <w:r w:rsidR="0062261A">
        <w:rPr>
          <w:rFonts w:ascii="Arial" w:hAnsi="Arial" w:cs="Arial"/>
          <w:szCs w:val="24"/>
        </w:rPr>
        <w:t xml:space="preserve"> </w:t>
      </w:r>
      <w:r w:rsidR="00FD2BBF">
        <w:rPr>
          <w:rFonts w:ascii="Arial" w:hAnsi="Arial" w:cs="Arial"/>
          <w:szCs w:val="24"/>
        </w:rPr>
        <w:t>("</w:t>
      </w:r>
      <w:r w:rsidR="0062261A" w:rsidRPr="00FD2BBF">
        <w:rPr>
          <w:rFonts w:ascii="Arial" w:hAnsi="Arial" w:cs="Arial"/>
          <w:b/>
          <w:bCs/>
          <w:szCs w:val="24"/>
        </w:rPr>
        <w:t>PTC</w:t>
      </w:r>
      <w:r w:rsidR="00FD2BBF">
        <w:rPr>
          <w:rFonts w:ascii="Arial" w:hAnsi="Arial" w:cs="Arial"/>
          <w:szCs w:val="24"/>
        </w:rPr>
        <w:t>")</w:t>
      </w:r>
      <w:r w:rsidR="0062261A">
        <w:rPr>
          <w:rFonts w:ascii="Arial" w:hAnsi="Arial" w:cs="Arial"/>
          <w:szCs w:val="24"/>
        </w:rPr>
        <w:t xml:space="preserve"> had indicated that they had reviewed the financial evaluation report and taken note of the price margin between the applicant and Thenga and concluded that Thenga's negotiated offer was financial</w:t>
      </w:r>
      <w:r w:rsidR="003E6491">
        <w:rPr>
          <w:rFonts w:ascii="Arial" w:hAnsi="Arial" w:cs="Arial"/>
          <w:szCs w:val="24"/>
        </w:rPr>
        <w:t>ly</w:t>
      </w:r>
      <w:r w:rsidR="0062261A">
        <w:rPr>
          <w:rFonts w:ascii="Arial" w:hAnsi="Arial" w:cs="Arial"/>
          <w:szCs w:val="24"/>
        </w:rPr>
        <w:t xml:space="preserve"> acceptable.  The negotiation team was requested </w:t>
      </w:r>
      <w:r w:rsidR="0062261A">
        <w:rPr>
          <w:rFonts w:ascii="Arial" w:hAnsi="Arial" w:cs="Arial"/>
          <w:szCs w:val="24"/>
        </w:rPr>
        <w:lastRenderedPageBreak/>
        <w:t xml:space="preserve">to renegotiate with Thenga to match the price offered by the applicant.  It was also recommended that </w:t>
      </w:r>
      <w:r w:rsidR="003E0F52">
        <w:rPr>
          <w:rFonts w:ascii="Arial" w:hAnsi="Arial" w:cs="Arial"/>
          <w:szCs w:val="24"/>
        </w:rPr>
        <w:t>the negotiation team negotiate and conclude an agreement with Thenga. The final approval of an award to Thenga for a contract value of R74</w:t>
      </w:r>
      <w:r w:rsidR="00DD17AC">
        <w:rPr>
          <w:rFonts w:ascii="Arial" w:hAnsi="Arial" w:cs="Arial"/>
          <w:szCs w:val="24"/>
        </w:rPr>
        <w:t> </w:t>
      </w:r>
      <w:r w:rsidR="003E0F52">
        <w:rPr>
          <w:rFonts w:ascii="Arial" w:hAnsi="Arial" w:cs="Arial"/>
          <w:szCs w:val="24"/>
        </w:rPr>
        <w:t>483 297, 94 (excluding VAT) was recommended.</w:t>
      </w:r>
    </w:p>
    <w:p w14:paraId="0EAC7A32" w14:textId="2D3E1160" w:rsidR="003E0F52"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[21]</w:t>
      </w:r>
      <w:r>
        <w:rPr>
          <w:rFonts w:ascii="Arial" w:hAnsi="Arial" w:cs="Arial"/>
          <w:szCs w:val="24"/>
        </w:rPr>
        <w:tab/>
      </w:r>
      <w:r w:rsidR="003E0F52">
        <w:rPr>
          <w:rFonts w:ascii="Arial" w:hAnsi="Arial" w:cs="Arial"/>
          <w:szCs w:val="24"/>
        </w:rPr>
        <w:t xml:space="preserve">On </w:t>
      </w:r>
      <w:r w:rsidR="00142B23">
        <w:rPr>
          <w:rFonts w:ascii="Arial" w:hAnsi="Arial" w:cs="Arial"/>
          <w:szCs w:val="24"/>
        </w:rPr>
        <w:t xml:space="preserve">3 June 2021, the </w:t>
      </w:r>
      <w:r w:rsidR="003E6491">
        <w:rPr>
          <w:rFonts w:ascii="Arial" w:hAnsi="Arial" w:cs="Arial"/>
          <w:szCs w:val="24"/>
        </w:rPr>
        <w:t xml:space="preserve">PTC </w:t>
      </w:r>
      <w:r w:rsidR="00142B23">
        <w:rPr>
          <w:rFonts w:ascii="Arial" w:hAnsi="Arial" w:cs="Arial"/>
          <w:szCs w:val="24"/>
        </w:rPr>
        <w:t xml:space="preserve">of the Matla Power Station resolved to award the tender to Thenga </w:t>
      </w:r>
      <w:r w:rsidR="005E323D">
        <w:rPr>
          <w:rFonts w:ascii="Arial" w:hAnsi="Arial" w:cs="Arial"/>
          <w:szCs w:val="24"/>
        </w:rPr>
        <w:t xml:space="preserve">for </w:t>
      </w:r>
      <w:r w:rsidR="00F777E1">
        <w:rPr>
          <w:rFonts w:ascii="Arial" w:hAnsi="Arial" w:cs="Arial"/>
          <w:szCs w:val="24"/>
        </w:rPr>
        <w:t>a contract value of R74 480 297,94 (excluding VAT).</w:t>
      </w:r>
    </w:p>
    <w:p w14:paraId="094F5613" w14:textId="644103DD" w:rsidR="002E171B"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[22]</w:t>
      </w:r>
      <w:r>
        <w:rPr>
          <w:rFonts w:ascii="Arial" w:hAnsi="Arial" w:cs="Arial"/>
          <w:szCs w:val="24"/>
        </w:rPr>
        <w:tab/>
      </w:r>
      <w:r w:rsidR="00D73015">
        <w:rPr>
          <w:rFonts w:ascii="Arial" w:hAnsi="Arial" w:cs="Arial"/>
          <w:szCs w:val="24"/>
        </w:rPr>
        <w:t xml:space="preserve">The draft minutes of the meeting of </w:t>
      </w:r>
      <w:r w:rsidR="004F0941">
        <w:rPr>
          <w:rFonts w:ascii="Arial" w:hAnsi="Arial" w:cs="Arial"/>
          <w:szCs w:val="24"/>
        </w:rPr>
        <w:t>the PTC of 3 June 2021 records that a financial analysi</w:t>
      </w:r>
      <w:r w:rsidR="006E7F01">
        <w:rPr>
          <w:rFonts w:ascii="Arial" w:hAnsi="Arial" w:cs="Arial"/>
          <w:szCs w:val="24"/>
        </w:rPr>
        <w:t>s for Thenga was only requested "</w:t>
      </w:r>
      <w:r w:rsidR="006E7F01" w:rsidRPr="00D664B6">
        <w:rPr>
          <w:rFonts w:ascii="Arial" w:hAnsi="Arial" w:cs="Arial"/>
          <w:i/>
          <w:iCs/>
          <w:szCs w:val="24"/>
        </w:rPr>
        <w:t>post the approval for a mandate</w:t>
      </w:r>
      <w:r w:rsidR="00D664B6" w:rsidRPr="00D664B6">
        <w:rPr>
          <w:rFonts w:ascii="Arial" w:hAnsi="Arial" w:cs="Arial"/>
          <w:i/>
          <w:iCs/>
          <w:szCs w:val="24"/>
        </w:rPr>
        <w:t xml:space="preserve"> being approved on 10 May 2021</w:t>
      </w:r>
      <w:r w:rsidR="00D664B6">
        <w:rPr>
          <w:rFonts w:ascii="Arial" w:hAnsi="Arial" w:cs="Arial"/>
          <w:szCs w:val="24"/>
        </w:rPr>
        <w:t>".  It was indicated that a financial analysis had been requested and feedback would be provided to the PTC</w:t>
      </w:r>
      <w:r w:rsidR="00014F0D">
        <w:rPr>
          <w:rFonts w:ascii="Arial" w:hAnsi="Arial" w:cs="Arial"/>
          <w:szCs w:val="24"/>
        </w:rPr>
        <w:t>.</w:t>
      </w:r>
    </w:p>
    <w:p w14:paraId="1C69CACC" w14:textId="103F3781" w:rsidR="00014F0D"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[23]</w:t>
      </w:r>
      <w:r>
        <w:rPr>
          <w:rFonts w:ascii="Arial" w:hAnsi="Arial" w:cs="Arial"/>
          <w:szCs w:val="24"/>
        </w:rPr>
        <w:tab/>
      </w:r>
      <w:r w:rsidR="00014F0D">
        <w:rPr>
          <w:rFonts w:ascii="Arial" w:hAnsi="Arial" w:cs="Arial"/>
          <w:szCs w:val="24"/>
        </w:rPr>
        <w:t>On 11 June 2021, a draft NEC TSC3 contract was forwarded to Thenga for completion.</w:t>
      </w:r>
    </w:p>
    <w:p w14:paraId="22C01114" w14:textId="2F98B407" w:rsidR="00014F0D"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[24]</w:t>
      </w:r>
      <w:r>
        <w:rPr>
          <w:rFonts w:ascii="Arial" w:hAnsi="Arial" w:cs="Arial"/>
          <w:szCs w:val="24"/>
        </w:rPr>
        <w:tab/>
      </w:r>
      <w:r w:rsidR="00014F0D">
        <w:rPr>
          <w:rFonts w:ascii="Arial" w:hAnsi="Arial" w:cs="Arial"/>
          <w:szCs w:val="24"/>
        </w:rPr>
        <w:t xml:space="preserve">On 30 June 2021, a letter to extend the tender validity period </w:t>
      </w:r>
      <w:r w:rsidR="00C75911">
        <w:rPr>
          <w:rFonts w:ascii="Arial" w:hAnsi="Arial" w:cs="Arial"/>
          <w:szCs w:val="24"/>
        </w:rPr>
        <w:t xml:space="preserve">to 31 July 2021 was addressed to all tenderers.  In this letter it was indicated that the evaluation process was taking </w:t>
      </w:r>
      <w:r w:rsidR="00B04DBD">
        <w:rPr>
          <w:rFonts w:ascii="Arial" w:hAnsi="Arial" w:cs="Arial"/>
          <w:szCs w:val="24"/>
        </w:rPr>
        <w:t xml:space="preserve">longer than originally envisaged. </w:t>
      </w:r>
    </w:p>
    <w:p w14:paraId="02F691C8" w14:textId="71CBB982" w:rsidR="00B04DBD"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[25]</w:t>
      </w:r>
      <w:r>
        <w:rPr>
          <w:rFonts w:ascii="Arial" w:hAnsi="Arial" w:cs="Arial"/>
          <w:szCs w:val="24"/>
        </w:rPr>
        <w:tab/>
      </w:r>
      <w:r w:rsidR="00B04DBD">
        <w:rPr>
          <w:rFonts w:ascii="Arial" w:hAnsi="Arial" w:cs="Arial"/>
          <w:szCs w:val="24"/>
        </w:rPr>
        <w:t>On 14 September 2021, the applicant was notified that its tender was unsuccessful</w:t>
      </w:r>
      <w:r w:rsidR="00CC2E0C">
        <w:rPr>
          <w:rFonts w:ascii="Arial" w:hAnsi="Arial" w:cs="Arial"/>
          <w:szCs w:val="24"/>
        </w:rPr>
        <w:t xml:space="preserve"> and was informed by Eskom that the successful supplier was Thenga.</w:t>
      </w:r>
    </w:p>
    <w:p w14:paraId="371C20BF" w14:textId="36A84E2C" w:rsidR="00CC2E0C"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[26]</w:t>
      </w:r>
      <w:r>
        <w:rPr>
          <w:rFonts w:ascii="Arial" w:hAnsi="Arial" w:cs="Arial"/>
          <w:szCs w:val="24"/>
        </w:rPr>
        <w:tab/>
      </w:r>
      <w:r w:rsidR="00CC2E0C">
        <w:rPr>
          <w:rFonts w:ascii="Arial" w:hAnsi="Arial" w:cs="Arial"/>
          <w:szCs w:val="24"/>
        </w:rPr>
        <w:t xml:space="preserve">In response to a request, on </w:t>
      </w:r>
      <w:r w:rsidR="00C03E31">
        <w:rPr>
          <w:rFonts w:ascii="Arial" w:hAnsi="Arial" w:cs="Arial"/>
          <w:szCs w:val="24"/>
        </w:rPr>
        <w:t>22 October 2021, the applicant was provided with the reason as to why its bid had been unsuccessful.  In this response, Eskom conclude</w:t>
      </w:r>
      <w:r w:rsidR="005E323D">
        <w:rPr>
          <w:rFonts w:ascii="Arial" w:hAnsi="Arial" w:cs="Arial"/>
          <w:szCs w:val="24"/>
        </w:rPr>
        <w:t>d</w:t>
      </w:r>
      <w:r w:rsidR="00F97B33">
        <w:rPr>
          <w:rFonts w:ascii="Arial" w:hAnsi="Arial" w:cs="Arial"/>
          <w:szCs w:val="24"/>
        </w:rPr>
        <w:t xml:space="preserve"> </w:t>
      </w:r>
      <w:r w:rsidR="00C03E31">
        <w:rPr>
          <w:rFonts w:ascii="Arial" w:hAnsi="Arial" w:cs="Arial"/>
          <w:szCs w:val="24"/>
        </w:rPr>
        <w:t>that the third applicant was not sound enough financially to be awarded</w:t>
      </w:r>
      <w:r w:rsidR="00911299">
        <w:rPr>
          <w:rFonts w:ascii="Arial" w:hAnsi="Arial" w:cs="Arial"/>
          <w:szCs w:val="24"/>
        </w:rPr>
        <w:t xml:space="preserve"> a contract to the value of R96 million.</w:t>
      </w:r>
    </w:p>
    <w:p w14:paraId="5B8014B6" w14:textId="297989CD" w:rsidR="00911299"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lastRenderedPageBreak/>
        <w:t>[27]</w:t>
      </w:r>
      <w:r>
        <w:rPr>
          <w:rFonts w:ascii="Arial" w:hAnsi="Arial" w:cs="Arial"/>
          <w:szCs w:val="24"/>
        </w:rPr>
        <w:tab/>
      </w:r>
      <w:r w:rsidR="00911299">
        <w:rPr>
          <w:rFonts w:ascii="Arial" w:hAnsi="Arial" w:cs="Arial"/>
          <w:szCs w:val="24"/>
        </w:rPr>
        <w:t xml:space="preserve">In its founding affidavit, the primary motivation for the relief sought was premised on </w:t>
      </w:r>
      <w:r w:rsidR="0081310A">
        <w:rPr>
          <w:rFonts w:ascii="Arial" w:hAnsi="Arial" w:cs="Arial"/>
          <w:szCs w:val="24"/>
        </w:rPr>
        <w:t xml:space="preserve">the applicant's </w:t>
      </w:r>
      <w:r w:rsidR="00911299">
        <w:rPr>
          <w:rFonts w:ascii="Arial" w:hAnsi="Arial" w:cs="Arial"/>
          <w:szCs w:val="24"/>
        </w:rPr>
        <w:t xml:space="preserve">contention that the award of the tender to Thenga was not made within the tender validity period and accordingly the tender process was irregular and fatally flawed.  </w:t>
      </w:r>
    </w:p>
    <w:p w14:paraId="4AE7E4ED" w14:textId="4200884B" w:rsidR="00911299"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[28]</w:t>
      </w:r>
      <w:r>
        <w:rPr>
          <w:rFonts w:ascii="Arial" w:hAnsi="Arial" w:cs="Arial"/>
          <w:szCs w:val="24"/>
        </w:rPr>
        <w:tab/>
      </w:r>
      <w:r w:rsidR="00911299">
        <w:rPr>
          <w:rFonts w:ascii="Arial" w:hAnsi="Arial" w:cs="Arial"/>
          <w:szCs w:val="24"/>
        </w:rPr>
        <w:t>After receiving a copy of the record the applicant delivered a supplementary affidavit, substantially varying its grounds of review.</w:t>
      </w:r>
    </w:p>
    <w:p w14:paraId="14E939E1" w14:textId="320D4443" w:rsidR="00911299"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[29]</w:t>
      </w:r>
      <w:r>
        <w:rPr>
          <w:rFonts w:ascii="Arial" w:hAnsi="Arial" w:cs="Arial"/>
          <w:szCs w:val="24"/>
        </w:rPr>
        <w:tab/>
      </w:r>
      <w:r w:rsidR="00911299">
        <w:rPr>
          <w:rFonts w:ascii="Arial" w:hAnsi="Arial" w:cs="Arial"/>
          <w:szCs w:val="24"/>
        </w:rPr>
        <w:t xml:space="preserve">The grounds of review upon which the applicant now relies can conveniently </w:t>
      </w:r>
      <w:r w:rsidR="00BD3289">
        <w:rPr>
          <w:rFonts w:ascii="Arial" w:hAnsi="Arial" w:cs="Arial"/>
          <w:szCs w:val="24"/>
        </w:rPr>
        <w:t>be divided under two heads, namely –</w:t>
      </w:r>
    </w:p>
    <w:p w14:paraId="37961519" w14:textId="7FFD4356" w:rsidR="00BD3289" w:rsidRDefault="000A48F3" w:rsidP="000A48F3">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szCs w:val="24"/>
        </w:rPr>
      </w:pPr>
      <w:r>
        <w:rPr>
          <w:rFonts w:ascii="Univers" w:hAnsi="Univers" w:cs="Arial"/>
          <w:szCs w:val="24"/>
        </w:rPr>
        <w:t>29.1.</w:t>
      </w:r>
      <w:r>
        <w:rPr>
          <w:rFonts w:ascii="Univers" w:hAnsi="Univers" w:cs="Arial"/>
          <w:szCs w:val="24"/>
        </w:rPr>
        <w:tab/>
      </w:r>
      <w:r w:rsidR="00BD3289">
        <w:rPr>
          <w:rFonts w:ascii="Arial" w:hAnsi="Arial" w:cs="Arial"/>
          <w:szCs w:val="24"/>
        </w:rPr>
        <w:t>the unequal treatment of the applicant; and</w:t>
      </w:r>
    </w:p>
    <w:p w14:paraId="1863CF71" w14:textId="55FA578B" w:rsidR="00BD3289" w:rsidRDefault="000A48F3" w:rsidP="000A48F3">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szCs w:val="24"/>
        </w:rPr>
      </w:pPr>
      <w:r>
        <w:rPr>
          <w:rFonts w:ascii="Univers" w:hAnsi="Univers" w:cs="Arial"/>
          <w:szCs w:val="24"/>
        </w:rPr>
        <w:t>29.2.</w:t>
      </w:r>
      <w:r>
        <w:rPr>
          <w:rFonts w:ascii="Univers" w:hAnsi="Univers" w:cs="Arial"/>
          <w:szCs w:val="24"/>
        </w:rPr>
        <w:tab/>
      </w:r>
      <w:r w:rsidR="005C382A">
        <w:rPr>
          <w:rFonts w:ascii="Arial" w:hAnsi="Arial" w:cs="Arial"/>
          <w:szCs w:val="24"/>
        </w:rPr>
        <w:t>the second respondent's failure to comply with the peremptory requirements of the tender.</w:t>
      </w:r>
    </w:p>
    <w:p w14:paraId="626ECD3C" w14:textId="611055C9" w:rsidR="005C382A" w:rsidRPr="005C382A" w:rsidRDefault="005C382A" w:rsidP="005C382A">
      <w:pPr>
        <w:widowControl/>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b/>
          <w:bCs/>
          <w:szCs w:val="24"/>
        </w:rPr>
      </w:pPr>
      <w:r>
        <w:rPr>
          <w:rFonts w:ascii="Arial" w:hAnsi="Arial" w:cs="Arial"/>
          <w:szCs w:val="24"/>
        </w:rPr>
        <w:tab/>
      </w:r>
      <w:r>
        <w:rPr>
          <w:rFonts w:ascii="Arial" w:hAnsi="Arial" w:cs="Arial"/>
          <w:b/>
          <w:bCs/>
          <w:szCs w:val="24"/>
        </w:rPr>
        <w:t>U</w:t>
      </w:r>
      <w:r w:rsidRPr="005C382A">
        <w:rPr>
          <w:rFonts w:ascii="Arial" w:hAnsi="Arial" w:cs="Arial"/>
          <w:b/>
          <w:bCs/>
          <w:szCs w:val="24"/>
        </w:rPr>
        <w:t>nequal treatment</w:t>
      </w:r>
    </w:p>
    <w:p w14:paraId="1537D918" w14:textId="3DC1FC56" w:rsidR="00C75911"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[30]</w:t>
      </w:r>
      <w:r>
        <w:rPr>
          <w:rFonts w:ascii="Arial" w:hAnsi="Arial" w:cs="Arial"/>
          <w:szCs w:val="24"/>
        </w:rPr>
        <w:tab/>
      </w:r>
      <w:r w:rsidR="005C382A">
        <w:rPr>
          <w:rFonts w:ascii="Arial" w:hAnsi="Arial" w:cs="Arial"/>
          <w:szCs w:val="24"/>
        </w:rPr>
        <w:t>From the record provided by Eskom under Rule 53 and the answering affidavits delivered on its behalf, it transpires that, notwithstanding the applicant's</w:t>
      </w:r>
      <w:r w:rsidR="0081310A">
        <w:rPr>
          <w:rFonts w:ascii="Arial" w:hAnsi="Arial" w:cs="Arial"/>
          <w:szCs w:val="24"/>
        </w:rPr>
        <w:t xml:space="preserve"> tender</w:t>
      </w:r>
      <w:r w:rsidR="005C382A">
        <w:rPr>
          <w:rFonts w:ascii="Arial" w:hAnsi="Arial" w:cs="Arial"/>
          <w:szCs w:val="24"/>
        </w:rPr>
        <w:t xml:space="preserve"> having been rejected following from a f</w:t>
      </w:r>
      <w:r w:rsidR="004537D9">
        <w:rPr>
          <w:rFonts w:ascii="Arial" w:hAnsi="Arial" w:cs="Arial"/>
          <w:szCs w:val="24"/>
        </w:rPr>
        <w:t>i</w:t>
      </w:r>
      <w:r w:rsidR="005C382A">
        <w:rPr>
          <w:rFonts w:ascii="Arial" w:hAnsi="Arial" w:cs="Arial"/>
          <w:szCs w:val="24"/>
        </w:rPr>
        <w:t xml:space="preserve">nancial </w:t>
      </w:r>
      <w:r w:rsidR="004537D9">
        <w:rPr>
          <w:rFonts w:ascii="Arial" w:hAnsi="Arial" w:cs="Arial"/>
          <w:szCs w:val="24"/>
        </w:rPr>
        <w:t xml:space="preserve">analysis conducted by Eskom, Thenga was appointed without </w:t>
      </w:r>
      <w:r w:rsidR="00C969C8">
        <w:rPr>
          <w:rFonts w:ascii="Arial" w:hAnsi="Arial" w:cs="Arial"/>
          <w:szCs w:val="24"/>
        </w:rPr>
        <w:t xml:space="preserve">any </w:t>
      </w:r>
      <w:r w:rsidR="0081310A">
        <w:rPr>
          <w:rFonts w:ascii="Arial" w:hAnsi="Arial" w:cs="Arial"/>
          <w:szCs w:val="24"/>
        </w:rPr>
        <w:t xml:space="preserve">similar </w:t>
      </w:r>
      <w:r w:rsidR="004537D9">
        <w:rPr>
          <w:rFonts w:ascii="Arial" w:hAnsi="Arial" w:cs="Arial"/>
          <w:szCs w:val="24"/>
        </w:rPr>
        <w:t xml:space="preserve">analysis </w:t>
      </w:r>
      <w:r w:rsidR="00C969C8">
        <w:rPr>
          <w:rFonts w:ascii="Arial" w:hAnsi="Arial" w:cs="Arial"/>
          <w:szCs w:val="24"/>
        </w:rPr>
        <w:t xml:space="preserve">of its </w:t>
      </w:r>
      <w:r w:rsidR="00BF54E0">
        <w:rPr>
          <w:rFonts w:ascii="Arial" w:hAnsi="Arial" w:cs="Arial"/>
          <w:szCs w:val="24"/>
        </w:rPr>
        <w:t>records.</w:t>
      </w:r>
    </w:p>
    <w:p w14:paraId="4B600B32" w14:textId="103AE077" w:rsidR="006D637F"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[31]</w:t>
      </w:r>
      <w:r>
        <w:rPr>
          <w:rFonts w:ascii="Arial" w:hAnsi="Arial" w:cs="Arial"/>
          <w:szCs w:val="24"/>
        </w:rPr>
        <w:tab/>
      </w:r>
      <w:r w:rsidR="00BF54E0">
        <w:rPr>
          <w:rFonts w:ascii="Arial" w:hAnsi="Arial" w:cs="Arial"/>
          <w:szCs w:val="24"/>
        </w:rPr>
        <w:t>In its answering affidavit, Eskom concedes that the decision to co</w:t>
      </w:r>
      <w:r w:rsidR="00150543">
        <w:rPr>
          <w:rFonts w:ascii="Arial" w:hAnsi="Arial" w:cs="Arial"/>
          <w:szCs w:val="24"/>
        </w:rPr>
        <w:t xml:space="preserve">nclude a contract with Thenga </w:t>
      </w:r>
      <w:r w:rsidR="00713350">
        <w:rPr>
          <w:rFonts w:ascii="Arial" w:hAnsi="Arial" w:cs="Arial"/>
          <w:szCs w:val="24"/>
        </w:rPr>
        <w:t xml:space="preserve">and the award of the tender to that entity was made without any financial analysis in respect of Thenga having been </w:t>
      </w:r>
      <w:r w:rsidR="00C969C8">
        <w:rPr>
          <w:rFonts w:ascii="Arial" w:hAnsi="Arial" w:cs="Arial"/>
          <w:szCs w:val="24"/>
        </w:rPr>
        <w:t>conducted</w:t>
      </w:r>
      <w:r w:rsidR="00713350">
        <w:rPr>
          <w:rFonts w:ascii="Arial" w:hAnsi="Arial" w:cs="Arial"/>
          <w:szCs w:val="24"/>
        </w:rPr>
        <w:t xml:space="preserve">.  According to Eskom, the financial analysis report in respect of Thenga was only </w:t>
      </w:r>
      <w:r w:rsidR="006D637F">
        <w:rPr>
          <w:rFonts w:ascii="Arial" w:hAnsi="Arial" w:cs="Arial"/>
          <w:szCs w:val="24"/>
        </w:rPr>
        <w:t>completed on 7 July 2021</w:t>
      </w:r>
      <w:r w:rsidR="001707BC">
        <w:rPr>
          <w:rFonts w:ascii="Arial" w:hAnsi="Arial" w:cs="Arial"/>
          <w:szCs w:val="24"/>
        </w:rPr>
        <w:t>, after the award of the tender</w:t>
      </w:r>
      <w:r w:rsidR="006D637F">
        <w:rPr>
          <w:rFonts w:ascii="Arial" w:hAnsi="Arial" w:cs="Arial"/>
          <w:szCs w:val="24"/>
        </w:rPr>
        <w:t xml:space="preserve">.  Eskom suggests that the PTC was under severe pressure to appoint a service provider and that this was the reason why the applicant </w:t>
      </w:r>
      <w:r w:rsidR="001707BC">
        <w:rPr>
          <w:rFonts w:ascii="Arial" w:hAnsi="Arial" w:cs="Arial"/>
          <w:szCs w:val="24"/>
        </w:rPr>
        <w:t xml:space="preserve">and </w:t>
      </w:r>
      <w:r w:rsidR="006D637F">
        <w:rPr>
          <w:rFonts w:ascii="Arial" w:hAnsi="Arial" w:cs="Arial"/>
          <w:szCs w:val="24"/>
        </w:rPr>
        <w:t xml:space="preserve">Thenga's </w:t>
      </w:r>
      <w:r w:rsidR="001707BC">
        <w:rPr>
          <w:rFonts w:ascii="Arial" w:hAnsi="Arial" w:cs="Arial"/>
          <w:szCs w:val="24"/>
        </w:rPr>
        <w:t xml:space="preserve">tenders </w:t>
      </w:r>
      <w:r w:rsidR="006D637F">
        <w:rPr>
          <w:rFonts w:ascii="Arial" w:hAnsi="Arial" w:cs="Arial"/>
          <w:szCs w:val="24"/>
        </w:rPr>
        <w:t xml:space="preserve">were treated differently.  </w:t>
      </w:r>
    </w:p>
    <w:p w14:paraId="2D4AA039" w14:textId="354AC380" w:rsidR="00BF54E0"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lastRenderedPageBreak/>
        <w:t>[32]</w:t>
      </w:r>
      <w:r>
        <w:rPr>
          <w:rFonts w:ascii="Arial" w:hAnsi="Arial" w:cs="Arial"/>
          <w:szCs w:val="24"/>
        </w:rPr>
        <w:tab/>
      </w:r>
      <w:r w:rsidR="006D637F">
        <w:rPr>
          <w:rFonts w:ascii="Arial" w:hAnsi="Arial" w:cs="Arial"/>
          <w:szCs w:val="24"/>
        </w:rPr>
        <w:t>Despite Eskom's assurance that a financial analysis report in respect of Thenga was completed on 7 July 2021, it transpires that the financial analysis of Thenga was incomplete and of little assistance. The alleged financial analysis report of Thenga (obtained in terms of Rule 35(12)) reveals that Thenga did not provide sufficient documentation and information to enable Eskom's finance department to perform a financial analysis.  The financial analysis report concludes as follows:</w:t>
      </w:r>
    </w:p>
    <w:p w14:paraId="77A212A0" w14:textId="1BE37704" w:rsidR="006D637F" w:rsidRPr="00AF06A5" w:rsidRDefault="006D637F" w:rsidP="00363299">
      <w:pPr>
        <w:widowControl/>
        <w:tabs>
          <w:tab w:val="left" w:pos="1701"/>
          <w:tab w:val="left" w:pos="2835"/>
          <w:tab w:val="left" w:pos="3969"/>
          <w:tab w:val="right" w:pos="8222"/>
        </w:tabs>
        <w:autoSpaceDE/>
        <w:autoSpaceDN/>
        <w:adjustRightInd/>
        <w:spacing w:after="120"/>
        <w:ind w:left="851"/>
        <w:jc w:val="both"/>
        <w:rPr>
          <w:rFonts w:ascii="Arial" w:hAnsi="Arial" w:cs="Arial"/>
          <w:i/>
          <w:iCs/>
          <w:szCs w:val="24"/>
        </w:rPr>
      </w:pPr>
      <w:r w:rsidRPr="00AF06A5">
        <w:rPr>
          <w:rFonts w:ascii="Arial" w:hAnsi="Arial" w:cs="Arial"/>
          <w:i/>
          <w:iCs/>
          <w:szCs w:val="24"/>
        </w:rPr>
        <w:t>"</w:t>
      </w:r>
      <w:r w:rsidR="00334327" w:rsidRPr="00AF06A5">
        <w:rPr>
          <w:rFonts w:ascii="Arial" w:hAnsi="Arial" w:cs="Arial"/>
          <w:i/>
          <w:iCs/>
          <w:szCs w:val="24"/>
        </w:rPr>
        <w:t xml:space="preserve">Based on the issue(s) raised above, we were unable </w:t>
      </w:r>
      <w:r w:rsidR="00435B23" w:rsidRPr="00AF06A5">
        <w:rPr>
          <w:rFonts w:ascii="Arial" w:hAnsi="Arial" w:cs="Arial"/>
          <w:i/>
          <w:iCs/>
          <w:szCs w:val="24"/>
        </w:rPr>
        <w:t xml:space="preserve">to perform a financial analysis on </w:t>
      </w:r>
      <w:r w:rsidR="00C4452D" w:rsidRPr="00AF06A5">
        <w:rPr>
          <w:rFonts w:ascii="Arial" w:hAnsi="Arial" w:cs="Arial"/>
          <w:b/>
          <w:bCs/>
          <w:i/>
          <w:iCs/>
          <w:szCs w:val="24"/>
        </w:rPr>
        <w:t xml:space="preserve">THENGA HOLDINGS (PROPRIETARY) LIMITED and are therefore unable </w:t>
      </w:r>
      <w:r w:rsidR="00CB5ADA" w:rsidRPr="00AF06A5">
        <w:rPr>
          <w:rFonts w:ascii="Arial" w:hAnsi="Arial" w:cs="Arial"/>
          <w:b/>
          <w:bCs/>
          <w:i/>
          <w:iCs/>
          <w:szCs w:val="24"/>
        </w:rPr>
        <w:t>t</w:t>
      </w:r>
      <w:r w:rsidR="00C4452D" w:rsidRPr="00AF06A5">
        <w:rPr>
          <w:rFonts w:ascii="Arial" w:hAnsi="Arial" w:cs="Arial"/>
          <w:b/>
          <w:bCs/>
          <w:i/>
          <w:iCs/>
          <w:szCs w:val="24"/>
        </w:rPr>
        <w:t>o express an opinion</w:t>
      </w:r>
      <w:r w:rsidR="000624BC" w:rsidRPr="00AF06A5">
        <w:rPr>
          <w:rFonts w:ascii="Arial" w:hAnsi="Arial" w:cs="Arial"/>
          <w:b/>
          <w:bCs/>
          <w:i/>
          <w:iCs/>
          <w:szCs w:val="24"/>
        </w:rPr>
        <w:t xml:space="preserve"> on whether or not the company is sound enough financially</w:t>
      </w:r>
      <w:r w:rsidR="00EE46DF" w:rsidRPr="00AF06A5">
        <w:rPr>
          <w:rFonts w:ascii="Arial" w:hAnsi="Arial" w:cs="Arial"/>
          <w:i/>
          <w:iCs/>
          <w:szCs w:val="24"/>
        </w:rPr>
        <w:t xml:space="preserve"> to be awarded a contract to the value of R85 572 422 (excl VAT) for the Pipe line </w:t>
      </w:r>
      <w:r w:rsidR="00AA7086" w:rsidRPr="00AF06A5">
        <w:rPr>
          <w:rFonts w:ascii="Arial" w:hAnsi="Arial" w:cs="Arial"/>
          <w:i/>
          <w:iCs/>
          <w:szCs w:val="24"/>
        </w:rPr>
        <w:t>Maintenance (slurry and ash plant) for a period of 36 months as per reference number MPGXC006162.</w:t>
      </w:r>
    </w:p>
    <w:p w14:paraId="063C2193" w14:textId="31C078C1" w:rsidR="00AA7086" w:rsidRPr="00AF06A5" w:rsidRDefault="00363299" w:rsidP="00363299">
      <w:pPr>
        <w:widowControl/>
        <w:tabs>
          <w:tab w:val="left" w:pos="1701"/>
          <w:tab w:val="left" w:pos="2835"/>
          <w:tab w:val="left" w:pos="3969"/>
          <w:tab w:val="right" w:pos="8222"/>
        </w:tabs>
        <w:autoSpaceDE/>
        <w:autoSpaceDN/>
        <w:adjustRightInd/>
        <w:spacing w:after="240"/>
        <w:ind w:left="851"/>
        <w:jc w:val="both"/>
        <w:rPr>
          <w:rFonts w:ascii="Arial" w:hAnsi="Arial" w:cs="Arial"/>
          <w:i/>
          <w:iCs/>
          <w:szCs w:val="24"/>
        </w:rPr>
      </w:pPr>
      <w:r w:rsidRPr="00AF06A5">
        <w:rPr>
          <w:rFonts w:ascii="Arial" w:hAnsi="Arial" w:cs="Arial"/>
          <w:i/>
          <w:iCs/>
          <w:szCs w:val="24"/>
        </w:rPr>
        <w:t>However, subject to the satisfactory resolution of the recommendations provided in the report, a financial analysis will be performed."</w:t>
      </w:r>
    </w:p>
    <w:p w14:paraId="0F0BC46B" w14:textId="40D1377E" w:rsidR="006D637F"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[33]</w:t>
      </w:r>
      <w:r>
        <w:rPr>
          <w:rFonts w:ascii="Arial" w:hAnsi="Arial" w:cs="Arial"/>
          <w:szCs w:val="24"/>
        </w:rPr>
        <w:tab/>
      </w:r>
      <w:r w:rsidR="00214560">
        <w:rPr>
          <w:rFonts w:ascii="Arial" w:hAnsi="Arial" w:cs="Arial"/>
          <w:szCs w:val="24"/>
        </w:rPr>
        <w:t>Being an organ of state, Eskom is required to procure goods and services in accordance with the provisions of section 217 of the Constitution, 1996.  Procurement is required to be done in accordance with a system which is fair, equitable, transparent</w:t>
      </w:r>
      <w:r w:rsidR="001A0857">
        <w:rPr>
          <w:rFonts w:ascii="Arial" w:hAnsi="Arial" w:cs="Arial"/>
          <w:szCs w:val="24"/>
        </w:rPr>
        <w:t xml:space="preserve">, competitive and cost-effective. </w:t>
      </w:r>
    </w:p>
    <w:p w14:paraId="032EFAF5" w14:textId="71436045" w:rsidR="00E16771"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[34]</w:t>
      </w:r>
      <w:r>
        <w:rPr>
          <w:rFonts w:ascii="Arial" w:hAnsi="Arial" w:cs="Arial"/>
          <w:szCs w:val="24"/>
        </w:rPr>
        <w:tab/>
      </w:r>
      <w:r w:rsidR="001A0857">
        <w:rPr>
          <w:rFonts w:ascii="Arial" w:hAnsi="Arial" w:cs="Arial"/>
          <w:szCs w:val="24"/>
        </w:rPr>
        <w:t xml:space="preserve">With the view of ensuring compliance with the relevant legal prescripts set out in section 271 of the Constitution, </w:t>
      </w:r>
      <w:r w:rsidR="00895FED">
        <w:rPr>
          <w:rFonts w:ascii="Arial" w:hAnsi="Arial" w:cs="Arial"/>
          <w:szCs w:val="24"/>
        </w:rPr>
        <w:t>the Promotion of Administrative Justice Act, 3 of 2000 ("</w:t>
      </w:r>
      <w:r w:rsidR="00895FED" w:rsidRPr="00895FED">
        <w:rPr>
          <w:rFonts w:ascii="Arial" w:hAnsi="Arial" w:cs="Arial"/>
          <w:b/>
          <w:bCs/>
          <w:szCs w:val="24"/>
        </w:rPr>
        <w:t>PAJA</w:t>
      </w:r>
      <w:r w:rsidR="00895FED">
        <w:rPr>
          <w:rFonts w:ascii="Arial" w:hAnsi="Arial" w:cs="Arial"/>
          <w:szCs w:val="24"/>
        </w:rPr>
        <w:t>") and the Preferential Procurement Policy Framework Act, 5 of 2000</w:t>
      </w:r>
      <w:r w:rsidR="00E16771">
        <w:rPr>
          <w:rFonts w:ascii="Arial" w:hAnsi="Arial" w:cs="Arial"/>
          <w:szCs w:val="24"/>
        </w:rPr>
        <w:t xml:space="preserve"> ("</w:t>
      </w:r>
      <w:r w:rsidR="00E16771" w:rsidRPr="00E16771">
        <w:rPr>
          <w:rFonts w:ascii="Arial" w:hAnsi="Arial" w:cs="Arial"/>
          <w:b/>
          <w:bCs/>
          <w:szCs w:val="24"/>
        </w:rPr>
        <w:t>the PP</w:t>
      </w:r>
      <w:r w:rsidR="006419CA">
        <w:rPr>
          <w:rFonts w:ascii="Arial" w:hAnsi="Arial" w:cs="Arial"/>
          <w:b/>
          <w:bCs/>
          <w:szCs w:val="24"/>
        </w:rPr>
        <w:t>P</w:t>
      </w:r>
      <w:r w:rsidR="00E16771" w:rsidRPr="00E16771">
        <w:rPr>
          <w:rFonts w:ascii="Arial" w:hAnsi="Arial" w:cs="Arial"/>
          <w:b/>
          <w:bCs/>
          <w:szCs w:val="24"/>
        </w:rPr>
        <w:t>FA</w:t>
      </w:r>
      <w:r w:rsidR="00E16771">
        <w:rPr>
          <w:rFonts w:ascii="Arial" w:hAnsi="Arial" w:cs="Arial"/>
          <w:szCs w:val="24"/>
        </w:rPr>
        <w:t>")</w:t>
      </w:r>
      <w:r w:rsidR="00895FED">
        <w:rPr>
          <w:rFonts w:ascii="Arial" w:hAnsi="Arial" w:cs="Arial"/>
          <w:szCs w:val="24"/>
        </w:rPr>
        <w:t>, Eskom has adopted a procurement and supply chain management procedure (</w:t>
      </w:r>
      <w:r w:rsidR="00E16771">
        <w:rPr>
          <w:rFonts w:ascii="Arial" w:hAnsi="Arial" w:cs="Arial"/>
          <w:szCs w:val="24"/>
        </w:rPr>
        <w:t>"</w:t>
      </w:r>
      <w:r w:rsidR="00E16771" w:rsidRPr="00E16771">
        <w:rPr>
          <w:rFonts w:ascii="Arial" w:hAnsi="Arial" w:cs="Arial"/>
          <w:b/>
          <w:bCs/>
          <w:szCs w:val="24"/>
        </w:rPr>
        <w:t>Procurement Policy</w:t>
      </w:r>
      <w:r w:rsidR="00E16771">
        <w:rPr>
          <w:rFonts w:ascii="Arial" w:hAnsi="Arial" w:cs="Arial"/>
          <w:szCs w:val="24"/>
        </w:rPr>
        <w:t>")</w:t>
      </w:r>
      <w:r w:rsidR="00895FED">
        <w:rPr>
          <w:rFonts w:ascii="Arial" w:hAnsi="Arial" w:cs="Arial"/>
          <w:szCs w:val="24"/>
        </w:rPr>
        <w:t xml:space="preserve">.  The recorded intention of </w:t>
      </w:r>
      <w:r w:rsidR="00E16771">
        <w:rPr>
          <w:rFonts w:ascii="Arial" w:hAnsi="Arial" w:cs="Arial"/>
          <w:szCs w:val="24"/>
        </w:rPr>
        <w:t xml:space="preserve">the Procurement Policy is to enable Eskom to achieve a procurement solution or outcome which is commercially, financially and technically sound, and </w:t>
      </w:r>
      <w:r w:rsidR="00E16771">
        <w:rPr>
          <w:rFonts w:ascii="Arial" w:hAnsi="Arial" w:cs="Arial"/>
          <w:szCs w:val="24"/>
        </w:rPr>
        <w:lastRenderedPageBreak/>
        <w:t>does not contravene the procurement principles of fairness, equitability, transparency, competitiveness and cost-effectiveness.</w:t>
      </w:r>
    </w:p>
    <w:p w14:paraId="3CDB58BE" w14:textId="1B24E3C9" w:rsidR="00E16771"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[35]</w:t>
      </w:r>
      <w:r>
        <w:rPr>
          <w:rFonts w:ascii="Arial" w:hAnsi="Arial" w:cs="Arial"/>
          <w:szCs w:val="24"/>
        </w:rPr>
        <w:tab/>
      </w:r>
      <w:r w:rsidR="00E16771">
        <w:rPr>
          <w:rFonts w:ascii="Arial" w:hAnsi="Arial" w:cs="Arial"/>
          <w:szCs w:val="24"/>
        </w:rPr>
        <w:t>Section 2 of the PPPFA</w:t>
      </w:r>
      <w:r w:rsidR="00187986">
        <w:rPr>
          <w:rFonts w:ascii="Arial" w:hAnsi="Arial" w:cs="Arial"/>
          <w:szCs w:val="24"/>
        </w:rPr>
        <w:t xml:space="preserve"> requires an organ of state to determine its preferential procurement policy within the framework of that Act.  Section 2</w:t>
      </w:r>
      <w:r w:rsidR="006419CA">
        <w:rPr>
          <w:rFonts w:ascii="Arial" w:hAnsi="Arial" w:cs="Arial"/>
          <w:szCs w:val="24"/>
        </w:rPr>
        <w:t>(</w:t>
      </w:r>
      <w:r w:rsidR="00187986">
        <w:rPr>
          <w:rFonts w:ascii="Arial" w:hAnsi="Arial" w:cs="Arial"/>
          <w:szCs w:val="24"/>
        </w:rPr>
        <w:t>1</w:t>
      </w:r>
      <w:r w:rsidR="006419CA">
        <w:rPr>
          <w:rFonts w:ascii="Arial" w:hAnsi="Arial" w:cs="Arial"/>
          <w:szCs w:val="24"/>
        </w:rPr>
        <w:t>)</w:t>
      </w:r>
      <w:r w:rsidR="00187986">
        <w:rPr>
          <w:rFonts w:ascii="Arial" w:hAnsi="Arial" w:cs="Arial"/>
          <w:szCs w:val="24"/>
        </w:rPr>
        <w:t>(f) of the Act provides that a contract must be awarded to the tenderer who scores the highest points, unless objective criteria in addition to those contemplated in paragraphs 2</w:t>
      </w:r>
      <w:r w:rsidR="006419CA">
        <w:rPr>
          <w:rFonts w:ascii="Arial" w:hAnsi="Arial" w:cs="Arial"/>
          <w:szCs w:val="24"/>
        </w:rPr>
        <w:t>(1)</w:t>
      </w:r>
      <w:r w:rsidR="00187986">
        <w:rPr>
          <w:rFonts w:ascii="Arial" w:hAnsi="Arial" w:cs="Arial"/>
          <w:szCs w:val="24"/>
        </w:rPr>
        <w:t xml:space="preserve">(d) and </w:t>
      </w:r>
      <w:r w:rsidR="006419CA">
        <w:rPr>
          <w:rFonts w:ascii="Arial" w:hAnsi="Arial" w:cs="Arial"/>
          <w:szCs w:val="24"/>
        </w:rPr>
        <w:t>2(1)</w:t>
      </w:r>
      <w:r w:rsidR="00187986">
        <w:rPr>
          <w:rFonts w:ascii="Arial" w:hAnsi="Arial" w:cs="Arial"/>
          <w:szCs w:val="24"/>
        </w:rPr>
        <w:t>(e) of the PPPFA justify the award to another tenderer.</w:t>
      </w:r>
    </w:p>
    <w:p w14:paraId="7747A5F5" w14:textId="7211422E" w:rsidR="00187986"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[36]</w:t>
      </w:r>
      <w:r>
        <w:rPr>
          <w:rFonts w:ascii="Arial" w:hAnsi="Arial" w:cs="Arial"/>
          <w:szCs w:val="24"/>
        </w:rPr>
        <w:tab/>
      </w:r>
      <w:r w:rsidR="00187986">
        <w:rPr>
          <w:rFonts w:ascii="Arial" w:hAnsi="Arial" w:cs="Arial"/>
          <w:szCs w:val="24"/>
        </w:rPr>
        <w:t>In argument, Eskom contended that the conducting of a due diligence and the scrutiny of the successful tenderer's financial statements constitutes a contractual requirement which forms part of the objective criteria prescribed in the ITT.  The provision of financial statements are referenced under "</w:t>
      </w:r>
      <w:r w:rsidR="00B528F3">
        <w:rPr>
          <w:rFonts w:ascii="Arial" w:hAnsi="Arial" w:cs="Arial"/>
          <w:szCs w:val="24"/>
        </w:rPr>
        <w:t xml:space="preserve">objective criteria" defined in the ITT as well as under the contractual requirements.  In the ITT it is noted that Eskom reserved the right to award the tender to a supplier who may not be the highest scorer or highest ranked tenderer in line with </w:t>
      </w:r>
      <w:r w:rsidR="00EC0FBA">
        <w:rPr>
          <w:rFonts w:ascii="Arial" w:hAnsi="Arial" w:cs="Arial"/>
          <w:szCs w:val="24"/>
        </w:rPr>
        <w:t>s</w:t>
      </w:r>
      <w:r w:rsidR="00B528F3">
        <w:rPr>
          <w:rFonts w:ascii="Arial" w:hAnsi="Arial" w:cs="Arial"/>
          <w:szCs w:val="24"/>
        </w:rPr>
        <w:t xml:space="preserve">ection </w:t>
      </w:r>
      <w:r w:rsidR="00EC0FBA">
        <w:rPr>
          <w:rFonts w:ascii="Arial" w:hAnsi="Arial" w:cs="Arial"/>
          <w:szCs w:val="24"/>
        </w:rPr>
        <w:t xml:space="preserve">2(1)(f) of the PPPFA subject to the right to negotiate on the objective criteria with the three highest-ranked tenderers respectively before the award is made. </w:t>
      </w:r>
    </w:p>
    <w:p w14:paraId="6E8C8427" w14:textId="392596A6" w:rsidR="001A0857"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[37]</w:t>
      </w:r>
      <w:r>
        <w:rPr>
          <w:rFonts w:ascii="Arial" w:hAnsi="Arial" w:cs="Arial"/>
          <w:szCs w:val="24"/>
        </w:rPr>
        <w:tab/>
      </w:r>
      <w:r w:rsidR="00EC0FBA">
        <w:rPr>
          <w:rFonts w:ascii="Arial" w:hAnsi="Arial" w:cs="Arial"/>
          <w:szCs w:val="24"/>
        </w:rPr>
        <w:t>Clause 14.7.9.13 of Eskom's Procurement Policy provides that contractual requirements may include</w:t>
      </w:r>
      <w:r w:rsidR="007B2376">
        <w:rPr>
          <w:rFonts w:ascii="Arial" w:hAnsi="Arial" w:cs="Arial"/>
          <w:szCs w:val="24"/>
        </w:rPr>
        <w:t>, but are not limited to, inter alia, a due diligence on the tenderer and financial statements.  The relevant provision provides as follows:</w:t>
      </w:r>
    </w:p>
    <w:p w14:paraId="33B54664" w14:textId="4AB8121A" w:rsidR="000354FF" w:rsidRPr="00146DD7" w:rsidRDefault="007B2376" w:rsidP="00146DD7">
      <w:pPr>
        <w:widowControl/>
        <w:tabs>
          <w:tab w:val="left" w:pos="851"/>
          <w:tab w:val="left" w:pos="1701"/>
          <w:tab w:val="left" w:pos="2835"/>
          <w:tab w:val="left" w:pos="3969"/>
          <w:tab w:val="right" w:pos="8222"/>
        </w:tabs>
        <w:autoSpaceDE/>
        <w:autoSpaceDN/>
        <w:adjustRightInd/>
        <w:spacing w:after="120"/>
        <w:ind w:left="851"/>
        <w:jc w:val="both"/>
        <w:rPr>
          <w:rFonts w:ascii="Arial" w:hAnsi="Arial" w:cs="Arial"/>
          <w:i/>
          <w:iCs/>
          <w:szCs w:val="24"/>
        </w:rPr>
      </w:pPr>
      <w:r w:rsidRPr="00146DD7">
        <w:rPr>
          <w:rFonts w:ascii="Arial" w:hAnsi="Arial" w:cs="Arial"/>
          <w:i/>
          <w:iCs/>
          <w:szCs w:val="24"/>
        </w:rPr>
        <w:t xml:space="preserve">"Contractual requirements may  include but are not limited to a due diligence on the tenderer, financial statements and meeting of SHEQ requirements.  The feasibility of including SHEQ and </w:t>
      </w:r>
      <w:r w:rsidR="00E1363E" w:rsidRPr="00146DD7">
        <w:rPr>
          <w:rFonts w:ascii="Arial" w:hAnsi="Arial" w:cs="Arial"/>
          <w:i/>
          <w:iCs/>
          <w:szCs w:val="24"/>
        </w:rPr>
        <w:t>financial analysis as contractual requirements mu</w:t>
      </w:r>
      <w:r w:rsidR="0045104D">
        <w:rPr>
          <w:rFonts w:ascii="Arial" w:hAnsi="Arial" w:cs="Arial"/>
          <w:i/>
          <w:iCs/>
          <w:szCs w:val="24"/>
        </w:rPr>
        <w:t>s</w:t>
      </w:r>
      <w:r w:rsidR="00E1363E" w:rsidRPr="00146DD7">
        <w:rPr>
          <w:rFonts w:ascii="Arial" w:hAnsi="Arial" w:cs="Arial"/>
          <w:i/>
          <w:iCs/>
          <w:szCs w:val="24"/>
        </w:rPr>
        <w:t xml:space="preserve">t be determined during the strategy </w:t>
      </w:r>
      <w:r w:rsidR="00E1363E" w:rsidRPr="00146DD7">
        <w:rPr>
          <w:rFonts w:ascii="Arial" w:hAnsi="Arial" w:cs="Arial"/>
          <w:i/>
          <w:iCs/>
          <w:szCs w:val="24"/>
        </w:rPr>
        <w:lastRenderedPageBreak/>
        <w:t>stage and only included if feasible and really applicable to the type of transaction.</w:t>
      </w:r>
    </w:p>
    <w:p w14:paraId="3EC63185" w14:textId="1F7D7781" w:rsidR="007B2376" w:rsidRPr="00816286" w:rsidRDefault="000354FF" w:rsidP="00146DD7">
      <w:pPr>
        <w:widowControl/>
        <w:tabs>
          <w:tab w:val="left" w:pos="851"/>
          <w:tab w:val="left" w:pos="1701"/>
          <w:tab w:val="left" w:pos="2835"/>
          <w:tab w:val="left" w:pos="3969"/>
          <w:tab w:val="right" w:pos="8222"/>
        </w:tabs>
        <w:autoSpaceDE/>
        <w:autoSpaceDN/>
        <w:adjustRightInd/>
        <w:spacing w:after="240"/>
        <w:ind w:left="851"/>
        <w:jc w:val="both"/>
        <w:rPr>
          <w:rFonts w:ascii="Arial" w:hAnsi="Arial" w:cs="Arial"/>
          <w:szCs w:val="24"/>
        </w:rPr>
      </w:pPr>
      <w:r w:rsidRPr="00146DD7">
        <w:rPr>
          <w:rFonts w:ascii="Arial" w:hAnsi="Arial" w:cs="Arial"/>
          <w:i/>
          <w:iCs/>
          <w:szCs w:val="24"/>
        </w:rPr>
        <w:t>Due diligence may be done through a review of financial viability and risk mitigation steps by the Centre of Excellence in Finance.  The latest and approved financial statement not older than eighteen months after year end, as per requirements of company law</w:t>
      </w:r>
      <w:r w:rsidR="00146DD7" w:rsidRPr="00146DD7">
        <w:rPr>
          <w:rFonts w:ascii="Arial" w:hAnsi="Arial" w:cs="Arial"/>
          <w:i/>
          <w:iCs/>
          <w:szCs w:val="24"/>
        </w:rPr>
        <w:t>, must be submitted if applicable.  Risk mitigating factors may include obtaining a performance bond, parent company guarantee, any other financial assistance or procuring items from another supplier at the expense of the contracted supplier.  If the risks cannot be mitigated to ensure performance against the contract, the contract may be awarded to another supplier, which may not be the highest ranked supplier if offering market related prices.</w:t>
      </w:r>
      <w:r>
        <w:rPr>
          <w:rFonts w:ascii="Arial" w:hAnsi="Arial" w:cs="Arial"/>
          <w:szCs w:val="24"/>
        </w:rPr>
        <w:t>"</w:t>
      </w:r>
    </w:p>
    <w:p w14:paraId="2D40E644" w14:textId="186A17F3" w:rsidR="00834194"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[38]</w:t>
      </w:r>
      <w:r>
        <w:rPr>
          <w:rFonts w:ascii="Arial" w:hAnsi="Arial" w:cs="Arial"/>
          <w:szCs w:val="24"/>
        </w:rPr>
        <w:tab/>
      </w:r>
      <w:r w:rsidR="00146DD7">
        <w:rPr>
          <w:rFonts w:ascii="Arial" w:hAnsi="Arial" w:cs="Arial"/>
          <w:szCs w:val="24"/>
        </w:rPr>
        <w:t>Clause 14.7.9.13 of the Procurement Policy</w:t>
      </w:r>
      <w:r w:rsidR="002506A9">
        <w:rPr>
          <w:rFonts w:ascii="Arial" w:hAnsi="Arial" w:cs="Arial"/>
          <w:szCs w:val="24"/>
        </w:rPr>
        <w:t>,</w:t>
      </w:r>
      <w:r w:rsidR="0045104D">
        <w:rPr>
          <w:rFonts w:ascii="Arial" w:hAnsi="Arial" w:cs="Arial"/>
          <w:szCs w:val="24"/>
        </w:rPr>
        <w:t xml:space="preserve"> provide</w:t>
      </w:r>
      <w:r w:rsidR="00B20666">
        <w:rPr>
          <w:rFonts w:ascii="Arial" w:hAnsi="Arial" w:cs="Arial"/>
          <w:szCs w:val="24"/>
        </w:rPr>
        <w:t>s</w:t>
      </w:r>
      <w:r w:rsidR="0045104D">
        <w:rPr>
          <w:rFonts w:ascii="Arial" w:hAnsi="Arial" w:cs="Arial"/>
          <w:szCs w:val="24"/>
        </w:rPr>
        <w:t xml:space="preserve"> that in tenders </w:t>
      </w:r>
      <w:r w:rsidR="002506A9">
        <w:rPr>
          <w:rFonts w:ascii="Arial" w:hAnsi="Arial" w:cs="Arial"/>
          <w:szCs w:val="24"/>
        </w:rPr>
        <w:t xml:space="preserve">above a certain level, the financial viability assessment of the suppliers to execute a contract would be done by </w:t>
      </w:r>
      <w:r w:rsidR="0045104D">
        <w:rPr>
          <w:rFonts w:ascii="Arial" w:hAnsi="Arial" w:cs="Arial"/>
          <w:szCs w:val="24"/>
        </w:rPr>
        <w:t>F</w:t>
      </w:r>
      <w:r w:rsidR="002506A9">
        <w:rPr>
          <w:rFonts w:ascii="Arial" w:hAnsi="Arial" w:cs="Arial"/>
          <w:szCs w:val="24"/>
        </w:rPr>
        <w:t xml:space="preserve">inancial and </w:t>
      </w:r>
      <w:r w:rsidR="0045104D">
        <w:rPr>
          <w:rFonts w:ascii="Arial" w:hAnsi="Arial" w:cs="Arial"/>
          <w:szCs w:val="24"/>
        </w:rPr>
        <w:t>Management R</w:t>
      </w:r>
      <w:r w:rsidR="002506A9">
        <w:rPr>
          <w:rFonts w:ascii="Arial" w:hAnsi="Arial" w:cs="Arial"/>
          <w:szCs w:val="24"/>
        </w:rPr>
        <w:t xml:space="preserve">eporting </w:t>
      </w:r>
      <w:r w:rsidR="000529FB">
        <w:rPr>
          <w:rFonts w:ascii="Arial" w:hAnsi="Arial" w:cs="Arial"/>
          <w:szCs w:val="24"/>
        </w:rPr>
        <w:t>(within Group Finance) which maintains a database with supplier analysis reports from which information may be extracted if need be</w:t>
      </w:r>
      <w:r w:rsidR="0093309D">
        <w:rPr>
          <w:rFonts w:ascii="Arial" w:hAnsi="Arial" w:cs="Arial"/>
          <w:szCs w:val="24"/>
        </w:rPr>
        <w:t>.</w:t>
      </w:r>
      <w:r w:rsidR="00BB4869">
        <w:rPr>
          <w:rFonts w:ascii="Arial" w:hAnsi="Arial" w:cs="Arial"/>
          <w:szCs w:val="24"/>
        </w:rPr>
        <w:t xml:space="preserve"> </w:t>
      </w:r>
    </w:p>
    <w:p w14:paraId="0FED2242" w14:textId="16CED911" w:rsidR="00BB4869" w:rsidRPr="006465A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6465A5">
        <w:rPr>
          <w:rFonts w:ascii="Arial" w:hAnsi="Arial" w:cs="Arial"/>
          <w:szCs w:val="24"/>
        </w:rPr>
        <w:t>[39]</w:t>
      </w:r>
      <w:r w:rsidRPr="006465A5">
        <w:rPr>
          <w:rFonts w:ascii="Arial" w:hAnsi="Arial" w:cs="Arial"/>
          <w:szCs w:val="24"/>
        </w:rPr>
        <w:tab/>
      </w:r>
      <w:r w:rsidR="00BB4869">
        <w:rPr>
          <w:rFonts w:ascii="Arial" w:hAnsi="Arial" w:cs="Arial"/>
          <w:szCs w:val="24"/>
        </w:rPr>
        <w:t xml:space="preserve">Clause 14.7.9.13 of the Procurement Policy also provides that where a supplier has been awarded multiple contracts with Eskom, the financial analysis from </w:t>
      </w:r>
      <w:r w:rsidR="00224E95">
        <w:rPr>
          <w:rFonts w:ascii="Arial" w:hAnsi="Arial" w:cs="Arial"/>
          <w:szCs w:val="24"/>
        </w:rPr>
        <w:t>the financial management reporting (within Group Finance) must include the cumulative effect of all contractual commitments with Eskom in order to determine Eskom's risks and to determine whether the supplier has the financial viability to take on further contractual commitments with Eskom</w:t>
      </w:r>
      <w:r w:rsidR="001E2C7E">
        <w:rPr>
          <w:rFonts w:ascii="Arial" w:hAnsi="Arial" w:cs="Arial"/>
          <w:szCs w:val="24"/>
        </w:rPr>
        <w:t>.</w:t>
      </w:r>
    </w:p>
    <w:p w14:paraId="0A5C5876" w14:textId="73D39382" w:rsidR="00935283"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[40]</w:t>
      </w:r>
      <w:r>
        <w:rPr>
          <w:rFonts w:ascii="Arial" w:hAnsi="Arial" w:cs="Arial"/>
          <w:szCs w:val="24"/>
        </w:rPr>
        <w:tab/>
      </w:r>
      <w:r w:rsidR="002D07D7">
        <w:rPr>
          <w:rFonts w:ascii="Arial" w:hAnsi="Arial" w:cs="Arial"/>
          <w:szCs w:val="24"/>
        </w:rPr>
        <w:t xml:space="preserve">During the course of argument it became common cause that the conducting of a due diligence </w:t>
      </w:r>
      <w:r w:rsidR="00304094">
        <w:rPr>
          <w:rFonts w:ascii="Arial" w:hAnsi="Arial" w:cs="Arial"/>
          <w:szCs w:val="24"/>
        </w:rPr>
        <w:t xml:space="preserve">and consequently the carrying out of a financial analysis of a proposed bidder formed part of the contractual requirements </w:t>
      </w:r>
      <w:r w:rsidR="00554EBE">
        <w:rPr>
          <w:rFonts w:ascii="Arial" w:hAnsi="Arial" w:cs="Arial"/>
          <w:szCs w:val="24"/>
        </w:rPr>
        <w:t xml:space="preserve">prescribed in the Invitation to Tender.  The applicant's primary complaint was directed not at the financial analysis conducted in respect of the applicant (although it did question certain aspects </w:t>
      </w:r>
      <w:r w:rsidR="00554EBE">
        <w:rPr>
          <w:rFonts w:ascii="Arial" w:hAnsi="Arial" w:cs="Arial"/>
          <w:szCs w:val="24"/>
        </w:rPr>
        <w:lastRenderedPageBreak/>
        <w:t xml:space="preserve">thereof) but rather at the failure to conduct a financial analysis in respect of </w:t>
      </w:r>
      <w:r w:rsidR="00BB4869">
        <w:rPr>
          <w:rFonts w:ascii="Arial" w:hAnsi="Arial" w:cs="Arial"/>
          <w:szCs w:val="24"/>
        </w:rPr>
        <w:t>Thenga.</w:t>
      </w:r>
    </w:p>
    <w:p w14:paraId="318A9599" w14:textId="46061EAC" w:rsidR="001E2C7E"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[41]</w:t>
      </w:r>
      <w:r>
        <w:rPr>
          <w:rFonts w:ascii="Arial" w:hAnsi="Arial" w:cs="Arial"/>
          <w:szCs w:val="24"/>
        </w:rPr>
        <w:tab/>
      </w:r>
      <w:r w:rsidR="001E2C7E">
        <w:rPr>
          <w:rFonts w:ascii="Arial" w:hAnsi="Arial" w:cs="Arial"/>
          <w:szCs w:val="24"/>
        </w:rPr>
        <w:t xml:space="preserve">It does not appear to be disputed that Eskom has the right, if not the obligation, to assess Eskom's financial risk exposure in order to determine </w:t>
      </w:r>
      <w:r w:rsidR="00707E8C">
        <w:rPr>
          <w:rFonts w:ascii="Arial" w:hAnsi="Arial" w:cs="Arial"/>
          <w:szCs w:val="24"/>
        </w:rPr>
        <w:t xml:space="preserve">the viability of concluding an agreement with an identified tenderer.  Clause 3.14 of Eskom's Conditions of Tender </w:t>
      </w:r>
      <w:r w:rsidR="00026179">
        <w:rPr>
          <w:rFonts w:ascii="Arial" w:hAnsi="Arial" w:cs="Arial"/>
          <w:szCs w:val="24"/>
        </w:rPr>
        <w:t xml:space="preserve">require Eskom to determine the risk of doing business with a supplier who may pose a financial risk to Eskom in the execution of the contract.  </w:t>
      </w:r>
      <w:r w:rsidR="009E34BE">
        <w:rPr>
          <w:rFonts w:ascii="Arial" w:hAnsi="Arial" w:cs="Arial"/>
          <w:szCs w:val="24"/>
        </w:rPr>
        <w:t>I</w:t>
      </w:r>
      <w:r w:rsidR="00026179">
        <w:rPr>
          <w:rFonts w:ascii="Arial" w:hAnsi="Arial" w:cs="Arial"/>
          <w:szCs w:val="24"/>
        </w:rPr>
        <w:t xml:space="preserve">t is recorded that during the evaluation of the financial statements Eskom will try to identify mitigating factors </w:t>
      </w:r>
      <w:r w:rsidR="00125C98">
        <w:rPr>
          <w:rFonts w:ascii="Arial" w:hAnsi="Arial" w:cs="Arial"/>
          <w:szCs w:val="24"/>
        </w:rPr>
        <w:t>/ requirements for the tenderer to meet, if applicable and if there are insufficient suitable mitigating factors or of the risk is deemed to be too high, Eskom may disqualify the tender.</w:t>
      </w:r>
    </w:p>
    <w:p w14:paraId="1BD6F8FB" w14:textId="04E0FAE7" w:rsidR="00304094"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[42]</w:t>
      </w:r>
      <w:r>
        <w:rPr>
          <w:rFonts w:ascii="Arial" w:hAnsi="Arial" w:cs="Arial"/>
          <w:szCs w:val="24"/>
        </w:rPr>
        <w:tab/>
      </w:r>
      <w:r w:rsidR="00125C98">
        <w:rPr>
          <w:rFonts w:ascii="Arial" w:hAnsi="Arial" w:cs="Arial"/>
          <w:szCs w:val="24"/>
        </w:rPr>
        <w:t xml:space="preserve">I am satisfied that the financial ability or capacity of a tenderer to deliver under the contract may well constitute an objective criteria as envisaged by the provisions of section 2(1)(f) of </w:t>
      </w:r>
      <w:r w:rsidR="008A0259">
        <w:rPr>
          <w:rFonts w:ascii="Arial" w:hAnsi="Arial" w:cs="Arial"/>
          <w:szCs w:val="24"/>
        </w:rPr>
        <w:t xml:space="preserve">the Procurement Act. (See </w:t>
      </w:r>
      <w:r w:rsidR="008A0259" w:rsidRPr="008A0259">
        <w:rPr>
          <w:rFonts w:ascii="Arial" w:hAnsi="Arial" w:cs="Arial"/>
          <w:i/>
          <w:iCs/>
          <w:szCs w:val="24"/>
        </w:rPr>
        <w:t>Rainbow Civils CC v Minister of Transport and Public Works Western Cape and Others</w:t>
      </w:r>
      <w:r w:rsidR="00A615CE">
        <w:rPr>
          <w:rFonts w:ascii="Arial" w:hAnsi="Arial" w:cs="Arial"/>
          <w:szCs w:val="24"/>
        </w:rPr>
        <w:t xml:space="preserve"> [2013] ZAWCHC (3) (6 February 2013) at paras 109-110).</w:t>
      </w:r>
    </w:p>
    <w:p w14:paraId="577DC3B4" w14:textId="2545E14D" w:rsidR="005A1E2E" w:rsidRPr="005A1E2E"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5A1E2E">
        <w:rPr>
          <w:rFonts w:ascii="Arial" w:hAnsi="Arial" w:cs="Arial"/>
          <w:szCs w:val="24"/>
        </w:rPr>
        <w:t>[43]</w:t>
      </w:r>
      <w:r w:rsidRPr="005A1E2E">
        <w:rPr>
          <w:rFonts w:ascii="Arial" w:hAnsi="Arial" w:cs="Arial"/>
          <w:szCs w:val="24"/>
        </w:rPr>
        <w:tab/>
      </w:r>
      <w:r w:rsidR="00A615CE" w:rsidRPr="005A1E2E">
        <w:rPr>
          <w:rFonts w:ascii="Arial" w:hAnsi="Arial" w:cs="Arial"/>
          <w:szCs w:val="24"/>
        </w:rPr>
        <w:t>It, however, goes without saying that the objective criteria will be equally applicable to all tenderers.  In the instant matter, Eskom was selective in its treatment of the applicant and Thenga's tenders</w:t>
      </w:r>
      <w:r w:rsidR="00EC7EE5" w:rsidRPr="005A1E2E">
        <w:rPr>
          <w:rFonts w:ascii="Arial" w:hAnsi="Arial" w:cs="Arial"/>
          <w:szCs w:val="24"/>
        </w:rPr>
        <w:t xml:space="preserve">.  The application of different criteria for different tenderers is inequitable, irrational and unfair.  It is apposite to reiterate the words of caution provided by the Constitutional Court in </w:t>
      </w:r>
      <w:r w:rsidR="005A1E2E" w:rsidRPr="005A1E2E">
        <w:rPr>
          <w:rFonts w:ascii="Arial" w:hAnsi="Arial" w:cs="Arial"/>
          <w:bCs/>
          <w:i/>
          <w:iCs/>
        </w:rPr>
        <w:t xml:space="preserve">Allpay Consolidated Investment Holdings (Pty) Ltd and Others v Chief Executive Officer of South </w:t>
      </w:r>
      <w:r w:rsidR="005A1E2E" w:rsidRPr="005A1E2E">
        <w:rPr>
          <w:rFonts w:ascii="Arial" w:hAnsi="Arial" w:cs="Arial"/>
          <w:bCs/>
          <w:i/>
          <w:iCs/>
        </w:rPr>
        <w:lastRenderedPageBreak/>
        <w:t>African Social Security Agency and Others</w:t>
      </w:r>
      <w:r w:rsidR="005A1E2E" w:rsidRPr="005A1E2E">
        <w:rPr>
          <w:rFonts w:ascii="Arial" w:hAnsi="Arial" w:cs="Arial"/>
          <w:bCs/>
        </w:rPr>
        <w:t xml:space="preserve">; 2014 (4) SA </w:t>
      </w:r>
      <w:r w:rsidR="00496758">
        <w:rPr>
          <w:rFonts w:ascii="Arial" w:hAnsi="Arial" w:cs="Arial"/>
          <w:bCs/>
        </w:rPr>
        <w:t>604</w:t>
      </w:r>
      <w:r w:rsidR="005A1E2E" w:rsidRPr="005A1E2E">
        <w:rPr>
          <w:rFonts w:ascii="Arial" w:hAnsi="Arial" w:cs="Arial"/>
          <w:bCs/>
        </w:rPr>
        <w:t xml:space="preserve"> (CC)</w:t>
      </w:r>
      <w:r w:rsidR="00496758">
        <w:rPr>
          <w:rFonts w:ascii="Arial" w:hAnsi="Arial" w:cs="Arial"/>
          <w:bCs/>
        </w:rPr>
        <w:t xml:space="preserve"> at paragraph [27] where the following was stated</w:t>
      </w:r>
      <w:r w:rsidR="00500AFF">
        <w:rPr>
          <w:rFonts w:ascii="Arial" w:hAnsi="Arial" w:cs="Arial"/>
          <w:bCs/>
        </w:rPr>
        <w:t>:</w:t>
      </w:r>
    </w:p>
    <w:p w14:paraId="08686775" w14:textId="19BAA6E3" w:rsidR="00A615CE" w:rsidRPr="0061019B" w:rsidRDefault="00485D23" w:rsidP="0061019B">
      <w:pPr>
        <w:widowControl/>
        <w:tabs>
          <w:tab w:val="left" w:pos="1701"/>
          <w:tab w:val="left" w:pos="2835"/>
          <w:tab w:val="left" w:pos="3969"/>
          <w:tab w:val="right" w:pos="8222"/>
        </w:tabs>
        <w:autoSpaceDE/>
        <w:autoSpaceDN/>
        <w:adjustRightInd/>
        <w:spacing w:after="240"/>
        <w:ind w:left="1702" w:hanging="851"/>
        <w:jc w:val="both"/>
        <w:rPr>
          <w:rFonts w:ascii="Arial" w:hAnsi="Arial" w:cs="Arial"/>
          <w:i/>
          <w:iCs/>
          <w:szCs w:val="24"/>
        </w:rPr>
      </w:pPr>
      <w:r w:rsidRPr="0061019B">
        <w:rPr>
          <w:rFonts w:ascii="Arial" w:hAnsi="Arial" w:cs="Arial"/>
          <w:i/>
          <w:iCs/>
          <w:szCs w:val="24"/>
        </w:rPr>
        <w:t>"[27]</w:t>
      </w:r>
      <w:r w:rsidRPr="0061019B">
        <w:rPr>
          <w:rFonts w:ascii="Arial" w:hAnsi="Arial" w:cs="Arial"/>
          <w:i/>
          <w:iCs/>
          <w:szCs w:val="24"/>
        </w:rPr>
        <w:tab/>
        <w:t>There is a further consideration.  As Corruption Watch explained, with reference to international authority</w:t>
      </w:r>
      <w:r w:rsidR="0061019B" w:rsidRPr="0061019B">
        <w:rPr>
          <w:rFonts w:ascii="Arial" w:hAnsi="Arial" w:cs="Arial"/>
          <w:i/>
          <w:iCs/>
          <w:szCs w:val="24"/>
        </w:rPr>
        <w:t xml:space="preserve"> and experience, deviations from fair process may themselves all too often be symptoms of corruption or malfeasance in the process.  In other words, an unfair process may betoken a deliberately skewed process.  Hence insistence on compliance with process formalities has a three-fold purpose: (a) it ensures fairness to participants in the bid process; (b) it enhances the likelihood of efficiency and optimality in the outcome; and (c) it serves as a guardian against a process skewed by corrupt influences."</w:t>
      </w:r>
    </w:p>
    <w:p w14:paraId="04D99A80" w14:textId="4CB05F53" w:rsidR="00BC627B"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[44]</w:t>
      </w:r>
      <w:r>
        <w:rPr>
          <w:rFonts w:ascii="Arial" w:hAnsi="Arial" w:cs="Arial"/>
          <w:szCs w:val="24"/>
        </w:rPr>
        <w:tab/>
      </w:r>
      <w:r w:rsidR="00935283" w:rsidRPr="00E74242">
        <w:rPr>
          <w:rFonts w:ascii="Arial" w:hAnsi="Arial" w:cs="Arial"/>
          <w:szCs w:val="24"/>
        </w:rPr>
        <w:t xml:space="preserve"> </w:t>
      </w:r>
      <w:r w:rsidR="0061019B" w:rsidRPr="00E74242">
        <w:rPr>
          <w:rFonts w:ascii="Arial" w:hAnsi="Arial" w:cs="Arial"/>
          <w:szCs w:val="24"/>
        </w:rPr>
        <w:t xml:space="preserve">Having elected not to award </w:t>
      </w:r>
      <w:r w:rsidR="00894BAF" w:rsidRPr="00E74242">
        <w:rPr>
          <w:rFonts w:ascii="Arial" w:hAnsi="Arial" w:cs="Arial"/>
          <w:szCs w:val="24"/>
        </w:rPr>
        <w:t xml:space="preserve">the tender to the applicant as a result of the financial analysis, the failure to conduct a financial analysis in respect of Thenga is inexplicable and disconcerting.  </w:t>
      </w:r>
    </w:p>
    <w:p w14:paraId="104BAF6F" w14:textId="63F86E67" w:rsidR="004242B1"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[45]</w:t>
      </w:r>
      <w:r>
        <w:rPr>
          <w:rFonts w:ascii="Arial" w:hAnsi="Arial" w:cs="Arial"/>
          <w:szCs w:val="24"/>
        </w:rPr>
        <w:tab/>
      </w:r>
      <w:r w:rsidR="004242B1">
        <w:rPr>
          <w:rFonts w:ascii="Arial" w:hAnsi="Arial" w:cs="Arial"/>
          <w:szCs w:val="24"/>
        </w:rPr>
        <w:t>Absent the application of objective criteria the applicant was entitled to be awarded the tender.  It does not appear that the applicant was afforded the opportunity to deal with the recommendations arising out of the financial analysis nor was it given an opportunity to address any risk-mitigating factors.</w:t>
      </w:r>
      <w:r w:rsidR="00EA01B3">
        <w:rPr>
          <w:rFonts w:ascii="Arial" w:hAnsi="Arial" w:cs="Arial"/>
          <w:szCs w:val="24"/>
        </w:rPr>
        <w:t xml:space="preserve">  It is unclear whether any of the risk-mitigating factors</w:t>
      </w:r>
      <w:r w:rsidR="00CD16CF">
        <w:rPr>
          <w:rFonts w:ascii="Arial" w:hAnsi="Arial" w:cs="Arial"/>
          <w:szCs w:val="24"/>
        </w:rPr>
        <w:t xml:space="preserve"> set out in Eskom's Procurement Policy were ever considered.  One would have expected Eskom in these circumstances to have afforded the applicant an opportunity to address its concerns.</w:t>
      </w:r>
      <w:r w:rsidR="00C03412">
        <w:rPr>
          <w:rFonts w:ascii="Arial" w:hAnsi="Arial" w:cs="Arial"/>
          <w:szCs w:val="24"/>
        </w:rPr>
        <w:t xml:space="preserve">  Clause 14.7.9.13 of Eskom's Procurement Policy only envisages </w:t>
      </w:r>
      <w:r w:rsidR="00C946C2">
        <w:rPr>
          <w:rFonts w:ascii="Arial" w:hAnsi="Arial" w:cs="Arial"/>
          <w:szCs w:val="24"/>
        </w:rPr>
        <w:t xml:space="preserve">the awarding of the contract to another supplier in circumstances where the risk could not be mitigated.  </w:t>
      </w:r>
    </w:p>
    <w:p w14:paraId="21CD4354" w14:textId="2E3FE31C" w:rsidR="002317B1"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[46]</w:t>
      </w:r>
      <w:r>
        <w:rPr>
          <w:rFonts w:ascii="Arial" w:hAnsi="Arial" w:cs="Arial"/>
          <w:szCs w:val="24"/>
        </w:rPr>
        <w:tab/>
      </w:r>
      <w:r w:rsidR="002317B1">
        <w:rPr>
          <w:rFonts w:ascii="Arial" w:hAnsi="Arial" w:cs="Arial"/>
          <w:szCs w:val="24"/>
        </w:rPr>
        <w:t>The process and award of the tender to Thenga falls foul of a number of provisions of PAJA, more particularly sections 6(2)(c), (h) and (i).</w:t>
      </w:r>
    </w:p>
    <w:p w14:paraId="13BA557A" w14:textId="264B3513" w:rsidR="00935283"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lastRenderedPageBreak/>
        <w:t>[47]</w:t>
      </w:r>
      <w:r>
        <w:rPr>
          <w:rFonts w:ascii="Arial" w:hAnsi="Arial" w:cs="Arial"/>
          <w:szCs w:val="24"/>
        </w:rPr>
        <w:tab/>
      </w:r>
      <w:r w:rsidR="00894BAF" w:rsidRPr="00E74242">
        <w:rPr>
          <w:rFonts w:ascii="Arial" w:hAnsi="Arial" w:cs="Arial"/>
          <w:szCs w:val="24"/>
        </w:rPr>
        <w:t>I am accordingly satisfied that the award of the tender to the second respondent in these circumstances was irregular and constitutionally invalid.</w:t>
      </w:r>
    </w:p>
    <w:p w14:paraId="6C49F118" w14:textId="5F7E3982" w:rsidR="00E74242" w:rsidRPr="00E74242" w:rsidRDefault="00E74242" w:rsidP="00E74242">
      <w:pPr>
        <w:widowControl/>
        <w:tabs>
          <w:tab w:val="left" w:pos="1701"/>
          <w:tab w:val="left" w:pos="2835"/>
          <w:tab w:val="left" w:pos="3969"/>
          <w:tab w:val="right" w:pos="8222"/>
        </w:tabs>
        <w:autoSpaceDE/>
        <w:autoSpaceDN/>
        <w:adjustRightInd/>
        <w:spacing w:line="480" w:lineRule="auto"/>
        <w:ind w:left="851"/>
        <w:contextualSpacing/>
        <w:jc w:val="both"/>
        <w:rPr>
          <w:rFonts w:ascii="Arial" w:hAnsi="Arial" w:cs="Arial"/>
          <w:b/>
          <w:bCs/>
          <w:szCs w:val="24"/>
        </w:rPr>
      </w:pPr>
      <w:r w:rsidRPr="00E74242">
        <w:rPr>
          <w:rFonts w:ascii="Arial" w:hAnsi="Arial" w:cs="Arial"/>
          <w:b/>
          <w:bCs/>
          <w:szCs w:val="24"/>
        </w:rPr>
        <w:t>Second respondent's bid invalid</w:t>
      </w:r>
    </w:p>
    <w:p w14:paraId="082B6CF7" w14:textId="35A8C2F0" w:rsidR="00E74242"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[48]</w:t>
      </w:r>
      <w:r>
        <w:rPr>
          <w:rFonts w:ascii="Arial" w:hAnsi="Arial" w:cs="Arial"/>
          <w:szCs w:val="24"/>
        </w:rPr>
        <w:tab/>
      </w:r>
      <w:r w:rsidR="00E74242">
        <w:rPr>
          <w:rFonts w:ascii="Arial" w:hAnsi="Arial" w:cs="Arial"/>
          <w:szCs w:val="24"/>
        </w:rPr>
        <w:t>One of the pre-qualification criteria</w:t>
      </w:r>
      <w:r w:rsidR="000930AC">
        <w:rPr>
          <w:rFonts w:ascii="Arial" w:hAnsi="Arial" w:cs="Arial"/>
          <w:szCs w:val="24"/>
        </w:rPr>
        <w:t xml:space="preserve"> of the tender</w:t>
      </w:r>
      <w:r w:rsidR="00E74242">
        <w:rPr>
          <w:rFonts w:ascii="Arial" w:hAnsi="Arial" w:cs="Arial"/>
          <w:szCs w:val="24"/>
        </w:rPr>
        <w:t xml:space="preserve"> was that a tenderer shall subcontract a minimum of 30% of the contract value to </w:t>
      </w:r>
      <w:r w:rsidR="00986208">
        <w:rPr>
          <w:rFonts w:ascii="Arial" w:hAnsi="Arial" w:cs="Arial"/>
          <w:szCs w:val="24"/>
        </w:rPr>
        <w:t>one of the group's designated in the ITT.</w:t>
      </w:r>
    </w:p>
    <w:p w14:paraId="1060E397" w14:textId="43447E29" w:rsidR="00425480" w:rsidRPr="00F46067"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F46067">
        <w:rPr>
          <w:rFonts w:ascii="Arial" w:hAnsi="Arial" w:cs="Arial"/>
          <w:szCs w:val="24"/>
        </w:rPr>
        <w:t>[49]</w:t>
      </w:r>
      <w:r w:rsidRPr="00F46067">
        <w:rPr>
          <w:rFonts w:ascii="Arial" w:hAnsi="Arial" w:cs="Arial"/>
          <w:szCs w:val="24"/>
        </w:rPr>
        <w:tab/>
      </w:r>
      <w:r w:rsidR="00986208" w:rsidRPr="00F46067">
        <w:rPr>
          <w:rFonts w:ascii="Arial" w:hAnsi="Arial" w:cs="Arial"/>
          <w:szCs w:val="24"/>
        </w:rPr>
        <w:t>In its tender, Thenga indicated that it intended to use AWS Pipeline</w:t>
      </w:r>
      <w:r w:rsidR="00F46067" w:rsidRPr="00F46067">
        <w:rPr>
          <w:rFonts w:ascii="Arial" w:hAnsi="Arial" w:cs="Arial"/>
          <w:szCs w:val="24"/>
        </w:rPr>
        <w:t>s</w:t>
      </w:r>
      <w:r w:rsidR="00986208" w:rsidRPr="00F46067">
        <w:rPr>
          <w:rFonts w:ascii="Arial" w:hAnsi="Arial" w:cs="Arial"/>
          <w:szCs w:val="24"/>
        </w:rPr>
        <w:t xml:space="preserve"> as a subcontractor and that AWS Pipeline</w:t>
      </w:r>
      <w:r w:rsidR="00F46067" w:rsidRPr="00F46067">
        <w:rPr>
          <w:rFonts w:ascii="Arial" w:hAnsi="Arial" w:cs="Arial"/>
          <w:szCs w:val="24"/>
        </w:rPr>
        <w:t>s</w:t>
      </w:r>
      <w:r w:rsidR="00986208" w:rsidRPr="00F46067">
        <w:rPr>
          <w:rFonts w:ascii="Arial" w:hAnsi="Arial" w:cs="Arial"/>
          <w:szCs w:val="24"/>
        </w:rPr>
        <w:t xml:space="preserve"> had a </w:t>
      </w:r>
      <w:r w:rsidR="005F1D61" w:rsidRPr="00F46067">
        <w:rPr>
          <w:rFonts w:ascii="Arial" w:hAnsi="Arial" w:cs="Arial"/>
          <w:szCs w:val="24"/>
        </w:rPr>
        <w:t>BBBEE level of 02. Thenga, however, did not indicate as to which group the subcontractor belonged.</w:t>
      </w:r>
      <w:r w:rsidR="00425480" w:rsidRPr="00F46067">
        <w:rPr>
          <w:rFonts w:ascii="Arial" w:hAnsi="Arial" w:cs="Arial"/>
          <w:szCs w:val="24"/>
        </w:rPr>
        <w:t xml:space="preserve"> A copy of the subcontract agreement between Thenga and AWS Pipelines was not included in the Rule 53 record.   It was subsequently attached to Eskom's answering affidavit.</w:t>
      </w:r>
      <w:r w:rsidR="00F46067" w:rsidRPr="00F46067">
        <w:rPr>
          <w:rFonts w:ascii="Arial" w:hAnsi="Arial" w:cs="Arial"/>
          <w:szCs w:val="24"/>
        </w:rPr>
        <w:t xml:space="preserve"> </w:t>
      </w:r>
      <w:r w:rsidR="00425480" w:rsidRPr="00F46067">
        <w:rPr>
          <w:rFonts w:ascii="Arial" w:hAnsi="Arial" w:cs="Arial"/>
          <w:szCs w:val="24"/>
        </w:rPr>
        <w:t xml:space="preserve">From Thenga's tender document it is impossible to determine </w:t>
      </w:r>
      <w:r w:rsidR="00FE73AC">
        <w:rPr>
          <w:rFonts w:ascii="Arial" w:hAnsi="Arial" w:cs="Arial"/>
          <w:szCs w:val="24"/>
        </w:rPr>
        <w:t xml:space="preserve">any </w:t>
      </w:r>
      <w:r w:rsidR="00425480" w:rsidRPr="00F46067">
        <w:rPr>
          <w:rFonts w:ascii="Arial" w:hAnsi="Arial" w:cs="Arial"/>
          <w:szCs w:val="24"/>
        </w:rPr>
        <w:t xml:space="preserve">details relating to the ownership of </w:t>
      </w:r>
      <w:r w:rsidR="00F46067" w:rsidRPr="00F46067">
        <w:rPr>
          <w:rFonts w:ascii="Arial" w:hAnsi="Arial" w:cs="Arial"/>
          <w:szCs w:val="24"/>
        </w:rPr>
        <w:t>AWS Pipelines.</w:t>
      </w:r>
    </w:p>
    <w:p w14:paraId="3070D4A8" w14:textId="351A0BD3" w:rsidR="00F46067"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[50]</w:t>
      </w:r>
      <w:r>
        <w:rPr>
          <w:rFonts w:ascii="Arial" w:hAnsi="Arial" w:cs="Arial"/>
          <w:szCs w:val="24"/>
        </w:rPr>
        <w:tab/>
      </w:r>
      <w:r w:rsidR="00F46067">
        <w:rPr>
          <w:rFonts w:ascii="Arial" w:hAnsi="Arial" w:cs="Arial"/>
          <w:szCs w:val="24"/>
        </w:rPr>
        <w:t xml:space="preserve">In Eskom's answering affidavit it conceded that the non-compliance with the pre-qualification criteria relating to the identity of the designated group </w:t>
      </w:r>
      <w:r w:rsidR="00FE73AC">
        <w:rPr>
          <w:rFonts w:ascii="Arial" w:hAnsi="Arial" w:cs="Arial"/>
          <w:szCs w:val="24"/>
        </w:rPr>
        <w:t xml:space="preserve">of </w:t>
      </w:r>
      <w:r w:rsidR="001D7F54">
        <w:rPr>
          <w:rFonts w:ascii="Arial" w:hAnsi="Arial" w:cs="Arial"/>
          <w:szCs w:val="24"/>
        </w:rPr>
        <w:t xml:space="preserve">the subcontractor, was significant.  Eskom contended that where bidders had included a subcontractor agreement it was assumed that same was compliant with the requirements. </w:t>
      </w:r>
    </w:p>
    <w:p w14:paraId="09C43579" w14:textId="27B3BB02" w:rsidR="001D7F54"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[51]</w:t>
      </w:r>
      <w:r>
        <w:rPr>
          <w:rFonts w:ascii="Arial" w:hAnsi="Arial" w:cs="Arial"/>
          <w:szCs w:val="24"/>
        </w:rPr>
        <w:tab/>
      </w:r>
      <w:r w:rsidR="001D7F54">
        <w:rPr>
          <w:rFonts w:ascii="Arial" w:hAnsi="Arial" w:cs="Arial"/>
          <w:szCs w:val="24"/>
        </w:rPr>
        <w:t xml:space="preserve">It is immediately apparent that neither Thenga's tender document itself nor the subcontract agreement between it and </w:t>
      </w:r>
      <w:r w:rsidR="001D7F54" w:rsidRPr="00986208">
        <w:rPr>
          <w:rFonts w:ascii="Arial" w:hAnsi="Arial" w:cs="Arial"/>
          <w:szCs w:val="24"/>
        </w:rPr>
        <w:t>AWS Pipeline</w:t>
      </w:r>
      <w:r w:rsidR="001D7F54">
        <w:rPr>
          <w:rFonts w:ascii="Arial" w:hAnsi="Arial" w:cs="Arial"/>
          <w:szCs w:val="24"/>
        </w:rPr>
        <w:t>s</w:t>
      </w:r>
      <w:r w:rsidR="008943DB">
        <w:rPr>
          <w:rFonts w:ascii="Arial" w:hAnsi="Arial" w:cs="Arial"/>
          <w:szCs w:val="24"/>
        </w:rPr>
        <w:t xml:space="preserve"> establishes compliance with the pre-qualification criteria.  It is notable that Eskom itself made no attempt to establish whether the pre-qualification criteria had been met.</w:t>
      </w:r>
    </w:p>
    <w:p w14:paraId="26425EEA" w14:textId="7E47E89D" w:rsidR="008943DB"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lastRenderedPageBreak/>
        <w:t>[52]</w:t>
      </w:r>
      <w:r>
        <w:rPr>
          <w:rFonts w:ascii="Arial" w:hAnsi="Arial" w:cs="Arial"/>
          <w:szCs w:val="24"/>
        </w:rPr>
        <w:tab/>
      </w:r>
      <w:r w:rsidR="008943DB">
        <w:rPr>
          <w:rFonts w:ascii="Arial" w:hAnsi="Arial" w:cs="Arial"/>
          <w:szCs w:val="24"/>
        </w:rPr>
        <w:t>In terms of the technical evaluation criteria (functionality) requirements of the tender, tenderers were required to have a CIDB level 8 ME (Construction Industry Development Board) certification and were required to be compliant with ISO 3834.  Valid proof of the tenderer's CIDB grading level</w:t>
      </w:r>
      <w:r w:rsidR="001C745C">
        <w:rPr>
          <w:rFonts w:ascii="Arial" w:hAnsi="Arial" w:cs="Arial"/>
          <w:szCs w:val="24"/>
        </w:rPr>
        <w:t xml:space="preserve"> 8 ME and ISO 3834 were mandatory requirements to perform welding on the Eskom plant.  </w:t>
      </w:r>
    </w:p>
    <w:p w14:paraId="7E61DB54" w14:textId="57CD6927" w:rsidR="001C745C"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[53]</w:t>
      </w:r>
      <w:r>
        <w:rPr>
          <w:rFonts w:ascii="Arial" w:hAnsi="Arial" w:cs="Arial"/>
          <w:szCs w:val="24"/>
        </w:rPr>
        <w:tab/>
      </w:r>
      <w:r w:rsidR="000575CF">
        <w:rPr>
          <w:rFonts w:ascii="Arial" w:hAnsi="Arial" w:cs="Arial"/>
          <w:szCs w:val="24"/>
        </w:rPr>
        <w:t xml:space="preserve">The ITT </w:t>
      </w:r>
      <w:r w:rsidR="000B4A83">
        <w:rPr>
          <w:rFonts w:ascii="Arial" w:hAnsi="Arial" w:cs="Arial"/>
          <w:szCs w:val="24"/>
        </w:rPr>
        <w:t>recorded that only tenderers who were registered with the CIDB</w:t>
      </w:r>
      <w:r w:rsidR="00E94C91">
        <w:rPr>
          <w:rFonts w:ascii="Arial" w:hAnsi="Arial" w:cs="Arial"/>
          <w:szCs w:val="24"/>
        </w:rPr>
        <w:t>,</w:t>
      </w:r>
      <w:r w:rsidR="000B4A83">
        <w:rPr>
          <w:rFonts w:ascii="Arial" w:hAnsi="Arial" w:cs="Arial"/>
          <w:szCs w:val="24"/>
        </w:rPr>
        <w:t xml:space="preserve"> or who were capable of being so registered within 21 working days from the closing date fr</w:t>
      </w:r>
      <w:r w:rsidR="000575CF">
        <w:rPr>
          <w:rFonts w:ascii="Arial" w:hAnsi="Arial" w:cs="Arial"/>
          <w:szCs w:val="24"/>
        </w:rPr>
        <w:t>om</w:t>
      </w:r>
      <w:r w:rsidR="000B4A83">
        <w:rPr>
          <w:rFonts w:ascii="Arial" w:hAnsi="Arial" w:cs="Arial"/>
          <w:szCs w:val="24"/>
        </w:rPr>
        <w:t xml:space="preserve"> submission of tenders</w:t>
      </w:r>
      <w:r w:rsidR="00E94C91">
        <w:rPr>
          <w:rFonts w:ascii="Arial" w:hAnsi="Arial" w:cs="Arial"/>
          <w:szCs w:val="24"/>
        </w:rPr>
        <w:t>,</w:t>
      </w:r>
      <w:r w:rsidR="000B4A83">
        <w:rPr>
          <w:rFonts w:ascii="Arial" w:hAnsi="Arial" w:cs="Arial"/>
          <w:szCs w:val="24"/>
        </w:rPr>
        <w:t xml:space="preserve"> </w:t>
      </w:r>
      <w:r w:rsidR="00DC69AE">
        <w:rPr>
          <w:rFonts w:ascii="Arial" w:hAnsi="Arial" w:cs="Arial"/>
          <w:szCs w:val="24"/>
        </w:rPr>
        <w:t>would be eligible to submit tenders.</w:t>
      </w:r>
    </w:p>
    <w:p w14:paraId="2EC0955B" w14:textId="05ACF8B2" w:rsidR="00DC6562"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[54]</w:t>
      </w:r>
      <w:r>
        <w:rPr>
          <w:rFonts w:ascii="Arial" w:hAnsi="Arial" w:cs="Arial"/>
          <w:szCs w:val="24"/>
        </w:rPr>
        <w:tab/>
      </w:r>
      <w:r w:rsidR="00DC69AE" w:rsidRPr="00DC6562">
        <w:rPr>
          <w:rFonts w:ascii="Arial" w:hAnsi="Arial" w:cs="Arial"/>
          <w:szCs w:val="24"/>
        </w:rPr>
        <w:t xml:space="preserve">It is common cause that Thenga did not submit proof of </w:t>
      </w:r>
      <w:r w:rsidR="004409D5">
        <w:rPr>
          <w:rFonts w:ascii="Arial" w:hAnsi="Arial" w:cs="Arial"/>
          <w:szCs w:val="24"/>
        </w:rPr>
        <w:t xml:space="preserve">its </w:t>
      </w:r>
      <w:r w:rsidR="00DC69AE" w:rsidRPr="00DC6562">
        <w:rPr>
          <w:rFonts w:ascii="Arial" w:hAnsi="Arial" w:cs="Arial"/>
          <w:szCs w:val="24"/>
        </w:rPr>
        <w:t>ISO 3834</w:t>
      </w:r>
      <w:r w:rsidR="00DC6562" w:rsidRPr="00DC6562">
        <w:rPr>
          <w:rFonts w:ascii="Arial" w:hAnsi="Arial" w:cs="Arial"/>
          <w:szCs w:val="24"/>
        </w:rPr>
        <w:t xml:space="preserve"> </w:t>
      </w:r>
      <w:r w:rsidR="00C12C8D">
        <w:rPr>
          <w:rFonts w:ascii="Arial" w:hAnsi="Arial" w:cs="Arial"/>
          <w:szCs w:val="24"/>
        </w:rPr>
        <w:t>certificat</w:t>
      </w:r>
      <w:r w:rsidR="005218B7">
        <w:rPr>
          <w:rFonts w:ascii="Arial" w:hAnsi="Arial" w:cs="Arial"/>
          <w:szCs w:val="24"/>
        </w:rPr>
        <w:t>ion</w:t>
      </w:r>
      <w:r w:rsidR="002362A8">
        <w:rPr>
          <w:rFonts w:ascii="Arial" w:hAnsi="Arial" w:cs="Arial"/>
          <w:szCs w:val="24"/>
        </w:rPr>
        <w:t>. I</w:t>
      </w:r>
      <w:r w:rsidR="00DC6562" w:rsidRPr="00DC6562">
        <w:rPr>
          <w:rFonts w:ascii="Arial" w:hAnsi="Arial" w:cs="Arial"/>
          <w:szCs w:val="24"/>
        </w:rPr>
        <w:t xml:space="preserve">t was </w:t>
      </w:r>
      <w:r w:rsidR="002362A8">
        <w:rPr>
          <w:rFonts w:ascii="Arial" w:hAnsi="Arial" w:cs="Arial"/>
          <w:szCs w:val="24"/>
        </w:rPr>
        <w:t xml:space="preserve">Thenga's </w:t>
      </w:r>
      <w:r w:rsidR="00DC6562" w:rsidRPr="00DC6562">
        <w:rPr>
          <w:rFonts w:ascii="Arial" w:hAnsi="Arial" w:cs="Arial"/>
          <w:szCs w:val="24"/>
        </w:rPr>
        <w:t xml:space="preserve">intention to sub-contract all welding-related work to AWS Pipelines.  From the documentation attached to Thenga's answering affidavit, it appears that AWS Pipelines ISO 3834 certification had been renewed until 2023. </w:t>
      </w:r>
      <w:r w:rsidR="00DC6562">
        <w:rPr>
          <w:rFonts w:ascii="Arial" w:hAnsi="Arial" w:cs="Arial"/>
          <w:szCs w:val="24"/>
        </w:rPr>
        <w:t xml:space="preserve"> </w:t>
      </w:r>
    </w:p>
    <w:p w14:paraId="65A6E9A4" w14:textId="119113B0" w:rsidR="00DC69AE"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[55]</w:t>
      </w:r>
      <w:r>
        <w:rPr>
          <w:rFonts w:ascii="Arial" w:hAnsi="Arial" w:cs="Arial"/>
          <w:szCs w:val="24"/>
        </w:rPr>
        <w:tab/>
      </w:r>
      <w:r w:rsidR="00DC6562">
        <w:rPr>
          <w:rFonts w:ascii="Arial" w:hAnsi="Arial" w:cs="Arial"/>
          <w:szCs w:val="24"/>
        </w:rPr>
        <w:t xml:space="preserve">From the affidavits and Rule 53 record it is difficult to determine what documents were submitted by Thenga to Eskom in this regard.  In its answering affidavit Eskom suggests that the required </w:t>
      </w:r>
      <w:r w:rsidR="000C0143">
        <w:rPr>
          <w:rFonts w:ascii="Arial" w:hAnsi="Arial" w:cs="Arial"/>
          <w:szCs w:val="24"/>
        </w:rPr>
        <w:t>ISO</w:t>
      </w:r>
      <w:r w:rsidR="009E3BD9">
        <w:rPr>
          <w:rFonts w:ascii="Arial" w:hAnsi="Arial" w:cs="Arial"/>
          <w:szCs w:val="24"/>
        </w:rPr>
        <w:t xml:space="preserve"> </w:t>
      </w:r>
      <w:r w:rsidR="00DC6562">
        <w:rPr>
          <w:rFonts w:ascii="Arial" w:hAnsi="Arial" w:cs="Arial"/>
          <w:szCs w:val="24"/>
        </w:rPr>
        <w:t xml:space="preserve">certificate </w:t>
      </w:r>
      <w:r w:rsidR="009E3BD9">
        <w:rPr>
          <w:rFonts w:ascii="Arial" w:hAnsi="Arial" w:cs="Arial"/>
          <w:szCs w:val="24"/>
        </w:rPr>
        <w:t xml:space="preserve">had been </w:t>
      </w:r>
      <w:r w:rsidR="00DC6562">
        <w:rPr>
          <w:rFonts w:ascii="Arial" w:hAnsi="Arial" w:cs="Arial"/>
          <w:szCs w:val="24"/>
        </w:rPr>
        <w:t xml:space="preserve">submitted to it </w:t>
      </w:r>
      <w:r w:rsidR="009D604E">
        <w:rPr>
          <w:rFonts w:ascii="Arial" w:hAnsi="Arial" w:cs="Arial"/>
          <w:szCs w:val="24"/>
        </w:rPr>
        <w:t xml:space="preserve">but </w:t>
      </w:r>
      <w:r w:rsidR="00DC6562">
        <w:rPr>
          <w:rFonts w:ascii="Arial" w:hAnsi="Arial" w:cs="Arial"/>
          <w:szCs w:val="24"/>
        </w:rPr>
        <w:t xml:space="preserve">could not </w:t>
      </w:r>
      <w:r w:rsidR="009E3BD9">
        <w:rPr>
          <w:rFonts w:ascii="Arial" w:hAnsi="Arial" w:cs="Arial"/>
          <w:szCs w:val="24"/>
        </w:rPr>
        <w:t xml:space="preserve">be </w:t>
      </w:r>
      <w:r w:rsidR="00DC6562">
        <w:rPr>
          <w:rFonts w:ascii="Arial" w:hAnsi="Arial" w:cs="Arial"/>
          <w:szCs w:val="24"/>
        </w:rPr>
        <w:t>locate</w:t>
      </w:r>
      <w:r w:rsidR="009E3BD9">
        <w:rPr>
          <w:rFonts w:ascii="Arial" w:hAnsi="Arial" w:cs="Arial"/>
          <w:szCs w:val="24"/>
        </w:rPr>
        <w:t>d</w:t>
      </w:r>
      <w:r w:rsidR="00DC6562">
        <w:rPr>
          <w:rFonts w:ascii="Arial" w:hAnsi="Arial" w:cs="Arial"/>
          <w:szCs w:val="24"/>
        </w:rPr>
        <w:t>.   Th</w:t>
      </w:r>
      <w:r w:rsidR="009E3BD9">
        <w:rPr>
          <w:rFonts w:ascii="Arial" w:hAnsi="Arial" w:cs="Arial"/>
          <w:szCs w:val="24"/>
        </w:rPr>
        <w:t xml:space="preserve">is, however, was untrue. </w:t>
      </w:r>
      <w:r w:rsidR="00595367">
        <w:rPr>
          <w:rFonts w:ascii="Arial" w:hAnsi="Arial" w:cs="Arial"/>
          <w:szCs w:val="24"/>
        </w:rPr>
        <w:t xml:space="preserve"> No ISO certificate had been issued to Thenga </w:t>
      </w:r>
      <w:r w:rsidR="003A398E">
        <w:rPr>
          <w:rFonts w:ascii="Arial" w:hAnsi="Arial" w:cs="Arial"/>
          <w:szCs w:val="24"/>
        </w:rPr>
        <w:t>in 2020.</w:t>
      </w:r>
    </w:p>
    <w:p w14:paraId="2214D0A6" w14:textId="4169C400" w:rsidR="003A398E"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[56]</w:t>
      </w:r>
      <w:r>
        <w:rPr>
          <w:rFonts w:ascii="Arial" w:hAnsi="Arial" w:cs="Arial"/>
          <w:szCs w:val="24"/>
        </w:rPr>
        <w:tab/>
      </w:r>
      <w:r w:rsidR="003A398E">
        <w:rPr>
          <w:rFonts w:ascii="Arial" w:hAnsi="Arial" w:cs="Arial"/>
          <w:szCs w:val="24"/>
        </w:rPr>
        <w:t>It also transpired that the CIBD registration certificate of AWS Pipelines had expired in 2013.</w:t>
      </w:r>
    </w:p>
    <w:p w14:paraId="6B663DB7" w14:textId="35BD7CCE" w:rsidR="003A398E"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[57]</w:t>
      </w:r>
      <w:r>
        <w:rPr>
          <w:rFonts w:ascii="Arial" w:hAnsi="Arial" w:cs="Arial"/>
          <w:szCs w:val="24"/>
        </w:rPr>
        <w:tab/>
      </w:r>
      <w:r w:rsidR="003A398E">
        <w:rPr>
          <w:rFonts w:ascii="Arial" w:hAnsi="Arial" w:cs="Arial"/>
          <w:szCs w:val="24"/>
        </w:rPr>
        <w:t xml:space="preserve">The failure on the part of Thenga to </w:t>
      </w:r>
      <w:r w:rsidR="000B4056">
        <w:rPr>
          <w:rFonts w:ascii="Arial" w:hAnsi="Arial" w:cs="Arial"/>
          <w:szCs w:val="24"/>
        </w:rPr>
        <w:t xml:space="preserve">submit the mandatory returnables </w:t>
      </w:r>
      <w:r w:rsidR="003434AD">
        <w:rPr>
          <w:rFonts w:ascii="Arial" w:hAnsi="Arial" w:cs="Arial"/>
          <w:szCs w:val="24"/>
        </w:rPr>
        <w:t>in terms of para 3</w:t>
      </w:r>
      <w:r w:rsidR="00187F41">
        <w:rPr>
          <w:rFonts w:ascii="Arial" w:hAnsi="Arial" w:cs="Arial"/>
          <w:szCs w:val="24"/>
        </w:rPr>
        <w:t>.</w:t>
      </w:r>
      <w:r w:rsidR="003434AD">
        <w:rPr>
          <w:rFonts w:ascii="Arial" w:hAnsi="Arial" w:cs="Arial"/>
          <w:szCs w:val="24"/>
        </w:rPr>
        <w:t xml:space="preserve">12 of the ITT </w:t>
      </w:r>
      <w:r w:rsidR="000B4056">
        <w:rPr>
          <w:rFonts w:ascii="Arial" w:hAnsi="Arial" w:cs="Arial"/>
          <w:szCs w:val="24"/>
        </w:rPr>
        <w:t xml:space="preserve">should </w:t>
      </w:r>
      <w:r w:rsidR="00376862">
        <w:rPr>
          <w:rFonts w:ascii="Arial" w:hAnsi="Arial" w:cs="Arial"/>
          <w:szCs w:val="24"/>
        </w:rPr>
        <w:t xml:space="preserve">have disqualified it and eliminated it from further evaluation. </w:t>
      </w:r>
    </w:p>
    <w:p w14:paraId="7C7DE155" w14:textId="14344EBE" w:rsidR="007A3626"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lastRenderedPageBreak/>
        <w:t>[58]</w:t>
      </w:r>
      <w:r>
        <w:rPr>
          <w:rFonts w:ascii="Arial" w:hAnsi="Arial" w:cs="Arial"/>
          <w:szCs w:val="24"/>
        </w:rPr>
        <w:tab/>
      </w:r>
      <w:r w:rsidR="007A3626">
        <w:rPr>
          <w:rFonts w:ascii="Arial" w:hAnsi="Arial" w:cs="Arial"/>
          <w:szCs w:val="24"/>
        </w:rPr>
        <w:t>Non-compliance with the peremptory req</w:t>
      </w:r>
      <w:r w:rsidR="008A7075">
        <w:rPr>
          <w:rFonts w:ascii="Arial" w:hAnsi="Arial" w:cs="Arial"/>
          <w:szCs w:val="24"/>
        </w:rPr>
        <w:t xml:space="preserve">uirements of the tender cannot be condoned. (See </w:t>
      </w:r>
      <w:r w:rsidR="008A7075" w:rsidRPr="00EA2F18">
        <w:rPr>
          <w:rFonts w:ascii="Arial" w:hAnsi="Arial" w:cs="Arial"/>
          <w:i/>
          <w:iCs/>
          <w:szCs w:val="24"/>
        </w:rPr>
        <w:t>D</w:t>
      </w:r>
      <w:r w:rsidR="00D61339">
        <w:rPr>
          <w:rFonts w:ascii="Arial" w:hAnsi="Arial" w:cs="Arial"/>
          <w:i/>
          <w:iCs/>
          <w:szCs w:val="24"/>
        </w:rPr>
        <w:t>r</w:t>
      </w:r>
      <w:r w:rsidR="008A7075" w:rsidRPr="00EA2F18">
        <w:rPr>
          <w:rFonts w:ascii="Arial" w:hAnsi="Arial" w:cs="Arial"/>
          <w:i/>
          <w:iCs/>
          <w:szCs w:val="24"/>
        </w:rPr>
        <w:t xml:space="preserve"> J S Moroka Municipality and Others v </w:t>
      </w:r>
      <w:r w:rsidR="00EA2F18" w:rsidRPr="00EA2F18">
        <w:rPr>
          <w:rFonts w:ascii="Arial" w:hAnsi="Arial" w:cs="Arial"/>
          <w:i/>
          <w:iCs/>
          <w:szCs w:val="24"/>
        </w:rPr>
        <w:t>Bertram (Pty) Ltd and Another</w:t>
      </w:r>
      <w:r w:rsidR="00EA2F18">
        <w:rPr>
          <w:rFonts w:ascii="Arial" w:hAnsi="Arial" w:cs="Arial"/>
          <w:szCs w:val="24"/>
        </w:rPr>
        <w:t xml:space="preserve"> 2014 (1) All SA 545 (SCA) and </w:t>
      </w:r>
      <w:r w:rsidR="00EA2F18" w:rsidRPr="00EA2F18">
        <w:rPr>
          <w:rFonts w:ascii="Arial" w:hAnsi="Arial" w:cs="Arial"/>
          <w:i/>
          <w:iCs/>
          <w:szCs w:val="24"/>
        </w:rPr>
        <w:t>Minister of Environmental Affairs and Tourism and Others v Pepper Bay Fishing</w:t>
      </w:r>
      <w:r w:rsidR="00EA2F18">
        <w:rPr>
          <w:rFonts w:ascii="Arial" w:hAnsi="Arial" w:cs="Arial"/>
          <w:szCs w:val="24"/>
        </w:rPr>
        <w:t xml:space="preserve"> 2004 (1) SA 308 (SCA)).</w:t>
      </w:r>
    </w:p>
    <w:p w14:paraId="1D66BF7B" w14:textId="5B3B7CEC" w:rsidR="002317B1" w:rsidRPr="002317B1"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b/>
          <w:bCs/>
          <w:szCs w:val="24"/>
        </w:rPr>
      </w:pPr>
      <w:r w:rsidRPr="002317B1">
        <w:rPr>
          <w:rFonts w:ascii="Arial" w:hAnsi="Arial" w:cs="Arial"/>
          <w:bCs/>
          <w:szCs w:val="24"/>
        </w:rPr>
        <w:t>[59]</w:t>
      </w:r>
      <w:r w:rsidRPr="002317B1">
        <w:rPr>
          <w:rFonts w:ascii="Arial" w:hAnsi="Arial" w:cs="Arial"/>
          <w:bCs/>
          <w:szCs w:val="24"/>
        </w:rPr>
        <w:tab/>
      </w:r>
      <w:r w:rsidR="00165E10" w:rsidRPr="003B1A82">
        <w:rPr>
          <w:rFonts w:ascii="Arial" w:hAnsi="Arial" w:cs="Arial"/>
          <w:szCs w:val="24"/>
        </w:rPr>
        <w:t xml:space="preserve">The </w:t>
      </w:r>
      <w:r w:rsidR="009D3172">
        <w:rPr>
          <w:rFonts w:ascii="Arial" w:hAnsi="Arial" w:cs="Arial"/>
          <w:szCs w:val="24"/>
        </w:rPr>
        <w:t xml:space="preserve">conduct of awarding the tender to Thenga in the absence of it having complied with the pre-qualification </w:t>
      </w:r>
      <w:r w:rsidR="001E2CEC">
        <w:rPr>
          <w:rFonts w:ascii="Arial" w:hAnsi="Arial" w:cs="Arial"/>
          <w:szCs w:val="24"/>
        </w:rPr>
        <w:t>criteria renders the award reviewable under section 6(2)(b), (c) and (i) of PAJA.</w:t>
      </w:r>
      <w:r w:rsidR="002317B1">
        <w:rPr>
          <w:rFonts w:ascii="Arial" w:hAnsi="Arial" w:cs="Arial"/>
          <w:szCs w:val="24"/>
        </w:rPr>
        <w:t xml:space="preserve"> </w:t>
      </w:r>
    </w:p>
    <w:p w14:paraId="0008200E" w14:textId="052FFF6E" w:rsidR="00EA2F18" w:rsidRPr="003B1A82" w:rsidRDefault="00EA2F18" w:rsidP="00563763">
      <w:pPr>
        <w:widowControl/>
        <w:tabs>
          <w:tab w:val="left" w:pos="1701"/>
          <w:tab w:val="left" w:pos="2835"/>
          <w:tab w:val="left" w:pos="3969"/>
          <w:tab w:val="right" w:pos="8222"/>
        </w:tabs>
        <w:autoSpaceDE/>
        <w:autoSpaceDN/>
        <w:adjustRightInd/>
        <w:spacing w:line="480" w:lineRule="auto"/>
        <w:ind w:left="851"/>
        <w:contextualSpacing/>
        <w:jc w:val="both"/>
        <w:rPr>
          <w:rFonts w:ascii="Arial" w:hAnsi="Arial" w:cs="Arial"/>
          <w:b/>
          <w:bCs/>
          <w:szCs w:val="24"/>
        </w:rPr>
      </w:pPr>
      <w:r w:rsidRPr="003B1A82">
        <w:rPr>
          <w:rFonts w:ascii="Arial" w:hAnsi="Arial" w:cs="Arial"/>
          <w:b/>
          <w:bCs/>
          <w:szCs w:val="24"/>
        </w:rPr>
        <w:t xml:space="preserve">Remedy </w:t>
      </w:r>
    </w:p>
    <w:p w14:paraId="70FDA808" w14:textId="442504F1" w:rsidR="00376862"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[60]</w:t>
      </w:r>
      <w:r>
        <w:rPr>
          <w:rFonts w:ascii="Arial" w:hAnsi="Arial" w:cs="Arial"/>
          <w:szCs w:val="24"/>
        </w:rPr>
        <w:tab/>
      </w:r>
      <w:r w:rsidR="00A76345">
        <w:rPr>
          <w:rFonts w:ascii="Arial" w:hAnsi="Arial" w:cs="Arial"/>
          <w:szCs w:val="24"/>
        </w:rPr>
        <w:t xml:space="preserve">Section </w:t>
      </w:r>
      <w:r w:rsidR="001A3B71">
        <w:rPr>
          <w:rFonts w:ascii="Arial" w:hAnsi="Arial" w:cs="Arial"/>
          <w:szCs w:val="24"/>
        </w:rPr>
        <w:t xml:space="preserve">8 of PAJA vests a court with a wide equitable </w:t>
      </w:r>
      <w:r w:rsidR="00600DA9">
        <w:rPr>
          <w:rFonts w:ascii="Arial" w:hAnsi="Arial" w:cs="Arial"/>
          <w:szCs w:val="24"/>
        </w:rPr>
        <w:t xml:space="preserve">discretion in proceedings for judicial review.  Orders which may be granted include – </w:t>
      </w:r>
    </w:p>
    <w:p w14:paraId="5F90831F" w14:textId="0BD2B943" w:rsidR="00600DA9" w:rsidRPr="00F14AA6" w:rsidRDefault="00115E63" w:rsidP="001C73B1">
      <w:pPr>
        <w:widowControl/>
        <w:tabs>
          <w:tab w:val="left" w:pos="1701"/>
          <w:tab w:val="left" w:pos="2835"/>
          <w:tab w:val="left" w:pos="3969"/>
          <w:tab w:val="right" w:pos="8222"/>
        </w:tabs>
        <w:autoSpaceDE/>
        <w:autoSpaceDN/>
        <w:adjustRightInd/>
        <w:spacing w:after="120"/>
        <w:ind w:left="851"/>
        <w:jc w:val="both"/>
        <w:rPr>
          <w:rFonts w:ascii="Arial" w:hAnsi="Arial" w:cs="Arial"/>
          <w:i/>
          <w:iCs/>
          <w:szCs w:val="24"/>
        </w:rPr>
      </w:pPr>
      <w:r w:rsidRPr="00F14AA6">
        <w:rPr>
          <w:rFonts w:ascii="Arial" w:hAnsi="Arial" w:cs="Arial"/>
          <w:i/>
          <w:iCs/>
          <w:szCs w:val="24"/>
        </w:rPr>
        <w:t>"(c)</w:t>
      </w:r>
      <w:r w:rsidRPr="00F14AA6">
        <w:rPr>
          <w:rFonts w:ascii="Arial" w:hAnsi="Arial" w:cs="Arial"/>
          <w:i/>
          <w:iCs/>
          <w:szCs w:val="24"/>
        </w:rPr>
        <w:tab/>
      </w:r>
      <w:r w:rsidR="00D93405" w:rsidRPr="00F14AA6">
        <w:rPr>
          <w:rFonts w:ascii="Arial" w:hAnsi="Arial" w:cs="Arial"/>
          <w:i/>
          <w:iCs/>
          <w:szCs w:val="24"/>
        </w:rPr>
        <w:t xml:space="preserve">setting aside </w:t>
      </w:r>
      <w:r w:rsidR="00B33798" w:rsidRPr="00F14AA6">
        <w:rPr>
          <w:rFonts w:ascii="Arial" w:hAnsi="Arial" w:cs="Arial"/>
          <w:i/>
          <w:iCs/>
          <w:szCs w:val="24"/>
        </w:rPr>
        <w:t xml:space="preserve">the administrative action; and </w:t>
      </w:r>
      <w:r w:rsidR="001C73B1" w:rsidRPr="00F14AA6">
        <w:rPr>
          <w:rFonts w:ascii="Arial" w:hAnsi="Arial" w:cs="Arial"/>
          <w:i/>
          <w:iCs/>
          <w:szCs w:val="24"/>
        </w:rPr>
        <w:t>–</w:t>
      </w:r>
      <w:r w:rsidRPr="00F14AA6">
        <w:rPr>
          <w:rFonts w:ascii="Arial" w:hAnsi="Arial" w:cs="Arial"/>
          <w:i/>
          <w:iCs/>
          <w:szCs w:val="24"/>
        </w:rPr>
        <w:t xml:space="preserve"> </w:t>
      </w:r>
    </w:p>
    <w:p w14:paraId="4C1E2CE8" w14:textId="1E628214" w:rsidR="008943DB" w:rsidRPr="00F14AA6" w:rsidRDefault="000A48F3" w:rsidP="000A48F3">
      <w:pPr>
        <w:widowControl/>
        <w:tabs>
          <w:tab w:val="left" w:pos="2268"/>
          <w:tab w:val="left" w:pos="2835"/>
          <w:tab w:val="left" w:pos="3969"/>
          <w:tab w:val="right" w:pos="8222"/>
        </w:tabs>
        <w:autoSpaceDE/>
        <w:autoSpaceDN/>
        <w:adjustRightInd/>
        <w:spacing w:after="240"/>
        <w:ind w:left="2268" w:hanging="561"/>
        <w:jc w:val="both"/>
        <w:rPr>
          <w:rFonts w:ascii="Arial" w:hAnsi="Arial" w:cs="Arial"/>
          <w:i/>
          <w:iCs/>
          <w:szCs w:val="24"/>
        </w:rPr>
      </w:pPr>
      <w:r w:rsidRPr="00F14AA6">
        <w:rPr>
          <w:rFonts w:ascii="Arial" w:hAnsi="Arial" w:cs="Arial"/>
          <w:i/>
          <w:iCs/>
          <w:szCs w:val="24"/>
        </w:rPr>
        <w:t>1.</w:t>
      </w:r>
      <w:r w:rsidRPr="00F14AA6">
        <w:rPr>
          <w:rFonts w:ascii="Arial" w:hAnsi="Arial" w:cs="Arial"/>
          <w:i/>
          <w:iCs/>
          <w:szCs w:val="24"/>
        </w:rPr>
        <w:tab/>
      </w:r>
      <w:r w:rsidR="001C73B1" w:rsidRPr="00F14AA6">
        <w:rPr>
          <w:rFonts w:ascii="Arial" w:hAnsi="Arial" w:cs="Arial"/>
          <w:i/>
          <w:iCs/>
          <w:szCs w:val="24"/>
        </w:rPr>
        <w:t>remitting the matter for reconsideration by the Administrator with or without directions.</w:t>
      </w:r>
      <w:r w:rsidR="00F14AA6" w:rsidRPr="00F14AA6">
        <w:rPr>
          <w:rFonts w:ascii="Arial" w:hAnsi="Arial" w:cs="Arial"/>
          <w:i/>
          <w:iCs/>
          <w:szCs w:val="24"/>
        </w:rPr>
        <w:t>"</w:t>
      </w:r>
    </w:p>
    <w:p w14:paraId="7AA446E5" w14:textId="4AB860B3" w:rsidR="008943DB" w:rsidRPr="00511805"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sidRPr="00511805">
        <w:rPr>
          <w:rFonts w:ascii="Arial" w:hAnsi="Arial" w:cs="Arial"/>
          <w:szCs w:val="24"/>
        </w:rPr>
        <w:t>[61]</w:t>
      </w:r>
      <w:r w:rsidRPr="00511805">
        <w:rPr>
          <w:rFonts w:ascii="Arial" w:hAnsi="Arial" w:cs="Arial"/>
          <w:szCs w:val="24"/>
        </w:rPr>
        <w:tab/>
      </w:r>
      <w:r w:rsidR="00511805" w:rsidRPr="00511805">
        <w:rPr>
          <w:rFonts w:ascii="Arial" w:hAnsi="Arial" w:cs="Arial"/>
          <w:szCs w:val="24"/>
        </w:rPr>
        <w:t xml:space="preserve">In </w:t>
      </w:r>
      <w:r w:rsidR="00511805" w:rsidRPr="00511805">
        <w:rPr>
          <w:rFonts w:ascii="Arial" w:hAnsi="Arial" w:cs="Arial"/>
          <w:i/>
          <w:iCs/>
          <w:szCs w:val="24"/>
        </w:rPr>
        <w:t xml:space="preserve">Allpay </w:t>
      </w:r>
      <w:r w:rsidR="00511805" w:rsidRPr="00511805">
        <w:rPr>
          <w:rFonts w:ascii="Arial" w:hAnsi="Arial" w:cs="Arial"/>
          <w:bCs/>
          <w:i/>
          <w:iCs/>
        </w:rPr>
        <w:t>Consolidated Investment Holdings (Pty) Ltd and Others v Chief Executive Officer</w:t>
      </w:r>
      <w:r w:rsidR="00511805">
        <w:rPr>
          <w:rFonts w:ascii="Arial" w:hAnsi="Arial" w:cs="Arial"/>
          <w:bCs/>
          <w:i/>
          <w:iCs/>
        </w:rPr>
        <w:t xml:space="preserve">, </w:t>
      </w:r>
      <w:r w:rsidR="00511805" w:rsidRPr="00511805">
        <w:rPr>
          <w:rFonts w:ascii="Arial" w:hAnsi="Arial" w:cs="Arial"/>
          <w:bCs/>
          <w:i/>
          <w:iCs/>
        </w:rPr>
        <w:t>South African Social Security Agency and Others</w:t>
      </w:r>
      <w:r w:rsidR="00511805" w:rsidRPr="00511805">
        <w:rPr>
          <w:rFonts w:ascii="Arial" w:hAnsi="Arial" w:cs="Arial"/>
          <w:bCs/>
        </w:rPr>
        <w:t xml:space="preserve"> 2014 (</w:t>
      </w:r>
      <w:r w:rsidR="00511805">
        <w:rPr>
          <w:rFonts w:ascii="Arial" w:hAnsi="Arial" w:cs="Arial"/>
          <w:bCs/>
        </w:rPr>
        <w:t>1</w:t>
      </w:r>
      <w:r w:rsidR="00511805" w:rsidRPr="00511805">
        <w:rPr>
          <w:rFonts w:ascii="Arial" w:hAnsi="Arial" w:cs="Arial"/>
          <w:bCs/>
        </w:rPr>
        <w:t xml:space="preserve">) SA </w:t>
      </w:r>
      <w:r w:rsidR="00511805">
        <w:rPr>
          <w:rFonts w:ascii="Arial" w:hAnsi="Arial" w:cs="Arial"/>
          <w:bCs/>
        </w:rPr>
        <w:t xml:space="preserve">604 </w:t>
      </w:r>
      <w:r w:rsidR="00511805" w:rsidRPr="00511805">
        <w:rPr>
          <w:rFonts w:ascii="Arial" w:hAnsi="Arial" w:cs="Arial"/>
          <w:bCs/>
        </w:rPr>
        <w:t>(CC)</w:t>
      </w:r>
      <w:r w:rsidR="00511805">
        <w:rPr>
          <w:rFonts w:ascii="Arial" w:hAnsi="Arial" w:cs="Arial"/>
          <w:bCs/>
        </w:rPr>
        <w:t xml:space="preserve"> at paragraph [56] the Court described the approach to remedy as follows:</w:t>
      </w:r>
    </w:p>
    <w:p w14:paraId="7C85B33F" w14:textId="0B20F6FB" w:rsidR="00511805" w:rsidRPr="0091624A" w:rsidRDefault="00511805" w:rsidP="000F0ABD">
      <w:pPr>
        <w:widowControl/>
        <w:tabs>
          <w:tab w:val="left" w:pos="851"/>
          <w:tab w:val="left" w:pos="1701"/>
          <w:tab w:val="left" w:pos="2835"/>
          <w:tab w:val="left" w:pos="3969"/>
          <w:tab w:val="right" w:pos="8222"/>
        </w:tabs>
        <w:autoSpaceDE/>
        <w:autoSpaceDN/>
        <w:adjustRightInd/>
        <w:ind w:left="851"/>
        <w:contextualSpacing/>
        <w:jc w:val="both"/>
        <w:rPr>
          <w:rFonts w:ascii="Arial" w:hAnsi="Arial" w:cs="Arial"/>
          <w:bCs/>
          <w:i/>
          <w:iCs/>
        </w:rPr>
      </w:pPr>
      <w:r w:rsidRPr="0091624A">
        <w:rPr>
          <w:rFonts w:ascii="Arial" w:hAnsi="Arial" w:cs="Arial"/>
          <w:bCs/>
          <w:i/>
          <w:iCs/>
        </w:rPr>
        <w:t xml:space="preserve">"Once a finding of invalidity under PAJA review grounds is made, the affected decision or conduct must be declared unlawful and a just and equitable order must be made.  It is </w:t>
      </w:r>
      <w:r w:rsidR="000F0ABD" w:rsidRPr="0091624A">
        <w:rPr>
          <w:rFonts w:ascii="Arial" w:hAnsi="Arial" w:cs="Arial"/>
          <w:bCs/>
          <w:i/>
          <w:iCs/>
        </w:rPr>
        <w:t>at that stage that the possible inevitability of a similar outcome, if the decision is retaken, may be one of the factors that will have to be considered</w:t>
      </w:r>
      <w:r w:rsidR="0091624A" w:rsidRPr="0091624A">
        <w:rPr>
          <w:rFonts w:ascii="Arial" w:hAnsi="Arial" w:cs="Arial"/>
          <w:bCs/>
          <w:i/>
          <w:iCs/>
        </w:rPr>
        <w:t>.  Any contract that flows from the constitutional and statutory procurement framework is concluded not on the state entity's behalf, but on the public's behalf.  The interests of those [the public] most closely associated with the benefits of that contract must be given due weight."</w:t>
      </w:r>
    </w:p>
    <w:p w14:paraId="0F67EB1B" w14:textId="77777777" w:rsidR="0091624A" w:rsidRDefault="0091624A" w:rsidP="000F0ABD">
      <w:pPr>
        <w:widowControl/>
        <w:tabs>
          <w:tab w:val="left" w:pos="851"/>
          <w:tab w:val="left" w:pos="1701"/>
          <w:tab w:val="left" w:pos="2835"/>
          <w:tab w:val="left" w:pos="3969"/>
          <w:tab w:val="right" w:pos="8222"/>
        </w:tabs>
        <w:autoSpaceDE/>
        <w:autoSpaceDN/>
        <w:adjustRightInd/>
        <w:ind w:left="851"/>
        <w:contextualSpacing/>
        <w:jc w:val="both"/>
        <w:rPr>
          <w:rFonts w:ascii="Arial" w:hAnsi="Arial" w:cs="Arial"/>
          <w:bCs/>
        </w:rPr>
      </w:pPr>
    </w:p>
    <w:p w14:paraId="6E6DDC0B" w14:textId="3F340BE0" w:rsidR="00935283"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[62]</w:t>
      </w:r>
      <w:r>
        <w:rPr>
          <w:rFonts w:ascii="Arial" w:hAnsi="Arial" w:cs="Arial"/>
          <w:szCs w:val="24"/>
        </w:rPr>
        <w:tab/>
      </w:r>
      <w:r w:rsidR="0091624A">
        <w:rPr>
          <w:rFonts w:ascii="Arial" w:hAnsi="Arial" w:cs="Arial"/>
          <w:szCs w:val="24"/>
        </w:rPr>
        <w:t xml:space="preserve">There are no </w:t>
      </w:r>
      <w:r w:rsidR="00EF4CF4">
        <w:rPr>
          <w:rFonts w:ascii="Arial" w:hAnsi="Arial" w:cs="Arial"/>
          <w:szCs w:val="24"/>
        </w:rPr>
        <w:t xml:space="preserve">exceptional circumstances warranting a substitution or variation of the tender award by this Court.  I am satisfied that the appropriate relief would be to set aside the administrative action and </w:t>
      </w:r>
      <w:r w:rsidR="00EF4CF4">
        <w:rPr>
          <w:rFonts w:ascii="Arial" w:hAnsi="Arial" w:cs="Arial"/>
          <w:szCs w:val="24"/>
        </w:rPr>
        <w:lastRenderedPageBreak/>
        <w:t>remit the matter back to Eskom for reconsideration as envisaged by section 8(1)(c)(ii) of PAJA.</w:t>
      </w:r>
    </w:p>
    <w:p w14:paraId="55B1802F" w14:textId="5BAAB6CF" w:rsidR="00EF4CF4"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[63]</w:t>
      </w:r>
      <w:r>
        <w:rPr>
          <w:rFonts w:ascii="Arial" w:hAnsi="Arial" w:cs="Arial"/>
          <w:szCs w:val="24"/>
        </w:rPr>
        <w:tab/>
      </w:r>
      <w:r w:rsidR="00EF4CF4">
        <w:rPr>
          <w:rFonts w:ascii="Arial" w:hAnsi="Arial" w:cs="Arial"/>
          <w:szCs w:val="24"/>
        </w:rPr>
        <w:t>The respondent</w:t>
      </w:r>
      <w:r w:rsidR="00DF360D">
        <w:rPr>
          <w:rFonts w:ascii="Arial" w:hAnsi="Arial" w:cs="Arial"/>
          <w:szCs w:val="24"/>
        </w:rPr>
        <w:t xml:space="preserve"> has a record of all tenders and is in a position to reconsider its award having regard to the documentation provided to it.  I am satisfied that a period of three months would suffice for it to complete this process.  The declaration of invalidity </w:t>
      </w:r>
      <w:r w:rsidR="00C85116">
        <w:rPr>
          <w:rFonts w:ascii="Arial" w:hAnsi="Arial" w:cs="Arial"/>
          <w:szCs w:val="24"/>
        </w:rPr>
        <w:t>should be suspended pending the finalisation of the process.</w:t>
      </w:r>
    </w:p>
    <w:p w14:paraId="6E24DE76" w14:textId="681A7FEE" w:rsidR="00EF4CF4" w:rsidRDefault="000A48F3" w:rsidP="000A48F3">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szCs w:val="24"/>
        </w:rPr>
      </w:pPr>
      <w:r>
        <w:rPr>
          <w:rFonts w:ascii="Arial" w:hAnsi="Arial" w:cs="Arial"/>
          <w:szCs w:val="24"/>
        </w:rPr>
        <w:t>[64]</w:t>
      </w:r>
      <w:r>
        <w:rPr>
          <w:rFonts w:ascii="Arial" w:hAnsi="Arial" w:cs="Arial"/>
          <w:szCs w:val="24"/>
        </w:rPr>
        <w:tab/>
      </w:r>
      <w:r w:rsidR="00C85116">
        <w:rPr>
          <w:rFonts w:ascii="Arial" w:hAnsi="Arial" w:cs="Arial"/>
          <w:szCs w:val="24"/>
        </w:rPr>
        <w:t xml:space="preserve">I accordingly make an order </w:t>
      </w:r>
      <w:r w:rsidR="00A60442">
        <w:rPr>
          <w:rFonts w:ascii="Arial" w:hAnsi="Arial" w:cs="Arial"/>
          <w:szCs w:val="24"/>
        </w:rPr>
        <w:t>in the following terms:</w:t>
      </w:r>
    </w:p>
    <w:p w14:paraId="67B53653" w14:textId="5D6E3600" w:rsidR="00A60442" w:rsidRDefault="000A48F3" w:rsidP="000A48F3">
      <w:pPr>
        <w:widowControl/>
        <w:tabs>
          <w:tab w:val="left" w:pos="851"/>
          <w:tab w:val="left" w:pos="1701"/>
          <w:tab w:val="left" w:pos="2835"/>
          <w:tab w:val="left" w:pos="3969"/>
          <w:tab w:val="right" w:pos="8222"/>
        </w:tabs>
        <w:autoSpaceDE/>
        <w:autoSpaceDN/>
        <w:adjustRightInd/>
        <w:spacing w:line="480" w:lineRule="auto"/>
        <w:ind w:left="1701" w:hanging="850"/>
        <w:contextualSpacing/>
        <w:jc w:val="both"/>
        <w:rPr>
          <w:rFonts w:ascii="Arial" w:hAnsi="Arial" w:cs="Arial"/>
          <w:szCs w:val="24"/>
        </w:rPr>
      </w:pPr>
      <w:r>
        <w:rPr>
          <w:rFonts w:ascii="Arial" w:hAnsi="Arial" w:cs="Arial"/>
          <w:szCs w:val="24"/>
        </w:rPr>
        <w:t>1.</w:t>
      </w:r>
      <w:r>
        <w:rPr>
          <w:rFonts w:ascii="Arial" w:hAnsi="Arial" w:cs="Arial"/>
          <w:szCs w:val="24"/>
        </w:rPr>
        <w:tab/>
      </w:r>
      <w:r w:rsidR="00A60442">
        <w:rPr>
          <w:rFonts w:ascii="Arial" w:hAnsi="Arial" w:cs="Arial"/>
          <w:szCs w:val="24"/>
        </w:rPr>
        <w:t>That the decision by the first respondent to award tender MPGXC 006248 [the tender] to the second respondent be reviewed and set aside in terms of the Promotion of Administrative Justice Act, 3 of 2000</w:t>
      </w:r>
      <w:r w:rsidR="00D27A4B">
        <w:rPr>
          <w:rFonts w:ascii="Arial" w:hAnsi="Arial" w:cs="Arial"/>
          <w:szCs w:val="24"/>
        </w:rPr>
        <w:t xml:space="preserve"> [PAJA] and d</w:t>
      </w:r>
      <w:r w:rsidR="00D27A4B" w:rsidRPr="00D27A4B">
        <w:rPr>
          <w:rFonts w:ascii="Arial" w:hAnsi="Arial" w:cs="Arial"/>
          <w:szCs w:val="24"/>
        </w:rPr>
        <w:t xml:space="preserve">eclaring invalid </w:t>
      </w:r>
      <w:r w:rsidR="00D27A4B">
        <w:rPr>
          <w:rFonts w:ascii="Arial" w:hAnsi="Arial" w:cs="Arial"/>
          <w:szCs w:val="24"/>
        </w:rPr>
        <w:t>any contract concluded pursuant thereto.</w:t>
      </w:r>
    </w:p>
    <w:p w14:paraId="2285B025" w14:textId="2D52D2D0" w:rsidR="00D27A4B" w:rsidRDefault="000A48F3" w:rsidP="000A48F3">
      <w:pPr>
        <w:widowControl/>
        <w:tabs>
          <w:tab w:val="left" w:pos="851"/>
          <w:tab w:val="left" w:pos="1701"/>
          <w:tab w:val="left" w:pos="2835"/>
          <w:tab w:val="left" w:pos="3969"/>
          <w:tab w:val="right" w:pos="8222"/>
        </w:tabs>
        <w:autoSpaceDE/>
        <w:autoSpaceDN/>
        <w:adjustRightInd/>
        <w:spacing w:line="480" w:lineRule="auto"/>
        <w:ind w:left="1701" w:hanging="850"/>
        <w:contextualSpacing/>
        <w:jc w:val="both"/>
        <w:rPr>
          <w:rFonts w:ascii="Arial" w:hAnsi="Arial" w:cs="Arial"/>
          <w:szCs w:val="24"/>
        </w:rPr>
      </w:pPr>
      <w:r>
        <w:rPr>
          <w:rFonts w:ascii="Arial" w:hAnsi="Arial" w:cs="Arial"/>
          <w:szCs w:val="24"/>
        </w:rPr>
        <w:t>2.</w:t>
      </w:r>
      <w:r>
        <w:rPr>
          <w:rFonts w:ascii="Arial" w:hAnsi="Arial" w:cs="Arial"/>
          <w:szCs w:val="24"/>
        </w:rPr>
        <w:tab/>
      </w:r>
      <w:r w:rsidR="00D27A4B">
        <w:rPr>
          <w:rFonts w:ascii="Arial" w:hAnsi="Arial" w:cs="Arial"/>
          <w:szCs w:val="24"/>
        </w:rPr>
        <w:t xml:space="preserve">The question of who of the qualifying bidders should be awarded the tender is remitted to Eskom's Procurement Authority [Eskom] for reconsideration as envisaged in section 8(1)(c)(ii) of PAJA on the papers filed of record in this review with the directions that - </w:t>
      </w:r>
    </w:p>
    <w:p w14:paraId="68437F4F" w14:textId="5B10C498" w:rsidR="00D27A4B" w:rsidRDefault="000A48F3" w:rsidP="000A48F3">
      <w:pPr>
        <w:widowControl/>
        <w:tabs>
          <w:tab w:val="left" w:pos="851"/>
          <w:tab w:val="left" w:pos="1701"/>
          <w:tab w:val="left" w:pos="2268"/>
          <w:tab w:val="left" w:pos="2835"/>
          <w:tab w:val="left" w:pos="3969"/>
          <w:tab w:val="right" w:pos="8222"/>
        </w:tabs>
        <w:autoSpaceDE/>
        <w:autoSpaceDN/>
        <w:adjustRightInd/>
        <w:spacing w:line="480" w:lineRule="auto"/>
        <w:ind w:left="2268" w:hanging="567"/>
        <w:contextualSpacing/>
        <w:jc w:val="both"/>
        <w:rPr>
          <w:rFonts w:ascii="Arial" w:hAnsi="Arial" w:cs="Arial"/>
          <w:szCs w:val="24"/>
        </w:rPr>
      </w:pPr>
      <w:r>
        <w:rPr>
          <w:rFonts w:ascii="Arial" w:hAnsi="Arial" w:cs="Arial"/>
          <w:szCs w:val="24"/>
        </w:rPr>
        <w:t>(a)</w:t>
      </w:r>
      <w:r>
        <w:rPr>
          <w:rFonts w:ascii="Arial" w:hAnsi="Arial" w:cs="Arial"/>
          <w:szCs w:val="24"/>
        </w:rPr>
        <w:tab/>
      </w:r>
      <w:r w:rsidR="00D27A4B">
        <w:rPr>
          <w:rFonts w:ascii="Arial" w:hAnsi="Arial" w:cs="Arial"/>
          <w:szCs w:val="24"/>
        </w:rPr>
        <w:t xml:space="preserve">the final award be made within three months from the date of this Order; </w:t>
      </w:r>
    </w:p>
    <w:p w14:paraId="5A6B52CD" w14:textId="65FAA174" w:rsidR="00D27A4B" w:rsidRDefault="000A48F3" w:rsidP="000A48F3">
      <w:pPr>
        <w:widowControl/>
        <w:tabs>
          <w:tab w:val="left" w:pos="851"/>
          <w:tab w:val="left" w:pos="1701"/>
          <w:tab w:val="left" w:pos="2268"/>
          <w:tab w:val="left" w:pos="2835"/>
          <w:tab w:val="left" w:pos="3969"/>
          <w:tab w:val="right" w:pos="8222"/>
        </w:tabs>
        <w:autoSpaceDE/>
        <w:autoSpaceDN/>
        <w:adjustRightInd/>
        <w:spacing w:line="480" w:lineRule="auto"/>
        <w:ind w:left="2268" w:hanging="567"/>
        <w:contextualSpacing/>
        <w:jc w:val="both"/>
        <w:rPr>
          <w:rFonts w:ascii="Arial" w:hAnsi="Arial" w:cs="Arial"/>
          <w:szCs w:val="24"/>
        </w:rPr>
      </w:pPr>
      <w:r>
        <w:rPr>
          <w:rFonts w:ascii="Arial" w:hAnsi="Arial" w:cs="Arial"/>
          <w:szCs w:val="24"/>
        </w:rPr>
        <w:t>(b)</w:t>
      </w:r>
      <w:r>
        <w:rPr>
          <w:rFonts w:ascii="Arial" w:hAnsi="Arial" w:cs="Arial"/>
          <w:szCs w:val="24"/>
        </w:rPr>
        <w:tab/>
      </w:r>
      <w:r w:rsidR="00346FE2">
        <w:rPr>
          <w:rFonts w:ascii="Arial" w:hAnsi="Arial" w:cs="Arial"/>
          <w:szCs w:val="24"/>
        </w:rPr>
        <w:t>the order in paragraph 1 above is suspended for three months from the date of this Order.</w:t>
      </w:r>
    </w:p>
    <w:p w14:paraId="1C883370" w14:textId="162008B4" w:rsidR="00D27A4B" w:rsidRPr="00D27A4B" w:rsidRDefault="000A48F3" w:rsidP="000A48F3">
      <w:pPr>
        <w:widowControl/>
        <w:tabs>
          <w:tab w:val="left" w:pos="851"/>
          <w:tab w:val="left" w:pos="1701"/>
          <w:tab w:val="left" w:pos="2835"/>
          <w:tab w:val="left" w:pos="3969"/>
          <w:tab w:val="right" w:pos="8222"/>
        </w:tabs>
        <w:autoSpaceDE/>
        <w:autoSpaceDN/>
        <w:adjustRightInd/>
        <w:spacing w:line="480" w:lineRule="auto"/>
        <w:ind w:left="1701" w:hanging="850"/>
        <w:contextualSpacing/>
        <w:jc w:val="both"/>
        <w:rPr>
          <w:rFonts w:ascii="Arial" w:hAnsi="Arial" w:cs="Arial"/>
          <w:szCs w:val="24"/>
        </w:rPr>
      </w:pPr>
      <w:r w:rsidRPr="00D27A4B">
        <w:rPr>
          <w:rFonts w:ascii="Arial" w:hAnsi="Arial" w:cs="Arial"/>
          <w:szCs w:val="24"/>
        </w:rPr>
        <w:t>3.</w:t>
      </w:r>
      <w:r w:rsidRPr="00D27A4B">
        <w:rPr>
          <w:rFonts w:ascii="Arial" w:hAnsi="Arial" w:cs="Arial"/>
          <w:szCs w:val="24"/>
        </w:rPr>
        <w:tab/>
      </w:r>
      <w:r w:rsidR="00346FE2">
        <w:rPr>
          <w:rFonts w:ascii="Arial" w:hAnsi="Arial" w:cs="Arial"/>
          <w:szCs w:val="24"/>
        </w:rPr>
        <w:t>The respondents are ordered, jointly and severally, to pay the costs of this application for review, the one paying the other to that extent to be absolved, including the costs of senior counsel.</w:t>
      </w:r>
    </w:p>
    <w:p w14:paraId="557FFBA3" w14:textId="77777777" w:rsidR="00511805" w:rsidRPr="006465A5" w:rsidRDefault="00511805" w:rsidP="00346FE2">
      <w:pPr>
        <w:widowControl/>
        <w:tabs>
          <w:tab w:val="left" w:pos="1701"/>
          <w:tab w:val="left" w:pos="2835"/>
          <w:tab w:val="left" w:pos="3969"/>
          <w:tab w:val="right" w:pos="8222"/>
        </w:tabs>
        <w:autoSpaceDE/>
        <w:autoSpaceDN/>
        <w:adjustRightInd/>
        <w:spacing w:line="480" w:lineRule="auto"/>
        <w:ind w:left="851"/>
        <w:contextualSpacing/>
        <w:jc w:val="both"/>
        <w:rPr>
          <w:rFonts w:ascii="Arial" w:hAnsi="Arial" w:cs="Arial"/>
          <w:szCs w:val="24"/>
        </w:rPr>
      </w:pPr>
    </w:p>
    <w:p w14:paraId="079F9114" w14:textId="77777777" w:rsidR="00FE392A" w:rsidRPr="006465A5" w:rsidRDefault="00FE392A" w:rsidP="009900DF">
      <w:pPr>
        <w:widowControl/>
        <w:tabs>
          <w:tab w:val="left" w:pos="1701"/>
          <w:tab w:val="left" w:pos="2835"/>
          <w:tab w:val="left" w:pos="3969"/>
          <w:tab w:val="right" w:pos="8222"/>
        </w:tabs>
        <w:autoSpaceDE/>
        <w:autoSpaceDN/>
        <w:adjustRightInd/>
        <w:spacing w:line="480" w:lineRule="auto"/>
        <w:ind w:left="851"/>
        <w:contextualSpacing/>
        <w:jc w:val="right"/>
        <w:rPr>
          <w:rFonts w:ascii="Arial" w:hAnsi="Arial" w:cs="Arial"/>
          <w:szCs w:val="24"/>
        </w:rPr>
      </w:pPr>
      <w:r w:rsidRPr="006465A5">
        <w:rPr>
          <w:rFonts w:ascii="Arial" w:hAnsi="Arial" w:cs="Arial"/>
          <w:szCs w:val="24"/>
        </w:rPr>
        <w:tab/>
        <w:t xml:space="preserve">        _________________________</w:t>
      </w:r>
    </w:p>
    <w:p w14:paraId="0F8D6224" w14:textId="10937DDA" w:rsidR="00FE392A" w:rsidRPr="006465A5" w:rsidRDefault="00FE392A" w:rsidP="00FE392A">
      <w:pPr>
        <w:tabs>
          <w:tab w:val="left" w:pos="4536"/>
        </w:tabs>
        <w:ind w:left="851"/>
        <w:rPr>
          <w:rFonts w:ascii="Arial" w:hAnsi="Arial" w:cs="Arial"/>
          <w:szCs w:val="24"/>
        </w:rPr>
      </w:pPr>
      <w:r w:rsidRPr="006465A5">
        <w:rPr>
          <w:rFonts w:ascii="Arial" w:hAnsi="Arial" w:cs="Arial"/>
          <w:szCs w:val="24"/>
        </w:rPr>
        <w:tab/>
      </w:r>
      <w:r w:rsidR="00684CBC">
        <w:rPr>
          <w:rFonts w:ascii="Arial" w:hAnsi="Arial" w:cs="Arial"/>
          <w:szCs w:val="24"/>
        </w:rPr>
        <w:t xml:space="preserve">N REDMAN </w:t>
      </w:r>
    </w:p>
    <w:p w14:paraId="3DFAC98F" w14:textId="77777777" w:rsidR="00FE392A" w:rsidRPr="006465A5" w:rsidRDefault="00FE392A" w:rsidP="00FE392A">
      <w:pPr>
        <w:tabs>
          <w:tab w:val="left" w:pos="4536"/>
        </w:tabs>
        <w:ind w:left="851"/>
        <w:rPr>
          <w:rFonts w:ascii="Arial" w:hAnsi="Arial" w:cs="Arial"/>
          <w:szCs w:val="24"/>
        </w:rPr>
      </w:pPr>
      <w:r w:rsidRPr="006465A5">
        <w:rPr>
          <w:rFonts w:ascii="Arial" w:hAnsi="Arial" w:cs="Arial"/>
          <w:szCs w:val="24"/>
        </w:rPr>
        <w:tab/>
        <w:t>Acting Judge of the High Court</w:t>
      </w:r>
    </w:p>
    <w:p w14:paraId="59133B8E" w14:textId="77777777" w:rsidR="00FE392A" w:rsidRPr="006465A5" w:rsidRDefault="00FE392A" w:rsidP="00FE392A">
      <w:pPr>
        <w:ind w:left="851"/>
        <w:rPr>
          <w:rFonts w:ascii="Arial" w:hAnsi="Arial" w:cs="Arial"/>
          <w:szCs w:val="24"/>
        </w:rPr>
      </w:pPr>
    </w:p>
    <w:p w14:paraId="700A479A" w14:textId="77777777" w:rsidR="00B528A5" w:rsidRPr="006465A5" w:rsidRDefault="00B528A5" w:rsidP="00B528A5">
      <w:pPr>
        <w:rPr>
          <w:rFonts w:ascii="Arial" w:hAnsi="Arial" w:cs="Arial"/>
          <w:szCs w:val="24"/>
        </w:rPr>
      </w:pPr>
    </w:p>
    <w:p w14:paraId="5569E451" w14:textId="31FFB281" w:rsidR="00681CA1" w:rsidRPr="006465A5" w:rsidRDefault="00FE392A" w:rsidP="00FE392A">
      <w:pPr>
        <w:rPr>
          <w:rFonts w:ascii="Arial" w:hAnsi="Arial" w:cs="Arial"/>
          <w:szCs w:val="24"/>
        </w:rPr>
      </w:pPr>
      <w:r w:rsidRPr="006465A5">
        <w:rPr>
          <w:rFonts w:ascii="Arial" w:hAnsi="Arial" w:cs="Arial"/>
          <w:szCs w:val="24"/>
        </w:rPr>
        <w:t xml:space="preserve">Heard: </w:t>
      </w:r>
      <w:r w:rsidRPr="006465A5">
        <w:rPr>
          <w:rFonts w:ascii="Arial" w:hAnsi="Arial" w:cs="Arial"/>
          <w:szCs w:val="24"/>
        </w:rPr>
        <w:tab/>
      </w:r>
      <w:r w:rsidRPr="006465A5">
        <w:rPr>
          <w:rFonts w:ascii="Arial" w:hAnsi="Arial" w:cs="Arial"/>
          <w:szCs w:val="24"/>
        </w:rPr>
        <w:tab/>
      </w:r>
      <w:r w:rsidRPr="006465A5">
        <w:rPr>
          <w:rFonts w:ascii="Arial" w:hAnsi="Arial" w:cs="Arial"/>
          <w:szCs w:val="24"/>
        </w:rPr>
        <w:tab/>
      </w:r>
      <w:r w:rsidR="007F17E4">
        <w:rPr>
          <w:rFonts w:ascii="Arial" w:hAnsi="Arial" w:cs="Arial"/>
          <w:szCs w:val="24"/>
        </w:rPr>
        <w:t xml:space="preserve">24 November </w:t>
      </w:r>
      <w:r w:rsidR="00681CA1" w:rsidRPr="006465A5">
        <w:rPr>
          <w:rFonts w:ascii="Arial" w:hAnsi="Arial" w:cs="Arial"/>
          <w:szCs w:val="24"/>
        </w:rPr>
        <w:t>20</w:t>
      </w:r>
      <w:r w:rsidR="00393A1C" w:rsidRPr="006465A5">
        <w:rPr>
          <w:rFonts w:ascii="Arial" w:hAnsi="Arial" w:cs="Arial"/>
          <w:szCs w:val="24"/>
        </w:rPr>
        <w:t>2</w:t>
      </w:r>
      <w:r w:rsidR="00900234">
        <w:rPr>
          <w:rFonts w:ascii="Arial" w:hAnsi="Arial" w:cs="Arial"/>
          <w:szCs w:val="24"/>
        </w:rPr>
        <w:t>2</w:t>
      </w:r>
    </w:p>
    <w:p w14:paraId="5A68DD8D" w14:textId="1C62285D" w:rsidR="00FE392A" w:rsidRPr="006465A5" w:rsidRDefault="00681CA1" w:rsidP="00FE392A">
      <w:pPr>
        <w:rPr>
          <w:rFonts w:ascii="Arial" w:hAnsi="Arial" w:cs="Arial"/>
          <w:szCs w:val="24"/>
        </w:rPr>
      </w:pPr>
      <w:r w:rsidRPr="006465A5">
        <w:rPr>
          <w:rFonts w:ascii="Arial" w:hAnsi="Arial" w:cs="Arial"/>
          <w:szCs w:val="24"/>
        </w:rPr>
        <w:t>J</w:t>
      </w:r>
      <w:r w:rsidR="00671193" w:rsidRPr="006465A5">
        <w:rPr>
          <w:rFonts w:ascii="Arial" w:hAnsi="Arial" w:cs="Arial"/>
          <w:szCs w:val="24"/>
        </w:rPr>
        <w:t xml:space="preserve">udgment delivered: </w:t>
      </w:r>
      <w:r w:rsidR="00671193" w:rsidRPr="006465A5">
        <w:rPr>
          <w:rFonts w:ascii="Arial" w:hAnsi="Arial" w:cs="Arial"/>
          <w:szCs w:val="24"/>
        </w:rPr>
        <w:tab/>
        <w:t xml:space="preserve">___ </w:t>
      </w:r>
      <w:r w:rsidR="00346FE2">
        <w:rPr>
          <w:rFonts w:ascii="Arial" w:hAnsi="Arial" w:cs="Arial"/>
          <w:szCs w:val="24"/>
        </w:rPr>
        <w:t xml:space="preserve">February </w:t>
      </w:r>
      <w:r w:rsidRPr="006465A5">
        <w:rPr>
          <w:rFonts w:ascii="Arial" w:hAnsi="Arial" w:cs="Arial"/>
          <w:szCs w:val="24"/>
        </w:rPr>
        <w:t>20</w:t>
      </w:r>
      <w:r w:rsidR="00393A1C" w:rsidRPr="006465A5">
        <w:rPr>
          <w:rFonts w:ascii="Arial" w:hAnsi="Arial" w:cs="Arial"/>
          <w:szCs w:val="24"/>
        </w:rPr>
        <w:t>2</w:t>
      </w:r>
      <w:r w:rsidR="00FA3B05">
        <w:rPr>
          <w:rFonts w:ascii="Arial" w:hAnsi="Arial" w:cs="Arial"/>
          <w:szCs w:val="24"/>
        </w:rPr>
        <w:t>3</w:t>
      </w:r>
    </w:p>
    <w:p w14:paraId="04085A2B" w14:textId="77777777" w:rsidR="004B5AB6" w:rsidRPr="006465A5" w:rsidRDefault="004B5AB6" w:rsidP="00FE392A">
      <w:pPr>
        <w:rPr>
          <w:rFonts w:ascii="Arial" w:hAnsi="Arial" w:cs="Arial"/>
          <w:szCs w:val="24"/>
        </w:rPr>
      </w:pPr>
    </w:p>
    <w:p w14:paraId="4F77E555" w14:textId="77777777" w:rsidR="00FE392A" w:rsidRPr="006465A5" w:rsidRDefault="00FE392A" w:rsidP="00FE392A">
      <w:pPr>
        <w:rPr>
          <w:rFonts w:ascii="Arial" w:hAnsi="Arial" w:cs="Arial"/>
          <w:szCs w:val="24"/>
        </w:rPr>
      </w:pPr>
      <w:r w:rsidRPr="006465A5">
        <w:rPr>
          <w:rFonts w:ascii="Arial" w:hAnsi="Arial" w:cs="Arial"/>
          <w:szCs w:val="24"/>
        </w:rPr>
        <w:t>Appearances:</w:t>
      </w:r>
    </w:p>
    <w:p w14:paraId="45A5D32F" w14:textId="77777777" w:rsidR="00FE392A" w:rsidRPr="006465A5" w:rsidRDefault="00FE392A" w:rsidP="00FE392A">
      <w:pPr>
        <w:rPr>
          <w:rFonts w:ascii="Arial" w:hAnsi="Arial" w:cs="Arial"/>
          <w:szCs w:val="24"/>
        </w:rPr>
      </w:pPr>
    </w:p>
    <w:p w14:paraId="05A37BBC" w14:textId="5DA1CB47" w:rsidR="00FE392A" w:rsidRPr="006465A5" w:rsidRDefault="00FE392A" w:rsidP="00346FE2">
      <w:pPr>
        <w:tabs>
          <w:tab w:val="left" w:pos="2835"/>
        </w:tabs>
        <w:rPr>
          <w:rFonts w:ascii="Arial" w:hAnsi="Arial" w:cs="Arial"/>
          <w:szCs w:val="24"/>
        </w:rPr>
      </w:pPr>
      <w:r w:rsidRPr="006465A5">
        <w:rPr>
          <w:rFonts w:ascii="Arial" w:hAnsi="Arial" w:cs="Arial"/>
          <w:szCs w:val="24"/>
        </w:rPr>
        <w:t>For Applicant:</w:t>
      </w:r>
      <w:r w:rsidR="00346FE2">
        <w:rPr>
          <w:rFonts w:ascii="Arial" w:hAnsi="Arial" w:cs="Arial"/>
          <w:szCs w:val="24"/>
        </w:rPr>
        <w:tab/>
        <w:t>Adv CJH Badenhorst SC</w:t>
      </w:r>
      <w:r w:rsidRPr="006465A5">
        <w:rPr>
          <w:rFonts w:ascii="Arial" w:hAnsi="Arial" w:cs="Arial"/>
          <w:szCs w:val="24"/>
        </w:rPr>
        <w:tab/>
      </w:r>
    </w:p>
    <w:p w14:paraId="6BCE7D9D" w14:textId="361A9BBC" w:rsidR="00FE392A" w:rsidRPr="006465A5" w:rsidRDefault="00FE392A" w:rsidP="00346FE2">
      <w:pPr>
        <w:tabs>
          <w:tab w:val="left" w:pos="2835"/>
        </w:tabs>
        <w:rPr>
          <w:rFonts w:ascii="Arial" w:hAnsi="Arial" w:cs="Arial"/>
          <w:szCs w:val="24"/>
        </w:rPr>
      </w:pPr>
      <w:r w:rsidRPr="006465A5">
        <w:rPr>
          <w:rFonts w:ascii="Arial" w:hAnsi="Arial" w:cs="Arial"/>
          <w:szCs w:val="24"/>
        </w:rPr>
        <w:t>Attorneys</w:t>
      </w:r>
      <w:r w:rsidR="00B645EF">
        <w:rPr>
          <w:rFonts w:ascii="Arial" w:hAnsi="Arial" w:cs="Arial"/>
          <w:szCs w:val="24"/>
        </w:rPr>
        <w:t>:</w:t>
      </w:r>
      <w:r w:rsidR="007F17E4">
        <w:rPr>
          <w:rFonts w:ascii="Arial" w:hAnsi="Arial" w:cs="Arial"/>
          <w:szCs w:val="24"/>
        </w:rPr>
        <w:tab/>
        <w:t>Dirk Kotze Attorneys</w:t>
      </w:r>
    </w:p>
    <w:p w14:paraId="6BB5D137" w14:textId="77777777" w:rsidR="00FE392A" w:rsidRPr="006465A5" w:rsidRDefault="00FE392A" w:rsidP="00346FE2">
      <w:pPr>
        <w:tabs>
          <w:tab w:val="left" w:pos="2835"/>
        </w:tabs>
        <w:rPr>
          <w:rFonts w:ascii="Arial" w:hAnsi="Arial" w:cs="Arial"/>
          <w:szCs w:val="24"/>
        </w:rPr>
      </w:pPr>
    </w:p>
    <w:p w14:paraId="39281B73" w14:textId="5042512C" w:rsidR="00FE392A" w:rsidRPr="006465A5" w:rsidRDefault="00FE392A" w:rsidP="00346FE2">
      <w:pPr>
        <w:tabs>
          <w:tab w:val="left" w:pos="2835"/>
        </w:tabs>
        <w:rPr>
          <w:rFonts w:ascii="Arial" w:hAnsi="Arial" w:cs="Arial"/>
          <w:szCs w:val="24"/>
        </w:rPr>
      </w:pPr>
      <w:r w:rsidRPr="006465A5">
        <w:rPr>
          <w:rFonts w:ascii="Arial" w:hAnsi="Arial" w:cs="Arial"/>
          <w:szCs w:val="24"/>
        </w:rPr>
        <w:t xml:space="preserve">For </w:t>
      </w:r>
      <w:r w:rsidR="00346FE2">
        <w:rPr>
          <w:rFonts w:ascii="Arial" w:hAnsi="Arial" w:cs="Arial"/>
          <w:szCs w:val="24"/>
        </w:rPr>
        <w:t>1</w:t>
      </w:r>
      <w:r w:rsidR="00346FE2" w:rsidRPr="00346FE2">
        <w:rPr>
          <w:rFonts w:ascii="Arial" w:hAnsi="Arial" w:cs="Arial"/>
          <w:szCs w:val="24"/>
          <w:vertAlign w:val="superscript"/>
        </w:rPr>
        <w:t>st</w:t>
      </w:r>
      <w:r w:rsidR="00346FE2">
        <w:rPr>
          <w:rFonts w:ascii="Arial" w:hAnsi="Arial" w:cs="Arial"/>
          <w:szCs w:val="24"/>
        </w:rPr>
        <w:t xml:space="preserve"> Respondent</w:t>
      </w:r>
      <w:r w:rsidRPr="006465A5">
        <w:rPr>
          <w:rFonts w:ascii="Arial" w:hAnsi="Arial" w:cs="Arial"/>
          <w:szCs w:val="24"/>
        </w:rPr>
        <w:t xml:space="preserve">: </w:t>
      </w:r>
      <w:r w:rsidR="00346FE2">
        <w:rPr>
          <w:rFonts w:ascii="Arial" w:hAnsi="Arial" w:cs="Arial"/>
          <w:szCs w:val="24"/>
        </w:rPr>
        <w:tab/>
        <w:t>Adv N Mayet</w:t>
      </w:r>
    </w:p>
    <w:p w14:paraId="52B1D6FB" w14:textId="0E8D5335" w:rsidR="00FE392A" w:rsidRDefault="00FE392A" w:rsidP="00346FE2">
      <w:pPr>
        <w:tabs>
          <w:tab w:val="left" w:pos="2835"/>
        </w:tabs>
        <w:rPr>
          <w:rFonts w:ascii="Arial" w:hAnsi="Arial" w:cs="Arial"/>
          <w:szCs w:val="24"/>
        </w:rPr>
      </w:pPr>
      <w:r w:rsidRPr="006465A5">
        <w:rPr>
          <w:rFonts w:ascii="Arial" w:hAnsi="Arial" w:cs="Arial"/>
          <w:szCs w:val="24"/>
        </w:rPr>
        <w:t>Attorneys</w:t>
      </w:r>
      <w:r w:rsidR="00B645EF">
        <w:rPr>
          <w:rFonts w:ascii="Arial" w:hAnsi="Arial" w:cs="Arial"/>
          <w:szCs w:val="24"/>
        </w:rPr>
        <w:t>:</w:t>
      </w:r>
      <w:r w:rsidR="007F17E4">
        <w:rPr>
          <w:rFonts w:ascii="Arial" w:hAnsi="Arial" w:cs="Arial"/>
          <w:szCs w:val="24"/>
        </w:rPr>
        <w:tab/>
        <w:t>Ncube Inc.</w:t>
      </w:r>
    </w:p>
    <w:p w14:paraId="5E3EDE85" w14:textId="77777777" w:rsidR="00B645EF" w:rsidRDefault="00B645EF" w:rsidP="00346FE2">
      <w:pPr>
        <w:tabs>
          <w:tab w:val="left" w:pos="2835"/>
        </w:tabs>
        <w:rPr>
          <w:rFonts w:ascii="Arial" w:hAnsi="Arial" w:cs="Arial"/>
          <w:szCs w:val="24"/>
        </w:rPr>
      </w:pPr>
    </w:p>
    <w:p w14:paraId="493940A1" w14:textId="139FDFFD" w:rsidR="00B645EF" w:rsidRPr="006465A5" w:rsidRDefault="00B645EF" w:rsidP="00B645EF">
      <w:pPr>
        <w:tabs>
          <w:tab w:val="left" w:pos="2835"/>
        </w:tabs>
        <w:rPr>
          <w:rFonts w:ascii="Arial" w:hAnsi="Arial" w:cs="Arial"/>
          <w:szCs w:val="24"/>
        </w:rPr>
      </w:pPr>
      <w:r w:rsidRPr="006465A5">
        <w:rPr>
          <w:rFonts w:ascii="Arial" w:hAnsi="Arial" w:cs="Arial"/>
          <w:szCs w:val="24"/>
        </w:rPr>
        <w:t xml:space="preserve">For </w:t>
      </w:r>
      <w:r>
        <w:rPr>
          <w:rFonts w:ascii="Arial" w:hAnsi="Arial" w:cs="Arial"/>
          <w:szCs w:val="24"/>
        </w:rPr>
        <w:t>2</w:t>
      </w:r>
      <w:r w:rsidRPr="00B645EF">
        <w:rPr>
          <w:rFonts w:ascii="Arial" w:hAnsi="Arial" w:cs="Arial"/>
          <w:szCs w:val="24"/>
          <w:vertAlign w:val="superscript"/>
        </w:rPr>
        <w:t>nd</w:t>
      </w:r>
      <w:r>
        <w:rPr>
          <w:rFonts w:ascii="Arial" w:hAnsi="Arial" w:cs="Arial"/>
          <w:szCs w:val="24"/>
        </w:rPr>
        <w:t xml:space="preserve"> Respondent</w:t>
      </w:r>
      <w:r w:rsidRPr="006465A5">
        <w:rPr>
          <w:rFonts w:ascii="Arial" w:hAnsi="Arial" w:cs="Arial"/>
          <w:szCs w:val="24"/>
        </w:rPr>
        <w:t xml:space="preserve">: </w:t>
      </w:r>
      <w:r>
        <w:rPr>
          <w:rFonts w:ascii="Arial" w:hAnsi="Arial" w:cs="Arial"/>
          <w:szCs w:val="24"/>
        </w:rPr>
        <w:tab/>
        <w:t>Adv T Govender</w:t>
      </w:r>
    </w:p>
    <w:p w14:paraId="764AFF6F" w14:textId="4E69A993" w:rsidR="00B528A5" w:rsidRPr="006465A5" w:rsidRDefault="00B645EF" w:rsidP="003B09F2">
      <w:pPr>
        <w:tabs>
          <w:tab w:val="left" w:pos="2835"/>
        </w:tabs>
        <w:rPr>
          <w:rFonts w:ascii="Arial" w:hAnsi="Arial" w:cs="Arial"/>
          <w:szCs w:val="24"/>
        </w:rPr>
      </w:pPr>
      <w:r w:rsidRPr="006465A5">
        <w:rPr>
          <w:rFonts w:ascii="Arial" w:hAnsi="Arial" w:cs="Arial"/>
          <w:szCs w:val="24"/>
        </w:rPr>
        <w:t>Attorneys</w:t>
      </w:r>
      <w:r>
        <w:rPr>
          <w:rFonts w:ascii="Arial" w:hAnsi="Arial" w:cs="Arial"/>
          <w:szCs w:val="24"/>
        </w:rPr>
        <w:t>:</w:t>
      </w:r>
      <w:r w:rsidR="007F17E4">
        <w:rPr>
          <w:rFonts w:ascii="Arial" w:hAnsi="Arial" w:cs="Arial"/>
          <w:szCs w:val="24"/>
        </w:rPr>
        <w:tab/>
        <w:t>Victor Nkhwasha Attorneys</w:t>
      </w:r>
    </w:p>
    <w:p w14:paraId="36362A41" w14:textId="77777777" w:rsidR="00B528A5" w:rsidRPr="006465A5" w:rsidRDefault="00B528A5" w:rsidP="00B528A5">
      <w:pPr>
        <w:rPr>
          <w:rFonts w:ascii="Arial" w:hAnsi="Arial" w:cs="Arial"/>
          <w:szCs w:val="24"/>
        </w:rPr>
      </w:pPr>
    </w:p>
    <w:p w14:paraId="56FFCCDD" w14:textId="77777777" w:rsidR="00B528A5" w:rsidRPr="006465A5" w:rsidRDefault="00B528A5" w:rsidP="00B528A5">
      <w:pPr>
        <w:rPr>
          <w:rFonts w:ascii="Arial" w:hAnsi="Arial" w:cs="Arial"/>
          <w:szCs w:val="24"/>
        </w:rPr>
      </w:pPr>
    </w:p>
    <w:p w14:paraId="2E631E8A" w14:textId="77777777" w:rsidR="00B528A5" w:rsidRPr="006465A5" w:rsidRDefault="00B528A5" w:rsidP="00B528A5">
      <w:pPr>
        <w:rPr>
          <w:rFonts w:ascii="Arial" w:hAnsi="Arial" w:cs="Arial"/>
          <w:szCs w:val="24"/>
        </w:rPr>
      </w:pPr>
    </w:p>
    <w:p w14:paraId="2B976F52" w14:textId="77777777" w:rsidR="00B528A5" w:rsidRPr="006465A5" w:rsidRDefault="00B528A5" w:rsidP="00B528A5">
      <w:pPr>
        <w:rPr>
          <w:rFonts w:ascii="Arial" w:hAnsi="Arial" w:cs="Arial"/>
          <w:szCs w:val="24"/>
        </w:rPr>
      </w:pPr>
    </w:p>
    <w:sectPr w:rsidR="00B528A5" w:rsidRPr="006465A5" w:rsidSect="00454667">
      <w:headerReference w:type="default" r:id="rId9"/>
      <w:type w:val="continuous"/>
      <w:pgSz w:w="11906" w:h="16838" w:code="9"/>
      <w:pgMar w:top="1644" w:right="1418" w:bottom="868" w:left="2268" w:header="726" w:footer="72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0A54A" w14:textId="77777777" w:rsidR="00061AAD" w:rsidRDefault="00061AAD">
      <w:pPr>
        <w:spacing w:line="20" w:lineRule="exact"/>
        <w:rPr>
          <w:rFonts w:cs="Times New Roman"/>
          <w:szCs w:val="24"/>
        </w:rPr>
      </w:pPr>
    </w:p>
  </w:endnote>
  <w:endnote w:type="continuationSeparator" w:id="0">
    <w:p w14:paraId="16EC9597" w14:textId="77777777" w:rsidR="00061AAD" w:rsidRDefault="00061AAD" w:rsidP="00023FA2">
      <w:r>
        <w:rPr>
          <w:rFonts w:cs="Times New Roman"/>
          <w:szCs w:val="24"/>
        </w:rPr>
        <w:t xml:space="preserve"> </w:t>
      </w:r>
    </w:p>
  </w:endnote>
  <w:endnote w:type="continuationNotice" w:id="1">
    <w:p w14:paraId="0C50F6B9" w14:textId="77777777" w:rsidR="00061AAD" w:rsidRDefault="00061AAD"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Optima">
    <w:altName w:val="Segoe UI"/>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igold">
    <w:charset w:val="00"/>
    <w:family w:val="script"/>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F5CEF" w14:textId="77777777" w:rsidR="00061AAD" w:rsidRDefault="00061AAD" w:rsidP="00023FA2">
      <w:r>
        <w:rPr>
          <w:rFonts w:cs="Times New Roman"/>
          <w:szCs w:val="24"/>
        </w:rPr>
        <w:separator/>
      </w:r>
    </w:p>
  </w:footnote>
  <w:footnote w:type="continuationSeparator" w:id="0">
    <w:p w14:paraId="627B55BB" w14:textId="77777777" w:rsidR="00061AAD" w:rsidRDefault="0006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2F6E" w14:textId="370A9037" w:rsidR="003135AC" w:rsidRPr="00D879AE" w:rsidRDefault="003135AC">
    <w:pPr>
      <w:tabs>
        <w:tab w:val="center" w:pos="3987"/>
        <w:tab w:val="right" w:pos="7975"/>
      </w:tabs>
      <w:suppressAutoHyphens/>
      <w:spacing w:line="180" w:lineRule="atLeast"/>
      <w:jc w:val="both"/>
      <w:rPr>
        <w:rFonts w:ascii="Arial" w:hAnsi="Arial"/>
        <w:spacing w:val="-2"/>
        <w:szCs w:val="22"/>
        <w:u w:val="single"/>
      </w:rPr>
    </w:pPr>
    <w:r>
      <w:rPr>
        <w:spacing w:val="-3"/>
        <w:sz w:val="26"/>
        <w:szCs w:val="26"/>
      </w:rPr>
      <w:tab/>
      <w:t xml:space="preserve"> </w:t>
    </w:r>
    <w:r w:rsidRPr="00D879AE">
      <w:rPr>
        <w:rFonts w:ascii="Arial" w:hAnsi="Arial"/>
        <w:bCs/>
        <w:spacing w:val="-3"/>
        <w:szCs w:val="26"/>
      </w:rPr>
      <w:fldChar w:fldCharType="begin"/>
    </w:r>
    <w:r w:rsidRPr="00D879AE">
      <w:rPr>
        <w:rFonts w:ascii="Arial" w:hAnsi="Arial"/>
        <w:bCs/>
        <w:spacing w:val="-3"/>
        <w:szCs w:val="26"/>
      </w:rPr>
      <w:instrText>page \* arabic</w:instrText>
    </w:r>
    <w:r w:rsidRPr="00D879AE">
      <w:rPr>
        <w:rFonts w:ascii="Arial" w:hAnsi="Arial"/>
        <w:bCs/>
        <w:spacing w:val="-3"/>
        <w:szCs w:val="26"/>
      </w:rPr>
      <w:fldChar w:fldCharType="separate"/>
    </w:r>
    <w:r w:rsidR="000A48F3">
      <w:rPr>
        <w:rFonts w:ascii="Arial" w:hAnsi="Arial"/>
        <w:bCs/>
        <w:noProof/>
        <w:spacing w:val="-3"/>
        <w:szCs w:val="26"/>
      </w:rPr>
      <w:t>2</w:t>
    </w:r>
    <w:r w:rsidRPr="00D879AE">
      <w:rPr>
        <w:rFonts w:ascii="Arial" w:hAnsi="Arial"/>
        <w:bCs/>
        <w:spacing w:val="-3"/>
        <w:szCs w:val="26"/>
      </w:rPr>
      <w:fldChar w:fldCharType="end"/>
    </w:r>
    <w:r w:rsidRPr="00D879AE">
      <w:rPr>
        <w:rFonts w:ascii="Arial" w:hAnsi="Arial"/>
        <w:spacing w:val="-3"/>
        <w:szCs w:val="26"/>
      </w:rPr>
      <w:t xml:space="preserve"> </w:t>
    </w:r>
    <w:r w:rsidRPr="00D879AE">
      <w:rPr>
        <w:rFonts w:ascii="Arial" w:hAnsi="Arial"/>
        <w:spacing w:val="-2"/>
        <w:szCs w:val="22"/>
      </w:rPr>
      <w:tab/>
    </w:r>
  </w:p>
  <w:p w14:paraId="168A80EE" w14:textId="77777777" w:rsidR="003135AC" w:rsidRDefault="003135AC">
    <w:pPr>
      <w:tabs>
        <w:tab w:val="left" w:pos="-2236"/>
        <w:tab w:val="left" w:pos="-1440"/>
        <w:tab w:val="left" w:pos="-720"/>
        <w:tab w:val="left" w:pos="0"/>
        <w:tab w:val="left" w:pos="772"/>
        <w:tab w:val="left" w:pos="1404"/>
        <w:tab w:val="left" w:pos="1965"/>
        <w:tab w:val="left" w:pos="3088"/>
        <w:tab w:val="left" w:pos="3912"/>
        <w:tab w:val="left" w:pos="5054"/>
        <w:tab w:val="left" w:pos="6266"/>
        <w:tab w:val="left" w:pos="8620"/>
        <w:tab w:val="left" w:pos="11760"/>
        <w:tab w:val="left" w:pos="12960"/>
      </w:tabs>
      <w:suppressAutoHyphens/>
      <w:spacing w:line="180" w:lineRule="atLeast"/>
      <w:jc w:val="both"/>
      <w:rPr>
        <w:spacing w:val="-2"/>
        <w:sz w:val="16"/>
        <w:szCs w:val="16"/>
      </w:rPr>
    </w:pPr>
  </w:p>
  <w:p w14:paraId="5A80E893" w14:textId="3721354F" w:rsidR="003135AC" w:rsidRDefault="00145BD6">
    <w:pPr>
      <w:spacing w:after="140" w:line="100" w:lineRule="exact"/>
      <w:rPr>
        <w:rFonts w:cs="Times New Roman"/>
        <w:sz w:val="10"/>
        <w:szCs w:val="10"/>
      </w:rPr>
    </w:pPr>
    <w:r>
      <w:rPr>
        <w:rFonts w:cs="Times New Roman"/>
        <w:noProof/>
        <w:sz w:val="10"/>
        <w:szCs w:val="10"/>
        <w:lang w:val="en-US"/>
      </w:rPr>
      <mc:AlternateContent>
        <mc:Choice Requires="wps">
          <w:drawing>
            <wp:anchor distT="0" distB="0" distL="114300" distR="114300" simplePos="0" relativeHeight="251657728" behindDoc="0" locked="0" layoutInCell="1" allowOverlap="1" wp14:anchorId="49398E15" wp14:editId="6D60D6E6">
              <wp:simplePos x="0" y="0"/>
              <wp:positionH relativeFrom="column">
                <wp:posOffset>5298440</wp:posOffset>
              </wp:positionH>
              <wp:positionV relativeFrom="paragraph">
                <wp:posOffset>105410</wp:posOffset>
              </wp:positionV>
              <wp:extent cx="532130" cy="94056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40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9F4A" w14:textId="77777777" w:rsidR="003135AC" w:rsidRPr="00B528A5" w:rsidRDefault="003135AC" w:rsidP="00457EB0">
                          <w:pPr>
                            <w:spacing w:line="480" w:lineRule="auto"/>
                            <w:rPr>
                              <w:rFonts w:ascii="Arial" w:hAnsi="Arial" w:cs="Arial"/>
                              <w:sz w:val="28"/>
                              <w:szCs w:val="28"/>
                            </w:rPr>
                          </w:pPr>
                        </w:p>
                        <w:p w14:paraId="5E0293CD" w14:textId="77777777" w:rsidR="003135AC" w:rsidRPr="00B528A5" w:rsidRDefault="003135AC" w:rsidP="00457EB0">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398E15" id="_x0000_t202" coordsize="21600,21600" o:spt="202" path="m,l,21600r21600,l21600,xe">
              <v:stroke joinstyle="miter"/>
              <v:path gradientshapeok="t" o:connecttype="rect"/>
            </v:shapetype>
            <v:shape id="Text Box 8" o:spid="_x0000_s1027" type="#_x0000_t202" style="position:absolute;margin-left:417.2pt;margin-top:8.3pt;width:41.9pt;height:7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Kr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" filled="f" stroked="f">
              <v:textbox>
                <w:txbxContent>
                  <w:p w14:paraId="18039F4A" w14:textId="77777777" w:rsidR="003135AC" w:rsidRPr="00B528A5" w:rsidRDefault="003135AC" w:rsidP="00457EB0">
                    <w:pPr>
                      <w:spacing w:line="480" w:lineRule="auto"/>
                      <w:rPr>
                        <w:rFonts w:ascii="Arial" w:hAnsi="Arial" w:cs="Arial"/>
                        <w:sz w:val="28"/>
                        <w:szCs w:val="28"/>
                      </w:rPr>
                    </w:pPr>
                  </w:p>
                  <w:p w14:paraId="5E0293CD" w14:textId="77777777" w:rsidR="003135AC" w:rsidRPr="00B528A5" w:rsidRDefault="003135AC" w:rsidP="00457EB0">
                    <w:pPr>
                      <w:spacing w:line="48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43805D1"/>
    <w:multiLevelType w:val="hybridMultilevel"/>
    <w:tmpl w:val="ECEE2E6E"/>
    <w:lvl w:ilvl="0" w:tplc="C4E4E02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05B04E33"/>
    <w:multiLevelType w:val="hybridMultilevel"/>
    <w:tmpl w:val="607CD1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nsid w:val="33492E2A"/>
    <w:multiLevelType w:val="hybridMultilevel"/>
    <w:tmpl w:val="9A18EF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36B3C40"/>
    <w:multiLevelType w:val="hybridMultilevel"/>
    <w:tmpl w:val="611A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434DBC"/>
    <w:multiLevelType w:val="hybridMultilevel"/>
    <w:tmpl w:val="BE7AE168"/>
    <w:lvl w:ilvl="0" w:tplc="A7A042B0">
      <w:start w:val="1"/>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9">
    <w:nsid w:val="37C66F34"/>
    <w:multiLevelType w:val="hybridMultilevel"/>
    <w:tmpl w:val="A21A6714"/>
    <w:lvl w:ilvl="0" w:tplc="A110740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nsid w:val="56443618"/>
    <w:multiLevelType w:val="hybridMultilevel"/>
    <w:tmpl w:val="29FE6572"/>
    <w:lvl w:ilvl="0" w:tplc="F9C6BD50">
      <w:start w:val="76"/>
      <w:numFmt w:val="bullet"/>
      <w:lvlText w:val="-"/>
      <w:lvlJc w:val="left"/>
      <w:pPr>
        <w:ind w:left="2063" w:hanging="360"/>
      </w:pPr>
      <w:rPr>
        <w:rFonts w:ascii="Arial" w:eastAsia="Times New Roman" w:hAnsi="Arial" w:cs="Arial" w:hint="default"/>
      </w:rPr>
    </w:lvl>
    <w:lvl w:ilvl="1" w:tplc="08090003" w:tentative="1">
      <w:start w:val="1"/>
      <w:numFmt w:val="bullet"/>
      <w:lvlText w:val="o"/>
      <w:lvlJc w:val="left"/>
      <w:pPr>
        <w:ind w:left="2783" w:hanging="360"/>
      </w:pPr>
      <w:rPr>
        <w:rFonts w:ascii="Courier New" w:hAnsi="Courier New" w:cs="Courier New" w:hint="default"/>
      </w:rPr>
    </w:lvl>
    <w:lvl w:ilvl="2" w:tplc="08090005" w:tentative="1">
      <w:start w:val="1"/>
      <w:numFmt w:val="bullet"/>
      <w:lvlText w:val=""/>
      <w:lvlJc w:val="left"/>
      <w:pPr>
        <w:ind w:left="3503" w:hanging="360"/>
      </w:pPr>
      <w:rPr>
        <w:rFonts w:ascii="Wingdings" w:hAnsi="Wingdings" w:hint="default"/>
      </w:rPr>
    </w:lvl>
    <w:lvl w:ilvl="3" w:tplc="08090001" w:tentative="1">
      <w:start w:val="1"/>
      <w:numFmt w:val="bullet"/>
      <w:lvlText w:val=""/>
      <w:lvlJc w:val="left"/>
      <w:pPr>
        <w:ind w:left="4223" w:hanging="360"/>
      </w:pPr>
      <w:rPr>
        <w:rFonts w:ascii="Symbol" w:hAnsi="Symbol" w:hint="default"/>
      </w:rPr>
    </w:lvl>
    <w:lvl w:ilvl="4" w:tplc="08090003" w:tentative="1">
      <w:start w:val="1"/>
      <w:numFmt w:val="bullet"/>
      <w:lvlText w:val="o"/>
      <w:lvlJc w:val="left"/>
      <w:pPr>
        <w:ind w:left="4943" w:hanging="360"/>
      </w:pPr>
      <w:rPr>
        <w:rFonts w:ascii="Courier New" w:hAnsi="Courier New" w:cs="Courier New" w:hint="default"/>
      </w:rPr>
    </w:lvl>
    <w:lvl w:ilvl="5" w:tplc="08090005" w:tentative="1">
      <w:start w:val="1"/>
      <w:numFmt w:val="bullet"/>
      <w:lvlText w:val=""/>
      <w:lvlJc w:val="left"/>
      <w:pPr>
        <w:ind w:left="5663" w:hanging="360"/>
      </w:pPr>
      <w:rPr>
        <w:rFonts w:ascii="Wingdings" w:hAnsi="Wingdings" w:hint="default"/>
      </w:rPr>
    </w:lvl>
    <w:lvl w:ilvl="6" w:tplc="08090001" w:tentative="1">
      <w:start w:val="1"/>
      <w:numFmt w:val="bullet"/>
      <w:lvlText w:val=""/>
      <w:lvlJc w:val="left"/>
      <w:pPr>
        <w:ind w:left="6383" w:hanging="360"/>
      </w:pPr>
      <w:rPr>
        <w:rFonts w:ascii="Symbol" w:hAnsi="Symbol" w:hint="default"/>
      </w:rPr>
    </w:lvl>
    <w:lvl w:ilvl="7" w:tplc="08090003" w:tentative="1">
      <w:start w:val="1"/>
      <w:numFmt w:val="bullet"/>
      <w:lvlText w:val="o"/>
      <w:lvlJc w:val="left"/>
      <w:pPr>
        <w:ind w:left="7103" w:hanging="360"/>
      </w:pPr>
      <w:rPr>
        <w:rFonts w:ascii="Courier New" w:hAnsi="Courier New" w:cs="Courier New" w:hint="default"/>
      </w:rPr>
    </w:lvl>
    <w:lvl w:ilvl="8" w:tplc="08090005" w:tentative="1">
      <w:start w:val="1"/>
      <w:numFmt w:val="bullet"/>
      <w:lvlText w:val=""/>
      <w:lvlJc w:val="left"/>
      <w:pPr>
        <w:ind w:left="7823" w:hanging="360"/>
      </w:pPr>
      <w:rPr>
        <w:rFonts w:ascii="Wingdings" w:hAnsi="Wingdings" w:hint="default"/>
      </w:rPr>
    </w:lvl>
  </w:abstractNum>
  <w:abstractNum w:abstractNumId="13">
    <w:nsid w:val="585E474D"/>
    <w:multiLevelType w:val="hybridMultilevel"/>
    <w:tmpl w:val="5C0EF6CE"/>
    <w:lvl w:ilvl="0" w:tplc="C9543CEA">
      <w:start w:val="1"/>
      <w:numFmt w:val="upp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4">
    <w:nsid w:val="63214419"/>
    <w:multiLevelType w:val="multilevel"/>
    <w:tmpl w:val="483234AC"/>
    <w:lvl w:ilvl="0">
      <w:start w:val="2"/>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77C9383A"/>
    <w:multiLevelType w:val="multilevel"/>
    <w:tmpl w:val="47ECBCCC"/>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num w:numId="1">
    <w:abstractNumId w:val="0"/>
  </w:num>
  <w:num w:numId="2">
    <w:abstractNumId w:val="1"/>
  </w:num>
  <w:num w:numId="3">
    <w:abstractNumId w:val="2"/>
  </w:num>
  <w:num w:numId="4">
    <w:abstractNumId w:val="11"/>
  </w:num>
  <w:num w:numId="5">
    <w:abstractNumId w:val="10"/>
  </w:num>
  <w:num w:numId="6">
    <w:abstractNumId w:val="5"/>
  </w:num>
  <w:num w:numId="7">
    <w:abstractNumId w:val="7"/>
  </w:num>
  <w:num w:numId="8">
    <w:abstractNumId w:val="15"/>
  </w:num>
  <w:num w:numId="9">
    <w:abstractNumId w:val="6"/>
  </w:num>
  <w:num w:numId="10">
    <w:abstractNumId w:val="13"/>
  </w:num>
  <w:num w:numId="11">
    <w:abstractNumId w:val="14"/>
  </w:num>
  <w:num w:numId="12">
    <w:abstractNumId w:val="4"/>
  </w:num>
  <w:num w:numId="13">
    <w:abstractNumId w:val="12"/>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A2"/>
    <w:rsid w:val="00001715"/>
    <w:rsid w:val="00006876"/>
    <w:rsid w:val="00006B60"/>
    <w:rsid w:val="00006D80"/>
    <w:rsid w:val="00013A00"/>
    <w:rsid w:val="00014F0D"/>
    <w:rsid w:val="000174A4"/>
    <w:rsid w:val="00021183"/>
    <w:rsid w:val="00023FA2"/>
    <w:rsid w:val="0002536B"/>
    <w:rsid w:val="00026179"/>
    <w:rsid w:val="0003022A"/>
    <w:rsid w:val="000323CD"/>
    <w:rsid w:val="000354B2"/>
    <w:rsid w:val="000354FF"/>
    <w:rsid w:val="00046136"/>
    <w:rsid w:val="00047030"/>
    <w:rsid w:val="000529FB"/>
    <w:rsid w:val="0005627D"/>
    <w:rsid w:val="000575CF"/>
    <w:rsid w:val="00057B29"/>
    <w:rsid w:val="00061AAD"/>
    <w:rsid w:val="000624BC"/>
    <w:rsid w:val="000634A7"/>
    <w:rsid w:val="00064A9E"/>
    <w:rsid w:val="00065F9A"/>
    <w:rsid w:val="00071782"/>
    <w:rsid w:val="00073131"/>
    <w:rsid w:val="000748A0"/>
    <w:rsid w:val="00074C1D"/>
    <w:rsid w:val="00082008"/>
    <w:rsid w:val="00083FE0"/>
    <w:rsid w:val="00085B98"/>
    <w:rsid w:val="00086DBA"/>
    <w:rsid w:val="00092257"/>
    <w:rsid w:val="000927A1"/>
    <w:rsid w:val="000930AC"/>
    <w:rsid w:val="0009446F"/>
    <w:rsid w:val="00097DD1"/>
    <w:rsid w:val="000A272B"/>
    <w:rsid w:val="000A48F3"/>
    <w:rsid w:val="000B06CB"/>
    <w:rsid w:val="000B1D1F"/>
    <w:rsid w:val="000B3A2B"/>
    <w:rsid w:val="000B4056"/>
    <w:rsid w:val="000B4A83"/>
    <w:rsid w:val="000C0143"/>
    <w:rsid w:val="000C3AC3"/>
    <w:rsid w:val="000C71D4"/>
    <w:rsid w:val="000D411B"/>
    <w:rsid w:val="000D4B2F"/>
    <w:rsid w:val="000D54CE"/>
    <w:rsid w:val="000E01B4"/>
    <w:rsid w:val="000E0E63"/>
    <w:rsid w:val="000E4DCF"/>
    <w:rsid w:val="000E5247"/>
    <w:rsid w:val="000F0ABD"/>
    <w:rsid w:val="000F0C07"/>
    <w:rsid w:val="000F3F48"/>
    <w:rsid w:val="001036D3"/>
    <w:rsid w:val="001041E9"/>
    <w:rsid w:val="00107028"/>
    <w:rsid w:val="00110492"/>
    <w:rsid w:val="00115E63"/>
    <w:rsid w:val="00122B11"/>
    <w:rsid w:val="00123325"/>
    <w:rsid w:val="00125C98"/>
    <w:rsid w:val="0013265A"/>
    <w:rsid w:val="00134356"/>
    <w:rsid w:val="001357DA"/>
    <w:rsid w:val="00136C15"/>
    <w:rsid w:val="00142B23"/>
    <w:rsid w:val="00143A09"/>
    <w:rsid w:val="001453F6"/>
    <w:rsid w:val="00145BD6"/>
    <w:rsid w:val="001462CD"/>
    <w:rsid w:val="00146DD7"/>
    <w:rsid w:val="00147991"/>
    <w:rsid w:val="0015009B"/>
    <w:rsid w:val="00150543"/>
    <w:rsid w:val="00165E10"/>
    <w:rsid w:val="001707BC"/>
    <w:rsid w:val="00172BE9"/>
    <w:rsid w:val="001855AA"/>
    <w:rsid w:val="00187986"/>
    <w:rsid w:val="00187F41"/>
    <w:rsid w:val="0019026D"/>
    <w:rsid w:val="0019167A"/>
    <w:rsid w:val="00195ECA"/>
    <w:rsid w:val="0019724B"/>
    <w:rsid w:val="001A0857"/>
    <w:rsid w:val="001A3566"/>
    <w:rsid w:val="001A3B71"/>
    <w:rsid w:val="001A4416"/>
    <w:rsid w:val="001A5628"/>
    <w:rsid w:val="001B10F2"/>
    <w:rsid w:val="001B16C3"/>
    <w:rsid w:val="001B3F3F"/>
    <w:rsid w:val="001B5171"/>
    <w:rsid w:val="001B632F"/>
    <w:rsid w:val="001B6E60"/>
    <w:rsid w:val="001C2147"/>
    <w:rsid w:val="001C3CB8"/>
    <w:rsid w:val="001C73B1"/>
    <w:rsid w:val="001C745C"/>
    <w:rsid w:val="001D7F54"/>
    <w:rsid w:val="001E0C64"/>
    <w:rsid w:val="001E2C7E"/>
    <w:rsid w:val="001E2CEC"/>
    <w:rsid w:val="001E4E85"/>
    <w:rsid w:val="001F1553"/>
    <w:rsid w:val="001F3369"/>
    <w:rsid w:val="00214560"/>
    <w:rsid w:val="002149BF"/>
    <w:rsid w:val="00221EF1"/>
    <w:rsid w:val="00224E95"/>
    <w:rsid w:val="00225CEF"/>
    <w:rsid w:val="00225DF7"/>
    <w:rsid w:val="0022609E"/>
    <w:rsid w:val="0022679C"/>
    <w:rsid w:val="00227651"/>
    <w:rsid w:val="002317B1"/>
    <w:rsid w:val="0023372B"/>
    <w:rsid w:val="00234A8E"/>
    <w:rsid w:val="002362A8"/>
    <w:rsid w:val="00236A7F"/>
    <w:rsid w:val="00243A6D"/>
    <w:rsid w:val="00244287"/>
    <w:rsid w:val="002506A9"/>
    <w:rsid w:val="0025435D"/>
    <w:rsid w:val="00254665"/>
    <w:rsid w:val="00266D2A"/>
    <w:rsid w:val="00266D7E"/>
    <w:rsid w:val="0026754F"/>
    <w:rsid w:val="00271F3C"/>
    <w:rsid w:val="00283C67"/>
    <w:rsid w:val="002935EC"/>
    <w:rsid w:val="00297176"/>
    <w:rsid w:val="002A238F"/>
    <w:rsid w:val="002A2C6D"/>
    <w:rsid w:val="002A2FF8"/>
    <w:rsid w:val="002A31B8"/>
    <w:rsid w:val="002B10BC"/>
    <w:rsid w:val="002B404B"/>
    <w:rsid w:val="002B4A15"/>
    <w:rsid w:val="002C26AF"/>
    <w:rsid w:val="002C6BD3"/>
    <w:rsid w:val="002D07D7"/>
    <w:rsid w:val="002D271C"/>
    <w:rsid w:val="002D344B"/>
    <w:rsid w:val="002D64D2"/>
    <w:rsid w:val="002D7358"/>
    <w:rsid w:val="002E171B"/>
    <w:rsid w:val="002E276E"/>
    <w:rsid w:val="002F106F"/>
    <w:rsid w:val="002F635E"/>
    <w:rsid w:val="002F6D18"/>
    <w:rsid w:val="002F7CFB"/>
    <w:rsid w:val="00304094"/>
    <w:rsid w:val="00311771"/>
    <w:rsid w:val="00312B53"/>
    <w:rsid w:val="003135AC"/>
    <w:rsid w:val="00314759"/>
    <w:rsid w:val="00314E87"/>
    <w:rsid w:val="00320F07"/>
    <w:rsid w:val="00321BC7"/>
    <w:rsid w:val="0032664E"/>
    <w:rsid w:val="00331016"/>
    <w:rsid w:val="00334327"/>
    <w:rsid w:val="00340CED"/>
    <w:rsid w:val="0034160F"/>
    <w:rsid w:val="00341FFE"/>
    <w:rsid w:val="003434AD"/>
    <w:rsid w:val="003463CC"/>
    <w:rsid w:val="00346FE2"/>
    <w:rsid w:val="00347391"/>
    <w:rsid w:val="00347936"/>
    <w:rsid w:val="0035081A"/>
    <w:rsid w:val="003518DA"/>
    <w:rsid w:val="00352982"/>
    <w:rsid w:val="00352B68"/>
    <w:rsid w:val="0035594C"/>
    <w:rsid w:val="00363299"/>
    <w:rsid w:val="00371F32"/>
    <w:rsid w:val="003750F5"/>
    <w:rsid w:val="00376862"/>
    <w:rsid w:val="003775BD"/>
    <w:rsid w:val="0038084F"/>
    <w:rsid w:val="00381755"/>
    <w:rsid w:val="00392DA7"/>
    <w:rsid w:val="00393A1C"/>
    <w:rsid w:val="00394B85"/>
    <w:rsid w:val="00396019"/>
    <w:rsid w:val="003A0F30"/>
    <w:rsid w:val="003A398E"/>
    <w:rsid w:val="003B09F2"/>
    <w:rsid w:val="003B1A82"/>
    <w:rsid w:val="003C7BB2"/>
    <w:rsid w:val="003D5A4D"/>
    <w:rsid w:val="003E0F52"/>
    <w:rsid w:val="003E6491"/>
    <w:rsid w:val="003F0ACA"/>
    <w:rsid w:val="003F2D6A"/>
    <w:rsid w:val="003F76CB"/>
    <w:rsid w:val="00416C87"/>
    <w:rsid w:val="0042293B"/>
    <w:rsid w:val="004242B1"/>
    <w:rsid w:val="00425480"/>
    <w:rsid w:val="00431B40"/>
    <w:rsid w:val="00432888"/>
    <w:rsid w:val="004353C4"/>
    <w:rsid w:val="00435B23"/>
    <w:rsid w:val="004409D5"/>
    <w:rsid w:val="00440EE5"/>
    <w:rsid w:val="0044105C"/>
    <w:rsid w:val="004462A7"/>
    <w:rsid w:val="0045104D"/>
    <w:rsid w:val="004537D9"/>
    <w:rsid w:val="0045397A"/>
    <w:rsid w:val="00454667"/>
    <w:rsid w:val="004555BB"/>
    <w:rsid w:val="00457EB0"/>
    <w:rsid w:val="00462A89"/>
    <w:rsid w:val="004656CA"/>
    <w:rsid w:val="00465C99"/>
    <w:rsid w:val="00475AF2"/>
    <w:rsid w:val="0047744D"/>
    <w:rsid w:val="0048171E"/>
    <w:rsid w:val="00482EDB"/>
    <w:rsid w:val="00484463"/>
    <w:rsid w:val="00485D23"/>
    <w:rsid w:val="00486E32"/>
    <w:rsid w:val="00487E38"/>
    <w:rsid w:val="00495F71"/>
    <w:rsid w:val="00496758"/>
    <w:rsid w:val="00497ABA"/>
    <w:rsid w:val="004A352E"/>
    <w:rsid w:val="004A6318"/>
    <w:rsid w:val="004B281C"/>
    <w:rsid w:val="004B2EAB"/>
    <w:rsid w:val="004B32DD"/>
    <w:rsid w:val="004B5AB6"/>
    <w:rsid w:val="004B6353"/>
    <w:rsid w:val="004B7AAA"/>
    <w:rsid w:val="004C3D9C"/>
    <w:rsid w:val="004C4548"/>
    <w:rsid w:val="004C5FA2"/>
    <w:rsid w:val="004D14C8"/>
    <w:rsid w:val="004D1DAF"/>
    <w:rsid w:val="004E414D"/>
    <w:rsid w:val="004F0941"/>
    <w:rsid w:val="004F218A"/>
    <w:rsid w:val="004F3FA8"/>
    <w:rsid w:val="004F60F1"/>
    <w:rsid w:val="004F6A9F"/>
    <w:rsid w:val="004F79DB"/>
    <w:rsid w:val="004F7B15"/>
    <w:rsid w:val="0050076B"/>
    <w:rsid w:val="00500AFF"/>
    <w:rsid w:val="00507DBC"/>
    <w:rsid w:val="00511805"/>
    <w:rsid w:val="0051409B"/>
    <w:rsid w:val="005218B7"/>
    <w:rsid w:val="00521E39"/>
    <w:rsid w:val="00522469"/>
    <w:rsid w:val="00534229"/>
    <w:rsid w:val="005523E6"/>
    <w:rsid w:val="00552438"/>
    <w:rsid w:val="00554EBE"/>
    <w:rsid w:val="00555F1B"/>
    <w:rsid w:val="00557D98"/>
    <w:rsid w:val="00563763"/>
    <w:rsid w:val="00563E3E"/>
    <w:rsid w:val="00567752"/>
    <w:rsid w:val="00572C66"/>
    <w:rsid w:val="005765E1"/>
    <w:rsid w:val="005843FF"/>
    <w:rsid w:val="005850DB"/>
    <w:rsid w:val="00585D76"/>
    <w:rsid w:val="005906D7"/>
    <w:rsid w:val="00590AD5"/>
    <w:rsid w:val="00595367"/>
    <w:rsid w:val="00595693"/>
    <w:rsid w:val="005A16A3"/>
    <w:rsid w:val="005A1E2E"/>
    <w:rsid w:val="005A2E3E"/>
    <w:rsid w:val="005A4B12"/>
    <w:rsid w:val="005B23D5"/>
    <w:rsid w:val="005B27E6"/>
    <w:rsid w:val="005B2865"/>
    <w:rsid w:val="005C382A"/>
    <w:rsid w:val="005C475E"/>
    <w:rsid w:val="005C48CF"/>
    <w:rsid w:val="005D2506"/>
    <w:rsid w:val="005D65E3"/>
    <w:rsid w:val="005E2A58"/>
    <w:rsid w:val="005E323D"/>
    <w:rsid w:val="005F1D61"/>
    <w:rsid w:val="005F22FE"/>
    <w:rsid w:val="005F28D4"/>
    <w:rsid w:val="005F2CB0"/>
    <w:rsid w:val="005F3C91"/>
    <w:rsid w:val="005F490B"/>
    <w:rsid w:val="005F6053"/>
    <w:rsid w:val="005F761C"/>
    <w:rsid w:val="00600C74"/>
    <w:rsid w:val="00600DA9"/>
    <w:rsid w:val="006016A9"/>
    <w:rsid w:val="0060398B"/>
    <w:rsid w:val="0061019B"/>
    <w:rsid w:val="00612B05"/>
    <w:rsid w:val="00612E41"/>
    <w:rsid w:val="00614953"/>
    <w:rsid w:val="00620A4B"/>
    <w:rsid w:val="00621EC2"/>
    <w:rsid w:val="0062261A"/>
    <w:rsid w:val="00624848"/>
    <w:rsid w:val="0062745A"/>
    <w:rsid w:val="00633BDE"/>
    <w:rsid w:val="006375CF"/>
    <w:rsid w:val="006419CA"/>
    <w:rsid w:val="00642EB1"/>
    <w:rsid w:val="0064334A"/>
    <w:rsid w:val="006465A5"/>
    <w:rsid w:val="006517F1"/>
    <w:rsid w:val="006564E2"/>
    <w:rsid w:val="00656B0B"/>
    <w:rsid w:val="00657293"/>
    <w:rsid w:val="00660DE4"/>
    <w:rsid w:val="00663909"/>
    <w:rsid w:val="0066456C"/>
    <w:rsid w:val="006647DD"/>
    <w:rsid w:val="00670F6E"/>
    <w:rsid w:val="00671193"/>
    <w:rsid w:val="006738FB"/>
    <w:rsid w:val="00681CA1"/>
    <w:rsid w:val="00683324"/>
    <w:rsid w:val="00684CBC"/>
    <w:rsid w:val="0068590A"/>
    <w:rsid w:val="006907D6"/>
    <w:rsid w:val="006951C1"/>
    <w:rsid w:val="006A2214"/>
    <w:rsid w:val="006B494B"/>
    <w:rsid w:val="006D0D48"/>
    <w:rsid w:val="006D2C75"/>
    <w:rsid w:val="006D581A"/>
    <w:rsid w:val="006D637F"/>
    <w:rsid w:val="006E69AE"/>
    <w:rsid w:val="006E7F01"/>
    <w:rsid w:val="006F1752"/>
    <w:rsid w:val="006F26C4"/>
    <w:rsid w:val="006F5826"/>
    <w:rsid w:val="006F7960"/>
    <w:rsid w:val="00700866"/>
    <w:rsid w:val="00703898"/>
    <w:rsid w:val="00707E8C"/>
    <w:rsid w:val="007111DE"/>
    <w:rsid w:val="00712C90"/>
    <w:rsid w:val="00713350"/>
    <w:rsid w:val="007137C8"/>
    <w:rsid w:val="007140AF"/>
    <w:rsid w:val="007142DE"/>
    <w:rsid w:val="00714498"/>
    <w:rsid w:val="0071663B"/>
    <w:rsid w:val="007229B5"/>
    <w:rsid w:val="00723FFB"/>
    <w:rsid w:val="00733CFA"/>
    <w:rsid w:val="00741CE4"/>
    <w:rsid w:val="007428B5"/>
    <w:rsid w:val="007511A8"/>
    <w:rsid w:val="007526CC"/>
    <w:rsid w:val="007576DD"/>
    <w:rsid w:val="007612A6"/>
    <w:rsid w:val="00763E23"/>
    <w:rsid w:val="007709EB"/>
    <w:rsid w:val="007763A2"/>
    <w:rsid w:val="00782036"/>
    <w:rsid w:val="00783725"/>
    <w:rsid w:val="00791FAB"/>
    <w:rsid w:val="007A0D29"/>
    <w:rsid w:val="007A3626"/>
    <w:rsid w:val="007A591E"/>
    <w:rsid w:val="007B0919"/>
    <w:rsid w:val="007B2376"/>
    <w:rsid w:val="007D1748"/>
    <w:rsid w:val="007D2580"/>
    <w:rsid w:val="007E6D03"/>
    <w:rsid w:val="007F08FA"/>
    <w:rsid w:val="007F17E4"/>
    <w:rsid w:val="007F2F1E"/>
    <w:rsid w:val="008004CA"/>
    <w:rsid w:val="008017A7"/>
    <w:rsid w:val="008029E6"/>
    <w:rsid w:val="00804CD3"/>
    <w:rsid w:val="00805413"/>
    <w:rsid w:val="0081310A"/>
    <w:rsid w:val="0081376E"/>
    <w:rsid w:val="00815CE0"/>
    <w:rsid w:val="00816286"/>
    <w:rsid w:val="00820AC5"/>
    <w:rsid w:val="0082334F"/>
    <w:rsid w:val="00824748"/>
    <w:rsid w:val="008251E1"/>
    <w:rsid w:val="008319CF"/>
    <w:rsid w:val="00833B39"/>
    <w:rsid w:val="00834194"/>
    <w:rsid w:val="00837949"/>
    <w:rsid w:val="008548D7"/>
    <w:rsid w:val="00855403"/>
    <w:rsid w:val="00862B87"/>
    <w:rsid w:val="0086644A"/>
    <w:rsid w:val="00874606"/>
    <w:rsid w:val="00875FF3"/>
    <w:rsid w:val="00877381"/>
    <w:rsid w:val="0088157F"/>
    <w:rsid w:val="008879DD"/>
    <w:rsid w:val="008943DB"/>
    <w:rsid w:val="00894BAF"/>
    <w:rsid w:val="00895848"/>
    <w:rsid w:val="00895FED"/>
    <w:rsid w:val="008A0259"/>
    <w:rsid w:val="008A2626"/>
    <w:rsid w:val="008A65B9"/>
    <w:rsid w:val="008A7075"/>
    <w:rsid w:val="008A7DDB"/>
    <w:rsid w:val="008B10B8"/>
    <w:rsid w:val="008B77FF"/>
    <w:rsid w:val="008D62CF"/>
    <w:rsid w:val="008D7EB2"/>
    <w:rsid w:val="008E5D71"/>
    <w:rsid w:val="008E68C8"/>
    <w:rsid w:val="008F0F02"/>
    <w:rsid w:val="008F22B4"/>
    <w:rsid w:val="008F6767"/>
    <w:rsid w:val="00900234"/>
    <w:rsid w:val="009007EC"/>
    <w:rsid w:val="009016A3"/>
    <w:rsid w:val="009053C2"/>
    <w:rsid w:val="009066D8"/>
    <w:rsid w:val="00911299"/>
    <w:rsid w:val="00912E93"/>
    <w:rsid w:val="0091624A"/>
    <w:rsid w:val="00923952"/>
    <w:rsid w:val="009267B5"/>
    <w:rsid w:val="0093309D"/>
    <w:rsid w:val="00933FE0"/>
    <w:rsid w:val="009347C8"/>
    <w:rsid w:val="00935283"/>
    <w:rsid w:val="00945754"/>
    <w:rsid w:val="009506A1"/>
    <w:rsid w:val="00961EE9"/>
    <w:rsid w:val="009631D3"/>
    <w:rsid w:val="009636A2"/>
    <w:rsid w:val="00965755"/>
    <w:rsid w:val="00971F7B"/>
    <w:rsid w:val="0097636B"/>
    <w:rsid w:val="00983053"/>
    <w:rsid w:val="00984A27"/>
    <w:rsid w:val="009860F4"/>
    <w:rsid w:val="00986208"/>
    <w:rsid w:val="00986ADE"/>
    <w:rsid w:val="009900DF"/>
    <w:rsid w:val="00990F61"/>
    <w:rsid w:val="009A1138"/>
    <w:rsid w:val="009A1FC2"/>
    <w:rsid w:val="009A3C1F"/>
    <w:rsid w:val="009A3FE8"/>
    <w:rsid w:val="009A5723"/>
    <w:rsid w:val="009A6B16"/>
    <w:rsid w:val="009A79E2"/>
    <w:rsid w:val="009B1A89"/>
    <w:rsid w:val="009B658C"/>
    <w:rsid w:val="009C09B1"/>
    <w:rsid w:val="009C4956"/>
    <w:rsid w:val="009C4ABE"/>
    <w:rsid w:val="009C7EF1"/>
    <w:rsid w:val="009D3172"/>
    <w:rsid w:val="009D320D"/>
    <w:rsid w:val="009D5633"/>
    <w:rsid w:val="009D604E"/>
    <w:rsid w:val="009E047D"/>
    <w:rsid w:val="009E34BE"/>
    <w:rsid w:val="009E3BD9"/>
    <w:rsid w:val="009E3BEF"/>
    <w:rsid w:val="009F09C0"/>
    <w:rsid w:val="009F0E8D"/>
    <w:rsid w:val="009F39D3"/>
    <w:rsid w:val="00A029D8"/>
    <w:rsid w:val="00A05EC2"/>
    <w:rsid w:val="00A06B6E"/>
    <w:rsid w:val="00A13490"/>
    <w:rsid w:val="00A14C1B"/>
    <w:rsid w:val="00A25333"/>
    <w:rsid w:val="00A3479A"/>
    <w:rsid w:val="00A4110D"/>
    <w:rsid w:val="00A47AF3"/>
    <w:rsid w:val="00A51530"/>
    <w:rsid w:val="00A53EFC"/>
    <w:rsid w:val="00A55509"/>
    <w:rsid w:val="00A60442"/>
    <w:rsid w:val="00A615CE"/>
    <w:rsid w:val="00A66E48"/>
    <w:rsid w:val="00A729DB"/>
    <w:rsid w:val="00A730A4"/>
    <w:rsid w:val="00A76345"/>
    <w:rsid w:val="00A76FBE"/>
    <w:rsid w:val="00A85680"/>
    <w:rsid w:val="00A957AE"/>
    <w:rsid w:val="00AA1F13"/>
    <w:rsid w:val="00AA7086"/>
    <w:rsid w:val="00AB0B8C"/>
    <w:rsid w:val="00AB6295"/>
    <w:rsid w:val="00AC23A1"/>
    <w:rsid w:val="00AC6666"/>
    <w:rsid w:val="00AE1FC2"/>
    <w:rsid w:val="00AE364B"/>
    <w:rsid w:val="00AF0567"/>
    <w:rsid w:val="00AF06A5"/>
    <w:rsid w:val="00AF1FC7"/>
    <w:rsid w:val="00AF5EF1"/>
    <w:rsid w:val="00B04DBD"/>
    <w:rsid w:val="00B11081"/>
    <w:rsid w:val="00B128F2"/>
    <w:rsid w:val="00B20666"/>
    <w:rsid w:val="00B25782"/>
    <w:rsid w:val="00B33714"/>
    <w:rsid w:val="00B33798"/>
    <w:rsid w:val="00B3491E"/>
    <w:rsid w:val="00B378D4"/>
    <w:rsid w:val="00B45077"/>
    <w:rsid w:val="00B45D8F"/>
    <w:rsid w:val="00B528A5"/>
    <w:rsid w:val="00B528F3"/>
    <w:rsid w:val="00B53817"/>
    <w:rsid w:val="00B6330F"/>
    <w:rsid w:val="00B645EF"/>
    <w:rsid w:val="00B66166"/>
    <w:rsid w:val="00B70FFE"/>
    <w:rsid w:val="00B72826"/>
    <w:rsid w:val="00B72E6F"/>
    <w:rsid w:val="00B7733F"/>
    <w:rsid w:val="00B86DD0"/>
    <w:rsid w:val="00B93FAD"/>
    <w:rsid w:val="00BA3D56"/>
    <w:rsid w:val="00BB3D86"/>
    <w:rsid w:val="00BB3FC5"/>
    <w:rsid w:val="00BB4869"/>
    <w:rsid w:val="00BC627B"/>
    <w:rsid w:val="00BD3289"/>
    <w:rsid w:val="00BD59EE"/>
    <w:rsid w:val="00BD75DF"/>
    <w:rsid w:val="00BE3A90"/>
    <w:rsid w:val="00BE5DD4"/>
    <w:rsid w:val="00BE7217"/>
    <w:rsid w:val="00BF0579"/>
    <w:rsid w:val="00BF2699"/>
    <w:rsid w:val="00BF3B18"/>
    <w:rsid w:val="00BF54E0"/>
    <w:rsid w:val="00C03412"/>
    <w:rsid w:val="00C03E31"/>
    <w:rsid w:val="00C12C8D"/>
    <w:rsid w:val="00C135BC"/>
    <w:rsid w:val="00C13B26"/>
    <w:rsid w:val="00C14EC9"/>
    <w:rsid w:val="00C23668"/>
    <w:rsid w:val="00C403C3"/>
    <w:rsid w:val="00C40671"/>
    <w:rsid w:val="00C4452D"/>
    <w:rsid w:val="00C44C06"/>
    <w:rsid w:val="00C45B3F"/>
    <w:rsid w:val="00C501F2"/>
    <w:rsid w:val="00C50EFD"/>
    <w:rsid w:val="00C516E1"/>
    <w:rsid w:val="00C62EC8"/>
    <w:rsid w:val="00C653B5"/>
    <w:rsid w:val="00C7465A"/>
    <w:rsid w:val="00C75911"/>
    <w:rsid w:val="00C8478A"/>
    <w:rsid w:val="00C848E5"/>
    <w:rsid w:val="00C85116"/>
    <w:rsid w:val="00C91106"/>
    <w:rsid w:val="00C9133C"/>
    <w:rsid w:val="00C93165"/>
    <w:rsid w:val="00C946C2"/>
    <w:rsid w:val="00C969C8"/>
    <w:rsid w:val="00CA164B"/>
    <w:rsid w:val="00CA18D4"/>
    <w:rsid w:val="00CB5ADA"/>
    <w:rsid w:val="00CC2E0C"/>
    <w:rsid w:val="00CD16CF"/>
    <w:rsid w:val="00CD2773"/>
    <w:rsid w:val="00CD2EE3"/>
    <w:rsid w:val="00CD675D"/>
    <w:rsid w:val="00CE31B5"/>
    <w:rsid w:val="00CE51C9"/>
    <w:rsid w:val="00CF3C34"/>
    <w:rsid w:val="00CF6935"/>
    <w:rsid w:val="00D075CC"/>
    <w:rsid w:val="00D14DB1"/>
    <w:rsid w:val="00D16FAE"/>
    <w:rsid w:val="00D17271"/>
    <w:rsid w:val="00D214BB"/>
    <w:rsid w:val="00D22661"/>
    <w:rsid w:val="00D251D6"/>
    <w:rsid w:val="00D27A4B"/>
    <w:rsid w:val="00D34ED7"/>
    <w:rsid w:val="00D41C99"/>
    <w:rsid w:val="00D47BF9"/>
    <w:rsid w:val="00D5036B"/>
    <w:rsid w:val="00D518DC"/>
    <w:rsid w:val="00D5192D"/>
    <w:rsid w:val="00D61339"/>
    <w:rsid w:val="00D63480"/>
    <w:rsid w:val="00D664B6"/>
    <w:rsid w:val="00D72E3E"/>
    <w:rsid w:val="00D73015"/>
    <w:rsid w:val="00D73139"/>
    <w:rsid w:val="00D74BF8"/>
    <w:rsid w:val="00D835BA"/>
    <w:rsid w:val="00D8713D"/>
    <w:rsid w:val="00D879AE"/>
    <w:rsid w:val="00D93405"/>
    <w:rsid w:val="00D95398"/>
    <w:rsid w:val="00DA5603"/>
    <w:rsid w:val="00DB02E5"/>
    <w:rsid w:val="00DB1EA2"/>
    <w:rsid w:val="00DC4C5F"/>
    <w:rsid w:val="00DC589B"/>
    <w:rsid w:val="00DC6562"/>
    <w:rsid w:val="00DC69AE"/>
    <w:rsid w:val="00DC7AFE"/>
    <w:rsid w:val="00DD17AC"/>
    <w:rsid w:val="00DD3D04"/>
    <w:rsid w:val="00DD5EB2"/>
    <w:rsid w:val="00DE040D"/>
    <w:rsid w:val="00DE1379"/>
    <w:rsid w:val="00DE3D4E"/>
    <w:rsid w:val="00DF309B"/>
    <w:rsid w:val="00DF360D"/>
    <w:rsid w:val="00DF7A8F"/>
    <w:rsid w:val="00E05D4F"/>
    <w:rsid w:val="00E06D9A"/>
    <w:rsid w:val="00E07458"/>
    <w:rsid w:val="00E1275D"/>
    <w:rsid w:val="00E13008"/>
    <w:rsid w:val="00E1363E"/>
    <w:rsid w:val="00E152D3"/>
    <w:rsid w:val="00E16771"/>
    <w:rsid w:val="00E172EB"/>
    <w:rsid w:val="00E24E33"/>
    <w:rsid w:val="00E31429"/>
    <w:rsid w:val="00E32ED0"/>
    <w:rsid w:val="00E340B1"/>
    <w:rsid w:val="00E3523A"/>
    <w:rsid w:val="00E36CC8"/>
    <w:rsid w:val="00E535AB"/>
    <w:rsid w:val="00E54711"/>
    <w:rsid w:val="00E566A5"/>
    <w:rsid w:val="00E575CD"/>
    <w:rsid w:val="00E67A05"/>
    <w:rsid w:val="00E7116A"/>
    <w:rsid w:val="00E7134E"/>
    <w:rsid w:val="00E71FF4"/>
    <w:rsid w:val="00E74242"/>
    <w:rsid w:val="00E74D59"/>
    <w:rsid w:val="00E7551C"/>
    <w:rsid w:val="00E759D8"/>
    <w:rsid w:val="00E75E54"/>
    <w:rsid w:val="00E77730"/>
    <w:rsid w:val="00E8405B"/>
    <w:rsid w:val="00E86278"/>
    <w:rsid w:val="00E87B0B"/>
    <w:rsid w:val="00E909D7"/>
    <w:rsid w:val="00E90FA2"/>
    <w:rsid w:val="00E92197"/>
    <w:rsid w:val="00E94C91"/>
    <w:rsid w:val="00E9664B"/>
    <w:rsid w:val="00EA01B3"/>
    <w:rsid w:val="00EA036A"/>
    <w:rsid w:val="00EA2F18"/>
    <w:rsid w:val="00EB55E0"/>
    <w:rsid w:val="00EB5970"/>
    <w:rsid w:val="00EB6E02"/>
    <w:rsid w:val="00EC0B7D"/>
    <w:rsid w:val="00EC0FBA"/>
    <w:rsid w:val="00EC2B65"/>
    <w:rsid w:val="00EC56C7"/>
    <w:rsid w:val="00EC5BDB"/>
    <w:rsid w:val="00EC7EE5"/>
    <w:rsid w:val="00ED4514"/>
    <w:rsid w:val="00ED76E1"/>
    <w:rsid w:val="00EE3FEC"/>
    <w:rsid w:val="00EE46DF"/>
    <w:rsid w:val="00EF1C30"/>
    <w:rsid w:val="00EF2A4F"/>
    <w:rsid w:val="00EF2C5D"/>
    <w:rsid w:val="00EF4CF4"/>
    <w:rsid w:val="00EF55DB"/>
    <w:rsid w:val="00EF6C62"/>
    <w:rsid w:val="00F05520"/>
    <w:rsid w:val="00F10940"/>
    <w:rsid w:val="00F14AA6"/>
    <w:rsid w:val="00F15B79"/>
    <w:rsid w:val="00F15C2D"/>
    <w:rsid w:val="00F2208D"/>
    <w:rsid w:val="00F31A08"/>
    <w:rsid w:val="00F41E21"/>
    <w:rsid w:val="00F46067"/>
    <w:rsid w:val="00F5643A"/>
    <w:rsid w:val="00F56BEC"/>
    <w:rsid w:val="00F6161C"/>
    <w:rsid w:val="00F61B4F"/>
    <w:rsid w:val="00F777E1"/>
    <w:rsid w:val="00F80C43"/>
    <w:rsid w:val="00F86C73"/>
    <w:rsid w:val="00F86C91"/>
    <w:rsid w:val="00F90793"/>
    <w:rsid w:val="00F96EC8"/>
    <w:rsid w:val="00F97B33"/>
    <w:rsid w:val="00FA3B05"/>
    <w:rsid w:val="00FB338F"/>
    <w:rsid w:val="00FB4149"/>
    <w:rsid w:val="00FB52D2"/>
    <w:rsid w:val="00FB6570"/>
    <w:rsid w:val="00FC4CD1"/>
    <w:rsid w:val="00FD2895"/>
    <w:rsid w:val="00FD2BBF"/>
    <w:rsid w:val="00FE02A2"/>
    <w:rsid w:val="00FE392A"/>
    <w:rsid w:val="00FE3FA2"/>
    <w:rsid w:val="00FE4BB6"/>
    <w:rsid w:val="00FE73AC"/>
    <w:rsid w:val="00FF2B2F"/>
    <w:rsid w:val="00FF4572"/>
    <w:rsid w:val="00FF5AF0"/>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D2148B"/>
  <w15:chartTrackingRefBased/>
  <w15:docId w15:val="{4DF7C3FB-ACD8-4D2C-8A48-57874B84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7"/>
    <w:pPr>
      <w:widowControl w:val="0"/>
      <w:autoSpaceDE w:val="0"/>
      <w:autoSpaceDN w:val="0"/>
      <w:adjustRightInd w:val="0"/>
    </w:pPr>
    <w:rPr>
      <w:rFonts w:ascii="Optima" w:hAnsi="Optima" w:cs="Univers"/>
      <w:sz w:val="24"/>
      <w:szCs w:val="25"/>
      <w:lang w:eastAsia="en-US"/>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Times New Roman" w:hAnsi="Times New Roman" w:cs="Times New Roman"/>
      <w:b/>
      <w:bCs/>
      <w:szCs w:val="24"/>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rsid w:val="00D879AE"/>
    <w:pPr>
      <w:tabs>
        <w:tab w:val="left" w:pos="-720"/>
      </w:tabs>
      <w:suppressAutoHyphens/>
      <w:spacing w:line="240" w:lineRule="atLeast"/>
    </w:pPr>
    <w:rPr>
      <w:rFonts w:ascii="Calibri" w:hAnsi="Calibri"/>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rsid w:val="00457EB0"/>
    <w:pPr>
      <w:tabs>
        <w:tab w:val="center" w:pos="4320"/>
        <w:tab w:val="right" w:pos="8640"/>
      </w:tabs>
    </w:pPr>
  </w:style>
  <w:style w:type="paragraph" w:styleId="Footer">
    <w:name w:val="footer"/>
    <w:basedOn w:val="Normal"/>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eastAsia="en-GB"/>
    </w:rPr>
  </w:style>
  <w:style w:type="paragraph" w:styleId="ListParagraph">
    <w:name w:val="List Paragraph"/>
    <w:basedOn w:val="Normal"/>
    <w:uiPriority w:val="34"/>
    <w:qFormat/>
    <w:rsid w:val="00834194"/>
    <w:pPr>
      <w:widowControl/>
      <w:tabs>
        <w:tab w:val="left" w:pos="851"/>
        <w:tab w:val="left" w:pos="1701"/>
        <w:tab w:val="left" w:pos="2835"/>
        <w:tab w:val="right" w:pos="8222"/>
      </w:tabs>
      <w:autoSpaceDE/>
      <w:autoSpaceDN/>
      <w:adjustRightInd/>
      <w:spacing w:after="240"/>
      <w:ind w:left="720"/>
      <w:contextualSpacing/>
    </w:pPr>
    <w:rPr>
      <w:rFonts w:ascii="Century Gothic" w:eastAsia="Calibri" w:hAnsi="Century Gothic" w:cs="Arial"/>
      <w:szCs w:val="22"/>
    </w:rPr>
  </w:style>
  <w:style w:type="table" w:styleId="TableGrid">
    <w:name w:val="Table Grid"/>
    <w:basedOn w:val="TableNormal"/>
    <w:rsid w:val="008A7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621C-BB98-41A4-A49C-0D990D0D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30037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subject/>
  <dc:creator>Francois</dc:creator>
  <cp:keywords/>
  <dc:description/>
  <cp:lastModifiedBy>Mokone</cp:lastModifiedBy>
  <cp:revision>3</cp:revision>
  <cp:lastPrinted>2023-02-10T07:48:00Z</cp:lastPrinted>
  <dcterms:created xsi:type="dcterms:W3CDTF">2023-02-17T10:56:00Z</dcterms:created>
  <dcterms:modified xsi:type="dcterms:W3CDTF">2023-02-17T10:57:00Z</dcterms:modified>
</cp:coreProperties>
</file>