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81421" w14:textId="1F039A82" w:rsidR="006C43D7" w:rsidRPr="000F7813" w:rsidRDefault="00AD3D5D" w:rsidP="00C74E97">
      <w:pPr>
        <w:spacing w:after="120" w:line="360" w:lineRule="auto"/>
        <w:jc w:val="center"/>
        <w:rPr>
          <w:rFonts w:cs="Arial"/>
          <w:b/>
          <w:bCs/>
          <w:szCs w:val="22"/>
        </w:rPr>
      </w:pPr>
      <w:bookmarkStart w:id="0" w:name="_GoBack"/>
      <w:bookmarkEnd w:id="0"/>
      <w:r w:rsidRPr="000F7813">
        <w:rPr>
          <w:rFonts w:cs="Arial"/>
          <w:b/>
          <w:bCs/>
          <w:szCs w:val="22"/>
        </w:rPr>
        <w:t xml:space="preserve"> </w:t>
      </w:r>
      <w:r w:rsidR="006C43D7" w:rsidRPr="000F7813">
        <w:rPr>
          <w:rFonts w:cs="Arial"/>
          <w:b/>
          <w:bCs/>
          <w:noProof/>
          <w:szCs w:val="22"/>
          <w:lang w:eastAsia="en-ZA"/>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CA757B" w:rsidRDefault="006C43D7" w:rsidP="00C74E97">
      <w:pPr>
        <w:spacing w:line="360" w:lineRule="auto"/>
        <w:jc w:val="center"/>
        <w:rPr>
          <w:rFonts w:cs="Arial"/>
          <w:b/>
          <w:szCs w:val="22"/>
        </w:rPr>
      </w:pPr>
      <w:r w:rsidRPr="00CA757B">
        <w:rPr>
          <w:rFonts w:cs="Arial"/>
          <w:b/>
          <w:szCs w:val="22"/>
        </w:rPr>
        <w:t xml:space="preserve">IN THE HIGH COURT OF SOUTH AFRICA, </w:t>
      </w:r>
    </w:p>
    <w:p w14:paraId="566C4D1B" w14:textId="77777777" w:rsidR="006C43D7" w:rsidRPr="00CA757B" w:rsidRDefault="006C43D7" w:rsidP="00C74E97">
      <w:pPr>
        <w:spacing w:line="360" w:lineRule="auto"/>
        <w:jc w:val="center"/>
        <w:rPr>
          <w:rFonts w:cs="Arial"/>
          <w:b/>
          <w:szCs w:val="22"/>
        </w:rPr>
      </w:pPr>
      <w:r w:rsidRPr="00CA757B">
        <w:rPr>
          <w:rFonts w:cs="Arial"/>
          <w:b/>
          <w:szCs w:val="22"/>
        </w:rPr>
        <w:t>GAUTENG DIVISION, JOHANNESBURG</w:t>
      </w:r>
    </w:p>
    <w:p w14:paraId="13D6E83E" w14:textId="77777777" w:rsidR="006C43D7" w:rsidRPr="00CA757B" w:rsidRDefault="006C43D7" w:rsidP="00C74E97">
      <w:pPr>
        <w:spacing w:line="360" w:lineRule="auto"/>
        <w:jc w:val="both"/>
        <w:rPr>
          <w:rFonts w:cs="Arial"/>
          <w:b/>
          <w:szCs w:val="22"/>
        </w:rPr>
      </w:pPr>
    </w:p>
    <w:p w14:paraId="0AF8DD38" w14:textId="1FDB39F3" w:rsidR="006C43D7" w:rsidRPr="00CA757B" w:rsidRDefault="00F913C7" w:rsidP="00C74E97">
      <w:pPr>
        <w:spacing w:line="360" w:lineRule="auto"/>
        <w:jc w:val="right"/>
        <w:rPr>
          <w:rFonts w:cs="Arial"/>
          <w:b/>
          <w:szCs w:val="22"/>
        </w:rPr>
      </w:pPr>
      <w:r w:rsidRPr="00CA757B">
        <w:rPr>
          <w:rFonts w:cs="Arial"/>
          <w:b/>
          <w:szCs w:val="22"/>
        </w:rPr>
        <w:t xml:space="preserve">CASE NO: </w:t>
      </w:r>
      <w:r w:rsidR="00C56E55" w:rsidRPr="00CA757B">
        <w:rPr>
          <w:rFonts w:cs="Arial"/>
          <w:noProof/>
          <w:szCs w:val="22"/>
          <w:lang w:eastAsia="en-ZA"/>
        </w:rPr>
        <mc:AlternateContent>
          <mc:Choice Requires="wps">
            <w:drawing>
              <wp:anchor distT="0" distB="0" distL="114300" distR="114300" simplePos="0" relativeHeight="251659264" behindDoc="0" locked="0" layoutInCell="1" allowOverlap="1" wp14:anchorId="15401FE8" wp14:editId="56542595">
                <wp:simplePos x="0" y="0"/>
                <wp:positionH relativeFrom="margin">
                  <wp:align>left</wp:align>
                </wp:positionH>
                <wp:positionV relativeFrom="paragraph">
                  <wp:posOffset>49530</wp:posOffset>
                </wp:positionV>
                <wp:extent cx="3314700" cy="1592580"/>
                <wp:effectExtent l="0" t="0" r="0" b="7620"/>
                <wp:wrapNone/>
                <wp:docPr id="119049700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580"/>
                        </a:xfrm>
                        <a:prstGeom prst="rect">
                          <a:avLst/>
                        </a:prstGeom>
                        <a:solidFill>
                          <a:srgbClr val="FFFFFF"/>
                        </a:solidFill>
                        <a:ln w="9525">
                          <a:solidFill>
                            <a:srgbClr val="000000"/>
                          </a:solidFill>
                          <a:miter lim="800000"/>
                          <a:headEnd/>
                          <a:tailEnd/>
                        </a:ln>
                      </wps:spPr>
                      <wps:txbx>
                        <w:txbxContent>
                          <w:p w14:paraId="0EA4B470" w14:textId="77777777" w:rsidR="00893C08" w:rsidRPr="00913F95" w:rsidRDefault="00893C08" w:rsidP="006C43D7">
                            <w:pPr>
                              <w:jc w:val="center"/>
                              <w:rPr>
                                <w:rFonts w:ascii="Century Gothic" w:hAnsi="Century Gothic"/>
                                <w:b/>
                                <w:sz w:val="20"/>
                                <w:szCs w:val="20"/>
                              </w:rPr>
                            </w:pPr>
                          </w:p>
                          <w:p w14:paraId="01FDAE28" w14:textId="6A2FF3D0" w:rsidR="00893C08" w:rsidRDefault="00893C08" w:rsidP="00FC42BD">
                            <w:pPr>
                              <w:numPr>
                                <w:ilvl w:val="0"/>
                                <w:numId w:val="2"/>
                              </w:numPr>
                              <w:rPr>
                                <w:rFonts w:ascii="Century Gothic" w:hAnsi="Century Gothic"/>
                                <w:sz w:val="20"/>
                                <w:szCs w:val="20"/>
                              </w:rPr>
                            </w:pPr>
                            <w:r w:rsidRPr="001D3CC2">
                              <w:rPr>
                                <w:rFonts w:ascii="Century Gothic" w:hAnsi="Century Gothic"/>
                                <w:sz w:val="20"/>
                                <w:szCs w:val="20"/>
                              </w:rPr>
                              <w:t xml:space="preserve">REPORTABLE: </w:t>
                            </w:r>
                            <w:r w:rsidR="00413977">
                              <w:rPr>
                                <w:rFonts w:ascii="Century Gothic" w:hAnsi="Century Gothic"/>
                                <w:sz w:val="20"/>
                                <w:szCs w:val="20"/>
                              </w:rPr>
                              <w:t>NO</w:t>
                            </w:r>
                          </w:p>
                          <w:p w14:paraId="3A4C7296" w14:textId="5FEFE774" w:rsidR="00893C08" w:rsidRDefault="00893C08" w:rsidP="00FC42BD">
                            <w:pPr>
                              <w:numPr>
                                <w:ilvl w:val="0"/>
                                <w:numId w:val="2"/>
                              </w:numPr>
                              <w:rPr>
                                <w:rFonts w:ascii="Century Gothic" w:hAnsi="Century Gothic"/>
                                <w:sz w:val="20"/>
                                <w:szCs w:val="20"/>
                              </w:rPr>
                            </w:pPr>
                            <w:r w:rsidRPr="001D3CC2">
                              <w:rPr>
                                <w:rFonts w:ascii="Century Gothic" w:hAnsi="Century Gothic"/>
                                <w:sz w:val="20"/>
                                <w:szCs w:val="20"/>
                              </w:rPr>
                              <w:t>OF INTEREST TO OTHER JUDGES</w:t>
                            </w:r>
                            <w:r>
                              <w:rPr>
                                <w:rFonts w:ascii="Century Gothic" w:hAnsi="Century Gothic"/>
                                <w:sz w:val="20"/>
                                <w:szCs w:val="20"/>
                              </w:rPr>
                              <w:t xml:space="preserve">: </w:t>
                            </w:r>
                            <w:r w:rsidR="00413977">
                              <w:rPr>
                                <w:rFonts w:ascii="Century Gothic" w:hAnsi="Century Gothic"/>
                                <w:sz w:val="20"/>
                                <w:szCs w:val="20"/>
                              </w:rPr>
                              <w:t>NO</w:t>
                            </w:r>
                          </w:p>
                          <w:p w14:paraId="1545E4B8" w14:textId="74255A93" w:rsidR="00CA0F98" w:rsidRPr="001D3CC2" w:rsidRDefault="00CA0F98" w:rsidP="004479C3">
                            <w:pPr>
                              <w:rPr>
                                <w:rFonts w:ascii="Century Gothic" w:hAnsi="Century Gothic"/>
                                <w:sz w:val="20"/>
                                <w:szCs w:val="20"/>
                              </w:rPr>
                            </w:pPr>
                          </w:p>
                          <w:p w14:paraId="21D4A71B" w14:textId="5B58BFC8" w:rsidR="00893C08" w:rsidRPr="00913F95" w:rsidRDefault="00893C08" w:rsidP="001D3CC2">
                            <w:pPr>
                              <w:ind w:left="180"/>
                              <w:rPr>
                                <w:rFonts w:ascii="Century Gothic" w:hAnsi="Century Gothic"/>
                                <w:sz w:val="20"/>
                                <w:szCs w:val="20"/>
                              </w:rPr>
                            </w:pPr>
                          </w:p>
                          <w:p w14:paraId="761B7CA4" w14:textId="77777777" w:rsidR="00893C08" w:rsidRDefault="00893C08" w:rsidP="006C43D7">
                            <w:pPr>
                              <w:rPr>
                                <w:rFonts w:ascii="Century Gothic" w:hAnsi="Century Gothic"/>
                                <w:b/>
                                <w:sz w:val="18"/>
                                <w:szCs w:val="18"/>
                              </w:rPr>
                            </w:pPr>
                          </w:p>
                          <w:p w14:paraId="0EC4BA5C" w14:textId="61945B0D" w:rsidR="00893C08" w:rsidRPr="001D3CC2" w:rsidRDefault="00893C08"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893C08" w:rsidRPr="00084341" w:rsidRDefault="00893C08"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5401FE8" id="_x0000_t202" coordsize="21600,21600" o:spt="202" path="m,l,21600r21600,l21600,xe">
                <v:stroke joinstyle="miter"/>
                <v:path gradientshapeok="t" o:connecttype="rect"/>
              </v:shapetype>
              <v:shape id="Text Box 1"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">
                <v:textbox>
                  <w:txbxContent>
                    <w:p w14:paraId="0EA4B470" w14:textId="77777777" w:rsidR="00893C08" w:rsidRPr="00913F95" w:rsidRDefault="00893C08" w:rsidP="006C43D7">
                      <w:pPr>
                        <w:jc w:val="center"/>
                        <w:rPr>
                          <w:rFonts w:ascii="Century Gothic" w:hAnsi="Century Gothic"/>
                          <w:b/>
                          <w:sz w:val="20"/>
                          <w:szCs w:val="20"/>
                        </w:rPr>
                      </w:pPr>
                    </w:p>
                    <w:p w14:paraId="01FDAE28" w14:textId="6A2FF3D0" w:rsidR="00893C08" w:rsidRDefault="00893C08" w:rsidP="00FC42BD">
                      <w:pPr>
                        <w:numPr>
                          <w:ilvl w:val="0"/>
                          <w:numId w:val="2"/>
                        </w:numPr>
                        <w:rPr>
                          <w:rFonts w:ascii="Century Gothic" w:hAnsi="Century Gothic"/>
                          <w:sz w:val="20"/>
                          <w:szCs w:val="20"/>
                        </w:rPr>
                      </w:pPr>
                      <w:r w:rsidRPr="001D3CC2">
                        <w:rPr>
                          <w:rFonts w:ascii="Century Gothic" w:hAnsi="Century Gothic"/>
                          <w:sz w:val="20"/>
                          <w:szCs w:val="20"/>
                        </w:rPr>
                        <w:t xml:space="preserve">REPORTABLE: </w:t>
                      </w:r>
                      <w:r w:rsidR="00413977">
                        <w:rPr>
                          <w:rFonts w:ascii="Century Gothic" w:hAnsi="Century Gothic"/>
                          <w:sz w:val="20"/>
                          <w:szCs w:val="20"/>
                        </w:rPr>
                        <w:t>NO</w:t>
                      </w:r>
                    </w:p>
                    <w:p w14:paraId="3A4C7296" w14:textId="5FEFE774" w:rsidR="00893C08" w:rsidRDefault="00893C08" w:rsidP="00FC42BD">
                      <w:pPr>
                        <w:numPr>
                          <w:ilvl w:val="0"/>
                          <w:numId w:val="2"/>
                        </w:numPr>
                        <w:rPr>
                          <w:rFonts w:ascii="Century Gothic" w:hAnsi="Century Gothic"/>
                          <w:sz w:val="20"/>
                          <w:szCs w:val="20"/>
                        </w:rPr>
                      </w:pPr>
                      <w:r w:rsidRPr="001D3CC2">
                        <w:rPr>
                          <w:rFonts w:ascii="Century Gothic" w:hAnsi="Century Gothic"/>
                          <w:sz w:val="20"/>
                          <w:szCs w:val="20"/>
                        </w:rPr>
                        <w:t>OF INTEREST TO OTHER JUDGES</w:t>
                      </w:r>
                      <w:r>
                        <w:rPr>
                          <w:rFonts w:ascii="Century Gothic" w:hAnsi="Century Gothic"/>
                          <w:sz w:val="20"/>
                          <w:szCs w:val="20"/>
                        </w:rPr>
                        <w:t xml:space="preserve">: </w:t>
                      </w:r>
                      <w:r w:rsidR="00413977">
                        <w:rPr>
                          <w:rFonts w:ascii="Century Gothic" w:hAnsi="Century Gothic"/>
                          <w:sz w:val="20"/>
                          <w:szCs w:val="20"/>
                        </w:rPr>
                        <w:t>NO</w:t>
                      </w:r>
                    </w:p>
                    <w:p w14:paraId="1545E4B8" w14:textId="74255A93" w:rsidR="00CA0F98" w:rsidRPr="001D3CC2" w:rsidRDefault="00CA0F98" w:rsidP="004479C3">
                      <w:pPr>
                        <w:rPr>
                          <w:rFonts w:ascii="Century Gothic" w:hAnsi="Century Gothic"/>
                          <w:sz w:val="20"/>
                          <w:szCs w:val="20"/>
                        </w:rPr>
                      </w:pPr>
                    </w:p>
                    <w:p w14:paraId="21D4A71B" w14:textId="5B58BFC8" w:rsidR="00893C08" w:rsidRPr="00913F95" w:rsidRDefault="00893C08" w:rsidP="001D3CC2">
                      <w:pPr>
                        <w:ind w:left="180"/>
                        <w:rPr>
                          <w:rFonts w:ascii="Century Gothic" w:hAnsi="Century Gothic"/>
                          <w:sz w:val="20"/>
                          <w:szCs w:val="20"/>
                        </w:rPr>
                      </w:pPr>
                    </w:p>
                    <w:p w14:paraId="761B7CA4" w14:textId="77777777" w:rsidR="00893C08" w:rsidRDefault="00893C08" w:rsidP="006C43D7">
                      <w:pPr>
                        <w:rPr>
                          <w:rFonts w:ascii="Century Gothic" w:hAnsi="Century Gothic"/>
                          <w:b/>
                          <w:sz w:val="18"/>
                          <w:szCs w:val="18"/>
                        </w:rPr>
                      </w:pPr>
                    </w:p>
                    <w:p w14:paraId="0EC4BA5C" w14:textId="61945B0D" w:rsidR="00893C08" w:rsidRPr="001D3CC2" w:rsidRDefault="00893C08"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893C08" w:rsidRPr="00084341" w:rsidRDefault="00893C08"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r w:rsidR="00236E47" w:rsidRPr="00CA757B">
        <w:rPr>
          <w:rFonts w:cs="Arial"/>
          <w:b/>
          <w:szCs w:val="22"/>
        </w:rPr>
        <w:t>202</w:t>
      </w:r>
      <w:r w:rsidR="00515FD8" w:rsidRPr="00CA757B">
        <w:rPr>
          <w:rFonts w:cs="Arial"/>
          <w:b/>
          <w:szCs w:val="22"/>
        </w:rPr>
        <w:t xml:space="preserve">3 </w:t>
      </w:r>
      <w:r w:rsidR="00413977">
        <w:rPr>
          <w:rFonts w:cs="Arial"/>
          <w:b/>
          <w:szCs w:val="22"/>
        </w:rPr>
        <w:t>–</w:t>
      </w:r>
      <w:r w:rsidR="00515FD8" w:rsidRPr="00CA757B">
        <w:rPr>
          <w:rFonts w:cs="Arial"/>
          <w:b/>
          <w:szCs w:val="22"/>
        </w:rPr>
        <w:t xml:space="preserve"> </w:t>
      </w:r>
      <w:r w:rsidR="00C479F5">
        <w:rPr>
          <w:rFonts w:cs="Arial"/>
          <w:b/>
          <w:szCs w:val="22"/>
        </w:rPr>
        <w:t>098721</w:t>
      </w:r>
    </w:p>
    <w:p w14:paraId="084B5ECD" w14:textId="77777777" w:rsidR="006C43D7" w:rsidRPr="00CA757B" w:rsidRDefault="006C43D7" w:rsidP="00C74E97">
      <w:pPr>
        <w:spacing w:line="360" w:lineRule="auto"/>
        <w:jc w:val="both"/>
        <w:rPr>
          <w:rFonts w:cs="Arial"/>
          <w:szCs w:val="22"/>
        </w:rPr>
      </w:pPr>
    </w:p>
    <w:p w14:paraId="4E808D74" w14:textId="77777777" w:rsidR="006C43D7" w:rsidRPr="00CA757B" w:rsidRDefault="006C43D7" w:rsidP="00C74E97">
      <w:pPr>
        <w:spacing w:line="360" w:lineRule="auto"/>
        <w:jc w:val="both"/>
        <w:rPr>
          <w:rFonts w:cs="Arial"/>
          <w:szCs w:val="22"/>
        </w:rPr>
      </w:pPr>
    </w:p>
    <w:p w14:paraId="34BF70B6" w14:textId="77777777" w:rsidR="006C43D7" w:rsidRPr="00CA757B" w:rsidRDefault="006C43D7" w:rsidP="00C74E97">
      <w:pPr>
        <w:spacing w:line="360" w:lineRule="auto"/>
        <w:jc w:val="both"/>
        <w:rPr>
          <w:rFonts w:cs="Arial"/>
          <w:szCs w:val="22"/>
        </w:rPr>
      </w:pPr>
    </w:p>
    <w:p w14:paraId="2F53BA3A" w14:textId="7CE26CA8" w:rsidR="006C43D7" w:rsidRPr="00CA757B" w:rsidRDefault="00C56E55" w:rsidP="00C74E97">
      <w:pPr>
        <w:spacing w:line="360" w:lineRule="auto"/>
        <w:jc w:val="both"/>
        <w:rPr>
          <w:rFonts w:cs="Arial"/>
          <w:szCs w:val="22"/>
        </w:rPr>
      </w:pPr>
      <w:r w:rsidRPr="00CA757B">
        <w:rPr>
          <w:rFonts w:cs="Arial"/>
          <w:szCs w:val="22"/>
        </w:rPr>
        <w:t xml:space="preserve">                        </w:t>
      </w:r>
    </w:p>
    <w:p w14:paraId="3A1C212E" w14:textId="77777777" w:rsidR="006C43D7" w:rsidRPr="00CA757B" w:rsidRDefault="006C43D7" w:rsidP="00C74E97">
      <w:pPr>
        <w:spacing w:line="360" w:lineRule="auto"/>
        <w:jc w:val="both"/>
        <w:rPr>
          <w:rFonts w:cs="Arial"/>
          <w:szCs w:val="22"/>
        </w:rPr>
      </w:pPr>
    </w:p>
    <w:p w14:paraId="04919B1B" w14:textId="77777777" w:rsidR="001D3CC2" w:rsidRPr="00CA757B" w:rsidRDefault="001D3CC2" w:rsidP="00C74E97">
      <w:pPr>
        <w:spacing w:line="360" w:lineRule="auto"/>
        <w:jc w:val="both"/>
        <w:rPr>
          <w:rFonts w:cs="Arial"/>
          <w:szCs w:val="22"/>
        </w:rPr>
      </w:pPr>
    </w:p>
    <w:p w14:paraId="045D3852" w14:textId="77777777" w:rsidR="00E57446" w:rsidRPr="00CA757B" w:rsidRDefault="00E57446" w:rsidP="00C74E97">
      <w:pPr>
        <w:spacing w:line="360" w:lineRule="auto"/>
        <w:jc w:val="both"/>
        <w:rPr>
          <w:rFonts w:cs="Arial"/>
          <w:szCs w:val="22"/>
        </w:rPr>
      </w:pPr>
    </w:p>
    <w:p w14:paraId="2804C32A" w14:textId="6C8D50AF" w:rsidR="00E57446" w:rsidRDefault="00E57446" w:rsidP="00C74E97">
      <w:pPr>
        <w:spacing w:line="360" w:lineRule="auto"/>
        <w:jc w:val="both"/>
        <w:rPr>
          <w:rFonts w:cs="Arial"/>
          <w:szCs w:val="22"/>
        </w:rPr>
      </w:pPr>
      <w:r w:rsidRPr="00CA757B">
        <w:rPr>
          <w:rFonts w:cs="Arial"/>
          <w:szCs w:val="22"/>
        </w:rPr>
        <w:t>In the application by</w:t>
      </w:r>
    </w:p>
    <w:p w14:paraId="6CF7E04D" w14:textId="77777777" w:rsidR="00227580" w:rsidRPr="00CA757B" w:rsidRDefault="00227580" w:rsidP="00834B62">
      <w:pPr>
        <w:spacing w:after="120"/>
        <w:jc w:val="both"/>
        <w:rPr>
          <w:rFonts w:cs="Arial"/>
          <w:szCs w:val="22"/>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3161"/>
      </w:tblGrid>
      <w:tr w:rsidR="00227580" w:rsidRPr="00D73FA7" w14:paraId="3D016594" w14:textId="77777777" w:rsidTr="00227580">
        <w:tc>
          <w:tcPr>
            <w:tcW w:w="5108" w:type="dxa"/>
          </w:tcPr>
          <w:p w14:paraId="2ADC0252" w14:textId="7F71FCC3" w:rsidR="00227580" w:rsidRPr="00227580" w:rsidRDefault="00C479F5" w:rsidP="00834B62">
            <w:pPr>
              <w:spacing w:after="120"/>
              <w:ind w:right="57"/>
              <w:rPr>
                <w:rFonts w:cs="Arial"/>
                <w:b/>
                <w:bCs/>
                <w:color w:val="000000" w:themeColor="text1"/>
                <w:szCs w:val="22"/>
              </w:rPr>
            </w:pPr>
            <w:r>
              <w:rPr>
                <w:rFonts w:cs="Arial"/>
                <w:b/>
                <w:bCs/>
                <w:color w:val="000000" w:themeColor="text1"/>
                <w:szCs w:val="22"/>
              </w:rPr>
              <w:t>MUNICIPAL EMPLOYEES PENSION FUND</w:t>
            </w:r>
          </w:p>
        </w:tc>
        <w:tc>
          <w:tcPr>
            <w:tcW w:w="3161" w:type="dxa"/>
          </w:tcPr>
          <w:p w14:paraId="5551C50D" w14:textId="52FAC09F" w:rsidR="00227580" w:rsidRPr="00227580" w:rsidRDefault="00227580" w:rsidP="00834B62">
            <w:pPr>
              <w:spacing w:after="120"/>
              <w:ind w:right="57"/>
              <w:jc w:val="right"/>
              <w:rPr>
                <w:rFonts w:cs="Arial"/>
                <w:b/>
                <w:bCs/>
                <w:color w:val="000000" w:themeColor="text1"/>
                <w:szCs w:val="22"/>
              </w:rPr>
            </w:pPr>
            <w:r w:rsidRPr="00227580">
              <w:rPr>
                <w:rFonts w:cs="Arial"/>
                <w:b/>
                <w:bCs/>
                <w:color w:val="000000" w:themeColor="text1"/>
                <w:szCs w:val="22"/>
              </w:rPr>
              <w:t>Applicant</w:t>
            </w:r>
          </w:p>
        </w:tc>
      </w:tr>
      <w:tr w:rsidR="00227580" w:rsidRPr="00D73FA7" w14:paraId="4DCB3DC4" w14:textId="77777777" w:rsidTr="00227580">
        <w:tc>
          <w:tcPr>
            <w:tcW w:w="5108" w:type="dxa"/>
          </w:tcPr>
          <w:p w14:paraId="01C5E133" w14:textId="77777777" w:rsidR="00227580" w:rsidRPr="00227580" w:rsidRDefault="00227580" w:rsidP="00834B62">
            <w:pPr>
              <w:spacing w:after="120"/>
              <w:ind w:right="57"/>
              <w:rPr>
                <w:rFonts w:cs="Arial"/>
                <w:b/>
                <w:bCs/>
                <w:color w:val="000000" w:themeColor="text1"/>
                <w:szCs w:val="22"/>
              </w:rPr>
            </w:pPr>
          </w:p>
        </w:tc>
        <w:tc>
          <w:tcPr>
            <w:tcW w:w="3161" w:type="dxa"/>
          </w:tcPr>
          <w:p w14:paraId="1F5CFFBA" w14:textId="77777777" w:rsidR="00227580" w:rsidRPr="00227580" w:rsidRDefault="00227580" w:rsidP="00834B62">
            <w:pPr>
              <w:spacing w:after="120"/>
              <w:ind w:right="57"/>
              <w:jc w:val="right"/>
              <w:rPr>
                <w:rFonts w:cs="Arial"/>
                <w:b/>
                <w:bCs/>
                <w:color w:val="000000" w:themeColor="text1"/>
                <w:szCs w:val="22"/>
              </w:rPr>
            </w:pPr>
          </w:p>
        </w:tc>
      </w:tr>
      <w:tr w:rsidR="00227580" w:rsidRPr="00D73FA7" w14:paraId="4B67EB27" w14:textId="77777777" w:rsidTr="00227580">
        <w:tc>
          <w:tcPr>
            <w:tcW w:w="5108" w:type="dxa"/>
          </w:tcPr>
          <w:p w14:paraId="090D65B8" w14:textId="764FFF3A" w:rsidR="00227580" w:rsidRPr="00227580" w:rsidRDefault="001D39E5" w:rsidP="00834B62">
            <w:pPr>
              <w:spacing w:after="120"/>
              <w:ind w:right="57"/>
              <w:rPr>
                <w:rFonts w:cs="Arial"/>
                <w:b/>
                <w:bCs/>
                <w:color w:val="000000" w:themeColor="text1"/>
                <w:szCs w:val="22"/>
              </w:rPr>
            </w:pPr>
            <w:r w:rsidRPr="00227580">
              <w:rPr>
                <w:rFonts w:cs="Arial"/>
                <w:b/>
                <w:bCs/>
                <w:color w:val="000000" w:themeColor="text1"/>
                <w:szCs w:val="22"/>
              </w:rPr>
              <w:t>A</w:t>
            </w:r>
            <w:r w:rsidR="00227580" w:rsidRPr="00227580">
              <w:rPr>
                <w:rFonts w:cs="Arial"/>
                <w:b/>
                <w:bCs/>
                <w:color w:val="000000" w:themeColor="text1"/>
                <w:szCs w:val="22"/>
              </w:rPr>
              <w:t>nd</w:t>
            </w:r>
          </w:p>
        </w:tc>
        <w:tc>
          <w:tcPr>
            <w:tcW w:w="3161" w:type="dxa"/>
          </w:tcPr>
          <w:p w14:paraId="6203EB54" w14:textId="77777777" w:rsidR="00227580" w:rsidRPr="00227580" w:rsidRDefault="00227580" w:rsidP="00834B62">
            <w:pPr>
              <w:spacing w:after="120"/>
              <w:ind w:right="57"/>
              <w:jc w:val="right"/>
              <w:rPr>
                <w:rFonts w:cs="Arial"/>
                <w:b/>
                <w:bCs/>
                <w:color w:val="000000" w:themeColor="text1"/>
                <w:szCs w:val="22"/>
              </w:rPr>
            </w:pPr>
          </w:p>
        </w:tc>
      </w:tr>
      <w:tr w:rsidR="00227580" w:rsidRPr="00D73FA7" w14:paraId="5CCC9B9A" w14:textId="77777777" w:rsidTr="00227580">
        <w:tc>
          <w:tcPr>
            <w:tcW w:w="5108" w:type="dxa"/>
          </w:tcPr>
          <w:p w14:paraId="6CB517C0" w14:textId="77777777" w:rsidR="00227580" w:rsidRPr="00227580" w:rsidRDefault="00227580" w:rsidP="00834B62">
            <w:pPr>
              <w:spacing w:after="120"/>
              <w:ind w:right="57"/>
              <w:rPr>
                <w:rFonts w:cs="Arial"/>
                <w:b/>
                <w:bCs/>
                <w:color w:val="000000" w:themeColor="text1"/>
                <w:szCs w:val="22"/>
              </w:rPr>
            </w:pPr>
          </w:p>
        </w:tc>
        <w:tc>
          <w:tcPr>
            <w:tcW w:w="3161" w:type="dxa"/>
          </w:tcPr>
          <w:p w14:paraId="7A5CFFC1" w14:textId="77777777" w:rsidR="00227580" w:rsidRPr="00227580" w:rsidRDefault="00227580" w:rsidP="00834B62">
            <w:pPr>
              <w:spacing w:after="120"/>
              <w:ind w:right="57"/>
              <w:jc w:val="right"/>
              <w:rPr>
                <w:rFonts w:cs="Arial"/>
                <w:b/>
                <w:bCs/>
                <w:color w:val="000000" w:themeColor="text1"/>
                <w:szCs w:val="22"/>
              </w:rPr>
            </w:pPr>
          </w:p>
        </w:tc>
      </w:tr>
      <w:tr w:rsidR="00227580" w:rsidRPr="00D73FA7" w14:paraId="6D101B53" w14:textId="77777777" w:rsidTr="00227580">
        <w:tc>
          <w:tcPr>
            <w:tcW w:w="5108" w:type="dxa"/>
          </w:tcPr>
          <w:p w14:paraId="307A52F7" w14:textId="04DB353C" w:rsidR="00227580" w:rsidRPr="00227580" w:rsidRDefault="00C479F5" w:rsidP="00834B62">
            <w:pPr>
              <w:spacing w:after="120"/>
              <w:ind w:right="57"/>
              <w:rPr>
                <w:rFonts w:cs="Arial"/>
                <w:b/>
                <w:bCs/>
                <w:color w:val="000000" w:themeColor="text1"/>
                <w:szCs w:val="22"/>
              </w:rPr>
            </w:pPr>
            <w:r>
              <w:rPr>
                <w:rFonts w:cs="Arial"/>
                <w:b/>
                <w:bCs/>
                <w:color w:val="000000" w:themeColor="text1"/>
                <w:szCs w:val="22"/>
              </w:rPr>
              <w:t>ADAMAX PROPERTY PROJECTS MENLYN (PTY) LTD</w:t>
            </w:r>
          </w:p>
        </w:tc>
        <w:tc>
          <w:tcPr>
            <w:tcW w:w="3161" w:type="dxa"/>
          </w:tcPr>
          <w:p w14:paraId="5FCD9669" w14:textId="77777777" w:rsidR="00227580" w:rsidRPr="00227580" w:rsidRDefault="00227580" w:rsidP="00834B62">
            <w:pPr>
              <w:spacing w:after="120"/>
              <w:ind w:right="57"/>
              <w:jc w:val="right"/>
              <w:rPr>
                <w:rFonts w:cs="Arial"/>
                <w:b/>
                <w:bCs/>
                <w:color w:val="000000" w:themeColor="text1"/>
                <w:szCs w:val="22"/>
              </w:rPr>
            </w:pPr>
            <w:r w:rsidRPr="00227580">
              <w:rPr>
                <w:rFonts w:cs="Arial"/>
                <w:b/>
                <w:bCs/>
                <w:color w:val="000000" w:themeColor="text1"/>
                <w:szCs w:val="22"/>
              </w:rPr>
              <w:t>First Respondent</w:t>
            </w:r>
          </w:p>
        </w:tc>
      </w:tr>
      <w:tr w:rsidR="00227580" w:rsidRPr="00D73FA7" w14:paraId="13053365" w14:textId="77777777" w:rsidTr="00227580">
        <w:tc>
          <w:tcPr>
            <w:tcW w:w="5108" w:type="dxa"/>
          </w:tcPr>
          <w:p w14:paraId="1DF52F8C" w14:textId="4C0308BD" w:rsidR="00227580" w:rsidRPr="00227580" w:rsidRDefault="00C479F5" w:rsidP="00834B62">
            <w:pPr>
              <w:spacing w:after="120"/>
              <w:ind w:right="57"/>
              <w:rPr>
                <w:rFonts w:cs="Arial"/>
                <w:b/>
                <w:bCs/>
                <w:color w:val="000000" w:themeColor="text1"/>
                <w:szCs w:val="22"/>
              </w:rPr>
            </w:pPr>
            <w:r>
              <w:rPr>
                <w:rFonts w:cs="Arial"/>
                <w:b/>
                <w:bCs/>
                <w:color w:val="000000" w:themeColor="text1"/>
                <w:szCs w:val="22"/>
              </w:rPr>
              <w:t xml:space="preserve">GERALD FARBER </w:t>
            </w:r>
            <w:r w:rsidRPr="00C479F5">
              <w:rPr>
                <w:rFonts w:cs="Arial"/>
                <w:b/>
                <w:bCs/>
                <w:i/>
                <w:iCs/>
                <w:color w:val="000000" w:themeColor="text1"/>
                <w:szCs w:val="22"/>
              </w:rPr>
              <w:t>N O</w:t>
            </w:r>
          </w:p>
        </w:tc>
        <w:tc>
          <w:tcPr>
            <w:tcW w:w="3161" w:type="dxa"/>
          </w:tcPr>
          <w:p w14:paraId="622DD304" w14:textId="77777777" w:rsidR="00227580" w:rsidRPr="00227580" w:rsidRDefault="00227580" w:rsidP="00834B62">
            <w:pPr>
              <w:spacing w:after="120"/>
              <w:ind w:right="57"/>
              <w:jc w:val="right"/>
              <w:rPr>
                <w:rFonts w:cs="Arial"/>
                <w:b/>
                <w:bCs/>
                <w:color w:val="000000" w:themeColor="text1"/>
                <w:szCs w:val="22"/>
              </w:rPr>
            </w:pPr>
            <w:r w:rsidRPr="00227580">
              <w:rPr>
                <w:rFonts w:cs="Arial"/>
                <w:b/>
                <w:bCs/>
                <w:color w:val="000000" w:themeColor="text1"/>
                <w:szCs w:val="22"/>
              </w:rPr>
              <w:t>Second Respondent</w:t>
            </w:r>
          </w:p>
        </w:tc>
      </w:tr>
    </w:tbl>
    <w:p w14:paraId="25A9B909" w14:textId="77777777" w:rsidR="00C1108E" w:rsidRPr="00CA757B" w:rsidRDefault="00C1108E" w:rsidP="00C1108E">
      <w:pPr>
        <w:spacing w:line="360" w:lineRule="auto"/>
        <w:jc w:val="both"/>
        <w:rPr>
          <w:rFonts w:cs="Arial"/>
          <w:b/>
          <w:szCs w:val="22"/>
        </w:rPr>
      </w:pPr>
    </w:p>
    <w:p w14:paraId="67781CE9" w14:textId="77777777" w:rsidR="0023405C" w:rsidRPr="00CA757B" w:rsidRDefault="0023405C" w:rsidP="00C74E97">
      <w:pPr>
        <w:pBdr>
          <w:bottom w:val="single" w:sz="4" w:space="1" w:color="auto"/>
        </w:pBdr>
        <w:spacing w:line="360" w:lineRule="auto"/>
        <w:jc w:val="both"/>
        <w:rPr>
          <w:rFonts w:cs="Arial"/>
          <w:szCs w:val="22"/>
        </w:rPr>
      </w:pPr>
    </w:p>
    <w:p w14:paraId="58DE5549" w14:textId="77777777" w:rsidR="006C43D7" w:rsidRPr="00CA757B" w:rsidRDefault="006C43D7" w:rsidP="00C74E97">
      <w:pPr>
        <w:spacing w:line="360" w:lineRule="auto"/>
        <w:jc w:val="both"/>
        <w:rPr>
          <w:rFonts w:cs="Arial"/>
          <w:szCs w:val="22"/>
        </w:rPr>
      </w:pPr>
    </w:p>
    <w:p w14:paraId="647AB70C" w14:textId="77777777" w:rsidR="006C43D7" w:rsidRPr="00CA757B" w:rsidRDefault="006C43D7" w:rsidP="00C74E97">
      <w:pPr>
        <w:keepNext/>
        <w:spacing w:line="360" w:lineRule="auto"/>
        <w:jc w:val="center"/>
        <w:outlineLvl w:val="1"/>
        <w:rPr>
          <w:rFonts w:cs="Arial"/>
          <w:b/>
          <w:bCs/>
          <w:szCs w:val="22"/>
        </w:rPr>
      </w:pPr>
      <w:r w:rsidRPr="00CA757B">
        <w:rPr>
          <w:rFonts w:cs="Arial"/>
          <w:b/>
          <w:bCs/>
          <w:szCs w:val="22"/>
        </w:rPr>
        <w:t>JUDGMENT</w:t>
      </w:r>
    </w:p>
    <w:p w14:paraId="52CD25EB" w14:textId="77777777" w:rsidR="006C43D7" w:rsidRPr="00CA757B" w:rsidRDefault="006C43D7" w:rsidP="00C74E97">
      <w:pPr>
        <w:pBdr>
          <w:bottom w:val="single" w:sz="4" w:space="1" w:color="auto"/>
        </w:pBdr>
        <w:spacing w:line="360" w:lineRule="auto"/>
        <w:jc w:val="both"/>
        <w:rPr>
          <w:rFonts w:cs="Arial"/>
          <w:szCs w:val="22"/>
        </w:rPr>
      </w:pPr>
    </w:p>
    <w:p w14:paraId="0CA76DA1" w14:textId="77777777" w:rsidR="00DC621D" w:rsidRPr="00CA757B" w:rsidRDefault="00DC621D" w:rsidP="00C74E97">
      <w:pPr>
        <w:spacing w:line="360" w:lineRule="auto"/>
        <w:jc w:val="both"/>
        <w:rPr>
          <w:rFonts w:cs="Arial"/>
          <w:b/>
          <w:szCs w:val="22"/>
        </w:rPr>
      </w:pPr>
    </w:p>
    <w:p w14:paraId="5BD82EFE" w14:textId="0F8FBF70" w:rsidR="00BE6AB8" w:rsidRPr="00CA757B" w:rsidRDefault="00C676F3" w:rsidP="00C74E97">
      <w:pPr>
        <w:spacing w:after="480" w:line="360" w:lineRule="auto"/>
        <w:jc w:val="both"/>
        <w:rPr>
          <w:rFonts w:cs="Arial"/>
          <w:b/>
          <w:szCs w:val="22"/>
        </w:rPr>
      </w:pPr>
      <w:r w:rsidRPr="00CA757B">
        <w:rPr>
          <w:rFonts w:cs="Arial"/>
          <w:b/>
          <w:szCs w:val="22"/>
        </w:rPr>
        <w:t>MOORCROFT</w:t>
      </w:r>
      <w:r w:rsidR="006C43D7" w:rsidRPr="00CA757B">
        <w:rPr>
          <w:rFonts w:cs="Arial"/>
          <w:b/>
          <w:szCs w:val="22"/>
        </w:rPr>
        <w:t xml:space="preserve"> AJ:</w:t>
      </w:r>
    </w:p>
    <w:p w14:paraId="09239A78" w14:textId="205827F2" w:rsidR="00C460A0" w:rsidRPr="00CA757B" w:rsidRDefault="00C460A0" w:rsidP="00C74E97">
      <w:pPr>
        <w:keepNext/>
        <w:spacing w:after="480" w:line="360" w:lineRule="auto"/>
        <w:jc w:val="both"/>
        <w:rPr>
          <w:rFonts w:cs="Arial"/>
          <w:bCs/>
          <w:i/>
          <w:iCs/>
          <w:szCs w:val="22"/>
          <w:u w:val="single"/>
        </w:rPr>
      </w:pPr>
      <w:r w:rsidRPr="00CA757B">
        <w:rPr>
          <w:rFonts w:cs="Arial"/>
          <w:bCs/>
          <w:i/>
          <w:iCs/>
          <w:szCs w:val="22"/>
          <w:u w:val="single"/>
        </w:rPr>
        <w:lastRenderedPageBreak/>
        <w:t>Summary</w:t>
      </w:r>
    </w:p>
    <w:p w14:paraId="1756D8BE" w14:textId="5538EC43" w:rsidR="00227580" w:rsidRDefault="001A5845" w:rsidP="00C74E97">
      <w:pPr>
        <w:keepNext/>
        <w:spacing w:after="480" w:line="360" w:lineRule="auto"/>
        <w:jc w:val="both"/>
        <w:rPr>
          <w:rFonts w:cs="Arial"/>
          <w:bCs/>
          <w:i/>
          <w:iCs/>
          <w:szCs w:val="22"/>
        </w:rPr>
      </w:pPr>
      <w:r>
        <w:rPr>
          <w:rFonts w:cs="Arial"/>
          <w:bCs/>
          <w:i/>
          <w:iCs/>
          <w:szCs w:val="22"/>
        </w:rPr>
        <w:t>Arbitration – stay of proceedings – section 3 of Arbitration Act</w:t>
      </w:r>
      <w:r w:rsidR="003A24B7">
        <w:rPr>
          <w:rFonts w:cs="Arial"/>
          <w:bCs/>
          <w:i/>
          <w:iCs/>
          <w:szCs w:val="22"/>
        </w:rPr>
        <w:t xml:space="preserve">, </w:t>
      </w:r>
      <w:r w:rsidR="006E58D5">
        <w:rPr>
          <w:rFonts w:cs="Arial"/>
          <w:bCs/>
          <w:i/>
          <w:iCs/>
          <w:szCs w:val="22"/>
        </w:rPr>
        <w:t>42 of 1965</w:t>
      </w:r>
      <w:r w:rsidR="00D3509E">
        <w:rPr>
          <w:rFonts w:cs="Arial"/>
          <w:bCs/>
          <w:i/>
          <w:iCs/>
          <w:szCs w:val="22"/>
        </w:rPr>
        <w:t xml:space="preserve"> – not in the interests of justice to order a stay</w:t>
      </w:r>
    </w:p>
    <w:p w14:paraId="106E99D2" w14:textId="08BBF9BC" w:rsidR="00004845" w:rsidRDefault="00004845" w:rsidP="00C74E97">
      <w:pPr>
        <w:keepNext/>
        <w:spacing w:after="480" w:line="360" w:lineRule="auto"/>
        <w:jc w:val="both"/>
        <w:rPr>
          <w:rFonts w:cs="Arial"/>
          <w:bCs/>
          <w:i/>
          <w:iCs/>
          <w:szCs w:val="22"/>
        </w:rPr>
      </w:pPr>
      <w:r>
        <w:rPr>
          <w:rFonts w:cs="Arial"/>
          <w:bCs/>
          <w:i/>
          <w:iCs/>
          <w:szCs w:val="22"/>
        </w:rPr>
        <w:t>Urgency – self created</w:t>
      </w:r>
      <w:r w:rsidR="00D3509E">
        <w:rPr>
          <w:rFonts w:cs="Arial"/>
          <w:bCs/>
          <w:i/>
          <w:iCs/>
          <w:szCs w:val="22"/>
        </w:rPr>
        <w:t xml:space="preserve"> – case made out on the merits not such that</w:t>
      </w:r>
      <w:r w:rsidR="007C38EE">
        <w:rPr>
          <w:rFonts w:cs="Arial"/>
          <w:bCs/>
          <w:i/>
          <w:iCs/>
          <w:szCs w:val="22"/>
        </w:rPr>
        <w:t xml:space="preserve"> urgent relief is justified even though applicant failed to ac</w:t>
      </w:r>
      <w:r w:rsidR="00F41F5B">
        <w:rPr>
          <w:rFonts w:cs="Arial"/>
          <w:bCs/>
          <w:i/>
          <w:iCs/>
          <w:szCs w:val="22"/>
        </w:rPr>
        <w:t>t timeously</w:t>
      </w:r>
    </w:p>
    <w:p w14:paraId="26BBAC6B" w14:textId="79C5BECC" w:rsidR="000F00EF" w:rsidRPr="00CA757B" w:rsidRDefault="000F00EF" w:rsidP="00C74E97">
      <w:pPr>
        <w:keepNext/>
        <w:spacing w:after="480" w:line="360" w:lineRule="auto"/>
        <w:jc w:val="both"/>
        <w:rPr>
          <w:rFonts w:cs="Arial"/>
          <w:bCs/>
          <w:i/>
          <w:iCs/>
          <w:szCs w:val="22"/>
        </w:rPr>
      </w:pPr>
    </w:p>
    <w:p w14:paraId="18AFD427" w14:textId="7B3D0B7D" w:rsidR="00BE6AB8" w:rsidRPr="00CA757B" w:rsidRDefault="00BE6AB8" w:rsidP="00C74E97">
      <w:pPr>
        <w:keepNext/>
        <w:spacing w:after="480" w:line="360" w:lineRule="auto"/>
        <w:jc w:val="both"/>
        <w:rPr>
          <w:rFonts w:cs="Arial"/>
          <w:bCs/>
          <w:szCs w:val="22"/>
          <w:u w:val="single"/>
        </w:rPr>
      </w:pPr>
      <w:r w:rsidRPr="00CA757B">
        <w:rPr>
          <w:rFonts w:cs="Arial"/>
          <w:bCs/>
          <w:szCs w:val="22"/>
          <w:u w:val="single"/>
        </w:rPr>
        <w:t>Order</w:t>
      </w:r>
    </w:p>
    <w:p w14:paraId="63515C87" w14:textId="5333A5C8" w:rsidR="004E3D0E" w:rsidRPr="00CA757B" w:rsidRDefault="003B4100" w:rsidP="00AD4080">
      <w:pPr>
        <w:numPr>
          <w:ilvl w:val="0"/>
          <w:numId w:val="1"/>
        </w:numPr>
        <w:spacing w:after="480" w:line="360" w:lineRule="auto"/>
        <w:jc w:val="both"/>
        <w:rPr>
          <w:rFonts w:cs="Arial"/>
          <w:i/>
          <w:iCs/>
          <w:szCs w:val="22"/>
        </w:rPr>
      </w:pPr>
      <w:r w:rsidRPr="00CA757B">
        <w:rPr>
          <w:rFonts w:cs="Arial"/>
          <w:bCs/>
          <w:szCs w:val="22"/>
        </w:rPr>
        <w:t xml:space="preserve">In this </w:t>
      </w:r>
      <w:r w:rsidR="00B56906" w:rsidRPr="00CA757B">
        <w:rPr>
          <w:rFonts w:cs="Arial"/>
          <w:bCs/>
          <w:szCs w:val="22"/>
        </w:rPr>
        <w:t xml:space="preserve">matter </w:t>
      </w:r>
      <w:r w:rsidR="00C460A0" w:rsidRPr="00CA757B">
        <w:rPr>
          <w:rFonts w:cs="Arial"/>
          <w:bCs/>
          <w:szCs w:val="22"/>
        </w:rPr>
        <w:t>I ma</w:t>
      </w:r>
      <w:r w:rsidR="000976D2" w:rsidRPr="00CA757B">
        <w:rPr>
          <w:rFonts w:cs="Arial"/>
          <w:bCs/>
          <w:szCs w:val="22"/>
        </w:rPr>
        <w:t>k</w:t>
      </w:r>
      <w:r w:rsidR="00DC6EF8" w:rsidRPr="00CA757B">
        <w:rPr>
          <w:rFonts w:cs="Arial"/>
          <w:bCs/>
          <w:szCs w:val="22"/>
        </w:rPr>
        <w:t>e</w:t>
      </w:r>
      <w:r w:rsidR="00C460A0" w:rsidRPr="00CA757B">
        <w:rPr>
          <w:rFonts w:cs="Arial"/>
          <w:bCs/>
          <w:szCs w:val="22"/>
        </w:rPr>
        <w:t xml:space="preserve"> the following order</w:t>
      </w:r>
      <w:r w:rsidR="000976D2" w:rsidRPr="00CA757B">
        <w:rPr>
          <w:rFonts w:cs="Arial"/>
          <w:bCs/>
          <w:szCs w:val="22"/>
        </w:rPr>
        <w:t>:</w:t>
      </w:r>
    </w:p>
    <w:p w14:paraId="69C9EC42" w14:textId="066D60E3" w:rsidR="00413977" w:rsidRDefault="007C38EE" w:rsidP="005D56A8">
      <w:pPr>
        <w:pStyle w:val="ListParagraph"/>
        <w:numPr>
          <w:ilvl w:val="0"/>
          <w:numId w:val="19"/>
        </w:numPr>
        <w:spacing w:before="120" w:after="120" w:line="360" w:lineRule="auto"/>
        <w:jc w:val="both"/>
        <w:rPr>
          <w:rFonts w:cs="Arial"/>
          <w:i/>
          <w:iCs/>
          <w:szCs w:val="22"/>
          <w:lang w:val="en-GB"/>
        </w:rPr>
      </w:pPr>
      <w:r>
        <w:rPr>
          <w:rFonts w:cs="Arial"/>
          <w:i/>
          <w:iCs/>
          <w:szCs w:val="22"/>
          <w:lang w:val="en-GB"/>
        </w:rPr>
        <w:t>The application is dismissed;</w:t>
      </w:r>
    </w:p>
    <w:p w14:paraId="0A908999" w14:textId="6F9148DA" w:rsidR="00413977" w:rsidRDefault="007C38EE" w:rsidP="005D56A8">
      <w:pPr>
        <w:pStyle w:val="ListParagraph"/>
        <w:numPr>
          <w:ilvl w:val="0"/>
          <w:numId w:val="19"/>
        </w:numPr>
        <w:spacing w:before="120" w:after="120" w:line="360" w:lineRule="auto"/>
        <w:jc w:val="both"/>
        <w:rPr>
          <w:rFonts w:cs="Arial"/>
          <w:i/>
          <w:iCs/>
          <w:szCs w:val="22"/>
          <w:lang w:val="en-GB"/>
        </w:rPr>
      </w:pPr>
      <w:r>
        <w:rPr>
          <w:rFonts w:cs="Arial"/>
          <w:i/>
          <w:iCs/>
          <w:szCs w:val="22"/>
          <w:lang w:val="en-GB"/>
        </w:rPr>
        <w:t>The applicant is ordered to pay the costs of the application.</w:t>
      </w:r>
    </w:p>
    <w:p w14:paraId="41B4AF18" w14:textId="77777777" w:rsidR="00E37B97" w:rsidRPr="00CA757B" w:rsidRDefault="00E37B97" w:rsidP="00E37B97">
      <w:pPr>
        <w:spacing w:after="480" w:line="360" w:lineRule="auto"/>
        <w:ind w:left="360"/>
        <w:jc w:val="both"/>
        <w:rPr>
          <w:rFonts w:cs="Arial"/>
          <w:i/>
          <w:iCs/>
          <w:szCs w:val="22"/>
        </w:rPr>
      </w:pPr>
    </w:p>
    <w:p w14:paraId="08540072" w14:textId="67AF2A53" w:rsidR="00C9310B" w:rsidRPr="00CA757B" w:rsidRDefault="00573FF9" w:rsidP="00C74E97">
      <w:pPr>
        <w:pStyle w:val="ListParagraph"/>
        <w:widowControl w:val="0"/>
        <w:numPr>
          <w:ilvl w:val="0"/>
          <w:numId w:val="1"/>
        </w:numPr>
        <w:spacing w:before="480" w:after="480" w:line="360" w:lineRule="auto"/>
        <w:contextualSpacing w:val="0"/>
        <w:jc w:val="both"/>
        <w:rPr>
          <w:rFonts w:cs="Arial"/>
          <w:bCs/>
          <w:szCs w:val="22"/>
          <w:u w:val="single"/>
        </w:rPr>
      </w:pPr>
      <w:r w:rsidRPr="00CA757B">
        <w:rPr>
          <w:rFonts w:cs="Arial"/>
          <w:bCs/>
          <w:szCs w:val="22"/>
        </w:rPr>
        <w:t xml:space="preserve">The reasons for the order </w:t>
      </w:r>
      <w:r w:rsidR="00A63709" w:rsidRPr="00CA757B">
        <w:rPr>
          <w:rFonts w:cs="Arial"/>
          <w:bCs/>
          <w:szCs w:val="22"/>
        </w:rPr>
        <w:t>follow</w:t>
      </w:r>
      <w:r w:rsidRPr="00CA757B">
        <w:rPr>
          <w:rFonts w:cs="Arial"/>
          <w:bCs/>
          <w:szCs w:val="22"/>
        </w:rPr>
        <w:t xml:space="preserve"> below.</w:t>
      </w:r>
    </w:p>
    <w:p w14:paraId="037F1A01" w14:textId="77777777" w:rsidR="00A444DD" w:rsidRPr="00CA757B" w:rsidRDefault="00A444DD" w:rsidP="00C74E97">
      <w:pPr>
        <w:keepNext/>
        <w:widowControl w:val="0"/>
        <w:spacing w:before="480" w:after="480" w:line="360" w:lineRule="auto"/>
        <w:jc w:val="both"/>
        <w:rPr>
          <w:rFonts w:cs="Arial"/>
          <w:bCs/>
          <w:szCs w:val="22"/>
          <w:u w:val="single"/>
        </w:rPr>
      </w:pPr>
    </w:p>
    <w:p w14:paraId="3658C913" w14:textId="6056F843" w:rsidR="00573FF9" w:rsidRPr="00CA757B" w:rsidRDefault="00D9086C" w:rsidP="00C74E97">
      <w:pPr>
        <w:keepNext/>
        <w:widowControl w:val="0"/>
        <w:spacing w:before="480" w:after="480" w:line="360" w:lineRule="auto"/>
        <w:jc w:val="both"/>
        <w:rPr>
          <w:rFonts w:cs="Arial"/>
          <w:bCs/>
          <w:szCs w:val="22"/>
          <w:u w:val="single"/>
        </w:rPr>
      </w:pPr>
      <w:r w:rsidRPr="00CA757B">
        <w:rPr>
          <w:rFonts w:cs="Arial"/>
          <w:bCs/>
          <w:szCs w:val="22"/>
          <w:u w:val="single"/>
        </w:rPr>
        <w:t>Introduction</w:t>
      </w:r>
    </w:p>
    <w:p w14:paraId="5526839C" w14:textId="77777777" w:rsidR="007C38EE" w:rsidRPr="007C38EE" w:rsidRDefault="00367DDD" w:rsidP="006407E9">
      <w:pPr>
        <w:widowControl w:val="0"/>
        <w:numPr>
          <w:ilvl w:val="0"/>
          <w:numId w:val="1"/>
        </w:numPr>
        <w:spacing w:before="480" w:after="480" w:line="360" w:lineRule="auto"/>
        <w:jc w:val="both"/>
        <w:rPr>
          <w:rFonts w:cs="Arial"/>
          <w:bCs/>
          <w:szCs w:val="22"/>
        </w:rPr>
      </w:pPr>
      <w:r>
        <w:rPr>
          <w:rFonts w:cs="Arial"/>
          <w:bCs/>
          <w:szCs w:val="22"/>
          <w:lang w:val="en-GB"/>
        </w:rPr>
        <w:t>The applicant (“</w:t>
      </w:r>
      <w:r w:rsidR="004054D0">
        <w:rPr>
          <w:rFonts w:cs="Arial"/>
          <w:bCs/>
          <w:szCs w:val="22"/>
          <w:lang w:val="en-GB"/>
        </w:rPr>
        <w:t>MEPF</w:t>
      </w:r>
      <w:r>
        <w:rPr>
          <w:rFonts w:cs="Arial"/>
          <w:bCs/>
          <w:szCs w:val="22"/>
          <w:lang w:val="en-GB"/>
        </w:rPr>
        <w:t>”)</w:t>
      </w:r>
      <w:r w:rsidR="00AF16FD" w:rsidRPr="00AF16FD">
        <w:rPr>
          <w:rFonts w:cs="Arial"/>
          <w:bCs/>
          <w:szCs w:val="22"/>
          <w:lang w:val="en-GB"/>
        </w:rPr>
        <w:t xml:space="preserve"> seeks an order in the urgent court staying arbitration proceedings</w:t>
      </w:r>
      <w:r w:rsidR="00AF16FD">
        <w:rPr>
          <w:rFonts w:cs="Arial"/>
          <w:bCs/>
          <w:szCs w:val="22"/>
          <w:lang w:val="en-GB"/>
        </w:rPr>
        <w:t xml:space="preserve"> </w:t>
      </w:r>
      <w:r w:rsidR="00824DC8" w:rsidRPr="00824DC8">
        <w:rPr>
          <w:rFonts w:cs="Arial"/>
          <w:bCs/>
          <w:szCs w:val="22"/>
          <w:lang w:val="en-GB"/>
        </w:rPr>
        <w:t>scheduled to proceed on 2</w:t>
      </w:r>
      <w:r w:rsidR="00087AEF">
        <w:rPr>
          <w:rFonts w:cs="Arial"/>
          <w:bCs/>
          <w:szCs w:val="22"/>
          <w:lang w:val="en-GB"/>
        </w:rPr>
        <w:t>2</w:t>
      </w:r>
      <w:r w:rsidR="00824DC8" w:rsidRPr="00824DC8">
        <w:rPr>
          <w:rFonts w:cs="Arial"/>
          <w:bCs/>
          <w:szCs w:val="22"/>
          <w:lang w:val="en-GB"/>
        </w:rPr>
        <w:t xml:space="preserve"> November 2023</w:t>
      </w:r>
      <w:r w:rsidR="00824DC8">
        <w:rPr>
          <w:rFonts w:cs="Arial"/>
          <w:bCs/>
          <w:szCs w:val="22"/>
          <w:lang w:val="en-GB"/>
        </w:rPr>
        <w:t xml:space="preserve"> </w:t>
      </w:r>
      <w:r w:rsidR="00AF16FD" w:rsidRPr="00AF16FD">
        <w:rPr>
          <w:rFonts w:cs="Arial"/>
          <w:bCs/>
          <w:szCs w:val="22"/>
          <w:lang w:val="en-GB"/>
        </w:rPr>
        <w:t xml:space="preserve">before the </w:t>
      </w:r>
      <w:r w:rsidR="00AF16FD">
        <w:rPr>
          <w:rFonts w:cs="Arial"/>
          <w:bCs/>
          <w:szCs w:val="22"/>
          <w:lang w:val="en-GB"/>
        </w:rPr>
        <w:t>second</w:t>
      </w:r>
      <w:r w:rsidR="00AF16FD" w:rsidRPr="00AF16FD">
        <w:rPr>
          <w:rFonts w:cs="Arial"/>
          <w:bCs/>
          <w:szCs w:val="22"/>
          <w:lang w:val="en-GB"/>
        </w:rPr>
        <w:t xml:space="preserve"> respondent</w:t>
      </w:r>
      <w:r w:rsidR="00AF16FD">
        <w:rPr>
          <w:rFonts w:cs="Arial"/>
          <w:bCs/>
          <w:szCs w:val="22"/>
          <w:lang w:val="en-GB"/>
        </w:rPr>
        <w:t xml:space="preserve"> (“the arbitrator”) </w:t>
      </w:r>
      <w:r w:rsidR="00AF16FD" w:rsidRPr="00AF16FD">
        <w:rPr>
          <w:rFonts w:cs="Arial"/>
          <w:bCs/>
          <w:szCs w:val="22"/>
          <w:lang w:val="en-GB"/>
        </w:rPr>
        <w:t>pending the l</w:t>
      </w:r>
      <w:r w:rsidR="00AF16FD">
        <w:rPr>
          <w:rFonts w:cs="Arial"/>
          <w:bCs/>
          <w:szCs w:val="22"/>
          <w:lang w:val="en-GB"/>
        </w:rPr>
        <w:t>a</w:t>
      </w:r>
      <w:r w:rsidR="00AF16FD" w:rsidRPr="00AF16FD">
        <w:rPr>
          <w:rFonts w:cs="Arial"/>
          <w:bCs/>
          <w:szCs w:val="22"/>
          <w:lang w:val="en-GB"/>
        </w:rPr>
        <w:t xml:space="preserve">tter of </w:t>
      </w:r>
    </w:p>
    <w:p w14:paraId="62B913A4" w14:textId="3332E6F9" w:rsidR="007C38EE" w:rsidRPr="007C38EE" w:rsidRDefault="0074509A" w:rsidP="007C38EE">
      <w:pPr>
        <w:widowControl w:val="0"/>
        <w:numPr>
          <w:ilvl w:val="1"/>
          <w:numId w:val="1"/>
        </w:numPr>
        <w:spacing w:before="480" w:after="480" w:line="360" w:lineRule="auto"/>
        <w:jc w:val="both"/>
        <w:rPr>
          <w:rFonts w:cs="Arial"/>
          <w:bCs/>
          <w:szCs w:val="22"/>
        </w:rPr>
      </w:pPr>
      <w:r>
        <w:rPr>
          <w:rFonts w:cs="Arial"/>
          <w:bCs/>
          <w:szCs w:val="22"/>
          <w:lang w:val="en-GB"/>
        </w:rPr>
        <w:t>MEPF</w:t>
      </w:r>
      <w:r w:rsidR="007F6905">
        <w:rPr>
          <w:rFonts w:cs="Arial"/>
          <w:bCs/>
          <w:szCs w:val="22"/>
          <w:lang w:val="en-GB"/>
        </w:rPr>
        <w:t>’</w:t>
      </w:r>
      <w:r w:rsidR="00AF16FD" w:rsidRPr="00AF16FD">
        <w:rPr>
          <w:rFonts w:cs="Arial"/>
          <w:bCs/>
          <w:szCs w:val="22"/>
          <w:lang w:val="en-GB"/>
        </w:rPr>
        <w:t xml:space="preserve">s application under </w:t>
      </w:r>
      <w:r w:rsidR="00AF16FD">
        <w:rPr>
          <w:rFonts w:cs="Arial"/>
          <w:bCs/>
          <w:szCs w:val="22"/>
          <w:lang w:val="en-GB"/>
        </w:rPr>
        <w:t>s</w:t>
      </w:r>
      <w:r w:rsidR="00AF16FD" w:rsidRPr="00AF16FD">
        <w:rPr>
          <w:rFonts w:cs="Arial"/>
          <w:bCs/>
          <w:szCs w:val="22"/>
          <w:lang w:val="en-GB"/>
        </w:rPr>
        <w:t>ection 3 of the Arbitration Act</w:t>
      </w:r>
      <w:r w:rsidR="00D664CA">
        <w:rPr>
          <w:rFonts w:cs="Arial"/>
          <w:bCs/>
          <w:szCs w:val="22"/>
          <w:lang w:val="en-GB"/>
        </w:rPr>
        <w:t>, 42 of 1965</w:t>
      </w:r>
      <w:r w:rsidR="00992D6B">
        <w:rPr>
          <w:rFonts w:cs="Arial"/>
          <w:bCs/>
          <w:szCs w:val="22"/>
          <w:lang w:val="en-GB"/>
        </w:rPr>
        <w:t xml:space="preserve"> that an arbitration agreement shall cease to have any effect with reference to the dispute</w:t>
      </w:r>
      <w:r w:rsidR="00BE7B3D">
        <w:rPr>
          <w:rFonts w:cs="Arial"/>
          <w:bCs/>
          <w:szCs w:val="22"/>
          <w:lang w:val="en-GB"/>
        </w:rPr>
        <w:t>s</w:t>
      </w:r>
      <w:r w:rsidR="00992D6B">
        <w:rPr>
          <w:rFonts w:cs="Arial"/>
          <w:bCs/>
          <w:szCs w:val="22"/>
          <w:lang w:val="en-GB"/>
        </w:rPr>
        <w:t xml:space="preserve"> between the parties</w:t>
      </w:r>
      <w:r w:rsidR="00AF16FD">
        <w:rPr>
          <w:rFonts w:cs="Arial"/>
          <w:bCs/>
          <w:szCs w:val="22"/>
          <w:lang w:val="en-GB"/>
        </w:rPr>
        <w:t xml:space="preserve">, </w:t>
      </w:r>
      <w:r w:rsidR="00AF16FD" w:rsidRPr="00AF16FD">
        <w:rPr>
          <w:rFonts w:cs="Arial"/>
          <w:bCs/>
          <w:szCs w:val="22"/>
          <w:lang w:val="en-GB"/>
        </w:rPr>
        <w:t xml:space="preserve">and </w:t>
      </w:r>
    </w:p>
    <w:p w14:paraId="6AD5111B" w14:textId="4193EB5D" w:rsidR="00992D6B" w:rsidRPr="00992D6B" w:rsidRDefault="00AF16FD" w:rsidP="007C38EE">
      <w:pPr>
        <w:widowControl w:val="0"/>
        <w:numPr>
          <w:ilvl w:val="1"/>
          <w:numId w:val="1"/>
        </w:numPr>
        <w:spacing w:before="480" w:after="480" w:line="360" w:lineRule="auto"/>
        <w:jc w:val="both"/>
        <w:rPr>
          <w:rFonts w:cs="Arial"/>
          <w:bCs/>
          <w:szCs w:val="22"/>
        </w:rPr>
      </w:pPr>
      <w:r w:rsidRPr="00AF16FD">
        <w:rPr>
          <w:rFonts w:cs="Arial"/>
          <w:bCs/>
          <w:szCs w:val="22"/>
          <w:lang w:val="en-GB"/>
        </w:rPr>
        <w:t xml:space="preserve">the final determination of </w:t>
      </w:r>
      <w:r w:rsidR="0074509A">
        <w:rPr>
          <w:rFonts w:cs="Arial"/>
          <w:bCs/>
          <w:szCs w:val="22"/>
          <w:lang w:val="en-GB"/>
        </w:rPr>
        <w:t>MEPF</w:t>
      </w:r>
      <w:r w:rsidR="007F6905">
        <w:rPr>
          <w:rFonts w:cs="Arial"/>
          <w:bCs/>
          <w:szCs w:val="22"/>
          <w:lang w:val="en-GB"/>
        </w:rPr>
        <w:t>’</w:t>
      </w:r>
      <w:r w:rsidRPr="00AF16FD">
        <w:rPr>
          <w:rFonts w:cs="Arial"/>
          <w:bCs/>
          <w:szCs w:val="22"/>
          <w:lang w:val="en-GB"/>
        </w:rPr>
        <w:t xml:space="preserve">s envisaged application for a review of the </w:t>
      </w:r>
      <w:r w:rsidRPr="00AF16FD">
        <w:rPr>
          <w:rFonts w:cs="Arial"/>
          <w:bCs/>
          <w:szCs w:val="22"/>
          <w:lang w:val="en-GB"/>
        </w:rPr>
        <w:lastRenderedPageBreak/>
        <w:t xml:space="preserve">arbitration award of the arbitrator made </w:t>
      </w:r>
      <w:r>
        <w:rPr>
          <w:rFonts w:cs="Arial"/>
          <w:bCs/>
          <w:szCs w:val="22"/>
          <w:lang w:val="en-GB"/>
        </w:rPr>
        <w:t>o</w:t>
      </w:r>
      <w:r w:rsidRPr="00AF16FD">
        <w:rPr>
          <w:rFonts w:cs="Arial"/>
          <w:bCs/>
          <w:szCs w:val="22"/>
          <w:lang w:val="en-GB"/>
        </w:rPr>
        <w:t>n 18 September 2023</w:t>
      </w:r>
      <w:r>
        <w:rPr>
          <w:rFonts w:cs="Arial"/>
          <w:bCs/>
          <w:szCs w:val="22"/>
          <w:lang w:val="en-GB"/>
        </w:rPr>
        <w:t xml:space="preserve">. </w:t>
      </w:r>
    </w:p>
    <w:p w14:paraId="2769F555" w14:textId="6005EB1A" w:rsidR="004A3798" w:rsidRPr="004A3798" w:rsidRDefault="00AF16FD" w:rsidP="00066C59">
      <w:pPr>
        <w:widowControl w:val="0"/>
        <w:numPr>
          <w:ilvl w:val="0"/>
          <w:numId w:val="1"/>
        </w:numPr>
        <w:spacing w:before="480" w:after="480" w:line="360" w:lineRule="auto"/>
        <w:jc w:val="both"/>
        <w:rPr>
          <w:rFonts w:cs="Arial"/>
          <w:bCs/>
          <w:szCs w:val="22"/>
        </w:rPr>
      </w:pPr>
      <w:r w:rsidRPr="004A3798">
        <w:rPr>
          <w:rFonts w:cs="Arial"/>
          <w:bCs/>
          <w:szCs w:val="22"/>
          <w:lang w:val="en-GB"/>
        </w:rPr>
        <w:t xml:space="preserve">In the alternative </w:t>
      </w:r>
      <w:r w:rsidR="0074509A" w:rsidRPr="004A3798">
        <w:rPr>
          <w:rFonts w:cs="Arial"/>
          <w:bCs/>
          <w:szCs w:val="22"/>
          <w:lang w:val="en-GB"/>
        </w:rPr>
        <w:t>MEPF</w:t>
      </w:r>
      <w:r w:rsidRPr="004A3798">
        <w:rPr>
          <w:rFonts w:cs="Arial"/>
          <w:bCs/>
          <w:szCs w:val="22"/>
          <w:lang w:val="en-GB"/>
        </w:rPr>
        <w:t xml:space="preserve"> seeks an order staying the arbitration pending the section 3 application</w:t>
      </w:r>
      <w:r w:rsidR="00367DDD">
        <w:rPr>
          <w:rFonts w:cs="Arial"/>
          <w:bCs/>
          <w:szCs w:val="22"/>
          <w:lang w:val="en-GB"/>
        </w:rPr>
        <w:t xml:space="preserve"> only</w:t>
      </w:r>
      <w:r w:rsidRPr="004A3798">
        <w:rPr>
          <w:rFonts w:cs="Arial"/>
          <w:bCs/>
          <w:szCs w:val="22"/>
          <w:lang w:val="en-GB"/>
        </w:rPr>
        <w:t xml:space="preserve">. </w:t>
      </w:r>
    </w:p>
    <w:p w14:paraId="5EE20BE1" w14:textId="0D004042" w:rsidR="00413977" w:rsidRPr="00D61A20" w:rsidRDefault="00AF16FD" w:rsidP="006407E9">
      <w:pPr>
        <w:widowControl w:val="0"/>
        <w:numPr>
          <w:ilvl w:val="0"/>
          <w:numId w:val="1"/>
        </w:numPr>
        <w:spacing w:before="480" w:after="480" w:line="360" w:lineRule="auto"/>
        <w:jc w:val="both"/>
        <w:rPr>
          <w:rFonts w:cs="Arial"/>
          <w:bCs/>
          <w:szCs w:val="22"/>
        </w:rPr>
      </w:pPr>
      <w:r w:rsidRPr="00AF16FD">
        <w:rPr>
          <w:rFonts w:cs="Arial"/>
          <w:bCs/>
          <w:szCs w:val="22"/>
          <w:lang w:val="en-GB"/>
        </w:rPr>
        <w:t>The application is opposed by the party that initiated the arbitration</w:t>
      </w:r>
      <w:r>
        <w:rPr>
          <w:rFonts w:cs="Arial"/>
          <w:bCs/>
          <w:szCs w:val="22"/>
          <w:lang w:val="en-GB"/>
        </w:rPr>
        <w:t xml:space="preserve">, </w:t>
      </w:r>
      <w:r w:rsidRPr="00AF16FD">
        <w:rPr>
          <w:rFonts w:cs="Arial"/>
          <w:bCs/>
          <w:szCs w:val="22"/>
          <w:lang w:val="en-GB"/>
        </w:rPr>
        <w:t>the first</w:t>
      </w:r>
      <w:r>
        <w:rPr>
          <w:rFonts w:cs="Arial"/>
          <w:bCs/>
          <w:szCs w:val="22"/>
          <w:lang w:val="en-GB"/>
        </w:rPr>
        <w:t xml:space="preserve"> </w:t>
      </w:r>
      <w:r w:rsidRPr="00AF16FD">
        <w:rPr>
          <w:rFonts w:cs="Arial"/>
          <w:bCs/>
          <w:szCs w:val="22"/>
          <w:lang w:val="en-GB"/>
        </w:rPr>
        <w:t>respondent</w:t>
      </w:r>
      <w:r>
        <w:rPr>
          <w:rFonts w:cs="Arial"/>
          <w:bCs/>
          <w:szCs w:val="22"/>
          <w:lang w:val="en-GB"/>
        </w:rPr>
        <w:t xml:space="preserve"> (“</w:t>
      </w:r>
      <w:r w:rsidR="0074509A">
        <w:rPr>
          <w:rFonts w:cs="Arial"/>
          <w:bCs/>
          <w:szCs w:val="22"/>
          <w:lang w:val="en-GB"/>
        </w:rPr>
        <w:t>Adamax</w:t>
      </w:r>
      <w:r>
        <w:rPr>
          <w:rFonts w:cs="Arial"/>
          <w:bCs/>
          <w:szCs w:val="22"/>
          <w:lang w:val="en-GB"/>
        </w:rPr>
        <w:t>”).</w:t>
      </w:r>
      <w:r w:rsidRPr="00AF16FD">
        <w:rPr>
          <w:rFonts w:cs="Arial"/>
          <w:bCs/>
          <w:szCs w:val="22"/>
          <w:lang w:val="en-GB"/>
        </w:rPr>
        <w:t xml:space="preserve"> The arbitrator </w:t>
      </w:r>
      <w:r>
        <w:rPr>
          <w:rFonts w:cs="Arial"/>
          <w:bCs/>
          <w:szCs w:val="22"/>
          <w:lang w:val="en-GB"/>
        </w:rPr>
        <w:t>a</w:t>
      </w:r>
      <w:r w:rsidRPr="00AF16FD">
        <w:rPr>
          <w:rFonts w:cs="Arial"/>
          <w:bCs/>
          <w:szCs w:val="22"/>
          <w:lang w:val="en-GB"/>
        </w:rPr>
        <w:t>bi</w:t>
      </w:r>
      <w:r>
        <w:rPr>
          <w:rFonts w:cs="Arial"/>
          <w:bCs/>
          <w:szCs w:val="22"/>
          <w:lang w:val="en-GB"/>
        </w:rPr>
        <w:t>d</w:t>
      </w:r>
      <w:r w:rsidRPr="00AF16FD">
        <w:rPr>
          <w:rFonts w:cs="Arial"/>
          <w:bCs/>
          <w:szCs w:val="22"/>
          <w:lang w:val="en-GB"/>
        </w:rPr>
        <w:t>e</w:t>
      </w:r>
      <w:r>
        <w:rPr>
          <w:rFonts w:cs="Arial"/>
          <w:bCs/>
          <w:szCs w:val="22"/>
          <w:lang w:val="en-GB"/>
        </w:rPr>
        <w:t>s</w:t>
      </w:r>
      <w:r w:rsidRPr="00AF16FD">
        <w:rPr>
          <w:rFonts w:cs="Arial"/>
          <w:bCs/>
          <w:szCs w:val="22"/>
          <w:lang w:val="en-GB"/>
        </w:rPr>
        <w:t xml:space="preserve"> the decision of the court</w:t>
      </w:r>
      <w:r>
        <w:rPr>
          <w:rFonts w:cs="Arial"/>
          <w:bCs/>
          <w:szCs w:val="22"/>
          <w:lang w:val="en-GB"/>
        </w:rPr>
        <w:t>.</w:t>
      </w:r>
    </w:p>
    <w:p w14:paraId="265A1260" w14:textId="1D8CE1CD" w:rsidR="00D61A20" w:rsidRPr="000A1E0D" w:rsidRDefault="00D61A20" w:rsidP="006407E9">
      <w:pPr>
        <w:widowControl w:val="0"/>
        <w:numPr>
          <w:ilvl w:val="0"/>
          <w:numId w:val="1"/>
        </w:numPr>
        <w:spacing w:before="480" w:after="480" w:line="360" w:lineRule="auto"/>
        <w:jc w:val="both"/>
        <w:rPr>
          <w:rFonts w:cs="Arial"/>
          <w:bCs/>
          <w:szCs w:val="22"/>
        </w:rPr>
      </w:pPr>
      <w:r>
        <w:rPr>
          <w:rFonts w:cs="Arial"/>
          <w:bCs/>
          <w:szCs w:val="22"/>
          <w:lang w:val="en-GB"/>
        </w:rPr>
        <w:t>An application for a stay of proceedings must be evaluated on the basis of the interests of justice.</w:t>
      </w:r>
      <w:r>
        <w:rPr>
          <w:rStyle w:val="FootnoteReference"/>
          <w:rFonts w:cs="Arial"/>
          <w:bCs/>
          <w:szCs w:val="22"/>
          <w:lang w:val="en-GB"/>
        </w:rPr>
        <w:footnoteReference w:id="1"/>
      </w:r>
      <w:r>
        <w:rPr>
          <w:rFonts w:cs="Arial"/>
          <w:bCs/>
          <w:szCs w:val="22"/>
          <w:lang w:val="en-GB"/>
        </w:rPr>
        <w:t xml:space="preserve"> This must be viewed from the perspective of </w:t>
      </w:r>
      <w:r w:rsidR="00B51159">
        <w:rPr>
          <w:rFonts w:cs="Arial"/>
          <w:bCs/>
          <w:szCs w:val="22"/>
          <w:lang w:val="en-GB"/>
        </w:rPr>
        <w:t>all</w:t>
      </w:r>
      <w:r>
        <w:rPr>
          <w:rFonts w:cs="Arial"/>
          <w:bCs/>
          <w:szCs w:val="22"/>
          <w:lang w:val="en-GB"/>
        </w:rPr>
        <w:t xml:space="preserve"> parties.</w:t>
      </w:r>
    </w:p>
    <w:p w14:paraId="61AED936" w14:textId="77777777" w:rsidR="000A1E0D" w:rsidRDefault="000A1E0D" w:rsidP="000A1E0D">
      <w:pPr>
        <w:widowControl w:val="0"/>
        <w:spacing w:before="480" w:after="480" w:line="360" w:lineRule="auto"/>
        <w:jc w:val="both"/>
        <w:rPr>
          <w:rFonts w:cs="Arial"/>
          <w:bCs/>
          <w:szCs w:val="22"/>
          <w:u w:val="single"/>
        </w:rPr>
      </w:pPr>
    </w:p>
    <w:p w14:paraId="7FE67CAF" w14:textId="143F766C" w:rsidR="000A1E0D" w:rsidRPr="000A1E0D" w:rsidRDefault="000A1E0D" w:rsidP="000A1E0D">
      <w:pPr>
        <w:widowControl w:val="0"/>
        <w:spacing w:before="480" w:after="480" w:line="360" w:lineRule="auto"/>
        <w:jc w:val="both"/>
        <w:rPr>
          <w:rFonts w:cs="Arial"/>
          <w:bCs/>
          <w:szCs w:val="22"/>
          <w:u w:val="single"/>
        </w:rPr>
      </w:pPr>
      <w:r w:rsidRPr="000A1E0D">
        <w:rPr>
          <w:rFonts w:cs="Arial"/>
          <w:bCs/>
          <w:szCs w:val="22"/>
          <w:u w:val="single"/>
        </w:rPr>
        <w:t>The Arbitration Act</w:t>
      </w:r>
    </w:p>
    <w:p w14:paraId="5B8645B9" w14:textId="13F2BB87" w:rsidR="000A1E0D" w:rsidRPr="000A1E0D" w:rsidRDefault="000A1E0D" w:rsidP="006407E9">
      <w:pPr>
        <w:widowControl w:val="0"/>
        <w:numPr>
          <w:ilvl w:val="0"/>
          <w:numId w:val="1"/>
        </w:numPr>
        <w:spacing w:before="480" w:after="480" w:line="360" w:lineRule="auto"/>
        <w:jc w:val="both"/>
        <w:rPr>
          <w:rFonts w:cs="Arial"/>
          <w:bCs/>
          <w:szCs w:val="22"/>
        </w:rPr>
      </w:pPr>
      <w:r>
        <w:rPr>
          <w:rFonts w:cs="Arial"/>
          <w:bCs/>
          <w:szCs w:val="22"/>
          <w:lang w:val="en-GB"/>
        </w:rPr>
        <w:t>Section 3 of the Arbitration Act gives effect to the principle</w:t>
      </w:r>
      <w:r w:rsidR="00367DDD">
        <w:rPr>
          <w:rFonts w:cs="Arial"/>
          <w:bCs/>
          <w:szCs w:val="22"/>
          <w:lang w:val="en-GB"/>
        </w:rPr>
        <w:t>s</w:t>
      </w:r>
      <w:r>
        <w:rPr>
          <w:rFonts w:cs="Arial"/>
          <w:bCs/>
          <w:szCs w:val="22"/>
          <w:lang w:val="en-GB"/>
        </w:rPr>
        <w:t xml:space="preserve"> of party autonomy</w:t>
      </w:r>
      <w:r>
        <w:rPr>
          <w:rStyle w:val="FootnoteReference"/>
          <w:rFonts w:cs="Arial"/>
          <w:bCs/>
          <w:szCs w:val="22"/>
        </w:rPr>
        <w:footnoteReference w:id="2"/>
      </w:r>
      <w:r>
        <w:rPr>
          <w:rFonts w:cs="Arial"/>
          <w:bCs/>
          <w:szCs w:val="22"/>
          <w:lang w:val="en-GB"/>
        </w:rPr>
        <w:t xml:space="preserve"> </w:t>
      </w:r>
      <w:r w:rsidR="00367DDD">
        <w:rPr>
          <w:rFonts w:cs="Arial"/>
          <w:bCs/>
          <w:szCs w:val="22"/>
          <w:lang w:val="en-GB"/>
        </w:rPr>
        <w:t xml:space="preserve">and </w:t>
      </w:r>
      <w:r w:rsidR="00367DDD" w:rsidRPr="00367DDD">
        <w:rPr>
          <w:rFonts w:cs="Arial"/>
          <w:bCs/>
          <w:i/>
          <w:iCs/>
          <w:szCs w:val="22"/>
          <w:lang w:val="en-GB"/>
        </w:rPr>
        <w:t>pacta sunt servanda</w:t>
      </w:r>
      <w:r w:rsidR="00367DDD">
        <w:rPr>
          <w:rFonts w:cs="Arial"/>
          <w:bCs/>
          <w:szCs w:val="22"/>
          <w:lang w:val="en-GB"/>
        </w:rPr>
        <w:t xml:space="preserve">, </w:t>
      </w:r>
      <w:r>
        <w:rPr>
          <w:rFonts w:cs="Arial"/>
          <w:bCs/>
          <w:szCs w:val="22"/>
          <w:lang w:val="en-GB"/>
        </w:rPr>
        <w:t>and reads as follows:</w:t>
      </w:r>
    </w:p>
    <w:p w14:paraId="14600F71" w14:textId="77777777" w:rsidR="000A1E0D" w:rsidRPr="000A1E0D" w:rsidRDefault="000A1E0D" w:rsidP="000A1E0D">
      <w:pPr>
        <w:spacing w:line="360" w:lineRule="auto"/>
        <w:ind w:left="720"/>
        <w:jc w:val="both"/>
        <w:rPr>
          <w:b/>
          <w:bCs/>
          <w:i/>
          <w:iCs/>
          <w:lang w:eastAsia="en-ZA"/>
        </w:rPr>
      </w:pPr>
      <w:r w:rsidRPr="000A1E0D">
        <w:rPr>
          <w:b/>
          <w:bCs/>
          <w:i/>
          <w:iCs/>
          <w:lang w:eastAsia="en-ZA"/>
        </w:rPr>
        <w:t>3  Binding effect of arbitration agreement and power of court in relation thereto</w:t>
      </w:r>
    </w:p>
    <w:p w14:paraId="443D2D47" w14:textId="77777777" w:rsidR="000A1E0D" w:rsidRPr="000A1E0D" w:rsidRDefault="000A1E0D" w:rsidP="000A1E0D">
      <w:pPr>
        <w:spacing w:line="360" w:lineRule="auto"/>
        <w:ind w:left="720"/>
        <w:jc w:val="both"/>
        <w:rPr>
          <w:i/>
          <w:iCs/>
          <w:lang w:eastAsia="en-ZA"/>
        </w:rPr>
      </w:pPr>
      <w:r w:rsidRPr="000A1E0D">
        <w:rPr>
          <w:i/>
          <w:iCs/>
          <w:lang w:eastAsia="en-ZA"/>
        </w:rPr>
        <w:t>(1) Unless the agreement otherwise provides, an arbitration agreement shall not be capable of being terminated except by consent of all the parties thereto.</w:t>
      </w:r>
    </w:p>
    <w:p w14:paraId="79FEE4B7" w14:textId="77777777" w:rsidR="000A1E0D" w:rsidRPr="000A1E0D" w:rsidRDefault="000A1E0D" w:rsidP="000A1E0D">
      <w:pPr>
        <w:spacing w:line="360" w:lineRule="auto"/>
        <w:ind w:left="720"/>
        <w:jc w:val="both"/>
        <w:rPr>
          <w:i/>
          <w:iCs/>
          <w:lang w:eastAsia="en-ZA"/>
        </w:rPr>
      </w:pPr>
      <w:r w:rsidRPr="000A1E0D">
        <w:rPr>
          <w:i/>
          <w:iCs/>
          <w:lang w:eastAsia="en-ZA"/>
        </w:rPr>
        <w:t>(2) The court may at any time on the application of any party to an arbitration agreement, on good cause shown-</w:t>
      </w:r>
    </w:p>
    <w:p w14:paraId="42993E36" w14:textId="77777777" w:rsidR="000A1E0D" w:rsidRPr="000A1E0D" w:rsidRDefault="000A1E0D" w:rsidP="000A1E0D">
      <w:pPr>
        <w:spacing w:line="360" w:lineRule="auto"/>
        <w:ind w:left="720"/>
        <w:jc w:val="both"/>
        <w:rPr>
          <w:i/>
          <w:iCs/>
          <w:lang w:eastAsia="en-ZA"/>
        </w:rPr>
      </w:pPr>
      <w:r w:rsidRPr="000A1E0D">
        <w:rPr>
          <w:i/>
          <w:iCs/>
          <w:lang w:eastAsia="en-ZA"/>
        </w:rPr>
        <w:t>   (a)   set aside the arbitration agreement; or</w:t>
      </w:r>
    </w:p>
    <w:p w14:paraId="0BF46FAB" w14:textId="77777777" w:rsidR="000A1E0D" w:rsidRPr="000A1E0D" w:rsidRDefault="000A1E0D" w:rsidP="000A1E0D">
      <w:pPr>
        <w:spacing w:line="360" w:lineRule="auto"/>
        <w:ind w:left="720"/>
        <w:jc w:val="both"/>
        <w:rPr>
          <w:i/>
          <w:iCs/>
          <w:lang w:eastAsia="en-ZA"/>
        </w:rPr>
      </w:pPr>
      <w:r w:rsidRPr="000A1E0D">
        <w:rPr>
          <w:i/>
          <w:iCs/>
          <w:lang w:eastAsia="en-ZA"/>
        </w:rPr>
        <w:t>   (b)   order that any particular dispute referred to in the arbitration agreement shall not be referred to arbitration; or</w:t>
      </w:r>
    </w:p>
    <w:p w14:paraId="3B6CA2A0" w14:textId="77777777" w:rsidR="000A1E0D" w:rsidRPr="000A1E0D" w:rsidRDefault="000A1E0D" w:rsidP="000A1E0D">
      <w:pPr>
        <w:spacing w:line="360" w:lineRule="auto"/>
        <w:ind w:left="720"/>
        <w:jc w:val="both"/>
        <w:rPr>
          <w:i/>
          <w:iCs/>
          <w:lang w:eastAsia="en-ZA"/>
        </w:rPr>
      </w:pPr>
      <w:r w:rsidRPr="000A1E0D">
        <w:rPr>
          <w:i/>
          <w:iCs/>
          <w:lang w:eastAsia="en-ZA"/>
        </w:rPr>
        <w:t>   (c)   order that the arbitration agreement shall cease to have effect with reference to any dispute referred.</w:t>
      </w:r>
    </w:p>
    <w:p w14:paraId="01095EAA" w14:textId="77777777" w:rsidR="000A1E0D" w:rsidRPr="000A1E0D" w:rsidRDefault="000A1E0D" w:rsidP="000A1E0D">
      <w:pPr>
        <w:spacing w:line="360" w:lineRule="auto"/>
        <w:ind w:left="720"/>
        <w:jc w:val="both"/>
        <w:rPr>
          <w:i/>
          <w:iCs/>
        </w:rPr>
      </w:pPr>
    </w:p>
    <w:p w14:paraId="6C1235C0" w14:textId="0BCFCD81" w:rsidR="00D664CA" w:rsidRPr="00992D6B" w:rsidRDefault="00D664CA" w:rsidP="006407E9">
      <w:pPr>
        <w:widowControl w:val="0"/>
        <w:numPr>
          <w:ilvl w:val="0"/>
          <w:numId w:val="1"/>
        </w:numPr>
        <w:spacing w:before="480" w:after="480" w:line="360" w:lineRule="auto"/>
        <w:jc w:val="both"/>
        <w:rPr>
          <w:rFonts w:cs="Arial"/>
          <w:bCs/>
          <w:szCs w:val="22"/>
        </w:rPr>
      </w:pPr>
      <w:r>
        <w:rPr>
          <w:rFonts w:cs="Arial"/>
          <w:bCs/>
          <w:szCs w:val="22"/>
          <w:lang w:val="en-GB"/>
        </w:rPr>
        <w:t>The parties have waived compliance with section 23 of the Arbitration Act.</w:t>
      </w:r>
    </w:p>
    <w:p w14:paraId="41397D43" w14:textId="77777777" w:rsidR="002C0D8B" w:rsidRDefault="002C0D8B" w:rsidP="002C0D8B">
      <w:pPr>
        <w:widowControl w:val="0"/>
        <w:spacing w:line="360" w:lineRule="auto"/>
        <w:jc w:val="both"/>
        <w:rPr>
          <w:rFonts w:cs="Arial"/>
          <w:bCs/>
          <w:szCs w:val="22"/>
          <w:u w:val="single"/>
        </w:rPr>
      </w:pPr>
    </w:p>
    <w:p w14:paraId="3C6AAD0E" w14:textId="416455B9" w:rsidR="002C0D8B" w:rsidRDefault="002C0D8B" w:rsidP="002C0D8B">
      <w:pPr>
        <w:widowControl w:val="0"/>
        <w:spacing w:line="360" w:lineRule="auto"/>
        <w:jc w:val="both"/>
        <w:rPr>
          <w:rFonts w:cs="Arial"/>
          <w:bCs/>
          <w:szCs w:val="22"/>
          <w:u w:val="single"/>
        </w:rPr>
      </w:pPr>
      <w:r>
        <w:rPr>
          <w:rFonts w:cs="Arial"/>
          <w:bCs/>
          <w:szCs w:val="22"/>
          <w:u w:val="single"/>
        </w:rPr>
        <w:t>Background:</w:t>
      </w:r>
    </w:p>
    <w:p w14:paraId="637DBF7C" w14:textId="77777777" w:rsidR="002C0D8B" w:rsidRPr="00BA3F61" w:rsidRDefault="002C0D8B" w:rsidP="002C0D8B">
      <w:pPr>
        <w:widowControl w:val="0"/>
        <w:spacing w:line="360" w:lineRule="auto"/>
        <w:jc w:val="both"/>
        <w:rPr>
          <w:rFonts w:cs="Arial"/>
          <w:bCs/>
          <w:szCs w:val="22"/>
          <w:u w:val="single"/>
        </w:rPr>
      </w:pPr>
      <w:r w:rsidRPr="00BA3F61">
        <w:rPr>
          <w:rFonts w:cs="Arial"/>
          <w:bCs/>
          <w:szCs w:val="22"/>
          <w:u w:val="single"/>
        </w:rPr>
        <w:t>The co-ownership agreement</w:t>
      </w:r>
    </w:p>
    <w:p w14:paraId="6A27EA3C" w14:textId="6EF29467" w:rsidR="002C0D8B" w:rsidRPr="00A35F5A" w:rsidRDefault="002C0D8B" w:rsidP="002C0D8B">
      <w:pPr>
        <w:widowControl w:val="0"/>
        <w:numPr>
          <w:ilvl w:val="0"/>
          <w:numId w:val="1"/>
        </w:numPr>
        <w:spacing w:before="480" w:after="480" w:line="360" w:lineRule="auto"/>
        <w:jc w:val="both"/>
        <w:rPr>
          <w:rFonts w:cs="Arial"/>
          <w:bCs/>
          <w:szCs w:val="22"/>
        </w:rPr>
      </w:pPr>
      <w:r w:rsidRPr="00CF7F48">
        <w:rPr>
          <w:rFonts w:cs="Arial"/>
          <w:bCs/>
          <w:szCs w:val="22"/>
          <w:lang w:val="en-GB"/>
        </w:rPr>
        <w:t xml:space="preserve">The </w:t>
      </w:r>
      <w:r>
        <w:rPr>
          <w:rFonts w:cs="Arial"/>
          <w:bCs/>
          <w:szCs w:val="22"/>
          <w:lang w:val="en-GB"/>
        </w:rPr>
        <w:t xml:space="preserve">parties entered into a co-ownership </w:t>
      </w:r>
      <w:r w:rsidR="00EF3239">
        <w:rPr>
          <w:rFonts w:cs="Arial"/>
          <w:bCs/>
          <w:szCs w:val="22"/>
          <w:lang w:val="en-GB"/>
        </w:rPr>
        <w:t xml:space="preserve">agreement </w:t>
      </w:r>
      <w:r>
        <w:rPr>
          <w:rFonts w:cs="Arial"/>
          <w:bCs/>
          <w:szCs w:val="22"/>
          <w:lang w:val="en-GB"/>
        </w:rPr>
        <w:t>on 9 November 2011. The two co-owners were MEPF and Adamax.</w:t>
      </w:r>
      <w:r>
        <w:rPr>
          <w:rStyle w:val="FootnoteReference"/>
          <w:rFonts w:cs="Arial"/>
          <w:bCs/>
          <w:szCs w:val="22"/>
          <w:lang w:val="en-GB"/>
        </w:rPr>
        <w:footnoteReference w:id="3"/>
      </w:r>
      <w:r>
        <w:rPr>
          <w:rFonts w:cs="Arial"/>
          <w:bCs/>
          <w:szCs w:val="22"/>
          <w:lang w:val="en-GB"/>
        </w:rPr>
        <w:t xml:space="preserve"> Adamax was described as ‘Propco,’ the holding company of three fully owned subsidiaries.</w:t>
      </w:r>
      <w:r>
        <w:rPr>
          <w:rStyle w:val="FootnoteReference"/>
          <w:rFonts w:cs="Arial"/>
          <w:bCs/>
          <w:szCs w:val="22"/>
          <w:lang w:val="en-GB"/>
        </w:rPr>
        <w:footnoteReference w:id="4"/>
      </w:r>
      <w:r>
        <w:rPr>
          <w:rFonts w:cs="Arial"/>
          <w:bCs/>
          <w:szCs w:val="22"/>
          <w:lang w:val="en-GB"/>
        </w:rPr>
        <w:t xml:space="preserve"> These three subsidiaries were not parties to the co-ownership agreement but they held</w:t>
      </w:r>
      <w:r>
        <w:rPr>
          <w:rStyle w:val="FootnoteReference"/>
          <w:rFonts w:cs="Arial"/>
          <w:bCs/>
          <w:szCs w:val="22"/>
          <w:lang w:val="en-GB"/>
        </w:rPr>
        <w:footnoteReference w:id="5"/>
      </w:r>
      <w:r>
        <w:rPr>
          <w:rFonts w:cs="Arial"/>
          <w:bCs/>
          <w:szCs w:val="22"/>
          <w:lang w:val="en-GB"/>
        </w:rPr>
        <w:t xml:space="preserve"> a share in the letting enterprise</w:t>
      </w:r>
      <w:r>
        <w:rPr>
          <w:rStyle w:val="FootnoteReference"/>
          <w:rFonts w:cs="Arial"/>
          <w:bCs/>
          <w:szCs w:val="22"/>
          <w:lang w:val="en-GB"/>
        </w:rPr>
        <w:footnoteReference w:id="6"/>
      </w:r>
      <w:r>
        <w:rPr>
          <w:rFonts w:cs="Arial"/>
          <w:bCs/>
          <w:szCs w:val="22"/>
          <w:lang w:val="en-GB"/>
        </w:rPr>
        <w:t xml:space="preserve"> comprising the Property,</w:t>
      </w:r>
      <w:r>
        <w:rPr>
          <w:rStyle w:val="FootnoteReference"/>
          <w:rFonts w:cs="Arial"/>
          <w:bCs/>
          <w:szCs w:val="22"/>
          <w:lang w:val="en-GB"/>
        </w:rPr>
        <w:footnoteReference w:id="7"/>
      </w:r>
      <w:r>
        <w:rPr>
          <w:rFonts w:cs="Arial"/>
          <w:bCs/>
          <w:szCs w:val="22"/>
          <w:lang w:val="en-GB"/>
        </w:rPr>
        <w:t xml:space="preserve"> in turn comprising various </w:t>
      </w:r>
      <w:r w:rsidR="00296ADE">
        <w:rPr>
          <w:rFonts w:cs="Arial"/>
          <w:bCs/>
          <w:szCs w:val="22"/>
          <w:lang w:val="en-GB"/>
        </w:rPr>
        <w:t>properties</w:t>
      </w:r>
      <w:r w:rsidR="00296ADE">
        <w:rPr>
          <w:rStyle w:val="FootnoteReference"/>
          <w:rFonts w:cs="Arial"/>
          <w:bCs/>
          <w:szCs w:val="22"/>
          <w:lang w:val="en-GB"/>
        </w:rPr>
        <w:footnoteReference w:id="8"/>
      </w:r>
      <w:r w:rsidR="00296ADE">
        <w:rPr>
          <w:rFonts w:cs="Arial"/>
          <w:bCs/>
          <w:szCs w:val="22"/>
          <w:lang w:val="en-GB"/>
        </w:rPr>
        <w:t xml:space="preserve"> listed in Schedule 2</w:t>
      </w:r>
      <w:r w:rsidR="009605D3">
        <w:rPr>
          <w:rFonts w:cs="Arial"/>
          <w:bCs/>
          <w:szCs w:val="22"/>
          <w:lang w:val="en-GB"/>
        </w:rPr>
        <w:t>.</w:t>
      </w:r>
    </w:p>
    <w:p w14:paraId="4D0E4AB4" w14:textId="5E8FC11D" w:rsidR="00296ADE" w:rsidRPr="00296ADE" w:rsidRDefault="002C0D8B" w:rsidP="0064772D">
      <w:pPr>
        <w:widowControl w:val="0"/>
        <w:numPr>
          <w:ilvl w:val="0"/>
          <w:numId w:val="1"/>
        </w:numPr>
        <w:spacing w:before="480" w:after="480" w:line="360" w:lineRule="auto"/>
        <w:jc w:val="both"/>
        <w:rPr>
          <w:rFonts w:cs="Arial"/>
          <w:bCs/>
          <w:szCs w:val="22"/>
        </w:rPr>
      </w:pPr>
      <w:r w:rsidRPr="0053605B">
        <w:rPr>
          <w:rFonts w:cs="Arial"/>
          <w:bCs/>
          <w:szCs w:val="22"/>
          <w:lang w:val="en-GB"/>
        </w:rPr>
        <w:t>The co-ownership was constituted by an agreement to carry on the letting enterprise</w:t>
      </w:r>
      <w:r>
        <w:rPr>
          <w:rStyle w:val="FootnoteReference"/>
          <w:rFonts w:cs="Arial"/>
          <w:bCs/>
          <w:szCs w:val="22"/>
          <w:lang w:val="en-GB"/>
        </w:rPr>
        <w:footnoteReference w:id="9"/>
      </w:r>
      <w:r w:rsidR="00FD747C" w:rsidRPr="0053605B">
        <w:rPr>
          <w:rFonts w:cs="Arial"/>
          <w:bCs/>
          <w:szCs w:val="22"/>
          <w:lang w:val="en-GB"/>
        </w:rPr>
        <w:t xml:space="preserve"> </w:t>
      </w:r>
      <w:r w:rsidR="00296ADE">
        <w:rPr>
          <w:rFonts w:cs="Arial"/>
          <w:bCs/>
          <w:szCs w:val="22"/>
          <w:lang w:val="en-GB"/>
        </w:rPr>
        <w:t>comprising</w:t>
      </w:r>
      <w:r w:rsidR="00296ADE">
        <w:rPr>
          <w:rStyle w:val="FootnoteReference"/>
          <w:rFonts w:cs="Arial"/>
          <w:bCs/>
          <w:szCs w:val="22"/>
          <w:lang w:val="en-GB"/>
        </w:rPr>
        <w:footnoteReference w:id="10"/>
      </w:r>
      <w:r w:rsidR="00296ADE">
        <w:rPr>
          <w:rFonts w:cs="Arial"/>
          <w:bCs/>
          <w:szCs w:val="22"/>
          <w:lang w:val="en-GB"/>
        </w:rPr>
        <w:t xml:space="preserve"> the Property listed in Schedule 2 together with rights flowing from </w:t>
      </w:r>
      <w:r w:rsidR="007C38EE">
        <w:rPr>
          <w:rFonts w:cs="Arial"/>
          <w:bCs/>
          <w:szCs w:val="22"/>
          <w:lang w:val="en-GB"/>
        </w:rPr>
        <w:t>l</w:t>
      </w:r>
      <w:r w:rsidR="00296ADE">
        <w:rPr>
          <w:rFonts w:cs="Arial"/>
          <w:bCs/>
          <w:szCs w:val="22"/>
          <w:lang w:val="en-GB"/>
        </w:rPr>
        <w:t>eases and revenue relating to the Property.</w:t>
      </w:r>
    </w:p>
    <w:p w14:paraId="05AD6965" w14:textId="4A2AA86A" w:rsidR="00FD747C" w:rsidRPr="0053605B" w:rsidRDefault="00FD747C" w:rsidP="0064772D">
      <w:pPr>
        <w:widowControl w:val="0"/>
        <w:numPr>
          <w:ilvl w:val="0"/>
          <w:numId w:val="1"/>
        </w:numPr>
        <w:spacing w:before="480" w:after="480" w:line="360" w:lineRule="auto"/>
        <w:jc w:val="both"/>
        <w:rPr>
          <w:rFonts w:cs="Arial"/>
          <w:bCs/>
          <w:szCs w:val="22"/>
        </w:rPr>
      </w:pPr>
      <w:r w:rsidRPr="0053605B">
        <w:rPr>
          <w:rFonts w:cs="Arial"/>
          <w:bCs/>
          <w:szCs w:val="22"/>
          <w:lang w:val="en-GB"/>
        </w:rPr>
        <w:t>It was expressly agreed</w:t>
      </w:r>
      <w:r w:rsidR="007C38EE">
        <w:rPr>
          <w:rFonts w:cs="Arial"/>
          <w:bCs/>
          <w:szCs w:val="22"/>
          <w:lang w:val="en-GB"/>
        </w:rPr>
        <w:t xml:space="preserve"> between the contracting parties</w:t>
      </w:r>
      <w:r w:rsidRPr="0053605B">
        <w:rPr>
          <w:rFonts w:cs="Arial"/>
          <w:bCs/>
          <w:szCs w:val="22"/>
          <w:lang w:val="en-GB"/>
        </w:rPr>
        <w:t xml:space="preserve"> that t</w:t>
      </w:r>
      <w:r w:rsidR="002C0D8B" w:rsidRPr="0053605B">
        <w:rPr>
          <w:rFonts w:cs="Arial"/>
          <w:bCs/>
          <w:szCs w:val="22"/>
          <w:lang w:val="en-GB"/>
        </w:rPr>
        <w:t>he agreement d</w:t>
      </w:r>
      <w:r w:rsidRPr="0053605B">
        <w:rPr>
          <w:rFonts w:cs="Arial"/>
          <w:bCs/>
          <w:szCs w:val="22"/>
          <w:lang w:val="en-GB"/>
        </w:rPr>
        <w:t>id</w:t>
      </w:r>
      <w:r w:rsidR="002C0D8B" w:rsidRPr="0053605B">
        <w:rPr>
          <w:rFonts w:cs="Arial"/>
          <w:bCs/>
          <w:szCs w:val="22"/>
          <w:lang w:val="en-GB"/>
        </w:rPr>
        <w:t xml:space="preserve"> not constitute a joint venture or partnership.</w:t>
      </w:r>
      <w:r w:rsidR="002C0D8B">
        <w:rPr>
          <w:rStyle w:val="FootnoteReference"/>
          <w:rFonts w:cs="Arial"/>
          <w:bCs/>
          <w:szCs w:val="22"/>
          <w:lang w:val="en-GB"/>
        </w:rPr>
        <w:footnoteReference w:id="11"/>
      </w:r>
      <w:r w:rsidR="002C0D8B" w:rsidRPr="0053605B">
        <w:rPr>
          <w:rFonts w:cs="Arial"/>
          <w:bCs/>
          <w:szCs w:val="22"/>
          <w:lang w:val="en-GB"/>
        </w:rPr>
        <w:t xml:space="preserve"> </w:t>
      </w:r>
    </w:p>
    <w:p w14:paraId="1BCE5D93" w14:textId="75F1CCCB" w:rsidR="002C0D8B" w:rsidRPr="00BA3F61" w:rsidRDefault="002C0D8B" w:rsidP="002C0D8B">
      <w:pPr>
        <w:widowControl w:val="0"/>
        <w:numPr>
          <w:ilvl w:val="0"/>
          <w:numId w:val="1"/>
        </w:numPr>
        <w:spacing w:before="480" w:after="480" w:line="360" w:lineRule="auto"/>
        <w:jc w:val="both"/>
        <w:rPr>
          <w:rFonts w:cs="Arial"/>
          <w:bCs/>
          <w:szCs w:val="22"/>
        </w:rPr>
      </w:pPr>
      <w:r w:rsidRPr="00CF7F48">
        <w:rPr>
          <w:rFonts w:cs="Arial"/>
          <w:bCs/>
          <w:szCs w:val="22"/>
          <w:lang w:val="en-GB"/>
        </w:rPr>
        <w:t xml:space="preserve">The arbitration agreement between </w:t>
      </w:r>
      <w:r w:rsidR="007C38EE">
        <w:rPr>
          <w:rFonts w:cs="Arial"/>
          <w:bCs/>
          <w:szCs w:val="22"/>
          <w:lang w:val="en-GB"/>
        </w:rPr>
        <w:t>MEDF and Adamax</w:t>
      </w:r>
      <w:r w:rsidRPr="00CF7F48">
        <w:rPr>
          <w:rFonts w:cs="Arial"/>
          <w:bCs/>
          <w:szCs w:val="22"/>
          <w:lang w:val="en-GB"/>
        </w:rPr>
        <w:t xml:space="preserve"> is to be found in </w:t>
      </w:r>
      <w:r>
        <w:rPr>
          <w:rFonts w:cs="Arial"/>
          <w:bCs/>
          <w:szCs w:val="22"/>
          <w:lang w:val="en-GB"/>
        </w:rPr>
        <w:t>clause 20 of the co-</w:t>
      </w:r>
      <w:r w:rsidRPr="00CF7F48">
        <w:rPr>
          <w:rFonts w:cs="Arial"/>
          <w:bCs/>
          <w:szCs w:val="22"/>
          <w:lang w:val="en-GB"/>
        </w:rPr>
        <w:t>ownership agreement</w:t>
      </w:r>
      <w:r>
        <w:rPr>
          <w:rFonts w:cs="Arial"/>
          <w:bCs/>
          <w:szCs w:val="22"/>
          <w:lang w:val="en-GB"/>
        </w:rPr>
        <w:t xml:space="preserve">. </w:t>
      </w:r>
      <w:r w:rsidRPr="00AF5B05">
        <w:rPr>
          <w:rFonts w:cs="Arial"/>
          <w:bCs/>
          <w:szCs w:val="22"/>
          <w:lang w:val="en-GB"/>
        </w:rPr>
        <w:t xml:space="preserve">In terms of the agreement the arbitrator has the </w:t>
      </w:r>
      <w:r>
        <w:rPr>
          <w:rFonts w:cs="Arial"/>
          <w:bCs/>
          <w:szCs w:val="22"/>
          <w:lang w:val="en-GB"/>
        </w:rPr>
        <w:t>power</w:t>
      </w:r>
      <w:r w:rsidRPr="00AF5B05">
        <w:rPr>
          <w:rFonts w:cs="Arial"/>
          <w:bCs/>
          <w:szCs w:val="22"/>
          <w:lang w:val="en-GB"/>
        </w:rPr>
        <w:t xml:space="preserve"> to fix all procedural rules</w:t>
      </w:r>
      <w:r>
        <w:rPr>
          <w:rFonts w:cs="Arial"/>
          <w:bCs/>
          <w:szCs w:val="22"/>
          <w:lang w:val="en-GB"/>
        </w:rPr>
        <w:t xml:space="preserve"> </w:t>
      </w:r>
      <w:r w:rsidRPr="00AF5B05">
        <w:rPr>
          <w:rFonts w:cs="Arial"/>
          <w:bCs/>
          <w:szCs w:val="22"/>
          <w:lang w:val="en-GB"/>
        </w:rPr>
        <w:t>and to decide on the admissibility of evidence</w:t>
      </w:r>
      <w:r>
        <w:rPr>
          <w:rFonts w:cs="Arial"/>
          <w:bCs/>
          <w:szCs w:val="22"/>
          <w:lang w:val="en-GB"/>
        </w:rPr>
        <w:t>.</w:t>
      </w:r>
      <w:r>
        <w:rPr>
          <w:rStyle w:val="FootnoteReference"/>
          <w:rFonts w:cs="Arial"/>
          <w:bCs/>
          <w:szCs w:val="22"/>
          <w:lang w:val="en-GB"/>
        </w:rPr>
        <w:footnoteReference w:id="12"/>
      </w:r>
      <w:r>
        <w:rPr>
          <w:rFonts w:cs="Arial"/>
          <w:bCs/>
          <w:szCs w:val="22"/>
          <w:lang w:val="en-GB"/>
        </w:rPr>
        <w:t xml:space="preserve"> </w:t>
      </w:r>
      <w:r w:rsidRPr="00AF5B05">
        <w:rPr>
          <w:rFonts w:cs="Arial"/>
          <w:bCs/>
          <w:szCs w:val="22"/>
          <w:lang w:val="en-GB"/>
        </w:rPr>
        <w:t xml:space="preserve">Unless the </w:t>
      </w:r>
      <w:r w:rsidRPr="006E3872">
        <w:rPr>
          <w:rFonts w:cs="Arial"/>
          <w:bCs/>
          <w:szCs w:val="22"/>
          <w:lang w:val="en-GB"/>
        </w:rPr>
        <w:t xml:space="preserve">arbitrator directs otherwise the Uniform Rules of </w:t>
      </w:r>
      <w:r>
        <w:rPr>
          <w:rFonts w:cs="Arial"/>
          <w:bCs/>
          <w:szCs w:val="22"/>
          <w:lang w:val="en-GB"/>
        </w:rPr>
        <w:t xml:space="preserve">Court </w:t>
      </w:r>
      <w:r w:rsidRPr="006E3872">
        <w:rPr>
          <w:rFonts w:cs="Arial"/>
          <w:bCs/>
          <w:szCs w:val="22"/>
          <w:lang w:val="en-GB"/>
        </w:rPr>
        <w:t>as applied in what is now the</w:t>
      </w:r>
      <w:r>
        <w:rPr>
          <w:rFonts w:cs="Arial"/>
          <w:bCs/>
          <w:szCs w:val="22"/>
          <w:lang w:val="en-GB"/>
        </w:rPr>
        <w:t xml:space="preserve"> Gauteng</w:t>
      </w:r>
      <w:r w:rsidRPr="006E3872">
        <w:rPr>
          <w:rFonts w:cs="Arial"/>
          <w:bCs/>
          <w:szCs w:val="22"/>
          <w:lang w:val="en-GB"/>
        </w:rPr>
        <w:t xml:space="preserve"> Divisio</w:t>
      </w:r>
      <w:r>
        <w:rPr>
          <w:rFonts w:cs="Arial"/>
          <w:bCs/>
          <w:szCs w:val="22"/>
          <w:lang w:val="en-GB"/>
        </w:rPr>
        <w:t xml:space="preserve">n, </w:t>
      </w:r>
      <w:r w:rsidRPr="006E3872">
        <w:rPr>
          <w:rFonts w:cs="Arial"/>
          <w:bCs/>
          <w:szCs w:val="22"/>
          <w:lang w:val="en-GB"/>
        </w:rPr>
        <w:t>Johannesburg</w:t>
      </w:r>
      <w:r>
        <w:rPr>
          <w:rFonts w:cs="Arial"/>
          <w:bCs/>
          <w:szCs w:val="22"/>
          <w:lang w:val="en-GB"/>
        </w:rPr>
        <w:t xml:space="preserve"> </w:t>
      </w:r>
      <w:r w:rsidRPr="006E3872">
        <w:rPr>
          <w:rFonts w:cs="Arial"/>
          <w:bCs/>
          <w:szCs w:val="22"/>
          <w:lang w:val="en-GB"/>
        </w:rPr>
        <w:t>shall be applicable to the arbitration</w:t>
      </w:r>
      <w:r>
        <w:rPr>
          <w:rFonts w:cs="Arial"/>
          <w:bCs/>
          <w:szCs w:val="22"/>
          <w:lang w:val="en-GB"/>
        </w:rPr>
        <w:t>.</w:t>
      </w:r>
    </w:p>
    <w:p w14:paraId="56E87EEF" w14:textId="77777777" w:rsidR="002C0D8B" w:rsidRPr="00BA3F61" w:rsidRDefault="002C0D8B" w:rsidP="002C0D8B">
      <w:pPr>
        <w:widowControl w:val="0"/>
        <w:spacing w:before="480" w:after="480" w:line="360" w:lineRule="auto"/>
        <w:jc w:val="both"/>
        <w:rPr>
          <w:rFonts w:cs="Arial"/>
          <w:bCs/>
          <w:szCs w:val="22"/>
        </w:rPr>
      </w:pPr>
    </w:p>
    <w:p w14:paraId="305A68F2" w14:textId="77777777" w:rsidR="002C0D8B" w:rsidRPr="00BA3F61" w:rsidRDefault="002C0D8B" w:rsidP="002C0D8B">
      <w:pPr>
        <w:widowControl w:val="0"/>
        <w:spacing w:before="480" w:after="480" w:line="360" w:lineRule="auto"/>
        <w:jc w:val="both"/>
        <w:rPr>
          <w:rFonts w:cs="Arial"/>
          <w:bCs/>
          <w:szCs w:val="22"/>
          <w:u w:val="single"/>
        </w:rPr>
      </w:pPr>
      <w:r w:rsidRPr="00BA3F61">
        <w:rPr>
          <w:rFonts w:cs="Arial"/>
          <w:bCs/>
          <w:szCs w:val="22"/>
          <w:u w:val="single"/>
        </w:rPr>
        <w:t>The property management agreement</w:t>
      </w:r>
      <w:r>
        <w:rPr>
          <w:rFonts w:cs="Arial"/>
          <w:bCs/>
          <w:szCs w:val="22"/>
          <w:u w:val="single"/>
        </w:rPr>
        <w:t xml:space="preserve"> and the second addendum</w:t>
      </w:r>
    </w:p>
    <w:p w14:paraId="1778E8C1" w14:textId="77777777" w:rsidR="002C0D8B" w:rsidRPr="00FC600D" w:rsidRDefault="002C0D8B" w:rsidP="002C0D8B">
      <w:pPr>
        <w:widowControl w:val="0"/>
        <w:numPr>
          <w:ilvl w:val="0"/>
          <w:numId w:val="1"/>
        </w:numPr>
        <w:spacing w:before="480" w:after="480" w:line="360" w:lineRule="auto"/>
        <w:jc w:val="both"/>
        <w:rPr>
          <w:rFonts w:cs="Arial"/>
          <w:bCs/>
          <w:szCs w:val="22"/>
        </w:rPr>
      </w:pPr>
      <w:r>
        <w:rPr>
          <w:rFonts w:cs="Arial"/>
          <w:bCs/>
          <w:szCs w:val="22"/>
          <w:lang w:val="en-GB"/>
        </w:rPr>
        <w:t>On the same day, 9 November 2011, MEPF, Adamax, and three other entities</w:t>
      </w:r>
      <w:r>
        <w:rPr>
          <w:rStyle w:val="FootnoteReference"/>
          <w:rFonts w:cs="Arial"/>
          <w:bCs/>
          <w:szCs w:val="22"/>
          <w:lang w:val="en-GB"/>
        </w:rPr>
        <w:footnoteReference w:id="13"/>
      </w:r>
      <w:r>
        <w:rPr>
          <w:rFonts w:cs="Arial"/>
          <w:bCs/>
          <w:szCs w:val="22"/>
          <w:lang w:val="en-GB"/>
        </w:rPr>
        <w:t xml:space="preserve"> entered into a property management agreement in respect of the Property described in the co-ownership agreement. Akani RFA was appointed as the Manager, subject to a cession of its rights and a delegation of its obligations to CRE and M&amp;M.</w:t>
      </w:r>
    </w:p>
    <w:p w14:paraId="1485E99D" w14:textId="77777777" w:rsidR="002C0D8B" w:rsidRPr="00EF3239" w:rsidRDefault="002C0D8B" w:rsidP="002C0D8B">
      <w:pPr>
        <w:widowControl w:val="0"/>
        <w:numPr>
          <w:ilvl w:val="0"/>
          <w:numId w:val="1"/>
        </w:numPr>
        <w:spacing w:before="480" w:after="480" w:line="360" w:lineRule="auto"/>
        <w:jc w:val="both"/>
        <w:rPr>
          <w:rFonts w:cs="Arial"/>
          <w:bCs/>
          <w:szCs w:val="22"/>
        </w:rPr>
      </w:pPr>
      <w:r>
        <w:rPr>
          <w:rFonts w:cs="Arial"/>
          <w:bCs/>
          <w:szCs w:val="22"/>
          <w:lang w:val="en-GB"/>
        </w:rPr>
        <w:t>Unlike the co-ownership agreement the property management agreement does not contain an arbitration clause. MEFP and Adamax pertinently agreed to arbitration in the co-ownership agreement but the parties to the property management agreement did not.</w:t>
      </w:r>
    </w:p>
    <w:p w14:paraId="28ABEF58" w14:textId="77777777" w:rsidR="00FD747C" w:rsidRDefault="00FD747C" w:rsidP="00562D7B">
      <w:pPr>
        <w:widowControl w:val="0"/>
        <w:spacing w:before="480" w:after="480" w:line="360" w:lineRule="auto"/>
        <w:jc w:val="both"/>
        <w:rPr>
          <w:rFonts w:cs="Arial"/>
          <w:bCs/>
          <w:szCs w:val="22"/>
          <w:u w:val="single"/>
          <w:lang w:val="en-GB"/>
        </w:rPr>
      </w:pPr>
    </w:p>
    <w:p w14:paraId="1A9CBB2A" w14:textId="584A6B8D" w:rsidR="00AD7C78" w:rsidRPr="00AD7C78" w:rsidRDefault="00AD7C78" w:rsidP="00AD7C78">
      <w:pPr>
        <w:widowControl w:val="0"/>
        <w:spacing w:before="480" w:after="480" w:line="360" w:lineRule="auto"/>
        <w:jc w:val="both"/>
        <w:rPr>
          <w:rFonts w:cs="Arial"/>
          <w:bCs/>
          <w:szCs w:val="22"/>
          <w:u w:val="single"/>
        </w:rPr>
      </w:pPr>
      <w:r w:rsidRPr="00AD7C78">
        <w:rPr>
          <w:rFonts w:cs="Arial"/>
          <w:bCs/>
          <w:szCs w:val="22"/>
          <w:u w:val="single"/>
        </w:rPr>
        <w:t xml:space="preserve">The arbitration </w:t>
      </w:r>
    </w:p>
    <w:p w14:paraId="370E0F07" w14:textId="769216DE" w:rsidR="00FD747C" w:rsidRPr="00FD747C" w:rsidRDefault="002C0D8B" w:rsidP="00795C54">
      <w:pPr>
        <w:widowControl w:val="0"/>
        <w:numPr>
          <w:ilvl w:val="0"/>
          <w:numId w:val="1"/>
        </w:numPr>
        <w:spacing w:before="480" w:after="480" w:line="360" w:lineRule="auto"/>
        <w:jc w:val="both"/>
        <w:rPr>
          <w:rFonts w:cs="Arial"/>
          <w:bCs/>
          <w:szCs w:val="22"/>
        </w:rPr>
      </w:pPr>
      <w:r w:rsidRPr="00AD7C78">
        <w:rPr>
          <w:rFonts w:cs="Arial"/>
          <w:bCs/>
          <w:szCs w:val="22"/>
          <w:lang w:val="en-GB"/>
        </w:rPr>
        <w:t>In the arbitration that w</w:t>
      </w:r>
      <w:r w:rsidR="007C38EE">
        <w:rPr>
          <w:rFonts w:cs="Arial"/>
          <w:bCs/>
          <w:szCs w:val="22"/>
          <w:lang w:val="en-GB"/>
        </w:rPr>
        <w:t>as</w:t>
      </w:r>
      <w:r w:rsidRPr="00AD7C78">
        <w:rPr>
          <w:rFonts w:cs="Arial"/>
          <w:bCs/>
          <w:szCs w:val="22"/>
          <w:lang w:val="en-GB"/>
        </w:rPr>
        <w:t xml:space="preserve"> initiated </w:t>
      </w:r>
      <w:r w:rsidR="00467DDF">
        <w:rPr>
          <w:rFonts w:cs="Arial"/>
          <w:bCs/>
          <w:szCs w:val="22"/>
          <w:lang w:val="en-GB"/>
        </w:rPr>
        <w:t>in</w:t>
      </w:r>
      <w:r w:rsidRPr="00AD7C78">
        <w:rPr>
          <w:rFonts w:cs="Arial"/>
          <w:bCs/>
          <w:szCs w:val="22"/>
          <w:lang w:val="en-GB"/>
        </w:rPr>
        <w:t xml:space="preserve"> February 2023 Adamax seeks</w:t>
      </w:r>
      <w:r w:rsidR="00AD7C78">
        <w:rPr>
          <w:rFonts w:cs="Arial"/>
          <w:bCs/>
          <w:szCs w:val="22"/>
          <w:lang w:val="en-GB"/>
        </w:rPr>
        <w:t xml:space="preserve"> an order </w:t>
      </w:r>
      <w:r w:rsidR="00FD747C">
        <w:rPr>
          <w:rFonts w:cs="Arial"/>
          <w:bCs/>
          <w:szCs w:val="22"/>
          <w:lang w:val="en-GB"/>
        </w:rPr>
        <w:t>-</w:t>
      </w:r>
    </w:p>
    <w:p w14:paraId="49B3E9EE" w14:textId="05A9EAAE" w:rsidR="00FD747C" w:rsidRPr="00FD747C" w:rsidRDefault="00AD7C78" w:rsidP="00FD747C">
      <w:pPr>
        <w:widowControl w:val="0"/>
        <w:numPr>
          <w:ilvl w:val="1"/>
          <w:numId w:val="1"/>
        </w:numPr>
        <w:spacing w:before="480" w:after="480" w:line="360" w:lineRule="auto"/>
        <w:jc w:val="both"/>
        <w:rPr>
          <w:rFonts w:cs="Arial"/>
          <w:bCs/>
          <w:szCs w:val="22"/>
        </w:rPr>
      </w:pPr>
      <w:r>
        <w:rPr>
          <w:rFonts w:cs="Arial"/>
          <w:bCs/>
          <w:szCs w:val="22"/>
          <w:lang w:val="en-GB"/>
        </w:rPr>
        <w:t>declaring that MEPF was in breach of the co-ownership agreement and that it was terminated on 18 October 2022</w:t>
      </w:r>
      <w:r w:rsidR="00FD747C">
        <w:rPr>
          <w:rFonts w:cs="Arial"/>
          <w:bCs/>
          <w:szCs w:val="22"/>
          <w:lang w:val="en-GB"/>
        </w:rPr>
        <w:t xml:space="preserve"> (“the breach relief”)</w:t>
      </w:r>
      <w:r>
        <w:rPr>
          <w:rFonts w:cs="Arial"/>
          <w:bCs/>
          <w:szCs w:val="22"/>
          <w:lang w:val="en-GB"/>
        </w:rPr>
        <w:t xml:space="preserve">, </w:t>
      </w:r>
      <w:r w:rsidR="00FD747C">
        <w:rPr>
          <w:rFonts w:cs="Arial"/>
          <w:bCs/>
          <w:szCs w:val="22"/>
          <w:lang w:val="en-GB"/>
        </w:rPr>
        <w:t>and</w:t>
      </w:r>
    </w:p>
    <w:p w14:paraId="3410D682" w14:textId="2F784C9A" w:rsidR="00FD747C" w:rsidRPr="00FD747C" w:rsidRDefault="00AD7C78" w:rsidP="00FD747C">
      <w:pPr>
        <w:widowControl w:val="0"/>
        <w:numPr>
          <w:ilvl w:val="1"/>
          <w:numId w:val="1"/>
        </w:numPr>
        <w:spacing w:before="480" w:after="480" w:line="360" w:lineRule="auto"/>
        <w:jc w:val="both"/>
        <w:rPr>
          <w:rFonts w:cs="Arial"/>
          <w:bCs/>
          <w:szCs w:val="22"/>
        </w:rPr>
      </w:pPr>
      <w:r>
        <w:rPr>
          <w:rFonts w:cs="Arial"/>
          <w:bCs/>
          <w:szCs w:val="22"/>
          <w:lang w:val="en-GB"/>
        </w:rPr>
        <w:t>directing that the co-ownership be dissolved</w:t>
      </w:r>
      <w:r w:rsidR="00FD747C">
        <w:rPr>
          <w:rFonts w:cs="Arial"/>
          <w:bCs/>
          <w:szCs w:val="22"/>
          <w:lang w:val="en-GB"/>
        </w:rPr>
        <w:t xml:space="preserve"> (“the dissolution relief”).</w:t>
      </w:r>
      <w:r w:rsidR="00FD747C">
        <w:rPr>
          <w:rStyle w:val="FootnoteReference"/>
          <w:rFonts w:cs="Arial"/>
          <w:bCs/>
          <w:szCs w:val="22"/>
          <w:lang w:val="en-GB"/>
        </w:rPr>
        <w:footnoteReference w:id="14"/>
      </w:r>
    </w:p>
    <w:p w14:paraId="2D08087B" w14:textId="430349A6" w:rsidR="002C0D8B" w:rsidRPr="00AD7C78" w:rsidRDefault="002C0D8B" w:rsidP="00FD747C">
      <w:pPr>
        <w:widowControl w:val="0"/>
        <w:numPr>
          <w:ilvl w:val="0"/>
          <w:numId w:val="1"/>
        </w:numPr>
        <w:spacing w:before="480" w:after="480" w:line="360" w:lineRule="auto"/>
        <w:jc w:val="both"/>
        <w:rPr>
          <w:rFonts w:cs="Arial"/>
          <w:bCs/>
          <w:szCs w:val="22"/>
        </w:rPr>
      </w:pPr>
      <w:r w:rsidRPr="00AD7C78">
        <w:rPr>
          <w:rFonts w:cs="Arial"/>
          <w:bCs/>
          <w:szCs w:val="22"/>
          <w:lang w:val="en-GB"/>
        </w:rPr>
        <w:t xml:space="preserve">Adamax alleges that MEPF had committed material breaches of the agreement by </w:t>
      </w:r>
      <w:r w:rsidR="009605D3">
        <w:rPr>
          <w:rFonts w:cs="Arial"/>
          <w:bCs/>
          <w:szCs w:val="22"/>
          <w:lang w:val="en-GB"/>
        </w:rPr>
        <w:t>impermissibly interfering in the conduct of the property management agreement which deprived Adamax of income it was entitled to, thus constituting a breach in terms of clauses 6.1(1) and 12.1 of the co-ownership agreement.</w:t>
      </w:r>
      <w:r w:rsidR="00D664CA">
        <w:rPr>
          <w:rFonts w:cs="Arial"/>
          <w:bCs/>
          <w:szCs w:val="22"/>
          <w:lang w:val="en-GB"/>
        </w:rPr>
        <w:t xml:space="preserve"> The allegation before the arbitrator is that MEPF impermissibly instructed the party responsible for the management of the letting enterprise described below not to pay over an amount of R6</w:t>
      </w:r>
      <w:r w:rsidR="00212D65">
        <w:rPr>
          <w:rFonts w:cs="Arial"/>
          <w:bCs/>
          <w:szCs w:val="22"/>
          <w:lang w:val="en-GB"/>
        </w:rPr>
        <w:t xml:space="preserve">,609,145.40 that </w:t>
      </w:r>
      <w:r w:rsidR="00D664CA">
        <w:rPr>
          <w:rFonts w:cs="Arial"/>
          <w:bCs/>
          <w:szCs w:val="22"/>
          <w:lang w:val="en-GB"/>
        </w:rPr>
        <w:t>Adamax</w:t>
      </w:r>
      <w:r w:rsidR="00212D65">
        <w:rPr>
          <w:rFonts w:cs="Arial"/>
          <w:bCs/>
          <w:szCs w:val="22"/>
          <w:lang w:val="en-GB"/>
        </w:rPr>
        <w:t xml:space="preserve"> was entitled to.</w:t>
      </w:r>
    </w:p>
    <w:p w14:paraId="283A2F07" w14:textId="127DB844" w:rsidR="002C0D8B" w:rsidRPr="00841DDD" w:rsidRDefault="002C0D8B" w:rsidP="002C0D8B">
      <w:pPr>
        <w:widowControl w:val="0"/>
        <w:numPr>
          <w:ilvl w:val="0"/>
          <w:numId w:val="1"/>
        </w:numPr>
        <w:spacing w:before="480" w:after="480" w:line="360" w:lineRule="auto"/>
        <w:jc w:val="both"/>
        <w:rPr>
          <w:rFonts w:cs="Arial"/>
          <w:bCs/>
          <w:szCs w:val="22"/>
        </w:rPr>
      </w:pPr>
      <w:r>
        <w:rPr>
          <w:rFonts w:cs="Arial"/>
          <w:bCs/>
          <w:szCs w:val="22"/>
          <w:lang w:val="en-GB"/>
        </w:rPr>
        <w:t>MEPF</w:t>
      </w:r>
      <w:r w:rsidRPr="00841DDD">
        <w:rPr>
          <w:rFonts w:cs="Arial"/>
          <w:bCs/>
          <w:szCs w:val="22"/>
          <w:lang w:val="en-GB"/>
        </w:rPr>
        <w:t xml:space="preserve"> contends that</w:t>
      </w:r>
      <w:r w:rsidR="007C38EE">
        <w:rPr>
          <w:rFonts w:cs="Arial"/>
          <w:bCs/>
          <w:szCs w:val="22"/>
          <w:lang w:val="en-GB"/>
        </w:rPr>
        <w:t>:</w:t>
      </w:r>
    </w:p>
    <w:p w14:paraId="5B2AD8F0" w14:textId="77777777" w:rsidR="002C0D8B" w:rsidRPr="00BC394C" w:rsidRDefault="002C0D8B" w:rsidP="002C0D8B">
      <w:pPr>
        <w:widowControl w:val="0"/>
        <w:numPr>
          <w:ilvl w:val="1"/>
          <w:numId w:val="1"/>
        </w:numPr>
        <w:spacing w:before="480" w:after="480" w:line="360" w:lineRule="auto"/>
        <w:jc w:val="both"/>
        <w:rPr>
          <w:rFonts w:cs="Arial"/>
          <w:bCs/>
          <w:szCs w:val="22"/>
        </w:rPr>
      </w:pPr>
      <w:r w:rsidRPr="00BC394C">
        <w:rPr>
          <w:rFonts w:cs="Arial"/>
          <w:bCs/>
          <w:szCs w:val="22"/>
          <w:lang w:val="en-GB"/>
        </w:rPr>
        <w:t xml:space="preserve">An arbitral tribunal cannot grant a dissolution of </w:t>
      </w:r>
      <w:r>
        <w:rPr>
          <w:rFonts w:cs="Arial"/>
          <w:bCs/>
          <w:szCs w:val="22"/>
          <w:lang w:val="en-GB"/>
        </w:rPr>
        <w:t>co-</w:t>
      </w:r>
      <w:r w:rsidRPr="00BC394C">
        <w:rPr>
          <w:rFonts w:cs="Arial"/>
          <w:bCs/>
          <w:szCs w:val="22"/>
          <w:lang w:val="en-GB"/>
        </w:rPr>
        <w:t>ownership</w:t>
      </w:r>
      <w:r>
        <w:rPr>
          <w:rFonts w:cs="Arial"/>
          <w:bCs/>
          <w:szCs w:val="22"/>
          <w:lang w:val="en-GB"/>
        </w:rPr>
        <w:t>.</w:t>
      </w:r>
    </w:p>
    <w:p w14:paraId="15D14E46" w14:textId="76CCB6BE" w:rsidR="002C0D8B" w:rsidRPr="00087AEF" w:rsidRDefault="007C38EE" w:rsidP="002C0D8B">
      <w:pPr>
        <w:widowControl w:val="0"/>
        <w:numPr>
          <w:ilvl w:val="1"/>
          <w:numId w:val="1"/>
        </w:numPr>
        <w:spacing w:before="480" w:after="480" w:line="360" w:lineRule="auto"/>
        <w:jc w:val="both"/>
        <w:rPr>
          <w:rFonts w:cs="Arial"/>
          <w:bCs/>
          <w:szCs w:val="22"/>
        </w:rPr>
      </w:pPr>
      <w:r w:rsidRPr="00841DDD">
        <w:rPr>
          <w:rFonts w:cs="Arial"/>
          <w:bCs/>
          <w:szCs w:val="22"/>
          <w:lang w:val="en-GB"/>
        </w:rPr>
        <w:t xml:space="preserve">The </w:t>
      </w:r>
      <w:r w:rsidR="002C0D8B" w:rsidRPr="00841DDD">
        <w:rPr>
          <w:rFonts w:cs="Arial"/>
          <w:bCs/>
          <w:szCs w:val="22"/>
          <w:lang w:val="en-GB"/>
        </w:rPr>
        <w:t xml:space="preserve">dissolution of </w:t>
      </w:r>
      <w:r w:rsidR="002C0D8B">
        <w:rPr>
          <w:rFonts w:cs="Arial"/>
          <w:bCs/>
          <w:szCs w:val="22"/>
          <w:lang w:val="en-GB"/>
        </w:rPr>
        <w:t>co-</w:t>
      </w:r>
      <w:r w:rsidR="002C0D8B" w:rsidRPr="00841DDD">
        <w:rPr>
          <w:rFonts w:cs="Arial"/>
          <w:bCs/>
          <w:szCs w:val="22"/>
          <w:lang w:val="en-GB"/>
        </w:rPr>
        <w:t xml:space="preserve">ownership falls outside the scope of the arbitration agreement embodied in the </w:t>
      </w:r>
      <w:r w:rsidR="002C0D8B">
        <w:rPr>
          <w:rFonts w:cs="Arial"/>
          <w:bCs/>
          <w:szCs w:val="22"/>
          <w:lang w:val="en-GB"/>
        </w:rPr>
        <w:t>co-</w:t>
      </w:r>
      <w:r w:rsidR="002C0D8B" w:rsidRPr="00841DDD">
        <w:rPr>
          <w:rFonts w:cs="Arial"/>
          <w:bCs/>
          <w:szCs w:val="22"/>
          <w:lang w:val="en-GB"/>
        </w:rPr>
        <w:t>ownership agreement</w:t>
      </w:r>
      <w:r w:rsidR="002C0D8B">
        <w:rPr>
          <w:rFonts w:cs="Arial"/>
          <w:bCs/>
          <w:szCs w:val="22"/>
          <w:lang w:val="en-GB"/>
        </w:rPr>
        <w:t>.</w:t>
      </w:r>
    </w:p>
    <w:p w14:paraId="19B49A2A" w14:textId="0124829E" w:rsidR="002C0D8B" w:rsidRPr="00BC394C" w:rsidRDefault="002C0D8B" w:rsidP="002C0D8B">
      <w:pPr>
        <w:widowControl w:val="0"/>
        <w:numPr>
          <w:ilvl w:val="1"/>
          <w:numId w:val="1"/>
        </w:numPr>
        <w:spacing w:before="480" w:after="480" w:line="360" w:lineRule="auto"/>
        <w:jc w:val="both"/>
        <w:rPr>
          <w:rFonts w:cs="Arial"/>
          <w:bCs/>
          <w:szCs w:val="22"/>
        </w:rPr>
      </w:pPr>
      <w:r>
        <w:rPr>
          <w:rFonts w:cs="Arial"/>
          <w:bCs/>
          <w:szCs w:val="22"/>
          <w:lang w:val="en-GB"/>
        </w:rPr>
        <w:t>MEPF prayed that the dismissal relief be dismissed.</w:t>
      </w:r>
    </w:p>
    <w:p w14:paraId="408B02B7" w14:textId="70B391A8" w:rsidR="002C0D8B" w:rsidRPr="00841DDD" w:rsidRDefault="002C0D8B" w:rsidP="002C0D8B">
      <w:pPr>
        <w:widowControl w:val="0"/>
        <w:numPr>
          <w:ilvl w:val="1"/>
          <w:numId w:val="1"/>
        </w:numPr>
        <w:spacing w:before="480" w:after="480" w:line="360" w:lineRule="auto"/>
        <w:jc w:val="both"/>
        <w:rPr>
          <w:rFonts w:cs="Arial"/>
          <w:bCs/>
          <w:szCs w:val="22"/>
        </w:rPr>
      </w:pPr>
      <w:r w:rsidRPr="00BC394C">
        <w:rPr>
          <w:rFonts w:cs="Arial"/>
          <w:bCs/>
          <w:szCs w:val="22"/>
          <w:lang w:val="en-GB"/>
        </w:rPr>
        <w:t xml:space="preserve">The jurisdiction of the arbitrator was placed in </w:t>
      </w:r>
      <w:r>
        <w:rPr>
          <w:rFonts w:cs="Arial"/>
          <w:bCs/>
          <w:szCs w:val="22"/>
          <w:lang w:val="en-GB"/>
        </w:rPr>
        <w:t>dispute</w:t>
      </w:r>
      <w:r w:rsidRPr="00BC394C">
        <w:rPr>
          <w:rFonts w:cs="Arial"/>
          <w:bCs/>
          <w:szCs w:val="22"/>
          <w:lang w:val="en-GB"/>
        </w:rPr>
        <w:t xml:space="preserve"> in the arbitration proceedings</w:t>
      </w:r>
      <w:r>
        <w:rPr>
          <w:rFonts w:cs="Arial"/>
          <w:bCs/>
          <w:szCs w:val="22"/>
          <w:lang w:val="en-GB"/>
        </w:rPr>
        <w:t>.</w:t>
      </w:r>
    </w:p>
    <w:p w14:paraId="2FF40EEF" w14:textId="35AF0F78" w:rsidR="002C0D8B" w:rsidRPr="004054D0" w:rsidRDefault="002C0D8B" w:rsidP="002C0D8B">
      <w:pPr>
        <w:widowControl w:val="0"/>
        <w:numPr>
          <w:ilvl w:val="1"/>
          <w:numId w:val="1"/>
        </w:numPr>
        <w:spacing w:before="480" w:after="480" w:line="360" w:lineRule="auto"/>
        <w:jc w:val="both"/>
        <w:rPr>
          <w:rFonts w:cs="Arial"/>
          <w:bCs/>
          <w:szCs w:val="22"/>
        </w:rPr>
      </w:pPr>
      <w:r w:rsidRPr="00841DDD">
        <w:rPr>
          <w:rFonts w:cs="Arial"/>
          <w:bCs/>
          <w:szCs w:val="22"/>
          <w:lang w:val="en-GB"/>
        </w:rPr>
        <w:t>The dispute</w:t>
      </w:r>
      <w:r>
        <w:rPr>
          <w:rFonts w:cs="Arial"/>
          <w:bCs/>
          <w:szCs w:val="22"/>
          <w:lang w:val="en-GB"/>
        </w:rPr>
        <w:t>s</w:t>
      </w:r>
      <w:r w:rsidRPr="00841DDD">
        <w:rPr>
          <w:rFonts w:cs="Arial"/>
          <w:bCs/>
          <w:szCs w:val="22"/>
          <w:lang w:val="en-GB"/>
        </w:rPr>
        <w:t xml:space="preserve"> </w:t>
      </w:r>
      <w:r>
        <w:rPr>
          <w:rFonts w:cs="Arial"/>
          <w:bCs/>
          <w:szCs w:val="22"/>
          <w:lang w:val="en-GB"/>
        </w:rPr>
        <w:t>r</w:t>
      </w:r>
      <w:r w:rsidRPr="00841DDD">
        <w:rPr>
          <w:rFonts w:cs="Arial"/>
          <w:bCs/>
          <w:szCs w:val="22"/>
          <w:lang w:val="en-GB"/>
        </w:rPr>
        <w:t xml:space="preserve">eferred to arbitration ignore </w:t>
      </w:r>
      <w:r>
        <w:rPr>
          <w:rFonts w:cs="Arial"/>
          <w:bCs/>
          <w:szCs w:val="22"/>
          <w:lang w:val="en-GB"/>
        </w:rPr>
        <w:t>MEPF</w:t>
      </w:r>
      <w:r w:rsidRPr="00841DDD">
        <w:rPr>
          <w:rFonts w:cs="Arial"/>
          <w:bCs/>
          <w:szCs w:val="22"/>
          <w:lang w:val="en-GB"/>
        </w:rPr>
        <w:t xml:space="preserve">s claims in pending legal proceedings </w:t>
      </w:r>
      <w:r w:rsidR="009C31DD">
        <w:rPr>
          <w:rFonts w:cs="Arial"/>
          <w:bCs/>
          <w:szCs w:val="22"/>
          <w:lang w:val="en-GB"/>
        </w:rPr>
        <w:t xml:space="preserve">instituted in the 2016 </w:t>
      </w:r>
      <w:r w:rsidRPr="00841DDD">
        <w:rPr>
          <w:rFonts w:cs="Arial"/>
          <w:bCs/>
          <w:szCs w:val="22"/>
          <w:lang w:val="en-GB"/>
        </w:rPr>
        <w:t>in the High Court in Pretoria</w:t>
      </w:r>
      <w:r>
        <w:rPr>
          <w:rStyle w:val="FootnoteReference"/>
          <w:rFonts w:cs="Arial"/>
          <w:bCs/>
          <w:szCs w:val="22"/>
          <w:lang w:val="en-GB"/>
        </w:rPr>
        <w:footnoteReference w:id="15"/>
      </w:r>
      <w:r>
        <w:rPr>
          <w:rFonts w:cs="Arial"/>
          <w:bCs/>
          <w:szCs w:val="22"/>
          <w:lang w:val="en-GB"/>
        </w:rPr>
        <w:t xml:space="preserve"> </w:t>
      </w:r>
      <w:r w:rsidRPr="00BC394C">
        <w:rPr>
          <w:rFonts w:cs="Arial"/>
          <w:bCs/>
          <w:szCs w:val="22"/>
          <w:lang w:val="en-GB"/>
        </w:rPr>
        <w:t xml:space="preserve">where </w:t>
      </w:r>
      <w:r>
        <w:rPr>
          <w:rFonts w:cs="Arial"/>
          <w:bCs/>
          <w:szCs w:val="22"/>
          <w:lang w:val="en-GB"/>
        </w:rPr>
        <w:t>MEPF</w:t>
      </w:r>
      <w:r w:rsidRPr="00BC394C">
        <w:rPr>
          <w:rFonts w:cs="Arial"/>
          <w:bCs/>
          <w:szCs w:val="22"/>
          <w:lang w:val="en-GB"/>
        </w:rPr>
        <w:t xml:space="preserve"> as plaintiff </w:t>
      </w:r>
      <w:r w:rsidRPr="007F6905">
        <w:rPr>
          <w:rFonts w:cs="Arial"/>
          <w:bCs/>
          <w:szCs w:val="22"/>
          <w:lang w:val="en-GB"/>
        </w:rPr>
        <w:t>together with two other companies</w:t>
      </w:r>
      <w:r>
        <w:rPr>
          <w:rStyle w:val="FootnoteReference"/>
          <w:rFonts w:cs="Arial"/>
          <w:bCs/>
          <w:szCs w:val="22"/>
          <w:lang w:val="en-GB"/>
        </w:rPr>
        <w:footnoteReference w:id="16"/>
      </w:r>
      <w:r>
        <w:rPr>
          <w:rFonts w:cs="Arial"/>
          <w:bCs/>
          <w:szCs w:val="22"/>
          <w:lang w:val="en-GB"/>
        </w:rPr>
        <w:t xml:space="preserve"> </w:t>
      </w:r>
      <w:r w:rsidRPr="00BC394C">
        <w:rPr>
          <w:rFonts w:cs="Arial"/>
          <w:bCs/>
          <w:szCs w:val="22"/>
          <w:lang w:val="en-GB"/>
        </w:rPr>
        <w:t xml:space="preserve">seeks </w:t>
      </w:r>
      <w:r>
        <w:rPr>
          <w:rFonts w:cs="Arial"/>
          <w:bCs/>
          <w:szCs w:val="22"/>
          <w:lang w:val="en-GB"/>
        </w:rPr>
        <w:t>a number of</w:t>
      </w:r>
      <w:r w:rsidRPr="00BC394C">
        <w:rPr>
          <w:rFonts w:cs="Arial"/>
          <w:bCs/>
          <w:szCs w:val="22"/>
          <w:lang w:val="en-GB"/>
        </w:rPr>
        <w:t xml:space="preserve"> orders against </w:t>
      </w:r>
      <w:r>
        <w:rPr>
          <w:rFonts w:cs="Arial"/>
          <w:bCs/>
          <w:szCs w:val="22"/>
          <w:lang w:val="en-GB"/>
        </w:rPr>
        <w:t xml:space="preserve">six defendants. </w:t>
      </w:r>
      <w:r w:rsidRPr="00BC394C">
        <w:rPr>
          <w:rFonts w:cs="Arial"/>
          <w:bCs/>
          <w:szCs w:val="22"/>
          <w:lang w:val="en-GB"/>
        </w:rPr>
        <w:t>arising out of</w:t>
      </w:r>
      <w:r w:rsidR="003534C2">
        <w:rPr>
          <w:rFonts w:cs="Arial"/>
          <w:bCs/>
          <w:szCs w:val="22"/>
          <w:lang w:val="en-GB"/>
        </w:rPr>
        <w:t xml:space="preserve"> a number of agreements </w:t>
      </w:r>
      <w:r w:rsidR="00C63494">
        <w:rPr>
          <w:rFonts w:cs="Arial"/>
          <w:bCs/>
          <w:szCs w:val="22"/>
          <w:lang w:val="en-GB"/>
        </w:rPr>
        <w:t>including</w:t>
      </w:r>
      <w:r w:rsidRPr="00BC394C">
        <w:rPr>
          <w:rFonts w:cs="Arial"/>
          <w:bCs/>
          <w:szCs w:val="22"/>
          <w:lang w:val="en-GB"/>
        </w:rPr>
        <w:t xml:space="preserve"> the </w:t>
      </w:r>
      <w:r>
        <w:rPr>
          <w:rFonts w:cs="Arial"/>
          <w:bCs/>
          <w:szCs w:val="22"/>
          <w:lang w:val="en-GB"/>
        </w:rPr>
        <w:t>co-</w:t>
      </w:r>
      <w:r w:rsidRPr="00BC394C">
        <w:rPr>
          <w:rFonts w:cs="Arial"/>
          <w:bCs/>
          <w:szCs w:val="22"/>
          <w:lang w:val="en-GB"/>
        </w:rPr>
        <w:t>ownership agreement</w:t>
      </w:r>
      <w:r w:rsidR="003534C2">
        <w:rPr>
          <w:rFonts w:cs="Arial"/>
          <w:bCs/>
          <w:szCs w:val="22"/>
          <w:lang w:val="en-GB"/>
        </w:rPr>
        <w:t xml:space="preserve"> and the addendum to the property management agreement</w:t>
      </w:r>
      <w:r>
        <w:rPr>
          <w:rFonts w:cs="Arial"/>
          <w:bCs/>
          <w:szCs w:val="22"/>
          <w:lang w:val="en-GB"/>
        </w:rPr>
        <w:t>. Adamax is the sixth defendant in the action in Pretoria</w:t>
      </w:r>
      <w:r w:rsidR="00EF3239">
        <w:rPr>
          <w:rFonts w:cs="Arial"/>
          <w:bCs/>
          <w:szCs w:val="22"/>
          <w:lang w:val="en-GB"/>
        </w:rPr>
        <w:t>.</w:t>
      </w:r>
      <w:r w:rsidR="00EF3239">
        <w:rPr>
          <w:rStyle w:val="FootnoteReference"/>
          <w:rFonts w:cs="Arial"/>
          <w:bCs/>
          <w:szCs w:val="22"/>
          <w:lang w:val="en-GB"/>
        </w:rPr>
        <w:footnoteReference w:id="17"/>
      </w:r>
    </w:p>
    <w:p w14:paraId="7775FFEF" w14:textId="2D3A30A1" w:rsidR="002C0D8B" w:rsidRPr="00A36ECF" w:rsidRDefault="002C0D8B" w:rsidP="002C0D8B">
      <w:pPr>
        <w:widowControl w:val="0"/>
        <w:numPr>
          <w:ilvl w:val="1"/>
          <w:numId w:val="1"/>
        </w:numPr>
        <w:spacing w:before="480" w:after="480" w:line="360" w:lineRule="auto"/>
        <w:jc w:val="both"/>
        <w:rPr>
          <w:rFonts w:cs="Arial"/>
          <w:bCs/>
          <w:szCs w:val="22"/>
        </w:rPr>
      </w:pPr>
      <w:r w:rsidRPr="007F6905">
        <w:rPr>
          <w:rFonts w:cs="Arial"/>
          <w:bCs/>
          <w:szCs w:val="22"/>
          <w:lang w:val="en-GB"/>
        </w:rPr>
        <w:t xml:space="preserve">In the Pretoria High Court action the </w:t>
      </w:r>
      <w:r w:rsidR="003534C2">
        <w:rPr>
          <w:rFonts w:cs="Arial"/>
          <w:bCs/>
          <w:szCs w:val="22"/>
          <w:lang w:val="en-GB"/>
        </w:rPr>
        <w:t>MEPF</w:t>
      </w:r>
      <w:r w:rsidRPr="007F6905">
        <w:rPr>
          <w:rFonts w:cs="Arial"/>
          <w:bCs/>
          <w:szCs w:val="22"/>
          <w:lang w:val="en-GB"/>
        </w:rPr>
        <w:t xml:space="preserve"> and </w:t>
      </w:r>
      <w:r w:rsidR="003534C2">
        <w:rPr>
          <w:rFonts w:cs="Arial"/>
          <w:bCs/>
          <w:szCs w:val="22"/>
          <w:lang w:val="en-GB"/>
        </w:rPr>
        <w:t xml:space="preserve">the other </w:t>
      </w:r>
      <w:r w:rsidRPr="007F6905">
        <w:rPr>
          <w:rFonts w:cs="Arial"/>
          <w:bCs/>
          <w:szCs w:val="22"/>
          <w:lang w:val="en-GB"/>
        </w:rPr>
        <w:t>plaintiffs</w:t>
      </w:r>
      <w:r>
        <w:rPr>
          <w:rFonts w:cs="Arial"/>
          <w:bCs/>
          <w:szCs w:val="22"/>
          <w:lang w:val="en-GB"/>
        </w:rPr>
        <w:t xml:space="preserve"> </w:t>
      </w:r>
      <w:r w:rsidRPr="00A36ECF">
        <w:rPr>
          <w:rFonts w:cs="Arial"/>
          <w:bCs/>
          <w:i/>
          <w:iCs/>
          <w:szCs w:val="22"/>
          <w:lang w:val="en-GB"/>
        </w:rPr>
        <w:t>inter alia</w:t>
      </w:r>
      <w:r>
        <w:rPr>
          <w:rFonts w:cs="Arial"/>
          <w:bCs/>
          <w:szCs w:val="22"/>
          <w:lang w:val="en-GB"/>
        </w:rPr>
        <w:t xml:space="preserve"> c</w:t>
      </w:r>
      <w:r w:rsidRPr="007F6905">
        <w:rPr>
          <w:rFonts w:cs="Arial"/>
          <w:bCs/>
          <w:szCs w:val="22"/>
          <w:lang w:val="en-GB"/>
        </w:rPr>
        <w:t xml:space="preserve">laim that </w:t>
      </w:r>
      <w:r>
        <w:rPr>
          <w:rFonts w:cs="Arial"/>
          <w:bCs/>
          <w:szCs w:val="22"/>
          <w:lang w:val="en-GB"/>
        </w:rPr>
        <w:t>Adamax</w:t>
      </w:r>
      <w:r w:rsidRPr="007F6905">
        <w:rPr>
          <w:rFonts w:cs="Arial"/>
          <w:bCs/>
          <w:szCs w:val="22"/>
          <w:lang w:val="en-GB"/>
        </w:rPr>
        <w:t xml:space="preserve"> </w:t>
      </w:r>
      <w:r w:rsidRPr="004B7275">
        <w:rPr>
          <w:rFonts w:cs="Arial"/>
          <w:bCs/>
          <w:szCs w:val="22"/>
          <w:lang w:val="en-GB"/>
        </w:rPr>
        <w:t xml:space="preserve">failed to make contributions to the </w:t>
      </w:r>
      <w:r>
        <w:rPr>
          <w:rFonts w:cs="Arial"/>
          <w:bCs/>
          <w:szCs w:val="22"/>
          <w:lang w:val="en-GB"/>
        </w:rPr>
        <w:t>co-</w:t>
      </w:r>
      <w:r w:rsidRPr="004B7275">
        <w:rPr>
          <w:rFonts w:cs="Arial"/>
          <w:bCs/>
          <w:szCs w:val="22"/>
          <w:lang w:val="en-GB"/>
        </w:rPr>
        <w:t xml:space="preserve">ownership expenses that </w:t>
      </w:r>
      <w:r w:rsidR="003534C2">
        <w:rPr>
          <w:rFonts w:cs="Arial"/>
          <w:bCs/>
          <w:szCs w:val="22"/>
          <w:lang w:val="en-GB"/>
        </w:rPr>
        <w:t>it</w:t>
      </w:r>
      <w:r>
        <w:rPr>
          <w:rFonts w:cs="Arial"/>
          <w:bCs/>
          <w:szCs w:val="22"/>
          <w:lang w:val="en-GB"/>
        </w:rPr>
        <w:t xml:space="preserve"> </w:t>
      </w:r>
      <w:r w:rsidR="003534C2">
        <w:rPr>
          <w:rFonts w:cs="Arial"/>
          <w:bCs/>
          <w:szCs w:val="22"/>
          <w:lang w:val="en-GB"/>
        </w:rPr>
        <w:t>was</w:t>
      </w:r>
      <w:r w:rsidRPr="004B7275">
        <w:rPr>
          <w:rFonts w:cs="Arial"/>
          <w:bCs/>
          <w:szCs w:val="22"/>
          <w:lang w:val="en-GB"/>
        </w:rPr>
        <w:t xml:space="preserve"> obliged to make</w:t>
      </w:r>
      <w:r>
        <w:rPr>
          <w:rFonts w:cs="Arial"/>
          <w:bCs/>
          <w:szCs w:val="22"/>
          <w:lang w:val="en-GB"/>
        </w:rPr>
        <w:t xml:space="preserve">. </w:t>
      </w:r>
      <w:r w:rsidRPr="004B7275">
        <w:rPr>
          <w:rFonts w:cs="Arial"/>
          <w:bCs/>
          <w:szCs w:val="22"/>
          <w:lang w:val="en-GB"/>
        </w:rPr>
        <w:t>In May 2023 the matter was allocated as a Commercial Co</w:t>
      </w:r>
      <w:r>
        <w:rPr>
          <w:rFonts w:cs="Arial"/>
          <w:bCs/>
          <w:szCs w:val="22"/>
          <w:lang w:val="en-GB"/>
        </w:rPr>
        <w:t>urt</w:t>
      </w:r>
      <w:r w:rsidRPr="004B7275">
        <w:rPr>
          <w:rFonts w:cs="Arial"/>
          <w:bCs/>
          <w:szCs w:val="22"/>
          <w:lang w:val="en-GB"/>
        </w:rPr>
        <w:t xml:space="preserve"> matter</w:t>
      </w:r>
      <w:r>
        <w:rPr>
          <w:rFonts w:cs="Arial"/>
          <w:bCs/>
          <w:szCs w:val="22"/>
          <w:lang w:val="en-GB"/>
        </w:rPr>
        <w:t xml:space="preserve">. </w:t>
      </w:r>
    </w:p>
    <w:p w14:paraId="04E864BF" w14:textId="77777777" w:rsidR="002C0D8B" w:rsidRPr="00BC394C" w:rsidRDefault="002C0D8B" w:rsidP="002C0D8B">
      <w:pPr>
        <w:widowControl w:val="0"/>
        <w:numPr>
          <w:ilvl w:val="1"/>
          <w:numId w:val="1"/>
        </w:numPr>
        <w:spacing w:before="480" w:after="480" w:line="360" w:lineRule="auto"/>
        <w:jc w:val="both"/>
        <w:rPr>
          <w:rFonts w:cs="Arial"/>
          <w:bCs/>
          <w:szCs w:val="22"/>
        </w:rPr>
      </w:pPr>
      <w:r>
        <w:rPr>
          <w:rFonts w:cs="Arial"/>
          <w:bCs/>
          <w:szCs w:val="22"/>
          <w:lang w:val="en-GB"/>
        </w:rPr>
        <w:t>Adamax</w:t>
      </w:r>
      <w:r w:rsidRPr="00A36ECF">
        <w:rPr>
          <w:rFonts w:cs="Arial"/>
          <w:bCs/>
          <w:szCs w:val="22"/>
          <w:lang w:val="en-GB"/>
        </w:rPr>
        <w:t xml:space="preserve"> did not invoke section 6 of the Arbitration Act in the litigation in the Pretoria High Court</w:t>
      </w:r>
      <w:r>
        <w:rPr>
          <w:rFonts w:cs="Arial"/>
          <w:bCs/>
          <w:szCs w:val="22"/>
          <w:lang w:val="en-GB"/>
        </w:rPr>
        <w:t>.</w:t>
      </w:r>
    </w:p>
    <w:p w14:paraId="626D9CAC" w14:textId="462BD047" w:rsidR="002C0D8B" w:rsidRPr="00087AEF" w:rsidRDefault="002C0D8B" w:rsidP="002C0D8B">
      <w:pPr>
        <w:widowControl w:val="0"/>
        <w:numPr>
          <w:ilvl w:val="1"/>
          <w:numId w:val="1"/>
        </w:numPr>
        <w:spacing w:before="480" w:after="480" w:line="360" w:lineRule="auto"/>
        <w:jc w:val="both"/>
        <w:rPr>
          <w:rFonts w:cs="Arial"/>
          <w:bCs/>
          <w:szCs w:val="22"/>
        </w:rPr>
      </w:pPr>
      <w:r w:rsidRPr="00087AEF">
        <w:rPr>
          <w:rFonts w:cs="Arial"/>
          <w:bCs/>
          <w:szCs w:val="22"/>
          <w:lang w:val="en-GB"/>
        </w:rPr>
        <w:t xml:space="preserve">The disputes raised by </w:t>
      </w:r>
      <w:r>
        <w:rPr>
          <w:rFonts w:cs="Arial"/>
          <w:bCs/>
          <w:szCs w:val="22"/>
          <w:lang w:val="en-GB"/>
        </w:rPr>
        <w:t>Adamax</w:t>
      </w:r>
      <w:r w:rsidRPr="00087AEF">
        <w:rPr>
          <w:rFonts w:cs="Arial"/>
          <w:bCs/>
          <w:szCs w:val="22"/>
          <w:lang w:val="en-GB"/>
        </w:rPr>
        <w:t xml:space="preserve"> in the arbitration proceedings </w:t>
      </w:r>
      <w:r w:rsidR="003534C2">
        <w:rPr>
          <w:rFonts w:cs="Arial"/>
          <w:bCs/>
          <w:szCs w:val="22"/>
          <w:lang w:val="en-GB"/>
        </w:rPr>
        <w:t>are</w:t>
      </w:r>
      <w:r w:rsidRPr="00087AEF">
        <w:rPr>
          <w:rFonts w:cs="Arial"/>
          <w:bCs/>
          <w:szCs w:val="22"/>
          <w:lang w:val="en-GB"/>
        </w:rPr>
        <w:t xml:space="preserve"> linked to and dependent upon the outcome of the litigation in the High Court in Pretoria, and the claims in the arbitration are </w:t>
      </w:r>
      <w:r w:rsidRPr="00087AEF">
        <w:rPr>
          <w:rFonts w:cs="Arial"/>
          <w:bCs/>
          <w:i/>
          <w:iCs/>
          <w:szCs w:val="22"/>
          <w:lang w:val="en-GB"/>
        </w:rPr>
        <w:t>lis pendens</w:t>
      </w:r>
      <w:r w:rsidRPr="00087AEF">
        <w:rPr>
          <w:rFonts w:cs="Arial"/>
          <w:bCs/>
          <w:szCs w:val="22"/>
          <w:lang w:val="en-GB"/>
        </w:rPr>
        <w:t>.</w:t>
      </w:r>
    </w:p>
    <w:p w14:paraId="22204F8C" w14:textId="60B12C12" w:rsidR="002C0D8B" w:rsidRPr="00BC394C" w:rsidRDefault="002C0D8B" w:rsidP="002C0D8B">
      <w:pPr>
        <w:widowControl w:val="0"/>
        <w:numPr>
          <w:ilvl w:val="1"/>
          <w:numId w:val="1"/>
        </w:numPr>
        <w:spacing w:before="480" w:after="480" w:line="360" w:lineRule="auto"/>
        <w:jc w:val="both"/>
        <w:rPr>
          <w:rFonts w:cs="Arial"/>
          <w:bCs/>
          <w:szCs w:val="22"/>
        </w:rPr>
      </w:pPr>
      <w:r>
        <w:rPr>
          <w:rFonts w:cs="Arial"/>
          <w:bCs/>
          <w:szCs w:val="22"/>
          <w:lang w:val="en-GB"/>
        </w:rPr>
        <w:t>MEPF’</w:t>
      </w:r>
      <w:r w:rsidRPr="007A41BE">
        <w:rPr>
          <w:rFonts w:cs="Arial"/>
          <w:bCs/>
          <w:szCs w:val="22"/>
          <w:lang w:val="en-GB"/>
        </w:rPr>
        <w:t xml:space="preserve">s claims in the High Court action </w:t>
      </w:r>
      <w:r>
        <w:rPr>
          <w:rFonts w:cs="Arial"/>
          <w:bCs/>
          <w:szCs w:val="22"/>
          <w:lang w:val="en-GB"/>
        </w:rPr>
        <w:t>far</w:t>
      </w:r>
      <w:r w:rsidRPr="007A41BE">
        <w:rPr>
          <w:rFonts w:cs="Arial"/>
          <w:bCs/>
          <w:szCs w:val="22"/>
          <w:lang w:val="en-GB"/>
        </w:rPr>
        <w:t xml:space="preserve"> exceed </w:t>
      </w:r>
      <w:r>
        <w:rPr>
          <w:rFonts w:cs="Arial"/>
          <w:bCs/>
          <w:szCs w:val="22"/>
          <w:lang w:val="en-GB"/>
        </w:rPr>
        <w:t>Adamax</w:t>
      </w:r>
      <w:r w:rsidR="00C63494">
        <w:rPr>
          <w:rFonts w:cs="Arial"/>
          <w:bCs/>
          <w:szCs w:val="22"/>
          <w:lang w:val="en-GB"/>
        </w:rPr>
        <w:t>’</w:t>
      </w:r>
      <w:r w:rsidRPr="007A41BE">
        <w:rPr>
          <w:rFonts w:cs="Arial"/>
          <w:bCs/>
          <w:szCs w:val="22"/>
          <w:lang w:val="en-GB"/>
        </w:rPr>
        <w:t>s claim in the arbitration and would totally extinguish it</w:t>
      </w:r>
      <w:r>
        <w:rPr>
          <w:rFonts w:cs="Arial"/>
          <w:bCs/>
          <w:szCs w:val="22"/>
          <w:lang w:val="en-GB"/>
        </w:rPr>
        <w:t>.</w:t>
      </w:r>
    </w:p>
    <w:p w14:paraId="4C987843" w14:textId="47A0823D" w:rsidR="002C0D8B" w:rsidRPr="00A6294D" w:rsidRDefault="002C0D8B" w:rsidP="002C0D8B">
      <w:pPr>
        <w:widowControl w:val="0"/>
        <w:numPr>
          <w:ilvl w:val="1"/>
          <w:numId w:val="1"/>
        </w:numPr>
        <w:spacing w:before="480" w:after="480" w:line="360" w:lineRule="auto"/>
        <w:jc w:val="both"/>
        <w:rPr>
          <w:rFonts w:cs="Arial"/>
          <w:bCs/>
          <w:szCs w:val="22"/>
        </w:rPr>
      </w:pPr>
      <w:r w:rsidRPr="00BC394C">
        <w:rPr>
          <w:rFonts w:cs="Arial"/>
          <w:bCs/>
          <w:szCs w:val="22"/>
          <w:lang w:val="en-GB"/>
        </w:rPr>
        <w:t>The basis for the br</w:t>
      </w:r>
      <w:r>
        <w:rPr>
          <w:rFonts w:cs="Arial"/>
          <w:bCs/>
          <w:szCs w:val="22"/>
          <w:lang w:val="en-GB"/>
        </w:rPr>
        <w:t xml:space="preserve">each </w:t>
      </w:r>
      <w:r w:rsidRPr="00BC394C">
        <w:rPr>
          <w:rFonts w:cs="Arial"/>
          <w:bCs/>
          <w:szCs w:val="22"/>
          <w:lang w:val="en-GB"/>
        </w:rPr>
        <w:t xml:space="preserve">of the agreement </w:t>
      </w:r>
      <w:r w:rsidR="003534C2">
        <w:rPr>
          <w:rFonts w:cs="Arial"/>
          <w:bCs/>
          <w:szCs w:val="22"/>
          <w:lang w:val="en-GB"/>
        </w:rPr>
        <w:t xml:space="preserve">relied on by Adamax in the arbitration </w:t>
      </w:r>
      <w:r w:rsidRPr="00BC394C">
        <w:rPr>
          <w:rFonts w:cs="Arial"/>
          <w:bCs/>
          <w:szCs w:val="22"/>
          <w:lang w:val="en-GB"/>
        </w:rPr>
        <w:t xml:space="preserve">arises from </w:t>
      </w:r>
      <w:r w:rsidR="003534C2">
        <w:rPr>
          <w:rFonts w:cs="Arial"/>
          <w:bCs/>
          <w:szCs w:val="22"/>
          <w:lang w:val="en-GB"/>
        </w:rPr>
        <w:t xml:space="preserve">MEPF’s </w:t>
      </w:r>
      <w:r>
        <w:rPr>
          <w:rFonts w:cs="Arial"/>
          <w:bCs/>
          <w:szCs w:val="22"/>
          <w:lang w:val="en-GB"/>
        </w:rPr>
        <w:t>alleged</w:t>
      </w:r>
      <w:r w:rsidRPr="00BC394C">
        <w:rPr>
          <w:rFonts w:cs="Arial"/>
          <w:bCs/>
          <w:szCs w:val="22"/>
          <w:lang w:val="en-GB"/>
        </w:rPr>
        <w:t xml:space="preserve"> failure to pay over</w:t>
      </w:r>
      <w:r>
        <w:rPr>
          <w:rFonts w:cs="Arial"/>
          <w:bCs/>
          <w:szCs w:val="22"/>
          <w:lang w:val="en-GB"/>
        </w:rPr>
        <w:t xml:space="preserve"> </w:t>
      </w:r>
      <w:r w:rsidR="00F83D11">
        <w:rPr>
          <w:rFonts w:cs="Arial"/>
          <w:bCs/>
          <w:szCs w:val="22"/>
          <w:lang w:val="en-GB"/>
        </w:rPr>
        <w:t xml:space="preserve">R6,609,145.40 </w:t>
      </w:r>
      <w:r w:rsidRPr="00BC394C">
        <w:rPr>
          <w:rFonts w:cs="Arial"/>
          <w:bCs/>
          <w:szCs w:val="22"/>
          <w:lang w:val="en-GB"/>
        </w:rPr>
        <w:t xml:space="preserve">in net income </w:t>
      </w:r>
      <w:r>
        <w:rPr>
          <w:rFonts w:cs="Arial"/>
          <w:bCs/>
          <w:szCs w:val="22"/>
          <w:lang w:val="en-GB"/>
        </w:rPr>
        <w:t>t</w:t>
      </w:r>
      <w:r w:rsidRPr="00BC394C">
        <w:rPr>
          <w:rFonts w:cs="Arial"/>
          <w:bCs/>
          <w:szCs w:val="22"/>
          <w:lang w:val="en-GB"/>
        </w:rPr>
        <w:t xml:space="preserve">o </w:t>
      </w:r>
      <w:r>
        <w:rPr>
          <w:rFonts w:cs="Arial"/>
          <w:bCs/>
          <w:szCs w:val="22"/>
          <w:lang w:val="en-GB"/>
        </w:rPr>
        <w:t>Adamax</w:t>
      </w:r>
      <w:r w:rsidRPr="00BC394C">
        <w:rPr>
          <w:rFonts w:cs="Arial"/>
          <w:bCs/>
          <w:szCs w:val="22"/>
          <w:lang w:val="en-GB"/>
        </w:rPr>
        <w:t xml:space="preserve"> and the question of breach is linked to the question whether the amount was in fact due</w:t>
      </w:r>
      <w:r>
        <w:rPr>
          <w:rFonts w:cs="Arial"/>
          <w:bCs/>
          <w:szCs w:val="22"/>
          <w:lang w:val="en-GB"/>
        </w:rPr>
        <w:t xml:space="preserve">. </w:t>
      </w:r>
      <w:r w:rsidRPr="00BC394C">
        <w:rPr>
          <w:rFonts w:cs="Arial"/>
          <w:bCs/>
          <w:szCs w:val="22"/>
          <w:lang w:val="en-GB"/>
        </w:rPr>
        <w:t xml:space="preserve">In the High Court action </w:t>
      </w:r>
      <w:r>
        <w:rPr>
          <w:rFonts w:cs="Arial"/>
          <w:bCs/>
          <w:szCs w:val="22"/>
          <w:lang w:val="en-GB"/>
        </w:rPr>
        <w:t>MEPF</w:t>
      </w:r>
      <w:r w:rsidRPr="00BC394C">
        <w:rPr>
          <w:rFonts w:cs="Arial"/>
          <w:bCs/>
          <w:szCs w:val="22"/>
          <w:lang w:val="en-GB"/>
        </w:rPr>
        <w:t xml:space="preserve"> alleges that </w:t>
      </w:r>
      <w:r>
        <w:rPr>
          <w:rFonts w:cs="Arial"/>
          <w:bCs/>
          <w:szCs w:val="22"/>
          <w:lang w:val="en-GB"/>
        </w:rPr>
        <w:t>Adamax</w:t>
      </w:r>
      <w:r w:rsidRPr="00BC394C">
        <w:rPr>
          <w:rFonts w:cs="Arial"/>
          <w:bCs/>
          <w:szCs w:val="22"/>
          <w:lang w:val="en-GB"/>
        </w:rPr>
        <w:t xml:space="preserve"> had failed to contribute its share of expenses of the </w:t>
      </w:r>
      <w:r>
        <w:rPr>
          <w:rFonts w:cs="Arial"/>
          <w:bCs/>
          <w:szCs w:val="22"/>
          <w:lang w:val="en-GB"/>
        </w:rPr>
        <w:t>co-</w:t>
      </w:r>
      <w:r w:rsidRPr="00BC394C">
        <w:rPr>
          <w:rFonts w:cs="Arial"/>
          <w:bCs/>
          <w:szCs w:val="22"/>
          <w:lang w:val="en-GB"/>
        </w:rPr>
        <w:t xml:space="preserve">ownership </w:t>
      </w:r>
      <w:r>
        <w:rPr>
          <w:rFonts w:cs="Arial"/>
          <w:bCs/>
          <w:szCs w:val="22"/>
          <w:lang w:val="en-GB"/>
        </w:rPr>
        <w:t>a</w:t>
      </w:r>
      <w:r w:rsidRPr="00BC394C">
        <w:rPr>
          <w:rFonts w:cs="Arial"/>
          <w:bCs/>
          <w:szCs w:val="22"/>
          <w:lang w:val="en-GB"/>
        </w:rPr>
        <w:t>nd these expenses constitute a deduction from any net income that might become payable</w:t>
      </w:r>
      <w:r>
        <w:rPr>
          <w:rFonts w:cs="Arial"/>
          <w:bCs/>
          <w:szCs w:val="22"/>
          <w:lang w:val="en-GB"/>
        </w:rPr>
        <w:t>.</w:t>
      </w:r>
    </w:p>
    <w:p w14:paraId="104A8A58" w14:textId="0520CCF5" w:rsidR="002C0D8B" w:rsidRPr="00BC394C" w:rsidRDefault="002C0D8B" w:rsidP="002C0D8B">
      <w:pPr>
        <w:widowControl w:val="0"/>
        <w:numPr>
          <w:ilvl w:val="1"/>
          <w:numId w:val="1"/>
        </w:numPr>
        <w:spacing w:before="480" w:after="480" w:line="360" w:lineRule="auto"/>
        <w:jc w:val="both"/>
        <w:rPr>
          <w:rFonts w:cs="Arial"/>
          <w:bCs/>
          <w:szCs w:val="22"/>
        </w:rPr>
      </w:pPr>
      <w:r>
        <w:rPr>
          <w:rFonts w:cs="Arial"/>
          <w:bCs/>
          <w:szCs w:val="22"/>
          <w:lang w:val="en-GB"/>
        </w:rPr>
        <w:t>MEPF therefore prayed that the breach relief be dismissed, or alternatively stayed pending the final determination of the action in the Pretoria High Court.</w:t>
      </w:r>
      <w:r w:rsidR="003534C2">
        <w:rPr>
          <w:rStyle w:val="FootnoteReference"/>
          <w:rFonts w:cs="Arial"/>
          <w:bCs/>
          <w:szCs w:val="22"/>
          <w:lang w:val="en-GB"/>
        </w:rPr>
        <w:footnoteReference w:id="18"/>
      </w:r>
    </w:p>
    <w:p w14:paraId="793112D0" w14:textId="77777777" w:rsidR="00992D6B" w:rsidRDefault="00992D6B" w:rsidP="004F14E8">
      <w:pPr>
        <w:widowControl w:val="0"/>
        <w:spacing w:before="480" w:after="480" w:line="360" w:lineRule="auto"/>
        <w:jc w:val="both"/>
        <w:rPr>
          <w:rFonts w:cs="Arial"/>
          <w:bCs/>
          <w:szCs w:val="22"/>
        </w:rPr>
      </w:pPr>
    </w:p>
    <w:p w14:paraId="54CB5B98" w14:textId="6F4F9F16" w:rsidR="00992D6B" w:rsidRPr="00992D6B" w:rsidRDefault="00992D6B" w:rsidP="00992D6B">
      <w:pPr>
        <w:widowControl w:val="0"/>
        <w:spacing w:before="480" w:after="480" w:line="360" w:lineRule="auto"/>
        <w:jc w:val="both"/>
        <w:rPr>
          <w:rFonts w:cs="Arial"/>
          <w:bCs/>
          <w:szCs w:val="22"/>
          <w:u w:val="single"/>
        </w:rPr>
      </w:pPr>
      <w:r w:rsidRPr="00992D6B">
        <w:rPr>
          <w:rFonts w:cs="Arial"/>
          <w:bCs/>
          <w:szCs w:val="22"/>
          <w:u w:val="single"/>
        </w:rPr>
        <w:t>Urgency</w:t>
      </w:r>
    </w:p>
    <w:p w14:paraId="18FA374D" w14:textId="6CA15B9D" w:rsidR="003534C2" w:rsidRDefault="004F14E8" w:rsidP="006407E9">
      <w:pPr>
        <w:widowControl w:val="0"/>
        <w:numPr>
          <w:ilvl w:val="0"/>
          <w:numId w:val="1"/>
        </w:numPr>
        <w:spacing w:before="480" w:after="480" w:line="360" w:lineRule="auto"/>
        <w:jc w:val="both"/>
        <w:rPr>
          <w:rFonts w:cs="Arial"/>
          <w:bCs/>
          <w:szCs w:val="22"/>
        </w:rPr>
      </w:pPr>
      <w:r>
        <w:rPr>
          <w:rFonts w:cs="Arial"/>
          <w:bCs/>
          <w:szCs w:val="22"/>
        </w:rPr>
        <w:t xml:space="preserve">The section 3 application was launched on 5 September 2023, seven months after the appointment of the arbitrator and </w:t>
      </w:r>
      <w:r w:rsidR="00FE0E32">
        <w:rPr>
          <w:rFonts w:cs="Arial"/>
          <w:bCs/>
          <w:szCs w:val="22"/>
        </w:rPr>
        <w:t>delivery of the</w:t>
      </w:r>
      <w:r>
        <w:rPr>
          <w:rFonts w:cs="Arial"/>
          <w:bCs/>
          <w:szCs w:val="22"/>
        </w:rPr>
        <w:t xml:space="preserve"> statement of claim</w:t>
      </w:r>
      <w:r w:rsidR="00FE0E32">
        <w:rPr>
          <w:rFonts w:cs="Arial"/>
          <w:bCs/>
          <w:szCs w:val="22"/>
        </w:rPr>
        <w:t xml:space="preserve"> in February 2023</w:t>
      </w:r>
      <w:r>
        <w:rPr>
          <w:rFonts w:cs="Arial"/>
          <w:bCs/>
          <w:szCs w:val="22"/>
        </w:rPr>
        <w:t xml:space="preserve">. </w:t>
      </w:r>
      <w:r w:rsidR="00CA78A7">
        <w:rPr>
          <w:rFonts w:cs="Arial"/>
          <w:bCs/>
          <w:szCs w:val="22"/>
        </w:rPr>
        <w:t>The founding affidavit in the application for a stay was signed on 29 September 2023.</w:t>
      </w:r>
    </w:p>
    <w:p w14:paraId="5397A9D4" w14:textId="0C3063EE" w:rsidR="00562D7B" w:rsidRDefault="00212D65" w:rsidP="003534C2">
      <w:pPr>
        <w:widowControl w:val="0"/>
        <w:numPr>
          <w:ilvl w:val="0"/>
          <w:numId w:val="1"/>
        </w:numPr>
        <w:spacing w:before="480" w:after="480" w:line="360" w:lineRule="auto"/>
        <w:jc w:val="both"/>
        <w:rPr>
          <w:rFonts w:cs="Arial"/>
          <w:bCs/>
          <w:szCs w:val="22"/>
        </w:rPr>
      </w:pPr>
      <w:r>
        <w:rPr>
          <w:rFonts w:cs="Arial"/>
          <w:bCs/>
          <w:szCs w:val="22"/>
        </w:rPr>
        <w:t>The facts relied upon by MEPF in the section 3 application were known to MEPF at all times and the application could have been brought at any time since delivery of the statement of claim</w:t>
      </w:r>
      <w:r w:rsidR="007C38EE">
        <w:rPr>
          <w:rFonts w:cs="Arial"/>
          <w:bCs/>
          <w:szCs w:val="22"/>
        </w:rPr>
        <w:t xml:space="preserve"> or even before</w:t>
      </w:r>
      <w:r>
        <w:rPr>
          <w:rFonts w:cs="Arial"/>
          <w:bCs/>
          <w:szCs w:val="22"/>
        </w:rPr>
        <w:t xml:space="preserve">. </w:t>
      </w:r>
      <w:r w:rsidR="00BF05EA">
        <w:rPr>
          <w:rFonts w:cs="Arial"/>
          <w:bCs/>
          <w:szCs w:val="22"/>
        </w:rPr>
        <w:t xml:space="preserve">MEPF was entitled to invoke section 3 when it became apparent that Adamax was not willing to abandon arbitration in response to MEPF’s letter of 24 November 2022. </w:t>
      </w:r>
      <w:r>
        <w:rPr>
          <w:rFonts w:cs="Arial"/>
          <w:bCs/>
          <w:szCs w:val="22"/>
        </w:rPr>
        <w:t xml:space="preserve">By 5 April 2023 the dates of the arbitration were fixed provisionally at 20 to 30 November 2023. </w:t>
      </w:r>
      <w:r w:rsidR="003D39DC">
        <w:rPr>
          <w:rFonts w:cs="Arial"/>
          <w:bCs/>
          <w:szCs w:val="22"/>
        </w:rPr>
        <w:t xml:space="preserve">The statement of defence was signed on 22 May 2023. </w:t>
      </w:r>
    </w:p>
    <w:p w14:paraId="3F06F9ED" w14:textId="4AACCA9E" w:rsidR="00AC6088" w:rsidRDefault="00105F4B" w:rsidP="003534C2">
      <w:pPr>
        <w:widowControl w:val="0"/>
        <w:numPr>
          <w:ilvl w:val="0"/>
          <w:numId w:val="1"/>
        </w:numPr>
        <w:spacing w:before="480" w:after="480" w:line="360" w:lineRule="auto"/>
        <w:jc w:val="both"/>
        <w:rPr>
          <w:rFonts w:cs="Arial"/>
          <w:bCs/>
          <w:szCs w:val="22"/>
        </w:rPr>
      </w:pPr>
      <w:r>
        <w:rPr>
          <w:rFonts w:cs="Arial"/>
          <w:bCs/>
          <w:szCs w:val="22"/>
        </w:rPr>
        <w:t xml:space="preserve">Had </w:t>
      </w:r>
      <w:r w:rsidR="00993B6B">
        <w:rPr>
          <w:rFonts w:cs="Arial"/>
          <w:bCs/>
          <w:szCs w:val="22"/>
        </w:rPr>
        <w:t>MEPF</w:t>
      </w:r>
      <w:r>
        <w:rPr>
          <w:rFonts w:cs="Arial"/>
          <w:bCs/>
          <w:szCs w:val="22"/>
        </w:rPr>
        <w:t xml:space="preserve"> timeously applied </w:t>
      </w:r>
      <w:r w:rsidR="007C38EE">
        <w:rPr>
          <w:rFonts w:cs="Arial"/>
          <w:bCs/>
          <w:szCs w:val="22"/>
        </w:rPr>
        <w:t xml:space="preserve">for a court order </w:t>
      </w:r>
      <w:r>
        <w:rPr>
          <w:rFonts w:cs="Arial"/>
          <w:bCs/>
          <w:szCs w:val="22"/>
        </w:rPr>
        <w:t>in terms of section 3, it might not have been necessary to apply to the arbitrator for a postponement and any such application would have been decided on different facts. MEPF can therefore not rely on the award in the postponement application as a ground of urgency.</w:t>
      </w:r>
      <w:r w:rsidR="00FE0E32">
        <w:rPr>
          <w:rFonts w:cs="Arial"/>
          <w:bCs/>
          <w:szCs w:val="22"/>
        </w:rPr>
        <w:t xml:space="preserve"> </w:t>
      </w:r>
    </w:p>
    <w:p w14:paraId="2559D9D9" w14:textId="49D31BB3" w:rsidR="00293A24" w:rsidRPr="00FE0E32" w:rsidRDefault="004A3798" w:rsidP="00B75FFA">
      <w:pPr>
        <w:widowControl w:val="0"/>
        <w:numPr>
          <w:ilvl w:val="0"/>
          <w:numId w:val="1"/>
        </w:numPr>
        <w:spacing w:before="480" w:after="480" w:line="360" w:lineRule="auto"/>
        <w:jc w:val="both"/>
        <w:rPr>
          <w:rFonts w:cs="Arial"/>
          <w:bCs/>
          <w:szCs w:val="22"/>
        </w:rPr>
      </w:pPr>
      <w:r w:rsidRPr="00FE0E32">
        <w:rPr>
          <w:rFonts w:cs="Arial"/>
          <w:bCs/>
          <w:szCs w:val="22"/>
          <w:lang w:val="en-GB"/>
        </w:rPr>
        <w:t xml:space="preserve">MEPF now also seeks a stay on the ground that it will seek to review the award in the postponement application on the basis that the arbitrator committed a gross irregularity by deciding the issue of </w:t>
      </w:r>
      <w:r w:rsidRPr="00FE0E32">
        <w:rPr>
          <w:rFonts w:cs="Arial"/>
          <w:bCs/>
          <w:i/>
          <w:iCs/>
          <w:szCs w:val="22"/>
          <w:lang w:val="en-GB"/>
        </w:rPr>
        <w:t>lis pendens</w:t>
      </w:r>
      <w:r w:rsidRPr="00FE0E32">
        <w:rPr>
          <w:rFonts w:cs="Arial"/>
          <w:bCs/>
          <w:szCs w:val="22"/>
          <w:lang w:val="en-GB"/>
        </w:rPr>
        <w:t xml:space="preserve"> when he was not called upon to do so. MEPF argues that the award now precludes MEPF from relying on its </w:t>
      </w:r>
      <w:r w:rsidRPr="00FE0E32">
        <w:rPr>
          <w:rFonts w:cs="Arial"/>
          <w:bCs/>
          <w:i/>
          <w:iCs/>
          <w:szCs w:val="22"/>
          <w:lang w:val="en-GB"/>
        </w:rPr>
        <w:t>lis pendens</w:t>
      </w:r>
      <w:r w:rsidRPr="00FE0E32">
        <w:rPr>
          <w:rFonts w:cs="Arial"/>
          <w:bCs/>
          <w:szCs w:val="22"/>
          <w:lang w:val="en-GB"/>
        </w:rPr>
        <w:t xml:space="preserve"> defence even though </w:t>
      </w:r>
      <w:r w:rsidRPr="00FE0E32">
        <w:rPr>
          <w:rFonts w:cs="Arial"/>
          <w:bCs/>
          <w:i/>
          <w:iCs/>
          <w:szCs w:val="22"/>
          <w:lang w:val="en-GB"/>
        </w:rPr>
        <w:t>lis pendens</w:t>
      </w:r>
      <w:r w:rsidRPr="00FE0E32">
        <w:rPr>
          <w:rFonts w:cs="Arial"/>
          <w:bCs/>
          <w:szCs w:val="22"/>
          <w:lang w:val="en-GB"/>
        </w:rPr>
        <w:t xml:space="preserve"> was not the question to be decided in the application.</w:t>
      </w:r>
      <w:r w:rsidR="00CE4596" w:rsidRPr="00FE0E32">
        <w:rPr>
          <w:rFonts w:cs="Arial"/>
          <w:bCs/>
          <w:szCs w:val="22"/>
          <w:lang w:val="en-GB"/>
        </w:rPr>
        <w:t xml:space="preserve"> </w:t>
      </w:r>
      <w:r w:rsidR="00293A24" w:rsidRPr="00FE0E32">
        <w:rPr>
          <w:rFonts w:cs="Arial"/>
          <w:bCs/>
          <w:szCs w:val="22"/>
        </w:rPr>
        <w:t>I deal with the award below.</w:t>
      </w:r>
    </w:p>
    <w:p w14:paraId="39F96340" w14:textId="382C6629" w:rsidR="00293A24" w:rsidRPr="00562D7B" w:rsidRDefault="00CA78A7" w:rsidP="003534C2">
      <w:pPr>
        <w:widowControl w:val="0"/>
        <w:numPr>
          <w:ilvl w:val="0"/>
          <w:numId w:val="1"/>
        </w:numPr>
        <w:spacing w:before="480" w:after="480" w:line="360" w:lineRule="auto"/>
        <w:jc w:val="both"/>
        <w:rPr>
          <w:rFonts w:cs="Arial"/>
          <w:bCs/>
          <w:szCs w:val="22"/>
        </w:rPr>
      </w:pPr>
      <w:r>
        <w:rPr>
          <w:rFonts w:cs="Arial"/>
          <w:bCs/>
          <w:szCs w:val="22"/>
        </w:rPr>
        <w:t>The urgency</w:t>
      </w:r>
      <w:r w:rsidR="0069164D">
        <w:rPr>
          <w:rStyle w:val="FootnoteReference"/>
          <w:rFonts w:cs="Arial"/>
          <w:bCs/>
          <w:szCs w:val="22"/>
        </w:rPr>
        <w:footnoteReference w:id="19"/>
      </w:r>
      <w:r>
        <w:rPr>
          <w:rFonts w:cs="Arial"/>
          <w:bCs/>
          <w:szCs w:val="22"/>
        </w:rPr>
        <w:t xml:space="preserve"> is self-created. </w:t>
      </w:r>
      <w:r w:rsidR="00293A24">
        <w:rPr>
          <w:rFonts w:cs="Arial"/>
          <w:bCs/>
          <w:szCs w:val="22"/>
        </w:rPr>
        <w:t>The question of urgency can</w:t>
      </w:r>
      <w:r>
        <w:rPr>
          <w:rFonts w:cs="Arial"/>
          <w:bCs/>
          <w:szCs w:val="22"/>
        </w:rPr>
        <w:t xml:space="preserve"> however </w:t>
      </w:r>
      <w:r w:rsidR="00293A24">
        <w:rPr>
          <w:rFonts w:cs="Arial"/>
          <w:bCs/>
          <w:szCs w:val="22"/>
        </w:rPr>
        <w:t>not be divorced from the merits</w:t>
      </w:r>
      <w:r>
        <w:rPr>
          <w:rFonts w:cs="Arial"/>
          <w:bCs/>
          <w:szCs w:val="22"/>
        </w:rPr>
        <w:t xml:space="preserve"> and</w:t>
      </w:r>
      <w:r w:rsidR="00293A24">
        <w:rPr>
          <w:rFonts w:cs="Arial"/>
          <w:bCs/>
          <w:szCs w:val="22"/>
        </w:rPr>
        <w:t xml:space="preserve"> I therefore find it necessary to evaluate the merits of the application.</w:t>
      </w:r>
    </w:p>
    <w:p w14:paraId="7C4E1996" w14:textId="77777777" w:rsidR="00562D7B" w:rsidRDefault="00562D7B" w:rsidP="003534C2">
      <w:pPr>
        <w:widowControl w:val="0"/>
        <w:spacing w:before="480" w:after="480" w:line="360" w:lineRule="auto"/>
        <w:jc w:val="both"/>
        <w:rPr>
          <w:rFonts w:cs="Arial"/>
          <w:bCs/>
          <w:szCs w:val="22"/>
          <w:u w:val="single"/>
        </w:rPr>
      </w:pPr>
    </w:p>
    <w:p w14:paraId="13CC34FA" w14:textId="3236D31F" w:rsidR="003534C2" w:rsidRDefault="003534C2" w:rsidP="003534C2">
      <w:pPr>
        <w:widowControl w:val="0"/>
        <w:spacing w:before="480" w:after="480" w:line="360" w:lineRule="auto"/>
        <w:jc w:val="both"/>
        <w:rPr>
          <w:rFonts w:cs="Arial"/>
          <w:bCs/>
          <w:szCs w:val="22"/>
        </w:rPr>
      </w:pPr>
      <w:r w:rsidRPr="003534C2">
        <w:rPr>
          <w:rFonts w:cs="Arial"/>
          <w:bCs/>
          <w:szCs w:val="22"/>
          <w:u w:val="single"/>
        </w:rPr>
        <w:t>The postponement application before the arbitrator</w:t>
      </w:r>
      <w:r>
        <w:rPr>
          <w:rFonts w:cs="Arial"/>
          <w:bCs/>
          <w:szCs w:val="22"/>
        </w:rPr>
        <w:t>.</w:t>
      </w:r>
    </w:p>
    <w:p w14:paraId="25C517FC" w14:textId="0C92F4E6" w:rsidR="00992D6B" w:rsidRPr="00CF7F48" w:rsidRDefault="002C0D8B" w:rsidP="006407E9">
      <w:pPr>
        <w:widowControl w:val="0"/>
        <w:numPr>
          <w:ilvl w:val="0"/>
          <w:numId w:val="1"/>
        </w:numPr>
        <w:spacing w:before="480" w:after="480" w:line="360" w:lineRule="auto"/>
        <w:jc w:val="both"/>
        <w:rPr>
          <w:rFonts w:cs="Arial"/>
          <w:bCs/>
          <w:szCs w:val="22"/>
        </w:rPr>
      </w:pPr>
      <w:r>
        <w:rPr>
          <w:rFonts w:cs="Arial"/>
          <w:bCs/>
          <w:szCs w:val="22"/>
        </w:rPr>
        <w:t xml:space="preserve">MEPF applied for a postponement before the arbitrator. </w:t>
      </w:r>
      <w:r w:rsidRPr="007F6905">
        <w:rPr>
          <w:rFonts w:cs="Arial"/>
          <w:bCs/>
          <w:szCs w:val="22"/>
          <w:lang w:val="en-GB"/>
        </w:rPr>
        <w:t>The arbitrator delivered his award on 18 September 2023</w:t>
      </w:r>
      <w:r>
        <w:rPr>
          <w:rFonts w:cs="Arial"/>
          <w:bCs/>
          <w:szCs w:val="22"/>
          <w:lang w:val="en-GB"/>
        </w:rPr>
        <w:t xml:space="preserve">. </w:t>
      </w:r>
      <w:r w:rsidRPr="007F6905">
        <w:rPr>
          <w:rFonts w:cs="Arial"/>
          <w:bCs/>
          <w:szCs w:val="22"/>
          <w:lang w:val="en-GB"/>
        </w:rPr>
        <w:t xml:space="preserve">He postponed the arbitration proceedings in respect of the </w:t>
      </w:r>
      <w:r w:rsidR="00033A4C">
        <w:rPr>
          <w:rFonts w:cs="Arial"/>
          <w:bCs/>
          <w:szCs w:val="22"/>
          <w:lang w:val="en-GB"/>
        </w:rPr>
        <w:t xml:space="preserve">dissolution </w:t>
      </w:r>
      <w:r w:rsidRPr="007F6905">
        <w:rPr>
          <w:rFonts w:cs="Arial"/>
          <w:bCs/>
          <w:szCs w:val="22"/>
          <w:lang w:val="en-GB"/>
        </w:rPr>
        <w:t>relief but ordered that the arbitration proceed on the</w:t>
      </w:r>
      <w:r>
        <w:rPr>
          <w:rFonts w:cs="Arial"/>
          <w:bCs/>
          <w:szCs w:val="22"/>
          <w:lang w:val="en-GB"/>
        </w:rPr>
        <w:t xml:space="preserve"> </w:t>
      </w:r>
      <w:r w:rsidRPr="007F6905">
        <w:rPr>
          <w:rFonts w:cs="Arial"/>
          <w:bCs/>
          <w:szCs w:val="22"/>
          <w:lang w:val="en-GB"/>
        </w:rPr>
        <w:t>questions of</w:t>
      </w:r>
      <w:r>
        <w:rPr>
          <w:rFonts w:cs="Arial"/>
          <w:bCs/>
          <w:szCs w:val="22"/>
          <w:lang w:val="en-GB"/>
        </w:rPr>
        <w:t xml:space="preserve"> jurisdiction and</w:t>
      </w:r>
      <w:r w:rsidRPr="007F6905">
        <w:rPr>
          <w:rFonts w:cs="Arial"/>
          <w:bCs/>
          <w:szCs w:val="22"/>
          <w:lang w:val="en-GB"/>
        </w:rPr>
        <w:t xml:space="preserve"> the breach </w:t>
      </w:r>
      <w:r w:rsidR="00033A4C">
        <w:rPr>
          <w:rFonts w:cs="Arial"/>
          <w:bCs/>
          <w:szCs w:val="22"/>
          <w:lang w:val="en-GB"/>
        </w:rPr>
        <w:t>relief.</w:t>
      </w:r>
    </w:p>
    <w:p w14:paraId="73DA5930" w14:textId="292436EF" w:rsidR="00A6294D" w:rsidRPr="00A6294D" w:rsidRDefault="00047128" w:rsidP="006407E9">
      <w:pPr>
        <w:widowControl w:val="0"/>
        <w:numPr>
          <w:ilvl w:val="0"/>
          <w:numId w:val="1"/>
        </w:numPr>
        <w:spacing w:before="480" w:after="480" w:line="360" w:lineRule="auto"/>
        <w:jc w:val="both"/>
        <w:rPr>
          <w:rFonts w:cs="Arial"/>
          <w:bCs/>
          <w:szCs w:val="22"/>
        </w:rPr>
      </w:pPr>
      <w:r w:rsidRPr="00047128">
        <w:rPr>
          <w:rFonts w:cs="Arial"/>
          <w:bCs/>
          <w:szCs w:val="22"/>
          <w:lang w:val="en-GB"/>
        </w:rPr>
        <w:t>The arbitrator found that</w:t>
      </w:r>
      <w:r w:rsidR="0069164D">
        <w:rPr>
          <w:rFonts w:cs="Arial"/>
          <w:bCs/>
          <w:szCs w:val="22"/>
          <w:lang w:val="en-GB"/>
        </w:rPr>
        <w:t>:</w:t>
      </w:r>
    </w:p>
    <w:p w14:paraId="0028874D" w14:textId="1DC95169" w:rsidR="00A6294D" w:rsidRPr="00A6294D" w:rsidRDefault="00A6294D" w:rsidP="00A6294D">
      <w:pPr>
        <w:widowControl w:val="0"/>
        <w:numPr>
          <w:ilvl w:val="1"/>
          <w:numId w:val="1"/>
        </w:numPr>
        <w:spacing w:before="480" w:after="480" w:line="360" w:lineRule="auto"/>
        <w:jc w:val="both"/>
        <w:rPr>
          <w:rFonts w:cs="Arial"/>
          <w:bCs/>
          <w:szCs w:val="22"/>
        </w:rPr>
      </w:pPr>
      <w:r w:rsidRPr="00A6294D">
        <w:rPr>
          <w:rFonts w:cs="Arial"/>
          <w:bCs/>
          <w:szCs w:val="22"/>
          <w:lang w:val="en-GB"/>
        </w:rPr>
        <w:t>The dissolution relief in</w:t>
      </w:r>
      <w:r>
        <w:rPr>
          <w:rFonts w:cs="Arial"/>
          <w:bCs/>
          <w:szCs w:val="22"/>
          <w:lang w:val="en-GB"/>
        </w:rPr>
        <w:t xml:space="preserve"> prayer</w:t>
      </w:r>
      <w:r w:rsidRPr="00A6294D">
        <w:rPr>
          <w:rFonts w:cs="Arial"/>
          <w:bCs/>
          <w:szCs w:val="22"/>
          <w:lang w:val="en-GB"/>
        </w:rPr>
        <w:t xml:space="preserve"> </w:t>
      </w:r>
      <w:r w:rsidR="00562D7B">
        <w:rPr>
          <w:rFonts w:cs="Arial"/>
          <w:bCs/>
          <w:szCs w:val="22"/>
          <w:lang w:val="en-GB"/>
        </w:rPr>
        <w:t>3</w:t>
      </w:r>
      <w:r w:rsidRPr="00A6294D">
        <w:rPr>
          <w:rFonts w:cs="Arial"/>
          <w:bCs/>
          <w:szCs w:val="22"/>
          <w:lang w:val="en-GB"/>
        </w:rPr>
        <w:t xml:space="preserve"> of the statement of claim is not a matter which should </w:t>
      </w:r>
      <w:r w:rsidR="00F83D11">
        <w:rPr>
          <w:rFonts w:cs="Arial"/>
          <w:bCs/>
          <w:szCs w:val="22"/>
          <w:lang w:val="en-GB"/>
        </w:rPr>
        <w:t xml:space="preserve">now </w:t>
      </w:r>
      <w:r w:rsidRPr="00A6294D">
        <w:rPr>
          <w:rFonts w:cs="Arial"/>
          <w:bCs/>
          <w:szCs w:val="22"/>
          <w:lang w:val="en-GB"/>
        </w:rPr>
        <w:t>be dealt with in the arbitration</w:t>
      </w:r>
      <w:r>
        <w:rPr>
          <w:rFonts w:cs="Arial"/>
          <w:bCs/>
          <w:szCs w:val="22"/>
          <w:lang w:val="en-GB"/>
        </w:rPr>
        <w:t>.</w:t>
      </w:r>
      <w:r w:rsidR="00EE6DC0">
        <w:rPr>
          <w:rFonts w:cs="Arial"/>
          <w:bCs/>
          <w:szCs w:val="22"/>
          <w:lang w:val="en-GB"/>
        </w:rPr>
        <w:t xml:space="preserve"> </w:t>
      </w:r>
      <w:r w:rsidR="0074509A">
        <w:rPr>
          <w:rFonts w:cs="Arial"/>
          <w:bCs/>
          <w:szCs w:val="22"/>
          <w:lang w:val="en-GB"/>
        </w:rPr>
        <w:t>MEPF</w:t>
      </w:r>
      <w:r w:rsidR="00EE6DC0">
        <w:rPr>
          <w:rFonts w:cs="Arial"/>
          <w:bCs/>
          <w:szCs w:val="22"/>
          <w:lang w:val="en-GB"/>
        </w:rPr>
        <w:t xml:space="preserve"> has a reasonable prospect of persuading the Court in the section 3 application that the dissolution relief ought to be dealt with in the High Court</w:t>
      </w:r>
      <w:r w:rsidR="00216B8B">
        <w:rPr>
          <w:rFonts w:cs="Arial"/>
          <w:bCs/>
          <w:szCs w:val="22"/>
          <w:lang w:val="en-GB"/>
        </w:rPr>
        <w:t>.</w:t>
      </w:r>
    </w:p>
    <w:p w14:paraId="1D3F0843" w14:textId="1DCD124D" w:rsidR="00A6294D" w:rsidRPr="00A6294D" w:rsidRDefault="00A6294D" w:rsidP="00A6294D">
      <w:pPr>
        <w:widowControl w:val="0"/>
        <w:numPr>
          <w:ilvl w:val="1"/>
          <w:numId w:val="1"/>
        </w:numPr>
        <w:spacing w:before="480" w:after="480" w:line="360" w:lineRule="auto"/>
        <w:jc w:val="both"/>
        <w:rPr>
          <w:rFonts w:cs="Arial"/>
          <w:bCs/>
          <w:szCs w:val="22"/>
        </w:rPr>
      </w:pPr>
      <w:r w:rsidRPr="00A6294D">
        <w:rPr>
          <w:rFonts w:cs="Arial"/>
          <w:bCs/>
          <w:szCs w:val="22"/>
          <w:lang w:val="en-GB"/>
        </w:rPr>
        <w:t>The question of jurisdiction should nevertheless be dealt with in the hearing schedule</w:t>
      </w:r>
      <w:r>
        <w:rPr>
          <w:rFonts w:cs="Arial"/>
          <w:bCs/>
          <w:szCs w:val="22"/>
          <w:lang w:val="en-GB"/>
        </w:rPr>
        <w:t>d</w:t>
      </w:r>
      <w:r w:rsidRPr="00A6294D">
        <w:rPr>
          <w:rFonts w:cs="Arial"/>
          <w:bCs/>
          <w:szCs w:val="22"/>
          <w:lang w:val="en-GB"/>
        </w:rPr>
        <w:t xml:space="preserve"> </w:t>
      </w:r>
      <w:r>
        <w:rPr>
          <w:rFonts w:cs="Arial"/>
          <w:bCs/>
          <w:szCs w:val="22"/>
          <w:lang w:val="en-GB"/>
        </w:rPr>
        <w:t>to</w:t>
      </w:r>
      <w:r w:rsidRPr="00A6294D">
        <w:rPr>
          <w:rFonts w:cs="Arial"/>
          <w:bCs/>
          <w:szCs w:val="22"/>
          <w:lang w:val="en-GB"/>
        </w:rPr>
        <w:t xml:space="preserve"> comm</w:t>
      </w:r>
      <w:r>
        <w:rPr>
          <w:rFonts w:cs="Arial"/>
          <w:bCs/>
          <w:szCs w:val="22"/>
          <w:lang w:val="en-GB"/>
        </w:rPr>
        <w:t>ence</w:t>
      </w:r>
      <w:r w:rsidRPr="00A6294D">
        <w:rPr>
          <w:rFonts w:cs="Arial"/>
          <w:bCs/>
          <w:szCs w:val="22"/>
          <w:lang w:val="en-GB"/>
        </w:rPr>
        <w:t xml:space="preserve"> on 22 November 2023</w:t>
      </w:r>
      <w:r>
        <w:rPr>
          <w:rFonts w:cs="Arial"/>
          <w:bCs/>
          <w:szCs w:val="22"/>
          <w:lang w:val="en-GB"/>
        </w:rPr>
        <w:t xml:space="preserve"> b</w:t>
      </w:r>
      <w:r w:rsidRPr="00A6294D">
        <w:rPr>
          <w:rFonts w:cs="Arial"/>
          <w:bCs/>
          <w:szCs w:val="22"/>
          <w:lang w:val="en-GB"/>
        </w:rPr>
        <w:t xml:space="preserve">ecause the </w:t>
      </w:r>
      <w:r>
        <w:rPr>
          <w:rFonts w:cs="Arial"/>
          <w:bCs/>
          <w:szCs w:val="22"/>
          <w:lang w:val="en-GB"/>
        </w:rPr>
        <w:t>C</w:t>
      </w:r>
      <w:r w:rsidRPr="00A6294D">
        <w:rPr>
          <w:rFonts w:cs="Arial"/>
          <w:bCs/>
          <w:szCs w:val="22"/>
          <w:lang w:val="en-GB"/>
        </w:rPr>
        <w:t>ourt may in the exercise of its discretion</w:t>
      </w:r>
      <w:r>
        <w:rPr>
          <w:rFonts w:cs="Arial"/>
          <w:bCs/>
          <w:szCs w:val="22"/>
          <w:lang w:val="en-GB"/>
        </w:rPr>
        <w:t xml:space="preserve"> </w:t>
      </w:r>
      <w:r w:rsidRPr="00A6294D">
        <w:rPr>
          <w:rFonts w:cs="Arial"/>
          <w:bCs/>
          <w:szCs w:val="22"/>
          <w:lang w:val="en-GB"/>
        </w:rPr>
        <w:t xml:space="preserve">in terms of </w:t>
      </w:r>
      <w:r>
        <w:rPr>
          <w:rFonts w:cs="Arial"/>
          <w:bCs/>
          <w:szCs w:val="22"/>
          <w:lang w:val="en-GB"/>
        </w:rPr>
        <w:t>s</w:t>
      </w:r>
      <w:r w:rsidRPr="00A6294D">
        <w:rPr>
          <w:rFonts w:cs="Arial"/>
          <w:bCs/>
          <w:szCs w:val="22"/>
          <w:lang w:val="en-GB"/>
        </w:rPr>
        <w:t>ection 3 of the Arbitration Act</w:t>
      </w:r>
      <w:r>
        <w:rPr>
          <w:rFonts w:cs="Arial"/>
          <w:bCs/>
          <w:szCs w:val="22"/>
          <w:lang w:val="en-GB"/>
        </w:rPr>
        <w:t xml:space="preserve"> refuse the</w:t>
      </w:r>
      <w:r w:rsidRPr="00A6294D">
        <w:rPr>
          <w:rFonts w:cs="Arial"/>
          <w:bCs/>
          <w:szCs w:val="22"/>
          <w:lang w:val="en-GB"/>
        </w:rPr>
        <w:t xml:space="preserve"> relief </w:t>
      </w:r>
      <w:r>
        <w:rPr>
          <w:rFonts w:cs="Arial"/>
          <w:bCs/>
          <w:szCs w:val="22"/>
          <w:lang w:val="en-GB"/>
        </w:rPr>
        <w:t xml:space="preserve">sought by </w:t>
      </w:r>
      <w:r w:rsidR="0074509A">
        <w:rPr>
          <w:rFonts w:cs="Arial"/>
          <w:bCs/>
          <w:szCs w:val="22"/>
          <w:lang w:val="en-GB"/>
        </w:rPr>
        <w:t>MEPF</w:t>
      </w:r>
      <w:r>
        <w:rPr>
          <w:rFonts w:cs="Arial"/>
          <w:bCs/>
          <w:szCs w:val="22"/>
          <w:lang w:val="en-GB"/>
        </w:rPr>
        <w:t>.</w:t>
      </w:r>
    </w:p>
    <w:p w14:paraId="1024EEFA" w14:textId="123813C0" w:rsidR="00C02321" w:rsidRPr="00216B8B" w:rsidRDefault="00562D7B" w:rsidP="00A6294D">
      <w:pPr>
        <w:widowControl w:val="0"/>
        <w:numPr>
          <w:ilvl w:val="1"/>
          <w:numId w:val="1"/>
        </w:numPr>
        <w:spacing w:before="480" w:after="480" w:line="360" w:lineRule="auto"/>
        <w:jc w:val="both"/>
        <w:rPr>
          <w:rFonts w:cs="Arial"/>
          <w:bCs/>
          <w:szCs w:val="22"/>
        </w:rPr>
      </w:pPr>
      <w:r>
        <w:rPr>
          <w:rFonts w:cs="Arial"/>
          <w:bCs/>
          <w:szCs w:val="22"/>
          <w:lang w:val="en-GB"/>
        </w:rPr>
        <w:t>T</w:t>
      </w:r>
      <w:r w:rsidR="00047128" w:rsidRPr="00047128">
        <w:rPr>
          <w:rFonts w:cs="Arial"/>
          <w:bCs/>
          <w:szCs w:val="22"/>
          <w:lang w:val="en-GB"/>
        </w:rPr>
        <w:t xml:space="preserve">he claims brought by </w:t>
      </w:r>
      <w:r w:rsidR="0074509A">
        <w:rPr>
          <w:rFonts w:cs="Arial"/>
          <w:bCs/>
          <w:szCs w:val="22"/>
          <w:lang w:val="en-GB"/>
        </w:rPr>
        <w:t>MEPF</w:t>
      </w:r>
      <w:r w:rsidR="00047128" w:rsidRPr="00047128">
        <w:rPr>
          <w:rFonts w:cs="Arial"/>
          <w:bCs/>
          <w:szCs w:val="22"/>
          <w:lang w:val="en-GB"/>
        </w:rPr>
        <w:t xml:space="preserve"> in the High Court </w:t>
      </w:r>
      <w:r w:rsidR="00033A4C">
        <w:rPr>
          <w:rFonts w:cs="Arial"/>
          <w:bCs/>
          <w:szCs w:val="22"/>
          <w:lang w:val="en-GB"/>
        </w:rPr>
        <w:t>are</w:t>
      </w:r>
      <w:r w:rsidR="00047128" w:rsidRPr="00047128">
        <w:rPr>
          <w:rFonts w:cs="Arial"/>
          <w:bCs/>
          <w:szCs w:val="22"/>
          <w:lang w:val="en-GB"/>
        </w:rPr>
        <w:t xml:space="preserve"> not open to easy and speedy proof and s</w:t>
      </w:r>
      <w:r w:rsidR="00047128">
        <w:rPr>
          <w:rFonts w:cs="Arial"/>
          <w:bCs/>
          <w:szCs w:val="22"/>
          <w:lang w:val="en-GB"/>
        </w:rPr>
        <w:t>e</w:t>
      </w:r>
      <w:r w:rsidR="00047128" w:rsidRPr="00047128">
        <w:rPr>
          <w:rFonts w:cs="Arial"/>
          <w:bCs/>
          <w:szCs w:val="22"/>
          <w:lang w:val="en-GB"/>
        </w:rPr>
        <w:t>t</w:t>
      </w:r>
      <w:r>
        <w:rPr>
          <w:rFonts w:cs="Arial"/>
          <w:bCs/>
          <w:szCs w:val="22"/>
          <w:lang w:val="en-GB"/>
        </w:rPr>
        <w:t>-</w:t>
      </w:r>
      <w:r w:rsidR="00047128" w:rsidRPr="00047128">
        <w:rPr>
          <w:rFonts w:cs="Arial"/>
          <w:bCs/>
          <w:szCs w:val="22"/>
          <w:lang w:val="en-GB"/>
        </w:rPr>
        <w:t>off</w:t>
      </w:r>
      <w:r w:rsidR="00047128">
        <w:rPr>
          <w:rFonts w:cs="Arial"/>
          <w:bCs/>
          <w:szCs w:val="22"/>
          <w:lang w:val="en-GB"/>
        </w:rPr>
        <w:t xml:space="preserve"> </w:t>
      </w:r>
      <w:r w:rsidR="00047128" w:rsidRPr="00047128">
        <w:rPr>
          <w:rFonts w:cs="Arial"/>
          <w:bCs/>
          <w:szCs w:val="22"/>
          <w:lang w:val="en-GB"/>
        </w:rPr>
        <w:t xml:space="preserve">cannot be relied upon to extinguish the </w:t>
      </w:r>
      <w:r>
        <w:rPr>
          <w:rFonts w:cs="Arial"/>
          <w:bCs/>
          <w:szCs w:val="22"/>
          <w:lang w:val="en-GB"/>
        </w:rPr>
        <w:t>debt</w:t>
      </w:r>
      <w:r w:rsidR="00047128" w:rsidRPr="00047128">
        <w:rPr>
          <w:rFonts w:cs="Arial"/>
          <w:bCs/>
          <w:szCs w:val="22"/>
          <w:lang w:val="en-GB"/>
        </w:rPr>
        <w:t xml:space="preserve"> allegedly owed to </w:t>
      </w:r>
      <w:r w:rsidR="0074509A">
        <w:rPr>
          <w:rFonts w:cs="Arial"/>
          <w:bCs/>
          <w:szCs w:val="22"/>
          <w:lang w:val="en-GB"/>
        </w:rPr>
        <w:t>Adamax</w:t>
      </w:r>
      <w:r w:rsidR="00047128">
        <w:rPr>
          <w:rFonts w:cs="Arial"/>
          <w:bCs/>
          <w:szCs w:val="22"/>
          <w:lang w:val="en-GB"/>
        </w:rPr>
        <w:t xml:space="preserve">. </w:t>
      </w:r>
    </w:p>
    <w:p w14:paraId="14EE097D" w14:textId="3BBA3C0D" w:rsidR="00216B8B" w:rsidRPr="00C02321" w:rsidRDefault="00216B8B" w:rsidP="00A6294D">
      <w:pPr>
        <w:widowControl w:val="0"/>
        <w:numPr>
          <w:ilvl w:val="1"/>
          <w:numId w:val="1"/>
        </w:numPr>
        <w:spacing w:before="480" w:after="480" w:line="360" w:lineRule="auto"/>
        <w:jc w:val="both"/>
        <w:rPr>
          <w:rFonts w:cs="Arial"/>
          <w:bCs/>
          <w:szCs w:val="22"/>
        </w:rPr>
      </w:pPr>
      <w:r>
        <w:rPr>
          <w:rFonts w:cs="Arial"/>
          <w:bCs/>
          <w:szCs w:val="22"/>
          <w:lang w:val="en-GB"/>
        </w:rPr>
        <w:t xml:space="preserve">The hearing will commence on 22 November 2023 on the special plea of jurisdiction, and prayers 1 and 2 of the statement of claim </w:t>
      </w:r>
      <w:r w:rsidR="00C63494">
        <w:rPr>
          <w:rFonts w:cs="Arial"/>
          <w:bCs/>
          <w:szCs w:val="22"/>
          <w:lang w:val="en-GB"/>
        </w:rPr>
        <w:t>i.e.</w:t>
      </w:r>
      <w:r>
        <w:rPr>
          <w:rFonts w:cs="Arial"/>
          <w:bCs/>
          <w:szCs w:val="22"/>
          <w:lang w:val="en-GB"/>
        </w:rPr>
        <w:t xml:space="preserve"> the breach relief.</w:t>
      </w:r>
    </w:p>
    <w:p w14:paraId="33F25C1A" w14:textId="429C497B" w:rsidR="00B82530" w:rsidRPr="00B82530" w:rsidRDefault="00B82530" w:rsidP="00C02321">
      <w:pPr>
        <w:widowControl w:val="0"/>
        <w:numPr>
          <w:ilvl w:val="0"/>
          <w:numId w:val="1"/>
        </w:numPr>
        <w:spacing w:before="480" w:after="480" w:line="360" w:lineRule="auto"/>
        <w:jc w:val="both"/>
        <w:rPr>
          <w:rFonts w:cs="Arial"/>
          <w:bCs/>
          <w:szCs w:val="22"/>
        </w:rPr>
      </w:pPr>
      <w:r>
        <w:rPr>
          <w:rFonts w:cs="Arial"/>
          <w:bCs/>
          <w:szCs w:val="22"/>
        </w:rPr>
        <w:t>In this matter the existence of the arbitration agreement is not in dispute. What is in dispute is whether the claim now before the arbitrator falls within the four corners of the arbitration clause. Th</w:t>
      </w:r>
      <w:r w:rsidR="004604CA">
        <w:rPr>
          <w:rFonts w:cs="Arial"/>
          <w:bCs/>
          <w:szCs w:val="22"/>
        </w:rPr>
        <w:t>e question of jurisdiction</w:t>
      </w:r>
      <w:r>
        <w:rPr>
          <w:rFonts w:cs="Arial"/>
          <w:bCs/>
          <w:szCs w:val="22"/>
        </w:rPr>
        <w:t xml:space="preserve"> is therefore a question that may </w:t>
      </w:r>
      <w:r w:rsidR="004604CA">
        <w:rPr>
          <w:rFonts w:cs="Arial"/>
          <w:bCs/>
          <w:szCs w:val="22"/>
        </w:rPr>
        <w:t xml:space="preserve">and should </w:t>
      </w:r>
      <w:r>
        <w:rPr>
          <w:rFonts w:cs="Arial"/>
          <w:bCs/>
          <w:szCs w:val="22"/>
        </w:rPr>
        <w:t>be dealt with by the arbitrator subject to the ultimate control of the Court.</w:t>
      </w:r>
      <w:r>
        <w:rPr>
          <w:rStyle w:val="FootnoteReference"/>
          <w:rFonts w:cs="Arial"/>
          <w:bCs/>
          <w:szCs w:val="22"/>
        </w:rPr>
        <w:footnoteReference w:id="20"/>
      </w:r>
    </w:p>
    <w:p w14:paraId="1EB2AB24" w14:textId="2F909BFD" w:rsidR="00047128" w:rsidRPr="00F32532" w:rsidRDefault="00047128" w:rsidP="00C02321">
      <w:pPr>
        <w:widowControl w:val="0"/>
        <w:numPr>
          <w:ilvl w:val="0"/>
          <w:numId w:val="1"/>
        </w:numPr>
        <w:spacing w:before="480" w:after="480" w:line="360" w:lineRule="auto"/>
        <w:jc w:val="both"/>
        <w:rPr>
          <w:rFonts w:cs="Arial"/>
          <w:bCs/>
          <w:szCs w:val="22"/>
        </w:rPr>
      </w:pPr>
      <w:r w:rsidRPr="00047128">
        <w:rPr>
          <w:rFonts w:cs="Arial"/>
          <w:bCs/>
          <w:szCs w:val="22"/>
          <w:lang w:val="en-GB"/>
        </w:rPr>
        <w:t xml:space="preserve">The arbitrator also found that the claims in the High Court action do not impact on the </w:t>
      </w:r>
      <w:r w:rsidR="00A6294D">
        <w:rPr>
          <w:rFonts w:cs="Arial"/>
          <w:bCs/>
          <w:szCs w:val="22"/>
          <w:lang w:val="en-GB"/>
        </w:rPr>
        <w:t xml:space="preserve">breach </w:t>
      </w:r>
      <w:r w:rsidRPr="00047128">
        <w:rPr>
          <w:rFonts w:cs="Arial"/>
          <w:bCs/>
          <w:szCs w:val="22"/>
          <w:lang w:val="en-GB"/>
        </w:rPr>
        <w:t xml:space="preserve">relief claimed by </w:t>
      </w:r>
      <w:r w:rsidR="0074509A">
        <w:rPr>
          <w:rFonts w:cs="Arial"/>
          <w:bCs/>
          <w:szCs w:val="22"/>
          <w:lang w:val="en-GB"/>
        </w:rPr>
        <w:t>Adamax</w:t>
      </w:r>
      <w:r w:rsidRPr="00047128">
        <w:rPr>
          <w:rFonts w:cs="Arial"/>
          <w:bCs/>
          <w:szCs w:val="22"/>
          <w:lang w:val="en-GB"/>
        </w:rPr>
        <w:t xml:space="preserve"> in the arbitration</w:t>
      </w:r>
      <w:r>
        <w:rPr>
          <w:rFonts w:cs="Arial"/>
          <w:bCs/>
          <w:szCs w:val="22"/>
          <w:lang w:val="en-GB"/>
        </w:rPr>
        <w:t xml:space="preserve">, </w:t>
      </w:r>
      <w:r w:rsidRPr="00047128">
        <w:rPr>
          <w:rFonts w:cs="Arial"/>
          <w:bCs/>
          <w:szCs w:val="22"/>
          <w:lang w:val="en-GB"/>
        </w:rPr>
        <w:t xml:space="preserve">and that the dispute relating to the termination of the </w:t>
      </w:r>
      <w:r w:rsidR="00033A4C">
        <w:rPr>
          <w:rFonts w:cs="Arial"/>
          <w:bCs/>
          <w:szCs w:val="22"/>
          <w:lang w:val="en-GB"/>
        </w:rPr>
        <w:t>co-</w:t>
      </w:r>
      <w:r w:rsidRPr="00047128">
        <w:rPr>
          <w:rFonts w:cs="Arial"/>
          <w:bCs/>
          <w:szCs w:val="22"/>
          <w:lang w:val="en-GB"/>
        </w:rPr>
        <w:t xml:space="preserve">ownership agreement and the </w:t>
      </w:r>
      <w:r>
        <w:rPr>
          <w:rFonts w:cs="Arial"/>
          <w:bCs/>
          <w:szCs w:val="22"/>
          <w:lang w:val="en-GB"/>
        </w:rPr>
        <w:t>termination</w:t>
      </w:r>
      <w:r w:rsidRPr="00047128">
        <w:rPr>
          <w:rFonts w:cs="Arial"/>
          <w:bCs/>
          <w:szCs w:val="22"/>
          <w:lang w:val="en-GB"/>
        </w:rPr>
        <w:t xml:space="preserve"> of </w:t>
      </w:r>
      <w:r>
        <w:rPr>
          <w:rFonts w:cs="Arial"/>
          <w:bCs/>
          <w:szCs w:val="22"/>
          <w:lang w:val="en-GB"/>
        </w:rPr>
        <w:t>co-</w:t>
      </w:r>
      <w:r w:rsidRPr="00047128">
        <w:rPr>
          <w:rFonts w:cs="Arial"/>
          <w:bCs/>
          <w:szCs w:val="22"/>
          <w:lang w:val="en-GB"/>
        </w:rPr>
        <w:t>ownership ought to be resolved as a priority</w:t>
      </w:r>
      <w:r>
        <w:rPr>
          <w:rFonts w:cs="Arial"/>
          <w:bCs/>
          <w:szCs w:val="22"/>
          <w:lang w:val="en-GB"/>
        </w:rPr>
        <w:t>.</w:t>
      </w:r>
      <w:r w:rsidR="00C02321">
        <w:rPr>
          <w:rFonts w:cs="Arial"/>
          <w:bCs/>
          <w:szCs w:val="22"/>
          <w:lang w:val="en-GB"/>
        </w:rPr>
        <w:t xml:space="preserve"> </w:t>
      </w:r>
    </w:p>
    <w:p w14:paraId="64BA064B" w14:textId="23946D6B" w:rsidR="00F32532" w:rsidRPr="00167ACE" w:rsidRDefault="00F32532" w:rsidP="00C02321">
      <w:pPr>
        <w:widowControl w:val="0"/>
        <w:numPr>
          <w:ilvl w:val="0"/>
          <w:numId w:val="1"/>
        </w:numPr>
        <w:spacing w:before="480" w:after="480" w:line="360" w:lineRule="auto"/>
        <w:jc w:val="both"/>
        <w:rPr>
          <w:rFonts w:cs="Arial"/>
          <w:bCs/>
          <w:szCs w:val="22"/>
        </w:rPr>
      </w:pPr>
      <w:r>
        <w:rPr>
          <w:rFonts w:cs="Arial"/>
          <w:bCs/>
          <w:szCs w:val="22"/>
          <w:lang w:val="en-GB"/>
        </w:rPr>
        <w:t xml:space="preserve">MEPF’s postponement application before the arbitrator was based </w:t>
      </w:r>
      <w:r w:rsidRPr="00F32532">
        <w:rPr>
          <w:rFonts w:cs="Arial"/>
          <w:bCs/>
          <w:i/>
          <w:iCs/>
          <w:szCs w:val="22"/>
          <w:lang w:val="en-GB"/>
        </w:rPr>
        <w:t>inter alia</w:t>
      </w:r>
      <w:r>
        <w:rPr>
          <w:rFonts w:cs="Arial"/>
          <w:bCs/>
          <w:szCs w:val="22"/>
          <w:lang w:val="en-GB"/>
        </w:rPr>
        <w:t xml:space="preserve"> on its </w:t>
      </w:r>
      <w:r w:rsidR="006F353F">
        <w:rPr>
          <w:rFonts w:cs="Arial"/>
          <w:bCs/>
          <w:szCs w:val="22"/>
          <w:lang w:val="en-GB"/>
        </w:rPr>
        <w:t xml:space="preserve">jurisdiction and </w:t>
      </w:r>
      <w:r w:rsidRPr="00F32532">
        <w:rPr>
          <w:rFonts w:cs="Arial"/>
          <w:bCs/>
          <w:i/>
          <w:iCs/>
          <w:szCs w:val="22"/>
          <w:lang w:val="en-GB"/>
        </w:rPr>
        <w:t>lis pendens</w:t>
      </w:r>
      <w:r>
        <w:rPr>
          <w:rFonts w:cs="Arial"/>
          <w:bCs/>
          <w:szCs w:val="22"/>
          <w:lang w:val="en-GB"/>
        </w:rPr>
        <w:t xml:space="preserve"> argument</w:t>
      </w:r>
      <w:r w:rsidR="006F353F">
        <w:rPr>
          <w:rFonts w:cs="Arial"/>
          <w:bCs/>
          <w:szCs w:val="22"/>
          <w:lang w:val="en-GB"/>
        </w:rPr>
        <w:t>s in the special plea</w:t>
      </w:r>
      <w:r w:rsidR="00167ACE">
        <w:rPr>
          <w:rFonts w:cs="Arial"/>
          <w:bCs/>
          <w:szCs w:val="22"/>
          <w:lang w:val="en-GB"/>
        </w:rPr>
        <w:t>s</w:t>
      </w:r>
      <w:r>
        <w:rPr>
          <w:rFonts w:cs="Arial"/>
          <w:bCs/>
          <w:szCs w:val="22"/>
          <w:lang w:val="en-GB"/>
        </w:rPr>
        <w:t>.</w:t>
      </w:r>
      <w:r w:rsidR="006F353F">
        <w:rPr>
          <w:rFonts w:cs="Arial"/>
          <w:bCs/>
          <w:szCs w:val="22"/>
          <w:lang w:val="en-GB"/>
        </w:rPr>
        <w:t xml:space="preserve"> The arbitrator proceeded to deal with both as he had to. He made no order on jurisdiction and held that this would have to be dealt with at the arbitration in November 2023. In respect of the</w:t>
      </w:r>
      <w:r w:rsidR="006F353F" w:rsidRPr="006F353F">
        <w:rPr>
          <w:rFonts w:cs="Arial"/>
          <w:bCs/>
          <w:i/>
          <w:iCs/>
          <w:szCs w:val="22"/>
          <w:lang w:val="en-GB"/>
        </w:rPr>
        <w:t xml:space="preserve"> lis pendens </w:t>
      </w:r>
      <w:r w:rsidR="006F353F">
        <w:rPr>
          <w:rFonts w:cs="Arial"/>
          <w:bCs/>
          <w:szCs w:val="22"/>
          <w:lang w:val="en-GB"/>
        </w:rPr>
        <w:t xml:space="preserve">argument he did not make a </w:t>
      </w:r>
      <w:r w:rsidR="00167ACE">
        <w:rPr>
          <w:rFonts w:cs="Arial"/>
          <w:bCs/>
          <w:szCs w:val="22"/>
          <w:lang w:val="en-GB"/>
        </w:rPr>
        <w:t xml:space="preserve">final </w:t>
      </w:r>
      <w:r w:rsidR="006F353F">
        <w:rPr>
          <w:rFonts w:cs="Arial"/>
          <w:bCs/>
          <w:szCs w:val="22"/>
          <w:lang w:val="en-GB"/>
        </w:rPr>
        <w:t xml:space="preserve">finding on the special plea, </w:t>
      </w:r>
      <w:r w:rsidR="00167ACE" w:rsidRPr="00C02321">
        <w:rPr>
          <w:rFonts w:cs="Arial"/>
          <w:bCs/>
          <w:szCs w:val="22"/>
          <w:lang w:val="en-GB"/>
        </w:rPr>
        <w:t>b</w:t>
      </w:r>
      <w:r w:rsidR="00167ACE">
        <w:rPr>
          <w:rFonts w:cs="Arial"/>
          <w:bCs/>
          <w:szCs w:val="22"/>
          <w:lang w:val="en-GB"/>
        </w:rPr>
        <w:t>u</w:t>
      </w:r>
      <w:r w:rsidR="00167ACE" w:rsidRPr="00C02321">
        <w:rPr>
          <w:rFonts w:cs="Arial"/>
          <w:bCs/>
          <w:szCs w:val="22"/>
          <w:lang w:val="en-GB"/>
        </w:rPr>
        <w:t xml:space="preserve">t </w:t>
      </w:r>
      <w:r w:rsidR="00167ACE">
        <w:rPr>
          <w:rFonts w:cs="Arial"/>
          <w:bCs/>
          <w:szCs w:val="22"/>
          <w:lang w:val="en-GB"/>
        </w:rPr>
        <w:t>dismiss</w:t>
      </w:r>
      <w:r w:rsidR="00E21C96">
        <w:rPr>
          <w:rFonts w:cs="Arial"/>
          <w:bCs/>
          <w:szCs w:val="22"/>
          <w:lang w:val="en-GB"/>
        </w:rPr>
        <w:t>ed</w:t>
      </w:r>
      <w:r w:rsidR="00167ACE">
        <w:rPr>
          <w:rFonts w:cs="Arial"/>
          <w:bCs/>
          <w:szCs w:val="22"/>
          <w:lang w:val="en-GB"/>
        </w:rPr>
        <w:t xml:space="preserve"> the postponement application </w:t>
      </w:r>
      <w:r w:rsidR="00167ACE" w:rsidRPr="00C02321">
        <w:rPr>
          <w:rFonts w:cs="Arial"/>
          <w:bCs/>
          <w:szCs w:val="22"/>
          <w:lang w:val="en-GB"/>
        </w:rPr>
        <w:t>on</w:t>
      </w:r>
      <w:r w:rsidR="00167ACE">
        <w:rPr>
          <w:rFonts w:cs="Arial"/>
          <w:bCs/>
          <w:szCs w:val="22"/>
          <w:lang w:val="en-GB"/>
        </w:rPr>
        <w:t xml:space="preserve"> the basis of his finding that</w:t>
      </w:r>
      <w:r w:rsidR="00167ACE" w:rsidRPr="00C02321">
        <w:rPr>
          <w:rFonts w:cs="Arial"/>
          <w:bCs/>
          <w:szCs w:val="22"/>
          <w:lang w:val="en-GB"/>
        </w:rPr>
        <w:t xml:space="preserve"> set off</w:t>
      </w:r>
      <w:r w:rsidR="00167ACE">
        <w:rPr>
          <w:rFonts w:cs="Arial"/>
          <w:bCs/>
          <w:szCs w:val="22"/>
          <w:lang w:val="en-GB"/>
        </w:rPr>
        <w:t xml:space="preserve"> did not apply</w:t>
      </w:r>
    </w:p>
    <w:p w14:paraId="710061DA" w14:textId="3039620C" w:rsidR="00167ACE" w:rsidRPr="00167ACE" w:rsidRDefault="00167ACE" w:rsidP="00077E8E">
      <w:pPr>
        <w:widowControl w:val="0"/>
        <w:numPr>
          <w:ilvl w:val="0"/>
          <w:numId w:val="1"/>
        </w:numPr>
        <w:autoSpaceDE w:val="0"/>
        <w:autoSpaceDN w:val="0"/>
        <w:adjustRightInd w:val="0"/>
        <w:spacing w:before="240" w:after="240" w:line="360" w:lineRule="auto"/>
        <w:jc w:val="both"/>
        <w:rPr>
          <w:rFonts w:cs="Arial"/>
          <w:color w:val="000000"/>
          <w:szCs w:val="22"/>
        </w:rPr>
      </w:pPr>
      <w:r w:rsidRPr="00167ACE">
        <w:rPr>
          <w:rFonts w:cs="Arial"/>
          <w:bCs/>
          <w:szCs w:val="22"/>
          <w:lang w:val="en-GB"/>
        </w:rPr>
        <w:t>He said:</w:t>
      </w:r>
      <w:r>
        <w:rPr>
          <w:rStyle w:val="FootnoteReference"/>
          <w:rFonts w:cs="Arial"/>
          <w:bCs/>
          <w:szCs w:val="22"/>
          <w:lang w:val="en-GB"/>
        </w:rPr>
        <w:footnoteReference w:id="21"/>
      </w:r>
    </w:p>
    <w:p w14:paraId="0835C70F" w14:textId="3A09E60C" w:rsidR="00167ACE" w:rsidRPr="00167ACE" w:rsidRDefault="00167ACE" w:rsidP="00167ACE">
      <w:pPr>
        <w:widowControl w:val="0"/>
        <w:autoSpaceDE w:val="0"/>
        <w:autoSpaceDN w:val="0"/>
        <w:adjustRightInd w:val="0"/>
        <w:spacing w:before="240" w:after="240" w:line="360" w:lineRule="auto"/>
        <w:ind w:left="720"/>
        <w:jc w:val="both"/>
        <w:rPr>
          <w:rFonts w:cs="Arial"/>
          <w:i/>
          <w:iCs/>
          <w:color w:val="000000"/>
          <w:szCs w:val="22"/>
        </w:rPr>
      </w:pPr>
      <w:r w:rsidRPr="00167ACE">
        <w:rPr>
          <w:rFonts w:cs="Arial"/>
          <w:i/>
          <w:iCs/>
          <w:color w:val="000000"/>
          <w:szCs w:val="22"/>
        </w:rPr>
        <w:t>“If set-off might notionally operate, then there would obviously be much force in the MEPF's argument that the matter ought to be determined by the High Court and that the pleadings before it are to be enlarged to include prayers 1 and 2 of Adamax's Statement of Claim. However, in the event of the claims before the High Court being in character such that the operation of a potential set-off is not capable of attainment, then it seems to me that subject to additional considerations, (which I will presently address), there is no sound reason for me not to deal with the prayers in 1 and 2.”</w:t>
      </w:r>
    </w:p>
    <w:p w14:paraId="51E3DCF0" w14:textId="0A0B9448" w:rsidR="00AF4728" w:rsidRPr="003D1202" w:rsidRDefault="0069164D" w:rsidP="00AF4728">
      <w:pPr>
        <w:widowControl w:val="0"/>
        <w:numPr>
          <w:ilvl w:val="0"/>
          <w:numId w:val="1"/>
        </w:numPr>
        <w:spacing w:before="480" w:after="480" w:line="360" w:lineRule="auto"/>
        <w:jc w:val="both"/>
        <w:rPr>
          <w:rFonts w:cs="Arial"/>
          <w:bCs/>
          <w:szCs w:val="22"/>
        </w:rPr>
      </w:pPr>
      <w:r>
        <w:rPr>
          <w:rFonts w:cs="Arial"/>
          <w:bCs/>
          <w:szCs w:val="22"/>
        </w:rPr>
        <w:t xml:space="preserve">MEPF intends to approach the Court for an order setting aside the award on the basis that the arbitrator committed a gross </w:t>
      </w:r>
      <w:r w:rsidR="00F7521B">
        <w:rPr>
          <w:rFonts w:cs="Arial"/>
          <w:bCs/>
          <w:szCs w:val="22"/>
        </w:rPr>
        <w:t>irregularity</w:t>
      </w:r>
      <w:r>
        <w:rPr>
          <w:rFonts w:cs="Arial"/>
          <w:bCs/>
          <w:szCs w:val="22"/>
        </w:rPr>
        <w:t xml:space="preserve">. </w:t>
      </w:r>
      <w:r w:rsidR="00AF4728" w:rsidRPr="003D1202">
        <w:rPr>
          <w:rFonts w:cs="Arial"/>
          <w:bCs/>
          <w:szCs w:val="22"/>
        </w:rPr>
        <w:t xml:space="preserve">Section 33 of the Arbitration Act contains statutory review provisions. </w:t>
      </w:r>
      <w:r w:rsidR="00AF4728">
        <w:rPr>
          <w:rFonts w:cs="Arial"/>
          <w:bCs/>
          <w:szCs w:val="22"/>
        </w:rPr>
        <w:t xml:space="preserve">MEPF </w:t>
      </w:r>
      <w:r w:rsidR="00AF4728" w:rsidRPr="003D1202">
        <w:rPr>
          <w:rFonts w:cs="Arial"/>
          <w:bCs/>
          <w:szCs w:val="22"/>
        </w:rPr>
        <w:t>relies on section 33(1)(b):</w:t>
      </w:r>
    </w:p>
    <w:p w14:paraId="2D9FCE7C" w14:textId="77777777" w:rsidR="00AF4728" w:rsidRPr="00D23D75" w:rsidRDefault="00AF4728" w:rsidP="00AF4728">
      <w:pPr>
        <w:ind w:left="1440"/>
        <w:rPr>
          <w:b/>
          <w:bCs/>
          <w:i/>
          <w:iCs/>
          <w:lang w:eastAsia="en-ZA"/>
        </w:rPr>
      </w:pPr>
      <w:r w:rsidRPr="00D23D75">
        <w:rPr>
          <w:b/>
          <w:bCs/>
          <w:i/>
          <w:iCs/>
          <w:lang w:eastAsia="en-ZA"/>
        </w:rPr>
        <w:t>33  Setting aside of award</w:t>
      </w:r>
    </w:p>
    <w:p w14:paraId="66C14914" w14:textId="77777777" w:rsidR="00AF4728" w:rsidRPr="008535CA" w:rsidRDefault="00AF4728" w:rsidP="00AF4728">
      <w:pPr>
        <w:ind w:left="1440"/>
        <w:rPr>
          <w:i/>
          <w:iCs/>
          <w:lang w:eastAsia="en-ZA"/>
        </w:rPr>
      </w:pPr>
      <w:r w:rsidRPr="008535CA">
        <w:rPr>
          <w:i/>
          <w:iCs/>
          <w:lang w:eastAsia="en-ZA"/>
        </w:rPr>
        <w:t>(1) Where-</w:t>
      </w:r>
    </w:p>
    <w:p w14:paraId="201D82E6" w14:textId="77777777" w:rsidR="00AF4728" w:rsidRDefault="00AF4728" w:rsidP="00AF4728">
      <w:pPr>
        <w:ind w:left="1440"/>
        <w:rPr>
          <w:i/>
          <w:iCs/>
          <w:lang w:eastAsia="en-ZA"/>
        </w:rPr>
      </w:pPr>
      <w:r>
        <w:rPr>
          <w:i/>
          <w:iCs/>
          <w:lang w:eastAsia="en-ZA"/>
        </w:rPr>
        <w:t>…</w:t>
      </w:r>
    </w:p>
    <w:p w14:paraId="273363FC" w14:textId="77777777" w:rsidR="00AF4728" w:rsidRPr="008535CA" w:rsidRDefault="00AF4728" w:rsidP="00AF4728">
      <w:pPr>
        <w:ind w:left="1440"/>
        <w:rPr>
          <w:i/>
          <w:iCs/>
          <w:lang w:eastAsia="en-ZA"/>
        </w:rPr>
      </w:pPr>
      <w:r w:rsidRPr="008535CA">
        <w:rPr>
          <w:i/>
          <w:iCs/>
          <w:lang w:eastAsia="en-ZA"/>
        </w:rPr>
        <w:t>   (b)   an arbitration tribunal has committed any gross irregularity in the conduct of the arbitration proceedings or has exceeded its powers; or</w:t>
      </w:r>
    </w:p>
    <w:p w14:paraId="798F7763" w14:textId="77777777" w:rsidR="00AF4728" w:rsidRDefault="00AF4728" w:rsidP="00AF4728">
      <w:pPr>
        <w:ind w:left="1440"/>
        <w:rPr>
          <w:i/>
          <w:iCs/>
          <w:lang w:eastAsia="en-ZA"/>
        </w:rPr>
      </w:pPr>
      <w:r>
        <w:rPr>
          <w:i/>
          <w:iCs/>
          <w:lang w:eastAsia="en-ZA"/>
        </w:rPr>
        <w:t>…</w:t>
      </w:r>
    </w:p>
    <w:p w14:paraId="0FE3FDB0" w14:textId="77777777" w:rsidR="00AF4728" w:rsidRPr="008535CA" w:rsidRDefault="00AF4728" w:rsidP="00AF4728">
      <w:pPr>
        <w:ind w:left="1440"/>
        <w:rPr>
          <w:i/>
          <w:iCs/>
          <w:lang w:eastAsia="en-ZA"/>
        </w:rPr>
      </w:pPr>
      <w:r w:rsidRPr="008535CA">
        <w:rPr>
          <w:i/>
          <w:iCs/>
          <w:lang w:eastAsia="en-ZA"/>
        </w:rPr>
        <w:t>the court may, on the application of any party to the reference after due notice to the other party or parties, make an order setting the award aside.</w:t>
      </w:r>
    </w:p>
    <w:p w14:paraId="57271AEF" w14:textId="02279DAE" w:rsidR="00AF4728" w:rsidRPr="00033A4C" w:rsidRDefault="00AF4728" w:rsidP="00631FA3">
      <w:pPr>
        <w:widowControl w:val="0"/>
        <w:numPr>
          <w:ilvl w:val="0"/>
          <w:numId w:val="1"/>
        </w:numPr>
        <w:spacing w:before="480" w:after="480" w:line="360" w:lineRule="auto"/>
        <w:jc w:val="both"/>
        <w:rPr>
          <w:rFonts w:cs="Arial"/>
          <w:bCs/>
          <w:szCs w:val="22"/>
        </w:rPr>
      </w:pPr>
      <w:r w:rsidRPr="00033A4C">
        <w:rPr>
          <w:rFonts w:cs="Arial"/>
          <w:bCs/>
          <w:szCs w:val="22"/>
        </w:rPr>
        <w:t>The grounds of review in section 33 are closely linked to the rules of natural justice.</w:t>
      </w:r>
      <w:r>
        <w:rPr>
          <w:rStyle w:val="FootnoteReference"/>
          <w:rFonts w:cs="Arial"/>
          <w:bCs/>
          <w:szCs w:val="22"/>
        </w:rPr>
        <w:footnoteReference w:id="22"/>
      </w:r>
      <w:r w:rsidRPr="00033A4C">
        <w:rPr>
          <w:rFonts w:cs="Arial"/>
          <w:bCs/>
          <w:szCs w:val="22"/>
        </w:rPr>
        <w:t xml:space="preserve"> Dishonesty or moral turpitude is not</w:t>
      </w:r>
      <w:r>
        <w:rPr>
          <w:rStyle w:val="FootnoteReference"/>
          <w:rFonts w:cs="Arial"/>
          <w:bCs/>
          <w:szCs w:val="22"/>
        </w:rPr>
        <w:footnoteReference w:id="23"/>
      </w:r>
      <w:r w:rsidRPr="00033A4C">
        <w:rPr>
          <w:rFonts w:cs="Arial"/>
          <w:bCs/>
          <w:szCs w:val="22"/>
        </w:rPr>
        <w:t xml:space="preserve"> a requirement for a finding that an arbitrator committed a gross irregularity</w:t>
      </w:r>
      <w:r w:rsidR="00033A4C">
        <w:rPr>
          <w:rFonts w:cs="Arial"/>
          <w:bCs/>
          <w:szCs w:val="22"/>
        </w:rPr>
        <w:t xml:space="preserve"> -</w:t>
      </w:r>
      <w:r w:rsidRPr="00033A4C">
        <w:rPr>
          <w:rFonts w:cs="Arial"/>
          <w:bCs/>
          <w:szCs w:val="22"/>
        </w:rPr>
        <w:t xml:space="preserve"> </w:t>
      </w:r>
      <w:r w:rsidR="00033A4C">
        <w:rPr>
          <w:rFonts w:cs="Arial"/>
          <w:bCs/>
          <w:szCs w:val="22"/>
        </w:rPr>
        <w:t>a</w:t>
      </w:r>
      <w:r w:rsidRPr="00033A4C">
        <w:rPr>
          <w:rFonts w:cs="Arial"/>
          <w:bCs/>
          <w:szCs w:val="22"/>
        </w:rPr>
        <w:t xml:space="preserve"> gross irregularity may be committed with the best of intentions. An error of law</w:t>
      </w:r>
      <w:r>
        <w:rPr>
          <w:rStyle w:val="FootnoteReference"/>
          <w:rFonts w:cs="Arial"/>
          <w:bCs/>
          <w:szCs w:val="22"/>
        </w:rPr>
        <w:footnoteReference w:id="24"/>
      </w:r>
      <w:r w:rsidRPr="00033A4C">
        <w:rPr>
          <w:rFonts w:cs="Arial"/>
          <w:bCs/>
          <w:szCs w:val="22"/>
        </w:rPr>
        <w:t xml:space="preserve"> can constitute a gross irregularity and it seems to me that the true question is not whether the arbitrator made an error of law, but whether the dissatisfied party was prevented from presenting its case.</w:t>
      </w:r>
    </w:p>
    <w:p w14:paraId="12411E9D" w14:textId="393C4796" w:rsidR="00AF4728" w:rsidRPr="005971D5" w:rsidRDefault="00AF4728" w:rsidP="00AF4728">
      <w:pPr>
        <w:widowControl w:val="0"/>
        <w:numPr>
          <w:ilvl w:val="0"/>
          <w:numId w:val="1"/>
        </w:numPr>
        <w:spacing w:before="480" w:after="480" w:line="360" w:lineRule="auto"/>
        <w:jc w:val="both"/>
        <w:rPr>
          <w:rFonts w:cs="Arial"/>
          <w:bCs/>
          <w:szCs w:val="22"/>
        </w:rPr>
      </w:pPr>
      <w:r>
        <w:rPr>
          <w:rFonts w:cs="Arial"/>
          <w:bCs/>
          <w:szCs w:val="22"/>
        </w:rPr>
        <w:t>The Courts should not be over-keen to intervene in arbitration awards.</w:t>
      </w:r>
      <w:r w:rsidR="00CE4596">
        <w:rPr>
          <w:rStyle w:val="FootnoteReference"/>
          <w:rFonts w:cs="Arial"/>
          <w:bCs/>
          <w:szCs w:val="22"/>
        </w:rPr>
        <w:footnoteReference w:id="25"/>
      </w:r>
      <w:r>
        <w:rPr>
          <w:rFonts w:cs="Arial"/>
          <w:bCs/>
          <w:szCs w:val="22"/>
        </w:rPr>
        <w:t xml:space="preserve"> The parties chose to arbitrate and the principles of party autonomy dictate that the powers of review should be used sparingly.</w:t>
      </w:r>
      <w:r>
        <w:rPr>
          <w:rStyle w:val="FootnoteReference"/>
          <w:rFonts w:cs="Arial"/>
          <w:bCs/>
          <w:szCs w:val="22"/>
        </w:rPr>
        <w:footnoteReference w:id="26"/>
      </w:r>
      <w:r>
        <w:rPr>
          <w:rFonts w:cs="Arial"/>
          <w:bCs/>
          <w:szCs w:val="22"/>
        </w:rPr>
        <w:t xml:space="preserve"> For an award to be set aside on the ground of a gross irregularity, the arbitrator must have committed an irregularity of a nature so serious that the applicant was precluded from having its case fully and fairly determined.</w:t>
      </w:r>
      <w:r>
        <w:rPr>
          <w:rStyle w:val="FootnoteReference"/>
          <w:rFonts w:cs="Arial"/>
          <w:bCs/>
          <w:szCs w:val="22"/>
        </w:rPr>
        <w:footnoteReference w:id="27"/>
      </w:r>
      <w:r>
        <w:rPr>
          <w:rFonts w:cs="Arial"/>
          <w:bCs/>
          <w:szCs w:val="22"/>
        </w:rPr>
        <w:t xml:space="preserve"> The enquiry is focused on the conduct of the proceedings (i.e. the process) rather than the result (i.e. the outcome.) In </w:t>
      </w:r>
      <w:r w:rsidRPr="008E1B11">
        <w:rPr>
          <w:i/>
          <w:iCs/>
        </w:rPr>
        <w:t>Bester v Easigas (Pty) Ltd and Another</w:t>
      </w:r>
      <w:r>
        <w:rPr>
          <w:i/>
          <w:iCs/>
        </w:rPr>
        <w:t>:</w:t>
      </w:r>
      <w:r>
        <w:rPr>
          <w:rStyle w:val="FootnoteReference"/>
          <w:i/>
          <w:iCs/>
        </w:rPr>
        <w:footnoteReference w:id="28"/>
      </w:r>
      <w:r>
        <w:t xml:space="preserve"> Brand AJ (as he was then) said that:</w:t>
      </w:r>
    </w:p>
    <w:p w14:paraId="67403411" w14:textId="77777777" w:rsidR="00AF4728" w:rsidRPr="005971D5" w:rsidRDefault="00AF4728" w:rsidP="00AF4728">
      <w:pPr>
        <w:spacing w:before="120" w:after="120" w:line="360" w:lineRule="auto"/>
        <w:ind w:left="720"/>
        <w:jc w:val="both"/>
        <w:rPr>
          <w:i/>
          <w:iCs/>
        </w:rPr>
      </w:pPr>
      <w:r w:rsidRPr="005971D5">
        <w:rPr>
          <w:i/>
          <w:iCs/>
        </w:rPr>
        <w:t xml:space="preserve">“…. the ground of review envisaged by the use of this phrase relates to the conduct of the proceedings and not the result thereof. This appears clearly from the following dictum of Mason J in Ellis v Morgan; Ellis v Dessai 1909 TS 576 at 581: </w:t>
      </w:r>
    </w:p>
    <w:p w14:paraId="251A5182" w14:textId="77777777" w:rsidR="00AF4728" w:rsidRPr="005971D5" w:rsidRDefault="00AF4728" w:rsidP="00AF4728">
      <w:pPr>
        <w:spacing w:before="120" w:after="120" w:line="360" w:lineRule="auto"/>
        <w:ind w:left="1440"/>
        <w:jc w:val="both"/>
        <w:rPr>
          <w:i/>
          <w:iCs/>
        </w:rPr>
      </w:pPr>
      <w:r w:rsidRPr="005971D5">
        <w:rPr>
          <w:i/>
          <w:iCs/>
        </w:rPr>
        <w:t> ‘But an irregularity in proceedings does not mean an incorrect judgment; it refers not to the result but to the method of a trial, such as, for example, some high-handed or mistaken action which has prevented the aggrieved party from having his case fully and fairly determined.'</w:t>
      </w:r>
    </w:p>
    <w:p w14:paraId="7DB5C030" w14:textId="77777777" w:rsidR="00AF4728" w:rsidRPr="005971D5" w:rsidRDefault="00AF4728" w:rsidP="00AF4728">
      <w:pPr>
        <w:spacing w:before="120" w:after="120" w:line="360" w:lineRule="auto"/>
        <w:ind w:left="720"/>
        <w:jc w:val="both"/>
        <w:rPr>
          <w:i/>
          <w:iCs/>
          <w:color w:val="000000" w:themeColor="text1"/>
        </w:rPr>
      </w:pPr>
      <w:r w:rsidRPr="005971D5">
        <w:rPr>
          <w:i/>
          <w:iCs/>
          <w:color w:val="000000" w:themeColor="text1"/>
        </w:rPr>
        <w:t>(See also, for example, R v Zackey </w:t>
      </w:r>
      <w:hyperlink r:id="rId9" w:history="1">
        <w:r w:rsidRPr="005971D5">
          <w:rPr>
            <w:rStyle w:val="Hyperlink"/>
            <w:i/>
            <w:iCs/>
            <w:color w:val="000000" w:themeColor="text1"/>
            <w:u w:val="none"/>
          </w:rPr>
          <w:t>1945 AD 505</w:t>
        </w:r>
      </w:hyperlink>
      <w:r w:rsidRPr="005971D5">
        <w:rPr>
          <w:i/>
          <w:iCs/>
          <w:color w:val="000000" w:themeColor="text1"/>
        </w:rPr>
        <w:t> at 509.)</w:t>
      </w:r>
    </w:p>
    <w:p w14:paraId="409AFB15" w14:textId="77777777" w:rsidR="00AF4728" w:rsidRPr="005971D5" w:rsidRDefault="00AF4728" w:rsidP="00AF4728">
      <w:pPr>
        <w:spacing w:before="120" w:after="120" w:line="360" w:lineRule="auto"/>
        <w:ind w:left="720"/>
        <w:jc w:val="both"/>
        <w:rPr>
          <w:i/>
          <w:iCs/>
          <w:color w:val="000000" w:themeColor="text1"/>
        </w:rPr>
      </w:pPr>
      <w:r w:rsidRPr="005971D5">
        <w:rPr>
          <w:i/>
          <w:iCs/>
        </w:rPr>
        <w:t xml:space="preserve">Secondly it appears from these authorities that every irregularity in the proceedings will not constitute a ground for review on the basis under consideration. In order to justify a review on this basis, the irregularity must have been of such a serious nature that it resulted in the aggrieved party not having his case fully and fairly determined. (See, for example, Ellis v Morgan (supra); Coetser v Henning and Ente NO 1926 TPD 401 at 404; Goldfields Investment Ltd and Another v City Council </w:t>
      </w:r>
      <w:r w:rsidRPr="005971D5">
        <w:rPr>
          <w:i/>
          <w:iCs/>
          <w:color w:val="000000" w:themeColor="text1"/>
        </w:rPr>
        <w:t>of Johannesburg and Another 1938 TPD 551; and cf also S v Moodie </w:t>
      </w:r>
      <w:hyperlink r:id="rId10" w:history="1">
        <w:r w:rsidRPr="005971D5">
          <w:rPr>
            <w:rStyle w:val="Hyperlink"/>
            <w:i/>
            <w:iCs/>
            <w:color w:val="000000" w:themeColor="text1"/>
            <w:u w:val="none"/>
          </w:rPr>
          <w:t>1961 (4) SA 752 (A)</w:t>
        </w:r>
      </w:hyperlink>
      <w:r w:rsidRPr="005971D5">
        <w:rPr>
          <w:i/>
          <w:iCs/>
          <w:color w:val="000000" w:themeColor="text1"/>
        </w:rPr>
        <w:t>.)</w:t>
      </w:r>
      <w:r>
        <w:rPr>
          <w:i/>
          <w:iCs/>
          <w:color w:val="000000" w:themeColor="text1"/>
        </w:rPr>
        <w:t>”</w:t>
      </w:r>
    </w:p>
    <w:p w14:paraId="24C21DFD" w14:textId="2B827B98" w:rsidR="007F6905" w:rsidRPr="00881A04" w:rsidRDefault="00881A04" w:rsidP="005F6669">
      <w:pPr>
        <w:widowControl w:val="0"/>
        <w:numPr>
          <w:ilvl w:val="0"/>
          <w:numId w:val="1"/>
        </w:numPr>
        <w:spacing w:before="480" w:after="480" w:line="360" w:lineRule="auto"/>
        <w:jc w:val="both"/>
        <w:rPr>
          <w:rFonts w:cs="Arial"/>
          <w:bCs/>
          <w:szCs w:val="22"/>
        </w:rPr>
      </w:pPr>
      <w:r w:rsidRPr="00881A04">
        <w:rPr>
          <w:rFonts w:cs="Arial"/>
          <w:bCs/>
          <w:szCs w:val="22"/>
        </w:rPr>
        <w:t xml:space="preserve">The arbitrator’s </w:t>
      </w:r>
      <w:r w:rsidR="00DF6283">
        <w:rPr>
          <w:rFonts w:cs="Arial"/>
          <w:bCs/>
          <w:szCs w:val="22"/>
        </w:rPr>
        <w:t>award</w:t>
      </w:r>
      <w:r w:rsidRPr="00881A04">
        <w:rPr>
          <w:rFonts w:cs="Arial"/>
          <w:bCs/>
          <w:szCs w:val="22"/>
        </w:rPr>
        <w:t xml:space="preserve"> on the postponement application is not subject to appeal on the basis that his decision was wrong</w:t>
      </w:r>
      <w:r w:rsidR="00033A4C">
        <w:rPr>
          <w:rFonts w:cs="Arial"/>
          <w:bCs/>
          <w:szCs w:val="22"/>
        </w:rPr>
        <w:t>.</w:t>
      </w:r>
      <w:r w:rsidRPr="00881A04">
        <w:rPr>
          <w:rFonts w:cs="Arial"/>
          <w:bCs/>
          <w:szCs w:val="22"/>
        </w:rPr>
        <w:t xml:space="preserve"> </w:t>
      </w:r>
      <w:r w:rsidR="00CE4596" w:rsidRPr="00881A04">
        <w:rPr>
          <w:rFonts w:cs="Arial"/>
          <w:bCs/>
          <w:szCs w:val="22"/>
        </w:rPr>
        <w:t>The review application</w:t>
      </w:r>
      <w:r>
        <w:rPr>
          <w:rFonts w:cs="Arial"/>
          <w:bCs/>
          <w:szCs w:val="22"/>
        </w:rPr>
        <w:t xml:space="preserve"> on the ground of an alleged gross irregularity</w:t>
      </w:r>
      <w:r w:rsidR="00CE4596" w:rsidRPr="00881A04">
        <w:rPr>
          <w:rFonts w:cs="Arial"/>
          <w:bCs/>
          <w:szCs w:val="22"/>
        </w:rPr>
        <w:t xml:space="preserve"> has not yet been launched</w:t>
      </w:r>
      <w:r w:rsidR="009E17F8">
        <w:rPr>
          <w:rFonts w:cs="Arial"/>
          <w:bCs/>
          <w:szCs w:val="22"/>
        </w:rPr>
        <w:t xml:space="preserve"> but f</w:t>
      </w:r>
      <w:r w:rsidR="00CE4596" w:rsidRPr="00881A04">
        <w:rPr>
          <w:rFonts w:cs="Arial"/>
          <w:bCs/>
          <w:szCs w:val="22"/>
        </w:rPr>
        <w:t>or the purposes of this urgent application I am</w:t>
      </w:r>
      <w:r w:rsidRPr="00881A04">
        <w:rPr>
          <w:rFonts w:cs="Arial"/>
          <w:bCs/>
          <w:szCs w:val="22"/>
        </w:rPr>
        <w:t xml:space="preserve"> not</w:t>
      </w:r>
      <w:r w:rsidR="00CE4596" w:rsidRPr="00881A04">
        <w:rPr>
          <w:rFonts w:cs="Arial"/>
          <w:bCs/>
          <w:szCs w:val="22"/>
        </w:rPr>
        <w:t xml:space="preserve"> persuaded that a </w:t>
      </w:r>
      <w:r w:rsidR="00CE4596" w:rsidRPr="00881A04">
        <w:rPr>
          <w:rFonts w:cs="Arial"/>
          <w:bCs/>
          <w:i/>
          <w:iCs/>
          <w:szCs w:val="22"/>
        </w:rPr>
        <w:t xml:space="preserve">prima facie </w:t>
      </w:r>
      <w:r w:rsidR="00CE4596" w:rsidRPr="00881A04">
        <w:rPr>
          <w:rFonts w:cs="Arial"/>
          <w:bCs/>
          <w:szCs w:val="22"/>
        </w:rPr>
        <w:t>case is made out</w:t>
      </w:r>
      <w:r w:rsidR="00CA07D9">
        <w:rPr>
          <w:rFonts w:cs="Arial"/>
          <w:bCs/>
          <w:szCs w:val="22"/>
        </w:rPr>
        <w:t xml:space="preserve"> for a review on any ground, and</w:t>
      </w:r>
      <w:r w:rsidR="00D56DCF">
        <w:rPr>
          <w:rFonts w:cs="Arial"/>
          <w:bCs/>
          <w:szCs w:val="22"/>
        </w:rPr>
        <w:t xml:space="preserve"> that the matter is urgent</w:t>
      </w:r>
      <w:r w:rsidR="00CA07D9">
        <w:rPr>
          <w:rFonts w:cs="Arial"/>
          <w:bCs/>
          <w:szCs w:val="22"/>
        </w:rPr>
        <w:t>,</w:t>
      </w:r>
      <w:r w:rsidR="00D56DCF">
        <w:rPr>
          <w:rFonts w:cs="Arial"/>
          <w:bCs/>
          <w:szCs w:val="22"/>
        </w:rPr>
        <w:t xml:space="preserve"> and</w:t>
      </w:r>
      <w:r w:rsidR="00E21C96">
        <w:rPr>
          <w:rFonts w:cs="Arial"/>
          <w:bCs/>
          <w:szCs w:val="22"/>
        </w:rPr>
        <w:t xml:space="preserve"> that it would be in the interest of justice to grant the application</w:t>
      </w:r>
      <w:r w:rsidR="006900FB">
        <w:rPr>
          <w:rFonts w:cs="Arial"/>
          <w:bCs/>
          <w:szCs w:val="22"/>
        </w:rPr>
        <w:t xml:space="preserve"> for a stay</w:t>
      </w:r>
      <w:r w:rsidR="00E21C96">
        <w:rPr>
          <w:rFonts w:cs="Arial"/>
          <w:bCs/>
          <w:szCs w:val="22"/>
        </w:rPr>
        <w:t>.</w:t>
      </w:r>
    </w:p>
    <w:p w14:paraId="50826F15" w14:textId="563F62C8" w:rsidR="00D2164A" w:rsidRPr="00CA757B" w:rsidRDefault="00A21DEA" w:rsidP="00DD1C72">
      <w:pPr>
        <w:widowControl w:val="0"/>
        <w:numPr>
          <w:ilvl w:val="0"/>
          <w:numId w:val="1"/>
        </w:numPr>
        <w:spacing w:before="480" w:after="480" w:line="360" w:lineRule="auto"/>
        <w:jc w:val="both"/>
        <w:rPr>
          <w:rFonts w:cs="Arial"/>
          <w:bCs/>
          <w:szCs w:val="22"/>
        </w:rPr>
      </w:pPr>
      <w:r w:rsidRPr="00CA757B">
        <w:rPr>
          <w:rFonts w:cs="Arial"/>
          <w:bCs/>
          <w:szCs w:val="22"/>
        </w:rPr>
        <w:t xml:space="preserve"> </w:t>
      </w:r>
      <w:r w:rsidR="00D2164A" w:rsidRPr="00CA757B">
        <w:rPr>
          <w:rFonts w:cs="Arial"/>
          <w:bCs/>
          <w:szCs w:val="22"/>
          <w:lang w:val="en-US"/>
        </w:rPr>
        <w:t>For the reasons set out above I make the order in paragraph 1.</w:t>
      </w:r>
    </w:p>
    <w:p w14:paraId="5E3F3A66" w14:textId="6CAAB854" w:rsidR="00293C02" w:rsidRPr="00CA757B" w:rsidRDefault="00293C02" w:rsidP="005B380D">
      <w:pPr>
        <w:widowControl w:val="0"/>
        <w:tabs>
          <w:tab w:val="right" w:pos="0"/>
        </w:tabs>
        <w:spacing w:line="360" w:lineRule="auto"/>
        <w:contextualSpacing/>
        <w:rPr>
          <w:rFonts w:cs="Arial"/>
          <w:b/>
          <w:szCs w:val="22"/>
        </w:rPr>
      </w:pPr>
    </w:p>
    <w:p w14:paraId="53CD27EE" w14:textId="0B3A7FA3" w:rsidR="00AE287F" w:rsidRPr="00CA757B" w:rsidRDefault="00A649E6" w:rsidP="003A1D18">
      <w:pPr>
        <w:widowControl w:val="0"/>
        <w:tabs>
          <w:tab w:val="right" w:pos="0"/>
        </w:tabs>
        <w:spacing w:line="360" w:lineRule="auto"/>
        <w:contextualSpacing/>
        <w:jc w:val="right"/>
        <w:rPr>
          <w:rFonts w:cs="Arial"/>
          <w:b/>
          <w:szCs w:val="22"/>
        </w:rPr>
      </w:pPr>
      <w:r w:rsidRPr="00CA757B">
        <w:rPr>
          <w:rFonts w:cs="Arial"/>
          <w:b/>
          <w:szCs w:val="22"/>
        </w:rPr>
        <w:t>______________</w:t>
      </w:r>
    </w:p>
    <w:p w14:paraId="0CCB9BFE" w14:textId="7ABE564D" w:rsidR="006C43D7" w:rsidRPr="00CA757B" w:rsidRDefault="00C676F3" w:rsidP="003A1D18">
      <w:pPr>
        <w:widowControl w:val="0"/>
        <w:tabs>
          <w:tab w:val="right" w:pos="0"/>
        </w:tabs>
        <w:spacing w:line="360" w:lineRule="auto"/>
        <w:contextualSpacing/>
        <w:jc w:val="right"/>
        <w:rPr>
          <w:rFonts w:cs="Arial"/>
          <w:b/>
          <w:szCs w:val="22"/>
        </w:rPr>
      </w:pPr>
      <w:r w:rsidRPr="00CA757B">
        <w:rPr>
          <w:rFonts w:cs="Arial"/>
          <w:b/>
          <w:szCs w:val="22"/>
        </w:rPr>
        <w:t>J MOORCROFT</w:t>
      </w:r>
    </w:p>
    <w:p w14:paraId="7A2C1059" w14:textId="77777777" w:rsidR="006C43D7" w:rsidRPr="00CA757B" w:rsidRDefault="006C43D7" w:rsidP="003A1D18">
      <w:pPr>
        <w:widowControl w:val="0"/>
        <w:tabs>
          <w:tab w:val="right" w:pos="0"/>
        </w:tabs>
        <w:spacing w:line="360" w:lineRule="auto"/>
        <w:contextualSpacing/>
        <w:jc w:val="right"/>
        <w:rPr>
          <w:rFonts w:cs="Arial"/>
          <w:b/>
          <w:szCs w:val="22"/>
        </w:rPr>
      </w:pPr>
      <w:r w:rsidRPr="00CA757B">
        <w:rPr>
          <w:rFonts w:cs="Arial"/>
          <w:b/>
          <w:szCs w:val="22"/>
        </w:rPr>
        <w:t>ACTING JUDGE OF THE HIGH COURT OF SOUTH AFRICA</w:t>
      </w:r>
    </w:p>
    <w:p w14:paraId="077C2590" w14:textId="7452355B" w:rsidR="006C43D7" w:rsidRPr="00CA757B" w:rsidRDefault="006C43D7" w:rsidP="003A1D18">
      <w:pPr>
        <w:widowControl w:val="0"/>
        <w:tabs>
          <w:tab w:val="right" w:pos="0"/>
          <w:tab w:val="left" w:pos="4253"/>
        </w:tabs>
        <w:spacing w:line="360" w:lineRule="auto"/>
        <w:contextualSpacing/>
        <w:jc w:val="right"/>
        <w:rPr>
          <w:rFonts w:cs="Arial"/>
          <w:b/>
          <w:szCs w:val="22"/>
        </w:rPr>
      </w:pPr>
      <w:r w:rsidRPr="00CA757B">
        <w:rPr>
          <w:rFonts w:cs="Arial"/>
          <w:b/>
          <w:szCs w:val="22"/>
        </w:rPr>
        <w:t>GAUTENG DIVISION</w:t>
      </w:r>
    </w:p>
    <w:p w14:paraId="40B9C946" w14:textId="77777777" w:rsidR="006C43D7" w:rsidRPr="00CA757B" w:rsidRDefault="006C43D7" w:rsidP="0005282E">
      <w:pPr>
        <w:widowControl w:val="0"/>
        <w:tabs>
          <w:tab w:val="right" w:pos="0"/>
          <w:tab w:val="left" w:pos="4253"/>
        </w:tabs>
        <w:spacing w:line="360" w:lineRule="auto"/>
        <w:contextualSpacing/>
        <w:jc w:val="right"/>
        <w:rPr>
          <w:rFonts w:cs="Arial"/>
          <w:b/>
          <w:szCs w:val="22"/>
        </w:rPr>
      </w:pPr>
      <w:r w:rsidRPr="00CA757B">
        <w:rPr>
          <w:rFonts w:cs="Arial"/>
          <w:b/>
          <w:szCs w:val="22"/>
        </w:rPr>
        <w:t>JOHANNESBURG</w:t>
      </w:r>
    </w:p>
    <w:p w14:paraId="326B529B" w14:textId="77777777" w:rsidR="006C43D7" w:rsidRPr="00CA757B" w:rsidRDefault="006C43D7" w:rsidP="003A1D18">
      <w:pPr>
        <w:widowControl w:val="0"/>
        <w:tabs>
          <w:tab w:val="right" w:pos="0"/>
          <w:tab w:val="left" w:pos="4253"/>
        </w:tabs>
        <w:spacing w:line="360" w:lineRule="auto"/>
        <w:contextualSpacing/>
        <w:jc w:val="center"/>
        <w:rPr>
          <w:rFonts w:cs="Arial"/>
          <w:b/>
          <w:szCs w:val="22"/>
        </w:rPr>
      </w:pPr>
    </w:p>
    <w:p w14:paraId="5A4CC56C" w14:textId="051C4E22" w:rsidR="006C43D7" w:rsidRPr="00CA757B" w:rsidRDefault="006C43D7" w:rsidP="003A1D18">
      <w:pPr>
        <w:widowControl w:val="0"/>
        <w:spacing w:after="200" w:line="480" w:lineRule="auto"/>
        <w:contextualSpacing/>
        <w:jc w:val="right"/>
        <w:rPr>
          <w:rFonts w:cs="Arial"/>
          <w:b/>
          <w:i/>
          <w:iCs/>
          <w:szCs w:val="22"/>
        </w:rPr>
      </w:pPr>
      <w:r w:rsidRPr="00CA757B">
        <w:rPr>
          <w:rFonts w:cs="Arial"/>
          <w:b/>
          <w:i/>
          <w:iCs/>
          <w:szCs w:val="22"/>
        </w:rPr>
        <w:t>Electronically submitted</w:t>
      </w:r>
    </w:p>
    <w:p w14:paraId="4E3E9427" w14:textId="77777777" w:rsidR="006C43D7" w:rsidRPr="00CA757B" w:rsidRDefault="006C43D7" w:rsidP="003A1D18">
      <w:pPr>
        <w:widowControl w:val="0"/>
        <w:spacing w:after="200" w:line="360" w:lineRule="auto"/>
        <w:contextualSpacing/>
        <w:jc w:val="both"/>
        <w:rPr>
          <w:rFonts w:eastAsia="Arial Unicode MS" w:cs="Arial"/>
          <w:bCs/>
          <w:szCs w:val="22"/>
        </w:rPr>
      </w:pPr>
    </w:p>
    <w:p w14:paraId="51C686CA" w14:textId="748F4512" w:rsidR="006C43D7" w:rsidRPr="00CA757B" w:rsidRDefault="006C43D7" w:rsidP="003A1D18">
      <w:pPr>
        <w:widowControl w:val="0"/>
        <w:spacing w:after="200" w:line="360" w:lineRule="auto"/>
        <w:contextualSpacing/>
        <w:jc w:val="both"/>
        <w:rPr>
          <w:rFonts w:eastAsia="Arial Unicode MS" w:cs="Arial"/>
          <w:bCs/>
          <w:szCs w:val="22"/>
        </w:rPr>
      </w:pPr>
      <w:r w:rsidRPr="00CA757B">
        <w:rPr>
          <w:rFonts w:eastAsia="Arial Unicode MS" w:cs="Arial"/>
          <w:bCs/>
          <w:szCs w:val="22"/>
        </w:rPr>
        <w:t>Delivered: This judgement was prepared and authored by the Acting Judge whose name is reflected and is handed down electronically by circulation to the Parties / their legal representatives by email and by uploading it to the electronic file of this matter on CaseLines. The date of the judgment is deemed to be</w:t>
      </w:r>
      <w:r w:rsidR="00C460A0" w:rsidRPr="00CA757B">
        <w:rPr>
          <w:rFonts w:eastAsia="Arial Unicode MS" w:cs="Arial"/>
          <w:b/>
          <w:szCs w:val="22"/>
        </w:rPr>
        <w:t xml:space="preserve"> </w:t>
      </w:r>
      <w:r w:rsidR="0005282E" w:rsidRPr="00CA757B">
        <w:rPr>
          <w:rFonts w:eastAsia="Arial Unicode MS" w:cs="Arial"/>
          <w:b/>
          <w:szCs w:val="22"/>
        </w:rPr>
        <w:t xml:space="preserve"> </w:t>
      </w:r>
      <w:r w:rsidR="007150F2">
        <w:rPr>
          <w:rFonts w:eastAsia="Arial Unicode MS" w:cs="Arial"/>
          <w:b/>
          <w:szCs w:val="22"/>
        </w:rPr>
        <w:t>31</w:t>
      </w:r>
      <w:r w:rsidR="000976D2" w:rsidRPr="00CA757B">
        <w:rPr>
          <w:rFonts w:eastAsia="Arial Unicode MS" w:cs="Arial"/>
          <w:b/>
          <w:szCs w:val="22"/>
        </w:rPr>
        <w:t xml:space="preserve"> OCTOBER </w:t>
      </w:r>
      <w:r w:rsidR="00237FF9" w:rsidRPr="00CA757B">
        <w:rPr>
          <w:rFonts w:eastAsia="Arial Unicode MS" w:cs="Arial"/>
          <w:b/>
          <w:bCs/>
          <w:szCs w:val="22"/>
        </w:rPr>
        <w:t>202</w:t>
      </w:r>
      <w:r w:rsidR="00051A2B" w:rsidRPr="00CA757B">
        <w:rPr>
          <w:rFonts w:eastAsia="Arial Unicode MS" w:cs="Arial"/>
          <w:b/>
          <w:bCs/>
          <w:szCs w:val="22"/>
        </w:rPr>
        <w:t>3</w:t>
      </w:r>
      <w:r w:rsidR="00051A2B" w:rsidRPr="00CA757B">
        <w:rPr>
          <w:rFonts w:eastAsia="Arial Unicode MS" w:cs="Arial"/>
          <w:bCs/>
          <w:szCs w:val="22"/>
        </w:rPr>
        <w:t>.</w:t>
      </w:r>
    </w:p>
    <w:p w14:paraId="482DDF6E" w14:textId="77777777" w:rsidR="006C43D7" w:rsidRPr="00CA757B" w:rsidRDefault="006C43D7" w:rsidP="006C43D7">
      <w:pPr>
        <w:tabs>
          <w:tab w:val="right" w:pos="0"/>
          <w:tab w:val="left" w:pos="4253"/>
        </w:tabs>
        <w:spacing w:line="360" w:lineRule="auto"/>
        <w:contextualSpacing/>
        <w:jc w:val="center"/>
        <w:rPr>
          <w:rFonts w:cs="Arial"/>
          <w:b/>
          <w:szCs w:val="22"/>
        </w:rPr>
      </w:pPr>
    </w:p>
    <w:tbl>
      <w:tblPr>
        <w:tblStyle w:val="TableGrid"/>
        <w:tblW w:w="861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935"/>
      </w:tblGrid>
      <w:tr w:rsidR="009D35B5" w:rsidRPr="00CA757B" w14:paraId="493AF0D7" w14:textId="77777777" w:rsidTr="00615F6B">
        <w:tc>
          <w:tcPr>
            <w:tcW w:w="4678" w:type="dxa"/>
          </w:tcPr>
          <w:p w14:paraId="6A05541A" w14:textId="5BED4931" w:rsidR="009D35B5" w:rsidRPr="00CA757B" w:rsidRDefault="009D35B5" w:rsidP="00A25AB4">
            <w:pPr>
              <w:tabs>
                <w:tab w:val="right" w:pos="0"/>
                <w:tab w:val="left" w:pos="4253"/>
              </w:tabs>
              <w:spacing w:before="120" w:after="120"/>
              <w:rPr>
                <w:rFonts w:cs="Arial"/>
                <w:szCs w:val="22"/>
              </w:rPr>
            </w:pPr>
            <w:r w:rsidRPr="00CA757B">
              <w:rPr>
                <w:rFonts w:cs="Arial"/>
                <w:szCs w:val="22"/>
              </w:rPr>
              <w:t xml:space="preserve">COUNSEL FOR </w:t>
            </w:r>
            <w:r w:rsidR="00404A52" w:rsidRPr="00CA757B">
              <w:rPr>
                <w:rFonts w:cs="Arial"/>
                <w:szCs w:val="22"/>
              </w:rPr>
              <w:t>THE APPLICANT</w:t>
            </w:r>
            <w:r w:rsidRPr="00CA757B">
              <w:rPr>
                <w:rFonts w:cs="Arial"/>
                <w:szCs w:val="22"/>
              </w:rPr>
              <w:t>:</w:t>
            </w:r>
          </w:p>
        </w:tc>
        <w:tc>
          <w:tcPr>
            <w:tcW w:w="3935" w:type="dxa"/>
          </w:tcPr>
          <w:p w14:paraId="34BE6584" w14:textId="3DD4C1FD" w:rsidR="000976D2" w:rsidRDefault="00D95F05" w:rsidP="00D65571">
            <w:pPr>
              <w:tabs>
                <w:tab w:val="right" w:pos="0"/>
                <w:tab w:val="left" w:pos="567"/>
                <w:tab w:val="right" w:pos="2727"/>
                <w:tab w:val="left" w:pos="4253"/>
              </w:tabs>
              <w:spacing w:before="120" w:after="120"/>
              <w:jc w:val="right"/>
              <w:rPr>
                <w:rFonts w:cs="Arial"/>
                <w:szCs w:val="22"/>
              </w:rPr>
            </w:pPr>
            <w:r>
              <w:rPr>
                <w:rFonts w:cs="Arial"/>
                <w:szCs w:val="22"/>
              </w:rPr>
              <w:t>A E FRANKLIN SC</w:t>
            </w:r>
          </w:p>
          <w:p w14:paraId="221802CE" w14:textId="52B2E9EF" w:rsidR="00D95F05" w:rsidRDefault="00D95F05" w:rsidP="00D65571">
            <w:pPr>
              <w:tabs>
                <w:tab w:val="right" w:pos="0"/>
                <w:tab w:val="left" w:pos="567"/>
                <w:tab w:val="right" w:pos="2727"/>
                <w:tab w:val="left" w:pos="4253"/>
              </w:tabs>
              <w:spacing w:before="120" w:after="120"/>
              <w:jc w:val="right"/>
              <w:rPr>
                <w:rFonts w:cs="Arial"/>
                <w:szCs w:val="22"/>
              </w:rPr>
            </w:pPr>
            <w:r>
              <w:rPr>
                <w:rFonts w:cs="Arial"/>
                <w:szCs w:val="22"/>
              </w:rPr>
              <w:t>J P V McNALLY SC</w:t>
            </w:r>
          </w:p>
          <w:p w14:paraId="69785AA9" w14:textId="336DCC45" w:rsidR="00834B62" w:rsidRPr="00CA757B" w:rsidRDefault="00D95F05" w:rsidP="00D65571">
            <w:pPr>
              <w:tabs>
                <w:tab w:val="right" w:pos="0"/>
                <w:tab w:val="left" w:pos="567"/>
                <w:tab w:val="right" w:pos="2727"/>
                <w:tab w:val="left" w:pos="4253"/>
              </w:tabs>
              <w:spacing w:before="120" w:after="120"/>
              <w:jc w:val="right"/>
              <w:rPr>
                <w:rFonts w:cs="Arial"/>
                <w:szCs w:val="22"/>
              </w:rPr>
            </w:pPr>
            <w:r>
              <w:rPr>
                <w:rFonts w:cs="Arial"/>
                <w:szCs w:val="22"/>
              </w:rPr>
              <w:t>B L MANENTSA</w:t>
            </w:r>
          </w:p>
        </w:tc>
      </w:tr>
      <w:tr w:rsidR="009D35B5" w:rsidRPr="00CA757B" w14:paraId="183C176D" w14:textId="77777777" w:rsidTr="00615F6B">
        <w:tc>
          <w:tcPr>
            <w:tcW w:w="4678" w:type="dxa"/>
          </w:tcPr>
          <w:p w14:paraId="75365413" w14:textId="481747BC" w:rsidR="009D35B5" w:rsidRPr="00CA757B" w:rsidRDefault="009D35B5" w:rsidP="00A25AB4">
            <w:pPr>
              <w:tabs>
                <w:tab w:val="right" w:pos="0"/>
                <w:tab w:val="left" w:pos="4253"/>
              </w:tabs>
              <w:spacing w:before="120" w:after="120"/>
              <w:rPr>
                <w:rFonts w:cs="Arial"/>
                <w:szCs w:val="22"/>
              </w:rPr>
            </w:pPr>
            <w:r w:rsidRPr="00CA757B">
              <w:rPr>
                <w:rFonts w:cs="Arial"/>
                <w:szCs w:val="22"/>
              </w:rPr>
              <w:t>INSTRUCTED BY:</w:t>
            </w:r>
          </w:p>
        </w:tc>
        <w:tc>
          <w:tcPr>
            <w:tcW w:w="3935" w:type="dxa"/>
          </w:tcPr>
          <w:p w14:paraId="4044534A" w14:textId="747E1FA2" w:rsidR="00E10D04" w:rsidRPr="00CA757B" w:rsidRDefault="00D95F05" w:rsidP="00A25AB4">
            <w:pPr>
              <w:tabs>
                <w:tab w:val="right" w:pos="0"/>
                <w:tab w:val="left" w:pos="4253"/>
              </w:tabs>
              <w:spacing w:before="120" w:after="120"/>
              <w:jc w:val="right"/>
              <w:rPr>
                <w:rFonts w:cs="Arial"/>
                <w:szCs w:val="22"/>
              </w:rPr>
            </w:pPr>
            <w:r>
              <w:rPr>
                <w:rFonts w:cs="Arial"/>
                <w:szCs w:val="22"/>
              </w:rPr>
              <w:t>WEBBER WENTZEL</w:t>
            </w:r>
          </w:p>
        </w:tc>
      </w:tr>
      <w:tr w:rsidR="009D35B5" w:rsidRPr="00CA757B" w14:paraId="6E2BF966" w14:textId="77777777" w:rsidTr="00615F6B">
        <w:tc>
          <w:tcPr>
            <w:tcW w:w="4678" w:type="dxa"/>
          </w:tcPr>
          <w:p w14:paraId="545B6665" w14:textId="74970D80" w:rsidR="009D35B5" w:rsidRPr="00CA757B" w:rsidRDefault="009D35B5" w:rsidP="00A25AB4">
            <w:pPr>
              <w:tabs>
                <w:tab w:val="right" w:pos="0"/>
                <w:tab w:val="left" w:pos="4253"/>
              </w:tabs>
              <w:spacing w:before="120" w:after="120"/>
              <w:rPr>
                <w:rFonts w:cs="Arial"/>
                <w:szCs w:val="22"/>
              </w:rPr>
            </w:pPr>
            <w:r w:rsidRPr="00CA757B">
              <w:rPr>
                <w:rFonts w:cs="Arial"/>
                <w:szCs w:val="22"/>
              </w:rPr>
              <w:t xml:space="preserve">COUNSEL FOR </w:t>
            </w:r>
            <w:r w:rsidR="00404A52" w:rsidRPr="00CA757B">
              <w:rPr>
                <w:rFonts w:cs="Arial"/>
                <w:szCs w:val="22"/>
              </w:rPr>
              <w:t xml:space="preserve">THE </w:t>
            </w:r>
            <w:r w:rsidR="00D95F05">
              <w:rPr>
                <w:rFonts w:cs="Arial"/>
                <w:szCs w:val="22"/>
              </w:rPr>
              <w:t xml:space="preserve">FIRST </w:t>
            </w:r>
            <w:r w:rsidR="00027D19" w:rsidRPr="00CA757B">
              <w:rPr>
                <w:rFonts w:cs="Arial"/>
                <w:szCs w:val="22"/>
              </w:rPr>
              <w:t>RESPONDENT</w:t>
            </w:r>
            <w:r w:rsidRPr="00CA757B">
              <w:rPr>
                <w:rFonts w:cs="Arial"/>
                <w:szCs w:val="22"/>
              </w:rPr>
              <w:t>:</w:t>
            </w:r>
          </w:p>
        </w:tc>
        <w:tc>
          <w:tcPr>
            <w:tcW w:w="3935" w:type="dxa"/>
          </w:tcPr>
          <w:p w14:paraId="51741A90" w14:textId="678D1DAF" w:rsidR="00834B62" w:rsidRPr="00CA757B" w:rsidRDefault="00D95F05" w:rsidP="00D65571">
            <w:pPr>
              <w:tabs>
                <w:tab w:val="right" w:pos="0"/>
                <w:tab w:val="left" w:pos="4253"/>
              </w:tabs>
              <w:spacing w:before="120" w:after="120"/>
              <w:jc w:val="right"/>
              <w:rPr>
                <w:rFonts w:cs="Arial"/>
                <w:szCs w:val="22"/>
              </w:rPr>
            </w:pPr>
            <w:r>
              <w:rPr>
                <w:rFonts w:cs="Arial"/>
                <w:szCs w:val="22"/>
              </w:rPr>
              <w:t>D R VAN ZYL</w:t>
            </w:r>
          </w:p>
        </w:tc>
      </w:tr>
      <w:tr w:rsidR="009D35B5" w:rsidRPr="00CA757B" w14:paraId="1EC4105A" w14:textId="77777777" w:rsidTr="00615F6B">
        <w:tc>
          <w:tcPr>
            <w:tcW w:w="4678" w:type="dxa"/>
          </w:tcPr>
          <w:p w14:paraId="184EC2ED" w14:textId="1E42F28A" w:rsidR="009D35B5" w:rsidRPr="00CA757B" w:rsidRDefault="009D35B5" w:rsidP="00A25AB4">
            <w:pPr>
              <w:tabs>
                <w:tab w:val="right" w:pos="0"/>
                <w:tab w:val="left" w:pos="4253"/>
              </w:tabs>
              <w:spacing w:before="120" w:after="120"/>
              <w:rPr>
                <w:rFonts w:cs="Arial"/>
                <w:szCs w:val="22"/>
              </w:rPr>
            </w:pPr>
            <w:r w:rsidRPr="00CA757B">
              <w:rPr>
                <w:rFonts w:cs="Arial"/>
                <w:szCs w:val="22"/>
              </w:rPr>
              <w:t>INSTRUCTED BY:</w:t>
            </w:r>
          </w:p>
        </w:tc>
        <w:tc>
          <w:tcPr>
            <w:tcW w:w="3935" w:type="dxa"/>
          </w:tcPr>
          <w:p w14:paraId="2098BE2A" w14:textId="7FD03475" w:rsidR="009D35B5" w:rsidRPr="00CA757B" w:rsidRDefault="00AD4597" w:rsidP="00A25AB4">
            <w:pPr>
              <w:tabs>
                <w:tab w:val="right" w:pos="0"/>
                <w:tab w:val="left" w:pos="4253"/>
              </w:tabs>
              <w:spacing w:before="120" w:after="120"/>
              <w:jc w:val="right"/>
              <w:rPr>
                <w:rFonts w:cs="Arial"/>
                <w:szCs w:val="22"/>
              </w:rPr>
            </w:pPr>
            <w:r>
              <w:rPr>
                <w:rFonts w:cs="Arial"/>
                <w:szCs w:val="22"/>
              </w:rPr>
              <w:t>MALATJI &amp; CO ATTORNEYS</w:t>
            </w:r>
          </w:p>
        </w:tc>
      </w:tr>
      <w:tr w:rsidR="009D35B5" w:rsidRPr="00CA757B" w14:paraId="2A3FE2B1" w14:textId="77777777" w:rsidTr="00615F6B">
        <w:tc>
          <w:tcPr>
            <w:tcW w:w="4678" w:type="dxa"/>
          </w:tcPr>
          <w:p w14:paraId="0767D0FE" w14:textId="61925A22" w:rsidR="009D35B5" w:rsidRPr="00CA757B" w:rsidRDefault="009D35B5" w:rsidP="00A25AB4">
            <w:pPr>
              <w:tabs>
                <w:tab w:val="right" w:pos="0"/>
                <w:tab w:val="left" w:pos="4253"/>
              </w:tabs>
              <w:spacing w:before="120" w:after="120"/>
              <w:rPr>
                <w:rFonts w:cs="Arial"/>
                <w:szCs w:val="22"/>
              </w:rPr>
            </w:pPr>
            <w:r w:rsidRPr="00CA757B">
              <w:rPr>
                <w:rFonts w:cs="Arial"/>
                <w:szCs w:val="22"/>
              </w:rPr>
              <w:t xml:space="preserve">DATE </w:t>
            </w:r>
            <w:r w:rsidR="00E57446" w:rsidRPr="00CA757B">
              <w:rPr>
                <w:rFonts w:cs="Arial"/>
                <w:szCs w:val="22"/>
              </w:rPr>
              <w:t>OF ARGUMENT</w:t>
            </w:r>
            <w:r w:rsidRPr="00CA757B">
              <w:rPr>
                <w:rFonts w:cs="Arial"/>
                <w:szCs w:val="22"/>
              </w:rPr>
              <w:t>:</w:t>
            </w:r>
          </w:p>
        </w:tc>
        <w:tc>
          <w:tcPr>
            <w:tcW w:w="3935" w:type="dxa"/>
          </w:tcPr>
          <w:p w14:paraId="34C95147" w14:textId="5B01456D" w:rsidR="009D35B5" w:rsidRPr="00CA757B" w:rsidRDefault="00834B62" w:rsidP="00A25AB4">
            <w:pPr>
              <w:tabs>
                <w:tab w:val="right" w:pos="0"/>
                <w:tab w:val="left" w:pos="4253"/>
              </w:tabs>
              <w:spacing w:before="120" w:after="120"/>
              <w:jc w:val="right"/>
              <w:rPr>
                <w:rFonts w:cs="Arial"/>
                <w:szCs w:val="22"/>
              </w:rPr>
            </w:pPr>
            <w:r>
              <w:rPr>
                <w:rFonts w:cs="Arial"/>
                <w:szCs w:val="22"/>
              </w:rPr>
              <w:t>1</w:t>
            </w:r>
            <w:r w:rsidR="00AD4597">
              <w:rPr>
                <w:rFonts w:cs="Arial"/>
                <w:szCs w:val="22"/>
              </w:rPr>
              <w:t>8</w:t>
            </w:r>
            <w:r>
              <w:rPr>
                <w:rFonts w:cs="Arial"/>
                <w:szCs w:val="22"/>
              </w:rPr>
              <w:t xml:space="preserve"> OCTOBER 2023</w:t>
            </w:r>
          </w:p>
        </w:tc>
      </w:tr>
      <w:tr w:rsidR="00A25AB4" w:rsidRPr="00CA757B" w14:paraId="5ECDFF3A" w14:textId="77777777" w:rsidTr="00615F6B">
        <w:tc>
          <w:tcPr>
            <w:tcW w:w="4678" w:type="dxa"/>
          </w:tcPr>
          <w:p w14:paraId="1DF2AE9E" w14:textId="1FC539A4" w:rsidR="00A25AB4" w:rsidRPr="00CA757B" w:rsidRDefault="00A25AB4" w:rsidP="00A25AB4">
            <w:pPr>
              <w:tabs>
                <w:tab w:val="right" w:pos="0"/>
                <w:tab w:val="left" w:pos="4253"/>
              </w:tabs>
              <w:spacing w:before="120" w:after="120"/>
              <w:rPr>
                <w:rFonts w:cs="Arial"/>
                <w:szCs w:val="22"/>
              </w:rPr>
            </w:pPr>
            <w:r w:rsidRPr="00CA757B">
              <w:rPr>
                <w:rFonts w:cs="Arial"/>
                <w:szCs w:val="22"/>
              </w:rPr>
              <w:t>DATE OF JUDGMENT:</w:t>
            </w:r>
          </w:p>
        </w:tc>
        <w:tc>
          <w:tcPr>
            <w:tcW w:w="3935" w:type="dxa"/>
          </w:tcPr>
          <w:p w14:paraId="02219E99" w14:textId="60A5B873" w:rsidR="00A25AB4" w:rsidRPr="00CA757B" w:rsidRDefault="007150F2" w:rsidP="00A25AB4">
            <w:pPr>
              <w:tabs>
                <w:tab w:val="right" w:pos="0"/>
                <w:tab w:val="left" w:pos="4253"/>
              </w:tabs>
              <w:spacing w:before="120" w:after="120"/>
              <w:jc w:val="right"/>
              <w:rPr>
                <w:rFonts w:cs="Arial"/>
                <w:szCs w:val="22"/>
              </w:rPr>
            </w:pPr>
            <w:r>
              <w:rPr>
                <w:rFonts w:cs="Arial"/>
                <w:szCs w:val="22"/>
              </w:rPr>
              <w:t>31</w:t>
            </w:r>
            <w:r w:rsidR="00834B62">
              <w:rPr>
                <w:rFonts w:cs="Arial"/>
                <w:szCs w:val="22"/>
              </w:rPr>
              <w:t xml:space="preserve"> OCTOBER 2023</w:t>
            </w:r>
          </w:p>
        </w:tc>
      </w:tr>
    </w:tbl>
    <w:p w14:paraId="1BD8F4EB" w14:textId="491B3C8F" w:rsidR="00A402F6" w:rsidRPr="00CA757B" w:rsidRDefault="00A402F6" w:rsidP="001966E8">
      <w:pPr>
        <w:widowControl w:val="0"/>
        <w:spacing w:before="480" w:after="480" w:line="360" w:lineRule="auto"/>
        <w:jc w:val="both"/>
        <w:rPr>
          <w:rFonts w:cs="Arial"/>
          <w:szCs w:val="22"/>
        </w:rPr>
      </w:pPr>
    </w:p>
    <w:sectPr w:rsidR="00A402F6" w:rsidRPr="00CA757B" w:rsidSect="009869F2">
      <w:headerReference w:type="default" r:id="rId11"/>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0D943" w14:textId="77777777" w:rsidR="00B766D8" w:rsidRDefault="00B766D8">
      <w:r>
        <w:separator/>
      </w:r>
    </w:p>
  </w:endnote>
  <w:endnote w:type="continuationSeparator" w:id="0">
    <w:p w14:paraId="1FABDAD5" w14:textId="77777777" w:rsidR="00B766D8" w:rsidRDefault="00B7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C1B0A" w14:textId="77777777" w:rsidR="00B766D8" w:rsidRDefault="00B766D8">
      <w:r>
        <w:separator/>
      </w:r>
    </w:p>
  </w:footnote>
  <w:footnote w:type="continuationSeparator" w:id="0">
    <w:p w14:paraId="5E333309" w14:textId="77777777" w:rsidR="00B766D8" w:rsidRDefault="00B766D8">
      <w:r>
        <w:continuationSeparator/>
      </w:r>
    </w:p>
  </w:footnote>
  <w:footnote w:id="1">
    <w:p w14:paraId="072C0601" w14:textId="2688D8E3" w:rsidR="00D61A20" w:rsidRDefault="00D61A20">
      <w:pPr>
        <w:pStyle w:val="FootnoteText"/>
      </w:pPr>
      <w:r>
        <w:rPr>
          <w:rStyle w:val="FootnoteReference"/>
        </w:rPr>
        <w:footnoteRef/>
      </w:r>
      <w:r>
        <w:t xml:space="preserve"> </w:t>
      </w:r>
      <w:r>
        <w:tab/>
      </w:r>
      <w:r w:rsidRPr="001C2E01">
        <w:rPr>
          <w:i/>
          <w:iCs/>
        </w:rPr>
        <w:t>Mokone v Tassos Properties CC and Another</w:t>
      </w:r>
      <w:r>
        <w:t xml:space="preserve"> </w:t>
      </w:r>
      <w:r w:rsidRPr="001C2E01">
        <w:t>2017 (5) SA 456 (CC)</w:t>
      </w:r>
      <w:r>
        <w:t xml:space="preserve"> para 67.</w:t>
      </w:r>
    </w:p>
  </w:footnote>
  <w:footnote w:id="2">
    <w:p w14:paraId="53EEAB66" w14:textId="3B0D8F96" w:rsidR="000A1E0D" w:rsidRDefault="000A1E0D" w:rsidP="000A1E0D">
      <w:pPr>
        <w:pStyle w:val="FootnoteText"/>
      </w:pPr>
      <w:r>
        <w:rPr>
          <w:rStyle w:val="FootnoteReference"/>
        </w:rPr>
        <w:footnoteRef/>
      </w:r>
      <w:r>
        <w:t xml:space="preserve"> </w:t>
      </w:r>
      <w:r>
        <w:tab/>
        <w:t xml:space="preserve">See also Butler and Finsen </w:t>
      </w:r>
      <w:r w:rsidRPr="00A11012">
        <w:rPr>
          <w:i/>
          <w:iCs/>
        </w:rPr>
        <w:t>Arbitration in South Africa</w:t>
      </w:r>
      <w:r>
        <w:rPr>
          <w:i/>
          <w:iCs/>
        </w:rPr>
        <w:t xml:space="preserve"> -</w:t>
      </w:r>
      <w:r w:rsidRPr="00A11012">
        <w:rPr>
          <w:i/>
          <w:iCs/>
        </w:rPr>
        <w:t xml:space="preserve"> Law and Practice</w:t>
      </w:r>
      <w:r>
        <w:t xml:space="preserve"> (1993) 63 to 67.</w:t>
      </w:r>
    </w:p>
  </w:footnote>
  <w:footnote w:id="3">
    <w:p w14:paraId="16AA09F1" w14:textId="77777777" w:rsidR="002C0D8B" w:rsidRDefault="002C0D8B" w:rsidP="002C0D8B">
      <w:pPr>
        <w:pStyle w:val="FootnoteText"/>
      </w:pPr>
      <w:r>
        <w:rPr>
          <w:rStyle w:val="FootnoteReference"/>
        </w:rPr>
        <w:footnoteRef/>
      </w:r>
      <w:r>
        <w:t xml:space="preserve"> </w:t>
      </w:r>
      <w:r>
        <w:tab/>
        <w:t>Clause 1.1(4).</w:t>
      </w:r>
    </w:p>
  </w:footnote>
  <w:footnote w:id="4">
    <w:p w14:paraId="144C3054" w14:textId="77777777" w:rsidR="002C0D8B" w:rsidRDefault="002C0D8B" w:rsidP="002C0D8B">
      <w:pPr>
        <w:pStyle w:val="FootnoteText"/>
      </w:pPr>
      <w:r>
        <w:rPr>
          <w:rStyle w:val="FootnoteReference"/>
        </w:rPr>
        <w:footnoteRef/>
      </w:r>
      <w:r>
        <w:t xml:space="preserve"> </w:t>
      </w:r>
      <w:r>
        <w:tab/>
        <w:t>Clause 1.1(24).</w:t>
      </w:r>
    </w:p>
  </w:footnote>
  <w:footnote w:id="5">
    <w:p w14:paraId="49E6CED2" w14:textId="77777777" w:rsidR="002C0D8B" w:rsidRDefault="002C0D8B" w:rsidP="002C0D8B">
      <w:pPr>
        <w:pStyle w:val="FootnoteText"/>
      </w:pPr>
      <w:r>
        <w:rPr>
          <w:rStyle w:val="FootnoteReference"/>
        </w:rPr>
        <w:footnoteRef/>
      </w:r>
      <w:r>
        <w:t xml:space="preserve"> </w:t>
      </w:r>
      <w:r>
        <w:tab/>
        <w:t>Clause 1.1(25).</w:t>
      </w:r>
    </w:p>
  </w:footnote>
  <w:footnote w:id="6">
    <w:p w14:paraId="369932FE" w14:textId="77777777" w:rsidR="002C0D8B" w:rsidRDefault="002C0D8B" w:rsidP="002C0D8B">
      <w:pPr>
        <w:pStyle w:val="FootnoteText"/>
      </w:pPr>
      <w:r>
        <w:rPr>
          <w:rStyle w:val="FootnoteReference"/>
        </w:rPr>
        <w:footnoteRef/>
      </w:r>
      <w:r>
        <w:t xml:space="preserve"> </w:t>
      </w:r>
      <w:r>
        <w:tab/>
        <w:t>Clause 1.1(12).</w:t>
      </w:r>
    </w:p>
  </w:footnote>
  <w:footnote w:id="7">
    <w:p w14:paraId="2E4618E9" w14:textId="77777777" w:rsidR="002C0D8B" w:rsidRDefault="002C0D8B" w:rsidP="002C0D8B">
      <w:pPr>
        <w:pStyle w:val="FootnoteText"/>
      </w:pPr>
      <w:r>
        <w:rPr>
          <w:rStyle w:val="FootnoteReference"/>
        </w:rPr>
        <w:footnoteRef/>
      </w:r>
      <w:r>
        <w:t xml:space="preserve"> </w:t>
      </w:r>
      <w:r>
        <w:tab/>
        <w:t>Clause 1.1(20).</w:t>
      </w:r>
    </w:p>
  </w:footnote>
  <w:footnote w:id="8">
    <w:p w14:paraId="0DA1E6E3" w14:textId="1A96E333" w:rsidR="00296ADE" w:rsidRDefault="00296ADE" w:rsidP="00296ADE">
      <w:pPr>
        <w:pStyle w:val="FootnoteText"/>
      </w:pPr>
      <w:r>
        <w:rPr>
          <w:rStyle w:val="FootnoteReference"/>
        </w:rPr>
        <w:footnoteRef/>
      </w:r>
      <w:r>
        <w:t xml:space="preserve"> </w:t>
      </w:r>
      <w:r>
        <w:tab/>
        <w:t>See</w:t>
      </w:r>
      <w:r w:rsidR="00467DDF">
        <w:t xml:space="preserve"> also</w:t>
      </w:r>
      <w:r>
        <w:t xml:space="preserve"> the agreement for the sale of land </w:t>
      </w:r>
      <w:r w:rsidR="009605D3">
        <w:t>between MEPF as purchaser and the three subsidiaries as the sellers entered into on 9 November 2011.</w:t>
      </w:r>
    </w:p>
  </w:footnote>
  <w:footnote w:id="9">
    <w:p w14:paraId="0BF139A6" w14:textId="77777777" w:rsidR="002C0D8B" w:rsidRDefault="002C0D8B" w:rsidP="002C0D8B">
      <w:pPr>
        <w:pStyle w:val="FootnoteText"/>
      </w:pPr>
      <w:r>
        <w:rPr>
          <w:rStyle w:val="FootnoteReference"/>
        </w:rPr>
        <w:footnoteRef/>
      </w:r>
      <w:r>
        <w:t xml:space="preserve"> </w:t>
      </w:r>
      <w:r>
        <w:tab/>
        <w:t>Clause 4.</w:t>
      </w:r>
    </w:p>
  </w:footnote>
  <w:footnote w:id="10">
    <w:p w14:paraId="052F4477" w14:textId="6AFAD067" w:rsidR="00296ADE" w:rsidRDefault="00296ADE">
      <w:pPr>
        <w:pStyle w:val="FootnoteText"/>
      </w:pPr>
      <w:r>
        <w:rPr>
          <w:rStyle w:val="FootnoteReference"/>
        </w:rPr>
        <w:footnoteRef/>
      </w:r>
      <w:r>
        <w:t xml:space="preserve"> </w:t>
      </w:r>
      <w:r>
        <w:tab/>
        <w:t>Clause 1.1(12).</w:t>
      </w:r>
    </w:p>
  </w:footnote>
  <w:footnote w:id="11">
    <w:p w14:paraId="403D5525" w14:textId="77777777" w:rsidR="002C0D8B" w:rsidRDefault="002C0D8B" w:rsidP="002C0D8B">
      <w:pPr>
        <w:pStyle w:val="FootnoteText"/>
      </w:pPr>
      <w:r>
        <w:rPr>
          <w:rStyle w:val="FootnoteReference"/>
        </w:rPr>
        <w:footnoteRef/>
      </w:r>
      <w:r>
        <w:t xml:space="preserve"> </w:t>
      </w:r>
      <w:r>
        <w:tab/>
        <w:t>Clause 7.</w:t>
      </w:r>
    </w:p>
  </w:footnote>
  <w:footnote w:id="12">
    <w:p w14:paraId="0BF83CFE" w14:textId="77777777" w:rsidR="002C0D8B" w:rsidRDefault="002C0D8B" w:rsidP="002C0D8B">
      <w:pPr>
        <w:pStyle w:val="FootnoteText"/>
      </w:pPr>
      <w:r>
        <w:rPr>
          <w:rStyle w:val="FootnoteReference"/>
        </w:rPr>
        <w:footnoteRef/>
      </w:r>
      <w:r>
        <w:t xml:space="preserve"> </w:t>
      </w:r>
      <w:r>
        <w:tab/>
        <w:t>Clause 20.8.</w:t>
      </w:r>
    </w:p>
  </w:footnote>
  <w:footnote w:id="13">
    <w:p w14:paraId="4D4899DD" w14:textId="77777777" w:rsidR="002C0D8B" w:rsidRDefault="002C0D8B" w:rsidP="002C0D8B">
      <w:pPr>
        <w:pStyle w:val="FootnoteText"/>
      </w:pPr>
      <w:r>
        <w:rPr>
          <w:rStyle w:val="FootnoteReference"/>
        </w:rPr>
        <w:footnoteRef/>
      </w:r>
      <w:r>
        <w:t xml:space="preserve"> </w:t>
      </w:r>
      <w:r>
        <w:tab/>
        <w:t>Akani Retirement Fund Administrators (Pty) Ltd (“Akani RFA”), Christodoulou Real Estate CC (“CRE”), and Mervin &amp; Malan Accounting and Secretarial Services (Pty) Ltd (“M&amp;M”).</w:t>
      </w:r>
    </w:p>
  </w:footnote>
  <w:footnote w:id="14">
    <w:p w14:paraId="0726E35B" w14:textId="14985E6B" w:rsidR="00FD747C" w:rsidRDefault="00FD747C" w:rsidP="00FD747C">
      <w:pPr>
        <w:pStyle w:val="FootnoteText"/>
      </w:pPr>
      <w:r>
        <w:rPr>
          <w:rStyle w:val="FootnoteReference"/>
        </w:rPr>
        <w:footnoteRef/>
      </w:r>
      <w:r>
        <w:t xml:space="preserve"> </w:t>
      </w:r>
      <w:r>
        <w:tab/>
        <w:t>Statement of case, prayers 1 to 3.</w:t>
      </w:r>
    </w:p>
  </w:footnote>
  <w:footnote w:id="15">
    <w:p w14:paraId="754398F6" w14:textId="77777777" w:rsidR="002C0D8B" w:rsidRDefault="002C0D8B" w:rsidP="002C0D8B">
      <w:pPr>
        <w:pStyle w:val="FootnoteText"/>
      </w:pPr>
      <w:r>
        <w:rPr>
          <w:rStyle w:val="FootnoteReference"/>
        </w:rPr>
        <w:footnoteRef/>
      </w:r>
      <w:r>
        <w:t xml:space="preserve"> </w:t>
      </w:r>
      <w:r>
        <w:tab/>
        <w:t>Gauteng Division Pretoria, case number 2016-98063. The co-ownership agreement is set out in paras 32 to 38A of the amended particulars of claim.</w:t>
      </w:r>
    </w:p>
  </w:footnote>
  <w:footnote w:id="16">
    <w:p w14:paraId="3D5001DD" w14:textId="4AF1871D" w:rsidR="002C0D8B" w:rsidRDefault="002C0D8B" w:rsidP="002C0D8B">
      <w:pPr>
        <w:pStyle w:val="FootnoteText"/>
      </w:pPr>
      <w:r>
        <w:rPr>
          <w:rStyle w:val="FootnoteReference"/>
        </w:rPr>
        <w:footnoteRef/>
      </w:r>
      <w:r>
        <w:t xml:space="preserve"> </w:t>
      </w:r>
      <w:r>
        <w:tab/>
        <w:t>Akani RFA and Akani Properties (Pty) Ltd.</w:t>
      </w:r>
    </w:p>
  </w:footnote>
  <w:footnote w:id="17">
    <w:p w14:paraId="15E0C3A0" w14:textId="7A7A9A7F" w:rsidR="00EF3239" w:rsidRPr="00EF3239" w:rsidRDefault="00EF3239">
      <w:pPr>
        <w:pStyle w:val="FootnoteText"/>
        <w:rPr>
          <w:lang w:val="en-GB"/>
        </w:rPr>
      </w:pPr>
      <w:r>
        <w:rPr>
          <w:rStyle w:val="FootnoteReference"/>
        </w:rPr>
        <w:footnoteRef/>
      </w:r>
      <w:r>
        <w:t xml:space="preserve"> </w:t>
      </w:r>
      <w:r>
        <w:rPr>
          <w:lang w:val="en-GB"/>
        </w:rPr>
        <w:tab/>
      </w:r>
      <w:r>
        <w:rPr>
          <w:rFonts w:cs="Arial"/>
          <w:bCs/>
          <w:szCs w:val="22"/>
          <w:lang w:val="en-GB"/>
        </w:rPr>
        <w:t>The action was instituted in 2016 and in the original particulars of claim relief was sought as against Adamax on the basis of an addendum to the property management agreement but the particulars were amended to also orders against Adamax in respect of other claims.</w:t>
      </w:r>
    </w:p>
  </w:footnote>
  <w:footnote w:id="18">
    <w:p w14:paraId="56637F83" w14:textId="4F7986CF" w:rsidR="003534C2" w:rsidRDefault="003534C2">
      <w:pPr>
        <w:pStyle w:val="FootnoteText"/>
      </w:pPr>
      <w:r>
        <w:rPr>
          <w:rStyle w:val="FootnoteReference"/>
        </w:rPr>
        <w:footnoteRef/>
      </w:r>
      <w:r>
        <w:t xml:space="preserve"> </w:t>
      </w:r>
      <w:r>
        <w:tab/>
        <w:t>Statement of defence, special prayer (a).</w:t>
      </w:r>
    </w:p>
  </w:footnote>
  <w:footnote w:id="19">
    <w:p w14:paraId="1A5802B2" w14:textId="7BD72932" w:rsidR="0069164D" w:rsidRPr="0069164D" w:rsidRDefault="0069164D">
      <w:pPr>
        <w:pStyle w:val="FootnoteText"/>
        <w:rPr>
          <w:i/>
          <w:iCs/>
          <w:lang w:val="en-GB"/>
        </w:rPr>
      </w:pPr>
      <w:r>
        <w:rPr>
          <w:rStyle w:val="FootnoteReference"/>
        </w:rPr>
        <w:footnoteRef/>
      </w:r>
      <w:r>
        <w:t xml:space="preserve"> </w:t>
      </w:r>
      <w:r>
        <w:rPr>
          <w:lang w:val="en-GB"/>
        </w:rPr>
        <w:tab/>
        <w:t xml:space="preserve">See Van Loggerenberg </w:t>
      </w:r>
      <w:r>
        <w:rPr>
          <w:i/>
          <w:iCs/>
          <w:lang w:val="en-GB"/>
        </w:rPr>
        <w:t>Erasmus Superior Court Practice</w:t>
      </w:r>
      <w:r w:rsidRPr="0069164D">
        <w:rPr>
          <w:lang w:val="en-GB"/>
        </w:rPr>
        <w:t xml:space="preserve"> </w:t>
      </w:r>
      <w:r w:rsidRPr="003C2D17">
        <w:t>RS 20, 2022, D1-84A</w:t>
      </w:r>
      <w:r>
        <w:t xml:space="preserve"> and particularly authorities in footnote 16.</w:t>
      </w:r>
    </w:p>
  </w:footnote>
  <w:footnote w:id="20">
    <w:p w14:paraId="1F354DA7" w14:textId="706B8F41" w:rsidR="00B82530" w:rsidRDefault="00B82530">
      <w:pPr>
        <w:pStyle w:val="FootnoteText"/>
      </w:pPr>
      <w:r>
        <w:rPr>
          <w:rStyle w:val="FootnoteReference"/>
        </w:rPr>
        <w:footnoteRef/>
      </w:r>
      <w:r>
        <w:t xml:space="preserve"> </w:t>
      </w:r>
      <w:r>
        <w:tab/>
      </w:r>
      <w:r w:rsidRPr="00BE3022">
        <w:rPr>
          <w:rFonts w:cs="Arial"/>
          <w:i/>
          <w:iCs/>
        </w:rPr>
        <w:t>Canton Trading 17 (Pty) Ltd t/a Cube Architects v Hattingh NO</w:t>
      </w:r>
      <w:r w:rsidRPr="00BE3022">
        <w:rPr>
          <w:rFonts w:cs="Arial"/>
        </w:rPr>
        <w:t xml:space="preserve"> 2022 (4) SA 420 (SCA)</w:t>
      </w:r>
      <w:r>
        <w:rPr>
          <w:rFonts w:cs="Arial"/>
        </w:rPr>
        <w:t xml:space="preserve"> paras </w:t>
      </w:r>
      <w:r>
        <w:t>30 to 36.</w:t>
      </w:r>
    </w:p>
  </w:footnote>
  <w:footnote w:id="21">
    <w:p w14:paraId="24732E4B" w14:textId="109BAA4B" w:rsidR="00167ACE" w:rsidRDefault="00167ACE">
      <w:pPr>
        <w:pStyle w:val="FootnoteText"/>
      </w:pPr>
      <w:r>
        <w:rPr>
          <w:rStyle w:val="FootnoteReference"/>
        </w:rPr>
        <w:footnoteRef/>
      </w:r>
      <w:r>
        <w:t xml:space="preserve"> </w:t>
      </w:r>
      <w:r>
        <w:tab/>
        <w:t>Award para 14.</w:t>
      </w:r>
    </w:p>
  </w:footnote>
  <w:footnote w:id="22">
    <w:p w14:paraId="37E958BC" w14:textId="5F9D5440" w:rsidR="00AF4728" w:rsidRDefault="00AF4728" w:rsidP="00AF4728">
      <w:pPr>
        <w:pStyle w:val="FootnoteText"/>
      </w:pPr>
      <w:r>
        <w:rPr>
          <w:rStyle w:val="FootnoteReference"/>
        </w:rPr>
        <w:footnoteRef/>
      </w:r>
      <w:r>
        <w:t xml:space="preserve"> </w:t>
      </w:r>
      <w:r>
        <w:tab/>
      </w:r>
      <w:r w:rsidRPr="00AB404E">
        <w:rPr>
          <w:i/>
          <w:iCs/>
        </w:rPr>
        <w:t>Nemo iudex in sua causa, audi alteram partem</w:t>
      </w:r>
      <w:r>
        <w:t xml:space="preserve">, and the rule that justice must be seen to be done. See Butler </w:t>
      </w:r>
      <w:r w:rsidR="00C63494">
        <w:t>and</w:t>
      </w:r>
      <w:r>
        <w:t xml:space="preserve"> Finsen </w:t>
      </w:r>
      <w:r w:rsidRPr="00025815">
        <w:rPr>
          <w:i/>
          <w:iCs/>
        </w:rPr>
        <w:t>Arbitration in South Africa – Law and Practice</w:t>
      </w:r>
      <w:r>
        <w:t xml:space="preserve"> </w:t>
      </w:r>
      <w:r w:rsidR="00263439">
        <w:t xml:space="preserve">(1993) </w:t>
      </w:r>
      <w:r>
        <w:t>265.</w:t>
      </w:r>
    </w:p>
  </w:footnote>
  <w:footnote w:id="23">
    <w:p w14:paraId="0DFDF73F" w14:textId="103672F2" w:rsidR="00AF4728" w:rsidRDefault="00AF4728" w:rsidP="00AF4728">
      <w:pPr>
        <w:pStyle w:val="FootnoteText"/>
      </w:pPr>
      <w:r>
        <w:rPr>
          <w:rStyle w:val="FootnoteReference"/>
        </w:rPr>
        <w:footnoteRef/>
      </w:r>
      <w:r>
        <w:t xml:space="preserve"> </w:t>
      </w:r>
      <w:r>
        <w:tab/>
        <w:t xml:space="preserve">Section 33(1)(a) of the Act provides for the setting aside of an award on the basis of misconduct. Dishonesty and moral turpitude are relevant considerations. See </w:t>
      </w:r>
      <w:r w:rsidRPr="00932559">
        <w:rPr>
          <w:rFonts w:cs="Arial"/>
          <w:i/>
          <w:iCs/>
        </w:rPr>
        <w:t>Bester v Easigas (Pty) Ltd and Another</w:t>
      </w:r>
      <w:r w:rsidRPr="00932559">
        <w:rPr>
          <w:rFonts w:cs="Arial"/>
        </w:rPr>
        <w:t xml:space="preserve"> 1993 (1) SA 30 (C)</w:t>
      </w:r>
      <w:r w:rsidR="00E21C96">
        <w:rPr>
          <w:rFonts w:cs="Arial"/>
        </w:rPr>
        <w:t>.</w:t>
      </w:r>
    </w:p>
  </w:footnote>
  <w:footnote w:id="24">
    <w:p w14:paraId="6302E248" w14:textId="62FA2390" w:rsidR="00AF4728" w:rsidRDefault="00AF4728" w:rsidP="00AF4728">
      <w:pPr>
        <w:pStyle w:val="FootnoteText"/>
      </w:pPr>
      <w:r>
        <w:rPr>
          <w:rStyle w:val="FootnoteReference"/>
        </w:rPr>
        <w:footnoteRef/>
      </w:r>
      <w:r>
        <w:t xml:space="preserve"> </w:t>
      </w:r>
      <w:r>
        <w:tab/>
      </w:r>
      <w:r w:rsidRPr="005E1E21">
        <w:rPr>
          <w:i/>
          <w:iCs/>
        </w:rPr>
        <w:t>Goldfields Investments Ltd v City Council of Johannesburg and Another</w:t>
      </w:r>
      <w:r w:rsidRPr="005E1E21">
        <w:t xml:space="preserve"> 1938 TPD. 551</w:t>
      </w:r>
      <w:r>
        <w:t xml:space="preserve"> at 560, referring to </w:t>
      </w:r>
      <w:r w:rsidRPr="003A62CC">
        <w:rPr>
          <w:i/>
          <w:iCs/>
        </w:rPr>
        <w:t>Ellis v Morgan</w:t>
      </w:r>
      <w:r>
        <w:rPr>
          <w:i/>
          <w:iCs/>
        </w:rPr>
        <w:t>; Ellis v Dessai</w:t>
      </w:r>
      <w:r w:rsidRPr="00631977">
        <w:t xml:space="preserve"> 1909 TS 576 at 581</w:t>
      </w:r>
      <w:r>
        <w:t>.</w:t>
      </w:r>
      <w:r w:rsidR="00A11012">
        <w:t xml:space="preserve"> See also </w:t>
      </w:r>
      <w:r w:rsidR="00A11012" w:rsidRPr="006B7A6B">
        <w:rPr>
          <w:i/>
          <w:iCs/>
        </w:rPr>
        <w:t>Telcordia Technologies Inc v Telkom SA Ltd</w:t>
      </w:r>
      <w:r w:rsidR="00A11012">
        <w:t xml:space="preserve"> </w:t>
      </w:r>
      <w:r w:rsidR="00A11012" w:rsidRPr="006B7A6B">
        <w:t>2007 (3) SA 266 (SCA)</w:t>
      </w:r>
      <w:r w:rsidR="00A11012">
        <w:t>.</w:t>
      </w:r>
    </w:p>
  </w:footnote>
  <w:footnote w:id="25">
    <w:p w14:paraId="58932B05" w14:textId="66D2354D" w:rsidR="00CE4596" w:rsidRDefault="00CE4596">
      <w:pPr>
        <w:pStyle w:val="FootnoteText"/>
      </w:pPr>
      <w:r>
        <w:rPr>
          <w:rStyle w:val="FootnoteReference"/>
        </w:rPr>
        <w:footnoteRef/>
      </w:r>
      <w:r>
        <w:t xml:space="preserve"> </w:t>
      </w:r>
      <w:r>
        <w:tab/>
        <w:t xml:space="preserve">See </w:t>
      </w:r>
      <w:r w:rsidRPr="0016392E">
        <w:rPr>
          <w:i/>
          <w:iCs/>
        </w:rPr>
        <w:t>Zermalt Holdings SA v Nu-Life Upholstery Repairs Ltd</w:t>
      </w:r>
      <w:r w:rsidRPr="0016392E">
        <w:t> [1985] 2 EGLR 14 (QBD)</w:t>
      </w:r>
      <w:r>
        <w:t>, quoted in</w:t>
      </w:r>
      <w:r w:rsidRPr="00CE4596">
        <w:rPr>
          <w:i/>
          <w:iCs/>
        </w:rPr>
        <w:t xml:space="preserve"> </w:t>
      </w:r>
      <w:r w:rsidRPr="0016392E">
        <w:rPr>
          <w:i/>
          <w:iCs/>
        </w:rPr>
        <w:t xml:space="preserve">SA Breweries Ltd v Shoprite Holdings Ltd </w:t>
      </w:r>
      <w:r w:rsidRPr="0016392E">
        <w:t>2008 (1) SA 203 (SCA)</w:t>
      </w:r>
      <w:r>
        <w:t xml:space="preserve"> para 22.</w:t>
      </w:r>
    </w:p>
  </w:footnote>
  <w:footnote w:id="26">
    <w:p w14:paraId="00AFDF6B" w14:textId="498EA02F" w:rsidR="00AF4728" w:rsidRPr="00E72629" w:rsidRDefault="00AF4728" w:rsidP="00AF4728">
      <w:pPr>
        <w:pStyle w:val="FootnoteText"/>
      </w:pPr>
      <w:r>
        <w:rPr>
          <w:rStyle w:val="FootnoteReference"/>
        </w:rPr>
        <w:footnoteRef/>
      </w:r>
      <w:r>
        <w:t xml:space="preserve"> </w:t>
      </w:r>
      <w:r>
        <w:tab/>
        <w:t>See</w:t>
      </w:r>
      <w:r w:rsidR="00A11012">
        <w:t xml:space="preserve"> </w:t>
      </w:r>
      <w:r w:rsidR="00A11012" w:rsidRPr="009A3ABB">
        <w:rPr>
          <w:rFonts w:cs="Arial"/>
          <w:i/>
          <w:iCs/>
        </w:rPr>
        <w:t>Lufuno Mphaphuli &amp; Associates (Pty) Ltd v Andrews and Another</w:t>
      </w:r>
      <w:r w:rsidR="00A11012" w:rsidRPr="009A3ABB">
        <w:rPr>
          <w:rFonts w:cs="Arial"/>
        </w:rPr>
        <w:t xml:space="preserve"> 2009 (4) SA 529 (CC) para 236. See also </w:t>
      </w:r>
      <w:r w:rsidR="00A11012" w:rsidRPr="009A3ABB">
        <w:rPr>
          <w:rFonts w:cs="Arial"/>
          <w:i/>
          <w:iCs/>
        </w:rPr>
        <w:t>Palabora Copper (Pty) Ltd v Motlokwa Transport &amp; Construction (Pty) Ltd</w:t>
      </w:r>
      <w:r w:rsidR="00A11012" w:rsidRPr="009A3ABB">
        <w:rPr>
          <w:rFonts w:cs="Arial"/>
        </w:rPr>
        <w:t xml:space="preserve"> 2018 (5) SA 462 (SCA) para 8 and </w:t>
      </w:r>
      <w:r w:rsidR="00A11012" w:rsidRPr="009A3ABB">
        <w:rPr>
          <w:rFonts w:cs="Arial"/>
          <w:i/>
          <w:iCs/>
        </w:rPr>
        <w:t>Umgeni Water v Hollis NO and Another</w:t>
      </w:r>
      <w:r w:rsidR="00A11012" w:rsidRPr="009A3ABB">
        <w:rPr>
          <w:rFonts w:cs="Arial"/>
        </w:rPr>
        <w:t xml:space="preserve"> 2012 (3) SA 475 (KZD) para 42</w:t>
      </w:r>
      <w:r w:rsidR="00A11012">
        <w:rPr>
          <w:rFonts w:cs="Arial"/>
        </w:rPr>
        <w:t>.</w:t>
      </w:r>
    </w:p>
  </w:footnote>
  <w:footnote w:id="27">
    <w:p w14:paraId="761AB7A0" w14:textId="6CEF9EEF" w:rsidR="00AF4728" w:rsidRDefault="00AF4728" w:rsidP="00AF4728">
      <w:pPr>
        <w:pStyle w:val="FootnoteText"/>
      </w:pPr>
      <w:r>
        <w:rPr>
          <w:rStyle w:val="FootnoteReference"/>
        </w:rPr>
        <w:footnoteRef/>
      </w:r>
      <w:r>
        <w:t xml:space="preserve"> </w:t>
      </w:r>
      <w:r>
        <w:tab/>
        <w:t xml:space="preserve">Butler </w:t>
      </w:r>
      <w:r w:rsidR="00A11012">
        <w:t xml:space="preserve">and Finsen </w:t>
      </w:r>
      <w:r w:rsidR="00A11012" w:rsidRPr="00A11012">
        <w:rPr>
          <w:i/>
          <w:iCs/>
        </w:rPr>
        <w:t>Arbitration in South Africa</w:t>
      </w:r>
      <w:r w:rsidR="00A11012">
        <w:rPr>
          <w:i/>
          <w:iCs/>
        </w:rPr>
        <w:t xml:space="preserve"> -</w:t>
      </w:r>
      <w:r w:rsidR="00A11012" w:rsidRPr="00A11012">
        <w:rPr>
          <w:i/>
          <w:iCs/>
        </w:rPr>
        <w:t xml:space="preserve"> Law and Practice</w:t>
      </w:r>
      <w:r w:rsidR="00A11012">
        <w:t xml:space="preserve"> (1993) </w:t>
      </w:r>
      <w:r>
        <w:t>294.</w:t>
      </w:r>
    </w:p>
  </w:footnote>
  <w:footnote w:id="28">
    <w:p w14:paraId="7A037853" w14:textId="191E6BDE" w:rsidR="00AF4728" w:rsidRPr="00932559" w:rsidRDefault="00AF4728" w:rsidP="00AF4728">
      <w:pPr>
        <w:pStyle w:val="FootnoteText"/>
        <w:rPr>
          <w:rFonts w:cs="Arial"/>
        </w:rPr>
      </w:pPr>
      <w:r>
        <w:rPr>
          <w:rStyle w:val="FootnoteReference"/>
        </w:rPr>
        <w:footnoteRef/>
      </w:r>
      <w:r>
        <w:t xml:space="preserve"> </w:t>
      </w:r>
      <w:r>
        <w:tab/>
      </w:r>
      <w:r w:rsidRPr="00932559">
        <w:rPr>
          <w:rFonts w:cs="Arial"/>
          <w:i/>
          <w:iCs/>
        </w:rPr>
        <w:t>Bester v Easigas (Pty) Ltd and Another</w:t>
      </w:r>
      <w:r w:rsidRPr="00932559">
        <w:rPr>
          <w:rFonts w:cs="Arial"/>
        </w:rPr>
        <w:t xml:space="preserve"> 1993 (1) SA 30 (C) 42E to 43. See also</w:t>
      </w:r>
      <w:r>
        <w:rPr>
          <w:rFonts w:cs="Arial"/>
        </w:rPr>
        <w:t xml:space="preserve"> </w:t>
      </w:r>
      <w:r>
        <w:t xml:space="preserve">Brand </w:t>
      </w:r>
      <w:r w:rsidRPr="00E72629">
        <w:rPr>
          <w:i/>
          <w:iCs/>
        </w:rPr>
        <w:t xml:space="preserve">Judicial Review of Arbitration Awards </w:t>
      </w:r>
      <w:r>
        <w:t>Stell LR 2014 2 p 247</w:t>
      </w:r>
      <w:r>
        <w:rPr>
          <w:rFonts w:cs="Arial"/>
        </w:rPr>
        <w:t xml:space="preserve"> and </w:t>
      </w:r>
      <w:r w:rsidRPr="00B35A09">
        <w:rPr>
          <w:i/>
          <w:iCs/>
        </w:rPr>
        <w:t>Anshell v Horwitz and Another</w:t>
      </w:r>
      <w:r>
        <w:t xml:space="preserve"> </w:t>
      </w:r>
      <w:r w:rsidRPr="00B35A09">
        <w:t>1916 WLD 65</w:t>
      </w:r>
      <w:r>
        <w:t xml:space="preserve"> at 67</w:t>
      </w:r>
      <w:r w:rsidR="00D56DCF">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68A9B" w14:textId="2A586E25" w:rsidR="00893C08" w:rsidRPr="006C43D7" w:rsidRDefault="00893C08"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242C2E">
      <w:rPr>
        <w:rFonts w:cs="Arial"/>
        <w:noProof/>
        <w:sz w:val="20"/>
        <w:szCs w:val="20"/>
        <w:lang w:val="en-GB"/>
      </w:rPr>
      <w:t>12</w:t>
    </w:r>
    <w:r w:rsidRPr="006C43D7">
      <w:rPr>
        <w:rFonts w:cs="Arial"/>
        <w:sz w:val="20"/>
        <w:szCs w:val="20"/>
        <w:lang w:val="en-GB"/>
      </w:rPr>
      <w:fldChar w:fldCharType="end"/>
    </w:r>
  </w:p>
  <w:p w14:paraId="08C008E5" w14:textId="77777777" w:rsidR="00893C08" w:rsidRPr="006C43D7" w:rsidRDefault="00893C08" w:rsidP="006C43D7">
    <w:pPr>
      <w:tabs>
        <w:tab w:val="center" w:pos="4153"/>
        <w:tab w:val="right" w:pos="8306"/>
      </w:tabs>
      <w:spacing w:line="276" w:lineRule="auto"/>
      <w:jc w:val="right"/>
      <w:rPr>
        <w:rFonts w:cs="Arial"/>
        <w:lang w:val="en-US"/>
      </w:rPr>
    </w:pPr>
  </w:p>
  <w:p w14:paraId="4A21EF97" w14:textId="77777777" w:rsidR="00893C08" w:rsidRPr="006C43D7" w:rsidRDefault="00893C08" w:rsidP="006C43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A0D50CD"/>
    <w:multiLevelType w:val="hybridMultilevel"/>
    <w:tmpl w:val="9DC047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395632B"/>
    <w:multiLevelType w:val="multilevel"/>
    <w:tmpl w:val="18D4C7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4576F93"/>
    <w:multiLevelType w:val="hybridMultilevel"/>
    <w:tmpl w:val="64068F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5DE0EE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DD7D02"/>
    <w:multiLevelType w:val="multilevel"/>
    <w:tmpl w:val="DF0C55CC"/>
    <w:lvl w:ilvl="0">
      <w:start w:val="1"/>
      <w:numFmt w:val="decimal"/>
      <w:pStyle w:val="AFU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7" w15:restartNumberingAfterBreak="0">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126397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11" w15:restartNumberingAfterBreak="0">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12" w15:restartNumberingAfterBreak="0">
    <w:nsid w:val="43317FD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9C0D19"/>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950EA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15:restartNumberingAfterBreak="0">
    <w:nsid w:val="77EE27A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
  </w:num>
  <w:num w:numId="3">
    <w:abstractNumId w:val="17"/>
  </w:num>
  <w:num w:numId="4">
    <w:abstractNumId w:val="9"/>
  </w:num>
  <w:num w:numId="5">
    <w:abstractNumId w:val="16"/>
  </w:num>
  <w:num w:numId="6">
    <w:abstractNumId w:val="14"/>
  </w:num>
  <w:num w:numId="7">
    <w:abstractNumId w:val="0"/>
  </w:num>
  <w:num w:numId="8">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num>
  <w:num w:numId="11">
    <w:abstractNumId w:val="18"/>
  </w:num>
  <w:num w:numId="12">
    <w:abstractNumId w:val="6"/>
    <w:lvlOverride w:ilvl="0">
      <w:lvl w:ilvl="0">
        <w:start w:val="1"/>
        <w:numFmt w:val="decimal"/>
        <w:pStyle w:val="AFUaffidavitnumbering"/>
        <w:lvlText w:val="%1"/>
        <w:lvlJc w:val="left"/>
        <w:pPr>
          <w:tabs>
            <w:tab w:val="num" w:pos="567"/>
          </w:tabs>
          <w:ind w:left="567" w:hanging="567"/>
        </w:pPr>
        <w:rPr>
          <w:rFonts w:hint="default"/>
        </w:rPr>
      </w:lvl>
    </w:lvlOverride>
    <w:lvlOverride w:ilvl="1">
      <w:lvl w:ilvl="1">
        <w:start w:val="1"/>
        <w:numFmt w:val="decimal"/>
        <w:lvlText w:val="%1.%2"/>
        <w:lvlJc w:val="left"/>
        <w:pPr>
          <w:tabs>
            <w:tab w:val="num" w:pos="1418"/>
          </w:tabs>
          <w:ind w:left="1418" w:hanging="851"/>
        </w:pPr>
        <w:rPr>
          <w:rFonts w:hint="default"/>
        </w:rPr>
      </w:lvl>
    </w:lvlOverride>
    <w:lvlOverride w:ilvl="2">
      <w:lvl w:ilvl="2">
        <w:start w:val="1"/>
        <w:numFmt w:val="decimal"/>
        <w:lvlText w:val="%1.%2.%3"/>
        <w:lvlJc w:val="left"/>
        <w:pPr>
          <w:tabs>
            <w:tab w:val="num" w:pos="2268"/>
          </w:tabs>
          <w:ind w:left="2268" w:hanging="850"/>
        </w:pPr>
        <w:rPr>
          <w:rFonts w:hint="default"/>
          <w:b w:val="0"/>
        </w:rPr>
      </w:lvl>
    </w:lvlOverride>
    <w:lvlOverride w:ilvl="3">
      <w:lvl w:ilvl="3">
        <w:start w:val="1"/>
        <w:numFmt w:val="decimal"/>
        <w:lvlText w:val="%1.%2.%3.%4"/>
        <w:lvlJc w:val="left"/>
        <w:pPr>
          <w:tabs>
            <w:tab w:val="num" w:pos="141"/>
          </w:tabs>
          <w:ind w:left="2409" w:hanging="567"/>
        </w:pPr>
        <w:rPr>
          <w:rFonts w:hint="default"/>
          <w:b w:val="0"/>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13">
    <w:abstractNumId w:val="15"/>
  </w:num>
  <w:num w:numId="14">
    <w:abstractNumId w:val="13"/>
  </w:num>
  <w:num w:numId="15">
    <w:abstractNumId w:val="5"/>
  </w:num>
  <w:num w:numId="16">
    <w:abstractNumId w:val="8"/>
  </w:num>
  <w:num w:numId="17">
    <w:abstractNumId w:val="4"/>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F3"/>
    <w:rsid w:val="000004A3"/>
    <w:rsid w:val="00000AFE"/>
    <w:rsid w:val="00001138"/>
    <w:rsid w:val="000019D2"/>
    <w:rsid w:val="00004845"/>
    <w:rsid w:val="00005CDD"/>
    <w:rsid w:val="00006113"/>
    <w:rsid w:val="0001111B"/>
    <w:rsid w:val="0001140A"/>
    <w:rsid w:val="00011522"/>
    <w:rsid w:val="00013B7F"/>
    <w:rsid w:val="00013F00"/>
    <w:rsid w:val="0001593E"/>
    <w:rsid w:val="00015D74"/>
    <w:rsid w:val="00022ACD"/>
    <w:rsid w:val="00024A29"/>
    <w:rsid w:val="00025815"/>
    <w:rsid w:val="000262B3"/>
    <w:rsid w:val="000264AE"/>
    <w:rsid w:val="00026D9A"/>
    <w:rsid w:val="00027D19"/>
    <w:rsid w:val="00030A89"/>
    <w:rsid w:val="000319AA"/>
    <w:rsid w:val="000325E2"/>
    <w:rsid w:val="00033A4C"/>
    <w:rsid w:val="00036508"/>
    <w:rsid w:val="00040CD3"/>
    <w:rsid w:val="000426C0"/>
    <w:rsid w:val="00042D0E"/>
    <w:rsid w:val="0004506F"/>
    <w:rsid w:val="0004508D"/>
    <w:rsid w:val="00047128"/>
    <w:rsid w:val="00047F26"/>
    <w:rsid w:val="00050086"/>
    <w:rsid w:val="000504F1"/>
    <w:rsid w:val="00051A2B"/>
    <w:rsid w:val="0005282E"/>
    <w:rsid w:val="000528B3"/>
    <w:rsid w:val="000550EB"/>
    <w:rsid w:val="000554B8"/>
    <w:rsid w:val="0005636C"/>
    <w:rsid w:val="00060AF8"/>
    <w:rsid w:val="00063F7B"/>
    <w:rsid w:val="00066971"/>
    <w:rsid w:val="00072105"/>
    <w:rsid w:val="000737E1"/>
    <w:rsid w:val="00073E30"/>
    <w:rsid w:val="00077D11"/>
    <w:rsid w:val="00081716"/>
    <w:rsid w:val="00082EDC"/>
    <w:rsid w:val="000833BB"/>
    <w:rsid w:val="000835BE"/>
    <w:rsid w:val="00085288"/>
    <w:rsid w:val="00087AE6"/>
    <w:rsid w:val="00087AEF"/>
    <w:rsid w:val="000906B5"/>
    <w:rsid w:val="00090FFC"/>
    <w:rsid w:val="00092591"/>
    <w:rsid w:val="0009429D"/>
    <w:rsid w:val="0009488C"/>
    <w:rsid w:val="0009540B"/>
    <w:rsid w:val="000956E5"/>
    <w:rsid w:val="00096A67"/>
    <w:rsid w:val="000976D2"/>
    <w:rsid w:val="00097968"/>
    <w:rsid w:val="000A0AFF"/>
    <w:rsid w:val="000A1E0D"/>
    <w:rsid w:val="000A6AD8"/>
    <w:rsid w:val="000B0A70"/>
    <w:rsid w:val="000B21DA"/>
    <w:rsid w:val="000B39D7"/>
    <w:rsid w:val="000B709B"/>
    <w:rsid w:val="000C7A3D"/>
    <w:rsid w:val="000D01E0"/>
    <w:rsid w:val="000D21E7"/>
    <w:rsid w:val="000D2265"/>
    <w:rsid w:val="000D415C"/>
    <w:rsid w:val="000D4E84"/>
    <w:rsid w:val="000D53F5"/>
    <w:rsid w:val="000D5760"/>
    <w:rsid w:val="000D71C5"/>
    <w:rsid w:val="000D7D6A"/>
    <w:rsid w:val="000E1EC8"/>
    <w:rsid w:val="000E3EE8"/>
    <w:rsid w:val="000E4985"/>
    <w:rsid w:val="000E5343"/>
    <w:rsid w:val="000F00EF"/>
    <w:rsid w:val="000F430D"/>
    <w:rsid w:val="000F59F8"/>
    <w:rsid w:val="000F7813"/>
    <w:rsid w:val="00101890"/>
    <w:rsid w:val="001025B5"/>
    <w:rsid w:val="00102FB4"/>
    <w:rsid w:val="00104142"/>
    <w:rsid w:val="00105F4B"/>
    <w:rsid w:val="00105F97"/>
    <w:rsid w:val="00107D26"/>
    <w:rsid w:val="00107D90"/>
    <w:rsid w:val="001114D8"/>
    <w:rsid w:val="001142D1"/>
    <w:rsid w:val="00120C79"/>
    <w:rsid w:val="00120FB1"/>
    <w:rsid w:val="00126FD4"/>
    <w:rsid w:val="00130253"/>
    <w:rsid w:val="00130C4A"/>
    <w:rsid w:val="00130EA6"/>
    <w:rsid w:val="00133168"/>
    <w:rsid w:val="00133E81"/>
    <w:rsid w:val="001342B3"/>
    <w:rsid w:val="00140CED"/>
    <w:rsid w:val="00141AD1"/>
    <w:rsid w:val="0014628D"/>
    <w:rsid w:val="00147FF5"/>
    <w:rsid w:val="00151DA9"/>
    <w:rsid w:val="00152899"/>
    <w:rsid w:val="00154961"/>
    <w:rsid w:val="00155A21"/>
    <w:rsid w:val="00161057"/>
    <w:rsid w:val="0016589D"/>
    <w:rsid w:val="001671C1"/>
    <w:rsid w:val="00167ACE"/>
    <w:rsid w:val="00171182"/>
    <w:rsid w:val="0017124B"/>
    <w:rsid w:val="00171D7F"/>
    <w:rsid w:val="00172763"/>
    <w:rsid w:val="00172DDF"/>
    <w:rsid w:val="00175DDD"/>
    <w:rsid w:val="001770DD"/>
    <w:rsid w:val="001802F8"/>
    <w:rsid w:val="00180CB6"/>
    <w:rsid w:val="001838CC"/>
    <w:rsid w:val="00183EB6"/>
    <w:rsid w:val="00185ACF"/>
    <w:rsid w:val="00190579"/>
    <w:rsid w:val="00190F4E"/>
    <w:rsid w:val="001916C4"/>
    <w:rsid w:val="0019236B"/>
    <w:rsid w:val="001923E3"/>
    <w:rsid w:val="00192613"/>
    <w:rsid w:val="00192F78"/>
    <w:rsid w:val="00193DDD"/>
    <w:rsid w:val="00195810"/>
    <w:rsid w:val="001966E8"/>
    <w:rsid w:val="00196E14"/>
    <w:rsid w:val="001A2608"/>
    <w:rsid w:val="001A5145"/>
    <w:rsid w:val="001A522A"/>
    <w:rsid w:val="001A5845"/>
    <w:rsid w:val="001A70B4"/>
    <w:rsid w:val="001A7904"/>
    <w:rsid w:val="001B1550"/>
    <w:rsid w:val="001B1D39"/>
    <w:rsid w:val="001B35C2"/>
    <w:rsid w:val="001B4217"/>
    <w:rsid w:val="001B4812"/>
    <w:rsid w:val="001B4893"/>
    <w:rsid w:val="001B5D3E"/>
    <w:rsid w:val="001B5E58"/>
    <w:rsid w:val="001B606B"/>
    <w:rsid w:val="001B7889"/>
    <w:rsid w:val="001C0755"/>
    <w:rsid w:val="001C2371"/>
    <w:rsid w:val="001C33E6"/>
    <w:rsid w:val="001C608F"/>
    <w:rsid w:val="001C7048"/>
    <w:rsid w:val="001D1569"/>
    <w:rsid w:val="001D1BD7"/>
    <w:rsid w:val="001D39E5"/>
    <w:rsid w:val="001D3CC2"/>
    <w:rsid w:val="001E0529"/>
    <w:rsid w:val="001E2EED"/>
    <w:rsid w:val="001E44D1"/>
    <w:rsid w:val="001E4691"/>
    <w:rsid w:val="001E518E"/>
    <w:rsid w:val="001F09D1"/>
    <w:rsid w:val="001F0A29"/>
    <w:rsid w:val="001F0CE5"/>
    <w:rsid w:val="001F361F"/>
    <w:rsid w:val="001F3DBD"/>
    <w:rsid w:val="001F648A"/>
    <w:rsid w:val="001F6F43"/>
    <w:rsid w:val="001F769D"/>
    <w:rsid w:val="00200B96"/>
    <w:rsid w:val="00201620"/>
    <w:rsid w:val="00203DA2"/>
    <w:rsid w:val="0020474A"/>
    <w:rsid w:val="00205392"/>
    <w:rsid w:val="00205E72"/>
    <w:rsid w:val="00206919"/>
    <w:rsid w:val="002104BF"/>
    <w:rsid w:val="002108B6"/>
    <w:rsid w:val="00211F49"/>
    <w:rsid w:val="00212D65"/>
    <w:rsid w:val="00213738"/>
    <w:rsid w:val="00214877"/>
    <w:rsid w:val="00215824"/>
    <w:rsid w:val="00216B8B"/>
    <w:rsid w:val="00216BC8"/>
    <w:rsid w:val="002175BA"/>
    <w:rsid w:val="002200DC"/>
    <w:rsid w:val="0022218D"/>
    <w:rsid w:val="00226926"/>
    <w:rsid w:val="00227580"/>
    <w:rsid w:val="00227C24"/>
    <w:rsid w:val="002302E3"/>
    <w:rsid w:val="00232528"/>
    <w:rsid w:val="0023405C"/>
    <w:rsid w:val="00235D20"/>
    <w:rsid w:val="00236E47"/>
    <w:rsid w:val="00237806"/>
    <w:rsid w:val="00237FF9"/>
    <w:rsid w:val="0024012B"/>
    <w:rsid w:val="00242C2E"/>
    <w:rsid w:val="00243D2F"/>
    <w:rsid w:val="00244FB9"/>
    <w:rsid w:val="0024705A"/>
    <w:rsid w:val="00250164"/>
    <w:rsid w:val="00251668"/>
    <w:rsid w:val="002535F0"/>
    <w:rsid w:val="00253F38"/>
    <w:rsid w:val="00253F72"/>
    <w:rsid w:val="00260B0A"/>
    <w:rsid w:val="002625C5"/>
    <w:rsid w:val="00262819"/>
    <w:rsid w:val="00263439"/>
    <w:rsid w:val="00263A96"/>
    <w:rsid w:val="00270557"/>
    <w:rsid w:val="002709AE"/>
    <w:rsid w:val="00272B77"/>
    <w:rsid w:val="0027600C"/>
    <w:rsid w:val="00277491"/>
    <w:rsid w:val="00285040"/>
    <w:rsid w:val="00285062"/>
    <w:rsid w:val="0029196F"/>
    <w:rsid w:val="00292E3E"/>
    <w:rsid w:val="0029369B"/>
    <w:rsid w:val="00293A24"/>
    <w:rsid w:val="00293C02"/>
    <w:rsid w:val="0029605B"/>
    <w:rsid w:val="00296ADE"/>
    <w:rsid w:val="00296DAF"/>
    <w:rsid w:val="002976B8"/>
    <w:rsid w:val="002A030C"/>
    <w:rsid w:val="002A4B7B"/>
    <w:rsid w:val="002B0355"/>
    <w:rsid w:val="002B05EA"/>
    <w:rsid w:val="002B12D6"/>
    <w:rsid w:val="002B528D"/>
    <w:rsid w:val="002B6270"/>
    <w:rsid w:val="002C0D8B"/>
    <w:rsid w:val="002C15AC"/>
    <w:rsid w:val="002C2E80"/>
    <w:rsid w:val="002C4687"/>
    <w:rsid w:val="002C48E7"/>
    <w:rsid w:val="002D1344"/>
    <w:rsid w:val="002D2842"/>
    <w:rsid w:val="002D47B3"/>
    <w:rsid w:val="002E0E37"/>
    <w:rsid w:val="002E3586"/>
    <w:rsid w:val="002E5B57"/>
    <w:rsid w:val="002E612C"/>
    <w:rsid w:val="002E6CD7"/>
    <w:rsid w:val="002F1C4D"/>
    <w:rsid w:val="002F2881"/>
    <w:rsid w:val="002F41F8"/>
    <w:rsid w:val="002F4A5D"/>
    <w:rsid w:val="002F508A"/>
    <w:rsid w:val="002F6309"/>
    <w:rsid w:val="002F72D3"/>
    <w:rsid w:val="00302290"/>
    <w:rsid w:val="003023F9"/>
    <w:rsid w:val="00302C31"/>
    <w:rsid w:val="003031A1"/>
    <w:rsid w:val="00303919"/>
    <w:rsid w:val="003047C2"/>
    <w:rsid w:val="0030653F"/>
    <w:rsid w:val="00306B41"/>
    <w:rsid w:val="003102C8"/>
    <w:rsid w:val="0031117B"/>
    <w:rsid w:val="00312EBC"/>
    <w:rsid w:val="00313056"/>
    <w:rsid w:val="003138C5"/>
    <w:rsid w:val="00321DF8"/>
    <w:rsid w:val="00323058"/>
    <w:rsid w:val="00324EDF"/>
    <w:rsid w:val="003312BF"/>
    <w:rsid w:val="003313A2"/>
    <w:rsid w:val="00337135"/>
    <w:rsid w:val="0034147B"/>
    <w:rsid w:val="00342E02"/>
    <w:rsid w:val="003448B1"/>
    <w:rsid w:val="003463D6"/>
    <w:rsid w:val="00346D31"/>
    <w:rsid w:val="00346DE6"/>
    <w:rsid w:val="00347E19"/>
    <w:rsid w:val="0035170A"/>
    <w:rsid w:val="003534C2"/>
    <w:rsid w:val="003541F6"/>
    <w:rsid w:val="00354395"/>
    <w:rsid w:val="003543C5"/>
    <w:rsid w:val="00354EF2"/>
    <w:rsid w:val="00355BEB"/>
    <w:rsid w:val="00357081"/>
    <w:rsid w:val="00357D35"/>
    <w:rsid w:val="0036253D"/>
    <w:rsid w:val="00363FCD"/>
    <w:rsid w:val="00364C43"/>
    <w:rsid w:val="00364E6A"/>
    <w:rsid w:val="00364E80"/>
    <w:rsid w:val="00366E5C"/>
    <w:rsid w:val="00366EA6"/>
    <w:rsid w:val="003676CF"/>
    <w:rsid w:val="00367720"/>
    <w:rsid w:val="00367778"/>
    <w:rsid w:val="00367DDD"/>
    <w:rsid w:val="0037029D"/>
    <w:rsid w:val="00371332"/>
    <w:rsid w:val="00372A48"/>
    <w:rsid w:val="00373181"/>
    <w:rsid w:val="00375E93"/>
    <w:rsid w:val="003761BD"/>
    <w:rsid w:val="00377123"/>
    <w:rsid w:val="00377CD6"/>
    <w:rsid w:val="00380919"/>
    <w:rsid w:val="00381213"/>
    <w:rsid w:val="003832F7"/>
    <w:rsid w:val="00383EAF"/>
    <w:rsid w:val="003840EC"/>
    <w:rsid w:val="00385DBA"/>
    <w:rsid w:val="00386938"/>
    <w:rsid w:val="0038715A"/>
    <w:rsid w:val="00390C3F"/>
    <w:rsid w:val="00393127"/>
    <w:rsid w:val="003940DD"/>
    <w:rsid w:val="00394A1A"/>
    <w:rsid w:val="00395873"/>
    <w:rsid w:val="003959D1"/>
    <w:rsid w:val="003A1D18"/>
    <w:rsid w:val="003A24B7"/>
    <w:rsid w:val="003A62CC"/>
    <w:rsid w:val="003A649B"/>
    <w:rsid w:val="003A7864"/>
    <w:rsid w:val="003A7CA2"/>
    <w:rsid w:val="003B0845"/>
    <w:rsid w:val="003B0C56"/>
    <w:rsid w:val="003B11F4"/>
    <w:rsid w:val="003B1882"/>
    <w:rsid w:val="003B4100"/>
    <w:rsid w:val="003B6C02"/>
    <w:rsid w:val="003B75AD"/>
    <w:rsid w:val="003C067B"/>
    <w:rsid w:val="003C0ED8"/>
    <w:rsid w:val="003C1488"/>
    <w:rsid w:val="003C1A16"/>
    <w:rsid w:val="003C1E91"/>
    <w:rsid w:val="003C5536"/>
    <w:rsid w:val="003C7FCC"/>
    <w:rsid w:val="003D1202"/>
    <w:rsid w:val="003D19C3"/>
    <w:rsid w:val="003D36F9"/>
    <w:rsid w:val="003D39DC"/>
    <w:rsid w:val="003D77F1"/>
    <w:rsid w:val="003D7970"/>
    <w:rsid w:val="003E0159"/>
    <w:rsid w:val="003E449A"/>
    <w:rsid w:val="003E4A33"/>
    <w:rsid w:val="003E54E1"/>
    <w:rsid w:val="003E724B"/>
    <w:rsid w:val="003E7A60"/>
    <w:rsid w:val="003F1F49"/>
    <w:rsid w:val="003F23F0"/>
    <w:rsid w:val="003F4801"/>
    <w:rsid w:val="003F7448"/>
    <w:rsid w:val="00404A52"/>
    <w:rsid w:val="004054D0"/>
    <w:rsid w:val="00407B85"/>
    <w:rsid w:val="00407F28"/>
    <w:rsid w:val="00410BA9"/>
    <w:rsid w:val="0041100A"/>
    <w:rsid w:val="004131C5"/>
    <w:rsid w:val="0041363D"/>
    <w:rsid w:val="00413977"/>
    <w:rsid w:val="00413D9B"/>
    <w:rsid w:val="00415439"/>
    <w:rsid w:val="0042161A"/>
    <w:rsid w:val="0042423E"/>
    <w:rsid w:val="00424BA6"/>
    <w:rsid w:val="004274E7"/>
    <w:rsid w:val="00430142"/>
    <w:rsid w:val="00430B04"/>
    <w:rsid w:val="00431ABD"/>
    <w:rsid w:val="004339E6"/>
    <w:rsid w:val="00434796"/>
    <w:rsid w:val="0043683A"/>
    <w:rsid w:val="00437EB1"/>
    <w:rsid w:val="00441422"/>
    <w:rsid w:val="00444ED6"/>
    <w:rsid w:val="00445DCB"/>
    <w:rsid w:val="00447235"/>
    <w:rsid w:val="004479C3"/>
    <w:rsid w:val="0045044C"/>
    <w:rsid w:val="00451D8F"/>
    <w:rsid w:val="00460495"/>
    <w:rsid w:val="004604CA"/>
    <w:rsid w:val="00460EEA"/>
    <w:rsid w:val="004630B6"/>
    <w:rsid w:val="00463106"/>
    <w:rsid w:val="00466A30"/>
    <w:rsid w:val="00467DDF"/>
    <w:rsid w:val="00467F5B"/>
    <w:rsid w:val="00472F97"/>
    <w:rsid w:val="00474607"/>
    <w:rsid w:val="00474910"/>
    <w:rsid w:val="004749AF"/>
    <w:rsid w:val="00475410"/>
    <w:rsid w:val="00475E80"/>
    <w:rsid w:val="004774FF"/>
    <w:rsid w:val="00477EF6"/>
    <w:rsid w:val="0048285C"/>
    <w:rsid w:val="00483F21"/>
    <w:rsid w:val="00484116"/>
    <w:rsid w:val="00484163"/>
    <w:rsid w:val="0048424E"/>
    <w:rsid w:val="00484F8A"/>
    <w:rsid w:val="00486F42"/>
    <w:rsid w:val="00487D14"/>
    <w:rsid w:val="0049165E"/>
    <w:rsid w:val="004923A9"/>
    <w:rsid w:val="00494337"/>
    <w:rsid w:val="00495F7C"/>
    <w:rsid w:val="004976D5"/>
    <w:rsid w:val="004A11D9"/>
    <w:rsid w:val="004A1E3F"/>
    <w:rsid w:val="004A2C7E"/>
    <w:rsid w:val="004A3798"/>
    <w:rsid w:val="004A5056"/>
    <w:rsid w:val="004A6625"/>
    <w:rsid w:val="004A69D6"/>
    <w:rsid w:val="004A70AB"/>
    <w:rsid w:val="004A7DFE"/>
    <w:rsid w:val="004B085D"/>
    <w:rsid w:val="004B0DBA"/>
    <w:rsid w:val="004B1BF4"/>
    <w:rsid w:val="004B21D9"/>
    <w:rsid w:val="004B255A"/>
    <w:rsid w:val="004B3CA9"/>
    <w:rsid w:val="004B7275"/>
    <w:rsid w:val="004C0CE3"/>
    <w:rsid w:val="004C368B"/>
    <w:rsid w:val="004D1A31"/>
    <w:rsid w:val="004D1A91"/>
    <w:rsid w:val="004D2123"/>
    <w:rsid w:val="004D262A"/>
    <w:rsid w:val="004D2C6F"/>
    <w:rsid w:val="004D2E01"/>
    <w:rsid w:val="004D3237"/>
    <w:rsid w:val="004D3580"/>
    <w:rsid w:val="004D4E89"/>
    <w:rsid w:val="004D635C"/>
    <w:rsid w:val="004E0F3F"/>
    <w:rsid w:val="004E1191"/>
    <w:rsid w:val="004E1349"/>
    <w:rsid w:val="004E1AF1"/>
    <w:rsid w:val="004E3305"/>
    <w:rsid w:val="004E3D0E"/>
    <w:rsid w:val="004E568C"/>
    <w:rsid w:val="004E5AD8"/>
    <w:rsid w:val="004E61DE"/>
    <w:rsid w:val="004F0806"/>
    <w:rsid w:val="004F12D8"/>
    <w:rsid w:val="004F14E8"/>
    <w:rsid w:val="004F2189"/>
    <w:rsid w:val="004F22A6"/>
    <w:rsid w:val="004F4A37"/>
    <w:rsid w:val="004F5D23"/>
    <w:rsid w:val="00502E5E"/>
    <w:rsid w:val="00504B53"/>
    <w:rsid w:val="00505FF7"/>
    <w:rsid w:val="0051015D"/>
    <w:rsid w:val="0051292D"/>
    <w:rsid w:val="00512B49"/>
    <w:rsid w:val="00514162"/>
    <w:rsid w:val="00514426"/>
    <w:rsid w:val="0051442D"/>
    <w:rsid w:val="00515A3B"/>
    <w:rsid w:val="00515FD8"/>
    <w:rsid w:val="0051622D"/>
    <w:rsid w:val="00517A09"/>
    <w:rsid w:val="005207B2"/>
    <w:rsid w:val="005219EB"/>
    <w:rsid w:val="005262C2"/>
    <w:rsid w:val="005263F0"/>
    <w:rsid w:val="0052705A"/>
    <w:rsid w:val="005272E3"/>
    <w:rsid w:val="00532E26"/>
    <w:rsid w:val="0053605B"/>
    <w:rsid w:val="00537126"/>
    <w:rsid w:val="00537A72"/>
    <w:rsid w:val="005405F8"/>
    <w:rsid w:val="00542EAE"/>
    <w:rsid w:val="005431B1"/>
    <w:rsid w:val="00546878"/>
    <w:rsid w:val="005509BE"/>
    <w:rsid w:val="00560E18"/>
    <w:rsid w:val="005615BB"/>
    <w:rsid w:val="005621E7"/>
    <w:rsid w:val="00562B7E"/>
    <w:rsid w:val="00562D7B"/>
    <w:rsid w:val="00563355"/>
    <w:rsid w:val="00571235"/>
    <w:rsid w:val="00571E81"/>
    <w:rsid w:val="00573424"/>
    <w:rsid w:val="00573F71"/>
    <w:rsid w:val="00573FF9"/>
    <w:rsid w:val="005743CA"/>
    <w:rsid w:val="005755B7"/>
    <w:rsid w:val="00576B16"/>
    <w:rsid w:val="00577427"/>
    <w:rsid w:val="005808E5"/>
    <w:rsid w:val="005875A9"/>
    <w:rsid w:val="00593C34"/>
    <w:rsid w:val="005949BC"/>
    <w:rsid w:val="005971D5"/>
    <w:rsid w:val="005A313A"/>
    <w:rsid w:val="005A35EB"/>
    <w:rsid w:val="005A5582"/>
    <w:rsid w:val="005A680F"/>
    <w:rsid w:val="005A70F0"/>
    <w:rsid w:val="005A747A"/>
    <w:rsid w:val="005A7D15"/>
    <w:rsid w:val="005B07CB"/>
    <w:rsid w:val="005B2FF9"/>
    <w:rsid w:val="005B380D"/>
    <w:rsid w:val="005B3F1C"/>
    <w:rsid w:val="005B696E"/>
    <w:rsid w:val="005B6D81"/>
    <w:rsid w:val="005B7767"/>
    <w:rsid w:val="005B7DD3"/>
    <w:rsid w:val="005C11DA"/>
    <w:rsid w:val="005C1E41"/>
    <w:rsid w:val="005C7FC2"/>
    <w:rsid w:val="005D1F92"/>
    <w:rsid w:val="005D2137"/>
    <w:rsid w:val="005D2408"/>
    <w:rsid w:val="005D32A9"/>
    <w:rsid w:val="005D56A8"/>
    <w:rsid w:val="005D6122"/>
    <w:rsid w:val="005D6E80"/>
    <w:rsid w:val="005E02FB"/>
    <w:rsid w:val="005E03B3"/>
    <w:rsid w:val="005E0B20"/>
    <w:rsid w:val="005E2936"/>
    <w:rsid w:val="005E2F7B"/>
    <w:rsid w:val="005E3C94"/>
    <w:rsid w:val="005E5C01"/>
    <w:rsid w:val="005E6A9D"/>
    <w:rsid w:val="005E7118"/>
    <w:rsid w:val="005E7B14"/>
    <w:rsid w:val="005E7E9F"/>
    <w:rsid w:val="005F1CDA"/>
    <w:rsid w:val="005F35C5"/>
    <w:rsid w:val="005F37A4"/>
    <w:rsid w:val="005F561B"/>
    <w:rsid w:val="005F5C0C"/>
    <w:rsid w:val="005F7244"/>
    <w:rsid w:val="005F7E15"/>
    <w:rsid w:val="00602403"/>
    <w:rsid w:val="006041A4"/>
    <w:rsid w:val="00610873"/>
    <w:rsid w:val="006109EC"/>
    <w:rsid w:val="00610F53"/>
    <w:rsid w:val="00611D8A"/>
    <w:rsid w:val="006122AB"/>
    <w:rsid w:val="0061430D"/>
    <w:rsid w:val="006150CE"/>
    <w:rsid w:val="00615F6B"/>
    <w:rsid w:val="006165F4"/>
    <w:rsid w:val="00617EAE"/>
    <w:rsid w:val="006245EC"/>
    <w:rsid w:val="00626ABB"/>
    <w:rsid w:val="006309D5"/>
    <w:rsid w:val="006376C5"/>
    <w:rsid w:val="006407E9"/>
    <w:rsid w:val="00641F4F"/>
    <w:rsid w:val="00642664"/>
    <w:rsid w:val="0064486F"/>
    <w:rsid w:val="00644BBE"/>
    <w:rsid w:val="006466DA"/>
    <w:rsid w:val="00646711"/>
    <w:rsid w:val="006479F9"/>
    <w:rsid w:val="00647DDD"/>
    <w:rsid w:val="00653BA4"/>
    <w:rsid w:val="00656E2E"/>
    <w:rsid w:val="00657478"/>
    <w:rsid w:val="00657EDA"/>
    <w:rsid w:val="00657F9A"/>
    <w:rsid w:val="006609A2"/>
    <w:rsid w:val="00660C84"/>
    <w:rsid w:val="0066132D"/>
    <w:rsid w:val="0066194B"/>
    <w:rsid w:val="00661FC4"/>
    <w:rsid w:val="006630E1"/>
    <w:rsid w:val="00666D4D"/>
    <w:rsid w:val="00667A19"/>
    <w:rsid w:val="00672205"/>
    <w:rsid w:val="00672E95"/>
    <w:rsid w:val="0067508C"/>
    <w:rsid w:val="006755F0"/>
    <w:rsid w:val="006762B3"/>
    <w:rsid w:val="00677059"/>
    <w:rsid w:val="00680072"/>
    <w:rsid w:val="00680421"/>
    <w:rsid w:val="00681B06"/>
    <w:rsid w:val="006858DA"/>
    <w:rsid w:val="00686C3F"/>
    <w:rsid w:val="0068719B"/>
    <w:rsid w:val="006900FB"/>
    <w:rsid w:val="006902F1"/>
    <w:rsid w:val="00690BE6"/>
    <w:rsid w:val="0069164D"/>
    <w:rsid w:val="006918E9"/>
    <w:rsid w:val="00692A13"/>
    <w:rsid w:val="006951CE"/>
    <w:rsid w:val="0069571F"/>
    <w:rsid w:val="00695B2C"/>
    <w:rsid w:val="006A1F2C"/>
    <w:rsid w:val="006A3B6B"/>
    <w:rsid w:val="006A438B"/>
    <w:rsid w:val="006A4F20"/>
    <w:rsid w:val="006A6039"/>
    <w:rsid w:val="006B1E87"/>
    <w:rsid w:val="006B514A"/>
    <w:rsid w:val="006C06E5"/>
    <w:rsid w:val="006C1EA3"/>
    <w:rsid w:val="006C1EDF"/>
    <w:rsid w:val="006C279A"/>
    <w:rsid w:val="006C2AB0"/>
    <w:rsid w:val="006C2B5F"/>
    <w:rsid w:val="006C31B7"/>
    <w:rsid w:val="006C3CE1"/>
    <w:rsid w:val="006C4213"/>
    <w:rsid w:val="006C43D7"/>
    <w:rsid w:val="006C49F6"/>
    <w:rsid w:val="006C53ED"/>
    <w:rsid w:val="006C5694"/>
    <w:rsid w:val="006D11AD"/>
    <w:rsid w:val="006D128C"/>
    <w:rsid w:val="006D193A"/>
    <w:rsid w:val="006D25DD"/>
    <w:rsid w:val="006D29AA"/>
    <w:rsid w:val="006D4128"/>
    <w:rsid w:val="006D4C1B"/>
    <w:rsid w:val="006D5E45"/>
    <w:rsid w:val="006D5E57"/>
    <w:rsid w:val="006E0B4D"/>
    <w:rsid w:val="006E2083"/>
    <w:rsid w:val="006E2725"/>
    <w:rsid w:val="006E3064"/>
    <w:rsid w:val="006E3872"/>
    <w:rsid w:val="006E405E"/>
    <w:rsid w:val="006E4BD7"/>
    <w:rsid w:val="006E58D5"/>
    <w:rsid w:val="006E68E6"/>
    <w:rsid w:val="006E73D0"/>
    <w:rsid w:val="006F042A"/>
    <w:rsid w:val="006F0C74"/>
    <w:rsid w:val="006F1875"/>
    <w:rsid w:val="006F2187"/>
    <w:rsid w:val="006F25E5"/>
    <w:rsid w:val="006F2FCE"/>
    <w:rsid w:val="006F353F"/>
    <w:rsid w:val="006F36B9"/>
    <w:rsid w:val="006F415C"/>
    <w:rsid w:val="006F489F"/>
    <w:rsid w:val="00700C86"/>
    <w:rsid w:val="0070560F"/>
    <w:rsid w:val="007112CA"/>
    <w:rsid w:val="00714728"/>
    <w:rsid w:val="007150F2"/>
    <w:rsid w:val="007202BD"/>
    <w:rsid w:val="007205BF"/>
    <w:rsid w:val="00721AE9"/>
    <w:rsid w:val="007237D1"/>
    <w:rsid w:val="007241D4"/>
    <w:rsid w:val="00724D82"/>
    <w:rsid w:val="00730BF2"/>
    <w:rsid w:val="00732A6F"/>
    <w:rsid w:val="007351A5"/>
    <w:rsid w:val="0074214D"/>
    <w:rsid w:val="00742764"/>
    <w:rsid w:val="0074509A"/>
    <w:rsid w:val="00745456"/>
    <w:rsid w:val="00746E92"/>
    <w:rsid w:val="00750950"/>
    <w:rsid w:val="00751452"/>
    <w:rsid w:val="0075156A"/>
    <w:rsid w:val="00751D8C"/>
    <w:rsid w:val="00751F90"/>
    <w:rsid w:val="00752EF6"/>
    <w:rsid w:val="00754BDD"/>
    <w:rsid w:val="007619C5"/>
    <w:rsid w:val="00761B26"/>
    <w:rsid w:val="00761C35"/>
    <w:rsid w:val="00762178"/>
    <w:rsid w:val="00765F62"/>
    <w:rsid w:val="00766026"/>
    <w:rsid w:val="00772025"/>
    <w:rsid w:val="007726C0"/>
    <w:rsid w:val="00775AB7"/>
    <w:rsid w:val="00776B34"/>
    <w:rsid w:val="00776C6E"/>
    <w:rsid w:val="00781088"/>
    <w:rsid w:val="00781AA0"/>
    <w:rsid w:val="00781CF7"/>
    <w:rsid w:val="00781D24"/>
    <w:rsid w:val="00782550"/>
    <w:rsid w:val="00782DE8"/>
    <w:rsid w:val="00786D45"/>
    <w:rsid w:val="00787202"/>
    <w:rsid w:val="00792E10"/>
    <w:rsid w:val="0079383D"/>
    <w:rsid w:val="007A006B"/>
    <w:rsid w:val="007A1D60"/>
    <w:rsid w:val="007A34D1"/>
    <w:rsid w:val="007A41BE"/>
    <w:rsid w:val="007A5BDB"/>
    <w:rsid w:val="007A7102"/>
    <w:rsid w:val="007B165A"/>
    <w:rsid w:val="007B2DAD"/>
    <w:rsid w:val="007B2DF7"/>
    <w:rsid w:val="007B46E7"/>
    <w:rsid w:val="007B7246"/>
    <w:rsid w:val="007B78C2"/>
    <w:rsid w:val="007C23FF"/>
    <w:rsid w:val="007C25B0"/>
    <w:rsid w:val="007C29FD"/>
    <w:rsid w:val="007C38EE"/>
    <w:rsid w:val="007C416B"/>
    <w:rsid w:val="007C4CB7"/>
    <w:rsid w:val="007C5008"/>
    <w:rsid w:val="007C6046"/>
    <w:rsid w:val="007C658B"/>
    <w:rsid w:val="007D1E79"/>
    <w:rsid w:val="007D27CF"/>
    <w:rsid w:val="007D4DAF"/>
    <w:rsid w:val="007E1175"/>
    <w:rsid w:val="007E220A"/>
    <w:rsid w:val="007E468A"/>
    <w:rsid w:val="007E54E5"/>
    <w:rsid w:val="007E58FC"/>
    <w:rsid w:val="007E738C"/>
    <w:rsid w:val="007E7463"/>
    <w:rsid w:val="007F07D4"/>
    <w:rsid w:val="007F1517"/>
    <w:rsid w:val="007F207F"/>
    <w:rsid w:val="007F5842"/>
    <w:rsid w:val="007F5B91"/>
    <w:rsid w:val="007F6905"/>
    <w:rsid w:val="007F75AC"/>
    <w:rsid w:val="007F7DAA"/>
    <w:rsid w:val="00800BE5"/>
    <w:rsid w:val="008019A7"/>
    <w:rsid w:val="00802382"/>
    <w:rsid w:val="00803CEC"/>
    <w:rsid w:val="008040B5"/>
    <w:rsid w:val="00804B15"/>
    <w:rsid w:val="008076A4"/>
    <w:rsid w:val="00807DC2"/>
    <w:rsid w:val="0081003E"/>
    <w:rsid w:val="00810CA3"/>
    <w:rsid w:val="008112DE"/>
    <w:rsid w:val="00811776"/>
    <w:rsid w:val="0081673E"/>
    <w:rsid w:val="008200A7"/>
    <w:rsid w:val="00822050"/>
    <w:rsid w:val="00824DC8"/>
    <w:rsid w:val="008300AA"/>
    <w:rsid w:val="008304EC"/>
    <w:rsid w:val="00830952"/>
    <w:rsid w:val="00830F84"/>
    <w:rsid w:val="00832522"/>
    <w:rsid w:val="00833453"/>
    <w:rsid w:val="00834B62"/>
    <w:rsid w:val="0084184E"/>
    <w:rsid w:val="00841B33"/>
    <w:rsid w:val="00841C01"/>
    <w:rsid w:val="00841DDD"/>
    <w:rsid w:val="00843EFD"/>
    <w:rsid w:val="008443A9"/>
    <w:rsid w:val="0084599C"/>
    <w:rsid w:val="008469B3"/>
    <w:rsid w:val="00847539"/>
    <w:rsid w:val="008535CA"/>
    <w:rsid w:val="00856FA8"/>
    <w:rsid w:val="00856FF2"/>
    <w:rsid w:val="008578F4"/>
    <w:rsid w:val="00860576"/>
    <w:rsid w:val="00861120"/>
    <w:rsid w:val="0086688C"/>
    <w:rsid w:val="008674AA"/>
    <w:rsid w:val="008675CC"/>
    <w:rsid w:val="0087609B"/>
    <w:rsid w:val="00880850"/>
    <w:rsid w:val="0088094C"/>
    <w:rsid w:val="00881004"/>
    <w:rsid w:val="00881A04"/>
    <w:rsid w:val="00882585"/>
    <w:rsid w:val="00882C40"/>
    <w:rsid w:val="00885973"/>
    <w:rsid w:val="0089145D"/>
    <w:rsid w:val="008919D3"/>
    <w:rsid w:val="00891DC8"/>
    <w:rsid w:val="00891F55"/>
    <w:rsid w:val="00892908"/>
    <w:rsid w:val="00893C08"/>
    <w:rsid w:val="008942DA"/>
    <w:rsid w:val="008942FC"/>
    <w:rsid w:val="0089562F"/>
    <w:rsid w:val="008957BF"/>
    <w:rsid w:val="00895BE0"/>
    <w:rsid w:val="0089629F"/>
    <w:rsid w:val="008A082A"/>
    <w:rsid w:val="008A389B"/>
    <w:rsid w:val="008A4DF4"/>
    <w:rsid w:val="008B0950"/>
    <w:rsid w:val="008B1DA9"/>
    <w:rsid w:val="008B23D4"/>
    <w:rsid w:val="008B5501"/>
    <w:rsid w:val="008B571D"/>
    <w:rsid w:val="008B6162"/>
    <w:rsid w:val="008C3710"/>
    <w:rsid w:val="008C3EBC"/>
    <w:rsid w:val="008C4AE0"/>
    <w:rsid w:val="008C57F6"/>
    <w:rsid w:val="008C68A7"/>
    <w:rsid w:val="008C7019"/>
    <w:rsid w:val="008D2A7F"/>
    <w:rsid w:val="008D33A3"/>
    <w:rsid w:val="008D4715"/>
    <w:rsid w:val="008D5B23"/>
    <w:rsid w:val="008D6F1D"/>
    <w:rsid w:val="008E03A3"/>
    <w:rsid w:val="008E1B11"/>
    <w:rsid w:val="008E2ACD"/>
    <w:rsid w:val="008E2D8C"/>
    <w:rsid w:val="008E53BA"/>
    <w:rsid w:val="008E6B69"/>
    <w:rsid w:val="008E6E63"/>
    <w:rsid w:val="008E7E5E"/>
    <w:rsid w:val="008E7F87"/>
    <w:rsid w:val="008F0CC7"/>
    <w:rsid w:val="008F11CF"/>
    <w:rsid w:val="008F14EA"/>
    <w:rsid w:val="008F189C"/>
    <w:rsid w:val="008F1FE1"/>
    <w:rsid w:val="008F32FF"/>
    <w:rsid w:val="008F4486"/>
    <w:rsid w:val="008F4FC6"/>
    <w:rsid w:val="008F6436"/>
    <w:rsid w:val="008F72CD"/>
    <w:rsid w:val="009015D3"/>
    <w:rsid w:val="00902179"/>
    <w:rsid w:val="00903877"/>
    <w:rsid w:val="0090677E"/>
    <w:rsid w:val="00913A4A"/>
    <w:rsid w:val="00914A6E"/>
    <w:rsid w:val="0091544C"/>
    <w:rsid w:val="00921D03"/>
    <w:rsid w:val="00921DE6"/>
    <w:rsid w:val="00925CD2"/>
    <w:rsid w:val="00932559"/>
    <w:rsid w:val="00933065"/>
    <w:rsid w:val="00933569"/>
    <w:rsid w:val="009365B1"/>
    <w:rsid w:val="0093799C"/>
    <w:rsid w:val="009422A1"/>
    <w:rsid w:val="00943484"/>
    <w:rsid w:val="00944804"/>
    <w:rsid w:val="009449FB"/>
    <w:rsid w:val="0094634F"/>
    <w:rsid w:val="009473D8"/>
    <w:rsid w:val="00947F51"/>
    <w:rsid w:val="00954386"/>
    <w:rsid w:val="009564B5"/>
    <w:rsid w:val="00957513"/>
    <w:rsid w:val="009605D3"/>
    <w:rsid w:val="00960ADF"/>
    <w:rsid w:val="009623DA"/>
    <w:rsid w:val="00963A0C"/>
    <w:rsid w:val="009661A4"/>
    <w:rsid w:val="009661B5"/>
    <w:rsid w:val="009725C0"/>
    <w:rsid w:val="009727D8"/>
    <w:rsid w:val="009729BD"/>
    <w:rsid w:val="00974A92"/>
    <w:rsid w:val="00974C91"/>
    <w:rsid w:val="00975270"/>
    <w:rsid w:val="00975BA1"/>
    <w:rsid w:val="00976F39"/>
    <w:rsid w:val="009809DD"/>
    <w:rsid w:val="009835E3"/>
    <w:rsid w:val="009837A6"/>
    <w:rsid w:val="009839B9"/>
    <w:rsid w:val="00983C64"/>
    <w:rsid w:val="009869F2"/>
    <w:rsid w:val="00987CDB"/>
    <w:rsid w:val="00992D6B"/>
    <w:rsid w:val="00993B6B"/>
    <w:rsid w:val="009A087C"/>
    <w:rsid w:val="009A2613"/>
    <w:rsid w:val="009A2726"/>
    <w:rsid w:val="009A30E0"/>
    <w:rsid w:val="009A3619"/>
    <w:rsid w:val="009A57B9"/>
    <w:rsid w:val="009A66D0"/>
    <w:rsid w:val="009A739F"/>
    <w:rsid w:val="009B08AF"/>
    <w:rsid w:val="009B0AC9"/>
    <w:rsid w:val="009B10F4"/>
    <w:rsid w:val="009B3DFC"/>
    <w:rsid w:val="009B53BC"/>
    <w:rsid w:val="009B793E"/>
    <w:rsid w:val="009C1EA6"/>
    <w:rsid w:val="009C31DD"/>
    <w:rsid w:val="009C37B9"/>
    <w:rsid w:val="009C38E7"/>
    <w:rsid w:val="009D31D8"/>
    <w:rsid w:val="009D31FA"/>
    <w:rsid w:val="009D32BD"/>
    <w:rsid w:val="009D33F1"/>
    <w:rsid w:val="009D35B5"/>
    <w:rsid w:val="009D3771"/>
    <w:rsid w:val="009D37BD"/>
    <w:rsid w:val="009D4486"/>
    <w:rsid w:val="009D7128"/>
    <w:rsid w:val="009D7613"/>
    <w:rsid w:val="009E17F8"/>
    <w:rsid w:val="009E21DE"/>
    <w:rsid w:val="009E6174"/>
    <w:rsid w:val="009F1DC7"/>
    <w:rsid w:val="009F211E"/>
    <w:rsid w:val="009F2572"/>
    <w:rsid w:val="009F294E"/>
    <w:rsid w:val="009F30F1"/>
    <w:rsid w:val="009F37C7"/>
    <w:rsid w:val="009F50AB"/>
    <w:rsid w:val="00A005F6"/>
    <w:rsid w:val="00A03986"/>
    <w:rsid w:val="00A0424F"/>
    <w:rsid w:val="00A051FB"/>
    <w:rsid w:val="00A0659C"/>
    <w:rsid w:val="00A07164"/>
    <w:rsid w:val="00A10039"/>
    <w:rsid w:val="00A100BA"/>
    <w:rsid w:val="00A103FF"/>
    <w:rsid w:val="00A11012"/>
    <w:rsid w:val="00A11811"/>
    <w:rsid w:val="00A121B5"/>
    <w:rsid w:val="00A14D5A"/>
    <w:rsid w:val="00A16C6E"/>
    <w:rsid w:val="00A17DB2"/>
    <w:rsid w:val="00A21DEA"/>
    <w:rsid w:val="00A22A14"/>
    <w:rsid w:val="00A23A49"/>
    <w:rsid w:val="00A25AB4"/>
    <w:rsid w:val="00A26214"/>
    <w:rsid w:val="00A26566"/>
    <w:rsid w:val="00A27A51"/>
    <w:rsid w:val="00A31837"/>
    <w:rsid w:val="00A31D70"/>
    <w:rsid w:val="00A33018"/>
    <w:rsid w:val="00A3310D"/>
    <w:rsid w:val="00A3484C"/>
    <w:rsid w:val="00A351B3"/>
    <w:rsid w:val="00A35CE6"/>
    <w:rsid w:val="00A35F5A"/>
    <w:rsid w:val="00A36ECF"/>
    <w:rsid w:val="00A37BA4"/>
    <w:rsid w:val="00A402F6"/>
    <w:rsid w:val="00A42167"/>
    <w:rsid w:val="00A434B9"/>
    <w:rsid w:val="00A43739"/>
    <w:rsid w:val="00A444DD"/>
    <w:rsid w:val="00A467A3"/>
    <w:rsid w:val="00A47150"/>
    <w:rsid w:val="00A471EF"/>
    <w:rsid w:val="00A47466"/>
    <w:rsid w:val="00A47815"/>
    <w:rsid w:val="00A47A18"/>
    <w:rsid w:val="00A47A3D"/>
    <w:rsid w:val="00A47CD6"/>
    <w:rsid w:val="00A5359C"/>
    <w:rsid w:val="00A539CB"/>
    <w:rsid w:val="00A56C5F"/>
    <w:rsid w:val="00A57DA7"/>
    <w:rsid w:val="00A60542"/>
    <w:rsid w:val="00A6294D"/>
    <w:rsid w:val="00A63709"/>
    <w:rsid w:val="00A643AB"/>
    <w:rsid w:val="00A649E6"/>
    <w:rsid w:val="00A660AF"/>
    <w:rsid w:val="00A7021C"/>
    <w:rsid w:val="00A70814"/>
    <w:rsid w:val="00A70A95"/>
    <w:rsid w:val="00A70BDA"/>
    <w:rsid w:val="00A740B6"/>
    <w:rsid w:val="00A7621E"/>
    <w:rsid w:val="00A76BE4"/>
    <w:rsid w:val="00A817D5"/>
    <w:rsid w:val="00A841B2"/>
    <w:rsid w:val="00A843FC"/>
    <w:rsid w:val="00A84F01"/>
    <w:rsid w:val="00A86275"/>
    <w:rsid w:val="00A9029A"/>
    <w:rsid w:val="00A908B2"/>
    <w:rsid w:val="00A91332"/>
    <w:rsid w:val="00A93351"/>
    <w:rsid w:val="00A9390C"/>
    <w:rsid w:val="00A93935"/>
    <w:rsid w:val="00A95538"/>
    <w:rsid w:val="00AA0013"/>
    <w:rsid w:val="00AA26FF"/>
    <w:rsid w:val="00AA43EC"/>
    <w:rsid w:val="00AA4C92"/>
    <w:rsid w:val="00AA4E77"/>
    <w:rsid w:val="00AA587F"/>
    <w:rsid w:val="00AA6E8C"/>
    <w:rsid w:val="00AA6F19"/>
    <w:rsid w:val="00AA75E6"/>
    <w:rsid w:val="00AA79A8"/>
    <w:rsid w:val="00AA7A76"/>
    <w:rsid w:val="00AA7C2E"/>
    <w:rsid w:val="00AB0286"/>
    <w:rsid w:val="00AB0DD9"/>
    <w:rsid w:val="00AB3676"/>
    <w:rsid w:val="00AB404E"/>
    <w:rsid w:val="00AB4C6D"/>
    <w:rsid w:val="00AB53F2"/>
    <w:rsid w:val="00AB55F7"/>
    <w:rsid w:val="00AB6E29"/>
    <w:rsid w:val="00AB7162"/>
    <w:rsid w:val="00AC022F"/>
    <w:rsid w:val="00AC114D"/>
    <w:rsid w:val="00AC2995"/>
    <w:rsid w:val="00AC2F6A"/>
    <w:rsid w:val="00AC38A4"/>
    <w:rsid w:val="00AC4165"/>
    <w:rsid w:val="00AC556A"/>
    <w:rsid w:val="00AC6088"/>
    <w:rsid w:val="00AC76EA"/>
    <w:rsid w:val="00AC7FB7"/>
    <w:rsid w:val="00AD0007"/>
    <w:rsid w:val="00AD23B3"/>
    <w:rsid w:val="00AD23BF"/>
    <w:rsid w:val="00AD25B6"/>
    <w:rsid w:val="00AD2631"/>
    <w:rsid w:val="00AD2C31"/>
    <w:rsid w:val="00AD3D5D"/>
    <w:rsid w:val="00AD4080"/>
    <w:rsid w:val="00AD40E8"/>
    <w:rsid w:val="00AD4597"/>
    <w:rsid w:val="00AD5A05"/>
    <w:rsid w:val="00AD662C"/>
    <w:rsid w:val="00AD7C78"/>
    <w:rsid w:val="00AE1220"/>
    <w:rsid w:val="00AE287F"/>
    <w:rsid w:val="00AE39F3"/>
    <w:rsid w:val="00AE4006"/>
    <w:rsid w:val="00AE4875"/>
    <w:rsid w:val="00AE5118"/>
    <w:rsid w:val="00AE63BD"/>
    <w:rsid w:val="00AF0B2B"/>
    <w:rsid w:val="00AF16FD"/>
    <w:rsid w:val="00AF20DB"/>
    <w:rsid w:val="00AF2914"/>
    <w:rsid w:val="00AF345A"/>
    <w:rsid w:val="00AF363F"/>
    <w:rsid w:val="00AF3E4F"/>
    <w:rsid w:val="00AF4728"/>
    <w:rsid w:val="00AF5B05"/>
    <w:rsid w:val="00AF71E5"/>
    <w:rsid w:val="00B00DA5"/>
    <w:rsid w:val="00B0366D"/>
    <w:rsid w:val="00B071FF"/>
    <w:rsid w:val="00B110BC"/>
    <w:rsid w:val="00B11505"/>
    <w:rsid w:val="00B11DC2"/>
    <w:rsid w:val="00B15142"/>
    <w:rsid w:val="00B16F69"/>
    <w:rsid w:val="00B1789D"/>
    <w:rsid w:val="00B207DD"/>
    <w:rsid w:val="00B20DD8"/>
    <w:rsid w:val="00B21CA9"/>
    <w:rsid w:val="00B223FE"/>
    <w:rsid w:val="00B3161A"/>
    <w:rsid w:val="00B3208F"/>
    <w:rsid w:val="00B3260E"/>
    <w:rsid w:val="00B36F2F"/>
    <w:rsid w:val="00B413BD"/>
    <w:rsid w:val="00B42807"/>
    <w:rsid w:val="00B428A6"/>
    <w:rsid w:val="00B43340"/>
    <w:rsid w:val="00B4461C"/>
    <w:rsid w:val="00B46D68"/>
    <w:rsid w:val="00B51159"/>
    <w:rsid w:val="00B53913"/>
    <w:rsid w:val="00B54D6D"/>
    <w:rsid w:val="00B554D4"/>
    <w:rsid w:val="00B5572D"/>
    <w:rsid w:val="00B55F3A"/>
    <w:rsid w:val="00B562B0"/>
    <w:rsid w:val="00B56906"/>
    <w:rsid w:val="00B569F1"/>
    <w:rsid w:val="00B6007E"/>
    <w:rsid w:val="00B610E9"/>
    <w:rsid w:val="00B61484"/>
    <w:rsid w:val="00B6179E"/>
    <w:rsid w:val="00B6220F"/>
    <w:rsid w:val="00B62B08"/>
    <w:rsid w:val="00B71CB5"/>
    <w:rsid w:val="00B71F16"/>
    <w:rsid w:val="00B72922"/>
    <w:rsid w:val="00B72A13"/>
    <w:rsid w:val="00B72ADA"/>
    <w:rsid w:val="00B7473A"/>
    <w:rsid w:val="00B74A39"/>
    <w:rsid w:val="00B75819"/>
    <w:rsid w:val="00B75CDA"/>
    <w:rsid w:val="00B766D8"/>
    <w:rsid w:val="00B81526"/>
    <w:rsid w:val="00B819E4"/>
    <w:rsid w:val="00B82530"/>
    <w:rsid w:val="00B84042"/>
    <w:rsid w:val="00B84DD5"/>
    <w:rsid w:val="00B903CC"/>
    <w:rsid w:val="00B9165A"/>
    <w:rsid w:val="00B91F7E"/>
    <w:rsid w:val="00B924B4"/>
    <w:rsid w:val="00B9487E"/>
    <w:rsid w:val="00B95910"/>
    <w:rsid w:val="00B9692A"/>
    <w:rsid w:val="00BA0848"/>
    <w:rsid w:val="00BA29E7"/>
    <w:rsid w:val="00BA33AF"/>
    <w:rsid w:val="00BA385E"/>
    <w:rsid w:val="00BA3A4C"/>
    <w:rsid w:val="00BA3F61"/>
    <w:rsid w:val="00BA61FA"/>
    <w:rsid w:val="00BA67FC"/>
    <w:rsid w:val="00BA6851"/>
    <w:rsid w:val="00BB0F20"/>
    <w:rsid w:val="00BB17D2"/>
    <w:rsid w:val="00BB2328"/>
    <w:rsid w:val="00BB3264"/>
    <w:rsid w:val="00BB50D7"/>
    <w:rsid w:val="00BB7F08"/>
    <w:rsid w:val="00BC0623"/>
    <w:rsid w:val="00BC35CD"/>
    <w:rsid w:val="00BC394C"/>
    <w:rsid w:val="00BC3C54"/>
    <w:rsid w:val="00BC415B"/>
    <w:rsid w:val="00BC5B96"/>
    <w:rsid w:val="00BC6256"/>
    <w:rsid w:val="00BD2C66"/>
    <w:rsid w:val="00BD2CDE"/>
    <w:rsid w:val="00BD3D16"/>
    <w:rsid w:val="00BD41CF"/>
    <w:rsid w:val="00BD75F3"/>
    <w:rsid w:val="00BE0164"/>
    <w:rsid w:val="00BE12BD"/>
    <w:rsid w:val="00BE2ED7"/>
    <w:rsid w:val="00BE3498"/>
    <w:rsid w:val="00BE5A3E"/>
    <w:rsid w:val="00BE6AB8"/>
    <w:rsid w:val="00BE7B3D"/>
    <w:rsid w:val="00BF040B"/>
    <w:rsid w:val="00BF05EA"/>
    <w:rsid w:val="00BF086D"/>
    <w:rsid w:val="00BF1C99"/>
    <w:rsid w:val="00BF2167"/>
    <w:rsid w:val="00BF43BC"/>
    <w:rsid w:val="00BF491B"/>
    <w:rsid w:val="00BF4DDA"/>
    <w:rsid w:val="00BF55C7"/>
    <w:rsid w:val="00BF7ED8"/>
    <w:rsid w:val="00C00A14"/>
    <w:rsid w:val="00C0222C"/>
    <w:rsid w:val="00C02321"/>
    <w:rsid w:val="00C04139"/>
    <w:rsid w:val="00C0476F"/>
    <w:rsid w:val="00C0572E"/>
    <w:rsid w:val="00C1108E"/>
    <w:rsid w:val="00C14A51"/>
    <w:rsid w:val="00C14B1A"/>
    <w:rsid w:val="00C15C65"/>
    <w:rsid w:val="00C17853"/>
    <w:rsid w:val="00C17EE4"/>
    <w:rsid w:val="00C21656"/>
    <w:rsid w:val="00C21B3D"/>
    <w:rsid w:val="00C21B6B"/>
    <w:rsid w:val="00C2200F"/>
    <w:rsid w:val="00C24267"/>
    <w:rsid w:val="00C243E6"/>
    <w:rsid w:val="00C26FA6"/>
    <w:rsid w:val="00C2788D"/>
    <w:rsid w:val="00C31189"/>
    <w:rsid w:val="00C31D37"/>
    <w:rsid w:val="00C33398"/>
    <w:rsid w:val="00C34388"/>
    <w:rsid w:val="00C34479"/>
    <w:rsid w:val="00C34C5B"/>
    <w:rsid w:val="00C361F6"/>
    <w:rsid w:val="00C3669A"/>
    <w:rsid w:val="00C371D5"/>
    <w:rsid w:val="00C423E3"/>
    <w:rsid w:val="00C428AB"/>
    <w:rsid w:val="00C43C78"/>
    <w:rsid w:val="00C44BAC"/>
    <w:rsid w:val="00C45626"/>
    <w:rsid w:val="00C458AF"/>
    <w:rsid w:val="00C460A0"/>
    <w:rsid w:val="00C46244"/>
    <w:rsid w:val="00C4720D"/>
    <w:rsid w:val="00C47768"/>
    <w:rsid w:val="00C479F5"/>
    <w:rsid w:val="00C50068"/>
    <w:rsid w:val="00C50180"/>
    <w:rsid w:val="00C51C4B"/>
    <w:rsid w:val="00C51EE9"/>
    <w:rsid w:val="00C539A5"/>
    <w:rsid w:val="00C53DFA"/>
    <w:rsid w:val="00C54619"/>
    <w:rsid w:val="00C549F4"/>
    <w:rsid w:val="00C555FE"/>
    <w:rsid w:val="00C56E55"/>
    <w:rsid w:val="00C60DD4"/>
    <w:rsid w:val="00C60F27"/>
    <w:rsid w:val="00C610F2"/>
    <w:rsid w:val="00C61B5E"/>
    <w:rsid w:val="00C63494"/>
    <w:rsid w:val="00C676F3"/>
    <w:rsid w:val="00C71AB8"/>
    <w:rsid w:val="00C73E8B"/>
    <w:rsid w:val="00C74E97"/>
    <w:rsid w:val="00C75909"/>
    <w:rsid w:val="00C767D5"/>
    <w:rsid w:val="00C77219"/>
    <w:rsid w:val="00C77EFD"/>
    <w:rsid w:val="00C803EE"/>
    <w:rsid w:val="00C809AF"/>
    <w:rsid w:val="00C81A10"/>
    <w:rsid w:val="00C81F39"/>
    <w:rsid w:val="00C829DF"/>
    <w:rsid w:val="00C82F5A"/>
    <w:rsid w:val="00C84021"/>
    <w:rsid w:val="00C85B7F"/>
    <w:rsid w:val="00C86AEA"/>
    <w:rsid w:val="00C875AE"/>
    <w:rsid w:val="00C90B1C"/>
    <w:rsid w:val="00C90CE6"/>
    <w:rsid w:val="00C93030"/>
    <w:rsid w:val="00C9310B"/>
    <w:rsid w:val="00C937FB"/>
    <w:rsid w:val="00CA07D9"/>
    <w:rsid w:val="00CA0F98"/>
    <w:rsid w:val="00CA2964"/>
    <w:rsid w:val="00CA696D"/>
    <w:rsid w:val="00CA6B5A"/>
    <w:rsid w:val="00CA757B"/>
    <w:rsid w:val="00CA78A7"/>
    <w:rsid w:val="00CB1536"/>
    <w:rsid w:val="00CB3907"/>
    <w:rsid w:val="00CB3B51"/>
    <w:rsid w:val="00CB46F0"/>
    <w:rsid w:val="00CB5B24"/>
    <w:rsid w:val="00CB6167"/>
    <w:rsid w:val="00CC0C54"/>
    <w:rsid w:val="00CC1016"/>
    <w:rsid w:val="00CC32A0"/>
    <w:rsid w:val="00CC3829"/>
    <w:rsid w:val="00CC585C"/>
    <w:rsid w:val="00CD0D1D"/>
    <w:rsid w:val="00CD1673"/>
    <w:rsid w:val="00CD1721"/>
    <w:rsid w:val="00CD25F1"/>
    <w:rsid w:val="00CD4DDC"/>
    <w:rsid w:val="00CD6592"/>
    <w:rsid w:val="00CE0808"/>
    <w:rsid w:val="00CE2E22"/>
    <w:rsid w:val="00CE35B4"/>
    <w:rsid w:val="00CE4596"/>
    <w:rsid w:val="00CE569F"/>
    <w:rsid w:val="00CE6301"/>
    <w:rsid w:val="00CF06D4"/>
    <w:rsid w:val="00CF2008"/>
    <w:rsid w:val="00CF2496"/>
    <w:rsid w:val="00CF3649"/>
    <w:rsid w:val="00CF4188"/>
    <w:rsid w:val="00CF4E9E"/>
    <w:rsid w:val="00CF52CE"/>
    <w:rsid w:val="00CF7848"/>
    <w:rsid w:val="00CF7F48"/>
    <w:rsid w:val="00D00B84"/>
    <w:rsid w:val="00D058FC"/>
    <w:rsid w:val="00D06213"/>
    <w:rsid w:val="00D073D1"/>
    <w:rsid w:val="00D10010"/>
    <w:rsid w:val="00D11510"/>
    <w:rsid w:val="00D116EE"/>
    <w:rsid w:val="00D12BB7"/>
    <w:rsid w:val="00D159D4"/>
    <w:rsid w:val="00D15C79"/>
    <w:rsid w:val="00D1641A"/>
    <w:rsid w:val="00D20E16"/>
    <w:rsid w:val="00D21601"/>
    <w:rsid w:val="00D2164A"/>
    <w:rsid w:val="00D21AA7"/>
    <w:rsid w:val="00D22F1C"/>
    <w:rsid w:val="00D23D75"/>
    <w:rsid w:val="00D2485C"/>
    <w:rsid w:val="00D256F0"/>
    <w:rsid w:val="00D26D4B"/>
    <w:rsid w:val="00D31882"/>
    <w:rsid w:val="00D31BAB"/>
    <w:rsid w:val="00D31D27"/>
    <w:rsid w:val="00D32109"/>
    <w:rsid w:val="00D330B3"/>
    <w:rsid w:val="00D336A4"/>
    <w:rsid w:val="00D34AFB"/>
    <w:rsid w:val="00D3509E"/>
    <w:rsid w:val="00D352EE"/>
    <w:rsid w:val="00D35A03"/>
    <w:rsid w:val="00D37377"/>
    <w:rsid w:val="00D41830"/>
    <w:rsid w:val="00D42EF8"/>
    <w:rsid w:val="00D45B8C"/>
    <w:rsid w:val="00D56058"/>
    <w:rsid w:val="00D567E0"/>
    <w:rsid w:val="00D56A09"/>
    <w:rsid w:val="00D56DCF"/>
    <w:rsid w:val="00D57976"/>
    <w:rsid w:val="00D61A20"/>
    <w:rsid w:val="00D61F2D"/>
    <w:rsid w:val="00D630DE"/>
    <w:rsid w:val="00D63DBC"/>
    <w:rsid w:val="00D645C6"/>
    <w:rsid w:val="00D6548A"/>
    <w:rsid w:val="00D65571"/>
    <w:rsid w:val="00D65905"/>
    <w:rsid w:val="00D65A71"/>
    <w:rsid w:val="00D664CA"/>
    <w:rsid w:val="00D66C66"/>
    <w:rsid w:val="00D67355"/>
    <w:rsid w:val="00D712C3"/>
    <w:rsid w:val="00D71B03"/>
    <w:rsid w:val="00D7327A"/>
    <w:rsid w:val="00D74EC8"/>
    <w:rsid w:val="00D76F23"/>
    <w:rsid w:val="00D81AC9"/>
    <w:rsid w:val="00D858CC"/>
    <w:rsid w:val="00D9086C"/>
    <w:rsid w:val="00D91172"/>
    <w:rsid w:val="00D922E1"/>
    <w:rsid w:val="00D92C84"/>
    <w:rsid w:val="00D92EC3"/>
    <w:rsid w:val="00D93AAA"/>
    <w:rsid w:val="00D93ECC"/>
    <w:rsid w:val="00D94745"/>
    <w:rsid w:val="00D94921"/>
    <w:rsid w:val="00D95DFF"/>
    <w:rsid w:val="00D95F05"/>
    <w:rsid w:val="00D963D5"/>
    <w:rsid w:val="00D96C96"/>
    <w:rsid w:val="00DA2201"/>
    <w:rsid w:val="00DA41B2"/>
    <w:rsid w:val="00DA5D06"/>
    <w:rsid w:val="00DA62C4"/>
    <w:rsid w:val="00DA7B20"/>
    <w:rsid w:val="00DB049D"/>
    <w:rsid w:val="00DB473D"/>
    <w:rsid w:val="00DB5727"/>
    <w:rsid w:val="00DB64E9"/>
    <w:rsid w:val="00DB68CC"/>
    <w:rsid w:val="00DC2E38"/>
    <w:rsid w:val="00DC2FBF"/>
    <w:rsid w:val="00DC52BC"/>
    <w:rsid w:val="00DC60C2"/>
    <w:rsid w:val="00DC621D"/>
    <w:rsid w:val="00DC6A98"/>
    <w:rsid w:val="00DC6EF8"/>
    <w:rsid w:val="00DC7245"/>
    <w:rsid w:val="00DC730A"/>
    <w:rsid w:val="00DC7A0C"/>
    <w:rsid w:val="00DD0717"/>
    <w:rsid w:val="00DD12FC"/>
    <w:rsid w:val="00DD1ED6"/>
    <w:rsid w:val="00DD2B0D"/>
    <w:rsid w:val="00DE130A"/>
    <w:rsid w:val="00DE1F21"/>
    <w:rsid w:val="00DE26A3"/>
    <w:rsid w:val="00DE3369"/>
    <w:rsid w:val="00DE33DB"/>
    <w:rsid w:val="00DE38B2"/>
    <w:rsid w:val="00DF2C9A"/>
    <w:rsid w:val="00DF32E5"/>
    <w:rsid w:val="00DF5291"/>
    <w:rsid w:val="00DF6283"/>
    <w:rsid w:val="00DF6AC1"/>
    <w:rsid w:val="00E010C4"/>
    <w:rsid w:val="00E03EBC"/>
    <w:rsid w:val="00E05572"/>
    <w:rsid w:val="00E06927"/>
    <w:rsid w:val="00E06AB6"/>
    <w:rsid w:val="00E10D04"/>
    <w:rsid w:val="00E1217F"/>
    <w:rsid w:val="00E16292"/>
    <w:rsid w:val="00E166FD"/>
    <w:rsid w:val="00E17143"/>
    <w:rsid w:val="00E20294"/>
    <w:rsid w:val="00E21C96"/>
    <w:rsid w:val="00E221E9"/>
    <w:rsid w:val="00E25706"/>
    <w:rsid w:val="00E25F47"/>
    <w:rsid w:val="00E264BB"/>
    <w:rsid w:val="00E267F5"/>
    <w:rsid w:val="00E276DF"/>
    <w:rsid w:val="00E27A89"/>
    <w:rsid w:val="00E30596"/>
    <w:rsid w:val="00E30E0D"/>
    <w:rsid w:val="00E31FF9"/>
    <w:rsid w:val="00E33434"/>
    <w:rsid w:val="00E33B23"/>
    <w:rsid w:val="00E37B1B"/>
    <w:rsid w:val="00E37B97"/>
    <w:rsid w:val="00E417B9"/>
    <w:rsid w:val="00E41B67"/>
    <w:rsid w:val="00E43C23"/>
    <w:rsid w:val="00E4477A"/>
    <w:rsid w:val="00E45160"/>
    <w:rsid w:val="00E45E6A"/>
    <w:rsid w:val="00E50A42"/>
    <w:rsid w:val="00E52F6E"/>
    <w:rsid w:val="00E53930"/>
    <w:rsid w:val="00E54FA5"/>
    <w:rsid w:val="00E56D64"/>
    <w:rsid w:val="00E57446"/>
    <w:rsid w:val="00E61081"/>
    <w:rsid w:val="00E61788"/>
    <w:rsid w:val="00E65B18"/>
    <w:rsid w:val="00E65B9D"/>
    <w:rsid w:val="00E704E0"/>
    <w:rsid w:val="00E71CE6"/>
    <w:rsid w:val="00E71E16"/>
    <w:rsid w:val="00E728C6"/>
    <w:rsid w:val="00E73E65"/>
    <w:rsid w:val="00E75732"/>
    <w:rsid w:val="00E76641"/>
    <w:rsid w:val="00E77AC7"/>
    <w:rsid w:val="00E83DA2"/>
    <w:rsid w:val="00E851E8"/>
    <w:rsid w:val="00E856E9"/>
    <w:rsid w:val="00E862E7"/>
    <w:rsid w:val="00E86395"/>
    <w:rsid w:val="00E86DF2"/>
    <w:rsid w:val="00E879EC"/>
    <w:rsid w:val="00E94A64"/>
    <w:rsid w:val="00E9538B"/>
    <w:rsid w:val="00E95703"/>
    <w:rsid w:val="00E95707"/>
    <w:rsid w:val="00E95C5F"/>
    <w:rsid w:val="00E964C2"/>
    <w:rsid w:val="00EA0297"/>
    <w:rsid w:val="00EA116B"/>
    <w:rsid w:val="00EA2C29"/>
    <w:rsid w:val="00EA3F05"/>
    <w:rsid w:val="00EA5E85"/>
    <w:rsid w:val="00EB0B07"/>
    <w:rsid w:val="00EB0C6A"/>
    <w:rsid w:val="00EB144E"/>
    <w:rsid w:val="00EB1B82"/>
    <w:rsid w:val="00EB2F49"/>
    <w:rsid w:val="00EB462A"/>
    <w:rsid w:val="00EB545A"/>
    <w:rsid w:val="00EB635D"/>
    <w:rsid w:val="00EB6554"/>
    <w:rsid w:val="00EB6AA6"/>
    <w:rsid w:val="00EC0354"/>
    <w:rsid w:val="00EC5A70"/>
    <w:rsid w:val="00EC5B97"/>
    <w:rsid w:val="00EC692F"/>
    <w:rsid w:val="00EC6BED"/>
    <w:rsid w:val="00EC70BC"/>
    <w:rsid w:val="00ED018E"/>
    <w:rsid w:val="00ED044F"/>
    <w:rsid w:val="00ED07AD"/>
    <w:rsid w:val="00ED121B"/>
    <w:rsid w:val="00ED2A04"/>
    <w:rsid w:val="00ED370F"/>
    <w:rsid w:val="00ED3804"/>
    <w:rsid w:val="00ED39D5"/>
    <w:rsid w:val="00ED3B36"/>
    <w:rsid w:val="00EE21F2"/>
    <w:rsid w:val="00EE55F9"/>
    <w:rsid w:val="00EE62A5"/>
    <w:rsid w:val="00EE63DE"/>
    <w:rsid w:val="00EE64F9"/>
    <w:rsid w:val="00EE6DC0"/>
    <w:rsid w:val="00EF00EA"/>
    <w:rsid w:val="00EF0CBA"/>
    <w:rsid w:val="00EF3239"/>
    <w:rsid w:val="00EF34E1"/>
    <w:rsid w:val="00EF3688"/>
    <w:rsid w:val="00EF36A0"/>
    <w:rsid w:val="00EF6CC3"/>
    <w:rsid w:val="00F00D0F"/>
    <w:rsid w:val="00F0109E"/>
    <w:rsid w:val="00F03A0B"/>
    <w:rsid w:val="00F11454"/>
    <w:rsid w:val="00F12E5A"/>
    <w:rsid w:val="00F2125A"/>
    <w:rsid w:val="00F221FC"/>
    <w:rsid w:val="00F23C89"/>
    <w:rsid w:val="00F24025"/>
    <w:rsid w:val="00F24190"/>
    <w:rsid w:val="00F26083"/>
    <w:rsid w:val="00F2751F"/>
    <w:rsid w:val="00F322F5"/>
    <w:rsid w:val="00F32532"/>
    <w:rsid w:val="00F35033"/>
    <w:rsid w:val="00F35372"/>
    <w:rsid w:val="00F35CAE"/>
    <w:rsid w:val="00F36EE7"/>
    <w:rsid w:val="00F4192F"/>
    <w:rsid w:val="00F41B64"/>
    <w:rsid w:val="00F41D9D"/>
    <w:rsid w:val="00F41F5B"/>
    <w:rsid w:val="00F44250"/>
    <w:rsid w:val="00F4468A"/>
    <w:rsid w:val="00F47653"/>
    <w:rsid w:val="00F47EFB"/>
    <w:rsid w:val="00F50412"/>
    <w:rsid w:val="00F505CE"/>
    <w:rsid w:val="00F5169E"/>
    <w:rsid w:val="00F51C0B"/>
    <w:rsid w:val="00F57AFC"/>
    <w:rsid w:val="00F606DD"/>
    <w:rsid w:val="00F627E4"/>
    <w:rsid w:val="00F6494D"/>
    <w:rsid w:val="00F65A5D"/>
    <w:rsid w:val="00F65DBD"/>
    <w:rsid w:val="00F669B9"/>
    <w:rsid w:val="00F67D80"/>
    <w:rsid w:val="00F7521B"/>
    <w:rsid w:val="00F773E6"/>
    <w:rsid w:val="00F77DEE"/>
    <w:rsid w:val="00F80A07"/>
    <w:rsid w:val="00F80C1E"/>
    <w:rsid w:val="00F80CEE"/>
    <w:rsid w:val="00F81639"/>
    <w:rsid w:val="00F81C18"/>
    <w:rsid w:val="00F81F36"/>
    <w:rsid w:val="00F83D11"/>
    <w:rsid w:val="00F83E85"/>
    <w:rsid w:val="00F8493C"/>
    <w:rsid w:val="00F85468"/>
    <w:rsid w:val="00F86A45"/>
    <w:rsid w:val="00F86BC7"/>
    <w:rsid w:val="00F907D4"/>
    <w:rsid w:val="00F913C7"/>
    <w:rsid w:val="00F91DA3"/>
    <w:rsid w:val="00F9202F"/>
    <w:rsid w:val="00F92AA4"/>
    <w:rsid w:val="00FA2519"/>
    <w:rsid w:val="00FA625E"/>
    <w:rsid w:val="00FA6B1E"/>
    <w:rsid w:val="00FA7FD2"/>
    <w:rsid w:val="00FB4165"/>
    <w:rsid w:val="00FB48E1"/>
    <w:rsid w:val="00FB59A0"/>
    <w:rsid w:val="00FC1484"/>
    <w:rsid w:val="00FC1792"/>
    <w:rsid w:val="00FC1944"/>
    <w:rsid w:val="00FC308C"/>
    <w:rsid w:val="00FC42BD"/>
    <w:rsid w:val="00FC600D"/>
    <w:rsid w:val="00FD2E9B"/>
    <w:rsid w:val="00FD378D"/>
    <w:rsid w:val="00FD41A2"/>
    <w:rsid w:val="00FD747C"/>
    <w:rsid w:val="00FE065B"/>
    <w:rsid w:val="00FE06D8"/>
    <w:rsid w:val="00FE0E32"/>
    <w:rsid w:val="00FE128D"/>
    <w:rsid w:val="00FE17D2"/>
    <w:rsid w:val="00FE2BF0"/>
    <w:rsid w:val="00FE43C6"/>
    <w:rsid w:val="00FE7835"/>
    <w:rsid w:val="00FF6D2A"/>
    <w:rsid w:val="00FF7F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7696"/>
  <w15:docId w15:val="{4C5185BA-A775-4610-B2F9-5591E17B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39"/>
    <w:rsid w:val="0021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30A89"/>
    <w:rPr>
      <w:sz w:val="20"/>
      <w:szCs w:val="20"/>
    </w:rPr>
  </w:style>
  <w:style w:type="character" w:customStyle="1" w:styleId="EndnoteTextChar">
    <w:name w:val="Endnote Text Char"/>
    <w:basedOn w:val="DefaultParagraphFont"/>
    <w:link w:val="EndnoteText"/>
    <w:uiPriority w:val="99"/>
    <w:semiHidden/>
    <w:rsid w:val="00030A89"/>
    <w:rPr>
      <w:rFonts w:ascii="Arial" w:hAnsi="Arial"/>
      <w:lang w:eastAsia="en-US"/>
    </w:rPr>
  </w:style>
  <w:style w:type="character" w:styleId="EndnoteReference">
    <w:name w:val="endnote reference"/>
    <w:basedOn w:val="DefaultParagraphFont"/>
    <w:uiPriority w:val="99"/>
    <w:semiHidden/>
    <w:unhideWhenUsed/>
    <w:rsid w:val="00030A89"/>
    <w:rPr>
      <w:vertAlign w:val="superscript"/>
    </w:rPr>
  </w:style>
  <w:style w:type="character" w:customStyle="1" w:styleId="footnoteanchor">
    <w:name w:val="footnoteanchor"/>
    <w:basedOn w:val="DefaultParagraphFont"/>
    <w:rsid w:val="00BF7ED8"/>
  </w:style>
  <w:style w:type="character" w:customStyle="1" w:styleId="AFUBodytextCharChar">
    <w:name w:val="AFU Body text Char Char"/>
    <w:basedOn w:val="DefaultParagraphFont"/>
    <w:link w:val="AFUBodytext"/>
    <w:locked/>
    <w:rsid w:val="007A1D60"/>
    <w:rPr>
      <w:rFonts w:ascii="Arial" w:hAnsi="Arial" w:cs="Arial"/>
      <w:sz w:val="22"/>
      <w:szCs w:val="22"/>
      <w:lang w:eastAsia="en-GB"/>
    </w:rPr>
  </w:style>
  <w:style w:type="paragraph" w:customStyle="1" w:styleId="AFUBodytext">
    <w:name w:val="AFU Body text"/>
    <w:basedOn w:val="Normal"/>
    <w:link w:val="AFUBodytextCharChar"/>
    <w:rsid w:val="007A1D60"/>
    <w:pPr>
      <w:spacing w:before="120" w:after="120" w:line="480" w:lineRule="auto"/>
      <w:jc w:val="both"/>
    </w:pPr>
    <w:rPr>
      <w:rFonts w:cs="Arial"/>
      <w:szCs w:val="22"/>
      <w:lang w:eastAsia="en-GB"/>
    </w:rPr>
  </w:style>
  <w:style w:type="paragraph" w:customStyle="1" w:styleId="AFUaffidavitnumbering">
    <w:name w:val="AFU affidavit numbering"/>
    <w:basedOn w:val="Normal"/>
    <w:link w:val="AFUaffidavitnumberingCharChar"/>
    <w:uiPriority w:val="99"/>
    <w:qFormat/>
    <w:rsid w:val="00E61081"/>
    <w:pPr>
      <w:numPr>
        <w:numId w:val="12"/>
      </w:numPr>
      <w:spacing w:before="240" w:after="240" w:line="480" w:lineRule="auto"/>
      <w:jc w:val="both"/>
    </w:pPr>
    <w:rPr>
      <w:rFonts w:eastAsia="Calibri"/>
      <w:szCs w:val="22"/>
    </w:rPr>
  </w:style>
  <w:style w:type="character" w:customStyle="1" w:styleId="AFUaffidavitnumberingCharChar">
    <w:name w:val="AFU affidavit numbering Char Char"/>
    <w:basedOn w:val="DefaultParagraphFont"/>
    <w:link w:val="AFUaffidavitnumbering"/>
    <w:uiPriority w:val="99"/>
    <w:rsid w:val="00E61081"/>
    <w:rPr>
      <w:rFonts w:ascii="Arial" w:eastAsia="Calibri" w:hAnsi="Arial"/>
      <w:sz w:val="22"/>
      <w:szCs w:val="22"/>
      <w:lang w:eastAsia="en-US"/>
    </w:rPr>
  </w:style>
  <w:style w:type="paragraph" w:customStyle="1" w:styleId="Default">
    <w:name w:val="Default"/>
    <w:rsid w:val="00A434B9"/>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B20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63209253">
      <w:bodyDiv w:val="1"/>
      <w:marLeft w:val="0"/>
      <w:marRight w:val="0"/>
      <w:marTop w:val="0"/>
      <w:marBottom w:val="0"/>
      <w:divBdr>
        <w:top w:val="none" w:sz="0" w:space="0" w:color="auto"/>
        <w:left w:val="none" w:sz="0" w:space="0" w:color="auto"/>
        <w:bottom w:val="none" w:sz="0" w:space="0" w:color="auto"/>
        <w:right w:val="none" w:sz="0" w:space="0" w:color="auto"/>
      </w:divBdr>
      <w:divsChild>
        <w:div w:id="559486776">
          <w:marLeft w:val="0"/>
          <w:marRight w:val="0"/>
          <w:marTop w:val="120"/>
          <w:marBottom w:val="0"/>
          <w:divBdr>
            <w:top w:val="none" w:sz="0" w:space="0" w:color="auto"/>
            <w:left w:val="none" w:sz="0" w:space="0" w:color="auto"/>
            <w:bottom w:val="none" w:sz="0" w:space="0" w:color="auto"/>
            <w:right w:val="none" w:sz="0" w:space="0" w:color="auto"/>
          </w:divBdr>
        </w:div>
        <w:div w:id="1238244361">
          <w:marLeft w:val="0"/>
          <w:marRight w:val="0"/>
          <w:marTop w:val="240"/>
          <w:marBottom w:val="0"/>
          <w:divBdr>
            <w:top w:val="none" w:sz="0" w:space="0" w:color="auto"/>
            <w:left w:val="none" w:sz="0" w:space="0" w:color="auto"/>
            <w:bottom w:val="none" w:sz="0" w:space="0" w:color="auto"/>
            <w:right w:val="none" w:sz="0" w:space="0" w:color="auto"/>
          </w:divBdr>
        </w:div>
        <w:div w:id="1412848520">
          <w:marLeft w:val="567"/>
          <w:marRight w:val="567"/>
          <w:marTop w:val="20"/>
          <w:marBottom w:val="20"/>
          <w:divBdr>
            <w:top w:val="none" w:sz="0" w:space="0" w:color="auto"/>
            <w:left w:val="none" w:sz="0" w:space="0" w:color="auto"/>
            <w:bottom w:val="none" w:sz="0" w:space="0" w:color="auto"/>
            <w:right w:val="none" w:sz="0" w:space="0" w:color="auto"/>
          </w:divBdr>
        </w:div>
      </w:divsChild>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352655753">
      <w:bodyDiv w:val="1"/>
      <w:marLeft w:val="0"/>
      <w:marRight w:val="0"/>
      <w:marTop w:val="0"/>
      <w:marBottom w:val="0"/>
      <w:divBdr>
        <w:top w:val="none" w:sz="0" w:space="0" w:color="auto"/>
        <w:left w:val="none" w:sz="0" w:space="0" w:color="auto"/>
        <w:bottom w:val="none" w:sz="0" w:space="0" w:color="auto"/>
        <w:right w:val="none" w:sz="0" w:space="0" w:color="auto"/>
      </w:divBdr>
      <w:divsChild>
        <w:div w:id="543565086">
          <w:marLeft w:val="0"/>
          <w:marRight w:val="0"/>
          <w:marTop w:val="60"/>
          <w:marBottom w:val="0"/>
          <w:divBdr>
            <w:top w:val="none" w:sz="0" w:space="0" w:color="auto"/>
            <w:left w:val="none" w:sz="0" w:space="0" w:color="auto"/>
            <w:bottom w:val="none" w:sz="0" w:space="0" w:color="auto"/>
            <w:right w:val="none" w:sz="0" w:space="0" w:color="auto"/>
          </w:divBdr>
        </w:div>
        <w:div w:id="795026512">
          <w:marLeft w:val="0"/>
          <w:marRight w:val="0"/>
          <w:marTop w:val="120"/>
          <w:marBottom w:val="0"/>
          <w:divBdr>
            <w:top w:val="none" w:sz="0" w:space="0" w:color="auto"/>
            <w:left w:val="none" w:sz="0" w:space="0" w:color="auto"/>
            <w:bottom w:val="none" w:sz="0" w:space="0" w:color="auto"/>
            <w:right w:val="none" w:sz="0" w:space="0" w:color="auto"/>
          </w:divBdr>
        </w:div>
      </w:divsChild>
    </w:div>
    <w:div w:id="538202760">
      <w:bodyDiv w:val="1"/>
      <w:marLeft w:val="0"/>
      <w:marRight w:val="0"/>
      <w:marTop w:val="0"/>
      <w:marBottom w:val="0"/>
      <w:divBdr>
        <w:top w:val="none" w:sz="0" w:space="0" w:color="auto"/>
        <w:left w:val="none" w:sz="0" w:space="0" w:color="auto"/>
        <w:bottom w:val="none" w:sz="0" w:space="0" w:color="auto"/>
        <w:right w:val="none" w:sz="0" w:space="0" w:color="auto"/>
      </w:divBdr>
    </w:div>
    <w:div w:id="552427858">
      <w:bodyDiv w:val="1"/>
      <w:marLeft w:val="0"/>
      <w:marRight w:val="0"/>
      <w:marTop w:val="0"/>
      <w:marBottom w:val="0"/>
      <w:divBdr>
        <w:top w:val="none" w:sz="0" w:space="0" w:color="auto"/>
        <w:left w:val="none" w:sz="0" w:space="0" w:color="auto"/>
        <w:bottom w:val="none" w:sz="0" w:space="0" w:color="auto"/>
        <w:right w:val="none" w:sz="0" w:space="0" w:color="auto"/>
      </w:divBdr>
    </w:div>
    <w:div w:id="570697089">
      <w:bodyDiv w:val="1"/>
      <w:marLeft w:val="0"/>
      <w:marRight w:val="0"/>
      <w:marTop w:val="0"/>
      <w:marBottom w:val="0"/>
      <w:divBdr>
        <w:top w:val="none" w:sz="0" w:space="0" w:color="auto"/>
        <w:left w:val="none" w:sz="0" w:space="0" w:color="auto"/>
        <w:bottom w:val="none" w:sz="0" w:space="0" w:color="auto"/>
        <w:right w:val="none" w:sz="0" w:space="0" w:color="auto"/>
      </w:divBdr>
    </w:div>
    <w:div w:id="780301296">
      <w:bodyDiv w:val="1"/>
      <w:marLeft w:val="0"/>
      <w:marRight w:val="0"/>
      <w:marTop w:val="0"/>
      <w:marBottom w:val="0"/>
      <w:divBdr>
        <w:top w:val="none" w:sz="0" w:space="0" w:color="auto"/>
        <w:left w:val="none" w:sz="0" w:space="0" w:color="auto"/>
        <w:bottom w:val="none" w:sz="0" w:space="0" w:color="auto"/>
        <w:right w:val="none" w:sz="0" w:space="0" w:color="auto"/>
      </w:divBdr>
      <w:divsChild>
        <w:div w:id="255217218">
          <w:marLeft w:val="0"/>
          <w:marRight w:val="0"/>
          <w:marTop w:val="240"/>
          <w:marBottom w:val="0"/>
          <w:divBdr>
            <w:top w:val="none" w:sz="0" w:space="0" w:color="auto"/>
            <w:left w:val="none" w:sz="0" w:space="0" w:color="auto"/>
            <w:bottom w:val="none" w:sz="0" w:space="0" w:color="auto"/>
            <w:right w:val="none" w:sz="0" w:space="0" w:color="auto"/>
          </w:divBdr>
        </w:div>
        <w:div w:id="1654869927">
          <w:marLeft w:val="0"/>
          <w:marRight w:val="0"/>
          <w:marTop w:val="120"/>
          <w:marBottom w:val="0"/>
          <w:divBdr>
            <w:top w:val="none" w:sz="0" w:space="0" w:color="auto"/>
            <w:left w:val="none" w:sz="0" w:space="0" w:color="auto"/>
            <w:bottom w:val="none" w:sz="0" w:space="0" w:color="auto"/>
            <w:right w:val="none" w:sz="0" w:space="0" w:color="auto"/>
          </w:divBdr>
        </w:div>
        <w:div w:id="1310748494">
          <w:marLeft w:val="0"/>
          <w:marRight w:val="0"/>
          <w:marTop w:val="120"/>
          <w:marBottom w:val="0"/>
          <w:divBdr>
            <w:top w:val="none" w:sz="0" w:space="0" w:color="auto"/>
            <w:left w:val="none" w:sz="0" w:space="0" w:color="auto"/>
            <w:bottom w:val="none" w:sz="0" w:space="0" w:color="auto"/>
            <w:right w:val="none" w:sz="0" w:space="0" w:color="auto"/>
          </w:divBdr>
        </w:div>
        <w:div w:id="632104289">
          <w:marLeft w:val="1134"/>
          <w:marRight w:val="0"/>
          <w:marTop w:val="60"/>
          <w:marBottom w:val="0"/>
          <w:divBdr>
            <w:top w:val="none" w:sz="0" w:space="0" w:color="auto"/>
            <w:left w:val="none" w:sz="0" w:space="0" w:color="auto"/>
            <w:bottom w:val="none" w:sz="0" w:space="0" w:color="auto"/>
            <w:right w:val="none" w:sz="0" w:space="0" w:color="auto"/>
          </w:divBdr>
        </w:div>
        <w:div w:id="376470212">
          <w:marLeft w:val="1134"/>
          <w:marRight w:val="0"/>
          <w:marTop w:val="60"/>
          <w:marBottom w:val="0"/>
          <w:divBdr>
            <w:top w:val="none" w:sz="0" w:space="0" w:color="auto"/>
            <w:left w:val="none" w:sz="0" w:space="0" w:color="auto"/>
            <w:bottom w:val="none" w:sz="0" w:space="0" w:color="auto"/>
            <w:right w:val="none" w:sz="0" w:space="0" w:color="auto"/>
          </w:divBdr>
        </w:div>
        <w:div w:id="1709917897">
          <w:marLeft w:val="1134"/>
          <w:marRight w:val="0"/>
          <w:marTop w:val="60"/>
          <w:marBottom w:val="0"/>
          <w:divBdr>
            <w:top w:val="none" w:sz="0" w:space="0" w:color="auto"/>
            <w:left w:val="none" w:sz="0" w:space="0" w:color="auto"/>
            <w:bottom w:val="none" w:sz="0" w:space="0" w:color="auto"/>
            <w:right w:val="none" w:sz="0" w:space="0" w:color="auto"/>
          </w:divBdr>
        </w:div>
      </w:divsChild>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150560590">
      <w:bodyDiv w:val="1"/>
      <w:marLeft w:val="0"/>
      <w:marRight w:val="0"/>
      <w:marTop w:val="0"/>
      <w:marBottom w:val="0"/>
      <w:divBdr>
        <w:top w:val="none" w:sz="0" w:space="0" w:color="auto"/>
        <w:left w:val="none" w:sz="0" w:space="0" w:color="auto"/>
        <w:bottom w:val="none" w:sz="0" w:space="0" w:color="auto"/>
        <w:right w:val="none" w:sz="0" w:space="0" w:color="auto"/>
      </w:divBdr>
    </w:div>
    <w:div w:id="1170483299">
      <w:bodyDiv w:val="1"/>
      <w:marLeft w:val="0"/>
      <w:marRight w:val="0"/>
      <w:marTop w:val="0"/>
      <w:marBottom w:val="0"/>
      <w:divBdr>
        <w:top w:val="none" w:sz="0" w:space="0" w:color="auto"/>
        <w:left w:val="none" w:sz="0" w:space="0" w:color="auto"/>
        <w:bottom w:val="none" w:sz="0" w:space="0" w:color="auto"/>
        <w:right w:val="none" w:sz="0" w:space="0" w:color="auto"/>
      </w:divBdr>
    </w:div>
    <w:div w:id="1174035608">
      <w:bodyDiv w:val="1"/>
      <w:marLeft w:val="0"/>
      <w:marRight w:val="0"/>
      <w:marTop w:val="0"/>
      <w:marBottom w:val="0"/>
      <w:divBdr>
        <w:top w:val="none" w:sz="0" w:space="0" w:color="auto"/>
        <w:left w:val="none" w:sz="0" w:space="0" w:color="auto"/>
        <w:bottom w:val="none" w:sz="0" w:space="0" w:color="auto"/>
        <w:right w:val="none" w:sz="0" w:space="0" w:color="auto"/>
      </w:divBdr>
    </w:div>
    <w:div w:id="1197696140">
      <w:bodyDiv w:val="1"/>
      <w:marLeft w:val="0"/>
      <w:marRight w:val="0"/>
      <w:marTop w:val="0"/>
      <w:marBottom w:val="0"/>
      <w:divBdr>
        <w:top w:val="none" w:sz="0" w:space="0" w:color="auto"/>
        <w:left w:val="none" w:sz="0" w:space="0" w:color="auto"/>
        <w:bottom w:val="none" w:sz="0" w:space="0" w:color="auto"/>
        <w:right w:val="none" w:sz="0" w:space="0" w:color="auto"/>
      </w:divBdr>
      <w:divsChild>
        <w:div w:id="1878808815">
          <w:marLeft w:val="675"/>
          <w:marRight w:val="0"/>
          <w:marTop w:val="0"/>
          <w:marBottom w:val="0"/>
          <w:divBdr>
            <w:top w:val="none" w:sz="0" w:space="0" w:color="auto"/>
            <w:left w:val="none" w:sz="0" w:space="0" w:color="auto"/>
            <w:bottom w:val="none" w:sz="0" w:space="0" w:color="auto"/>
            <w:right w:val="none" w:sz="0" w:space="0" w:color="auto"/>
          </w:divBdr>
        </w:div>
        <w:div w:id="1892958996">
          <w:marLeft w:val="675"/>
          <w:marRight w:val="0"/>
          <w:marTop w:val="0"/>
          <w:marBottom w:val="0"/>
          <w:divBdr>
            <w:top w:val="none" w:sz="0" w:space="0" w:color="auto"/>
            <w:left w:val="none" w:sz="0" w:space="0" w:color="auto"/>
            <w:bottom w:val="none" w:sz="0" w:space="0" w:color="auto"/>
            <w:right w:val="none" w:sz="0" w:space="0" w:color="auto"/>
          </w:divBdr>
        </w:div>
        <w:div w:id="1937789993">
          <w:marLeft w:val="675"/>
          <w:marRight w:val="0"/>
          <w:marTop w:val="0"/>
          <w:marBottom w:val="0"/>
          <w:divBdr>
            <w:top w:val="none" w:sz="0" w:space="0" w:color="auto"/>
            <w:left w:val="none" w:sz="0" w:space="0" w:color="auto"/>
            <w:bottom w:val="none" w:sz="0" w:space="0" w:color="auto"/>
            <w:right w:val="none" w:sz="0" w:space="0" w:color="auto"/>
          </w:divBdr>
        </w:div>
      </w:divsChild>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670987435">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796942867">
      <w:bodyDiv w:val="1"/>
      <w:marLeft w:val="0"/>
      <w:marRight w:val="0"/>
      <w:marTop w:val="0"/>
      <w:marBottom w:val="0"/>
      <w:divBdr>
        <w:top w:val="none" w:sz="0" w:space="0" w:color="auto"/>
        <w:left w:val="none" w:sz="0" w:space="0" w:color="auto"/>
        <w:bottom w:val="none" w:sz="0" w:space="0" w:color="auto"/>
        <w:right w:val="none" w:sz="0" w:space="0" w:color="auto"/>
      </w:divBdr>
      <w:divsChild>
        <w:div w:id="180821449">
          <w:marLeft w:val="0"/>
          <w:marRight w:val="0"/>
          <w:marTop w:val="120"/>
          <w:marBottom w:val="0"/>
          <w:divBdr>
            <w:top w:val="none" w:sz="0" w:space="0" w:color="auto"/>
            <w:left w:val="none" w:sz="0" w:space="0" w:color="auto"/>
            <w:bottom w:val="none" w:sz="0" w:space="0" w:color="auto"/>
            <w:right w:val="none" w:sz="0" w:space="0" w:color="auto"/>
          </w:divBdr>
        </w:div>
        <w:div w:id="1104307864">
          <w:marLeft w:val="0"/>
          <w:marRight w:val="0"/>
          <w:marTop w:val="60"/>
          <w:marBottom w:val="0"/>
          <w:divBdr>
            <w:top w:val="none" w:sz="0" w:space="0" w:color="auto"/>
            <w:left w:val="none" w:sz="0" w:space="0" w:color="auto"/>
            <w:bottom w:val="none" w:sz="0" w:space="0" w:color="auto"/>
            <w:right w:val="none" w:sz="0" w:space="0" w:color="auto"/>
          </w:divBdr>
        </w:div>
      </w:divsChild>
    </w:div>
    <w:div w:id="1867060159">
      <w:bodyDiv w:val="1"/>
      <w:marLeft w:val="0"/>
      <w:marRight w:val="0"/>
      <w:marTop w:val="0"/>
      <w:marBottom w:val="0"/>
      <w:divBdr>
        <w:top w:val="none" w:sz="0" w:space="0" w:color="auto"/>
        <w:left w:val="none" w:sz="0" w:space="0" w:color="auto"/>
        <w:bottom w:val="none" w:sz="0" w:space="0" w:color="auto"/>
        <w:right w:val="none" w:sz="0" w:space="0" w:color="auto"/>
      </w:divBdr>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pp.jutastatevolve.co.za/y1961v4SApg752" TargetMode="External"/><Relationship Id="rId4" Type="http://schemas.openxmlformats.org/officeDocument/2006/relationships/settings" Target="settings.xml"/><Relationship Id="rId9" Type="http://schemas.openxmlformats.org/officeDocument/2006/relationships/hyperlink" Target="https://app.jutastatevolve.co.za/y1945ADpg5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98856-B73E-407A-8AB5-FCA29036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7</TotalTime>
  <Pages>12</Pages>
  <Words>2432</Words>
  <Characters>13869</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16269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JR TYPING SERVICES</dc:creator>
  <cp:keywords>JOHAN MOORCROFT</cp:keywords>
  <dc:description/>
  <cp:lastModifiedBy>Louise Smit</cp:lastModifiedBy>
  <cp:revision>2</cp:revision>
  <cp:lastPrinted>2023-08-22T07:45:00Z</cp:lastPrinted>
  <dcterms:created xsi:type="dcterms:W3CDTF">2023-10-31T11:23:00Z</dcterms:created>
  <dcterms:modified xsi:type="dcterms:W3CDTF">2023-10-31T11:23:00Z</dcterms:modified>
</cp:coreProperties>
</file>