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CB2A" w14:textId="77777777" w:rsidR="008B5371" w:rsidRPr="00D11177" w:rsidRDefault="008B5371" w:rsidP="00A86E21">
      <w:pPr>
        <w:tabs>
          <w:tab w:val="left" w:pos="2342"/>
          <w:tab w:val="center" w:pos="4513"/>
        </w:tabs>
        <w:jc w:val="both"/>
        <w:outlineLvl w:val="0"/>
        <w:rPr>
          <w:rFonts w:ascii="Arial" w:eastAsia="Times New Roman" w:hAnsi="Arial" w:cs="Arial"/>
          <w:b/>
          <w:noProof/>
          <w:sz w:val="24"/>
          <w:szCs w:val="24"/>
          <w:lang w:val="en-ZA" w:eastAsia="en-ZA"/>
        </w:rPr>
      </w:pPr>
      <w:bookmarkStart w:id="0" w:name="_Hlk149254031"/>
      <w:bookmarkStart w:id="1" w:name="_GoBack"/>
      <w:bookmarkEnd w:id="1"/>
      <w:r w:rsidRPr="00D11177">
        <w:rPr>
          <w:rFonts w:ascii="Arial" w:eastAsia="Times New Roman" w:hAnsi="Arial" w:cs="Arial"/>
          <w:b/>
          <w:noProof/>
          <w:sz w:val="24"/>
          <w:szCs w:val="24"/>
          <w:lang w:val="en-ZA" w:eastAsia="en-ZA"/>
        </w:rPr>
        <w:t>REPUBLIC OF SOUTH AFRICA</w:t>
      </w:r>
    </w:p>
    <w:p w14:paraId="0238D08B" w14:textId="77777777" w:rsidR="008B5371" w:rsidRPr="00D11177" w:rsidRDefault="008B5371" w:rsidP="00A86E21">
      <w:pPr>
        <w:tabs>
          <w:tab w:val="left" w:pos="2342"/>
          <w:tab w:val="center" w:pos="4513"/>
        </w:tabs>
        <w:jc w:val="both"/>
        <w:outlineLvl w:val="0"/>
        <w:rPr>
          <w:rFonts w:ascii="Arial" w:eastAsia="Times New Roman" w:hAnsi="Arial" w:cs="Arial"/>
          <w:b/>
          <w:noProof/>
          <w:sz w:val="24"/>
          <w:szCs w:val="24"/>
          <w:lang w:val="en-ZA" w:eastAsia="en-ZA"/>
        </w:rPr>
      </w:pPr>
    </w:p>
    <w:p w14:paraId="58A52682" w14:textId="77777777" w:rsidR="008B5371" w:rsidRPr="00D11177" w:rsidRDefault="008B5371" w:rsidP="00A86E21">
      <w:pPr>
        <w:tabs>
          <w:tab w:val="left" w:pos="2342"/>
          <w:tab w:val="center" w:pos="4513"/>
        </w:tabs>
        <w:jc w:val="both"/>
        <w:outlineLvl w:val="0"/>
        <w:rPr>
          <w:rFonts w:ascii="Arial" w:eastAsia="Times New Roman" w:hAnsi="Arial" w:cs="Arial"/>
          <w:sz w:val="24"/>
          <w:szCs w:val="24"/>
          <w:lang w:val="en-ZA"/>
        </w:rPr>
      </w:pPr>
      <w:r w:rsidRPr="00D11177">
        <w:rPr>
          <w:rFonts w:ascii="Arial" w:eastAsia="Times New Roman" w:hAnsi="Arial" w:cs="Arial"/>
          <w:noProof/>
          <w:sz w:val="24"/>
          <w:szCs w:val="24"/>
          <w:lang w:val="en-ZA" w:eastAsia="en-ZA"/>
        </w:rPr>
        <w:drawing>
          <wp:inline distT="0" distB="0" distL="0" distR="0" wp14:anchorId="0B3311C5" wp14:editId="413D7627">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2C3240B" w14:textId="77777777" w:rsidR="008B5371" w:rsidRPr="00D11177" w:rsidRDefault="008B5371" w:rsidP="00A86E21">
      <w:pPr>
        <w:jc w:val="both"/>
        <w:outlineLvl w:val="0"/>
        <w:rPr>
          <w:rFonts w:ascii="Arial" w:eastAsia="Times New Roman" w:hAnsi="Arial" w:cs="Arial"/>
          <w:b/>
          <w:sz w:val="24"/>
          <w:szCs w:val="24"/>
          <w:lang w:val="en-ZA"/>
        </w:rPr>
      </w:pPr>
    </w:p>
    <w:p w14:paraId="234A8A2C" w14:textId="77777777" w:rsidR="008B5371" w:rsidRPr="00D11177" w:rsidRDefault="008B5371" w:rsidP="00A86E21">
      <w:pPr>
        <w:jc w:val="both"/>
        <w:outlineLvl w:val="0"/>
        <w:rPr>
          <w:rFonts w:ascii="Arial" w:eastAsia="Times New Roman" w:hAnsi="Arial" w:cs="Arial"/>
          <w:b/>
          <w:sz w:val="24"/>
          <w:szCs w:val="24"/>
          <w:lang w:val="en-ZA"/>
        </w:rPr>
      </w:pPr>
      <w:r w:rsidRPr="00D11177">
        <w:rPr>
          <w:rFonts w:ascii="Arial" w:eastAsia="Times New Roman" w:hAnsi="Arial" w:cs="Arial"/>
          <w:b/>
          <w:sz w:val="24"/>
          <w:szCs w:val="24"/>
          <w:lang w:val="en-ZA"/>
        </w:rPr>
        <w:t>IN THE HIGH COURT OF SOUTH AFRICA</w:t>
      </w:r>
    </w:p>
    <w:p w14:paraId="7DA37B18" w14:textId="77777777" w:rsidR="008B5371" w:rsidRPr="00D11177" w:rsidRDefault="008B5371" w:rsidP="00A86E21">
      <w:pPr>
        <w:jc w:val="both"/>
        <w:outlineLvl w:val="0"/>
        <w:rPr>
          <w:rFonts w:ascii="Arial" w:eastAsia="Times New Roman" w:hAnsi="Arial" w:cs="Arial"/>
          <w:b/>
          <w:sz w:val="24"/>
          <w:szCs w:val="24"/>
          <w:lang w:val="en-ZA"/>
        </w:rPr>
      </w:pPr>
      <w:r w:rsidRPr="00D11177">
        <w:rPr>
          <w:rFonts w:ascii="Arial" w:eastAsia="Times New Roman" w:hAnsi="Arial" w:cs="Arial"/>
          <w:b/>
          <w:sz w:val="24"/>
          <w:szCs w:val="24"/>
          <w:lang w:val="en-ZA"/>
        </w:rPr>
        <w:t>GAUTENG DIVISION, JOHANNESBURG</w:t>
      </w:r>
    </w:p>
    <w:p w14:paraId="03B64201" w14:textId="77777777" w:rsidR="008B5371" w:rsidRPr="00D11177" w:rsidRDefault="008B5371" w:rsidP="008A1103">
      <w:pPr>
        <w:jc w:val="both"/>
        <w:rPr>
          <w:rFonts w:ascii="Arial" w:eastAsia="Times New Roman" w:hAnsi="Arial" w:cs="Arial"/>
          <w:sz w:val="24"/>
          <w:szCs w:val="24"/>
          <w:lang w:val="en-ZA"/>
        </w:rPr>
      </w:pPr>
    </w:p>
    <w:p w14:paraId="020EE4A1" w14:textId="77777777" w:rsidR="008B5371" w:rsidRPr="00D11177" w:rsidRDefault="008B5371" w:rsidP="008A1103">
      <w:pPr>
        <w:jc w:val="both"/>
        <w:rPr>
          <w:rFonts w:ascii="Arial" w:eastAsia="Times New Roman" w:hAnsi="Arial" w:cs="Arial"/>
          <w:sz w:val="24"/>
          <w:szCs w:val="24"/>
          <w:lang w:val="en-ZA"/>
        </w:rPr>
      </w:pPr>
    </w:p>
    <w:p w14:paraId="106593D0" w14:textId="77777777" w:rsidR="008B5371" w:rsidRPr="00D11177" w:rsidRDefault="008B5371" w:rsidP="008A1103">
      <w:pPr>
        <w:tabs>
          <w:tab w:val="right" w:pos="9029"/>
        </w:tabs>
        <w:jc w:val="both"/>
        <w:rPr>
          <w:rFonts w:ascii="Arial" w:eastAsia="Times New Roman" w:hAnsi="Arial" w:cs="Arial"/>
          <w:bCs/>
          <w:sz w:val="24"/>
          <w:szCs w:val="24"/>
          <w:lang w:val="en-ZA"/>
        </w:rPr>
      </w:pPr>
      <w:r w:rsidRPr="00D11177">
        <w:rPr>
          <w:rFonts w:ascii="Arial" w:eastAsia="Times New Roman" w:hAnsi="Arial" w:cs="Arial"/>
          <w:sz w:val="24"/>
          <w:szCs w:val="24"/>
          <w:lang w:val="en-ZA"/>
        </w:rPr>
        <w:tab/>
      </w:r>
      <w:r w:rsidRPr="00E121E3">
        <w:rPr>
          <w:rFonts w:ascii="Arial" w:eastAsia="Times New Roman" w:hAnsi="Arial" w:cs="Arial"/>
          <w:bCs/>
          <w:sz w:val="24"/>
          <w:szCs w:val="24"/>
          <w:lang w:val="en-ZA"/>
        </w:rPr>
        <w:t>Case N</w:t>
      </w:r>
      <w:r w:rsidR="002A2849" w:rsidRPr="00E121E3">
        <w:rPr>
          <w:rFonts w:ascii="Arial" w:eastAsia="Times New Roman" w:hAnsi="Arial" w:cs="Arial"/>
          <w:bCs/>
          <w:sz w:val="24"/>
          <w:szCs w:val="24"/>
          <w:lang w:val="en-ZA"/>
        </w:rPr>
        <w:t>umber</w:t>
      </w:r>
      <w:r w:rsidR="006325A3" w:rsidRPr="00E121E3">
        <w:rPr>
          <w:rFonts w:ascii="Arial" w:eastAsia="Times New Roman" w:hAnsi="Arial" w:cs="Arial"/>
          <w:bCs/>
          <w:sz w:val="24"/>
          <w:szCs w:val="24"/>
          <w:lang w:val="en-ZA"/>
        </w:rPr>
        <w:t>:</w:t>
      </w:r>
      <w:r w:rsidR="00E121E3" w:rsidRPr="00E121E3">
        <w:rPr>
          <w:rFonts w:ascii="Arial" w:eastAsia="Times New Roman" w:hAnsi="Arial" w:cs="Times New Roman"/>
          <w:szCs w:val="20"/>
        </w:rPr>
        <w:t xml:space="preserve"> </w:t>
      </w:r>
      <w:r w:rsidR="00E121E3" w:rsidRPr="00E121E3">
        <w:rPr>
          <w:rFonts w:ascii="Arial" w:eastAsia="Times New Roman" w:hAnsi="Arial" w:cs="Arial"/>
          <w:bCs/>
          <w:sz w:val="24"/>
          <w:szCs w:val="24"/>
        </w:rPr>
        <w:t>2021/30511</w:t>
      </w:r>
      <w:r w:rsidR="006325A3" w:rsidRPr="00E121E3">
        <w:rPr>
          <w:rFonts w:ascii="Arial" w:eastAsia="Times New Roman" w:hAnsi="Arial" w:cs="Arial"/>
          <w:bCs/>
          <w:sz w:val="24"/>
          <w:szCs w:val="24"/>
          <w:lang w:val="en-ZA"/>
        </w:rPr>
        <w:t xml:space="preserve"> </w:t>
      </w:r>
    </w:p>
    <w:p w14:paraId="23E44332" w14:textId="77777777" w:rsidR="008B5371" w:rsidRPr="00D11177" w:rsidRDefault="009F6000" w:rsidP="008A1103">
      <w:pPr>
        <w:tabs>
          <w:tab w:val="right" w:pos="9029"/>
        </w:tabs>
        <w:jc w:val="both"/>
        <w:rPr>
          <w:rFonts w:ascii="Arial" w:eastAsia="Times New Roman" w:hAnsi="Arial" w:cs="Arial"/>
          <w:sz w:val="24"/>
          <w:szCs w:val="24"/>
          <w:lang w:val="en-ZA"/>
        </w:rPr>
      </w:pPr>
      <w:r w:rsidRPr="00D11177">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6DEA89DC" wp14:editId="59B7B900">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CF0DB04" w14:textId="77777777" w:rsidR="009F6000" w:rsidRPr="00913F95" w:rsidRDefault="009F6000" w:rsidP="009F6000">
                            <w:pPr>
                              <w:jc w:val="center"/>
                              <w:rPr>
                                <w:rFonts w:ascii="Century Gothic" w:hAnsi="Century Gothic"/>
                                <w:b/>
                                <w:sz w:val="20"/>
                                <w:szCs w:val="20"/>
                              </w:rPr>
                            </w:pPr>
                          </w:p>
                          <w:p w14:paraId="7F0F0C41" w14:textId="370B3174" w:rsidR="009F6000" w:rsidRPr="00C344A5" w:rsidRDefault="00975616" w:rsidP="00975616">
                            <w:pPr>
                              <w:tabs>
                                <w:tab w:val="left" w:pos="900"/>
                              </w:tabs>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9F6000" w:rsidRPr="00C344A5">
                              <w:rPr>
                                <w:rFonts w:ascii="Arial" w:hAnsi="Arial" w:cs="Arial"/>
                                <w:sz w:val="18"/>
                                <w:szCs w:val="20"/>
                              </w:rPr>
                              <w:t>REPORTABLE: YES / NO</w:t>
                            </w:r>
                          </w:p>
                          <w:p w14:paraId="7F5617B7" w14:textId="76BFCC3D" w:rsidR="009F6000" w:rsidRPr="00C344A5" w:rsidRDefault="00975616" w:rsidP="00975616">
                            <w:pPr>
                              <w:tabs>
                                <w:tab w:val="left" w:pos="900"/>
                              </w:tabs>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9F6000" w:rsidRPr="00C344A5">
                              <w:rPr>
                                <w:rFonts w:ascii="Arial" w:hAnsi="Arial" w:cs="Arial"/>
                                <w:sz w:val="18"/>
                                <w:szCs w:val="20"/>
                              </w:rPr>
                              <w:t>OF INTEREST TO OTHER JUDGES: NO</w:t>
                            </w:r>
                          </w:p>
                          <w:p w14:paraId="24D8BC4C" w14:textId="524D338F" w:rsidR="009F6000" w:rsidRPr="00C344A5" w:rsidRDefault="00975616" w:rsidP="00975616">
                            <w:pPr>
                              <w:tabs>
                                <w:tab w:val="left" w:pos="900"/>
                              </w:tabs>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9F6000" w:rsidRPr="00C344A5">
                              <w:rPr>
                                <w:rFonts w:ascii="Arial" w:hAnsi="Arial" w:cs="Arial"/>
                                <w:sz w:val="18"/>
                                <w:szCs w:val="20"/>
                              </w:rPr>
                              <w:t>REVISED</w:t>
                            </w:r>
                            <w:r w:rsidR="002A2849" w:rsidRPr="00C344A5">
                              <w:rPr>
                                <w:rFonts w:ascii="Arial" w:hAnsi="Arial" w:cs="Arial"/>
                                <w:sz w:val="18"/>
                                <w:szCs w:val="20"/>
                              </w:rPr>
                              <w:t>: NO</w:t>
                            </w:r>
                          </w:p>
                          <w:p w14:paraId="29BC69FB" w14:textId="77777777" w:rsidR="009F6000" w:rsidRPr="00C344A5" w:rsidRDefault="009F6000" w:rsidP="009F6000">
                            <w:pPr>
                              <w:rPr>
                                <w:rFonts w:ascii="Arial" w:hAnsi="Arial" w:cs="Arial"/>
                                <w:b/>
                                <w:sz w:val="18"/>
                                <w:szCs w:val="20"/>
                              </w:rPr>
                            </w:pPr>
                          </w:p>
                          <w:p w14:paraId="3C3A88C4" w14:textId="77777777" w:rsidR="009F6000" w:rsidRPr="00C344A5" w:rsidRDefault="002A2849" w:rsidP="009F6000">
                            <w:pPr>
                              <w:rPr>
                                <w:rFonts w:ascii="Arial" w:hAnsi="Arial" w:cs="Arial"/>
                                <w:b/>
                                <w:sz w:val="18"/>
                                <w:szCs w:val="20"/>
                              </w:rPr>
                            </w:pPr>
                            <w:r w:rsidRPr="00C344A5">
                              <w:rPr>
                                <w:rFonts w:ascii="Arial" w:hAnsi="Arial" w:cs="Arial"/>
                                <w:b/>
                                <w:sz w:val="18"/>
                                <w:szCs w:val="20"/>
                              </w:rPr>
                              <w:t>______________</w:t>
                            </w:r>
                            <w:r w:rsidR="00C344A5" w:rsidRPr="00C344A5">
                              <w:rPr>
                                <w:rFonts w:ascii="Arial" w:hAnsi="Arial" w:cs="Arial"/>
                                <w:b/>
                                <w:sz w:val="18"/>
                                <w:szCs w:val="20"/>
                              </w:rPr>
                              <w:tab/>
                            </w:r>
                            <w:r w:rsidR="00C344A5">
                              <w:rPr>
                                <w:rFonts w:ascii="Arial" w:hAnsi="Arial" w:cs="Arial"/>
                                <w:b/>
                                <w:sz w:val="18"/>
                                <w:szCs w:val="20"/>
                              </w:rPr>
                              <w:tab/>
                            </w:r>
                            <w:r w:rsidRPr="00C344A5">
                              <w:rPr>
                                <w:rFonts w:ascii="Arial" w:hAnsi="Arial" w:cs="Arial"/>
                                <w:b/>
                                <w:sz w:val="18"/>
                                <w:szCs w:val="20"/>
                              </w:rPr>
                              <w:t>_________________________</w:t>
                            </w:r>
                          </w:p>
                          <w:p w14:paraId="2C9DA517" w14:textId="77777777" w:rsidR="009F6000" w:rsidRPr="00C344A5" w:rsidRDefault="009F6000" w:rsidP="009F6000">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A89DC"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3CF0DB04" w14:textId="77777777" w:rsidR="009F6000" w:rsidRPr="00913F95" w:rsidRDefault="009F6000" w:rsidP="009F6000">
                      <w:pPr>
                        <w:jc w:val="center"/>
                        <w:rPr>
                          <w:rFonts w:ascii="Century Gothic" w:hAnsi="Century Gothic"/>
                          <w:b/>
                          <w:sz w:val="20"/>
                          <w:szCs w:val="20"/>
                        </w:rPr>
                      </w:pPr>
                    </w:p>
                    <w:p w14:paraId="7F0F0C41" w14:textId="370B3174" w:rsidR="009F6000" w:rsidRPr="00C344A5" w:rsidRDefault="00975616" w:rsidP="00975616">
                      <w:pPr>
                        <w:tabs>
                          <w:tab w:val="left" w:pos="900"/>
                        </w:tabs>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9F6000" w:rsidRPr="00C344A5">
                        <w:rPr>
                          <w:rFonts w:ascii="Arial" w:hAnsi="Arial" w:cs="Arial"/>
                          <w:sz w:val="18"/>
                          <w:szCs w:val="20"/>
                        </w:rPr>
                        <w:t>REPORTABLE: YES / NO</w:t>
                      </w:r>
                    </w:p>
                    <w:p w14:paraId="7F5617B7" w14:textId="76BFCC3D" w:rsidR="009F6000" w:rsidRPr="00C344A5" w:rsidRDefault="00975616" w:rsidP="00975616">
                      <w:pPr>
                        <w:tabs>
                          <w:tab w:val="left" w:pos="900"/>
                        </w:tabs>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9F6000" w:rsidRPr="00C344A5">
                        <w:rPr>
                          <w:rFonts w:ascii="Arial" w:hAnsi="Arial" w:cs="Arial"/>
                          <w:sz w:val="18"/>
                          <w:szCs w:val="20"/>
                        </w:rPr>
                        <w:t>OF INTEREST TO OTHER JUDGES: NO</w:t>
                      </w:r>
                    </w:p>
                    <w:p w14:paraId="24D8BC4C" w14:textId="524D338F" w:rsidR="009F6000" w:rsidRPr="00C344A5" w:rsidRDefault="00975616" w:rsidP="00975616">
                      <w:pPr>
                        <w:tabs>
                          <w:tab w:val="left" w:pos="900"/>
                        </w:tabs>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9F6000" w:rsidRPr="00C344A5">
                        <w:rPr>
                          <w:rFonts w:ascii="Arial" w:hAnsi="Arial" w:cs="Arial"/>
                          <w:sz w:val="18"/>
                          <w:szCs w:val="20"/>
                        </w:rPr>
                        <w:t>REVISED</w:t>
                      </w:r>
                      <w:r w:rsidR="002A2849" w:rsidRPr="00C344A5">
                        <w:rPr>
                          <w:rFonts w:ascii="Arial" w:hAnsi="Arial" w:cs="Arial"/>
                          <w:sz w:val="18"/>
                          <w:szCs w:val="20"/>
                        </w:rPr>
                        <w:t>: NO</w:t>
                      </w:r>
                    </w:p>
                    <w:p w14:paraId="29BC69FB" w14:textId="77777777" w:rsidR="009F6000" w:rsidRPr="00C344A5" w:rsidRDefault="009F6000" w:rsidP="009F6000">
                      <w:pPr>
                        <w:rPr>
                          <w:rFonts w:ascii="Arial" w:hAnsi="Arial" w:cs="Arial"/>
                          <w:b/>
                          <w:sz w:val="18"/>
                          <w:szCs w:val="20"/>
                        </w:rPr>
                      </w:pPr>
                    </w:p>
                    <w:p w14:paraId="3C3A88C4" w14:textId="77777777" w:rsidR="009F6000" w:rsidRPr="00C344A5" w:rsidRDefault="002A2849" w:rsidP="009F6000">
                      <w:pPr>
                        <w:rPr>
                          <w:rFonts w:ascii="Arial" w:hAnsi="Arial" w:cs="Arial"/>
                          <w:b/>
                          <w:sz w:val="18"/>
                          <w:szCs w:val="20"/>
                        </w:rPr>
                      </w:pPr>
                      <w:r w:rsidRPr="00C344A5">
                        <w:rPr>
                          <w:rFonts w:ascii="Arial" w:hAnsi="Arial" w:cs="Arial"/>
                          <w:b/>
                          <w:sz w:val="18"/>
                          <w:szCs w:val="20"/>
                        </w:rPr>
                        <w:t>______________</w:t>
                      </w:r>
                      <w:r w:rsidR="00C344A5" w:rsidRPr="00C344A5">
                        <w:rPr>
                          <w:rFonts w:ascii="Arial" w:hAnsi="Arial" w:cs="Arial"/>
                          <w:b/>
                          <w:sz w:val="18"/>
                          <w:szCs w:val="20"/>
                        </w:rPr>
                        <w:tab/>
                      </w:r>
                      <w:r w:rsidR="00C344A5">
                        <w:rPr>
                          <w:rFonts w:ascii="Arial" w:hAnsi="Arial" w:cs="Arial"/>
                          <w:b/>
                          <w:sz w:val="18"/>
                          <w:szCs w:val="20"/>
                        </w:rPr>
                        <w:tab/>
                      </w:r>
                      <w:r w:rsidRPr="00C344A5">
                        <w:rPr>
                          <w:rFonts w:ascii="Arial" w:hAnsi="Arial" w:cs="Arial"/>
                          <w:b/>
                          <w:sz w:val="18"/>
                          <w:szCs w:val="20"/>
                        </w:rPr>
                        <w:t>_________________________</w:t>
                      </w:r>
                    </w:p>
                    <w:p w14:paraId="2C9DA517" w14:textId="77777777" w:rsidR="009F6000" w:rsidRPr="00C344A5" w:rsidRDefault="009F6000" w:rsidP="009F6000">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06F29B3A" w14:textId="77777777" w:rsidR="008B5371" w:rsidRPr="00D11177" w:rsidRDefault="008B5371" w:rsidP="008A1103">
      <w:pPr>
        <w:tabs>
          <w:tab w:val="left" w:pos="8998"/>
        </w:tabs>
        <w:jc w:val="both"/>
        <w:rPr>
          <w:rFonts w:ascii="Arial" w:eastAsia="Times New Roman" w:hAnsi="Arial" w:cs="Arial"/>
          <w:sz w:val="24"/>
          <w:szCs w:val="24"/>
          <w:lang w:val="en-ZA"/>
        </w:rPr>
      </w:pPr>
    </w:p>
    <w:p w14:paraId="2439AD2E" w14:textId="77777777" w:rsidR="008B5371" w:rsidRPr="00D11177" w:rsidRDefault="008B5371" w:rsidP="008A1103">
      <w:pPr>
        <w:tabs>
          <w:tab w:val="left" w:pos="8998"/>
        </w:tabs>
        <w:jc w:val="both"/>
        <w:rPr>
          <w:rFonts w:ascii="Arial" w:eastAsia="Times New Roman" w:hAnsi="Arial" w:cs="Arial"/>
          <w:sz w:val="24"/>
          <w:szCs w:val="24"/>
          <w:lang w:val="en-ZA"/>
        </w:rPr>
      </w:pPr>
    </w:p>
    <w:p w14:paraId="53B57E86" w14:textId="77777777" w:rsidR="008B5371" w:rsidRPr="00D11177" w:rsidRDefault="008B5371" w:rsidP="008A1103">
      <w:pPr>
        <w:tabs>
          <w:tab w:val="left" w:pos="8998"/>
        </w:tabs>
        <w:jc w:val="both"/>
        <w:rPr>
          <w:rFonts w:ascii="Arial" w:eastAsia="Times New Roman" w:hAnsi="Arial" w:cs="Arial"/>
          <w:sz w:val="24"/>
          <w:szCs w:val="24"/>
          <w:lang w:val="en-ZA"/>
        </w:rPr>
      </w:pPr>
      <w:r w:rsidRPr="00D11177">
        <w:rPr>
          <w:rFonts w:ascii="Arial" w:eastAsia="Times New Roman" w:hAnsi="Arial" w:cs="Arial"/>
          <w:sz w:val="24"/>
          <w:szCs w:val="24"/>
          <w:lang w:val="en-ZA"/>
        </w:rPr>
        <w:t>In the matter between:</w:t>
      </w:r>
    </w:p>
    <w:p w14:paraId="74C3B916" w14:textId="77777777" w:rsidR="008B5371" w:rsidRPr="00D11177" w:rsidRDefault="008B5371" w:rsidP="008A1103">
      <w:pPr>
        <w:tabs>
          <w:tab w:val="right" w:pos="9029"/>
        </w:tabs>
        <w:jc w:val="both"/>
        <w:rPr>
          <w:rFonts w:ascii="Arial" w:eastAsia="Times New Roman" w:hAnsi="Arial" w:cs="Arial"/>
          <w:sz w:val="24"/>
          <w:szCs w:val="24"/>
          <w:lang w:val="en-ZA"/>
        </w:rPr>
      </w:pPr>
    </w:p>
    <w:p w14:paraId="13A07C1A" w14:textId="77777777" w:rsidR="008B5371" w:rsidRPr="00D11177" w:rsidRDefault="008B5371" w:rsidP="008A1103">
      <w:pPr>
        <w:tabs>
          <w:tab w:val="right" w:pos="9029"/>
        </w:tabs>
        <w:jc w:val="both"/>
        <w:rPr>
          <w:rFonts w:ascii="Arial" w:eastAsia="Times New Roman" w:hAnsi="Arial" w:cs="Arial"/>
          <w:sz w:val="24"/>
          <w:szCs w:val="24"/>
          <w:lang w:val="en-ZA"/>
        </w:rPr>
      </w:pPr>
    </w:p>
    <w:p w14:paraId="0EC5B5B5" w14:textId="77777777" w:rsidR="009F6000" w:rsidRPr="00D11177" w:rsidRDefault="009F6000" w:rsidP="008A1103">
      <w:pPr>
        <w:tabs>
          <w:tab w:val="right" w:pos="9029"/>
        </w:tabs>
        <w:contextualSpacing/>
        <w:jc w:val="both"/>
        <w:rPr>
          <w:rFonts w:ascii="Arial" w:eastAsia="Times New Roman" w:hAnsi="Arial" w:cs="Arial"/>
          <w:b/>
          <w:sz w:val="24"/>
          <w:szCs w:val="24"/>
          <w:lang w:val="en-ZA"/>
        </w:rPr>
      </w:pPr>
    </w:p>
    <w:p w14:paraId="51D8A670" w14:textId="77777777" w:rsidR="009F6000" w:rsidRPr="00D11177" w:rsidRDefault="009F6000" w:rsidP="008A1103">
      <w:pPr>
        <w:tabs>
          <w:tab w:val="right" w:pos="9029"/>
        </w:tabs>
        <w:contextualSpacing/>
        <w:jc w:val="both"/>
        <w:rPr>
          <w:rFonts w:ascii="Arial" w:eastAsia="Times New Roman" w:hAnsi="Arial" w:cs="Arial"/>
          <w:b/>
          <w:sz w:val="24"/>
          <w:szCs w:val="24"/>
          <w:lang w:val="en-ZA"/>
        </w:rPr>
      </w:pPr>
    </w:p>
    <w:p w14:paraId="7F75EDAD" w14:textId="77777777" w:rsidR="009F6000" w:rsidRPr="00D11177" w:rsidRDefault="009F6000" w:rsidP="008A1103">
      <w:pPr>
        <w:tabs>
          <w:tab w:val="right" w:pos="9029"/>
        </w:tabs>
        <w:contextualSpacing/>
        <w:jc w:val="both"/>
        <w:rPr>
          <w:rFonts w:ascii="Arial" w:eastAsia="Times New Roman" w:hAnsi="Arial" w:cs="Arial"/>
          <w:b/>
          <w:sz w:val="24"/>
          <w:szCs w:val="24"/>
          <w:lang w:val="en-ZA"/>
        </w:rPr>
      </w:pPr>
    </w:p>
    <w:p w14:paraId="6A2C01A0" w14:textId="77777777" w:rsidR="002A2849" w:rsidRPr="00D11177" w:rsidRDefault="002A2849" w:rsidP="008A1103">
      <w:pPr>
        <w:tabs>
          <w:tab w:val="right" w:pos="9029"/>
        </w:tabs>
        <w:contextualSpacing/>
        <w:jc w:val="both"/>
        <w:rPr>
          <w:rFonts w:ascii="Arial" w:eastAsia="Times New Roman" w:hAnsi="Arial" w:cs="Arial"/>
          <w:b/>
          <w:sz w:val="24"/>
          <w:szCs w:val="24"/>
          <w:lang w:val="en-ZA"/>
        </w:rPr>
      </w:pPr>
    </w:p>
    <w:p w14:paraId="35475A07" w14:textId="77777777" w:rsidR="002A2849" w:rsidRPr="0083108A" w:rsidRDefault="002A2849" w:rsidP="008A1103">
      <w:pPr>
        <w:tabs>
          <w:tab w:val="right" w:pos="9029"/>
        </w:tabs>
        <w:contextualSpacing/>
        <w:jc w:val="both"/>
        <w:rPr>
          <w:rFonts w:ascii="Arial" w:eastAsia="Times New Roman" w:hAnsi="Arial" w:cs="Arial"/>
          <w:sz w:val="24"/>
          <w:szCs w:val="24"/>
          <w:lang w:val="en-ZA"/>
        </w:rPr>
      </w:pPr>
      <w:r w:rsidRPr="0083108A">
        <w:rPr>
          <w:rFonts w:ascii="Arial" w:eastAsia="Times New Roman" w:hAnsi="Arial" w:cs="Arial"/>
          <w:sz w:val="24"/>
          <w:szCs w:val="24"/>
          <w:lang w:val="en-ZA"/>
        </w:rPr>
        <w:t>In the matter between:</w:t>
      </w:r>
    </w:p>
    <w:p w14:paraId="23E405E5" w14:textId="77777777" w:rsidR="002A2849" w:rsidRPr="00D11177" w:rsidRDefault="002A2849" w:rsidP="008A1103">
      <w:pPr>
        <w:tabs>
          <w:tab w:val="right" w:pos="9029"/>
        </w:tabs>
        <w:contextualSpacing/>
        <w:jc w:val="both"/>
        <w:rPr>
          <w:rFonts w:ascii="Arial" w:eastAsia="Times New Roman" w:hAnsi="Arial" w:cs="Arial"/>
          <w:b/>
          <w:sz w:val="24"/>
          <w:szCs w:val="24"/>
          <w:lang w:val="en-ZA"/>
        </w:rPr>
      </w:pPr>
    </w:p>
    <w:p w14:paraId="36D3AF90" w14:textId="7E2EDCE4" w:rsidR="008B5371" w:rsidRPr="00E121E3" w:rsidRDefault="00707B09" w:rsidP="00707B09">
      <w:pPr>
        <w:tabs>
          <w:tab w:val="right" w:pos="9029"/>
        </w:tabs>
        <w:contextualSpacing/>
        <w:jc w:val="both"/>
        <w:rPr>
          <w:rFonts w:ascii="Arial" w:eastAsia="Times New Roman" w:hAnsi="Arial" w:cs="Arial"/>
          <w:bCs/>
          <w:sz w:val="24"/>
          <w:szCs w:val="24"/>
          <w:lang w:val="en-ZA"/>
        </w:rPr>
      </w:pPr>
      <w:r w:rsidRPr="00E121E3">
        <w:rPr>
          <w:rFonts w:ascii="Arial" w:eastAsia="Times New Roman" w:hAnsi="Arial" w:cs="Arial"/>
          <w:bCs/>
          <w:sz w:val="24"/>
          <w:szCs w:val="24"/>
        </w:rPr>
        <w:t>TRUVAL MANUFACTURERS</w:t>
      </w:r>
      <w:r w:rsidR="002A2849" w:rsidRPr="00E121E3">
        <w:rPr>
          <w:rFonts w:ascii="Arial" w:eastAsia="Times New Roman" w:hAnsi="Arial" w:cs="Arial"/>
          <w:bCs/>
          <w:sz w:val="24"/>
          <w:szCs w:val="24"/>
          <w:lang w:val="en-ZA"/>
        </w:rPr>
        <w:tab/>
      </w:r>
      <w:r>
        <w:rPr>
          <w:rFonts w:ascii="Arial" w:eastAsia="Times New Roman" w:hAnsi="Arial" w:cs="Arial"/>
          <w:bCs/>
          <w:sz w:val="24"/>
          <w:szCs w:val="24"/>
          <w:lang w:val="en-ZA"/>
        </w:rPr>
        <w:t>Intervener</w:t>
      </w:r>
    </w:p>
    <w:p w14:paraId="7202E679" w14:textId="77777777" w:rsidR="008B5371" w:rsidRPr="00E121E3" w:rsidRDefault="008B5371" w:rsidP="008A1103">
      <w:pPr>
        <w:tabs>
          <w:tab w:val="right" w:pos="9029"/>
        </w:tabs>
        <w:contextualSpacing/>
        <w:jc w:val="both"/>
        <w:rPr>
          <w:rFonts w:ascii="Arial" w:eastAsia="Times New Roman" w:hAnsi="Arial" w:cs="Arial"/>
          <w:bCs/>
          <w:sz w:val="24"/>
          <w:szCs w:val="24"/>
          <w:lang w:val="en-ZA"/>
        </w:rPr>
      </w:pPr>
    </w:p>
    <w:p w14:paraId="773BF6CA" w14:textId="75464CDA" w:rsidR="00707B09" w:rsidRPr="00E121E3" w:rsidRDefault="00707B09" w:rsidP="00707B09">
      <w:pPr>
        <w:tabs>
          <w:tab w:val="right" w:pos="9029"/>
        </w:tabs>
        <w:contextualSpacing/>
        <w:jc w:val="both"/>
        <w:rPr>
          <w:rFonts w:ascii="Arial" w:eastAsia="Times New Roman" w:hAnsi="Arial" w:cs="Arial"/>
          <w:bCs/>
          <w:sz w:val="24"/>
          <w:szCs w:val="24"/>
          <w:lang w:val="en-ZA"/>
        </w:rPr>
      </w:pPr>
      <w:r w:rsidRPr="00E121E3">
        <w:rPr>
          <w:rFonts w:ascii="Arial" w:eastAsia="Times New Roman" w:hAnsi="Arial" w:cs="Times New Roman"/>
          <w:bCs/>
          <w:kern w:val="28"/>
          <w:sz w:val="24"/>
          <w:szCs w:val="24"/>
          <w:lang w:eastAsia="en-GB"/>
        </w:rPr>
        <w:t>ENYUKA PROP HOLDINGS (PTY) LTD</w:t>
      </w:r>
      <w:r w:rsidRPr="00E121E3">
        <w:rPr>
          <w:rFonts w:ascii="Arial" w:eastAsia="Times New Roman" w:hAnsi="Arial" w:cs="Arial"/>
          <w:bCs/>
          <w:sz w:val="24"/>
          <w:szCs w:val="24"/>
          <w:lang w:val="en-ZA"/>
        </w:rPr>
        <w:tab/>
      </w:r>
      <w:r>
        <w:rPr>
          <w:rFonts w:ascii="Arial" w:eastAsia="Times New Roman" w:hAnsi="Arial" w:cs="Arial"/>
          <w:bCs/>
          <w:sz w:val="24"/>
          <w:szCs w:val="24"/>
          <w:lang w:val="en-ZA"/>
        </w:rPr>
        <w:t>Applicant</w:t>
      </w:r>
    </w:p>
    <w:p w14:paraId="5277A250" w14:textId="77777777" w:rsidR="00707B09" w:rsidRPr="00E121E3" w:rsidRDefault="00707B09" w:rsidP="00707B09">
      <w:pPr>
        <w:tabs>
          <w:tab w:val="right" w:pos="9029"/>
        </w:tabs>
        <w:contextualSpacing/>
        <w:jc w:val="both"/>
        <w:rPr>
          <w:rFonts w:ascii="Arial" w:eastAsia="Times New Roman" w:hAnsi="Arial" w:cs="Arial"/>
          <w:bCs/>
          <w:sz w:val="24"/>
          <w:szCs w:val="24"/>
          <w:lang w:val="en-ZA"/>
        </w:rPr>
      </w:pPr>
    </w:p>
    <w:p w14:paraId="7450B4E1" w14:textId="7B2AAE3B" w:rsidR="00C344A5" w:rsidRPr="00E121E3" w:rsidRDefault="00C344A5" w:rsidP="008A1103">
      <w:pPr>
        <w:tabs>
          <w:tab w:val="right" w:pos="9029"/>
        </w:tabs>
        <w:contextualSpacing/>
        <w:jc w:val="both"/>
        <w:rPr>
          <w:rFonts w:ascii="Arial" w:eastAsia="Times New Roman" w:hAnsi="Arial" w:cs="Arial"/>
          <w:bCs/>
          <w:sz w:val="24"/>
          <w:szCs w:val="24"/>
          <w:lang w:val="en-ZA"/>
        </w:rPr>
      </w:pPr>
    </w:p>
    <w:p w14:paraId="5737FE91" w14:textId="77777777" w:rsidR="00C344A5" w:rsidRPr="00E121E3" w:rsidRDefault="00C344A5" w:rsidP="008A1103">
      <w:pPr>
        <w:tabs>
          <w:tab w:val="right" w:pos="9029"/>
        </w:tabs>
        <w:contextualSpacing/>
        <w:jc w:val="both"/>
        <w:rPr>
          <w:rFonts w:ascii="Arial" w:eastAsia="Times New Roman" w:hAnsi="Arial" w:cs="Arial"/>
          <w:bCs/>
          <w:sz w:val="24"/>
          <w:szCs w:val="24"/>
          <w:lang w:val="en-ZA"/>
        </w:rPr>
      </w:pPr>
    </w:p>
    <w:p w14:paraId="1A2DF0FF" w14:textId="77777777" w:rsidR="008B5371" w:rsidRPr="00E121E3" w:rsidRDefault="002A2849" w:rsidP="008A1103">
      <w:pPr>
        <w:tabs>
          <w:tab w:val="right" w:pos="9029"/>
        </w:tabs>
        <w:contextualSpacing/>
        <w:jc w:val="both"/>
        <w:rPr>
          <w:rFonts w:ascii="Arial" w:eastAsia="Times New Roman" w:hAnsi="Arial" w:cs="Arial"/>
          <w:bCs/>
          <w:sz w:val="24"/>
          <w:szCs w:val="24"/>
          <w:lang w:val="en-ZA"/>
        </w:rPr>
      </w:pPr>
      <w:r w:rsidRPr="00E121E3">
        <w:rPr>
          <w:rFonts w:ascii="Arial" w:eastAsia="Times New Roman" w:hAnsi="Arial" w:cs="Arial"/>
          <w:bCs/>
          <w:sz w:val="24"/>
          <w:szCs w:val="24"/>
          <w:lang w:val="en-ZA"/>
        </w:rPr>
        <w:t>AND</w:t>
      </w:r>
    </w:p>
    <w:p w14:paraId="6F8324D3" w14:textId="77777777" w:rsidR="008B5371" w:rsidRPr="00E121E3" w:rsidRDefault="008B5371" w:rsidP="008A1103">
      <w:pPr>
        <w:tabs>
          <w:tab w:val="right" w:pos="9029"/>
        </w:tabs>
        <w:contextualSpacing/>
        <w:jc w:val="both"/>
        <w:rPr>
          <w:rFonts w:ascii="Arial" w:eastAsia="Times New Roman" w:hAnsi="Arial" w:cs="Arial"/>
          <w:bCs/>
          <w:sz w:val="24"/>
          <w:szCs w:val="24"/>
          <w:lang w:val="en-ZA"/>
        </w:rPr>
      </w:pPr>
    </w:p>
    <w:p w14:paraId="1528A9B7"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UNITED MERCHANTS CC (in liquidation)</w:t>
      </w:r>
      <w:r w:rsidRPr="00E121E3">
        <w:rPr>
          <w:rFonts w:ascii="Arial" w:hAnsi="Arial" w:cs="Arial"/>
          <w:bCs/>
          <w:sz w:val="24"/>
          <w:szCs w:val="24"/>
        </w:rPr>
        <w:tab/>
        <w:t>First Respondent</w:t>
      </w:r>
    </w:p>
    <w:p w14:paraId="54039D15" w14:textId="77777777" w:rsidR="00E121E3" w:rsidRPr="00E121E3" w:rsidRDefault="00E121E3" w:rsidP="008A1103">
      <w:pPr>
        <w:tabs>
          <w:tab w:val="right" w:pos="9029"/>
        </w:tabs>
        <w:contextualSpacing/>
        <w:jc w:val="both"/>
        <w:rPr>
          <w:rFonts w:ascii="Arial" w:hAnsi="Arial" w:cs="Arial"/>
          <w:bCs/>
          <w:sz w:val="24"/>
          <w:szCs w:val="24"/>
        </w:rPr>
      </w:pPr>
    </w:p>
    <w:p w14:paraId="29AE1309"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KOBUS VAN DER WESTHUIZEN N.O.</w:t>
      </w:r>
      <w:r w:rsidRPr="00E121E3">
        <w:rPr>
          <w:rFonts w:ascii="Arial" w:hAnsi="Arial" w:cs="Arial"/>
          <w:bCs/>
          <w:sz w:val="24"/>
          <w:szCs w:val="24"/>
        </w:rPr>
        <w:tab/>
        <w:t>Second Respondent</w:t>
      </w:r>
    </w:p>
    <w:p w14:paraId="161D0309" w14:textId="77777777" w:rsidR="00E121E3" w:rsidRPr="00E121E3" w:rsidRDefault="00E121E3" w:rsidP="008A1103">
      <w:pPr>
        <w:tabs>
          <w:tab w:val="right" w:pos="9029"/>
        </w:tabs>
        <w:contextualSpacing/>
        <w:jc w:val="both"/>
        <w:rPr>
          <w:rFonts w:ascii="Arial" w:hAnsi="Arial" w:cs="Arial"/>
          <w:bCs/>
          <w:sz w:val="24"/>
          <w:szCs w:val="24"/>
        </w:rPr>
      </w:pPr>
    </w:p>
    <w:p w14:paraId="720A1DAC"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TALHA MOOIN MAYET N.O.</w:t>
      </w:r>
      <w:r w:rsidRPr="00E121E3">
        <w:rPr>
          <w:rFonts w:ascii="Arial" w:hAnsi="Arial" w:cs="Arial"/>
          <w:bCs/>
          <w:sz w:val="24"/>
          <w:szCs w:val="24"/>
        </w:rPr>
        <w:tab/>
        <w:t>Third Respondent</w:t>
      </w:r>
    </w:p>
    <w:p w14:paraId="0921528A" w14:textId="77777777" w:rsidR="00E121E3" w:rsidRPr="00E121E3" w:rsidRDefault="00E121E3" w:rsidP="008A1103">
      <w:pPr>
        <w:tabs>
          <w:tab w:val="right" w:pos="9029"/>
        </w:tabs>
        <w:contextualSpacing/>
        <w:jc w:val="both"/>
        <w:rPr>
          <w:rFonts w:ascii="Arial" w:hAnsi="Arial" w:cs="Arial"/>
          <w:bCs/>
          <w:sz w:val="24"/>
          <w:szCs w:val="24"/>
        </w:rPr>
      </w:pPr>
    </w:p>
    <w:p w14:paraId="5E681FC5"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MASTER OF THE HIGH COURT GAUTENG DIVISION,</w:t>
      </w:r>
    </w:p>
    <w:p w14:paraId="5B97A5C7"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JOHANNESBURG</w:t>
      </w:r>
      <w:r w:rsidRPr="00E121E3">
        <w:rPr>
          <w:rFonts w:ascii="Arial" w:hAnsi="Arial" w:cs="Arial"/>
          <w:bCs/>
          <w:sz w:val="24"/>
          <w:szCs w:val="24"/>
        </w:rPr>
        <w:tab/>
        <w:t>Fourth Respondent</w:t>
      </w:r>
    </w:p>
    <w:p w14:paraId="63BF9BA2" w14:textId="77777777" w:rsidR="00E121E3" w:rsidRPr="00E121E3" w:rsidRDefault="00E121E3" w:rsidP="008A1103">
      <w:pPr>
        <w:tabs>
          <w:tab w:val="right" w:pos="9029"/>
        </w:tabs>
        <w:contextualSpacing/>
        <w:jc w:val="both"/>
        <w:rPr>
          <w:rFonts w:ascii="Arial" w:hAnsi="Arial" w:cs="Arial"/>
          <w:bCs/>
          <w:sz w:val="24"/>
          <w:szCs w:val="24"/>
        </w:rPr>
      </w:pPr>
    </w:p>
    <w:p w14:paraId="48C2759C"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COMPANIES AND INTELLECTUAL PROPERTIES COMMISSION</w:t>
      </w:r>
      <w:r w:rsidRPr="00E121E3">
        <w:rPr>
          <w:rFonts w:ascii="Arial" w:hAnsi="Arial" w:cs="Arial"/>
          <w:bCs/>
          <w:sz w:val="24"/>
          <w:szCs w:val="24"/>
        </w:rPr>
        <w:tab/>
        <w:t>Fifth Respondent</w:t>
      </w:r>
    </w:p>
    <w:p w14:paraId="6726C0C1" w14:textId="77777777" w:rsidR="00E121E3" w:rsidRPr="00E121E3" w:rsidRDefault="00E121E3" w:rsidP="008A1103">
      <w:pPr>
        <w:tabs>
          <w:tab w:val="right" w:pos="9029"/>
        </w:tabs>
        <w:contextualSpacing/>
        <w:jc w:val="both"/>
        <w:rPr>
          <w:rFonts w:ascii="Arial" w:hAnsi="Arial" w:cs="Arial"/>
          <w:bCs/>
          <w:sz w:val="24"/>
          <w:szCs w:val="24"/>
        </w:rPr>
      </w:pPr>
    </w:p>
    <w:p w14:paraId="54BD9935" w14:textId="77777777" w:rsidR="00E121E3" w:rsidRPr="00E121E3" w:rsidRDefault="00E121E3" w:rsidP="008A1103">
      <w:pPr>
        <w:tabs>
          <w:tab w:val="right" w:pos="9029"/>
        </w:tabs>
        <w:contextualSpacing/>
        <w:jc w:val="both"/>
        <w:rPr>
          <w:rFonts w:ascii="Arial" w:hAnsi="Arial" w:cs="Arial"/>
          <w:bCs/>
          <w:sz w:val="24"/>
          <w:szCs w:val="24"/>
        </w:rPr>
      </w:pPr>
    </w:p>
    <w:p w14:paraId="08AB7214"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In re:</w:t>
      </w:r>
    </w:p>
    <w:p w14:paraId="34442B5A" w14:textId="77777777" w:rsidR="00E121E3" w:rsidRPr="00E121E3" w:rsidRDefault="00E121E3" w:rsidP="008A1103">
      <w:pPr>
        <w:tabs>
          <w:tab w:val="right" w:pos="9029"/>
        </w:tabs>
        <w:contextualSpacing/>
        <w:jc w:val="both"/>
        <w:rPr>
          <w:rFonts w:ascii="Arial" w:hAnsi="Arial" w:cs="Arial"/>
          <w:bCs/>
          <w:sz w:val="24"/>
          <w:szCs w:val="24"/>
        </w:rPr>
      </w:pPr>
    </w:p>
    <w:p w14:paraId="363FFD7A" w14:textId="77777777" w:rsidR="00E121E3" w:rsidRPr="00E121E3" w:rsidRDefault="00E121E3" w:rsidP="008A1103">
      <w:pPr>
        <w:tabs>
          <w:tab w:val="right" w:pos="9029"/>
        </w:tabs>
        <w:contextualSpacing/>
        <w:jc w:val="both"/>
        <w:rPr>
          <w:rFonts w:ascii="Arial" w:hAnsi="Arial" w:cs="Arial"/>
          <w:bCs/>
          <w:sz w:val="24"/>
          <w:szCs w:val="24"/>
        </w:rPr>
      </w:pPr>
    </w:p>
    <w:p w14:paraId="4FEC0CBB"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 xml:space="preserve">ENYUKA PROP HOLDINGS (PTY) </w:t>
      </w:r>
      <w:proofErr w:type="gramStart"/>
      <w:r w:rsidRPr="00E121E3">
        <w:rPr>
          <w:rFonts w:ascii="Arial" w:hAnsi="Arial" w:cs="Arial"/>
          <w:bCs/>
          <w:sz w:val="24"/>
          <w:szCs w:val="24"/>
        </w:rPr>
        <w:t xml:space="preserve">LTD  </w:t>
      </w:r>
      <w:r w:rsidRPr="00E121E3">
        <w:rPr>
          <w:rFonts w:ascii="Arial" w:hAnsi="Arial" w:cs="Arial"/>
          <w:bCs/>
          <w:sz w:val="24"/>
          <w:szCs w:val="24"/>
        </w:rPr>
        <w:tab/>
      </w:r>
      <w:proofErr w:type="gramEnd"/>
      <w:r w:rsidRPr="00E121E3">
        <w:rPr>
          <w:rFonts w:ascii="Arial" w:hAnsi="Arial" w:cs="Arial"/>
          <w:bCs/>
          <w:sz w:val="24"/>
          <w:szCs w:val="24"/>
        </w:rPr>
        <w:t>Applicant</w:t>
      </w:r>
    </w:p>
    <w:p w14:paraId="06C444C6" w14:textId="77777777" w:rsidR="00E121E3" w:rsidRPr="00E121E3" w:rsidRDefault="00E121E3" w:rsidP="008A1103">
      <w:pPr>
        <w:tabs>
          <w:tab w:val="right" w:pos="9029"/>
        </w:tabs>
        <w:contextualSpacing/>
        <w:jc w:val="both"/>
        <w:rPr>
          <w:rFonts w:ascii="Arial" w:hAnsi="Arial" w:cs="Arial"/>
          <w:bCs/>
          <w:sz w:val="24"/>
          <w:szCs w:val="24"/>
        </w:rPr>
      </w:pPr>
    </w:p>
    <w:p w14:paraId="328F0FA9"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and</w:t>
      </w:r>
    </w:p>
    <w:p w14:paraId="355894EC" w14:textId="77777777" w:rsidR="00E121E3" w:rsidRPr="00E121E3" w:rsidRDefault="00E121E3" w:rsidP="008A1103">
      <w:pPr>
        <w:tabs>
          <w:tab w:val="right" w:pos="9029"/>
        </w:tabs>
        <w:contextualSpacing/>
        <w:jc w:val="both"/>
        <w:rPr>
          <w:rFonts w:ascii="Arial" w:hAnsi="Arial" w:cs="Arial"/>
          <w:bCs/>
          <w:sz w:val="24"/>
          <w:szCs w:val="24"/>
        </w:rPr>
      </w:pPr>
    </w:p>
    <w:p w14:paraId="2255E300" w14:textId="77777777" w:rsidR="00E121E3" w:rsidRPr="00E121E3" w:rsidRDefault="00E121E3" w:rsidP="008A1103">
      <w:pPr>
        <w:tabs>
          <w:tab w:val="right" w:pos="9029"/>
        </w:tabs>
        <w:contextualSpacing/>
        <w:jc w:val="both"/>
        <w:rPr>
          <w:rFonts w:ascii="Arial" w:hAnsi="Arial" w:cs="Arial"/>
          <w:bCs/>
          <w:sz w:val="24"/>
          <w:szCs w:val="24"/>
        </w:rPr>
      </w:pPr>
    </w:p>
    <w:p w14:paraId="53F2327E" w14:textId="77777777" w:rsidR="00E121E3" w:rsidRPr="00E121E3" w:rsidRDefault="00E121E3" w:rsidP="008A1103">
      <w:pPr>
        <w:tabs>
          <w:tab w:val="right" w:pos="9029"/>
        </w:tabs>
        <w:contextualSpacing/>
        <w:jc w:val="both"/>
        <w:rPr>
          <w:rFonts w:ascii="Arial" w:hAnsi="Arial" w:cs="Arial"/>
          <w:bCs/>
          <w:sz w:val="24"/>
          <w:szCs w:val="24"/>
        </w:rPr>
      </w:pPr>
      <w:r w:rsidRPr="00E121E3">
        <w:rPr>
          <w:rFonts w:ascii="Arial" w:hAnsi="Arial" w:cs="Arial"/>
          <w:bCs/>
          <w:sz w:val="24"/>
          <w:szCs w:val="24"/>
        </w:rPr>
        <w:t>UNITED MERCHANTS CC</w:t>
      </w:r>
      <w:r w:rsidRPr="00E121E3">
        <w:rPr>
          <w:rFonts w:ascii="Arial" w:hAnsi="Arial" w:cs="Arial"/>
          <w:bCs/>
          <w:sz w:val="24"/>
          <w:szCs w:val="24"/>
        </w:rPr>
        <w:tab/>
        <w:t>Respondent</w:t>
      </w:r>
    </w:p>
    <w:p w14:paraId="0D87EE28" w14:textId="77777777" w:rsidR="008B5371" w:rsidRDefault="002A2849" w:rsidP="008A1103">
      <w:pPr>
        <w:tabs>
          <w:tab w:val="right" w:pos="9029"/>
        </w:tabs>
        <w:contextualSpacing/>
        <w:jc w:val="both"/>
        <w:rPr>
          <w:rFonts w:ascii="Arial" w:hAnsi="Arial" w:cs="Arial"/>
          <w:bCs/>
          <w:sz w:val="24"/>
          <w:szCs w:val="24"/>
          <w:lang w:val="en-ZA"/>
        </w:rPr>
      </w:pPr>
      <w:r w:rsidRPr="00E121E3">
        <w:rPr>
          <w:rFonts w:ascii="Arial" w:hAnsi="Arial" w:cs="Arial"/>
          <w:bCs/>
          <w:sz w:val="24"/>
          <w:szCs w:val="24"/>
          <w:lang w:val="en-ZA"/>
        </w:rPr>
        <w:tab/>
      </w:r>
    </w:p>
    <w:p w14:paraId="32C83AF7" w14:textId="77777777" w:rsidR="00710ED5" w:rsidRPr="00E121E3" w:rsidRDefault="00710ED5" w:rsidP="008A1103">
      <w:pPr>
        <w:tabs>
          <w:tab w:val="right" w:pos="9029"/>
        </w:tabs>
        <w:contextualSpacing/>
        <w:jc w:val="both"/>
        <w:rPr>
          <w:rFonts w:ascii="Arial" w:eastAsia="Times New Roman" w:hAnsi="Arial" w:cs="Arial"/>
          <w:bCs/>
          <w:sz w:val="24"/>
          <w:szCs w:val="24"/>
          <w:lang w:val="en-ZA"/>
        </w:rPr>
      </w:pPr>
    </w:p>
    <w:p w14:paraId="599A16C8" w14:textId="77777777" w:rsidR="008B5371" w:rsidRPr="00D11177" w:rsidRDefault="008B5371" w:rsidP="00A86E21">
      <w:pPr>
        <w:pBdr>
          <w:bottom w:val="single" w:sz="12" w:space="1" w:color="auto"/>
        </w:pBdr>
        <w:jc w:val="both"/>
        <w:rPr>
          <w:rFonts w:ascii="Arial" w:hAnsi="Arial" w:cs="Arial"/>
          <w:b/>
          <w:sz w:val="24"/>
          <w:szCs w:val="24"/>
          <w:lang w:val="en-ZA"/>
        </w:rPr>
      </w:pPr>
    </w:p>
    <w:p w14:paraId="0768D6F1" w14:textId="77777777" w:rsidR="008B5371" w:rsidRPr="00D11177" w:rsidRDefault="008B5371" w:rsidP="00A86E21">
      <w:pPr>
        <w:ind w:left="1440" w:hanging="1440"/>
        <w:jc w:val="both"/>
        <w:rPr>
          <w:rFonts w:ascii="Arial" w:hAnsi="Arial" w:cs="Arial"/>
          <w:b/>
          <w:sz w:val="24"/>
          <w:szCs w:val="24"/>
        </w:rPr>
      </w:pPr>
    </w:p>
    <w:p w14:paraId="5C0A9EAF" w14:textId="77777777" w:rsidR="008B5371" w:rsidRPr="00D11177" w:rsidRDefault="008B5371" w:rsidP="00D736CF">
      <w:pPr>
        <w:pBdr>
          <w:bottom w:val="single" w:sz="12" w:space="1" w:color="auto"/>
        </w:pBdr>
        <w:spacing w:after="240" w:line="480" w:lineRule="auto"/>
        <w:jc w:val="center"/>
        <w:rPr>
          <w:rFonts w:ascii="Arial" w:hAnsi="Arial" w:cs="Arial"/>
          <w:b/>
          <w:sz w:val="24"/>
          <w:szCs w:val="24"/>
          <w:lang w:val="en-ZA"/>
        </w:rPr>
      </w:pPr>
      <w:r w:rsidRPr="00D11177">
        <w:rPr>
          <w:rFonts w:ascii="Arial" w:hAnsi="Arial" w:cs="Arial"/>
          <w:b/>
          <w:sz w:val="24"/>
          <w:szCs w:val="24"/>
          <w:lang w:val="en-ZA"/>
        </w:rPr>
        <w:t>JUDGMENT</w:t>
      </w:r>
    </w:p>
    <w:p w14:paraId="1E769630" w14:textId="77777777" w:rsidR="001C3576" w:rsidRPr="00D736CF" w:rsidRDefault="00E121E3" w:rsidP="00A86E21">
      <w:pPr>
        <w:spacing w:line="360" w:lineRule="auto"/>
        <w:jc w:val="both"/>
        <w:rPr>
          <w:rFonts w:ascii="Arial" w:hAnsi="Arial" w:cs="Arial"/>
          <w:sz w:val="24"/>
          <w:szCs w:val="24"/>
        </w:rPr>
      </w:pPr>
      <w:r w:rsidRPr="00D736CF">
        <w:rPr>
          <w:rFonts w:ascii="Arial" w:hAnsi="Arial" w:cs="Arial"/>
          <w:sz w:val="24"/>
          <w:szCs w:val="24"/>
        </w:rPr>
        <w:t>W G LA GRANGE, AJ</w:t>
      </w:r>
    </w:p>
    <w:bookmarkEnd w:id="0"/>
    <w:p w14:paraId="7A2EB888" w14:textId="77777777" w:rsidR="00E121E3" w:rsidRPr="00E51DD6" w:rsidRDefault="00E121E3" w:rsidP="00A86E21">
      <w:pPr>
        <w:spacing w:line="360" w:lineRule="auto"/>
        <w:jc w:val="both"/>
        <w:rPr>
          <w:rFonts w:ascii="Arial" w:hAnsi="Arial" w:cs="Arial"/>
          <w:iCs/>
          <w:sz w:val="24"/>
          <w:szCs w:val="24"/>
        </w:rPr>
      </w:pPr>
    </w:p>
    <w:p w14:paraId="0C39354B" w14:textId="77777777" w:rsidR="00D736CF" w:rsidRDefault="00E51DD6" w:rsidP="00E51DD6">
      <w:pPr>
        <w:spacing w:line="360" w:lineRule="auto"/>
        <w:ind w:left="720" w:hanging="720"/>
        <w:jc w:val="both"/>
        <w:rPr>
          <w:rFonts w:ascii="Arial" w:hAnsi="Arial" w:cs="Arial"/>
          <w:iCs/>
          <w:sz w:val="24"/>
          <w:szCs w:val="24"/>
        </w:rPr>
      </w:pPr>
      <w:r w:rsidRPr="00E51DD6">
        <w:rPr>
          <w:rFonts w:ascii="Arial" w:hAnsi="Arial" w:cs="Arial"/>
          <w:iCs/>
          <w:sz w:val="24"/>
          <w:szCs w:val="24"/>
        </w:rPr>
        <w:t xml:space="preserve">[1]     </w:t>
      </w:r>
      <w:r w:rsidR="00E121E3" w:rsidRPr="00A86E21">
        <w:rPr>
          <w:rFonts w:ascii="Arial" w:hAnsi="Arial" w:cs="Arial"/>
          <w:iCs/>
          <w:sz w:val="24"/>
          <w:szCs w:val="24"/>
        </w:rPr>
        <w:t xml:space="preserve">This is an application by </w:t>
      </w:r>
      <w:proofErr w:type="spellStart"/>
      <w:r w:rsidR="00E121E3" w:rsidRPr="00A86E21">
        <w:rPr>
          <w:rFonts w:ascii="Arial" w:hAnsi="Arial" w:cs="Arial"/>
          <w:iCs/>
          <w:sz w:val="24"/>
          <w:szCs w:val="24"/>
        </w:rPr>
        <w:t>Truval</w:t>
      </w:r>
      <w:proofErr w:type="spellEnd"/>
      <w:r w:rsidR="00E121E3" w:rsidRPr="00A86E21">
        <w:rPr>
          <w:rFonts w:ascii="Arial" w:hAnsi="Arial" w:cs="Arial"/>
          <w:iCs/>
          <w:sz w:val="24"/>
          <w:szCs w:val="24"/>
        </w:rPr>
        <w:t xml:space="preserve"> Manufacturers CC (to whom I shall refer as </w:t>
      </w:r>
      <w:proofErr w:type="spellStart"/>
      <w:r w:rsidR="00E121E3" w:rsidRPr="00A86E21">
        <w:rPr>
          <w:rFonts w:ascii="Arial" w:hAnsi="Arial" w:cs="Arial"/>
          <w:iCs/>
          <w:sz w:val="24"/>
          <w:szCs w:val="24"/>
        </w:rPr>
        <w:t>Truval</w:t>
      </w:r>
      <w:proofErr w:type="spellEnd"/>
      <w:r w:rsidR="00E121E3" w:rsidRPr="00A86E21">
        <w:rPr>
          <w:rFonts w:ascii="Arial" w:hAnsi="Arial" w:cs="Arial"/>
          <w:iCs/>
          <w:sz w:val="24"/>
          <w:szCs w:val="24"/>
        </w:rPr>
        <w:t xml:space="preserve">) to intervene in an application brought by the applicant (to whom, for ease of reference, I shall refer as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in terms of section 354(1) of the Companies Act,</w:t>
      </w:r>
      <w:r w:rsidR="00710ED5" w:rsidRPr="00E51DD6">
        <w:rPr>
          <w:rStyle w:val="FootnoteReference"/>
          <w:rFonts w:ascii="Arial" w:hAnsi="Arial" w:cs="Arial"/>
          <w:iCs/>
          <w:sz w:val="24"/>
          <w:szCs w:val="24"/>
        </w:rPr>
        <w:footnoteReference w:id="1"/>
      </w:r>
      <w:r w:rsidR="00E121E3" w:rsidRPr="00A86E21">
        <w:rPr>
          <w:rFonts w:ascii="Arial" w:hAnsi="Arial" w:cs="Arial"/>
          <w:iCs/>
          <w:sz w:val="24"/>
          <w:szCs w:val="24"/>
        </w:rPr>
        <w:t xml:space="preserve"> (the Act) to set aside the voluntary liquidation of the first respondent (to whom I shall refer United Merchants).</w:t>
      </w:r>
      <w:r w:rsidR="00E121E3" w:rsidRPr="00A86E21">
        <w:rPr>
          <w:rFonts w:ascii="Arial" w:hAnsi="Arial" w:cs="Arial"/>
          <w:sz w:val="24"/>
          <w:szCs w:val="24"/>
          <w:vertAlign w:val="superscript"/>
        </w:rPr>
        <w:footnoteReference w:id="2"/>
      </w:r>
      <w:r w:rsidR="00E121E3" w:rsidRPr="00A86E21">
        <w:rPr>
          <w:rFonts w:ascii="Arial" w:hAnsi="Arial" w:cs="Arial"/>
          <w:iCs/>
          <w:sz w:val="24"/>
          <w:szCs w:val="24"/>
        </w:rPr>
        <w:t xml:space="preserve">  </w:t>
      </w:r>
      <w:proofErr w:type="spellStart"/>
      <w:r w:rsidR="00E121E3" w:rsidRPr="00A86E21">
        <w:rPr>
          <w:rFonts w:ascii="Arial" w:hAnsi="Arial" w:cs="Arial"/>
          <w:iCs/>
          <w:sz w:val="24"/>
          <w:szCs w:val="24"/>
        </w:rPr>
        <w:t>Truval</w:t>
      </w:r>
      <w:proofErr w:type="spellEnd"/>
      <w:r w:rsidR="00E121E3" w:rsidRPr="00A86E21">
        <w:rPr>
          <w:rFonts w:ascii="Arial" w:hAnsi="Arial" w:cs="Arial"/>
          <w:iCs/>
          <w:sz w:val="24"/>
          <w:szCs w:val="24"/>
        </w:rPr>
        <w:t xml:space="preserve"> refers to the application in terms of section 354(1) as the conversion application and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refers to it as an interlocutory application; I shall adopt the same terminology herein as that used by </w:t>
      </w:r>
      <w:proofErr w:type="spellStart"/>
      <w:r w:rsidR="00E121E3" w:rsidRPr="00A86E21">
        <w:rPr>
          <w:rFonts w:ascii="Arial" w:hAnsi="Arial" w:cs="Arial"/>
          <w:iCs/>
          <w:sz w:val="24"/>
          <w:szCs w:val="24"/>
        </w:rPr>
        <w:t>Truval</w:t>
      </w:r>
      <w:proofErr w:type="spellEnd"/>
      <w:r w:rsidR="00E121E3" w:rsidRPr="00A86E21">
        <w:rPr>
          <w:rFonts w:ascii="Arial" w:hAnsi="Arial" w:cs="Arial"/>
          <w:iCs/>
          <w:sz w:val="24"/>
          <w:szCs w:val="24"/>
        </w:rPr>
        <w:t xml:space="preserve">, although it is not strictly an accurate description of </w:t>
      </w:r>
      <w:proofErr w:type="spellStart"/>
      <w:r w:rsidR="00E121E3" w:rsidRPr="00A86E21">
        <w:rPr>
          <w:rFonts w:ascii="Arial" w:hAnsi="Arial" w:cs="Arial"/>
          <w:iCs/>
          <w:sz w:val="24"/>
          <w:szCs w:val="24"/>
        </w:rPr>
        <w:t>Enyuka’s</w:t>
      </w:r>
      <w:proofErr w:type="spellEnd"/>
      <w:r w:rsidR="00E121E3" w:rsidRPr="00A86E21">
        <w:rPr>
          <w:rFonts w:ascii="Arial" w:hAnsi="Arial" w:cs="Arial"/>
          <w:iCs/>
          <w:sz w:val="24"/>
          <w:szCs w:val="24"/>
        </w:rPr>
        <w:t xml:space="preserve"> application (nor for that matter is it interlocutory in nature)</w:t>
      </w:r>
      <w:r w:rsidR="00D736CF">
        <w:rPr>
          <w:rFonts w:ascii="Arial" w:hAnsi="Arial" w:cs="Arial"/>
          <w:iCs/>
          <w:sz w:val="24"/>
          <w:szCs w:val="24"/>
        </w:rPr>
        <w:t>.</w:t>
      </w:r>
      <w:r w:rsidRPr="00E51DD6">
        <w:rPr>
          <w:rFonts w:ascii="Arial" w:hAnsi="Arial" w:cs="Arial"/>
          <w:iCs/>
          <w:sz w:val="24"/>
          <w:szCs w:val="24"/>
        </w:rPr>
        <w:t xml:space="preserve">  </w:t>
      </w:r>
    </w:p>
    <w:p w14:paraId="5F19484D" w14:textId="77777777" w:rsidR="00D736CF" w:rsidRDefault="00D736CF" w:rsidP="00E51DD6">
      <w:pPr>
        <w:spacing w:line="360" w:lineRule="auto"/>
        <w:ind w:left="720" w:hanging="720"/>
        <w:jc w:val="both"/>
        <w:rPr>
          <w:rFonts w:ascii="Arial" w:hAnsi="Arial" w:cs="Arial"/>
          <w:iCs/>
          <w:sz w:val="24"/>
          <w:szCs w:val="24"/>
        </w:rPr>
      </w:pPr>
    </w:p>
    <w:p w14:paraId="05A300C2" w14:textId="242B6023" w:rsidR="00E51DD6" w:rsidRPr="00E51DD6" w:rsidRDefault="00D736CF" w:rsidP="00E51DD6">
      <w:pPr>
        <w:spacing w:line="360" w:lineRule="auto"/>
        <w:ind w:left="720" w:hanging="720"/>
        <w:jc w:val="both"/>
        <w:rPr>
          <w:rFonts w:ascii="Arial" w:hAnsi="Arial" w:cs="Arial"/>
          <w:iCs/>
          <w:sz w:val="24"/>
          <w:szCs w:val="24"/>
        </w:rPr>
      </w:pPr>
      <w:r>
        <w:rPr>
          <w:rFonts w:ascii="Arial" w:hAnsi="Arial" w:cs="Arial"/>
          <w:iCs/>
          <w:sz w:val="24"/>
          <w:szCs w:val="24"/>
        </w:rPr>
        <w:t xml:space="preserve">[2]      </w:t>
      </w:r>
      <w:r w:rsidR="00E51DD6" w:rsidRPr="00E51DD6">
        <w:rPr>
          <w:rFonts w:ascii="Arial" w:hAnsi="Arial" w:cs="Arial"/>
          <w:iCs/>
          <w:sz w:val="24"/>
          <w:szCs w:val="24"/>
        </w:rPr>
        <w:t>Section 354(1) of the Act provides as follows:</w:t>
      </w:r>
    </w:p>
    <w:p w14:paraId="13401EDB" w14:textId="77777777" w:rsidR="00E121E3" w:rsidRPr="00E51DD6" w:rsidRDefault="00E121E3" w:rsidP="00A86E21">
      <w:pPr>
        <w:spacing w:line="360" w:lineRule="auto"/>
        <w:ind w:left="1440"/>
        <w:jc w:val="both"/>
        <w:rPr>
          <w:rFonts w:ascii="Arial" w:hAnsi="Arial" w:cs="Arial"/>
          <w:i/>
          <w:iCs/>
          <w:sz w:val="24"/>
          <w:szCs w:val="24"/>
        </w:rPr>
      </w:pPr>
      <w:r w:rsidRPr="00E51DD6">
        <w:rPr>
          <w:rFonts w:ascii="Arial" w:hAnsi="Arial" w:cs="Arial"/>
          <w:i/>
          <w:iCs/>
          <w:sz w:val="24"/>
          <w:szCs w:val="24"/>
        </w:rPr>
        <w:t>“The Court may at any time after the commencement of a winding-up, on the application of any liquidator, creditor or member, and on proof to the satisfaction of the Court that all proceedings in relation to the winding-up ought to be stayed or set aside, make an order staying or setting aside the proceedings or for the continuance of any voluntary winding-up on such terms and conditions as the Court may deem fit.”</w:t>
      </w:r>
    </w:p>
    <w:p w14:paraId="1DEC8556" w14:textId="77777777" w:rsidR="00E121E3" w:rsidRPr="00E51DD6" w:rsidRDefault="00E121E3" w:rsidP="00A86E21">
      <w:pPr>
        <w:spacing w:line="360" w:lineRule="auto"/>
        <w:jc w:val="both"/>
        <w:rPr>
          <w:rFonts w:ascii="Arial" w:hAnsi="Arial" w:cs="Arial"/>
          <w:i/>
          <w:iCs/>
          <w:sz w:val="24"/>
          <w:szCs w:val="24"/>
        </w:rPr>
      </w:pPr>
    </w:p>
    <w:p w14:paraId="15C3FC8D" w14:textId="2E133AC6" w:rsidR="00E121E3" w:rsidRPr="00A86E21" w:rsidRDefault="00E51DD6" w:rsidP="00A86E21">
      <w:pPr>
        <w:spacing w:line="360" w:lineRule="auto"/>
        <w:ind w:left="720" w:hanging="720"/>
        <w:jc w:val="both"/>
        <w:rPr>
          <w:rFonts w:ascii="Arial" w:hAnsi="Arial" w:cs="Arial"/>
          <w:iCs/>
          <w:sz w:val="24"/>
          <w:szCs w:val="24"/>
        </w:rPr>
      </w:pPr>
      <w:r w:rsidRPr="00E51DD6">
        <w:rPr>
          <w:rFonts w:ascii="Arial" w:hAnsi="Arial" w:cs="Arial"/>
          <w:iCs/>
          <w:sz w:val="24"/>
          <w:szCs w:val="24"/>
        </w:rPr>
        <w:t>[</w:t>
      </w:r>
      <w:r w:rsidR="00D736CF">
        <w:rPr>
          <w:rFonts w:ascii="Arial" w:hAnsi="Arial" w:cs="Arial"/>
          <w:iCs/>
          <w:sz w:val="24"/>
          <w:szCs w:val="24"/>
        </w:rPr>
        <w:t>3</w:t>
      </w:r>
      <w:r w:rsidRPr="00E51DD6">
        <w:rPr>
          <w:rFonts w:ascii="Arial" w:hAnsi="Arial" w:cs="Arial"/>
          <w:iCs/>
          <w:sz w:val="24"/>
          <w:szCs w:val="24"/>
        </w:rPr>
        <w:t xml:space="preserve">]      </w:t>
      </w:r>
      <w:r w:rsidR="00E121E3" w:rsidRPr="00A86E21">
        <w:rPr>
          <w:rFonts w:ascii="Arial" w:hAnsi="Arial" w:cs="Arial"/>
          <w:iCs/>
          <w:sz w:val="24"/>
          <w:szCs w:val="24"/>
        </w:rPr>
        <w:t xml:space="preserve">The conversion application seeks to set aside the special resolution passed by United Merchants on 6 December 2021 for its voluntary winding-up and, </w:t>
      </w:r>
      <w:r w:rsidR="00E121E3" w:rsidRPr="00A86E21">
        <w:rPr>
          <w:rFonts w:ascii="Arial" w:hAnsi="Arial" w:cs="Arial"/>
          <w:iCs/>
          <w:sz w:val="24"/>
          <w:szCs w:val="24"/>
        </w:rPr>
        <w:lastRenderedPageBreak/>
        <w:t xml:space="preserve">pursuant thereto, seeks an order to set aside the voluntary winding-up together with the appointment of the second and third respondents as joint provisional liquidators.  Whilst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seeks an order placing United Merchants in compulsory liquidation, pursuant to an earlier liquidation application launched by it under the same case number (and in that sense the application may be described as a conversion application), it is of significance for present purposes that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seeks to do so in consequence of the setting aside of all the steps that pertain to the voluntary winding-up. </w:t>
      </w:r>
      <w:r w:rsidR="002379DD" w:rsidRPr="00A86E21">
        <w:rPr>
          <w:rFonts w:ascii="Arial" w:hAnsi="Arial" w:cs="Arial"/>
          <w:iCs/>
          <w:sz w:val="24"/>
          <w:szCs w:val="24"/>
        </w:rPr>
        <w:t xml:space="preserve"> </w:t>
      </w:r>
      <w:r w:rsidR="00E121E3" w:rsidRPr="00A86E21">
        <w:rPr>
          <w:rFonts w:ascii="Arial" w:hAnsi="Arial" w:cs="Arial"/>
          <w:iCs/>
          <w:sz w:val="24"/>
          <w:szCs w:val="24"/>
        </w:rPr>
        <w:t xml:space="preserve">Importantly,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seeks an order declaring the compulsory winding-up of United Merchants to have commenced on 25 June 2021 (and not on 2 February 2022 when the special resolution was registered with the CIPC).  There is no need in law to set aside an earlier voluntary winding-up in terms of section 354(1) of the Act before proceeding with the application for the compulsory winding-up of a corporation (even where launched prior to the voluntary winding-up).</w:t>
      </w:r>
      <w:r w:rsidR="00E121E3" w:rsidRPr="00A86E21">
        <w:rPr>
          <w:rFonts w:ascii="Arial" w:hAnsi="Arial" w:cs="Arial"/>
          <w:sz w:val="24"/>
          <w:szCs w:val="24"/>
          <w:vertAlign w:val="superscript"/>
        </w:rPr>
        <w:footnoteReference w:id="3"/>
      </w:r>
      <w:r w:rsidR="00E121E3" w:rsidRPr="00A86E21">
        <w:rPr>
          <w:rFonts w:ascii="Arial" w:hAnsi="Arial" w:cs="Arial"/>
          <w:iCs/>
          <w:sz w:val="24"/>
          <w:szCs w:val="24"/>
        </w:rPr>
        <w:t xml:space="preserve">  The reason for doing so, and the significance of proceeding with the extended relief in the conversion application, is to avoid the provisions of section 340(2)(a) of the Act.  But before these issues are </w:t>
      </w:r>
      <w:r w:rsidR="00D736CF">
        <w:rPr>
          <w:rFonts w:ascii="Arial" w:hAnsi="Arial" w:cs="Arial"/>
          <w:iCs/>
          <w:sz w:val="24"/>
          <w:szCs w:val="24"/>
        </w:rPr>
        <w:t xml:space="preserve">traversed </w:t>
      </w:r>
      <w:r w:rsidR="00E121E3" w:rsidRPr="00A86E21">
        <w:rPr>
          <w:rFonts w:ascii="Arial" w:hAnsi="Arial" w:cs="Arial"/>
          <w:iCs/>
          <w:sz w:val="24"/>
          <w:szCs w:val="24"/>
        </w:rPr>
        <w:t>in greater detail, it is necessary to set out some background to the present application.</w:t>
      </w:r>
    </w:p>
    <w:p w14:paraId="1ABC6B91" w14:textId="77777777" w:rsidR="002379DD" w:rsidRPr="00A86E21" w:rsidRDefault="002379DD" w:rsidP="00A86E21">
      <w:pPr>
        <w:pStyle w:val="ListParagraph"/>
        <w:spacing w:line="360" w:lineRule="auto"/>
        <w:ind w:hanging="720"/>
        <w:jc w:val="both"/>
        <w:rPr>
          <w:rFonts w:ascii="Arial" w:hAnsi="Arial" w:cs="Arial"/>
          <w:iCs/>
          <w:sz w:val="24"/>
          <w:szCs w:val="24"/>
        </w:rPr>
      </w:pPr>
    </w:p>
    <w:p w14:paraId="0160CFFC" w14:textId="1956E824" w:rsidR="00E51DD6" w:rsidRPr="00E51DD6" w:rsidRDefault="00E51DD6" w:rsidP="00A86E21">
      <w:pPr>
        <w:spacing w:line="360" w:lineRule="auto"/>
        <w:ind w:left="720" w:hanging="720"/>
        <w:jc w:val="both"/>
        <w:rPr>
          <w:rFonts w:ascii="Arial" w:hAnsi="Arial" w:cs="Arial"/>
          <w:sz w:val="24"/>
          <w:szCs w:val="24"/>
        </w:rPr>
      </w:pPr>
      <w:r w:rsidRPr="00E51DD6">
        <w:rPr>
          <w:rFonts w:ascii="Arial" w:hAnsi="Arial" w:cs="Arial"/>
          <w:iCs/>
          <w:sz w:val="24"/>
          <w:szCs w:val="24"/>
        </w:rPr>
        <w:t>[</w:t>
      </w:r>
      <w:r w:rsidR="00D736CF">
        <w:rPr>
          <w:rFonts w:ascii="Arial" w:hAnsi="Arial" w:cs="Arial"/>
          <w:iCs/>
          <w:sz w:val="24"/>
          <w:szCs w:val="24"/>
        </w:rPr>
        <w:t>4</w:t>
      </w:r>
      <w:r w:rsidRPr="00E51DD6">
        <w:rPr>
          <w:rFonts w:ascii="Arial" w:hAnsi="Arial" w:cs="Arial"/>
          <w:iCs/>
          <w:sz w:val="24"/>
          <w:szCs w:val="24"/>
        </w:rPr>
        <w:t xml:space="preserve">]      </w:t>
      </w:r>
      <w:r w:rsidR="00D820B3">
        <w:rPr>
          <w:rFonts w:ascii="Arial" w:hAnsi="Arial" w:cs="Arial"/>
          <w:iCs/>
          <w:sz w:val="24"/>
          <w:szCs w:val="24"/>
        </w:rPr>
        <w:t xml:space="preserve">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is the property owner of several retail shopping centres.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entered into several lease agreements with United Merchants, a retailer of clothing and accessories, in respect of retail space in several of its shopping centres.  United Merchants defaulted on its leases over </w:t>
      </w:r>
      <w:r w:rsidR="002379DD" w:rsidRPr="00A86E21">
        <w:rPr>
          <w:rFonts w:ascii="Arial" w:hAnsi="Arial" w:cs="Arial"/>
          <w:iCs/>
          <w:sz w:val="24"/>
          <w:szCs w:val="24"/>
        </w:rPr>
        <w:t>a period</w:t>
      </w:r>
      <w:r w:rsidR="00E121E3" w:rsidRPr="00A86E21">
        <w:rPr>
          <w:rFonts w:ascii="Arial" w:hAnsi="Arial" w:cs="Arial"/>
          <w:iCs/>
          <w:sz w:val="24"/>
          <w:szCs w:val="24"/>
        </w:rPr>
        <w:t xml:space="preserve">, causing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to serve on United Merchants six section 345 notices in the course of February 2021.  The six notices were in respect of six separate lease agreements and called on United Merchants to make payment in the aggregate amount of R1 211 196.90.  United Merchants failed to do so and was deemed unable to pay its debts.  The outstanding debt continued to escalate and</w:t>
      </w:r>
      <w:r w:rsidR="00D736CF">
        <w:rPr>
          <w:rFonts w:ascii="Arial" w:hAnsi="Arial" w:cs="Arial"/>
          <w:iCs/>
          <w:sz w:val="24"/>
          <w:szCs w:val="24"/>
        </w:rPr>
        <w:t>, subsequently,</w:t>
      </w:r>
      <w:r w:rsidR="00E121E3" w:rsidRPr="00A86E21">
        <w:rPr>
          <w:rFonts w:ascii="Arial" w:hAnsi="Arial" w:cs="Arial"/>
          <w:iCs/>
          <w:sz w:val="24"/>
          <w:szCs w:val="24"/>
        </w:rPr>
        <w:t xml:space="preserve">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also came to hear of owners from other shopping centres </w:t>
      </w:r>
      <w:r w:rsidR="00E121E3" w:rsidRPr="00A86E21">
        <w:rPr>
          <w:rFonts w:ascii="Arial" w:hAnsi="Arial" w:cs="Arial"/>
          <w:iCs/>
          <w:sz w:val="24"/>
          <w:szCs w:val="24"/>
        </w:rPr>
        <w:lastRenderedPageBreak/>
        <w:t xml:space="preserve">that United Merchants was unable to </w:t>
      </w:r>
      <w:r w:rsidR="00D736CF">
        <w:rPr>
          <w:rFonts w:ascii="Arial" w:hAnsi="Arial" w:cs="Arial"/>
          <w:iCs/>
          <w:sz w:val="24"/>
          <w:szCs w:val="24"/>
        </w:rPr>
        <w:t xml:space="preserve">meet </w:t>
      </w:r>
      <w:r w:rsidR="00E121E3" w:rsidRPr="00A86E21">
        <w:rPr>
          <w:rFonts w:ascii="Arial" w:hAnsi="Arial" w:cs="Arial"/>
          <w:iCs/>
          <w:sz w:val="24"/>
          <w:szCs w:val="24"/>
        </w:rPr>
        <w:t xml:space="preserve">its rental </w:t>
      </w:r>
      <w:r w:rsidR="00D736CF">
        <w:rPr>
          <w:rFonts w:ascii="Arial" w:hAnsi="Arial" w:cs="Arial"/>
          <w:iCs/>
          <w:sz w:val="24"/>
          <w:szCs w:val="24"/>
        </w:rPr>
        <w:t xml:space="preserve">obligations </w:t>
      </w:r>
      <w:r w:rsidR="00E121E3" w:rsidRPr="00A86E21">
        <w:rPr>
          <w:rFonts w:ascii="Arial" w:hAnsi="Arial" w:cs="Arial"/>
          <w:iCs/>
          <w:sz w:val="24"/>
          <w:szCs w:val="24"/>
        </w:rPr>
        <w:t xml:space="preserve">to </w:t>
      </w:r>
      <w:r w:rsidR="00D736CF">
        <w:rPr>
          <w:rFonts w:ascii="Arial" w:hAnsi="Arial" w:cs="Arial"/>
          <w:iCs/>
          <w:sz w:val="24"/>
          <w:szCs w:val="24"/>
        </w:rPr>
        <w:t xml:space="preserve">the </w:t>
      </w:r>
      <w:r w:rsidR="00E121E3" w:rsidRPr="00A86E21">
        <w:rPr>
          <w:rFonts w:ascii="Arial" w:hAnsi="Arial" w:cs="Arial"/>
          <w:iCs/>
          <w:sz w:val="24"/>
          <w:szCs w:val="24"/>
        </w:rPr>
        <w:t>landlords at those premises.  This much is not in dispute in the application to intervene.</w:t>
      </w:r>
      <w:r w:rsidR="006146B8" w:rsidRPr="00A86E21">
        <w:rPr>
          <w:rFonts w:ascii="Arial" w:hAnsi="Arial" w:cs="Arial"/>
          <w:iCs/>
          <w:sz w:val="24"/>
          <w:szCs w:val="24"/>
        </w:rPr>
        <w:t xml:space="preserve"> </w:t>
      </w:r>
    </w:p>
    <w:p w14:paraId="0DC23C11" w14:textId="77777777" w:rsidR="00E51DD6" w:rsidRPr="00E51DD6" w:rsidRDefault="00E51DD6" w:rsidP="00A86E21">
      <w:pPr>
        <w:spacing w:line="360" w:lineRule="auto"/>
        <w:ind w:left="720" w:hanging="720"/>
        <w:jc w:val="both"/>
        <w:rPr>
          <w:rFonts w:ascii="Arial" w:hAnsi="Arial" w:cs="Arial"/>
          <w:sz w:val="24"/>
          <w:szCs w:val="24"/>
        </w:rPr>
      </w:pPr>
    </w:p>
    <w:p w14:paraId="78609F7A" w14:textId="45E3039B" w:rsidR="00E51DD6" w:rsidRPr="00E51DD6" w:rsidRDefault="00E51DD6" w:rsidP="00A86E21">
      <w:pPr>
        <w:spacing w:line="360" w:lineRule="auto"/>
        <w:ind w:left="720" w:hanging="720"/>
        <w:jc w:val="both"/>
        <w:rPr>
          <w:rFonts w:ascii="Arial" w:hAnsi="Arial" w:cs="Arial"/>
          <w:iCs/>
          <w:sz w:val="24"/>
          <w:szCs w:val="24"/>
        </w:rPr>
      </w:pPr>
      <w:r w:rsidRPr="00A86E21">
        <w:rPr>
          <w:rFonts w:ascii="Arial" w:hAnsi="Arial" w:cs="Arial"/>
          <w:sz w:val="24"/>
          <w:szCs w:val="24"/>
        </w:rPr>
        <w:t>[</w:t>
      </w:r>
      <w:r w:rsidR="00D736CF">
        <w:rPr>
          <w:rFonts w:ascii="Arial" w:hAnsi="Arial" w:cs="Arial"/>
          <w:sz w:val="24"/>
          <w:szCs w:val="24"/>
        </w:rPr>
        <w:t>5</w:t>
      </w:r>
      <w:r w:rsidRPr="00A86E21">
        <w:rPr>
          <w:rFonts w:ascii="Arial" w:hAnsi="Arial" w:cs="Arial"/>
          <w:sz w:val="24"/>
          <w:szCs w:val="24"/>
        </w:rPr>
        <w:t xml:space="preserve">]      </w:t>
      </w:r>
      <w:proofErr w:type="spellStart"/>
      <w:r w:rsidR="00E121E3" w:rsidRPr="00A86E21">
        <w:rPr>
          <w:rFonts w:ascii="Arial" w:hAnsi="Arial" w:cs="Arial"/>
          <w:sz w:val="24"/>
          <w:szCs w:val="24"/>
        </w:rPr>
        <w:t>Truval</w:t>
      </w:r>
      <w:proofErr w:type="spellEnd"/>
      <w:r w:rsidR="00E121E3" w:rsidRPr="00A86E21">
        <w:rPr>
          <w:rFonts w:ascii="Arial" w:hAnsi="Arial" w:cs="Arial"/>
          <w:sz w:val="24"/>
          <w:szCs w:val="24"/>
        </w:rPr>
        <w:t xml:space="preserve"> has the same members as United Merchants and was a supplier to United Merchants of merchandise for sale in United Merchants’ stores.  </w:t>
      </w:r>
      <w:proofErr w:type="spellStart"/>
      <w:r w:rsidR="00E121E3" w:rsidRPr="00A86E21">
        <w:rPr>
          <w:rFonts w:ascii="Arial" w:hAnsi="Arial" w:cs="Arial"/>
          <w:sz w:val="24"/>
          <w:szCs w:val="24"/>
        </w:rPr>
        <w:t>Truval</w:t>
      </w:r>
      <w:proofErr w:type="spellEnd"/>
      <w:r w:rsidR="00E121E3" w:rsidRPr="00A86E21">
        <w:rPr>
          <w:rFonts w:ascii="Arial" w:hAnsi="Arial" w:cs="Arial"/>
          <w:sz w:val="24"/>
          <w:szCs w:val="24"/>
        </w:rPr>
        <w:t xml:space="preserve"> contends in its intervention application that, as at 31 March 2021, United Merchants was indebted to it in the sum of R56 559 975.45 in respect of clothing and accessories sold and delivered to United Merchants.  On 15 March 2021 United Merchants executed a general notarial covering bond in favour of </w:t>
      </w:r>
      <w:proofErr w:type="spellStart"/>
      <w:r w:rsidR="00E121E3" w:rsidRPr="00A86E21">
        <w:rPr>
          <w:rFonts w:ascii="Arial" w:hAnsi="Arial" w:cs="Arial"/>
          <w:sz w:val="24"/>
          <w:szCs w:val="24"/>
        </w:rPr>
        <w:t>Truval</w:t>
      </w:r>
      <w:proofErr w:type="spellEnd"/>
      <w:r w:rsidR="00E121E3" w:rsidRPr="00A86E21">
        <w:rPr>
          <w:rFonts w:ascii="Arial" w:hAnsi="Arial" w:cs="Arial"/>
          <w:sz w:val="24"/>
          <w:szCs w:val="24"/>
        </w:rPr>
        <w:t xml:space="preserve"> over United Merchant’s movables and on 28 April 2021 a court order grant</w:t>
      </w:r>
      <w:r w:rsidR="00D736CF">
        <w:rPr>
          <w:rFonts w:ascii="Arial" w:hAnsi="Arial" w:cs="Arial"/>
          <w:sz w:val="24"/>
          <w:szCs w:val="24"/>
        </w:rPr>
        <w:t>ed</w:t>
      </w:r>
      <w:r w:rsidR="00E121E3" w:rsidRPr="00A86E21">
        <w:rPr>
          <w:rFonts w:ascii="Arial" w:hAnsi="Arial" w:cs="Arial"/>
          <w:sz w:val="24"/>
          <w:szCs w:val="24"/>
        </w:rPr>
        <w:t xml:space="preserve"> </w:t>
      </w:r>
      <w:proofErr w:type="spellStart"/>
      <w:r w:rsidR="00D736CF">
        <w:rPr>
          <w:rFonts w:ascii="Arial" w:hAnsi="Arial" w:cs="Arial"/>
          <w:sz w:val="24"/>
          <w:szCs w:val="24"/>
        </w:rPr>
        <w:t>Truval</w:t>
      </w:r>
      <w:proofErr w:type="spellEnd"/>
      <w:r w:rsidR="00D736CF">
        <w:rPr>
          <w:rFonts w:ascii="Arial" w:hAnsi="Arial" w:cs="Arial"/>
          <w:sz w:val="24"/>
          <w:szCs w:val="24"/>
        </w:rPr>
        <w:t xml:space="preserve"> </w:t>
      </w:r>
      <w:r w:rsidR="00E121E3" w:rsidRPr="00A86E21">
        <w:rPr>
          <w:rFonts w:ascii="Arial" w:hAnsi="Arial" w:cs="Arial"/>
          <w:sz w:val="24"/>
          <w:szCs w:val="24"/>
        </w:rPr>
        <w:t>leave to perfect the notarial bond.  The existence of the notarial bond is also not in dispute between the parties.</w:t>
      </w:r>
    </w:p>
    <w:p w14:paraId="385C6B2E" w14:textId="77777777" w:rsidR="00E51DD6" w:rsidRPr="00E51DD6" w:rsidRDefault="00E51DD6" w:rsidP="00A86E21">
      <w:pPr>
        <w:spacing w:line="360" w:lineRule="auto"/>
        <w:jc w:val="both"/>
        <w:rPr>
          <w:rFonts w:ascii="Arial" w:hAnsi="Arial" w:cs="Arial"/>
          <w:iCs/>
          <w:sz w:val="24"/>
          <w:szCs w:val="24"/>
        </w:rPr>
      </w:pPr>
    </w:p>
    <w:p w14:paraId="108F331D" w14:textId="0532FE28" w:rsidR="00E51DD6" w:rsidRPr="00A86E21" w:rsidRDefault="00E51DD6" w:rsidP="00A86E21">
      <w:pPr>
        <w:spacing w:line="360" w:lineRule="auto"/>
        <w:ind w:left="720" w:hanging="720"/>
        <w:jc w:val="both"/>
        <w:rPr>
          <w:rFonts w:ascii="Arial" w:hAnsi="Arial" w:cs="Arial"/>
          <w:iCs/>
          <w:sz w:val="24"/>
          <w:szCs w:val="24"/>
        </w:rPr>
      </w:pPr>
      <w:r>
        <w:rPr>
          <w:rFonts w:ascii="Arial" w:hAnsi="Arial" w:cs="Arial"/>
          <w:iCs/>
          <w:sz w:val="24"/>
          <w:szCs w:val="24"/>
        </w:rPr>
        <w:t>[</w:t>
      </w:r>
      <w:r w:rsidR="00D736CF">
        <w:rPr>
          <w:rFonts w:ascii="Arial" w:hAnsi="Arial" w:cs="Arial"/>
          <w:iCs/>
          <w:sz w:val="24"/>
          <w:szCs w:val="24"/>
        </w:rPr>
        <w:t>6</w:t>
      </w:r>
      <w:r>
        <w:rPr>
          <w:rFonts w:ascii="Arial" w:hAnsi="Arial" w:cs="Arial"/>
          <w:iCs/>
          <w:sz w:val="24"/>
          <w:szCs w:val="24"/>
        </w:rPr>
        <w:t xml:space="preserve">]   </w:t>
      </w:r>
      <w:r w:rsidR="00E121E3" w:rsidRPr="00A86E21">
        <w:rPr>
          <w:rFonts w:ascii="Arial" w:hAnsi="Arial" w:cs="Arial"/>
          <w:iCs/>
          <w:sz w:val="24"/>
          <w:szCs w:val="24"/>
        </w:rPr>
        <w:t xml:space="preserve">On 25 June 2021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brought liquidation proceedings against United Merchants, seeking the final winding-up of United Merchants on the basis that it was deemed to be unable to pay its debts (as contemplated in section 344(f) read with section 345(1)(a)(</w:t>
      </w:r>
      <w:proofErr w:type="spellStart"/>
      <w:r w:rsidR="00E121E3" w:rsidRPr="00A86E21">
        <w:rPr>
          <w:rFonts w:ascii="Arial" w:hAnsi="Arial" w:cs="Arial"/>
          <w:iCs/>
          <w:sz w:val="24"/>
          <w:szCs w:val="24"/>
        </w:rPr>
        <w:t>i</w:t>
      </w:r>
      <w:proofErr w:type="spellEnd"/>
      <w:r w:rsidR="00E121E3" w:rsidRPr="00A86E21">
        <w:rPr>
          <w:rFonts w:ascii="Arial" w:hAnsi="Arial" w:cs="Arial"/>
          <w:iCs/>
          <w:sz w:val="24"/>
          <w:szCs w:val="24"/>
        </w:rPr>
        <w:t xml:space="preserve">) of the Act), and that it was also, as a matter of fact, commercially insolvent and unable to pay its debts (as contemplated in section 344(f) read with section 345(1)(c) of the Act).  United Merchants opposed that liquidation application and filed an answering affidavit on 11 August 2021; thereafter </w:t>
      </w:r>
      <w:proofErr w:type="spellStart"/>
      <w:r w:rsidR="00E121E3" w:rsidRPr="00A86E21">
        <w:rPr>
          <w:rFonts w:ascii="Arial" w:hAnsi="Arial" w:cs="Arial"/>
          <w:iCs/>
          <w:sz w:val="24"/>
          <w:szCs w:val="24"/>
        </w:rPr>
        <w:t>Enyuka</w:t>
      </w:r>
      <w:proofErr w:type="spellEnd"/>
      <w:r w:rsidR="00E121E3" w:rsidRPr="00A86E21">
        <w:rPr>
          <w:rFonts w:ascii="Arial" w:hAnsi="Arial" w:cs="Arial"/>
          <w:iCs/>
          <w:sz w:val="24"/>
          <w:szCs w:val="24"/>
        </w:rPr>
        <w:t xml:space="preserve"> filed its replying affidavit on 21 September 2021.</w:t>
      </w:r>
    </w:p>
    <w:p w14:paraId="0FD055AF" w14:textId="77777777" w:rsidR="006146B8" w:rsidRPr="00A86E21" w:rsidRDefault="006146B8" w:rsidP="00A86E21">
      <w:pPr>
        <w:spacing w:line="360" w:lineRule="auto"/>
        <w:ind w:left="720" w:hanging="720"/>
        <w:jc w:val="both"/>
        <w:rPr>
          <w:rFonts w:ascii="Arial" w:hAnsi="Arial" w:cs="Arial"/>
          <w:sz w:val="24"/>
          <w:szCs w:val="24"/>
        </w:rPr>
      </w:pPr>
    </w:p>
    <w:p w14:paraId="15FED02B" w14:textId="73B0B7F3" w:rsidR="0060768A" w:rsidRPr="00A86E21" w:rsidRDefault="00E51DD6" w:rsidP="00A86E21">
      <w:pPr>
        <w:spacing w:line="360" w:lineRule="auto"/>
        <w:ind w:left="720" w:hanging="720"/>
        <w:jc w:val="both"/>
        <w:rPr>
          <w:rFonts w:ascii="Arial" w:hAnsi="Arial" w:cs="Arial"/>
          <w:sz w:val="24"/>
          <w:szCs w:val="24"/>
        </w:rPr>
      </w:pPr>
      <w:r>
        <w:rPr>
          <w:rFonts w:ascii="Arial" w:hAnsi="Arial" w:cs="Arial"/>
          <w:sz w:val="24"/>
          <w:szCs w:val="24"/>
        </w:rPr>
        <w:t>[</w:t>
      </w:r>
      <w:r w:rsidR="00D736CF">
        <w:rPr>
          <w:rFonts w:ascii="Arial" w:hAnsi="Arial" w:cs="Arial"/>
          <w:sz w:val="24"/>
          <w:szCs w:val="24"/>
        </w:rPr>
        <w:t>7</w:t>
      </w:r>
      <w:r>
        <w:rPr>
          <w:rFonts w:ascii="Arial" w:hAnsi="Arial" w:cs="Arial"/>
          <w:sz w:val="24"/>
          <w:szCs w:val="24"/>
        </w:rPr>
        <w:t>]</w:t>
      </w:r>
      <w:r w:rsidR="0060768A">
        <w:rPr>
          <w:rFonts w:ascii="Arial" w:hAnsi="Arial" w:cs="Arial"/>
          <w:sz w:val="24"/>
          <w:szCs w:val="24"/>
        </w:rPr>
        <w:t xml:space="preserve">       </w:t>
      </w:r>
      <w:r w:rsidR="00E121E3" w:rsidRPr="00A86E21">
        <w:rPr>
          <w:rFonts w:ascii="Arial" w:hAnsi="Arial" w:cs="Arial"/>
          <w:sz w:val="24"/>
          <w:szCs w:val="24"/>
        </w:rPr>
        <w:t xml:space="preserve">Prior to the opposed liquidation application being heard, on 6 December 2021, United Merchants passed a special resolution for its voluntary winding-up.  The special resolution was registered with the fifth respondent (the CIPC) on 2 February 2022.  There is no dispute between the parties that, had the voluntary winding-up not occurred, and had the application for compulsory winding-up brought by </w:t>
      </w:r>
      <w:proofErr w:type="spellStart"/>
      <w:r w:rsidR="00E121E3" w:rsidRPr="00A86E21">
        <w:rPr>
          <w:rFonts w:ascii="Arial" w:hAnsi="Arial" w:cs="Arial"/>
          <w:sz w:val="24"/>
          <w:szCs w:val="24"/>
        </w:rPr>
        <w:t>Enyuka</w:t>
      </w:r>
      <w:proofErr w:type="spellEnd"/>
      <w:r w:rsidR="00E121E3" w:rsidRPr="00A86E21">
        <w:rPr>
          <w:rFonts w:ascii="Arial" w:hAnsi="Arial" w:cs="Arial"/>
          <w:sz w:val="24"/>
          <w:szCs w:val="24"/>
        </w:rPr>
        <w:t xml:space="preserve"> been successful, the date of liquidation of United Merchants would have been deemed to be 25 June 2021 (the date on which the application was launched).</w:t>
      </w:r>
      <w:r w:rsidR="00E121E3" w:rsidRPr="00E51DD6">
        <w:rPr>
          <w:vertAlign w:val="superscript"/>
        </w:rPr>
        <w:footnoteReference w:id="4"/>
      </w:r>
      <w:r w:rsidR="00E121E3" w:rsidRPr="00A86E21">
        <w:rPr>
          <w:rFonts w:ascii="Arial" w:hAnsi="Arial" w:cs="Arial"/>
          <w:sz w:val="24"/>
          <w:szCs w:val="24"/>
        </w:rPr>
        <w:t xml:space="preserve">  In the circumstances, however, the date of winding-up was </w:t>
      </w:r>
      <w:r w:rsidR="00E121E3" w:rsidRPr="00A86E21">
        <w:rPr>
          <w:rFonts w:ascii="Arial" w:hAnsi="Arial" w:cs="Arial"/>
          <w:sz w:val="24"/>
          <w:szCs w:val="24"/>
        </w:rPr>
        <w:lastRenderedPageBreak/>
        <w:t>2 February 2022, that being the date on which the special resolution was registered.</w:t>
      </w:r>
      <w:r w:rsidR="00E121E3" w:rsidRPr="00E51DD6">
        <w:rPr>
          <w:vertAlign w:val="superscript"/>
        </w:rPr>
        <w:footnoteReference w:id="5"/>
      </w:r>
    </w:p>
    <w:p w14:paraId="252AA977" w14:textId="77777777" w:rsidR="006146B8" w:rsidRPr="00E51DD6" w:rsidRDefault="006146B8" w:rsidP="00A86E21">
      <w:pPr>
        <w:spacing w:line="360" w:lineRule="auto"/>
        <w:ind w:left="720" w:hanging="720"/>
        <w:jc w:val="both"/>
        <w:rPr>
          <w:iCs/>
        </w:rPr>
      </w:pPr>
    </w:p>
    <w:p w14:paraId="593E7DD2" w14:textId="7C362EC9" w:rsidR="0060768A" w:rsidRPr="00A86E21" w:rsidRDefault="0060768A" w:rsidP="00A86E21">
      <w:pPr>
        <w:spacing w:line="360" w:lineRule="auto"/>
        <w:ind w:left="720" w:hanging="720"/>
        <w:jc w:val="both"/>
        <w:rPr>
          <w:rFonts w:ascii="Arial" w:hAnsi="Arial" w:cs="Arial"/>
          <w:sz w:val="24"/>
          <w:szCs w:val="24"/>
        </w:rPr>
      </w:pPr>
      <w:r>
        <w:rPr>
          <w:rFonts w:ascii="Arial" w:hAnsi="Arial" w:cs="Arial"/>
          <w:sz w:val="24"/>
          <w:szCs w:val="24"/>
        </w:rPr>
        <w:t>[</w:t>
      </w:r>
      <w:r w:rsidR="00D736CF">
        <w:rPr>
          <w:rFonts w:ascii="Arial" w:hAnsi="Arial" w:cs="Arial"/>
          <w:sz w:val="24"/>
          <w:szCs w:val="24"/>
        </w:rPr>
        <w:t>8</w:t>
      </w:r>
      <w:r>
        <w:rPr>
          <w:rFonts w:ascii="Arial" w:hAnsi="Arial" w:cs="Arial"/>
          <w:sz w:val="24"/>
          <w:szCs w:val="24"/>
        </w:rPr>
        <w:t xml:space="preserve">]      </w:t>
      </w:r>
      <w:r w:rsidR="00E121E3" w:rsidRPr="00A86E21">
        <w:rPr>
          <w:rFonts w:ascii="Arial" w:hAnsi="Arial" w:cs="Arial"/>
          <w:sz w:val="24"/>
          <w:szCs w:val="24"/>
        </w:rPr>
        <w:t>The significance of the date of liquidation relates to whether a transaction by United Merchants is classified as a voidable preference under section 29 of the Insolvency Act</w:t>
      </w:r>
      <w:r w:rsidR="00251107" w:rsidRPr="00A86E21">
        <w:rPr>
          <w:rFonts w:ascii="Arial" w:hAnsi="Arial" w:cs="Arial"/>
          <w:sz w:val="24"/>
          <w:szCs w:val="24"/>
        </w:rPr>
        <w:t>,</w:t>
      </w:r>
      <w:r w:rsidR="00251107" w:rsidRPr="00E51DD6">
        <w:rPr>
          <w:rStyle w:val="FootnoteReference"/>
          <w:rFonts w:ascii="Arial" w:hAnsi="Arial" w:cs="Arial"/>
          <w:iCs/>
          <w:sz w:val="24"/>
          <w:szCs w:val="24"/>
        </w:rPr>
        <w:footnoteReference w:id="6"/>
      </w:r>
      <w:r w:rsidR="00E121E3" w:rsidRPr="00A86E21">
        <w:rPr>
          <w:rFonts w:ascii="Arial" w:hAnsi="Arial" w:cs="Arial"/>
          <w:sz w:val="24"/>
          <w:szCs w:val="24"/>
        </w:rPr>
        <w:t xml:space="preserve"> or an undue preference under section 30 of that Act.  In the case of the former, the onus rests on the recipient of the disposition to prove that it was made in the ordinary course of business and was not intended to prefer a creditor (typically the recipient) above another.  In the case of the latter, the onus is on the liquidator to prove that the disposition was made with the intention to prefer the recipient (or some other creditor).  It is in consequence of this distinction and the related benefits arising from an earlier date of winding-up, that </w:t>
      </w:r>
      <w:proofErr w:type="spellStart"/>
      <w:r w:rsidR="00E121E3" w:rsidRPr="00A86E21">
        <w:rPr>
          <w:rFonts w:ascii="Arial" w:hAnsi="Arial" w:cs="Arial"/>
          <w:sz w:val="24"/>
          <w:szCs w:val="24"/>
        </w:rPr>
        <w:t>Enyuka</w:t>
      </w:r>
      <w:proofErr w:type="spellEnd"/>
      <w:r w:rsidR="00E121E3" w:rsidRPr="00A86E21">
        <w:rPr>
          <w:rFonts w:ascii="Arial" w:hAnsi="Arial" w:cs="Arial"/>
          <w:sz w:val="24"/>
          <w:szCs w:val="24"/>
        </w:rPr>
        <w:t xml:space="preserve"> brought its conversion application.  In it, </w:t>
      </w:r>
      <w:proofErr w:type="spellStart"/>
      <w:r w:rsidR="00E121E3" w:rsidRPr="00A86E21">
        <w:rPr>
          <w:rFonts w:ascii="Arial" w:hAnsi="Arial" w:cs="Arial"/>
          <w:sz w:val="24"/>
          <w:szCs w:val="24"/>
        </w:rPr>
        <w:t>Enyuka</w:t>
      </w:r>
      <w:proofErr w:type="spellEnd"/>
      <w:r w:rsidR="00E121E3" w:rsidRPr="00A86E21">
        <w:rPr>
          <w:rFonts w:ascii="Arial" w:hAnsi="Arial" w:cs="Arial"/>
          <w:sz w:val="24"/>
          <w:szCs w:val="24"/>
        </w:rPr>
        <w:t xml:space="preserve"> refers to </w:t>
      </w:r>
      <w:r w:rsidR="00251107" w:rsidRPr="00A86E21">
        <w:rPr>
          <w:rFonts w:ascii="Arial" w:hAnsi="Arial" w:cs="Arial"/>
          <w:sz w:val="24"/>
          <w:szCs w:val="24"/>
        </w:rPr>
        <w:t>several</w:t>
      </w:r>
      <w:r w:rsidR="00E121E3" w:rsidRPr="00A86E21">
        <w:rPr>
          <w:rFonts w:ascii="Arial" w:hAnsi="Arial" w:cs="Arial"/>
          <w:sz w:val="24"/>
          <w:szCs w:val="24"/>
        </w:rPr>
        <w:t xml:space="preserve"> dispositions by United Merchants to </w:t>
      </w:r>
      <w:proofErr w:type="spellStart"/>
      <w:r w:rsidR="00E121E3" w:rsidRPr="00A86E21">
        <w:rPr>
          <w:rFonts w:ascii="Arial" w:hAnsi="Arial" w:cs="Arial"/>
          <w:sz w:val="24"/>
          <w:szCs w:val="24"/>
        </w:rPr>
        <w:t>Truval</w:t>
      </w:r>
      <w:proofErr w:type="spellEnd"/>
      <w:r w:rsidR="00E121E3" w:rsidRPr="00A86E21">
        <w:rPr>
          <w:rFonts w:ascii="Arial" w:hAnsi="Arial" w:cs="Arial"/>
          <w:sz w:val="24"/>
          <w:szCs w:val="24"/>
        </w:rPr>
        <w:t xml:space="preserve"> that it contends were made during the earlier part of 2021, at a time that United Merchants was insolvent and with the clear intention of preferring </w:t>
      </w:r>
      <w:proofErr w:type="spellStart"/>
      <w:r w:rsidR="00E121E3" w:rsidRPr="00A86E21">
        <w:rPr>
          <w:rFonts w:ascii="Arial" w:hAnsi="Arial" w:cs="Arial"/>
          <w:sz w:val="24"/>
          <w:szCs w:val="24"/>
        </w:rPr>
        <w:t>Truval</w:t>
      </w:r>
      <w:proofErr w:type="spellEnd"/>
      <w:r w:rsidR="00E121E3" w:rsidRPr="00A86E21">
        <w:rPr>
          <w:rFonts w:ascii="Arial" w:hAnsi="Arial" w:cs="Arial"/>
          <w:sz w:val="24"/>
          <w:szCs w:val="24"/>
        </w:rPr>
        <w:t xml:space="preserve"> (who had the same members as United Merchants).  Notably, the earlier date of liquidation would also have a material impact on the general notarial covering bond executed by United Merchants in favour of </w:t>
      </w:r>
      <w:proofErr w:type="spellStart"/>
      <w:r w:rsidR="00E121E3" w:rsidRPr="00A86E21">
        <w:rPr>
          <w:rFonts w:ascii="Arial" w:hAnsi="Arial" w:cs="Arial"/>
          <w:sz w:val="24"/>
          <w:szCs w:val="24"/>
        </w:rPr>
        <w:t>Truval</w:t>
      </w:r>
      <w:proofErr w:type="spellEnd"/>
      <w:r w:rsidR="00E121E3" w:rsidRPr="00A86E21">
        <w:rPr>
          <w:rFonts w:ascii="Arial" w:hAnsi="Arial" w:cs="Arial"/>
          <w:sz w:val="24"/>
          <w:szCs w:val="24"/>
        </w:rPr>
        <w:t xml:space="preserve"> over United Merchant’s movables in March 2021.</w:t>
      </w:r>
    </w:p>
    <w:p w14:paraId="7A5D4E3B" w14:textId="77777777" w:rsidR="006146B8" w:rsidRPr="0060768A" w:rsidRDefault="006146B8" w:rsidP="00A86E21">
      <w:pPr>
        <w:spacing w:line="360" w:lineRule="auto"/>
        <w:ind w:left="720" w:hanging="720"/>
        <w:rPr>
          <w:iCs/>
        </w:rPr>
      </w:pPr>
    </w:p>
    <w:p w14:paraId="32D8F0A1" w14:textId="10ADA232" w:rsidR="00E121E3" w:rsidRPr="00A86E21" w:rsidRDefault="0060768A" w:rsidP="00A86E21">
      <w:pPr>
        <w:spacing w:line="360" w:lineRule="auto"/>
        <w:ind w:left="720" w:hanging="720"/>
        <w:jc w:val="both"/>
        <w:rPr>
          <w:rFonts w:ascii="Arial" w:hAnsi="Arial" w:cs="Arial"/>
          <w:iCs/>
          <w:sz w:val="24"/>
          <w:szCs w:val="24"/>
        </w:rPr>
      </w:pPr>
      <w:r>
        <w:rPr>
          <w:rFonts w:ascii="Arial" w:hAnsi="Arial" w:cs="Arial"/>
          <w:sz w:val="24"/>
          <w:szCs w:val="24"/>
        </w:rPr>
        <w:t>[</w:t>
      </w:r>
      <w:r w:rsidR="00DF2C88">
        <w:rPr>
          <w:rFonts w:ascii="Arial" w:hAnsi="Arial" w:cs="Arial"/>
          <w:sz w:val="24"/>
          <w:szCs w:val="24"/>
        </w:rPr>
        <w:t>9</w:t>
      </w:r>
      <w:r>
        <w:rPr>
          <w:rFonts w:ascii="Arial" w:hAnsi="Arial" w:cs="Arial"/>
          <w:sz w:val="24"/>
          <w:szCs w:val="24"/>
        </w:rPr>
        <w:t xml:space="preserve">]    </w:t>
      </w:r>
      <w:r w:rsidR="00E121E3" w:rsidRPr="00A86E21">
        <w:rPr>
          <w:rFonts w:ascii="Arial" w:hAnsi="Arial" w:cs="Arial"/>
          <w:sz w:val="24"/>
          <w:szCs w:val="24"/>
        </w:rPr>
        <w:t>It is necessary to say something about the date of liquidation in relation to impeachable transactions at this juncture.  Section 340 of the Act regulates the impeachment of dispositions made by a company prior to its winding-up and provides as follows:</w:t>
      </w:r>
    </w:p>
    <w:p w14:paraId="47941D37" w14:textId="77777777" w:rsidR="00E121E3" w:rsidRPr="00E51DD6" w:rsidRDefault="00E121E3" w:rsidP="00A86E21">
      <w:pPr>
        <w:spacing w:line="360" w:lineRule="auto"/>
        <w:ind w:left="1145"/>
        <w:jc w:val="both"/>
        <w:rPr>
          <w:rFonts w:ascii="Arial" w:hAnsi="Arial" w:cs="Arial"/>
          <w:i/>
          <w:iCs/>
          <w:sz w:val="24"/>
          <w:szCs w:val="24"/>
        </w:rPr>
      </w:pPr>
      <w:r w:rsidRPr="00E51DD6">
        <w:rPr>
          <w:rFonts w:ascii="Arial" w:hAnsi="Arial" w:cs="Arial"/>
          <w:i/>
          <w:iCs/>
          <w:sz w:val="24"/>
          <w:szCs w:val="24"/>
        </w:rPr>
        <w:t>“(1)</w:t>
      </w:r>
      <w:r w:rsidRPr="00E51DD6">
        <w:rPr>
          <w:rFonts w:ascii="Arial" w:hAnsi="Arial" w:cs="Arial"/>
          <w:i/>
          <w:iCs/>
          <w:sz w:val="24"/>
          <w:szCs w:val="24"/>
        </w:rPr>
        <w:tab/>
        <w:t xml:space="preserve">Every disposition by a company of its property which, if made by an individual, could, for any reason, be set aside in the event of his insolvency, may, if made by a company, be set aside in the event of the company being wound up and unable to pay all its debts, and the provisions of the law relating to insolvency shall mutatis mutandis be applied to any such disposition. </w:t>
      </w:r>
    </w:p>
    <w:p w14:paraId="1831A0D2" w14:textId="77777777" w:rsidR="00E121E3" w:rsidRPr="00E51DD6" w:rsidRDefault="00E121E3" w:rsidP="00A86E21">
      <w:pPr>
        <w:spacing w:line="360" w:lineRule="auto"/>
        <w:ind w:left="1570" w:hanging="567"/>
        <w:jc w:val="both"/>
        <w:rPr>
          <w:rFonts w:ascii="Arial" w:hAnsi="Arial" w:cs="Arial"/>
          <w:i/>
          <w:iCs/>
          <w:sz w:val="24"/>
          <w:szCs w:val="24"/>
        </w:rPr>
      </w:pPr>
      <w:r w:rsidRPr="00E51DD6">
        <w:rPr>
          <w:rFonts w:ascii="Arial" w:hAnsi="Arial" w:cs="Arial"/>
          <w:i/>
          <w:iCs/>
          <w:sz w:val="24"/>
          <w:szCs w:val="24"/>
        </w:rPr>
        <w:lastRenderedPageBreak/>
        <w:t>(2)</w:t>
      </w:r>
      <w:r w:rsidRPr="00E51DD6">
        <w:rPr>
          <w:rFonts w:ascii="Arial" w:hAnsi="Arial" w:cs="Arial"/>
          <w:i/>
          <w:iCs/>
          <w:sz w:val="24"/>
          <w:szCs w:val="24"/>
        </w:rPr>
        <w:tab/>
        <w:t xml:space="preserve">For the purpose of this section the event which shall be deemed to correspond with the sequestration order in the case of an individual shall be-  </w:t>
      </w:r>
    </w:p>
    <w:p w14:paraId="42F369F6" w14:textId="77777777" w:rsidR="00E121E3" w:rsidRPr="00E51DD6" w:rsidRDefault="00E121E3" w:rsidP="00A86E21">
      <w:pPr>
        <w:spacing w:line="360" w:lineRule="auto"/>
        <w:ind w:left="1570" w:hanging="567"/>
        <w:jc w:val="both"/>
        <w:rPr>
          <w:rFonts w:ascii="Arial" w:hAnsi="Arial" w:cs="Arial"/>
          <w:i/>
          <w:iCs/>
          <w:sz w:val="24"/>
          <w:szCs w:val="24"/>
        </w:rPr>
      </w:pPr>
      <w:r w:rsidRPr="00E51DD6">
        <w:rPr>
          <w:rFonts w:ascii="Arial" w:hAnsi="Arial" w:cs="Arial"/>
          <w:i/>
          <w:iCs/>
          <w:sz w:val="24"/>
          <w:szCs w:val="24"/>
        </w:rPr>
        <w:t>(a)</w:t>
      </w:r>
      <w:r w:rsidRPr="00E51DD6">
        <w:rPr>
          <w:rFonts w:ascii="Arial" w:hAnsi="Arial" w:cs="Arial"/>
          <w:i/>
          <w:iCs/>
          <w:sz w:val="24"/>
          <w:szCs w:val="24"/>
        </w:rPr>
        <w:tab/>
        <w:t xml:space="preserve">in the case of a winding-up by the Court, the presentation of the application, </w:t>
      </w:r>
      <w:r w:rsidRPr="00E51DD6">
        <w:rPr>
          <w:rFonts w:ascii="Arial" w:hAnsi="Arial" w:cs="Arial"/>
          <w:i/>
          <w:iCs/>
          <w:sz w:val="24"/>
          <w:szCs w:val="24"/>
          <w:u w:val="single"/>
        </w:rPr>
        <w:t>unless that winding-up has superseded a voluntary winding-up, when it shall be the registration in terms of section 200 of the special resolution to wind up the company</w:t>
      </w:r>
      <w:r w:rsidRPr="00E51DD6">
        <w:rPr>
          <w:rFonts w:ascii="Arial" w:hAnsi="Arial" w:cs="Arial"/>
          <w:i/>
          <w:iCs/>
          <w:sz w:val="24"/>
          <w:szCs w:val="24"/>
        </w:rPr>
        <w:t xml:space="preserve">;  </w:t>
      </w:r>
    </w:p>
    <w:p w14:paraId="0F34DBC3" w14:textId="77777777" w:rsidR="00E121E3" w:rsidRPr="00E51DD6" w:rsidRDefault="00E121E3" w:rsidP="00A86E21">
      <w:pPr>
        <w:spacing w:line="360" w:lineRule="auto"/>
        <w:ind w:left="1570" w:hanging="567"/>
        <w:jc w:val="both"/>
        <w:rPr>
          <w:rFonts w:ascii="Arial" w:hAnsi="Arial" w:cs="Arial"/>
          <w:i/>
          <w:iCs/>
          <w:sz w:val="24"/>
          <w:szCs w:val="24"/>
        </w:rPr>
      </w:pPr>
      <w:r w:rsidRPr="00E51DD6">
        <w:rPr>
          <w:rFonts w:ascii="Arial" w:hAnsi="Arial" w:cs="Arial"/>
          <w:i/>
          <w:iCs/>
          <w:sz w:val="24"/>
          <w:szCs w:val="24"/>
        </w:rPr>
        <w:t>(b)</w:t>
      </w:r>
      <w:r w:rsidRPr="00E51DD6">
        <w:rPr>
          <w:rFonts w:ascii="Arial" w:hAnsi="Arial" w:cs="Arial"/>
          <w:i/>
          <w:iCs/>
          <w:sz w:val="24"/>
          <w:szCs w:val="24"/>
        </w:rPr>
        <w:tab/>
        <w:t>in the case of a voluntary winding-up, the registration in terms of section 200 of the special resolution to wind up the company;</w:t>
      </w:r>
    </w:p>
    <w:p w14:paraId="0AB58708" w14:textId="0BDC7364" w:rsidR="006146B8" w:rsidRPr="00E51DD6" w:rsidRDefault="00E121E3" w:rsidP="00A86E21">
      <w:pPr>
        <w:spacing w:line="360" w:lineRule="auto"/>
        <w:ind w:left="1570" w:hanging="567"/>
        <w:jc w:val="both"/>
        <w:rPr>
          <w:rFonts w:ascii="Arial" w:hAnsi="Arial" w:cs="Arial"/>
          <w:i/>
          <w:iCs/>
          <w:sz w:val="24"/>
          <w:szCs w:val="24"/>
        </w:rPr>
      </w:pPr>
      <w:r w:rsidRPr="00E51DD6">
        <w:rPr>
          <w:rFonts w:ascii="Arial" w:hAnsi="Arial" w:cs="Arial"/>
          <w:i/>
          <w:iCs/>
          <w:sz w:val="24"/>
          <w:szCs w:val="24"/>
        </w:rPr>
        <w:t>(c)</w:t>
      </w:r>
      <w:r w:rsidRPr="00E51DD6">
        <w:rPr>
          <w:rFonts w:ascii="Arial" w:hAnsi="Arial" w:cs="Arial"/>
          <w:i/>
          <w:iCs/>
          <w:sz w:val="24"/>
          <w:szCs w:val="24"/>
        </w:rPr>
        <w:tab/>
        <w:t xml:space="preserve">…”  </w:t>
      </w:r>
      <w:r w:rsidRPr="00E51DD6">
        <w:rPr>
          <w:rFonts w:ascii="Arial" w:hAnsi="Arial" w:cs="Arial"/>
          <w:iCs/>
          <w:sz w:val="24"/>
          <w:szCs w:val="24"/>
        </w:rPr>
        <w:t>[emphasis added]</w:t>
      </w:r>
    </w:p>
    <w:p w14:paraId="56240F7E" w14:textId="24B50CBE" w:rsidR="00E121E3" w:rsidRPr="00E51DD6" w:rsidRDefault="006146B8" w:rsidP="00A86E21">
      <w:pPr>
        <w:spacing w:line="360" w:lineRule="auto"/>
        <w:ind w:left="720" w:hanging="720"/>
        <w:jc w:val="both"/>
        <w:rPr>
          <w:rFonts w:ascii="Arial" w:hAnsi="Arial" w:cs="Arial"/>
          <w:iCs/>
          <w:sz w:val="24"/>
          <w:szCs w:val="24"/>
        </w:rPr>
      </w:pPr>
      <w:r w:rsidRPr="00E51DD6">
        <w:rPr>
          <w:rFonts w:ascii="Arial" w:hAnsi="Arial" w:cs="Arial"/>
          <w:sz w:val="24"/>
          <w:szCs w:val="24"/>
        </w:rPr>
        <w:t>[</w:t>
      </w:r>
      <w:r w:rsidR="00DF2C88">
        <w:rPr>
          <w:rFonts w:ascii="Arial" w:hAnsi="Arial" w:cs="Arial"/>
          <w:sz w:val="24"/>
          <w:szCs w:val="24"/>
        </w:rPr>
        <w:t>10</w:t>
      </w:r>
      <w:r w:rsidRPr="00E51DD6">
        <w:rPr>
          <w:rFonts w:ascii="Arial" w:hAnsi="Arial" w:cs="Arial"/>
          <w:sz w:val="24"/>
          <w:szCs w:val="24"/>
        </w:rPr>
        <w:t xml:space="preserve">]      </w:t>
      </w:r>
      <w:r w:rsidR="00E121E3" w:rsidRPr="00E51DD6">
        <w:rPr>
          <w:rFonts w:ascii="Arial" w:hAnsi="Arial" w:cs="Arial"/>
          <w:iCs/>
          <w:sz w:val="24"/>
          <w:szCs w:val="24"/>
        </w:rPr>
        <w:t xml:space="preserve">The import of section 340(2)(a) is that, even were a compulsory winding-up order granted sometime in the future, this would follow after the voluntary winding-up already effected on 2 February 2022 and, for purposes of setting aside impeachable transactions, the date of liquidation will remain 2 February 2022 (despite the earlier application date for compulsory winding-up of 25 June 2021).  The Supreme Court of Appeal confirmed that this is the import of section 340(2)(a) in its decision in </w:t>
      </w:r>
      <w:proofErr w:type="spellStart"/>
      <w:r w:rsidR="00E121E3" w:rsidRPr="00E51DD6">
        <w:rPr>
          <w:rFonts w:ascii="Arial" w:hAnsi="Arial" w:cs="Arial"/>
          <w:i/>
          <w:iCs/>
          <w:sz w:val="24"/>
          <w:szCs w:val="24"/>
        </w:rPr>
        <w:t>Afrisam</w:t>
      </w:r>
      <w:proofErr w:type="spellEnd"/>
      <w:r w:rsidR="00E121E3" w:rsidRPr="00E51DD6">
        <w:rPr>
          <w:rFonts w:ascii="Arial" w:hAnsi="Arial" w:cs="Arial"/>
          <w:iCs/>
          <w:sz w:val="24"/>
          <w:szCs w:val="24"/>
        </w:rPr>
        <w:t>:</w:t>
      </w:r>
      <w:r w:rsidR="00E121E3" w:rsidRPr="00E51DD6">
        <w:rPr>
          <w:rFonts w:ascii="Arial" w:hAnsi="Arial" w:cs="Arial"/>
          <w:iCs/>
          <w:sz w:val="24"/>
          <w:szCs w:val="24"/>
          <w:vertAlign w:val="superscript"/>
        </w:rPr>
        <w:footnoteReference w:id="7"/>
      </w:r>
    </w:p>
    <w:p w14:paraId="5F4068B2" w14:textId="47FAC7BB" w:rsidR="00E121E3" w:rsidRDefault="00E121E3" w:rsidP="00A86E21">
      <w:pPr>
        <w:spacing w:line="360" w:lineRule="auto"/>
        <w:ind w:left="1134"/>
        <w:jc w:val="both"/>
        <w:rPr>
          <w:rFonts w:ascii="Arial" w:hAnsi="Arial" w:cs="Arial"/>
          <w:i/>
          <w:iCs/>
          <w:sz w:val="24"/>
          <w:szCs w:val="24"/>
        </w:rPr>
      </w:pPr>
      <w:r w:rsidRPr="00E51DD6">
        <w:rPr>
          <w:rFonts w:ascii="Arial" w:hAnsi="Arial" w:cs="Arial"/>
          <w:i/>
          <w:iCs/>
          <w:sz w:val="24"/>
          <w:szCs w:val="24"/>
        </w:rPr>
        <w:t>“[21</w:t>
      </w:r>
      <w:proofErr w:type="gramStart"/>
      <w:r w:rsidRPr="00E51DD6">
        <w:rPr>
          <w:rFonts w:ascii="Arial" w:hAnsi="Arial" w:cs="Arial"/>
          <w:i/>
          <w:iCs/>
          <w:sz w:val="24"/>
          <w:szCs w:val="24"/>
        </w:rPr>
        <w:t>]  As</w:t>
      </w:r>
      <w:proofErr w:type="gramEnd"/>
      <w:r w:rsidRPr="00E51DD6">
        <w:rPr>
          <w:rFonts w:ascii="Arial" w:hAnsi="Arial" w:cs="Arial"/>
          <w:i/>
          <w:iCs/>
          <w:sz w:val="24"/>
          <w:szCs w:val="24"/>
        </w:rPr>
        <w:t xml:space="preserve"> is evident from s 340(2)(a), the Act envisages replacement of a voluntary winding-up with a compulsory winding-up. That section then provides, in terms, that where a compulsory winding-up order replaces a voluntary winding-up, the deemed date of commencement shall be the date of registration of the special resolution for the winding-up as provided in s 200 of the Act, rather than the date of presentation of the application for compulsory winding-up. This means that the </w:t>
      </w:r>
      <w:proofErr w:type="gramStart"/>
      <w:r w:rsidRPr="00E51DD6">
        <w:rPr>
          <w:rFonts w:ascii="Arial" w:hAnsi="Arial" w:cs="Arial"/>
          <w:i/>
          <w:iCs/>
          <w:sz w:val="24"/>
          <w:szCs w:val="24"/>
        </w:rPr>
        <w:t>six</w:t>
      </w:r>
      <w:r w:rsidR="00ED1698" w:rsidRPr="00E51DD6">
        <w:rPr>
          <w:rFonts w:ascii="Arial" w:hAnsi="Arial" w:cs="Arial"/>
          <w:i/>
          <w:iCs/>
          <w:sz w:val="24"/>
          <w:szCs w:val="24"/>
        </w:rPr>
        <w:t xml:space="preserve"> </w:t>
      </w:r>
      <w:r w:rsidRPr="00E51DD6">
        <w:rPr>
          <w:rFonts w:ascii="Arial" w:hAnsi="Arial" w:cs="Arial"/>
          <w:i/>
          <w:iCs/>
          <w:sz w:val="24"/>
          <w:szCs w:val="24"/>
        </w:rPr>
        <w:t>month</w:t>
      </w:r>
      <w:proofErr w:type="gramEnd"/>
      <w:r w:rsidRPr="00E51DD6">
        <w:rPr>
          <w:rFonts w:ascii="Arial" w:hAnsi="Arial" w:cs="Arial"/>
          <w:i/>
          <w:iCs/>
          <w:sz w:val="24"/>
          <w:szCs w:val="24"/>
        </w:rPr>
        <w:t xml:space="preserve"> period for impeachable transactions will be determined with reference to the date of registration of the special resolution to wind up the company, rather than the date of presentation of the winding-up application.</w:t>
      </w:r>
    </w:p>
    <w:p w14:paraId="6E7BA1F8" w14:textId="77777777" w:rsidR="00DF2C88" w:rsidRDefault="00DF2C88" w:rsidP="00A86E21">
      <w:pPr>
        <w:spacing w:line="360" w:lineRule="auto"/>
        <w:ind w:left="1134"/>
        <w:jc w:val="both"/>
        <w:rPr>
          <w:rFonts w:ascii="Arial" w:hAnsi="Arial" w:cs="Arial"/>
          <w:i/>
          <w:iCs/>
          <w:sz w:val="24"/>
          <w:szCs w:val="24"/>
        </w:rPr>
      </w:pPr>
    </w:p>
    <w:p w14:paraId="1125CFAD" w14:textId="0E07362E" w:rsidR="00DF2C88" w:rsidRPr="00E51DD6" w:rsidRDefault="00DF2C88" w:rsidP="00A86E21">
      <w:pPr>
        <w:spacing w:line="360" w:lineRule="auto"/>
        <w:ind w:left="1134"/>
        <w:jc w:val="both"/>
        <w:rPr>
          <w:rFonts w:ascii="Arial" w:hAnsi="Arial" w:cs="Arial"/>
          <w:i/>
          <w:iCs/>
          <w:sz w:val="24"/>
          <w:szCs w:val="24"/>
        </w:rPr>
      </w:pPr>
      <w:r>
        <w:rPr>
          <w:rFonts w:ascii="Arial" w:hAnsi="Arial" w:cs="Arial"/>
          <w:i/>
          <w:iCs/>
          <w:sz w:val="24"/>
          <w:szCs w:val="24"/>
        </w:rPr>
        <w:t>…</w:t>
      </w:r>
    </w:p>
    <w:p w14:paraId="44FD6295" w14:textId="77777777" w:rsidR="00E121E3" w:rsidRPr="00E51DD6" w:rsidRDefault="00E121E3" w:rsidP="00A86E21">
      <w:pPr>
        <w:spacing w:line="360" w:lineRule="auto"/>
        <w:jc w:val="both"/>
        <w:rPr>
          <w:rFonts w:ascii="Arial" w:hAnsi="Arial" w:cs="Arial"/>
          <w:i/>
          <w:iCs/>
          <w:sz w:val="24"/>
          <w:szCs w:val="24"/>
        </w:rPr>
      </w:pPr>
    </w:p>
    <w:p w14:paraId="28163DB4" w14:textId="45B648FE" w:rsidR="006146B8" w:rsidRDefault="00E121E3" w:rsidP="00DF2C88">
      <w:pPr>
        <w:spacing w:line="360" w:lineRule="auto"/>
        <w:ind w:left="1134"/>
        <w:jc w:val="both"/>
        <w:rPr>
          <w:rFonts w:ascii="Arial" w:hAnsi="Arial" w:cs="Arial"/>
          <w:sz w:val="24"/>
          <w:szCs w:val="24"/>
        </w:rPr>
      </w:pPr>
      <w:r w:rsidRPr="00DF2C88">
        <w:rPr>
          <w:rFonts w:ascii="Arial" w:hAnsi="Arial" w:cs="Arial"/>
          <w:i/>
          <w:iCs/>
          <w:sz w:val="24"/>
          <w:szCs w:val="24"/>
        </w:rPr>
        <w:t>[</w:t>
      </w:r>
      <w:r w:rsidR="00DF2C88" w:rsidRPr="00DF2C88">
        <w:rPr>
          <w:rFonts w:ascii="Arial" w:hAnsi="Arial" w:cs="Arial"/>
          <w:i/>
          <w:iCs/>
          <w:sz w:val="24"/>
          <w:szCs w:val="24"/>
        </w:rPr>
        <w:t>24</w:t>
      </w:r>
      <w:proofErr w:type="gramStart"/>
      <w:r w:rsidRPr="00DF2C88">
        <w:rPr>
          <w:rFonts w:ascii="Arial" w:hAnsi="Arial" w:cs="Arial"/>
          <w:i/>
          <w:iCs/>
          <w:sz w:val="24"/>
          <w:szCs w:val="24"/>
        </w:rPr>
        <w:t>]  The</w:t>
      </w:r>
      <w:proofErr w:type="gramEnd"/>
      <w:r w:rsidRPr="00DF2C88">
        <w:rPr>
          <w:rFonts w:ascii="Arial" w:hAnsi="Arial" w:cs="Arial"/>
          <w:i/>
          <w:iCs/>
          <w:sz w:val="24"/>
          <w:szCs w:val="24"/>
        </w:rPr>
        <w:t xml:space="preserve"> facts in this case fit squarely within the provisions of the Act referred to above, particularly s 340(2)(a). The December 2015 winding-up </w:t>
      </w:r>
      <w:r w:rsidRPr="00DF2C88">
        <w:rPr>
          <w:rFonts w:ascii="Arial" w:hAnsi="Arial" w:cs="Arial"/>
          <w:i/>
          <w:iCs/>
          <w:sz w:val="24"/>
          <w:szCs w:val="24"/>
        </w:rPr>
        <w:lastRenderedPageBreak/>
        <w:t xml:space="preserve">order superseded the voluntary winding-up that had commenced in March 2014. It follows, therefore, that in terms of s 340(2)(a) the effective date of </w:t>
      </w:r>
      <w:proofErr w:type="spellStart"/>
      <w:r w:rsidRPr="00DF2C88">
        <w:rPr>
          <w:rFonts w:ascii="Arial" w:hAnsi="Arial" w:cs="Arial"/>
          <w:i/>
          <w:iCs/>
          <w:sz w:val="24"/>
          <w:szCs w:val="24"/>
        </w:rPr>
        <w:t>Cemlock’s</w:t>
      </w:r>
      <w:proofErr w:type="spellEnd"/>
      <w:r w:rsidRPr="00DF2C88">
        <w:rPr>
          <w:rFonts w:ascii="Arial" w:hAnsi="Arial" w:cs="Arial"/>
          <w:i/>
          <w:iCs/>
          <w:sz w:val="24"/>
          <w:szCs w:val="24"/>
        </w:rPr>
        <w:t xml:space="preserve"> winding-up was the date of registration of the special resolution, i.e. 12 March 2014 and not 31 October 2013.</w:t>
      </w:r>
      <w:r w:rsidRPr="00A86E21">
        <w:rPr>
          <w:rFonts w:ascii="Arial" w:hAnsi="Arial" w:cs="Arial"/>
          <w:sz w:val="24"/>
          <w:szCs w:val="24"/>
        </w:rPr>
        <w:t>”</w:t>
      </w:r>
    </w:p>
    <w:p w14:paraId="1EFC2107" w14:textId="77777777" w:rsidR="0060768A" w:rsidRPr="00E51DD6" w:rsidRDefault="0060768A" w:rsidP="00E51DD6">
      <w:pPr>
        <w:spacing w:line="360" w:lineRule="auto"/>
        <w:ind w:left="720" w:hanging="720"/>
        <w:jc w:val="both"/>
        <w:rPr>
          <w:rFonts w:ascii="Arial" w:hAnsi="Arial" w:cs="Arial"/>
          <w:sz w:val="24"/>
          <w:szCs w:val="24"/>
        </w:rPr>
      </w:pPr>
    </w:p>
    <w:p w14:paraId="48AB8276" w14:textId="7ACD20E1" w:rsidR="00E121E3" w:rsidRPr="00E51DD6" w:rsidRDefault="006146B8" w:rsidP="00A86E21">
      <w:pPr>
        <w:spacing w:line="360" w:lineRule="auto"/>
        <w:ind w:left="720" w:hanging="720"/>
        <w:jc w:val="both"/>
        <w:rPr>
          <w:rFonts w:ascii="Arial" w:hAnsi="Arial" w:cs="Arial"/>
          <w:sz w:val="24"/>
          <w:szCs w:val="24"/>
        </w:rPr>
      </w:pPr>
      <w:r w:rsidRPr="00E51DD6">
        <w:rPr>
          <w:rFonts w:ascii="Arial" w:hAnsi="Arial" w:cs="Arial"/>
          <w:sz w:val="24"/>
          <w:szCs w:val="24"/>
        </w:rPr>
        <w:t xml:space="preserve">[11] </w:t>
      </w:r>
      <w:r w:rsidR="0060768A">
        <w:rPr>
          <w:rFonts w:ascii="Arial" w:hAnsi="Arial" w:cs="Arial"/>
          <w:sz w:val="24"/>
          <w:szCs w:val="24"/>
        </w:rPr>
        <w:t xml:space="preserve">  </w:t>
      </w:r>
      <w:r w:rsidR="00E121E3" w:rsidRPr="00E51DD6">
        <w:rPr>
          <w:rFonts w:ascii="Arial" w:hAnsi="Arial" w:cs="Arial"/>
          <w:iCs/>
          <w:sz w:val="24"/>
          <w:szCs w:val="24"/>
        </w:rPr>
        <w:t xml:space="preserve">In the </w:t>
      </w:r>
      <w:proofErr w:type="spellStart"/>
      <w:r w:rsidR="00E121E3" w:rsidRPr="00E51DD6">
        <w:rPr>
          <w:rFonts w:ascii="Arial" w:hAnsi="Arial" w:cs="Arial"/>
          <w:i/>
          <w:iCs/>
          <w:sz w:val="24"/>
          <w:szCs w:val="24"/>
        </w:rPr>
        <w:t>Afrisam</w:t>
      </w:r>
      <w:proofErr w:type="spellEnd"/>
      <w:r w:rsidR="00E121E3" w:rsidRPr="00E51DD6">
        <w:rPr>
          <w:rFonts w:ascii="Arial" w:hAnsi="Arial" w:cs="Arial"/>
          <w:iCs/>
          <w:sz w:val="24"/>
          <w:szCs w:val="24"/>
        </w:rPr>
        <w:t xml:space="preserve"> matter, the court also pointed out (albeit </w:t>
      </w:r>
      <w:r w:rsidR="00E121E3" w:rsidRPr="00E51DD6">
        <w:rPr>
          <w:rFonts w:ascii="Arial" w:hAnsi="Arial" w:cs="Arial"/>
          <w:i/>
          <w:iCs/>
          <w:sz w:val="24"/>
          <w:szCs w:val="24"/>
        </w:rPr>
        <w:t>obiter</w:t>
      </w:r>
      <w:r w:rsidR="00E121E3" w:rsidRPr="00E51DD6">
        <w:rPr>
          <w:rFonts w:ascii="Arial" w:hAnsi="Arial" w:cs="Arial"/>
          <w:iCs/>
          <w:sz w:val="24"/>
          <w:szCs w:val="24"/>
        </w:rPr>
        <w:t>) that it was not necessary for the voluntary winding-up to be set aside before granting an order of compulsory winding-up; those proceedings could be set aside if the court, in the exercise of its discretion, found that it was necessary to do so.</w:t>
      </w:r>
      <w:r w:rsidR="00E121E3" w:rsidRPr="00E51DD6">
        <w:rPr>
          <w:rFonts w:ascii="Arial" w:hAnsi="Arial" w:cs="Arial"/>
          <w:iCs/>
          <w:sz w:val="24"/>
          <w:szCs w:val="24"/>
          <w:vertAlign w:val="superscript"/>
        </w:rPr>
        <w:footnoteReference w:id="8"/>
      </w:r>
      <w:r w:rsidR="00E121E3" w:rsidRPr="00E51DD6">
        <w:rPr>
          <w:rFonts w:ascii="Arial" w:hAnsi="Arial" w:cs="Arial"/>
          <w:iCs/>
          <w:sz w:val="24"/>
          <w:szCs w:val="24"/>
        </w:rPr>
        <w:t xml:space="preserve">  There is no indication in the Act that the voluntary winding-up process extinguishes pending compulsory winding-up proceedings; and there can be no basis for an applicant, who opts not to proceed for the time being with their application for compulsory winding-up pending a parallel winding-up process, to be divested of its rights under that earlier application.</w:t>
      </w:r>
      <w:r w:rsidR="00E121E3" w:rsidRPr="00E51DD6">
        <w:rPr>
          <w:rFonts w:ascii="Arial" w:hAnsi="Arial" w:cs="Arial"/>
          <w:iCs/>
          <w:sz w:val="24"/>
          <w:szCs w:val="24"/>
          <w:vertAlign w:val="superscript"/>
        </w:rPr>
        <w:footnoteReference w:id="9"/>
      </w:r>
      <w:r w:rsidR="00E121E3" w:rsidRPr="00E51DD6">
        <w:rPr>
          <w:rFonts w:ascii="Arial" w:hAnsi="Arial" w:cs="Arial"/>
          <w:iCs/>
          <w:sz w:val="24"/>
          <w:szCs w:val="24"/>
        </w:rPr>
        <w:t xml:space="preserve">  The court concluded as follows on this issue:</w:t>
      </w:r>
      <w:r w:rsidR="00E121E3" w:rsidRPr="00E51DD6">
        <w:rPr>
          <w:rFonts w:ascii="Arial" w:hAnsi="Arial" w:cs="Arial"/>
          <w:iCs/>
          <w:sz w:val="24"/>
          <w:szCs w:val="24"/>
          <w:vertAlign w:val="superscript"/>
        </w:rPr>
        <w:footnoteReference w:id="10"/>
      </w:r>
    </w:p>
    <w:p w14:paraId="76B8C3E7" w14:textId="37BAF8F6" w:rsidR="00E121E3" w:rsidRPr="00E51DD6" w:rsidRDefault="00E121E3" w:rsidP="00A86E21">
      <w:pPr>
        <w:spacing w:line="360" w:lineRule="auto"/>
        <w:ind w:left="1134"/>
        <w:jc w:val="both"/>
        <w:rPr>
          <w:rFonts w:ascii="Arial" w:hAnsi="Arial" w:cs="Arial"/>
          <w:i/>
          <w:iCs/>
          <w:sz w:val="24"/>
          <w:szCs w:val="24"/>
        </w:rPr>
      </w:pPr>
      <w:r w:rsidRPr="00E51DD6">
        <w:rPr>
          <w:rFonts w:ascii="Arial" w:hAnsi="Arial" w:cs="Arial"/>
          <w:i/>
          <w:iCs/>
          <w:sz w:val="24"/>
          <w:szCs w:val="24"/>
        </w:rPr>
        <w:t xml:space="preserve">“However, once it is accepted that the determination of the date that for the purposes of setting aside dispositions is equivalent to the date of sequestration under is resolved in terms of s 340(2)(a) of the </w:t>
      </w:r>
      <w:proofErr w:type="gramStart"/>
      <w:r w:rsidRPr="00E51DD6">
        <w:rPr>
          <w:rFonts w:ascii="Arial" w:hAnsi="Arial" w:cs="Arial"/>
          <w:i/>
          <w:iCs/>
          <w:sz w:val="24"/>
          <w:szCs w:val="24"/>
        </w:rPr>
        <w:t>Act,</w:t>
      </w:r>
      <w:r w:rsidR="00DF2C88">
        <w:rPr>
          <w:rFonts w:ascii="Arial" w:hAnsi="Arial" w:cs="Arial"/>
          <w:i/>
          <w:iCs/>
          <w:sz w:val="24"/>
          <w:szCs w:val="24"/>
        </w:rPr>
        <w:t>[</w:t>
      </w:r>
      <w:proofErr w:type="gramEnd"/>
      <w:r w:rsidR="00DF2C88">
        <w:rPr>
          <w:rFonts w:ascii="Arial" w:hAnsi="Arial" w:cs="Arial"/>
          <w:i/>
          <w:iCs/>
          <w:sz w:val="24"/>
          <w:szCs w:val="24"/>
        </w:rPr>
        <w:t>sic]</w:t>
      </w:r>
      <w:r w:rsidRPr="00E51DD6">
        <w:rPr>
          <w:rFonts w:ascii="Arial" w:hAnsi="Arial" w:cs="Arial"/>
          <w:i/>
          <w:iCs/>
          <w:sz w:val="24"/>
          <w:szCs w:val="24"/>
        </w:rPr>
        <w:t xml:space="preserve"> the contention by </w:t>
      </w:r>
      <w:proofErr w:type="spellStart"/>
      <w:r w:rsidRPr="00E51DD6">
        <w:rPr>
          <w:rFonts w:ascii="Arial" w:hAnsi="Arial" w:cs="Arial"/>
          <w:i/>
          <w:iCs/>
          <w:sz w:val="24"/>
          <w:szCs w:val="24"/>
        </w:rPr>
        <w:t>Afrisam</w:t>
      </w:r>
      <w:proofErr w:type="spellEnd"/>
      <w:r w:rsidRPr="00E51DD6">
        <w:rPr>
          <w:rFonts w:ascii="Arial" w:hAnsi="Arial" w:cs="Arial"/>
          <w:i/>
          <w:iCs/>
          <w:sz w:val="24"/>
          <w:szCs w:val="24"/>
        </w:rPr>
        <w:t xml:space="preserve"> that </w:t>
      </w:r>
      <w:proofErr w:type="spellStart"/>
      <w:r w:rsidRPr="00E51DD6">
        <w:rPr>
          <w:rFonts w:ascii="Arial" w:hAnsi="Arial" w:cs="Arial"/>
          <w:i/>
          <w:iCs/>
          <w:sz w:val="24"/>
          <w:szCs w:val="24"/>
        </w:rPr>
        <w:t>Maleth</w:t>
      </w:r>
      <w:proofErr w:type="spellEnd"/>
      <w:r w:rsidRPr="00E51DD6">
        <w:rPr>
          <w:rFonts w:ascii="Arial" w:hAnsi="Arial" w:cs="Arial"/>
          <w:i/>
          <w:iCs/>
          <w:sz w:val="24"/>
          <w:szCs w:val="24"/>
        </w:rPr>
        <w:t xml:space="preserve"> withdrew, abandoned or waived its rights under the original application becomes irrelevant. </w:t>
      </w:r>
      <w:proofErr w:type="spellStart"/>
      <w:r w:rsidRPr="00E51DD6">
        <w:rPr>
          <w:rFonts w:ascii="Arial" w:hAnsi="Arial" w:cs="Arial"/>
          <w:i/>
          <w:iCs/>
          <w:sz w:val="24"/>
          <w:szCs w:val="24"/>
        </w:rPr>
        <w:t>Afrisam</w:t>
      </w:r>
      <w:proofErr w:type="spellEnd"/>
      <w:r w:rsidRPr="00E51DD6">
        <w:rPr>
          <w:rFonts w:ascii="Arial" w:hAnsi="Arial" w:cs="Arial"/>
          <w:i/>
          <w:iCs/>
          <w:sz w:val="24"/>
          <w:szCs w:val="24"/>
        </w:rPr>
        <w:t xml:space="preserve"> correctly did not persist with this submission. Even if the conversion application were to be considered to be a new application for winding-up as </w:t>
      </w:r>
      <w:proofErr w:type="spellStart"/>
      <w:r w:rsidRPr="00E51DD6">
        <w:rPr>
          <w:rFonts w:ascii="Arial" w:hAnsi="Arial" w:cs="Arial"/>
          <w:i/>
          <w:iCs/>
          <w:sz w:val="24"/>
          <w:szCs w:val="24"/>
        </w:rPr>
        <w:t>Afrisam</w:t>
      </w:r>
      <w:proofErr w:type="spellEnd"/>
      <w:r w:rsidRPr="00E51DD6">
        <w:rPr>
          <w:rFonts w:ascii="Arial" w:hAnsi="Arial" w:cs="Arial"/>
          <w:i/>
          <w:iCs/>
          <w:sz w:val="24"/>
          <w:szCs w:val="24"/>
        </w:rPr>
        <w:t xml:space="preserve"> insisted, in terms of s 340(2)(a), the commencement date for the winding-up remained the date of registration of the voluntary winding-up resolution.”</w:t>
      </w:r>
    </w:p>
    <w:p w14:paraId="2940695C" w14:textId="77777777" w:rsidR="00E121E3" w:rsidRPr="00E51DD6" w:rsidRDefault="00E121E3" w:rsidP="00A86E21">
      <w:pPr>
        <w:spacing w:line="360" w:lineRule="auto"/>
        <w:jc w:val="both"/>
        <w:rPr>
          <w:rFonts w:ascii="Arial" w:hAnsi="Arial" w:cs="Arial"/>
          <w:i/>
          <w:iCs/>
          <w:sz w:val="24"/>
          <w:szCs w:val="24"/>
        </w:rPr>
      </w:pPr>
    </w:p>
    <w:p w14:paraId="2716AC64" w14:textId="38D4C571" w:rsidR="00E121E3" w:rsidRPr="00E51DD6" w:rsidRDefault="007C2C4C" w:rsidP="00E51DD6">
      <w:pPr>
        <w:spacing w:line="360" w:lineRule="auto"/>
        <w:ind w:left="720" w:hanging="720"/>
        <w:jc w:val="both"/>
        <w:rPr>
          <w:rFonts w:ascii="Arial" w:hAnsi="Arial" w:cs="Arial"/>
          <w:iCs/>
          <w:sz w:val="24"/>
          <w:szCs w:val="24"/>
        </w:rPr>
      </w:pPr>
      <w:r w:rsidRPr="00E51DD6">
        <w:rPr>
          <w:rFonts w:ascii="Arial" w:hAnsi="Arial" w:cs="Arial"/>
          <w:iCs/>
          <w:sz w:val="24"/>
          <w:szCs w:val="24"/>
        </w:rPr>
        <w:t>[12</w:t>
      </w:r>
      <w:proofErr w:type="gramStart"/>
      <w:r w:rsidRPr="00E51DD6">
        <w:rPr>
          <w:rFonts w:ascii="Arial" w:hAnsi="Arial" w:cs="Arial"/>
          <w:iCs/>
          <w:sz w:val="24"/>
          <w:szCs w:val="24"/>
        </w:rPr>
        <w:t xml:space="preserve">]  </w:t>
      </w:r>
      <w:r w:rsidR="00E121E3" w:rsidRPr="00E51DD6">
        <w:rPr>
          <w:rFonts w:ascii="Arial" w:hAnsi="Arial" w:cs="Arial"/>
          <w:iCs/>
          <w:sz w:val="24"/>
          <w:szCs w:val="24"/>
        </w:rPr>
        <w:t>It</w:t>
      </w:r>
      <w:proofErr w:type="gramEnd"/>
      <w:r w:rsidR="00E121E3" w:rsidRPr="00E51DD6">
        <w:rPr>
          <w:rFonts w:ascii="Arial" w:hAnsi="Arial" w:cs="Arial"/>
          <w:iCs/>
          <w:sz w:val="24"/>
          <w:szCs w:val="24"/>
        </w:rPr>
        <w:t xml:space="preserve"> is against the above legal and factual backdrop that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brings its conversion application and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seeks to intervene.  In the ordinary course, little purpose would be served by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intervening were it that </w:t>
      </w:r>
      <w:proofErr w:type="spellStart"/>
      <w:r w:rsidR="00E121E3" w:rsidRPr="00E51DD6">
        <w:rPr>
          <w:rFonts w:ascii="Arial" w:hAnsi="Arial" w:cs="Arial"/>
          <w:iCs/>
          <w:sz w:val="24"/>
          <w:szCs w:val="24"/>
        </w:rPr>
        <w:t>Enyuka’s</w:t>
      </w:r>
      <w:proofErr w:type="spellEnd"/>
      <w:r w:rsidR="00E121E3" w:rsidRPr="00E51DD6">
        <w:rPr>
          <w:rFonts w:ascii="Arial" w:hAnsi="Arial" w:cs="Arial"/>
          <w:iCs/>
          <w:sz w:val="24"/>
          <w:szCs w:val="24"/>
        </w:rPr>
        <w:t xml:space="preserve"> application served only the purpose of ‘converting’ a voluntary liquidation into a compulsory one.  </w:t>
      </w:r>
      <w:r w:rsidR="00DF2C88">
        <w:rPr>
          <w:rFonts w:ascii="Arial" w:hAnsi="Arial" w:cs="Arial"/>
          <w:iCs/>
          <w:sz w:val="24"/>
          <w:szCs w:val="24"/>
        </w:rPr>
        <w:t>T</w:t>
      </w:r>
      <w:r w:rsidR="00E121E3" w:rsidRPr="00E51DD6">
        <w:rPr>
          <w:rFonts w:ascii="Arial" w:hAnsi="Arial" w:cs="Arial"/>
          <w:iCs/>
          <w:sz w:val="24"/>
          <w:szCs w:val="24"/>
        </w:rPr>
        <w:t xml:space="preserve">he date of liquidation would not be altered thereby (as per section 340(2)(a) of the Act) and </w:t>
      </w:r>
      <w:proofErr w:type="spellStart"/>
      <w:r w:rsidR="00E121E3" w:rsidRPr="00E51DD6">
        <w:rPr>
          <w:rFonts w:ascii="Arial" w:hAnsi="Arial" w:cs="Arial"/>
          <w:iCs/>
          <w:sz w:val="24"/>
          <w:szCs w:val="24"/>
        </w:rPr>
        <w:t>Truval’s</w:t>
      </w:r>
      <w:proofErr w:type="spellEnd"/>
      <w:r w:rsidR="00E121E3" w:rsidRPr="00E51DD6">
        <w:rPr>
          <w:rFonts w:ascii="Arial" w:hAnsi="Arial" w:cs="Arial"/>
          <w:iCs/>
          <w:sz w:val="24"/>
          <w:szCs w:val="24"/>
        </w:rPr>
        <w:t xml:space="preserve"> rights as creditor would be unaffected.  </w:t>
      </w:r>
      <w:r w:rsidR="00E121E3" w:rsidRPr="00E51DD6">
        <w:rPr>
          <w:rFonts w:ascii="Arial" w:hAnsi="Arial" w:cs="Arial"/>
          <w:iCs/>
          <w:sz w:val="24"/>
          <w:szCs w:val="24"/>
        </w:rPr>
        <w:lastRenderedPageBreak/>
        <w:t xml:space="preserve">Moreover, as indicated by the Supreme Court of Appeal in </w:t>
      </w:r>
      <w:proofErr w:type="spellStart"/>
      <w:r w:rsidR="00E121E3" w:rsidRPr="00E51DD6">
        <w:rPr>
          <w:rFonts w:ascii="Arial" w:hAnsi="Arial" w:cs="Arial"/>
          <w:i/>
          <w:iCs/>
          <w:sz w:val="24"/>
          <w:szCs w:val="24"/>
        </w:rPr>
        <w:t>Afrisam</w:t>
      </w:r>
      <w:proofErr w:type="spellEnd"/>
      <w:r w:rsidR="00E121E3" w:rsidRPr="00E51DD6">
        <w:rPr>
          <w:rFonts w:ascii="Arial" w:hAnsi="Arial" w:cs="Arial"/>
          <w:iCs/>
          <w:sz w:val="24"/>
          <w:szCs w:val="24"/>
        </w:rPr>
        <w:t>, the position would not be altered even if the application were brought as a conversion application in terms of section 354(1) of the Act.</w:t>
      </w:r>
    </w:p>
    <w:p w14:paraId="2BE0341F" w14:textId="77777777" w:rsidR="00826D45" w:rsidRPr="00E51DD6" w:rsidRDefault="00826D45" w:rsidP="00A86E21">
      <w:pPr>
        <w:spacing w:line="360" w:lineRule="auto"/>
        <w:jc w:val="both"/>
        <w:rPr>
          <w:rFonts w:ascii="Arial" w:hAnsi="Arial" w:cs="Arial"/>
          <w:iCs/>
          <w:sz w:val="24"/>
          <w:szCs w:val="24"/>
        </w:rPr>
      </w:pPr>
    </w:p>
    <w:p w14:paraId="533C6127" w14:textId="6E3DFC1F" w:rsidR="00E121E3" w:rsidRPr="00E51DD6" w:rsidRDefault="007C2C4C" w:rsidP="00E51DD6">
      <w:pPr>
        <w:spacing w:line="360" w:lineRule="auto"/>
        <w:ind w:left="720" w:hanging="720"/>
        <w:jc w:val="both"/>
        <w:rPr>
          <w:rFonts w:ascii="Arial" w:hAnsi="Arial" w:cs="Arial"/>
          <w:iCs/>
          <w:sz w:val="24"/>
          <w:szCs w:val="24"/>
        </w:rPr>
      </w:pPr>
      <w:r w:rsidRPr="00E51DD6">
        <w:rPr>
          <w:rFonts w:ascii="Arial" w:hAnsi="Arial" w:cs="Arial"/>
          <w:iCs/>
          <w:sz w:val="24"/>
          <w:szCs w:val="24"/>
        </w:rPr>
        <w:t>[13</w:t>
      </w:r>
      <w:proofErr w:type="gramStart"/>
      <w:r w:rsidRPr="00E51DD6">
        <w:rPr>
          <w:rFonts w:ascii="Arial" w:hAnsi="Arial" w:cs="Arial"/>
          <w:iCs/>
          <w:sz w:val="24"/>
          <w:szCs w:val="24"/>
        </w:rPr>
        <w:t xml:space="preserve">]  </w:t>
      </w:r>
      <w:r w:rsidR="00E121E3" w:rsidRPr="00E51DD6">
        <w:rPr>
          <w:rFonts w:ascii="Arial" w:hAnsi="Arial" w:cs="Arial"/>
          <w:iCs/>
          <w:sz w:val="24"/>
          <w:szCs w:val="24"/>
        </w:rPr>
        <w:t>It</w:t>
      </w:r>
      <w:proofErr w:type="gramEnd"/>
      <w:r w:rsidR="00E121E3" w:rsidRPr="00E51DD6">
        <w:rPr>
          <w:rFonts w:ascii="Arial" w:hAnsi="Arial" w:cs="Arial"/>
          <w:iCs/>
          <w:sz w:val="24"/>
          <w:szCs w:val="24"/>
        </w:rPr>
        <w:t xml:space="preserve"> appears to me, however, that both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and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accept that the conversion application brought by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extends beyond the mere ‘conversion’ of a voluntary winding-up into a compulsory one.  As indicated above,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expressly seeks to have the special resolution passed by United Merchants (and which triggered its voluntary liquidation) set aside.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contends, amongst other allegations, that the statement of affairs that forms an integral part of</w:t>
      </w:r>
      <w:r w:rsidR="00826D45" w:rsidRPr="00E51DD6">
        <w:rPr>
          <w:rFonts w:ascii="Arial" w:hAnsi="Arial" w:cs="Arial"/>
          <w:iCs/>
          <w:sz w:val="24"/>
          <w:szCs w:val="24"/>
        </w:rPr>
        <w:t>,</w:t>
      </w:r>
      <w:r w:rsidR="00E121E3" w:rsidRPr="00E51DD6">
        <w:rPr>
          <w:rFonts w:ascii="Arial" w:hAnsi="Arial" w:cs="Arial"/>
          <w:iCs/>
          <w:sz w:val="24"/>
          <w:szCs w:val="24"/>
        </w:rPr>
        <w:t xml:space="preserve"> and foundation for the special resolution and the consequent voluntary winding-up, was fatally defective by virtue of its non-compliance with section 363 of the Act.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also contends that, in consequence thereof, the special resolution passed on 6 December 2021 and registered on 2 February 2022 was void </w:t>
      </w:r>
      <w:r w:rsidR="00E121E3" w:rsidRPr="00E51DD6">
        <w:rPr>
          <w:rFonts w:ascii="Arial" w:hAnsi="Arial" w:cs="Arial"/>
          <w:i/>
          <w:iCs/>
          <w:sz w:val="24"/>
          <w:szCs w:val="24"/>
        </w:rPr>
        <w:t>ab initio</w:t>
      </w:r>
      <w:r w:rsidR="00E121E3" w:rsidRPr="00E51DD6">
        <w:rPr>
          <w:rFonts w:ascii="Arial" w:hAnsi="Arial" w:cs="Arial"/>
          <w:iCs/>
          <w:sz w:val="24"/>
          <w:szCs w:val="24"/>
        </w:rPr>
        <w:t xml:space="preserve">.  Pursuant hereto, not only does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seek to set aside the voluntary winding-up of United Merchants and have it replaced with a compulsory winding-up (before newly appointed liquidators), but it seeks an express </w:t>
      </w:r>
      <w:proofErr w:type="gramStart"/>
      <w:r w:rsidR="00E121E3" w:rsidRPr="00E51DD6">
        <w:rPr>
          <w:rFonts w:ascii="Arial" w:hAnsi="Arial" w:cs="Arial"/>
          <w:iCs/>
          <w:sz w:val="24"/>
          <w:szCs w:val="24"/>
        </w:rPr>
        <w:t>order ”</w:t>
      </w:r>
      <w:r w:rsidR="00E121E3" w:rsidRPr="00E51DD6">
        <w:rPr>
          <w:rFonts w:ascii="Arial" w:hAnsi="Arial" w:cs="Arial"/>
          <w:i/>
          <w:iCs/>
          <w:sz w:val="24"/>
          <w:szCs w:val="24"/>
        </w:rPr>
        <w:t>declaring</w:t>
      </w:r>
      <w:proofErr w:type="gramEnd"/>
      <w:r w:rsidR="00E121E3" w:rsidRPr="00E51DD6">
        <w:rPr>
          <w:rFonts w:ascii="Arial" w:hAnsi="Arial" w:cs="Arial"/>
          <w:i/>
          <w:iCs/>
          <w:sz w:val="24"/>
          <w:szCs w:val="24"/>
        </w:rPr>
        <w:t xml:space="preserve"> that the winding-up ordered [pursuant to the compulsory liquidation of United Merchants] commenced on 25 June 2021 in terms of section 348 of the Act</w:t>
      </w:r>
      <w:r w:rsidR="00E121E3" w:rsidRPr="00E51DD6">
        <w:rPr>
          <w:rFonts w:ascii="Arial" w:hAnsi="Arial" w:cs="Arial"/>
          <w:iCs/>
          <w:sz w:val="24"/>
          <w:szCs w:val="24"/>
        </w:rPr>
        <w:t xml:space="preserve">”.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seeks thereby to avoid the ordinary consequences of section 340(2)(a) of the Act.  Whilst the court hearing the conversion application may grant such an order (as indicated in both the </w:t>
      </w:r>
      <w:r w:rsidR="00E121E3" w:rsidRPr="00E51DD6">
        <w:rPr>
          <w:rFonts w:ascii="Arial" w:hAnsi="Arial" w:cs="Arial"/>
          <w:i/>
          <w:iCs/>
          <w:sz w:val="24"/>
          <w:szCs w:val="24"/>
        </w:rPr>
        <w:t>King Pie</w:t>
      </w:r>
      <w:r w:rsidR="00E121E3" w:rsidRPr="00E51DD6">
        <w:rPr>
          <w:rFonts w:ascii="Arial" w:hAnsi="Arial" w:cs="Arial"/>
          <w:i/>
          <w:iCs/>
          <w:sz w:val="24"/>
          <w:szCs w:val="24"/>
          <w:vertAlign w:val="superscript"/>
        </w:rPr>
        <w:footnoteReference w:id="11"/>
      </w:r>
      <w:r w:rsidR="00E121E3" w:rsidRPr="00E51DD6">
        <w:rPr>
          <w:rFonts w:ascii="Arial" w:hAnsi="Arial" w:cs="Arial"/>
          <w:iCs/>
          <w:sz w:val="24"/>
          <w:szCs w:val="24"/>
        </w:rPr>
        <w:t xml:space="preserve"> and </w:t>
      </w:r>
      <w:proofErr w:type="spellStart"/>
      <w:r w:rsidR="00E121E3" w:rsidRPr="00E51DD6">
        <w:rPr>
          <w:rFonts w:ascii="Arial" w:hAnsi="Arial" w:cs="Arial"/>
          <w:i/>
          <w:iCs/>
          <w:sz w:val="24"/>
          <w:szCs w:val="24"/>
        </w:rPr>
        <w:t>Afrisam</w:t>
      </w:r>
      <w:proofErr w:type="spellEnd"/>
      <w:r w:rsidR="00E121E3" w:rsidRPr="00E51DD6">
        <w:rPr>
          <w:rFonts w:ascii="Arial" w:hAnsi="Arial" w:cs="Arial"/>
          <w:i/>
          <w:iCs/>
          <w:sz w:val="24"/>
          <w:szCs w:val="24"/>
          <w:vertAlign w:val="superscript"/>
        </w:rPr>
        <w:footnoteReference w:id="12"/>
      </w:r>
      <w:r w:rsidR="00E121E3" w:rsidRPr="00E51DD6">
        <w:rPr>
          <w:rFonts w:ascii="Arial" w:hAnsi="Arial" w:cs="Arial"/>
          <w:iCs/>
          <w:sz w:val="24"/>
          <w:szCs w:val="24"/>
        </w:rPr>
        <w:t xml:space="preserve"> decisions), it does not follow as a matter of course from a conversion application (as indicated by the court in </w:t>
      </w:r>
      <w:proofErr w:type="spellStart"/>
      <w:r w:rsidR="00E121E3" w:rsidRPr="00E51DD6">
        <w:rPr>
          <w:rFonts w:ascii="Arial" w:hAnsi="Arial" w:cs="Arial"/>
          <w:i/>
          <w:iCs/>
          <w:sz w:val="24"/>
          <w:szCs w:val="24"/>
        </w:rPr>
        <w:t>Afrisam</w:t>
      </w:r>
      <w:proofErr w:type="spellEnd"/>
      <w:r w:rsidR="00E121E3" w:rsidRPr="00E51DD6">
        <w:rPr>
          <w:rFonts w:ascii="Arial" w:hAnsi="Arial" w:cs="Arial"/>
          <w:i/>
          <w:iCs/>
          <w:sz w:val="24"/>
          <w:szCs w:val="24"/>
          <w:vertAlign w:val="superscript"/>
        </w:rPr>
        <w:footnoteReference w:id="13"/>
      </w:r>
      <w:r w:rsidR="00E121E3" w:rsidRPr="00E51DD6">
        <w:rPr>
          <w:rFonts w:ascii="Arial" w:hAnsi="Arial" w:cs="Arial"/>
          <w:iCs/>
          <w:sz w:val="24"/>
          <w:szCs w:val="24"/>
        </w:rPr>
        <w:t>).</w:t>
      </w:r>
    </w:p>
    <w:p w14:paraId="4E67F17B" w14:textId="77777777" w:rsidR="00826D45" w:rsidRPr="00E51DD6" w:rsidRDefault="00826D45" w:rsidP="00A86E21">
      <w:pPr>
        <w:spacing w:line="360" w:lineRule="auto"/>
        <w:jc w:val="both"/>
        <w:rPr>
          <w:rFonts w:ascii="Arial" w:hAnsi="Arial" w:cs="Arial"/>
          <w:iCs/>
          <w:sz w:val="24"/>
          <w:szCs w:val="24"/>
        </w:rPr>
      </w:pPr>
    </w:p>
    <w:p w14:paraId="04A7CD22" w14:textId="2F226651" w:rsidR="00E121E3" w:rsidRPr="00E51DD6" w:rsidRDefault="007C2C4C" w:rsidP="00E51DD6">
      <w:pPr>
        <w:spacing w:line="360" w:lineRule="auto"/>
        <w:ind w:left="720" w:hanging="720"/>
        <w:jc w:val="both"/>
        <w:rPr>
          <w:rFonts w:ascii="Arial" w:hAnsi="Arial" w:cs="Arial"/>
          <w:iCs/>
          <w:sz w:val="24"/>
          <w:szCs w:val="24"/>
        </w:rPr>
      </w:pPr>
      <w:r w:rsidRPr="00E51DD6">
        <w:rPr>
          <w:rFonts w:ascii="Arial" w:hAnsi="Arial" w:cs="Arial"/>
          <w:iCs/>
          <w:sz w:val="24"/>
          <w:szCs w:val="24"/>
        </w:rPr>
        <w:t xml:space="preserve">[14]     </w:t>
      </w:r>
      <w:r w:rsidR="00E121E3" w:rsidRPr="00E51DD6">
        <w:rPr>
          <w:rFonts w:ascii="Arial" w:hAnsi="Arial" w:cs="Arial"/>
          <w:iCs/>
          <w:sz w:val="24"/>
          <w:szCs w:val="24"/>
        </w:rPr>
        <w:t xml:space="preserve">It is in this context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seeks to intervene.  It is trite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needs to show that it has a direct and substantial interest in the right that is the subject matter of the application; specifically,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needs to show that it could be prejudiced by the judgment of the court in the conversion application.</w:t>
      </w:r>
      <w:r w:rsidR="00E121E3" w:rsidRPr="00E51DD6">
        <w:rPr>
          <w:rFonts w:ascii="Arial" w:hAnsi="Arial" w:cs="Arial"/>
          <w:iCs/>
          <w:sz w:val="24"/>
          <w:szCs w:val="24"/>
          <w:vertAlign w:val="superscript"/>
        </w:rPr>
        <w:footnoteReference w:id="14"/>
      </w:r>
      <w:r w:rsidR="00E121E3" w:rsidRPr="00E51DD6">
        <w:rPr>
          <w:rFonts w:ascii="Arial" w:hAnsi="Arial" w:cs="Arial"/>
          <w:iCs/>
          <w:sz w:val="24"/>
          <w:szCs w:val="24"/>
        </w:rPr>
        <w:t xml:space="preserve">  </w:t>
      </w:r>
      <w:r w:rsidR="00E121E3" w:rsidRPr="00E51DD6">
        <w:rPr>
          <w:rFonts w:ascii="Arial" w:hAnsi="Arial" w:cs="Arial"/>
          <w:iCs/>
          <w:sz w:val="24"/>
          <w:szCs w:val="24"/>
        </w:rPr>
        <w:lastRenderedPageBreak/>
        <w:t xml:space="preserve">Provided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is able to show that it “</w:t>
      </w:r>
      <w:r w:rsidR="00E121E3" w:rsidRPr="00E51DD6">
        <w:rPr>
          <w:rFonts w:ascii="Arial" w:hAnsi="Arial" w:cs="Arial"/>
          <w:i/>
          <w:iCs/>
          <w:sz w:val="24"/>
          <w:szCs w:val="24"/>
        </w:rPr>
        <w:t>has some right which is affected by the order issued, permission to intervene must be granted</w:t>
      </w:r>
      <w:r w:rsidR="00E121E3" w:rsidRPr="00E51DD6">
        <w:rPr>
          <w:rFonts w:ascii="Arial" w:hAnsi="Arial" w:cs="Arial"/>
          <w:iCs/>
          <w:sz w:val="24"/>
          <w:szCs w:val="24"/>
        </w:rPr>
        <w:t>”.</w:t>
      </w:r>
      <w:r w:rsidR="00E121E3" w:rsidRPr="00E51DD6">
        <w:rPr>
          <w:rFonts w:ascii="Arial" w:hAnsi="Arial" w:cs="Arial"/>
          <w:iCs/>
          <w:sz w:val="24"/>
          <w:szCs w:val="24"/>
          <w:vertAlign w:val="superscript"/>
        </w:rPr>
        <w:footnoteReference w:id="15"/>
      </w:r>
      <w:r w:rsidR="00E121E3" w:rsidRPr="00E51DD6">
        <w:rPr>
          <w:rFonts w:ascii="Arial" w:hAnsi="Arial" w:cs="Arial"/>
          <w:iCs/>
          <w:sz w:val="24"/>
          <w:szCs w:val="24"/>
        </w:rPr>
        <w:t xml:space="preserve">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argued that it had “</w:t>
      </w:r>
      <w:r w:rsidR="00E121E3" w:rsidRPr="00E51DD6">
        <w:rPr>
          <w:rFonts w:ascii="Arial" w:hAnsi="Arial" w:cs="Arial"/>
          <w:i/>
          <w:iCs/>
          <w:sz w:val="24"/>
          <w:szCs w:val="24"/>
        </w:rPr>
        <w:t>some right</w:t>
      </w:r>
      <w:r w:rsidR="00E121E3" w:rsidRPr="00E51DD6">
        <w:rPr>
          <w:rFonts w:ascii="Arial" w:hAnsi="Arial" w:cs="Arial"/>
          <w:iCs/>
          <w:sz w:val="24"/>
          <w:szCs w:val="24"/>
        </w:rPr>
        <w:t>” by dint of the provisions of section 354(2) of the Act, which provides that the court “</w:t>
      </w:r>
      <w:r w:rsidR="00E121E3" w:rsidRPr="00E51DD6">
        <w:rPr>
          <w:rFonts w:ascii="Arial" w:hAnsi="Arial" w:cs="Arial"/>
          <w:i/>
          <w:iCs/>
          <w:sz w:val="24"/>
          <w:szCs w:val="24"/>
        </w:rPr>
        <w:t>may, as to all matters relating to a winding-up, have regard to the wishes of the creditors or members as proved to it by any sufficient evidence</w:t>
      </w:r>
      <w:r w:rsidR="00E121E3" w:rsidRPr="00E51DD6">
        <w:rPr>
          <w:rFonts w:ascii="Arial" w:hAnsi="Arial" w:cs="Arial"/>
          <w:iCs/>
          <w:sz w:val="24"/>
          <w:szCs w:val="24"/>
        </w:rPr>
        <w:t xml:space="preserve">”.  Whilst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disputes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is a creditor, I am prepared to accept for present purposes that it is.  As a creditor, so contends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it has a right to intervene to have its wishes heard.  A second argument advanced by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is that, in consequence of its perfected notarial bond, it has a real right that is impacted by the conversion application; in this regard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referred me to the decision in </w:t>
      </w:r>
      <w:r w:rsidR="00E121E3" w:rsidRPr="00E51DD6">
        <w:rPr>
          <w:rFonts w:ascii="Arial" w:hAnsi="Arial" w:cs="Arial"/>
          <w:i/>
          <w:iCs/>
          <w:sz w:val="24"/>
          <w:szCs w:val="24"/>
        </w:rPr>
        <w:t xml:space="preserve">Standard Bank of South Africa Ltd v </w:t>
      </w:r>
      <w:proofErr w:type="spellStart"/>
      <w:r w:rsidR="00E121E3" w:rsidRPr="00E51DD6">
        <w:rPr>
          <w:rFonts w:ascii="Arial" w:hAnsi="Arial" w:cs="Arial"/>
          <w:i/>
          <w:iCs/>
          <w:sz w:val="24"/>
          <w:szCs w:val="24"/>
        </w:rPr>
        <w:t>Swartland</w:t>
      </w:r>
      <w:proofErr w:type="spellEnd"/>
      <w:r w:rsidR="00E121E3" w:rsidRPr="00E51DD6">
        <w:rPr>
          <w:rFonts w:ascii="Arial" w:hAnsi="Arial" w:cs="Arial"/>
          <w:i/>
          <w:iCs/>
          <w:sz w:val="24"/>
          <w:szCs w:val="24"/>
        </w:rPr>
        <w:t xml:space="preserve"> Municipality and Others</w:t>
      </w:r>
      <w:r w:rsidR="00E121E3" w:rsidRPr="00E51DD6">
        <w:rPr>
          <w:rFonts w:ascii="Arial" w:hAnsi="Arial" w:cs="Arial"/>
          <w:iCs/>
          <w:sz w:val="24"/>
          <w:szCs w:val="24"/>
        </w:rPr>
        <w:t>.</w:t>
      </w:r>
      <w:r w:rsidR="00E121E3" w:rsidRPr="00E51DD6">
        <w:rPr>
          <w:rFonts w:ascii="Arial" w:hAnsi="Arial" w:cs="Arial"/>
          <w:iCs/>
          <w:sz w:val="24"/>
          <w:szCs w:val="24"/>
          <w:vertAlign w:val="superscript"/>
        </w:rPr>
        <w:footnoteReference w:id="16"/>
      </w:r>
      <w:r w:rsidR="00E121E3" w:rsidRPr="00E51DD6">
        <w:rPr>
          <w:rFonts w:ascii="Arial" w:hAnsi="Arial" w:cs="Arial"/>
          <w:iCs/>
          <w:sz w:val="24"/>
          <w:szCs w:val="24"/>
        </w:rPr>
        <w:t xml:space="preserve">  At issue in that matter was whether the bank, which held two mortgage bonds on a property, ought to have been joined in an application for demolition brought by the municipality.  The court held that, as the holder of a real right in property, the bank had more than a mere financial interest in the outcome of proceedings.</w:t>
      </w:r>
    </w:p>
    <w:p w14:paraId="347555D6" w14:textId="77777777" w:rsidR="00826D45" w:rsidRPr="00E51DD6" w:rsidRDefault="00826D45" w:rsidP="00A86E21">
      <w:pPr>
        <w:spacing w:line="360" w:lineRule="auto"/>
        <w:jc w:val="both"/>
        <w:rPr>
          <w:rFonts w:ascii="Arial" w:hAnsi="Arial" w:cs="Arial"/>
          <w:iCs/>
          <w:sz w:val="24"/>
          <w:szCs w:val="24"/>
        </w:rPr>
      </w:pPr>
    </w:p>
    <w:p w14:paraId="0B354B14" w14:textId="77777777" w:rsidR="007C2C4C" w:rsidRPr="00E51DD6" w:rsidRDefault="007C2C4C" w:rsidP="00E51DD6">
      <w:pPr>
        <w:spacing w:line="360" w:lineRule="auto"/>
        <w:ind w:left="720" w:hanging="720"/>
        <w:jc w:val="both"/>
        <w:rPr>
          <w:rFonts w:ascii="Arial" w:hAnsi="Arial" w:cs="Arial"/>
          <w:iCs/>
          <w:sz w:val="24"/>
          <w:szCs w:val="24"/>
        </w:rPr>
      </w:pPr>
      <w:r w:rsidRPr="00E51DD6">
        <w:rPr>
          <w:rFonts w:ascii="Arial" w:hAnsi="Arial" w:cs="Arial"/>
          <w:iCs/>
          <w:sz w:val="24"/>
          <w:szCs w:val="24"/>
        </w:rPr>
        <w:t xml:space="preserve">[15]     </w:t>
      </w:r>
      <w:r w:rsidR="00E121E3" w:rsidRPr="00E51DD6">
        <w:rPr>
          <w:rFonts w:ascii="Arial" w:hAnsi="Arial" w:cs="Arial"/>
          <w:iCs/>
          <w:sz w:val="24"/>
          <w:szCs w:val="24"/>
        </w:rPr>
        <w:t xml:space="preserve">I consider these points below, but first I need to say something about the case pressed in oral argument before me by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It contended that, beyond a bald denial,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had not answered the allegations around the nullity of the special resolution in its application to intervene.  Moreover, so contended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the issue regarding the </w:t>
      </w:r>
      <w:proofErr w:type="spellStart"/>
      <w:r w:rsidR="00E121E3" w:rsidRPr="00E51DD6">
        <w:rPr>
          <w:rFonts w:ascii="Arial" w:hAnsi="Arial" w:cs="Arial"/>
          <w:iCs/>
          <w:sz w:val="24"/>
          <w:szCs w:val="24"/>
        </w:rPr>
        <w:t>voidness</w:t>
      </w:r>
      <w:proofErr w:type="spellEnd"/>
      <w:r w:rsidR="00E121E3" w:rsidRPr="00E51DD6">
        <w:rPr>
          <w:rFonts w:ascii="Arial" w:hAnsi="Arial" w:cs="Arial"/>
          <w:iCs/>
          <w:sz w:val="24"/>
          <w:szCs w:val="24"/>
        </w:rPr>
        <w:t xml:space="preserve"> of the resolution and statement of affairs is to be determined as between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and United Merchants (and its liquidators).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contends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has no legal interest in the outcome or in the determination of this issue;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was not party to the taking of the purported special resolution or the statement of affairs.  </w:t>
      </w:r>
    </w:p>
    <w:p w14:paraId="3768EDAB" w14:textId="77777777" w:rsidR="007C2C4C" w:rsidRPr="00E51DD6" w:rsidRDefault="007C2C4C" w:rsidP="00E51DD6">
      <w:pPr>
        <w:spacing w:line="360" w:lineRule="auto"/>
        <w:ind w:left="720" w:hanging="720"/>
        <w:jc w:val="both"/>
        <w:rPr>
          <w:rFonts w:ascii="Arial" w:hAnsi="Arial" w:cs="Arial"/>
          <w:iCs/>
          <w:sz w:val="24"/>
          <w:szCs w:val="24"/>
        </w:rPr>
      </w:pPr>
    </w:p>
    <w:p w14:paraId="60540081" w14:textId="166B0D2A" w:rsidR="00E121E3" w:rsidRPr="00E51DD6" w:rsidRDefault="007C2C4C" w:rsidP="00E51DD6">
      <w:pPr>
        <w:spacing w:line="360" w:lineRule="auto"/>
        <w:ind w:left="720" w:hanging="720"/>
        <w:jc w:val="both"/>
        <w:rPr>
          <w:rFonts w:ascii="Arial" w:hAnsi="Arial" w:cs="Arial"/>
          <w:iCs/>
          <w:sz w:val="24"/>
          <w:szCs w:val="24"/>
        </w:rPr>
      </w:pPr>
      <w:r w:rsidRPr="00E51DD6">
        <w:rPr>
          <w:rFonts w:ascii="Arial" w:hAnsi="Arial" w:cs="Arial"/>
          <w:iCs/>
          <w:sz w:val="24"/>
          <w:szCs w:val="24"/>
        </w:rPr>
        <w:t xml:space="preserve">[16]    </w:t>
      </w:r>
      <w:r w:rsidR="00E121E3" w:rsidRPr="00E51DD6">
        <w:rPr>
          <w:rFonts w:ascii="Arial" w:hAnsi="Arial" w:cs="Arial"/>
          <w:iCs/>
          <w:sz w:val="24"/>
          <w:szCs w:val="24"/>
        </w:rPr>
        <w:t xml:space="preserve">Turning first to the points advanced by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I find little merit in the argument made with reference to section 354(2) of the Act.  The proposition is advanced at a general level without any detail about how or why the conversion application would adversely affect </w:t>
      </w:r>
      <w:proofErr w:type="spellStart"/>
      <w:r w:rsidR="00E121E3" w:rsidRPr="00E51DD6">
        <w:rPr>
          <w:rFonts w:ascii="Arial" w:hAnsi="Arial" w:cs="Arial"/>
          <w:iCs/>
          <w:sz w:val="24"/>
          <w:szCs w:val="24"/>
        </w:rPr>
        <w:t>Truval’s</w:t>
      </w:r>
      <w:proofErr w:type="spellEnd"/>
      <w:r w:rsidR="00E121E3" w:rsidRPr="00E51DD6">
        <w:rPr>
          <w:rFonts w:ascii="Arial" w:hAnsi="Arial" w:cs="Arial"/>
          <w:iCs/>
          <w:sz w:val="24"/>
          <w:szCs w:val="24"/>
        </w:rPr>
        <w:t xml:space="preserve"> rights as creditor.  Not only does the section require specificity regarding the “wishes of the creditors”, but as I have </w:t>
      </w:r>
      <w:r w:rsidR="00E121E3" w:rsidRPr="00E51DD6">
        <w:rPr>
          <w:rFonts w:ascii="Arial" w:hAnsi="Arial" w:cs="Arial"/>
          <w:iCs/>
          <w:sz w:val="24"/>
          <w:szCs w:val="24"/>
        </w:rPr>
        <w:lastRenderedPageBreak/>
        <w:t xml:space="preserve">already indicated, no purpose would be served by a creditor intervening in a conversion application; the date of liquidation would not ordinarily be altered thereby (as per section 340(2)(a) of the Act) and the creditors rights would be unaffected thereby.  That having been said, </w:t>
      </w:r>
      <w:proofErr w:type="spellStart"/>
      <w:r w:rsidR="00E121E3" w:rsidRPr="00E51DD6">
        <w:rPr>
          <w:rFonts w:ascii="Arial" w:hAnsi="Arial" w:cs="Arial"/>
          <w:iCs/>
          <w:sz w:val="24"/>
          <w:szCs w:val="24"/>
        </w:rPr>
        <w:t>Truval’s</w:t>
      </w:r>
      <w:proofErr w:type="spellEnd"/>
      <w:r w:rsidR="00E121E3" w:rsidRPr="00E51DD6">
        <w:rPr>
          <w:rFonts w:ascii="Arial" w:hAnsi="Arial" w:cs="Arial"/>
          <w:iCs/>
          <w:sz w:val="24"/>
          <w:szCs w:val="24"/>
        </w:rPr>
        <w:t xml:space="preserve"> point that its security (in the form of a notarial bond) would be adversely impacted by this particular conversion application holds more sway.  So too, for that matter, would an allegation that other transactions between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and United Merchants would be adversely affected by the conversion application.  The reason is because this conversion application seeks relief beyond merely the ‘conversion’ of a voluntary winding-up to a compulsory winding-up; it also seeks relief that alters the provisions of section 340(2)(a) of the Act.  Whilst I consider that such relief is capable of being sought, as is apparent from the </w:t>
      </w:r>
      <w:r w:rsidR="00E121E3" w:rsidRPr="00E51DD6">
        <w:rPr>
          <w:rFonts w:ascii="Arial" w:hAnsi="Arial" w:cs="Arial"/>
          <w:i/>
          <w:iCs/>
          <w:sz w:val="24"/>
          <w:szCs w:val="24"/>
        </w:rPr>
        <w:t>King Pie</w:t>
      </w:r>
      <w:r w:rsidR="00E121E3" w:rsidRPr="00E51DD6">
        <w:rPr>
          <w:rFonts w:ascii="Arial" w:hAnsi="Arial" w:cs="Arial"/>
          <w:iCs/>
          <w:sz w:val="24"/>
          <w:szCs w:val="24"/>
        </w:rPr>
        <w:t xml:space="preserve"> decision, the import thereof is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has a right to be heard in relation thereto because its property rights may be affected thereby.</w:t>
      </w:r>
    </w:p>
    <w:p w14:paraId="11A451C6" w14:textId="77777777" w:rsidR="004C26D4" w:rsidRPr="00E51DD6" w:rsidRDefault="004C26D4" w:rsidP="00A86E21">
      <w:pPr>
        <w:spacing w:line="360" w:lineRule="auto"/>
        <w:ind w:left="720" w:hanging="720"/>
        <w:jc w:val="both"/>
        <w:rPr>
          <w:rFonts w:ascii="Arial" w:hAnsi="Arial" w:cs="Arial"/>
          <w:iCs/>
          <w:sz w:val="24"/>
          <w:szCs w:val="24"/>
        </w:rPr>
      </w:pPr>
    </w:p>
    <w:p w14:paraId="67E1C489" w14:textId="1E3D5A21" w:rsidR="00E121E3" w:rsidRPr="00E51DD6" w:rsidRDefault="007C2C4C" w:rsidP="00E51DD6">
      <w:pPr>
        <w:spacing w:line="360" w:lineRule="auto"/>
        <w:ind w:left="720" w:hanging="720"/>
        <w:jc w:val="both"/>
        <w:rPr>
          <w:rFonts w:ascii="Arial" w:hAnsi="Arial" w:cs="Arial"/>
          <w:iCs/>
          <w:sz w:val="24"/>
          <w:szCs w:val="24"/>
        </w:rPr>
      </w:pPr>
      <w:r w:rsidRPr="00E51DD6">
        <w:rPr>
          <w:rFonts w:ascii="Arial" w:hAnsi="Arial" w:cs="Arial"/>
          <w:iCs/>
          <w:sz w:val="24"/>
          <w:szCs w:val="24"/>
        </w:rPr>
        <w:t xml:space="preserve">[17]    </w:t>
      </w:r>
      <w:r w:rsidR="00E121E3" w:rsidRPr="00E51DD6">
        <w:rPr>
          <w:rFonts w:ascii="Arial" w:hAnsi="Arial" w:cs="Arial"/>
          <w:iCs/>
          <w:sz w:val="24"/>
          <w:szCs w:val="24"/>
        </w:rPr>
        <w:t xml:space="preserve">Whilst I agree with the point advanced by </w:t>
      </w:r>
      <w:proofErr w:type="spellStart"/>
      <w:r w:rsidR="00E121E3" w:rsidRPr="00E51DD6">
        <w:rPr>
          <w:rFonts w:ascii="Arial" w:hAnsi="Arial" w:cs="Arial"/>
          <w:iCs/>
          <w:sz w:val="24"/>
          <w:szCs w:val="24"/>
        </w:rPr>
        <w:t>Enyuka’s</w:t>
      </w:r>
      <w:proofErr w:type="spellEnd"/>
      <w:r w:rsidR="00E121E3" w:rsidRPr="00E51DD6">
        <w:rPr>
          <w:rFonts w:ascii="Arial" w:hAnsi="Arial" w:cs="Arial"/>
          <w:iCs/>
          <w:sz w:val="24"/>
          <w:szCs w:val="24"/>
        </w:rPr>
        <w:t xml:space="preserve"> counsel to the effect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has not put up a defence to the allegations around the nullity of the special resolution (and the allegations of </w:t>
      </w:r>
      <w:proofErr w:type="spellStart"/>
      <w:r w:rsidR="00E121E3" w:rsidRPr="00E51DD6">
        <w:rPr>
          <w:rFonts w:ascii="Arial" w:hAnsi="Arial" w:cs="Arial"/>
          <w:iCs/>
          <w:sz w:val="24"/>
          <w:szCs w:val="24"/>
        </w:rPr>
        <w:t>voidness</w:t>
      </w:r>
      <w:proofErr w:type="spellEnd"/>
      <w:r w:rsidR="00E121E3" w:rsidRPr="00E51DD6">
        <w:rPr>
          <w:rFonts w:ascii="Arial" w:hAnsi="Arial" w:cs="Arial"/>
          <w:iCs/>
          <w:sz w:val="24"/>
          <w:szCs w:val="24"/>
        </w:rPr>
        <w:t xml:space="preserve"> that follow thereon) beyond a bald denial, it is conceivable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may yet advance some arguments as to why a court ought to not to alter the date of liquidation from 2 February 2022 to 25 June 2021.  Accordingly, whilst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has not indicated the details of its defence or opposition to the conversion application, it has indicated the extent of its rights that would be adversely affected by the conversion application and there exists the possibility that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may yet make submissions in relation to the relief sought by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 xml:space="preserve"> (without any reference to the nullity of the special resolution).  </w:t>
      </w:r>
    </w:p>
    <w:p w14:paraId="5B3DB108" w14:textId="77777777" w:rsidR="004C26D4" w:rsidRPr="00E51DD6" w:rsidRDefault="004C26D4" w:rsidP="00A86E21">
      <w:pPr>
        <w:spacing w:line="360" w:lineRule="auto"/>
        <w:jc w:val="both"/>
        <w:rPr>
          <w:rFonts w:ascii="Arial" w:hAnsi="Arial" w:cs="Arial"/>
          <w:iCs/>
          <w:sz w:val="24"/>
          <w:szCs w:val="24"/>
        </w:rPr>
      </w:pPr>
    </w:p>
    <w:p w14:paraId="68BD6402" w14:textId="7EBD09F2" w:rsidR="00E121E3" w:rsidRPr="00E51DD6" w:rsidRDefault="007C2C4C" w:rsidP="00E51DD6">
      <w:pPr>
        <w:spacing w:line="360" w:lineRule="auto"/>
        <w:ind w:left="720" w:hanging="720"/>
        <w:jc w:val="both"/>
        <w:rPr>
          <w:rFonts w:ascii="Arial" w:hAnsi="Arial" w:cs="Arial"/>
          <w:iCs/>
          <w:sz w:val="24"/>
          <w:szCs w:val="24"/>
        </w:rPr>
      </w:pPr>
      <w:r w:rsidRPr="00E51DD6">
        <w:rPr>
          <w:rFonts w:ascii="Arial" w:hAnsi="Arial" w:cs="Arial"/>
          <w:iCs/>
          <w:sz w:val="24"/>
          <w:szCs w:val="24"/>
        </w:rPr>
        <w:t xml:space="preserve">[18]   </w:t>
      </w:r>
      <w:r w:rsidR="00E121E3" w:rsidRPr="00E51DD6">
        <w:rPr>
          <w:rFonts w:ascii="Arial" w:hAnsi="Arial" w:cs="Arial"/>
          <w:iCs/>
          <w:sz w:val="24"/>
          <w:szCs w:val="24"/>
        </w:rPr>
        <w:t xml:space="preserve">Accordingly, despite the unsatisfactory nature of the intervention application and the failure of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to indicate therein the basis upon which it intends to oppose the conversion application, I nonetheless consider that I ought to exercise my discretion to grant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the right to intervene.  Given </w:t>
      </w:r>
      <w:proofErr w:type="spellStart"/>
      <w:r w:rsidR="00E121E3" w:rsidRPr="00E51DD6">
        <w:rPr>
          <w:rFonts w:ascii="Arial" w:hAnsi="Arial" w:cs="Arial"/>
          <w:iCs/>
          <w:sz w:val="24"/>
          <w:szCs w:val="24"/>
        </w:rPr>
        <w:t>Truval’s</w:t>
      </w:r>
      <w:proofErr w:type="spellEnd"/>
      <w:r w:rsidR="00E121E3" w:rsidRPr="00E51DD6">
        <w:rPr>
          <w:rFonts w:ascii="Arial" w:hAnsi="Arial" w:cs="Arial"/>
          <w:iCs/>
          <w:sz w:val="24"/>
          <w:szCs w:val="24"/>
        </w:rPr>
        <w:t xml:space="preserve"> failure to indicate on what basis it intends to oppose the conversion application, however, I do not consider that it is entitled to the costs of the intervention application at this juncture.  Those costs are to be held over for the court hearing the conversion </w:t>
      </w:r>
      <w:r w:rsidR="00E121E3" w:rsidRPr="00E51DD6">
        <w:rPr>
          <w:rFonts w:ascii="Arial" w:hAnsi="Arial" w:cs="Arial"/>
          <w:iCs/>
          <w:sz w:val="24"/>
          <w:szCs w:val="24"/>
        </w:rPr>
        <w:lastRenderedPageBreak/>
        <w:t xml:space="preserve">application, that being the point at which </w:t>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will have disclosed the basis for its opposition to the relief sought by </w:t>
      </w:r>
      <w:proofErr w:type="spellStart"/>
      <w:r w:rsidR="00E121E3" w:rsidRPr="00E51DD6">
        <w:rPr>
          <w:rFonts w:ascii="Arial" w:hAnsi="Arial" w:cs="Arial"/>
          <w:iCs/>
          <w:sz w:val="24"/>
          <w:szCs w:val="24"/>
        </w:rPr>
        <w:t>Enyuka</w:t>
      </w:r>
      <w:proofErr w:type="spellEnd"/>
      <w:r w:rsidR="00E121E3" w:rsidRPr="00E51DD6">
        <w:rPr>
          <w:rFonts w:ascii="Arial" w:hAnsi="Arial" w:cs="Arial"/>
          <w:iCs/>
          <w:sz w:val="24"/>
          <w:szCs w:val="24"/>
        </w:rPr>
        <w:t>.</w:t>
      </w:r>
    </w:p>
    <w:p w14:paraId="44B29457" w14:textId="77777777" w:rsidR="004C26D4" w:rsidRPr="00E51DD6" w:rsidRDefault="004C26D4" w:rsidP="00A86E21">
      <w:pPr>
        <w:spacing w:line="360" w:lineRule="auto"/>
        <w:jc w:val="both"/>
        <w:rPr>
          <w:rFonts w:ascii="Arial" w:hAnsi="Arial" w:cs="Arial"/>
          <w:iCs/>
          <w:sz w:val="24"/>
          <w:szCs w:val="24"/>
        </w:rPr>
      </w:pPr>
    </w:p>
    <w:p w14:paraId="11F1B1DD" w14:textId="6D915895" w:rsidR="00E121E3" w:rsidRPr="00E51DD6" w:rsidRDefault="007C2C4C" w:rsidP="00A86E21">
      <w:pPr>
        <w:spacing w:line="360" w:lineRule="auto"/>
        <w:ind w:hanging="720"/>
        <w:jc w:val="both"/>
        <w:rPr>
          <w:rFonts w:ascii="Arial" w:hAnsi="Arial" w:cs="Arial"/>
          <w:iCs/>
          <w:sz w:val="24"/>
          <w:szCs w:val="24"/>
        </w:rPr>
      </w:pPr>
      <w:r w:rsidRPr="00E51DD6">
        <w:rPr>
          <w:rFonts w:ascii="Arial" w:hAnsi="Arial" w:cs="Arial"/>
          <w:iCs/>
          <w:sz w:val="24"/>
          <w:szCs w:val="24"/>
        </w:rPr>
        <w:t xml:space="preserve">[19]        </w:t>
      </w:r>
      <w:r w:rsidR="00E121E3" w:rsidRPr="00E51DD6">
        <w:rPr>
          <w:rFonts w:ascii="Arial" w:hAnsi="Arial" w:cs="Arial"/>
          <w:iCs/>
          <w:sz w:val="24"/>
          <w:szCs w:val="24"/>
        </w:rPr>
        <w:t>I grant the following order:</w:t>
      </w:r>
    </w:p>
    <w:p w14:paraId="0041201D" w14:textId="3E0B4B1C" w:rsidR="00E121E3" w:rsidRPr="00E51DD6" w:rsidRDefault="00975616" w:rsidP="00975616">
      <w:pPr>
        <w:spacing w:line="360" w:lineRule="auto"/>
        <w:ind w:left="927" w:hanging="720"/>
        <w:jc w:val="both"/>
        <w:rPr>
          <w:rFonts w:ascii="Arial" w:hAnsi="Arial" w:cs="Arial"/>
          <w:iCs/>
          <w:sz w:val="24"/>
          <w:szCs w:val="24"/>
        </w:rPr>
      </w:pPr>
      <w:r w:rsidRPr="00E51DD6">
        <w:rPr>
          <w:rFonts w:ascii="Arial" w:hAnsi="Arial" w:cs="Arial"/>
          <w:iCs/>
          <w:sz w:val="24"/>
          <w:szCs w:val="24"/>
        </w:rPr>
        <w:t>1.</w:t>
      </w:r>
      <w:r w:rsidRPr="00E51DD6">
        <w:rPr>
          <w:rFonts w:ascii="Arial" w:hAnsi="Arial" w:cs="Arial"/>
          <w:iCs/>
          <w:sz w:val="24"/>
          <w:szCs w:val="24"/>
        </w:rPr>
        <w:tab/>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Manufacturers CC is granted leave to intervene in the conversion application brought by the applicant and is joined therein as a party (to be called the intervener).</w:t>
      </w:r>
    </w:p>
    <w:p w14:paraId="5D79AE2F" w14:textId="0C83F99A" w:rsidR="00E121E3" w:rsidRPr="00E51DD6" w:rsidRDefault="00975616" w:rsidP="00975616">
      <w:pPr>
        <w:spacing w:line="360" w:lineRule="auto"/>
        <w:ind w:left="927" w:hanging="720"/>
        <w:jc w:val="both"/>
        <w:rPr>
          <w:rFonts w:ascii="Arial" w:hAnsi="Arial" w:cs="Arial"/>
          <w:iCs/>
          <w:sz w:val="24"/>
          <w:szCs w:val="24"/>
        </w:rPr>
      </w:pPr>
      <w:r w:rsidRPr="00E51DD6">
        <w:rPr>
          <w:rFonts w:ascii="Arial" w:hAnsi="Arial" w:cs="Arial"/>
          <w:iCs/>
          <w:sz w:val="24"/>
          <w:szCs w:val="24"/>
        </w:rPr>
        <w:t>2.</w:t>
      </w:r>
      <w:r w:rsidRPr="00E51DD6">
        <w:rPr>
          <w:rFonts w:ascii="Arial" w:hAnsi="Arial" w:cs="Arial"/>
          <w:iCs/>
          <w:sz w:val="24"/>
          <w:szCs w:val="24"/>
        </w:rPr>
        <w:tab/>
      </w:r>
      <w:proofErr w:type="spellStart"/>
      <w:r w:rsidR="00E121E3" w:rsidRPr="00E51DD6">
        <w:rPr>
          <w:rFonts w:ascii="Arial" w:hAnsi="Arial" w:cs="Arial"/>
          <w:iCs/>
          <w:sz w:val="24"/>
          <w:szCs w:val="24"/>
        </w:rPr>
        <w:t>Truval</w:t>
      </w:r>
      <w:proofErr w:type="spellEnd"/>
      <w:r w:rsidR="00E121E3" w:rsidRPr="00E51DD6">
        <w:rPr>
          <w:rFonts w:ascii="Arial" w:hAnsi="Arial" w:cs="Arial"/>
          <w:iCs/>
          <w:sz w:val="24"/>
          <w:szCs w:val="24"/>
        </w:rPr>
        <w:t xml:space="preserve"> Manufacturers CC shall file its answering affidavit within 15 court days of the granting of this order.</w:t>
      </w:r>
    </w:p>
    <w:p w14:paraId="201C1D04" w14:textId="7EBBFA73" w:rsidR="00E121E3" w:rsidRDefault="00975616" w:rsidP="00975616">
      <w:pPr>
        <w:spacing w:line="360" w:lineRule="auto"/>
        <w:ind w:left="927" w:hanging="720"/>
        <w:jc w:val="both"/>
        <w:rPr>
          <w:rFonts w:ascii="Arial" w:hAnsi="Arial" w:cs="Arial"/>
          <w:iCs/>
          <w:sz w:val="24"/>
          <w:szCs w:val="24"/>
        </w:rPr>
      </w:pPr>
      <w:r>
        <w:rPr>
          <w:rFonts w:ascii="Arial" w:hAnsi="Arial" w:cs="Arial"/>
          <w:iCs/>
          <w:sz w:val="24"/>
          <w:szCs w:val="24"/>
        </w:rPr>
        <w:t>3.</w:t>
      </w:r>
      <w:r>
        <w:rPr>
          <w:rFonts w:ascii="Arial" w:hAnsi="Arial" w:cs="Arial"/>
          <w:iCs/>
          <w:sz w:val="24"/>
          <w:szCs w:val="24"/>
        </w:rPr>
        <w:tab/>
      </w:r>
      <w:r w:rsidR="00E121E3" w:rsidRPr="00E51DD6">
        <w:rPr>
          <w:rFonts w:ascii="Arial" w:hAnsi="Arial" w:cs="Arial"/>
          <w:iCs/>
          <w:sz w:val="24"/>
          <w:szCs w:val="24"/>
        </w:rPr>
        <w:t>The costs of the application are reserved.</w:t>
      </w:r>
    </w:p>
    <w:p w14:paraId="7D991CA3" w14:textId="77777777" w:rsidR="002630B5" w:rsidRDefault="002630B5" w:rsidP="002630B5">
      <w:pPr>
        <w:spacing w:line="360" w:lineRule="auto"/>
        <w:jc w:val="both"/>
        <w:rPr>
          <w:rFonts w:ascii="Arial" w:hAnsi="Arial" w:cs="Arial"/>
          <w:iCs/>
          <w:sz w:val="24"/>
          <w:szCs w:val="24"/>
        </w:rPr>
      </w:pPr>
    </w:p>
    <w:p w14:paraId="42E9B5ED" w14:textId="77777777" w:rsidR="002630B5" w:rsidRPr="002630B5" w:rsidRDefault="002630B5" w:rsidP="002630B5">
      <w:pPr>
        <w:keepNext/>
        <w:tabs>
          <w:tab w:val="left" w:pos="5670"/>
        </w:tabs>
        <w:suppressAutoHyphens/>
        <w:spacing w:line="360" w:lineRule="auto"/>
        <w:jc w:val="right"/>
        <w:rPr>
          <w:rFonts w:ascii="Arial" w:eastAsia="Times New Roman" w:hAnsi="Arial" w:cs="Arial"/>
          <w:sz w:val="24"/>
          <w:szCs w:val="24"/>
        </w:rPr>
      </w:pPr>
      <w:r w:rsidRPr="002630B5">
        <w:rPr>
          <w:rFonts w:ascii="Arial" w:eastAsia="Times New Roman" w:hAnsi="Arial" w:cs="Arial"/>
          <w:sz w:val="24"/>
          <w:szCs w:val="24"/>
        </w:rPr>
        <w:t>_______________________</w:t>
      </w:r>
    </w:p>
    <w:p w14:paraId="1AF526BB" w14:textId="77777777" w:rsidR="002630B5" w:rsidRPr="002630B5" w:rsidRDefault="002630B5" w:rsidP="002630B5">
      <w:pPr>
        <w:keepNext/>
        <w:tabs>
          <w:tab w:val="left" w:pos="5670"/>
        </w:tabs>
        <w:suppressAutoHyphens/>
        <w:spacing w:line="360" w:lineRule="auto"/>
        <w:jc w:val="right"/>
        <w:rPr>
          <w:rFonts w:ascii="Arial" w:eastAsia="Times New Roman" w:hAnsi="Arial" w:cs="Arial"/>
          <w:sz w:val="24"/>
          <w:szCs w:val="24"/>
        </w:rPr>
      </w:pPr>
      <w:r w:rsidRPr="002630B5">
        <w:rPr>
          <w:rFonts w:ascii="Arial" w:eastAsia="Times New Roman" w:hAnsi="Arial" w:cs="Arial"/>
          <w:b/>
          <w:bCs/>
          <w:sz w:val="24"/>
          <w:szCs w:val="24"/>
        </w:rPr>
        <w:t>W G LA GRANGE</w:t>
      </w:r>
    </w:p>
    <w:p w14:paraId="49DBA169" w14:textId="77777777" w:rsidR="002630B5" w:rsidRPr="002630B5" w:rsidRDefault="002630B5" w:rsidP="002630B5">
      <w:pPr>
        <w:keepNext/>
        <w:tabs>
          <w:tab w:val="left" w:pos="5670"/>
        </w:tabs>
        <w:suppressAutoHyphens/>
        <w:spacing w:line="360" w:lineRule="auto"/>
        <w:jc w:val="right"/>
        <w:rPr>
          <w:rFonts w:ascii="Arial" w:eastAsia="Times New Roman" w:hAnsi="Arial" w:cs="Arial"/>
          <w:sz w:val="24"/>
          <w:szCs w:val="24"/>
        </w:rPr>
      </w:pPr>
      <w:r w:rsidRPr="002630B5">
        <w:rPr>
          <w:rFonts w:ascii="Arial" w:eastAsia="Times New Roman" w:hAnsi="Arial" w:cs="Arial"/>
          <w:sz w:val="24"/>
          <w:szCs w:val="24"/>
        </w:rPr>
        <w:t xml:space="preserve">ACTING JUDGE OF THE HIGH </w:t>
      </w:r>
    </w:p>
    <w:p w14:paraId="09CC0BF2" w14:textId="77777777" w:rsidR="002630B5" w:rsidRPr="002630B5" w:rsidRDefault="002630B5" w:rsidP="002630B5">
      <w:pPr>
        <w:keepNext/>
        <w:tabs>
          <w:tab w:val="left" w:pos="5670"/>
        </w:tabs>
        <w:suppressAutoHyphens/>
        <w:spacing w:line="360" w:lineRule="auto"/>
        <w:jc w:val="right"/>
        <w:rPr>
          <w:rFonts w:ascii="Arial" w:eastAsia="Times New Roman" w:hAnsi="Arial" w:cs="Arial"/>
          <w:sz w:val="24"/>
          <w:szCs w:val="24"/>
        </w:rPr>
      </w:pPr>
      <w:r w:rsidRPr="002630B5">
        <w:rPr>
          <w:rFonts w:ascii="Arial" w:eastAsia="Times New Roman" w:hAnsi="Arial" w:cs="Arial"/>
          <w:sz w:val="24"/>
          <w:szCs w:val="24"/>
        </w:rPr>
        <w:t>COURT, JOHANNESBURG</w:t>
      </w:r>
    </w:p>
    <w:p w14:paraId="73F2EB5F" w14:textId="77777777"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p>
    <w:p w14:paraId="493C9F03" w14:textId="77777777"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r w:rsidRPr="002630B5">
        <w:rPr>
          <w:rFonts w:ascii="Arial" w:eastAsia="Times New Roman" w:hAnsi="Arial" w:cs="Arial"/>
          <w:sz w:val="24"/>
          <w:szCs w:val="24"/>
        </w:rPr>
        <w:t>Date of Hearing:</w:t>
      </w:r>
      <w:r w:rsidRPr="002630B5">
        <w:rPr>
          <w:rFonts w:ascii="Arial" w:eastAsia="Times New Roman" w:hAnsi="Arial" w:cs="Arial"/>
          <w:sz w:val="24"/>
          <w:szCs w:val="24"/>
        </w:rPr>
        <w:tab/>
        <w:t>2 October 2023</w:t>
      </w:r>
    </w:p>
    <w:p w14:paraId="35AD078A" w14:textId="1150DD9E"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r w:rsidRPr="002630B5">
        <w:rPr>
          <w:rFonts w:ascii="Arial" w:eastAsia="Times New Roman" w:hAnsi="Arial" w:cs="Arial"/>
          <w:sz w:val="24"/>
          <w:szCs w:val="24"/>
        </w:rPr>
        <w:t>Date of Judgment:</w:t>
      </w:r>
      <w:r w:rsidRPr="002630B5">
        <w:rPr>
          <w:rFonts w:ascii="Arial" w:eastAsia="Times New Roman" w:hAnsi="Arial" w:cs="Arial"/>
          <w:sz w:val="24"/>
          <w:szCs w:val="24"/>
        </w:rPr>
        <w:tab/>
      </w:r>
      <w:r w:rsidR="00596C03">
        <w:rPr>
          <w:rFonts w:ascii="Arial" w:eastAsia="Times New Roman" w:hAnsi="Arial" w:cs="Arial"/>
          <w:sz w:val="24"/>
          <w:szCs w:val="24"/>
        </w:rPr>
        <w:t>31</w:t>
      </w:r>
      <w:r w:rsidRPr="00A86E21">
        <w:rPr>
          <w:rFonts w:ascii="Arial" w:eastAsia="Times New Roman" w:hAnsi="Arial" w:cs="Arial"/>
          <w:sz w:val="24"/>
          <w:szCs w:val="24"/>
        </w:rPr>
        <w:t xml:space="preserve"> October 2023</w:t>
      </w:r>
    </w:p>
    <w:p w14:paraId="4A06FD9E" w14:textId="77777777"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p>
    <w:p w14:paraId="093C70FE" w14:textId="77777777"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r w:rsidRPr="002630B5">
        <w:rPr>
          <w:rFonts w:ascii="Arial" w:eastAsia="Times New Roman" w:hAnsi="Arial" w:cs="Arial"/>
          <w:sz w:val="24"/>
          <w:szCs w:val="24"/>
        </w:rPr>
        <w:t>APPEARANCES:</w:t>
      </w:r>
    </w:p>
    <w:p w14:paraId="6EC76489" w14:textId="77777777"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p>
    <w:p w14:paraId="7268D8AC" w14:textId="00AEB171"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r>
        <w:rPr>
          <w:rFonts w:ascii="Arial" w:eastAsia="Times New Roman" w:hAnsi="Arial" w:cs="Arial"/>
          <w:sz w:val="24"/>
          <w:szCs w:val="24"/>
        </w:rPr>
        <w:t xml:space="preserve">Intervener’s </w:t>
      </w:r>
      <w:r w:rsidRPr="002630B5">
        <w:rPr>
          <w:rFonts w:ascii="Arial" w:eastAsia="Times New Roman" w:hAnsi="Arial" w:cs="Arial"/>
          <w:sz w:val="24"/>
          <w:szCs w:val="24"/>
        </w:rPr>
        <w:t>s Counsel:</w:t>
      </w:r>
      <w:r w:rsidRPr="002630B5">
        <w:rPr>
          <w:rFonts w:ascii="Arial" w:eastAsia="Times New Roman" w:hAnsi="Arial" w:cs="Arial"/>
          <w:sz w:val="24"/>
          <w:szCs w:val="24"/>
        </w:rPr>
        <w:tab/>
      </w:r>
      <w:proofErr w:type="spellStart"/>
      <w:r w:rsidRPr="002630B5">
        <w:rPr>
          <w:rFonts w:ascii="Arial" w:eastAsia="Times New Roman" w:hAnsi="Arial" w:cs="Arial"/>
          <w:sz w:val="24"/>
          <w:szCs w:val="24"/>
        </w:rPr>
        <w:t>Adv</w:t>
      </w:r>
      <w:proofErr w:type="spellEnd"/>
      <w:r w:rsidRPr="002630B5">
        <w:rPr>
          <w:rFonts w:ascii="Arial" w:eastAsia="Times New Roman" w:hAnsi="Arial" w:cs="Arial"/>
          <w:sz w:val="24"/>
          <w:szCs w:val="24"/>
        </w:rPr>
        <w:t xml:space="preserve"> </w:t>
      </w:r>
      <w:r>
        <w:rPr>
          <w:rFonts w:ascii="Arial" w:eastAsia="Times New Roman" w:hAnsi="Arial" w:cs="Arial"/>
          <w:sz w:val="24"/>
          <w:szCs w:val="24"/>
        </w:rPr>
        <w:t>M</w:t>
      </w:r>
      <w:r w:rsidRPr="002630B5">
        <w:rPr>
          <w:rFonts w:ascii="Arial" w:eastAsia="Times New Roman" w:hAnsi="Arial" w:cs="Arial"/>
          <w:sz w:val="24"/>
          <w:szCs w:val="24"/>
        </w:rPr>
        <w:t xml:space="preserve"> </w:t>
      </w:r>
      <w:r>
        <w:rPr>
          <w:rFonts w:ascii="Arial" w:eastAsia="Times New Roman" w:hAnsi="Arial" w:cs="Arial"/>
          <w:sz w:val="24"/>
          <w:szCs w:val="24"/>
        </w:rPr>
        <w:t>D</w:t>
      </w:r>
      <w:r w:rsidRPr="002630B5">
        <w:rPr>
          <w:rFonts w:ascii="Arial" w:eastAsia="Times New Roman" w:hAnsi="Arial" w:cs="Arial"/>
          <w:sz w:val="24"/>
          <w:szCs w:val="24"/>
        </w:rPr>
        <w:t xml:space="preserve"> </w:t>
      </w:r>
      <w:r>
        <w:rPr>
          <w:rFonts w:ascii="Arial" w:eastAsia="Times New Roman" w:hAnsi="Arial" w:cs="Arial"/>
          <w:sz w:val="24"/>
          <w:szCs w:val="24"/>
        </w:rPr>
        <w:t>Silver</w:t>
      </w:r>
    </w:p>
    <w:p w14:paraId="3B4D36E5" w14:textId="098EE640" w:rsidR="002630B5" w:rsidRPr="002630B5" w:rsidRDefault="002630B5" w:rsidP="002630B5">
      <w:pPr>
        <w:tabs>
          <w:tab w:val="left" w:pos="5670"/>
        </w:tabs>
        <w:suppressAutoHyphens/>
        <w:spacing w:line="360" w:lineRule="auto"/>
        <w:ind w:left="5670" w:hanging="5670"/>
        <w:jc w:val="both"/>
        <w:rPr>
          <w:rFonts w:ascii="Arial" w:eastAsia="Times New Roman" w:hAnsi="Arial" w:cs="Arial"/>
          <w:sz w:val="24"/>
          <w:szCs w:val="24"/>
        </w:rPr>
      </w:pPr>
      <w:proofErr w:type="spellStart"/>
      <w:r>
        <w:rPr>
          <w:rFonts w:ascii="Arial" w:eastAsia="Times New Roman" w:hAnsi="Arial" w:cs="Arial"/>
          <w:sz w:val="24"/>
          <w:szCs w:val="24"/>
        </w:rPr>
        <w:t>Interverner’s</w:t>
      </w:r>
      <w:proofErr w:type="spellEnd"/>
      <w:r>
        <w:rPr>
          <w:rFonts w:ascii="Arial" w:eastAsia="Times New Roman" w:hAnsi="Arial" w:cs="Arial"/>
          <w:sz w:val="24"/>
          <w:szCs w:val="24"/>
        </w:rPr>
        <w:t xml:space="preserve"> Attorneys</w:t>
      </w:r>
      <w:r w:rsidRPr="002630B5">
        <w:rPr>
          <w:rFonts w:ascii="Arial" w:eastAsia="Times New Roman" w:hAnsi="Arial" w:cs="Arial"/>
          <w:sz w:val="24"/>
          <w:szCs w:val="24"/>
        </w:rPr>
        <w:t>:</w:t>
      </w:r>
      <w:r w:rsidRPr="002630B5">
        <w:rPr>
          <w:rFonts w:ascii="Arial" w:eastAsia="Times New Roman" w:hAnsi="Arial" w:cs="Arial"/>
          <w:sz w:val="24"/>
          <w:szCs w:val="24"/>
        </w:rPr>
        <w:tab/>
      </w:r>
      <w:r>
        <w:rPr>
          <w:rFonts w:ascii="Arial" w:eastAsia="Times New Roman" w:hAnsi="Arial" w:cs="Arial"/>
          <w:sz w:val="24"/>
          <w:szCs w:val="24"/>
        </w:rPr>
        <w:t>Moss Cohen and Partners</w:t>
      </w:r>
    </w:p>
    <w:p w14:paraId="1C3FC523" w14:textId="77777777"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p>
    <w:p w14:paraId="557A904D" w14:textId="7777DA81"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r>
        <w:rPr>
          <w:rFonts w:ascii="Arial" w:eastAsia="Times New Roman" w:hAnsi="Arial" w:cs="Arial"/>
          <w:sz w:val="24"/>
          <w:szCs w:val="24"/>
        </w:rPr>
        <w:t>Applicant’s representative</w:t>
      </w:r>
      <w:r w:rsidRPr="002630B5">
        <w:rPr>
          <w:rFonts w:ascii="Arial" w:eastAsia="Times New Roman" w:hAnsi="Arial" w:cs="Arial"/>
          <w:sz w:val="24"/>
          <w:szCs w:val="24"/>
        </w:rPr>
        <w:t>:</w:t>
      </w:r>
      <w:r w:rsidRPr="002630B5">
        <w:rPr>
          <w:rFonts w:ascii="Arial" w:eastAsia="Times New Roman" w:hAnsi="Arial" w:cs="Arial"/>
          <w:sz w:val="24"/>
          <w:szCs w:val="24"/>
        </w:rPr>
        <w:tab/>
      </w:r>
      <w:proofErr w:type="spellStart"/>
      <w:r>
        <w:rPr>
          <w:rFonts w:ascii="Arial" w:eastAsia="Times New Roman" w:hAnsi="Arial" w:cs="Arial"/>
          <w:sz w:val="24"/>
          <w:szCs w:val="24"/>
        </w:rPr>
        <w:t>Adv</w:t>
      </w:r>
      <w:proofErr w:type="spellEnd"/>
      <w:r>
        <w:rPr>
          <w:rFonts w:ascii="Arial" w:eastAsia="Times New Roman" w:hAnsi="Arial" w:cs="Arial"/>
          <w:sz w:val="24"/>
          <w:szCs w:val="24"/>
        </w:rPr>
        <w:t xml:space="preserve"> J Both SC</w:t>
      </w:r>
    </w:p>
    <w:p w14:paraId="59FEC9D7" w14:textId="417691B7" w:rsidR="002630B5" w:rsidRPr="002630B5" w:rsidRDefault="002630B5" w:rsidP="002630B5">
      <w:pPr>
        <w:tabs>
          <w:tab w:val="left" w:pos="5670"/>
        </w:tabs>
        <w:suppressAutoHyphens/>
        <w:spacing w:line="360" w:lineRule="auto"/>
        <w:jc w:val="both"/>
        <w:rPr>
          <w:rFonts w:ascii="Arial" w:eastAsia="Times New Roman" w:hAnsi="Arial" w:cs="Arial"/>
          <w:sz w:val="24"/>
          <w:szCs w:val="24"/>
        </w:rPr>
      </w:pPr>
      <w:r w:rsidRPr="002630B5">
        <w:rPr>
          <w:rFonts w:ascii="Arial" w:eastAsia="Times New Roman" w:hAnsi="Arial" w:cs="Arial"/>
          <w:sz w:val="24"/>
          <w:szCs w:val="24"/>
        </w:rPr>
        <w:t>Defendant’s Attorneys:</w:t>
      </w:r>
      <w:r w:rsidRPr="002630B5">
        <w:rPr>
          <w:rFonts w:ascii="Arial" w:eastAsia="Times New Roman" w:hAnsi="Arial" w:cs="Arial"/>
          <w:sz w:val="24"/>
          <w:szCs w:val="24"/>
        </w:rPr>
        <w:tab/>
      </w:r>
      <w:proofErr w:type="spellStart"/>
      <w:r w:rsidR="00707B09">
        <w:rPr>
          <w:rFonts w:ascii="Arial" w:eastAsia="Times New Roman" w:hAnsi="Arial" w:cs="Arial"/>
          <w:sz w:val="24"/>
          <w:szCs w:val="24"/>
        </w:rPr>
        <w:t>Kokinis</w:t>
      </w:r>
      <w:proofErr w:type="spellEnd"/>
      <w:r w:rsidRPr="002630B5">
        <w:rPr>
          <w:rFonts w:ascii="Arial" w:eastAsia="Times New Roman" w:hAnsi="Arial" w:cs="Arial"/>
          <w:sz w:val="24"/>
          <w:szCs w:val="24"/>
        </w:rPr>
        <w:t xml:space="preserve"> </w:t>
      </w:r>
      <w:proofErr w:type="spellStart"/>
      <w:r w:rsidRPr="002630B5">
        <w:rPr>
          <w:rFonts w:ascii="Arial" w:eastAsia="Times New Roman" w:hAnsi="Arial" w:cs="Arial"/>
          <w:sz w:val="24"/>
          <w:szCs w:val="24"/>
        </w:rPr>
        <w:t>Inc</w:t>
      </w:r>
      <w:proofErr w:type="spellEnd"/>
    </w:p>
    <w:p w14:paraId="523D0D46" w14:textId="7EE19EB0" w:rsidR="00C344A5" w:rsidRPr="00E51DD6" w:rsidRDefault="00E121E3" w:rsidP="00A86E21">
      <w:pPr>
        <w:spacing w:line="360" w:lineRule="auto"/>
        <w:jc w:val="both"/>
        <w:rPr>
          <w:rFonts w:ascii="Arial" w:hAnsi="Arial" w:cs="Arial"/>
          <w:iCs/>
          <w:sz w:val="24"/>
          <w:szCs w:val="24"/>
        </w:rPr>
      </w:pPr>
      <w:r w:rsidRPr="00E51DD6">
        <w:rPr>
          <w:rFonts w:ascii="Arial" w:hAnsi="Arial" w:cs="Arial"/>
          <w:iCs/>
          <w:sz w:val="24"/>
          <w:szCs w:val="24"/>
        </w:rPr>
        <w:tab/>
      </w:r>
    </w:p>
    <w:sectPr w:rsidR="00C344A5" w:rsidRPr="00E51DD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D6BFC" w14:textId="77777777" w:rsidR="006A77D3" w:rsidRDefault="006A77D3" w:rsidP="00E121E3">
      <w:r>
        <w:separator/>
      </w:r>
    </w:p>
  </w:endnote>
  <w:endnote w:type="continuationSeparator" w:id="0">
    <w:p w14:paraId="0829D1A5" w14:textId="77777777" w:rsidR="006A77D3" w:rsidRDefault="006A77D3" w:rsidP="00E1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40949"/>
      <w:docPartObj>
        <w:docPartGallery w:val="Page Numbers (Bottom of Page)"/>
        <w:docPartUnique/>
      </w:docPartObj>
    </w:sdtPr>
    <w:sdtEndPr>
      <w:rPr>
        <w:noProof/>
      </w:rPr>
    </w:sdtEndPr>
    <w:sdtContent>
      <w:p w14:paraId="19B95C7F" w14:textId="404961CE" w:rsidR="0060768A" w:rsidRDefault="0060768A">
        <w:pPr>
          <w:pStyle w:val="Footer"/>
          <w:jc w:val="right"/>
        </w:pPr>
        <w:r>
          <w:fldChar w:fldCharType="begin"/>
        </w:r>
        <w:r>
          <w:instrText xml:space="preserve"> PAGE   \* MERGEFORMAT </w:instrText>
        </w:r>
        <w:r>
          <w:fldChar w:fldCharType="separate"/>
        </w:r>
        <w:r w:rsidR="00975616">
          <w:rPr>
            <w:noProof/>
          </w:rPr>
          <w:t>11</w:t>
        </w:r>
        <w:r>
          <w:rPr>
            <w:noProof/>
          </w:rPr>
          <w:fldChar w:fldCharType="end"/>
        </w:r>
      </w:p>
    </w:sdtContent>
  </w:sdt>
  <w:p w14:paraId="77160982" w14:textId="77777777" w:rsidR="0060768A" w:rsidRDefault="00607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E605" w14:textId="77777777" w:rsidR="006A77D3" w:rsidRDefault="006A77D3" w:rsidP="00E121E3">
      <w:r>
        <w:separator/>
      </w:r>
    </w:p>
  </w:footnote>
  <w:footnote w:type="continuationSeparator" w:id="0">
    <w:p w14:paraId="51E5B7AB" w14:textId="77777777" w:rsidR="006A77D3" w:rsidRDefault="006A77D3" w:rsidP="00E121E3">
      <w:r>
        <w:continuationSeparator/>
      </w:r>
    </w:p>
  </w:footnote>
  <w:footnote w:id="1">
    <w:p w14:paraId="13482D36" w14:textId="77777777" w:rsidR="00710ED5" w:rsidRPr="00A86E21" w:rsidRDefault="00710ED5">
      <w:pPr>
        <w:pStyle w:val="FootnoteText"/>
        <w:rPr>
          <w:rFonts w:ascii="Arial" w:hAnsi="Arial" w:cs="Arial"/>
          <w:sz w:val="18"/>
          <w:szCs w:val="18"/>
        </w:rPr>
      </w:pPr>
      <w:r w:rsidRPr="00A86E21">
        <w:rPr>
          <w:rStyle w:val="FootnoteReference"/>
          <w:rFonts w:ascii="Arial" w:hAnsi="Arial" w:cs="Arial"/>
          <w:sz w:val="18"/>
          <w:szCs w:val="18"/>
        </w:rPr>
        <w:footnoteRef/>
      </w:r>
      <w:r w:rsidRPr="00A86E21">
        <w:rPr>
          <w:rFonts w:ascii="Arial" w:hAnsi="Arial" w:cs="Arial"/>
          <w:sz w:val="18"/>
          <w:szCs w:val="18"/>
        </w:rPr>
        <w:t xml:space="preserve"> </w:t>
      </w:r>
      <w:r w:rsidRPr="00A86E21">
        <w:rPr>
          <w:rFonts w:ascii="Arial" w:hAnsi="Arial" w:cs="Arial"/>
          <w:iCs/>
          <w:sz w:val="18"/>
          <w:szCs w:val="18"/>
        </w:rPr>
        <w:t>61 of 1973.</w:t>
      </w:r>
    </w:p>
  </w:footnote>
  <w:footnote w:id="2">
    <w:p w14:paraId="52FB3A59"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Despite the Act having been repealed and replaced by the Companies Act 71 of 2008, the winding-up of insolvent companies remained regulated under Chapter XIV of the Act.</w:t>
      </w:r>
    </w:p>
  </w:footnote>
  <w:footnote w:id="3">
    <w:p w14:paraId="0AFA37FC"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r w:rsidRPr="00A86E21">
        <w:rPr>
          <w:rFonts w:ascii="Arial" w:hAnsi="Arial" w:cs="Arial"/>
          <w:sz w:val="18"/>
          <w:szCs w:val="18"/>
          <w:lang w:val="en-US"/>
        </w:rPr>
        <w:t xml:space="preserve">See by way of example </w:t>
      </w:r>
      <w:r w:rsidRPr="00A86E21">
        <w:rPr>
          <w:rFonts w:ascii="Arial" w:hAnsi="Arial" w:cs="Arial"/>
          <w:i/>
          <w:iCs/>
          <w:sz w:val="18"/>
          <w:szCs w:val="18"/>
          <w:lang w:val="en-US"/>
        </w:rPr>
        <w:t>King Pie Holdings (Pty) Ltd v King Pie (Pinetown) (Pty) Ltd; King Pie Holdings (Pty) Ltd v King Pie (Durban) (Pty) Ltd</w:t>
      </w:r>
      <w:r w:rsidRPr="00A86E21">
        <w:rPr>
          <w:rFonts w:ascii="Arial" w:hAnsi="Arial" w:cs="Arial"/>
          <w:sz w:val="18"/>
          <w:szCs w:val="18"/>
          <w:lang w:val="en-US"/>
        </w:rPr>
        <w:t xml:space="preserve"> 1998 (4) SA 1240 (D) where the court held that a voluntary winding-up of a company was no bar to the launching of an application for its compulsory winding-up. The court also held that it had a wide discretion to set aside the pending voluntary winding-up process.  On the facts of that case, however, the court found that it was in the interests of the creditors that the voluntary winding-up of each company be set aside and that the provisional (compulsory) winding-up order be confirmed.  See also the confirmation of the findings in </w:t>
      </w:r>
      <w:r w:rsidRPr="00A86E21">
        <w:rPr>
          <w:rFonts w:ascii="Arial" w:hAnsi="Arial" w:cs="Arial"/>
          <w:i/>
          <w:iCs/>
          <w:sz w:val="18"/>
          <w:szCs w:val="18"/>
          <w:lang w:val="en-US"/>
        </w:rPr>
        <w:t>King Pie</w:t>
      </w:r>
      <w:r w:rsidRPr="00A86E21">
        <w:rPr>
          <w:rFonts w:ascii="Arial" w:hAnsi="Arial" w:cs="Arial"/>
          <w:sz w:val="18"/>
          <w:szCs w:val="18"/>
          <w:lang w:val="en-US"/>
        </w:rPr>
        <w:t xml:space="preserve"> by the Supreme Court of Appeal in </w:t>
      </w:r>
      <w:proofErr w:type="spellStart"/>
      <w:r w:rsidRPr="00A86E21">
        <w:rPr>
          <w:rFonts w:ascii="Arial" w:hAnsi="Arial" w:cs="Arial"/>
          <w:i/>
          <w:iCs/>
          <w:sz w:val="18"/>
          <w:szCs w:val="18"/>
          <w:lang w:val="en-US"/>
        </w:rPr>
        <w:t>Afrisam</w:t>
      </w:r>
      <w:proofErr w:type="spellEnd"/>
      <w:r w:rsidRPr="00A86E21">
        <w:rPr>
          <w:rFonts w:ascii="Arial" w:hAnsi="Arial" w:cs="Arial"/>
          <w:i/>
          <w:iCs/>
          <w:sz w:val="18"/>
          <w:szCs w:val="18"/>
          <w:lang w:val="en-US"/>
        </w:rPr>
        <w:t xml:space="preserve"> (SA) (Pty) Ltd v </w:t>
      </w:r>
      <w:proofErr w:type="spellStart"/>
      <w:r w:rsidRPr="00A86E21">
        <w:rPr>
          <w:rFonts w:ascii="Arial" w:hAnsi="Arial" w:cs="Arial"/>
          <w:i/>
          <w:iCs/>
          <w:sz w:val="18"/>
          <w:szCs w:val="18"/>
          <w:lang w:val="en-US"/>
        </w:rPr>
        <w:t>Maleth</w:t>
      </w:r>
      <w:proofErr w:type="spellEnd"/>
      <w:r w:rsidRPr="00A86E21">
        <w:rPr>
          <w:rFonts w:ascii="Arial" w:hAnsi="Arial" w:cs="Arial"/>
          <w:i/>
          <w:iCs/>
          <w:sz w:val="18"/>
          <w:szCs w:val="18"/>
          <w:lang w:val="en-US"/>
        </w:rPr>
        <w:t xml:space="preserve"> Investment Fund (Pty) Ltd</w:t>
      </w:r>
      <w:r w:rsidRPr="00A86E21">
        <w:rPr>
          <w:rFonts w:ascii="Arial" w:hAnsi="Arial" w:cs="Arial"/>
          <w:sz w:val="18"/>
          <w:szCs w:val="18"/>
          <w:lang w:val="en-US"/>
        </w:rPr>
        <w:t xml:space="preserve"> (651/2018) [2019] ZASCA 139 (01 October 2019) at paras [25] to [28].</w:t>
      </w:r>
    </w:p>
  </w:footnote>
  <w:footnote w:id="4">
    <w:p w14:paraId="3C42753F"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Section 348 of the Act provides that the winding-up of a company by the court shall be deemed to commence at the time of presentation of the application for the winding-up.</w:t>
      </w:r>
    </w:p>
  </w:footnote>
  <w:footnote w:id="5">
    <w:p w14:paraId="5C98BC4A"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r w:rsidRPr="00A86E21">
        <w:rPr>
          <w:rFonts w:ascii="Arial" w:hAnsi="Arial" w:cs="Arial"/>
          <w:sz w:val="18"/>
          <w:szCs w:val="18"/>
          <w:lang w:val="en-US"/>
        </w:rPr>
        <w:t>Section 352(1) of the Act provides that the winding-up will commence on the date on which the special resolution for its winding-up is registered by the CIPC (the function of the Registrar of Companies now being fulfilled by the CIPC in terms of s 187(4)(b) of the Companies Act 71 of 2008).</w:t>
      </w:r>
    </w:p>
  </w:footnote>
  <w:footnote w:id="6">
    <w:p w14:paraId="6A7C4AE2" w14:textId="77A89780" w:rsidR="00251107" w:rsidRDefault="00251107">
      <w:pPr>
        <w:pStyle w:val="FootnoteText"/>
      </w:pPr>
      <w:r>
        <w:rPr>
          <w:rStyle w:val="FootnoteReference"/>
        </w:rPr>
        <w:footnoteRef/>
      </w:r>
      <w:r>
        <w:t xml:space="preserve"> </w:t>
      </w:r>
      <w:r w:rsidR="0029246E" w:rsidRPr="00A86E21">
        <w:rPr>
          <w:rFonts w:ascii="Arial" w:hAnsi="Arial" w:cs="Arial"/>
          <w:sz w:val="18"/>
          <w:szCs w:val="18"/>
        </w:rPr>
        <w:t>24 of 1936.</w:t>
      </w:r>
    </w:p>
  </w:footnote>
  <w:footnote w:id="7">
    <w:p w14:paraId="1C519038" w14:textId="77777777" w:rsidR="00D820B3" w:rsidRPr="00D820B3" w:rsidRDefault="00E121E3" w:rsidP="00D820B3">
      <w:pPr>
        <w:pStyle w:val="FootnoteText"/>
        <w:rPr>
          <w:rFonts w:ascii="Arial" w:hAnsi="Arial" w:cs="Arial"/>
          <w:sz w:val="18"/>
          <w:szCs w:val="18"/>
          <w:lang w:val="en-ZA"/>
        </w:rPr>
      </w:pPr>
      <w:r w:rsidRPr="00A86E21">
        <w:rPr>
          <w:rStyle w:val="FootnoteReference"/>
          <w:rFonts w:ascii="Arial" w:hAnsi="Arial" w:cs="Arial"/>
          <w:sz w:val="18"/>
          <w:szCs w:val="18"/>
        </w:rPr>
        <w:footnoteRef/>
      </w:r>
      <w:r w:rsidRPr="00A86E21">
        <w:rPr>
          <w:rFonts w:ascii="Arial" w:hAnsi="Arial" w:cs="Arial"/>
          <w:sz w:val="18"/>
          <w:szCs w:val="18"/>
        </w:rPr>
        <w:t xml:space="preserve"> </w:t>
      </w:r>
      <w:proofErr w:type="spellStart"/>
      <w:r w:rsidRPr="00A86E21">
        <w:rPr>
          <w:rFonts w:ascii="Arial" w:hAnsi="Arial" w:cs="Arial"/>
          <w:i/>
          <w:iCs/>
          <w:sz w:val="18"/>
          <w:szCs w:val="18"/>
          <w:lang w:val="en-US"/>
        </w:rPr>
        <w:t>Afrisam</w:t>
      </w:r>
      <w:proofErr w:type="spellEnd"/>
      <w:r w:rsidRPr="00A86E21">
        <w:rPr>
          <w:rFonts w:ascii="Arial" w:hAnsi="Arial" w:cs="Arial"/>
          <w:i/>
          <w:iCs/>
          <w:sz w:val="18"/>
          <w:szCs w:val="18"/>
          <w:lang w:val="en-US"/>
        </w:rPr>
        <w:t xml:space="preserve"> (SA) (Pty) Ltd v </w:t>
      </w:r>
      <w:proofErr w:type="spellStart"/>
      <w:r w:rsidRPr="00A86E21">
        <w:rPr>
          <w:rFonts w:ascii="Arial" w:hAnsi="Arial" w:cs="Arial"/>
          <w:i/>
          <w:iCs/>
          <w:sz w:val="18"/>
          <w:szCs w:val="18"/>
          <w:lang w:val="en-US"/>
        </w:rPr>
        <w:t>Maleth</w:t>
      </w:r>
      <w:proofErr w:type="spellEnd"/>
      <w:r w:rsidRPr="00A86E21">
        <w:rPr>
          <w:rFonts w:ascii="Arial" w:hAnsi="Arial" w:cs="Arial"/>
          <w:i/>
          <w:iCs/>
          <w:sz w:val="18"/>
          <w:szCs w:val="18"/>
          <w:lang w:val="en-US"/>
        </w:rPr>
        <w:t xml:space="preserve"> Investment Fund (Pty) Ltd</w:t>
      </w:r>
      <w:r w:rsidRPr="00A86E21">
        <w:rPr>
          <w:rFonts w:ascii="Arial" w:hAnsi="Arial" w:cs="Arial"/>
          <w:sz w:val="18"/>
          <w:szCs w:val="18"/>
          <w:lang w:val="en-US"/>
        </w:rPr>
        <w:t xml:space="preserve"> </w:t>
      </w:r>
      <w:r w:rsidR="00D820B3" w:rsidRPr="00D820B3">
        <w:rPr>
          <w:rFonts w:ascii="Arial" w:hAnsi="Arial" w:cs="Arial"/>
          <w:sz w:val="18"/>
          <w:szCs w:val="18"/>
          <w:lang w:val="en-ZA"/>
        </w:rPr>
        <w:t>ZASCA 139</w:t>
      </w:r>
    </w:p>
    <w:p w14:paraId="3D519E70" w14:textId="00167F47" w:rsidR="00E121E3" w:rsidRPr="00A86E21" w:rsidRDefault="00E121E3" w:rsidP="00E121E3">
      <w:pPr>
        <w:pStyle w:val="FootnoteText"/>
        <w:rPr>
          <w:rFonts w:ascii="Arial" w:hAnsi="Arial" w:cs="Arial"/>
          <w:sz w:val="18"/>
          <w:szCs w:val="18"/>
          <w:lang w:val="en-US"/>
        </w:rPr>
      </w:pPr>
      <w:r w:rsidRPr="00A86E21">
        <w:rPr>
          <w:rFonts w:ascii="Arial" w:hAnsi="Arial" w:cs="Arial"/>
          <w:sz w:val="18"/>
          <w:szCs w:val="18"/>
          <w:lang w:val="en-US"/>
        </w:rPr>
        <w:t>(supra) at para [21]</w:t>
      </w:r>
    </w:p>
  </w:footnote>
  <w:footnote w:id="8">
    <w:p w14:paraId="7F37FC76"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proofErr w:type="spellStart"/>
      <w:r w:rsidRPr="00A86E21">
        <w:rPr>
          <w:rFonts w:ascii="Arial" w:hAnsi="Arial" w:cs="Arial"/>
          <w:i/>
          <w:iCs/>
          <w:sz w:val="18"/>
          <w:szCs w:val="18"/>
          <w:lang w:val="en-US"/>
        </w:rPr>
        <w:t>Afrisam</w:t>
      </w:r>
      <w:proofErr w:type="spellEnd"/>
      <w:r w:rsidRPr="00A86E21">
        <w:rPr>
          <w:rFonts w:ascii="Arial" w:hAnsi="Arial" w:cs="Arial"/>
          <w:i/>
          <w:iCs/>
          <w:sz w:val="18"/>
          <w:szCs w:val="18"/>
          <w:lang w:val="en-US"/>
        </w:rPr>
        <w:t xml:space="preserve"> (SA) (Pty) Ltd v </w:t>
      </w:r>
      <w:proofErr w:type="spellStart"/>
      <w:r w:rsidRPr="00A86E21">
        <w:rPr>
          <w:rFonts w:ascii="Arial" w:hAnsi="Arial" w:cs="Arial"/>
          <w:i/>
          <w:iCs/>
          <w:sz w:val="18"/>
          <w:szCs w:val="18"/>
          <w:lang w:val="en-US"/>
        </w:rPr>
        <w:t>Maleth</w:t>
      </w:r>
      <w:proofErr w:type="spellEnd"/>
      <w:r w:rsidRPr="00A86E21">
        <w:rPr>
          <w:rFonts w:ascii="Arial" w:hAnsi="Arial" w:cs="Arial"/>
          <w:i/>
          <w:iCs/>
          <w:sz w:val="18"/>
          <w:szCs w:val="18"/>
          <w:lang w:val="en-US"/>
        </w:rPr>
        <w:t xml:space="preserve"> Investment Fund (Pty) Ltd</w:t>
      </w:r>
      <w:r w:rsidRPr="00A86E21">
        <w:rPr>
          <w:rFonts w:ascii="Arial" w:hAnsi="Arial" w:cs="Arial"/>
          <w:sz w:val="18"/>
          <w:szCs w:val="18"/>
          <w:lang w:val="en-US"/>
        </w:rPr>
        <w:t xml:space="preserve"> (supra) at para [29]; see also </w:t>
      </w:r>
      <w:r w:rsidRPr="00A86E21">
        <w:rPr>
          <w:rFonts w:ascii="Arial" w:hAnsi="Arial" w:cs="Arial"/>
          <w:i/>
          <w:iCs/>
          <w:sz w:val="18"/>
          <w:szCs w:val="18"/>
          <w:lang w:val="en-US"/>
        </w:rPr>
        <w:t>King Pie Holdings (Pty) Ltd v King Pie (Pinetown) (Pty) Ltd; King Pie Holdings (Pty) Ltd v King Pie (Durban) (Pty) Ltd</w:t>
      </w:r>
      <w:r w:rsidRPr="00A86E21">
        <w:rPr>
          <w:rFonts w:ascii="Arial" w:hAnsi="Arial" w:cs="Arial"/>
          <w:sz w:val="18"/>
          <w:szCs w:val="18"/>
          <w:lang w:val="en-US"/>
        </w:rPr>
        <w:t xml:space="preserve"> (supra) at 1250C-E</w:t>
      </w:r>
    </w:p>
  </w:footnote>
  <w:footnote w:id="9">
    <w:p w14:paraId="21DD298A"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proofErr w:type="spellStart"/>
      <w:r w:rsidRPr="00A86E21">
        <w:rPr>
          <w:rFonts w:ascii="Arial" w:hAnsi="Arial" w:cs="Arial"/>
          <w:i/>
          <w:iCs/>
          <w:sz w:val="18"/>
          <w:szCs w:val="18"/>
          <w:lang w:val="en-US"/>
        </w:rPr>
        <w:t>Afrisam</w:t>
      </w:r>
      <w:proofErr w:type="spellEnd"/>
      <w:r w:rsidRPr="00A86E21">
        <w:rPr>
          <w:rFonts w:ascii="Arial" w:hAnsi="Arial" w:cs="Arial"/>
          <w:i/>
          <w:iCs/>
          <w:sz w:val="18"/>
          <w:szCs w:val="18"/>
          <w:lang w:val="en-US"/>
        </w:rPr>
        <w:t xml:space="preserve"> (SA) (Pty) Ltd v </w:t>
      </w:r>
      <w:proofErr w:type="spellStart"/>
      <w:r w:rsidRPr="00A86E21">
        <w:rPr>
          <w:rFonts w:ascii="Arial" w:hAnsi="Arial" w:cs="Arial"/>
          <w:i/>
          <w:iCs/>
          <w:sz w:val="18"/>
          <w:szCs w:val="18"/>
          <w:lang w:val="en-US"/>
        </w:rPr>
        <w:t>Maleth</w:t>
      </w:r>
      <w:proofErr w:type="spellEnd"/>
      <w:r w:rsidRPr="00A86E21">
        <w:rPr>
          <w:rFonts w:ascii="Arial" w:hAnsi="Arial" w:cs="Arial"/>
          <w:i/>
          <w:iCs/>
          <w:sz w:val="18"/>
          <w:szCs w:val="18"/>
          <w:lang w:val="en-US"/>
        </w:rPr>
        <w:t xml:space="preserve"> Investment Fund (Pty) Ltd</w:t>
      </w:r>
      <w:r w:rsidRPr="00A86E21">
        <w:rPr>
          <w:rFonts w:ascii="Arial" w:hAnsi="Arial" w:cs="Arial"/>
          <w:sz w:val="18"/>
          <w:szCs w:val="18"/>
          <w:lang w:val="en-US"/>
        </w:rPr>
        <w:t xml:space="preserve"> (supra) at para [30]</w:t>
      </w:r>
    </w:p>
  </w:footnote>
  <w:footnote w:id="10">
    <w:p w14:paraId="3C8F518C"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proofErr w:type="spellStart"/>
      <w:r w:rsidRPr="00A86E21">
        <w:rPr>
          <w:rFonts w:ascii="Arial" w:hAnsi="Arial" w:cs="Arial"/>
          <w:i/>
          <w:iCs/>
          <w:sz w:val="18"/>
          <w:szCs w:val="18"/>
          <w:lang w:val="en-US"/>
        </w:rPr>
        <w:t>Afrisam</w:t>
      </w:r>
      <w:proofErr w:type="spellEnd"/>
      <w:r w:rsidRPr="00A86E21">
        <w:rPr>
          <w:rFonts w:ascii="Arial" w:hAnsi="Arial" w:cs="Arial"/>
          <w:i/>
          <w:iCs/>
          <w:sz w:val="18"/>
          <w:szCs w:val="18"/>
          <w:lang w:val="en-US"/>
        </w:rPr>
        <w:t xml:space="preserve"> (SA) (Pty) Ltd v </w:t>
      </w:r>
      <w:proofErr w:type="spellStart"/>
      <w:r w:rsidRPr="00A86E21">
        <w:rPr>
          <w:rFonts w:ascii="Arial" w:hAnsi="Arial" w:cs="Arial"/>
          <w:i/>
          <w:iCs/>
          <w:sz w:val="18"/>
          <w:szCs w:val="18"/>
          <w:lang w:val="en-US"/>
        </w:rPr>
        <w:t>Maleth</w:t>
      </w:r>
      <w:proofErr w:type="spellEnd"/>
      <w:r w:rsidRPr="00A86E21">
        <w:rPr>
          <w:rFonts w:ascii="Arial" w:hAnsi="Arial" w:cs="Arial"/>
          <w:i/>
          <w:iCs/>
          <w:sz w:val="18"/>
          <w:szCs w:val="18"/>
          <w:lang w:val="en-US"/>
        </w:rPr>
        <w:t xml:space="preserve"> Investment Fund (Pty) Ltd</w:t>
      </w:r>
      <w:r w:rsidRPr="00A86E21">
        <w:rPr>
          <w:rFonts w:ascii="Arial" w:hAnsi="Arial" w:cs="Arial"/>
          <w:sz w:val="18"/>
          <w:szCs w:val="18"/>
          <w:lang w:val="en-US"/>
        </w:rPr>
        <w:t xml:space="preserve"> (supra) at para [31]</w:t>
      </w:r>
    </w:p>
  </w:footnote>
  <w:footnote w:id="11">
    <w:p w14:paraId="61384D76"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r w:rsidRPr="00A86E21">
        <w:rPr>
          <w:rFonts w:ascii="Arial" w:hAnsi="Arial" w:cs="Arial"/>
          <w:i/>
          <w:iCs/>
          <w:sz w:val="18"/>
          <w:szCs w:val="18"/>
          <w:lang w:val="en-US"/>
        </w:rPr>
        <w:t>King Pie Holdings (Pty) Ltd v King Pie (Pinetown) (Pty) Ltd; King Pie Holdings (Pty) Ltd v King Pie (Durban) (Pty) Ltd</w:t>
      </w:r>
      <w:r w:rsidRPr="00A86E21">
        <w:rPr>
          <w:rFonts w:ascii="Arial" w:hAnsi="Arial" w:cs="Arial"/>
          <w:sz w:val="18"/>
          <w:szCs w:val="18"/>
          <w:lang w:val="en-US"/>
        </w:rPr>
        <w:t xml:space="preserve"> (supra) at 1250C-E</w:t>
      </w:r>
    </w:p>
  </w:footnote>
  <w:footnote w:id="12">
    <w:p w14:paraId="48008D65"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proofErr w:type="spellStart"/>
      <w:r w:rsidRPr="00A86E21">
        <w:rPr>
          <w:rFonts w:ascii="Arial" w:hAnsi="Arial" w:cs="Arial"/>
          <w:i/>
          <w:iCs/>
          <w:sz w:val="18"/>
          <w:szCs w:val="18"/>
          <w:lang w:val="en-US"/>
        </w:rPr>
        <w:t>Afrisam</w:t>
      </w:r>
      <w:proofErr w:type="spellEnd"/>
      <w:r w:rsidRPr="00A86E21">
        <w:rPr>
          <w:rFonts w:ascii="Arial" w:hAnsi="Arial" w:cs="Arial"/>
          <w:i/>
          <w:iCs/>
          <w:sz w:val="18"/>
          <w:szCs w:val="18"/>
          <w:lang w:val="en-US"/>
        </w:rPr>
        <w:t xml:space="preserve"> (SA) (Pty) Ltd v </w:t>
      </w:r>
      <w:proofErr w:type="spellStart"/>
      <w:r w:rsidRPr="00A86E21">
        <w:rPr>
          <w:rFonts w:ascii="Arial" w:hAnsi="Arial" w:cs="Arial"/>
          <w:i/>
          <w:iCs/>
          <w:sz w:val="18"/>
          <w:szCs w:val="18"/>
          <w:lang w:val="en-US"/>
        </w:rPr>
        <w:t>Maleth</w:t>
      </w:r>
      <w:proofErr w:type="spellEnd"/>
      <w:r w:rsidRPr="00A86E21">
        <w:rPr>
          <w:rFonts w:ascii="Arial" w:hAnsi="Arial" w:cs="Arial"/>
          <w:i/>
          <w:iCs/>
          <w:sz w:val="18"/>
          <w:szCs w:val="18"/>
          <w:lang w:val="en-US"/>
        </w:rPr>
        <w:t xml:space="preserve"> Investment Fund (Pty) Ltd</w:t>
      </w:r>
      <w:r w:rsidRPr="00A86E21">
        <w:rPr>
          <w:rFonts w:ascii="Arial" w:hAnsi="Arial" w:cs="Arial"/>
          <w:sz w:val="18"/>
          <w:szCs w:val="18"/>
          <w:lang w:val="en-US"/>
        </w:rPr>
        <w:t xml:space="preserve"> (supra) at para [29]</w:t>
      </w:r>
    </w:p>
  </w:footnote>
  <w:footnote w:id="13">
    <w:p w14:paraId="583D3A40"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proofErr w:type="spellStart"/>
      <w:r w:rsidRPr="00A86E21">
        <w:rPr>
          <w:rFonts w:ascii="Arial" w:hAnsi="Arial" w:cs="Arial"/>
          <w:i/>
          <w:iCs/>
          <w:sz w:val="18"/>
          <w:szCs w:val="18"/>
          <w:lang w:val="en-US"/>
        </w:rPr>
        <w:t>Afrisam</w:t>
      </w:r>
      <w:proofErr w:type="spellEnd"/>
      <w:r w:rsidRPr="00A86E21">
        <w:rPr>
          <w:rFonts w:ascii="Arial" w:hAnsi="Arial" w:cs="Arial"/>
          <w:i/>
          <w:iCs/>
          <w:sz w:val="18"/>
          <w:szCs w:val="18"/>
          <w:lang w:val="en-US"/>
        </w:rPr>
        <w:t xml:space="preserve"> (SA) (Pty) Ltd v </w:t>
      </w:r>
      <w:proofErr w:type="spellStart"/>
      <w:r w:rsidRPr="00A86E21">
        <w:rPr>
          <w:rFonts w:ascii="Arial" w:hAnsi="Arial" w:cs="Arial"/>
          <w:i/>
          <w:iCs/>
          <w:sz w:val="18"/>
          <w:szCs w:val="18"/>
          <w:lang w:val="en-US"/>
        </w:rPr>
        <w:t>Maleth</w:t>
      </w:r>
      <w:proofErr w:type="spellEnd"/>
      <w:r w:rsidRPr="00A86E21">
        <w:rPr>
          <w:rFonts w:ascii="Arial" w:hAnsi="Arial" w:cs="Arial"/>
          <w:i/>
          <w:iCs/>
          <w:sz w:val="18"/>
          <w:szCs w:val="18"/>
          <w:lang w:val="en-US"/>
        </w:rPr>
        <w:t xml:space="preserve"> Investment Fund (Pty) Ltd</w:t>
      </w:r>
      <w:r w:rsidRPr="00A86E21">
        <w:rPr>
          <w:rFonts w:ascii="Arial" w:hAnsi="Arial" w:cs="Arial"/>
          <w:sz w:val="18"/>
          <w:szCs w:val="18"/>
          <w:lang w:val="en-US"/>
        </w:rPr>
        <w:t xml:space="preserve"> (supra) at para [31]</w:t>
      </w:r>
    </w:p>
  </w:footnote>
  <w:footnote w:id="14">
    <w:p w14:paraId="3FF08BEE"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r w:rsidRPr="00A86E21">
        <w:rPr>
          <w:rFonts w:ascii="Arial" w:hAnsi="Arial" w:cs="Arial"/>
          <w:i/>
          <w:iCs/>
          <w:sz w:val="18"/>
          <w:szCs w:val="18"/>
        </w:rPr>
        <w:t xml:space="preserve">SA Riding for the Disabled Association </w:t>
      </w:r>
      <w:proofErr w:type="gramStart"/>
      <w:r w:rsidRPr="00A86E21">
        <w:rPr>
          <w:rFonts w:ascii="Arial" w:hAnsi="Arial" w:cs="Arial"/>
          <w:i/>
          <w:iCs/>
          <w:sz w:val="18"/>
          <w:szCs w:val="18"/>
        </w:rPr>
        <w:t>v</w:t>
      </w:r>
      <w:proofErr w:type="gramEnd"/>
      <w:r w:rsidRPr="00A86E21">
        <w:rPr>
          <w:rFonts w:ascii="Arial" w:hAnsi="Arial" w:cs="Arial"/>
          <w:i/>
          <w:iCs/>
          <w:sz w:val="18"/>
          <w:szCs w:val="18"/>
        </w:rPr>
        <w:t xml:space="preserve"> Regional Land Claims Commissioner</w:t>
      </w:r>
      <w:r w:rsidRPr="00A86E21">
        <w:rPr>
          <w:rFonts w:ascii="Arial" w:hAnsi="Arial" w:cs="Arial"/>
          <w:sz w:val="18"/>
          <w:szCs w:val="18"/>
        </w:rPr>
        <w:t xml:space="preserve"> 2017 (5) SA 1 (CC) at para [11] and </w:t>
      </w:r>
      <w:proofErr w:type="spellStart"/>
      <w:r w:rsidRPr="00A86E21">
        <w:rPr>
          <w:rFonts w:ascii="Arial" w:hAnsi="Arial" w:cs="Arial"/>
          <w:i/>
          <w:iCs/>
          <w:sz w:val="18"/>
          <w:szCs w:val="18"/>
        </w:rPr>
        <w:t>Peermont</w:t>
      </w:r>
      <w:proofErr w:type="spellEnd"/>
      <w:r w:rsidRPr="00A86E21">
        <w:rPr>
          <w:rFonts w:ascii="Arial" w:hAnsi="Arial" w:cs="Arial"/>
          <w:i/>
          <w:iCs/>
          <w:sz w:val="18"/>
          <w:szCs w:val="18"/>
        </w:rPr>
        <w:t xml:space="preserve"> Global (KZN) (Pty) Ltd v </w:t>
      </w:r>
      <w:proofErr w:type="spellStart"/>
      <w:r w:rsidRPr="00A86E21">
        <w:rPr>
          <w:rFonts w:ascii="Arial" w:hAnsi="Arial" w:cs="Arial"/>
          <w:i/>
          <w:iCs/>
          <w:sz w:val="18"/>
          <w:szCs w:val="18"/>
        </w:rPr>
        <w:t>Afrisun</w:t>
      </w:r>
      <w:proofErr w:type="spellEnd"/>
      <w:r w:rsidRPr="00A86E21">
        <w:rPr>
          <w:rFonts w:ascii="Arial" w:hAnsi="Arial" w:cs="Arial"/>
          <w:i/>
          <w:iCs/>
          <w:sz w:val="18"/>
          <w:szCs w:val="18"/>
        </w:rPr>
        <w:t xml:space="preserve"> KZN (Pty) Ltd t/a </w:t>
      </w:r>
      <w:proofErr w:type="spellStart"/>
      <w:r w:rsidRPr="00A86E21">
        <w:rPr>
          <w:rFonts w:ascii="Arial" w:hAnsi="Arial" w:cs="Arial"/>
          <w:i/>
          <w:iCs/>
          <w:sz w:val="18"/>
          <w:szCs w:val="18"/>
        </w:rPr>
        <w:t>Sibaya</w:t>
      </w:r>
      <w:proofErr w:type="spellEnd"/>
      <w:r w:rsidRPr="00A86E21">
        <w:rPr>
          <w:rFonts w:ascii="Arial" w:hAnsi="Arial" w:cs="Arial"/>
          <w:i/>
          <w:iCs/>
          <w:sz w:val="18"/>
          <w:szCs w:val="18"/>
        </w:rPr>
        <w:t xml:space="preserve"> Casino and Entertainment Kingdom</w:t>
      </w:r>
      <w:r w:rsidRPr="00A86E21">
        <w:rPr>
          <w:rFonts w:ascii="Arial" w:hAnsi="Arial" w:cs="Arial"/>
          <w:sz w:val="18"/>
          <w:szCs w:val="18"/>
        </w:rPr>
        <w:t xml:space="preserve"> [2020] 4 All SA 226 (KZP) at para [18].</w:t>
      </w:r>
    </w:p>
  </w:footnote>
  <w:footnote w:id="15">
    <w:p w14:paraId="0A350BC5"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w:t>
      </w:r>
      <w:r w:rsidRPr="00A86E21">
        <w:rPr>
          <w:rFonts w:ascii="Arial" w:hAnsi="Arial" w:cs="Arial"/>
          <w:i/>
          <w:iCs/>
          <w:sz w:val="18"/>
          <w:szCs w:val="18"/>
        </w:rPr>
        <w:t xml:space="preserve">SA Riding for the Disabled Association </w:t>
      </w:r>
      <w:proofErr w:type="gramStart"/>
      <w:r w:rsidRPr="00A86E21">
        <w:rPr>
          <w:rFonts w:ascii="Arial" w:hAnsi="Arial" w:cs="Arial"/>
          <w:i/>
          <w:iCs/>
          <w:sz w:val="18"/>
          <w:szCs w:val="18"/>
        </w:rPr>
        <w:t>v</w:t>
      </w:r>
      <w:proofErr w:type="gramEnd"/>
      <w:r w:rsidRPr="00A86E21">
        <w:rPr>
          <w:rFonts w:ascii="Arial" w:hAnsi="Arial" w:cs="Arial"/>
          <w:i/>
          <w:iCs/>
          <w:sz w:val="18"/>
          <w:szCs w:val="18"/>
        </w:rPr>
        <w:t xml:space="preserve"> Regional Land Claims Commissioner</w:t>
      </w:r>
      <w:r w:rsidRPr="00A86E21">
        <w:rPr>
          <w:rFonts w:ascii="Arial" w:hAnsi="Arial" w:cs="Arial"/>
          <w:sz w:val="18"/>
          <w:szCs w:val="18"/>
        </w:rPr>
        <w:t xml:space="preserve"> (supra) at para [10]</w:t>
      </w:r>
    </w:p>
  </w:footnote>
  <w:footnote w:id="16">
    <w:p w14:paraId="30114408" w14:textId="77777777" w:rsidR="00E121E3" w:rsidRPr="00A86E21" w:rsidRDefault="00E121E3" w:rsidP="00E121E3">
      <w:pPr>
        <w:pStyle w:val="FootnoteText"/>
        <w:rPr>
          <w:rFonts w:ascii="Arial" w:hAnsi="Arial" w:cs="Arial"/>
          <w:sz w:val="18"/>
          <w:szCs w:val="18"/>
          <w:lang w:val="en-US"/>
        </w:rPr>
      </w:pPr>
      <w:r w:rsidRPr="00A86E21">
        <w:rPr>
          <w:rStyle w:val="FootnoteReference"/>
          <w:rFonts w:ascii="Arial" w:hAnsi="Arial" w:cs="Arial"/>
          <w:sz w:val="18"/>
          <w:szCs w:val="18"/>
        </w:rPr>
        <w:footnoteRef/>
      </w:r>
      <w:r w:rsidRPr="00A86E21">
        <w:rPr>
          <w:rFonts w:ascii="Arial" w:hAnsi="Arial" w:cs="Arial"/>
          <w:sz w:val="18"/>
          <w:szCs w:val="18"/>
        </w:rPr>
        <w:t xml:space="preserve"> 2011 (5) SA 257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71A057C"/>
    <w:multiLevelType w:val="hybridMultilevel"/>
    <w:tmpl w:val="BC0801C8"/>
    <w:lvl w:ilvl="0" w:tplc="17E656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EB724F"/>
    <w:multiLevelType w:val="hybridMultilevel"/>
    <w:tmpl w:val="F1723B58"/>
    <w:lvl w:ilvl="0" w:tplc="0DDAAE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551170B"/>
    <w:multiLevelType w:val="hybridMultilevel"/>
    <w:tmpl w:val="8020B67A"/>
    <w:lvl w:ilvl="0" w:tplc="17E656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75"/>
    <w:rsid w:val="001C3576"/>
    <w:rsid w:val="002379DD"/>
    <w:rsid w:val="00251107"/>
    <w:rsid w:val="002630B5"/>
    <w:rsid w:val="00264A43"/>
    <w:rsid w:val="0029246E"/>
    <w:rsid w:val="002A2849"/>
    <w:rsid w:val="002C131F"/>
    <w:rsid w:val="003B4D5C"/>
    <w:rsid w:val="004C26D4"/>
    <w:rsid w:val="00596C03"/>
    <w:rsid w:val="0060768A"/>
    <w:rsid w:val="006146B8"/>
    <w:rsid w:val="006325A3"/>
    <w:rsid w:val="00635E1E"/>
    <w:rsid w:val="006A77D3"/>
    <w:rsid w:val="00707B09"/>
    <w:rsid w:val="00710ED5"/>
    <w:rsid w:val="007C2C4C"/>
    <w:rsid w:val="00801D2A"/>
    <w:rsid w:val="00822E8D"/>
    <w:rsid w:val="00826D45"/>
    <w:rsid w:val="0083108A"/>
    <w:rsid w:val="008A1103"/>
    <w:rsid w:val="008B5371"/>
    <w:rsid w:val="00953DEC"/>
    <w:rsid w:val="00975616"/>
    <w:rsid w:val="009B4F77"/>
    <w:rsid w:val="009F6000"/>
    <w:rsid w:val="00A03275"/>
    <w:rsid w:val="00A86E21"/>
    <w:rsid w:val="00BC48C2"/>
    <w:rsid w:val="00BD37C0"/>
    <w:rsid w:val="00C344A5"/>
    <w:rsid w:val="00D11177"/>
    <w:rsid w:val="00D736CF"/>
    <w:rsid w:val="00D820B3"/>
    <w:rsid w:val="00DF2C88"/>
    <w:rsid w:val="00E121E3"/>
    <w:rsid w:val="00E210FF"/>
    <w:rsid w:val="00E25246"/>
    <w:rsid w:val="00E51DD6"/>
    <w:rsid w:val="00ED1698"/>
    <w:rsid w:val="00F612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B09E"/>
  <w15:chartTrackingRefBased/>
  <w15:docId w15:val="{1AB15400-8075-4EDD-A3E2-438DB6B7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71"/>
    <w:pPr>
      <w:spacing w:after="0" w:line="240" w:lineRule="auto"/>
    </w:pPr>
    <w:rPr>
      <w:lang w:val="en-GB"/>
    </w:rPr>
  </w:style>
  <w:style w:type="paragraph" w:styleId="Heading1">
    <w:name w:val="heading 1"/>
    <w:basedOn w:val="Normal"/>
    <w:next w:val="Normal"/>
    <w:link w:val="Heading1Char"/>
    <w:uiPriority w:val="9"/>
    <w:qFormat/>
    <w:rsid w:val="00D82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21E3"/>
    <w:rPr>
      <w:sz w:val="20"/>
      <w:szCs w:val="20"/>
    </w:rPr>
  </w:style>
  <w:style w:type="character" w:customStyle="1" w:styleId="FootnoteTextChar">
    <w:name w:val="Footnote Text Char"/>
    <w:basedOn w:val="DefaultParagraphFont"/>
    <w:link w:val="FootnoteText"/>
    <w:uiPriority w:val="99"/>
    <w:semiHidden/>
    <w:rsid w:val="00E121E3"/>
    <w:rPr>
      <w:sz w:val="20"/>
      <w:szCs w:val="20"/>
      <w:lang w:val="en-GB"/>
    </w:rPr>
  </w:style>
  <w:style w:type="character" w:styleId="FootnoteReference">
    <w:name w:val="footnote reference"/>
    <w:rsid w:val="00E121E3"/>
    <w:rPr>
      <w:vertAlign w:val="superscript"/>
    </w:rPr>
  </w:style>
  <w:style w:type="paragraph" w:styleId="Revision">
    <w:name w:val="Revision"/>
    <w:hidden/>
    <w:uiPriority w:val="99"/>
    <w:semiHidden/>
    <w:rsid w:val="00E121E3"/>
    <w:pPr>
      <w:spacing w:after="0" w:line="240" w:lineRule="auto"/>
    </w:pPr>
    <w:rPr>
      <w:lang w:val="en-GB"/>
    </w:rPr>
  </w:style>
  <w:style w:type="paragraph" w:styleId="ListParagraph">
    <w:name w:val="List Paragraph"/>
    <w:basedOn w:val="Normal"/>
    <w:uiPriority w:val="34"/>
    <w:qFormat/>
    <w:rsid w:val="00710ED5"/>
    <w:pPr>
      <w:ind w:left="720"/>
      <w:contextualSpacing/>
    </w:pPr>
  </w:style>
  <w:style w:type="character" w:styleId="CommentReference">
    <w:name w:val="annotation reference"/>
    <w:basedOn w:val="DefaultParagraphFont"/>
    <w:uiPriority w:val="99"/>
    <w:semiHidden/>
    <w:unhideWhenUsed/>
    <w:rsid w:val="00ED1698"/>
    <w:rPr>
      <w:sz w:val="16"/>
      <w:szCs w:val="16"/>
    </w:rPr>
  </w:style>
  <w:style w:type="paragraph" w:styleId="CommentText">
    <w:name w:val="annotation text"/>
    <w:basedOn w:val="Normal"/>
    <w:link w:val="CommentTextChar"/>
    <w:uiPriority w:val="99"/>
    <w:unhideWhenUsed/>
    <w:rsid w:val="00ED1698"/>
    <w:rPr>
      <w:sz w:val="20"/>
      <w:szCs w:val="20"/>
    </w:rPr>
  </w:style>
  <w:style w:type="character" w:customStyle="1" w:styleId="CommentTextChar">
    <w:name w:val="Comment Text Char"/>
    <w:basedOn w:val="DefaultParagraphFont"/>
    <w:link w:val="CommentText"/>
    <w:uiPriority w:val="99"/>
    <w:rsid w:val="00ED1698"/>
    <w:rPr>
      <w:sz w:val="20"/>
      <w:szCs w:val="20"/>
      <w:lang w:val="en-GB"/>
    </w:rPr>
  </w:style>
  <w:style w:type="paragraph" w:styleId="CommentSubject">
    <w:name w:val="annotation subject"/>
    <w:basedOn w:val="CommentText"/>
    <w:next w:val="CommentText"/>
    <w:link w:val="CommentSubjectChar"/>
    <w:uiPriority w:val="99"/>
    <w:semiHidden/>
    <w:unhideWhenUsed/>
    <w:rsid w:val="00ED1698"/>
    <w:rPr>
      <w:b/>
      <w:bCs/>
    </w:rPr>
  </w:style>
  <w:style w:type="character" w:customStyle="1" w:styleId="CommentSubjectChar">
    <w:name w:val="Comment Subject Char"/>
    <w:basedOn w:val="CommentTextChar"/>
    <w:link w:val="CommentSubject"/>
    <w:uiPriority w:val="99"/>
    <w:semiHidden/>
    <w:rsid w:val="00ED1698"/>
    <w:rPr>
      <w:b/>
      <w:bCs/>
      <w:sz w:val="20"/>
      <w:szCs w:val="20"/>
      <w:lang w:val="en-GB"/>
    </w:rPr>
  </w:style>
  <w:style w:type="paragraph" w:styleId="Header">
    <w:name w:val="header"/>
    <w:basedOn w:val="Normal"/>
    <w:link w:val="HeaderChar"/>
    <w:uiPriority w:val="99"/>
    <w:unhideWhenUsed/>
    <w:rsid w:val="0060768A"/>
    <w:pPr>
      <w:tabs>
        <w:tab w:val="center" w:pos="4513"/>
        <w:tab w:val="right" w:pos="9026"/>
      </w:tabs>
    </w:pPr>
  </w:style>
  <w:style w:type="character" w:customStyle="1" w:styleId="HeaderChar">
    <w:name w:val="Header Char"/>
    <w:basedOn w:val="DefaultParagraphFont"/>
    <w:link w:val="Header"/>
    <w:uiPriority w:val="99"/>
    <w:rsid w:val="0060768A"/>
    <w:rPr>
      <w:lang w:val="en-GB"/>
    </w:rPr>
  </w:style>
  <w:style w:type="paragraph" w:styleId="Footer">
    <w:name w:val="footer"/>
    <w:basedOn w:val="Normal"/>
    <w:link w:val="FooterChar"/>
    <w:uiPriority w:val="99"/>
    <w:unhideWhenUsed/>
    <w:rsid w:val="0060768A"/>
    <w:pPr>
      <w:tabs>
        <w:tab w:val="center" w:pos="4513"/>
        <w:tab w:val="right" w:pos="9026"/>
      </w:tabs>
    </w:pPr>
  </w:style>
  <w:style w:type="character" w:customStyle="1" w:styleId="FooterChar">
    <w:name w:val="Footer Char"/>
    <w:basedOn w:val="DefaultParagraphFont"/>
    <w:link w:val="Footer"/>
    <w:uiPriority w:val="99"/>
    <w:rsid w:val="0060768A"/>
    <w:rPr>
      <w:lang w:val="en-GB"/>
    </w:rPr>
  </w:style>
  <w:style w:type="character" w:customStyle="1" w:styleId="Heading1Char">
    <w:name w:val="Heading 1 Char"/>
    <w:basedOn w:val="DefaultParagraphFont"/>
    <w:link w:val="Heading1"/>
    <w:uiPriority w:val="9"/>
    <w:rsid w:val="00D820B3"/>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ophi\Desktop\WORK\LA%20Grange\Enyu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D435-2AF4-470E-9265-BB7C64A0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Enyuka</Template>
  <TotalTime>4</TotalTime>
  <Pages>11</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Lundi Dyasophi</dc:creator>
  <cp:keywords/>
  <dc:description/>
  <cp:lastModifiedBy>Mary Bruce</cp:lastModifiedBy>
  <cp:revision>3</cp:revision>
  <cp:lastPrinted>2023-10-31T02:44:00Z</cp:lastPrinted>
  <dcterms:created xsi:type="dcterms:W3CDTF">2023-11-01T11:04:00Z</dcterms:created>
  <dcterms:modified xsi:type="dcterms:W3CDTF">2023-11-02T11:05:00Z</dcterms:modified>
</cp:coreProperties>
</file>