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68B7" w14:textId="77777777" w:rsidR="00C43E7F" w:rsidRPr="00591FD0" w:rsidRDefault="00C43E7F" w:rsidP="00C43E7F">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591FD0">
        <w:rPr>
          <w:rFonts w:ascii="Arial" w:eastAsia="Times New Roman" w:hAnsi="Arial" w:cs="Arial"/>
          <w:b/>
          <w:noProof/>
          <w:sz w:val="24"/>
          <w:szCs w:val="24"/>
          <w:lang w:eastAsia="en-ZA"/>
        </w:rPr>
        <w:t>REPUBLIC OF SOUTH AFRICA</w:t>
      </w:r>
    </w:p>
    <w:p w14:paraId="178C2D1E" w14:textId="77777777" w:rsidR="00C43E7F" w:rsidRPr="00591FD0" w:rsidRDefault="00C43E7F" w:rsidP="00C43E7F">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77AB9C74" w14:textId="77777777" w:rsidR="00C43E7F" w:rsidRPr="00591FD0" w:rsidRDefault="00C43E7F" w:rsidP="00C43E7F">
      <w:pPr>
        <w:tabs>
          <w:tab w:val="left" w:pos="2342"/>
          <w:tab w:val="center" w:pos="4513"/>
        </w:tabs>
        <w:spacing w:after="0" w:line="240" w:lineRule="auto"/>
        <w:jc w:val="center"/>
        <w:outlineLvl w:val="0"/>
        <w:rPr>
          <w:rFonts w:ascii="Arial" w:eastAsia="Times New Roman" w:hAnsi="Arial" w:cs="Arial"/>
          <w:sz w:val="24"/>
          <w:szCs w:val="24"/>
        </w:rPr>
      </w:pPr>
      <w:r w:rsidRPr="00591FD0">
        <w:rPr>
          <w:rFonts w:ascii="Arial" w:eastAsia="Times New Roman" w:hAnsi="Arial" w:cs="Arial"/>
          <w:noProof/>
          <w:sz w:val="24"/>
          <w:szCs w:val="24"/>
          <w:lang w:eastAsia="en-ZA"/>
        </w:rPr>
        <w:drawing>
          <wp:inline distT="0" distB="0" distL="0" distR="0" wp14:anchorId="3E72B3F5" wp14:editId="516E820A">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0D9E1610" w14:textId="77777777" w:rsidR="00C43E7F" w:rsidRPr="00591FD0" w:rsidRDefault="00C43E7F" w:rsidP="00C43E7F">
      <w:pPr>
        <w:spacing w:after="0" w:line="240" w:lineRule="auto"/>
        <w:jc w:val="center"/>
        <w:outlineLvl w:val="0"/>
        <w:rPr>
          <w:rFonts w:ascii="Arial" w:eastAsia="Times New Roman" w:hAnsi="Arial" w:cs="Arial"/>
          <w:b/>
          <w:sz w:val="24"/>
          <w:szCs w:val="24"/>
        </w:rPr>
      </w:pPr>
    </w:p>
    <w:p w14:paraId="04C12A79" w14:textId="77777777" w:rsidR="00C43E7F" w:rsidRPr="00591FD0" w:rsidRDefault="00C43E7F" w:rsidP="00C43E7F">
      <w:pPr>
        <w:spacing w:after="0" w:line="240" w:lineRule="auto"/>
        <w:jc w:val="center"/>
        <w:outlineLvl w:val="0"/>
        <w:rPr>
          <w:rFonts w:ascii="Arial" w:eastAsia="Times New Roman" w:hAnsi="Arial" w:cs="Arial"/>
          <w:b/>
          <w:sz w:val="24"/>
          <w:szCs w:val="24"/>
        </w:rPr>
      </w:pPr>
      <w:r w:rsidRPr="00591FD0">
        <w:rPr>
          <w:rFonts w:ascii="Arial" w:eastAsia="Times New Roman" w:hAnsi="Arial" w:cs="Arial"/>
          <w:b/>
          <w:sz w:val="24"/>
          <w:szCs w:val="24"/>
        </w:rPr>
        <w:t>IN THE HIGH COURT OF SOUTH AFRICA</w:t>
      </w:r>
    </w:p>
    <w:p w14:paraId="01872274" w14:textId="77777777" w:rsidR="00C43E7F" w:rsidRPr="00591FD0" w:rsidRDefault="00C43E7F" w:rsidP="00C43E7F">
      <w:pPr>
        <w:spacing w:after="0" w:line="240" w:lineRule="auto"/>
        <w:jc w:val="center"/>
        <w:outlineLvl w:val="0"/>
        <w:rPr>
          <w:rFonts w:ascii="Arial" w:eastAsia="Times New Roman" w:hAnsi="Arial" w:cs="Arial"/>
          <w:b/>
          <w:sz w:val="24"/>
          <w:szCs w:val="24"/>
        </w:rPr>
      </w:pPr>
      <w:r w:rsidRPr="00591FD0">
        <w:rPr>
          <w:rFonts w:ascii="Arial" w:eastAsia="Times New Roman" w:hAnsi="Arial" w:cs="Arial"/>
          <w:b/>
          <w:sz w:val="24"/>
          <w:szCs w:val="24"/>
        </w:rPr>
        <w:t>GAUTENG DIVISION, JOHANNESBURG</w:t>
      </w:r>
    </w:p>
    <w:p w14:paraId="38415BFC" w14:textId="77777777" w:rsidR="00C43E7F" w:rsidRPr="00591FD0" w:rsidRDefault="00C43E7F" w:rsidP="00C43E7F">
      <w:pPr>
        <w:spacing w:after="0" w:line="240" w:lineRule="auto"/>
        <w:rPr>
          <w:rFonts w:ascii="Arial" w:eastAsia="Times New Roman" w:hAnsi="Arial" w:cs="Arial"/>
          <w:sz w:val="24"/>
          <w:szCs w:val="24"/>
        </w:rPr>
      </w:pPr>
    </w:p>
    <w:p w14:paraId="7F2283EA" w14:textId="77777777" w:rsidR="00C40694" w:rsidRPr="00591FD0" w:rsidRDefault="00C40694" w:rsidP="00C43E7F">
      <w:pPr>
        <w:spacing w:line="360" w:lineRule="auto"/>
        <w:ind w:left="720" w:hanging="360"/>
        <w:jc w:val="center"/>
        <w:rPr>
          <w:rFonts w:ascii="Arial" w:hAnsi="Arial" w:cs="Arial"/>
          <w:sz w:val="24"/>
          <w:szCs w:val="24"/>
        </w:rPr>
      </w:pPr>
    </w:p>
    <w:p w14:paraId="663643C8" w14:textId="0FD040AB" w:rsidR="00110D5B" w:rsidRDefault="00110D5B" w:rsidP="00110D5B">
      <w:pPr>
        <w:tabs>
          <w:tab w:val="right" w:pos="9029"/>
        </w:tabs>
        <w:spacing w:after="0" w:line="240" w:lineRule="auto"/>
        <w:jc w:val="both"/>
        <w:rPr>
          <w:rFonts w:ascii="Arial" w:eastAsia="Times New Roman" w:hAnsi="Arial" w:cs="Arial"/>
          <w:bCs/>
          <w:kern w:val="0"/>
          <w:sz w:val="24"/>
          <w:szCs w:val="24"/>
          <w14:ligatures w14:val="none"/>
        </w:rPr>
      </w:pPr>
      <w:r w:rsidRPr="00591FD0">
        <w:rPr>
          <w:rFonts w:ascii="Arial" w:eastAsia="Times New Roman" w:hAnsi="Arial" w:cs="Arial"/>
          <w:kern w:val="0"/>
          <w:sz w:val="24"/>
          <w:szCs w:val="24"/>
          <w14:ligatures w14:val="none"/>
        </w:rPr>
        <w:tab/>
      </w:r>
      <w:r w:rsidRPr="00591FD0">
        <w:rPr>
          <w:rFonts w:ascii="Arial" w:eastAsia="Times New Roman" w:hAnsi="Arial" w:cs="Arial"/>
          <w:bCs/>
          <w:kern w:val="0"/>
          <w:sz w:val="24"/>
          <w:szCs w:val="24"/>
          <w14:ligatures w14:val="none"/>
        </w:rPr>
        <w:t>Case Number: 20</w:t>
      </w:r>
      <w:r w:rsidR="00BD263D" w:rsidRPr="00591FD0">
        <w:rPr>
          <w:rFonts w:ascii="Arial" w:eastAsia="Times New Roman" w:hAnsi="Arial" w:cs="Arial"/>
          <w:bCs/>
          <w:kern w:val="0"/>
          <w:sz w:val="24"/>
          <w:szCs w:val="24"/>
          <w14:ligatures w14:val="none"/>
        </w:rPr>
        <w:t>22</w:t>
      </w:r>
      <w:r w:rsidRPr="00591FD0">
        <w:rPr>
          <w:rFonts w:ascii="Arial" w:eastAsia="Times New Roman" w:hAnsi="Arial" w:cs="Arial"/>
          <w:bCs/>
          <w:kern w:val="0"/>
          <w:sz w:val="24"/>
          <w:szCs w:val="24"/>
          <w14:ligatures w14:val="none"/>
        </w:rPr>
        <w:t>/0</w:t>
      </w:r>
      <w:r w:rsidR="00BD263D" w:rsidRPr="00591FD0">
        <w:rPr>
          <w:rFonts w:ascii="Arial" w:eastAsia="Times New Roman" w:hAnsi="Arial" w:cs="Arial"/>
          <w:bCs/>
          <w:kern w:val="0"/>
          <w:sz w:val="24"/>
          <w:szCs w:val="24"/>
          <w14:ligatures w14:val="none"/>
        </w:rPr>
        <w:t>3746</w:t>
      </w:r>
    </w:p>
    <w:p w14:paraId="764A3B7B" w14:textId="77777777" w:rsidR="0040180B" w:rsidRPr="00591FD0" w:rsidRDefault="0040180B" w:rsidP="00110D5B">
      <w:pPr>
        <w:tabs>
          <w:tab w:val="right" w:pos="9029"/>
        </w:tabs>
        <w:spacing w:after="0" w:line="240" w:lineRule="auto"/>
        <w:jc w:val="both"/>
        <w:rPr>
          <w:rFonts w:ascii="Arial" w:eastAsia="Times New Roman" w:hAnsi="Arial" w:cs="Arial"/>
          <w:bCs/>
          <w:kern w:val="0"/>
          <w:sz w:val="24"/>
          <w:szCs w:val="24"/>
          <w14:ligatures w14:val="none"/>
        </w:rPr>
      </w:pPr>
    </w:p>
    <w:p w14:paraId="4AD32C1E" w14:textId="77777777" w:rsidR="00110D5B" w:rsidRPr="00591FD0" w:rsidRDefault="00110D5B" w:rsidP="00110D5B">
      <w:pPr>
        <w:tabs>
          <w:tab w:val="right" w:pos="9029"/>
        </w:tabs>
        <w:spacing w:after="0" w:line="240" w:lineRule="auto"/>
        <w:jc w:val="both"/>
        <w:rPr>
          <w:rFonts w:ascii="Arial" w:eastAsia="Times New Roman" w:hAnsi="Arial" w:cs="Arial"/>
          <w:kern w:val="0"/>
          <w:sz w:val="24"/>
          <w:szCs w:val="24"/>
          <w14:ligatures w14:val="none"/>
        </w:rPr>
      </w:pPr>
      <w:r w:rsidRPr="00591FD0">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58240" behindDoc="0" locked="0" layoutInCell="1" allowOverlap="1" wp14:anchorId="50D4005A" wp14:editId="701E56C2">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6C98357E" w14:textId="77777777" w:rsidR="00110D5B" w:rsidRPr="00C344A5" w:rsidRDefault="00110D5B" w:rsidP="00110D5B">
                            <w:pPr>
                              <w:pStyle w:val="ListParagraph"/>
                              <w:numPr>
                                <w:ilvl w:val="0"/>
                                <w:numId w:val="11"/>
                              </w:numPr>
                              <w:ind w:left="567" w:hanging="567"/>
                              <w:rPr>
                                <w:rFonts w:ascii="Arial" w:hAnsi="Arial" w:cs="Arial"/>
                                <w:sz w:val="18"/>
                              </w:rPr>
                            </w:pPr>
                            <w:r w:rsidRPr="00C344A5">
                              <w:rPr>
                                <w:rFonts w:ascii="Arial" w:hAnsi="Arial" w:cs="Arial"/>
                                <w:sz w:val="18"/>
                              </w:rPr>
                              <w:t>REPORTABLE: NO</w:t>
                            </w:r>
                          </w:p>
                          <w:p w14:paraId="26492513" w14:textId="0A816DE4" w:rsidR="00110D5B" w:rsidRPr="00B35271" w:rsidRDefault="00110D5B" w:rsidP="00110D5B">
                            <w:pPr>
                              <w:pStyle w:val="ListParagraph"/>
                              <w:numPr>
                                <w:ilvl w:val="0"/>
                                <w:numId w:val="11"/>
                              </w:numPr>
                              <w:ind w:left="567" w:hanging="567"/>
                              <w:rPr>
                                <w:rFonts w:ascii="Arial" w:hAnsi="Arial" w:cs="Arial"/>
                                <w:sz w:val="18"/>
                                <w:szCs w:val="20"/>
                              </w:rPr>
                            </w:pPr>
                            <w:r w:rsidRPr="00B35271">
                              <w:rPr>
                                <w:rFonts w:ascii="Arial" w:hAnsi="Arial" w:cs="Arial"/>
                                <w:sz w:val="18"/>
                                <w:szCs w:val="20"/>
                              </w:rPr>
                              <w:t xml:space="preserve">OF INTEREST TO OTHER JUDGES: </w:t>
                            </w:r>
                            <w:r w:rsidR="00BD263D">
                              <w:rPr>
                                <w:rFonts w:ascii="Arial" w:hAnsi="Arial" w:cs="Arial"/>
                                <w:sz w:val="18"/>
                                <w:szCs w:val="20"/>
                              </w:rPr>
                              <w:t>YES</w:t>
                            </w:r>
                          </w:p>
                          <w:p w14:paraId="5F201EF2" w14:textId="77777777" w:rsidR="00110D5B" w:rsidRPr="00B35271" w:rsidRDefault="00110D5B" w:rsidP="00110D5B">
                            <w:pPr>
                              <w:pStyle w:val="ListParagraph"/>
                              <w:numPr>
                                <w:ilvl w:val="0"/>
                                <w:numId w:val="11"/>
                              </w:numPr>
                              <w:ind w:left="567" w:hanging="567"/>
                              <w:rPr>
                                <w:rFonts w:ascii="Arial" w:hAnsi="Arial" w:cs="Arial"/>
                                <w:sz w:val="18"/>
                                <w:szCs w:val="20"/>
                              </w:rPr>
                            </w:pPr>
                            <w:r w:rsidRPr="00B35271">
                              <w:rPr>
                                <w:rFonts w:ascii="Arial" w:hAnsi="Arial" w:cs="Arial"/>
                                <w:sz w:val="18"/>
                                <w:szCs w:val="20"/>
                              </w:rPr>
                              <w:t>REVISED.</w:t>
                            </w:r>
                          </w:p>
                          <w:p w14:paraId="6E5009F8" w14:textId="77777777" w:rsidR="00110D5B" w:rsidRPr="00C344A5" w:rsidRDefault="00110D5B" w:rsidP="00110D5B">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F9B6A0E" w14:textId="77777777" w:rsidR="00110D5B" w:rsidRPr="00C344A5" w:rsidRDefault="00110D5B" w:rsidP="00110D5B">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D4005A"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">
                <v:textbox>
                  <w:txbxContent>
                    <w:p w14:paraId="6C98357E" w14:textId="77777777" w:rsidR="00110D5B" w:rsidRPr="00C344A5" w:rsidRDefault="00110D5B" w:rsidP="00110D5B">
                      <w:pPr>
                        <w:pStyle w:val="ListParagraph"/>
                        <w:numPr>
                          <w:ilvl w:val="0"/>
                          <w:numId w:val="11"/>
                        </w:numPr>
                        <w:ind w:left="567" w:hanging="567"/>
                        <w:rPr>
                          <w:rFonts w:ascii="Arial" w:hAnsi="Arial" w:cs="Arial"/>
                          <w:sz w:val="18"/>
                        </w:rPr>
                      </w:pPr>
                      <w:r w:rsidRPr="00C344A5">
                        <w:rPr>
                          <w:rFonts w:ascii="Arial" w:hAnsi="Arial" w:cs="Arial"/>
                          <w:sz w:val="18"/>
                        </w:rPr>
                        <w:t>REPORTABLE: NO</w:t>
                      </w:r>
                    </w:p>
                    <w:p w14:paraId="26492513" w14:textId="0A816DE4" w:rsidR="00110D5B" w:rsidRPr="00B35271" w:rsidRDefault="00110D5B" w:rsidP="00110D5B">
                      <w:pPr>
                        <w:pStyle w:val="ListParagraph"/>
                        <w:numPr>
                          <w:ilvl w:val="0"/>
                          <w:numId w:val="11"/>
                        </w:numPr>
                        <w:ind w:left="567" w:hanging="567"/>
                        <w:rPr>
                          <w:rFonts w:ascii="Arial" w:hAnsi="Arial" w:cs="Arial"/>
                          <w:sz w:val="18"/>
                          <w:szCs w:val="20"/>
                        </w:rPr>
                      </w:pPr>
                      <w:r w:rsidRPr="00B35271">
                        <w:rPr>
                          <w:rFonts w:ascii="Arial" w:hAnsi="Arial" w:cs="Arial"/>
                          <w:sz w:val="18"/>
                          <w:szCs w:val="20"/>
                        </w:rPr>
                        <w:t xml:space="preserve">OF INTEREST TO OTHER JUDGES: </w:t>
                      </w:r>
                      <w:r w:rsidR="00BD263D">
                        <w:rPr>
                          <w:rFonts w:ascii="Arial" w:hAnsi="Arial" w:cs="Arial"/>
                          <w:sz w:val="18"/>
                          <w:szCs w:val="20"/>
                        </w:rPr>
                        <w:t>YES</w:t>
                      </w:r>
                    </w:p>
                    <w:p w14:paraId="5F201EF2" w14:textId="77777777" w:rsidR="00110D5B" w:rsidRPr="00B35271" w:rsidRDefault="00110D5B" w:rsidP="00110D5B">
                      <w:pPr>
                        <w:pStyle w:val="ListParagraph"/>
                        <w:numPr>
                          <w:ilvl w:val="0"/>
                          <w:numId w:val="11"/>
                        </w:numPr>
                        <w:ind w:left="567" w:hanging="567"/>
                        <w:rPr>
                          <w:rFonts w:ascii="Arial" w:hAnsi="Arial" w:cs="Arial"/>
                          <w:sz w:val="18"/>
                          <w:szCs w:val="20"/>
                        </w:rPr>
                      </w:pPr>
                      <w:r w:rsidRPr="00B35271">
                        <w:rPr>
                          <w:rFonts w:ascii="Arial" w:hAnsi="Arial" w:cs="Arial"/>
                          <w:sz w:val="18"/>
                          <w:szCs w:val="20"/>
                        </w:rPr>
                        <w:t>REVISED.</w:t>
                      </w:r>
                    </w:p>
                    <w:p w14:paraId="6E5009F8" w14:textId="77777777" w:rsidR="00110D5B" w:rsidRPr="00C344A5" w:rsidRDefault="00110D5B" w:rsidP="00110D5B">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F9B6A0E" w14:textId="77777777" w:rsidR="00110D5B" w:rsidRPr="00C344A5" w:rsidRDefault="00110D5B" w:rsidP="00110D5B">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22505A49" w14:textId="77777777" w:rsidR="00110D5B" w:rsidRPr="00591FD0" w:rsidRDefault="00110D5B" w:rsidP="00110D5B">
      <w:pPr>
        <w:tabs>
          <w:tab w:val="left" w:pos="8998"/>
        </w:tabs>
        <w:spacing w:after="0" w:line="240" w:lineRule="auto"/>
        <w:jc w:val="both"/>
        <w:rPr>
          <w:rFonts w:ascii="Arial" w:eastAsia="Times New Roman" w:hAnsi="Arial" w:cs="Arial"/>
          <w:kern w:val="0"/>
          <w:sz w:val="24"/>
          <w:szCs w:val="24"/>
          <w14:ligatures w14:val="none"/>
        </w:rPr>
      </w:pPr>
    </w:p>
    <w:p w14:paraId="7FA45EC2" w14:textId="77777777" w:rsidR="00110D5B" w:rsidRPr="00591FD0" w:rsidRDefault="00110D5B" w:rsidP="00110D5B">
      <w:pPr>
        <w:tabs>
          <w:tab w:val="left" w:pos="8998"/>
        </w:tabs>
        <w:spacing w:after="0" w:line="240" w:lineRule="auto"/>
        <w:jc w:val="both"/>
        <w:rPr>
          <w:rFonts w:ascii="Arial" w:eastAsia="Times New Roman" w:hAnsi="Arial" w:cs="Arial"/>
          <w:kern w:val="0"/>
          <w:sz w:val="24"/>
          <w:szCs w:val="24"/>
          <w14:ligatures w14:val="none"/>
        </w:rPr>
      </w:pPr>
    </w:p>
    <w:p w14:paraId="5FD43A2D" w14:textId="77777777" w:rsidR="00110D5B" w:rsidRPr="00591FD0" w:rsidRDefault="00110D5B" w:rsidP="00110D5B">
      <w:pPr>
        <w:tabs>
          <w:tab w:val="left" w:pos="8998"/>
        </w:tabs>
        <w:spacing w:after="0" w:line="240" w:lineRule="auto"/>
        <w:jc w:val="both"/>
        <w:rPr>
          <w:rFonts w:ascii="Arial" w:eastAsia="Times New Roman" w:hAnsi="Arial" w:cs="Arial"/>
          <w:kern w:val="0"/>
          <w:sz w:val="24"/>
          <w:szCs w:val="24"/>
          <w14:ligatures w14:val="none"/>
        </w:rPr>
      </w:pPr>
      <w:r w:rsidRPr="00591FD0">
        <w:rPr>
          <w:rFonts w:ascii="Arial" w:eastAsia="Times New Roman" w:hAnsi="Arial" w:cs="Arial"/>
          <w:kern w:val="0"/>
          <w:sz w:val="24"/>
          <w:szCs w:val="24"/>
          <w14:ligatures w14:val="none"/>
        </w:rPr>
        <w:t>In the matter between:</w:t>
      </w:r>
    </w:p>
    <w:p w14:paraId="6BC8BA5E" w14:textId="77777777" w:rsidR="00110D5B" w:rsidRPr="00591FD0" w:rsidRDefault="00110D5B" w:rsidP="00110D5B">
      <w:pPr>
        <w:tabs>
          <w:tab w:val="right" w:pos="9029"/>
        </w:tabs>
        <w:spacing w:after="0" w:line="240" w:lineRule="auto"/>
        <w:jc w:val="both"/>
        <w:rPr>
          <w:rFonts w:ascii="Arial" w:eastAsia="Times New Roman" w:hAnsi="Arial" w:cs="Arial"/>
          <w:kern w:val="0"/>
          <w:sz w:val="24"/>
          <w:szCs w:val="24"/>
          <w14:ligatures w14:val="none"/>
        </w:rPr>
      </w:pPr>
    </w:p>
    <w:p w14:paraId="0EA2A92E" w14:textId="77777777" w:rsidR="00110D5B" w:rsidRPr="00591FD0" w:rsidRDefault="00110D5B" w:rsidP="00110D5B">
      <w:pPr>
        <w:tabs>
          <w:tab w:val="right" w:pos="9029"/>
        </w:tabs>
        <w:spacing w:after="0" w:line="240" w:lineRule="auto"/>
        <w:jc w:val="both"/>
        <w:rPr>
          <w:rFonts w:ascii="Arial" w:eastAsia="Times New Roman" w:hAnsi="Arial" w:cs="Arial"/>
          <w:kern w:val="0"/>
          <w:sz w:val="24"/>
          <w:szCs w:val="24"/>
          <w14:ligatures w14:val="none"/>
        </w:rPr>
      </w:pPr>
    </w:p>
    <w:p w14:paraId="1140F519" w14:textId="77777777" w:rsidR="00110D5B" w:rsidRPr="00591FD0" w:rsidRDefault="00110D5B" w:rsidP="00110D5B">
      <w:pPr>
        <w:tabs>
          <w:tab w:val="right" w:pos="9029"/>
        </w:tabs>
        <w:spacing w:after="0" w:line="240" w:lineRule="auto"/>
        <w:contextualSpacing/>
        <w:jc w:val="both"/>
        <w:rPr>
          <w:rFonts w:ascii="Arial" w:eastAsia="Times New Roman" w:hAnsi="Arial" w:cs="Arial"/>
          <w:b/>
          <w:kern w:val="0"/>
          <w:sz w:val="24"/>
          <w:szCs w:val="24"/>
          <w14:ligatures w14:val="none"/>
        </w:rPr>
      </w:pPr>
    </w:p>
    <w:p w14:paraId="04077A15" w14:textId="77777777" w:rsidR="00110D5B" w:rsidRPr="00591FD0" w:rsidRDefault="00110D5B" w:rsidP="00110D5B">
      <w:pPr>
        <w:tabs>
          <w:tab w:val="right" w:pos="9029"/>
        </w:tabs>
        <w:spacing w:after="0" w:line="240" w:lineRule="auto"/>
        <w:contextualSpacing/>
        <w:jc w:val="both"/>
        <w:rPr>
          <w:rFonts w:ascii="Arial" w:eastAsia="Times New Roman" w:hAnsi="Arial" w:cs="Arial"/>
          <w:b/>
          <w:kern w:val="0"/>
          <w:sz w:val="24"/>
          <w:szCs w:val="24"/>
          <w14:ligatures w14:val="none"/>
        </w:rPr>
      </w:pPr>
    </w:p>
    <w:p w14:paraId="2DE31B5F" w14:textId="77777777" w:rsidR="00110D5B" w:rsidRPr="00591FD0" w:rsidRDefault="00110D5B" w:rsidP="00110D5B">
      <w:pPr>
        <w:tabs>
          <w:tab w:val="right" w:pos="9029"/>
        </w:tabs>
        <w:spacing w:after="0" w:line="240" w:lineRule="auto"/>
        <w:contextualSpacing/>
        <w:jc w:val="both"/>
        <w:rPr>
          <w:rFonts w:ascii="Arial" w:eastAsia="Times New Roman" w:hAnsi="Arial" w:cs="Arial"/>
          <w:b/>
          <w:kern w:val="0"/>
          <w:sz w:val="24"/>
          <w:szCs w:val="24"/>
          <w14:ligatures w14:val="none"/>
        </w:rPr>
      </w:pPr>
    </w:p>
    <w:p w14:paraId="7C9DD7A3" w14:textId="77777777" w:rsidR="00110D5B" w:rsidRPr="00591FD0" w:rsidRDefault="00110D5B" w:rsidP="00110D5B">
      <w:pPr>
        <w:tabs>
          <w:tab w:val="right" w:pos="9029"/>
        </w:tabs>
        <w:spacing w:after="0" w:line="240" w:lineRule="auto"/>
        <w:contextualSpacing/>
        <w:jc w:val="both"/>
        <w:rPr>
          <w:rFonts w:ascii="Arial" w:eastAsia="Times New Roman" w:hAnsi="Arial" w:cs="Arial"/>
          <w:b/>
          <w:kern w:val="0"/>
          <w:sz w:val="24"/>
          <w:szCs w:val="24"/>
          <w14:ligatures w14:val="none"/>
        </w:rPr>
      </w:pPr>
    </w:p>
    <w:p w14:paraId="4E667709" w14:textId="77777777" w:rsidR="00110D5B" w:rsidRPr="00591FD0" w:rsidRDefault="00110D5B" w:rsidP="00110D5B">
      <w:pPr>
        <w:tabs>
          <w:tab w:val="right" w:pos="9029"/>
        </w:tabs>
        <w:spacing w:after="0" w:line="240" w:lineRule="auto"/>
        <w:contextualSpacing/>
        <w:jc w:val="both"/>
        <w:rPr>
          <w:rFonts w:ascii="Arial" w:eastAsia="Times New Roman" w:hAnsi="Arial" w:cs="Arial"/>
          <w:kern w:val="0"/>
          <w:sz w:val="24"/>
          <w:szCs w:val="24"/>
          <w14:ligatures w14:val="none"/>
        </w:rPr>
      </w:pPr>
      <w:r w:rsidRPr="00591FD0">
        <w:rPr>
          <w:rFonts w:ascii="Arial" w:eastAsia="Times New Roman" w:hAnsi="Arial" w:cs="Arial"/>
          <w:kern w:val="0"/>
          <w:sz w:val="24"/>
          <w:szCs w:val="24"/>
          <w14:ligatures w14:val="none"/>
        </w:rPr>
        <w:t>In the matter between:</w:t>
      </w:r>
    </w:p>
    <w:p w14:paraId="4BF1609F" w14:textId="77777777" w:rsidR="00110D5B" w:rsidRPr="00591FD0" w:rsidRDefault="00110D5B" w:rsidP="00110D5B">
      <w:pPr>
        <w:tabs>
          <w:tab w:val="right" w:pos="9029"/>
        </w:tabs>
        <w:spacing w:after="0" w:line="240" w:lineRule="auto"/>
        <w:contextualSpacing/>
        <w:jc w:val="both"/>
        <w:rPr>
          <w:rFonts w:ascii="Arial" w:eastAsia="Times New Roman" w:hAnsi="Arial" w:cs="Arial"/>
          <w:b/>
          <w:kern w:val="0"/>
          <w:sz w:val="24"/>
          <w:szCs w:val="24"/>
          <w14:ligatures w14:val="none"/>
        </w:rPr>
      </w:pPr>
    </w:p>
    <w:p w14:paraId="06149120" w14:textId="77777777" w:rsidR="00110D5B" w:rsidRPr="00591FD0" w:rsidRDefault="00110D5B" w:rsidP="00110D5B">
      <w:pPr>
        <w:tabs>
          <w:tab w:val="right" w:pos="9029"/>
        </w:tabs>
        <w:spacing w:after="0" w:line="240" w:lineRule="auto"/>
        <w:contextualSpacing/>
        <w:jc w:val="both"/>
        <w:rPr>
          <w:rFonts w:ascii="Arial" w:eastAsia="Times New Roman" w:hAnsi="Arial" w:cs="Arial"/>
          <w:b/>
          <w:kern w:val="0"/>
          <w:sz w:val="24"/>
          <w:szCs w:val="24"/>
          <w14:ligatures w14:val="none"/>
        </w:rPr>
      </w:pPr>
    </w:p>
    <w:p w14:paraId="5E10388A" w14:textId="5D0A0534" w:rsidR="00110D5B" w:rsidRPr="00591FD0" w:rsidRDefault="00123EC8" w:rsidP="00110D5B">
      <w:pPr>
        <w:tabs>
          <w:tab w:val="right" w:pos="9029"/>
        </w:tabs>
        <w:spacing w:after="0" w:line="240" w:lineRule="auto"/>
        <w:contextualSpacing/>
        <w:jc w:val="both"/>
        <w:rPr>
          <w:rFonts w:ascii="Arial" w:eastAsia="Times New Roman" w:hAnsi="Arial" w:cs="Arial"/>
          <w:kern w:val="0"/>
          <w:sz w:val="24"/>
          <w:szCs w:val="24"/>
          <w14:ligatures w14:val="none"/>
        </w:rPr>
      </w:pPr>
      <w:r w:rsidRPr="00591FD0">
        <w:rPr>
          <w:rFonts w:ascii="Arial" w:eastAsia="Times New Roman" w:hAnsi="Arial" w:cs="Arial"/>
          <w:b/>
          <w:iCs/>
          <w:kern w:val="28"/>
          <w:sz w:val="24"/>
          <w:szCs w:val="24"/>
          <w:lang w:eastAsia="en-GB"/>
          <w14:ligatures w14:val="none"/>
        </w:rPr>
        <w:t>JORDAAN</w:t>
      </w:r>
      <w:r w:rsidR="00110D5B" w:rsidRPr="00591FD0">
        <w:rPr>
          <w:rFonts w:ascii="Arial" w:eastAsia="Times New Roman" w:hAnsi="Arial" w:cs="Arial"/>
          <w:b/>
          <w:iCs/>
          <w:kern w:val="28"/>
          <w:sz w:val="24"/>
          <w:szCs w:val="24"/>
          <w:lang w:eastAsia="en-GB"/>
          <w14:ligatures w14:val="none"/>
        </w:rPr>
        <w:t xml:space="preserve">, </w:t>
      </w:r>
      <w:r w:rsidRPr="00591FD0">
        <w:rPr>
          <w:rFonts w:ascii="Arial" w:eastAsia="Times New Roman" w:hAnsi="Arial" w:cs="Arial"/>
          <w:b/>
          <w:iCs/>
          <w:kern w:val="28"/>
          <w:sz w:val="24"/>
          <w:szCs w:val="24"/>
          <w:lang w:eastAsia="en-GB"/>
          <w14:ligatures w14:val="none"/>
        </w:rPr>
        <w:t>JEANINE MARIA</w:t>
      </w:r>
      <w:r w:rsidR="00110D5B" w:rsidRPr="00591FD0">
        <w:rPr>
          <w:rFonts w:ascii="Arial" w:eastAsia="Times New Roman" w:hAnsi="Arial" w:cs="Arial"/>
          <w:b/>
          <w:kern w:val="0"/>
          <w:sz w:val="24"/>
          <w:szCs w:val="24"/>
          <w14:ligatures w14:val="none"/>
        </w:rPr>
        <w:tab/>
      </w:r>
      <w:r w:rsidR="00110D5B" w:rsidRPr="00591FD0">
        <w:rPr>
          <w:rFonts w:ascii="Arial" w:eastAsia="Times New Roman" w:hAnsi="Arial" w:cs="Arial"/>
          <w:kern w:val="0"/>
          <w:sz w:val="24"/>
          <w:szCs w:val="24"/>
          <w14:ligatures w14:val="none"/>
        </w:rPr>
        <w:t>Plaintiff</w:t>
      </w:r>
    </w:p>
    <w:p w14:paraId="2F55DDA7" w14:textId="77777777" w:rsidR="00110D5B" w:rsidRPr="00591FD0" w:rsidRDefault="00110D5B" w:rsidP="00110D5B">
      <w:pPr>
        <w:tabs>
          <w:tab w:val="right" w:pos="9029"/>
        </w:tabs>
        <w:spacing w:after="0" w:line="240" w:lineRule="auto"/>
        <w:contextualSpacing/>
        <w:jc w:val="both"/>
        <w:rPr>
          <w:rFonts w:ascii="Arial" w:eastAsia="Times New Roman" w:hAnsi="Arial" w:cs="Arial"/>
          <w:kern w:val="0"/>
          <w:sz w:val="24"/>
          <w:szCs w:val="24"/>
          <w14:ligatures w14:val="none"/>
        </w:rPr>
      </w:pPr>
    </w:p>
    <w:p w14:paraId="0C250924" w14:textId="77777777" w:rsidR="00110D5B" w:rsidRPr="00591FD0" w:rsidRDefault="00110D5B" w:rsidP="00110D5B">
      <w:pPr>
        <w:tabs>
          <w:tab w:val="right" w:pos="9029"/>
        </w:tabs>
        <w:spacing w:after="0" w:line="240" w:lineRule="auto"/>
        <w:contextualSpacing/>
        <w:jc w:val="both"/>
        <w:rPr>
          <w:rFonts w:ascii="Arial" w:eastAsia="Times New Roman" w:hAnsi="Arial" w:cs="Arial"/>
          <w:kern w:val="0"/>
          <w:sz w:val="24"/>
          <w:szCs w:val="24"/>
          <w14:ligatures w14:val="none"/>
        </w:rPr>
      </w:pPr>
    </w:p>
    <w:p w14:paraId="03DC69C5" w14:textId="77777777" w:rsidR="00110D5B" w:rsidRPr="00591FD0" w:rsidRDefault="00110D5B" w:rsidP="00110D5B">
      <w:pPr>
        <w:tabs>
          <w:tab w:val="right" w:pos="9029"/>
        </w:tabs>
        <w:spacing w:after="0" w:line="240" w:lineRule="auto"/>
        <w:contextualSpacing/>
        <w:jc w:val="both"/>
        <w:rPr>
          <w:rFonts w:ascii="Arial" w:eastAsia="Times New Roman" w:hAnsi="Arial" w:cs="Arial"/>
          <w:kern w:val="0"/>
          <w:sz w:val="24"/>
          <w:szCs w:val="24"/>
          <w14:ligatures w14:val="none"/>
        </w:rPr>
      </w:pPr>
      <w:r w:rsidRPr="00591FD0">
        <w:rPr>
          <w:rFonts w:ascii="Arial" w:eastAsia="Times New Roman" w:hAnsi="Arial" w:cs="Arial"/>
          <w:kern w:val="0"/>
          <w:sz w:val="24"/>
          <w:szCs w:val="24"/>
          <w14:ligatures w14:val="none"/>
        </w:rPr>
        <w:t>AND</w:t>
      </w:r>
    </w:p>
    <w:p w14:paraId="39D26D2E" w14:textId="77777777" w:rsidR="00110D5B" w:rsidRPr="00591FD0" w:rsidRDefault="00110D5B" w:rsidP="00110D5B">
      <w:pPr>
        <w:tabs>
          <w:tab w:val="right" w:pos="9029"/>
        </w:tabs>
        <w:spacing w:after="0" w:line="240" w:lineRule="auto"/>
        <w:contextualSpacing/>
        <w:jc w:val="both"/>
        <w:rPr>
          <w:rFonts w:ascii="Arial" w:eastAsia="Times New Roman" w:hAnsi="Arial" w:cs="Arial"/>
          <w:kern w:val="0"/>
          <w:sz w:val="24"/>
          <w:szCs w:val="24"/>
          <w14:ligatures w14:val="none"/>
        </w:rPr>
      </w:pPr>
    </w:p>
    <w:p w14:paraId="58B3438B" w14:textId="77777777" w:rsidR="00110D5B" w:rsidRPr="00591FD0" w:rsidRDefault="00110D5B" w:rsidP="00110D5B">
      <w:pPr>
        <w:tabs>
          <w:tab w:val="right" w:pos="9029"/>
        </w:tabs>
        <w:spacing w:after="0" w:line="240" w:lineRule="auto"/>
        <w:contextualSpacing/>
        <w:jc w:val="both"/>
        <w:rPr>
          <w:rFonts w:ascii="Arial" w:eastAsia="Times New Roman" w:hAnsi="Arial" w:cs="Arial"/>
          <w:kern w:val="0"/>
          <w:sz w:val="24"/>
          <w:szCs w:val="24"/>
          <w14:ligatures w14:val="none"/>
        </w:rPr>
      </w:pPr>
    </w:p>
    <w:p w14:paraId="395DA41B" w14:textId="38DDB553" w:rsidR="00110D5B" w:rsidRPr="00591FD0" w:rsidRDefault="00F776F8" w:rsidP="00110D5B">
      <w:pPr>
        <w:tabs>
          <w:tab w:val="right" w:pos="9029"/>
        </w:tabs>
        <w:spacing w:after="0" w:line="240" w:lineRule="auto"/>
        <w:contextualSpacing/>
        <w:jc w:val="both"/>
        <w:rPr>
          <w:rFonts w:ascii="Arial" w:eastAsia="Times New Roman" w:hAnsi="Arial" w:cs="Arial"/>
          <w:kern w:val="0"/>
          <w:sz w:val="24"/>
          <w:szCs w:val="24"/>
          <w14:ligatures w14:val="none"/>
        </w:rPr>
      </w:pPr>
      <w:r w:rsidRPr="00591FD0">
        <w:rPr>
          <w:rFonts w:ascii="Arial" w:eastAsia="Calibri" w:hAnsi="Arial" w:cs="Arial"/>
          <w:b/>
          <w:bCs/>
          <w:kern w:val="0"/>
          <w:sz w:val="24"/>
          <w:szCs w:val="24"/>
          <w14:ligatures w14:val="none"/>
        </w:rPr>
        <w:t>THE ROAD ACCIDENT FUND</w:t>
      </w:r>
      <w:r w:rsidR="00110D5B" w:rsidRPr="00591FD0">
        <w:rPr>
          <w:rFonts w:ascii="Arial" w:eastAsia="Times New Roman" w:hAnsi="Arial" w:cs="Arial"/>
          <w:kern w:val="0"/>
          <w:sz w:val="24"/>
          <w:szCs w:val="24"/>
          <w14:ligatures w14:val="none"/>
        </w:rPr>
        <w:tab/>
        <w:t>Defendant</w:t>
      </w:r>
    </w:p>
    <w:p w14:paraId="586D7A2C" w14:textId="77777777" w:rsidR="00110D5B" w:rsidRPr="00591FD0" w:rsidRDefault="00110D5B" w:rsidP="00110D5B">
      <w:pPr>
        <w:tabs>
          <w:tab w:val="right" w:pos="9029"/>
        </w:tabs>
        <w:spacing w:after="0" w:line="240" w:lineRule="auto"/>
        <w:contextualSpacing/>
        <w:jc w:val="both"/>
        <w:rPr>
          <w:rFonts w:ascii="Arial" w:eastAsia="Calibri" w:hAnsi="Arial" w:cs="Arial"/>
          <w:b/>
          <w:kern w:val="0"/>
          <w:sz w:val="24"/>
          <w:szCs w:val="24"/>
          <w:lang w:val="en-GB"/>
          <w14:ligatures w14:val="none"/>
        </w:rPr>
      </w:pPr>
    </w:p>
    <w:p w14:paraId="7AF4DD12" w14:textId="77777777" w:rsidR="00110D5B" w:rsidRPr="00591FD0" w:rsidRDefault="00110D5B" w:rsidP="00110D5B">
      <w:pPr>
        <w:pBdr>
          <w:bottom w:val="single" w:sz="12" w:space="1" w:color="auto"/>
        </w:pBdr>
        <w:spacing w:after="0" w:line="240" w:lineRule="auto"/>
        <w:rPr>
          <w:rFonts w:ascii="Arial" w:eastAsia="Calibri" w:hAnsi="Arial" w:cs="Arial"/>
          <w:b/>
          <w:kern w:val="0"/>
          <w:sz w:val="24"/>
          <w:szCs w:val="24"/>
          <w14:ligatures w14:val="none"/>
        </w:rPr>
      </w:pPr>
    </w:p>
    <w:p w14:paraId="1ED1FBBE" w14:textId="77777777" w:rsidR="00110D5B" w:rsidRPr="00591FD0" w:rsidRDefault="00110D5B" w:rsidP="00110D5B">
      <w:pPr>
        <w:spacing w:after="0" w:line="240" w:lineRule="auto"/>
        <w:ind w:left="1440" w:hanging="1440"/>
        <w:rPr>
          <w:rFonts w:ascii="Arial" w:eastAsia="Calibri" w:hAnsi="Arial" w:cs="Arial"/>
          <w:b/>
          <w:kern w:val="0"/>
          <w:sz w:val="24"/>
          <w:szCs w:val="24"/>
          <w:lang w:val="en-GB"/>
          <w14:ligatures w14:val="none"/>
        </w:rPr>
      </w:pPr>
    </w:p>
    <w:p w14:paraId="78B379C4" w14:textId="77777777" w:rsidR="00110D5B" w:rsidRPr="00591FD0" w:rsidRDefault="00110D5B" w:rsidP="00110D5B">
      <w:pPr>
        <w:pBdr>
          <w:bottom w:val="single" w:sz="12" w:space="1" w:color="auto"/>
        </w:pBdr>
        <w:spacing w:after="240" w:line="480" w:lineRule="auto"/>
        <w:jc w:val="center"/>
        <w:rPr>
          <w:rFonts w:ascii="Arial" w:eastAsia="Calibri" w:hAnsi="Arial" w:cs="Arial"/>
          <w:b/>
          <w:kern w:val="0"/>
          <w:sz w:val="24"/>
          <w:szCs w:val="24"/>
          <w14:ligatures w14:val="none"/>
        </w:rPr>
      </w:pPr>
      <w:r w:rsidRPr="00591FD0">
        <w:rPr>
          <w:rFonts w:ascii="Arial" w:eastAsia="Calibri" w:hAnsi="Arial" w:cs="Arial"/>
          <w:b/>
          <w:kern w:val="0"/>
          <w:sz w:val="24"/>
          <w:szCs w:val="24"/>
          <w14:ligatures w14:val="none"/>
        </w:rPr>
        <w:t>JUDGMENT</w:t>
      </w:r>
    </w:p>
    <w:p w14:paraId="4F2042EE" w14:textId="77777777" w:rsidR="003076BC" w:rsidRDefault="003076BC" w:rsidP="00110D5B">
      <w:pPr>
        <w:spacing w:after="0" w:line="240" w:lineRule="auto"/>
        <w:rPr>
          <w:rFonts w:ascii="Arial" w:eastAsia="Calibri" w:hAnsi="Arial" w:cs="Arial"/>
          <w:b/>
          <w:bCs/>
          <w:kern w:val="0"/>
          <w:sz w:val="24"/>
          <w:szCs w:val="24"/>
          <w14:ligatures w14:val="none"/>
        </w:rPr>
      </w:pPr>
    </w:p>
    <w:p w14:paraId="18535AED" w14:textId="55D1CFAE" w:rsidR="00110D5B" w:rsidRPr="00591FD0" w:rsidRDefault="00110D5B" w:rsidP="00110D5B">
      <w:pPr>
        <w:spacing w:after="0" w:line="240" w:lineRule="auto"/>
        <w:rPr>
          <w:rFonts w:ascii="Arial" w:eastAsia="Calibri" w:hAnsi="Arial" w:cs="Arial"/>
          <w:kern w:val="0"/>
          <w:sz w:val="24"/>
          <w:szCs w:val="24"/>
          <w:lang w:val="en-GB"/>
          <w14:ligatures w14:val="none"/>
        </w:rPr>
      </w:pPr>
      <w:r w:rsidRPr="00591FD0">
        <w:rPr>
          <w:rFonts w:ascii="Arial" w:eastAsia="Calibri" w:hAnsi="Arial" w:cs="Arial"/>
          <w:b/>
          <w:bCs/>
          <w:kern w:val="0"/>
          <w:sz w:val="24"/>
          <w:szCs w:val="24"/>
          <w14:ligatures w14:val="none"/>
        </w:rPr>
        <w:t>OPPERMAN AJ</w:t>
      </w:r>
    </w:p>
    <w:p w14:paraId="744BB66E" w14:textId="77777777" w:rsidR="001D5E36" w:rsidRDefault="001D5E36" w:rsidP="00094854">
      <w:pPr>
        <w:spacing w:line="360" w:lineRule="auto"/>
        <w:jc w:val="both"/>
        <w:rPr>
          <w:rFonts w:ascii="Arial" w:hAnsi="Arial" w:cs="Arial"/>
          <w:sz w:val="24"/>
          <w:szCs w:val="24"/>
        </w:rPr>
      </w:pPr>
    </w:p>
    <w:p w14:paraId="07C534A3" w14:textId="77777777" w:rsidR="003076BC" w:rsidRDefault="003076BC" w:rsidP="00094854">
      <w:pPr>
        <w:spacing w:line="360" w:lineRule="auto"/>
        <w:jc w:val="both"/>
        <w:rPr>
          <w:rFonts w:ascii="Arial" w:hAnsi="Arial" w:cs="Arial"/>
          <w:sz w:val="24"/>
          <w:szCs w:val="24"/>
          <w:u w:val="single"/>
        </w:rPr>
      </w:pPr>
    </w:p>
    <w:p w14:paraId="0F7692C5" w14:textId="33810D75" w:rsidR="00094854" w:rsidRPr="00187B2D" w:rsidRDefault="00094854" w:rsidP="00094854">
      <w:pPr>
        <w:spacing w:line="360" w:lineRule="auto"/>
        <w:jc w:val="both"/>
        <w:rPr>
          <w:rFonts w:ascii="Arial" w:hAnsi="Arial" w:cs="Arial"/>
          <w:i/>
          <w:iCs/>
          <w:sz w:val="24"/>
          <w:szCs w:val="24"/>
        </w:rPr>
      </w:pPr>
      <w:r w:rsidRPr="00187B2D">
        <w:rPr>
          <w:rFonts w:ascii="Arial" w:hAnsi="Arial" w:cs="Arial"/>
          <w:i/>
          <w:iCs/>
          <w:sz w:val="24"/>
          <w:szCs w:val="24"/>
        </w:rPr>
        <w:lastRenderedPageBreak/>
        <w:t xml:space="preserve">Introduction </w:t>
      </w:r>
    </w:p>
    <w:p w14:paraId="73A954A7" w14:textId="2A38C68E" w:rsidR="007B21CE" w:rsidRPr="00CE1E39" w:rsidRDefault="00CE1E39" w:rsidP="00137326">
      <w:pPr>
        <w:spacing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171081" w:rsidRPr="00CE1E39">
        <w:rPr>
          <w:rFonts w:ascii="Arial" w:hAnsi="Arial" w:cs="Arial"/>
          <w:sz w:val="24"/>
          <w:szCs w:val="24"/>
        </w:rPr>
        <w:t>The plaintiff is claiming damages suffered by the plaintiff arising from the injuries that she sustained as a result of a motor vehi</w:t>
      </w:r>
      <w:bookmarkStart w:id="0" w:name="_GoBack"/>
      <w:bookmarkEnd w:id="0"/>
      <w:r w:rsidR="00171081" w:rsidRPr="00CE1E39">
        <w:rPr>
          <w:rFonts w:ascii="Arial" w:hAnsi="Arial" w:cs="Arial"/>
          <w:sz w:val="24"/>
          <w:szCs w:val="24"/>
        </w:rPr>
        <w:t>cle accident that occurred on 5 May 2018</w:t>
      </w:r>
      <w:r w:rsidR="00637081" w:rsidRPr="00CE1E39">
        <w:rPr>
          <w:rFonts w:ascii="Arial" w:hAnsi="Arial" w:cs="Arial"/>
          <w:sz w:val="24"/>
          <w:szCs w:val="24"/>
        </w:rPr>
        <w:t>, as well as</w:t>
      </w:r>
      <w:r w:rsidR="00171081" w:rsidRPr="00CE1E39">
        <w:rPr>
          <w:rFonts w:ascii="Arial" w:hAnsi="Arial" w:cs="Arial"/>
          <w:sz w:val="24"/>
          <w:szCs w:val="24"/>
        </w:rPr>
        <w:t xml:space="preserve"> loss of support suffered by the plaintiff and her two minor children due to the death of the family's breadwinner in the accident. The </w:t>
      </w:r>
      <w:r w:rsidR="00005457" w:rsidRPr="00CE1E39">
        <w:rPr>
          <w:rFonts w:ascii="Arial" w:hAnsi="Arial" w:cs="Arial"/>
          <w:sz w:val="24"/>
          <w:szCs w:val="24"/>
        </w:rPr>
        <w:t>d</w:t>
      </w:r>
      <w:r w:rsidR="00171081" w:rsidRPr="00CE1E39">
        <w:rPr>
          <w:rFonts w:ascii="Arial" w:hAnsi="Arial" w:cs="Arial"/>
          <w:sz w:val="24"/>
          <w:szCs w:val="24"/>
        </w:rPr>
        <w:t>efendant previously conceded that the negligence of the insured driver was the sole cause of the accident.</w:t>
      </w:r>
    </w:p>
    <w:p w14:paraId="0EDE2A3E" w14:textId="5F25FDAA" w:rsidR="00982E6E" w:rsidRPr="00CE1E39" w:rsidRDefault="00CE1E39" w:rsidP="00137326">
      <w:pPr>
        <w:spacing w:line="360" w:lineRule="auto"/>
        <w:ind w:left="567" w:hanging="567"/>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982E6E" w:rsidRPr="00CE1E39">
        <w:rPr>
          <w:rFonts w:ascii="Arial" w:hAnsi="Arial" w:cs="Arial"/>
          <w:sz w:val="24"/>
          <w:szCs w:val="24"/>
        </w:rPr>
        <w:t>In her particulars of claim, the plaintiff claims damages for personal injuries sustained as well as loss of support for her and the minor children in the amount of R2 300 000.</w:t>
      </w:r>
      <w:r w:rsidR="001B75C1" w:rsidRPr="00CE1E39">
        <w:rPr>
          <w:rFonts w:ascii="Arial" w:hAnsi="Arial" w:cs="Arial"/>
          <w:sz w:val="24"/>
          <w:szCs w:val="24"/>
        </w:rPr>
        <w:t>00.</w:t>
      </w:r>
      <w:r w:rsidR="00982E6E" w:rsidRPr="00CE1E39">
        <w:rPr>
          <w:rFonts w:ascii="Arial" w:hAnsi="Arial" w:cs="Arial"/>
          <w:sz w:val="24"/>
          <w:szCs w:val="24"/>
        </w:rPr>
        <w:t xml:space="preserve"> In he</w:t>
      </w:r>
      <w:r w:rsidR="00B622F8" w:rsidRPr="00CE1E39">
        <w:rPr>
          <w:rFonts w:ascii="Arial" w:hAnsi="Arial" w:cs="Arial"/>
          <w:sz w:val="24"/>
          <w:szCs w:val="24"/>
        </w:rPr>
        <w:t>r</w:t>
      </w:r>
      <w:r w:rsidR="00982E6E" w:rsidRPr="00CE1E39">
        <w:rPr>
          <w:rFonts w:ascii="Arial" w:hAnsi="Arial" w:cs="Arial"/>
          <w:sz w:val="24"/>
          <w:szCs w:val="24"/>
        </w:rPr>
        <w:t xml:space="preserve"> application for default judgment, the plaintiff claims an amount of R2 500</w:t>
      </w:r>
      <w:r w:rsidR="00F73D44" w:rsidRPr="00CE1E39">
        <w:rPr>
          <w:rFonts w:ascii="Arial" w:hAnsi="Arial" w:cs="Arial"/>
          <w:sz w:val="24"/>
          <w:szCs w:val="24"/>
        </w:rPr>
        <w:t> </w:t>
      </w:r>
      <w:r w:rsidR="00982E6E" w:rsidRPr="00CE1E39">
        <w:rPr>
          <w:rFonts w:ascii="Arial" w:hAnsi="Arial" w:cs="Arial"/>
          <w:sz w:val="24"/>
          <w:szCs w:val="24"/>
        </w:rPr>
        <w:t>000</w:t>
      </w:r>
      <w:r w:rsidR="00F73D44" w:rsidRPr="00CE1E39">
        <w:rPr>
          <w:rFonts w:ascii="Arial" w:hAnsi="Arial" w:cs="Arial"/>
          <w:sz w:val="24"/>
          <w:szCs w:val="24"/>
        </w:rPr>
        <w:t>.</w:t>
      </w:r>
      <w:r w:rsidR="001B75C1" w:rsidRPr="00CE1E39">
        <w:rPr>
          <w:rFonts w:ascii="Arial" w:hAnsi="Arial" w:cs="Arial"/>
          <w:sz w:val="24"/>
          <w:szCs w:val="24"/>
        </w:rPr>
        <w:t>00.</w:t>
      </w:r>
    </w:p>
    <w:p w14:paraId="4ACBFE0E" w14:textId="77777777" w:rsidR="00982E6E" w:rsidRDefault="00982E6E" w:rsidP="008E64FB">
      <w:pPr>
        <w:spacing w:line="360" w:lineRule="auto"/>
        <w:jc w:val="both"/>
        <w:rPr>
          <w:rFonts w:ascii="Arial" w:hAnsi="Arial" w:cs="Arial"/>
          <w:sz w:val="24"/>
          <w:szCs w:val="24"/>
        </w:rPr>
      </w:pPr>
    </w:p>
    <w:p w14:paraId="396B06E8" w14:textId="5BF1242C" w:rsidR="008E64FB" w:rsidRPr="00187B2D" w:rsidRDefault="008E64FB" w:rsidP="008E64FB">
      <w:pPr>
        <w:spacing w:line="360" w:lineRule="auto"/>
        <w:jc w:val="both"/>
        <w:rPr>
          <w:rFonts w:ascii="Arial" w:hAnsi="Arial" w:cs="Arial"/>
          <w:i/>
          <w:iCs/>
          <w:sz w:val="24"/>
          <w:szCs w:val="24"/>
        </w:rPr>
      </w:pPr>
      <w:r w:rsidRPr="00187B2D">
        <w:rPr>
          <w:rFonts w:ascii="Arial" w:hAnsi="Arial" w:cs="Arial"/>
          <w:i/>
          <w:iCs/>
          <w:sz w:val="24"/>
          <w:szCs w:val="24"/>
        </w:rPr>
        <w:t>The default judgment application</w:t>
      </w:r>
    </w:p>
    <w:p w14:paraId="32E4A142" w14:textId="3C8B6D29" w:rsidR="007B21CE" w:rsidRPr="007A498E" w:rsidRDefault="007A498E" w:rsidP="00137326">
      <w:pPr>
        <w:spacing w:line="36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171081" w:rsidRPr="007A498E">
        <w:rPr>
          <w:rFonts w:ascii="Arial" w:hAnsi="Arial" w:cs="Arial"/>
          <w:sz w:val="24"/>
          <w:szCs w:val="24"/>
        </w:rPr>
        <w:t>This matter came before me on 24 October 2023 for default judgment</w:t>
      </w:r>
      <w:r w:rsidR="0090260B" w:rsidRPr="007A498E">
        <w:rPr>
          <w:rFonts w:ascii="Arial" w:hAnsi="Arial" w:cs="Arial"/>
          <w:sz w:val="24"/>
          <w:szCs w:val="24"/>
        </w:rPr>
        <w:t xml:space="preserve"> on the basis that the defendant </w:t>
      </w:r>
      <w:r w:rsidR="00820A1F" w:rsidRPr="007A498E">
        <w:rPr>
          <w:rFonts w:ascii="Arial" w:hAnsi="Arial" w:cs="Arial"/>
          <w:sz w:val="24"/>
          <w:szCs w:val="24"/>
        </w:rPr>
        <w:t>failed to file an appearance to defend</w:t>
      </w:r>
      <w:r w:rsidR="00171081" w:rsidRPr="007A498E">
        <w:rPr>
          <w:rFonts w:ascii="Arial" w:hAnsi="Arial" w:cs="Arial"/>
          <w:sz w:val="24"/>
          <w:szCs w:val="24"/>
        </w:rPr>
        <w:t>. According to the documents filed of record, summons was served on the defendant on 14 June 2022</w:t>
      </w:r>
      <w:r w:rsidR="00820A1F" w:rsidRPr="007A498E">
        <w:rPr>
          <w:rFonts w:ascii="Arial" w:hAnsi="Arial" w:cs="Arial"/>
          <w:sz w:val="24"/>
          <w:szCs w:val="24"/>
        </w:rPr>
        <w:t>.</w:t>
      </w:r>
      <w:r w:rsidR="00171081" w:rsidRPr="007A498E">
        <w:rPr>
          <w:rFonts w:ascii="Arial" w:hAnsi="Arial" w:cs="Arial"/>
          <w:sz w:val="24"/>
          <w:szCs w:val="24"/>
        </w:rPr>
        <w:t xml:space="preserve"> </w:t>
      </w:r>
    </w:p>
    <w:p w14:paraId="4D515429" w14:textId="7F0EB985" w:rsidR="00E111A6" w:rsidRPr="003555C5" w:rsidRDefault="007A498E" w:rsidP="003555C5">
      <w:pPr>
        <w:spacing w:line="360" w:lineRule="auto"/>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00A32733" w:rsidRPr="007A498E">
        <w:rPr>
          <w:rFonts w:ascii="Arial" w:hAnsi="Arial" w:cs="Arial"/>
          <w:sz w:val="24"/>
          <w:szCs w:val="24"/>
        </w:rPr>
        <w:t>On 23 October 2023, t</w:t>
      </w:r>
      <w:r w:rsidR="00C8624D" w:rsidRPr="007A498E">
        <w:rPr>
          <w:rFonts w:ascii="Arial" w:hAnsi="Arial" w:cs="Arial"/>
          <w:sz w:val="24"/>
          <w:szCs w:val="24"/>
        </w:rPr>
        <w:t xml:space="preserve">he plaintiff served </w:t>
      </w:r>
      <w:r w:rsidR="00A32733" w:rsidRPr="007A498E">
        <w:rPr>
          <w:rFonts w:ascii="Arial" w:hAnsi="Arial" w:cs="Arial"/>
          <w:sz w:val="24"/>
          <w:szCs w:val="24"/>
        </w:rPr>
        <w:t xml:space="preserve">and filed </w:t>
      </w:r>
      <w:r w:rsidR="00C8624D" w:rsidRPr="007A498E">
        <w:rPr>
          <w:rFonts w:ascii="Arial" w:hAnsi="Arial" w:cs="Arial"/>
          <w:sz w:val="24"/>
          <w:szCs w:val="24"/>
        </w:rPr>
        <w:t>a notice in terms of Rule 28(1)</w:t>
      </w:r>
      <w:r w:rsidR="00513D5F" w:rsidRPr="007A498E">
        <w:rPr>
          <w:rFonts w:ascii="Arial" w:hAnsi="Arial" w:cs="Arial"/>
          <w:sz w:val="24"/>
          <w:szCs w:val="24"/>
        </w:rPr>
        <w:t xml:space="preserve"> of the Uniform Rules</w:t>
      </w:r>
      <w:r w:rsidR="00C8624D" w:rsidRPr="007A498E">
        <w:rPr>
          <w:rFonts w:ascii="Arial" w:hAnsi="Arial" w:cs="Arial"/>
          <w:sz w:val="24"/>
          <w:szCs w:val="24"/>
        </w:rPr>
        <w:t>, dated 18 October 2023,</w:t>
      </w:r>
      <w:r w:rsidR="00B942BD" w:rsidRPr="007A498E">
        <w:rPr>
          <w:rFonts w:ascii="Arial" w:hAnsi="Arial" w:cs="Arial"/>
          <w:sz w:val="24"/>
          <w:szCs w:val="24"/>
        </w:rPr>
        <w:t xml:space="preserve"> amending the quantum </w:t>
      </w:r>
      <w:r w:rsidR="002120EC" w:rsidRPr="007A498E">
        <w:rPr>
          <w:rFonts w:ascii="Arial" w:hAnsi="Arial" w:cs="Arial"/>
          <w:sz w:val="24"/>
          <w:szCs w:val="24"/>
        </w:rPr>
        <w:t xml:space="preserve">claimed, </w:t>
      </w:r>
      <w:r w:rsidR="00B942BD" w:rsidRPr="007A498E">
        <w:rPr>
          <w:rFonts w:ascii="Arial" w:hAnsi="Arial" w:cs="Arial"/>
          <w:sz w:val="24"/>
          <w:szCs w:val="24"/>
        </w:rPr>
        <w:t>as follows</w:t>
      </w:r>
      <w:r w:rsidR="00724548">
        <w:rPr>
          <w:rFonts w:ascii="Arial" w:hAnsi="Arial" w:cs="Arial"/>
          <w:sz w:val="24"/>
          <w:szCs w:val="24"/>
        </w:rPr>
        <w:t xml:space="preserve"> </w:t>
      </w:r>
      <w:r w:rsidR="00724548" w:rsidRPr="00724548">
        <w:rPr>
          <w:rFonts w:ascii="Arial" w:hAnsi="Arial" w:cs="Arial"/>
          <w:sz w:val="24"/>
          <w:szCs w:val="24"/>
        </w:rPr>
        <w:t>—</w:t>
      </w:r>
    </w:p>
    <w:p w14:paraId="56C69D33" w14:textId="2808BD20" w:rsidR="00B942BD" w:rsidRPr="00591FD0" w:rsidRDefault="00B942BD" w:rsidP="003555C5">
      <w:pPr>
        <w:pStyle w:val="ListParagraph"/>
        <w:numPr>
          <w:ilvl w:val="0"/>
          <w:numId w:val="17"/>
        </w:numPr>
        <w:spacing w:line="360" w:lineRule="auto"/>
        <w:ind w:left="851" w:hanging="284"/>
        <w:jc w:val="both"/>
        <w:rPr>
          <w:rFonts w:ascii="Arial" w:hAnsi="Arial" w:cs="Arial"/>
          <w:sz w:val="24"/>
          <w:szCs w:val="24"/>
        </w:rPr>
      </w:pPr>
      <w:r w:rsidRPr="00591FD0">
        <w:rPr>
          <w:rFonts w:ascii="Arial" w:hAnsi="Arial" w:cs="Arial"/>
          <w:sz w:val="24"/>
          <w:szCs w:val="24"/>
        </w:rPr>
        <w:t xml:space="preserve">Payment </w:t>
      </w:r>
      <w:r w:rsidR="00513D5F">
        <w:rPr>
          <w:rFonts w:ascii="Arial" w:hAnsi="Arial" w:cs="Arial"/>
          <w:sz w:val="24"/>
          <w:szCs w:val="24"/>
        </w:rPr>
        <w:t xml:space="preserve">in the </w:t>
      </w:r>
      <w:r w:rsidRPr="00591FD0">
        <w:rPr>
          <w:rFonts w:ascii="Arial" w:hAnsi="Arial" w:cs="Arial"/>
          <w:sz w:val="24"/>
          <w:szCs w:val="24"/>
        </w:rPr>
        <w:t>amount of R5 007</w:t>
      </w:r>
      <w:r w:rsidR="00724548">
        <w:rPr>
          <w:rFonts w:ascii="Arial" w:hAnsi="Arial" w:cs="Arial"/>
          <w:sz w:val="24"/>
          <w:szCs w:val="24"/>
        </w:rPr>
        <w:t> </w:t>
      </w:r>
      <w:r w:rsidRPr="00591FD0">
        <w:rPr>
          <w:rFonts w:ascii="Arial" w:hAnsi="Arial" w:cs="Arial"/>
          <w:sz w:val="24"/>
          <w:szCs w:val="24"/>
        </w:rPr>
        <w:t>673</w:t>
      </w:r>
      <w:r w:rsidR="00724548">
        <w:rPr>
          <w:rFonts w:ascii="Arial" w:hAnsi="Arial" w:cs="Arial"/>
          <w:sz w:val="24"/>
          <w:szCs w:val="24"/>
        </w:rPr>
        <w:t>.</w:t>
      </w:r>
      <w:r w:rsidRPr="00591FD0">
        <w:rPr>
          <w:rFonts w:ascii="Arial" w:hAnsi="Arial" w:cs="Arial"/>
          <w:sz w:val="24"/>
          <w:szCs w:val="24"/>
        </w:rPr>
        <w:t>00 in respect of past and future medical expenses, past and future loss of earnings and generals; and</w:t>
      </w:r>
    </w:p>
    <w:p w14:paraId="0072CC6A" w14:textId="364BB75E" w:rsidR="00EA6712" w:rsidRPr="00187B2D" w:rsidRDefault="00B942BD" w:rsidP="003555C5">
      <w:pPr>
        <w:pStyle w:val="ListParagraph"/>
        <w:numPr>
          <w:ilvl w:val="0"/>
          <w:numId w:val="17"/>
        </w:numPr>
        <w:spacing w:line="360" w:lineRule="auto"/>
        <w:ind w:left="851" w:hanging="284"/>
        <w:jc w:val="both"/>
        <w:rPr>
          <w:rFonts w:ascii="Arial" w:hAnsi="Arial" w:cs="Arial"/>
          <w:sz w:val="24"/>
          <w:szCs w:val="24"/>
        </w:rPr>
      </w:pPr>
      <w:r w:rsidRPr="00187B2D">
        <w:rPr>
          <w:rFonts w:ascii="Arial" w:hAnsi="Arial" w:cs="Arial"/>
          <w:sz w:val="24"/>
          <w:szCs w:val="24"/>
        </w:rPr>
        <w:t xml:space="preserve">Payment </w:t>
      </w:r>
      <w:r w:rsidR="00513D5F" w:rsidRPr="00187B2D">
        <w:rPr>
          <w:rFonts w:ascii="Arial" w:hAnsi="Arial" w:cs="Arial"/>
          <w:sz w:val="24"/>
          <w:szCs w:val="24"/>
        </w:rPr>
        <w:t>in the amount of</w:t>
      </w:r>
      <w:r w:rsidRPr="00187B2D">
        <w:rPr>
          <w:rFonts w:ascii="Arial" w:hAnsi="Arial" w:cs="Arial"/>
          <w:sz w:val="24"/>
          <w:szCs w:val="24"/>
        </w:rPr>
        <w:t xml:space="preserve"> R3 848</w:t>
      </w:r>
      <w:r w:rsidR="00724548">
        <w:rPr>
          <w:rFonts w:ascii="Arial" w:hAnsi="Arial" w:cs="Arial"/>
          <w:sz w:val="24"/>
          <w:szCs w:val="24"/>
        </w:rPr>
        <w:t> </w:t>
      </w:r>
      <w:r w:rsidRPr="00187B2D">
        <w:rPr>
          <w:rFonts w:ascii="Arial" w:hAnsi="Arial" w:cs="Arial"/>
          <w:sz w:val="24"/>
          <w:szCs w:val="24"/>
        </w:rPr>
        <w:t>956</w:t>
      </w:r>
      <w:r w:rsidR="00724548">
        <w:rPr>
          <w:rFonts w:ascii="Arial" w:hAnsi="Arial" w:cs="Arial"/>
          <w:sz w:val="24"/>
          <w:szCs w:val="24"/>
        </w:rPr>
        <w:t>.</w:t>
      </w:r>
      <w:r w:rsidRPr="00187B2D">
        <w:rPr>
          <w:rFonts w:ascii="Arial" w:hAnsi="Arial" w:cs="Arial"/>
          <w:sz w:val="24"/>
          <w:szCs w:val="24"/>
        </w:rPr>
        <w:t>99 in respect of past and future loss of support.</w:t>
      </w:r>
    </w:p>
    <w:p w14:paraId="01F298AB" w14:textId="633E472A" w:rsidR="00830F95" w:rsidRPr="00533587" w:rsidRDefault="00533587" w:rsidP="00137326">
      <w:pPr>
        <w:spacing w:line="360" w:lineRule="auto"/>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006078C4" w:rsidRPr="00533587">
        <w:rPr>
          <w:rFonts w:ascii="Arial" w:hAnsi="Arial" w:cs="Arial"/>
          <w:sz w:val="24"/>
          <w:szCs w:val="24"/>
        </w:rPr>
        <w:t>As a result of this proposed amendment, the quantum</w:t>
      </w:r>
      <w:r w:rsidR="009A3882" w:rsidRPr="00533587">
        <w:rPr>
          <w:rFonts w:ascii="Arial" w:hAnsi="Arial" w:cs="Arial"/>
          <w:sz w:val="24"/>
          <w:szCs w:val="24"/>
        </w:rPr>
        <w:t xml:space="preserve"> is now set to the tune of </w:t>
      </w:r>
      <w:r w:rsidR="00611823" w:rsidRPr="00533587">
        <w:rPr>
          <w:rFonts w:ascii="Arial" w:hAnsi="Arial" w:cs="Arial"/>
          <w:sz w:val="24"/>
          <w:szCs w:val="24"/>
        </w:rPr>
        <w:t xml:space="preserve">                  </w:t>
      </w:r>
      <w:r w:rsidR="009A3882" w:rsidRPr="00533587">
        <w:rPr>
          <w:rFonts w:ascii="Arial" w:hAnsi="Arial" w:cs="Arial"/>
          <w:sz w:val="24"/>
          <w:szCs w:val="24"/>
        </w:rPr>
        <w:t xml:space="preserve">R </w:t>
      </w:r>
      <w:r w:rsidR="00624363" w:rsidRPr="00533587">
        <w:rPr>
          <w:rFonts w:ascii="Arial" w:hAnsi="Arial" w:cs="Arial"/>
          <w:sz w:val="24"/>
          <w:szCs w:val="24"/>
        </w:rPr>
        <w:t>8</w:t>
      </w:r>
      <w:r w:rsidR="00081D78" w:rsidRPr="00533587">
        <w:rPr>
          <w:rFonts w:ascii="Arial" w:hAnsi="Arial" w:cs="Arial"/>
          <w:sz w:val="24"/>
          <w:szCs w:val="24"/>
        </w:rPr>
        <w:t> </w:t>
      </w:r>
      <w:r w:rsidR="00624363" w:rsidRPr="00533587">
        <w:rPr>
          <w:rFonts w:ascii="Arial" w:hAnsi="Arial" w:cs="Arial"/>
          <w:sz w:val="24"/>
          <w:szCs w:val="24"/>
        </w:rPr>
        <w:t>856</w:t>
      </w:r>
      <w:r w:rsidR="00081D78" w:rsidRPr="00533587">
        <w:rPr>
          <w:rFonts w:ascii="Arial" w:hAnsi="Arial" w:cs="Arial"/>
          <w:sz w:val="24"/>
          <w:szCs w:val="24"/>
        </w:rPr>
        <w:t xml:space="preserve"> </w:t>
      </w:r>
      <w:r w:rsidR="00624363" w:rsidRPr="00533587">
        <w:rPr>
          <w:rFonts w:ascii="Arial" w:hAnsi="Arial" w:cs="Arial"/>
          <w:sz w:val="24"/>
          <w:szCs w:val="24"/>
        </w:rPr>
        <w:t>6</w:t>
      </w:r>
      <w:r w:rsidR="00081D78" w:rsidRPr="00533587">
        <w:rPr>
          <w:rFonts w:ascii="Arial" w:hAnsi="Arial" w:cs="Arial"/>
          <w:sz w:val="24"/>
          <w:szCs w:val="24"/>
        </w:rPr>
        <w:t>29.99</w:t>
      </w:r>
      <w:r w:rsidR="006078C4" w:rsidRPr="00533587">
        <w:rPr>
          <w:rFonts w:ascii="Arial" w:hAnsi="Arial" w:cs="Arial"/>
          <w:sz w:val="24"/>
          <w:szCs w:val="24"/>
        </w:rPr>
        <w:t xml:space="preserve"> </w:t>
      </w:r>
      <w:r w:rsidR="00142D81" w:rsidRPr="00533587">
        <w:rPr>
          <w:rFonts w:ascii="Arial" w:hAnsi="Arial" w:cs="Arial"/>
          <w:sz w:val="24"/>
          <w:szCs w:val="24"/>
        </w:rPr>
        <w:t xml:space="preserve">as opposed </w:t>
      </w:r>
      <w:r w:rsidR="00782795" w:rsidRPr="00533587">
        <w:rPr>
          <w:rFonts w:ascii="Arial" w:hAnsi="Arial" w:cs="Arial"/>
          <w:sz w:val="24"/>
          <w:szCs w:val="24"/>
        </w:rPr>
        <w:t>to R2 300 000.</w:t>
      </w:r>
      <w:r w:rsidR="00C041F2" w:rsidRPr="00533587">
        <w:rPr>
          <w:rFonts w:ascii="Arial" w:hAnsi="Arial" w:cs="Arial"/>
          <w:sz w:val="24"/>
          <w:szCs w:val="24"/>
        </w:rPr>
        <w:t>00</w:t>
      </w:r>
      <w:r w:rsidR="00782795" w:rsidRPr="00533587">
        <w:rPr>
          <w:rFonts w:ascii="Arial" w:hAnsi="Arial" w:cs="Arial"/>
          <w:sz w:val="24"/>
          <w:szCs w:val="24"/>
        </w:rPr>
        <w:t xml:space="preserve"> as claimed in the </w:t>
      </w:r>
      <w:r w:rsidR="00C041F2" w:rsidRPr="00533587">
        <w:rPr>
          <w:rFonts w:ascii="Arial" w:hAnsi="Arial" w:cs="Arial"/>
          <w:sz w:val="24"/>
          <w:szCs w:val="24"/>
        </w:rPr>
        <w:t>particulars of claim.</w:t>
      </w:r>
    </w:p>
    <w:p w14:paraId="69A0BDCB" w14:textId="1EFABD17" w:rsidR="00142D81" w:rsidRPr="00533587" w:rsidRDefault="00533587" w:rsidP="00137326">
      <w:pPr>
        <w:spacing w:line="360" w:lineRule="auto"/>
        <w:ind w:left="567" w:hanging="567"/>
        <w:jc w:val="both"/>
        <w:rPr>
          <w:rFonts w:ascii="Arial" w:hAnsi="Arial" w:cs="Arial"/>
          <w:sz w:val="24"/>
          <w:szCs w:val="24"/>
        </w:rPr>
      </w:pPr>
      <w:r>
        <w:rPr>
          <w:rFonts w:ascii="Arial" w:hAnsi="Arial" w:cs="Arial"/>
          <w:sz w:val="24"/>
          <w:szCs w:val="24"/>
        </w:rPr>
        <w:t>[6]</w:t>
      </w:r>
      <w:r w:rsidR="00904CBF">
        <w:rPr>
          <w:rFonts w:ascii="Arial" w:hAnsi="Arial" w:cs="Arial"/>
          <w:sz w:val="24"/>
          <w:szCs w:val="24"/>
        </w:rPr>
        <w:tab/>
      </w:r>
      <w:r w:rsidR="00143842">
        <w:rPr>
          <w:rFonts w:ascii="Arial" w:hAnsi="Arial" w:cs="Arial"/>
          <w:sz w:val="24"/>
          <w:szCs w:val="24"/>
        </w:rPr>
        <w:t>U</w:t>
      </w:r>
      <w:r w:rsidR="00904CBF">
        <w:rPr>
          <w:rFonts w:ascii="Arial" w:hAnsi="Arial" w:cs="Arial"/>
          <w:sz w:val="24"/>
          <w:szCs w:val="24"/>
        </w:rPr>
        <w:t xml:space="preserve">nsurprisingly, </w:t>
      </w:r>
      <w:r w:rsidR="00142D81" w:rsidRPr="00533587">
        <w:rPr>
          <w:rFonts w:ascii="Arial" w:hAnsi="Arial" w:cs="Arial"/>
          <w:sz w:val="24"/>
          <w:szCs w:val="24"/>
        </w:rPr>
        <w:t xml:space="preserve">the defendant then filed a notice of intention to defend on 23 October 2023, a day before the hearing. </w:t>
      </w:r>
      <w:r w:rsidR="00143842">
        <w:rPr>
          <w:rFonts w:ascii="Arial" w:hAnsi="Arial" w:cs="Arial"/>
          <w:sz w:val="24"/>
          <w:szCs w:val="24"/>
        </w:rPr>
        <w:t xml:space="preserve">I use the word “unsurprisingly” </w:t>
      </w:r>
      <w:r w:rsidR="00C71048">
        <w:rPr>
          <w:rFonts w:ascii="Arial" w:hAnsi="Arial" w:cs="Arial"/>
          <w:sz w:val="24"/>
          <w:szCs w:val="24"/>
        </w:rPr>
        <w:t xml:space="preserve">because in a number of matters during my stints in the default judgment </w:t>
      </w:r>
      <w:r w:rsidR="00015DB7">
        <w:rPr>
          <w:rFonts w:ascii="Arial" w:hAnsi="Arial" w:cs="Arial"/>
          <w:sz w:val="24"/>
          <w:szCs w:val="24"/>
        </w:rPr>
        <w:t xml:space="preserve">trial </w:t>
      </w:r>
      <w:r w:rsidR="00C71048">
        <w:rPr>
          <w:rFonts w:ascii="Arial" w:hAnsi="Arial" w:cs="Arial"/>
          <w:sz w:val="24"/>
          <w:szCs w:val="24"/>
        </w:rPr>
        <w:t>cour</w:t>
      </w:r>
      <w:r w:rsidR="001372A0">
        <w:rPr>
          <w:rFonts w:ascii="Arial" w:hAnsi="Arial" w:cs="Arial"/>
          <w:sz w:val="24"/>
          <w:szCs w:val="24"/>
        </w:rPr>
        <w:t>t</w:t>
      </w:r>
      <w:r w:rsidR="007E35E2">
        <w:rPr>
          <w:rFonts w:ascii="Arial" w:hAnsi="Arial" w:cs="Arial"/>
          <w:sz w:val="24"/>
          <w:szCs w:val="24"/>
        </w:rPr>
        <w:t xml:space="preserve"> it has </w:t>
      </w:r>
      <w:r w:rsidR="007E35E2">
        <w:rPr>
          <w:rFonts w:ascii="Arial" w:hAnsi="Arial" w:cs="Arial"/>
          <w:sz w:val="24"/>
          <w:szCs w:val="24"/>
        </w:rPr>
        <w:lastRenderedPageBreak/>
        <w:t xml:space="preserve">become the norm for matters to be defended on the day of the </w:t>
      </w:r>
      <w:r w:rsidR="00627A9A">
        <w:rPr>
          <w:rFonts w:ascii="Arial" w:hAnsi="Arial" w:cs="Arial"/>
          <w:sz w:val="24"/>
          <w:szCs w:val="24"/>
        </w:rPr>
        <w:t>hearing</w:t>
      </w:r>
      <w:r w:rsidR="00E72BC7">
        <w:rPr>
          <w:rFonts w:ascii="Arial" w:hAnsi="Arial" w:cs="Arial"/>
          <w:sz w:val="24"/>
          <w:szCs w:val="24"/>
        </w:rPr>
        <w:t xml:space="preserve"> or </w:t>
      </w:r>
      <w:r w:rsidR="00614458">
        <w:rPr>
          <w:rFonts w:ascii="Arial" w:hAnsi="Arial" w:cs="Arial"/>
          <w:sz w:val="24"/>
          <w:szCs w:val="24"/>
        </w:rPr>
        <w:t>pleadings to be amended after</w:t>
      </w:r>
      <w:r w:rsidR="00917E21">
        <w:rPr>
          <w:rFonts w:ascii="Arial" w:hAnsi="Arial" w:cs="Arial"/>
          <w:sz w:val="24"/>
          <w:szCs w:val="24"/>
        </w:rPr>
        <w:t xml:space="preserve"> service of set down for default judgment</w:t>
      </w:r>
      <w:r w:rsidR="00B21719">
        <w:rPr>
          <w:rFonts w:ascii="Arial" w:hAnsi="Arial" w:cs="Arial"/>
          <w:sz w:val="24"/>
          <w:szCs w:val="24"/>
        </w:rPr>
        <w:t xml:space="preserve">, resulting in </w:t>
      </w:r>
      <w:r w:rsidR="00EC39AD">
        <w:rPr>
          <w:rFonts w:ascii="Arial" w:hAnsi="Arial" w:cs="Arial"/>
          <w:sz w:val="24"/>
          <w:szCs w:val="24"/>
        </w:rPr>
        <w:t>precious time for preparation and court resources going</w:t>
      </w:r>
      <w:r w:rsidR="002E0481">
        <w:rPr>
          <w:rFonts w:ascii="Arial" w:hAnsi="Arial" w:cs="Arial"/>
          <w:sz w:val="24"/>
          <w:szCs w:val="24"/>
        </w:rPr>
        <w:t xml:space="preserve"> to waste. </w:t>
      </w:r>
      <w:r w:rsidR="007F7D02">
        <w:rPr>
          <w:rFonts w:ascii="Arial" w:hAnsi="Arial" w:cs="Arial"/>
          <w:sz w:val="24"/>
          <w:szCs w:val="24"/>
        </w:rPr>
        <w:t>However, I do accept that parties are entitled to</w:t>
      </w:r>
      <w:r w:rsidR="00327C52">
        <w:rPr>
          <w:rFonts w:ascii="Arial" w:hAnsi="Arial" w:cs="Arial"/>
          <w:sz w:val="24"/>
          <w:szCs w:val="24"/>
        </w:rPr>
        <w:t xml:space="preserve"> have their disputes resolved as provided for in the Constitution </w:t>
      </w:r>
      <w:r w:rsidR="00942110">
        <w:rPr>
          <w:rFonts w:ascii="Arial" w:hAnsi="Arial" w:cs="Arial"/>
          <w:sz w:val="24"/>
          <w:szCs w:val="24"/>
        </w:rPr>
        <w:t xml:space="preserve">of the </w:t>
      </w:r>
      <w:r w:rsidR="00371B69">
        <w:rPr>
          <w:rFonts w:ascii="Arial" w:hAnsi="Arial" w:cs="Arial"/>
          <w:sz w:val="24"/>
          <w:szCs w:val="24"/>
        </w:rPr>
        <w:t>Republic</w:t>
      </w:r>
      <w:r w:rsidR="00724548">
        <w:rPr>
          <w:rFonts w:ascii="Arial" w:hAnsi="Arial" w:cs="Arial"/>
          <w:sz w:val="24"/>
          <w:szCs w:val="24"/>
        </w:rPr>
        <w:t xml:space="preserve"> of South Africa, 1996</w:t>
      </w:r>
      <w:r w:rsidR="00371B69">
        <w:rPr>
          <w:rFonts w:ascii="Arial" w:hAnsi="Arial" w:cs="Arial"/>
          <w:sz w:val="24"/>
          <w:szCs w:val="24"/>
        </w:rPr>
        <w:t xml:space="preserve"> </w:t>
      </w:r>
      <w:r w:rsidR="00327C52">
        <w:rPr>
          <w:rFonts w:ascii="Arial" w:hAnsi="Arial" w:cs="Arial"/>
          <w:sz w:val="24"/>
          <w:szCs w:val="24"/>
        </w:rPr>
        <w:t>and th</w:t>
      </w:r>
      <w:r w:rsidR="00F470C7">
        <w:rPr>
          <w:rFonts w:ascii="Arial" w:hAnsi="Arial" w:cs="Arial"/>
          <w:sz w:val="24"/>
          <w:szCs w:val="24"/>
        </w:rPr>
        <w:t xml:space="preserve">e applicable legal principles. </w:t>
      </w:r>
      <w:r w:rsidR="00A30132" w:rsidRPr="00533587">
        <w:rPr>
          <w:rFonts w:ascii="Arial" w:hAnsi="Arial" w:cs="Arial"/>
          <w:sz w:val="24"/>
          <w:szCs w:val="24"/>
        </w:rPr>
        <w:t>Effectively, the matter became a defended action and the defendant will inevitably have to file a plea.</w:t>
      </w:r>
    </w:p>
    <w:p w14:paraId="23201F42" w14:textId="37EB5C45" w:rsidR="005D5CE5" w:rsidRPr="00F470C7" w:rsidRDefault="00F470C7" w:rsidP="00137326">
      <w:pPr>
        <w:spacing w:line="360" w:lineRule="auto"/>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009C0C52" w:rsidRPr="00F470C7">
        <w:rPr>
          <w:rFonts w:ascii="Arial" w:hAnsi="Arial" w:cs="Arial"/>
          <w:sz w:val="24"/>
          <w:szCs w:val="24"/>
        </w:rPr>
        <w:t>After h</w:t>
      </w:r>
      <w:r w:rsidR="001A2E3C" w:rsidRPr="00F470C7">
        <w:rPr>
          <w:rFonts w:ascii="Arial" w:hAnsi="Arial" w:cs="Arial"/>
          <w:sz w:val="24"/>
          <w:szCs w:val="24"/>
        </w:rPr>
        <w:t>aving expressed my concerns regarding the proposed amendment, p</w:t>
      </w:r>
      <w:r w:rsidR="00EC269B" w:rsidRPr="00F470C7">
        <w:rPr>
          <w:rFonts w:ascii="Arial" w:hAnsi="Arial" w:cs="Arial"/>
          <w:sz w:val="24"/>
          <w:szCs w:val="24"/>
        </w:rPr>
        <w:t>laintiff’s Counsel</w:t>
      </w:r>
      <w:r w:rsidR="001A2E3C" w:rsidRPr="00F470C7">
        <w:rPr>
          <w:rFonts w:ascii="Arial" w:hAnsi="Arial" w:cs="Arial"/>
          <w:sz w:val="24"/>
          <w:szCs w:val="24"/>
        </w:rPr>
        <w:t>, Mr</w:t>
      </w:r>
      <w:r w:rsidR="00DF4D77" w:rsidRPr="00F470C7">
        <w:rPr>
          <w:rFonts w:ascii="Arial" w:hAnsi="Arial" w:cs="Arial"/>
          <w:sz w:val="24"/>
          <w:szCs w:val="24"/>
        </w:rPr>
        <w:t>.</w:t>
      </w:r>
      <w:r w:rsidR="001A2E3C" w:rsidRPr="00F470C7">
        <w:rPr>
          <w:rFonts w:ascii="Arial" w:hAnsi="Arial" w:cs="Arial"/>
          <w:sz w:val="24"/>
          <w:szCs w:val="24"/>
        </w:rPr>
        <w:t xml:space="preserve"> Smit</w:t>
      </w:r>
      <w:r w:rsidR="00063025" w:rsidRPr="00F470C7">
        <w:rPr>
          <w:rFonts w:ascii="Arial" w:hAnsi="Arial" w:cs="Arial"/>
          <w:sz w:val="24"/>
          <w:szCs w:val="24"/>
        </w:rPr>
        <w:t>,</w:t>
      </w:r>
      <w:r w:rsidR="00EC269B" w:rsidRPr="00F470C7">
        <w:rPr>
          <w:rFonts w:ascii="Arial" w:hAnsi="Arial" w:cs="Arial"/>
          <w:sz w:val="24"/>
          <w:szCs w:val="24"/>
        </w:rPr>
        <w:t xml:space="preserve"> requested that the matter stand down to </w:t>
      </w:r>
      <w:r w:rsidR="00D21BC7" w:rsidRPr="00F470C7">
        <w:rPr>
          <w:rFonts w:ascii="Arial" w:hAnsi="Arial" w:cs="Arial"/>
          <w:sz w:val="24"/>
          <w:szCs w:val="24"/>
        </w:rPr>
        <w:t xml:space="preserve">engage </w:t>
      </w:r>
      <w:r w:rsidR="00EC269B" w:rsidRPr="00F470C7">
        <w:rPr>
          <w:rFonts w:ascii="Arial" w:hAnsi="Arial" w:cs="Arial"/>
          <w:sz w:val="24"/>
          <w:szCs w:val="24"/>
        </w:rPr>
        <w:t>with the defendant’s representative, Mr</w:t>
      </w:r>
      <w:r w:rsidR="00DF4D77" w:rsidRPr="00F470C7">
        <w:rPr>
          <w:rFonts w:ascii="Arial" w:hAnsi="Arial" w:cs="Arial"/>
          <w:sz w:val="24"/>
          <w:szCs w:val="24"/>
        </w:rPr>
        <w:t>.</w:t>
      </w:r>
      <w:r w:rsidR="00EC269B" w:rsidRPr="00F470C7">
        <w:rPr>
          <w:rFonts w:ascii="Arial" w:hAnsi="Arial" w:cs="Arial"/>
          <w:sz w:val="24"/>
          <w:szCs w:val="24"/>
        </w:rPr>
        <w:t xml:space="preserve"> Sondlani, with the view of p</w:t>
      </w:r>
      <w:r w:rsidR="00AD20C8" w:rsidRPr="00F470C7">
        <w:rPr>
          <w:rFonts w:ascii="Arial" w:hAnsi="Arial" w:cs="Arial"/>
          <w:sz w:val="24"/>
          <w:szCs w:val="24"/>
        </w:rPr>
        <w:t xml:space="preserve">artially </w:t>
      </w:r>
      <w:r w:rsidR="00EC269B" w:rsidRPr="00F470C7">
        <w:rPr>
          <w:rFonts w:ascii="Arial" w:hAnsi="Arial" w:cs="Arial"/>
          <w:sz w:val="24"/>
          <w:szCs w:val="24"/>
        </w:rPr>
        <w:t>settling the matter.</w:t>
      </w:r>
      <w:r w:rsidR="00F118FC" w:rsidRPr="00F470C7">
        <w:rPr>
          <w:rFonts w:ascii="Arial" w:hAnsi="Arial" w:cs="Arial"/>
          <w:sz w:val="24"/>
          <w:szCs w:val="24"/>
        </w:rPr>
        <w:t xml:space="preserve"> </w:t>
      </w:r>
      <w:r w:rsidR="00AD20C8" w:rsidRPr="00F470C7">
        <w:rPr>
          <w:rFonts w:ascii="Arial" w:hAnsi="Arial" w:cs="Arial"/>
          <w:sz w:val="24"/>
          <w:szCs w:val="24"/>
        </w:rPr>
        <w:t>I was</w:t>
      </w:r>
      <w:r w:rsidR="00093692">
        <w:rPr>
          <w:rFonts w:ascii="Arial" w:hAnsi="Arial" w:cs="Arial"/>
          <w:sz w:val="24"/>
          <w:szCs w:val="24"/>
        </w:rPr>
        <w:t xml:space="preserve"> subsequently</w:t>
      </w:r>
      <w:r w:rsidR="00AD20C8" w:rsidRPr="00F470C7">
        <w:rPr>
          <w:rFonts w:ascii="Arial" w:hAnsi="Arial" w:cs="Arial"/>
          <w:sz w:val="24"/>
          <w:szCs w:val="24"/>
        </w:rPr>
        <w:t xml:space="preserve"> informed from the bar</w:t>
      </w:r>
      <w:r w:rsidR="00574ED6" w:rsidRPr="00F470C7">
        <w:rPr>
          <w:rFonts w:ascii="Arial" w:hAnsi="Arial" w:cs="Arial"/>
          <w:sz w:val="24"/>
          <w:szCs w:val="24"/>
        </w:rPr>
        <w:t xml:space="preserve"> that s</w:t>
      </w:r>
      <w:r w:rsidR="00EC269B" w:rsidRPr="00F470C7">
        <w:rPr>
          <w:rFonts w:ascii="Arial" w:hAnsi="Arial" w:cs="Arial"/>
          <w:sz w:val="24"/>
          <w:szCs w:val="24"/>
        </w:rPr>
        <w:t>ettlement negotiations failed</w:t>
      </w:r>
      <w:r w:rsidR="00574ED6" w:rsidRPr="00F470C7">
        <w:rPr>
          <w:rFonts w:ascii="Arial" w:hAnsi="Arial" w:cs="Arial"/>
          <w:sz w:val="24"/>
          <w:szCs w:val="24"/>
        </w:rPr>
        <w:t xml:space="preserve">. </w:t>
      </w:r>
    </w:p>
    <w:p w14:paraId="1ECD7C6F" w14:textId="03A181FC" w:rsidR="00387AB2" w:rsidRPr="00093692" w:rsidRDefault="00093692" w:rsidP="00137326">
      <w:pPr>
        <w:spacing w:line="360" w:lineRule="auto"/>
        <w:ind w:left="567" w:hanging="567"/>
        <w:jc w:val="both"/>
        <w:rPr>
          <w:rFonts w:ascii="Arial" w:hAnsi="Arial" w:cs="Arial"/>
          <w:sz w:val="24"/>
          <w:szCs w:val="24"/>
        </w:rPr>
      </w:pPr>
      <w:r>
        <w:rPr>
          <w:rFonts w:ascii="Arial" w:hAnsi="Arial" w:cs="Arial"/>
          <w:sz w:val="24"/>
          <w:szCs w:val="24"/>
        </w:rPr>
        <w:t>[8]</w:t>
      </w:r>
      <w:r>
        <w:rPr>
          <w:rFonts w:ascii="Arial" w:hAnsi="Arial" w:cs="Arial"/>
          <w:sz w:val="24"/>
          <w:szCs w:val="24"/>
        </w:rPr>
        <w:tab/>
      </w:r>
      <w:r w:rsidR="00574ED6" w:rsidRPr="00093692">
        <w:rPr>
          <w:rFonts w:ascii="Arial" w:hAnsi="Arial" w:cs="Arial"/>
          <w:sz w:val="24"/>
          <w:szCs w:val="24"/>
        </w:rPr>
        <w:t>I was advised by Mr. Smit</w:t>
      </w:r>
      <w:r w:rsidR="00845BCD" w:rsidRPr="00093692">
        <w:rPr>
          <w:rFonts w:ascii="Arial" w:hAnsi="Arial" w:cs="Arial"/>
          <w:sz w:val="24"/>
          <w:szCs w:val="24"/>
        </w:rPr>
        <w:t xml:space="preserve"> that the plaintiff intends brin</w:t>
      </w:r>
      <w:r w:rsidR="00724548">
        <w:rPr>
          <w:rFonts w:ascii="Arial" w:hAnsi="Arial" w:cs="Arial"/>
          <w:sz w:val="24"/>
          <w:szCs w:val="24"/>
        </w:rPr>
        <w:t>g</w:t>
      </w:r>
      <w:r w:rsidR="00845BCD" w:rsidRPr="00093692">
        <w:rPr>
          <w:rFonts w:ascii="Arial" w:hAnsi="Arial" w:cs="Arial"/>
          <w:sz w:val="24"/>
          <w:szCs w:val="24"/>
        </w:rPr>
        <w:t xml:space="preserve">ing an application for an interim payment </w:t>
      </w:r>
      <w:r w:rsidR="009E7AE6">
        <w:rPr>
          <w:rFonts w:ascii="Arial" w:hAnsi="Arial" w:cs="Arial"/>
          <w:sz w:val="24"/>
          <w:szCs w:val="24"/>
        </w:rPr>
        <w:t>in the amount of R</w:t>
      </w:r>
      <w:r w:rsidR="008F7EFC">
        <w:rPr>
          <w:rFonts w:ascii="Arial" w:hAnsi="Arial" w:cs="Arial"/>
          <w:sz w:val="24"/>
          <w:szCs w:val="24"/>
        </w:rPr>
        <w:t xml:space="preserve"> </w:t>
      </w:r>
      <w:r w:rsidR="009E7AE6">
        <w:rPr>
          <w:rFonts w:ascii="Arial" w:hAnsi="Arial" w:cs="Arial"/>
          <w:sz w:val="24"/>
          <w:szCs w:val="24"/>
        </w:rPr>
        <w:t>498</w:t>
      </w:r>
      <w:r w:rsidR="00724548">
        <w:rPr>
          <w:rFonts w:ascii="Arial" w:hAnsi="Arial" w:cs="Arial"/>
          <w:sz w:val="24"/>
          <w:szCs w:val="24"/>
        </w:rPr>
        <w:t> </w:t>
      </w:r>
      <w:r w:rsidR="009E7AE6">
        <w:rPr>
          <w:rFonts w:ascii="Arial" w:hAnsi="Arial" w:cs="Arial"/>
          <w:sz w:val="24"/>
          <w:szCs w:val="24"/>
        </w:rPr>
        <w:t>166</w:t>
      </w:r>
      <w:r w:rsidR="00724548">
        <w:rPr>
          <w:rFonts w:ascii="Arial" w:hAnsi="Arial" w:cs="Arial"/>
          <w:sz w:val="24"/>
          <w:szCs w:val="24"/>
        </w:rPr>
        <w:t>.00</w:t>
      </w:r>
      <w:r w:rsidR="009E7AE6">
        <w:rPr>
          <w:rFonts w:ascii="Arial" w:hAnsi="Arial" w:cs="Arial"/>
          <w:sz w:val="24"/>
          <w:szCs w:val="24"/>
        </w:rPr>
        <w:t xml:space="preserve"> </w:t>
      </w:r>
      <w:r w:rsidR="00065538" w:rsidRPr="00093692">
        <w:rPr>
          <w:rFonts w:ascii="Arial" w:hAnsi="Arial" w:cs="Arial"/>
          <w:sz w:val="24"/>
          <w:szCs w:val="24"/>
        </w:rPr>
        <w:t xml:space="preserve">in respect of past loss of earnings </w:t>
      </w:r>
      <w:r w:rsidR="00EC269B" w:rsidRPr="00093692">
        <w:rPr>
          <w:rFonts w:ascii="Arial" w:hAnsi="Arial" w:cs="Arial"/>
          <w:sz w:val="24"/>
          <w:szCs w:val="24"/>
        </w:rPr>
        <w:t>and</w:t>
      </w:r>
      <w:r w:rsidR="00DA0AA4" w:rsidRPr="00093692">
        <w:rPr>
          <w:rFonts w:ascii="Arial" w:hAnsi="Arial" w:cs="Arial"/>
          <w:sz w:val="24"/>
          <w:szCs w:val="24"/>
        </w:rPr>
        <w:t xml:space="preserve"> same was uploaded onto CaseLines </w:t>
      </w:r>
      <w:r w:rsidR="00FA2066" w:rsidRPr="00093692">
        <w:rPr>
          <w:rFonts w:ascii="Arial" w:hAnsi="Arial" w:cs="Arial"/>
          <w:sz w:val="24"/>
          <w:szCs w:val="24"/>
        </w:rPr>
        <w:t xml:space="preserve">the morning of </w:t>
      </w:r>
      <w:r w:rsidR="00DA63E2" w:rsidRPr="00093692">
        <w:rPr>
          <w:rFonts w:ascii="Arial" w:hAnsi="Arial" w:cs="Arial"/>
          <w:sz w:val="24"/>
          <w:szCs w:val="24"/>
        </w:rPr>
        <w:t>25 October 2023</w:t>
      </w:r>
      <w:r w:rsidR="001E6B50" w:rsidRPr="00093692">
        <w:rPr>
          <w:rFonts w:ascii="Arial" w:hAnsi="Arial" w:cs="Arial"/>
          <w:sz w:val="24"/>
          <w:szCs w:val="24"/>
        </w:rPr>
        <w:t>. A</w:t>
      </w:r>
      <w:r w:rsidR="00EC269B" w:rsidRPr="00093692">
        <w:rPr>
          <w:rFonts w:ascii="Arial" w:hAnsi="Arial" w:cs="Arial"/>
          <w:sz w:val="24"/>
          <w:szCs w:val="24"/>
        </w:rPr>
        <w:t xml:space="preserve">rgument ensued on 25 October 2023 as to whether the plaintiff would be entitled to an interim payment. </w:t>
      </w:r>
      <w:r w:rsidR="0064354D">
        <w:rPr>
          <w:rFonts w:ascii="Arial" w:hAnsi="Arial" w:cs="Arial"/>
          <w:sz w:val="24"/>
          <w:szCs w:val="24"/>
        </w:rPr>
        <w:t>It should be noted that in her unamended particulars of claim</w:t>
      </w:r>
      <w:r w:rsidR="00EF3205">
        <w:rPr>
          <w:rFonts w:ascii="Arial" w:hAnsi="Arial" w:cs="Arial"/>
          <w:sz w:val="24"/>
          <w:szCs w:val="24"/>
        </w:rPr>
        <w:t>,</w:t>
      </w:r>
      <w:r w:rsidR="0064354D">
        <w:rPr>
          <w:rFonts w:ascii="Arial" w:hAnsi="Arial" w:cs="Arial"/>
          <w:sz w:val="24"/>
          <w:szCs w:val="24"/>
        </w:rPr>
        <w:t xml:space="preserve"> the plaintiff claims R</w:t>
      </w:r>
      <w:r w:rsidR="008F7EFC">
        <w:rPr>
          <w:rFonts w:ascii="Arial" w:hAnsi="Arial" w:cs="Arial"/>
          <w:sz w:val="24"/>
          <w:szCs w:val="24"/>
        </w:rPr>
        <w:t xml:space="preserve"> </w:t>
      </w:r>
      <w:r w:rsidR="0064354D">
        <w:rPr>
          <w:rFonts w:ascii="Arial" w:hAnsi="Arial" w:cs="Arial"/>
          <w:sz w:val="24"/>
          <w:szCs w:val="24"/>
        </w:rPr>
        <w:t>250</w:t>
      </w:r>
      <w:r w:rsidR="008F7EFC">
        <w:rPr>
          <w:rFonts w:ascii="Arial" w:hAnsi="Arial" w:cs="Arial"/>
          <w:sz w:val="24"/>
          <w:szCs w:val="24"/>
        </w:rPr>
        <w:t> </w:t>
      </w:r>
      <w:r w:rsidR="0064354D">
        <w:rPr>
          <w:rFonts w:ascii="Arial" w:hAnsi="Arial" w:cs="Arial"/>
          <w:sz w:val="24"/>
          <w:szCs w:val="24"/>
        </w:rPr>
        <w:t>000</w:t>
      </w:r>
      <w:r w:rsidR="008F7EFC">
        <w:rPr>
          <w:rFonts w:ascii="Arial" w:hAnsi="Arial" w:cs="Arial"/>
          <w:sz w:val="24"/>
          <w:szCs w:val="24"/>
        </w:rPr>
        <w:t>.00</w:t>
      </w:r>
      <w:r w:rsidR="0064354D">
        <w:rPr>
          <w:rFonts w:ascii="Arial" w:hAnsi="Arial" w:cs="Arial"/>
          <w:sz w:val="24"/>
          <w:szCs w:val="24"/>
        </w:rPr>
        <w:t xml:space="preserve"> for past loss of earnings.</w:t>
      </w:r>
    </w:p>
    <w:p w14:paraId="5124D93C" w14:textId="4F972C2F" w:rsidR="00D14DCE" w:rsidRDefault="00C126AD" w:rsidP="00137326">
      <w:pPr>
        <w:spacing w:line="360" w:lineRule="auto"/>
        <w:ind w:left="567" w:hanging="567"/>
        <w:jc w:val="both"/>
        <w:rPr>
          <w:rFonts w:ascii="Arial" w:hAnsi="Arial" w:cs="Arial"/>
          <w:sz w:val="24"/>
          <w:szCs w:val="24"/>
          <w:u w:val="single"/>
        </w:rPr>
      </w:pPr>
      <w:r>
        <w:rPr>
          <w:rFonts w:ascii="Arial" w:hAnsi="Arial" w:cs="Arial"/>
          <w:sz w:val="24"/>
          <w:szCs w:val="24"/>
        </w:rPr>
        <w:t>[9]</w:t>
      </w:r>
      <w:r>
        <w:rPr>
          <w:rFonts w:ascii="Arial" w:hAnsi="Arial" w:cs="Arial"/>
          <w:sz w:val="24"/>
          <w:szCs w:val="24"/>
        </w:rPr>
        <w:tab/>
      </w:r>
      <w:r w:rsidR="006F2780" w:rsidRPr="00C126AD">
        <w:rPr>
          <w:rFonts w:ascii="Arial" w:hAnsi="Arial" w:cs="Arial"/>
          <w:sz w:val="24"/>
          <w:szCs w:val="24"/>
        </w:rPr>
        <w:t xml:space="preserve">However, </w:t>
      </w:r>
      <w:r w:rsidR="0097683B">
        <w:rPr>
          <w:rFonts w:ascii="Arial" w:hAnsi="Arial" w:cs="Arial"/>
          <w:sz w:val="24"/>
          <w:szCs w:val="24"/>
        </w:rPr>
        <w:t>before even considering this</w:t>
      </w:r>
      <w:r w:rsidR="001E6B50" w:rsidRPr="00C126AD">
        <w:rPr>
          <w:rFonts w:ascii="Arial" w:hAnsi="Arial" w:cs="Arial"/>
          <w:sz w:val="24"/>
          <w:szCs w:val="24"/>
        </w:rPr>
        <w:t xml:space="preserve"> aspect</w:t>
      </w:r>
      <w:r w:rsidR="00A24459" w:rsidRPr="00C126AD">
        <w:rPr>
          <w:rFonts w:ascii="Arial" w:hAnsi="Arial" w:cs="Arial"/>
          <w:sz w:val="24"/>
          <w:szCs w:val="24"/>
        </w:rPr>
        <w:t xml:space="preserve">, I firstly had to establish whether the </w:t>
      </w:r>
      <w:r w:rsidR="005D5CE5" w:rsidRPr="00C126AD">
        <w:rPr>
          <w:rFonts w:ascii="Arial" w:hAnsi="Arial" w:cs="Arial"/>
          <w:sz w:val="24"/>
          <w:szCs w:val="24"/>
        </w:rPr>
        <w:t xml:space="preserve">default judgment </w:t>
      </w:r>
      <w:r w:rsidR="00E85B07" w:rsidRPr="00C126AD">
        <w:rPr>
          <w:rFonts w:ascii="Arial" w:hAnsi="Arial" w:cs="Arial"/>
          <w:sz w:val="24"/>
          <w:szCs w:val="24"/>
        </w:rPr>
        <w:t>application was</w:t>
      </w:r>
      <w:r w:rsidR="00A40918" w:rsidRPr="00C126AD">
        <w:rPr>
          <w:rFonts w:ascii="Arial" w:hAnsi="Arial" w:cs="Arial"/>
          <w:sz w:val="24"/>
          <w:szCs w:val="24"/>
        </w:rPr>
        <w:t xml:space="preserve"> procedurally</w:t>
      </w:r>
      <w:r w:rsidR="00A24459" w:rsidRPr="00C126AD">
        <w:rPr>
          <w:rFonts w:ascii="Arial" w:hAnsi="Arial" w:cs="Arial"/>
          <w:sz w:val="24"/>
          <w:szCs w:val="24"/>
        </w:rPr>
        <w:t xml:space="preserve"> correct before me</w:t>
      </w:r>
      <w:r w:rsidR="00C64D1C">
        <w:rPr>
          <w:rFonts w:ascii="Arial" w:hAnsi="Arial" w:cs="Arial"/>
          <w:sz w:val="24"/>
          <w:szCs w:val="24"/>
        </w:rPr>
        <w:t xml:space="preserve"> in light of the </w:t>
      </w:r>
      <w:r w:rsidR="003A208C">
        <w:rPr>
          <w:rFonts w:ascii="Arial" w:hAnsi="Arial" w:cs="Arial"/>
          <w:sz w:val="24"/>
          <w:szCs w:val="24"/>
        </w:rPr>
        <w:t>substantial late amendment by the plaintiff</w:t>
      </w:r>
      <w:r w:rsidR="00A24459" w:rsidRPr="00C126AD">
        <w:rPr>
          <w:rFonts w:ascii="Arial" w:hAnsi="Arial" w:cs="Arial"/>
          <w:sz w:val="24"/>
          <w:szCs w:val="24"/>
        </w:rPr>
        <w:t>.</w:t>
      </w:r>
    </w:p>
    <w:p w14:paraId="1F560849" w14:textId="1692D8B0" w:rsidR="00036CE6" w:rsidRPr="00187B2D" w:rsidRDefault="00036CE6" w:rsidP="00036CE6">
      <w:pPr>
        <w:spacing w:line="360" w:lineRule="auto"/>
        <w:ind w:left="720" w:hanging="720"/>
        <w:jc w:val="both"/>
        <w:rPr>
          <w:rFonts w:ascii="Arial" w:hAnsi="Arial" w:cs="Arial"/>
          <w:i/>
          <w:iCs/>
          <w:sz w:val="24"/>
          <w:szCs w:val="24"/>
        </w:rPr>
      </w:pPr>
      <w:r w:rsidRPr="00187B2D">
        <w:rPr>
          <w:rFonts w:ascii="Arial" w:hAnsi="Arial" w:cs="Arial"/>
          <w:i/>
          <w:iCs/>
          <w:sz w:val="24"/>
          <w:szCs w:val="24"/>
        </w:rPr>
        <w:t>Applicable legal principles</w:t>
      </w:r>
      <w:r w:rsidR="001E60B5" w:rsidRPr="00187B2D">
        <w:rPr>
          <w:rFonts w:ascii="Arial" w:hAnsi="Arial" w:cs="Arial"/>
          <w:i/>
          <w:iCs/>
          <w:sz w:val="24"/>
          <w:szCs w:val="24"/>
        </w:rPr>
        <w:t xml:space="preserve"> on litis contestatio</w:t>
      </w:r>
    </w:p>
    <w:p w14:paraId="7DDB934C" w14:textId="2937320A" w:rsidR="00036CE6" w:rsidRPr="00D83E64" w:rsidRDefault="00D83E64" w:rsidP="00137326">
      <w:pPr>
        <w:spacing w:line="360" w:lineRule="auto"/>
        <w:ind w:left="567" w:hanging="567"/>
        <w:jc w:val="both"/>
        <w:rPr>
          <w:rFonts w:ascii="Arial" w:hAnsi="Arial" w:cs="Arial"/>
          <w:sz w:val="24"/>
          <w:szCs w:val="24"/>
          <w:u w:val="single"/>
        </w:rPr>
      </w:pPr>
      <w:r>
        <w:rPr>
          <w:rFonts w:ascii="Arial" w:eastAsia="Times New Roman" w:hAnsi="Arial" w:cs="Arial"/>
          <w:sz w:val="24"/>
          <w:szCs w:val="24"/>
        </w:rPr>
        <w:t>[10]</w:t>
      </w:r>
      <w:r>
        <w:rPr>
          <w:rFonts w:ascii="Arial" w:eastAsia="Times New Roman" w:hAnsi="Arial" w:cs="Arial"/>
          <w:sz w:val="24"/>
          <w:szCs w:val="24"/>
        </w:rPr>
        <w:tab/>
      </w:r>
      <w:r w:rsidR="00036CE6" w:rsidRPr="00D83E64">
        <w:rPr>
          <w:rFonts w:ascii="Arial" w:eastAsia="Times New Roman" w:hAnsi="Arial" w:cs="Arial"/>
          <w:sz w:val="24"/>
          <w:szCs w:val="24"/>
        </w:rPr>
        <w:t xml:space="preserve">Having read the papers in preparation for the hearing, the proposed amendment </w:t>
      </w:r>
      <w:r w:rsidR="00634576" w:rsidRPr="00D83E64">
        <w:rPr>
          <w:rFonts w:ascii="Arial" w:eastAsia="Times New Roman" w:hAnsi="Arial" w:cs="Arial"/>
          <w:sz w:val="24"/>
          <w:szCs w:val="24"/>
        </w:rPr>
        <w:t xml:space="preserve">became </w:t>
      </w:r>
      <w:r w:rsidR="00036CE6" w:rsidRPr="00D83E64">
        <w:rPr>
          <w:rFonts w:ascii="Arial" w:eastAsia="Times New Roman" w:hAnsi="Arial" w:cs="Arial"/>
          <w:sz w:val="24"/>
          <w:szCs w:val="24"/>
        </w:rPr>
        <w:t xml:space="preserve">a major concern to me. I requested both parties to address me on this aspect and during argument Mr. Smit submitted that the amounts claimed were </w:t>
      </w:r>
      <w:r w:rsidR="00674EE7">
        <w:rPr>
          <w:rFonts w:ascii="Arial" w:eastAsia="Times New Roman" w:hAnsi="Arial" w:cs="Arial"/>
          <w:sz w:val="24"/>
          <w:szCs w:val="24"/>
        </w:rPr>
        <w:t xml:space="preserve">justified </w:t>
      </w:r>
      <w:r w:rsidR="00036CE6" w:rsidRPr="00D83E64">
        <w:rPr>
          <w:rFonts w:ascii="Arial" w:eastAsia="Times New Roman" w:hAnsi="Arial" w:cs="Arial"/>
          <w:sz w:val="24"/>
          <w:szCs w:val="24"/>
        </w:rPr>
        <w:t xml:space="preserve">by expert </w:t>
      </w:r>
      <w:r w:rsidR="00674EE7">
        <w:rPr>
          <w:rFonts w:ascii="Arial" w:eastAsia="Times New Roman" w:hAnsi="Arial" w:cs="Arial"/>
          <w:sz w:val="24"/>
          <w:szCs w:val="24"/>
        </w:rPr>
        <w:t>medico-legal reports</w:t>
      </w:r>
      <w:r w:rsidR="00036CE6" w:rsidRPr="00D83E64">
        <w:rPr>
          <w:rFonts w:ascii="Arial" w:eastAsia="Times New Roman" w:hAnsi="Arial" w:cs="Arial"/>
          <w:sz w:val="24"/>
          <w:szCs w:val="24"/>
        </w:rPr>
        <w:t xml:space="preserve"> and I can therefore accept that the plaintiff will ultimately </w:t>
      </w:r>
      <w:r w:rsidR="004D3168" w:rsidRPr="00D83E64">
        <w:rPr>
          <w:rFonts w:ascii="Arial" w:eastAsia="Times New Roman" w:hAnsi="Arial" w:cs="Arial"/>
          <w:sz w:val="24"/>
          <w:szCs w:val="24"/>
        </w:rPr>
        <w:t xml:space="preserve">be </w:t>
      </w:r>
      <w:r w:rsidR="00036CE6" w:rsidRPr="00D83E64">
        <w:rPr>
          <w:rFonts w:ascii="Arial" w:eastAsia="Times New Roman" w:hAnsi="Arial" w:cs="Arial"/>
          <w:sz w:val="24"/>
          <w:szCs w:val="24"/>
        </w:rPr>
        <w:t>successful in her claim for damages. The real question, however, as to whether</w:t>
      </w:r>
      <w:r w:rsidR="004D3168" w:rsidRPr="00D83E64">
        <w:rPr>
          <w:rFonts w:ascii="Arial" w:eastAsia="Times New Roman" w:hAnsi="Arial" w:cs="Arial"/>
          <w:sz w:val="24"/>
          <w:szCs w:val="24"/>
        </w:rPr>
        <w:t xml:space="preserve"> the</w:t>
      </w:r>
      <w:r w:rsidR="00036CE6" w:rsidRPr="00D83E64">
        <w:rPr>
          <w:rFonts w:ascii="Arial" w:eastAsia="Times New Roman" w:hAnsi="Arial" w:cs="Arial"/>
          <w:sz w:val="24"/>
          <w:szCs w:val="24"/>
        </w:rPr>
        <w:t xml:space="preserve"> issues in dispute have been </w:t>
      </w:r>
      <w:r w:rsidR="004D3168" w:rsidRPr="00D83E64">
        <w:rPr>
          <w:rFonts w:ascii="Arial" w:eastAsia="Times New Roman" w:hAnsi="Arial" w:cs="Arial"/>
          <w:sz w:val="24"/>
          <w:szCs w:val="24"/>
        </w:rPr>
        <w:t xml:space="preserve">clearly </w:t>
      </w:r>
      <w:r w:rsidR="00036CE6" w:rsidRPr="00D83E64">
        <w:rPr>
          <w:rFonts w:ascii="Arial" w:eastAsia="Times New Roman" w:hAnsi="Arial" w:cs="Arial"/>
          <w:sz w:val="24"/>
          <w:szCs w:val="24"/>
        </w:rPr>
        <w:t xml:space="preserve">defined as set out in Rule 29 of the Uniform Rules of Court, remained unanswered. </w:t>
      </w:r>
      <w:r w:rsidR="00341EE6">
        <w:rPr>
          <w:rFonts w:ascii="Arial" w:eastAsia="Times New Roman" w:hAnsi="Arial" w:cs="Arial"/>
          <w:sz w:val="24"/>
          <w:szCs w:val="24"/>
        </w:rPr>
        <w:t xml:space="preserve">I deal with applicable </w:t>
      </w:r>
      <w:r w:rsidR="00E63286">
        <w:rPr>
          <w:rFonts w:ascii="Arial" w:eastAsia="Times New Roman" w:hAnsi="Arial" w:cs="Arial"/>
          <w:sz w:val="24"/>
          <w:szCs w:val="24"/>
        </w:rPr>
        <w:t xml:space="preserve">legal </w:t>
      </w:r>
      <w:r w:rsidR="00341EE6">
        <w:rPr>
          <w:rFonts w:ascii="Arial" w:eastAsia="Times New Roman" w:hAnsi="Arial" w:cs="Arial"/>
          <w:sz w:val="24"/>
          <w:szCs w:val="24"/>
        </w:rPr>
        <w:t xml:space="preserve">principles hereinafter. </w:t>
      </w:r>
    </w:p>
    <w:p w14:paraId="0D874DA4" w14:textId="4D0753A6" w:rsidR="008245FE" w:rsidRPr="00081C05" w:rsidRDefault="00081C05" w:rsidP="00137326">
      <w:pPr>
        <w:spacing w:line="360" w:lineRule="auto"/>
        <w:ind w:left="567"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8245FE" w:rsidRPr="00081C05">
        <w:rPr>
          <w:rFonts w:ascii="Arial" w:hAnsi="Arial" w:cs="Arial"/>
          <w:sz w:val="24"/>
          <w:szCs w:val="24"/>
        </w:rPr>
        <w:t>Rule 29</w:t>
      </w:r>
      <w:r w:rsidRPr="00081C05">
        <w:rPr>
          <w:rFonts w:ascii="Arial" w:hAnsi="Arial" w:cs="Arial"/>
          <w:sz w:val="24"/>
          <w:szCs w:val="24"/>
        </w:rPr>
        <w:t xml:space="preserve"> </w:t>
      </w:r>
      <w:r w:rsidR="008245FE" w:rsidRPr="00081C05">
        <w:rPr>
          <w:rFonts w:ascii="Arial" w:hAnsi="Arial" w:cs="Arial"/>
          <w:sz w:val="24"/>
          <w:szCs w:val="24"/>
        </w:rPr>
        <w:t>provides that pleadings will be considered closed</w:t>
      </w:r>
      <w:r w:rsidR="008F7EFC">
        <w:rPr>
          <w:rFonts w:ascii="Arial" w:hAnsi="Arial" w:cs="Arial"/>
          <w:sz w:val="24"/>
          <w:szCs w:val="24"/>
        </w:rPr>
        <w:t xml:space="preserve"> </w:t>
      </w:r>
      <w:r w:rsidR="008F7EFC" w:rsidRPr="008F7EFC">
        <w:rPr>
          <w:rFonts w:ascii="Arial" w:hAnsi="Arial" w:cs="Arial"/>
          <w:sz w:val="24"/>
          <w:szCs w:val="24"/>
        </w:rPr>
        <w:t>—</w:t>
      </w:r>
    </w:p>
    <w:p w14:paraId="1ABA3EA2" w14:textId="4567597A" w:rsidR="008245FE" w:rsidRPr="00187B2D" w:rsidRDefault="008245FE" w:rsidP="00081C05">
      <w:pPr>
        <w:spacing w:line="360" w:lineRule="auto"/>
        <w:ind w:left="1440" w:hanging="720"/>
        <w:jc w:val="both"/>
        <w:rPr>
          <w:rFonts w:ascii="Arial" w:hAnsi="Arial" w:cs="Arial"/>
          <w:u w:val="single"/>
        </w:rPr>
      </w:pPr>
      <w:r w:rsidRPr="00187B2D">
        <w:rPr>
          <w:rFonts w:ascii="Arial" w:hAnsi="Arial" w:cs="Arial"/>
        </w:rPr>
        <w:lastRenderedPageBreak/>
        <w:t>“</w:t>
      </w:r>
      <w:r w:rsidRPr="00187B2D">
        <w:rPr>
          <w:rFonts w:ascii="Arial" w:hAnsi="Arial" w:cs="Arial"/>
          <w:u w:val="single"/>
        </w:rPr>
        <w:t xml:space="preserve">(a) </w:t>
      </w:r>
      <w:r w:rsidR="00081C05" w:rsidRPr="00187B2D">
        <w:rPr>
          <w:rFonts w:ascii="Arial" w:hAnsi="Arial" w:cs="Arial"/>
          <w:u w:val="single"/>
        </w:rPr>
        <w:tab/>
      </w:r>
      <w:r w:rsidRPr="00187B2D">
        <w:rPr>
          <w:rFonts w:ascii="Arial" w:hAnsi="Arial" w:cs="Arial"/>
          <w:u w:val="single"/>
        </w:rPr>
        <w:t>if either party has joined issue without alleging any new matter, and without adding any further pleading;</w:t>
      </w:r>
    </w:p>
    <w:p w14:paraId="76018D36" w14:textId="28E0853F" w:rsidR="008245FE" w:rsidRPr="00187B2D" w:rsidRDefault="008245FE" w:rsidP="00081C05">
      <w:pPr>
        <w:spacing w:line="360" w:lineRule="auto"/>
        <w:ind w:left="1440" w:hanging="720"/>
        <w:jc w:val="both"/>
        <w:rPr>
          <w:rFonts w:ascii="Arial" w:hAnsi="Arial" w:cs="Arial"/>
        </w:rPr>
      </w:pPr>
      <w:r w:rsidRPr="00187B2D">
        <w:rPr>
          <w:rFonts w:ascii="Arial" w:hAnsi="Arial" w:cs="Arial"/>
          <w:u w:val="single"/>
        </w:rPr>
        <w:t xml:space="preserve">(b) </w:t>
      </w:r>
      <w:r w:rsidR="00081C05" w:rsidRPr="00187B2D">
        <w:rPr>
          <w:rFonts w:ascii="Arial" w:hAnsi="Arial" w:cs="Arial"/>
          <w:u w:val="single"/>
        </w:rPr>
        <w:tab/>
      </w:r>
      <w:r w:rsidRPr="00187B2D">
        <w:rPr>
          <w:rFonts w:ascii="Arial" w:hAnsi="Arial" w:cs="Arial"/>
          <w:u w:val="single"/>
        </w:rPr>
        <w:t>if the last day allowed for filing a replication or subsequent pleading has elapsed and it has not been filed;</w:t>
      </w:r>
    </w:p>
    <w:p w14:paraId="349351F2" w14:textId="00DD3DA4" w:rsidR="008245FE" w:rsidRPr="00187B2D" w:rsidRDefault="008245FE" w:rsidP="00B1213E">
      <w:pPr>
        <w:spacing w:line="360" w:lineRule="auto"/>
        <w:ind w:left="1440" w:hanging="720"/>
        <w:jc w:val="both"/>
        <w:rPr>
          <w:rFonts w:ascii="Arial" w:hAnsi="Arial" w:cs="Arial"/>
        </w:rPr>
      </w:pPr>
      <w:r w:rsidRPr="00187B2D">
        <w:rPr>
          <w:rFonts w:ascii="Arial" w:hAnsi="Arial" w:cs="Arial"/>
        </w:rPr>
        <w:t xml:space="preserve">(c) </w:t>
      </w:r>
      <w:r w:rsidR="00B1213E" w:rsidRPr="00187B2D">
        <w:rPr>
          <w:rFonts w:ascii="Arial" w:hAnsi="Arial" w:cs="Arial"/>
        </w:rPr>
        <w:tab/>
      </w:r>
      <w:r w:rsidRPr="00187B2D">
        <w:rPr>
          <w:rFonts w:ascii="Arial" w:hAnsi="Arial" w:cs="Arial"/>
        </w:rPr>
        <w:t>if the parties agree in writing that the pleadings are closed and such agreement is filed with the registrar; or</w:t>
      </w:r>
    </w:p>
    <w:p w14:paraId="12BB782D" w14:textId="2EB81F62" w:rsidR="008245FE" w:rsidRPr="00187B2D" w:rsidRDefault="008245FE" w:rsidP="00B1213E">
      <w:pPr>
        <w:spacing w:line="360" w:lineRule="auto"/>
        <w:ind w:left="1440" w:hanging="720"/>
        <w:jc w:val="both"/>
        <w:rPr>
          <w:rFonts w:ascii="Arial" w:hAnsi="Arial" w:cs="Arial"/>
        </w:rPr>
      </w:pPr>
      <w:r w:rsidRPr="00187B2D">
        <w:rPr>
          <w:rFonts w:ascii="Arial" w:hAnsi="Arial" w:cs="Arial"/>
        </w:rPr>
        <w:t xml:space="preserve">(d) </w:t>
      </w:r>
      <w:r w:rsidR="00B1213E" w:rsidRPr="00187B2D">
        <w:rPr>
          <w:rFonts w:ascii="Arial" w:hAnsi="Arial" w:cs="Arial"/>
        </w:rPr>
        <w:tab/>
      </w:r>
      <w:r w:rsidRPr="00187B2D">
        <w:rPr>
          <w:rFonts w:ascii="Arial" w:hAnsi="Arial" w:cs="Arial"/>
        </w:rPr>
        <w:t>if the parties are unable to agree as to the close of pleadings, and the court upon the application of a party declares them closed.”</w:t>
      </w:r>
      <w:r w:rsidR="00B1213E" w:rsidRPr="00187B2D">
        <w:rPr>
          <w:rFonts w:ascii="Arial" w:hAnsi="Arial" w:cs="Arial"/>
        </w:rPr>
        <w:t xml:space="preserve"> (</w:t>
      </w:r>
      <w:r w:rsidR="00B1213E" w:rsidRPr="00187B2D">
        <w:rPr>
          <w:rFonts w:ascii="Arial" w:hAnsi="Arial" w:cs="Arial"/>
          <w:u w:val="single"/>
        </w:rPr>
        <w:t>my underlining</w:t>
      </w:r>
      <w:r w:rsidR="00B1213E" w:rsidRPr="00187B2D">
        <w:rPr>
          <w:rFonts w:ascii="Arial" w:hAnsi="Arial" w:cs="Arial"/>
        </w:rPr>
        <w:t>)</w:t>
      </w:r>
    </w:p>
    <w:p w14:paraId="0C134B41" w14:textId="77777777" w:rsidR="008F7EFC" w:rsidRDefault="0030763D" w:rsidP="00137326">
      <w:pPr>
        <w:pStyle w:val="JudgmentNumbered"/>
        <w:numPr>
          <w:ilvl w:val="0"/>
          <w:numId w:val="0"/>
        </w:numPr>
        <w:ind w:left="567" w:hanging="567"/>
        <w:rPr>
          <w:szCs w:val="24"/>
          <w:lang w:val="en-ZA"/>
        </w:rPr>
      </w:pPr>
      <w:r>
        <w:rPr>
          <w:szCs w:val="24"/>
        </w:rPr>
        <w:t>[12]</w:t>
      </w:r>
      <w:r>
        <w:rPr>
          <w:szCs w:val="24"/>
        </w:rPr>
        <w:tab/>
      </w:r>
      <w:r w:rsidR="008245FE" w:rsidRPr="00591FD0">
        <w:rPr>
          <w:szCs w:val="24"/>
        </w:rPr>
        <w:t>Rule 29 of the Uniform Rules of court is subject to the parties’ entitlement to amend pleadings in terms of Rule 28. Of importance rule 28(8) provides</w:t>
      </w:r>
      <w:r w:rsidR="008F7EFC" w:rsidRPr="008F7EFC">
        <w:rPr>
          <w:szCs w:val="24"/>
          <w:lang w:val="en-ZA"/>
        </w:rPr>
        <w:t>—</w:t>
      </w:r>
    </w:p>
    <w:p w14:paraId="2CF5F2B0" w14:textId="2D20D7B4" w:rsidR="003F1B4C" w:rsidRPr="00187B2D" w:rsidRDefault="008F7EFC" w:rsidP="00187B2D">
      <w:pPr>
        <w:pStyle w:val="JudgmentNumbered"/>
        <w:numPr>
          <w:ilvl w:val="0"/>
          <w:numId w:val="0"/>
        </w:numPr>
        <w:ind w:left="1134"/>
        <w:rPr>
          <w:sz w:val="22"/>
        </w:rPr>
      </w:pPr>
      <w:r>
        <w:rPr>
          <w:szCs w:val="24"/>
        </w:rPr>
        <w:t xml:space="preserve"> </w:t>
      </w:r>
      <w:r w:rsidR="008245FE" w:rsidRPr="00187B2D">
        <w:rPr>
          <w:sz w:val="22"/>
        </w:rPr>
        <w:t>“Any party affected by an amendment may, within 15 days after the amendment has been effected or within such other period as the court may determine, make any consequential adjustment to the documents filed by him, and may also take the steps contemplated in rules 23 and 30.”</w:t>
      </w:r>
    </w:p>
    <w:p w14:paraId="511C1BA7" w14:textId="77777777" w:rsidR="00E10BEE" w:rsidRDefault="000E3ED4" w:rsidP="00361F46">
      <w:pPr>
        <w:pStyle w:val="JudgmentNumbered"/>
        <w:numPr>
          <w:ilvl w:val="0"/>
          <w:numId w:val="0"/>
        </w:numPr>
        <w:ind w:left="567" w:hanging="567"/>
        <w:rPr>
          <w:szCs w:val="24"/>
          <w:lang w:val="en-ZA"/>
        </w:rPr>
      </w:pPr>
      <w:r>
        <w:rPr>
          <w:szCs w:val="24"/>
        </w:rPr>
        <w:t>[13]</w:t>
      </w:r>
      <w:r>
        <w:rPr>
          <w:szCs w:val="24"/>
        </w:rPr>
        <w:tab/>
        <w:t xml:space="preserve">In </w:t>
      </w:r>
      <w:r w:rsidR="008245FE" w:rsidRPr="004C49B9">
        <w:rPr>
          <w:bCs/>
          <w:i/>
          <w:szCs w:val="24"/>
        </w:rPr>
        <w:t>Nkala v Harmony Gold Mining Co Ltd</w:t>
      </w:r>
      <w:r w:rsidR="004028DA" w:rsidRPr="004028DA">
        <w:rPr>
          <w:rStyle w:val="FootnoteReference"/>
          <w:bCs/>
          <w:i/>
          <w:szCs w:val="24"/>
        </w:rPr>
        <w:footnoteReference w:id="2"/>
      </w:r>
      <w:r w:rsidR="008245FE" w:rsidRPr="00591FD0">
        <w:rPr>
          <w:szCs w:val="24"/>
        </w:rPr>
        <w:t xml:space="preserve">  </w:t>
      </w:r>
      <w:r w:rsidR="00B22DF5">
        <w:rPr>
          <w:szCs w:val="24"/>
        </w:rPr>
        <w:t>it was stated that</w:t>
      </w:r>
      <w:r w:rsidR="00E10BEE" w:rsidRPr="00E10BEE">
        <w:rPr>
          <w:szCs w:val="24"/>
          <w:lang w:val="en-ZA"/>
        </w:rPr>
        <w:t>—</w:t>
      </w:r>
    </w:p>
    <w:p w14:paraId="77DA3912" w14:textId="5FFFEA68" w:rsidR="0050340D" w:rsidRPr="00187B2D" w:rsidRDefault="008245FE" w:rsidP="00187B2D">
      <w:pPr>
        <w:pStyle w:val="JudgmentNumbered"/>
        <w:numPr>
          <w:ilvl w:val="0"/>
          <w:numId w:val="0"/>
        </w:numPr>
        <w:ind w:left="1134"/>
        <w:rPr>
          <w:sz w:val="22"/>
        </w:rPr>
      </w:pPr>
      <w:r w:rsidRPr="00187B2D">
        <w:rPr>
          <w:sz w:val="22"/>
        </w:rPr>
        <w:t xml:space="preserve"> “The issue as to when the stage of </w:t>
      </w:r>
      <w:r w:rsidRPr="00187B2D">
        <w:rPr>
          <w:i/>
          <w:iCs/>
          <w:sz w:val="22"/>
        </w:rPr>
        <w:t>litis contestatio</w:t>
      </w:r>
      <w:r w:rsidRPr="00187B2D">
        <w:rPr>
          <w:sz w:val="22"/>
        </w:rPr>
        <w:t xml:space="preserve"> is reached in the modern-day law is a complicated one. It is reached when pleadings are closed. But this is no simple matter. Guidance as to when pleadings are closed can be found in Rule 29 of the Uniform Rules of Court. It advises that pleadings are closed if all parties to the case have joined issue and there are no longer any new or further pleadings, or the time period for the filing of a replication has expired, or the parties have agreed in writing that the pleadings have closed and have filed their agreement with the registrar of the court, or the court, on application, has declared that the pleadings are closed. At that point the pleadings are treated as being closed and the proceedings are said to have reached the stage of </w:t>
      </w:r>
      <w:r w:rsidRPr="00187B2D">
        <w:rPr>
          <w:i/>
          <w:iCs/>
          <w:sz w:val="22"/>
        </w:rPr>
        <w:t>litis contestatio</w:t>
      </w:r>
      <w:r w:rsidRPr="00187B2D">
        <w:rPr>
          <w:sz w:val="22"/>
        </w:rPr>
        <w:t xml:space="preserve">. In everyday practice, they are normally closed as soon as the period for the filing of the replication has expired, for at that stage the issues have become identified and parties are able to commence preparation for battle. Pleadings, though closed, will be re-opened should an amendment be effected, or should the parties agree to </w:t>
      </w:r>
      <w:r w:rsidRPr="00187B2D">
        <w:rPr>
          <w:sz w:val="22"/>
        </w:rPr>
        <w:lastRenderedPageBreak/>
        <w:t>alter the pleadings. Amendments to pleadings can be brought by any party any time before judgment is delivered.</w:t>
      </w:r>
      <w:r w:rsidR="00E10BEE">
        <w:rPr>
          <w:sz w:val="22"/>
        </w:rPr>
        <w:t>”</w:t>
      </w:r>
      <w:r w:rsidRPr="00187B2D">
        <w:rPr>
          <w:sz w:val="22"/>
        </w:rPr>
        <w:t xml:space="preserve">  </w:t>
      </w:r>
    </w:p>
    <w:p w14:paraId="2FD32295" w14:textId="77D085B3" w:rsidR="00E10BEE" w:rsidRDefault="00DE5A93" w:rsidP="00DE5A93">
      <w:pPr>
        <w:pStyle w:val="JudgmentNumbered"/>
        <w:numPr>
          <w:ilvl w:val="0"/>
          <w:numId w:val="0"/>
        </w:numPr>
        <w:ind w:left="567" w:hanging="567"/>
        <w:rPr>
          <w:szCs w:val="24"/>
        </w:rPr>
      </w:pPr>
      <w:r>
        <w:rPr>
          <w:szCs w:val="24"/>
        </w:rPr>
        <w:t>[14]</w:t>
      </w:r>
      <w:r>
        <w:rPr>
          <w:szCs w:val="24"/>
        </w:rPr>
        <w:tab/>
      </w:r>
      <w:r w:rsidR="008245FE" w:rsidRPr="00591FD0">
        <w:rPr>
          <w:szCs w:val="24"/>
        </w:rPr>
        <w:t>Further the court s</w:t>
      </w:r>
      <w:r>
        <w:rPr>
          <w:szCs w:val="24"/>
        </w:rPr>
        <w:t>tated</w:t>
      </w:r>
      <w:r w:rsidR="009C73F3">
        <w:rPr>
          <w:rStyle w:val="FootnoteReference"/>
          <w:szCs w:val="24"/>
        </w:rPr>
        <w:footnoteReference w:id="3"/>
      </w:r>
      <w:r w:rsidR="00E10BEE" w:rsidRPr="00E10BEE">
        <w:rPr>
          <w:szCs w:val="24"/>
          <w:lang w:val="en-ZA"/>
        </w:rPr>
        <w:t>—</w:t>
      </w:r>
      <w:r w:rsidR="008245FE" w:rsidRPr="00591FD0">
        <w:rPr>
          <w:szCs w:val="24"/>
        </w:rPr>
        <w:t xml:space="preserve"> </w:t>
      </w:r>
    </w:p>
    <w:p w14:paraId="74E81FB4" w14:textId="719658A2" w:rsidR="003F1B4C" w:rsidRPr="00187B2D" w:rsidRDefault="009C73F3" w:rsidP="00187B2D">
      <w:pPr>
        <w:pStyle w:val="JudgmentNumbered"/>
        <w:numPr>
          <w:ilvl w:val="0"/>
          <w:numId w:val="0"/>
        </w:numPr>
        <w:ind w:left="1134"/>
        <w:rPr>
          <w:sz w:val="22"/>
        </w:rPr>
      </w:pPr>
      <w:r w:rsidRPr="00187B2D">
        <w:rPr>
          <w:sz w:val="22"/>
        </w:rPr>
        <w:t>“</w:t>
      </w:r>
      <w:r w:rsidR="008245FE" w:rsidRPr="00187B2D">
        <w:rPr>
          <w:sz w:val="22"/>
        </w:rPr>
        <w:t xml:space="preserve">In our law even when the defendant fails to adhere to the time periods afforded to him to identify his defence he is always given the opportunity to seek condonation for his failure to adhere to those time periods. It follows that in our legal system it takes much longer for the stage of </w:t>
      </w:r>
      <w:r w:rsidR="008245FE" w:rsidRPr="00187B2D">
        <w:rPr>
          <w:i/>
          <w:iCs/>
          <w:sz w:val="22"/>
        </w:rPr>
        <w:t>litis contestatio</w:t>
      </w:r>
      <w:r w:rsidR="008245FE" w:rsidRPr="00187B2D">
        <w:rPr>
          <w:sz w:val="22"/>
        </w:rPr>
        <w:t xml:space="preserve"> to be reached. [I]n our law pleadings can be re-opened at any stage before judgment.”</w:t>
      </w:r>
    </w:p>
    <w:p w14:paraId="28F35AE7" w14:textId="15A60FC7" w:rsidR="00E10BEE" w:rsidRDefault="007B7C40" w:rsidP="007B7C40">
      <w:pPr>
        <w:pStyle w:val="JudgmentNumbered"/>
        <w:numPr>
          <w:ilvl w:val="0"/>
          <w:numId w:val="0"/>
        </w:numPr>
        <w:ind w:left="567" w:hanging="567"/>
        <w:rPr>
          <w:szCs w:val="24"/>
        </w:rPr>
      </w:pPr>
      <w:r>
        <w:rPr>
          <w:szCs w:val="24"/>
        </w:rPr>
        <w:t>[15]</w:t>
      </w:r>
      <w:r>
        <w:rPr>
          <w:szCs w:val="24"/>
        </w:rPr>
        <w:tab/>
      </w:r>
      <w:r w:rsidR="008245FE" w:rsidRPr="00591FD0">
        <w:rPr>
          <w:szCs w:val="24"/>
        </w:rPr>
        <w:t xml:space="preserve">This is in line with </w:t>
      </w:r>
      <w:r w:rsidR="008245FE" w:rsidRPr="00A84503">
        <w:rPr>
          <w:bCs/>
          <w:i/>
          <w:szCs w:val="24"/>
        </w:rPr>
        <w:t>Milne, NO V Shield Insurance Co Ltd</w:t>
      </w:r>
      <w:r w:rsidR="00F437D9">
        <w:rPr>
          <w:rStyle w:val="FootnoteReference"/>
          <w:szCs w:val="24"/>
        </w:rPr>
        <w:footnoteReference w:id="4"/>
      </w:r>
      <w:r w:rsidR="008245FE" w:rsidRPr="00591FD0">
        <w:rPr>
          <w:szCs w:val="24"/>
        </w:rPr>
        <w:t xml:space="preserve"> </w:t>
      </w:r>
      <w:r w:rsidR="0088069E">
        <w:rPr>
          <w:szCs w:val="24"/>
        </w:rPr>
        <w:t xml:space="preserve">where </w:t>
      </w:r>
      <w:r w:rsidR="008245FE" w:rsidRPr="00591FD0">
        <w:rPr>
          <w:szCs w:val="24"/>
        </w:rPr>
        <w:t>the court s</w:t>
      </w:r>
      <w:r w:rsidR="0088069E">
        <w:rPr>
          <w:szCs w:val="24"/>
        </w:rPr>
        <w:t>tated</w:t>
      </w:r>
      <w:r w:rsidR="00E10BEE">
        <w:rPr>
          <w:szCs w:val="24"/>
        </w:rPr>
        <w:t> </w:t>
      </w:r>
      <w:r w:rsidR="00E10BEE" w:rsidRPr="00E10BEE">
        <w:rPr>
          <w:szCs w:val="24"/>
          <w:lang w:val="en-ZA"/>
        </w:rPr>
        <w:t>—</w:t>
      </w:r>
      <w:r w:rsidR="008245FE" w:rsidRPr="00591FD0">
        <w:rPr>
          <w:szCs w:val="24"/>
        </w:rPr>
        <w:t xml:space="preserve"> </w:t>
      </w:r>
    </w:p>
    <w:p w14:paraId="09D9796F" w14:textId="6BB56512" w:rsidR="003F1B4C" w:rsidRPr="00187B2D" w:rsidRDefault="008245FE" w:rsidP="00187B2D">
      <w:pPr>
        <w:pStyle w:val="JudgmentNumbered"/>
        <w:numPr>
          <w:ilvl w:val="0"/>
          <w:numId w:val="0"/>
        </w:numPr>
        <w:ind w:left="1134"/>
        <w:rPr>
          <w:sz w:val="22"/>
        </w:rPr>
      </w:pPr>
      <w:r w:rsidRPr="00187B2D">
        <w:rPr>
          <w:sz w:val="22"/>
        </w:rPr>
        <w:t>“Closing of pleadings is designed by the Rules of Court as a purely procedural matter and is intended to fix the time for setting down, discovery and related matters. Whereas in the Roman Law litis contestatio was crucial in determining the rights of the parties, the modern view is against any such formalistic approach. Thus, subject only to prejudice, pleadings can be amended at any time before judgment, and fresh allegations can be made after the pleadings have been closed.”</w:t>
      </w:r>
    </w:p>
    <w:p w14:paraId="43FC43C4" w14:textId="1EB80090" w:rsidR="00E10BEE" w:rsidRDefault="002210FE" w:rsidP="002210FE">
      <w:pPr>
        <w:pStyle w:val="JudgmentNumbered"/>
        <w:numPr>
          <w:ilvl w:val="0"/>
          <w:numId w:val="0"/>
        </w:numPr>
        <w:ind w:left="567" w:hanging="567"/>
        <w:rPr>
          <w:szCs w:val="24"/>
        </w:rPr>
      </w:pPr>
      <w:r>
        <w:rPr>
          <w:szCs w:val="24"/>
        </w:rPr>
        <w:t>[16]</w:t>
      </w:r>
      <w:r>
        <w:rPr>
          <w:szCs w:val="24"/>
        </w:rPr>
        <w:tab/>
      </w:r>
      <w:r w:rsidR="000D5E15">
        <w:rPr>
          <w:szCs w:val="24"/>
        </w:rPr>
        <w:t xml:space="preserve">I am mindful of the fact </w:t>
      </w:r>
      <w:r w:rsidR="00C40410">
        <w:rPr>
          <w:szCs w:val="24"/>
        </w:rPr>
        <w:t xml:space="preserve">that different courts have different </w:t>
      </w:r>
      <w:r w:rsidR="000671D7">
        <w:rPr>
          <w:szCs w:val="24"/>
        </w:rPr>
        <w:t>views</w:t>
      </w:r>
      <w:r w:rsidR="0052495E">
        <w:rPr>
          <w:szCs w:val="24"/>
        </w:rPr>
        <w:t xml:space="preserve"> o</w:t>
      </w:r>
      <w:r w:rsidR="000671D7">
        <w:rPr>
          <w:szCs w:val="24"/>
        </w:rPr>
        <w:t>n</w:t>
      </w:r>
      <w:r w:rsidR="0052495E">
        <w:rPr>
          <w:szCs w:val="24"/>
        </w:rPr>
        <w:t xml:space="preserve"> </w:t>
      </w:r>
      <w:r w:rsidR="008245FE" w:rsidRPr="00187B2D">
        <w:rPr>
          <w:i/>
          <w:iCs/>
          <w:szCs w:val="24"/>
        </w:rPr>
        <w:t>litis contestatio</w:t>
      </w:r>
      <w:r w:rsidR="0052495E">
        <w:rPr>
          <w:szCs w:val="24"/>
        </w:rPr>
        <w:t xml:space="preserve">. </w:t>
      </w:r>
      <w:r w:rsidR="00EE0B70">
        <w:rPr>
          <w:szCs w:val="24"/>
        </w:rPr>
        <w:t>For example</w:t>
      </w:r>
      <w:r w:rsidR="008245FE" w:rsidRPr="00591FD0">
        <w:rPr>
          <w:szCs w:val="24"/>
        </w:rPr>
        <w:t xml:space="preserve">, in </w:t>
      </w:r>
      <w:r w:rsidR="008245FE" w:rsidRPr="00946358">
        <w:rPr>
          <w:bCs/>
          <w:i/>
          <w:szCs w:val="24"/>
        </w:rPr>
        <w:t>Ngubane v Road Accident Fund</w:t>
      </w:r>
      <w:r w:rsidR="00946358">
        <w:rPr>
          <w:rStyle w:val="FootnoteReference"/>
          <w:bCs/>
          <w:i/>
          <w:szCs w:val="24"/>
        </w:rPr>
        <w:footnoteReference w:id="5"/>
      </w:r>
      <w:r w:rsidR="00B568AC">
        <w:rPr>
          <w:bCs/>
          <w:i/>
          <w:szCs w:val="24"/>
        </w:rPr>
        <w:t>(Ngubane)</w:t>
      </w:r>
      <w:r w:rsidR="008245FE" w:rsidRPr="00591FD0">
        <w:rPr>
          <w:szCs w:val="24"/>
        </w:rPr>
        <w:t xml:space="preserve"> (an application for default judgment in which general damages were claimed in respect of injuries sustained in a motor vehicle accident) the court at para</w:t>
      </w:r>
      <w:r w:rsidR="00A23403">
        <w:rPr>
          <w:szCs w:val="24"/>
        </w:rPr>
        <w:t>graph</w:t>
      </w:r>
      <w:r w:rsidR="008245FE" w:rsidRPr="00591FD0">
        <w:rPr>
          <w:szCs w:val="24"/>
        </w:rPr>
        <w:t xml:space="preserve"> 18 said</w:t>
      </w:r>
      <w:r w:rsidR="00E10BEE">
        <w:rPr>
          <w:szCs w:val="24"/>
        </w:rPr>
        <w:t xml:space="preserve"> </w:t>
      </w:r>
      <w:r w:rsidR="00E10BEE" w:rsidRPr="00E10BEE">
        <w:rPr>
          <w:szCs w:val="24"/>
          <w:lang w:val="en-ZA"/>
        </w:rPr>
        <w:t>—</w:t>
      </w:r>
    </w:p>
    <w:p w14:paraId="38D5CEA3" w14:textId="13FA61CB" w:rsidR="00F61268" w:rsidRDefault="00E10BEE" w:rsidP="00E10BEE">
      <w:pPr>
        <w:pStyle w:val="JudgmentNumbered"/>
        <w:numPr>
          <w:ilvl w:val="0"/>
          <w:numId w:val="0"/>
        </w:numPr>
        <w:ind w:left="1134" w:hanging="141"/>
        <w:rPr>
          <w:sz w:val="22"/>
        </w:rPr>
      </w:pPr>
      <w:r w:rsidRPr="00187B2D">
        <w:rPr>
          <w:sz w:val="22"/>
        </w:rPr>
        <w:tab/>
      </w:r>
      <w:r w:rsidR="008245FE" w:rsidRPr="00187B2D">
        <w:rPr>
          <w:sz w:val="22"/>
        </w:rPr>
        <w:t xml:space="preserve">“Litis contestatio is, in modern practice, synonymous with the close of pleadings as envisaged by rule 29 of the Uniform Rules of Court. As the defendant has never entered the fray and did not deliver a plea, the pleadings could not close and litis contestatio could not be reached.” </w:t>
      </w:r>
    </w:p>
    <w:p w14:paraId="315BB2D8" w14:textId="477E9489" w:rsidR="00F61268" w:rsidRDefault="00F61268" w:rsidP="00F61268">
      <w:pPr>
        <w:pStyle w:val="JudgmentNumbered"/>
        <w:numPr>
          <w:ilvl w:val="0"/>
          <w:numId w:val="0"/>
        </w:numPr>
        <w:ind w:left="567" w:hanging="567"/>
        <w:rPr>
          <w:sz w:val="22"/>
        </w:rPr>
      </w:pPr>
      <w:r>
        <w:rPr>
          <w:sz w:val="22"/>
        </w:rPr>
        <w:t>[17]</w:t>
      </w:r>
      <w:r>
        <w:rPr>
          <w:sz w:val="22"/>
        </w:rPr>
        <w:tab/>
      </w:r>
      <w:r w:rsidR="008245FE" w:rsidRPr="00F61268">
        <w:rPr>
          <w:szCs w:val="24"/>
        </w:rPr>
        <w:t>Further</w:t>
      </w:r>
      <w:r>
        <w:rPr>
          <w:szCs w:val="24"/>
        </w:rPr>
        <w:t xml:space="preserve">, </w:t>
      </w:r>
      <w:r w:rsidR="008245FE" w:rsidRPr="00F61268">
        <w:rPr>
          <w:szCs w:val="24"/>
        </w:rPr>
        <w:t>at para</w:t>
      </w:r>
      <w:r w:rsidR="00A23403" w:rsidRPr="00F61268">
        <w:rPr>
          <w:szCs w:val="24"/>
        </w:rPr>
        <w:t>graph</w:t>
      </w:r>
      <w:r w:rsidR="008245FE" w:rsidRPr="00F61268">
        <w:rPr>
          <w:szCs w:val="24"/>
        </w:rPr>
        <w:t xml:space="preserve"> 20</w:t>
      </w:r>
      <w:r>
        <w:rPr>
          <w:szCs w:val="24"/>
        </w:rPr>
        <w:t xml:space="preserve"> the court said</w:t>
      </w:r>
      <w:r w:rsidR="008245FE" w:rsidRPr="00187B2D">
        <w:rPr>
          <w:sz w:val="22"/>
        </w:rPr>
        <w:t xml:space="preserve"> </w:t>
      </w:r>
      <w:r w:rsidRPr="00F61268">
        <w:rPr>
          <w:sz w:val="22"/>
          <w:lang w:val="en-ZA"/>
        </w:rPr>
        <w:t>—</w:t>
      </w:r>
    </w:p>
    <w:p w14:paraId="4CA0B5DB" w14:textId="0E2EB829" w:rsidR="003F1B4C" w:rsidRPr="00187B2D" w:rsidRDefault="008245FE" w:rsidP="00187B2D">
      <w:pPr>
        <w:pStyle w:val="JudgmentNumbered"/>
        <w:numPr>
          <w:ilvl w:val="0"/>
          <w:numId w:val="0"/>
        </w:numPr>
        <w:ind w:left="1134"/>
        <w:rPr>
          <w:sz w:val="22"/>
        </w:rPr>
      </w:pPr>
      <w:r w:rsidRPr="00187B2D">
        <w:rPr>
          <w:sz w:val="22"/>
        </w:rPr>
        <w:t xml:space="preserve">“On the most liberal of interpretations, litis contestatio would occur when the application for default judgment is launched.” Additionally, at </w:t>
      </w:r>
      <w:r w:rsidR="00674AD9" w:rsidRPr="00187B2D">
        <w:rPr>
          <w:sz w:val="22"/>
        </w:rPr>
        <w:t xml:space="preserve">paragraph </w:t>
      </w:r>
      <w:r w:rsidRPr="00187B2D">
        <w:rPr>
          <w:sz w:val="22"/>
        </w:rPr>
        <w:t xml:space="preserve">34: “Not </w:t>
      </w:r>
      <w:r w:rsidRPr="00187B2D">
        <w:rPr>
          <w:sz w:val="22"/>
        </w:rPr>
        <w:lastRenderedPageBreak/>
        <w:t>every amendment to pleadings will have the effect of reopening the pleadings. In my view the potentially harsh effects of a reopening of pleadings and the shifting of litis contestatio can be addressed on a case-by-case basis.”</w:t>
      </w:r>
    </w:p>
    <w:p w14:paraId="123C001D" w14:textId="490B5F07" w:rsidR="003F1B4C" w:rsidRPr="00591FD0" w:rsidRDefault="002210FE" w:rsidP="002210FE">
      <w:pPr>
        <w:pStyle w:val="JudgmentNumbered"/>
        <w:numPr>
          <w:ilvl w:val="0"/>
          <w:numId w:val="0"/>
        </w:numPr>
        <w:ind w:left="567" w:hanging="567"/>
        <w:rPr>
          <w:szCs w:val="24"/>
        </w:rPr>
      </w:pPr>
      <w:r>
        <w:rPr>
          <w:szCs w:val="24"/>
        </w:rPr>
        <w:t>[1</w:t>
      </w:r>
      <w:r w:rsidR="00A203E1">
        <w:rPr>
          <w:szCs w:val="24"/>
        </w:rPr>
        <w:t>8</w:t>
      </w:r>
      <w:r>
        <w:rPr>
          <w:szCs w:val="24"/>
        </w:rPr>
        <w:t>]</w:t>
      </w:r>
      <w:r>
        <w:rPr>
          <w:szCs w:val="24"/>
        </w:rPr>
        <w:tab/>
      </w:r>
      <w:r w:rsidR="00871404">
        <w:rPr>
          <w:szCs w:val="24"/>
        </w:rPr>
        <w:t xml:space="preserve">In </w:t>
      </w:r>
      <w:bookmarkStart w:id="1" w:name="_Hlk149844527"/>
      <w:r w:rsidR="00871404">
        <w:rPr>
          <w:szCs w:val="24"/>
        </w:rPr>
        <w:t xml:space="preserve">contrast to </w:t>
      </w:r>
      <w:r w:rsidR="00871404" w:rsidRPr="00187B2D">
        <w:rPr>
          <w:i/>
          <w:iCs/>
          <w:szCs w:val="24"/>
        </w:rPr>
        <w:t>Ngubane</w:t>
      </w:r>
      <w:r w:rsidR="00871404">
        <w:rPr>
          <w:szCs w:val="24"/>
        </w:rPr>
        <w:t xml:space="preserve"> above, </w:t>
      </w:r>
      <w:bookmarkEnd w:id="1"/>
      <w:r w:rsidR="00871404">
        <w:rPr>
          <w:szCs w:val="24"/>
        </w:rPr>
        <w:t>i</w:t>
      </w:r>
      <w:r w:rsidR="008245FE" w:rsidRPr="00591FD0">
        <w:rPr>
          <w:szCs w:val="24"/>
        </w:rPr>
        <w:t xml:space="preserve">n </w:t>
      </w:r>
      <w:r w:rsidR="008245FE" w:rsidRPr="00542842">
        <w:rPr>
          <w:bCs/>
          <w:i/>
          <w:szCs w:val="24"/>
        </w:rPr>
        <w:t>Olivier NO v MEC For Health, Western Cape and Another</w:t>
      </w:r>
      <w:r w:rsidR="008A58E5">
        <w:rPr>
          <w:rStyle w:val="FootnoteReference"/>
          <w:bCs/>
          <w:i/>
          <w:szCs w:val="24"/>
        </w:rPr>
        <w:footnoteReference w:id="6"/>
      </w:r>
      <w:r w:rsidR="00B568AC">
        <w:rPr>
          <w:bCs/>
          <w:i/>
          <w:szCs w:val="24"/>
        </w:rPr>
        <w:t>(Olivier)</w:t>
      </w:r>
      <w:r w:rsidR="008245FE" w:rsidRPr="00591FD0">
        <w:rPr>
          <w:szCs w:val="24"/>
        </w:rPr>
        <w:t xml:space="preserve"> </w:t>
      </w:r>
      <w:r w:rsidR="00407211">
        <w:rPr>
          <w:szCs w:val="24"/>
        </w:rPr>
        <w:t>the plaintiff</w:t>
      </w:r>
      <w:r w:rsidR="008245FE" w:rsidRPr="00591FD0">
        <w:rPr>
          <w:szCs w:val="24"/>
        </w:rPr>
        <w:t xml:space="preserve"> had effected a third amendment to her pleadings</w:t>
      </w:r>
      <w:r w:rsidR="00B568AC">
        <w:rPr>
          <w:szCs w:val="24"/>
        </w:rPr>
        <w:t xml:space="preserve"> and thus </w:t>
      </w:r>
      <w:r w:rsidR="008245FE" w:rsidRPr="00591FD0">
        <w:rPr>
          <w:szCs w:val="24"/>
        </w:rPr>
        <w:t xml:space="preserve">increasing the quantum claimed for future medical and hospital expenses. Shortly afterwards, and prior to the expiry of the 15-day period afforded to the first defendant to file an amended plea in response to the amended particulars of claim, which it had not done, </w:t>
      </w:r>
      <w:r w:rsidR="00337478">
        <w:rPr>
          <w:szCs w:val="24"/>
        </w:rPr>
        <w:t>the plaintiff</w:t>
      </w:r>
      <w:r w:rsidR="008245FE" w:rsidRPr="00591FD0">
        <w:rPr>
          <w:szCs w:val="24"/>
        </w:rPr>
        <w:t xml:space="preserve"> died. </w:t>
      </w:r>
      <w:r w:rsidR="00801361">
        <w:rPr>
          <w:szCs w:val="24"/>
        </w:rPr>
        <w:t xml:space="preserve">In </w:t>
      </w:r>
      <w:r w:rsidR="00801361" w:rsidRPr="00801361">
        <w:rPr>
          <w:szCs w:val="24"/>
          <w:lang w:val="en-ZA"/>
        </w:rPr>
        <w:t xml:space="preserve">contrast to </w:t>
      </w:r>
      <w:r w:rsidR="00801361" w:rsidRPr="00801361">
        <w:rPr>
          <w:i/>
          <w:iCs/>
          <w:szCs w:val="24"/>
          <w:lang w:val="en-ZA"/>
        </w:rPr>
        <w:t>Ngubane</w:t>
      </w:r>
      <w:r w:rsidR="0044372F">
        <w:rPr>
          <w:szCs w:val="24"/>
          <w:lang w:val="en-ZA"/>
        </w:rPr>
        <w:t>.</w:t>
      </w:r>
      <w:r w:rsidR="00801361" w:rsidRPr="00801361">
        <w:rPr>
          <w:szCs w:val="24"/>
          <w:lang w:val="en-ZA"/>
        </w:rPr>
        <w:t xml:space="preserve"> </w:t>
      </w:r>
      <w:r w:rsidR="0044372F">
        <w:rPr>
          <w:szCs w:val="24"/>
          <w:lang w:val="en-ZA"/>
        </w:rPr>
        <w:t xml:space="preserve">the court </w:t>
      </w:r>
      <w:r w:rsidR="00801361">
        <w:rPr>
          <w:szCs w:val="24"/>
          <w:lang w:val="en-ZA"/>
        </w:rPr>
        <w:t>said the following</w:t>
      </w:r>
      <w:r w:rsidR="00801361" w:rsidRPr="00801361">
        <w:rPr>
          <w:color w:val="202124"/>
          <w:kern w:val="2"/>
          <w:sz w:val="30"/>
          <w:szCs w:val="30"/>
          <w:shd w:val="clear" w:color="auto" w:fill="FFFFFF"/>
          <w:lang w:val="en-ZA"/>
          <w14:ligatures w14:val="standardContextual"/>
        </w:rPr>
        <w:t xml:space="preserve"> </w:t>
      </w:r>
      <w:r w:rsidR="00801361" w:rsidRPr="00801361">
        <w:rPr>
          <w:szCs w:val="24"/>
          <w:lang w:val="en-ZA"/>
        </w:rPr>
        <w:t>—</w:t>
      </w:r>
      <w:r w:rsidR="00801361">
        <w:rPr>
          <w:szCs w:val="24"/>
          <w:lang w:val="en-ZA"/>
        </w:rPr>
        <w:t xml:space="preserve"> </w:t>
      </w:r>
    </w:p>
    <w:p w14:paraId="58C0621A" w14:textId="3789E346" w:rsidR="003F1B4C" w:rsidRPr="00187B2D" w:rsidRDefault="0012025D" w:rsidP="00187B2D">
      <w:pPr>
        <w:pStyle w:val="JudgmentNumbered"/>
        <w:numPr>
          <w:ilvl w:val="0"/>
          <w:numId w:val="0"/>
        </w:numPr>
        <w:ind w:left="1134"/>
        <w:rPr>
          <w:sz w:val="22"/>
        </w:rPr>
      </w:pPr>
      <w:r w:rsidRPr="00187B2D">
        <w:rPr>
          <w:sz w:val="22"/>
        </w:rPr>
        <w:t>“</w:t>
      </w:r>
      <w:r w:rsidR="008245FE" w:rsidRPr="00187B2D">
        <w:rPr>
          <w:sz w:val="22"/>
        </w:rPr>
        <w:t>At the outset, this Court has to analyse whether the facts of this matter support the outcome that is sought by the plaintiff. This Court is called upon to determine five questions as stated in the first paragraph of this judgment. The first, is whether the amendment of the plaintiff's particulars of claim on 4 October 2017 had an effect of re­opening the pleadings and that litis contestatio fell away. The plaintiff has not disputed the fact that litis contestatio is the stage at which a claim becomes certain and/or fixed. Due to the fact that at that stage, the parties were attempting to settle the matter, it was agreed that further expert reports be procured in order to quantify the deceased's claim. This resulted in the deceased's claim for future medical and hospital expenses increasing and thereby further increasing the quantum. This necessitated the amendment of the deceased's particulars of claim.</w:t>
      </w:r>
      <w:r w:rsidRPr="00187B2D">
        <w:rPr>
          <w:sz w:val="22"/>
        </w:rPr>
        <w:t>”</w:t>
      </w:r>
      <w:r w:rsidR="00C56CE7" w:rsidRPr="00187B2D">
        <w:rPr>
          <w:rStyle w:val="FootnoteReference"/>
          <w:sz w:val="22"/>
        </w:rPr>
        <w:footnoteReference w:id="7"/>
      </w:r>
    </w:p>
    <w:p w14:paraId="7F350505" w14:textId="1E9C0EF1" w:rsidR="0044372F" w:rsidRDefault="0044372F" w:rsidP="00137326">
      <w:pPr>
        <w:pStyle w:val="JudgmentNumbered"/>
        <w:numPr>
          <w:ilvl w:val="0"/>
          <w:numId w:val="0"/>
        </w:numPr>
        <w:ind w:left="567" w:hanging="567"/>
        <w:rPr>
          <w:b/>
          <w:szCs w:val="24"/>
        </w:rPr>
      </w:pPr>
      <w:r w:rsidRPr="00187B2D">
        <w:rPr>
          <w:bCs/>
          <w:szCs w:val="24"/>
        </w:rPr>
        <w:t>[1</w:t>
      </w:r>
      <w:r w:rsidR="00A203E1">
        <w:rPr>
          <w:bCs/>
          <w:szCs w:val="24"/>
        </w:rPr>
        <w:t>9</w:t>
      </w:r>
      <w:r w:rsidRPr="00187B2D">
        <w:rPr>
          <w:bCs/>
          <w:szCs w:val="24"/>
        </w:rPr>
        <w:t>]</w:t>
      </w:r>
      <w:r w:rsidRPr="00187B2D">
        <w:rPr>
          <w:bCs/>
          <w:szCs w:val="24"/>
        </w:rPr>
        <w:tab/>
        <w:t>The court went further to state that</w:t>
      </w:r>
      <w:r w:rsidRPr="0044372F">
        <w:rPr>
          <w:color w:val="202124"/>
          <w:kern w:val="2"/>
          <w:sz w:val="30"/>
          <w:szCs w:val="30"/>
          <w:shd w:val="clear" w:color="auto" w:fill="FFFFFF"/>
          <w:lang w:val="en-ZA"/>
          <w14:ligatures w14:val="standardContextual"/>
        </w:rPr>
        <w:t xml:space="preserve"> </w:t>
      </w:r>
      <w:r w:rsidRPr="0044372F">
        <w:rPr>
          <w:bCs/>
          <w:szCs w:val="24"/>
          <w:lang w:val="en-ZA"/>
        </w:rPr>
        <w:t>—</w:t>
      </w:r>
    </w:p>
    <w:p w14:paraId="7F4F4602" w14:textId="31A6EDFB" w:rsidR="003F1B4C" w:rsidRPr="00187B2D" w:rsidRDefault="00E74F11" w:rsidP="00187B2D">
      <w:pPr>
        <w:pStyle w:val="JudgmentNumbered"/>
        <w:numPr>
          <w:ilvl w:val="0"/>
          <w:numId w:val="0"/>
        </w:numPr>
        <w:ind w:left="1134"/>
        <w:rPr>
          <w:sz w:val="22"/>
        </w:rPr>
      </w:pPr>
      <w:r w:rsidRPr="00187B2D">
        <w:rPr>
          <w:b/>
          <w:sz w:val="22"/>
        </w:rPr>
        <w:t>“</w:t>
      </w:r>
      <w:r w:rsidR="008245FE" w:rsidRPr="00187B2D">
        <w:rPr>
          <w:sz w:val="22"/>
        </w:rPr>
        <w:t xml:space="preserve">When due consideration is had to the amended particulars of claim, the amendments are substantial and material. There are new aspects that in my view would require some consideration. It may be so that this increase in quantum did not alter the cause of action, the identity of the parties and the scope of the issues in dispute as it was stated by the plaintiff. Notwithstanding, the scope of damages has been increased significantly and it would without a doubt require a pleading. This Court is unable to agree with the plaintiff that the amendment did not redefine the issues in relation to the claim for general damages, as the amount remained </w:t>
      </w:r>
      <w:r w:rsidR="008245FE" w:rsidRPr="00187B2D">
        <w:rPr>
          <w:sz w:val="22"/>
        </w:rPr>
        <w:lastRenderedPageBreak/>
        <w:t>the same. This assertion, in my view, is somewhat mischievous as it is not for the plaintiff to prescribe how the first defendant should conduct their defence. In my view, the plaintiff's amended particulars of claim re­opened the pleadings and interrupted litis contestatio and/or litis contestatio fell away. Since litis contestatio fell away, the first defendant was yet to file its amended plea by the date of the death of the deceased.</w:t>
      </w:r>
      <w:r w:rsidRPr="00187B2D">
        <w:rPr>
          <w:sz w:val="22"/>
        </w:rPr>
        <w:t>”</w:t>
      </w:r>
      <w:r w:rsidRPr="00187B2D">
        <w:rPr>
          <w:rStyle w:val="FootnoteReference"/>
          <w:sz w:val="22"/>
        </w:rPr>
        <w:footnoteReference w:id="8"/>
      </w:r>
    </w:p>
    <w:p w14:paraId="3DC40827" w14:textId="4058611E" w:rsidR="0044372F" w:rsidRDefault="006B5CFD" w:rsidP="00137326">
      <w:pPr>
        <w:pStyle w:val="JudgmentNumbered"/>
        <w:numPr>
          <w:ilvl w:val="0"/>
          <w:numId w:val="0"/>
        </w:numPr>
        <w:ind w:left="567" w:hanging="567"/>
        <w:rPr>
          <w:szCs w:val="24"/>
        </w:rPr>
      </w:pPr>
      <w:r>
        <w:rPr>
          <w:bCs/>
          <w:szCs w:val="24"/>
        </w:rPr>
        <w:t>[</w:t>
      </w:r>
      <w:r w:rsidR="00A203E1">
        <w:rPr>
          <w:bCs/>
          <w:szCs w:val="24"/>
        </w:rPr>
        <w:t>20</w:t>
      </w:r>
      <w:r>
        <w:rPr>
          <w:bCs/>
          <w:szCs w:val="24"/>
        </w:rPr>
        <w:t>]</w:t>
      </w:r>
      <w:r>
        <w:rPr>
          <w:bCs/>
          <w:szCs w:val="24"/>
        </w:rPr>
        <w:tab/>
      </w:r>
      <w:r w:rsidR="003F5FB6">
        <w:rPr>
          <w:bCs/>
          <w:szCs w:val="24"/>
        </w:rPr>
        <w:t>T</w:t>
      </w:r>
      <w:r w:rsidR="00B568AC">
        <w:rPr>
          <w:bCs/>
          <w:szCs w:val="24"/>
        </w:rPr>
        <w:t xml:space="preserve">he </w:t>
      </w:r>
      <w:r w:rsidR="008245FE" w:rsidRPr="00591FD0">
        <w:rPr>
          <w:szCs w:val="24"/>
        </w:rPr>
        <w:t xml:space="preserve">Supreme Court of Appeal </w:t>
      </w:r>
      <w:r w:rsidR="00B75456">
        <w:rPr>
          <w:szCs w:val="24"/>
        </w:rPr>
        <w:t xml:space="preserve">decision </w:t>
      </w:r>
      <w:r w:rsidR="00B568AC">
        <w:rPr>
          <w:szCs w:val="24"/>
        </w:rPr>
        <w:t xml:space="preserve">in </w:t>
      </w:r>
      <w:r w:rsidR="00C23215" w:rsidRPr="00187B2D">
        <w:rPr>
          <w:i/>
          <w:iCs/>
          <w:szCs w:val="24"/>
        </w:rPr>
        <w:t>Natal Joint Municipal Pension Fund v Endumeni Municipality</w:t>
      </w:r>
      <w:r w:rsidR="001E2841">
        <w:rPr>
          <w:rStyle w:val="FootnoteReference"/>
          <w:szCs w:val="24"/>
        </w:rPr>
        <w:footnoteReference w:id="9"/>
      </w:r>
      <w:r w:rsidR="002B3711">
        <w:rPr>
          <w:i/>
          <w:iCs/>
          <w:szCs w:val="24"/>
        </w:rPr>
        <w:t xml:space="preserve"> </w:t>
      </w:r>
      <w:r w:rsidR="008245FE" w:rsidRPr="003F5FB6">
        <w:rPr>
          <w:iCs/>
          <w:szCs w:val="24"/>
        </w:rPr>
        <w:t>affirmed</w:t>
      </w:r>
      <w:r w:rsidR="008245FE" w:rsidRPr="00591FD0">
        <w:rPr>
          <w:szCs w:val="24"/>
        </w:rPr>
        <w:t xml:space="preserve"> this principle</w:t>
      </w:r>
      <w:r w:rsidR="003F5FB6">
        <w:rPr>
          <w:szCs w:val="24"/>
        </w:rPr>
        <w:t xml:space="preserve"> by stating the following</w:t>
      </w:r>
      <w:r w:rsidR="002B3711">
        <w:rPr>
          <w:szCs w:val="24"/>
        </w:rPr>
        <w:t xml:space="preserve"> </w:t>
      </w:r>
      <w:r w:rsidR="0044372F" w:rsidRPr="0044372F">
        <w:rPr>
          <w:szCs w:val="24"/>
          <w:lang w:val="en-ZA"/>
        </w:rPr>
        <w:t>—</w:t>
      </w:r>
      <w:r w:rsidR="008245FE" w:rsidRPr="00591FD0">
        <w:rPr>
          <w:szCs w:val="24"/>
        </w:rPr>
        <w:t xml:space="preserve"> </w:t>
      </w:r>
    </w:p>
    <w:p w14:paraId="68C1493E" w14:textId="022EF9A4" w:rsidR="003F1B4C" w:rsidRPr="00187B2D" w:rsidRDefault="008245FE" w:rsidP="00187B2D">
      <w:pPr>
        <w:pStyle w:val="JudgmentNumbered"/>
        <w:numPr>
          <w:ilvl w:val="0"/>
          <w:numId w:val="0"/>
        </w:numPr>
        <w:ind w:left="1134"/>
        <w:rPr>
          <w:iCs/>
          <w:sz w:val="22"/>
        </w:rPr>
      </w:pPr>
      <w:r w:rsidRPr="00187B2D">
        <w:rPr>
          <w:iCs/>
          <w:sz w:val="22"/>
        </w:rPr>
        <w:t>"The answer is that when pleadings are re­opened by amendment or the issues between the parties altered informally, the initial situation of litis contestatio falls away and is only restored once the issues have once more been defined in the pleadings or in some other less formal manner. That is consistent with the circumstances in which the notion of litis contestatio was conceived. In Roman law, once this stage of proceedings was reached, a new obligation came into existence between the parties, to abide the result of the adjudication of their case. Melius de Villiers explains the situation as follows: 'Through litis contestatio an action acquired somewhat of the nature of a contract; a relation was created resembling an agreement between the parties to submit their differences to judicial investigation . . .'"</w:t>
      </w:r>
    </w:p>
    <w:p w14:paraId="49389B0D" w14:textId="19928C73" w:rsidR="007B2EA2" w:rsidRDefault="00357E48" w:rsidP="00137326">
      <w:pPr>
        <w:autoSpaceDE w:val="0"/>
        <w:autoSpaceDN w:val="0"/>
        <w:adjustRightInd w:val="0"/>
        <w:spacing w:after="0" w:line="360" w:lineRule="auto"/>
        <w:ind w:left="567" w:hanging="567"/>
        <w:jc w:val="both"/>
        <w:rPr>
          <w:rFonts w:ascii="Arial" w:hAnsi="Arial" w:cs="Arial"/>
          <w:kern w:val="0"/>
          <w:sz w:val="24"/>
          <w:szCs w:val="24"/>
        </w:rPr>
      </w:pPr>
      <w:r w:rsidRPr="007B2EA2">
        <w:rPr>
          <w:rFonts w:ascii="Arial" w:hAnsi="Arial" w:cs="Arial"/>
          <w:iCs/>
          <w:sz w:val="24"/>
          <w:szCs w:val="24"/>
        </w:rPr>
        <w:t>[</w:t>
      </w:r>
      <w:r w:rsidR="003F5FB6">
        <w:rPr>
          <w:rFonts w:ascii="Arial" w:hAnsi="Arial" w:cs="Arial"/>
          <w:iCs/>
          <w:sz w:val="24"/>
          <w:szCs w:val="24"/>
        </w:rPr>
        <w:t>2</w:t>
      </w:r>
      <w:r w:rsidR="00A203E1">
        <w:rPr>
          <w:rFonts w:ascii="Arial" w:hAnsi="Arial" w:cs="Arial"/>
          <w:iCs/>
          <w:sz w:val="24"/>
          <w:szCs w:val="24"/>
        </w:rPr>
        <w:t>1</w:t>
      </w:r>
      <w:r w:rsidRPr="007B2EA2">
        <w:rPr>
          <w:rFonts w:ascii="Arial" w:hAnsi="Arial" w:cs="Arial"/>
          <w:iCs/>
          <w:sz w:val="24"/>
          <w:szCs w:val="24"/>
        </w:rPr>
        <w:t>]</w:t>
      </w:r>
      <w:r w:rsidRPr="007B2EA2">
        <w:rPr>
          <w:rFonts w:ascii="Arial" w:hAnsi="Arial" w:cs="Arial"/>
          <w:iCs/>
          <w:sz w:val="24"/>
          <w:szCs w:val="24"/>
        </w:rPr>
        <w:tab/>
        <w:t xml:space="preserve">Accordingly, it is my </w:t>
      </w:r>
      <w:r w:rsidR="007C185F" w:rsidRPr="007B2EA2">
        <w:rPr>
          <w:rFonts w:ascii="Arial" w:hAnsi="Arial" w:cs="Arial"/>
          <w:iCs/>
          <w:sz w:val="24"/>
          <w:szCs w:val="24"/>
        </w:rPr>
        <w:t xml:space="preserve">considered view that there is no basis for deviating from the common law principle </w:t>
      </w:r>
      <w:r w:rsidR="00637385">
        <w:rPr>
          <w:rFonts w:ascii="Arial" w:hAnsi="Arial" w:cs="Arial"/>
          <w:iCs/>
          <w:sz w:val="24"/>
          <w:szCs w:val="24"/>
        </w:rPr>
        <w:t xml:space="preserve">and the Rules </w:t>
      </w:r>
      <w:r w:rsidR="007C185F" w:rsidRPr="007B2EA2">
        <w:rPr>
          <w:rFonts w:ascii="Arial" w:hAnsi="Arial" w:cs="Arial"/>
          <w:iCs/>
          <w:sz w:val="24"/>
          <w:szCs w:val="24"/>
        </w:rPr>
        <w:t>as it stands</w:t>
      </w:r>
      <w:r w:rsidR="004C77C6" w:rsidRPr="007B2EA2">
        <w:rPr>
          <w:rFonts w:ascii="Arial" w:hAnsi="Arial" w:cs="Arial"/>
          <w:iCs/>
          <w:sz w:val="24"/>
          <w:szCs w:val="24"/>
        </w:rPr>
        <w:t xml:space="preserve">. </w:t>
      </w:r>
      <w:r w:rsidR="007B2EA2" w:rsidRPr="007B2EA2">
        <w:rPr>
          <w:rFonts w:ascii="Arial" w:hAnsi="Arial" w:cs="Arial"/>
          <w:kern w:val="0"/>
          <w:sz w:val="24"/>
          <w:szCs w:val="24"/>
        </w:rPr>
        <w:t xml:space="preserve">The Constitutional Court in </w:t>
      </w:r>
      <w:r w:rsidR="007B2EA2" w:rsidRPr="007B2EA2">
        <w:rPr>
          <w:rFonts w:ascii="Arial" w:hAnsi="Arial" w:cs="Arial"/>
          <w:i/>
          <w:iCs/>
          <w:kern w:val="0"/>
          <w:sz w:val="24"/>
          <w:szCs w:val="24"/>
        </w:rPr>
        <w:t>MEC for Health and Social Development, Gauteng v DZ obo WZ</w:t>
      </w:r>
      <w:r w:rsidR="00637385">
        <w:rPr>
          <w:rStyle w:val="FootnoteReference"/>
          <w:rFonts w:ascii="Arial" w:hAnsi="Arial" w:cs="Arial"/>
          <w:i/>
          <w:iCs/>
          <w:kern w:val="0"/>
          <w:sz w:val="24"/>
          <w:szCs w:val="24"/>
        </w:rPr>
        <w:footnoteReference w:id="10"/>
      </w:r>
      <w:r w:rsidR="007B2EA2" w:rsidRPr="007B2EA2">
        <w:rPr>
          <w:rFonts w:ascii="Arial" w:hAnsi="Arial" w:cs="Arial"/>
          <w:i/>
          <w:iCs/>
          <w:kern w:val="0"/>
          <w:sz w:val="24"/>
          <w:szCs w:val="24"/>
        </w:rPr>
        <w:t xml:space="preserve"> </w:t>
      </w:r>
      <w:r w:rsidR="007B2EA2" w:rsidRPr="007B2EA2">
        <w:rPr>
          <w:rFonts w:ascii="Arial" w:hAnsi="Arial" w:cs="Arial"/>
          <w:kern w:val="0"/>
          <w:sz w:val="24"/>
          <w:szCs w:val="24"/>
        </w:rPr>
        <w:t>warned that a development of the common law cannot take place in a factual vacuum and any development of the common law requires factual material upon which the assessment whether to develop the law must be made.</w:t>
      </w:r>
    </w:p>
    <w:p w14:paraId="5C82841F" w14:textId="77777777" w:rsidR="002B3711" w:rsidRPr="007B2EA2" w:rsidRDefault="002B3711" w:rsidP="00637385">
      <w:pPr>
        <w:autoSpaceDE w:val="0"/>
        <w:autoSpaceDN w:val="0"/>
        <w:adjustRightInd w:val="0"/>
        <w:spacing w:after="0" w:line="360" w:lineRule="auto"/>
        <w:ind w:left="720" w:hanging="720"/>
        <w:jc w:val="both"/>
        <w:rPr>
          <w:rFonts w:ascii="Arial" w:hAnsi="Arial" w:cs="Arial"/>
          <w:kern w:val="0"/>
          <w:sz w:val="24"/>
          <w:szCs w:val="24"/>
        </w:rPr>
      </w:pPr>
    </w:p>
    <w:p w14:paraId="05AC0D81" w14:textId="6A93F6D5" w:rsidR="003920CA" w:rsidRPr="00187B2D" w:rsidRDefault="003920CA" w:rsidP="00187B2D">
      <w:pPr>
        <w:pStyle w:val="JudgmentNumbered"/>
        <w:keepNext/>
        <w:widowControl w:val="0"/>
        <w:numPr>
          <w:ilvl w:val="0"/>
          <w:numId w:val="0"/>
        </w:numPr>
        <w:rPr>
          <w:i/>
          <w:szCs w:val="24"/>
        </w:rPr>
      </w:pPr>
      <w:r w:rsidRPr="00187B2D">
        <w:rPr>
          <w:i/>
          <w:szCs w:val="24"/>
        </w:rPr>
        <w:t>Applicable legal principles pertaining to interim payments</w:t>
      </w:r>
    </w:p>
    <w:p w14:paraId="16077A02" w14:textId="464E6B92" w:rsidR="003920CA" w:rsidRDefault="005472B2" w:rsidP="00137326">
      <w:pPr>
        <w:pStyle w:val="JudgmentNumbered"/>
        <w:keepNext/>
        <w:widowControl w:val="0"/>
        <w:numPr>
          <w:ilvl w:val="0"/>
          <w:numId w:val="0"/>
        </w:numPr>
        <w:ind w:left="567" w:hanging="567"/>
        <w:rPr>
          <w:iCs/>
          <w:szCs w:val="24"/>
          <w:u w:val="single"/>
        </w:rPr>
      </w:pPr>
      <w:r>
        <w:t>[2</w:t>
      </w:r>
      <w:r w:rsidR="00A203E1">
        <w:t>2</w:t>
      </w:r>
      <w:r>
        <w:t>]</w:t>
      </w:r>
      <w:r w:rsidR="009E2F5C">
        <w:tab/>
      </w:r>
      <w:r>
        <w:t>As alluded to above</w:t>
      </w:r>
      <w:r w:rsidR="001F4ACC">
        <w:t xml:space="preserve"> in paragraph 8</w:t>
      </w:r>
      <w:r>
        <w:t>, the plaintiff</w:t>
      </w:r>
      <w:r w:rsidRPr="00313CD2">
        <w:rPr>
          <w:lang w:val="en-ZA"/>
        </w:rPr>
        <w:t xml:space="preserve"> applied for an interim payment in terms of </w:t>
      </w:r>
      <w:r w:rsidR="005C26B5">
        <w:rPr>
          <w:lang w:val="en-ZA"/>
        </w:rPr>
        <w:t>r</w:t>
      </w:r>
      <w:r w:rsidRPr="00313CD2">
        <w:rPr>
          <w:lang w:val="en-ZA"/>
        </w:rPr>
        <w:t>ule 34A and section 17(6) of the R</w:t>
      </w:r>
      <w:r>
        <w:rPr>
          <w:lang w:val="en-ZA"/>
        </w:rPr>
        <w:t xml:space="preserve">oad </w:t>
      </w:r>
      <w:r w:rsidRPr="00313CD2">
        <w:rPr>
          <w:lang w:val="en-ZA"/>
        </w:rPr>
        <w:t>A</w:t>
      </w:r>
      <w:r>
        <w:rPr>
          <w:lang w:val="en-ZA"/>
        </w:rPr>
        <w:t xml:space="preserve">ccident </w:t>
      </w:r>
      <w:r w:rsidRPr="00313CD2">
        <w:rPr>
          <w:lang w:val="en-ZA"/>
        </w:rPr>
        <w:t>F</w:t>
      </w:r>
      <w:r>
        <w:rPr>
          <w:lang w:val="en-ZA"/>
        </w:rPr>
        <w:t>und</w:t>
      </w:r>
      <w:r w:rsidRPr="00313CD2">
        <w:rPr>
          <w:lang w:val="en-ZA"/>
        </w:rPr>
        <w:t xml:space="preserve"> Act</w:t>
      </w:r>
      <w:r>
        <w:rPr>
          <w:lang w:val="en-ZA"/>
        </w:rPr>
        <w:t xml:space="preserve"> (the RAF </w:t>
      </w:r>
      <w:r>
        <w:rPr>
          <w:lang w:val="en-ZA"/>
        </w:rPr>
        <w:lastRenderedPageBreak/>
        <w:t>Act).</w:t>
      </w:r>
      <w:r w:rsidRPr="00313CD2">
        <w:rPr>
          <w:lang w:val="en-ZA"/>
        </w:rPr>
        <w:t xml:space="preserve"> </w:t>
      </w:r>
      <w:r w:rsidR="000A138E">
        <w:rPr>
          <w:lang w:val="en-ZA"/>
        </w:rPr>
        <w:t xml:space="preserve">The defendant </w:t>
      </w:r>
      <w:r>
        <w:rPr>
          <w:lang w:val="en-ZA"/>
        </w:rPr>
        <w:t>argued that it</w:t>
      </w:r>
      <w:r w:rsidRPr="00313CD2">
        <w:rPr>
          <w:lang w:val="en-ZA"/>
        </w:rPr>
        <w:t xml:space="preserve"> only conceded liability and not the damages that the plaintiff needs to prove. </w:t>
      </w:r>
      <w:r>
        <w:rPr>
          <w:lang w:val="en-ZA"/>
        </w:rPr>
        <w:t xml:space="preserve">In this regard, </w:t>
      </w:r>
      <w:r>
        <w:rPr>
          <w:szCs w:val="24"/>
          <w:lang w:val="en-ZA"/>
        </w:rPr>
        <w:t xml:space="preserve">the </w:t>
      </w:r>
      <w:r w:rsidR="00C50C1E">
        <w:rPr>
          <w:szCs w:val="24"/>
          <w:lang w:val="en-ZA"/>
        </w:rPr>
        <w:t>defendant</w:t>
      </w:r>
      <w:r>
        <w:rPr>
          <w:szCs w:val="24"/>
          <w:lang w:val="en-ZA"/>
        </w:rPr>
        <w:t xml:space="preserve"> relied on the</w:t>
      </w:r>
      <w:r w:rsidRPr="00631B22">
        <w:rPr>
          <w:szCs w:val="24"/>
          <w:lang w:val="en-ZA"/>
        </w:rPr>
        <w:t xml:space="preserve"> judgment by van Nieuwenhuizen AJ in the matter of </w:t>
      </w:r>
      <w:r w:rsidRPr="009600B8">
        <w:rPr>
          <w:i/>
          <w:iCs/>
          <w:szCs w:val="24"/>
          <w:lang w:val="en-ZA"/>
        </w:rPr>
        <w:t>Qelesile v RAF</w:t>
      </w:r>
      <w:r w:rsidR="001F4ACC">
        <w:rPr>
          <w:rStyle w:val="FootnoteReference"/>
          <w:i/>
          <w:iCs/>
          <w:szCs w:val="24"/>
          <w:lang w:val="en-ZA"/>
        </w:rPr>
        <w:footnoteReference w:id="11"/>
      </w:r>
      <w:r w:rsidRPr="00631B22">
        <w:rPr>
          <w:szCs w:val="24"/>
          <w:lang w:val="en-ZA"/>
        </w:rPr>
        <w:t xml:space="preserve"> in which it was stated that written admission (of liability) that an accident caused by sole or contributory negligence of insured driver is insufficient to satisfy court that </w:t>
      </w:r>
      <w:r w:rsidR="00F959D6">
        <w:rPr>
          <w:szCs w:val="24"/>
          <w:lang w:val="en-ZA"/>
        </w:rPr>
        <w:t>the defendant</w:t>
      </w:r>
      <w:r w:rsidR="00285F5A">
        <w:rPr>
          <w:szCs w:val="24"/>
          <w:lang w:val="en-ZA"/>
        </w:rPr>
        <w:t xml:space="preserve"> </w:t>
      </w:r>
      <w:r w:rsidRPr="00631B22">
        <w:rPr>
          <w:szCs w:val="24"/>
          <w:lang w:val="en-ZA"/>
        </w:rPr>
        <w:t xml:space="preserve">has admitted liability. </w:t>
      </w:r>
      <w:r w:rsidR="009C33F4">
        <w:rPr>
          <w:szCs w:val="24"/>
          <w:lang w:val="en-ZA"/>
        </w:rPr>
        <w:t>I</w:t>
      </w:r>
      <w:r w:rsidRPr="00631B22">
        <w:rPr>
          <w:szCs w:val="24"/>
          <w:lang w:val="en-ZA"/>
        </w:rPr>
        <w:t xml:space="preserve"> was then referred to the matter of </w:t>
      </w:r>
      <w:r w:rsidRPr="009600B8">
        <w:rPr>
          <w:i/>
          <w:iCs/>
          <w:szCs w:val="24"/>
          <w:lang w:val="en-ZA"/>
        </w:rPr>
        <w:t>Karpakis v Mutual &amp; Federal</w:t>
      </w:r>
      <w:r w:rsidR="001F4ACC">
        <w:rPr>
          <w:rStyle w:val="FootnoteReference"/>
          <w:i/>
          <w:iCs/>
          <w:szCs w:val="24"/>
          <w:lang w:val="en-ZA"/>
        </w:rPr>
        <w:footnoteReference w:id="12"/>
      </w:r>
      <w:r w:rsidRPr="00631B22">
        <w:rPr>
          <w:szCs w:val="24"/>
          <w:lang w:val="en-ZA"/>
        </w:rPr>
        <w:t xml:space="preserve">, also referred to in </w:t>
      </w:r>
      <w:r w:rsidRPr="009600B8">
        <w:rPr>
          <w:i/>
          <w:iCs/>
          <w:szCs w:val="24"/>
          <w:lang w:val="en-ZA"/>
        </w:rPr>
        <w:t>Qelesile</w:t>
      </w:r>
      <w:r w:rsidRPr="00631B22">
        <w:rPr>
          <w:szCs w:val="24"/>
          <w:lang w:val="en-ZA"/>
        </w:rPr>
        <w:t>, in which the court distinguished between liability (for all elements of delict) for the accident and liability for quantum of damages.</w:t>
      </w:r>
    </w:p>
    <w:p w14:paraId="4E1A0914" w14:textId="0DF1248E" w:rsidR="006C6718" w:rsidRDefault="009703D3" w:rsidP="00137326">
      <w:pPr>
        <w:pStyle w:val="JudgmentNumbered"/>
        <w:numPr>
          <w:ilvl w:val="0"/>
          <w:numId w:val="0"/>
        </w:numPr>
        <w:ind w:left="567" w:hanging="567"/>
        <w:rPr>
          <w:iCs/>
          <w:szCs w:val="24"/>
        </w:rPr>
      </w:pPr>
      <w:r>
        <w:rPr>
          <w:szCs w:val="24"/>
          <w:lang w:val="en-ZA"/>
        </w:rPr>
        <w:t>[2</w:t>
      </w:r>
      <w:r w:rsidR="00A203E1">
        <w:rPr>
          <w:szCs w:val="24"/>
          <w:lang w:val="en-ZA"/>
        </w:rPr>
        <w:t>3</w:t>
      </w:r>
      <w:r>
        <w:rPr>
          <w:szCs w:val="24"/>
          <w:lang w:val="en-ZA"/>
        </w:rPr>
        <w:t>]</w:t>
      </w:r>
      <w:r>
        <w:rPr>
          <w:szCs w:val="24"/>
          <w:lang w:val="en-ZA"/>
        </w:rPr>
        <w:tab/>
      </w:r>
      <w:r w:rsidR="00A727B3">
        <w:rPr>
          <w:szCs w:val="24"/>
          <w:lang w:val="en-ZA"/>
        </w:rPr>
        <w:t>Against this background</w:t>
      </w:r>
      <w:r w:rsidR="002F4AF7">
        <w:rPr>
          <w:szCs w:val="24"/>
          <w:lang w:val="en-ZA"/>
        </w:rPr>
        <w:t xml:space="preserve">, </w:t>
      </w:r>
      <w:r w:rsidR="00C17E34">
        <w:rPr>
          <w:szCs w:val="24"/>
          <w:lang w:val="en-ZA"/>
        </w:rPr>
        <w:t xml:space="preserve">the </w:t>
      </w:r>
      <w:r w:rsidR="00D473C0" w:rsidRPr="00313CD2">
        <w:rPr>
          <w:szCs w:val="24"/>
          <w:lang w:val="en-ZA"/>
        </w:rPr>
        <w:t>question is</w:t>
      </w:r>
      <w:r w:rsidR="00D473C0" w:rsidRPr="000763D4">
        <w:rPr>
          <w:szCs w:val="24"/>
          <w:lang w:val="en-ZA"/>
        </w:rPr>
        <w:t xml:space="preserve"> whether (</w:t>
      </w:r>
      <w:r w:rsidR="00D473C0" w:rsidRPr="00313CD2">
        <w:rPr>
          <w:szCs w:val="24"/>
          <w:lang w:val="en-ZA"/>
        </w:rPr>
        <w:t>based on an admission</w:t>
      </w:r>
      <w:r w:rsidR="00D473C0" w:rsidRPr="000763D4">
        <w:rPr>
          <w:szCs w:val="24"/>
          <w:lang w:val="en-ZA"/>
        </w:rPr>
        <w:t>)</w:t>
      </w:r>
      <w:r w:rsidR="00D473C0" w:rsidRPr="00313CD2">
        <w:rPr>
          <w:szCs w:val="24"/>
          <w:lang w:val="en-ZA"/>
        </w:rPr>
        <w:t xml:space="preserve"> the plaintiff </w:t>
      </w:r>
      <w:r w:rsidR="00D473C0" w:rsidRPr="000763D4">
        <w:rPr>
          <w:szCs w:val="24"/>
          <w:lang w:val="en-ZA"/>
        </w:rPr>
        <w:t>is</w:t>
      </w:r>
      <w:r w:rsidR="00D473C0" w:rsidRPr="00313CD2">
        <w:rPr>
          <w:szCs w:val="24"/>
          <w:lang w:val="en-ZA"/>
        </w:rPr>
        <w:t xml:space="preserve"> entitled to an interim payment</w:t>
      </w:r>
      <w:r w:rsidR="00D473C0" w:rsidRPr="000763D4">
        <w:rPr>
          <w:szCs w:val="24"/>
          <w:lang w:val="en-ZA"/>
        </w:rPr>
        <w:t>, taking into consideration that there is,</w:t>
      </w:r>
      <w:r w:rsidR="008C51A3">
        <w:rPr>
          <w:szCs w:val="24"/>
          <w:lang w:val="en-ZA"/>
        </w:rPr>
        <w:t xml:space="preserve"> </w:t>
      </w:r>
      <w:r w:rsidR="00D473C0" w:rsidRPr="00313CD2">
        <w:rPr>
          <w:szCs w:val="24"/>
          <w:lang w:val="en-ZA"/>
        </w:rPr>
        <w:t xml:space="preserve">conflicting </w:t>
      </w:r>
      <w:r w:rsidR="002A2F91">
        <w:rPr>
          <w:szCs w:val="24"/>
          <w:lang w:val="en-ZA"/>
        </w:rPr>
        <w:t>views</w:t>
      </w:r>
      <w:r w:rsidR="00D473C0" w:rsidRPr="00313CD2">
        <w:rPr>
          <w:szCs w:val="24"/>
          <w:lang w:val="en-ZA"/>
        </w:rPr>
        <w:t xml:space="preserve"> on th</w:t>
      </w:r>
      <w:r w:rsidR="00C17E34">
        <w:rPr>
          <w:szCs w:val="24"/>
          <w:lang w:val="en-ZA"/>
        </w:rPr>
        <w:t>is</w:t>
      </w:r>
      <w:r w:rsidR="00D473C0" w:rsidRPr="00313CD2">
        <w:rPr>
          <w:szCs w:val="24"/>
          <w:lang w:val="en-ZA"/>
        </w:rPr>
        <w:t xml:space="preserve"> issue</w:t>
      </w:r>
      <w:r w:rsidR="00D473C0" w:rsidRPr="000763D4">
        <w:rPr>
          <w:szCs w:val="24"/>
          <w:lang w:val="en-ZA"/>
        </w:rPr>
        <w:t>.</w:t>
      </w:r>
    </w:p>
    <w:p w14:paraId="15FEB729" w14:textId="77777777" w:rsidR="0073470B" w:rsidRPr="00187B2D" w:rsidRDefault="00223BE4" w:rsidP="00223BE4">
      <w:pPr>
        <w:pStyle w:val="JudgmentNumbered"/>
        <w:numPr>
          <w:ilvl w:val="0"/>
          <w:numId w:val="0"/>
        </w:numPr>
        <w:rPr>
          <w:i/>
        </w:rPr>
      </w:pPr>
      <w:r w:rsidRPr="00187B2D">
        <w:rPr>
          <w:i/>
        </w:rPr>
        <w:t>Rule 34A of the Uniform Rules of Court in general</w:t>
      </w:r>
    </w:p>
    <w:p w14:paraId="5C782173" w14:textId="77140671" w:rsidR="00223BE4" w:rsidRPr="0073470B" w:rsidRDefault="0073470B" w:rsidP="00137326">
      <w:pPr>
        <w:pStyle w:val="JudgmentNumbered"/>
        <w:numPr>
          <w:ilvl w:val="0"/>
          <w:numId w:val="0"/>
        </w:numPr>
        <w:ind w:left="567" w:hanging="567"/>
        <w:rPr>
          <w:b/>
          <w:bCs/>
          <w:iCs/>
          <w:u w:val="single"/>
        </w:rPr>
      </w:pPr>
      <w:r w:rsidRPr="0073470B">
        <w:rPr>
          <w:iCs/>
        </w:rPr>
        <w:t>[2</w:t>
      </w:r>
      <w:r w:rsidR="00A203E1">
        <w:rPr>
          <w:iCs/>
        </w:rPr>
        <w:t>4</w:t>
      </w:r>
      <w:r w:rsidRPr="0073470B">
        <w:rPr>
          <w:iCs/>
        </w:rPr>
        <w:t>]</w:t>
      </w:r>
      <w:r>
        <w:rPr>
          <w:iCs/>
        </w:rPr>
        <w:tab/>
      </w:r>
      <w:r w:rsidR="00223BE4">
        <w:t>Rule 34A was introduced by GN R2164 of 2 October 1987 to afford interim financial relief to a plaintiff in an action for damages for personal injuries, or injuries consequent upon the death of a person. Rule 34A is subject to section 6(1)(a) of the Rules Board for Court of Law Act 1985,</w:t>
      </w:r>
      <w:r w:rsidR="00223BE4">
        <w:rPr>
          <w:rStyle w:val="FootnoteReference"/>
        </w:rPr>
        <w:footnoteReference w:id="13"/>
      </w:r>
      <w:r w:rsidR="00223BE4">
        <w:t xml:space="preserve"> as the rule is procedural in character, not substantive.</w:t>
      </w:r>
      <w:r w:rsidR="00223BE4">
        <w:rPr>
          <w:rStyle w:val="FootnoteReference"/>
        </w:rPr>
        <w:footnoteReference w:id="14"/>
      </w:r>
      <w:r w:rsidR="00223BE4">
        <w:t xml:space="preserve"> The relief is restricted to the plaintiff's claim for medical costs and loss of income arising from physical disability or the death of another person.</w:t>
      </w:r>
      <w:r w:rsidR="00223BE4">
        <w:rPr>
          <w:rStyle w:val="FootnoteReference"/>
        </w:rPr>
        <w:footnoteReference w:id="15"/>
      </w:r>
      <w:r w:rsidR="00223BE4">
        <w:t xml:space="preserve"> It is worth noting that a plaintiff cannot obtain interim advance payment under rule 34A of 'a single cent of his general damages'.</w:t>
      </w:r>
      <w:r w:rsidR="00223BE4">
        <w:rPr>
          <w:rStyle w:val="FootnoteReference"/>
        </w:rPr>
        <w:footnoteReference w:id="16"/>
      </w:r>
      <w:r w:rsidR="00223BE4">
        <w:t xml:space="preserve"> </w:t>
      </w:r>
    </w:p>
    <w:p w14:paraId="07A824E7" w14:textId="5648195B" w:rsidR="00223BE4" w:rsidRDefault="0073470B" w:rsidP="00137326">
      <w:pPr>
        <w:pStyle w:val="JudgmentNumbered"/>
        <w:numPr>
          <w:ilvl w:val="0"/>
          <w:numId w:val="0"/>
        </w:numPr>
        <w:ind w:left="567" w:hanging="567"/>
      </w:pPr>
      <w:r>
        <w:t>[2</w:t>
      </w:r>
      <w:r w:rsidR="00A203E1">
        <w:t>5</w:t>
      </w:r>
      <w:r>
        <w:t>]</w:t>
      </w:r>
      <w:r>
        <w:tab/>
      </w:r>
      <w:r w:rsidR="00223BE4">
        <w:t>Rule 34A also applies to claims for damages for loss of support, which is the only type of 'loss of income arising from the death of a person' to which the rule can pertain.</w:t>
      </w:r>
      <w:r w:rsidR="00223BE4">
        <w:rPr>
          <w:rStyle w:val="FootnoteReference"/>
        </w:rPr>
        <w:footnoteReference w:id="17"/>
      </w:r>
      <w:r w:rsidR="00223BE4">
        <w:t xml:space="preserve"> Thus, where an applicant for an interim payment was not earning an income; was compelled to borrow substantially in order to support her family after </w:t>
      </w:r>
      <w:r w:rsidR="00223BE4">
        <w:lastRenderedPageBreak/>
        <w:t>her husband's death; and was being required to secure her overdraft by mortgaging her home, the court exercised its discretion to order an interim payment in her favour.</w:t>
      </w:r>
      <w:r w:rsidR="00223BE4">
        <w:rPr>
          <w:rStyle w:val="FootnoteReference"/>
        </w:rPr>
        <w:footnoteReference w:id="18"/>
      </w:r>
    </w:p>
    <w:p w14:paraId="7121BB9C" w14:textId="0440DF78" w:rsidR="00185AA7" w:rsidRDefault="004A2AFE" w:rsidP="00137326">
      <w:pPr>
        <w:pStyle w:val="JudgmentNumbered"/>
        <w:numPr>
          <w:ilvl w:val="0"/>
          <w:numId w:val="0"/>
        </w:numPr>
        <w:ind w:left="567" w:hanging="567"/>
        <w:rPr>
          <w:b/>
          <w:bCs/>
          <w:u w:val="single"/>
        </w:rPr>
      </w:pPr>
      <w:r>
        <w:t>[2</w:t>
      </w:r>
      <w:r w:rsidR="00A203E1">
        <w:t>6</w:t>
      </w:r>
      <w:r>
        <w:t>]</w:t>
      </w:r>
      <w:r>
        <w:tab/>
      </w:r>
      <w:r w:rsidR="00223BE4">
        <w:t>It should be noted that when a court orders an interim payment in terms of rule 34A it does not give judgment against the defendant, even for part of the plaintiff's claim. On the contrary, the entire claim has still to be proved at the trial, including such portions of it as have been covered by the interim payment.</w:t>
      </w:r>
      <w:r w:rsidR="00223BE4">
        <w:rPr>
          <w:rStyle w:val="FootnoteReference"/>
        </w:rPr>
        <w:footnoteReference w:id="19"/>
      </w:r>
    </w:p>
    <w:p w14:paraId="2FF77A2A" w14:textId="57339681" w:rsidR="00223BE4" w:rsidRPr="00187B2D" w:rsidRDefault="00223BE4" w:rsidP="00223BE4">
      <w:pPr>
        <w:pStyle w:val="JudgmentNumbered"/>
        <w:numPr>
          <w:ilvl w:val="0"/>
          <w:numId w:val="0"/>
        </w:numPr>
        <w:rPr>
          <w:i/>
          <w:iCs/>
        </w:rPr>
      </w:pPr>
      <w:r w:rsidRPr="00187B2D">
        <w:rPr>
          <w:i/>
          <w:iCs/>
        </w:rPr>
        <w:t>Is Rule 34(A) applicable to RAF cases?</w:t>
      </w:r>
    </w:p>
    <w:p w14:paraId="441659BA" w14:textId="696FAF1F" w:rsidR="00223BE4" w:rsidRDefault="004A2AFE" w:rsidP="00137326">
      <w:pPr>
        <w:pStyle w:val="JudgmentNumbered"/>
        <w:numPr>
          <w:ilvl w:val="0"/>
          <w:numId w:val="0"/>
        </w:numPr>
        <w:ind w:left="567" w:hanging="567"/>
      </w:pPr>
      <w:r>
        <w:t>[2</w:t>
      </w:r>
      <w:r w:rsidR="00A203E1">
        <w:t>7</w:t>
      </w:r>
      <w:r>
        <w:t>]</w:t>
      </w:r>
      <w:r>
        <w:tab/>
      </w:r>
      <w:r w:rsidR="00223BE4">
        <w:t xml:space="preserve">An interim payment of damages may be ordered under rule 34A in </w:t>
      </w:r>
      <w:r w:rsidR="00D2224E">
        <w:t>RAF</w:t>
      </w:r>
      <w:r w:rsidR="00223BE4">
        <w:t xml:space="preserve"> cases. It cannot therefore be argued that the rule was not intended to be applied in </w:t>
      </w:r>
      <w:r w:rsidR="00E14132">
        <w:t xml:space="preserve">RAF </w:t>
      </w:r>
      <w:r w:rsidR="00223BE4">
        <w:t>cases merely because no mention of such cases is made in the rule.</w:t>
      </w:r>
      <w:r w:rsidR="00223BE4">
        <w:rPr>
          <w:rStyle w:val="FootnoteReference"/>
        </w:rPr>
        <w:footnoteReference w:id="20"/>
      </w:r>
      <w:r w:rsidR="00223BE4">
        <w:t xml:space="preserve"> Road accident victims often suffer dire financial straits due to the burden of medical treatment and a partial reduction, or even total loss, of earning capacity. While these victims may have a claim against the </w:t>
      </w:r>
      <w:r w:rsidR="00746CCC">
        <w:t>defendant</w:t>
      </w:r>
      <w:r w:rsidR="00223BE4">
        <w:t xml:space="preserve">, such claims may take years to finalise. </w:t>
      </w:r>
    </w:p>
    <w:p w14:paraId="287CFE74" w14:textId="68A4066A" w:rsidR="00223BE4" w:rsidRDefault="00E14132" w:rsidP="00137326">
      <w:pPr>
        <w:pStyle w:val="JudgmentNumbered"/>
        <w:numPr>
          <w:ilvl w:val="0"/>
          <w:numId w:val="0"/>
        </w:numPr>
        <w:ind w:left="567" w:hanging="567"/>
      </w:pPr>
      <w:r>
        <w:t>[2</w:t>
      </w:r>
      <w:r w:rsidR="00A203E1">
        <w:t>8</w:t>
      </w:r>
      <w:r>
        <w:t>]</w:t>
      </w:r>
      <w:r>
        <w:tab/>
      </w:r>
      <w:r w:rsidR="00223BE4">
        <w:t xml:space="preserve">Rule 34A of the Uniform Rules of Court provides a procedure to alleviate the burden endured by these victims, as it provides a mechanism to obtain an interim payment pending the finalisation of the plaintiff’s claim. It should, however, be noted that the </w:t>
      </w:r>
      <w:r w:rsidR="005C26B5">
        <w:t>r</w:t>
      </w:r>
      <w:r w:rsidR="00223BE4">
        <w:t>ule 34A interim payment procedure is available to a person who sustained injuries in a road accident as well as the dependents of a deceased road accident victim.</w:t>
      </w:r>
    </w:p>
    <w:p w14:paraId="2AAFB0A6" w14:textId="6CDE01D0" w:rsidR="00BE27F0" w:rsidRDefault="00E14132" w:rsidP="00137326">
      <w:pPr>
        <w:pStyle w:val="JudgmentNumbered"/>
        <w:numPr>
          <w:ilvl w:val="0"/>
          <w:numId w:val="0"/>
        </w:numPr>
        <w:ind w:left="567" w:hanging="567"/>
        <w:rPr>
          <w:b/>
          <w:bCs/>
          <w:u w:val="single"/>
        </w:rPr>
      </w:pPr>
      <w:r>
        <w:t>[2</w:t>
      </w:r>
      <w:r w:rsidR="00A203E1">
        <w:t>9</w:t>
      </w:r>
      <w:r>
        <w:t>]</w:t>
      </w:r>
      <w:r>
        <w:tab/>
      </w:r>
      <w:r w:rsidR="00223BE4">
        <w:t xml:space="preserve">In </w:t>
      </w:r>
      <w:r w:rsidR="00223BE4" w:rsidRPr="00B02DE0">
        <w:rPr>
          <w:i/>
          <w:iCs/>
        </w:rPr>
        <w:t>Karpakis v Mutual &amp; Federal Insurance Co Ltd</w:t>
      </w:r>
      <w:r w:rsidR="005E2C2A">
        <w:rPr>
          <w:rStyle w:val="FootnoteReference"/>
          <w:i/>
          <w:iCs/>
        </w:rPr>
        <w:footnoteReference w:id="21"/>
      </w:r>
      <w:r w:rsidR="00223BE4">
        <w:t xml:space="preserve"> the court rejected the respondent’s contention that </w:t>
      </w:r>
      <w:r w:rsidR="005C26B5">
        <w:t>r</w:t>
      </w:r>
      <w:r w:rsidR="00223BE4">
        <w:t xml:space="preserve">ule 34A makes no provision for motor vehicle cases and is ultra vires as substantive, not procedural, because it makes provision for interim payouts in personal injury matters. The court held that this argument was fallacious because the wording of subrule (1) of Uniform Rule 34A is clearly wide enough to encompass such cases and does not make a </w:t>
      </w:r>
      <w:r w:rsidR="00223BE4">
        <w:lastRenderedPageBreak/>
        <w:t>substantive finding on the merits of the litigation in actions for damages for personal injuries or loss of support.</w:t>
      </w:r>
    </w:p>
    <w:p w14:paraId="0069479C" w14:textId="6505CDA9" w:rsidR="00223BE4" w:rsidRPr="00187B2D" w:rsidRDefault="00223BE4" w:rsidP="00223BE4">
      <w:pPr>
        <w:pStyle w:val="JudgmentNumbered"/>
        <w:numPr>
          <w:ilvl w:val="0"/>
          <w:numId w:val="0"/>
        </w:numPr>
        <w:rPr>
          <w:i/>
          <w:iCs/>
        </w:rPr>
      </w:pPr>
      <w:r w:rsidRPr="00187B2D">
        <w:rPr>
          <w:i/>
          <w:iCs/>
        </w:rPr>
        <w:t>Under which circumstances is the plaintiff entitled to interim payment against the Road Accident Fund?</w:t>
      </w:r>
    </w:p>
    <w:p w14:paraId="61ECD076" w14:textId="3FB177B5" w:rsidR="00223BE4" w:rsidRDefault="00BE27F0" w:rsidP="00137326">
      <w:pPr>
        <w:pStyle w:val="JudgmentNumbered"/>
        <w:numPr>
          <w:ilvl w:val="0"/>
          <w:numId w:val="0"/>
        </w:numPr>
        <w:ind w:left="567" w:hanging="567"/>
      </w:pPr>
      <w:r>
        <w:t>[</w:t>
      </w:r>
      <w:r w:rsidR="00A203E1">
        <w:t>30</w:t>
      </w:r>
      <w:r>
        <w:t>]</w:t>
      </w:r>
      <w:r>
        <w:tab/>
      </w:r>
      <w:r w:rsidR="00223BE4">
        <w:t xml:space="preserve">The circumstances under which the court may make an order for interim payment are set out in </w:t>
      </w:r>
      <w:r w:rsidR="005C26B5">
        <w:t>r</w:t>
      </w:r>
      <w:r w:rsidR="00223BE4">
        <w:t xml:space="preserve">ule 34A(4)(a)-(b). In terms of </w:t>
      </w:r>
      <w:r w:rsidR="005C26B5">
        <w:t>r</w:t>
      </w:r>
      <w:r w:rsidR="00223BE4">
        <w:t>ule 34A(4)(a)</w:t>
      </w:r>
      <w:r w:rsidR="00567247">
        <w:noBreakHyphen/>
      </w:r>
      <w:r w:rsidR="00223BE4">
        <w:t xml:space="preserve">(b) the court may only grant an interim payment when the defendant has, in writing, admitted liability for the plaintiff’s damages or the plaintiff has already obtained a judgment confirming the defendant’s liability for damages. In </w:t>
      </w:r>
      <w:r w:rsidR="00223BE4" w:rsidRPr="00B02DE0">
        <w:rPr>
          <w:i/>
          <w:iCs/>
        </w:rPr>
        <w:t>Harmse v Road Accident Fund</w:t>
      </w:r>
      <w:r w:rsidR="00D02A6B">
        <w:rPr>
          <w:rStyle w:val="FootnoteReference"/>
          <w:i/>
          <w:iCs/>
        </w:rPr>
        <w:footnoteReference w:id="22"/>
      </w:r>
      <w:r w:rsidR="00223BE4">
        <w:t>, where the applicant sought an interim payment, he relied on an offer of settlement made by the respondent’s claims handler. This offer of settlement had previously been rejected by the applicant’s attorney before the application was instituted. In dismissing the application, the court stated that there was no consensus between the parties on the liability of the respondent for the applicant’s damages. The court held that only in instances where the respondent had admitted liability or the applicant had obtained judgment for damages, may a court order an interim payment. Rule 34A envisages a clear, unequivocal and unconditional admission of liability for it to find application.</w:t>
      </w:r>
    </w:p>
    <w:p w14:paraId="55061FD3" w14:textId="385D568E" w:rsidR="00223BE4" w:rsidRPr="00A80CB4" w:rsidRDefault="00BE27F0" w:rsidP="00137326">
      <w:pPr>
        <w:pStyle w:val="JudgmentNumbered"/>
        <w:numPr>
          <w:ilvl w:val="0"/>
          <w:numId w:val="0"/>
        </w:numPr>
        <w:ind w:left="567" w:hanging="567"/>
        <w:rPr>
          <w:szCs w:val="24"/>
        </w:rPr>
      </w:pPr>
      <w:r>
        <w:rPr>
          <w:lang w:val="en-ZA"/>
        </w:rPr>
        <w:t>[</w:t>
      </w:r>
      <w:r w:rsidR="00A203E1">
        <w:rPr>
          <w:lang w:val="en-ZA"/>
        </w:rPr>
        <w:t>31</w:t>
      </w:r>
      <w:r>
        <w:rPr>
          <w:lang w:val="en-ZA"/>
        </w:rPr>
        <w:t>]</w:t>
      </w:r>
      <w:r>
        <w:rPr>
          <w:lang w:val="en-ZA"/>
        </w:rPr>
        <w:tab/>
      </w:r>
      <w:r w:rsidR="00223BE4" w:rsidRPr="0039280E">
        <w:rPr>
          <w:lang w:val="en-ZA"/>
        </w:rPr>
        <w:t xml:space="preserve">The provisions set out in rule </w:t>
      </w:r>
      <w:r w:rsidR="00223BE4">
        <w:rPr>
          <w:lang w:val="en-ZA"/>
        </w:rPr>
        <w:t>34A(</w:t>
      </w:r>
      <w:r w:rsidR="00223BE4" w:rsidRPr="0039280E">
        <w:rPr>
          <w:lang w:val="en-ZA"/>
        </w:rPr>
        <w:t>4</w:t>
      </w:r>
      <w:r w:rsidR="00223BE4">
        <w:rPr>
          <w:lang w:val="en-ZA"/>
        </w:rPr>
        <w:t>)</w:t>
      </w:r>
      <w:r w:rsidR="00223BE4" w:rsidRPr="0039280E">
        <w:rPr>
          <w:lang w:val="en-ZA"/>
        </w:rPr>
        <w:t>(a)</w:t>
      </w:r>
      <w:r w:rsidR="00223BE4">
        <w:rPr>
          <w:lang w:val="en-ZA"/>
        </w:rPr>
        <w:t>-</w:t>
      </w:r>
      <w:r w:rsidR="00223BE4" w:rsidRPr="0039280E">
        <w:rPr>
          <w:lang w:val="en-ZA"/>
        </w:rPr>
        <w:t>(b) are jurisdictional requirements which are a pre-requisite for the court to exercise its discretion to order an interim payment.</w:t>
      </w:r>
      <w:r w:rsidR="00223BE4">
        <w:rPr>
          <w:lang w:val="en-ZA"/>
        </w:rPr>
        <w:t xml:space="preserve"> In other words, </w:t>
      </w:r>
      <w:bookmarkStart w:id="2" w:name="_Hlk149742831"/>
      <w:r w:rsidR="00223BE4">
        <w:rPr>
          <w:lang w:val="en-ZA"/>
        </w:rPr>
        <w:t xml:space="preserve">a court dealing with the rule 34A application must first establish whether the </w:t>
      </w:r>
      <w:r w:rsidR="00223BE4" w:rsidRPr="00E959F5">
        <w:t xml:space="preserve">merits </w:t>
      </w:r>
      <w:r w:rsidR="00223BE4">
        <w:t>of the particular</w:t>
      </w:r>
      <w:r w:rsidR="00567247">
        <w:t xml:space="preserve"> </w:t>
      </w:r>
      <w:r w:rsidR="00223BE4">
        <w:t xml:space="preserve">matter which is subject to the interim payment </w:t>
      </w:r>
      <w:r w:rsidR="00223BE4" w:rsidRPr="00E959F5">
        <w:t>have been settled in favour of the plaintiff.</w:t>
      </w:r>
      <w:r w:rsidR="00223BE4">
        <w:t xml:space="preserve"> </w:t>
      </w:r>
      <w:bookmarkEnd w:id="2"/>
      <w:r w:rsidR="00223BE4">
        <w:t>If the court is of the opinion that the merits have been settled in favour of the plaintiff, i</w:t>
      </w:r>
      <w:r w:rsidR="00223BE4" w:rsidRPr="00E959F5">
        <w:t xml:space="preserve">t therefore follows that the plaintiff </w:t>
      </w:r>
      <w:r w:rsidR="00223BE4">
        <w:t>would have</w:t>
      </w:r>
      <w:r w:rsidR="00223BE4" w:rsidRPr="00E959F5">
        <w:t xml:space="preserve"> met the jurisdictional requirement to launch th</w:t>
      </w:r>
      <w:r w:rsidR="00223BE4">
        <w:t>e</w:t>
      </w:r>
      <w:r w:rsidR="00223BE4" w:rsidRPr="00E959F5">
        <w:t xml:space="preserve"> application for interim payment.</w:t>
      </w:r>
      <w:r w:rsidR="00223BE4" w:rsidRPr="0083331E">
        <w:rPr>
          <w:rFonts w:ascii="Verdana" w:hAnsi="Verdana" w:cstheme="minorBidi"/>
          <w:color w:val="000000"/>
          <w:sz w:val="20"/>
          <w:szCs w:val="20"/>
        </w:rPr>
        <w:t xml:space="preserve"> </w:t>
      </w:r>
      <w:r w:rsidR="00223BE4" w:rsidRPr="00A80CB4">
        <w:rPr>
          <w:color w:val="000000"/>
          <w:szCs w:val="24"/>
        </w:rPr>
        <w:t xml:space="preserve">It was held that </w:t>
      </w:r>
      <w:r w:rsidR="00223BE4" w:rsidRPr="00A80CB4">
        <w:rPr>
          <w:szCs w:val="24"/>
        </w:rPr>
        <w:t>a formal written admission of liability is not a prerequisite if the admission can be deduced from correspondence.</w:t>
      </w:r>
      <w:r w:rsidR="00223BE4" w:rsidRPr="00A80CB4">
        <w:rPr>
          <w:rStyle w:val="FootnoteReference"/>
          <w:szCs w:val="24"/>
        </w:rPr>
        <w:footnoteReference w:id="23"/>
      </w:r>
      <w:r w:rsidR="00223BE4" w:rsidRPr="00A80CB4">
        <w:rPr>
          <w:szCs w:val="24"/>
        </w:rPr>
        <w:t xml:space="preserve"> </w:t>
      </w:r>
    </w:p>
    <w:p w14:paraId="66FFCB86" w14:textId="1CB3368B" w:rsidR="00223BE4" w:rsidRPr="006253C7" w:rsidRDefault="00BE27F0" w:rsidP="00137326">
      <w:pPr>
        <w:pStyle w:val="JudgmentNumbered"/>
        <w:numPr>
          <w:ilvl w:val="0"/>
          <w:numId w:val="0"/>
        </w:numPr>
        <w:ind w:left="567" w:hanging="567"/>
        <w:rPr>
          <w:lang w:val="en-ZA"/>
        </w:rPr>
      </w:pPr>
      <w:r>
        <w:lastRenderedPageBreak/>
        <w:t>[3</w:t>
      </w:r>
      <w:r w:rsidR="00A203E1">
        <w:t>2</w:t>
      </w:r>
      <w:r>
        <w:t>]</w:t>
      </w:r>
      <w:r>
        <w:tab/>
      </w:r>
      <w:bookmarkStart w:id="3" w:name="_Hlk149730649"/>
      <w:r w:rsidR="00223BE4">
        <w:t>Rule 34A(4)(a)</w:t>
      </w:r>
      <w:r w:rsidR="00350E9D">
        <w:t xml:space="preserve"> sets out jurisdictional requirement</w:t>
      </w:r>
      <w:r w:rsidR="003047D7">
        <w:t>s and</w:t>
      </w:r>
      <w:bookmarkEnd w:id="3"/>
      <w:r w:rsidR="003047D7">
        <w:t xml:space="preserve"> t</w:t>
      </w:r>
      <w:r w:rsidR="00223BE4">
        <w:rPr>
          <w:lang w:val="en-ZA"/>
        </w:rPr>
        <w:t xml:space="preserve">his issue was first considered in </w:t>
      </w:r>
      <w:r w:rsidR="00223BE4" w:rsidRPr="00C7387E">
        <w:rPr>
          <w:i/>
          <w:iCs/>
          <w:lang w:val="en-ZA"/>
        </w:rPr>
        <w:t>Alexander v Road Accident Fund and Three Other Related Matters</w:t>
      </w:r>
      <w:r w:rsidR="00223BE4">
        <w:rPr>
          <w:rStyle w:val="FootnoteReference"/>
          <w:i/>
          <w:iCs/>
          <w:lang w:val="en-ZA"/>
        </w:rPr>
        <w:footnoteReference w:id="24"/>
      </w:r>
      <w:r w:rsidR="00223BE4">
        <w:rPr>
          <w:lang w:val="en-ZA"/>
        </w:rPr>
        <w:t xml:space="preserve"> (</w:t>
      </w:r>
      <w:r w:rsidR="00223BE4" w:rsidRPr="00C7387E">
        <w:rPr>
          <w:i/>
          <w:iCs/>
          <w:lang w:val="en-ZA"/>
        </w:rPr>
        <w:t>Alexandra</w:t>
      </w:r>
      <w:r w:rsidR="00223BE4">
        <w:rPr>
          <w:lang w:val="en-ZA"/>
        </w:rPr>
        <w:t xml:space="preserve">). In </w:t>
      </w:r>
      <w:r w:rsidR="00223BE4" w:rsidRPr="00C7387E">
        <w:rPr>
          <w:i/>
          <w:iCs/>
          <w:lang w:val="en-ZA"/>
        </w:rPr>
        <w:t>Alexandra</w:t>
      </w:r>
      <w:r w:rsidR="00223BE4">
        <w:rPr>
          <w:lang w:val="en-ZA"/>
        </w:rPr>
        <w:t>, the applicants (who were plaintiffs in their four respective claims against t</w:t>
      </w:r>
      <w:r w:rsidR="00223BE4" w:rsidRPr="00C7387E">
        <w:rPr>
          <w:lang w:val="en-ZA"/>
        </w:rPr>
        <w:t xml:space="preserve">he </w:t>
      </w:r>
      <w:r w:rsidR="00285F5A">
        <w:rPr>
          <w:lang w:val="en-ZA"/>
        </w:rPr>
        <w:t>defendant</w:t>
      </w:r>
      <w:r w:rsidR="00223BE4" w:rsidRPr="00C7387E">
        <w:rPr>
          <w:lang w:val="en-ZA"/>
        </w:rPr>
        <w:t>) e</w:t>
      </w:r>
      <w:r w:rsidR="00223BE4" w:rsidRPr="00C7387E">
        <w:t xml:space="preserve">ach </w:t>
      </w:r>
      <w:r w:rsidR="00223BE4">
        <w:t xml:space="preserve">sought </w:t>
      </w:r>
      <w:r w:rsidR="00223BE4" w:rsidRPr="00C7387E">
        <w:t>an order for an interim payment under </w:t>
      </w:r>
      <w:r w:rsidR="00223BE4">
        <w:t>r</w:t>
      </w:r>
      <w:r w:rsidR="00223BE4" w:rsidRPr="00C7387E">
        <w:t>ule 34A(4)(a).</w:t>
      </w:r>
      <w:r w:rsidR="00223BE4">
        <w:t xml:space="preserve"> </w:t>
      </w:r>
      <w:r w:rsidR="00223BE4" w:rsidRPr="006253C7">
        <w:t xml:space="preserve">The four matters all served before </w:t>
      </w:r>
      <w:r w:rsidR="00223BE4">
        <w:t>Moultrie AJ</w:t>
      </w:r>
      <w:r w:rsidR="00223BE4" w:rsidRPr="006253C7">
        <w:t xml:space="preserve"> in the unopposed motion court on 25 January 2023</w:t>
      </w:r>
      <w:r w:rsidR="00223BE4">
        <w:t xml:space="preserve"> and </w:t>
      </w:r>
      <w:r w:rsidR="00223BE4" w:rsidRPr="006253C7">
        <w:t xml:space="preserve">having identified significant commonalities in the facts and the legal question that arises for determination, and in view of the fact that all of the applicants </w:t>
      </w:r>
      <w:r w:rsidR="00223BE4">
        <w:t>were</w:t>
      </w:r>
      <w:r w:rsidR="00223BE4" w:rsidRPr="006253C7">
        <w:t xml:space="preserve"> represented by the same attorneys, </w:t>
      </w:r>
      <w:r w:rsidR="00223BE4">
        <w:t>Moultrie AJ</w:t>
      </w:r>
      <w:r w:rsidR="00223BE4" w:rsidRPr="006253C7">
        <w:t xml:space="preserve"> ordered that they be heard together</w:t>
      </w:r>
      <w:r w:rsidR="00223BE4">
        <w:t xml:space="preserve"> for the purposes of deciding their rule 34A(4)(a) applications</w:t>
      </w:r>
      <w:r w:rsidR="00223BE4" w:rsidRPr="006253C7">
        <w:t>.</w:t>
      </w:r>
    </w:p>
    <w:p w14:paraId="7E2FC6C4" w14:textId="4FC24C19" w:rsidR="00223BE4" w:rsidRPr="00702545" w:rsidRDefault="003047D7" w:rsidP="00137326">
      <w:pPr>
        <w:pStyle w:val="JudgmentNumbered"/>
        <w:numPr>
          <w:ilvl w:val="0"/>
          <w:numId w:val="0"/>
        </w:numPr>
        <w:ind w:left="567" w:hanging="567"/>
        <w:rPr>
          <w:lang w:val="en-ZA"/>
        </w:rPr>
      </w:pPr>
      <w:r>
        <w:t>[3</w:t>
      </w:r>
      <w:r w:rsidR="00A203E1">
        <w:t>3</w:t>
      </w:r>
      <w:r>
        <w:t>]</w:t>
      </w:r>
      <w:r>
        <w:tab/>
      </w:r>
      <w:r w:rsidR="00223BE4">
        <w:t xml:space="preserve">The main issue which the court had to resolve was whether the </w:t>
      </w:r>
      <w:r w:rsidR="00223BE4" w:rsidRPr="00C7387E">
        <w:t>documents upon which the applicants rel</w:t>
      </w:r>
      <w:r w:rsidR="00223BE4">
        <w:t>ied</w:t>
      </w:r>
      <w:r w:rsidR="00223BE4" w:rsidRPr="00C7387E">
        <w:t xml:space="preserve"> as constituting the </w:t>
      </w:r>
      <w:r w:rsidR="0092490D">
        <w:t>defendant</w:t>
      </w:r>
      <w:r w:rsidR="00223BE4" w:rsidRPr="00C7387E">
        <w:t>’s written admissions of liability</w:t>
      </w:r>
      <w:r w:rsidR="00223BE4">
        <w:t xml:space="preserve"> could be construed as admission of liability by the </w:t>
      </w:r>
      <w:r w:rsidR="0092490D">
        <w:t>defendant</w:t>
      </w:r>
      <w:r w:rsidR="00223BE4">
        <w:t xml:space="preserve"> as envisaged by</w:t>
      </w:r>
      <w:r w:rsidR="00223BE4" w:rsidRPr="00C7387E">
        <w:t xml:space="preserve"> </w:t>
      </w:r>
      <w:r w:rsidR="005C26B5">
        <w:t xml:space="preserve">rule </w:t>
      </w:r>
      <w:r w:rsidR="00223BE4" w:rsidRPr="00C7387E">
        <w:t>34A(4)(a).</w:t>
      </w:r>
      <w:r w:rsidR="00223BE4">
        <w:rPr>
          <w:rStyle w:val="FootnoteReference"/>
        </w:rPr>
        <w:footnoteReference w:id="25"/>
      </w:r>
      <w:r w:rsidR="00223BE4" w:rsidRPr="00EB60AF">
        <w:rPr>
          <w:color w:val="242121"/>
          <w:sz w:val="27"/>
          <w:szCs w:val="27"/>
          <w:shd w:val="clear" w:color="auto" w:fill="FFFFFF"/>
        </w:rPr>
        <w:t xml:space="preserve"> </w:t>
      </w:r>
      <w:r w:rsidR="00223BE4" w:rsidRPr="00EB60AF">
        <w:t xml:space="preserve">The </w:t>
      </w:r>
      <w:r w:rsidR="0092490D">
        <w:t>defendant</w:t>
      </w:r>
      <w:r w:rsidR="00223BE4" w:rsidRPr="00EB60AF">
        <w:t xml:space="preserve"> </w:t>
      </w:r>
      <w:r w:rsidR="00223BE4">
        <w:t>did not oppose</w:t>
      </w:r>
      <w:r w:rsidR="00223BE4" w:rsidRPr="00EB60AF">
        <w:t xml:space="preserve"> any of the </w:t>
      </w:r>
      <w:r w:rsidR="00223BE4">
        <w:t xml:space="preserve">four </w:t>
      </w:r>
      <w:r w:rsidR="00223BE4" w:rsidRPr="00EB60AF">
        <w:t>applications.</w:t>
      </w:r>
      <w:r w:rsidR="00223BE4">
        <w:rPr>
          <w:lang w:val="en-ZA"/>
        </w:rPr>
        <w:t xml:space="preserve"> </w:t>
      </w:r>
      <w:r w:rsidR="00223BE4" w:rsidRPr="00702545">
        <w:rPr>
          <w:lang w:val="en-ZA"/>
        </w:rPr>
        <w:t xml:space="preserve">In the three applications before </w:t>
      </w:r>
      <w:bookmarkStart w:id="4" w:name="_Hlk149811636"/>
      <w:r w:rsidR="00223BE4" w:rsidRPr="00702545">
        <w:rPr>
          <w:lang w:val="en-ZA"/>
        </w:rPr>
        <w:t>Moultrie AJ</w:t>
      </w:r>
      <w:bookmarkEnd w:id="4"/>
      <w:r w:rsidR="00223BE4" w:rsidRPr="00702545">
        <w:rPr>
          <w:lang w:val="en-ZA"/>
        </w:rPr>
        <w:t xml:space="preserve"> (i.e. </w:t>
      </w:r>
      <w:r w:rsidR="00223BE4" w:rsidRPr="00702545">
        <w:rPr>
          <w:i/>
          <w:iCs/>
        </w:rPr>
        <w:t>Alexander v RAF, Maboya v RAF and Harripersha</w:t>
      </w:r>
      <w:r w:rsidR="00223BE4">
        <w:rPr>
          <w:i/>
          <w:iCs/>
        </w:rPr>
        <w:t>d</w:t>
      </w:r>
      <w:r w:rsidR="00223BE4" w:rsidRPr="00702545">
        <w:rPr>
          <w:i/>
          <w:iCs/>
        </w:rPr>
        <w:t xml:space="preserve"> v RAF</w:t>
      </w:r>
      <w:r w:rsidR="00223BE4">
        <w:rPr>
          <w:rStyle w:val="FootnoteReference"/>
          <w:i/>
          <w:iCs/>
        </w:rPr>
        <w:footnoteReference w:id="26"/>
      </w:r>
      <w:r w:rsidR="00223BE4">
        <w:t xml:space="preserve">) </w:t>
      </w:r>
      <w:r w:rsidR="00223BE4" w:rsidRPr="00EB60AF">
        <w:t xml:space="preserve">the documents in question </w:t>
      </w:r>
      <w:r w:rsidR="00223BE4">
        <w:t>were</w:t>
      </w:r>
      <w:r w:rsidR="00223BE4" w:rsidRPr="00EB60AF">
        <w:t xml:space="preserve"> duly accepted “without prejudice” offers from the </w:t>
      </w:r>
      <w:r w:rsidR="0092490D">
        <w:t>defendant</w:t>
      </w:r>
      <w:r w:rsidR="00223BE4" w:rsidRPr="00EB60AF">
        <w:t xml:space="preserve"> that read in relevant part as follows</w:t>
      </w:r>
      <w:r w:rsidR="00223BE4" w:rsidRPr="00FD0D35">
        <w:rPr>
          <w:color w:val="202124"/>
          <w:sz w:val="30"/>
          <w:szCs w:val="30"/>
          <w:shd w:val="clear" w:color="auto" w:fill="FFFFFF"/>
        </w:rPr>
        <w:t xml:space="preserve"> </w:t>
      </w:r>
      <w:r w:rsidR="00223BE4" w:rsidRPr="00FD0D35">
        <w:t>—</w:t>
      </w:r>
    </w:p>
    <w:p w14:paraId="09E94D69" w14:textId="77777777" w:rsidR="00223BE4" w:rsidRPr="00EB60AF" w:rsidRDefault="00223BE4" w:rsidP="00223BE4">
      <w:pPr>
        <w:pStyle w:val="western"/>
        <w:shd w:val="clear" w:color="auto" w:fill="FFFFFF"/>
        <w:spacing w:before="144" w:beforeAutospacing="0" w:after="0" w:afterAutospacing="0" w:line="360" w:lineRule="atLeast"/>
        <w:ind w:left="1134"/>
        <w:rPr>
          <w:rFonts w:ascii="Arial" w:hAnsi="Arial" w:cs="Arial"/>
          <w:color w:val="242121"/>
          <w:sz w:val="22"/>
          <w:szCs w:val="22"/>
        </w:rPr>
      </w:pPr>
      <w:r w:rsidRPr="00EB60AF">
        <w:rPr>
          <w:rFonts w:ascii="Arial" w:hAnsi="Arial" w:cs="Arial"/>
          <w:color w:val="242121"/>
          <w:sz w:val="22"/>
          <w:szCs w:val="22"/>
        </w:rPr>
        <w:t>“The RAF has concluded that the collision resulted from the sole </w:t>
      </w:r>
      <w:r w:rsidRPr="00EB60AF">
        <w:rPr>
          <w:rFonts w:ascii="Arial" w:hAnsi="Arial" w:cs="Arial"/>
          <w:color w:val="242121"/>
          <w:sz w:val="22"/>
          <w:szCs w:val="22"/>
          <w:u w:val="single"/>
        </w:rPr>
        <w:t>negligence</w:t>
      </w:r>
      <w:r w:rsidRPr="00EB60AF">
        <w:rPr>
          <w:rFonts w:ascii="Arial" w:hAnsi="Arial" w:cs="Arial"/>
          <w:color w:val="242121"/>
          <w:sz w:val="22"/>
          <w:szCs w:val="22"/>
        </w:rPr>
        <w:t> of the RAF’s insured driver.</w:t>
      </w:r>
    </w:p>
    <w:p w14:paraId="564B6087" w14:textId="77777777" w:rsidR="00223BE4" w:rsidRPr="00EB60AF" w:rsidRDefault="00223BE4" w:rsidP="00223BE4">
      <w:pPr>
        <w:pStyle w:val="western"/>
        <w:shd w:val="clear" w:color="auto" w:fill="FFFFFF"/>
        <w:spacing w:before="144" w:beforeAutospacing="0" w:after="0" w:afterAutospacing="0" w:line="360" w:lineRule="atLeast"/>
        <w:ind w:left="709"/>
        <w:rPr>
          <w:rFonts w:ascii="Arial" w:hAnsi="Arial" w:cs="Arial"/>
          <w:color w:val="242121"/>
          <w:sz w:val="22"/>
          <w:szCs w:val="22"/>
        </w:rPr>
      </w:pPr>
      <w:r w:rsidRPr="00EB60AF">
        <w:rPr>
          <w:rFonts w:ascii="Arial" w:hAnsi="Arial" w:cs="Arial"/>
          <w:color w:val="242121"/>
          <w:sz w:val="22"/>
          <w:szCs w:val="22"/>
        </w:rPr>
        <w:t> </w:t>
      </w:r>
    </w:p>
    <w:p w14:paraId="24C2FB67" w14:textId="77777777" w:rsidR="00223BE4" w:rsidRPr="00EB60AF" w:rsidRDefault="00223BE4" w:rsidP="00223BE4">
      <w:pPr>
        <w:pStyle w:val="western"/>
        <w:shd w:val="clear" w:color="auto" w:fill="FFFFFF"/>
        <w:spacing w:before="144" w:beforeAutospacing="0" w:after="0" w:afterAutospacing="0" w:line="360" w:lineRule="atLeast"/>
        <w:ind w:left="1134"/>
        <w:rPr>
          <w:rFonts w:ascii="Arial" w:hAnsi="Arial" w:cs="Arial"/>
          <w:color w:val="242121"/>
          <w:sz w:val="22"/>
          <w:szCs w:val="22"/>
        </w:rPr>
      </w:pPr>
      <w:r w:rsidRPr="00EB60AF">
        <w:rPr>
          <w:rFonts w:ascii="Arial" w:hAnsi="Arial" w:cs="Arial"/>
          <w:color w:val="242121"/>
          <w:sz w:val="22"/>
          <w:szCs w:val="22"/>
        </w:rPr>
        <w:t>… the RAF offers to settle </w:t>
      </w:r>
      <w:r w:rsidRPr="00EB60AF">
        <w:rPr>
          <w:rFonts w:ascii="Arial" w:hAnsi="Arial" w:cs="Arial"/>
          <w:color w:val="242121"/>
          <w:sz w:val="22"/>
          <w:szCs w:val="22"/>
          <w:u w:val="single"/>
        </w:rPr>
        <w:t>the issue of negligence</w:t>
      </w:r>
      <w:r w:rsidRPr="00EB60AF">
        <w:rPr>
          <w:rFonts w:ascii="Arial" w:hAnsi="Arial" w:cs="Arial"/>
          <w:color w:val="242121"/>
          <w:sz w:val="22"/>
          <w:szCs w:val="22"/>
        </w:rPr>
        <w:t> vis-à-vis the occurrence of the motor vehicle collision on the basis that the insured driver was solely </w:t>
      </w:r>
      <w:r w:rsidRPr="00EB60AF">
        <w:rPr>
          <w:rFonts w:ascii="Arial" w:hAnsi="Arial" w:cs="Arial"/>
          <w:color w:val="242121"/>
          <w:sz w:val="22"/>
          <w:szCs w:val="22"/>
          <w:u w:val="single"/>
        </w:rPr>
        <w:t>negligent</w:t>
      </w:r>
      <w:r w:rsidRPr="00EB60AF">
        <w:rPr>
          <w:rFonts w:ascii="Arial" w:hAnsi="Arial" w:cs="Arial"/>
          <w:color w:val="242121"/>
          <w:sz w:val="22"/>
          <w:szCs w:val="22"/>
        </w:rPr>
        <w:t> in </w:t>
      </w:r>
      <w:r w:rsidRPr="00EB60AF">
        <w:rPr>
          <w:rFonts w:ascii="Arial" w:hAnsi="Arial" w:cs="Arial"/>
          <w:color w:val="242121"/>
          <w:sz w:val="22"/>
          <w:szCs w:val="22"/>
          <w:u w:val="single"/>
        </w:rPr>
        <w:t>causing the motor vehicle collision</w:t>
      </w:r>
      <w:r w:rsidRPr="00EB60AF">
        <w:rPr>
          <w:rFonts w:ascii="Arial" w:hAnsi="Arial" w:cs="Arial"/>
          <w:color w:val="242121"/>
          <w:sz w:val="22"/>
          <w:szCs w:val="22"/>
        </w:rPr>
        <w:t>.</w:t>
      </w:r>
    </w:p>
    <w:p w14:paraId="67336885" w14:textId="77777777" w:rsidR="00223BE4" w:rsidRPr="00EB60AF" w:rsidRDefault="00223BE4" w:rsidP="00223BE4">
      <w:pPr>
        <w:pStyle w:val="western"/>
        <w:shd w:val="clear" w:color="auto" w:fill="FFFFFF"/>
        <w:spacing w:before="144" w:beforeAutospacing="0" w:after="0" w:afterAutospacing="0" w:line="360" w:lineRule="atLeast"/>
        <w:ind w:left="1134"/>
        <w:rPr>
          <w:rFonts w:ascii="Arial" w:hAnsi="Arial" w:cs="Arial"/>
          <w:color w:val="242121"/>
          <w:sz w:val="22"/>
          <w:szCs w:val="22"/>
        </w:rPr>
      </w:pPr>
      <w:r w:rsidRPr="00EB60AF">
        <w:rPr>
          <w:rFonts w:ascii="Arial" w:hAnsi="Arial" w:cs="Arial"/>
          <w:color w:val="242121"/>
          <w:sz w:val="22"/>
          <w:szCs w:val="22"/>
        </w:rPr>
        <w:t>This offer is </w:t>
      </w:r>
      <w:r w:rsidRPr="00EB60AF">
        <w:rPr>
          <w:rFonts w:ascii="Arial" w:hAnsi="Arial" w:cs="Arial"/>
          <w:color w:val="242121"/>
          <w:sz w:val="22"/>
          <w:szCs w:val="22"/>
          <w:u w:val="single"/>
        </w:rPr>
        <w:t>limited to the aspect of negligence as to the manner in which the collision occurred</w:t>
      </w:r>
      <w:r w:rsidRPr="00EB60AF">
        <w:rPr>
          <w:rFonts w:ascii="Arial" w:hAnsi="Arial" w:cs="Arial"/>
          <w:color w:val="242121"/>
          <w:sz w:val="22"/>
          <w:szCs w:val="22"/>
        </w:rPr>
        <w:t>. This offer </w:t>
      </w:r>
      <w:r w:rsidRPr="00EB60AF">
        <w:rPr>
          <w:rFonts w:ascii="Arial" w:hAnsi="Arial" w:cs="Arial"/>
          <w:color w:val="242121"/>
          <w:sz w:val="22"/>
          <w:szCs w:val="22"/>
          <w:u w:val="single"/>
        </w:rPr>
        <w:t xml:space="preserve">may not be interpreted or construed in a manner </w:t>
      </w:r>
      <w:r w:rsidRPr="00EB60AF">
        <w:rPr>
          <w:rFonts w:ascii="Arial" w:hAnsi="Arial" w:cs="Arial"/>
          <w:color w:val="242121"/>
          <w:sz w:val="22"/>
          <w:szCs w:val="22"/>
          <w:u w:val="single"/>
        </w:rPr>
        <w:lastRenderedPageBreak/>
        <w:t>that would have the RAF concede any other aspect of the claim</w:t>
      </w:r>
      <w:r w:rsidRPr="00EB60AF">
        <w:rPr>
          <w:rFonts w:ascii="Arial" w:hAnsi="Arial" w:cs="Arial"/>
          <w:color w:val="242121"/>
          <w:sz w:val="22"/>
          <w:szCs w:val="22"/>
        </w:rPr>
        <w:t>. To avoid doubt, the RAF </w:t>
      </w:r>
      <w:r w:rsidRPr="00EB60AF">
        <w:rPr>
          <w:rFonts w:ascii="Arial" w:hAnsi="Arial" w:cs="Arial"/>
          <w:color w:val="242121"/>
          <w:sz w:val="22"/>
          <w:szCs w:val="22"/>
          <w:u w:val="single"/>
        </w:rPr>
        <w:t>reserves all its rights in law with regards to all other</w:t>
      </w:r>
      <w:r w:rsidRPr="00EB60AF">
        <w:rPr>
          <w:rFonts w:ascii="Arial" w:hAnsi="Arial" w:cs="Arial"/>
          <w:color w:val="242121"/>
          <w:sz w:val="22"/>
          <w:szCs w:val="22"/>
        </w:rPr>
        <w:t> procedural and </w:t>
      </w:r>
      <w:r w:rsidRPr="00EB60AF">
        <w:rPr>
          <w:rFonts w:ascii="Arial" w:hAnsi="Arial" w:cs="Arial"/>
          <w:color w:val="242121"/>
          <w:sz w:val="22"/>
          <w:szCs w:val="22"/>
          <w:u w:val="single"/>
        </w:rPr>
        <w:t>substantive aspects of the claim</w:t>
      </w:r>
      <w:r w:rsidRPr="00EB60AF">
        <w:rPr>
          <w:rFonts w:ascii="Arial" w:hAnsi="Arial" w:cs="Arial"/>
          <w:color w:val="242121"/>
          <w:sz w:val="22"/>
          <w:szCs w:val="22"/>
        </w:rPr>
        <w:t>.”</w:t>
      </w:r>
      <w:r>
        <w:rPr>
          <w:rStyle w:val="FootnoteReference"/>
          <w:rFonts w:ascii="Arial" w:hAnsi="Arial" w:cs="Arial"/>
          <w:color w:val="242121"/>
          <w:sz w:val="22"/>
          <w:szCs w:val="22"/>
        </w:rPr>
        <w:footnoteReference w:id="27"/>
      </w:r>
    </w:p>
    <w:p w14:paraId="3A3DA8CF" w14:textId="77777777" w:rsidR="00223BE4" w:rsidRPr="00C7387E" w:rsidRDefault="00223BE4" w:rsidP="00223BE4">
      <w:pPr>
        <w:pStyle w:val="JudgmentNumbered"/>
        <w:numPr>
          <w:ilvl w:val="0"/>
          <w:numId w:val="0"/>
        </w:numPr>
        <w:ind w:left="567"/>
        <w:rPr>
          <w:lang w:val="en-ZA"/>
        </w:rPr>
      </w:pPr>
    </w:p>
    <w:p w14:paraId="6A81D5A7" w14:textId="35897B2C" w:rsidR="00223BE4" w:rsidRDefault="003047D7" w:rsidP="00F3515C">
      <w:pPr>
        <w:pStyle w:val="JudgmentNumbered"/>
        <w:numPr>
          <w:ilvl w:val="0"/>
          <w:numId w:val="0"/>
        </w:numPr>
        <w:ind w:left="567" w:hanging="567"/>
      </w:pPr>
      <w:r>
        <w:t>[3</w:t>
      </w:r>
      <w:r w:rsidR="00A203E1">
        <w:t>4</w:t>
      </w:r>
      <w:r>
        <w:t>]</w:t>
      </w:r>
      <w:r>
        <w:tab/>
      </w:r>
      <w:r w:rsidR="00223BE4">
        <w:t>On the fourth application (</w:t>
      </w:r>
      <w:r w:rsidR="00223BE4" w:rsidRPr="00C562EB">
        <w:rPr>
          <w:i/>
          <w:iCs/>
        </w:rPr>
        <w:t>Morris v RAF</w:t>
      </w:r>
      <w:r w:rsidR="00223BE4">
        <w:t>) the document relied upon was</w:t>
      </w:r>
      <w:r w:rsidR="00223BE4" w:rsidRPr="00C562EB">
        <w:t xml:space="preserve"> also almost identical</w:t>
      </w:r>
      <w:r w:rsidR="00223BE4">
        <w:t xml:space="preserve"> to the above-mentioned document relied upon in the three applications,</w:t>
      </w:r>
      <w:r w:rsidR="00223BE4" w:rsidRPr="00C562EB">
        <w:t xml:space="preserve"> </w:t>
      </w:r>
      <w:r w:rsidR="00223BE4">
        <w:t>except</w:t>
      </w:r>
      <w:r w:rsidR="00223BE4" w:rsidRPr="00C562EB">
        <w:t xml:space="preserve"> for the fact that the </w:t>
      </w:r>
      <w:r w:rsidR="005D7D7A">
        <w:t>defendant</w:t>
      </w:r>
      <w:r w:rsidR="00223BE4" w:rsidRPr="00C562EB">
        <w:t xml:space="preserve"> only admitted contributory negligence of its insured driver in the proportion of 50%.</w:t>
      </w:r>
      <w:r w:rsidR="00223BE4">
        <w:rPr>
          <w:rStyle w:val="FootnoteReference"/>
        </w:rPr>
        <w:footnoteReference w:id="28"/>
      </w:r>
      <w:r w:rsidR="00223BE4">
        <w:t xml:space="preserve"> Accordingly, </w:t>
      </w:r>
      <w:r w:rsidR="00223BE4" w:rsidRPr="00C562EB">
        <w:t>Moultrie AJ</w:t>
      </w:r>
      <w:r w:rsidR="00223BE4">
        <w:t xml:space="preserve"> was of the view that the documents relied upon in the four application were substantively similar hence they formed part of one judgment and reasoning.</w:t>
      </w:r>
    </w:p>
    <w:p w14:paraId="11EE5A50" w14:textId="7697EC59" w:rsidR="00223BE4" w:rsidRDefault="003047D7" w:rsidP="00F3515C">
      <w:pPr>
        <w:pStyle w:val="JudgmentNumbered"/>
        <w:numPr>
          <w:ilvl w:val="0"/>
          <w:numId w:val="0"/>
        </w:numPr>
        <w:ind w:left="567" w:hanging="567"/>
      </w:pPr>
      <w:r>
        <w:t>[3</w:t>
      </w:r>
      <w:r w:rsidR="00A203E1">
        <w:t>5</w:t>
      </w:r>
      <w:r>
        <w:t>]</w:t>
      </w:r>
      <w:r>
        <w:tab/>
      </w:r>
      <w:r w:rsidR="00223BE4">
        <w:t xml:space="preserve">On </w:t>
      </w:r>
      <w:r w:rsidR="00223BE4" w:rsidRPr="005A3786">
        <w:t xml:space="preserve">whether the documents upon which the applicants relied as constituting the </w:t>
      </w:r>
      <w:r w:rsidR="00C50D64">
        <w:t>defendant</w:t>
      </w:r>
      <w:r w:rsidR="00223BE4" w:rsidRPr="005A3786">
        <w:t xml:space="preserve">’s written admissions of liability could be construed as admission of liability by the </w:t>
      </w:r>
      <w:r w:rsidR="00C50D64">
        <w:t>defe</w:t>
      </w:r>
      <w:r w:rsidR="00043C78">
        <w:t>ndant</w:t>
      </w:r>
      <w:r w:rsidR="00223BE4" w:rsidRPr="005A3786">
        <w:t xml:space="preserve"> as envisaged by</w:t>
      </w:r>
      <w:r w:rsidR="00223BE4" w:rsidRPr="00C7387E">
        <w:t xml:space="preserve"> </w:t>
      </w:r>
      <w:r w:rsidR="005C26B5">
        <w:t xml:space="preserve">rule </w:t>
      </w:r>
      <w:r w:rsidR="00223BE4" w:rsidRPr="00C7387E">
        <w:t>34</w:t>
      </w:r>
      <w:r w:rsidR="00223BE4" w:rsidRPr="005A3786">
        <w:t>A</w:t>
      </w:r>
      <w:r w:rsidR="00223BE4" w:rsidRPr="00C7387E">
        <w:t>(4)(a)</w:t>
      </w:r>
      <w:r w:rsidR="00223BE4">
        <w:t>, Moultrie AJ held as follows</w:t>
      </w:r>
      <w:r w:rsidR="00223BE4" w:rsidRPr="005A3786">
        <w:rPr>
          <w:color w:val="202124"/>
          <w:sz w:val="30"/>
          <w:szCs w:val="30"/>
          <w:shd w:val="clear" w:color="auto" w:fill="FFFFFF"/>
        </w:rPr>
        <w:t xml:space="preserve"> </w:t>
      </w:r>
      <w:r w:rsidR="00223BE4" w:rsidRPr="005A3786">
        <w:t>—</w:t>
      </w:r>
    </w:p>
    <w:p w14:paraId="000B5F19" w14:textId="77777777" w:rsidR="00223BE4" w:rsidRPr="005A3786" w:rsidRDefault="00223BE4" w:rsidP="00223BE4">
      <w:pPr>
        <w:pStyle w:val="JudgmentNumbered"/>
        <w:numPr>
          <w:ilvl w:val="0"/>
          <w:numId w:val="0"/>
        </w:numPr>
        <w:ind w:left="1134"/>
        <w:rPr>
          <w:sz w:val="22"/>
        </w:rPr>
      </w:pPr>
      <w:r w:rsidRPr="005A3786">
        <w:rPr>
          <w:sz w:val="22"/>
        </w:rPr>
        <w:t>“In my view, the documents in question are not sufficient to satisfy a court that the Fund “has in writing admitted liability for the plaintiff’s damages”.</w:t>
      </w:r>
      <w:r>
        <w:rPr>
          <w:rStyle w:val="FootnoteReference"/>
          <w:sz w:val="22"/>
        </w:rPr>
        <w:footnoteReference w:id="29"/>
      </w:r>
    </w:p>
    <w:p w14:paraId="4F4BDFC1" w14:textId="1DD8A841" w:rsidR="00223BE4" w:rsidRDefault="003047D7" w:rsidP="00223BE4">
      <w:pPr>
        <w:pStyle w:val="JudgmentNumbered"/>
        <w:numPr>
          <w:ilvl w:val="0"/>
          <w:numId w:val="0"/>
        </w:numPr>
        <w:ind w:left="567" w:hanging="567"/>
      </w:pPr>
      <w:r>
        <w:t>[3</w:t>
      </w:r>
      <w:r w:rsidR="00A203E1">
        <w:t>6</w:t>
      </w:r>
      <w:r>
        <w:t>]</w:t>
      </w:r>
      <w:r>
        <w:tab/>
      </w:r>
      <w:r w:rsidR="00223BE4">
        <w:t>Moultrie AJ further held</w:t>
      </w:r>
      <w:r w:rsidR="00223BE4" w:rsidRPr="005A3786">
        <w:rPr>
          <w:color w:val="202124"/>
          <w:sz w:val="30"/>
          <w:szCs w:val="30"/>
          <w:shd w:val="clear" w:color="auto" w:fill="FFFFFF"/>
        </w:rPr>
        <w:t xml:space="preserve"> </w:t>
      </w:r>
      <w:r w:rsidR="00223BE4" w:rsidRPr="005A3786">
        <w:t>—</w:t>
      </w:r>
    </w:p>
    <w:p w14:paraId="2CD3C642" w14:textId="77777777" w:rsidR="00223BE4" w:rsidRPr="005A3786" w:rsidRDefault="00223BE4" w:rsidP="00223BE4">
      <w:pPr>
        <w:pStyle w:val="JudgmentNumbered"/>
        <w:numPr>
          <w:ilvl w:val="0"/>
          <w:numId w:val="0"/>
        </w:numPr>
        <w:ind w:left="1134"/>
        <w:rPr>
          <w:sz w:val="22"/>
        </w:rPr>
      </w:pPr>
      <w:r w:rsidRPr="005A3786">
        <w:rPr>
          <w:sz w:val="22"/>
        </w:rPr>
        <w:t xml:space="preserve">“In the current applications, the documents relied upon by the plaintiffs could hardly be clearer: the Fund’s admission is “limited to the aspect of negligence as to the manner in which the collision occurred”. It is expressly stated that no concession is made in relation to “any other aspect of the claim” and that the Fund “reserves all its rights in law with regards to all … procedural and substantive aspects” of the claims, other than </w:t>
      </w:r>
      <w:bookmarkStart w:id="6" w:name="_Hlk149770893"/>
      <w:r w:rsidRPr="005A3786">
        <w:rPr>
          <w:sz w:val="22"/>
        </w:rPr>
        <w:t>negligence. In particular, the Fund has neither admitted (i) that the plaintiffs are suffering any bodily injury at all; nor (ii) that any such bodily injury arose from the negligently-caused collision.</w:t>
      </w:r>
      <w:r>
        <w:rPr>
          <w:sz w:val="22"/>
        </w:rPr>
        <w:t xml:space="preserve"> </w:t>
      </w:r>
      <w:r w:rsidRPr="005A3786">
        <w:rPr>
          <w:sz w:val="22"/>
        </w:rPr>
        <w:t xml:space="preserve">In other words, apart from quantum, both bodily injury (or “harm” in delictual terms) and causation </w:t>
      </w:r>
      <w:bookmarkEnd w:id="6"/>
      <w:r w:rsidRPr="005A3786">
        <w:rPr>
          <w:sz w:val="22"/>
        </w:rPr>
        <w:t>remain in dispute, and there has been no admission of “liability” for any damages that might in due course be proven, as required by Rule 34A(4)(a).”</w:t>
      </w:r>
      <w:r>
        <w:rPr>
          <w:rStyle w:val="FootnoteReference"/>
          <w:sz w:val="22"/>
        </w:rPr>
        <w:footnoteReference w:id="30"/>
      </w:r>
    </w:p>
    <w:p w14:paraId="53699C9B" w14:textId="0847160D" w:rsidR="00223BE4" w:rsidRDefault="00E134F6" w:rsidP="00F3515C">
      <w:pPr>
        <w:pStyle w:val="JudgmentNumbered"/>
        <w:numPr>
          <w:ilvl w:val="0"/>
          <w:numId w:val="0"/>
        </w:numPr>
        <w:ind w:left="567" w:hanging="567"/>
      </w:pPr>
      <w:r>
        <w:lastRenderedPageBreak/>
        <w:t>[3</w:t>
      </w:r>
      <w:r w:rsidR="00A203E1">
        <w:t>7</w:t>
      </w:r>
      <w:r>
        <w:t>]</w:t>
      </w:r>
      <w:r>
        <w:tab/>
      </w:r>
      <w:r w:rsidR="00223BE4">
        <w:t xml:space="preserve">As I have indicated, </w:t>
      </w:r>
      <w:r w:rsidR="00223BE4" w:rsidRPr="002022C1">
        <w:rPr>
          <w:lang w:val="en-ZA"/>
        </w:rPr>
        <w:t xml:space="preserve">a court dealing with the rule 34A application must first establish whether the </w:t>
      </w:r>
      <w:r w:rsidR="00223BE4" w:rsidRPr="002022C1">
        <w:t>merits of the particular matter which is subject to the interim payment have been settled in favour of the plaintiff.</w:t>
      </w:r>
      <w:r w:rsidR="00223BE4">
        <w:t xml:space="preserve"> </w:t>
      </w:r>
      <w:r w:rsidR="000A5895">
        <w:t>I</w:t>
      </w:r>
      <w:r w:rsidR="00223BE4">
        <w:t>n my view, Moultrie AJ clarifies this requirement as follows</w:t>
      </w:r>
      <w:r w:rsidR="00223BE4" w:rsidRPr="002022C1">
        <w:rPr>
          <w:color w:val="202124"/>
          <w:sz w:val="30"/>
          <w:szCs w:val="30"/>
          <w:shd w:val="clear" w:color="auto" w:fill="FFFFFF"/>
        </w:rPr>
        <w:t xml:space="preserve"> </w:t>
      </w:r>
      <w:r w:rsidR="00223BE4" w:rsidRPr="002022C1">
        <w:t>—</w:t>
      </w:r>
    </w:p>
    <w:p w14:paraId="15A9BCDB" w14:textId="77777777" w:rsidR="00223BE4" w:rsidRPr="00D679D4" w:rsidRDefault="00223BE4" w:rsidP="00223BE4">
      <w:pPr>
        <w:pStyle w:val="JudgmentNumbered"/>
        <w:numPr>
          <w:ilvl w:val="0"/>
          <w:numId w:val="0"/>
        </w:numPr>
        <w:ind w:left="1134"/>
        <w:rPr>
          <w:sz w:val="22"/>
        </w:rPr>
      </w:pPr>
      <w:r w:rsidRPr="002022C1">
        <w:rPr>
          <w:sz w:val="22"/>
        </w:rPr>
        <w:t xml:space="preserve">“It is apparent from my engagement with counsel that there is much confusion around terminology. According to counsel, the documents under consideration in the current matters constitute an admission of (and indeed finally resolve) the question of ‘the merits’ of </w:t>
      </w:r>
      <w:r>
        <w:rPr>
          <w:sz w:val="22"/>
        </w:rPr>
        <w:t>the RAF Act</w:t>
      </w:r>
      <w:r w:rsidRPr="002022C1">
        <w:rPr>
          <w:sz w:val="22"/>
        </w:rPr>
        <w:t>ions against the Fund. It must, however, be emphasised that the term ‘the merits’ as employed in this context has an attenuated meaning that, at most, refers to the question of whether the accident was caused by the sole or contributory negligence of the defendant’s insured driver. While a concession of ‘the merits’ in this sense will undoubtedly have the result of significantly reducing the scope of the issues to be determined at trial, it must be emphasised that such a concession does not mean that the Fund has conceded or “admitted liability for the plaintiff’s damages” for the purposes of Rule 34A(4)(a).”</w:t>
      </w:r>
      <w:r>
        <w:rPr>
          <w:rStyle w:val="FootnoteReference"/>
          <w:sz w:val="22"/>
        </w:rPr>
        <w:footnoteReference w:id="31"/>
      </w:r>
    </w:p>
    <w:p w14:paraId="2BBEC92B" w14:textId="092D4DD4" w:rsidR="00223BE4" w:rsidRPr="00597BC7" w:rsidRDefault="00E134F6" w:rsidP="00F3515C">
      <w:pPr>
        <w:pStyle w:val="JudgmentNumbered"/>
        <w:numPr>
          <w:ilvl w:val="0"/>
          <w:numId w:val="0"/>
        </w:numPr>
        <w:ind w:left="567" w:hanging="567"/>
        <w:rPr>
          <w:lang w:val="en-ZA"/>
        </w:rPr>
      </w:pPr>
      <w:r>
        <w:rPr>
          <w:lang w:val="en-ZA"/>
        </w:rPr>
        <w:t>[3</w:t>
      </w:r>
      <w:r w:rsidR="00A203E1">
        <w:rPr>
          <w:lang w:val="en-ZA"/>
        </w:rPr>
        <w:t>8</w:t>
      </w:r>
      <w:r>
        <w:rPr>
          <w:lang w:val="en-ZA"/>
        </w:rPr>
        <w:t>]</w:t>
      </w:r>
      <w:r>
        <w:rPr>
          <w:lang w:val="en-ZA"/>
        </w:rPr>
        <w:tab/>
      </w:r>
      <w:r w:rsidR="00223BE4">
        <w:rPr>
          <w:lang w:val="en-ZA"/>
        </w:rPr>
        <w:t xml:space="preserve">The judgment in </w:t>
      </w:r>
      <w:r w:rsidR="00223BE4" w:rsidRPr="00D679D4">
        <w:rPr>
          <w:i/>
          <w:iCs/>
          <w:lang w:val="en-ZA"/>
        </w:rPr>
        <w:t xml:space="preserve">Alexandra </w:t>
      </w:r>
      <w:r w:rsidR="00223BE4">
        <w:rPr>
          <w:lang w:val="en-ZA"/>
        </w:rPr>
        <w:t xml:space="preserve">was subsequently discussed in </w:t>
      </w:r>
      <w:r w:rsidR="00223BE4" w:rsidRPr="00D679D4">
        <w:rPr>
          <w:i/>
          <w:iCs/>
          <w:lang w:val="en-ZA"/>
        </w:rPr>
        <w:t>Qelesile and Another v Road Accident Fund</w:t>
      </w:r>
      <w:r w:rsidR="00223BE4">
        <w:rPr>
          <w:rStyle w:val="FootnoteReference"/>
          <w:i/>
          <w:iCs/>
          <w:lang w:val="en-ZA"/>
        </w:rPr>
        <w:footnoteReference w:id="32"/>
      </w:r>
      <w:r w:rsidR="00223BE4">
        <w:rPr>
          <w:i/>
          <w:iCs/>
          <w:lang w:val="en-ZA"/>
        </w:rPr>
        <w:t xml:space="preserve"> (</w:t>
      </w:r>
      <w:bookmarkStart w:id="8" w:name="_Hlk149811981"/>
      <w:r w:rsidR="00223BE4">
        <w:rPr>
          <w:i/>
          <w:iCs/>
          <w:lang w:val="en-ZA"/>
        </w:rPr>
        <w:t>Qelesile</w:t>
      </w:r>
      <w:bookmarkEnd w:id="8"/>
      <w:r w:rsidR="00223BE4">
        <w:rPr>
          <w:i/>
          <w:iCs/>
          <w:lang w:val="en-ZA"/>
        </w:rPr>
        <w:t>)</w:t>
      </w:r>
      <w:r w:rsidR="00223BE4">
        <w:rPr>
          <w:lang w:val="en-ZA"/>
        </w:rPr>
        <w:t xml:space="preserve">. It </w:t>
      </w:r>
      <w:bookmarkStart w:id="9" w:name="_Hlk149770246"/>
      <w:r w:rsidR="00223BE4">
        <w:rPr>
          <w:lang w:val="en-ZA"/>
        </w:rPr>
        <w:t xml:space="preserve">was stated in </w:t>
      </w:r>
      <w:r w:rsidR="00223BE4" w:rsidRPr="00D679D4">
        <w:rPr>
          <w:i/>
          <w:iCs/>
          <w:lang w:val="en-ZA"/>
        </w:rPr>
        <w:t>Qelesile</w:t>
      </w:r>
      <w:r w:rsidR="00223BE4">
        <w:rPr>
          <w:lang w:val="en-ZA"/>
        </w:rPr>
        <w:t xml:space="preserve"> that the</w:t>
      </w:r>
      <w:r w:rsidR="00223BE4" w:rsidRPr="00D679D4">
        <w:rPr>
          <w:lang w:val="en-ZA"/>
        </w:rPr>
        <w:t xml:space="preserve"> </w:t>
      </w:r>
      <w:r w:rsidR="00223BE4" w:rsidRPr="00D679D4">
        <w:rPr>
          <w:i/>
          <w:iCs/>
          <w:lang w:val="en-ZA"/>
        </w:rPr>
        <w:t xml:space="preserve">crux </w:t>
      </w:r>
      <w:r w:rsidR="00223BE4" w:rsidRPr="00D679D4">
        <w:rPr>
          <w:lang w:val="en-ZA"/>
        </w:rPr>
        <w:t xml:space="preserve">of </w:t>
      </w:r>
      <w:r w:rsidR="00223BE4" w:rsidRPr="00D679D4">
        <w:rPr>
          <w:i/>
          <w:iCs/>
          <w:lang w:val="en-ZA"/>
        </w:rPr>
        <w:t>Alexander</w:t>
      </w:r>
      <w:r w:rsidR="00223BE4" w:rsidRPr="00D679D4">
        <w:rPr>
          <w:b/>
          <w:bCs/>
          <w:lang w:val="en-ZA"/>
        </w:rPr>
        <w:t xml:space="preserve"> </w:t>
      </w:r>
      <w:r w:rsidR="00223BE4" w:rsidRPr="00D679D4">
        <w:rPr>
          <w:lang w:val="en-ZA"/>
        </w:rPr>
        <w:t xml:space="preserve">was to the effect that the admission of liability </w:t>
      </w:r>
      <w:bookmarkStart w:id="10" w:name="_Hlk149768245"/>
      <w:r w:rsidR="00223BE4" w:rsidRPr="00D679D4">
        <w:rPr>
          <w:lang w:val="en-ZA"/>
        </w:rPr>
        <w:t xml:space="preserve">by a defendant in terms of </w:t>
      </w:r>
      <w:r w:rsidR="00640B77">
        <w:rPr>
          <w:lang w:val="en-ZA"/>
        </w:rPr>
        <w:t>r</w:t>
      </w:r>
      <w:r w:rsidR="00223BE4" w:rsidRPr="00D679D4">
        <w:rPr>
          <w:lang w:val="en-ZA"/>
        </w:rPr>
        <w:t xml:space="preserve">ule 34A(4)(a) </w:t>
      </w:r>
      <w:bookmarkEnd w:id="10"/>
      <w:r w:rsidR="00223BE4" w:rsidRPr="00D679D4">
        <w:rPr>
          <w:lang w:val="en-ZA"/>
        </w:rPr>
        <w:t>necessitated an admission of all the requirements of the elements of a delict, not only negligence.</w:t>
      </w:r>
      <w:r w:rsidR="00223BE4">
        <w:rPr>
          <w:rStyle w:val="FootnoteReference"/>
          <w:lang w:val="en-ZA"/>
        </w:rPr>
        <w:footnoteReference w:id="33"/>
      </w:r>
      <w:r w:rsidR="00223BE4">
        <w:rPr>
          <w:lang w:val="en-ZA"/>
        </w:rPr>
        <w:t xml:space="preserve"> </w:t>
      </w:r>
      <w:r w:rsidR="00223BE4" w:rsidRPr="00EA52FD">
        <w:rPr>
          <w:lang w:val="en-ZA"/>
        </w:rPr>
        <w:t xml:space="preserve">In other words, </w:t>
      </w:r>
      <w:r w:rsidR="00223BE4" w:rsidRPr="00597BC7">
        <w:rPr>
          <w:lang w:val="en-ZA"/>
        </w:rPr>
        <w:t xml:space="preserve">the admission of negligence by the </w:t>
      </w:r>
      <w:r w:rsidR="00223BE4" w:rsidRPr="00EA52FD">
        <w:rPr>
          <w:lang w:val="en-ZA"/>
        </w:rPr>
        <w:t>d</w:t>
      </w:r>
      <w:r w:rsidR="00223BE4" w:rsidRPr="00597BC7">
        <w:rPr>
          <w:lang w:val="en-ZA"/>
        </w:rPr>
        <w:t xml:space="preserve">efendant is </w:t>
      </w:r>
      <w:r w:rsidR="00223BE4" w:rsidRPr="00EA52FD">
        <w:rPr>
          <w:lang w:val="en-ZA"/>
        </w:rPr>
        <w:t xml:space="preserve">not </w:t>
      </w:r>
      <w:r w:rsidR="00223BE4" w:rsidRPr="00597BC7">
        <w:rPr>
          <w:lang w:val="en-ZA"/>
        </w:rPr>
        <w:t xml:space="preserve">all that is required </w:t>
      </w:r>
      <w:r w:rsidR="00223BE4">
        <w:rPr>
          <w:lang w:val="en-ZA"/>
        </w:rPr>
        <w:t xml:space="preserve">to </w:t>
      </w:r>
      <w:r w:rsidR="00223BE4" w:rsidRPr="00597BC7">
        <w:rPr>
          <w:lang w:val="en-ZA"/>
        </w:rPr>
        <w:t xml:space="preserve">meet the requirements of </w:t>
      </w:r>
      <w:r w:rsidR="00640B77">
        <w:rPr>
          <w:lang w:val="en-ZA"/>
        </w:rPr>
        <w:t>r</w:t>
      </w:r>
      <w:r w:rsidR="00223BE4" w:rsidRPr="00597BC7">
        <w:rPr>
          <w:lang w:val="en-ZA"/>
        </w:rPr>
        <w:t>ule 34A(4)(a).</w:t>
      </w:r>
      <w:r w:rsidR="00223BE4" w:rsidRPr="00EA52FD">
        <w:rPr>
          <w:lang w:val="en-ZA"/>
        </w:rPr>
        <w:t xml:space="preserve"> </w:t>
      </w:r>
    </w:p>
    <w:p w14:paraId="51384585" w14:textId="4D0AF6DF" w:rsidR="00223BE4" w:rsidRDefault="00E134F6" w:rsidP="00F3515C">
      <w:pPr>
        <w:pStyle w:val="JudgmentNumbered"/>
        <w:numPr>
          <w:ilvl w:val="0"/>
          <w:numId w:val="0"/>
        </w:numPr>
        <w:ind w:left="567" w:hanging="567"/>
        <w:rPr>
          <w:lang w:val="en-ZA"/>
        </w:rPr>
      </w:pPr>
      <w:bookmarkStart w:id="11" w:name="_Hlk149764747"/>
      <w:bookmarkEnd w:id="9"/>
      <w:r w:rsidRPr="00E134F6">
        <w:rPr>
          <w:lang w:val="en-ZA"/>
        </w:rPr>
        <w:t>[3</w:t>
      </w:r>
      <w:r w:rsidR="00A203E1">
        <w:rPr>
          <w:lang w:val="en-ZA"/>
        </w:rPr>
        <w:t>9</w:t>
      </w:r>
      <w:r w:rsidRPr="00E134F6">
        <w:rPr>
          <w:lang w:val="en-ZA"/>
        </w:rPr>
        <w:t>]</w:t>
      </w:r>
      <w:r>
        <w:rPr>
          <w:i/>
          <w:iCs/>
          <w:lang w:val="en-ZA"/>
        </w:rPr>
        <w:tab/>
      </w:r>
      <w:r w:rsidR="00223BE4" w:rsidRPr="003F0B25">
        <w:rPr>
          <w:i/>
          <w:iCs/>
          <w:lang w:val="en-ZA"/>
        </w:rPr>
        <w:t>Qelesile</w:t>
      </w:r>
      <w:bookmarkEnd w:id="11"/>
      <w:r w:rsidR="00223BE4">
        <w:rPr>
          <w:lang w:val="en-ZA"/>
        </w:rPr>
        <w:t xml:space="preserve"> agreed with the </w:t>
      </w:r>
      <w:r w:rsidR="00223BE4" w:rsidRPr="003F0B25">
        <w:rPr>
          <w:i/>
          <w:iCs/>
          <w:lang w:val="en-ZA"/>
        </w:rPr>
        <w:t>Alexandra</w:t>
      </w:r>
      <w:r w:rsidR="00223BE4">
        <w:rPr>
          <w:lang w:val="en-ZA"/>
        </w:rPr>
        <w:t xml:space="preserve"> reasoning and went further to strengthen the reasoning in </w:t>
      </w:r>
      <w:r w:rsidR="00223BE4" w:rsidRPr="003F0B25">
        <w:rPr>
          <w:i/>
          <w:iCs/>
          <w:lang w:val="en-ZA"/>
        </w:rPr>
        <w:t>Alexandra</w:t>
      </w:r>
      <w:r w:rsidR="00223BE4">
        <w:rPr>
          <w:lang w:val="en-ZA"/>
        </w:rPr>
        <w:t xml:space="preserve"> by dismissing the argument (by the plaintiff/applicant) that r</w:t>
      </w:r>
      <w:r w:rsidR="00223BE4" w:rsidRPr="003F0B25">
        <w:rPr>
          <w:lang w:val="en-ZA"/>
        </w:rPr>
        <w:t xml:space="preserve">ule 34A(4)(a) was merely a procedural mechanism invoked in conjunction with </w:t>
      </w:r>
      <w:r w:rsidR="00223BE4">
        <w:rPr>
          <w:lang w:val="en-ZA"/>
        </w:rPr>
        <w:t>r</w:t>
      </w:r>
      <w:r w:rsidR="00223BE4" w:rsidRPr="003F0B25">
        <w:rPr>
          <w:lang w:val="en-ZA"/>
        </w:rPr>
        <w:t xml:space="preserve">ule 34A(1) to compel the </w:t>
      </w:r>
      <w:r w:rsidR="00223BE4">
        <w:rPr>
          <w:lang w:val="en-ZA"/>
        </w:rPr>
        <w:t>d</w:t>
      </w:r>
      <w:r w:rsidR="00223BE4" w:rsidRPr="003F0B25">
        <w:rPr>
          <w:lang w:val="en-ZA"/>
        </w:rPr>
        <w:t>efendant to discharge its concomitant obligation under section 17 of the RAF Act.</w:t>
      </w:r>
      <w:r w:rsidR="00223BE4">
        <w:rPr>
          <w:rStyle w:val="FootnoteReference"/>
          <w:lang w:val="en-ZA"/>
        </w:rPr>
        <w:footnoteReference w:id="34"/>
      </w:r>
    </w:p>
    <w:p w14:paraId="76CFE36B" w14:textId="05C0605C" w:rsidR="00223BE4" w:rsidRPr="00D77267" w:rsidRDefault="00951833" w:rsidP="00F3515C">
      <w:pPr>
        <w:pStyle w:val="JudgmentNumbered"/>
        <w:numPr>
          <w:ilvl w:val="0"/>
          <w:numId w:val="0"/>
        </w:numPr>
        <w:ind w:left="567" w:hanging="567"/>
        <w:rPr>
          <w:lang w:val="en-ZA"/>
        </w:rPr>
      </w:pPr>
      <w:r>
        <w:lastRenderedPageBreak/>
        <w:t>[</w:t>
      </w:r>
      <w:r w:rsidR="00A203E1">
        <w:t>40</w:t>
      </w:r>
      <w:r>
        <w:t>]</w:t>
      </w:r>
      <w:r>
        <w:tab/>
      </w:r>
      <w:r w:rsidR="00223BE4">
        <w:t xml:space="preserve">For a better understanding of the </w:t>
      </w:r>
      <w:r w:rsidR="00043C78">
        <w:t>defendant</w:t>
      </w:r>
      <w:r w:rsidR="00223BE4">
        <w:t>’s obligation under section 17 of the RAF Act, it is imperative (for the purposes of interim payment) to look into the proviso in section 17(6) of the RAF Act. S</w:t>
      </w:r>
      <w:r w:rsidR="00223BE4" w:rsidRPr="00E959F5">
        <w:t>ection 17(6) of the RAF</w:t>
      </w:r>
      <w:r w:rsidR="00223BE4">
        <w:t xml:space="preserve"> Act</w:t>
      </w:r>
      <w:r w:rsidR="00223BE4" w:rsidRPr="00E959F5">
        <w:t xml:space="preserve"> provides as follows</w:t>
      </w:r>
      <w:r w:rsidR="00965F64">
        <w:t> </w:t>
      </w:r>
      <w:r w:rsidR="00965F64" w:rsidRPr="00965F64">
        <w:rPr>
          <w:lang w:val="en-ZA"/>
        </w:rPr>
        <w:t>—</w:t>
      </w:r>
    </w:p>
    <w:p w14:paraId="2054737D" w14:textId="77777777" w:rsidR="00223BE4" w:rsidRPr="00902B6E" w:rsidRDefault="00223BE4" w:rsidP="00223BE4">
      <w:pPr>
        <w:pStyle w:val="JudgmentNumbered"/>
        <w:numPr>
          <w:ilvl w:val="0"/>
          <w:numId w:val="0"/>
        </w:numPr>
        <w:ind w:left="1134"/>
        <w:rPr>
          <w:sz w:val="22"/>
        </w:rPr>
      </w:pPr>
      <w:r w:rsidRPr="00902B6E">
        <w:rPr>
          <w:sz w:val="22"/>
        </w:rPr>
        <w:t xml:space="preserve">“The </w:t>
      </w:r>
      <w:r>
        <w:rPr>
          <w:sz w:val="22"/>
        </w:rPr>
        <w:t>F</w:t>
      </w:r>
      <w:r w:rsidRPr="00902B6E">
        <w:rPr>
          <w:sz w:val="22"/>
        </w:rPr>
        <w:t xml:space="preserve">und, or an agent with the approval of the </w:t>
      </w:r>
      <w:r>
        <w:rPr>
          <w:sz w:val="22"/>
        </w:rPr>
        <w:t>F</w:t>
      </w:r>
      <w:r w:rsidRPr="00902B6E">
        <w:rPr>
          <w:sz w:val="22"/>
        </w:rPr>
        <w:t>und, may make an interim payment to the third party out of the amount to be awarded in terms of section (17)(1) to the third party in respect of medical costs, in accordance with the tariff contemplated in subsection (4B), loss of income and loss of support: Provided that the Fund or agent shall, notwithstanding anything to the contrary in any law contained, only be liable to make an interim payment in so far as such costs have already been incurred and any such losses have already been suffered”.</w:t>
      </w:r>
    </w:p>
    <w:p w14:paraId="62DF4060" w14:textId="250D9A10" w:rsidR="00223BE4" w:rsidRPr="000E6B23" w:rsidRDefault="00951833" w:rsidP="00F3515C">
      <w:pPr>
        <w:pStyle w:val="JudgmentNumbered"/>
        <w:numPr>
          <w:ilvl w:val="0"/>
          <w:numId w:val="0"/>
        </w:numPr>
        <w:ind w:left="567" w:hanging="567"/>
        <w:rPr>
          <w:lang w:val="en-ZA"/>
        </w:rPr>
      </w:pPr>
      <w:r>
        <w:t>[</w:t>
      </w:r>
      <w:r w:rsidR="00A203E1">
        <w:t>41</w:t>
      </w:r>
      <w:r>
        <w:t>]</w:t>
      </w:r>
      <w:r>
        <w:tab/>
      </w:r>
      <w:r w:rsidR="00223BE4">
        <w:t xml:space="preserve">The court in </w:t>
      </w:r>
      <w:r w:rsidR="00223BE4" w:rsidRPr="00384845">
        <w:rPr>
          <w:i/>
          <w:iCs/>
        </w:rPr>
        <w:t>Qelesile</w:t>
      </w:r>
      <w:r w:rsidR="00223BE4">
        <w:rPr>
          <w:i/>
          <w:iCs/>
        </w:rPr>
        <w:t xml:space="preserve"> </w:t>
      </w:r>
      <w:r w:rsidR="00223BE4">
        <w:t>stated that section 17(6) of the RAF Act is couched in permissive language having employed the word “may”.</w:t>
      </w:r>
      <w:r w:rsidR="00223BE4">
        <w:rPr>
          <w:rStyle w:val="FootnoteReference"/>
        </w:rPr>
        <w:footnoteReference w:id="35"/>
      </w:r>
      <w:r w:rsidR="00223BE4">
        <w:t xml:space="preserve"> </w:t>
      </w:r>
      <w:r w:rsidR="00223BE4">
        <w:rPr>
          <w:lang w:val="en-ZA"/>
        </w:rPr>
        <w:t>The court went further to state that</w:t>
      </w:r>
      <w:r w:rsidR="00223BE4" w:rsidRPr="00AD13D2">
        <w:rPr>
          <w:lang w:val="en-ZA"/>
        </w:rPr>
        <w:t xml:space="preserve">, despite the word </w:t>
      </w:r>
      <w:r w:rsidR="00223BE4" w:rsidRPr="00AD13D2">
        <w:rPr>
          <w:i/>
          <w:iCs/>
          <w:lang w:val="en-ZA"/>
        </w:rPr>
        <w:t>“may”</w:t>
      </w:r>
      <w:r w:rsidR="00223BE4" w:rsidRPr="00AD13D2">
        <w:rPr>
          <w:lang w:val="en-ZA"/>
        </w:rPr>
        <w:t xml:space="preserve">, the proviso contained in section 17(6) that attaches liability for interim payments does place a duty on the </w:t>
      </w:r>
      <w:r w:rsidR="0028314E">
        <w:rPr>
          <w:lang w:val="en-ZA"/>
        </w:rPr>
        <w:t>defendant</w:t>
      </w:r>
      <w:r w:rsidR="00223BE4" w:rsidRPr="00AD13D2">
        <w:rPr>
          <w:lang w:val="en-ZA"/>
        </w:rPr>
        <w:t xml:space="preserve"> to make such interim payments.</w:t>
      </w:r>
      <w:r w:rsidR="00223BE4">
        <w:rPr>
          <w:rStyle w:val="FootnoteReference"/>
          <w:lang w:val="en-ZA"/>
        </w:rPr>
        <w:footnoteReference w:id="36"/>
      </w:r>
      <w:r w:rsidR="00223BE4" w:rsidRPr="00AD13D2">
        <w:rPr>
          <w:lang w:val="en-ZA"/>
        </w:rPr>
        <w:t xml:space="preserve"> However,</w:t>
      </w:r>
      <w:r w:rsidR="00223BE4">
        <w:rPr>
          <w:lang w:val="en-ZA"/>
        </w:rPr>
        <w:t xml:space="preserve"> so explained the court,</w:t>
      </w:r>
      <w:r w:rsidR="00223BE4" w:rsidRPr="00AD13D2">
        <w:rPr>
          <w:lang w:val="en-ZA"/>
        </w:rPr>
        <w:t xml:space="preserve"> such a duty is not unqualified</w:t>
      </w:r>
      <w:r w:rsidR="00223BE4">
        <w:rPr>
          <w:lang w:val="en-ZA"/>
        </w:rPr>
        <w:t xml:space="preserve"> but</w:t>
      </w:r>
      <w:r w:rsidR="00223BE4" w:rsidRPr="00AD13D2">
        <w:rPr>
          <w:lang w:val="en-ZA"/>
        </w:rPr>
        <w:t xml:space="preserve"> is qualified by section 17(1) of the RAF Act.</w:t>
      </w:r>
      <w:r w:rsidR="00223BE4">
        <w:rPr>
          <w:lang w:val="en-ZA"/>
        </w:rPr>
        <w:t xml:space="preserve"> In other words, </w:t>
      </w:r>
      <w:r w:rsidR="00223BE4" w:rsidRPr="000E6B23">
        <w:rPr>
          <w:lang w:val="en-ZA"/>
        </w:rPr>
        <w:t xml:space="preserve">any interim payment </w:t>
      </w:r>
      <w:r w:rsidR="00223BE4">
        <w:rPr>
          <w:lang w:val="en-ZA"/>
        </w:rPr>
        <w:t>(</w:t>
      </w:r>
      <w:r w:rsidR="00223BE4" w:rsidRPr="000E6B23">
        <w:rPr>
          <w:lang w:val="en-ZA"/>
        </w:rPr>
        <w:t>in terms of section 17(6)</w:t>
      </w:r>
      <w:r w:rsidR="00223BE4">
        <w:rPr>
          <w:lang w:val="en-ZA"/>
        </w:rPr>
        <w:t xml:space="preserve">) </w:t>
      </w:r>
      <w:r w:rsidR="00223BE4" w:rsidRPr="000E6B23">
        <w:rPr>
          <w:lang w:val="en-ZA"/>
        </w:rPr>
        <w:t>shall be made from the compensation to be awarded in terms of section 17(1)</w:t>
      </w:r>
      <w:r w:rsidR="00223BE4">
        <w:rPr>
          <w:lang w:val="en-ZA"/>
        </w:rPr>
        <w:t xml:space="preserve"> of the RAF Act</w:t>
      </w:r>
      <w:r w:rsidR="00223BE4" w:rsidRPr="000E6B23">
        <w:rPr>
          <w:lang w:val="en-ZA"/>
        </w:rPr>
        <w:t>.</w:t>
      </w:r>
      <w:r w:rsidR="00223BE4">
        <w:rPr>
          <w:rStyle w:val="FootnoteReference"/>
          <w:lang w:val="en-ZA"/>
        </w:rPr>
        <w:footnoteReference w:id="37"/>
      </w:r>
      <w:r w:rsidR="00223BE4" w:rsidRPr="000E6B23">
        <w:rPr>
          <w:lang w:val="en-ZA"/>
        </w:rPr>
        <w:t xml:space="preserve"> </w:t>
      </w:r>
    </w:p>
    <w:p w14:paraId="29B58508" w14:textId="7F64A24B" w:rsidR="00223BE4" w:rsidRDefault="00951833" w:rsidP="00F3515C">
      <w:pPr>
        <w:pStyle w:val="JudgmentNumbered"/>
        <w:numPr>
          <w:ilvl w:val="0"/>
          <w:numId w:val="0"/>
        </w:numPr>
        <w:ind w:left="567" w:hanging="567"/>
        <w:rPr>
          <w:lang w:val="en-ZA"/>
        </w:rPr>
      </w:pPr>
      <w:r>
        <w:rPr>
          <w:lang w:val="en-ZA"/>
        </w:rPr>
        <w:t>[4</w:t>
      </w:r>
      <w:r w:rsidR="00A203E1">
        <w:rPr>
          <w:lang w:val="en-ZA"/>
        </w:rPr>
        <w:t>2</w:t>
      </w:r>
      <w:r>
        <w:rPr>
          <w:lang w:val="en-ZA"/>
        </w:rPr>
        <w:t>]</w:t>
      </w:r>
      <w:r>
        <w:rPr>
          <w:lang w:val="en-ZA"/>
        </w:rPr>
        <w:tab/>
      </w:r>
      <w:r w:rsidR="00223BE4">
        <w:rPr>
          <w:lang w:val="en-ZA"/>
        </w:rPr>
        <w:t xml:space="preserve">In so far as section 17(1) of the RAF Act is concerned, it is worth noting that the section provides that an </w:t>
      </w:r>
      <w:r w:rsidR="00223BE4" w:rsidRPr="006D79AB">
        <w:rPr>
          <w:lang w:val="en-ZA"/>
        </w:rPr>
        <w:t>award for compensation may only be made if the loss or damage suffered by a third party was caused by, or arose from, the driving of a motor vehicle and only if the injury or death was due to</w:t>
      </w:r>
      <w:r w:rsidR="00223BE4">
        <w:rPr>
          <w:lang w:val="en-ZA"/>
        </w:rPr>
        <w:t xml:space="preserve"> </w:t>
      </w:r>
      <w:r w:rsidR="00223BE4" w:rsidRPr="006D79AB">
        <w:rPr>
          <w:lang w:val="en-ZA"/>
        </w:rPr>
        <w:t xml:space="preserve">negligence or other wrongful act of such a driver. </w:t>
      </w:r>
    </w:p>
    <w:p w14:paraId="33BD5BCC" w14:textId="3ABFD226" w:rsidR="00223BE4" w:rsidRPr="00804AE8" w:rsidRDefault="00951833" w:rsidP="00F3515C">
      <w:pPr>
        <w:pStyle w:val="JudgmentNumbered"/>
        <w:numPr>
          <w:ilvl w:val="0"/>
          <w:numId w:val="0"/>
        </w:numPr>
        <w:ind w:left="567" w:hanging="567"/>
        <w:rPr>
          <w:lang w:val="en-ZA"/>
        </w:rPr>
      </w:pPr>
      <w:r>
        <w:rPr>
          <w:lang w:val="en-ZA"/>
        </w:rPr>
        <w:t>[4</w:t>
      </w:r>
      <w:r w:rsidR="00A203E1">
        <w:rPr>
          <w:lang w:val="en-ZA"/>
        </w:rPr>
        <w:t>3</w:t>
      </w:r>
      <w:r>
        <w:rPr>
          <w:lang w:val="en-ZA"/>
        </w:rPr>
        <w:t>]</w:t>
      </w:r>
      <w:r>
        <w:rPr>
          <w:lang w:val="en-ZA"/>
        </w:rPr>
        <w:tab/>
      </w:r>
      <w:r w:rsidR="00223BE4" w:rsidRPr="009C35AB">
        <w:rPr>
          <w:lang w:val="en-ZA"/>
        </w:rPr>
        <w:t>The court therefore concluded that</w:t>
      </w:r>
      <w:r w:rsidR="00223BE4">
        <w:rPr>
          <w:lang w:val="en-ZA"/>
        </w:rPr>
        <w:t xml:space="preserve">, even if it can be argued that </w:t>
      </w:r>
      <w:r w:rsidR="00223BE4" w:rsidRPr="009C35AB">
        <w:rPr>
          <w:lang w:val="en-ZA"/>
        </w:rPr>
        <w:t>r</w:t>
      </w:r>
      <w:r w:rsidR="00223BE4" w:rsidRPr="003F0B25">
        <w:rPr>
          <w:lang w:val="en-ZA"/>
        </w:rPr>
        <w:t xml:space="preserve">ule 34A(4)(a) was merely a procedural mechanism invoked in conjunction with </w:t>
      </w:r>
      <w:r w:rsidR="00223BE4" w:rsidRPr="009C35AB">
        <w:rPr>
          <w:lang w:val="en-ZA"/>
        </w:rPr>
        <w:t>r</w:t>
      </w:r>
      <w:r w:rsidR="00223BE4" w:rsidRPr="003F0B25">
        <w:rPr>
          <w:lang w:val="en-ZA"/>
        </w:rPr>
        <w:t xml:space="preserve">ule 34A(1) to compel the </w:t>
      </w:r>
      <w:r w:rsidR="00223BE4" w:rsidRPr="009C35AB">
        <w:rPr>
          <w:lang w:val="en-ZA"/>
        </w:rPr>
        <w:t>d</w:t>
      </w:r>
      <w:r w:rsidR="00223BE4" w:rsidRPr="003F0B25">
        <w:rPr>
          <w:lang w:val="en-ZA"/>
        </w:rPr>
        <w:t>efendant to discharge its concomitant obligation under section 17 of the RAF Act</w:t>
      </w:r>
      <w:r w:rsidR="00223BE4">
        <w:rPr>
          <w:lang w:val="en-ZA"/>
        </w:rPr>
        <w:t xml:space="preserve"> </w:t>
      </w:r>
      <w:r w:rsidR="00223BE4" w:rsidRPr="00727386">
        <w:rPr>
          <w:lang w:val="en-ZA"/>
        </w:rPr>
        <w:t>cannot be upheld.</w:t>
      </w:r>
      <w:r w:rsidR="00223BE4">
        <w:rPr>
          <w:rStyle w:val="FootnoteReference"/>
          <w:lang w:val="en-ZA"/>
        </w:rPr>
        <w:footnoteReference w:id="38"/>
      </w:r>
      <w:r w:rsidR="00223BE4">
        <w:rPr>
          <w:lang w:val="en-ZA"/>
        </w:rPr>
        <w:t xml:space="preserve"> </w:t>
      </w:r>
      <w:bookmarkStart w:id="12" w:name="_Hlk149771633"/>
      <w:r w:rsidR="00223BE4">
        <w:rPr>
          <w:lang w:val="en-ZA"/>
        </w:rPr>
        <w:t xml:space="preserve">In this regard, the court held that the express </w:t>
      </w:r>
      <w:r w:rsidR="00223BE4">
        <w:rPr>
          <w:lang w:val="en-ZA"/>
        </w:rPr>
        <w:lastRenderedPageBreak/>
        <w:t xml:space="preserve">phrases in section 17(1) </w:t>
      </w:r>
      <w:r w:rsidR="00223BE4" w:rsidRPr="00804AE8">
        <w:rPr>
          <w:lang w:val="en-ZA"/>
        </w:rPr>
        <w:t>patently relate to and require causation</w:t>
      </w:r>
      <w:r w:rsidR="00223BE4">
        <w:rPr>
          <w:lang w:val="en-ZA"/>
        </w:rPr>
        <w:t xml:space="preserve"> (</w:t>
      </w:r>
      <w:r w:rsidR="00223BE4" w:rsidRPr="00804AE8">
        <w:rPr>
          <w:lang w:val="en-ZA"/>
        </w:rPr>
        <w:t>one of the essential elements of a delict</w:t>
      </w:r>
      <w:r w:rsidR="00223BE4">
        <w:rPr>
          <w:lang w:val="en-ZA"/>
        </w:rPr>
        <w:t>)</w:t>
      </w:r>
      <w:r w:rsidR="00223BE4" w:rsidRPr="00804AE8">
        <w:rPr>
          <w:lang w:val="en-ZA"/>
        </w:rPr>
        <w:t xml:space="preserve"> to be proved or conceded.</w:t>
      </w:r>
      <w:r w:rsidR="00223BE4">
        <w:rPr>
          <w:rStyle w:val="FootnoteReference"/>
          <w:lang w:val="en-ZA"/>
        </w:rPr>
        <w:footnoteReference w:id="39"/>
      </w:r>
      <w:r w:rsidR="00223BE4">
        <w:rPr>
          <w:lang w:val="en-ZA"/>
        </w:rPr>
        <w:t xml:space="preserve"> </w:t>
      </w:r>
      <w:bookmarkEnd w:id="12"/>
      <w:r w:rsidR="00223BE4">
        <w:rPr>
          <w:lang w:val="en-ZA"/>
        </w:rPr>
        <w:t>Further, given the fact that</w:t>
      </w:r>
      <w:r w:rsidR="00223BE4" w:rsidRPr="00804AE8">
        <w:t xml:space="preserve"> </w:t>
      </w:r>
      <w:r w:rsidR="00223BE4" w:rsidRPr="00804AE8">
        <w:rPr>
          <w:lang w:val="en-ZA"/>
        </w:rPr>
        <w:t xml:space="preserve">any interim payment </w:t>
      </w:r>
      <w:r w:rsidR="00223BE4">
        <w:rPr>
          <w:lang w:val="en-ZA"/>
        </w:rPr>
        <w:t>(</w:t>
      </w:r>
      <w:r w:rsidR="00223BE4" w:rsidRPr="00804AE8">
        <w:rPr>
          <w:lang w:val="en-ZA"/>
        </w:rPr>
        <w:t>in terms of section 17(6)</w:t>
      </w:r>
      <w:r w:rsidR="00223BE4">
        <w:rPr>
          <w:lang w:val="en-ZA"/>
        </w:rPr>
        <w:t>)</w:t>
      </w:r>
      <w:r w:rsidR="00223BE4" w:rsidRPr="00804AE8">
        <w:rPr>
          <w:lang w:val="en-ZA"/>
        </w:rPr>
        <w:t xml:space="preserve"> shall be made</w:t>
      </w:r>
      <w:r w:rsidR="00223BE4">
        <w:rPr>
          <w:lang w:val="en-ZA"/>
        </w:rPr>
        <w:t xml:space="preserve"> </w:t>
      </w:r>
      <w:r w:rsidR="00223BE4" w:rsidRPr="00804AE8">
        <w:rPr>
          <w:lang w:val="en-ZA"/>
        </w:rPr>
        <w:t>from the compensation to be awarded in terms of section 17(1)</w:t>
      </w:r>
      <w:r w:rsidR="00223BE4">
        <w:rPr>
          <w:lang w:val="en-ZA"/>
        </w:rPr>
        <w:t xml:space="preserve">, the admission of liability solely on negligence will not suffice. Accordingly, the court held that </w:t>
      </w:r>
      <w:r w:rsidR="00223BE4" w:rsidRPr="00804AE8">
        <w:rPr>
          <w:lang w:val="en-ZA"/>
        </w:rPr>
        <w:t>section 17(6) read with section 17(1) of the RAF Act</w:t>
      </w:r>
      <w:r w:rsidR="00223BE4">
        <w:rPr>
          <w:lang w:val="en-ZA"/>
        </w:rPr>
        <w:t xml:space="preserve"> does not </w:t>
      </w:r>
      <w:r w:rsidR="00223BE4" w:rsidRPr="00804AE8">
        <w:rPr>
          <w:lang w:val="en-ZA"/>
        </w:rPr>
        <w:t>cure th</w:t>
      </w:r>
      <w:r w:rsidR="00223BE4">
        <w:rPr>
          <w:lang w:val="en-ZA"/>
        </w:rPr>
        <w:t>e</w:t>
      </w:r>
      <w:r w:rsidR="00223BE4" w:rsidRPr="00804AE8">
        <w:rPr>
          <w:lang w:val="en-ZA"/>
        </w:rPr>
        <w:t xml:space="preserve"> </w:t>
      </w:r>
      <w:r w:rsidR="00223BE4" w:rsidRPr="00804AE8">
        <w:rPr>
          <w:i/>
          <w:iCs/>
          <w:lang w:val="en-ZA"/>
        </w:rPr>
        <w:t xml:space="preserve">prima facie </w:t>
      </w:r>
      <w:r w:rsidR="00223BE4" w:rsidRPr="00804AE8">
        <w:rPr>
          <w:lang w:val="en-ZA"/>
        </w:rPr>
        <w:t>hurdle</w:t>
      </w:r>
      <w:r w:rsidR="00223BE4">
        <w:rPr>
          <w:lang w:val="en-ZA"/>
        </w:rPr>
        <w:t xml:space="preserve"> faced by the plaintiff in proving the admission of liability </w:t>
      </w:r>
      <w:r w:rsidR="00223BE4" w:rsidRPr="00C25D08">
        <w:rPr>
          <w:lang w:val="en-ZA"/>
        </w:rPr>
        <w:t xml:space="preserve">by a defendant in terms of </w:t>
      </w:r>
      <w:r w:rsidR="00640B77">
        <w:rPr>
          <w:lang w:val="en-ZA"/>
        </w:rPr>
        <w:t>r</w:t>
      </w:r>
      <w:r w:rsidR="00223BE4" w:rsidRPr="00C25D08">
        <w:rPr>
          <w:lang w:val="en-ZA"/>
        </w:rPr>
        <w:t>ule 34A(4)(a)</w:t>
      </w:r>
      <w:r w:rsidR="00223BE4">
        <w:rPr>
          <w:lang w:val="en-ZA"/>
        </w:rPr>
        <w:t>.</w:t>
      </w:r>
      <w:r w:rsidR="00223BE4">
        <w:rPr>
          <w:rStyle w:val="FootnoteReference"/>
          <w:lang w:val="en-ZA"/>
        </w:rPr>
        <w:footnoteReference w:id="40"/>
      </w:r>
    </w:p>
    <w:p w14:paraId="02777D6D" w14:textId="6A251B9F" w:rsidR="00223BE4" w:rsidRPr="00727386" w:rsidRDefault="00F95CBD" w:rsidP="00F3515C">
      <w:pPr>
        <w:pStyle w:val="JudgmentNumbered"/>
        <w:numPr>
          <w:ilvl w:val="0"/>
          <w:numId w:val="0"/>
        </w:numPr>
        <w:ind w:left="567" w:hanging="567"/>
        <w:rPr>
          <w:lang w:val="en-ZA"/>
        </w:rPr>
      </w:pPr>
      <w:r>
        <w:rPr>
          <w:lang w:val="en-ZA"/>
        </w:rPr>
        <w:t>[4</w:t>
      </w:r>
      <w:r w:rsidR="00A203E1">
        <w:rPr>
          <w:lang w:val="en-ZA"/>
        </w:rPr>
        <w:t>4</w:t>
      </w:r>
      <w:r>
        <w:rPr>
          <w:lang w:val="en-ZA"/>
        </w:rPr>
        <w:t>]</w:t>
      </w:r>
      <w:r>
        <w:rPr>
          <w:lang w:val="en-ZA"/>
        </w:rPr>
        <w:tab/>
      </w:r>
      <w:r w:rsidR="00223BE4">
        <w:rPr>
          <w:lang w:val="en-ZA"/>
        </w:rPr>
        <w:t xml:space="preserve">As it was the case in </w:t>
      </w:r>
      <w:r w:rsidR="00223BE4" w:rsidRPr="008E4CD8">
        <w:rPr>
          <w:i/>
          <w:iCs/>
          <w:lang w:val="en-ZA"/>
        </w:rPr>
        <w:t>Alexandra</w:t>
      </w:r>
      <w:r w:rsidR="00223BE4">
        <w:rPr>
          <w:lang w:val="en-ZA"/>
        </w:rPr>
        <w:t xml:space="preserve">, the applicants/plaintiffs in </w:t>
      </w:r>
      <w:r w:rsidR="00223BE4" w:rsidRPr="008E4CD8">
        <w:rPr>
          <w:i/>
          <w:iCs/>
          <w:lang w:val="en-ZA"/>
        </w:rPr>
        <w:t>Qele</w:t>
      </w:r>
      <w:r w:rsidR="00223BE4">
        <w:rPr>
          <w:i/>
          <w:iCs/>
          <w:lang w:val="en-ZA"/>
        </w:rPr>
        <w:t>s</w:t>
      </w:r>
      <w:r w:rsidR="00223BE4" w:rsidRPr="008E4CD8">
        <w:rPr>
          <w:i/>
          <w:iCs/>
          <w:lang w:val="en-ZA"/>
        </w:rPr>
        <w:t>i</w:t>
      </w:r>
      <w:r w:rsidR="00223BE4">
        <w:rPr>
          <w:i/>
          <w:iCs/>
          <w:lang w:val="en-ZA"/>
        </w:rPr>
        <w:t>le</w:t>
      </w:r>
      <w:r w:rsidR="00223BE4">
        <w:rPr>
          <w:lang w:val="en-ZA"/>
        </w:rPr>
        <w:t xml:space="preserve"> relied on a document which admitted the defendant’s negligence in the accident. Regarding this, the court held</w:t>
      </w:r>
      <w:r w:rsidR="00223BE4" w:rsidRPr="008E4CD8">
        <w:rPr>
          <w:color w:val="202124"/>
          <w:sz w:val="30"/>
          <w:szCs w:val="30"/>
          <w:shd w:val="clear" w:color="auto" w:fill="FFFFFF"/>
        </w:rPr>
        <w:t xml:space="preserve"> </w:t>
      </w:r>
      <w:r w:rsidR="00223BE4" w:rsidRPr="008E4CD8">
        <w:t>—</w:t>
      </w:r>
    </w:p>
    <w:p w14:paraId="073DC618" w14:textId="1E6C09A4" w:rsidR="00F95CBD" w:rsidRDefault="00223BE4" w:rsidP="00187B2D">
      <w:pPr>
        <w:pStyle w:val="JudgmentNumbered"/>
        <w:numPr>
          <w:ilvl w:val="0"/>
          <w:numId w:val="0"/>
        </w:numPr>
        <w:ind w:left="1134"/>
        <w:rPr>
          <w:b/>
          <w:bCs/>
          <w:u w:val="single"/>
          <w:lang w:val="en-ZA"/>
        </w:rPr>
      </w:pPr>
      <w:r w:rsidRPr="008E4CD8">
        <w:rPr>
          <w:sz w:val="22"/>
          <w:lang w:val="en-ZA"/>
        </w:rPr>
        <w:t xml:space="preserve">“In order for the Plaintiffs’ contention to have any merit, </w:t>
      </w:r>
      <w:bookmarkStart w:id="13" w:name="_Hlk149771448"/>
      <w:r w:rsidRPr="008E4CD8">
        <w:rPr>
          <w:sz w:val="22"/>
          <w:lang w:val="en-ZA"/>
        </w:rPr>
        <w:t xml:space="preserve">the word </w:t>
      </w:r>
      <w:r w:rsidRPr="008E4CD8">
        <w:rPr>
          <w:i/>
          <w:iCs/>
          <w:sz w:val="22"/>
          <w:lang w:val="en-ZA"/>
        </w:rPr>
        <w:t xml:space="preserve">“liability” </w:t>
      </w:r>
      <w:r w:rsidRPr="008E4CD8">
        <w:rPr>
          <w:sz w:val="22"/>
          <w:lang w:val="en-ZA"/>
        </w:rPr>
        <w:t xml:space="preserve">in Rule 34A(4)(a) would have to be interpreted as meaning </w:t>
      </w:r>
      <w:r w:rsidRPr="008E4CD8">
        <w:rPr>
          <w:i/>
          <w:iCs/>
          <w:sz w:val="22"/>
          <w:lang w:val="en-ZA"/>
        </w:rPr>
        <w:t>“negligence”</w:t>
      </w:r>
      <w:r w:rsidRPr="008E4CD8">
        <w:rPr>
          <w:sz w:val="22"/>
          <w:lang w:val="en-ZA"/>
        </w:rPr>
        <w:t>.</w:t>
      </w:r>
      <w:r>
        <w:rPr>
          <w:sz w:val="22"/>
          <w:lang w:val="en-ZA"/>
        </w:rPr>
        <w:t xml:space="preserve"> </w:t>
      </w:r>
      <w:r w:rsidRPr="008E4CD8">
        <w:rPr>
          <w:sz w:val="22"/>
          <w:lang w:val="en-ZA"/>
        </w:rPr>
        <w:t xml:space="preserve">Such an interpretation would have the effect of defeating the very circumscription of the substantive right set out in section 17(6) read with section 17(1) of the RAF Act. </w:t>
      </w:r>
      <w:bookmarkEnd w:id="13"/>
      <w:r w:rsidRPr="008E4CD8">
        <w:rPr>
          <w:sz w:val="22"/>
          <w:lang w:val="en-ZA"/>
        </w:rPr>
        <w:t>Such an interpretation is impermissible</w:t>
      </w:r>
      <w:r>
        <w:rPr>
          <w:sz w:val="22"/>
          <w:lang w:val="en-ZA"/>
        </w:rPr>
        <w:t xml:space="preserve"> </w:t>
      </w:r>
      <w:r w:rsidRPr="008E4CD8">
        <w:rPr>
          <w:sz w:val="22"/>
          <w:lang w:val="en-ZA"/>
        </w:rPr>
        <w:t>as it would mean that Rule 34A(4)(a),</w:t>
      </w:r>
      <w:r>
        <w:rPr>
          <w:sz w:val="22"/>
          <w:lang w:val="en-ZA"/>
        </w:rPr>
        <w:t xml:space="preserve"> </w:t>
      </w:r>
      <w:r w:rsidRPr="008E4CD8">
        <w:rPr>
          <w:sz w:val="22"/>
          <w:lang w:val="en-ZA"/>
        </w:rPr>
        <w:t>which is the procedure created to give effect to claims as is envisaged in terms of section 17(6) read with section 17(1) of the RAF Act,</w:t>
      </w:r>
      <w:r>
        <w:rPr>
          <w:sz w:val="22"/>
          <w:lang w:val="en-ZA"/>
        </w:rPr>
        <w:t xml:space="preserve"> </w:t>
      </w:r>
      <w:r w:rsidRPr="008E4CD8">
        <w:rPr>
          <w:sz w:val="22"/>
          <w:lang w:val="en-ZA"/>
        </w:rPr>
        <w:t>would bring in or allow claims that do n</w:t>
      </w:r>
      <w:r w:rsidRPr="00D77267">
        <w:rPr>
          <w:sz w:val="22"/>
          <w:lang w:val="en-ZA"/>
        </w:rPr>
        <w:t>ot fall within the said sections’ purview.”</w:t>
      </w:r>
      <w:r w:rsidRPr="00D77267">
        <w:rPr>
          <w:rStyle w:val="FootnoteReference"/>
          <w:sz w:val="22"/>
          <w:lang w:val="en-ZA"/>
        </w:rPr>
        <w:footnoteReference w:id="41"/>
      </w:r>
    </w:p>
    <w:p w14:paraId="2CCA2310" w14:textId="797B38C5" w:rsidR="00223BE4" w:rsidRPr="00187B2D" w:rsidRDefault="00223BE4" w:rsidP="00223BE4">
      <w:pPr>
        <w:pStyle w:val="JudgmentNumbered"/>
        <w:numPr>
          <w:ilvl w:val="0"/>
          <w:numId w:val="0"/>
        </w:numPr>
        <w:rPr>
          <w:i/>
          <w:iCs/>
          <w:lang w:val="en-ZA"/>
        </w:rPr>
      </w:pPr>
      <w:r w:rsidRPr="00187B2D">
        <w:rPr>
          <w:i/>
          <w:iCs/>
          <w:lang w:val="en-ZA"/>
        </w:rPr>
        <w:t>Conclusion on the plaintiff’s application for an interim payment</w:t>
      </w:r>
    </w:p>
    <w:p w14:paraId="61AFE80A" w14:textId="517A50E5" w:rsidR="00223BE4" w:rsidRPr="003E4D01" w:rsidRDefault="00F95CBD" w:rsidP="00F3515C">
      <w:pPr>
        <w:pStyle w:val="JudgmentNumbered"/>
        <w:numPr>
          <w:ilvl w:val="0"/>
          <w:numId w:val="0"/>
        </w:numPr>
        <w:ind w:left="567" w:hanging="567"/>
      </w:pPr>
      <w:r>
        <w:t>[4</w:t>
      </w:r>
      <w:r w:rsidR="00A203E1">
        <w:t>5</w:t>
      </w:r>
      <w:r>
        <w:t>]</w:t>
      </w:r>
      <w:r>
        <w:tab/>
      </w:r>
      <w:r w:rsidR="00223BE4">
        <w:t xml:space="preserve">In conclusion, it is clear from </w:t>
      </w:r>
      <w:r w:rsidR="00223BE4" w:rsidRPr="003E4D01">
        <w:rPr>
          <w:i/>
          <w:iCs/>
        </w:rPr>
        <w:t>Alexandra</w:t>
      </w:r>
      <w:r w:rsidR="00223BE4">
        <w:t xml:space="preserve"> and </w:t>
      </w:r>
      <w:r w:rsidR="00223BE4" w:rsidRPr="003E4D01">
        <w:rPr>
          <w:i/>
          <w:iCs/>
        </w:rPr>
        <w:t>Qelesile</w:t>
      </w:r>
      <w:r w:rsidR="00223BE4" w:rsidRPr="003E4D01">
        <w:t xml:space="preserve"> that the </w:t>
      </w:r>
      <w:bookmarkStart w:id="14" w:name="_Hlk149771168"/>
      <w:r w:rsidR="00223BE4" w:rsidRPr="003E4D01">
        <w:t xml:space="preserve">admission of liability by a defendant in terms of </w:t>
      </w:r>
      <w:r w:rsidR="00640B77">
        <w:t>r</w:t>
      </w:r>
      <w:r w:rsidR="00223BE4" w:rsidRPr="003E4D01">
        <w:t>ule 34A(4)(a)</w:t>
      </w:r>
      <w:bookmarkEnd w:id="14"/>
      <w:r w:rsidR="00223BE4" w:rsidRPr="003E4D01">
        <w:t xml:space="preserve"> necessitated an admission of all the requirements of the elements of a delict, not only negligence. In other words, the admission of negligence by the defendant is not all that is required to meet the requirements of </w:t>
      </w:r>
      <w:r w:rsidR="00640B77">
        <w:t>r</w:t>
      </w:r>
      <w:r w:rsidR="00223BE4" w:rsidRPr="003E4D01">
        <w:t xml:space="preserve">ule 34A(4)(a). </w:t>
      </w:r>
      <w:r w:rsidR="00223BE4">
        <w:t xml:space="preserve">However, in addition to the admission of negligence, it must also be proved that </w:t>
      </w:r>
      <w:r w:rsidR="00223BE4" w:rsidRPr="005D0719">
        <w:t xml:space="preserve">the </w:t>
      </w:r>
      <w:r w:rsidR="00223BE4">
        <w:t>defendant</w:t>
      </w:r>
      <w:r w:rsidR="00223BE4" w:rsidRPr="005D0719">
        <w:t xml:space="preserve"> has admitted </w:t>
      </w:r>
      <w:r w:rsidR="00223BE4">
        <w:t xml:space="preserve">for instance </w:t>
      </w:r>
      <w:r w:rsidR="00223BE4" w:rsidRPr="005D0719">
        <w:t xml:space="preserve">that the plaintiffs are suffering any bodily injury </w:t>
      </w:r>
      <w:r w:rsidR="00223BE4">
        <w:t>and</w:t>
      </w:r>
      <w:r w:rsidR="00223BE4" w:rsidRPr="005D0719">
        <w:t xml:space="preserve"> that any such bodily injury arose from the negligently caused collision. In other words, apart from quantum, both bodily injury (or “harm” in delictual terms) and causation</w:t>
      </w:r>
      <w:r w:rsidR="00223BE4">
        <w:t xml:space="preserve"> need to also be </w:t>
      </w:r>
      <w:r w:rsidR="00223BE4">
        <w:lastRenderedPageBreak/>
        <w:t xml:space="preserve">admitted by the defendant in order to constitute </w:t>
      </w:r>
      <w:r w:rsidR="00223BE4" w:rsidRPr="005D0719">
        <w:t xml:space="preserve">admission of liability by a defendant in terms of </w:t>
      </w:r>
      <w:r w:rsidR="00640B77">
        <w:t>r</w:t>
      </w:r>
      <w:r w:rsidR="00223BE4" w:rsidRPr="005D0719">
        <w:t>ule 34A(4)(a)</w:t>
      </w:r>
      <w:r w:rsidR="00223BE4">
        <w:t xml:space="preserve">. </w:t>
      </w:r>
    </w:p>
    <w:p w14:paraId="51601FEA" w14:textId="72C526E7" w:rsidR="009703D3" w:rsidRPr="00223BE4" w:rsidRDefault="009E252C" w:rsidP="00F3515C">
      <w:pPr>
        <w:pStyle w:val="JudgmentNumbered"/>
        <w:numPr>
          <w:ilvl w:val="0"/>
          <w:numId w:val="0"/>
        </w:numPr>
        <w:ind w:left="567" w:hanging="567"/>
        <w:rPr>
          <w:iCs/>
          <w:szCs w:val="24"/>
        </w:rPr>
      </w:pPr>
      <w:r>
        <w:t>[4</w:t>
      </w:r>
      <w:r w:rsidR="00A203E1">
        <w:t>6</w:t>
      </w:r>
      <w:r>
        <w:t>]</w:t>
      </w:r>
      <w:r>
        <w:tab/>
      </w:r>
      <w:r w:rsidR="00223BE4" w:rsidRPr="006A0E3F">
        <w:t xml:space="preserve">The above conclusion is further strengthened by reasoning of the court in </w:t>
      </w:r>
      <w:r w:rsidR="00223BE4" w:rsidRPr="006A0E3F">
        <w:rPr>
          <w:i/>
          <w:iCs/>
        </w:rPr>
        <w:t>Qelesile</w:t>
      </w:r>
      <w:r w:rsidR="00223BE4" w:rsidRPr="006A0E3F">
        <w:t xml:space="preserve"> in which the court held that if </w:t>
      </w:r>
      <w:r w:rsidR="00223BE4" w:rsidRPr="008E4CD8">
        <w:rPr>
          <w:lang w:val="en-ZA"/>
        </w:rPr>
        <w:t xml:space="preserve">the word “liability” in </w:t>
      </w:r>
      <w:r w:rsidR="00640B77">
        <w:rPr>
          <w:lang w:val="en-ZA"/>
        </w:rPr>
        <w:t>r</w:t>
      </w:r>
      <w:r w:rsidR="00223BE4" w:rsidRPr="008E4CD8">
        <w:rPr>
          <w:lang w:val="en-ZA"/>
        </w:rPr>
        <w:t>ule 34A(4)(a) would have to be interpreted as meaning “negligence”</w:t>
      </w:r>
      <w:r w:rsidR="00223BE4">
        <w:rPr>
          <w:lang w:val="en-ZA"/>
        </w:rPr>
        <w:t>, s</w:t>
      </w:r>
      <w:r w:rsidR="00223BE4" w:rsidRPr="008E4CD8">
        <w:rPr>
          <w:lang w:val="en-ZA"/>
        </w:rPr>
        <w:t>uch an interpretation would have the effect of defeating the very circumscription of the substantive right set out in section 17(6) read with section 17(1) of the RAF Act.</w:t>
      </w:r>
      <w:r w:rsidR="00223BE4" w:rsidRPr="006A0E3F">
        <w:t xml:space="preserve"> </w:t>
      </w:r>
      <w:r w:rsidR="00223BE4" w:rsidRPr="006A0E3F">
        <w:rPr>
          <w:lang w:val="en-ZA"/>
        </w:rPr>
        <w:t>In this regard, the court held that the express phrases in section 17(1) patently relate to and require causation (one of the essential elements of a delict) to be proved or conceded</w:t>
      </w:r>
      <w:r w:rsidR="00223BE4">
        <w:rPr>
          <w:lang w:val="en-ZA"/>
        </w:rPr>
        <w:t>.</w:t>
      </w:r>
    </w:p>
    <w:p w14:paraId="7B7D18F0" w14:textId="0D9156B5" w:rsidR="007D0FF9" w:rsidRDefault="00746923" w:rsidP="00F3515C">
      <w:pPr>
        <w:pStyle w:val="JudgmentNumbered"/>
        <w:numPr>
          <w:ilvl w:val="0"/>
          <w:numId w:val="0"/>
        </w:numPr>
        <w:ind w:left="567" w:hanging="567"/>
        <w:rPr>
          <w:iCs/>
          <w:szCs w:val="24"/>
          <w:u w:val="single"/>
        </w:rPr>
      </w:pPr>
      <w:r w:rsidRPr="00746923">
        <w:rPr>
          <w:iCs/>
          <w:szCs w:val="24"/>
        </w:rPr>
        <w:t>[4</w:t>
      </w:r>
      <w:r w:rsidR="00A203E1">
        <w:rPr>
          <w:iCs/>
          <w:szCs w:val="24"/>
        </w:rPr>
        <w:t>7</w:t>
      </w:r>
      <w:r w:rsidRPr="00746923">
        <w:rPr>
          <w:iCs/>
          <w:szCs w:val="24"/>
        </w:rPr>
        <w:t>]</w:t>
      </w:r>
      <w:r>
        <w:rPr>
          <w:iCs/>
          <w:szCs w:val="24"/>
        </w:rPr>
        <w:tab/>
        <w:t>In view of the preceding discussion</w:t>
      </w:r>
      <w:r w:rsidR="00EF3B33">
        <w:rPr>
          <w:iCs/>
          <w:szCs w:val="24"/>
        </w:rPr>
        <w:t xml:space="preserve">, it would appear that the defendant, in this matter before me, </w:t>
      </w:r>
      <w:r w:rsidR="005B5D54">
        <w:rPr>
          <w:iCs/>
          <w:szCs w:val="24"/>
        </w:rPr>
        <w:t>relied on the same document</w:t>
      </w:r>
      <w:r w:rsidR="00921CA6">
        <w:rPr>
          <w:iCs/>
          <w:szCs w:val="24"/>
        </w:rPr>
        <w:t xml:space="preserve"> conceding liability but specifically denied that it is liable for any other aspects of the plaintiff’s claim. </w:t>
      </w:r>
      <w:r w:rsidR="005E559C">
        <w:rPr>
          <w:iCs/>
          <w:szCs w:val="24"/>
        </w:rPr>
        <w:t>In light of this, the plaintiff has not proven all the jurisdictional requirements as set ou</w:t>
      </w:r>
      <w:r w:rsidR="007D0FF9">
        <w:rPr>
          <w:iCs/>
          <w:szCs w:val="24"/>
        </w:rPr>
        <w:t>t</w:t>
      </w:r>
      <w:r w:rsidR="005E559C">
        <w:rPr>
          <w:iCs/>
          <w:szCs w:val="24"/>
        </w:rPr>
        <w:t xml:space="preserve"> in the rule and therefore her </w:t>
      </w:r>
      <w:r w:rsidR="007D0FF9">
        <w:rPr>
          <w:iCs/>
          <w:szCs w:val="24"/>
        </w:rPr>
        <w:t>application for an interim payment stands to be rejected.</w:t>
      </w:r>
    </w:p>
    <w:p w14:paraId="118D3224" w14:textId="6024B693" w:rsidR="00247209" w:rsidRPr="00187B2D" w:rsidRDefault="00247209" w:rsidP="00422800">
      <w:pPr>
        <w:pStyle w:val="JudgmentNumbered"/>
        <w:numPr>
          <w:ilvl w:val="0"/>
          <w:numId w:val="0"/>
        </w:numPr>
        <w:rPr>
          <w:i/>
          <w:szCs w:val="24"/>
        </w:rPr>
      </w:pPr>
      <w:r w:rsidRPr="00187B2D">
        <w:rPr>
          <w:i/>
          <w:szCs w:val="24"/>
        </w:rPr>
        <w:t>Conclusion</w:t>
      </w:r>
    </w:p>
    <w:p w14:paraId="73B2B0B0" w14:textId="7E6E8221" w:rsidR="003F1B4C" w:rsidRPr="00591FD0" w:rsidRDefault="009A1E52" w:rsidP="00F3515C">
      <w:pPr>
        <w:pStyle w:val="JudgmentNumbered"/>
        <w:numPr>
          <w:ilvl w:val="0"/>
          <w:numId w:val="0"/>
        </w:numPr>
        <w:ind w:left="567" w:hanging="567"/>
        <w:rPr>
          <w:szCs w:val="24"/>
        </w:rPr>
      </w:pPr>
      <w:r>
        <w:rPr>
          <w:bCs/>
          <w:szCs w:val="24"/>
        </w:rPr>
        <w:t>[</w:t>
      </w:r>
      <w:r w:rsidR="00E359D9">
        <w:rPr>
          <w:bCs/>
          <w:szCs w:val="24"/>
        </w:rPr>
        <w:t>4</w:t>
      </w:r>
      <w:r w:rsidR="00A203E1">
        <w:rPr>
          <w:bCs/>
          <w:szCs w:val="24"/>
        </w:rPr>
        <w:t>8</w:t>
      </w:r>
      <w:r>
        <w:rPr>
          <w:bCs/>
          <w:szCs w:val="24"/>
        </w:rPr>
        <w:t>]</w:t>
      </w:r>
      <w:r>
        <w:rPr>
          <w:bCs/>
          <w:szCs w:val="24"/>
        </w:rPr>
        <w:tab/>
      </w:r>
      <w:r w:rsidR="00061F73" w:rsidRPr="00380E6A">
        <w:rPr>
          <w:bCs/>
          <w:szCs w:val="24"/>
        </w:rPr>
        <w:t xml:space="preserve">Finally, in Olivier </w:t>
      </w:r>
      <w:r w:rsidR="00061F73" w:rsidRPr="00380E6A">
        <w:rPr>
          <w:bCs/>
          <w:i/>
          <w:iCs/>
          <w:szCs w:val="24"/>
        </w:rPr>
        <w:t>supra</w:t>
      </w:r>
      <w:r w:rsidR="00061F73" w:rsidRPr="00380E6A">
        <w:rPr>
          <w:bCs/>
          <w:szCs w:val="24"/>
        </w:rPr>
        <w:t xml:space="preserve"> the </w:t>
      </w:r>
      <w:r w:rsidR="00DB1D59">
        <w:rPr>
          <w:bCs/>
          <w:szCs w:val="24"/>
        </w:rPr>
        <w:t>c</w:t>
      </w:r>
      <w:r w:rsidR="00380E6A" w:rsidRPr="00380E6A">
        <w:rPr>
          <w:bCs/>
          <w:szCs w:val="24"/>
        </w:rPr>
        <w:t>ourt concluded that h</w:t>
      </w:r>
      <w:r w:rsidR="008245FE" w:rsidRPr="00591FD0">
        <w:rPr>
          <w:szCs w:val="24"/>
        </w:rPr>
        <w:t xml:space="preserve">ad the quantum not been amended, there is no question that </w:t>
      </w:r>
      <w:r w:rsidR="008245FE" w:rsidRPr="00187B2D">
        <w:rPr>
          <w:i/>
          <w:iCs/>
          <w:szCs w:val="24"/>
        </w:rPr>
        <w:t>litis contestatio</w:t>
      </w:r>
      <w:r w:rsidR="008245FE" w:rsidRPr="00591FD0">
        <w:rPr>
          <w:szCs w:val="24"/>
        </w:rPr>
        <w:t xml:space="preserve"> would be uninterrupted and the claim for general damages remain intact.</w:t>
      </w:r>
      <w:r w:rsidR="00380E6A">
        <w:rPr>
          <w:rStyle w:val="FootnoteReference"/>
          <w:szCs w:val="24"/>
        </w:rPr>
        <w:footnoteReference w:id="42"/>
      </w:r>
    </w:p>
    <w:p w14:paraId="24A4353E" w14:textId="70832B5D" w:rsidR="00AB76A4" w:rsidRDefault="00543DBA" w:rsidP="00F3515C">
      <w:pPr>
        <w:pStyle w:val="JudgmentNumbered"/>
        <w:numPr>
          <w:ilvl w:val="0"/>
          <w:numId w:val="0"/>
        </w:numPr>
        <w:ind w:left="567" w:hanging="567"/>
        <w:rPr>
          <w:szCs w:val="24"/>
        </w:rPr>
      </w:pPr>
      <w:r>
        <w:rPr>
          <w:szCs w:val="24"/>
        </w:rPr>
        <w:t>[</w:t>
      </w:r>
      <w:r w:rsidR="00E359D9">
        <w:rPr>
          <w:szCs w:val="24"/>
        </w:rPr>
        <w:t>4</w:t>
      </w:r>
      <w:r w:rsidR="00A203E1">
        <w:rPr>
          <w:szCs w:val="24"/>
        </w:rPr>
        <w:t>9</w:t>
      </w:r>
      <w:r>
        <w:rPr>
          <w:szCs w:val="24"/>
        </w:rPr>
        <w:t>]</w:t>
      </w:r>
      <w:r>
        <w:rPr>
          <w:szCs w:val="24"/>
        </w:rPr>
        <w:tab/>
      </w:r>
      <w:r w:rsidR="0074399B">
        <w:rPr>
          <w:szCs w:val="24"/>
        </w:rPr>
        <w:t xml:space="preserve">I have considered the obiter </w:t>
      </w:r>
      <w:r w:rsidR="00422800">
        <w:rPr>
          <w:szCs w:val="24"/>
        </w:rPr>
        <w:t>remarks</w:t>
      </w:r>
      <w:r w:rsidR="0074399B">
        <w:rPr>
          <w:szCs w:val="24"/>
        </w:rPr>
        <w:t xml:space="preserve"> in the</w:t>
      </w:r>
      <w:r w:rsidR="0074399B" w:rsidRPr="00187B2D">
        <w:rPr>
          <w:i/>
          <w:iCs/>
          <w:szCs w:val="24"/>
        </w:rPr>
        <w:t xml:space="preserve"> Ngubane </w:t>
      </w:r>
      <w:r w:rsidR="0074399B">
        <w:rPr>
          <w:szCs w:val="24"/>
        </w:rPr>
        <w:t xml:space="preserve">judgment by </w:t>
      </w:r>
      <w:r w:rsidR="008E5109">
        <w:rPr>
          <w:szCs w:val="24"/>
        </w:rPr>
        <w:t>my brother Thompson AJ</w:t>
      </w:r>
      <w:r w:rsidR="00971369">
        <w:rPr>
          <w:szCs w:val="24"/>
        </w:rPr>
        <w:t xml:space="preserve"> and am of the view that these two cases are not comparable. In this matter</w:t>
      </w:r>
      <w:r w:rsidR="00035B32">
        <w:rPr>
          <w:szCs w:val="24"/>
        </w:rPr>
        <w:t xml:space="preserve"> the defendant entered an appearance to defend</w:t>
      </w:r>
      <w:r w:rsidR="0090115E">
        <w:rPr>
          <w:szCs w:val="24"/>
        </w:rPr>
        <w:t xml:space="preserve"> and has accordingly “entered the fray”</w:t>
      </w:r>
      <w:r w:rsidR="00035B32">
        <w:rPr>
          <w:szCs w:val="24"/>
        </w:rPr>
        <w:t xml:space="preserve"> and the two claims are </w:t>
      </w:r>
      <w:r w:rsidR="00F3607D">
        <w:rPr>
          <w:szCs w:val="24"/>
        </w:rPr>
        <w:t>distinctly</w:t>
      </w:r>
      <w:r w:rsidR="00035B32">
        <w:rPr>
          <w:szCs w:val="24"/>
        </w:rPr>
        <w:t xml:space="preserve"> different. </w:t>
      </w:r>
      <w:r w:rsidR="00F3607D">
        <w:rPr>
          <w:szCs w:val="24"/>
        </w:rPr>
        <w:t xml:space="preserve">The issue in </w:t>
      </w:r>
      <w:r w:rsidR="00F3607D" w:rsidRPr="00187B2D">
        <w:rPr>
          <w:i/>
          <w:iCs/>
          <w:szCs w:val="24"/>
        </w:rPr>
        <w:t>Ngubane</w:t>
      </w:r>
      <w:r w:rsidR="00F3607D">
        <w:rPr>
          <w:szCs w:val="24"/>
        </w:rPr>
        <w:t xml:space="preserve"> pertained to general damages passing to the deceased estate. </w:t>
      </w:r>
    </w:p>
    <w:p w14:paraId="7AE474F4" w14:textId="1E332268" w:rsidR="00A579DD" w:rsidRDefault="00543DBA" w:rsidP="00F3515C">
      <w:pPr>
        <w:pStyle w:val="JudgmentNumbered"/>
        <w:numPr>
          <w:ilvl w:val="0"/>
          <w:numId w:val="0"/>
        </w:numPr>
        <w:ind w:left="567" w:hanging="567"/>
        <w:rPr>
          <w:szCs w:val="24"/>
          <w:u w:val="single"/>
        </w:rPr>
      </w:pPr>
      <w:r>
        <w:rPr>
          <w:szCs w:val="24"/>
        </w:rPr>
        <w:t>[</w:t>
      </w:r>
      <w:r w:rsidR="00A203E1">
        <w:rPr>
          <w:szCs w:val="24"/>
        </w:rPr>
        <w:t>50</w:t>
      </w:r>
      <w:r>
        <w:rPr>
          <w:szCs w:val="24"/>
        </w:rPr>
        <w:t>]</w:t>
      </w:r>
      <w:r>
        <w:rPr>
          <w:szCs w:val="24"/>
        </w:rPr>
        <w:tab/>
      </w:r>
      <w:r w:rsidR="00E76395" w:rsidRPr="00591FD0">
        <w:rPr>
          <w:szCs w:val="24"/>
        </w:rPr>
        <w:t xml:space="preserve">Accordingly, the </w:t>
      </w:r>
      <w:r w:rsidR="00E76395" w:rsidRPr="00591FD0">
        <w:rPr>
          <w:i/>
          <w:iCs/>
          <w:szCs w:val="24"/>
        </w:rPr>
        <w:t>dies</w:t>
      </w:r>
      <w:r w:rsidR="00E76395" w:rsidRPr="00591FD0">
        <w:rPr>
          <w:szCs w:val="24"/>
        </w:rPr>
        <w:t xml:space="preserve"> for an objection and for the filing </w:t>
      </w:r>
      <w:r w:rsidR="00281939">
        <w:rPr>
          <w:szCs w:val="24"/>
        </w:rPr>
        <w:t xml:space="preserve">the plaintiff’s </w:t>
      </w:r>
      <w:r w:rsidR="00E76395" w:rsidRPr="00591FD0">
        <w:rPr>
          <w:szCs w:val="24"/>
        </w:rPr>
        <w:t xml:space="preserve">amended pages would only lapse on 6 November 2023. With the </w:t>
      </w:r>
      <w:r w:rsidR="004623BC">
        <w:rPr>
          <w:szCs w:val="24"/>
        </w:rPr>
        <w:t xml:space="preserve">defendant </w:t>
      </w:r>
      <w:r w:rsidR="00E76395" w:rsidRPr="00591FD0">
        <w:rPr>
          <w:szCs w:val="24"/>
        </w:rPr>
        <w:t xml:space="preserve">filing </w:t>
      </w:r>
      <w:r w:rsidR="004623BC">
        <w:rPr>
          <w:szCs w:val="24"/>
        </w:rPr>
        <w:t xml:space="preserve">an </w:t>
      </w:r>
      <w:r w:rsidR="00EA50A8">
        <w:rPr>
          <w:szCs w:val="24"/>
        </w:rPr>
        <w:t>a</w:t>
      </w:r>
      <w:r w:rsidR="00E76395" w:rsidRPr="00591FD0">
        <w:rPr>
          <w:szCs w:val="24"/>
        </w:rPr>
        <w:t xml:space="preserve">ppearance to defend and </w:t>
      </w:r>
      <w:r w:rsidR="00EA50A8">
        <w:rPr>
          <w:szCs w:val="24"/>
        </w:rPr>
        <w:t xml:space="preserve">with </w:t>
      </w:r>
      <w:r w:rsidR="00E76395" w:rsidRPr="00591FD0">
        <w:rPr>
          <w:szCs w:val="24"/>
        </w:rPr>
        <w:t xml:space="preserve">the </w:t>
      </w:r>
      <w:r w:rsidR="00C573FD">
        <w:rPr>
          <w:szCs w:val="24"/>
        </w:rPr>
        <w:t xml:space="preserve">substantial </w:t>
      </w:r>
      <w:r w:rsidR="00E76395" w:rsidRPr="00591FD0">
        <w:rPr>
          <w:szCs w:val="24"/>
        </w:rPr>
        <w:t>proposed amendment, the application before me was therefore not ripe for hearing.</w:t>
      </w:r>
    </w:p>
    <w:p w14:paraId="607E1FBC" w14:textId="223AD3E7" w:rsidR="00AB6309" w:rsidRPr="00187B2D" w:rsidRDefault="00863341" w:rsidP="00187B2D">
      <w:pPr>
        <w:pStyle w:val="JudgmentNumbered"/>
        <w:keepNext/>
        <w:widowControl w:val="0"/>
        <w:numPr>
          <w:ilvl w:val="0"/>
          <w:numId w:val="0"/>
        </w:numPr>
        <w:rPr>
          <w:i/>
          <w:iCs/>
          <w:szCs w:val="24"/>
        </w:rPr>
      </w:pPr>
      <w:r w:rsidRPr="00187B2D">
        <w:rPr>
          <w:i/>
          <w:iCs/>
          <w:szCs w:val="24"/>
        </w:rPr>
        <w:lastRenderedPageBreak/>
        <w:t>Costs</w:t>
      </w:r>
    </w:p>
    <w:p w14:paraId="42F76CE7" w14:textId="7E080EE6" w:rsidR="00C10347" w:rsidRDefault="00543DBA" w:rsidP="00F3515C">
      <w:pPr>
        <w:pStyle w:val="JudgmentNumbered"/>
        <w:keepNext/>
        <w:widowControl w:val="0"/>
        <w:numPr>
          <w:ilvl w:val="0"/>
          <w:numId w:val="0"/>
        </w:numPr>
        <w:ind w:left="567" w:hanging="567"/>
        <w:rPr>
          <w:szCs w:val="24"/>
        </w:rPr>
      </w:pPr>
      <w:r>
        <w:rPr>
          <w:szCs w:val="24"/>
        </w:rPr>
        <w:t>[</w:t>
      </w:r>
      <w:r w:rsidR="00A203E1">
        <w:rPr>
          <w:szCs w:val="24"/>
        </w:rPr>
        <w:t>51</w:t>
      </w:r>
      <w:r>
        <w:rPr>
          <w:szCs w:val="24"/>
        </w:rPr>
        <w:t>]</w:t>
      </w:r>
      <w:r>
        <w:rPr>
          <w:szCs w:val="24"/>
        </w:rPr>
        <w:tab/>
      </w:r>
      <w:r w:rsidR="00C10347">
        <w:rPr>
          <w:szCs w:val="24"/>
        </w:rPr>
        <w:t xml:space="preserve">The plaintiff ought to have known that a </w:t>
      </w:r>
      <w:r w:rsidR="00E84F15">
        <w:rPr>
          <w:szCs w:val="24"/>
        </w:rPr>
        <w:t xml:space="preserve">late </w:t>
      </w:r>
      <w:r w:rsidR="00C10347">
        <w:rPr>
          <w:szCs w:val="24"/>
        </w:rPr>
        <w:t xml:space="preserve">substantial amendment would </w:t>
      </w:r>
      <w:r w:rsidR="00E84F15">
        <w:rPr>
          <w:szCs w:val="24"/>
        </w:rPr>
        <w:t xml:space="preserve">disturb </w:t>
      </w:r>
      <w:r w:rsidR="00E84F15" w:rsidRPr="00187B2D">
        <w:rPr>
          <w:i/>
          <w:iCs/>
          <w:szCs w:val="24"/>
        </w:rPr>
        <w:t>litis contestatio</w:t>
      </w:r>
      <w:r w:rsidR="00E84F15">
        <w:rPr>
          <w:szCs w:val="24"/>
        </w:rPr>
        <w:t xml:space="preserve"> </w:t>
      </w:r>
      <w:r w:rsidR="00F26FA1">
        <w:rPr>
          <w:szCs w:val="24"/>
        </w:rPr>
        <w:t xml:space="preserve">and would render her application for default judgment </w:t>
      </w:r>
      <w:r w:rsidR="00D27586">
        <w:rPr>
          <w:szCs w:val="24"/>
        </w:rPr>
        <w:t>defective.</w:t>
      </w:r>
      <w:r w:rsidR="00B764ED">
        <w:rPr>
          <w:szCs w:val="24"/>
        </w:rPr>
        <w:t xml:space="preserve"> Without effecting the </w:t>
      </w:r>
      <w:r w:rsidR="000732D4">
        <w:rPr>
          <w:szCs w:val="24"/>
        </w:rPr>
        <w:t>amendment,</w:t>
      </w:r>
      <w:r w:rsidR="00B764ED">
        <w:rPr>
          <w:szCs w:val="24"/>
        </w:rPr>
        <w:t xml:space="preserve"> the unamended partic</w:t>
      </w:r>
      <w:r w:rsidR="002B4D8E">
        <w:rPr>
          <w:szCs w:val="24"/>
        </w:rPr>
        <w:t>u</w:t>
      </w:r>
      <w:r w:rsidR="00B764ED">
        <w:rPr>
          <w:szCs w:val="24"/>
        </w:rPr>
        <w:t xml:space="preserve">lars of claim in the amount of R2 300 000.00 is still before this Court. </w:t>
      </w:r>
    </w:p>
    <w:p w14:paraId="57621006" w14:textId="003B7CF1" w:rsidR="00BE4882" w:rsidRDefault="001D21CB" w:rsidP="00F3515C">
      <w:pPr>
        <w:pStyle w:val="JudgmentNumbered"/>
        <w:numPr>
          <w:ilvl w:val="0"/>
          <w:numId w:val="0"/>
        </w:numPr>
        <w:ind w:left="567" w:hanging="567"/>
        <w:rPr>
          <w:szCs w:val="24"/>
        </w:rPr>
      </w:pPr>
      <w:r>
        <w:rPr>
          <w:szCs w:val="24"/>
        </w:rPr>
        <w:t>[</w:t>
      </w:r>
      <w:r w:rsidR="00CB26B2">
        <w:rPr>
          <w:szCs w:val="24"/>
        </w:rPr>
        <w:t>5</w:t>
      </w:r>
      <w:r w:rsidR="00A203E1">
        <w:rPr>
          <w:szCs w:val="24"/>
        </w:rPr>
        <w:t>2</w:t>
      </w:r>
      <w:r>
        <w:rPr>
          <w:szCs w:val="24"/>
        </w:rPr>
        <w:t>]</w:t>
      </w:r>
      <w:r>
        <w:rPr>
          <w:szCs w:val="24"/>
        </w:rPr>
        <w:tab/>
      </w:r>
      <w:r w:rsidR="00D27586">
        <w:rPr>
          <w:szCs w:val="24"/>
        </w:rPr>
        <w:t>On the other hand, the defen</w:t>
      </w:r>
      <w:r w:rsidR="002B4D8E">
        <w:rPr>
          <w:szCs w:val="24"/>
        </w:rPr>
        <w:t xml:space="preserve">dant’s dilatory </w:t>
      </w:r>
      <w:r w:rsidR="00F146FC">
        <w:rPr>
          <w:szCs w:val="24"/>
        </w:rPr>
        <w:t>conduct</w:t>
      </w:r>
      <w:r w:rsidR="002B4D8E">
        <w:rPr>
          <w:szCs w:val="24"/>
        </w:rPr>
        <w:t xml:space="preserve"> cannot be excused </w:t>
      </w:r>
      <w:r w:rsidR="006C2A83">
        <w:rPr>
          <w:szCs w:val="24"/>
        </w:rPr>
        <w:t>and</w:t>
      </w:r>
      <w:r w:rsidR="00B512A5">
        <w:rPr>
          <w:szCs w:val="24"/>
        </w:rPr>
        <w:t xml:space="preserve"> filing of its notice </w:t>
      </w:r>
      <w:r w:rsidR="00DA071F">
        <w:rPr>
          <w:szCs w:val="24"/>
        </w:rPr>
        <w:t>to defend at the 11</w:t>
      </w:r>
      <w:r w:rsidR="00DA071F" w:rsidRPr="00DA071F">
        <w:rPr>
          <w:szCs w:val="24"/>
          <w:vertAlign w:val="superscript"/>
        </w:rPr>
        <w:t>th</w:t>
      </w:r>
      <w:r w:rsidR="00DA071F">
        <w:rPr>
          <w:szCs w:val="24"/>
        </w:rPr>
        <w:t xml:space="preserve"> hour </w:t>
      </w:r>
      <w:r w:rsidR="00BE4882">
        <w:rPr>
          <w:szCs w:val="24"/>
        </w:rPr>
        <w:t>borders on gross negligence.</w:t>
      </w:r>
    </w:p>
    <w:p w14:paraId="19DDBA2B" w14:textId="2FF88452" w:rsidR="009502F5" w:rsidRDefault="001D21CB" w:rsidP="00F3515C">
      <w:pPr>
        <w:pStyle w:val="JudgmentNumbered"/>
        <w:numPr>
          <w:ilvl w:val="0"/>
          <w:numId w:val="0"/>
        </w:numPr>
        <w:ind w:left="567" w:hanging="567"/>
      </w:pPr>
      <w:r>
        <w:rPr>
          <w:szCs w:val="24"/>
        </w:rPr>
        <w:t>[5</w:t>
      </w:r>
      <w:r w:rsidR="00A203E1">
        <w:rPr>
          <w:szCs w:val="24"/>
        </w:rPr>
        <w:t>3</w:t>
      </w:r>
      <w:r>
        <w:rPr>
          <w:szCs w:val="24"/>
        </w:rPr>
        <w:t>]</w:t>
      </w:r>
      <w:r>
        <w:rPr>
          <w:szCs w:val="24"/>
        </w:rPr>
        <w:tab/>
      </w:r>
      <w:r w:rsidR="009502F5">
        <w:rPr>
          <w:szCs w:val="24"/>
        </w:rPr>
        <w:t xml:space="preserve">Consequently, </w:t>
      </w:r>
      <w:r w:rsidR="00BE4882">
        <w:rPr>
          <w:szCs w:val="24"/>
        </w:rPr>
        <w:t xml:space="preserve">both parties are equally to blame for the predicament they found themselves </w:t>
      </w:r>
      <w:r w:rsidR="007B6FE2">
        <w:rPr>
          <w:szCs w:val="24"/>
        </w:rPr>
        <w:t>in and</w:t>
      </w:r>
      <w:r w:rsidR="00634225">
        <w:rPr>
          <w:szCs w:val="24"/>
        </w:rPr>
        <w:t xml:space="preserve"> I therefore find that each party should pay their own costs. </w:t>
      </w:r>
      <w:r w:rsidR="007B6FE2">
        <w:rPr>
          <w:szCs w:val="24"/>
        </w:rPr>
        <w:t xml:space="preserve"> </w:t>
      </w:r>
      <w:r w:rsidR="006C2A83">
        <w:rPr>
          <w:szCs w:val="24"/>
        </w:rPr>
        <w:t xml:space="preserve"> </w:t>
      </w:r>
    </w:p>
    <w:p w14:paraId="77FD1607" w14:textId="22510947" w:rsidR="00CB5A2A" w:rsidRPr="00187B2D" w:rsidRDefault="00CB5A2A" w:rsidP="00CB5A2A">
      <w:pPr>
        <w:spacing w:after="0" w:line="360" w:lineRule="auto"/>
        <w:ind w:left="720" w:hanging="720"/>
        <w:jc w:val="both"/>
        <w:rPr>
          <w:rFonts w:ascii="Arial" w:hAnsi="Arial" w:cs="Arial"/>
          <w:i/>
          <w:iCs/>
          <w:sz w:val="24"/>
          <w:szCs w:val="24"/>
        </w:rPr>
      </w:pPr>
      <w:r w:rsidRPr="00187B2D">
        <w:rPr>
          <w:rFonts w:ascii="Arial" w:hAnsi="Arial" w:cs="Arial"/>
          <w:i/>
          <w:iCs/>
          <w:sz w:val="24"/>
          <w:szCs w:val="24"/>
        </w:rPr>
        <w:t>Order</w:t>
      </w:r>
    </w:p>
    <w:p w14:paraId="6A7A4AFB" w14:textId="77777777" w:rsidR="00EA50A8" w:rsidRDefault="00EA50A8" w:rsidP="00EA50A8">
      <w:pPr>
        <w:spacing w:after="0" w:line="360" w:lineRule="auto"/>
        <w:jc w:val="both"/>
        <w:rPr>
          <w:rFonts w:ascii="Arial" w:hAnsi="Arial" w:cs="Arial"/>
          <w:sz w:val="24"/>
          <w:szCs w:val="24"/>
        </w:rPr>
      </w:pPr>
    </w:p>
    <w:p w14:paraId="4343026E" w14:textId="6BF9177A" w:rsidR="00CB5A2A" w:rsidRPr="00EA50A8" w:rsidRDefault="001D21CB" w:rsidP="00F3515C">
      <w:pPr>
        <w:spacing w:after="0" w:line="360" w:lineRule="auto"/>
        <w:ind w:left="567" w:hanging="567"/>
        <w:jc w:val="both"/>
        <w:rPr>
          <w:rFonts w:ascii="Arial" w:hAnsi="Arial" w:cs="Arial"/>
          <w:sz w:val="24"/>
          <w:szCs w:val="24"/>
        </w:rPr>
      </w:pPr>
      <w:r>
        <w:rPr>
          <w:rFonts w:ascii="Arial" w:hAnsi="Arial" w:cs="Arial"/>
          <w:sz w:val="24"/>
          <w:szCs w:val="24"/>
        </w:rPr>
        <w:t>[</w:t>
      </w:r>
      <w:r w:rsidR="00A058F4">
        <w:rPr>
          <w:rFonts w:ascii="Arial" w:hAnsi="Arial" w:cs="Arial"/>
          <w:sz w:val="24"/>
          <w:szCs w:val="24"/>
        </w:rPr>
        <w:t>5</w:t>
      </w:r>
      <w:r w:rsidR="00A203E1">
        <w:rPr>
          <w:rFonts w:ascii="Arial" w:hAnsi="Arial" w:cs="Arial"/>
          <w:sz w:val="24"/>
          <w:szCs w:val="24"/>
        </w:rPr>
        <w:t>4</w:t>
      </w:r>
      <w:r>
        <w:rPr>
          <w:rFonts w:ascii="Arial" w:hAnsi="Arial" w:cs="Arial"/>
          <w:sz w:val="24"/>
          <w:szCs w:val="24"/>
        </w:rPr>
        <w:t>]</w:t>
      </w:r>
      <w:r>
        <w:rPr>
          <w:rFonts w:ascii="Arial" w:hAnsi="Arial" w:cs="Arial"/>
          <w:sz w:val="24"/>
          <w:szCs w:val="24"/>
        </w:rPr>
        <w:tab/>
      </w:r>
      <w:r w:rsidR="00CB5A2A" w:rsidRPr="00EA50A8">
        <w:rPr>
          <w:rFonts w:ascii="Arial" w:hAnsi="Arial" w:cs="Arial"/>
          <w:sz w:val="24"/>
          <w:szCs w:val="24"/>
        </w:rPr>
        <w:t>As a result, I make the following order:</w:t>
      </w:r>
    </w:p>
    <w:p w14:paraId="6700812C" w14:textId="77777777" w:rsidR="001D21CB" w:rsidRDefault="001D21CB" w:rsidP="001D21CB">
      <w:pPr>
        <w:pStyle w:val="ListParagraph"/>
        <w:spacing w:after="0" w:line="360" w:lineRule="auto"/>
        <w:ind w:left="1080"/>
        <w:jc w:val="both"/>
        <w:rPr>
          <w:rFonts w:ascii="Arial" w:hAnsi="Arial" w:cs="Arial"/>
          <w:sz w:val="24"/>
          <w:szCs w:val="24"/>
        </w:rPr>
      </w:pPr>
    </w:p>
    <w:p w14:paraId="44888FCB" w14:textId="4B53C02E" w:rsidR="005D687F" w:rsidRDefault="00EA50A8" w:rsidP="00F3515C">
      <w:pPr>
        <w:pStyle w:val="ListParagraph"/>
        <w:numPr>
          <w:ilvl w:val="0"/>
          <w:numId w:val="12"/>
        </w:numPr>
        <w:spacing w:after="0" w:line="360" w:lineRule="auto"/>
        <w:ind w:left="851" w:hanging="284"/>
        <w:jc w:val="both"/>
        <w:rPr>
          <w:rFonts w:ascii="Arial" w:hAnsi="Arial" w:cs="Arial"/>
          <w:sz w:val="24"/>
          <w:szCs w:val="24"/>
        </w:rPr>
      </w:pPr>
      <w:r w:rsidRPr="001D21CB">
        <w:rPr>
          <w:rFonts w:ascii="Arial" w:hAnsi="Arial" w:cs="Arial"/>
          <w:sz w:val="24"/>
          <w:szCs w:val="24"/>
        </w:rPr>
        <w:t>Default judgment is refused</w:t>
      </w:r>
      <w:r w:rsidR="005D687F" w:rsidRPr="001D21CB">
        <w:rPr>
          <w:rFonts w:ascii="Arial" w:hAnsi="Arial" w:cs="Arial"/>
          <w:sz w:val="24"/>
          <w:szCs w:val="24"/>
        </w:rPr>
        <w:t>.</w:t>
      </w:r>
    </w:p>
    <w:p w14:paraId="3E715780" w14:textId="77777777" w:rsidR="00D54A0E" w:rsidRDefault="00D54A0E" w:rsidP="00D54A0E">
      <w:pPr>
        <w:pStyle w:val="ListParagraph"/>
        <w:spacing w:after="0" w:line="360" w:lineRule="auto"/>
        <w:ind w:left="1080"/>
        <w:jc w:val="both"/>
        <w:rPr>
          <w:rFonts w:ascii="Arial" w:hAnsi="Arial" w:cs="Arial"/>
          <w:sz w:val="24"/>
          <w:szCs w:val="24"/>
        </w:rPr>
      </w:pPr>
    </w:p>
    <w:p w14:paraId="5663B4A4" w14:textId="4E068D6B" w:rsidR="00D54A0E" w:rsidRPr="001D21CB" w:rsidRDefault="00D54A0E" w:rsidP="00F3515C">
      <w:pPr>
        <w:pStyle w:val="ListParagraph"/>
        <w:numPr>
          <w:ilvl w:val="0"/>
          <w:numId w:val="12"/>
        </w:numPr>
        <w:spacing w:after="0" w:line="360" w:lineRule="auto"/>
        <w:ind w:left="851" w:hanging="284"/>
        <w:jc w:val="both"/>
        <w:rPr>
          <w:rFonts w:ascii="Arial" w:hAnsi="Arial" w:cs="Arial"/>
          <w:sz w:val="24"/>
          <w:szCs w:val="24"/>
        </w:rPr>
      </w:pPr>
      <w:r>
        <w:rPr>
          <w:rFonts w:ascii="Arial" w:hAnsi="Arial" w:cs="Arial"/>
          <w:sz w:val="24"/>
          <w:szCs w:val="24"/>
        </w:rPr>
        <w:t xml:space="preserve">The application for an interim payment in the amount of </w:t>
      </w:r>
      <w:r w:rsidR="00D52173">
        <w:rPr>
          <w:rFonts w:ascii="Arial" w:hAnsi="Arial" w:cs="Arial"/>
          <w:sz w:val="24"/>
          <w:szCs w:val="24"/>
        </w:rPr>
        <w:t>R</w:t>
      </w:r>
      <w:r w:rsidR="000732D4">
        <w:rPr>
          <w:rFonts w:ascii="Arial" w:hAnsi="Arial" w:cs="Arial"/>
          <w:sz w:val="24"/>
          <w:szCs w:val="24"/>
        </w:rPr>
        <w:t xml:space="preserve"> </w:t>
      </w:r>
      <w:r w:rsidR="00726D2C">
        <w:rPr>
          <w:rFonts w:ascii="Arial" w:hAnsi="Arial" w:cs="Arial"/>
          <w:sz w:val="24"/>
          <w:szCs w:val="24"/>
        </w:rPr>
        <w:t>498</w:t>
      </w:r>
      <w:r w:rsidR="000732D4">
        <w:rPr>
          <w:rFonts w:ascii="Arial" w:hAnsi="Arial" w:cs="Arial"/>
          <w:sz w:val="24"/>
          <w:szCs w:val="24"/>
        </w:rPr>
        <w:t> </w:t>
      </w:r>
      <w:r w:rsidR="00726D2C">
        <w:rPr>
          <w:rFonts w:ascii="Arial" w:hAnsi="Arial" w:cs="Arial"/>
          <w:sz w:val="24"/>
          <w:szCs w:val="24"/>
        </w:rPr>
        <w:t>166</w:t>
      </w:r>
      <w:r w:rsidR="000732D4">
        <w:rPr>
          <w:rFonts w:ascii="Arial" w:hAnsi="Arial" w:cs="Arial"/>
          <w:sz w:val="24"/>
          <w:szCs w:val="24"/>
        </w:rPr>
        <w:t>.00</w:t>
      </w:r>
      <w:r w:rsidR="00726D2C">
        <w:rPr>
          <w:rFonts w:ascii="Arial" w:hAnsi="Arial" w:cs="Arial"/>
          <w:sz w:val="24"/>
          <w:szCs w:val="24"/>
        </w:rPr>
        <w:t xml:space="preserve"> </w:t>
      </w:r>
      <w:r>
        <w:rPr>
          <w:rFonts w:ascii="Arial" w:hAnsi="Arial" w:cs="Arial"/>
          <w:sz w:val="24"/>
          <w:szCs w:val="24"/>
        </w:rPr>
        <w:t>is refused.</w:t>
      </w:r>
    </w:p>
    <w:p w14:paraId="5FF05242" w14:textId="77777777" w:rsidR="009502F5" w:rsidRDefault="009502F5" w:rsidP="009502F5">
      <w:pPr>
        <w:pStyle w:val="ListParagraph"/>
        <w:spacing w:after="0" w:line="360" w:lineRule="auto"/>
        <w:ind w:left="1134"/>
        <w:jc w:val="both"/>
        <w:rPr>
          <w:rFonts w:ascii="Arial" w:hAnsi="Arial" w:cs="Arial"/>
          <w:sz w:val="24"/>
          <w:szCs w:val="24"/>
        </w:rPr>
      </w:pPr>
    </w:p>
    <w:p w14:paraId="7CC10169" w14:textId="20F1A806" w:rsidR="00863341" w:rsidRPr="001D21CB" w:rsidRDefault="005D687F" w:rsidP="00F3515C">
      <w:pPr>
        <w:pStyle w:val="ListParagraph"/>
        <w:numPr>
          <w:ilvl w:val="0"/>
          <w:numId w:val="12"/>
        </w:numPr>
        <w:spacing w:after="0" w:line="360" w:lineRule="auto"/>
        <w:ind w:left="851" w:hanging="284"/>
        <w:jc w:val="both"/>
        <w:rPr>
          <w:rFonts w:ascii="Arial" w:hAnsi="Arial" w:cs="Arial"/>
          <w:b/>
          <w:bCs/>
          <w:sz w:val="24"/>
          <w:szCs w:val="24"/>
        </w:rPr>
      </w:pPr>
      <w:r w:rsidRPr="001D21CB">
        <w:rPr>
          <w:rFonts w:ascii="Arial" w:hAnsi="Arial" w:cs="Arial"/>
          <w:sz w:val="24"/>
          <w:szCs w:val="24"/>
        </w:rPr>
        <w:t>Each party to pay their own costs</w:t>
      </w:r>
      <w:r w:rsidR="00863341" w:rsidRPr="001D21CB">
        <w:rPr>
          <w:rFonts w:ascii="Arial" w:hAnsi="Arial" w:cs="Arial"/>
          <w:sz w:val="24"/>
          <w:szCs w:val="24"/>
        </w:rPr>
        <w:t>.</w:t>
      </w:r>
    </w:p>
    <w:p w14:paraId="2358FCFF" w14:textId="6C7020D1" w:rsidR="00CB5A2A" w:rsidRPr="00591FD0" w:rsidRDefault="00CB5A2A" w:rsidP="00863341">
      <w:pPr>
        <w:pStyle w:val="ListParagraph"/>
        <w:spacing w:after="0" w:line="360" w:lineRule="auto"/>
        <w:ind w:left="1134"/>
        <w:rPr>
          <w:rFonts w:ascii="Arial" w:hAnsi="Arial" w:cs="Arial"/>
          <w:b/>
          <w:bCs/>
          <w:sz w:val="24"/>
          <w:szCs w:val="24"/>
        </w:rPr>
      </w:pPr>
    </w:p>
    <w:p w14:paraId="2A3190CD" w14:textId="77777777" w:rsidR="00CB5A2A" w:rsidRPr="00591FD0" w:rsidRDefault="00CB5A2A" w:rsidP="00CB5A2A">
      <w:pPr>
        <w:spacing w:after="0" w:line="360" w:lineRule="auto"/>
        <w:jc w:val="right"/>
        <w:rPr>
          <w:rFonts w:ascii="Arial" w:hAnsi="Arial" w:cs="Arial"/>
          <w:b/>
          <w:bCs/>
          <w:sz w:val="24"/>
          <w:szCs w:val="24"/>
        </w:rPr>
      </w:pPr>
      <w:r w:rsidRPr="00591FD0">
        <w:rPr>
          <w:rFonts w:ascii="Arial" w:hAnsi="Arial" w:cs="Arial"/>
          <w:b/>
          <w:bCs/>
          <w:sz w:val="24"/>
          <w:szCs w:val="24"/>
        </w:rPr>
        <w:t>_________________________</w:t>
      </w:r>
    </w:p>
    <w:p w14:paraId="4A8CD37A" w14:textId="77777777" w:rsidR="00CB5A2A" w:rsidRPr="00591FD0" w:rsidRDefault="00CB5A2A" w:rsidP="00CB5A2A">
      <w:pPr>
        <w:spacing w:after="0" w:line="360" w:lineRule="auto"/>
        <w:jc w:val="right"/>
        <w:rPr>
          <w:rFonts w:ascii="Arial" w:hAnsi="Arial" w:cs="Arial"/>
          <w:b/>
          <w:bCs/>
          <w:sz w:val="24"/>
          <w:szCs w:val="24"/>
        </w:rPr>
      </w:pPr>
      <w:r w:rsidRPr="00591FD0">
        <w:rPr>
          <w:rFonts w:ascii="Arial" w:hAnsi="Arial" w:cs="Arial"/>
          <w:b/>
          <w:bCs/>
          <w:sz w:val="24"/>
          <w:szCs w:val="24"/>
        </w:rPr>
        <w:t>FF OPPERMAN</w:t>
      </w:r>
    </w:p>
    <w:p w14:paraId="1799C258" w14:textId="77777777" w:rsidR="00CB5A2A" w:rsidRPr="00591FD0" w:rsidRDefault="00CB5A2A" w:rsidP="00CB5A2A">
      <w:pPr>
        <w:spacing w:after="0" w:line="360" w:lineRule="auto"/>
        <w:jc w:val="right"/>
        <w:rPr>
          <w:rFonts w:ascii="Arial" w:hAnsi="Arial" w:cs="Arial"/>
          <w:b/>
          <w:bCs/>
          <w:sz w:val="24"/>
          <w:szCs w:val="24"/>
        </w:rPr>
      </w:pPr>
      <w:r w:rsidRPr="00591FD0">
        <w:rPr>
          <w:rFonts w:ascii="Arial" w:hAnsi="Arial" w:cs="Arial"/>
          <w:b/>
          <w:bCs/>
          <w:sz w:val="24"/>
          <w:szCs w:val="24"/>
        </w:rPr>
        <w:t>ACTING JUDGE OF THE HIGH COURT</w:t>
      </w:r>
    </w:p>
    <w:p w14:paraId="00C16757" w14:textId="77777777" w:rsidR="00CB5A2A" w:rsidRPr="00591FD0" w:rsidRDefault="00CB5A2A" w:rsidP="00CB5A2A">
      <w:pPr>
        <w:spacing w:after="0" w:line="360" w:lineRule="auto"/>
        <w:jc w:val="right"/>
        <w:rPr>
          <w:rFonts w:ascii="Arial" w:hAnsi="Arial" w:cs="Arial"/>
          <w:b/>
          <w:bCs/>
          <w:sz w:val="24"/>
          <w:szCs w:val="24"/>
        </w:rPr>
      </w:pPr>
      <w:r w:rsidRPr="00591FD0">
        <w:rPr>
          <w:rFonts w:ascii="Arial" w:hAnsi="Arial" w:cs="Arial"/>
          <w:b/>
          <w:bCs/>
          <w:sz w:val="24"/>
          <w:szCs w:val="24"/>
        </w:rPr>
        <w:t>GAUTENG DIVISION OF THE HIGH COURT</w:t>
      </w:r>
    </w:p>
    <w:p w14:paraId="16A61F05" w14:textId="77777777" w:rsidR="00CB5A2A" w:rsidRPr="00591FD0" w:rsidRDefault="00CB5A2A" w:rsidP="00CB5A2A">
      <w:pPr>
        <w:spacing w:after="0" w:line="360" w:lineRule="auto"/>
        <w:jc w:val="right"/>
        <w:rPr>
          <w:rFonts w:ascii="Arial" w:hAnsi="Arial" w:cs="Arial"/>
          <w:b/>
          <w:bCs/>
          <w:sz w:val="24"/>
          <w:szCs w:val="24"/>
        </w:rPr>
      </w:pPr>
      <w:r w:rsidRPr="00591FD0">
        <w:rPr>
          <w:rFonts w:ascii="Arial" w:hAnsi="Arial" w:cs="Arial"/>
          <w:b/>
          <w:bCs/>
          <w:sz w:val="24"/>
          <w:szCs w:val="24"/>
        </w:rPr>
        <w:t>JOHANNESBURG</w:t>
      </w:r>
    </w:p>
    <w:p w14:paraId="7E00AEF2" w14:textId="77777777" w:rsidR="00CB5A2A" w:rsidRPr="00591FD0" w:rsidRDefault="00CB5A2A" w:rsidP="00CB5A2A">
      <w:pPr>
        <w:spacing w:after="0" w:line="360" w:lineRule="auto"/>
        <w:jc w:val="right"/>
        <w:rPr>
          <w:rFonts w:ascii="Arial" w:hAnsi="Arial" w:cs="Arial"/>
          <w:b/>
          <w:bCs/>
          <w:sz w:val="24"/>
          <w:szCs w:val="24"/>
        </w:rPr>
      </w:pPr>
    </w:p>
    <w:p w14:paraId="58FAD033" w14:textId="79CFE8BA" w:rsidR="00CB5A2A" w:rsidRPr="00591FD0" w:rsidRDefault="00CB5A2A" w:rsidP="00CB5A2A">
      <w:pPr>
        <w:pStyle w:val="NormalWeb"/>
        <w:shd w:val="clear" w:color="auto" w:fill="FFFFFF"/>
        <w:spacing w:before="144" w:beforeAutospacing="0" w:after="0" w:afterAutospacing="0" w:line="360" w:lineRule="auto"/>
        <w:ind w:left="4111" w:hanging="4111"/>
        <w:jc w:val="both"/>
        <w:rPr>
          <w:rFonts w:ascii="Arial" w:hAnsi="Arial" w:cs="Arial"/>
          <w:color w:val="242121"/>
        </w:rPr>
      </w:pPr>
      <w:r w:rsidRPr="00591FD0">
        <w:rPr>
          <w:rFonts w:ascii="Arial" w:hAnsi="Arial" w:cs="Arial"/>
          <w:color w:val="242121"/>
        </w:rPr>
        <w:t>Heard On:</w:t>
      </w:r>
      <w:r w:rsidRPr="00591FD0">
        <w:rPr>
          <w:rFonts w:ascii="Arial" w:hAnsi="Arial" w:cs="Arial"/>
          <w:color w:val="242121"/>
        </w:rPr>
        <w:tab/>
      </w:r>
      <w:r w:rsidRPr="00591FD0">
        <w:rPr>
          <w:rFonts w:ascii="Arial" w:hAnsi="Arial" w:cs="Arial"/>
          <w:color w:val="242121"/>
        </w:rPr>
        <w:tab/>
      </w:r>
      <w:r w:rsidR="00D54A66" w:rsidRPr="00591FD0">
        <w:rPr>
          <w:rFonts w:ascii="Arial" w:hAnsi="Arial" w:cs="Arial"/>
          <w:color w:val="242121"/>
        </w:rPr>
        <w:t>25 October</w:t>
      </w:r>
      <w:r w:rsidRPr="00591FD0">
        <w:rPr>
          <w:rFonts w:ascii="Arial" w:hAnsi="Arial" w:cs="Arial"/>
          <w:color w:val="242121"/>
        </w:rPr>
        <w:t xml:space="preserve"> 2023</w:t>
      </w:r>
    </w:p>
    <w:p w14:paraId="2912188F" w14:textId="7A042CDC" w:rsidR="00CB5A2A" w:rsidRPr="00591FD0" w:rsidRDefault="00CB5A2A" w:rsidP="00CB5A2A">
      <w:pPr>
        <w:pStyle w:val="NormalWeb"/>
        <w:shd w:val="clear" w:color="auto" w:fill="FFFFFF"/>
        <w:spacing w:before="144" w:beforeAutospacing="0" w:after="0" w:afterAutospacing="0" w:line="360" w:lineRule="auto"/>
        <w:ind w:left="4111" w:hanging="4111"/>
        <w:jc w:val="both"/>
        <w:rPr>
          <w:rFonts w:ascii="Arial" w:hAnsi="Arial" w:cs="Arial"/>
          <w:color w:val="242121"/>
        </w:rPr>
      </w:pPr>
      <w:r w:rsidRPr="00591FD0">
        <w:rPr>
          <w:rFonts w:ascii="Arial" w:hAnsi="Arial" w:cs="Arial"/>
          <w:color w:val="242121"/>
        </w:rPr>
        <w:t>Date of Judgment:</w:t>
      </w:r>
      <w:r w:rsidRPr="00591FD0">
        <w:rPr>
          <w:rFonts w:ascii="Arial" w:hAnsi="Arial" w:cs="Arial"/>
          <w:color w:val="242121"/>
        </w:rPr>
        <w:tab/>
      </w:r>
      <w:r w:rsidRPr="00591FD0">
        <w:rPr>
          <w:rFonts w:ascii="Arial" w:hAnsi="Arial" w:cs="Arial"/>
          <w:color w:val="242121"/>
        </w:rPr>
        <w:tab/>
      </w:r>
      <w:r w:rsidR="001560BA" w:rsidRPr="00591FD0">
        <w:rPr>
          <w:rFonts w:ascii="Arial" w:hAnsi="Arial" w:cs="Arial"/>
          <w:color w:val="242121"/>
        </w:rPr>
        <w:t>0</w:t>
      </w:r>
      <w:r w:rsidR="003A53A3" w:rsidRPr="00591FD0">
        <w:rPr>
          <w:rFonts w:ascii="Arial" w:hAnsi="Arial" w:cs="Arial"/>
          <w:color w:val="242121"/>
        </w:rPr>
        <w:t>3 November 2023</w:t>
      </w:r>
    </w:p>
    <w:p w14:paraId="59CD9E9E" w14:textId="77777777" w:rsidR="00640B77" w:rsidRDefault="00640B77" w:rsidP="00CB5A2A">
      <w:pPr>
        <w:pStyle w:val="NormalWeb"/>
        <w:shd w:val="clear" w:color="auto" w:fill="FFFFFF"/>
        <w:spacing w:before="144" w:line="360" w:lineRule="auto"/>
        <w:ind w:left="4320"/>
        <w:jc w:val="both"/>
        <w:rPr>
          <w:rFonts w:ascii="Arial" w:hAnsi="Arial" w:cs="Arial"/>
          <w:color w:val="242121"/>
          <w:lang w:val="en-GB"/>
        </w:rPr>
      </w:pPr>
    </w:p>
    <w:p w14:paraId="3EC58F03" w14:textId="459F18FB" w:rsidR="00CB5A2A" w:rsidRPr="00591FD0" w:rsidRDefault="00CB5A2A" w:rsidP="00CB5A2A">
      <w:pPr>
        <w:pStyle w:val="NormalWeb"/>
        <w:shd w:val="clear" w:color="auto" w:fill="FFFFFF"/>
        <w:spacing w:before="144" w:beforeAutospacing="0" w:after="0" w:afterAutospacing="0" w:line="360" w:lineRule="auto"/>
        <w:jc w:val="both"/>
        <w:rPr>
          <w:rFonts w:ascii="Arial" w:hAnsi="Arial" w:cs="Arial"/>
          <w:color w:val="242121"/>
        </w:rPr>
      </w:pPr>
      <w:r w:rsidRPr="00591FD0">
        <w:rPr>
          <w:rFonts w:ascii="Arial" w:hAnsi="Arial" w:cs="Arial"/>
          <w:color w:val="242121"/>
        </w:rPr>
        <w:lastRenderedPageBreak/>
        <w:t>For the Plaintiff:</w:t>
      </w:r>
      <w:r w:rsidRPr="00591FD0">
        <w:rPr>
          <w:rFonts w:ascii="Arial" w:hAnsi="Arial" w:cs="Arial"/>
          <w:color w:val="242121"/>
        </w:rPr>
        <w:tab/>
      </w:r>
      <w:r w:rsidRPr="00591FD0">
        <w:rPr>
          <w:rFonts w:ascii="Arial" w:hAnsi="Arial" w:cs="Arial"/>
          <w:color w:val="242121"/>
        </w:rPr>
        <w:tab/>
      </w:r>
      <w:r w:rsidRPr="00591FD0">
        <w:rPr>
          <w:rFonts w:ascii="Arial" w:hAnsi="Arial" w:cs="Arial"/>
          <w:color w:val="242121"/>
        </w:rPr>
        <w:tab/>
      </w:r>
      <w:r w:rsidRPr="00591FD0">
        <w:rPr>
          <w:rFonts w:ascii="Arial" w:hAnsi="Arial" w:cs="Arial"/>
          <w:color w:val="242121"/>
        </w:rPr>
        <w:tab/>
      </w:r>
      <w:r w:rsidR="00C47515" w:rsidRPr="00591FD0">
        <w:rPr>
          <w:rFonts w:ascii="Arial" w:hAnsi="Arial" w:cs="Arial"/>
          <w:color w:val="242121"/>
        </w:rPr>
        <w:t>Adv DJ</w:t>
      </w:r>
      <w:r w:rsidR="00842924" w:rsidRPr="00591FD0">
        <w:rPr>
          <w:rFonts w:ascii="Arial" w:hAnsi="Arial" w:cs="Arial"/>
          <w:color w:val="242121"/>
        </w:rPr>
        <w:t xml:space="preserve"> Smit</w:t>
      </w:r>
    </w:p>
    <w:p w14:paraId="10728E1E" w14:textId="34E55125" w:rsidR="00C47515" w:rsidRPr="00591FD0" w:rsidRDefault="00CB5A2A" w:rsidP="00C47515">
      <w:pPr>
        <w:pStyle w:val="NormalWeb"/>
        <w:shd w:val="clear" w:color="auto" w:fill="FFFFFF"/>
        <w:spacing w:before="144" w:beforeAutospacing="0" w:after="0" w:afterAutospacing="0" w:line="360" w:lineRule="auto"/>
        <w:jc w:val="both"/>
        <w:rPr>
          <w:rFonts w:ascii="Arial" w:hAnsi="Arial" w:cs="Arial"/>
          <w:color w:val="242121"/>
        </w:rPr>
      </w:pPr>
      <w:r w:rsidRPr="00591FD0">
        <w:rPr>
          <w:rFonts w:ascii="Arial" w:hAnsi="Arial" w:cs="Arial"/>
          <w:color w:val="242121"/>
        </w:rPr>
        <w:t>Instructed By:</w:t>
      </w:r>
      <w:r w:rsidRPr="00591FD0">
        <w:rPr>
          <w:rFonts w:ascii="Arial" w:hAnsi="Arial" w:cs="Arial"/>
          <w:color w:val="242121"/>
        </w:rPr>
        <w:tab/>
      </w:r>
      <w:r w:rsidRPr="00591FD0">
        <w:rPr>
          <w:rFonts w:ascii="Arial" w:hAnsi="Arial" w:cs="Arial"/>
          <w:color w:val="242121"/>
        </w:rPr>
        <w:tab/>
      </w:r>
      <w:r w:rsidRPr="00591FD0">
        <w:rPr>
          <w:rFonts w:ascii="Arial" w:hAnsi="Arial" w:cs="Arial"/>
          <w:color w:val="242121"/>
        </w:rPr>
        <w:tab/>
      </w:r>
      <w:r w:rsidRPr="00591FD0">
        <w:rPr>
          <w:rFonts w:ascii="Arial" w:hAnsi="Arial" w:cs="Arial"/>
          <w:color w:val="242121"/>
        </w:rPr>
        <w:tab/>
      </w:r>
      <w:r w:rsidR="00C47515" w:rsidRPr="00591FD0">
        <w:rPr>
          <w:rFonts w:ascii="Arial" w:hAnsi="Arial" w:cs="Arial"/>
          <w:color w:val="242121"/>
        </w:rPr>
        <w:t>Leon JJ van Rensburg Attorneys, Edenvale</w:t>
      </w:r>
    </w:p>
    <w:p w14:paraId="3C0C45A0" w14:textId="2E7CC72B" w:rsidR="00CB5A2A" w:rsidRPr="00591FD0" w:rsidRDefault="00CB5A2A" w:rsidP="00CB5A2A">
      <w:pPr>
        <w:pStyle w:val="NormalWeb"/>
        <w:shd w:val="clear" w:color="auto" w:fill="FFFFFF"/>
        <w:spacing w:before="144" w:beforeAutospacing="0" w:after="0" w:afterAutospacing="0" w:line="360" w:lineRule="auto"/>
        <w:jc w:val="both"/>
        <w:rPr>
          <w:rFonts w:ascii="Arial" w:hAnsi="Arial" w:cs="Arial"/>
          <w:color w:val="242121"/>
        </w:rPr>
      </w:pPr>
    </w:p>
    <w:p w14:paraId="1C1EE46F" w14:textId="067D3CB8" w:rsidR="00CB5A2A" w:rsidRPr="00591FD0" w:rsidRDefault="00CB5A2A" w:rsidP="00CB5A2A">
      <w:pPr>
        <w:pStyle w:val="NormalWeb"/>
        <w:shd w:val="clear" w:color="auto" w:fill="FFFFFF"/>
        <w:spacing w:before="144" w:beforeAutospacing="0" w:after="0" w:afterAutospacing="0" w:line="360" w:lineRule="auto"/>
        <w:jc w:val="both"/>
        <w:rPr>
          <w:rFonts w:ascii="Arial" w:hAnsi="Arial" w:cs="Arial"/>
          <w:color w:val="242121"/>
        </w:rPr>
      </w:pPr>
      <w:r w:rsidRPr="00591FD0">
        <w:rPr>
          <w:rFonts w:ascii="Arial" w:hAnsi="Arial" w:cs="Arial"/>
          <w:color w:val="242121"/>
        </w:rPr>
        <w:t>For the Defendant:</w:t>
      </w:r>
      <w:r w:rsidRPr="00591FD0">
        <w:rPr>
          <w:rFonts w:ascii="Arial" w:hAnsi="Arial" w:cs="Arial"/>
          <w:color w:val="242121"/>
        </w:rPr>
        <w:tab/>
      </w:r>
      <w:r w:rsidRPr="00591FD0">
        <w:rPr>
          <w:rFonts w:ascii="Arial" w:hAnsi="Arial" w:cs="Arial"/>
          <w:color w:val="242121"/>
        </w:rPr>
        <w:tab/>
      </w:r>
      <w:r w:rsidRPr="00591FD0">
        <w:rPr>
          <w:rFonts w:ascii="Arial" w:hAnsi="Arial" w:cs="Arial"/>
          <w:color w:val="242121"/>
        </w:rPr>
        <w:tab/>
      </w:r>
      <w:r w:rsidR="00083CAF" w:rsidRPr="00591FD0">
        <w:rPr>
          <w:rFonts w:ascii="Arial" w:hAnsi="Arial" w:cs="Arial"/>
          <w:color w:val="242121"/>
        </w:rPr>
        <w:tab/>
        <w:t xml:space="preserve">Mr </w:t>
      </w:r>
      <w:r w:rsidR="00C72C3D" w:rsidRPr="00591FD0">
        <w:rPr>
          <w:rFonts w:ascii="Arial" w:hAnsi="Arial" w:cs="Arial"/>
          <w:color w:val="242121"/>
        </w:rPr>
        <w:t xml:space="preserve">D </w:t>
      </w:r>
      <w:r w:rsidR="000A7D50" w:rsidRPr="00591FD0">
        <w:rPr>
          <w:rFonts w:ascii="Arial" w:hAnsi="Arial" w:cs="Arial"/>
          <w:color w:val="242121"/>
        </w:rPr>
        <w:t>Sondlani</w:t>
      </w:r>
    </w:p>
    <w:p w14:paraId="682E3AA8" w14:textId="6B2BE27C" w:rsidR="00CB5A2A" w:rsidRDefault="00CB5A2A" w:rsidP="00CB5A2A">
      <w:pPr>
        <w:pStyle w:val="NormalWeb"/>
        <w:shd w:val="clear" w:color="auto" w:fill="FFFFFF"/>
        <w:spacing w:before="144" w:beforeAutospacing="0" w:after="0" w:afterAutospacing="0" w:line="360" w:lineRule="auto"/>
        <w:jc w:val="both"/>
        <w:rPr>
          <w:rFonts w:ascii="Arial" w:hAnsi="Arial" w:cs="Arial"/>
          <w:color w:val="242121"/>
        </w:rPr>
      </w:pPr>
      <w:r w:rsidRPr="00591FD0">
        <w:rPr>
          <w:rFonts w:ascii="Arial" w:hAnsi="Arial" w:cs="Arial"/>
          <w:color w:val="242121"/>
        </w:rPr>
        <w:t>Instructed By:</w:t>
      </w:r>
      <w:r w:rsidRPr="00591FD0">
        <w:rPr>
          <w:rFonts w:ascii="Arial" w:hAnsi="Arial" w:cs="Arial"/>
          <w:color w:val="242121"/>
        </w:rPr>
        <w:tab/>
      </w:r>
      <w:r w:rsidRPr="00591FD0">
        <w:rPr>
          <w:rFonts w:ascii="Arial" w:hAnsi="Arial" w:cs="Arial"/>
          <w:color w:val="242121"/>
        </w:rPr>
        <w:tab/>
      </w:r>
      <w:r w:rsidRPr="00591FD0">
        <w:rPr>
          <w:rFonts w:ascii="Arial" w:hAnsi="Arial" w:cs="Arial"/>
          <w:color w:val="242121"/>
        </w:rPr>
        <w:tab/>
      </w:r>
      <w:r w:rsidRPr="00591FD0">
        <w:rPr>
          <w:rFonts w:ascii="Arial" w:hAnsi="Arial" w:cs="Arial"/>
          <w:color w:val="242121"/>
        </w:rPr>
        <w:tab/>
      </w:r>
      <w:r w:rsidR="000A7D50" w:rsidRPr="00591FD0">
        <w:rPr>
          <w:rFonts w:ascii="Arial" w:hAnsi="Arial" w:cs="Arial"/>
          <w:color w:val="242121"/>
        </w:rPr>
        <w:t>State Attorney</w:t>
      </w:r>
      <w:r w:rsidRPr="00591FD0">
        <w:rPr>
          <w:rFonts w:ascii="Arial" w:hAnsi="Arial" w:cs="Arial"/>
          <w:color w:val="242121"/>
        </w:rPr>
        <w:t xml:space="preserve">, </w:t>
      </w:r>
      <w:r w:rsidR="00C41863" w:rsidRPr="00591FD0">
        <w:rPr>
          <w:rFonts w:ascii="Arial" w:hAnsi="Arial" w:cs="Arial"/>
          <w:color w:val="242121"/>
        </w:rPr>
        <w:t>Johannesburg</w:t>
      </w:r>
    </w:p>
    <w:p w14:paraId="1E2DF256" w14:textId="77777777" w:rsidR="00640B77" w:rsidRDefault="00640B77" w:rsidP="00CB5A2A">
      <w:pPr>
        <w:pStyle w:val="NormalWeb"/>
        <w:shd w:val="clear" w:color="auto" w:fill="FFFFFF"/>
        <w:spacing w:before="144" w:beforeAutospacing="0" w:after="0" w:afterAutospacing="0" w:line="360" w:lineRule="auto"/>
        <w:jc w:val="both"/>
        <w:rPr>
          <w:rFonts w:ascii="Arial" w:hAnsi="Arial" w:cs="Arial"/>
          <w:color w:val="242121"/>
        </w:rPr>
      </w:pPr>
    </w:p>
    <w:p w14:paraId="7F3D36E4" w14:textId="77777777" w:rsidR="00640B77" w:rsidRPr="00591FD0" w:rsidRDefault="00640B77" w:rsidP="00640B77">
      <w:pPr>
        <w:pStyle w:val="NormalWeb"/>
        <w:shd w:val="clear" w:color="auto" w:fill="FFFFFF"/>
        <w:spacing w:before="144" w:line="360" w:lineRule="auto"/>
        <w:ind w:left="4320"/>
        <w:jc w:val="both"/>
        <w:rPr>
          <w:rFonts w:ascii="Arial" w:hAnsi="Arial" w:cs="Arial"/>
          <w:color w:val="242121"/>
          <w:lang w:val="en-GB"/>
        </w:rPr>
      </w:pPr>
      <w:r w:rsidRPr="00591FD0">
        <w:rPr>
          <w:rFonts w:ascii="Arial" w:hAnsi="Arial" w:cs="Arial"/>
          <w:color w:val="242121"/>
          <w:lang w:val="en-GB"/>
        </w:rPr>
        <w:t>This judgment was handed down electronically by circulation to the parties’ legal representatives by email. The date for hand-down is deemed to be 03 November 2023.</w:t>
      </w:r>
    </w:p>
    <w:p w14:paraId="475C2C70" w14:textId="77777777" w:rsidR="00640B77" w:rsidRPr="00591FD0" w:rsidRDefault="00640B77" w:rsidP="00CB5A2A">
      <w:pPr>
        <w:pStyle w:val="NormalWeb"/>
        <w:shd w:val="clear" w:color="auto" w:fill="FFFFFF"/>
        <w:spacing w:before="144" w:beforeAutospacing="0" w:after="0" w:afterAutospacing="0" w:line="360" w:lineRule="auto"/>
        <w:jc w:val="both"/>
        <w:rPr>
          <w:rFonts w:ascii="Arial" w:hAnsi="Arial" w:cs="Arial"/>
          <w:color w:val="242121"/>
        </w:rPr>
      </w:pPr>
    </w:p>
    <w:sectPr w:rsidR="00640B77" w:rsidRPr="00591FD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DD32" w14:textId="77777777" w:rsidR="00917CED" w:rsidRDefault="00917CED" w:rsidP="001D332A">
      <w:pPr>
        <w:spacing w:after="0" w:line="240" w:lineRule="auto"/>
      </w:pPr>
      <w:r>
        <w:separator/>
      </w:r>
    </w:p>
  </w:endnote>
  <w:endnote w:type="continuationSeparator" w:id="0">
    <w:p w14:paraId="4F374161" w14:textId="77777777" w:rsidR="00917CED" w:rsidRDefault="00917CED" w:rsidP="001D332A">
      <w:pPr>
        <w:spacing w:after="0" w:line="240" w:lineRule="auto"/>
      </w:pPr>
      <w:r>
        <w:continuationSeparator/>
      </w:r>
    </w:p>
  </w:endnote>
  <w:endnote w:type="continuationNotice" w:id="1">
    <w:p w14:paraId="023BE39F" w14:textId="77777777" w:rsidR="00917CED" w:rsidRDefault="00917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961641"/>
      <w:docPartObj>
        <w:docPartGallery w:val="Page Numbers (Bottom of Page)"/>
        <w:docPartUnique/>
      </w:docPartObj>
    </w:sdtPr>
    <w:sdtEndPr>
      <w:rPr>
        <w:noProof/>
      </w:rPr>
    </w:sdtEndPr>
    <w:sdtContent>
      <w:p w14:paraId="2966AC9A" w14:textId="1D74C2FD" w:rsidR="001D332A" w:rsidRDefault="001D332A">
        <w:pPr>
          <w:pStyle w:val="Footer"/>
          <w:jc w:val="center"/>
        </w:pPr>
        <w:r>
          <w:fldChar w:fldCharType="begin"/>
        </w:r>
        <w:r>
          <w:instrText xml:space="preserve"> PAGE   \* MERGEFORMAT </w:instrText>
        </w:r>
        <w:r>
          <w:fldChar w:fldCharType="separate"/>
        </w:r>
        <w:r w:rsidR="00806DFE">
          <w:rPr>
            <w:noProof/>
          </w:rPr>
          <w:t>18</w:t>
        </w:r>
        <w:r>
          <w:rPr>
            <w:noProof/>
          </w:rPr>
          <w:fldChar w:fldCharType="end"/>
        </w:r>
      </w:p>
    </w:sdtContent>
  </w:sdt>
  <w:p w14:paraId="36AADA33" w14:textId="77777777" w:rsidR="001D332A" w:rsidRDefault="001D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D2AB2" w14:textId="77777777" w:rsidR="00917CED" w:rsidRDefault="00917CED" w:rsidP="001D332A">
      <w:pPr>
        <w:spacing w:after="0" w:line="240" w:lineRule="auto"/>
      </w:pPr>
      <w:r>
        <w:separator/>
      </w:r>
    </w:p>
  </w:footnote>
  <w:footnote w:type="continuationSeparator" w:id="0">
    <w:p w14:paraId="724A4CFB" w14:textId="77777777" w:rsidR="00917CED" w:rsidRDefault="00917CED" w:rsidP="001D332A">
      <w:pPr>
        <w:spacing w:after="0" w:line="240" w:lineRule="auto"/>
      </w:pPr>
      <w:r>
        <w:continuationSeparator/>
      </w:r>
    </w:p>
  </w:footnote>
  <w:footnote w:type="continuationNotice" w:id="1">
    <w:p w14:paraId="4883B0A1" w14:textId="77777777" w:rsidR="00917CED" w:rsidRDefault="00917CED">
      <w:pPr>
        <w:spacing w:after="0" w:line="240" w:lineRule="auto"/>
      </w:pPr>
    </w:p>
  </w:footnote>
  <w:footnote w:id="2">
    <w:p w14:paraId="4BEEAF9B" w14:textId="38C43981" w:rsidR="004028DA" w:rsidRPr="00187B2D" w:rsidRDefault="004028DA"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2016 (5) SA 240 (GJ) at para188</w:t>
      </w:r>
      <w:r w:rsidR="00E10BEE">
        <w:rPr>
          <w:rFonts w:ascii="Arial" w:hAnsi="Arial" w:cs="Arial"/>
        </w:rPr>
        <w:t>.</w:t>
      </w:r>
    </w:p>
  </w:footnote>
  <w:footnote w:id="3">
    <w:p w14:paraId="53543FBF" w14:textId="5ADEDA09" w:rsidR="009C73F3" w:rsidRPr="00187B2D" w:rsidRDefault="009C73F3"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A</w:t>
      </w:r>
      <w:r w:rsidRPr="00187B2D">
        <w:rPr>
          <w:rFonts w:ascii="Arial" w:hAnsi="Arial" w:cs="Arial"/>
          <w:bCs/>
        </w:rPr>
        <w:t>t para 189</w:t>
      </w:r>
      <w:r w:rsidR="00F61268">
        <w:rPr>
          <w:rFonts w:ascii="Arial" w:hAnsi="Arial" w:cs="Arial"/>
          <w:bCs/>
        </w:rPr>
        <w:t>.</w:t>
      </w:r>
    </w:p>
  </w:footnote>
  <w:footnote w:id="4">
    <w:p w14:paraId="1CE660EC" w14:textId="4A581E1F" w:rsidR="00F437D9" w:rsidRPr="00187B2D" w:rsidRDefault="00F437D9"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1969 (3) SA 352 (A) at p355</w:t>
      </w:r>
      <w:r w:rsidR="004178F9">
        <w:rPr>
          <w:rFonts w:ascii="Arial" w:hAnsi="Arial" w:cs="Arial"/>
        </w:rPr>
        <w:t>.</w:t>
      </w:r>
    </w:p>
  </w:footnote>
  <w:footnote w:id="5">
    <w:p w14:paraId="75A4E20A" w14:textId="31887609" w:rsidR="00946358" w:rsidRPr="00187B2D" w:rsidRDefault="00946358"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2</w:t>
      </w:r>
      <w:r w:rsidR="007C191D" w:rsidRPr="00187B2D">
        <w:rPr>
          <w:rFonts w:ascii="Arial" w:hAnsi="Arial" w:cs="Arial"/>
        </w:rPr>
        <w:t>022 (5) SA 231 (GJ)</w:t>
      </w:r>
      <w:r w:rsidR="004178F9">
        <w:rPr>
          <w:rFonts w:ascii="Arial" w:hAnsi="Arial" w:cs="Arial"/>
        </w:rPr>
        <w:t>.</w:t>
      </w:r>
    </w:p>
  </w:footnote>
  <w:footnote w:id="6">
    <w:p w14:paraId="082F37D5" w14:textId="466A335F" w:rsidR="008A58E5" w:rsidRPr="00187B2D" w:rsidRDefault="008A58E5"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009F5939" w:rsidRPr="00187B2D">
        <w:rPr>
          <w:rFonts w:ascii="Arial" w:hAnsi="Arial" w:cs="Arial"/>
        </w:rPr>
        <w:t>2023</w:t>
      </w:r>
      <w:r w:rsidR="00407211" w:rsidRPr="00187B2D">
        <w:rPr>
          <w:rFonts w:ascii="Arial" w:hAnsi="Arial" w:cs="Arial"/>
        </w:rPr>
        <w:t xml:space="preserve"> (2) SA 551 (WCC)</w:t>
      </w:r>
      <w:r w:rsidR="00B568AC">
        <w:rPr>
          <w:rFonts w:ascii="Arial" w:hAnsi="Arial" w:cs="Arial"/>
        </w:rPr>
        <w:t>.</w:t>
      </w:r>
    </w:p>
  </w:footnote>
  <w:footnote w:id="7">
    <w:p w14:paraId="3FE0C4FA" w14:textId="325F72BF" w:rsidR="00C56CE7" w:rsidRPr="00187B2D" w:rsidRDefault="00C56CE7"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Olivier</w:t>
      </w:r>
      <w:r w:rsidRPr="00187B2D">
        <w:rPr>
          <w:rFonts w:ascii="Arial" w:hAnsi="Arial" w:cs="Arial"/>
        </w:rPr>
        <w:t xml:space="preserve"> at para 20</w:t>
      </w:r>
      <w:r w:rsidR="00B568AC">
        <w:rPr>
          <w:rFonts w:ascii="Arial" w:hAnsi="Arial" w:cs="Arial"/>
        </w:rPr>
        <w:t>.</w:t>
      </w:r>
    </w:p>
  </w:footnote>
  <w:footnote w:id="8">
    <w:p w14:paraId="079365A4" w14:textId="12C1DD4F" w:rsidR="00E74F11" w:rsidRPr="00187B2D" w:rsidRDefault="00E74F11"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i/>
          <w:iCs/>
        </w:rPr>
        <w:t xml:space="preserve"> Olivier</w:t>
      </w:r>
      <w:r w:rsidRPr="00187B2D">
        <w:rPr>
          <w:rFonts w:ascii="Arial" w:hAnsi="Arial" w:cs="Arial"/>
        </w:rPr>
        <w:t xml:space="preserve"> at par</w:t>
      </w:r>
      <w:r w:rsidR="002B3711" w:rsidRPr="002B3711">
        <w:rPr>
          <w:rFonts w:ascii="Arial" w:hAnsi="Arial" w:cs="Arial"/>
        </w:rPr>
        <w:t>a</w:t>
      </w:r>
      <w:r w:rsidRPr="00187B2D">
        <w:rPr>
          <w:rFonts w:ascii="Arial" w:hAnsi="Arial" w:cs="Arial"/>
        </w:rPr>
        <w:t xml:space="preserve"> 21</w:t>
      </w:r>
      <w:r w:rsidR="002B3711" w:rsidRPr="002B3711">
        <w:rPr>
          <w:rFonts w:ascii="Arial" w:hAnsi="Arial" w:cs="Arial"/>
        </w:rPr>
        <w:t>.</w:t>
      </w:r>
    </w:p>
  </w:footnote>
  <w:footnote w:id="9">
    <w:p w14:paraId="5B3DEB4C" w14:textId="3253E3F6" w:rsidR="001E2841" w:rsidRPr="00187B2D" w:rsidRDefault="001E2841"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000F1589" w:rsidRPr="00187B2D">
        <w:rPr>
          <w:rFonts w:ascii="Arial" w:hAnsi="Arial" w:cs="Arial"/>
          <w:kern w:val="0"/>
        </w:rPr>
        <w:t xml:space="preserve">2012 (4) SA 593 (SCA) </w:t>
      </w:r>
      <w:r w:rsidR="002B3711" w:rsidRPr="002B3711">
        <w:rPr>
          <w:rFonts w:ascii="Arial" w:hAnsi="Arial" w:cs="Arial"/>
          <w:kern w:val="0"/>
        </w:rPr>
        <w:t>at</w:t>
      </w:r>
      <w:r w:rsidR="000F1589" w:rsidRPr="00187B2D">
        <w:rPr>
          <w:rFonts w:ascii="Arial" w:hAnsi="Arial" w:cs="Arial"/>
          <w:kern w:val="0"/>
        </w:rPr>
        <w:t xml:space="preserve"> para 15</w:t>
      </w:r>
      <w:r w:rsidR="002B3711" w:rsidRPr="002B3711">
        <w:rPr>
          <w:rFonts w:ascii="Arial" w:hAnsi="Arial" w:cs="Arial"/>
          <w:kern w:val="0"/>
        </w:rPr>
        <w:t>.</w:t>
      </w:r>
    </w:p>
  </w:footnote>
  <w:footnote w:id="10">
    <w:p w14:paraId="341C2017" w14:textId="575D1A0D" w:rsidR="00637385" w:rsidRPr="00187B2D" w:rsidRDefault="00637385"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00AC0ADC" w:rsidRPr="00187B2D">
        <w:rPr>
          <w:rFonts w:ascii="Arial" w:hAnsi="Arial" w:cs="Arial"/>
          <w:kern w:val="0"/>
        </w:rPr>
        <w:t xml:space="preserve">2018 (1) SA 335 (CC) </w:t>
      </w:r>
      <w:r w:rsidR="002B3711" w:rsidRPr="002B3711">
        <w:rPr>
          <w:rFonts w:ascii="Arial" w:hAnsi="Arial" w:cs="Arial"/>
          <w:kern w:val="0"/>
        </w:rPr>
        <w:t xml:space="preserve">at </w:t>
      </w:r>
      <w:r w:rsidR="00AC0ADC" w:rsidRPr="00187B2D">
        <w:rPr>
          <w:rFonts w:ascii="Arial" w:hAnsi="Arial" w:cs="Arial"/>
          <w:kern w:val="0"/>
        </w:rPr>
        <w:t>para 27</w:t>
      </w:r>
      <w:r w:rsidR="002B3711" w:rsidRPr="002B3711">
        <w:rPr>
          <w:rFonts w:ascii="Arial" w:hAnsi="Arial" w:cs="Arial"/>
          <w:kern w:val="0"/>
        </w:rPr>
        <w:t>.</w:t>
      </w:r>
    </w:p>
  </w:footnote>
  <w:footnote w:id="11">
    <w:p w14:paraId="29BB2E88" w14:textId="3AEFEA89" w:rsidR="001F4ACC" w:rsidRPr="00187B2D" w:rsidRDefault="001F4ACC" w:rsidP="00187B2D">
      <w:pPr>
        <w:pStyle w:val="FootnoteText"/>
        <w:jc w:val="both"/>
        <w:rPr>
          <w:rFonts w:ascii="Arial" w:hAnsi="Arial" w:cs="Arial"/>
          <w:lang w:val="en-GB"/>
        </w:rPr>
      </w:pPr>
      <w:r w:rsidRPr="00187B2D">
        <w:rPr>
          <w:rStyle w:val="FootnoteReference"/>
          <w:rFonts w:ascii="Arial" w:hAnsi="Arial" w:cs="Arial"/>
        </w:rPr>
        <w:footnoteRef/>
      </w:r>
      <w:r w:rsidRPr="00187B2D">
        <w:rPr>
          <w:rFonts w:ascii="Arial" w:hAnsi="Arial" w:cs="Arial"/>
        </w:rPr>
        <w:t xml:space="preserve"> [2023] ZAGPJHC 221 (24 February 2023).</w:t>
      </w:r>
    </w:p>
  </w:footnote>
  <w:footnote w:id="12">
    <w:p w14:paraId="7C2A2BFC" w14:textId="7E7A113D" w:rsidR="001F4ACC" w:rsidRPr="00187B2D" w:rsidRDefault="001F4ACC" w:rsidP="00187B2D">
      <w:pPr>
        <w:pStyle w:val="FootnoteText"/>
        <w:jc w:val="both"/>
        <w:rPr>
          <w:rFonts w:ascii="Arial" w:hAnsi="Arial" w:cs="Arial"/>
          <w:lang w:val="en-GB"/>
        </w:rPr>
      </w:pPr>
      <w:r w:rsidRPr="00187B2D">
        <w:rPr>
          <w:rStyle w:val="FootnoteReference"/>
          <w:rFonts w:ascii="Arial" w:hAnsi="Arial" w:cs="Arial"/>
        </w:rPr>
        <w:footnoteRef/>
      </w:r>
      <w:r w:rsidRPr="00187B2D">
        <w:rPr>
          <w:rFonts w:ascii="Arial" w:hAnsi="Arial" w:cs="Arial"/>
        </w:rPr>
        <w:t xml:space="preserve"> 1991 (3) SA 489 (O).</w:t>
      </w:r>
    </w:p>
  </w:footnote>
  <w:footnote w:id="13">
    <w:p w14:paraId="3C0CD851"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Act 107 of 1985.</w:t>
      </w:r>
    </w:p>
  </w:footnote>
  <w:footnote w:id="14">
    <w:p w14:paraId="53D36D52"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i/>
          <w:iCs/>
        </w:rPr>
        <w:t xml:space="preserve"> Karpakis v Mutual &amp; Federal Insurance Co Ltd</w:t>
      </w:r>
      <w:r w:rsidRPr="00187B2D">
        <w:rPr>
          <w:rFonts w:ascii="Arial" w:hAnsi="Arial" w:cs="Arial"/>
        </w:rPr>
        <w:t xml:space="preserve"> 1991 (3) SA 489 (O) at 495–499; </w:t>
      </w:r>
      <w:r w:rsidRPr="00187B2D">
        <w:rPr>
          <w:rFonts w:ascii="Arial" w:hAnsi="Arial" w:cs="Arial"/>
          <w:i/>
          <w:iCs/>
        </w:rPr>
        <w:t>Fair v SA Eagle Insurance Co Ltd</w:t>
      </w:r>
      <w:r w:rsidRPr="00187B2D">
        <w:rPr>
          <w:rFonts w:ascii="Arial" w:hAnsi="Arial" w:cs="Arial"/>
        </w:rPr>
        <w:t xml:space="preserve"> 1995 (4) SA 96 (E) at 99–100. </w:t>
      </w:r>
    </w:p>
  </w:footnote>
  <w:footnote w:id="15">
    <w:p w14:paraId="7115D115"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Rule 34A(1); </w:t>
      </w:r>
      <w:r w:rsidRPr="00187B2D">
        <w:rPr>
          <w:rFonts w:ascii="Arial" w:hAnsi="Arial" w:cs="Arial"/>
          <w:i/>
          <w:iCs/>
        </w:rPr>
        <w:t>Muller v Mutual &amp; Federal Insurance Co Ltd</w:t>
      </w:r>
      <w:r w:rsidRPr="00187B2D">
        <w:rPr>
          <w:rFonts w:ascii="Arial" w:hAnsi="Arial" w:cs="Arial"/>
        </w:rPr>
        <w:t xml:space="preserve"> 1994 (2) SA 425 (C) at 448I–449B; </w:t>
      </w:r>
      <w:r w:rsidRPr="00187B2D">
        <w:rPr>
          <w:rFonts w:ascii="Arial" w:hAnsi="Arial" w:cs="Arial"/>
          <w:i/>
          <w:iCs/>
        </w:rPr>
        <w:t>Nel v Federated Versekeringsmaatskappy Bpk</w:t>
      </w:r>
      <w:r w:rsidRPr="00187B2D">
        <w:rPr>
          <w:rFonts w:ascii="Arial" w:hAnsi="Arial" w:cs="Arial"/>
        </w:rPr>
        <w:t xml:space="preserve"> 1991 (2) SA 422.</w:t>
      </w:r>
    </w:p>
  </w:footnote>
  <w:footnote w:id="16">
    <w:p w14:paraId="6D02FADA"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Karpakis v Mutual &amp; Federal Insurance Co Ltd</w:t>
      </w:r>
      <w:r w:rsidRPr="00187B2D">
        <w:rPr>
          <w:rFonts w:ascii="Arial" w:hAnsi="Arial" w:cs="Arial"/>
        </w:rPr>
        <w:t xml:space="preserve"> 1991 (3) SA 489 (O) at 499C–D.</w:t>
      </w:r>
    </w:p>
  </w:footnote>
  <w:footnote w:id="17">
    <w:p w14:paraId="265E7083"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i/>
          <w:iCs/>
        </w:rPr>
        <w:t xml:space="preserve"> Nel v Federated Versekeringsmaatskappy </w:t>
      </w:r>
      <w:r w:rsidRPr="00187B2D">
        <w:rPr>
          <w:rFonts w:ascii="Arial" w:hAnsi="Arial" w:cs="Arial"/>
        </w:rPr>
        <w:t xml:space="preserve">Bpk 1991 (2) SA 422 (T) at 426H–427B.  </w:t>
      </w:r>
    </w:p>
  </w:footnote>
  <w:footnote w:id="18">
    <w:p w14:paraId="100F1A0C"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Id</w:t>
      </w:r>
      <w:r w:rsidRPr="00187B2D">
        <w:rPr>
          <w:rFonts w:ascii="Arial" w:hAnsi="Arial" w:cs="Arial"/>
        </w:rPr>
        <w:t xml:space="preserve"> at 428B–430A.</w:t>
      </w:r>
    </w:p>
  </w:footnote>
  <w:footnote w:id="19">
    <w:p w14:paraId="2E670AA3"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Karpakis v Mutual &amp; Federal Insurance Co Ltd</w:t>
      </w:r>
      <w:r w:rsidRPr="00187B2D">
        <w:rPr>
          <w:rFonts w:ascii="Arial" w:hAnsi="Arial" w:cs="Arial"/>
        </w:rPr>
        <w:t xml:space="preserve"> 1991 (3) SA 489 (O) at 495J–496I.</w:t>
      </w:r>
    </w:p>
  </w:footnote>
  <w:footnote w:id="20">
    <w:p w14:paraId="420FE59B"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i/>
          <w:iCs/>
        </w:rPr>
        <w:t xml:space="preserve"> Id</w:t>
      </w:r>
      <w:r w:rsidRPr="00187B2D">
        <w:rPr>
          <w:rFonts w:ascii="Arial" w:hAnsi="Arial" w:cs="Arial"/>
        </w:rPr>
        <w:t xml:space="preserve"> at 496J–497B, 497F–H.</w:t>
      </w:r>
    </w:p>
  </w:footnote>
  <w:footnote w:id="21">
    <w:p w14:paraId="29C75405" w14:textId="7073880F" w:rsidR="005E2C2A" w:rsidRPr="00187B2D" w:rsidRDefault="005E2C2A" w:rsidP="00187B2D">
      <w:pPr>
        <w:pStyle w:val="FootnoteText"/>
        <w:jc w:val="both"/>
        <w:rPr>
          <w:rFonts w:ascii="Arial" w:hAnsi="Arial" w:cs="Arial"/>
          <w:lang w:val="en-GB"/>
        </w:rPr>
      </w:pPr>
      <w:r w:rsidRPr="00187B2D">
        <w:rPr>
          <w:rStyle w:val="FootnoteReference"/>
          <w:rFonts w:ascii="Arial" w:hAnsi="Arial" w:cs="Arial"/>
        </w:rPr>
        <w:footnoteRef/>
      </w:r>
      <w:r w:rsidRPr="00187B2D">
        <w:rPr>
          <w:rFonts w:ascii="Arial" w:hAnsi="Arial" w:cs="Arial"/>
        </w:rPr>
        <w:t xml:space="preserve"> </w:t>
      </w:r>
      <w:r w:rsidR="00D86A1A" w:rsidRPr="00187B2D">
        <w:rPr>
          <w:rFonts w:ascii="Arial" w:hAnsi="Arial" w:cs="Arial"/>
        </w:rPr>
        <w:t>At pages 496</w:t>
      </w:r>
      <w:r w:rsidR="00D86A1A" w:rsidRPr="00187B2D">
        <w:rPr>
          <w:rFonts w:ascii="Arial" w:hAnsi="Arial" w:cs="Arial"/>
        </w:rPr>
        <w:noBreakHyphen/>
        <w:t>497</w:t>
      </w:r>
    </w:p>
  </w:footnote>
  <w:footnote w:id="22">
    <w:p w14:paraId="6444E6FB" w14:textId="76205A63" w:rsidR="00D02A6B" w:rsidRPr="00187B2D" w:rsidRDefault="00D02A6B" w:rsidP="00187B2D">
      <w:pPr>
        <w:pStyle w:val="FootnoteText"/>
        <w:jc w:val="both"/>
        <w:rPr>
          <w:rFonts w:ascii="Arial" w:hAnsi="Arial" w:cs="Arial"/>
        </w:rPr>
      </w:pPr>
      <w:r w:rsidRPr="00187B2D">
        <w:rPr>
          <w:rStyle w:val="FootnoteReference"/>
          <w:rFonts w:ascii="Arial" w:hAnsi="Arial" w:cs="Arial"/>
        </w:rPr>
        <w:footnoteRef/>
      </w:r>
      <w:r w:rsidR="00567247" w:rsidRPr="00A203E1">
        <w:rPr>
          <w:rFonts w:ascii="Arial" w:hAnsi="Arial" w:cs="Arial"/>
        </w:rPr>
        <w:t xml:space="preserve"> [2010] ZAGPPHC 11 (24 February 2010).</w:t>
      </w:r>
    </w:p>
  </w:footnote>
  <w:footnote w:id="23">
    <w:p w14:paraId="76E855B4"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Nel v Federated Versekeringsmaatskappy Bpk</w:t>
      </w:r>
      <w:r w:rsidRPr="00187B2D">
        <w:rPr>
          <w:rFonts w:ascii="Arial" w:hAnsi="Arial" w:cs="Arial"/>
        </w:rPr>
        <w:t xml:space="preserve"> 1991 (2) SA 422 (T) at 427.</w:t>
      </w:r>
    </w:p>
  </w:footnote>
  <w:footnote w:id="24">
    <w:p w14:paraId="4A2CD7E5"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[2023] ZAGPJHC 112 (11 February 2023).</w:t>
      </w:r>
    </w:p>
  </w:footnote>
  <w:footnote w:id="25">
    <w:p w14:paraId="35634F9F"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In paragraph 8 of the judgment,</w:t>
      </w:r>
      <w:r w:rsidRPr="00187B2D">
        <w:rPr>
          <w:rFonts w:ascii="Arial" w:hAnsi="Arial" w:cs="Arial"/>
          <w:sz w:val="24"/>
          <w:szCs w:val="22"/>
        </w:rPr>
        <w:t xml:space="preserve"> </w:t>
      </w:r>
      <w:r w:rsidRPr="00187B2D">
        <w:rPr>
          <w:rFonts w:ascii="Arial" w:hAnsi="Arial" w:cs="Arial"/>
        </w:rPr>
        <w:t>Moultrie AJ explains that the court was assured by both counsel that it is widely considered by practitioners – and indeed the Fund itself – that the documents in question were ‘standard forms’ and constituted sufficient written admission of liability on the part of the Fund for the purposes of Rule 34A.</w:t>
      </w:r>
    </w:p>
  </w:footnote>
  <w:footnote w:id="26">
    <w:p w14:paraId="3DF26206"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The offer relied upon in the </w:t>
      </w:r>
      <w:r w:rsidRPr="00187B2D">
        <w:rPr>
          <w:rFonts w:ascii="Arial" w:hAnsi="Arial" w:cs="Arial"/>
          <w:i/>
          <w:iCs/>
        </w:rPr>
        <w:t xml:space="preserve">Harripershad v RAF </w:t>
      </w:r>
      <w:r w:rsidRPr="00187B2D">
        <w:rPr>
          <w:rFonts w:ascii="Arial" w:hAnsi="Arial" w:cs="Arial"/>
        </w:rPr>
        <w:t>application did not purport to bear a signature of acceptance. However, on the basis of paragraph 5 of the founding affidavit (which stated that the offer was indeed accepted by the plaintiff) Moultrie AJ found no reason to doubt the correctness of this allegation.</w:t>
      </w:r>
    </w:p>
  </w:footnote>
  <w:footnote w:id="27">
    <w:p w14:paraId="16A7632A" w14:textId="1DDD023C"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bookmarkStart w:id="5" w:name="_Hlk149811881"/>
      <w:r w:rsidR="00965F64">
        <w:rPr>
          <w:rFonts w:ascii="Arial" w:hAnsi="Arial" w:cs="Arial"/>
        </w:rPr>
        <w:t xml:space="preserve">See </w:t>
      </w:r>
      <w:r w:rsidRPr="00187B2D">
        <w:rPr>
          <w:rFonts w:ascii="Arial" w:hAnsi="Arial" w:cs="Arial"/>
          <w:i/>
          <w:iCs/>
        </w:rPr>
        <w:t xml:space="preserve">Alexandra </w:t>
      </w:r>
      <w:r w:rsidRPr="00187B2D">
        <w:rPr>
          <w:rFonts w:ascii="Arial" w:hAnsi="Arial" w:cs="Arial"/>
        </w:rPr>
        <w:t>at para 5.</w:t>
      </w:r>
      <w:bookmarkEnd w:id="5"/>
    </w:p>
  </w:footnote>
  <w:footnote w:id="28">
    <w:p w14:paraId="2E93F3B6"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Moultrie AJ was of the view that the exception was not material to the determination of whether the document constitute</w:t>
      </w:r>
      <w:r w:rsidRPr="00187B2D">
        <w:rPr>
          <w:rFonts w:ascii="Arial" w:hAnsi="Arial" w:cs="Arial"/>
          <w:sz w:val="24"/>
          <w:szCs w:val="22"/>
        </w:rPr>
        <w:t xml:space="preserve"> </w:t>
      </w:r>
      <w:r w:rsidRPr="00187B2D">
        <w:rPr>
          <w:rFonts w:ascii="Arial" w:hAnsi="Arial" w:cs="Arial"/>
        </w:rPr>
        <w:t xml:space="preserve">admission of liability by the Fund as envisaged by 34A(4)(a).  </w:t>
      </w:r>
    </w:p>
  </w:footnote>
  <w:footnote w:id="29">
    <w:p w14:paraId="7CF96275"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 xml:space="preserve">Alexandra </w:t>
      </w:r>
      <w:r w:rsidRPr="00187B2D">
        <w:rPr>
          <w:rFonts w:ascii="Arial" w:hAnsi="Arial" w:cs="Arial"/>
        </w:rPr>
        <w:t>at para 9.</w:t>
      </w:r>
    </w:p>
  </w:footnote>
  <w:footnote w:id="30">
    <w:p w14:paraId="06431E70"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 xml:space="preserve">Alexandra </w:t>
      </w:r>
      <w:r w:rsidRPr="00187B2D">
        <w:rPr>
          <w:rFonts w:ascii="Arial" w:hAnsi="Arial" w:cs="Arial"/>
        </w:rPr>
        <w:t>at para 11.</w:t>
      </w:r>
    </w:p>
  </w:footnote>
  <w:footnote w:id="31">
    <w:p w14:paraId="57F372F2"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 xml:space="preserve">Id </w:t>
      </w:r>
      <w:r w:rsidRPr="00187B2D">
        <w:rPr>
          <w:rFonts w:ascii="Arial" w:hAnsi="Arial" w:cs="Arial"/>
        </w:rPr>
        <w:t>at para 13</w:t>
      </w:r>
    </w:p>
  </w:footnote>
  <w:footnote w:id="32">
    <w:p w14:paraId="318D99F6"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bookmarkStart w:id="7" w:name="_Hlk149847458"/>
      <w:r w:rsidRPr="00187B2D">
        <w:rPr>
          <w:rFonts w:ascii="Arial" w:hAnsi="Arial" w:cs="Arial"/>
        </w:rPr>
        <w:t>[2023] ZAGPJHC 221 (24 February 2023).</w:t>
      </w:r>
      <w:bookmarkEnd w:id="7"/>
    </w:p>
  </w:footnote>
  <w:footnote w:id="33">
    <w:p w14:paraId="2058495C"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 xml:space="preserve">Qelesile </w:t>
      </w:r>
      <w:r w:rsidRPr="00187B2D">
        <w:rPr>
          <w:rFonts w:ascii="Arial" w:hAnsi="Arial" w:cs="Arial"/>
        </w:rPr>
        <w:t>at para 5.</w:t>
      </w:r>
    </w:p>
  </w:footnote>
  <w:footnote w:id="34">
    <w:p w14:paraId="760323D6"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This argument is found in paragraph 5 of the </w:t>
      </w:r>
      <w:r w:rsidRPr="00187B2D">
        <w:rPr>
          <w:rFonts w:ascii="Arial" w:hAnsi="Arial" w:cs="Arial"/>
          <w:i/>
          <w:iCs/>
        </w:rPr>
        <w:t xml:space="preserve">Qelesile </w:t>
      </w:r>
      <w:r w:rsidRPr="00187B2D">
        <w:rPr>
          <w:rFonts w:ascii="Arial" w:hAnsi="Arial" w:cs="Arial"/>
        </w:rPr>
        <w:t>judgment.</w:t>
      </w:r>
    </w:p>
  </w:footnote>
  <w:footnote w:id="35">
    <w:p w14:paraId="7182CBA4"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 xml:space="preserve">Qelesile </w:t>
      </w:r>
      <w:r w:rsidRPr="00187B2D">
        <w:rPr>
          <w:rFonts w:ascii="Arial" w:hAnsi="Arial" w:cs="Arial"/>
        </w:rPr>
        <w:t>at para 16.</w:t>
      </w:r>
    </w:p>
  </w:footnote>
  <w:footnote w:id="36">
    <w:p w14:paraId="41CB3901"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Id</w:t>
      </w:r>
      <w:r w:rsidRPr="00187B2D">
        <w:rPr>
          <w:rFonts w:ascii="Arial" w:hAnsi="Arial" w:cs="Arial"/>
        </w:rPr>
        <w:t xml:space="preserve"> at para 17.</w:t>
      </w:r>
    </w:p>
  </w:footnote>
  <w:footnote w:id="37">
    <w:p w14:paraId="2C56C0E5"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Id.</w:t>
      </w:r>
    </w:p>
  </w:footnote>
  <w:footnote w:id="38">
    <w:p w14:paraId="1732C964"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Id</w:t>
      </w:r>
      <w:r w:rsidRPr="00187B2D">
        <w:rPr>
          <w:rFonts w:ascii="Arial" w:hAnsi="Arial" w:cs="Arial"/>
        </w:rPr>
        <w:t xml:space="preserve"> at para 19.</w:t>
      </w:r>
    </w:p>
  </w:footnote>
  <w:footnote w:id="39">
    <w:p w14:paraId="1264BDA6"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 xml:space="preserve">Id </w:t>
      </w:r>
    </w:p>
  </w:footnote>
  <w:footnote w:id="40">
    <w:p w14:paraId="3DCC453F"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Qelesile</w:t>
      </w:r>
      <w:r w:rsidRPr="00187B2D">
        <w:rPr>
          <w:rFonts w:ascii="Arial" w:hAnsi="Arial" w:cs="Arial"/>
        </w:rPr>
        <w:t xml:space="preserve"> at para 14.</w:t>
      </w:r>
    </w:p>
  </w:footnote>
  <w:footnote w:id="41">
    <w:p w14:paraId="608967B6" w14:textId="77777777" w:rsidR="00223BE4" w:rsidRPr="00187B2D" w:rsidRDefault="00223BE4"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Id</w:t>
      </w:r>
      <w:r w:rsidRPr="00187B2D">
        <w:rPr>
          <w:rFonts w:ascii="Arial" w:hAnsi="Arial" w:cs="Arial"/>
        </w:rPr>
        <w:t xml:space="preserve"> at para 22.</w:t>
      </w:r>
    </w:p>
  </w:footnote>
  <w:footnote w:id="42">
    <w:p w14:paraId="06F7DE64" w14:textId="5DA02D24" w:rsidR="00380E6A" w:rsidRPr="00187B2D" w:rsidRDefault="00380E6A" w:rsidP="00187B2D">
      <w:pPr>
        <w:pStyle w:val="FootnoteText"/>
        <w:jc w:val="both"/>
        <w:rPr>
          <w:rFonts w:ascii="Arial" w:hAnsi="Arial" w:cs="Arial"/>
        </w:rPr>
      </w:pPr>
      <w:r w:rsidRPr="00187B2D">
        <w:rPr>
          <w:rStyle w:val="FootnoteReference"/>
          <w:rFonts w:ascii="Arial" w:hAnsi="Arial" w:cs="Arial"/>
        </w:rPr>
        <w:footnoteRef/>
      </w:r>
      <w:r w:rsidRPr="00187B2D">
        <w:rPr>
          <w:rFonts w:ascii="Arial" w:hAnsi="Arial" w:cs="Arial"/>
        </w:rPr>
        <w:t xml:space="preserve"> </w:t>
      </w:r>
      <w:r w:rsidRPr="00187B2D">
        <w:rPr>
          <w:rFonts w:ascii="Arial" w:hAnsi="Arial" w:cs="Arial"/>
          <w:i/>
          <w:iCs/>
        </w:rPr>
        <w:t>Olivier</w:t>
      </w:r>
      <w:r w:rsidRPr="00187B2D">
        <w:rPr>
          <w:rFonts w:ascii="Arial" w:hAnsi="Arial" w:cs="Arial"/>
        </w:rPr>
        <w:t xml:space="preserve"> at para 28</w:t>
      </w:r>
      <w:r w:rsidR="00281939">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286"/>
    <w:multiLevelType w:val="hybridMultilevel"/>
    <w:tmpl w:val="DEC60AFC"/>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2177C2"/>
    <w:multiLevelType w:val="hybridMultilevel"/>
    <w:tmpl w:val="4E5EC786"/>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6647B5"/>
    <w:multiLevelType w:val="hybridMultilevel"/>
    <w:tmpl w:val="73F60F46"/>
    <w:lvl w:ilvl="0" w:tplc="0AA01680">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F45473B"/>
    <w:multiLevelType w:val="multilevel"/>
    <w:tmpl w:val="E5EE5720"/>
    <w:lvl w:ilvl="0">
      <w:start w:val="9"/>
      <w:numFmt w:val="decimal"/>
      <w:pStyle w:val="JudgmentNumbered"/>
      <w:lvlText w:val="[%1]"/>
      <w:lvlJc w:val="left"/>
      <w:pPr>
        <w:ind w:left="5529" w:hanging="567"/>
      </w:pPr>
      <w:rPr>
        <w:rFonts w:hint="default"/>
        <w:i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1FA40B72"/>
    <w:multiLevelType w:val="hybridMultilevel"/>
    <w:tmpl w:val="8A66E6BA"/>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AC1C6D"/>
    <w:multiLevelType w:val="hybridMultilevel"/>
    <w:tmpl w:val="663202F8"/>
    <w:lvl w:ilvl="0" w:tplc="BBD42BA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A0A036D"/>
    <w:multiLevelType w:val="hybridMultilevel"/>
    <w:tmpl w:val="B1C8CF7A"/>
    <w:lvl w:ilvl="0" w:tplc="9F3658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5E5DAB"/>
    <w:multiLevelType w:val="hybridMultilevel"/>
    <w:tmpl w:val="5E2C28A2"/>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A1564FB"/>
    <w:multiLevelType w:val="hybridMultilevel"/>
    <w:tmpl w:val="A00217E0"/>
    <w:lvl w:ilvl="0" w:tplc="BBD42BAE">
      <w:start w:val="1"/>
      <w:numFmt w:val="decimal"/>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905CE1"/>
    <w:multiLevelType w:val="hybridMultilevel"/>
    <w:tmpl w:val="BB2C3412"/>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E3F06B5"/>
    <w:multiLevelType w:val="hybridMultilevel"/>
    <w:tmpl w:val="D7CAF0F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2AF563F"/>
    <w:multiLevelType w:val="hybridMultilevel"/>
    <w:tmpl w:val="B516A712"/>
    <w:lvl w:ilvl="0" w:tplc="C576D2A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1E646EA"/>
    <w:multiLevelType w:val="hybridMultilevel"/>
    <w:tmpl w:val="A3707C36"/>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3887CA0"/>
    <w:multiLevelType w:val="hybridMultilevel"/>
    <w:tmpl w:val="B7CC9772"/>
    <w:lvl w:ilvl="0" w:tplc="1C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6B01BBB"/>
    <w:multiLevelType w:val="hybridMultilevel"/>
    <w:tmpl w:val="2BF00986"/>
    <w:lvl w:ilvl="0" w:tplc="BD32A47E">
      <w:start w:val="6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D2D06CF"/>
    <w:multiLevelType w:val="hybridMultilevel"/>
    <w:tmpl w:val="CD04A1FC"/>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E7D5BF1"/>
    <w:multiLevelType w:val="hybridMultilevel"/>
    <w:tmpl w:val="0BC253F4"/>
    <w:lvl w:ilvl="0" w:tplc="BBD42B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F88510F"/>
    <w:multiLevelType w:val="hybridMultilevel"/>
    <w:tmpl w:val="F1DAFDCC"/>
    <w:lvl w:ilvl="0" w:tplc="BBD42BA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7FE7077C"/>
    <w:multiLevelType w:val="hybridMultilevel"/>
    <w:tmpl w:val="3126F928"/>
    <w:lvl w:ilvl="0" w:tplc="F4A6410E">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8"/>
  </w:num>
  <w:num w:numId="3">
    <w:abstractNumId w:val="11"/>
  </w:num>
  <w:num w:numId="4">
    <w:abstractNumId w:val="9"/>
  </w:num>
  <w:num w:numId="5">
    <w:abstractNumId w:val="1"/>
  </w:num>
  <w:num w:numId="6">
    <w:abstractNumId w:val="12"/>
  </w:num>
  <w:num w:numId="7">
    <w:abstractNumId w:val="5"/>
  </w:num>
  <w:num w:numId="8">
    <w:abstractNumId w:val="16"/>
  </w:num>
  <w:num w:numId="9">
    <w:abstractNumId w:val="0"/>
  </w:num>
  <w:num w:numId="10">
    <w:abstractNumId w:val="4"/>
  </w:num>
  <w:num w:numId="11">
    <w:abstractNumId w:val="6"/>
  </w:num>
  <w:num w:numId="12">
    <w:abstractNumId w:val="18"/>
  </w:num>
  <w:num w:numId="13">
    <w:abstractNumId w:val="14"/>
  </w:num>
  <w:num w:numId="14">
    <w:abstractNumId w:val="7"/>
  </w:num>
  <w:num w:numId="15">
    <w:abstractNumId w:val="15"/>
  </w:num>
  <w:num w:numId="16">
    <w:abstractNumId w:val="17"/>
  </w:num>
  <w:num w:numId="17">
    <w:abstractNumId w:val="2"/>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81"/>
    <w:rsid w:val="00003158"/>
    <w:rsid w:val="00005457"/>
    <w:rsid w:val="00015DB7"/>
    <w:rsid w:val="00024121"/>
    <w:rsid w:val="00035B32"/>
    <w:rsid w:val="00036CE6"/>
    <w:rsid w:val="00043C78"/>
    <w:rsid w:val="00061F73"/>
    <w:rsid w:val="00063025"/>
    <w:rsid w:val="0006404A"/>
    <w:rsid w:val="00065538"/>
    <w:rsid w:val="00067188"/>
    <w:rsid w:val="000671D7"/>
    <w:rsid w:val="000732D4"/>
    <w:rsid w:val="00081C05"/>
    <w:rsid w:val="00081D78"/>
    <w:rsid w:val="00083CAF"/>
    <w:rsid w:val="00093692"/>
    <w:rsid w:val="00094854"/>
    <w:rsid w:val="000A138E"/>
    <w:rsid w:val="000A5895"/>
    <w:rsid w:val="000A6C8F"/>
    <w:rsid w:val="000A7D50"/>
    <w:rsid w:val="000B33C5"/>
    <w:rsid w:val="000C4D2F"/>
    <w:rsid w:val="000D49D8"/>
    <w:rsid w:val="000D5E15"/>
    <w:rsid w:val="000E3ED4"/>
    <w:rsid w:val="000E7FA3"/>
    <w:rsid w:val="000F1589"/>
    <w:rsid w:val="000F721F"/>
    <w:rsid w:val="00105F26"/>
    <w:rsid w:val="00110D5B"/>
    <w:rsid w:val="0012025D"/>
    <w:rsid w:val="00123B60"/>
    <w:rsid w:val="00123EC8"/>
    <w:rsid w:val="001372A0"/>
    <w:rsid w:val="00137326"/>
    <w:rsid w:val="00142D81"/>
    <w:rsid w:val="00143842"/>
    <w:rsid w:val="00150897"/>
    <w:rsid w:val="001560BA"/>
    <w:rsid w:val="00171081"/>
    <w:rsid w:val="00185AA7"/>
    <w:rsid w:val="00187B2D"/>
    <w:rsid w:val="00191055"/>
    <w:rsid w:val="001976BB"/>
    <w:rsid w:val="001A222E"/>
    <w:rsid w:val="001A2E3C"/>
    <w:rsid w:val="001A45C4"/>
    <w:rsid w:val="001B75C1"/>
    <w:rsid w:val="001D21CB"/>
    <w:rsid w:val="001D2413"/>
    <w:rsid w:val="001D332A"/>
    <w:rsid w:val="001D5E36"/>
    <w:rsid w:val="001E2841"/>
    <w:rsid w:val="001E60B5"/>
    <w:rsid w:val="001E6B50"/>
    <w:rsid w:val="001F4ACC"/>
    <w:rsid w:val="002120EC"/>
    <w:rsid w:val="002210FE"/>
    <w:rsid w:val="00223BE4"/>
    <w:rsid w:val="00247209"/>
    <w:rsid w:val="0026475F"/>
    <w:rsid w:val="00281939"/>
    <w:rsid w:val="0028314E"/>
    <w:rsid w:val="00285F5A"/>
    <w:rsid w:val="00286869"/>
    <w:rsid w:val="002A2F91"/>
    <w:rsid w:val="002B1216"/>
    <w:rsid w:val="002B3711"/>
    <w:rsid w:val="002B4D8E"/>
    <w:rsid w:val="002E0481"/>
    <w:rsid w:val="002F1014"/>
    <w:rsid w:val="002F4AF7"/>
    <w:rsid w:val="003047D7"/>
    <w:rsid w:val="0030763D"/>
    <w:rsid w:val="003076BC"/>
    <w:rsid w:val="00327260"/>
    <w:rsid w:val="00327C52"/>
    <w:rsid w:val="00337478"/>
    <w:rsid w:val="00341EE6"/>
    <w:rsid w:val="00350E9D"/>
    <w:rsid w:val="00354186"/>
    <w:rsid w:val="003555C5"/>
    <w:rsid w:val="00357E48"/>
    <w:rsid w:val="00361CAF"/>
    <w:rsid w:val="00361F46"/>
    <w:rsid w:val="0036338C"/>
    <w:rsid w:val="00364561"/>
    <w:rsid w:val="00370F19"/>
    <w:rsid w:val="00371B69"/>
    <w:rsid w:val="00380E6A"/>
    <w:rsid w:val="00381B12"/>
    <w:rsid w:val="00387AB2"/>
    <w:rsid w:val="003920CA"/>
    <w:rsid w:val="003A208C"/>
    <w:rsid w:val="003A53A3"/>
    <w:rsid w:val="003C038B"/>
    <w:rsid w:val="003F1B4C"/>
    <w:rsid w:val="003F5FB6"/>
    <w:rsid w:val="0040180B"/>
    <w:rsid w:val="004028DA"/>
    <w:rsid w:val="00407211"/>
    <w:rsid w:val="00410692"/>
    <w:rsid w:val="004126D3"/>
    <w:rsid w:val="004178F9"/>
    <w:rsid w:val="00422800"/>
    <w:rsid w:val="00433668"/>
    <w:rsid w:val="0044372F"/>
    <w:rsid w:val="004623BC"/>
    <w:rsid w:val="00465139"/>
    <w:rsid w:val="0047117A"/>
    <w:rsid w:val="0048513D"/>
    <w:rsid w:val="0049455D"/>
    <w:rsid w:val="004A2AFE"/>
    <w:rsid w:val="004A31D3"/>
    <w:rsid w:val="004B3777"/>
    <w:rsid w:val="004C22D3"/>
    <w:rsid w:val="004C49B9"/>
    <w:rsid w:val="004C77C6"/>
    <w:rsid w:val="004D263A"/>
    <w:rsid w:val="004D3168"/>
    <w:rsid w:val="004D45BA"/>
    <w:rsid w:val="004E6FED"/>
    <w:rsid w:val="0050340D"/>
    <w:rsid w:val="005079D5"/>
    <w:rsid w:val="00513D5F"/>
    <w:rsid w:val="0052495E"/>
    <w:rsid w:val="00533587"/>
    <w:rsid w:val="00542842"/>
    <w:rsid w:val="00543DBA"/>
    <w:rsid w:val="005472B2"/>
    <w:rsid w:val="00563BAB"/>
    <w:rsid w:val="00567247"/>
    <w:rsid w:val="00574ED6"/>
    <w:rsid w:val="00585A5D"/>
    <w:rsid w:val="00590B57"/>
    <w:rsid w:val="00591FD0"/>
    <w:rsid w:val="00595BE9"/>
    <w:rsid w:val="005A4B58"/>
    <w:rsid w:val="005B5D54"/>
    <w:rsid w:val="005C26B5"/>
    <w:rsid w:val="005D42D0"/>
    <w:rsid w:val="005D5CE5"/>
    <w:rsid w:val="005D687F"/>
    <w:rsid w:val="005D7D7A"/>
    <w:rsid w:val="005E2C2A"/>
    <w:rsid w:val="005E559C"/>
    <w:rsid w:val="006078C4"/>
    <w:rsid w:val="00611823"/>
    <w:rsid w:val="00614458"/>
    <w:rsid w:val="00620AED"/>
    <w:rsid w:val="00620ED5"/>
    <w:rsid w:val="00624363"/>
    <w:rsid w:val="00627A9A"/>
    <w:rsid w:val="0063012C"/>
    <w:rsid w:val="00634225"/>
    <w:rsid w:val="00634576"/>
    <w:rsid w:val="00637081"/>
    <w:rsid w:val="00637385"/>
    <w:rsid w:val="00640B77"/>
    <w:rsid w:val="0064354D"/>
    <w:rsid w:val="00644855"/>
    <w:rsid w:val="00650775"/>
    <w:rsid w:val="00674AD9"/>
    <w:rsid w:val="00674EE7"/>
    <w:rsid w:val="00690E3F"/>
    <w:rsid w:val="00695AF0"/>
    <w:rsid w:val="006B5CFD"/>
    <w:rsid w:val="006C15AE"/>
    <w:rsid w:val="006C2A83"/>
    <w:rsid w:val="006C6718"/>
    <w:rsid w:val="006C708D"/>
    <w:rsid w:val="006D66DC"/>
    <w:rsid w:val="006E14CA"/>
    <w:rsid w:val="006F2780"/>
    <w:rsid w:val="00720975"/>
    <w:rsid w:val="00724548"/>
    <w:rsid w:val="00726D2C"/>
    <w:rsid w:val="0073470B"/>
    <w:rsid w:val="0074369B"/>
    <w:rsid w:val="0074399B"/>
    <w:rsid w:val="00746923"/>
    <w:rsid w:val="00746CCC"/>
    <w:rsid w:val="0075148A"/>
    <w:rsid w:val="007553BB"/>
    <w:rsid w:val="007576A0"/>
    <w:rsid w:val="00770547"/>
    <w:rsid w:val="00782795"/>
    <w:rsid w:val="00791FD8"/>
    <w:rsid w:val="007A148D"/>
    <w:rsid w:val="007A498E"/>
    <w:rsid w:val="007B05A3"/>
    <w:rsid w:val="007B21CE"/>
    <w:rsid w:val="007B2EA2"/>
    <w:rsid w:val="007B6FE2"/>
    <w:rsid w:val="007B7C40"/>
    <w:rsid w:val="007C185F"/>
    <w:rsid w:val="007C191D"/>
    <w:rsid w:val="007D0FF9"/>
    <w:rsid w:val="007E35E2"/>
    <w:rsid w:val="007F3528"/>
    <w:rsid w:val="007F7D02"/>
    <w:rsid w:val="00801361"/>
    <w:rsid w:val="00806DFE"/>
    <w:rsid w:val="00820A1F"/>
    <w:rsid w:val="008245FE"/>
    <w:rsid w:val="00830F95"/>
    <w:rsid w:val="008312B0"/>
    <w:rsid w:val="00842924"/>
    <w:rsid w:val="00845BCD"/>
    <w:rsid w:val="00857477"/>
    <w:rsid w:val="00863341"/>
    <w:rsid w:val="00871404"/>
    <w:rsid w:val="0088069E"/>
    <w:rsid w:val="008A58E5"/>
    <w:rsid w:val="008C3D9F"/>
    <w:rsid w:val="008C51A3"/>
    <w:rsid w:val="008E5109"/>
    <w:rsid w:val="008E64FB"/>
    <w:rsid w:val="008F7EFC"/>
    <w:rsid w:val="0090115E"/>
    <w:rsid w:val="0090260B"/>
    <w:rsid w:val="00904CBF"/>
    <w:rsid w:val="00917CED"/>
    <w:rsid w:val="00917E21"/>
    <w:rsid w:val="009215B2"/>
    <w:rsid w:val="00921CA6"/>
    <w:rsid w:val="0092490D"/>
    <w:rsid w:val="00942110"/>
    <w:rsid w:val="00946358"/>
    <w:rsid w:val="009502F5"/>
    <w:rsid w:val="00951833"/>
    <w:rsid w:val="00965F64"/>
    <w:rsid w:val="009703D3"/>
    <w:rsid w:val="00971369"/>
    <w:rsid w:val="0097683B"/>
    <w:rsid w:val="00980F65"/>
    <w:rsid w:val="00982E6E"/>
    <w:rsid w:val="009A1E52"/>
    <w:rsid w:val="009A3882"/>
    <w:rsid w:val="009C0C52"/>
    <w:rsid w:val="009C33F4"/>
    <w:rsid w:val="009C73F3"/>
    <w:rsid w:val="009D2BDA"/>
    <w:rsid w:val="009D3350"/>
    <w:rsid w:val="009E252C"/>
    <w:rsid w:val="009E2F5C"/>
    <w:rsid w:val="009E7AE6"/>
    <w:rsid w:val="009F5939"/>
    <w:rsid w:val="00A01907"/>
    <w:rsid w:val="00A02699"/>
    <w:rsid w:val="00A058F4"/>
    <w:rsid w:val="00A14A4B"/>
    <w:rsid w:val="00A203E1"/>
    <w:rsid w:val="00A23403"/>
    <w:rsid w:val="00A24459"/>
    <w:rsid w:val="00A30132"/>
    <w:rsid w:val="00A32733"/>
    <w:rsid w:val="00A37788"/>
    <w:rsid w:val="00A40918"/>
    <w:rsid w:val="00A47B26"/>
    <w:rsid w:val="00A579DD"/>
    <w:rsid w:val="00A6057D"/>
    <w:rsid w:val="00A63845"/>
    <w:rsid w:val="00A727B3"/>
    <w:rsid w:val="00A7530C"/>
    <w:rsid w:val="00A84503"/>
    <w:rsid w:val="00A84EEA"/>
    <w:rsid w:val="00A9764E"/>
    <w:rsid w:val="00AB6309"/>
    <w:rsid w:val="00AB76A4"/>
    <w:rsid w:val="00AC0ADC"/>
    <w:rsid w:val="00AD20C8"/>
    <w:rsid w:val="00AD4371"/>
    <w:rsid w:val="00B1213E"/>
    <w:rsid w:val="00B21719"/>
    <w:rsid w:val="00B22DF5"/>
    <w:rsid w:val="00B335D7"/>
    <w:rsid w:val="00B37B8D"/>
    <w:rsid w:val="00B47AB1"/>
    <w:rsid w:val="00B512A5"/>
    <w:rsid w:val="00B54203"/>
    <w:rsid w:val="00B568AC"/>
    <w:rsid w:val="00B622F8"/>
    <w:rsid w:val="00B6275F"/>
    <w:rsid w:val="00B7051B"/>
    <w:rsid w:val="00B75456"/>
    <w:rsid w:val="00B764ED"/>
    <w:rsid w:val="00B805A2"/>
    <w:rsid w:val="00B81823"/>
    <w:rsid w:val="00B92CE8"/>
    <w:rsid w:val="00B942BD"/>
    <w:rsid w:val="00BB0E3A"/>
    <w:rsid w:val="00BB134F"/>
    <w:rsid w:val="00BB2C1A"/>
    <w:rsid w:val="00BB3F33"/>
    <w:rsid w:val="00BD263D"/>
    <w:rsid w:val="00BE27F0"/>
    <w:rsid w:val="00BE4882"/>
    <w:rsid w:val="00BE7D20"/>
    <w:rsid w:val="00BF45EF"/>
    <w:rsid w:val="00C041F2"/>
    <w:rsid w:val="00C10347"/>
    <w:rsid w:val="00C126AD"/>
    <w:rsid w:val="00C17E34"/>
    <w:rsid w:val="00C23215"/>
    <w:rsid w:val="00C37882"/>
    <w:rsid w:val="00C40410"/>
    <w:rsid w:val="00C40694"/>
    <w:rsid w:val="00C41863"/>
    <w:rsid w:val="00C43E7F"/>
    <w:rsid w:val="00C471CB"/>
    <w:rsid w:val="00C47515"/>
    <w:rsid w:val="00C50C1E"/>
    <w:rsid w:val="00C50D64"/>
    <w:rsid w:val="00C56CE7"/>
    <w:rsid w:val="00C573FD"/>
    <w:rsid w:val="00C64D1C"/>
    <w:rsid w:val="00C71048"/>
    <w:rsid w:val="00C72C3D"/>
    <w:rsid w:val="00C80D64"/>
    <w:rsid w:val="00C8624D"/>
    <w:rsid w:val="00CB26B2"/>
    <w:rsid w:val="00CB5A2A"/>
    <w:rsid w:val="00CD5E31"/>
    <w:rsid w:val="00CE1E39"/>
    <w:rsid w:val="00CE371A"/>
    <w:rsid w:val="00CE4F3C"/>
    <w:rsid w:val="00CF3A6B"/>
    <w:rsid w:val="00D00279"/>
    <w:rsid w:val="00D02A6B"/>
    <w:rsid w:val="00D14DCE"/>
    <w:rsid w:val="00D166EE"/>
    <w:rsid w:val="00D21BC7"/>
    <w:rsid w:val="00D2224E"/>
    <w:rsid w:val="00D27586"/>
    <w:rsid w:val="00D43E7E"/>
    <w:rsid w:val="00D44DEA"/>
    <w:rsid w:val="00D473C0"/>
    <w:rsid w:val="00D52173"/>
    <w:rsid w:val="00D54A0E"/>
    <w:rsid w:val="00D54A66"/>
    <w:rsid w:val="00D60AB2"/>
    <w:rsid w:val="00D73EE4"/>
    <w:rsid w:val="00D77C6D"/>
    <w:rsid w:val="00D83E64"/>
    <w:rsid w:val="00D86A1A"/>
    <w:rsid w:val="00DA071F"/>
    <w:rsid w:val="00DA0AA4"/>
    <w:rsid w:val="00DA63E2"/>
    <w:rsid w:val="00DB1D59"/>
    <w:rsid w:val="00DC3D27"/>
    <w:rsid w:val="00DD0450"/>
    <w:rsid w:val="00DE24F7"/>
    <w:rsid w:val="00DE5A93"/>
    <w:rsid w:val="00DF3E89"/>
    <w:rsid w:val="00DF4D77"/>
    <w:rsid w:val="00DF59D8"/>
    <w:rsid w:val="00E10BEE"/>
    <w:rsid w:val="00E111A6"/>
    <w:rsid w:val="00E134F6"/>
    <w:rsid w:val="00E14132"/>
    <w:rsid w:val="00E16EDC"/>
    <w:rsid w:val="00E359D9"/>
    <w:rsid w:val="00E52BFA"/>
    <w:rsid w:val="00E63286"/>
    <w:rsid w:val="00E72BC7"/>
    <w:rsid w:val="00E74F11"/>
    <w:rsid w:val="00E76395"/>
    <w:rsid w:val="00E84F15"/>
    <w:rsid w:val="00E85B07"/>
    <w:rsid w:val="00EA50A8"/>
    <w:rsid w:val="00EA6712"/>
    <w:rsid w:val="00EB0816"/>
    <w:rsid w:val="00EC269B"/>
    <w:rsid w:val="00EC39AD"/>
    <w:rsid w:val="00ED2A66"/>
    <w:rsid w:val="00ED70EB"/>
    <w:rsid w:val="00EE0B70"/>
    <w:rsid w:val="00EF3205"/>
    <w:rsid w:val="00EF3B33"/>
    <w:rsid w:val="00F118FC"/>
    <w:rsid w:val="00F146FC"/>
    <w:rsid w:val="00F14FE8"/>
    <w:rsid w:val="00F26FA1"/>
    <w:rsid w:val="00F26FCE"/>
    <w:rsid w:val="00F3515C"/>
    <w:rsid w:val="00F3607D"/>
    <w:rsid w:val="00F437D9"/>
    <w:rsid w:val="00F470C7"/>
    <w:rsid w:val="00F512D5"/>
    <w:rsid w:val="00F61268"/>
    <w:rsid w:val="00F632F8"/>
    <w:rsid w:val="00F73D44"/>
    <w:rsid w:val="00F776F8"/>
    <w:rsid w:val="00F959D6"/>
    <w:rsid w:val="00F95CBD"/>
    <w:rsid w:val="00FA2066"/>
    <w:rsid w:val="00FB01E3"/>
    <w:rsid w:val="00FB15F0"/>
    <w:rsid w:val="00FE271D"/>
    <w:rsid w:val="00FE27C5"/>
    <w:rsid w:val="00FE5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1F83"/>
  <w15:chartTrackingRefBased/>
  <w15:docId w15:val="{7C7BB42B-B0EF-4B8C-8F53-56E53A4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72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8245FE"/>
    <w:pPr>
      <w:numPr>
        <w:numId w:val="1"/>
      </w:numPr>
      <w:spacing w:after="240" w:line="360" w:lineRule="auto"/>
      <w:jc w:val="both"/>
    </w:pPr>
    <w:rPr>
      <w:rFonts w:ascii="Arial" w:hAnsi="Arial" w:cs="Arial"/>
      <w:kern w:val="0"/>
      <w:sz w:val="24"/>
      <w:lang w:val="en-GB"/>
      <w14:ligatures w14:val="none"/>
    </w:rPr>
  </w:style>
  <w:style w:type="character" w:customStyle="1" w:styleId="JudgmentNumberedChar">
    <w:name w:val="Judgment Numbered Char"/>
    <w:basedOn w:val="DefaultParagraphFont"/>
    <w:link w:val="JudgmentNumbered"/>
    <w:rsid w:val="008245FE"/>
    <w:rPr>
      <w:rFonts w:ascii="Arial" w:hAnsi="Arial" w:cs="Arial"/>
      <w:kern w:val="0"/>
      <w:sz w:val="24"/>
      <w:lang w:val="en-GB"/>
      <w14:ligatures w14:val="none"/>
    </w:rPr>
  </w:style>
  <w:style w:type="paragraph" w:styleId="NoSpacing">
    <w:name w:val="No Spacing"/>
    <w:uiPriority w:val="1"/>
    <w:qFormat/>
    <w:rsid w:val="008245FE"/>
    <w:pPr>
      <w:spacing w:after="0" w:line="240" w:lineRule="auto"/>
      <w:ind w:left="567"/>
      <w:jc w:val="both"/>
    </w:pPr>
    <w:rPr>
      <w:rFonts w:ascii="Arial" w:hAnsi="Arial"/>
      <w:kern w:val="0"/>
      <w:sz w:val="24"/>
      <w:lang w:val="en-GB"/>
      <w14:ligatures w14:val="none"/>
    </w:rPr>
  </w:style>
  <w:style w:type="paragraph" w:styleId="ListParagraph">
    <w:name w:val="List Paragraph"/>
    <w:basedOn w:val="Normal"/>
    <w:uiPriority w:val="34"/>
    <w:qFormat/>
    <w:rsid w:val="008312B0"/>
    <w:pPr>
      <w:ind w:left="720"/>
      <w:contextualSpacing/>
    </w:pPr>
  </w:style>
  <w:style w:type="paragraph" w:styleId="Header">
    <w:name w:val="header"/>
    <w:basedOn w:val="Normal"/>
    <w:link w:val="HeaderChar"/>
    <w:uiPriority w:val="99"/>
    <w:unhideWhenUsed/>
    <w:rsid w:val="001D3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32A"/>
  </w:style>
  <w:style w:type="paragraph" w:styleId="Footer">
    <w:name w:val="footer"/>
    <w:basedOn w:val="Normal"/>
    <w:link w:val="FooterChar"/>
    <w:uiPriority w:val="99"/>
    <w:unhideWhenUsed/>
    <w:rsid w:val="001D3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32A"/>
  </w:style>
  <w:style w:type="paragraph" w:styleId="NormalWeb">
    <w:name w:val="Normal (Web)"/>
    <w:basedOn w:val="Normal"/>
    <w:uiPriority w:val="99"/>
    <w:unhideWhenUsed/>
    <w:rsid w:val="00CB5A2A"/>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FootnoteText">
    <w:name w:val="footnote text"/>
    <w:basedOn w:val="Normal"/>
    <w:link w:val="FootnoteTextChar"/>
    <w:uiPriority w:val="99"/>
    <w:semiHidden/>
    <w:unhideWhenUsed/>
    <w:rsid w:val="00402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8DA"/>
    <w:rPr>
      <w:sz w:val="20"/>
      <w:szCs w:val="20"/>
    </w:rPr>
  </w:style>
  <w:style w:type="character" w:styleId="FootnoteReference">
    <w:name w:val="footnote reference"/>
    <w:basedOn w:val="DefaultParagraphFont"/>
    <w:uiPriority w:val="99"/>
    <w:semiHidden/>
    <w:unhideWhenUsed/>
    <w:rsid w:val="004028DA"/>
    <w:rPr>
      <w:vertAlign w:val="superscript"/>
    </w:rPr>
  </w:style>
  <w:style w:type="paragraph" w:customStyle="1" w:styleId="western">
    <w:name w:val="western"/>
    <w:basedOn w:val="Normal"/>
    <w:rsid w:val="00223BE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Revision">
    <w:name w:val="Revision"/>
    <w:hidden/>
    <w:uiPriority w:val="99"/>
    <w:semiHidden/>
    <w:rsid w:val="001D2413"/>
    <w:pPr>
      <w:spacing w:after="0" w:line="240" w:lineRule="auto"/>
    </w:pPr>
  </w:style>
  <w:style w:type="character" w:customStyle="1" w:styleId="Heading2Char">
    <w:name w:val="Heading 2 Char"/>
    <w:basedOn w:val="DefaultParagraphFont"/>
    <w:link w:val="Heading2"/>
    <w:uiPriority w:val="9"/>
    <w:semiHidden/>
    <w:rsid w:val="005672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9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41AC-8C58-4C08-A707-82790557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Opperman</dc:creator>
  <cp:keywords/>
  <dc:description/>
  <cp:lastModifiedBy>Tshwarelo Mabina</cp:lastModifiedBy>
  <cp:revision>2</cp:revision>
  <cp:lastPrinted>2023-11-01T11:34:00Z</cp:lastPrinted>
  <dcterms:created xsi:type="dcterms:W3CDTF">2023-11-03T12:29:00Z</dcterms:created>
  <dcterms:modified xsi:type="dcterms:W3CDTF">2023-11-03T12:29:00Z</dcterms:modified>
</cp:coreProperties>
</file>