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E860" w14:textId="77777777" w:rsidR="00C7776F" w:rsidRPr="003911DC" w:rsidRDefault="00C7776F" w:rsidP="00C7776F">
      <w:pPr>
        <w:spacing w:before="120" w:after="120" w:line="240" w:lineRule="auto"/>
        <w:ind w:left="0" w:right="0"/>
        <w:jc w:val="center"/>
        <w:rPr>
          <w:rFonts w:ascii="Arial" w:eastAsia="Times New Roman" w:hAnsi="Arial" w:cs="Arial"/>
          <w:b/>
          <w:color w:val="000000" w:themeColor="text1"/>
          <w:lang w:val="en-US"/>
        </w:rPr>
      </w:pPr>
      <w:bookmarkStart w:id="0" w:name="_GoBack"/>
      <w:bookmarkEnd w:id="0"/>
      <w:r w:rsidRPr="003911DC">
        <w:rPr>
          <w:rFonts w:ascii="Arial" w:eastAsia="Times New Roman" w:hAnsi="Arial" w:cs="Arial"/>
          <w:b/>
          <w:color w:val="000000" w:themeColor="text1"/>
          <w:lang w:val="en-US"/>
        </w:rPr>
        <w:t>REPUBLIC OF SOUTH AFRICA</w:t>
      </w:r>
    </w:p>
    <w:p w14:paraId="229B6B8A" w14:textId="77777777" w:rsidR="00C7776F" w:rsidRPr="003911DC" w:rsidRDefault="00C7776F" w:rsidP="00C7776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noProof/>
          <w:color w:val="000000" w:themeColor="text1"/>
          <w:lang w:eastAsia="en-ZA"/>
        </w:rPr>
        <w:drawing>
          <wp:inline distT="0" distB="0" distL="0" distR="0" wp14:anchorId="463C02E6" wp14:editId="074815E3">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3F795D9B" w14:textId="77777777" w:rsidR="00C7776F" w:rsidRPr="003911DC" w:rsidRDefault="00C7776F" w:rsidP="00C7776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IN THE HIGH COURT OF SOUTH AFRICA</w:t>
      </w:r>
    </w:p>
    <w:p w14:paraId="2E08E04C" w14:textId="77777777" w:rsidR="00C7776F" w:rsidRPr="003911DC" w:rsidRDefault="00C7776F" w:rsidP="00C7776F">
      <w:pPr>
        <w:spacing w:before="120" w:after="120" w:line="240" w:lineRule="auto"/>
        <w:ind w:left="0" w:right="0"/>
        <w:jc w:val="center"/>
        <w:rPr>
          <w:rFonts w:ascii="Arial" w:eastAsia="Times New Roman" w:hAnsi="Arial" w:cs="Arial"/>
          <w:b/>
          <w:color w:val="000000" w:themeColor="text1"/>
          <w:lang w:val="en-US"/>
        </w:rPr>
      </w:pPr>
      <w:r w:rsidRPr="003911DC">
        <w:rPr>
          <w:rFonts w:ascii="Arial" w:eastAsia="Times New Roman" w:hAnsi="Arial" w:cs="Arial"/>
          <w:b/>
          <w:color w:val="000000" w:themeColor="text1"/>
          <w:lang w:val="en-US"/>
        </w:rPr>
        <w:t>GAUTENG DIVISION, JOHANNESBURG</w:t>
      </w:r>
    </w:p>
    <w:p w14:paraId="2591870C" w14:textId="77777777" w:rsidR="00C7776F" w:rsidRPr="003911DC" w:rsidRDefault="00C7776F" w:rsidP="00C7776F">
      <w:pPr>
        <w:spacing w:before="120" w:after="120" w:line="240" w:lineRule="auto"/>
        <w:ind w:left="0" w:right="0"/>
        <w:jc w:val="center"/>
        <w:rPr>
          <w:rFonts w:ascii="Arial" w:eastAsia="Times New Roman" w:hAnsi="Arial" w:cs="Arial"/>
          <w:b/>
          <w:color w:val="000000" w:themeColor="text1"/>
          <w:lang w:val="en-US"/>
        </w:rPr>
      </w:pPr>
    </w:p>
    <w:p w14:paraId="5AF69D1E" w14:textId="28E1B18F" w:rsidR="00C7776F" w:rsidRDefault="00C7776F" w:rsidP="00C7776F">
      <w:pPr>
        <w:tabs>
          <w:tab w:val="left" w:pos="4320"/>
        </w:tabs>
        <w:spacing w:after="0" w:line="360" w:lineRule="auto"/>
        <w:ind w:left="0" w:right="0"/>
        <w:jc w:val="right"/>
        <w:rPr>
          <w:rFonts w:ascii="Arial" w:eastAsia="Times New Roman" w:hAnsi="Arial" w:cs="Arial"/>
          <w:color w:val="000000" w:themeColor="text1"/>
          <w:lang w:val="en-US"/>
        </w:rPr>
      </w:pPr>
      <w:r w:rsidRPr="00C92479">
        <w:rPr>
          <w:rFonts w:ascii="Arial" w:eastAsia="Times New Roman" w:hAnsi="Arial" w:cs="Arial"/>
          <w:bCs/>
          <w:color w:val="000000" w:themeColor="text1"/>
          <w:lang w:val="en-US"/>
        </w:rPr>
        <w:t>CASE NUMBER:</w:t>
      </w:r>
      <w:r w:rsidRPr="003911DC">
        <w:rPr>
          <w:rFonts w:ascii="Arial" w:eastAsia="Times New Roman" w:hAnsi="Arial" w:cs="Arial"/>
          <w:color w:val="000000" w:themeColor="text1"/>
          <w:lang w:val="en-US"/>
        </w:rPr>
        <w:t xml:space="preserve"> </w:t>
      </w:r>
      <w:r w:rsidR="001C7D8C">
        <w:rPr>
          <w:rFonts w:ascii="Arial" w:eastAsia="Times New Roman" w:hAnsi="Arial" w:cs="Arial"/>
          <w:color w:val="000000" w:themeColor="text1"/>
          <w:lang w:val="en-US"/>
        </w:rPr>
        <w:t>7174/2020</w:t>
      </w:r>
    </w:p>
    <w:p w14:paraId="41F665DC" w14:textId="77777777" w:rsidR="00C7776F" w:rsidRDefault="00C7776F" w:rsidP="00C7776F">
      <w:pPr>
        <w:tabs>
          <w:tab w:val="left" w:pos="4320"/>
        </w:tabs>
        <w:spacing w:after="0" w:line="360" w:lineRule="auto"/>
        <w:ind w:left="0" w:right="0"/>
        <w:jc w:val="both"/>
        <w:rPr>
          <w:rFonts w:ascii="Arial" w:eastAsia="Times New Roman" w:hAnsi="Arial" w:cs="Arial"/>
          <w:color w:val="000000" w:themeColor="text1"/>
          <w:lang w:val="en-US"/>
        </w:rPr>
      </w:pPr>
    </w:p>
    <w:p w14:paraId="54939341" w14:textId="4D6DCFE6" w:rsidR="00C7776F" w:rsidRPr="00293703" w:rsidRDefault="00A03910" w:rsidP="00C7776F">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Date of Judgment</w:t>
      </w:r>
      <w:r w:rsidR="00C92479" w:rsidRPr="00293703">
        <w:rPr>
          <w:rFonts w:ascii="Arial" w:eastAsia="Times New Roman" w:hAnsi="Arial" w:cs="Arial"/>
          <w:b/>
          <w:bCs/>
          <w:color w:val="000000" w:themeColor="text1"/>
          <w:lang w:val="en-US"/>
        </w:rPr>
        <w:t>?</w:t>
      </w:r>
      <w:r w:rsidR="00C92479" w:rsidRPr="00293703">
        <w:rPr>
          <w:rFonts w:ascii="Arial" w:eastAsia="Times New Roman" w:hAnsi="Arial" w:cs="Arial"/>
          <w:b/>
          <w:bCs/>
          <w:color w:val="000000" w:themeColor="text1"/>
          <w:lang w:val="en-US"/>
        </w:rPr>
        <w:tab/>
        <w:t>7 November 2023</w:t>
      </w:r>
    </w:p>
    <w:p w14:paraId="1A7E272D" w14:textId="616CE86A" w:rsidR="00C92479" w:rsidRPr="00293703" w:rsidRDefault="00C92479" w:rsidP="00C7776F">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Reportable?</w:t>
      </w:r>
      <w:r w:rsidRPr="00293703">
        <w:rPr>
          <w:rFonts w:ascii="Arial" w:eastAsia="Times New Roman" w:hAnsi="Arial" w:cs="Arial"/>
          <w:b/>
          <w:bCs/>
          <w:color w:val="000000" w:themeColor="text1"/>
          <w:lang w:val="en-US"/>
        </w:rPr>
        <w:tab/>
        <w:t>No</w:t>
      </w:r>
    </w:p>
    <w:p w14:paraId="3C850772" w14:textId="323AF661" w:rsidR="00C7776F" w:rsidRPr="00293703" w:rsidRDefault="00C92479" w:rsidP="00C7776F">
      <w:pPr>
        <w:tabs>
          <w:tab w:val="left" w:pos="4320"/>
        </w:tabs>
        <w:spacing w:after="0" w:line="360" w:lineRule="auto"/>
        <w:ind w:left="0" w:right="0"/>
        <w:jc w:val="both"/>
        <w:rPr>
          <w:rFonts w:ascii="Arial" w:eastAsia="Times New Roman" w:hAnsi="Arial" w:cs="Arial"/>
          <w:b/>
          <w:bCs/>
          <w:color w:val="000000" w:themeColor="text1"/>
          <w:lang w:val="en-US"/>
        </w:rPr>
      </w:pPr>
      <w:r w:rsidRPr="00293703">
        <w:rPr>
          <w:rFonts w:ascii="Arial" w:eastAsia="Times New Roman" w:hAnsi="Arial" w:cs="Arial"/>
          <w:b/>
          <w:bCs/>
          <w:color w:val="000000" w:themeColor="text1"/>
          <w:lang w:val="en-US"/>
        </w:rPr>
        <w:t>Of interest to other judges?</w:t>
      </w:r>
      <w:r w:rsidRPr="00293703">
        <w:rPr>
          <w:rFonts w:ascii="Arial" w:eastAsia="Times New Roman" w:hAnsi="Arial" w:cs="Arial"/>
          <w:b/>
          <w:bCs/>
          <w:color w:val="000000" w:themeColor="text1"/>
          <w:lang w:val="en-US"/>
        </w:rPr>
        <w:tab/>
        <w:t>No</w:t>
      </w:r>
    </w:p>
    <w:p w14:paraId="567B6A4B" w14:textId="77777777" w:rsidR="00C7776F" w:rsidRPr="003911DC" w:rsidRDefault="00C7776F" w:rsidP="00C7776F">
      <w:pPr>
        <w:tabs>
          <w:tab w:val="left" w:pos="4320"/>
        </w:tabs>
        <w:spacing w:after="0" w:line="360" w:lineRule="auto"/>
        <w:ind w:left="0" w:right="0"/>
        <w:jc w:val="both"/>
        <w:rPr>
          <w:rFonts w:ascii="Arial" w:eastAsia="Times New Roman" w:hAnsi="Arial" w:cs="Arial"/>
          <w:color w:val="000000" w:themeColor="text1"/>
          <w:lang w:val="en-US"/>
        </w:rPr>
      </w:pPr>
    </w:p>
    <w:p w14:paraId="58B7E7B1" w14:textId="77777777" w:rsidR="00C7776F" w:rsidRDefault="00C7776F" w:rsidP="00C7776F">
      <w:pPr>
        <w:tabs>
          <w:tab w:val="left" w:pos="4320"/>
        </w:tabs>
        <w:spacing w:after="0"/>
        <w:ind w:left="0" w:right="0"/>
        <w:jc w:val="both"/>
        <w:rPr>
          <w:rFonts w:ascii="Arial" w:eastAsia="Times New Roman" w:hAnsi="Arial" w:cs="Arial"/>
          <w:color w:val="000000" w:themeColor="text1"/>
          <w:lang w:val="en-US"/>
        </w:rPr>
      </w:pPr>
      <w:bookmarkStart w:id="1" w:name="OLE_LINK2"/>
      <w:bookmarkStart w:id="2" w:name="OLE_LINK1"/>
    </w:p>
    <w:p w14:paraId="2240631E" w14:textId="77777777" w:rsidR="00C7776F" w:rsidRDefault="00C7776F" w:rsidP="00C7776F">
      <w:pPr>
        <w:tabs>
          <w:tab w:val="left" w:pos="4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In the matter between</w:t>
      </w:r>
      <w:r>
        <w:rPr>
          <w:rFonts w:ascii="Arial" w:eastAsia="Times New Roman" w:hAnsi="Arial" w:cs="Arial"/>
          <w:color w:val="000000" w:themeColor="text1"/>
          <w:lang w:val="en-US"/>
        </w:rPr>
        <w:t>:</w:t>
      </w:r>
    </w:p>
    <w:p w14:paraId="1B274C5E" w14:textId="77777777" w:rsidR="00C7776F" w:rsidRPr="003911DC" w:rsidRDefault="00C7776F" w:rsidP="00C7776F">
      <w:pPr>
        <w:tabs>
          <w:tab w:val="left" w:pos="4320"/>
        </w:tabs>
        <w:spacing w:after="0"/>
        <w:ind w:left="0" w:right="0"/>
        <w:jc w:val="both"/>
        <w:rPr>
          <w:rFonts w:ascii="Arial" w:eastAsia="Times New Roman" w:hAnsi="Arial" w:cs="Arial"/>
          <w:color w:val="000000" w:themeColor="text1"/>
          <w:lang w:val="en-US"/>
        </w:rPr>
      </w:pPr>
    </w:p>
    <w:p w14:paraId="4DA97D27" w14:textId="77777777" w:rsidR="00C7776F" w:rsidRPr="003911DC" w:rsidRDefault="00C7776F" w:rsidP="00C7776F">
      <w:pPr>
        <w:tabs>
          <w:tab w:val="left" w:pos="7320"/>
        </w:tabs>
        <w:spacing w:after="0"/>
        <w:ind w:left="0" w:right="0"/>
        <w:jc w:val="both"/>
        <w:rPr>
          <w:rFonts w:ascii="Arial" w:eastAsia="Times New Roman" w:hAnsi="Arial" w:cs="Arial"/>
          <w:color w:val="000000" w:themeColor="text1"/>
          <w:lang w:val="en-US"/>
        </w:rPr>
      </w:pPr>
      <w:r w:rsidRPr="003911DC">
        <w:rPr>
          <w:rFonts w:ascii="Arial" w:eastAsia="Times New Roman" w:hAnsi="Arial" w:cs="Arial"/>
          <w:color w:val="000000" w:themeColor="text1"/>
          <w:lang w:val="en-US"/>
        </w:rPr>
        <w:tab/>
      </w:r>
    </w:p>
    <w:p w14:paraId="7A33142F" w14:textId="39957291" w:rsidR="00C7776F" w:rsidRDefault="004E784D" w:rsidP="00C7776F">
      <w:pPr>
        <w:tabs>
          <w:tab w:val="left" w:pos="4320"/>
        </w:tabs>
        <w:spacing w:after="240" w:line="360" w:lineRule="auto"/>
        <w:ind w:left="0" w:right="0"/>
        <w:jc w:val="both"/>
        <w:rPr>
          <w:rFonts w:ascii="Arial" w:eastAsia="Times New Roman" w:hAnsi="Arial" w:cs="Arial"/>
          <w:bCs/>
          <w:color w:val="000000" w:themeColor="text1"/>
          <w:lang w:val="en-US"/>
        </w:rPr>
      </w:pPr>
      <w:r>
        <w:rPr>
          <w:rFonts w:ascii="Arial" w:eastAsia="Times New Roman" w:hAnsi="Arial" w:cs="Arial"/>
          <w:b/>
          <w:color w:val="000000" w:themeColor="text1"/>
          <w:lang w:val="en-US"/>
        </w:rPr>
        <w:t>CAPE INVESTMENT PROPERTY 317 CC</w:t>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970935">
        <w:rPr>
          <w:rFonts w:ascii="Arial" w:eastAsia="Times New Roman" w:hAnsi="Arial" w:cs="Arial"/>
          <w:bCs/>
          <w:color w:val="000000" w:themeColor="text1"/>
          <w:lang w:val="en-US"/>
        </w:rPr>
        <w:t xml:space="preserve">       First Applicant</w:t>
      </w:r>
    </w:p>
    <w:p w14:paraId="2F4340FE" w14:textId="6B2EDB04" w:rsidR="00970935" w:rsidRDefault="003D60C6" w:rsidP="00C7776F">
      <w:pPr>
        <w:tabs>
          <w:tab w:val="left" w:pos="4320"/>
        </w:tabs>
        <w:spacing w:after="240" w:line="360" w:lineRule="auto"/>
        <w:ind w:left="0" w:right="0"/>
        <w:jc w:val="both"/>
        <w:rPr>
          <w:rFonts w:ascii="Arial" w:eastAsia="Times New Roman" w:hAnsi="Arial" w:cs="Arial"/>
          <w:bCs/>
          <w:color w:val="000000" w:themeColor="text1"/>
          <w:lang w:val="en-US"/>
        </w:rPr>
      </w:pPr>
      <w:r>
        <w:rPr>
          <w:rFonts w:ascii="Arial" w:eastAsia="Times New Roman" w:hAnsi="Arial" w:cs="Arial"/>
          <w:b/>
          <w:color w:val="000000" w:themeColor="text1"/>
          <w:lang w:val="en-US"/>
        </w:rPr>
        <w:t>SEAN PETER Mc CARTHY N.O.</w:t>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r>
      <w:r>
        <w:rPr>
          <w:rFonts w:ascii="Arial" w:eastAsia="Times New Roman" w:hAnsi="Arial" w:cs="Arial"/>
          <w:bCs/>
          <w:color w:val="000000" w:themeColor="text1"/>
          <w:lang w:val="en-US"/>
        </w:rPr>
        <w:tab/>
        <w:t xml:space="preserve">  Second Applicant</w:t>
      </w:r>
    </w:p>
    <w:p w14:paraId="13159975" w14:textId="09EFA15B" w:rsidR="003D60C6" w:rsidRPr="00ED05BE" w:rsidRDefault="00D404D9" w:rsidP="00C7776F">
      <w:pPr>
        <w:tabs>
          <w:tab w:val="left" w:pos="4320"/>
        </w:tabs>
        <w:spacing w:after="240" w:line="360" w:lineRule="auto"/>
        <w:ind w:left="0" w:right="0"/>
        <w:jc w:val="both"/>
        <w:rPr>
          <w:rFonts w:ascii="Arial" w:eastAsia="Times New Roman" w:hAnsi="Arial" w:cs="Arial"/>
          <w:bCs/>
          <w:color w:val="000000" w:themeColor="text1"/>
          <w:lang w:val="en-US"/>
        </w:rPr>
      </w:pPr>
      <w:r>
        <w:rPr>
          <w:rFonts w:ascii="Arial" w:eastAsia="Times New Roman" w:hAnsi="Arial" w:cs="Arial"/>
          <w:b/>
          <w:color w:val="000000" w:themeColor="text1"/>
          <w:lang w:val="en-US"/>
        </w:rPr>
        <w:t>JÉAN</w:t>
      </w:r>
      <w:r w:rsidR="00ED05BE">
        <w:rPr>
          <w:rFonts w:ascii="Arial" w:eastAsia="Times New Roman" w:hAnsi="Arial" w:cs="Arial"/>
          <w:b/>
          <w:color w:val="000000" w:themeColor="text1"/>
          <w:lang w:val="en-US"/>
        </w:rPr>
        <w:t>-CLAUDE MENZO BARRISH N.O.</w:t>
      </w:r>
      <w:r w:rsidR="00ED05BE">
        <w:rPr>
          <w:rFonts w:ascii="Arial" w:eastAsia="Times New Roman" w:hAnsi="Arial" w:cs="Arial"/>
          <w:bCs/>
          <w:color w:val="000000" w:themeColor="text1"/>
          <w:lang w:val="en-US"/>
        </w:rPr>
        <w:tab/>
      </w:r>
      <w:r w:rsidR="00ED05BE">
        <w:rPr>
          <w:rFonts w:ascii="Arial" w:eastAsia="Times New Roman" w:hAnsi="Arial" w:cs="Arial"/>
          <w:bCs/>
          <w:color w:val="000000" w:themeColor="text1"/>
          <w:lang w:val="en-US"/>
        </w:rPr>
        <w:tab/>
      </w:r>
      <w:r w:rsidR="00ED05BE">
        <w:rPr>
          <w:rFonts w:ascii="Arial" w:eastAsia="Times New Roman" w:hAnsi="Arial" w:cs="Arial"/>
          <w:bCs/>
          <w:color w:val="000000" w:themeColor="text1"/>
          <w:lang w:val="en-US"/>
        </w:rPr>
        <w:tab/>
      </w:r>
      <w:r w:rsidR="00ED05BE">
        <w:rPr>
          <w:rFonts w:ascii="Arial" w:eastAsia="Times New Roman" w:hAnsi="Arial" w:cs="Arial"/>
          <w:bCs/>
          <w:color w:val="000000" w:themeColor="text1"/>
          <w:lang w:val="en-US"/>
        </w:rPr>
        <w:tab/>
      </w:r>
      <w:r w:rsidR="00ED05BE">
        <w:rPr>
          <w:rFonts w:ascii="Arial" w:eastAsia="Times New Roman" w:hAnsi="Arial" w:cs="Arial"/>
          <w:bCs/>
          <w:color w:val="000000" w:themeColor="text1"/>
          <w:lang w:val="en-US"/>
        </w:rPr>
        <w:tab/>
        <w:t xml:space="preserve">      Third Applicant</w:t>
      </w:r>
    </w:p>
    <w:p w14:paraId="149A592C" w14:textId="77777777" w:rsidR="00C7776F" w:rsidRPr="00A039F3" w:rsidRDefault="00C7776F" w:rsidP="00C7776F">
      <w:pPr>
        <w:tabs>
          <w:tab w:val="left" w:pos="4320"/>
        </w:tabs>
        <w:spacing w:after="240" w:line="360" w:lineRule="auto"/>
        <w:ind w:left="0" w:right="0"/>
        <w:jc w:val="both"/>
        <w:rPr>
          <w:rFonts w:ascii="Arial" w:eastAsia="Times New Roman" w:hAnsi="Arial" w:cs="Arial"/>
          <w:bCs/>
          <w:color w:val="000000" w:themeColor="text1"/>
          <w:lang w:val="en-US"/>
        </w:rPr>
      </w:pPr>
      <w:r w:rsidRPr="00A039F3">
        <w:rPr>
          <w:rFonts w:ascii="Arial" w:eastAsia="Times New Roman" w:hAnsi="Arial" w:cs="Arial"/>
          <w:bCs/>
          <w:color w:val="000000" w:themeColor="text1"/>
          <w:lang w:val="en-US"/>
        </w:rPr>
        <w:t>and</w:t>
      </w:r>
    </w:p>
    <w:p w14:paraId="005B9779" w14:textId="74535D1B" w:rsidR="00C7776F" w:rsidRPr="008276C9" w:rsidRDefault="00ED05BE" w:rsidP="00C7776F">
      <w:pPr>
        <w:tabs>
          <w:tab w:val="left" w:pos="4320"/>
        </w:tabs>
        <w:spacing w:after="240" w:line="360" w:lineRule="auto"/>
        <w:ind w:left="0" w:right="0"/>
        <w:rPr>
          <w:rFonts w:ascii="Arial" w:eastAsia="Times New Roman" w:hAnsi="Arial" w:cs="Arial"/>
          <w:bCs/>
          <w:color w:val="000000" w:themeColor="text1"/>
          <w:lang w:val="en-US"/>
        </w:rPr>
      </w:pPr>
      <w:r>
        <w:rPr>
          <w:rFonts w:ascii="Arial" w:eastAsia="Times New Roman" w:hAnsi="Arial" w:cs="Arial"/>
          <w:b/>
          <w:color w:val="000000" w:themeColor="text1"/>
          <w:lang w:val="en-US"/>
        </w:rPr>
        <w:t>ORION REAL ESTATE LIMITED</w:t>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sidR="00C7776F">
        <w:rPr>
          <w:rFonts w:ascii="Arial" w:eastAsia="Times New Roman" w:hAnsi="Arial" w:cs="Arial"/>
          <w:b/>
          <w:color w:val="000000" w:themeColor="text1"/>
          <w:lang w:val="en-US"/>
        </w:rPr>
        <w:tab/>
      </w:r>
      <w:r>
        <w:rPr>
          <w:rFonts w:ascii="Arial" w:eastAsia="Times New Roman" w:hAnsi="Arial" w:cs="Arial"/>
          <w:bCs/>
          <w:color w:val="000000" w:themeColor="text1"/>
          <w:lang w:val="en-US"/>
        </w:rPr>
        <w:t xml:space="preserve">          Respondent</w:t>
      </w:r>
    </w:p>
    <w:bookmarkEnd w:id="1"/>
    <w:bookmarkEnd w:id="2"/>
    <w:p w14:paraId="54CEB00F" w14:textId="77777777" w:rsidR="00C7776F" w:rsidRDefault="00C7776F" w:rsidP="00C7776F">
      <w:pPr>
        <w:pBdr>
          <w:bottom w:val="single" w:sz="12" w:space="1" w:color="auto"/>
        </w:pBdr>
        <w:spacing w:after="0" w:line="240" w:lineRule="auto"/>
        <w:ind w:left="0" w:right="0"/>
        <w:rPr>
          <w:color w:val="000000" w:themeColor="text1"/>
          <w:u w:val="single"/>
        </w:rPr>
      </w:pPr>
    </w:p>
    <w:p w14:paraId="184504A6" w14:textId="77777777" w:rsidR="00C7776F" w:rsidRDefault="00C7776F" w:rsidP="00C7776F">
      <w:pPr>
        <w:spacing w:before="120" w:after="120" w:line="240" w:lineRule="auto"/>
        <w:ind w:left="0" w:right="0"/>
        <w:jc w:val="center"/>
        <w:rPr>
          <w:rFonts w:ascii="Arial" w:hAnsi="Arial" w:cs="Arial"/>
          <w:b/>
          <w:color w:val="000000" w:themeColor="text1"/>
        </w:rPr>
      </w:pPr>
    </w:p>
    <w:p w14:paraId="2AD003F6" w14:textId="77777777" w:rsidR="00C7776F" w:rsidRDefault="00C7776F" w:rsidP="00C7776F">
      <w:pPr>
        <w:spacing w:before="120" w:after="120" w:line="240" w:lineRule="auto"/>
        <w:ind w:left="0" w:right="0"/>
        <w:jc w:val="center"/>
        <w:rPr>
          <w:rFonts w:ascii="Arial" w:hAnsi="Arial" w:cs="Arial"/>
          <w:b/>
          <w:color w:val="000000" w:themeColor="text1"/>
        </w:rPr>
      </w:pPr>
      <w:r>
        <w:rPr>
          <w:rFonts w:ascii="Arial" w:hAnsi="Arial" w:cs="Arial"/>
          <w:b/>
          <w:color w:val="000000" w:themeColor="text1"/>
        </w:rPr>
        <w:t>JUDGMENT</w:t>
      </w:r>
    </w:p>
    <w:p w14:paraId="0934BBED" w14:textId="77777777" w:rsidR="00C7776F" w:rsidRDefault="00C7776F" w:rsidP="00C7776F">
      <w:pPr>
        <w:pBdr>
          <w:bottom w:val="single" w:sz="12" w:space="1" w:color="auto"/>
        </w:pBdr>
        <w:spacing w:before="120" w:after="120" w:line="240" w:lineRule="auto"/>
        <w:ind w:left="0" w:right="0"/>
        <w:jc w:val="center"/>
        <w:rPr>
          <w:rFonts w:ascii="Arial" w:hAnsi="Arial" w:cs="Arial"/>
          <w:b/>
          <w:color w:val="000000" w:themeColor="text1"/>
        </w:rPr>
      </w:pPr>
    </w:p>
    <w:p w14:paraId="4855161B" w14:textId="77777777" w:rsidR="00CB3C86" w:rsidRDefault="00CB3C86" w:rsidP="00C7776F">
      <w:pPr>
        <w:pStyle w:val="ListParagraph"/>
        <w:tabs>
          <w:tab w:val="left" w:pos="426"/>
        </w:tabs>
        <w:spacing w:before="240" w:line="360" w:lineRule="auto"/>
        <w:ind w:left="0" w:right="0"/>
        <w:jc w:val="both"/>
        <w:rPr>
          <w:rFonts w:ascii="Arial" w:hAnsi="Arial" w:cs="Arial"/>
          <w:color w:val="000000" w:themeColor="text1"/>
        </w:rPr>
      </w:pPr>
    </w:p>
    <w:p w14:paraId="53F5A82A" w14:textId="388B053F" w:rsidR="00C7776F" w:rsidRDefault="00C7776F" w:rsidP="00C7776F">
      <w:pPr>
        <w:pStyle w:val="ListParagraph"/>
        <w:tabs>
          <w:tab w:val="left" w:pos="426"/>
        </w:tabs>
        <w:spacing w:before="240" w:line="360" w:lineRule="auto"/>
        <w:ind w:left="0" w:right="0"/>
        <w:jc w:val="both"/>
        <w:rPr>
          <w:rFonts w:ascii="Arial" w:hAnsi="Arial" w:cs="Arial"/>
          <w:color w:val="000000" w:themeColor="text1"/>
        </w:rPr>
      </w:pPr>
      <w:r>
        <w:rPr>
          <w:rFonts w:ascii="Arial" w:hAnsi="Arial" w:cs="Arial"/>
          <w:color w:val="000000" w:themeColor="text1"/>
        </w:rPr>
        <w:t>Mc Aslin AJ:</w:t>
      </w:r>
    </w:p>
    <w:p w14:paraId="1241392A" w14:textId="77777777" w:rsidR="00C7776F" w:rsidRDefault="00C7776F" w:rsidP="00C7776F">
      <w:pPr>
        <w:pStyle w:val="ListParagraph"/>
        <w:tabs>
          <w:tab w:val="left" w:pos="426"/>
        </w:tabs>
        <w:spacing w:before="240" w:line="360" w:lineRule="auto"/>
        <w:ind w:left="0" w:right="0"/>
        <w:jc w:val="both"/>
        <w:rPr>
          <w:rFonts w:ascii="Arial" w:hAnsi="Arial" w:cs="Arial"/>
          <w:color w:val="000000" w:themeColor="text1"/>
        </w:rPr>
      </w:pPr>
    </w:p>
    <w:p w14:paraId="0DC2272A" w14:textId="65DE704D" w:rsidR="00C7776F"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1.</w:t>
      </w:r>
      <w:r>
        <w:rPr>
          <w:rFonts w:ascii="Arial" w:hAnsi="Arial" w:cs="Arial"/>
          <w:color w:val="000000" w:themeColor="text1"/>
        </w:rPr>
        <w:tab/>
      </w:r>
      <w:r w:rsidR="0051471F" w:rsidRPr="00F95852">
        <w:rPr>
          <w:rFonts w:ascii="Arial" w:hAnsi="Arial" w:cs="Arial"/>
          <w:color w:val="000000" w:themeColor="text1"/>
        </w:rPr>
        <w:t xml:space="preserve">This is a matter involving </w:t>
      </w:r>
      <w:r w:rsidR="002850FC" w:rsidRPr="00F95852">
        <w:rPr>
          <w:rFonts w:ascii="Arial" w:hAnsi="Arial" w:cs="Arial"/>
          <w:color w:val="000000" w:themeColor="text1"/>
        </w:rPr>
        <w:t>dissenting shareholders</w:t>
      </w:r>
      <w:r w:rsidR="007800B0" w:rsidRPr="00F95852">
        <w:rPr>
          <w:rFonts w:ascii="Arial" w:hAnsi="Arial" w:cs="Arial"/>
          <w:color w:val="000000" w:themeColor="text1"/>
        </w:rPr>
        <w:t>’</w:t>
      </w:r>
      <w:r w:rsidR="002850FC" w:rsidRPr="00F95852">
        <w:rPr>
          <w:rFonts w:ascii="Arial" w:hAnsi="Arial" w:cs="Arial"/>
          <w:color w:val="000000" w:themeColor="text1"/>
        </w:rPr>
        <w:t xml:space="preserve"> appraisal rights in terms of section 164 of the Companies Act 71 of 2008 (“the Act”).</w:t>
      </w:r>
    </w:p>
    <w:p w14:paraId="07130014" w14:textId="434AB6EF" w:rsidR="006F4A1D"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r>
      <w:r w:rsidR="006F4A1D" w:rsidRPr="00F95852">
        <w:rPr>
          <w:rFonts w:ascii="Arial" w:hAnsi="Arial" w:cs="Arial"/>
          <w:color w:val="000000" w:themeColor="text1"/>
        </w:rPr>
        <w:t xml:space="preserve">The </w:t>
      </w:r>
      <w:r w:rsidR="00C31BFE" w:rsidRPr="00F95852">
        <w:rPr>
          <w:rFonts w:ascii="Arial" w:hAnsi="Arial" w:cs="Arial"/>
          <w:color w:val="000000" w:themeColor="text1"/>
        </w:rPr>
        <w:t>First Applicant and the Second and Third A</w:t>
      </w:r>
      <w:r w:rsidR="006F4A1D" w:rsidRPr="00F95852">
        <w:rPr>
          <w:rFonts w:ascii="Arial" w:hAnsi="Arial" w:cs="Arial"/>
          <w:color w:val="000000" w:themeColor="text1"/>
        </w:rPr>
        <w:t>pplicants</w:t>
      </w:r>
      <w:r w:rsidR="00C31BFE" w:rsidRPr="00F95852">
        <w:rPr>
          <w:rFonts w:ascii="Arial" w:hAnsi="Arial" w:cs="Arial"/>
          <w:color w:val="000000" w:themeColor="text1"/>
        </w:rPr>
        <w:t xml:space="preserve">, in their capacities as the duly </w:t>
      </w:r>
      <w:r w:rsidR="00E86248" w:rsidRPr="00F95852">
        <w:rPr>
          <w:rFonts w:ascii="Arial" w:hAnsi="Arial" w:cs="Arial"/>
          <w:color w:val="000000" w:themeColor="text1"/>
        </w:rPr>
        <w:t>appointed trustees of the Sean Mc Carthy Trust</w:t>
      </w:r>
      <w:r w:rsidR="000D488F" w:rsidRPr="00F95852">
        <w:rPr>
          <w:rFonts w:ascii="Arial" w:hAnsi="Arial" w:cs="Arial"/>
          <w:color w:val="000000" w:themeColor="text1"/>
        </w:rPr>
        <w:t xml:space="preserve"> (“the Trust”)</w:t>
      </w:r>
      <w:r w:rsidR="00E86248" w:rsidRPr="00F95852">
        <w:rPr>
          <w:rFonts w:ascii="Arial" w:hAnsi="Arial" w:cs="Arial"/>
          <w:color w:val="000000" w:themeColor="text1"/>
        </w:rPr>
        <w:t xml:space="preserve">, </w:t>
      </w:r>
      <w:r w:rsidR="006F4A1D" w:rsidRPr="00F95852">
        <w:rPr>
          <w:rFonts w:ascii="Arial" w:hAnsi="Arial" w:cs="Arial"/>
          <w:color w:val="000000" w:themeColor="text1"/>
        </w:rPr>
        <w:t>a</w:t>
      </w:r>
      <w:r w:rsidR="009422F2" w:rsidRPr="00F95852">
        <w:rPr>
          <w:rFonts w:ascii="Arial" w:hAnsi="Arial" w:cs="Arial"/>
          <w:color w:val="000000" w:themeColor="text1"/>
        </w:rPr>
        <w:t>llege that they are</w:t>
      </w:r>
      <w:r w:rsidR="006F4A1D" w:rsidRPr="00F95852">
        <w:rPr>
          <w:rFonts w:ascii="Arial" w:hAnsi="Arial" w:cs="Arial"/>
          <w:color w:val="000000" w:themeColor="text1"/>
        </w:rPr>
        <w:t xml:space="preserve"> </w:t>
      </w:r>
      <w:r w:rsidR="009422F2" w:rsidRPr="00F95852">
        <w:rPr>
          <w:rFonts w:ascii="Arial" w:hAnsi="Arial" w:cs="Arial"/>
          <w:color w:val="000000" w:themeColor="text1"/>
        </w:rPr>
        <w:t xml:space="preserve">dissenting shareholders </w:t>
      </w:r>
      <w:r w:rsidR="00BD09CB" w:rsidRPr="00F95852">
        <w:rPr>
          <w:rFonts w:ascii="Arial" w:hAnsi="Arial" w:cs="Arial"/>
          <w:color w:val="000000" w:themeColor="text1"/>
        </w:rPr>
        <w:t>of</w:t>
      </w:r>
      <w:r w:rsidR="009422F2" w:rsidRPr="00F95852">
        <w:rPr>
          <w:rFonts w:ascii="Arial" w:hAnsi="Arial" w:cs="Arial"/>
          <w:color w:val="000000" w:themeColor="text1"/>
        </w:rPr>
        <w:t xml:space="preserve"> the Respondent</w:t>
      </w:r>
      <w:r w:rsidR="00ED6478" w:rsidRPr="00F95852">
        <w:rPr>
          <w:rFonts w:ascii="Arial" w:hAnsi="Arial" w:cs="Arial"/>
          <w:color w:val="000000" w:themeColor="text1"/>
        </w:rPr>
        <w:t xml:space="preserve"> within the meaning of the Act.</w:t>
      </w:r>
    </w:p>
    <w:p w14:paraId="3BE8BBA7" w14:textId="21D71C64" w:rsidR="001D3B6C"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w:t>
      </w:r>
      <w:r>
        <w:rPr>
          <w:rFonts w:ascii="Arial" w:hAnsi="Arial" w:cs="Arial"/>
          <w:color w:val="000000" w:themeColor="text1"/>
        </w:rPr>
        <w:tab/>
      </w:r>
      <w:r w:rsidR="001D3B6C" w:rsidRPr="00F95852">
        <w:rPr>
          <w:rFonts w:ascii="Arial" w:hAnsi="Arial" w:cs="Arial"/>
          <w:color w:val="000000" w:themeColor="text1"/>
        </w:rPr>
        <w:t xml:space="preserve">The evidence shows, and there is no genuine dispute on this, that the First Applicant and the Trust are the only </w:t>
      </w:r>
      <w:r w:rsidR="00D412ED" w:rsidRPr="00F95852">
        <w:rPr>
          <w:rFonts w:ascii="Arial" w:hAnsi="Arial" w:cs="Arial"/>
          <w:color w:val="000000" w:themeColor="text1"/>
        </w:rPr>
        <w:t>dissenting shareholders and, consequently, there is no need to join any other shareholder</w:t>
      </w:r>
      <w:r w:rsidR="00C87510" w:rsidRPr="00F95852">
        <w:rPr>
          <w:rFonts w:ascii="Arial" w:hAnsi="Arial" w:cs="Arial"/>
          <w:color w:val="000000" w:themeColor="text1"/>
        </w:rPr>
        <w:t xml:space="preserve"> to these proceedings in terms of section 164(15)(a) of the Act.</w:t>
      </w:r>
    </w:p>
    <w:p w14:paraId="5CA8A57A" w14:textId="64535661" w:rsidR="002850FC"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r>
      <w:r w:rsidR="00FE1338" w:rsidRPr="00F95852">
        <w:rPr>
          <w:rFonts w:ascii="Arial" w:hAnsi="Arial" w:cs="Arial"/>
          <w:color w:val="000000" w:themeColor="text1"/>
        </w:rPr>
        <w:t xml:space="preserve">The Respondent </w:t>
      </w:r>
      <w:r w:rsidR="001025B2" w:rsidRPr="00F95852">
        <w:rPr>
          <w:rFonts w:ascii="Arial" w:hAnsi="Arial" w:cs="Arial"/>
          <w:color w:val="000000" w:themeColor="text1"/>
        </w:rPr>
        <w:t>is a public company that used to be listed on the JSE</w:t>
      </w:r>
      <w:r w:rsidR="003C58AF" w:rsidRPr="00F95852">
        <w:rPr>
          <w:rFonts w:ascii="Arial" w:hAnsi="Arial" w:cs="Arial"/>
          <w:color w:val="000000" w:themeColor="text1"/>
        </w:rPr>
        <w:t xml:space="preserve">.  It </w:t>
      </w:r>
      <w:r w:rsidR="00A463D5" w:rsidRPr="00F95852">
        <w:rPr>
          <w:rFonts w:ascii="Arial" w:hAnsi="Arial" w:cs="Arial"/>
          <w:color w:val="000000" w:themeColor="text1"/>
        </w:rPr>
        <w:t>is now listed on an exchange known as ZAR</w:t>
      </w:r>
      <w:r w:rsidR="001A0C61" w:rsidRPr="00F95852">
        <w:rPr>
          <w:rFonts w:ascii="Arial" w:hAnsi="Arial" w:cs="Arial"/>
          <w:color w:val="000000" w:themeColor="text1"/>
        </w:rPr>
        <w:t>X.</w:t>
      </w:r>
    </w:p>
    <w:p w14:paraId="100634BE" w14:textId="3A050601" w:rsidR="00256CA7"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r>
      <w:r w:rsidR="00256CA7" w:rsidRPr="00F95852">
        <w:rPr>
          <w:rFonts w:ascii="Arial" w:hAnsi="Arial" w:cs="Arial"/>
          <w:color w:val="000000" w:themeColor="text1"/>
        </w:rPr>
        <w:t xml:space="preserve">An important element of the Respondent’s listing is its status </w:t>
      </w:r>
      <w:r w:rsidR="00C254DF" w:rsidRPr="00F95852">
        <w:rPr>
          <w:rFonts w:ascii="Arial" w:hAnsi="Arial" w:cs="Arial"/>
          <w:color w:val="000000" w:themeColor="text1"/>
        </w:rPr>
        <w:t xml:space="preserve">as a </w:t>
      </w:r>
      <w:r w:rsidR="00570249" w:rsidRPr="00F95852">
        <w:rPr>
          <w:rFonts w:ascii="Arial" w:hAnsi="Arial" w:cs="Arial"/>
          <w:color w:val="000000" w:themeColor="text1"/>
        </w:rPr>
        <w:t>real estate investment trust</w:t>
      </w:r>
      <w:r w:rsidR="00432AFD" w:rsidRPr="00F95852">
        <w:rPr>
          <w:rFonts w:ascii="Arial" w:hAnsi="Arial" w:cs="Arial"/>
          <w:color w:val="000000" w:themeColor="text1"/>
        </w:rPr>
        <w:t xml:space="preserve"> (“REIT”).  </w:t>
      </w:r>
      <w:r w:rsidR="00CE2BA9" w:rsidRPr="00F95852">
        <w:rPr>
          <w:rFonts w:ascii="Arial" w:hAnsi="Arial" w:cs="Arial"/>
          <w:color w:val="000000" w:themeColor="text1"/>
        </w:rPr>
        <w:t>The Respondent is a property investment company and, as I understand it, its status as a REIT exempts it from paying capital gains tax</w:t>
      </w:r>
      <w:r w:rsidR="00450E61" w:rsidRPr="00F95852">
        <w:rPr>
          <w:rFonts w:ascii="Arial" w:hAnsi="Arial" w:cs="Arial"/>
          <w:color w:val="000000" w:themeColor="text1"/>
        </w:rPr>
        <w:t xml:space="preserve"> on properties sold by it.  </w:t>
      </w:r>
      <w:r w:rsidR="00636A3D" w:rsidRPr="00F95852">
        <w:rPr>
          <w:rFonts w:ascii="Arial" w:hAnsi="Arial" w:cs="Arial"/>
          <w:color w:val="000000" w:themeColor="text1"/>
        </w:rPr>
        <w:t>T</w:t>
      </w:r>
      <w:r w:rsidR="002A3A00" w:rsidRPr="00F95852">
        <w:rPr>
          <w:rFonts w:ascii="Arial" w:hAnsi="Arial" w:cs="Arial"/>
          <w:color w:val="000000" w:themeColor="text1"/>
        </w:rPr>
        <w:t>he Respondent’s bottom line</w:t>
      </w:r>
      <w:r w:rsidR="00636A3D" w:rsidRPr="00F95852">
        <w:rPr>
          <w:rFonts w:ascii="Arial" w:hAnsi="Arial" w:cs="Arial"/>
          <w:color w:val="000000" w:themeColor="text1"/>
        </w:rPr>
        <w:t>,</w:t>
      </w:r>
      <w:r w:rsidR="002A3A00" w:rsidRPr="00F95852">
        <w:rPr>
          <w:rFonts w:ascii="Arial" w:hAnsi="Arial" w:cs="Arial"/>
          <w:color w:val="000000" w:themeColor="text1"/>
        </w:rPr>
        <w:t xml:space="preserve"> and ultimately its share price</w:t>
      </w:r>
      <w:r w:rsidR="00636A3D" w:rsidRPr="00F95852">
        <w:rPr>
          <w:rFonts w:ascii="Arial" w:hAnsi="Arial" w:cs="Arial"/>
          <w:color w:val="000000" w:themeColor="text1"/>
        </w:rPr>
        <w:t xml:space="preserve">, will be </w:t>
      </w:r>
      <w:r w:rsidR="00FB75B1" w:rsidRPr="00F95852">
        <w:rPr>
          <w:rFonts w:ascii="Arial" w:hAnsi="Arial" w:cs="Arial"/>
          <w:color w:val="000000" w:themeColor="text1"/>
        </w:rPr>
        <w:t>higher without the obligation to pay capital gains tax.</w:t>
      </w:r>
    </w:p>
    <w:p w14:paraId="115DBB02" w14:textId="367BA3A2" w:rsidR="003F2C2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ED6BC2" w:rsidRPr="00F95852">
        <w:rPr>
          <w:rFonts w:ascii="Arial" w:hAnsi="Arial" w:cs="Arial"/>
          <w:color w:val="000000" w:themeColor="text1"/>
        </w:rPr>
        <w:t xml:space="preserve">In </w:t>
      </w:r>
      <w:r w:rsidR="0078360A" w:rsidRPr="00F95852">
        <w:rPr>
          <w:rFonts w:ascii="Arial" w:hAnsi="Arial" w:cs="Arial"/>
          <w:color w:val="000000" w:themeColor="text1"/>
        </w:rPr>
        <w:t>November 2018 the JSE suspended trade in the Respondent’s shares</w:t>
      </w:r>
      <w:r w:rsidR="00D66354" w:rsidRPr="00F95852">
        <w:rPr>
          <w:rFonts w:ascii="Arial" w:hAnsi="Arial" w:cs="Arial"/>
          <w:color w:val="000000" w:themeColor="text1"/>
        </w:rPr>
        <w:t xml:space="preserve"> and in </w:t>
      </w:r>
      <w:r w:rsidR="00ED6BC2" w:rsidRPr="00F95852">
        <w:rPr>
          <w:rFonts w:ascii="Arial" w:hAnsi="Arial" w:cs="Arial"/>
          <w:color w:val="000000" w:themeColor="text1"/>
        </w:rPr>
        <w:t xml:space="preserve">February 2019 </w:t>
      </w:r>
      <w:r w:rsidR="00EF1C34" w:rsidRPr="00F95852">
        <w:rPr>
          <w:rFonts w:ascii="Arial" w:hAnsi="Arial" w:cs="Arial"/>
          <w:color w:val="000000" w:themeColor="text1"/>
        </w:rPr>
        <w:t xml:space="preserve">the Respondent’s </w:t>
      </w:r>
      <w:r w:rsidR="00ED6BC2" w:rsidRPr="00F95852">
        <w:rPr>
          <w:rFonts w:ascii="Arial" w:hAnsi="Arial" w:cs="Arial"/>
          <w:color w:val="000000" w:themeColor="text1"/>
        </w:rPr>
        <w:t>status as a REIT was withdrawn by the JSE</w:t>
      </w:r>
      <w:r w:rsidR="00D66354" w:rsidRPr="00F95852">
        <w:rPr>
          <w:rFonts w:ascii="Arial" w:hAnsi="Arial" w:cs="Arial"/>
          <w:color w:val="000000" w:themeColor="text1"/>
        </w:rPr>
        <w:t xml:space="preserve">.  </w:t>
      </w:r>
      <w:r w:rsidR="00055FDA" w:rsidRPr="00F95852">
        <w:rPr>
          <w:rFonts w:ascii="Arial" w:hAnsi="Arial" w:cs="Arial"/>
          <w:color w:val="000000" w:themeColor="text1"/>
        </w:rPr>
        <w:t>It is not necessary to go into t</w:t>
      </w:r>
      <w:r w:rsidR="00D66354" w:rsidRPr="00F95852">
        <w:rPr>
          <w:rFonts w:ascii="Arial" w:hAnsi="Arial" w:cs="Arial"/>
          <w:color w:val="000000" w:themeColor="text1"/>
        </w:rPr>
        <w:t xml:space="preserve">he </w:t>
      </w:r>
      <w:r w:rsidR="00AF1BF7" w:rsidRPr="00F95852">
        <w:rPr>
          <w:rFonts w:ascii="Arial" w:hAnsi="Arial" w:cs="Arial"/>
          <w:color w:val="000000" w:themeColor="text1"/>
        </w:rPr>
        <w:t xml:space="preserve">reasons </w:t>
      </w:r>
      <w:r w:rsidR="00D66354" w:rsidRPr="00F95852">
        <w:rPr>
          <w:rFonts w:ascii="Arial" w:hAnsi="Arial" w:cs="Arial"/>
          <w:color w:val="000000" w:themeColor="text1"/>
        </w:rPr>
        <w:t>for th</w:t>
      </w:r>
      <w:r w:rsidR="00185B5E" w:rsidRPr="00F95852">
        <w:rPr>
          <w:rFonts w:ascii="Arial" w:hAnsi="Arial" w:cs="Arial"/>
          <w:color w:val="000000" w:themeColor="text1"/>
        </w:rPr>
        <w:t>o</w:t>
      </w:r>
      <w:r w:rsidR="00D66354" w:rsidRPr="00F95852">
        <w:rPr>
          <w:rFonts w:ascii="Arial" w:hAnsi="Arial" w:cs="Arial"/>
          <w:color w:val="000000" w:themeColor="text1"/>
        </w:rPr>
        <w:t xml:space="preserve">se two events </w:t>
      </w:r>
      <w:r w:rsidR="00055FDA" w:rsidRPr="00F95852">
        <w:rPr>
          <w:rFonts w:ascii="Arial" w:hAnsi="Arial" w:cs="Arial"/>
          <w:color w:val="000000" w:themeColor="text1"/>
        </w:rPr>
        <w:t xml:space="preserve">for purposes of </w:t>
      </w:r>
      <w:r w:rsidR="00AF1BF7" w:rsidRPr="00F95852">
        <w:rPr>
          <w:rFonts w:ascii="Arial" w:hAnsi="Arial" w:cs="Arial"/>
          <w:color w:val="000000" w:themeColor="text1"/>
        </w:rPr>
        <w:t>this judgment</w:t>
      </w:r>
      <w:r w:rsidR="00D66354" w:rsidRPr="00F95852">
        <w:rPr>
          <w:rFonts w:ascii="Arial" w:hAnsi="Arial" w:cs="Arial"/>
          <w:color w:val="000000" w:themeColor="text1"/>
        </w:rPr>
        <w:t xml:space="preserve">, but they obviously had </w:t>
      </w:r>
      <w:r w:rsidR="00EF1C34" w:rsidRPr="00F95852">
        <w:rPr>
          <w:rFonts w:ascii="Arial" w:hAnsi="Arial" w:cs="Arial"/>
          <w:color w:val="000000" w:themeColor="text1"/>
        </w:rPr>
        <w:t xml:space="preserve">a material impact on the sustainability of the </w:t>
      </w:r>
      <w:r w:rsidR="00DA1B0B" w:rsidRPr="00F95852">
        <w:rPr>
          <w:rFonts w:ascii="Arial" w:hAnsi="Arial" w:cs="Arial"/>
          <w:color w:val="000000" w:themeColor="text1"/>
        </w:rPr>
        <w:t xml:space="preserve">Respondent as a public </w:t>
      </w:r>
      <w:r w:rsidR="009726AF" w:rsidRPr="00F95852">
        <w:rPr>
          <w:rFonts w:ascii="Arial" w:hAnsi="Arial" w:cs="Arial"/>
          <w:color w:val="000000" w:themeColor="text1"/>
        </w:rPr>
        <w:t xml:space="preserve">real estate investment </w:t>
      </w:r>
      <w:r w:rsidR="00DA1B0B" w:rsidRPr="00F95852">
        <w:rPr>
          <w:rFonts w:ascii="Arial" w:hAnsi="Arial" w:cs="Arial"/>
          <w:color w:val="000000" w:themeColor="text1"/>
        </w:rPr>
        <w:t>company</w:t>
      </w:r>
      <w:r w:rsidR="00AF1BF7" w:rsidRPr="00F95852">
        <w:rPr>
          <w:rFonts w:ascii="Arial" w:hAnsi="Arial" w:cs="Arial"/>
          <w:color w:val="000000" w:themeColor="text1"/>
        </w:rPr>
        <w:t>.</w:t>
      </w:r>
    </w:p>
    <w:p w14:paraId="6ADF9D02" w14:textId="4E005DE8" w:rsidR="00FB75B1"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007005B1" w:rsidRPr="00F95852">
        <w:rPr>
          <w:rFonts w:ascii="Arial" w:hAnsi="Arial" w:cs="Arial"/>
          <w:color w:val="000000" w:themeColor="text1"/>
        </w:rPr>
        <w:t xml:space="preserve">At the time that the trade in the Respondent’s shares was suspended, the </w:t>
      </w:r>
      <w:r w:rsidR="003F2C22" w:rsidRPr="00F95852">
        <w:rPr>
          <w:rFonts w:ascii="Arial" w:hAnsi="Arial" w:cs="Arial"/>
          <w:color w:val="000000" w:themeColor="text1"/>
        </w:rPr>
        <w:t>Respondent’s share price was 58 cents per share.</w:t>
      </w:r>
    </w:p>
    <w:p w14:paraId="51436B37" w14:textId="57EB19E5" w:rsidR="00DA1B0B"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8.</w:t>
      </w:r>
      <w:r>
        <w:rPr>
          <w:rFonts w:ascii="Arial" w:hAnsi="Arial" w:cs="Arial"/>
          <w:color w:val="000000" w:themeColor="text1"/>
        </w:rPr>
        <w:tab/>
      </w:r>
      <w:r w:rsidR="003E494E" w:rsidRPr="00F95852">
        <w:rPr>
          <w:rFonts w:ascii="Arial" w:hAnsi="Arial" w:cs="Arial"/>
          <w:color w:val="000000" w:themeColor="text1"/>
        </w:rPr>
        <w:t>The Respondent ascertained that it could regain its status as a REIT on the ZARX exchange</w:t>
      </w:r>
      <w:r w:rsidR="003F2C22" w:rsidRPr="00F95852">
        <w:rPr>
          <w:rFonts w:ascii="Arial" w:hAnsi="Arial" w:cs="Arial"/>
          <w:color w:val="000000" w:themeColor="text1"/>
        </w:rPr>
        <w:t>.  In</w:t>
      </w:r>
      <w:r w:rsidR="0099773B" w:rsidRPr="00F95852">
        <w:rPr>
          <w:rFonts w:ascii="Arial" w:hAnsi="Arial" w:cs="Arial"/>
          <w:color w:val="000000" w:themeColor="text1"/>
        </w:rPr>
        <w:t xml:space="preserve">itially, the Respondent wanted to transfer its listing from the one exchange to the other.  However, the JSE </w:t>
      </w:r>
      <w:r w:rsidR="00003A3C" w:rsidRPr="00F95852">
        <w:rPr>
          <w:rFonts w:ascii="Arial" w:hAnsi="Arial" w:cs="Arial"/>
          <w:color w:val="000000" w:themeColor="text1"/>
        </w:rPr>
        <w:t xml:space="preserve">stipulated that it would not allow a transfer </w:t>
      </w:r>
      <w:r w:rsidR="00E205CB" w:rsidRPr="00F95852">
        <w:rPr>
          <w:rFonts w:ascii="Arial" w:hAnsi="Arial" w:cs="Arial"/>
          <w:color w:val="000000" w:themeColor="text1"/>
        </w:rPr>
        <w:t xml:space="preserve">of the listing </w:t>
      </w:r>
      <w:r w:rsidR="00003A3C" w:rsidRPr="00F95852">
        <w:rPr>
          <w:rFonts w:ascii="Arial" w:hAnsi="Arial" w:cs="Arial"/>
          <w:color w:val="000000" w:themeColor="text1"/>
        </w:rPr>
        <w:t>and it required the Respondent to delist from the JSE.</w:t>
      </w:r>
    </w:p>
    <w:p w14:paraId="3D506CDC" w14:textId="5F675D38" w:rsidR="00D57C2E"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004A4D19" w:rsidRPr="00F95852">
        <w:rPr>
          <w:rFonts w:ascii="Arial" w:hAnsi="Arial" w:cs="Arial"/>
          <w:color w:val="000000" w:themeColor="text1"/>
        </w:rPr>
        <w:t xml:space="preserve">In order to achieve </w:t>
      </w:r>
      <w:r w:rsidR="00676AA3" w:rsidRPr="00F95852">
        <w:rPr>
          <w:rFonts w:ascii="Arial" w:hAnsi="Arial" w:cs="Arial"/>
          <w:color w:val="000000" w:themeColor="text1"/>
        </w:rPr>
        <w:t xml:space="preserve">its purpose of regaining its REIT status on the ZARX exchange </w:t>
      </w:r>
      <w:r w:rsidR="001F5535" w:rsidRPr="00F95852">
        <w:rPr>
          <w:rFonts w:ascii="Arial" w:hAnsi="Arial" w:cs="Arial"/>
          <w:color w:val="000000" w:themeColor="text1"/>
        </w:rPr>
        <w:t>by complying with the JSE’s requirement for a complete delisting</w:t>
      </w:r>
      <w:r w:rsidR="00447D36" w:rsidRPr="00F95852">
        <w:rPr>
          <w:rFonts w:ascii="Arial" w:hAnsi="Arial" w:cs="Arial"/>
          <w:color w:val="000000" w:themeColor="text1"/>
        </w:rPr>
        <w:t xml:space="preserve"> from the JSE</w:t>
      </w:r>
      <w:r w:rsidR="001F5535" w:rsidRPr="00F95852">
        <w:rPr>
          <w:rFonts w:ascii="Arial" w:hAnsi="Arial" w:cs="Arial"/>
          <w:color w:val="000000" w:themeColor="text1"/>
        </w:rPr>
        <w:t xml:space="preserve">, the </w:t>
      </w:r>
      <w:r w:rsidR="001F5535" w:rsidRPr="00F95852">
        <w:rPr>
          <w:rFonts w:ascii="Arial" w:hAnsi="Arial" w:cs="Arial"/>
          <w:color w:val="000000" w:themeColor="text1"/>
        </w:rPr>
        <w:lastRenderedPageBreak/>
        <w:t xml:space="preserve">Respondent proposed a scheme in terms of which </w:t>
      </w:r>
      <w:r w:rsidR="00173CD8" w:rsidRPr="00F95852">
        <w:rPr>
          <w:rFonts w:ascii="Arial" w:hAnsi="Arial" w:cs="Arial"/>
          <w:color w:val="000000" w:themeColor="text1"/>
        </w:rPr>
        <w:t>its controlling shareholder</w:t>
      </w:r>
      <w:r w:rsidR="003A467E" w:rsidRPr="00F95852">
        <w:rPr>
          <w:rFonts w:ascii="Arial" w:hAnsi="Arial" w:cs="Arial"/>
          <w:color w:val="000000" w:themeColor="text1"/>
        </w:rPr>
        <w:t xml:space="preserve"> would purchase </w:t>
      </w:r>
      <w:r w:rsidR="00B121BB" w:rsidRPr="00F95852">
        <w:rPr>
          <w:rFonts w:ascii="Arial" w:hAnsi="Arial" w:cs="Arial"/>
          <w:color w:val="000000" w:themeColor="text1"/>
        </w:rPr>
        <w:t>all the shares of those shareholders participating in the scheme at a price of 2 cents per share</w:t>
      </w:r>
      <w:r w:rsidR="00215776" w:rsidRPr="00F95852">
        <w:rPr>
          <w:rFonts w:ascii="Arial" w:hAnsi="Arial" w:cs="Arial"/>
          <w:color w:val="000000" w:themeColor="text1"/>
        </w:rPr>
        <w:t xml:space="preserve">, with the understanding that </w:t>
      </w:r>
      <w:r w:rsidR="00F77AB0" w:rsidRPr="00F95852">
        <w:rPr>
          <w:rFonts w:ascii="Arial" w:hAnsi="Arial" w:cs="Arial"/>
          <w:color w:val="000000" w:themeColor="text1"/>
        </w:rPr>
        <w:t>any participating shareholder could repurchase its shares</w:t>
      </w:r>
      <w:r w:rsidR="00FA3C3E" w:rsidRPr="00F95852">
        <w:rPr>
          <w:rFonts w:ascii="Arial" w:hAnsi="Arial" w:cs="Arial"/>
          <w:color w:val="000000" w:themeColor="text1"/>
        </w:rPr>
        <w:t xml:space="preserve"> at the same price for a period of 6 months after the delisting of the Respondent from the JSE.</w:t>
      </w:r>
    </w:p>
    <w:p w14:paraId="56FC3D66" w14:textId="39E630B9" w:rsidR="00FA3C3E"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00261952" w:rsidRPr="00F95852">
        <w:rPr>
          <w:rFonts w:ascii="Arial" w:hAnsi="Arial" w:cs="Arial"/>
          <w:color w:val="000000" w:themeColor="text1"/>
        </w:rPr>
        <w:t>It is common cause that the Respondent’s contemplated scheme constituted a scheme of arrangement in terms of section 114(1) of the Act.</w:t>
      </w:r>
    </w:p>
    <w:p w14:paraId="3DF3B408" w14:textId="20D3E1F3" w:rsidR="005358FD"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5358FD" w:rsidRPr="00F95852">
        <w:rPr>
          <w:rFonts w:ascii="Arial" w:hAnsi="Arial" w:cs="Arial"/>
          <w:color w:val="000000" w:themeColor="text1"/>
        </w:rPr>
        <w:t xml:space="preserve">In terms of sections 114(2) and 114(3) the Respondent was required to appoint an independent expert </w:t>
      </w:r>
      <w:r w:rsidR="00AA0214" w:rsidRPr="00F95852">
        <w:rPr>
          <w:rFonts w:ascii="Arial" w:hAnsi="Arial" w:cs="Arial"/>
          <w:i/>
          <w:iCs/>
          <w:color w:val="000000" w:themeColor="text1"/>
        </w:rPr>
        <w:t>inter-alia</w:t>
      </w:r>
      <w:r w:rsidR="00AA0214" w:rsidRPr="00F95852">
        <w:rPr>
          <w:rFonts w:ascii="Arial" w:hAnsi="Arial" w:cs="Arial"/>
          <w:color w:val="000000" w:themeColor="text1"/>
        </w:rPr>
        <w:t xml:space="preserve"> </w:t>
      </w:r>
      <w:r w:rsidR="00C474D2" w:rsidRPr="00F95852">
        <w:rPr>
          <w:rFonts w:ascii="Arial" w:hAnsi="Arial" w:cs="Arial"/>
          <w:color w:val="000000" w:themeColor="text1"/>
        </w:rPr>
        <w:t xml:space="preserve">to </w:t>
      </w:r>
      <w:r w:rsidR="00765294" w:rsidRPr="00F95852">
        <w:rPr>
          <w:rFonts w:ascii="Arial" w:hAnsi="Arial" w:cs="Arial"/>
          <w:color w:val="000000" w:themeColor="text1"/>
        </w:rPr>
        <w:t xml:space="preserve">describe and evaluate the material effects that the scheme of arrangement would have on </w:t>
      </w:r>
      <w:r w:rsidR="00B74385" w:rsidRPr="00F95852">
        <w:rPr>
          <w:rFonts w:ascii="Arial" w:hAnsi="Arial" w:cs="Arial"/>
          <w:color w:val="000000" w:themeColor="text1"/>
        </w:rPr>
        <w:t>every class of shareholder in the Respondent.</w:t>
      </w:r>
    </w:p>
    <w:p w14:paraId="7FEB6486" w14:textId="3B6BCF81" w:rsidR="00492BD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12.</w:t>
      </w:r>
      <w:r>
        <w:rPr>
          <w:rFonts w:ascii="Arial" w:hAnsi="Arial" w:cs="Arial"/>
          <w:color w:val="000000" w:themeColor="text1"/>
        </w:rPr>
        <w:tab/>
      </w:r>
      <w:r w:rsidR="00C561FD" w:rsidRPr="00F95852">
        <w:rPr>
          <w:rFonts w:ascii="Arial" w:hAnsi="Arial" w:cs="Arial"/>
          <w:color w:val="000000" w:themeColor="text1"/>
        </w:rPr>
        <w:t xml:space="preserve">The Respondent duly appointed </w:t>
      </w:r>
      <w:r w:rsidR="00495859" w:rsidRPr="00F95852">
        <w:rPr>
          <w:rFonts w:ascii="Arial" w:hAnsi="Arial" w:cs="Arial"/>
          <w:color w:val="000000" w:themeColor="text1"/>
        </w:rPr>
        <w:t>Neem</w:t>
      </w:r>
      <w:r w:rsidR="006E08EB" w:rsidRPr="00F95852">
        <w:rPr>
          <w:rFonts w:ascii="Arial" w:hAnsi="Arial" w:cs="Arial"/>
          <w:color w:val="000000" w:themeColor="text1"/>
        </w:rPr>
        <w:t>a</w:t>
      </w:r>
      <w:r w:rsidR="00495859" w:rsidRPr="00F95852">
        <w:rPr>
          <w:rFonts w:ascii="Arial" w:hAnsi="Arial" w:cs="Arial"/>
          <w:color w:val="000000" w:themeColor="text1"/>
        </w:rPr>
        <w:t xml:space="preserve"> Capital (Pty) Ltd </w:t>
      </w:r>
      <w:r w:rsidR="006E08EB" w:rsidRPr="00F95852">
        <w:rPr>
          <w:rFonts w:ascii="Arial" w:hAnsi="Arial" w:cs="Arial"/>
          <w:color w:val="000000" w:themeColor="text1"/>
        </w:rPr>
        <w:t xml:space="preserve">(“Neema”) </w:t>
      </w:r>
      <w:r w:rsidR="00495859" w:rsidRPr="00F95852">
        <w:rPr>
          <w:rFonts w:ascii="Arial" w:hAnsi="Arial" w:cs="Arial"/>
          <w:color w:val="000000" w:themeColor="text1"/>
        </w:rPr>
        <w:t>as the independent expert.</w:t>
      </w:r>
    </w:p>
    <w:p w14:paraId="29767AA5" w14:textId="2584559B" w:rsidR="00492BD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13.</w:t>
      </w:r>
      <w:r>
        <w:rPr>
          <w:rFonts w:ascii="Arial" w:hAnsi="Arial" w:cs="Arial"/>
          <w:color w:val="000000" w:themeColor="text1"/>
        </w:rPr>
        <w:tab/>
      </w:r>
      <w:r w:rsidR="00495859" w:rsidRPr="00F95852">
        <w:rPr>
          <w:rFonts w:ascii="Arial" w:hAnsi="Arial" w:cs="Arial"/>
          <w:color w:val="000000" w:themeColor="text1"/>
        </w:rPr>
        <w:t xml:space="preserve">On 9 October 2019 a director of </w:t>
      </w:r>
      <w:r w:rsidR="006E08EB" w:rsidRPr="00F95852">
        <w:rPr>
          <w:rFonts w:ascii="Arial" w:hAnsi="Arial" w:cs="Arial"/>
          <w:color w:val="000000" w:themeColor="text1"/>
        </w:rPr>
        <w:t xml:space="preserve">Neema, Mr or Mrs R Mc Donald, produced a report </w:t>
      </w:r>
      <w:r w:rsidR="00AF278E" w:rsidRPr="00F95852">
        <w:rPr>
          <w:rFonts w:ascii="Arial" w:hAnsi="Arial" w:cs="Arial"/>
          <w:color w:val="000000" w:themeColor="text1"/>
        </w:rPr>
        <w:t xml:space="preserve">in which </w:t>
      </w:r>
      <w:r w:rsidR="0092650C" w:rsidRPr="00F95852">
        <w:rPr>
          <w:rFonts w:ascii="Arial" w:hAnsi="Arial" w:cs="Arial"/>
          <w:color w:val="000000" w:themeColor="text1"/>
        </w:rPr>
        <w:t xml:space="preserve">it was found that </w:t>
      </w:r>
      <w:r w:rsidR="00FB3C5B" w:rsidRPr="00F95852">
        <w:rPr>
          <w:rFonts w:ascii="Arial" w:hAnsi="Arial" w:cs="Arial"/>
          <w:color w:val="000000" w:themeColor="text1"/>
        </w:rPr>
        <w:t>the proposed scheme of arrangement was both unfair and unreasonable</w:t>
      </w:r>
      <w:r w:rsidR="00914243" w:rsidRPr="00F95852">
        <w:rPr>
          <w:rFonts w:ascii="Arial" w:hAnsi="Arial" w:cs="Arial"/>
          <w:color w:val="000000" w:themeColor="text1"/>
        </w:rPr>
        <w:t xml:space="preserve"> for the shareholders of the Respondent.</w:t>
      </w:r>
    </w:p>
    <w:p w14:paraId="3180963E" w14:textId="40108DEC" w:rsidR="00C561FD"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14.</w:t>
      </w:r>
      <w:r>
        <w:rPr>
          <w:rFonts w:ascii="Arial" w:hAnsi="Arial" w:cs="Arial"/>
          <w:color w:val="000000" w:themeColor="text1"/>
        </w:rPr>
        <w:tab/>
      </w:r>
      <w:r w:rsidR="00914243" w:rsidRPr="00F95852">
        <w:rPr>
          <w:rFonts w:ascii="Arial" w:hAnsi="Arial" w:cs="Arial"/>
          <w:color w:val="000000" w:themeColor="text1"/>
        </w:rPr>
        <w:t xml:space="preserve">Importantly for this judgment is the </w:t>
      </w:r>
      <w:r w:rsidR="00C71CFB" w:rsidRPr="00F95852">
        <w:rPr>
          <w:rFonts w:ascii="Arial" w:hAnsi="Arial" w:cs="Arial"/>
          <w:color w:val="000000" w:themeColor="text1"/>
        </w:rPr>
        <w:t xml:space="preserve">valuation done by Neema in which it concluded that the “most likely valuation </w:t>
      </w:r>
      <w:r w:rsidR="00C4503C" w:rsidRPr="00F95852">
        <w:rPr>
          <w:rFonts w:ascii="Arial" w:hAnsi="Arial" w:cs="Arial"/>
          <w:color w:val="000000" w:themeColor="text1"/>
        </w:rPr>
        <w:t xml:space="preserve">… prior to the implementation of the </w:t>
      </w:r>
      <w:r w:rsidR="00B7626B" w:rsidRPr="00F95852">
        <w:rPr>
          <w:rFonts w:ascii="Arial" w:hAnsi="Arial" w:cs="Arial"/>
          <w:color w:val="000000" w:themeColor="text1"/>
        </w:rPr>
        <w:t>[scheme of arrangement]</w:t>
      </w:r>
      <w:r w:rsidR="00C4503C" w:rsidRPr="00F95852">
        <w:rPr>
          <w:rFonts w:ascii="Arial" w:hAnsi="Arial" w:cs="Arial"/>
          <w:color w:val="000000" w:themeColor="text1"/>
        </w:rPr>
        <w:t>” was 50.95 cents per share.</w:t>
      </w:r>
    </w:p>
    <w:p w14:paraId="6EB34F6E" w14:textId="62BBA8C0" w:rsidR="00492BD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15.</w:t>
      </w:r>
      <w:r>
        <w:rPr>
          <w:rFonts w:ascii="Arial" w:hAnsi="Arial" w:cs="Arial"/>
          <w:color w:val="000000" w:themeColor="text1"/>
        </w:rPr>
        <w:tab/>
      </w:r>
      <w:r w:rsidR="001B7EC8" w:rsidRPr="00F95852">
        <w:rPr>
          <w:rFonts w:ascii="Arial" w:hAnsi="Arial" w:cs="Arial"/>
          <w:color w:val="000000" w:themeColor="text1"/>
        </w:rPr>
        <w:t xml:space="preserve">Notwithstanding the findings in the Neema report, on 15 October 2019 the Respondent </w:t>
      </w:r>
      <w:r w:rsidR="00C6034F" w:rsidRPr="00F95852">
        <w:rPr>
          <w:rFonts w:ascii="Arial" w:hAnsi="Arial" w:cs="Arial"/>
          <w:color w:val="000000" w:themeColor="text1"/>
        </w:rPr>
        <w:t>announced its intention to implement the scheme of arrangement.</w:t>
      </w:r>
    </w:p>
    <w:p w14:paraId="0304C514" w14:textId="31C66BA0" w:rsidR="00B74385"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16.</w:t>
      </w:r>
      <w:r>
        <w:rPr>
          <w:rFonts w:ascii="Arial" w:hAnsi="Arial" w:cs="Arial"/>
          <w:color w:val="000000" w:themeColor="text1"/>
        </w:rPr>
        <w:tab/>
      </w:r>
      <w:r w:rsidR="00C6034F" w:rsidRPr="00F95852">
        <w:rPr>
          <w:rFonts w:ascii="Arial" w:hAnsi="Arial" w:cs="Arial"/>
          <w:color w:val="000000" w:themeColor="text1"/>
        </w:rPr>
        <w:t xml:space="preserve">It did so on the basis of </w:t>
      </w:r>
      <w:r w:rsidR="00FE0AAE" w:rsidRPr="00F95852">
        <w:rPr>
          <w:rFonts w:ascii="Arial" w:hAnsi="Arial" w:cs="Arial"/>
          <w:color w:val="000000" w:themeColor="text1"/>
        </w:rPr>
        <w:t>the decision of its independent board</w:t>
      </w:r>
      <w:r w:rsidR="00EB3FBA" w:rsidRPr="00F95852">
        <w:rPr>
          <w:rFonts w:ascii="Arial" w:hAnsi="Arial" w:cs="Arial"/>
          <w:color w:val="000000" w:themeColor="text1"/>
        </w:rPr>
        <w:t xml:space="preserve"> who, although </w:t>
      </w:r>
      <w:r w:rsidR="00835DCF" w:rsidRPr="00F95852">
        <w:rPr>
          <w:rFonts w:ascii="Arial" w:hAnsi="Arial" w:cs="Arial"/>
          <w:color w:val="000000" w:themeColor="text1"/>
        </w:rPr>
        <w:t xml:space="preserve">the board </w:t>
      </w:r>
      <w:r w:rsidR="00EB3FBA" w:rsidRPr="00F95852">
        <w:rPr>
          <w:rFonts w:ascii="Arial" w:hAnsi="Arial" w:cs="Arial"/>
          <w:color w:val="000000" w:themeColor="text1"/>
        </w:rPr>
        <w:t>acknowledged the scheme to be unfair, decided that the scheme was reasonable in light of the Respondent’s ultimate purpose of regaining its REIT status on the ZARX exchange.</w:t>
      </w:r>
    </w:p>
    <w:p w14:paraId="0C48E90C" w14:textId="56AFD9AB" w:rsidR="00E27FC7"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17.</w:t>
      </w:r>
      <w:r>
        <w:rPr>
          <w:rFonts w:ascii="Arial" w:hAnsi="Arial" w:cs="Arial"/>
          <w:color w:val="000000" w:themeColor="text1"/>
        </w:rPr>
        <w:tab/>
      </w:r>
      <w:r w:rsidR="0012620D" w:rsidRPr="00F95852">
        <w:rPr>
          <w:rFonts w:ascii="Arial" w:hAnsi="Arial" w:cs="Arial"/>
          <w:color w:val="000000" w:themeColor="text1"/>
        </w:rPr>
        <w:t>On 24 October 2019</w:t>
      </w:r>
      <w:r w:rsidR="00162D91" w:rsidRPr="00F95852">
        <w:rPr>
          <w:rFonts w:ascii="Arial" w:hAnsi="Arial" w:cs="Arial"/>
          <w:color w:val="000000" w:themeColor="text1"/>
        </w:rPr>
        <w:t xml:space="preserve"> the </w:t>
      </w:r>
      <w:r w:rsidR="00AB45B6" w:rsidRPr="00F95852">
        <w:rPr>
          <w:rFonts w:ascii="Arial" w:hAnsi="Arial" w:cs="Arial"/>
          <w:color w:val="000000" w:themeColor="text1"/>
        </w:rPr>
        <w:t>A</w:t>
      </w:r>
      <w:r w:rsidR="00162D91" w:rsidRPr="00F95852">
        <w:rPr>
          <w:rFonts w:ascii="Arial" w:hAnsi="Arial" w:cs="Arial"/>
          <w:color w:val="000000" w:themeColor="text1"/>
        </w:rPr>
        <w:t>pplicants</w:t>
      </w:r>
      <w:r w:rsidR="006B0E92" w:rsidRPr="00F95852">
        <w:rPr>
          <w:rFonts w:ascii="Arial" w:hAnsi="Arial" w:cs="Arial"/>
          <w:color w:val="000000" w:themeColor="text1"/>
        </w:rPr>
        <w:t xml:space="preserve"> notified the Respondent</w:t>
      </w:r>
      <w:r w:rsidR="004C6243" w:rsidRPr="00F95852">
        <w:rPr>
          <w:rFonts w:ascii="Arial" w:hAnsi="Arial" w:cs="Arial"/>
          <w:color w:val="000000" w:themeColor="text1"/>
        </w:rPr>
        <w:t xml:space="preserve"> </w:t>
      </w:r>
      <w:r w:rsidR="00DC4DF1" w:rsidRPr="00F95852">
        <w:rPr>
          <w:rFonts w:ascii="Arial" w:hAnsi="Arial" w:cs="Arial"/>
          <w:color w:val="000000" w:themeColor="text1"/>
        </w:rPr>
        <w:t>in terms of sectio</w:t>
      </w:r>
      <w:r w:rsidR="000A70E5" w:rsidRPr="00F95852">
        <w:rPr>
          <w:rFonts w:ascii="Arial" w:hAnsi="Arial" w:cs="Arial"/>
          <w:color w:val="000000" w:themeColor="text1"/>
        </w:rPr>
        <w:t xml:space="preserve">n 164(3) of the Act </w:t>
      </w:r>
      <w:r w:rsidR="004C6243" w:rsidRPr="00F95852">
        <w:rPr>
          <w:rFonts w:ascii="Arial" w:hAnsi="Arial" w:cs="Arial"/>
          <w:color w:val="000000" w:themeColor="text1"/>
        </w:rPr>
        <w:t xml:space="preserve">that they objected to the </w:t>
      </w:r>
      <w:r w:rsidR="00DB6912" w:rsidRPr="00F95852">
        <w:rPr>
          <w:rFonts w:ascii="Arial" w:hAnsi="Arial" w:cs="Arial"/>
          <w:color w:val="000000" w:themeColor="text1"/>
        </w:rPr>
        <w:t>Respondent’s proposed resolution to implement the scheme of arrangement</w:t>
      </w:r>
      <w:r w:rsidR="000A70E5" w:rsidRPr="00F95852">
        <w:rPr>
          <w:rFonts w:ascii="Arial" w:hAnsi="Arial" w:cs="Arial"/>
          <w:color w:val="000000" w:themeColor="text1"/>
        </w:rPr>
        <w:t>.</w:t>
      </w:r>
    </w:p>
    <w:p w14:paraId="5C14C538" w14:textId="37E45B13" w:rsidR="000A70E5"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18.</w:t>
      </w:r>
      <w:r>
        <w:rPr>
          <w:rFonts w:ascii="Arial" w:hAnsi="Arial" w:cs="Arial"/>
          <w:color w:val="000000" w:themeColor="text1"/>
        </w:rPr>
        <w:tab/>
      </w:r>
      <w:r w:rsidR="000A70E5" w:rsidRPr="00F95852">
        <w:rPr>
          <w:rFonts w:ascii="Arial" w:hAnsi="Arial" w:cs="Arial"/>
          <w:color w:val="000000" w:themeColor="text1"/>
        </w:rPr>
        <w:t xml:space="preserve">The scheme of arrangement was considered at a </w:t>
      </w:r>
      <w:r w:rsidR="002036B0" w:rsidRPr="00F95852">
        <w:rPr>
          <w:rFonts w:ascii="Arial" w:hAnsi="Arial" w:cs="Arial"/>
          <w:color w:val="000000" w:themeColor="text1"/>
        </w:rPr>
        <w:t xml:space="preserve">special </w:t>
      </w:r>
      <w:r w:rsidR="00637F6B" w:rsidRPr="00F95852">
        <w:rPr>
          <w:rFonts w:ascii="Arial" w:hAnsi="Arial" w:cs="Arial"/>
          <w:color w:val="000000" w:themeColor="text1"/>
        </w:rPr>
        <w:t>meeting of the Respondent’s shareholder</w:t>
      </w:r>
      <w:r w:rsidR="00D815E3" w:rsidRPr="00F95852">
        <w:rPr>
          <w:rFonts w:ascii="Arial" w:hAnsi="Arial" w:cs="Arial"/>
          <w:color w:val="000000" w:themeColor="text1"/>
        </w:rPr>
        <w:t>s on 13 November 2019</w:t>
      </w:r>
      <w:r w:rsidR="002036B0" w:rsidRPr="00F95852">
        <w:rPr>
          <w:rFonts w:ascii="Arial" w:hAnsi="Arial" w:cs="Arial"/>
          <w:color w:val="000000" w:themeColor="text1"/>
        </w:rPr>
        <w:t>, and the resolution</w:t>
      </w:r>
      <w:r w:rsidR="00A36F64" w:rsidRPr="00F95852">
        <w:rPr>
          <w:rFonts w:ascii="Arial" w:hAnsi="Arial" w:cs="Arial"/>
          <w:color w:val="000000" w:themeColor="text1"/>
        </w:rPr>
        <w:t>s</w:t>
      </w:r>
      <w:r w:rsidR="002036B0" w:rsidRPr="00F95852">
        <w:rPr>
          <w:rFonts w:ascii="Arial" w:hAnsi="Arial" w:cs="Arial"/>
          <w:color w:val="000000" w:themeColor="text1"/>
        </w:rPr>
        <w:t xml:space="preserve"> to </w:t>
      </w:r>
      <w:r w:rsidR="00A36F64" w:rsidRPr="00F95852">
        <w:rPr>
          <w:rFonts w:ascii="Arial" w:hAnsi="Arial" w:cs="Arial"/>
          <w:color w:val="000000" w:themeColor="text1"/>
        </w:rPr>
        <w:t>authorise and implement the scheme of arrangement w</w:t>
      </w:r>
      <w:r w:rsidR="002D2256" w:rsidRPr="00F95852">
        <w:rPr>
          <w:rFonts w:ascii="Arial" w:hAnsi="Arial" w:cs="Arial"/>
          <w:color w:val="000000" w:themeColor="text1"/>
        </w:rPr>
        <w:t>ere</w:t>
      </w:r>
      <w:r w:rsidR="00A36F64" w:rsidRPr="00F95852">
        <w:rPr>
          <w:rFonts w:ascii="Arial" w:hAnsi="Arial" w:cs="Arial"/>
          <w:color w:val="000000" w:themeColor="text1"/>
        </w:rPr>
        <w:t xml:space="preserve"> approved by a majority of the Respondent’s shareholders.</w:t>
      </w:r>
    </w:p>
    <w:p w14:paraId="2C2AEB5F" w14:textId="12C1ED7B" w:rsidR="002752D4"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19.</w:t>
      </w:r>
      <w:r>
        <w:rPr>
          <w:rFonts w:ascii="Arial" w:hAnsi="Arial" w:cs="Arial"/>
          <w:color w:val="000000" w:themeColor="text1"/>
        </w:rPr>
        <w:tab/>
      </w:r>
      <w:r w:rsidR="001D304C" w:rsidRPr="00F95852">
        <w:rPr>
          <w:rFonts w:ascii="Arial" w:hAnsi="Arial" w:cs="Arial"/>
          <w:color w:val="000000" w:themeColor="text1"/>
        </w:rPr>
        <w:t>On 19 November 2019</w:t>
      </w:r>
      <w:r w:rsidR="00AB45B6" w:rsidRPr="00F95852">
        <w:rPr>
          <w:rFonts w:ascii="Arial" w:hAnsi="Arial" w:cs="Arial"/>
          <w:color w:val="000000" w:themeColor="text1"/>
        </w:rPr>
        <w:t xml:space="preserve"> the Applicants issued a demand to the Respondent in terms of section 164(5) of the Act</w:t>
      </w:r>
      <w:r w:rsidR="00864DB3" w:rsidRPr="00F95852">
        <w:rPr>
          <w:rFonts w:ascii="Arial" w:hAnsi="Arial" w:cs="Arial"/>
          <w:color w:val="000000" w:themeColor="text1"/>
        </w:rPr>
        <w:t>,</w:t>
      </w:r>
      <w:r w:rsidR="00AB45B6" w:rsidRPr="00F95852">
        <w:rPr>
          <w:rFonts w:ascii="Arial" w:hAnsi="Arial" w:cs="Arial"/>
          <w:color w:val="000000" w:themeColor="text1"/>
        </w:rPr>
        <w:t xml:space="preserve"> wherein they </w:t>
      </w:r>
      <w:r w:rsidR="004E202C" w:rsidRPr="00F95852">
        <w:rPr>
          <w:rFonts w:ascii="Arial" w:hAnsi="Arial" w:cs="Arial"/>
          <w:color w:val="000000" w:themeColor="text1"/>
        </w:rPr>
        <w:t xml:space="preserve">required </w:t>
      </w:r>
      <w:r w:rsidR="00351BAD" w:rsidRPr="00F95852">
        <w:rPr>
          <w:rFonts w:ascii="Arial" w:hAnsi="Arial" w:cs="Arial"/>
          <w:color w:val="000000" w:themeColor="text1"/>
        </w:rPr>
        <w:t>the Respondent to pay them the fair value for the shares held by them.</w:t>
      </w:r>
    </w:p>
    <w:p w14:paraId="4AE34B3E" w14:textId="5CDF468D" w:rsidR="00351BAD"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20.</w:t>
      </w:r>
      <w:r>
        <w:rPr>
          <w:rFonts w:ascii="Arial" w:hAnsi="Arial" w:cs="Arial"/>
          <w:color w:val="000000" w:themeColor="text1"/>
        </w:rPr>
        <w:tab/>
      </w:r>
      <w:r w:rsidR="005B610B" w:rsidRPr="00F95852">
        <w:rPr>
          <w:rFonts w:ascii="Arial" w:hAnsi="Arial" w:cs="Arial"/>
          <w:color w:val="000000" w:themeColor="text1"/>
        </w:rPr>
        <w:t xml:space="preserve">In terms of section 164(11) of the Act the Respondent was required to </w:t>
      </w:r>
      <w:r w:rsidR="00F121F4" w:rsidRPr="00F95852">
        <w:rPr>
          <w:rFonts w:ascii="Arial" w:hAnsi="Arial" w:cs="Arial"/>
          <w:color w:val="000000" w:themeColor="text1"/>
        </w:rPr>
        <w:t xml:space="preserve">make a written offer </w:t>
      </w:r>
      <w:r w:rsidR="003C4BBA" w:rsidRPr="00F95852">
        <w:rPr>
          <w:rFonts w:ascii="Arial" w:hAnsi="Arial" w:cs="Arial"/>
          <w:color w:val="000000" w:themeColor="text1"/>
        </w:rPr>
        <w:t>to pay the Applicants an amount considered by the Respondent’s directors to be the fair value of the share</w:t>
      </w:r>
      <w:r w:rsidR="00EC4490" w:rsidRPr="00F95852">
        <w:rPr>
          <w:rFonts w:ascii="Arial" w:hAnsi="Arial" w:cs="Arial"/>
          <w:color w:val="000000" w:themeColor="text1"/>
        </w:rPr>
        <w:t>s.</w:t>
      </w:r>
    </w:p>
    <w:p w14:paraId="20692AAC" w14:textId="6D01B1C3" w:rsidR="000D52CC"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21.</w:t>
      </w:r>
      <w:r>
        <w:rPr>
          <w:rFonts w:ascii="Arial" w:hAnsi="Arial" w:cs="Arial"/>
          <w:color w:val="000000" w:themeColor="text1"/>
        </w:rPr>
        <w:tab/>
      </w:r>
      <w:r w:rsidR="00EC4490" w:rsidRPr="00F95852">
        <w:rPr>
          <w:rFonts w:ascii="Arial" w:hAnsi="Arial" w:cs="Arial"/>
          <w:color w:val="000000" w:themeColor="text1"/>
        </w:rPr>
        <w:t>It is common cause that the Respondent did not make the required offer to the Applicants</w:t>
      </w:r>
      <w:r w:rsidR="008B7108" w:rsidRPr="00F95852">
        <w:rPr>
          <w:rFonts w:ascii="Arial" w:hAnsi="Arial" w:cs="Arial"/>
          <w:color w:val="000000" w:themeColor="text1"/>
        </w:rPr>
        <w:t>.</w:t>
      </w:r>
    </w:p>
    <w:p w14:paraId="3B752B89" w14:textId="366185E5" w:rsidR="00EC4490"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22.</w:t>
      </w:r>
      <w:r>
        <w:rPr>
          <w:rFonts w:ascii="Arial" w:hAnsi="Arial" w:cs="Arial"/>
          <w:color w:val="000000" w:themeColor="text1"/>
        </w:rPr>
        <w:tab/>
      </w:r>
      <w:r w:rsidR="008B7108" w:rsidRPr="00F95852">
        <w:rPr>
          <w:rFonts w:ascii="Arial" w:hAnsi="Arial" w:cs="Arial"/>
          <w:color w:val="000000" w:themeColor="text1"/>
        </w:rPr>
        <w:t xml:space="preserve">In the result the Applicants commenced </w:t>
      </w:r>
      <w:r w:rsidR="002D2E2E" w:rsidRPr="00F95852">
        <w:rPr>
          <w:rFonts w:ascii="Arial" w:hAnsi="Arial" w:cs="Arial"/>
          <w:color w:val="000000" w:themeColor="text1"/>
        </w:rPr>
        <w:t xml:space="preserve">legal </w:t>
      </w:r>
      <w:r w:rsidR="008B7108" w:rsidRPr="00F95852">
        <w:rPr>
          <w:rFonts w:ascii="Arial" w:hAnsi="Arial" w:cs="Arial"/>
          <w:color w:val="000000" w:themeColor="text1"/>
        </w:rPr>
        <w:t>proceedings</w:t>
      </w:r>
      <w:r w:rsidR="002D2E2E" w:rsidRPr="00F95852">
        <w:rPr>
          <w:rFonts w:ascii="Arial" w:hAnsi="Arial" w:cs="Arial"/>
          <w:color w:val="000000" w:themeColor="text1"/>
        </w:rPr>
        <w:t xml:space="preserve"> for a declarator</w:t>
      </w:r>
      <w:r w:rsidR="00C9584B" w:rsidRPr="00F95852">
        <w:rPr>
          <w:rFonts w:ascii="Arial" w:hAnsi="Arial" w:cs="Arial"/>
          <w:color w:val="000000" w:themeColor="text1"/>
        </w:rPr>
        <w:t xml:space="preserve"> that the fair value of the shares is 50.95 cents per share</w:t>
      </w:r>
      <w:r w:rsidR="000D52CC" w:rsidRPr="00F95852">
        <w:rPr>
          <w:rFonts w:ascii="Arial" w:hAnsi="Arial" w:cs="Arial"/>
          <w:color w:val="000000" w:themeColor="text1"/>
        </w:rPr>
        <w:t>,</w:t>
      </w:r>
      <w:r w:rsidR="00E127E5" w:rsidRPr="00F95852">
        <w:rPr>
          <w:rFonts w:ascii="Arial" w:hAnsi="Arial" w:cs="Arial"/>
          <w:color w:val="000000" w:themeColor="text1"/>
        </w:rPr>
        <w:t xml:space="preserve"> and for an order obliging the Respondent to pay the Applicants</w:t>
      </w:r>
      <w:r w:rsidR="000D52CC" w:rsidRPr="00F95852">
        <w:rPr>
          <w:rFonts w:ascii="Arial" w:hAnsi="Arial" w:cs="Arial"/>
          <w:color w:val="000000" w:themeColor="text1"/>
        </w:rPr>
        <w:t xml:space="preserve"> for the shares held by them at that value.</w:t>
      </w:r>
    </w:p>
    <w:p w14:paraId="5E7504F8" w14:textId="2A227C75" w:rsidR="00760C2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23.</w:t>
      </w:r>
      <w:r>
        <w:rPr>
          <w:rFonts w:ascii="Arial" w:hAnsi="Arial" w:cs="Arial"/>
          <w:color w:val="000000" w:themeColor="text1"/>
        </w:rPr>
        <w:tab/>
      </w:r>
      <w:r w:rsidR="00C861DD" w:rsidRPr="00F95852">
        <w:rPr>
          <w:rFonts w:ascii="Arial" w:hAnsi="Arial" w:cs="Arial"/>
          <w:color w:val="000000" w:themeColor="text1"/>
        </w:rPr>
        <w:t>Upon the exchange of the affidavits</w:t>
      </w:r>
      <w:r w:rsidR="0087653B" w:rsidRPr="00F95852">
        <w:rPr>
          <w:rFonts w:ascii="Arial" w:hAnsi="Arial" w:cs="Arial"/>
          <w:color w:val="000000" w:themeColor="text1"/>
        </w:rPr>
        <w:t xml:space="preserve"> </w:t>
      </w:r>
      <w:r w:rsidR="00694F48" w:rsidRPr="00F95852">
        <w:rPr>
          <w:rFonts w:ascii="Arial" w:hAnsi="Arial" w:cs="Arial"/>
          <w:color w:val="000000" w:themeColor="text1"/>
        </w:rPr>
        <w:t xml:space="preserve">and heads of argument </w:t>
      </w:r>
      <w:r w:rsidR="0087653B" w:rsidRPr="00F95852">
        <w:rPr>
          <w:rFonts w:ascii="Arial" w:hAnsi="Arial" w:cs="Arial"/>
          <w:color w:val="000000" w:themeColor="text1"/>
        </w:rPr>
        <w:t xml:space="preserve">in the application </w:t>
      </w:r>
      <w:r w:rsidR="002C4FEB" w:rsidRPr="00F95852">
        <w:rPr>
          <w:rFonts w:ascii="Arial" w:hAnsi="Arial" w:cs="Arial"/>
          <w:color w:val="000000" w:themeColor="text1"/>
        </w:rPr>
        <w:t>a host of issues existed between the parties.</w:t>
      </w:r>
      <w:r w:rsidR="00DA2886" w:rsidRPr="00F95852">
        <w:rPr>
          <w:rFonts w:ascii="Arial" w:hAnsi="Arial" w:cs="Arial"/>
          <w:color w:val="000000" w:themeColor="text1"/>
        </w:rPr>
        <w:t xml:space="preserve">  The Respondent</w:t>
      </w:r>
      <w:r w:rsidR="008D6F7A" w:rsidRPr="00F95852">
        <w:rPr>
          <w:rFonts w:ascii="Arial" w:hAnsi="Arial" w:cs="Arial"/>
          <w:color w:val="000000" w:themeColor="text1"/>
        </w:rPr>
        <w:t xml:space="preserve"> disputed </w:t>
      </w:r>
      <w:r w:rsidR="00760C26" w:rsidRPr="00F95852">
        <w:rPr>
          <w:rFonts w:ascii="Arial" w:hAnsi="Arial" w:cs="Arial"/>
          <w:color w:val="000000" w:themeColor="text1"/>
        </w:rPr>
        <w:t>the following:</w:t>
      </w:r>
    </w:p>
    <w:p w14:paraId="2463F0EF" w14:textId="1C647FA2" w:rsidR="009625A1"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0D488F" w:rsidRPr="00F95852">
        <w:rPr>
          <w:rFonts w:ascii="Arial" w:hAnsi="Arial" w:cs="Arial"/>
          <w:color w:val="000000" w:themeColor="text1"/>
        </w:rPr>
        <w:t>t</w:t>
      </w:r>
      <w:r w:rsidR="008D6F7A" w:rsidRPr="00F95852">
        <w:rPr>
          <w:rFonts w:ascii="Arial" w:hAnsi="Arial" w:cs="Arial"/>
          <w:color w:val="000000" w:themeColor="text1"/>
        </w:rPr>
        <w:t xml:space="preserve">hat the Applicants </w:t>
      </w:r>
      <w:r w:rsidR="00907C77" w:rsidRPr="00F95852">
        <w:rPr>
          <w:rFonts w:ascii="Arial" w:hAnsi="Arial" w:cs="Arial"/>
          <w:color w:val="000000" w:themeColor="text1"/>
        </w:rPr>
        <w:t xml:space="preserve">had the necessary </w:t>
      </w:r>
      <w:r w:rsidR="00907C77" w:rsidRPr="00F95852">
        <w:rPr>
          <w:rFonts w:ascii="Arial" w:hAnsi="Arial" w:cs="Arial"/>
          <w:i/>
          <w:iCs/>
          <w:color w:val="000000" w:themeColor="text1"/>
        </w:rPr>
        <w:t>locus standi</w:t>
      </w:r>
      <w:r w:rsidR="00907C77" w:rsidRPr="00F95852">
        <w:rPr>
          <w:rFonts w:ascii="Arial" w:hAnsi="Arial" w:cs="Arial"/>
          <w:color w:val="000000" w:themeColor="text1"/>
        </w:rPr>
        <w:t xml:space="preserve"> to bring the application </w:t>
      </w:r>
      <w:r w:rsidR="00760C26" w:rsidRPr="00F95852">
        <w:rPr>
          <w:rFonts w:ascii="Arial" w:hAnsi="Arial" w:cs="Arial"/>
          <w:color w:val="000000" w:themeColor="text1"/>
        </w:rPr>
        <w:t xml:space="preserve">because </w:t>
      </w:r>
      <w:r w:rsidR="009625A1" w:rsidRPr="00F95852">
        <w:rPr>
          <w:rFonts w:ascii="Arial" w:hAnsi="Arial" w:cs="Arial"/>
          <w:color w:val="000000" w:themeColor="text1"/>
        </w:rPr>
        <w:t>they were not shareholders of the Respondent</w:t>
      </w:r>
      <w:r w:rsidR="000D488F" w:rsidRPr="00F95852">
        <w:rPr>
          <w:rFonts w:ascii="Arial" w:hAnsi="Arial" w:cs="Arial"/>
          <w:color w:val="000000" w:themeColor="text1"/>
        </w:rPr>
        <w:t>;</w:t>
      </w:r>
    </w:p>
    <w:p w14:paraId="6005C56B" w14:textId="016DFC09" w:rsidR="00303EF7"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0D488F" w:rsidRPr="00F95852">
        <w:rPr>
          <w:rFonts w:ascii="Arial" w:hAnsi="Arial" w:cs="Arial"/>
          <w:color w:val="000000" w:themeColor="text1"/>
        </w:rPr>
        <w:t>t</w:t>
      </w:r>
      <w:r w:rsidR="001077FE" w:rsidRPr="00F95852">
        <w:rPr>
          <w:rFonts w:ascii="Arial" w:hAnsi="Arial" w:cs="Arial"/>
          <w:color w:val="000000" w:themeColor="text1"/>
        </w:rPr>
        <w:t>hat the scheme of arrangement was unfair</w:t>
      </w:r>
      <w:r w:rsidR="000D488F" w:rsidRPr="00F95852">
        <w:rPr>
          <w:rFonts w:ascii="Arial" w:hAnsi="Arial" w:cs="Arial"/>
          <w:color w:val="000000" w:themeColor="text1"/>
        </w:rPr>
        <w:t>;</w:t>
      </w:r>
    </w:p>
    <w:p w14:paraId="396AC400" w14:textId="11477420" w:rsidR="001077FE"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(c)</w:t>
      </w:r>
      <w:r>
        <w:rPr>
          <w:rFonts w:ascii="Arial" w:hAnsi="Arial" w:cs="Arial"/>
          <w:color w:val="000000" w:themeColor="text1"/>
        </w:rPr>
        <w:tab/>
      </w:r>
      <w:r w:rsidR="000D488F" w:rsidRPr="00F95852">
        <w:rPr>
          <w:rFonts w:ascii="Arial" w:hAnsi="Arial" w:cs="Arial"/>
          <w:color w:val="000000" w:themeColor="text1"/>
        </w:rPr>
        <w:t>t</w:t>
      </w:r>
      <w:r w:rsidR="002E11D2" w:rsidRPr="00F95852">
        <w:rPr>
          <w:rFonts w:ascii="Arial" w:hAnsi="Arial" w:cs="Arial"/>
          <w:color w:val="000000" w:themeColor="text1"/>
        </w:rPr>
        <w:t xml:space="preserve">hat the </w:t>
      </w:r>
      <w:r w:rsidR="00176078" w:rsidRPr="00F95852">
        <w:rPr>
          <w:rFonts w:ascii="Arial" w:hAnsi="Arial" w:cs="Arial"/>
          <w:color w:val="000000" w:themeColor="text1"/>
        </w:rPr>
        <w:t xml:space="preserve">Second and Third Applicant </w:t>
      </w:r>
      <w:r w:rsidR="00B73E70" w:rsidRPr="00F95852">
        <w:rPr>
          <w:rFonts w:ascii="Arial" w:hAnsi="Arial" w:cs="Arial"/>
          <w:color w:val="000000" w:themeColor="text1"/>
        </w:rPr>
        <w:t xml:space="preserve">were authorised to represent the </w:t>
      </w:r>
      <w:r w:rsidR="000D488F" w:rsidRPr="00F95852">
        <w:rPr>
          <w:rFonts w:ascii="Arial" w:hAnsi="Arial" w:cs="Arial"/>
          <w:color w:val="000000" w:themeColor="text1"/>
        </w:rPr>
        <w:t>Trust;</w:t>
      </w:r>
    </w:p>
    <w:p w14:paraId="4D6EFCF0" w14:textId="23FB5A8D" w:rsidR="000D488F"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(d)</w:t>
      </w:r>
      <w:r>
        <w:rPr>
          <w:rFonts w:ascii="Arial" w:hAnsi="Arial" w:cs="Arial"/>
          <w:color w:val="000000" w:themeColor="text1"/>
        </w:rPr>
        <w:tab/>
      </w:r>
      <w:r w:rsidR="00272AE8" w:rsidRPr="00F95852">
        <w:rPr>
          <w:rFonts w:ascii="Arial" w:hAnsi="Arial" w:cs="Arial"/>
          <w:color w:val="000000" w:themeColor="text1"/>
        </w:rPr>
        <w:t>that the Applicants had delivered their demand to the Takeover Regulation Panel</w:t>
      </w:r>
      <w:r w:rsidR="00AD16C6" w:rsidRPr="00F95852">
        <w:rPr>
          <w:rFonts w:ascii="Arial" w:hAnsi="Arial" w:cs="Arial"/>
          <w:color w:val="000000" w:themeColor="text1"/>
        </w:rPr>
        <w:t xml:space="preserve"> as required by section 164(8) of the Act;</w:t>
      </w:r>
    </w:p>
    <w:p w14:paraId="4ECDA255" w14:textId="512F5288" w:rsidR="00AD16C6"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(e)</w:t>
      </w:r>
      <w:r>
        <w:rPr>
          <w:rFonts w:ascii="Arial" w:hAnsi="Arial" w:cs="Arial"/>
          <w:color w:val="000000" w:themeColor="text1"/>
        </w:rPr>
        <w:tab/>
      </w:r>
      <w:r w:rsidR="005C31FD" w:rsidRPr="00F95852">
        <w:rPr>
          <w:rFonts w:ascii="Arial" w:hAnsi="Arial" w:cs="Arial"/>
          <w:color w:val="000000" w:themeColor="text1"/>
        </w:rPr>
        <w:t xml:space="preserve">that the Applicants </w:t>
      </w:r>
      <w:r w:rsidR="00F71EAC" w:rsidRPr="00F95852">
        <w:rPr>
          <w:rFonts w:ascii="Arial" w:hAnsi="Arial" w:cs="Arial"/>
          <w:color w:val="000000" w:themeColor="text1"/>
        </w:rPr>
        <w:t>had</w:t>
      </w:r>
      <w:r w:rsidR="005C31FD" w:rsidRPr="00F95852">
        <w:rPr>
          <w:rFonts w:ascii="Arial" w:hAnsi="Arial" w:cs="Arial"/>
          <w:color w:val="000000" w:themeColor="text1"/>
        </w:rPr>
        <w:t xml:space="preserve"> sen</w:t>
      </w:r>
      <w:r w:rsidR="00D902F3" w:rsidRPr="00F95852">
        <w:rPr>
          <w:rFonts w:ascii="Arial" w:hAnsi="Arial" w:cs="Arial"/>
          <w:color w:val="000000" w:themeColor="text1"/>
        </w:rPr>
        <w:t>t</w:t>
      </w:r>
      <w:r w:rsidR="005C31FD" w:rsidRPr="00F95852">
        <w:rPr>
          <w:rFonts w:ascii="Arial" w:hAnsi="Arial" w:cs="Arial"/>
          <w:color w:val="000000" w:themeColor="text1"/>
        </w:rPr>
        <w:t xml:space="preserve"> their demand within 20 days of </w:t>
      </w:r>
      <w:r w:rsidR="00B938A7" w:rsidRPr="00F95852">
        <w:rPr>
          <w:rFonts w:ascii="Arial" w:hAnsi="Arial" w:cs="Arial"/>
          <w:color w:val="000000" w:themeColor="text1"/>
        </w:rPr>
        <w:t xml:space="preserve">learning of the resolution to adopt the </w:t>
      </w:r>
      <w:r w:rsidR="0099207C" w:rsidRPr="00F95852">
        <w:rPr>
          <w:rFonts w:ascii="Arial" w:hAnsi="Arial" w:cs="Arial"/>
          <w:color w:val="000000" w:themeColor="text1"/>
        </w:rPr>
        <w:t>scheme of arrangement; and</w:t>
      </w:r>
    </w:p>
    <w:p w14:paraId="6BD5DECE" w14:textId="5124B73E" w:rsidR="0099207C"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sidRPr="00303EF7">
        <w:rPr>
          <w:rFonts w:ascii="Arial" w:hAnsi="Arial" w:cs="Arial"/>
          <w:color w:val="000000" w:themeColor="text1"/>
        </w:rPr>
        <w:t>(f)</w:t>
      </w:r>
      <w:r w:rsidRPr="00303EF7">
        <w:rPr>
          <w:rFonts w:ascii="Arial" w:hAnsi="Arial" w:cs="Arial"/>
          <w:color w:val="000000" w:themeColor="text1"/>
        </w:rPr>
        <w:tab/>
      </w:r>
      <w:r w:rsidR="0099207C" w:rsidRPr="00F95852">
        <w:rPr>
          <w:rFonts w:ascii="Arial" w:hAnsi="Arial" w:cs="Arial"/>
          <w:color w:val="000000" w:themeColor="text1"/>
        </w:rPr>
        <w:t>that the Applicants attend</w:t>
      </w:r>
      <w:r w:rsidR="00D902F3" w:rsidRPr="00F95852">
        <w:rPr>
          <w:rFonts w:ascii="Arial" w:hAnsi="Arial" w:cs="Arial"/>
          <w:color w:val="000000" w:themeColor="text1"/>
        </w:rPr>
        <w:t>ed</w:t>
      </w:r>
      <w:r w:rsidR="0099207C" w:rsidRPr="00F95852">
        <w:rPr>
          <w:rFonts w:ascii="Arial" w:hAnsi="Arial" w:cs="Arial"/>
          <w:color w:val="000000" w:themeColor="text1"/>
        </w:rPr>
        <w:t xml:space="preserve"> the special meeting of shareholders</w:t>
      </w:r>
      <w:r w:rsidR="00A012E3" w:rsidRPr="00F95852">
        <w:rPr>
          <w:rFonts w:ascii="Arial" w:hAnsi="Arial" w:cs="Arial"/>
          <w:color w:val="000000" w:themeColor="text1"/>
        </w:rPr>
        <w:t xml:space="preserve"> and </w:t>
      </w:r>
      <w:r w:rsidR="00702E33" w:rsidRPr="00F95852">
        <w:rPr>
          <w:rFonts w:ascii="Arial" w:hAnsi="Arial" w:cs="Arial"/>
          <w:color w:val="000000" w:themeColor="text1"/>
        </w:rPr>
        <w:t>vote</w:t>
      </w:r>
      <w:r w:rsidR="00D902F3" w:rsidRPr="00F95852">
        <w:rPr>
          <w:rFonts w:ascii="Arial" w:hAnsi="Arial" w:cs="Arial"/>
          <w:color w:val="000000" w:themeColor="text1"/>
        </w:rPr>
        <w:t>d</w:t>
      </w:r>
      <w:r w:rsidR="00702E33" w:rsidRPr="00F95852">
        <w:rPr>
          <w:rFonts w:ascii="Arial" w:hAnsi="Arial" w:cs="Arial"/>
          <w:color w:val="000000" w:themeColor="text1"/>
        </w:rPr>
        <w:t xml:space="preserve"> against </w:t>
      </w:r>
      <w:r w:rsidR="00A012E3" w:rsidRPr="00F95852">
        <w:rPr>
          <w:rFonts w:ascii="Arial" w:hAnsi="Arial" w:cs="Arial"/>
          <w:color w:val="000000" w:themeColor="text1"/>
        </w:rPr>
        <w:t>the resolutions as required by section 164</w:t>
      </w:r>
      <w:r w:rsidR="00702E33" w:rsidRPr="00F95852">
        <w:rPr>
          <w:rFonts w:ascii="Arial" w:hAnsi="Arial" w:cs="Arial"/>
          <w:color w:val="000000" w:themeColor="text1"/>
        </w:rPr>
        <w:t>(5)(c)(i) of the Act.</w:t>
      </w:r>
    </w:p>
    <w:p w14:paraId="0A085F63" w14:textId="3D5B57C9" w:rsidR="00702E3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sidRPr="00F33188">
        <w:rPr>
          <w:rFonts w:ascii="Arial" w:hAnsi="Arial" w:cs="Arial"/>
          <w:color w:val="000000" w:themeColor="text1"/>
        </w:rPr>
        <w:lastRenderedPageBreak/>
        <w:t>24.</w:t>
      </w:r>
      <w:r w:rsidRPr="00F33188">
        <w:rPr>
          <w:rFonts w:ascii="Arial" w:hAnsi="Arial" w:cs="Arial"/>
          <w:color w:val="000000" w:themeColor="text1"/>
        </w:rPr>
        <w:tab/>
      </w:r>
      <w:r w:rsidR="00702E33" w:rsidRPr="00F95852">
        <w:rPr>
          <w:rFonts w:ascii="Arial" w:hAnsi="Arial" w:cs="Arial"/>
          <w:color w:val="000000" w:themeColor="text1"/>
        </w:rPr>
        <w:t xml:space="preserve">The Respondent also </w:t>
      </w:r>
      <w:r w:rsidR="007A19B4" w:rsidRPr="00F95852">
        <w:rPr>
          <w:rFonts w:ascii="Arial" w:hAnsi="Arial" w:cs="Arial"/>
          <w:color w:val="000000" w:themeColor="text1"/>
        </w:rPr>
        <w:t>contended that the application was premature because the Applicants were first required to obtain an order compelling the Respondent to make the written offer stipulated in section 164(11) of the Act</w:t>
      </w:r>
      <w:r w:rsidR="00015CFE" w:rsidRPr="00F95852">
        <w:rPr>
          <w:rFonts w:ascii="Arial" w:hAnsi="Arial" w:cs="Arial"/>
          <w:color w:val="000000" w:themeColor="text1"/>
        </w:rPr>
        <w:t xml:space="preserve"> and, furthermore, </w:t>
      </w:r>
      <w:r w:rsidR="00A960C0" w:rsidRPr="00F95852">
        <w:rPr>
          <w:rFonts w:ascii="Arial" w:hAnsi="Arial" w:cs="Arial"/>
          <w:color w:val="000000" w:themeColor="text1"/>
        </w:rPr>
        <w:t xml:space="preserve">that the Applicants were non-suited because they should have applied to review </w:t>
      </w:r>
      <w:r w:rsidR="00B7581A" w:rsidRPr="00F95852">
        <w:rPr>
          <w:rFonts w:ascii="Arial" w:hAnsi="Arial" w:cs="Arial"/>
          <w:color w:val="000000" w:themeColor="text1"/>
        </w:rPr>
        <w:t>and set aside the scheme of arrangement in term</w:t>
      </w:r>
      <w:r w:rsidR="00F33188" w:rsidRPr="00F95852">
        <w:rPr>
          <w:rFonts w:ascii="Arial" w:hAnsi="Arial" w:cs="Arial"/>
          <w:color w:val="000000" w:themeColor="text1"/>
        </w:rPr>
        <w:t>s</w:t>
      </w:r>
      <w:r w:rsidR="00B7581A" w:rsidRPr="00F95852">
        <w:rPr>
          <w:rFonts w:ascii="Arial" w:hAnsi="Arial" w:cs="Arial"/>
          <w:color w:val="000000" w:themeColor="text1"/>
        </w:rPr>
        <w:t xml:space="preserve"> of a provision cited by the Respondent but which does not exist in the Act.</w:t>
      </w:r>
    </w:p>
    <w:p w14:paraId="572A6086" w14:textId="2CD53225" w:rsidR="00B7581A" w:rsidRPr="00F95852" w:rsidRDefault="00F95852" w:rsidP="00F95852">
      <w:pPr>
        <w:tabs>
          <w:tab w:val="left" w:pos="567"/>
        </w:tabs>
        <w:spacing w:after="360" w:line="360" w:lineRule="auto"/>
        <w:ind w:left="567" w:right="0" w:hanging="567"/>
        <w:jc w:val="both"/>
        <w:rPr>
          <w:rFonts w:ascii="Arial" w:hAnsi="Arial" w:cs="Arial"/>
          <w:color w:val="000000" w:themeColor="text1"/>
        </w:rPr>
      </w:pPr>
      <w:r w:rsidRPr="00E07F44">
        <w:rPr>
          <w:rFonts w:ascii="Arial" w:hAnsi="Arial" w:cs="Arial"/>
          <w:color w:val="000000" w:themeColor="text1"/>
        </w:rPr>
        <w:t>25.</w:t>
      </w:r>
      <w:r w:rsidRPr="00E07F44">
        <w:rPr>
          <w:rFonts w:ascii="Arial" w:hAnsi="Arial" w:cs="Arial"/>
          <w:color w:val="000000" w:themeColor="text1"/>
        </w:rPr>
        <w:tab/>
      </w:r>
      <w:r w:rsidR="00FE607C" w:rsidRPr="00F95852">
        <w:rPr>
          <w:rFonts w:ascii="Arial" w:hAnsi="Arial" w:cs="Arial"/>
          <w:color w:val="000000" w:themeColor="text1"/>
        </w:rPr>
        <w:t>Fortunately, when the matter was called</w:t>
      </w:r>
      <w:r w:rsidR="009772DA" w:rsidRPr="00F95852">
        <w:rPr>
          <w:rFonts w:ascii="Arial" w:hAnsi="Arial" w:cs="Arial"/>
          <w:color w:val="000000" w:themeColor="text1"/>
        </w:rPr>
        <w:t xml:space="preserve"> counsel for the Respondent </w:t>
      </w:r>
      <w:r w:rsidR="004E219F" w:rsidRPr="00F95852">
        <w:rPr>
          <w:rFonts w:ascii="Arial" w:hAnsi="Arial" w:cs="Arial"/>
          <w:color w:val="000000" w:themeColor="text1"/>
        </w:rPr>
        <w:t xml:space="preserve">informed me that he did not prepare the </w:t>
      </w:r>
      <w:r w:rsidR="0096017F" w:rsidRPr="00F95852">
        <w:rPr>
          <w:rFonts w:ascii="Arial" w:hAnsi="Arial" w:cs="Arial"/>
          <w:color w:val="000000" w:themeColor="text1"/>
        </w:rPr>
        <w:t xml:space="preserve">answering affidavit or the </w:t>
      </w:r>
      <w:r w:rsidR="004E219F" w:rsidRPr="00F95852">
        <w:rPr>
          <w:rFonts w:ascii="Arial" w:hAnsi="Arial" w:cs="Arial"/>
          <w:color w:val="000000" w:themeColor="text1"/>
        </w:rPr>
        <w:t xml:space="preserve">heads of argument and that he was proceeding with only one point viz. </w:t>
      </w:r>
      <w:r w:rsidR="0083331B" w:rsidRPr="00F95852">
        <w:rPr>
          <w:rFonts w:ascii="Arial" w:hAnsi="Arial" w:cs="Arial"/>
          <w:color w:val="000000" w:themeColor="text1"/>
        </w:rPr>
        <w:t>the point that the Applicants did not vote against the resolutions at the special meeting of shareholders on 13 November 2019.</w:t>
      </w:r>
      <w:r w:rsidR="00E07F44" w:rsidRPr="00F95852">
        <w:rPr>
          <w:rFonts w:ascii="Arial" w:hAnsi="Arial" w:cs="Arial"/>
          <w:color w:val="000000" w:themeColor="text1"/>
        </w:rPr>
        <w:t xml:space="preserve">  The point, in short, was that i</w:t>
      </w:r>
      <w:r w:rsidR="00491CB3" w:rsidRPr="00F95852">
        <w:rPr>
          <w:rFonts w:ascii="Arial" w:hAnsi="Arial" w:cs="Arial"/>
          <w:color w:val="000000" w:themeColor="text1"/>
        </w:rPr>
        <w:t xml:space="preserve">f the </w:t>
      </w:r>
      <w:r w:rsidR="007362D9" w:rsidRPr="00F95852">
        <w:rPr>
          <w:rFonts w:ascii="Arial" w:hAnsi="Arial" w:cs="Arial"/>
          <w:color w:val="000000" w:themeColor="text1"/>
        </w:rPr>
        <w:t>Applicants did not vote against the resolution</w:t>
      </w:r>
      <w:r w:rsidR="00212327" w:rsidRPr="00F95852">
        <w:rPr>
          <w:rFonts w:ascii="Arial" w:hAnsi="Arial" w:cs="Arial"/>
          <w:color w:val="000000" w:themeColor="text1"/>
        </w:rPr>
        <w:t xml:space="preserve"> at the special meeting then</w:t>
      </w:r>
      <w:r w:rsidR="00290818" w:rsidRPr="00F95852">
        <w:rPr>
          <w:rFonts w:ascii="Arial" w:hAnsi="Arial" w:cs="Arial"/>
          <w:color w:val="000000" w:themeColor="text1"/>
        </w:rPr>
        <w:t>, in terms of the Act, they would not be entitled to be paid the fair value of their shares.</w:t>
      </w:r>
    </w:p>
    <w:p w14:paraId="45080814" w14:textId="0E792F71" w:rsidR="005D73DB"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26.</w:t>
      </w:r>
      <w:r>
        <w:rPr>
          <w:rFonts w:ascii="Arial" w:hAnsi="Arial" w:cs="Arial"/>
          <w:color w:val="000000" w:themeColor="text1"/>
        </w:rPr>
        <w:tab/>
      </w:r>
      <w:r w:rsidR="00C40C33" w:rsidRPr="00F95852">
        <w:rPr>
          <w:rFonts w:ascii="Arial" w:hAnsi="Arial" w:cs="Arial"/>
          <w:color w:val="000000" w:themeColor="text1"/>
        </w:rPr>
        <w:t>C</w:t>
      </w:r>
      <w:r w:rsidR="002F3197" w:rsidRPr="00F95852">
        <w:rPr>
          <w:rFonts w:ascii="Arial" w:hAnsi="Arial" w:cs="Arial"/>
          <w:color w:val="000000" w:themeColor="text1"/>
        </w:rPr>
        <w:t xml:space="preserve">ounsel’s approach at the hearing </w:t>
      </w:r>
      <w:r w:rsidR="00C40C33" w:rsidRPr="00F95852">
        <w:rPr>
          <w:rFonts w:ascii="Arial" w:hAnsi="Arial" w:cs="Arial"/>
          <w:color w:val="000000" w:themeColor="text1"/>
        </w:rPr>
        <w:t xml:space="preserve">to abandon all of the points raised </w:t>
      </w:r>
      <w:r w:rsidR="005D73DB" w:rsidRPr="00F95852">
        <w:rPr>
          <w:rFonts w:ascii="Arial" w:hAnsi="Arial" w:cs="Arial"/>
          <w:color w:val="000000" w:themeColor="text1"/>
        </w:rPr>
        <w:t xml:space="preserve">by the Respondent </w:t>
      </w:r>
      <w:r w:rsidR="00C40C33" w:rsidRPr="00F95852">
        <w:rPr>
          <w:rFonts w:ascii="Arial" w:hAnsi="Arial" w:cs="Arial"/>
          <w:color w:val="000000" w:themeColor="text1"/>
        </w:rPr>
        <w:t xml:space="preserve">bar one, </w:t>
      </w:r>
      <w:r w:rsidR="002F3197" w:rsidRPr="00F95852">
        <w:rPr>
          <w:rFonts w:ascii="Arial" w:hAnsi="Arial" w:cs="Arial"/>
          <w:color w:val="000000" w:themeColor="text1"/>
        </w:rPr>
        <w:t xml:space="preserve">was </w:t>
      </w:r>
      <w:r w:rsidR="00D45EF9" w:rsidRPr="00F95852">
        <w:rPr>
          <w:rFonts w:ascii="Arial" w:hAnsi="Arial" w:cs="Arial"/>
          <w:color w:val="000000" w:themeColor="text1"/>
        </w:rPr>
        <w:t xml:space="preserve">prudent because prior to the hearing of the matter I had </w:t>
      </w:r>
      <w:r w:rsidR="00E3278D" w:rsidRPr="00F95852">
        <w:rPr>
          <w:rFonts w:ascii="Arial" w:hAnsi="Arial" w:cs="Arial"/>
          <w:color w:val="000000" w:themeColor="text1"/>
        </w:rPr>
        <w:t>formed the prima facie view</w:t>
      </w:r>
      <w:r w:rsidR="004C7079" w:rsidRPr="00F95852">
        <w:rPr>
          <w:rFonts w:ascii="Arial" w:hAnsi="Arial" w:cs="Arial"/>
          <w:color w:val="000000" w:themeColor="text1"/>
        </w:rPr>
        <w:t>,</w:t>
      </w:r>
      <w:r w:rsidR="00E3278D" w:rsidRPr="00F95852">
        <w:rPr>
          <w:rFonts w:ascii="Arial" w:hAnsi="Arial" w:cs="Arial"/>
          <w:color w:val="000000" w:themeColor="text1"/>
        </w:rPr>
        <w:t xml:space="preserve"> upon a consideration of the Act and the evidence</w:t>
      </w:r>
      <w:r w:rsidR="004C7079" w:rsidRPr="00F95852">
        <w:rPr>
          <w:rFonts w:ascii="Arial" w:hAnsi="Arial" w:cs="Arial"/>
          <w:color w:val="000000" w:themeColor="text1"/>
        </w:rPr>
        <w:t>,</w:t>
      </w:r>
      <w:r w:rsidR="00E3278D" w:rsidRPr="00F95852">
        <w:rPr>
          <w:rFonts w:ascii="Arial" w:hAnsi="Arial" w:cs="Arial"/>
          <w:color w:val="000000" w:themeColor="text1"/>
        </w:rPr>
        <w:t xml:space="preserve"> that </w:t>
      </w:r>
      <w:r w:rsidR="003B2F8E" w:rsidRPr="00F95852">
        <w:rPr>
          <w:rFonts w:ascii="Arial" w:hAnsi="Arial" w:cs="Arial"/>
          <w:color w:val="000000" w:themeColor="text1"/>
        </w:rPr>
        <w:t>the points taken by the Respondent were without merit; sometimes patently so.</w:t>
      </w:r>
    </w:p>
    <w:p w14:paraId="7F689104" w14:textId="51B25BE6" w:rsidR="004C7079"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27.</w:t>
      </w:r>
      <w:r>
        <w:rPr>
          <w:rFonts w:ascii="Arial" w:hAnsi="Arial" w:cs="Arial"/>
          <w:color w:val="000000" w:themeColor="text1"/>
        </w:rPr>
        <w:tab/>
      </w:r>
      <w:r w:rsidR="00E2723A" w:rsidRPr="00F95852">
        <w:rPr>
          <w:rFonts w:ascii="Arial" w:hAnsi="Arial" w:cs="Arial"/>
          <w:color w:val="000000" w:themeColor="text1"/>
        </w:rPr>
        <w:t xml:space="preserve">However, even the point that </w:t>
      </w:r>
      <w:r w:rsidR="004C7079" w:rsidRPr="00F95852">
        <w:rPr>
          <w:rFonts w:ascii="Arial" w:hAnsi="Arial" w:cs="Arial"/>
          <w:color w:val="000000" w:themeColor="text1"/>
        </w:rPr>
        <w:t xml:space="preserve">counsel </w:t>
      </w:r>
      <w:r w:rsidR="00527B92" w:rsidRPr="00F95852">
        <w:rPr>
          <w:rFonts w:ascii="Arial" w:hAnsi="Arial" w:cs="Arial"/>
          <w:color w:val="000000" w:themeColor="text1"/>
        </w:rPr>
        <w:t xml:space="preserve">did </w:t>
      </w:r>
      <w:r w:rsidR="004C7079" w:rsidRPr="00F95852">
        <w:rPr>
          <w:rFonts w:ascii="Arial" w:hAnsi="Arial" w:cs="Arial"/>
          <w:color w:val="000000" w:themeColor="text1"/>
        </w:rPr>
        <w:t xml:space="preserve">pursue in argument </w:t>
      </w:r>
      <w:r w:rsidR="00E2723A" w:rsidRPr="00F95852">
        <w:rPr>
          <w:rFonts w:ascii="Arial" w:hAnsi="Arial" w:cs="Arial"/>
          <w:color w:val="000000" w:themeColor="text1"/>
        </w:rPr>
        <w:t>does not bear up under scrutiny</w:t>
      </w:r>
      <w:r w:rsidR="0016798B" w:rsidRPr="00F95852">
        <w:rPr>
          <w:rFonts w:ascii="Arial" w:hAnsi="Arial" w:cs="Arial"/>
          <w:color w:val="000000" w:themeColor="text1"/>
        </w:rPr>
        <w:t>.</w:t>
      </w:r>
    </w:p>
    <w:p w14:paraId="0B1877BA" w14:textId="44CECD16" w:rsidR="003B2F8E" w:rsidRPr="00F95852" w:rsidRDefault="00F95852" w:rsidP="00F95852">
      <w:pPr>
        <w:tabs>
          <w:tab w:val="left" w:pos="567"/>
        </w:tabs>
        <w:spacing w:after="360" w:line="360" w:lineRule="auto"/>
        <w:ind w:left="567" w:right="0" w:hanging="567"/>
        <w:jc w:val="both"/>
        <w:rPr>
          <w:rFonts w:ascii="Arial" w:hAnsi="Arial" w:cs="Arial"/>
          <w:color w:val="000000" w:themeColor="text1"/>
        </w:rPr>
      </w:pPr>
      <w:r w:rsidRPr="004C7079">
        <w:rPr>
          <w:rFonts w:ascii="Arial" w:hAnsi="Arial" w:cs="Arial"/>
          <w:color w:val="000000" w:themeColor="text1"/>
        </w:rPr>
        <w:t>28.</w:t>
      </w:r>
      <w:r w:rsidRPr="004C7079">
        <w:rPr>
          <w:rFonts w:ascii="Arial" w:hAnsi="Arial" w:cs="Arial"/>
          <w:color w:val="000000" w:themeColor="text1"/>
        </w:rPr>
        <w:tab/>
      </w:r>
      <w:r w:rsidR="0016798B" w:rsidRPr="00F95852">
        <w:rPr>
          <w:rFonts w:ascii="Arial" w:hAnsi="Arial" w:cs="Arial"/>
          <w:color w:val="000000" w:themeColor="text1"/>
        </w:rPr>
        <w:t xml:space="preserve">The </w:t>
      </w:r>
      <w:r w:rsidR="00640E27" w:rsidRPr="00F95852">
        <w:rPr>
          <w:rFonts w:ascii="Arial" w:hAnsi="Arial" w:cs="Arial"/>
          <w:color w:val="000000" w:themeColor="text1"/>
        </w:rPr>
        <w:t xml:space="preserve">point arose from a paragraph in the Applicants’ demand wherein the following was stated: </w:t>
      </w:r>
      <w:r w:rsidR="00074166" w:rsidRPr="00F95852">
        <w:rPr>
          <w:rFonts w:ascii="Arial" w:hAnsi="Arial" w:cs="Arial"/>
          <w:i/>
          <w:iCs/>
          <w:color w:val="000000" w:themeColor="text1"/>
        </w:rPr>
        <w:t>“the Dissenting Shareholders instructed SBG Securities (Pty) Ltd to vote against the Resolution, and to the best of the Dissenting Shareholders’ knowledge such vote was in fact exercised on their behalf”</w:t>
      </w:r>
      <w:r w:rsidR="00074166" w:rsidRPr="00F95852">
        <w:rPr>
          <w:rFonts w:ascii="Arial" w:hAnsi="Arial" w:cs="Arial"/>
          <w:color w:val="000000" w:themeColor="text1"/>
        </w:rPr>
        <w:t>.</w:t>
      </w:r>
    </w:p>
    <w:p w14:paraId="77710EE9" w14:textId="08E95FA4" w:rsidR="006B15DD"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29.</w:t>
      </w:r>
      <w:r>
        <w:rPr>
          <w:rFonts w:ascii="Arial" w:hAnsi="Arial" w:cs="Arial"/>
          <w:color w:val="000000" w:themeColor="text1"/>
        </w:rPr>
        <w:tab/>
      </w:r>
      <w:r w:rsidR="00BF0B3F" w:rsidRPr="00F95852">
        <w:rPr>
          <w:rFonts w:ascii="Arial" w:hAnsi="Arial" w:cs="Arial"/>
          <w:color w:val="000000" w:themeColor="text1"/>
        </w:rPr>
        <w:t xml:space="preserve">In the answering affidavit the Respondent denied </w:t>
      </w:r>
      <w:r w:rsidR="00BF0B3F" w:rsidRPr="00F95852">
        <w:rPr>
          <w:rFonts w:ascii="Arial" w:hAnsi="Arial" w:cs="Arial"/>
          <w:i/>
          <w:iCs/>
          <w:color w:val="000000" w:themeColor="text1"/>
        </w:rPr>
        <w:t>“that the Applicant</w:t>
      </w:r>
      <w:r w:rsidR="007A49C8" w:rsidRPr="00F95852">
        <w:rPr>
          <w:rFonts w:ascii="Arial" w:hAnsi="Arial" w:cs="Arial"/>
          <w:i/>
          <w:iCs/>
          <w:color w:val="000000" w:themeColor="text1"/>
        </w:rPr>
        <w:t>’s (sic) representatives attended the special meeting or that they opposed the adoption of the resolutions and the Applicants are put to the proof thereof”</w:t>
      </w:r>
      <w:r w:rsidR="007A49C8" w:rsidRPr="00F95852">
        <w:rPr>
          <w:rFonts w:ascii="Arial" w:hAnsi="Arial" w:cs="Arial"/>
          <w:color w:val="000000" w:themeColor="text1"/>
        </w:rPr>
        <w:t>.</w:t>
      </w:r>
    </w:p>
    <w:p w14:paraId="02CEC741" w14:textId="385CFD6D" w:rsidR="00323400"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30.</w:t>
      </w:r>
      <w:r>
        <w:rPr>
          <w:rFonts w:ascii="Arial" w:hAnsi="Arial" w:cs="Arial"/>
          <w:color w:val="000000" w:themeColor="text1"/>
        </w:rPr>
        <w:tab/>
      </w:r>
      <w:r w:rsidR="00402F52" w:rsidRPr="00F95852">
        <w:rPr>
          <w:rFonts w:ascii="Arial" w:hAnsi="Arial" w:cs="Arial"/>
          <w:color w:val="000000" w:themeColor="text1"/>
        </w:rPr>
        <w:t xml:space="preserve">In </w:t>
      </w:r>
      <w:r w:rsidR="003A72E5" w:rsidRPr="00F95852">
        <w:rPr>
          <w:rFonts w:ascii="Arial" w:hAnsi="Arial" w:cs="Arial"/>
          <w:color w:val="000000" w:themeColor="text1"/>
        </w:rPr>
        <w:t>the</w:t>
      </w:r>
      <w:r w:rsidR="00402F52" w:rsidRPr="00F95852">
        <w:rPr>
          <w:rFonts w:ascii="Arial" w:hAnsi="Arial" w:cs="Arial"/>
          <w:color w:val="000000" w:themeColor="text1"/>
        </w:rPr>
        <w:t xml:space="preserve"> replying affidavit the Applicants </w:t>
      </w:r>
      <w:r w:rsidR="003A72E5" w:rsidRPr="00F95852">
        <w:rPr>
          <w:rFonts w:ascii="Arial" w:hAnsi="Arial" w:cs="Arial"/>
          <w:color w:val="000000" w:themeColor="text1"/>
        </w:rPr>
        <w:t>sought to prove that they had voted against the resolutions via their agent</w:t>
      </w:r>
      <w:r w:rsidR="00193E9D" w:rsidRPr="00F95852">
        <w:rPr>
          <w:rFonts w:ascii="Arial" w:hAnsi="Arial" w:cs="Arial"/>
          <w:color w:val="000000" w:themeColor="text1"/>
        </w:rPr>
        <w:t xml:space="preserve">, </w:t>
      </w:r>
      <w:r w:rsidR="00A3285E" w:rsidRPr="00F95852">
        <w:rPr>
          <w:rFonts w:ascii="Arial" w:hAnsi="Arial" w:cs="Arial"/>
          <w:color w:val="000000" w:themeColor="text1"/>
        </w:rPr>
        <w:t>SBG Securities (Pty) Ltd,</w:t>
      </w:r>
      <w:r w:rsidR="00511442" w:rsidRPr="00F95852">
        <w:rPr>
          <w:rFonts w:ascii="Arial" w:hAnsi="Arial" w:cs="Arial"/>
          <w:color w:val="000000" w:themeColor="text1"/>
        </w:rPr>
        <w:t xml:space="preserve"> and </w:t>
      </w:r>
      <w:r w:rsidR="00402F52" w:rsidRPr="00F95852">
        <w:rPr>
          <w:rFonts w:ascii="Arial" w:hAnsi="Arial" w:cs="Arial"/>
          <w:color w:val="000000" w:themeColor="text1"/>
        </w:rPr>
        <w:t xml:space="preserve">relied on an e-mail </w:t>
      </w:r>
      <w:r w:rsidR="008A78A0" w:rsidRPr="00F95852">
        <w:rPr>
          <w:rFonts w:ascii="Arial" w:hAnsi="Arial" w:cs="Arial"/>
          <w:color w:val="000000" w:themeColor="text1"/>
        </w:rPr>
        <w:t xml:space="preserve">dated </w:t>
      </w:r>
      <w:r w:rsidR="00B917DA" w:rsidRPr="00F95852">
        <w:rPr>
          <w:rFonts w:ascii="Arial" w:hAnsi="Arial" w:cs="Arial"/>
          <w:color w:val="000000" w:themeColor="text1"/>
        </w:rPr>
        <w:t xml:space="preserve">31 August 2020 from </w:t>
      </w:r>
      <w:r w:rsidR="00FB0ABF" w:rsidRPr="00F95852">
        <w:rPr>
          <w:rFonts w:ascii="Arial" w:hAnsi="Arial" w:cs="Arial"/>
          <w:color w:val="000000" w:themeColor="text1"/>
        </w:rPr>
        <w:t xml:space="preserve">the </w:t>
      </w:r>
      <w:r w:rsidR="00B917DA" w:rsidRPr="00F95852">
        <w:rPr>
          <w:rFonts w:ascii="Arial" w:hAnsi="Arial" w:cs="Arial"/>
          <w:color w:val="000000" w:themeColor="text1"/>
        </w:rPr>
        <w:t xml:space="preserve">Standard Bank </w:t>
      </w:r>
      <w:r w:rsidR="00FB0ABF" w:rsidRPr="00F95852">
        <w:rPr>
          <w:rFonts w:ascii="Arial" w:hAnsi="Arial" w:cs="Arial"/>
          <w:color w:val="000000" w:themeColor="text1"/>
        </w:rPr>
        <w:t xml:space="preserve">Group </w:t>
      </w:r>
      <w:r w:rsidR="008A78A0" w:rsidRPr="00F95852">
        <w:rPr>
          <w:rFonts w:ascii="Arial" w:hAnsi="Arial" w:cs="Arial"/>
          <w:color w:val="000000" w:themeColor="text1"/>
        </w:rPr>
        <w:t>to support that position.</w:t>
      </w:r>
    </w:p>
    <w:p w14:paraId="01784A15" w14:textId="7415B30F" w:rsidR="008A78A0"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lastRenderedPageBreak/>
        <w:t>31.</w:t>
      </w:r>
      <w:r>
        <w:rPr>
          <w:rFonts w:ascii="Arial" w:hAnsi="Arial" w:cs="Arial"/>
          <w:color w:val="000000" w:themeColor="text1"/>
        </w:rPr>
        <w:tab/>
      </w:r>
      <w:r w:rsidR="008A78A0" w:rsidRPr="00F95852">
        <w:rPr>
          <w:rFonts w:ascii="Arial" w:hAnsi="Arial" w:cs="Arial"/>
          <w:color w:val="000000" w:themeColor="text1"/>
        </w:rPr>
        <w:t>The e-mail</w:t>
      </w:r>
      <w:r w:rsidR="00DA0B20" w:rsidRPr="00F95852">
        <w:rPr>
          <w:rFonts w:ascii="Arial" w:hAnsi="Arial" w:cs="Arial"/>
          <w:color w:val="000000" w:themeColor="text1"/>
        </w:rPr>
        <w:t xml:space="preserve"> does not reflect </w:t>
      </w:r>
      <w:r w:rsidR="0044159B" w:rsidRPr="00F95852">
        <w:rPr>
          <w:rFonts w:ascii="Arial" w:hAnsi="Arial" w:cs="Arial"/>
          <w:color w:val="000000" w:themeColor="text1"/>
        </w:rPr>
        <w:t>anything about the votes at the meeting of 13 November 2019</w:t>
      </w:r>
      <w:r w:rsidR="00EF6C8F" w:rsidRPr="00F95852">
        <w:rPr>
          <w:rFonts w:ascii="Arial" w:hAnsi="Arial" w:cs="Arial"/>
          <w:color w:val="000000" w:themeColor="text1"/>
        </w:rPr>
        <w:t xml:space="preserve">.  Hence, it was argued by the Respondent that the Applicants had failed to prove </w:t>
      </w:r>
      <w:r w:rsidR="004842A9" w:rsidRPr="00F95852">
        <w:rPr>
          <w:rFonts w:ascii="Arial" w:hAnsi="Arial" w:cs="Arial"/>
          <w:color w:val="000000" w:themeColor="text1"/>
        </w:rPr>
        <w:t>their vote against the resolutions.</w:t>
      </w:r>
    </w:p>
    <w:p w14:paraId="030179C8" w14:textId="61DADD09" w:rsidR="004842A9"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r>
      <w:r w:rsidR="00E60E05" w:rsidRPr="00F95852">
        <w:rPr>
          <w:rFonts w:ascii="Arial" w:hAnsi="Arial" w:cs="Arial"/>
          <w:color w:val="000000" w:themeColor="text1"/>
        </w:rPr>
        <w:t>It is readily apparent from the e-mail that the copy included in the court papers is incomplete</w:t>
      </w:r>
      <w:r w:rsidR="005A5BE2" w:rsidRPr="00F95852">
        <w:rPr>
          <w:rFonts w:ascii="Arial" w:hAnsi="Arial" w:cs="Arial"/>
          <w:color w:val="000000" w:themeColor="text1"/>
        </w:rPr>
        <w:t xml:space="preserve"> due to a portion of it being cut off</w:t>
      </w:r>
      <w:r w:rsidR="00E60E05" w:rsidRPr="00F95852">
        <w:rPr>
          <w:rFonts w:ascii="Arial" w:hAnsi="Arial" w:cs="Arial"/>
          <w:color w:val="000000" w:themeColor="text1"/>
        </w:rPr>
        <w:t xml:space="preserve">, and I was informed </w:t>
      </w:r>
      <w:r w:rsidR="00A3285E" w:rsidRPr="00F95852">
        <w:rPr>
          <w:rFonts w:ascii="Arial" w:hAnsi="Arial" w:cs="Arial"/>
          <w:color w:val="000000" w:themeColor="text1"/>
        </w:rPr>
        <w:t xml:space="preserve">at the hearing of the matter </w:t>
      </w:r>
      <w:r w:rsidR="00E60E05" w:rsidRPr="00F95852">
        <w:rPr>
          <w:rFonts w:ascii="Arial" w:hAnsi="Arial" w:cs="Arial"/>
          <w:color w:val="000000" w:themeColor="text1"/>
        </w:rPr>
        <w:t xml:space="preserve">that the complete version of the e-mail would establish that the Applicants’ </w:t>
      </w:r>
      <w:r w:rsidR="00FB0ABF" w:rsidRPr="00F95852">
        <w:rPr>
          <w:rFonts w:ascii="Arial" w:hAnsi="Arial" w:cs="Arial"/>
          <w:color w:val="000000" w:themeColor="text1"/>
        </w:rPr>
        <w:t xml:space="preserve">representative </w:t>
      </w:r>
      <w:r w:rsidR="00E60E05" w:rsidRPr="00F95852">
        <w:rPr>
          <w:rFonts w:ascii="Arial" w:hAnsi="Arial" w:cs="Arial"/>
          <w:color w:val="000000" w:themeColor="text1"/>
        </w:rPr>
        <w:t>had voted against the resolutions</w:t>
      </w:r>
      <w:r w:rsidR="00FB0ABF" w:rsidRPr="00F95852">
        <w:rPr>
          <w:rFonts w:ascii="Arial" w:hAnsi="Arial" w:cs="Arial"/>
          <w:color w:val="000000" w:themeColor="text1"/>
        </w:rPr>
        <w:t>.</w:t>
      </w:r>
    </w:p>
    <w:p w14:paraId="5C0986FF" w14:textId="1DCE48D6" w:rsidR="00FB0ABF"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33.</w:t>
      </w:r>
      <w:r>
        <w:rPr>
          <w:rFonts w:ascii="Arial" w:hAnsi="Arial" w:cs="Arial"/>
          <w:color w:val="000000" w:themeColor="text1"/>
        </w:rPr>
        <w:tab/>
      </w:r>
      <w:r w:rsidR="00FB0ABF" w:rsidRPr="00F95852">
        <w:rPr>
          <w:rFonts w:ascii="Arial" w:hAnsi="Arial" w:cs="Arial"/>
          <w:color w:val="000000" w:themeColor="text1"/>
        </w:rPr>
        <w:t>I asked that the complete e-mail be sent to me, which was rightly not objected to by the Respondent’s counsel.  Upon receipt of the complete e-mail, it is quite plain that the Applicants’ representative voted against the adoption of the resolutions.</w:t>
      </w:r>
    </w:p>
    <w:p w14:paraId="328E86F7" w14:textId="62023FF4" w:rsidR="00FB0ABF"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34.</w:t>
      </w:r>
      <w:r>
        <w:rPr>
          <w:rFonts w:ascii="Arial" w:hAnsi="Arial" w:cs="Arial"/>
          <w:color w:val="000000" w:themeColor="text1"/>
        </w:rPr>
        <w:tab/>
      </w:r>
      <w:r w:rsidR="00EF7158" w:rsidRPr="00F95852">
        <w:rPr>
          <w:rFonts w:ascii="Arial" w:hAnsi="Arial" w:cs="Arial"/>
          <w:color w:val="000000" w:themeColor="text1"/>
        </w:rPr>
        <w:t xml:space="preserve">In addition, my attention was drawn to an affidavit </w:t>
      </w:r>
      <w:r w:rsidR="00B97135" w:rsidRPr="00F95852">
        <w:rPr>
          <w:rFonts w:ascii="Arial" w:hAnsi="Arial" w:cs="Arial"/>
          <w:color w:val="000000" w:themeColor="text1"/>
        </w:rPr>
        <w:t xml:space="preserve">deposed to by </w:t>
      </w:r>
      <w:r w:rsidR="00053932" w:rsidRPr="00F95852">
        <w:rPr>
          <w:rFonts w:ascii="Arial" w:hAnsi="Arial" w:cs="Arial"/>
          <w:color w:val="000000" w:themeColor="text1"/>
        </w:rPr>
        <w:t>Ms Asanda Macingwana</w:t>
      </w:r>
      <w:r w:rsidR="00221434" w:rsidRPr="00F95852">
        <w:rPr>
          <w:rFonts w:ascii="Arial" w:hAnsi="Arial" w:cs="Arial"/>
          <w:color w:val="000000" w:themeColor="text1"/>
        </w:rPr>
        <w:t>,</w:t>
      </w:r>
      <w:r w:rsidR="00053932" w:rsidRPr="00F95852">
        <w:rPr>
          <w:rFonts w:ascii="Arial" w:hAnsi="Arial" w:cs="Arial"/>
          <w:color w:val="000000" w:themeColor="text1"/>
        </w:rPr>
        <w:t xml:space="preserve"> who is employed as a manager </w:t>
      </w:r>
      <w:r w:rsidR="00A87930" w:rsidRPr="00F95852">
        <w:rPr>
          <w:rFonts w:ascii="Arial" w:hAnsi="Arial" w:cs="Arial"/>
          <w:color w:val="000000" w:themeColor="text1"/>
        </w:rPr>
        <w:t xml:space="preserve">at </w:t>
      </w:r>
      <w:r w:rsidR="00221434" w:rsidRPr="00F95852">
        <w:rPr>
          <w:rFonts w:ascii="Arial" w:hAnsi="Arial" w:cs="Arial"/>
          <w:color w:val="000000" w:themeColor="text1"/>
        </w:rPr>
        <w:t>SBG Securities (Pty) Ltd</w:t>
      </w:r>
      <w:r w:rsidR="0000712B" w:rsidRPr="00F95852">
        <w:rPr>
          <w:rFonts w:ascii="Arial" w:hAnsi="Arial" w:cs="Arial"/>
          <w:color w:val="000000" w:themeColor="text1"/>
        </w:rPr>
        <w:t xml:space="preserve">, and which affidavit was filed by the Applicants after the </w:t>
      </w:r>
      <w:r w:rsidR="00894DAA" w:rsidRPr="00F95852">
        <w:rPr>
          <w:rFonts w:ascii="Arial" w:hAnsi="Arial" w:cs="Arial"/>
          <w:color w:val="000000" w:themeColor="text1"/>
        </w:rPr>
        <w:t>matter was set down for hearing on 11 October or 11 November 2021</w:t>
      </w:r>
      <w:r w:rsidR="00C6791D" w:rsidRPr="00F95852">
        <w:rPr>
          <w:rFonts w:ascii="Arial" w:hAnsi="Arial" w:cs="Arial"/>
          <w:color w:val="000000" w:themeColor="text1"/>
        </w:rPr>
        <w:t>.</w:t>
      </w:r>
      <w:r w:rsidR="000B6665" w:rsidRPr="00F95852">
        <w:rPr>
          <w:rFonts w:ascii="Arial" w:hAnsi="Arial" w:cs="Arial"/>
          <w:color w:val="000000" w:themeColor="text1"/>
        </w:rPr>
        <w:t xml:space="preserve">  There is a dispute between the parties as to the date on which the matter was set down.</w:t>
      </w:r>
    </w:p>
    <w:p w14:paraId="7FC6BD8D" w14:textId="4285782B" w:rsidR="00DE17AE"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35.</w:t>
      </w:r>
      <w:r>
        <w:rPr>
          <w:rFonts w:ascii="Arial" w:hAnsi="Arial" w:cs="Arial"/>
          <w:color w:val="000000" w:themeColor="text1"/>
        </w:rPr>
        <w:tab/>
      </w:r>
      <w:r w:rsidR="00C81A46" w:rsidRPr="00F95852">
        <w:rPr>
          <w:rFonts w:ascii="Arial" w:hAnsi="Arial" w:cs="Arial"/>
          <w:color w:val="000000" w:themeColor="text1"/>
        </w:rPr>
        <w:t>Ms Macingwana’s affidavit spells out the steps taken by the Applicants’ representative</w:t>
      </w:r>
      <w:r w:rsidR="000822FA" w:rsidRPr="00F95852">
        <w:rPr>
          <w:rFonts w:ascii="Arial" w:hAnsi="Arial" w:cs="Arial"/>
          <w:color w:val="000000" w:themeColor="text1"/>
        </w:rPr>
        <w:t xml:space="preserve">, and it is quite clear that </w:t>
      </w:r>
      <w:r w:rsidR="00C81A46" w:rsidRPr="00F95852">
        <w:rPr>
          <w:rFonts w:ascii="Arial" w:hAnsi="Arial" w:cs="Arial"/>
          <w:color w:val="000000" w:themeColor="text1"/>
        </w:rPr>
        <w:t>SBG</w:t>
      </w:r>
      <w:r w:rsidR="000822FA" w:rsidRPr="00F95852">
        <w:rPr>
          <w:rFonts w:ascii="Arial" w:hAnsi="Arial" w:cs="Arial"/>
          <w:color w:val="000000" w:themeColor="text1"/>
        </w:rPr>
        <w:t xml:space="preserve"> Securities voted against the resolutions on the instruction of the Applicants.</w:t>
      </w:r>
    </w:p>
    <w:p w14:paraId="37F47BFF" w14:textId="3967D2A6" w:rsidR="00C6791D"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36.</w:t>
      </w:r>
      <w:r>
        <w:rPr>
          <w:rFonts w:ascii="Arial" w:hAnsi="Arial" w:cs="Arial"/>
          <w:color w:val="000000" w:themeColor="text1"/>
        </w:rPr>
        <w:tab/>
      </w:r>
      <w:r w:rsidR="00EC5CA4" w:rsidRPr="00F95852">
        <w:rPr>
          <w:rFonts w:ascii="Arial" w:hAnsi="Arial" w:cs="Arial"/>
          <w:color w:val="000000" w:themeColor="text1"/>
        </w:rPr>
        <w:t xml:space="preserve">I am satisfied that the Applicants </w:t>
      </w:r>
      <w:r w:rsidR="00CB13F4" w:rsidRPr="00F95852">
        <w:rPr>
          <w:rFonts w:ascii="Arial" w:hAnsi="Arial" w:cs="Arial"/>
          <w:color w:val="000000" w:themeColor="text1"/>
        </w:rPr>
        <w:t>have established that they, through their representative SBG Securities</w:t>
      </w:r>
      <w:r w:rsidR="00DE4D7E" w:rsidRPr="00F95852">
        <w:rPr>
          <w:rFonts w:ascii="Arial" w:hAnsi="Arial" w:cs="Arial"/>
          <w:color w:val="000000" w:themeColor="text1"/>
        </w:rPr>
        <w:t xml:space="preserve"> (Pty) Ltd</w:t>
      </w:r>
      <w:r w:rsidR="00CB13F4" w:rsidRPr="00F95852">
        <w:rPr>
          <w:rFonts w:ascii="Arial" w:hAnsi="Arial" w:cs="Arial"/>
          <w:color w:val="000000" w:themeColor="text1"/>
        </w:rPr>
        <w:t>, voted against the resolutions at the special meeting of 13 November 2019</w:t>
      </w:r>
      <w:r w:rsidR="009E3B56" w:rsidRPr="00F95852">
        <w:rPr>
          <w:rFonts w:ascii="Arial" w:hAnsi="Arial" w:cs="Arial"/>
          <w:color w:val="000000" w:themeColor="text1"/>
        </w:rPr>
        <w:t xml:space="preserve"> as required by section 164(5)(c)(i) of the Act.</w:t>
      </w:r>
    </w:p>
    <w:p w14:paraId="5C6951A8" w14:textId="0FB7506F" w:rsidR="009E3B5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37.</w:t>
      </w:r>
      <w:r>
        <w:rPr>
          <w:rFonts w:ascii="Arial" w:hAnsi="Arial" w:cs="Arial"/>
          <w:color w:val="000000" w:themeColor="text1"/>
        </w:rPr>
        <w:tab/>
      </w:r>
      <w:r w:rsidR="009E3B56" w:rsidRPr="00F95852">
        <w:rPr>
          <w:rFonts w:ascii="Arial" w:hAnsi="Arial" w:cs="Arial"/>
          <w:color w:val="000000" w:themeColor="text1"/>
        </w:rPr>
        <w:t>In light of the above the Applicants are entitled to be paid the fair value of their shares by the Respondent, and it remains to determine that value.  As was the case with the other issues in this application, there is no genuine dispute on what the fair value should be.</w:t>
      </w:r>
    </w:p>
    <w:p w14:paraId="3750C10C" w14:textId="2B3B857F" w:rsidR="009E3B5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38.</w:t>
      </w:r>
      <w:r>
        <w:rPr>
          <w:rFonts w:ascii="Arial" w:hAnsi="Arial" w:cs="Arial"/>
          <w:color w:val="000000" w:themeColor="text1"/>
        </w:rPr>
        <w:tab/>
      </w:r>
      <w:r w:rsidR="009E3B56" w:rsidRPr="00F95852">
        <w:rPr>
          <w:rFonts w:ascii="Arial" w:hAnsi="Arial" w:cs="Arial"/>
          <w:color w:val="000000" w:themeColor="text1"/>
        </w:rPr>
        <w:t>The Applicants say that the fair value should be 50.95 cents per share.  They base that on the valuation done by Neema, the independent expert appointed by the Respondent.  That valuation is also the closest to the time stipulated by section 164(1</w:t>
      </w:r>
      <w:r w:rsidR="0049735D" w:rsidRPr="00F95852">
        <w:rPr>
          <w:rFonts w:ascii="Arial" w:hAnsi="Arial" w:cs="Arial"/>
          <w:color w:val="000000" w:themeColor="text1"/>
        </w:rPr>
        <w:t>6</w:t>
      </w:r>
      <w:r w:rsidR="009E3B56" w:rsidRPr="00F95852">
        <w:rPr>
          <w:rFonts w:ascii="Arial" w:hAnsi="Arial" w:cs="Arial"/>
          <w:color w:val="000000" w:themeColor="text1"/>
        </w:rPr>
        <w:t>) of the Act viz, the time immediately before the Respondent adopted the resolutions to implement the scheme of arrangement.</w:t>
      </w:r>
    </w:p>
    <w:p w14:paraId="1EA4FBD8" w14:textId="49891E26" w:rsidR="00083B91" w:rsidRPr="00F95852" w:rsidRDefault="00F95852" w:rsidP="00F95852">
      <w:pPr>
        <w:tabs>
          <w:tab w:val="left" w:pos="567"/>
        </w:tabs>
        <w:spacing w:after="360" w:line="360" w:lineRule="auto"/>
        <w:ind w:left="567" w:right="0" w:hanging="567"/>
        <w:jc w:val="both"/>
        <w:rPr>
          <w:rFonts w:ascii="Arial" w:hAnsi="Arial" w:cs="Arial"/>
          <w:color w:val="000000" w:themeColor="text1"/>
        </w:rPr>
      </w:pPr>
      <w:r w:rsidRPr="007779F6">
        <w:rPr>
          <w:rFonts w:ascii="Arial" w:hAnsi="Arial" w:cs="Arial"/>
          <w:color w:val="000000" w:themeColor="text1"/>
        </w:rPr>
        <w:lastRenderedPageBreak/>
        <w:t>39.</w:t>
      </w:r>
      <w:r w:rsidRPr="007779F6">
        <w:rPr>
          <w:rFonts w:ascii="Arial" w:hAnsi="Arial" w:cs="Arial"/>
          <w:color w:val="000000" w:themeColor="text1"/>
        </w:rPr>
        <w:tab/>
      </w:r>
      <w:r w:rsidR="00083B91" w:rsidRPr="00F95852">
        <w:rPr>
          <w:rFonts w:ascii="Arial" w:hAnsi="Arial" w:cs="Arial"/>
          <w:color w:val="000000" w:themeColor="text1"/>
        </w:rPr>
        <w:t xml:space="preserve">Somewhat surprisingly, in its answering affidavit the Respondent did not accept the Neema valuation on the basis that Neema was not appointed by the Respondent.  </w:t>
      </w:r>
      <w:r w:rsidR="007779F6" w:rsidRPr="00F95852">
        <w:rPr>
          <w:rFonts w:ascii="Arial" w:hAnsi="Arial" w:cs="Arial"/>
          <w:color w:val="000000" w:themeColor="text1"/>
        </w:rPr>
        <w:t>However, t</w:t>
      </w:r>
      <w:r w:rsidR="00083B91" w:rsidRPr="00F95852">
        <w:rPr>
          <w:rFonts w:ascii="Arial" w:hAnsi="Arial" w:cs="Arial"/>
          <w:color w:val="000000" w:themeColor="text1"/>
        </w:rPr>
        <w:t>hat proposition is contrary to the evidence.  The Neema Report records in express terms that Neema was appointed by the Respondent’s independent board of directors.</w:t>
      </w:r>
    </w:p>
    <w:p w14:paraId="65AA51AD" w14:textId="7BC5B120" w:rsidR="00083B91"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40.</w:t>
      </w:r>
      <w:r>
        <w:rPr>
          <w:rFonts w:ascii="Arial" w:hAnsi="Arial" w:cs="Arial"/>
          <w:color w:val="000000" w:themeColor="text1"/>
        </w:rPr>
        <w:tab/>
      </w:r>
      <w:r w:rsidR="00083B91" w:rsidRPr="00F95852">
        <w:rPr>
          <w:rFonts w:ascii="Arial" w:hAnsi="Arial" w:cs="Arial"/>
          <w:color w:val="000000" w:themeColor="text1"/>
        </w:rPr>
        <w:t>Despite not accepting the valuation proposed by the Applicants, the Respondent never put up its own value which it considered to be fair.  Save for a bald denial based on a distortion of the evidence, there is simply no version to gainsay the value put up by the Applicants.</w:t>
      </w:r>
    </w:p>
    <w:p w14:paraId="5749789D" w14:textId="15A67040" w:rsidR="009E3B56"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083B91" w:rsidRPr="00F95852">
        <w:rPr>
          <w:rFonts w:ascii="Arial" w:hAnsi="Arial" w:cs="Arial"/>
          <w:color w:val="000000" w:themeColor="text1"/>
        </w:rPr>
        <w:t xml:space="preserve">Once again, counsel for the Respondent </w:t>
      </w:r>
      <w:r w:rsidR="003552F3" w:rsidRPr="00F95852">
        <w:rPr>
          <w:rFonts w:ascii="Arial" w:hAnsi="Arial" w:cs="Arial"/>
          <w:color w:val="000000" w:themeColor="text1"/>
        </w:rPr>
        <w:t xml:space="preserve">sensibly </w:t>
      </w:r>
      <w:r w:rsidR="00083B91" w:rsidRPr="00F95852">
        <w:rPr>
          <w:rFonts w:ascii="Arial" w:hAnsi="Arial" w:cs="Arial"/>
          <w:color w:val="000000" w:themeColor="text1"/>
        </w:rPr>
        <w:t>informed me at the hearing that he cannot</w:t>
      </w:r>
      <w:r w:rsidR="003552F3" w:rsidRPr="00F95852">
        <w:rPr>
          <w:rFonts w:ascii="Arial" w:hAnsi="Arial" w:cs="Arial"/>
          <w:color w:val="000000" w:themeColor="text1"/>
        </w:rPr>
        <w:t xml:space="preserve"> dispute that the fair value of the shares is 50.95 cents per share as set out in the valuation section of the Neema Report.</w:t>
      </w:r>
    </w:p>
    <w:p w14:paraId="2D325076" w14:textId="4B625847" w:rsidR="003552F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3552F3" w:rsidRPr="00F95852">
        <w:rPr>
          <w:rFonts w:ascii="Arial" w:hAnsi="Arial" w:cs="Arial"/>
          <w:color w:val="000000" w:themeColor="text1"/>
        </w:rPr>
        <w:t xml:space="preserve">In terms of </w:t>
      </w:r>
      <w:r w:rsidR="00135B36" w:rsidRPr="00F95852">
        <w:rPr>
          <w:rFonts w:ascii="Arial" w:hAnsi="Arial" w:cs="Arial"/>
          <w:color w:val="000000" w:themeColor="text1"/>
        </w:rPr>
        <w:t>section 164(15)(c)(iii)(aa)</w:t>
      </w:r>
      <w:r w:rsidR="00BE4502" w:rsidRPr="00F95852">
        <w:rPr>
          <w:rFonts w:ascii="Arial" w:hAnsi="Arial" w:cs="Arial"/>
          <w:color w:val="000000" w:themeColor="text1"/>
        </w:rPr>
        <w:t xml:space="preserve"> of </w:t>
      </w:r>
      <w:r w:rsidR="003552F3" w:rsidRPr="00F95852">
        <w:rPr>
          <w:rFonts w:ascii="Arial" w:hAnsi="Arial" w:cs="Arial"/>
          <w:color w:val="000000" w:themeColor="text1"/>
        </w:rPr>
        <w:t>the Act, I have the discretion to appoint an appraiser to assist me in determining the fair value of the shares.</w:t>
      </w:r>
    </w:p>
    <w:p w14:paraId="187D9EF9" w14:textId="6C68D7C7" w:rsidR="003552F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00BE4502" w:rsidRPr="00F95852">
        <w:rPr>
          <w:rFonts w:ascii="Arial" w:hAnsi="Arial" w:cs="Arial"/>
          <w:color w:val="000000" w:themeColor="text1"/>
        </w:rPr>
        <w:t>I</w:t>
      </w:r>
      <w:r w:rsidR="003552F3" w:rsidRPr="00F95852">
        <w:rPr>
          <w:rFonts w:ascii="Arial" w:hAnsi="Arial" w:cs="Arial"/>
          <w:color w:val="000000" w:themeColor="text1"/>
        </w:rPr>
        <w:t xml:space="preserve">n </w:t>
      </w:r>
      <w:r w:rsidR="003552F3" w:rsidRPr="00F95852">
        <w:rPr>
          <w:rFonts w:ascii="Arial" w:hAnsi="Arial" w:cs="Arial"/>
          <w:color w:val="000000" w:themeColor="text1"/>
          <w:u w:val="single"/>
        </w:rPr>
        <w:t>BNS Nominees (RF) (Pty) Ltd v Arrowhead Properties Ltd</w:t>
      </w:r>
      <w:r w:rsidR="003552F3" w:rsidRPr="00F95852">
        <w:rPr>
          <w:rFonts w:ascii="Arial" w:hAnsi="Arial" w:cs="Arial"/>
          <w:color w:val="000000" w:themeColor="text1"/>
        </w:rPr>
        <w:t xml:space="preserve"> 2023 (1) SA 478 (GJ) the Court stated </w:t>
      </w:r>
      <w:r w:rsidR="005410EC" w:rsidRPr="00F95852">
        <w:rPr>
          <w:rFonts w:ascii="Arial" w:hAnsi="Arial" w:cs="Arial"/>
          <w:color w:val="000000" w:themeColor="text1"/>
        </w:rPr>
        <w:t xml:space="preserve">at [59] </w:t>
      </w:r>
      <w:r w:rsidR="003552F3" w:rsidRPr="00F95852">
        <w:rPr>
          <w:rFonts w:ascii="Arial" w:hAnsi="Arial" w:cs="Arial"/>
          <w:color w:val="000000" w:themeColor="text1"/>
        </w:rPr>
        <w:t>that the discretion should not be exercised too readily</w:t>
      </w:r>
      <w:r w:rsidR="005410EC" w:rsidRPr="00F95852">
        <w:rPr>
          <w:rFonts w:ascii="Arial" w:hAnsi="Arial" w:cs="Arial"/>
          <w:color w:val="000000" w:themeColor="text1"/>
        </w:rPr>
        <w:t xml:space="preserve"> lest the judicial function be abdicated to an expert.  Manoim J went on to say that whether the discretion is exercised should not be a matter of general principle, but rather a consequence of the facts of each case.</w:t>
      </w:r>
    </w:p>
    <w:p w14:paraId="4D867E93" w14:textId="0A216F6B" w:rsidR="004F5631"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44.</w:t>
      </w:r>
      <w:r>
        <w:rPr>
          <w:rFonts w:ascii="Arial" w:hAnsi="Arial" w:cs="Arial"/>
          <w:color w:val="000000" w:themeColor="text1"/>
        </w:rPr>
        <w:tab/>
      </w:r>
      <w:r w:rsidR="005410EC" w:rsidRPr="00F95852">
        <w:rPr>
          <w:rFonts w:ascii="Arial" w:hAnsi="Arial" w:cs="Arial"/>
          <w:color w:val="000000" w:themeColor="text1"/>
        </w:rPr>
        <w:t>In this matter I already have the undisputed valuation of an independent expert in the Neema Report</w:t>
      </w:r>
      <w:r w:rsidR="004A00C2" w:rsidRPr="00F95852">
        <w:rPr>
          <w:rFonts w:ascii="Arial" w:hAnsi="Arial" w:cs="Arial"/>
          <w:color w:val="000000" w:themeColor="text1"/>
        </w:rPr>
        <w:t>, and i</w:t>
      </w:r>
      <w:r w:rsidR="005410EC" w:rsidRPr="00F95852">
        <w:rPr>
          <w:rFonts w:ascii="Arial" w:hAnsi="Arial" w:cs="Arial"/>
          <w:color w:val="000000" w:themeColor="text1"/>
        </w:rPr>
        <w:t xml:space="preserve">t does not seem </w:t>
      </w:r>
      <w:r w:rsidR="004A00C2" w:rsidRPr="00F95852">
        <w:rPr>
          <w:rFonts w:ascii="Arial" w:hAnsi="Arial" w:cs="Arial"/>
          <w:color w:val="000000" w:themeColor="text1"/>
        </w:rPr>
        <w:t xml:space="preserve">necessary for </w:t>
      </w:r>
      <w:r w:rsidR="005410EC" w:rsidRPr="00F95852">
        <w:rPr>
          <w:rFonts w:ascii="Arial" w:hAnsi="Arial" w:cs="Arial"/>
          <w:color w:val="000000" w:themeColor="text1"/>
        </w:rPr>
        <w:t xml:space="preserve">me </w:t>
      </w:r>
      <w:r w:rsidR="004A00C2" w:rsidRPr="00F95852">
        <w:rPr>
          <w:rFonts w:ascii="Arial" w:hAnsi="Arial" w:cs="Arial"/>
          <w:color w:val="000000" w:themeColor="text1"/>
        </w:rPr>
        <w:t>to exercise my discretion in favour of appointing an</w:t>
      </w:r>
      <w:r w:rsidR="00E811BF" w:rsidRPr="00F95852">
        <w:rPr>
          <w:rFonts w:ascii="Arial" w:hAnsi="Arial" w:cs="Arial"/>
          <w:color w:val="000000" w:themeColor="text1"/>
        </w:rPr>
        <w:t>other</w:t>
      </w:r>
      <w:r w:rsidR="004A00C2" w:rsidRPr="00F95852">
        <w:rPr>
          <w:rFonts w:ascii="Arial" w:hAnsi="Arial" w:cs="Arial"/>
          <w:color w:val="000000" w:themeColor="text1"/>
        </w:rPr>
        <w:t xml:space="preserve"> appraiser to assist </w:t>
      </w:r>
      <w:r w:rsidR="004F5631" w:rsidRPr="00F95852">
        <w:rPr>
          <w:rFonts w:ascii="Arial" w:hAnsi="Arial" w:cs="Arial"/>
          <w:color w:val="000000" w:themeColor="text1"/>
        </w:rPr>
        <w:t>in determining the fair value of the shares.</w:t>
      </w:r>
    </w:p>
    <w:p w14:paraId="50D79BA7" w14:textId="70EA7C97" w:rsidR="000B42D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45.</w:t>
      </w:r>
      <w:r>
        <w:rPr>
          <w:rFonts w:ascii="Arial" w:hAnsi="Arial" w:cs="Arial"/>
          <w:color w:val="000000" w:themeColor="text1"/>
        </w:rPr>
        <w:tab/>
      </w:r>
      <w:r w:rsidR="00855D8B" w:rsidRPr="00F95852">
        <w:rPr>
          <w:rFonts w:ascii="Arial" w:hAnsi="Arial" w:cs="Arial"/>
          <w:color w:val="000000" w:themeColor="text1"/>
        </w:rPr>
        <w:t xml:space="preserve">The Act also affords the court a discretion </w:t>
      </w:r>
      <w:r w:rsidR="00300E7E" w:rsidRPr="00F95852">
        <w:rPr>
          <w:rFonts w:ascii="Arial" w:hAnsi="Arial" w:cs="Arial"/>
          <w:color w:val="000000" w:themeColor="text1"/>
        </w:rPr>
        <w:t>in section 164(15)(c)(iii)(b</w:t>
      </w:r>
      <w:r w:rsidR="00BE4502" w:rsidRPr="00F95852">
        <w:rPr>
          <w:rFonts w:ascii="Arial" w:hAnsi="Arial" w:cs="Arial"/>
          <w:color w:val="000000" w:themeColor="text1"/>
        </w:rPr>
        <w:t>b</w:t>
      </w:r>
      <w:r w:rsidR="00300E7E" w:rsidRPr="00F95852">
        <w:rPr>
          <w:rFonts w:ascii="Arial" w:hAnsi="Arial" w:cs="Arial"/>
          <w:color w:val="000000" w:themeColor="text1"/>
        </w:rPr>
        <w:t xml:space="preserve">) to </w:t>
      </w:r>
      <w:r w:rsidR="00300E7E" w:rsidRPr="00F95852">
        <w:rPr>
          <w:rFonts w:ascii="Arial" w:hAnsi="Arial" w:cs="Arial"/>
          <w:i/>
          <w:iCs/>
          <w:color w:val="000000" w:themeColor="text1"/>
        </w:rPr>
        <w:t>“allow a reasonable rate of interest</w:t>
      </w:r>
      <w:r w:rsidR="00F2065B" w:rsidRPr="00F95852">
        <w:rPr>
          <w:rFonts w:ascii="Arial" w:hAnsi="Arial" w:cs="Arial"/>
          <w:i/>
          <w:iCs/>
          <w:color w:val="000000" w:themeColor="text1"/>
        </w:rPr>
        <w:t xml:space="preserve"> on the amount payable to each dissenting shareholder from the date the action approved by the resolution is effective until the date of payment”</w:t>
      </w:r>
      <w:r w:rsidR="00F2065B" w:rsidRPr="00F95852">
        <w:rPr>
          <w:rFonts w:ascii="Arial" w:hAnsi="Arial" w:cs="Arial"/>
          <w:color w:val="000000" w:themeColor="text1"/>
        </w:rPr>
        <w:t>.</w:t>
      </w:r>
    </w:p>
    <w:p w14:paraId="06CA08D6" w14:textId="37275EB0" w:rsidR="00F2065B"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46.</w:t>
      </w:r>
      <w:r>
        <w:rPr>
          <w:rFonts w:ascii="Arial" w:hAnsi="Arial" w:cs="Arial"/>
          <w:color w:val="000000" w:themeColor="text1"/>
        </w:rPr>
        <w:tab/>
      </w:r>
      <w:r w:rsidR="00D6435F" w:rsidRPr="00F95852">
        <w:rPr>
          <w:rFonts w:ascii="Arial" w:hAnsi="Arial" w:cs="Arial"/>
          <w:color w:val="000000" w:themeColor="text1"/>
        </w:rPr>
        <w:t>Th</w:t>
      </w:r>
      <w:r w:rsidR="0034414D" w:rsidRPr="00F95852">
        <w:rPr>
          <w:rFonts w:ascii="Arial" w:hAnsi="Arial" w:cs="Arial"/>
          <w:color w:val="000000" w:themeColor="text1"/>
        </w:rPr>
        <w:t xml:space="preserve">e </w:t>
      </w:r>
      <w:r w:rsidR="00F27C53" w:rsidRPr="00F95852">
        <w:rPr>
          <w:rFonts w:ascii="Arial" w:hAnsi="Arial" w:cs="Arial"/>
          <w:color w:val="000000" w:themeColor="text1"/>
        </w:rPr>
        <w:t>discretion to allow a reasonable rate of interest in sub-section (bb) is separated from the discretion in sub-section (aa) by the word “or”</w:t>
      </w:r>
      <w:r w:rsidR="00A925F2" w:rsidRPr="00F95852">
        <w:rPr>
          <w:rFonts w:ascii="Arial" w:hAnsi="Arial" w:cs="Arial"/>
          <w:color w:val="000000" w:themeColor="text1"/>
        </w:rPr>
        <w:t xml:space="preserve">, so that on the face of </w:t>
      </w:r>
      <w:r w:rsidR="00C84414" w:rsidRPr="00F95852">
        <w:rPr>
          <w:rFonts w:ascii="Arial" w:hAnsi="Arial" w:cs="Arial"/>
          <w:color w:val="000000" w:themeColor="text1"/>
        </w:rPr>
        <w:t>it a court has the discretion to appoint an appraiser or to allow a reasonable rate of interest</w:t>
      </w:r>
      <w:r w:rsidR="00120703" w:rsidRPr="00F95852">
        <w:rPr>
          <w:rFonts w:ascii="Arial" w:hAnsi="Arial" w:cs="Arial"/>
          <w:color w:val="000000" w:themeColor="text1"/>
        </w:rPr>
        <w:t>.</w:t>
      </w:r>
    </w:p>
    <w:p w14:paraId="08526780" w14:textId="08D46AE9" w:rsidR="00C84414"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47.</w:t>
      </w:r>
      <w:r>
        <w:rPr>
          <w:rFonts w:ascii="Arial" w:hAnsi="Arial" w:cs="Arial"/>
          <w:color w:val="000000" w:themeColor="text1"/>
        </w:rPr>
        <w:tab/>
      </w:r>
      <w:r w:rsidR="00120703" w:rsidRPr="00F95852">
        <w:rPr>
          <w:rFonts w:ascii="Arial" w:hAnsi="Arial" w:cs="Arial"/>
          <w:color w:val="000000" w:themeColor="text1"/>
        </w:rPr>
        <w:t xml:space="preserve">Since I decline to exercise my discretion in favour of appointing an appraiser, I am free to </w:t>
      </w:r>
      <w:r w:rsidR="005D6FC4" w:rsidRPr="00F95852">
        <w:rPr>
          <w:rFonts w:ascii="Arial" w:hAnsi="Arial" w:cs="Arial"/>
          <w:color w:val="000000" w:themeColor="text1"/>
        </w:rPr>
        <w:t xml:space="preserve">exercise my discretion to </w:t>
      </w:r>
      <w:r w:rsidR="00671F37" w:rsidRPr="00F95852">
        <w:rPr>
          <w:rFonts w:ascii="Arial" w:hAnsi="Arial" w:cs="Arial"/>
          <w:color w:val="000000" w:themeColor="text1"/>
        </w:rPr>
        <w:t>allow a reasonable rate of interest on a plain reading of section 164(15)(c)(iii).</w:t>
      </w:r>
    </w:p>
    <w:p w14:paraId="74916F7E" w14:textId="27C8D039" w:rsidR="002C03BA"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48.</w:t>
      </w:r>
      <w:r>
        <w:rPr>
          <w:rFonts w:ascii="Arial" w:hAnsi="Arial" w:cs="Arial"/>
          <w:color w:val="000000" w:themeColor="text1"/>
        </w:rPr>
        <w:tab/>
      </w:r>
      <w:r w:rsidR="002C03BA" w:rsidRPr="00F95852">
        <w:rPr>
          <w:rFonts w:ascii="Arial" w:hAnsi="Arial" w:cs="Arial"/>
          <w:color w:val="000000" w:themeColor="text1"/>
        </w:rPr>
        <w:t xml:space="preserve">However, it strikes me that the disjunctive “or” cannot be given its </w:t>
      </w:r>
      <w:r w:rsidR="007C1F7F" w:rsidRPr="00F95852">
        <w:rPr>
          <w:rFonts w:ascii="Arial" w:hAnsi="Arial" w:cs="Arial"/>
          <w:color w:val="000000" w:themeColor="text1"/>
        </w:rPr>
        <w:t xml:space="preserve">plain meaning </w:t>
      </w:r>
      <w:r w:rsidR="009D630A" w:rsidRPr="00F95852">
        <w:rPr>
          <w:rFonts w:ascii="Arial" w:hAnsi="Arial" w:cs="Arial"/>
          <w:color w:val="000000" w:themeColor="text1"/>
        </w:rPr>
        <w:t xml:space="preserve">within </w:t>
      </w:r>
      <w:r w:rsidR="007C1F7F" w:rsidRPr="00F95852">
        <w:rPr>
          <w:rFonts w:ascii="Arial" w:hAnsi="Arial" w:cs="Arial"/>
          <w:color w:val="000000" w:themeColor="text1"/>
        </w:rPr>
        <w:t xml:space="preserve">the context of </w:t>
      </w:r>
      <w:r w:rsidR="009D630A" w:rsidRPr="00F95852">
        <w:rPr>
          <w:rFonts w:ascii="Arial" w:hAnsi="Arial" w:cs="Arial"/>
          <w:color w:val="000000" w:themeColor="text1"/>
        </w:rPr>
        <w:t xml:space="preserve">the </w:t>
      </w:r>
      <w:r w:rsidR="006C0C3A" w:rsidRPr="00F95852">
        <w:rPr>
          <w:rFonts w:ascii="Arial" w:hAnsi="Arial" w:cs="Arial"/>
          <w:color w:val="000000" w:themeColor="text1"/>
        </w:rPr>
        <w:t>sub-section</w:t>
      </w:r>
      <w:r w:rsidR="007C1F7F" w:rsidRPr="00F95852">
        <w:rPr>
          <w:rFonts w:ascii="Arial" w:hAnsi="Arial" w:cs="Arial"/>
          <w:color w:val="000000" w:themeColor="text1"/>
        </w:rPr>
        <w:t xml:space="preserve"> as a whole.</w:t>
      </w:r>
      <w:r w:rsidR="00EB4AE1" w:rsidRPr="00F95852">
        <w:rPr>
          <w:rFonts w:ascii="Arial" w:hAnsi="Arial" w:cs="Arial"/>
          <w:color w:val="000000" w:themeColor="text1"/>
        </w:rPr>
        <w:t xml:space="preserve">  The two sub-sections </w:t>
      </w:r>
      <w:r w:rsidR="00B04C2A" w:rsidRPr="00F95852">
        <w:rPr>
          <w:rFonts w:ascii="Arial" w:hAnsi="Arial" w:cs="Arial"/>
          <w:color w:val="000000" w:themeColor="text1"/>
        </w:rPr>
        <w:t xml:space="preserve">deal with </w:t>
      </w:r>
      <w:r w:rsidR="00EB4AE1" w:rsidRPr="00F95852">
        <w:rPr>
          <w:rFonts w:ascii="Arial" w:hAnsi="Arial" w:cs="Arial"/>
          <w:color w:val="000000" w:themeColor="text1"/>
        </w:rPr>
        <w:t>different</w:t>
      </w:r>
      <w:r w:rsidR="006241AF" w:rsidRPr="00F95852">
        <w:rPr>
          <w:rFonts w:ascii="Arial" w:hAnsi="Arial" w:cs="Arial"/>
          <w:color w:val="000000" w:themeColor="text1"/>
        </w:rPr>
        <w:t xml:space="preserve"> topics.  Sub-section (aa) </w:t>
      </w:r>
      <w:r w:rsidR="00B04C2A" w:rsidRPr="00F95852">
        <w:rPr>
          <w:rFonts w:ascii="Arial" w:hAnsi="Arial" w:cs="Arial"/>
          <w:color w:val="000000" w:themeColor="text1"/>
        </w:rPr>
        <w:t xml:space="preserve">concerns the fair value of the shares, whereas sub-section (bb) </w:t>
      </w:r>
      <w:r w:rsidR="004C1132" w:rsidRPr="00F95852">
        <w:rPr>
          <w:rFonts w:ascii="Arial" w:hAnsi="Arial" w:cs="Arial"/>
          <w:color w:val="000000" w:themeColor="text1"/>
        </w:rPr>
        <w:t xml:space="preserve">deals with the </w:t>
      </w:r>
      <w:r w:rsidR="00D74C44" w:rsidRPr="00F95852">
        <w:rPr>
          <w:rFonts w:ascii="Arial" w:hAnsi="Arial" w:cs="Arial"/>
          <w:color w:val="000000" w:themeColor="text1"/>
        </w:rPr>
        <w:t>interest, if any, that is payable once the fair value of the shares has been determined.</w:t>
      </w:r>
      <w:r w:rsidR="00917193" w:rsidRPr="00F95852">
        <w:rPr>
          <w:rFonts w:ascii="Arial" w:hAnsi="Arial" w:cs="Arial"/>
          <w:color w:val="000000" w:themeColor="text1"/>
        </w:rPr>
        <w:t xml:space="preserve">  </w:t>
      </w:r>
      <w:r w:rsidR="00CE7E37" w:rsidRPr="00F95852">
        <w:rPr>
          <w:rFonts w:ascii="Arial" w:hAnsi="Arial" w:cs="Arial"/>
          <w:color w:val="000000" w:themeColor="text1"/>
        </w:rPr>
        <w:t xml:space="preserve">There is no sensible reason to afford a court a discretion to adopt one of two alternatives, where the alternatives address </w:t>
      </w:r>
      <w:r w:rsidR="00925CA4" w:rsidRPr="00F95852">
        <w:rPr>
          <w:rFonts w:ascii="Arial" w:hAnsi="Arial" w:cs="Arial"/>
          <w:color w:val="000000" w:themeColor="text1"/>
        </w:rPr>
        <w:t>different issues.</w:t>
      </w:r>
      <w:r w:rsidR="006819B4" w:rsidRPr="00F95852">
        <w:rPr>
          <w:rFonts w:ascii="Arial" w:hAnsi="Arial" w:cs="Arial"/>
          <w:color w:val="000000" w:themeColor="text1"/>
        </w:rPr>
        <w:t xml:space="preserve">  In that </w:t>
      </w:r>
      <w:r w:rsidR="00ED1B4C" w:rsidRPr="00F95852">
        <w:rPr>
          <w:rFonts w:ascii="Arial" w:hAnsi="Arial" w:cs="Arial"/>
          <w:color w:val="000000" w:themeColor="text1"/>
        </w:rPr>
        <w:t>sense</w:t>
      </w:r>
      <w:r w:rsidR="006819B4" w:rsidRPr="00F95852">
        <w:rPr>
          <w:rFonts w:ascii="Arial" w:hAnsi="Arial" w:cs="Arial"/>
          <w:color w:val="000000" w:themeColor="text1"/>
        </w:rPr>
        <w:t>, the alternatives are not true alternatives.</w:t>
      </w:r>
    </w:p>
    <w:p w14:paraId="1AE66912" w14:textId="5E11A251" w:rsidR="000547E7"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49.</w:t>
      </w:r>
      <w:r>
        <w:rPr>
          <w:rFonts w:ascii="Arial" w:hAnsi="Arial" w:cs="Arial"/>
          <w:color w:val="000000" w:themeColor="text1"/>
        </w:rPr>
        <w:tab/>
      </w:r>
      <w:r w:rsidR="000B38C3" w:rsidRPr="00F95852">
        <w:rPr>
          <w:rFonts w:ascii="Arial" w:hAnsi="Arial" w:cs="Arial"/>
          <w:color w:val="000000" w:themeColor="text1"/>
        </w:rPr>
        <w:t xml:space="preserve">In addition, </w:t>
      </w:r>
      <w:r w:rsidR="00E21299" w:rsidRPr="00F95852">
        <w:rPr>
          <w:rFonts w:ascii="Arial" w:hAnsi="Arial" w:cs="Arial"/>
          <w:color w:val="000000" w:themeColor="text1"/>
        </w:rPr>
        <w:t>the word “or” can</w:t>
      </w:r>
      <w:r w:rsidR="00B4605C" w:rsidRPr="00F95852">
        <w:rPr>
          <w:rFonts w:ascii="Arial" w:hAnsi="Arial" w:cs="Arial"/>
          <w:color w:val="000000" w:themeColor="text1"/>
        </w:rPr>
        <w:t xml:space="preserve">not be given its plain meaning within the context </w:t>
      </w:r>
      <w:r w:rsidR="009A0746" w:rsidRPr="00F95852">
        <w:rPr>
          <w:rFonts w:ascii="Arial" w:hAnsi="Arial" w:cs="Arial"/>
          <w:color w:val="000000" w:themeColor="text1"/>
        </w:rPr>
        <w:t xml:space="preserve">and purpose </w:t>
      </w:r>
      <w:r w:rsidR="00B4605C" w:rsidRPr="00F95852">
        <w:rPr>
          <w:rFonts w:ascii="Arial" w:hAnsi="Arial" w:cs="Arial"/>
          <w:color w:val="000000" w:themeColor="text1"/>
        </w:rPr>
        <w:t>of section 164.</w:t>
      </w:r>
    </w:p>
    <w:p w14:paraId="2B0A79B1" w14:textId="37413618" w:rsidR="00925CA4"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50.</w:t>
      </w:r>
      <w:r>
        <w:rPr>
          <w:rFonts w:ascii="Arial" w:hAnsi="Arial" w:cs="Arial"/>
          <w:color w:val="000000" w:themeColor="text1"/>
        </w:rPr>
        <w:tab/>
      </w:r>
      <w:r w:rsidR="009A0746" w:rsidRPr="00F95852">
        <w:rPr>
          <w:rFonts w:ascii="Arial" w:hAnsi="Arial" w:cs="Arial"/>
          <w:color w:val="000000" w:themeColor="text1"/>
        </w:rPr>
        <w:t xml:space="preserve">In </w:t>
      </w:r>
      <w:r w:rsidR="009A0746" w:rsidRPr="00F95852">
        <w:rPr>
          <w:rFonts w:ascii="Arial" w:hAnsi="Arial" w:cs="Arial"/>
          <w:color w:val="000000" w:themeColor="text1"/>
          <w:u w:val="single"/>
        </w:rPr>
        <w:t xml:space="preserve">Cilliers v </w:t>
      </w:r>
      <w:r w:rsidR="00DD5259" w:rsidRPr="00F95852">
        <w:rPr>
          <w:rFonts w:ascii="Arial" w:hAnsi="Arial" w:cs="Arial"/>
          <w:color w:val="000000" w:themeColor="text1"/>
          <w:u w:val="single"/>
        </w:rPr>
        <w:t>La Concorde Holdings Ltd</w:t>
      </w:r>
      <w:r w:rsidR="00DD5259" w:rsidRPr="00F95852">
        <w:rPr>
          <w:rFonts w:ascii="Arial" w:hAnsi="Arial" w:cs="Arial"/>
          <w:color w:val="000000" w:themeColor="text1"/>
        </w:rPr>
        <w:t xml:space="preserve"> 2018 (6) SA 97 (WCC) at </w:t>
      </w:r>
      <w:r w:rsidR="00E02B92" w:rsidRPr="00F95852">
        <w:rPr>
          <w:rFonts w:ascii="Arial" w:hAnsi="Arial" w:cs="Arial"/>
          <w:color w:val="000000" w:themeColor="text1"/>
        </w:rPr>
        <w:t>[34] – [43] Papier J</w:t>
      </w:r>
      <w:r w:rsidR="008C3786" w:rsidRPr="00F95852">
        <w:rPr>
          <w:rFonts w:ascii="Arial" w:hAnsi="Arial" w:cs="Arial"/>
          <w:color w:val="000000" w:themeColor="text1"/>
        </w:rPr>
        <w:t xml:space="preserve">, with reference to various </w:t>
      </w:r>
      <w:r w:rsidR="00C93A86" w:rsidRPr="00F95852">
        <w:rPr>
          <w:rFonts w:ascii="Arial" w:hAnsi="Arial" w:cs="Arial"/>
          <w:color w:val="000000" w:themeColor="text1"/>
        </w:rPr>
        <w:t xml:space="preserve">authorities and </w:t>
      </w:r>
      <w:r w:rsidR="008C3786" w:rsidRPr="00F95852">
        <w:rPr>
          <w:rFonts w:ascii="Arial" w:hAnsi="Arial" w:cs="Arial"/>
          <w:color w:val="000000" w:themeColor="text1"/>
        </w:rPr>
        <w:t>sources,</w:t>
      </w:r>
      <w:r w:rsidR="00E02B92" w:rsidRPr="00F95852">
        <w:rPr>
          <w:rFonts w:ascii="Arial" w:hAnsi="Arial" w:cs="Arial"/>
          <w:color w:val="000000" w:themeColor="text1"/>
        </w:rPr>
        <w:t xml:space="preserve"> addressed the </w:t>
      </w:r>
      <w:r w:rsidR="008C3786" w:rsidRPr="00F95852">
        <w:rPr>
          <w:rFonts w:ascii="Arial" w:hAnsi="Arial" w:cs="Arial"/>
          <w:color w:val="000000" w:themeColor="text1"/>
        </w:rPr>
        <w:t xml:space="preserve">rationale behind the </w:t>
      </w:r>
      <w:r w:rsidR="000F7268" w:rsidRPr="00F95852">
        <w:rPr>
          <w:rFonts w:ascii="Arial" w:hAnsi="Arial" w:cs="Arial"/>
          <w:color w:val="000000" w:themeColor="text1"/>
        </w:rPr>
        <w:t xml:space="preserve">inclusion of section 164 in the new Companies Act.  </w:t>
      </w:r>
      <w:r w:rsidR="00A77FBE" w:rsidRPr="00F95852">
        <w:rPr>
          <w:rFonts w:ascii="Arial" w:hAnsi="Arial" w:cs="Arial"/>
          <w:color w:val="000000" w:themeColor="text1"/>
        </w:rPr>
        <w:t xml:space="preserve">In short, the provision is intended </w:t>
      </w:r>
      <w:r w:rsidR="000A3C01" w:rsidRPr="00F95852">
        <w:rPr>
          <w:rFonts w:ascii="Arial" w:hAnsi="Arial" w:cs="Arial"/>
          <w:i/>
          <w:iCs/>
          <w:color w:val="000000" w:themeColor="text1"/>
        </w:rPr>
        <w:t>“to provide minority shareholders with equitable protection and fairness</w:t>
      </w:r>
      <w:r w:rsidR="00EC5167" w:rsidRPr="00F95852">
        <w:rPr>
          <w:rFonts w:ascii="Arial" w:hAnsi="Arial" w:cs="Arial"/>
          <w:i/>
          <w:iCs/>
          <w:color w:val="000000" w:themeColor="text1"/>
        </w:rPr>
        <w:t>”</w:t>
      </w:r>
      <w:r w:rsidR="00E478AB" w:rsidRPr="00F95852">
        <w:rPr>
          <w:rFonts w:ascii="Arial" w:hAnsi="Arial" w:cs="Arial"/>
          <w:color w:val="000000" w:themeColor="text1"/>
        </w:rPr>
        <w:t xml:space="preserve"> in those instances where they have been lawfully outvoted.</w:t>
      </w:r>
    </w:p>
    <w:p w14:paraId="6CC3568A" w14:textId="128720E2" w:rsidR="00681EB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51.</w:t>
      </w:r>
      <w:r>
        <w:rPr>
          <w:rFonts w:ascii="Arial" w:hAnsi="Arial" w:cs="Arial"/>
          <w:color w:val="000000" w:themeColor="text1"/>
        </w:rPr>
        <w:tab/>
      </w:r>
      <w:r w:rsidR="005A243F" w:rsidRPr="00F95852">
        <w:rPr>
          <w:rFonts w:ascii="Arial" w:hAnsi="Arial" w:cs="Arial"/>
          <w:color w:val="000000" w:themeColor="text1"/>
        </w:rPr>
        <w:t xml:space="preserve">It follows that an interpretation that allows a court to </w:t>
      </w:r>
      <w:r w:rsidR="007D6488" w:rsidRPr="00F95852">
        <w:rPr>
          <w:rFonts w:ascii="Arial" w:hAnsi="Arial" w:cs="Arial"/>
          <w:color w:val="000000" w:themeColor="text1"/>
        </w:rPr>
        <w:t xml:space="preserve">do both i.e. to appoint an appraiser to assist in determining the fair value of the shares </w:t>
      </w:r>
      <w:r w:rsidR="00D63AEE" w:rsidRPr="00F95852">
        <w:rPr>
          <w:rFonts w:ascii="Arial" w:hAnsi="Arial" w:cs="Arial"/>
          <w:color w:val="000000" w:themeColor="text1"/>
        </w:rPr>
        <w:t xml:space="preserve">as well as to allow a reasonable rate of interest is </w:t>
      </w:r>
      <w:r w:rsidR="00D94827" w:rsidRPr="00F95852">
        <w:rPr>
          <w:rFonts w:ascii="Arial" w:hAnsi="Arial" w:cs="Arial"/>
          <w:color w:val="000000" w:themeColor="text1"/>
        </w:rPr>
        <w:t>more consistent with the purpose of section 164, than an interpretation that serves to limit the protection that can be given to a dissenting shareholder.</w:t>
      </w:r>
    </w:p>
    <w:p w14:paraId="4FE02C39" w14:textId="70585EC1" w:rsidR="00D94827"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52.</w:t>
      </w:r>
      <w:r>
        <w:rPr>
          <w:rFonts w:ascii="Arial" w:hAnsi="Arial" w:cs="Arial"/>
          <w:color w:val="000000" w:themeColor="text1"/>
        </w:rPr>
        <w:tab/>
      </w:r>
      <w:r w:rsidR="00596FDA" w:rsidRPr="00F95852">
        <w:rPr>
          <w:rFonts w:ascii="Arial" w:hAnsi="Arial" w:cs="Arial"/>
          <w:color w:val="000000" w:themeColor="text1"/>
        </w:rPr>
        <w:t>This is consistent with the decision of the S</w:t>
      </w:r>
      <w:r w:rsidR="002F5139" w:rsidRPr="00F95852">
        <w:rPr>
          <w:rFonts w:ascii="Arial" w:hAnsi="Arial" w:cs="Arial"/>
          <w:color w:val="000000" w:themeColor="text1"/>
        </w:rPr>
        <w:t xml:space="preserve">upreme </w:t>
      </w:r>
      <w:r w:rsidR="00596FDA" w:rsidRPr="00F95852">
        <w:rPr>
          <w:rFonts w:ascii="Arial" w:hAnsi="Arial" w:cs="Arial"/>
          <w:color w:val="000000" w:themeColor="text1"/>
        </w:rPr>
        <w:t>C</w:t>
      </w:r>
      <w:r w:rsidR="002F5139" w:rsidRPr="00F95852">
        <w:rPr>
          <w:rFonts w:ascii="Arial" w:hAnsi="Arial" w:cs="Arial"/>
          <w:color w:val="000000" w:themeColor="text1"/>
        </w:rPr>
        <w:t xml:space="preserve">ourt of </w:t>
      </w:r>
      <w:r w:rsidR="00596FDA" w:rsidRPr="00F95852">
        <w:rPr>
          <w:rFonts w:ascii="Arial" w:hAnsi="Arial" w:cs="Arial"/>
          <w:color w:val="000000" w:themeColor="text1"/>
        </w:rPr>
        <w:t>A</w:t>
      </w:r>
      <w:r w:rsidR="002F5139" w:rsidRPr="00F95852">
        <w:rPr>
          <w:rFonts w:ascii="Arial" w:hAnsi="Arial" w:cs="Arial"/>
          <w:color w:val="000000" w:themeColor="text1"/>
        </w:rPr>
        <w:t>ppeal</w:t>
      </w:r>
      <w:r w:rsidR="00596FDA" w:rsidRPr="00F95852">
        <w:rPr>
          <w:rFonts w:ascii="Arial" w:hAnsi="Arial" w:cs="Arial"/>
          <w:color w:val="000000" w:themeColor="text1"/>
        </w:rPr>
        <w:t xml:space="preserve"> in </w:t>
      </w:r>
      <w:r w:rsidR="00596FDA" w:rsidRPr="00F95852">
        <w:rPr>
          <w:rFonts w:ascii="Arial" w:hAnsi="Arial" w:cs="Arial"/>
          <w:color w:val="000000" w:themeColor="text1"/>
          <w:u w:val="single"/>
        </w:rPr>
        <w:t xml:space="preserve">Grancy </w:t>
      </w:r>
      <w:r w:rsidR="002F5139" w:rsidRPr="00F95852">
        <w:rPr>
          <w:rFonts w:ascii="Arial" w:hAnsi="Arial" w:cs="Arial"/>
          <w:color w:val="000000" w:themeColor="text1"/>
          <w:u w:val="single"/>
        </w:rPr>
        <w:t>Property Ltd v Manala</w:t>
      </w:r>
      <w:r w:rsidR="00997523" w:rsidRPr="00F95852">
        <w:rPr>
          <w:rFonts w:ascii="Arial" w:hAnsi="Arial" w:cs="Arial"/>
          <w:color w:val="000000" w:themeColor="text1"/>
        </w:rPr>
        <w:t xml:space="preserve"> 2015 (3) SA 313 (SCA) at [26] where the court found that section 163</w:t>
      </w:r>
      <w:r w:rsidR="002376FE" w:rsidRPr="00F95852">
        <w:rPr>
          <w:rFonts w:ascii="Arial" w:hAnsi="Arial" w:cs="Arial"/>
          <w:color w:val="000000" w:themeColor="text1"/>
        </w:rPr>
        <w:t xml:space="preserve"> of the Act, which is also a provision intended to protect the interest of minority shareholders, </w:t>
      </w:r>
      <w:r w:rsidR="000C08AF" w:rsidRPr="00F95852">
        <w:rPr>
          <w:rFonts w:ascii="Arial" w:hAnsi="Arial" w:cs="Arial"/>
          <w:color w:val="000000" w:themeColor="text1"/>
        </w:rPr>
        <w:t xml:space="preserve">should be interpreted in a manner that advances the statutory remedy rather than </w:t>
      </w:r>
      <w:r w:rsidR="005C31FA" w:rsidRPr="00F95852">
        <w:rPr>
          <w:rFonts w:ascii="Arial" w:hAnsi="Arial" w:cs="Arial"/>
          <w:color w:val="000000" w:themeColor="text1"/>
        </w:rPr>
        <w:t>limiting it.</w:t>
      </w:r>
    </w:p>
    <w:p w14:paraId="5F646A49" w14:textId="28F6C575" w:rsidR="00E81E9A"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53.</w:t>
      </w:r>
      <w:r>
        <w:rPr>
          <w:rFonts w:ascii="Arial" w:hAnsi="Arial" w:cs="Arial"/>
          <w:color w:val="000000" w:themeColor="text1"/>
        </w:rPr>
        <w:tab/>
      </w:r>
      <w:r w:rsidR="00E81E9A" w:rsidRPr="00F95852">
        <w:rPr>
          <w:rFonts w:ascii="Arial" w:hAnsi="Arial" w:cs="Arial"/>
          <w:color w:val="000000" w:themeColor="text1"/>
        </w:rPr>
        <w:t xml:space="preserve">Although not strictly necessary for my decision in this matter, I </w:t>
      </w:r>
      <w:r w:rsidR="00DB1C4E" w:rsidRPr="00F95852">
        <w:rPr>
          <w:rFonts w:ascii="Arial" w:hAnsi="Arial" w:cs="Arial"/>
          <w:color w:val="000000" w:themeColor="text1"/>
        </w:rPr>
        <w:t xml:space="preserve">would </w:t>
      </w:r>
      <w:r w:rsidR="00E81E9A" w:rsidRPr="00F95852">
        <w:rPr>
          <w:rFonts w:ascii="Arial" w:hAnsi="Arial" w:cs="Arial"/>
          <w:color w:val="000000" w:themeColor="text1"/>
        </w:rPr>
        <w:t>interpret the word “or” to mean “and”</w:t>
      </w:r>
      <w:r w:rsidR="00B96F6D" w:rsidRPr="00F95852">
        <w:rPr>
          <w:rFonts w:ascii="Arial" w:hAnsi="Arial" w:cs="Arial"/>
          <w:color w:val="000000" w:themeColor="text1"/>
        </w:rPr>
        <w:t xml:space="preserve"> where it appears in section 164(15)(c)(</w:t>
      </w:r>
      <w:r w:rsidR="003F3EAB" w:rsidRPr="00F95852">
        <w:rPr>
          <w:rFonts w:ascii="Arial" w:hAnsi="Arial" w:cs="Arial"/>
          <w:color w:val="000000" w:themeColor="text1"/>
        </w:rPr>
        <w:t>iii).</w:t>
      </w:r>
    </w:p>
    <w:p w14:paraId="77E00851" w14:textId="09BA676F" w:rsidR="005410EC" w:rsidRPr="00F95852" w:rsidRDefault="00F95852" w:rsidP="00F95852">
      <w:pPr>
        <w:tabs>
          <w:tab w:val="left" w:pos="567"/>
        </w:tabs>
        <w:spacing w:after="360" w:line="360" w:lineRule="auto"/>
        <w:ind w:left="567" w:right="0" w:hanging="567"/>
        <w:jc w:val="both"/>
        <w:rPr>
          <w:rFonts w:ascii="Arial" w:hAnsi="Arial" w:cs="Arial"/>
          <w:color w:val="000000" w:themeColor="text1"/>
        </w:rPr>
      </w:pPr>
      <w:r w:rsidRPr="00A72D22">
        <w:rPr>
          <w:rFonts w:ascii="Arial" w:hAnsi="Arial" w:cs="Arial"/>
          <w:color w:val="000000" w:themeColor="text1"/>
        </w:rPr>
        <w:t>54.</w:t>
      </w:r>
      <w:r w:rsidRPr="00A72D22">
        <w:rPr>
          <w:rFonts w:ascii="Arial" w:hAnsi="Arial" w:cs="Arial"/>
          <w:color w:val="000000" w:themeColor="text1"/>
        </w:rPr>
        <w:tab/>
      </w:r>
      <w:r w:rsidR="00A72D22" w:rsidRPr="00F95852">
        <w:rPr>
          <w:rFonts w:ascii="Arial" w:hAnsi="Arial" w:cs="Arial"/>
          <w:color w:val="000000" w:themeColor="text1"/>
        </w:rPr>
        <w:t xml:space="preserve">In light of the above </w:t>
      </w:r>
      <w:r w:rsidR="005410EC" w:rsidRPr="00F95852">
        <w:rPr>
          <w:rFonts w:ascii="Arial" w:hAnsi="Arial" w:cs="Arial"/>
          <w:color w:val="000000" w:themeColor="text1"/>
        </w:rPr>
        <w:t xml:space="preserve">I determine that the fair value of the Respondent’s shares at the time immediately before the Respondent adopted the resolutions to implement the scheme of arrangement </w:t>
      </w:r>
      <w:r w:rsidR="00B838EE" w:rsidRPr="00F95852">
        <w:rPr>
          <w:rFonts w:ascii="Arial" w:hAnsi="Arial" w:cs="Arial"/>
          <w:color w:val="000000" w:themeColor="text1"/>
        </w:rPr>
        <w:t>wa</w:t>
      </w:r>
      <w:r w:rsidR="005410EC" w:rsidRPr="00F95852">
        <w:rPr>
          <w:rFonts w:ascii="Arial" w:hAnsi="Arial" w:cs="Arial"/>
          <w:color w:val="000000" w:themeColor="text1"/>
        </w:rPr>
        <w:t>s 50.95 cents per share.</w:t>
      </w:r>
    </w:p>
    <w:p w14:paraId="02F52F8B" w14:textId="68D41809" w:rsidR="0093026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55.</w:t>
      </w:r>
      <w:r>
        <w:rPr>
          <w:rFonts w:ascii="Arial" w:hAnsi="Arial" w:cs="Arial"/>
          <w:color w:val="000000" w:themeColor="text1"/>
        </w:rPr>
        <w:tab/>
      </w:r>
      <w:r w:rsidR="00EC4A37" w:rsidRPr="00F95852">
        <w:rPr>
          <w:rFonts w:ascii="Arial" w:hAnsi="Arial" w:cs="Arial"/>
          <w:color w:val="000000" w:themeColor="text1"/>
        </w:rPr>
        <w:t>In terms of section 164(9) of the Act</w:t>
      </w:r>
      <w:r w:rsidR="009F2A4F" w:rsidRPr="00F95852">
        <w:rPr>
          <w:rFonts w:ascii="Arial" w:hAnsi="Arial" w:cs="Arial"/>
          <w:color w:val="000000" w:themeColor="text1"/>
        </w:rPr>
        <w:t xml:space="preserve"> a shareholder that demands to be paid the fair value of its shares</w:t>
      </w:r>
      <w:r w:rsidR="00D70B1F" w:rsidRPr="00F95852">
        <w:rPr>
          <w:rFonts w:ascii="Arial" w:hAnsi="Arial" w:cs="Arial"/>
          <w:color w:val="000000" w:themeColor="text1"/>
        </w:rPr>
        <w:t xml:space="preserve"> has no further rights in respect of those shares other than to be paid their fair value.</w:t>
      </w:r>
    </w:p>
    <w:p w14:paraId="5FB7EADD" w14:textId="5A1A3688" w:rsidR="0039331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56.</w:t>
      </w:r>
      <w:r>
        <w:rPr>
          <w:rFonts w:ascii="Arial" w:hAnsi="Arial" w:cs="Arial"/>
          <w:color w:val="000000" w:themeColor="text1"/>
        </w:rPr>
        <w:tab/>
      </w:r>
      <w:r w:rsidR="00393313" w:rsidRPr="00F95852">
        <w:rPr>
          <w:rFonts w:ascii="Arial" w:hAnsi="Arial" w:cs="Arial"/>
          <w:color w:val="000000" w:themeColor="text1"/>
        </w:rPr>
        <w:t>In this matter the resolutions adopting the</w:t>
      </w:r>
      <w:r w:rsidR="000E1541" w:rsidRPr="00F95852">
        <w:rPr>
          <w:rFonts w:ascii="Arial" w:hAnsi="Arial" w:cs="Arial"/>
          <w:color w:val="000000" w:themeColor="text1"/>
        </w:rPr>
        <w:t xml:space="preserve"> scheme of arrangement were passed at the meeting of 13 November 2019, and the Applicants </w:t>
      </w:r>
      <w:r w:rsidR="004256DD" w:rsidRPr="00F95852">
        <w:rPr>
          <w:rFonts w:ascii="Arial" w:hAnsi="Arial" w:cs="Arial"/>
          <w:color w:val="000000" w:themeColor="text1"/>
        </w:rPr>
        <w:t>gave their demand in terms of the Act on 19 November 2019.</w:t>
      </w:r>
    </w:p>
    <w:p w14:paraId="59AA3C98" w14:textId="6F6DF31F" w:rsidR="0093026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57.</w:t>
      </w:r>
      <w:r>
        <w:rPr>
          <w:rFonts w:ascii="Arial" w:hAnsi="Arial" w:cs="Arial"/>
          <w:color w:val="000000" w:themeColor="text1"/>
        </w:rPr>
        <w:tab/>
      </w:r>
      <w:r w:rsidR="00EB7BA1" w:rsidRPr="00F95852">
        <w:rPr>
          <w:rFonts w:ascii="Arial" w:hAnsi="Arial" w:cs="Arial"/>
          <w:color w:val="000000" w:themeColor="text1"/>
        </w:rPr>
        <w:t xml:space="preserve">The Respondent was required, in terms of section </w:t>
      </w:r>
      <w:r w:rsidR="006B2CBC" w:rsidRPr="00F95852">
        <w:rPr>
          <w:rFonts w:ascii="Arial" w:hAnsi="Arial" w:cs="Arial"/>
          <w:color w:val="000000" w:themeColor="text1"/>
        </w:rPr>
        <w:t>164(11) of the Act, to furnish the Applicants with a written offer</w:t>
      </w:r>
      <w:r w:rsidR="005D0C20" w:rsidRPr="00F95852">
        <w:rPr>
          <w:rFonts w:ascii="Arial" w:hAnsi="Arial" w:cs="Arial"/>
          <w:color w:val="000000" w:themeColor="text1"/>
        </w:rPr>
        <w:t xml:space="preserve"> to pay an amount considered </w:t>
      </w:r>
      <w:r w:rsidR="000E2895" w:rsidRPr="00F95852">
        <w:rPr>
          <w:rFonts w:ascii="Arial" w:hAnsi="Arial" w:cs="Arial"/>
          <w:color w:val="000000" w:themeColor="text1"/>
        </w:rPr>
        <w:t xml:space="preserve">by the Respondent’s directors </w:t>
      </w:r>
      <w:r w:rsidR="005D0C20" w:rsidRPr="00F95852">
        <w:rPr>
          <w:rFonts w:ascii="Arial" w:hAnsi="Arial" w:cs="Arial"/>
          <w:color w:val="000000" w:themeColor="text1"/>
        </w:rPr>
        <w:t>to be the fair value of the shares</w:t>
      </w:r>
      <w:r w:rsidR="000E2895" w:rsidRPr="00F95852">
        <w:rPr>
          <w:rFonts w:ascii="Arial" w:hAnsi="Arial" w:cs="Arial"/>
          <w:color w:val="000000" w:themeColor="text1"/>
        </w:rPr>
        <w:t>.</w:t>
      </w:r>
    </w:p>
    <w:p w14:paraId="4040D4E5" w14:textId="077AFA72" w:rsidR="000E2895"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58.</w:t>
      </w:r>
      <w:r>
        <w:rPr>
          <w:rFonts w:ascii="Arial" w:hAnsi="Arial" w:cs="Arial"/>
          <w:color w:val="000000" w:themeColor="text1"/>
        </w:rPr>
        <w:tab/>
      </w:r>
      <w:r w:rsidR="000E2895" w:rsidRPr="00F95852">
        <w:rPr>
          <w:rFonts w:ascii="Arial" w:hAnsi="Arial" w:cs="Arial"/>
          <w:color w:val="000000" w:themeColor="text1"/>
        </w:rPr>
        <w:t xml:space="preserve">The Respondent did not make a written offer as it was </w:t>
      </w:r>
      <w:r w:rsidR="00793CAA" w:rsidRPr="00F95852">
        <w:rPr>
          <w:rFonts w:ascii="Arial" w:hAnsi="Arial" w:cs="Arial"/>
          <w:color w:val="000000" w:themeColor="text1"/>
        </w:rPr>
        <w:t>required</w:t>
      </w:r>
      <w:r w:rsidR="000E2895" w:rsidRPr="00F95852">
        <w:rPr>
          <w:rFonts w:ascii="Arial" w:hAnsi="Arial" w:cs="Arial"/>
          <w:color w:val="000000" w:themeColor="text1"/>
        </w:rPr>
        <w:t xml:space="preserve"> to do</w:t>
      </w:r>
      <w:r w:rsidR="002C66EB" w:rsidRPr="00F95852">
        <w:rPr>
          <w:rFonts w:ascii="Arial" w:hAnsi="Arial" w:cs="Arial"/>
          <w:color w:val="000000" w:themeColor="text1"/>
        </w:rPr>
        <w:t>, and the Applicants were compelled to bring this application in terms of the Act.</w:t>
      </w:r>
    </w:p>
    <w:p w14:paraId="61E19106" w14:textId="64DF6724" w:rsidR="00507AE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59.</w:t>
      </w:r>
      <w:r>
        <w:rPr>
          <w:rFonts w:ascii="Arial" w:hAnsi="Arial" w:cs="Arial"/>
          <w:color w:val="000000" w:themeColor="text1"/>
        </w:rPr>
        <w:tab/>
      </w:r>
      <w:r w:rsidR="00793CAA" w:rsidRPr="00F95852">
        <w:rPr>
          <w:rFonts w:ascii="Arial" w:hAnsi="Arial" w:cs="Arial"/>
          <w:color w:val="000000" w:themeColor="text1"/>
        </w:rPr>
        <w:t xml:space="preserve">It has taken almost four years for the matter to </w:t>
      </w:r>
      <w:r w:rsidR="00004203" w:rsidRPr="00F95852">
        <w:rPr>
          <w:rFonts w:ascii="Arial" w:hAnsi="Arial" w:cs="Arial"/>
          <w:color w:val="000000" w:themeColor="text1"/>
        </w:rPr>
        <w:t>reach its conclusion.  During that time the Applicants had no rights in respect of the shares</w:t>
      </w:r>
      <w:r w:rsidR="00B221A1" w:rsidRPr="00F95852">
        <w:rPr>
          <w:rFonts w:ascii="Arial" w:hAnsi="Arial" w:cs="Arial"/>
          <w:color w:val="000000" w:themeColor="text1"/>
        </w:rPr>
        <w:t xml:space="preserve">, nor did they have the benefit of the fair value being paid to them.  Consequently, this is a matter where </w:t>
      </w:r>
      <w:r w:rsidR="00A55F8E" w:rsidRPr="00F95852">
        <w:rPr>
          <w:rFonts w:ascii="Arial" w:hAnsi="Arial" w:cs="Arial"/>
          <w:color w:val="000000" w:themeColor="text1"/>
        </w:rPr>
        <w:t>it is appropriate for me to exercise my discretion to allow a reasonable rate of interest on the amount payable to the Applicants.</w:t>
      </w:r>
    </w:p>
    <w:p w14:paraId="73E8B411" w14:textId="3FFA3C92" w:rsidR="00D24E00"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60.</w:t>
      </w:r>
      <w:r>
        <w:rPr>
          <w:rFonts w:ascii="Arial" w:hAnsi="Arial" w:cs="Arial"/>
          <w:color w:val="000000" w:themeColor="text1"/>
        </w:rPr>
        <w:tab/>
      </w:r>
      <w:r w:rsidR="00BF064F" w:rsidRPr="00F95852">
        <w:rPr>
          <w:rFonts w:ascii="Arial" w:hAnsi="Arial" w:cs="Arial"/>
          <w:color w:val="000000" w:themeColor="text1"/>
        </w:rPr>
        <w:t xml:space="preserve">Both parties contended that the reasonable rate of interest in this matter would be the rate stipulated in the Prescribed Rate of Interest </w:t>
      </w:r>
      <w:r w:rsidR="003A256B" w:rsidRPr="00F95852">
        <w:rPr>
          <w:rFonts w:ascii="Arial" w:hAnsi="Arial" w:cs="Arial"/>
          <w:color w:val="000000" w:themeColor="text1"/>
        </w:rPr>
        <w:t>Act 55 of 1975.</w:t>
      </w:r>
      <w:r w:rsidR="00815DE7" w:rsidRPr="00F95852">
        <w:rPr>
          <w:rFonts w:ascii="Arial" w:hAnsi="Arial" w:cs="Arial"/>
          <w:color w:val="000000" w:themeColor="text1"/>
        </w:rPr>
        <w:t xml:space="preserve">  Although the actual rate is in my discretion, I see no reason to depart from </w:t>
      </w:r>
      <w:r w:rsidR="00E07A5B" w:rsidRPr="00F95852">
        <w:rPr>
          <w:rFonts w:ascii="Arial" w:hAnsi="Arial" w:cs="Arial"/>
          <w:color w:val="000000" w:themeColor="text1"/>
        </w:rPr>
        <w:t>what the parties have contended.</w:t>
      </w:r>
    </w:p>
    <w:p w14:paraId="5B2C6763" w14:textId="5CE6A195" w:rsidR="00A55F8E"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61.</w:t>
      </w:r>
      <w:r>
        <w:rPr>
          <w:rFonts w:ascii="Arial" w:hAnsi="Arial" w:cs="Arial"/>
          <w:color w:val="000000" w:themeColor="text1"/>
        </w:rPr>
        <w:tab/>
      </w:r>
      <w:r w:rsidR="00E07A5B" w:rsidRPr="00F95852">
        <w:rPr>
          <w:rFonts w:ascii="Arial" w:hAnsi="Arial" w:cs="Arial"/>
          <w:color w:val="000000" w:themeColor="text1"/>
        </w:rPr>
        <w:t xml:space="preserve">The statute applies </w:t>
      </w:r>
      <w:r w:rsidR="006B07FC" w:rsidRPr="00F95852">
        <w:rPr>
          <w:rFonts w:ascii="Arial" w:hAnsi="Arial" w:cs="Arial"/>
          <w:color w:val="000000" w:themeColor="text1"/>
        </w:rPr>
        <w:t xml:space="preserve">to a debt where the rate of interest is not </w:t>
      </w:r>
      <w:r w:rsidR="00933F10" w:rsidRPr="00F95852">
        <w:rPr>
          <w:rFonts w:ascii="Arial" w:hAnsi="Arial" w:cs="Arial"/>
          <w:color w:val="000000" w:themeColor="text1"/>
        </w:rPr>
        <w:t>governed by any other law or the agreement of the parties or a trade custom.</w:t>
      </w:r>
      <w:r w:rsidR="00D41291" w:rsidRPr="00F95852">
        <w:rPr>
          <w:rFonts w:ascii="Arial" w:hAnsi="Arial" w:cs="Arial"/>
          <w:color w:val="000000" w:themeColor="text1"/>
        </w:rPr>
        <w:t xml:space="preserve">  There is no evidence of any other applicable law or agreement or trade custom</w:t>
      </w:r>
      <w:r w:rsidR="00D24E00" w:rsidRPr="00F95852">
        <w:rPr>
          <w:rFonts w:ascii="Arial" w:hAnsi="Arial" w:cs="Arial"/>
          <w:color w:val="000000" w:themeColor="text1"/>
        </w:rPr>
        <w:t xml:space="preserve"> and, consequently, the rate set out in the Prescribed Rate of Interest Act </w:t>
      </w:r>
      <w:r w:rsidR="00C60C64" w:rsidRPr="00F95852">
        <w:rPr>
          <w:rFonts w:ascii="Arial" w:hAnsi="Arial" w:cs="Arial"/>
          <w:color w:val="000000" w:themeColor="text1"/>
        </w:rPr>
        <w:t>is a reasonable rate of interest in this matter.</w:t>
      </w:r>
    </w:p>
    <w:p w14:paraId="410C2927" w14:textId="30D28367" w:rsidR="007B64F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62.</w:t>
      </w:r>
      <w:r>
        <w:rPr>
          <w:rFonts w:ascii="Arial" w:hAnsi="Arial" w:cs="Arial"/>
          <w:color w:val="000000" w:themeColor="text1"/>
        </w:rPr>
        <w:tab/>
      </w:r>
      <w:r w:rsidR="007B64F2" w:rsidRPr="00F95852">
        <w:rPr>
          <w:rFonts w:ascii="Arial" w:hAnsi="Arial" w:cs="Arial"/>
          <w:color w:val="000000" w:themeColor="text1"/>
        </w:rPr>
        <w:t xml:space="preserve">There was some debate between the parties on when the interest should commence to run.  </w:t>
      </w:r>
      <w:r w:rsidR="004C5D84" w:rsidRPr="00F95852">
        <w:rPr>
          <w:rFonts w:ascii="Arial" w:hAnsi="Arial" w:cs="Arial"/>
          <w:color w:val="000000" w:themeColor="text1"/>
        </w:rPr>
        <w:t>The Applicant contended that the commencement date should be 19 November 2019</w:t>
      </w:r>
      <w:r w:rsidR="00816C84" w:rsidRPr="00F95852">
        <w:rPr>
          <w:rFonts w:ascii="Arial" w:hAnsi="Arial" w:cs="Arial"/>
          <w:color w:val="000000" w:themeColor="text1"/>
        </w:rPr>
        <w:t xml:space="preserve">, which is when it made its demand to be paid the fair value of the shares held by it.  </w:t>
      </w:r>
      <w:r w:rsidR="00EF7A93" w:rsidRPr="00F95852">
        <w:rPr>
          <w:rFonts w:ascii="Arial" w:hAnsi="Arial" w:cs="Arial"/>
          <w:color w:val="000000" w:themeColor="text1"/>
        </w:rPr>
        <w:t xml:space="preserve">The Respondent, on the other hand, argued that the </w:t>
      </w:r>
      <w:r w:rsidR="00704B60" w:rsidRPr="00F95852">
        <w:rPr>
          <w:rFonts w:ascii="Arial" w:hAnsi="Arial" w:cs="Arial"/>
          <w:color w:val="000000" w:themeColor="text1"/>
        </w:rPr>
        <w:t xml:space="preserve">debt is only ascertained when the court determines the fair value and, consequently, </w:t>
      </w:r>
      <w:r w:rsidR="00AE17DA" w:rsidRPr="00F95852">
        <w:rPr>
          <w:rFonts w:ascii="Arial" w:hAnsi="Arial" w:cs="Arial"/>
          <w:color w:val="000000" w:themeColor="text1"/>
        </w:rPr>
        <w:t>interest should commence to run from the date of judgment.</w:t>
      </w:r>
    </w:p>
    <w:p w14:paraId="756473D1" w14:textId="24BBAC9A" w:rsidR="00AE17DA"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63.</w:t>
      </w:r>
      <w:r>
        <w:rPr>
          <w:rFonts w:ascii="Arial" w:hAnsi="Arial" w:cs="Arial"/>
          <w:color w:val="000000" w:themeColor="text1"/>
        </w:rPr>
        <w:tab/>
      </w:r>
      <w:r w:rsidR="00A06EA9" w:rsidRPr="00F95852">
        <w:rPr>
          <w:rFonts w:ascii="Arial" w:hAnsi="Arial" w:cs="Arial"/>
          <w:color w:val="000000" w:themeColor="text1"/>
        </w:rPr>
        <w:t xml:space="preserve">The provision itself resolves the debate.  </w:t>
      </w:r>
      <w:r w:rsidR="00C20AC3" w:rsidRPr="00F95852">
        <w:rPr>
          <w:rFonts w:ascii="Arial" w:hAnsi="Arial" w:cs="Arial"/>
          <w:color w:val="000000" w:themeColor="text1"/>
        </w:rPr>
        <w:t>Section 164(15)(c)(iii)(bb)</w:t>
      </w:r>
      <w:r w:rsidR="00A06EA9" w:rsidRPr="00F95852">
        <w:rPr>
          <w:rFonts w:ascii="Arial" w:hAnsi="Arial" w:cs="Arial"/>
          <w:color w:val="000000" w:themeColor="text1"/>
        </w:rPr>
        <w:t xml:space="preserve"> states that interest is to run </w:t>
      </w:r>
      <w:r w:rsidR="00A06EA9" w:rsidRPr="00F95852">
        <w:rPr>
          <w:rFonts w:ascii="Arial" w:hAnsi="Arial" w:cs="Arial"/>
          <w:i/>
          <w:iCs/>
          <w:color w:val="000000" w:themeColor="text1"/>
        </w:rPr>
        <w:t>“from the date the action approved by the resolution is effective”</w:t>
      </w:r>
      <w:r w:rsidR="00A06EA9" w:rsidRPr="00F95852">
        <w:rPr>
          <w:rFonts w:ascii="Arial" w:hAnsi="Arial" w:cs="Arial"/>
          <w:color w:val="000000" w:themeColor="text1"/>
        </w:rPr>
        <w:t>.</w:t>
      </w:r>
      <w:r w:rsidR="00DE04A9" w:rsidRPr="00F95852">
        <w:rPr>
          <w:rFonts w:ascii="Arial" w:hAnsi="Arial" w:cs="Arial"/>
          <w:color w:val="000000" w:themeColor="text1"/>
        </w:rPr>
        <w:t xml:space="preserve">  </w:t>
      </w:r>
      <w:r w:rsidR="00442F6D" w:rsidRPr="00F95852">
        <w:rPr>
          <w:rFonts w:ascii="Arial" w:hAnsi="Arial" w:cs="Arial"/>
          <w:color w:val="000000" w:themeColor="text1"/>
        </w:rPr>
        <w:t xml:space="preserve">In that regard, the </w:t>
      </w:r>
      <w:r w:rsidR="00943FAE" w:rsidRPr="00F95852">
        <w:rPr>
          <w:rFonts w:ascii="Arial" w:hAnsi="Arial" w:cs="Arial"/>
          <w:color w:val="000000" w:themeColor="text1"/>
        </w:rPr>
        <w:t>circular that was sent to the Respondent’s shareholders recorded the implementation date of the scheme of arrangement as 2 December 2019</w:t>
      </w:r>
      <w:r w:rsidR="00F53006" w:rsidRPr="00F95852">
        <w:rPr>
          <w:rFonts w:ascii="Arial" w:hAnsi="Arial" w:cs="Arial"/>
          <w:color w:val="000000" w:themeColor="text1"/>
        </w:rPr>
        <w:t xml:space="preserve"> and, accordingly, that is the date from which interest must </w:t>
      </w:r>
      <w:r w:rsidR="00C75FF5" w:rsidRPr="00F95852">
        <w:rPr>
          <w:rFonts w:ascii="Arial" w:hAnsi="Arial" w:cs="Arial"/>
          <w:color w:val="000000" w:themeColor="text1"/>
        </w:rPr>
        <w:t>be levied.</w:t>
      </w:r>
    </w:p>
    <w:p w14:paraId="69C23326" w14:textId="50E8FC20" w:rsidR="00D2226E"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64.</w:t>
      </w:r>
      <w:r>
        <w:rPr>
          <w:rFonts w:ascii="Arial" w:hAnsi="Arial" w:cs="Arial"/>
          <w:color w:val="000000" w:themeColor="text1"/>
        </w:rPr>
        <w:tab/>
      </w:r>
      <w:r w:rsidR="00DA07E4" w:rsidRPr="00F95852">
        <w:rPr>
          <w:rFonts w:ascii="Arial" w:hAnsi="Arial" w:cs="Arial"/>
          <w:color w:val="000000" w:themeColor="text1"/>
        </w:rPr>
        <w:t>I turn now to the question of costs.  Section 164(15)</w:t>
      </w:r>
      <w:r w:rsidR="00BA22B6" w:rsidRPr="00F95852">
        <w:rPr>
          <w:rFonts w:ascii="Arial" w:hAnsi="Arial" w:cs="Arial"/>
          <w:color w:val="000000" w:themeColor="text1"/>
        </w:rPr>
        <w:t xml:space="preserve">(c)(iv) of the Act provides that a court </w:t>
      </w:r>
      <w:r w:rsidR="00BA22B6" w:rsidRPr="00F95852">
        <w:rPr>
          <w:rFonts w:ascii="Arial" w:hAnsi="Arial" w:cs="Arial"/>
          <w:i/>
          <w:iCs/>
          <w:color w:val="000000" w:themeColor="text1"/>
        </w:rPr>
        <w:t>“may make an appropriate order of costs, having regard to any offer made by the company</w:t>
      </w:r>
      <w:r w:rsidR="008A2B10" w:rsidRPr="00F95852">
        <w:rPr>
          <w:rFonts w:ascii="Arial" w:hAnsi="Arial" w:cs="Arial"/>
          <w:i/>
          <w:iCs/>
          <w:color w:val="000000" w:themeColor="text1"/>
        </w:rPr>
        <w:t>, and the final determination of the fair value by the court”</w:t>
      </w:r>
      <w:r w:rsidR="008A2B10" w:rsidRPr="00F95852">
        <w:rPr>
          <w:rFonts w:ascii="Arial" w:hAnsi="Arial" w:cs="Arial"/>
          <w:color w:val="000000" w:themeColor="text1"/>
        </w:rPr>
        <w:t>.</w:t>
      </w:r>
    </w:p>
    <w:p w14:paraId="48EC3700" w14:textId="1B211C86" w:rsidR="008A2B10"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65.</w:t>
      </w:r>
      <w:r>
        <w:rPr>
          <w:rFonts w:ascii="Arial" w:hAnsi="Arial" w:cs="Arial"/>
          <w:color w:val="000000" w:themeColor="text1"/>
        </w:rPr>
        <w:tab/>
      </w:r>
      <w:r w:rsidR="008A2B10" w:rsidRPr="00F95852">
        <w:rPr>
          <w:rFonts w:ascii="Arial" w:hAnsi="Arial" w:cs="Arial"/>
          <w:color w:val="000000" w:themeColor="text1"/>
        </w:rPr>
        <w:t xml:space="preserve">On the face of it this provision appears to </w:t>
      </w:r>
      <w:r w:rsidR="00297107" w:rsidRPr="00F95852">
        <w:rPr>
          <w:rFonts w:ascii="Arial" w:hAnsi="Arial" w:cs="Arial"/>
          <w:color w:val="000000" w:themeColor="text1"/>
        </w:rPr>
        <w:t xml:space="preserve">restrict the court’s general discretion on costs to </w:t>
      </w:r>
      <w:r w:rsidR="00785EA8" w:rsidRPr="00F95852">
        <w:rPr>
          <w:rFonts w:ascii="Arial" w:hAnsi="Arial" w:cs="Arial"/>
          <w:color w:val="000000" w:themeColor="text1"/>
        </w:rPr>
        <w:t xml:space="preserve">only one factor viz. the difference between the offer made by the company and the fair value </w:t>
      </w:r>
      <w:r w:rsidR="003450AC" w:rsidRPr="00F95852">
        <w:rPr>
          <w:rFonts w:ascii="Arial" w:hAnsi="Arial" w:cs="Arial"/>
          <w:color w:val="000000" w:themeColor="text1"/>
        </w:rPr>
        <w:t>of the shares determined by the court.</w:t>
      </w:r>
    </w:p>
    <w:p w14:paraId="4686C07C" w14:textId="25139829" w:rsidR="00A52BB4"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66.</w:t>
      </w:r>
      <w:r>
        <w:rPr>
          <w:rFonts w:ascii="Arial" w:hAnsi="Arial" w:cs="Arial"/>
          <w:color w:val="000000" w:themeColor="text1"/>
        </w:rPr>
        <w:tab/>
      </w:r>
      <w:r w:rsidR="00A134B8" w:rsidRPr="00F95852">
        <w:rPr>
          <w:rFonts w:ascii="Arial" w:hAnsi="Arial" w:cs="Arial"/>
          <w:color w:val="000000" w:themeColor="text1"/>
        </w:rPr>
        <w:t xml:space="preserve">However, </w:t>
      </w:r>
      <w:r w:rsidR="006A626F" w:rsidRPr="00F95852">
        <w:rPr>
          <w:rFonts w:ascii="Arial" w:hAnsi="Arial" w:cs="Arial"/>
          <w:color w:val="000000" w:themeColor="text1"/>
        </w:rPr>
        <w:t xml:space="preserve">both parties argued that the section does </w:t>
      </w:r>
      <w:r w:rsidR="006A626F" w:rsidRPr="00F95852">
        <w:rPr>
          <w:rFonts w:ascii="Arial" w:hAnsi="Arial" w:cs="Arial"/>
          <w:color w:val="000000" w:themeColor="text1"/>
          <w:u w:val="single"/>
        </w:rPr>
        <w:t>not</w:t>
      </w:r>
      <w:r w:rsidR="006A626F" w:rsidRPr="00F95852">
        <w:rPr>
          <w:rFonts w:ascii="Arial" w:hAnsi="Arial" w:cs="Arial"/>
          <w:color w:val="000000" w:themeColor="text1"/>
        </w:rPr>
        <w:t xml:space="preserve"> displace a court’s general discretion on costs</w:t>
      </w:r>
      <w:r w:rsidR="000D324E" w:rsidRPr="00F95852">
        <w:rPr>
          <w:rFonts w:ascii="Arial" w:hAnsi="Arial" w:cs="Arial"/>
          <w:color w:val="000000" w:themeColor="text1"/>
        </w:rPr>
        <w:t xml:space="preserve">.  In my view this must be correct.  The </w:t>
      </w:r>
      <w:r w:rsidR="00773F62" w:rsidRPr="00F95852">
        <w:rPr>
          <w:rFonts w:ascii="Arial" w:hAnsi="Arial" w:cs="Arial"/>
          <w:color w:val="000000" w:themeColor="text1"/>
        </w:rPr>
        <w:t xml:space="preserve">wide </w:t>
      </w:r>
      <w:r w:rsidR="000D324E" w:rsidRPr="00F95852">
        <w:rPr>
          <w:rFonts w:ascii="Arial" w:hAnsi="Arial" w:cs="Arial"/>
          <w:color w:val="000000" w:themeColor="text1"/>
        </w:rPr>
        <w:t>discretion of a court when it comes to the question of costs</w:t>
      </w:r>
      <w:r w:rsidR="00773F62" w:rsidRPr="00F95852">
        <w:rPr>
          <w:rFonts w:ascii="Arial" w:hAnsi="Arial" w:cs="Arial"/>
          <w:color w:val="000000" w:themeColor="text1"/>
        </w:rPr>
        <w:t xml:space="preserve"> is well established in our law, and if it had been the intention </w:t>
      </w:r>
      <w:r w:rsidR="007B0360" w:rsidRPr="00F95852">
        <w:rPr>
          <w:rFonts w:ascii="Arial" w:hAnsi="Arial" w:cs="Arial"/>
          <w:color w:val="000000" w:themeColor="text1"/>
        </w:rPr>
        <w:t>of the Legislature to make inroads into that discretion then it would have required clear wording to that effect.</w:t>
      </w:r>
    </w:p>
    <w:p w14:paraId="681D46EB" w14:textId="75CFB303" w:rsidR="00AB4F37"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67.</w:t>
      </w:r>
      <w:r>
        <w:rPr>
          <w:rFonts w:ascii="Arial" w:hAnsi="Arial" w:cs="Arial"/>
          <w:color w:val="000000" w:themeColor="text1"/>
        </w:rPr>
        <w:tab/>
      </w:r>
      <w:r w:rsidR="00AB4F37" w:rsidRPr="00F95852">
        <w:rPr>
          <w:rFonts w:ascii="Arial" w:hAnsi="Arial" w:cs="Arial"/>
          <w:color w:val="000000" w:themeColor="text1"/>
        </w:rPr>
        <w:t>In addition, a comparison between the fair value</w:t>
      </w:r>
      <w:r w:rsidR="002B2B5C" w:rsidRPr="00F95852">
        <w:rPr>
          <w:rFonts w:ascii="Arial" w:hAnsi="Arial" w:cs="Arial"/>
          <w:color w:val="000000" w:themeColor="text1"/>
        </w:rPr>
        <w:t xml:space="preserve"> contained in an offer from the directors of a company and the fair value found by a court will have no application where the court has found, for one reason or another, that the application must fail.  </w:t>
      </w:r>
      <w:r w:rsidR="00A10FD7" w:rsidRPr="00F95852">
        <w:rPr>
          <w:rFonts w:ascii="Arial" w:hAnsi="Arial" w:cs="Arial"/>
          <w:color w:val="000000" w:themeColor="text1"/>
        </w:rPr>
        <w:t xml:space="preserve">It could not have been the intention of the Legislature that the </w:t>
      </w:r>
      <w:r w:rsidR="00D70D9E" w:rsidRPr="00F95852">
        <w:rPr>
          <w:rFonts w:ascii="Arial" w:hAnsi="Arial" w:cs="Arial"/>
          <w:color w:val="000000" w:themeColor="text1"/>
        </w:rPr>
        <w:t>respondent company could not be awarded its costs of successfully opposing the application.</w:t>
      </w:r>
    </w:p>
    <w:p w14:paraId="1D6C22B8" w14:textId="10B19ADB" w:rsidR="00A134B8"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68.</w:t>
      </w:r>
      <w:r>
        <w:rPr>
          <w:rFonts w:ascii="Arial" w:hAnsi="Arial" w:cs="Arial"/>
          <w:color w:val="000000" w:themeColor="text1"/>
        </w:rPr>
        <w:tab/>
      </w:r>
      <w:r w:rsidR="00A52BB4" w:rsidRPr="00F95852">
        <w:rPr>
          <w:rFonts w:ascii="Arial" w:hAnsi="Arial" w:cs="Arial"/>
          <w:color w:val="000000" w:themeColor="text1"/>
        </w:rPr>
        <w:t xml:space="preserve">In my view, by requiring a court to </w:t>
      </w:r>
      <w:r w:rsidR="00EB239D" w:rsidRPr="00F95852">
        <w:rPr>
          <w:rFonts w:ascii="Arial" w:hAnsi="Arial" w:cs="Arial"/>
          <w:color w:val="000000" w:themeColor="text1"/>
        </w:rPr>
        <w:t xml:space="preserve">compare the </w:t>
      </w:r>
      <w:r w:rsidR="00076149" w:rsidRPr="00F95852">
        <w:rPr>
          <w:rFonts w:ascii="Arial" w:hAnsi="Arial" w:cs="Arial"/>
          <w:color w:val="000000" w:themeColor="text1"/>
        </w:rPr>
        <w:t xml:space="preserve">fair value attributed to shares by the directors of a company with </w:t>
      </w:r>
      <w:r w:rsidR="00EB239D" w:rsidRPr="00F95852">
        <w:rPr>
          <w:rFonts w:ascii="Arial" w:hAnsi="Arial" w:cs="Arial"/>
          <w:color w:val="000000" w:themeColor="text1"/>
        </w:rPr>
        <w:t xml:space="preserve">the fair value determined </w:t>
      </w:r>
      <w:r w:rsidR="00C83A86" w:rsidRPr="00F95852">
        <w:rPr>
          <w:rFonts w:ascii="Arial" w:hAnsi="Arial" w:cs="Arial"/>
          <w:color w:val="000000" w:themeColor="text1"/>
        </w:rPr>
        <w:t xml:space="preserve">by the court, section 164(15)(c)(iv) does no more than enjoin a court to </w:t>
      </w:r>
      <w:r w:rsidR="00C90C11" w:rsidRPr="00F95852">
        <w:rPr>
          <w:rFonts w:ascii="Arial" w:hAnsi="Arial" w:cs="Arial"/>
          <w:color w:val="000000" w:themeColor="text1"/>
        </w:rPr>
        <w:t>consider the relative success of each party</w:t>
      </w:r>
      <w:r w:rsidR="00B97E63" w:rsidRPr="00F95852">
        <w:rPr>
          <w:rFonts w:ascii="Arial" w:hAnsi="Arial" w:cs="Arial"/>
          <w:color w:val="000000" w:themeColor="text1"/>
        </w:rPr>
        <w:t xml:space="preserve"> in the application.</w:t>
      </w:r>
    </w:p>
    <w:p w14:paraId="105F4B2A" w14:textId="09A4511D" w:rsidR="00B97E63"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69.</w:t>
      </w:r>
      <w:r>
        <w:rPr>
          <w:rFonts w:ascii="Arial" w:hAnsi="Arial" w:cs="Arial"/>
          <w:color w:val="000000" w:themeColor="text1"/>
        </w:rPr>
        <w:tab/>
      </w:r>
      <w:r w:rsidR="00E22E54" w:rsidRPr="00F95852">
        <w:rPr>
          <w:rFonts w:ascii="Arial" w:hAnsi="Arial" w:cs="Arial"/>
          <w:color w:val="000000" w:themeColor="text1"/>
        </w:rPr>
        <w:t>In this matter the Respondent’s directors did not make a written offer in terms of section 164(</w:t>
      </w:r>
      <w:r w:rsidR="00791BD0" w:rsidRPr="00F95852">
        <w:rPr>
          <w:rFonts w:ascii="Arial" w:hAnsi="Arial" w:cs="Arial"/>
          <w:color w:val="000000" w:themeColor="text1"/>
        </w:rPr>
        <w:t>11</w:t>
      </w:r>
      <w:r w:rsidR="00E22E54" w:rsidRPr="00F95852">
        <w:rPr>
          <w:rFonts w:ascii="Arial" w:hAnsi="Arial" w:cs="Arial"/>
          <w:color w:val="000000" w:themeColor="text1"/>
        </w:rPr>
        <w:t>) of the Act</w:t>
      </w:r>
      <w:r w:rsidR="00992C8B" w:rsidRPr="00F95852">
        <w:rPr>
          <w:rFonts w:ascii="Arial" w:hAnsi="Arial" w:cs="Arial"/>
          <w:color w:val="000000" w:themeColor="text1"/>
        </w:rPr>
        <w:t>, and the Applicants were forced to bring this application</w:t>
      </w:r>
      <w:r w:rsidR="005E72D0" w:rsidRPr="00F95852">
        <w:rPr>
          <w:rFonts w:ascii="Arial" w:hAnsi="Arial" w:cs="Arial"/>
          <w:color w:val="000000" w:themeColor="text1"/>
        </w:rPr>
        <w:t xml:space="preserve">.  </w:t>
      </w:r>
      <w:r w:rsidR="009C2A90" w:rsidRPr="00F95852">
        <w:rPr>
          <w:rFonts w:ascii="Arial" w:hAnsi="Arial" w:cs="Arial"/>
          <w:color w:val="000000" w:themeColor="text1"/>
        </w:rPr>
        <w:t>In the result, the Applicants have been successful, and they are entitled to their costs in the application.</w:t>
      </w:r>
    </w:p>
    <w:p w14:paraId="07DC4F76" w14:textId="7932F6B6" w:rsidR="009C2A90"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70.</w:t>
      </w:r>
      <w:r>
        <w:rPr>
          <w:rFonts w:ascii="Arial" w:hAnsi="Arial" w:cs="Arial"/>
          <w:color w:val="000000" w:themeColor="text1"/>
        </w:rPr>
        <w:tab/>
      </w:r>
      <w:r w:rsidR="00557555" w:rsidRPr="00F95852">
        <w:rPr>
          <w:rFonts w:ascii="Arial" w:hAnsi="Arial" w:cs="Arial"/>
          <w:color w:val="000000" w:themeColor="text1"/>
        </w:rPr>
        <w:t xml:space="preserve">The Applicants </w:t>
      </w:r>
      <w:r w:rsidR="00F81464" w:rsidRPr="00F95852">
        <w:rPr>
          <w:rFonts w:ascii="Arial" w:hAnsi="Arial" w:cs="Arial"/>
          <w:color w:val="000000" w:themeColor="text1"/>
        </w:rPr>
        <w:t>contend that the costs should be awarded to them on the scale as between attorney and client.</w:t>
      </w:r>
      <w:r w:rsidR="00FB5A15" w:rsidRPr="00F95852">
        <w:rPr>
          <w:rFonts w:ascii="Arial" w:hAnsi="Arial" w:cs="Arial"/>
          <w:color w:val="000000" w:themeColor="text1"/>
        </w:rPr>
        <w:t xml:space="preserve">  </w:t>
      </w:r>
      <w:r w:rsidR="00EB04BC" w:rsidRPr="00F95852">
        <w:rPr>
          <w:rFonts w:ascii="Arial" w:hAnsi="Arial" w:cs="Arial"/>
          <w:color w:val="000000" w:themeColor="text1"/>
        </w:rPr>
        <w:t>The reasoning is simple, yet compelling.  The Applicants say</w:t>
      </w:r>
      <w:r w:rsidR="00EE4A8A" w:rsidRPr="00F95852">
        <w:rPr>
          <w:rFonts w:ascii="Arial" w:hAnsi="Arial" w:cs="Arial"/>
          <w:color w:val="000000" w:themeColor="text1"/>
        </w:rPr>
        <w:t xml:space="preserve">, in essence, that the Respondent opposed the application without </w:t>
      </w:r>
      <w:r w:rsidR="00BA3BAA" w:rsidRPr="00F95852">
        <w:rPr>
          <w:rFonts w:ascii="Arial" w:hAnsi="Arial" w:cs="Arial"/>
          <w:color w:val="000000" w:themeColor="text1"/>
        </w:rPr>
        <w:t>there being a genuine dispute between the parties.</w:t>
      </w:r>
    </w:p>
    <w:p w14:paraId="126AADA1" w14:textId="0CE91909" w:rsidR="00BA3BAA"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71.</w:t>
      </w:r>
      <w:r>
        <w:rPr>
          <w:rFonts w:ascii="Arial" w:hAnsi="Arial" w:cs="Arial"/>
          <w:color w:val="000000" w:themeColor="text1"/>
        </w:rPr>
        <w:tab/>
      </w:r>
      <w:r w:rsidR="00D637CA" w:rsidRPr="00F95852">
        <w:rPr>
          <w:rFonts w:ascii="Arial" w:hAnsi="Arial" w:cs="Arial"/>
          <w:color w:val="000000" w:themeColor="text1"/>
        </w:rPr>
        <w:t>This is borne out by the Respondent raising a host of defences in its answering affidavit</w:t>
      </w:r>
      <w:r w:rsidR="002B43AE" w:rsidRPr="00F95852">
        <w:rPr>
          <w:rFonts w:ascii="Arial" w:hAnsi="Arial" w:cs="Arial"/>
          <w:color w:val="000000" w:themeColor="text1"/>
        </w:rPr>
        <w:t xml:space="preserve"> and in its heads of argument, only to abandon the defences when the matter was argued.  </w:t>
      </w:r>
      <w:r w:rsidR="00AB77FC" w:rsidRPr="00F95852">
        <w:rPr>
          <w:rFonts w:ascii="Arial" w:hAnsi="Arial" w:cs="Arial"/>
          <w:color w:val="000000" w:themeColor="text1"/>
        </w:rPr>
        <w:t xml:space="preserve">Even then, the sole remaining defence would not have been </w:t>
      </w:r>
      <w:r w:rsidR="00870D1B" w:rsidRPr="00F95852">
        <w:rPr>
          <w:rFonts w:ascii="Arial" w:hAnsi="Arial" w:cs="Arial"/>
          <w:color w:val="000000" w:themeColor="text1"/>
        </w:rPr>
        <w:t xml:space="preserve">arguable if </w:t>
      </w:r>
      <w:r w:rsidR="00AA292A" w:rsidRPr="00F95852">
        <w:rPr>
          <w:rFonts w:ascii="Arial" w:hAnsi="Arial" w:cs="Arial"/>
          <w:color w:val="000000" w:themeColor="text1"/>
        </w:rPr>
        <w:t xml:space="preserve">half of </w:t>
      </w:r>
      <w:r w:rsidR="00870D1B" w:rsidRPr="00F95852">
        <w:rPr>
          <w:rFonts w:ascii="Arial" w:hAnsi="Arial" w:cs="Arial"/>
          <w:color w:val="000000" w:themeColor="text1"/>
        </w:rPr>
        <w:t xml:space="preserve">the e-mail </w:t>
      </w:r>
      <w:r w:rsidR="00AA292A" w:rsidRPr="00F95852">
        <w:rPr>
          <w:rFonts w:ascii="Arial" w:hAnsi="Arial" w:cs="Arial"/>
          <w:color w:val="000000" w:themeColor="text1"/>
        </w:rPr>
        <w:t>dated</w:t>
      </w:r>
      <w:r w:rsidR="00870D1B" w:rsidRPr="00F95852">
        <w:rPr>
          <w:rFonts w:ascii="Arial" w:hAnsi="Arial" w:cs="Arial"/>
          <w:color w:val="000000" w:themeColor="text1"/>
        </w:rPr>
        <w:t xml:space="preserve"> </w:t>
      </w:r>
      <w:r w:rsidR="006E504F" w:rsidRPr="00F95852">
        <w:rPr>
          <w:rFonts w:ascii="Arial" w:hAnsi="Arial" w:cs="Arial"/>
          <w:color w:val="000000" w:themeColor="text1"/>
        </w:rPr>
        <w:t>31 August 202</w:t>
      </w:r>
      <w:r w:rsidR="00AA292A" w:rsidRPr="00F95852">
        <w:rPr>
          <w:rFonts w:ascii="Arial" w:hAnsi="Arial" w:cs="Arial"/>
          <w:color w:val="000000" w:themeColor="text1"/>
        </w:rPr>
        <w:t>0 had not been cut-off in the court papers</w:t>
      </w:r>
      <w:r w:rsidR="00411799" w:rsidRPr="00F95852">
        <w:rPr>
          <w:rFonts w:ascii="Arial" w:hAnsi="Arial" w:cs="Arial"/>
          <w:color w:val="000000" w:themeColor="text1"/>
        </w:rPr>
        <w:t>, or if the Respondent had not overlooked the supplementary affidavit that was filed by the Applicants</w:t>
      </w:r>
      <w:r w:rsidR="000335D7" w:rsidRPr="00F95852">
        <w:rPr>
          <w:rFonts w:ascii="Arial" w:hAnsi="Arial" w:cs="Arial"/>
          <w:color w:val="000000" w:themeColor="text1"/>
        </w:rPr>
        <w:t xml:space="preserve"> in April 2023</w:t>
      </w:r>
      <w:r w:rsidR="00411799" w:rsidRPr="00F95852">
        <w:rPr>
          <w:rFonts w:ascii="Arial" w:hAnsi="Arial" w:cs="Arial"/>
          <w:color w:val="000000" w:themeColor="text1"/>
        </w:rPr>
        <w:t>.</w:t>
      </w:r>
    </w:p>
    <w:p w14:paraId="2D3417DD" w14:textId="212096C0" w:rsidR="00B3344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72.</w:t>
      </w:r>
      <w:r>
        <w:rPr>
          <w:rFonts w:ascii="Arial" w:hAnsi="Arial" w:cs="Arial"/>
          <w:color w:val="000000" w:themeColor="text1"/>
        </w:rPr>
        <w:tab/>
      </w:r>
      <w:r w:rsidR="00B33442" w:rsidRPr="00F95852">
        <w:rPr>
          <w:rFonts w:ascii="Arial" w:hAnsi="Arial" w:cs="Arial"/>
          <w:color w:val="000000" w:themeColor="text1"/>
        </w:rPr>
        <w:t xml:space="preserve">In that regard the Respondent argues that any costs award against it should only take effect </w:t>
      </w:r>
      <w:r w:rsidR="00F30CF8" w:rsidRPr="00F95852">
        <w:rPr>
          <w:rFonts w:ascii="Arial" w:hAnsi="Arial" w:cs="Arial"/>
          <w:color w:val="000000" w:themeColor="text1"/>
        </w:rPr>
        <w:t>in April 2023 when the supplementary affidavit was filed because</w:t>
      </w:r>
      <w:r w:rsidR="00077513" w:rsidRPr="00F95852">
        <w:rPr>
          <w:rFonts w:ascii="Arial" w:hAnsi="Arial" w:cs="Arial"/>
          <w:color w:val="000000" w:themeColor="text1"/>
        </w:rPr>
        <w:t>, according to the Respondent,</w:t>
      </w:r>
      <w:r w:rsidR="00F30CF8" w:rsidRPr="00F95852">
        <w:rPr>
          <w:rFonts w:ascii="Arial" w:hAnsi="Arial" w:cs="Arial"/>
          <w:color w:val="000000" w:themeColor="text1"/>
        </w:rPr>
        <w:t xml:space="preserve"> </w:t>
      </w:r>
      <w:r w:rsidR="0015004D" w:rsidRPr="00F95852">
        <w:rPr>
          <w:rFonts w:ascii="Arial" w:hAnsi="Arial" w:cs="Arial"/>
          <w:color w:val="000000" w:themeColor="text1"/>
        </w:rPr>
        <w:t xml:space="preserve">until </w:t>
      </w:r>
      <w:r w:rsidR="00F30CF8" w:rsidRPr="00F95852">
        <w:rPr>
          <w:rFonts w:ascii="Arial" w:hAnsi="Arial" w:cs="Arial"/>
          <w:color w:val="000000" w:themeColor="text1"/>
        </w:rPr>
        <w:t>th</w:t>
      </w:r>
      <w:r w:rsidR="0015004D" w:rsidRPr="00F95852">
        <w:rPr>
          <w:rFonts w:ascii="Arial" w:hAnsi="Arial" w:cs="Arial"/>
          <w:color w:val="000000" w:themeColor="text1"/>
        </w:rPr>
        <w:t xml:space="preserve">e supplementary affidavit was filed </w:t>
      </w:r>
      <w:r w:rsidR="00AA6DC5" w:rsidRPr="00F95852">
        <w:rPr>
          <w:rFonts w:ascii="Arial" w:hAnsi="Arial" w:cs="Arial"/>
          <w:i/>
          <w:iCs/>
          <w:color w:val="000000" w:themeColor="text1"/>
        </w:rPr>
        <w:t>“the Applicant’s case was simply not in order”</w:t>
      </w:r>
      <w:r w:rsidR="00AA6DC5" w:rsidRPr="00F95852">
        <w:rPr>
          <w:rFonts w:ascii="Arial" w:hAnsi="Arial" w:cs="Arial"/>
          <w:color w:val="000000" w:themeColor="text1"/>
        </w:rPr>
        <w:t>.</w:t>
      </w:r>
    </w:p>
    <w:p w14:paraId="507D8423" w14:textId="5874E5E1" w:rsidR="00AA6DC5"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73.</w:t>
      </w:r>
      <w:r>
        <w:rPr>
          <w:rFonts w:ascii="Arial" w:hAnsi="Arial" w:cs="Arial"/>
          <w:color w:val="000000" w:themeColor="text1"/>
        </w:rPr>
        <w:tab/>
      </w:r>
      <w:r w:rsidR="00AA6DC5" w:rsidRPr="00F95852">
        <w:rPr>
          <w:rFonts w:ascii="Arial" w:hAnsi="Arial" w:cs="Arial"/>
          <w:color w:val="000000" w:themeColor="text1"/>
        </w:rPr>
        <w:t xml:space="preserve">The purpose of the supplementary affidavit was to prove </w:t>
      </w:r>
      <w:r w:rsidR="00373175" w:rsidRPr="00F95852">
        <w:rPr>
          <w:rFonts w:ascii="Arial" w:hAnsi="Arial" w:cs="Arial"/>
          <w:color w:val="000000" w:themeColor="text1"/>
        </w:rPr>
        <w:t>what was contained in the cut-off portion of the 31 August 2020 e-mail</w:t>
      </w:r>
      <w:r w:rsidR="00013DAA" w:rsidRPr="00F95852">
        <w:rPr>
          <w:rFonts w:ascii="Arial" w:hAnsi="Arial" w:cs="Arial"/>
          <w:color w:val="000000" w:themeColor="text1"/>
        </w:rPr>
        <w:t xml:space="preserve"> viz.</w:t>
      </w:r>
      <w:r w:rsidR="00373175" w:rsidRPr="00F95852">
        <w:rPr>
          <w:rFonts w:ascii="Arial" w:hAnsi="Arial" w:cs="Arial"/>
          <w:color w:val="000000" w:themeColor="text1"/>
        </w:rPr>
        <w:t xml:space="preserve"> </w:t>
      </w:r>
      <w:r w:rsidR="00013DAA" w:rsidRPr="00F95852">
        <w:rPr>
          <w:rFonts w:ascii="Arial" w:hAnsi="Arial" w:cs="Arial"/>
          <w:color w:val="000000" w:themeColor="text1"/>
        </w:rPr>
        <w:t xml:space="preserve">that the Applicants’ representative had voted against the resolutions at the special meeting on 13 November 2019 and, consequently, the Applicants were </w:t>
      </w:r>
      <w:r w:rsidR="00F82669" w:rsidRPr="00F95852">
        <w:rPr>
          <w:rFonts w:ascii="Arial" w:hAnsi="Arial" w:cs="Arial"/>
          <w:color w:val="000000" w:themeColor="text1"/>
        </w:rPr>
        <w:t>dissenting shareholders in terms of the Act.</w:t>
      </w:r>
    </w:p>
    <w:p w14:paraId="1E1DFDFB" w14:textId="6B04AA18" w:rsidR="00F82669"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74.</w:t>
      </w:r>
      <w:r>
        <w:rPr>
          <w:rFonts w:ascii="Arial" w:hAnsi="Arial" w:cs="Arial"/>
          <w:color w:val="000000" w:themeColor="text1"/>
        </w:rPr>
        <w:tab/>
      </w:r>
      <w:r w:rsidR="004C22FE" w:rsidRPr="00F95852">
        <w:rPr>
          <w:rFonts w:ascii="Arial" w:hAnsi="Arial" w:cs="Arial"/>
          <w:color w:val="000000" w:themeColor="text1"/>
        </w:rPr>
        <w:t>However, the Respondent’s argument overlooks the fact that all the evidence</w:t>
      </w:r>
      <w:r w:rsidR="003E203B" w:rsidRPr="00F95852">
        <w:rPr>
          <w:rFonts w:ascii="Arial" w:hAnsi="Arial" w:cs="Arial"/>
          <w:color w:val="000000" w:themeColor="text1"/>
        </w:rPr>
        <w:t xml:space="preserve"> to prove that the Applicants were dissenting sh</w:t>
      </w:r>
      <w:r w:rsidR="0015790E" w:rsidRPr="00F95852">
        <w:rPr>
          <w:rFonts w:ascii="Arial" w:hAnsi="Arial" w:cs="Arial"/>
          <w:color w:val="000000" w:themeColor="text1"/>
        </w:rPr>
        <w:t>a</w:t>
      </w:r>
      <w:r w:rsidR="003E203B" w:rsidRPr="00F95852">
        <w:rPr>
          <w:rFonts w:ascii="Arial" w:hAnsi="Arial" w:cs="Arial"/>
          <w:color w:val="000000" w:themeColor="text1"/>
        </w:rPr>
        <w:t>reholders was</w:t>
      </w:r>
      <w:r w:rsidR="0015790E" w:rsidRPr="00F95852">
        <w:rPr>
          <w:rFonts w:ascii="Arial" w:hAnsi="Arial" w:cs="Arial"/>
          <w:color w:val="000000" w:themeColor="text1"/>
        </w:rPr>
        <w:t>,</w:t>
      </w:r>
      <w:r w:rsidR="003E203B" w:rsidRPr="00F95852">
        <w:rPr>
          <w:rFonts w:ascii="Arial" w:hAnsi="Arial" w:cs="Arial"/>
          <w:color w:val="000000" w:themeColor="text1"/>
        </w:rPr>
        <w:t xml:space="preserve"> strictly speaking</w:t>
      </w:r>
      <w:r w:rsidR="0015790E" w:rsidRPr="00F95852">
        <w:rPr>
          <w:rFonts w:ascii="Arial" w:hAnsi="Arial" w:cs="Arial"/>
          <w:color w:val="000000" w:themeColor="text1"/>
        </w:rPr>
        <w:t>,</w:t>
      </w:r>
      <w:r w:rsidR="003E203B" w:rsidRPr="00F95852">
        <w:rPr>
          <w:rFonts w:ascii="Arial" w:hAnsi="Arial" w:cs="Arial"/>
          <w:color w:val="000000" w:themeColor="text1"/>
        </w:rPr>
        <w:t xml:space="preserve"> unnecessary because </w:t>
      </w:r>
      <w:r w:rsidR="0015790E" w:rsidRPr="00F95852">
        <w:rPr>
          <w:rFonts w:ascii="Arial" w:hAnsi="Arial" w:cs="Arial"/>
          <w:color w:val="000000" w:themeColor="text1"/>
        </w:rPr>
        <w:t>the Respondent</w:t>
      </w:r>
      <w:r w:rsidR="00CB2AD7" w:rsidRPr="00F95852">
        <w:rPr>
          <w:rFonts w:ascii="Arial" w:hAnsi="Arial" w:cs="Arial"/>
          <w:color w:val="000000" w:themeColor="text1"/>
        </w:rPr>
        <w:t xml:space="preserve">, through its own agent, had recognised and acknowledged the Applicants’ status as dissenting shareholders </w:t>
      </w:r>
      <w:r w:rsidR="009755EF" w:rsidRPr="00F95852">
        <w:rPr>
          <w:rFonts w:ascii="Arial" w:hAnsi="Arial" w:cs="Arial"/>
          <w:color w:val="000000" w:themeColor="text1"/>
        </w:rPr>
        <w:t>as early as 21 February 2020.</w:t>
      </w:r>
    </w:p>
    <w:p w14:paraId="319C3F85" w14:textId="4614CAA3" w:rsidR="009755EF"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75.</w:t>
      </w:r>
      <w:r>
        <w:rPr>
          <w:rFonts w:ascii="Arial" w:hAnsi="Arial" w:cs="Arial"/>
          <w:color w:val="000000" w:themeColor="text1"/>
        </w:rPr>
        <w:tab/>
      </w:r>
      <w:r w:rsidR="001A2611" w:rsidRPr="00F95852">
        <w:rPr>
          <w:rFonts w:ascii="Arial" w:hAnsi="Arial" w:cs="Arial"/>
          <w:color w:val="000000" w:themeColor="text1"/>
        </w:rPr>
        <w:t xml:space="preserve">In other words, the only reason the Applicant </w:t>
      </w:r>
      <w:r w:rsidR="00F0205C" w:rsidRPr="00F95852">
        <w:rPr>
          <w:rFonts w:ascii="Arial" w:hAnsi="Arial" w:cs="Arial"/>
          <w:color w:val="000000" w:themeColor="text1"/>
        </w:rPr>
        <w:t xml:space="preserve">had to put up the supplementary evidence was because the Respondent </w:t>
      </w:r>
      <w:r w:rsidR="00844622" w:rsidRPr="00F95852">
        <w:rPr>
          <w:rFonts w:ascii="Arial" w:hAnsi="Arial" w:cs="Arial"/>
          <w:color w:val="000000" w:themeColor="text1"/>
        </w:rPr>
        <w:t>sought to argue a point that was inconsistent with its own conduct.</w:t>
      </w:r>
    </w:p>
    <w:p w14:paraId="7D25EECC" w14:textId="6E0D54CD" w:rsidR="000F6391"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76.</w:t>
      </w:r>
      <w:r>
        <w:rPr>
          <w:rFonts w:ascii="Arial" w:hAnsi="Arial" w:cs="Arial"/>
          <w:color w:val="000000" w:themeColor="text1"/>
        </w:rPr>
        <w:tab/>
      </w:r>
      <w:r w:rsidR="000F56F1" w:rsidRPr="00F95852">
        <w:rPr>
          <w:rFonts w:ascii="Arial" w:hAnsi="Arial" w:cs="Arial"/>
          <w:color w:val="000000" w:themeColor="text1"/>
        </w:rPr>
        <w:t>T</w:t>
      </w:r>
      <w:r w:rsidR="00896642" w:rsidRPr="00F95852">
        <w:rPr>
          <w:rFonts w:ascii="Arial" w:hAnsi="Arial" w:cs="Arial"/>
          <w:color w:val="000000" w:themeColor="text1"/>
        </w:rPr>
        <w:t xml:space="preserve">he Respondent </w:t>
      </w:r>
      <w:r w:rsidR="000F6391" w:rsidRPr="00F95852">
        <w:rPr>
          <w:rFonts w:ascii="Arial" w:hAnsi="Arial" w:cs="Arial"/>
          <w:color w:val="000000" w:themeColor="text1"/>
        </w:rPr>
        <w:t xml:space="preserve">failed to comply with </w:t>
      </w:r>
      <w:r w:rsidR="00896642" w:rsidRPr="00F95852">
        <w:rPr>
          <w:rFonts w:ascii="Arial" w:hAnsi="Arial" w:cs="Arial"/>
          <w:color w:val="000000" w:themeColor="text1"/>
        </w:rPr>
        <w:t xml:space="preserve">its statutory obligation to </w:t>
      </w:r>
      <w:r w:rsidR="007E44AA" w:rsidRPr="00F95852">
        <w:rPr>
          <w:rFonts w:ascii="Arial" w:hAnsi="Arial" w:cs="Arial"/>
          <w:color w:val="000000" w:themeColor="text1"/>
        </w:rPr>
        <w:t xml:space="preserve">furnish a written offer to the Applicants in terms of section 164(11) of the Act, </w:t>
      </w:r>
      <w:r w:rsidR="000F56F1" w:rsidRPr="00F95852">
        <w:rPr>
          <w:rFonts w:ascii="Arial" w:hAnsi="Arial" w:cs="Arial"/>
          <w:color w:val="000000" w:themeColor="text1"/>
        </w:rPr>
        <w:t xml:space="preserve">which compelled the Applicants to approach the court for </w:t>
      </w:r>
      <w:r w:rsidR="000F6391" w:rsidRPr="00F95852">
        <w:rPr>
          <w:rFonts w:ascii="Arial" w:hAnsi="Arial" w:cs="Arial"/>
          <w:color w:val="000000" w:themeColor="text1"/>
        </w:rPr>
        <w:t>their statutory relief.</w:t>
      </w:r>
    </w:p>
    <w:p w14:paraId="30C0CD2F" w14:textId="5E6BB2C5" w:rsidR="000F6391"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77.</w:t>
      </w:r>
      <w:r>
        <w:rPr>
          <w:rFonts w:ascii="Arial" w:hAnsi="Arial" w:cs="Arial"/>
          <w:color w:val="000000" w:themeColor="text1"/>
        </w:rPr>
        <w:tab/>
      </w:r>
      <w:r w:rsidR="000F6391" w:rsidRPr="00F95852">
        <w:rPr>
          <w:rFonts w:ascii="Arial" w:hAnsi="Arial" w:cs="Arial"/>
          <w:color w:val="000000" w:themeColor="text1"/>
        </w:rPr>
        <w:t xml:space="preserve">Having ignored the Applicants’ statutory rights, the Respondent then rode roughshod over the Applicants’ procedural rights in the application by </w:t>
      </w:r>
      <w:r w:rsidR="005337AB" w:rsidRPr="00F95852">
        <w:rPr>
          <w:rFonts w:ascii="Arial" w:hAnsi="Arial" w:cs="Arial"/>
          <w:color w:val="000000" w:themeColor="text1"/>
        </w:rPr>
        <w:t>advancing arguments that were manifestly without merit</w:t>
      </w:r>
      <w:r w:rsidR="000F6391" w:rsidRPr="00F95852">
        <w:rPr>
          <w:rFonts w:ascii="Arial" w:hAnsi="Arial" w:cs="Arial"/>
          <w:color w:val="000000" w:themeColor="text1"/>
        </w:rPr>
        <w:t xml:space="preserve"> and which only served to drag out the conclusion of the application.</w:t>
      </w:r>
    </w:p>
    <w:p w14:paraId="6AFA2807" w14:textId="36609B66" w:rsidR="00844622"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78.</w:t>
      </w:r>
      <w:r>
        <w:rPr>
          <w:rFonts w:ascii="Arial" w:hAnsi="Arial" w:cs="Arial"/>
          <w:color w:val="000000" w:themeColor="text1"/>
        </w:rPr>
        <w:tab/>
      </w:r>
      <w:r w:rsidR="000F6391" w:rsidRPr="00F95852">
        <w:rPr>
          <w:rFonts w:ascii="Arial" w:hAnsi="Arial" w:cs="Arial"/>
          <w:color w:val="000000" w:themeColor="text1"/>
        </w:rPr>
        <w:t xml:space="preserve">This conduct, in my view, </w:t>
      </w:r>
      <w:r w:rsidR="0073480C" w:rsidRPr="00F95852">
        <w:rPr>
          <w:rFonts w:ascii="Arial" w:hAnsi="Arial" w:cs="Arial"/>
          <w:color w:val="000000" w:themeColor="text1"/>
        </w:rPr>
        <w:t>warrant</w:t>
      </w:r>
      <w:r w:rsidR="000F6391" w:rsidRPr="00F95852">
        <w:rPr>
          <w:rFonts w:ascii="Arial" w:hAnsi="Arial" w:cs="Arial"/>
          <w:color w:val="000000" w:themeColor="text1"/>
        </w:rPr>
        <w:t>s</w:t>
      </w:r>
      <w:r w:rsidR="0073480C" w:rsidRPr="00F95852">
        <w:rPr>
          <w:rFonts w:ascii="Arial" w:hAnsi="Arial" w:cs="Arial"/>
          <w:color w:val="000000" w:themeColor="text1"/>
        </w:rPr>
        <w:t xml:space="preserve"> censure in the form of a punitive order as to costs.</w:t>
      </w:r>
    </w:p>
    <w:p w14:paraId="5D54C591" w14:textId="78B460B4" w:rsidR="006B1139"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79.</w:t>
      </w:r>
      <w:r>
        <w:rPr>
          <w:rFonts w:ascii="Arial" w:hAnsi="Arial" w:cs="Arial"/>
          <w:color w:val="000000" w:themeColor="text1"/>
        </w:rPr>
        <w:tab/>
      </w:r>
      <w:r w:rsidR="006B1139" w:rsidRPr="00F95852">
        <w:rPr>
          <w:rFonts w:ascii="Arial" w:hAnsi="Arial" w:cs="Arial"/>
          <w:color w:val="000000" w:themeColor="text1"/>
        </w:rPr>
        <w:t xml:space="preserve">There is also no merit in the Respondent’s contention that the </w:t>
      </w:r>
      <w:r w:rsidR="003157A3" w:rsidRPr="00F95852">
        <w:rPr>
          <w:rFonts w:ascii="Arial" w:hAnsi="Arial" w:cs="Arial"/>
          <w:color w:val="000000" w:themeColor="text1"/>
        </w:rPr>
        <w:t xml:space="preserve">request for punitive costs was not contained in the notice of motion, nor substantiated in the founding affidavit.  </w:t>
      </w:r>
      <w:r w:rsidR="00B321E6" w:rsidRPr="00F95852">
        <w:rPr>
          <w:rFonts w:ascii="Arial" w:hAnsi="Arial" w:cs="Arial"/>
          <w:color w:val="000000" w:themeColor="text1"/>
        </w:rPr>
        <w:t xml:space="preserve">Most of the facts which </w:t>
      </w:r>
      <w:r w:rsidR="00C253F0" w:rsidRPr="00F95852">
        <w:rPr>
          <w:rFonts w:ascii="Arial" w:hAnsi="Arial" w:cs="Arial"/>
          <w:color w:val="000000" w:themeColor="text1"/>
        </w:rPr>
        <w:t xml:space="preserve">justify a </w:t>
      </w:r>
      <w:r w:rsidR="00B321E6" w:rsidRPr="00F95852">
        <w:rPr>
          <w:rFonts w:ascii="Arial" w:hAnsi="Arial" w:cs="Arial"/>
          <w:color w:val="000000" w:themeColor="text1"/>
        </w:rPr>
        <w:t xml:space="preserve">punitive costs </w:t>
      </w:r>
      <w:r w:rsidR="00C253F0" w:rsidRPr="00F95852">
        <w:rPr>
          <w:rFonts w:ascii="Arial" w:hAnsi="Arial" w:cs="Arial"/>
          <w:color w:val="000000" w:themeColor="text1"/>
        </w:rPr>
        <w:t>order</w:t>
      </w:r>
      <w:r w:rsidR="002A36BF" w:rsidRPr="00F95852">
        <w:rPr>
          <w:rFonts w:ascii="Arial" w:hAnsi="Arial" w:cs="Arial"/>
          <w:color w:val="000000" w:themeColor="text1"/>
        </w:rPr>
        <w:t xml:space="preserve"> only manifested after the founding affidavit was filed.  However, they are readily apparent from the record and the findings in this judgment.</w:t>
      </w:r>
    </w:p>
    <w:p w14:paraId="61DB4916" w14:textId="30CB4393" w:rsidR="00EA57B8"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80.</w:t>
      </w:r>
      <w:r>
        <w:rPr>
          <w:rFonts w:ascii="Arial" w:hAnsi="Arial" w:cs="Arial"/>
          <w:color w:val="000000" w:themeColor="text1"/>
        </w:rPr>
        <w:tab/>
      </w:r>
      <w:r w:rsidR="009F0B27" w:rsidRPr="00F95852">
        <w:rPr>
          <w:rFonts w:ascii="Arial" w:hAnsi="Arial" w:cs="Arial"/>
          <w:color w:val="000000" w:themeColor="text1"/>
        </w:rPr>
        <w:t xml:space="preserve">Finally, I was asked to deal separately with the costs that were reserved on </w:t>
      </w:r>
      <w:r w:rsidR="00B60C0C" w:rsidRPr="00F95852">
        <w:rPr>
          <w:rFonts w:ascii="Arial" w:hAnsi="Arial" w:cs="Arial"/>
          <w:color w:val="000000" w:themeColor="text1"/>
        </w:rPr>
        <w:t xml:space="preserve">11 October or 11 November 2021.  The parties </w:t>
      </w:r>
      <w:r w:rsidR="00CA0A06" w:rsidRPr="00F95852">
        <w:rPr>
          <w:rFonts w:ascii="Arial" w:hAnsi="Arial" w:cs="Arial"/>
          <w:color w:val="000000" w:themeColor="text1"/>
        </w:rPr>
        <w:t xml:space="preserve">do not agree on when the costs were reserved, but that is something that can be resolved before the taxing master with reference to the </w:t>
      </w:r>
      <w:r w:rsidR="00153B87" w:rsidRPr="00F95852">
        <w:rPr>
          <w:rFonts w:ascii="Arial" w:hAnsi="Arial" w:cs="Arial"/>
          <w:color w:val="000000" w:themeColor="text1"/>
        </w:rPr>
        <w:t>necessary evidence.</w:t>
      </w:r>
    </w:p>
    <w:p w14:paraId="2E4336E2" w14:textId="5F5FBCFE" w:rsidR="00715B65"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00153B87" w:rsidRPr="00F95852">
        <w:rPr>
          <w:rFonts w:ascii="Arial" w:hAnsi="Arial" w:cs="Arial"/>
          <w:color w:val="000000" w:themeColor="text1"/>
        </w:rPr>
        <w:t xml:space="preserve">Irrespective on which date is correct, </w:t>
      </w:r>
      <w:r w:rsidR="00EC2743" w:rsidRPr="00F95852">
        <w:rPr>
          <w:rFonts w:ascii="Arial" w:hAnsi="Arial" w:cs="Arial"/>
          <w:color w:val="000000" w:themeColor="text1"/>
        </w:rPr>
        <w:t xml:space="preserve">the costs that were reserved on that date must also be paid by the Respondent.  As I have already mentioned, the </w:t>
      </w:r>
      <w:r w:rsidR="00EA57B8" w:rsidRPr="00F95852">
        <w:rPr>
          <w:rFonts w:ascii="Arial" w:hAnsi="Arial" w:cs="Arial"/>
          <w:color w:val="000000" w:themeColor="text1"/>
        </w:rPr>
        <w:t xml:space="preserve">matter was postponed to enable the Applicants </w:t>
      </w:r>
      <w:r w:rsidR="00CA5A2C" w:rsidRPr="00F95852">
        <w:rPr>
          <w:rFonts w:ascii="Arial" w:hAnsi="Arial" w:cs="Arial"/>
          <w:color w:val="000000" w:themeColor="text1"/>
        </w:rPr>
        <w:t xml:space="preserve">to </w:t>
      </w:r>
      <w:r w:rsidR="00EA57B8" w:rsidRPr="00F95852">
        <w:rPr>
          <w:rFonts w:ascii="Arial" w:hAnsi="Arial" w:cs="Arial"/>
          <w:color w:val="000000" w:themeColor="text1"/>
        </w:rPr>
        <w:t>file a supplementary affidavit to prove a fact that had previously been conceded by the Respondent.</w:t>
      </w:r>
      <w:r w:rsidR="00C34113" w:rsidRPr="00F95852">
        <w:rPr>
          <w:rFonts w:ascii="Arial" w:hAnsi="Arial" w:cs="Arial"/>
          <w:color w:val="000000" w:themeColor="text1"/>
        </w:rPr>
        <w:t xml:space="preserve">  The supplementary affidavit was not necessary, and it follows that the wasted costs occasioned by the postponement were caused by the Respondent.</w:t>
      </w:r>
    </w:p>
    <w:p w14:paraId="712DAFCE" w14:textId="6B3D5CCC" w:rsidR="0073480C" w:rsidRPr="00F95852" w:rsidRDefault="00F95852" w:rsidP="00F95852">
      <w:pPr>
        <w:tabs>
          <w:tab w:val="left" w:pos="567"/>
        </w:tabs>
        <w:spacing w:after="360" w:line="360" w:lineRule="auto"/>
        <w:ind w:left="567" w:right="0" w:hanging="567"/>
        <w:jc w:val="both"/>
        <w:rPr>
          <w:rFonts w:ascii="Arial" w:hAnsi="Arial" w:cs="Arial"/>
          <w:color w:val="000000" w:themeColor="text1"/>
        </w:rPr>
      </w:pPr>
      <w:r>
        <w:rPr>
          <w:rFonts w:ascii="Arial" w:hAnsi="Arial" w:cs="Arial"/>
          <w:color w:val="000000" w:themeColor="text1"/>
        </w:rPr>
        <w:t>82.</w:t>
      </w:r>
      <w:r>
        <w:rPr>
          <w:rFonts w:ascii="Arial" w:hAnsi="Arial" w:cs="Arial"/>
          <w:color w:val="000000" w:themeColor="text1"/>
        </w:rPr>
        <w:tab/>
      </w:r>
      <w:r w:rsidR="007421B2" w:rsidRPr="00F95852">
        <w:rPr>
          <w:rFonts w:ascii="Arial" w:hAnsi="Arial" w:cs="Arial"/>
          <w:color w:val="000000" w:themeColor="text1"/>
        </w:rPr>
        <w:t>In light of all of the above I make the following order:</w:t>
      </w:r>
    </w:p>
    <w:p w14:paraId="29B94FBB" w14:textId="7F4DF35F" w:rsidR="00C7776F"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(i)</w:t>
      </w:r>
      <w:r>
        <w:rPr>
          <w:rFonts w:ascii="Arial" w:hAnsi="Arial" w:cs="Arial"/>
          <w:color w:val="000000" w:themeColor="text1"/>
        </w:rPr>
        <w:tab/>
      </w:r>
      <w:r w:rsidR="00F77B92" w:rsidRPr="00F95852">
        <w:rPr>
          <w:rFonts w:ascii="Arial" w:hAnsi="Arial" w:cs="Arial"/>
          <w:color w:val="000000" w:themeColor="text1"/>
        </w:rPr>
        <w:t xml:space="preserve">The fair value of the shares </w:t>
      </w:r>
      <w:r w:rsidR="00D71B10" w:rsidRPr="00F95852">
        <w:rPr>
          <w:rFonts w:ascii="Arial" w:hAnsi="Arial" w:cs="Arial"/>
          <w:color w:val="000000" w:themeColor="text1"/>
        </w:rPr>
        <w:t>as at the time immediately before the Respondent adopted the resolutions that gave rise to the Applicants</w:t>
      </w:r>
      <w:r w:rsidR="00DC6BC7" w:rsidRPr="00F95852">
        <w:rPr>
          <w:rFonts w:ascii="Arial" w:hAnsi="Arial" w:cs="Arial"/>
          <w:color w:val="000000" w:themeColor="text1"/>
        </w:rPr>
        <w:t xml:space="preserve"> rights in terms of section 164 of the Companies Act 71 of 2008 </w:t>
      </w:r>
      <w:r w:rsidR="00464F9C" w:rsidRPr="00F95852">
        <w:rPr>
          <w:rFonts w:ascii="Arial" w:hAnsi="Arial" w:cs="Arial"/>
          <w:color w:val="000000" w:themeColor="text1"/>
        </w:rPr>
        <w:t>was 50.95 cents per share</w:t>
      </w:r>
      <w:r w:rsidR="00DC6BC7" w:rsidRPr="00F95852">
        <w:rPr>
          <w:rFonts w:ascii="Arial" w:hAnsi="Arial" w:cs="Arial"/>
          <w:color w:val="000000" w:themeColor="text1"/>
        </w:rPr>
        <w:t>.</w:t>
      </w:r>
    </w:p>
    <w:p w14:paraId="4E30C958" w14:textId="669A1980" w:rsidR="00DC6BC7" w:rsidRPr="00F95852" w:rsidRDefault="00F95852" w:rsidP="00F95852">
      <w:pPr>
        <w:tabs>
          <w:tab w:val="left" w:pos="567"/>
        </w:tabs>
        <w:spacing w:after="360" w:line="360" w:lineRule="auto"/>
        <w:ind w:left="1134" w:right="0" w:hanging="567"/>
        <w:jc w:val="both"/>
        <w:rPr>
          <w:rFonts w:ascii="Arial" w:hAnsi="Arial" w:cs="Arial"/>
          <w:color w:val="000000" w:themeColor="text1"/>
        </w:rPr>
      </w:pPr>
      <w:r>
        <w:rPr>
          <w:rFonts w:ascii="Arial" w:hAnsi="Arial" w:cs="Arial"/>
          <w:color w:val="000000" w:themeColor="text1"/>
        </w:rPr>
        <w:t>(ii)</w:t>
      </w:r>
      <w:r>
        <w:rPr>
          <w:rFonts w:ascii="Arial" w:hAnsi="Arial" w:cs="Arial"/>
          <w:color w:val="000000" w:themeColor="text1"/>
        </w:rPr>
        <w:tab/>
      </w:r>
      <w:r w:rsidR="008E31AA" w:rsidRPr="00F95852">
        <w:rPr>
          <w:rFonts w:ascii="Arial" w:hAnsi="Arial" w:cs="Arial"/>
          <w:color w:val="000000" w:themeColor="text1"/>
        </w:rPr>
        <w:t>The Respondent is ordered to pay to the Applicants the fair value</w:t>
      </w:r>
      <w:r w:rsidR="00812574" w:rsidRPr="00F95852">
        <w:rPr>
          <w:rFonts w:ascii="Arial" w:hAnsi="Arial" w:cs="Arial"/>
          <w:color w:val="000000" w:themeColor="text1"/>
        </w:rPr>
        <w:t xml:space="preserve"> </w:t>
      </w:r>
      <w:r w:rsidR="002F204E" w:rsidRPr="00F95852">
        <w:rPr>
          <w:rFonts w:ascii="Arial" w:hAnsi="Arial" w:cs="Arial"/>
          <w:color w:val="000000" w:themeColor="text1"/>
        </w:rPr>
        <w:t xml:space="preserve">of the shares </w:t>
      </w:r>
      <w:r w:rsidR="00584AFB" w:rsidRPr="00F95852">
        <w:rPr>
          <w:rFonts w:ascii="Arial" w:hAnsi="Arial" w:cs="Arial"/>
          <w:color w:val="000000" w:themeColor="text1"/>
        </w:rPr>
        <w:t xml:space="preserve">formerly held by them </w:t>
      </w:r>
      <w:r w:rsidR="00641B54" w:rsidRPr="00F95852">
        <w:rPr>
          <w:rFonts w:ascii="Arial" w:hAnsi="Arial" w:cs="Arial"/>
          <w:color w:val="000000" w:themeColor="text1"/>
        </w:rPr>
        <w:t>as follows:</w:t>
      </w:r>
    </w:p>
    <w:p w14:paraId="625A9EC6" w14:textId="3A29AAD7" w:rsidR="004402C7" w:rsidRPr="00F95852" w:rsidRDefault="00F95852" w:rsidP="00F95852">
      <w:pPr>
        <w:tabs>
          <w:tab w:val="left" w:pos="567"/>
        </w:tabs>
        <w:spacing w:after="360" w:line="360" w:lineRule="auto"/>
        <w:ind w:left="1644" w:right="0" w:hanging="510"/>
        <w:jc w:val="both"/>
        <w:rPr>
          <w:rFonts w:ascii="Arial" w:hAnsi="Arial" w:cs="Arial"/>
          <w:color w:val="000000" w:themeColor="text1"/>
        </w:rPr>
      </w:pPr>
      <w:r>
        <w:rPr>
          <w:rFonts w:ascii="Arial" w:hAnsi="Arial" w:cs="Arial"/>
          <w:color w:val="000000" w:themeColor="text1"/>
        </w:rPr>
        <w:t>(a)</w:t>
      </w:r>
      <w:r>
        <w:rPr>
          <w:rFonts w:ascii="Arial" w:hAnsi="Arial" w:cs="Arial"/>
          <w:color w:val="000000" w:themeColor="text1"/>
        </w:rPr>
        <w:tab/>
      </w:r>
      <w:r w:rsidR="004402C7" w:rsidRPr="00F95852">
        <w:rPr>
          <w:rFonts w:ascii="Arial" w:hAnsi="Arial" w:cs="Arial"/>
          <w:color w:val="000000" w:themeColor="text1"/>
        </w:rPr>
        <w:t>R1 681 713.78 to the First Applicant</w:t>
      </w:r>
      <w:r w:rsidR="00C4604C" w:rsidRPr="00F95852">
        <w:rPr>
          <w:rFonts w:ascii="Arial" w:hAnsi="Arial" w:cs="Arial"/>
          <w:color w:val="000000" w:themeColor="text1"/>
        </w:rPr>
        <w:t>; and</w:t>
      </w:r>
    </w:p>
    <w:p w14:paraId="16AC7881" w14:textId="7299261D" w:rsidR="00C4604C" w:rsidRPr="00F95852" w:rsidRDefault="00F95852" w:rsidP="00F95852">
      <w:pPr>
        <w:tabs>
          <w:tab w:val="left" w:pos="567"/>
        </w:tabs>
        <w:spacing w:after="360" w:line="360" w:lineRule="auto"/>
        <w:ind w:left="1647" w:right="0" w:hanging="513"/>
        <w:jc w:val="both"/>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r>
      <w:r w:rsidR="00C4604C" w:rsidRPr="00F95852">
        <w:rPr>
          <w:rFonts w:ascii="Arial" w:hAnsi="Arial" w:cs="Arial"/>
          <w:color w:val="000000" w:themeColor="text1"/>
        </w:rPr>
        <w:t>R158 120.78 to the Second and Third Applicants.</w:t>
      </w:r>
    </w:p>
    <w:p w14:paraId="38ECBFF3" w14:textId="7E598102" w:rsidR="00812574" w:rsidRPr="00F95852" w:rsidRDefault="00F95852" w:rsidP="00F95852">
      <w:pPr>
        <w:tabs>
          <w:tab w:val="left" w:pos="567"/>
        </w:tabs>
        <w:spacing w:after="360" w:line="360" w:lineRule="auto"/>
        <w:ind w:left="1287" w:right="0" w:hanging="720"/>
        <w:jc w:val="both"/>
        <w:rPr>
          <w:rFonts w:ascii="Arial" w:hAnsi="Arial" w:cs="Arial"/>
          <w:color w:val="000000" w:themeColor="text1"/>
        </w:rPr>
      </w:pPr>
      <w:r>
        <w:rPr>
          <w:rFonts w:ascii="Arial" w:hAnsi="Arial" w:cs="Arial"/>
          <w:color w:val="000000" w:themeColor="text1"/>
        </w:rPr>
        <w:t>(iii)</w:t>
      </w:r>
      <w:r>
        <w:rPr>
          <w:rFonts w:ascii="Arial" w:hAnsi="Arial" w:cs="Arial"/>
          <w:color w:val="000000" w:themeColor="text1"/>
        </w:rPr>
        <w:tab/>
      </w:r>
      <w:r w:rsidR="00AE3CD8" w:rsidRPr="00F95852">
        <w:rPr>
          <w:rFonts w:ascii="Arial" w:hAnsi="Arial" w:cs="Arial"/>
          <w:color w:val="000000" w:themeColor="text1"/>
        </w:rPr>
        <w:t>The Respondent is order</w:t>
      </w:r>
      <w:r w:rsidR="002F204E" w:rsidRPr="00F95852">
        <w:rPr>
          <w:rFonts w:ascii="Arial" w:hAnsi="Arial" w:cs="Arial"/>
          <w:color w:val="000000" w:themeColor="text1"/>
        </w:rPr>
        <w:t>e</w:t>
      </w:r>
      <w:r w:rsidR="00AE3CD8" w:rsidRPr="00F95852">
        <w:rPr>
          <w:rFonts w:ascii="Arial" w:hAnsi="Arial" w:cs="Arial"/>
          <w:color w:val="000000" w:themeColor="text1"/>
        </w:rPr>
        <w:t xml:space="preserve">d to pay </w:t>
      </w:r>
      <w:r w:rsidR="002F204E" w:rsidRPr="00F95852">
        <w:rPr>
          <w:rFonts w:ascii="Arial" w:hAnsi="Arial" w:cs="Arial"/>
          <w:color w:val="000000" w:themeColor="text1"/>
        </w:rPr>
        <w:t xml:space="preserve">interest on the above amounts at the rate stipulated in </w:t>
      </w:r>
      <w:r w:rsidR="0080127C" w:rsidRPr="00F95852">
        <w:rPr>
          <w:rFonts w:ascii="Arial" w:hAnsi="Arial" w:cs="Arial"/>
          <w:color w:val="000000" w:themeColor="text1"/>
        </w:rPr>
        <w:t xml:space="preserve">section 1(2)(a) of the Prescribed Rate of Interest Act </w:t>
      </w:r>
      <w:r w:rsidR="003521B5" w:rsidRPr="00F95852">
        <w:rPr>
          <w:rFonts w:ascii="Arial" w:hAnsi="Arial" w:cs="Arial"/>
          <w:color w:val="000000" w:themeColor="text1"/>
        </w:rPr>
        <w:t>55 of 1975 and calculated from 2 December 2019 to date of payment.</w:t>
      </w:r>
    </w:p>
    <w:p w14:paraId="5D14C2CE" w14:textId="596DBAAB" w:rsidR="003521B5" w:rsidRPr="00F95852" w:rsidRDefault="00F95852" w:rsidP="00F95852">
      <w:pPr>
        <w:tabs>
          <w:tab w:val="left" w:pos="567"/>
        </w:tabs>
        <w:spacing w:after="360" w:line="360" w:lineRule="auto"/>
        <w:ind w:left="1287" w:right="0" w:hanging="720"/>
        <w:jc w:val="both"/>
        <w:rPr>
          <w:rFonts w:ascii="Arial" w:hAnsi="Arial" w:cs="Arial"/>
          <w:color w:val="000000" w:themeColor="text1"/>
        </w:rPr>
      </w:pPr>
      <w:r w:rsidRPr="00996ECC">
        <w:rPr>
          <w:rFonts w:ascii="Arial" w:hAnsi="Arial" w:cs="Arial"/>
          <w:color w:val="000000" w:themeColor="text1"/>
        </w:rPr>
        <w:t>(iv)</w:t>
      </w:r>
      <w:r w:rsidRPr="00996ECC">
        <w:rPr>
          <w:rFonts w:ascii="Arial" w:hAnsi="Arial" w:cs="Arial"/>
          <w:color w:val="000000" w:themeColor="text1"/>
        </w:rPr>
        <w:tab/>
      </w:r>
      <w:r w:rsidR="006C382A" w:rsidRPr="00F95852">
        <w:rPr>
          <w:rFonts w:ascii="Arial" w:hAnsi="Arial" w:cs="Arial"/>
          <w:color w:val="000000" w:themeColor="text1"/>
        </w:rPr>
        <w:t>The Respondent is ordered to pay the costs of th</w:t>
      </w:r>
      <w:r w:rsidR="00597836" w:rsidRPr="00F95852">
        <w:rPr>
          <w:rFonts w:ascii="Arial" w:hAnsi="Arial" w:cs="Arial"/>
          <w:color w:val="000000" w:themeColor="text1"/>
        </w:rPr>
        <w:t>is</w:t>
      </w:r>
      <w:r w:rsidR="006C382A" w:rsidRPr="00F95852">
        <w:rPr>
          <w:rFonts w:ascii="Arial" w:hAnsi="Arial" w:cs="Arial"/>
          <w:color w:val="000000" w:themeColor="text1"/>
        </w:rPr>
        <w:t xml:space="preserve"> application on the scale as between attorney and client.</w:t>
      </w:r>
    </w:p>
    <w:p w14:paraId="4C1C625C" w14:textId="77777777" w:rsidR="00691610" w:rsidRDefault="00691610" w:rsidP="00691610">
      <w:pPr>
        <w:tabs>
          <w:tab w:val="left" w:pos="567"/>
        </w:tabs>
        <w:spacing w:after="360" w:line="360" w:lineRule="auto"/>
        <w:ind w:left="0" w:right="0"/>
        <w:jc w:val="both"/>
        <w:rPr>
          <w:rFonts w:ascii="Arial" w:hAnsi="Arial" w:cs="Arial"/>
          <w:color w:val="000000" w:themeColor="text1"/>
        </w:rPr>
      </w:pPr>
    </w:p>
    <w:p w14:paraId="4D9E2BAB" w14:textId="77777777" w:rsidR="000603A1" w:rsidRDefault="000603A1" w:rsidP="00691610">
      <w:pPr>
        <w:tabs>
          <w:tab w:val="left" w:pos="567"/>
        </w:tabs>
        <w:spacing w:after="360" w:line="360" w:lineRule="auto"/>
        <w:ind w:left="0" w:right="0"/>
        <w:jc w:val="both"/>
        <w:rPr>
          <w:rFonts w:ascii="Arial" w:hAnsi="Arial" w:cs="Arial"/>
          <w:color w:val="000000" w:themeColor="text1"/>
        </w:rPr>
      </w:pPr>
    </w:p>
    <w:p w14:paraId="50C4E659" w14:textId="77777777" w:rsidR="00597836" w:rsidRDefault="00597836" w:rsidP="00691610">
      <w:pPr>
        <w:tabs>
          <w:tab w:val="left" w:pos="567"/>
        </w:tabs>
        <w:spacing w:after="360" w:line="360" w:lineRule="auto"/>
        <w:ind w:left="0" w:right="0"/>
        <w:jc w:val="both"/>
        <w:rPr>
          <w:rFonts w:ascii="Arial" w:hAnsi="Arial" w:cs="Arial"/>
          <w:color w:val="000000" w:themeColor="text1"/>
        </w:rPr>
      </w:pPr>
    </w:p>
    <w:p w14:paraId="75B99616" w14:textId="77777777" w:rsidR="000603A1" w:rsidRDefault="000603A1" w:rsidP="000603A1">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_________________________</w:t>
      </w:r>
    </w:p>
    <w:p w14:paraId="6BBFB390" w14:textId="77777777" w:rsidR="000603A1" w:rsidRDefault="000603A1" w:rsidP="000603A1">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C J Mc Aslin</w:t>
      </w:r>
    </w:p>
    <w:p w14:paraId="345898F8" w14:textId="77777777" w:rsidR="000603A1" w:rsidRDefault="000603A1" w:rsidP="000603A1">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Acting Judge of the High Court</w:t>
      </w:r>
    </w:p>
    <w:p w14:paraId="3970CBE8" w14:textId="79449E1C" w:rsidR="00597836" w:rsidRDefault="00CB3C86" w:rsidP="000603A1">
      <w:pPr>
        <w:pStyle w:val="ListParagraph"/>
        <w:tabs>
          <w:tab w:val="left" w:pos="567"/>
        </w:tabs>
        <w:spacing w:after="120" w:line="240" w:lineRule="auto"/>
        <w:ind w:left="0" w:right="0"/>
        <w:contextualSpacing w:val="0"/>
        <w:jc w:val="right"/>
        <w:rPr>
          <w:rFonts w:ascii="Arial" w:hAnsi="Arial" w:cs="Arial"/>
          <w:color w:val="000000" w:themeColor="text1"/>
        </w:rPr>
      </w:pPr>
      <w:r>
        <w:rPr>
          <w:rFonts w:ascii="Arial" w:hAnsi="Arial" w:cs="Arial"/>
          <w:color w:val="000000" w:themeColor="text1"/>
        </w:rPr>
        <w:t>7</w:t>
      </w:r>
      <w:r w:rsidR="00597836">
        <w:rPr>
          <w:rFonts w:ascii="Arial" w:hAnsi="Arial" w:cs="Arial"/>
          <w:color w:val="000000" w:themeColor="text1"/>
        </w:rPr>
        <w:t xml:space="preserve"> November 2023</w:t>
      </w:r>
    </w:p>
    <w:p w14:paraId="45F12D19" w14:textId="77777777" w:rsidR="000603A1" w:rsidRDefault="000603A1" w:rsidP="000603A1">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5AED832C" w14:textId="77777777" w:rsidR="00597836" w:rsidRDefault="00597836" w:rsidP="000603A1">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505BEB1A" w14:textId="228CA819" w:rsidR="000603A1" w:rsidRDefault="000603A1" w:rsidP="000603A1">
      <w:pPr>
        <w:pStyle w:val="ListParagraph"/>
        <w:tabs>
          <w:tab w:val="left" w:pos="567"/>
        </w:tabs>
        <w:spacing w:before="240" w:after="240" w:line="360" w:lineRule="auto"/>
        <w:ind w:left="0" w:right="0"/>
        <w:contextualSpacing w:val="0"/>
        <w:jc w:val="both"/>
        <w:rPr>
          <w:rFonts w:ascii="Arial" w:hAnsi="Arial" w:cs="Arial"/>
          <w:color w:val="000000" w:themeColor="text1"/>
        </w:rPr>
      </w:pPr>
      <w:r>
        <w:rPr>
          <w:rFonts w:ascii="Arial" w:hAnsi="Arial" w:cs="Arial"/>
          <w:color w:val="000000" w:themeColor="text1"/>
        </w:rPr>
        <w:t>On behalf of the 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Adv. </w:t>
      </w:r>
      <w:r w:rsidR="003010A5">
        <w:rPr>
          <w:rFonts w:ascii="Arial" w:hAnsi="Arial" w:cs="Arial"/>
          <w:color w:val="000000" w:themeColor="text1"/>
        </w:rPr>
        <w:t>P-S Bothma</w:t>
      </w:r>
    </w:p>
    <w:p w14:paraId="7157282C" w14:textId="3CB9D779" w:rsidR="000603A1" w:rsidRDefault="000603A1" w:rsidP="00CA6BB3">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sidR="008B7349">
        <w:rPr>
          <w:rFonts w:ascii="Arial" w:hAnsi="Arial" w:cs="Arial"/>
          <w:color w:val="000000" w:themeColor="text1"/>
        </w:rPr>
        <w:t>Van Wyk &amp; Associates c/o Wright, Rose</w:t>
      </w:r>
      <w:r w:rsidR="00CA6BB3">
        <w:rPr>
          <w:rFonts w:ascii="Arial" w:hAnsi="Arial" w:cs="Arial"/>
          <w:color w:val="000000" w:themeColor="text1"/>
        </w:rPr>
        <w:t>-Innes Inc</w:t>
      </w:r>
    </w:p>
    <w:p w14:paraId="37AD171F" w14:textId="77777777" w:rsidR="000603A1" w:rsidRDefault="000603A1" w:rsidP="000603A1">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065CD2E9" w14:textId="77777777" w:rsidR="000603A1" w:rsidRDefault="000603A1" w:rsidP="000603A1">
      <w:pPr>
        <w:pStyle w:val="ListParagraph"/>
        <w:tabs>
          <w:tab w:val="left" w:pos="567"/>
        </w:tabs>
        <w:spacing w:before="240" w:after="240" w:line="360" w:lineRule="auto"/>
        <w:ind w:left="0" w:right="0"/>
        <w:contextualSpacing w:val="0"/>
        <w:jc w:val="both"/>
        <w:rPr>
          <w:rFonts w:ascii="Arial" w:hAnsi="Arial" w:cs="Arial"/>
          <w:color w:val="000000" w:themeColor="text1"/>
        </w:rPr>
      </w:pPr>
    </w:p>
    <w:p w14:paraId="3213F589" w14:textId="6AD0B89F" w:rsidR="000603A1" w:rsidRDefault="000603A1" w:rsidP="000603A1">
      <w:pPr>
        <w:pStyle w:val="ListParagraph"/>
        <w:tabs>
          <w:tab w:val="left" w:pos="567"/>
        </w:tabs>
        <w:spacing w:after="120" w:line="240" w:lineRule="auto"/>
        <w:ind w:left="0" w:right="0"/>
        <w:contextualSpacing w:val="0"/>
        <w:jc w:val="both"/>
        <w:rPr>
          <w:rFonts w:ascii="Arial" w:hAnsi="Arial" w:cs="Arial"/>
          <w:color w:val="000000" w:themeColor="text1"/>
        </w:rPr>
      </w:pPr>
      <w:r>
        <w:rPr>
          <w:rFonts w:ascii="Arial" w:hAnsi="Arial" w:cs="Arial"/>
          <w:color w:val="000000" w:themeColor="text1"/>
        </w:rPr>
        <w:t>On behalf of the Respondent: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Adv. </w:t>
      </w:r>
      <w:r w:rsidR="00CA6BB3">
        <w:rPr>
          <w:rFonts w:ascii="Arial" w:hAnsi="Arial" w:cs="Arial"/>
          <w:color w:val="000000" w:themeColor="text1"/>
        </w:rPr>
        <w:t>J W Kloek</w:t>
      </w:r>
    </w:p>
    <w:p w14:paraId="42BF47C9" w14:textId="70BC174F" w:rsidR="000603A1" w:rsidRDefault="000603A1" w:rsidP="000603A1">
      <w:pPr>
        <w:pStyle w:val="ListParagraph"/>
        <w:tabs>
          <w:tab w:val="left" w:pos="567"/>
        </w:tabs>
        <w:spacing w:before="240" w:after="240" w:line="360" w:lineRule="auto"/>
        <w:ind w:left="5040" w:right="0" w:hanging="5040"/>
        <w:contextualSpacing w:val="0"/>
        <w:jc w:val="both"/>
        <w:rPr>
          <w:rFonts w:ascii="Arial" w:hAnsi="Arial" w:cs="Arial"/>
          <w:color w:val="000000" w:themeColor="text1"/>
        </w:rPr>
      </w:pPr>
      <w:r>
        <w:rPr>
          <w:rFonts w:ascii="Arial" w:hAnsi="Arial" w:cs="Arial"/>
          <w:color w:val="000000" w:themeColor="text1"/>
        </w:rPr>
        <w:t>Instructed by:</w:t>
      </w:r>
      <w:r>
        <w:rPr>
          <w:rFonts w:ascii="Arial" w:hAnsi="Arial" w:cs="Arial"/>
          <w:color w:val="000000" w:themeColor="text1"/>
        </w:rPr>
        <w:tab/>
      </w:r>
      <w:r w:rsidR="00CA6BB3">
        <w:rPr>
          <w:rFonts w:ascii="Arial" w:hAnsi="Arial" w:cs="Arial"/>
          <w:color w:val="000000" w:themeColor="text1"/>
        </w:rPr>
        <w:t xml:space="preserve">Ross Munro </w:t>
      </w:r>
      <w:r>
        <w:rPr>
          <w:rFonts w:ascii="Arial" w:hAnsi="Arial" w:cs="Arial"/>
          <w:color w:val="000000" w:themeColor="text1"/>
        </w:rPr>
        <w:t>Attorneys</w:t>
      </w:r>
    </w:p>
    <w:p w14:paraId="3F31BAA5" w14:textId="77777777" w:rsidR="000603A1" w:rsidRPr="00F10D3C" w:rsidRDefault="000603A1" w:rsidP="000603A1">
      <w:pPr>
        <w:spacing w:after="360" w:line="360" w:lineRule="auto"/>
        <w:ind w:left="0" w:right="95"/>
        <w:jc w:val="both"/>
        <w:rPr>
          <w:rFonts w:cstheme="minorHAnsi"/>
        </w:rPr>
      </w:pPr>
    </w:p>
    <w:p w14:paraId="744AD425" w14:textId="77777777" w:rsidR="000603A1" w:rsidRPr="00691610" w:rsidRDefault="000603A1" w:rsidP="00691610">
      <w:pPr>
        <w:tabs>
          <w:tab w:val="left" w:pos="567"/>
        </w:tabs>
        <w:spacing w:after="360" w:line="360" w:lineRule="auto"/>
        <w:ind w:left="0" w:right="0"/>
        <w:jc w:val="both"/>
        <w:rPr>
          <w:rFonts w:ascii="Arial" w:hAnsi="Arial" w:cs="Arial"/>
          <w:color w:val="000000" w:themeColor="text1"/>
        </w:rPr>
      </w:pPr>
    </w:p>
    <w:sectPr w:rsidR="000603A1" w:rsidRPr="00691610" w:rsidSect="00C7776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4FE75" w14:textId="77777777" w:rsidR="0087313C" w:rsidRDefault="0087313C" w:rsidP="00C7776F">
      <w:pPr>
        <w:spacing w:after="0" w:line="240" w:lineRule="auto"/>
      </w:pPr>
      <w:r>
        <w:separator/>
      </w:r>
    </w:p>
  </w:endnote>
  <w:endnote w:type="continuationSeparator" w:id="0">
    <w:p w14:paraId="55C68D51" w14:textId="77777777" w:rsidR="0087313C" w:rsidRDefault="0087313C" w:rsidP="00C7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6B343" w14:textId="77777777" w:rsidR="0087313C" w:rsidRDefault="0087313C" w:rsidP="00C7776F">
      <w:pPr>
        <w:spacing w:after="0" w:line="240" w:lineRule="auto"/>
      </w:pPr>
      <w:r>
        <w:separator/>
      </w:r>
    </w:p>
  </w:footnote>
  <w:footnote w:type="continuationSeparator" w:id="0">
    <w:p w14:paraId="165DB62A" w14:textId="77777777" w:rsidR="0087313C" w:rsidRDefault="0087313C" w:rsidP="00C7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181446"/>
      <w:docPartObj>
        <w:docPartGallery w:val="Page Numbers (Top of Page)"/>
        <w:docPartUnique/>
      </w:docPartObj>
    </w:sdtPr>
    <w:sdtEndPr>
      <w:rPr>
        <w:noProof/>
      </w:rPr>
    </w:sdtEndPr>
    <w:sdtContent>
      <w:p w14:paraId="354E67B1" w14:textId="7525F67A" w:rsidR="00C7776F" w:rsidRDefault="00C7776F" w:rsidP="00C7776F">
        <w:pPr>
          <w:pStyle w:val="Header"/>
          <w:ind w:right="95"/>
          <w:jc w:val="right"/>
        </w:pPr>
        <w:r>
          <w:fldChar w:fldCharType="begin"/>
        </w:r>
        <w:r>
          <w:instrText xml:space="preserve"> PAGE   \* MERGEFORMAT </w:instrText>
        </w:r>
        <w:r>
          <w:fldChar w:fldCharType="separate"/>
        </w:r>
        <w:r w:rsidR="00F95852">
          <w:rPr>
            <w:noProof/>
          </w:rPr>
          <w:t>6</w:t>
        </w:r>
        <w:r>
          <w:rPr>
            <w:noProof/>
          </w:rPr>
          <w:fldChar w:fldCharType="end"/>
        </w:r>
      </w:p>
    </w:sdtContent>
  </w:sdt>
  <w:p w14:paraId="008D2431" w14:textId="77777777" w:rsidR="00C7776F" w:rsidRDefault="00C777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90206B2"/>
    <w:lvl w:ilvl="0" w:tplc="3CF605A8">
      <w:start w:val="1"/>
      <w:numFmt w:val="decimal"/>
      <w:lvlText w:val="(%1)"/>
      <w:lvlJc w:val="left"/>
      <w:pPr>
        <w:tabs>
          <w:tab w:val="num" w:pos="900"/>
        </w:tabs>
        <w:ind w:left="900" w:hanging="720"/>
      </w:pPr>
      <w:rPr>
        <w:rFonts w:hint="default"/>
        <w:b w:val="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333E2100"/>
    <w:multiLevelType w:val="hybridMultilevel"/>
    <w:tmpl w:val="C2D63EBE"/>
    <w:lvl w:ilvl="0" w:tplc="0EFA12C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47763069"/>
    <w:multiLevelType w:val="hybridMultilevel"/>
    <w:tmpl w:val="47B2DC48"/>
    <w:lvl w:ilvl="0" w:tplc="CBC8503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4C301A9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A25CEA"/>
    <w:multiLevelType w:val="hybridMultilevel"/>
    <w:tmpl w:val="5582F7C8"/>
    <w:lvl w:ilvl="0" w:tplc="68F05898">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6F"/>
    <w:rsid w:val="00003A3C"/>
    <w:rsid w:val="00004203"/>
    <w:rsid w:val="0000712B"/>
    <w:rsid w:val="00013DAA"/>
    <w:rsid w:val="00015CFE"/>
    <w:rsid w:val="000335D7"/>
    <w:rsid w:val="00050C50"/>
    <w:rsid w:val="00053932"/>
    <w:rsid w:val="000547E7"/>
    <w:rsid w:val="00055FDA"/>
    <w:rsid w:val="000603A1"/>
    <w:rsid w:val="00074166"/>
    <w:rsid w:val="00076149"/>
    <w:rsid w:val="00077513"/>
    <w:rsid w:val="000822FA"/>
    <w:rsid w:val="00083B91"/>
    <w:rsid w:val="000A3C01"/>
    <w:rsid w:val="000A70E5"/>
    <w:rsid w:val="000B38C3"/>
    <w:rsid w:val="000B42D3"/>
    <w:rsid w:val="000B6665"/>
    <w:rsid w:val="000C08AF"/>
    <w:rsid w:val="000D324E"/>
    <w:rsid w:val="000D488F"/>
    <w:rsid w:val="000D52CC"/>
    <w:rsid w:val="000E1541"/>
    <w:rsid w:val="000E2895"/>
    <w:rsid w:val="000F56F1"/>
    <w:rsid w:val="000F6391"/>
    <w:rsid w:val="000F7268"/>
    <w:rsid w:val="001025B2"/>
    <w:rsid w:val="00104DFF"/>
    <w:rsid w:val="001077FE"/>
    <w:rsid w:val="00120703"/>
    <w:rsid w:val="0012620D"/>
    <w:rsid w:val="00135B36"/>
    <w:rsid w:val="0014079A"/>
    <w:rsid w:val="0015004D"/>
    <w:rsid w:val="00153B87"/>
    <w:rsid w:val="0015790E"/>
    <w:rsid w:val="00162D91"/>
    <w:rsid w:val="0016798B"/>
    <w:rsid w:val="00173CD8"/>
    <w:rsid w:val="00176078"/>
    <w:rsid w:val="00185B5E"/>
    <w:rsid w:val="00193E9D"/>
    <w:rsid w:val="001A0C61"/>
    <w:rsid w:val="001A2611"/>
    <w:rsid w:val="001B7EC8"/>
    <w:rsid w:val="001C3DBB"/>
    <w:rsid w:val="001C7D8C"/>
    <w:rsid w:val="001D304C"/>
    <w:rsid w:val="001D3B6C"/>
    <w:rsid w:val="001F5535"/>
    <w:rsid w:val="002036B0"/>
    <w:rsid w:val="002065FE"/>
    <w:rsid w:val="00212327"/>
    <w:rsid w:val="00215776"/>
    <w:rsid w:val="00221434"/>
    <w:rsid w:val="002376FE"/>
    <w:rsid w:val="00256CA7"/>
    <w:rsid w:val="00261952"/>
    <w:rsid w:val="00272AE8"/>
    <w:rsid w:val="002752D4"/>
    <w:rsid w:val="002850FC"/>
    <w:rsid w:val="00290818"/>
    <w:rsid w:val="00293703"/>
    <w:rsid w:val="00297107"/>
    <w:rsid w:val="002A36BF"/>
    <w:rsid w:val="002A3A00"/>
    <w:rsid w:val="002B2B5C"/>
    <w:rsid w:val="002B43AE"/>
    <w:rsid w:val="002C03BA"/>
    <w:rsid w:val="002C1D55"/>
    <w:rsid w:val="002C4FEB"/>
    <w:rsid w:val="002C66EB"/>
    <w:rsid w:val="002D2256"/>
    <w:rsid w:val="002D2E2E"/>
    <w:rsid w:val="002E11D2"/>
    <w:rsid w:val="002E6363"/>
    <w:rsid w:val="002F204E"/>
    <w:rsid w:val="002F3197"/>
    <w:rsid w:val="002F5139"/>
    <w:rsid w:val="00300E7E"/>
    <w:rsid w:val="003010A5"/>
    <w:rsid w:val="00303EF7"/>
    <w:rsid w:val="003157A3"/>
    <w:rsid w:val="00323400"/>
    <w:rsid w:val="0034414D"/>
    <w:rsid w:val="00344863"/>
    <w:rsid w:val="003450AC"/>
    <w:rsid w:val="00351BAD"/>
    <w:rsid w:val="003521B5"/>
    <w:rsid w:val="003552F3"/>
    <w:rsid w:val="00373175"/>
    <w:rsid w:val="00393313"/>
    <w:rsid w:val="003A256B"/>
    <w:rsid w:val="003A467E"/>
    <w:rsid w:val="003A72E5"/>
    <w:rsid w:val="003B2F8E"/>
    <w:rsid w:val="003C4BBA"/>
    <w:rsid w:val="003C58AF"/>
    <w:rsid w:val="003D60C6"/>
    <w:rsid w:val="003E0961"/>
    <w:rsid w:val="003E203B"/>
    <w:rsid w:val="003E494E"/>
    <w:rsid w:val="003F2C22"/>
    <w:rsid w:val="003F3EAB"/>
    <w:rsid w:val="00402F52"/>
    <w:rsid w:val="00411799"/>
    <w:rsid w:val="004256DD"/>
    <w:rsid w:val="00432AFD"/>
    <w:rsid w:val="004402C7"/>
    <w:rsid w:val="0044159B"/>
    <w:rsid w:val="00442F6D"/>
    <w:rsid w:val="00447D36"/>
    <w:rsid w:val="00450E61"/>
    <w:rsid w:val="00464F9C"/>
    <w:rsid w:val="004842A9"/>
    <w:rsid w:val="00491CB3"/>
    <w:rsid w:val="00492BD6"/>
    <w:rsid w:val="00495859"/>
    <w:rsid w:val="0049735D"/>
    <w:rsid w:val="004A00C2"/>
    <w:rsid w:val="004A4D19"/>
    <w:rsid w:val="004C1132"/>
    <w:rsid w:val="004C22FE"/>
    <w:rsid w:val="004C5D84"/>
    <w:rsid w:val="004C6243"/>
    <w:rsid w:val="004C7079"/>
    <w:rsid w:val="004E202C"/>
    <w:rsid w:val="004E219F"/>
    <w:rsid w:val="004E784D"/>
    <w:rsid w:val="004F5631"/>
    <w:rsid w:val="00507AE3"/>
    <w:rsid w:val="00511442"/>
    <w:rsid w:val="0051471F"/>
    <w:rsid w:val="005275F8"/>
    <w:rsid w:val="00527B92"/>
    <w:rsid w:val="005337AB"/>
    <w:rsid w:val="005358FD"/>
    <w:rsid w:val="005410EC"/>
    <w:rsid w:val="00557555"/>
    <w:rsid w:val="00570249"/>
    <w:rsid w:val="005702D0"/>
    <w:rsid w:val="00584AFB"/>
    <w:rsid w:val="00596FDA"/>
    <w:rsid w:val="00597836"/>
    <w:rsid w:val="005A243F"/>
    <w:rsid w:val="005A5BE2"/>
    <w:rsid w:val="005B610B"/>
    <w:rsid w:val="005C1649"/>
    <w:rsid w:val="005C31FA"/>
    <w:rsid w:val="005C31FD"/>
    <w:rsid w:val="005D0C20"/>
    <w:rsid w:val="005D6FC4"/>
    <w:rsid w:val="005D73DB"/>
    <w:rsid w:val="005E72D0"/>
    <w:rsid w:val="006241AF"/>
    <w:rsid w:val="006258B7"/>
    <w:rsid w:val="00636A3D"/>
    <w:rsid w:val="00637F6B"/>
    <w:rsid w:val="00640E27"/>
    <w:rsid w:val="00641B54"/>
    <w:rsid w:val="00651038"/>
    <w:rsid w:val="00667269"/>
    <w:rsid w:val="00671F37"/>
    <w:rsid w:val="00676AA3"/>
    <w:rsid w:val="006819B4"/>
    <w:rsid w:val="00681EB2"/>
    <w:rsid w:val="00691610"/>
    <w:rsid w:val="006948C8"/>
    <w:rsid w:val="00694F48"/>
    <w:rsid w:val="006A626F"/>
    <w:rsid w:val="006B07FC"/>
    <w:rsid w:val="006B0E92"/>
    <w:rsid w:val="006B1139"/>
    <w:rsid w:val="006B15DD"/>
    <w:rsid w:val="006B2CBC"/>
    <w:rsid w:val="006C0C3A"/>
    <w:rsid w:val="006C382A"/>
    <w:rsid w:val="006E08EB"/>
    <w:rsid w:val="006E504F"/>
    <w:rsid w:val="006F4A1D"/>
    <w:rsid w:val="007005B1"/>
    <w:rsid w:val="00702E33"/>
    <w:rsid w:val="00704654"/>
    <w:rsid w:val="00704B60"/>
    <w:rsid w:val="00712089"/>
    <w:rsid w:val="00715B65"/>
    <w:rsid w:val="0073480C"/>
    <w:rsid w:val="007362D9"/>
    <w:rsid w:val="007421B2"/>
    <w:rsid w:val="00753F7B"/>
    <w:rsid w:val="00760C26"/>
    <w:rsid w:val="00765294"/>
    <w:rsid w:val="00773F62"/>
    <w:rsid w:val="007779F6"/>
    <w:rsid w:val="007800B0"/>
    <w:rsid w:val="0078360A"/>
    <w:rsid w:val="00785EA8"/>
    <w:rsid w:val="00791BD0"/>
    <w:rsid w:val="00793CAA"/>
    <w:rsid w:val="007A19B4"/>
    <w:rsid w:val="007A49C8"/>
    <w:rsid w:val="007B0360"/>
    <w:rsid w:val="007B64F2"/>
    <w:rsid w:val="007C1F7F"/>
    <w:rsid w:val="007D6488"/>
    <w:rsid w:val="007E44AA"/>
    <w:rsid w:val="0080127C"/>
    <w:rsid w:val="00812574"/>
    <w:rsid w:val="00815DE7"/>
    <w:rsid w:val="00816C84"/>
    <w:rsid w:val="0083331B"/>
    <w:rsid w:val="00835DCF"/>
    <w:rsid w:val="00844622"/>
    <w:rsid w:val="00855D8B"/>
    <w:rsid w:val="008575B8"/>
    <w:rsid w:val="00864DB3"/>
    <w:rsid w:val="00870D1B"/>
    <w:rsid w:val="0087313C"/>
    <w:rsid w:val="0087653B"/>
    <w:rsid w:val="00894DAA"/>
    <w:rsid w:val="00896642"/>
    <w:rsid w:val="008A20B0"/>
    <w:rsid w:val="008A2B10"/>
    <w:rsid w:val="008A78A0"/>
    <w:rsid w:val="008B7108"/>
    <w:rsid w:val="008B7349"/>
    <w:rsid w:val="008C3786"/>
    <w:rsid w:val="008D6F7A"/>
    <w:rsid w:val="008E31AA"/>
    <w:rsid w:val="00907C77"/>
    <w:rsid w:val="00914243"/>
    <w:rsid w:val="00917193"/>
    <w:rsid w:val="00925CA4"/>
    <w:rsid w:val="0092650C"/>
    <w:rsid w:val="00930262"/>
    <w:rsid w:val="00933F10"/>
    <w:rsid w:val="009422F2"/>
    <w:rsid w:val="00943FAE"/>
    <w:rsid w:val="0096017F"/>
    <w:rsid w:val="009625A1"/>
    <w:rsid w:val="00970935"/>
    <w:rsid w:val="009726AF"/>
    <w:rsid w:val="009755EF"/>
    <w:rsid w:val="009772DA"/>
    <w:rsid w:val="0099207C"/>
    <w:rsid w:val="00992C8B"/>
    <w:rsid w:val="00996ECC"/>
    <w:rsid w:val="00997523"/>
    <w:rsid w:val="0099773B"/>
    <w:rsid w:val="009A0746"/>
    <w:rsid w:val="009A43DA"/>
    <w:rsid w:val="009C2A90"/>
    <w:rsid w:val="009C5BE8"/>
    <w:rsid w:val="009D630A"/>
    <w:rsid w:val="009E3B56"/>
    <w:rsid w:val="009F0B27"/>
    <w:rsid w:val="009F2A4F"/>
    <w:rsid w:val="00A012E3"/>
    <w:rsid w:val="00A03910"/>
    <w:rsid w:val="00A06EA9"/>
    <w:rsid w:val="00A10FD7"/>
    <w:rsid w:val="00A134B8"/>
    <w:rsid w:val="00A3285E"/>
    <w:rsid w:val="00A36F64"/>
    <w:rsid w:val="00A463D5"/>
    <w:rsid w:val="00A52BB4"/>
    <w:rsid w:val="00A55F8E"/>
    <w:rsid w:val="00A72D22"/>
    <w:rsid w:val="00A77FBE"/>
    <w:rsid w:val="00A87930"/>
    <w:rsid w:val="00A925F2"/>
    <w:rsid w:val="00A960C0"/>
    <w:rsid w:val="00AA0214"/>
    <w:rsid w:val="00AA292A"/>
    <w:rsid w:val="00AA6DC5"/>
    <w:rsid w:val="00AB45B6"/>
    <w:rsid w:val="00AB4F37"/>
    <w:rsid w:val="00AB77FC"/>
    <w:rsid w:val="00AD16C6"/>
    <w:rsid w:val="00AE17DA"/>
    <w:rsid w:val="00AE3CD8"/>
    <w:rsid w:val="00AF1BF7"/>
    <w:rsid w:val="00AF278E"/>
    <w:rsid w:val="00AF2C3A"/>
    <w:rsid w:val="00B04C2A"/>
    <w:rsid w:val="00B121BB"/>
    <w:rsid w:val="00B221A1"/>
    <w:rsid w:val="00B321E6"/>
    <w:rsid w:val="00B33442"/>
    <w:rsid w:val="00B4605C"/>
    <w:rsid w:val="00B60C0C"/>
    <w:rsid w:val="00B73E70"/>
    <w:rsid w:val="00B74385"/>
    <w:rsid w:val="00B7581A"/>
    <w:rsid w:val="00B7626B"/>
    <w:rsid w:val="00B838EE"/>
    <w:rsid w:val="00B917DA"/>
    <w:rsid w:val="00B938A7"/>
    <w:rsid w:val="00B96F6D"/>
    <w:rsid w:val="00B97135"/>
    <w:rsid w:val="00B97E63"/>
    <w:rsid w:val="00BA22B6"/>
    <w:rsid w:val="00BA3BAA"/>
    <w:rsid w:val="00BD09CB"/>
    <w:rsid w:val="00BE4502"/>
    <w:rsid w:val="00BF064F"/>
    <w:rsid w:val="00BF0B3F"/>
    <w:rsid w:val="00C20AC3"/>
    <w:rsid w:val="00C253F0"/>
    <w:rsid w:val="00C254DF"/>
    <w:rsid w:val="00C31BFE"/>
    <w:rsid w:val="00C34113"/>
    <w:rsid w:val="00C40C33"/>
    <w:rsid w:val="00C4503C"/>
    <w:rsid w:val="00C4604C"/>
    <w:rsid w:val="00C474D2"/>
    <w:rsid w:val="00C561FD"/>
    <w:rsid w:val="00C6034F"/>
    <w:rsid w:val="00C60C64"/>
    <w:rsid w:val="00C6791D"/>
    <w:rsid w:val="00C71CFB"/>
    <w:rsid w:val="00C75FF5"/>
    <w:rsid w:val="00C7776F"/>
    <w:rsid w:val="00C81A46"/>
    <w:rsid w:val="00C8327C"/>
    <w:rsid w:val="00C83A86"/>
    <w:rsid w:val="00C84414"/>
    <w:rsid w:val="00C861DD"/>
    <w:rsid w:val="00C87510"/>
    <w:rsid w:val="00C90C11"/>
    <w:rsid w:val="00C92479"/>
    <w:rsid w:val="00C93A86"/>
    <w:rsid w:val="00C9584B"/>
    <w:rsid w:val="00CA0A06"/>
    <w:rsid w:val="00CA5A2C"/>
    <w:rsid w:val="00CA6BB3"/>
    <w:rsid w:val="00CB13F4"/>
    <w:rsid w:val="00CB2AD7"/>
    <w:rsid w:val="00CB3C86"/>
    <w:rsid w:val="00CE2BA9"/>
    <w:rsid w:val="00CE7E37"/>
    <w:rsid w:val="00D13AC9"/>
    <w:rsid w:val="00D2226E"/>
    <w:rsid w:val="00D24E00"/>
    <w:rsid w:val="00D404D9"/>
    <w:rsid w:val="00D41291"/>
    <w:rsid w:val="00D412ED"/>
    <w:rsid w:val="00D45EF9"/>
    <w:rsid w:val="00D57C2E"/>
    <w:rsid w:val="00D637CA"/>
    <w:rsid w:val="00D63AEE"/>
    <w:rsid w:val="00D6435F"/>
    <w:rsid w:val="00D66354"/>
    <w:rsid w:val="00D70B1F"/>
    <w:rsid w:val="00D70D9E"/>
    <w:rsid w:val="00D71B10"/>
    <w:rsid w:val="00D74C44"/>
    <w:rsid w:val="00D815E3"/>
    <w:rsid w:val="00D902F3"/>
    <w:rsid w:val="00D94827"/>
    <w:rsid w:val="00DA07E4"/>
    <w:rsid w:val="00DA0B20"/>
    <w:rsid w:val="00DA1B0B"/>
    <w:rsid w:val="00DA2886"/>
    <w:rsid w:val="00DB1C4E"/>
    <w:rsid w:val="00DB6912"/>
    <w:rsid w:val="00DC4DF1"/>
    <w:rsid w:val="00DC6BC7"/>
    <w:rsid w:val="00DD5259"/>
    <w:rsid w:val="00DE04A9"/>
    <w:rsid w:val="00DE17AE"/>
    <w:rsid w:val="00DE4D7E"/>
    <w:rsid w:val="00DF79F2"/>
    <w:rsid w:val="00E02B92"/>
    <w:rsid w:val="00E07A5B"/>
    <w:rsid w:val="00E07F44"/>
    <w:rsid w:val="00E127E5"/>
    <w:rsid w:val="00E205CB"/>
    <w:rsid w:val="00E21299"/>
    <w:rsid w:val="00E22E54"/>
    <w:rsid w:val="00E2723A"/>
    <w:rsid w:val="00E27FC7"/>
    <w:rsid w:val="00E314C5"/>
    <w:rsid w:val="00E3278D"/>
    <w:rsid w:val="00E478AB"/>
    <w:rsid w:val="00E60E05"/>
    <w:rsid w:val="00E811BF"/>
    <w:rsid w:val="00E81E9A"/>
    <w:rsid w:val="00E86248"/>
    <w:rsid w:val="00EA57B8"/>
    <w:rsid w:val="00EB04BC"/>
    <w:rsid w:val="00EB239D"/>
    <w:rsid w:val="00EB3FBA"/>
    <w:rsid w:val="00EB4AE1"/>
    <w:rsid w:val="00EB7BA1"/>
    <w:rsid w:val="00EC2743"/>
    <w:rsid w:val="00EC4490"/>
    <w:rsid w:val="00EC4A37"/>
    <w:rsid w:val="00EC5167"/>
    <w:rsid w:val="00EC5CA4"/>
    <w:rsid w:val="00ED05BE"/>
    <w:rsid w:val="00ED1B4C"/>
    <w:rsid w:val="00ED6478"/>
    <w:rsid w:val="00ED6BC2"/>
    <w:rsid w:val="00EE4A8A"/>
    <w:rsid w:val="00EF1C34"/>
    <w:rsid w:val="00EF6C8F"/>
    <w:rsid w:val="00EF7158"/>
    <w:rsid w:val="00EF7A93"/>
    <w:rsid w:val="00F0205C"/>
    <w:rsid w:val="00F121F4"/>
    <w:rsid w:val="00F2065B"/>
    <w:rsid w:val="00F27C53"/>
    <w:rsid w:val="00F30CF8"/>
    <w:rsid w:val="00F33188"/>
    <w:rsid w:val="00F53006"/>
    <w:rsid w:val="00F71EAC"/>
    <w:rsid w:val="00F77AB0"/>
    <w:rsid w:val="00F77B92"/>
    <w:rsid w:val="00F81464"/>
    <w:rsid w:val="00F82669"/>
    <w:rsid w:val="00F95852"/>
    <w:rsid w:val="00FA3C3E"/>
    <w:rsid w:val="00FB0ABF"/>
    <w:rsid w:val="00FB3C5B"/>
    <w:rsid w:val="00FB5A15"/>
    <w:rsid w:val="00FB75B1"/>
    <w:rsid w:val="00FE0AAE"/>
    <w:rsid w:val="00FE1338"/>
    <w:rsid w:val="00FE60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BF2E"/>
  <w15:chartTrackingRefBased/>
  <w15:docId w15:val="{C6C123D3-1B2C-44B4-B98A-7EA5CF91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6F"/>
    <w:pPr>
      <w:spacing w:after="200" w:line="276" w:lineRule="auto"/>
      <w:ind w:left="1701" w:right="1701"/>
      <w:jc w:val="left"/>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70465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0465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0465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0465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0465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0465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04654"/>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70465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70465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65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0465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0465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0465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0465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0465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0465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0465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04654"/>
    <w:rPr>
      <w:b/>
      <w:bCs/>
      <w:i/>
      <w:iCs/>
    </w:rPr>
  </w:style>
  <w:style w:type="paragraph" w:styleId="Caption">
    <w:name w:val="caption"/>
    <w:basedOn w:val="Normal"/>
    <w:next w:val="Normal"/>
    <w:uiPriority w:val="35"/>
    <w:semiHidden/>
    <w:unhideWhenUsed/>
    <w:qFormat/>
    <w:rsid w:val="0070465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0465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0465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04654"/>
    <w:pPr>
      <w:numPr>
        <w:ilvl w:val="1"/>
      </w:numPr>
      <w:ind w:left="1701"/>
      <w:jc w:val="center"/>
    </w:pPr>
    <w:rPr>
      <w:color w:val="44546A" w:themeColor="text2"/>
      <w:sz w:val="28"/>
      <w:szCs w:val="28"/>
    </w:rPr>
  </w:style>
  <w:style w:type="character" w:customStyle="1" w:styleId="SubtitleChar">
    <w:name w:val="Subtitle Char"/>
    <w:basedOn w:val="DefaultParagraphFont"/>
    <w:link w:val="Subtitle"/>
    <w:uiPriority w:val="11"/>
    <w:rsid w:val="00704654"/>
    <w:rPr>
      <w:color w:val="44546A" w:themeColor="text2"/>
      <w:sz w:val="28"/>
      <w:szCs w:val="28"/>
    </w:rPr>
  </w:style>
  <w:style w:type="character" w:styleId="Strong">
    <w:name w:val="Strong"/>
    <w:basedOn w:val="DefaultParagraphFont"/>
    <w:uiPriority w:val="22"/>
    <w:qFormat/>
    <w:rsid w:val="00704654"/>
    <w:rPr>
      <w:b/>
      <w:bCs/>
    </w:rPr>
  </w:style>
  <w:style w:type="character" w:styleId="Emphasis">
    <w:name w:val="Emphasis"/>
    <w:basedOn w:val="DefaultParagraphFont"/>
    <w:uiPriority w:val="20"/>
    <w:qFormat/>
    <w:rsid w:val="00704654"/>
    <w:rPr>
      <w:i/>
      <w:iCs/>
      <w:color w:val="000000" w:themeColor="text1"/>
    </w:rPr>
  </w:style>
  <w:style w:type="paragraph" w:styleId="NoSpacing">
    <w:name w:val="No Spacing"/>
    <w:uiPriority w:val="1"/>
    <w:qFormat/>
    <w:rsid w:val="00704654"/>
    <w:pPr>
      <w:spacing w:after="0" w:line="240" w:lineRule="auto"/>
    </w:pPr>
  </w:style>
  <w:style w:type="paragraph" w:styleId="Quote">
    <w:name w:val="Quote"/>
    <w:basedOn w:val="Normal"/>
    <w:next w:val="Normal"/>
    <w:link w:val="QuoteChar"/>
    <w:uiPriority w:val="29"/>
    <w:qFormat/>
    <w:rsid w:val="00704654"/>
    <w:pPr>
      <w:spacing w:before="160"/>
      <w:ind w:left="720" w:right="720"/>
      <w:jc w:val="center"/>
    </w:pPr>
    <w:rPr>
      <w:i/>
      <w:iCs/>
      <w:color w:val="7B7B7B" w:themeColor="accent3" w:themeShade="BF"/>
    </w:rPr>
  </w:style>
  <w:style w:type="character" w:customStyle="1" w:styleId="QuoteChar">
    <w:name w:val="Quote Char"/>
    <w:basedOn w:val="DefaultParagraphFont"/>
    <w:link w:val="Quote"/>
    <w:uiPriority w:val="29"/>
    <w:rsid w:val="00704654"/>
    <w:rPr>
      <w:i/>
      <w:iCs/>
      <w:color w:val="7B7B7B" w:themeColor="accent3" w:themeShade="BF"/>
      <w:sz w:val="24"/>
      <w:szCs w:val="24"/>
    </w:rPr>
  </w:style>
  <w:style w:type="paragraph" w:styleId="IntenseQuote">
    <w:name w:val="Intense Quote"/>
    <w:basedOn w:val="Normal"/>
    <w:next w:val="Normal"/>
    <w:link w:val="IntenseQuoteChar"/>
    <w:uiPriority w:val="30"/>
    <w:qFormat/>
    <w:rsid w:val="0070465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0465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04654"/>
    <w:rPr>
      <w:i/>
      <w:iCs/>
      <w:color w:val="595959" w:themeColor="text1" w:themeTint="A6"/>
    </w:rPr>
  </w:style>
  <w:style w:type="character" w:styleId="IntenseEmphasis">
    <w:name w:val="Intense Emphasis"/>
    <w:basedOn w:val="DefaultParagraphFont"/>
    <w:uiPriority w:val="21"/>
    <w:qFormat/>
    <w:rsid w:val="00704654"/>
    <w:rPr>
      <w:b/>
      <w:bCs/>
      <w:i/>
      <w:iCs/>
      <w:color w:val="auto"/>
    </w:rPr>
  </w:style>
  <w:style w:type="character" w:styleId="SubtleReference">
    <w:name w:val="Subtle Reference"/>
    <w:basedOn w:val="DefaultParagraphFont"/>
    <w:uiPriority w:val="31"/>
    <w:qFormat/>
    <w:rsid w:val="0070465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04654"/>
    <w:rPr>
      <w:b/>
      <w:bCs/>
      <w:caps w:val="0"/>
      <w:smallCaps/>
      <w:color w:val="auto"/>
      <w:spacing w:val="0"/>
      <w:u w:val="single"/>
    </w:rPr>
  </w:style>
  <w:style w:type="character" w:styleId="BookTitle">
    <w:name w:val="Book Title"/>
    <w:basedOn w:val="DefaultParagraphFont"/>
    <w:uiPriority w:val="33"/>
    <w:qFormat/>
    <w:rsid w:val="00704654"/>
    <w:rPr>
      <w:b/>
      <w:bCs/>
      <w:caps w:val="0"/>
      <w:smallCaps/>
      <w:spacing w:val="0"/>
    </w:rPr>
  </w:style>
  <w:style w:type="paragraph" w:styleId="TOCHeading">
    <w:name w:val="TOC Heading"/>
    <w:basedOn w:val="Heading1"/>
    <w:next w:val="Normal"/>
    <w:uiPriority w:val="39"/>
    <w:semiHidden/>
    <w:unhideWhenUsed/>
    <w:qFormat/>
    <w:rsid w:val="00704654"/>
    <w:pPr>
      <w:outlineLvl w:val="9"/>
    </w:pPr>
  </w:style>
  <w:style w:type="paragraph" w:styleId="ListParagraph">
    <w:name w:val="List Paragraph"/>
    <w:basedOn w:val="Normal"/>
    <w:uiPriority w:val="34"/>
    <w:qFormat/>
    <w:rsid w:val="00C7776F"/>
    <w:pPr>
      <w:ind w:left="720"/>
      <w:contextualSpacing/>
    </w:pPr>
  </w:style>
  <w:style w:type="paragraph" w:styleId="Header">
    <w:name w:val="header"/>
    <w:basedOn w:val="Normal"/>
    <w:link w:val="HeaderChar"/>
    <w:uiPriority w:val="99"/>
    <w:unhideWhenUsed/>
    <w:rsid w:val="00C77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76F"/>
    <w:rPr>
      <w:rFonts w:asciiTheme="minorHAnsi" w:eastAsiaTheme="minorHAnsi" w:hAnsiTheme="minorHAnsi"/>
      <w:sz w:val="22"/>
      <w:szCs w:val="22"/>
    </w:rPr>
  </w:style>
  <w:style w:type="paragraph" w:styleId="Footer">
    <w:name w:val="footer"/>
    <w:basedOn w:val="Normal"/>
    <w:link w:val="FooterChar"/>
    <w:uiPriority w:val="99"/>
    <w:unhideWhenUsed/>
    <w:rsid w:val="00C77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76F"/>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20Mc%20Aslin\OneDrive%20-%20Maisels%20Group\Documents\Custom%20Office%20Templates\New%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Doc</Template>
  <TotalTime>1</TotalTime>
  <Pages>7</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Mc Aslin</dc:creator>
  <cp:keywords/>
  <dc:description/>
  <cp:lastModifiedBy>Mary Bruce</cp:lastModifiedBy>
  <cp:revision>3</cp:revision>
  <dcterms:created xsi:type="dcterms:W3CDTF">2023-11-08T05:59:00Z</dcterms:created>
  <dcterms:modified xsi:type="dcterms:W3CDTF">2023-11-08T13:37:00Z</dcterms:modified>
</cp:coreProperties>
</file>