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1421" w14:textId="1F039A82" w:rsidR="006C43D7" w:rsidRPr="000F7813" w:rsidRDefault="00AD3D5D" w:rsidP="00C74E97">
      <w:pPr>
        <w:spacing w:after="120" w:line="360" w:lineRule="auto"/>
        <w:jc w:val="center"/>
        <w:rPr>
          <w:rFonts w:cs="Arial"/>
          <w:b/>
          <w:bCs/>
          <w:szCs w:val="22"/>
        </w:rPr>
      </w:pPr>
      <w:bookmarkStart w:id="0" w:name="_GoBack"/>
      <w:bookmarkEnd w:id="0"/>
      <w:r w:rsidRPr="000F7813">
        <w:rPr>
          <w:rFonts w:cs="Arial"/>
          <w:b/>
          <w:bCs/>
          <w:szCs w:val="22"/>
        </w:rPr>
        <w:t xml:space="preserve"> </w:t>
      </w:r>
      <w:r w:rsidR="006C43D7" w:rsidRPr="000F7813">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1926F8" w:rsidRDefault="006C43D7" w:rsidP="00C74E97">
      <w:pPr>
        <w:spacing w:line="360" w:lineRule="auto"/>
        <w:jc w:val="center"/>
        <w:rPr>
          <w:rFonts w:cs="Arial"/>
          <w:b/>
          <w:szCs w:val="22"/>
        </w:rPr>
      </w:pPr>
      <w:r w:rsidRPr="001926F8">
        <w:rPr>
          <w:rFonts w:cs="Arial"/>
          <w:b/>
          <w:szCs w:val="22"/>
        </w:rPr>
        <w:t xml:space="preserve">IN THE HIGH COURT OF SOUTH AFRICA, </w:t>
      </w:r>
    </w:p>
    <w:p w14:paraId="566C4D1B" w14:textId="77777777" w:rsidR="006C43D7" w:rsidRPr="001926F8" w:rsidRDefault="006C43D7" w:rsidP="00C74E97">
      <w:pPr>
        <w:spacing w:line="360" w:lineRule="auto"/>
        <w:jc w:val="center"/>
        <w:rPr>
          <w:rFonts w:cs="Arial"/>
          <w:b/>
          <w:szCs w:val="22"/>
        </w:rPr>
      </w:pPr>
      <w:r w:rsidRPr="001926F8">
        <w:rPr>
          <w:rFonts w:cs="Arial"/>
          <w:b/>
          <w:szCs w:val="22"/>
        </w:rPr>
        <w:t>GAUTENG DIVISION, JOHANNESBURG</w:t>
      </w:r>
    </w:p>
    <w:p w14:paraId="13D6E83E" w14:textId="77777777" w:rsidR="006C43D7" w:rsidRPr="001926F8" w:rsidRDefault="006C43D7" w:rsidP="00C74E97">
      <w:pPr>
        <w:spacing w:line="360" w:lineRule="auto"/>
        <w:jc w:val="both"/>
        <w:rPr>
          <w:rFonts w:cs="Arial"/>
          <w:b/>
          <w:szCs w:val="22"/>
        </w:rPr>
      </w:pPr>
    </w:p>
    <w:p w14:paraId="084B5ECD" w14:textId="1094DBFB" w:rsidR="006C43D7" w:rsidRPr="001926F8" w:rsidRDefault="00F913C7" w:rsidP="00324658">
      <w:pPr>
        <w:spacing w:line="360" w:lineRule="auto"/>
        <w:jc w:val="right"/>
        <w:rPr>
          <w:rFonts w:cs="Arial"/>
          <w:szCs w:val="22"/>
        </w:rPr>
      </w:pPr>
      <w:bookmarkStart w:id="1" w:name="_Hlk150162010"/>
      <w:r w:rsidRPr="001926F8">
        <w:rPr>
          <w:rFonts w:cs="Arial"/>
          <w:b/>
          <w:szCs w:val="22"/>
        </w:rPr>
        <w:t xml:space="preserve">CASE NO: </w:t>
      </w:r>
      <w:r w:rsidR="00C56E55" w:rsidRPr="001926F8">
        <w:rPr>
          <w:rFonts w:cs="Arial"/>
          <w:noProof/>
          <w:szCs w:val="22"/>
          <w:lang w:eastAsia="en-ZA"/>
        </w:rPr>
        <mc:AlternateContent>
          <mc:Choice Requires="wps">
            <w:drawing>
              <wp:anchor distT="0" distB="0" distL="114300" distR="114300" simplePos="0" relativeHeight="251659264" behindDoc="0" locked="0" layoutInCell="1" allowOverlap="1" wp14:anchorId="15401FE8" wp14:editId="56542595">
                <wp:simplePos x="0" y="0"/>
                <wp:positionH relativeFrom="margin">
                  <wp:align>left</wp:align>
                </wp:positionH>
                <wp:positionV relativeFrom="paragraph">
                  <wp:posOffset>49530</wp:posOffset>
                </wp:positionV>
                <wp:extent cx="3314700" cy="1592580"/>
                <wp:effectExtent l="0" t="0" r="0" b="7620"/>
                <wp:wrapNone/>
                <wp:docPr id="11904970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913F95" w:rsidRDefault="00893C08" w:rsidP="006C43D7">
                            <w:pPr>
                              <w:jc w:val="center"/>
                              <w:rPr>
                                <w:rFonts w:ascii="Century Gothic" w:hAnsi="Century Gothic"/>
                                <w:b/>
                                <w:sz w:val="20"/>
                                <w:szCs w:val="20"/>
                              </w:rPr>
                            </w:pPr>
                          </w:p>
                          <w:p w14:paraId="01FDAE28" w14:textId="3618F356" w:rsidR="00893C08" w:rsidRDefault="00C44A70" w:rsidP="00C44A7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00CCC">
                              <w:rPr>
                                <w:rFonts w:ascii="Century Gothic" w:hAnsi="Century Gothic"/>
                                <w:sz w:val="20"/>
                                <w:szCs w:val="20"/>
                              </w:rPr>
                              <w:t>NO</w:t>
                            </w:r>
                          </w:p>
                          <w:p w14:paraId="3A4C7296" w14:textId="2F0035B3" w:rsidR="00893C08" w:rsidRDefault="00C44A70" w:rsidP="00C44A7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400CCC">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01FE8"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">
                <v:textbox>
                  <w:txbxContent>
                    <w:p w14:paraId="0EA4B470" w14:textId="77777777" w:rsidR="00893C08" w:rsidRPr="00913F95" w:rsidRDefault="00893C08" w:rsidP="006C43D7">
                      <w:pPr>
                        <w:jc w:val="center"/>
                        <w:rPr>
                          <w:rFonts w:ascii="Century Gothic" w:hAnsi="Century Gothic"/>
                          <w:b/>
                          <w:sz w:val="20"/>
                          <w:szCs w:val="20"/>
                        </w:rPr>
                      </w:pPr>
                    </w:p>
                    <w:p w14:paraId="01FDAE28" w14:textId="3618F356" w:rsidR="00893C08" w:rsidRDefault="00C44A70" w:rsidP="00C44A7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00CCC">
                        <w:rPr>
                          <w:rFonts w:ascii="Century Gothic" w:hAnsi="Century Gothic"/>
                          <w:sz w:val="20"/>
                          <w:szCs w:val="20"/>
                        </w:rPr>
                        <w:t>NO</w:t>
                      </w:r>
                    </w:p>
                    <w:p w14:paraId="3A4C7296" w14:textId="2F0035B3" w:rsidR="00893C08" w:rsidRDefault="00C44A70" w:rsidP="00C44A7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400CCC">
                        <w:rPr>
                          <w:rFonts w:ascii="Century Gothic" w:hAnsi="Century Gothic"/>
                          <w:sz w:val="20"/>
                          <w:szCs w:val="20"/>
                        </w:rPr>
                        <w:t>NO</w:t>
                      </w:r>
                    </w:p>
                    <w:p w14:paraId="1545E4B8" w14:textId="74255A93" w:rsidR="00CA0F98" w:rsidRPr="001D3CC2" w:rsidRDefault="00CA0F98" w:rsidP="004479C3">
                      <w:pPr>
                        <w:rPr>
                          <w:rFonts w:ascii="Century Gothic" w:hAnsi="Century Gothic"/>
                          <w:sz w:val="20"/>
                          <w:szCs w:val="20"/>
                        </w:rPr>
                      </w:pP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sidR="00324658" w:rsidRPr="001926F8">
        <w:rPr>
          <w:rFonts w:cs="Arial"/>
          <w:b/>
          <w:szCs w:val="22"/>
        </w:rPr>
        <w:t>2023-103348</w:t>
      </w:r>
    </w:p>
    <w:p w14:paraId="4E808D74" w14:textId="77777777" w:rsidR="006C43D7" w:rsidRPr="001926F8" w:rsidRDefault="006C43D7" w:rsidP="00C74E97">
      <w:pPr>
        <w:spacing w:line="360" w:lineRule="auto"/>
        <w:jc w:val="both"/>
        <w:rPr>
          <w:rFonts w:cs="Arial"/>
          <w:szCs w:val="22"/>
        </w:rPr>
      </w:pPr>
    </w:p>
    <w:p w14:paraId="34BF70B6" w14:textId="77777777" w:rsidR="006C43D7" w:rsidRPr="001926F8" w:rsidRDefault="006C43D7" w:rsidP="00C74E97">
      <w:pPr>
        <w:spacing w:line="360" w:lineRule="auto"/>
        <w:jc w:val="both"/>
        <w:rPr>
          <w:rFonts w:cs="Arial"/>
          <w:szCs w:val="22"/>
        </w:rPr>
      </w:pPr>
    </w:p>
    <w:p w14:paraId="2F53BA3A" w14:textId="7CE26CA8" w:rsidR="006C43D7" w:rsidRPr="001926F8" w:rsidRDefault="00C56E55" w:rsidP="00C74E97">
      <w:pPr>
        <w:spacing w:line="360" w:lineRule="auto"/>
        <w:jc w:val="both"/>
        <w:rPr>
          <w:rFonts w:cs="Arial"/>
          <w:szCs w:val="22"/>
        </w:rPr>
      </w:pPr>
      <w:r w:rsidRPr="001926F8">
        <w:rPr>
          <w:rFonts w:cs="Arial"/>
          <w:szCs w:val="22"/>
        </w:rPr>
        <w:t xml:space="preserve">                        </w:t>
      </w:r>
    </w:p>
    <w:p w14:paraId="3A1C212E" w14:textId="77777777" w:rsidR="006C43D7" w:rsidRPr="001926F8" w:rsidRDefault="006C43D7" w:rsidP="00C74E97">
      <w:pPr>
        <w:spacing w:line="360" w:lineRule="auto"/>
        <w:jc w:val="both"/>
        <w:rPr>
          <w:rFonts w:cs="Arial"/>
          <w:szCs w:val="22"/>
        </w:rPr>
      </w:pPr>
    </w:p>
    <w:p w14:paraId="04919B1B" w14:textId="77777777" w:rsidR="001D3CC2" w:rsidRPr="001926F8" w:rsidRDefault="001D3CC2" w:rsidP="00C74E97">
      <w:pPr>
        <w:spacing w:line="360" w:lineRule="auto"/>
        <w:jc w:val="both"/>
        <w:rPr>
          <w:rFonts w:cs="Arial"/>
          <w:szCs w:val="22"/>
        </w:rPr>
      </w:pPr>
    </w:p>
    <w:p w14:paraId="045D3852" w14:textId="77777777" w:rsidR="00E57446" w:rsidRPr="001926F8" w:rsidRDefault="00E57446" w:rsidP="00C74E97">
      <w:pPr>
        <w:spacing w:line="360" w:lineRule="auto"/>
        <w:jc w:val="both"/>
        <w:rPr>
          <w:rFonts w:cs="Arial"/>
          <w:szCs w:val="22"/>
        </w:rPr>
      </w:pPr>
    </w:p>
    <w:p w14:paraId="2804C32A" w14:textId="6C8D50AF" w:rsidR="00E57446" w:rsidRPr="001926F8" w:rsidRDefault="00E57446" w:rsidP="00C74E97">
      <w:pPr>
        <w:spacing w:line="360" w:lineRule="auto"/>
        <w:jc w:val="both"/>
        <w:rPr>
          <w:rFonts w:cs="Arial"/>
          <w:szCs w:val="22"/>
        </w:rPr>
      </w:pPr>
      <w:r w:rsidRPr="001926F8">
        <w:rPr>
          <w:rFonts w:cs="Arial"/>
          <w:szCs w:val="22"/>
        </w:rPr>
        <w:t>In the application by</w:t>
      </w:r>
    </w:p>
    <w:p w14:paraId="3618872D" w14:textId="77777777" w:rsidR="009B4145" w:rsidRPr="001926F8" w:rsidRDefault="009B4145" w:rsidP="00C74E97">
      <w:pPr>
        <w:spacing w:line="360" w:lineRule="auto"/>
        <w:jc w:val="both"/>
        <w:rPr>
          <w:rFonts w:cs="Arial"/>
          <w:szCs w:val="22"/>
        </w:rPr>
      </w:pPr>
    </w:p>
    <w:p w14:paraId="22A59FA1" w14:textId="77777777" w:rsidR="00324658" w:rsidRPr="001926F8" w:rsidRDefault="00324658" w:rsidP="00324658">
      <w:pPr>
        <w:tabs>
          <w:tab w:val="right" w:pos="9356"/>
        </w:tabs>
        <w:rPr>
          <w:rFonts w:cs="Arial"/>
          <w:b/>
          <w:szCs w:val="22"/>
        </w:rPr>
      </w:pPr>
      <w:r w:rsidRPr="001926F8">
        <w:rPr>
          <w:rFonts w:cs="Arial"/>
          <w:b/>
          <w:szCs w:val="22"/>
        </w:rPr>
        <w:t>TPN TRANSPORT AND DISTRIBUTION (PTY) LTD</w:t>
      </w:r>
    </w:p>
    <w:p w14:paraId="46E9AFFE" w14:textId="77777777" w:rsidR="00324658" w:rsidRPr="001926F8" w:rsidRDefault="00324658" w:rsidP="00324658">
      <w:pPr>
        <w:tabs>
          <w:tab w:val="right" w:pos="9356"/>
        </w:tabs>
        <w:rPr>
          <w:rFonts w:cs="Arial"/>
          <w:caps/>
          <w:szCs w:val="22"/>
        </w:rPr>
      </w:pPr>
      <w:r w:rsidRPr="001926F8">
        <w:rPr>
          <w:rFonts w:cs="Arial"/>
          <w:b/>
          <w:szCs w:val="22"/>
        </w:rPr>
        <w:t>(REGISTRATION NUMBER: 2015/025790/07)</w:t>
      </w:r>
      <w:r w:rsidRPr="001926F8">
        <w:rPr>
          <w:rFonts w:cs="Arial"/>
          <w:szCs w:val="22"/>
        </w:rPr>
        <w:tab/>
        <w:t>Applicant</w:t>
      </w:r>
    </w:p>
    <w:p w14:paraId="0E117F37" w14:textId="77777777" w:rsidR="00324658" w:rsidRPr="001926F8" w:rsidRDefault="00324658" w:rsidP="00324658">
      <w:pPr>
        <w:tabs>
          <w:tab w:val="right" w:pos="9356"/>
        </w:tabs>
        <w:rPr>
          <w:rFonts w:cs="Arial"/>
          <w:szCs w:val="22"/>
        </w:rPr>
      </w:pPr>
    </w:p>
    <w:p w14:paraId="504A0F96" w14:textId="77777777" w:rsidR="00324658" w:rsidRPr="001926F8" w:rsidRDefault="00324658" w:rsidP="00324658">
      <w:pPr>
        <w:tabs>
          <w:tab w:val="right" w:pos="9356"/>
        </w:tabs>
        <w:rPr>
          <w:rFonts w:cs="Arial"/>
          <w:szCs w:val="22"/>
        </w:rPr>
      </w:pPr>
    </w:p>
    <w:p w14:paraId="4444C695" w14:textId="77777777" w:rsidR="00324658" w:rsidRPr="001926F8" w:rsidRDefault="00324658" w:rsidP="00324658">
      <w:pPr>
        <w:tabs>
          <w:tab w:val="right" w:pos="9356"/>
        </w:tabs>
        <w:rPr>
          <w:rFonts w:cs="Arial"/>
          <w:szCs w:val="22"/>
        </w:rPr>
      </w:pPr>
      <w:r w:rsidRPr="001926F8">
        <w:rPr>
          <w:rFonts w:cs="Arial"/>
          <w:szCs w:val="22"/>
        </w:rPr>
        <w:t>and</w:t>
      </w:r>
    </w:p>
    <w:p w14:paraId="1D831AD9" w14:textId="77777777" w:rsidR="00324658" w:rsidRPr="001926F8" w:rsidRDefault="00324658" w:rsidP="00324658">
      <w:pPr>
        <w:tabs>
          <w:tab w:val="right" w:pos="9356"/>
        </w:tabs>
        <w:rPr>
          <w:rFonts w:cs="Arial"/>
          <w:szCs w:val="22"/>
        </w:rPr>
      </w:pPr>
    </w:p>
    <w:p w14:paraId="49A9ACB5" w14:textId="77777777" w:rsidR="00324658" w:rsidRPr="001926F8" w:rsidRDefault="00324658" w:rsidP="00324658">
      <w:pPr>
        <w:tabs>
          <w:tab w:val="right" w:pos="9356"/>
        </w:tabs>
        <w:rPr>
          <w:rFonts w:cs="Arial"/>
          <w:szCs w:val="22"/>
        </w:rPr>
      </w:pPr>
    </w:p>
    <w:p w14:paraId="0D53663C" w14:textId="77777777" w:rsidR="00324658" w:rsidRPr="001926F8" w:rsidRDefault="00324658" w:rsidP="00324658">
      <w:pPr>
        <w:tabs>
          <w:tab w:val="right" w:pos="9356"/>
        </w:tabs>
        <w:rPr>
          <w:rFonts w:cs="Arial"/>
          <w:szCs w:val="22"/>
        </w:rPr>
      </w:pPr>
      <w:r w:rsidRPr="001926F8">
        <w:rPr>
          <w:rFonts w:cs="Arial"/>
          <w:b/>
          <w:szCs w:val="22"/>
        </w:rPr>
        <w:t>EKURHULENI METROPOLITAN MUNICIPALITY</w:t>
      </w:r>
      <w:r w:rsidRPr="001926F8">
        <w:rPr>
          <w:rFonts w:cs="Arial"/>
          <w:szCs w:val="22"/>
        </w:rPr>
        <w:tab/>
        <w:t>First Respondent</w:t>
      </w:r>
    </w:p>
    <w:p w14:paraId="5385D467" w14:textId="77777777" w:rsidR="00324658" w:rsidRPr="001926F8" w:rsidRDefault="00324658" w:rsidP="00324658">
      <w:pPr>
        <w:tabs>
          <w:tab w:val="right" w:pos="9356"/>
        </w:tabs>
        <w:rPr>
          <w:rFonts w:cs="Arial"/>
          <w:szCs w:val="22"/>
        </w:rPr>
      </w:pPr>
    </w:p>
    <w:p w14:paraId="50324DA2" w14:textId="77777777" w:rsidR="00324658" w:rsidRPr="001926F8" w:rsidRDefault="00324658" w:rsidP="00324658">
      <w:pPr>
        <w:tabs>
          <w:tab w:val="right" w:pos="9356"/>
        </w:tabs>
        <w:rPr>
          <w:rFonts w:cs="Arial"/>
          <w:b/>
          <w:szCs w:val="22"/>
        </w:rPr>
      </w:pPr>
      <w:r w:rsidRPr="001926F8">
        <w:rPr>
          <w:rFonts w:cs="Arial"/>
          <w:b/>
          <w:szCs w:val="22"/>
        </w:rPr>
        <w:t>THE MEMBER OF THE EXECUTIVE COUNCIL (MEC)</w:t>
      </w:r>
    </w:p>
    <w:p w14:paraId="34D90E01" w14:textId="77777777" w:rsidR="00324658" w:rsidRPr="001926F8" w:rsidRDefault="00324658" w:rsidP="00324658">
      <w:pPr>
        <w:tabs>
          <w:tab w:val="right" w:pos="9356"/>
        </w:tabs>
        <w:rPr>
          <w:rFonts w:cs="Arial"/>
          <w:szCs w:val="22"/>
        </w:rPr>
      </w:pPr>
      <w:r w:rsidRPr="001926F8">
        <w:rPr>
          <w:rFonts w:cs="Arial"/>
          <w:b/>
          <w:szCs w:val="22"/>
        </w:rPr>
        <w:t>FOR ROADS AND TRANSPORT GAUTENG PROVINCE</w:t>
      </w:r>
      <w:r w:rsidRPr="001926F8">
        <w:rPr>
          <w:rFonts w:cs="Arial"/>
          <w:b/>
          <w:szCs w:val="22"/>
        </w:rPr>
        <w:tab/>
      </w:r>
      <w:r w:rsidRPr="001926F8">
        <w:rPr>
          <w:rFonts w:cs="Arial"/>
          <w:szCs w:val="22"/>
        </w:rPr>
        <w:t>Second Respondent</w:t>
      </w:r>
    </w:p>
    <w:p w14:paraId="05FB0127" w14:textId="77777777" w:rsidR="00324658" w:rsidRPr="001926F8" w:rsidRDefault="00324658" w:rsidP="00324658">
      <w:pPr>
        <w:tabs>
          <w:tab w:val="right" w:pos="9356"/>
        </w:tabs>
        <w:rPr>
          <w:rFonts w:cs="Arial"/>
          <w:szCs w:val="22"/>
        </w:rPr>
      </w:pPr>
    </w:p>
    <w:p w14:paraId="0967DEE8" w14:textId="77777777" w:rsidR="00324658" w:rsidRPr="001926F8" w:rsidRDefault="00324658" w:rsidP="00324658">
      <w:pPr>
        <w:tabs>
          <w:tab w:val="right" w:pos="9356"/>
        </w:tabs>
        <w:rPr>
          <w:rFonts w:cs="Arial"/>
          <w:szCs w:val="22"/>
        </w:rPr>
      </w:pPr>
      <w:r w:rsidRPr="001926F8">
        <w:rPr>
          <w:rFonts w:cs="Arial"/>
          <w:b/>
          <w:szCs w:val="22"/>
        </w:rPr>
        <w:t>THE MINISTER OF TRANSPORT</w:t>
      </w:r>
      <w:r w:rsidRPr="001926F8">
        <w:rPr>
          <w:rFonts w:cs="Arial"/>
          <w:szCs w:val="22"/>
        </w:rPr>
        <w:tab/>
        <w:t>Third Res</w:t>
      </w:r>
      <w:bookmarkEnd w:id="1"/>
      <w:r w:rsidRPr="001926F8">
        <w:rPr>
          <w:rFonts w:cs="Arial"/>
          <w:szCs w:val="22"/>
        </w:rPr>
        <w:t>pondent</w:t>
      </w:r>
    </w:p>
    <w:p w14:paraId="70DF246C" w14:textId="77777777" w:rsidR="00324658" w:rsidRPr="001926F8" w:rsidRDefault="00324658" w:rsidP="00324658">
      <w:pPr>
        <w:tabs>
          <w:tab w:val="right" w:pos="9356"/>
        </w:tabs>
        <w:rPr>
          <w:rFonts w:cs="Arial"/>
          <w:szCs w:val="22"/>
        </w:rPr>
      </w:pPr>
    </w:p>
    <w:p w14:paraId="3B8541A4" w14:textId="77777777" w:rsidR="00324658" w:rsidRPr="001926F8" w:rsidRDefault="00324658" w:rsidP="00324658">
      <w:pPr>
        <w:tabs>
          <w:tab w:val="right" w:pos="9356"/>
        </w:tabs>
        <w:rPr>
          <w:rFonts w:cs="Arial"/>
          <w:szCs w:val="22"/>
        </w:rPr>
      </w:pPr>
      <w:r w:rsidRPr="001926F8">
        <w:rPr>
          <w:rFonts w:cs="Arial"/>
          <w:b/>
          <w:szCs w:val="22"/>
        </w:rPr>
        <w:t>EZIBELENI LONG DISTANCE TAXI ASSOCIATION</w:t>
      </w:r>
    </w:p>
    <w:p w14:paraId="0233F48B" w14:textId="77777777" w:rsidR="00324658" w:rsidRPr="001926F8" w:rsidRDefault="00324658" w:rsidP="00324658">
      <w:pPr>
        <w:tabs>
          <w:tab w:val="right" w:pos="9356"/>
        </w:tabs>
        <w:rPr>
          <w:rFonts w:cs="Arial"/>
          <w:szCs w:val="22"/>
        </w:rPr>
      </w:pPr>
      <w:r w:rsidRPr="001926F8">
        <w:rPr>
          <w:rFonts w:cs="Arial"/>
          <w:b/>
          <w:bCs/>
          <w:szCs w:val="22"/>
        </w:rPr>
        <w:t>(REGISTRATION NUMBER: 2014/230557/07)</w:t>
      </w:r>
      <w:r w:rsidRPr="001926F8">
        <w:rPr>
          <w:rFonts w:cs="Arial"/>
          <w:szCs w:val="22"/>
        </w:rPr>
        <w:tab/>
        <w:t>Fourth Respondent</w:t>
      </w:r>
    </w:p>
    <w:p w14:paraId="1E39224F" w14:textId="77777777" w:rsidR="00324658" w:rsidRPr="001926F8" w:rsidRDefault="00324658" w:rsidP="00324658">
      <w:pPr>
        <w:tabs>
          <w:tab w:val="right" w:pos="9356"/>
        </w:tabs>
        <w:rPr>
          <w:rFonts w:cs="Arial"/>
          <w:szCs w:val="22"/>
        </w:rPr>
      </w:pPr>
    </w:p>
    <w:p w14:paraId="10E5F1D1" w14:textId="77777777" w:rsidR="00324658" w:rsidRPr="001926F8" w:rsidRDefault="00324658" w:rsidP="00324658">
      <w:pPr>
        <w:tabs>
          <w:tab w:val="right" w:pos="9356"/>
        </w:tabs>
        <w:rPr>
          <w:rFonts w:cs="Arial"/>
          <w:b/>
          <w:szCs w:val="22"/>
        </w:rPr>
      </w:pPr>
      <w:r w:rsidRPr="001926F8">
        <w:rPr>
          <w:rFonts w:cs="Arial"/>
          <w:b/>
          <w:szCs w:val="22"/>
        </w:rPr>
        <w:t>ETHEMBENI LONG DISTANCE TAXI ASSOCIATION</w:t>
      </w:r>
    </w:p>
    <w:p w14:paraId="607AA37C" w14:textId="77777777" w:rsidR="00324658" w:rsidRPr="001926F8" w:rsidRDefault="00324658" w:rsidP="00324658">
      <w:pPr>
        <w:tabs>
          <w:tab w:val="right" w:pos="9356"/>
        </w:tabs>
        <w:rPr>
          <w:rFonts w:cs="Arial"/>
          <w:szCs w:val="22"/>
        </w:rPr>
      </w:pPr>
      <w:r w:rsidRPr="001926F8">
        <w:rPr>
          <w:rFonts w:cs="Arial"/>
          <w:b/>
          <w:szCs w:val="22"/>
        </w:rPr>
        <w:t>(REGISTRATION NUMBER: 2019171461)</w:t>
      </w:r>
      <w:r w:rsidRPr="001926F8">
        <w:rPr>
          <w:rFonts w:cs="Arial"/>
          <w:szCs w:val="22"/>
        </w:rPr>
        <w:tab/>
        <w:t>Fifth Respondent</w:t>
      </w:r>
    </w:p>
    <w:p w14:paraId="5BDEAD9A" w14:textId="77777777" w:rsidR="00324658" w:rsidRPr="001926F8" w:rsidRDefault="00324658" w:rsidP="00324658">
      <w:pPr>
        <w:tabs>
          <w:tab w:val="right" w:pos="9356"/>
        </w:tabs>
        <w:rPr>
          <w:rFonts w:cs="Arial"/>
          <w:szCs w:val="22"/>
        </w:rPr>
      </w:pPr>
    </w:p>
    <w:p w14:paraId="08B6D9D2" w14:textId="77777777" w:rsidR="00324658" w:rsidRPr="001926F8" w:rsidRDefault="00324658" w:rsidP="00324658">
      <w:pPr>
        <w:tabs>
          <w:tab w:val="right" w:pos="9356"/>
        </w:tabs>
        <w:rPr>
          <w:rFonts w:cs="Arial"/>
          <w:b/>
          <w:bCs/>
          <w:szCs w:val="22"/>
        </w:rPr>
      </w:pPr>
      <w:r w:rsidRPr="001926F8">
        <w:rPr>
          <w:rFonts w:cs="Arial"/>
          <w:b/>
          <w:bCs/>
          <w:szCs w:val="22"/>
        </w:rPr>
        <w:t>EZBELENI BUS TOURS (PTY) LTD</w:t>
      </w:r>
    </w:p>
    <w:p w14:paraId="69CEFDD7" w14:textId="77777777" w:rsidR="00324658" w:rsidRPr="001926F8" w:rsidRDefault="00324658" w:rsidP="00324658">
      <w:pPr>
        <w:tabs>
          <w:tab w:val="right" w:pos="9356"/>
        </w:tabs>
        <w:rPr>
          <w:rFonts w:cs="Arial"/>
          <w:szCs w:val="22"/>
        </w:rPr>
      </w:pPr>
      <w:r w:rsidRPr="001926F8">
        <w:rPr>
          <w:rFonts w:cs="Arial"/>
          <w:b/>
          <w:bCs/>
          <w:szCs w:val="22"/>
        </w:rPr>
        <w:t>(REGISTRATION NUMBER: 2015/021198/07</w:t>
      </w:r>
      <w:r w:rsidRPr="001926F8">
        <w:rPr>
          <w:rFonts w:cs="Arial"/>
          <w:szCs w:val="22"/>
        </w:rPr>
        <w:tab/>
        <w:t>Sixth Respondent</w:t>
      </w:r>
    </w:p>
    <w:p w14:paraId="44ED15EB" w14:textId="77777777" w:rsidR="00324658" w:rsidRPr="001926F8" w:rsidRDefault="00324658" w:rsidP="00324658">
      <w:pPr>
        <w:tabs>
          <w:tab w:val="right" w:pos="9356"/>
        </w:tabs>
        <w:rPr>
          <w:rFonts w:cs="Arial"/>
          <w:szCs w:val="22"/>
        </w:rPr>
      </w:pPr>
    </w:p>
    <w:p w14:paraId="566EB907" w14:textId="77777777" w:rsidR="00324658" w:rsidRPr="001926F8" w:rsidRDefault="00324658" w:rsidP="00324658">
      <w:pPr>
        <w:tabs>
          <w:tab w:val="right" w:pos="9356"/>
        </w:tabs>
        <w:rPr>
          <w:rFonts w:cs="Arial"/>
          <w:szCs w:val="22"/>
        </w:rPr>
      </w:pPr>
      <w:r w:rsidRPr="001926F8">
        <w:rPr>
          <w:rFonts w:cs="Arial"/>
          <w:b/>
          <w:bCs/>
          <w:szCs w:val="22"/>
        </w:rPr>
        <w:t>EASTERN CAPE PROVINCIAL REGULATORY ENTITY</w:t>
      </w:r>
      <w:r w:rsidRPr="001926F8">
        <w:rPr>
          <w:rFonts w:cs="Arial"/>
          <w:szCs w:val="22"/>
        </w:rPr>
        <w:tab/>
        <w:t>Seventh Respondent</w:t>
      </w:r>
    </w:p>
    <w:p w14:paraId="70BD2785" w14:textId="77777777" w:rsidR="00324658" w:rsidRPr="001926F8" w:rsidRDefault="00324658" w:rsidP="00324658">
      <w:pPr>
        <w:jc w:val="both"/>
        <w:rPr>
          <w:rFonts w:cs="Arial"/>
          <w:b/>
          <w:bCs/>
          <w:szCs w:val="22"/>
        </w:rPr>
      </w:pPr>
    </w:p>
    <w:p w14:paraId="4BC79EA3" w14:textId="77777777" w:rsidR="0034421F" w:rsidRDefault="0034421F" w:rsidP="00C74E97">
      <w:pPr>
        <w:pBdr>
          <w:bottom w:val="single" w:sz="4" w:space="1" w:color="auto"/>
        </w:pBdr>
        <w:spacing w:line="360" w:lineRule="auto"/>
        <w:jc w:val="both"/>
        <w:rPr>
          <w:rFonts w:cs="Arial"/>
          <w:szCs w:val="22"/>
        </w:rPr>
      </w:pPr>
    </w:p>
    <w:p w14:paraId="70CF7F40" w14:textId="77777777" w:rsidR="001926F8" w:rsidRPr="001926F8" w:rsidRDefault="001926F8" w:rsidP="00C74E97">
      <w:pPr>
        <w:pBdr>
          <w:bottom w:val="single" w:sz="4" w:space="1" w:color="auto"/>
        </w:pBdr>
        <w:spacing w:line="360" w:lineRule="auto"/>
        <w:jc w:val="both"/>
        <w:rPr>
          <w:rFonts w:cs="Arial"/>
          <w:szCs w:val="22"/>
        </w:rPr>
      </w:pPr>
    </w:p>
    <w:p w14:paraId="58DE5549" w14:textId="77777777" w:rsidR="006C43D7" w:rsidRPr="001926F8" w:rsidRDefault="006C43D7" w:rsidP="00C74E97">
      <w:pPr>
        <w:spacing w:line="360" w:lineRule="auto"/>
        <w:jc w:val="both"/>
        <w:rPr>
          <w:rFonts w:cs="Arial"/>
          <w:szCs w:val="22"/>
        </w:rPr>
      </w:pPr>
    </w:p>
    <w:p w14:paraId="647AB70C" w14:textId="77777777" w:rsidR="006C43D7" w:rsidRPr="001926F8" w:rsidRDefault="006C43D7" w:rsidP="00C74E97">
      <w:pPr>
        <w:keepNext/>
        <w:spacing w:line="360" w:lineRule="auto"/>
        <w:jc w:val="center"/>
        <w:outlineLvl w:val="1"/>
        <w:rPr>
          <w:rFonts w:cs="Arial"/>
          <w:b/>
          <w:bCs/>
          <w:szCs w:val="22"/>
        </w:rPr>
      </w:pPr>
      <w:r w:rsidRPr="001926F8">
        <w:rPr>
          <w:rFonts w:cs="Arial"/>
          <w:b/>
          <w:bCs/>
          <w:szCs w:val="22"/>
        </w:rPr>
        <w:t>JUDGMENT</w:t>
      </w:r>
    </w:p>
    <w:p w14:paraId="52CD25EB" w14:textId="77777777" w:rsidR="006C43D7" w:rsidRPr="001926F8" w:rsidRDefault="006C43D7" w:rsidP="00C74E97">
      <w:pPr>
        <w:pBdr>
          <w:bottom w:val="single" w:sz="4" w:space="1" w:color="auto"/>
        </w:pBdr>
        <w:spacing w:line="360" w:lineRule="auto"/>
        <w:jc w:val="both"/>
        <w:rPr>
          <w:rFonts w:cs="Arial"/>
          <w:szCs w:val="22"/>
        </w:rPr>
      </w:pPr>
    </w:p>
    <w:p w14:paraId="0CA76DA1" w14:textId="77777777" w:rsidR="00DC621D" w:rsidRPr="001926F8" w:rsidRDefault="00DC621D" w:rsidP="00C74E97">
      <w:pPr>
        <w:spacing w:line="360" w:lineRule="auto"/>
        <w:jc w:val="both"/>
        <w:rPr>
          <w:rFonts w:cs="Arial"/>
          <w:b/>
          <w:szCs w:val="22"/>
        </w:rPr>
      </w:pPr>
    </w:p>
    <w:p w14:paraId="5BD82EFE" w14:textId="0F8FBF70" w:rsidR="00BE6AB8" w:rsidRPr="001926F8" w:rsidRDefault="00C676F3" w:rsidP="00C74E97">
      <w:pPr>
        <w:spacing w:after="480" w:line="360" w:lineRule="auto"/>
        <w:jc w:val="both"/>
        <w:rPr>
          <w:rFonts w:cs="Arial"/>
          <w:b/>
          <w:szCs w:val="22"/>
        </w:rPr>
      </w:pPr>
      <w:r w:rsidRPr="001926F8">
        <w:rPr>
          <w:rFonts w:cs="Arial"/>
          <w:b/>
          <w:szCs w:val="22"/>
        </w:rPr>
        <w:t>MOORCROFT</w:t>
      </w:r>
      <w:r w:rsidR="006C43D7" w:rsidRPr="001926F8">
        <w:rPr>
          <w:rFonts w:cs="Arial"/>
          <w:b/>
          <w:szCs w:val="22"/>
        </w:rPr>
        <w:t xml:space="preserve"> AJ:</w:t>
      </w:r>
    </w:p>
    <w:p w14:paraId="09239A78" w14:textId="205827F2" w:rsidR="00C460A0" w:rsidRPr="001926F8" w:rsidRDefault="00C460A0" w:rsidP="00900C1A">
      <w:pPr>
        <w:keepNext/>
        <w:spacing w:after="480" w:line="360" w:lineRule="auto"/>
        <w:jc w:val="both"/>
        <w:rPr>
          <w:rFonts w:cs="Arial"/>
          <w:bCs/>
          <w:i/>
          <w:iCs/>
          <w:szCs w:val="22"/>
          <w:u w:val="single"/>
        </w:rPr>
      </w:pPr>
      <w:r w:rsidRPr="001926F8">
        <w:rPr>
          <w:rFonts w:cs="Arial"/>
          <w:bCs/>
          <w:i/>
          <w:iCs/>
          <w:szCs w:val="22"/>
          <w:u w:val="single"/>
        </w:rPr>
        <w:t>Summary</w:t>
      </w:r>
    </w:p>
    <w:p w14:paraId="1C1D8B61" w14:textId="0B72C6DE" w:rsidR="001926F8" w:rsidRPr="001926F8" w:rsidRDefault="001926F8" w:rsidP="00900C1A">
      <w:pPr>
        <w:keepNext/>
        <w:spacing w:after="480" w:line="360" w:lineRule="auto"/>
        <w:jc w:val="both"/>
        <w:rPr>
          <w:rFonts w:cs="Arial"/>
          <w:bCs/>
          <w:i/>
          <w:iCs/>
          <w:szCs w:val="22"/>
        </w:rPr>
      </w:pPr>
      <w:r w:rsidRPr="001926F8">
        <w:rPr>
          <w:rFonts w:cs="Arial"/>
          <w:bCs/>
          <w:i/>
          <w:iCs/>
          <w:szCs w:val="22"/>
        </w:rPr>
        <w:t>Urgency – application does not comply with Directives and rules of practice in the Gauteng Division, Johannesburg</w:t>
      </w:r>
    </w:p>
    <w:p w14:paraId="3046CEFB" w14:textId="328E674C" w:rsidR="00550FF0" w:rsidRPr="001926F8" w:rsidRDefault="00550FF0" w:rsidP="00900C1A">
      <w:pPr>
        <w:keepNext/>
        <w:spacing w:after="480" w:line="360" w:lineRule="auto"/>
        <w:jc w:val="both"/>
        <w:rPr>
          <w:rFonts w:cs="Arial"/>
          <w:bCs/>
          <w:i/>
          <w:iCs/>
          <w:szCs w:val="22"/>
        </w:rPr>
      </w:pPr>
      <w:r w:rsidRPr="001926F8">
        <w:rPr>
          <w:rFonts w:cs="Arial"/>
          <w:bCs/>
          <w:i/>
          <w:iCs/>
          <w:szCs w:val="22"/>
        </w:rPr>
        <w:t>Mand</w:t>
      </w:r>
      <w:r w:rsidR="00F96D5D" w:rsidRPr="001926F8">
        <w:rPr>
          <w:rFonts w:cs="Arial"/>
          <w:bCs/>
          <w:i/>
          <w:iCs/>
          <w:szCs w:val="22"/>
        </w:rPr>
        <w:t>a</w:t>
      </w:r>
      <w:r w:rsidRPr="001926F8">
        <w:rPr>
          <w:rFonts w:cs="Arial"/>
          <w:bCs/>
          <w:i/>
          <w:iCs/>
          <w:szCs w:val="22"/>
        </w:rPr>
        <w:t>ment van spolie – requirements –</w:t>
      </w:r>
      <w:r w:rsidR="00B9668A" w:rsidRPr="001926F8">
        <w:rPr>
          <w:rFonts w:cs="Arial"/>
          <w:bCs/>
          <w:i/>
          <w:iCs/>
          <w:szCs w:val="22"/>
        </w:rPr>
        <w:t xml:space="preserve"> </w:t>
      </w:r>
      <w:r w:rsidRPr="001926F8">
        <w:rPr>
          <w:rFonts w:cs="Arial"/>
          <w:bCs/>
          <w:i/>
          <w:iCs/>
          <w:szCs w:val="22"/>
        </w:rPr>
        <w:t>unlawful deprivation of undisturbed and peaceful possession</w:t>
      </w:r>
      <w:r w:rsidR="001926F8" w:rsidRPr="001926F8">
        <w:rPr>
          <w:rFonts w:cs="Arial"/>
          <w:bCs/>
          <w:i/>
          <w:iCs/>
          <w:szCs w:val="22"/>
        </w:rPr>
        <w:t xml:space="preserve"> – applicant not unlawfully dispossessed</w:t>
      </w:r>
    </w:p>
    <w:p w14:paraId="0AC68314" w14:textId="7FE5EBA7" w:rsidR="001926F8" w:rsidRPr="001926F8" w:rsidRDefault="001926F8" w:rsidP="00900C1A">
      <w:pPr>
        <w:keepNext/>
        <w:spacing w:after="480" w:line="360" w:lineRule="auto"/>
        <w:jc w:val="both"/>
        <w:rPr>
          <w:rFonts w:cs="Arial"/>
          <w:bCs/>
          <w:i/>
          <w:iCs/>
          <w:szCs w:val="22"/>
        </w:rPr>
      </w:pPr>
      <w:r w:rsidRPr="001926F8">
        <w:rPr>
          <w:rFonts w:cs="Arial"/>
          <w:bCs/>
          <w:i/>
          <w:iCs/>
          <w:szCs w:val="22"/>
        </w:rPr>
        <w:t>Contempt of court – court order not binding on parties not subject to order – not in contempt of court</w:t>
      </w:r>
    </w:p>
    <w:p w14:paraId="18AFD427" w14:textId="7B3D0B7D" w:rsidR="00BE6AB8" w:rsidRPr="001926F8" w:rsidRDefault="00BE6AB8" w:rsidP="00900C1A">
      <w:pPr>
        <w:keepNext/>
        <w:spacing w:after="480" w:line="360" w:lineRule="auto"/>
        <w:jc w:val="both"/>
        <w:rPr>
          <w:rFonts w:cs="Arial"/>
          <w:bCs/>
          <w:szCs w:val="22"/>
          <w:u w:val="single"/>
        </w:rPr>
      </w:pPr>
      <w:r w:rsidRPr="001926F8">
        <w:rPr>
          <w:rFonts w:cs="Arial"/>
          <w:bCs/>
          <w:szCs w:val="22"/>
          <w:u w:val="single"/>
        </w:rPr>
        <w:t>Order</w:t>
      </w:r>
    </w:p>
    <w:p w14:paraId="63515C87" w14:textId="3E611F72" w:rsidR="004E3D0E" w:rsidRPr="001926F8" w:rsidRDefault="00C44A70" w:rsidP="00C44A70">
      <w:pPr>
        <w:tabs>
          <w:tab w:val="left" w:pos="567"/>
        </w:tabs>
        <w:spacing w:after="480" w:line="360" w:lineRule="auto"/>
        <w:jc w:val="both"/>
        <w:rPr>
          <w:rFonts w:cs="Arial"/>
          <w:i/>
          <w:iCs/>
          <w:szCs w:val="22"/>
        </w:rPr>
      </w:pPr>
      <w:r w:rsidRPr="001926F8">
        <w:rPr>
          <w:rFonts w:cs="Arial"/>
          <w:iCs/>
          <w:szCs w:val="22"/>
        </w:rPr>
        <w:t>[1]</w:t>
      </w:r>
      <w:r w:rsidRPr="001926F8">
        <w:rPr>
          <w:rFonts w:cs="Arial"/>
          <w:iCs/>
          <w:szCs w:val="22"/>
        </w:rPr>
        <w:tab/>
      </w:r>
      <w:r w:rsidR="003B4100" w:rsidRPr="001926F8">
        <w:rPr>
          <w:rFonts w:cs="Arial"/>
          <w:bCs/>
          <w:szCs w:val="22"/>
        </w:rPr>
        <w:t xml:space="preserve">In this </w:t>
      </w:r>
      <w:r w:rsidR="00B56906" w:rsidRPr="001926F8">
        <w:rPr>
          <w:rFonts w:cs="Arial"/>
          <w:bCs/>
          <w:szCs w:val="22"/>
        </w:rPr>
        <w:t xml:space="preserve">matter </w:t>
      </w:r>
      <w:r w:rsidR="00C460A0" w:rsidRPr="001926F8">
        <w:rPr>
          <w:rFonts w:cs="Arial"/>
          <w:bCs/>
          <w:szCs w:val="22"/>
        </w:rPr>
        <w:t>I ma</w:t>
      </w:r>
      <w:r w:rsidR="00324658" w:rsidRPr="001926F8">
        <w:rPr>
          <w:rFonts w:cs="Arial"/>
          <w:bCs/>
          <w:szCs w:val="22"/>
        </w:rPr>
        <w:t>d</w:t>
      </w:r>
      <w:r w:rsidR="00DC6EF8" w:rsidRPr="001926F8">
        <w:rPr>
          <w:rFonts w:cs="Arial"/>
          <w:bCs/>
          <w:szCs w:val="22"/>
        </w:rPr>
        <w:t>e</w:t>
      </w:r>
      <w:r w:rsidR="00C460A0" w:rsidRPr="001926F8">
        <w:rPr>
          <w:rFonts w:cs="Arial"/>
          <w:bCs/>
          <w:szCs w:val="22"/>
        </w:rPr>
        <w:t xml:space="preserve"> the following order</w:t>
      </w:r>
      <w:r w:rsidR="00324658" w:rsidRPr="001926F8">
        <w:rPr>
          <w:rFonts w:cs="Arial"/>
          <w:bCs/>
          <w:szCs w:val="22"/>
        </w:rPr>
        <w:t xml:space="preserve"> in the Urgent Court on 20 October 2023</w:t>
      </w:r>
      <w:r w:rsidR="000976D2" w:rsidRPr="001926F8">
        <w:rPr>
          <w:rFonts w:cs="Arial"/>
          <w:bCs/>
          <w:szCs w:val="22"/>
        </w:rPr>
        <w:t>:</w:t>
      </w:r>
    </w:p>
    <w:p w14:paraId="7FF5B3FC" w14:textId="485D4D09" w:rsidR="00771FBD" w:rsidRPr="00C44A70" w:rsidRDefault="00C44A70" w:rsidP="00C44A70">
      <w:pPr>
        <w:spacing w:after="480" w:line="360" w:lineRule="auto"/>
        <w:ind w:left="720" w:hanging="360"/>
        <w:jc w:val="both"/>
        <w:rPr>
          <w:rFonts w:cs="Arial"/>
          <w:i/>
          <w:iCs/>
          <w:szCs w:val="22"/>
        </w:rPr>
      </w:pPr>
      <w:r w:rsidRPr="001926F8">
        <w:rPr>
          <w:rFonts w:cs="Arial"/>
          <w:i/>
          <w:iCs/>
          <w:szCs w:val="22"/>
        </w:rPr>
        <w:t>1.</w:t>
      </w:r>
      <w:r w:rsidRPr="001926F8">
        <w:rPr>
          <w:rFonts w:cs="Arial"/>
          <w:i/>
          <w:iCs/>
          <w:szCs w:val="22"/>
        </w:rPr>
        <w:tab/>
      </w:r>
      <w:r w:rsidR="00771FBD" w:rsidRPr="00C44A70">
        <w:rPr>
          <w:rFonts w:cs="Arial"/>
          <w:i/>
          <w:iCs/>
          <w:szCs w:val="22"/>
        </w:rPr>
        <w:t>The application is dismissed;</w:t>
      </w:r>
    </w:p>
    <w:p w14:paraId="0A44F570" w14:textId="28FB1CA4" w:rsidR="00771FBD" w:rsidRPr="00C44A70" w:rsidRDefault="00C44A70" w:rsidP="00C44A70">
      <w:pPr>
        <w:spacing w:after="480" w:line="360" w:lineRule="auto"/>
        <w:ind w:left="720" w:hanging="360"/>
        <w:jc w:val="both"/>
        <w:rPr>
          <w:rFonts w:cs="Arial"/>
          <w:i/>
          <w:iCs/>
          <w:szCs w:val="22"/>
        </w:rPr>
      </w:pPr>
      <w:r w:rsidRPr="001926F8">
        <w:rPr>
          <w:rFonts w:cs="Arial"/>
          <w:i/>
          <w:iCs/>
          <w:szCs w:val="22"/>
        </w:rPr>
        <w:t>2.</w:t>
      </w:r>
      <w:r w:rsidRPr="001926F8">
        <w:rPr>
          <w:rFonts w:cs="Arial"/>
          <w:i/>
          <w:iCs/>
          <w:szCs w:val="22"/>
        </w:rPr>
        <w:tab/>
      </w:r>
      <w:r w:rsidR="00771FBD" w:rsidRPr="00C44A70">
        <w:rPr>
          <w:rFonts w:cs="Arial"/>
          <w:i/>
          <w:iCs/>
          <w:szCs w:val="22"/>
        </w:rPr>
        <w:t>The applicant is ordered to pay the costs of the application</w:t>
      </w:r>
      <w:r w:rsidR="00324658" w:rsidRPr="00C44A70">
        <w:rPr>
          <w:rFonts w:cs="Arial"/>
          <w:i/>
          <w:iCs/>
          <w:szCs w:val="22"/>
        </w:rPr>
        <w:t xml:space="preserve"> on the scale as between attorney and own client</w:t>
      </w:r>
      <w:r w:rsidR="00771FBD" w:rsidRPr="00C44A70">
        <w:rPr>
          <w:rFonts w:cs="Arial"/>
          <w:i/>
          <w:iCs/>
          <w:szCs w:val="22"/>
        </w:rPr>
        <w:t>.</w:t>
      </w:r>
    </w:p>
    <w:p w14:paraId="41B4AF18" w14:textId="77777777" w:rsidR="00E37B97" w:rsidRPr="001926F8" w:rsidRDefault="00E37B97" w:rsidP="00900C1A">
      <w:pPr>
        <w:spacing w:after="480" w:line="360" w:lineRule="auto"/>
        <w:ind w:left="360"/>
        <w:jc w:val="both"/>
        <w:rPr>
          <w:rFonts w:cs="Arial"/>
          <w:i/>
          <w:iCs/>
          <w:szCs w:val="22"/>
        </w:rPr>
      </w:pPr>
    </w:p>
    <w:p w14:paraId="08540072" w14:textId="59889901" w:rsidR="00C9310B" w:rsidRPr="00C44A70" w:rsidRDefault="00C44A70" w:rsidP="00C44A70">
      <w:pPr>
        <w:widowControl w:val="0"/>
        <w:tabs>
          <w:tab w:val="left" w:pos="567"/>
        </w:tabs>
        <w:spacing w:before="480" w:after="480" w:line="360" w:lineRule="auto"/>
        <w:jc w:val="both"/>
        <w:rPr>
          <w:rFonts w:cs="Arial"/>
          <w:bCs/>
          <w:szCs w:val="22"/>
          <w:u w:val="single"/>
        </w:rPr>
      </w:pPr>
      <w:r w:rsidRPr="001926F8">
        <w:rPr>
          <w:rFonts w:cs="Arial"/>
          <w:bCs/>
          <w:szCs w:val="22"/>
        </w:rPr>
        <w:t>[2]</w:t>
      </w:r>
      <w:r w:rsidRPr="001926F8">
        <w:rPr>
          <w:rFonts w:cs="Arial"/>
          <w:bCs/>
          <w:szCs w:val="22"/>
        </w:rPr>
        <w:tab/>
      </w:r>
      <w:r w:rsidR="00573FF9" w:rsidRPr="00C44A70">
        <w:rPr>
          <w:rFonts w:cs="Arial"/>
          <w:bCs/>
          <w:szCs w:val="22"/>
        </w:rPr>
        <w:t xml:space="preserve">The reasons for the order </w:t>
      </w:r>
      <w:r w:rsidR="00A63709" w:rsidRPr="00C44A70">
        <w:rPr>
          <w:rFonts w:cs="Arial"/>
          <w:bCs/>
          <w:szCs w:val="22"/>
        </w:rPr>
        <w:t>follow</w:t>
      </w:r>
      <w:r w:rsidR="00573FF9" w:rsidRPr="00C44A70">
        <w:rPr>
          <w:rFonts w:cs="Arial"/>
          <w:bCs/>
          <w:szCs w:val="22"/>
        </w:rPr>
        <w:t xml:space="preserve"> below.</w:t>
      </w:r>
    </w:p>
    <w:p w14:paraId="037F1A01" w14:textId="77777777" w:rsidR="00A444DD" w:rsidRPr="001926F8" w:rsidRDefault="00A444DD" w:rsidP="00900C1A">
      <w:pPr>
        <w:keepNext/>
        <w:widowControl w:val="0"/>
        <w:spacing w:before="480" w:after="480" w:line="360" w:lineRule="auto"/>
        <w:jc w:val="both"/>
        <w:rPr>
          <w:rFonts w:cs="Arial"/>
          <w:bCs/>
          <w:szCs w:val="22"/>
          <w:u w:val="single"/>
        </w:rPr>
      </w:pPr>
    </w:p>
    <w:p w14:paraId="3658C913" w14:textId="6056F843" w:rsidR="00573FF9" w:rsidRPr="001926F8" w:rsidRDefault="00D9086C" w:rsidP="00900C1A">
      <w:pPr>
        <w:keepNext/>
        <w:widowControl w:val="0"/>
        <w:spacing w:before="480" w:after="480" w:line="360" w:lineRule="auto"/>
        <w:jc w:val="both"/>
        <w:rPr>
          <w:rFonts w:cs="Arial"/>
          <w:bCs/>
          <w:szCs w:val="22"/>
          <w:u w:val="single"/>
        </w:rPr>
      </w:pPr>
      <w:r w:rsidRPr="001926F8">
        <w:rPr>
          <w:rFonts w:cs="Arial"/>
          <w:bCs/>
          <w:szCs w:val="22"/>
          <w:u w:val="single"/>
        </w:rPr>
        <w:t>Introduction</w:t>
      </w:r>
    </w:p>
    <w:p w14:paraId="03DE2DCA" w14:textId="0E7B8667" w:rsidR="00324658" w:rsidRPr="001926F8" w:rsidRDefault="00C44A70" w:rsidP="00C44A70">
      <w:pPr>
        <w:widowControl w:val="0"/>
        <w:tabs>
          <w:tab w:val="left" w:pos="567"/>
        </w:tabs>
        <w:spacing w:before="480" w:after="480" w:line="360" w:lineRule="auto"/>
        <w:jc w:val="both"/>
        <w:rPr>
          <w:rFonts w:cs="Arial"/>
          <w:bCs/>
          <w:szCs w:val="22"/>
        </w:rPr>
      </w:pPr>
      <w:r w:rsidRPr="001926F8">
        <w:rPr>
          <w:rFonts w:cs="Arial"/>
          <w:bCs/>
          <w:szCs w:val="22"/>
        </w:rPr>
        <w:t>[3]</w:t>
      </w:r>
      <w:r w:rsidRPr="001926F8">
        <w:rPr>
          <w:rFonts w:cs="Arial"/>
          <w:bCs/>
          <w:szCs w:val="22"/>
        </w:rPr>
        <w:tab/>
      </w:r>
      <w:r w:rsidR="005D61AF" w:rsidRPr="001926F8">
        <w:rPr>
          <w:rFonts w:cs="Arial"/>
          <w:bCs/>
          <w:szCs w:val="22"/>
        </w:rPr>
        <w:t xml:space="preserve">The </w:t>
      </w:r>
      <w:r w:rsidR="005D61AF" w:rsidRPr="001926F8">
        <w:rPr>
          <w:rFonts w:cs="Arial"/>
          <w:bCs/>
          <w:szCs w:val="22"/>
          <w:lang w:val="en-GB"/>
        </w:rPr>
        <w:t xml:space="preserve">applicant </w:t>
      </w:r>
      <w:r w:rsidR="00314262" w:rsidRPr="001926F8">
        <w:rPr>
          <w:rFonts w:cs="Arial"/>
          <w:bCs/>
          <w:szCs w:val="22"/>
          <w:lang w:val="en-GB"/>
        </w:rPr>
        <w:t>sought an</w:t>
      </w:r>
      <w:r w:rsidR="005D61AF" w:rsidRPr="001926F8">
        <w:rPr>
          <w:rFonts w:cs="Arial"/>
          <w:bCs/>
          <w:szCs w:val="22"/>
          <w:lang w:val="en-GB"/>
        </w:rPr>
        <w:t xml:space="preserve"> order</w:t>
      </w:r>
      <w:r w:rsidR="005C47BD" w:rsidRPr="001926F8">
        <w:rPr>
          <w:rStyle w:val="FootnoteReference"/>
          <w:rFonts w:cs="Arial"/>
          <w:bCs/>
          <w:szCs w:val="22"/>
          <w:lang w:val="en-GB"/>
        </w:rPr>
        <w:footnoteReference w:id="1"/>
      </w:r>
      <w:r w:rsidR="005D61AF" w:rsidRPr="001926F8">
        <w:rPr>
          <w:rFonts w:cs="Arial"/>
          <w:bCs/>
          <w:szCs w:val="22"/>
          <w:lang w:val="en-GB"/>
        </w:rPr>
        <w:t xml:space="preserve"> that the respondents </w:t>
      </w:r>
      <w:r w:rsidR="00314262" w:rsidRPr="001926F8">
        <w:rPr>
          <w:rFonts w:cs="Arial"/>
          <w:bCs/>
          <w:szCs w:val="22"/>
          <w:lang w:val="en-GB"/>
        </w:rPr>
        <w:t>were</w:t>
      </w:r>
      <w:r w:rsidR="005D61AF" w:rsidRPr="001926F8">
        <w:rPr>
          <w:rFonts w:cs="Arial"/>
          <w:bCs/>
          <w:szCs w:val="22"/>
          <w:lang w:val="en-GB"/>
        </w:rPr>
        <w:t xml:space="preserve"> in contempt of court of a could order granted on 4 November 2022 and that the municipal manager of the first respondent, </w:t>
      </w:r>
      <w:r w:rsidR="005D61AF" w:rsidRPr="001926F8">
        <w:rPr>
          <w:rFonts w:cs="Arial"/>
          <w:bCs/>
          <w:i/>
          <w:iCs/>
          <w:szCs w:val="22"/>
          <w:lang w:val="en-GB"/>
        </w:rPr>
        <w:t xml:space="preserve">“the second and third respondents in their official capacities as such, including (sic) the chairman of the fourth and fifth respondents” </w:t>
      </w:r>
      <w:r w:rsidR="00314262" w:rsidRPr="001926F8">
        <w:rPr>
          <w:rFonts w:cs="Arial"/>
          <w:bCs/>
          <w:szCs w:val="22"/>
          <w:lang w:val="en-GB"/>
        </w:rPr>
        <w:t>be committed to prison for a period of three months.</w:t>
      </w:r>
    </w:p>
    <w:p w14:paraId="3916DA55" w14:textId="01B4C1CD" w:rsidR="007342BC" w:rsidRPr="007342BC" w:rsidRDefault="00C44A70" w:rsidP="00C44A70">
      <w:pPr>
        <w:widowControl w:val="0"/>
        <w:tabs>
          <w:tab w:val="left" w:pos="567"/>
        </w:tabs>
        <w:spacing w:before="480" w:after="480" w:line="360" w:lineRule="auto"/>
        <w:jc w:val="both"/>
        <w:rPr>
          <w:rFonts w:cs="Arial"/>
          <w:bCs/>
          <w:szCs w:val="22"/>
        </w:rPr>
      </w:pPr>
      <w:r w:rsidRPr="007342BC">
        <w:rPr>
          <w:rFonts w:cs="Arial"/>
          <w:bCs/>
          <w:szCs w:val="22"/>
        </w:rPr>
        <w:t>[4]</w:t>
      </w:r>
      <w:r w:rsidRPr="007342BC">
        <w:rPr>
          <w:rFonts w:cs="Arial"/>
          <w:bCs/>
          <w:szCs w:val="22"/>
        </w:rPr>
        <w:tab/>
      </w:r>
      <w:r w:rsidR="005C47BD" w:rsidRPr="001926F8">
        <w:rPr>
          <w:rFonts w:cs="Arial"/>
          <w:bCs/>
          <w:szCs w:val="22"/>
          <w:lang w:val="en-GB"/>
        </w:rPr>
        <w:t>The other relief was far-ranging and was described by the applicant as a spoliation order.</w:t>
      </w:r>
      <w:r w:rsidR="005C47BD" w:rsidRPr="001926F8">
        <w:rPr>
          <w:rStyle w:val="FootnoteReference"/>
          <w:rFonts w:cs="Arial"/>
          <w:bCs/>
          <w:szCs w:val="22"/>
          <w:lang w:val="en-GB"/>
        </w:rPr>
        <w:footnoteReference w:id="2"/>
      </w:r>
      <w:r w:rsidR="005C47BD" w:rsidRPr="001926F8">
        <w:rPr>
          <w:rFonts w:cs="Arial"/>
          <w:bCs/>
          <w:szCs w:val="22"/>
          <w:lang w:val="en-GB"/>
        </w:rPr>
        <w:t xml:space="preserve"> The applicant also sought to interdict the seventh respondent from reconsidering a ruling by </w:t>
      </w:r>
      <w:r w:rsidR="001926F8">
        <w:rPr>
          <w:rFonts w:cs="Arial"/>
          <w:bCs/>
          <w:szCs w:val="22"/>
          <w:lang w:val="en-GB"/>
        </w:rPr>
        <w:t>the Transport Appeal Tribunal</w:t>
      </w:r>
      <w:r w:rsidR="0005269E">
        <w:rPr>
          <w:rStyle w:val="FootnoteReference"/>
          <w:rFonts w:cs="Arial"/>
          <w:bCs/>
          <w:szCs w:val="22"/>
          <w:lang w:val="en-GB"/>
        </w:rPr>
        <w:footnoteReference w:id="3"/>
      </w:r>
      <w:r w:rsidR="001926F8">
        <w:rPr>
          <w:rFonts w:cs="Arial"/>
          <w:bCs/>
          <w:szCs w:val="22"/>
          <w:lang w:val="en-GB"/>
        </w:rPr>
        <w:t xml:space="preserve"> </w:t>
      </w:r>
      <w:r w:rsidR="005C47BD" w:rsidRPr="001926F8">
        <w:rPr>
          <w:rFonts w:cs="Arial"/>
          <w:bCs/>
          <w:szCs w:val="22"/>
          <w:lang w:val="en-GB"/>
        </w:rPr>
        <w:t>or to remove Germiston Railway Station from the applicant’s operating licence pending a review of the ruling by</w:t>
      </w:r>
      <w:r w:rsidR="001926F8">
        <w:rPr>
          <w:rFonts w:cs="Arial"/>
          <w:bCs/>
          <w:szCs w:val="22"/>
          <w:lang w:val="en-GB"/>
        </w:rPr>
        <w:t xml:space="preserve"> the Tribunal.</w:t>
      </w:r>
      <w:r w:rsidR="00B977DF">
        <w:rPr>
          <w:rFonts w:cs="Arial"/>
          <w:bCs/>
          <w:szCs w:val="22"/>
          <w:lang w:val="en-GB"/>
        </w:rPr>
        <w:t xml:space="preserve"> </w:t>
      </w:r>
    </w:p>
    <w:p w14:paraId="702B5633" w14:textId="042295B5" w:rsidR="005C47BD" w:rsidRPr="001926F8" w:rsidRDefault="00B977DF" w:rsidP="007342BC">
      <w:pPr>
        <w:widowControl w:val="0"/>
        <w:spacing w:before="480" w:after="480" w:line="360" w:lineRule="auto"/>
        <w:jc w:val="both"/>
        <w:rPr>
          <w:rFonts w:cs="Arial"/>
          <w:bCs/>
          <w:szCs w:val="22"/>
        </w:rPr>
      </w:pPr>
      <w:r>
        <w:rPr>
          <w:rFonts w:cs="Arial"/>
          <w:bCs/>
          <w:szCs w:val="22"/>
          <w:lang w:val="en-GB"/>
        </w:rPr>
        <w:t xml:space="preserve">There is no proof that the application was properly served on the seventh respondent and this </w:t>
      </w:r>
      <w:r w:rsidR="007342BC">
        <w:rPr>
          <w:rFonts w:cs="Arial"/>
          <w:bCs/>
          <w:szCs w:val="22"/>
          <w:lang w:val="en-GB"/>
        </w:rPr>
        <w:t>prayer</w:t>
      </w:r>
      <w:r>
        <w:rPr>
          <w:rFonts w:cs="Arial"/>
          <w:bCs/>
          <w:szCs w:val="22"/>
          <w:lang w:val="en-GB"/>
        </w:rPr>
        <w:t xml:space="preserve"> was stillborn.</w:t>
      </w:r>
    </w:p>
    <w:p w14:paraId="1E01A7A5" w14:textId="4C8E147C" w:rsidR="00747EFF" w:rsidRPr="001926F8" w:rsidRDefault="00C44A70" w:rsidP="00C44A70">
      <w:pPr>
        <w:widowControl w:val="0"/>
        <w:tabs>
          <w:tab w:val="left" w:pos="567"/>
        </w:tabs>
        <w:spacing w:before="480" w:after="480" w:line="360" w:lineRule="auto"/>
        <w:jc w:val="both"/>
        <w:rPr>
          <w:rFonts w:cs="Arial"/>
          <w:bCs/>
          <w:szCs w:val="22"/>
        </w:rPr>
      </w:pPr>
      <w:r w:rsidRPr="001926F8">
        <w:rPr>
          <w:rFonts w:cs="Arial"/>
          <w:bCs/>
          <w:szCs w:val="22"/>
        </w:rPr>
        <w:t>[5]</w:t>
      </w:r>
      <w:r w:rsidRPr="001926F8">
        <w:rPr>
          <w:rFonts w:cs="Arial"/>
          <w:bCs/>
          <w:szCs w:val="22"/>
        </w:rPr>
        <w:tab/>
      </w:r>
      <w:r w:rsidR="00747EFF" w:rsidRPr="001926F8">
        <w:rPr>
          <w:rFonts w:cs="Arial"/>
          <w:bCs/>
          <w:szCs w:val="22"/>
        </w:rPr>
        <w:t xml:space="preserve">I refer to the </w:t>
      </w:r>
      <w:r w:rsidR="001926F8" w:rsidRPr="001926F8">
        <w:rPr>
          <w:rFonts w:cs="Arial"/>
          <w:bCs/>
          <w:szCs w:val="22"/>
        </w:rPr>
        <w:t>-</w:t>
      </w:r>
    </w:p>
    <w:p w14:paraId="7E9792D7" w14:textId="48C8706E" w:rsidR="00324658" w:rsidRPr="001926F8" w:rsidRDefault="00C44A70" w:rsidP="00C44A70">
      <w:pPr>
        <w:widowControl w:val="0"/>
        <w:tabs>
          <w:tab w:val="left" w:pos="1418"/>
        </w:tabs>
        <w:spacing w:before="480" w:after="480" w:line="360" w:lineRule="auto"/>
        <w:ind w:left="1418" w:hanging="851"/>
        <w:jc w:val="both"/>
        <w:rPr>
          <w:rFonts w:cs="Arial"/>
          <w:bCs/>
          <w:szCs w:val="22"/>
        </w:rPr>
      </w:pPr>
      <w:r w:rsidRPr="001926F8">
        <w:rPr>
          <w:rFonts w:cs="Arial"/>
          <w:bCs/>
          <w:szCs w:val="22"/>
        </w:rPr>
        <w:t>5.1</w:t>
      </w:r>
      <w:r w:rsidRPr="001926F8">
        <w:rPr>
          <w:rFonts w:cs="Arial"/>
          <w:bCs/>
          <w:szCs w:val="22"/>
        </w:rPr>
        <w:tab/>
      </w:r>
      <w:r w:rsidR="00747EFF" w:rsidRPr="001926F8">
        <w:rPr>
          <w:rFonts w:cs="Arial"/>
          <w:bCs/>
          <w:szCs w:val="22"/>
        </w:rPr>
        <w:t>first respondent as “EMM”;</w:t>
      </w:r>
    </w:p>
    <w:p w14:paraId="7A8C2748" w14:textId="6A36863B" w:rsidR="00747EFF" w:rsidRPr="001926F8" w:rsidRDefault="00C44A70" w:rsidP="00C44A70">
      <w:pPr>
        <w:widowControl w:val="0"/>
        <w:tabs>
          <w:tab w:val="left" w:pos="1418"/>
        </w:tabs>
        <w:spacing w:before="480" w:after="480" w:line="360" w:lineRule="auto"/>
        <w:ind w:left="1418" w:hanging="851"/>
        <w:jc w:val="both"/>
        <w:rPr>
          <w:rFonts w:cs="Arial"/>
          <w:bCs/>
          <w:szCs w:val="22"/>
        </w:rPr>
      </w:pPr>
      <w:r w:rsidRPr="001926F8">
        <w:rPr>
          <w:rFonts w:cs="Arial"/>
          <w:bCs/>
          <w:szCs w:val="22"/>
        </w:rPr>
        <w:t>5.2</w:t>
      </w:r>
      <w:r w:rsidRPr="001926F8">
        <w:rPr>
          <w:rFonts w:cs="Arial"/>
          <w:bCs/>
          <w:szCs w:val="22"/>
        </w:rPr>
        <w:tab/>
      </w:r>
      <w:r w:rsidR="00747EFF" w:rsidRPr="001926F8">
        <w:rPr>
          <w:rFonts w:cs="Arial"/>
          <w:bCs/>
          <w:szCs w:val="22"/>
        </w:rPr>
        <w:t>second respondent as “the MEC”;</w:t>
      </w:r>
    </w:p>
    <w:p w14:paraId="03B75AEA" w14:textId="19F86B3B" w:rsidR="00747EFF" w:rsidRPr="001926F8" w:rsidRDefault="00C44A70" w:rsidP="00C44A70">
      <w:pPr>
        <w:widowControl w:val="0"/>
        <w:tabs>
          <w:tab w:val="left" w:pos="1418"/>
        </w:tabs>
        <w:spacing w:before="480" w:after="480" w:line="360" w:lineRule="auto"/>
        <w:ind w:left="1418" w:hanging="851"/>
        <w:jc w:val="both"/>
        <w:rPr>
          <w:rFonts w:cs="Arial"/>
          <w:bCs/>
          <w:szCs w:val="22"/>
        </w:rPr>
      </w:pPr>
      <w:r w:rsidRPr="001926F8">
        <w:rPr>
          <w:rFonts w:cs="Arial"/>
          <w:bCs/>
          <w:szCs w:val="22"/>
        </w:rPr>
        <w:t>5.3</w:t>
      </w:r>
      <w:r w:rsidRPr="001926F8">
        <w:rPr>
          <w:rFonts w:cs="Arial"/>
          <w:bCs/>
          <w:szCs w:val="22"/>
        </w:rPr>
        <w:tab/>
      </w:r>
      <w:r w:rsidR="00747EFF" w:rsidRPr="001926F8">
        <w:rPr>
          <w:rFonts w:cs="Arial"/>
          <w:bCs/>
          <w:szCs w:val="22"/>
        </w:rPr>
        <w:t>third respondent as “the Minister”;</w:t>
      </w:r>
    </w:p>
    <w:p w14:paraId="1219FFC3" w14:textId="19C0F15E" w:rsidR="00747EFF" w:rsidRPr="001926F8" w:rsidRDefault="00C44A70" w:rsidP="00C44A70">
      <w:pPr>
        <w:widowControl w:val="0"/>
        <w:tabs>
          <w:tab w:val="left" w:pos="1418"/>
        </w:tabs>
        <w:spacing w:before="480" w:after="480" w:line="360" w:lineRule="auto"/>
        <w:ind w:left="1418" w:hanging="851"/>
        <w:jc w:val="both"/>
        <w:rPr>
          <w:rFonts w:cs="Arial"/>
          <w:bCs/>
          <w:szCs w:val="22"/>
        </w:rPr>
      </w:pPr>
      <w:r w:rsidRPr="001926F8">
        <w:rPr>
          <w:rFonts w:cs="Arial"/>
          <w:bCs/>
          <w:szCs w:val="22"/>
        </w:rPr>
        <w:t>5.4</w:t>
      </w:r>
      <w:r w:rsidRPr="001926F8">
        <w:rPr>
          <w:rFonts w:cs="Arial"/>
          <w:bCs/>
          <w:szCs w:val="22"/>
        </w:rPr>
        <w:tab/>
      </w:r>
      <w:r w:rsidR="00747EFF" w:rsidRPr="001926F8">
        <w:rPr>
          <w:rFonts w:cs="Arial"/>
          <w:bCs/>
          <w:szCs w:val="22"/>
        </w:rPr>
        <w:t>fourth respondent as “Ezibeleni”;</w:t>
      </w:r>
    </w:p>
    <w:p w14:paraId="1DBEF832" w14:textId="185897B6" w:rsidR="00747EFF" w:rsidRPr="001926F8" w:rsidRDefault="00C44A70" w:rsidP="00C44A70">
      <w:pPr>
        <w:widowControl w:val="0"/>
        <w:tabs>
          <w:tab w:val="left" w:pos="1418"/>
        </w:tabs>
        <w:spacing w:before="480" w:after="480" w:line="360" w:lineRule="auto"/>
        <w:ind w:left="1418" w:hanging="851"/>
        <w:jc w:val="both"/>
        <w:rPr>
          <w:rFonts w:cs="Arial"/>
          <w:bCs/>
          <w:szCs w:val="22"/>
        </w:rPr>
      </w:pPr>
      <w:r w:rsidRPr="001926F8">
        <w:rPr>
          <w:rFonts w:cs="Arial"/>
          <w:bCs/>
          <w:szCs w:val="22"/>
        </w:rPr>
        <w:t>5.5</w:t>
      </w:r>
      <w:r w:rsidRPr="001926F8">
        <w:rPr>
          <w:rFonts w:cs="Arial"/>
          <w:bCs/>
          <w:szCs w:val="22"/>
        </w:rPr>
        <w:tab/>
      </w:r>
      <w:r w:rsidR="00747EFF" w:rsidRPr="001926F8">
        <w:rPr>
          <w:rFonts w:cs="Arial"/>
          <w:bCs/>
          <w:szCs w:val="22"/>
        </w:rPr>
        <w:t>fifth respondent as “Ethembeni”;</w:t>
      </w:r>
    </w:p>
    <w:p w14:paraId="1CED417A" w14:textId="5E4857AE" w:rsidR="00747EFF" w:rsidRPr="001926F8" w:rsidRDefault="00C44A70" w:rsidP="00C44A70">
      <w:pPr>
        <w:widowControl w:val="0"/>
        <w:tabs>
          <w:tab w:val="left" w:pos="1418"/>
        </w:tabs>
        <w:spacing w:before="480" w:after="480" w:line="360" w:lineRule="auto"/>
        <w:ind w:left="1418" w:hanging="851"/>
        <w:jc w:val="both"/>
        <w:rPr>
          <w:rFonts w:cs="Arial"/>
          <w:bCs/>
          <w:szCs w:val="22"/>
        </w:rPr>
      </w:pPr>
      <w:r w:rsidRPr="001926F8">
        <w:rPr>
          <w:rFonts w:cs="Arial"/>
          <w:bCs/>
          <w:szCs w:val="22"/>
        </w:rPr>
        <w:lastRenderedPageBreak/>
        <w:t>5.6</w:t>
      </w:r>
      <w:r w:rsidRPr="001926F8">
        <w:rPr>
          <w:rFonts w:cs="Arial"/>
          <w:bCs/>
          <w:szCs w:val="22"/>
        </w:rPr>
        <w:tab/>
      </w:r>
      <w:r w:rsidR="00747EFF" w:rsidRPr="001926F8">
        <w:rPr>
          <w:rFonts w:cs="Arial"/>
          <w:bCs/>
          <w:szCs w:val="22"/>
        </w:rPr>
        <w:t>sixth respondent as “Ezbeleni”’</w:t>
      </w:r>
    </w:p>
    <w:p w14:paraId="28E33EB8" w14:textId="30A2529E" w:rsidR="00747EFF" w:rsidRPr="001926F8" w:rsidRDefault="00C44A70" w:rsidP="00C44A70">
      <w:pPr>
        <w:widowControl w:val="0"/>
        <w:tabs>
          <w:tab w:val="left" w:pos="1418"/>
        </w:tabs>
        <w:spacing w:before="480" w:after="480" w:line="360" w:lineRule="auto"/>
        <w:ind w:left="1418" w:hanging="851"/>
        <w:jc w:val="both"/>
        <w:rPr>
          <w:rFonts w:cs="Arial"/>
          <w:szCs w:val="22"/>
        </w:rPr>
      </w:pPr>
      <w:r w:rsidRPr="001926F8">
        <w:rPr>
          <w:rFonts w:cs="Arial"/>
          <w:szCs w:val="22"/>
        </w:rPr>
        <w:t>5.7</w:t>
      </w:r>
      <w:r w:rsidRPr="001926F8">
        <w:rPr>
          <w:rFonts w:cs="Arial"/>
          <w:szCs w:val="22"/>
        </w:rPr>
        <w:tab/>
      </w:r>
      <w:r w:rsidR="00747EFF" w:rsidRPr="001926F8">
        <w:rPr>
          <w:rFonts w:cs="Arial"/>
          <w:bCs/>
          <w:szCs w:val="22"/>
        </w:rPr>
        <w:t>seventh respondent as "ECPRE”.</w:t>
      </w:r>
      <w:r w:rsidR="002F45AA" w:rsidRPr="001926F8">
        <w:rPr>
          <w:rFonts w:cs="Arial"/>
          <w:bCs/>
          <w:szCs w:val="22"/>
        </w:rPr>
        <w:t xml:space="preserve"> The seventh respondent is actually the </w:t>
      </w:r>
      <w:r w:rsidR="002F45AA" w:rsidRPr="001926F8">
        <w:rPr>
          <w:rFonts w:cs="Arial"/>
          <w:szCs w:val="22"/>
        </w:rPr>
        <w:t xml:space="preserve">Eastern Cape Provincial Regulatory </w:t>
      </w:r>
      <w:r w:rsidR="002F45AA" w:rsidRPr="001926F8">
        <w:rPr>
          <w:rFonts w:cs="Arial"/>
          <w:i/>
          <w:iCs/>
          <w:szCs w:val="22"/>
        </w:rPr>
        <w:t>Authority</w:t>
      </w:r>
      <w:r w:rsidR="002F45AA" w:rsidRPr="001926F8">
        <w:rPr>
          <w:rFonts w:cs="Arial"/>
          <w:szCs w:val="22"/>
        </w:rPr>
        <w:t xml:space="preserve"> and I confirm that this is the entity entitled to its costs (if any) in terms of the cost order made</w:t>
      </w:r>
      <w:r w:rsidR="0005758B">
        <w:rPr>
          <w:rFonts w:cs="Arial"/>
          <w:szCs w:val="22"/>
        </w:rPr>
        <w:t xml:space="preserve"> in this application</w:t>
      </w:r>
      <w:r w:rsidR="002F45AA" w:rsidRPr="001926F8">
        <w:rPr>
          <w:rFonts w:cs="Arial"/>
          <w:szCs w:val="22"/>
        </w:rPr>
        <w:t>.</w:t>
      </w:r>
    </w:p>
    <w:p w14:paraId="54CA1736" w14:textId="77777777" w:rsidR="005F51B4" w:rsidRPr="001926F8" w:rsidRDefault="005F51B4" w:rsidP="005F51B4">
      <w:pPr>
        <w:widowControl w:val="0"/>
        <w:spacing w:before="480" w:after="480" w:line="360" w:lineRule="auto"/>
        <w:jc w:val="both"/>
        <w:rPr>
          <w:rFonts w:cs="Arial"/>
          <w:bCs/>
          <w:szCs w:val="22"/>
          <w:u w:val="single"/>
        </w:rPr>
      </w:pPr>
    </w:p>
    <w:p w14:paraId="39847F17" w14:textId="618F62B1" w:rsidR="005F51B4" w:rsidRPr="001926F8" w:rsidRDefault="005F51B4" w:rsidP="005F51B4">
      <w:pPr>
        <w:widowControl w:val="0"/>
        <w:spacing w:before="480" w:after="480" w:line="360" w:lineRule="auto"/>
        <w:jc w:val="both"/>
        <w:rPr>
          <w:rFonts w:cs="Arial"/>
          <w:bCs/>
          <w:szCs w:val="22"/>
          <w:u w:val="single"/>
        </w:rPr>
      </w:pPr>
      <w:r w:rsidRPr="001926F8">
        <w:rPr>
          <w:rFonts w:cs="Arial"/>
          <w:bCs/>
          <w:szCs w:val="22"/>
          <w:u w:val="single"/>
        </w:rPr>
        <w:t>Urgency</w:t>
      </w:r>
    </w:p>
    <w:p w14:paraId="0EE3D641" w14:textId="2629E77C" w:rsidR="00724CA5" w:rsidRPr="001926F8" w:rsidRDefault="00C44A70" w:rsidP="00C44A70">
      <w:pPr>
        <w:widowControl w:val="0"/>
        <w:tabs>
          <w:tab w:val="left" w:pos="567"/>
        </w:tabs>
        <w:spacing w:before="480" w:after="480" w:line="360" w:lineRule="auto"/>
        <w:jc w:val="both"/>
        <w:rPr>
          <w:rFonts w:cs="Arial"/>
          <w:szCs w:val="22"/>
        </w:rPr>
      </w:pPr>
      <w:r w:rsidRPr="001926F8">
        <w:rPr>
          <w:rFonts w:cs="Arial"/>
          <w:szCs w:val="22"/>
        </w:rPr>
        <w:t>[6]</w:t>
      </w:r>
      <w:r w:rsidRPr="001926F8">
        <w:rPr>
          <w:rFonts w:cs="Arial"/>
          <w:szCs w:val="22"/>
        </w:rPr>
        <w:tab/>
      </w:r>
      <w:r w:rsidR="00724CA5" w:rsidRPr="001926F8">
        <w:rPr>
          <w:rFonts w:cs="Arial"/>
          <w:szCs w:val="22"/>
        </w:rPr>
        <w:t>The Deputy Judge President dealt with urgent application</w:t>
      </w:r>
      <w:r w:rsidR="00185CB0" w:rsidRPr="001926F8">
        <w:rPr>
          <w:rFonts w:cs="Arial"/>
          <w:szCs w:val="22"/>
        </w:rPr>
        <w:t>s</w:t>
      </w:r>
      <w:r w:rsidR="00724CA5" w:rsidRPr="001926F8">
        <w:rPr>
          <w:rFonts w:cs="Arial"/>
          <w:szCs w:val="22"/>
        </w:rPr>
        <w:t xml:space="preserve"> and the need to comply with the principles and the procedures adopted in this Division in his Notice To Legal Practitioners About The Urgent Motion Court, Johannesburg</w:t>
      </w:r>
      <w:r w:rsidR="0005758B">
        <w:rPr>
          <w:rFonts w:cs="Arial"/>
          <w:szCs w:val="22"/>
        </w:rPr>
        <w:t>,</w:t>
      </w:r>
      <w:r w:rsidR="00724CA5" w:rsidRPr="001926F8">
        <w:rPr>
          <w:rFonts w:cs="Arial"/>
          <w:szCs w:val="22"/>
        </w:rPr>
        <w:t xml:space="preserve"> dated 4 October 2021.</w:t>
      </w:r>
      <w:r w:rsidR="00185CB0" w:rsidRPr="001926F8">
        <w:rPr>
          <w:rStyle w:val="FootnoteReference"/>
          <w:rFonts w:cs="Arial"/>
          <w:szCs w:val="22"/>
        </w:rPr>
        <w:footnoteReference w:id="4"/>
      </w:r>
      <w:r w:rsidR="00724CA5" w:rsidRPr="001926F8">
        <w:rPr>
          <w:rFonts w:cs="Arial"/>
          <w:szCs w:val="22"/>
        </w:rPr>
        <w:t xml:space="preserve"> The whole Notice is available to practitioners and I quote from it only selectively:</w:t>
      </w:r>
    </w:p>
    <w:p w14:paraId="0BAE0338" w14:textId="5A91CB1C" w:rsidR="00724CA5" w:rsidRPr="001926F8" w:rsidRDefault="00C44A70" w:rsidP="00C44A70">
      <w:pPr>
        <w:widowControl w:val="0"/>
        <w:tabs>
          <w:tab w:val="left" w:pos="567"/>
        </w:tabs>
        <w:spacing w:before="480" w:after="480" w:line="360" w:lineRule="auto"/>
        <w:jc w:val="both"/>
        <w:rPr>
          <w:rFonts w:cs="Arial"/>
          <w:szCs w:val="22"/>
        </w:rPr>
      </w:pPr>
      <w:r w:rsidRPr="001926F8">
        <w:rPr>
          <w:rFonts w:cs="Arial"/>
          <w:szCs w:val="22"/>
        </w:rPr>
        <w:t>[7]</w:t>
      </w:r>
      <w:r w:rsidRPr="001926F8">
        <w:rPr>
          <w:rFonts w:cs="Arial"/>
          <w:szCs w:val="22"/>
        </w:rPr>
        <w:tab/>
      </w:r>
      <w:r w:rsidR="00724CA5" w:rsidRPr="001926F8">
        <w:rPr>
          <w:rFonts w:cs="Arial"/>
          <w:szCs w:val="22"/>
        </w:rPr>
        <w:t>The Deputy Judge President wrote:</w:t>
      </w:r>
    </w:p>
    <w:p w14:paraId="071D65CF" w14:textId="77777777" w:rsidR="007D6D55" w:rsidRPr="001926F8" w:rsidRDefault="007D6D55" w:rsidP="007D6D55">
      <w:pPr>
        <w:spacing w:line="360" w:lineRule="auto"/>
        <w:ind w:left="720"/>
        <w:jc w:val="both"/>
        <w:rPr>
          <w:rFonts w:eastAsiaTheme="minorHAnsi" w:cs="Arial"/>
          <w:i/>
          <w:iCs/>
          <w:szCs w:val="22"/>
        </w:rPr>
      </w:pPr>
      <w:r w:rsidRPr="001926F8">
        <w:rPr>
          <w:rFonts w:cs="Arial"/>
          <w:i/>
          <w:iCs/>
          <w:szCs w:val="22"/>
        </w:rPr>
        <w:t>“</w:t>
      </w:r>
      <w:r w:rsidRPr="001926F8">
        <w:rPr>
          <w:rFonts w:eastAsiaTheme="minorHAnsi" w:cs="Arial"/>
          <w:i/>
          <w:iCs/>
          <w:szCs w:val="22"/>
        </w:rPr>
        <w:t>3. A much more disciplined approach must be adopted by practitioners as to</w:t>
      </w:r>
      <w:r w:rsidRPr="001926F8">
        <w:rPr>
          <w:rFonts w:cs="Arial"/>
          <w:i/>
          <w:iCs/>
          <w:szCs w:val="22"/>
        </w:rPr>
        <w:t xml:space="preserve"> </w:t>
      </w:r>
      <w:r w:rsidRPr="001926F8">
        <w:rPr>
          <w:rFonts w:eastAsiaTheme="minorHAnsi" w:cs="Arial"/>
          <w:i/>
          <w:iCs/>
          <w:szCs w:val="22"/>
        </w:rPr>
        <w:t>whether or not a matter truly is urgent to justify its enrolment in a particular week.</w:t>
      </w:r>
      <w:r w:rsidRPr="001926F8">
        <w:rPr>
          <w:rFonts w:cs="Arial"/>
          <w:i/>
          <w:iCs/>
          <w:szCs w:val="22"/>
        </w:rPr>
        <w:t xml:space="preserve"> </w:t>
      </w:r>
      <w:r w:rsidRPr="001926F8">
        <w:rPr>
          <w:rFonts w:eastAsiaTheme="minorHAnsi" w:cs="Arial"/>
          <w:i/>
          <w:iCs/>
          <w:szCs w:val="22"/>
        </w:rPr>
        <w:t>Non-urgent matters clutter up the roll and waste time that could be devoted to</w:t>
      </w:r>
      <w:r w:rsidRPr="001926F8">
        <w:rPr>
          <w:rFonts w:cs="Arial"/>
          <w:i/>
          <w:iCs/>
          <w:szCs w:val="22"/>
        </w:rPr>
        <w:t xml:space="preserve"> </w:t>
      </w:r>
      <w:r w:rsidRPr="001926F8">
        <w:rPr>
          <w:rFonts w:eastAsiaTheme="minorHAnsi" w:cs="Arial"/>
          <w:i/>
          <w:iCs/>
          <w:szCs w:val="22"/>
        </w:rPr>
        <w:t>truly urgent matters. Practitioners must not be timid in the face of anxious and</w:t>
      </w:r>
      <w:r w:rsidRPr="001926F8">
        <w:rPr>
          <w:rFonts w:cs="Arial"/>
          <w:i/>
          <w:iCs/>
          <w:szCs w:val="22"/>
        </w:rPr>
        <w:t xml:space="preserve"> </w:t>
      </w:r>
      <w:r w:rsidRPr="001926F8">
        <w:rPr>
          <w:rFonts w:eastAsiaTheme="minorHAnsi" w:cs="Arial"/>
          <w:i/>
          <w:iCs/>
          <w:szCs w:val="22"/>
        </w:rPr>
        <w:t>bullying clients who demand gratification of their subjectively perceived needs.</w:t>
      </w:r>
      <w:r w:rsidRPr="001926F8">
        <w:rPr>
          <w:rFonts w:cs="Arial"/>
          <w:i/>
          <w:iCs/>
          <w:szCs w:val="22"/>
        </w:rPr>
        <w:t xml:space="preserve"> </w:t>
      </w:r>
      <w:r w:rsidRPr="001926F8">
        <w:rPr>
          <w:rFonts w:eastAsiaTheme="minorHAnsi" w:cs="Arial"/>
          <w:i/>
          <w:iCs/>
          <w:szCs w:val="22"/>
        </w:rPr>
        <w:t>To curb this abuse, judges shall consider the award of punitive costs de bonis</w:t>
      </w:r>
      <w:r w:rsidRPr="001926F8">
        <w:rPr>
          <w:rFonts w:cs="Arial"/>
          <w:i/>
          <w:iCs/>
          <w:szCs w:val="22"/>
        </w:rPr>
        <w:t xml:space="preserve"> </w:t>
      </w:r>
      <w:r w:rsidRPr="001926F8">
        <w:rPr>
          <w:rFonts w:eastAsiaTheme="minorHAnsi" w:cs="Arial"/>
          <w:i/>
          <w:iCs/>
          <w:szCs w:val="22"/>
        </w:rPr>
        <w:t>propriius where non-urgent matters are enrolled. Also, an order forbidding</w:t>
      </w:r>
      <w:r w:rsidRPr="001926F8">
        <w:rPr>
          <w:rFonts w:cs="Arial"/>
          <w:i/>
          <w:iCs/>
          <w:szCs w:val="22"/>
        </w:rPr>
        <w:t xml:space="preserve"> </w:t>
      </w:r>
      <w:r w:rsidRPr="001926F8">
        <w:rPr>
          <w:rFonts w:eastAsiaTheme="minorHAnsi" w:cs="Arial"/>
          <w:i/>
          <w:iCs/>
          <w:szCs w:val="22"/>
        </w:rPr>
        <w:t>attorneys and counsel to charge their own client a fee may be considered.</w:t>
      </w:r>
    </w:p>
    <w:p w14:paraId="56D8C34D" w14:textId="77777777" w:rsidR="007D6D55" w:rsidRPr="001926F8" w:rsidRDefault="007D6D55" w:rsidP="007D6D55">
      <w:pPr>
        <w:spacing w:line="360" w:lineRule="auto"/>
        <w:ind w:left="720"/>
        <w:jc w:val="both"/>
        <w:rPr>
          <w:rFonts w:eastAsiaTheme="minorHAnsi" w:cs="Arial"/>
          <w:i/>
          <w:iCs/>
          <w:szCs w:val="22"/>
        </w:rPr>
      </w:pPr>
    </w:p>
    <w:p w14:paraId="0DD75C31" w14:textId="62544B47" w:rsidR="007D6D55" w:rsidRPr="001926F8" w:rsidRDefault="007D6D55" w:rsidP="007D6D55">
      <w:pPr>
        <w:spacing w:line="360" w:lineRule="auto"/>
        <w:ind w:left="720"/>
        <w:jc w:val="both"/>
        <w:rPr>
          <w:rFonts w:eastAsiaTheme="minorHAnsi" w:cs="Arial"/>
          <w:i/>
          <w:iCs/>
          <w:szCs w:val="22"/>
        </w:rPr>
      </w:pPr>
      <w:r w:rsidRPr="001926F8">
        <w:rPr>
          <w:rFonts w:eastAsiaTheme="minorHAnsi" w:cs="Arial"/>
          <w:i/>
          <w:iCs/>
          <w:szCs w:val="22"/>
        </w:rPr>
        <w:t>5. The ultimate practical test as to whether to set down a matter as urgent is</w:t>
      </w:r>
      <w:r w:rsidRPr="001926F8">
        <w:rPr>
          <w:rFonts w:cs="Arial"/>
          <w:i/>
          <w:iCs/>
          <w:szCs w:val="22"/>
        </w:rPr>
        <w:t xml:space="preserve"> </w:t>
      </w:r>
      <w:r w:rsidRPr="001926F8">
        <w:rPr>
          <w:rFonts w:eastAsiaTheme="minorHAnsi" w:cs="Arial"/>
          <w:i/>
          <w:iCs/>
          <w:szCs w:val="22"/>
        </w:rPr>
        <w:t>whether an irreparable harm is apparent if an order is not granted in that week; if</w:t>
      </w:r>
      <w:r w:rsidRPr="001926F8">
        <w:rPr>
          <w:rFonts w:cs="Arial"/>
          <w:i/>
          <w:iCs/>
          <w:szCs w:val="22"/>
        </w:rPr>
        <w:t xml:space="preserve"> </w:t>
      </w:r>
      <w:r w:rsidRPr="001926F8">
        <w:rPr>
          <w:rFonts w:eastAsiaTheme="minorHAnsi" w:cs="Arial"/>
          <w:i/>
          <w:iCs/>
          <w:szCs w:val="22"/>
        </w:rPr>
        <w:t>there is none, it ought not to appear on the roll.</w:t>
      </w:r>
      <w:r w:rsidRPr="001926F8">
        <w:rPr>
          <w:rFonts w:cs="Arial"/>
          <w:i/>
          <w:iCs/>
          <w:szCs w:val="22"/>
        </w:rPr>
        <w:t xml:space="preserve"> </w:t>
      </w:r>
      <w:r w:rsidRPr="001926F8">
        <w:rPr>
          <w:rFonts w:eastAsiaTheme="minorHAnsi" w:cs="Arial"/>
          <w:i/>
          <w:iCs/>
          <w:szCs w:val="22"/>
        </w:rPr>
        <w:t>The era of ‘lets see what the judge might think’ is now officially over.</w:t>
      </w:r>
    </w:p>
    <w:p w14:paraId="4BDB503D" w14:textId="77777777" w:rsidR="007D6D55" w:rsidRPr="001926F8" w:rsidRDefault="007D6D55" w:rsidP="007D6D55">
      <w:pPr>
        <w:spacing w:line="360" w:lineRule="auto"/>
        <w:ind w:left="720"/>
        <w:jc w:val="both"/>
        <w:rPr>
          <w:rFonts w:eastAsiaTheme="minorHAnsi" w:cs="Arial"/>
          <w:i/>
          <w:iCs/>
          <w:szCs w:val="22"/>
        </w:rPr>
      </w:pPr>
    </w:p>
    <w:p w14:paraId="469D1257" w14:textId="1E62B58B" w:rsidR="007D6D55" w:rsidRPr="001926F8" w:rsidRDefault="007D6D55" w:rsidP="007D6D55">
      <w:pPr>
        <w:spacing w:line="360" w:lineRule="auto"/>
        <w:ind w:left="720"/>
        <w:jc w:val="both"/>
        <w:rPr>
          <w:rFonts w:eastAsiaTheme="minorHAnsi" w:cs="Arial"/>
          <w:i/>
          <w:iCs/>
          <w:szCs w:val="22"/>
        </w:rPr>
      </w:pPr>
      <w:r w:rsidRPr="001926F8">
        <w:rPr>
          <w:rFonts w:eastAsiaTheme="minorHAnsi" w:cs="Arial"/>
          <w:i/>
          <w:iCs/>
          <w:szCs w:val="22"/>
        </w:rPr>
        <w:t>……</w:t>
      </w:r>
    </w:p>
    <w:p w14:paraId="1A2D9906" w14:textId="77777777" w:rsidR="007D6D55" w:rsidRPr="001926F8" w:rsidRDefault="007D6D55" w:rsidP="007D6D55">
      <w:pPr>
        <w:spacing w:line="360" w:lineRule="auto"/>
        <w:ind w:left="720"/>
        <w:jc w:val="both"/>
        <w:rPr>
          <w:rFonts w:eastAsiaTheme="minorHAnsi" w:cs="Arial"/>
          <w:i/>
          <w:iCs/>
          <w:szCs w:val="22"/>
        </w:rPr>
      </w:pPr>
    </w:p>
    <w:p w14:paraId="19F87ACD" w14:textId="5240C760" w:rsidR="007D6D55" w:rsidRPr="001926F8" w:rsidRDefault="007D6D55" w:rsidP="007D6D55">
      <w:pPr>
        <w:spacing w:line="360" w:lineRule="auto"/>
        <w:ind w:left="720"/>
        <w:jc w:val="both"/>
        <w:rPr>
          <w:rFonts w:eastAsiaTheme="minorHAnsi" w:cs="Arial"/>
          <w:i/>
          <w:iCs/>
          <w:szCs w:val="22"/>
        </w:rPr>
      </w:pPr>
      <w:r w:rsidRPr="001926F8">
        <w:rPr>
          <w:rFonts w:eastAsiaTheme="minorHAnsi" w:cs="Arial"/>
          <w:i/>
          <w:iCs/>
          <w:szCs w:val="22"/>
        </w:rPr>
        <w:t>10. Frequently unrealistic times are set by an applicant for the opponent to file</w:t>
      </w:r>
      <w:r w:rsidRPr="001926F8">
        <w:rPr>
          <w:rFonts w:cs="Arial"/>
          <w:i/>
          <w:iCs/>
          <w:szCs w:val="22"/>
        </w:rPr>
        <w:t xml:space="preserve"> </w:t>
      </w:r>
      <w:r w:rsidRPr="001926F8">
        <w:rPr>
          <w:rFonts w:eastAsiaTheme="minorHAnsi" w:cs="Arial"/>
          <w:i/>
          <w:iCs/>
          <w:szCs w:val="22"/>
        </w:rPr>
        <w:t>opposing papers. Moreover, where opposing papers are required to be filed only</w:t>
      </w:r>
      <w:r w:rsidRPr="001926F8">
        <w:rPr>
          <w:rFonts w:cs="Arial"/>
          <w:i/>
          <w:iCs/>
          <w:szCs w:val="22"/>
        </w:rPr>
        <w:t xml:space="preserve"> </w:t>
      </w:r>
      <w:r w:rsidRPr="001926F8">
        <w:rPr>
          <w:rFonts w:eastAsiaTheme="minorHAnsi" w:cs="Arial"/>
          <w:i/>
          <w:iCs/>
          <w:szCs w:val="22"/>
        </w:rPr>
        <w:t>after the Thursday before the set down, they do not reach the judge at a time</w:t>
      </w:r>
      <w:r w:rsidRPr="001926F8">
        <w:rPr>
          <w:rFonts w:cs="Arial"/>
          <w:i/>
          <w:iCs/>
          <w:szCs w:val="22"/>
        </w:rPr>
        <w:t xml:space="preserve"> </w:t>
      </w:r>
      <w:r w:rsidRPr="001926F8">
        <w:rPr>
          <w:rFonts w:eastAsiaTheme="minorHAnsi" w:cs="Arial"/>
          <w:i/>
          <w:iCs/>
          <w:szCs w:val="22"/>
        </w:rPr>
        <w:t>when the judge has the opportunity to read them. One outcome is that the matter</w:t>
      </w:r>
      <w:r w:rsidRPr="001926F8">
        <w:rPr>
          <w:rFonts w:cs="Arial"/>
          <w:i/>
          <w:iCs/>
          <w:szCs w:val="22"/>
        </w:rPr>
        <w:t xml:space="preserve"> </w:t>
      </w:r>
      <w:r w:rsidRPr="001926F8">
        <w:rPr>
          <w:rFonts w:eastAsiaTheme="minorHAnsi" w:cs="Arial"/>
          <w:i/>
          <w:iCs/>
          <w:szCs w:val="22"/>
        </w:rPr>
        <w:t>is by agreement removed for a later set down, but not before the judge ha</w:t>
      </w:r>
      <w:r w:rsidRPr="001926F8">
        <w:rPr>
          <w:rFonts w:cs="Arial"/>
          <w:i/>
          <w:iCs/>
          <w:szCs w:val="22"/>
        </w:rPr>
        <w:t xml:space="preserve">s squandered valuable time </w:t>
      </w:r>
      <w:r w:rsidRPr="001926F8">
        <w:rPr>
          <w:rFonts w:eastAsiaTheme="minorHAnsi" w:cs="Arial"/>
          <w:i/>
          <w:iCs/>
          <w:szCs w:val="22"/>
        </w:rPr>
        <w:t>reading</w:t>
      </w:r>
      <w:r w:rsidRPr="001926F8">
        <w:rPr>
          <w:rFonts w:cs="Arial"/>
          <w:i/>
          <w:iCs/>
          <w:szCs w:val="22"/>
        </w:rPr>
        <w:t xml:space="preserve"> the</w:t>
      </w:r>
      <w:r w:rsidRPr="001926F8">
        <w:rPr>
          <w:rFonts w:eastAsiaTheme="minorHAnsi" w:cs="Arial"/>
          <w:i/>
          <w:iCs/>
          <w:szCs w:val="22"/>
        </w:rPr>
        <w:t xml:space="preserve"> papers. Another outcome is that the judge</w:t>
      </w:r>
      <w:r w:rsidRPr="001926F8">
        <w:rPr>
          <w:rFonts w:cs="Arial"/>
          <w:i/>
          <w:iCs/>
          <w:szCs w:val="22"/>
        </w:rPr>
        <w:t xml:space="preserve"> </w:t>
      </w:r>
      <w:r w:rsidRPr="001926F8">
        <w:rPr>
          <w:rFonts w:eastAsiaTheme="minorHAnsi" w:cs="Arial"/>
          <w:i/>
          <w:iCs/>
          <w:szCs w:val="22"/>
        </w:rPr>
        <w:t>cannot properly prepare.</w:t>
      </w:r>
    </w:p>
    <w:p w14:paraId="0CDE9683" w14:textId="77777777" w:rsidR="007D6D55" w:rsidRPr="001926F8" w:rsidRDefault="007D6D55" w:rsidP="007D6D55">
      <w:pPr>
        <w:spacing w:line="360" w:lineRule="auto"/>
        <w:ind w:left="720"/>
        <w:jc w:val="both"/>
        <w:rPr>
          <w:rFonts w:eastAsiaTheme="minorHAnsi" w:cs="Arial"/>
          <w:i/>
          <w:iCs/>
          <w:szCs w:val="22"/>
        </w:rPr>
      </w:pPr>
    </w:p>
    <w:p w14:paraId="6C8BCA62" w14:textId="481FF3F3" w:rsidR="007D6D55" w:rsidRPr="001926F8" w:rsidRDefault="007D6D55" w:rsidP="007D6D55">
      <w:pPr>
        <w:spacing w:line="360" w:lineRule="auto"/>
        <w:ind w:left="720"/>
        <w:jc w:val="both"/>
        <w:rPr>
          <w:rFonts w:eastAsiaTheme="minorHAnsi" w:cs="Arial"/>
          <w:i/>
          <w:iCs/>
          <w:szCs w:val="22"/>
        </w:rPr>
      </w:pPr>
      <w:r w:rsidRPr="001926F8">
        <w:rPr>
          <w:rFonts w:eastAsiaTheme="minorHAnsi" w:cs="Arial"/>
          <w:i/>
          <w:iCs/>
          <w:szCs w:val="22"/>
        </w:rPr>
        <w:t>11. The basic approach should be that a full set of papers is available to the judge on</w:t>
      </w:r>
      <w:r w:rsidRPr="001926F8">
        <w:rPr>
          <w:rFonts w:cs="Arial"/>
          <w:i/>
          <w:iCs/>
          <w:szCs w:val="22"/>
        </w:rPr>
        <w:t xml:space="preserve"> </w:t>
      </w:r>
      <w:r w:rsidRPr="001926F8">
        <w:rPr>
          <w:rFonts w:eastAsiaTheme="minorHAnsi" w:cs="Arial"/>
          <w:i/>
          <w:iCs/>
          <w:szCs w:val="22"/>
        </w:rPr>
        <w:t>the previous Thursday so that the judge can organise a programme of</w:t>
      </w:r>
      <w:r w:rsidRPr="001926F8">
        <w:rPr>
          <w:rFonts w:cs="Arial"/>
          <w:i/>
          <w:iCs/>
          <w:szCs w:val="22"/>
        </w:rPr>
        <w:t xml:space="preserve"> </w:t>
      </w:r>
      <w:r w:rsidRPr="001926F8">
        <w:rPr>
          <w:rFonts w:eastAsiaTheme="minorHAnsi" w:cs="Arial"/>
          <w:i/>
          <w:iCs/>
          <w:szCs w:val="22"/>
        </w:rPr>
        <w:t>preparation and prepare effectively. Counsel shall be required to justify what</w:t>
      </w:r>
      <w:r w:rsidRPr="001926F8">
        <w:rPr>
          <w:rFonts w:cs="Arial"/>
          <w:i/>
          <w:iCs/>
          <w:szCs w:val="22"/>
        </w:rPr>
        <w:t xml:space="preserve"> </w:t>
      </w:r>
      <w:r w:rsidRPr="001926F8">
        <w:rPr>
          <w:rFonts w:eastAsiaTheme="minorHAnsi" w:cs="Arial"/>
          <w:i/>
          <w:iCs/>
          <w:szCs w:val="22"/>
        </w:rPr>
        <w:t>extreme exigency warrants a deviation from this approach.</w:t>
      </w:r>
    </w:p>
    <w:p w14:paraId="0130CC72" w14:textId="77777777" w:rsidR="007D6D55" w:rsidRPr="001926F8" w:rsidRDefault="007D6D55" w:rsidP="007D6D55">
      <w:pPr>
        <w:spacing w:line="360" w:lineRule="auto"/>
        <w:ind w:left="720"/>
        <w:jc w:val="both"/>
        <w:rPr>
          <w:rFonts w:eastAsiaTheme="minorHAnsi" w:cs="Arial"/>
          <w:i/>
          <w:iCs/>
          <w:szCs w:val="22"/>
          <w:u w:val="single"/>
        </w:rPr>
      </w:pPr>
    </w:p>
    <w:p w14:paraId="17E9685F" w14:textId="77777777" w:rsidR="0005758B" w:rsidRDefault="0005758B" w:rsidP="007D6D55">
      <w:pPr>
        <w:spacing w:line="360" w:lineRule="auto"/>
        <w:ind w:left="720"/>
        <w:jc w:val="both"/>
        <w:rPr>
          <w:rFonts w:eastAsiaTheme="minorHAnsi" w:cs="Arial"/>
          <w:i/>
          <w:iCs/>
          <w:szCs w:val="22"/>
          <w:u w:val="single"/>
        </w:rPr>
      </w:pPr>
    </w:p>
    <w:p w14:paraId="49E00F7B" w14:textId="51F0A4A6" w:rsidR="007D6D55" w:rsidRPr="001926F8" w:rsidRDefault="007D6D55" w:rsidP="007D6D55">
      <w:pPr>
        <w:spacing w:line="360" w:lineRule="auto"/>
        <w:ind w:left="720"/>
        <w:jc w:val="both"/>
        <w:rPr>
          <w:rFonts w:eastAsiaTheme="minorHAnsi" w:cs="Arial"/>
          <w:i/>
          <w:iCs/>
          <w:szCs w:val="22"/>
          <w:u w:val="single"/>
        </w:rPr>
      </w:pPr>
      <w:r w:rsidRPr="001926F8">
        <w:rPr>
          <w:rFonts w:eastAsiaTheme="minorHAnsi" w:cs="Arial"/>
          <w:i/>
          <w:iCs/>
          <w:szCs w:val="22"/>
          <w:u w:val="single"/>
        </w:rPr>
        <w:t>Preparation of the papers in a manner suitable to be adjudicated urgently</w:t>
      </w:r>
    </w:p>
    <w:p w14:paraId="1F5E6FF6" w14:textId="77777777" w:rsidR="007D6D55" w:rsidRPr="001926F8" w:rsidRDefault="007D6D55" w:rsidP="007D6D55">
      <w:pPr>
        <w:spacing w:line="360" w:lineRule="auto"/>
        <w:ind w:left="720"/>
        <w:jc w:val="both"/>
        <w:rPr>
          <w:rFonts w:eastAsiaTheme="minorHAnsi" w:cs="Arial"/>
          <w:i/>
          <w:iCs/>
          <w:szCs w:val="22"/>
        </w:rPr>
      </w:pPr>
    </w:p>
    <w:p w14:paraId="33BEC185" w14:textId="122E9031" w:rsidR="007D6D55" w:rsidRPr="001926F8" w:rsidRDefault="007D6D55" w:rsidP="007D6D55">
      <w:pPr>
        <w:spacing w:line="360" w:lineRule="auto"/>
        <w:ind w:left="720"/>
        <w:jc w:val="both"/>
        <w:rPr>
          <w:rFonts w:eastAsiaTheme="minorHAnsi" w:cs="Arial"/>
          <w:i/>
          <w:iCs/>
          <w:szCs w:val="22"/>
        </w:rPr>
      </w:pPr>
      <w:r w:rsidRPr="001926F8">
        <w:rPr>
          <w:rFonts w:eastAsiaTheme="minorHAnsi" w:cs="Arial"/>
          <w:i/>
          <w:iCs/>
          <w:szCs w:val="22"/>
        </w:rPr>
        <w:t>12. There is seldom an appreciation of the forensic dynamics of an urgent</w:t>
      </w:r>
      <w:r w:rsidRPr="001926F8">
        <w:rPr>
          <w:rFonts w:cs="Arial"/>
          <w:i/>
          <w:iCs/>
          <w:szCs w:val="22"/>
        </w:rPr>
        <w:t xml:space="preserve"> </w:t>
      </w:r>
      <w:r w:rsidRPr="001926F8">
        <w:rPr>
          <w:rFonts w:eastAsiaTheme="minorHAnsi" w:cs="Arial"/>
          <w:i/>
          <w:iCs/>
          <w:szCs w:val="22"/>
        </w:rPr>
        <w:t>application. There is no time for a judge to study affidavits that are composed in</w:t>
      </w:r>
      <w:r w:rsidRPr="001926F8">
        <w:rPr>
          <w:rFonts w:cs="Arial"/>
          <w:i/>
          <w:iCs/>
          <w:szCs w:val="22"/>
        </w:rPr>
        <w:t xml:space="preserve"> </w:t>
      </w:r>
      <w:r w:rsidRPr="001926F8">
        <w:rPr>
          <w:rFonts w:eastAsiaTheme="minorHAnsi" w:cs="Arial"/>
          <w:i/>
          <w:iCs/>
          <w:szCs w:val="22"/>
        </w:rPr>
        <w:t>the style of a stream of consciousness. Competent practitioners who understand</w:t>
      </w:r>
      <w:r w:rsidRPr="001926F8">
        <w:rPr>
          <w:rFonts w:cs="Arial"/>
          <w:i/>
          <w:iCs/>
          <w:szCs w:val="22"/>
        </w:rPr>
        <w:t xml:space="preserve"> </w:t>
      </w:r>
      <w:r w:rsidRPr="001926F8">
        <w:rPr>
          <w:rFonts w:eastAsiaTheme="minorHAnsi" w:cs="Arial"/>
          <w:i/>
          <w:iCs/>
          <w:szCs w:val="22"/>
        </w:rPr>
        <w:t>their briefs will put into an affidavit only what is really important and eliminate the</w:t>
      </w:r>
      <w:r w:rsidRPr="001926F8">
        <w:rPr>
          <w:rFonts w:cs="Arial"/>
          <w:i/>
          <w:iCs/>
          <w:szCs w:val="22"/>
        </w:rPr>
        <w:t xml:space="preserve"> </w:t>
      </w:r>
      <w:r w:rsidRPr="001926F8">
        <w:rPr>
          <w:rFonts w:eastAsiaTheme="minorHAnsi" w:cs="Arial"/>
          <w:i/>
          <w:iCs/>
          <w:szCs w:val="22"/>
        </w:rPr>
        <w:t>fluff. Often the waffling affidavit is evidence of a failure to properly diagnose what</w:t>
      </w:r>
      <w:r w:rsidRPr="001926F8">
        <w:rPr>
          <w:rFonts w:cs="Arial"/>
          <w:i/>
          <w:iCs/>
          <w:szCs w:val="22"/>
        </w:rPr>
        <w:t xml:space="preserve"> </w:t>
      </w:r>
      <w:r w:rsidRPr="001926F8">
        <w:rPr>
          <w:rFonts w:eastAsiaTheme="minorHAnsi" w:cs="Arial"/>
          <w:i/>
          <w:iCs/>
          <w:szCs w:val="22"/>
        </w:rPr>
        <w:t>is necessary to say in support the exact relief sought – ie a failure to think</w:t>
      </w:r>
      <w:r w:rsidRPr="001926F8">
        <w:rPr>
          <w:rFonts w:cs="Arial"/>
          <w:i/>
          <w:iCs/>
          <w:szCs w:val="22"/>
        </w:rPr>
        <w:t xml:space="preserve"> </w:t>
      </w:r>
      <w:r w:rsidRPr="001926F8">
        <w:rPr>
          <w:rFonts w:eastAsiaTheme="minorHAnsi" w:cs="Arial"/>
          <w:i/>
          <w:iCs/>
          <w:szCs w:val="22"/>
        </w:rPr>
        <w:t>through the matter properly. A proper analysis of the prayers sought and the</w:t>
      </w:r>
      <w:r w:rsidRPr="001926F8">
        <w:rPr>
          <w:rFonts w:cs="Arial"/>
          <w:i/>
          <w:iCs/>
          <w:szCs w:val="22"/>
        </w:rPr>
        <w:t xml:space="preserve"> </w:t>
      </w:r>
      <w:r w:rsidRPr="001926F8">
        <w:rPr>
          <w:rFonts w:eastAsiaTheme="minorHAnsi" w:cs="Arial"/>
          <w:i/>
          <w:iCs/>
          <w:szCs w:val="22"/>
        </w:rPr>
        <w:t>articulation of facts relevant to those prayers only is vital. The urgent court is not</w:t>
      </w:r>
      <w:r w:rsidRPr="001926F8">
        <w:rPr>
          <w:rFonts w:cs="Arial"/>
          <w:i/>
          <w:iCs/>
          <w:szCs w:val="22"/>
        </w:rPr>
        <w:t xml:space="preserve"> </w:t>
      </w:r>
      <w:r w:rsidRPr="001926F8">
        <w:rPr>
          <w:rFonts w:eastAsiaTheme="minorHAnsi" w:cs="Arial"/>
          <w:i/>
          <w:iCs/>
          <w:szCs w:val="22"/>
        </w:rPr>
        <w:t>a suitable venue for a judge to engage in advocacy training.</w:t>
      </w:r>
    </w:p>
    <w:p w14:paraId="7BD0BEA4" w14:textId="77777777" w:rsidR="007D6D55" w:rsidRPr="001926F8" w:rsidRDefault="007D6D55" w:rsidP="007D6D55">
      <w:pPr>
        <w:spacing w:line="360" w:lineRule="auto"/>
        <w:ind w:left="720"/>
        <w:jc w:val="both"/>
        <w:rPr>
          <w:rFonts w:eastAsiaTheme="minorHAnsi" w:cs="Arial"/>
          <w:i/>
          <w:iCs/>
          <w:szCs w:val="22"/>
        </w:rPr>
      </w:pPr>
    </w:p>
    <w:p w14:paraId="3812CB02" w14:textId="7EF0ED69" w:rsidR="007D6D55" w:rsidRDefault="007D6D55" w:rsidP="007D6D55">
      <w:pPr>
        <w:spacing w:line="360" w:lineRule="auto"/>
        <w:ind w:left="720"/>
        <w:jc w:val="both"/>
        <w:rPr>
          <w:rFonts w:cs="Arial"/>
          <w:i/>
          <w:iCs/>
          <w:szCs w:val="22"/>
        </w:rPr>
      </w:pPr>
      <w:r w:rsidRPr="001926F8">
        <w:rPr>
          <w:rFonts w:eastAsiaTheme="minorHAnsi" w:cs="Arial"/>
          <w:i/>
          <w:iCs/>
          <w:szCs w:val="22"/>
        </w:rPr>
        <w:t>13. A similar abuse occurs in the annexing of a plethora of documents, most of which</w:t>
      </w:r>
      <w:r w:rsidRPr="001926F8">
        <w:rPr>
          <w:rFonts w:cs="Arial"/>
          <w:i/>
          <w:iCs/>
          <w:szCs w:val="22"/>
        </w:rPr>
        <w:t xml:space="preserve"> </w:t>
      </w:r>
      <w:r w:rsidRPr="001926F8">
        <w:rPr>
          <w:rFonts w:eastAsiaTheme="minorHAnsi" w:cs="Arial"/>
          <w:i/>
          <w:iCs/>
          <w:szCs w:val="22"/>
        </w:rPr>
        <w:t>are never referred to and are often of little or peripheral value in the deciding of</w:t>
      </w:r>
      <w:r w:rsidRPr="001926F8">
        <w:rPr>
          <w:rFonts w:cs="Arial"/>
          <w:i/>
          <w:iCs/>
          <w:szCs w:val="22"/>
        </w:rPr>
        <w:t xml:space="preserve"> </w:t>
      </w:r>
      <w:r w:rsidRPr="001926F8">
        <w:rPr>
          <w:rFonts w:eastAsiaTheme="minorHAnsi" w:cs="Arial"/>
          <w:i/>
          <w:iCs/>
          <w:szCs w:val="22"/>
        </w:rPr>
        <w:t>the case. Care must be taken to trim the bulk of the papers. This can only occur</w:t>
      </w:r>
      <w:r w:rsidRPr="001926F8">
        <w:rPr>
          <w:rFonts w:cs="Arial"/>
          <w:i/>
          <w:iCs/>
          <w:szCs w:val="22"/>
        </w:rPr>
        <w:t xml:space="preserve"> </w:t>
      </w:r>
      <w:r w:rsidRPr="001926F8">
        <w:rPr>
          <w:rFonts w:eastAsiaTheme="minorHAnsi" w:cs="Arial"/>
          <w:i/>
          <w:iCs/>
          <w:szCs w:val="22"/>
        </w:rPr>
        <w:t>if a practitioner understands the case sought to be presented. Sloppy thinking</w:t>
      </w:r>
      <w:r w:rsidRPr="001926F8">
        <w:rPr>
          <w:rFonts w:cs="Arial"/>
          <w:i/>
          <w:iCs/>
          <w:szCs w:val="22"/>
        </w:rPr>
        <w:t xml:space="preserve"> </w:t>
      </w:r>
      <w:r w:rsidRPr="001926F8">
        <w:rPr>
          <w:rFonts w:eastAsiaTheme="minorHAnsi" w:cs="Arial"/>
          <w:i/>
          <w:iCs/>
          <w:szCs w:val="22"/>
        </w:rPr>
        <w:t>bedevils all matters but especially those in the urgent court.</w:t>
      </w:r>
      <w:r w:rsidRPr="001926F8">
        <w:rPr>
          <w:rFonts w:cs="Arial"/>
          <w:i/>
          <w:iCs/>
          <w:szCs w:val="22"/>
        </w:rPr>
        <w:t>”</w:t>
      </w:r>
    </w:p>
    <w:p w14:paraId="31F13E4A" w14:textId="77777777" w:rsidR="00947A4A" w:rsidRPr="001926F8" w:rsidRDefault="00947A4A" w:rsidP="007D6D55">
      <w:pPr>
        <w:spacing w:line="360" w:lineRule="auto"/>
        <w:ind w:left="720"/>
        <w:jc w:val="both"/>
        <w:rPr>
          <w:rFonts w:eastAsiaTheme="minorHAnsi" w:cs="Arial"/>
          <w:szCs w:val="22"/>
        </w:rPr>
      </w:pPr>
    </w:p>
    <w:p w14:paraId="6A3A4BF7" w14:textId="2645B086" w:rsidR="00947A4A" w:rsidRDefault="00C44A70" w:rsidP="00C44A70">
      <w:pPr>
        <w:widowControl w:val="0"/>
        <w:tabs>
          <w:tab w:val="left" w:pos="567"/>
        </w:tabs>
        <w:spacing w:before="480" w:after="480" w:line="360" w:lineRule="auto"/>
        <w:jc w:val="both"/>
        <w:rPr>
          <w:rFonts w:cs="Arial"/>
          <w:szCs w:val="22"/>
        </w:rPr>
      </w:pPr>
      <w:r>
        <w:rPr>
          <w:rFonts w:cs="Arial"/>
          <w:szCs w:val="22"/>
        </w:rPr>
        <w:t>[8]</w:t>
      </w:r>
      <w:r>
        <w:rPr>
          <w:rFonts w:cs="Arial"/>
          <w:szCs w:val="22"/>
        </w:rPr>
        <w:tab/>
      </w:r>
      <w:r w:rsidR="00947A4A">
        <w:rPr>
          <w:rFonts w:cs="Arial"/>
          <w:szCs w:val="22"/>
        </w:rPr>
        <w:t>The Deputy Judge President’s Directive was ignored in this application.</w:t>
      </w:r>
      <w:r w:rsidR="003E44F4" w:rsidRPr="001926F8">
        <w:rPr>
          <w:rFonts w:cs="Arial"/>
          <w:szCs w:val="22"/>
        </w:rPr>
        <w:t xml:space="preserve"> The applicant cursorily deals with urgency in paragraphs 93 to 95 of the founding affidavit and </w:t>
      </w:r>
      <w:r w:rsidR="00F72C09" w:rsidRPr="001926F8">
        <w:rPr>
          <w:rFonts w:cs="Arial"/>
          <w:szCs w:val="22"/>
        </w:rPr>
        <w:t xml:space="preserve">makes the allegation that the </w:t>
      </w:r>
      <w:r w:rsidR="00F72C09" w:rsidRPr="001926F8">
        <w:rPr>
          <w:rFonts w:cs="Arial"/>
          <w:i/>
          <w:iCs/>
          <w:szCs w:val="22"/>
        </w:rPr>
        <w:t xml:space="preserve">“the application is urgent since in the main, it seeks relief to </w:t>
      </w:r>
      <w:r w:rsidR="00F72C09" w:rsidRPr="001926F8">
        <w:rPr>
          <w:rFonts w:cs="Arial"/>
          <w:i/>
          <w:iCs/>
          <w:szCs w:val="22"/>
        </w:rPr>
        <w:lastRenderedPageBreak/>
        <w:t>hold the respondents to be in contempt of this court’s order.”</w:t>
      </w:r>
      <w:r w:rsidR="00F72C09" w:rsidRPr="001926F8">
        <w:rPr>
          <w:rFonts w:cs="Arial"/>
          <w:szCs w:val="22"/>
        </w:rPr>
        <w:t xml:space="preserve"> </w:t>
      </w:r>
      <w:r w:rsidR="00947A4A">
        <w:rPr>
          <w:rFonts w:cs="Arial"/>
          <w:szCs w:val="22"/>
        </w:rPr>
        <w:t xml:space="preserve">The contempt of court is dealt with under a separate heading and </w:t>
      </w:r>
      <w:r w:rsidR="0005758B">
        <w:rPr>
          <w:rFonts w:cs="Arial"/>
          <w:szCs w:val="22"/>
        </w:rPr>
        <w:t>no case is made out. The application</w:t>
      </w:r>
      <w:r w:rsidR="00947A4A">
        <w:rPr>
          <w:rFonts w:cs="Arial"/>
          <w:szCs w:val="22"/>
        </w:rPr>
        <w:t xml:space="preserve"> is devoid of merit. </w:t>
      </w:r>
    </w:p>
    <w:p w14:paraId="038E47C1" w14:textId="20F65C75" w:rsidR="0005758B" w:rsidRPr="001926F8" w:rsidRDefault="00C44A70" w:rsidP="00C44A70">
      <w:pPr>
        <w:widowControl w:val="0"/>
        <w:tabs>
          <w:tab w:val="left" w:pos="567"/>
        </w:tabs>
        <w:spacing w:before="480" w:after="480" w:line="360" w:lineRule="auto"/>
        <w:jc w:val="both"/>
        <w:rPr>
          <w:rFonts w:cs="Arial"/>
          <w:szCs w:val="22"/>
        </w:rPr>
      </w:pPr>
      <w:r w:rsidRPr="001926F8">
        <w:rPr>
          <w:rFonts w:cs="Arial"/>
          <w:szCs w:val="22"/>
        </w:rPr>
        <w:t>[9]</w:t>
      </w:r>
      <w:r w:rsidRPr="001926F8">
        <w:rPr>
          <w:rFonts w:cs="Arial"/>
          <w:szCs w:val="22"/>
        </w:rPr>
        <w:tab/>
      </w:r>
      <w:r w:rsidR="00947A4A" w:rsidRPr="001926F8">
        <w:rPr>
          <w:rFonts w:cs="Arial"/>
          <w:bCs/>
          <w:szCs w:val="22"/>
        </w:rPr>
        <w:t xml:space="preserve">The application was brought on very short notice on 10 October 2023 and the respondents were required to file answering affidavits within two days. </w:t>
      </w:r>
      <w:r w:rsidR="0005758B">
        <w:rPr>
          <w:rFonts w:cs="Arial"/>
          <w:bCs/>
          <w:szCs w:val="22"/>
        </w:rPr>
        <w:t xml:space="preserve">The time allowed was completely unrealistic in light of the complexity of the facts and the wide ranging relief sought. </w:t>
      </w:r>
      <w:r w:rsidR="0005758B" w:rsidRPr="001926F8">
        <w:rPr>
          <w:rFonts w:cs="Arial"/>
          <w:szCs w:val="22"/>
        </w:rPr>
        <w:t xml:space="preserve">The respondents were prejudiced by the haste in which answering affidavits </w:t>
      </w:r>
      <w:r w:rsidR="0005758B">
        <w:rPr>
          <w:rFonts w:cs="Arial"/>
          <w:szCs w:val="22"/>
        </w:rPr>
        <w:t>had to be</w:t>
      </w:r>
      <w:r w:rsidR="0005758B" w:rsidRPr="001926F8">
        <w:rPr>
          <w:rFonts w:cs="Arial"/>
          <w:szCs w:val="22"/>
        </w:rPr>
        <w:t xml:space="preserve"> prepared. They briefed attorneys and counsel and were nevertheless able to appear to argue the application. </w:t>
      </w:r>
    </w:p>
    <w:p w14:paraId="4D0052DE" w14:textId="6F97787E" w:rsidR="00947A4A" w:rsidRPr="009544D7" w:rsidRDefault="00C44A70" w:rsidP="00C44A70">
      <w:pPr>
        <w:widowControl w:val="0"/>
        <w:tabs>
          <w:tab w:val="left" w:pos="567"/>
        </w:tabs>
        <w:spacing w:before="480" w:after="480" w:line="360" w:lineRule="auto"/>
        <w:jc w:val="both"/>
        <w:rPr>
          <w:rFonts w:cs="Arial"/>
          <w:szCs w:val="22"/>
        </w:rPr>
      </w:pPr>
      <w:r w:rsidRPr="009544D7">
        <w:rPr>
          <w:rFonts w:cs="Arial"/>
          <w:szCs w:val="22"/>
        </w:rPr>
        <w:t>[10]</w:t>
      </w:r>
      <w:r w:rsidRPr="009544D7">
        <w:rPr>
          <w:rFonts w:cs="Arial"/>
          <w:szCs w:val="22"/>
        </w:rPr>
        <w:tab/>
      </w:r>
      <w:r w:rsidR="00947A4A" w:rsidRPr="009544D7">
        <w:rPr>
          <w:rFonts w:cs="Arial"/>
          <w:bCs/>
          <w:szCs w:val="22"/>
        </w:rPr>
        <w:t>The application was not served by the Sheriff but by email, and this resulted in a time delay between service of the application and in some instances the relevant officials only became aware of the application two days later. The papers have not been properly indexed and no service affidavits could be located on Caselines when the matter was called. All the respondents save for the ECPRE were however represented during argument.</w:t>
      </w:r>
    </w:p>
    <w:p w14:paraId="59035E53" w14:textId="5797A4BB" w:rsidR="00724CA5" w:rsidRPr="001926F8" w:rsidRDefault="00C44A70" w:rsidP="00C44A70">
      <w:pPr>
        <w:widowControl w:val="0"/>
        <w:tabs>
          <w:tab w:val="left" w:pos="567"/>
        </w:tabs>
        <w:spacing w:before="480" w:after="480" w:line="360" w:lineRule="auto"/>
        <w:jc w:val="both"/>
        <w:rPr>
          <w:rFonts w:cs="Arial"/>
          <w:szCs w:val="22"/>
        </w:rPr>
      </w:pPr>
      <w:r w:rsidRPr="001926F8">
        <w:rPr>
          <w:rFonts w:cs="Arial"/>
          <w:szCs w:val="22"/>
        </w:rPr>
        <w:t>[11]</w:t>
      </w:r>
      <w:r w:rsidRPr="001926F8">
        <w:rPr>
          <w:rFonts w:cs="Arial"/>
          <w:szCs w:val="22"/>
        </w:rPr>
        <w:tab/>
      </w:r>
      <w:r w:rsidR="00947A4A">
        <w:rPr>
          <w:rFonts w:cs="Arial"/>
          <w:szCs w:val="22"/>
        </w:rPr>
        <w:t>R</w:t>
      </w:r>
      <w:r w:rsidR="00947A4A" w:rsidRPr="001926F8">
        <w:rPr>
          <w:rFonts w:cs="Arial"/>
          <w:szCs w:val="22"/>
        </w:rPr>
        <w:t>eplying affidavits were only uploaded on Tuesday the 17</w:t>
      </w:r>
      <w:r w:rsidR="00947A4A" w:rsidRPr="001926F8">
        <w:rPr>
          <w:rFonts w:cs="Arial"/>
          <w:szCs w:val="22"/>
          <w:vertAlign w:val="superscript"/>
        </w:rPr>
        <w:t>th</w:t>
      </w:r>
      <w:r w:rsidR="00947A4A" w:rsidRPr="001926F8">
        <w:rPr>
          <w:rFonts w:cs="Arial"/>
          <w:szCs w:val="22"/>
        </w:rPr>
        <w:t xml:space="preserve"> and Wednesday the 18</w:t>
      </w:r>
      <w:r w:rsidR="00947A4A" w:rsidRPr="001926F8">
        <w:rPr>
          <w:rFonts w:cs="Arial"/>
          <w:szCs w:val="22"/>
          <w:vertAlign w:val="superscript"/>
        </w:rPr>
        <w:t>th</w:t>
      </w:r>
      <w:r w:rsidR="00947A4A" w:rsidRPr="001926F8">
        <w:rPr>
          <w:rFonts w:cs="Arial"/>
          <w:szCs w:val="22"/>
        </w:rPr>
        <w:t xml:space="preserve"> of October 2023.</w:t>
      </w:r>
    </w:p>
    <w:p w14:paraId="280B8E7C" w14:textId="208CE0C5" w:rsidR="0096561E" w:rsidRPr="001926F8" w:rsidRDefault="00C44A70" w:rsidP="00C44A70">
      <w:pPr>
        <w:widowControl w:val="0"/>
        <w:tabs>
          <w:tab w:val="left" w:pos="567"/>
        </w:tabs>
        <w:spacing w:before="480" w:after="480" w:line="360" w:lineRule="auto"/>
        <w:jc w:val="both"/>
        <w:rPr>
          <w:rFonts w:cs="Arial"/>
          <w:szCs w:val="22"/>
        </w:rPr>
      </w:pPr>
      <w:r w:rsidRPr="001926F8">
        <w:rPr>
          <w:rFonts w:cs="Arial"/>
          <w:szCs w:val="22"/>
        </w:rPr>
        <w:t>[12]</w:t>
      </w:r>
      <w:r w:rsidRPr="001926F8">
        <w:rPr>
          <w:rFonts w:cs="Arial"/>
          <w:szCs w:val="22"/>
        </w:rPr>
        <w:tab/>
      </w:r>
      <w:r w:rsidR="00F3317C" w:rsidRPr="001926F8">
        <w:rPr>
          <w:rFonts w:cs="Arial"/>
          <w:szCs w:val="22"/>
        </w:rPr>
        <w:t xml:space="preserve">Bringing the application on two days’ notice </w:t>
      </w:r>
      <w:r w:rsidR="009544D7" w:rsidRPr="001926F8">
        <w:rPr>
          <w:rFonts w:cs="Arial"/>
          <w:szCs w:val="22"/>
        </w:rPr>
        <w:t xml:space="preserve">without any substantial grounds for relief in terms of rule 6(12) </w:t>
      </w:r>
      <w:r w:rsidR="00F3317C" w:rsidRPr="001926F8">
        <w:rPr>
          <w:rFonts w:cs="Arial"/>
          <w:szCs w:val="22"/>
        </w:rPr>
        <w:t>amounts to an abuse of the process of court</w:t>
      </w:r>
      <w:r w:rsidR="009544D7">
        <w:rPr>
          <w:rFonts w:cs="Arial"/>
          <w:szCs w:val="22"/>
        </w:rPr>
        <w:t>.</w:t>
      </w:r>
      <w:r w:rsidR="00F3317C" w:rsidRPr="001926F8">
        <w:rPr>
          <w:rFonts w:cs="Arial"/>
          <w:szCs w:val="22"/>
        </w:rPr>
        <w:t xml:space="preserve"> For this reason a punitive cost order is justified.</w:t>
      </w:r>
      <w:r w:rsidR="00947A4A">
        <w:rPr>
          <w:rFonts w:cs="Arial"/>
          <w:szCs w:val="22"/>
        </w:rPr>
        <w:t xml:space="preserve"> Counsel for the respondents submitted that the shortcomings in the applicant’s affidavits are such that the application ought to be dismissed outright instead of just removed from the roll, and there is in my view merit in the submission.</w:t>
      </w:r>
      <w:r w:rsidR="009544D7">
        <w:rPr>
          <w:rFonts w:cs="Arial"/>
          <w:szCs w:val="22"/>
        </w:rPr>
        <w:t xml:space="preserve"> It was also submitted that a </w:t>
      </w:r>
      <w:r w:rsidR="009544D7" w:rsidRPr="009544D7">
        <w:rPr>
          <w:rFonts w:cs="Arial"/>
          <w:i/>
          <w:iCs/>
          <w:szCs w:val="22"/>
        </w:rPr>
        <w:t>de bonis proprius</w:t>
      </w:r>
      <w:r w:rsidR="009544D7">
        <w:rPr>
          <w:rFonts w:cs="Arial"/>
          <w:szCs w:val="22"/>
        </w:rPr>
        <w:t xml:space="preserve"> cost order was justified. The submission was not without merit but I have decided to award punitive costs without a </w:t>
      </w:r>
      <w:r w:rsidR="009544D7" w:rsidRPr="009544D7">
        <w:rPr>
          <w:rFonts w:cs="Arial"/>
          <w:i/>
          <w:iCs/>
          <w:szCs w:val="22"/>
        </w:rPr>
        <w:t>de bonis proprius</w:t>
      </w:r>
      <w:r w:rsidR="009544D7">
        <w:rPr>
          <w:rFonts w:cs="Arial"/>
          <w:szCs w:val="22"/>
        </w:rPr>
        <w:t xml:space="preserve"> cost order.</w:t>
      </w:r>
    </w:p>
    <w:p w14:paraId="43C352A9" w14:textId="77777777" w:rsidR="005F51B4" w:rsidRPr="001926F8" w:rsidRDefault="005F51B4" w:rsidP="005F51B4">
      <w:pPr>
        <w:keepNext/>
        <w:widowControl w:val="0"/>
        <w:spacing w:before="480" w:after="480" w:line="360" w:lineRule="auto"/>
        <w:jc w:val="both"/>
        <w:rPr>
          <w:rFonts w:cs="Arial"/>
          <w:color w:val="000000" w:themeColor="text1"/>
          <w:szCs w:val="22"/>
          <w:u w:val="single"/>
        </w:rPr>
      </w:pPr>
    </w:p>
    <w:p w14:paraId="6C85295E" w14:textId="77777777" w:rsidR="00F3317C" w:rsidRPr="001926F8" w:rsidRDefault="00F3317C" w:rsidP="00F3317C">
      <w:pPr>
        <w:widowControl w:val="0"/>
        <w:spacing w:before="480" w:after="480" w:line="360" w:lineRule="auto"/>
        <w:jc w:val="both"/>
        <w:rPr>
          <w:rFonts w:cs="Arial"/>
          <w:bCs/>
          <w:szCs w:val="22"/>
          <w:u w:val="single"/>
        </w:rPr>
      </w:pPr>
      <w:r w:rsidRPr="001926F8">
        <w:rPr>
          <w:rFonts w:cs="Arial"/>
          <w:bCs/>
          <w:szCs w:val="22"/>
          <w:u w:val="single"/>
        </w:rPr>
        <w:t>The contempt of court application</w:t>
      </w:r>
    </w:p>
    <w:p w14:paraId="02142195" w14:textId="1D38A133" w:rsidR="006F11B1" w:rsidRPr="005E6459" w:rsidRDefault="00C44A70" w:rsidP="00C44A70">
      <w:pPr>
        <w:widowControl w:val="0"/>
        <w:tabs>
          <w:tab w:val="left" w:pos="567"/>
        </w:tabs>
        <w:spacing w:before="480" w:after="480" w:line="480" w:lineRule="auto"/>
        <w:jc w:val="both"/>
        <w:rPr>
          <w:rFonts w:cs="Arial"/>
          <w:bCs/>
          <w:szCs w:val="22"/>
        </w:rPr>
      </w:pPr>
      <w:r w:rsidRPr="005E6459">
        <w:rPr>
          <w:rFonts w:cs="Arial"/>
          <w:bCs/>
          <w:szCs w:val="22"/>
        </w:rPr>
        <w:t>[13]</w:t>
      </w:r>
      <w:r w:rsidRPr="005E6459">
        <w:rPr>
          <w:rFonts w:cs="Arial"/>
          <w:bCs/>
          <w:szCs w:val="22"/>
        </w:rPr>
        <w:tab/>
      </w:r>
      <w:r w:rsidR="006F11B1" w:rsidRPr="005E6459">
        <w:rPr>
          <w:rFonts w:cs="Arial"/>
          <w:bCs/>
          <w:szCs w:val="22"/>
        </w:rPr>
        <w:t xml:space="preserve">The criminal standard of proof, namely proof beyond reasonable doubt, applies. </w:t>
      </w:r>
      <w:r w:rsidR="007C50EE">
        <w:rPr>
          <w:rFonts w:cs="Arial"/>
          <w:bCs/>
          <w:szCs w:val="22"/>
        </w:rPr>
        <w:lastRenderedPageBreak/>
        <w:t>T</w:t>
      </w:r>
      <w:r w:rsidR="006F11B1" w:rsidRPr="005E6459">
        <w:rPr>
          <w:rFonts w:cs="Arial"/>
          <w:bCs/>
          <w:szCs w:val="22"/>
        </w:rPr>
        <w:t>he applicant must show -</w:t>
      </w:r>
    </w:p>
    <w:p w14:paraId="595910D1" w14:textId="208EB168" w:rsidR="006F11B1" w:rsidRPr="005E6459" w:rsidRDefault="00C44A70" w:rsidP="00C44A70">
      <w:pPr>
        <w:tabs>
          <w:tab w:val="left" w:pos="1418"/>
        </w:tabs>
        <w:spacing w:before="480" w:after="480" w:line="480" w:lineRule="auto"/>
        <w:ind w:left="1418" w:hanging="851"/>
        <w:jc w:val="both"/>
        <w:rPr>
          <w:rFonts w:cs="Arial"/>
          <w:bCs/>
          <w:szCs w:val="22"/>
        </w:rPr>
      </w:pPr>
      <w:r w:rsidRPr="005E6459">
        <w:rPr>
          <w:rFonts w:cs="Arial"/>
          <w:bCs/>
          <w:szCs w:val="22"/>
        </w:rPr>
        <w:t>13.1</w:t>
      </w:r>
      <w:r w:rsidRPr="005E6459">
        <w:rPr>
          <w:rFonts w:cs="Arial"/>
          <w:bCs/>
          <w:szCs w:val="22"/>
        </w:rPr>
        <w:tab/>
      </w:r>
      <w:r w:rsidR="006F11B1" w:rsidRPr="005E6459">
        <w:rPr>
          <w:rFonts w:cs="Arial"/>
          <w:bCs/>
          <w:szCs w:val="22"/>
        </w:rPr>
        <w:t>that the respondent was served with or otherwise informed</w:t>
      </w:r>
    </w:p>
    <w:p w14:paraId="48E70AE7" w14:textId="08B19ADC" w:rsidR="006F11B1" w:rsidRPr="005E6459" w:rsidRDefault="00C44A70" w:rsidP="00C44A70">
      <w:pPr>
        <w:tabs>
          <w:tab w:val="left" w:pos="1418"/>
        </w:tabs>
        <w:spacing w:before="480" w:after="480" w:line="480" w:lineRule="auto"/>
        <w:ind w:left="1418" w:hanging="851"/>
        <w:jc w:val="both"/>
        <w:rPr>
          <w:rFonts w:cs="Arial"/>
          <w:bCs/>
          <w:szCs w:val="22"/>
        </w:rPr>
      </w:pPr>
      <w:r w:rsidRPr="005E6459">
        <w:rPr>
          <w:rFonts w:cs="Arial"/>
          <w:bCs/>
          <w:szCs w:val="22"/>
        </w:rPr>
        <w:t>13.2</w:t>
      </w:r>
      <w:r w:rsidRPr="005E6459">
        <w:rPr>
          <w:rFonts w:cs="Arial"/>
          <w:bCs/>
          <w:szCs w:val="22"/>
        </w:rPr>
        <w:tab/>
      </w:r>
      <w:r w:rsidR="006F11B1" w:rsidRPr="005E6459">
        <w:rPr>
          <w:rFonts w:cs="Arial"/>
          <w:bCs/>
          <w:szCs w:val="22"/>
        </w:rPr>
        <w:t xml:space="preserve">of an existing court order granted against him, </w:t>
      </w:r>
    </w:p>
    <w:p w14:paraId="629A1CC1" w14:textId="3F6B0BD4" w:rsidR="006F11B1" w:rsidRPr="005E6459" w:rsidRDefault="00C44A70" w:rsidP="00C44A70">
      <w:pPr>
        <w:tabs>
          <w:tab w:val="left" w:pos="1418"/>
        </w:tabs>
        <w:spacing w:before="480" w:after="480" w:line="480" w:lineRule="auto"/>
        <w:ind w:left="1418" w:hanging="851"/>
        <w:jc w:val="both"/>
        <w:rPr>
          <w:rFonts w:cs="Arial"/>
          <w:bCs/>
          <w:szCs w:val="22"/>
        </w:rPr>
      </w:pPr>
      <w:r w:rsidRPr="005E6459">
        <w:rPr>
          <w:rFonts w:cs="Arial"/>
          <w:bCs/>
          <w:szCs w:val="22"/>
        </w:rPr>
        <w:t>13.3</w:t>
      </w:r>
      <w:r w:rsidRPr="005E6459">
        <w:rPr>
          <w:rFonts w:cs="Arial"/>
          <w:bCs/>
          <w:szCs w:val="22"/>
        </w:rPr>
        <w:tab/>
      </w:r>
      <w:r w:rsidR="006F11B1" w:rsidRPr="005E6459">
        <w:rPr>
          <w:rFonts w:cs="Arial"/>
          <w:bCs/>
          <w:szCs w:val="22"/>
        </w:rPr>
        <w:t>and has either ignored or disobeyed it.</w:t>
      </w:r>
      <w:r w:rsidR="006F11B1" w:rsidRPr="005E6459">
        <w:rPr>
          <w:rStyle w:val="FootnoteReference"/>
          <w:rFonts w:cs="Arial"/>
          <w:bCs/>
          <w:szCs w:val="22"/>
        </w:rPr>
        <w:footnoteReference w:id="5"/>
      </w:r>
      <w:r w:rsidR="006F11B1" w:rsidRPr="005E6459">
        <w:rPr>
          <w:rFonts w:cs="Arial"/>
          <w:bCs/>
          <w:szCs w:val="22"/>
        </w:rPr>
        <w:t xml:space="preserve"> </w:t>
      </w:r>
    </w:p>
    <w:p w14:paraId="4D4DF3FA" w14:textId="6CCE3F9B" w:rsidR="006F11B1" w:rsidRPr="005E6459" w:rsidRDefault="00C44A70" w:rsidP="00C44A70">
      <w:pPr>
        <w:tabs>
          <w:tab w:val="left" w:pos="567"/>
        </w:tabs>
        <w:spacing w:before="480" w:after="480" w:line="480" w:lineRule="auto"/>
        <w:jc w:val="both"/>
        <w:rPr>
          <w:rFonts w:cs="Arial"/>
          <w:bCs/>
          <w:color w:val="000000" w:themeColor="text1"/>
          <w:szCs w:val="22"/>
        </w:rPr>
      </w:pPr>
      <w:r w:rsidRPr="005E6459">
        <w:rPr>
          <w:rFonts w:cs="Arial"/>
          <w:bCs/>
          <w:szCs w:val="22"/>
        </w:rPr>
        <w:t>[14]</w:t>
      </w:r>
      <w:r w:rsidRPr="005E6459">
        <w:rPr>
          <w:rFonts w:cs="Arial"/>
          <w:bCs/>
          <w:szCs w:val="22"/>
        </w:rPr>
        <w:tab/>
      </w:r>
      <w:r w:rsidR="006F11B1" w:rsidRPr="005E6459">
        <w:rPr>
          <w:rFonts w:cs="Arial"/>
          <w:bCs/>
          <w:szCs w:val="22"/>
        </w:rPr>
        <w:t xml:space="preserve">To avoid being convicted the respondent must establish a reasonable doubt as </w:t>
      </w:r>
      <w:r w:rsidR="006F11B1" w:rsidRPr="005E6459">
        <w:rPr>
          <w:rFonts w:cs="Arial"/>
          <w:bCs/>
          <w:color w:val="000000" w:themeColor="text1"/>
          <w:szCs w:val="22"/>
        </w:rPr>
        <w:t>to whether</w:t>
      </w:r>
      <w:r w:rsidR="006F11B1" w:rsidRPr="005E6459">
        <w:rPr>
          <w:rFonts w:cs="Arial"/>
          <w:color w:val="000000" w:themeColor="text1"/>
          <w:szCs w:val="22"/>
          <w:shd w:val="clear" w:color="auto" w:fill="FFFFFF"/>
        </w:rPr>
        <w:t xml:space="preserve"> his failure to comply was wilful and </w:t>
      </w:r>
      <w:r w:rsidR="006F11B1" w:rsidRPr="005E6459">
        <w:rPr>
          <w:rFonts w:cs="Arial"/>
          <w:i/>
          <w:iCs/>
          <w:color w:val="000000" w:themeColor="text1"/>
          <w:szCs w:val="22"/>
          <w:shd w:val="clear" w:color="auto" w:fill="FFFFFF"/>
        </w:rPr>
        <w:t xml:space="preserve">mala fide. </w:t>
      </w:r>
      <w:r w:rsidR="006F11B1" w:rsidRPr="005E6459">
        <w:rPr>
          <w:rFonts w:cs="Arial"/>
          <w:color w:val="000000" w:themeColor="text1"/>
          <w:szCs w:val="22"/>
          <w:shd w:val="clear" w:color="auto" w:fill="FFFFFF"/>
        </w:rPr>
        <w:t xml:space="preserve">In </w:t>
      </w:r>
      <w:r w:rsidR="006F11B1" w:rsidRPr="005E6459">
        <w:rPr>
          <w:rFonts w:cs="Arial"/>
          <w:i/>
          <w:iCs/>
          <w:color w:val="000000" w:themeColor="text1"/>
          <w:szCs w:val="22"/>
        </w:rPr>
        <w:t>Fakie NO v CCII Systems (Pty) Ltd</w:t>
      </w:r>
      <w:r w:rsidR="006F11B1" w:rsidRPr="005E6459">
        <w:rPr>
          <w:rFonts w:cs="Arial"/>
          <w:i/>
          <w:iCs/>
          <w:color w:val="000000" w:themeColor="text1"/>
          <w:szCs w:val="22"/>
          <w:shd w:val="clear" w:color="auto" w:fill="FFFFFF"/>
        </w:rPr>
        <w:t>,</w:t>
      </w:r>
      <w:r w:rsidR="006F11B1" w:rsidRPr="005E6459">
        <w:rPr>
          <w:rStyle w:val="FootnoteReference"/>
          <w:rFonts w:cs="Arial"/>
          <w:i/>
          <w:iCs/>
          <w:color w:val="000000" w:themeColor="text1"/>
          <w:szCs w:val="22"/>
          <w:shd w:val="clear" w:color="auto" w:fill="FFFFFF"/>
        </w:rPr>
        <w:footnoteReference w:id="6"/>
      </w:r>
      <w:r w:rsidR="006F11B1" w:rsidRPr="005E6459">
        <w:rPr>
          <w:rFonts w:cs="Arial"/>
          <w:color w:val="000000" w:themeColor="text1"/>
          <w:szCs w:val="22"/>
          <w:shd w:val="clear" w:color="auto" w:fill="FFFFFF"/>
        </w:rPr>
        <w:t xml:space="preserve"> Cameron J said:</w:t>
      </w:r>
    </w:p>
    <w:p w14:paraId="42958BD2" w14:textId="77777777" w:rsidR="006F11B1" w:rsidRDefault="006F11B1" w:rsidP="006F11B1">
      <w:pPr>
        <w:pStyle w:val="lrpara"/>
        <w:shd w:val="clear" w:color="auto" w:fill="FFFFFF"/>
        <w:spacing w:before="180" w:beforeAutospacing="0" w:after="0" w:afterAutospacing="0" w:line="360" w:lineRule="auto"/>
        <w:ind w:left="1440"/>
        <w:jc w:val="both"/>
        <w:rPr>
          <w:rFonts w:ascii="Arial" w:hAnsi="Arial" w:cs="Arial"/>
          <w:i/>
          <w:iCs/>
          <w:color w:val="000000" w:themeColor="text1"/>
          <w:sz w:val="22"/>
          <w:szCs w:val="22"/>
        </w:rPr>
      </w:pPr>
      <w:r w:rsidRPr="005E6459">
        <w:rPr>
          <w:rFonts w:ascii="Arial" w:hAnsi="Arial" w:cs="Arial"/>
          <w:i/>
          <w:iCs/>
          <w:color w:val="000000" w:themeColor="text1"/>
          <w:sz w:val="22"/>
          <w:szCs w:val="22"/>
        </w:rPr>
        <w:t>“[23] It should be noted that developing the common law thus does not require the prosecution to lead evidence as to the accused's state of mind or motive: Once the three requisites mentioned have been proved, in the absence of evidence raising a reasonable doubt as to whether the accused acted wilfully and mala fide, all the requisites of the offence will have been established. What is changed is that the accused no longer bears a legal burden to disprove wilfulness and mala fides on a balance of probabilities, but to avoid conviction need only lead evidence that establishes a reasonable doubt.”</w:t>
      </w:r>
    </w:p>
    <w:p w14:paraId="4DAFD9EE" w14:textId="77777777" w:rsidR="006F11B1" w:rsidRPr="005E6459" w:rsidRDefault="006F11B1" w:rsidP="006F11B1">
      <w:pPr>
        <w:pStyle w:val="lrpara"/>
        <w:shd w:val="clear" w:color="auto" w:fill="FFFFFF"/>
        <w:spacing w:before="180" w:beforeAutospacing="0" w:after="0" w:afterAutospacing="0" w:line="360" w:lineRule="auto"/>
        <w:ind w:left="1440"/>
        <w:jc w:val="both"/>
        <w:rPr>
          <w:rFonts w:ascii="Arial" w:hAnsi="Arial" w:cs="Arial"/>
          <w:i/>
          <w:iCs/>
          <w:color w:val="000000" w:themeColor="text1"/>
          <w:sz w:val="22"/>
          <w:szCs w:val="22"/>
        </w:rPr>
      </w:pPr>
    </w:p>
    <w:p w14:paraId="18341579" w14:textId="1247EFFC" w:rsidR="009544D7" w:rsidRDefault="00C44A70" w:rsidP="00C44A70">
      <w:pPr>
        <w:widowControl w:val="0"/>
        <w:tabs>
          <w:tab w:val="left" w:pos="567"/>
        </w:tabs>
        <w:spacing w:before="480" w:after="480" w:line="360" w:lineRule="auto"/>
        <w:jc w:val="both"/>
        <w:rPr>
          <w:rFonts w:cs="Arial"/>
          <w:bCs/>
          <w:szCs w:val="22"/>
        </w:rPr>
      </w:pPr>
      <w:r>
        <w:rPr>
          <w:rFonts w:cs="Arial"/>
          <w:bCs/>
          <w:szCs w:val="22"/>
        </w:rPr>
        <w:t>[15]</w:t>
      </w:r>
      <w:r>
        <w:rPr>
          <w:rFonts w:cs="Arial"/>
          <w:bCs/>
          <w:szCs w:val="22"/>
        </w:rPr>
        <w:tab/>
      </w:r>
      <w:r w:rsidR="00F3317C" w:rsidRPr="001926F8">
        <w:rPr>
          <w:rFonts w:cs="Arial"/>
          <w:bCs/>
          <w:szCs w:val="22"/>
        </w:rPr>
        <w:t xml:space="preserve">In the order of 4 November 2022 the Court granted interdictory relief against Ezibeleni and Ethembeni, </w:t>
      </w:r>
      <w:r w:rsidR="00947A4A">
        <w:rPr>
          <w:rFonts w:cs="Arial"/>
          <w:bCs/>
          <w:szCs w:val="22"/>
        </w:rPr>
        <w:t xml:space="preserve">now cited as the </w:t>
      </w:r>
      <w:r w:rsidR="00F3317C" w:rsidRPr="001926F8">
        <w:rPr>
          <w:rFonts w:cs="Arial"/>
          <w:bCs/>
          <w:szCs w:val="22"/>
        </w:rPr>
        <w:t>fourth and fif</w:t>
      </w:r>
      <w:r w:rsidR="00302382">
        <w:rPr>
          <w:rFonts w:cs="Arial"/>
          <w:bCs/>
          <w:szCs w:val="22"/>
        </w:rPr>
        <w:t>t</w:t>
      </w:r>
      <w:r w:rsidR="00F3317C" w:rsidRPr="001926F8">
        <w:rPr>
          <w:rFonts w:cs="Arial"/>
          <w:bCs/>
          <w:szCs w:val="22"/>
        </w:rPr>
        <w:t>h respondents</w:t>
      </w:r>
      <w:r w:rsidR="00947A4A">
        <w:rPr>
          <w:rFonts w:cs="Arial"/>
          <w:bCs/>
          <w:szCs w:val="22"/>
        </w:rPr>
        <w:t>.</w:t>
      </w:r>
      <w:r w:rsidR="00F3317C" w:rsidRPr="001926F8">
        <w:rPr>
          <w:rFonts w:cs="Arial"/>
          <w:bCs/>
          <w:szCs w:val="22"/>
        </w:rPr>
        <w:t>. The EMM and the Gauteng Department of Transport w</w:t>
      </w:r>
      <w:r w:rsidR="00947A4A">
        <w:rPr>
          <w:rFonts w:cs="Arial"/>
          <w:bCs/>
          <w:szCs w:val="22"/>
        </w:rPr>
        <w:t>ere</w:t>
      </w:r>
      <w:r w:rsidR="00F3317C" w:rsidRPr="001926F8">
        <w:rPr>
          <w:rFonts w:cs="Arial"/>
          <w:bCs/>
          <w:szCs w:val="22"/>
        </w:rPr>
        <w:t xml:space="preserve"> cited as respondents in the application in 2022 but no order was granted against them. </w:t>
      </w:r>
    </w:p>
    <w:p w14:paraId="4B90E5BC" w14:textId="4A26DCFE" w:rsidR="00F3317C" w:rsidRPr="001926F8" w:rsidRDefault="00F3317C" w:rsidP="009544D7">
      <w:pPr>
        <w:widowControl w:val="0"/>
        <w:spacing w:before="480" w:after="480" w:line="360" w:lineRule="auto"/>
        <w:jc w:val="both"/>
        <w:rPr>
          <w:rFonts w:cs="Arial"/>
          <w:bCs/>
          <w:szCs w:val="22"/>
        </w:rPr>
      </w:pPr>
      <w:r w:rsidRPr="001926F8">
        <w:rPr>
          <w:rFonts w:cs="Arial"/>
          <w:bCs/>
          <w:szCs w:val="22"/>
        </w:rPr>
        <w:lastRenderedPageBreak/>
        <w:t>The</w:t>
      </w:r>
      <w:r w:rsidR="00947A4A">
        <w:rPr>
          <w:rFonts w:cs="Arial"/>
          <w:bCs/>
          <w:szCs w:val="22"/>
        </w:rPr>
        <w:t xml:space="preserve"> MEC, the</w:t>
      </w:r>
      <w:r w:rsidRPr="001926F8">
        <w:rPr>
          <w:rFonts w:cs="Arial"/>
          <w:bCs/>
          <w:szCs w:val="22"/>
        </w:rPr>
        <w:t xml:space="preserve"> Minister</w:t>
      </w:r>
      <w:r w:rsidR="00947A4A">
        <w:rPr>
          <w:rFonts w:cs="Arial"/>
          <w:bCs/>
          <w:szCs w:val="22"/>
        </w:rPr>
        <w:t>,</w:t>
      </w:r>
      <w:r w:rsidRPr="001926F8">
        <w:rPr>
          <w:rFonts w:cs="Arial"/>
          <w:bCs/>
          <w:szCs w:val="22"/>
        </w:rPr>
        <w:t xml:space="preserve"> </w:t>
      </w:r>
      <w:r w:rsidR="00947A4A" w:rsidRPr="001926F8">
        <w:rPr>
          <w:rFonts w:cs="Arial"/>
          <w:bCs/>
          <w:szCs w:val="22"/>
        </w:rPr>
        <w:t xml:space="preserve">Ezbeleni and the ECPRE </w:t>
      </w:r>
      <w:r w:rsidR="00947A4A">
        <w:rPr>
          <w:rFonts w:cs="Arial"/>
          <w:bCs/>
          <w:szCs w:val="22"/>
        </w:rPr>
        <w:t>were</w:t>
      </w:r>
      <w:r w:rsidRPr="001926F8">
        <w:rPr>
          <w:rFonts w:cs="Arial"/>
          <w:bCs/>
          <w:szCs w:val="22"/>
        </w:rPr>
        <w:t xml:space="preserve"> not</w:t>
      </w:r>
      <w:r w:rsidR="00947A4A">
        <w:rPr>
          <w:rFonts w:cs="Arial"/>
          <w:bCs/>
          <w:szCs w:val="22"/>
        </w:rPr>
        <w:t xml:space="preserve"> </w:t>
      </w:r>
      <w:r w:rsidRPr="001926F8">
        <w:rPr>
          <w:rFonts w:cs="Arial"/>
          <w:bCs/>
          <w:szCs w:val="22"/>
        </w:rPr>
        <w:t>part</w:t>
      </w:r>
      <w:r w:rsidR="00947A4A">
        <w:rPr>
          <w:rFonts w:cs="Arial"/>
          <w:bCs/>
          <w:szCs w:val="22"/>
        </w:rPr>
        <w:t>ies</w:t>
      </w:r>
      <w:r w:rsidRPr="001926F8">
        <w:rPr>
          <w:rFonts w:cs="Arial"/>
          <w:bCs/>
          <w:szCs w:val="22"/>
        </w:rPr>
        <w:t xml:space="preserve"> to the application in 2022</w:t>
      </w:r>
      <w:r w:rsidR="00947A4A">
        <w:rPr>
          <w:rFonts w:cs="Arial"/>
          <w:bCs/>
          <w:szCs w:val="22"/>
        </w:rPr>
        <w:t xml:space="preserve"> though the </w:t>
      </w:r>
      <w:r w:rsidRPr="001926F8">
        <w:rPr>
          <w:rFonts w:cs="Arial"/>
          <w:bCs/>
          <w:szCs w:val="22"/>
        </w:rPr>
        <w:t>Department</w:t>
      </w:r>
      <w:r w:rsidR="00947A4A">
        <w:rPr>
          <w:rFonts w:cs="Arial"/>
          <w:bCs/>
          <w:szCs w:val="22"/>
        </w:rPr>
        <w:t xml:space="preserve"> of Transport was cited.</w:t>
      </w:r>
      <w:r w:rsidR="009544D7">
        <w:rPr>
          <w:rFonts w:cs="Arial"/>
          <w:bCs/>
          <w:szCs w:val="22"/>
        </w:rPr>
        <w:t xml:space="preserve"> </w:t>
      </w:r>
    </w:p>
    <w:p w14:paraId="10CA32CB" w14:textId="20630873" w:rsidR="00F3317C" w:rsidRDefault="00C44A70" w:rsidP="00C44A70">
      <w:pPr>
        <w:widowControl w:val="0"/>
        <w:tabs>
          <w:tab w:val="left" w:pos="567"/>
        </w:tabs>
        <w:spacing w:before="480" w:after="480" w:line="360" w:lineRule="auto"/>
        <w:jc w:val="both"/>
        <w:rPr>
          <w:rFonts w:cs="Arial"/>
          <w:bCs/>
          <w:szCs w:val="22"/>
        </w:rPr>
      </w:pPr>
      <w:r>
        <w:rPr>
          <w:rFonts w:cs="Arial"/>
          <w:bCs/>
          <w:szCs w:val="22"/>
        </w:rPr>
        <w:t>[16]</w:t>
      </w:r>
      <w:r>
        <w:rPr>
          <w:rFonts w:cs="Arial"/>
          <w:bCs/>
          <w:szCs w:val="22"/>
        </w:rPr>
        <w:tab/>
      </w:r>
      <w:r w:rsidR="00F3317C" w:rsidRPr="001926F8">
        <w:rPr>
          <w:rFonts w:cs="Arial"/>
          <w:bCs/>
          <w:szCs w:val="22"/>
        </w:rPr>
        <w:t>The applicant now seeks an order however that parties against whom no order was made in 2022 nevertheless be found guilty of contempt of court and imprisoned</w:t>
      </w:r>
      <w:r w:rsidR="006F11B1">
        <w:rPr>
          <w:rFonts w:cs="Arial"/>
          <w:bCs/>
          <w:szCs w:val="22"/>
        </w:rPr>
        <w:t>.</w:t>
      </w:r>
      <w:r w:rsidR="00F3317C" w:rsidRPr="001926F8">
        <w:rPr>
          <w:rFonts w:cs="Arial"/>
          <w:bCs/>
          <w:szCs w:val="22"/>
        </w:rPr>
        <w:t xml:space="preserve"> In the affidavits the applicant seeks to make out a case for the incarceration of the municipal manager of the EMM, even though he is also not cited in the contempt application and his employer was not subject to the order of 4 November 2023.</w:t>
      </w:r>
      <w:r w:rsidR="006F11B1">
        <w:rPr>
          <w:rFonts w:cs="Arial"/>
          <w:bCs/>
          <w:szCs w:val="22"/>
        </w:rPr>
        <w:t xml:space="preserve"> Individuals employed by or involved with </w:t>
      </w:r>
      <w:r w:rsidR="006F11B1" w:rsidRPr="001926F8">
        <w:rPr>
          <w:rFonts w:cs="Arial"/>
          <w:bCs/>
          <w:szCs w:val="22"/>
        </w:rPr>
        <w:t>Ezibeleni and Ethembeni</w:t>
      </w:r>
      <w:r w:rsidR="006F11B1">
        <w:rPr>
          <w:rFonts w:cs="Arial"/>
          <w:bCs/>
          <w:szCs w:val="22"/>
        </w:rPr>
        <w:t xml:space="preserve"> are likewise not cited by name.</w:t>
      </w:r>
    </w:p>
    <w:p w14:paraId="380B52E3" w14:textId="05DD9328" w:rsidR="00F3317C" w:rsidRPr="006F11B1" w:rsidRDefault="00C44A70" w:rsidP="00C44A70">
      <w:pPr>
        <w:widowControl w:val="0"/>
        <w:tabs>
          <w:tab w:val="left" w:pos="567"/>
        </w:tabs>
        <w:spacing w:before="480" w:after="480" w:line="360" w:lineRule="auto"/>
        <w:jc w:val="both"/>
        <w:rPr>
          <w:rFonts w:cs="Arial"/>
          <w:bCs/>
          <w:szCs w:val="22"/>
        </w:rPr>
      </w:pPr>
      <w:r w:rsidRPr="006F11B1">
        <w:rPr>
          <w:rFonts w:cs="Arial"/>
          <w:bCs/>
          <w:szCs w:val="22"/>
        </w:rPr>
        <w:t>[17]</w:t>
      </w:r>
      <w:r w:rsidRPr="006F11B1">
        <w:rPr>
          <w:rFonts w:cs="Arial"/>
          <w:bCs/>
          <w:szCs w:val="22"/>
        </w:rPr>
        <w:tab/>
      </w:r>
      <w:r w:rsidR="006F11B1" w:rsidRPr="006F11B1">
        <w:rPr>
          <w:rFonts w:cs="Arial"/>
          <w:bCs/>
          <w:szCs w:val="22"/>
        </w:rPr>
        <w:t xml:space="preserve">The applicant does not make out a case for wilful and </w:t>
      </w:r>
      <w:r w:rsidR="006F11B1" w:rsidRPr="006F11B1">
        <w:rPr>
          <w:rFonts w:cs="Arial"/>
          <w:bCs/>
          <w:i/>
          <w:iCs/>
          <w:szCs w:val="22"/>
        </w:rPr>
        <w:t>mala fide</w:t>
      </w:r>
      <w:r w:rsidR="006F11B1" w:rsidRPr="006F11B1">
        <w:rPr>
          <w:rFonts w:cs="Arial"/>
          <w:bCs/>
          <w:szCs w:val="22"/>
        </w:rPr>
        <w:t xml:space="preserve"> conduct on behalf of any individual. </w:t>
      </w:r>
      <w:r w:rsidR="006F11B1">
        <w:rPr>
          <w:rFonts w:cs="Arial"/>
          <w:bCs/>
          <w:szCs w:val="22"/>
        </w:rPr>
        <w:t>The application must fail.</w:t>
      </w:r>
    </w:p>
    <w:p w14:paraId="2B6C1598" w14:textId="77777777" w:rsidR="00F3317C" w:rsidRPr="001926F8" w:rsidRDefault="00F3317C" w:rsidP="005F51B4">
      <w:pPr>
        <w:keepNext/>
        <w:widowControl w:val="0"/>
        <w:spacing w:before="480" w:after="480" w:line="360" w:lineRule="auto"/>
        <w:jc w:val="both"/>
        <w:rPr>
          <w:rFonts w:cs="Arial"/>
          <w:color w:val="000000" w:themeColor="text1"/>
          <w:szCs w:val="22"/>
          <w:u w:val="single"/>
        </w:rPr>
      </w:pPr>
    </w:p>
    <w:p w14:paraId="67BEA7D2" w14:textId="2FBAC6DF" w:rsidR="005F51B4" w:rsidRPr="001926F8" w:rsidRDefault="005F51B4" w:rsidP="005F51B4">
      <w:pPr>
        <w:keepNext/>
        <w:widowControl w:val="0"/>
        <w:spacing w:before="480" w:after="480" w:line="360" w:lineRule="auto"/>
        <w:jc w:val="both"/>
        <w:rPr>
          <w:rFonts w:cs="Arial"/>
          <w:color w:val="000000" w:themeColor="text1"/>
          <w:szCs w:val="22"/>
          <w:u w:val="single"/>
        </w:rPr>
      </w:pPr>
      <w:r w:rsidRPr="001926F8">
        <w:rPr>
          <w:rFonts w:cs="Arial"/>
          <w:color w:val="000000" w:themeColor="text1"/>
          <w:szCs w:val="22"/>
          <w:u w:val="single"/>
        </w:rPr>
        <w:t>The spoliation application</w:t>
      </w:r>
    </w:p>
    <w:p w14:paraId="708E8E89" w14:textId="56B20102" w:rsidR="005C123A" w:rsidRPr="001926F8" w:rsidRDefault="00C44A70" w:rsidP="00C44A70">
      <w:pPr>
        <w:keepNext/>
        <w:widowControl w:val="0"/>
        <w:tabs>
          <w:tab w:val="left" w:pos="567"/>
        </w:tabs>
        <w:spacing w:before="480" w:after="480" w:line="360" w:lineRule="auto"/>
        <w:jc w:val="both"/>
        <w:rPr>
          <w:rFonts w:cs="Arial"/>
          <w:bCs/>
          <w:szCs w:val="22"/>
        </w:rPr>
      </w:pPr>
      <w:r w:rsidRPr="001926F8">
        <w:rPr>
          <w:rFonts w:cs="Arial"/>
          <w:bCs/>
          <w:szCs w:val="22"/>
        </w:rPr>
        <w:t>[18]</w:t>
      </w:r>
      <w:r w:rsidRPr="001926F8">
        <w:rPr>
          <w:rFonts w:cs="Arial"/>
          <w:bCs/>
          <w:szCs w:val="22"/>
        </w:rPr>
        <w:tab/>
      </w:r>
      <w:r w:rsidR="003E780C" w:rsidRPr="001926F8">
        <w:rPr>
          <w:rFonts w:cs="Arial"/>
          <w:bCs/>
          <w:szCs w:val="22"/>
          <w:lang w:val="en-GB"/>
        </w:rPr>
        <w:t xml:space="preserve">The requirements for a spoliation order </w:t>
      </w:r>
      <w:r w:rsidR="007C50EE">
        <w:rPr>
          <w:rFonts w:cs="Arial"/>
          <w:bCs/>
          <w:szCs w:val="22"/>
          <w:lang w:val="en-GB"/>
        </w:rPr>
        <w:t>are</w:t>
      </w:r>
      <w:r w:rsidR="003E780C" w:rsidRPr="001926F8">
        <w:rPr>
          <w:rFonts w:cs="Arial"/>
          <w:bCs/>
          <w:szCs w:val="22"/>
          <w:lang w:val="en-GB"/>
        </w:rPr>
        <w:t xml:space="preserve"> that the applicant must be unlawfully dispossessed of his or her peaceful and </w:t>
      </w:r>
      <w:r w:rsidR="00B9668A" w:rsidRPr="001926F8">
        <w:rPr>
          <w:rFonts w:cs="Arial"/>
          <w:bCs/>
          <w:szCs w:val="22"/>
          <w:lang w:val="en-GB"/>
        </w:rPr>
        <w:t>undisturbed</w:t>
      </w:r>
      <w:r w:rsidR="003E780C" w:rsidRPr="001926F8">
        <w:rPr>
          <w:rFonts w:cs="Arial"/>
          <w:bCs/>
          <w:szCs w:val="22"/>
          <w:lang w:val="en-GB"/>
        </w:rPr>
        <w:t xml:space="preserve"> possession.</w:t>
      </w:r>
      <w:r w:rsidR="007C50EE" w:rsidRPr="001926F8">
        <w:rPr>
          <w:rStyle w:val="FootnoteReference"/>
          <w:rFonts w:cs="Arial"/>
          <w:color w:val="000000" w:themeColor="text1"/>
          <w:szCs w:val="22"/>
        </w:rPr>
        <w:footnoteReference w:id="7"/>
      </w:r>
    </w:p>
    <w:p w14:paraId="6A9B6D38" w14:textId="6D6F0224" w:rsidR="00B977DF" w:rsidRDefault="00C44A70" w:rsidP="00C44A70">
      <w:pPr>
        <w:widowControl w:val="0"/>
        <w:tabs>
          <w:tab w:val="left" w:pos="567"/>
        </w:tabs>
        <w:spacing w:before="480" w:after="480" w:line="360" w:lineRule="auto"/>
        <w:jc w:val="both"/>
        <w:rPr>
          <w:rFonts w:cs="Arial"/>
          <w:szCs w:val="22"/>
        </w:rPr>
      </w:pPr>
      <w:r>
        <w:rPr>
          <w:rFonts w:cs="Arial"/>
          <w:szCs w:val="22"/>
        </w:rPr>
        <w:t>[19]</w:t>
      </w:r>
      <w:r>
        <w:rPr>
          <w:rFonts w:cs="Arial"/>
          <w:szCs w:val="22"/>
        </w:rPr>
        <w:tab/>
      </w:r>
      <w:r w:rsidR="00F3317C" w:rsidRPr="006F11B1">
        <w:rPr>
          <w:rFonts w:cs="Arial"/>
          <w:szCs w:val="22"/>
        </w:rPr>
        <w:t>The applicant was</w:t>
      </w:r>
      <w:r w:rsidR="0005269E">
        <w:rPr>
          <w:rFonts w:cs="Arial"/>
          <w:szCs w:val="22"/>
        </w:rPr>
        <w:t xml:space="preserve"> once</w:t>
      </w:r>
      <w:r w:rsidR="00F3317C" w:rsidRPr="006F11B1">
        <w:rPr>
          <w:rFonts w:cs="Arial"/>
          <w:szCs w:val="22"/>
        </w:rPr>
        <w:t xml:space="preserve"> in possession of operating licence granted by the ECPRE. An appeal against the granting of the licence was partially successful and the Transport Appeal Tribunal referred the matter back to the ECPRE</w:t>
      </w:r>
      <w:r w:rsidR="002F45AA" w:rsidRPr="006F11B1">
        <w:rPr>
          <w:rFonts w:cs="Arial"/>
          <w:szCs w:val="22"/>
        </w:rPr>
        <w:t>. The applicant was to secure ranking facilities for loading of passengers from the EMM and in the event that the applicant failed to secure facilities, the ECPRE was directed to remove such area from the route stipulated in the operating licence.</w:t>
      </w:r>
      <w:r w:rsidR="006F11B1" w:rsidRPr="006F11B1">
        <w:rPr>
          <w:rFonts w:cs="Arial"/>
          <w:szCs w:val="22"/>
        </w:rPr>
        <w:t xml:space="preserve"> </w:t>
      </w:r>
    </w:p>
    <w:p w14:paraId="6B445828" w14:textId="1BB42FD3" w:rsidR="00821652" w:rsidRPr="006F11B1" w:rsidRDefault="006F11B1" w:rsidP="00B977DF">
      <w:pPr>
        <w:widowControl w:val="0"/>
        <w:spacing w:before="480" w:after="480" w:line="360" w:lineRule="auto"/>
        <w:jc w:val="both"/>
        <w:rPr>
          <w:rFonts w:cs="Arial"/>
          <w:szCs w:val="22"/>
        </w:rPr>
      </w:pPr>
      <w:r w:rsidRPr="006F11B1">
        <w:rPr>
          <w:rFonts w:cs="Arial"/>
          <w:szCs w:val="22"/>
        </w:rPr>
        <w:t xml:space="preserve">This in fact happened – the </w:t>
      </w:r>
      <w:r w:rsidR="00821652" w:rsidRPr="006F11B1">
        <w:rPr>
          <w:rFonts w:cs="Arial"/>
          <w:szCs w:val="22"/>
        </w:rPr>
        <w:t>EMM refused the application for facilities within the EMM’s area of jurisdiction on 5 September 2023</w:t>
      </w:r>
      <w:r>
        <w:rPr>
          <w:rFonts w:cs="Arial"/>
          <w:szCs w:val="22"/>
        </w:rPr>
        <w:t xml:space="preserve"> and the geographical area under the jurisdiction of the EMM </w:t>
      </w:r>
      <w:r w:rsidR="0005269E">
        <w:rPr>
          <w:rFonts w:cs="Arial"/>
          <w:szCs w:val="22"/>
        </w:rPr>
        <w:t xml:space="preserve">must be removed from the licence. The applicant was not spoliated – as </w:t>
      </w:r>
      <w:r w:rsidR="0005269E">
        <w:rPr>
          <w:rFonts w:cs="Arial"/>
          <w:szCs w:val="22"/>
        </w:rPr>
        <w:lastRenderedPageBreak/>
        <w:t>matters stand and subject to the outcome of any appeal or review proceedings it simply does not have facilities in Ekurhuleni.</w:t>
      </w:r>
    </w:p>
    <w:p w14:paraId="3AC69C80" w14:textId="7FA16364" w:rsidR="00F3317C" w:rsidRPr="001926F8" w:rsidRDefault="00C44A70" w:rsidP="00C44A70">
      <w:pPr>
        <w:widowControl w:val="0"/>
        <w:tabs>
          <w:tab w:val="left" w:pos="567"/>
        </w:tabs>
        <w:spacing w:before="480" w:after="480" w:line="360" w:lineRule="auto"/>
        <w:jc w:val="both"/>
        <w:rPr>
          <w:rFonts w:cs="Arial"/>
          <w:szCs w:val="22"/>
        </w:rPr>
      </w:pPr>
      <w:r w:rsidRPr="001926F8">
        <w:rPr>
          <w:rFonts w:cs="Arial"/>
          <w:szCs w:val="22"/>
        </w:rPr>
        <w:t>[20]</w:t>
      </w:r>
      <w:r w:rsidRPr="001926F8">
        <w:rPr>
          <w:rFonts w:cs="Arial"/>
          <w:szCs w:val="22"/>
        </w:rPr>
        <w:tab/>
      </w:r>
      <w:r w:rsidR="00F3317C" w:rsidRPr="001926F8">
        <w:rPr>
          <w:rFonts w:cs="Arial"/>
          <w:szCs w:val="22"/>
        </w:rPr>
        <w:t>The</w:t>
      </w:r>
      <w:r w:rsidR="00821652" w:rsidRPr="001926F8">
        <w:rPr>
          <w:rFonts w:cs="Arial"/>
          <w:szCs w:val="22"/>
        </w:rPr>
        <w:t xml:space="preserve"> respondents also </w:t>
      </w:r>
      <w:r w:rsidR="00F3317C" w:rsidRPr="001926F8">
        <w:rPr>
          <w:rFonts w:cs="Arial"/>
          <w:szCs w:val="22"/>
        </w:rPr>
        <w:t>point out that –</w:t>
      </w:r>
    </w:p>
    <w:p w14:paraId="706EA341" w14:textId="2E8356B0" w:rsidR="00F3317C" w:rsidRPr="001926F8" w:rsidRDefault="00C44A70" w:rsidP="00C44A70">
      <w:pPr>
        <w:widowControl w:val="0"/>
        <w:tabs>
          <w:tab w:val="left" w:pos="1418"/>
        </w:tabs>
        <w:spacing w:before="480" w:after="480" w:line="360" w:lineRule="auto"/>
        <w:ind w:left="1418" w:hanging="851"/>
        <w:jc w:val="both"/>
        <w:rPr>
          <w:rFonts w:cs="Arial"/>
          <w:szCs w:val="22"/>
        </w:rPr>
      </w:pPr>
      <w:r w:rsidRPr="001926F8">
        <w:rPr>
          <w:rFonts w:cs="Arial"/>
          <w:szCs w:val="22"/>
        </w:rPr>
        <w:t>20.1</w:t>
      </w:r>
      <w:r w:rsidRPr="001926F8">
        <w:rPr>
          <w:rFonts w:cs="Arial"/>
          <w:szCs w:val="22"/>
        </w:rPr>
        <w:tab/>
      </w:r>
      <w:r w:rsidR="00F3317C" w:rsidRPr="001926F8">
        <w:rPr>
          <w:rFonts w:cs="Arial"/>
          <w:szCs w:val="22"/>
        </w:rPr>
        <w:t>the relief sought impacts on the Transport Appeal Tribunal as an order is sought pending the review of a decision of the Tribunal, but the Tribunal was not cited.</w:t>
      </w:r>
    </w:p>
    <w:p w14:paraId="5F79DCC3" w14:textId="79077794" w:rsidR="00F3317C" w:rsidRPr="001926F8" w:rsidRDefault="00C44A70" w:rsidP="00C44A70">
      <w:pPr>
        <w:widowControl w:val="0"/>
        <w:tabs>
          <w:tab w:val="left" w:pos="1418"/>
        </w:tabs>
        <w:spacing w:before="480" w:after="480" w:line="360" w:lineRule="auto"/>
        <w:ind w:left="1418" w:hanging="851"/>
        <w:jc w:val="both"/>
        <w:rPr>
          <w:rFonts w:cs="Arial"/>
          <w:szCs w:val="22"/>
        </w:rPr>
      </w:pPr>
      <w:r w:rsidRPr="001926F8">
        <w:rPr>
          <w:rFonts w:cs="Arial"/>
          <w:szCs w:val="22"/>
        </w:rPr>
        <w:t>20.2</w:t>
      </w:r>
      <w:r w:rsidRPr="001926F8">
        <w:rPr>
          <w:rFonts w:cs="Arial"/>
          <w:szCs w:val="22"/>
        </w:rPr>
        <w:tab/>
      </w:r>
      <w:r w:rsidR="00F3317C" w:rsidRPr="001926F8">
        <w:rPr>
          <w:rFonts w:cs="Arial"/>
          <w:szCs w:val="22"/>
        </w:rPr>
        <w:t xml:space="preserve">The applicant failed to disclose </w:t>
      </w:r>
      <w:r w:rsidR="00821652" w:rsidRPr="001926F8">
        <w:rPr>
          <w:rFonts w:cs="Arial"/>
          <w:szCs w:val="22"/>
        </w:rPr>
        <w:t>the</w:t>
      </w:r>
      <w:r w:rsidR="00F3317C" w:rsidRPr="001926F8">
        <w:rPr>
          <w:rFonts w:cs="Arial"/>
          <w:szCs w:val="22"/>
        </w:rPr>
        <w:t xml:space="preserve"> application made to the EMM for a loading bay in Germiston that was denied on 5 September 2023</w:t>
      </w:r>
      <w:r w:rsidR="00821652" w:rsidRPr="001926F8">
        <w:rPr>
          <w:rFonts w:cs="Arial"/>
          <w:szCs w:val="22"/>
        </w:rPr>
        <w:t>,</w:t>
      </w:r>
      <w:r w:rsidR="0005269E">
        <w:rPr>
          <w:rStyle w:val="FootnoteReference"/>
          <w:rFonts w:cs="Arial"/>
          <w:szCs w:val="22"/>
        </w:rPr>
        <w:footnoteReference w:id="8"/>
      </w:r>
      <w:r w:rsidR="00821652" w:rsidRPr="001926F8">
        <w:rPr>
          <w:rFonts w:cs="Arial"/>
          <w:szCs w:val="22"/>
        </w:rPr>
        <w:t xml:space="preserve"> and therefore failed in its duty to make a full and frank disclosure of the relevant facts in the application.</w:t>
      </w:r>
    </w:p>
    <w:p w14:paraId="61171142" w14:textId="6BC84515" w:rsidR="00F3317C" w:rsidRPr="001926F8" w:rsidRDefault="00C44A70" w:rsidP="00C44A70">
      <w:pPr>
        <w:widowControl w:val="0"/>
        <w:tabs>
          <w:tab w:val="left" w:pos="1418"/>
        </w:tabs>
        <w:spacing w:before="480" w:after="480" w:line="360" w:lineRule="auto"/>
        <w:ind w:left="1418" w:hanging="851"/>
        <w:jc w:val="both"/>
        <w:rPr>
          <w:rFonts w:cs="Arial"/>
          <w:szCs w:val="22"/>
        </w:rPr>
      </w:pPr>
      <w:r w:rsidRPr="001926F8">
        <w:rPr>
          <w:rFonts w:cs="Arial"/>
          <w:szCs w:val="22"/>
        </w:rPr>
        <w:t>20.3</w:t>
      </w:r>
      <w:r w:rsidRPr="001926F8">
        <w:rPr>
          <w:rFonts w:cs="Arial"/>
          <w:szCs w:val="22"/>
        </w:rPr>
        <w:tab/>
      </w:r>
      <w:r w:rsidR="00F3317C" w:rsidRPr="001926F8">
        <w:rPr>
          <w:rFonts w:cs="Arial"/>
          <w:szCs w:val="22"/>
        </w:rPr>
        <w:t>The by-laws of the EMM prohibits the loading of passengers without a loading permit.</w:t>
      </w:r>
    </w:p>
    <w:p w14:paraId="50E481B9" w14:textId="0BB2F75C" w:rsidR="0005269E" w:rsidRDefault="00C44A70" w:rsidP="00C44A70">
      <w:pPr>
        <w:widowControl w:val="0"/>
        <w:tabs>
          <w:tab w:val="left" w:pos="567"/>
        </w:tabs>
        <w:spacing w:before="480" w:after="480" w:line="360" w:lineRule="auto"/>
        <w:jc w:val="both"/>
        <w:rPr>
          <w:rFonts w:cs="Arial"/>
          <w:bCs/>
          <w:szCs w:val="22"/>
        </w:rPr>
      </w:pPr>
      <w:r>
        <w:rPr>
          <w:rFonts w:cs="Arial"/>
          <w:bCs/>
          <w:szCs w:val="22"/>
        </w:rPr>
        <w:t>[21]</w:t>
      </w:r>
      <w:r>
        <w:rPr>
          <w:rFonts w:cs="Arial"/>
          <w:bCs/>
          <w:szCs w:val="22"/>
        </w:rPr>
        <w:tab/>
      </w:r>
      <w:r w:rsidR="00821652" w:rsidRPr="001926F8">
        <w:rPr>
          <w:rFonts w:cs="Arial"/>
          <w:bCs/>
          <w:szCs w:val="22"/>
        </w:rPr>
        <w:t xml:space="preserve">It follows that the applicant was not in undisturbed possession of loading bays and was not spoliated. No case is made out for spoliation relief. </w:t>
      </w:r>
    </w:p>
    <w:p w14:paraId="50826F15" w14:textId="76007C71" w:rsidR="00D2164A" w:rsidRPr="001926F8" w:rsidRDefault="00C44A70" w:rsidP="00C44A70">
      <w:pPr>
        <w:widowControl w:val="0"/>
        <w:tabs>
          <w:tab w:val="left" w:pos="567"/>
        </w:tabs>
        <w:spacing w:before="480" w:after="480" w:line="360" w:lineRule="auto"/>
        <w:jc w:val="both"/>
        <w:rPr>
          <w:rFonts w:cs="Arial"/>
          <w:bCs/>
          <w:szCs w:val="22"/>
        </w:rPr>
      </w:pPr>
      <w:r w:rsidRPr="001926F8">
        <w:rPr>
          <w:rFonts w:cs="Arial"/>
          <w:bCs/>
          <w:szCs w:val="22"/>
        </w:rPr>
        <w:t>[22]</w:t>
      </w:r>
      <w:r w:rsidRPr="001926F8">
        <w:rPr>
          <w:rFonts w:cs="Arial"/>
          <w:bCs/>
          <w:szCs w:val="22"/>
        </w:rPr>
        <w:tab/>
      </w:r>
      <w:r w:rsidR="00D2164A" w:rsidRPr="001926F8">
        <w:rPr>
          <w:rFonts w:cs="Arial"/>
          <w:bCs/>
          <w:szCs w:val="22"/>
          <w:lang w:val="en-US"/>
        </w:rPr>
        <w:t>For the reasons set out above I make the order in paragraph 1.</w:t>
      </w:r>
    </w:p>
    <w:p w14:paraId="5E3F3A66" w14:textId="6CAAB854" w:rsidR="00293C02" w:rsidRDefault="00293C02" w:rsidP="00900C1A">
      <w:pPr>
        <w:widowControl w:val="0"/>
        <w:tabs>
          <w:tab w:val="right" w:pos="0"/>
        </w:tabs>
        <w:spacing w:line="360" w:lineRule="auto"/>
        <w:contextualSpacing/>
        <w:rPr>
          <w:rFonts w:cs="Arial"/>
          <w:b/>
          <w:szCs w:val="22"/>
        </w:rPr>
      </w:pPr>
    </w:p>
    <w:p w14:paraId="61D3FCF9" w14:textId="77777777" w:rsidR="00B977DF" w:rsidRDefault="00B977DF" w:rsidP="00900C1A">
      <w:pPr>
        <w:widowControl w:val="0"/>
        <w:tabs>
          <w:tab w:val="right" w:pos="0"/>
        </w:tabs>
        <w:spacing w:line="360" w:lineRule="auto"/>
        <w:contextualSpacing/>
        <w:rPr>
          <w:rFonts w:cs="Arial"/>
          <w:b/>
          <w:szCs w:val="22"/>
        </w:rPr>
      </w:pPr>
    </w:p>
    <w:p w14:paraId="475D017E" w14:textId="77777777" w:rsidR="00B977DF" w:rsidRDefault="00B977DF" w:rsidP="00900C1A">
      <w:pPr>
        <w:widowControl w:val="0"/>
        <w:tabs>
          <w:tab w:val="right" w:pos="0"/>
        </w:tabs>
        <w:spacing w:line="360" w:lineRule="auto"/>
        <w:contextualSpacing/>
        <w:rPr>
          <w:rFonts w:cs="Arial"/>
          <w:b/>
          <w:szCs w:val="22"/>
        </w:rPr>
      </w:pPr>
    </w:p>
    <w:p w14:paraId="1A10C927" w14:textId="77777777" w:rsidR="00B977DF" w:rsidRPr="001926F8" w:rsidRDefault="00B977DF" w:rsidP="00900C1A">
      <w:pPr>
        <w:widowControl w:val="0"/>
        <w:tabs>
          <w:tab w:val="right" w:pos="0"/>
        </w:tabs>
        <w:spacing w:line="360" w:lineRule="auto"/>
        <w:contextualSpacing/>
        <w:rPr>
          <w:rFonts w:cs="Arial"/>
          <w:b/>
          <w:szCs w:val="22"/>
        </w:rPr>
      </w:pPr>
    </w:p>
    <w:p w14:paraId="53CD27EE" w14:textId="0B3A7FA3" w:rsidR="00AE287F" w:rsidRPr="001926F8" w:rsidRDefault="00A649E6" w:rsidP="00900C1A">
      <w:pPr>
        <w:widowControl w:val="0"/>
        <w:tabs>
          <w:tab w:val="right" w:pos="0"/>
        </w:tabs>
        <w:spacing w:line="360" w:lineRule="auto"/>
        <w:contextualSpacing/>
        <w:jc w:val="right"/>
        <w:rPr>
          <w:rFonts w:cs="Arial"/>
          <w:b/>
          <w:szCs w:val="22"/>
        </w:rPr>
      </w:pPr>
      <w:r w:rsidRPr="001926F8">
        <w:rPr>
          <w:rFonts w:cs="Arial"/>
          <w:b/>
          <w:szCs w:val="22"/>
        </w:rPr>
        <w:t>______________</w:t>
      </w:r>
    </w:p>
    <w:p w14:paraId="0CCB9BFE" w14:textId="7ABE564D" w:rsidR="006C43D7" w:rsidRPr="001926F8" w:rsidRDefault="00C676F3" w:rsidP="00900C1A">
      <w:pPr>
        <w:widowControl w:val="0"/>
        <w:tabs>
          <w:tab w:val="right" w:pos="0"/>
        </w:tabs>
        <w:spacing w:line="360" w:lineRule="auto"/>
        <w:contextualSpacing/>
        <w:jc w:val="right"/>
        <w:rPr>
          <w:rFonts w:cs="Arial"/>
          <w:b/>
          <w:szCs w:val="22"/>
        </w:rPr>
      </w:pPr>
      <w:r w:rsidRPr="001926F8">
        <w:rPr>
          <w:rFonts w:cs="Arial"/>
          <w:b/>
          <w:szCs w:val="22"/>
        </w:rPr>
        <w:t>J MOORCROFT</w:t>
      </w:r>
    </w:p>
    <w:p w14:paraId="7A2C1059" w14:textId="77777777" w:rsidR="006C43D7" w:rsidRPr="001926F8" w:rsidRDefault="006C43D7" w:rsidP="00900C1A">
      <w:pPr>
        <w:widowControl w:val="0"/>
        <w:tabs>
          <w:tab w:val="right" w:pos="0"/>
        </w:tabs>
        <w:spacing w:line="360" w:lineRule="auto"/>
        <w:contextualSpacing/>
        <w:jc w:val="right"/>
        <w:rPr>
          <w:rFonts w:cs="Arial"/>
          <w:b/>
          <w:szCs w:val="22"/>
        </w:rPr>
      </w:pPr>
      <w:r w:rsidRPr="001926F8">
        <w:rPr>
          <w:rFonts w:cs="Arial"/>
          <w:b/>
          <w:szCs w:val="22"/>
        </w:rPr>
        <w:t>ACTING JUDGE OF THE HIGH COURT OF SOUTH AFRICA</w:t>
      </w:r>
    </w:p>
    <w:p w14:paraId="077C2590" w14:textId="7452355B" w:rsidR="006C43D7" w:rsidRPr="001926F8" w:rsidRDefault="006C43D7" w:rsidP="00900C1A">
      <w:pPr>
        <w:widowControl w:val="0"/>
        <w:tabs>
          <w:tab w:val="right" w:pos="0"/>
          <w:tab w:val="left" w:pos="4253"/>
        </w:tabs>
        <w:spacing w:line="360" w:lineRule="auto"/>
        <w:contextualSpacing/>
        <w:jc w:val="right"/>
        <w:rPr>
          <w:rFonts w:cs="Arial"/>
          <w:b/>
          <w:szCs w:val="22"/>
        </w:rPr>
      </w:pPr>
      <w:r w:rsidRPr="001926F8">
        <w:rPr>
          <w:rFonts w:cs="Arial"/>
          <w:b/>
          <w:szCs w:val="22"/>
        </w:rPr>
        <w:t>GAUTENG DIVISION</w:t>
      </w:r>
    </w:p>
    <w:p w14:paraId="40B9C946" w14:textId="77777777" w:rsidR="006C43D7" w:rsidRPr="001926F8" w:rsidRDefault="006C43D7" w:rsidP="00900C1A">
      <w:pPr>
        <w:widowControl w:val="0"/>
        <w:tabs>
          <w:tab w:val="right" w:pos="0"/>
          <w:tab w:val="left" w:pos="4253"/>
        </w:tabs>
        <w:spacing w:line="360" w:lineRule="auto"/>
        <w:contextualSpacing/>
        <w:jc w:val="right"/>
        <w:rPr>
          <w:rFonts w:cs="Arial"/>
          <w:b/>
          <w:szCs w:val="22"/>
        </w:rPr>
      </w:pPr>
      <w:r w:rsidRPr="001926F8">
        <w:rPr>
          <w:rFonts w:cs="Arial"/>
          <w:b/>
          <w:szCs w:val="22"/>
        </w:rPr>
        <w:t>JOHANNESBURG</w:t>
      </w:r>
    </w:p>
    <w:p w14:paraId="326B529B" w14:textId="77777777" w:rsidR="006C43D7" w:rsidRPr="001926F8" w:rsidRDefault="006C43D7" w:rsidP="00900C1A">
      <w:pPr>
        <w:widowControl w:val="0"/>
        <w:tabs>
          <w:tab w:val="right" w:pos="0"/>
          <w:tab w:val="left" w:pos="4253"/>
        </w:tabs>
        <w:spacing w:line="360" w:lineRule="auto"/>
        <w:contextualSpacing/>
        <w:jc w:val="center"/>
        <w:rPr>
          <w:rFonts w:cs="Arial"/>
          <w:b/>
          <w:szCs w:val="22"/>
        </w:rPr>
      </w:pPr>
    </w:p>
    <w:p w14:paraId="5A4CC56C" w14:textId="051C4E22" w:rsidR="006C43D7" w:rsidRPr="001926F8" w:rsidRDefault="006C43D7" w:rsidP="00900C1A">
      <w:pPr>
        <w:widowControl w:val="0"/>
        <w:spacing w:after="200" w:line="360" w:lineRule="auto"/>
        <w:contextualSpacing/>
        <w:jc w:val="right"/>
        <w:rPr>
          <w:rFonts w:cs="Arial"/>
          <w:b/>
          <w:i/>
          <w:iCs/>
          <w:szCs w:val="22"/>
        </w:rPr>
      </w:pPr>
      <w:r w:rsidRPr="001926F8">
        <w:rPr>
          <w:rFonts w:cs="Arial"/>
          <w:b/>
          <w:i/>
          <w:iCs/>
          <w:szCs w:val="22"/>
        </w:rPr>
        <w:t>Electronically submitted</w:t>
      </w:r>
    </w:p>
    <w:p w14:paraId="4E3E9427" w14:textId="77777777" w:rsidR="006C43D7" w:rsidRPr="001926F8" w:rsidRDefault="006C43D7" w:rsidP="00900C1A">
      <w:pPr>
        <w:widowControl w:val="0"/>
        <w:spacing w:after="200" w:line="360" w:lineRule="auto"/>
        <w:contextualSpacing/>
        <w:jc w:val="both"/>
        <w:rPr>
          <w:rFonts w:eastAsia="Arial Unicode MS" w:cs="Arial"/>
          <w:bCs/>
          <w:szCs w:val="22"/>
        </w:rPr>
      </w:pPr>
    </w:p>
    <w:p w14:paraId="51C686CA" w14:textId="2AEF9123" w:rsidR="006C43D7" w:rsidRPr="001926F8" w:rsidRDefault="006C43D7" w:rsidP="00900C1A">
      <w:pPr>
        <w:widowControl w:val="0"/>
        <w:spacing w:after="200" w:line="360" w:lineRule="auto"/>
        <w:contextualSpacing/>
        <w:jc w:val="both"/>
        <w:rPr>
          <w:rFonts w:eastAsia="Arial Unicode MS" w:cs="Arial"/>
          <w:bCs/>
          <w:szCs w:val="22"/>
        </w:rPr>
      </w:pPr>
      <w:r w:rsidRPr="001926F8">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1926F8">
        <w:rPr>
          <w:rFonts w:eastAsia="Arial Unicode MS" w:cs="Arial"/>
          <w:b/>
          <w:szCs w:val="22"/>
        </w:rPr>
        <w:t xml:space="preserve"> </w:t>
      </w:r>
      <w:r w:rsidR="00B977DF">
        <w:rPr>
          <w:rFonts w:eastAsia="Arial Unicode MS" w:cs="Arial"/>
          <w:b/>
          <w:szCs w:val="22"/>
        </w:rPr>
        <w:t>7</w:t>
      </w:r>
      <w:r w:rsidR="00324658" w:rsidRPr="001926F8">
        <w:rPr>
          <w:rFonts w:eastAsia="Arial Unicode MS" w:cs="Arial"/>
          <w:b/>
          <w:szCs w:val="22"/>
        </w:rPr>
        <w:t xml:space="preserve"> NOVEMBER</w:t>
      </w:r>
      <w:r w:rsidR="000976D2" w:rsidRPr="001926F8">
        <w:rPr>
          <w:rFonts w:eastAsia="Arial Unicode MS" w:cs="Arial"/>
          <w:b/>
          <w:szCs w:val="22"/>
        </w:rPr>
        <w:t xml:space="preserve"> </w:t>
      </w:r>
      <w:r w:rsidR="00237FF9" w:rsidRPr="001926F8">
        <w:rPr>
          <w:rFonts w:eastAsia="Arial Unicode MS" w:cs="Arial"/>
          <w:b/>
          <w:bCs/>
          <w:szCs w:val="22"/>
        </w:rPr>
        <w:t>202</w:t>
      </w:r>
      <w:r w:rsidR="00051A2B" w:rsidRPr="001926F8">
        <w:rPr>
          <w:rFonts w:eastAsia="Arial Unicode MS" w:cs="Arial"/>
          <w:b/>
          <w:bCs/>
          <w:szCs w:val="22"/>
        </w:rPr>
        <w:t>3</w:t>
      </w:r>
      <w:r w:rsidR="00051A2B" w:rsidRPr="001926F8">
        <w:rPr>
          <w:rFonts w:eastAsia="Arial Unicode MS" w:cs="Arial"/>
          <w:bCs/>
          <w:szCs w:val="22"/>
        </w:rPr>
        <w:t>.</w:t>
      </w:r>
    </w:p>
    <w:p w14:paraId="482DDF6E" w14:textId="77777777" w:rsidR="006C43D7" w:rsidRPr="001926F8" w:rsidRDefault="006C43D7" w:rsidP="006C43D7">
      <w:pPr>
        <w:tabs>
          <w:tab w:val="right" w:pos="0"/>
          <w:tab w:val="left" w:pos="4253"/>
        </w:tabs>
        <w:spacing w:line="360" w:lineRule="auto"/>
        <w:contextualSpacing/>
        <w:jc w:val="center"/>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1926F8" w14:paraId="493AF0D7" w14:textId="77777777" w:rsidTr="00615F6B">
        <w:tc>
          <w:tcPr>
            <w:tcW w:w="4678" w:type="dxa"/>
          </w:tcPr>
          <w:p w14:paraId="6A05541A" w14:textId="451EE9BA" w:rsidR="009D35B5" w:rsidRPr="001926F8" w:rsidRDefault="005D61AF" w:rsidP="00A25AB4">
            <w:pPr>
              <w:tabs>
                <w:tab w:val="right" w:pos="0"/>
                <w:tab w:val="left" w:pos="4253"/>
              </w:tabs>
              <w:spacing w:before="120" w:after="120"/>
              <w:rPr>
                <w:rFonts w:cs="Arial"/>
                <w:szCs w:val="22"/>
              </w:rPr>
            </w:pPr>
            <w:r w:rsidRPr="001926F8">
              <w:rPr>
                <w:rFonts w:cs="Arial"/>
                <w:szCs w:val="22"/>
              </w:rPr>
              <w:t>COUNSEL FOR THE APPLICANT:</w:t>
            </w:r>
          </w:p>
        </w:tc>
        <w:tc>
          <w:tcPr>
            <w:tcW w:w="3935" w:type="dxa"/>
          </w:tcPr>
          <w:p w14:paraId="6E6EE2CA" w14:textId="6480B412" w:rsidR="000976D2" w:rsidRPr="001926F8" w:rsidRDefault="005D61AF" w:rsidP="00D65571">
            <w:pPr>
              <w:tabs>
                <w:tab w:val="right" w:pos="0"/>
                <w:tab w:val="left" w:pos="567"/>
                <w:tab w:val="right" w:pos="2727"/>
                <w:tab w:val="left" w:pos="4253"/>
              </w:tabs>
              <w:spacing w:before="120" w:after="120"/>
              <w:jc w:val="right"/>
              <w:rPr>
                <w:rFonts w:cs="Arial"/>
                <w:bCs/>
                <w:szCs w:val="22"/>
              </w:rPr>
            </w:pPr>
            <w:r w:rsidRPr="001926F8">
              <w:rPr>
                <w:rFonts w:cs="Arial"/>
                <w:bCs/>
                <w:szCs w:val="22"/>
              </w:rPr>
              <w:t>V</w:t>
            </w:r>
            <w:r w:rsidR="00B977DF">
              <w:rPr>
                <w:rFonts w:cs="Arial"/>
                <w:bCs/>
                <w:szCs w:val="22"/>
              </w:rPr>
              <w:t xml:space="preserve"> </w:t>
            </w:r>
            <w:r w:rsidRPr="001926F8">
              <w:rPr>
                <w:rFonts w:cs="Arial"/>
                <w:bCs/>
                <w:szCs w:val="22"/>
              </w:rPr>
              <w:t>P NGUTSHANA</w:t>
            </w:r>
          </w:p>
          <w:p w14:paraId="69785AA9" w14:textId="2A539B7C" w:rsidR="005D61AF" w:rsidRPr="001926F8" w:rsidRDefault="005D61AF" w:rsidP="00D65571">
            <w:pPr>
              <w:tabs>
                <w:tab w:val="right" w:pos="0"/>
                <w:tab w:val="left" w:pos="567"/>
                <w:tab w:val="right" w:pos="2727"/>
                <w:tab w:val="left" w:pos="4253"/>
              </w:tabs>
              <w:spacing w:before="120" w:after="120"/>
              <w:jc w:val="right"/>
              <w:rPr>
                <w:rFonts w:cs="Arial"/>
                <w:szCs w:val="22"/>
              </w:rPr>
            </w:pPr>
            <w:r w:rsidRPr="001926F8">
              <w:rPr>
                <w:rFonts w:cs="Arial"/>
                <w:bCs/>
                <w:szCs w:val="22"/>
              </w:rPr>
              <w:t>J</w:t>
            </w:r>
            <w:r w:rsidR="00B977DF">
              <w:rPr>
                <w:rFonts w:cs="Arial"/>
                <w:bCs/>
                <w:szCs w:val="22"/>
              </w:rPr>
              <w:t xml:space="preserve"> </w:t>
            </w:r>
            <w:r w:rsidRPr="001926F8">
              <w:rPr>
                <w:rFonts w:cs="Arial"/>
                <w:bCs/>
                <w:szCs w:val="22"/>
              </w:rPr>
              <w:t>P MTHEMBU</w:t>
            </w:r>
          </w:p>
        </w:tc>
      </w:tr>
      <w:tr w:rsidR="009D35B5" w:rsidRPr="001926F8" w14:paraId="183C176D" w14:textId="77777777" w:rsidTr="00615F6B">
        <w:tc>
          <w:tcPr>
            <w:tcW w:w="4678" w:type="dxa"/>
          </w:tcPr>
          <w:p w14:paraId="75365413" w14:textId="481747BC" w:rsidR="009D35B5" w:rsidRPr="001926F8" w:rsidRDefault="009D35B5" w:rsidP="00A25AB4">
            <w:pPr>
              <w:tabs>
                <w:tab w:val="right" w:pos="0"/>
                <w:tab w:val="left" w:pos="4253"/>
              </w:tabs>
              <w:spacing w:before="120" w:after="120"/>
              <w:rPr>
                <w:rFonts w:cs="Arial"/>
                <w:szCs w:val="22"/>
              </w:rPr>
            </w:pPr>
            <w:r w:rsidRPr="001926F8">
              <w:rPr>
                <w:rFonts w:cs="Arial"/>
                <w:szCs w:val="22"/>
              </w:rPr>
              <w:t>INSTRUCTED BY:</w:t>
            </w:r>
          </w:p>
        </w:tc>
        <w:tc>
          <w:tcPr>
            <w:tcW w:w="3935" w:type="dxa"/>
          </w:tcPr>
          <w:p w14:paraId="4044534A" w14:textId="053ADDB8" w:rsidR="00E10D04" w:rsidRPr="001926F8" w:rsidRDefault="005D61AF" w:rsidP="00A25AB4">
            <w:pPr>
              <w:tabs>
                <w:tab w:val="right" w:pos="0"/>
                <w:tab w:val="left" w:pos="4253"/>
              </w:tabs>
              <w:spacing w:before="120" w:after="120"/>
              <w:jc w:val="right"/>
              <w:rPr>
                <w:rFonts w:cs="Arial"/>
                <w:szCs w:val="22"/>
              </w:rPr>
            </w:pPr>
            <w:r w:rsidRPr="001926F8">
              <w:rPr>
                <w:rFonts w:cs="Arial"/>
                <w:szCs w:val="22"/>
              </w:rPr>
              <w:t>STRAUSS DALY ATTORNEYS</w:t>
            </w:r>
          </w:p>
        </w:tc>
      </w:tr>
      <w:tr w:rsidR="009D35B5" w:rsidRPr="001926F8" w14:paraId="6E2BF966" w14:textId="77777777" w:rsidTr="00615F6B">
        <w:tc>
          <w:tcPr>
            <w:tcW w:w="4678" w:type="dxa"/>
          </w:tcPr>
          <w:p w14:paraId="545B6665" w14:textId="205357F5" w:rsidR="009D35B5" w:rsidRPr="001926F8" w:rsidRDefault="009D35B5" w:rsidP="00A25AB4">
            <w:pPr>
              <w:tabs>
                <w:tab w:val="right" w:pos="0"/>
                <w:tab w:val="left" w:pos="4253"/>
              </w:tabs>
              <w:spacing w:before="120" w:after="120"/>
              <w:rPr>
                <w:rFonts w:cs="Arial"/>
                <w:szCs w:val="22"/>
              </w:rPr>
            </w:pPr>
            <w:r w:rsidRPr="001926F8">
              <w:rPr>
                <w:rFonts w:cs="Arial"/>
                <w:szCs w:val="22"/>
              </w:rPr>
              <w:t xml:space="preserve">COUNSEL FOR </w:t>
            </w:r>
            <w:r w:rsidR="00404A52" w:rsidRPr="001926F8">
              <w:rPr>
                <w:rFonts w:cs="Arial"/>
                <w:szCs w:val="22"/>
              </w:rPr>
              <w:t xml:space="preserve">THE </w:t>
            </w:r>
            <w:r w:rsidR="00695B8B" w:rsidRPr="001926F8">
              <w:rPr>
                <w:rFonts w:cs="Arial"/>
                <w:szCs w:val="22"/>
              </w:rPr>
              <w:t>FIRST</w:t>
            </w:r>
            <w:r w:rsidR="005D61AF" w:rsidRPr="001926F8">
              <w:rPr>
                <w:rFonts w:cs="Arial"/>
                <w:szCs w:val="22"/>
              </w:rPr>
              <w:t xml:space="preserve"> </w:t>
            </w:r>
            <w:r w:rsidR="00027D19" w:rsidRPr="001926F8">
              <w:rPr>
                <w:rFonts w:cs="Arial"/>
                <w:szCs w:val="22"/>
              </w:rPr>
              <w:t>RESPONDENT</w:t>
            </w:r>
            <w:r w:rsidRPr="001926F8">
              <w:rPr>
                <w:rFonts w:cs="Arial"/>
                <w:szCs w:val="22"/>
              </w:rPr>
              <w:t>:</w:t>
            </w:r>
          </w:p>
        </w:tc>
        <w:tc>
          <w:tcPr>
            <w:tcW w:w="3935" w:type="dxa"/>
          </w:tcPr>
          <w:p w14:paraId="51741A90" w14:textId="5F4D0F5F" w:rsidR="001966E8" w:rsidRPr="001926F8" w:rsidRDefault="00B977DF" w:rsidP="00D65571">
            <w:pPr>
              <w:tabs>
                <w:tab w:val="right" w:pos="0"/>
                <w:tab w:val="left" w:pos="4253"/>
              </w:tabs>
              <w:spacing w:before="120" w:after="120"/>
              <w:jc w:val="right"/>
              <w:rPr>
                <w:rFonts w:cs="Arial"/>
                <w:szCs w:val="22"/>
              </w:rPr>
            </w:pPr>
            <w:r>
              <w:rPr>
                <w:rFonts w:cs="Arial"/>
                <w:szCs w:val="22"/>
              </w:rPr>
              <w:t>N E</w:t>
            </w:r>
            <w:r w:rsidR="00695B8B" w:rsidRPr="001926F8">
              <w:rPr>
                <w:rFonts w:cs="Arial"/>
                <w:szCs w:val="22"/>
              </w:rPr>
              <w:t xml:space="preserve"> SITHOLE</w:t>
            </w:r>
          </w:p>
        </w:tc>
      </w:tr>
      <w:tr w:rsidR="009D35B5" w:rsidRPr="001926F8" w14:paraId="1EC4105A" w14:textId="77777777" w:rsidTr="00615F6B">
        <w:tc>
          <w:tcPr>
            <w:tcW w:w="4678" w:type="dxa"/>
          </w:tcPr>
          <w:p w14:paraId="184EC2ED" w14:textId="1E42F28A" w:rsidR="009D35B5" w:rsidRPr="001926F8" w:rsidRDefault="009D35B5" w:rsidP="00A25AB4">
            <w:pPr>
              <w:tabs>
                <w:tab w:val="right" w:pos="0"/>
                <w:tab w:val="left" w:pos="4253"/>
              </w:tabs>
              <w:spacing w:before="120" w:after="120"/>
              <w:rPr>
                <w:rFonts w:cs="Arial"/>
                <w:szCs w:val="22"/>
              </w:rPr>
            </w:pPr>
            <w:r w:rsidRPr="001926F8">
              <w:rPr>
                <w:rFonts w:cs="Arial"/>
                <w:szCs w:val="22"/>
              </w:rPr>
              <w:t>INSTRUCTED BY:</w:t>
            </w:r>
          </w:p>
        </w:tc>
        <w:tc>
          <w:tcPr>
            <w:tcW w:w="3935" w:type="dxa"/>
          </w:tcPr>
          <w:p w14:paraId="2098BE2A" w14:textId="6DBE5081" w:rsidR="009D35B5" w:rsidRPr="001926F8" w:rsidRDefault="00695B8B" w:rsidP="00A25AB4">
            <w:pPr>
              <w:tabs>
                <w:tab w:val="right" w:pos="0"/>
                <w:tab w:val="left" w:pos="4253"/>
              </w:tabs>
              <w:spacing w:before="120" w:after="120"/>
              <w:jc w:val="right"/>
              <w:rPr>
                <w:rFonts w:cs="Arial"/>
                <w:szCs w:val="22"/>
              </w:rPr>
            </w:pPr>
            <w:r w:rsidRPr="001926F8">
              <w:rPr>
                <w:rFonts w:cs="Arial"/>
                <w:szCs w:val="22"/>
              </w:rPr>
              <w:t>SEANEGO ATTORNEYS INC</w:t>
            </w:r>
          </w:p>
        </w:tc>
      </w:tr>
      <w:tr w:rsidR="00695B8B" w:rsidRPr="001926F8" w14:paraId="16058A0B" w14:textId="77777777" w:rsidTr="00615F6B">
        <w:tc>
          <w:tcPr>
            <w:tcW w:w="4678" w:type="dxa"/>
          </w:tcPr>
          <w:p w14:paraId="4DF7C0C2" w14:textId="5FB89FB1" w:rsidR="00695B8B" w:rsidRPr="001926F8" w:rsidRDefault="00695B8B" w:rsidP="00A25AB4">
            <w:pPr>
              <w:tabs>
                <w:tab w:val="right" w:pos="0"/>
                <w:tab w:val="left" w:pos="4253"/>
              </w:tabs>
              <w:spacing w:before="120" w:after="120"/>
              <w:rPr>
                <w:rFonts w:cs="Arial"/>
                <w:szCs w:val="22"/>
              </w:rPr>
            </w:pPr>
            <w:r w:rsidRPr="001926F8">
              <w:rPr>
                <w:rFonts w:cs="Arial"/>
                <w:szCs w:val="22"/>
              </w:rPr>
              <w:t>COUNSEL FOR THE SECOND RESPONDENT:</w:t>
            </w:r>
          </w:p>
        </w:tc>
        <w:tc>
          <w:tcPr>
            <w:tcW w:w="3935" w:type="dxa"/>
          </w:tcPr>
          <w:p w14:paraId="34AAC2F2" w14:textId="0D2907BE" w:rsidR="00695B8B" w:rsidRPr="001926F8" w:rsidRDefault="00695B8B" w:rsidP="00A25AB4">
            <w:pPr>
              <w:tabs>
                <w:tab w:val="right" w:pos="0"/>
                <w:tab w:val="left" w:pos="4253"/>
              </w:tabs>
              <w:spacing w:before="120" w:after="120"/>
              <w:jc w:val="right"/>
              <w:rPr>
                <w:rFonts w:cs="Arial"/>
                <w:szCs w:val="22"/>
              </w:rPr>
            </w:pPr>
            <w:r w:rsidRPr="001926F8">
              <w:rPr>
                <w:rFonts w:cs="Arial"/>
                <w:szCs w:val="22"/>
              </w:rPr>
              <w:t>N NHARMURAVATE</w:t>
            </w:r>
          </w:p>
        </w:tc>
      </w:tr>
      <w:tr w:rsidR="00695B8B" w:rsidRPr="001926F8" w14:paraId="1D9F0E75" w14:textId="77777777" w:rsidTr="00615F6B">
        <w:tc>
          <w:tcPr>
            <w:tcW w:w="4678" w:type="dxa"/>
          </w:tcPr>
          <w:p w14:paraId="675DA569" w14:textId="34EF41B7" w:rsidR="00695B8B" w:rsidRPr="001926F8" w:rsidRDefault="00695B8B" w:rsidP="00A25AB4">
            <w:pPr>
              <w:tabs>
                <w:tab w:val="right" w:pos="0"/>
                <w:tab w:val="left" w:pos="4253"/>
              </w:tabs>
              <w:spacing w:before="120" w:after="120"/>
              <w:rPr>
                <w:rFonts w:cs="Arial"/>
                <w:szCs w:val="22"/>
              </w:rPr>
            </w:pPr>
            <w:r w:rsidRPr="001926F8">
              <w:rPr>
                <w:rFonts w:cs="Arial"/>
                <w:szCs w:val="22"/>
              </w:rPr>
              <w:t>INSTRUCTED BY:</w:t>
            </w:r>
          </w:p>
        </w:tc>
        <w:tc>
          <w:tcPr>
            <w:tcW w:w="3935" w:type="dxa"/>
          </w:tcPr>
          <w:p w14:paraId="0E9FA58F" w14:textId="643D9019" w:rsidR="00695B8B" w:rsidRPr="001926F8" w:rsidRDefault="00747EFF" w:rsidP="00A25AB4">
            <w:pPr>
              <w:tabs>
                <w:tab w:val="right" w:pos="0"/>
                <w:tab w:val="left" w:pos="4253"/>
              </w:tabs>
              <w:spacing w:before="120" w:after="120"/>
              <w:jc w:val="right"/>
              <w:rPr>
                <w:rFonts w:cs="Arial"/>
                <w:szCs w:val="22"/>
              </w:rPr>
            </w:pPr>
            <w:r w:rsidRPr="001926F8">
              <w:rPr>
                <w:rFonts w:cs="Arial"/>
                <w:szCs w:val="22"/>
              </w:rPr>
              <w:t>STATE ATTORNEY</w:t>
            </w:r>
          </w:p>
        </w:tc>
      </w:tr>
      <w:tr w:rsidR="00695B8B" w:rsidRPr="001926F8" w14:paraId="69161F0C" w14:textId="77777777" w:rsidTr="00615F6B">
        <w:tc>
          <w:tcPr>
            <w:tcW w:w="4678" w:type="dxa"/>
          </w:tcPr>
          <w:p w14:paraId="7E44CDA3" w14:textId="15595407" w:rsidR="00695B8B" w:rsidRPr="001926F8" w:rsidRDefault="00695B8B" w:rsidP="00A25AB4">
            <w:pPr>
              <w:tabs>
                <w:tab w:val="right" w:pos="0"/>
                <w:tab w:val="left" w:pos="4253"/>
              </w:tabs>
              <w:spacing w:before="120" w:after="120"/>
              <w:rPr>
                <w:rFonts w:cs="Arial"/>
                <w:szCs w:val="22"/>
              </w:rPr>
            </w:pPr>
            <w:r w:rsidRPr="001926F8">
              <w:rPr>
                <w:rFonts w:cs="Arial"/>
                <w:szCs w:val="22"/>
              </w:rPr>
              <w:t>COUNSEL FOR THE FOURTH, FIFTH AND SIXTH RESPONDENTS:</w:t>
            </w:r>
          </w:p>
        </w:tc>
        <w:tc>
          <w:tcPr>
            <w:tcW w:w="3935" w:type="dxa"/>
          </w:tcPr>
          <w:p w14:paraId="3091EBF7" w14:textId="0BF762BF" w:rsidR="00695B8B" w:rsidRPr="001926F8" w:rsidRDefault="00695B8B" w:rsidP="00A25AB4">
            <w:pPr>
              <w:tabs>
                <w:tab w:val="right" w:pos="0"/>
                <w:tab w:val="left" w:pos="4253"/>
              </w:tabs>
              <w:spacing w:before="120" w:after="120"/>
              <w:jc w:val="right"/>
              <w:rPr>
                <w:rFonts w:cs="Arial"/>
                <w:szCs w:val="22"/>
              </w:rPr>
            </w:pPr>
            <w:r w:rsidRPr="001926F8">
              <w:rPr>
                <w:rFonts w:cs="Arial"/>
                <w:szCs w:val="22"/>
              </w:rPr>
              <w:t>M J MASHAVHA</w:t>
            </w:r>
          </w:p>
        </w:tc>
      </w:tr>
      <w:tr w:rsidR="00695B8B" w:rsidRPr="001926F8" w14:paraId="0B24EA53" w14:textId="77777777" w:rsidTr="00615F6B">
        <w:tc>
          <w:tcPr>
            <w:tcW w:w="4678" w:type="dxa"/>
          </w:tcPr>
          <w:p w14:paraId="1E3445AF" w14:textId="725D385F" w:rsidR="00695B8B" w:rsidRPr="001926F8" w:rsidRDefault="00695B8B" w:rsidP="00A25AB4">
            <w:pPr>
              <w:tabs>
                <w:tab w:val="right" w:pos="0"/>
                <w:tab w:val="left" w:pos="4253"/>
              </w:tabs>
              <w:spacing w:before="120" w:after="120"/>
              <w:rPr>
                <w:rFonts w:cs="Arial"/>
                <w:szCs w:val="22"/>
              </w:rPr>
            </w:pPr>
            <w:r w:rsidRPr="001926F8">
              <w:rPr>
                <w:rFonts w:cs="Arial"/>
                <w:szCs w:val="22"/>
              </w:rPr>
              <w:t>INSTRUCTED BY:</w:t>
            </w:r>
          </w:p>
        </w:tc>
        <w:tc>
          <w:tcPr>
            <w:tcW w:w="3935" w:type="dxa"/>
          </w:tcPr>
          <w:p w14:paraId="566210A2" w14:textId="3FA10332" w:rsidR="00695B8B" w:rsidRPr="001926F8" w:rsidRDefault="00695B8B" w:rsidP="00A25AB4">
            <w:pPr>
              <w:tabs>
                <w:tab w:val="right" w:pos="0"/>
                <w:tab w:val="left" w:pos="4253"/>
              </w:tabs>
              <w:spacing w:before="120" w:after="120"/>
              <w:jc w:val="right"/>
              <w:rPr>
                <w:rFonts w:cs="Arial"/>
                <w:szCs w:val="22"/>
              </w:rPr>
            </w:pPr>
            <w:r w:rsidRPr="001926F8">
              <w:rPr>
                <w:rFonts w:cs="Arial"/>
                <w:szCs w:val="22"/>
              </w:rPr>
              <w:t>H R MUNYAI ATTORNEYS</w:t>
            </w:r>
          </w:p>
        </w:tc>
      </w:tr>
      <w:tr w:rsidR="009D35B5" w:rsidRPr="001926F8" w14:paraId="2A3FE2B1" w14:textId="77777777" w:rsidTr="00615F6B">
        <w:tc>
          <w:tcPr>
            <w:tcW w:w="4678" w:type="dxa"/>
          </w:tcPr>
          <w:p w14:paraId="0767D0FE" w14:textId="61925A22" w:rsidR="009D35B5" w:rsidRPr="001926F8" w:rsidRDefault="009D35B5" w:rsidP="00A25AB4">
            <w:pPr>
              <w:tabs>
                <w:tab w:val="right" w:pos="0"/>
                <w:tab w:val="left" w:pos="4253"/>
              </w:tabs>
              <w:spacing w:before="120" w:after="120"/>
              <w:rPr>
                <w:rFonts w:cs="Arial"/>
                <w:szCs w:val="22"/>
              </w:rPr>
            </w:pPr>
            <w:r w:rsidRPr="001926F8">
              <w:rPr>
                <w:rFonts w:cs="Arial"/>
                <w:szCs w:val="22"/>
              </w:rPr>
              <w:t xml:space="preserve">DATE </w:t>
            </w:r>
            <w:r w:rsidR="00E57446" w:rsidRPr="001926F8">
              <w:rPr>
                <w:rFonts w:cs="Arial"/>
                <w:szCs w:val="22"/>
              </w:rPr>
              <w:t>OF ARGUMENT</w:t>
            </w:r>
            <w:r w:rsidRPr="001926F8">
              <w:rPr>
                <w:rFonts w:cs="Arial"/>
                <w:szCs w:val="22"/>
              </w:rPr>
              <w:t>:</w:t>
            </w:r>
          </w:p>
        </w:tc>
        <w:tc>
          <w:tcPr>
            <w:tcW w:w="3935" w:type="dxa"/>
          </w:tcPr>
          <w:p w14:paraId="34C95147" w14:textId="5FD2F0D7" w:rsidR="009D35B5" w:rsidRPr="001926F8" w:rsidRDefault="0034421F" w:rsidP="00A25AB4">
            <w:pPr>
              <w:tabs>
                <w:tab w:val="right" w:pos="0"/>
                <w:tab w:val="left" w:pos="4253"/>
              </w:tabs>
              <w:spacing w:before="120" w:after="120"/>
              <w:jc w:val="right"/>
              <w:rPr>
                <w:rFonts w:cs="Arial"/>
                <w:szCs w:val="22"/>
              </w:rPr>
            </w:pPr>
            <w:r w:rsidRPr="001926F8">
              <w:rPr>
                <w:rFonts w:cs="Arial"/>
                <w:szCs w:val="22"/>
              </w:rPr>
              <w:t>20</w:t>
            </w:r>
            <w:r w:rsidR="001966E8" w:rsidRPr="001926F8">
              <w:rPr>
                <w:rFonts w:cs="Arial"/>
                <w:szCs w:val="22"/>
              </w:rPr>
              <w:t xml:space="preserve"> OCTOBER</w:t>
            </w:r>
            <w:r w:rsidR="00494337" w:rsidRPr="001926F8">
              <w:rPr>
                <w:rFonts w:cs="Arial"/>
                <w:szCs w:val="22"/>
              </w:rPr>
              <w:t xml:space="preserve"> 2023</w:t>
            </w:r>
          </w:p>
        </w:tc>
      </w:tr>
      <w:tr w:rsidR="005D61AF" w:rsidRPr="001926F8" w14:paraId="5DA0AACB" w14:textId="77777777" w:rsidTr="00615F6B">
        <w:tc>
          <w:tcPr>
            <w:tcW w:w="4678" w:type="dxa"/>
          </w:tcPr>
          <w:p w14:paraId="2641593C" w14:textId="575C47C1" w:rsidR="005D61AF" w:rsidRPr="001926F8" w:rsidRDefault="005D61AF" w:rsidP="00A25AB4">
            <w:pPr>
              <w:tabs>
                <w:tab w:val="right" w:pos="0"/>
                <w:tab w:val="left" w:pos="4253"/>
              </w:tabs>
              <w:spacing w:before="120" w:after="120"/>
              <w:rPr>
                <w:rFonts w:cs="Arial"/>
                <w:szCs w:val="22"/>
              </w:rPr>
            </w:pPr>
            <w:r w:rsidRPr="001926F8">
              <w:rPr>
                <w:rFonts w:cs="Arial"/>
                <w:szCs w:val="22"/>
              </w:rPr>
              <w:t>DATE OF ORDER:</w:t>
            </w:r>
          </w:p>
        </w:tc>
        <w:tc>
          <w:tcPr>
            <w:tcW w:w="3935" w:type="dxa"/>
          </w:tcPr>
          <w:p w14:paraId="3409236C" w14:textId="02188F0C" w:rsidR="005D61AF" w:rsidRPr="001926F8" w:rsidRDefault="005D61AF" w:rsidP="00A25AB4">
            <w:pPr>
              <w:tabs>
                <w:tab w:val="right" w:pos="0"/>
                <w:tab w:val="left" w:pos="4253"/>
              </w:tabs>
              <w:spacing w:before="120" w:after="120"/>
              <w:jc w:val="right"/>
              <w:rPr>
                <w:rFonts w:cs="Arial"/>
                <w:szCs w:val="22"/>
              </w:rPr>
            </w:pPr>
            <w:r w:rsidRPr="001926F8">
              <w:rPr>
                <w:rFonts w:cs="Arial"/>
                <w:szCs w:val="22"/>
              </w:rPr>
              <w:t>20 OCTOBER 2023</w:t>
            </w:r>
          </w:p>
        </w:tc>
      </w:tr>
      <w:tr w:rsidR="00A25AB4" w:rsidRPr="001926F8" w14:paraId="5ECDFF3A" w14:textId="77777777" w:rsidTr="00615F6B">
        <w:tc>
          <w:tcPr>
            <w:tcW w:w="4678" w:type="dxa"/>
          </w:tcPr>
          <w:p w14:paraId="1DF2AE9E" w14:textId="1FC539A4" w:rsidR="00A25AB4" w:rsidRPr="001926F8" w:rsidRDefault="00A25AB4" w:rsidP="00A25AB4">
            <w:pPr>
              <w:tabs>
                <w:tab w:val="right" w:pos="0"/>
                <w:tab w:val="left" w:pos="4253"/>
              </w:tabs>
              <w:spacing w:before="120" w:after="120"/>
              <w:rPr>
                <w:rFonts w:cs="Arial"/>
                <w:szCs w:val="22"/>
              </w:rPr>
            </w:pPr>
            <w:r w:rsidRPr="001926F8">
              <w:rPr>
                <w:rFonts w:cs="Arial"/>
                <w:szCs w:val="22"/>
              </w:rPr>
              <w:t>DATE OF JUDGMENT:</w:t>
            </w:r>
          </w:p>
        </w:tc>
        <w:tc>
          <w:tcPr>
            <w:tcW w:w="3935" w:type="dxa"/>
          </w:tcPr>
          <w:p w14:paraId="02219E99" w14:textId="66A98A98" w:rsidR="00A25AB4" w:rsidRPr="001926F8" w:rsidRDefault="00593723" w:rsidP="00A25AB4">
            <w:pPr>
              <w:tabs>
                <w:tab w:val="right" w:pos="0"/>
                <w:tab w:val="left" w:pos="4253"/>
              </w:tabs>
              <w:spacing w:before="120" w:after="120"/>
              <w:jc w:val="right"/>
              <w:rPr>
                <w:rFonts w:cs="Arial"/>
                <w:szCs w:val="22"/>
              </w:rPr>
            </w:pPr>
            <w:r>
              <w:rPr>
                <w:rFonts w:cs="Arial"/>
                <w:szCs w:val="22"/>
              </w:rPr>
              <w:t>7</w:t>
            </w:r>
            <w:r w:rsidR="00F44250" w:rsidRPr="001926F8">
              <w:rPr>
                <w:rFonts w:cs="Arial"/>
                <w:szCs w:val="22"/>
              </w:rPr>
              <w:t xml:space="preserve"> </w:t>
            </w:r>
            <w:r w:rsidR="005D61AF" w:rsidRPr="001926F8">
              <w:rPr>
                <w:rFonts w:cs="Arial"/>
                <w:szCs w:val="22"/>
              </w:rPr>
              <w:t>NOVEMBER</w:t>
            </w:r>
            <w:r w:rsidR="00751D8C" w:rsidRPr="001926F8">
              <w:rPr>
                <w:rFonts w:cs="Arial"/>
                <w:szCs w:val="22"/>
              </w:rPr>
              <w:t xml:space="preserve"> </w:t>
            </w:r>
            <w:r w:rsidR="00A25AB4" w:rsidRPr="001926F8">
              <w:rPr>
                <w:rFonts w:cs="Arial"/>
                <w:szCs w:val="22"/>
              </w:rPr>
              <w:t>2023</w:t>
            </w:r>
          </w:p>
        </w:tc>
      </w:tr>
    </w:tbl>
    <w:p w14:paraId="1BD8F4EB" w14:textId="491B3C8F" w:rsidR="00A402F6" w:rsidRPr="001926F8" w:rsidRDefault="00A402F6" w:rsidP="001966E8">
      <w:pPr>
        <w:widowControl w:val="0"/>
        <w:spacing w:before="480" w:after="480" w:line="360" w:lineRule="auto"/>
        <w:jc w:val="both"/>
        <w:rPr>
          <w:rFonts w:cs="Arial"/>
          <w:szCs w:val="22"/>
        </w:rPr>
      </w:pPr>
    </w:p>
    <w:sectPr w:rsidR="00A402F6" w:rsidRPr="001926F8"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F5F11" w14:textId="77777777" w:rsidR="00AE7DD6" w:rsidRDefault="00AE7DD6">
      <w:r>
        <w:separator/>
      </w:r>
    </w:p>
  </w:endnote>
  <w:endnote w:type="continuationSeparator" w:id="0">
    <w:p w14:paraId="0FFF08E3" w14:textId="77777777" w:rsidR="00AE7DD6" w:rsidRDefault="00AE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FEFB5" w14:textId="77777777" w:rsidR="00AE7DD6" w:rsidRDefault="00AE7DD6">
      <w:r>
        <w:separator/>
      </w:r>
    </w:p>
  </w:footnote>
  <w:footnote w:type="continuationSeparator" w:id="0">
    <w:p w14:paraId="3BFA1D9D" w14:textId="77777777" w:rsidR="00AE7DD6" w:rsidRDefault="00AE7DD6">
      <w:r>
        <w:continuationSeparator/>
      </w:r>
    </w:p>
  </w:footnote>
  <w:footnote w:id="1">
    <w:p w14:paraId="4629AD70" w14:textId="0ED60F9C" w:rsidR="005C47BD" w:rsidRDefault="005C47BD">
      <w:pPr>
        <w:pStyle w:val="FootnoteText"/>
      </w:pPr>
      <w:r>
        <w:rPr>
          <w:rStyle w:val="FootnoteReference"/>
        </w:rPr>
        <w:footnoteRef/>
      </w:r>
      <w:r>
        <w:t xml:space="preserve"> </w:t>
      </w:r>
      <w:r>
        <w:tab/>
        <w:t>Prayer 1.1.</w:t>
      </w:r>
    </w:p>
  </w:footnote>
  <w:footnote w:id="2">
    <w:p w14:paraId="01A36619" w14:textId="71C4E505" w:rsidR="005C47BD" w:rsidRDefault="005C47BD">
      <w:pPr>
        <w:pStyle w:val="FootnoteText"/>
      </w:pPr>
      <w:r>
        <w:rPr>
          <w:rStyle w:val="FootnoteReference"/>
        </w:rPr>
        <w:footnoteRef/>
      </w:r>
      <w:r>
        <w:t xml:space="preserve"> </w:t>
      </w:r>
      <w:r>
        <w:tab/>
        <w:t>Prayer 1.2.</w:t>
      </w:r>
    </w:p>
  </w:footnote>
  <w:footnote w:id="3">
    <w:p w14:paraId="244D53D8" w14:textId="3DB83C3D" w:rsidR="0005269E" w:rsidRDefault="0005269E">
      <w:pPr>
        <w:pStyle w:val="FootnoteText"/>
      </w:pPr>
      <w:r>
        <w:rPr>
          <w:rStyle w:val="FootnoteReference"/>
        </w:rPr>
        <w:footnoteRef/>
      </w:r>
      <w:r>
        <w:t xml:space="preserve"> </w:t>
      </w:r>
      <w:r>
        <w:tab/>
      </w:r>
      <w:r>
        <w:rPr>
          <w:rFonts w:cs="Arial"/>
          <w:sz w:val="22"/>
          <w:szCs w:val="22"/>
        </w:rPr>
        <w:t>E</w:t>
      </w:r>
      <w:r w:rsidRPr="001926F8">
        <w:rPr>
          <w:rFonts w:cs="Arial"/>
          <w:sz w:val="22"/>
          <w:szCs w:val="22"/>
        </w:rPr>
        <w:t>stablished in terms of the Transport Appeal Tribunal Act, 39 of 1998</w:t>
      </w:r>
    </w:p>
  </w:footnote>
  <w:footnote w:id="4">
    <w:p w14:paraId="1BD55909" w14:textId="0F5AC5E2" w:rsidR="00185CB0" w:rsidRDefault="00185CB0">
      <w:pPr>
        <w:pStyle w:val="FootnoteText"/>
      </w:pPr>
      <w:r>
        <w:rPr>
          <w:rStyle w:val="FootnoteReference"/>
        </w:rPr>
        <w:footnoteRef/>
      </w:r>
      <w:r>
        <w:t xml:space="preserve"> </w:t>
      </w:r>
      <w:r>
        <w:tab/>
        <w:t xml:space="preserve">See also </w:t>
      </w:r>
      <w:r w:rsidRPr="005F5465">
        <w:rPr>
          <w:i/>
          <w:iCs/>
        </w:rPr>
        <w:t>In re: Several matters on the urgent court roll 18 September 2012</w:t>
      </w:r>
      <w:r>
        <w:t xml:space="preserve"> </w:t>
      </w:r>
      <w:r w:rsidRPr="005F5465">
        <w:t>[ 2012 ] 4 All SA 570 (GSJ)</w:t>
      </w:r>
      <w:r>
        <w:t>, a judgment by Wepener J.</w:t>
      </w:r>
    </w:p>
  </w:footnote>
  <w:footnote w:id="5">
    <w:p w14:paraId="7E21D47F" w14:textId="77777777" w:rsidR="006F11B1" w:rsidRPr="00E43C23" w:rsidRDefault="006F11B1" w:rsidP="006F11B1">
      <w:pPr>
        <w:pStyle w:val="FootnoteText"/>
        <w:rPr>
          <w:color w:val="000000" w:themeColor="text1"/>
        </w:rPr>
      </w:pPr>
      <w:r>
        <w:rPr>
          <w:rStyle w:val="FootnoteReference"/>
        </w:rPr>
        <w:footnoteRef/>
      </w:r>
      <w:r>
        <w:t xml:space="preserve"> </w:t>
      </w:r>
      <w:r>
        <w:tab/>
      </w:r>
      <w:r w:rsidRPr="00E43C23">
        <w:rPr>
          <w:i/>
          <w:iCs/>
          <w:color w:val="000000" w:themeColor="text1"/>
        </w:rPr>
        <w:t>Fakie NO v CCII Systems (Pty) Ltd</w:t>
      </w:r>
      <w:r w:rsidRPr="00E43C23">
        <w:rPr>
          <w:color w:val="000000" w:themeColor="text1"/>
        </w:rPr>
        <w:t xml:space="preserve"> 2006 (4) SA 326 (SCA)</w:t>
      </w:r>
      <w:r>
        <w:rPr>
          <w:color w:val="000000" w:themeColor="text1"/>
        </w:rPr>
        <w:t xml:space="preserve"> para 6 et seq</w:t>
      </w:r>
      <w:r w:rsidRPr="00E43C23">
        <w:rPr>
          <w:color w:val="000000" w:themeColor="text1"/>
        </w:rPr>
        <w:t>. See also</w:t>
      </w:r>
      <w:r w:rsidRPr="00E43C23">
        <w:rPr>
          <w:rFonts w:cs="Arial"/>
          <w:color w:val="000000" w:themeColor="text1"/>
        </w:rPr>
        <w:t xml:space="preserve"> </w:t>
      </w:r>
      <w:r w:rsidRPr="00E43C23">
        <w:rPr>
          <w:rFonts w:cs="Arial"/>
          <w:i/>
          <w:iCs/>
          <w:color w:val="000000" w:themeColor="text1"/>
        </w:rPr>
        <w:t>Uncedo Taxi Service Association v Maninjwa</w:t>
      </w:r>
      <w:r w:rsidRPr="00E43C23">
        <w:rPr>
          <w:rFonts w:cs="Arial"/>
          <w:color w:val="000000" w:themeColor="text1"/>
        </w:rPr>
        <w:t xml:space="preserve"> 1998 (3) SA 417 (ECD) 429 G – I,</w:t>
      </w:r>
      <w:r w:rsidRPr="00E43C23">
        <w:rPr>
          <w:color w:val="000000" w:themeColor="text1"/>
        </w:rPr>
        <w:t xml:space="preserve"> </w:t>
      </w:r>
      <w:r w:rsidRPr="00E43C23">
        <w:rPr>
          <w:rFonts w:cs="Arial"/>
          <w:i/>
          <w:iCs/>
          <w:color w:val="000000" w:themeColor="text1"/>
        </w:rPr>
        <w:t>Dezius v Dezius</w:t>
      </w:r>
      <w:r w:rsidRPr="00E43C23">
        <w:rPr>
          <w:rFonts w:cs="Arial"/>
          <w:color w:val="000000" w:themeColor="text1"/>
        </w:rPr>
        <w:t> </w:t>
      </w:r>
      <w:hyperlink r:id="rId1" w:tooltip="View LawCiteRecord" w:history="1">
        <w:r w:rsidRPr="00E43C23">
          <w:rPr>
            <w:rStyle w:val="Hyperlink"/>
            <w:rFonts w:cs="Arial"/>
            <w:color w:val="000000" w:themeColor="text1"/>
            <w:u w:val="none"/>
          </w:rPr>
          <w:t>2006 (6) SA 395</w:t>
        </w:r>
      </w:hyperlink>
      <w:r w:rsidRPr="00E43C23">
        <w:rPr>
          <w:rFonts w:cs="Arial"/>
          <w:color w:val="000000" w:themeColor="text1"/>
        </w:rPr>
        <w:t xml:space="preserve"> (CPD), </w:t>
      </w:r>
      <w:r w:rsidRPr="00E43C23">
        <w:rPr>
          <w:i/>
          <w:iCs/>
          <w:color w:val="000000" w:themeColor="text1"/>
        </w:rPr>
        <w:t xml:space="preserve">Wilson v Wilson </w:t>
      </w:r>
      <w:r w:rsidRPr="00E43C23">
        <w:rPr>
          <w:color w:val="000000" w:themeColor="text1"/>
        </w:rPr>
        <w:t>[2009] ZAFSHC 2</w:t>
      </w:r>
      <w:r>
        <w:rPr>
          <w:color w:val="000000" w:themeColor="text1"/>
        </w:rPr>
        <w:t xml:space="preserve"> para 10, </w:t>
      </w:r>
      <w:r w:rsidRPr="00E43C23">
        <w:rPr>
          <w:color w:val="000000" w:themeColor="text1"/>
        </w:rPr>
        <w:t xml:space="preserve">and </w:t>
      </w:r>
      <w:r w:rsidRPr="00E43C23">
        <w:rPr>
          <w:rFonts w:cs="Arial"/>
          <w:i/>
          <w:iCs/>
          <w:color w:val="000000" w:themeColor="text1"/>
        </w:rPr>
        <w:t>AR v MN</w:t>
      </w:r>
      <w:r w:rsidRPr="00E43C23">
        <w:rPr>
          <w:rFonts w:cs="Arial"/>
          <w:color w:val="000000" w:themeColor="text1"/>
        </w:rPr>
        <w:t xml:space="preserve">  [2020] ZAGPJHC 215.</w:t>
      </w:r>
    </w:p>
  </w:footnote>
  <w:footnote w:id="6">
    <w:p w14:paraId="72E20AD6" w14:textId="77777777" w:rsidR="006F11B1" w:rsidRDefault="006F11B1" w:rsidP="006F11B1">
      <w:pPr>
        <w:pStyle w:val="FootnoteText"/>
      </w:pPr>
      <w:r>
        <w:rPr>
          <w:rStyle w:val="FootnoteReference"/>
        </w:rPr>
        <w:footnoteRef/>
      </w:r>
      <w:r>
        <w:t xml:space="preserve"> </w:t>
      </w:r>
      <w:r>
        <w:tab/>
      </w:r>
      <w:r w:rsidRPr="00E43C23">
        <w:rPr>
          <w:i/>
          <w:iCs/>
          <w:color w:val="000000" w:themeColor="text1"/>
        </w:rPr>
        <w:t>Fakie NO v CCII Systems (Pty) Ltd</w:t>
      </w:r>
      <w:r w:rsidRPr="00E43C23">
        <w:rPr>
          <w:color w:val="000000" w:themeColor="text1"/>
        </w:rPr>
        <w:t xml:space="preserve"> 2006 (4) SA 326 (SCA)</w:t>
      </w:r>
      <w:r>
        <w:rPr>
          <w:color w:val="000000" w:themeColor="text1"/>
        </w:rPr>
        <w:t xml:space="preserve"> para 23.</w:t>
      </w:r>
    </w:p>
  </w:footnote>
  <w:footnote w:id="7">
    <w:p w14:paraId="4E1DF8CC" w14:textId="77777777" w:rsidR="007C50EE" w:rsidRDefault="007C50EE" w:rsidP="007C50EE">
      <w:pPr>
        <w:pStyle w:val="FootnoteText"/>
      </w:pPr>
      <w:r>
        <w:rPr>
          <w:rStyle w:val="FootnoteReference"/>
        </w:rPr>
        <w:footnoteRef/>
      </w:r>
      <w:r>
        <w:t xml:space="preserve"> </w:t>
      </w:r>
      <w:r>
        <w:tab/>
      </w:r>
      <w:r w:rsidRPr="007C6E3E">
        <w:rPr>
          <w:rFonts w:cs="Arial"/>
          <w:i/>
          <w:iCs/>
          <w:color w:val="000000" w:themeColor="text1"/>
        </w:rPr>
        <w:t>Bisschoff and Others v Welbeplan Boerdery (Pty) Ltd</w:t>
      </w:r>
      <w:r w:rsidRPr="007C6E3E">
        <w:rPr>
          <w:rFonts w:cs="Arial"/>
          <w:color w:val="000000" w:themeColor="text1"/>
        </w:rPr>
        <w:t xml:space="preserve"> 2021 (5) SA 54 (SCA)</w:t>
      </w:r>
      <w:r>
        <w:rPr>
          <w:rFonts w:cs="Arial"/>
          <w:color w:val="000000" w:themeColor="text1"/>
        </w:rPr>
        <w:t xml:space="preserve"> para 5. See also</w:t>
      </w:r>
      <w:r w:rsidRPr="00DA2653">
        <w:rPr>
          <w:rFonts w:cs="Arial"/>
          <w:i/>
          <w:iCs/>
          <w:color w:val="000000" w:themeColor="text1"/>
        </w:rPr>
        <w:t xml:space="preserve"> </w:t>
      </w:r>
      <w:r w:rsidRPr="00030AAB">
        <w:rPr>
          <w:rFonts w:cs="Arial"/>
          <w:i/>
          <w:iCs/>
          <w:color w:val="000000" w:themeColor="text1"/>
        </w:rPr>
        <w:t>Tswelopele Non-Profit Organisation and Others v City of Tshwane Metropolitan Municipality and Others</w:t>
      </w:r>
      <w:r w:rsidRPr="00BF3B21">
        <w:rPr>
          <w:rFonts w:cs="Arial"/>
          <w:color w:val="000000" w:themeColor="text1"/>
        </w:rPr>
        <w:t> </w:t>
      </w:r>
      <w:hyperlink r:id="rId2" w:history="1">
        <w:r w:rsidRPr="00DA2653">
          <w:rPr>
            <w:rStyle w:val="Hyperlink"/>
            <w:rFonts w:cs="Arial"/>
            <w:color w:val="000000" w:themeColor="text1"/>
            <w:u w:val="none"/>
          </w:rPr>
          <w:t>2007 (6) SA 511 (SCA)</w:t>
        </w:r>
      </w:hyperlink>
      <w:r w:rsidRPr="00BF3B21">
        <w:rPr>
          <w:rFonts w:cs="Arial"/>
          <w:color w:val="000000" w:themeColor="text1"/>
        </w:rPr>
        <w:t>  para 22; </w:t>
      </w:r>
      <w:r w:rsidRPr="00030AAB">
        <w:rPr>
          <w:rFonts w:cs="Arial"/>
          <w:i/>
          <w:iCs/>
          <w:color w:val="000000" w:themeColor="text1"/>
        </w:rPr>
        <w:t>Ngqukumba v Minister of Safety and Security and Others</w:t>
      </w:r>
      <w:r w:rsidRPr="00BF3B21">
        <w:rPr>
          <w:rFonts w:cs="Arial"/>
          <w:color w:val="000000" w:themeColor="text1"/>
        </w:rPr>
        <w:t> </w:t>
      </w:r>
      <w:hyperlink r:id="rId3" w:history="1">
        <w:r w:rsidRPr="00DA2653">
          <w:rPr>
            <w:rStyle w:val="Hyperlink"/>
            <w:rFonts w:cs="Arial"/>
            <w:color w:val="000000" w:themeColor="text1"/>
            <w:u w:val="none"/>
          </w:rPr>
          <w:t>2014 (5) SA 112 (CC)</w:t>
        </w:r>
      </w:hyperlink>
      <w:r w:rsidRPr="00DA2653">
        <w:rPr>
          <w:rFonts w:cs="Arial"/>
          <w:color w:val="000000" w:themeColor="text1"/>
        </w:rPr>
        <w:t> </w:t>
      </w:r>
      <w:r w:rsidRPr="00BF3B21">
        <w:rPr>
          <w:rFonts w:cs="Arial"/>
          <w:color w:val="000000" w:themeColor="text1"/>
        </w:rPr>
        <w:t xml:space="preserve"> paras 10 </w:t>
      </w:r>
      <w:r>
        <w:rPr>
          <w:rFonts w:cs="Arial"/>
          <w:color w:val="000000" w:themeColor="text1"/>
        </w:rPr>
        <w:t>to</w:t>
      </w:r>
      <w:r w:rsidRPr="00BF3B21">
        <w:rPr>
          <w:rFonts w:cs="Arial"/>
          <w:color w:val="000000" w:themeColor="text1"/>
        </w:rPr>
        <w:t xml:space="preserve"> 12</w:t>
      </w:r>
      <w:r>
        <w:rPr>
          <w:rFonts w:cs="Arial"/>
          <w:color w:val="000000" w:themeColor="text1"/>
        </w:rPr>
        <w:t xml:space="preserve">, </w:t>
      </w:r>
      <w:r w:rsidRPr="00BA3E4C">
        <w:rPr>
          <w:i/>
          <w:iCs/>
        </w:rPr>
        <w:t>Blendrite (Pty) Ltd and Another v Moonisami and Another</w:t>
      </w:r>
      <w:r>
        <w:t xml:space="preserve"> </w:t>
      </w:r>
      <w:r w:rsidRPr="003503B0">
        <w:t>2021 (5) SA 61 (SCA)</w:t>
      </w:r>
      <w:r>
        <w:t xml:space="preserve"> paras 6 to 8, </w:t>
      </w:r>
      <w:r>
        <w:rPr>
          <w:rFonts w:cs="Arial"/>
          <w:color w:val="000000" w:themeColor="text1"/>
        </w:rPr>
        <w:t xml:space="preserve">and  </w:t>
      </w:r>
      <w:r w:rsidRPr="00A70A6D">
        <w:t xml:space="preserve">Van Loggerenberg </w:t>
      </w:r>
      <w:r w:rsidRPr="00A70A6D">
        <w:rPr>
          <w:i/>
          <w:iCs/>
        </w:rPr>
        <w:t>Erasmus: Superior Court Practice</w:t>
      </w:r>
      <w:r>
        <w:rPr>
          <w:i/>
          <w:iCs/>
        </w:rPr>
        <w:t xml:space="preserve"> </w:t>
      </w:r>
      <w:r>
        <w:t>RS20, 2022, D7-1. (Mandamenten van Spolie)</w:t>
      </w:r>
    </w:p>
  </w:footnote>
  <w:footnote w:id="8">
    <w:p w14:paraId="527809D6" w14:textId="2AEB440C" w:rsidR="0005269E" w:rsidRDefault="0005269E">
      <w:pPr>
        <w:pStyle w:val="FootnoteText"/>
      </w:pPr>
      <w:r>
        <w:rPr>
          <w:rStyle w:val="FootnoteReference"/>
        </w:rPr>
        <w:footnoteRef/>
      </w:r>
      <w:r>
        <w:t xml:space="preserve"> </w:t>
      </w:r>
      <w:r>
        <w:tab/>
        <w:t>Referred to in the previous paragraph.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8A9B" w14:textId="7727ABAD" w:rsidR="00893C08" w:rsidRPr="006C43D7" w:rsidRDefault="00893C08"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C44A70">
      <w:rPr>
        <w:rFonts w:cs="Arial"/>
        <w:noProof/>
        <w:sz w:val="20"/>
        <w:szCs w:val="20"/>
        <w:lang w:val="en-GB"/>
      </w:rPr>
      <w:t>9</w:t>
    </w:r>
    <w:r w:rsidRPr="006C43D7">
      <w:rPr>
        <w:rFonts w:cs="Arial"/>
        <w:sz w:val="20"/>
        <w:szCs w:val="20"/>
        <w:lang w:val="en-GB"/>
      </w:rPr>
      <w:fldChar w:fldCharType="end"/>
    </w:r>
  </w:p>
  <w:p w14:paraId="08C008E5" w14:textId="77777777" w:rsidR="00893C08" w:rsidRPr="006C43D7" w:rsidRDefault="00893C08" w:rsidP="006C43D7">
    <w:pPr>
      <w:tabs>
        <w:tab w:val="center" w:pos="4153"/>
        <w:tab w:val="right" w:pos="8306"/>
      </w:tabs>
      <w:spacing w:line="276" w:lineRule="auto"/>
      <w:jc w:val="right"/>
      <w:rPr>
        <w:rFonts w:cs="Arial"/>
        <w:lang w:val="en-US"/>
      </w:rPr>
    </w:pPr>
  </w:p>
  <w:p w14:paraId="4A21EF97" w14:textId="77777777" w:rsidR="00893C08" w:rsidRPr="006C43D7" w:rsidRDefault="00893C08" w:rsidP="006C43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CBE"/>
    <w:multiLevelType w:val="hybridMultilevel"/>
    <w:tmpl w:val="E56E2A0A"/>
    <w:lvl w:ilvl="0" w:tplc="C4DCE15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0FD7472"/>
    <w:multiLevelType w:val="hybridMultilevel"/>
    <w:tmpl w:val="2710F7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15:restartNumberingAfterBreak="0">
    <w:nsid w:val="27CD3052"/>
    <w:multiLevelType w:val="hybridMultilevel"/>
    <w:tmpl w:val="C6AC48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4"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5" w15:restartNumberingAfterBreak="0">
    <w:nsid w:val="43317F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20"/>
  </w:num>
  <w:num w:numId="4">
    <w:abstractNumId w:val="12"/>
  </w:num>
  <w:num w:numId="5">
    <w:abstractNumId w:val="19"/>
  </w:num>
  <w:num w:numId="6">
    <w:abstractNumId w:val="17"/>
  </w:num>
  <w:num w:numId="7">
    <w:abstractNumId w:val="1"/>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21"/>
  </w:num>
  <w:num w:numId="12">
    <w:abstractNumId w:val="8"/>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8"/>
  </w:num>
  <w:num w:numId="14">
    <w:abstractNumId w:val="16"/>
  </w:num>
  <w:num w:numId="15">
    <w:abstractNumId w:val="7"/>
  </w:num>
  <w:num w:numId="16">
    <w:abstractNumId w:val="11"/>
  </w:num>
  <w:num w:numId="17">
    <w:abstractNumId w:val="6"/>
  </w:num>
  <w:num w:numId="18">
    <w:abstractNumId w:val="2"/>
  </w:num>
  <w:num w:numId="19">
    <w:abstractNumId w:val="15"/>
  </w:num>
  <w:num w:numId="20">
    <w:abstractNumId w:val="9"/>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22CB"/>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19AA"/>
    <w:rsid w:val="000325E2"/>
    <w:rsid w:val="00036508"/>
    <w:rsid w:val="00040CD3"/>
    <w:rsid w:val="000426C0"/>
    <w:rsid w:val="00042D0E"/>
    <w:rsid w:val="0004506F"/>
    <w:rsid w:val="0004508D"/>
    <w:rsid w:val="00047F26"/>
    <w:rsid w:val="00050086"/>
    <w:rsid w:val="000504F1"/>
    <w:rsid w:val="00051A2B"/>
    <w:rsid w:val="0005269E"/>
    <w:rsid w:val="0005282E"/>
    <w:rsid w:val="000528B3"/>
    <w:rsid w:val="000550EB"/>
    <w:rsid w:val="000554B8"/>
    <w:rsid w:val="0005636C"/>
    <w:rsid w:val="0005758B"/>
    <w:rsid w:val="00060AF8"/>
    <w:rsid w:val="00063F7B"/>
    <w:rsid w:val="00066971"/>
    <w:rsid w:val="00072105"/>
    <w:rsid w:val="000737E1"/>
    <w:rsid w:val="00073E30"/>
    <w:rsid w:val="00077D11"/>
    <w:rsid w:val="00081716"/>
    <w:rsid w:val="00082EDC"/>
    <w:rsid w:val="000833BB"/>
    <w:rsid w:val="000835BE"/>
    <w:rsid w:val="00085288"/>
    <w:rsid w:val="000862A9"/>
    <w:rsid w:val="00087AE6"/>
    <w:rsid w:val="000906B5"/>
    <w:rsid w:val="00090FFC"/>
    <w:rsid w:val="00092591"/>
    <w:rsid w:val="0009429D"/>
    <w:rsid w:val="0009488C"/>
    <w:rsid w:val="0009540B"/>
    <w:rsid w:val="000956E5"/>
    <w:rsid w:val="00096A67"/>
    <w:rsid w:val="000976D2"/>
    <w:rsid w:val="00097968"/>
    <w:rsid w:val="000A6AD8"/>
    <w:rsid w:val="000B0A70"/>
    <w:rsid w:val="000B21DA"/>
    <w:rsid w:val="000B39D7"/>
    <w:rsid w:val="000B709B"/>
    <w:rsid w:val="000C7A3D"/>
    <w:rsid w:val="000D01E0"/>
    <w:rsid w:val="000D21E7"/>
    <w:rsid w:val="000D2265"/>
    <w:rsid w:val="000D415C"/>
    <w:rsid w:val="000D4E84"/>
    <w:rsid w:val="000D53F5"/>
    <w:rsid w:val="000D5760"/>
    <w:rsid w:val="000D71C5"/>
    <w:rsid w:val="000D7D6A"/>
    <w:rsid w:val="000E1EC8"/>
    <w:rsid w:val="000E3EE8"/>
    <w:rsid w:val="000E4985"/>
    <w:rsid w:val="000E5343"/>
    <w:rsid w:val="000F00EF"/>
    <w:rsid w:val="000F430D"/>
    <w:rsid w:val="000F59F8"/>
    <w:rsid w:val="000F7813"/>
    <w:rsid w:val="00101890"/>
    <w:rsid w:val="001025B5"/>
    <w:rsid w:val="00104142"/>
    <w:rsid w:val="00105F97"/>
    <w:rsid w:val="00107D26"/>
    <w:rsid w:val="00107D90"/>
    <w:rsid w:val="001114D8"/>
    <w:rsid w:val="001142D1"/>
    <w:rsid w:val="00120C79"/>
    <w:rsid w:val="00120FB1"/>
    <w:rsid w:val="00130253"/>
    <w:rsid w:val="00130C4A"/>
    <w:rsid w:val="00130EA6"/>
    <w:rsid w:val="00133E81"/>
    <w:rsid w:val="001342B3"/>
    <w:rsid w:val="00140CED"/>
    <w:rsid w:val="00141AD1"/>
    <w:rsid w:val="0014628D"/>
    <w:rsid w:val="00147FF5"/>
    <w:rsid w:val="00151DA9"/>
    <w:rsid w:val="00152899"/>
    <w:rsid w:val="00154961"/>
    <w:rsid w:val="00155A21"/>
    <w:rsid w:val="00161057"/>
    <w:rsid w:val="0016589D"/>
    <w:rsid w:val="001671C1"/>
    <w:rsid w:val="00171182"/>
    <w:rsid w:val="0017124B"/>
    <w:rsid w:val="00171D7F"/>
    <w:rsid w:val="00172763"/>
    <w:rsid w:val="00172DDF"/>
    <w:rsid w:val="00175DDD"/>
    <w:rsid w:val="001802F8"/>
    <w:rsid w:val="00180CB6"/>
    <w:rsid w:val="001838CC"/>
    <w:rsid w:val="00183EB6"/>
    <w:rsid w:val="00185ACF"/>
    <w:rsid w:val="00185CB0"/>
    <w:rsid w:val="00190579"/>
    <w:rsid w:val="00190F4E"/>
    <w:rsid w:val="001916C4"/>
    <w:rsid w:val="0019236B"/>
    <w:rsid w:val="001923E3"/>
    <w:rsid w:val="00192613"/>
    <w:rsid w:val="001926F8"/>
    <w:rsid w:val="00192F78"/>
    <w:rsid w:val="00193DDD"/>
    <w:rsid w:val="00195810"/>
    <w:rsid w:val="001966E8"/>
    <w:rsid w:val="00196E14"/>
    <w:rsid w:val="001A2608"/>
    <w:rsid w:val="001A5145"/>
    <w:rsid w:val="001A522A"/>
    <w:rsid w:val="001A70B4"/>
    <w:rsid w:val="001A7904"/>
    <w:rsid w:val="001A7B77"/>
    <w:rsid w:val="001B1550"/>
    <w:rsid w:val="001B1D39"/>
    <w:rsid w:val="001B35C2"/>
    <w:rsid w:val="001B4217"/>
    <w:rsid w:val="001B4812"/>
    <w:rsid w:val="001B4893"/>
    <w:rsid w:val="001B5D3E"/>
    <w:rsid w:val="001B5E58"/>
    <w:rsid w:val="001B606B"/>
    <w:rsid w:val="001B7889"/>
    <w:rsid w:val="001C0755"/>
    <w:rsid w:val="001C2371"/>
    <w:rsid w:val="001C33E6"/>
    <w:rsid w:val="001C608F"/>
    <w:rsid w:val="001C7048"/>
    <w:rsid w:val="001D1569"/>
    <w:rsid w:val="001D3CC2"/>
    <w:rsid w:val="001E0529"/>
    <w:rsid w:val="001E2EED"/>
    <w:rsid w:val="001E44D1"/>
    <w:rsid w:val="001E4691"/>
    <w:rsid w:val="001E518E"/>
    <w:rsid w:val="001F09D1"/>
    <w:rsid w:val="001F0A29"/>
    <w:rsid w:val="001F0CE5"/>
    <w:rsid w:val="001F361F"/>
    <w:rsid w:val="001F3DBD"/>
    <w:rsid w:val="001F648A"/>
    <w:rsid w:val="001F6F43"/>
    <w:rsid w:val="00200B96"/>
    <w:rsid w:val="00201620"/>
    <w:rsid w:val="00203DA2"/>
    <w:rsid w:val="0020474A"/>
    <w:rsid w:val="00205392"/>
    <w:rsid w:val="00205E72"/>
    <w:rsid w:val="00206919"/>
    <w:rsid w:val="002104BF"/>
    <w:rsid w:val="002108B6"/>
    <w:rsid w:val="00211F49"/>
    <w:rsid w:val="00213738"/>
    <w:rsid w:val="00214877"/>
    <w:rsid w:val="00215824"/>
    <w:rsid w:val="00216BC8"/>
    <w:rsid w:val="002175BA"/>
    <w:rsid w:val="002200DC"/>
    <w:rsid w:val="0022218D"/>
    <w:rsid w:val="00226926"/>
    <w:rsid w:val="00227C24"/>
    <w:rsid w:val="002302E3"/>
    <w:rsid w:val="00232528"/>
    <w:rsid w:val="0023405C"/>
    <w:rsid w:val="00235D20"/>
    <w:rsid w:val="00236E47"/>
    <w:rsid w:val="00237806"/>
    <w:rsid w:val="00237FF9"/>
    <w:rsid w:val="0024012B"/>
    <w:rsid w:val="00243D2F"/>
    <w:rsid w:val="00244FB9"/>
    <w:rsid w:val="00250164"/>
    <w:rsid w:val="00251668"/>
    <w:rsid w:val="002535F0"/>
    <w:rsid w:val="00253F38"/>
    <w:rsid w:val="00253F72"/>
    <w:rsid w:val="00260B0A"/>
    <w:rsid w:val="002625C5"/>
    <w:rsid w:val="00262819"/>
    <w:rsid w:val="002635C4"/>
    <w:rsid w:val="00263A96"/>
    <w:rsid w:val="00270557"/>
    <w:rsid w:val="002709AE"/>
    <w:rsid w:val="00272B77"/>
    <w:rsid w:val="0027600C"/>
    <w:rsid w:val="00277491"/>
    <w:rsid w:val="00285040"/>
    <w:rsid w:val="00285062"/>
    <w:rsid w:val="0029196F"/>
    <w:rsid w:val="00292E3E"/>
    <w:rsid w:val="0029369B"/>
    <w:rsid w:val="00293C02"/>
    <w:rsid w:val="0029605B"/>
    <w:rsid w:val="00296DAF"/>
    <w:rsid w:val="002976B8"/>
    <w:rsid w:val="002A030C"/>
    <w:rsid w:val="002A4B7B"/>
    <w:rsid w:val="002B0355"/>
    <w:rsid w:val="002B05EA"/>
    <w:rsid w:val="002B12D6"/>
    <w:rsid w:val="002B528D"/>
    <w:rsid w:val="002B6270"/>
    <w:rsid w:val="002C15AC"/>
    <w:rsid w:val="002C2E80"/>
    <w:rsid w:val="002C4687"/>
    <w:rsid w:val="002C48E7"/>
    <w:rsid w:val="002D2842"/>
    <w:rsid w:val="002D47B3"/>
    <w:rsid w:val="002E0E37"/>
    <w:rsid w:val="002E3586"/>
    <w:rsid w:val="002E5B57"/>
    <w:rsid w:val="002E612C"/>
    <w:rsid w:val="002E6CD7"/>
    <w:rsid w:val="002F1C4D"/>
    <w:rsid w:val="002F2881"/>
    <w:rsid w:val="002F41F8"/>
    <w:rsid w:val="002F45AA"/>
    <w:rsid w:val="002F4A5D"/>
    <w:rsid w:val="002F508A"/>
    <w:rsid w:val="002F6309"/>
    <w:rsid w:val="002F72D3"/>
    <w:rsid w:val="00302290"/>
    <w:rsid w:val="00302382"/>
    <w:rsid w:val="003023F9"/>
    <w:rsid w:val="00302C31"/>
    <w:rsid w:val="003031A1"/>
    <w:rsid w:val="00303919"/>
    <w:rsid w:val="003047C2"/>
    <w:rsid w:val="0030653F"/>
    <w:rsid w:val="00306B41"/>
    <w:rsid w:val="003102C8"/>
    <w:rsid w:val="0031117B"/>
    <w:rsid w:val="00312EBC"/>
    <w:rsid w:val="00313056"/>
    <w:rsid w:val="00314262"/>
    <w:rsid w:val="00315366"/>
    <w:rsid w:val="00321DF8"/>
    <w:rsid w:val="00323058"/>
    <w:rsid w:val="00324658"/>
    <w:rsid w:val="00324EDF"/>
    <w:rsid w:val="003312BF"/>
    <w:rsid w:val="003313A2"/>
    <w:rsid w:val="00336988"/>
    <w:rsid w:val="00337135"/>
    <w:rsid w:val="00340CD6"/>
    <w:rsid w:val="0034147B"/>
    <w:rsid w:val="00342E02"/>
    <w:rsid w:val="0034421F"/>
    <w:rsid w:val="003448B1"/>
    <w:rsid w:val="003463D6"/>
    <w:rsid w:val="00346D31"/>
    <w:rsid w:val="00346DE6"/>
    <w:rsid w:val="00347E19"/>
    <w:rsid w:val="0035170A"/>
    <w:rsid w:val="003541F6"/>
    <w:rsid w:val="00354395"/>
    <w:rsid w:val="003543C5"/>
    <w:rsid w:val="00354EF2"/>
    <w:rsid w:val="00355BEB"/>
    <w:rsid w:val="00357081"/>
    <w:rsid w:val="00357D35"/>
    <w:rsid w:val="0036253D"/>
    <w:rsid w:val="00363FCD"/>
    <w:rsid w:val="00364C43"/>
    <w:rsid w:val="00364E6A"/>
    <w:rsid w:val="00364E80"/>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3EAF"/>
    <w:rsid w:val="003840EC"/>
    <w:rsid w:val="00385DBA"/>
    <w:rsid w:val="00386938"/>
    <w:rsid w:val="0038715A"/>
    <w:rsid w:val="00390C3F"/>
    <w:rsid w:val="00393127"/>
    <w:rsid w:val="003940DD"/>
    <w:rsid w:val="0039420E"/>
    <w:rsid w:val="00394A1A"/>
    <w:rsid w:val="00395873"/>
    <w:rsid w:val="003959D1"/>
    <w:rsid w:val="00396886"/>
    <w:rsid w:val="003A1D18"/>
    <w:rsid w:val="003A62CC"/>
    <w:rsid w:val="003A649B"/>
    <w:rsid w:val="003A7864"/>
    <w:rsid w:val="003A7CA2"/>
    <w:rsid w:val="003B0845"/>
    <w:rsid w:val="003B0C56"/>
    <w:rsid w:val="003B11F4"/>
    <w:rsid w:val="003B1882"/>
    <w:rsid w:val="003B4100"/>
    <w:rsid w:val="003B6C02"/>
    <w:rsid w:val="003B75AD"/>
    <w:rsid w:val="003C067B"/>
    <w:rsid w:val="003C0ED8"/>
    <w:rsid w:val="003C1488"/>
    <w:rsid w:val="003C1A16"/>
    <w:rsid w:val="003C1E91"/>
    <w:rsid w:val="003C5536"/>
    <w:rsid w:val="003C7FCC"/>
    <w:rsid w:val="003D1202"/>
    <w:rsid w:val="003D19C3"/>
    <w:rsid w:val="003D36F9"/>
    <w:rsid w:val="003D77F1"/>
    <w:rsid w:val="003D7970"/>
    <w:rsid w:val="003E0159"/>
    <w:rsid w:val="003E449A"/>
    <w:rsid w:val="003E44F4"/>
    <w:rsid w:val="003E4A33"/>
    <w:rsid w:val="003E54E1"/>
    <w:rsid w:val="003E724B"/>
    <w:rsid w:val="003E780C"/>
    <w:rsid w:val="003E7A60"/>
    <w:rsid w:val="003F1F49"/>
    <w:rsid w:val="003F23F0"/>
    <w:rsid w:val="003F4801"/>
    <w:rsid w:val="003F7448"/>
    <w:rsid w:val="00400CCC"/>
    <w:rsid w:val="00404A52"/>
    <w:rsid w:val="00407B85"/>
    <w:rsid w:val="00407F28"/>
    <w:rsid w:val="00410BA9"/>
    <w:rsid w:val="0041100A"/>
    <w:rsid w:val="004131C5"/>
    <w:rsid w:val="0041363D"/>
    <w:rsid w:val="00413D9B"/>
    <w:rsid w:val="00415439"/>
    <w:rsid w:val="0042161A"/>
    <w:rsid w:val="0042423E"/>
    <w:rsid w:val="00424BA6"/>
    <w:rsid w:val="004274E7"/>
    <w:rsid w:val="00430142"/>
    <w:rsid w:val="00430B04"/>
    <w:rsid w:val="00431ABD"/>
    <w:rsid w:val="004339E6"/>
    <w:rsid w:val="00434796"/>
    <w:rsid w:val="0043683A"/>
    <w:rsid w:val="00437EB1"/>
    <w:rsid w:val="00441422"/>
    <w:rsid w:val="00444ED6"/>
    <w:rsid w:val="00445DCB"/>
    <w:rsid w:val="00447235"/>
    <w:rsid w:val="004479C3"/>
    <w:rsid w:val="0045044C"/>
    <w:rsid w:val="00451D8F"/>
    <w:rsid w:val="004535CD"/>
    <w:rsid w:val="004541DC"/>
    <w:rsid w:val="00460495"/>
    <w:rsid w:val="00460EEA"/>
    <w:rsid w:val="004630B6"/>
    <w:rsid w:val="00463106"/>
    <w:rsid w:val="00466A30"/>
    <w:rsid w:val="00467F5B"/>
    <w:rsid w:val="00472F97"/>
    <w:rsid w:val="00474607"/>
    <w:rsid w:val="00474910"/>
    <w:rsid w:val="004749AF"/>
    <w:rsid w:val="00475410"/>
    <w:rsid w:val="00475E80"/>
    <w:rsid w:val="004774FF"/>
    <w:rsid w:val="0048285C"/>
    <w:rsid w:val="00483F21"/>
    <w:rsid w:val="00484116"/>
    <w:rsid w:val="00484163"/>
    <w:rsid w:val="0048424E"/>
    <w:rsid w:val="00484F8A"/>
    <w:rsid w:val="00486F42"/>
    <w:rsid w:val="00487D14"/>
    <w:rsid w:val="0049165E"/>
    <w:rsid w:val="004923A9"/>
    <w:rsid w:val="00494337"/>
    <w:rsid w:val="00495F7C"/>
    <w:rsid w:val="004976D5"/>
    <w:rsid w:val="004A11D9"/>
    <w:rsid w:val="004A1E3F"/>
    <w:rsid w:val="004A2C7E"/>
    <w:rsid w:val="004A5056"/>
    <w:rsid w:val="004A6366"/>
    <w:rsid w:val="004A6625"/>
    <w:rsid w:val="004A69D6"/>
    <w:rsid w:val="004A70AB"/>
    <w:rsid w:val="004A7DFE"/>
    <w:rsid w:val="004B085D"/>
    <w:rsid w:val="004B0DBA"/>
    <w:rsid w:val="004B21D9"/>
    <w:rsid w:val="004B255A"/>
    <w:rsid w:val="004B3CA9"/>
    <w:rsid w:val="004C0CE3"/>
    <w:rsid w:val="004C368B"/>
    <w:rsid w:val="004D1A31"/>
    <w:rsid w:val="004D1A91"/>
    <w:rsid w:val="004D2123"/>
    <w:rsid w:val="004D262A"/>
    <w:rsid w:val="004D2C6F"/>
    <w:rsid w:val="004D2E01"/>
    <w:rsid w:val="004D3237"/>
    <w:rsid w:val="004D4E89"/>
    <w:rsid w:val="004D635C"/>
    <w:rsid w:val="004D7F2E"/>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D23"/>
    <w:rsid w:val="00502E5E"/>
    <w:rsid w:val="00504B53"/>
    <w:rsid w:val="00505FF7"/>
    <w:rsid w:val="0051015D"/>
    <w:rsid w:val="0051292D"/>
    <w:rsid w:val="00512B49"/>
    <w:rsid w:val="00514162"/>
    <w:rsid w:val="00514426"/>
    <w:rsid w:val="0051442D"/>
    <w:rsid w:val="00514B3B"/>
    <w:rsid w:val="005150A3"/>
    <w:rsid w:val="00515FD8"/>
    <w:rsid w:val="0051622D"/>
    <w:rsid w:val="00517A09"/>
    <w:rsid w:val="005207B2"/>
    <w:rsid w:val="005219EB"/>
    <w:rsid w:val="005262C2"/>
    <w:rsid w:val="005263F0"/>
    <w:rsid w:val="0052705A"/>
    <w:rsid w:val="005272E3"/>
    <w:rsid w:val="00532E26"/>
    <w:rsid w:val="00537126"/>
    <w:rsid w:val="00537A72"/>
    <w:rsid w:val="005405F8"/>
    <w:rsid w:val="00542EAE"/>
    <w:rsid w:val="005431B1"/>
    <w:rsid w:val="00546878"/>
    <w:rsid w:val="005509BE"/>
    <w:rsid w:val="00550FF0"/>
    <w:rsid w:val="00560E18"/>
    <w:rsid w:val="005615BB"/>
    <w:rsid w:val="005621E7"/>
    <w:rsid w:val="00562B7E"/>
    <w:rsid w:val="00563355"/>
    <w:rsid w:val="00571E81"/>
    <w:rsid w:val="00573424"/>
    <w:rsid w:val="00573FF9"/>
    <w:rsid w:val="005743CA"/>
    <w:rsid w:val="005755B7"/>
    <w:rsid w:val="00576B16"/>
    <w:rsid w:val="00577427"/>
    <w:rsid w:val="005808E5"/>
    <w:rsid w:val="005875A9"/>
    <w:rsid w:val="00593723"/>
    <w:rsid w:val="00593C34"/>
    <w:rsid w:val="005949BC"/>
    <w:rsid w:val="005971D5"/>
    <w:rsid w:val="005A313A"/>
    <w:rsid w:val="005A35EB"/>
    <w:rsid w:val="005A5582"/>
    <w:rsid w:val="005A680F"/>
    <w:rsid w:val="005A70F0"/>
    <w:rsid w:val="005A747A"/>
    <w:rsid w:val="005A7D15"/>
    <w:rsid w:val="005B07CB"/>
    <w:rsid w:val="005B2FF9"/>
    <w:rsid w:val="005B380D"/>
    <w:rsid w:val="005B3F1C"/>
    <w:rsid w:val="005B696E"/>
    <w:rsid w:val="005B6D81"/>
    <w:rsid w:val="005B7767"/>
    <w:rsid w:val="005B7DD3"/>
    <w:rsid w:val="005C11DA"/>
    <w:rsid w:val="005C123A"/>
    <w:rsid w:val="005C1E41"/>
    <w:rsid w:val="005C47BD"/>
    <w:rsid w:val="005C7FC2"/>
    <w:rsid w:val="005D1F92"/>
    <w:rsid w:val="005D2137"/>
    <w:rsid w:val="005D2408"/>
    <w:rsid w:val="005D32A9"/>
    <w:rsid w:val="005D56A8"/>
    <w:rsid w:val="005D6122"/>
    <w:rsid w:val="005D61AF"/>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1B4"/>
    <w:rsid w:val="005F561B"/>
    <w:rsid w:val="005F5C0C"/>
    <w:rsid w:val="005F7244"/>
    <w:rsid w:val="005F7E15"/>
    <w:rsid w:val="00602403"/>
    <w:rsid w:val="006041A4"/>
    <w:rsid w:val="00610873"/>
    <w:rsid w:val="006109EC"/>
    <w:rsid w:val="00610F53"/>
    <w:rsid w:val="00611D8A"/>
    <w:rsid w:val="006122AB"/>
    <w:rsid w:val="0061430D"/>
    <w:rsid w:val="006150CE"/>
    <w:rsid w:val="00615F6B"/>
    <w:rsid w:val="006165F4"/>
    <w:rsid w:val="00617EAE"/>
    <w:rsid w:val="006245EC"/>
    <w:rsid w:val="00626ABB"/>
    <w:rsid w:val="006309D5"/>
    <w:rsid w:val="006376C5"/>
    <w:rsid w:val="006407E9"/>
    <w:rsid w:val="00641F4F"/>
    <w:rsid w:val="00642664"/>
    <w:rsid w:val="00643DE1"/>
    <w:rsid w:val="0064486F"/>
    <w:rsid w:val="00644BBE"/>
    <w:rsid w:val="006466DA"/>
    <w:rsid w:val="00646711"/>
    <w:rsid w:val="006479F9"/>
    <w:rsid w:val="00647DDD"/>
    <w:rsid w:val="00653BA4"/>
    <w:rsid w:val="00656E2E"/>
    <w:rsid w:val="00657478"/>
    <w:rsid w:val="00657EDA"/>
    <w:rsid w:val="00657F9A"/>
    <w:rsid w:val="006609A2"/>
    <w:rsid w:val="00660C84"/>
    <w:rsid w:val="0066132D"/>
    <w:rsid w:val="0066194B"/>
    <w:rsid w:val="00661FC4"/>
    <w:rsid w:val="006630E1"/>
    <w:rsid w:val="00666D4D"/>
    <w:rsid w:val="00672205"/>
    <w:rsid w:val="00672E95"/>
    <w:rsid w:val="0067508C"/>
    <w:rsid w:val="006762B3"/>
    <w:rsid w:val="00677059"/>
    <w:rsid w:val="00680072"/>
    <w:rsid w:val="00680421"/>
    <w:rsid w:val="00681B06"/>
    <w:rsid w:val="00682A35"/>
    <w:rsid w:val="006858DA"/>
    <w:rsid w:val="00686C3F"/>
    <w:rsid w:val="0068719B"/>
    <w:rsid w:val="006902F1"/>
    <w:rsid w:val="00690BE6"/>
    <w:rsid w:val="006918E9"/>
    <w:rsid w:val="00692A13"/>
    <w:rsid w:val="006951CE"/>
    <w:rsid w:val="0069571F"/>
    <w:rsid w:val="00695B2C"/>
    <w:rsid w:val="00695B8B"/>
    <w:rsid w:val="006A1F2C"/>
    <w:rsid w:val="006A3B6B"/>
    <w:rsid w:val="006A438B"/>
    <w:rsid w:val="006A4F20"/>
    <w:rsid w:val="006A6039"/>
    <w:rsid w:val="006B1E87"/>
    <w:rsid w:val="006B514A"/>
    <w:rsid w:val="006C06E5"/>
    <w:rsid w:val="006C1EA3"/>
    <w:rsid w:val="006C1EDF"/>
    <w:rsid w:val="006C279A"/>
    <w:rsid w:val="006C2AB0"/>
    <w:rsid w:val="006C2B5F"/>
    <w:rsid w:val="006C31B7"/>
    <w:rsid w:val="006C3CE1"/>
    <w:rsid w:val="006C4213"/>
    <w:rsid w:val="006C43D7"/>
    <w:rsid w:val="006C49F6"/>
    <w:rsid w:val="006C53ED"/>
    <w:rsid w:val="006C5694"/>
    <w:rsid w:val="006D11AD"/>
    <w:rsid w:val="006D193A"/>
    <w:rsid w:val="006D25DD"/>
    <w:rsid w:val="006D29AA"/>
    <w:rsid w:val="006D4128"/>
    <w:rsid w:val="006D4C1B"/>
    <w:rsid w:val="006D5E45"/>
    <w:rsid w:val="006D5E57"/>
    <w:rsid w:val="006E0B4D"/>
    <w:rsid w:val="006E2083"/>
    <w:rsid w:val="006E2725"/>
    <w:rsid w:val="006E3064"/>
    <w:rsid w:val="006E405E"/>
    <w:rsid w:val="006E4BD7"/>
    <w:rsid w:val="006E68E6"/>
    <w:rsid w:val="006E73D0"/>
    <w:rsid w:val="006F042A"/>
    <w:rsid w:val="006F0C74"/>
    <w:rsid w:val="006F11B1"/>
    <w:rsid w:val="006F1875"/>
    <w:rsid w:val="006F2187"/>
    <w:rsid w:val="006F25E5"/>
    <w:rsid w:val="006F2FCE"/>
    <w:rsid w:val="006F36B9"/>
    <w:rsid w:val="006F415C"/>
    <w:rsid w:val="006F489F"/>
    <w:rsid w:val="00700C86"/>
    <w:rsid w:val="0070560F"/>
    <w:rsid w:val="007112CA"/>
    <w:rsid w:val="00714728"/>
    <w:rsid w:val="007202BD"/>
    <w:rsid w:val="007205BF"/>
    <w:rsid w:val="00721AE9"/>
    <w:rsid w:val="007237D1"/>
    <w:rsid w:val="007241D4"/>
    <w:rsid w:val="00724CA5"/>
    <w:rsid w:val="00724D82"/>
    <w:rsid w:val="00730BF2"/>
    <w:rsid w:val="00732A6F"/>
    <w:rsid w:val="007342BC"/>
    <w:rsid w:val="007351A5"/>
    <w:rsid w:val="0074214D"/>
    <w:rsid w:val="00742764"/>
    <w:rsid w:val="00745456"/>
    <w:rsid w:val="00746E92"/>
    <w:rsid w:val="00747EFF"/>
    <w:rsid w:val="00750950"/>
    <w:rsid w:val="00751452"/>
    <w:rsid w:val="0075156A"/>
    <w:rsid w:val="00751D8C"/>
    <w:rsid w:val="00751F90"/>
    <w:rsid w:val="00752EF6"/>
    <w:rsid w:val="00754BDD"/>
    <w:rsid w:val="007619C5"/>
    <w:rsid w:val="00761B26"/>
    <w:rsid w:val="00761C35"/>
    <w:rsid w:val="00762178"/>
    <w:rsid w:val="00765F62"/>
    <w:rsid w:val="00766026"/>
    <w:rsid w:val="00771FBD"/>
    <w:rsid w:val="00772025"/>
    <w:rsid w:val="007726C0"/>
    <w:rsid w:val="00775AB7"/>
    <w:rsid w:val="00776B34"/>
    <w:rsid w:val="00781088"/>
    <w:rsid w:val="00781AA0"/>
    <w:rsid w:val="00781CF7"/>
    <w:rsid w:val="00781D24"/>
    <w:rsid w:val="00782550"/>
    <w:rsid w:val="00782DE8"/>
    <w:rsid w:val="00786D45"/>
    <w:rsid w:val="00787202"/>
    <w:rsid w:val="00792E10"/>
    <w:rsid w:val="0079383D"/>
    <w:rsid w:val="007A006B"/>
    <w:rsid w:val="007A1D60"/>
    <w:rsid w:val="007A34D1"/>
    <w:rsid w:val="007A5BDB"/>
    <w:rsid w:val="007A7102"/>
    <w:rsid w:val="007B165A"/>
    <w:rsid w:val="007B2DAD"/>
    <w:rsid w:val="007B2DF7"/>
    <w:rsid w:val="007B46E7"/>
    <w:rsid w:val="007B7246"/>
    <w:rsid w:val="007B78C2"/>
    <w:rsid w:val="007C23FF"/>
    <w:rsid w:val="007C25B0"/>
    <w:rsid w:val="007C416B"/>
    <w:rsid w:val="007C4CB7"/>
    <w:rsid w:val="007C5008"/>
    <w:rsid w:val="007C50EE"/>
    <w:rsid w:val="007C6046"/>
    <w:rsid w:val="007C658B"/>
    <w:rsid w:val="007D0591"/>
    <w:rsid w:val="007D1E79"/>
    <w:rsid w:val="007D27CF"/>
    <w:rsid w:val="007D4DAF"/>
    <w:rsid w:val="007D6D55"/>
    <w:rsid w:val="007E1175"/>
    <w:rsid w:val="007E220A"/>
    <w:rsid w:val="007E468A"/>
    <w:rsid w:val="007E54E5"/>
    <w:rsid w:val="007E58FC"/>
    <w:rsid w:val="007E7463"/>
    <w:rsid w:val="007F07D4"/>
    <w:rsid w:val="007F1517"/>
    <w:rsid w:val="007F207F"/>
    <w:rsid w:val="007F5842"/>
    <w:rsid w:val="007F5B91"/>
    <w:rsid w:val="007F75AC"/>
    <w:rsid w:val="007F7DAA"/>
    <w:rsid w:val="00800BE5"/>
    <w:rsid w:val="008019A7"/>
    <w:rsid w:val="00802382"/>
    <w:rsid w:val="00803CEC"/>
    <w:rsid w:val="008040B5"/>
    <w:rsid w:val="00804B15"/>
    <w:rsid w:val="008076A4"/>
    <w:rsid w:val="00807DC2"/>
    <w:rsid w:val="0081003E"/>
    <w:rsid w:val="00810CA3"/>
    <w:rsid w:val="008112DE"/>
    <w:rsid w:val="00811776"/>
    <w:rsid w:val="008200A7"/>
    <w:rsid w:val="00821652"/>
    <w:rsid w:val="00822050"/>
    <w:rsid w:val="008304EC"/>
    <w:rsid w:val="00830952"/>
    <w:rsid w:val="00830F84"/>
    <w:rsid w:val="00832522"/>
    <w:rsid w:val="00833453"/>
    <w:rsid w:val="0084184E"/>
    <w:rsid w:val="00841B33"/>
    <w:rsid w:val="00841C01"/>
    <w:rsid w:val="00843EFD"/>
    <w:rsid w:val="008443A9"/>
    <w:rsid w:val="00844F2B"/>
    <w:rsid w:val="0084599C"/>
    <w:rsid w:val="008469B3"/>
    <w:rsid w:val="00847539"/>
    <w:rsid w:val="008535CA"/>
    <w:rsid w:val="00856FA8"/>
    <w:rsid w:val="00856FF2"/>
    <w:rsid w:val="008578F4"/>
    <w:rsid w:val="00860576"/>
    <w:rsid w:val="00860C21"/>
    <w:rsid w:val="00861120"/>
    <w:rsid w:val="0086688C"/>
    <w:rsid w:val="008674AA"/>
    <w:rsid w:val="008675CC"/>
    <w:rsid w:val="00873DD7"/>
    <w:rsid w:val="0087609B"/>
    <w:rsid w:val="008800B1"/>
    <w:rsid w:val="00880850"/>
    <w:rsid w:val="0088094C"/>
    <w:rsid w:val="00881004"/>
    <w:rsid w:val="00882C40"/>
    <w:rsid w:val="00885973"/>
    <w:rsid w:val="0089145D"/>
    <w:rsid w:val="008919D3"/>
    <w:rsid w:val="00891DC8"/>
    <w:rsid w:val="00891F55"/>
    <w:rsid w:val="00892908"/>
    <w:rsid w:val="00893C08"/>
    <w:rsid w:val="008942FC"/>
    <w:rsid w:val="0089562F"/>
    <w:rsid w:val="008957BF"/>
    <w:rsid w:val="00895BE0"/>
    <w:rsid w:val="0089629F"/>
    <w:rsid w:val="008A082A"/>
    <w:rsid w:val="008A389B"/>
    <w:rsid w:val="008A4DF4"/>
    <w:rsid w:val="008B0950"/>
    <w:rsid w:val="008B1DA9"/>
    <w:rsid w:val="008B23D4"/>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2EF"/>
    <w:rsid w:val="008E1B11"/>
    <w:rsid w:val="008E2ACD"/>
    <w:rsid w:val="008E2D8C"/>
    <w:rsid w:val="008E53BA"/>
    <w:rsid w:val="008E6595"/>
    <w:rsid w:val="008E6B69"/>
    <w:rsid w:val="008E6E63"/>
    <w:rsid w:val="008E7E5E"/>
    <w:rsid w:val="008E7F87"/>
    <w:rsid w:val="008F0CC7"/>
    <w:rsid w:val="008F11CF"/>
    <w:rsid w:val="008F14EA"/>
    <w:rsid w:val="008F189C"/>
    <w:rsid w:val="008F1FE1"/>
    <w:rsid w:val="008F32FF"/>
    <w:rsid w:val="008F4486"/>
    <w:rsid w:val="008F4FC6"/>
    <w:rsid w:val="008F5E75"/>
    <w:rsid w:val="008F6436"/>
    <w:rsid w:val="008F72CD"/>
    <w:rsid w:val="00900C1A"/>
    <w:rsid w:val="009015D3"/>
    <w:rsid w:val="00902179"/>
    <w:rsid w:val="00903877"/>
    <w:rsid w:val="0090677E"/>
    <w:rsid w:val="00913A4A"/>
    <w:rsid w:val="00914A6E"/>
    <w:rsid w:val="0091544C"/>
    <w:rsid w:val="00921D03"/>
    <w:rsid w:val="00921DE6"/>
    <w:rsid w:val="00925C0C"/>
    <w:rsid w:val="00925CD2"/>
    <w:rsid w:val="00932559"/>
    <w:rsid w:val="00933065"/>
    <w:rsid w:val="00933569"/>
    <w:rsid w:val="009365B1"/>
    <w:rsid w:val="0093799C"/>
    <w:rsid w:val="009422A1"/>
    <w:rsid w:val="00943484"/>
    <w:rsid w:val="00944804"/>
    <w:rsid w:val="009449FB"/>
    <w:rsid w:val="0094634F"/>
    <w:rsid w:val="009473D8"/>
    <w:rsid w:val="00947A4A"/>
    <w:rsid w:val="00947F51"/>
    <w:rsid w:val="00954386"/>
    <w:rsid w:val="009544D7"/>
    <w:rsid w:val="009564B5"/>
    <w:rsid w:val="00957513"/>
    <w:rsid w:val="00960ADF"/>
    <w:rsid w:val="009623DA"/>
    <w:rsid w:val="00963A0C"/>
    <w:rsid w:val="0096561E"/>
    <w:rsid w:val="009661A4"/>
    <w:rsid w:val="009661B5"/>
    <w:rsid w:val="009725C0"/>
    <w:rsid w:val="009727D8"/>
    <w:rsid w:val="009729BD"/>
    <w:rsid w:val="00974A92"/>
    <w:rsid w:val="00974C91"/>
    <w:rsid w:val="00975270"/>
    <w:rsid w:val="00975BA1"/>
    <w:rsid w:val="00976F39"/>
    <w:rsid w:val="009809DD"/>
    <w:rsid w:val="009835E3"/>
    <w:rsid w:val="009837A6"/>
    <w:rsid w:val="009839B9"/>
    <w:rsid w:val="00983C64"/>
    <w:rsid w:val="009869F2"/>
    <w:rsid w:val="00987CDB"/>
    <w:rsid w:val="009A087C"/>
    <w:rsid w:val="009A2613"/>
    <w:rsid w:val="009A2726"/>
    <w:rsid w:val="009A30E0"/>
    <w:rsid w:val="009A3619"/>
    <w:rsid w:val="009A57B9"/>
    <w:rsid w:val="009A66D0"/>
    <w:rsid w:val="009A739F"/>
    <w:rsid w:val="009B08AF"/>
    <w:rsid w:val="009B0AC9"/>
    <w:rsid w:val="009B10F4"/>
    <w:rsid w:val="009B3DFC"/>
    <w:rsid w:val="009B4145"/>
    <w:rsid w:val="009B53BC"/>
    <w:rsid w:val="009B793E"/>
    <w:rsid w:val="009C1EA6"/>
    <w:rsid w:val="009C37B9"/>
    <w:rsid w:val="009C38E7"/>
    <w:rsid w:val="009D31D8"/>
    <w:rsid w:val="009D31FA"/>
    <w:rsid w:val="009D32BD"/>
    <w:rsid w:val="009D33F1"/>
    <w:rsid w:val="009D35B5"/>
    <w:rsid w:val="009D3771"/>
    <w:rsid w:val="009D37BD"/>
    <w:rsid w:val="009D4486"/>
    <w:rsid w:val="009D4D1C"/>
    <w:rsid w:val="009D7128"/>
    <w:rsid w:val="009D7613"/>
    <w:rsid w:val="009E21DE"/>
    <w:rsid w:val="009E6174"/>
    <w:rsid w:val="009F1DC7"/>
    <w:rsid w:val="009F211E"/>
    <w:rsid w:val="009F2572"/>
    <w:rsid w:val="009F294E"/>
    <w:rsid w:val="009F30F1"/>
    <w:rsid w:val="009F37C7"/>
    <w:rsid w:val="009F50AB"/>
    <w:rsid w:val="00A005F6"/>
    <w:rsid w:val="00A03986"/>
    <w:rsid w:val="00A0424F"/>
    <w:rsid w:val="00A051FB"/>
    <w:rsid w:val="00A0659C"/>
    <w:rsid w:val="00A07164"/>
    <w:rsid w:val="00A10039"/>
    <w:rsid w:val="00A100BA"/>
    <w:rsid w:val="00A103FF"/>
    <w:rsid w:val="00A121B5"/>
    <w:rsid w:val="00A16C6E"/>
    <w:rsid w:val="00A17DB2"/>
    <w:rsid w:val="00A21DEA"/>
    <w:rsid w:val="00A22A14"/>
    <w:rsid w:val="00A23A49"/>
    <w:rsid w:val="00A25AB4"/>
    <w:rsid w:val="00A26214"/>
    <w:rsid w:val="00A26566"/>
    <w:rsid w:val="00A27A51"/>
    <w:rsid w:val="00A31837"/>
    <w:rsid w:val="00A31D70"/>
    <w:rsid w:val="00A33018"/>
    <w:rsid w:val="00A3310D"/>
    <w:rsid w:val="00A3484C"/>
    <w:rsid w:val="00A351B3"/>
    <w:rsid w:val="00A35CE6"/>
    <w:rsid w:val="00A37BA4"/>
    <w:rsid w:val="00A402F6"/>
    <w:rsid w:val="00A42167"/>
    <w:rsid w:val="00A434B9"/>
    <w:rsid w:val="00A43739"/>
    <w:rsid w:val="00A444DD"/>
    <w:rsid w:val="00A467A3"/>
    <w:rsid w:val="00A47150"/>
    <w:rsid w:val="00A471EF"/>
    <w:rsid w:val="00A47466"/>
    <w:rsid w:val="00A47815"/>
    <w:rsid w:val="00A47A18"/>
    <w:rsid w:val="00A47A3D"/>
    <w:rsid w:val="00A47CD6"/>
    <w:rsid w:val="00A50A4A"/>
    <w:rsid w:val="00A5359C"/>
    <w:rsid w:val="00A539CB"/>
    <w:rsid w:val="00A57DA7"/>
    <w:rsid w:val="00A60542"/>
    <w:rsid w:val="00A60AAC"/>
    <w:rsid w:val="00A63709"/>
    <w:rsid w:val="00A643AB"/>
    <w:rsid w:val="00A649E6"/>
    <w:rsid w:val="00A660AF"/>
    <w:rsid w:val="00A7021C"/>
    <w:rsid w:val="00A70814"/>
    <w:rsid w:val="00A70A95"/>
    <w:rsid w:val="00A70BDA"/>
    <w:rsid w:val="00A740B6"/>
    <w:rsid w:val="00A7621E"/>
    <w:rsid w:val="00A76BE4"/>
    <w:rsid w:val="00A817D5"/>
    <w:rsid w:val="00A841B2"/>
    <w:rsid w:val="00A843FC"/>
    <w:rsid w:val="00A84F01"/>
    <w:rsid w:val="00A86ECE"/>
    <w:rsid w:val="00A9029A"/>
    <w:rsid w:val="00A908B2"/>
    <w:rsid w:val="00A91332"/>
    <w:rsid w:val="00A93351"/>
    <w:rsid w:val="00A95538"/>
    <w:rsid w:val="00AA0013"/>
    <w:rsid w:val="00AA26FF"/>
    <w:rsid w:val="00AA43EC"/>
    <w:rsid w:val="00AA4C92"/>
    <w:rsid w:val="00AA4E77"/>
    <w:rsid w:val="00AA587F"/>
    <w:rsid w:val="00AA6E8C"/>
    <w:rsid w:val="00AA6F19"/>
    <w:rsid w:val="00AA75E6"/>
    <w:rsid w:val="00AA79A8"/>
    <w:rsid w:val="00AA7A76"/>
    <w:rsid w:val="00AA7C2E"/>
    <w:rsid w:val="00AB0286"/>
    <w:rsid w:val="00AB0DD9"/>
    <w:rsid w:val="00AB3676"/>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0007"/>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584B"/>
    <w:rsid w:val="00AE63BD"/>
    <w:rsid w:val="00AE7DD6"/>
    <w:rsid w:val="00AF0B2B"/>
    <w:rsid w:val="00AF20DB"/>
    <w:rsid w:val="00AF2914"/>
    <w:rsid w:val="00AF345A"/>
    <w:rsid w:val="00AF363F"/>
    <w:rsid w:val="00AF3E4F"/>
    <w:rsid w:val="00AF71E5"/>
    <w:rsid w:val="00B00DA5"/>
    <w:rsid w:val="00B0366D"/>
    <w:rsid w:val="00B071FF"/>
    <w:rsid w:val="00B110BC"/>
    <w:rsid w:val="00B11505"/>
    <w:rsid w:val="00B11DC2"/>
    <w:rsid w:val="00B15142"/>
    <w:rsid w:val="00B16F69"/>
    <w:rsid w:val="00B1789D"/>
    <w:rsid w:val="00B207DD"/>
    <w:rsid w:val="00B20DD8"/>
    <w:rsid w:val="00B21CA9"/>
    <w:rsid w:val="00B223FE"/>
    <w:rsid w:val="00B3161A"/>
    <w:rsid w:val="00B3208F"/>
    <w:rsid w:val="00B3260E"/>
    <w:rsid w:val="00B36F2F"/>
    <w:rsid w:val="00B413BD"/>
    <w:rsid w:val="00B42807"/>
    <w:rsid w:val="00B428A6"/>
    <w:rsid w:val="00B43340"/>
    <w:rsid w:val="00B4461C"/>
    <w:rsid w:val="00B46D68"/>
    <w:rsid w:val="00B51F24"/>
    <w:rsid w:val="00B53913"/>
    <w:rsid w:val="00B54D6D"/>
    <w:rsid w:val="00B554D4"/>
    <w:rsid w:val="00B5572D"/>
    <w:rsid w:val="00B55F3A"/>
    <w:rsid w:val="00B562B0"/>
    <w:rsid w:val="00B56906"/>
    <w:rsid w:val="00B569F1"/>
    <w:rsid w:val="00B6007E"/>
    <w:rsid w:val="00B61484"/>
    <w:rsid w:val="00B6179E"/>
    <w:rsid w:val="00B62B08"/>
    <w:rsid w:val="00B71CB5"/>
    <w:rsid w:val="00B71F16"/>
    <w:rsid w:val="00B72922"/>
    <w:rsid w:val="00B72A13"/>
    <w:rsid w:val="00B72ADA"/>
    <w:rsid w:val="00B7473A"/>
    <w:rsid w:val="00B74A39"/>
    <w:rsid w:val="00B75819"/>
    <w:rsid w:val="00B75CDA"/>
    <w:rsid w:val="00B81526"/>
    <w:rsid w:val="00B819E4"/>
    <w:rsid w:val="00B84042"/>
    <w:rsid w:val="00B84DD5"/>
    <w:rsid w:val="00B903CC"/>
    <w:rsid w:val="00B9165A"/>
    <w:rsid w:val="00B91F7E"/>
    <w:rsid w:val="00B924B4"/>
    <w:rsid w:val="00B9487E"/>
    <w:rsid w:val="00B95910"/>
    <w:rsid w:val="00B9668A"/>
    <w:rsid w:val="00B9692A"/>
    <w:rsid w:val="00B977DF"/>
    <w:rsid w:val="00BA0848"/>
    <w:rsid w:val="00BA29E7"/>
    <w:rsid w:val="00BA33AF"/>
    <w:rsid w:val="00BA385E"/>
    <w:rsid w:val="00BA3A4C"/>
    <w:rsid w:val="00BA61FA"/>
    <w:rsid w:val="00BA67FC"/>
    <w:rsid w:val="00BA6851"/>
    <w:rsid w:val="00BB0F20"/>
    <w:rsid w:val="00BB17D2"/>
    <w:rsid w:val="00BB2328"/>
    <w:rsid w:val="00BB3264"/>
    <w:rsid w:val="00BB50D7"/>
    <w:rsid w:val="00BB7F08"/>
    <w:rsid w:val="00BC0623"/>
    <w:rsid w:val="00BC35CD"/>
    <w:rsid w:val="00BC3C54"/>
    <w:rsid w:val="00BC415B"/>
    <w:rsid w:val="00BC5B96"/>
    <w:rsid w:val="00BC6256"/>
    <w:rsid w:val="00BD2C66"/>
    <w:rsid w:val="00BD2CDE"/>
    <w:rsid w:val="00BD3D16"/>
    <w:rsid w:val="00BD41CF"/>
    <w:rsid w:val="00BD55F8"/>
    <w:rsid w:val="00BD75F3"/>
    <w:rsid w:val="00BE0164"/>
    <w:rsid w:val="00BE12BD"/>
    <w:rsid w:val="00BE2ED7"/>
    <w:rsid w:val="00BE3498"/>
    <w:rsid w:val="00BE5A3E"/>
    <w:rsid w:val="00BE6AB8"/>
    <w:rsid w:val="00BF040B"/>
    <w:rsid w:val="00BF086D"/>
    <w:rsid w:val="00BF1C99"/>
    <w:rsid w:val="00BF2167"/>
    <w:rsid w:val="00BF43BC"/>
    <w:rsid w:val="00BF491B"/>
    <w:rsid w:val="00BF4DDA"/>
    <w:rsid w:val="00BF55C7"/>
    <w:rsid w:val="00BF7ED8"/>
    <w:rsid w:val="00C00A14"/>
    <w:rsid w:val="00C0222C"/>
    <w:rsid w:val="00C04139"/>
    <w:rsid w:val="00C0476F"/>
    <w:rsid w:val="00C0572E"/>
    <w:rsid w:val="00C1108E"/>
    <w:rsid w:val="00C14A51"/>
    <w:rsid w:val="00C14B1A"/>
    <w:rsid w:val="00C15C65"/>
    <w:rsid w:val="00C17853"/>
    <w:rsid w:val="00C17EE4"/>
    <w:rsid w:val="00C21656"/>
    <w:rsid w:val="00C21B3D"/>
    <w:rsid w:val="00C21B6B"/>
    <w:rsid w:val="00C2200F"/>
    <w:rsid w:val="00C24267"/>
    <w:rsid w:val="00C243E6"/>
    <w:rsid w:val="00C26FA6"/>
    <w:rsid w:val="00C2788D"/>
    <w:rsid w:val="00C31189"/>
    <w:rsid w:val="00C31D37"/>
    <w:rsid w:val="00C33398"/>
    <w:rsid w:val="00C34388"/>
    <w:rsid w:val="00C34C5B"/>
    <w:rsid w:val="00C361F6"/>
    <w:rsid w:val="00C3669A"/>
    <w:rsid w:val="00C371D5"/>
    <w:rsid w:val="00C423E3"/>
    <w:rsid w:val="00C428AB"/>
    <w:rsid w:val="00C44A70"/>
    <w:rsid w:val="00C44BAC"/>
    <w:rsid w:val="00C45626"/>
    <w:rsid w:val="00C458AF"/>
    <w:rsid w:val="00C460A0"/>
    <w:rsid w:val="00C46244"/>
    <w:rsid w:val="00C4720D"/>
    <w:rsid w:val="00C47768"/>
    <w:rsid w:val="00C50068"/>
    <w:rsid w:val="00C50180"/>
    <w:rsid w:val="00C51C4B"/>
    <w:rsid w:val="00C51EE9"/>
    <w:rsid w:val="00C539A5"/>
    <w:rsid w:val="00C53DFA"/>
    <w:rsid w:val="00C549F4"/>
    <w:rsid w:val="00C555FE"/>
    <w:rsid w:val="00C56E55"/>
    <w:rsid w:val="00C60DD4"/>
    <w:rsid w:val="00C60F27"/>
    <w:rsid w:val="00C610F2"/>
    <w:rsid w:val="00C61B5E"/>
    <w:rsid w:val="00C63102"/>
    <w:rsid w:val="00C676F3"/>
    <w:rsid w:val="00C71AB8"/>
    <w:rsid w:val="00C73E8B"/>
    <w:rsid w:val="00C74E97"/>
    <w:rsid w:val="00C75909"/>
    <w:rsid w:val="00C767D5"/>
    <w:rsid w:val="00C77219"/>
    <w:rsid w:val="00C77EFD"/>
    <w:rsid w:val="00C809AF"/>
    <w:rsid w:val="00C81A10"/>
    <w:rsid w:val="00C81F39"/>
    <w:rsid w:val="00C829DF"/>
    <w:rsid w:val="00C82F5A"/>
    <w:rsid w:val="00C84021"/>
    <w:rsid w:val="00C85B7F"/>
    <w:rsid w:val="00C86AEA"/>
    <w:rsid w:val="00C875AE"/>
    <w:rsid w:val="00C90B1C"/>
    <w:rsid w:val="00C90CE6"/>
    <w:rsid w:val="00C93030"/>
    <w:rsid w:val="00C9310B"/>
    <w:rsid w:val="00C937FB"/>
    <w:rsid w:val="00CA0F98"/>
    <w:rsid w:val="00CA2964"/>
    <w:rsid w:val="00CA696D"/>
    <w:rsid w:val="00CA6B5A"/>
    <w:rsid w:val="00CA757B"/>
    <w:rsid w:val="00CB1536"/>
    <w:rsid w:val="00CB3907"/>
    <w:rsid w:val="00CB3B51"/>
    <w:rsid w:val="00CB46F0"/>
    <w:rsid w:val="00CB5B24"/>
    <w:rsid w:val="00CB6167"/>
    <w:rsid w:val="00CC0C54"/>
    <w:rsid w:val="00CC1016"/>
    <w:rsid w:val="00CC1914"/>
    <w:rsid w:val="00CC1CE7"/>
    <w:rsid w:val="00CC32A0"/>
    <w:rsid w:val="00CC3829"/>
    <w:rsid w:val="00CC3AC4"/>
    <w:rsid w:val="00CC585C"/>
    <w:rsid w:val="00CD0D1D"/>
    <w:rsid w:val="00CD1673"/>
    <w:rsid w:val="00CD1721"/>
    <w:rsid w:val="00CD25F1"/>
    <w:rsid w:val="00CD4DDC"/>
    <w:rsid w:val="00CD6592"/>
    <w:rsid w:val="00CE0808"/>
    <w:rsid w:val="00CE237F"/>
    <w:rsid w:val="00CE2E22"/>
    <w:rsid w:val="00CE35B4"/>
    <w:rsid w:val="00CE569F"/>
    <w:rsid w:val="00CE6301"/>
    <w:rsid w:val="00CF06D4"/>
    <w:rsid w:val="00CF2008"/>
    <w:rsid w:val="00CF2496"/>
    <w:rsid w:val="00CF3649"/>
    <w:rsid w:val="00CF4188"/>
    <w:rsid w:val="00CF4E9E"/>
    <w:rsid w:val="00CF52CE"/>
    <w:rsid w:val="00CF7848"/>
    <w:rsid w:val="00D00B84"/>
    <w:rsid w:val="00D058FC"/>
    <w:rsid w:val="00D06213"/>
    <w:rsid w:val="00D073D1"/>
    <w:rsid w:val="00D10010"/>
    <w:rsid w:val="00D11510"/>
    <w:rsid w:val="00D116EE"/>
    <w:rsid w:val="00D12BB7"/>
    <w:rsid w:val="00D159D4"/>
    <w:rsid w:val="00D15C79"/>
    <w:rsid w:val="00D1641A"/>
    <w:rsid w:val="00D20E16"/>
    <w:rsid w:val="00D21601"/>
    <w:rsid w:val="00D2164A"/>
    <w:rsid w:val="00D21AA7"/>
    <w:rsid w:val="00D22F1C"/>
    <w:rsid w:val="00D23D75"/>
    <w:rsid w:val="00D256F0"/>
    <w:rsid w:val="00D26D4B"/>
    <w:rsid w:val="00D31882"/>
    <w:rsid w:val="00D31BAB"/>
    <w:rsid w:val="00D31D27"/>
    <w:rsid w:val="00D32109"/>
    <w:rsid w:val="00D330B3"/>
    <w:rsid w:val="00D336A4"/>
    <w:rsid w:val="00D34AFB"/>
    <w:rsid w:val="00D352EE"/>
    <w:rsid w:val="00D35A03"/>
    <w:rsid w:val="00D37377"/>
    <w:rsid w:val="00D41830"/>
    <w:rsid w:val="00D42EF8"/>
    <w:rsid w:val="00D45B8C"/>
    <w:rsid w:val="00D56058"/>
    <w:rsid w:val="00D567E0"/>
    <w:rsid w:val="00D56A09"/>
    <w:rsid w:val="00D57976"/>
    <w:rsid w:val="00D61F2D"/>
    <w:rsid w:val="00D630DE"/>
    <w:rsid w:val="00D63DBC"/>
    <w:rsid w:val="00D645C6"/>
    <w:rsid w:val="00D6548A"/>
    <w:rsid w:val="00D65571"/>
    <w:rsid w:val="00D65905"/>
    <w:rsid w:val="00D65A71"/>
    <w:rsid w:val="00D66C66"/>
    <w:rsid w:val="00D67355"/>
    <w:rsid w:val="00D712C3"/>
    <w:rsid w:val="00D71B03"/>
    <w:rsid w:val="00D7327A"/>
    <w:rsid w:val="00D74EC8"/>
    <w:rsid w:val="00D76F23"/>
    <w:rsid w:val="00D81AC9"/>
    <w:rsid w:val="00D858CC"/>
    <w:rsid w:val="00D9086C"/>
    <w:rsid w:val="00D91172"/>
    <w:rsid w:val="00D922E1"/>
    <w:rsid w:val="00D92C84"/>
    <w:rsid w:val="00D93AAA"/>
    <w:rsid w:val="00D93ECC"/>
    <w:rsid w:val="00D94745"/>
    <w:rsid w:val="00D94921"/>
    <w:rsid w:val="00D95DFF"/>
    <w:rsid w:val="00D963D5"/>
    <w:rsid w:val="00D96C96"/>
    <w:rsid w:val="00DA2201"/>
    <w:rsid w:val="00DA2653"/>
    <w:rsid w:val="00DA41B2"/>
    <w:rsid w:val="00DA5D06"/>
    <w:rsid w:val="00DA62C4"/>
    <w:rsid w:val="00DA7B20"/>
    <w:rsid w:val="00DB049D"/>
    <w:rsid w:val="00DB473D"/>
    <w:rsid w:val="00DB5727"/>
    <w:rsid w:val="00DB64E9"/>
    <w:rsid w:val="00DB68CC"/>
    <w:rsid w:val="00DC2E38"/>
    <w:rsid w:val="00DC2FBF"/>
    <w:rsid w:val="00DC52BC"/>
    <w:rsid w:val="00DC60C2"/>
    <w:rsid w:val="00DC621D"/>
    <w:rsid w:val="00DC6A98"/>
    <w:rsid w:val="00DC6EF8"/>
    <w:rsid w:val="00DC7245"/>
    <w:rsid w:val="00DC730A"/>
    <w:rsid w:val="00DC7A0C"/>
    <w:rsid w:val="00DD12FC"/>
    <w:rsid w:val="00DD1ED6"/>
    <w:rsid w:val="00DD2710"/>
    <w:rsid w:val="00DD2B0D"/>
    <w:rsid w:val="00DD61D2"/>
    <w:rsid w:val="00DE130A"/>
    <w:rsid w:val="00DE1F21"/>
    <w:rsid w:val="00DE26A3"/>
    <w:rsid w:val="00DE3369"/>
    <w:rsid w:val="00DE33DB"/>
    <w:rsid w:val="00DE38B2"/>
    <w:rsid w:val="00DE3EB3"/>
    <w:rsid w:val="00DF2C9A"/>
    <w:rsid w:val="00DF32E5"/>
    <w:rsid w:val="00DF5291"/>
    <w:rsid w:val="00DF6AC1"/>
    <w:rsid w:val="00E010C4"/>
    <w:rsid w:val="00E03EBC"/>
    <w:rsid w:val="00E05572"/>
    <w:rsid w:val="00E06927"/>
    <w:rsid w:val="00E06AB6"/>
    <w:rsid w:val="00E10D04"/>
    <w:rsid w:val="00E1217F"/>
    <w:rsid w:val="00E16292"/>
    <w:rsid w:val="00E166FD"/>
    <w:rsid w:val="00E17143"/>
    <w:rsid w:val="00E20294"/>
    <w:rsid w:val="00E221E9"/>
    <w:rsid w:val="00E25706"/>
    <w:rsid w:val="00E25F47"/>
    <w:rsid w:val="00E264BB"/>
    <w:rsid w:val="00E267F5"/>
    <w:rsid w:val="00E276DF"/>
    <w:rsid w:val="00E27A89"/>
    <w:rsid w:val="00E30596"/>
    <w:rsid w:val="00E30E0D"/>
    <w:rsid w:val="00E31FF9"/>
    <w:rsid w:val="00E33434"/>
    <w:rsid w:val="00E33B23"/>
    <w:rsid w:val="00E37B1B"/>
    <w:rsid w:val="00E37B97"/>
    <w:rsid w:val="00E417B9"/>
    <w:rsid w:val="00E41B67"/>
    <w:rsid w:val="00E43C23"/>
    <w:rsid w:val="00E4477A"/>
    <w:rsid w:val="00E45160"/>
    <w:rsid w:val="00E45E6A"/>
    <w:rsid w:val="00E50A42"/>
    <w:rsid w:val="00E52F6E"/>
    <w:rsid w:val="00E53930"/>
    <w:rsid w:val="00E54FA5"/>
    <w:rsid w:val="00E56D64"/>
    <w:rsid w:val="00E57446"/>
    <w:rsid w:val="00E61081"/>
    <w:rsid w:val="00E61788"/>
    <w:rsid w:val="00E65B18"/>
    <w:rsid w:val="00E65B9D"/>
    <w:rsid w:val="00E704E0"/>
    <w:rsid w:val="00E71CE6"/>
    <w:rsid w:val="00E71E16"/>
    <w:rsid w:val="00E728C6"/>
    <w:rsid w:val="00E73E65"/>
    <w:rsid w:val="00E75732"/>
    <w:rsid w:val="00E76641"/>
    <w:rsid w:val="00E77AC7"/>
    <w:rsid w:val="00E83DA2"/>
    <w:rsid w:val="00E851E8"/>
    <w:rsid w:val="00E856E9"/>
    <w:rsid w:val="00E862E7"/>
    <w:rsid w:val="00E86395"/>
    <w:rsid w:val="00E86DF2"/>
    <w:rsid w:val="00E879EC"/>
    <w:rsid w:val="00E94A64"/>
    <w:rsid w:val="00E9538B"/>
    <w:rsid w:val="00E95703"/>
    <w:rsid w:val="00E95707"/>
    <w:rsid w:val="00E95C5F"/>
    <w:rsid w:val="00E964C2"/>
    <w:rsid w:val="00EA0297"/>
    <w:rsid w:val="00EA116B"/>
    <w:rsid w:val="00EA2C29"/>
    <w:rsid w:val="00EA3F05"/>
    <w:rsid w:val="00EA5E85"/>
    <w:rsid w:val="00EB0B07"/>
    <w:rsid w:val="00EB0C6A"/>
    <w:rsid w:val="00EB144E"/>
    <w:rsid w:val="00EB1B82"/>
    <w:rsid w:val="00EB2F49"/>
    <w:rsid w:val="00EB462A"/>
    <w:rsid w:val="00EB545A"/>
    <w:rsid w:val="00EB635D"/>
    <w:rsid w:val="00EB6554"/>
    <w:rsid w:val="00EB6AA6"/>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E21F2"/>
    <w:rsid w:val="00EE55F9"/>
    <w:rsid w:val="00EE62A5"/>
    <w:rsid w:val="00EE63DE"/>
    <w:rsid w:val="00EE64F9"/>
    <w:rsid w:val="00EF00EA"/>
    <w:rsid w:val="00EF0CBA"/>
    <w:rsid w:val="00EF34E1"/>
    <w:rsid w:val="00EF3688"/>
    <w:rsid w:val="00EF36A0"/>
    <w:rsid w:val="00EF6CC3"/>
    <w:rsid w:val="00F00D0F"/>
    <w:rsid w:val="00F0109E"/>
    <w:rsid w:val="00F02173"/>
    <w:rsid w:val="00F03A0B"/>
    <w:rsid w:val="00F11454"/>
    <w:rsid w:val="00F12E5A"/>
    <w:rsid w:val="00F2125A"/>
    <w:rsid w:val="00F221FC"/>
    <w:rsid w:val="00F23C89"/>
    <w:rsid w:val="00F24025"/>
    <w:rsid w:val="00F24190"/>
    <w:rsid w:val="00F26083"/>
    <w:rsid w:val="00F32039"/>
    <w:rsid w:val="00F322F5"/>
    <w:rsid w:val="00F3317C"/>
    <w:rsid w:val="00F35033"/>
    <w:rsid w:val="00F35CAE"/>
    <w:rsid w:val="00F36EE7"/>
    <w:rsid w:val="00F4192F"/>
    <w:rsid w:val="00F41B64"/>
    <w:rsid w:val="00F41D9D"/>
    <w:rsid w:val="00F44250"/>
    <w:rsid w:val="00F4468A"/>
    <w:rsid w:val="00F47653"/>
    <w:rsid w:val="00F47EFB"/>
    <w:rsid w:val="00F50412"/>
    <w:rsid w:val="00F505CE"/>
    <w:rsid w:val="00F5169E"/>
    <w:rsid w:val="00F51C0B"/>
    <w:rsid w:val="00F57AFC"/>
    <w:rsid w:val="00F627E4"/>
    <w:rsid w:val="00F6494D"/>
    <w:rsid w:val="00F65A5D"/>
    <w:rsid w:val="00F65DBD"/>
    <w:rsid w:val="00F669B9"/>
    <w:rsid w:val="00F67D80"/>
    <w:rsid w:val="00F72C09"/>
    <w:rsid w:val="00F773E6"/>
    <w:rsid w:val="00F77DEE"/>
    <w:rsid w:val="00F80A07"/>
    <w:rsid w:val="00F80C1E"/>
    <w:rsid w:val="00F80CEE"/>
    <w:rsid w:val="00F81639"/>
    <w:rsid w:val="00F81C18"/>
    <w:rsid w:val="00F81F36"/>
    <w:rsid w:val="00F83E85"/>
    <w:rsid w:val="00F8493C"/>
    <w:rsid w:val="00F85468"/>
    <w:rsid w:val="00F86A45"/>
    <w:rsid w:val="00F86BC7"/>
    <w:rsid w:val="00F907D4"/>
    <w:rsid w:val="00F913C7"/>
    <w:rsid w:val="00F91DA3"/>
    <w:rsid w:val="00F9202F"/>
    <w:rsid w:val="00F92AA4"/>
    <w:rsid w:val="00F96D5D"/>
    <w:rsid w:val="00FA2519"/>
    <w:rsid w:val="00FA625E"/>
    <w:rsid w:val="00FA6B1E"/>
    <w:rsid w:val="00FA7FD2"/>
    <w:rsid w:val="00FB4165"/>
    <w:rsid w:val="00FB48E1"/>
    <w:rsid w:val="00FB59A0"/>
    <w:rsid w:val="00FC1484"/>
    <w:rsid w:val="00FC1792"/>
    <w:rsid w:val="00FC1944"/>
    <w:rsid w:val="00FC42BD"/>
    <w:rsid w:val="00FD2E9B"/>
    <w:rsid w:val="00FD378D"/>
    <w:rsid w:val="00FD41A2"/>
    <w:rsid w:val="00FE065B"/>
    <w:rsid w:val="00FE06D8"/>
    <w:rsid w:val="00FE128D"/>
    <w:rsid w:val="00FE17D2"/>
    <w:rsid w:val="00FE2BF0"/>
    <w:rsid w:val="00FE43C6"/>
    <w:rsid w:val="00FE7835"/>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4C5185BA-A775-4610-B2F9-5591E17B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273369290">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396368330">
      <w:bodyDiv w:val="1"/>
      <w:marLeft w:val="0"/>
      <w:marRight w:val="0"/>
      <w:marTop w:val="0"/>
      <w:marBottom w:val="0"/>
      <w:divBdr>
        <w:top w:val="none" w:sz="0" w:space="0" w:color="auto"/>
        <w:left w:val="none" w:sz="0" w:space="0" w:color="auto"/>
        <w:bottom w:val="none" w:sz="0" w:space="0" w:color="auto"/>
        <w:right w:val="none" w:sz="0" w:space="0" w:color="auto"/>
      </w:divBdr>
      <w:divsChild>
        <w:div w:id="538594362">
          <w:marLeft w:val="1134"/>
          <w:marRight w:val="0"/>
          <w:marTop w:val="60"/>
          <w:marBottom w:val="0"/>
          <w:divBdr>
            <w:top w:val="none" w:sz="0" w:space="0" w:color="auto"/>
            <w:left w:val="none" w:sz="0" w:space="0" w:color="auto"/>
            <w:bottom w:val="none" w:sz="0" w:space="0" w:color="auto"/>
            <w:right w:val="none" w:sz="0" w:space="0" w:color="auto"/>
          </w:divBdr>
        </w:div>
        <w:div w:id="1958293014">
          <w:marLeft w:val="1985"/>
          <w:marRight w:val="0"/>
          <w:marTop w:val="60"/>
          <w:marBottom w:val="0"/>
          <w:divBdr>
            <w:top w:val="none" w:sz="0" w:space="0" w:color="auto"/>
            <w:left w:val="none" w:sz="0" w:space="0" w:color="auto"/>
            <w:bottom w:val="none" w:sz="0" w:space="0" w:color="auto"/>
            <w:right w:val="none" w:sz="0" w:space="0" w:color="auto"/>
          </w:divBdr>
        </w:div>
        <w:div w:id="571043058">
          <w:marLeft w:val="1985"/>
          <w:marRight w:val="0"/>
          <w:marTop w:val="6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867060159">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2014v5SApg112" TargetMode="External"/><Relationship Id="rId2" Type="http://schemas.openxmlformats.org/officeDocument/2006/relationships/hyperlink" Target="https://app.jutastatevolve.co.za/y2007v6SApg511" TargetMode="External"/><Relationship Id="rId1" Type="http://schemas.openxmlformats.org/officeDocument/2006/relationships/hyperlink" Target="http://www.saflii.org/cgi-bin/LawCite?cit=2006%20%286%29%20SA%203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6ECE-457D-4CEB-9747-33462641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2</TotalTime>
  <Pages>10</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Mary Bruce</cp:lastModifiedBy>
  <cp:revision>3</cp:revision>
  <cp:lastPrinted>2023-08-22T07:45:00Z</cp:lastPrinted>
  <dcterms:created xsi:type="dcterms:W3CDTF">2023-11-08T10:38:00Z</dcterms:created>
  <dcterms:modified xsi:type="dcterms:W3CDTF">2023-11-09T08:29:00Z</dcterms:modified>
</cp:coreProperties>
</file>