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rsidR="00A26E87" w:rsidRPr="007B7F59" w:rsidRDefault="00A26E87" w:rsidP="00A26E87">
      <w:pPr>
        <w:tabs>
          <w:tab w:val="left" w:pos="2342"/>
          <w:tab w:val="center" w:pos="4513"/>
        </w:tabs>
        <w:spacing w:after="0" w:line="240" w:lineRule="auto"/>
        <w:ind w:left="0"/>
        <w:jc w:val="center"/>
        <w:outlineLvl w:val="0"/>
        <w:rPr>
          <w:rFonts w:eastAsia="Times New Roman" w:cs="Arial"/>
          <w:b/>
          <w:noProof/>
          <w:szCs w:val="24"/>
          <w:lang w:val="en-ZA" w:eastAsia="en-ZA"/>
        </w:rPr>
      </w:pPr>
    </w:p>
    <w:p w:rsidR="00A26E87" w:rsidRPr="007B7F59" w:rsidRDefault="00A26E87" w:rsidP="00A26E87">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65B0AB81" wp14:editId="45B06860">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A26E87" w:rsidRPr="007B7F59" w:rsidRDefault="00A26E87" w:rsidP="00A26E87">
      <w:pPr>
        <w:spacing w:after="0" w:line="240" w:lineRule="auto"/>
        <w:ind w:left="0"/>
        <w:jc w:val="center"/>
        <w:outlineLvl w:val="0"/>
        <w:rPr>
          <w:rFonts w:eastAsia="Times New Roman" w:cs="Arial"/>
          <w:b/>
          <w:szCs w:val="24"/>
          <w:lang w:val="en-ZA"/>
        </w:rPr>
      </w:pPr>
    </w:p>
    <w:p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rsidR="00A26E87" w:rsidRPr="007B7F59" w:rsidRDefault="00A26E87" w:rsidP="00A26E87">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rsidR="00A26E87" w:rsidRPr="007B7F59" w:rsidRDefault="00A26E87" w:rsidP="00A26E87">
      <w:pPr>
        <w:spacing w:after="0" w:line="240" w:lineRule="auto"/>
        <w:ind w:left="0"/>
        <w:rPr>
          <w:rFonts w:eastAsia="Times New Roman" w:cs="Arial"/>
          <w:szCs w:val="24"/>
          <w:lang w:val="en-ZA"/>
        </w:rPr>
      </w:pPr>
    </w:p>
    <w:p w:rsidR="00A26E87" w:rsidRPr="007B7F59" w:rsidRDefault="00A26E87" w:rsidP="00A26E87">
      <w:pPr>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Case Number:</w:t>
      </w:r>
      <w:r>
        <w:rPr>
          <w:rFonts w:eastAsia="Times New Roman" w:cs="Arial"/>
          <w:bCs/>
          <w:szCs w:val="24"/>
          <w:lang w:val="en-ZA"/>
        </w:rPr>
        <w:t xml:space="preserve"> </w:t>
      </w:r>
      <w:r w:rsidR="00DF3189">
        <w:rPr>
          <w:rFonts w:eastAsia="Times New Roman" w:cs="Arial"/>
          <w:bCs/>
          <w:szCs w:val="24"/>
          <w:lang w:val="en-ZA"/>
        </w:rPr>
        <w:t>A24</w:t>
      </w:r>
      <w:r w:rsidR="004F24B9">
        <w:rPr>
          <w:rFonts w:eastAsia="Times New Roman" w:cs="Arial"/>
          <w:bCs/>
          <w:szCs w:val="24"/>
          <w:lang w:val="en-ZA"/>
        </w:rPr>
        <w:t>/2023</w:t>
      </w:r>
    </w:p>
    <w:p w:rsidR="001D63F4" w:rsidRPr="007B7F59" w:rsidRDefault="001D63F4" w:rsidP="001D63F4">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24CF1319" wp14:editId="371C7D39">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rsidR="001D63F4" w:rsidRPr="003B746C" w:rsidRDefault="001D63F4" w:rsidP="001D63F4">
                            <w:pPr>
                              <w:numPr>
                                <w:ilvl w:val="0"/>
                                <w:numId w:val="1"/>
                              </w:numPr>
                              <w:spacing w:after="0" w:line="240" w:lineRule="auto"/>
                              <w:jc w:val="left"/>
                              <w:rPr>
                                <w:rFonts w:cs="Arial"/>
                                <w:sz w:val="18"/>
                                <w:szCs w:val="20"/>
                              </w:rPr>
                            </w:pPr>
                            <w:r w:rsidRPr="003B746C">
                              <w:rPr>
                                <w:rFonts w:cs="Arial"/>
                                <w:sz w:val="18"/>
                                <w:szCs w:val="20"/>
                              </w:rPr>
                              <w:t xml:space="preserve">REPORTABLE: </w:t>
                            </w:r>
                            <w:r>
                              <w:rPr>
                                <w:rFonts w:cs="Arial"/>
                                <w:sz w:val="18"/>
                                <w:szCs w:val="20"/>
                              </w:rPr>
                              <w:t xml:space="preserve">NO </w:t>
                            </w:r>
                          </w:p>
                          <w:p w:rsidR="001D63F4" w:rsidRPr="003B746C" w:rsidRDefault="001D63F4" w:rsidP="001D63F4">
                            <w:pPr>
                              <w:numPr>
                                <w:ilvl w:val="0"/>
                                <w:numId w:val="1"/>
                              </w:numPr>
                              <w:spacing w:after="0" w:line="240" w:lineRule="auto"/>
                              <w:jc w:val="left"/>
                              <w:rPr>
                                <w:rFonts w:cs="Arial"/>
                                <w:sz w:val="18"/>
                                <w:szCs w:val="20"/>
                              </w:rPr>
                            </w:pPr>
                            <w:r>
                              <w:rPr>
                                <w:rFonts w:cs="Arial"/>
                                <w:sz w:val="18"/>
                                <w:szCs w:val="20"/>
                              </w:rPr>
                              <w:t xml:space="preserve">OF INTEREST TO OTHER JUDGES: NO </w:t>
                            </w:r>
                          </w:p>
                          <w:p w:rsidR="001D63F4" w:rsidRDefault="001D63F4" w:rsidP="001D63F4">
                            <w:pPr>
                              <w:numPr>
                                <w:ilvl w:val="0"/>
                                <w:numId w:val="1"/>
                              </w:numPr>
                              <w:spacing w:after="0" w:line="240" w:lineRule="auto"/>
                              <w:jc w:val="left"/>
                              <w:rPr>
                                <w:rFonts w:cs="Arial"/>
                                <w:sz w:val="18"/>
                                <w:szCs w:val="20"/>
                              </w:rPr>
                            </w:pPr>
                            <w:r w:rsidRPr="003B746C">
                              <w:rPr>
                                <w:rFonts w:cs="Arial"/>
                                <w:sz w:val="18"/>
                                <w:szCs w:val="20"/>
                              </w:rPr>
                              <w:t>REVISED:</w:t>
                            </w:r>
                            <w:r>
                              <w:rPr>
                                <w:rFonts w:cs="Arial"/>
                                <w:sz w:val="18"/>
                                <w:szCs w:val="20"/>
                              </w:rPr>
                              <w:t xml:space="preserve"> YES </w:t>
                            </w:r>
                          </w:p>
                          <w:p w:rsidR="001D63F4" w:rsidRPr="003B746C" w:rsidRDefault="001D63F4" w:rsidP="001D63F4">
                            <w:pPr>
                              <w:spacing w:before="240" w:after="0"/>
                              <w:rPr>
                                <w:rFonts w:cs="Arial"/>
                                <w:b/>
                                <w:sz w:val="18"/>
                                <w:szCs w:val="20"/>
                              </w:rPr>
                            </w:pPr>
                            <w:r w:rsidRPr="003B746C">
                              <w:rPr>
                                <w:rFonts w:cs="Arial"/>
                                <w:b/>
                                <w:sz w:val="18"/>
                                <w:szCs w:val="20"/>
                              </w:rPr>
                              <w:t>_</w:t>
                            </w:r>
                            <w:r w:rsidR="00413020">
                              <w:rPr>
                                <w:rFonts w:cs="Arial"/>
                                <w:b/>
                                <w:sz w:val="18"/>
                                <w:szCs w:val="20"/>
                                <w:u w:val="single"/>
                              </w:rPr>
                              <w:t>09</w:t>
                            </w:r>
                            <w:r w:rsidR="0078313B">
                              <w:rPr>
                                <w:rFonts w:cs="Arial"/>
                                <w:b/>
                                <w:sz w:val="18"/>
                                <w:szCs w:val="20"/>
                                <w:u w:val="single"/>
                              </w:rPr>
                              <w:t>/11/202</w:t>
                            </w:r>
                            <w:r w:rsidR="00413020">
                              <w:rPr>
                                <w:rFonts w:cs="Arial"/>
                                <w:b/>
                                <w:sz w:val="18"/>
                                <w:szCs w:val="20"/>
                                <w:u w:val="single"/>
                              </w:rPr>
                              <w:t>3</w:t>
                            </w:r>
                            <w:r w:rsidRPr="003B746C">
                              <w:rPr>
                                <w:rFonts w:cs="Arial"/>
                                <w:b/>
                                <w:sz w:val="18"/>
                                <w:szCs w:val="20"/>
                              </w:rPr>
                              <w:t>_____</w:t>
                            </w:r>
                            <w:r w:rsidRPr="003B746C">
                              <w:rPr>
                                <w:rFonts w:cs="Arial"/>
                                <w:b/>
                                <w:sz w:val="18"/>
                                <w:szCs w:val="20"/>
                              </w:rPr>
                              <w:tab/>
                              <w:t>_________________________</w:t>
                            </w:r>
                          </w:p>
                          <w:p w:rsidR="001D63F4" w:rsidRPr="003B746C" w:rsidRDefault="001D63F4" w:rsidP="001D63F4">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F1319"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rsidR="001D63F4" w:rsidRPr="003B746C" w:rsidRDefault="001D63F4" w:rsidP="001D63F4">
                      <w:pPr>
                        <w:numPr>
                          <w:ilvl w:val="0"/>
                          <w:numId w:val="1"/>
                        </w:numPr>
                        <w:spacing w:after="0" w:line="240" w:lineRule="auto"/>
                        <w:jc w:val="left"/>
                        <w:rPr>
                          <w:rFonts w:cs="Arial"/>
                          <w:sz w:val="18"/>
                          <w:szCs w:val="20"/>
                        </w:rPr>
                      </w:pPr>
                      <w:r w:rsidRPr="003B746C">
                        <w:rPr>
                          <w:rFonts w:cs="Arial"/>
                          <w:sz w:val="18"/>
                          <w:szCs w:val="20"/>
                        </w:rPr>
                        <w:t xml:space="preserve">REPORTABLE: </w:t>
                      </w:r>
                      <w:r>
                        <w:rPr>
                          <w:rFonts w:cs="Arial"/>
                          <w:sz w:val="18"/>
                          <w:szCs w:val="20"/>
                        </w:rPr>
                        <w:t xml:space="preserve">NO </w:t>
                      </w:r>
                    </w:p>
                    <w:p w:rsidR="001D63F4" w:rsidRPr="003B746C" w:rsidRDefault="001D63F4" w:rsidP="001D63F4">
                      <w:pPr>
                        <w:numPr>
                          <w:ilvl w:val="0"/>
                          <w:numId w:val="1"/>
                        </w:numPr>
                        <w:spacing w:after="0" w:line="240" w:lineRule="auto"/>
                        <w:jc w:val="left"/>
                        <w:rPr>
                          <w:rFonts w:cs="Arial"/>
                          <w:sz w:val="18"/>
                          <w:szCs w:val="20"/>
                        </w:rPr>
                      </w:pPr>
                      <w:r>
                        <w:rPr>
                          <w:rFonts w:cs="Arial"/>
                          <w:sz w:val="18"/>
                          <w:szCs w:val="20"/>
                        </w:rPr>
                        <w:t xml:space="preserve">OF INTEREST TO OTHER JUDGES: NO </w:t>
                      </w:r>
                    </w:p>
                    <w:p w:rsidR="001D63F4" w:rsidRDefault="001D63F4" w:rsidP="001D63F4">
                      <w:pPr>
                        <w:numPr>
                          <w:ilvl w:val="0"/>
                          <w:numId w:val="1"/>
                        </w:numPr>
                        <w:spacing w:after="0" w:line="240" w:lineRule="auto"/>
                        <w:jc w:val="left"/>
                        <w:rPr>
                          <w:rFonts w:cs="Arial"/>
                          <w:sz w:val="18"/>
                          <w:szCs w:val="20"/>
                        </w:rPr>
                      </w:pPr>
                      <w:r w:rsidRPr="003B746C">
                        <w:rPr>
                          <w:rFonts w:cs="Arial"/>
                          <w:sz w:val="18"/>
                          <w:szCs w:val="20"/>
                        </w:rPr>
                        <w:t>REVISED:</w:t>
                      </w:r>
                      <w:r>
                        <w:rPr>
                          <w:rFonts w:cs="Arial"/>
                          <w:sz w:val="18"/>
                          <w:szCs w:val="20"/>
                        </w:rPr>
                        <w:t xml:space="preserve"> YES </w:t>
                      </w:r>
                    </w:p>
                    <w:p w:rsidR="001D63F4" w:rsidRPr="003B746C" w:rsidRDefault="001D63F4" w:rsidP="001D63F4">
                      <w:pPr>
                        <w:spacing w:before="240" w:after="0"/>
                        <w:rPr>
                          <w:rFonts w:cs="Arial"/>
                          <w:b/>
                          <w:sz w:val="18"/>
                          <w:szCs w:val="20"/>
                        </w:rPr>
                      </w:pPr>
                      <w:r w:rsidRPr="003B746C">
                        <w:rPr>
                          <w:rFonts w:cs="Arial"/>
                          <w:b/>
                          <w:sz w:val="18"/>
                          <w:szCs w:val="20"/>
                        </w:rPr>
                        <w:t>_</w:t>
                      </w:r>
                      <w:r w:rsidR="00413020">
                        <w:rPr>
                          <w:rFonts w:cs="Arial"/>
                          <w:b/>
                          <w:sz w:val="18"/>
                          <w:szCs w:val="20"/>
                          <w:u w:val="single"/>
                        </w:rPr>
                        <w:t>09</w:t>
                      </w:r>
                      <w:r w:rsidR="0078313B">
                        <w:rPr>
                          <w:rFonts w:cs="Arial"/>
                          <w:b/>
                          <w:sz w:val="18"/>
                          <w:szCs w:val="20"/>
                          <w:u w:val="single"/>
                        </w:rPr>
                        <w:t>/11/202</w:t>
                      </w:r>
                      <w:r w:rsidR="00413020">
                        <w:rPr>
                          <w:rFonts w:cs="Arial"/>
                          <w:b/>
                          <w:sz w:val="18"/>
                          <w:szCs w:val="20"/>
                          <w:u w:val="single"/>
                        </w:rPr>
                        <w:t>3</w:t>
                      </w:r>
                      <w:r w:rsidRPr="003B746C">
                        <w:rPr>
                          <w:rFonts w:cs="Arial"/>
                          <w:b/>
                          <w:sz w:val="18"/>
                          <w:szCs w:val="20"/>
                        </w:rPr>
                        <w:t>_____</w:t>
                      </w:r>
                      <w:r w:rsidRPr="003B746C">
                        <w:rPr>
                          <w:rFonts w:cs="Arial"/>
                          <w:b/>
                          <w:sz w:val="18"/>
                          <w:szCs w:val="20"/>
                        </w:rPr>
                        <w:tab/>
                        <w:t>_________________________</w:t>
                      </w:r>
                    </w:p>
                    <w:p w:rsidR="001D63F4" w:rsidRPr="003B746C" w:rsidRDefault="001D63F4" w:rsidP="001D63F4">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rsidR="00A26E87" w:rsidRPr="007B7F59" w:rsidRDefault="0078313B" w:rsidP="00A26E87">
      <w:pPr>
        <w:tabs>
          <w:tab w:val="left" w:pos="8998"/>
        </w:tabs>
        <w:spacing w:after="0" w:line="240" w:lineRule="auto"/>
        <w:ind w:left="0"/>
        <w:rPr>
          <w:rFonts w:eastAsia="Times New Roman" w:cs="Arial"/>
          <w:szCs w:val="24"/>
          <w:lang w:val="en-ZA"/>
        </w:rPr>
      </w:pPr>
      <w:r>
        <w:rPr>
          <w:noProof/>
          <w:lang w:val="en-ZA" w:eastAsia="en-ZA"/>
        </w:rPr>
        <w:drawing>
          <wp:anchor distT="0" distB="0" distL="114300" distR="114300" simplePos="0" relativeHeight="251663360" behindDoc="1" locked="0" layoutInCell="1" allowOverlap="1" wp14:anchorId="52C44A9C" wp14:editId="4F6F1D8F">
            <wp:simplePos x="0" y="0"/>
            <wp:positionH relativeFrom="margin">
              <wp:posOffset>1454150</wp:posOffset>
            </wp:positionH>
            <wp:positionV relativeFrom="paragraph">
              <wp:posOffset>118110</wp:posOffset>
            </wp:positionV>
            <wp:extent cx="1800105" cy="427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 Brit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105" cy="427990"/>
                    </a:xfrm>
                    <a:prstGeom prst="rect">
                      <a:avLst/>
                    </a:prstGeom>
                  </pic:spPr>
                </pic:pic>
              </a:graphicData>
            </a:graphic>
            <wp14:sizeRelH relativeFrom="margin">
              <wp14:pctWidth>0</wp14:pctWidth>
            </wp14:sizeRelH>
            <wp14:sizeRelV relativeFrom="margin">
              <wp14:pctHeight>0</wp14:pctHeight>
            </wp14:sizeRelV>
          </wp:anchor>
        </w:drawing>
      </w:r>
    </w:p>
    <w:p w:rsidR="00A26E87" w:rsidRPr="007B7F59" w:rsidRDefault="00A26E87" w:rsidP="00A26E87">
      <w:pPr>
        <w:tabs>
          <w:tab w:val="left" w:pos="8998"/>
        </w:tabs>
        <w:spacing w:after="0" w:line="240" w:lineRule="auto"/>
        <w:ind w:left="0"/>
        <w:rPr>
          <w:rFonts w:eastAsia="Times New Roman" w:cs="Arial"/>
          <w:szCs w:val="24"/>
          <w:lang w:val="en-ZA"/>
        </w:rPr>
      </w:pPr>
    </w:p>
    <w:p w:rsidR="00A26E87" w:rsidRPr="007B7F59" w:rsidRDefault="00A26E87" w:rsidP="00A26E87">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rsidR="00A26E87" w:rsidRPr="007B7F59" w:rsidRDefault="00A26E87" w:rsidP="00A26E87">
      <w:pPr>
        <w:tabs>
          <w:tab w:val="right" w:pos="9029"/>
        </w:tabs>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rPr>
          <w:rFonts w:eastAsia="Times New Roman" w:cs="Arial"/>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bookmarkStart w:id="0" w:name="_GoBack"/>
      <w:bookmarkEnd w:id="0"/>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A26E87" w:rsidP="00A26E87">
      <w:pPr>
        <w:tabs>
          <w:tab w:val="right" w:pos="9029"/>
        </w:tabs>
        <w:spacing w:after="0" w:line="240" w:lineRule="auto"/>
        <w:ind w:left="0"/>
        <w:contextualSpacing/>
        <w:rPr>
          <w:rFonts w:eastAsia="Times New Roman" w:cs="Arial"/>
          <w:b/>
          <w:szCs w:val="24"/>
          <w:lang w:val="en-ZA"/>
        </w:rPr>
      </w:pPr>
    </w:p>
    <w:p w:rsidR="00A26E87" w:rsidRPr="007B7F59" w:rsidRDefault="004F24B9" w:rsidP="00A26E87">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TSHUMA, ORESIMO                                                          APPELLANT</w:t>
      </w:r>
      <w:r w:rsidR="00A26E87">
        <w:rPr>
          <w:rFonts w:eastAsia="Times New Roman" w:cs="Times New Roman"/>
          <w:b/>
          <w:kern w:val="28"/>
          <w:szCs w:val="24"/>
          <w:lang w:eastAsia="en-GB"/>
        </w:rPr>
        <w:t xml:space="preserve"> </w:t>
      </w:r>
      <w:r w:rsidR="00A26E87" w:rsidRPr="007B7F59">
        <w:rPr>
          <w:rFonts w:eastAsia="Times New Roman" w:cs="Arial"/>
          <w:b/>
          <w:szCs w:val="24"/>
          <w:lang w:val="en-ZA"/>
        </w:rPr>
        <w:tab/>
      </w:r>
    </w:p>
    <w:p w:rsidR="00A26E87" w:rsidRPr="007B7F59" w:rsidRDefault="00A26E87" w:rsidP="00A26E87">
      <w:pPr>
        <w:tabs>
          <w:tab w:val="right" w:pos="9029"/>
        </w:tabs>
        <w:spacing w:after="0" w:line="240" w:lineRule="auto"/>
        <w:ind w:left="0"/>
        <w:contextualSpacing/>
        <w:rPr>
          <w:rFonts w:eastAsia="Times New Roman" w:cs="Arial"/>
          <w:szCs w:val="24"/>
          <w:lang w:val="en-ZA"/>
        </w:rPr>
      </w:pPr>
    </w:p>
    <w:p w:rsidR="00A26E87" w:rsidRPr="007B7F59" w:rsidRDefault="00A26E87" w:rsidP="00A26E87">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rsidR="00A26E87" w:rsidRPr="007B7F59" w:rsidRDefault="00A26E87" w:rsidP="00A26E87">
      <w:pPr>
        <w:tabs>
          <w:tab w:val="right" w:pos="9029"/>
        </w:tabs>
        <w:spacing w:after="0" w:line="240" w:lineRule="auto"/>
        <w:ind w:left="0"/>
        <w:contextualSpacing/>
        <w:rPr>
          <w:rFonts w:eastAsia="Times New Roman" w:cs="Arial"/>
          <w:szCs w:val="24"/>
          <w:lang w:val="en-ZA"/>
        </w:rPr>
      </w:pPr>
    </w:p>
    <w:p w:rsidR="00A26E87" w:rsidRPr="00757D97" w:rsidRDefault="004F24B9" w:rsidP="00A26E87">
      <w:pPr>
        <w:tabs>
          <w:tab w:val="right" w:pos="9029"/>
        </w:tabs>
        <w:spacing w:after="0" w:line="240" w:lineRule="auto"/>
        <w:ind w:left="0"/>
        <w:contextualSpacing/>
        <w:rPr>
          <w:rFonts w:eastAsia="Times New Roman" w:cs="Arial"/>
          <w:szCs w:val="24"/>
          <w:lang w:val="en-ZA"/>
        </w:rPr>
      </w:pPr>
      <w:r>
        <w:rPr>
          <w:rFonts w:cs="Arial"/>
          <w:b/>
          <w:szCs w:val="24"/>
          <w:lang w:val="en-ZA"/>
        </w:rPr>
        <w:t>THE STATE                                                                        RESPONDENT</w:t>
      </w:r>
      <w:r w:rsidR="00A26E87" w:rsidRPr="007B7F59">
        <w:rPr>
          <w:rFonts w:cs="Arial"/>
          <w:b/>
          <w:szCs w:val="24"/>
          <w:lang w:val="en-ZA"/>
        </w:rPr>
        <w:tab/>
      </w:r>
    </w:p>
    <w:p w:rsidR="00A26E87" w:rsidRDefault="00A26E87" w:rsidP="00A26E87">
      <w:pPr>
        <w:tabs>
          <w:tab w:val="right" w:pos="9029"/>
        </w:tabs>
        <w:spacing w:after="0" w:line="240" w:lineRule="auto"/>
        <w:ind w:left="0"/>
        <w:contextualSpacing/>
        <w:rPr>
          <w:rFonts w:eastAsia="Times New Roman" w:cs="Arial"/>
          <w:szCs w:val="24"/>
          <w:lang w:val="en-ZA"/>
        </w:rPr>
      </w:pPr>
    </w:p>
    <w:p w:rsidR="00A26E87" w:rsidRPr="007B7F59" w:rsidRDefault="00A26E87" w:rsidP="00A26E87">
      <w:pPr>
        <w:pBdr>
          <w:bottom w:val="single" w:sz="12" w:space="1" w:color="auto"/>
        </w:pBdr>
        <w:spacing w:after="0" w:line="240" w:lineRule="auto"/>
        <w:ind w:left="0"/>
        <w:jc w:val="left"/>
        <w:rPr>
          <w:rFonts w:cs="Arial"/>
          <w:b/>
          <w:szCs w:val="24"/>
          <w:lang w:val="en-ZA"/>
        </w:rPr>
      </w:pPr>
    </w:p>
    <w:p w:rsidR="00A26E87" w:rsidRPr="007B7F59" w:rsidRDefault="00A26E87" w:rsidP="00A26E87">
      <w:pPr>
        <w:spacing w:after="0" w:line="240" w:lineRule="auto"/>
        <w:ind w:left="1440" w:hanging="1440"/>
        <w:jc w:val="left"/>
        <w:rPr>
          <w:rFonts w:cs="Arial"/>
          <w:b/>
          <w:szCs w:val="24"/>
        </w:rPr>
      </w:pPr>
    </w:p>
    <w:p w:rsidR="00A26E87" w:rsidRPr="007B7F59" w:rsidRDefault="00A26E87" w:rsidP="00A26E87">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rsidR="00A26E87" w:rsidRDefault="00A26E87" w:rsidP="00A26E87">
      <w:pPr>
        <w:spacing w:after="0" w:line="240" w:lineRule="auto"/>
        <w:ind w:left="0"/>
        <w:jc w:val="left"/>
        <w:rPr>
          <w:rFonts w:cs="Arial"/>
          <w:szCs w:val="24"/>
        </w:rPr>
      </w:pPr>
      <w:r w:rsidRPr="00685F31">
        <w:rPr>
          <w:rFonts w:cs="Arial"/>
          <w:szCs w:val="24"/>
        </w:rPr>
        <w:t>BRITZ</w:t>
      </w:r>
      <w:r>
        <w:rPr>
          <w:rFonts w:cs="Arial"/>
          <w:szCs w:val="24"/>
        </w:rPr>
        <w:t>,</w:t>
      </w:r>
      <w:r w:rsidRPr="00685F31">
        <w:rPr>
          <w:rFonts w:cs="Arial"/>
          <w:szCs w:val="24"/>
        </w:rPr>
        <w:t xml:space="preserve"> AJ</w:t>
      </w:r>
    </w:p>
    <w:p w:rsidR="004F24B9" w:rsidRDefault="004F24B9" w:rsidP="004F24B9">
      <w:pPr>
        <w:pStyle w:val="JudgmentNumbered"/>
        <w:numPr>
          <w:ilvl w:val="0"/>
          <w:numId w:val="0"/>
        </w:numPr>
        <w:ind w:left="567" w:hanging="567"/>
      </w:pPr>
    </w:p>
    <w:p w:rsidR="004F24B9" w:rsidRDefault="004F24B9" w:rsidP="004F24B9">
      <w:pPr>
        <w:pStyle w:val="JudgmentNumbered"/>
      </w:pPr>
      <w:r>
        <w:t xml:space="preserve">The appellant appeared with three co-accused in the regional court for the regional division of Gauteng, sitting at Alexandra on four counts of robbery with aggravating circumstances as well as two counts of possession of unlicensed fire-arms. The appellant was initially accused 4 in the regional court, but by the time the trial commenced </w:t>
      </w:r>
      <w:r w:rsidR="00430AD8">
        <w:t xml:space="preserve">he had moved up to the position of accused number 2 </w:t>
      </w:r>
      <w:r w:rsidR="002E507D">
        <w:t>following</w:t>
      </w:r>
      <w:r w:rsidR="00430AD8">
        <w:t xml:space="preserve"> the</w:t>
      </w:r>
      <w:r w:rsidR="002E507D">
        <w:t xml:space="preserve"> withdrawal of the charges against the original accused 2 and the</w:t>
      </w:r>
      <w:r w:rsidR="00430AD8">
        <w:t xml:space="preserve"> </w:t>
      </w:r>
      <w:r w:rsidR="00D22509">
        <w:lastRenderedPageBreak/>
        <w:t xml:space="preserve">demise </w:t>
      </w:r>
      <w:r w:rsidR="002E507D">
        <w:t>of the original accused 3</w:t>
      </w:r>
      <w:r w:rsidR="00986CCE">
        <w:t>. The appellant and his co-accused were both legally represented through-out the trial.</w:t>
      </w:r>
    </w:p>
    <w:p w:rsidR="00986CCE" w:rsidRDefault="00986CCE" w:rsidP="004F24B9">
      <w:pPr>
        <w:pStyle w:val="JudgmentNumbered"/>
      </w:pPr>
      <w:r>
        <w:t>Despite pleading not guilty to all the charges against him, the appellant was  convicted</w:t>
      </w:r>
      <w:r w:rsidR="000414E1">
        <w:t xml:space="preserve"> on 11/12/2014</w:t>
      </w:r>
      <w:r>
        <w:t xml:space="preserve"> of all 4 counts of robbery as well as 1 count of possession of an unlicensed fire arm in contravention of s 4(1)(f)(iv) of Act 60 of 2000. All 4 the robbery counts were taken together for purpose of sentence and the appellant was sentenced</w:t>
      </w:r>
      <w:r w:rsidR="000414E1">
        <w:t xml:space="preserve"> on 11/12/2014</w:t>
      </w:r>
      <w:r>
        <w:t xml:space="preserve"> to 18 years imprisonment in respect thereof and a further 5 years imprisonment in respect of the fire arm charge. The effective term of imprisonment was therefore 23 years.</w:t>
      </w:r>
    </w:p>
    <w:p w:rsidR="00986CCE" w:rsidRDefault="00EB756D" w:rsidP="004F24B9">
      <w:pPr>
        <w:pStyle w:val="JudgmentNumbered"/>
      </w:pPr>
      <w:r>
        <w:t xml:space="preserve">The appellant brought an application for leave to appeal his convictions and sentences. This application was however dismissed by the learned regional magistrate. </w:t>
      </w:r>
    </w:p>
    <w:p w:rsidR="00EB756D" w:rsidRDefault="00EB756D" w:rsidP="004F24B9">
      <w:pPr>
        <w:pStyle w:val="JudgmentNumbered"/>
      </w:pPr>
      <w:r>
        <w:t>Aggrieved by the result in the regional court the appellant approached this Court</w:t>
      </w:r>
      <w:r w:rsidR="00FC2594">
        <w:t xml:space="preserve"> for leave to appeal</w:t>
      </w:r>
      <w:r>
        <w:t xml:space="preserve"> on petition. This Court granted leave to appeal to the appellant in respect of both his convictions and sentences, hence the appeal before us.</w:t>
      </w:r>
    </w:p>
    <w:p w:rsidR="00FC2594" w:rsidRDefault="00FC2594" w:rsidP="004F24B9">
      <w:pPr>
        <w:pStyle w:val="JudgmentNumbered"/>
      </w:pPr>
      <w:r>
        <w:t xml:space="preserve">The evidence in the matter can be summarised as follows: </w:t>
      </w:r>
      <w:r w:rsidR="006825CC">
        <w:t>On 09/07/2013 at around midnight Alexandra Clarke</w:t>
      </w:r>
      <w:r w:rsidR="000414E1">
        <w:t xml:space="preserve"> (‘Clarke’)</w:t>
      </w:r>
      <w:r w:rsidR="006825CC">
        <w:t xml:space="preserve">, Daniel du </w:t>
      </w:r>
      <w:proofErr w:type="spellStart"/>
      <w:r w:rsidR="006825CC">
        <w:t>Preez</w:t>
      </w:r>
      <w:proofErr w:type="spellEnd"/>
      <w:r w:rsidR="000414E1">
        <w:t xml:space="preserve"> (‘du </w:t>
      </w:r>
      <w:proofErr w:type="spellStart"/>
      <w:r w:rsidR="000414E1">
        <w:t>Preez</w:t>
      </w:r>
      <w:proofErr w:type="spellEnd"/>
      <w:r w:rsidR="000414E1">
        <w:t>’)</w:t>
      </w:r>
      <w:r w:rsidR="006825CC">
        <w:t xml:space="preserve">, Linda </w:t>
      </w:r>
      <w:proofErr w:type="spellStart"/>
      <w:r w:rsidR="006825CC">
        <w:t>Morland</w:t>
      </w:r>
      <w:proofErr w:type="spellEnd"/>
      <w:r w:rsidR="000414E1">
        <w:t xml:space="preserve"> (‘</w:t>
      </w:r>
      <w:proofErr w:type="spellStart"/>
      <w:r w:rsidR="000414E1">
        <w:t>Morland</w:t>
      </w:r>
      <w:proofErr w:type="spellEnd"/>
      <w:r w:rsidR="000414E1">
        <w:t>’)</w:t>
      </w:r>
      <w:r w:rsidR="006825CC">
        <w:t xml:space="preserve"> and Craig van de </w:t>
      </w:r>
      <w:proofErr w:type="spellStart"/>
      <w:r w:rsidR="006825CC">
        <w:t>Leur</w:t>
      </w:r>
      <w:proofErr w:type="spellEnd"/>
      <w:r w:rsidR="000414E1">
        <w:t xml:space="preserve"> (‘van de </w:t>
      </w:r>
      <w:proofErr w:type="spellStart"/>
      <w:r w:rsidR="000414E1">
        <w:t>Leur</w:t>
      </w:r>
      <w:proofErr w:type="spellEnd"/>
      <w:r w:rsidR="000414E1">
        <w:t>’)</w:t>
      </w:r>
      <w:r w:rsidR="006825CC">
        <w:t xml:space="preserve"> were all at house 170 Milner Road, Glen Austin, </w:t>
      </w:r>
      <w:proofErr w:type="spellStart"/>
      <w:r w:rsidR="006825CC">
        <w:t>Midrand</w:t>
      </w:r>
      <w:proofErr w:type="spellEnd"/>
      <w:r w:rsidR="006825CC">
        <w:t xml:space="preserve"> where they </w:t>
      </w:r>
      <w:r w:rsidR="00D22509">
        <w:t>were</w:t>
      </w:r>
      <w:r w:rsidR="00DF3189">
        <w:t xml:space="preserve"> </w:t>
      </w:r>
      <w:r w:rsidR="006825CC">
        <w:t>celebrat</w:t>
      </w:r>
      <w:r w:rsidR="00D22509">
        <w:t>ing</w:t>
      </w:r>
      <w:r w:rsidR="006825CC">
        <w:t xml:space="preserve"> Clarke’s birthday. Van de </w:t>
      </w:r>
      <w:proofErr w:type="spellStart"/>
      <w:r w:rsidR="006825CC">
        <w:t>Leur</w:t>
      </w:r>
      <w:proofErr w:type="spellEnd"/>
      <w:r w:rsidR="006825CC">
        <w:t xml:space="preserve"> had already gone to bed, while Clarke and Du </w:t>
      </w:r>
      <w:proofErr w:type="spellStart"/>
      <w:r w:rsidR="006825CC">
        <w:t>Preez</w:t>
      </w:r>
      <w:proofErr w:type="spellEnd"/>
      <w:r w:rsidR="006825CC">
        <w:t xml:space="preserve"> were in the kitchen busy cleaning up. </w:t>
      </w:r>
      <w:proofErr w:type="spellStart"/>
      <w:r w:rsidR="006825CC">
        <w:t>Morland</w:t>
      </w:r>
      <w:proofErr w:type="spellEnd"/>
      <w:r w:rsidR="006825CC">
        <w:t xml:space="preserve"> was sitting outside scrolling through music on her laptop. She was suddenly hit with an unknown object on the back of her head. When she turned around she came face to face with several black men who forced her up and into the house. At least two of the men were armed with firearms. They demanded that </w:t>
      </w:r>
      <w:proofErr w:type="spellStart"/>
      <w:r w:rsidR="006825CC">
        <w:t>Morland</w:t>
      </w:r>
      <w:proofErr w:type="spellEnd"/>
      <w:r w:rsidR="006825CC">
        <w:t xml:space="preserve"> show them the safe and </w:t>
      </w:r>
      <w:r w:rsidR="0026589F">
        <w:t xml:space="preserve">firearms in the house. </w:t>
      </w:r>
    </w:p>
    <w:p w:rsidR="0026589F" w:rsidRDefault="0026589F" w:rsidP="004F24B9">
      <w:pPr>
        <w:pStyle w:val="JudgmentNumbered"/>
      </w:pPr>
      <w:r>
        <w:t xml:space="preserve">The commotion in the house caught the attention of Clarke and Du </w:t>
      </w:r>
      <w:proofErr w:type="spellStart"/>
      <w:r>
        <w:t>Preez</w:t>
      </w:r>
      <w:proofErr w:type="spellEnd"/>
      <w:r>
        <w:t xml:space="preserve"> who went to investigate. They found </w:t>
      </w:r>
      <w:proofErr w:type="spellStart"/>
      <w:r>
        <w:t>Morland</w:t>
      </w:r>
      <w:proofErr w:type="spellEnd"/>
      <w:r>
        <w:t xml:space="preserve"> and the group of about 6 intruders in the lounge. Accused number 1, who worked as a security guard for </w:t>
      </w:r>
      <w:proofErr w:type="spellStart"/>
      <w:r>
        <w:t>Morland’s</w:t>
      </w:r>
      <w:proofErr w:type="spellEnd"/>
      <w:r>
        <w:t xml:space="preserve"> family, was amongst the intruders, although it did not look as if he was participating. The intruders forced </w:t>
      </w:r>
      <w:proofErr w:type="spellStart"/>
      <w:r>
        <w:t>Morland</w:t>
      </w:r>
      <w:proofErr w:type="spellEnd"/>
      <w:r>
        <w:t xml:space="preserve"> and Clarke under the table in the lounge and hit Du </w:t>
      </w:r>
      <w:proofErr w:type="spellStart"/>
      <w:r>
        <w:lastRenderedPageBreak/>
        <w:t>Preez</w:t>
      </w:r>
      <w:proofErr w:type="spellEnd"/>
      <w:r>
        <w:t xml:space="preserve"> on the head with a heavy object causing him to fall to his knees. All along the intruders demanded from </w:t>
      </w:r>
      <w:proofErr w:type="spellStart"/>
      <w:r>
        <w:t>Morland</w:t>
      </w:r>
      <w:proofErr w:type="spellEnd"/>
      <w:r>
        <w:t xml:space="preserve"> to show them the safe. She kept on acting as if she knew nothing about a safe on the premises. Clarke became scared for their lives and told the intruders where the safe was located. </w:t>
      </w:r>
    </w:p>
    <w:p w:rsidR="0026589F" w:rsidRDefault="0026589F" w:rsidP="004F24B9">
      <w:pPr>
        <w:pStyle w:val="JudgmentNumbered"/>
      </w:pPr>
      <w:r>
        <w:t xml:space="preserve">In the meantime some of the intruders broke from the main group and went deeper into the house where they discovered Van de </w:t>
      </w:r>
      <w:proofErr w:type="spellStart"/>
      <w:r>
        <w:t>Leur</w:t>
      </w:r>
      <w:proofErr w:type="spellEnd"/>
      <w:r>
        <w:t xml:space="preserve"> in bed. They </w:t>
      </w:r>
      <w:r w:rsidR="00CB2516">
        <w:t>instructed him to get up and lay in the passage. After being told the location of the safe</w:t>
      </w:r>
      <w:r w:rsidR="00E50072">
        <w:t>,</w:t>
      </w:r>
      <w:r w:rsidR="00CB2516">
        <w:t xml:space="preserve"> the intruders instructed Du </w:t>
      </w:r>
      <w:proofErr w:type="spellStart"/>
      <w:r w:rsidR="00CB2516">
        <w:t>Preez</w:t>
      </w:r>
      <w:proofErr w:type="spellEnd"/>
      <w:r w:rsidR="00CB2516">
        <w:t xml:space="preserve"> to lay down next to Van de </w:t>
      </w:r>
      <w:proofErr w:type="spellStart"/>
      <w:r w:rsidR="00CB2516">
        <w:t>Leur</w:t>
      </w:r>
      <w:proofErr w:type="spellEnd"/>
      <w:r w:rsidR="00CB2516">
        <w:t xml:space="preserve"> in the passage, while two of them took </w:t>
      </w:r>
      <w:proofErr w:type="spellStart"/>
      <w:r w:rsidR="00CB2516">
        <w:t>Morland</w:t>
      </w:r>
      <w:proofErr w:type="spellEnd"/>
      <w:r w:rsidR="00CB2516">
        <w:t xml:space="preserve"> to the main bedroom and Clarke to the main bathroom, where the safe was located. While the intruder who was with Clarke tried to open the drawer in which the safe was hidden</w:t>
      </w:r>
      <w:r w:rsidR="00E50072">
        <w:t>,</w:t>
      </w:r>
      <w:r w:rsidR="00CB2516">
        <w:t xml:space="preserve"> the one who was with </w:t>
      </w:r>
      <w:proofErr w:type="spellStart"/>
      <w:r w:rsidR="00CB2516">
        <w:t>Morland</w:t>
      </w:r>
      <w:proofErr w:type="spellEnd"/>
      <w:r w:rsidR="00CB2516">
        <w:t xml:space="preserve"> made he</w:t>
      </w:r>
      <w:r w:rsidR="001D63F4">
        <w:t>r</w:t>
      </w:r>
      <w:r w:rsidR="00CB2516">
        <w:t xml:space="preserve"> lay on the floor while he took jewellery from her dressing table and sniffed on bottles of perfume on the dressing table. </w:t>
      </w:r>
    </w:p>
    <w:p w:rsidR="00CB2516" w:rsidRDefault="00CB2516" w:rsidP="004F24B9">
      <w:pPr>
        <w:pStyle w:val="JudgmentNumbered"/>
      </w:pPr>
      <w:r>
        <w:t xml:space="preserve">At some point </w:t>
      </w:r>
      <w:proofErr w:type="spellStart"/>
      <w:r>
        <w:t>Morland</w:t>
      </w:r>
      <w:proofErr w:type="spellEnd"/>
      <w:r>
        <w:t xml:space="preserve"> realized she was alone in the bedroom. She got up, got hold of her fire arm and walked to the passage where she saw Van de </w:t>
      </w:r>
      <w:proofErr w:type="spellStart"/>
      <w:r>
        <w:t>Leur</w:t>
      </w:r>
      <w:proofErr w:type="spellEnd"/>
      <w:r>
        <w:t xml:space="preserve"> and Du </w:t>
      </w:r>
      <w:proofErr w:type="spellStart"/>
      <w:r>
        <w:t>Preez</w:t>
      </w:r>
      <w:proofErr w:type="spellEnd"/>
      <w:r>
        <w:t xml:space="preserve"> lying</w:t>
      </w:r>
      <w:r w:rsidR="00D22509">
        <w:t xml:space="preserve"> down</w:t>
      </w:r>
      <w:r>
        <w:t>. She fired shot</w:t>
      </w:r>
      <w:r w:rsidR="00E50072">
        <w:t>s</w:t>
      </w:r>
      <w:r>
        <w:t xml:space="preserve"> in the direction of the ceiling of the passage. Some of the intruders in the front of the house retaliated by firing back at </w:t>
      </w:r>
      <w:proofErr w:type="spellStart"/>
      <w:r>
        <w:t>Morland</w:t>
      </w:r>
      <w:proofErr w:type="spellEnd"/>
      <w:r>
        <w:t>.</w:t>
      </w:r>
      <w:r w:rsidR="00725021">
        <w:t xml:space="preserve"> Van de </w:t>
      </w:r>
      <w:proofErr w:type="spellStart"/>
      <w:r w:rsidR="00725021">
        <w:t>Leur</w:t>
      </w:r>
      <w:proofErr w:type="spellEnd"/>
      <w:r w:rsidR="00725021">
        <w:t xml:space="preserve"> went and hid in a bathroom where he found accused 1 sitting.</w:t>
      </w:r>
      <w:r>
        <w:t xml:space="preserve"> The intruder who was with Clarke approached </w:t>
      </w:r>
      <w:proofErr w:type="spellStart"/>
      <w:r>
        <w:t>Morland</w:t>
      </w:r>
      <w:proofErr w:type="spellEnd"/>
      <w:r>
        <w:t xml:space="preserve"> from the back, hit her on the hand and disarmed her. </w:t>
      </w:r>
      <w:r w:rsidR="00725021">
        <w:t>T</w:t>
      </w:r>
      <w:r>
        <w:t>he intruders fled the sce</w:t>
      </w:r>
      <w:r w:rsidR="00E50072">
        <w:t>ne with cash, jewellery,</w:t>
      </w:r>
      <w:r>
        <w:t xml:space="preserve"> some </w:t>
      </w:r>
      <w:proofErr w:type="spellStart"/>
      <w:r>
        <w:t>cellphones</w:t>
      </w:r>
      <w:proofErr w:type="spellEnd"/>
      <w:r w:rsidR="00E50072">
        <w:t xml:space="preserve"> and </w:t>
      </w:r>
      <w:proofErr w:type="spellStart"/>
      <w:r w:rsidR="00E50072">
        <w:t>Morland’s</w:t>
      </w:r>
      <w:proofErr w:type="spellEnd"/>
      <w:r w:rsidR="00E50072">
        <w:t xml:space="preserve"> husband’</w:t>
      </w:r>
      <w:r w:rsidR="00874F30">
        <w:t>s fire-</w:t>
      </w:r>
      <w:r w:rsidR="00E50072">
        <w:t>arm</w:t>
      </w:r>
      <w:r>
        <w:t>.</w:t>
      </w:r>
      <w:r w:rsidR="00874F30">
        <w:t xml:space="preserve"> Other electronic equipment the intruders </w:t>
      </w:r>
      <w:r>
        <w:t>gathered while moving through the house was left behind.</w:t>
      </w:r>
    </w:p>
    <w:p w:rsidR="00725021" w:rsidRDefault="00725021" w:rsidP="004F24B9">
      <w:pPr>
        <w:pStyle w:val="JudgmentNumbered"/>
      </w:pPr>
      <w:r>
        <w:t xml:space="preserve">When the scene became quiet Du </w:t>
      </w:r>
      <w:proofErr w:type="spellStart"/>
      <w:r>
        <w:t>Preez</w:t>
      </w:r>
      <w:proofErr w:type="spellEnd"/>
      <w:r>
        <w:t xml:space="preserve"> got up and ran to his house, which was nearby, where he requested his friend to call the police. Back in the lounge at the crime scene Clarke picked up an unknown cellphone from next to a couch. The cellphone started ringing and she handed it to accused 1 to answer. Accused 1 did not answer the phone but kept it with him. </w:t>
      </w:r>
    </w:p>
    <w:p w:rsidR="00F23282" w:rsidRDefault="00725021" w:rsidP="004F24B9">
      <w:pPr>
        <w:pStyle w:val="JudgmentNumbered"/>
      </w:pPr>
      <w:r>
        <w:t>Shortly afterwards, the police arrived on the scene. Constable Chauke who attended at the scene started taking statements from the complain</w:t>
      </w:r>
      <w:r w:rsidR="00D22509">
        <w:t>an</w:t>
      </w:r>
      <w:r>
        <w:t xml:space="preserve">ts. He had already taken a statement from accused 1, who, at that stage, was not yet a suspect, when Clarke informed him of the incident with the unknown cellphone. </w:t>
      </w:r>
      <w:r w:rsidR="00F23282">
        <w:lastRenderedPageBreak/>
        <w:t>Chauke questioned accused 1 about the cellphone and accused 1 produced the phone and handed it to Chauke. Chauke dialled accused 1’s telephone nu</w:t>
      </w:r>
      <w:r w:rsidR="007F4A22">
        <w:t>mber, which he obtained from the</w:t>
      </w:r>
      <w:r w:rsidR="00F23282">
        <w:t xml:space="preserve"> statement</w:t>
      </w:r>
      <w:r w:rsidR="007F4A22">
        <w:t xml:space="preserve"> he had taken</w:t>
      </w:r>
      <w:r w:rsidR="00F23282">
        <w:t xml:space="preserve">, </w:t>
      </w:r>
      <w:r w:rsidR="00D22509">
        <w:t xml:space="preserve">using </w:t>
      </w:r>
      <w:r w:rsidR="00F23282">
        <w:t xml:space="preserve">the phone which was handed to him. Accused 1’s details appeared on the unknown phone leading Chauke </w:t>
      </w:r>
      <w:r w:rsidR="00E07CBB">
        <w:t>to question accused 1 about it</w:t>
      </w:r>
      <w:r w:rsidR="00E50072">
        <w:t>. Accused 1 admitted know</w:t>
      </w:r>
      <w:r w:rsidR="00D22509">
        <w:t>ing</w:t>
      </w:r>
      <w:r w:rsidR="00E50072">
        <w:t xml:space="preserve"> one</w:t>
      </w:r>
      <w:r w:rsidR="00F23282">
        <w:t xml:space="preserve"> of the intruders and volunteered to point out the intruder’s residence to the police. </w:t>
      </w:r>
    </w:p>
    <w:p w:rsidR="00E07CBB" w:rsidRDefault="00F23282" w:rsidP="004F24B9">
      <w:pPr>
        <w:pStyle w:val="JudgmentNumbered"/>
      </w:pPr>
      <w:r>
        <w:t xml:space="preserve">Captain </w:t>
      </w:r>
      <w:proofErr w:type="spellStart"/>
      <w:r>
        <w:t>Chetty</w:t>
      </w:r>
      <w:proofErr w:type="spellEnd"/>
      <w:r>
        <w:t xml:space="preserve"> and Warrant Officer Reddy who were driving patrols in the vicinity of the crime scene responded to a call from Chauke and also attended at the scene. On hearing what accused 1 had to say regarding the cellphone they decided to get together a task team to go with accused 1 to point out the residence of the owner of the cellphone. </w:t>
      </w:r>
      <w:r w:rsidR="00E07CBB">
        <w:t xml:space="preserve">Accused 1 led them to a shack in </w:t>
      </w:r>
      <w:proofErr w:type="spellStart"/>
      <w:r w:rsidR="00E07CBB">
        <w:t>Mayibuye</w:t>
      </w:r>
      <w:proofErr w:type="spellEnd"/>
      <w:r w:rsidR="00E07CBB">
        <w:t xml:space="preserve">, </w:t>
      </w:r>
      <w:proofErr w:type="spellStart"/>
      <w:r w:rsidR="00E07CBB">
        <w:t>Tembisa</w:t>
      </w:r>
      <w:proofErr w:type="spellEnd"/>
      <w:r w:rsidR="00E07CBB">
        <w:t xml:space="preserve">. </w:t>
      </w:r>
    </w:p>
    <w:p w:rsidR="007F4A22" w:rsidRDefault="00E07CBB" w:rsidP="004F24B9">
      <w:pPr>
        <w:pStyle w:val="JudgmentNumbered"/>
      </w:pPr>
      <w:r>
        <w:t>Graham Lombard</w:t>
      </w:r>
      <w:r w:rsidR="00E50072">
        <w:t xml:space="preserve"> (‘Lombard’)</w:t>
      </w:r>
      <w:r>
        <w:t xml:space="preserve"> </w:t>
      </w:r>
      <w:r w:rsidR="008D107D">
        <w:t>testified that he is a Sergeant in</w:t>
      </w:r>
      <w:r>
        <w:t xml:space="preserve"> the SAPS</w:t>
      </w:r>
      <w:r w:rsidR="008D107D">
        <w:t xml:space="preserve"> stationed</w:t>
      </w:r>
      <w:r>
        <w:t xml:space="preserve"> at </w:t>
      </w:r>
      <w:proofErr w:type="spellStart"/>
      <w:r>
        <w:t>Midrand</w:t>
      </w:r>
      <w:proofErr w:type="spellEnd"/>
      <w:r>
        <w:t>. He was part of the task team assembled to react on the information given by accused 1. When accused 1 pointed out the shack of the intruder which was known to him, Lomba</w:t>
      </w:r>
      <w:r w:rsidR="00E50072">
        <w:t>rd entered the shack and found three</w:t>
      </w:r>
      <w:r>
        <w:t xml:space="preserve"> men sitting on beds. </w:t>
      </w:r>
      <w:r w:rsidR="00E50072">
        <w:t>He discovered two firearm</w:t>
      </w:r>
      <w:r w:rsidR="00D22509">
        <w:t>s</w:t>
      </w:r>
      <w:r w:rsidR="00E50072">
        <w:t xml:space="preserve"> on two of the men and also two</w:t>
      </w:r>
      <w:r w:rsidR="00295971">
        <w:t xml:space="preserve"> Blackberry cellphones laying</w:t>
      </w:r>
      <w:r w:rsidR="00E50072">
        <w:t xml:space="preserve"> on the ground</w:t>
      </w:r>
      <w:r w:rsidR="00295971">
        <w:t xml:space="preserve"> next to the door on the inside of the shack. The one firearm was a Remington pistol and the other a .22</w:t>
      </w:r>
      <w:r w:rsidR="008D107D">
        <w:t xml:space="preserve"> calibre short</w:t>
      </w:r>
      <w:r w:rsidR="00295971">
        <w:t xml:space="preserve"> Beretta. The Beretta was found tucked into the jeans of the appellant. The serial number of the Berett</w:t>
      </w:r>
      <w:r w:rsidR="008D107D">
        <w:t>a was obliterated. The exhibits were booked into SAP 13/ 262.</w:t>
      </w:r>
      <w:r w:rsidR="00E50072">
        <w:t xml:space="preserve"> All three</w:t>
      </w:r>
      <w:r w:rsidR="00295971">
        <w:t xml:space="preserve"> suspects found </w:t>
      </w:r>
      <w:r w:rsidR="008D107D">
        <w:t>inside the shack were arrested.</w:t>
      </w:r>
    </w:p>
    <w:p w:rsidR="00A573CC" w:rsidRDefault="007F4A22" w:rsidP="004F24B9">
      <w:pPr>
        <w:pStyle w:val="JudgmentNumbered"/>
      </w:pPr>
      <w:r>
        <w:t xml:space="preserve">Craig van de </w:t>
      </w:r>
      <w:proofErr w:type="spellStart"/>
      <w:r>
        <w:t>Leur</w:t>
      </w:r>
      <w:proofErr w:type="spellEnd"/>
      <w:r>
        <w:t xml:space="preserve"> did not testify during the trial, but his statement to the police was handed in as exhibit A, by consent. In his statement he describes his observations of the robbery and indicates that he would not be able to identify any of the </w:t>
      </w:r>
      <w:r w:rsidR="00A573CC">
        <w:t>perpetrators</w:t>
      </w:r>
      <w:r>
        <w:t>.</w:t>
      </w:r>
    </w:p>
    <w:p w:rsidR="00317B50" w:rsidRDefault="003540C1" w:rsidP="004F24B9">
      <w:pPr>
        <w:pStyle w:val="JudgmentNumbered"/>
      </w:pPr>
      <w:r>
        <w:t xml:space="preserve">The prosecutor handed in, as exhibit B, a certified copy of </w:t>
      </w:r>
      <w:proofErr w:type="spellStart"/>
      <w:r>
        <w:t>Midrand</w:t>
      </w:r>
      <w:proofErr w:type="spellEnd"/>
      <w:r>
        <w:t xml:space="preserve"> SAP 13/263. The register reflects that the f</w:t>
      </w:r>
      <w:r w:rsidR="00E50072">
        <w:t>ollowing items were handed in: two forensic bags, one</w:t>
      </w:r>
      <w:r>
        <w:t xml:space="preserve"> containin</w:t>
      </w:r>
      <w:r w:rsidR="00E50072">
        <w:t>g a Remington pistol, magazine and six</w:t>
      </w:r>
      <w:r>
        <w:t xml:space="preserve"> ro</w:t>
      </w:r>
      <w:r w:rsidR="00E50072">
        <w:t>unds, and the other containing two</w:t>
      </w:r>
      <w:r>
        <w:t xml:space="preserve"> Blackberry cellphones and a cellphone battery. </w:t>
      </w:r>
      <w:r w:rsidR="00F55F33">
        <w:t xml:space="preserve">The items were allegedly found by Captain </w:t>
      </w:r>
      <w:proofErr w:type="spellStart"/>
      <w:r w:rsidR="00F55F33">
        <w:t>Chetty</w:t>
      </w:r>
      <w:proofErr w:type="spellEnd"/>
      <w:r w:rsidR="00F55F33">
        <w:t xml:space="preserve"> in possession of suspects not mentioned in </w:t>
      </w:r>
      <w:r w:rsidR="00F55F33">
        <w:lastRenderedPageBreak/>
        <w:t xml:space="preserve">the register at an address in </w:t>
      </w:r>
      <w:proofErr w:type="spellStart"/>
      <w:r w:rsidR="00F55F33">
        <w:t>Tembisa</w:t>
      </w:r>
      <w:proofErr w:type="spellEnd"/>
      <w:r w:rsidR="00F55F33">
        <w:t xml:space="preserve"> and registered in a docket, </w:t>
      </w:r>
      <w:proofErr w:type="spellStart"/>
      <w:r w:rsidR="00F55F33">
        <w:t>Midrand</w:t>
      </w:r>
      <w:proofErr w:type="spellEnd"/>
      <w:r w:rsidR="00F55F33">
        <w:t xml:space="preserve"> </w:t>
      </w:r>
      <w:proofErr w:type="spellStart"/>
      <w:r w:rsidR="00F55F33">
        <w:t>Cas</w:t>
      </w:r>
      <w:proofErr w:type="spellEnd"/>
      <w:r w:rsidR="00F55F33">
        <w:t xml:space="preserve"> 283/03/2013</w:t>
      </w:r>
      <w:r w:rsidR="00E50072">
        <w:t xml:space="preserve"> which was opened for the offence of</w:t>
      </w:r>
      <w:r w:rsidR="00A8657A">
        <w:t xml:space="preserve"> Possession of Suspected Stolen P</w:t>
      </w:r>
      <w:r w:rsidR="00F55F33">
        <w:t xml:space="preserve">roperty. It was further alleged in the register that the items belonged to one Mrs L A Moreland of 170 </w:t>
      </w:r>
      <w:proofErr w:type="spellStart"/>
      <w:r w:rsidR="00F55F33">
        <w:t>Modderfontein</w:t>
      </w:r>
      <w:proofErr w:type="spellEnd"/>
      <w:r w:rsidR="00F55F33">
        <w:t xml:space="preserve"> Roa</w:t>
      </w:r>
      <w:r w:rsidR="00A8657A">
        <w:t>d, President Park and that the two</w:t>
      </w:r>
      <w:r w:rsidR="00F55F33">
        <w:t xml:space="preserve"> cellphones were later released to the owner thereof, one Craig van de </w:t>
      </w:r>
      <w:proofErr w:type="spellStart"/>
      <w:r w:rsidR="00F55F33">
        <w:t>Leur</w:t>
      </w:r>
      <w:proofErr w:type="spellEnd"/>
      <w:r w:rsidR="00F55F33">
        <w:t>.</w:t>
      </w:r>
    </w:p>
    <w:p w:rsidR="00450C8E" w:rsidRDefault="00317B50" w:rsidP="004F24B9">
      <w:pPr>
        <w:pStyle w:val="JudgmentNumbered"/>
      </w:pPr>
      <w:r>
        <w:t xml:space="preserve">Captain </w:t>
      </w:r>
      <w:proofErr w:type="spellStart"/>
      <w:r>
        <w:t>Chetty</w:t>
      </w:r>
      <w:proofErr w:type="spellEnd"/>
      <w:r>
        <w:t xml:space="preserve"> was not called to testify. Warrant Officer Reddy passed away during the course of the trial. Certain portions of his statement with regards to the incident was read into the record by the prosecutor with consent of the defence. The statement was handed in as exhibit D. In the statement Reddy confirmed the interaction with Chauke and accused 1 as well as the pointing out made by accused 1. He stated that at the shack pointed out by accused 1 Sergeants </w:t>
      </w:r>
      <w:proofErr w:type="spellStart"/>
      <w:r>
        <w:t>Milborrow</w:t>
      </w:r>
      <w:proofErr w:type="spellEnd"/>
      <w:r>
        <w:t xml:space="preserve"> and </w:t>
      </w:r>
      <w:proofErr w:type="spellStart"/>
      <w:r>
        <w:t>Noffke</w:t>
      </w:r>
      <w:proofErr w:type="spellEnd"/>
      <w:r>
        <w:t xml:space="preserve"> went into the shack. </w:t>
      </w:r>
      <w:proofErr w:type="spellStart"/>
      <w:r>
        <w:t>Milborrow</w:t>
      </w:r>
      <w:proofErr w:type="spellEnd"/>
      <w:r>
        <w:t xml:space="preserve"> came out </w:t>
      </w:r>
      <w:r w:rsidR="00A8657A">
        <w:t>and reported that he recovered two</w:t>
      </w:r>
      <w:r>
        <w:t xml:space="preserve"> firearms – a </w:t>
      </w:r>
      <w:r w:rsidR="007F76D7">
        <w:t>Pietro Beretta and a Rem</w:t>
      </w:r>
      <w:r w:rsidR="00A8657A">
        <w:t>ington pistol – as well as two</w:t>
      </w:r>
      <w:r>
        <w:t xml:space="preserve"> Blackberry cellphones. These exhibits were booked into SAP 13/ 162 and 163 of 2013 under docket </w:t>
      </w:r>
      <w:proofErr w:type="spellStart"/>
      <w:r>
        <w:t>Rabie</w:t>
      </w:r>
      <w:proofErr w:type="spellEnd"/>
      <w:r>
        <w:t xml:space="preserve"> Ridge </w:t>
      </w:r>
      <w:proofErr w:type="spellStart"/>
      <w:r>
        <w:t>Cas</w:t>
      </w:r>
      <w:proofErr w:type="spellEnd"/>
      <w:r>
        <w:t xml:space="preserve"> 163/03/2013.</w:t>
      </w:r>
    </w:p>
    <w:p w:rsidR="007F76D7" w:rsidRDefault="00450C8E" w:rsidP="004F24B9">
      <w:pPr>
        <w:pStyle w:val="JudgmentNumbered"/>
      </w:pPr>
      <w:r>
        <w:t xml:space="preserve">The last piece of evidence for the State was the ballistics report deposed to by Warrant Officer </w:t>
      </w:r>
      <w:proofErr w:type="spellStart"/>
      <w:r>
        <w:t>Moloto</w:t>
      </w:r>
      <w:proofErr w:type="spellEnd"/>
      <w:r>
        <w:t>.</w:t>
      </w:r>
      <w:r w:rsidR="00556A2B">
        <w:t xml:space="preserve"> He stated under </w:t>
      </w:r>
      <w:proofErr w:type="spellStart"/>
      <w:r w:rsidR="00556A2B">
        <w:t>Midrand</w:t>
      </w:r>
      <w:proofErr w:type="spellEnd"/>
      <w:r w:rsidR="00556A2B">
        <w:t xml:space="preserve"> </w:t>
      </w:r>
      <w:proofErr w:type="spellStart"/>
      <w:r w:rsidR="00556A2B">
        <w:t>Cas</w:t>
      </w:r>
      <w:proofErr w:type="spellEnd"/>
      <w:r w:rsidR="00556A2B">
        <w:t xml:space="preserve"> 252/03/2013 that he received the following exhibits: a .22 long rifle Beretta semi-a</w:t>
      </w:r>
      <w:r w:rsidR="00A8657A">
        <w:t>utomatic pistol, five</w:t>
      </w:r>
      <w:r w:rsidR="00556A2B">
        <w:t xml:space="preserve"> cartridges for said pistol, a Remington semi-automatic pistol and </w:t>
      </w:r>
      <w:r w:rsidR="00A8657A">
        <w:t>six</w:t>
      </w:r>
      <w:r w:rsidR="007F76D7">
        <w:t xml:space="preserve"> cartridges for said pistol. He examined the exhibits and noted his findings in his report</w:t>
      </w:r>
      <w:r w:rsidR="00A8657A">
        <w:t xml:space="preserve"> which was handed in as exhibit E</w:t>
      </w:r>
      <w:r w:rsidR="007F76D7">
        <w:t>.</w:t>
      </w:r>
    </w:p>
    <w:p w:rsidR="007F76D7" w:rsidRDefault="007F76D7" w:rsidP="004F24B9">
      <w:pPr>
        <w:pStyle w:val="JudgmentNumbered"/>
      </w:pPr>
      <w:r>
        <w:t>Both accused 1 and the appellant testified during the trial and gave exculpatory versions.</w:t>
      </w:r>
    </w:p>
    <w:p w:rsidR="007F76D7" w:rsidRDefault="007F76D7" w:rsidP="004F24B9">
      <w:pPr>
        <w:pStyle w:val="JudgmentNumbered"/>
      </w:pPr>
      <w:r>
        <w:t>The issues raised in this appeal are the following:</w:t>
      </w:r>
    </w:p>
    <w:p w:rsidR="007F76D7" w:rsidRDefault="007F76D7" w:rsidP="007F76D7">
      <w:pPr>
        <w:pStyle w:val="JudgmentNumbered"/>
        <w:numPr>
          <w:ilvl w:val="0"/>
          <w:numId w:val="5"/>
        </w:numPr>
      </w:pPr>
      <w:r>
        <w:t>The identity of the appellant as one of the robbers was not proved beyond a reasonable doubt.</w:t>
      </w:r>
    </w:p>
    <w:p w:rsidR="001D4963" w:rsidRDefault="007F76D7" w:rsidP="007F76D7">
      <w:pPr>
        <w:pStyle w:val="JudgmentNumbered"/>
        <w:numPr>
          <w:ilvl w:val="0"/>
          <w:numId w:val="5"/>
        </w:numPr>
      </w:pPr>
      <w:r>
        <w:t xml:space="preserve">It was not proved that the appellant was found in possession of any firearm </w:t>
      </w:r>
      <w:r w:rsidR="001D4963">
        <w:t>or anything else that can link him to the robbery of the complainants.</w:t>
      </w:r>
    </w:p>
    <w:p w:rsidR="001D4963" w:rsidRDefault="001D4963" w:rsidP="007F76D7">
      <w:pPr>
        <w:pStyle w:val="JudgmentNumbered"/>
        <w:numPr>
          <w:ilvl w:val="0"/>
          <w:numId w:val="5"/>
        </w:numPr>
      </w:pPr>
      <w:r>
        <w:lastRenderedPageBreak/>
        <w:t>The trial court erred in fixing a non-parole period in terms of s 276B of the Criminal Procedure Act on the sentence</w:t>
      </w:r>
      <w:r w:rsidR="00A8657A">
        <w:t>s</w:t>
      </w:r>
      <w:r>
        <w:t xml:space="preserve"> it imposed.</w:t>
      </w:r>
    </w:p>
    <w:p w:rsidR="00BF4F38" w:rsidRPr="00E61F5B" w:rsidRDefault="00BF4F38" w:rsidP="00BF4F38">
      <w:pPr>
        <w:pStyle w:val="JudgmentNumbered"/>
        <w:rPr>
          <w:color w:val="000000" w:themeColor="text1"/>
          <w:szCs w:val="24"/>
        </w:rPr>
      </w:pPr>
      <w:r>
        <w:t xml:space="preserve">It is well established that a court of appeal is not at liberty to substitute its views for that of the trial court. </w:t>
      </w:r>
      <w:r w:rsidRPr="00E61F5B">
        <w:rPr>
          <w:color w:val="000000" w:themeColor="text1"/>
          <w:szCs w:val="24"/>
        </w:rPr>
        <w:t xml:space="preserve">The rule when dealing with appeals was stated in </w:t>
      </w:r>
      <w:r w:rsidRPr="00874F30">
        <w:rPr>
          <w:color w:val="000000" w:themeColor="text1"/>
          <w:szCs w:val="24"/>
        </w:rPr>
        <w:t>S v Leve</w:t>
      </w:r>
      <w:r w:rsidRPr="00E61F5B">
        <w:rPr>
          <w:rStyle w:val="FootnoteReference"/>
          <w:color w:val="000000" w:themeColor="text1"/>
          <w:szCs w:val="24"/>
        </w:rPr>
        <w:footnoteReference w:id="1"/>
      </w:r>
      <w:r w:rsidRPr="00E61F5B">
        <w:rPr>
          <w:color w:val="000000" w:themeColor="text1"/>
          <w:szCs w:val="24"/>
        </w:rPr>
        <w:t xml:space="preserve"> as follows:</w:t>
      </w:r>
    </w:p>
    <w:p w:rsidR="00BF4F38" w:rsidRPr="00E61F5B" w:rsidRDefault="00BF4F38" w:rsidP="00BF4F38">
      <w:pPr>
        <w:rPr>
          <w:rFonts w:cs="Arial"/>
          <w:i/>
          <w:color w:val="000000" w:themeColor="text1"/>
          <w:szCs w:val="24"/>
        </w:rPr>
      </w:pPr>
      <w:r w:rsidRPr="00E61F5B">
        <w:rPr>
          <w:rFonts w:cs="Arial"/>
          <w:color w:val="000000" w:themeColor="text1"/>
          <w:szCs w:val="24"/>
        </w:rPr>
        <w:tab/>
      </w:r>
      <w:r w:rsidRPr="00E61F5B">
        <w:rPr>
          <w:rFonts w:cs="Arial"/>
          <w:i/>
          <w:color w:val="000000" w:themeColor="text1"/>
          <w:szCs w:val="24"/>
        </w:rPr>
        <w:t xml:space="preserve">‘The fundamental rule to be applied by a court of appeal is that, while the </w:t>
      </w:r>
      <w:r w:rsidRPr="00E61F5B">
        <w:rPr>
          <w:rFonts w:cs="Arial"/>
          <w:i/>
          <w:color w:val="000000" w:themeColor="text1"/>
          <w:szCs w:val="24"/>
        </w:rPr>
        <w:tab/>
        <w:t xml:space="preserve">appellant is entitled to a rehearing, because otherwise the right to appeal </w:t>
      </w:r>
      <w:r w:rsidRPr="00E61F5B">
        <w:rPr>
          <w:rFonts w:cs="Arial"/>
          <w:i/>
          <w:color w:val="000000" w:themeColor="text1"/>
          <w:szCs w:val="24"/>
        </w:rPr>
        <w:tab/>
      </w:r>
      <w:r w:rsidRPr="00E61F5B">
        <w:rPr>
          <w:rFonts w:cs="Arial"/>
          <w:i/>
          <w:color w:val="000000" w:themeColor="text1"/>
          <w:szCs w:val="24"/>
        </w:rPr>
        <w:tab/>
        <w:t xml:space="preserve">becomes illusory, a court of appeal is not at liberty to depart from the trial </w:t>
      </w:r>
      <w:r w:rsidRPr="00E61F5B">
        <w:rPr>
          <w:rFonts w:cs="Arial"/>
          <w:i/>
          <w:color w:val="000000" w:themeColor="text1"/>
          <w:szCs w:val="24"/>
        </w:rPr>
        <w:tab/>
        <w:t xml:space="preserve">court’s finding of fact and credibility, unless they are vitiate by irregularity, or </w:t>
      </w:r>
      <w:r w:rsidRPr="00E61F5B">
        <w:rPr>
          <w:rFonts w:cs="Arial"/>
          <w:i/>
          <w:color w:val="000000" w:themeColor="text1"/>
          <w:szCs w:val="24"/>
        </w:rPr>
        <w:tab/>
        <w:t xml:space="preserve">unless an examination of the record of the evidence reveals that those </w:t>
      </w:r>
      <w:r w:rsidRPr="00E61F5B">
        <w:rPr>
          <w:rFonts w:cs="Arial"/>
          <w:i/>
          <w:color w:val="000000" w:themeColor="text1"/>
          <w:szCs w:val="24"/>
        </w:rPr>
        <w:tab/>
        <w:t xml:space="preserve">findings were patently wrong. The trial court’s findings of fact and credibility </w:t>
      </w:r>
      <w:r w:rsidRPr="00E61F5B">
        <w:rPr>
          <w:rFonts w:cs="Arial"/>
          <w:i/>
          <w:color w:val="000000" w:themeColor="text1"/>
          <w:szCs w:val="24"/>
        </w:rPr>
        <w:tab/>
        <w:t xml:space="preserve">are presumed to be correct, because the trial court, and not the court of </w:t>
      </w:r>
      <w:r w:rsidRPr="00E61F5B">
        <w:rPr>
          <w:rFonts w:cs="Arial"/>
          <w:i/>
          <w:color w:val="000000" w:themeColor="text1"/>
          <w:szCs w:val="24"/>
        </w:rPr>
        <w:tab/>
        <w:t xml:space="preserve">appeal, has had the advantage of seeing and hearing the witnesses, and is in </w:t>
      </w:r>
      <w:r w:rsidRPr="00E61F5B">
        <w:rPr>
          <w:rFonts w:cs="Arial"/>
          <w:i/>
          <w:color w:val="000000" w:themeColor="text1"/>
          <w:szCs w:val="24"/>
        </w:rPr>
        <w:tab/>
        <w:t xml:space="preserve">a better position to determine where the truth lies.’ </w:t>
      </w:r>
    </w:p>
    <w:p w:rsidR="00D83337" w:rsidRDefault="00D83337" w:rsidP="00BF4F38">
      <w:pPr>
        <w:pStyle w:val="JudgmentNumbered"/>
      </w:pPr>
      <w:r>
        <w:t xml:space="preserve">The first question to be answered in this appeal is this: Did the State prove beyond a reasonable doubt that the appellant was one of the persons who entered the house of Linda </w:t>
      </w:r>
      <w:proofErr w:type="spellStart"/>
      <w:r>
        <w:t>Morland</w:t>
      </w:r>
      <w:proofErr w:type="spellEnd"/>
      <w:r>
        <w:t xml:space="preserve"> and robbed her and the other complainants of their property? </w:t>
      </w:r>
    </w:p>
    <w:p w:rsidR="00725021" w:rsidRPr="004F24B9" w:rsidRDefault="00D83337" w:rsidP="00BF4F38">
      <w:pPr>
        <w:pStyle w:val="JudgmentNumbered"/>
      </w:pPr>
      <w:r>
        <w:t xml:space="preserve">It is trite that evidence on the identification of an accused must be approached with caution in mind. </w:t>
      </w:r>
      <w:r w:rsidR="005A016D">
        <w:t>The correct approach was stated as follows by the Appellate Division</w:t>
      </w:r>
      <w:r w:rsidR="00E54C4C">
        <w:t xml:space="preserve"> (as it then was) in S v </w:t>
      </w:r>
      <w:proofErr w:type="spellStart"/>
      <w:r w:rsidR="00E54C4C">
        <w:t>Mthet</w:t>
      </w:r>
      <w:r w:rsidR="005A016D">
        <w:t>wa</w:t>
      </w:r>
      <w:proofErr w:type="spellEnd"/>
      <w:r w:rsidR="005A016D">
        <w:t>:</w:t>
      </w:r>
      <w:r w:rsidR="005A016D">
        <w:rPr>
          <w:rStyle w:val="FootnoteReference"/>
        </w:rPr>
        <w:footnoteReference w:id="2"/>
      </w:r>
      <w:r w:rsidR="005A016D">
        <w:t xml:space="preserve"> </w:t>
      </w:r>
      <w:r>
        <w:t xml:space="preserve"> </w:t>
      </w:r>
      <w:r w:rsidR="00450C8E">
        <w:t xml:space="preserve"> </w:t>
      </w:r>
      <w:r w:rsidR="00F55F33">
        <w:t xml:space="preserve"> </w:t>
      </w:r>
      <w:r w:rsidR="007F4A22">
        <w:t xml:space="preserve">  </w:t>
      </w:r>
      <w:r w:rsidR="00E07CBB">
        <w:t xml:space="preserve"> </w:t>
      </w:r>
      <w:r w:rsidR="00725021">
        <w:t xml:space="preserve">    </w:t>
      </w:r>
    </w:p>
    <w:p w:rsidR="00CE1CB2" w:rsidRDefault="005A016D" w:rsidP="005A016D">
      <w:pPr>
        <w:ind w:left="720"/>
        <w:rPr>
          <w:i/>
        </w:rPr>
      </w:pPr>
      <w:r>
        <w:rPr>
          <w:i/>
        </w:rPr>
        <w:t>‘Because of the fallibility of human observat</w:t>
      </w:r>
      <w:r w:rsidR="00A8657A">
        <w:rPr>
          <w:i/>
        </w:rPr>
        <w:t>ion evidence of identification i</w:t>
      </w:r>
      <w:r>
        <w:rPr>
          <w:i/>
        </w:rPr>
        <w:t>s approached by the courts with some caution. It is not enough for the identifying witness to be honest; the reliability of his observation must be tested depending on various factors such as: lighting, visibility</w:t>
      </w:r>
      <w:r w:rsidR="00E54C4C">
        <w:rPr>
          <w:i/>
        </w:rPr>
        <w:t xml:space="preserve"> and eyesight; the proximity of the witness; his opportunity for observation, both as to time and situation; the extent of his prior knowledge of the accused; the mobility of the scene; corroboration; </w:t>
      </w:r>
      <w:r w:rsidR="00E54C4C">
        <w:rPr>
          <w:i/>
        </w:rPr>
        <w:lastRenderedPageBreak/>
        <w:t>suggestibility; the accused’s face, voice, build, gait and dress; the result of identification parades, if any; and the evidence by or on behalf of the accused.’</w:t>
      </w:r>
    </w:p>
    <w:p w:rsidR="0024574A" w:rsidRDefault="00E54C4C" w:rsidP="00E54C4C">
      <w:pPr>
        <w:pStyle w:val="JudgmentNumbered"/>
      </w:pPr>
      <w:r>
        <w:t xml:space="preserve">From the evidence of all the complainants it is clear that they were all taken by surprise when the robbery occurred. The robbery occurred in the middle of the night after they were all winding down after the celebrations of the day. Although the lighting inside the house was very good, the scene was very mobile and the chances for observation very minimal. </w:t>
      </w:r>
      <w:r w:rsidR="00A8657A">
        <w:t>To that end V</w:t>
      </w:r>
      <w:r w:rsidR="0024574A">
        <w:t xml:space="preserve">an de </w:t>
      </w:r>
      <w:proofErr w:type="spellStart"/>
      <w:r w:rsidR="0024574A">
        <w:t>Leur</w:t>
      </w:r>
      <w:proofErr w:type="spellEnd"/>
      <w:r w:rsidR="0024574A">
        <w:t xml:space="preserve"> stated clearly in his statement to the police that he would not be able to identify any of the perpetrators. Alexandra Clarke and Linda </w:t>
      </w:r>
      <w:proofErr w:type="spellStart"/>
      <w:r w:rsidR="0024574A">
        <w:t>Morland</w:t>
      </w:r>
      <w:proofErr w:type="spellEnd"/>
      <w:r w:rsidR="0024574A">
        <w:t xml:space="preserve"> stated that they thought the appellant was one of the perpetrators. They both however conceded that there was nothing specific about the</w:t>
      </w:r>
      <w:r w:rsidR="00A8657A">
        <w:t xml:space="preserve"> features of the</w:t>
      </w:r>
      <w:r w:rsidR="0024574A">
        <w:t xml:space="preserve"> appellant which they could remember and that they could therefore not be sure that their identification was reliable.</w:t>
      </w:r>
    </w:p>
    <w:p w:rsidR="00E54C4C" w:rsidRDefault="0024574A" w:rsidP="00E54C4C">
      <w:pPr>
        <w:pStyle w:val="JudgmentNumbered"/>
      </w:pPr>
      <w:r>
        <w:t>The only witness who made any real attempt to convince the trial court of the appellant’s identificat</w:t>
      </w:r>
      <w:r w:rsidR="00A8657A">
        <w:t>ion was D</w:t>
      </w:r>
      <w:r>
        <w:t xml:space="preserve">u </w:t>
      </w:r>
      <w:proofErr w:type="spellStart"/>
      <w:r>
        <w:t>Preez</w:t>
      </w:r>
      <w:proofErr w:type="spellEnd"/>
      <w:r>
        <w:t xml:space="preserve">. </w:t>
      </w:r>
      <w:r w:rsidR="00D25AE5">
        <w:t>He tried to give credence to this identification by basing it on the eyes of the appellant. He was however unable to say what about the appellant’s eyes made him sure of the reliability of his identification.</w:t>
      </w:r>
      <w:r>
        <w:t xml:space="preserve"> </w:t>
      </w:r>
      <w:r w:rsidR="00D25AE5">
        <w:t>He further confirmed that he was hit hard on the head with a heavy object at the start of the ordeal to the extent that he lost his balance</w:t>
      </w:r>
      <w:r w:rsidR="004B5248">
        <w:t xml:space="preserve"> and fell to his knees. He testified</w:t>
      </w:r>
      <w:r w:rsidR="00D25AE5">
        <w:t xml:space="preserve"> that the appellant spen</w:t>
      </w:r>
      <w:r w:rsidR="00D22509">
        <w:t>t</w:t>
      </w:r>
      <w:r w:rsidR="00D25AE5">
        <w:t xml:space="preserve"> very little time with him, but went to </w:t>
      </w:r>
      <w:r w:rsidR="004B5248">
        <w:t>another room, which was out of his sight,</w:t>
      </w:r>
      <w:r w:rsidR="00D25AE5">
        <w:t xml:space="preserve"> with </w:t>
      </w:r>
      <w:proofErr w:type="spellStart"/>
      <w:r w:rsidR="00D25AE5">
        <w:t>Morland</w:t>
      </w:r>
      <w:proofErr w:type="spellEnd"/>
      <w:r w:rsidR="00D25AE5">
        <w:t xml:space="preserve"> and Clarke</w:t>
      </w:r>
      <w:r w:rsidR="004B5248">
        <w:t xml:space="preserve"> while he was made to lay in the passage with Van de </w:t>
      </w:r>
      <w:proofErr w:type="spellStart"/>
      <w:r w:rsidR="004B5248">
        <w:t>Leur</w:t>
      </w:r>
      <w:proofErr w:type="spellEnd"/>
      <w:r w:rsidR="00D25AE5">
        <w:t>.</w:t>
      </w:r>
    </w:p>
    <w:p w:rsidR="00A767E5" w:rsidRDefault="00D25AE5" w:rsidP="00E54C4C">
      <w:pPr>
        <w:pStyle w:val="JudgmentNumbered"/>
      </w:pPr>
      <w:r>
        <w:t xml:space="preserve">In my view the trial court was correct not to place sufficient weight for a conviction on the identification testimony of the complainants, but to rather look elsewhere in the evidence for corroboration of their identification. </w:t>
      </w:r>
      <w:r w:rsidR="00A767E5">
        <w:t xml:space="preserve">The respondent also admirably conceded in paragraph 11 of its heads of argument that the ‘evidence with regard to identity is questionable.’ </w:t>
      </w:r>
    </w:p>
    <w:p w:rsidR="00D25AE5" w:rsidRDefault="00A767E5" w:rsidP="00E54C4C">
      <w:pPr>
        <w:pStyle w:val="JudgmentNumbered"/>
      </w:pPr>
      <w:r>
        <w:t xml:space="preserve">The respondent however supported the conviction based on the alleged discovery of the firearms and Blackberry cellphones. This then brings us to the next question to be answered: Did the State prove beyond a reasonable doubt </w:t>
      </w:r>
      <w:r>
        <w:lastRenderedPageBreak/>
        <w:t>that any firearm or other object was found in possession of the appellant, linking him to the robbery?</w:t>
      </w:r>
    </w:p>
    <w:p w:rsidR="009207C4" w:rsidRDefault="009207C4" w:rsidP="00E54C4C">
      <w:pPr>
        <w:pStyle w:val="JudgmentNumbered"/>
      </w:pPr>
      <w:r>
        <w:t>The only witness to testify during the trial regarding the discovery of the firearms and Blackberr</w:t>
      </w:r>
      <w:r w:rsidR="00491838">
        <w:t>y cellphones was Sergeant</w:t>
      </w:r>
      <w:r w:rsidR="004B5248">
        <w:t xml:space="preserve"> Lombard. Lomba</w:t>
      </w:r>
      <w:r>
        <w:t>rd was a single witness. As in the case of evidence of identification, it is well established that the evidence of a single witness is approached by our courts with caution in mind, due to</w:t>
      </w:r>
      <w:r w:rsidR="00491838">
        <w:t xml:space="preserve"> the inherent danger there-in. W</w:t>
      </w:r>
      <w:r>
        <w:t>ithout replacing the exercise of common sense with caution, the evidence of a single witness can only be accepted if it is clear and satisfactory in all materi</w:t>
      </w:r>
      <w:r w:rsidR="00A70A3E">
        <w:t>al re</w:t>
      </w:r>
      <w:r>
        <w:t>spects, or if there is corroboration for it or some other safeguards that would eliminate the risk of a wrong conviction</w:t>
      </w:r>
      <w:r w:rsidR="00A70A3E">
        <w:t>.</w:t>
      </w:r>
      <w:r w:rsidR="00A70A3E">
        <w:rPr>
          <w:rStyle w:val="FootnoteReference"/>
        </w:rPr>
        <w:footnoteReference w:id="3"/>
      </w:r>
    </w:p>
    <w:p w:rsidR="004D0678" w:rsidRDefault="00A70A3E" w:rsidP="00E54C4C">
      <w:pPr>
        <w:pStyle w:val="JudgmentNumbered"/>
      </w:pPr>
      <w:r>
        <w:t>At firs</w:t>
      </w:r>
      <w:r w:rsidR="004B5248">
        <w:t>t glance it appears as if Lomba</w:t>
      </w:r>
      <w:r>
        <w:t xml:space="preserve">rd’s testimony </w:t>
      </w:r>
      <w:r w:rsidR="00E71625">
        <w:t>was</w:t>
      </w:r>
      <w:r w:rsidR="004B5248">
        <w:t xml:space="preserve"> straight-forward and</w:t>
      </w:r>
      <w:r w:rsidR="00E71625">
        <w:t xml:space="preserve"> without incident. However, a more thorough reading of the record leaves much cause for concern regarding his testimony: It appears tha</w:t>
      </w:r>
      <w:r w:rsidR="004B5248">
        <w:t>t while testifying Lomba</w:t>
      </w:r>
      <w:r w:rsidR="00E71625">
        <w:t>rd had his statement open before him</w:t>
      </w:r>
      <w:r w:rsidR="00562E88">
        <w:t xml:space="preserve"> and reading from it</w:t>
      </w:r>
      <w:r w:rsidR="00E71625">
        <w:t>.</w:t>
      </w:r>
      <w:r w:rsidR="00562E88">
        <w:rPr>
          <w:rStyle w:val="FootnoteReference"/>
        </w:rPr>
        <w:footnoteReference w:id="4"/>
      </w:r>
      <w:r w:rsidR="00E71625">
        <w:t xml:space="preserve"> </w:t>
      </w:r>
      <w:r w:rsidR="00562E88">
        <w:t>There was no basis laid for this witness to be in possession of his statement and/or to refresh his memory from his statement. As his testimony progressed it became quite a</w:t>
      </w:r>
      <w:r w:rsidR="004B5248">
        <w:t>pparent that Lomba</w:t>
      </w:r>
      <w:r w:rsidR="00562E88">
        <w:t xml:space="preserve">rd had no independent recollection of the incident and that he could only testify as to what was written down in his statement. In my view the trial court </w:t>
      </w:r>
      <w:r w:rsidR="004B5248">
        <w:t>committed a serious irregularity by allowing Lomba</w:t>
      </w:r>
      <w:r w:rsidR="00562E88">
        <w:t xml:space="preserve">rd to be in possession of his statement and to read from it without there having been a basis laid for it. </w:t>
      </w:r>
      <w:r w:rsidR="004D0678">
        <w:t>In these circumstances very little weight, i</w:t>
      </w:r>
      <w:r w:rsidR="004B5248">
        <w:t>f any, can be attached to Lomba</w:t>
      </w:r>
      <w:r w:rsidR="004D0678">
        <w:t xml:space="preserve">rd’s testimony. </w:t>
      </w:r>
    </w:p>
    <w:p w:rsidR="004D631A" w:rsidRDefault="00670AA3" w:rsidP="00E54C4C">
      <w:pPr>
        <w:pStyle w:val="JudgmentNumbered"/>
      </w:pPr>
      <w:r>
        <w:t>The trouble with Lomb</w:t>
      </w:r>
      <w:r w:rsidR="004D0678">
        <w:t>ard’s testimony</w:t>
      </w:r>
      <w:r>
        <w:t xml:space="preserve"> does not end</w:t>
      </w:r>
      <w:r w:rsidR="004D0678">
        <w:t xml:space="preserve"> with what was said above. His testimony is contradicted in material respects by the statement of Reddy that was handed in</w:t>
      </w:r>
      <w:r w:rsidR="008C3398">
        <w:t xml:space="preserve"> by the prosecutor</w:t>
      </w:r>
      <w:r w:rsidR="004D0678">
        <w:t xml:space="preserve"> as an exhibit. According to Reddy Sergeants </w:t>
      </w:r>
      <w:proofErr w:type="spellStart"/>
      <w:r w:rsidR="004D0678">
        <w:t>Milborrow</w:t>
      </w:r>
      <w:proofErr w:type="spellEnd"/>
      <w:r w:rsidR="004D0678">
        <w:t xml:space="preserve"> and </w:t>
      </w:r>
      <w:proofErr w:type="spellStart"/>
      <w:r w:rsidR="004D0678">
        <w:t>Noffke</w:t>
      </w:r>
      <w:proofErr w:type="spellEnd"/>
      <w:r w:rsidR="004D0678">
        <w:t xml:space="preserve"> went inside the shack. </w:t>
      </w:r>
      <w:r>
        <w:t>Nothing is said about Lomba</w:t>
      </w:r>
      <w:r w:rsidR="008C3398">
        <w:t xml:space="preserve">rd being on the scene and what his involvement was. Reddy further identified </w:t>
      </w:r>
      <w:proofErr w:type="spellStart"/>
      <w:r w:rsidR="008C3398">
        <w:t>Milborrow</w:t>
      </w:r>
      <w:proofErr w:type="spellEnd"/>
      <w:r w:rsidR="008C3398">
        <w:t xml:space="preserve"> as the person who discovered the firearms and Blackberry cellphones and who handed these exhibits to Captain </w:t>
      </w:r>
      <w:proofErr w:type="spellStart"/>
      <w:r w:rsidR="008C3398">
        <w:t>Che</w:t>
      </w:r>
      <w:r>
        <w:t>tty</w:t>
      </w:r>
      <w:proofErr w:type="spellEnd"/>
      <w:r>
        <w:t>. In his own testimony Lomba</w:t>
      </w:r>
      <w:r w:rsidR="008C3398">
        <w:t xml:space="preserve">rd did not mention whether he went into the shack with other police officers, and if </w:t>
      </w:r>
      <w:r w:rsidR="008C3398">
        <w:lastRenderedPageBreak/>
        <w:t xml:space="preserve">so who these officers were. He also did not say what he personally did with the exhibits he alleged to have recovered in the shack. There is therefore no evidence on record of a proper chain of custody in relation to the exhibits. </w:t>
      </w:r>
      <w:r w:rsidR="004D631A">
        <w:t>To exacerbate this problem even further</w:t>
      </w:r>
      <w:r>
        <w:t>, Reddy also contradicted Lomba</w:t>
      </w:r>
      <w:r w:rsidR="004D631A">
        <w:t xml:space="preserve">rd as to the SAP 13 numbers and docket </w:t>
      </w:r>
      <w:proofErr w:type="spellStart"/>
      <w:r w:rsidR="004D631A">
        <w:t>Cas</w:t>
      </w:r>
      <w:proofErr w:type="spellEnd"/>
      <w:r w:rsidR="004D631A">
        <w:t xml:space="preserve"> number under which these exhibits were later booked in at the police station. </w:t>
      </w:r>
    </w:p>
    <w:p w:rsidR="008471EE" w:rsidRDefault="004D631A" w:rsidP="00E54C4C">
      <w:pPr>
        <w:pStyle w:val="JudgmentNumbered"/>
      </w:pPr>
      <w:r>
        <w:t xml:space="preserve">From the above it is clear that the State presented the trial court with two mutually excluding versions as to the recovery and chain of custody in respect of the exhibits. There was no explanation given for this state of affairs and </w:t>
      </w:r>
      <w:r w:rsidR="008471EE">
        <w:t>neither the prosecutor nor the l</w:t>
      </w:r>
      <w:r>
        <w:t>earned Regional Magistrate dealt with this issue.</w:t>
      </w:r>
      <w:r w:rsidR="008471EE">
        <w:t xml:space="preserve"> There were no reasons advanced as to why Lomb</w:t>
      </w:r>
      <w:r w:rsidR="00670AA3">
        <w:t>a</w:t>
      </w:r>
      <w:r w:rsidR="00712B1E">
        <w:t xml:space="preserve">rd’s version was preferred </w:t>
      </w:r>
      <w:r w:rsidR="008471EE">
        <w:t xml:space="preserve">to that of Reddy. </w:t>
      </w:r>
    </w:p>
    <w:p w:rsidR="001F72D8" w:rsidRDefault="008471EE" w:rsidP="00E54C4C">
      <w:pPr>
        <w:pStyle w:val="JudgmentNumbered"/>
      </w:pPr>
      <w:r>
        <w:t>This brings me to the next question: Can the evidence relating to the cellphones</w:t>
      </w:r>
      <w:r w:rsidR="00670AA3">
        <w:t xml:space="preserve"> strengthen Lomba</w:t>
      </w:r>
      <w:r w:rsidR="00434FD1">
        <w:t>rd’s testim</w:t>
      </w:r>
      <w:r w:rsidR="00712B1E">
        <w:t>ony to the extent of eliminating</w:t>
      </w:r>
      <w:r w:rsidR="00434FD1">
        <w:t xml:space="preserve"> the risk of a wrong conviction and thereby</w:t>
      </w:r>
      <w:r>
        <w:t xml:space="preserve"> justify </w:t>
      </w:r>
      <w:r w:rsidR="001F72D8">
        <w:t>the conviction</w:t>
      </w:r>
      <w:r w:rsidR="00434FD1">
        <w:t>s</w:t>
      </w:r>
      <w:r w:rsidR="00670AA3">
        <w:t xml:space="preserve"> of the a</w:t>
      </w:r>
      <w:r w:rsidR="001F72D8">
        <w:t>ppellant?</w:t>
      </w:r>
    </w:p>
    <w:p w:rsidR="001319E0" w:rsidRDefault="001F72D8" w:rsidP="00E54C4C">
      <w:pPr>
        <w:pStyle w:val="JudgmentNumbered"/>
      </w:pPr>
      <w:r>
        <w:t>In bolstering their argument for</w:t>
      </w:r>
      <w:r w:rsidR="00434FD1">
        <w:t xml:space="preserve"> a conviction the State </w:t>
      </w:r>
      <w:r>
        <w:t>relied on the doctrine of recent possession in respect of the two Blackberry cellphones discove</w:t>
      </w:r>
      <w:r w:rsidR="00670AA3">
        <w:t>red inside the shack where the a</w:t>
      </w:r>
      <w:r>
        <w:t>ppellant was arrested.</w:t>
      </w:r>
      <w:r w:rsidR="00434FD1">
        <w:t xml:space="preserve"> This doctrine allows for </w:t>
      </w:r>
      <w:r w:rsidR="001319E0">
        <w:t xml:space="preserve">the drawing of inferences regarding liability of an accused. The Supreme Court of Appeal explained it as follows in </w:t>
      </w:r>
      <w:proofErr w:type="spellStart"/>
      <w:r w:rsidR="001319E0">
        <w:t>Mothwa</w:t>
      </w:r>
      <w:proofErr w:type="spellEnd"/>
      <w:r w:rsidR="001319E0">
        <w:t xml:space="preserve"> v The State</w:t>
      </w:r>
      <w:r w:rsidR="001319E0">
        <w:rPr>
          <w:rStyle w:val="FootnoteReference"/>
        </w:rPr>
        <w:footnoteReference w:id="5"/>
      </w:r>
      <w:r w:rsidR="001319E0">
        <w:t>:</w:t>
      </w:r>
    </w:p>
    <w:p w:rsidR="001319E0" w:rsidRDefault="001319E0" w:rsidP="001319E0">
      <w:pPr>
        <w:rPr>
          <w:i/>
        </w:rPr>
      </w:pPr>
      <w:r>
        <w:rPr>
          <w:i/>
        </w:rPr>
        <w:t>‘The doctrine of recent possession permits the court to make the inference that the possessor of the property had knowledge that the property was obtained in the commission of an offence and in certain instances was also party to the initial offence. The court must be satisfied that (a) the accused was found in possession of the property; (b) the item was recently stolen.’</w:t>
      </w:r>
    </w:p>
    <w:p w:rsidR="00504DB6" w:rsidRDefault="001319E0" w:rsidP="001319E0">
      <w:pPr>
        <w:pStyle w:val="JudgmentNumbered"/>
      </w:pPr>
      <w:r>
        <w:t>The evidence tendered by the State in relation to the cellphones was that both cellphones were found inside the shack</w:t>
      </w:r>
      <w:r w:rsidR="005A2A07">
        <w:t>, laying</w:t>
      </w:r>
      <w:r w:rsidR="00712B1E">
        <w:t xml:space="preserve"> on the ground</w:t>
      </w:r>
      <w:r w:rsidR="005A2A07">
        <w:t xml:space="preserve"> next to the door. From this evidence it is clear that none of the occupants of the shack was found in physical possession of any of the cellphones. There is also no evidence that </w:t>
      </w:r>
      <w:r w:rsidR="005A2A07">
        <w:lastRenderedPageBreak/>
        <w:t>any of the occupants exercised any measure of control over these cellphones. It can, in my view, therefore</w:t>
      </w:r>
      <w:r w:rsidR="00491838">
        <w:t>,</w:t>
      </w:r>
      <w:r w:rsidR="005A2A07">
        <w:t xml:space="preserve"> not be said that any of the occupants was found in possession of the cellphones.</w:t>
      </w:r>
      <w:r w:rsidR="00504DB6">
        <w:t xml:space="preserve"> </w:t>
      </w:r>
    </w:p>
    <w:p w:rsidR="00874F30" w:rsidRDefault="00670AA3" w:rsidP="00874F30">
      <w:pPr>
        <w:pStyle w:val="JudgmentNumbered"/>
      </w:pPr>
      <w:r>
        <w:t xml:space="preserve">This </w:t>
      </w:r>
      <w:r w:rsidR="004B61A9">
        <w:t>finding</w:t>
      </w:r>
      <w:r>
        <w:t xml:space="preserve">, coupled with the </w:t>
      </w:r>
      <w:r w:rsidR="004B61A9">
        <w:t xml:space="preserve">contradictory versions regarding the discovery of the cellphones and the lack of proof of a chain of custody in respect of the exhibits call for a conclusion that it cannot be said that the evidence in respect of the cellphones </w:t>
      </w:r>
      <w:r w:rsidR="00504DB6">
        <w:t>strengthened L</w:t>
      </w:r>
      <w:r>
        <w:t>omba</w:t>
      </w:r>
      <w:r w:rsidR="00712B1E">
        <w:t>rd’s testimony and eliminate</w:t>
      </w:r>
      <w:r w:rsidR="004B61A9">
        <w:t>d</w:t>
      </w:r>
      <w:r w:rsidR="00504DB6">
        <w:t xml:space="preserve"> the risk of a wrong conviction.</w:t>
      </w:r>
      <w:r w:rsidR="00874F30">
        <w:t xml:space="preserve"> For the reasons furnished above I am unable to find that Lombard’s testimony was clear and satisfactory in all material respects, or corroborated.  </w:t>
      </w:r>
    </w:p>
    <w:p w:rsidR="00A17BF7" w:rsidRDefault="004B61A9" w:rsidP="001319E0">
      <w:pPr>
        <w:pStyle w:val="JudgmentNumbered"/>
      </w:pPr>
      <w:r>
        <w:t xml:space="preserve"> The failure of the learned regional magistrate to deal with the contradictory versions</w:t>
      </w:r>
      <w:r w:rsidR="00D57069">
        <w:t xml:space="preserve"> presented by the prosecutor</w:t>
      </w:r>
      <w:r>
        <w:t xml:space="preserve"> regarding the exhibits resulted in there having been no factual basis f</w:t>
      </w:r>
      <w:r w:rsidR="00874F30">
        <w:t xml:space="preserve">or him to draw any inference </w:t>
      </w:r>
      <w:r w:rsidR="00D22509">
        <w:t>there</w:t>
      </w:r>
      <w:r w:rsidR="00874F30">
        <w:t>fro</w:t>
      </w:r>
      <w:r>
        <w:t xml:space="preserve">m. </w:t>
      </w:r>
      <w:r w:rsidR="00D57069">
        <w:t xml:space="preserve">In the circumstances he misdirected himself when he used the cellphone evidence as corroboration for Du </w:t>
      </w:r>
      <w:proofErr w:type="spellStart"/>
      <w:r w:rsidR="00D57069">
        <w:t>Preez’s</w:t>
      </w:r>
      <w:proofErr w:type="spellEnd"/>
      <w:r w:rsidR="00D57069">
        <w:t xml:space="preserve"> identification of the appellant as one of the perpetrators of the robbery. </w:t>
      </w:r>
    </w:p>
    <w:p w:rsidR="00712B1E" w:rsidRDefault="00A17BF7" w:rsidP="00712B1E">
      <w:pPr>
        <w:pStyle w:val="JudgmentNumbered"/>
      </w:pPr>
      <w:r>
        <w:t>It is trite that the State bore the on</w:t>
      </w:r>
      <w:r w:rsidR="00D57069">
        <w:t>us of proving the guilt of the a</w:t>
      </w:r>
      <w:r>
        <w:t xml:space="preserve">ppellant beyond a reasonable doubt. There </w:t>
      </w:r>
      <w:r w:rsidR="00D57069">
        <w:t>was no onus on the a</w:t>
      </w:r>
      <w:r>
        <w:t>ppellant to prove h</w:t>
      </w:r>
      <w:r w:rsidR="00D57069">
        <w:t>is innocence or the credibility</w:t>
      </w:r>
      <w:r>
        <w:t xml:space="preserve"> of his version.</w:t>
      </w:r>
      <w:r>
        <w:rPr>
          <w:rStyle w:val="FootnoteReference"/>
        </w:rPr>
        <w:footnoteReference w:id="6"/>
      </w:r>
      <w:r w:rsidR="00504DB6">
        <w:t xml:space="preserve">  </w:t>
      </w:r>
      <w:r w:rsidR="00D57069">
        <w:t>The a</w:t>
      </w:r>
      <w:r>
        <w:t>ppellant’s version remained throughout the trial a denial of all the allegations</w:t>
      </w:r>
      <w:r w:rsidR="00D57069">
        <w:t xml:space="preserve"> levelled</w:t>
      </w:r>
      <w:r>
        <w:t xml:space="preserve"> against him. He did not falter during cross-examination, but maintained his vers</w:t>
      </w:r>
      <w:r w:rsidR="00712B1E">
        <w:t xml:space="preserve">ion. I am not convinced that it can be said that the version of the </w:t>
      </w:r>
      <w:r w:rsidR="00D57069">
        <w:t>a</w:t>
      </w:r>
      <w:r w:rsidR="00712B1E">
        <w:t xml:space="preserve">ppellant was so improbable that it cannot be reasonably possibly true. </w:t>
      </w:r>
    </w:p>
    <w:p w:rsidR="005F415C" w:rsidRDefault="005F415C" w:rsidP="00712B1E">
      <w:pPr>
        <w:pStyle w:val="JudgmentNumbered"/>
      </w:pPr>
      <w:r>
        <w:t xml:space="preserve">It is true that it can </w:t>
      </w:r>
      <w:r w:rsidR="00D57069">
        <w:t>be argued</w:t>
      </w:r>
      <w:r>
        <w:t xml:space="preserve"> that there is a strong suspicion that the </w:t>
      </w:r>
      <w:r w:rsidR="00D57069">
        <w:t>a</w:t>
      </w:r>
      <w:r>
        <w:t xml:space="preserve">ppellant was involved in the commission of the robbery. However, our law demands much more than a suspicion to justify a conviction. </w:t>
      </w:r>
      <w:r w:rsidR="004B1478">
        <w:t xml:space="preserve">This principle was stated as follows by </w:t>
      </w:r>
      <w:proofErr w:type="spellStart"/>
      <w:r w:rsidR="004B1478">
        <w:t>Plasket</w:t>
      </w:r>
      <w:proofErr w:type="spellEnd"/>
      <w:r w:rsidR="004B1478">
        <w:t xml:space="preserve"> J in S v T</w:t>
      </w:r>
      <w:r w:rsidR="004B1478">
        <w:rPr>
          <w:rStyle w:val="FootnoteReference"/>
        </w:rPr>
        <w:footnoteReference w:id="7"/>
      </w:r>
      <w:r w:rsidR="004B1478">
        <w:t xml:space="preserve"> and quoted with approval by the Supreme Court of Appeal in S v </w:t>
      </w:r>
      <w:proofErr w:type="spellStart"/>
      <w:r w:rsidR="004B1478">
        <w:t>Phetoe</w:t>
      </w:r>
      <w:proofErr w:type="spellEnd"/>
      <w:r w:rsidR="004B1478">
        <w:rPr>
          <w:rStyle w:val="FootnoteReference"/>
        </w:rPr>
        <w:footnoteReference w:id="8"/>
      </w:r>
      <w:r w:rsidR="004B1478">
        <w:t>:</w:t>
      </w:r>
    </w:p>
    <w:p w:rsidR="004B1478" w:rsidRDefault="004B1478" w:rsidP="004B1478">
      <w:pPr>
        <w:rPr>
          <w:i/>
        </w:rPr>
      </w:pPr>
      <w:r>
        <w:rPr>
          <w:i/>
        </w:rPr>
        <w:lastRenderedPageBreak/>
        <w:t xml:space="preserve">‘The State is required, when it tries a person for allegedly committing an offence, to prove the guilt of the accused beyond reasonable doubt. This high standard of proof – universally required in civilised systems of criminal justice – is a core component of the fundamental right that every person enjoys under the Constitution, and under the common law prior to 1994, to a fair trial. It is not a part of a charter for criminals and neither is it a mere technicality. When a court finds that the guilt of an accused has not been </w:t>
      </w:r>
      <w:r w:rsidR="002465BD">
        <w:rPr>
          <w:i/>
        </w:rPr>
        <w:t>proved beyond reasonable doubt, that accused is entitled to an acquittal even if there may be suspicions that he or she was, indeed, the perpetrator of the crime in question. That is an inevitable consequence of living in a society in which freedom and the dignity of the individual are properly protected and respected. The inverse – convictions based on suspicion or speculation – is the hallmark of tyrannical systems of law. South Africans have bitter experience of such a system and where it leads to.’</w:t>
      </w:r>
    </w:p>
    <w:p w:rsidR="002465BD" w:rsidRDefault="002465BD" w:rsidP="002465BD">
      <w:pPr>
        <w:pStyle w:val="JudgmentNumbered"/>
      </w:pPr>
      <w:r>
        <w:t xml:space="preserve">For the reasons stated herein I am not satisfied that the State discharged the onus that rested on it. It follows therefore that the appeal should succeed. </w:t>
      </w:r>
    </w:p>
    <w:p w:rsidR="002465BD" w:rsidRDefault="002465BD" w:rsidP="002465BD">
      <w:pPr>
        <w:pStyle w:val="JudgmentNumbered"/>
      </w:pPr>
      <w:r>
        <w:t>In the result I would make the following orders:</w:t>
      </w:r>
    </w:p>
    <w:p w:rsidR="002465BD" w:rsidRDefault="007929CB" w:rsidP="002465BD">
      <w:pPr>
        <w:pStyle w:val="JudgmentNumbered"/>
        <w:numPr>
          <w:ilvl w:val="0"/>
          <w:numId w:val="6"/>
        </w:numPr>
      </w:pPr>
      <w:r>
        <w:t>The appeal succeeds</w:t>
      </w:r>
      <w:r w:rsidR="00BB2339">
        <w:t xml:space="preserve"> in respect of all</w:t>
      </w:r>
      <w:r w:rsidR="00D57069">
        <w:t xml:space="preserve"> counts the a</w:t>
      </w:r>
      <w:r>
        <w:t>ppellant was convicted of.</w:t>
      </w:r>
    </w:p>
    <w:p w:rsidR="007929CB" w:rsidRDefault="007929CB" w:rsidP="002465BD">
      <w:pPr>
        <w:pStyle w:val="JudgmentNumbered"/>
        <w:numPr>
          <w:ilvl w:val="0"/>
          <w:numId w:val="6"/>
        </w:numPr>
      </w:pPr>
      <w:r>
        <w:t xml:space="preserve">The convictions </w:t>
      </w:r>
      <w:r w:rsidR="00BB2339">
        <w:t>and sentences in respect of all</w:t>
      </w:r>
      <w:r>
        <w:t xml:space="preserve"> counts are set aside.</w:t>
      </w:r>
    </w:p>
    <w:p w:rsidR="007929CB" w:rsidRDefault="007929CB" w:rsidP="007929CB"/>
    <w:p w:rsidR="007929CB" w:rsidRDefault="007929CB" w:rsidP="007929CB"/>
    <w:p w:rsidR="007929CB" w:rsidRDefault="007929CB" w:rsidP="007929CB">
      <w:pPr>
        <w:jc w:val="right"/>
      </w:pPr>
      <w:r>
        <w:t>_______________________</w:t>
      </w:r>
    </w:p>
    <w:p w:rsidR="007929CB" w:rsidRDefault="007929CB" w:rsidP="007929CB">
      <w:pPr>
        <w:jc w:val="right"/>
      </w:pPr>
      <w:r>
        <w:t>W J BRITZ</w:t>
      </w:r>
    </w:p>
    <w:p w:rsidR="007929CB" w:rsidRDefault="007929CB" w:rsidP="007929CB">
      <w:pPr>
        <w:jc w:val="right"/>
      </w:pPr>
      <w:r>
        <w:t>ACTING JUDGE OF THE HIGH COURT</w:t>
      </w:r>
    </w:p>
    <w:p w:rsidR="007929CB" w:rsidRDefault="007929CB" w:rsidP="007929CB">
      <w:pPr>
        <w:jc w:val="right"/>
      </w:pPr>
      <w:r>
        <w:t>GAUTENG LOCAL DIVISION</w:t>
      </w:r>
    </w:p>
    <w:p w:rsidR="007929CB" w:rsidRDefault="007929CB" w:rsidP="007929CB">
      <w:pPr>
        <w:pStyle w:val="JudgmentNumbered"/>
        <w:numPr>
          <w:ilvl w:val="0"/>
          <w:numId w:val="0"/>
        </w:numPr>
        <w:ind w:left="567"/>
      </w:pPr>
    </w:p>
    <w:p w:rsidR="007929CB" w:rsidRDefault="007929CB" w:rsidP="007929CB">
      <w:pPr>
        <w:pStyle w:val="JudgmentNumbered"/>
        <w:numPr>
          <w:ilvl w:val="0"/>
          <w:numId w:val="0"/>
        </w:numPr>
        <w:ind w:left="567"/>
      </w:pPr>
      <w:r>
        <w:t>I agree, and it is so ordered.</w:t>
      </w:r>
    </w:p>
    <w:p w:rsidR="007929CB" w:rsidRDefault="007929CB" w:rsidP="007929CB">
      <w:pPr>
        <w:pStyle w:val="JudgmentNumbered"/>
        <w:numPr>
          <w:ilvl w:val="0"/>
          <w:numId w:val="0"/>
        </w:numPr>
        <w:ind w:left="567"/>
      </w:pPr>
    </w:p>
    <w:p w:rsidR="007929CB" w:rsidRDefault="007929CB" w:rsidP="00413020">
      <w:pPr>
        <w:pStyle w:val="JudgmentNumbered"/>
        <w:numPr>
          <w:ilvl w:val="0"/>
          <w:numId w:val="0"/>
        </w:numPr>
        <w:ind w:left="567"/>
        <w:jc w:val="right"/>
      </w:pPr>
    </w:p>
    <w:p w:rsidR="007929CB" w:rsidRDefault="007929CB" w:rsidP="007929CB">
      <w:pPr>
        <w:pStyle w:val="JudgmentNumbered"/>
        <w:numPr>
          <w:ilvl w:val="0"/>
          <w:numId w:val="0"/>
        </w:numPr>
        <w:ind w:left="567"/>
        <w:jc w:val="right"/>
      </w:pPr>
      <w:r>
        <w:t>________________________</w:t>
      </w:r>
    </w:p>
    <w:p w:rsidR="007929CB" w:rsidRDefault="007929CB" w:rsidP="007929CB">
      <w:pPr>
        <w:pStyle w:val="JudgmentNumbered"/>
        <w:numPr>
          <w:ilvl w:val="0"/>
          <w:numId w:val="0"/>
        </w:numPr>
        <w:ind w:left="567"/>
        <w:jc w:val="right"/>
      </w:pPr>
      <w:r>
        <w:t>D DOSIO</w:t>
      </w:r>
    </w:p>
    <w:p w:rsidR="007929CB" w:rsidRDefault="007929CB" w:rsidP="007929CB">
      <w:pPr>
        <w:pStyle w:val="JudgmentNumbered"/>
        <w:numPr>
          <w:ilvl w:val="0"/>
          <w:numId w:val="0"/>
        </w:numPr>
        <w:ind w:left="567"/>
        <w:jc w:val="right"/>
      </w:pPr>
      <w:r>
        <w:t>JUDGE OF THE HIGH COURT</w:t>
      </w:r>
    </w:p>
    <w:p w:rsidR="007929CB" w:rsidRPr="007929CB" w:rsidRDefault="007929CB" w:rsidP="007929CB">
      <w:pPr>
        <w:pStyle w:val="JudgmentNumbered"/>
        <w:numPr>
          <w:ilvl w:val="0"/>
          <w:numId w:val="0"/>
        </w:numPr>
        <w:ind w:left="567"/>
        <w:jc w:val="right"/>
      </w:pPr>
      <w:r>
        <w:t>GAUTENG LOCAL DIVISION</w:t>
      </w:r>
    </w:p>
    <w:p w:rsidR="00CE1CB2" w:rsidRDefault="00CE1CB2" w:rsidP="00CE1CB2">
      <w:pPr>
        <w:pStyle w:val="JudgmentNumbered"/>
        <w:numPr>
          <w:ilvl w:val="0"/>
          <w:numId w:val="0"/>
        </w:numPr>
        <w:ind w:left="567" w:hanging="567"/>
      </w:pPr>
    </w:p>
    <w:p w:rsidR="00CE1CB2" w:rsidRDefault="00CE1CB2" w:rsidP="00CE1CB2">
      <w:pPr>
        <w:spacing w:after="0"/>
        <w:ind w:left="0"/>
        <w:rPr>
          <w:rFonts w:eastAsia="Times New Roman" w:cs="Arial"/>
          <w:b/>
          <w:bCs/>
          <w:i/>
          <w:iCs/>
          <w:szCs w:val="24"/>
          <w:lang w:val="en-ZA"/>
        </w:rPr>
      </w:pPr>
    </w:p>
    <w:p w:rsidR="00CE1CB2" w:rsidRDefault="00CE1CB2" w:rsidP="00CE1CB2">
      <w:pPr>
        <w:spacing w:after="0"/>
        <w:ind w:left="0"/>
        <w:rPr>
          <w:rFonts w:eastAsia="Times New Roman" w:cs="Arial"/>
          <w:b/>
          <w:bCs/>
          <w:i/>
          <w:iCs/>
          <w:szCs w:val="24"/>
          <w:lang w:val="en-ZA"/>
        </w:rPr>
      </w:pPr>
    </w:p>
    <w:p w:rsidR="00CE1CB2" w:rsidRDefault="00CE1CB2" w:rsidP="00CE1CB2">
      <w:pPr>
        <w:spacing w:after="0"/>
        <w:ind w:left="0"/>
        <w:rPr>
          <w:rFonts w:eastAsia="Times New Roman" w:cs="Arial"/>
          <w:b/>
          <w:bCs/>
          <w:i/>
          <w:iCs/>
          <w:szCs w:val="24"/>
          <w:lang w:val="en-ZA"/>
        </w:rPr>
      </w:pPr>
    </w:p>
    <w:p w:rsidR="00CE1CB2" w:rsidRDefault="00CE1CB2" w:rsidP="00CE1CB2">
      <w:pPr>
        <w:spacing w:after="0"/>
        <w:ind w:left="0"/>
        <w:rPr>
          <w:rFonts w:eastAsia="Times New Roman" w:cs="Arial"/>
          <w:b/>
          <w:bCs/>
          <w:i/>
          <w:iCs/>
          <w:szCs w:val="24"/>
          <w:lang w:val="en-ZA"/>
        </w:rPr>
      </w:pPr>
    </w:p>
    <w:p w:rsidR="00CE1CB2" w:rsidRPr="007A2ABD" w:rsidRDefault="00CE1CB2" w:rsidP="00CE1CB2">
      <w:pPr>
        <w:spacing w:after="0"/>
        <w:ind w:left="0"/>
        <w:rPr>
          <w:rFonts w:eastAsia="Times New Roman" w:cs="Arial"/>
          <w:i/>
          <w:iCs/>
          <w:szCs w:val="24"/>
          <w:lang w:val="en-ZA"/>
        </w:rPr>
      </w:pPr>
      <w:r>
        <w:rPr>
          <w:rFonts w:eastAsia="Times New Roman" w:cs="Arial"/>
          <w:b/>
          <w:bCs/>
          <w:i/>
          <w:iCs/>
          <w:szCs w:val="24"/>
          <w:lang w:val="en-ZA"/>
        </w:rPr>
        <w:t>Appearance</w:t>
      </w:r>
      <w:r w:rsidRPr="00A76291">
        <w:rPr>
          <w:rFonts w:eastAsia="Times New Roman" w:cs="Arial"/>
          <w:b/>
          <w:bCs/>
          <w:i/>
          <w:iCs/>
          <w:szCs w:val="24"/>
          <w:lang w:val="en-ZA"/>
        </w:rPr>
        <w:t>s</w:t>
      </w:r>
      <w:r w:rsidRPr="007A2ABD">
        <w:rPr>
          <w:rFonts w:eastAsia="Times New Roman" w:cs="Arial"/>
          <w:i/>
          <w:iCs/>
          <w:szCs w:val="24"/>
          <w:lang w:val="en-ZA"/>
        </w:rPr>
        <w:t>:</w:t>
      </w:r>
    </w:p>
    <w:p w:rsidR="00CE1CB2" w:rsidRPr="007A2ABD" w:rsidRDefault="00CE1CB2" w:rsidP="00CE1CB2">
      <w:pPr>
        <w:spacing w:after="0"/>
        <w:ind w:left="0"/>
        <w:rPr>
          <w:lang w:val="en-ZA"/>
        </w:rPr>
      </w:pPr>
      <w:r w:rsidRPr="003673B7">
        <w:rPr>
          <w:rFonts w:eastAsia="Times New Roman" w:cs="Arial"/>
          <w:szCs w:val="24"/>
          <w:lang w:val="en-ZA"/>
        </w:rPr>
        <w:t>For the Ap</w:t>
      </w:r>
      <w:r>
        <w:rPr>
          <w:rFonts w:eastAsia="Times New Roman" w:cs="Arial"/>
          <w:szCs w:val="24"/>
          <w:lang w:val="en-ZA"/>
        </w:rPr>
        <w:t>pellant</w:t>
      </w:r>
      <w:r w:rsidRPr="003673B7">
        <w:rPr>
          <w:rFonts w:eastAsia="Times New Roman" w:cs="Arial"/>
          <w:szCs w:val="24"/>
          <w:lang w:val="en-ZA"/>
        </w:rPr>
        <w:t>:</w:t>
      </w:r>
      <w:r w:rsidR="007929CB">
        <w:rPr>
          <w:rFonts w:eastAsia="Times New Roman" w:cs="Arial"/>
          <w:szCs w:val="24"/>
          <w:lang w:val="en-ZA"/>
        </w:rPr>
        <w:t xml:space="preserve"> </w:t>
      </w:r>
      <w:r w:rsidR="00874F30">
        <w:rPr>
          <w:rFonts w:eastAsia="Times New Roman" w:cs="Arial"/>
          <w:szCs w:val="24"/>
          <w:lang w:val="en-ZA"/>
        </w:rPr>
        <w:t xml:space="preserve">             </w:t>
      </w:r>
      <w:r w:rsidR="007929CB">
        <w:rPr>
          <w:rFonts w:eastAsia="Times New Roman" w:cs="Arial"/>
          <w:szCs w:val="24"/>
          <w:lang w:val="en-ZA"/>
        </w:rPr>
        <w:t>S Hlazo</w:t>
      </w:r>
    </w:p>
    <w:p w:rsidR="00CE1CB2" w:rsidRDefault="007929CB" w:rsidP="00CE1CB2">
      <w:pPr>
        <w:spacing w:after="0"/>
        <w:ind w:left="0"/>
        <w:rPr>
          <w:rFonts w:eastAsia="Times New Roman" w:cs="Arial"/>
          <w:szCs w:val="24"/>
          <w:lang w:val="en-ZA"/>
        </w:rPr>
      </w:pPr>
      <w:r>
        <w:rPr>
          <w:rFonts w:eastAsia="Times New Roman" w:cs="Arial"/>
          <w:szCs w:val="24"/>
          <w:lang w:val="en-ZA"/>
        </w:rPr>
        <w:tab/>
      </w:r>
      <w:r>
        <w:rPr>
          <w:rFonts w:eastAsia="Times New Roman" w:cs="Arial"/>
          <w:szCs w:val="24"/>
          <w:lang w:val="en-ZA"/>
        </w:rPr>
        <w:tab/>
      </w:r>
      <w:r w:rsidR="002E507D">
        <w:rPr>
          <w:rFonts w:eastAsia="Times New Roman" w:cs="Arial"/>
          <w:szCs w:val="24"/>
          <w:lang w:val="en-ZA"/>
        </w:rPr>
        <w:t xml:space="preserve">        </w:t>
      </w:r>
      <w:r w:rsidR="00874F30">
        <w:rPr>
          <w:rFonts w:eastAsia="Times New Roman" w:cs="Arial"/>
          <w:szCs w:val="24"/>
          <w:lang w:val="en-ZA"/>
        </w:rPr>
        <w:t xml:space="preserve">             </w:t>
      </w:r>
      <w:r w:rsidR="002E507D">
        <w:rPr>
          <w:rFonts w:eastAsia="Times New Roman" w:cs="Arial"/>
          <w:szCs w:val="24"/>
          <w:lang w:val="en-ZA"/>
        </w:rPr>
        <w:t>Legal Aid South Africa</w:t>
      </w:r>
      <w:r w:rsidR="002E507D">
        <w:rPr>
          <w:rFonts w:eastAsia="Times New Roman" w:cs="Arial"/>
          <w:szCs w:val="24"/>
          <w:lang w:val="en-ZA"/>
        </w:rPr>
        <w:tab/>
      </w:r>
      <w:r>
        <w:rPr>
          <w:rFonts w:eastAsia="Times New Roman" w:cs="Arial"/>
          <w:szCs w:val="24"/>
          <w:lang w:val="en-ZA"/>
        </w:rPr>
        <w:tab/>
      </w:r>
    </w:p>
    <w:p w:rsidR="00CE1CB2" w:rsidRDefault="002E507D" w:rsidP="00CE1CB2">
      <w:pPr>
        <w:spacing w:after="0" w:line="240" w:lineRule="auto"/>
        <w:ind w:left="0"/>
        <w:rPr>
          <w:rFonts w:eastAsia="Times New Roman" w:cs="Arial"/>
          <w:szCs w:val="24"/>
          <w:lang w:val="en-ZA"/>
        </w:rPr>
      </w:pPr>
      <w:r>
        <w:rPr>
          <w:rFonts w:eastAsia="Times New Roman" w:cs="Arial"/>
          <w:szCs w:val="24"/>
          <w:lang w:val="en-ZA"/>
        </w:rPr>
        <w:tab/>
      </w:r>
      <w:r>
        <w:rPr>
          <w:rFonts w:eastAsia="Times New Roman" w:cs="Arial"/>
          <w:szCs w:val="24"/>
          <w:lang w:val="en-ZA"/>
        </w:rPr>
        <w:tab/>
        <w:t xml:space="preserve">        </w:t>
      </w:r>
      <w:r>
        <w:rPr>
          <w:rFonts w:eastAsia="Times New Roman" w:cs="Arial"/>
          <w:szCs w:val="24"/>
          <w:lang w:val="en-ZA"/>
        </w:rPr>
        <w:tab/>
      </w:r>
    </w:p>
    <w:p w:rsidR="00CE1CB2" w:rsidRDefault="00CE1CB2" w:rsidP="00CE1CB2">
      <w:pPr>
        <w:spacing w:after="0" w:line="240" w:lineRule="auto"/>
        <w:ind w:left="0"/>
        <w:rPr>
          <w:rFonts w:eastAsia="Times New Roman" w:cs="Arial"/>
          <w:szCs w:val="24"/>
          <w:lang w:val="en-ZA"/>
        </w:rPr>
      </w:pPr>
    </w:p>
    <w:p w:rsidR="00CE1CB2" w:rsidRDefault="00CE1CB2" w:rsidP="00CE1CB2">
      <w:pPr>
        <w:spacing w:after="0" w:line="240" w:lineRule="auto"/>
        <w:ind w:left="0"/>
        <w:rPr>
          <w:rFonts w:eastAsia="Times New Roman" w:cs="Arial"/>
          <w:szCs w:val="24"/>
          <w:lang w:val="en-ZA"/>
        </w:rPr>
      </w:pPr>
    </w:p>
    <w:p w:rsidR="00CE1CB2" w:rsidRDefault="00CE1CB2" w:rsidP="002E507D">
      <w:pPr>
        <w:spacing w:after="0"/>
        <w:ind w:left="0"/>
        <w:rPr>
          <w:rFonts w:eastAsia="Times New Roman" w:cs="Arial"/>
          <w:szCs w:val="24"/>
          <w:lang w:val="en-ZA"/>
        </w:rPr>
      </w:pPr>
      <w:r w:rsidRPr="003673B7">
        <w:rPr>
          <w:rFonts w:eastAsia="Times New Roman" w:cs="Arial"/>
          <w:szCs w:val="24"/>
          <w:lang w:val="en-ZA"/>
        </w:rPr>
        <w:t>For the Respondent:</w:t>
      </w:r>
      <w:r w:rsidR="002E507D">
        <w:rPr>
          <w:rFonts w:eastAsia="Times New Roman" w:cs="Arial"/>
          <w:szCs w:val="24"/>
          <w:lang w:val="en-ZA"/>
        </w:rPr>
        <w:tab/>
        <w:t>P T Mpekana</w:t>
      </w:r>
    </w:p>
    <w:p w:rsidR="002E507D" w:rsidRPr="00E91C41" w:rsidRDefault="002E507D" w:rsidP="002E507D">
      <w:pPr>
        <w:pStyle w:val="JudgmentNumbered"/>
        <w:numPr>
          <w:ilvl w:val="0"/>
          <w:numId w:val="0"/>
        </w:numPr>
        <w:ind w:left="567"/>
        <w:rPr>
          <w:lang w:val="en-ZA"/>
        </w:rPr>
      </w:pPr>
      <w:r>
        <w:rPr>
          <w:lang w:val="en-ZA"/>
        </w:rPr>
        <w:tab/>
      </w:r>
      <w:r>
        <w:rPr>
          <w:lang w:val="en-ZA"/>
        </w:rPr>
        <w:tab/>
      </w:r>
      <w:r>
        <w:rPr>
          <w:lang w:val="en-ZA"/>
        </w:rPr>
        <w:tab/>
      </w:r>
      <w:r>
        <w:rPr>
          <w:lang w:val="en-ZA"/>
        </w:rPr>
        <w:tab/>
        <w:t>Director of Public Prosecutions, Johannesburg</w:t>
      </w:r>
    </w:p>
    <w:p w:rsidR="002E507D" w:rsidRDefault="002E507D" w:rsidP="00CE1CB2">
      <w:pPr>
        <w:pStyle w:val="JudgmentNumbered"/>
        <w:numPr>
          <w:ilvl w:val="0"/>
          <w:numId w:val="0"/>
        </w:numPr>
        <w:ind w:left="567" w:hanging="567"/>
        <w:rPr>
          <w:b/>
          <w:bCs/>
          <w:i/>
          <w:iCs/>
          <w:lang w:val="en-ZA"/>
        </w:rPr>
      </w:pPr>
      <w:r>
        <w:rPr>
          <w:b/>
          <w:bCs/>
          <w:i/>
          <w:iCs/>
          <w:lang w:val="en-ZA"/>
        </w:rPr>
        <w:tab/>
      </w:r>
      <w:r>
        <w:rPr>
          <w:b/>
          <w:bCs/>
          <w:i/>
          <w:iCs/>
          <w:lang w:val="en-ZA"/>
        </w:rPr>
        <w:tab/>
      </w:r>
      <w:r>
        <w:rPr>
          <w:b/>
          <w:bCs/>
          <w:i/>
          <w:iCs/>
          <w:lang w:val="en-ZA"/>
        </w:rPr>
        <w:tab/>
      </w:r>
      <w:r>
        <w:rPr>
          <w:b/>
          <w:bCs/>
          <w:i/>
          <w:iCs/>
          <w:lang w:val="en-ZA"/>
        </w:rPr>
        <w:tab/>
      </w:r>
      <w:r>
        <w:rPr>
          <w:b/>
          <w:bCs/>
          <w:i/>
          <w:iCs/>
          <w:lang w:val="en-ZA"/>
        </w:rPr>
        <w:tab/>
      </w:r>
    </w:p>
    <w:p w:rsidR="00CE1CB2" w:rsidRDefault="00CE1CB2" w:rsidP="00CE1CB2">
      <w:pPr>
        <w:pStyle w:val="JudgmentNumbered"/>
        <w:numPr>
          <w:ilvl w:val="0"/>
          <w:numId w:val="0"/>
        </w:numPr>
        <w:ind w:left="567" w:hanging="567"/>
        <w:rPr>
          <w:lang w:val="en-ZA"/>
        </w:rPr>
      </w:pPr>
      <w:r w:rsidRPr="007A2ABD">
        <w:rPr>
          <w:b/>
          <w:bCs/>
          <w:i/>
          <w:iCs/>
          <w:lang w:val="en-ZA"/>
        </w:rPr>
        <w:t>Date of hearing</w:t>
      </w:r>
      <w:r>
        <w:rPr>
          <w:lang w:val="en-ZA"/>
        </w:rPr>
        <w:t>:</w:t>
      </w:r>
      <w:r w:rsidR="00874F30">
        <w:rPr>
          <w:lang w:val="en-ZA"/>
        </w:rPr>
        <w:tab/>
      </w:r>
      <w:r w:rsidR="00874F30">
        <w:rPr>
          <w:lang w:val="en-ZA"/>
        </w:rPr>
        <w:tab/>
        <w:t>28/08/2023</w:t>
      </w:r>
      <w:r>
        <w:rPr>
          <w:lang w:val="en-ZA"/>
        </w:rPr>
        <w:t xml:space="preserve"> </w:t>
      </w:r>
    </w:p>
    <w:p w:rsidR="00CE1CB2" w:rsidRPr="00413020" w:rsidRDefault="00CE1CB2" w:rsidP="00413020">
      <w:pPr>
        <w:ind w:left="0"/>
        <w:rPr>
          <w:rFonts w:cs="Arial"/>
        </w:rPr>
      </w:pPr>
      <w:r w:rsidRPr="007A2ABD">
        <w:rPr>
          <w:b/>
          <w:bCs/>
          <w:i/>
          <w:iCs/>
          <w:lang w:val="en-ZA"/>
        </w:rPr>
        <w:t>Delivered</w:t>
      </w:r>
      <w:r>
        <w:rPr>
          <w:lang w:val="en-ZA"/>
        </w:rPr>
        <w:t xml:space="preserve">: </w:t>
      </w:r>
      <w:r w:rsidRPr="001C7023">
        <w:rPr>
          <w:rFonts w:cs="Arial"/>
        </w:rPr>
        <w:t>This judgment was handed down electronically by circulation to the parties’ representatives via</w:t>
      </w:r>
      <w:r>
        <w:rPr>
          <w:rFonts w:cs="Arial"/>
        </w:rPr>
        <w:t xml:space="preserve"> </w:t>
      </w:r>
      <w:r w:rsidRPr="004B64EE">
        <w:rPr>
          <w:rFonts w:cs="Arial"/>
          <w:i/>
        </w:rPr>
        <w:t xml:space="preserve">e-mail, by being uploaded to </w:t>
      </w:r>
      <w:proofErr w:type="spellStart"/>
      <w:r w:rsidRPr="004B64EE">
        <w:rPr>
          <w:rFonts w:cs="Arial"/>
          <w:i/>
        </w:rPr>
        <w:t>CaseLines</w:t>
      </w:r>
      <w:proofErr w:type="spellEnd"/>
      <w:r w:rsidRPr="004B64EE">
        <w:rPr>
          <w:rFonts w:cs="Arial"/>
          <w:i/>
        </w:rPr>
        <w:t xml:space="preserve"> and by</w:t>
      </w:r>
      <w:r>
        <w:rPr>
          <w:rFonts w:cs="Arial"/>
          <w:i/>
        </w:rPr>
        <w:t>. The date and time for hand-</w:t>
      </w:r>
      <w:r w:rsidRPr="004B64EE">
        <w:rPr>
          <w:rFonts w:cs="Arial"/>
          <w:i/>
        </w:rPr>
        <w:t xml:space="preserve">down is deemed to be </w:t>
      </w:r>
      <w:r w:rsidR="00413020">
        <w:rPr>
          <w:rFonts w:cs="Arial"/>
          <w:i/>
        </w:rPr>
        <w:t>15h00</w:t>
      </w:r>
      <w:r>
        <w:rPr>
          <w:rFonts w:cs="Arial"/>
          <w:i/>
        </w:rPr>
        <w:t xml:space="preserve"> on</w:t>
      </w:r>
      <w:r w:rsidR="00413020">
        <w:rPr>
          <w:rFonts w:cs="Arial"/>
          <w:i/>
        </w:rPr>
        <w:t xml:space="preserve"> 9 November 2023.</w:t>
      </w:r>
    </w:p>
    <w:p w:rsidR="002E18DA" w:rsidRDefault="002E18DA"/>
    <w:sectPr w:rsidR="002E18DA" w:rsidSect="00CE1CB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A6E" w:rsidRDefault="00F17A6E" w:rsidP="00CE1CB2">
      <w:pPr>
        <w:spacing w:after="0" w:line="240" w:lineRule="auto"/>
      </w:pPr>
      <w:r>
        <w:separator/>
      </w:r>
    </w:p>
  </w:endnote>
  <w:endnote w:type="continuationSeparator" w:id="0">
    <w:p w:rsidR="00F17A6E" w:rsidRDefault="00F17A6E" w:rsidP="00CE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A6E" w:rsidRDefault="00F17A6E" w:rsidP="00CE1CB2">
      <w:pPr>
        <w:spacing w:after="0" w:line="240" w:lineRule="auto"/>
      </w:pPr>
      <w:r>
        <w:separator/>
      </w:r>
    </w:p>
  </w:footnote>
  <w:footnote w:type="continuationSeparator" w:id="0">
    <w:p w:rsidR="00F17A6E" w:rsidRDefault="00F17A6E" w:rsidP="00CE1CB2">
      <w:pPr>
        <w:spacing w:after="0" w:line="240" w:lineRule="auto"/>
      </w:pPr>
      <w:r>
        <w:continuationSeparator/>
      </w:r>
    </w:p>
  </w:footnote>
  <w:footnote w:id="1">
    <w:p w:rsidR="00BF4F38" w:rsidRPr="00204779" w:rsidRDefault="00BF4F38" w:rsidP="00BF4F38">
      <w:pPr>
        <w:pStyle w:val="FootnoteText"/>
        <w:rPr>
          <w:color w:val="000000" w:themeColor="text1"/>
          <w:lang w:val="en-GB"/>
        </w:rPr>
      </w:pPr>
      <w:r>
        <w:rPr>
          <w:rStyle w:val="FootnoteReference"/>
        </w:rPr>
        <w:footnoteRef/>
      </w:r>
      <w:r>
        <w:t xml:space="preserve"> </w:t>
      </w:r>
      <w:r w:rsidRPr="00204779">
        <w:rPr>
          <w:color w:val="000000" w:themeColor="text1"/>
          <w:lang w:val="en-GB"/>
        </w:rPr>
        <w:t>2011 (1) SACR 87 (E)</w:t>
      </w:r>
    </w:p>
  </w:footnote>
  <w:footnote w:id="2">
    <w:p w:rsidR="005A016D" w:rsidRPr="005A016D" w:rsidRDefault="005A016D">
      <w:pPr>
        <w:pStyle w:val="FootnoteText"/>
        <w:rPr>
          <w:lang w:val="en-GB"/>
        </w:rPr>
      </w:pPr>
      <w:r>
        <w:rPr>
          <w:rStyle w:val="FootnoteReference"/>
        </w:rPr>
        <w:footnoteRef/>
      </w:r>
      <w:r>
        <w:t xml:space="preserve"> </w:t>
      </w:r>
      <w:r>
        <w:rPr>
          <w:lang w:val="en-GB"/>
        </w:rPr>
        <w:t>1972 (3) SA 766 (A)</w:t>
      </w:r>
    </w:p>
  </w:footnote>
  <w:footnote w:id="3">
    <w:p w:rsidR="00A70A3E" w:rsidRPr="00A70A3E" w:rsidRDefault="00A70A3E">
      <w:pPr>
        <w:pStyle w:val="FootnoteText"/>
        <w:rPr>
          <w:lang w:val="en-GB"/>
        </w:rPr>
      </w:pPr>
      <w:r>
        <w:rPr>
          <w:rStyle w:val="FootnoteReference"/>
        </w:rPr>
        <w:footnoteRef/>
      </w:r>
      <w:r>
        <w:t xml:space="preserve"> </w:t>
      </w:r>
      <w:r>
        <w:rPr>
          <w:lang w:val="en-GB"/>
        </w:rPr>
        <w:t xml:space="preserve">S v </w:t>
      </w:r>
      <w:proofErr w:type="spellStart"/>
      <w:r>
        <w:rPr>
          <w:lang w:val="en-GB"/>
        </w:rPr>
        <w:t>Artmann</w:t>
      </w:r>
      <w:proofErr w:type="spellEnd"/>
      <w:r>
        <w:rPr>
          <w:lang w:val="en-GB"/>
        </w:rPr>
        <w:t xml:space="preserve"> 1968 (3) SA 339 (A); S v </w:t>
      </w:r>
      <w:proofErr w:type="spellStart"/>
      <w:r>
        <w:rPr>
          <w:lang w:val="en-GB"/>
        </w:rPr>
        <w:t>Sauls</w:t>
      </w:r>
      <w:proofErr w:type="spellEnd"/>
      <w:r>
        <w:rPr>
          <w:lang w:val="en-GB"/>
        </w:rPr>
        <w:t xml:space="preserve"> and Others 1981 (3) SA 172 (A)</w:t>
      </w:r>
    </w:p>
  </w:footnote>
  <w:footnote w:id="4">
    <w:p w:rsidR="00562E88" w:rsidRPr="00562E88" w:rsidRDefault="00562E88">
      <w:pPr>
        <w:pStyle w:val="FootnoteText"/>
        <w:rPr>
          <w:lang w:val="en-GB"/>
        </w:rPr>
      </w:pPr>
      <w:r>
        <w:rPr>
          <w:rStyle w:val="FootnoteReference"/>
        </w:rPr>
        <w:footnoteRef/>
      </w:r>
      <w:r>
        <w:t xml:space="preserve"> </w:t>
      </w:r>
      <w:proofErr w:type="spellStart"/>
      <w:r>
        <w:rPr>
          <w:lang w:val="en-GB"/>
        </w:rPr>
        <w:t>CaseLines</w:t>
      </w:r>
      <w:proofErr w:type="spellEnd"/>
      <w:r>
        <w:rPr>
          <w:lang w:val="en-GB"/>
        </w:rPr>
        <w:t xml:space="preserve"> 003-9 from line 20 and also 003-10 line 14.</w:t>
      </w:r>
    </w:p>
  </w:footnote>
  <w:footnote w:id="5">
    <w:p w:rsidR="001319E0" w:rsidRPr="001319E0" w:rsidRDefault="001319E0">
      <w:pPr>
        <w:pStyle w:val="FootnoteText"/>
        <w:rPr>
          <w:lang w:val="en-GB"/>
        </w:rPr>
      </w:pPr>
      <w:r>
        <w:rPr>
          <w:rStyle w:val="FootnoteReference"/>
        </w:rPr>
        <w:footnoteRef/>
      </w:r>
      <w:r>
        <w:t xml:space="preserve"> </w:t>
      </w:r>
      <w:r>
        <w:rPr>
          <w:lang w:val="en-GB"/>
        </w:rPr>
        <w:t>(124/15) [2015] ZASCA 143</w:t>
      </w:r>
    </w:p>
  </w:footnote>
  <w:footnote w:id="6">
    <w:p w:rsidR="00A17BF7" w:rsidRPr="00A17BF7" w:rsidRDefault="00A17BF7">
      <w:pPr>
        <w:pStyle w:val="FootnoteText"/>
        <w:rPr>
          <w:lang w:val="en-GB"/>
        </w:rPr>
      </w:pPr>
      <w:r>
        <w:rPr>
          <w:rStyle w:val="FootnoteReference"/>
        </w:rPr>
        <w:footnoteRef/>
      </w:r>
      <w:r>
        <w:t xml:space="preserve"> </w:t>
      </w:r>
      <w:r>
        <w:rPr>
          <w:lang w:val="en-GB"/>
        </w:rPr>
        <w:t xml:space="preserve">S v </w:t>
      </w:r>
      <w:proofErr w:type="spellStart"/>
      <w:r>
        <w:rPr>
          <w:lang w:val="en-GB"/>
        </w:rPr>
        <w:t>Shackell</w:t>
      </w:r>
      <w:proofErr w:type="spellEnd"/>
      <w:r>
        <w:rPr>
          <w:lang w:val="en-GB"/>
        </w:rPr>
        <w:t xml:space="preserve"> 2001 92) SACR 185 (SCA)</w:t>
      </w:r>
    </w:p>
  </w:footnote>
  <w:footnote w:id="7">
    <w:p w:rsidR="004B1478" w:rsidRPr="004B1478" w:rsidRDefault="004B1478">
      <w:pPr>
        <w:pStyle w:val="FootnoteText"/>
        <w:rPr>
          <w:lang w:val="en-GB"/>
        </w:rPr>
      </w:pPr>
      <w:r>
        <w:rPr>
          <w:rStyle w:val="FootnoteReference"/>
        </w:rPr>
        <w:footnoteRef/>
      </w:r>
      <w:r>
        <w:t xml:space="preserve"> </w:t>
      </w:r>
      <w:r>
        <w:rPr>
          <w:lang w:val="en-GB"/>
        </w:rPr>
        <w:t>2005 (2) SACR 318 (E)</w:t>
      </w:r>
    </w:p>
  </w:footnote>
  <w:footnote w:id="8">
    <w:p w:rsidR="004B1478" w:rsidRPr="004B1478" w:rsidRDefault="004B1478">
      <w:pPr>
        <w:pStyle w:val="FootnoteText"/>
        <w:rPr>
          <w:lang w:val="en-GB"/>
        </w:rPr>
      </w:pPr>
      <w:r>
        <w:rPr>
          <w:rStyle w:val="FootnoteReference"/>
        </w:rPr>
        <w:footnoteRef/>
      </w:r>
      <w:r>
        <w:t xml:space="preserve"> </w:t>
      </w:r>
      <w:r>
        <w:rPr>
          <w:lang w:val="en-GB"/>
        </w:rPr>
        <w:t>2018 (1) SACR 593 (SCA)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13644"/>
      <w:docPartObj>
        <w:docPartGallery w:val="Page Numbers (Top of Page)"/>
        <w:docPartUnique/>
      </w:docPartObj>
    </w:sdtPr>
    <w:sdtEndPr>
      <w:rPr>
        <w:noProof/>
      </w:rPr>
    </w:sdtEndPr>
    <w:sdtContent>
      <w:p w:rsidR="00CE1CB2" w:rsidRDefault="00CE1CB2">
        <w:pPr>
          <w:pStyle w:val="Header"/>
          <w:jc w:val="right"/>
        </w:pPr>
        <w:r>
          <w:fldChar w:fldCharType="begin"/>
        </w:r>
        <w:r>
          <w:instrText xml:space="preserve"> PAGE   \* MERGEFORMAT </w:instrText>
        </w:r>
        <w:r>
          <w:fldChar w:fldCharType="separate"/>
        </w:r>
        <w:r w:rsidR="00F945CE">
          <w:rPr>
            <w:noProof/>
          </w:rPr>
          <w:t>12</w:t>
        </w:r>
        <w:r>
          <w:rPr>
            <w:noProof/>
          </w:rPr>
          <w:fldChar w:fldCharType="end"/>
        </w:r>
      </w:p>
    </w:sdtContent>
  </w:sdt>
  <w:p w:rsidR="00CE1CB2" w:rsidRDefault="00CE1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212"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44CF7620"/>
    <w:multiLevelType w:val="hybridMultilevel"/>
    <w:tmpl w:val="2F484D80"/>
    <w:lvl w:ilvl="0" w:tplc="A730509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56BD5EC2"/>
    <w:multiLevelType w:val="hybridMultilevel"/>
    <w:tmpl w:val="0FA0F1E0"/>
    <w:lvl w:ilvl="0" w:tplc="D24A0DA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6EC84A4E"/>
    <w:multiLevelType w:val="hybridMultilevel"/>
    <w:tmpl w:val="112AE684"/>
    <w:lvl w:ilvl="0" w:tplc="3AF07AF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6EE059E0"/>
    <w:multiLevelType w:val="hybridMultilevel"/>
    <w:tmpl w:val="E6E4367C"/>
    <w:lvl w:ilvl="0" w:tplc="8A0A22D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87"/>
    <w:rsid w:val="00014E86"/>
    <w:rsid w:val="0003301D"/>
    <w:rsid w:val="000414E1"/>
    <w:rsid w:val="000D4ED3"/>
    <w:rsid w:val="001319E0"/>
    <w:rsid w:val="001D4963"/>
    <w:rsid w:val="001D63F4"/>
    <w:rsid w:val="001F72D8"/>
    <w:rsid w:val="0024574A"/>
    <w:rsid w:val="002465BD"/>
    <w:rsid w:val="0026589F"/>
    <w:rsid w:val="00295971"/>
    <w:rsid w:val="002E18DA"/>
    <w:rsid w:val="002E507D"/>
    <w:rsid w:val="00317B50"/>
    <w:rsid w:val="003540C1"/>
    <w:rsid w:val="00413020"/>
    <w:rsid w:val="00430AD8"/>
    <w:rsid w:val="00434FD1"/>
    <w:rsid w:val="00450C8E"/>
    <w:rsid w:val="00491838"/>
    <w:rsid w:val="004B1478"/>
    <w:rsid w:val="004B5248"/>
    <w:rsid w:val="004B61A9"/>
    <w:rsid w:val="004D0678"/>
    <w:rsid w:val="004D631A"/>
    <w:rsid w:val="004F24B9"/>
    <w:rsid w:val="00504DB6"/>
    <w:rsid w:val="0051487D"/>
    <w:rsid w:val="00523C6A"/>
    <w:rsid w:val="00556A2B"/>
    <w:rsid w:val="00562E88"/>
    <w:rsid w:val="005A016D"/>
    <w:rsid w:val="005A2A07"/>
    <w:rsid w:val="005F415C"/>
    <w:rsid w:val="00670AA3"/>
    <w:rsid w:val="006825CC"/>
    <w:rsid w:val="006A4593"/>
    <w:rsid w:val="00712B1E"/>
    <w:rsid w:val="00725021"/>
    <w:rsid w:val="00751F03"/>
    <w:rsid w:val="007555A2"/>
    <w:rsid w:val="0078313B"/>
    <w:rsid w:val="007929CB"/>
    <w:rsid w:val="007F4A22"/>
    <w:rsid w:val="007F76D7"/>
    <w:rsid w:val="008471EE"/>
    <w:rsid w:val="00874F30"/>
    <w:rsid w:val="008C3398"/>
    <w:rsid w:val="008D107D"/>
    <w:rsid w:val="009137E8"/>
    <w:rsid w:val="009207C4"/>
    <w:rsid w:val="00986CCE"/>
    <w:rsid w:val="00A0123D"/>
    <w:rsid w:val="00A17BF7"/>
    <w:rsid w:val="00A26E87"/>
    <w:rsid w:val="00A573CC"/>
    <w:rsid w:val="00A70A3E"/>
    <w:rsid w:val="00A767E5"/>
    <w:rsid w:val="00A8657A"/>
    <w:rsid w:val="00B32E00"/>
    <w:rsid w:val="00BB2339"/>
    <w:rsid w:val="00BF4F38"/>
    <w:rsid w:val="00C90272"/>
    <w:rsid w:val="00CB2516"/>
    <w:rsid w:val="00CE1CB2"/>
    <w:rsid w:val="00D22509"/>
    <w:rsid w:val="00D25AE5"/>
    <w:rsid w:val="00D57069"/>
    <w:rsid w:val="00D815FB"/>
    <w:rsid w:val="00D83337"/>
    <w:rsid w:val="00DC7B37"/>
    <w:rsid w:val="00DF3189"/>
    <w:rsid w:val="00E0382C"/>
    <w:rsid w:val="00E07CBB"/>
    <w:rsid w:val="00E50072"/>
    <w:rsid w:val="00E54C4C"/>
    <w:rsid w:val="00E71625"/>
    <w:rsid w:val="00EB63C1"/>
    <w:rsid w:val="00EB756D"/>
    <w:rsid w:val="00EC2EBE"/>
    <w:rsid w:val="00F17A6E"/>
    <w:rsid w:val="00F23282"/>
    <w:rsid w:val="00F55F33"/>
    <w:rsid w:val="00F945CE"/>
    <w:rsid w:val="00FC2594"/>
    <w:rsid w:val="00FC30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FE0E2-9CB7-4622-9362-A4CC01E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A26E87"/>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A26E87"/>
    <w:pPr>
      <w:numPr>
        <w:numId w:val="2"/>
      </w:numPr>
    </w:pPr>
    <w:rPr>
      <w:rFonts w:cs="Arial"/>
    </w:rPr>
  </w:style>
  <w:style w:type="character" w:customStyle="1" w:styleId="JudgmentNumberedChar">
    <w:name w:val="Judgment Numbered Char"/>
    <w:basedOn w:val="DefaultParagraphFont"/>
    <w:link w:val="JudgmentNumbered"/>
    <w:rsid w:val="00A26E87"/>
    <w:rPr>
      <w:rFonts w:ascii="Arial" w:hAnsi="Arial" w:cs="Arial"/>
      <w:sz w:val="24"/>
      <w:lang w:val="en-GB"/>
    </w:rPr>
  </w:style>
  <w:style w:type="paragraph" w:styleId="Header">
    <w:name w:val="header"/>
    <w:basedOn w:val="Normal"/>
    <w:link w:val="HeaderChar"/>
    <w:uiPriority w:val="99"/>
    <w:unhideWhenUsed/>
    <w:rsid w:val="00CE1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CB2"/>
    <w:rPr>
      <w:rFonts w:ascii="Arial" w:hAnsi="Arial"/>
      <w:sz w:val="24"/>
      <w:lang w:val="en-GB"/>
    </w:rPr>
  </w:style>
  <w:style w:type="paragraph" w:styleId="Footer">
    <w:name w:val="footer"/>
    <w:basedOn w:val="Normal"/>
    <w:link w:val="FooterChar"/>
    <w:uiPriority w:val="99"/>
    <w:unhideWhenUsed/>
    <w:rsid w:val="00CE1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CB2"/>
    <w:rPr>
      <w:rFonts w:ascii="Arial" w:hAnsi="Arial"/>
      <w:sz w:val="24"/>
      <w:lang w:val="en-GB"/>
    </w:rPr>
  </w:style>
  <w:style w:type="paragraph" w:styleId="FootnoteText">
    <w:name w:val="footnote text"/>
    <w:basedOn w:val="Normal"/>
    <w:link w:val="FootnoteTextChar"/>
    <w:uiPriority w:val="99"/>
    <w:semiHidden/>
    <w:unhideWhenUsed/>
    <w:rsid w:val="00BF4F38"/>
    <w:pPr>
      <w:spacing w:after="0" w:line="240" w:lineRule="auto"/>
      <w:ind w:left="0"/>
      <w:jc w:val="left"/>
    </w:pPr>
    <w:rPr>
      <w:rFonts w:asciiTheme="minorHAnsi" w:hAnsiTheme="minorHAnsi"/>
      <w:sz w:val="20"/>
      <w:szCs w:val="20"/>
      <w:lang w:val="en-ZA"/>
    </w:rPr>
  </w:style>
  <w:style w:type="character" w:customStyle="1" w:styleId="FootnoteTextChar">
    <w:name w:val="Footnote Text Char"/>
    <w:basedOn w:val="DefaultParagraphFont"/>
    <w:link w:val="FootnoteText"/>
    <w:uiPriority w:val="99"/>
    <w:semiHidden/>
    <w:rsid w:val="00BF4F38"/>
    <w:rPr>
      <w:sz w:val="20"/>
      <w:szCs w:val="20"/>
    </w:rPr>
  </w:style>
  <w:style w:type="character" w:styleId="FootnoteReference">
    <w:name w:val="footnote reference"/>
    <w:basedOn w:val="DefaultParagraphFont"/>
    <w:uiPriority w:val="99"/>
    <w:semiHidden/>
    <w:unhideWhenUsed/>
    <w:rsid w:val="00BF4F38"/>
    <w:rPr>
      <w:vertAlign w:val="superscript"/>
    </w:rPr>
  </w:style>
  <w:style w:type="paragraph" w:styleId="NoSpacing">
    <w:name w:val="No Spacing"/>
    <w:uiPriority w:val="1"/>
    <w:qFormat/>
    <w:rsid w:val="007929CB"/>
    <w:pPr>
      <w:spacing w:after="0" w:line="240" w:lineRule="auto"/>
      <w:ind w:left="567"/>
      <w:jc w:val="both"/>
    </w:pPr>
    <w:rPr>
      <w:rFonts w:ascii="Arial" w:hAnsi="Arial"/>
      <w:sz w:val="24"/>
      <w:lang w:val="en-GB"/>
    </w:rPr>
  </w:style>
  <w:style w:type="paragraph" w:styleId="BalloonText">
    <w:name w:val="Balloon Text"/>
    <w:basedOn w:val="Normal"/>
    <w:link w:val="BalloonTextChar"/>
    <w:uiPriority w:val="99"/>
    <w:semiHidden/>
    <w:unhideWhenUsed/>
    <w:rsid w:val="00D2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0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1E89-2832-4C00-AD25-A1366090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Britz Willem</dc:creator>
  <cp:keywords/>
  <dc:description/>
  <cp:lastModifiedBy>Tshwarelo Mabina</cp:lastModifiedBy>
  <cp:revision>2</cp:revision>
  <cp:lastPrinted>2023-11-09T11:41:00Z</cp:lastPrinted>
  <dcterms:created xsi:type="dcterms:W3CDTF">2023-11-09T13:23:00Z</dcterms:created>
  <dcterms:modified xsi:type="dcterms:W3CDTF">2023-11-09T13:23:00Z</dcterms:modified>
</cp:coreProperties>
</file>