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C26A2" w14:textId="77777777" w:rsidR="00FB4B7D" w:rsidRPr="00BA36B0" w:rsidRDefault="00FB4B7D" w:rsidP="00FB4B7D">
      <w:pPr>
        <w:jc w:val="center"/>
        <w:rPr>
          <w:rFonts w:ascii="Times New Roman" w:hAnsi="Times New Roman"/>
        </w:rPr>
      </w:pPr>
      <w:r w:rsidRPr="00BA36B0">
        <w:rPr>
          <w:rFonts w:ascii="Times New Roman" w:hAnsi="Times New Roman"/>
          <w:noProof/>
          <w:lang w:val="en-US"/>
        </w:rPr>
        <w:fldChar w:fldCharType="begin"/>
      </w:r>
      <w:r w:rsidRPr="00BA36B0">
        <w:rPr>
          <w:rFonts w:ascii="Times New Roman" w:hAnsi="Times New Roman"/>
          <w:noProof/>
          <w:lang w:val="en-US"/>
        </w:rPr>
        <w:instrText xml:space="preserve"> INCLUDEPICTURE  "C:\\var\\folders\\52\\qpmf_2f51qg41g2g3gy4kymm0000gn\\T\\com.microsoft.Word\\WebArchiveCopyPasteTempFiles\\page1image9486544" \* MERGEFORMATINET </w:instrText>
      </w:r>
      <w:r w:rsidRPr="00BA36B0">
        <w:rPr>
          <w:rFonts w:ascii="Times New Roman" w:hAnsi="Times New Roman"/>
          <w:noProof/>
          <w:lang w:val="en-US"/>
        </w:rPr>
        <w:fldChar w:fldCharType="separate"/>
      </w:r>
      <w:r w:rsidRPr="00BA36B0">
        <w:rPr>
          <w:rFonts w:ascii="Times New Roman" w:hAnsi="Times New Roman"/>
          <w:noProof/>
          <w:lang w:val="en-US"/>
        </w:rPr>
        <w:fldChar w:fldCharType="begin"/>
      </w:r>
      <w:r w:rsidRPr="00BA36B0">
        <w:rPr>
          <w:rFonts w:ascii="Times New Roman" w:hAnsi="Times New Roman"/>
          <w:noProof/>
          <w:lang w:val="en-US"/>
        </w:rPr>
        <w:instrText xml:space="preserve"> INCLUDEPICTURE  "C:\\var\\folders\\52\\qpmf_2f51qg41g2g3gy4kymm0000gn\\T\\com.microsoft.Word\\WebArchiveCopyPasteTempFiles\\page1image9486544" \* MERGEFORMATINET </w:instrText>
      </w:r>
      <w:r w:rsidRPr="00BA36B0">
        <w:rPr>
          <w:rFonts w:ascii="Times New Roman" w:hAnsi="Times New Roman"/>
          <w:noProof/>
          <w:lang w:val="en-US"/>
        </w:rPr>
        <w:fldChar w:fldCharType="separate"/>
      </w:r>
      <w:r w:rsidRPr="00BA36B0">
        <w:rPr>
          <w:rFonts w:ascii="Times New Roman" w:hAnsi="Times New Roman"/>
          <w:noProof/>
          <w:lang w:val="en-US"/>
        </w:rPr>
        <w:fldChar w:fldCharType="begin"/>
      </w:r>
      <w:r w:rsidRPr="00BA36B0">
        <w:rPr>
          <w:rFonts w:ascii="Times New Roman" w:hAnsi="Times New Roman"/>
          <w:noProof/>
          <w:lang w:val="en-US"/>
        </w:rPr>
        <w:instrText xml:space="preserve"> INCLUDEPICTURE  "C:\\var\\folders\\52\\qpmf_2f51qg41g2g3gy4kymm0000gn\\T\\com.microsoft.Word\\WebArchiveCopyPasteTempFiles\\page1image9486544" \* MERGEFORMATINET </w:instrText>
      </w:r>
      <w:r w:rsidRPr="00BA36B0">
        <w:rPr>
          <w:rFonts w:ascii="Times New Roman" w:hAnsi="Times New Roman"/>
          <w:noProof/>
          <w:lang w:val="en-US"/>
        </w:rPr>
        <w:fldChar w:fldCharType="separate"/>
      </w:r>
      <w:r w:rsidRPr="00BA36B0">
        <w:rPr>
          <w:rFonts w:ascii="Times New Roman" w:hAnsi="Times New Roman"/>
          <w:noProof/>
          <w:lang w:val="en-US"/>
        </w:rPr>
        <w:fldChar w:fldCharType="begin"/>
      </w:r>
      <w:r w:rsidRPr="00BA36B0">
        <w:rPr>
          <w:rFonts w:ascii="Times New Roman" w:hAnsi="Times New Roman"/>
          <w:noProof/>
          <w:lang w:val="en-US"/>
        </w:rPr>
        <w:instrText xml:space="preserve"> INCLUDEPICTURE  "C:\\var\\folders\\52\\qpmf_2f51qg41g2g3gy4kymm0000gn\\T\\com.microsoft.Word\\WebArchiveCopyPasteTempFiles\\page1image9486544" \* MERGEFORMATINET </w:instrText>
      </w:r>
      <w:r w:rsidRPr="00BA36B0">
        <w:rPr>
          <w:rFonts w:ascii="Times New Roman" w:hAnsi="Times New Roman"/>
          <w:noProof/>
          <w:lang w:val="en-US"/>
        </w:rPr>
        <w:fldChar w:fldCharType="separate"/>
      </w:r>
      <w:r w:rsidRPr="00BA36B0">
        <w:rPr>
          <w:rFonts w:ascii="Times New Roman" w:hAnsi="Times New Roman"/>
          <w:noProof/>
          <w:lang w:val="en-US"/>
        </w:rPr>
        <w:fldChar w:fldCharType="begin"/>
      </w:r>
      <w:r w:rsidRPr="00BA36B0">
        <w:rPr>
          <w:rFonts w:ascii="Times New Roman" w:hAnsi="Times New Roman"/>
          <w:noProof/>
          <w:lang w:val="en-US"/>
        </w:rPr>
        <w:instrText xml:space="preserve"> INCLUDEPICTURE  "C:\\var\\folders\\52\\qpmf_2f51qg41g2g3gy4kymm0000gn\\T\\com.microsoft.Word\\WebArchiveCopyPasteTempFiles\\page1image9486544" \* MERGEFORMATINET </w:instrText>
      </w:r>
      <w:r w:rsidRPr="00BA36B0">
        <w:rPr>
          <w:rFonts w:ascii="Times New Roman" w:hAnsi="Times New Roman"/>
          <w:noProof/>
          <w:lang w:val="en-US"/>
        </w:rPr>
        <w:fldChar w:fldCharType="separate"/>
      </w:r>
      <w:r w:rsidRPr="00BA36B0">
        <w:rPr>
          <w:rFonts w:ascii="Times New Roman" w:hAnsi="Times New Roman"/>
          <w:noProof/>
          <w:lang w:val="en-US"/>
        </w:rPr>
        <w:fldChar w:fldCharType="begin"/>
      </w:r>
      <w:r w:rsidRPr="00BA36B0">
        <w:rPr>
          <w:rFonts w:ascii="Times New Roman" w:hAnsi="Times New Roman"/>
          <w:noProof/>
          <w:lang w:val="en-US"/>
        </w:rPr>
        <w:instrText xml:space="preserve"> INCLUDEPICTURE  "C:\\var\\folders\\52\\qpmf_2f51qg41g2g3gy4kymm0000gn\\T\\com.microsoft.Word\\WebArchiveCopyPasteTempFiles\\page1image9486544" \* MERGEFORMATINET </w:instrText>
      </w:r>
      <w:r w:rsidRPr="00BA36B0">
        <w:rPr>
          <w:rFonts w:ascii="Times New Roman" w:hAnsi="Times New Roman"/>
          <w:noProof/>
          <w:lang w:val="en-US"/>
        </w:rPr>
        <w:fldChar w:fldCharType="separate"/>
      </w:r>
      <w:r w:rsidRPr="00BA36B0">
        <w:rPr>
          <w:rFonts w:ascii="Times New Roman" w:hAnsi="Times New Roman"/>
          <w:noProof/>
          <w:lang w:val="en-US"/>
        </w:rPr>
        <w:fldChar w:fldCharType="begin"/>
      </w:r>
      <w:r w:rsidRPr="00BA36B0">
        <w:rPr>
          <w:rFonts w:ascii="Times New Roman" w:hAnsi="Times New Roman"/>
          <w:noProof/>
          <w:lang w:val="en-US"/>
        </w:rPr>
        <w:instrText xml:space="preserve"> INCLUDEPICTURE  "C:\\var\\folders\\52\\qpmf_2f51qg41g2g3gy4kymm0000gn\\T\\com.microsoft.Word\\WebArchiveCopyPasteTempFiles\\page1image9486544" \* MERGEFORMATINET </w:instrText>
      </w:r>
      <w:r w:rsidRPr="00BA36B0">
        <w:rPr>
          <w:rFonts w:ascii="Times New Roman" w:hAnsi="Times New Roman"/>
          <w:noProof/>
          <w:lang w:val="en-US"/>
        </w:rPr>
        <w:fldChar w:fldCharType="separate"/>
      </w:r>
      <w:r w:rsidRPr="00BA36B0">
        <w:rPr>
          <w:rFonts w:ascii="Times New Roman" w:hAnsi="Times New Roman"/>
          <w:noProof/>
          <w:lang w:val="en-US"/>
        </w:rPr>
        <w:fldChar w:fldCharType="begin"/>
      </w:r>
      <w:r w:rsidRPr="00BA36B0">
        <w:rPr>
          <w:rFonts w:ascii="Times New Roman" w:hAnsi="Times New Roman"/>
          <w:noProof/>
          <w:lang w:val="en-US"/>
        </w:rPr>
        <w:instrText xml:space="preserve"> INCLUDEPICTURE  "C:\\var\\folders\\52\\qpmf_2f51qg41g2g3gy4kymm0000gn\\T\\com.microsoft.Word\\WebArchiveCopyPasteTempFiles\\page1image9486544" \* MERGEFORMATINET </w:instrText>
      </w:r>
      <w:r w:rsidRPr="00BA36B0">
        <w:rPr>
          <w:rFonts w:ascii="Times New Roman" w:hAnsi="Times New Roman"/>
          <w:noProof/>
          <w:lang w:val="en-US"/>
        </w:rPr>
        <w:fldChar w:fldCharType="separate"/>
      </w:r>
      <w:r w:rsidRPr="00BA36B0">
        <w:rPr>
          <w:rFonts w:ascii="Times New Roman" w:hAnsi="Times New Roman"/>
          <w:noProof/>
          <w:lang w:val="en-US"/>
        </w:rPr>
        <w:fldChar w:fldCharType="begin"/>
      </w:r>
      <w:r w:rsidRPr="00BA36B0">
        <w:rPr>
          <w:rFonts w:ascii="Times New Roman" w:hAnsi="Times New Roman"/>
          <w:noProof/>
          <w:lang w:val="en-US"/>
        </w:rPr>
        <w:instrText xml:space="preserve"> INCLUDEPICTURE  "C:\\var\\folders\\52\\qpmf_2f51qg41g2g3gy4kymm0000gn\\T\\com.microsoft.Word\\WebArchiveCopyPasteTempFiles\\page1image9486544" \* MERGEFORMATINET </w:instrText>
      </w:r>
      <w:r w:rsidRPr="00BA36B0">
        <w:rPr>
          <w:rFonts w:ascii="Times New Roman" w:hAnsi="Times New Roman"/>
          <w:noProof/>
          <w:lang w:val="en-US"/>
        </w:rPr>
        <w:fldChar w:fldCharType="separate"/>
      </w:r>
      <w:r w:rsidRPr="00BA36B0">
        <w:rPr>
          <w:rFonts w:ascii="Times New Roman" w:hAnsi="Times New Roman"/>
          <w:noProof/>
          <w:lang w:val="en-US"/>
        </w:rPr>
        <w:fldChar w:fldCharType="begin"/>
      </w:r>
      <w:r w:rsidRPr="00BA36B0">
        <w:rPr>
          <w:rFonts w:ascii="Times New Roman" w:hAnsi="Times New Roman"/>
          <w:noProof/>
          <w:lang w:val="en-US"/>
        </w:rPr>
        <w:instrText xml:space="preserve"> INCLUDEPICTURE  "C:\\var\\folders\\52\\qpmf_2f51qg41g2g3gy4kymm0000gn\\T\\com.microsoft.Word\\WebArchiveCopyPasteTempFiles\\page1image9486544" \* MERGEFORMATINET </w:instrText>
      </w:r>
      <w:r w:rsidRPr="00BA36B0">
        <w:rPr>
          <w:rFonts w:ascii="Times New Roman" w:hAnsi="Times New Roman"/>
          <w:noProof/>
          <w:lang w:val="en-US"/>
        </w:rPr>
        <w:fldChar w:fldCharType="separate"/>
      </w:r>
      <w:r w:rsidR="00455C5C">
        <w:rPr>
          <w:rFonts w:ascii="Times New Roman" w:hAnsi="Times New Roman"/>
          <w:noProof/>
          <w:lang w:val="en-US"/>
        </w:rPr>
        <w:fldChar w:fldCharType="begin"/>
      </w:r>
      <w:r w:rsidR="00455C5C">
        <w:rPr>
          <w:rFonts w:ascii="Times New Roman" w:hAnsi="Times New Roman"/>
          <w:noProof/>
          <w:lang w:val="en-US"/>
        </w:rPr>
        <w:instrText xml:space="preserve"> INCLUDEPICTURE  "C:\\var\\folders\\52\\qpmf_2f51qg41g2g3gy4kymm0000gn\\T\\com.microsoft.Word\\WebArchiveCopyPasteTempFiles\\page1image9486544" \* MERGEFORMATINET </w:instrText>
      </w:r>
      <w:r w:rsidR="00455C5C">
        <w:rPr>
          <w:rFonts w:ascii="Times New Roman" w:hAnsi="Times New Roman"/>
          <w:noProof/>
          <w:lang w:val="en-US"/>
        </w:rPr>
        <w:fldChar w:fldCharType="separate"/>
      </w:r>
      <w:r w:rsidR="009D57DF">
        <w:rPr>
          <w:rFonts w:ascii="Times New Roman" w:hAnsi="Times New Roman"/>
          <w:noProof/>
          <w:lang w:val="en-US"/>
        </w:rPr>
        <w:fldChar w:fldCharType="begin"/>
      </w:r>
      <w:r w:rsidR="009D57DF">
        <w:rPr>
          <w:rFonts w:ascii="Times New Roman" w:hAnsi="Times New Roman"/>
          <w:noProof/>
          <w:lang w:val="en-US"/>
        </w:rPr>
        <w:instrText xml:space="preserve"> </w:instrText>
      </w:r>
      <w:r w:rsidR="009D57DF">
        <w:rPr>
          <w:rFonts w:ascii="Times New Roman" w:hAnsi="Times New Roman"/>
          <w:noProof/>
          <w:lang w:val="en-US"/>
        </w:rPr>
        <w:instrText>INCLUDEPICTURE  "C:\\var\\folders\\52\\qpmf_2f51qg41g2g3gy4kymm0000gn\\T\\com.microsoft.Word\\WebArchiveCopyPasteTempFiles\\page1image9486544" \* MERGEFORMATINET</w:instrText>
      </w:r>
      <w:r w:rsidR="009D57DF">
        <w:rPr>
          <w:rFonts w:ascii="Times New Roman" w:hAnsi="Times New Roman"/>
          <w:noProof/>
          <w:lang w:val="en-US"/>
        </w:rPr>
        <w:instrText xml:space="preserve"> </w:instrText>
      </w:r>
      <w:r w:rsidR="009D57DF">
        <w:rPr>
          <w:rFonts w:ascii="Times New Roman" w:hAnsi="Times New Roman"/>
          <w:noProof/>
          <w:lang w:val="en-US"/>
        </w:rPr>
        <w:fldChar w:fldCharType="separate"/>
      </w:r>
      <w:r w:rsidR="009C49E3">
        <w:rPr>
          <w:rFonts w:ascii="Times New Roman" w:hAnsi="Times New Roman"/>
          <w:noProof/>
          <w:lang w:val="en-US"/>
        </w:rPr>
        <w:pict w14:anchorId="12A7D3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5" type="#_x0000_t75" alt="page1image9486544" style="width:53.25pt;height:65.25pt;visibility:visible;mso-wrap-style:square">
            <v:imagedata r:id="rId8" r:href="rId9"/>
          </v:shape>
        </w:pict>
      </w:r>
      <w:r w:rsidR="009D57DF">
        <w:rPr>
          <w:rFonts w:ascii="Times New Roman" w:hAnsi="Times New Roman"/>
          <w:noProof/>
          <w:lang w:val="en-US"/>
        </w:rPr>
        <w:fldChar w:fldCharType="end"/>
      </w:r>
      <w:r w:rsidR="00455C5C">
        <w:rPr>
          <w:rFonts w:ascii="Times New Roman" w:hAnsi="Times New Roman"/>
          <w:noProof/>
          <w:lang w:val="en-US"/>
        </w:rPr>
        <w:fldChar w:fldCharType="end"/>
      </w:r>
      <w:r w:rsidRPr="00BA36B0">
        <w:rPr>
          <w:rFonts w:ascii="Times New Roman" w:hAnsi="Times New Roman"/>
          <w:noProof/>
          <w:lang w:val="en-US"/>
        </w:rPr>
        <w:fldChar w:fldCharType="end"/>
      </w:r>
      <w:r w:rsidRPr="00BA36B0">
        <w:rPr>
          <w:rFonts w:ascii="Times New Roman" w:hAnsi="Times New Roman"/>
          <w:noProof/>
          <w:lang w:val="en-US"/>
        </w:rPr>
        <w:fldChar w:fldCharType="end"/>
      </w:r>
      <w:r w:rsidRPr="00BA36B0">
        <w:rPr>
          <w:rFonts w:ascii="Times New Roman" w:hAnsi="Times New Roman"/>
          <w:noProof/>
          <w:lang w:val="en-US"/>
        </w:rPr>
        <w:fldChar w:fldCharType="end"/>
      </w:r>
      <w:r w:rsidRPr="00BA36B0">
        <w:rPr>
          <w:rFonts w:ascii="Times New Roman" w:hAnsi="Times New Roman"/>
          <w:noProof/>
          <w:lang w:val="en-US"/>
        </w:rPr>
        <w:fldChar w:fldCharType="end"/>
      </w:r>
      <w:r w:rsidRPr="00BA36B0">
        <w:rPr>
          <w:rFonts w:ascii="Times New Roman" w:hAnsi="Times New Roman"/>
          <w:noProof/>
          <w:lang w:val="en-US"/>
        </w:rPr>
        <w:fldChar w:fldCharType="end"/>
      </w:r>
      <w:r w:rsidRPr="00BA36B0">
        <w:rPr>
          <w:rFonts w:ascii="Times New Roman" w:hAnsi="Times New Roman"/>
          <w:noProof/>
          <w:lang w:val="en-US"/>
        </w:rPr>
        <w:fldChar w:fldCharType="end"/>
      </w:r>
      <w:r w:rsidRPr="00BA36B0">
        <w:rPr>
          <w:rFonts w:ascii="Times New Roman" w:hAnsi="Times New Roman"/>
          <w:noProof/>
          <w:lang w:val="en-US"/>
        </w:rPr>
        <w:fldChar w:fldCharType="end"/>
      </w:r>
      <w:r w:rsidRPr="00BA36B0">
        <w:rPr>
          <w:rFonts w:ascii="Times New Roman" w:hAnsi="Times New Roman"/>
          <w:noProof/>
          <w:lang w:val="en-US"/>
        </w:rPr>
        <w:fldChar w:fldCharType="end"/>
      </w:r>
      <w:r w:rsidRPr="00BA36B0">
        <w:rPr>
          <w:rFonts w:ascii="Times New Roman" w:hAnsi="Times New Roman"/>
          <w:noProof/>
          <w:lang w:val="en-US"/>
        </w:rPr>
        <w:fldChar w:fldCharType="end"/>
      </w:r>
      <w:r w:rsidRPr="00BA36B0">
        <w:rPr>
          <w:rFonts w:ascii="Times New Roman" w:hAnsi="Times New Roman"/>
          <w:noProof/>
          <w:lang w:val="en-US"/>
        </w:rPr>
        <w:fldChar w:fldCharType="end"/>
      </w:r>
    </w:p>
    <w:p w14:paraId="42230924" w14:textId="77777777" w:rsidR="00FB4B7D" w:rsidRPr="00BA36B0" w:rsidRDefault="00FB4B7D" w:rsidP="00FB4B7D">
      <w:pPr>
        <w:jc w:val="center"/>
        <w:rPr>
          <w:rFonts w:ascii="Times New Roman" w:hAnsi="Times New Roman"/>
          <w:b/>
          <w:bCs/>
          <w:sz w:val="32"/>
          <w:szCs w:val="32"/>
        </w:rPr>
      </w:pPr>
      <w:r w:rsidRPr="00BA36B0">
        <w:rPr>
          <w:rFonts w:ascii="Times New Roman" w:hAnsi="Times New Roman"/>
          <w:b/>
          <w:bCs/>
          <w:sz w:val="32"/>
          <w:szCs w:val="32"/>
        </w:rPr>
        <w:t>IN THE HIGH COURT OF SOUTH AFRICA</w:t>
      </w:r>
    </w:p>
    <w:p w14:paraId="55228052" w14:textId="77777777" w:rsidR="00FB4B7D" w:rsidRPr="00BA36B0" w:rsidRDefault="00FB4B7D" w:rsidP="00FB4B7D">
      <w:pPr>
        <w:jc w:val="center"/>
        <w:rPr>
          <w:rFonts w:ascii="Times New Roman" w:hAnsi="Times New Roman"/>
          <w:b/>
          <w:bCs/>
          <w:sz w:val="32"/>
          <w:szCs w:val="32"/>
        </w:rPr>
      </w:pPr>
      <w:r w:rsidRPr="00BA36B0">
        <w:rPr>
          <w:rFonts w:ascii="Times New Roman" w:hAnsi="Times New Roman"/>
          <w:b/>
          <w:bCs/>
          <w:sz w:val="32"/>
          <w:szCs w:val="32"/>
        </w:rPr>
        <w:t>GAUTENG LOCAL DIVISION, JOHANNESBURG</w:t>
      </w:r>
    </w:p>
    <w:p w14:paraId="27A1A641" w14:textId="77777777" w:rsidR="00FB4B7D" w:rsidRPr="00BA36B0" w:rsidRDefault="00FB4B7D" w:rsidP="00FB4B7D">
      <w:pPr>
        <w:rPr>
          <w:rFonts w:ascii="Times New Roman" w:hAnsi="Times New Roman"/>
        </w:rPr>
      </w:pPr>
    </w:p>
    <w:p w14:paraId="7F73C4A1" w14:textId="77777777" w:rsidR="00FB4B7D" w:rsidRPr="00BA36B0" w:rsidRDefault="00FB4B7D" w:rsidP="00FB4B7D">
      <w:pPr>
        <w:pStyle w:val="ListParagraph"/>
        <w:numPr>
          <w:ilvl w:val="0"/>
          <w:numId w:val="3"/>
        </w:numPr>
        <w:pBdr>
          <w:top w:val="single" w:sz="4" w:space="1" w:color="auto"/>
          <w:left w:val="single" w:sz="4" w:space="4" w:color="auto"/>
          <w:bottom w:val="single" w:sz="4" w:space="1" w:color="auto"/>
          <w:right w:val="single" w:sz="4" w:space="0" w:color="auto"/>
        </w:pBdr>
      </w:pPr>
      <w:r w:rsidRPr="00BA36B0">
        <w:t xml:space="preserve">REPORTABLE: </w:t>
      </w:r>
      <w:r w:rsidRPr="00BA36B0">
        <w:rPr>
          <w:strike/>
        </w:rPr>
        <w:t>YES</w:t>
      </w:r>
      <w:r w:rsidRPr="00BA36B0">
        <w:t>/NO</w:t>
      </w:r>
    </w:p>
    <w:p w14:paraId="174B5D76" w14:textId="77777777" w:rsidR="00FB4B7D" w:rsidRPr="00BA36B0" w:rsidRDefault="00FB4B7D" w:rsidP="00FB4B7D">
      <w:pPr>
        <w:pStyle w:val="ListParagraph"/>
        <w:numPr>
          <w:ilvl w:val="0"/>
          <w:numId w:val="3"/>
        </w:numPr>
        <w:pBdr>
          <w:top w:val="single" w:sz="4" w:space="1" w:color="auto"/>
          <w:left w:val="single" w:sz="4" w:space="4" w:color="auto"/>
          <w:bottom w:val="single" w:sz="4" w:space="1" w:color="auto"/>
          <w:right w:val="single" w:sz="4" w:space="0" w:color="auto"/>
        </w:pBdr>
      </w:pPr>
      <w:r w:rsidRPr="00BA36B0">
        <w:t xml:space="preserve">OF INTEREST OF OTHER JUDGES: </w:t>
      </w:r>
      <w:r w:rsidRPr="00BA36B0">
        <w:rPr>
          <w:strike/>
        </w:rPr>
        <w:t>YES</w:t>
      </w:r>
      <w:r w:rsidRPr="00BA36B0">
        <w:t>/NO</w:t>
      </w:r>
    </w:p>
    <w:p w14:paraId="414D2CD7" w14:textId="77777777" w:rsidR="00FB4B7D" w:rsidRPr="00BA36B0" w:rsidRDefault="00FB4B7D" w:rsidP="00FB4B7D">
      <w:pPr>
        <w:pStyle w:val="ListParagraph"/>
        <w:numPr>
          <w:ilvl w:val="0"/>
          <w:numId w:val="3"/>
        </w:numPr>
        <w:pBdr>
          <w:top w:val="single" w:sz="4" w:space="1" w:color="auto"/>
          <w:left w:val="single" w:sz="4" w:space="4" w:color="auto"/>
          <w:bottom w:val="single" w:sz="4" w:space="1" w:color="auto"/>
          <w:right w:val="single" w:sz="4" w:space="0" w:color="auto"/>
        </w:pBdr>
      </w:pPr>
      <w:r w:rsidRPr="00BA36B0">
        <w:t>REVISED</w:t>
      </w:r>
    </w:p>
    <w:p w14:paraId="48BE1E0E" w14:textId="77777777" w:rsidR="00FB4B7D" w:rsidRPr="00BA36B0" w:rsidRDefault="00FB4B7D" w:rsidP="00FB4B7D">
      <w:pPr>
        <w:pBdr>
          <w:top w:val="single" w:sz="4" w:space="1" w:color="auto"/>
          <w:left w:val="single" w:sz="4" w:space="4" w:color="auto"/>
          <w:bottom w:val="single" w:sz="4" w:space="1" w:color="auto"/>
          <w:right w:val="single" w:sz="4" w:space="0" w:color="auto"/>
        </w:pBdr>
        <w:ind w:left="360"/>
        <w:rPr>
          <w:rFonts w:ascii="Times New Roman" w:hAnsi="Times New Roman"/>
        </w:rPr>
      </w:pPr>
      <w:r w:rsidRPr="00BA36B0">
        <w:rPr>
          <w:rFonts w:ascii="Times New Roman" w:hAnsi="Times New Roman"/>
        </w:rPr>
        <w:t>_________________                               ________________________</w:t>
      </w:r>
    </w:p>
    <w:p w14:paraId="4093D2C8" w14:textId="77777777" w:rsidR="00FB4B7D" w:rsidRPr="00BA36B0" w:rsidRDefault="00FB4B7D" w:rsidP="00FB4B7D">
      <w:pPr>
        <w:pBdr>
          <w:top w:val="single" w:sz="4" w:space="1" w:color="auto"/>
          <w:left w:val="single" w:sz="4" w:space="4" w:color="auto"/>
          <w:bottom w:val="single" w:sz="4" w:space="1" w:color="auto"/>
          <w:right w:val="single" w:sz="4" w:space="0" w:color="auto"/>
        </w:pBdr>
        <w:ind w:left="360"/>
        <w:rPr>
          <w:rFonts w:ascii="Times New Roman" w:hAnsi="Times New Roman"/>
        </w:rPr>
      </w:pPr>
      <w:r w:rsidRPr="00BA36B0">
        <w:rPr>
          <w:rFonts w:ascii="Times New Roman" w:hAnsi="Times New Roman"/>
        </w:rPr>
        <w:t>DATE</w:t>
      </w:r>
      <w:r w:rsidRPr="00BA36B0">
        <w:rPr>
          <w:rFonts w:ascii="Times New Roman" w:hAnsi="Times New Roman"/>
        </w:rPr>
        <w:tab/>
      </w:r>
      <w:r w:rsidRPr="00BA36B0">
        <w:rPr>
          <w:rFonts w:ascii="Times New Roman" w:hAnsi="Times New Roman"/>
        </w:rPr>
        <w:tab/>
      </w:r>
      <w:r w:rsidRPr="00BA36B0">
        <w:rPr>
          <w:rFonts w:ascii="Times New Roman" w:hAnsi="Times New Roman"/>
        </w:rPr>
        <w:tab/>
      </w:r>
      <w:r w:rsidRPr="00BA36B0">
        <w:rPr>
          <w:rFonts w:ascii="Times New Roman" w:hAnsi="Times New Roman"/>
        </w:rPr>
        <w:tab/>
        <w:t xml:space="preserve">         SIGNATURE</w:t>
      </w:r>
    </w:p>
    <w:p w14:paraId="020A1861" w14:textId="77777777" w:rsidR="00FB4B7D" w:rsidRPr="00BA36B0" w:rsidRDefault="00FB4B7D" w:rsidP="00FB4B7D">
      <w:pPr>
        <w:pBdr>
          <w:top w:val="single" w:sz="4" w:space="1" w:color="auto"/>
          <w:left w:val="single" w:sz="4" w:space="4" w:color="auto"/>
          <w:bottom w:val="single" w:sz="4" w:space="1" w:color="auto"/>
          <w:right w:val="single" w:sz="4" w:space="0" w:color="auto"/>
        </w:pBdr>
        <w:ind w:left="360"/>
        <w:rPr>
          <w:rFonts w:ascii="Times New Roman" w:hAnsi="Times New Roman"/>
        </w:rPr>
      </w:pPr>
    </w:p>
    <w:p w14:paraId="5855ECEC" w14:textId="77777777" w:rsidR="00FB4B7D" w:rsidRPr="00BA36B0" w:rsidRDefault="00FB4B7D" w:rsidP="00FB4B7D">
      <w:pPr>
        <w:rPr>
          <w:rFonts w:ascii="Times New Roman" w:hAnsi="Times New Roman"/>
        </w:rPr>
      </w:pPr>
    </w:p>
    <w:p w14:paraId="736EEF9A" w14:textId="77777777" w:rsidR="00FB4B7D" w:rsidRPr="00BA36B0" w:rsidRDefault="00FB4B7D" w:rsidP="00FB4B7D">
      <w:pPr>
        <w:rPr>
          <w:rFonts w:ascii="Times New Roman" w:hAnsi="Times New Roman"/>
        </w:rPr>
      </w:pPr>
    </w:p>
    <w:p w14:paraId="01EADDF0" w14:textId="77777777" w:rsidR="00FB4B7D" w:rsidRPr="00BA36B0" w:rsidRDefault="00FB4B7D" w:rsidP="00FB4B7D">
      <w:pPr>
        <w:jc w:val="right"/>
        <w:rPr>
          <w:rFonts w:ascii="Times New Roman" w:hAnsi="Times New Roman"/>
        </w:rPr>
      </w:pPr>
      <w:r w:rsidRPr="00BA36B0">
        <w:rPr>
          <w:rFonts w:ascii="Times New Roman" w:hAnsi="Times New Roman"/>
        </w:rPr>
        <w:t>Case No: 16427/22</w:t>
      </w:r>
    </w:p>
    <w:p w14:paraId="2A50DE63" w14:textId="77777777" w:rsidR="00FB4B7D" w:rsidRPr="00BA36B0" w:rsidRDefault="00FB4B7D" w:rsidP="00FB4B7D">
      <w:pPr>
        <w:rPr>
          <w:rFonts w:ascii="Times New Roman" w:hAnsi="Times New Roman"/>
        </w:rPr>
      </w:pPr>
    </w:p>
    <w:p w14:paraId="7B703728" w14:textId="77777777" w:rsidR="00FB4B7D" w:rsidRPr="00BA36B0" w:rsidRDefault="00FB4B7D" w:rsidP="00FB4B7D">
      <w:pPr>
        <w:rPr>
          <w:rFonts w:ascii="Times New Roman" w:hAnsi="Times New Roman"/>
        </w:rPr>
      </w:pPr>
      <w:r w:rsidRPr="00BA36B0">
        <w:rPr>
          <w:rFonts w:ascii="Times New Roman" w:hAnsi="Times New Roman"/>
        </w:rPr>
        <w:t>In the matter between:</w:t>
      </w:r>
    </w:p>
    <w:p w14:paraId="1B00FD68" w14:textId="77777777" w:rsidR="00FB4B7D" w:rsidRPr="00BA36B0" w:rsidRDefault="00FB4B7D" w:rsidP="00FB4B7D">
      <w:pPr>
        <w:rPr>
          <w:rFonts w:ascii="Times New Roman" w:hAnsi="Times New Roman"/>
        </w:rPr>
      </w:pPr>
    </w:p>
    <w:p w14:paraId="3FC244ED" w14:textId="115D24F7" w:rsidR="00337220" w:rsidRPr="00BA36B0" w:rsidRDefault="00337220" w:rsidP="00337220">
      <w:pPr>
        <w:pStyle w:val="Parties"/>
        <w:rPr>
          <w:rFonts w:ascii="Times New Roman" w:hAnsi="Times New Roman"/>
          <w:b/>
          <w:bCs/>
        </w:rPr>
      </w:pPr>
      <w:r w:rsidRPr="00BA36B0">
        <w:rPr>
          <w:rFonts w:ascii="Times New Roman" w:hAnsi="Times New Roman"/>
          <w:b/>
          <w:bCs/>
        </w:rPr>
        <w:t>AZWINDINI ZELDA MALANGE</w:t>
      </w:r>
      <w:r w:rsidRPr="00BA36B0">
        <w:rPr>
          <w:rFonts w:ascii="Times New Roman" w:hAnsi="Times New Roman"/>
          <w:b/>
          <w:bCs/>
        </w:rPr>
        <w:tab/>
      </w:r>
      <w:r w:rsidR="00E46C7C" w:rsidRPr="00BA36B0">
        <w:rPr>
          <w:rFonts w:ascii="Times New Roman" w:hAnsi="Times New Roman"/>
          <w:b/>
          <w:bCs/>
        </w:rPr>
        <w:t>Applicant</w:t>
      </w:r>
    </w:p>
    <w:p w14:paraId="1B3E4AA4" w14:textId="77777777" w:rsidR="00337220" w:rsidRPr="00BA36B0" w:rsidRDefault="00337220" w:rsidP="00337220">
      <w:pPr>
        <w:pStyle w:val="Parties"/>
        <w:rPr>
          <w:rFonts w:ascii="Times New Roman" w:hAnsi="Times New Roman"/>
        </w:rPr>
      </w:pPr>
    </w:p>
    <w:p w14:paraId="575024F3" w14:textId="77777777" w:rsidR="00337220" w:rsidRPr="00BA36B0" w:rsidRDefault="00337220" w:rsidP="00337220">
      <w:pPr>
        <w:pStyle w:val="Parties"/>
        <w:rPr>
          <w:rFonts w:ascii="Times New Roman" w:hAnsi="Times New Roman"/>
        </w:rPr>
      </w:pPr>
    </w:p>
    <w:p w14:paraId="5FCBD15D" w14:textId="77777777" w:rsidR="00337220" w:rsidRPr="00BA36B0" w:rsidRDefault="00337220" w:rsidP="00337220">
      <w:pPr>
        <w:pStyle w:val="Parties"/>
        <w:rPr>
          <w:rFonts w:ascii="Times New Roman" w:hAnsi="Times New Roman"/>
        </w:rPr>
      </w:pPr>
    </w:p>
    <w:p w14:paraId="0E79844E" w14:textId="6909578D" w:rsidR="00337220" w:rsidRPr="00BA36B0" w:rsidRDefault="004508B1" w:rsidP="00337220">
      <w:pPr>
        <w:pStyle w:val="Parties"/>
        <w:rPr>
          <w:rFonts w:ascii="Times New Roman" w:hAnsi="Times New Roman"/>
        </w:rPr>
      </w:pPr>
      <w:r>
        <w:rPr>
          <w:rFonts w:ascii="Times New Roman" w:hAnsi="Times New Roman"/>
        </w:rPr>
        <w:t>a</w:t>
      </w:r>
      <w:r w:rsidR="00337220" w:rsidRPr="00BA36B0">
        <w:rPr>
          <w:rFonts w:ascii="Times New Roman" w:hAnsi="Times New Roman"/>
        </w:rPr>
        <w:t>nd</w:t>
      </w:r>
      <w:bookmarkStart w:id="0" w:name="_GoBack"/>
      <w:bookmarkEnd w:id="0"/>
    </w:p>
    <w:p w14:paraId="59BCF8D2" w14:textId="77777777" w:rsidR="00337220" w:rsidRPr="00BA36B0" w:rsidRDefault="00337220" w:rsidP="00337220">
      <w:pPr>
        <w:pStyle w:val="Parties"/>
        <w:rPr>
          <w:rFonts w:ascii="Times New Roman" w:hAnsi="Times New Roman"/>
        </w:rPr>
      </w:pPr>
    </w:p>
    <w:p w14:paraId="48C80A6B" w14:textId="77777777" w:rsidR="00E46C7C" w:rsidRPr="00BA36B0" w:rsidRDefault="00E46C7C" w:rsidP="00E46C7C">
      <w:pPr>
        <w:pStyle w:val="Parties"/>
        <w:rPr>
          <w:rFonts w:ascii="Times New Roman" w:hAnsi="Times New Roman"/>
        </w:rPr>
      </w:pPr>
    </w:p>
    <w:p w14:paraId="0B9809C8" w14:textId="77777777" w:rsidR="00E46C7C" w:rsidRPr="00BA36B0" w:rsidRDefault="00E46C7C" w:rsidP="00E46C7C">
      <w:pPr>
        <w:pStyle w:val="Parties"/>
        <w:rPr>
          <w:rFonts w:ascii="Times New Roman" w:hAnsi="Times New Roman"/>
        </w:rPr>
      </w:pPr>
    </w:p>
    <w:p w14:paraId="403746A4" w14:textId="77777777" w:rsidR="00E46C7C" w:rsidRPr="00BA36B0" w:rsidRDefault="00E46C7C" w:rsidP="00E46C7C">
      <w:pPr>
        <w:pStyle w:val="Parties"/>
        <w:rPr>
          <w:rFonts w:ascii="Times New Roman" w:hAnsi="Times New Roman"/>
          <w:b/>
          <w:bCs/>
        </w:rPr>
      </w:pPr>
      <w:r w:rsidRPr="00BA36B0">
        <w:rPr>
          <w:rFonts w:ascii="Times New Roman" w:hAnsi="Times New Roman"/>
          <w:b/>
          <w:bCs/>
        </w:rPr>
        <w:t>WANGA ENGINEERING AND CONSTRUCTION</w:t>
      </w:r>
    </w:p>
    <w:p w14:paraId="239DE11D" w14:textId="6FA3E9AA" w:rsidR="00E46C7C" w:rsidRPr="00BA36B0" w:rsidRDefault="00E46C7C" w:rsidP="00E46C7C">
      <w:pPr>
        <w:pStyle w:val="Parties"/>
        <w:rPr>
          <w:rFonts w:ascii="Times New Roman" w:hAnsi="Times New Roman"/>
          <w:b/>
          <w:bCs/>
        </w:rPr>
      </w:pPr>
      <w:r w:rsidRPr="00BA36B0">
        <w:rPr>
          <w:rFonts w:ascii="Times New Roman" w:hAnsi="Times New Roman"/>
          <w:b/>
          <w:bCs/>
        </w:rPr>
        <w:t>SERVICES CC</w:t>
      </w:r>
      <w:r w:rsidRPr="00BA36B0">
        <w:rPr>
          <w:rFonts w:ascii="Times New Roman" w:hAnsi="Times New Roman"/>
          <w:b/>
          <w:bCs/>
        </w:rPr>
        <w:tab/>
        <w:t>Respondent</w:t>
      </w:r>
    </w:p>
    <w:p w14:paraId="5D9A687B" w14:textId="77777777" w:rsidR="00E46C7C" w:rsidRPr="00BA36B0" w:rsidRDefault="00E46C7C" w:rsidP="00E46C7C">
      <w:pPr>
        <w:pStyle w:val="Parties"/>
        <w:rPr>
          <w:rFonts w:ascii="Times New Roman" w:hAnsi="Times New Roman"/>
        </w:rPr>
      </w:pPr>
    </w:p>
    <w:p w14:paraId="245F782A" w14:textId="77777777" w:rsidR="00337220" w:rsidRPr="00BA36B0" w:rsidRDefault="00337220" w:rsidP="00FB4B7D">
      <w:pPr>
        <w:rPr>
          <w:rFonts w:ascii="Times New Roman" w:hAnsi="Times New Roman"/>
        </w:rPr>
      </w:pPr>
    </w:p>
    <w:p w14:paraId="5316A6DB" w14:textId="645CDD75" w:rsidR="00337220" w:rsidRPr="00BA36B0" w:rsidRDefault="00337220" w:rsidP="00FB4B7D">
      <w:pPr>
        <w:pStyle w:val="Parties"/>
        <w:rPr>
          <w:rFonts w:ascii="Times New Roman" w:hAnsi="Times New Roman"/>
          <w:b/>
          <w:bCs/>
        </w:rPr>
      </w:pPr>
      <w:r w:rsidRPr="00BA36B0">
        <w:rPr>
          <w:rFonts w:ascii="Times New Roman" w:hAnsi="Times New Roman"/>
          <w:b/>
          <w:bCs/>
        </w:rPr>
        <w:t>In re:</w:t>
      </w:r>
    </w:p>
    <w:p w14:paraId="11770F36" w14:textId="77777777" w:rsidR="00337220" w:rsidRPr="00BA36B0" w:rsidRDefault="00337220" w:rsidP="00FB4B7D">
      <w:pPr>
        <w:pStyle w:val="Parties"/>
        <w:rPr>
          <w:rFonts w:ascii="Times New Roman" w:hAnsi="Times New Roman"/>
          <w:b/>
          <w:bCs/>
        </w:rPr>
      </w:pPr>
    </w:p>
    <w:p w14:paraId="10064CA3" w14:textId="270BF9B3" w:rsidR="00FB4B7D" w:rsidRPr="00BA36B0" w:rsidRDefault="00FB4B7D" w:rsidP="00FB4B7D">
      <w:pPr>
        <w:pStyle w:val="Parties"/>
        <w:rPr>
          <w:rFonts w:ascii="Times New Roman" w:hAnsi="Times New Roman"/>
          <w:b/>
          <w:bCs/>
        </w:rPr>
      </w:pPr>
      <w:r w:rsidRPr="00BA36B0">
        <w:rPr>
          <w:rFonts w:ascii="Times New Roman" w:hAnsi="Times New Roman"/>
          <w:b/>
          <w:bCs/>
        </w:rPr>
        <w:t>WANGA ENGINEERING AND CONSTRUCTION</w:t>
      </w:r>
    </w:p>
    <w:p w14:paraId="5CB6B220" w14:textId="77777777" w:rsidR="00FB4B7D" w:rsidRPr="00BA36B0" w:rsidRDefault="00FB4B7D" w:rsidP="00FB4B7D">
      <w:pPr>
        <w:pStyle w:val="Parties"/>
        <w:rPr>
          <w:rFonts w:ascii="Times New Roman" w:hAnsi="Times New Roman"/>
          <w:b/>
          <w:bCs/>
        </w:rPr>
      </w:pPr>
      <w:r w:rsidRPr="00BA36B0">
        <w:rPr>
          <w:rFonts w:ascii="Times New Roman" w:hAnsi="Times New Roman"/>
          <w:b/>
          <w:bCs/>
        </w:rPr>
        <w:lastRenderedPageBreak/>
        <w:t>SERVICES CC</w:t>
      </w:r>
      <w:r w:rsidRPr="00BA36B0">
        <w:rPr>
          <w:rFonts w:ascii="Times New Roman" w:hAnsi="Times New Roman"/>
          <w:b/>
          <w:bCs/>
        </w:rPr>
        <w:tab/>
        <w:t>Applicant</w:t>
      </w:r>
    </w:p>
    <w:p w14:paraId="67DC5635" w14:textId="77777777" w:rsidR="00FB4B7D" w:rsidRPr="00BA36B0" w:rsidRDefault="00FB4B7D" w:rsidP="00FB4B7D">
      <w:pPr>
        <w:pStyle w:val="Parties"/>
        <w:rPr>
          <w:rFonts w:ascii="Times New Roman" w:hAnsi="Times New Roman"/>
          <w:b/>
          <w:bCs/>
        </w:rPr>
      </w:pPr>
    </w:p>
    <w:p w14:paraId="0AE40E44" w14:textId="77777777" w:rsidR="00FB4B7D" w:rsidRPr="00BA36B0" w:rsidRDefault="00FB4B7D" w:rsidP="00FB4B7D">
      <w:pPr>
        <w:pStyle w:val="Parties"/>
        <w:rPr>
          <w:rFonts w:ascii="Times New Roman" w:hAnsi="Times New Roman"/>
          <w:b/>
          <w:bCs/>
        </w:rPr>
      </w:pPr>
    </w:p>
    <w:p w14:paraId="6A040677" w14:textId="77777777" w:rsidR="00FB4B7D" w:rsidRPr="00BA36B0" w:rsidRDefault="00FB4B7D" w:rsidP="00FB4B7D">
      <w:pPr>
        <w:pStyle w:val="Parties"/>
        <w:rPr>
          <w:rFonts w:ascii="Times New Roman" w:hAnsi="Times New Roman"/>
          <w:b/>
          <w:bCs/>
        </w:rPr>
      </w:pPr>
    </w:p>
    <w:p w14:paraId="3778F32D" w14:textId="77777777" w:rsidR="00FB4B7D" w:rsidRPr="00BA36B0" w:rsidRDefault="00FB4B7D" w:rsidP="00FB4B7D">
      <w:pPr>
        <w:pStyle w:val="Parties"/>
        <w:rPr>
          <w:rFonts w:ascii="Times New Roman" w:hAnsi="Times New Roman"/>
          <w:b/>
          <w:bCs/>
        </w:rPr>
      </w:pPr>
      <w:r w:rsidRPr="00BA36B0">
        <w:rPr>
          <w:rFonts w:ascii="Times New Roman" w:hAnsi="Times New Roman"/>
          <w:b/>
          <w:bCs/>
        </w:rPr>
        <w:t>and</w:t>
      </w:r>
    </w:p>
    <w:p w14:paraId="3615C710" w14:textId="77777777" w:rsidR="00FB4B7D" w:rsidRPr="00BA36B0" w:rsidRDefault="00FB4B7D" w:rsidP="00FB4B7D">
      <w:pPr>
        <w:pStyle w:val="Parties"/>
        <w:rPr>
          <w:rFonts w:ascii="Times New Roman" w:hAnsi="Times New Roman"/>
          <w:b/>
          <w:bCs/>
        </w:rPr>
      </w:pPr>
    </w:p>
    <w:p w14:paraId="7C826FC0" w14:textId="77777777" w:rsidR="00FB4B7D" w:rsidRPr="00BA36B0" w:rsidRDefault="00FB4B7D" w:rsidP="00FB4B7D">
      <w:pPr>
        <w:pStyle w:val="Parties"/>
        <w:rPr>
          <w:rFonts w:ascii="Times New Roman" w:hAnsi="Times New Roman"/>
          <w:b/>
          <w:bCs/>
        </w:rPr>
      </w:pPr>
    </w:p>
    <w:p w14:paraId="330608C5" w14:textId="77777777" w:rsidR="00FB4B7D" w:rsidRPr="00BA36B0" w:rsidRDefault="00FB4B7D" w:rsidP="00FB4B7D">
      <w:pPr>
        <w:pStyle w:val="Parties"/>
        <w:rPr>
          <w:rFonts w:ascii="Times New Roman" w:hAnsi="Times New Roman"/>
          <w:b/>
          <w:bCs/>
        </w:rPr>
      </w:pPr>
    </w:p>
    <w:p w14:paraId="098B3653" w14:textId="77777777" w:rsidR="00FB4B7D" w:rsidRPr="00BA36B0" w:rsidRDefault="00FB4B7D" w:rsidP="00FB4B7D">
      <w:pPr>
        <w:pStyle w:val="Parties"/>
        <w:rPr>
          <w:rFonts w:ascii="Times New Roman" w:hAnsi="Times New Roman"/>
          <w:b/>
          <w:bCs/>
        </w:rPr>
      </w:pPr>
      <w:r w:rsidRPr="00BA36B0">
        <w:rPr>
          <w:rFonts w:ascii="Times New Roman" w:hAnsi="Times New Roman"/>
          <w:b/>
          <w:bCs/>
        </w:rPr>
        <w:t>AZWINDINI ZELDA MALANGE</w:t>
      </w:r>
      <w:r w:rsidRPr="00BA36B0">
        <w:rPr>
          <w:rFonts w:ascii="Times New Roman" w:hAnsi="Times New Roman"/>
          <w:b/>
          <w:bCs/>
        </w:rPr>
        <w:tab/>
        <w:t>Respondent</w:t>
      </w:r>
    </w:p>
    <w:p w14:paraId="3CAFCFF1" w14:textId="77777777" w:rsidR="00FB4B7D" w:rsidRPr="00BA36B0" w:rsidRDefault="00FB4B7D" w:rsidP="00FB4B7D">
      <w:pPr>
        <w:pStyle w:val="Parties"/>
        <w:rPr>
          <w:rFonts w:ascii="Times New Roman" w:hAnsi="Times New Roman"/>
          <w:b/>
          <w:bCs/>
        </w:rPr>
      </w:pPr>
    </w:p>
    <w:p w14:paraId="3FC91676" w14:textId="77777777" w:rsidR="00FB4B7D" w:rsidRPr="00BA36B0" w:rsidRDefault="00FB4B7D" w:rsidP="00FB4B7D">
      <w:pPr>
        <w:rPr>
          <w:rFonts w:ascii="Times New Roman" w:hAnsi="Times New Roman"/>
          <w:b/>
          <w:bCs/>
        </w:rPr>
      </w:pPr>
    </w:p>
    <w:p w14:paraId="206F7267" w14:textId="3931EBC3" w:rsidR="00FB4B7D" w:rsidRPr="00BA36B0" w:rsidRDefault="00FB4B7D" w:rsidP="00FB4B7D">
      <w:pPr>
        <w:pStyle w:val="Tramlinescentred"/>
        <w:rPr>
          <w:rFonts w:ascii="Times New Roman" w:hAnsi="Times New Roman"/>
        </w:rPr>
      </w:pPr>
      <w:r w:rsidRPr="00BA36B0">
        <w:rPr>
          <w:rFonts w:ascii="Times New Roman" w:hAnsi="Times New Roman"/>
        </w:rPr>
        <w:t>JUDGMENT: APPLICATION FOR LEAVE TO APPEAL</w:t>
      </w:r>
    </w:p>
    <w:p w14:paraId="6E84A278" w14:textId="77777777" w:rsidR="00FB4B7D" w:rsidRPr="00BA36B0" w:rsidRDefault="00FB4B7D" w:rsidP="00FB4B7D">
      <w:pPr>
        <w:pStyle w:val="WLGLevel1"/>
        <w:numPr>
          <w:ilvl w:val="0"/>
          <w:numId w:val="0"/>
        </w:numPr>
        <w:ind w:left="562" w:hanging="562"/>
        <w:rPr>
          <w:rFonts w:ascii="Times New Roman" w:hAnsi="Times New Roman"/>
        </w:rPr>
      </w:pPr>
      <w:r w:rsidRPr="00BA36B0">
        <w:rPr>
          <w:rFonts w:ascii="Times New Roman" w:hAnsi="Times New Roman"/>
        </w:rPr>
        <w:t>FRIEDMAN AJ:</w:t>
      </w:r>
    </w:p>
    <w:p w14:paraId="2F4DAD4F" w14:textId="0265D984" w:rsidR="00336410" w:rsidRPr="00BA36B0" w:rsidRDefault="00336410" w:rsidP="00336410">
      <w:pPr>
        <w:pStyle w:val="WLGLevel1"/>
        <w:rPr>
          <w:rFonts w:ascii="Times New Roman" w:hAnsi="Times New Roman"/>
        </w:rPr>
      </w:pPr>
      <w:r w:rsidRPr="00BA36B0">
        <w:rPr>
          <w:rFonts w:ascii="Times New Roman" w:hAnsi="Times New Roman"/>
        </w:rPr>
        <w:t xml:space="preserve">This is an application for leave to appeal my judgment and order of 5 July 2023 </w:t>
      </w:r>
      <w:r w:rsidR="00B80053" w:rsidRPr="00BA36B0">
        <w:rPr>
          <w:rFonts w:ascii="Times New Roman" w:hAnsi="Times New Roman"/>
        </w:rPr>
        <w:t>(“</w:t>
      </w:r>
      <w:r w:rsidR="00B80053" w:rsidRPr="00AD03CC">
        <w:rPr>
          <w:rFonts w:ascii="Times New Roman" w:hAnsi="Times New Roman"/>
          <w:b/>
          <w:bCs/>
        </w:rPr>
        <w:t>the merits judgment</w:t>
      </w:r>
      <w:r w:rsidR="00B80053" w:rsidRPr="00BA36B0">
        <w:rPr>
          <w:rFonts w:ascii="Times New Roman" w:hAnsi="Times New Roman"/>
        </w:rPr>
        <w:t>”)</w:t>
      </w:r>
      <w:r w:rsidR="0047122C">
        <w:rPr>
          <w:rFonts w:ascii="Times New Roman" w:hAnsi="Times New Roman"/>
        </w:rPr>
        <w:t>,</w:t>
      </w:r>
      <w:r w:rsidR="00B80053" w:rsidRPr="00BA36B0">
        <w:rPr>
          <w:rFonts w:ascii="Times New Roman" w:hAnsi="Times New Roman"/>
        </w:rPr>
        <w:t xml:space="preserve"> </w:t>
      </w:r>
      <w:r w:rsidRPr="00BA36B0">
        <w:rPr>
          <w:rFonts w:ascii="Times New Roman" w:hAnsi="Times New Roman"/>
        </w:rPr>
        <w:t>in a dispute between the above-mentioned parties</w:t>
      </w:r>
      <w:r w:rsidR="0047122C">
        <w:rPr>
          <w:rFonts w:ascii="Times New Roman" w:hAnsi="Times New Roman"/>
        </w:rPr>
        <w:t>,</w:t>
      </w:r>
      <w:r w:rsidRPr="00BA36B0">
        <w:rPr>
          <w:rFonts w:ascii="Times New Roman" w:hAnsi="Times New Roman"/>
        </w:rPr>
        <w:t xml:space="preserve"> in which I ordered the respondent to pay to the applicant the sum of R307 044.50 </w:t>
      </w:r>
      <w:r w:rsidR="009D4773">
        <w:rPr>
          <w:rFonts w:ascii="Times New Roman" w:hAnsi="Times New Roman"/>
        </w:rPr>
        <w:t xml:space="preserve">and </w:t>
      </w:r>
      <w:r w:rsidR="00CD6329">
        <w:rPr>
          <w:rFonts w:ascii="Times New Roman" w:hAnsi="Times New Roman"/>
        </w:rPr>
        <w:t xml:space="preserve">gave </w:t>
      </w:r>
      <w:r w:rsidRPr="00BA36B0">
        <w:rPr>
          <w:rFonts w:ascii="Times New Roman" w:hAnsi="Times New Roman"/>
        </w:rPr>
        <w:t>ancillary relief.</w:t>
      </w:r>
      <w:r w:rsidR="00E8356D" w:rsidRPr="00BA36B0">
        <w:rPr>
          <w:rFonts w:ascii="Times New Roman" w:hAnsi="Times New Roman"/>
        </w:rPr>
        <w:t xml:space="preserve"> Although the respondent is now the applicant for leave, I shall below describe the parties as I did in the merits judgment – ie, when I refer to the respondent, I refer to the respondent in the initial proceedings before me.</w:t>
      </w:r>
    </w:p>
    <w:p w14:paraId="265976B4" w14:textId="322E76A4" w:rsidR="00336410" w:rsidRPr="004508B1" w:rsidRDefault="00C337B6" w:rsidP="0037434C">
      <w:pPr>
        <w:pStyle w:val="WLGLevel1"/>
        <w:rPr>
          <w:rFonts w:ascii="Times New Roman" w:hAnsi="Times New Roman"/>
          <w:szCs w:val="24"/>
        </w:rPr>
      </w:pPr>
      <w:r w:rsidRPr="004508B1">
        <w:rPr>
          <w:rFonts w:ascii="Times New Roman" w:hAnsi="Times New Roman"/>
          <w:szCs w:val="24"/>
        </w:rPr>
        <w:t xml:space="preserve">Other than to note that the dispute related to a building contract, I do not intend to </w:t>
      </w:r>
      <w:r w:rsidR="0037434C" w:rsidRPr="004508B1">
        <w:rPr>
          <w:rFonts w:ascii="Times New Roman" w:hAnsi="Times New Roman"/>
          <w:szCs w:val="24"/>
        </w:rPr>
        <w:t xml:space="preserve">repeat anything </w:t>
      </w:r>
      <w:r w:rsidR="00C440AC">
        <w:rPr>
          <w:rFonts w:ascii="Times New Roman" w:hAnsi="Times New Roman"/>
          <w:szCs w:val="24"/>
        </w:rPr>
        <w:t xml:space="preserve">in this judgment </w:t>
      </w:r>
      <w:r w:rsidR="0037434C" w:rsidRPr="004508B1">
        <w:rPr>
          <w:rFonts w:ascii="Times New Roman" w:hAnsi="Times New Roman"/>
          <w:szCs w:val="24"/>
        </w:rPr>
        <w:t xml:space="preserve">which I said in the </w:t>
      </w:r>
      <w:r w:rsidR="0048187D">
        <w:rPr>
          <w:rFonts w:ascii="Times New Roman" w:hAnsi="Times New Roman"/>
          <w:szCs w:val="24"/>
        </w:rPr>
        <w:t xml:space="preserve">merits </w:t>
      </w:r>
      <w:r w:rsidR="0037434C" w:rsidRPr="004508B1">
        <w:rPr>
          <w:rFonts w:ascii="Times New Roman" w:hAnsi="Times New Roman"/>
          <w:szCs w:val="24"/>
        </w:rPr>
        <w:t xml:space="preserve">judgment. I ask any reader sufficiently interested in this matter, to read the two together – the merits judgment is available at </w:t>
      </w:r>
      <w:r w:rsidR="0037434C" w:rsidRPr="004508B1">
        <w:rPr>
          <w:rFonts w:ascii="Times New Roman" w:hAnsi="Times New Roman"/>
          <w:color w:val="000000"/>
          <w:szCs w:val="24"/>
        </w:rPr>
        <w:t>2023 JDR 3727 (GJ) and [2023] JOL 61091 (GJ).</w:t>
      </w:r>
      <w:r w:rsidR="0037434C" w:rsidRPr="004508B1">
        <w:rPr>
          <w:rFonts w:ascii="Times New Roman" w:hAnsi="Times New Roman"/>
          <w:b/>
          <w:bCs/>
          <w:color w:val="000000"/>
          <w:szCs w:val="24"/>
        </w:rPr>
        <w:t xml:space="preserve"> </w:t>
      </w:r>
      <w:r w:rsidR="0037434C" w:rsidRPr="004508B1">
        <w:rPr>
          <w:rFonts w:ascii="Times New Roman" w:hAnsi="Times New Roman"/>
          <w:color w:val="000000"/>
          <w:szCs w:val="24"/>
        </w:rPr>
        <w:t>What I saw below will be meaningless without reference to that judgment.</w:t>
      </w:r>
    </w:p>
    <w:p w14:paraId="13382430" w14:textId="609FDDEC" w:rsidR="0037434C" w:rsidRPr="00BA36B0" w:rsidRDefault="0037434C" w:rsidP="0037434C">
      <w:pPr>
        <w:pStyle w:val="WLGLevel1"/>
        <w:rPr>
          <w:rFonts w:ascii="Times New Roman" w:hAnsi="Times New Roman"/>
        </w:rPr>
      </w:pPr>
      <w:r w:rsidRPr="00BA36B0">
        <w:rPr>
          <w:rFonts w:ascii="Times New Roman" w:hAnsi="Times New Roman"/>
        </w:rPr>
        <w:t xml:space="preserve">In her application for leave to appeal, the respondent </w:t>
      </w:r>
      <w:r w:rsidR="00AD03CC">
        <w:rPr>
          <w:rFonts w:ascii="Times New Roman" w:hAnsi="Times New Roman"/>
        </w:rPr>
        <w:t>relies on</w:t>
      </w:r>
      <w:r w:rsidRPr="00BA36B0">
        <w:rPr>
          <w:rFonts w:ascii="Times New Roman" w:hAnsi="Times New Roman"/>
        </w:rPr>
        <w:t xml:space="preserve"> the following grounds:</w:t>
      </w:r>
    </w:p>
    <w:p w14:paraId="0D22ADB8" w14:textId="3572C0B9" w:rsidR="0037434C" w:rsidRPr="00BA36B0" w:rsidRDefault="003A2252" w:rsidP="0037434C">
      <w:pPr>
        <w:pStyle w:val="WLGLevel2"/>
        <w:rPr>
          <w:rFonts w:ascii="Times New Roman" w:hAnsi="Times New Roman"/>
        </w:rPr>
      </w:pPr>
      <w:r w:rsidRPr="00BA36B0">
        <w:rPr>
          <w:rFonts w:ascii="Times New Roman" w:hAnsi="Times New Roman"/>
        </w:rPr>
        <w:lastRenderedPageBreak/>
        <w:t>I was wrong not to raise the arbitration clause of my own accord, and find that I lacked juri</w:t>
      </w:r>
      <w:r w:rsidR="001253AA" w:rsidRPr="00BA36B0">
        <w:rPr>
          <w:rFonts w:ascii="Times New Roman" w:hAnsi="Times New Roman"/>
        </w:rPr>
        <w:t>s</w:t>
      </w:r>
      <w:r w:rsidRPr="00BA36B0">
        <w:rPr>
          <w:rFonts w:ascii="Times New Roman" w:hAnsi="Times New Roman"/>
        </w:rPr>
        <w:t>d</w:t>
      </w:r>
      <w:r w:rsidR="001253AA" w:rsidRPr="00BA36B0">
        <w:rPr>
          <w:rFonts w:ascii="Times New Roman" w:hAnsi="Times New Roman"/>
        </w:rPr>
        <w:t>i</w:t>
      </w:r>
      <w:r w:rsidRPr="00BA36B0">
        <w:rPr>
          <w:rFonts w:ascii="Times New Roman" w:hAnsi="Times New Roman"/>
        </w:rPr>
        <w:t>ction because the parties had</w:t>
      </w:r>
      <w:r w:rsidR="00325C6F" w:rsidRPr="00BA36B0">
        <w:rPr>
          <w:rFonts w:ascii="Times New Roman" w:hAnsi="Times New Roman"/>
        </w:rPr>
        <w:t>, as reflected in that clause,</w:t>
      </w:r>
      <w:r w:rsidRPr="00BA36B0">
        <w:rPr>
          <w:rFonts w:ascii="Times New Roman" w:hAnsi="Times New Roman"/>
        </w:rPr>
        <w:t xml:space="preserve"> agreed to arbitration.</w:t>
      </w:r>
    </w:p>
    <w:p w14:paraId="7F605DB4" w14:textId="00B6F179" w:rsidR="003A2252" w:rsidRPr="00BA36B0" w:rsidRDefault="003A2252" w:rsidP="0037434C">
      <w:pPr>
        <w:pStyle w:val="WLGLevel2"/>
        <w:rPr>
          <w:rFonts w:ascii="Times New Roman" w:hAnsi="Times New Roman"/>
        </w:rPr>
      </w:pPr>
      <w:r w:rsidRPr="00BA36B0">
        <w:rPr>
          <w:rFonts w:ascii="Times New Roman" w:hAnsi="Times New Roman"/>
        </w:rPr>
        <w:t>I misdirected myself by finding that the respondent did not raise a “recognisable defence” to the applicant’s claim. (I pause to note that the nature of the defence or defences which the respondent says I ought to have recognised are not identified</w:t>
      </w:r>
      <w:r w:rsidR="00A27C6A" w:rsidRPr="00BA36B0">
        <w:rPr>
          <w:rFonts w:ascii="Times New Roman" w:hAnsi="Times New Roman"/>
        </w:rPr>
        <w:t xml:space="preserve"> in the application for leave to appeal</w:t>
      </w:r>
      <w:r w:rsidRPr="00BA36B0">
        <w:rPr>
          <w:rFonts w:ascii="Times New Roman" w:hAnsi="Times New Roman"/>
        </w:rPr>
        <w:t>.</w:t>
      </w:r>
      <w:r w:rsidR="00235B02">
        <w:rPr>
          <w:rFonts w:ascii="Times New Roman" w:hAnsi="Times New Roman"/>
        </w:rPr>
        <w:t xml:space="preserve"> However, </w:t>
      </w:r>
      <w:r w:rsidR="002C3134">
        <w:rPr>
          <w:rFonts w:ascii="Times New Roman" w:hAnsi="Times New Roman"/>
        </w:rPr>
        <w:t>from the</w:t>
      </w:r>
      <w:r w:rsidR="00235B02">
        <w:rPr>
          <w:rFonts w:ascii="Times New Roman" w:hAnsi="Times New Roman"/>
        </w:rPr>
        <w:t xml:space="preserve"> heads of argument filed the night before the hearing, it seems that the complaint is that I failed to recognise that the respondent had raised the defence of poor workmanship</w:t>
      </w:r>
      <w:r w:rsidR="00CA3236">
        <w:rPr>
          <w:rFonts w:ascii="Times New Roman" w:hAnsi="Times New Roman"/>
        </w:rPr>
        <w:t>.</w:t>
      </w:r>
      <w:r w:rsidRPr="00BA36B0">
        <w:rPr>
          <w:rFonts w:ascii="Times New Roman" w:hAnsi="Times New Roman"/>
        </w:rPr>
        <w:t>)</w:t>
      </w:r>
    </w:p>
    <w:p w14:paraId="7CF44EDC" w14:textId="76C48566" w:rsidR="003A2252" w:rsidRPr="00BA36B0" w:rsidRDefault="003A2252" w:rsidP="0037434C">
      <w:pPr>
        <w:pStyle w:val="WLGLevel2"/>
        <w:rPr>
          <w:rFonts w:ascii="Times New Roman" w:hAnsi="Times New Roman"/>
        </w:rPr>
      </w:pPr>
      <w:bookmarkStart w:id="1" w:name="_Ref149727994"/>
      <w:r w:rsidRPr="00BA36B0">
        <w:rPr>
          <w:rFonts w:ascii="Times New Roman" w:hAnsi="Times New Roman"/>
        </w:rPr>
        <w:t xml:space="preserve">I misdirected myself by finding that the respondent did not deny that she </w:t>
      </w:r>
      <w:r w:rsidR="00E431BC" w:rsidRPr="00BA36B0">
        <w:rPr>
          <w:rFonts w:ascii="Times New Roman" w:hAnsi="Times New Roman"/>
        </w:rPr>
        <w:t>failed to pay</w:t>
      </w:r>
      <w:r w:rsidRPr="00BA36B0">
        <w:rPr>
          <w:rFonts w:ascii="Times New Roman" w:hAnsi="Times New Roman"/>
        </w:rPr>
        <w:t xml:space="preserve"> the applicant the </w:t>
      </w:r>
      <w:r w:rsidR="006C4A05" w:rsidRPr="00BA36B0">
        <w:rPr>
          <w:rFonts w:ascii="Times New Roman" w:hAnsi="Times New Roman"/>
        </w:rPr>
        <w:t>R307 044.50</w:t>
      </w:r>
      <w:r w:rsidR="00AD03CC">
        <w:rPr>
          <w:rFonts w:ascii="Times New Roman" w:hAnsi="Times New Roman"/>
        </w:rPr>
        <w:t xml:space="preserve"> owed</w:t>
      </w:r>
      <w:r w:rsidRPr="00BA36B0">
        <w:rPr>
          <w:rFonts w:ascii="Times New Roman" w:hAnsi="Times New Roman"/>
        </w:rPr>
        <w:t xml:space="preserve">, because in fact the respondent did deny </w:t>
      </w:r>
      <w:r w:rsidR="00BF5675" w:rsidRPr="00BA36B0">
        <w:rPr>
          <w:rFonts w:ascii="Times New Roman" w:hAnsi="Times New Roman"/>
        </w:rPr>
        <w:t>this</w:t>
      </w:r>
      <w:r w:rsidRPr="00BA36B0">
        <w:rPr>
          <w:rFonts w:ascii="Times New Roman" w:hAnsi="Times New Roman"/>
        </w:rPr>
        <w:t xml:space="preserve"> in her answering affidavit</w:t>
      </w:r>
      <w:r w:rsidR="00997932" w:rsidRPr="00BA36B0">
        <w:rPr>
          <w:rFonts w:ascii="Times New Roman" w:hAnsi="Times New Roman"/>
        </w:rPr>
        <w:t xml:space="preserve"> (a reference is given to paragraph 9.5 of the answering affidavit)</w:t>
      </w:r>
      <w:r w:rsidRPr="00BA36B0">
        <w:rPr>
          <w:rFonts w:ascii="Times New Roman" w:hAnsi="Times New Roman"/>
        </w:rPr>
        <w:t>.</w:t>
      </w:r>
      <w:r w:rsidR="00E431BC" w:rsidRPr="00BA36B0">
        <w:rPr>
          <w:rFonts w:ascii="Times New Roman" w:hAnsi="Times New Roman"/>
        </w:rPr>
        <w:t xml:space="preserve"> This is a reference to my statement in paragraph </w:t>
      </w:r>
      <w:r w:rsidR="005E3AEA" w:rsidRPr="00BA36B0">
        <w:rPr>
          <w:rFonts w:ascii="Times New Roman" w:hAnsi="Times New Roman"/>
        </w:rPr>
        <w:t>8</w:t>
      </w:r>
      <w:r w:rsidR="00E431BC" w:rsidRPr="00BA36B0">
        <w:rPr>
          <w:rFonts w:ascii="Times New Roman" w:hAnsi="Times New Roman"/>
        </w:rPr>
        <w:t xml:space="preserve"> of the merits judgment.</w:t>
      </w:r>
      <w:bookmarkEnd w:id="1"/>
    </w:p>
    <w:p w14:paraId="552BAFD7" w14:textId="3B37BB3E" w:rsidR="003A2252" w:rsidRPr="00BA36B0" w:rsidRDefault="006C4A05" w:rsidP="0037434C">
      <w:pPr>
        <w:pStyle w:val="WLGLevel2"/>
        <w:rPr>
          <w:rFonts w:ascii="Times New Roman" w:hAnsi="Times New Roman"/>
        </w:rPr>
      </w:pPr>
      <w:r w:rsidRPr="00BA36B0">
        <w:rPr>
          <w:rFonts w:ascii="Times New Roman" w:hAnsi="Times New Roman"/>
        </w:rPr>
        <w:t>I was wrong to find that there were no genuine disputes of fact on the papers.</w:t>
      </w:r>
    </w:p>
    <w:p w14:paraId="65CCF741" w14:textId="794CAB83" w:rsidR="006C4A05" w:rsidRPr="00BA36B0" w:rsidRDefault="006C4A05" w:rsidP="0037434C">
      <w:pPr>
        <w:pStyle w:val="WLGLevel2"/>
        <w:rPr>
          <w:rFonts w:ascii="Times New Roman" w:hAnsi="Times New Roman"/>
        </w:rPr>
      </w:pPr>
      <w:r w:rsidRPr="00BA36B0">
        <w:rPr>
          <w:rFonts w:ascii="Times New Roman" w:hAnsi="Times New Roman"/>
        </w:rPr>
        <w:t>I was wrong to conclude that the respondent could not apply set-off to the applicant’s claim for the R307 044.50.</w:t>
      </w:r>
    </w:p>
    <w:p w14:paraId="523B4525" w14:textId="41C99AA5" w:rsidR="001253AA" w:rsidRPr="00BA36B0" w:rsidRDefault="00E33E05" w:rsidP="001253AA">
      <w:pPr>
        <w:pStyle w:val="WLGLevel1"/>
        <w:rPr>
          <w:rFonts w:ascii="Times New Roman" w:hAnsi="Times New Roman"/>
        </w:rPr>
      </w:pPr>
      <w:r w:rsidRPr="00BA36B0">
        <w:rPr>
          <w:rFonts w:ascii="Times New Roman" w:hAnsi="Times New Roman"/>
        </w:rPr>
        <w:t>In paragraphs 16 and 17 of the merits judgment, I summed up the findings which I made which went to the heart of the matter.</w:t>
      </w:r>
      <w:r w:rsidR="00440B18" w:rsidRPr="00BA36B0">
        <w:rPr>
          <w:rFonts w:ascii="Times New Roman" w:hAnsi="Times New Roman"/>
        </w:rPr>
        <w:t xml:space="preserve"> For completeness, and out of fairness to the respondent, I addressed her defences in some detail. But</w:t>
      </w:r>
      <w:r w:rsidR="004816DE" w:rsidRPr="00BA36B0">
        <w:rPr>
          <w:rFonts w:ascii="Times New Roman" w:hAnsi="Times New Roman"/>
        </w:rPr>
        <w:t>,</w:t>
      </w:r>
      <w:r w:rsidR="00440B18" w:rsidRPr="00BA36B0">
        <w:rPr>
          <w:rFonts w:ascii="Times New Roman" w:hAnsi="Times New Roman"/>
        </w:rPr>
        <w:t xml:space="preserve"> really</w:t>
      </w:r>
      <w:r w:rsidR="004816DE" w:rsidRPr="00BA36B0">
        <w:rPr>
          <w:rFonts w:ascii="Times New Roman" w:hAnsi="Times New Roman"/>
        </w:rPr>
        <w:t>,</w:t>
      </w:r>
      <w:r w:rsidR="00440B18" w:rsidRPr="00BA36B0">
        <w:rPr>
          <w:rFonts w:ascii="Times New Roman" w:hAnsi="Times New Roman"/>
        </w:rPr>
        <w:t xml:space="preserve"> no more is needed tha</w:t>
      </w:r>
      <w:r w:rsidR="00D205BE" w:rsidRPr="00BA36B0">
        <w:rPr>
          <w:rFonts w:ascii="Times New Roman" w:hAnsi="Times New Roman"/>
        </w:rPr>
        <w:t>n</w:t>
      </w:r>
      <w:r w:rsidR="00440B18" w:rsidRPr="00BA36B0">
        <w:rPr>
          <w:rFonts w:ascii="Times New Roman" w:hAnsi="Times New Roman"/>
        </w:rPr>
        <w:t xml:space="preserve"> to read paragraphs 16 and 17 of the merits judgment</w:t>
      </w:r>
      <w:r w:rsidR="00D205BE" w:rsidRPr="00BA36B0">
        <w:rPr>
          <w:rFonts w:ascii="Times New Roman" w:hAnsi="Times New Roman"/>
        </w:rPr>
        <w:t xml:space="preserve"> to see why I granted the relief </w:t>
      </w:r>
      <w:r w:rsidR="00D205BE" w:rsidRPr="00BA36B0">
        <w:rPr>
          <w:rFonts w:ascii="Times New Roman" w:hAnsi="Times New Roman"/>
        </w:rPr>
        <w:lastRenderedPageBreak/>
        <w:t>claimed by the applicant.</w:t>
      </w:r>
      <w:r w:rsidR="00800A0F">
        <w:rPr>
          <w:rFonts w:ascii="Times New Roman" w:hAnsi="Times New Roman"/>
        </w:rPr>
        <w:t xml:space="preserve"> </w:t>
      </w:r>
      <w:r w:rsidR="00B55C9F">
        <w:rPr>
          <w:rFonts w:ascii="Times New Roman" w:hAnsi="Times New Roman"/>
        </w:rPr>
        <w:t>Based on the reasoning in those paragraphs, I do not believe that there is a reasonable prospect of an appeal court making a different order to the one that I made</w:t>
      </w:r>
      <w:r w:rsidR="005F4585" w:rsidRPr="00BA36B0">
        <w:rPr>
          <w:rFonts w:ascii="Times New Roman" w:hAnsi="Times New Roman"/>
        </w:rPr>
        <w:t>.</w:t>
      </w:r>
    </w:p>
    <w:p w14:paraId="33F0F955" w14:textId="6980D968" w:rsidR="003F1F22" w:rsidRPr="00281A65" w:rsidRDefault="006014F3" w:rsidP="003F1F22">
      <w:pPr>
        <w:pStyle w:val="WLGLevel1"/>
        <w:rPr>
          <w:rFonts w:ascii="Times New Roman" w:hAnsi="Times New Roman"/>
        </w:rPr>
      </w:pPr>
      <w:r>
        <w:rPr>
          <w:rFonts w:ascii="Times New Roman" w:hAnsi="Times New Roman"/>
        </w:rPr>
        <w:t>My view in this regard is fortified</w:t>
      </w:r>
      <w:r w:rsidR="00D550F3" w:rsidRPr="00281A65">
        <w:rPr>
          <w:rFonts w:ascii="Times New Roman" w:hAnsi="Times New Roman"/>
        </w:rPr>
        <w:t xml:space="preserve"> </w:t>
      </w:r>
      <w:r>
        <w:rPr>
          <w:rFonts w:ascii="Times New Roman" w:hAnsi="Times New Roman"/>
        </w:rPr>
        <w:t xml:space="preserve">when </w:t>
      </w:r>
      <w:r w:rsidR="00A57DBA">
        <w:rPr>
          <w:rFonts w:ascii="Times New Roman" w:hAnsi="Times New Roman"/>
        </w:rPr>
        <w:t>t</w:t>
      </w:r>
      <w:r>
        <w:rPr>
          <w:rFonts w:ascii="Times New Roman" w:hAnsi="Times New Roman"/>
        </w:rPr>
        <w:t xml:space="preserve">he grounds </w:t>
      </w:r>
      <w:r w:rsidR="00D550F3" w:rsidRPr="00281A65">
        <w:rPr>
          <w:rFonts w:ascii="Times New Roman" w:hAnsi="Times New Roman"/>
        </w:rPr>
        <w:t>o</w:t>
      </w:r>
      <w:r w:rsidR="00210E73" w:rsidRPr="00281A65">
        <w:rPr>
          <w:rFonts w:ascii="Times New Roman" w:hAnsi="Times New Roman"/>
        </w:rPr>
        <w:t>n which the application for leave to appeal is based</w:t>
      </w:r>
      <w:r w:rsidR="00A57DBA">
        <w:rPr>
          <w:rFonts w:ascii="Times New Roman" w:hAnsi="Times New Roman"/>
        </w:rPr>
        <w:t xml:space="preserve"> are considered</w:t>
      </w:r>
      <w:r w:rsidR="00210E73" w:rsidRPr="00281A65">
        <w:rPr>
          <w:rFonts w:ascii="Times New Roman" w:hAnsi="Times New Roman"/>
        </w:rPr>
        <w:t xml:space="preserve">. </w:t>
      </w:r>
      <w:r w:rsidR="00817EF5" w:rsidRPr="00281A65">
        <w:rPr>
          <w:rFonts w:ascii="Times New Roman" w:hAnsi="Times New Roman"/>
        </w:rPr>
        <w:t xml:space="preserve">When I read </w:t>
      </w:r>
      <w:r w:rsidR="00C12719">
        <w:rPr>
          <w:rFonts w:ascii="Times New Roman" w:hAnsi="Times New Roman"/>
        </w:rPr>
        <w:t xml:space="preserve">the heads of argument prepared by </w:t>
      </w:r>
      <w:r w:rsidR="00817EF5" w:rsidRPr="00C12719">
        <w:rPr>
          <w:rFonts w:ascii="Times New Roman" w:hAnsi="Times New Roman"/>
          <w:i/>
          <w:iCs/>
        </w:rPr>
        <w:t>Mr Zwane</w:t>
      </w:r>
      <w:r w:rsidR="00C12719">
        <w:rPr>
          <w:rFonts w:ascii="Times New Roman" w:hAnsi="Times New Roman"/>
        </w:rPr>
        <w:t xml:space="preserve"> (who appeared for the respondent)</w:t>
      </w:r>
      <w:r w:rsidR="00281A65" w:rsidRPr="00281A65">
        <w:rPr>
          <w:rFonts w:ascii="Times New Roman" w:hAnsi="Times New Roman"/>
        </w:rPr>
        <w:t>, it seemed to me that t</w:t>
      </w:r>
      <w:r w:rsidR="00210E73" w:rsidRPr="00281A65">
        <w:rPr>
          <w:rFonts w:ascii="Times New Roman" w:hAnsi="Times New Roman"/>
        </w:rPr>
        <w:t>he two most important ones</w:t>
      </w:r>
      <w:r w:rsidR="00281A65" w:rsidRPr="00281A65">
        <w:rPr>
          <w:rFonts w:ascii="Times New Roman" w:hAnsi="Times New Roman"/>
        </w:rPr>
        <w:t>, requiring</w:t>
      </w:r>
      <w:r w:rsidR="00210E73" w:rsidRPr="00281A65">
        <w:rPr>
          <w:rFonts w:ascii="Times New Roman" w:hAnsi="Times New Roman"/>
        </w:rPr>
        <w:t xml:space="preserve"> proper consideration</w:t>
      </w:r>
      <w:r w:rsidR="00281A65" w:rsidRPr="00281A65">
        <w:rPr>
          <w:rFonts w:ascii="Times New Roman" w:hAnsi="Times New Roman"/>
        </w:rPr>
        <w:t>, were (a) t</w:t>
      </w:r>
      <w:r w:rsidR="003F1F22" w:rsidRPr="00281A65">
        <w:rPr>
          <w:rFonts w:ascii="Times New Roman" w:hAnsi="Times New Roman"/>
        </w:rPr>
        <w:t>he arbitration point</w:t>
      </w:r>
      <w:r w:rsidR="00281A65" w:rsidRPr="00281A65">
        <w:rPr>
          <w:rFonts w:ascii="Times New Roman" w:hAnsi="Times New Roman"/>
        </w:rPr>
        <w:t xml:space="preserve"> and (b) </w:t>
      </w:r>
      <w:r w:rsidR="00281A65">
        <w:rPr>
          <w:rFonts w:ascii="Times New Roman" w:hAnsi="Times New Roman"/>
        </w:rPr>
        <w:t>t</w:t>
      </w:r>
      <w:r w:rsidR="003F1F22" w:rsidRPr="00281A65">
        <w:rPr>
          <w:rFonts w:ascii="Times New Roman" w:hAnsi="Times New Roman"/>
        </w:rPr>
        <w:t>he dispute</w:t>
      </w:r>
      <w:r w:rsidR="001E699A">
        <w:rPr>
          <w:rFonts w:ascii="Times New Roman" w:hAnsi="Times New Roman"/>
        </w:rPr>
        <w:t>-</w:t>
      </w:r>
      <w:r w:rsidR="003F1F22" w:rsidRPr="00281A65">
        <w:rPr>
          <w:rFonts w:ascii="Times New Roman" w:hAnsi="Times New Roman"/>
        </w:rPr>
        <w:t>of</w:t>
      </w:r>
      <w:r w:rsidR="001E699A">
        <w:rPr>
          <w:rFonts w:ascii="Times New Roman" w:hAnsi="Times New Roman"/>
        </w:rPr>
        <w:t>-</w:t>
      </w:r>
      <w:r w:rsidR="003F1F22" w:rsidRPr="00281A65">
        <w:rPr>
          <w:rFonts w:ascii="Times New Roman" w:hAnsi="Times New Roman"/>
        </w:rPr>
        <w:t>fact point.</w:t>
      </w:r>
      <w:r w:rsidR="00E219FC">
        <w:rPr>
          <w:rFonts w:ascii="Times New Roman" w:hAnsi="Times New Roman"/>
        </w:rPr>
        <w:t xml:space="preserve"> However, in oral argument </w:t>
      </w:r>
      <w:r w:rsidR="00E219FC" w:rsidRPr="00C12719">
        <w:rPr>
          <w:rFonts w:ascii="Times New Roman" w:hAnsi="Times New Roman"/>
          <w:i/>
          <w:iCs/>
        </w:rPr>
        <w:t>Mr Zwane</w:t>
      </w:r>
      <w:r w:rsidR="00E219FC">
        <w:rPr>
          <w:rFonts w:ascii="Times New Roman" w:hAnsi="Times New Roman"/>
        </w:rPr>
        <w:t xml:space="preserve"> did not press the dispute-of-fact point at all. I address it for completeness below.</w:t>
      </w:r>
    </w:p>
    <w:p w14:paraId="334EE2D7" w14:textId="6390A3AE" w:rsidR="003F1F22" w:rsidRPr="00BA36B0" w:rsidRDefault="000A7DB8" w:rsidP="003F1F22">
      <w:pPr>
        <w:pStyle w:val="WLGLevel1"/>
        <w:rPr>
          <w:rFonts w:ascii="Times New Roman" w:hAnsi="Times New Roman"/>
        </w:rPr>
      </w:pPr>
      <w:r w:rsidRPr="00BA36B0">
        <w:rPr>
          <w:rFonts w:ascii="Times New Roman" w:hAnsi="Times New Roman"/>
        </w:rPr>
        <w:t xml:space="preserve">On the arbitration clause: </w:t>
      </w:r>
      <w:r w:rsidR="00837BA0" w:rsidRPr="00BA36B0">
        <w:rPr>
          <w:rFonts w:ascii="Times New Roman" w:hAnsi="Times New Roman"/>
        </w:rPr>
        <w:t xml:space="preserve">the respondent clearly accepts that she did not object to this Court’s jurisdiction at any stage in the initial proceedings. This is why she </w:t>
      </w:r>
      <w:r w:rsidR="009A7CB4" w:rsidRPr="00BA36B0">
        <w:rPr>
          <w:rFonts w:ascii="Times New Roman" w:hAnsi="Times New Roman"/>
        </w:rPr>
        <w:t xml:space="preserve">frames the issue, in the application for leave to appeal, as a criticism of my failure to raise the point </w:t>
      </w:r>
      <w:r w:rsidR="009A7CB4" w:rsidRPr="00C615E2">
        <w:rPr>
          <w:rFonts w:ascii="Times New Roman" w:hAnsi="Times New Roman"/>
          <w:i/>
          <w:iCs/>
        </w:rPr>
        <w:t>mero motu</w:t>
      </w:r>
      <w:r w:rsidR="002F2E0E" w:rsidRPr="00BA36B0">
        <w:rPr>
          <w:rFonts w:ascii="Times New Roman" w:hAnsi="Times New Roman"/>
        </w:rPr>
        <w:t xml:space="preserve"> – ie, of my own accord</w:t>
      </w:r>
      <w:r w:rsidR="009A7CB4" w:rsidRPr="00BA36B0">
        <w:rPr>
          <w:rFonts w:ascii="Times New Roman" w:hAnsi="Times New Roman"/>
        </w:rPr>
        <w:t xml:space="preserve">. </w:t>
      </w:r>
    </w:p>
    <w:p w14:paraId="4039C79B" w14:textId="6DDC0972" w:rsidR="00917FC2" w:rsidRPr="00BA36B0" w:rsidRDefault="00917FC2" w:rsidP="003F1F22">
      <w:pPr>
        <w:pStyle w:val="WLGLevel1"/>
        <w:rPr>
          <w:rFonts w:ascii="Times New Roman" w:hAnsi="Times New Roman"/>
        </w:rPr>
      </w:pPr>
      <w:r w:rsidRPr="00BA36B0">
        <w:rPr>
          <w:rFonts w:ascii="Times New Roman" w:hAnsi="Times New Roman"/>
        </w:rPr>
        <w:t xml:space="preserve">In the merits judgment (see paragraph </w:t>
      </w:r>
      <w:r w:rsidR="00B13956" w:rsidRPr="00BA36B0">
        <w:rPr>
          <w:rFonts w:ascii="Times New Roman" w:hAnsi="Times New Roman"/>
        </w:rPr>
        <w:t>36</w:t>
      </w:r>
      <w:r w:rsidRPr="00BA36B0">
        <w:rPr>
          <w:rFonts w:ascii="Times New Roman" w:hAnsi="Times New Roman"/>
        </w:rPr>
        <w:t xml:space="preserve"> footnote</w:t>
      </w:r>
      <w:r w:rsidR="00504E05" w:rsidRPr="00BA36B0">
        <w:rPr>
          <w:rFonts w:ascii="Times New Roman" w:hAnsi="Times New Roman"/>
        </w:rPr>
        <w:t xml:space="preserve"> 6</w:t>
      </w:r>
      <w:r w:rsidRPr="00BA36B0">
        <w:rPr>
          <w:rFonts w:ascii="Times New Roman" w:hAnsi="Times New Roman"/>
        </w:rPr>
        <w:t xml:space="preserve">) I gave </w:t>
      </w:r>
      <w:r w:rsidR="00504E05" w:rsidRPr="00BA36B0">
        <w:rPr>
          <w:rFonts w:ascii="Times New Roman" w:hAnsi="Times New Roman"/>
        </w:rPr>
        <w:t xml:space="preserve">authority for what is now a trite proposition that </w:t>
      </w:r>
      <w:r w:rsidR="00177A2D" w:rsidRPr="00BA36B0">
        <w:rPr>
          <w:rFonts w:ascii="Times New Roman" w:hAnsi="Times New Roman"/>
        </w:rPr>
        <w:t xml:space="preserve">a claim of </w:t>
      </w:r>
      <w:r w:rsidR="00504E05" w:rsidRPr="00BA36B0">
        <w:rPr>
          <w:rFonts w:ascii="Times New Roman" w:hAnsi="Times New Roman"/>
        </w:rPr>
        <w:t>absence of jurisdiction</w:t>
      </w:r>
      <w:r w:rsidR="00177A2D" w:rsidRPr="00BA36B0">
        <w:rPr>
          <w:rFonts w:ascii="Times New Roman" w:hAnsi="Times New Roman"/>
        </w:rPr>
        <w:t>, based on</w:t>
      </w:r>
      <w:r w:rsidR="00504E05" w:rsidRPr="00BA36B0">
        <w:rPr>
          <w:rFonts w:ascii="Times New Roman" w:hAnsi="Times New Roman"/>
        </w:rPr>
        <w:t xml:space="preserve"> an arbitration clause</w:t>
      </w:r>
      <w:r w:rsidR="00177A2D" w:rsidRPr="00BA36B0">
        <w:rPr>
          <w:rFonts w:ascii="Times New Roman" w:hAnsi="Times New Roman"/>
        </w:rPr>
        <w:t>,</w:t>
      </w:r>
      <w:r w:rsidR="00504E05" w:rsidRPr="00BA36B0">
        <w:rPr>
          <w:rFonts w:ascii="Times New Roman" w:hAnsi="Times New Roman"/>
        </w:rPr>
        <w:t xml:space="preserve"> </w:t>
      </w:r>
      <w:r w:rsidR="00576AC2">
        <w:rPr>
          <w:rFonts w:ascii="Times New Roman" w:hAnsi="Times New Roman"/>
        </w:rPr>
        <w:t>must</w:t>
      </w:r>
      <w:r w:rsidR="00504E05" w:rsidRPr="00BA36B0">
        <w:rPr>
          <w:rFonts w:ascii="Times New Roman" w:hAnsi="Times New Roman"/>
        </w:rPr>
        <w:t xml:space="preserve"> be </w:t>
      </w:r>
      <w:r w:rsidR="00576AC2">
        <w:rPr>
          <w:rFonts w:ascii="Times New Roman" w:hAnsi="Times New Roman"/>
        </w:rPr>
        <w:t>pleaded</w:t>
      </w:r>
      <w:r w:rsidR="00504E05" w:rsidRPr="00BA36B0">
        <w:rPr>
          <w:rFonts w:ascii="Times New Roman" w:hAnsi="Times New Roman"/>
        </w:rPr>
        <w:t>.</w:t>
      </w:r>
      <w:r w:rsidR="00755C47" w:rsidRPr="00BA36B0">
        <w:rPr>
          <w:rFonts w:ascii="Times New Roman" w:hAnsi="Times New Roman"/>
        </w:rPr>
        <w:t xml:space="preserve"> I asked </w:t>
      </w:r>
      <w:r w:rsidR="00755C47" w:rsidRPr="00C12719">
        <w:rPr>
          <w:rFonts w:ascii="Times New Roman" w:hAnsi="Times New Roman"/>
          <w:i/>
          <w:iCs/>
        </w:rPr>
        <w:t>Mr Zwane</w:t>
      </w:r>
      <w:r w:rsidR="00755C47" w:rsidRPr="00BA36B0">
        <w:rPr>
          <w:rFonts w:ascii="Times New Roman" w:hAnsi="Times New Roman"/>
        </w:rPr>
        <w:t xml:space="preserve"> in argument if he could point me to any authority for the view that a court could raise this point </w:t>
      </w:r>
      <w:r w:rsidR="00755C47" w:rsidRPr="000028F8">
        <w:rPr>
          <w:rFonts w:ascii="Times New Roman" w:hAnsi="Times New Roman"/>
          <w:i/>
          <w:iCs/>
        </w:rPr>
        <w:t>mero motu</w:t>
      </w:r>
      <w:r w:rsidR="00755C47" w:rsidRPr="00BA36B0">
        <w:rPr>
          <w:rFonts w:ascii="Times New Roman" w:hAnsi="Times New Roman"/>
        </w:rPr>
        <w:t>. He could not do so. This is unsurprising to me because there are, in my respectful view, important philos</w:t>
      </w:r>
      <w:r w:rsidR="000C1E50" w:rsidRPr="00BA36B0">
        <w:rPr>
          <w:rFonts w:ascii="Times New Roman" w:hAnsi="Times New Roman"/>
        </w:rPr>
        <w:t>ophical reas</w:t>
      </w:r>
      <w:r w:rsidR="00AA2396" w:rsidRPr="00BA36B0">
        <w:rPr>
          <w:rFonts w:ascii="Times New Roman" w:hAnsi="Times New Roman"/>
        </w:rPr>
        <w:t>on</w:t>
      </w:r>
      <w:r w:rsidR="00A52DA4">
        <w:rPr>
          <w:rFonts w:ascii="Times New Roman" w:hAnsi="Times New Roman"/>
        </w:rPr>
        <w:t>s</w:t>
      </w:r>
      <w:r w:rsidR="00AA2396" w:rsidRPr="00BA36B0">
        <w:rPr>
          <w:rFonts w:ascii="Times New Roman" w:hAnsi="Times New Roman"/>
        </w:rPr>
        <w:t xml:space="preserve"> for the principles which I highlighted in paragraphs </w:t>
      </w:r>
      <w:r w:rsidR="004E728C" w:rsidRPr="00BA36B0">
        <w:rPr>
          <w:rFonts w:ascii="Times New Roman" w:hAnsi="Times New Roman"/>
        </w:rPr>
        <w:t xml:space="preserve">35 to 37 of the merits judgment. </w:t>
      </w:r>
      <w:r w:rsidR="00CA082A" w:rsidRPr="00BA36B0">
        <w:rPr>
          <w:rFonts w:ascii="Times New Roman" w:hAnsi="Times New Roman"/>
        </w:rPr>
        <w:t xml:space="preserve">It is a fundamental principle of our law of contract that parties have an election as to whether to rely on contractual rights. This is </w:t>
      </w:r>
      <w:r w:rsidR="007F2BCC" w:rsidRPr="00BA36B0">
        <w:rPr>
          <w:rFonts w:ascii="Times New Roman" w:hAnsi="Times New Roman"/>
        </w:rPr>
        <w:t xml:space="preserve">entirely uncontroversial and requires no elaboration. Once it is </w:t>
      </w:r>
      <w:r w:rsidR="00221DE8" w:rsidRPr="00BA36B0">
        <w:rPr>
          <w:rFonts w:ascii="Times New Roman" w:hAnsi="Times New Roman"/>
        </w:rPr>
        <w:t>a</w:t>
      </w:r>
      <w:r w:rsidR="007F2BCC" w:rsidRPr="00BA36B0">
        <w:rPr>
          <w:rFonts w:ascii="Times New Roman" w:hAnsi="Times New Roman"/>
        </w:rPr>
        <w:t xml:space="preserve">ccepted, then it cannot possibly be appropriate for a court to </w:t>
      </w:r>
      <w:r w:rsidR="007F2BCC" w:rsidRPr="00BA36B0">
        <w:rPr>
          <w:rFonts w:ascii="Times New Roman" w:hAnsi="Times New Roman"/>
        </w:rPr>
        <w:lastRenderedPageBreak/>
        <w:t xml:space="preserve">raise </w:t>
      </w:r>
      <w:r w:rsidR="00221DE8" w:rsidRPr="00BA36B0">
        <w:rPr>
          <w:rFonts w:ascii="Times New Roman" w:hAnsi="Times New Roman"/>
        </w:rPr>
        <w:t xml:space="preserve">an arbitration clause </w:t>
      </w:r>
      <w:r w:rsidR="00221DE8" w:rsidRPr="00D33C9A">
        <w:rPr>
          <w:rFonts w:ascii="Times New Roman" w:hAnsi="Times New Roman"/>
          <w:i/>
          <w:iCs/>
        </w:rPr>
        <w:t>mero motu</w:t>
      </w:r>
      <w:r w:rsidR="00221DE8" w:rsidRPr="00BA36B0">
        <w:rPr>
          <w:rFonts w:ascii="Times New Roman" w:hAnsi="Times New Roman"/>
        </w:rPr>
        <w:t xml:space="preserve">. </w:t>
      </w:r>
      <w:r w:rsidR="009F2A6B" w:rsidRPr="00BA36B0">
        <w:rPr>
          <w:rFonts w:ascii="Times New Roman" w:hAnsi="Times New Roman"/>
        </w:rPr>
        <w:t xml:space="preserve">An arbitration clause is no different to any other contractual right </w:t>
      </w:r>
      <w:r w:rsidR="005627E2" w:rsidRPr="00BA36B0">
        <w:rPr>
          <w:rFonts w:ascii="Times New Roman" w:hAnsi="Times New Roman"/>
        </w:rPr>
        <w:t>and therefore a party may elect not to exercise a right to arbitration just like any other</w:t>
      </w:r>
      <w:r w:rsidR="005C794A">
        <w:rPr>
          <w:rFonts w:ascii="Times New Roman" w:hAnsi="Times New Roman"/>
        </w:rPr>
        <w:t xml:space="preserve"> contractual </w:t>
      </w:r>
      <w:r w:rsidR="005627E2" w:rsidRPr="00BA36B0">
        <w:rPr>
          <w:rFonts w:ascii="Times New Roman" w:hAnsi="Times New Roman"/>
        </w:rPr>
        <w:t>right.</w:t>
      </w:r>
      <w:r w:rsidR="0041440D" w:rsidRPr="00BA36B0">
        <w:rPr>
          <w:rFonts w:ascii="Times New Roman" w:hAnsi="Times New Roman"/>
        </w:rPr>
        <w:t xml:space="preserve"> </w:t>
      </w:r>
      <w:r w:rsidR="00BD4633" w:rsidRPr="00BA36B0">
        <w:rPr>
          <w:rFonts w:ascii="Times New Roman" w:hAnsi="Times New Roman"/>
        </w:rPr>
        <w:t xml:space="preserve">So for a court to raise the issue </w:t>
      </w:r>
      <w:r w:rsidR="00BD4633" w:rsidRPr="008E19A9">
        <w:rPr>
          <w:rFonts w:ascii="Times New Roman" w:hAnsi="Times New Roman"/>
          <w:i/>
          <w:iCs/>
        </w:rPr>
        <w:t>mero motu</w:t>
      </w:r>
      <w:r w:rsidR="00BD4633" w:rsidRPr="00BA36B0">
        <w:rPr>
          <w:rFonts w:ascii="Times New Roman" w:hAnsi="Times New Roman"/>
        </w:rPr>
        <w:t xml:space="preserve"> and, as suggested by the respondent, decline to exercise jurisdiction even where </w:t>
      </w:r>
      <w:r w:rsidR="00BB344C">
        <w:rPr>
          <w:rFonts w:ascii="Times New Roman" w:hAnsi="Times New Roman"/>
        </w:rPr>
        <w:t xml:space="preserve">a respondent has </w:t>
      </w:r>
      <w:r w:rsidR="00BD4633" w:rsidRPr="00BA36B0">
        <w:rPr>
          <w:rFonts w:ascii="Times New Roman" w:hAnsi="Times New Roman"/>
        </w:rPr>
        <w:t xml:space="preserve">elected </w:t>
      </w:r>
      <w:r w:rsidR="002C7923">
        <w:rPr>
          <w:rFonts w:ascii="Times New Roman" w:hAnsi="Times New Roman"/>
        </w:rPr>
        <w:t xml:space="preserve">not </w:t>
      </w:r>
      <w:r w:rsidR="00BD4633" w:rsidRPr="00BA36B0">
        <w:rPr>
          <w:rFonts w:ascii="Times New Roman" w:hAnsi="Times New Roman"/>
        </w:rPr>
        <w:t>to rely on this right, would essentially be to bypass</w:t>
      </w:r>
      <w:r w:rsidR="009F5B5E" w:rsidRPr="00BA36B0">
        <w:rPr>
          <w:rFonts w:ascii="Times New Roman" w:hAnsi="Times New Roman"/>
        </w:rPr>
        <w:t xml:space="preserve"> </w:t>
      </w:r>
      <w:r w:rsidR="002C7923">
        <w:rPr>
          <w:rFonts w:ascii="Times New Roman" w:hAnsi="Times New Roman"/>
        </w:rPr>
        <w:t>the respondent’s choice</w:t>
      </w:r>
      <w:r w:rsidR="009F5B5E" w:rsidRPr="00BA36B0">
        <w:rPr>
          <w:rFonts w:ascii="Times New Roman" w:hAnsi="Times New Roman"/>
        </w:rPr>
        <w:t>.</w:t>
      </w:r>
      <w:r w:rsidR="00F77C59">
        <w:rPr>
          <w:rFonts w:ascii="Times New Roman" w:hAnsi="Times New Roman"/>
        </w:rPr>
        <w:t xml:space="preserve"> It should be self-evident that, having conveyed (by his or her conduct</w:t>
      </w:r>
      <w:r w:rsidR="00AD03CC">
        <w:rPr>
          <w:rFonts w:ascii="Times New Roman" w:hAnsi="Times New Roman"/>
        </w:rPr>
        <w:t xml:space="preserve"> and silence</w:t>
      </w:r>
      <w:r w:rsidR="00F77C59">
        <w:rPr>
          <w:rFonts w:ascii="Times New Roman" w:hAnsi="Times New Roman"/>
        </w:rPr>
        <w:t>) an inte</w:t>
      </w:r>
      <w:r w:rsidR="00AD63AE">
        <w:rPr>
          <w:rFonts w:ascii="Times New Roman" w:hAnsi="Times New Roman"/>
        </w:rPr>
        <w:t>n</w:t>
      </w:r>
      <w:r w:rsidR="00F77C59">
        <w:rPr>
          <w:rFonts w:ascii="Times New Roman" w:hAnsi="Times New Roman"/>
        </w:rPr>
        <w:t>tion to waive reliance on an arbitration clause</w:t>
      </w:r>
      <w:r w:rsidR="00A815A3">
        <w:rPr>
          <w:rFonts w:ascii="Times New Roman" w:hAnsi="Times New Roman"/>
        </w:rPr>
        <w:t xml:space="preserve"> by participating fully in High Court proceedings without objection, it would be inappropriate to allow a respondent to rely on an arbitration clause on appeal.</w:t>
      </w:r>
      <w:r w:rsidR="00AD63AE">
        <w:rPr>
          <w:rFonts w:ascii="Times New Roman" w:hAnsi="Times New Roman"/>
        </w:rPr>
        <w:t xml:space="preserve"> Whether one frames this as waiver or </w:t>
      </w:r>
      <w:r w:rsidR="00AD03CC">
        <w:rPr>
          <w:rFonts w:ascii="Times New Roman" w:hAnsi="Times New Roman"/>
        </w:rPr>
        <w:t xml:space="preserve">voluntary </w:t>
      </w:r>
      <w:r w:rsidR="00AD63AE">
        <w:rPr>
          <w:rFonts w:ascii="Times New Roman" w:hAnsi="Times New Roman"/>
        </w:rPr>
        <w:t>submission to the Court’s jurisdiction is immaterial.</w:t>
      </w:r>
    </w:p>
    <w:p w14:paraId="1869B7D3" w14:textId="10540B32" w:rsidR="003F0C80" w:rsidRPr="00BA36B0" w:rsidRDefault="003F0C80" w:rsidP="003F1F22">
      <w:pPr>
        <w:pStyle w:val="WLGLevel1"/>
        <w:rPr>
          <w:rFonts w:ascii="Times New Roman" w:hAnsi="Times New Roman"/>
        </w:rPr>
      </w:pPr>
      <w:r w:rsidRPr="00BA36B0">
        <w:rPr>
          <w:rFonts w:ascii="Times New Roman" w:hAnsi="Times New Roman"/>
        </w:rPr>
        <w:t>On the supposed disputes of</w:t>
      </w:r>
      <w:r w:rsidR="00B51BFB" w:rsidRPr="00BA36B0">
        <w:rPr>
          <w:rFonts w:ascii="Times New Roman" w:hAnsi="Times New Roman"/>
        </w:rPr>
        <w:t xml:space="preserve"> </w:t>
      </w:r>
      <w:r w:rsidRPr="00BA36B0">
        <w:rPr>
          <w:rFonts w:ascii="Times New Roman" w:hAnsi="Times New Roman"/>
        </w:rPr>
        <w:t xml:space="preserve">fact: there is, with respect, simply no basis for the submission which the respondent advanced – both in the initial proceedings and </w:t>
      </w:r>
      <w:r w:rsidR="00BC2A07">
        <w:rPr>
          <w:rFonts w:ascii="Times New Roman" w:hAnsi="Times New Roman"/>
        </w:rPr>
        <w:t>in the heads of argument filed now</w:t>
      </w:r>
      <w:r w:rsidRPr="00BA36B0">
        <w:rPr>
          <w:rFonts w:ascii="Times New Roman" w:hAnsi="Times New Roman"/>
        </w:rPr>
        <w:t xml:space="preserve"> </w:t>
      </w:r>
      <w:r w:rsidR="00F650DE" w:rsidRPr="00BA36B0">
        <w:rPr>
          <w:rFonts w:ascii="Times New Roman" w:hAnsi="Times New Roman"/>
        </w:rPr>
        <w:t xml:space="preserve">– that there were genuine </w:t>
      </w:r>
      <w:r w:rsidR="00CB60B4" w:rsidRPr="00BA36B0">
        <w:rPr>
          <w:rFonts w:ascii="Times New Roman" w:hAnsi="Times New Roman"/>
        </w:rPr>
        <w:t>disputes of fact on any issues which would have constituted a defence to the applicant’s claim. I summarised (in paragraph 31 of the merits judgment) the facts which were the only disputed facts</w:t>
      </w:r>
      <w:r w:rsidR="00C52698" w:rsidRPr="00BA36B0">
        <w:rPr>
          <w:rFonts w:ascii="Times New Roman" w:hAnsi="Times New Roman"/>
        </w:rPr>
        <w:t xml:space="preserve"> on the papers before me.</w:t>
      </w:r>
      <w:r w:rsidR="00AF669D" w:rsidRPr="00BA36B0">
        <w:rPr>
          <w:rFonts w:ascii="Times New Roman" w:hAnsi="Times New Roman"/>
        </w:rPr>
        <w:t xml:space="preserve"> I then explained in paragraphs 33 and 34 of the merits judgment why, even if the respondent’s version of those facts w</w:t>
      </w:r>
      <w:r w:rsidR="00B45297" w:rsidRPr="00BA36B0">
        <w:rPr>
          <w:rFonts w:ascii="Times New Roman" w:hAnsi="Times New Roman"/>
        </w:rPr>
        <w:t>as</w:t>
      </w:r>
      <w:r w:rsidR="00AF669D" w:rsidRPr="00BA36B0">
        <w:rPr>
          <w:rFonts w:ascii="Times New Roman" w:hAnsi="Times New Roman"/>
        </w:rPr>
        <w:t xml:space="preserve"> correct, they would not disclose a valid defence to the applicant’s claim. If that is correct, then clearly the disputes were not material.</w:t>
      </w:r>
      <w:r w:rsidR="006C4480">
        <w:rPr>
          <w:rFonts w:ascii="Times New Roman" w:hAnsi="Times New Roman"/>
        </w:rPr>
        <w:t xml:space="preserve"> It is, for this reason, unsurprising to me that </w:t>
      </w:r>
      <w:r w:rsidR="006C4480" w:rsidRPr="006C4480">
        <w:rPr>
          <w:rFonts w:ascii="Times New Roman" w:hAnsi="Times New Roman"/>
          <w:i/>
          <w:iCs/>
        </w:rPr>
        <w:t>Mr Zwane</w:t>
      </w:r>
      <w:r w:rsidR="006C4480">
        <w:rPr>
          <w:rFonts w:ascii="Times New Roman" w:hAnsi="Times New Roman"/>
        </w:rPr>
        <w:t xml:space="preserve"> made no attempt to argue this point in the oral hearing.</w:t>
      </w:r>
    </w:p>
    <w:p w14:paraId="2F66EB8A" w14:textId="71584FDF" w:rsidR="00F35DA8" w:rsidRDefault="00F23C7C" w:rsidP="003F1F22">
      <w:pPr>
        <w:pStyle w:val="WLGLevel1"/>
        <w:rPr>
          <w:rFonts w:ascii="Times New Roman" w:hAnsi="Times New Roman"/>
        </w:rPr>
      </w:pPr>
      <w:bookmarkStart w:id="2" w:name="_Ref150407401"/>
      <w:r>
        <w:rPr>
          <w:rFonts w:ascii="Times New Roman" w:hAnsi="Times New Roman"/>
        </w:rPr>
        <w:t>Unlike the dispute-of-fact point</w:t>
      </w:r>
      <w:r w:rsidR="003F1F22" w:rsidRPr="00BA36B0">
        <w:rPr>
          <w:rFonts w:ascii="Times New Roman" w:hAnsi="Times New Roman"/>
        </w:rPr>
        <w:t xml:space="preserve">, </w:t>
      </w:r>
      <w:r w:rsidRPr="00C12719">
        <w:rPr>
          <w:rFonts w:ascii="Times New Roman" w:hAnsi="Times New Roman"/>
          <w:i/>
          <w:iCs/>
        </w:rPr>
        <w:t>Mr Zwane</w:t>
      </w:r>
      <w:r>
        <w:rPr>
          <w:rFonts w:ascii="Times New Roman" w:hAnsi="Times New Roman"/>
        </w:rPr>
        <w:t xml:space="preserve"> pressed the set-off point in argument. However, </w:t>
      </w:r>
      <w:r w:rsidR="00563EE5">
        <w:rPr>
          <w:rFonts w:ascii="Times New Roman" w:hAnsi="Times New Roman"/>
        </w:rPr>
        <w:t xml:space="preserve">the </w:t>
      </w:r>
      <w:r w:rsidR="003F1F22" w:rsidRPr="00BA36B0">
        <w:rPr>
          <w:rFonts w:ascii="Times New Roman" w:hAnsi="Times New Roman"/>
        </w:rPr>
        <w:t>argument is not sustainable and has no prospects of success on appeal.</w:t>
      </w:r>
      <w:r w:rsidR="00210E73" w:rsidRPr="00BA36B0">
        <w:rPr>
          <w:rFonts w:ascii="Times New Roman" w:hAnsi="Times New Roman"/>
        </w:rPr>
        <w:t xml:space="preserve"> </w:t>
      </w:r>
      <w:r w:rsidR="00685437" w:rsidRPr="00BA36B0">
        <w:rPr>
          <w:rFonts w:ascii="Times New Roman" w:hAnsi="Times New Roman"/>
        </w:rPr>
        <w:t>The reasoning in</w:t>
      </w:r>
      <w:r w:rsidR="00832513" w:rsidRPr="00BA36B0">
        <w:rPr>
          <w:rFonts w:ascii="Times New Roman" w:hAnsi="Times New Roman"/>
        </w:rPr>
        <w:t xml:space="preserve"> </w:t>
      </w:r>
      <w:r w:rsidR="00685437" w:rsidRPr="00BA36B0">
        <w:rPr>
          <w:rFonts w:ascii="Times New Roman" w:hAnsi="Times New Roman"/>
        </w:rPr>
        <w:t xml:space="preserve">relation to this issue appears in paragraphs 20 to 24 of the merits judgment. </w:t>
      </w:r>
      <w:r w:rsidR="00685437" w:rsidRPr="00BA36B0">
        <w:rPr>
          <w:rFonts w:ascii="Times New Roman" w:hAnsi="Times New Roman"/>
        </w:rPr>
        <w:lastRenderedPageBreak/>
        <w:t>It turns on the proper interpretation of the agreement. I do not believe that there is</w:t>
      </w:r>
      <w:r w:rsidR="00454C4A" w:rsidRPr="00BA36B0">
        <w:rPr>
          <w:rFonts w:ascii="Times New Roman" w:hAnsi="Times New Roman"/>
        </w:rPr>
        <w:t xml:space="preserve"> a reasonable prospect of an appeal Court interpreting the </w:t>
      </w:r>
      <w:r w:rsidR="00845AFD">
        <w:rPr>
          <w:rFonts w:ascii="Times New Roman" w:hAnsi="Times New Roman"/>
        </w:rPr>
        <w:t>building contract</w:t>
      </w:r>
      <w:r w:rsidR="00454C4A" w:rsidRPr="00BA36B0">
        <w:rPr>
          <w:rFonts w:ascii="Times New Roman" w:hAnsi="Times New Roman"/>
        </w:rPr>
        <w:t xml:space="preserve"> differently to what is reflected in paragraphs 20 to 24 of the merits judgment. </w:t>
      </w:r>
    </w:p>
    <w:p w14:paraId="26A5D915" w14:textId="033E4506" w:rsidR="00D550F3" w:rsidRDefault="00FA6566" w:rsidP="003F1F22">
      <w:pPr>
        <w:pStyle w:val="WLGLevel1"/>
        <w:rPr>
          <w:rFonts w:ascii="Times New Roman" w:hAnsi="Times New Roman"/>
        </w:rPr>
      </w:pPr>
      <w:r w:rsidRPr="00BA36B0">
        <w:rPr>
          <w:rFonts w:ascii="Times New Roman" w:hAnsi="Times New Roman"/>
        </w:rPr>
        <w:t>I have addressed above the topic of disputes of fact. In paragraph 31 of the merits judgment, I summarise</w:t>
      </w:r>
      <w:r w:rsidR="00AD03CC">
        <w:rPr>
          <w:rFonts w:ascii="Times New Roman" w:hAnsi="Times New Roman"/>
        </w:rPr>
        <w:t>d</w:t>
      </w:r>
      <w:r w:rsidRPr="00BA36B0">
        <w:rPr>
          <w:rFonts w:ascii="Times New Roman" w:hAnsi="Times New Roman"/>
        </w:rPr>
        <w:t xml:space="preserve"> the factual disputes which the respondent sought to characterise as material and which she contended precluded the applicant from obtaining the relief which it sought. As may be seen there, the respondent did not ever suggest in the initial </w:t>
      </w:r>
      <w:r w:rsidRPr="00092DA9">
        <w:rPr>
          <w:rFonts w:ascii="Times New Roman" w:hAnsi="Times New Roman"/>
        </w:rPr>
        <w:t>proceedings before me – or, indeed, even now – that there was any sort of factual dispute</w:t>
      </w:r>
      <w:r w:rsidRPr="00BA36B0">
        <w:rPr>
          <w:rFonts w:ascii="Times New Roman" w:hAnsi="Times New Roman"/>
        </w:rPr>
        <w:t xml:space="preserve"> in relation to the proper interpretation of the agreement. </w:t>
      </w:r>
      <w:r w:rsidR="00C76AA1">
        <w:rPr>
          <w:rFonts w:ascii="Times New Roman" w:hAnsi="Times New Roman"/>
        </w:rPr>
        <w:t>N</w:t>
      </w:r>
      <w:r w:rsidR="00AF380B" w:rsidRPr="00BA36B0">
        <w:rPr>
          <w:rFonts w:ascii="Times New Roman" w:hAnsi="Times New Roman"/>
        </w:rPr>
        <w:t xml:space="preserve">ow that the Constitutional </w:t>
      </w:r>
      <w:r w:rsidR="00290F8B" w:rsidRPr="00BA36B0">
        <w:rPr>
          <w:rFonts w:ascii="Times New Roman" w:hAnsi="Times New Roman"/>
        </w:rPr>
        <w:t xml:space="preserve">Court has made clear </w:t>
      </w:r>
      <w:r w:rsidR="00813BF7">
        <w:rPr>
          <w:rFonts w:ascii="Times New Roman" w:hAnsi="Times New Roman"/>
        </w:rPr>
        <w:t xml:space="preserve">in </w:t>
      </w:r>
      <w:r w:rsidR="00813BF7" w:rsidRPr="0099481B">
        <w:rPr>
          <w:rFonts w:ascii="Times New Roman" w:hAnsi="Times New Roman"/>
          <w:i/>
          <w:iCs/>
        </w:rPr>
        <w:t>University of Johannesburg</w:t>
      </w:r>
      <w:r w:rsidR="00813BF7">
        <w:rPr>
          <w:rFonts w:ascii="Times New Roman" w:hAnsi="Times New Roman"/>
        </w:rPr>
        <w:t xml:space="preserve"> </w:t>
      </w:r>
      <w:r w:rsidR="00290F8B" w:rsidRPr="00BA36B0">
        <w:rPr>
          <w:rFonts w:ascii="Times New Roman" w:hAnsi="Times New Roman"/>
        </w:rPr>
        <w:t xml:space="preserve">that evidence on interpretive issues is generally </w:t>
      </w:r>
      <w:r w:rsidR="0099481B">
        <w:rPr>
          <w:rFonts w:ascii="Times New Roman" w:hAnsi="Times New Roman"/>
        </w:rPr>
        <w:t>admissible</w:t>
      </w:r>
      <w:r w:rsidR="00290F8B" w:rsidRPr="00BA36B0">
        <w:rPr>
          <w:rFonts w:ascii="Times New Roman" w:hAnsi="Times New Roman"/>
        </w:rPr>
        <w:t>,</w:t>
      </w:r>
      <w:r w:rsidR="00290F8B" w:rsidRPr="00BA36B0">
        <w:rPr>
          <w:rStyle w:val="FootnoteReference"/>
          <w:rFonts w:ascii="Times New Roman" w:hAnsi="Times New Roman"/>
        </w:rPr>
        <w:footnoteReference w:id="1"/>
      </w:r>
      <w:r w:rsidR="00E52A15" w:rsidRPr="00BA36B0">
        <w:rPr>
          <w:rFonts w:ascii="Times New Roman" w:hAnsi="Times New Roman"/>
        </w:rPr>
        <w:t xml:space="preserve"> </w:t>
      </w:r>
      <w:r w:rsidR="00703746">
        <w:rPr>
          <w:rFonts w:ascii="Times New Roman" w:hAnsi="Times New Roman"/>
        </w:rPr>
        <w:t xml:space="preserve">it has to be accepted that </w:t>
      </w:r>
      <w:r w:rsidR="00E52A15" w:rsidRPr="00BA36B0">
        <w:rPr>
          <w:rFonts w:ascii="Times New Roman" w:hAnsi="Times New Roman"/>
        </w:rPr>
        <w:t xml:space="preserve">there </w:t>
      </w:r>
      <w:r w:rsidR="00703746">
        <w:rPr>
          <w:rFonts w:ascii="Times New Roman" w:hAnsi="Times New Roman"/>
        </w:rPr>
        <w:t>may</w:t>
      </w:r>
      <w:r w:rsidR="00E52A15" w:rsidRPr="00BA36B0">
        <w:rPr>
          <w:rFonts w:ascii="Times New Roman" w:hAnsi="Times New Roman"/>
        </w:rPr>
        <w:t xml:space="preserve"> be cases where a court </w:t>
      </w:r>
      <w:r w:rsidR="00E875A2">
        <w:rPr>
          <w:rFonts w:ascii="Times New Roman" w:hAnsi="Times New Roman"/>
        </w:rPr>
        <w:t>w</w:t>
      </w:r>
      <w:r w:rsidR="00E52A15" w:rsidRPr="00BA36B0">
        <w:rPr>
          <w:rFonts w:ascii="Times New Roman" w:hAnsi="Times New Roman"/>
        </w:rPr>
        <w:t xml:space="preserve">ould </w:t>
      </w:r>
      <w:r w:rsidR="00E875A2">
        <w:rPr>
          <w:rFonts w:ascii="Times New Roman" w:hAnsi="Times New Roman"/>
        </w:rPr>
        <w:t>be unable to</w:t>
      </w:r>
      <w:r w:rsidR="00E52A15" w:rsidRPr="00BA36B0">
        <w:rPr>
          <w:rFonts w:ascii="Times New Roman" w:hAnsi="Times New Roman"/>
        </w:rPr>
        <w:t xml:space="preserve"> resolve an interpretive issue on paper. But we should, in my respectful view, be careful not to interpret </w:t>
      </w:r>
      <w:r w:rsidR="00E52A15" w:rsidRPr="004D3E8E">
        <w:rPr>
          <w:rFonts w:ascii="Times New Roman" w:hAnsi="Times New Roman"/>
          <w:i/>
          <w:iCs/>
        </w:rPr>
        <w:t>University of Johannesburg</w:t>
      </w:r>
      <w:r w:rsidR="00E52A15" w:rsidRPr="00BA36B0">
        <w:rPr>
          <w:rFonts w:ascii="Times New Roman" w:hAnsi="Times New Roman"/>
        </w:rPr>
        <w:t xml:space="preserve"> to mean that all, or even most, interpretive issues </w:t>
      </w:r>
      <w:r w:rsidR="009D7F98">
        <w:rPr>
          <w:rFonts w:ascii="Times New Roman" w:hAnsi="Times New Roman"/>
        </w:rPr>
        <w:t>will turn on questions requiring</w:t>
      </w:r>
      <w:r w:rsidR="00E52A15" w:rsidRPr="00BA36B0">
        <w:rPr>
          <w:rFonts w:ascii="Times New Roman" w:hAnsi="Times New Roman"/>
        </w:rPr>
        <w:t xml:space="preserve"> evidence. </w:t>
      </w:r>
      <w:r w:rsidR="00C5177D" w:rsidRPr="00BA36B0">
        <w:rPr>
          <w:rFonts w:ascii="Times New Roman" w:hAnsi="Times New Roman"/>
        </w:rPr>
        <w:t xml:space="preserve">By saying that such evidence is </w:t>
      </w:r>
      <w:r w:rsidR="004D3E8E">
        <w:rPr>
          <w:rFonts w:ascii="Times New Roman" w:hAnsi="Times New Roman"/>
        </w:rPr>
        <w:t>generally (but not always) a</w:t>
      </w:r>
      <w:r w:rsidR="00C5177D" w:rsidRPr="00BA36B0">
        <w:rPr>
          <w:rFonts w:ascii="Times New Roman" w:hAnsi="Times New Roman"/>
        </w:rPr>
        <w:t>dmissible but may not be weighty,</w:t>
      </w:r>
      <w:r w:rsidR="005F42A6" w:rsidRPr="00BA36B0">
        <w:rPr>
          <w:rStyle w:val="FootnoteReference"/>
          <w:rFonts w:ascii="Times New Roman" w:hAnsi="Times New Roman"/>
        </w:rPr>
        <w:footnoteReference w:id="2"/>
      </w:r>
      <w:r w:rsidR="00C5177D" w:rsidRPr="00BA36B0">
        <w:rPr>
          <w:rFonts w:ascii="Times New Roman" w:hAnsi="Times New Roman"/>
        </w:rPr>
        <w:t xml:space="preserve"> the Constitutional Court has made that clear. So has the S</w:t>
      </w:r>
      <w:r w:rsidR="00647B56">
        <w:rPr>
          <w:rFonts w:ascii="Times New Roman" w:hAnsi="Times New Roman"/>
        </w:rPr>
        <w:t xml:space="preserve">upreme </w:t>
      </w:r>
      <w:r w:rsidR="00C5177D" w:rsidRPr="00BA36B0">
        <w:rPr>
          <w:rFonts w:ascii="Times New Roman" w:hAnsi="Times New Roman"/>
        </w:rPr>
        <w:t>C</w:t>
      </w:r>
      <w:r w:rsidR="00647B56">
        <w:rPr>
          <w:rFonts w:ascii="Times New Roman" w:hAnsi="Times New Roman"/>
        </w:rPr>
        <w:t xml:space="preserve">ourt of </w:t>
      </w:r>
      <w:r w:rsidR="00C5177D" w:rsidRPr="00BA36B0">
        <w:rPr>
          <w:rFonts w:ascii="Times New Roman" w:hAnsi="Times New Roman"/>
        </w:rPr>
        <w:t>A</w:t>
      </w:r>
      <w:r w:rsidR="00647B56">
        <w:rPr>
          <w:rFonts w:ascii="Times New Roman" w:hAnsi="Times New Roman"/>
        </w:rPr>
        <w:t>ppeal</w:t>
      </w:r>
      <w:r w:rsidR="00C5177D" w:rsidRPr="00BA36B0">
        <w:rPr>
          <w:rFonts w:ascii="Times New Roman" w:hAnsi="Times New Roman"/>
        </w:rPr>
        <w:t xml:space="preserve"> in </w:t>
      </w:r>
      <w:r w:rsidR="00C5177D" w:rsidRPr="00647B56">
        <w:rPr>
          <w:rFonts w:ascii="Times New Roman" w:hAnsi="Times New Roman"/>
          <w:i/>
          <w:iCs/>
        </w:rPr>
        <w:t>Coral Lagoon</w:t>
      </w:r>
      <w:r w:rsidR="00C5177D" w:rsidRPr="00BA36B0">
        <w:rPr>
          <w:rFonts w:ascii="Times New Roman" w:hAnsi="Times New Roman"/>
        </w:rPr>
        <w:t>.</w:t>
      </w:r>
      <w:r w:rsidR="005F42A6" w:rsidRPr="00BA36B0">
        <w:rPr>
          <w:rStyle w:val="FootnoteReference"/>
          <w:rFonts w:ascii="Times New Roman" w:hAnsi="Times New Roman"/>
        </w:rPr>
        <w:footnoteReference w:id="3"/>
      </w:r>
      <w:r w:rsidR="005F42A6" w:rsidRPr="00BA36B0">
        <w:rPr>
          <w:rFonts w:ascii="Times New Roman" w:hAnsi="Times New Roman"/>
        </w:rPr>
        <w:t xml:space="preserve"> </w:t>
      </w:r>
      <w:r w:rsidR="008854CB" w:rsidRPr="00BA36B0">
        <w:rPr>
          <w:rFonts w:ascii="Times New Roman" w:hAnsi="Times New Roman"/>
        </w:rPr>
        <w:t xml:space="preserve">It has never been suggested </w:t>
      </w:r>
      <w:r w:rsidR="00647B56">
        <w:rPr>
          <w:rFonts w:ascii="Times New Roman" w:hAnsi="Times New Roman"/>
        </w:rPr>
        <w:t xml:space="preserve">by the respondent </w:t>
      </w:r>
      <w:r w:rsidR="008854CB" w:rsidRPr="00BA36B0">
        <w:rPr>
          <w:rFonts w:ascii="Times New Roman" w:hAnsi="Times New Roman"/>
        </w:rPr>
        <w:t>that there could be any evi</w:t>
      </w:r>
      <w:r w:rsidR="00003C2B" w:rsidRPr="00BA36B0">
        <w:rPr>
          <w:rFonts w:ascii="Times New Roman" w:hAnsi="Times New Roman"/>
        </w:rPr>
        <w:t>d</w:t>
      </w:r>
      <w:r w:rsidR="008854CB" w:rsidRPr="00BA36B0">
        <w:rPr>
          <w:rFonts w:ascii="Times New Roman" w:hAnsi="Times New Roman"/>
        </w:rPr>
        <w:t xml:space="preserve">ence which would disturb my conclusions in paragraphs 20 to 24 </w:t>
      </w:r>
      <w:r w:rsidR="00431BE8" w:rsidRPr="00BA36B0">
        <w:rPr>
          <w:rFonts w:ascii="Times New Roman" w:hAnsi="Times New Roman"/>
        </w:rPr>
        <w:t xml:space="preserve">of the merits judgment and none occurs to me. In my view, if one leaves that question aside, there is no prospect of </w:t>
      </w:r>
      <w:r w:rsidR="00431BE8" w:rsidRPr="00BA36B0">
        <w:rPr>
          <w:rFonts w:ascii="Times New Roman" w:hAnsi="Times New Roman"/>
        </w:rPr>
        <w:lastRenderedPageBreak/>
        <w:t xml:space="preserve">another court reaching a conclusion which contradicts what I have said in those </w:t>
      </w:r>
      <w:r w:rsidR="00AA74AF" w:rsidRPr="00BA36B0">
        <w:rPr>
          <w:rFonts w:ascii="Times New Roman" w:hAnsi="Times New Roman"/>
        </w:rPr>
        <w:t>paragraphs.</w:t>
      </w:r>
      <w:bookmarkEnd w:id="2"/>
    </w:p>
    <w:p w14:paraId="3A756324" w14:textId="5988CED2" w:rsidR="0020761D" w:rsidRPr="00BA36B0" w:rsidRDefault="0020761D" w:rsidP="003F1F22">
      <w:pPr>
        <w:pStyle w:val="WLGLevel1"/>
        <w:rPr>
          <w:rFonts w:ascii="Times New Roman" w:hAnsi="Times New Roman"/>
        </w:rPr>
      </w:pPr>
      <w:r>
        <w:rPr>
          <w:rFonts w:ascii="Times New Roman" w:hAnsi="Times New Roman"/>
        </w:rPr>
        <w:t xml:space="preserve">I should add, for completeness, that in her heads of argument in the application for leave to appeal, the respondent sought to rely on the decision of the SCA in </w:t>
      </w:r>
      <w:r w:rsidRPr="00F71FC5">
        <w:rPr>
          <w:rFonts w:ascii="Times New Roman" w:hAnsi="Times New Roman"/>
          <w:i/>
          <w:iCs/>
        </w:rPr>
        <w:t xml:space="preserve">Blakes Maphanga Inc v Outsurance </w:t>
      </w:r>
      <w:r w:rsidR="004E2D87" w:rsidRPr="00F71FC5">
        <w:rPr>
          <w:rFonts w:ascii="Times New Roman" w:hAnsi="Times New Roman"/>
          <w:i/>
          <w:iCs/>
        </w:rPr>
        <w:t xml:space="preserve">Insurance Co Ltd </w:t>
      </w:r>
      <w:r w:rsidR="004E2D87">
        <w:rPr>
          <w:rFonts w:ascii="Times New Roman" w:hAnsi="Times New Roman"/>
        </w:rPr>
        <w:t>2010 (4) SA 232 (SCA) as authority for the propo</w:t>
      </w:r>
      <w:r w:rsidR="00453B07">
        <w:rPr>
          <w:rFonts w:ascii="Times New Roman" w:hAnsi="Times New Roman"/>
        </w:rPr>
        <w:t>si</w:t>
      </w:r>
      <w:r w:rsidR="004E2D87">
        <w:rPr>
          <w:rFonts w:ascii="Times New Roman" w:hAnsi="Times New Roman"/>
        </w:rPr>
        <w:t>tion that “it is trite that where two persons are mutually indebted to each other</w:t>
      </w:r>
      <w:r w:rsidR="00453B07">
        <w:rPr>
          <w:rFonts w:ascii="Times New Roman" w:hAnsi="Times New Roman"/>
        </w:rPr>
        <w:t xml:space="preserve"> their obligations may be extinguished by set-off”.</w:t>
      </w:r>
      <w:r w:rsidR="00F46006">
        <w:rPr>
          <w:rFonts w:ascii="Times New Roman" w:hAnsi="Times New Roman"/>
        </w:rPr>
        <w:t xml:space="preserve"> The extract quoted in the respondent’s heads of argument appears in para</w:t>
      </w:r>
      <w:r w:rsidR="00B7715D">
        <w:rPr>
          <w:rFonts w:ascii="Times New Roman" w:hAnsi="Times New Roman"/>
        </w:rPr>
        <w:t xml:space="preserve">graph 14 of the SCA’s judgment. Regrettably, </w:t>
      </w:r>
      <w:r w:rsidR="00B7715D" w:rsidRPr="00C12719">
        <w:rPr>
          <w:rFonts w:ascii="Times New Roman" w:hAnsi="Times New Roman"/>
          <w:i/>
          <w:iCs/>
        </w:rPr>
        <w:t xml:space="preserve">Mr Zwane </w:t>
      </w:r>
      <w:r w:rsidR="00B7715D">
        <w:rPr>
          <w:rFonts w:ascii="Times New Roman" w:hAnsi="Times New Roman"/>
        </w:rPr>
        <w:t>(the author</w:t>
      </w:r>
      <w:r w:rsidR="00C12719">
        <w:rPr>
          <w:rFonts w:ascii="Times New Roman" w:hAnsi="Times New Roman"/>
        </w:rPr>
        <w:t>, as I have noted,</w:t>
      </w:r>
      <w:r w:rsidR="00B7715D">
        <w:rPr>
          <w:rFonts w:ascii="Times New Roman" w:hAnsi="Times New Roman"/>
        </w:rPr>
        <w:t xml:space="preserve"> of the heads of argument) did not read the rest of the judgment. There, the SCA reminds us of the equally trite propositions that (a) set-off may be excluded by agreement and (b) set-off applies only to </w:t>
      </w:r>
      <w:r w:rsidR="006154C6">
        <w:rPr>
          <w:rFonts w:ascii="Times New Roman" w:hAnsi="Times New Roman"/>
        </w:rPr>
        <w:t>cases where “both debts are liquidated in the sense that they are capable of speedy and easy proof”.</w:t>
      </w:r>
      <w:r w:rsidR="006154C6">
        <w:rPr>
          <w:rStyle w:val="FootnoteReference"/>
          <w:rFonts w:ascii="Times New Roman" w:hAnsi="Times New Roman"/>
        </w:rPr>
        <w:footnoteReference w:id="4"/>
      </w:r>
      <w:r w:rsidR="002868AA">
        <w:rPr>
          <w:rFonts w:ascii="Times New Roman" w:hAnsi="Times New Roman"/>
        </w:rPr>
        <w:t xml:space="preserve"> Those two propositions, read with what I said in the merits judgment </w:t>
      </w:r>
      <w:r w:rsidR="00F070A8">
        <w:rPr>
          <w:rFonts w:ascii="Times New Roman" w:hAnsi="Times New Roman"/>
        </w:rPr>
        <w:t>in the references given</w:t>
      </w:r>
      <w:r w:rsidR="002868AA">
        <w:rPr>
          <w:rFonts w:ascii="Times New Roman" w:hAnsi="Times New Roman"/>
        </w:rPr>
        <w:t xml:space="preserve"> in paragraph </w:t>
      </w:r>
      <w:r w:rsidR="002868AA">
        <w:rPr>
          <w:rFonts w:ascii="Times New Roman" w:hAnsi="Times New Roman"/>
        </w:rPr>
        <w:fldChar w:fldCharType="begin"/>
      </w:r>
      <w:r w:rsidR="002868AA">
        <w:rPr>
          <w:rFonts w:ascii="Times New Roman" w:hAnsi="Times New Roman"/>
        </w:rPr>
        <w:instrText xml:space="preserve"> REF _Ref150407401 \r \h </w:instrText>
      </w:r>
      <w:r w:rsidR="002868AA">
        <w:rPr>
          <w:rFonts w:ascii="Times New Roman" w:hAnsi="Times New Roman"/>
        </w:rPr>
      </w:r>
      <w:r w:rsidR="002868AA">
        <w:rPr>
          <w:rFonts w:ascii="Times New Roman" w:hAnsi="Times New Roman"/>
        </w:rPr>
        <w:fldChar w:fldCharType="separate"/>
      </w:r>
      <w:r w:rsidR="00851A0C">
        <w:rPr>
          <w:rFonts w:ascii="Times New Roman" w:hAnsi="Times New Roman"/>
        </w:rPr>
        <w:t>9</w:t>
      </w:r>
      <w:r w:rsidR="002868AA">
        <w:rPr>
          <w:rFonts w:ascii="Times New Roman" w:hAnsi="Times New Roman"/>
        </w:rPr>
        <w:fldChar w:fldCharType="end"/>
      </w:r>
      <w:r w:rsidR="002868AA">
        <w:rPr>
          <w:rFonts w:ascii="Times New Roman" w:hAnsi="Times New Roman"/>
        </w:rPr>
        <w:t xml:space="preserve"> above, explain why set-off was not applicable here.</w:t>
      </w:r>
      <w:r w:rsidR="00AA47CD">
        <w:rPr>
          <w:rFonts w:ascii="Times New Roman" w:hAnsi="Times New Roman"/>
        </w:rPr>
        <w:t xml:space="preserve"> When I raised this with </w:t>
      </w:r>
      <w:r w:rsidR="00AA47CD" w:rsidRPr="00C12719">
        <w:rPr>
          <w:rFonts w:ascii="Times New Roman" w:hAnsi="Times New Roman"/>
          <w:i/>
          <w:iCs/>
        </w:rPr>
        <w:t>Mr Zwane</w:t>
      </w:r>
      <w:r w:rsidR="00AA47CD">
        <w:rPr>
          <w:rFonts w:ascii="Times New Roman" w:hAnsi="Times New Roman"/>
        </w:rPr>
        <w:t xml:space="preserve"> in oral argument, he could not point me to any authority or </w:t>
      </w:r>
      <w:r w:rsidR="00FE18A1">
        <w:rPr>
          <w:rFonts w:ascii="Times New Roman" w:hAnsi="Times New Roman"/>
        </w:rPr>
        <w:t>consideration arising from the papers which would serve to alter what I have said on this point</w:t>
      </w:r>
      <w:r w:rsidR="00CA47D1">
        <w:rPr>
          <w:rFonts w:ascii="Times New Roman" w:hAnsi="Times New Roman"/>
        </w:rPr>
        <w:t xml:space="preserve"> in the merits judgment</w:t>
      </w:r>
      <w:r w:rsidR="00FE18A1">
        <w:rPr>
          <w:rFonts w:ascii="Times New Roman" w:hAnsi="Times New Roman"/>
        </w:rPr>
        <w:t>.</w:t>
      </w:r>
    </w:p>
    <w:p w14:paraId="7E8791B4" w14:textId="0E473B1C" w:rsidR="00997932" w:rsidRPr="00BA36B0" w:rsidRDefault="00997932" w:rsidP="001253AA">
      <w:pPr>
        <w:pStyle w:val="WLGLevel1"/>
        <w:rPr>
          <w:rFonts w:ascii="Times New Roman" w:hAnsi="Times New Roman"/>
        </w:rPr>
      </w:pPr>
      <w:r w:rsidRPr="00BA36B0">
        <w:rPr>
          <w:rFonts w:ascii="Times New Roman" w:hAnsi="Times New Roman"/>
        </w:rPr>
        <w:t>On the notion that I misdirected myself by holding that the respondent had not denied non-payment</w:t>
      </w:r>
      <w:r w:rsidR="005E3AEA" w:rsidRPr="00BA36B0">
        <w:rPr>
          <w:rFonts w:ascii="Times New Roman" w:hAnsi="Times New Roman"/>
        </w:rPr>
        <w:t xml:space="preserve"> (see paragraph </w:t>
      </w:r>
      <w:r w:rsidR="005E3AEA" w:rsidRPr="00BA36B0">
        <w:rPr>
          <w:rFonts w:ascii="Times New Roman" w:hAnsi="Times New Roman"/>
        </w:rPr>
        <w:fldChar w:fldCharType="begin"/>
      </w:r>
      <w:r w:rsidR="005E3AEA" w:rsidRPr="00BA36B0">
        <w:rPr>
          <w:rFonts w:ascii="Times New Roman" w:hAnsi="Times New Roman"/>
        </w:rPr>
        <w:instrText xml:space="preserve"> REF _Ref149727994 \r \h </w:instrText>
      </w:r>
      <w:r w:rsidR="00BA36B0">
        <w:rPr>
          <w:rFonts w:ascii="Times New Roman" w:hAnsi="Times New Roman"/>
        </w:rPr>
        <w:instrText xml:space="preserve"> \* MERGEFORMAT </w:instrText>
      </w:r>
      <w:r w:rsidR="005E3AEA" w:rsidRPr="00BA36B0">
        <w:rPr>
          <w:rFonts w:ascii="Times New Roman" w:hAnsi="Times New Roman"/>
        </w:rPr>
      </w:r>
      <w:r w:rsidR="005E3AEA" w:rsidRPr="00BA36B0">
        <w:rPr>
          <w:rFonts w:ascii="Times New Roman" w:hAnsi="Times New Roman"/>
        </w:rPr>
        <w:fldChar w:fldCharType="separate"/>
      </w:r>
      <w:r w:rsidR="00851A0C">
        <w:rPr>
          <w:rFonts w:ascii="Times New Roman" w:hAnsi="Times New Roman"/>
        </w:rPr>
        <w:t>3.3</w:t>
      </w:r>
      <w:r w:rsidR="005E3AEA" w:rsidRPr="00BA36B0">
        <w:rPr>
          <w:rFonts w:ascii="Times New Roman" w:hAnsi="Times New Roman"/>
        </w:rPr>
        <w:fldChar w:fldCharType="end"/>
      </w:r>
      <w:r w:rsidR="005E3AEA" w:rsidRPr="00BA36B0">
        <w:rPr>
          <w:rFonts w:ascii="Times New Roman" w:hAnsi="Times New Roman"/>
        </w:rPr>
        <w:t xml:space="preserve"> above):</w:t>
      </w:r>
    </w:p>
    <w:p w14:paraId="6D228C1D" w14:textId="3D568006" w:rsidR="00FE18A1" w:rsidRDefault="00FE18A1" w:rsidP="005E3AEA">
      <w:pPr>
        <w:pStyle w:val="WLGLevel2"/>
        <w:rPr>
          <w:rFonts w:ascii="Times New Roman" w:hAnsi="Times New Roman"/>
        </w:rPr>
      </w:pPr>
      <w:r>
        <w:rPr>
          <w:rFonts w:ascii="Times New Roman" w:hAnsi="Times New Roman"/>
        </w:rPr>
        <w:lastRenderedPageBreak/>
        <w:t xml:space="preserve">Again, </w:t>
      </w:r>
      <w:r w:rsidRPr="00C12719">
        <w:rPr>
          <w:rFonts w:ascii="Times New Roman" w:hAnsi="Times New Roman"/>
          <w:i/>
          <w:iCs/>
        </w:rPr>
        <w:t>Mr Zwane</w:t>
      </w:r>
      <w:r>
        <w:rPr>
          <w:rFonts w:ascii="Times New Roman" w:hAnsi="Times New Roman"/>
        </w:rPr>
        <w:t>, although arguing this point in his heads of argument, did not press this point in oral argument. I address it</w:t>
      </w:r>
      <w:r w:rsidR="00870795">
        <w:rPr>
          <w:rFonts w:ascii="Times New Roman" w:hAnsi="Times New Roman"/>
        </w:rPr>
        <w:t>, nevertheless,</w:t>
      </w:r>
      <w:r>
        <w:rPr>
          <w:rFonts w:ascii="Times New Roman" w:hAnsi="Times New Roman"/>
        </w:rPr>
        <w:t xml:space="preserve"> for completeness.</w:t>
      </w:r>
    </w:p>
    <w:p w14:paraId="4A128245" w14:textId="15AD15F6" w:rsidR="005E3AEA" w:rsidRPr="00BA36B0" w:rsidRDefault="005F112B" w:rsidP="005E3AEA">
      <w:pPr>
        <w:pStyle w:val="WLGLevel2"/>
        <w:rPr>
          <w:rFonts w:ascii="Times New Roman" w:hAnsi="Times New Roman"/>
        </w:rPr>
      </w:pPr>
      <w:r w:rsidRPr="00BA36B0">
        <w:rPr>
          <w:rFonts w:ascii="Times New Roman" w:hAnsi="Times New Roman"/>
        </w:rPr>
        <w:t xml:space="preserve">I have looked, again, at paragraph 9.5 of the answering affidavit. With respect to </w:t>
      </w:r>
      <w:r w:rsidR="00052E2D" w:rsidRPr="00C12719">
        <w:rPr>
          <w:rFonts w:ascii="Times New Roman" w:hAnsi="Times New Roman"/>
          <w:i/>
          <w:iCs/>
        </w:rPr>
        <w:t>Mr Zwane</w:t>
      </w:r>
      <w:r w:rsidR="00052E2D">
        <w:rPr>
          <w:rFonts w:ascii="Times New Roman" w:hAnsi="Times New Roman"/>
        </w:rPr>
        <w:t xml:space="preserve">, who drafted </w:t>
      </w:r>
      <w:r w:rsidRPr="00BA36B0">
        <w:rPr>
          <w:rFonts w:ascii="Times New Roman" w:hAnsi="Times New Roman"/>
        </w:rPr>
        <w:t>the application for leave to appeal</w:t>
      </w:r>
      <w:r w:rsidR="00052E2D">
        <w:rPr>
          <w:rFonts w:ascii="Times New Roman" w:hAnsi="Times New Roman"/>
        </w:rPr>
        <w:t xml:space="preserve"> and </w:t>
      </w:r>
      <w:r w:rsidR="00D77D76">
        <w:rPr>
          <w:rFonts w:ascii="Times New Roman" w:hAnsi="Times New Roman"/>
        </w:rPr>
        <w:t>the heads of argument in which the point was repeated</w:t>
      </w:r>
      <w:r w:rsidRPr="00BA36B0">
        <w:rPr>
          <w:rFonts w:ascii="Times New Roman" w:hAnsi="Times New Roman"/>
        </w:rPr>
        <w:t xml:space="preserve">, he </w:t>
      </w:r>
      <w:r w:rsidR="00FD648A" w:rsidRPr="00BA36B0">
        <w:rPr>
          <w:rFonts w:ascii="Times New Roman" w:hAnsi="Times New Roman"/>
        </w:rPr>
        <w:t>has misunderstood his client’s answering affidavit.</w:t>
      </w:r>
      <w:r w:rsidR="00B24BEF" w:rsidRPr="00BA36B0">
        <w:rPr>
          <w:rFonts w:ascii="Times New Roman" w:hAnsi="Times New Roman"/>
        </w:rPr>
        <w:t xml:space="preserve"> </w:t>
      </w:r>
      <w:r w:rsidR="003609EF">
        <w:rPr>
          <w:rFonts w:ascii="Times New Roman" w:hAnsi="Times New Roman"/>
        </w:rPr>
        <w:t>S</w:t>
      </w:r>
      <w:r w:rsidR="00B24BEF" w:rsidRPr="00BA36B0">
        <w:rPr>
          <w:rFonts w:ascii="Times New Roman" w:hAnsi="Times New Roman"/>
        </w:rPr>
        <w:t>he did not deny that she had not paid</w:t>
      </w:r>
      <w:r w:rsidR="003609EF">
        <w:rPr>
          <w:rFonts w:ascii="Times New Roman" w:hAnsi="Times New Roman"/>
        </w:rPr>
        <w:t xml:space="preserve"> in paragraph 9.5 (</w:t>
      </w:r>
      <w:r w:rsidR="003609EF" w:rsidRPr="00BA36B0">
        <w:rPr>
          <w:rFonts w:ascii="Times New Roman" w:hAnsi="Times New Roman"/>
        </w:rPr>
        <w:t>or anywhere else, for that matter)</w:t>
      </w:r>
      <w:r w:rsidR="00B24BEF" w:rsidRPr="00BA36B0">
        <w:rPr>
          <w:rFonts w:ascii="Times New Roman" w:hAnsi="Times New Roman"/>
        </w:rPr>
        <w:t>. Her whole defence was that she was justified in not paying, which is the reason why the respondent’s complaint about set-off arises</w:t>
      </w:r>
      <w:r w:rsidR="00AD03CC">
        <w:rPr>
          <w:rFonts w:ascii="Times New Roman" w:hAnsi="Times New Roman"/>
        </w:rPr>
        <w:t xml:space="preserve"> in the first place</w:t>
      </w:r>
      <w:r w:rsidR="00B24BEF" w:rsidRPr="00BA36B0">
        <w:rPr>
          <w:rFonts w:ascii="Times New Roman" w:hAnsi="Times New Roman"/>
        </w:rPr>
        <w:t>.</w:t>
      </w:r>
    </w:p>
    <w:p w14:paraId="46048E2B" w14:textId="5520F142" w:rsidR="003A3953" w:rsidRDefault="003A3953" w:rsidP="005E3AEA">
      <w:pPr>
        <w:pStyle w:val="WLGLevel2"/>
        <w:rPr>
          <w:rFonts w:ascii="Times New Roman" w:hAnsi="Times New Roman"/>
        </w:rPr>
      </w:pPr>
      <w:r w:rsidRPr="00BA36B0">
        <w:rPr>
          <w:rFonts w:ascii="Times New Roman" w:hAnsi="Times New Roman"/>
        </w:rPr>
        <w:t>So, there is no reasonable prospect that any other court will conclude that there was a dispute regarding whether the outstanding money was not paid. That issue was clearly common cause, and there is simply no prospect of another court concluding that I was wrong about that.</w:t>
      </w:r>
    </w:p>
    <w:p w14:paraId="48F2EBB8" w14:textId="298328F7" w:rsidR="00AD7A9B" w:rsidRDefault="00AD7A9B" w:rsidP="00BD3C69">
      <w:pPr>
        <w:pStyle w:val="WLGLevel1"/>
        <w:rPr>
          <w:rFonts w:ascii="Times New Roman" w:hAnsi="Times New Roman"/>
        </w:rPr>
      </w:pPr>
      <w:r>
        <w:rPr>
          <w:rFonts w:ascii="Times New Roman" w:hAnsi="Times New Roman"/>
        </w:rPr>
        <w:t>It follows that the application for leave to appeal must be dismissed.</w:t>
      </w:r>
    </w:p>
    <w:p w14:paraId="2A07F42B" w14:textId="47CC31E6" w:rsidR="00BD3C69" w:rsidRPr="008445F9" w:rsidRDefault="00BD3C69" w:rsidP="00BD3C69">
      <w:pPr>
        <w:pStyle w:val="WLGLevel1"/>
        <w:rPr>
          <w:rFonts w:ascii="Times New Roman" w:hAnsi="Times New Roman"/>
        </w:rPr>
      </w:pPr>
      <w:r w:rsidRPr="008445F9">
        <w:rPr>
          <w:rFonts w:ascii="Times New Roman" w:hAnsi="Times New Roman"/>
        </w:rPr>
        <w:t>Th</w:t>
      </w:r>
      <w:r w:rsidR="0057750C">
        <w:rPr>
          <w:rFonts w:ascii="Times New Roman" w:hAnsi="Times New Roman"/>
        </w:rPr>
        <w:t>at,</w:t>
      </w:r>
      <w:r w:rsidRPr="008445F9">
        <w:rPr>
          <w:rFonts w:ascii="Times New Roman" w:hAnsi="Times New Roman"/>
        </w:rPr>
        <w:t xml:space="preserve"> then</w:t>
      </w:r>
      <w:r w:rsidR="0057750C">
        <w:rPr>
          <w:rFonts w:ascii="Times New Roman" w:hAnsi="Times New Roman"/>
        </w:rPr>
        <w:t>,</w:t>
      </w:r>
      <w:r w:rsidRPr="008445F9">
        <w:rPr>
          <w:rFonts w:ascii="Times New Roman" w:hAnsi="Times New Roman"/>
        </w:rPr>
        <w:t xml:space="preserve"> leaves the issue of costs.</w:t>
      </w:r>
    </w:p>
    <w:p w14:paraId="2D67D62B" w14:textId="455BAA2D" w:rsidR="0057750C" w:rsidRPr="0057750C" w:rsidRDefault="0057750C" w:rsidP="00BD3C69">
      <w:pPr>
        <w:pStyle w:val="WLGLevel2"/>
        <w:rPr>
          <w:rFonts w:ascii="Times New Roman" w:hAnsi="Times New Roman"/>
        </w:rPr>
      </w:pPr>
      <w:r>
        <w:rPr>
          <w:rFonts w:ascii="Times New Roman" w:hAnsi="Times New Roman"/>
        </w:rPr>
        <w:t xml:space="preserve">It may emerge, in part, from what I have said above, but I do not think that I have done full justice to explaining the utter hopelessness of the application for leave to appeal. It was unsatisfactory in every respect. What stands out to me is the way in which </w:t>
      </w:r>
      <w:r w:rsidRPr="0057750C">
        <w:rPr>
          <w:rFonts w:ascii="Times New Roman" w:hAnsi="Times New Roman"/>
          <w:i/>
          <w:iCs/>
        </w:rPr>
        <w:t>Mr Zwane</w:t>
      </w:r>
      <w:r>
        <w:rPr>
          <w:rFonts w:ascii="Times New Roman" w:hAnsi="Times New Roman"/>
        </w:rPr>
        <w:t xml:space="preserve"> made no attempt to motivate for several of the grounds mentioned in the application itself and the heads of argument (choosing simply not to address them at all at the hearing) and quickly gave up any further attempts </w:t>
      </w:r>
      <w:r>
        <w:rPr>
          <w:rFonts w:ascii="Times New Roman" w:hAnsi="Times New Roman"/>
        </w:rPr>
        <w:lastRenderedPageBreak/>
        <w:t xml:space="preserve">to justify those which were argued, as soon as I put my difficulties to him. The overall impression was created that </w:t>
      </w:r>
      <w:r w:rsidRPr="0057750C">
        <w:rPr>
          <w:rFonts w:ascii="Times New Roman" w:hAnsi="Times New Roman"/>
          <w:i/>
          <w:iCs/>
        </w:rPr>
        <w:t>Mr Zwane</w:t>
      </w:r>
      <w:r>
        <w:rPr>
          <w:rFonts w:ascii="Times New Roman" w:hAnsi="Times New Roman"/>
        </w:rPr>
        <w:t xml:space="preserve"> chose to float a series of unsustainable propositions in the hope that one of them might somehow stick. </w:t>
      </w:r>
    </w:p>
    <w:p w14:paraId="572DADDD" w14:textId="7FA30E48" w:rsidR="00BD3C69" w:rsidRPr="008445F9" w:rsidRDefault="00BD3C69" w:rsidP="00BD3C69">
      <w:pPr>
        <w:pStyle w:val="WLGLevel2"/>
        <w:rPr>
          <w:rFonts w:ascii="Times New Roman" w:hAnsi="Times New Roman"/>
        </w:rPr>
      </w:pPr>
      <w:r w:rsidRPr="003A3B50">
        <w:rPr>
          <w:rFonts w:ascii="Times New Roman" w:hAnsi="Times New Roman"/>
          <w:i/>
          <w:iCs/>
        </w:rPr>
        <w:t>Mr Dube</w:t>
      </w:r>
      <w:r w:rsidRPr="008445F9">
        <w:rPr>
          <w:rFonts w:ascii="Times New Roman" w:hAnsi="Times New Roman"/>
        </w:rPr>
        <w:t>, who appeared for the applicant, argued that the wholly unsustainable application for leave to appeal warranted a punitive costs order.</w:t>
      </w:r>
      <w:r w:rsidR="0060472A" w:rsidRPr="008445F9">
        <w:rPr>
          <w:rFonts w:ascii="Times New Roman" w:hAnsi="Times New Roman"/>
        </w:rPr>
        <w:t xml:space="preserve"> In response, </w:t>
      </w:r>
      <w:r w:rsidR="0060472A" w:rsidRPr="003A3B50">
        <w:rPr>
          <w:rFonts w:ascii="Times New Roman" w:hAnsi="Times New Roman"/>
          <w:i/>
          <w:iCs/>
        </w:rPr>
        <w:t>Mr Zwane</w:t>
      </w:r>
      <w:r w:rsidR="0060472A" w:rsidRPr="008445F9">
        <w:rPr>
          <w:rFonts w:ascii="Times New Roman" w:hAnsi="Times New Roman"/>
        </w:rPr>
        <w:t xml:space="preserve"> said that there was no evidence of mala fides on the part of his client in pursuing the appeal. I raised with him the authorities which say that unreasonable litigation may warrant a punitive costs order and asked whether, objectively, the application for leave to appeal could be described as reasonable. He preferred to leave that issue for me to determine.</w:t>
      </w:r>
    </w:p>
    <w:p w14:paraId="3BAA5E5A" w14:textId="5E5BB78D" w:rsidR="0060472A" w:rsidRPr="008445F9" w:rsidRDefault="0060228B" w:rsidP="00BD3C69">
      <w:pPr>
        <w:pStyle w:val="WLGLevel2"/>
        <w:rPr>
          <w:rFonts w:ascii="Times New Roman" w:hAnsi="Times New Roman"/>
        </w:rPr>
      </w:pPr>
      <w:r w:rsidRPr="008445F9">
        <w:rPr>
          <w:rFonts w:ascii="Times New Roman" w:hAnsi="Times New Roman"/>
        </w:rPr>
        <w:t xml:space="preserve">It seems to me </w:t>
      </w:r>
      <w:r w:rsidR="006626D6" w:rsidRPr="008445F9">
        <w:rPr>
          <w:rFonts w:ascii="Times New Roman" w:hAnsi="Times New Roman"/>
        </w:rPr>
        <w:t xml:space="preserve">that, if one considers the decision of the Constitutional Court in </w:t>
      </w:r>
      <w:r w:rsidR="006626D6" w:rsidRPr="003A3B50">
        <w:rPr>
          <w:rFonts w:ascii="Times New Roman" w:hAnsi="Times New Roman"/>
          <w:i/>
          <w:iCs/>
        </w:rPr>
        <w:t>Swartbooi v Brink</w:t>
      </w:r>
      <w:r w:rsidR="006626D6" w:rsidRPr="008445F9">
        <w:rPr>
          <w:rFonts w:ascii="Times New Roman" w:hAnsi="Times New Roman"/>
        </w:rPr>
        <w:t xml:space="preserve"> </w:t>
      </w:r>
      <w:r w:rsidR="001F7C8F" w:rsidRPr="008445F9">
        <w:rPr>
          <w:rFonts w:ascii="Times New Roman" w:hAnsi="Times New Roman"/>
        </w:rPr>
        <w:t>2006 (1) SA 203 (CC) at para 27</w:t>
      </w:r>
      <w:r w:rsidR="006626D6" w:rsidRPr="008445F9">
        <w:rPr>
          <w:rFonts w:ascii="Times New Roman" w:hAnsi="Times New Roman"/>
        </w:rPr>
        <w:t xml:space="preserve"> and the SCA judgment of </w:t>
      </w:r>
      <w:r w:rsidR="006626D6" w:rsidRPr="003A3B50">
        <w:rPr>
          <w:rFonts w:ascii="Times New Roman" w:hAnsi="Times New Roman"/>
          <w:i/>
          <w:iCs/>
        </w:rPr>
        <w:t>Claase v Information Officer, South African Airways</w:t>
      </w:r>
      <w:r w:rsidR="00FB1A9D" w:rsidRPr="008445F9">
        <w:rPr>
          <w:rFonts w:ascii="Times New Roman" w:hAnsi="Times New Roman"/>
        </w:rPr>
        <w:t xml:space="preserve"> 2007 (5) SA 469 (SCA) at para 11</w:t>
      </w:r>
      <w:r w:rsidR="009F5F69" w:rsidRPr="008445F9">
        <w:rPr>
          <w:rFonts w:ascii="Times New Roman" w:hAnsi="Times New Roman"/>
        </w:rPr>
        <w:t xml:space="preserve">, there is an objective approach to </w:t>
      </w:r>
      <w:r w:rsidR="00F56B0B">
        <w:rPr>
          <w:rFonts w:ascii="Times New Roman" w:hAnsi="Times New Roman"/>
        </w:rPr>
        <w:t xml:space="preserve">the question of </w:t>
      </w:r>
      <w:r w:rsidR="009F5F69" w:rsidRPr="008445F9">
        <w:rPr>
          <w:rFonts w:ascii="Times New Roman" w:hAnsi="Times New Roman"/>
        </w:rPr>
        <w:t>unreasonableness</w:t>
      </w:r>
      <w:r w:rsidR="00F56B0B">
        <w:rPr>
          <w:rFonts w:ascii="Times New Roman" w:hAnsi="Times New Roman"/>
        </w:rPr>
        <w:t xml:space="preserve"> in the context of punitive costs orders</w:t>
      </w:r>
      <w:r w:rsidR="009F5F69" w:rsidRPr="008445F9">
        <w:rPr>
          <w:rFonts w:ascii="Times New Roman" w:hAnsi="Times New Roman"/>
        </w:rPr>
        <w:t xml:space="preserve">. In other words, </w:t>
      </w:r>
      <w:r w:rsidR="009A53FC">
        <w:rPr>
          <w:rFonts w:ascii="Times New Roman" w:hAnsi="Times New Roman"/>
        </w:rPr>
        <w:t xml:space="preserve">deliberate </w:t>
      </w:r>
      <w:r w:rsidR="009F5F69" w:rsidRPr="008445F9">
        <w:rPr>
          <w:rFonts w:ascii="Times New Roman" w:hAnsi="Times New Roman"/>
        </w:rPr>
        <w:t xml:space="preserve">vexatiousness or mala fides might be </w:t>
      </w:r>
      <w:r w:rsidR="00AF7AD7">
        <w:rPr>
          <w:rFonts w:ascii="Times New Roman" w:hAnsi="Times New Roman"/>
        </w:rPr>
        <w:t>s</w:t>
      </w:r>
      <w:r w:rsidR="009F5F69" w:rsidRPr="008445F9">
        <w:rPr>
          <w:rFonts w:ascii="Times New Roman" w:hAnsi="Times New Roman"/>
        </w:rPr>
        <w:t>elf-standing bas</w:t>
      </w:r>
      <w:r w:rsidR="00AF7AD7">
        <w:rPr>
          <w:rFonts w:ascii="Times New Roman" w:hAnsi="Times New Roman"/>
        </w:rPr>
        <w:t>e</w:t>
      </w:r>
      <w:r w:rsidR="009F5F69" w:rsidRPr="008445F9">
        <w:rPr>
          <w:rFonts w:ascii="Times New Roman" w:hAnsi="Times New Roman"/>
        </w:rPr>
        <w:t>s for</w:t>
      </w:r>
      <w:r w:rsidR="0057750C">
        <w:rPr>
          <w:rFonts w:ascii="Times New Roman" w:hAnsi="Times New Roman"/>
        </w:rPr>
        <w:t xml:space="preserve"> </w:t>
      </w:r>
      <w:r w:rsidR="009F5F69" w:rsidRPr="008445F9">
        <w:rPr>
          <w:rFonts w:ascii="Times New Roman" w:hAnsi="Times New Roman"/>
        </w:rPr>
        <w:t>punitive costs order</w:t>
      </w:r>
      <w:r w:rsidR="0057750C">
        <w:rPr>
          <w:rFonts w:ascii="Times New Roman" w:hAnsi="Times New Roman"/>
        </w:rPr>
        <w:t>s</w:t>
      </w:r>
      <w:r w:rsidR="009F5F69" w:rsidRPr="008445F9">
        <w:rPr>
          <w:rFonts w:ascii="Times New Roman" w:hAnsi="Times New Roman"/>
        </w:rPr>
        <w:t>. But, objectively unreasonable litigation might</w:t>
      </w:r>
      <w:r w:rsidR="0057750C">
        <w:rPr>
          <w:rFonts w:ascii="Times New Roman" w:hAnsi="Times New Roman"/>
        </w:rPr>
        <w:t xml:space="preserve"> also</w:t>
      </w:r>
      <w:r w:rsidR="009F5F69" w:rsidRPr="008445F9">
        <w:rPr>
          <w:rFonts w:ascii="Times New Roman" w:hAnsi="Times New Roman"/>
        </w:rPr>
        <w:t xml:space="preserve">, even in the absence of mala fides, warrant a punitive costs order </w:t>
      </w:r>
      <w:r w:rsidR="000A6054" w:rsidRPr="008445F9">
        <w:rPr>
          <w:rFonts w:ascii="Times New Roman" w:hAnsi="Times New Roman"/>
        </w:rPr>
        <w:t>in appropriate cases.</w:t>
      </w:r>
    </w:p>
    <w:p w14:paraId="6462BB93" w14:textId="4C74AAA2" w:rsidR="00D76EED" w:rsidRDefault="001D3680" w:rsidP="00BD3C69">
      <w:pPr>
        <w:pStyle w:val="WLGLevel2"/>
        <w:rPr>
          <w:rFonts w:ascii="Times New Roman" w:hAnsi="Times New Roman"/>
        </w:rPr>
      </w:pPr>
      <w:r w:rsidRPr="008445F9">
        <w:rPr>
          <w:rFonts w:ascii="Times New Roman" w:hAnsi="Times New Roman"/>
        </w:rPr>
        <w:t xml:space="preserve">Although there seems to be acceptance in the case law that advancing a hopeless case might constitute unreasonable conduct, the scope of this principle troubles me somewhat. If one looks at </w:t>
      </w:r>
      <w:r w:rsidRPr="00AC6D21">
        <w:rPr>
          <w:rFonts w:ascii="Times New Roman" w:hAnsi="Times New Roman"/>
          <w:i/>
          <w:iCs/>
        </w:rPr>
        <w:t>Swartbooi</w:t>
      </w:r>
      <w:r w:rsidRPr="008445F9">
        <w:rPr>
          <w:rFonts w:ascii="Times New Roman" w:hAnsi="Times New Roman"/>
        </w:rPr>
        <w:t xml:space="preserve"> and </w:t>
      </w:r>
      <w:r w:rsidRPr="00AC6D21">
        <w:rPr>
          <w:rFonts w:ascii="Times New Roman" w:hAnsi="Times New Roman"/>
          <w:i/>
          <w:iCs/>
        </w:rPr>
        <w:t>Claase</w:t>
      </w:r>
      <w:r w:rsidRPr="008445F9">
        <w:rPr>
          <w:rFonts w:ascii="Times New Roman" w:hAnsi="Times New Roman"/>
        </w:rPr>
        <w:t xml:space="preserve">, for instance, </w:t>
      </w:r>
      <w:r w:rsidR="001E3574" w:rsidRPr="008445F9">
        <w:rPr>
          <w:rFonts w:ascii="Times New Roman" w:hAnsi="Times New Roman"/>
        </w:rPr>
        <w:t xml:space="preserve">the unreasonableness could squarely be placed at the foot of the </w:t>
      </w:r>
      <w:r w:rsidR="00AC6D21">
        <w:rPr>
          <w:rFonts w:ascii="Times New Roman" w:hAnsi="Times New Roman"/>
        </w:rPr>
        <w:t>litigant concerned</w:t>
      </w:r>
      <w:r w:rsidR="001E3574" w:rsidRPr="008445F9">
        <w:rPr>
          <w:rFonts w:ascii="Times New Roman" w:hAnsi="Times New Roman"/>
        </w:rPr>
        <w:t xml:space="preserve">, rather than its legal practitioner. </w:t>
      </w:r>
      <w:r w:rsidR="00473B7B" w:rsidRPr="008445F9">
        <w:rPr>
          <w:rFonts w:ascii="Times New Roman" w:hAnsi="Times New Roman"/>
        </w:rPr>
        <w:t xml:space="preserve">Punitive costs orders were made because of the </w:t>
      </w:r>
      <w:r w:rsidR="00473B7B" w:rsidRPr="008445F9">
        <w:rPr>
          <w:rFonts w:ascii="Times New Roman" w:hAnsi="Times New Roman"/>
        </w:rPr>
        <w:lastRenderedPageBreak/>
        <w:t xml:space="preserve">objectively unreasonable stances taken </w:t>
      </w:r>
      <w:r w:rsidR="00810E2F" w:rsidRPr="008445F9">
        <w:rPr>
          <w:rFonts w:ascii="Times New Roman" w:hAnsi="Times New Roman"/>
        </w:rPr>
        <w:t xml:space="preserve">by, in the case of </w:t>
      </w:r>
      <w:r w:rsidR="00810E2F" w:rsidRPr="00D76EED">
        <w:rPr>
          <w:rFonts w:ascii="Times New Roman" w:hAnsi="Times New Roman"/>
          <w:i/>
          <w:iCs/>
        </w:rPr>
        <w:t>Claase</w:t>
      </w:r>
      <w:r w:rsidR="00810E2F" w:rsidRPr="008445F9">
        <w:rPr>
          <w:rFonts w:ascii="Times New Roman" w:hAnsi="Times New Roman"/>
        </w:rPr>
        <w:t>, S</w:t>
      </w:r>
      <w:r w:rsidR="00D76EED">
        <w:rPr>
          <w:rFonts w:ascii="Times New Roman" w:hAnsi="Times New Roman"/>
        </w:rPr>
        <w:t xml:space="preserve">outh </w:t>
      </w:r>
      <w:r w:rsidR="00810E2F" w:rsidRPr="008445F9">
        <w:rPr>
          <w:rFonts w:ascii="Times New Roman" w:hAnsi="Times New Roman"/>
        </w:rPr>
        <w:t>A</w:t>
      </w:r>
      <w:r w:rsidR="00D76EED">
        <w:rPr>
          <w:rFonts w:ascii="Times New Roman" w:hAnsi="Times New Roman"/>
        </w:rPr>
        <w:t xml:space="preserve">frican </w:t>
      </w:r>
      <w:r w:rsidR="00810E2F" w:rsidRPr="008445F9">
        <w:rPr>
          <w:rFonts w:ascii="Times New Roman" w:hAnsi="Times New Roman"/>
        </w:rPr>
        <w:t>A</w:t>
      </w:r>
      <w:r w:rsidR="00D76EED">
        <w:rPr>
          <w:rFonts w:ascii="Times New Roman" w:hAnsi="Times New Roman"/>
        </w:rPr>
        <w:t>irways</w:t>
      </w:r>
      <w:r w:rsidR="00810E2F" w:rsidRPr="008445F9">
        <w:rPr>
          <w:rFonts w:ascii="Times New Roman" w:hAnsi="Times New Roman"/>
        </w:rPr>
        <w:t xml:space="preserve"> and in the case of </w:t>
      </w:r>
      <w:r w:rsidR="00810E2F" w:rsidRPr="00D76EED">
        <w:rPr>
          <w:rFonts w:ascii="Times New Roman" w:hAnsi="Times New Roman"/>
          <w:i/>
          <w:iCs/>
        </w:rPr>
        <w:t>Swartbooi</w:t>
      </w:r>
      <w:r w:rsidR="00791A20" w:rsidRPr="008445F9">
        <w:rPr>
          <w:rFonts w:ascii="Times New Roman" w:hAnsi="Times New Roman"/>
        </w:rPr>
        <w:t xml:space="preserve">, a municipality. </w:t>
      </w:r>
    </w:p>
    <w:p w14:paraId="45A133E6" w14:textId="11E5DE38" w:rsidR="000A6054" w:rsidRPr="00D76EED" w:rsidRDefault="00791A20" w:rsidP="00BD3C69">
      <w:pPr>
        <w:pStyle w:val="WLGLevel2"/>
        <w:rPr>
          <w:rFonts w:ascii="Times New Roman" w:hAnsi="Times New Roman"/>
        </w:rPr>
      </w:pPr>
      <w:r w:rsidRPr="00D76EED">
        <w:rPr>
          <w:rFonts w:ascii="Times New Roman" w:hAnsi="Times New Roman"/>
        </w:rPr>
        <w:t xml:space="preserve">Of course, </w:t>
      </w:r>
      <w:r w:rsidR="00FA378E" w:rsidRPr="00D76EED">
        <w:rPr>
          <w:rFonts w:ascii="Times New Roman" w:hAnsi="Times New Roman"/>
        </w:rPr>
        <w:t xml:space="preserve">in most cases, the conduct of a properly instructed legal practitioner must be attributed to his or her client. But what troubles me about the present case is this: the application for leave to appeal was clearly unsustainable in every respect. </w:t>
      </w:r>
      <w:r w:rsidR="00630D4A">
        <w:rPr>
          <w:rFonts w:ascii="Times New Roman" w:hAnsi="Times New Roman"/>
        </w:rPr>
        <w:t>As I have explained, n</w:t>
      </w:r>
      <w:r w:rsidR="00FA378E" w:rsidRPr="00D76EED">
        <w:rPr>
          <w:rFonts w:ascii="Times New Roman" w:hAnsi="Times New Roman"/>
        </w:rPr>
        <w:t xml:space="preserve">o proper basis was given for any of the criticisms made of the merits judgment, to the point that </w:t>
      </w:r>
      <w:r w:rsidR="00FA378E" w:rsidRPr="00735874">
        <w:rPr>
          <w:rFonts w:ascii="Times New Roman" w:hAnsi="Times New Roman"/>
          <w:i/>
          <w:iCs/>
        </w:rPr>
        <w:t>Mr Zwane</w:t>
      </w:r>
      <w:r w:rsidR="00FA378E" w:rsidRPr="00D76EED">
        <w:rPr>
          <w:rFonts w:ascii="Times New Roman" w:hAnsi="Times New Roman"/>
        </w:rPr>
        <w:t xml:space="preserve"> abandoned some of his arguments </w:t>
      </w:r>
      <w:r w:rsidR="00065D2A" w:rsidRPr="00D76EED">
        <w:rPr>
          <w:rFonts w:ascii="Times New Roman" w:hAnsi="Times New Roman"/>
        </w:rPr>
        <w:t>from the outset, and pressed the remainder with no enthusiasm as soon as I put my difficulties to him. The authorities in the heads of argument were either self-evidently distinguishable or did not relate to the material issues.</w:t>
      </w:r>
      <w:r w:rsidR="002A41E6" w:rsidRPr="00D76EED">
        <w:rPr>
          <w:rFonts w:ascii="Times New Roman" w:hAnsi="Times New Roman"/>
        </w:rPr>
        <w:t xml:space="preserve"> No attempt was made to demonstrate to me how any of the proposed appeal grounds could be justified on the papers. My point is that, without meaning any disrespect to him, </w:t>
      </w:r>
      <w:r w:rsidR="002A41E6" w:rsidRPr="00C418DA">
        <w:rPr>
          <w:rFonts w:ascii="Times New Roman" w:hAnsi="Times New Roman"/>
          <w:i/>
          <w:iCs/>
        </w:rPr>
        <w:t>Mr Zwane’s</w:t>
      </w:r>
      <w:r w:rsidR="002A41E6" w:rsidRPr="00D76EED">
        <w:rPr>
          <w:rFonts w:ascii="Times New Roman" w:hAnsi="Times New Roman"/>
        </w:rPr>
        <w:t xml:space="preserve"> prosecution of his client’s case could reasonably be described as inept</w:t>
      </w:r>
      <w:r w:rsidR="00D67713">
        <w:rPr>
          <w:rFonts w:ascii="Times New Roman" w:hAnsi="Times New Roman"/>
        </w:rPr>
        <w:t xml:space="preserve">. </w:t>
      </w:r>
      <w:r w:rsidR="009D485D">
        <w:rPr>
          <w:rFonts w:ascii="Times New Roman" w:hAnsi="Times New Roman"/>
        </w:rPr>
        <w:t>However,</w:t>
      </w:r>
      <w:r w:rsidR="006E78D7" w:rsidRPr="00D76EED">
        <w:rPr>
          <w:rFonts w:ascii="Times New Roman" w:hAnsi="Times New Roman"/>
        </w:rPr>
        <w:t xml:space="preserve"> the issue of </w:t>
      </w:r>
      <w:r w:rsidR="00D67713">
        <w:rPr>
          <w:rFonts w:ascii="Times New Roman" w:hAnsi="Times New Roman"/>
        </w:rPr>
        <w:t xml:space="preserve">what </w:t>
      </w:r>
      <w:r w:rsidR="006E78D7" w:rsidRPr="00D76EED">
        <w:rPr>
          <w:rFonts w:ascii="Times New Roman" w:hAnsi="Times New Roman"/>
        </w:rPr>
        <w:t xml:space="preserve">costs </w:t>
      </w:r>
      <w:r w:rsidR="00D67713">
        <w:rPr>
          <w:rFonts w:ascii="Times New Roman" w:hAnsi="Times New Roman"/>
        </w:rPr>
        <w:t xml:space="preserve">order to make </w:t>
      </w:r>
      <w:r w:rsidR="006E78D7" w:rsidRPr="00D76EED">
        <w:rPr>
          <w:rFonts w:ascii="Times New Roman" w:hAnsi="Times New Roman"/>
        </w:rPr>
        <w:t>triggers for me a</w:t>
      </w:r>
      <w:r w:rsidR="00EE713A" w:rsidRPr="00D76EED">
        <w:rPr>
          <w:rFonts w:ascii="Times New Roman" w:hAnsi="Times New Roman"/>
        </w:rPr>
        <w:t xml:space="preserve"> concern about the interaction between punitive costs orders against litigants, on the one hand, and </w:t>
      </w:r>
      <w:r w:rsidR="00EE713A" w:rsidRPr="007A6482">
        <w:rPr>
          <w:rFonts w:ascii="Times New Roman" w:hAnsi="Times New Roman"/>
          <w:i/>
          <w:iCs/>
        </w:rPr>
        <w:t>de bonis</w:t>
      </w:r>
      <w:r w:rsidR="00EE713A" w:rsidRPr="00D76EED">
        <w:rPr>
          <w:rFonts w:ascii="Times New Roman" w:hAnsi="Times New Roman"/>
        </w:rPr>
        <w:t xml:space="preserve"> orders on the other.</w:t>
      </w:r>
      <w:r w:rsidR="007A6482">
        <w:rPr>
          <w:rFonts w:ascii="Times New Roman" w:hAnsi="Times New Roman"/>
        </w:rPr>
        <w:t xml:space="preserve"> To put the concern bluntly: should the ineptitude of </w:t>
      </w:r>
      <w:r w:rsidR="009D485D" w:rsidRPr="001C3222">
        <w:rPr>
          <w:rFonts w:ascii="Times New Roman" w:hAnsi="Times New Roman"/>
          <w:i/>
          <w:iCs/>
        </w:rPr>
        <w:t>Mr Zwane’s</w:t>
      </w:r>
      <w:r w:rsidR="009D485D">
        <w:rPr>
          <w:rFonts w:ascii="Times New Roman" w:hAnsi="Times New Roman"/>
        </w:rPr>
        <w:t xml:space="preserve"> prosecution of </w:t>
      </w:r>
      <w:r w:rsidR="007A6482">
        <w:rPr>
          <w:rFonts w:ascii="Times New Roman" w:hAnsi="Times New Roman"/>
        </w:rPr>
        <w:t>the application for leave to appeal be attributed to the respondent?</w:t>
      </w:r>
    </w:p>
    <w:p w14:paraId="06F9E0CD" w14:textId="1DF8B68F" w:rsidR="00B86A7D" w:rsidRDefault="00F22A81" w:rsidP="00BD3C69">
      <w:pPr>
        <w:pStyle w:val="WLGLevel2"/>
        <w:rPr>
          <w:rFonts w:ascii="Times New Roman" w:hAnsi="Times New Roman"/>
        </w:rPr>
      </w:pPr>
      <w:r w:rsidRPr="008445F9">
        <w:rPr>
          <w:rFonts w:ascii="Times New Roman" w:hAnsi="Times New Roman"/>
        </w:rPr>
        <w:t xml:space="preserve">Having agonised about this, and despite my immense sympathy for the applicant and the delay (and prejudice) which it has had to endure, I do not believe that I can make a punitive costs order in this matter. A </w:t>
      </w:r>
      <w:r w:rsidRPr="00BA7DFF">
        <w:rPr>
          <w:rFonts w:ascii="Times New Roman" w:hAnsi="Times New Roman"/>
          <w:i/>
          <w:iCs/>
        </w:rPr>
        <w:t>de bonis</w:t>
      </w:r>
      <w:r w:rsidRPr="008445F9">
        <w:rPr>
          <w:rFonts w:ascii="Times New Roman" w:hAnsi="Times New Roman"/>
        </w:rPr>
        <w:t xml:space="preserve"> order is out of the question, not least because </w:t>
      </w:r>
      <w:r w:rsidRPr="001C3222">
        <w:rPr>
          <w:rFonts w:ascii="Times New Roman" w:hAnsi="Times New Roman"/>
          <w:i/>
          <w:iCs/>
        </w:rPr>
        <w:t>Mr Zwane</w:t>
      </w:r>
      <w:r w:rsidRPr="008445F9">
        <w:rPr>
          <w:rFonts w:ascii="Times New Roman" w:hAnsi="Times New Roman"/>
        </w:rPr>
        <w:t xml:space="preserve"> has not been heard on the topic. And because I </w:t>
      </w:r>
      <w:r w:rsidR="0043716D" w:rsidRPr="008445F9">
        <w:rPr>
          <w:rFonts w:ascii="Times New Roman" w:hAnsi="Times New Roman"/>
        </w:rPr>
        <w:t>have a residual concern about the extent to which the unreasonableness of this application can be attr</w:t>
      </w:r>
      <w:r w:rsidR="008445F9">
        <w:rPr>
          <w:rFonts w:ascii="Times New Roman" w:hAnsi="Times New Roman"/>
        </w:rPr>
        <w:t>i</w:t>
      </w:r>
      <w:r w:rsidR="0043716D" w:rsidRPr="008445F9">
        <w:rPr>
          <w:rFonts w:ascii="Times New Roman" w:hAnsi="Times New Roman"/>
        </w:rPr>
        <w:t>b</w:t>
      </w:r>
      <w:r w:rsidR="008445F9">
        <w:rPr>
          <w:rFonts w:ascii="Times New Roman" w:hAnsi="Times New Roman"/>
        </w:rPr>
        <w:t>u</w:t>
      </w:r>
      <w:r w:rsidR="0043716D" w:rsidRPr="008445F9">
        <w:rPr>
          <w:rFonts w:ascii="Times New Roman" w:hAnsi="Times New Roman"/>
        </w:rPr>
        <w:t xml:space="preserve">ted to the respondent, I do not believe </w:t>
      </w:r>
      <w:r w:rsidR="00AD35C0">
        <w:rPr>
          <w:rFonts w:ascii="Times New Roman" w:hAnsi="Times New Roman"/>
        </w:rPr>
        <w:t xml:space="preserve">that </w:t>
      </w:r>
      <w:r w:rsidR="0043716D" w:rsidRPr="008445F9">
        <w:rPr>
          <w:rFonts w:ascii="Times New Roman" w:hAnsi="Times New Roman"/>
        </w:rPr>
        <w:t xml:space="preserve">it </w:t>
      </w:r>
      <w:r w:rsidR="0043716D" w:rsidRPr="008445F9">
        <w:rPr>
          <w:rFonts w:ascii="Times New Roman" w:hAnsi="Times New Roman"/>
        </w:rPr>
        <w:lastRenderedPageBreak/>
        <w:t xml:space="preserve">would be appropriate for me to go </w:t>
      </w:r>
      <w:r w:rsidR="00E13F1C" w:rsidRPr="008445F9">
        <w:rPr>
          <w:rFonts w:ascii="Times New Roman" w:hAnsi="Times New Roman"/>
        </w:rPr>
        <w:t>as far as to make a punitive costs order in this case.</w:t>
      </w:r>
      <w:r w:rsidR="00890D7E">
        <w:rPr>
          <w:rFonts w:ascii="Times New Roman" w:hAnsi="Times New Roman"/>
        </w:rPr>
        <w:t xml:space="preserve"> </w:t>
      </w:r>
      <w:r w:rsidR="00140986">
        <w:rPr>
          <w:rFonts w:ascii="Times New Roman" w:hAnsi="Times New Roman"/>
        </w:rPr>
        <w:t xml:space="preserve">I agree fully with </w:t>
      </w:r>
      <w:r w:rsidR="00140986" w:rsidRPr="00140986">
        <w:rPr>
          <w:rFonts w:ascii="Times New Roman" w:hAnsi="Times New Roman"/>
          <w:i/>
          <w:iCs/>
        </w:rPr>
        <w:t>Mr Dube</w:t>
      </w:r>
      <w:r w:rsidR="00140986">
        <w:rPr>
          <w:rFonts w:ascii="Times New Roman" w:hAnsi="Times New Roman"/>
        </w:rPr>
        <w:t xml:space="preserve"> when he submits that the application for leave to appeal was entirely baseless. However, in the circumstances of this case, I do not consider this to be quite enough to justify a punitive costs order.</w:t>
      </w:r>
    </w:p>
    <w:p w14:paraId="3069A6CB" w14:textId="0D07E27B" w:rsidR="00F22A81" w:rsidRDefault="00890D7E" w:rsidP="00BD3C69">
      <w:pPr>
        <w:pStyle w:val="WLGLevel2"/>
        <w:rPr>
          <w:rFonts w:ascii="Times New Roman" w:hAnsi="Times New Roman"/>
        </w:rPr>
      </w:pPr>
      <w:r>
        <w:rPr>
          <w:rFonts w:ascii="Times New Roman" w:hAnsi="Times New Roman"/>
        </w:rPr>
        <w:t xml:space="preserve">In this regard, an additional consideration (which is directly relevant to the distinction between unreasonableness on the part of the legal practitioner, on the one hand, and unreasonableness of the litigant, on the other) is that, on the evidence before me, the respondent clearly believed herself to have a justifiable gripe. In other words, if one looks at the affidavits, there is no reason to doubt that the respondent genuinely believed that there had been poor workmanship. </w:t>
      </w:r>
      <w:r w:rsidR="00463B8A">
        <w:rPr>
          <w:rFonts w:ascii="Times New Roman" w:hAnsi="Times New Roman"/>
        </w:rPr>
        <w:t xml:space="preserve">Whether this gave her a sustainable defence to the applicant’s case has been addressed in the merits judgment. But it does seem to me that, in the circumstances of this case, it would be a stretch to say that the respondent’s conduct in pressing her </w:t>
      </w:r>
      <w:r w:rsidR="00CA74A8">
        <w:rPr>
          <w:rFonts w:ascii="Times New Roman" w:hAnsi="Times New Roman"/>
        </w:rPr>
        <w:t>initial defence</w:t>
      </w:r>
      <w:r w:rsidR="00463B8A">
        <w:rPr>
          <w:rFonts w:ascii="Times New Roman" w:hAnsi="Times New Roman"/>
        </w:rPr>
        <w:t xml:space="preserve">, and then this application, was </w:t>
      </w:r>
      <w:r w:rsidR="00B86A7D">
        <w:rPr>
          <w:rFonts w:ascii="Times New Roman" w:hAnsi="Times New Roman"/>
        </w:rPr>
        <w:t>unreasonable to the point of warranting additional censure.</w:t>
      </w:r>
    </w:p>
    <w:p w14:paraId="7DB69578" w14:textId="4DC280BB" w:rsidR="00140986" w:rsidRPr="00140986" w:rsidRDefault="00140986" w:rsidP="00140986">
      <w:pPr>
        <w:pStyle w:val="WLGLevel2"/>
        <w:numPr>
          <w:ilvl w:val="0"/>
          <w:numId w:val="0"/>
        </w:numPr>
        <w:rPr>
          <w:rFonts w:ascii="Times New Roman" w:hAnsi="Times New Roman"/>
          <w:b/>
          <w:bCs/>
        </w:rPr>
      </w:pPr>
      <w:r w:rsidRPr="00140986">
        <w:rPr>
          <w:rFonts w:ascii="Times New Roman" w:hAnsi="Times New Roman"/>
          <w:b/>
          <w:bCs/>
        </w:rPr>
        <w:t>THE ORDER</w:t>
      </w:r>
    </w:p>
    <w:p w14:paraId="0BC3CEEB" w14:textId="77777777" w:rsidR="00985312" w:rsidRPr="00BA36B0" w:rsidRDefault="00985312" w:rsidP="00985312">
      <w:pPr>
        <w:pStyle w:val="WLGLevel1"/>
        <w:rPr>
          <w:rFonts w:ascii="Times New Roman" w:hAnsi="Times New Roman"/>
        </w:rPr>
      </w:pPr>
      <w:r w:rsidRPr="00BA36B0">
        <w:rPr>
          <w:rFonts w:ascii="Times New Roman" w:hAnsi="Times New Roman"/>
        </w:rPr>
        <w:t>In the circumstances, I make the following order:</w:t>
      </w:r>
    </w:p>
    <w:p w14:paraId="71E5BE72" w14:textId="77777777" w:rsidR="00985312" w:rsidRPr="00BA36B0" w:rsidRDefault="00985312" w:rsidP="00985312">
      <w:pPr>
        <w:pStyle w:val="BodyTextIndent"/>
        <w:numPr>
          <w:ilvl w:val="0"/>
          <w:numId w:val="4"/>
        </w:numPr>
        <w:rPr>
          <w:rFonts w:ascii="Times New Roman" w:hAnsi="Times New Roman"/>
          <w:b/>
          <w:bCs/>
        </w:rPr>
      </w:pPr>
      <w:r w:rsidRPr="00BA36B0">
        <w:rPr>
          <w:rFonts w:ascii="Times New Roman" w:hAnsi="Times New Roman"/>
          <w:b/>
          <w:bCs/>
        </w:rPr>
        <w:t>The application for leave to appeal is dismissed.</w:t>
      </w:r>
    </w:p>
    <w:p w14:paraId="15C81AA5" w14:textId="15AE3EFC" w:rsidR="00985312" w:rsidRPr="00BA36B0" w:rsidRDefault="00985312" w:rsidP="00985312">
      <w:pPr>
        <w:pStyle w:val="BodyTextIndent"/>
        <w:numPr>
          <w:ilvl w:val="0"/>
          <w:numId w:val="4"/>
        </w:numPr>
        <w:rPr>
          <w:rFonts w:ascii="Times New Roman" w:hAnsi="Times New Roman"/>
          <w:b/>
          <w:bCs/>
        </w:rPr>
      </w:pPr>
      <w:r w:rsidRPr="00BA36B0">
        <w:rPr>
          <w:rFonts w:ascii="Times New Roman" w:hAnsi="Times New Roman"/>
          <w:b/>
          <w:bCs/>
        </w:rPr>
        <w:t xml:space="preserve">The applicant in the application for leave to appeal (ie, the respondent in the application under case number </w:t>
      </w:r>
      <w:r w:rsidR="00554EDF" w:rsidRPr="00BA36B0">
        <w:rPr>
          <w:rFonts w:ascii="Times New Roman" w:hAnsi="Times New Roman"/>
          <w:b/>
          <w:bCs/>
        </w:rPr>
        <w:t>16427/22</w:t>
      </w:r>
      <w:r w:rsidRPr="00BA36B0">
        <w:rPr>
          <w:rFonts w:ascii="Times New Roman" w:hAnsi="Times New Roman"/>
          <w:b/>
          <w:bCs/>
        </w:rPr>
        <w:t>) is to pay the costs of the application for leave to appeal.</w:t>
      </w:r>
    </w:p>
    <w:p w14:paraId="2BCE9B8F" w14:textId="77777777" w:rsidR="000C34A7" w:rsidRPr="00BA36B0" w:rsidRDefault="000C34A7" w:rsidP="000C34A7">
      <w:pPr>
        <w:pStyle w:val="WLGLevel2"/>
        <w:numPr>
          <w:ilvl w:val="0"/>
          <w:numId w:val="0"/>
        </w:numPr>
        <w:ind w:left="1361" w:hanging="794"/>
        <w:rPr>
          <w:rFonts w:ascii="Times New Roman" w:hAnsi="Times New Roman"/>
        </w:rPr>
      </w:pPr>
    </w:p>
    <w:p w14:paraId="3032828F" w14:textId="77777777" w:rsidR="000C34A7" w:rsidRPr="00BA36B0" w:rsidRDefault="000C34A7" w:rsidP="000C34A7">
      <w:pPr>
        <w:pStyle w:val="WLGLevel2"/>
        <w:numPr>
          <w:ilvl w:val="0"/>
          <w:numId w:val="0"/>
        </w:numPr>
        <w:spacing w:after="0" w:line="240" w:lineRule="auto"/>
        <w:ind w:left="1361" w:hanging="794"/>
        <w:jc w:val="right"/>
        <w:rPr>
          <w:rFonts w:ascii="Times New Roman" w:hAnsi="Times New Roman"/>
        </w:rPr>
      </w:pPr>
      <w:r w:rsidRPr="00BA36B0">
        <w:rPr>
          <w:rFonts w:ascii="Times New Roman" w:hAnsi="Times New Roman"/>
        </w:rPr>
        <w:t>_______________________________________</w:t>
      </w:r>
    </w:p>
    <w:p w14:paraId="1CC777FA" w14:textId="77777777" w:rsidR="000C34A7" w:rsidRPr="00BA36B0" w:rsidRDefault="000C34A7" w:rsidP="000C34A7">
      <w:pPr>
        <w:pStyle w:val="Parties"/>
        <w:jc w:val="right"/>
        <w:rPr>
          <w:rFonts w:ascii="Times New Roman" w:hAnsi="Times New Roman"/>
          <w:b/>
          <w:bCs/>
        </w:rPr>
      </w:pPr>
      <w:r w:rsidRPr="00BA36B0">
        <w:rPr>
          <w:rFonts w:ascii="Times New Roman" w:hAnsi="Times New Roman"/>
          <w:b/>
          <w:bCs/>
        </w:rPr>
        <w:t>ADRIAN FRIEDMAN</w:t>
      </w:r>
    </w:p>
    <w:p w14:paraId="2B5264FF" w14:textId="77777777" w:rsidR="000C34A7" w:rsidRPr="00BA36B0" w:rsidRDefault="000C34A7" w:rsidP="000C34A7">
      <w:pPr>
        <w:pStyle w:val="Parties"/>
        <w:jc w:val="right"/>
        <w:rPr>
          <w:rFonts w:ascii="Times New Roman" w:hAnsi="Times New Roman"/>
          <w:b/>
          <w:bCs/>
        </w:rPr>
      </w:pPr>
      <w:r w:rsidRPr="00BA36B0">
        <w:rPr>
          <w:rFonts w:ascii="Times New Roman" w:hAnsi="Times New Roman"/>
          <w:b/>
          <w:bCs/>
        </w:rPr>
        <w:t>ACTING JUDGE OF THE HIGH COURT</w:t>
      </w:r>
    </w:p>
    <w:p w14:paraId="12F966CD" w14:textId="77777777" w:rsidR="000C34A7" w:rsidRPr="00BA36B0" w:rsidRDefault="000C34A7" w:rsidP="000C34A7">
      <w:pPr>
        <w:pStyle w:val="Parties"/>
        <w:jc w:val="right"/>
        <w:rPr>
          <w:rFonts w:ascii="Times New Roman" w:hAnsi="Times New Roman"/>
          <w:b/>
          <w:bCs/>
        </w:rPr>
      </w:pPr>
      <w:r w:rsidRPr="00BA36B0">
        <w:rPr>
          <w:rFonts w:ascii="Times New Roman" w:hAnsi="Times New Roman"/>
          <w:b/>
          <w:bCs/>
        </w:rPr>
        <w:t>GAUTENG LOCAL DIVISION, JOHANNESBURG</w:t>
      </w:r>
    </w:p>
    <w:p w14:paraId="04E989FD" w14:textId="77777777" w:rsidR="000C34A7" w:rsidRPr="00BA36B0" w:rsidRDefault="000C34A7" w:rsidP="000C34A7">
      <w:pPr>
        <w:pStyle w:val="Parties"/>
        <w:rPr>
          <w:rFonts w:ascii="Times New Roman" w:hAnsi="Times New Roman"/>
        </w:rPr>
      </w:pPr>
    </w:p>
    <w:p w14:paraId="0E5F5547" w14:textId="77777777" w:rsidR="000C34A7" w:rsidRPr="00BA36B0" w:rsidRDefault="000C34A7" w:rsidP="000C34A7">
      <w:pPr>
        <w:pStyle w:val="Parties"/>
        <w:rPr>
          <w:rFonts w:ascii="Times New Roman" w:hAnsi="Times New Roman"/>
        </w:rPr>
      </w:pPr>
    </w:p>
    <w:p w14:paraId="7A573844" w14:textId="77D76CB9" w:rsidR="000C34A7" w:rsidRPr="00BA36B0" w:rsidRDefault="000C34A7" w:rsidP="000C34A7">
      <w:pPr>
        <w:pStyle w:val="Parties"/>
        <w:rPr>
          <w:rFonts w:ascii="Times New Roman" w:hAnsi="Times New Roman"/>
        </w:rPr>
      </w:pPr>
      <w:r w:rsidRPr="00BA36B0">
        <w:rPr>
          <w:rFonts w:ascii="Times New Roman" w:hAnsi="Times New Roman"/>
        </w:rPr>
        <w:t xml:space="preserve">Delivered: This judgment was prepared and authored by the Judge whose name is reflected above and is handed down electronically by circulation to the parties/their legal representatives by email and by uploading it to the electronic file of this matter on CaseLines. The date for </w:t>
      </w:r>
      <w:r w:rsidRPr="00EB5063">
        <w:rPr>
          <w:rFonts w:ascii="Times New Roman" w:hAnsi="Times New Roman"/>
        </w:rPr>
        <w:t xml:space="preserve">hand down is deemed to be </w:t>
      </w:r>
      <w:r w:rsidR="0057750C">
        <w:rPr>
          <w:rFonts w:ascii="Times New Roman" w:hAnsi="Times New Roman"/>
        </w:rPr>
        <w:t>1</w:t>
      </w:r>
      <w:r w:rsidR="00140986">
        <w:rPr>
          <w:rFonts w:ascii="Times New Roman" w:hAnsi="Times New Roman"/>
        </w:rPr>
        <w:t>3</w:t>
      </w:r>
      <w:r w:rsidR="00722E25" w:rsidRPr="00EB5063">
        <w:rPr>
          <w:rFonts w:ascii="Times New Roman" w:hAnsi="Times New Roman"/>
        </w:rPr>
        <w:t xml:space="preserve"> November</w:t>
      </w:r>
      <w:r w:rsidRPr="00EB5063">
        <w:rPr>
          <w:rFonts w:ascii="Times New Roman" w:hAnsi="Times New Roman"/>
        </w:rPr>
        <w:t xml:space="preserve"> 2023.</w:t>
      </w:r>
    </w:p>
    <w:p w14:paraId="7F1680BC" w14:textId="77777777" w:rsidR="000C34A7" w:rsidRPr="00BA36B0" w:rsidRDefault="000C34A7" w:rsidP="000C34A7">
      <w:pPr>
        <w:pStyle w:val="Parties"/>
        <w:rPr>
          <w:rFonts w:ascii="Times New Roman" w:hAnsi="Times New Roman"/>
        </w:rPr>
      </w:pPr>
    </w:p>
    <w:p w14:paraId="1D55AC34" w14:textId="77777777" w:rsidR="000C34A7" w:rsidRPr="00BA36B0" w:rsidRDefault="000C34A7" w:rsidP="000C34A7">
      <w:pPr>
        <w:pStyle w:val="Parties"/>
        <w:rPr>
          <w:rFonts w:ascii="Times New Roman" w:hAnsi="Times New Roman"/>
          <w:b/>
          <w:bCs/>
        </w:rPr>
      </w:pPr>
    </w:p>
    <w:p w14:paraId="7ABBFCC3" w14:textId="77777777" w:rsidR="000C34A7" w:rsidRPr="00BA36B0" w:rsidRDefault="000C34A7" w:rsidP="000C34A7">
      <w:pPr>
        <w:pStyle w:val="Parties"/>
        <w:rPr>
          <w:rFonts w:ascii="Times New Roman" w:hAnsi="Times New Roman"/>
          <w:b/>
          <w:bCs/>
        </w:rPr>
      </w:pPr>
    </w:p>
    <w:p w14:paraId="18DCB5AF" w14:textId="77777777" w:rsidR="000C34A7" w:rsidRPr="00BA36B0" w:rsidRDefault="000C34A7" w:rsidP="000C34A7">
      <w:pPr>
        <w:pStyle w:val="Parties"/>
        <w:rPr>
          <w:rFonts w:ascii="Times New Roman" w:hAnsi="Times New Roman"/>
          <w:b/>
          <w:bCs/>
        </w:rPr>
      </w:pPr>
    </w:p>
    <w:p w14:paraId="6632C354" w14:textId="77777777" w:rsidR="000C34A7" w:rsidRPr="00BA36B0" w:rsidRDefault="000C34A7" w:rsidP="000C34A7">
      <w:pPr>
        <w:pStyle w:val="Parties"/>
        <w:rPr>
          <w:rFonts w:ascii="Times New Roman" w:hAnsi="Times New Roman"/>
          <w:b/>
          <w:bCs/>
        </w:rPr>
      </w:pPr>
      <w:r w:rsidRPr="00BA36B0">
        <w:rPr>
          <w:rFonts w:ascii="Times New Roman" w:hAnsi="Times New Roman"/>
          <w:b/>
          <w:bCs/>
        </w:rPr>
        <w:t>APPEARANCES:</w:t>
      </w:r>
    </w:p>
    <w:p w14:paraId="447C55AA" w14:textId="77777777" w:rsidR="000C34A7" w:rsidRPr="00BA36B0" w:rsidRDefault="000C34A7" w:rsidP="000C34A7">
      <w:pPr>
        <w:pStyle w:val="Parties"/>
        <w:rPr>
          <w:rFonts w:ascii="Times New Roman" w:hAnsi="Times New Roman"/>
        </w:rPr>
      </w:pPr>
    </w:p>
    <w:p w14:paraId="168CDFCF" w14:textId="77777777" w:rsidR="00BE0D20" w:rsidRPr="00BA36B0" w:rsidRDefault="000C34A7" w:rsidP="000C34A7">
      <w:pPr>
        <w:pStyle w:val="BodyTextIndent"/>
        <w:spacing w:after="0" w:line="240" w:lineRule="auto"/>
        <w:ind w:left="0"/>
        <w:rPr>
          <w:rFonts w:ascii="Times New Roman" w:hAnsi="Times New Roman"/>
        </w:rPr>
      </w:pPr>
      <w:r w:rsidRPr="00BA36B0">
        <w:rPr>
          <w:rFonts w:ascii="Times New Roman" w:hAnsi="Times New Roman"/>
        </w:rPr>
        <w:t>Attorney for the applicant</w:t>
      </w:r>
    </w:p>
    <w:p w14:paraId="3D9BED03" w14:textId="77777777" w:rsidR="00BE0D20" w:rsidRPr="00BA36B0" w:rsidRDefault="00BE0D20" w:rsidP="000C34A7">
      <w:pPr>
        <w:pStyle w:val="BodyTextIndent"/>
        <w:spacing w:after="0" w:line="240" w:lineRule="auto"/>
        <w:ind w:left="0"/>
        <w:rPr>
          <w:rFonts w:ascii="Times New Roman" w:hAnsi="Times New Roman"/>
        </w:rPr>
      </w:pPr>
      <w:r w:rsidRPr="00BA36B0">
        <w:rPr>
          <w:rFonts w:ascii="Times New Roman" w:hAnsi="Times New Roman"/>
        </w:rPr>
        <w:t xml:space="preserve">(respondent in application for </w:t>
      </w:r>
    </w:p>
    <w:p w14:paraId="70EF4707" w14:textId="21425CA3" w:rsidR="000C34A7" w:rsidRPr="00BA36B0" w:rsidRDefault="00BE0D20" w:rsidP="000C34A7">
      <w:pPr>
        <w:pStyle w:val="BodyTextIndent"/>
        <w:spacing w:after="0" w:line="240" w:lineRule="auto"/>
        <w:ind w:left="0"/>
        <w:rPr>
          <w:rFonts w:ascii="Times New Roman" w:hAnsi="Times New Roman"/>
        </w:rPr>
      </w:pPr>
      <w:r w:rsidRPr="00BA36B0">
        <w:rPr>
          <w:rFonts w:ascii="Times New Roman" w:hAnsi="Times New Roman"/>
        </w:rPr>
        <w:t>leave to appeal)</w:t>
      </w:r>
      <w:r w:rsidR="000C34A7" w:rsidRPr="00BA36B0">
        <w:rPr>
          <w:rFonts w:ascii="Times New Roman" w:hAnsi="Times New Roman"/>
        </w:rPr>
        <w:t>:</w:t>
      </w:r>
      <w:r w:rsidR="000C34A7" w:rsidRPr="00BA36B0">
        <w:rPr>
          <w:rFonts w:ascii="Times New Roman" w:hAnsi="Times New Roman"/>
        </w:rPr>
        <w:tab/>
      </w:r>
      <w:r w:rsidRPr="00BA36B0">
        <w:rPr>
          <w:rFonts w:ascii="Times New Roman" w:hAnsi="Times New Roman"/>
        </w:rPr>
        <w:tab/>
      </w:r>
      <w:r w:rsidRPr="00BA36B0">
        <w:rPr>
          <w:rFonts w:ascii="Times New Roman" w:hAnsi="Times New Roman"/>
        </w:rPr>
        <w:tab/>
      </w:r>
      <w:r w:rsidR="000C34A7" w:rsidRPr="00BA36B0">
        <w:rPr>
          <w:rFonts w:ascii="Times New Roman" w:hAnsi="Times New Roman"/>
        </w:rPr>
        <w:tab/>
        <w:t>Dube Lesley Attorneys</w:t>
      </w:r>
    </w:p>
    <w:p w14:paraId="2684C371" w14:textId="77777777" w:rsidR="000C34A7" w:rsidRPr="00BA36B0" w:rsidRDefault="000C34A7" w:rsidP="000C34A7">
      <w:pPr>
        <w:pStyle w:val="BodyTextIndent"/>
        <w:spacing w:after="0" w:line="240" w:lineRule="auto"/>
        <w:ind w:left="0"/>
        <w:rPr>
          <w:rFonts w:ascii="Times New Roman" w:hAnsi="Times New Roman"/>
        </w:rPr>
      </w:pPr>
    </w:p>
    <w:p w14:paraId="55F1D849" w14:textId="2CA4F79C" w:rsidR="004D59C2" w:rsidRPr="00BA36B0" w:rsidRDefault="000C34A7" w:rsidP="000C34A7">
      <w:pPr>
        <w:pStyle w:val="BodyTextIndent"/>
        <w:spacing w:after="0" w:line="240" w:lineRule="auto"/>
        <w:ind w:left="0"/>
        <w:rPr>
          <w:rFonts w:ascii="Times New Roman" w:hAnsi="Times New Roman"/>
        </w:rPr>
      </w:pPr>
      <w:r w:rsidRPr="00BA36B0">
        <w:rPr>
          <w:rFonts w:ascii="Times New Roman" w:hAnsi="Times New Roman"/>
        </w:rPr>
        <w:t xml:space="preserve">Counsel for the </w:t>
      </w:r>
      <w:r w:rsidR="004D59C2" w:rsidRPr="00BA36B0">
        <w:rPr>
          <w:rFonts w:ascii="Times New Roman" w:hAnsi="Times New Roman"/>
        </w:rPr>
        <w:t>applicant</w:t>
      </w:r>
    </w:p>
    <w:p w14:paraId="4FBBE22E" w14:textId="77777777" w:rsidR="004D59C2" w:rsidRPr="00BA36B0" w:rsidRDefault="004D59C2" w:rsidP="004D59C2">
      <w:pPr>
        <w:pStyle w:val="BodyTextIndent"/>
        <w:spacing w:after="0" w:line="240" w:lineRule="auto"/>
        <w:ind w:left="0"/>
        <w:rPr>
          <w:rFonts w:ascii="Times New Roman" w:hAnsi="Times New Roman"/>
        </w:rPr>
      </w:pPr>
      <w:r w:rsidRPr="00BA36B0">
        <w:rPr>
          <w:rFonts w:ascii="Times New Roman" w:hAnsi="Times New Roman"/>
        </w:rPr>
        <w:t xml:space="preserve">(respondent in application for </w:t>
      </w:r>
    </w:p>
    <w:p w14:paraId="4E4A8F1B" w14:textId="161A1A65" w:rsidR="000C34A7" w:rsidRPr="00BA36B0" w:rsidRDefault="004D59C2" w:rsidP="004D59C2">
      <w:pPr>
        <w:pStyle w:val="BodyTextIndent"/>
        <w:spacing w:after="0" w:line="240" w:lineRule="auto"/>
        <w:ind w:left="0"/>
        <w:rPr>
          <w:rFonts w:ascii="Times New Roman" w:hAnsi="Times New Roman"/>
        </w:rPr>
      </w:pPr>
      <w:r w:rsidRPr="00C23523">
        <w:rPr>
          <w:rFonts w:ascii="Times New Roman" w:hAnsi="Times New Roman"/>
        </w:rPr>
        <w:t>leave to appeal)</w:t>
      </w:r>
      <w:r w:rsidR="000C34A7" w:rsidRPr="00C23523">
        <w:rPr>
          <w:rFonts w:ascii="Times New Roman" w:hAnsi="Times New Roman"/>
        </w:rPr>
        <w:t>:</w:t>
      </w:r>
      <w:r w:rsidRPr="00C23523">
        <w:rPr>
          <w:rFonts w:ascii="Times New Roman" w:hAnsi="Times New Roman"/>
        </w:rPr>
        <w:tab/>
      </w:r>
      <w:r w:rsidRPr="00C23523">
        <w:rPr>
          <w:rFonts w:ascii="Times New Roman" w:hAnsi="Times New Roman"/>
        </w:rPr>
        <w:tab/>
      </w:r>
      <w:r w:rsidR="000C34A7" w:rsidRPr="00C23523">
        <w:rPr>
          <w:rFonts w:ascii="Times New Roman" w:hAnsi="Times New Roman"/>
        </w:rPr>
        <w:tab/>
      </w:r>
      <w:r w:rsidR="000C34A7" w:rsidRPr="00C23523">
        <w:rPr>
          <w:rFonts w:ascii="Times New Roman" w:hAnsi="Times New Roman"/>
        </w:rPr>
        <w:tab/>
        <w:t>L Dube (Attorney with right of appearance)</w:t>
      </w:r>
    </w:p>
    <w:p w14:paraId="1D60DC79" w14:textId="77777777" w:rsidR="000C34A7" w:rsidRPr="00BA36B0" w:rsidRDefault="000C34A7" w:rsidP="000C34A7">
      <w:pPr>
        <w:pStyle w:val="BodyTextIndent"/>
        <w:spacing w:after="0" w:line="240" w:lineRule="auto"/>
        <w:ind w:left="0"/>
        <w:rPr>
          <w:rFonts w:ascii="Times New Roman" w:hAnsi="Times New Roman"/>
        </w:rPr>
      </w:pPr>
    </w:p>
    <w:p w14:paraId="5DA8E327" w14:textId="77777777" w:rsidR="00D76D8E" w:rsidRPr="00BA36B0" w:rsidRDefault="000C34A7" w:rsidP="004D59C2">
      <w:pPr>
        <w:pStyle w:val="BodyTextIndent"/>
        <w:spacing w:after="0" w:line="240" w:lineRule="auto"/>
        <w:ind w:left="0"/>
        <w:rPr>
          <w:rFonts w:ascii="Times New Roman" w:hAnsi="Times New Roman"/>
        </w:rPr>
      </w:pPr>
      <w:r w:rsidRPr="00BA36B0">
        <w:rPr>
          <w:rFonts w:ascii="Times New Roman" w:hAnsi="Times New Roman"/>
        </w:rPr>
        <w:t>Attorney for respondent</w:t>
      </w:r>
      <w:r w:rsidR="004D59C2" w:rsidRPr="00BA36B0">
        <w:rPr>
          <w:rFonts w:ascii="Times New Roman" w:hAnsi="Times New Roman"/>
        </w:rPr>
        <w:t xml:space="preserve"> (applica</w:t>
      </w:r>
      <w:r w:rsidR="00D76D8E" w:rsidRPr="00BA36B0">
        <w:rPr>
          <w:rFonts w:ascii="Times New Roman" w:hAnsi="Times New Roman"/>
        </w:rPr>
        <w:t>nt</w:t>
      </w:r>
      <w:r w:rsidR="004D59C2" w:rsidRPr="00BA36B0">
        <w:rPr>
          <w:rFonts w:ascii="Times New Roman" w:hAnsi="Times New Roman"/>
        </w:rPr>
        <w:t xml:space="preserve"> in </w:t>
      </w:r>
    </w:p>
    <w:p w14:paraId="27F6C362" w14:textId="56314083" w:rsidR="000C34A7" w:rsidRPr="00BA36B0" w:rsidRDefault="004D59C2" w:rsidP="004D59C2">
      <w:pPr>
        <w:pStyle w:val="BodyTextIndent"/>
        <w:spacing w:after="0" w:line="240" w:lineRule="auto"/>
        <w:ind w:left="0"/>
        <w:rPr>
          <w:rFonts w:ascii="Times New Roman" w:hAnsi="Times New Roman"/>
        </w:rPr>
      </w:pPr>
      <w:r w:rsidRPr="00BA36B0">
        <w:rPr>
          <w:rFonts w:ascii="Times New Roman" w:hAnsi="Times New Roman"/>
        </w:rPr>
        <w:t>application for</w:t>
      </w:r>
      <w:r w:rsidR="00D76D8E" w:rsidRPr="00BA36B0">
        <w:rPr>
          <w:rFonts w:ascii="Times New Roman" w:hAnsi="Times New Roman"/>
        </w:rPr>
        <w:t xml:space="preserve"> </w:t>
      </w:r>
      <w:r w:rsidRPr="00BA36B0">
        <w:rPr>
          <w:rFonts w:ascii="Times New Roman" w:hAnsi="Times New Roman"/>
        </w:rPr>
        <w:t>leave to appeal)</w:t>
      </w:r>
      <w:r w:rsidR="000C34A7" w:rsidRPr="00BA36B0">
        <w:rPr>
          <w:rFonts w:ascii="Times New Roman" w:hAnsi="Times New Roman"/>
        </w:rPr>
        <w:t>:</w:t>
      </w:r>
      <w:r w:rsidR="000C34A7" w:rsidRPr="00BA36B0">
        <w:rPr>
          <w:rFonts w:ascii="Times New Roman" w:hAnsi="Times New Roman"/>
        </w:rPr>
        <w:tab/>
        <w:t>Peter Zwane Attorneys</w:t>
      </w:r>
    </w:p>
    <w:p w14:paraId="40B24DA2" w14:textId="77777777" w:rsidR="000C34A7" w:rsidRPr="00BA36B0" w:rsidRDefault="000C34A7" w:rsidP="000C34A7">
      <w:pPr>
        <w:pStyle w:val="BodyTextIndent"/>
        <w:spacing w:after="0" w:line="240" w:lineRule="auto"/>
        <w:ind w:left="0"/>
        <w:rPr>
          <w:rFonts w:ascii="Times New Roman" w:hAnsi="Times New Roman"/>
        </w:rPr>
      </w:pPr>
    </w:p>
    <w:p w14:paraId="39313863" w14:textId="77777777" w:rsidR="00D76D8E" w:rsidRPr="00BA36B0" w:rsidRDefault="000C34A7" w:rsidP="00D76D8E">
      <w:pPr>
        <w:pStyle w:val="BodyTextIndent"/>
        <w:spacing w:after="0" w:line="240" w:lineRule="auto"/>
        <w:ind w:left="0"/>
        <w:rPr>
          <w:rFonts w:ascii="Times New Roman" w:hAnsi="Times New Roman"/>
        </w:rPr>
      </w:pPr>
      <w:r w:rsidRPr="00BA36B0">
        <w:rPr>
          <w:rFonts w:ascii="Times New Roman" w:hAnsi="Times New Roman"/>
        </w:rPr>
        <w:t>Counsel for the respondent</w:t>
      </w:r>
      <w:r w:rsidR="00D76D8E" w:rsidRPr="00BA36B0">
        <w:rPr>
          <w:rFonts w:ascii="Times New Roman" w:hAnsi="Times New Roman"/>
        </w:rPr>
        <w:t xml:space="preserve"> </w:t>
      </w:r>
    </w:p>
    <w:p w14:paraId="1236AFB4" w14:textId="6AD2F26F" w:rsidR="00D76D8E" w:rsidRPr="00BA36B0" w:rsidRDefault="00D76D8E" w:rsidP="00D76D8E">
      <w:pPr>
        <w:pStyle w:val="BodyTextIndent"/>
        <w:spacing w:after="0" w:line="240" w:lineRule="auto"/>
        <w:ind w:left="0"/>
        <w:rPr>
          <w:rFonts w:ascii="Times New Roman" w:hAnsi="Times New Roman"/>
        </w:rPr>
      </w:pPr>
      <w:r w:rsidRPr="00BA36B0">
        <w:rPr>
          <w:rFonts w:ascii="Times New Roman" w:hAnsi="Times New Roman"/>
        </w:rPr>
        <w:t xml:space="preserve">(applicant in application for </w:t>
      </w:r>
    </w:p>
    <w:p w14:paraId="13592130" w14:textId="5753C56F" w:rsidR="000C34A7" w:rsidRPr="00BA36B0" w:rsidRDefault="00D76D8E" w:rsidP="00D76D8E">
      <w:pPr>
        <w:pStyle w:val="BodyTextIndent"/>
        <w:spacing w:after="0" w:line="240" w:lineRule="auto"/>
        <w:ind w:left="0"/>
        <w:rPr>
          <w:rFonts w:ascii="Times New Roman" w:hAnsi="Times New Roman"/>
        </w:rPr>
      </w:pPr>
      <w:r w:rsidRPr="00BA36B0">
        <w:rPr>
          <w:rFonts w:ascii="Times New Roman" w:hAnsi="Times New Roman"/>
        </w:rPr>
        <w:t>leave to appeal)</w:t>
      </w:r>
      <w:r w:rsidR="000C34A7" w:rsidRPr="00BA36B0">
        <w:rPr>
          <w:rFonts w:ascii="Times New Roman" w:hAnsi="Times New Roman"/>
        </w:rPr>
        <w:t>:</w:t>
      </w:r>
      <w:r w:rsidRPr="00BA36B0">
        <w:rPr>
          <w:rFonts w:ascii="Times New Roman" w:hAnsi="Times New Roman"/>
        </w:rPr>
        <w:tab/>
      </w:r>
      <w:r w:rsidRPr="00BA36B0">
        <w:rPr>
          <w:rFonts w:ascii="Times New Roman" w:hAnsi="Times New Roman"/>
        </w:rPr>
        <w:tab/>
      </w:r>
      <w:r w:rsidR="000C34A7" w:rsidRPr="00BA36B0">
        <w:rPr>
          <w:rFonts w:ascii="Times New Roman" w:hAnsi="Times New Roman"/>
        </w:rPr>
        <w:tab/>
      </w:r>
      <w:r w:rsidR="000C34A7" w:rsidRPr="00BA36B0">
        <w:rPr>
          <w:rFonts w:ascii="Times New Roman" w:hAnsi="Times New Roman"/>
        </w:rPr>
        <w:tab/>
        <w:t>P Zwane (Attorney with right of appearance)</w:t>
      </w:r>
    </w:p>
    <w:p w14:paraId="5D5AE00A" w14:textId="77777777" w:rsidR="000C34A7" w:rsidRPr="00BA36B0" w:rsidRDefault="000C34A7" w:rsidP="000C34A7">
      <w:pPr>
        <w:pStyle w:val="BodyTextIndent"/>
        <w:spacing w:after="0" w:line="240" w:lineRule="auto"/>
        <w:ind w:left="0"/>
        <w:rPr>
          <w:rFonts w:ascii="Times New Roman" w:hAnsi="Times New Roman"/>
        </w:rPr>
      </w:pPr>
    </w:p>
    <w:p w14:paraId="0251C2EB" w14:textId="591D3598" w:rsidR="000C34A7" w:rsidRPr="00BA36B0" w:rsidRDefault="000C34A7" w:rsidP="000C34A7">
      <w:pPr>
        <w:pStyle w:val="BodyTextIndent"/>
        <w:spacing w:after="0" w:line="240" w:lineRule="auto"/>
        <w:ind w:left="0"/>
        <w:rPr>
          <w:rFonts w:ascii="Times New Roman" w:hAnsi="Times New Roman"/>
        </w:rPr>
      </w:pPr>
      <w:r w:rsidRPr="00BA36B0">
        <w:rPr>
          <w:rFonts w:ascii="Times New Roman" w:hAnsi="Times New Roman"/>
        </w:rPr>
        <w:t xml:space="preserve">Date of hearing: </w:t>
      </w:r>
      <w:r w:rsidR="00722E25" w:rsidRPr="00BA36B0">
        <w:rPr>
          <w:rFonts w:ascii="Times New Roman" w:hAnsi="Times New Roman"/>
        </w:rPr>
        <w:t>9</w:t>
      </w:r>
      <w:r w:rsidRPr="00BA36B0">
        <w:rPr>
          <w:rFonts w:ascii="Times New Roman" w:hAnsi="Times New Roman"/>
        </w:rPr>
        <w:t xml:space="preserve"> </w:t>
      </w:r>
      <w:r w:rsidR="00722E25" w:rsidRPr="00BA36B0">
        <w:rPr>
          <w:rFonts w:ascii="Times New Roman" w:hAnsi="Times New Roman"/>
        </w:rPr>
        <w:t>November</w:t>
      </w:r>
      <w:r w:rsidRPr="00BA36B0">
        <w:rPr>
          <w:rFonts w:ascii="Times New Roman" w:hAnsi="Times New Roman"/>
        </w:rPr>
        <w:t xml:space="preserve"> 2023</w:t>
      </w:r>
    </w:p>
    <w:p w14:paraId="15AF5856" w14:textId="77777777" w:rsidR="000C34A7" w:rsidRPr="00BA36B0" w:rsidRDefault="000C34A7" w:rsidP="000C34A7">
      <w:pPr>
        <w:pStyle w:val="BodyTextIndent"/>
        <w:spacing w:after="0" w:line="240" w:lineRule="auto"/>
        <w:ind w:left="0"/>
        <w:rPr>
          <w:rFonts w:ascii="Times New Roman" w:hAnsi="Times New Roman"/>
        </w:rPr>
      </w:pPr>
    </w:p>
    <w:p w14:paraId="02DCA01C" w14:textId="3B68AD07" w:rsidR="000C34A7" w:rsidRPr="00BA36B0" w:rsidRDefault="000C34A7" w:rsidP="000C34A7">
      <w:pPr>
        <w:rPr>
          <w:rFonts w:ascii="Times New Roman" w:hAnsi="Times New Roman"/>
        </w:rPr>
      </w:pPr>
      <w:r w:rsidRPr="00EB5063">
        <w:rPr>
          <w:rFonts w:ascii="Times New Roman" w:hAnsi="Times New Roman"/>
        </w:rPr>
        <w:t xml:space="preserve">Date of judgment: </w:t>
      </w:r>
      <w:r w:rsidR="0057750C">
        <w:rPr>
          <w:rFonts w:ascii="Times New Roman" w:hAnsi="Times New Roman"/>
        </w:rPr>
        <w:t>1</w:t>
      </w:r>
      <w:r w:rsidR="00140986">
        <w:rPr>
          <w:rFonts w:ascii="Times New Roman" w:hAnsi="Times New Roman"/>
        </w:rPr>
        <w:t>3</w:t>
      </w:r>
      <w:r w:rsidR="00722E25" w:rsidRPr="00EB5063">
        <w:rPr>
          <w:rFonts w:ascii="Times New Roman" w:hAnsi="Times New Roman"/>
        </w:rPr>
        <w:t xml:space="preserve"> November</w:t>
      </w:r>
      <w:r w:rsidRPr="00EB5063">
        <w:rPr>
          <w:rFonts w:ascii="Times New Roman" w:hAnsi="Times New Roman"/>
        </w:rPr>
        <w:t xml:space="preserve"> 2023</w:t>
      </w:r>
    </w:p>
    <w:p w14:paraId="64F6F383" w14:textId="77777777" w:rsidR="000C34A7" w:rsidRPr="00BA36B0" w:rsidRDefault="000C34A7" w:rsidP="000C34A7">
      <w:pPr>
        <w:pStyle w:val="WLGLevel2"/>
        <w:numPr>
          <w:ilvl w:val="0"/>
          <w:numId w:val="0"/>
        </w:numPr>
        <w:ind w:left="1361" w:hanging="794"/>
        <w:rPr>
          <w:rFonts w:ascii="Times New Roman" w:hAnsi="Times New Roman"/>
        </w:rPr>
      </w:pPr>
    </w:p>
    <w:p w14:paraId="1B01B6CD" w14:textId="77777777" w:rsidR="000C34A7" w:rsidRPr="00BA36B0" w:rsidRDefault="000C34A7" w:rsidP="000C34A7">
      <w:pPr>
        <w:pStyle w:val="WLGLevel1"/>
        <w:numPr>
          <w:ilvl w:val="0"/>
          <w:numId w:val="0"/>
        </w:numPr>
        <w:ind w:left="562" w:hanging="562"/>
        <w:rPr>
          <w:rFonts w:ascii="Times New Roman" w:hAnsi="Times New Roman"/>
        </w:rPr>
      </w:pPr>
    </w:p>
    <w:sectPr w:rsidR="000C34A7" w:rsidRPr="00BA36B0">
      <w:headerReference w:type="even" r:id="rId10"/>
      <w:headerReference w:type="default" r:id="rId11"/>
      <w:pgSz w:w="11906" w:h="16838"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C0FBEC" w14:textId="77777777" w:rsidR="009D57DF" w:rsidRDefault="009D57DF">
      <w:r>
        <w:separator/>
      </w:r>
    </w:p>
  </w:endnote>
  <w:endnote w:type="continuationSeparator" w:id="0">
    <w:p w14:paraId="3A5518BC" w14:textId="77777777" w:rsidR="009D57DF" w:rsidRDefault="009D5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1E531" w14:textId="77777777" w:rsidR="009D57DF" w:rsidRDefault="009D57DF">
      <w:r>
        <w:separator/>
      </w:r>
    </w:p>
  </w:footnote>
  <w:footnote w:type="continuationSeparator" w:id="0">
    <w:p w14:paraId="26E67472" w14:textId="77777777" w:rsidR="009D57DF" w:rsidRDefault="009D57DF">
      <w:r>
        <w:continuationSeparator/>
      </w:r>
    </w:p>
  </w:footnote>
  <w:footnote w:id="1">
    <w:p w14:paraId="1E9B0F71" w14:textId="2558E646" w:rsidR="00290F8B" w:rsidRPr="00E201E8" w:rsidRDefault="00290F8B" w:rsidP="00B75C15">
      <w:pPr>
        <w:pStyle w:val="FootnoteText"/>
        <w:ind w:left="567" w:hanging="567"/>
        <w:rPr>
          <w:rFonts w:ascii="Times New Roman" w:hAnsi="Times New Roman"/>
          <w:sz w:val="22"/>
          <w:szCs w:val="22"/>
          <w:lang w:val="en-US"/>
        </w:rPr>
      </w:pPr>
      <w:r w:rsidRPr="00E201E8">
        <w:rPr>
          <w:rStyle w:val="FootnoteReference"/>
          <w:rFonts w:ascii="Times New Roman" w:hAnsi="Times New Roman"/>
          <w:sz w:val="22"/>
          <w:szCs w:val="22"/>
        </w:rPr>
        <w:footnoteRef/>
      </w:r>
      <w:r w:rsidRPr="00E201E8">
        <w:rPr>
          <w:rFonts w:ascii="Times New Roman" w:hAnsi="Times New Roman"/>
          <w:sz w:val="22"/>
          <w:szCs w:val="22"/>
        </w:rPr>
        <w:t xml:space="preserve"> </w:t>
      </w:r>
      <w:r w:rsidRPr="00E201E8">
        <w:rPr>
          <w:rFonts w:ascii="Times New Roman" w:hAnsi="Times New Roman"/>
          <w:sz w:val="22"/>
          <w:szCs w:val="22"/>
          <w:lang w:val="en-US"/>
        </w:rPr>
        <w:tab/>
      </w:r>
      <w:r w:rsidR="0099481B" w:rsidRPr="00E201E8">
        <w:rPr>
          <w:rFonts w:ascii="Times New Roman" w:hAnsi="Times New Roman"/>
          <w:sz w:val="22"/>
          <w:szCs w:val="22"/>
          <w:lang w:val="en-US"/>
        </w:rPr>
        <w:t xml:space="preserve">See University of Johannesburg v Auckland Park Theological Seminary 2021 </w:t>
      </w:r>
      <w:r w:rsidR="005A2CAE" w:rsidRPr="00E201E8">
        <w:rPr>
          <w:rFonts w:ascii="Times New Roman" w:hAnsi="Times New Roman"/>
          <w:sz w:val="22"/>
          <w:szCs w:val="22"/>
          <w:lang w:val="en-US"/>
        </w:rPr>
        <w:t>(6) SA 1 (CC)</w:t>
      </w:r>
      <w:r w:rsidR="002D5FAD" w:rsidRPr="00E201E8">
        <w:rPr>
          <w:rFonts w:ascii="Times New Roman" w:hAnsi="Times New Roman"/>
          <w:sz w:val="22"/>
          <w:szCs w:val="22"/>
          <w:lang w:val="en-US"/>
        </w:rPr>
        <w:t xml:space="preserve"> at paras 67-8</w:t>
      </w:r>
    </w:p>
  </w:footnote>
  <w:footnote w:id="2">
    <w:p w14:paraId="2B5EC1A3" w14:textId="24610D0F" w:rsidR="005F42A6" w:rsidRPr="00E201E8" w:rsidRDefault="005F42A6">
      <w:pPr>
        <w:pStyle w:val="FootnoteText"/>
        <w:rPr>
          <w:rFonts w:ascii="Times New Roman" w:hAnsi="Times New Roman"/>
          <w:sz w:val="22"/>
          <w:szCs w:val="22"/>
          <w:lang w:val="en-US"/>
        </w:rPr>
      </w:pPr>
      <w:r w:rsidRPr="00E201E8">
        <w:rPr>
          <w:rStyle w:val="FootnoteReference"/>
          <w:rFonts w:ascii="Times New Roman" w:hAnsi="Times New Roman"/>
          <w:sz w:val="22"/>
          <w:szCs w:val="22"/>
        </w:rPr>
        <w:footnoteRef/>
      </w:r>
      <w:r w:rsidRPr="00E201E8">
        <w:rPr>
          <w:rFonts w:ascii="Times New Roman" w:hAnsi="Times New Roman"/>
          <w:sz w:val="22"/>
          <w:szCs w:val="22"/>
        </w:rPr>
        <w:t xml:space="preserve"> </w:t>
      </w:r>
      <w:r w:rsidRPr="00E201E8">
        <w:rPr>
          <w:rFonts w:ascii="Times New Roman" w:hAnsi="Times New Roman"/>
          <w:sz w:val="22"/>
          <w:szCs w:val="22"/>
          <w:lang w:val="en-US"/>
        </w:rPr>
        <w:tab/>
      </w:r>
      <w:r w:rsidR="004D3E8E" w:rsidRPr="00E201E8">
        <w:rPr>
          <w:rFonts w:ascii="Times New Roman" w:hAnsi="Times New Roman"/>
          <w:sz w:val="22"/>
          <w:szCs w:val="22"/>
          <w:lang w:val="en-US"/>
        </w:rPr>
        <w:t>See University of Johannesburg (supra) at para 68</w:t>
      </w:r>
    </w:p>
  </w:footnote>
  <w:footnote w:id="3">
    <w:p w14:paraId="4A637E2F" w14:textId="0184ECAB" w:rsidR="005F42A6" w:rsidRPr="00E201E8" w:rsidRDefault="005F42A6" w:rsidP="00E201E8">
      <w:pPr>
        <w:pStyle w:val="FootnoteText"/>
        <w:ind w:left="567" w:hanging="567"/>
        <w:rPr>
          <w:rFonts w:ascii="Times New Roman" w:hAnsi="Times New Roman"/>
          <w:sz w:val="22"/>
          <w:szCs w:val="22"/>
          <w:lang w:val="en-US"/>
        </w:rPr>
      </w:pPr>
      <w:r w:rsidRPr="00E201E8">
        <w:rPr>
          <w:rStyle w:val="FootnoteReference"/>
          <w:rFonts w:ascii="Times New Roman" w:hAnsi="Times New Roman"/>
          <w:sz w:val="22"/>
          <w:szCs w:val="22"/>
        </w:rPr>
        <w:footnoteRef/>
      </w:r>
      <w:r w:rsidRPr="00E201E8">
        <w:rPr>
          <w:rFonts w:ascii="Times New Roman" w:hAnsi="Times New Roman"/>
          <w:sz w:val="22"/>
          <w:szCs w:val="22"/>
        </w:rPr>
        <w:t xml:space="preserve"> </w:t>
      </w:r>
      <w:r w:rsidRPr="00E201E8">
        <w:rPr>
          <w:rFonts w:ascii="Times New Roman" w:hAnsi="Times New Roman"/>
          <w:sz w:val="22"/>
          <w:szCs w:val="22"/>
          <w:lang w:val="en-US"/>
        </w:rPr>
        <w:tab/>
      </w:r>
      <w:r w:rsidR="00F71FC5" w:rsidRPr="00E201E8">
        <w:rPr>
          <w:rFonts w:ascii="Times New Roman" w:hAnsi="Times New Roman"/>
          <w:sz w:val="22"/>
          <w:szCs w:val="22"/>
          <w:lang w:val="en-US"/>
        </w:rPr>
        <w:t xml:space="preserve">See </w:t>
      </w:r>
      <w:r w:rsidR="00140F77" w:rsidRPr="00E201E8">
        <w:rPr>
          <w:rFonts w:ascii="Times New Roman" w:hAnsi="Times New Roman"/>
          <w:sz w:val="22"/>
          <w:szCs w:val="22"/>
          <w:lang w:val="en-US"/>
        </w:rPr>
        <w:t>Capitec Bank Holdings Ltd v Coral Lagoon Investments 194 (Pty) Ltd 2022 (1) SA 100 (SCA)</w:t>
      </w:r>
      <w:r w:rsidR="00BE4E16" w:rsidRPr="00E201E8">
        <w:rPr>
          <w:rFonts w:ascii="Times New Roman" w:hAnsi="Times New Roman"/>
          <w:sz w:val="22"/>
          <w:szCs w:val="22"/>
          <w:lang w:val="en-US"/>
        </w:rPr>
        <w:t xml:space="preserve"> at paras </w:t>
      </w:r>
      <w:r w:rsidR="00E201E8" w:rsidRPr="00E201E8">
        <w:rPr>
          <w:rFonts w:ascii="Times New Roman" w:hAnsi="Times New Roman"/>
          <w:sz w:val="22"/>
          <w:szCs w:val="22"/>
          <w:lang w:val="en-US"/>
        </w:rPr>
        <w:t>47 to 52</w:t>
      </w:r>
    </w:p>
  </w:footnote>
  <w:footnote w:id="4">
    <w:p w14:paraId="194033FB" w14:textId="28B1D8AE" w:rsidR="006154C6" w:rsidRPr="00E201E8" w:rsidRDefault="006154C6">
      <w:pPr>
        <w:pStyle w:val="FootnoteText"/>
        <w:rPr>
          <w:rFonts w:ascii="Times New Roman" w:hAnsi="Times New Roman"/>
          <w:sz w:val="22"/>
          <w:szCs w:val="22"/>
          <w:lang w:val="en-US"/>
        </w:rPr>
      </w:pPr>
      <w:r w:rsidRPr="00E201E8">
        <w:rPr>
          <w:rStyle w:val="FootnoteReference"/>
          <w:rFonts w:ascii="Times New Roman" w:hAnsi="Times New Roman"/>
          <w:sz w:val="22"/>
          <w:szCs w:val="22"/>
        </w:rPr>
        <w:footnoteRef/>
      </w:r>
      <w:r w:rsidRPr="00E201E8">
        <w:rPr>
          <w:rFonts w:ascii="Times New Roman" w:hAnsi="Times New Roman"/>
          <w:sz w:val="22"/>
          <w:szCs w:val="22"/>
        </w:rPr>
        <w:t xml:space="preserve"> </w:t>
      </w:r>
      <w:r w:rsidRPr="00E201E8">
        <w:rPr>
          <w:rFonts w:ascii="Times New Roman" w:hAnsi="Times New Roman"/>
          <w:sz w:val="22"/>
          <w:szCs w:val="22"/>
          <w:lang w:val="en-US"/>
        </w:rPr>
        <w:tab/>
        <w:t>See Blakes Map</w:t>
      </w:r>
      <w:r w:rsidR="002868AA" w:rsidRPr="00E201E8">
        <w:rPr>
          <w:rFonts w:ascii="Times New Roman" w:hAnsi="Times New Roman"/>
          <w:sz w:val="22"/>
          <w:szCs w:val="22"/>
          <w:lang w:val="en-US"/>
        </w:rPr>
        <w:t>hanga (supra) at para</w:t>
      </w:r>
      <w:r w:rsidR="00AD03CC">
        <w:rPr>
          <w:rFonts w:ascii="Times New Roman" w:hAnsi="Times New Roman"/>
          <w:sz w:val="22"/>
          <w:szCs w:val="22"/>
          <w:lang w:val="en-US"/>
        </w:rPr>
        <w:t xml:space="preserve"> </w:t>
      </w:r>
      <w:r w:rsidR="002868AA" w:rsidRPr="00E201E8">
        <w:rPr>
          <w:rFonts w:ascii="Times New Roman" w:hAnsi="Times New Roman"/>
          <w:sz w:val="22"/>
          <w:szCs w:val="22"/>
          <w:lang w:val="en-US"/>
        </w:rPr>
        <w:t>15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C5BAD" w14:textId="77777777" w:rsidR="005C74EA" w:rsidRDefault="005C74E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15E3C6" w14:textId="77777777" w:rsidR="005C74EA" w:rsidRDefault="005C74EA">
    <w:pPr>
      <w:pStyle w:val="Header"/>
      <w:ind w:right="360"/>
    </w:pPr>
  </w:p>
  <w:p w14:paraId="38CFFA4C" w14:textId="77777777" w:rsidR="005C74EA" w:rsidRDefault="005C74E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6CE29" w14:textId="583CF852" w:rsidR="005C74EA" w:rsidRDefault="005C74EA">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D24513">
      <w:rPr>
        <w:rStyle w:val="PageNumber"/>
        <w:noProof/>
      </w:rPr>
      <w:t>2</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A92548"/>
    <w:multiLevelType w:val="hybridMultilevel"/>
    <w:tmpl w:val="D41CB464"/>
    <w:lvl w:ilvl="0" w:tplc="735022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4A61304"/>
    <w:multiLevelType w:val="multilevel"/>
    <w:tmpl w:val="A9A80ACC"/>
    <w:lvl w:ilvl="0">
      <w:start w:val="1"/>
      <w:numFmt w:val="decimal"/>
      <w:pStyle w:val="WLGLevel1"/>
      <w:lvlText w:val="%1"/>
      <w:lvlJc w:val="left"/>
      <w:pPr>
        <w:tabs>
          <w:tab w:val="num" w:pos="567"/>
        </w:tabs>
        <w:ind w:left="567" w:hanging="567"/>
      </w:pPr>
      <w:rPr>
        <w:rFonts w:hint="default"/>
      </w:rPr>
    </w:lvl>
    <w:lvl w:ilvl="1">
      <w:start w:val="1"/>
      <w:numFmt w:val="decimal"/>
      <w:pStyle w:val="WLGLevel2"/>
      <w:lvlText w:val="%1.%2"/>
      <w:lvlJc w:val="left"/>
      <w:pPr>
        <w:tabs>
          <w:tab w:val="num" w:pos="1361"/>
        </w:tabs>
        <w:ind w:left="1361" w:hanging="794"/>
      </w:pPr>
      <w:rPr>
        <w:rFonts w:hint="default"/>
      </w:rPr>
    </w:lvl>
    <w:lvl w:ilvl="2">
      <w:start w:val="1"/>
      <w:numFmt w:val="decimal"/>
      <w:pStyle w:val="WLGLevel3"/>
      <w:lvlText w:val="%1.%2.%3"/>
      <w:lvlJc w:val="left"/>
      <w:pPr>
        <w:tabs>
          <w:tab w:val="num" w:pos="2381"/>
        </w:tabs>
        <w:ind w:left="2381" w:hanging="1020"/>
      </w:pPr>
      <w:rPr>
        <w:rFonts w:hint="default"/>
      </w:rPr>
    </w:lvl>
    <w:lvl w:ilvl="3">
      <w:start w:val="1"/>
      <w:numFmt w:val="decimal"/>
      <w:pStyle w:val="WLGLevel4"/>
      <w:lvlText w:val="%1.%2.%3.%4"/>
      <w:lvlJc w:val="left"/>
      <w:pPr>
        <w:tabs>
          <w:tab w:val="num" w:pos="3572"/>
        </w:tabs>
        <w:ind w:left="3572" w:hanging="1191"/>
      </w:pPr>
      <w:rPr>
        <w:rFonts w:hint="default"/>
      </w:rPr>
    </w:lvl>
    <w:lvl w:ilvl="4">
      <w:start w:val="1"/>
      <w:numFmt w:val="decimal"/>
      <w:pStyle w:val="WLGLevel5"/>
      <w:lvlText w:val="%1.%2.%3.%4.%5"/>
      <w:lvlJc w:val="left"/>
      <w:pPr>
        <w:tabs>
          <w:tab w:val="num" w:pos="4933"/>
        </w:tabs>
        <w:ind w:left="4933" w:hanging="1361"/>
      </w:pPr>
      <w:rPr>
        <w:rFonts w:hint="default"/>
      </w:rPr>
    </w:lvl>
    <w:lvl w:ilvl="5">
      <w:start w:val="1"/>
      <w:numFmt w:val="decimal"/>
      <w:lvlText w:val="%1.%2.%3.%4.%5.%6"/>
      <w:lvlJc w:val="left"/>
      <w:pPr>
        <w:tabs>
          <w:tab w:val="num" w:pos="3629"/>
        </w:tabs>
        <w:ind w:left="3629" w:hanging="3062"/>
      </w:pPr>
      <w:rPr>
        <w:rFonts w:hint="default"/>
      </w:rPr>
    </w:lvl>
    <w:lvl w:ilvl="6">
      <w:start w:val="1"/>
      <w:numFmt w:val="decimal"/>
      <w:lvlText w:val="%1.%2.%3.%4.%5.%6.%7"/>
      <w:lvlJc w:val="left"/>
      <w:pPr>
        <w:tabs>
          <w:tab w:val="num" w:pos="4139"/>
        </w:tabs>
        <w:ind w:left="4139" w:hanging="3572"/>
      </w:pPr>
      <w:rPr>
        <w:rFonts w:hint="default"/>
      </w:rPr>
    </w:lvl>
    <w:lvl w:ilvl="7">
      <w:start w:val="1"/>
      <w:numFmt w:val="decimal"/>
      <w:lvlText w:val="%1.%2.%3.%4.%5.%6.%7.%8"/>
      <w:lvlJc w:val="left"/>
      <w:pPr>
        <w:tabs>
          <w:tab w:val="num" w:pos="4649"/>
        </w:tabs>
        <w:ind w:left="4649" w:hanging="4082"/>
      </w:pPr>
      <w:rPr>
        <w:rFonts w:hint="default"/>
      </w:rPr>
    </w:lvl>
    <w:lvl w:ilvl="8">
      <w:start w:val="1"/>
      <w:numFmt w:val="decimal"/>
      <w:lvlText w:val="%1.%2.%3.%4.%5.%6.%7.%8.%9"/>
      <w:lvlJc w:val="left"/>
      <w:pPr>
        <w:tabs>
          <w:tab w:val="num" w:pos="5160"/>
        </w:tabs>
        <w:ind w:left="5160" w:hanging="4593"/>
      </w:pPr>
      <w:rPr>
        <w:rFonts w:hint="default"/>
      </w:rPr>
    </w:lvl>
  </w:abstractNum>
  <w:abstractNum w:abstractNumId="2" w15:restartNumberingAfterBreak="0">
    <w:nsid w:val="662272A2"/>
    <w:multiLevelType w:val="multilevel"/>
    <w:tmpl w:val="02D4D004"/>
    <w:lvl w:ilvl="0">
      <w:start w:val="1"/>
      <w:numFmt w:val="decimal"/>
      <w:isLgl/>
      <w:lvlText w:val="%1."/>
      <w:lvlJc w:val="left"/>
      <w:pPr>
        <w:tabs>
          <w:tab w:val="num" w:pos="567"/>
        </w:tabs>
        <w:ind w:left="567" w:hanging="567"/>
      </w:pPr>
      <w:rPr>
        <w:rFonts w:hint="default"/>
      </w:rPr>
    </w:lvl>
    <w:lvl w:ilvl="1">
      <w:start w:val="1"/>
      <w:numFmt w:val="decimal"/>
      <w:lvlText w:val="%1.%2."/>
      <w:lvlJc w:val="left"/>
      <w:pPr>
        <w:tabs>
          <w:tab w:val="num" w:pos="1304"/>
        </w:tabs>
        <w:ind w:left="1304" w:hanging="737"/>
      </w:pPr>
      <w:rPr>
        <w:rFonts w:hint="default"/>
      </w:rPr>
    </w:lvl>
    <w:lvl w:ilvl="2">
      <w:start w:val="1"/>
      <w:numFmt w:val="decimal"/>
      <w:pStyle w:val="Heading3"/>
      <w:lvlText w:val="%1.%2.%3."/>
      <w:lvlJc w:val="left"/>
      <w:pPr>
        <w:tabs>
          <w:tab w:val="num" w:pos="2495"/>
        </w:tabs>
        <w:ind w:left="2495" w:hanging="1191"/>
      </w:pPr>
      <w:rPr>
        <w:rFonts w:hint="default"/>
      </w:rPr>
    </w:lvl>
    <w:lvl w:ilvl="3">
      <w:start w:val="1"/>
      <w:numFmt w:val="decimal"/>
      <w:pStyle w:val="Heading4"/>
      <w:lvlText w:val="%1.%2.%3.%4."/>
      <w:lvlJc w:val="left"/>
      <w:pPr>
        <w:tabs>
          <w:tab w:val="num" w:pos="3686"/>
        </w:tabs>
        <w:ind w:left="3686" w:hanging="1191"/>
      </w:pPr>
      <w:rPr>
        <w:rFonts w:hint="default"/>
      </w:rPr>
    </w:lvl>
    <w:lvl w:ilvl="4">
      <w:start w:val="1"/>
      <w:numFmt w:val="decimal"/>
      <w:pStyle w:val="Heading5"/>
      <w:lvlText w:val="%1.%2.%3.%4.%5."/>
      <w:lvlJc w:val="left"/>
      <w:pPr>
        <w:tabs>
          <w:tab w:val="num" w:pos="4876"/>
        </w:tabs>
        <w:ind w:left="4876" w:hanging="1190"/>
      </w:pPr>
      <w:rPr>
        <w:rFonts w:hint="default"/>
      </w:rPr>
    </w:lvl>
    <w:lvl w:ilvl="5">
      <w:start w:val="1"/>
      <w:numFmt w:val="decimal"/>
      <w:pStyle w:val="Heading6"/>
      <w:lvlText w:val="%1.%2.%3.%4.%5.%6"/>
      <w:lvlJc w:val="left"/>
      <w:pPr>
        <w:tabs>
          <w:tab w:val="num" w:pos="3062"/>
        </w:tabs>
        <w:ind w:left="3062" w:hanging="3062"/>
      </w:pPr>
      <w:rPr>
        <w:rFonts w:hint="default"/>
      </w:rPr>
    </w:lvl>
    <w:lvl w:ilvl="6">
      <w:start w:val="1"/>
      <w:numFmt w:val="decimal"/>
      <w:pStyle w:val="Heading7"/>
      <w:lvlText w:val="%1.%2.%3.%4.%5.%6.%7"/>
      <w:lvlJc w:val="left"/>
      <w:pPr>
        <w:tabs>
          <w:tab w:val="num" w:pos="3572"/>
        </w:tabs>
        <w:ind w:left="3572" w:hanging="3572"/>
      </w:pPr>
      <w:rPr>
        <w:rFonts w:hint="default"/>
      </w:rPr>
    </w:lvl>
    <w:lvl w:ilvl="7">
      <w:start w:val="1"/>
      <w:numFmt w:val="decimal"/>
      <w:pStyle w:val="Heading8"/>
      <w:lvlText w:val="%1.%2.%3.%4.%5.%6.%7.%8"/>
      <w:lvlJc w:val="left"/>
      <w:pPr>
        <w:tabs>
          <w:tab w:val="num" w:pos="4082"/>
        </w:tabs>
        <w:ind w:left="4082" w:hanging="4082"/>
      </w:pPr>
      <w:rPr>
        <w:rFonts w:hint="default"/>
      </w:rPr>
    </w:lvl>
    <w:lvl w:ilvl="8">
      <w:start w:val="1"/>
      <w:numFmt w:val="decimal"/>
      <w:pStyle w:val="Heading9"/>
      <w:lvlText w:val="%1.%2.%3.%4.%5.%6.%7.%8.%9"/>
      <w:lvlJc w:val="left"/>
      <w:pPr>
        <w:tabs>
          <w:tab w:val="num" w:pos="4593"/>
        </w:tabs>
        <w:ind w:left="4593" w:hanging="4593"/>
      </w:pPr>
      <w:rPr>
        <w:rFonts w:hint="default"/>
      </w:rPr>
    </w:lvl>
  </w:abstractNum>
  <w:abstractNum w:abstractNumId="3" w15:restartNumberingAfterBreak="0">
    <w:nsid w:val="69861313"/>
    <w:multiLevelType w:val="hybridMultilevel"/>
    <w:tmpl w:val="E36E737A"/>
    <w:lvl w:ilvl="0" w:tplc="0CE4DDE2">
      <w:start w:val="1"/>
      <w:numFmt w:val="decimal"/>
      <w:lvlText w:val="%1."/>
      <w:lvlJc w:val="left"/>
      <w:pPr>
        <w:ind w:left="1494" w:hanging="36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num w:numId="1">
    <w:abstractNumId w:val="2"/>
  </w:num>
  <w:num w:numId="2">
    <w:abstractNumId w:val="1"/>
  </w:num>
  <w:num w:numId="3">
    <w:abstractNumId w:val="0"/>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ZA" w:vendorID="8" w:dllVersion="513" w:checkStyle="1"/>
  <w:activeWritingStyle w:appName="MSWord" w:lang="en-GB"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410"/>
    <w:rsid w:val="00001A9C"/>
    <w:rsid w:val="00001EFF"/>
    <w:rsid w:val="000028F8"/>
    <w:rsid w:val="00003C2B"/>
    <w:rsid w:val="000042A7"/>
    <w:rsid w:val="0000763D"/>
    <w:rsid w:val="0000776A"/>
    <w:rsid w:val="00010037"/>
    <w:rsid w:val="00011167"/>
    <w:rsid w:val="00013ABE"/>
    <w:rsid w:val="0002016F"/>
    <w:rsid w:val="00020BAF"/>
    <w:rsid w:val="00023E10"/>
    <w:rsid w:val="00027757"/>
    <w:rsid w:val="0003092D"/>
    <w:rsid w:val="0003337A"/>
    <w:rsid w:val="00037950"/>
    <w:rsid w:val="00043B4A"/>
    <w:rsid w:val="00050849"/>
    <w:rsid w:val="00052E2D"/>
    <w:rsid w:val="00053C4C"/>
    <w:rsid w:val="00060E5C"/>
    <w:rsid w:val="0006228D"/>
    <w:rsid w:val="0006443D"/>
    <w:rsid w:val="00065D2A"/>
    <w:rsid w:val="0007342D"/>
    <w:rsid w:val="000739E4"/>
    <w:rsid w:val="00076F81"/>
    <w:rsid w:val="0008029B"/>
    <w:rsid w:val="00080F88"/>
    <w:rsid w:val="00086B61"/>
    <w:rsid w:val="00092DA9"/>
    <w:rsid w:val="000968E9"/>
    <w:rsid w:val="000A0EBD"/>
    <w:rsid w:val="000A48EB"/>
    <w:rsid w:val="000A5BEF"/>
    <w:rsid w:val="000A5E17"/>
    <w:rsid w:val="000A6054"/>
    <w:rsid w:val="000A7DB8"/>
    <w:rsid w:val="000B0D8F"/>
    <w:rsid w:val="000B2728"/>
    <w:rsid w:val="000B27F3"/>
    <w:rsid w:val="000B5AA0"/>
    <w:rsid w:val="000C1E50"/>
    <w:rsid w:val="000C34A7"/>
    <w:rsid w:val="000C72F4"/>
    <w:rsid w:val="000D1A0B"/>
    <w:rsid w:val="000D4790"/>
    <w:rsid w:val="000D7252"/>
    <w:rsid w:val="000D7D69"/>
    <w:rsid w:val="000E0673"/>
    <w:rsid w:val="000F1436"/>
    <w:rsid w:val="000F3C05"/>
    <w:rsid w:val="000F6EA0"/>
    <w:rsid w:val="000F7C21"/>
    <w:rsid w:val="00104E96"/>
    <w:rsid w:val="00107649"/>
    <w:rsid w:val="0011216D"/>
    <w:rsid w:val="00115C0F"/>
    <w:rsid w:val="00116EDE"/>
    <w:rsid w:val="001249EB"/>
    <w:rsid w:val="00124C45"/>
    <w:rsid w:val="00124CF6"/>
    <w:rsid w:val="001253AA"/>
    <w:rsid w:val="001325F0"/>
    <w:rsid w:val="00134C90"/>
    <w:rsid w:val="00135180"/>
    <w:rsid w:val="001362F6"/>
    <w:rsid w:val="00140986"/>
    <w:rsid w:val="00140F77"/>
    <w:rsid w:val="00142F30"/>
    <w:rsid w:val="00156F1E"/>
    <w:rsid w:val="0016254C"/>
    <w:rsid w:val="001626FE"/>
    <w:rsid w:val="00164821"/>
    <w:rsid w:val="00166917"/>
    <w:rsid w:val="001731F6"/>
    <w:rsid w:val="00173D28"/>
    <w:rsid w:val="00174D09"/>
    <w:rsid w:val="00177A2D"/>
    <w:rsid w:val="001807AD"/>
    <w:rsid w:val="00181720"/>
    <w:rsid w:val="00186D92"/>
    <w:rsid w:val="001908D1"/>
    <w:rsid w:val="001916C5"/>
    <w:rsid w:val="0019466A"/>
    <w:rsid w:val="0019672A"/>
    <w:rsid w:val="00197192"/>
    <w:rsid w:val="001A031F"/>
    <w:rsid w:val="001A16BA"/>
    <w:rsid w:val="001A1EB4"/>
    <w:rsid w:val="001A487E"/>
    <w:rsid w:val="001A7A79"/>
    <w:rsid w:val="001C05CA"/>
    <w:rsid w:val="001C1AB8"/>
    <w:rsid w:val="001C3222"/>
    <w:rsid w:val="001C424A"/>
    <w:rsid w:val="001C53AC"/>
    <w:rsid w:val="001D3680"/>
    <w:rsid w:val="001D46E8"/>
    <w:rsid w:val="001E31C5"/>
    <w:rsid w:val="001E3574"/>
    <w:rsid w:val="001E3D07"/>
    <w:rsid w:val="001E3DE9"/>
    <w:rsid w:val="001E699A"/>
    <w:rsid w:val="001F05FE"/>
    <w:rsid w:val="001F2187"/>
    <w:rsid w:val="001F7ADB"/>
    <w:rsid w:val="001F7C8F"/>
    <w:rsid w:val="002027B8"/>
    <w:rsid w:val="0020761D"/>
    <w:rsid w:val="00210E73"/>
    <w:rsid w:val="002111AD"/>
    <w:rsid w:val="00212881"/>
    <w:rsid w:val="002141C8"/>
    <w:rsid w:val="00217106"/>
    <w:rsid w:val="002204A9"/>
    <w:rsid w:val="00221443"/>
    <w:rsid w:val="00221DE8"/>
    <w:rsid w:val="002232D9"/>
    <w:rsid w:val="00226131"/>
    <w:rsid w:val="00226AC2"/>
    <w:rsid w:val="00231F75"/>
    <w:rsid w:val="002321FB"/>
    <w:rsid w:val="00234D8C"/>
    <w:rsid w:val="002351D1"/>
    <w:rsid w:val="00235B02"/>
    <w:rsid w:val="00236227"/>
    <w:rsid w:val="002405E4"/>
    <w:rsid w:val="00240839"/>
    <w:rsid w:val="00241185"/>
    <w:rsid w:val="00245D4C"/>
    <w:rsid w:val="0025673B"/>
    <w:rsid w:val="00257FB0"/>
    <w:rsid w:val="00262A35"/>
    <w:rsid w:val="00272D3E"/>
    <w:rsid w:val="00275BF3"/>
    <w:rsid w:val="00276258"/>
    <w:rsid w:val="00281A65"/>
    <w:rsid w:val="002849CA"/>
    <w:rsid w:val="00284B86"/>
    <w:rsid w:val="00285E30"/>
    <w:rsid w:val="002868AA"/>
    <w:rsid w:val="002870AD"/>
    <w:rsid w:val="00290F8B"/>
    <w:rsid w:val="00291B3B"/>
    <w:rsid w:val="002A2369"/>
    <w:rsid w:val="002A41E6"/>
    <w:rsid w:val="002A42BD"/>
    <w:rsid w:val="002B2380"/>
    <w:rsid w:val="002B4848"/>
    <w:rsid w:val="002B642C"/>
    <w:rsid w:val="002C3134"/>
    <w:rsid w:val="002C7923"/>
    <w:rsid w:val="002C7E1D"/>
    <w:rsid w:val="002D386C"/>
    <w:rsid w:val="002D5FAD"/>
    <w:rsid w:val="002D64FE"/>
    <w:rsid w:val="002E0A65"/>
    <w:rsid w:val="002F017E"/>
    <w:rsid w:val="002F1D64"/>
    <w:rsid w:val="002F2E0E"/>
    <w:rsid w:val="002F5422"/>
    <w:rsid w:val="002F5847"/>
    <w:rsid w:val="00301BEA"/>
    <w:rsid w:val="003026F4"/>
    <w:rsid w:val="00304C55"/>
    <w:rsid w:val="00305E31"/>
    <w:rsid w:val="00313960"/>
    <w:rsid w:val="00313A83"/>
    <w:rsid w:val="0031450F"/>
    <w:rsid w:val="00314666"/>
    <w:rsid w:val="00314898"/>
    <w:rsid w:val="00315DCC"/>
    <w:rsid w:val="00316F3E"/>
    <w:rsid w:val="003176C3"/>
    <w:rsid w:val="00320DFB"/>
    <w:rsid w:val="003219C2"/>
    <w:rsid w:val="00325C6F"/>
    <w:rsid w:val="00326DDD"/>
    <w:rsid w:val="00335913"/>
    <w:rsid w:val="00336410"/>
    <w:rsid w:val="00336A11"/>
    <w:rsid w:val="00336E60"/>
    <w:rsid w:val="00336EDE"/>
    <w:rsid w:val="00337220"/>
    <w:rsid w:val="0034203C"/>
    <w:rsid w:val="003454E0"/>
    <w:rsid w:val="00345C3D"/>
    <w:rsid w:val="00346E4B"/>
    <w:rsid w:val="0035583D"/>
    <w:rsid w:val="00355E28"/>
    <w:rsid w:val="00356286"/>
    <w:rsid w:val="00356D06"/>
    <w:rsid w:val="003609EF"/>
    <w:rsid w:val="00363D3B"/>
    <w:rsid w:val="003649E3"/>
    <w:rsid w:val="003650D8"/>
    <w:rsid w:val="00367920"/>
    <w:rsid w:val="00373DD1"/>
    <w:rsid w:val="0037434C"/>
    <w:rsid w:val="00376864"/>
    <w:rsid w:val="003871FD"/>
    <w:rsid w:val="00392AD6"/>
    <w:rsid w:val="00392B20"/>
    <w:rsid w:val="00392C72"/>
    <w:rsid w:val="00395B2D"/>
    <w:rsid w:val="003A2169"/>
    <w:rsid w:val="003A2207"/>
    <w:rsid w:val="003A2252"/>
    <w:rsid w:val="003A3953"/>
    <w:rsid w:val="003A3B50"/>
    <w:rsid w:val="003A629B"/>
    <w:rsid w:val="003B536C"/>
    <w:rsid w:val="003B5E3D"/>
    <w:rsid w:val="003B6C8F"/>
    <w:rsid w:val="003B7FB0"/>
    <w:rsid w:val="003C235E"/>
    <w:rsid w:val="003C3969"/>
    <w:rsid w:val="003C690F"/>
    <w:rsid w:val="003C6962"/>
    <w:rsid w:val="003D13F1"/>
    <w:rsid w:val="003D20DF"/>
    <w:rsid w:val="003D66CB"/>
    <w:rsid w:val="003F0C80"/>
    <w:rsid w:val="003F1F22"/>
    <w:rsid w:val="003F61B3"/>
    <w:rsid w:val="003F70AD"/>
    <w:rsid w:val="00411D00"/>
    <w:rsid w:val="0041440D"/>
    <w:rsid w:val="004152E2"/>
    <w:rsid w:val="004175BF"/>
    <w:rsid w:val="004200D9"/>
    <w:rsid w:val="004201B3"/>
    <w:rsid w:val="004236B1"/>
    <w:rsid w:val="00427031"/>
    <w:rsid w:val="00431BE8"/>
    <w:rsid w:val="0043716D"/>
    <w:rsid w:val="00437BAC"/>
    <w:rsid w:val="00440B18"/>
    <w:rsid w:val="004415F4"/>
    <w:rsid w:val="00443673"/>
    <w:rsid w:val="004457DC"/>
    <w:rsid w:val="004508B1"/>
    <w:rsid w:val="00453B07"/>
    <w:rsid w:val="00454C4A"/>
    <w:rsid w:val="00455C5C"/>
    <w:rsid w:val="00456ECA"/>
    <w:rsid w:val="00463B8A"/>
    <w:rsid w:val="004711A9"/>
    <w:rsid w:val="0047122C"/>
    <w:rsid w:val="00473B7B"/>
    <w:rsid w:val="004810D0"/>
    <w:rsid w:val="004816DE"/>
    <w:rsid w:val="0048187D"/>
    <w:rsid w:val="00482E9B"/>
    <w:rsid w:val="0048378A"/>
    <w:rsid w:val="00490D04"/>
    <w:rsid w:val="00491B10"/>
    <w:rsid w:val="0049433D"/>
    <w:rsid w:val="00496707"/>
    <w:rsid w:val="004A073E"/>
    <w:rsid w:val="004A1F14"/>
    <w:rsid w:val="004A224F"/>
    <w:rsid w:val="004A618B"/>
    <w:rsid w:val="004B217C"/>
    <w:rsid w:val="004B2B5C"/>
    <w:rsid w:val="004C0CB5"/>
    <w:rsid w:val="004C2782"/>
    <w:rsid w:val="004C2AE4"/>
    <w:rsid w:val="004C7E6D"/>
    <w:rsid w:val="004D3432"/>
    <w:rsid w:val="004D3E8E"/>
    <w:rsid w:val="004D4608"/>
    <w:rsid w:val="004D59C2"/>
    <w:rsid w:val="004E04F3"/>
    <w:rsid w:val="004E2D87"/>
    <w:rsid w:val="004E3D52"/>
    <w:rsid w:val="004E728C"/>
    <w:rsid w:val="004F0222"/>
    <w:rsid w:val="004F0403"/>
    <w:rsid w:val="004F109F"/>
    <w:rsid w:val="004F2D77"/>
    <w:rsid w:val="004F671F"/>
    <w:rsid w:val="00501213"/>
    <w:rsid w:val="00504E05"/>
    <w:rsid w:val="00506B25"/>
    <w:rsid w:val="00512E6F"/>
    <w:rsid w:val="00517CD9"/>
    <w:rsid w:val="00521902"/>
    <w:rsid w:val="00521A48"/>
    <w:rsid w:val="00521F65"/>
    <w:rsid w:val="005272A3"/>
    <w:rsid w:val="00533844"/>
    <w:rsid w:val="00537245"/>
    <w:rsid w:val="005454F6"/>
    <w:rsid w:val="0054622B"/>
    <w:rsid w:val="00547546"/>
    <w:rsid w:val="005500C7"/>
    <w:rsid w:val="00554EDF"/>
    <w:rsid w:val="005627E2"/>
    <w:rsid w:val="00563EE5"/>
    <w:rsid w:val="00566343"/>
    <w:rsid w:val="00567993"/>
    <w:rsid w:val="00570A22"/>
    <w:rsid w:val="00576AC2"/>
    <w:rsid w:val="0057750C"/>
    <w:rsid w:val="00583966"/>
    <w:rsid w:val="005915C5"/>
    <w:rsid w:val="00593BC1"/>
    <w:rsid w:val="00596603"/>
    <w:rsid w:val="005A2CAE"/>
    <w:rsid w:val="005A7716"/>
    <w:rsid w:val="005B074E"/>
    <w:rsid w:val="005B303A"/>
    <w:rsid w:val="005B4613"/>
    <w:rsid w:val="005C1B1E"/>
    <w:rsid w:val="005C4138"/>
    <w:rsid w:val="005C574B"/>
    <w:rsid w:val="005C5F32"/>
    <w:rsid w:val="005C74EA"/>
    <w:rsid w:val="005C794A"/>
    <w:rsid w:val="005E011E"/>
    <w:rsid w:val="005E07E9"/>
    <w:rsid w:val="005E09E1"/>
    <w:rsid w:val="005E38D0"/>
    <w:rsid w:val="005E3AEA"/>
    <w:rsid w:val="005E6CBB"/>
    <w:rsid w:val="005E6E4E"/>
    <w:rsid w:val="005F112B"/>
    <w:rsid w:val="005F1E25"/>
    <w:rsid w:val="005F35DE"/>
    <w:rsid w:val="005F42A6"/>
    <w:rsid w:val="005F4585"/>
    <w:rsid w:val="0060090B"/>
    <w:rsid w:val="006014F3"/>
    <w:rsid w:val="0060228B"/>
    <w:rsid w:val="0060472A"/>
    <w:rsid w:val="00604A23"/>
    <w:rsid w:val="00607918"/>
    <w:rsid w:val="00610994"/>
    <w:rsid w:val="006154C6"/>
    <w:rsid w:val="00617653"/>
    <w:rsid w:val="0062077F"/>
    <w:rsid w:val="00621074"/>
    <w:rsid w:val="00621670"/>
    <w:rsid w:val="00630D4A"/>
    <w:rsid w:val="00632662"/>
    <w:rsid w:val="0063315C"/>
    <w:rsid w:val="00634EC8"/>
    <w:rsid w:val="00640E3B"/>
    <w:rsid w:val="00642143"/>
    <w:rsid w:val="00642BC1"/>
    <w:rsid w:val="00642DC2"/>
    <w:rsid w:val="00647B56"/>
    <w:rsid w:val="00647D50"/>
    <w:rsid w:val="006517F9"/>
    <w:rsid w:val="0065256F"/>
    <w:rsid w:val="00657916"/>
    <w:rsid w:val="00662155"/>
    <w:rsid w:val="006626D6"/>
    <w:rsid w:val="00664E78"/>
    <w:rsid w:val="00667E77"/>
    <w:rsid w:val="00671B26"/>
    <w:rsid w:val="00671CD2"/>
    <w:rsid w:val="00676006"/>
    <w:rsid w:val="006766A4"/>
    <w:rsid w:val="00681BA3"/>
    <w:rsid w:val="00683236"/>
    <w:rsid w:val="00683D69"/>
    <w:rsid w:val="00685437"/>
    <w:rsid w:val="00694620"/>
    <w:rsid w:val="00694EC8"/>
    <w:rsid w:val="00696BBB"/>
    <w:rsid w:val="006A09F8"/>
    <w:rsid w:val="006A2C27"/>
    <w:rsid w:val="006A2CC4"/>
    <w:rsid w:val="006A4DE7"/>
    <w:rsid w:val="006A75E1"/>
    <w:rsid w:val="006B3574"/>
    <w:rsid w:val="006B3639"/>
    <w:rsid w:val="006B3DA6"/>
    <w:rsid w:val="006C12C1"/>
    <w:rsid w:val="006C4480"/>
    <w:rsid w:val="006C4A05"/>
    <w:rsid w:val="006C5B54"/>
    <w:rsid w:val="006C6D2D"/>
    <w:rsid w:val="006C78C3"/>
    <w:rsid w:val="006D0562"/>
    <w:rsid w:val="006D06E0"/>
    <w:rsid w:val="006D1DE2"/>
    <w:rsid w:val="006D42C0"/>
    <w:rsid w:val="006D7905"/>
    <w:rsid w:val="006E094B"/>
    <w:rsid w:val="006E39B8"/>
    <w:rsid w:val="006E652E"/>
    <w:rsid w:val="006E693B"/>
    <w:rsid w:val="006E70C5"/>
    <w:rsid w:val="006E78D7"/>
    <w:rsid w:val="006F114E"/>
    <w:rsid w:val="006F1BE2"/>
    <w:rsid w:val="006F3DA1"/>
    <w:rsid w:val="006F5134"/>
    <w:rsid w:val="006F557F"/>
    <w:rsid w:val="00701CE3"/>
    <w:rsid w:val="00703746"/>
    <w:rsid w:val="00716514"/>
    <w:rsid w:val="00720929"/>
    <w:rsid w:val="00722E25"/>
    <w:rsid w:val="00723BEF"/>
    <w:rsid w:val="0072683F"/>
    <w:rsid w:val="00731C52"/>
    <w:rsid w:val="00732010"/>
    <w:rsid w:val="00735874"/>
    <w:rsid w:val="00736D96"/>
    <w:rsid w:val="007412EB"/>
    <w:rsid w:val="00744585"/>
    <w:rsid w:val="007445CD"/>
    <w:rsid w:val="007473C1"/>
    <w:rsid w:val="00747A23"/>
    <w:rsid w:val="00747FDE"/>
    <w:rsid w:val="0075010D"/>
    <w:rsid w:val="00750595"/>
    <w:rsid w:val="00754169"/>
    <w:rsid w:val="00755C47"/>
    <w:rsid w:val="00756A85"/>
    <w:rsid w:val="0076323B"/>
    <w:rsid w:val="007634F8"/>
    <w:rsid w:val="00763600"/>
    <w:rsid w:val="007650A9"/>
    <w:rsid w:val="00766665"/>
    <w:rsid w:val="00770E68"/>
    <w:rsid w:val="007741C2"/>
    <w:rsid w:val="007760B7"/>
    <w:rsid w:val="00781A3F"/>
    <w:rsid w:val="00785DCF"/>
    <w:rsid w:val="007906F1"/>
    <w:rsid w:val="007908FF"/>
    <w:rsid w:val="00791318"/>
    <w:rsid w:val="00791A20"/>
    <w:rsid w:val="007934DC"/>
    <w:rsid w:val="00794C74"/>
    <w:rsid w:val="007A47AD"/>
    <w:rsid w:val="007A6482"/>
    <w:rsid w:val="007A777C"/>
    <w:rsid w:val="007A7D7F"/>
    <w:rsid w:val="007B11DD"/>
    <w:rsid w:val="007B2CB1"/>
    <w:rsid w:val="007B3E2F"/>
    <w:rsid w:val="007C189F"/>
    <w:rsid w:val="007C3AF8"/>
    <w:rsid w:val="007C4BCF"/>
    <w:rsid w:val="007C6FDB"/>
    <w:rsid w:val="007D2B13"/>
    <w:rsid w:val="007E2F01"/>
    <w:rsid w:val="007E45E5"/>
    <w:rsid w:val="007E714C"/>
    <w:rsid w:val="007F1A89"/>
    <w:rsid w:val="007F2BCC"/>
    <w:rsid w:val="007F3681"/>
    <w:rsid w:val="007F47D5"/>
    <w:rsid w:val="007F6072"/>
    <w:rsid w:val="008009E4"/>
    <w:rsid w:val="00800A0F"/>
    <w:rsid w:val="00804490"/>
    <w:rsid w:val="008103BC"/>
    <w:rsid w:val="00810E2F"/>
    <w:rsid w:val="00813BF7"/>
    <w:rsid w:val="00813DED"/>
    <w:rsid w:val="0081587F"/>
    <w:rsid w:val="00817796"/>
    <w:rsid w:val="00817A51"/>
    <w:rsid w:val="00817EF5"/>
    <w:rsid w:val="008204E6"/>
    <w:rsid w:val="008219FB"/>
    <w:rsid w:val="00824645"/>
    <w:rsid w:val="00832247"/>
    <w:rsid w:val="00832344"/>
    <w:rsid w:val="00832513"/>
    <w:rsid w:val="00833C84"/>
    <w:rsid w:val="00835CF5"/>
    <w:rsid w:val="00837BA0"/>
    <w:rsid w:val="008445F9"/>
    <w:rsid w:val="00845AFD"/>
    <w:rsid w:val="00846515"/>
    <w:rsid w:val="008471C2"/>
    <w:rsid w:val="00851A0C"/>
    <w:rsid w:val="0085452F"/>
    <w:rsid w:val="00855B20"/>
    <w:rsid w:val="0085704C"/>
    <w:rsid w:val="0086044A"/>
    <w:rsid w:val="00861791"/>
    <w:rsid w:val="00861DDF"/>
    <w:rsid w:val="008661FB"/>
    <w:rsid w:val="00866438"/>
    <w:rsid w:val="00870795"/>
    <w:rsid w:val="00881D9D"/>
    <w:rsid w:val="008823C9"/>
    <w:rsid w:val="0088408F"/>
    <w:rsid w:val="008854CB"/>
    <w:rsid w:val="00885657"/>
    <w:rsid w:val="00886076"/>
    <w:rsid w:val="00886CEF"/>
    <w:rsid w:val="00887BF5"/>
    <w:rsid w:val="0089073F"/>
    <w:rsid w:val="00890D7E"/>
    <w:rsid w:val="00892ABC"/>
    <w:rsid w:val="0089404A"/>
    <w:rsid w:val="00895670"/>
    <w:rsid w:val="008978D6"/>
    <w:rsid w:val="008A43D0"/>
    <w:rsid w:val="008B2F87"/>
    <w:rsid w:val="008B620F"/>
    <w:rsid w:val="008B6F74"/>
    <w:rsid w:val="008C587A"/>
    <w:rsid w:val="008D19FE"/>
    <w:rsid w:val="008D458B"/>
    <w:rsid w:val="008D4F72"/>
    <w:rsid w:val="008D626D"/>
    <w:rsid w:val="008D7F88"/>
    <w:rsid w:val="008E19A9"/>
    <w:rsid w:val="008E2BD9"/>
    <w:rsid w:val="008E376A"/>
    <w:rsid w:val="008E382A"/>
    <w:rsid w:val="008E4869"/>
    <w:rsid w:val="008E4B0D"/>
    <w:rsid w:val="008E55D5"/>
    <w:rsid w:val="008E7383"/>
    <w:rsid w:val="008F04BA"/>
    <w:rsid w:val="008F5357"/>
    <w:rsid w:val="008F6B2E"/>
    <w:rsid w:val="0090429D"/>
    <w:rsid w:val="009177D6"/>
    <w:rsid w:val="00917FC2"/>
    <w:rsid w:val="0092031F"/>
    <w:rsid w:val="0092195E"/>
    <w:rsid w:val="00922850"/>
    <w:rsid w:val="0092361F"/>
    <w:rsid w:val="00927E07"/>
    <w:rsid w:val="00933C80"/>
    <w:rsid w:val="00934AB3"/>
    <w:rsid w:val="00936127"/>
    <w:rsid w:val="00940109"/>
    <w:rsid w:val="009406DC"/>
    <w:rsid w:val="009462DA"/>
    <w:rsid w:val="00953C5D"/>
    <w:rsid w:val="00955148"/>
    <w:rsid w:val="00955797"/>
    <w:rsid w:val="0095685C"/>
    <w:rsid w:val="009570BC"/>
    <w:rsid w:val="0095789C"/>
    <w:rsid w:val="00957FA7"/>
    <w:rsid w:val="00962CC2"/>
    <w:rsid w:val="009638F1"/>
    <w:rsid w:val="0096496D"/>
    <w:rsid w:val="00964DF6"/>
    <w:rsid w:val="00966081"/>
    <w:rsid w:val="009742E7"/>
    <w:rsid w:val="0097645B"/>
    <w:rsid w:val="009765EC"/>
    <w:rsid w:val="00976CCD"/>
    <w:rsid w:val="00980DA8"/>
    <w:rsid w:val="0098272F"/>
    <w:rsid w:val="00982F56"/>
    <w:rsid w:val="00983A0B"/>
    <w:rsid w:val="00985312"/>
    <w:rsid w:val="0099481B"/>
    <w:rsid w:val="009965A6"/>
    <w:rsid w:val="009967D3"/>
    <w:rsid w:val="00997932"/>
    <w:rsid w:val="009A06FF"/>
    <w:rsid w:val="009A4090"/>
    <w:rsid w:val="009A53FC"/>
    <w:rsid w:val="009A6D5C"/>
    <w:rsid w:val="009A7CB4"/>
    <w:rsid w:val="009B4EE0"/>
    <w:rsid w:val="009C0650"/>
    <w:rsid w:val="009C2D55"/>
    <w:rsid w:val="009C49E3"/>
    <w:rsid w:val="009C657F"/>
    <w:rsid w:val="009D1AF0"/>
    <w:rsid w:val="009D3C0C"/>
    <w:rsid w:val="009D448A"/>
    <w:rsid w:val="009D4773"/>
    <w:rsid w:val="009D485D"/>
    <w:rsid w:val="009D56C9"/>
    <w:rsid w:val="009D57DF"/>
    <w:rsid w:val="009D64D1"/>
    <w:rsid w:val="009D7F98"/>
    <w:rsid w:val="009E1B40"/>
    <w:rsid w:val="009E6ADA"/>
    <w:rsid w:val="009F0F5E"/>
    <w:rsid w:val="009F24A5"/>
    <w:rsid w:val="009F2A6B"/>
    <w:rsid w:val="009F48C4"/>
    <w:rsid w:val="009F4C7E"/>
    <w:rsid w:val="009F5B5E"/>
    <w:rsid w:val="009F5F69"/>
    <w:rsid w:val="00A05FD0"/>
    <w:rsid w:val="00A115F3"/>
    <w:rsid w:val="00A17FA0"/>
    <w:rsid w:val="00A2092A"/>
    <w:rsid w:val="00A21E71"/>
    <w:rsid w:val="00A23BA3"/>
    <w:rsid w:val="00A27C6A"/>
    <w:rsid w:val="00A37358"/>
    <w:rsid w:val="00A45DE4"/>
    <w:rsid w:val="00A462AC"/>
    <w:rsid w:val="00A46840"/>
    <w:rsid w:val="00A51D8B"/>
    <w:rsid w:val="00A52BF0"/>
    <w:rsid w:val="00A52DA4"/>
    <w:rsid w:val="00A53832"/>
    <w:rsid w:val="00A5723D"/>
    <w:rsid w:val="00A57DBA"/>
    <w:rsid w:val="00A6423F"/>
    <w:rsid w:val="00A6506F"/>
    <w:rsid w:val="00A65353"/>
    <w:rsid w:val="00A66357"/>
    <w:rsid w:val="00A703A8"/>
    <w:rsid w:val="00A7231A"/>
    <w:rsid w:val="00A72A84"/>
    <w:rsid w:val="00A73910"/>
    <w:rsid w:val="00A81525"/>
    <w:rsid w:val="00A815A3"/>
    <w:rsid w:val="00A87C2C"/>
    <w:rsid w:val="00A9638F"/>
    <w:rsid w:val="00AA2396"/>
    <w:rsid w:val="00AA241A"/>
    <w:rsid w:val="00AA47CD"/>
    <w:rsid w:val="00AA543E"/>
    <w:rsid w:val="00AA5CC4"/>
    <w:rsid w:val="00AA74AF"/>
    <w:rsid w:val="00AB48DA"/>
    <w:rsid w:val="00AB5102"/>
    <w:rsid w:val="00AB618D"/>
    <w:rsid w:val="00AB6A75"/>
    <w:rsid w:val="00AB7465"/>
    <w:rsid w:val="00AC0DC3"/>
    <w:rsid w:val="00AC4830"/>
    <w:rsid w:val="00AC54FC"/>
    <w:rsid w:val="00AC6177"/>
    <w:rsid w:val="00AC6D21"/>
    <w:rsid w:val="00AC7035"/>
    <w:rsid w:val="00AC751E"/>
    <w:rsid w:val="00AD03CC"/>
    <w:rsid w:val="00AD182C"/>
    <w:rsid w:val="00AD2C24"/>
    <w:rsid w:val="00AD35C0"/>
    <w:rsid w:val="00AD53CA"/>
    <w:rsid w:val="00AD63AE"/>
    <w:rsid w:val="00AD7A9B"/>
    <w:rsid w:val="00AD7C87"/>
    <w:rsid w:val="00AE1527"/>
    <w:rsid w:val="00AE29E8"/>
    <w:rsid w:val="00AE43B6"/>
    <w:rsid w:val="00AE545C"/>
    <w:rsid w:val="00AF0E96"/>
    <w:rsid w:val="00AF380B"/>
    <w:rsid w:val="00AF669D"/>
    <w:rsid w:val="00AF7AD7"/>
    <w:rsid w:val="00B00D67"/>
    <w:rsid w:val="00B11F99"/>
    <w:rsid w:val="00B12930"/>
    <w:rsid w:val="00B13956"/>
    <w:rsid w:val="00B141D1"/>
    <w:rsid w:val="00B17466"/>
    <w:rsid w:val="00B17545"/>
    <w:rsid w:val="00B24BEF"/>
    <w:rsid w:val="00B342E5"/>
    <w:rsid w:val="00B444BF"/>
    <w:rsid w:val="00B45297"/>
    <w:rsid w:val="00B508B6"/>
    <w:rsid w:val="00B519B7"/>
    <w:rsid w:val="00B51BFB"/>
    <w:rsid w:val="00B55C9F"/>
    <w:rsid w:val="00B65ED0"/>
    <w:rsid w:val="00B75C15"/>
    <w:rsid w:val="00B7715D"/>
    <w:rsid w:val="00B80053"/>
    <w:rsid w:val="00B85487"/>
    <w:rsid w:val="00B86A7D"/>
    <w:rsid w:val="00B87506"/>
    <w:rsid w:val="00B91C86"/>
    <w:rsid w:val="00B94520"/>
    <w:rsid w:val="00B961CD"/>
    <w:rsid w:val="00BA1BC3"/>
    <w:rsid w:val="00BA36B0"/>
    <w:rsid w:val="00BA6CA6"/>
    <w:rsid w:val="00BA7BF2"/>
    <w:rsid w:val="00BA7DFF"/>
    <w:rsid w:val="00BB09BC"/>
    <w:rsid w:val="00BB2417"/>
    <w:rsid w:val="00BB344C"/>
    <w:rsid w:val="00BB582F"/>
    <w:rsid w:val="00BC15FF"/>
    <w:rsid w:val="00BC1E78"/>
    <w:rsid w:val="00BC2A07"/>
    <w:rsid w:val="00BC2EFF"/>
    <w:rsid w:val="00BC7D12"/>
    <w:rsid w:val="00BD3C69"/>
    <w:rsid w:val="00BD4633"/>
    <w:rsid w:val="00BD578C"/>
    <w:rsid w:val="00BD6B4F"/>
    <w:rsid w:val="00BE0800"/>
    <w:rsid w:val="00BE0D20"/>
    <w:rsid w:val="00BE2910"/>
    <w:rsid w:val="00BE2C55"/>
    <w:rsid w:val="00BE3235"/>
    <w:rsid w:val="00BE4E16"/>
    <w:rsid w:val="00BE531A"/>
    <w:rsid w:val="00BE547B"/>
    <w:rsid w:val="00BF01E6"/>
    <w:rsid w:val="00BF08FA"/>
    <w:rsid w:val="00BF296B"/>
    <w:rsid w:val="00BF39E3"/>
    <w:rsid w:val="00BF5675"/>
    <w:rsid w:val="00BF6E2F"/>
    <w:rsid w:val="00C00216"/>
    <w:rsid w:val="00C04BF1"/>
    <w:rsid w:val="00C05E6A"/>
    <w:rsid w:val="00C07FA9"/>
    <w:rsid w:val="00C10969"/>
    <w:rsid w:val="00C12719"/>
    <w:rsid w:val="00C215A9"/>
    <w:rsid w:val="00C23523"/>
    <w:rsid w:val="00C30376"/>
    <w:rsid w:val="00C337B6"/>
    <w:rsid w:val="00C33EC2"/>
    <w:rsid w:val="00C34911"/>
    <w:rsid w:val="00C34F61"/>
    <w:rsid w:val="00C37735"/>
    <w:rsid w:val="00C41095"/>
    <w:rsid w:val="00C418DA"/>
    <w:rsid w:val="00C42729"/>
    <w:rsid w:val="00C440AC"/>
    <w:rsid w:val="00C45A71"/>
    <w:rsid w:val="00C469B4"/>
    <w:rsid w:val="00C47D41"/>
    <w:rsid w:val="00C5177D"/>
    <w:rsid w:val="00C52698"/>
    <w:rsid w:val="00C5359A"/>
    <w:rsid w:val="00C604AC"/>
    <w:rsid w:val="00C615E2"/>
    <w:rsid w:val="00C620DC"/>
    <w:rsid w:val="00C62D32"/>
    <w:rsid w:val="00C65D4E"/>
    <w:rsid w:val="00C677F5"/>
    <w:rsid w:val="00C67969"/>
    <w:rsid w:val="00C72F7E"/>
    <w:rsid w:val="00C74D21"/>
    <w:rsid w:val="00C75399"/>
    <w:rsid w:val="00C75B09"/>
    <w:rsid w:val="00C76AA1"/>
    <w:rsid w:val="00C84A37"/>
    <w:rsid w:val="00C9348F"/>
    <w:rsid w:val="00C93A7C"/>
    <w:rsid w:val="00C9717C"/>
    <w:rsid w:val="00CA082A"/>
    <w:rsid w:val="00CA15C6"/>
    <w:rsid w:val="00CA3236"/>
    <w:rsid w:val="00CA47D1"/>
    <w:rsid w:val="00CA50FD"/>
    <w:rsid w:val="00CA74A8"/>
    <w:rsid w:val="00CA7DAC"/>
    <w:rsid w:val="00CB60B4"/>
    <w:rsid w:val="00CC0679"/>
    <w:rsid w:val="00CC5229"/>
    <w:rsid w:val="00CC6882"/>
    <w:rsid w:val="00CC6FD8"/>
    <w:rsid w:val="00CD1A3F"/>
    <w:rsid w:val="00CD2A1E"/>
    <w:rsid w:val="00CD3136"/>
    <w:rsid w:val="00CD3B8C"/>
    <w:rsid w:val="00CD455E"/>
    <w:rsid w:val="00CD45A5"/>
    <w:rsid w:val="00CD6329"/>
    <w:rsid w:val="00CE6D53"/>
    <w:rsid w:val="00CF1833"/>
    <w:rsid w:val="00CF34BB"/>
    <w:rsid w:val="00CF6E5D"/>
    <w:rsid w:val="00D00799"/>
    <w:rsid w:val="00D00CFA"/>
    <w:rsid w:val="00D06ADE"/>
    <w:rsid w:val="00D14F6D"/>
    <w:rsid w:val="00D15629"/>
    <w:rsid w:val="00D15959"/>
    <w:rsid w:val="00D178A6"/>
    <w:rsid w:val="00D205BE"/>
    <w:rsid w:val="00D21E2E"/>
    <w:rsid w:val="00D24513"/>
    <w:rsid w:val="00D2469F"/>
    <w:rsid w:val="00D30163"/>
    <w:rsid w:val="00D3127E"/>
    <w:rsid w:val="00D32176"/>
    <w:rsid w:val="00D33C9A"/>
    <w:rsid w:val="00D37B10"/>
    <w:rsid w:val="00D4707B"/>
    <w:rsid w:val="00D473B0"/>
    <w:rsid w:val="00D5099D"/>
    <w:rsid w:val="00D532E6"/>
    <w:rsid w:val="00D54189"/>
    <w:rsid w:val="00D550F3"/>
    <w:rsid w:val="00D569B0"/>
    <w:rsid w:val="00D606AA"/>
    <w:rsid w:val="00D610DC"/>
    <w:rsid w:val="00D61301"/>
    <w:rsid w:val="00D622D5"/>
    <w:rsid w:val="00D63BBE"/>
    <w:rsid w:val="00D65C58"/>
    <w:rsid w:val="00D672E9"/>
    <w:rsid w:val="00D67713"/>
    <w:rsid w:val="00D7093C"/>
    <w:rsid w:val="00D74255"/>
    <w:rsid w:val="00D74B10"/>
    <w:rsid w:val="00D75036"/>
    <w:rsid w:val="00D751F4"/>
    <w:rsid w:val="00D76C77"/>
    <w:rsid w:val="00D76D8E"/>
    <w:rsid w:val="00D76EED"/>
    <w:rsid w:val="00D779E7"/>
    <w:rsid w:val="00D77D76"/>
    <w:rsid w:val="00D80782"/>
    <w:rsid w:val="00D811E7"/>
    <w:rsid w:val="00D81971"/>
    <w:rsid w:val="00D94A1E"/>
    <w:rsid w:val="00D97E6B"/>
    <w:rsid w:val="00DA3318"/>
    <w:rsid w:val="00DA4936"/>
    <w:rsid w:val="00DA682B"/>
    <w:rsid w:val="00DB1B64"/>
    <w:rsid w:val="00DB28F1"/>
    <w:rsid w:val="00DC16F8"/>
    <w:rsid w:val="00DD40D1"/>
    <w:rsid w:val="00DD56DD"/>
    <w:rsid w:val="00DD6878"/>
    <w:rsid w:val="00DE317F"/>
    <w:rsid w:val="00DE3619"/>
    <w:rsid w:val="00DF4315"/>
    <w:rsid w:val="00DF659A"/>
    <w:rsid w:val="00DF7FD9"/>
    <w:rsid w:val="00E13F1C"/>
    <w:rsid w:val="00E16547"/>
    <w:rsid w:val="00E201E8"/>
    <w:rsid w:val="00E20945"/>
    <w:rsid w:val="00E219FC"/>
    <w:rsid w:val="00E2539C"/>
    <w:rsid w:val="00E318C0"/>
    <w:rsid w:val="00E322DD"/>
    <w:rsid w:val="00E33E05"/>
    <w:rsid w:val="00E37B2C"/>
    <w:rsid w:val="00E4149A"/>
    <w:rsid w:val="00E431B1"/>
    <w:rsid w:val="00E431BC"/>
    <w:rsid w:val="00E46C7C"/>
    <w:rsid w:val="00E47119"/>
    <w:rsid w:val="00E5021B"/>
    <w:rsid w:val="00E52A15"/>
    <w:rsid w:val="00E539DA"/>
    <w:rsid w:val="00E56CE2"/>
    <w:rsid w:val="00E57375"/>
    <w:rsid w:val="00E648B6"/>
    <w:rsid w:val="00E6501B"/>
    <w:rsid w:val="00E66189"/>
    <w:rsid w:val="00E74366"/>
    <w:rsid w:val="00E8147C"/>
    <w:rsid w:val="00E8356D"/>
    <w:rsid w:val="00E837B3"/>
    <w:rsid w:val="00E84FE9"/>
    <w:rsid w:val="00E85809"/>
    <w:rsid w:val="00E875A2"/>
    <w:rsid w:val="00E94A7C"/>
    <w:rsid w:val="00E9747B"/>
    <w:rsid w:val="00EA27A9"/>
    <w:rsid w:val="00EA733F"/>
    <w:rsid w:val="00EB16C9"/>
    <w:rsid w:val="00EB1AE5"/>
    <w:rsid w:val="00EB1C79"/>
    <w:rsid w:val="00EB4E8B"/>
    <w:rsid w:val="00EB5063"/>
    <w:rsid w:val="00EC0874"/>
    <w:rsid w:val="00EC23D4"/>
    <w:rsid w:val="00EC2B13"/>
    <w:rsid w:val="00EC55CA"/>
    <w:rsid w:val="00EC7D99"/>
    <w:rsid w:val="00ED2F10"/>
    <w:rsid w:val="00ED4459"/>
    <w:rsid w:val="00ED5E47"/>
    <w:rsid w:val="00ED6BC0"/>
    <w:rsid w:val="00ED771D"/>
    <w:rsid w:val="00EE0E09"/>
    <w:rsid w:val="00EE713A"/>
    <w:rsid w:val="00EF2F85"/>
    <w:rsid w:val="00EF3DD5"/>
    <w:rsid w:val="00EF46AD"/>
    <w:rsid w:val="00EF7289"/>
    <w:rsid w:val="00F070A8"/>
    <w:rsid w:val="00F07292"/>
    <w:rsid w:val="00F0738F"/>
    <w:rsid w:val="00F10325"/>
    <w:rsid w:val="00F1397F"/>
    <w:rsid w:val="00F22A81"/>
    <w:rsid w:val="00F23C7C"/>
    <w:rsid w:val="00F26CAD"/>
    <w:rsid w:val="00F312E1"/>
    <w:rsid w:val="00F31574"/>
    <w:rsid w:val="00F3428E"/>
    <w:rsid w:val="00F35DA8"/>
    <w:rsid w:val="00F40276"/>
    <w:rsid w:val="00F40E13"/>
    <w:rsid w:val="00F46006"/>
    <w:rsid w:val="00F51C96"/>
    <w:rsid w:val="00F539E6"/>
    <w:rsid w:val="00F547A7"/>
    <w:rsid w:val="00F56B0B"/>
    <w:rsid w:val="00F607ED"/>
    <w:rsid w:val="00F60A90"/>
    <w:rsid w:val="00F6156B"/>
    <w:rsid w:val="00F62B0E"/>
    <w:rsid w:val="00F63271"/>
    <w:rsid w:val="00F64B05"/>
    <w:rsid w:val="00F650DE"/>
    <w:rsid w:val="00F6648A"/>
    <w:rsid w:val="00F71FC5"/>
    <w:rsid w:val="00F72F70"/>
    <w:rsid w:val="00F738C5"/>
    <w:rsid w:val="00F748F0"/>
    <w:rsid w:val="00F77C59"/>
    <w:rsid w:val="00F77FE3"/>
    <w:rsid w:val="00F82222"/>
    <w:rsid w:val="00F85206"/>
    <w:rsid w:val="00F91739"/>
    <w:rsid w:val="00F940D2"/>
    <w:rsid w:val="00F95616"/>
    <w:rsid w:val="00F957D1"/>
    <w:rsid w:val="00F95B2A"/>
    <w:rsid w:val="00F96170"/>
    <w:rsid w:val="00FA378E"/>
    <w:rsid w:val="00FA4D7B"/>
    <w:rsid w:val="00FA4EA3"/>
    <w:rsid w:val="00FA5972"/>
    <w:rsid w:val="00FA615E"/>
    <w:rsid w:val="00FA6426"/>
    <w:rsid w:val="00FA6566"/>
    <w:rsid w:val="00FB1A9D"/>
    <w:rsid w:val="00FB4B7D"/>
    <w:rsid w:val="00FC09C8"/>
    <w:rsid w:val="00FC3061"/>
    <w:rsid w:val="00FC59A0"/>
    <w:rsid w:val="00FD5006"/>
    <w:rsid w:val="00FD648A"/>
    <w:rsid w:val="00FE09F5"/>
    <w:rsid w:val="00FE1277"/>
    <w:rsid w:val="00FE1283"/>
    <w:rsid w:val="00FE18A1"/>
    <w:rsid w:val="00FE2E27"/>
    <w:rsid w:val="00FE76E0"/>
    <w:rsid w:val="00FF08B1"/>
    <w:rsid w:val="00FF16B0"/>
    <w:rsid w:val="00FF17B2"/>
    <w:rsid w:val="00FF1B9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2F0263"/>
  <w15:chartTrackingRefBased/>
  <w15:docId w15:val="{C499419D-EF72-4A81-99EC-8B78F411C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Indent" w:qFormat="1"/>
    <w:lsdException w:name="Subtitle" w:qFormat="1"/>
    <w:lsdException w:name="Body Text Indent 2" w:qFormat="1"/>
    <w:lsdException w:name="Body Text Indent 3"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AE4"/>
    <w:pPr>
      <w:suppressAutoHyphens/>
      <w:spacing w:line="480" w:lineRule="auto"/>
      <w:jc w:val="both"/>
    </w:pPr>
    <w:rPr>
      <w:rFonts w:ascii="Arial" w:hAnsi="Arial"/>
      <w:sz w:val="24"/>
      <w:lang w:eastAsia="en-US"/>
    </w:rPr>
  </w:style>
  <w:style w:type="paragraph" w:styleId="Heading1">
    <w:name w:val="heading 1"/>
    <w:basedOn w:val="BodyTextIndent5"/>
    <w:qFormat/>
    <w:rsid w:val="004C2AE4"/>
    <w:pPr>
      <w:ind w:left="0"/>
      <w:outlineLvl w:val="0"/>
    </w:pPr>
    <w:rPr>
      <w:b/>
    </w:rPr>
  </w:style>
  <w:style w:type="paragraph" w:styleId="Heading2">
    <w:name w:val="heading 2"/>
    <w:basedOn w:val="WLGLevel1"/>
    <w:qFormat/>
    <w:rsid w:val="00676006"/>
    <w:pPr>
      <w:keepNext/>
      <w:numPr>
        <w:numId w:val="0"/>
      </w:numPr>
      <w:ind w:left="562" w:hanging="562"/>
      <w:outlineLvl w:val="1"/>
    </w:pPr>
    <w:rPr>
      <w:b/>
      <w:i/>
    </w:rPr>
  </w:style>
  <w:style w:type="paragraph" w:styleId="Heading3">
    <w:name w:val="heading 3"/>
    <w:basedOn w:val="Normal"/>
    <w:qFormat/>
    <w:pPr>
      <w:numPr>
        <w:ilvl w:val="2"/>
        <w:numId w:val="1"/>
      </w:numPr>
      <w:spacing w:before="240" w:after="60"/>
      <w:outlineLvl w:val="2"/>
    </w:pPr>
  </w:style>
  <w:style w:type="paragraph" w:styleId="Heading4">
    <w:name w:val="heading 4"/>
    <w:basedOn w:val="Normal"/>
    <w:qFormat/>
    <w:pPr>
      <w:numPr>
        <w:ilvl w:val="3"/>
        <w:numId w:val="1"/>
      </w:numPr>
      <w:spacing w:before="240" w:after="60"/>
      <w:outlineLvl w:val="3"/>
    </w:pPr>
  </w:style>
  <w:style w:type="paragraph" w:styleId="Heading5">
    <w:name w:val="heading 5"/>
    <w:basedOn w:val="Normal"/>
    <w:qFormat/>
    <w:pPr>
      <w:numPr>
        <w:ilvl w:val="4"/>
        <w:numId w:val="1"/>
      </w:numPr>
      <w:spacing w:before="240" w:after="60"/>
      <w:outlineLvl w:val="4"/>
    </w:pPr>
  </w:style>
  <w:style w:type="paragraph" w:styleId="Heading6">
    <w:name w:val="heading 6"/>
    <w:basedOn w:val="Normal"/>
    <w:qFormat/>
    <w:pPr>
      <w:numPr>
        <w:ilvl w:val="5"/>
        <w:numId w:val="1"/>
      </w:numPr>
      <w:spacing w:before="240" w:after="60"/>
      <w:outlineLvl w:val="5"/>
    </w:pPr>
  </w:style>
  <w:style w:type="paragraph" w:styleId="Heading7">
    <w:name w:val="heading 7"/>
    <w:basedOn w:val="Normal"/>
    <w:qFormat/>
    <w:pPr>
      <w:numPr>
        <w:ilvl w:val="6"/>
        <w:numId w:val="1"/>
      </w:numPr>
      <w:spacing w:before="240" w:after="60"/>
      <w:outlineLvl w:val="6"/>
    </w:pPr>
  </w:style>
  <w:style w:type="paragraph" w:styleId="Heading8">
    <w:name w:val="heading 8"/>
    <w:basedOn w:val="Normal"/>
    <w:qFormat/>
    <w:pPr>
      <w:numPr>
        <w:ilvl w:val="7"/>
        <w:numId w:val="1"/>
      </w:numPr>
      <w:spacing w:before="240" w:after="60"/>
      <w:outlineLvl w:val="7"/>
    </w:pPr>
  </w:style>
  <w:style w:type="paragraph" w:styleId="Heading9">
    <w:name w:val="heading 9"/>
    <w:basedOn w:val="Normal"/>
    <w:qFormat/>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qFormat/>
    <w:pPr>
      <w:spacing w:after="320"/>
      <w:ind w:left="567"/>
    </w:pPr>
  </w:style>
  <w:style w:type="paragraph" w:styleId="BodyTextIndent2">
    <w:name w:val="Body Text Indent 2"/>
    <w:basedOn w:val="Normal"/>
    <w:qFormat/>
    <w:pPr>
      <w:spacing w:after="320"/>
      <w:ind w:left="1361"/>
    </w:pPr>
  </w:style>
  <w:style w:type="paragraph" w:styleId="BodyTextIndent3">
    <w:name w:val="Body Text Indent 3"/>
    <w:basedOn w:val="Normal"/>
    <w:qFormat/>
    <w:pPr>
      <w:spacing w:after="320"/>
      <w:ind w:left="2381"/>
    </w:pPr>
  </w:style>
  <w:style w:type="paragraph" w:customStyle="1" w:styleId="BodyTextIndent4">
    <w:name w:val="Body Text Indent 4"/>
    <w:basedOn w:val="Normal"/>
    <w:qFormat/>
    <w:pPr>
      <w:spacing w:after="320"/>
      <w:ind w:left="3572"/>
    </w:pPr>
  </w:style>
  <w:style w:type="paragraph" w:customStyle="1" w:styleId="BodyTextIndent5">
    <w:name w:val="Body Text Indent 5"/>
    <w:basedOn w:val="Normal"/>
    <w:qFormat/>
    <w:pPr>
      <w:spacing w:after="320"/>
      <w:ind w:left="4933"/>
    </w:pPr>
  </w:style>
  <w:style w:type="paragraph" w:styleId="Footer">
    <w:name w:val="footer"/>
    <w:basedOn w:val="Normal"/>
    <w:pPr>
      <w:tabs>
        <w:tab w:val="center" w:pos="4383"/>
        <w:tab w:val="right" w:pos="8766"/>
      </w:tabs>
      <w:spacing w:line="240" w:lineRule="auto"/>
    </w:pPr>
    <w:rPr>
      <w:sz w:val="16"/>
    </w:rPr>
  </w:style>
  <w:style w:type="paragraph" w:styleId="Header">
    <w:name w:val="header"/>
    <w:basedOn w:val="Normal"/>
    <w:pPr>
      <w:spacing w:line="240" w:lineRule="auto"/>
      <w:jc w:val="right"/>
    </w:pPr>
  </w:style>
  <w:style w:type="paragraph" w:customStyle="1" w:styleId="WLGLevel1">
    <w:name w:val="WLGLevel1"/>
    <w:basedOn w:val="Normal"/>
    <w:qFormat/>
    <w:pPr>
      <w:numPr>
        <w:numId w:val="2"/>
      </w:numPr>
      <w:spacing w:before="320" w:after="320"/>
      <w:ind w:left="562" w:hanging="562"/>
      <w:outlineLvl w:val="0"/>
    </w:pPr>
  </w:style>
  <w:style w:type="paragraph" w:customStyle="1" w:styleId="WLGLevel2">
    <w:name w:val="WLGLevel2"/>
    <w:basedOn w:val="Normal"/>
    <w:qFormat/>
    <w:pPr>
      <w:numPr>
        <w:ilvl w:val="1"/>
        <w:numId w:val="2"/>
      </w:numPr>
      <w:spacing w:after="320"/>
      <w:outlineLvl w:val="1"/>
    </w:pPr>
  </w:style>
  <w:style w:type="paragraph" w:customStyle="1" w:styleId="WLGLevel3">
    <w:name w:val="WLGLevel3"/>
    <w:basedOn w:val="Normal"/>
    <w:qFormat/>
    <w:pPr>
      <w:numPr>
        <w:ilvl w:val="2"/>
        <w:numId w:val="2"/>
      </w:numPr>
      <w:spacing w:after="320"/>
      <w:ind w:left="2382" w:hanging="1021"/>
      <w:outlineLvl w:val="2"/>
    </w:pPr>
  </w:style>
  <w:style w:type="paragraph" w:customStyle="1" w:styleId="WLGLevel4">
    <w:name w:val="WLGLevel4"/>
    <w:basedOn w:val="Normal"/>
    <w:qFormat/>
    <w:pPr>
      <w:numPr>
        <w:ilvl w:val="3"/>
        <w:numId w:val="2"/>
      </w:numPr>
      <w:spacing w:after="320"/>
      <w:outlineLvl w:val="3"/>
    </w:pPr>
  </w:style>
  <w:style w:type="paragraph" w:customStyle="1" w:styleId="WLGLevel5">
    <w:name w:val="WLGLevel5"/>
    <w:basedOn w:val="Normal"/>
    <w:qFormat/>
    <w:pPr>
      <w:numPr>
        <w:ilvl w:val="4"/>
        <w:numId w:val="2"/>
      </w:numPr>
      <w:spacing w:after="320"/>
      <w:outlineLvl w:val="4"/>
    </w:pPr>
  </w:style>
  <w:style w:type="character" w:styleId="PageNumber">
    <w:name w:val="page number"/>
    <w:rPr>
      <w:rFonts w:ascii="Arial" w:hAnsi="Arial"/>
      <w:sz w:val="24"/>
    </w:rPr>
  </w:style>
  <w:style w:type="paragraph" w:customStyle="1" w:styleId="Tabs-Cntr">
    <w:name w:val="Tabs-Cntr"/>
    <w:aliases w:val="FRght"/>
    <w:basedOn w:val="Normal"/>
    <w:next w:val="Normal"/>
    <w:pPr>
      <w:tabs>
        <w:tab w:val="center" w:pos="4536"/>
        <w:tab w:val="right" w:pos="9072"/>
      </w:tabs>
    </w:pPr>
  </w:style>
  <w:style w:type="paragraph" w:styleId="TOC1">
    <w:name w:val="toc 1"/>
    <w:basedOn w:val="Normal"/>
    <w:autoRedefine/>
    <w:semiHidden/>
    <w:pPr>
      <w:tabs>
        <w:tab w:val="left" w:pos="567"/>
        <w:tab w:val="right" w:leader="dot" w:pos="8756"/>
      </w:tabs>
      <w:spacing w:before="120" w:after="120" w:line="240" w:lineRule="auto"/>
      <w:jc w:val="left"/>
    </w:pPr>
    <w:rPr>
      <w:noProof/>
    </w:rPr>
  </w:style>
  <w:style w:type="paragraph" w:styleId="TOC2">
    <w:name w:val="toc 2"/>
    <w:basedOn w:val="Normal"/>
    <w:autoRedefine/>
    <w:semiHidden/>
    <w:pPr>
      <w:spacing w:before="120" w:after="120" w:line="240" w:lineRule="auto"/>
      <w:ind w:left="510" w:right="1134" w:hanging="510"/>
      <w:jc w:val="left"/>
    </w:pPr>
  </w:style>
  <w:style w:type="paragraph" w:styleId="TOC3">
    <w:name w:val="toc 3"/>
    <w:basedOn w:val="Normal"/>
    <w:autoRedefine/>
    <w:semiHidden/>
    <w:pPr>
      <w:spacing w:before="120" w:after="120" w:line="240" w:lineRule="auto"/>
      <w:ind w:left="510" w:right="1134" w:hanging="510"/>
      <w:jc w:val="left"/>
    </w:pPr>
  </w:style>
  <w:style w:type="paragraph" w:styleId="TOC4">
    <w:name w:val="toc 4"/>
    <w:basedOn w:val="Normal"/>
    <w:autoRedefine/>
    <w:semiHidden/>
    <w:pPr>
      <w:spacing w:before="120" w:after="120" w:line="240" w:lineRule="auto"/>
      <w:ind w:left="510" w:right="1134" w:hanging="510"/>
      <w:jc w:val="left"/>
    </w:pPr>
  </w:style>
  <w:style w:type="paragraph" w:styleId="TOC5">
    <w:name w:val="toc 5"/>
    <w:basedOn w:val="Normal"/>
    <w:autoRedefine/>
    <w:semiHidden/>
    <w:pPr>
      <w:spacing w:before="120" w:after="120" w:line="240" w:lineRule="auto"/>
      <w:ind w:left="510" w:right="1134" w:hanging="510"/>
      <w:jc w:val="left"/>
    </w:pPr>
  </w:style>
  <w:style w:type="paragraph" w:styleId="TOC6">
    <w:name w:val="toc 6"/>
    <w:basedOn w:val="Normal"/>
    <w:autoRedefine/>
    <w:semiHidden/>
    <w:pPr>
      <w:spacing w:before="120" w:after="120" w:line="240" w:lineRule="auto"/>
      <w:ind w:left="510" w:right="1134" w:hanging="510"/>
      <w:jc w:val="left"/>
    </w:pPr>
  </w:style>
  <w:style w:type="paragraph" w:styleId="TOC7">
    <w:name w:val="toc 7"/>
    <w:basedOn w:val="Normal"/>
    <w:autoRedefine/>
    <w:semiHidden/>
    <w:pPr>
      <w:spacing w:before="120" w:after="120" w:line="240" w:lineRule="auto"/>
      <w:ind w:left="510" w:right="1134" w:hanging="510"/>
      <w:jc w:val="left"/>
    </w:pPr>
  </w:style>
  <w:style w:type="paragraph" w:styleId="TOC8">
    <w:name w:val="toc 8"/>
    <w:basedOn w:val="Normal"/>
    <w:autoRedefine/>
    <w:semiHidden/>
    <w:pPr>
      <w:spacing w:before="120" w:after="120" w:line="240" w:lineRule="auto"/>
      <w:ind w:left="510" w:right="1134" w:hanging="510"/>
      <w:jc w:val="left"/>
    </w:pPr>
  </w:style>
  <w:style w:type="paragraph" w:styleId="TOC9">
    <w:name w:val="toc 9"/>
    <w:basedOn w:val="Normal"/>
    <w:autoRedefine/>
    <w:semiHidden/>
    <w:pPr>
      <w:spacing w:before="120" w:after="120" w:line="240" w:lineRule="auto"/>
      <w:ind w:left="510" w:right="1134" w:hanging="510"/>
      <w:jc w:val="left"/>
    </w:pPr>
  </w:style>
  <w:style w:type="paragraph" w:customStyle="1" w:styleId="TramLines">
    <w:name w:val="TramLines"/>
    <w:basedOn w:val="Normal"/>
    <w:pPr>
      <w:pBdr>
        <w:top w:val="single" w:sz="8" w:space="12" w:color="auto"/>
        <w:bottom w:val="single" w:sz="8" w:space="12" w:color="auto"/>
      </w:pBdr>
      <w:spacing w:after="320" w:line="240" w:lineRule="auto"/>
    </w:pPr>
    <w:rPr>
      <w:b/>
    </w:rPr>
  </w:style>
  <w:style w:type="character" w:styleId="Hyperlink">
    <w:name w:val="Hyperlink"/>
    <w:rPr>
      <w:color w:val="0000FF"/>
      <w:u w:val="single"/>
    </w:rPr>
  </w:style>
  <w:style w:type="paragraph" w:customStyle="1" w:styleId="Parties">
    <w:name w:val="Parties"/>
    <w:basedOn w:val="Normal"/>
    <w:qFormat/>
    <w:pPr>
      <w:tabs>
        <w:tab w:val="right" w:pos="9072"/>
      </w:tabs>
      <w:spacing w:line="240" w:lineRule="auto"/>
    </w:pPr>
  </w:style>
  <w:style w:type="paragraph" w:customStyle="1" w:styleId="Tramlinescentred">
    <w:name w:val="Tramlines centred"/>
    <w:basedOn w:val="TramLines"/>
    <w:qFormat/>
    <w:rsid w:val="004C2AE4"/>
    <w:pPr>
      <w:jc w:val="center"/>
    </w:pPr>
    <w:rPr>
      <w:bCs/>
    </w:rPr>
  </w:style>
  <w:style w:type="character" w:styleId="CommentReference">
    <w:name w:val="annotation reference"/>
    <w:basedOn w:val="DefaultParagraphFont"/>
    <w:rsid w:val="005E3AEA"/>
    <w:rPr>
      <w:sz w:val="16"/>
      <w:szCs w:val="16"/>
    </w:rPr>
  </w:style>
  <w:style w:type="paragraph" w:styleId="CommentText">
    <w:name w:val="annotation text"/>
    <w:basedOn w:val="Normal"/>
    <w:link w:val="CommentTextChar"/>
    <w:rsid w:val="005E3AEA"/>
    <w:pPr>
      <w:spacing w:line="240" w:lineRule="auto"/>
    </w:pPr>
    <w:rPr>
      <w:sz w:val="20"/>
    </w:rPr>
  </w:style>
  <w:style w:type="character" w:customStyle="1" w:styleId="CommentTextChar">
    <w:name w:val="Comment Text Char"/>
    <w:basedOn w:val="DefaultParagraphFont"/>
    <w:link w:val="CommentText"/>
    <w:rsid w:val="005E3AEA"/>
    <w:rPr>
      <w:rFonts w:ascii="Arial" w:hAnsi="Arial"/>
      <w:lang w:eastAsia="en-US"/>
    </w:rPr>
  </w:style>
  <w:style w:type="paragraph" w:styleId="CommentSubject">
    <w:name w:val="annotation subject"/>
    <w:basedOn w:val="CommentText"/>
    <w:next w:val="CommentText"/>
    <w:link w:val="CommentSubjectChar"/>
    <w:rsid w:val="005E3AEA"/>
    <w:rPr>
      <w:b/>
      <w:bCs/>
    </w:rPr>
  </w:style>
  <w:style w:type="character" w:customStyle="1" w:styleId="CommentSubjectChar">
    <w:name w:val="Comment Subject Char"/>
    <w:basedOn w:val="CommentTextChar"/>
    <w:link w:val="CommentSubject"/>
    <w:rsid w:val="005E3AEA"/>
    <w:rPr>
      <w:rFonts w:ascii="Arial" w:hAnsi="Arial"/>
      <w:b/>
      <w:bCs/>
      <w:lang w:eastAsia="en-US"/>
    </w:rPr>
  </w:style>
  <w:style w:type="paragraph" w:styleId="FootnoteText">
    <w:name w:val="footnote text"/>
    <w:basedOn w:val="Normal"/>
    <w:link w:val="FootnoteTextChar"/>
    <w:rsid w:val="00290F8B"/>
    <w:pPr>
      <w:spacing w:line="240" w:lineRule="auto"/>
    </w:pPr>
    <w:rPr>
      <w:sz w:val="20"/>
    </w:rPr>
  </w:style>
  <w:style w:type="character" w:customStyle="1" w:styleId="FootnoteTextChar">
    <w:name w:val="Footnote Text Char"/>
    <w:basedOn w:val="DefaultParagraphFont"/>
    <w:link w:val="FootnoteText"/>
    <w:rsid w:val="00290F8B"/>
    <w:rPr>
      <w:rFonts w:ascii="Arial" w:hAnsi="Arial"/>
      <w:lang w:eastAsia="en-US"/>
    </w:rPr>
  </w:style>
  <w:style w:type="character" w:styleId="FootnoteReference">
    <w:name w:val="footnote reference"/>
    <w:basedOn w:val="DefaultParagraphFont"/>
    <w:rsid w:val="00290F8B"/>
    <w:rPr>
      <w:vertAlign w:val="superscript"/>
    </w:rPr>
  </w:style>
  <w:style w:type="character" w:customStyle="1" w:styleId="BodyTextIndentChar">
    <w:name w:val="Body Text Indent Char"/>
    <w:link w:val="BodyTextIndent"/>
    <w:rsid w:val="000C34A7"/>
    <w:rPr>
      <w:rFonts w:ascii="Arial" w:hAnsi="Arial"/>
      <w:sz w:val="24"/>
      <w:lang w:eastAsia="en-US"/>
    </w:rPr>
  </w:style>
  <w:style w:type="paragraph" w:styleId="ListParagraph">
    <w:name w:val="List Paragraph"/>
    <w:basedOn w:val="Normal"/>
    <w:uiPriority w:val="34"/>
    <w:qFormat/>
    <w:rsid w:val="00FB4B7D"/>
    <w:pPr>
      <w:suppressAutoHyphens w:val="0"/>
      <w:spacing w:line="240" w:lineRule="auto"/>
      <w:ind w:left="720"/>
      <w:contextualSpacing/>
      <w:jc w:val="left"/>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var/folders/52/qpmf_2f51qg41g2g3gy4kymm0000gn/T/com.microsoft.Word/WebArchiveCopyPasteTempFiles/page1image948654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ied\OneDrive\Documents\Current%20Matters\atemplate%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73A8E-DF44-4F46-A53C-BD6F5729F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atemplate 2013</Template>
  <TotalTime>0</TotalTime>
  <Pages>12</Pages>
  <Words>2909</Words>
  <Characters>16587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Friedman</dc:creator>
  <cp:keywords/>
  <cp:lastModifiedBy>Tshwarelo Mabina</cp:lastModifiedBy>
  <cp:revision>2</cp:revision>
  <cp:lastPrinted>2023-11-13T05:49:00Z</cp:lastPrinted>
  <dcterms:created xsi:type="dcterms:W3CDTF">2023-11-13T10:41:00Z</dcterms:created>
  <dcterms:modified xsi:type="dcterms:W3CDTF">2023-11-13T10:41:00Z</dcterms:modified>
</cp:coreProperties>
</file>