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DA28A" w14:textId="78535A9D" w:rsidR="00060C70" w:rsidRPr="00060C70" w:rsidRDefault="00060C70" w:rsidP="00060C70">
      <w:pPr>
        <w:rPr>
          <w:rFonts w:ascii="Courier New" w:eastAsia="DengXian" w:hAnsi="Courier New" w:cs="Courier New"/>
          <w:color w:val="FF0000"/>
          <w:u w:val="single"/>
        </w:rPr>
      </w:pPr>
      <w:r>
        <w:rPr>
          <w:rFonts w:ascii="Arial" w:hAnsi="Arial" w:cs="Arial"/>
          <w:color w:val="FF0000"/>
        </w:rPr>
        <w:t>Editorial note: Certain information has been redacted from this judgment in compliance with the law.</w:t>
      </w:r>
    </w:p>
    <w:p w14:paraId="5845264E" w14:textId="4F8E0409" w:rsidR="00564266" w:rsidRPr="00634FF3" w:rsidRDefault="00564266" w:rsidP="00F9182F">
      <w:pPr>
        <w:spacing w:after="0" w:line="276" w:lineRule="auto"/>
        <w:ind w:left="0"/>
        <w:jc w:val="center"/>
        <w:rPr>
          <w:rFonts w:ascii="Arial" w:eastAsia="Times New Roman" w:hAnsi="Arial" w:cs="Arial"/>
          <w:b/>
          <w:color w:val="auto"/>
          <w:sz w:val="22"/>
        </w:rPr>
      </w:pPr>
      <w:r w:rsidRPr="00634FF3">
        <w:rPr>
          <w:rFonts w:ascii="Arial" w:eastAsia="Times New Roman" w:hAnsi="Arial" w:cs="Arial"/>
          <w:b/>
          <w:sz w:val="22"/>
        </w:rPr>
        <w:t>REPUBLIC OF SOUTH AFRICA</w:t>
      </w:r>
    </w:p>
    <w:p w14:paraId="6FDB5806" w14:textId="77777777" w:rsidR="00564266" w:rsidRPr="00634FF3" w:rsidRDefault="00564266" w:rsidP="00F9182F">
      <w:pPr>
        <w:spacing w:after="0" w:line="276" w:lineRule="auto"/>
        <w:ind w:left="0"/>
        <w:jc w:val="center"/>
        <w:rPr>
          <w:rFonts w:ascii="Arial" w:eastAsia="Times New Roman" w:hAnsi="Arial" w:cs="Arial"/>
          <w:b/>
          <w:sz w:val="22"/>
        </w:rPr>
      </w:pPr>
      <w:r w:rsidRPr="00634FF3">
        <w:rPr>
          <w:rFonts w:ascii="Arial" w:eastAsia="Times New Roman" w:hAnsi="Arial" w:cs="Arial"/>
          <w:b/>
          <w:noProof/>
          <w:sz w:val="22"/>
        </w:rPr>
        <w:drawing>
          <wp:inline distT="0" distB="0" distL="0" distR="0" wp14:anchorId="3F20B319" wp14:editId="648395E1">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4CCCC847" w14:textId="77777777" w:rsidR="00564266" w:rsidRPr="00634FF3" w:rsidRDefault="00564266" w:rsidP="00F9182F">
      <w:pPr>
        <w:spacing w:after="0" w:line="276" w:lineRule="auto"/>
        <w:ind w:left="0"/>
        <w:jc w:val="center"/>
        <w:rPr>
          <w:rFonts w:ascii="Arial" w:eastAsia="Times New Roman" w:hAnsi="Arial" w:cs="Arial"/>
          <w:b/>
          <w:sz w:val="22"/>
          <w:lang w:eastAsia="en-US"/>
        </w:rPr>
      </w:pPr>
      <w:r w:rsidRPr="00634FF3">
        <w:rPr>
          <w:rFonts w:ascii="Arial" w:eastAsia="Times New Roman" w:hAnsi="Arial" w:cs="Arial"/>
          <w:b/>
          <w:sz w:val="22"/>
        </w:rPr>
        <w:t>IN THE HIGH COURT OF SOUTH AFRICA</w:t>
      </w:r>
    </w:p>
    <w:p w14:paraId="672C2D6C" w14:textId="076838A3" w:rsidR="00564266" w:rsidRPr="00634FF3" w:rsidRDefault="00564266" w:rsidP="00F9182F">
      <w:pPr>
        <w:spacing w:after="0" w:line="276" w:lineRule="auto"/>
        <w:ind w:left="0"/>
        <w:jc w:val="center"/>
        <w:rPr>
          <w:rFonts w:ascii="Arial" w:eastAsia="Times New Roman" w:hAnsi="Arial" w:cs="Arial"/>
          <w:b/>
          <w:sz w:val="22"/>
        </w:rPr>
      </w:pPr>
      <w:r w:rsidRPr="00634FF3">
        <w:rPr>
          <w:rFonts w:ascii="Arial" w:eastAsia="Times New Roman" w:hAnsi="Arial" w:cs="Arial"/>
          <w:b/>
          <w:sz w:val="22"/>
        </w:rPr>
        <w:t>GAUTENG</w:t>
      </w:r>
      <w:r w:rsidR="000A4211" w:rsidRPr="00634FF3">
        <w:rPr>
          <w:rFonts w:ascii="Arial" w:eastAsia="Times New Roman" w:hAnsi="Arial" w:cs="Arial"/>
          <w:b/>
          <w:sz w:val="22"/>
        </w:rPr>
        <w:t xml:space="preserve"> </w:t>
      </w:r>
      <w:r w:rsidRPr="00634FF3">
        <w:rPr>
          <w:rFonts w:ascii="Arial" w:eastAsia="Times New Roman" w:hAnsi="Arial" w:cs="Arial"/>
          <w:b/>
          <w:sz w:val="22"/>
        </w:rPr>
        <w:t>DIVISION</w:t>
      </w:r>
      <w:r w:rsidR="00D417C3" w:rsidRPr="00634FF3">
        <w:rPr>
          <w:rFonts w:ascii="Arial" w:eastAsia="Times New Roman" w:hAnsi="Arial" w:cs="Arial"/>
          <w:b/>
          <w:sz w:val="22"/>
        </w:rPr>
        <w:t xml:space="preserve">: </w:t>
      </w:r>
      <w:r w:rsidRPr="00634FF3">
        <w:rPr>
          <w:rFonts w:ascii="Arial" w:eastAsia="Times New Roman" w:hAnsi="Arial" w:cs="Arial"/>
          <w:b/>
          <w:sz w:val="22"/>
        </w:rPr>
        <w:t>JOHANNESBURG</w:t>
      </w:r>
    </w:p>
    <w:p w14:paraId="24D77C13" w14:textId="77777777" w:rsidR="00785619" w:rsidRPr="00634FF3" w:rsidRDefault="00785619" w:rsidP="00F9182F">
      <w:pPr>
        <w:spacing w:after="0" w:line="276" w:lineRule="auto"/>
        <w:ind w:left="0"/>
        <w:jc w:val="right"/>
        <w:rPr>
          <w:rFonts w:ascii="Arial" w:eastAsia="Times New Roman" w:hAnsi="Arial" w:cs="Arial"/>
          <w:b/>
          <w:sz w:val="22"/>
        </w:rPr>
      </w:pPr>
    </w:p>
    <w:p w14:paraId="79BFB7B2" w14:textId="7BB84390" w:rsidR="00F4525A" w:rsidRPr="00634FF3" w:rsidRDefault="00785619" w:rsidP="00F4525A">
      <w:pPr>
        <w:spacing w:after="0" w:line="276" w:lineRule="auto"/>
        <w:ind w:left="0"/>
        <w:jc w:val="right"/>
        <w:rPr>
          <w:rFonts w:ascii="Arial" w:hAnsi="Arial" w:cs="Arial"/>
          <w:b/>
          <w:sz w:val="22"/>
          <w:u w:val="single"/>
        </w:rPr>
      </w:pPr>
      <w:r w:rsidRPr="00634FF3">
        <w:rPr>
          <w:rFonts w:ascii="Arial" w:eastAsia="Times New Roman" w:hAnsi="Arial" w:cs="Arial"/>
          <w:b/>
          <w:sz w:val="22"/>
        </w:rPr>
        <w:t>CASE NUMBER:</w:t>
      </w:r>
      <w:r w:rsidR="00E71931" w:rsidRPr="00634FF3">
        <w:rPr>
          <w:rFonts w:ascii="Arial" w:hAnsi="Arial" w:cs="Arial"/>
          <w:b/>
          <w:sz w:val="22"/>
        </w:rPr>
        <w:t xml:space="preserve"> </w:t>
      </w:r>
      <w:r w:rsidR="00CD4A20" w:rsidRPr="00482A7F">
        <w:rPr>
          <w:rFonts w:ascii="Arial" w:hAnsi="Arial" w:cs="Arial"/>
          <w:b/>
          <w:sz w:val="22"/>
        </w:rPr>
        <w:t>202</w:t>
      </w:r>
      <w:r w:rsidR="00D417C3" w:rsidRPr="00482A7F">
        <w:rPr>
          <w:rFonts w:ascii="Arial" w:hAnsi="Arial" w:cs="Arial"/>
          <w:b/>
          <w:sz w:val="22"/>
        </w:rPr>
        <w:t>2</w:t>
      </w:r>
      <w:r w:rsidR="00CD4A20" w:rsidRPr="00482A7F">
        <w:rPr>
          <w:rFonts w:ascii="Arial" w:hAnsi="Arial" w:cs="Arial"/>
          <w:b/>
          <w:sz w:val="22"/>
        </w:rPr>
        <w:t>/</w:t>
      </w:r>
      <w:r w:rsidR="00D417C3" w:rsidRPr="00482A7F">
        <w:rPr>
          <w:rFonts w:ascii="Arial" w:hAnsi="Arial" w:cs="Arial"/>
          <w:b/>
          <w:sz w:val="22"/>
        </w:rPr>
        <w:t>016375</w:t>
      </w:r>
    </w:p>
    <w:p w14:paraId="4AF71CDA" w14:textId="77777777" w:rsidR="00ED35E1" w:rsidRPr="00634FF3" w:rsidRDefault="00ED35E1" w:rsidP="00F9182F">
      <w:pPr>
        <w:spacing w:after="0" w:line="276" w:lineRule="auto"/>
        <w:ind w:left="0"/>
        <w:jc w:val="left"/>
        <w:rPr>
          <w:rFonts w:ascii="Arial" w:eastAsia="Times New Roman" w:hAnsi="Arial" w:cs="Arial"/>
          <w:b/>
          <w:sz w:val="22"/>
        </w:rPr>
      </w:pPr>
      <w:r w:rsidRPr="00634FF3">
        <w:rPr>
          <w:rFonts w:ascii="Arial" w:hAnsi="Arial" w:cs="Arial"/>
          <w:noProof/>
          <w:sz w:val="22"/>
        </w:rPr>
        <mc:AlternateContent>
          <mc:Choice Requires="wps">
            <w:drawing>
              <wp:anchor distT="0" distB="0" distL="114300" distR="114300" simplePos="0" relativeHeight="251659264" behindDoc="0" locked="0" layoutInCell="1" allowOverlap="1" wp14:anchorId="2719C3BD" wp14:editId="2276EBD3">
                <wp:simplePos x="0" y="0"/>
                <wp:positionH relativeFrom="margin">
                  <wp:posOffset>0</wp:posOffset>
                </wp:positionH>
                <wp:positionV relativeFrom="page">
                  <wp:posOffset>3200400</wp:posOffset>
                </wp:positionV>
                <wp:extent cx="3314700" cy="1266825"/>
                <wp:effectExtent l="0" t="0" r="1905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396164ED" w14:textId="77777777" w:rsidR="00ED35E1" w:rsidRPr="004120A8" w:rsidRDefault="00ED35E1" w:rsidP="00ED35E1">
                            <w:pPr>
                              <w:jc w:val="center"/>
                              <w:rPr>
                                <w:rFonts w:ascii="Century Gothic" w:hAnsi="Century Gothic"/>
                                <w:b/>
                                <w:sz w:val="2"/>
                                <w:szCs w:val="18"/>
                              </w:rPr>
                            </w:pPr>
                          </w:p>
                          <w:p w14:paraId="6869BB73" w14:textId="28BF2FE1" w:rsidR="00ED35E1" w:rsidRPr="004120A8" w:rsidRDefault="00584B98" w:rsidP="00584B98">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CD4A20">
                              <w:rPr>
                                <w:rFonts w:ascii="Century Gothic" w:hAnsi="Century Gothic"/>
                                <w:sz w:val="18"/>
                                <w:szCs w:val="18"/>
                              </w:rPr>
                              <w:t>YES/</w:t>
                            </w:r>
                            <w:r w:rsidR="00ED35E1" w:rsidRPr="004120A8">
                              <w:rPr>
                                <w:rFonts w:ascii="Century Gothic" w:hAnsi="Century Gothic"/>
                                <w:sz w:val="18"/>
                                <w:szCs w:val="18"/>
                              </w:rPr>
                              <w:t>NO</w:t>
                            </w:r>
                          </w:p>
                          <w:p w14:paraId="3B492570" w14:textId="456AAEC2" w:rsidR="00ED35E1" w:rsidRPr="004120A8" w:rsidRDefault="00584B98" w:rsidP="00584B98">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CD4A20">
                              <w:rPr>
                                <w:rFonts w:ascii="Century Gothic" w:hAnsi="Century Gothic"/>
                                <w:sz w:val="18"/>
                                <w:szCs w:val="18"/>
                              </w:rPr>
                              <w:t>YE</w:t>
                            </w:r>
                            <w:r w:rsidR="007B320B">
                              <w:rPr>
                                <w:rFonts w:ascii="Century Gothic" w:hAnsi="Century Gothic"/>
                                <w:sz w:val="18"/>
                                <w:szCs w:val="18"/>
                              </w:rPr>
                              <w:t>S</w:t>
                            </w:r>
                            <w:r w:rsidR="00CD4A20">
                              <w:rPr>
                                <w:rFonts w:ascii="Century Gothic" w:hAnsi="Century Gothic"/>
                                <w:sz w:val="18"/>
                                <w:szCs w:val="18"/>
                              </w:rPr>
                              <w:t>/</w:t>
                            </w:r>
                            <w:r w:rsidR="00ED35E1" w:rsidRPr="004120A8">
                              <w:rPr>
                                <w:rFonts w:ascii="Century Gothic" w:hAnsi="Century Gothic"/>
                                <w:sz w:val="18"/>
                                <w:szCs w:val="18"/>
                              </w:rPr>
                              <w:t>NO</w:t>
                            </w:r>
                          </w:p>
                          <w:p w14:paraId="002DFA6E" w14:textId="35A9929F" w:rsidR="00ED35E1" w:rsidRPr="004120A8" w:rsidRDefault="00584B98" w:rsidP="00584B98">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 xml:space="preserve">REVISED. </w:t>
                            </w:r>
                            <w:r w:rsidR="00116F0B">
                              <w:rPr>
                                <w:rFonts w:ascii="Century Gothic" w:hAnsi="Century Gothic"/>
                                <w:sz w:val="18"/>
                                <w:szCs w:val="18"/>
                              </w:rPr>
                              <w:t>YES</w:t>
                            </w:r>
                            <w:r w:rsidR="007B320B">
                              <w:rPr>
                                <w:rFonts w:ascii="Century Gothic" w:hAnsi="Century Gothic"/>
                                <w:sz w:val="18"/>
                                <w:szCs w:val="18"/>
                              </w:rPr>
                              <w:t>/NO</w:t>
                            </w:r>
                          </w:p>
                          <w:p w14:paraId="7EECFF09" w14:textId="77777777" w:rsidR="00ED35E1" w:rsidRPr="004120A8" w:rsidRDefault="00ED35E1" w:rsidP="00ED35E1">
                            <w:pPr>
                              <w:rPr>
                                <w:rFonts w:ascii="Century Gothic" w:hAnsi="Century Gothic"/>
                                <w:b/>
                                <w:sz w:val="18"/>
                                <w:szCs w:val="18"/>
                              </w:rPr>
                            </w:pPr>
                          </w:p>
                          <w:p w14:paraId="6500FB7F" w14:textId="77777777"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71BD2FB2" w14:textId="7735A601"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D417C3">
                              <w:rPr>
                                <w:rFonts w:ascii="Century Gothic" w:hAnsi="Century Gothic"/>
                                <w:b/>
                                <w:sz w:val="18"/>
                                <w:szCs w:val="18"/>
                              </w:rPr>
                              <w:t>SG DOS SANTOS</w:t>
                            </w:r>
                            <w:r w:rsidR="001D42EA">
                              <w:rPr>
                                <w:rFonts w:ascii="Century Gothic" w:hAnsi="Century Gothic"/>
                                <w:b/>
                                <w:sz w:val="18"/>
                                <w:szCs w:val="18"/>
                              </w:rPr>
                              <w:tab/>
                            </w:r>
                            <w:r w:rsidR="001D42EA">
                              <w:rPr>
                                <w:rFonts w:ascii="Century Gothic" w:hAnsi="Century Gothic"/>
                                <w:b/>
                                <w:sz w:val="18"/>
                                <w:szCs w:val="18"/>
                              </w:rPr>
                              <w:tab/>
                            </w:r>
                            <w:r w:rsidR="00FA5658">
                              <w:rPr>
                                <w:rFonts w:ascii="Century Gothic" w:hAnsi="Century Gothic"/>
                                <w:b/>
                                <w:sz w:val="18"/>
                                <w:szCs w:val="18"/>
                              </w:rPr>
                              <w:t xml:space="preserve">     </w:t>
                            </w:r>
                            <w:r w:rsidR="00930263">
                              <w:rPr>
                                <w:rFonts w:ascii="Century Gothic" w:hAnsi="Century Gothic"/>
                                <w:b/>
                                <w:sz w:val="18"/>
                                <w:szCs w:val="18"/>
                              </w:rPr>
                              <w:t>10</w:t>
                            </w:r>
                            <w:r w:rsidR="00B95EDC">
                              <w:rPr>
                                <w:rFonts w:ascii="Century Gothic" w:hAnsi="Century Gothic"/>
                                <w:b/>
                                <w:sz w:val="18"/>
                                <w:szCs w:val="18"/>
                              </w:rPr>
                              <w:t xml:space="preserve"> </w:t>
                            </w:r>
                            <w:r w:rsidR="00D417C3">
                              <w:rPr>
                                <w:rFonts w:ascii="Century Gothic" w:hAnsi="Century Gothic"/>
                                <w:b/>
                                <w:sz w:val="18"/>
                                <w:szCs w:val="18"/>
                              </w:rPr>
                              <w:t>NOVEMBER</w:t>
                            </w:r>
                            <w:r w:rsidR="003C2C29" w:rsidRPr="00CA53DB">
                              <w:rPr>
                                <w:rFonts w:ascii="Century Gothic" w:hAnsi="Century Gothic"/>
                                <w:b/>
                                <w:sz w:val="18"/>
                                <w:szCs w:val="18"/>
                              </w:rPr>
                              <w:t xml:space="preserve"> 2023</w:t>
                            </w:r>
                          </w:p>
                          <w:p w14:paraId="01DBA379" w14:textId="77777777" w:rsidR="00ED35E1" w:rsidRPr="004120A8" w:rsidRDefault="00ED35E1" w:rsidP="00930263">
                            <w:pPr>
                              <w:ind w:left="0"/>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9C3BD"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DmVcePeAAAACAEAAA8AAABkcnMvZG93bnJldi54bWxMj81OwzAQhO9IvIO1&#10;SNyoTUIApXEqfoSEEFJF0wdw420ciNdR7Lbh7VlOcJvVjGa/qVazH8QRp9gH0nC9UCCQ2mB76jRs&#10;m5erexAxGbJmCIQavjHCqj4/q0xpw4k+8LhJneASiqXR4FIaSylj69CbuAgjEnv7MHmT+Jw6aSdz&#10;4nI/yEypW+lNT/zBmRGfHLZfm4PX8PyZr7fUO+vH/PWtad7nYi0ftb68mB+WIBLO6S8Mv/iMDjUz&#10;7cKBbBSDBh6SNBTqhgXbRZax2Gm4U3kBsq7k/wH1DwAAAP//AwBQSwECLQAUAAYACAAAACEAtoM4&#10;kv4AAADhAQAAEwAAAAAAAAAAAAAAAAAAAAAAW0NvbnRlbnRfVHlwZXNdLnhtbFBLAQItABQABgAI&#10;AAAAIQA4/SH/1gAAAJQBAAALAAAAAAAAAAAAAAAAAC8BAABfcmVscy8ucmVsc1BLAQItABQABgAI&#10;AAAAIQAdTFAWGQIAADoEAAAOAAAAAAAAAAAAAAAAAC4CAABkcnMvZTJvRG9jLnhtbFBLAQItABQA&#10;BgAIAAAAIQA5lXHj3gAAAAgBAAAPAAAAAAAAAAAAAAAAAHMEAABkcnMvZG93bnJldi54bWxQSwUG&#10;AAAAAAQABADzAAAAfgUAAAAA&#10;">
                <v:path arrowok="t"/>
                <v:textbox>
                  <w:txbxContent>
                    <w:p w14:paraId="396164ED" w14:textId="77777777" w:rsidR="00ED35E1" w:rsidRPr="004120A8" w:rsidRDefault="00ED35E1" w:rsidP="00ED35E1">
                      <w:pPr>
                        <w:jc w:val="center"/>
                        <w:rPr>
                          <w:rFonts w:ascii="Century Gothic" w:hAnsi="Century Gothic"/>
                          <w:b/>
                          <w:sz w:val="2"/>
                          <w:szCs w:val="18"/>
                        </w:rPr>
                      </w:pPr>
                    </w:p>
                    <w:p w14:paraId="6869BB73" w14:textId="28BF2FE1" w:rsidR="00ED35E1" w:rsidRPr="004120A8" w:rsidRDefault="00584B98" w:rsidP="00584B98">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CD4A20">
                        <w:rPr>
                          <w:rFonts w:ascii="Century Gothic" w:hAnsi="Century Gothic"/>
                          <w:sz w:val="18"/>
                          <w:szCs w:val="18"/>
                        </w:rPr>
                        <w:t>YES/</w:t>
                      </w:r>
                      <w:r w:rsidR="00ED35E1" w:rsidRPr="004120A8">
                        <w:rPr>
                          <w:rFonts w:ascii="Century Gothic" w:hAnsi="Century Gothic"/>
                          <w:sz w:val="18"/>
                          <w:szCs w:val="18"/>
                        </w:rPr>
                        <w:t>NO</w:t>
                      </w:r>
                    </w:p>
                    <w:p w14:paraId="3B492570" w14:textId="456AAEC2" w:rsidR="00ED35E1" w:rsidRPr="004120A8" w:rsidRDefault="00584B98" w:rsidP="00584B98">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CD4A20">
                        <w:rPr>
                          <w:rFonts w:ascii="Century Gothic" w:hAnsi="Century Gothic"/>
                          <w:sz w:val="18"/>
                          <w:szCs w:val="18"/>
                        </w:rPr>
                        <w:t>YE</w:t>
                      </w:r>
                      <w:r w:rsidR="007B320B">
                        <w:rPr>
                          <w:rFonts w:ascii="Century Gothic" w:hAnsi="Century Gothic"/>
                          <w:sz w:val="18"/>
                          <w:szCs w:val="18"/>
                        </w:rPr>
                        <w:t>S</w:t>
                      </w:r>
                      <w:r w:rsidR="00CD4A20">
                        <w:rPr>
                          <w:rFonts w:ascii="Century Gothic" w:hAnsi="Century Gothic"/>
                          <w:sz w:val="18"/>
                          <w:szCs w:val="18"/>
                        </w:rPr>
                        <w:t>/</w:t>
                      </w:r>
                      <w:r w:rsidR="00ED35E1" w:rsidRPr="004120A8">
                        <w:rPr>
                          <w:rFonts w:ascii="Century Gothic" w:hAnsi="Century Gothic"/>
                          <w:sz w:val="18"/>
                          <w:szCs w:val="18"/>
                        </w:rPr>
                        <w:t>NO</w:t>
                      </w:r>
                    </w:p>
                    <w:p w14:paraId="002DFA6E" w14:textId="35A9929F" w:rsidR="00ED35E1" w:rsidRPr="004120A8" w:rsidRDefault="00584B98" w:rsidP="00584B98">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 xml:space="preserve">REVISED. </w:t>
                      </w:r>
                      <w:r w:rsidR="00116F0B">
                        <w:rPr>
                          <w:rFonts w:ascii="Century Gothic" w:hAnsi="Century Gothic"/>
                          <w:sz w:val="18"/>
                          <w:szCs w:val="18"/>
                        </w:rPr>
                        <w:t>YES</w:t>
                      </w:r>
                      <w:r w:rsidR="007B320B">
                        <w:rPr>
                          <w:rFonts w:ascii="Century Gothic" w:hAnsi="Century Gothic"/>
                          <w:sz w:val="18"/>
                          <w:szCs w:val="18"/>
                        </w:rPr>
                        <w:t>/NO</w:t>
                      </w:r>
                    </w:p>
                    <w:p w14:paraId="7EECFF09" w14:textId="77777777" w:rsidR="00ED35E1" w:rsidRPr="004120A8" w:rsidRDefault="00ED35E1" w:rsidP="00ED35E1">
                      <w:pPr>
                        <w:rPr>
                          <w:rFonts w:ascii="Century Gothic" w:hAnsi="Century Gothic"/>
                          <w:b/>
                          <w:sz w:val="18"/>
                          <w:szCs w:val="18"/>
                        </w:rPr>
                      </w:pPr>
                    </w:p>
                    <w:p w14:paraId="6500FB7F" w14:textId="77777777"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71BD2FB2" w14:textId="7735A601"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D417C3">
                        <w:rPr>
                          <w:rFonts w:ascii="Century Gothic" w:hAnsi="Century Gothic"/>
                          <w:b/>
                          <w:sz w:val="18"/>
                          <w:szCs w:val="18"/>
                        </w:rPr>
                        <w:t>SG DOS SANTOS</w:t>
                      </w:r>
                      <w:r w:rsidR="001D42EA">
                        <w:rPr>
                          <w:rFonts w:ascii="Century Gothic" w:hAnsi="Century Gothic"/>
                          <w:b/>
                          <w:sz w:val="18"/>
                          <w:szCs w:val="18"/>
                        </w:rPr>
                        <w:tab/>
                      </w:r>
                      <w:r w:rsidR="001D42EA">
                        <w:rPr>
                          <w:rFonts w:ascii="Century Gothic" w:hAnsi="Century Gothic"/>
                          <w:b/>
                          <w:sz w:val="18"/>
                          <w:szCs w:val="18"/>
                        </w:rPr>
                        <w:tab/>
                      </w:r>
                      <w:r w:rsidR="00FA5658">
                        <w:rPr>
                          <w:rFonts w:ascii="Century Gothic" w:hAnsi="Century Gothic"/>
                          <w:b/>
                          <w:sz w:val="18"/>
                          <w:szCs w:val="18"/>
                        </w:rPr>
                        <w:t xml:space="preserve">     </w:t>
                      </w:r>
                      <w:r w:rsidR="00930263">
                        <w:rPr>
                          <w:rFonts w:ascii="Century Gothic" w:hAnsi="Century Gothic"/>
                          <w:b/>
                          <w:sz w:val="18"/>
                          <w:szCs w:val="18"/>
                        </w:rPr>
                        <w:t>10</w:t>
                      </w:r>
                      <w:r w:rsidR="00B95EDC">
                        <w:rPr>
                          <w:rFonts w:ascii="Century Gothic" w:hAnsi="Century Gothic"/>
                          <w:b/>
                          <w:sz w:val="18"/>
                          <w:szCs w:val="18"/>
                        </w:rPr>
                        <w:t xml:space="preserve"> </w:t>
                      </w:r>
                      <w:r w:rsidR="00D417C3">
                        <w:rPr>
                          <w:rFonts w:ascii="Century Gothic" w:hAnsi="Century Gothic"/>
                          <w:b/>
                          <w:sz w:val="18"/>
                          <w:szCs w:val="18"/>
                        </w:rPr>
                        <w:t>NOVEMBER</w:t>
                      </w:r>
                      <w:r w:rsidR="003C2C29" w:rsidRPr="00CA53DB">
                        <w:rPr>
                          <w:rFonts w:ascii="Century Gothic" w:hAnsi="Century Gothic"/>
                          <w:b/>
                          <w:sz w:val="18"/>
                          <w:szCs w:val="18"/>
                        </w:rPr>
                        <w:t xml:space="preserve"> 2023</w:t>
                      </w:r>
                    </w:p>
                    <w:p w14:paraId="01DBA379" w14:textId="77777777" w:rsidR="00ED35E1" w:rsidRPr="004120A8" w:rsidRDefault="00ED35E1" w:rsidP="00930263">
                      <w:pPr>
                        <w:ind w:left="0"/>
                        <w:rPr>
                          <w:rFonts w:ascii="Century Gothic" w:hAnsi="Century Gothic"/>
                          <w:b/>
                          <w:sz w:val="2"/>
                          <w:szCs w:val="18"/>
                        </w:rPr>
                      </w:pPr>
                    </w:p>
                  </w:txbxContent>
                </v:textbox>
                <w10:wrap type="topAndBottom" anchorx="margin" anchory="page"/>
              </v:shape>
            </w:pict>
          </mc:Fallback>
        </mc:AlternateContent>
      </w:r>
    </w:p>
    <w:p w14:paraId="051AB456" w14:textId="77777777" w:rsidR="00564266" w:rsidRPr="00634FF3" w:rsidRDefault="00564266" w:rsidP="00F9182F">
      <w:pPr>
        <w:spacing w:after="0" w:line="276" w:lineRule="auto"/>
        <w:ind w:left="0"/>
        <w:jc w:val="left"/>
        <w:rPr>
          <w:rFonts w:ascii="Arial" w:eastAsia="Times New Roman" w:hAnsi="Arial" w:cs="Arial"/>
          <w:b/>
          <w:sz w:val="22"/>
        </w:rPr>
      </w:pPr>
      <w:r w:rsidRPr="00634FF3">
        <w:rPr>
          <w:rFonts w:ascii="Arial" w:eastAsia="Times New Roman" w:hAnsi="Arial" w:cs="Arial"/>
          <w:b/>
          <w:sz w:val="22"/>
        </w:rPr>
        <w:tab/>
      </w:r>
      <w:r w:rsidRPr="00634FF3">
        <w:rPr>
          <w:rFonts w:ascii="Arial" w:eastAsia="Times New Roman" w:hAnsi="Arial" w:cs="Arial"/>
          <w:b/>
          <w:sz w:val="22"/>
        </w:rPr>
        <w:tab/>
      </w:r>
      <w:r w:rsidRPr="00634FF3">
        <w:rPr>
          <w:rFonts w:ascii="Arial" w:eastAsia="Times New Roman" w:hAnsi="Arial" w:cs="Arial"/>
          <w:b/>
          <w:sz w:val="22"/>
        </w:rPr>
        <w:tab/>
      </w:r>
      <w:r w:rsidRPr="00634FF3">
        <w:rPr>
          <w:rFonts w:ascii="Arial" w:eastAsia="Times New Roman" w:hAnsi="Arial" w:cs="Arial"/>
          <w:b/>
          <w:sz w:val="22"/>
        </w:rPr>
        <w:tab/>
      </w:r>
      <w:r w:rsidRPr="00634FF3">
        <w:rPr>
          <w:rFonts w:ascii="Arial" w:eastAsia="Times New Roman" w:hAnsi="Arial" w:cs="Arial"/>
          <w:b/>
          <w:sz w:val="22"/>
        </w:rPr>
        <w:tab/>
      </w:r>
      <w:r w:rsidRPr="00634FF3">
        <w:rPr>
          <w:rFonts w:ascii="Arial" w:eastAsia="Times New Roman" w:hAnsi="Arial" w:cs="Arial"/>
          <w:b/>
          <w:sz w:val="22"/>
        </w:rPr>
        <w:tab/>
      </w:r>
      <w:r w:rsidRPr="00634FF3">
        <w:rPr>
          <w:rFonts w:ascii="Arial" w:eastAsia="Times New Roman" w:hAnsi="Arial" w:cs="Arial"/>
          <w:b/>
          <w:sz w:val="22"/>
        </w:rPr>
        <w:tab/>
        <w:t xml:space="preserve">     </w:t>
      </w:r>
    </w:p>
    <w:p w14:paraId="6C84F240" w14:textId="77777777" w:rsidR="00CB5402" w:rsidRPr="00634FF3" w:rsidRDefault="00CB5402" w:rsidP="00F9182F">
      <w:pPr>
        <w:spacing w:after="0" w:line="276" w:lineRule="auto"/>
        <w:ind w:left="0"/>
        <w:rPr>
          <w:rFonts w:ascii="Arial" w:eastAsia="Times New Roman" w:hAnsi="Arial" w:cs="Arial"/>
          <w:sz w:val="22"/>
          <w:lang w:eastAsia="en-US"/>
        </w:rPr>
      </w:pPr>
      <w:r w:rsidRPr="00634FF3">
        <w:rPr>
          <w:rFonts w:ascii="Arial" w:eastAsia="Times New Roman" w:hAnsi="Arial" w:cs="Arial"/>
          <w:sz w:val="22"/>
        </w:rPr>
        <w:t>In the matter between:</w:t>
      </w:r>
    </w:p>
    <w:p w14:paraId="434E6521" w14:textId="77777777" w:rsidR="00785619" w:rsidRPr="00634FF3" w:rsidRDefault="00785619" w:rsidP="00F9182F">
      <w:pPr>
        <w:spacing w:after="0" w:line="276" w:lineRule="auto"/>
        <w:ind w:left="0"/>
        <w:rPr>
          <w:rFonts w:ascii="Arial" w:eastAsia="Times New Roman" w:hAnsi="Arial" w:cs="Arial"/>
          <w:b/>
          <w:sz w:val="22"/>
        </w:rPr>
      </w:pPr>
    </w:p>
    <w:p w14:paraId="751EB6DC" w14:textId="56D12610" w:rsidR="00552D02" w:rsidRPr="00634FF3" w:rsidRDefault="00D417C3" w:rsidP="00552D02">
      <w:pPr>
        <w:tabs>
          <w:tab w:val="left" w:pos="360"/>
        </w:tabs>
        <w:spacing w:line="360" w:lineRule="auto"/>
        <w:rPr>
          <w:rFonts w:ascii="Arial" w:hAnsi="Arial" w:cs="Arial"/>
          <w:b/>
          <w:sz w:val="22"/>
        </w:rPr>
      </w:pPr>
      <w:proofErr w:type="gramStart"/>
      <w:r w:rsidRPr="00634FF3">
        <w:rPr>
          <w:rFonts w:ascii="Arial" w:hAnsi="Arial" w:cs="Arial"/>
          <w:b/>
          <w:sz w:val="22"/>
        </w:rPr>
        <w:t>P</w:t>
      </w:r>
      <w:r w:rsidR="009668FF">
        <w:rPr>
          <w:rFonts w:ascii="Arial" w:hAnsi="Arial" w:cs="Arial"/>
          <w:b/>
          <w:sz w:val="22"/>
        </w:rPr>
        <w:t>[</w:t>
      </w:r>
      <w:proofErr w:type="gramEnd"/>
      <w:r w:rsidR="009668FF">
        <w:rPr>
          <w:rFonts w:ascii="Arial" w:hAnsi="Arial" w:cs="Arial"/>
          <w:b/>
          <w:sz w:val="22"/>
        </w:rPr>
        <w:t>…]</w:t>
      </w:r>
      <w:r w:rsidRPr="00634FF3">
        <w:rPr>
          <w:rFonts w:ascii="Arial" w:hAnsi="Arial" w:cs="Arial"/>
          <w:b/>
          <w:sz w:val="22"/>
        </w:rPr>
        <w:t xml:space="preserve"> L</w:t>
      </w:r>
      <w:r w:rsidR="009668FF">
        <w:rPr>
          <w:rFonts w:ascii="Arial" w:hAnsi="Arial" w:cs="Arial"/>
          <w:b/>
          <w:sz w:val="22"/>
        </w:rPr>
        <w:t>[…]</w:t>
      </w:r>
      <w:r w:rsidR="009668FF">
        <w:rPr>
          <w:rFonts w:ascii="Arial" w:hAnsi="Arial" w:cs="Arial"/>
          <w:b/>
          <w:sz w:val="22"/>
        </w:rPr>
        <w:tab/>
      </w:r>
      <w:r w:rsidR="009668FF">
        <w:rPr>
          <w:rFonts w:ascii="Arial" w:hAnsi="Arial" w:cs="Arial"/>
          <w:b/>
          <w:sz w:val="22"/>
        </w:rPr>
        <w:tab/>
      </w:r>
      <w:r w:rsidR="009668FF">
        <w:rPr>
          <w:rFonts w:ascii="Arial" w:hAnsi="Arial" w:cs="Arial"/>
          <w:b/>
          <w:sz w:val="22"/>
        </w:rPr>
        <w:tab/>
      </w:r>
      <w:r w:rsidR="00552D02" w:rsidRPr="00634FF3">
        <w:rPr>
          <w:rFonts w:ascii="Arial" w:hAnsi="Arial" w:cs="Arial"/>
          <w:b/>
          <w:sz w:val="22"/>
        </w:rPr>
        <w:tab/>
      </w:r>
      <w:r w:rsidR="00552D02" w:rsidRPr="00634FF3">
        <w:rPr>
          <w:rFonts w:ascii="Arial" w:hAnsi="Arial" w:cs="Arial"/>
          <w:b/>
          <w:sz w:val="22"/>
        </w:rPr>
        <w:tab/>
      </w:r>
      <w:r w:rsidR="00552D02" w:rsidRPr="00634FF3">
        <w:rPr>
          <w:rFonts w:ascii="Arial" w:hAnsi="Arial" w:cs="Arial"/>
          <w:b/>
          <w:sz w:val="22"/>
        </w:rPr>
        <w:tab/>
      </w:r>
      <w:r w:rsidR="00552D02" w:rsidRPr="00634FF3">
        <w:rPr>
          <w:rFonts w:ascii="Arial" w:hAnsi="Arial" w:cs="Arial"/>
          <w:b/>
          <w:sz w:val="22"/>
        </w:rPr>
        <w:tab/>
      </w:r>
      <w:r w:rsidR="00552D02" w:rsidRPr="00634FF3">
        <w:rPr>
          <w:rFonts w:ascii="Arial" w:hAnsi="Arial" w:cs="Arial"/>
          <w:b/>
          <w:sz w:val="22"/>
        </w:rPr>
        <w:tab/>
      </w:r>
      <w:r w:rsidR="00552D02" w:rsidRPr="00634FF3">
        <w:rPr>
          <w:rFonts w:ascii="Arial" w:hAnsi="Arial" w:cs="Arial"/>
          <w:b/>
          <w:sz w:val="22"/>
        </w:rPr>
        <w:tab/>
        <w:t xml:space="preserve">                     </w:t>
      </w:r>
      <w:r w:rsidRPr="00634FF3">
        <w:rPr>
          <w:rFonts w:ascii="Arial" w:hAnsi="Arial" w:cs="Arial"/>
          <w:b/>
          <w:sz w:val="22"/>
        </w:rPr>
        <w:t>Applicant</w:t>
      </w:r>
      <w:r w:rsidR="00552D02" w:rsidRPr="00634FF3">
        <w:rPr>
          <w:rFonts w:ascii="Arial" w:hAnsi="Arial" w:cs="Arial"/>
          <w:b/>
          <w:sz w:val="22"/>
        </w:rPr>
        <w:t xml:space="preserve"> </w:t>
      </w:r>
    </w:p>
    <w:p w14:paraId="3659F9A7" w14:textId="77777777" w:rsidR="00552D02" w:rsidRPr="00634FF3" w:rsidRDefault="00552D02" w:rsidP="00552D02">
      <w:pPr>
        <w:tabs>
          <w:tab w:val="left" w:pos="360"/>
        </w:tabs>
        <w:spacing w:line="360" w:lineRule="auto"/>
        <w:rPr>
          <w:rFonts w:ascii="Arial" w:hAnsi="Arial" w:cs="Arial"/>
          <w:b/>
          <w:sz w:val="22"/>
        </w:rPr>
      </w:pPr>
    </w:p>
    <w:p w14:paraId="34CB4C84" w14:textId="77777777" w:rsidR="00552D02" w:rsidRPr="00634FF3" w:rsidRDefault="00552D02" w:rsidP="00552D02">
      <w:pPr>
        <w:tabs>
          <w:tab w:val="left" w:pos="360"/>
        </w:tabs>
        <w:spacing w:line="360" w:lineRule="auto"/>
        <w:rPr>
          <w:rFonts w:ascii="Arial" w:hAnsi="Arial" w:cs="Arial"/>
          <w:b/>
          <w:sz w:val="22"/>
        </w:rPr>
      </w:pPr>
      <w:r w:rsidRPr="00634FF3">
        <w:rPr>
          <w:rFonts w:ascii="Arial" w:hAnsi="Arial" w:cs="Arial"/>
          <w:b/>
          <w:sz w:val="22"/>
        </w:rPr>
        <w:t xml:space="preserve">and </w:t>
      </w:r>
    </w:p>
    <w:p w14:paraId="76433D6A" w14:textId="77777777" w:rsidR="00552D02" w:rsidRPr="00634FF3" w:rsidRDefault="00552D02" w:rsidP="00552D02">
      <w:pPr>
        <w:tabs>
          <w:tab w:val="left" w:pos="360"/>
        </w:tabs>
        <w:spacing w:line="360" w:lineRule="auto"/>
        <w:rPr>
          <w:rFonts w:ascii="Arial" w:hAnsi="Arial" w:cs="Arial"/>
          <w:b/>
          <w:sz w:val="22"/>
        </w:rPr>
      </w:pPr>
    </w:p>
    <w:p w14:paraId="2E0C601D" w14:textId="5DE244CF" w:rsidR="0064098D" w:rsidRPr="00634FF3" w:rsidRDefault="00240C39" w:rsidP="00552D02">
      <w:pPr>
        <w:tabs>
          <w:tab w:val="left" w:pos="360"/>
        </w:tabs>
        <w:spacing w:line="360" w:lineRule="auto"/>
        <w:rPr>
          <w:rFonts w:ascii="Arial" w:hAnsi="Arial" w:cs="Arial"/>
          <w:b/>
          <w:sz w:val="22"/>
        </w:rPr>
      </w:pPr>
      <w:r w:rsidRPr="00634FF3">
        <w:rPr>
          <w:rFonts w:ascii="Arial" w:hAnsi="Arial" w:cs="Arial"/>
          <w:b/>
          <w:sz w:val="22"/>
        </w:rPr>
        <w:t>R</w:t>
      </w:r>
      <w:r w:rsidR="009668FF">
        <w:rPr>
          <w:rFonts w:ascii="Arial" w:hAnsi="Arial" w:cs="Arial"/>
          <w:b/>
          <w:sz w:val="22"/>
        </w:rPr>
        <w:t>[…]</w:t>
      </w:r>
      <w:r w:rsidR="00D417C3" w:rsidRPr="00634FF3">
        <w:rPr>
          <w:rFonts w:ascii="Arial" w:hAnsi="Arial" w:cs="Arial"/>
          <w:b/>
          <w:sz w:val="22"/>
        </w:rPr>
        <w:t xml:space="preserve"> L</w:t>
      </w:r>
      <w:r w:rsidR="009668FF">
        <w:rPr>
          <w:rFonts w:ascii="Arial" w:hAnsi="Arial" w:cs="Arial"/>
          <w:b/>
          <w:sz w:val="22"/>
        </w:rPr>
        <w:t>[…]</w:t>
      </w:r>
      <w:r w:rsidR="009668FF">
        <w:rPr>
          <w:rFonts w:ascii="Arial" w:hAnsi="Arial" w:cs="Arial"/>
          <w:b/>
          <w:sz w:val="22"/>
        </w:rPr>
        <w:tab/>
      </w:r>
      <w:r w:rsidR="009668FF">
        <w:rPr>
          <w:rFonts w:ascii="Arial" w:hAnsi="Arial" w:cs="Arial"/>
          <w:b/>
          <w:sz w:val="22"/>
        </w:rPr>
        <w:tab/>
      </w:r>
      <w:bookmarkStart w:id="0" w:name="_GoBack"/>
      <w:bookmarkEnd w:id="0"/>
      <w:r w:rsidR="00552D02" w:rsidRPr="00634FF3">
        <w:rPr>
          <w:rFonts w:ascii="Arial" w:hAnsi="Arial" w:cs="Arial"/>
          <w:b/>
          <w:sz w:val="22"/>
        </w:rPr>
        <w:t xml:space="preserve">      </w:t>
      </w:r>
      <w:r w:rsidR="00552D02" w:rsidRPr="00634FF3">
        <w:rPr>
          <w:rFonts w:ascii="Arial" w:hAnsi="Arial" w:cs="Arial"/>
          <w:b/>
          <w:sz w:val="22"/>
        </w:rPr>
        <w:tab/>
      </w:r>
      <w:r w:rsidR="00552D02" w:rsidRPr="00634FF3">
        <w:rPr>
          <w:rFonts w:ascii="Arial" w:hAnsi="Arial" w:cs="Arial"/>
          <w:b/>
          <w:sz w:val="22"/>
        </w:rPr>
        <w:tab/>
      </w:r>
      <w:r w:rsidR="00552D02" w:rsidRPr="00634FF3">
        <w:rPr>
          <w:rFonts w:ascii="Arial" w:hAnsi="Arial" w:cs="Arial"/>
          <w:b/>
          <w:sz w:val="22"/>
        </w:rPr>
        <w:tab/>
      </w:r>
      <w:r w:rsidR="00552D02" w:rsidRPr="00634FF3">
        <w:rPr>
          <w:rFonts w:ascii="Arial" w:hAnsi="Arial" w:cs="Arial"/>
          <w:b/>
          <w:sz w:val="22"/>
        </w:rPr>
        <w:tab/>
      </w:r>
      <w:r w:rsidR="00552D02" w:rsidRPr="00634FF3">
        <w:rPr>
          <w:rFonts w:ascii="Arial" w:hAnsi="Arial" w:cs="Arial"/>
          <w:b/>
          <w:sz w:val="22"/>
        </w:rPr>
        <w:tab/>
        <w:t xml:space="preserve">      </w:t>
      </w:r>
      <w:r w:rsidRPr="00634FF3">
        <w:rPr>
          <w:rFonts w:ascii="Arial" w:hAnsi="Arial" w:cs="Arial"/>
          <w:b/>
          <w:sz w:val="22"/>
        </w:rPr>
        <w:tab/>
      </w:r>
      <w:r w:rsidRPr="00634FF3">
        <w:rPr>
          <w:rFonts w:ascii="Arial" w:hAnsi="Arial" w:cs="Arial"/>
          <w:b/>
          <w:sz w:val="22"/>
        </w:rPr>
        <w:tab/>
        <w:t xml:space="preserve">       </w:t>
      </w:r>
      <w:r w:rsidR="00552D02" w:rsidRPr="00634FF3">
        <w:rPr>
          <w:rFonts w:ascii="Arial" w:hAnsi="Arial" w:cs="Arial"/>
          <w:b/>
          <w:sz w:val="22"/>
        </w:rPr>
        <w:t xml:space="preserve"> </w:t>
      </w:r>
      <w:r w:rsidR="00D417C3" w:rsidRPr="00634FF3">
        <w:rPr>
          <w:rFonts w:ascii="Arial" w:hAnsi="Arial" w:cs="Arial"/>
          <w:b/>
          <w:sz w:val="22"/>
        </w:rPr>
        <w:tab/>
        <w:t xml:space="preserve">     Respondent</w:t>
      </w:r>
    </w:p>
    <w:p w14:paraId="189F305B" w14:textId="77777777" w:rsidR="00D417C3" w:rsidRPr="00634FF3" w:rsidRDefault="00D417C3" w:rsidP="00552D02">
      <w:pPr>
        <w:tabs>
          <w:tab w:val="left" w:pos="360"/>
        </w:tabs>
        <w:spacing w:line="360" w:lineRule="auto"/>
        <w:rPr>
          <w:rFonts w:ascii="Arial" w:hAnsi="Arial" w:cs="Arial"/>
          <w:b/>
          <w:sz w:val="22"/>
        </w:rPr>
      </w:pPr>
    </w:p>
    <w:p w14:paraId="64950A21" w14:textId="390BB736" w:rsidR="00785619" w:rsidRDefault="00785619" w:rsidP="00930263">
      <w:pPr>
        <w:spacing w:after="0" w:line="276" w:lineRule="auto"/>
        <w:ind w:left="0"/>
        <w:rPr>
          <w:rFonts w:ascii="Arial" w:eastAsia="Times New Roman" w:hAnsi="Arial" w:cs="Arial"/>
          <w:sz w:val="22"/>
        </w:rPr>
      </w:pPr>
      <w:r w:rsidRPr="00634FF3">
        <w:rPr>
          <w:rFonts w:ascii="Arial" w:eastAsia="Times New Roman" w:hAnsi="Arial" w:cs="Arial"/>
          <w:sz w:val="22"/>
        </w:rPr>
        <w:t>_________________________________________________________________________</w:t>
      </w:r>
      <w:r w:rsidR="00930263">
        <w:rPr>
          <w:rFonts w:ascii="Arial" w:eastAsia="Times New Roman" w:hAnsi="Arial" w:cs="Arial"/>
          <w:sz w:val="22"/>
        </w:rPr>
        <w:t>_____</w:t>
      </w:r>
    </w:p>
    <w:p w14:paraId="06A28395" w14:textId="77777777" w:rsidR="00930263" w:rsidRPr="00930263" w:rsidRDefault="00930263" w:rsidP="00930263">
      <w:pPr>
        <w:spacing w:after="0" w:line="276" w:lineRule="auto"/>
        <w:ind w:left="0"/>
        <w:rPr>
          <w:rFonts w:ascii="Arial" w:eastAsia="Times New Roman" w:hAnsi="Arial" w:cs="Arial"/>
          <w:sz w:val="22"/>
        </w:rPr>
      </w:pPr>
    </w:p>
    <w:p w14:paraId="44B27518" w14:textId="77777777" w:rsidR="00785619" w:rsidRPr="00634FF3" w:rsidRDefault="00785619" w:rsidP="00B95EDC">
      <w:pPr>
        <w:spacing w:after="0" w:line="276" w:lineRule="auto"/>
        <w:ind w:left="0"/>
        <w:jc w:val="center"/>
        <w:rPr>
          <w:rFonts w:ascii="Arial" w:eastAsia="Times New Roman" w:hAnsi="Arial" w:cs="Arial"/>
          <w:b/>
          <w:sz w:val="22"/>
        </w:rPr>
      </w:pPr>
      <w:r w:rsidRPr="00634FF3">
        <w:rPr>
          <w:rFonts w:ascii="Arial" w:eastAsia="Times New Roman" w:hAnsi="Arial" w:cs="Arial"/>
          <w:b/>
          <w:sz w:val="22"/>
        </w:rPr>
        <w:t>JUDGMENT</w:t>
      </w:r>
    </w:p>
    <w:p w14:paraId="5EDC6BB8" w14:textId="5D2C6A0A" w:rsidR="00564266" w:rsidRDefault="00785619" w:rsidP="00F9182F">
      <w:pPr>
        <w:spacing w:after="0" w:line="276" w:lineRule="auto"/>
        <w:ind w:left="0"/>
        <w:rPr>
          <w:rFonts w:ascii="Arial" w:eastAsia="Times New Roman" w:hAnsi="Arial" w:cs="Arial"/>
          <w:sz w:val="22"/>
        </w:rPr>
      </w:pPr>
      <w:r w:rsidRPr="00634FF3">
        <w:rPr>
          <w:rFonts w:ascii="Arial" w:eastAsia="Times New Roman" w:hAnsi="Arial" w:cs="Arial"/>
          <w:sz w:val="22"/>
        </w:rPr>
        <w:t>_________________________________________________________________________</w:t>
      </w:r>
      <w:r w:rsidR="00930263">
        <w:rPr>
          <w:rFonts w:ascii="Arial" w:eastAsia="Times New Roman" w:hAnsi="Arial" w:cs="Arial"/>
          <w:sz w:val="22"/>
        </w:rPr>
        <w:t>_____</w:t>
      </w:r>
    </w:p>
    <w:p w14:paraId="19EB9447" w14:textId="77777777" w:rsidR="00930263" w:rsidRPr="00930263" w:rsidRDefault="00930263" w:rsidP="00F9182F">
      <w:pPr>
        <w:spacing w:after="0" w:line="276" w:lineRule="auto"/>
        <w:ind w:left="0"/>
        <w:rPr>
          <w:rFonts w:ascii="Arial" w:eastAsia="Times New Roman" w:hAnsi="Arial" w:cs="Arial"/>
          <w:sz w:val="22"/>
        </w:rPr>
      </w:pPr>
    </w:p>
    <w:p w14:paraId="491D6469" w14:textId="4194D554" w:rsidR="00543B35" w:rsidRPr="00634FF3" w:rsidRDefault="00D417C3" w:rsidP="008B1FC0">
      <w:pPr>
        <w:spacing w:after="0" w:line="276" w:lineRule="auto"/>
        <w:ind w:left="0"/>
        <w:rPr>
          <w:rFonts w:ascii="Arial" w:hAnsi="Arial" w:cs="Arial"/>
          <w:b/>
          <w:sz w:val="22"/>
          <w:u w:val="single"/>
        </w:rPr>
      </w:pPr>
      <w:r w:rsidRPr="00634FF3">
        <w:rPr>
          <w:rFonts w:ascii="Arial" w:hAnsi="Arial" w:cs="Arial"/>
          <w:b/>
          <w:sz w:val="22"/>
          <w:u w:val="single"/>
        </w:rPr>
        <w:t>DOS SANTOS</w:t>
      </w:r>
      <w:r w:rsidR="002C6721" w:rsidRPr="00634FF3">
        <w:rPr>
          <w:rFonts w:ascii="Arial" w:hAnsi="Arial" w:cs="Arial"/>
          <w:b/>
          <w:sz w:val="22"/>
          <w:u w:val="single"/>
        </w:rPr>
        <w:t xml:space="preserve"> AJ</w:t>
      </w:r>
    </w:p>
    <w:p w14:paraId="05C8DA93" w14:textId="08162800" w:rsidR="00543B35" w:rsidRPr="00634FF3" w:rsidRDefault="00543B35">
      <w:pPr>
        <w:spacing w:after="160" w:line="259" w:lineRule="auto"/>
        <w:ind w:left="0"/>
        <w:jc w:val="left"/>
        <w:rPr>
          <w:rFonts w:ascii="Arial" w:hAnsi="Arial" w:cs="Arial"/>
          <w:b/>
          <w:sz w:val="22"/>
          <w:u w:val="single"/>
        </w:rPr>
      </w:pPr>
    </w:p>
    <w:p w14:paraId="3F0D9A2F" w14:textId="46D00701" w:rsidR="00194BC9" w:rsidRPr="00584B98" w:rsidRDefault="00584B98" w:rsidP="00584B98">
      <w:pPr>
        <w:keepLines/>
        <w:spacing w:before="240" w:after="360" w:line="276" w:lineRule="auto"/>
        <w:ind w:left="426" w:hanging="426"/>
        <w:rPr>
          <w:rFonts w:ascii="Arial" w:hAnsi="Arial" w:cs="Arial"/>
          <w:b/>
          <w:sz w:val="22"/>
        </w:rPr>
      </w:pPr>
      <w:r w:rsidRPr="00AA084E">
        <w:rPr>
          <w:rFonts w:ascii="Arial" w:hAnsi="Arial" w:cs="Arial"/>
          <w:b/>
          <w:sz w:val="22"/>
        </w:rPr>
        <w:t>A.</w:t>
      </w:r>
      <w:r w:rsidRPr="00AA084E">
        <w:rPr>
          <w:rFonts w:ascii="Arial" w:hAnsi="Arial" w:cs="Arial"/>
          <w:b/>
          <w:sz w:val="22"/>
        </w:rPr>
        <w:tab/>
      </w:r>
      <w:r w:rsidR="00543B35" w:rsidRPr="00584B98">
        <w:rPr>
          <w:rFonts w:ascii="Arial" w:hAnsi="Arial" w:cs="Arial"/>
          <w:b/>
          <w:sz w:val="22"/>
        </w:rPr>
        <w:t>INTRODUCTION</w:t>
      </w:r>
    </w:p>
    <w:p w14:paraId="49C8B1BA" w14:textId="75A156AC" w:rsidR="00194BC9" w:rsidRPr="00584B98" w:rsidRDefault="00584B98" w:rsidP="00584B98">
      <w:pPr>
        <w:keepLines/>
        <w:spacing w:after="360" w:line="480" w:lineRule="auto"/>
        <w:ind w:left="425" w:right="-153" w:hanging="357"/>
        <w:rPr>
          <w:rFonts w:ascii="Arial" w:eastAsiaTheme="minorHAnsi" w:hAnsi="Arial" w:cs="Arial"/>
          <w:color w:val="auto"/>
          <w:sz w:val="22"/>
          <w:lang w:val="en-AU" w:eastAsia="en-US"/>
        </w:rPr>
      </w:pPr>
      <w:r w:rsidRPr="00634FF3">
        <w:rPr>
          <w:rFonts w:ascii="Arial" w:eastAsiaTheme="minorHAnsi" w:hAnsi="Arial" w:cs="Arial"/>
          <w:color w:val="auto"/>
          <w:sz w:val="22"/>
          <w:lang w:val="en-AU" w:eastAsia="en-US"/>
        </w:rPr>
        <w:t>1.</w:t>
      </w:r>
      <w:r w:rsidRPr="00634FF3">
        <w:rPr>
          <w:rFonts w:ascii="Arial" w:eastAsiaTheme="minorHAnsi" w:hAnsi="Arial" w:cs="Arial"/>
          <w:color w:val="auto"/>
          <w:sz w:val="22"/>
          <w:lang w:val="en-AU" w:eastAsia="en-US"/>
        </w:rPr>
        <w:tab/>
      </w:r>
      <w:r w:rsidR="00543B35" w:rsidRPr="00584B98">
        <w:rPr>
          <w:rFonts w:ascii="Arial" w:eastAsiaTheme="minorHAnsi" w:hAnsi="Arial" w:cs="Arial"/>
          <w:color w:val="auto"/>
          <w:sz w:val="22"/>
          <w:lang w:val="en-AU" w:eastAsia="en-US"/>
        </w:rPr>
        <w:t xml:space="preserve">The notice of motion in this </w:t>
      </w:r>
      <w:r w:rsidR="00AA084E" w:rsidRPr="00584B98">
        <w:rPr>
          <w:rFonts w:ascii="Arial" w:eastAsiaTheme="minorHAnsi" w:hAnsi="Arial" w:cs="Arial"/>
          <w:color w:val="auto"/>
          <w:sz w:val="22"/>
          <w:lang w:val="en-AU" w:eastAsia="en-US"/>
        </w:rPr>
        <w:t xml:space="preserve">opposed </w:t>
      </w:r>
      <w:r w:rsidR="00D417C3" w:rsidRPr="00584B98">
        <w:rPr>
          <w:rFonts w:ascii="Arial" w:eastAsiaTheme="minorHAnsi" w:hAnsi="Arial" w:cs="Arial"/>
          <w:color w:val="auto"/>
          <w:sz w:val="22"/>
          <w:lang w:val="en-AU" w:eastAsia="en-US"/>
        </w:rPr>
        <w:t xml:space="preserve">application </w:t>
      </w:r>
      <w:r w:rsidR="00543B35" w:rsidRPr="00584B98">
        <w:rPr>
          <w:rFonts w:ascii="Arial" w:eastAsiaTheme="minorHAnsi" w:hAnsi="Arial" w:cs="Arial"/>
          <w:color w:val="auto"/>
          <w:sz w:val="22"/>
          <w:lang w:val="en-AU" w:eastAsia="en-US"/>
        </w:rPr>
        <w:t xml:space="preserve">consists </w:t>
      </w:r>
      <w:r w:rsidR="00D417C3" w:rsidRPr="00584B98">
        <w:rPr>
          <w:rFonts w:ascii="Arial" w:eastAsiaTheme="minorHAnsi" w:hAnsi="Arial" w:cs="Arial"/>
          <w:color w:val="auto"/>
          <w:sz w:val="22"/>
          <w:lang w:val="en-AU" w:eastAsia="en-US"/>
        </w:rPr>
        <w:t>of three parts (</w:t>
      </w:r>
      <w:r w:rsidR="00543B35" w:rsidRPr="00584B98">
        <w:rPr>
          <w:rFonts w:ascii="Arial" w:eastAsiaTheme="minorHAnsi" w:hAnsi="Arial" w:cs="Arial"/>
          <w:color w:val="auto"/>
          <w:sz w:val="22"/>
          <w:lang w:val="en-AU" w:eastAsia="en-US"/>
        </w:rPr>
        <w:t>being the relief sought in Part A, Part B and Part</w:t>
      </w:r>
      <w:r w:rsidR="00194BC9" w:rsidRPr="00584B98">
        <w:rPr>
          <w:rFonts w:ascii="Arial" w:eastAsiaTheme="minorHAnsi" w:hAnsi="Arial" w:cs="Arial"/>
          <w:color w:val="auto"/>
          <w:sz w:val="22"/>
          <w:lang w:val="en-AU" w:eastAsia="en-US"/>
        </w:rPr>
        <w:t xml:space="preserve"> C</w:t>
      </w:r>
      <w:r w:rsidR="00D417C3" w:rsidRPr="00584B98">
        <w:rPr>
          <w:rFonts w:ascii="Arial" w:eastAsiaTheme="minorHAnsi" w:hAnsi="Arial" w:cs="Arial"/>
          <w:color w:val="auto"/>
          <w:sz w:val="22"/>
          <w:lang w:val="en-AU" w:eastAsia="en-US"/>
        </w:rPr>
        <w:t xml:space="preserve">). </w:t>
      </w:r>
      <w:r w:rsidR="00543B35" w:rsidRPr="00584B98">
        <w:rPr>
          <w:rFonts w:ascii="Arial" w:eastAsiaTheme="minorHAnsi" w:hAnsi="Arial" w:cs="Arial"/>
          <w:color w:val="auto"/>
          <w:sz w:val="22"/>
          <w:lang w:val="en-AU" w:eastAsia="en-US"/>
        </w:rPr>
        <w:t>O</w:t>
      </w:r>
      <w:r w:rsidR="00D417C3" w:rsidRPr="00584B98">
        <w:rPr>
          <w:rFonts w:ascii="Arial" w:eastAsiaTheme="minorHAnsi" w:hAnsi="Arial" w:cs="Arial"/>
          <w:color w:val="auto"/>
          <w:sz w:val="22"/>
          <w:lang w:val="en-AU" w:eastAsia="en-US"/>
        </w:rPr>
        <w:t>nly Part</w:t>
      </w:r>
      <w:r w:rsidR="00543B35" w:rsidRPr="00584B98">
        <w:rPr>
          <w:rFonts w:ascii="Arial" w:eastAsiaTheme="minorHAnsi" w:hAnsi="Arial" w:cs="Arial"/>
          <w:color w:val="auto"/>
          <w:sz w:val="22"/>
          <w:lang w:val="en-AU" w:eastAsia="en-US"/>
        </w:rPr>
        <w:t>s</w:t>
      </w:r>
      <w:r w:rsidR="00D417C3" w:rsidRPr="00584B98">
        <w:rPr>
          <w:rFonts w:ascii="Arial" w:eastAsiaTheme="minorHAnsi" w:hAnsi="Arial" w:cs="Arial"/>
          <w:color w:val="auto"/>
          <w:sz w:val="22"/>
          <w:lang w:val="en-AU" w:eastAsia="en-US"/>
        </w:rPr>
        <w:t xml:space="preserve"> A and B of the application </w:t>
      </w:r>
      <w:r w:rsidR="00543B35" w:rsidRPr="00584B98">
        <w:rPr>
          <w:rFonts w:ascii="Arial" w:eastAsiaTheme="minorHAnsi" w:hAnsi="Arial" w:cs="Arial"/>
          <w:color w:val="auto"/>
          <w:sz w:val="22"/>
          <w:lang w:val="en-AU" w:eastAsia="en-US"/>
        </w:rPr>
        <w:t>served</w:t>
      </w:r>
      <w:r w:rsidR="00D417C3" w:rsidRPr="00584B98">
        <w:rPr>
          <w:rFonts w:ascii="Arial" w:eastAsiaTheme="minorHAnsi" w:hAnsi="Arial" w:cs="Arial"/>
          <w:color w:val="auto"/>
          <w:sz w:val="22"/>
          <w:lang w:val="en-AU" w:eastAsia="en-US"/>
        </w:rPr>
        <w:t xml:space="preserve"> before me on 18 October 2023.</w:t>
      </w:r>
    </w:p>
    <w:p w14:paraId="50228E6A" w14:textId="563B0806" w:rsidR="00941BE5"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634FF3">
        <w:rPr>
          <w:rFonts w:ascii="Arial" w:eastAsiaTheme="minorHAnsi" w:hAnsi="Arial" w:cs="Arial"/>
          <w:color w:val="auto"/>
          <w:sz w:val="22"/>
          <w:lang w:val="en-AU" w:eastAsia="en-US"/>
        </w:rPr>
        <w:lastRenderedPageBreak/>
        <w:t>2.</w:t>
      </w:r>
      <w:r w:rsidRPr="00634FF3">
        <w:rPr>
          <w:rFonts w:ascii="Arial" w:eastAsiaTheme="minorHAnsi" w:hAnsi="Arial" w:cs="Arial"/>
          <w:color w:val="auto"/>
          <w:sz w:val="22"/>
          <w:lang w:val="en-AU" w:eastAsia="en-US"/>
        </w:rPr>
        <w:tab/>
      </w:r>
      <w:r w:rsidR="00D417C3" w:rsidRPr="00584B98">
        <w:rPr>
          <w:rFonts w:ascii="Arial" w:eastAsiaTheme="minorHAnsi" w:hAnsi="Arial" w:cs="Arial"/>
          <w:color w:val="auto"/>
          <w:sz w:val="22"/>
          <w:lang w:val="en-AU" w:eastAsia="en-US"/>
        </w:rPr>
        <w:t xml:space="preserve">Part A </w:t>
      </w:r>
      <w:r w:rsidR="00543B35" w:rsidRPr="00584B98">
        <w:rPr>
          <w:rFonts w:ascii="Arial" w:eastAsiaTheme="minorHAnsi" w:hAnsi="Arial" w:cs="Arial"/>
          <w:color w:val="auto"/>
          <w:sz w:val="22"/>
          <w:lang w:val="en-AU" w:eastAsia="en-US"/>
        </w:rPr>
        <w:t>is</w:t>
      </w:r>
      <w:r w:rsidR="00D417C3" w:rsidRPr="00584B98">
        <w:rPr>
          <w:rFonts w:ascii="Arial" w:eastAsiaTheme="minorHAnsi" w:hAnsi="Arial" w:cs="Arial"/>
          <w:color w:val="auto"/>
          <w:sz w:val="22"/>
          <w:lang w:val="en-AU" w:eastAsia="en-US"/>
        </w:rPr>
        <w:t xml:space="preserve"> an application for contempt of court. </w:t>
      </w:r>
      <w:bookmarkStart w:id="1" w:name="_Hlk150447184"/>
      <w:r w:rsidR="00D417C3" w:rsidRPr="00584B98">
        <w:rPr>
          <w:rFonts w:ascii="Arial" w:eastAsiaTheme="minorHAnsi" w:hAnsi="Arial" w:cs="Arial"/>
          <w:color w:val="auto"/>
          <w:sz w:val="22"/>
          <w:lang w:val="en-AU" w:eastAsia="en-US"/>
        </w:rPr>
        <w:t xml:space="preserve">Part B is an application for the Family Advocate to investigate </w:t>
      </w:r>
      <w:r w:rsidR="00543B35" w:rsidRPr="00584B98">
        <w:rPr>
          <w:rFonts w:ascii="Arial" w:eastAsiaTheme="minorHAnsi" w:hAnsi="Arial" w:cs="Arial"/>
          <w:color w:val="auto"/>
          <w:sz w:val="22"/>
          <w:lang w:val="en-AU" w:eastAsia="en-US"/>
        </w:rPr>
        <w:t xml:space="preserve">issues relevant to </w:t>
      </w:r>
      <w:r w:rsidR="00DF0D3A" w:rsidRPr="00584B98">
        <w:rPr>
          <w:rFonts w:ascii="Arial" w:eastAsiaTheme="minorHAnsi" w:hAnsi="Arial" w:cs="Arial"/>
          <w:color w:val="auto"/>
          <w:sz w:val="22"/>
          <w:lang w:val="en-AU" w:eastAsia="en-US"/>
        </w:rPr>
        <w:t xml:space="preserve">the </w:t>
      </w:r>
      <w:r w:rsidR="00543B35" w:rsidRPr="00584B98">
        <w:rPr>
          <w:rFonts w:ascii="Arial" w:eastAsiaTheme="minorHAnsi" w:hAnsi="Arial" w:cs="Arial"/>
          <w:color w:val="auto"/>
          <w:sz w:val="22"/>
          <w:lang w:val="en-AU" w:eastAsia="en-US"/>
        </w:rPr>
        <w:t xml:space="preserve">minor children; being </w:t>
      </w:r>
      <w:r w:rsidR="00D417C3" w:rsidRPr="00584B98">
        <w:rPr>
          <w:rFonts w:ascii="Arial" w:eastAsiaTheme="minorHAnsi" w:hAnsi="Arial" w:cs="Arial"/>
          <w:color w:val="auto"/>
          <w:sz w:val="22"/>
          <w:lang w:val="en-AU" w:eastAsia="en-US"/>
        </w:rPr>
        <w:t>primary residence, care and contact</w:t>
      </w:r>
      <w:bookmarkEnd w:id="1"/>
      <w:r w:rsidR="00D417C3" w:rsidRPr="00584B98">
        <w:rPr>
          <w:rFonts w:ascii="Arial" w:eastAsiaTheme="minorHAnsi" w:hAnsi="Arial" w:cs="Arial"/>
          <w:color w:val="auto"/>
          <w:sz w:val="22"/>
          <w:lang w:val="en-AU" w:eastAsia="en-US"/>
        </w:rPr>
        <w:t xml:space="preserve">. I deal with </w:t>
      </w:r>
      <w:r w:rsidR="00A41CB1" w:rsidRPr="00584B98">
        <w:rPr>
          <w:rFonts w:ascii="Arial" w:eastAsiaTheme="minorHAnsi" w:hAnsi="Arial" w:cs="Arial"/>
          <w:color w:val="auto"/>
          <w:sz w:val="22"/>
          <w:lang w:val="en-AU" w:eastAsia="en-US"/>
        </w:rPr>
        <w:t xml:space="preserve">the </w:t>
      </w:r>
      <w:r w:rsidR="00DF0D3A" w:rsidRPr="00584B98">
        <w:rPr>
          <w:rFonts w:ascii="Arial" w:eastAsiaTheme="minorHAnsi" w:hAnsi="Arial" w:cs="Arial"/>
          <w:color w:val="auto"/>
          <w:sz w:val="22"/>
          <w:lang w:val="en-AU" w:eastAsia="en-US"/>
        </w:rPr>
        <w:t xml:space="preserve">relief in </w:t>
      </w:r>
      <w:r w:rsidR="00D417C3" w:rsidRPr="00584B98">
        <w:rPr>
          <w:rFonts w:ascii="Arial" w:eastAsiaTheme="minorHAnsi" w:hAnsi="Arial" w:cs="Arial"/>
          <w:color w:val="auto"/>
          <w:sz w:val="22"/>
          <w:lang w:val="en-AU" w:eastAsia="en-US"/>
        </w:rPr>
        <w:t>Part A and Part B</w:t>
      </w:r>
      <w:r w:rsidR="00A41CB1" w:rsidRPr="00584B98">
        <w:rPr>
          <w:rFonts w:ascii="Arial" w:eastAsiaTheme="minorHAnsi" w:hAnsi="Arial" w:cs="Arial"/>
          <w:color w:val="auto"/>
          <w:sz w:val="22"/>
          <w:lang w:val="en-AU" w:eastAsia="en-US"/>
        </w:rPr>
        <w:t xml:space="preserve"> </w:t>
      </w:r>
      <w:r w:rsidR="00D417C3" w:rsidRPr="00584B98">
        <w:rPr>
          <w:rFonts w:ascii="Arial" w:eastAsiaTheme="minorHAnsi" w:hAnsi="Arial" w:cs="Arial"/>
          <w:color w:val="auto"/>
          <w:sz w:val="22"/>
          <w:lang w:val="en-AU" w:eastAsia="en-US"/>
        </w:rPr>
        <w:t>in turn.</w:t>
      </w:r>
    </w:p>
    <w:p w14:paraId="7D833F3A" w14:textId="749D350D" w:rsidR="00194BC9" w:rsidRPr="00584B98" w:rsidRDefault="00584B98" w:rsidP="00584B98">
      <w:pPr>
        <w:keepLines/>
        <w:spacing w:before="240" w:after="360" w:line="276" w:lineRule="auto"/>
        <w:ind w:left="426" w:hanging="426"/>
        <w:rPr>
          <w:rFonts w:ascii="Arial" w:hAnsi="Arial" w:cs="Arial"/>
          <w:b/>
          <w:sz w:val="22"/>
        </w:rPr>
      </w:pPr>
      <w:bookmarkStart w:id="2" w:name="_Hlk150439991"/>
      <w:r w:rsidRPr="00634FF3">
        <w:rPr>
          <w:rFonts w:ascii="Arial" w:hAnsi="Arial" w:cs="Arial"/>
          <w:b/>
          <w:sz w:val="22"/>
        </w:rPr>
        <w:t>B.</w:t>
      </w:r>
      <w:r w:rsidRPr="00634FF3">
        <w:rPr>
          <w:rFonts w:ascii="Arial" w:hAnsi="Arial" w:cs="Arial"/>
          <w:b/>
          <w:sz w:val="22"/>
        </w:rPr>
        <w:tab/>
      </w:r>
      <w:r w:rsidR="00194BC9" w:rsidRPr="00584B98">
        <w:rPr>
          <w:rFonts w:ascii="Arial" w:hAnsi="Arial" w:cs="Arial"/>
          <w:b/>
          <w:sz w:val="22"/>
        </w:rPr>
        <w:t>PART A – CONTEMPT OF COURT</w:t>
      </w:r>
    </w:p>
    <w:p w14:paraId="57D31AA3" w14:textId="6058C415" w:rsidR="00F30F22" w:rsidRPr="00584B98" w:rsidRDefault="00584B98" w:rsidP="00584B98">
      <w:pPr>
        <w:spacing w:after="360" w:line="480" w:lineRule="auto"/>
        <w:ind w:left="425" w:right="-153" w:hanging="425"/>
        <w:rPr>
          <w:rFonts w:ascii="Arial" w:eastAsiaTheme="minorHAnsi" w:hAnsi="Arial" w:cs="Arial"/>
          <w:color w:val="auto"/>
          <w:sz w:val="22"/>
          <w:u w:val="single"/>
          <w:lang w:val="en-AU" w:eastAsia="en-US"/>
        </w:rPr>
      </w:pPr>
      <w:r w:rsidRPr="00AA084E">
        <w:rPr>
          <w:rFonts w:ascii="Arial" w:eastAsiaTheme="minorHAnsi" w:hAnsi="Arial" w:cs="Arial"/>
          <w:color w:val="auto"/>
          <w:sz w:val="22"/>
          <w:lang w:val="en-AU" w:eastAsia="en-US"/>
        </w:rPr>
        <w:t>(a)</w:t>
      </w:r>
      <w:r w:rsidRPr="00AA084E">
        <w:rPr>
          <w:rFonts w:ascii="Arial" w:eastAsiaTheme="minorHAnsi" w:hAnsi="Arial" w:cs="Arial"/>
          <w:color w:val="auto"/>
          <w:sz w:val="22"/>
          <w:lang w:val="en-AU" w:eastAsia="en-US"/>
        </w:rPr>
        <w:tab/>
      </w:r>
      <w:r w:rsidR="00F30F22" w:rsidRPr="00584B98">
        <w:rPr>
          <w:rFonts w:ascii="Arial" w:eastAsiaTheme="minorHAnsi" w:hAnsi="Arial" w:cs="Arial"/>
          <w:color w:val="auto"/>
          <w:sz w:val="22"/>
          <w:u w:val="single"/>
          <w:lang w:val="en-AU" w:eastAsia="en-US"/>
        </w:rPr>
        <w:t xml:space="preserve">The </w:t>
      </w:r>
      <w:r w:rsidR="00AA084E" w:rsidRPr="00584B98">
        <w:rPr>
          <w:rFonts w:ascii="Arial" w:eastAsiaTheme="minorHAnsi" w:hAnsi="Arial" w:cs="Arial"/>
          <w:color w:val="auto"/>
          <w:sz w:val="22"/>
          <w:u w:val="single"/>
          <w:lang w:val="en-AU" w:eastAsia="en-US"/>
        </w:rPr>
        <w:t>relevant context</w:t>
      </w:r>
    </w:p>
    <w:p w14:paraId="4CEB88D5" w14:textId="43CCBFFA" w:rsidR="00F30F22"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634FF3">
        <w:rPr>
          <w:rFonts w:ascii="Arial" w:eastAsiaTheme="minorHAnsi" w:hAnsi="Arial" w:cs="Arial"/>
          <w:color w:val="auto"/>
          <w:sz w:val="22"/>
          <w:lang w:val="en-AU" w:eastAsia="en-US"/>
        </w:rPr>
        <w:t>3.</w:t>
      </w:r>
      <w:r w:rsidRPr="00634FF3">
        <w:rPr>
          <w:rFonts w:ascii="Arial" w:eastAsiaTheme="minorHAnsi" w:hAnsi="Arial" w:cs="Arial"/>
          <w:color w:val="auto"/>
          <w:sz w:val="22"/>
          <w:lang w:val="en-AU" w:eastAsia="en-US"/>
        </w:rPr>
        <w:tab/>
      </w:r>
      <w:r w:rsidR="00F30F22" w:rsidRPr="00584B98">
        <w:rPr>
          <w:rFonts w:ascii="Arial" w:eastAsiaTheme="minorHAnsi" w:hAnsi="Arial" w:cs="Arial"/>
          <w:color w:val="auto"/>
          <w:sz w:val="22"/>
          <w:lang w:val="en-AU" w:eastAsia="en-US"/>
        </w:rPr>
        <w:t>The applicant and the respondent were previously married. The marriage was dissolved by a court order which incorporated a deed of settlement.</w:t>
      </w:r>
      <w:r w:rsidR="00AA084E">
        <w:rPr>
          <w:rStyle w:val="FootnoteReference"/>
          <w:rFonts w:ascii="Arial" w:eastAsiaTheme="minorHAnsi" w:hAnsi="Arial" w:cs="Arial"/>
          <w:color w:val="auto"/>
          <w:sz w:val="22"/>
          <w:lang w:val="en-AU" w:eastAsia="en-US"/>
        </w:rPr>
        <w:footnoteReference w:id="2"/>
      </w:r>
      <w:r w:rsidR="00F30F22" w:rsidRPr="00584B98">
        <w:rPr>
          <w:rFonts w:ascii="Arial" w:eastAsiaTheme="minorHAnsi" w:hAnsi="Arial" w:cs="Arial"/>
          <w:color w:val="auto"/>
          <w:sz w:val="22"/>
          <w:lang w:val="en-AU" w:eastAsia="en-US"/>
        </w:rPr>
        <w:t xml:space="preserve"> </w:t>
      </w:r>
      <w:r w:rsidR="00AA084E" w:rsidRPr="00584B98">
        <w:rPr>
          <w:rFonts w:ascii="Arial" w:eastAsiaTheme="minorHAnsi" w:hAnsi="Arial" w:cs="Arial"/>
          <w:color w:val="auto"/>
          <w:sz w:val="22"/>
          <w:lang w:val="en-AU" w:eastAsia="en-US"/>
        </w:rPr>
        <w:t xml:space="preserve">The </w:t>
      </w:r>
      <w:r w:rsidR="00F30F22" w:rsidRPr="00584B98">
        <w:rPr>
          <w:rFonts w:ascii="Arial" w:eastAsiaTheme="minorHAnsi" w:hAnsi="Arial" w:cs="Arial"/>
          <w:color w:val="auto"/>
          <w:sz w:val="22"/>
          <w:lang w:val="en-AU" w:eastAsia="en-US"/>
        </w:rPr>
        <w:t>court order</w:t>
      </w:r>
      <w:r w:rsidR="00AA084E" w:rsidRPr="00584B98">
        <w:rPr>
          <w:rFonts w:ascii="Arial" w:eastAsiaTheme="minorHAnsi" w:hAnsi="Arial" w:cs="Arial"/>
          <w:color w:val="auto"/>
          <w:sz w:val="22"/>
          <w:lang w:val="en-AU" w:eastAsia="en-US"/>
        </w:rPr>
        <w:t>, being an order of this Court,</w:t>
      </w:r>
      <w:r w:rsidR="00F30F22" w:rsidRPr="00584B98">
        <w:rPr>
          <w:rFonts w:ascii="Arial" w:eastAsiaTheme="minorHAnsi" w:hAnsi="Arial" w:cs="Arial"/>
          <w:color w:val="auto"/>
          <w:sz w:val="22"/>
          <w:lang w:val="en-AU" w:eastAsia="en-US"/>
        </w:rPr>
        <w:t xml:space="preserve"> was granted on 3 February 2017</w:t>
      </w:r>
      <w:r w:rsidR="00483573" w:rsidRPr="00584B98">
        <w:rPr>
          <w:rFonts w:ascii="Arial" w:eastAsiaTheme="minorHAnsi" w:hAnsi="Arial" w:cs="Arial"/>
          <w:color w:val="auto"/>
          <w:sz w:val="22"/>
          <w:lang w:val="en-AU" w:eastAsia="en-US"/>
        </w:rPr>
        <w:t xml:space="preserve"> under case number 2016/15121</w:t>
      </w:r>
      <w:r w:rsidR="00F30F22" w:rsidRPr="00584B98">
        <w:rPr>
          <w:rFonts w:ascii="Arial" w:eastAsiaTheme="minorHAnsi" w:hAnsi="Arial" w:cs="Arial"/>
          <w:color w:val="auto"/>
          <w:sz w:val="22"/>
          <w:lang w:val="en-AU" w:eastAsia="en-US"/>
        </w:rPr>
        <w:t>.</w:t>
      </w:r>
    </w:p>
    <w:bookmarkEnd w:id="2"/>
    <w:p w14:paraId="4CE73922" w14:textId="5B6D4DA6" w:rsidR="00483573"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634FF3">
        <w:rPr>
          <w:rFonts w:ascii="Arial" w:eastAsiaTheme="minorHAnsi" w:hAnsi="Arial" w:cs="Arial"/>
          <w:color w:val="auto"/>
          <w:sz w:val="22"/>
          <w:lang w:val="en-AU" w:eastAsia="en-US"/>
        </w:rPr>
        <w:t>4.</w:t>
      </w:r>
      <w:r w:rsidRPr="00634FF3">
        <w:rPr>
          <w:rFonts w:ascii="Arial" w:eastAsiaTheme="minorHAnsi" w:hAnsi="Arial" w:cs="Arial"/>
          <w:color w:val="auto"/>
          <w:sz w:val="22"/>
          <w:lang w:val="en-AU" w:eastAsia="en-US"/>
        </w:rPr>
        <w:tab/>
      </w:r>
      <w:r w:rsidR="00F30F22" w:rsidRPr="00584B98">
        <w:rPr>
          <w:rFonts w:ascii="Arial" w:eastAsiaTheme="minorHAnsi" w:hAnsi="Arial" w:cs="Arial"/>
          <w:color w:val="auto"/>
          <w:sz w:val="22"/>
          <w:lang w:val="en-AU" w:eastAsia="en-US"/>
        </w:rPr>
        <w:t xml:space="preserve">The deed of settlement contains various provisions relating to the minor children’s primary residence, care and contact. </w:t>
      </w:r>
      <w:r w:rsidR="00AA084E" w:rsidRPr="00584B98">
        <w:rPr>
          <w:rFonts w:ascii="Arial" w:eastAsiaTheme="minorHAnsi" w:hAnsi="Arial" w:cs="Arial"/>
          <w:color w:val="auto"/>
          <w:sz w:val="22"/>
          <w:lang w:val="en-AU" w:eastAsia="en-US"/>
        </w:rPr>
        <w:t>For purposes of these proceedings, the relevant terms include (</w:t>
      </w:r>
      <w:proofErr w:type="spellStart"/>
      <w:r w:rsidR="00AA084E" w:rsidRPr="00584B98">
        <w:rPr>
          <w:rFonts w:ascii="Arial" w:eastAsiaTheme="minorHAnsi" w:hAnsi="Arial" w:cs="Arial"/>
          <w:color w:val="auto"/>
          <w:sz w:val="22"/>
          <w:lang w:val="en-AU" w:eastAsia="en-US"/>
        </w:rPr>
        <w:t>i</w:t>
      </w:r>
      <w:proofErr w:type="spellEnd"/>
      <w:r w:rsidR="00AA084E" w:rsidRPr="00584B98">
        <w:rPr>
          <w:rFonts w:ascii="Arial" w:eastAsiaTheme="minorHAnsi" w:hAnsi="Arial" w:cs="Arial"/>
          <w:color w:val="auto"/>
          <w:sz w:val="22"/>
          <w:lang w:val="en-AU" w:eastAsia="en-US"/>
        </w:rPr>
        <w:t>) t</w:t>
      </w:r>
      <w:r w:rsidR="00F30F22" w:rsidRPr="00584B98">
        <w:rPr>
          <w:rFonts w:ascii="Arial" w:eastAsiaTheme="minorHAnsi" w:hAnsi="Arial" w:cs="Arial"/>
          <w:color w:val="auto"/>
          <w:sz w:val="22"/>
          <w:lang w:val="en-AU" w:eastAsia="en-US"/>
        </w:rPr>
        <w:t xml:space="preserve">he minor children’s primary residence </w:t>
      </w:r>
      <w:r w:rsidR="00AA084E" w:rsidRPr="00584B98">
        <w:rPr>
          <w:rFonts w:ascii="Arial" w:eastAsiaTheme="minorHAnsi" w:hAnsi="Arial" w:cs="Arial"/>
          <w:color w:val="auto"/>
          <w:sz w:val="22"/>
          <w:lang w:val="en-AU" w:eastAsia="en-US"/>
        </w:rPr>
        <w:t xml:space="preserve">would be with </w:t>
      </w:r>
      <w:r w:rsidR="00F30F22" w:rsidRPr="00584B98">
        <w:rPr>
          <w:rFonts w:ascii="Arial" w:eastAsiaTheme="minorHAnsi" w:hAnsi="Arial" w:cs="Arial"/>
          <w:color w:val="auto"/>
          <w:sz w:val="22"/>
          <w:lang w:val="en-AU" w:eastAsia="en-US"/>
        </w:rPr>
        <w:t>the respondent</w:t>
      </w:r>
      <w:r w:rsidR="00AA084E" w:rsidRPr="00584B98">
        <w:rPr>
          <w:rFonts w:ascii="Arial" w:eastAsiaTheme="minorHAnsi" w:hAnsi="Arial" w:cs="Arial"/>
          <w:color w:val="auto"/>
          <w:sz w:val="22"/>
          <w:lang w:val="en-AU" w:eastAsia="en-US"/>
        </w:rPr>
        <w:t>; and (ii) t</w:t>
      </w:r>
      <w:r w:rsidR="00F30F22" w:rsidRPr="00584B98">
        <w:rPr>
          <w:rFonts w:ascii="Arial" w:eastAsiaTheme="minorHAnsi" w:hAnsi="Arial" w:cs="Arial"/>
          <w:color w:val="auto"/>
          <w:sz w:val="22"/>
          <w:lang w:val="en-AU" w:eastAsia="en-US"/>
        </w:rPr>
        <w:t xml:space="preserve">he applicant </w:t>
      </w:r>
      <w:r w:rsidR="00AA084E" w:rsidRPr="00584B98">
        <w:rPr>
          <w:rFonts w:ascii="Arial" w:eastAsiaTheme="minorHAnsi" w:hAnsi="Arial" w:cs="Arial"/>
          <w:color w:val="auto"/>
          <w:sz w:val="22"/>
          <w:lang w:val="en-AU" w:eastAsia="en-US"/>
        </w:rPr>
        <w:t xml:space="preserve">would enjoy </w:t>
      </w:r>
      <w:r w:rsidR="00F30F22" w:rsidRPr="00584B98">
        <w:rPr>
          <w:rFonts w:ascii="Arial" w:eastAsiaTheme="minorHAnsi" w:hAnsi="Arial" w:cs="Arial"/>
          <w:color w:val="auto"/>
          <w:sz w:val="22"/>
          <w:lang w:val="en-AU" w:eastAsia="en-US"/>
        </w:rPr>
        <w:t>reasonable contact with the minor children</w:t>
      </w:r>
      <w:r w:rsidR="00AA084E" w:rsidRPr="00584B98">
        <w:rPr>
          <w:rFonts w:ascii="Arial" w:eastAsiaTheme="minorHAnsi" w:hAnsi="Arial" w:cs="Arial"/>
          <w:color w:val="auto"/>
          <w:sz w:val="22"/>
          <w:lang w:val="en-AU" w:eastAsia="en-US"/>
        </w:rPr>
        <w:t>. This contact</w:t>
      </w:r>
      <w:r w:rsidR="00F30F22" w:rsidRPr="00584B98">
        <w:rPr>
          <w:rFonts w:ascii="Arial" w:eastAsiaTheme="minorHAnsi" w:hAnsi="Arial" w:cs="Arial"/>
          <w:color w:val="auto"/>
          <w:sz w:val="22"/>
          <w:lang w:val="en-AU" w:eastAsia="en-US"/>
        </w:rPr>
        <w:t xml:space="preserve"> includes, inter alia, contact on the applicant’s birthday, Father’s Day, every alternative weekend (or as agreed to between the parties)</w:t>
      </w:r>
      <w:r w:rsidR="00483573" w:rsidRPr="00584B98">
        <w:rPr>
          <w:rFonts w:ascii="Arial" w:eastAsiaTheme="minorHAnsi" w:hAnsi="Arial" w:cs="Arial"/>
          <w:color w:val="auto"/>
          <w:sz w:val="22"/>
          <w:lang w:val="en-AU" w:eastAsia="en-US"/>
        </w:rPr>
        <w:t xml:space="preserve"> and </w:t>
      </w:r>
      <w:r w:rsidR="00F30F22" w:rsidRPr="00584B98">
        <w:rPr>
          <w:rFonts w:ascii="Arial" w:eastAsiaTheme="minorHAnsi" w:hAnsi="Arial" w:cs="Arial"/>
          <w:color w:val="auto"/>
          <w:sz w:val="22"/>
          <w:lang w:val="en-AU" w:eastAsia="en-US"/>
        </w:rPr>
        <w:t xml:space="preserve">every alternate school holidays. </w:t>
      </w:r>
    </w:p>
    <w:p w14:paraId="5286CC4A" w14:textId="246D64E3" w:rsidR="00F30F22"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634FF3">
        <w:rPr>
          <w:rFonts w:ascii="Arial" w:eastAsiaTheme="minorHAnsi" w:hAnsi="Arial" w:cs="Arial"/>
          <w:color w:val="auto"/>
          <w:sz w:val="22"/>
          <w:lang w:val="en-AU" w:eastAsia="en-US"/>
        </w:rPr>
        <w:t>5.</w:t>
      </w:r>
      <w:r w:rsidRPr="00634FF3">
        <w:rPr>
          <w:rFonts w:ascii="Arial" w:eastAsiaTheme="minorHAnsi" w:hAnsi="Arial" w:cs="Arial"/>
          <w:color w:val="auto"/>
          <w:sz w:val="22"/>
          <w:lang w:val="en-AU" w:eastAsia="en-US"/>
        </w:rPr>
        <w:tab/>
      </w:r>
      <w:r w:rsidR="00F30F22" w:rsidRPr="00584B98">
        <w:rPr>
          <w:rFonts w:ascii="Arial" w:eastAsiaTheme="minorHAnsi" w:hAnsi="Arial" w:cs="Arial"/>
          <w:color w:val="auto"/>
          <w:sz w:val="22"/>
          <w:lang w:val="en-AU" w:eastAsia="en-US"/>
        </w:rPr>
        <w:t>The deed of settlement provides further that the long school holidays and the December holidays will be share</w:t>
      </w:r>
      <w:r w:rsidR="00483573" w:rsidRPr="00584B98">
        <w:rPr>
          <w:rFonts w:ascii="Arial" w:eastAsiaTheme="minorHAnsi" w:hAnsi="Arial" w:cs="Arial"/>
          <w:color w:val="auto"/>
          <w:sz w:val="22"/>
          <w:lang w:val="en-AU" w:eastAsia="en-US"/>
        </w:rPr>
        <w:t>d</w:t>
      </w:r>
      <w:r w:rsidR="00F30F22" w:rsidRPr="00584B98">
        <w:rPr>
          <w:rFonts w:ascii="Arial" w:eastAsiaTheme="minorHAnsi" w:hAnsi="Arial" w:cs="Arial"/>
          <w:color w:val="auto"/>
          <w:sz w:val="22"/>
          <w:lang w:val="en-AU" w:eastAsia="en-US"/>
        </w:rPr>
        <w:t xml:space="preserve"> between the parties</w:t>
      </w:r>
      <w:r w:rsidR="002D68B4" w:rsidRPr="00584B98">
        <w:rPr>
          <w:rFonts w:ascii="Arial" w:eastAsiaTheme="minorHAnsi" w:hAnsi="Arial" w:cs="Arial"/>
          <w:color w:val="auto"/>
          <w:sz w:val="22"/>
          <w:lang w:val="en-AU" w:eastAsia="en-US"/>
        </w:rPr>
        <w:t>,</w:t>
      </w:r>
      <w:r w:rsidR="00F30F22" w:rsidRPr="00584B98">
        <w:rPr>
          <w:rFonts w:ascii="Arial" w:eastAsiaTheme="minorHAnsi" w:hAnsi="Arial" w:cs="Arial"/>
          <w:color w:val="auto"/>
          <w:sz w:val="22"/>
          <w:lang w:val="en-AU" w:eastAsia="en-US"/>
        </w:rPr>
        <w:t xml:space="preserve"> or otherwise </w:t>
      </w:r>
      <w:r w:rsidR="00AA084E" w:rsidRPr="00584B98">
        <w:rPr>
          <w:rFonts w:ascii="Arial" w:eastAsiaTheme="minorHAnsi" w:hAnsi="Arial" w:cs="Arial"/>
          <w:color w:val="auto"/>
          <w:sz w:val="22"/>
          <w:lang w:val="en-AU" w:eastAsia="en-US"/>
        </w:rPr>
        <w:t xml:space="preserve">be </w:t>
      </w:r>
      <w:r w:rsidR="00F30F22" w:rsidRPr="00584B98">
        <w:rPr>
          <w:rFonts w:ascii="Arial" w:eastAsiaTheme="minorHAnsi" w:hAnsi="Arial" w:cs="Arial"/>
          <w:color w:val="auto"/>
          <w:sz w:val="22"/>
          <w:lang w:val="en-AU" w:eastAsia="en-US"/>
        </w:rPr>
        <w:t xml:space="preserve">agreed between the </w:t>
      </w:r>
      <w:r w:rsidR="00483573" w:rsidRPr="00584B98">
        <w:rPr>
          <w:rFonts w:ascii="Arial" w:eastAsiaTheme="minorHAnsi" w:hAnsi="Arial" w:cs="Arial"/>
          <w:color w:val="auto"/>
          <w:sz w:val="22"/>
          <w:lang w:val="en-AU" w:eastAsia="en-US"/>
        </w:rPr>
        <w:t>parties</w:t>
      </w:r>
      <w:r w:rsidR="00F30F22" w:rsidRPr="00584B98">
        <w:rPr>
          <w:rFonts w:ascii="Arial" w:eastAsiaTheme="minorHAnsi" w:hAnsi="Arial" w:cs="Arial"/>
          <w:color w:val="auto"/>
          <w:sz w:val="22"/>
          <w:lang w:val="en-AU" w:eastAsia="en-US"/>
        </w:rPr>
        <w:t>.</w:t>
      </w:r>
      <w:r w:rsidR="00483573" w:rsidRPr="00584B98">
        <w:rPr>
          <w:rFonts w:ascii="Arial" w:eastAsiaTheme="minorHAnsi" w:hAnsi="Arial" w:cs="Arial"/>
          <w:color w:val="auto"/>
          <w:sz w:val="22"/>
          <w:lang w:val="en-AU" w:eastAsia="en-US"/>
        </w:rPr>
        <w:t xml:space="preserve"> </w:t>
      </w:r>
      <w:r w:rsidR="00AA084E" w:rsidRPr="00584B98">
        <w:rPr>
          <w:rFonts w:ascii="Arial" w:eastAsiaTheme="minorHAnsi" w:hAnsi="Arial" w:cs="Arial"/>
          <w:color w:val="auto"/>
          <w:sz w:val="22"/>
          <w:lang w:val="en-AU" w:eastAsia="en-US"/>
        </w:rPr>
        <w:t>T</w:t>
      </w:r>
      <w:r w:rsidR="00483573" w:rsidRPr="00584B98">
        <w:rPr>
          <w:rFonts w:ascii="Arial" w:eastAsiaTheme="minorHAnsi" w:hAnsi="Arial" w:cs="Arial"/>
          <w:color w:val="auto"/>
          <w:sz w:val="22"/>
          <w:lang w:val="en-AU" w:eastAsia="en-US"/>
        </w:rPr>
        <w:t>he</w:t>
      </w:r>
      <w:r w:rsidR="009B7CCF" w:rsidRPr="00584B98">
        <w:rPr>
          <w:rFonts w:ascii="Arial" w:eastAsiaTheme="minorHAnsi" w:hAnsi="Arial" w:cs="Arial"/>
          <w:color w:val="auto"/>
          <w:sz w:val="22"/>
          <w:lang w:val="en-AU" w:eastAsia="en-US"/>
        </w:rPr>
        <w:t xml:space="preserve"> deed of settlement</w:t>
      </w:r>
      <w:r w:rsidR="00483573" w:rsidRPr="00584B98">
        <w:rPr>
          <w:rFonts w:ascii="Arial" w:eastAsiaTheme="minorHAnsi" w:hAnsi="Arial" w:cs="Arial"/>
          <w:color w:val="auto"/>
          <w:sz w:val="22"/>
          <w:lang w:val="en-AU" w:eastAsia="en-US"/>
        </w:rPr>
        <w:t xml:space="preserve"> </w:t>
      </w:r>
      <w:r w:rsidR="00AA084E" w:rsidRPr="00584B98">
        <w:rPr>
          <w:rFonts w:ascii="Arial" w:eastAsiaTheme="minorHAnsi" w:hAnsi="Arial" w:cs="Arial"/>
          <w:color w:val="auto"/>
          <w:sz w:val="22"/>
          <w:lang w:val="en-AU" w:eastAsia="en-US"/>
        </w:rPr>
        <w:t xml:space="preserve">also </w:t>
      </w:r>
      <w:r w:rsidR="00483573" w:rsidRPr="00584B98">
        <w:rPr>
          <w:rFonts w:ascii="Arial" w:eastAsiaTheme="minorHAnsi" w:hAnsi="Arial" w:cs="Arial"/>
          <w:color w:val="auto"/>
          <w:sz w:val="22"/>
          <w:lang w:val="en-AU" w:eastAsia="en-US"/>
        </w:rPr>
        <w:t>provides that the applicant’s right of reasonable contact is subject to the minor children’s educational, sporting, social and religious activities.</w:t>
      </w:r>
    </w:p>
    <w:p w14:paraId="611DE1F4" w14:textId="3F5AA524" w:rsidR="00A72B2B"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634FF3">
        <w:rPr>
          <w:rFonts w:ascii="Arial" w:eastAsiaTheme="minorHAnsi" w:hAnsi="Arial" w:cs="Arial"/>
          <w:color w:val="auto"/>
          <w:sz w:val="22"/>
          <w:lang w:val="en-AU" w:eastAsia="en-US"/>
        </w:rPr>
        <w:t>6.</w:t>
      </w:r>
      <w:r w:rsidRPr="00634FF3">
        <w:rPr>
          <w:rFonts w:ascii="Arial" w:eastAsiaTheme="minorHAnsi" w:hAnsi="Arial" w:cs="Arial"/>
          <w:color w:val="auto"/>
          <w:sz w:val="22"/>
          <w:lang w:val="en-AU" w:eastAsia="en-US"/>
        </w:rPr>
        <w:tab/>
      </w:r>
      <w:r w:rsidR="00A72B2B" w:rsidRPr="00584B98">
        <w:rPr>
          <w:rFonts w:ascii="Arial" w:eastAsiaTheme="minorHAnsi" w:hAnsi="Arial" w:cs="Arial"/>
          <w:color w:val="auto"/>
          <w:sz w:val="22"/>
          <w:lang w:val="en-AU" w:eastAsia="en-US"/>
        </w:rPr>
        <w:t xml:space="preserve">At the time of the divorce, the respondent and the minor children resided </w:t>
      </w:r>
      <w:r w:rsidR="006E4073" w:rsidRPr="00584B98">
        <w:rPr>
          <w:rFonts w:ascii="Arial" w:eastAsiaTheme="minorHAnsi" w:hAnsi="Arial" w:cs="Arial"/>
          <w:color w:val="auto"/>
          <w:sz w:val="22"/>
          <w:lang w:val="en-AU" w:eastAsia="en-US"/>
        </w:rPr>
        <w:t xml:space="preserve">in </w:t>
      </w:r>
      <w:proofErr w:type="spellStart"/>
      <w:r w:rsidR="006E4073" w:rsidRPr="00584B98">
        <w:rPr>
          <w:rFonts w:ascii="Arial" w:eastAsiaTheme="minorHAnsi" w:hAnsi="Arial" w:cs="Arial"/>
          <w:color w:val="auto"/>
          <w:sz w:val="22"/>
          <w:lang w:val="en-AU" w:eastAsia="en-US"/>
        </w:rPr>
        <w:t>Randburg</w:t>
      </w:r>
      <w:proofErr w:type="spellEnd"/>
      <w:r w:rsidR="006E4073" w:rsidRPr="00584B98">
        <w:rPr>
          <w:rFonts w:ascii="Arial" w:eastAsiaTheme="minorHAnsi" w:hAnsi="Arial" w:cs="Arial"/>
          <w:color w:val="auto"/>
          <w:sz w:val="22"/>
          <w:lang w:val="en-AU" w:eastAsia="en-US"/>
        </w:rPr>
        <w:t xml:space="preserve">, Johannesburg. </w:t>
      </w:r>
      <w:r w:rsidR="00A72B2B" w:rsidRPr="00584B98">
        <w:rPr>
          <w:rFonts w:ascii="Arial" w:eastAsiaTheme="minorHAnsi" w:hAnsi="Arial" w:cs="Arial"/>
          <w:color w:val="auto"/>
          <w:sz w:val="22"/>
          <w:lang w:val="en-AU" w:eastAsia="en-US"/>
        </w:rPr>
        <w:t xml:space="preserve">In December 2017, the respondent and the minor children relocated to </w:t>
      </w:r>
      <w:r w:rsidR="00A72B2B" w:rsidRPr="00584B98">
        <w:rPr>
          <w:rFonts w:ascii="Arial" w:eastAsiaTheme="minorHAnsi" w:hAnsi="Arial" w:cs="Arial"/>
          <w:color w:val="auto"/>
          <w:sz w:val="22"/>
          <w:lang w:val="en-AU" w:eastAsia="en-US"/>
        </w:rPr>
        <w:lastRenderedPageBreak/>
        <w:t>Potchefstroom. They have resided there si</w:t>
      </w:r>
      <w:r w:rsidR="001B1446" w:rsidRPr="00584B98">
        <w:rPr>
          <w:rFonts w:ascii="Arial" w:eastAsiaTheme="minorHAnsi" w:hAnsi="Arial" w:cs="Arial"/>
          <w:color w:val="auto"/>
          <w:sz w:val="22"/>
          <w:lang w:val="en-AU" w:eastAsia="en-US"/>
        </w:rPr>
        <w:t>nce December 2017</w:t>
      </w:r>
      <w:r w:rsidR="00AA084E" w:rsidRPr="00584B98">
        <w:rPr>
          <w:rFonts w:ascii="Arial" w:eastAsiaTheme="minorHAnsi" w:hAnsi="Arial" w:cs="Arial"/>
          <w:color w:val="auto"/>
          <w:sz w:val="22"/>
          <w:lang w:val="en-AU" w:eastAsia="en-US"/>
        </w:rPr>
        <w:t xml:space="preserve">; </w:t>
      </w:r>
      <w:r w:rsidR="00A72B2B" w:rsidRPr="00584B98">
        <w:rPr>
          <w:rFonts w:ascii="Arial" w:eastAsiaTheme="minorHAnsi" w:hAnsi="Arial" w:cs="Arial"/>
          <w:color w:val="auto"/>
          <w:sz w:val="22"/>
          <w:lang w:val="en-AU" w:eastAsia="en-US"/>
        </w:rPr>
        <w:t xml:space="preserve">being </w:t>
      </w:r>
      <w:r w:rsidR="00AA084E" w:rsidRPr="00584B98">
        <w:rPr>
          <w:rFonts w:ascii="Arial" w:eastAsiaTheme="minorHAnsi" w:hAnsi="Arial" w:cs="Arial"/>
          <w:color w:val="auto"/>
          <w:sz w:val="22"/>
          <w:lang w:val="en-AU" w:eastAsia="en-US"/>
        </w:rPr>
        <w:t xml:space="preserve">a period of </w:t>
      </w:r>
      <w:r w:rsidR="00482A7F" w:rsidRPr="00584B98">
        <w:rPr>
          <w:rFonts w:ascii="Arial" w:eastAsiaTheme="minorHAnsi" w:hAnsi="Arial" w:cs="Arial"/>
          <w:color w:val="auto"/>
          <w:sz w:val="22"/>
          <w:lang w:val="en-AU" w:eastAsia="en-US"/>
        </w:rPr>
        <w:t>almost</w:t>
      </w:r>
      <w:r w:rsidR="00A72B2B" w:rsidRPr="00584B98">
        <w:rPr>
          <w:rFonts w:ascii="Arial" w:eastAsiaTheme="minorHAnsi" w:hAnsi="Arial" w:cs="Arial"/>
          <w:color w:val="auto"/>
          <w:sz w:val="22"/>
          <w:lang w:val="en-AU" w:eastAsia="en-US"/>
        </w:rPr>
        <w:t xml:space="preserve"> 6 years.</w:t>
      </w:r>
      <w:r w:rsidR="00AA084E" w:rsidRPr="00584B98">
        <w:rPr>
          <w:rFonts w:ascii="Arial" w:eastAsiaTheme="minorHAnsi" w:hAnsi="Arial" w:cs="Arial"/>
          <w:color w:val="auto"/>
          <w:sz w:val="22"/>
          <w:lang w:val="en-AU" w:eastAsia="en-US"/>
        </w:rPr>
        <w:t xml:space="preserve"> The minor children are now aged 15 and 11.</w:t>
      </w:r>
    </w:p>
    <w:p w14:paraId="3773A79F" w14:textId="7CEEA14E" w:rsidR="00194BC9"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634FF3">
        <w:rPr>
          <w:rFonts w:ascii="Arial" w:eastAsiaTheme="minorHAnsi" w:hAnsi="Arial" w:cs="Arial"/>
          <w:color w:val="auto"/>
          <w:sz w:val="22"/>
          <w:lang w:val="en-AU" w:eastAsia="en-US"/>
        </w:rPr>
        <w:t>7.</w:t>
      </w:r>
      <w:r w:rsidRPr="00634FF3">
        <w:rPr>
          <w:rFonts w:ascii="Arial" w:eastAsiaTheme="minorHAnsi" w:hAnsi="Arial" w:cs="Arial"/>
          <w:color w:val="auto"/>
          <w:sz w:val="22"/>
          <w:lang w:val="en-AU" w:eastAsia="en-US"/>
        </w:rPr>
        <w:tab/>
      </w:r>
      <w:r w:rsidR="00483573" w:rsidRPr="00584B98">
        <w:rPr>
          <w:rFonts w:ascii="Arial" w:eastAsiaTheme="minorHAnsi" w:hAnsi="Arial" w:cs="Arial"/>
          <w:color w:val="auto"/>
          <w:sz w:val="22"/>
          <w:lang w:val="en-AU" w:eastAsia="en-US"/>
        </w:rPr>
        <w:t xml:space="preserve">In August 2022, the applicant approached the court for relief </w:t>
      </w:r>
      <w:r w:rsidR="00DF0D3A" w:rsidRPr="00584B98">
        <w:rPr>
          <w:rFonts w:ascii="Arial" w:eastAsiaTheme="minorHAnsi" w:hAnsi="Arial" w:cs="Arial"/>
          <w:color w:val="auto"/>
          <w:sz w:val="22"/>
          <w:lang w:val="en-AU" w:eastAsia="en-US"/>
        </w:rPr>
        <w:t xml:space="preserve">to hold the respondent in contempt of </w:t>
      </w:r>
      <w:r w:rsidR="00483573" w:rsidRPr="00584B98">
        <w:rPr>
          <w:rFonts w:ascii="Arial" w:eastAsiaTheme="minorHAnsi" w:hAnsi="Arial" w:cs="Arial"/>
          <w:color w:val="auto"/>
          <w:sz w:val="22"/>
          <w:lang w:val="en-AU" w:eastAsia="en-US"/>
        </w:rPr>
        <w:t xml:space="preserve">the provisions of the deed of settlement. The trigger for the approach is </w:t>
      </w:r>
      <w:r w:rsidR="00AA084E" w:rsidRPr="00584B98">
        <w:rPr>
          <w:rFonts w:ascii="Arial" w:eastAsiaTheme="minorHAnsi" w:hAnsi="Arial" w:cs="Arial"/>
          <w:color w:val="auto"/>
          <w:sz w:val="22"/>
          <w:lang w:val="en-AU" w:eastAsia="en-US"/>
        </w:rPr>
        <w:t>a</w:t>
      </w:r>
      <w:r w:rsidR="00483573" w:rsidRPr="00584B98">
        <w:rPr>
          <w:rFonts w:ascii="Arial" w:eastAsiaTheme="minorHAnsi" w:hAnsi="Arial" w:cs="Arial"/>
          <w:color w:val="auto"/>
          <w:sz w:val="22"/>
          <w:lang w:val="en-AU" w:eastAsia="en-US"/>
        </w:rPr>
        <w:t xml:space="preserve"> dispute </w:t>
      </w:r>
      <w:r w:rsidR="001B1446" w:rsidRPr="00584B98">
        <w:rPr>
          <w:rFonts w:ascii="Arial" w:eastAsiaTheme="minorHAnsi" w:hAnsi="Arial" w:cs="Arial"/>
          <w:color w:val="auto"/>
          <w:sz w:val="22"/>
          <w:lang w:val="en-AU" w:eastAsia="en-US"/>
        </w:rPr>
        <w:t xml:space="preserve">between the parties </w:t>
      </w:r>
      <w:r w:rsidR="00483573" w:rsidRPr="00584B98">
        <w:rPr>
          <w:rFonts w:ascii="Arial" w:eastAsiaTheme="minorHAnsi" w:hAnsi="Arial" w:cs="Arial"/>
          <w:color w:val="auto"/>
          <w:sz w:val="22"/>
          <w:lang w:val="en-AU" w:eastAsia="en-US"/>
        </w:rPr>
        <w:t xml:space="preserve">regarding the applicant’s </w:t>
      </w:r>
      <w:r w:rsidR="001B1446" w:rsidRPr="00584B98">
        <w:rPr>
          <w:rFonts w:ascii="Arial" w:eastAsiaTheme="minorHAnsi" w:hAnsi="Arial" w:cs="Arial"/>
          <w:color w:val="auto"/>
          <w:sz w:val="22"/>
          <w:lang w:val="en-AU" w:eastAsia="en-US"/>
        </w:rPr>
        <w:t xml:space="preserve">2022 Father’s Day </w:t>
      </w:r>
      <w:r w:rsidR="00483573" w:rsidRPr="00584B98">
        <w:rPr>
          <w:rFonts w:ascii="Arial" w:eastAsiaTheme="minorHAnsi" w:hAnsi="Arial" w:cs="Arial"/>
          <w:color w:val="auto"/>
          <w:sz w:val="22"/>
          <w:lang w:val="en-AU" w:eastAsia="en-US"/>
        </w:rPr>
        <w:t xml:space="preserve">contact </w:t>
      </w:r>
      <w:r w:rsidR="001B1446" w:rsidRPr="00584B98">
        <w:rPr>
          <w:rFonts w:ascii="Arial" w:eastAsiaTheme="minorHAnsi" w:hAnsi="Arial" w:cs="Arial"/>
          <w:color w:val="auto"/>
          <w:sz w:val="22"/>
          <w:lang w:val="en-AU" w:eastAsia="en-US"/>
        </w:rPr>
        <w:t xml:space="preserve">and the applicant’s holiday contact </w:t>
      </w:r>
      <w:r w:rsidR="00483573" w:rsidRPr="00584B98">
        <w:rPr>
          <w:rFonts w:ascii="Arial" w:eastAsiaTheme="minorHAnsi" w:hAnsi="Arial" w:cs="Arial"/>
          <w:color w:val="auto"/>
          <w:sz w:val="22"/>
          <w:lang w:val="en-AU" w:eastAsia="en-US"/>
        </w:rPr>
        <w:t>in the June / July 2022 school holidays.</w:t>
      </w:r>
    </w:p>
    <w:p w14:paraId="043D4D29" w14:textId="3794BE76" w:rsidR="00483573" w:rsidRPr="00584B98" w:rsidRDefault="00584B98" w:rsidP="00584B98">
      <w:pPr>
        <w:spacing w:after="360" w:line="480" w:lineRule="auto"/>
        <w:ind w:left="425" w:right="-153" w:hanging="425"/>
        <w:rPr>
          <w:rFonts w:ascii="Arial" w:eastAsiaTheme="minorHAnsi" w:hAnsi="Arial" w:cs="Arial"/>
          <w:color w:val="auto"/>
          <w:sz w:val="22"/>
          <w:u w:val="single"/>
          <w:lang w:val="en-AU" w:eastAsia="en-US"/>
        </w:rPr>
      </w:pPr>
      <w:r w:rsidRPr="00634FF3">
        <w:rPr>
          <w:rFonts w:ascii="Arial" w:eastAsiaTheme="minorHAnsi" w:hAnsi="Arial" w:cs="Arial"/>
          <w:color w:val="auto"/>
          <w:sz w:val="22"/>
          <w:lang w:val="en-AU" w:eastAsia="en-US"/>
        </w:rPr>
        <w:t>(b)</w:t>
      </w:r>
      <w:r w:rsidRPr="00634FF3">
        <w:rPr>
          <w:rFonts w:ascii="Arial" w:eastAsiaTheme="minorHAnsi" w:hAnsi="Arial" w:cs="Arial"/>
          <w:color w:val="auto"/>
          <w:sz w:val="22"/>
          <w:lang w:val="en-AU" w:eastAsia="en-US"/>
        </w:rPr>
        <w:tab/>
      </w:r>
      <w:r w:rsidR="00483573" w:rsidRPr="00584B98">
        <w:rPr>
          <w:rFonts w:ascii="Arial" w:eastAsiaTheme="minorHAnsi" w:hAnsi="Arial" w:cs="Arial"/>
          <w:color w:val="auto"/>
          <w:sz w:val="22"/>
          <w:u w:val="single"/>
          <w:lang w:val="en-AU" w:eastAsia="en-US"/>
        </w:rPr>
        <w:t>The legal principles applicable to contempt of court applications</w:t>
      </w:r>
    </w:p>
    <w:p w14:paraId="066DE515" w14:textId="08C50A91" w:rsidR="00483573"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634FF3">
        <w:rPr>
          <w:rFonts w:ascii="Arial" w:eastAsiaTheme="minorHAnsi" w:hAnsi="Arial" w:cs="Arial"/>
          <w:color w:val="auto"/>
          <w:sz w:val="22"/>
          <w:lang w:val="en-AU" w:eastAsia="en-US"/>
        </w:rPr>
        <w:t>8.</w:t>
      </w:r>
      <w:r w:rsidRPr="00634FF3">
        <w:rPr>
          <w:rFonts w:ascii="Arial" w:eastAsiaTheme="minorHAnsi" w:hAnsi="Arial" w:cs="Arial"/>
          <w:color w:val="auto"/>
          <w:sz w:val="22"/>
          <w:lang w:val="en-AU" w:eastAsia="en-US"/>
        </w:rPr>
        <w:tab/>
      </w:r>
      <w:r w:rsidR="00483573" w:rsidRPr="00584B98">
        <w:rPr>
          <w:rFonts w:ascii="Arial" w:eastAsiaTheme="minorHAnsi" w:hAnsi="Arial" w:cs="Arial"/>
          <w:color w:val="auto"/>
          <w:sz w:val="22"/>
          <w:lang w:val="en-AU" w:eastAsia="en-US"/>
        </w:rPr>
        <w:t>Our law on (civil) contempt of court is well established. Contempt of court is defined as “the deliberate, intentional (i.e., wilful), disobedience of an order granted by a court of competent jurisdiction”.</w:t>
      </w:r>
      <w:r w:rsidR="00483573" w:rsidRPr="00634FF3">
        <w:rPr>
          <w:vertAlign w:val="superscript"/>
          <w:lang w:val="en-AU" w:eastAsia="en-US"/>
        </w:rPr>
        <w:footnoteReference w:id="3"/>
      </w:r>
      <w:r w:rsidR="00AA084E" w:rsidRPr="00584B98">
        <w:rPr>
          <w:rFonts w:ascii="Arial" w:eastAsiaTheme="minorHAnsi" w:hAnsi="Arial" w:cs="Arial"/>
          <w:color w:val="auto"/>
          <w:sz w:val="22"/>
          <w:lang w:val="en-AU" w:eastAsia="en-US"/>
        </w:rPr>
        <w:t xml:space="preserve"> I do not intend herein to provide a treatis</w:t>
      </w:r>
      <w:r w:rsidR="001726A8" w:rsidRPr="00584B98">
        <w:rPr>
          <w:rFonts w:ascii="Arial" w:eastAsiaTheme="minorHAnsi" w:hAnsi="Arial" w:cs="Arial"/>
          <w:color w:val="auto"/>
          <w:sz w:val="22"/>
          <w:lang w:val="en-AU" w:eastAsia="en-US"/>
        </w:rPr>
        <w:t>e on the law of contempt save to point out, as I do below, certain fundamental principles thereof.</w:t>
      </w:r>
    </w:p>
    <w:p w14:paraId="16BC0CBA" w14:textId="339E1812" w:rsidR="002D26AD"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634FF3">
        <w:rPr>
          <w:rFonts w:ascii="Arial" w:eastAsiaTheme="minorHAnsi" w:hAnsi="Arial" w:cs="Arial"/>
          <w:color w:val="auto"/>
          <w:sz w:val="22"/>
          <w:lang w:val="en-AU" w:eastAsia="en-US"/>
        </w:rPr>
        <w:t>9.</w:t>
      </w:r>
      <w:r w:rsidRPr="00634FF3">
        <w:rPr>
          <w:rFonts w:ascii="Arial" w:eastAsiaTheme="minorHAnsi" w:hAnsi="Arial" w:cs="Arial"/>
          <w:color w:val="auto"/>
          <w:sz w:val="22"/>
          <w:lang w:val="en-AU" w:eastAsia="en-US"/>
        </w:rPr>
        <w:tab/>
      </w:r>
      <w:r w:rsidR="002D26AD" w:rsidRPr="00584B98">
        <w:rPr>
          <w:rFonts w:ascii="Arial" w:eastAsiaTheme="minorHAnsi" w:hAnsi="Arial" w:cs="Arial"/>
          <w:color w:val="auto"/>
          <w:sz w:val="22"/>
          <w:lang w:val="en-AU" w:eastAsia="en-US"/>
        </w:rPr>
        <w:t>Contempt proceedings serve three important purposes; namely, protecting the rights of everyone to fair trials, maintaining public confidence in the judicial arm of government, and upholding the integrity of court</w:t>
      </w:r>
      <w:r w:rsidR="008B1FC0" w:rsidRPr="00584B98">
        <w:rPr>
          <w:rFonts w:ascii="Arial" w:eastAsiaTheme="minorHAnsi" w:hAnsi="Arial" w:cs="Arial"/>
          <w:color w:val="auto"/>
          <w:sz w:val="22"/>
          <w:lang w:val="en-AU" w:eastAsia="en-US"/>
        </w:rPr>
        <w:t xml:space="preserve"> orders</w:t>
      </w:r>
      <w:r w:rsidR="002D26AD" w:rsidRPr="00584B98">
        <w:rPr>
          <w:rFonts w:ascii="Arial" w:eastAsiaTheme="minorHAnsi" w:hAnsi="Arial" w:cs="Arial"/>
          <w:color w:val="auto"/>
          <w:sz w:val="22"/>
          <w:lang w:val="en-AU" w:eastAsia="en-US"/>
        </w:rPr>
        <w:t>.</w:t>
      </w:r>
      <w:r w:rsidR="002D26AD" w:rsidRPr="00634FF3">
        <w:rPr>
          <w:vertAlign w:val="superscript"/>
          <w:lang w:val="en-AU" w:eastAsia="en-US"/>
        </w:rPr>
        <w:footnoteReference w:id="4"/>
      </w:r>
    </w:p>
    <w:p w14:paraId="4276D449" w14:textId="12C49911" w:rsidR="00910FFD"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634FF3">
        <w:rPr>
          <w:rFonts w:ascii="Arial" w:eastAsiaTheme="minorHAnsi" w:hAnsi="Arial" w:cs="Arial"/>
          <w:color w:val="auto"/>
          <w:sz w:val="22"/>
          <w:lang w:val="en-AU" w:eastAsia="en-US"/>
        </w:rPr>
        <w:t>10.</w:t>
      </w:r>
      <w:r w:rsidRPr="00634FF3">
        <w:rPr>
          <w:rFonts w:ascii="Arial" w:eastAsiaTheme="minorHAnsi" w:hAnsi="Arial" w:cs="Arial"/>
          <w:color w:val="auto"/>
          <w:sz w:val="22"/>
          <w:lang w:val="en-AU" w:eastAsia="en-US"/>
        </w:rPr>
        <w:tab/>
      </w:r>
      <w:r w:rsidR="00910FFD" w:rsidRPr="00584B98">
        <w:rPr>
          <w:rFonts w:ascii="Arial" w:eastAsiaTheme="minorHAnsi" w:hAnsi="Arial" w:cs="Arial"/>
          <w:color w:val="auto"/>
          <w:sz w:val="22"/>
          <w:lang w:val="en-AU" w:eastAsia="en-US"/>
        </w:rPr>
        <w:t xml:space="preserve">For an act to constitute contempt, </w:t>
      </w:r>
      <w:bookmarkStart w:id="4" w:name="_Hlk150430582"/>
      <w:r w:rsidR="00910FFD" w:rsidRPr="00584B98">
        <w:rPr>
          <w:rFonts w:ascii="Arial" w:eastAsiaTheme="minorHAnsi" w:hAnsi="Arial" w:cs="Arial"/>
          <w:color w:val="auto"/>
          <w:sz w:val="22"/>
          <w:lang w:val="en-AU" w:eastAsia="en-US"/>
        </w:rPr>
        <w:t xml:space="preserve">an intention to defeat the course of justice </w:t>
      </w:r>
      <w:bookmarkEnd w:id="4"/>
      <w:r w:rsidR="00910FFD" w:rsidRPr="00584B98">
        <w:rPr>
          <w:rFonts w:ascii="Arial" w:eastAsiaTheme="minorHAnsi" w:hAnsi="Arial" w:cs="Arial"/>
          <w:color w:val="auto"/>
          <w:sz w:val="22"/>
          <w:lang w:val="en-AU" w:eastAsia="en-US"/>
        </w:rPr>
        <w:t>must be established.</w:t>
      </w:r>
      <w:r w:rsidR="00910FFD" w:rsidRPr="00634FF3">
        <w:rPr>
          <w:vertAlign w:val="superscript"/>
          <w:lang w:val="en-AU" w:eastAsia="en-US"/>
        </w:rPr>
        <w:footnoteReference w:id="5"/>
      </w:r>
    </w:p>
    <w:p w14:paraId="2242FCD7" w14:textId="6AAB9658" w:rsidR="002D26AD"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634FF3">
        <w:rPr>
          <w:rFonts w:ascii="Arial" w:eastAsiaTheme="minorHAnsi" w:hAnsi="Arial" w:cs="Arial"/>
          <w:color w:val="auto"/>
          <w:sz w:val="22"/>
          <w:lang w:val="en-AU" w:eastAsia="en-US"/>
        </w:rPr>
        <w:lastRenderedPageBreak/>
        <w:t>11.</w:t>
      </w:r>
      <w:r w:rsidRPr="00634FF3">
        <w:rPr>
          <w:rFonts w:ascii="Arial" w:eastAsiaTheme="minorHAnsi" w:hAnsi="Arial" w:cs="Arial"/>
          <w:color w:val="auto"/>
          <w:sz w:val="22"/>
          <w:lang w:val="en-AU" w:eastAsia="en-US"/>
        </w:rPr>
        <w:tab/>
      </w:r>
      <w:r w:rsidR="002D26AD" w:rsidRPr="00584B98">
        <w:rPr>
          <w:rFonts w:ascii="Arial" w:eastAsiaTheme="minorHAnsi" w:hAnsi="Arial" w:cs="Arial"/>
          <w:color w:val="auto"/>
          <w:sz w:val="22"/>
          <w:lang w:val="en-AU" w:eastAsia="en-US"/>
        </w:rPr>
        <w:t xml:space="preserve">On the issue of contempt generally, the Supreme Court of Appeal in </w:t>
      </w:r>
      <w:proofErr w:type="spellStart"/>
      <w:r w:rsidR="002D26AD" w:rsidRPr="00584B98">
        <w:rPr>
          <w:rFonts w:ascii="Arial" w:eastAsiaTheme="minorHAnsi" w:hAnsi="Arial" w:cs="Arial"/>
          <w:b/>
          <w:bCs/>
          <w:color w:val="auto"/>
          <w:sz w:val="22"/>
          <w:lang w:val="en-AU" w:eastAsia="en-US"/>
        </w:rPr>
        <w:t>Fakie</w:t>
      </w:r>
      <w:proofErr w:type="spellEnd"/>
      <w:r w:rsidR="002D26AD" w:rsidRPr="00584B98">
        <w:rPr>
          <w:rFonts w:ascii="Arial" w:eastAsiaTheme="minorHAnsi" w:hAnsi="Arial" w:cs="Arial"/>
          <w:b/>
          <w:bCs/>
          <w:color w:val="auto"/>
          <w:sz w:val="22"/>
          <w:lang w:val="en-AU" w:eastAsia="en-US"/>
        </w:rPr>
        <w:t xml:space="preserve"> N.O. v CCII Systems (Pty) Ltd</w:t>
      </w:r>
      <w:r w:rsidR="002D26AD" w:rsidRPr="00634FF3">
        <w:rPr>
          <w:vertAlign w:val="superscript"/>
          <w:lang w:val="en-AU" w:eastAsia="en-US"/>
        </w:rPr>
        <w:footnoteReference w:id="6"/>
      </w:r>
      <w:r w:rsidR="002D26AD" w:rsidRPr="00584B98">
        <w:rPr>
          <w:rFonts w:ascii="Arial" w:eastAsiaTheme="minorHAnsi" w:hAnsi="Arial" w:cs="Arial"/>
          <w:color w:val="auto"/>
          <w:sz w:val="22"/>
          <w:vertAlign w:val="superscript"/>
          <w:lang w:val="en-AU" w:eastAsia="en-US"/>
        </w:rPr>
        <w:t xml:space="preserve"> </w:t>
      </w:r>
      <w:r w:rsidR="002D26AD" w:rsidRPr="00584B98">
        <w:rPr>
          <w:rFonts w:ascii="Arial" w:eastAsiaTheme="minorHAnsi" w:hAnsi="Arial" w:cs="Arial"/>
          <w:color w:val="auto"/>
          <w:sz w:val="22"/>
          <w:lang w:val="en-AU" w:eastAsia="en-US"/>
        </w:rPr>
        <w:t>held:</w:t>
      </w:r>
    </w:p>
    <w:p w14:paraId="7EEA9001" w14:textId="77777777" w:rsidR="002D26AD" w:rsidRPr="00634FF3" w:rsidRDefault="002D26AD" w:rsidP="00CB6F6C">
      <w:pPr>
        <w:spacing w:after="120" w:line="276" w:lineRule="auto"/>
        <w:ind w:left="1440" w:right="547"/>
        <w:rPr>
          <w:rFonts w:ascii="Arial" w:hAnsi="Arial" w:cs="Arial"/>
          <w:i/>
          <w:iCs/>
          <w:sz w:val="22"/>
        </w:rPr>
      </w:pPr>
      <w:r w:rsidRPr="00634FF3">
        <w:rPr>
          <w:rFonts w:ascii="Arial" w:hAnsi="Arial" w:cs="Arial"/>
          <w:i/>
          <w:iCs/>
          <w:sz w:val="22"/>
        </w:rPr>
        <w:t xml:space="preserve">“The test for when disobedience of a civil order constitutes contempt has come to be stated as whether the breach was committed 'deliberately and mala fide'. </w:t>
      </w:r>
      <w:r w:rsidRPr="001726A8">
        <w:rPr>
          <w:rFonts w:ascii="Arial" w:hAnsi="Arial" w:cs="Arial"/>
          <w:i/>
          <w:iCs/>
          <w:sz w:val="22"/>
          <w:u w:val="single"/>
        </w:rPr>
        <w:t xml:space="preserve">A deliberate disregard is not enough, since the non-complier </w:t>
      </w:r>
      <w:bookmarkStart w:id="6" w:name="_Hlk150496528"/>
      <w:r w:rsidRPr="001726A8">
        <w:rPr>
          <w:rFonts w:ascii="Arial" w:hAnsi="Arial" w:cs="Arial"/>
          <w:i/>
          <w:iCs/>
          <w:sz w:val="22"/>
          <w:u w:val="single"/>
        </w:rPr>
        <w:t>may genuinely, albeit mistakenly, believe him or herself entitled to act in the way claimed to constitute the contempt</w:t>
      </w:r>
      <w:bookmarkStart w:id="7" w:name="_Hlk150496695"/>
      <w:r w:rsidRPr="001726A8">
        <w:rPr>
          <w:rFonts w:ascii="Arial" w:hAnsi="Arial" w:cs="Arial"/>
          <w:i/>
          <w:iCs/>
          <w:sz w:val="22"/>
          <w:u w:val="single"/>
        </w:rPr>
        <w:t>. I</w:t>
      </w:r>
      <w:bookmarkEnd w:id="6"/>
      <w:r w:rsidRPr="001726A8">
        <w:rPr>
          <w:rFonts w:ascii="Arial" w:hAnsi="Arial" w:cs="Arial"/>
          <w:i/>
          <w:iCs/>
          <w:sz w:val="22"/>
          <w:u w:val="single"/>
        </w:rPr>
        <w:t>n such a case, good faith avoids the infraction.</w:t>
      </w:r>
      <w:r w:rsidRPr="00634FF3">
        <w:rPr>
          <w:rFonts w:ascii="Arial" w:hAnsi="Arial" w:cs="Arial"/>
          <w:i/>
          <w:iCs/>
          <w:sz w:val="22"/>
        </w:rPr>
        <w:t xml:space="preserve"> </w:t>
      </w:r>
      <w:bookmarkEnd w:id="7"/>
      <w:r w:rsidRPr="00634FF3">
        <w:rPr>
          <w:rFonts w:ascii="Arial" w:hAnsi="Arial" w:cs="Arial"/>
          <w:i/>
          <w:iCs/>
          <w:sz w:val="22"/>
        </w:rPr>
        <w:t>Even a refusal to comply that is objectively unreasonable may be bona fide (though unreasonableness could evidence lack of good faith).</w:t>
      </w:r>
    </w:p>
    <w:p w14:paraId="07A376A5" w14:textId="77777777" w:rsidR="002D26AD" w:rsidRDefault="002D26AD" w:rsidP="00CB6F6C">
      <w:pPr>
        <w:spacing w:after="360" w:line="276" w:lineRule="auto"/>
        <w:ind w:left="1440" w:right="547"/>
        <w:rPr>
          <w:rFonts w:ascii="Arial" w:hAnsi="Arial" w:cs="Arial"/>
          <w:i/>
          <w:iCs/>
          <w:sz w:val="22"/>
        </w:rPr>
      </w:pPr>
      <w:r w:rsidRPr="00634FF3">
        <w:rPr>
          <w:rFonts w:ascii="Arial" w:hAnsi="Arial" w:cs="Arial"/>
          <w:i/>
          <w:iCs/>
          <w:sz w:val="22"/>
        </w:rPr>
        <w:t xml:space="preserve">These requirements - that the refusal to obey should be both wilful and mala fide, and that unreasonable non-compliance, provided it is bona fide, does not constitute contempt - accord with the broader definition of the crime, of which non-compliance with civil orders is a manifestation. They show that the offence is committed not by mere disregard of a court order, but by the </w:t>
      </w:r>
      <w:bookmarkStart w:id="8" w:name="_Hlk67988713"/>
      <w:r w:rsidRPr="00634FF3">
        <w:rPr>
          <w:rFonts w:ascii="Arial" w:hAnsi="Arial" w:cs="Arial"/>
          <w:i/>
          <w:iCs/>
          <w:sz w:val="22"/>
        </w:rPr>
        <w:t xml:space="preserve">deliberate and intentional violation of the court's dignity, repute, or authority </w:t>
      </w:r>
      <w:bookmarkEnd w:id="8"/>
      <w:r w:rsidRPr="00634FF3">
        <w:rPr>
          <w:rFonts w:ascii="Arial" w:hAnsi="Arial" w:cs="Arial"/>
          <w:i/>
          <w:iCs/>
          <w:sz w:val="22"/>
        </w:rPr>
        <w:t xml:space="preserve">that this evinces. </w:t>
      </w:r>
      <w:r w:rsidRPr="001726A8">
        <w:rPr>
          <w:rFonts w:ascii="Arial" w:hAnsi="Arial" w:cs="Arial"/>
          <w:i/>
          <w:iCs/>
          <w:sz w:val="22"/>
          <w:u w:val="single"/>
        </w:rPr>
        <w:t>Honest belief that non-compliance is justified or proper is incompatible with that intent.</w:t>
      </w:r>
      <w:r w:rsidRPr="00634FF3">
        <w:rPr>
          <w:rFonts w:ascii="Arial" w:hAnsi="Arial" w:cs="Arial"/>
          <w:i/>
          <w:iCs/>
          <w:sz w:val="22"/>
        </w:rPr>
        <w:t>”</w:t>
      </w:r>
    </w:p>
    <w:p w14:paraId="0AB83F0F" w14:textId="204721D8" w:rsidR="001726A8" w:rsidRPr="009B7CCF" w:rsidRDefault="001726A8" w:rsidP="009B7CCF">
      <w:pPr>
        <w:spacing w:after="360" w:line="276" w:lineRule="auto"/>
        <w:ind w:left="1440" w:right="54"/>
        <w:rPr>
          <w:rFonts w:ascii="Arial" w:hAnsi="Arial" w:cs="Arial"/>
          <w:sz w:val="22"/>
        </w:rPr>
      </w:pPr>
      <w:r>
        <w:rPr>
          <w:rFonts w:ascii="Arial" w:hAnsi="Arial" w:cs="Arial"/>
          <w:i/>
          <w:iCs/>
          <w:sz w:val="22"/>
        </w:rPr>
        <w:tab/>
      </w:r>
      <w:r>
        <w:rPr>
          <w:rFonts w:ascii="Arial" w:hAnsi="Arial" w:cs="Arial"/>
          <w:i/>
          <w:iCs/>
          <w:sz w:val="22"/>
        </w:rPr>
        <w:tab/>
      </w:r>
      <w:r>
        <w:rPr>
          <w:rFonts w:ascii="Arial" w:hAnsi="Arial" w:cs="Arial"/>
          <w:i/>
          <w:iCs/>
          <w:sz w:val="22"/>
        </w:rPr>
        <w:tab/>
      </w:r>
      <w:r>
        <w:rPr>
          <w:rFonts w:ascii="Arial" w:hAnsi="Arial" w:cs="Arial"/>
          <w:i/>
          <w:iCs/>
          <w:sz w:val="22"/>
        </w:rPr>
        <w:tab/>
      </w:r>
      <w:r>
        <w:rPr>
          <w:rFonts w:ascii="Arial" w:hAnsi="Arial" w:cs="Arial"/>
          <w:i/>
          <w:iCs/>
          <w:sz w:val="22"/>
        </w:rPr>
        <w:tab/>
      </w:r>
      <w:r>
        <w:rPr>
          <w:rFonts w:ascii="Arial" w:hAnsi="Arial" w:cs="Arial"/>
          <w:i/>
          <w:iCs/>
          <w:sz w:val="22"/>
        </w:rPr>
        <w:tab/>
      </w:r>
      <w:r>
        <w:rPr>
          <w:rFonts w:ascii="Arial" w:hAnsi="Arial" w:cs="Arial"/>
          <w:i/>
          <w:iCs/>
          <w:sz w:val="22"/>
        </w:rPr>
        <w:tab/>
      </w:r>
      <w:r>
        <w:rPr>
          <w:rFonts w:ascii="Arial" w:hAnsi="Arial" w:cs="Arial"/>
          <w:i/>
          <w:iCs/>
          <w:sz w:val="22"/>
        </w:rPr>
        <w:tab/>
      </w:r>
      <w:r w:rsidRPr="009B7CCF">
        <w:rPr>
          <w:rFonts w:ascii="Arial" w:hAnsi="Arial" w:cs="Arial"/>
          <w:sz w:val="22"/>
        </w:rPr>
        <w:t>(my underlining)</w:t>
      </w:r>
    </w:p>
    <w:p w14:paraId="250B4A38" w14:textId="7AC8E9E6" w:rsidR="002D26AD"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634FF3">
        <w:rPr>
          <w:rFonts w:ascii="Arial" w:eastAsiaTheme="minorHAnsi" w:hAnsi="Arial" w:cs="Arial"/>
          <w:color w:val="auto"/>
          <w:sz w:val="22"/>
          <w:lang w:val="en-AU" w:eastAsia="en-US"/>
        </w:rPr>
        <w:t>12.</w:t>
      </w:r>
      <w:r w:rsidRPr="00634FF3">
        <w:rPr>
          <w:rFonts w:ascii="Arial" w:eastAsiaTheme="minorHAnsi" w:hAnsi="Arial" w:cs="Arial"/>
          <w:color w:val="auto"/>
          <w:sz w:val="22"/>
          <w:lang w:val="en-AU" w:eastAsia="en-US"/>
        </w:rPr>
        <w:tab/>
      </w:r>
      <w:r w:rsidR="002D26AD" w:rsidRPr="00584B98">
        <w:rPr>
          <w:rFonts w:ascii="Arial" w:eastAsiaTheme="minorHAnsi" w:hAnsi="Arial" w:cs="Arial"/>
          <w:color w:val="auto"/>
          <w:sz w:val="22"/>
          <w:lang w:val="en-AU" w:eastAsia="en-US"/>
        </w:rPr>
        <w:t xml:space="preserve">The SCA in </w:t>
      </w:r>
      <w:bookmarkStart w:id="9" w:name="_Hlk105498472"/>
      <w:proofErr w:type="spellStart"/>
      <w:r w:rsidR="002D26AD" w:rsidRPr="00584B98">
        <w:rPr>
          <w:rFonts w:ascii="Arial" w:eastAsiaTheme="minorHAnsi" w:hAnsi="Arial" w:cs="Arial"/>
          <w:b/>
          <w:bCs/>
          <w:color w:val="auto"/>
          <w:sz w:val="22"/>
          <w:lang w:val="en-AU" w:eastAsia="en-US"/>
        </w:rPr>
        <w:t>Fakie</w:t>
      </w:r>
      <w:proofErr w:type="spellEnd"/>
      <w:r w:rsidR="002D26AD" w:rsidRPr="00584B98">
        <w:rPr>
          <w:rFonts w:ascii="Arial" w:eastAsiaTheme="minorHAnsi" w:hAnsi="Arial" w:cs="Arial"/>
          <w:b/>
          <w:bCs/>
          <w:color w:val="auto"/>
          <w:sz w:val="22"/>
          <w:lang w:val="en-AU" w:eastAsia="en-US"/>
        </w:rPr>
        <w:t xml:space="preserve"> NO </w:t>
      </w:r>
      <w:bookmarkEnd w:id="9"/>
      <w:r w:rsidR="002D26AD" w:rsidRPr="00584B98">
        <w:rPr>
          <w:rFonts w:ascii="Arial" w:eastAsiaTheme="minorHAnsi" w:hAnsi="Arial" w:cs="Arial"/>
          <w:b/>
          <w:bCs/>
          <w:color w:val="auto"/>
          <w:sz w:val="22"/>
          <w:lang w:val="en-AU" w:eastAsia="en-US"/>
        </w:rPr>
        <w:t>v CCII Systems (Pty) Ltd</w:t>
      </w:r>
      <w:r w:rsidR="002D26AD" w:rsidRPr="00634FF3">
        <w:rPr>
          <w:vertAlign w:val="superscript"/>
          <w:lang w:val="en-AU" w:eastAsia="en-US"/>
        </w:rPr>
        <w:footnoteReference w:id="7"/>
      </w:r>
      <w:r w:rsidR="002D26AD" w:rsidRPr="00584B98">
        <w:rPr>
          <w:rFonts w:ascii="Arial" w:eastAsiaTheme="minorHAnsi" w:hAnsi="Arial" w:cs="Arial"/>
          <w:color w:val="auto"/>
          <w:sz w:val="22"/>
          <w:lang w:val="en-AU" w:eastAsia="en-US"/>
        </w:rPr>
        <w:t xml:space="preserve"> </w:t>
      </w:r>
      <w:r w:rsidR="001726A8" w:rsidRPr="00584B98">
        <w:rPr>
          <w:rFonts w:ascii="Arial" w:eastAsiaTheme="minorHAnsi" w:hAnsi="Arial" w:cs="Arial"/>
          <w:color w:val="auto"/>
          <w:sz w:val="22"/>
          <w:lang w:val="en-AU" w:eastAsia="en-US"/>
        </w:rPr>
        <w:t>additionally</w:t>
      </w:r>
      <w:r w:rsidR="002D26AD" w:rsidRPr="00584B98">
        <w:rPr>
          <w:rFonts w:ascii="Arial" w:eastAsiaTheme="minorHAnsi" w:hAnsi="Arial" w:cs="Arial"/>
          <w:color w:val="auto"/>
          <w:sz w:val="22"/>
          <w:lang w:val="en-AU" w:eastAsia="en-US"/>
        </w:rPr>
        <w:t xml:space="preserve"> summarised the rational</w:t>
      </w:r>
      <w:r w:rsidR="002D68B4" w:rsidRPr="00584B98">
        <w:rPr>
          <w:rFonts w:ascii="Arial" w:eastAsiaTheme="minorHAnsi" w:hAnsi="Arial" w:cs="Arial"/>
          <w:color w:val="auto"/>
          <w:sz w:val="22"/>
          <w:lang w:val="en-AU" w:eastAsia="en-US"/>
        </w:rPr>
        <w:t>e</w:t>
      </w:r>
      <w:r w:rsidR="002D26AD" w:rsidRPr="00584B98">
        <w:rPr>
          <w:rFonts w:ascii="Arial" w:eastAsiaTheme="minorHAnsi" w:hAnsi="Arial" w:cs="Arial"/>
          <w:color w:val="auto"/>
          <w:sz w:val="22"/>
          <w:lang w:val="en-AU" w:eastAsia="en-US"/>
        </w:rPr>
        <w:t xml:space="preserve"> and requirements for civil contempt as being:</w:t>
      </w:r>
    </w:p>
    <w:p w14:paraId="3D2B1B9D" w14:textId="77777777" w:rsidR="002D26AD" w:rsidRPr="00634FF3" w:rsidRDefault="002D26AD" w:rsidP="00CB6F6C">
      <w:pPr>
        <w:spacing w:after="360" w:line="276" w:lineRule="auto"/>
        <w:ind w:left="1440" w:right="547"/>
        <w:rPr>
          <w:rFonts w:ascii="Arial" w:hAnsi="Arial" w:cs="Arial"/>
          <w:i/>
          <w:iCs/>
          <w:sz w:val="22"/>
        </w:rPr>
      </w:pPr>
      <w:r w:rsidRPr="00634FF3">
        <w:rPr>
          <w:rFonts w:ascii="Arial" w:hAnsi="Arial" w:cs="Arial"/>
          <w:i/>
          <w:iCs/>
          <w:sz w:val="22"/>
        </w:rPr>
        <w:t>“(a) The civil contempt procedure is a valuable and important mechanism for securing compliance with court orders, and survives constitutional scrutiny in the form of a motion court application adapted to constitutional requirements.</w:t>
      </w:r>
    </w:p>
    <w:p w14:paraId="39CF24A3" w14:textId="77777777" w:rsidR="002D26AD" w:rsidRPr="00634FF3" w:rsidRDefault="002D26AD" w:rsidP="00CB6F6C">
      <w:pPr>
        <w:spacing w:after="360" w:line="276" w:lineRule="auto"/>
        <w:ind w:left="1440" w:right="547"/>
        <w:rPr>
          <w:rFonts w:ascii="Arial" w:hAnsi="Arial" w:cs="Arial"/>
          <w:i/>
          <w:iCs/>
          <w:sz w:val="22"/>
        </w:rPr>
      </w:pPr>
      <w:r w:rsidRPr="00634FF3">
        <w:rPr>
          <w:rFonts w:ascii="Arial" w:hAnsi="Arial" w:cs="Arial"/>
          <w:i/>
          <w:iCs/>
          <w:sz w:val="22"/>
        </w:rPr>
        <w:t>(b) The respondent in such proceedings is not an accused person but is entitled to analogous protections as are appropriate to motion proceedings.</w:t>
      </w:r>
    </w:p>
    <w:p w14:paraId="5ABD4972" w14:textId="77777777" w:rsidR="002D26AD" w:rsidRPr="00634FF3" w:rsidRDefault="002D26AD" w:rsidP="00CB6F6C">
      <w:pPr>
        <w:spacing w:after="360" w:line="276" w:lineRule="auto"/>
        <w:ind w:left="1440" w:right="547"/>
        <w:rPr>
          <w:rFonts w:ascii="Arial" w:hAnsi="Arial" w:cs="Arial"/>
          <w:i/>
          <w:iCs/>
          <w:sz w:val="22"/>
        </w:rPr>
      </w:pPr>
      <w:r w:rsidRPr="00634FF3">
        <w:rPr>
          <w:rFonts w:ascii="Arial" w:hAnsi="Arial" w:cs="Arial"/>
          <w:i/>
          <w:iCs/>
          <w:sz w:val="22"/>
        </w:rPr>
        <w:t>(c) In particular, the applicant must prove the requisites of contempt (the order; service or notice; non-compliance; and wilfulness and mala fides) beyond reasonable doubt.</w:t>
      </w:r>
    </w:p>
    <w:p w14:paraId="2AB77827" w14:textId="13DAE64A" w:rsidR="002D26AD" w:rsidRPr="00634FF3" w:rsidRDefault="002D26AD" w:rsidP="00CB6F6C">
      <w:pPr>
        <w:spacing w:after="360" w:line="276" w:lineRule="auto"/>
        <w:ind w:left="1440" w:right="547"/>
        <w:rPr>
          <w:rFonts w:ascii="Arial" w:hAnsi="Arial" w:cs="Arial"/>
          <w:i/>
          <w:iCs/>
          <w:sz w:val="22"/>
        </w:rPr>
      </w:pPr>
      <w:r w:rsidRPr="00634FF3">
        <w:rPr>
          <w:rFonts w:ascii="Arial" w:hAnsi="Arial" w:cs="Arial"/>
          <w:i/>
          <w:iCs/>
          <w:sz w:val="22"/>
        </w:rPr>
        <w:t xml:space="preserve">(d) But, once the applicant has proved the order, service or notice, and non-compliance, the respondent bears an evidential burden in relation to wilfulness and mala fides: Should the respondent fail to advance evidence that </w:t>
      </w:r>
      <w:r w:rsidRPr="00634FF3">
        <w:rPr>
          <w:rFonts w:ascii="Arial" w:hAnsi="Arial" w:cs="Arial"/>
          <w:i/>
          <w:iCs/>
          <w:sz w:val="22"/>
        </w:rPr>
        <w:lastRenderedPageBreak/>
        <w:t>establishes a reasonable doubt as to whether non-compliance was wilful and mala fide, contempt will have been established beyond reasonable doubt.</w:t>
      </w:r>
      <w:r w:rsidR="002D68B4" w:rsidRPr="00634FF3">
        <w:rPr>
          <w:rFonts w:ascii="Arial" w:hAnsi="Arial" w:cs="Arial"/>
          <w:i/>
          <w:iCs/>
          <w:sz w:val="22"/>
        </w:rPr>
        <w:t>”</w:t>
      </w:r>
    </w:p>
    <w:p w14:paraId="0CA8E59F" w14:textId="66586720" w:rsidR="004F0E7F"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4F0E7F">
        <w:rPr>
          <w:rFonts w:ascii="Arial" w:eastAsiaTheme="minorHAnsi" w:hAnsi="Arial" w:cs="Arial"/>
          <w:color w:val="auto"/>
          <w:sz w:val="22"/>
          <w:lang w:val="en-AU" w:eastAsia="en-US"/>
        </w:rPr>
        <w:t>13.</w:t>
      </w:r>
      <w:r w:rsidRPr="004F0E7F">
        <w:rPr>
          <w:rFonts w:ascii="Arial" w:eastAsiaTheme="minorHAnsi" w:hAnsi="Arial" w:cs="Arial"/>
          <w:color w:val="auto"/>
          <w:sz w:val="22"/>
          <w:lang w:val="en-AU" w:eastAsia="en-US"/>
        </w:rPr>
        <w:tab/>
      </w:r>
      <w:r w:rsidR="001726A8" w:rsidRPr="00584B98">
        <w:rPr>
          <w:rFonts w:ascii="Arial" w:eastAsiaTheme="minorHAnsi" w:hAnsi="Arial" w:cs="Arial"/>
          <w:color w:val="auto"/>
          <w:sz w:val="22"/>
          <w:lang w:val="en-AU" w:eastAsia="en-US"/>
        </w:rPr>
        <w:t>In summary, a</w:t>
      </w:r>
      <w:r w:rsidR="004F0E7F" w:rsidRPr="00584B98">
        <w:rPr>
          <w:rFonts w:ascii="Arial" w:eastAsiaTheme="minorHAnsi" w:hAnsi="Arial" w:cs="Arial"/>
          <w:color w:val="auto"/>
          <w:sz w:val="22"/>
          <w:lang w:val="en-AU" w:eastAsia="en-US"/>
        </w:rPr>
        <w:t xml:space="preserve">n applicant in a contempt application must </w:t>
      </w:r>
      <w:r w:rsidR="001726A8" w:rsidRPr="00584B98">
        <w:rPr>
          <w:rFonts w:ascii="Arial" w:eastAsiaTheme="minorHAnsi" w:hAnsi="Arial" w:cs="Arial"/>
          <w:color w:val="auto"/>
          <w:sz w:val="22"/>
          <w:lang w:val="en-AU" w:eastAsia="en-US"/>
        </w:rPr>
        <w:t xml:space="preserve">therefore </w:t>
      </w:r>
      <w:r w:rsidR="004F0E7F" w:rsidRPr="00584B98">
        <w:rPr>
          <w:rFonts w:ascii="Arial" w:eastAsiaTheme="minorHAnsi" w:hAnsi="Arial" w:cs="Arial"/>
          <w:color w:val="auto"/>
          <w:sz w:val="22"/>
          <w:lang w:val="en-AU" w:eastAsia="en-US"/>
        </w:rPr>
        <w:t>establish (</w:t>
      </w:r>
      <w:proofErr w:type="spellStart"/>
      <w:r w:rsidR="004F0E7F" w:rsidRPr="00584B98">
        <w:rPr>
          <w:rFonts w:ascii="Arial" w:eastAsiaTheme="minorHAnsi" w:hAnsi="Arial" w:cs="Arial"/>
          <w:color w:val="auto"/>
          <w:sz w:val="22"/>
          <w:lang w:val="en-AU" w:eastAsia="en-US"/>
        </w:rPr>
        <w:t>i</w:t>
      </w:r>
      <w:proofErr w:type="spellEnd"/>
      <w:r w:rsidR="004F0E7F" w:rsidRPr="00584B98">
        <w:rPr>
          <w:rFonts w:ascii="Arial" w:eastAsiaTheme="minorHAnsi" w:hAnsi="Arial" w:cs="Arial"/>
          <w:color w:val="auto"/>
          <w:sz w:val="22"/>
          <w:lang w:val="en-AU" w:eastAsia="en-US"/>
        </w:rPr>
        <w:t xml:space="preserve">) the court order; (ii) service or notice of the order; </w:t>
      </w:r>
      <w:bookmarkStart w:id="10" w:name="_Hlk67392602"/>
      <w:r w:rsidR="004F0E7F" w:rsidRPr="00584B98">
        <w:rPr>
          <w:rFonts w:ascii="Arial" w:eastAsiaTheme="minorHAnsi" w:hAnsi="Arial" w:cs="Arial"/>
          <w:color w:val="auto"/>
          <w:sz w:val="22"/>
          <w:lang w:val="en-AU" w:eastAsia="en-US"/>
        </w:rPr>
        <w:t>(iii) non-compliance with the terms of the order; and (iv) wilfulness and mala fides</w:t>
      </w:r>
      <w:bookmarkEnd w:id="10"/>
      <w:r w:rsidR="004F0E7F" w:rsidRPr="00584B98">
        <w:rPr>
          <w:rFonts w:ascii="Arial" w:eastAsiaTheme="minorHAnsi" w:hAnsi="Arial" w:cs="Arial"/>
          <w:color w:val="auto"/>
          <w:sz w:val="22"/>
          <w:lang w:val="en-AU" w:eastAsia="en-US"/>
        </w:rPr>
        <w:t>.</w:t>
      </w:r>
      <w:r w:rsidR="004F0E7F" w:rsidRPr="009B7CCF">
        <w:rPr>
          <w:lang w:val="en-AU" w:eastAsia="en-US"/>
        </w:rPr>
        <w:footnoteReference w:id="8"/>
      </w:r>
      <w:r w:rsidR="004F0E7F" w:rsidRPr="00584B98">
        <w:rPr>
          <w:rFonts w:ascii="Arial" w:eastAsiaTheme="minorHAnsi" w:hAnsi="Arial" w:cs="Arial"/>
          <w:color w:val="auto"/>
          <w:sz w:val="22"/>
          <w:lang w:val="en-AU" w:eastAsia="en-US"/>
        </w:rPr>
        <w:t xml:space="preserve"> But, once an applicant has proved (</w:t>
      </w:r>
      <w:proofErr w:type="spellStart"/>
      <w:r w:rsidR="004F0E7F" w:rsidRPr="00584B98">
        <w:rPr>
          <w:rFonts w:ascii="Arial" w:eastAsiaTheme="minorHAnsi" w:hAnsi="Arial" w:cs="Arial"/>
          <w:color w:val="auto"/>
          <w:sz w:val="22"/>
          <w:lang w:val="en-AU" w:eastAsia="en-US"/>
        </w:rPr>
        <w:t>i</w:t>
      </w:r>
      <w:proofErr w:type="spellEnd"/>
      <w:r w:rsidR="004F0E7F" w:rsidRPr="00584B98">
        <w:rPr>
          <w:rFonts w:ascii="Arial" w:eastAsiaTheme="minorHAnsi" w:hAnsi="Arial" w:cs="Arial"/>
          <w:color w:val="auto"/>
          <w:sz w:val="22"/>
          <w:lang w:val="en-AU" w:eastAsia="en-US"/>
        </w:rPr>
        <w:t>), (ii) and (iii), the respondent bears an evidentiary burden in relation to (iv).</w:t>
      </w:r>
    </w:p>
    <w:p w14:paraId="676C9153" w14:textId="0E24CC8E" w:rsidR="00910FFD"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634FF3">
        <w:rPr>
          <w:rFonts w:ascii="Arial" w:eastAsiaTheme="minorHAnsi" w:hAnsi="Arial" w:cs="Arial"/>
          <w:color w:val="auto"/>
          <w:sz w:val="22"/>
          <w:lang w:val="en-AU" w:eastAsia="en-US"/>
        </w:rPr>
        <w:t>14.</w:t>
      </w:r>
      <w:r w:rsidRPr="00634FF3">
        <w:rPr>
          <w:rFonts w:ascii="Arial" w:eastAsiaTheme="minorHAnsi" w:hAnsi="Arial" w:cs="Arial"/>
          <w:color w:val="auto"/>
          <w:sz w:val="22"/>
          <w:lang w:val="en-AU" w:eastAsia="en-US"/>
        </w:rPr>
        <w:tab/>
      </w:r>
      <w:r w:rsidR="00910FFD" w:rsidRPr="00584B98">
        <w:rPr>
          <w:rFonts w:ascii="Arial" w:eastAsiaTheme="minorHAnsi" w:hAnsi="Arial" w:cs="Arial"/>
          <w:color w:val="auto"/>
          <w:sz w:val="22"/>
          <w:lang w:val="en-AU" w:eastAsia="en-US"/>
        </w:rPr>
        <w:t xml:space="preserve">In </w:t>
      </w:r>
      <w:proofErr w:type="spellStart"/>
      <w:r w:rsidR="00910FFD" w:rsidRPr="00584B98">
        <w:rPr>
          <w:rFonts w:ascii="Arial" w:eastAsiaTheme="minorHAnsi" w:hAnsi="Arial" w:cs="Arial"/>
          <w:b/>
          <w:bCs/>
          <w:color w:val="auto"/>
          <w:sz w:val="22"/>
          <w:lang w:val="en-AU" w:eastAsia="en-US"/>
        </w:rPr>
        <w:t>Pheko</w:t>
      </w:r>
      <w:proofErr w:type="spellEnd"/>
      <w:r w:rsidR="00910FFD" w:rsidRPr="00584B98">
        <w:rPr>
          <w:rFonts w:ascii="Arial" w:eastAsiaTheme="minorHAnsi" w:hAnsi="Arial" w:cs="Arial"/>
          <w:b/>
          <w:bCs/>
          <w:color w:val="auto"/>
          <w:sz w:val="22"/>
          <w:lang w:val="en-AU" w:eastAsia="en-US"/>
        </w:rPr>
        <w:t xml:space="preserve"> and Others v Ekurhuleni Metropolitan Municipality</w:t>
      </w:r>
      <w:r w:rsidR="00910FFD" w:rsidRPr="00584B98">
        <w:rPr>
          <w:rFonts w:ascii="Arial" w:eastAsiaTheme="minorHAnsi" w:hAnsi="Arial" w:cs="Arial"/>
          <w:color w:val="auto"/>
          <w:sz w:val="22"/>
          <w:lang w:val="en-AU" w:eastAsia="en-US"/>
        </w:rPr>
        <w:t>,</w:t>
      </w:r>
      <w:r w:rsidR="00910FFD" w:rsidRPr="00634FF3">
        <w:rPr>
          <w:vertAlign w:val="superscript"/>
          <w:lang w:val="en-AU" w:eastAsia="en-US"/>
        </w:rPr>
        <w:footnoteReference w:id="9"/>
      </w:r>
      <w:r w:rsidR="00910FFD" w:rsidRPr="00584B98">
        <w:rPr>
          <w:rFonts w:ascii="Arial" w:eastAsiaTheme="minorHAnsi" w:hAnsi="Arial" w:cs="Arial"/>
          <w:color w:val="auto"/>
          <w:sz w:val="22"/>
          <w:vertAlign w:val="superscript"/>
          <w:lang w:val="en-AU" w:eastAsia="en-US"/>
        </w:rPr>
        <w:t xml:space="preserve"> </w:t>
      </w:r>
      <w:proofErr w:type="spellStart"/>
      <w:r w:rsidR="00910FFD" w:rsidRPr="00584B98">
        <w:rPr>
          <w:rFonts w:ascii="Arial" w:eastAsiaTheme="minorHAnsi" w:hAnsi="Arial" w:cs="Arial"/>
          <w:color w:val="auto"/>
          <w:sz w:val="22"/>
          <w:lang w:val="en-AU" w:eastAsia="en-US"/>
        </w:rPr>
        <w:t>Nkabinde</w:t>
      </w:r>
      <w:proofErr w:type="spellEnd"/>
      <w:r w:rsidR="00910FFD" w:rsidRPr="00584B98">
        <w:rPr>
          <w:rFonts w:ascii="Arial" w:eastAsiaTheme="minorHAnsi" w:hAnsi="Arial" w:cs="Arial"/>
          <w:color w:val="auto"/>
          <w:sz w:val="22"/>
          <w:lang w:val="en-AU" w:eastAsia="en-US"/>
        </w:rPr>
        <w:t xml:space="preserve"> J reiterated that:</w:t>
      </w:r>
    </w:p>
    <w:p w14:paraId="4B10109E" w14:textId="4798EC38" w:rsidR="00910FFD" w:rsidRPr="00634FF3" w:rsidRDefault="002D26AD" w:rsidP="00CB6F6C">
      <w:pPr>
        <w:spacing w:after="120" w:line="276" w:lineRule="auto"/>
        <w:ind w:left="1440" w:right="547"/>
        <w:rPr>
          <w:rFonts w:ascii="Arial" w:hAnsi="Arial" w:cs="Arial"/>
          <w:i/>
          <w:iCs/>
          <w:sz w:val="22"/>
        </w:rPr>
      </w:pPr>
      <w:r w:rsidRPr="00634FF3">
        <w:rPr>
          <w:rFonts w:ascii="Arial" w:hAnsi="Arial" w:cs="Arial"/>
          <w:i/>
          <w:iCs/>
          <w:sz w:val="22"/>
        </w:rPr>
        <w:t>“</w:t>
      </w:r>
      <w:r w:rsidR="00910FFD" w:rsidRPr="00634FF3">
        <w:rPr>
          <w:rFonts w:ascii="Arial" w:hAnsi="Arial" w:cs="Arial"/>
          <w:i/>
          <w:iCs/>
          <w:sz w:val="22"/>
        </w:rPr>
        <w:t>Contempt of court is understood as the commission of any act or statement that displays disrespect for the authority of the court or its officers acting in an official capacity. This includes acts of contumacy in both senses: wilful disobedience and resistance to lawful court orders. . . Wilful disobedience of an order made in civil proceedings is both contemptuous and a criminal offence</w:t>
      </w:r>
      <w:bookmarkStart w:id="11" w:name="_ftnref26"/>
      <w:r w:rsidR="00910FFD" w:rsidRPr="00634FF3">
        <w:rPr>
          <w:rFonts w:ascii="Arial" w:hAnsi="Arial" w:cs="Arial"/>
          <w:i/>
          <w:iCs/>
          <w:sz w:val="22"/>
        </w:rPr>
        <w:t>.</w:t>
      </w:r>
      <w:bookmarkEnd w:id="11"/>
      <w:r w:rsidR="00910FFD" w:rsidRPr="00634FF3">
        <w:rPr>
          <w:rFonts w:ascii="Arial" w:hAnsi="Arial" w:cs="Arial"/>
          <w:i/>
          <w:iCs/>
          <w:sz w:val="22"/>
        </w:rPr>
        <w:t xml:space="preserve"> The object of contempt proceedings is to impose a penalty that will vindicate the court’s honour, consequent upon the disregard of its previous order, as well as to compel performance in accordance with the previous order.</w:t>
      </w:r>
      <w:r w:rsidRPr="00634FF3">
        <w:rPr>
          <w:rFonts w:ascii="Arial" w:hAnsi="Arial" w:cs="Arial"/>
          <w:i/>
          <w:iCs/>
          <w:sz w:val="22"/>
        </w:rPr>
        <w:t>”</w:t>
      </w:r>
    </w:p>
    <w:p w14:paraId="425A53B7" w14:textId="77777777" w:rsidR="00910FFD" w:rsidRPr="00634FF3" w:rsidRDefault="00910FFD" w:rsidP="00910FFD">
      <w:pPr>
        <w:spacing w:after="0"/>
        <w:rPr>
          <w:rFonts w:ascii="Arial" w:hAnsi="Arial" w:cs="Arial"/>
          <w:sz w:val="22"/>
        </w:rPr>
      </w:pPr>
    </w:p>
    <w:p w14:paraId="29C0A3E9" w14:textId="29AE4CBD" w:rsidR="00910FFD"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634FF3">
        <w:rPr>
          <w:rFonts w:ascii="Arial" w:eastAsiaTheme="minorHAnsi" w:hAnsi="Arial" w:cs="Arial"/>
          <w:color w:val="auto"/>
          <w:sz w:val="22"/>
          <w:lang w:val="en-AU" w:eastAsia="en-US"/>
        </w:rPr>
        <w:t>15.</w:t>
      </w:r>
      <w:r w:rsidRPr="00634FF3">
        <w:rPr>
          <w:rFonts w:ascii="Arial" w:eastAsiaTheme="minorHAnsi" w:hAnsi="Arial" w:cs="Arial"/>
          <w:color w:val="auto"/>
          <w:sz w:val="22"/>
          <w:lang w:val="en-AU" w:eastAsia="en-US"/>
        </w:rPr>
        <w:tab/>
      </w:r>
      <w:r w:rsidR="00910FFD" w:rsidRPr="00584B98">
        <w:rPr>
          <w:rFonts w:ascii="Arial" w:eastAsiaTheme="minorHAnsi" w:hAnsi="Arial" w:cs="Arial"/>
          <w:color w:val="auto"/>
          <w:sz w:val="22"/>
          <w:lang w:val="en-AU" w:eastAsia="en-US"/>
        </w:rPr>
        <w:t xml:space="preserve">The nature of the </w:t>
      </w:r>
      <w:r w:rsidR="001726A8" w:rsidRPr="00584B98">
        <w:rPr>
          <w:rFonts w:ascii="Arial" w:eastAsiaTheme="minorHAnsi" w:hAnsi="Arial" w:cs="Arial"/>
          <w:color w:val="auto"/>
          <w:sz w:val="22"/>
          <w:lang w:val="en-AU" w:eastAsia="en-US"/>
        </w:rPr>
        <w:t xml:space="preserve">Part A </w:t>
      </w:r>
      <w:r w:rsidR="00910FFD" w:rsidRPr="00584B98">
        <w:rPr>
          <w:rFonts w:ascii="Arial" w:eastAsiaTheme="minorHAnsi" w:hAnsi="Arial" w:cs="Arial"/>
          <w:color w:val="auto"/>
          <w:sz w:val="22"/>
          <w:lang w:val="en-AU" w:eastAsia="en-US"/>
        </w:rPr>
        <w:t xml:space="preserve">relief </w:t>
      </w:r>
      <w:r w:rsidR="004F0E7F" w:rsidRPr="00584B98">
        <w:rPr>
          <w:rFonts w:ascii="Arial" w:eastAsiaTheme="minorHAnsi" w:hAnsi="Arial" w:cs="Arial"/>
          <w:color w:val="auto"/>
          <w:sz w:val="22"/>
          <w:lang w:val="en-AU" w:eastAsia="en-US"/>
        </w:rPr>
        <w:t xml:space="preserve">(remedy) </w:t>
      </w:r>
      <w:r w:rsidR="00910FFD" w:rsidRPr="00584B98">
        <w:rPr>
          <w:rFonts w:ascii="Arial" w:eastAsiaTheme="minorHAnsi" w:hAnsi="Arial" w:cs="Arial"/>
          <w:color w:val="auto"/>
          <w:sz w:val="22"/>
          <w:lang w:val="en-AU" w:eastAsia="en-US"/>
        </w:rPr>
        <w:t xml:space="preserve">sought in these civil contempt proceedings </w:t>
      </w:r>
      <w:r w:rsidR="001726A8" w:rsidRPr="00584B98">
        <w:rPr>
          <w:rFonts w:ascii="Arial" w:eastAsiaTheme="minorHAnsi" w:hAnsi="Arial" w:cs="Arial"/>
          <w:color w:val="auto"/>
          <w:sz w:val="22"/>
          <w:lang w:val="en-AU" w:eastAsia="en-US"/>
        </w:rPr>
        <w:t>is</w:t>
      </w:r>
      <w:r w:rsidR="00910FFD" w:rsidRPr="00584B98">
        <w:rPr>
          <w:rFonts w:ascii="Arial" w:eastAsiaTheme="minorHAnsi" w:hAnsi="Arial" w:cs="Arial"/>
          <w:color w:val="auto"/>
          <w:sz w:val="22"/>
          <w:lang w:val="en-AU" w:eastAsia="en-US"/>
        </w:rPr>
        <w:t xml:space="preserve"> not coercive but rather punitive. This is evident </w:t>
      </w:r>
      <w:r w:rsidR="001726A8" w:rsidRPr="00584B98">
        <w:rPr>
          <w:rFonts w:ascii="Arial" w:eastAsiaTheme="minorHAnsi" w:hAnsi="Arial" w:cs="Arial"/>
          <w:color w:val="auto"/>
          <w:sz w:val="22"/>
          <w:lang w:val="en-AU" w:eastAsia="en-US"/>
        </w:rPr>
        <w:t xml:space="preserve">because </w:t>
      </w:r>
      <w:r w:rsidR="00910FFD" w:rsidRPr="00584B98">
        <w:rPr>
          <w:rFonts w:ascii="Arial" w:eastAsiaTheme="minorHAnsi" w:hAnsi="Arial" w:cs="Arial"/>
          <w:color w:val="auto"/>
          <w:sz w:val="22"/>
          <w:lang w:val="en-AU" w:eastAsia="en-US"/>
        </w:rPr>
        <w:t>the applicant seeks an order that the respondent be committed to imprisonment for a period of 30 days (suspended for 2 years on condition that the respondent fully complies with the court order</w:t>
      </w:r>
      <w:r w:rsidR="002D26AD" w:rsidRPr="00584B98">
        <w:rPr>
          <w:rFonts w:ascii="Arial" w:eastAsiaTheme="minorHAnsi" w:hAnsi="Arial" w:cs="Arial"/>
          <w:color w:val="auto"/>
          <w:sz w:val="22"/>
          <w:lang w:val="en-AU" w:eastAsia="en-US"/>
        </w:rPr>
        <w:t>)</w:t>
      </w:r>
      <w:r w:rsidR="00910FFD" w:rsidRPr="00584B98">
        <w:rPr>
          <w:rFonts w:ascii="Arial" w:eastAsiaTheme="minorHAnsi" w:hAnsi="Arial" w:cs="Arial"/>
          <w:color w:val="auto"/>
          <w:sz w:val="22"/>
          <w:lang w:val="en-AU" w:eastAsia="en-US"/>
        </w:rPr>
        <w:t xml:space="preserve">. </w:t>
      </w:r>
    </w:p>
    <w:p w14:paraId="2BC78828" w14:textId="7DD1E4F6" w:rsidR="00910FFD"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634FF3">
        <w:rPr>
          <w:rFonts w:ascii="Arial" w:eastAsiaTheme="minorHAnsi" w:hAnsi="Arial" w:cs="Arial"/>
          <w:color w:val="auto"/>
          <w:sz w:val="22"/>
          <w:lang w:val="en-AU" w:eastAsia="en-US"/>
        </w:rPr>
        <w:t>16.</w:t>
      </w:r>
      <w:r w:rsidRPr="00634FF3">
        <w:rPr>
          <w:rFonts w:ascii="Arial" w:eastAsiaTheme="minorHAnsi" w:hAnsi="Arial" w:cs="Arial"/>
          <w:color w:val="auto"/>
          <w:sz w:val="22"/>
          <w:lang w:val="en-AU" w:eastAsia="en-US"/>
        </w:rPr>
        <w:tab/>
      </w:r>
      <w:proofErr w:type="spellStart"/>
      <w:r w:rsidR="002D68B4" w:rsidRPr="00584B98">
        <w:rPr>
          <w:rFonts w:ascii="Arial" w:eastAsiaTheme="minorHAnsi" w:hAnsi="Arial" w:cs="Arial"/>
          <w:color w:val="auto"/>
          <w:sz w:val="22"/>
          <w:lang w:val="en-AU" w:eastAsia="en-US"/>
        </w:rPr>
        <w:t>Nkadbinde</w:t>
      </w:r>
      <w:proofErr w:type="spellEnd"/>
      <w:r w:rsidR="002D68B4" w:rsidRPr="00584B98">
        <w:rPr>
          <w:rFonts w:ascii="Arial" w:eastAsiaTheme="minorHAnsi" w:hAnsi="Arial" w:cs="Arial"/>
          <w:color w:val="auto"/>
          <w:sz w:val="22"/>
          <w:lang w:val="en-AU" w:eastAsia="en-US"/>
        </w:rPr>
        <w:t xml:space="preserve"> ADCJ</w:t>
      </w:r>
      <w:r w:rsidR="00910FFD" w:rsidRPr="00584B98">
        <w:rPr>
          <w:rFonts w:ascii="Arial" w:eastAsiaTheme="minorHAnsi" w:hAnsi="Arial" w:cs="Arial"/>
          <w:color w:val="auto"/>
          <w:sz w:val="22"/>
          <w:lang w:val="en-AU" w:eastAsia="en-US"/>
        </w:rPr>
        <w:t xml:space="preserve"> in </w:t>
      </w:r>
      <w:proofErr w:type="spellStart"/>
      <w:r w:rsidR="00910FFD" w:rsidRPr="00584B98">
        <w:rPr>
          <w:rFonts w:ascii="Arial" w:eastAsiaTheme="minorHAnsi" w:hAnsi="Arial" w:cs="Arial"/>
          <w:b/>
          <w:bCs/>
          <w:color w:val="auto"/>
          <w:sz w:val="22"/>
          <w:lang w:val="en-AU" w:eastAsia="en-US"/>
        </w:rPr>
        <w:t>Matjhabeng</w:t>
      </w:r>
      <w:proofErr w:type="spellEnd"/>
      <w:r w:rsidR="00910FFD" w:rsidRPr="00584B98">
        <w:rPr>
          <w:rFonts w:ascii="Arial" w:eastAsiaTheme="minorHAnsi" w:hAnsi="Arial" w:cs="Arial"/>
          <w:b/>
          <w:bCs/>
          <w:color w:val="auto"/>
          <w:sz w:val="22"/>
          <w:lang w:val="en-AU" w:eastAsia="en-US"/>
        </w:rPr>
        <w:t xml:space="preserve"> Local Municipality v Eskom Holdings Limited and Others; </w:t>
      </w:r>
      <w:proofErr w:type="spellStart"/>
      <w:r w:rsidR="00910FFD" w:rsidRPr="00584B98">
        <w:rPr>
          <w:rFonts w:ascii="Arial" w:eastAsiaTheme="minorHAnsi" w:hAnsi="Arial" w:cs="Arial"/>
          <w:b/>
          <w:bCs/>
          <w:color w:val="auto"/>
          <w:sz w:val="22"/>
          <w:lang w:val="en-AU" w:eastAsia="en-US"/>
        </w:rPr>
        <w:t>Mkhonto</w:t>
      </w:r>
      <w:proofErr w:type="spellEnd"/>
      <w:r w:rsidR="00910FFD" w:rsidRPr="00584B98">
        <w:rPr>
          <w:rFonts w:ascii="Arial" w:eastAsiaTheme="minorHAnsi" w:hAnsi="Arial" w:cs="Arial"/>
          <w:b/>
          <w:bCs/>
          <w:color w:val="auto"/>
          <w:sz w:val="22"/>
          <w:lang w:val="en-AU" w:eastAsia="en-US"/>
        </w:rPr>
        <w:t xml:space="preserve"> and Others v Compensation Solutions (Pty) Limited</w:t>
      </w:r>
      <w:r w:rsidR="00910FFD" w:rsidRPr="00634FF3">
        <w:rPr>
          <w:vertAlign w:val="superscript"/>
          <w:lang w:val="en-AU" w:eastAsia="en-US"/>
        </w:rPr>
        <w:footnoteReference w:id="10"/>
      </w:r>
      <w:r w:rsidR="004F0E7F" w:rsidRPr="00584B98">
        <w:rPr>
          <w:rFonts w:ascii="Arial" w:eastAsiaTheme="minorHAnsi" w:hAnsi="Arial" w:cs="Arial"/>
          <w:color w:val="auto"/>
          <w:sz w:val="22"/>
          <w:vertAlign w:val="superscript"/>
          <w:lang w:val="en-AU" w:eastAsia="en-US"/>
        </w:rPr>
        <w:t xml:space="preserve"> </w:t>
      </w:r>
      <w:r w:rsidR="004F0E7F" w:rsidRPr="00584B98">
        <w:rPr>
          <w:rFonts w:ascii="Arial" w:eastAsiaTheme="minorHAnsi" w:hAnsi="Arial" w:cs="Arial"/>
          <w:color w:val="auto"/>
          <w:sz w:val="22"/>
          <w:lang w:val="en-AU" w:eastAsia="en-US"/>
        </w:rPr>
        <w:t>clarified the principles applicable to the onus of proof in contempt proceedings and</w:t>
      </w:r>
      <w:r w:rsidR="004F0E7F" w:rsidRPr="00584B98">
        <w:rPr>
          <w:rFonts w:ascii="Arial" w:eastAsiaTheme="minorHAnsi" w:hAnsi="Arial" w:cs="Arial"/>
          <w:color w:val="auto"/>
          <w:sz w:val="22"/>
          <w:vertAlign w:val="superscript"/>
          <w:lang w:val="en-AU" w:eastAsia="en-US"/>
        </w:rPr>
        <w:t xml:space="preserve"> </w:t>
      </w:r>
      <w:r w:rsidR="00910FFD" w:rsidRPr="00584B98">
        <w:rPr>
          <w:rFonts w:ascii="Arial" w:eastAsiaTheme="minorHAnsi" w:hAnsi="Arial" w:cs="Arial"/>
          <w:color w:val="auto"/>
          <w:sz w:val="22"/>
          <w:lang w:val="en-AU" w:eastAsia="en-US"/>
        </w:rPr>
        <w:t xml:space="preserve">stated that: </w:t>
      </w:r>
    </w:p>
    <w:p w14:paraId="20BF3BE0" w14:textId="77777777" w:rsidR="00910FFD" w:rsidRPr="00634FF3" w:rsidRDefault="00910FFD" w:rsidP="00CB6F6C">
      <w:pPr>
        <w:spacing w:after="120" w:line="276" w:lineRule="auto"/>
        <w:ind w:left="1440" w:right="547"/>
        <w:rPr>
          <w:rFonts w:ascii="Arial" w:hAnsi="Arial" w:cs="Arial"/>
          <w:i/>
          <w:iCs/>
          <w:sz w:val="22"/>
        </w:rPr>
      </w:pPr>
      <w:r w:rsidRPr="00634FF3">
        <w:rPr>
          <w:rFonts w:ascii="Arial" w:hAnsi="Arial" w:cs="Arial"/>
          <w:i/>
          <w:iCs/>
          <w:sz w:val="22"/>
        </w:rPr>
        <w:t xml:space="preserve">‘. . . I am of the view that the standard of proof must be applied in accordance with the purpose sought to be achieved, differently put, the consequences of </w:t>
      </w:r>
      <w:r w:rsidRPr="00634FF3">
        <w:rPr>
          <w:rFonts w:ascii="Arial" w:hAnsi="Arial" w:cs="Arial"/>
          <w:i/>
          <w:iCs/>
          <w:sz w:val="22"/>
        </w:rPr>
        <w:lastRenderedPageBreak/>
        <w:t>the various remedies. As I understand it, the maintenance of a distinction does have a practical significance: the civil contempt remedies of committal or a fine have material consequences on an individual’s freedom and security of the person. However, it is necessary in some instances because disregard of a court order not only deprives the other party of the benefit of the order but also impairs the effective administration of justice. There, the criminal standard of proof – beyond reasonable doubt – applies always. A fitting example of this is </w:t>
      </w:r>
      <w:proofErr w:type="spellStart"/>
      <w:r w:rsidRPr="00634FF3">
        <w:rPr>
          <w:rFonts w:ascii="Arial" w:hAnsi="Arial" w:cs="Arial"/>
          <w:i/>
          <w:iCs/>
          <w:sz w:val="22"/>
        </w:rPr>
        <w:t>Fakie</w:t>
      </w:r>
      <w:proofErr w:type="spellEnd"/>
      <w:r w:rsidRPr="00634FF3">
        <w:rPr>
          <w:rFonts w:ascii="Arial" w:hAnsi="Arial" w:cs="Arial"/>
          <w:i/>
          <w:iCs/>
          <w:sz w:val="22"/>
        </w:rPr>
        <w:t>. On the other hand, there are civil contempt remedies − for example, declaratory relief, mandamus, or a structural interdict − that do not have the consequence of depriving an individual of their right to freedom and security of the person. A fitting example of this is </w:t>
      </w:r>
      <w:proofErr w:type="spellStart"/>
      <w:r w:rsidRPr="00634FF3">
        <w:rPr>
          <w:rFonts w:ascii="Arial" w:hAnsi="Arial" w:cs="Arial"/>
          <w:i/>
          <w:iCs/>
          <w:sz w:val="22"/>
        </w:rPr>
        <w:t>Burchell</w:t>
      </w:r>
      <w:proofErr w:type="spellEnd"/>
      <w:r w:rsidRPr="00634FF3">
        <w:rPr>
          <w:rFonts w:ascii="Arial" w:hAnsi="Arial" w:cs="Arial"/>
          <w:i/>
          <w:iCs/>
          <w:sz w:val="22"/>
        </w:rPr>
        <w:t>. Here, and I stress, the civil standard of proof – a balance of probabilities – applies.’</w:t>
      </w:r>
      <w:r w:rsidRPr="00634FF3">
        <w:rPr>
          <w:rFonts w:ascii="Arial" w:hAnsi="Arial" w:cs="Arial"/>
          <w:i/>
          <w:iCs/>
          <w:sz w:val="22"/>
          <w:vertAlign w:val="superscript"/>
        </w:rPr>
        <w:footnoteReference w:id="11"/>
      </w:r>
      <w:r w:rsidRPr="00634FF3">
        <w:rPr>
          <w:rFonts w:ascii="Arial" w:hAnsi="Arial" w:cs="Arial"/>
          <w:i/>
          <w:iCs/>
          <w:sz w:val="22"/>
          <w:vertAlign w:val="superscript"/>
        </w:rPr>
        <w:t xml:space="preserve"> </w:t>
      </w:r>
    </w:p>
    <w:p w14:paraId="6368D5F1" w14:textId="77777777" w:rsidR="00910FFD" w:rsidRPr="00634FF3" w:rsidRDefault="00910FFD" w:rsidP="00910FFD">
      <w:pPr>
        <w:spacing w:after="0"/>
        <w:rPr>
          <w:rFonts w:ascii="Arial" w:hAnsi="Arial" w:cs="Arial"/>
          <w:sz w:val="22"/>
        </w:rPr>
      </w:pPr>
    </w:p>
    <w:p w14:paraId="518FCBA8" w14:textId="1A2B9939" w:rsidR="004F0E7F"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17.</w:t>
      </w:r>
      <w:r>
        <w:rPr>
          <w:rFonts w:ascii="Arial" w:eastAsiaTheme="minorHAnsi" w:hAnsi="Arial" w:cs="Arial"/>
          <w:color w:val="auto"/>
          <w:sz w:val="22"/>
          <w:lang w:val="en-AU" w:eastAsia="en-US"/>
        </w:rPr>
        <w:tab/>
      </w:r>
      <w:r w:rsidR="002D68B4" w:rsidRPr="00584B98">
        <w:rPr>
          <w:rFonts w:ascii="Arial" w:eastAsiaTheme="minorHAnsi" w:hAnsi="Arial" w:cs="Arial"/>
          <w:color w:val="auto"/>
          <w:sz w:val="22"/>
          <w:lang w:val="en-AU" w:eastAsia="en-US"/>
        </w:rPr>
        <w:t xml:space="preserve">Because </w:t>
      </w:r>
      <w:r w:rsidR="00910FFD" w:rsidRPr="00584B98">
        <w:rPr>
          <w:rFonts w:ascii="Arial" w:eastAsiaTheme="minorHAnsi" w:hAnsi="Arial" w:cs="Arial"/>
          <w:color w:val="auto"/>
          <w:sz w:val="22"/>
          <w:lang w:val="en-AU" w:eastAsia="en-US"/>
        </w:rPr>
        <w:t xml:space="preserve">the relief sought </w:t>
      </w:r>
      <w:r w:rsidR="002D68B4" w:rsidRPr="00584B98">
        <w:rPr>
          <w:rFonts w:ascii="Arial" w:eastAsiaTheme="minorHAnsi" w:hAnsi="Arial" w:cs="Arial"/>
          <w:color w:val="auto"/>
          <w:sz w:val="22"/>
          <w:lang w:val="en-AU" w:eastAsia="en-US"/>
        </w:rPr>
        <w:t>in this</w:t>
      </w:r>
      <w:r w:rsidR="004F0E7F" w:rsidRPr="00584B98">
        <w:rPr>
          <w:rFonts w:ascii="Arial" w:eastAsiaTheme="minorHAnsi" w:hAnsi="Arial" w:cs="Arial"/>
          <w:color w:val="auto"/>
          <w:sz w:val="22"/>
          <w:lang w:val="en-AU" w:eastAsia="en-US"/>
        </w:rPr>
        <w:t xml:space="preserve"> contempt</w:t>
      </w:r>
      <w:r w:rsidR="002D68B4" w:rsidRPr="00584B98">
        <w:rPr>
          <w:rFonts w:ascii="Arial" w:eastAsiaTheme="minorHAnsi" w:hAnsi="Arial" w:cs="Arial"/>
          <w:color w:val="auto"/>
          <w:sz w:val="22"/>
          <w:lang w:val="en-AU" w:eastAsia="en-US"/>
        </w:rPr>
        <w:t xml:space="preserve"> application </w:t>
      </w:r>
      <w:r w:rsidR="00910FFD" w:rsidRPr="00584B98">
        <w:rPr>
          <w:rFonts w:ascii="Arial" w:eastAsiaTheme="minorHAnsi" w:hAnsi="Arial" w:cs="Arial"/>
          <w:color w:val="auto"/>
          <w:sz w:val="22"/>
          <w:lang w:val="en-AU" w:eastAsia="en-US"/>
        </w:rPr>
        <w:t>is punitive</w:t>
      </w:r>
      <w:r w:rsidR="001726A8" w:rsidRPr="00584B98">
        <w:rPr>
          <w:rFonts w:ascii="Arial" w:eastAsiaTheme="minorHAnsi" w:hAnsi="Arial" w:cs="Arial"/>
          <w:color w:val="auto"/>
          <w:sz w:val="22"/>
          <w:lang w:val="en-AU" w:eastAsia="en-US"/>
        </w:rPr>
        <w:t>,</w:t>
      </w:r>
      <w:r w:rsidR="00910FFD" w:rsidRPr="00584B98">
        <w:rPr>
          <w:rFonts w:ascii="Arial" w:eastAsiaTheme="minorHAnsi" w:hAnsi="Arial" w:cs="Arial"/>
          <w:color w:val="auto"/>
          <w:sz w:val="22"/>
          <w:lang w:val="en-AU" w:eastAsia="en-US"/>
        </w:rPr>
        <w:t xml:space="preserve"> and includes </w:t>
      </w:r>
      <w:r w:rsidR="002D26AD" w:rsidRPr="00584B98">
        <w:rPr>
          <w:rFonts w:ascii="Arial" w:eastAsiaTheme="minorHAnsi" w:hAnsi="Arial" w:cs="Arial"/>
          <w:color w:val="auto"/>
          <w:sz w:val="22"/>
          <w:lang w:val="en-AU" w:eastAsia="en-US"/>
        </w:rPr>
        <w:t>a committal to imprisonment,</w:t>
      </w:r>
      <w:r w:rsidR="00910FFD" w:rsidRPr="00584B98">
        <w:rPr>
          <w:rFonts w:ascii="Arial" w:eastAsiaTheme="minorHAnsi" w:hAnsi="Arial" w:cs="Arial"/>
          <w:color w:val="auto"/>
          <w:sz w:val="22"/>
          <w:lang w:val="en-AU" w:eastAsia="en-US"/>
        </w:rPr>
        <w:t xml:space="preserve"> the criminal standard of proof of beyond a reasonable doubt </w:t>
      </w:r>
      <w:r w:rsidR="001726A8" w:rsidRPr="00584B98">
        <w:rPr>
          <w:rFonts w:ascii="Arial" w:eastAsiaTheme="minorHAnsi" w:hAnsi="Arial" w:cs="Arial"/>
          <w:color w:val="auto"/>
          <w:sz w:val="22"/>
          <w:lang w:val="en-AU" w:eastAsia="en-US"/>
        </w:rPr>
        <w:t>applies</w:t>
      </w:r>
      <w:r w:rsidR="00910FFD" w:rsidRPr="00634FF3">
        <w:rPr>
          <w:vertAlign w:val="superscript"/>
          <w:lang w:val="en-AU" w:eastAsia="en-US"/>
        </w:rPr>
        <w:footnoteReference w:id="12"/>
      </w:r>
      <w:r w:rsidR="00910FFD" w:rsidRPr="00584B98">
        <w:rPr>
          <w:rFonts w:ascii="Arial" w:eastAsiaTheme="minorHAnsi" w:hAnsi="Arial" w:cs="Arial"/>
          <w:color w:val="auto"/>
          <w:sz w:val="22"/>
          <w:vertAlign w:val="superscript"/>
          <w:lang w:val="en-AU" w:eastAsia="en-US"/>
        </w:rPr>
        <w:t xml:space="preserve"> </w:t>
      </w:r>
      <w:r w:rsidR="002D68B4" w:rsidRPr="00584B98">
        <w:rPr>
          <w:rFonts w:ascii="Arial" w:eastAsiaTheme="minorHAnsi" w:hAnsi="Arial" w:cs="Arial"/>
          <w:color w:val="auto"/>
          <w:sz w:val="22"/>
          <w:vertAlign w:val="superscript"/>
          <w:lang w:val="en-AU" w:eastAsia="en-US"/>
        </w:rPr>
        <w:t xml:space="preserve"> </w:t>
      </w:r>
      <w:r w:rsidR="00DD05CA" w:rsidRPr="00584B98">
        <w:rPr>
          <w:rFonts w:ascii="Arial" w:eastAsiaTheme="minorHAnsi" w:hAnsi="Arial" w:cs="Arial"/>
          <w:color w:val="auto"/>
          <w:sz w:val="22"/>
          <w:lang w:val="en-AU" w:eastAsia="en-US"/>
        </w:rPr>
        <w:t>T</w:t>
      </w:r>
      <w:r w:rsidR="00483573" w:rsidRPr="00584B98">
        <w:rPr>
          <w:rFonts w:ascii="Arial" w:eastAsiaTheme="minorHAnsi" w:hAnsi="Arial" w:cs="Arial"/>
          <w:color w:val="auto"/>
          <w:sz w:val="22"/>
          <w:lang w:val="en-AU" w:eastAsia="en-US"/>
        </w:rPr>
        <w:t>he onus is therefore not the ordinary civil onus</w:t>
      </w:r>
      <w:r w:rsidR="00DA0144" w:rsidRPr="00584B98">
        <w:rPr>
          <w:rFonts w:ascii="Arial" w:eastAsiaTheme="minorHAnsi" w:hAnsi="Arial" w:cs="Arial"/>
          <w:color w:val="auto"/>
          <w:sz w:val="22"/>
          <w:lang w:val="en-AU" w:eastAsia="en-US"/>
        </w:rPr>
        <w:t xml:space="preserve">, </w:t>
      </w:r>
      <w:r w:rsidR="001726A8" w:rsidRPr="00584B98">
        <w:rPr>
          <w:rFonts w:ascii="Arial" w:eastAsiaTheme="minorHAnsi" w:hAnsi="Arial" w:cs="Arial"/>
          <w:color w:val="auto"/>
          <w:sz w:val="22"/>
          <w:lang w:val="en-AU" w:eastAsia="en-US"/>
        </w:rPr>
        <w:t>(</w:t>
      </w:r>
      <w:r w:rsidR="00735EE9" w:rsidRPr="00584B98">
        <w:rPr>
          <w:rFonts w:ascii="Arial" w:eastAsiaTheme="minorHAnsi" w:hAnsi="Arial" w:cs="Arial"/>
          <w:color w:val="auto"/>
          <w:sz w:val="22"/>
          <w:lang w:val="en-AU" w:eastAsia="en-US"/>
        </w:rPr>
        <w:t>i.e.,</w:t>
      </w:r>
      <w:r w:rsidR="00483573" w:rsidRPr="00584B98">
        <w:rPr>
          <w:rFonts w:ascii="Arial" w:eastAsiaTheme="minorHAnsi" w:hAnsi="Arial" w:cs="Arial"/>
          <w:color w:val="auto"/>
          <w:sz w:val="22"/>
          <w:lang w:val="en-AU" w:eastAsia="en-US"/>
        </w:rPr>
        <w:t xml:space="preserve"> </w:t>
      </w:r>
      <w:r w:rsidR="00CF25A3" w:rsidRPr="00584B98">
        <w:rPr>
          <w:rFonts w:ascii="Arial" w:eastAsiaTheme="minorHAnsi" w:hAnsi="Arial" w:cs="Arial"/>
          <w:color w:val="auto"/>
          <w:sz w:val="22"/>
          <w:lang w:val="en-AU" w:eastAsia="en-US"/>
        </w:rPr>
        <w:t xml:space="preserve">on a </w:t>
      </w:r>
      <w:r w:rsidR="00483573" w:rsidRPr="00584B98">
        <w:rPr>
          <w:rFonts w:ascii="Arial" w:eastAsiaTheme="minorHAnsi" w:hAnsi="Arial" w:cs="Arial"/>
          <w:color w:val="auto"/>
          <w:sz w:val="22"/>
          <w:lang w:val="en-AU" w:eastAsia="en-US"/>
        </w:rPr>
        <w:t>balance of probabilities</w:t>
      </w:r>
      <w:r w:rsidR="001726A8" w:rsidRPr="00584B98">
        <w:rPr>
          <w:rFonts w:ascii="Arial" w:eastAsiaTheme="minorHAnsi" w:hAnsi="Arial" w:cs="Arial"/>
          <w:color w:val="auto"/>
          <w:sz w:val="22"/>
          <w:lang w:val="en-AU" w:eastAsia="en-US"/>
        </w:rPr>
        <w:t>)</w:t>
      </w:r>
      <w:r w:rsidR="00DA0144" w:rsidRPr="00584B98">
        <w:rPr>
          <w:rFonts w:ascii="Arial" w:eastAsiaTheme="minorHAnsi" w:hAnsi="Arial" w:cs="Arial"/>
          <w:color w:val="auto"/>
          <w:sz w:val="22"/>
          <w:lang w:val="en-AU" w:eastAsia="en-US"/>
        </w:rPr>
        <w:t xml:space="preserve">, </w:t>
      </w:r>
      <w:r w:rsidR="00483573" w:rsidRPr="00584B98">
        <w:rPr>
          <w:rFonts w:ascii="Arial" w:eastAsiaTheme="minorHAnsi" w:hAnsi="Arial" w:cs="Arial"/>
          <w:color w:val="auto"/>
          <w:sz w:val="22"/>
          <w:lang w:val="en-AU" w:eastAsia="en-US"/>
        </w:rPr>
        <w:t xml:space="preserve">but instead </w:t>
      </w:r>
      <w:r w:rsidR="001726A8" w:rsidRPr="00584B98">
        <w:rPr>
          <w:rFonts w:ascii="Arial" w:eastAsiaTheme="minorHAnsi" w:hAnsi="Arial" w:cs="Arial"/>
          <w:color w:val="auto"/>
          <w:sz w:val="22"/>
          <w:lang w:val="en-AU" w:eastAsia="en-US"/>
        </w:rPr>
        <w:t xml:space="preserve">one of </w:t>
      </w:r>
      <w:r w:rsidR="00483573" w:rsidRPr="00584B98">
        <w:rPr>
          <w:rFonts w:ascii="Arial" w:eastAsiaTheme="minorHAnsi" w:hAnsi="Arial" w:cs="Arial"/>
          <w:color w:val="auto"/>
          <w:sz w:val="22"/>
          <w:lang w:val="en-AU" w:eastAsia="en-US"/>
        </w:rPr>
        <w:t>beyond reasonable doubt</w:t>
      </w:r>
      <w:r w:rsidR="00DD05CA" w:rsidRPr="00584B98">
        <w:rPr>
          <w:rFonts w:ascii="Arial" w:eastAsiaTheme="minorHAnsi" w:hAnsi="Arial" w:cs="Arial"/>
          <w:color w:val="auto"/>
          <w:sz w:val="22"/>
          <w:lang w:val="en-AU" w:eastAsia="en-US"/>
        </w:rPr>
        <w:t xml:space="preserve">. </w:t>
      </w:r>
    </w:p>
    <w:p w14:paraId="45812702" w14:textId="7DF76F0E" w:rsidR="00483573"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634FF3">
        <w:rPr>
          <w:rFonts w:ascii="Arial" w:eastAsiaTheme="minorHAnsi" w:hAnsi="Arial" w:cs="Arial"/>
          <w:color w:val="auto"/>
          <w:sz w:val="22"/>
          <w:lang w:val="en-AU" w:eastAsia="en-US"/>
        </w:rPr>
        <w:t>18.</w:t>
      </w:r>
      <w:r w:rsidRPr="00634FF3">
        <w:rPr>
          <w:rFonts w:ascii="Arial" w:eastAsiaTheme="minorHAnsi" w:hAnsi="Arial" w:cs="Arial"/>
          <w:color w:val="auto"/>
          <w:sz w:val="22"/>
          <w:lang w:val="en-AU" w:eastAsia="en-US"/>
        </w:rPr>
        <w:tab/>
      </w:r>
      <w:r w:rsidR="001726A8" w:rsidRPr="00584B98">
        <w:rPr>
          <w:rFonts w:ascii="Arial" w:eastAsiaTheme="minorHAnsi" w:hAnsi="Arial" w:cs="Arial"/>
          <w:color w:val="auto"/>
          <w:sz w:val="22"/>
          <w:lang w:val="en-AU" w:eastAsia="en-US"/>
        </w:rPr>
        <w:t>As such</w:t>
      </w:r>
      <w:r w:rsidR="00483573" w:rsidRPr="00584B98">
        <w:rPr>
          <w:rFonts w:ascii="Arial" w:eastAsiaTheme="minorHAnsi" w:hAnsi="Arial" w:cs="Arial"/>
          <w:color w:val="auto"/>
          <w:sz w:val="22"/>
          <w:lang w:val="en-AU" w:eastAsia="en-US"/>
        </w:rPr>
        <w:t>, if, on a conspectus of all the evidence, there is a reasonable possibility that non-compliance with the court order in issue was not wilful and </w:t>
      </w:r>
      <w:r w:rsidR="00483573" w:rsidRPr="00584B98">
        <w:rPr>
          <w:rFonts w:ascii="Arial" w:eastAsiaTheme="minorHAnsi" w:hAnsi="Arial" w:cs="Arial"/>
          <w:i/>
          <w:iCs/>
          <w:color w:val="auto"/>
          <w:sz w:val="22"/>
          <w:lang w:val="en-AU" w:eastAsia="en-US"/>
        </w:rPr>
        <w:t>mala fide</w:t>
      </w:r>
      <w:r w:rsidR="00483573" w:rsidRPr="00584B98">
        <w:rPr>
          <w:rFonts w:ascii="Arial" w:eastAsiaTheme="minorHAnsi" w:hAnsi="Arial" w:cs="Arial"/>
          <w:color w:val="auto"/>
          <w:sz w:val="22"/>
          <w:lang w:val="en-AU" w:eastAsia="en-US"/>
        </w:rPr>
        <w:t>, contempt is not established.</w:t>
      </w:r>
      <w:r w:rsidR="00483573" w:rsidRPr="00634FF3">
        <w:rPr>
          <w:vertAlign w:val="superscript"/>
          <w:lang w:val="en-AU" w:eastAsia="en-US"/>
        </w:rPr>
        <w:footnoteReference w:id="13"/>
      </w:r>
      <w:r w:rsidR="00483573" w:rsidRPr="00584B98">
        <w:rPr>
          <w:rFonts w:ascii="Arial" w:eastAsiaTheme="minorHAnsi" w:hAnsi="Arial" w:cs="Arial"/>
          <w:color w:val="auto"/>
          <w:sz w:val="22"/>
          <w:vertAlign w:val="superscript"/>
          <w:lang w:val="en-AU" w:eastAsia="en-US"/>
        </w:rPr>
        <w:t xml:space="preserve"> </w:t>
      </w:r>
    </w:p>
    <w:p w14:paraId="7602C31D" w14:textId="466E0EAA" w:rsidR="00483573"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634FF3">
        <w:rPr>
          <w:rFonts w:ascii="Arial" w:eastAsiaTheme="minorHAnsi" w:hAnsi="Arial" w:cs="Arial"/>
          <w:color w:val="auto"/>
          <w:sz w:val="22"/>
          <w:lang w:val="en-AU" w:eastAsia="en-US"/>
        </w:rPr>
        <w:t>19.</w:t>
      </w:r>
      <w:r w:rsidRPr="00634FF3">
        <w:rPr>
          <w:rFonts w:ascii="Arial" w:eastAsiaTheme="minorHAnsi" w:hAnsi="Arial" w:cs="Arial"/>
          <w:color w:val="auto"/>
          <w:sz w:val="22"/>
          <w:lang w:val="en-AU" w:eastAsia="en-US"/>
        </w:rPr>
        <w:tab/>
      </w:r>
      <w:r w:rsidR="00483573" w:rsidRPr="00584B98">
        <w:rPr>
          <w:rFonts w:ascii="Arial" w:eastAsiaTheme="minorHAnsi" w:hAnsi="Arial" w:cs="Arial"/>
          <w:color w:val="auto"/>
          <w:sz w:val="22"/>
          <w:lang w:val="en-AU" w:eastAsia="en-US"/>
        </w:rPr>
        <w:t>The wilfulness (intent) consideration is further informed by the requirement that there must be an intention to defeat the course of justice for an act to constitute civil contempt,</w:t>
      </w:r>
      <w:r w:rsidR="00483573" w:rsidRPr="00634FF3">
        <w:rPr>
          <w:vertAlign w:val="superscript"/>
          <w:lang w:val="en-AU" w:eastAsia="en-US"/>
        </w:rPr>
        <w:footnoteReference w:id="14"/>
      </w:r>
      <w:r w:rsidR="00483573" w:rsidRPr="00584B98">
        <w:rPr>
          <w:rFonts w:ascii="Arial" w:eastAsiaTheme="minorHAnsi" w:hAnsi="Arial" w:cs="Arial"/>
          <w:color w:val="auto"/>
          <w:sz w:val="22"/>
          <w:lang w:val="en-AU" w:eastAsia="en-US"/>
        </w:rPr>
        <w:t xml:space="preserve"> or otherwise cast, a court must find the “litigant to be possessed of malice on balance”.</w:t>
      </w:r>
      <w:r w:rsidR="00483573" w:rsidRPr="00634FF3">
        <w:rPr>
          <w:vertAlign w:val="superscript"/>
          <w:lang w:val="en-AU" w:eastAsia="en-US"/>
        </w:rPr>
        <w:footnoteReference w:id="15"/>
      </w:r>
    </w:p>
    <w:p w14:paraId="1AA996FC" w14:textId="319160A1" w:rsidR="00483573"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lastRenderedPageBreak/>
        <w:t>20.</w:t>
      </w:r>
      <w:r>
        <w:rPr>
          <w:rFonts w:ascii="Arial" w:eastAsiaTheme="minorHAnsi" w:hAnsi="Arial" w:cs="Arial"/>
          <w:color w:val="auto"/>
          <w:sz w:val="22"/>
          <w:lang w:val="en-AU" w:eastAsia="en-US"/>
        </w:rPr>
        <w:tab/>
      </w:r>
      <w:r w:rsidR="001726A8" w:rsidRPr="00584B98">
        <w:rPr>
          <w:rFonts w:ascii="Arial" w:eastAsiaTheme="minorHAnsi" w:hAnsi="Arial" w:cs="Arial"/>
          <w:color w:val="auto"/>
          <w:sz w:val="22"/>
          <w:lang w:val="en-AU" w:eastAsia="en-US"/>
        </w:rPr>
        <w:t>Finally, our law is that w</w:t>
      </w:r>
      <w:r w:rsidR="00DD05CA" w:rsidRPr="00584B98">
        <w:rPr>
          <w:rFonts w:ascii="Arial" w:eastAsiaTheme="minorHAnsi" w:hAnsi="Arial" w:cs="Arial"/>
          <w:color w:val="auto"/>
          <w:sz w:val="22"/>
          <w:lang w:val="en-AU" w:eastAsia="en-US"/>
        </w:rPr>
        <w:t>here most of a court order has been complied with and the non-compliance is in respect of some minor matter only, the Court will take the substantial compliance into account, and will not commit for a minor non-compliance; i.e. the applicant has to show a material non-compliance with the court order.</w:t>
      </w:r>
      <w:r w:rsidR="00DD05CA" w:rsidRPr="00634FF3">
        <w:rPr>
          <w:vertAlign w:val="superscript"/>
          <w:lang w:val="en-AU" w:eastAsia="en-US"/>
        </w:rPr>
        <w:footnoteReference w:id="16"/>
      </w:r>
    </w:p>
    <w:p w14:paraId="5CF4832C" w14:textId="242A1ABF" w:rsidR="001726A8"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634FF3">
        <w:rPr>
          <w:rFonts w:ascii="Arial" w:eastAsiaTheme="minorHAnsi" w:hAnsi="Arial" w:cs="Arial"/>
          <w:color w:val="auto"/>
          <w:sz w:val="22"/>
          <w:lang w:val="en-AU" w:eastAsia="en-US"/>
        </w:rPr>
        <w:t>21.</w:t>
      </w:r>
      <w:r w:rsidRPr="00634FF3">
        <w:rPr>
          <w:rFonts w:ascii="Arial" w:eastAsiaTheme="minorHAnsi" w:hAnsi="Arial" w:cs="Arial"/>
          <w:color w:val="auto"/>
          <w:sz w:val="22"/>
          <w:lang w:val="en-AU" w:eastAsia="en-US"/>
        </w:rPr>
        <w:tab/>
      </w:r>
      <w:r w:rsidR="001726A8" w:rsidRPr="00584B98">
        <w:rPr>
          <w:rFonts w:ascii="Arial" w:eastAsiaTheme="minorHAnsi" w:hAnsi="Arial" w:cs="Arial"/>
          <w:color w:val="auto"/>
          <w:sz w:val="22"/>
          <w:lang w:val="en-AU" w:eastAsia="en-US"/>
        </w:rPr>
        <w:t>Obviously, the relevant prevailing circumstances will determine whether a compliance matter is to be regarded as “minor” or otherwise.</w:t>
      </w:r>
    </w:p>
    <w:p w14:paraId="2E841DFF" w14:textId="4E29A67C" w:rsidR="00DD05CA" w:rsidRPr="00584B98" w:rsidRDefault="00584B98" w:rsidP="00584B98">
      <w:pPr>
        <w:spacing w:after="360" w:line="480" w:lineRule="auto"/>
        <w:ind w:left="425" w:right="-153" w:hanging="425"/>
        <w:rPr>
          <w:rFonts w:ascii="Arial" w:eastAsiaTheme="minorHAnsi" w:hAnsi="Arial" w:cs="Arial"/>
          <w:color w:val="auto"/>
          <w:sz w:val="22"/>
          <w:u w:val="single"/>
          <w:lang w:val="en-AU" w:eastAsia="en-US"/>
        </w:rPr>
      </w:pPr>
      <w:r w:rsidRPr="00634FF3">
        <w:rPr>
          <w:rFonts w:ascii="Arial" w:eastAsiaTheme="minorHAnsi" w:hAnsi="Arial" w:cs="Arial"/>
          <w:color w:val="auto"/>
          <w:sz w:val="22"/>
          <w:lang w:val="en-AU" w:eastAsia="en-US"/>
        </w:rPr>
        <w:t>(c)</w:t>
      </w:r>
      <w:r w:rsidRPr="00634FF3">
        <w:rPr>
          <w:rFonts w:ascii="Arial" w:eastAsiaTheme="minorHAnsi" w:hAnsi="Arial" w:cs="Arial"/>
          <w:color w:val="auto"/>
          <w:sz w:val="22"/>
          <w:lang w:val="en-AU" w:eastAsia="en-US"/>
        </w:rPr>
        <w:tab/>
      </w:r>
      <w:r w:rsidR="001726A8" w:rsidRPr="00584B98">
        <w:rPr>
          <w:rFonts w:ascii="Arial" w:eastAsiaTheme="minorHAnsi" w:hAnsi="Arial" w:cs="Arial"/>
          <w:color w:val="auto"/>
          <w:sz w:val="22"/>
          <w:u w:val="single"/>
          <w:lang w:val="en-AU" w:eastAsia="en-US"/>
        </w:rPr>
        <w:t>The relevant and material background facts</w:t>
      </w:r>
    </w:p>
    <w:p w14:paraId="0EE71962" w14:textId="520E2F6A" w:rsidR="00DF0D3A"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634FF3">
        <w:rPr>
          <w:rFonts w:ascii="Arial" w:eastAsiaTheme="minorHAnsi" w:hAnsi="Arial" w:cs="Arial"/>
          <w:color w:val="auto"/>
          <w:sz w:val="22"/>
          <w:lang w:val="en-AU" w:eastAsia="en-US"/>
        </w:rPr>
        <w:t>22.</w:t>
      </w:r>
      <w:r w:rsidRPr="00634FF3">
        <w:rPr>
          <w:rFonts w:ascii="Arial" w:eastAsiaTheme="minorHAnsi" w:hAnsi="Arial" w:cs="Arial"/>
          <w:color w:val="auto"/>
          <w:sz w:val="22"/>
          <w:lang w:val="en-AU" w:eastAsia="en-US"/>
        </w:rPr>
        <w:tab/>
      </w:r>
      <w:r w:rsidR="001726A8" w:rsidRPr="00584B98">
        <w:rPr>
          <w:rFonts w:ascii="Arial" w:eastAsiaTheme="minorHAnsi" w:hAnsi="Arial" w:cs="Arial"/>
          <w:color w:val="auto"/>
          <w:sz w:val="22"/>
          <w:lang w:val="en-AU" w:eastAsia="en-US"/>
        </w:rPr>
        <w:t>In these proceedings, i</w:t>
      </w:r>
      <w:r w:rsidR="00DF0D3A" w:rsidRPr="00584B98">
        <w:rPr>
          <w:rFonts w:ascii="Arial" w:eastAsiaTheme="minorHAnsi" w:hAnsi="Arial" w:cs="Arial"/>
          <w:color w:val="auto"/>
          <w:sz w:val="22"/>
          <w:lang w:val="en-AU" w:eastAsia="en-US"/>
        </w:rPr>
        <w:t xml:space="preserve">t is common cause that </w:t>
      </w:r>
      <w:r w:rsidR="00DD05CA" w:rsidRPr="00584B98">
        <w:rPr>
          <w:rFonts w:ascii="Arial" w:eastAsiaTheme="minorHAnsi" w:hAnsi="Arial" w:cs="Arial"/>
          <w:color w:val="auto"/>
          <w:sz w:val="22"/>
          <w:lang w:val="en-AU" w:eastAsia="en-US"/>
        </w:rPr>
        <w:t>(</w:t>
      </w:r>
      <w:proofErr w:type="spellStart"/>
      <w:r w:rsidR="00DD05CA" w:rsidRPr="00584B98">
        <w:rPr>
          <w:rFonts w:ascii="Arial" w:eastAsiaTheme="minorHAnsi" w:hAnsi="Arial" w:cs="Arial"/>
          <w:color w:val="auto"/>
          <w:sz w:val="22"/>
          <w:lang w:val="en-AU" w:eastAsia="en-US"/>
        </w:rPr>
        <w:t>i</w:t>
      </w:r>
      <w:proofErr w:type="spellEnd"/>
      <w:r w:rsidR="00DD05CA" w:rsidRPr="00584B98">
        <w:rPr>
          <w:rFonts w:ascii="Arial" w:eastAsiaTheme="minorHAnsi" w:hAnsi="Arial" w:cs="Arial"/>
          <w:color w:val="auto"/>
          <w:sz w:val="22"/>
          <w:lang w:val="en-AU" w:eastAsia="en-US"/>
        </w:rPr>
        <w:t>) a court order exists; (ii)</w:t>
      </w:r>
      <w:r w:rsidR="00DF0D3A" w:rsidRPr="00584B98">
        <w:rPr>
          <w:rFonts w:ascii="Arial" w:eastAsiaTheme="minorHAnsi" w:hAnsi="Arial" w:cs="Arial"/>
          <w:color w:val="auto"/>
          <w:sz w:val="22"/>
          <w:lang w:val="en-AU" w:eastAsia="en-US"/>
        </w:rPr>
        <w:t xml:space="preserve"> the respondent has knowledge of the court order</w:t>
      </w:r>
      <w:r w:rsidR="00DD05CA" w:rsidRPr="00584B98">
        <w:rPr>
          <w:rFonts w:ascii="Arial" w:eastAsiaTheme="minorHAnsi" w:hAnsi="Arial" w:cs="Arial"/>
          <w:color w:val="auto"/>
          <w:sz w:val="22"/>
          <w:lang w:val="en-AU" w:eastAsia="en-US"/>
        </w:rPr>
        <w:t xml:space="preserve">; and (iii) there has not been strict compliance with the </w:t>
      </w:r>
      <w:r w:rsidR="009B7CCF" w:rsidRPr="00584B98">
        <w:rPr>
          <w:rFonts w:ascii="Arial" w:eastAsiaTheme="minorHAnsi" w:hAnsi="Arial" w:cs="Arial"/>
          <w:color w:val="auto"/>
          <w:sz w:val="22"/>
          <w:lang w:val="en-AU" w:eastAsia="en-US"/>
        </w:rPr>
        <w:t xml:space="preserve">express </w:t>
      </w:r>
      <w:r w:rsidR="00DD05CA" w:rsidRPr="00584B98">
        <w:rPr>
          <w:rFonts w:ascii="Arial" w:eastAsiaTheme="minorHAnsi" w:hAnsi="Arial" w:cs="Arial"/>
          <w:color w:val="auto"/>
          <w:sz w:val="22"/>
          <w:lang w:val="en-AU" w:eastAsia="en-US"/>
        </w:rPr>
        <w:t xml:space="preserve">terms of the deed of settlement. </w:t>
      </w:r>
      <w:r w:rsidR="001726A8" w:rsidRPr="00584B98">
        <w:rPr>
          <w:rFonts w:ascii="Arial" w:eastAsiaTheme="minorHAnsi" w:hAnsi="Arial" w:cs="Arial"/>
          <w:color w:val="auto"/>
          <w:sz w:val="22"/>
          <w:lang w:val="en-AU" w:eastAsia="en-US"/>
        </w:rPr>
        <w:t>However, t</w:t>
      </w:r>
      <w:r w:rsidR="00DD05CA" w:rsidRPr="00584B98">
        <w:rPr>
          <w:rFonts w:ascii="Arial" w:eastAsiaTheme="minorHAnsi" w:hAnsi="Arial" w:cs="Arial"/>
          <w:color w:val="auto"/>
          <w:sz w:val="22"/>
          <w:lang w:val="en-AU" w:eastAsia="en-US"/>
        </w:rPr>
        <w:t xml:space="preserve">he respondent’s alleged wilfulness and/or </w:t>
      </w:r>
      <w:r w:rsidR="00DD05CA" w:rsidRPr="00584B98">
        <w:rPr>
          <w:rFonts w:ascii="Arial" w:eastAsiaTheme="minorHAnsi" w:hAnsi="Arial" w:cs="Arial"/>
          <w:i/>
          <w:iCs/>
          <w:color w:val="auto"/>
          <w:sz w:val="22"/>
          <w:lang w:val="en-AU" w:eastAsia="en-US"/>
        </w:rPr>
        <w:t>mala fides</w:t>
      </w:r>
      <w:r w:rsidR="00DD05CA" w:rsidRPr="00584B98">
        <w:rPr>
          <w:rFonts w:ascii="Arial" w:eastAsiaTheme="minorHAnsi" w:hAnsi="Arial" w:cs="Arial"/>
          <w:color w:val="auto"/>
          <w:sz w:val="22"/>
          <w:lang w:val="en-AU" w:eastAsia="en-US"/>
        </w:rPr>
        <w:t xml:space="preserve"> are in dispute.</w:t>
      </w:r>
    </w:p>
    <w:p w14:paraId="658E0957" w14:textId="66571F67" w:rsidR="00DD05CA"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634FF3">
        <w:rPr>
          <w:rFonts w:ascii="Arial" w:eastAsiaTheme="minorHAnsi" w:hAnsi="Arial" w:cs="Arial"/>
          <w:color w:val="auto"/>
          <w:sz w:val="22"/>
          <w:lang w:val="en-AU" w:eastAsia="en-US"/>
        </w:rPr>
        <w:t>23.</w:t>
      </w:r>
      <w:r w:rsidRPr="00634FF3">
        <w:rPr>
          <w:rFonts w:ascii="Arial" w:eastAsiaTheme="minorHAnsi" w:hAnsi="Arial" w:cs="Arial"/>
          <w:color w:val="auto"/>
          <w:sz w:val="22"/>
          <w:lang w:val="en-AU" w:eastAsia="en-US"/>
        </w:rPr>
        <w:tab/>
      </w:r>
      <w:r w:rsidR="001726A8" w:rsidRPr="00584B98">
        <w:rPr>
          <w:rFonts w:ascii="Arial" w:eastAsiaTheme="minorHAnsi" w:hAnsi="Arial" w:cs="Arial"/>
          <w:color w:val="auto"/>
          <w:sz w:val="22"/>
          <w:lang w:val="en-AU" w:eastAsia="en-US"/>
        </w:rPr>
        <w:t>Accordingly, t</w:t>
      </w:r>
      <w:r w:rsidR="00DD05CA" w:rsidRPr="00584B98">
        <w:rPr>
          <w:rFonts w:ascii="Arial" w:eastAsiaTheme="minorHAnsi" w:hAnsi="Arial" w:cs="Arial"/>
          <w:color w:val="auto"/>
          <w:sz w:val="22"/>
          <w:lang w:val="en-AU" w:eastAsia="en-US"/>
        </w:rPr>
        <w:t>he applicant is required to demonstrate the respondent’s non-compliance i</w:t>
      </w:r>
      <w:r w:rsidR="00CF25A3" w:rsidRPr="00584B98">
        <w:rPr>
          <w:rFonts w:ascii="Arial" w:eastAsiaTheme="minorHAnsi" w:hAnsi="Arial" w:cs="Arial"/>
          <w:color w:val="auto"/>
          <w:sz w:val="22"/>
          <w:lang w:val="en-AU" w:eastAsia="en-US"/>
        </w:rPr>
        <w:t>s</w:t>
      </w:r>
      <w:r w:rsidR="00DD05CA" w:rsidRPr="00584B98">
        <w:rPr>
          <w:rFonts w:ascii="Arial" w:eastAsiaTheme="minorHAnsi" w:hAnsi="Arial" w:cs="Arial"/>
          <w:color w:val="auto"/>
          <w:sz w:val="22"/>
          <w:lang w:val="en-AU" w:eastAsia="en-US"/>
        </w:rPr>
        <w:t xml:space="preserve"> wilful </w:t>
      </w:r>
      <w:r w:rsidR="00B200C0" w:rsidRPr="00584B98">
        <w:rPr>
          <w:rFonts w:ascii="Arial" w:eastAsiaTheme="minorHAnsi" w:hAnsi="Arial" w:cs="Arial"/>
          <w:color w:val="auto"/>
          <w:sz w:val="22"/>
          <w:lang w:val="en-AU" w:eastAsia="en-US"/>
        </w:rPr>
        <w:t>and/</w:t>
      </w:r>
      <w:r w:rsidR="00DD05CA" w:rsidRPr="00584B98">
        <w:rPr>
          <w:rFonts w:ascii="Arial" w:eastAsiaTheme="minorHAnsi" w:hAnsi="Arial" w:cs="Arial"/>
          <w:color w:val="auto"/>
          <w:sz w:val="22"/>
          <w:lang w:val="en-AU" w:eastAsia="en-US"/>
        </w:rPr>
        <w:t xml:space="preserve">or </w:t>
      </w:r>
      <w:r w:rsidR="00DD05CA" w:rsidRPr="00584B98">
        <w:rPr>
          <w:rFonts w:ascii="Arial" w:eastAsiaTheme="minorHAnsi" w:hAnsi="Arial" w:cs="Arial"/>
          <w:i/>
          <w:iCs/>
          <w:color w:val="auto"/>
          <w:sz w:val="22"/>
          <w:lang w:val="en-AU" w:eastAsia="en-US"/>
        </w:rPr>
        <w:t>mala fide</w:t>
      </w:r>
      <w:r w:rsidR="00CF25A3" w:rsidRPr="00584B98">
        <w:rPr>
          <w:rFonts w:ascii="Arial" w:eastAsiaTheme="minorHAnsi" w:hAnsi="Arial" w:cs="Arial"/>
          <w:color w:val="auto"/>
          <w:sz w:val="22"/>
          <w:lang w:val="en-AU" w:eastAsia="en-US"/>
        </w:rPr>
        <w:t xml:space="preserve">, beyond </w:t>
      </w:r>
      <w:r w:rsidR="00CF25A3" w:rsidRPr="00584B98">
        <w:rPr>
          <w:rFonts w:ascii="Arial" w:eastAsiaTheme="minorHAnsi" w:hAnsi="Arial" w:cs="Arial"/>
          <w:i/>
          <w:iCs/>
          <w:color w:val="auto"/>
          <w:sz w:val="22"/>
          <w:lang w:val="en-AU" w:eastAsia="en-US"/>
        </w:rPr>
        <w:t>a reasonable doubt</w:t>
      </w:r>
      <w:r w:rsidR="00CF25A3" w:rsidRPr="00584B98">
        <w:rPr>
          <w:rFonts w:ascii="Arial" w:eastAsiaTheme="minorHAnsi" w:hAnsi="Arial" w:cs="Arial"/>
          <w:color w:val="auto"/>
          <w:sz w:val="22"/>
          <w:lang w:val="en-AU" w:eastAsia="en-US"/>
        </w:rPr>
        <w:t>,</w:t>
      </w:r>
      <w:r w:rsidR="00DD05CA" w:rsidRPr="00584B98">
        <w:rPr>
          <w:rFonts w:ascii="Arial" w:eastAsiaTheme="minorHAnsi" w:hAnsi="Arial" w:cs="Arial"/>
          <w:color w:val="auto"/>
          <w:sz w:val="22"/>
          <w:lang w:val="en-AU" w:eastAsia="en-US"/>
        </w:rPr>
        <w:t xml:space="preserve"> in order to succeed with this application</w:t>
      </w:r>
      <w:r w:rsidR="00CF25A3" w:rsidRPr="00584B98">
        <w:rPr>
          <w:rFonts w:ascii="Arial" w:eastAsiaTheme="minorHAnsi" w:hAnsi="Arial" w:cs="Arial"/>
          <w:color w:val="auto"/>
          <w:sz w:val="22"/>
          <w:lang w:val="en-AU" w:eastAsia="en-US"/>
        </w:rPr>
        <w:t>.</w:t>
      </w:r>
    </w:p>
    <w:p w14:paraId="3B2BE8B6" w14:textId="62E93B11" w:rsidR="00A72B2B"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634FF3">
        <w:rPr>
          <w:rFonts w:ascii="Arial" w:eastAsiaTheme="minorHAnsi" w:hAnsi="Arial" w:cs="Arial"/>
          <w:color w:val="auto"/>
          <w:sz w:val="22"/>
          <w:lang w:val="en-AU" w:eastAsia="en-US"/>
        </w:rPr>
        <w:t>24.</w:t>
      </w:r>
      <w:r w:rsidRPr="00634FF3">
        <w:rPr>
          <w:rFonts w:ascii="Arial" w:eastAsiaTheme="minorHAnsi" w:hAnsi="Arial" w:cs="Arial"/>
          <w:color w:val="auto"/>
          <w:sz w:val="22"/>
          <w:lang w:val="en-AU" w:eastAsia="en-US"/>
        </w:rPr>
        <w:tab/>
      </w:r>
      <w:r w:rsidR="00CF25A3" w:rsidRPr="00584B98">
        <w:rPr>
          <w:rFonts w:ascii="Arial" w:eastAsiaTheme="minorHAnsi" w:hAnsi="Arial" w:cs="Arial"/>
          <w:color w:val="auto"/>
          <w:sz w:val="22"/>
          <w:lang w:val="en-AU" w:eastAsia="en-US"/>
        </w:rPr>
        <w:t xml:space="preserve">The applicant </w:t>
      </w:r>
      <w:r w:rsidR="004F0E7F" w:rsidRPr="00584B98">
        <w:rPr>
          <w:rFonts w:ascii="Arial" w:eastAsiaTheme="minorHAnsi" w:hAnsi="Arial" w:cs="Arial"/>
          <w:color w:val="auto"/>
          <w:sz w:val="22"/>
          <w:lang w:val="en-AU" w:eastAsia="en-US"/>
        </w:rPr>
        <w:t>states</w:t>
      </w:r>
      <w:r w:rsidR="00CF25A3" w:rsidRPr="00584B98">
        <w:rPr>
          <w:rFonts w:ascii="Arial" w:eastAsiaTheme="minorHAnsi" w:hAnsi="Arial" w:cs="Arial"/>
          <w:color w:val="auto"/>
          <w:sz w:val="22"/>
          <w:lang w:val="en-AU" w:eastAsia="en-US"/>
        </w:rPr>
        <w:t xml:space="preserve"> that the respondent has not complied with the </w:t>
      </w:r>
      <w:r w:rsidR="008B63B4" w:rsidRPr="00584B98">
        <w:rPr>
          <w:rFonts w:ascii="Arial" w:eastAsiaTheme="minorHAnsi" w:hAnsi="Arial" w:cs="Arial"/>
          <w:color w:val="auto"/>
          <w:sz w:val="22"/>
          <w:lang w:val="en-AU" w:eastAsia="en-US"/>
        </w:rPr>
        <w:t xml:space="preserve">court </w:t>
      </w:r>
      <w:r w:rsidR="00CF25A3" w:rsidRPr="00584B98">
        <w:rPr>
          <w:rFonts w:ascii="Arial" w:eastAsiaTheme="minorHAnsi" w:hAnsi="Arial" w:cs="Arial"/>
          <w:color w:val="auto"/>
          <w:sz w:val="22"/>
          <w:lang w:val="en-AU" w:eastAsia="en-US"/>
        </w:rPr>
        <w:t xml:space="preserve">order </w:t>
      </w:r>
      <w:r w:rsidR="008B63B4" w:rsidRPr="00584B98">
        <w:rPr>
          <w:rFonts w:ascii="Arial" w:eastAsiaTheme="minorHAnsi" w:hAnsi="Arial" w:cs="Arial"/>
          <w:color w:val="auto"/>
          <w:sz w:val="22"/>
          <w:lang w:val="en-AU" w:eastAsia="en-US"/>
        </w:rPr>
        <w:t>in that she (</w:t>
      </w:r>
      <w:proofErr w:type="spellStart"/>
      <w:r w:rsidR="008B63B4" w:rsidRPr="00584B98">
        <w:rPr>
          <w:rFonts w:ascii="Arial" w:eastAsiaTheme="minorHAnsi" w:hAnsi="Arial" w:cs="Arial"/>
          <w:color w:val="auto"/>
          <w:sz w:val="22"/>
          <w:lang w:val="en-AU" w:eastAsia="en-US"/>
        </w:rPr>
        <w:t>i</w:t>
      </w:r>
      <w:proofErr w:type="spellEnd"/>
      <w:r w:rsidR="008B63B4" w:rsidRPr="00584B98">
        <w:rPr>
          <w:rFonts w:ascii="Arial" w:eastAsiaTheme="minorHAnsi" w:hAnsi="Arial" w:cs="Arial"/>
          <w:color w:val="auto"/>
          <w:sz w:val="22"/>
          <w:lang w:val="en-AU" w:eastAsia="en-US"/>
        </w:rPr>
        <w:t xml:space="preserve">) </w:t>
      </w:r>
      <w:r w:rsidR="00AD704E" w:rsidRPr="00584B98">
        <w:rPr>
          <w:rFonts w:ascii="Arial" w:eastAsiaTheme="minorHAnsi" w:hAnsi="Arial" w:cs="Arial"/>
          <w:color w:val="auto"/>
          <w:sz w:val="22"/>
          <w:lang w:val="en-AU" w:eastAsia="en-US"/>
        </w:rPr>
        <w:t xml:space="preserve">refused to allow the applicant to have contact with the minor children on 19 June 2022, being Father’s Day; and (ii) </w:t>
      </w:r>
      <w:r w:rsidR="001726A8" w:rsidRPr="00584B98">
        <w:rPr>
          <w:rFonts w:ascii="Arial" w:eastAsiaTheme="minorHAnsi" w:hAnsi="Arial" w:cs="Arial"/>
          <w:color w:val="auto"/>
          <w:sz w:val="22"/>
          <w:lang w:val="en-AU" w:eastAsia="en-US"/>
        </w:rPr>
        <w:t>“</w:t>
      </w:r>
      <w:r w:rsidR="00AD704E" w:rsidRPr="00584B98">
        <w:rPr>
          <w:rFonts w:ascii="Arial" w:eastAsiaTheme="minorHAnsi" w:hAnsi="Arial" w:cs="Arial"/>
          <w:color w:val="auto"/>
          <w:sz w:val="22"/>
          <w:lang w:val="en-AU" w:eastAsia="en-US"/>
        </w:rPr>
        <w:t>outright refused</w:t>
      </w:r>
      <w:r w:rsidR="001726A8" w:rsidRPr="00584B98">
        <w:rPr>
          <w:rFonts w:ascii="Arial" w:eastAsiaTheme="minorHAnsi" w:hAnsi="Arial" w:cs="Arial"/>
          <w:color w:val="auto"/>
          <w:sz w:val="22"/>
          <w:lang w:val="en-AU" w:eastAsia="en-US"/>
        </w:rPr>
        <w:t>”</w:t>
      </w:r>
      <w:r w:rsidR="00AD704E" w:rsidRPr="00584B98">
        <w:rPr>
          <w:rFonts w:ascii="Arial" w:eastAsiaTheme="minorHAnsi" w:hAnsi="Arial" w:cs="Arial"/>
          <w:color w:val="auto"/>
          <w:sz w:val="22"/>
          <w:lang w:val="en-AU" w:eastAsia="en-US"/>
        </w:rPr>
        <w:t xml:space="preserve"> the applicant to share contact during the June/July 2022 long school holidays. </w:t>
      </w:r>
    </w:p>
    <w:p w14:paraId="0033C4DB" w14:textId="26BC3781" w:rsidR="008F2CCB"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25.</w:t>
      </w:r>
      <w:r>
        <w:rPr>
          <w:rFonts w:ascii="Arial" w:eastAsiaTheme="minorHAnsi" w:hAnsi="Arial" w:cs="Arial"/>
          <w:color w:val="auto"/>
          <w:sz w:val="22"/>
          <w:lang w:val="en-AU" w:eastAsia="en-US"/>
        </w:rPr>
        <w:tab/>
      </w:r>
      <w:r w:rsidR="00AD704E" w:rsidRPr="00584B98">
        <w:rPr>
          <w:rFonts w:ascii="Arial" w:eastAsiaTheme="minorHAnsi" w:hAnsi="Arial" w:cs="Arial"/>
          <w:color w:val="auto"/>
          <w:sz w:val="22"/>
          <w:lang w:val="en-AU" w:eastAsia="en-US"/>
        </w:rPr>
        <w:t xml:space="preserve">The applicant also referred to a previous incident in 2020 where the respondent did not comply with the provisions of the deed of settlement. The applicant </w:t>
      </w:r>
      <w:r w:rsidR="001726A8" w:rsidRPr="00584B98">
        <w:rPr>
          <w:rFonts w:ascii="Arial" w:eastAsiaTheme="minorHAnsi" w:hAnsi="Arial" w:cs="Arial"/>
          <w:color w:val="auto"/>
          <w:sz w:val="22"/>
          <w:lang w:val="en-AU" w:eastAsia="en-US"/>
        </w:rPr>
        <w:t xml:space="preserve">adds </w:t>
      </w:r>
      <w:r w:rsidR="00AD704E" w:rsidRPr="00584B98">
        <w:rPr>
          <w:rFonts w:ascii="Arial" w:eastAsiaTheme="minorHAnsi" w:hAnsi="Arial" w:cs="Arial"/>
          <w:color w:val="auto"/>
          <w:sz w:val="22"/>
          <w:lang w:val="en-AU" w:eastAsia="en-US"/>
        </w:rPr>
        <w:t>that he has endured many further frustrations in exercising his rights of contact since 2020</w:t>
      </w:r>
      <w:r w:rsidR="008F2CCB" w:rsidRPr="00584B98">
        <w:rPr>
          <w:rFonts w:ascii="Arial" w:eastAsiaTheme="minorHAnsi" w:hAnsi="Arial" w:cs="Arial"/>
          <w:color w:val="auto"/>
          <w:sz w:val="22"/>
          <w:lang w:val="en-AU" w:eastAsia="en-US"/>
        </w:rPr>
        <w:t xml:space="preserve">. By way of example, the applicant </w:t>
      </w:r>
      <w:r w:rsidR="001726A8" w:rsidRPr="00584B98">
        <w:rPr>
          <w:rFonts w:ascii="Arial" w:eastAsiaTheme="minorHAnsi" w:hAnsi="Arial" w:cs="Arial"/>
          <w:color w:val="auto"/>
          <w:sz w:val="22"/>
          <w:lang w:val="en-AU" w:eastAsia="en-US"/>
        </w:rPr>
        <w:t xml:space="preserve">complains </w:t>
      </w:r>
      <w:r w:rsidR="008F2CCB" w:rsidRPr="00584B98">
        <w:rPr>
          <w:rFonts w:ascii="Arial" w:eastAsiaTheme="minorHAnsi" w:hAnsi="Arial" w:cs="Arial"/>
          <w:color w:val="auto"/>
          <w:sz w:val="22"/>
          <w:lang w:val="en-AU" w:eastAsia="en-US"/>
        </w:rPr>
        <w:t xml:space="preserve">that the respondent did not allow him to collect their daughter directly from certain </w:t>
      </w:r>
      <w:r w:rsidR="008F2CCB" w:rsidRPr="00584B98">
        <w:rPr>
          <w:rFonts w:ascii="Arial" w:eastAsiaTheme="minorHAnsi" w:hAnsi="Arial" w:cs="Arial"/>
          <w:color w:val="auto"/>
          <w:sz w:val="22"/>
          <w:lang w:val="en-AU" w:eastAsia="en-US"/>
        </w:rPr>
        <w:lastRenderedPageBreak/>
        <w:t>school sports tournaments</w:t>
      </w:r>
      <w:r w:rsidR="004F0E7F" w:rsidRPr="00584B98">
        <w:rPr>
          <w:rFonts w:ascii="Arial" w:eastAsiaTheme="minorHAnsi" w:hAnsi="Arial" w:cs="Arial"/>
          <w:color w:val="auto"/>
          <w:sz w:val="22"/>
          <w:lang w:val="en-AU" w:eastAsia="en-US"/>
        </w:rPr>
        <w:t xml:space="preserve"> and</w:t>
      </w:r>
      <w:r w:rsidR="001726A8" w:rsidRPr="00584B98">
        <w:rPr>
          <w:rFonts w:ascii="Arial" w:eastAsiaTheme="minorHAnsi" w:hAnsi="Arial" w:cs="Arial"/>
          <w:color w:val="auto"/>
          <w:sz w:val="22"/>
          <w:lang w:val="en-AU" w:eastAsia="en-US"/>
        </w:rPr>
        <w:t xml:space="preserve">, moreover, </w:t>
      </w:r>
      <w:r w:rsidR="004F0E7F" w:rsidRPr="00584B98">
        <w:rPr>
          <w:rFonts w:ascii="Arial" w:eastAsiaTheme="minorHAnsi" w:hAnsi="Arial" w:cs="Arial"/>
          <w:color w:val="auto"/>
          <w:sz w:val="22"/>
          <w:lang w:val="en-AU" w:eastAsia="en-US"/>
        </w:rPr>
        <w:t xml:space="preserve">that </w:t>
      </w:r>
      <w:bookmarkStart w:id="13" w:name="_Hlk150497262"/>
      <w:r w:rsidR="004F0E7F" w:rsidRPr="00584B98">
        <w:rPr>
          <w:rFonts w:ascii="Arial" w:eastAsiaTheme="minorHAnsi" w:hAnsi="Arial" w:cs="Arial"/>
          <w:color w:val="auto"/>
          <w:sz w:val="22"/>
          <w:lang w:val="en-AU" w:eastAsia="en-US"/>
        </w:rPr>
        <w:t>the respondent only allowed him to collect the minor children at 17h00 (and not earlier) on the Friday of his weekend contact</w:t>
      </w:r>
      <w:r w:rsidR="008F2CCB" w:rsidRPr="00584B98">
        <w:rPr>
          <w:rFonts w:ascii="Arial" w:eastAsiaTheme="minorHAnsi" w:hAnsi="Arial" w:cs="Arial"/>
          <w:color w:val="auto"/>
          <w:sz w:val="22"/>
          <w:lang w:val="en-AU" w:eastAsia="en-US"/>
        </w:rPr>
        <w:t xml:space="preserve">. </w:t>
      </w:r>
    </w:p>
    <w:bookmarkEnd w:id="13"/>
    <w:p w14:paraId="6AF95C7E" w14:textId="271E16F9" w:rsidR="004275CE"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634FF3">
        <w:rPr>
          <w:rFonts w:ascii="Arial" w:eastAsiaTheme="minorHAnsi" w:hAnsi="Arial" w:cs="Arial"/>
          <w:color w:val="auto"/>
          <w:sz w:val="22"/>
          <w:lang w:val="en-AU" w:eastAsia="en-US"/>
        </w:rPr>
        <w:t>26.</w:t>
      </w:r>
      <w:r w:rsidRPr="00634FF3">
        <w:rPr>
          <w:rFonts w:ascii="Arial" w:eastAsiaTheme="minorHAnsi" w:hAnsi="Arial" w:cs="Arial"/>
          <w:color w:val="auto"/>
          <w:sz w:val="22"/>
          <w:lang w:val="en-AU" w:eastAsia="en-US"/>
        </w:rPr>
        <w:tab/>
      </w:r>
      <w:r w:rsidR="00A72B2B" w:rsidRPr="00584B98">
        <w:rPr>
          <w:rFonts w:ascii="Arial" w:eastAsiaTheme="minorHAnsi" w:hAnsi="Arial" w:cs="Arial"/>
          <w:color w:val="auto"/>
          <w:sz w:val="22"/>
          <w:lang w:val="en-AU" w:eastAsia="en-US"/>
        </w:rPr>
        <w:t>The respondent</w:t>
      </w:r>
      <w:r w:rsidR="001726A8" w:rsidRPr="00584B98">
        <w:rPr>
          <w:rFonts w:ascii="Arial" w:eastAsiaTheme="minorHAnsi" w:hAnsi="Arial" w:cs="Arial"/>
          <w:color w:val="auto"/>
          <w:sz w:val="22"/>
          <w:lang w:val="en-AU" w:eastAsia="en-US"/>
        </w:rPr>
        <w:t>’s position is</w:t>
      </w:r>
      <w:r w:rsidR="00A72B2B" w:rsidRPr="00584B98">
        <w:rPr>
          <w:rFonts w:ascii="Arial" w:eastAsiaTheme="minorHAnsi" w:hAnsi="Arial" w:cs="Arial"/>
          <w:color w:val="auto"/>
          <w:sz w:val="22"/>
          <w:lang w:val="en-AU" w:eastAsia="en-US"/>
        </w:rPr>
        <w:t xml:space="preserve"> that</w:t>
      </w:r>
      <w:r w:rsidR="00DA0144" w:rsidRPr="00584B98">
        <w:rPr>
          <w:rFonts w:ascii="Arial" w:eastAsiaTheme="minorHAnsi" w:hAnsi="Arial" w:cs="Arial"/>
          <w:color w:val="auto"/>
          <w:sz w:val="22"/>
          <w:lang w:val="en-AU" w:eastAsia="en-US"/>
        </w:rPr>
        <w:t xml:space="preserve"> the</w:t>
      </w:r>
      <w:r w:rsidR="00A72B2B" w:rsidRPr="00584B98">
        <w:rPr>
          <w:rFonts w:ascii="Arial" w:eastAsiaTheme="minorHAnsi" w:hAnsi="Arial" w:cs="Arial"/>
          <w:color w:val="auto"/>
          <w:sz w:val="22"/>
          <w:lang w:val="en-AU" w:eastAsia="en-US"/>
        </w:rPr>
        <w:t xml:space="preserve"> parties have</w:t>
      </w:r>
      <w:r w:rsidR="001726A8" w:rsidRPr="00584B98">
        <w:rPr>
          <w:rFonts w:ascii="Arial" w:eastAsiaTheme="minorHAnsi" w:hAnsi="Arial" w:cs="Arial"/>
          <w:color w:val="auto"/>
          <w:sz w:val="22"/>
          <w:lang w:val="en-AU" w:eastAsia="en-US"/>
        </w:rPr>
        <w:t xml:space="preserve"> – </w:t>
      </w:r>
      <w:r w:rsidR="00A72B2B" w:rsidRPr="00584B98">
        <w:rPr>
          <w:rFonts w:ascii="Arial" w:eastAsiaTheme="minorHAnsi" w:hAnsi="Arial" w:cs="Arial"/>
          <w:color w:val="auto"/>
          <w:sz w:val="22"/>
          <w:lang w:val="en-AU" w:eastAsia="en-US"/>
        </w:rPr>
        <w:t>since the inception of the deed of settlement, and from time to time since their divorce</w:t>
      </w:r>
      <w:r w:rsidR="001726A8" w:rsidRPr="00584B98">
        <w:rPr>
          <w:rFonts w:ascii="Arial" w:eastAsiaTheme="minorHAnsi" w:hAnsi="Arial" w:cs="Arial"/>
          <w:color w:val="auto"/>
          <w:sz w:val="22"/>
          <w:lang w:val="en-AU" w:eastAsia="en-US"/>
        </w:rPr>
        <w:t xml:space="preserve"> – </w:t>
      </w:r>
      <w:r w:rsidR="00F97169" w:rsidRPr="00584B98">
        <w:rPr>
          <w:rFonts w:ascii="Arial" w:eastAsiaTheme="minorHAnsi" w:hAnsi="Arial" w:cs="Arial"/>
          <w:color w:val="auto"/>
          <w:sz w:val="22"/>
          <w:lang w:val="en-AU" w:eastAsia="en-US"/>
        </w:rPr>
        <w:t xml:space="preserve">frequently </w:t>
      </w:r>
      <w:r w:rsidR="004275CE" w:rsidRPr="00584B98">
        <w:rPr>
          <w:rFonts w:ascii="Arial" w:eastAsiaTheme="minorHAnsi" w:hAnsi="Arial" w:cs="Arial"/>
          <w:color w:val="auto"/>
          <w:sz w:val="22"/>
          <w:lang w:val="en-AU" w:eastAsia="en-US"/>
        </w:rPr>
        <w:t xml:space="preserve">communicated, </w:t>
      </w:r>
      <w:r w:rsidR="00A72B2B" w:rsidRPr="00584B98">
        <w:rPr>
          <w:rFonts w:ascii="Arial" w:eastAsiaTheme="minorHAnsi" w:hAnsi="Arial" w:cs="Arial"/>
          <w:color w:val="auto"/>
          <w:sz w:val="22"/>
          <w:lang w:val="en-AU" w:eastAsia="en-US"/>
        </w:rPr>
        <w:t>discussed and</w:t>
      </w:r>
      <w:r w:rsidR="001726A8" w:rsidRPr="00584B98">
        <w:rPr>
          <w:rFonts w:ascii="Arial" w:eastAsiaTheme="minorHAnsi" w:hAnsi="Arial" w:cs="Arial"/>
          <w:color w:val="auto"/>
          <w:sz w:val="22"/>
          <w:lang w:val="en-AU" w:eastAsia="en-US"/>
        </w:rPr>
        <w:t xml:space="preserve"> consensually (mutually) </w:t>
      </w:r>
      <w:r w:rsidR="00A72B2B" w:rsidRPr="00584B98">
        <w:rPr>
          <w:rFonts w:ascii="Arial" w:eastAsiaTheme="minorHAnsi" w:hAnsi="Arial" w:cs="Arial"/>
          <w:color w:val="auto"/>
          <w:sz w:val="22"/>
          <w:lang w:val="en-AU" w:eastAsia="en-US"/>
        </w:rPr>
        <w:t xml:space="preserve">agreed to amend and/or vary the contact arrangements with the minor children, </w:t>
      </w:r>
      <w:r w:rsidR="009B7CCF" w:rsidRPr="00584B98">
        <w:rPr>
          <w:rFonts w:ascii="Arial" w:eastAsiaTheme="minorHAnsi" w:hAnsi="Arial" w:cs="Arial"/>
          <w:color w:val="auto"/>
          <w:sz w:val="22"/>
          <w:lang w:val="en-AU" w:eastAsia="en-US"/>
        </w:rPr>
        <w:t xml:space="preserve">including </w:t>
      </w:r>
      <w:proofErr w:type="spellStart"/>
      <w:r w:rsidR="009B7CCF" w:rsidRPr="00584B98">
        <w:rPr>
          <w:rFonts w:ascii="Arial" w:eastAsiaTheme="minorHAnsi" w:hAnsi="Arial" w:cs="Arial"/>
          <w:color w:val="auto"/>
          <w:sz w:val="22"/>
          <w:lang w:val="en-AU" w:eastAsia="en-US"/>
        </w:rPr>
        <w:t>e</w:t>
      </w:r>
      <w:r w:rsidR="00A72B2B" w:rsidRPr="00584B98">
        <w:rPr>
          <w:rFonts w:ascii="Arial" w:eastAsiaTheme="minorHAnsi" w:hAnsi="Arial" w:cs="Arial"/>
          <w:color w:val="auto"/>
          <w:sz w:val="22"/>
          <w:lang w:val="en-AU" w:eastAsia="en-US"/>
        </w:rPr>
        <w:t>in</w:t>
      </w:r>
      <w:proofErr w:type="spellEnd"/>
      <w:r w:rsidR="00A72B2B" w:rsidRPr="00584B98">
        <w:rPr>
          <w:rFonts w:ascii="Arial" w:eastAsiaTheme="minorHAnsi" w:hAnsi="Arial" w:cs="Arial"/>
          <w:color w:val="auto"/>
          <w:sz w:val="22"/>
          <w:lang w:val="en-AU" w:eastAsia="en-US"/>
        </w:rPr>
        <w:t xml:space="preserve"> relation to the holiday contact.</w:t>
      </w:r>
      <w:r w:rsidR="00F97169" w:rsidRPr="00584B98">
        <w:rPr>
          <w:rFonts w:ascii="Arial" w:eastAsiaTheme="minorHAnsi" w:hAnsi="Arial" w:cs="Arial"/>
          <w:color w:val="auto"/>
          <w:sz w:val="22"/>
          <w:lang w:val="en-AU" w:eastAsia="en-US"/>
        </w:rPr>
        <w:t xml:space="preserve"> These</w:t>
      </w:r>
      <w:r w:rsidR="001726A8" w:rsidRPr="00584B98">
        <w:rPr>
          <w:rFonts w:ascii="Arial" w:eastAsiaTheme="minorHAnsi" w:hAnsi="Arial" w:cs="Arial"/>
          <w:color w:val="auto"/>
          <w:sz w:val="22"/>
          <w:lang w:val="en-AU" w:eastAsia="en-US"/>
        </w:rPr>
        <w:t xml:space="preserve"> consensual </w:t>
      </w:r>
      <w:r w:rsidR="00F97169" w:rsidRPr="00584B98">
        <w:rPr>
          <w:rFonts w:ascii="Arial" w:eastAsiaTheme="minorHAnsi" w:hAnsi="Arial" w:cs="Arial"/>
          <w:color w:val="auto"/>
          <w:sz w:val="22"/>
          <w:lang w:val="en-AU" w:eastAsia="en-US"/>
        </w:rPr>
        <w:t xml:space="preserve">variations no doubt </w:t>
      </w:r>
      <w:r w:rsidR="001726A8" w:rsidRPr="00584B98">
        <w:rPr>
          <w:rFonts w:ascii="Arial" w:eastAsiaTheme="minorHAnsi" w:hAnsi="Arial" w:cs="Arial"/>
          <w:color w:val="auto"/>
          <w:sz w:val="22"/>
          <w:lang w:val="en-AU" w:eastAsia="en-US"/>
        </w:rPr>
        <w:t xml:space="preserve">took place </w:t>
      </w:r>
      <w:r w:rsidR="00F97169" w:rsidRPr="00584B98">
        <w:rPr>
          <w:rFonts w:ascii="Arial" w:eastAsiaTheme="minorHAnsi" w:hAnsi="Arial" w:cs="Arial"/>
          <w:color w:val="auto"/>
          <w:sz w:val="22"/>
          <w:lang w:val="en-AU" w:eastAsia="en-US"/>
        </w:rPr>
        <w:t>within the context of clause 3.4 and 3.5 of the deed of settlement</w:t>
      </w:r>
      <w:r w:rsidR="001726A8" w:rsidRPr="00584B98">
        <w:rPr>
          <w:rFonts w:ascii="Arial" w:eastAsiaTheme="minorHAnsi" w:hAnsi="Arial" w:cs="Arial"/>
          <w:color w:val="auto"/>
          <w:sz w:val="22"/>
          <w:lang w:val="en-AU" w:eastAsia="en-US"/>
        </w:rPr>
        <w:t>; being</w:t>
      </w:r>
      <w:r w:rsidR="00F97169" w:rsidRPr="00584B98">
        <w:rPr>
          <w:rFonts w:ascii="Arial" w:eastAsiaTheme="minorHAnsi" w:hAnsi="Arial" w:cs="Arial"/>
          <w:color w:val="auto"/>
          <w:sz w:val="22"/>
          <w:lang w:val="en-AU" w:eastAsia="en-US"/>
        </w:rPr>
        <w:t xml:space="preserve"> “</w:t>
      </w:r>
      <w:r w:rsidR="00F97169" w:rsidRPr="00584B98">
        <w:rPr>
          <w:rFonts w:ascii="Arial" w:eastAsiaTheme="minorHAnsi" w:hAnsi="Arial" w:cs="Arial"/>
          <w:i/>
          <w:iCs/>
          <w:color w:val="auto"/>
          <w:sz w:val="22"/>
          <w:lang w:val="en-AU" w:eastAsia="en-US"/>
        </w:rPr>
        <w:t>or as otherwise agreed between the parties</w:t>
      </w:r>
      <w:r w:rsidR="00F97169" w:rsidRPr="00584B98">
        <w:rPr>
          <w:rFonts w:ascii="Arial" w:eastAsiaTheme="minorHAnsi" w:hAnsi="Arial" w:cs="Arial"/>
          <w:color w:val="auto"/>
          <w:sz w:val="22"/>
          <w:lang w:val="en-AU" w:eastAsia="en-US"/>
        </w:rPr>
        <w:t>”.</w:t>
      </w:r>
    </w:p>
    <w:p w14:paraId="301A44F5" w14:textId="46C953B2" w:rsidR="004F0E7F"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27.</w:t>
      </w:r>
      <w:r>
        <w:rPr>
          <w:rFonts w:ascii="Arial" w:eastAsiaTheme="minorHAnsi" w:hAnsi="Arial" w:cs="Arial"/>
          <w:color w:val="auto"/>
          <w:sz w:val="22"/>
          <w:lang w:val="en-AU" w:eastAsia="en-US"/>
        </w:rPr>
        <w:tab/>
      </w:r>
      <w:r w:rsidR="00A72B2B" w:rsidRPr="00584B98">
        <w:rPr>
          <w:rFonts w:ascii="Arial" w:eastAsiaTheme="minorHAnsi" w:hAnsi="Arial" w:cs="Arial"/>
          <w:color w:val="auto"/>
          <w:sz w:val="22"/>
          <w:lang w:val="en-AU" w:eastAsia="en-US"/>
        </w:rPr>
        <w:t xml:space="preserve">The correspondence attached </w:t>
      </w:r>
      <w:r w:rsidR="001726A8" w:rsidRPr="00584B98">
        <w:rPr>
          <w:rFonts w:ascii="Arial" w:eastAsiaTheme="minorHAnsi" w:hAnsi="Arial" w:cs="Arial"/>
          <w:color w:val="auto"/>
          <w:sz w:val="22"/>
          <w:lang w:val="en-AU" w:eastAsia="en-US"/>
        </w:rPr>
        <w:t xml:space="preserve">to </w:t>
      </w:r>
      <w:r w:rsidR="00A72B2B" w:rsidRPr="00584B98">
        <w:rPr>
          <w:rFonts w:ascii="Arial" w:eastAsiaTheme="minorHAnsi" w:hAnsi="Arial" w:cs="Arial"/>
          <w:color w:val="auto"/>
          <w:sz w:val="22"/>
          <w:lang w:val="en-AU" w:eastAsia="en-US"/>
        </w:rPr>
        <w:t xml:space="preserve">the affidavits in this </w:t>
      </w:r>
      <w:r w:rsidR="004275CE" w:rsidRPr="00584B98">
        <w:rPr>
          <w:rFonts w:ascii="Arial" w:eastAsiaTheme="minorHAnsi" w:hAnsi="Arial" w:cs="Arial"/>
          <w:color w:val="auto"/>
          <w:sz w:val="22"/>
          <w:lang w:val="en-AU" w:eastAsia="en-US"/>
        </w:rPr>
        <w:t xml:space="preserve">application </w:t>
      </w:r>
      <w:r w:rsidR="00A72B2B" w:rsidRPr="00584B98">
        <w:rPr>
          <w:rFonts w:ascii="Arial" w:eastAsiaTheme="minorHAnsi" w:hAnsi="Arial" w:cs="Arial"/>
          <w:color w:val="auto"/>
          <w:sz w:val="22"/>
          <w:lang w:val="en-AU" w:eastAsia="en-US"/>
        </w:rPr>
        <w:t>evidence that the parties have</w:t>
      </w:r>
      <w:r w:rsidR="004275CE" w:rsidRPr="00584B98">
        <w:rPr>
          <w:rFonts w:ascii="Arial" w:eastAsiaTheme="minorHAnsi" w:hAnsi="Arial" w:cs="Arial"/>
          <w:color w:val="auto"/>
          <w:sz w:val="22"/>
          <w:lang w:val="en-AU" w:eastAsia="en-US"/>
        </w:rPr>
        <w:t xml:space="preserve"> indeed</w:t>
      </w:r>
      <w:r w:rsidR="00A72B2B" w:rsidRPr="00584B98">
        <w:rPr>
          <w:rFonts w:ascii="Arial" w:eastAsiaTheme="minorHAnsi" w:hAnsi="Arial" w:cs="Arial"/>
          <w:color w:val="auto"/>
          <w:sz w:val="22"/>
          <w:lang w:val="en-AU" w:eastAsia="en-US"/>
        </w:rPr>
        <w:t xml:space="preserve">, from time to time, previously </w:t>
      </w:r>
      <w:r w:rsidR="001726A8" w:rsidRPr="00584B98">
        <w:rPr>
          <w:rFonts w:ascii="Arial" w:eastAsiaTheme="minorHAnsi" w:hAnsi="Arial" w:cs="Arial"/>
          <w:color w:val="auto"/>
          <w:sz w:val="22"/>
          <w:lang w:val="en-AU" w:eastAsia="en-US"/>
        </w:rPr>
        <w:t xml:space="preserve">consensually and personally </w:t>
      </w:r>
      <w:r w:rsidR="00A72B2B" w:rsidRPr="00584B98">
        <w:rPr>
          <w:rFonts w:ascii="Arial" w:eastAsiaTheme="minorHAnsi" w:hAnsi="Arial" w:cs="Arial"/>
          <w:color w:val="auto"/>
          <w:sz w:val="22"/>
          <w:lang w:val="en-AU" w:eastAsia="en-US"/>
        </w:rPr>
        <w:t xml:space="preserve">made arrangements regarding the </w:t>
      </w:r>
      <w:r w:rsidR="004275CE" w:rsidRPr="00584B98">
        <w:rPr>
          <w:rFonts w:ascii="Arial" w:eastAsiaTheme="minorHAnsi" w:hAnsi="Arial" w:cs="Arial"/>
          <w:color w:val="auto"/>
          <w:sz w:val="22"/>
          <w:lang w:val="en-AU" w:eastAsia="en-US"/>
        </w:rPr>
        <w:t>contact with the minor children</w:t>
      </w:r>
      <w:r w:rsidR="001726A8" w:rsidRPr="00584B98">
        <w:rPr>
          <w:rFonts w:ascii="Arial" w:eastAsiaTheme="minorHAnsi" w:hAnsi="Arial" w:cs="Arial"/>
          <w:color w:val="auto"/>
          <w:sz w:val="22"/>
          <w:lang w:val="en-AU" w:eastAsia="en-US"/>
        </w:rPr>
        <w:t>; in so doing, they consensually, as they were entitled to do in terms of</w:t>
      </w:r>
      <w:r w:rsidR="00661292" w:rsidRPr="00584B98">
        <w:rPr>
          <w:rFonts w:ascii="Arial" w:eastAsiaTheme="minorHAnsi" w:hAnsi="Arial" w:cs="Arial"/>
          <w:color w:val="auto"/>
          <w:sz w:val="22"/>
          <w:lang w:val="en-AU" w:eastAsia="en-US"/>
        </w:rPr>
        <w:t xml:space="preserve"> the said</w:t>
      </w:r>
      <w:r w:rsidR="001726A8" w:rsidRPr="00584B98">
        <w:rPr>
          <w:rFonts w:ascii="Arial" w:eastAsiaTheme="minorHAnsi" w:hAnsi="Arial" w:cs="Arial"/>
          <w:color w:val="auto"/>
          <w:sz w:val="22"/>
          <w:lang w:val="en-AU" w:eastAsia="en-US"/>
        </w:rPr>
        <w:t xml:space="preserve"> clause</w:t>
      </w:r>
      <w:r w:rsidR="00661292" w:rsidRPr="00584B98">
        <w:rPr>
          <w:rFonts w:ascii="Arial" w:eastAsiaTheme="minorHAnsi" w:hAnsi="Arial" w:cs="Arial"/>
          <w:color w:val="auto"/>
          <w:sz w:val="22"/>
          <w:lang w:val="en-AU" w:eastAsia="en-US"/>
        </w:rPr>
        <w:t>s</w:t>
      </w:r>
      <w:r w:rsidR="001726A8" w:rsidRPr="00584B98">
        <w:rPr>
          <w:rFonts w:ascii="Arial" w:eastAsiaTheme="minorHAnsi" w:hAnsi="Arial" w:cs="Arial"/>
          <w:color w:val="auto"/>
          <w:sz w:val="22"/>
          <w:lang w:val="en-AU" w:eastAsia="en-US"/>
        </w:rPr>
        <w:t xml:space="preserve"> 3.4 and 3.5, </w:t>
      </w:r>
      <w:r w:rsidR="000E3F1D" w:rsidRPr="00584B98">
        <w:rPr>
          <w:rFonts w:ascii="Arial" w:eastAsiaTheme="minorHAnsi" w:hAnsi="Arial" w:cs="Arial"/>
          <w:color w:val="auto"/>
          <w:sz w:val="22"/>
          <w:lang w:val="en-AU" w:eastAsia="en-US"/>
        </w:rPr>
        <w:t>deviated from the strict terms of the deed of settlement</w:t>
      </w:r>
      <w:r w:rsidR="004275CE" w:rsidRPr="00584B98">
        <w:rPr>
          <w:rFonts w:ascii="Arial" w:eastAsiaTheme="minorHAnsi" w:hAnsi="Arial" w:cs="Arial"/>
          <w:color w:val="auto"/>
          <w:sz w:val="22"/>
          <w:lang w:val="en-AU" w:eastAsia="en-US"/>
        </w:rPr>
        <w:t>, and particularly the holiday contact.</w:t>
      </w:r>
      <w:r w:rsidR="00177EDD" w:rsidRPr="00584B98">
        <w:rPr>
          <w:rFonts w:ascii="Arial" w:eastAsiaTheme="minorHAnsi" w:hAnsi="Arial" w:cs="Arial"/>
          <w:color w:val="auto"/>
          <w:sz w:val="22"/>
          <w:lang w:val="en-AU" w:eastAsia="en-US"/>
        </w:rPr>
        <w:t xml:space="preserve"> </w:t>
      </w:r>
    </w:p>
    <w:p w14:paraId="062A47ED" w14:textId="136E5560" w:rsidR="00AD704E"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28.</w:t>
      </w:r>
      <w:r>
        <w:rPr>
          <w:rFonts w:ascii="Arial" w:eastAsiaTheme="minorHAnsi" w:hAnsi="Arial" w:cs="Arial"/>
          <w:color w:val="auto"/>
          <w:sz w:val="22"/>
          <w:lang w:val="en-AU" w:eastAsia="en-US"/>
        </w:rPr>
        <w:tab/>
      </w:r>
      <w:r w:rsidR="00177EDD" w:rsidRPr="00584B98">
        <w:rPr>
          <w:rFonts w:ascii="Arial" w:eastAsiaTheme="minorHAnsi" w:hAnsi="Arial" w:cs="Arial"/>
          <w:color w:val="auto"/>
          <w:sz w:val="22"/>
          <w:lang w:val="en-AU" w:eastAsia="en-US"/>
        </w:rPr>
        <w:t>The applicant himself concedes that the parties, at times, mutually agreed to deviate from the provisions of the deed of settlement.</w:t>
      </w:r>
    </w:p>
    <w:p w14:paraId="1EE6AB6F" w14:textId="5CE42403" w:rsidR="00284CC8"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29.</w:t>
      </w:r>
      <w:r>
        <w:rPr>
          <w:rFonts w:ascii="Arial" w:eastAsiaTheme="minorHAnsi" w:hAnsi="Arial" w:cs="Arial"/>
          <w:color w:val="auto"/>
          <w:sz w:val="22"/>
          <w:lang w:val="en-AU" w:eastAsia="en-US"/>
        </w:rPr>
        <w:tab/>
      </w:r>
      <w:r w:rsidR="008F2CCB" w:rsidRPr="00584B98">
        <w:rPr>
          <w:rFonts w:ascii="Arial" w:eastAsiaTheme="minorHAnsi" w:hAnsi="Arial" w:cs="Arial"/>
          <w:color w:val="auto"/>
          <w:sz w:val="22"/>
          <w:lang w:val="en-AU" w:eastAsia="en-US"/>
        </w:rPr>
        <w:t>I</w:t>
      </w:r>
      <w:r w:rsidR="00661292" w:rsidRPr="00584B98">
        <w:rPr>
          <w:rFonts w:ascii="Arial" w:eastAsiaTheme="minorHAnsi" w:hAnsi="Arial" w:cs="Arial"/>
          <w:color w:val="auto"/>
          <w:sz w:val="22"/>
          <w:lang w:val="en-AU" w:eastAsia="en-US"/>
        </w:rPr>
        <w:t xml:space="preserve"> pause to </w:t>
      </w:r>
      <w:r w:rsidR="008F2CCB" w:rsidRPr="00584B98">
        <w:rPr>
          <w:rFonts w:ascii="Arial" w:eastAsiaTheme="minorHAnsi" w:hAnsi="Arial" w:cs="Arial"/>
          <w:color w:val="auto"/>
          <w:sz w:val="22"/>
          <w:lang w:val="en-AU" w:eastAsia="en-US"/>
        </w:rPr>
        <w:t>mention that prior to the respondent and the minor children relocating to Potchefstroom, the parties</w:t>
      </w:r>
      <w:r w:rsidR="00661292" w:rsidRPr="00584B98">
        <w:rPr>
          <w:rFonts w:ascii="Arial" w:eastAsiaTheme="minorHAnsi" w:hAnsi="Arial" w:cs="Arial"/>
          <w:color w:val="auto"/>
          <w:sz w:val="22"/>
          <w:lang w:val="en-AU" w:eastAsia="en-US"/>
        </w:rPr>
        <w:t xml:space="preserve"> had amongst themselves</w:t>
      </w:r>
      <w:r w:rsidR="008F2CCB" w:rsidRPr="00584B98">
        <w:rPr>
          <w:rFonts w:ascii="Arial" w:eastAsiaTheme="minorHAnsi" w:hAnsi="Arial" w:cs="Arial"/>
          <w:color w:val="auto"/>
          <w:sz w:val="22"/>
          <w:lang w:val="en-AU" w:eastAsia="en-US"/>
        </w:rPr>
        <w:t xml:space="preserve"> agreed that the applicant would exercise Wednesday contact with the minor children (after school)</w:t>
      </w:r>
      <w:r w:rsidR="00661292" w:rsidRPr="00584B98">
        <w:rPr>
          <w:rFonts w:ascii="Arial" w:eastAsiaTheme="minorHAnsi" w:hAnsi="Arial" w:cs="Arial"/>
          <w:color w:val="auto"/>
          <w:sz w:val="22"/>
          <w:lang w:val="en-AU" w:eastAsia="en-US"/>
        </w:rPr>
        <w:t>; notwithstanding that the deed of settlement did not provide for Wednesday contact</w:t>
      </w:r>
      <w:r w:rsidR="008F2CCB" w:rsidRPr="00584B98">
        <w:rPr>
          <w:rFonts w:ascii="Arial" w:eastAsiaTheme="minorHAnsi" w:hAnsi="Arial" w:cs="Arial"/>
          <w:color w:val="auto"/>
          <w:sz w:val="22"/>
          <w:lang w:val="en-AU" w:eastAsia="en-US"/>
        </w:rPr>
        <w:t xml:space="preserve">. </w:t>
      </w:r>
    </w:p>
    <w:p w14:paraId="557B24CD" w14:textId="41B520FE" w:rsidR="008F2CCB"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30.</w:t>
      </w:r>
      <w:r>
        <w:rPr>
          <w:rFonts w:ascii="Arial" w:eastAsiaTheme="minorHAnsi" w:hAnsi="Arial" w:cs="Arial"/>
          <w:color w:val="auto"/>
          <w:sz w:val="22"/>
          <w:lang w:val="en-AU" w:eastAsia="en-US"/>
        </w:rPr>
        <w:tab/>
      </w:r>
      <w:r w:rsidR="00284CC8" w:rsidRPr="00584B98">
        <w:rPr>
          <w:rFonts w:ascii="Arial" w:eastAsiaTheme="minorHAnsi" w:hAnsi="Arial" w:cs="Arial"/>
          <w:color w:val="auto"/>
          <w:sz w:val="22"/>
          <w:lang w:val="en-AU" w:eastAsia="en-US"/>
        </w:rPr>
        <w:t xml:space="preserve">The Wednesday contact arrangement is contrary to the </w:t>
      </w:r>
      <w:r w:rsidR="009B7CCF" w:rsidRPr="00584B98">
        <w:rPr>
          <w:rFonts w:ascii="Arial" w:eastAsiaTheme="minorHAnsi" w:hAnsi="Arial" w:cs="Arial"/>
          <w:color w:val="auto"/>
          <w:sz w:val="22"/>
          <w:lang w:val="en-AU" w:eastAsia="en-US"/>
        </w:rPr>
        <w:t xml:space="preserve">express </w:t>
      </w:r>
      <w:r w:rsidR="00284CC8" w:rsidRPr="00584B98">
        <w:rPr>
          <w:rFonts w:ascii="Arial" w:eastAsiaTheme="minorHAnsi" w:hAnsi="Arial" w:cs="Arial"/>
          <w:color w:val="auto"/>
          <w:sz w:val="22"/>
          <w:lang w:val="en-AU" w:eastAsia="en-US"/>
        </w:rPr>
        <w:t xml:space="preserve">provisions of the deed of settlement, albeit the </w:t>
      </w:r>
      <w:r w:rsidR="00661292" w:rsidRPr="00584B98">
        <w:rPr>
          <w:rFonts w:ascii="Arial" w:eastAsiaTheme="minorHAnsi" w:hAnsi="Arial" w:cs="Arial"/>
          <w:color w:val="auto"/>
          <w:sz w:val="22"/>
          <w:lang w:val="en-AU" w:eastAsia="en-US"/>
        </w:rPr>
        <w:t xml:space="preserve">parties’ </w:t>
      </w:r>
      <w:r w:rsidR="00284CC8" w:rsidRPr="00584B98">
        <w:rPr>
          <w:rFonts w:ascii="Arial" w:eastAsiaTheme="minorHAnsi" w:hAnsi="Arial" w:cs="Arial"/>
          <w:color w:val="auto"/>
          <w:sz w:val="22"/>
          <w:lang w:val="en-AU" w:eastAsia="en-US"/>
        </w:rPr>
        <w:t>arrangement favoured the applicant</w:t>
      </w:r>
      <w:r w:rsidR="00661292" w:rsidRPr="00584B98">
        <w:rPr>
          <w:rFonts w:ascii="Arial" w:eastAsiaTheme="minorHAnsi" w:hAnsi="Arial" w:cs="Arial"/>
          <w:color w:val="auto"/>
          <w:sz w:val="22"/>
          <w:lang w:val="en-AU" w:eastAsia="en-US"/>
        </w:rPr>
        <w:t xml:space="preserve">. </w:t>
      </w:r>
      <w:r w:rsidR="008F2CCB" w:rsidRPr="00584B98">
        <w:rPr>
          <w:rFonts w:ascii="Arial" w:eastAsiaTheme="minorHAnsi" w:hAnsi="Arial" w:cs="Arial"/>
          <w:color w:val="auto"/>
          <w:sz w:val="22"/>
          <w:lang w:val="en-AU" w:eastAsia="en-US"/>
        </w:rPr>
        <w:t xml:space="preserve">This </w:t>
      </w:r>
      <w:r w:rsidR="00661292" w:rsidRPr="00584B98">
        <w:rPr>
          <w:rFonts w:ascii="Arial" w:eastAsiaTheme="minorHAnsi" w:hAnsi="Arial" w:cs="Arial"/>
          <w:color w:val="auto"/>
          <w:sz w:val="22"/>
          <w:lang w:val="en-AU" w:eastAsia="en-US"/>
        </w:rPr>
        <w:t>consensually agree</w:t>
      </w:r>
      <w:r w:rsidR="009B7CCF" w:rsidRPr="00584B98">
        <w:rPr>
          <w:rFonts w:ascii="Arial" w:eastAsiaTheme="minorHAnsi" w:hAnsi="Arial" w:cs="Arial"/>
          <w:color w:val="auto"/>
          <w:sz w:val="22"/>
          <w:lang w:val="en-AU" w:eastAsia="en-US"/>
        </w:rPr>
        <w:t>d</w:t>
      </w:r>
      <w:r w:rsidR="00661292" w:rsidRPr="00584B98">
        <w:rPr>
          <w:rFonts w:ascii="Arial" w:eastAsiaTheme="minorHAnsi" w:hAnsi="Arial" w:cs="Arial"/>
          <w:color w:val="auto"/>
          <w:sz w:val="22"/>
          <w:lang w:val="en-AU" w:eastAsia="en-US"/>
        </w:rPr>
        <w:t xml:space="preserve"> upon </w:t>
      </w:r>
      <w:r w:rsidR="008F2CCB" w:rsidRPr="00584B98">
        <w:rPr>
          <w:rFonts w:ascii="Arial" w:eastAsiaTheme="minorHAnsi" w:hAnsi="Arial" w:cs="Arial"/>
          <w:color w:val="auto"/>
          <w:sz w:val="22"/>
          <w:lang w:val="en-AU" w:eastAsia="en-US"/>
        </w:rPr>
        <w:t xml:space="preserve">Wednesday contact </w:t>
      </w:r>
      <w:r w:rsidR="00661292" w:rsidRPr="00584B98">
        <w:rPr>
          <w:rFonts w:ascii="Arial" w:eastAsiaTheme="minorHAnsi" w:hAnsi="Arial" w:cs="Arial"/>
          <w:color w:val="auto"/>
          <w:sz w:val="22"/>
          <w:lang w:val="en-AU" w:eastAsia="en-US"/>
        </w:rPr>
        <w:t xml:space="preserve">fell </w:t>
      </w:r>
      <w:r w:rsidR="008F2CCB" w:rsidRPr="00584B98">
        <w:rPr>
          <w:rFonts w:ascii="Arial" w:eastAsiaTheme="minorHAnsi" w:hAnsi="Arial" w:cs="Arial"/>
          <w:color w:val="auto"/>
          <w:sz w:val="22"/>
          <w:lang w:val="en-AU" w:eastAsia="en-US"/>
        </w:rPr>
        <w:t>away once the respondent and the minor children relocated to Potchefstroom.</w:t>
      </w:r>
    </w:p>
    <w:p w14:paraId="5C307A89" w14:textId="101C5471" w:rsidR="00661292" w:rsidRPr="00584B98" w:rsidRDefault="00584B98" w:rsidP="00584B98">
      <w:pPr>
        <w:keepNext/>
        <w:spacing w:after="360" w:line="480" w:lineRule="auto"/>
        <w:ind w:left="425" w:right="-153" w:hanging="425"/>
        <w:rPr>
          <w:rFonts w:ascii="Arial" w:eastAsiaTheme="minorHAnsi" w:hAnsi="Arial" w:cs="Arial"/>
          <w:color w:val="auto"/>
          <w:sz w:val="22"/>
          <w:u w:val="single"/>
          <w:lang w:val="en-AU" w:eastAsia="en-US"/>
        </w:rPr>
      </w:pPr>
      <w:r w:rsidRPr="00661292">
        <w:rPr>
          <w:rFonts w:ascii="Arial" w:eastAsiaTheme="minorHAnsi" w:hAnsi="Arial" w:cs="Arial"/>
          <w:color w:val="auto"/>
          <w:sz w:val="22"/>
          <w:lang w:val="en-AU" w:eastAsia="en-US"/>
        </w:rPr>
        <w:lastRenderedPageBreak/>
        <w:t>(d)</w:t>
      </w:r>
      <w:r w:rsidRPr="00661292">
        <w:rPr>
          <w:rFonts w:ascii="Arial" w:eastAsiaTheme="minorHAnsi" w:hAnsi="Arial" w:cs="Arial"/>
          <w:color w:val="auto"/>
          <w:sz w:val="22"/>
          <w:lang w:val="en-AU" w:eastAsia="en-US"/>
        </w:rPr>
        <w:tab/>
      </w:r>
      <w:r w:rsidR="00661292" w:rsidRPr="00584B98">
        <w:rPr>
          <w:rFonts w:ascii="Arial" w:eastAsiaTheme="minorHAnsi" w:hAnsi="Arial" w:cs="Arial"/>
          <w:color w:val="auto"/>
          <w:sz w:val="22"/>
          <w:u w:val="single"/>
          <w:lang w:val="en-AU" w:eastAsia="en-US"/>
        </w:rPr>
        <w:t>The facts which precipitate these proceedings</w:t>
      </w:r>
    </w:p>
    <w:p w14:paraId="3028AB53" w14:textId="76B925E6" w:rsidR="00DA0144" w:rsidRPr="00584B98" w:rsidRDefault="00584B98" w:rsidP="00584B98">
      <w:pPr>
        <w:keepNext/>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31.</w:t>
      </w:r>
      <w:r>
        <w:rPr>
          <w:rFonts w:ascii="Arial" w:eastAsiaTheme="minorHAnsi" w:hAnsi="Arial" w:cs="Arial"/>
          <w:color w:val="auto"/>
          <w:sz w:val="22"/>
          <w:lang w:val="en-AU" w:eastAsia="en-US"/>
        </w:rPr>
        <w:tab/>
      </w:r>
      <w:r w:rsidR="004275CE" w:rsidRPr="00584B98">
        <w:rPr>
          <w:rFonts w:ascii="Arial" w:eastAsiaTheme="minorHAnsi" w:hAnsi="Arial" w:cs="Arial"/>
          <w:color w:val="auto"/>
          <w:sz w:val="22"/>
          <w:lang w:val="en-AU" w:eastAsia="en-US"/>
        </w:rPr>
        <w:t xml:space="preserve">In 2022, the parties agreed that the applicant would exercise contact with the minor children during both short </w:t>
      </w:r>
      <w:r w:rsidR="00F97169" w:rsidRPr="00584B98">
        <w:rPr>
          <w:rFonts w:ascii="Arial" w:eastAsiaTheme="minorHAnsi" w:hAnsi="Arial" w:cs="Arial"/>
          <w:color w:val="auto"/>
          <w:sz w:val="22"/>
          <w:lang w:val="en-AU" w:eastAsia="en-US"/>
        </w:rPr>
        <w:t xml:space="preserve">school </w:t>
      </w:r>
      <w:r w:rsidR="004275CE" w:rsidRPr="00584B98">
        <w:rPr>
          <w:rFonts w:ascii="Arial" w:eastAsiaTheme="minorHAnsi" w:hAnsi="Arial" w:cs="Arial"/>
          <w:color w:val="auto"/>
          <w:sz w:val="22"/>
          <w:lang w:val="en-AU" w:eastAsia="en-US"/>
        </w:rPr>
        <w:t>holidays (i.e., the April 2022 and September 2022 holidays)</w:t>
      </w:r>
      <w:r w:rsidR="00F97169" w:rsidRPr="00584B98">
        <w:rPr>
          <w:rFonts w:ascii="Arial" w:eastAsiaTheme="minorHAnsi" w:hAnsi="Arial" w:cs="Arial"/>
          <w:color w:val="auto"/>
          <w:sz w:val="22"/>
          <w:lang w:val="en-AU" w:eastAsia="en-US"/>
        </w:rPr>
        <w:t>. The applicant</w:t>
      </w:r>
      <w:r w:rsidR="000E3F1D" w:rsidRPr="00584B98">
        <w:rPr>
          <w:rFonts w:ascii="Arial" w:eastAsiaTheme="minorHAnsi" w:hAnsi="Arial" w:cs="Arial"/>
          <w:color w:val="auto"/>
          <w:sz w:val="22"/>
          <w:lang w:val="en-AU" w:eastAsia="en-US"/>
        </w:rPr>
        <w:t xml:space="preserve"> </w:t>
      </w:r>
      <w:r w:rsidR="00F97169" w:rsidRPr="00584B98">
        <w:rPr>
          <w:rFonts w:ascii="Arial" w:eastAsiaTheme="minorHAnsi" w:hAnsi="Arial" w:cs="Arial"/>
          <w:color w:val="auto"/>
          <w:sz w:val="22"/>
          <w:lang w:val="en-AU" w:eastAsia="en-US"/>
        </w:rPr>
        <w:t xml:space="preserve">did in </w:t>
      </w:r>
      <w:r w:rsidR="000E3F1D" w:rsidRPr="00584B98">
        <w:rPr>
          <w:rFonts w:ascii="Arial" w:eastAsiaTheme="minorHAnsi" w:hAnsi="Arial" w:cs="Arial"/>
          <w:color w:val="auto"/>
          <w:sz w:val="22"/>
          <w:lang w:val="en-AU" w:eastAsia="en-US"/>
        </w:rPr>
        <w:t xml:space="preserve">fact exercise </w:t>
      </w:r>
      <w:r w:rsidR="00284CC8" w:rsidRPr="00584B98">
        <w:rPr>
          <w:rFonts w:ascii="Arial" w:eastAsiaTheme="minorHAnsi" w:hAnsi="Arial" w:cs="Arial"/>
          <w:color w:val="auto"/>
          <w:sz w:val="22"/>
          <w:lang w:val="en-AU" w:eastAsia="en-US"/>
        </w:rPr>
        <w:t xml:space="preserve">the holiday </w:t>
      </w:r>
      <w:r w:rsidR="000E3F1D" w:rsidRPr="00584B98">
        <w:rPr>
          <w:rFonts w:ascii="Arial" w:eastAsiaTheme="minorHAnsi" w:hAnsi="Arial" w:cs="Arial"/>
          <w:color w:val="auto"/>
          <w:sz w:val="22"/>
          <w:lang w:val="en-AU" w:eastAsia="en-US"/>
        </w:rPr>
        <w:t xml:space="preserve">contact </w:t>
      </w:r>
      <w:r w:rsidR="00D675B2" w:rsidRPr="00584B98">
        <w:rPr>
          <w:rFonts w:ascii="Arial" w:eastAsiaTheme="minorHAnsi" w:hAnsi="Arial" w:cs="Arial"/>
          <w:color w:val="auto"/>
          <w:sz w:val="22"/>
          <w:lang w:val="en-AU" w:eastAsia="en-US"/>
        </w:rPr>
        <w:t xml:space="preserve">with the minor children </w:t>
      </w:r>
      <w:r w:rsidR="000E3F1D" w:rsidRPr="00584B98">
        <w:rPr>
          <w:rFonts w:ascii="Arial" w:eastAsiaTheme="minorHAnsi" w:hAnsi="Arial" w:cs="Arial"/>
          <w:color w:val="auto"/>
          <w:sz w:val="22"/>
          <w:lang w:val="en-AU" w:eastAsia="en-US"/>
        </w:rPr>
        <w:t xml:space="preserve">during both </w:t>
      </w:r>
      <w:r w:rsidR="00F97169" w:rsidRPr="00584B98">
        <w:rPr>
          <w:rFonts w:ascii="Arial" w:eastAsiaTheme="minorHAnsi" w:hAnsi="Arial" w:cs="Arial"/>
          <w:color w:val="auto"/>
          <w:sz w:val="22"/>
          <w:lang w:val="en-AU" w:eastAsia="en-US"/>
        </w:rPr>
        <w:t xml:space="preserve">2022 </w:t>
      </w:r>
      <w:r w:rsidR="000E3F1D" w:rsidRPr="00584B98">
        <w:rPr>
          <w:rFonts w:ascii="Arial" w:eastAsiaTheme="minorHAnsi" w:hAnsi="Arial" w:cs="Arial"/>
          <w:color w:val="auto"/>
          <w:sz w:val="22"/>
          <w:lang w:val="en-AU" w:eastAsia="en-US"/>
        </w:rPr>
        <w:t xml:space="preserve">short </w:t>
      </w:r>
      <w:r w:rsidR="00F97169" w:rsidRPr="00584B98">
        <w:rPr>
          <w:rFonts w:ascii="Arial" w:eastAsiaTheme="minorHAnsi" w:hAnsi="Arial" w:cs="Arial"/>
          <w:color w:val="auto"/>
          <w:sz w:val="22"/>
          <w:lang w:val="en-AU" w:eastAsia="en-US"/>
        </w:rPr>
        <w:t xml:space="preserve">school </w:t>
      </w:r>
      <w:r w:rsidR="000E3F1D" w:rsidRPr="00584B98">
        <w:rPr>
          <w:rFonts w:ascii="Arial" w:eastAsiaTheme="minorHAnsi" w:hAnsi="Arial" w:cs="Arial"/>
          <w:color w:val="auto"/>
          <w:sz w:val="22"/>
          <w:lang w:val="en-AU" w:eastAsia="en-US"/>
        </w:rPr>
        <w:t>holidays.</w:t>
      </w:r>
      <w:r w:rsidR="00D675B2" w:rsidRPr="00584B98">
        <w:rPr>
          <w:rFonts w:ascii="Arial" w:eastAsiaTheme="minorHAnsi" w:hAnsi="Arial" w:cs="Arial"/>
          <w:color w:val="auto"/>
          <w:sz w:val="22"/>
          <w:lang w:val="en-AU" w:eastAsia="en-US"/>
        </w:rPr>
        <w:t xml:space="preserve"> </w:t>
      </w:r>
      <w:bookmarkStart w:id="14" w:name="_Hlk150496265"/>
      <w:r w:rsidR="000E3F1D" w:rsidRPr="00584B98">
        <w:rPr>
          <w:rFonts w:ascii="Arial" w:eastAsiaTheme="minorHAnsi" w:hAnsi="Arial" w:cs="Arial"/>
          <w:color w:val="auto"/>
          <w:sz w:val="22"/>
          <w:lang w:val="en-AU" w:eastAsia="en-US"/>
        </w:rPr>
        <w:t>This arrangement</w:t>
      </w:r>
      <w:r w:rsidR="00284CC8" w:rsidRPr="00584B98">
        <w:rPr>
          <w:rFonts w:ascii="Arial" w:eastAsiaTheme="minorHAnsi" w:hAnsi="Arial" w:cs="Arial"/>
          <w:color w:val="auto"/>
          <w:sz w:val="22"/>
          <w:lang w:val="en-AU" w:eastAsia="en-US"/>
        </w:rPr>
        <w:t>, again,</w:t>
      </w:r>
      <w:r w:rsidR="000E3F1D" w:rsidRPr="00584B98">
        <w:rPr>
          <w:rFonts w:ascii="Arial" w:eastAsiaTheme="minorHAnsi" w:hAnsi="Arial" w:cs="Arial"/>
          <w:color w:val="auto"/>
          <w:sz w:val="22"/>
          <w:lang w:val="en-AU" w:eastAsia="en-US"/>
        </w:rPr>
        <w:t xml:space="preserve"> </w:t>
      </w:r>
      <w:r w:rsidR="00661292" w:rsidRPr="00584B98">
        <w:rPr>
          <w:rFonts w:ascii="Arial" w:eastAsiaTheme="minorHAnsi" w:hAnsi="Arial" w:cs="Arial"/>
          <w:color w:val="auto"/>
          <w:sz w:val="22"/>
          <w:lang w:val="en-AU" w:eastAsia="en-US"/>
        </w:rPr>
        <w:t xml:space="preserve">whilst </w:t>
      </w:r>
      <w:r w:rsidR="000E3F1D" w:rsidRPr="00584B98">
        <w:rPr>
          <w:rFonts w:ascii="Arial" w:eastAsiaTheme="minorHAnsi" w:hAnsi="Arial" w:cs="Arial"/>
          <w:color w:val="auto"/>
          <w:sz w:val="22"/>
          <w:lang w:val="en-AU" w:eastAsia="en-US"/>
        </w:rPr>
        <w:t xml:space="preserve">contrary to the </w:t>
      </w:r>
      <w:r w:rsidR="00661292" w:rsidRPr="00584B98">
        <w:rPr>
          <w:rFonts w:ascii="Arial" w:eastAsiaTheme="minorHAnsi" w:hAnsi="Arial" w:cs="Arial"/>
          <w:color w:val="auto"/>
          <w:sz w:val="22"/>
          <w:lang w:val="en-AU" w:eastAsia="en-US"/>
        </w:rPr>
        <w:t xml:space="preserve">express </w:t>
      </w:r>
      <w:r w:rsidR="000E3F1D" w:rsidRPr="00584B98">
        <w:rPr>
          <w:rFonts w:ascii="Arial" w:eastAsiaTheme="minorHAnsi" w:hAnsi="Arial" w:cs="Arial"/>
          <w:color w:val="auto"/>
          <w:sz w:val="22"/>
          <w:lang w:val="en-AU" w:eastAsia="en-US"/>
        </w:rPr>
        <w:t>provisions of the deed of settlement</w:t>
      </w:r>
      <w:r w:rsidR="00661292" w:rsidRPr="00584B98">
        <w:rPr>
          <w:rFonts w:ascii="Arial" w:eastAsiaTheme="minorHAnsi" w:hAnsi="Arial" w:cs="Arial"/>
          <w:color w:val="auto"/>
          <w:sz w:val="22"/>
          <w:lang w:val="en-AU" w:eastAsia="en-US"/>
        </w:rPr>
        <w:t xml:space="preserve"> (</w:t>
      </w:r>
      <w:proofErr w:type="spellStart"/>
      <w:r w:rsidR="00661292" w:rsidRPr="00584B98">
        <w:rPr>
          <w:rFonts w:ascii="Arial" w:eastAsiaTheme="minorHAnsi" w:hAnsi="Arial" w:cs="Arial"/>
          <w:color w:val="auto"/>
          <w:sz w:val="22"/>
          <w:lang w:val="en-AU" w:eastAsia="en-US"/>
        </w:rPr>
        <w:t>i</w:t>
      </w:r>
      <w:proofErr w:type="spellEnd"/>
      <w:r w:rsidR="00661292" w:rsidRPr="00584B98">
        <w:rPr>
          <w:rFonts w:ascii="Arial" w:eastAsiaTheme="minorHAnsi" w:hAnsi="Arial" w:cs="Arial"/>
          <w:color w:val="auto"/>
          <w:sz w:val="22"/>
          <w:lang w:val="en-AU" w:eastAsia="en-US"/>
        </w:rPr>
        <w:t xml:space="preserve">) took place as per the proviso in clause 3.4 and 3.5; and (ii) </w:t>
      </w:r>
      <w:r w:rsidR="000E3F1D" w:rsidRPr="00584B98">
        <w:rPr>
          <w:rFonts w:ascii="Arial" w:eastAsiaTheme="minorHAnsi" w:hAnsi="Arial" w:cs="Arial"/>
          <w:color w:val="auto"/>
          <w:sz w:val="22"/>
          <w:lang w:val="en-AU" w:eastAsia="en-US"/>
        </w:rPr>
        <w:t>favoured the applicant</w:t>
      </w:r>
      <w:bookmarkEnd w:id="14"/>
      <w:r w:rsidR="00661292" w:rsidRPr="00584B98">
        <w:rPr>
          <w:rFonts w:ascii="Arial" w:eastAsiaTheme="minorHAnsi" w:hAnsi="Arial" w:cs="Arial"/>
          <w:color w:val="auto"/>
          <w:sz w:val="22"/>
          <w:lang w:val="en-AU" w:eastAsia="en-US"/>
        </w:rPr>
        <w:t>.</w:t>
      </w:r>
    </w:p>
    <w:p w14:paraId="6DB8A35C" w14:textId="2C3D5F12" w:rsidR="00661292"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32.</w:t>
      </w:r>
      <w:r>
        <w:rPr>
          <w:rFonts w:ascii="Arial" w:eastAsiaTheme="minorHAnsi" w:hAnsi="Arial" w:cs="Arial"/>
          <w:color w:val="auto"/>
          <w:sz w:val="22"/>
          <w:lang w:val="en-AU" w:eastAsia="en-US"/>
        </w:rPr>
        <w:tab/>
      </w:r>
      <w:r w:rsidR="00661292" w:rsidRPr="00584B98">
        <w:rPr>
          <w:rFonts w:ascii="Arial" w:eastAsiaTheme="minorHAnsi" w:hAnsi="Arial" w:cs="Arial"/>
          <w:color w:val="auto"/>
          <w:sz w:val="22"/>
          <w:lang w:val="en-AU" w:eastAsia="en-US"/>
        </w:rPr>
        <w:t>As I read the papers, i</w:t>
      </w:r>
      <w:r w:rsidR="00DA0144" w:rsidRPr="00584B98">
        <w:rPr>
          <w:rFonts w:ascii="Arial" w:eastAsiaTheme="minorHAnsi" w:hAnsi="Arial" w:cs="Arial"/>
          <w:color w:val="auto"/>
          <w:sz w:val="22"/>
          <w:lang w:val="en-AU" w:eastAsia="en-US"/>
        </w:rPr>
        <w:t xml:space="preserve">n January 2022, the applicant indicated </w:t>
      </w:r>
      <w:r w:rsidR="00482A7F" w:rsidRPr="00584B98">
        <w:rPr>
          <w:rFonts w:ascii="Arial" w:eastAsiaTheme="minorHAnsi" w:hAnsi="Arial" w:cs="Arial"/>
          <w:color w:val="auto"/>
          <w:sz w:val="22"/>
          <w:lang w:val="en-AU" w:eastAsia="en-US"/>
        </w:rPr>
        <w:t xml:space="preserve">to the respondent </w:t>
      </w:r>
      <w:r w:rsidR="00DA0144" w:rsidRPr="00584B98">
        <w:rPr>
          <w:rFonts w:ascii="Arial" w:eastAsiaTheme="minorHAnsi" w:hAnsi="Arial" w:cs="Arial"/>
          <w:color w:val="auto"/>
          <w:sz w:val="22"/>
          <w:lang w:val="en-AU" w:eastAsia="en-US"/>
        </w:rPr>
        <w:t xml:space="preserve">that he wanted to take the </w:t>
      </w:r>
      <w:r w:rsidR="00482A7F" w:rsidRPr="00584B98">
        <w:rPr>
          <w:rFonts w:ascii="Arial" w:eastAsiaTheme="minorHAnsi" w:hAnsi="Arial" w:cs="Arial"/>
          <w:color w:val="auto"/>
          <w:sz w:val="22"/>
          <w:lang w:val="en-AU" w:eastAsia="en-US"/>
        </w:rPr>
        <w:t xml:space="preserve">minor </w:t>
      </w:r>
      <w:r w:rsidR="00DA0144" w:rsidRPr="00584B98">
        <w:rPr>
          <w:rFonts w:ascii="Arial" w:eastAsiaTheme="minorHAnsi" w:hAnsi="Arial" w:cs="Arial"/>
          <w:color w:val="auto"/>
          <w:sz w:val="22"/>
          <w:lang w:val="en-AU" w:eastAsia="en-US"/>
        </w:rPr>
        <w:t xml:space="preserve">children to the Drakensburg </w:t>
      </w:r>
      <w:r w:rsidR="00F97169" w:rsidRPr="00584B98">
        <w:rPr>
          <w:rFonts w:ascii="Arial" w:eastAsiaTheme="minorHAnsi" w:hAnsi="Arial" w:cs="Arial"/>
          <w:color w:val="auto"/>
          <w:sz w:val="22"/>
          <w:lang w:val="en-AU" w:eastAsia="en-US"/>
        </w:rPr>
        <w:t xml:space="preserve">from 8 to 15 July 2022. </w:t>
      </w:r>
      <w:r w:rsidR="00661292" w:rsidRPr="00584B98">
        <w:rPr>
          <w:rFonts w:ascii="Arial" w:eastAsiaTheme="minorHAnsi" w:hAnsi="Arial" w:cs="Arial"/>
          <w:color w:val="auto"/>
          <w:sz w:val="22"/>
          <w:lang w:val="en-AU" w:eastAsia="en-US"/>
        </w:rPr>
        <w:t>There was some too-</w:t>
      </w:r>
      <w:proofErr w:type="spellStart"/>
      <w:r w:rsidR="00661292" w:rsidRPr="00584B98">
        <w:rPr>
          <w:rFonts w:ascii="Arial" w:eastAsiaTheme="minorHAnsi" w:hAnsi="Arial" w:cs="Arial"/>
          <w:color w:val="auto"/>
          <w:sz w:val="22"/>
          <w:lang w:val="en-AU" w:eastAsia="en-US"/>
        </w:rPr>
        <w:t>ing</w:t>
      </w:r>
      <w:proofErr w:type="spellEnd"/>
      <w:r w:rsidR="00661292" w:rsidRPr="00584B98">
        <w:rPr>
          <w:rFonts w:ascii="Arial" w:eastAsiaTheme="minorHAnsi" w:hAnsi="Arial" w:cs="Arial"/>
          <w:color w:val="auto"/>
          <w:sz w:val="22"/>
          <w:lang w:val="en-AU" w:eastAsia="en-US"/>
        </w:rPr>
        <w:t xml:space="preserve"> and fro-ing thereafter but no final agreement was reached. </w:t>
      </w:r>
    </w:p>
    <w:p w14:paraId="305A0887" w14:textId="1F382A18" w:rsidR="00693713"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33.</w:t>
      </w:r>
      <w:r>
        <w:rPr>
          <w:rFonts w:ascii="Arial" w:eastAsiaTheme="minorHAnsi" w:hAnsi="Arial" w:cs="Arial"/>
          <w:color w:val="auto"/>
          <w:sz w:val="22"/>
          <w:lang w:val="en-AU" w:eastAsia="en-US"/>
        </w:rPr>
        <w:tab/>
      </w:r>
      <w:r w:rsidR="004275CE" w:rsidRPr="00584B98">
        <w:rPr>
          <w:rFonts w:ascii="Arial" w:eastAsiaTheme="minorHAnsi" w:hAnsi="Arial" w:cs="Arial"/>
          <w:color w:val="auto"/>
          <w:sz w:val="22"/>
          <w:lang w:val="en-AU" w:eastAsia="en-US"/>
        </w:rPr>
        <w:t>In March 2022 and again in April 2022, the respondent advised the applicant that she would be taking the minor children on holiday during the June/July school holidays</w:t>
      </w:r>
      <w:r w:rsidR="00661292" w:rsidRPr="00584B98">
        <w:rPr>
          <w:rFonts w:ascii="Arial" w:eastAsiaTheme="minorHAnsi" w:hAnsi="Arial" w:cs="Arial"/>
          <w:color w:val="auto"/>
          <w:sz w:val="22"/>
          <w:lang w:val="en-AU" w:eastAsia="en-US"/>
        </w:rPr>
        <w:t xml:space="preserve">; a period that would overlap with the applicant’s 8 to 15 July </w:t>
      </w:r>
      <w:r w:rsidR="009F2F2D" w:rsidRPr="00584B98">
        <w:rPr>
          <w:rFonts w:ascii="Arial" w:eastAsiaTheme="minorHAnsi" w:hAnsi="Arial" w:cs="Arial"/>
          <w:color w:val="auto"/>
          <w:sz w:val="22"/>
          <w:lang w:val="en-AU" w:eastAsia="en-US"/>
        </w:rPr>
        <w:t xml:space="preserve">2022 </w:t>
      </w:r>
      <w:r w:rsidR="00661292" w:rsidRPr="00584B98">
        <w:rPr>
          <w:rFonts w:ascii="Arial" w:eastAsiaTheme="minorHAnsi" w:hAnsi="Arial" w:cs="Arial"/>
          <w:color w:val="auto"/>
          <w:sz w:val="22"/>
          <w:lang w:val="en-AU" w:eastAsia="en-US"/>
        </w:rPr>
        <w:t xml:space="preserve">request – which overlap serves as the </w:t>
      </w:r>
      <w:proofErr w:type="spellStart"/>
      <w:r w:rsidR="00661292" w:rsidRPr="00584B98">
        <w:rPr>
          <w:rFonts w:ascii="Arial" w:eastAsiaTheme="minorHAnsi" w:hAnsi="Arial" w:cs="Arial"/>
          <w:i/>
          <w:iCs/>
          <w:color w:val="auto"/>
          <w:sz w:val="22"/>
          <w:lang w:val="en-AU" w:eastAsia="en-US"/>
        </w:rPr>
        <w:t>fons</w:t>
      </w:r>
      <w:proofErr w:type="spellEnd"/>
      <w:r w:rsidR="00661292" w:rsidRPr="00584B98">
        <w:rPr>
          <w:rFonts w:ascii="Arial" w:eastAsiaTheme="minorHAnsi" w:hAnsi="Arial" w:cs="Arial"/>
          <w:i/>
          <w:iCs/>
          <w:color w:val="auto"/>
          <w:sz w:val="22"/>
          <w:lang w:val="en-AU" w:eastAsia="en-US"/>
        </w:rPr>
        <w:t xml:space="preserve"> et </w:t>
      </w:r>
      <w:proofErr w:type="spellStart"/>
      <w:r w:rsidR="00661292" w:rsidRPr="00584B98">
        <w:rPr>
          <w:rFonts w:ascii="Arial" w:eastAsiaTheme="minorHAnsi" w:hAnsi="Arial" w:cs="Arial"/>
          <w:i/>
          <w:iCs/>
          <w:color w:val="auto"/>
          <w:sz w:val="22"/>
          <w:lang w:val="en-AU" w:eastAsia="en-US"/>
        </w:rPr>
        <w:t>origo</w:t>
      </w:r>
      <w:proofErr w:type="spellEnd"/>
      <w:r w:rsidR="00661292" w:rsidRPr="00584B98">
        <w:rPr>
          <w:rFonts w:ascii="Arial" w:eastAsiaTheme="minorHAnsi" w:hAnsi="Arial" w:cs="Arial"/>
          <w:color w:val="auto"/>
          <w:sz w:val="22"/>
          <w:lang w:val="en-AU" w:eastAsia="en-US"/>
        </w:rPr>
        <w:t xml:space="preserve"> of these proceedings.</w:t>
      </w:r>
      <w:r w:rsidR="00693713" w:rsidRPr="00584B98">
        <w:rPr>
          <w:rFonts w:ascii="Arial" w:eastAsiaTheme="minorHAnsi" w:hAnsi="Arial" w:cs="Arial"/>
          <w:color w:val="auto"/>
          <w:sz w:val="22"/>
          <w:lang w:val="en-AU" w:eastAsia="en-US"/>
        </w:rPr>
        <w:t xml:space="preserve"> </w:t>
      </w:r>
    </w:p>
    <w:p w14:paraId="77E82C32" w14:textId="58042CCD" w:rsidR="00693713"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34.</w:t>
      </w:r>
      <w:r>
        <w:rPr>
          <w:rFonts w:ascii="Arial" w:eastAsiaTheme="minorHAnsi" w:hAnsi="Arial" w:cs="Arial"/>
          <w:color w:val="auto"/>
          <w:sz w:val="22"/>
          <w:lang w:val="en-AU" w:eastAsia="en-US"/>
        </w:rPr>
        <w:tab/>
      </w:r>
      <w:r w:rsidR="004275CE" w:rsidRPr="00584B98">
        <w:rPr>
          <w:rFonts w:ascii="Arial" w:eastAsiaTheme="minorHAnsi" w:hAnsi="Arial" w:cs="Arial"/>
          <w:color w:val="auto"/>
          <w:sz w:val="22"/>
          <w:lang w:val="en-AU" w:eastAsia="en-US"/>
        </w:rPr>
        <w:t>The applicant did not respond to the respondent’s advices</w:t>
      </w:r>
      <w:r w:rsidR="00693713" w:rsidRPr="00584B98">
        <w:rPr>
          <w:rFonts w:ascii="Arial" w:eastAsiaTheme="minorHAnsi" w:hAnsi="Arial" w:cs="Arial"/>
          <w:color w:val="auto"/>
          <w:sz w:val="22"/>
          <w:lang w:val="en-AU" w:eastAsia="en-US"/>
        </w:rPr>
        <w:t xml:space="preserve"> regarding her June/July holiday arrangements. </w:t>
      </w:r>
      <w:r w:rsidR="009F2F2D" w:rsidRPr="00584B98">
        <w:rPr>
          <w:rFonts w:ascii="Arial" w:eastAsiaTheme="minorHAnsi" w:hAnsi="Arial" w:cs="Arial"/>
          <w:color w:val="auto"/>
          <w:sz w:val="22"/>
          <w:lang w:val="en-AU" w:eastAsia="en-US"/>
        </w:rPr>
        <w:t>Accordingly, t</w:t>
      </w:r>
      <w:r w:rsidR="004275CE" w:rsidRPr="00584B98">
        <w:rPr>
          <w:rFonts w:ascii="Arial" w:eastAsiaTheme="minorHAnsi" w:hAnsi="Arial" w:cs="Arial"/>
          <w:color w:val="auto"/>
          <w:sz w:val="22"/>
          <w:lang w:val="en-AU" w:eastAsia="en-US"/>
        </w:rPr>
        <w:t xml:space="preserve">he respondent </w:t>
      </w:r>
      <w:r w:rsidR="009F2F2D" w:rsidRPr="00584B98">
        <w:rPr>
          <w:rFonts w:ascii="Arial" w:eastAsiaTheme="minorHAnsi" w:hAnsi="Arial" w:cs="Arial"/>
          <w:color w:val="auto"/>
          <w:sz w:val="22"/>
          <w:lang w:val="en-AU" w:eastAsia="en-US"/>
        </w:rPr>
        <w:t xml:space="preserve">understood that </w:t>
      </w:r>
      <w:r w:rsidR="004275CE" w:rsidRPr="00584B98">
        <w:rPr>
          <w:rFonts w:ascii="Arial" w:eastAsiaTheme="minorHAnsi" w:hAnsi="Arial" w:cs="Arial"/>
          <w:color w:val="auto"/>
          <w:sz w:val="22"/>
          <w:lang w:val="en-AU" w:eastAsia="en-US"/>
        </w:rPr>
        <w:t xml:space="preserve">the applicant’s non-response was </w:t>
      </w:r>
      <w:bookmarkStart w:id="15" w:name="_Hlk150433978"/>
      <w:r w:rsidR="004275CE" w:rsidRPr="00584B98">
        <w:rPr>
          <w:rFonts w:ascii="Arial" w:eastAsiaTheme="minorHAnsi" w:hAnsi="Arial" w:cs="Arial"/>
          <w:color w:val="auto"/>
          <w:sz w:val="22"/>
          <w:lang w:val="en-AU" w:eastAsia="en-US"/>
        </w:rPr>
        <w:t>evidence of his acceptance of the respondent’s June/July holiday arrangements</w:t>
      </w:r>
      <w:bookmarkEnd w:id="15"/>
      <w:r w:rsidR="004275CE" w:rsidRPr="00584B98">
        <w:rPr>
          <w:rFonts w:ascii="Arial" w:eastAsiaTheme="minorHAnsi" w:hAnsi="Arial" w:cs="Arial"/>
          <w:color w:val="auto"/>
          <w:sz w:val="22"/>
          <w:lang w:val="en-AU" w:eastAsia="en-US"/>
        </w:rPr>
        <w:t>.</w:t>
      </w:r>
    </w:p>
    <w:p w14:paraId="0C4A0B05" w14:textId="38B5A0FA" w:rsidR="009F2F2D"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35.</w:t>
      </w:r>
      <w:r>
        <w:rPr>
          <w:rFonts w:ascii="Arial" w:eastAsiaTheme="minorHAnsi" w:hAnsi="Arial" w:cs="Arial"/>
          <w:color w:val="auto"/>
          <w:sz w:val="22"/>
          <w:lang w:val="en-AU" w:eastAsia="en-US"/>
        </w:rPr>
        <w:tab/>
      </w:r>
      <w:r w:rsidR="00693713" w:rsidRPr="00584B98">
        <w:rPr>
          <w:rFonts w:ascii="Arial" w:eastAsiaTheme="minorHAnsi" w:hAnsi="Arial" w:cs="Arial"/>
          <w:color w:val="auto"/>
          <w:sz w:val="22"/>
          <w:lang w:val="en-AU" w:eastAsia="en-US"/>
        </w:rPr>
        <w:t xml:space="preserve">The respondent </w:t>
      </w:r>
      <w:r w:rsidR="009F2F2D" w:rsidRPr="00584B98">
        <w:rPr>
          <w:rFonts w:ascii="Arial" w:eastAsiaTheme="minorHAnsi" w:hAnsi="Arial" w:cs="Arial"/>
          <w:color w:val="auto"/>
          <w:sz w:val="22"/>
          <w:lang w:val="en-AU" w:eastAsia="en-US"/>
        </w:rPr>
        <w:t xml:space="preserve">moreover believed </w:t>
      </w:r>
      <w:r w:rsidR="00693713" w:rsidRPr="00584B98">
        <w:rPr>
          <w:rFonts w:ascii="Arial" w:eastAsiaTheme="minorHAnsi" w:hAnsi="Arial" w:cs="Arial"/>
          <w:color w:val="auto"/>
          <w:sz w:val="22"/>
          <w:lang w:val="en-AU" w:eastAsia="en-US"/>
        </w:rPr>
        <w:t xml:space="preserve">that no </w:t>
      </w:r>
      <w:r w:rsidR="009F2F2D" w:rsidRPr="00584B98">
        <w:rPr>
          <w:rFonts w:ascii="Arial" w:eastAsiaTheme="minorHAnsi" w:hAnsi="Arial" w:cs="Arial"/>
          <w:color w:val="auto"/>
          <w:sz w:val="22"/>
          <w:lang w:val="en-AU" w:eastAsia="en-US"/>
        </w:rPr>
        <w:t xml:space="preserve">final </w:t>
      </w:r>
      <w:r w:rsidR="00693713" w:rsidRPr="00584B98">
        <w:rPr>
          <w:rFonts w:ascii="Arial" w:eastAsiaTheme="minorHAnsi" w:hAnsi="Arial" w:cs="Arial"/>
          <w:color w:val="auto"/>
          <w:sz w:val="22"/>
          <w:lang w:val="en-AU" w:eastAsia="en-US"/>
        </w:rPr>
        <w:t xml:space="preserve">arrangements </w:t>
      </w:r>
      <w:r w:rsidR="009F2F2D" w:rsidRPr="00584B98">
        <w:rPr>
          <w:rFonts w:ascii="Arial" w:eastAsiaTheme="minorHAnsi" w:hAnsi="Arial" w:cs="Arial"/>
          <w:color w:val="auto"/>
          <w:sz w:val="22"/>
          <w:lang w:val="en-AU" w:eastAsia="en-US"/>
        </w:rPr>
        <w:t xml:space="preserve">were </w:t>
      </w:r>
      <w:r w:rsidR="00693713" w:rsidRPr="00584B98">
        <w:rPr>
          <w:rFonts w:ascii="Arial" w:eastAsiaTheme="minorHAnsi" w:hAnsi="Arial" w:cs="Arial"/>
          <w:color w:val="auto"/>
          <w:sz w:val="22"/>
          <w:lang w:val="en-AU" w:eastAsia="en-US"/>
        </w:rPr>
        <w:t xml:space="preserve">made in </w:t>
      </w:r>
      <w:r w:rsidR="009F2F2D" w:rsidRPr="00584B98">
        <w:rPr>
          <w:rFonts w:ascii="Arial" w:eastAsiaTheme="minorHAnsi" w:hAnsi="Arial" w:cs="Arial"/>
          <w:color w:val="auto"/>
          <w:sz w:val="22"/>
          <w:lang w:val="en-AU" w:eastAsia="en-US"/>
        </w:rPr>
        <w:t xml:space="preserve">response to the applicant’s </w:t>
      </w:r>
      <w:r w:rsidR="00693713" w:rsidRPr="00584B98">
        <w:rPr>
          <w:rFonts w:ascii="Arial" w:eastAsiaTheme="minorHAnsi" w:hAnsi="Arial" w:cs="Arial"/>
          <w:color w:val="auto"/>
          <w:sz w:val="22"/>
          <w:lang w:val="en-AU" w:eastAsia="en-US"/>
        </w:rPr>
        <w:t xml:space="preserve">January 2022 </w:t>
      </w:r>
      <w:r w:rsidR="009F2F2D" w:rsidRPr="00584B98">
        <w:rPr>
          <w:rFonts w:ascii="Arial" w:eastAsiaTheme="minorHAnsi" w:hAnsi="Arial" w:cs="Arial"/>
          <w:color w:val="auto"/>
          <w:sz w:val="22"/>
          <w:lang w:val="en-AU" w:eastAsia="en-US"/>
        </w:rPr>
        <w:t>request. Because (</w:t>
      </w:r>
      <w:proofErr w:type="spellStart"/>
      <w:r w:rsidR="009F2F2D" w:rsidRPr="00584B98">
        <w:rPr>
          <w:rFonts w:ascii="Arial" w:eastAsiaTheme="minorHAnsi" w:hAnsi="Arial" w:cs="Arial"/>
          <w:color w:val="auto"/>
          <w:sz w:val="22"/>
          <w:lang w:val="en-AU" w:eastAsia="en-US"/>
        </w:rPr>
        <w:t>i</w:t>
      </w:r>
      <w:proofErr w:type="spellEnd"/>
      <w:r w:rsidR="009F2F2D" w:rsidRPr="00584B98">
        <w:rPr>
          <w:rFonts w:ascii="Arial" w:eastAsiaTheme="minorHAnsi" w:hAnsi="Arial" w:cs="Arial"/>
          <w:color w:val="auto"/>
          <w:sz w:val="22"/>
          <w:lang w:val="en-AU" w:eastAsia="en-US"/>
        </w:rPr>
        <w:t xml:space="preserve">) the parties’ holiday arrangements were not final and frequently changed; and (ii) the applicant’s absence of a response, it was open for the respondent to adopt the position she did.  </w:t>
      </w:r>
    </w:p>
    <w:p w14:paraId="3E1002CD" w14:textId="519BD805" w:rsidR="00693713"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693713">
        <w:rPr>
          <w:rFonts w:ascii="Arial" w:eastAsiaTheme="minorHAnsi" w:hAnsi="Arial" w:cs="Arial"/>
          <w:color w:val="auto"/>
          <w:sz w:val="22"/>
          <w:lang w:val="en-AU" w:eastAsia="en-US"/>
        </w:rPr>
        <w:t>36.</w:t>
      </w:r>
      <w:r w:rsidRPr="00693713">
        <w:rPr>
          <w:rFonts w:ascii="Arial" w:eastAsiaTheme="minorHAnsi" w:hAnsi="Arial" w:cs="Arial"/>
          <w:color w:val="auto"/>
          <w:sz w:val="22"/>
          <w:lang w:val="en-AU" w:eastAsia="en-US"/>
        </w:rPr>
        <w:tab/>
      </w:r>
      <w:r w:rsidR="00693713" w:rsidRPr="00584B98">
        <w:rPr>
          <w:rFonts w:ascii="Arial" w:eastAsiaTheme="minorHAnsi" w:hAnsi="Arial" w:cs="Arial"/>
          <w:color w:val="auto"/>
          <w:sz w:val="22"/>
          <w:lang w:val="en-AU" w:eastAsia="en-US"/>
        </w:rPr>
        <w:t>These frequent changes are evident from the changes to the April and September 2022 holiday contact as well as the changes to the March/April 2020 holiday contact.</w:t>
      </w:r>
    </w:p>
    <w:p w14:paraId="00783718" w14:textId="3992F2DD" w:rsidR="009F2F2D"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lastRenderedPageBreak/>
        <w:t>37.</w:t>
      </w:r>
      <w:r>
        <w:rPr>
          <w:rFonts w:ascii="Arial" w:eastAsiaTheme="minorHAnsi" w:hAnsi="Arial" w:cs="Arial"/>
          <w:color w:val="auto"/>
          <w:sz w:val="22"/>
          <w:lang w:val="en-AU" w:eastAsia="en-US"/>
        </w:rPr>
        <w:tab/>
      </w:r>
      <w:r w:rsidR="00F96551" w:rsidRPr="00584B98">
        <w:rPr>
          <w:rFonts w:ascii="Arial" w:eastAsiaTheme="minorHAnsi" w:hAnsi="Arial" w:cs="Arial"/>
          <w:color w:val="auto"/>
          <w:sz w:val="22"/>
          <w:lang w:val="en-AU" w:eastAsia="en-US"/>
        </w:rPr>
        <w:t>It was only on 1 June 2022</w:t>
      </w:r>
      <w:r w:rsidR="009F2F2D" w:rsidRPr="00584B98">
        <w:rPr>
          <w:rFonts w:ascii="Arial" w:eastAsiaTheme="minorHAnsi" w:hAnsi="Arial" w:cs="Arial"/>
          <w:color w:val="auto"/>
          <w:sz w:val="22"/>
          <w:lang w:val="en-AU" w:eastAsia="en-US"/>
        </w:rPr>
        <w:t xml:space="preserve"> (some </w:t>
      </w:r>
      <w:r w:rsidR="00284CC8" w:rsidRPr="00584B98">
        <w:rPr>
          <w:rFonts w:ascii="Arial" w:eastAsiaTheme="minorHAnsi" w:hAnsi="Arial" w:cs="Arial"/>
          <w:color w:val="auto"/>
          <w:sz w:val="22"/>
          <w:lang w:val="en-AU" w:eastAsia="en-US"/>
        </w:rPr>
        <w:t>2 months later</w:t>
      </w:r>
      <w:r w:rsidR="009F2F2D" w:rsidRPr="00584B98">
        <w:rPr>
          <w:rFonts w:ascii="Arial" w:eastAsiaTheme="minorHAnsi" w:hAnsi="Arial" w:cs="Arial"/>
          <w:color w:val="auto"/>
          <w:sz w:val="22"/>
          <w:lang w:val="en-AU" w:eastAsia="en-US"/>
        </w:rPr>
        <w:t>)</w:t>
      </w:r>
      <w:r w:rsidR="00284CC8" w:rsidRPr="00584B98">
        <w:rPr>
          <w:rFonts w:ascii="Arial" w:eastAsiaTheme="minorHAnsi" w:hAnsi="Arial" w:cs="Arial"/>
          <w:color w:val="auto"/>
          <w:sz w:val="22"/>
          <w:lang w:val="en-AU" w:eastAsia="en-US"/>
        </w:rPr>
        <w:t>, and on the eve of the June/July school holidays,</w:t>
      </w:r>
      <w:r w:rsidR="00F96551" w:rsidRPr="00584B98">
        <w:rPr>
          <w:rFonts w:ascii="Arial" w:eastAsiaTheme="minorHAnsi" w:hAnsi="Arial" w:cs="Arial"/>
          <w:color w:val="auto"/>
          <w:sz w:val="22"/>
          <w:lang w:val="en-AU" w:eastAsia="en-US"/>
        </w:rPr>
        <w:t xml:space="preserve"> that the applicant</w:t>
      </w:r>
      <w:r w:rsidR="009F2F2D" w:rsidRPr="00584B98">
        <w:rPr>
          <w:rFonts w:ascii="Arial" w:eastAsiaTheme="minorHAnsi" w:hAnsi="Arial" w:cs="Arial"/>
          <w:color w:val="auto"/>
          <w:sz w:val="22"/>
          <w:lang w:val="en-AU" w:eastAsia="en-US"/>
        </w:rPr>
        <w:t>, for the first time,</w:t>
      </w:r>
      <w:r w:rsidR="00F96551" w:rsidRPr="00584B98">
        <w:rPr>
          <w:rFonts w:ascii="Arial" w:eastAsiaTheme="minorHAnsi" w:hAnsi="Arial" w:cs="Arial"/>
          <w:color w:val="auto"/>
          <w:sz w:val="22"/>
          <w:lang w:val="en-AU" w:eastAsia="en-US"/>
        </w:rPr>
        <w:t xml:space="preserve"> </w:t>
      </w:r>
      <w:r w:rsidR="009F2F2D" w:rsidRPr="00584B98">
        <w:rPr>
          <w:rFonts w:ascii="Arial" w:eastAsiaTheme="minorHAnsi" w:hAnsi="Arial" w:cs="Arial"/>
          <w:color w:val="auto"/>
          <w:sz w:val="22"/>
          <w:lang w:val="en-AU" w:eastAsia="en-US"/>
        </w:rPr>
        <w:t>complained about the respondent’s</w:t>
      </w:r>
      <w:r w:rsidR="00F96551" w:rsidRPr="00584B98">
        <w:rPr>
          <w:rFonts w:ascii="Arial" w:eastAsiaTheme="minorHAnsi" w:hAnsi="Arial" w:cs="Arial"/>
          <w:color w:val="auto"/>
          <w:sz w:val="22"/>
          <w:lang w:val="en-AU" w:eastAsia="en-US"/>
        </w:rPr>
        <w:t xml:space="preserve"> June/July holiday arrange</w:t>
      </w:r>
      <w:r w:rsidR="00693713" w:rsidRPr="00584B98">
        <w:rPr>
          <w:rFonts w:ascii="Arial" w:eastAsiaTheme="minorHAnsi" w:hAnsi="Arial" w:cs="Arial"/>
          <w:color w:val="auto"/>
          <w:sz w:val="22"/>
          <w:lang w:val="en-AU" w:eastAsia="en-US"/>
        </w:rPr>
        <w:t>ments</w:t>
      </w:r>
      <w:r w:rsidR="009F2F2D" w:rsidRPr="00584B98">
        <w:rPr>
          <w:rFonts w:ascii="Arial" w:eastAsiaTheme="minorHAnsi" w:hAnsi="Arial" w:cs="Arial"/>
          <w:color w:val="auto"/>
          <w:sz w:val="22"/>
          <w:lang w:val="en-AU" w:eastAsia="en-US"/>
        </w:rPr>
        <w:t>. The applicant’s intervening 2-month silence is unexplained.</w:t>
      </w:r>
    </w:p>
    <w:p w14:paraId="31666612" w14:textId="5B617DEC" w:rsidR="00284CC8"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38.</w:t>
      </w:r>
      <w:r>
        <w:rPr>
          <w:rFonts w:ascii="Arial" w:eastAsiaTheme="minorHAnsi" w:hAnsi="Arial" w:cs="Arial"/>
          <w:color w:val="auto"/>
          <w:sz w:val="22"/>
          <w:lang w:val="en-AU" w:eastAsia="en-US"/>
        </w:rPr>
        <w:tab/>
      </w:r>
      <w:r w:rsidR="009F2F2D" w:rsidRPr="00584B98">
        <w:rPr>
          <w:rFonts w:ascii="Arial" w:eastAsiaTheme="minorHAnsi" w:hAnsi="Arial" w:cs="Arial"/>
          <w:color w:val="auto"/>
          <w:sz w:val="22"/>
          <w:lang w:val="en-AU" w:eastAsia="en-US"/>
        </w:rPr>
        <w:t>The respondent however proceeded with her holiday arrangements; the arrangements thereof having already been made</w:t>
      </w:r>
      <w:r w:rsidR="00DA0144" w:rsidRPr="00584B98">
        <w:rPr>
          <w:rFonts w:ascii="Arial" w:eastAsiaTheme="minorHAnsi" w:hAnsi="Arial" w:cs="Arial"/>
          <w:color w:val="auto"/>
          <w:sz w:val="22"/>
          <w:lang w:val="en-AU" w:eastAsia="en-US"/>
        </w:rPr>
        <w:t xml:space="preserve"> </w:t>
      </w:r>
      <w:r w:rsidR="009F2F2D" w:rsidRPr="00584B98">
        <w:rPr>
          <w:rFonts w:ascii="Arial" w:eastAsiaTheme="minorHAnsi" w:hAnsi="Arial" w:cs="Arial"/>
          <w:color w:val="auto"/>
          <w:sz w:val="22"/>
          <w:lang w:val="en-AU" w:eastAsia="en-US"/>
        </w:rPr>
        <w:t>and finalised.</w:t>
      </w:r>
    </w:p>
    <w:p w14:paraId="45C657FA" w14:textId="7FF2067B" w:rsidR="009F2F2D" w:rsidRPr="00584B98" w:rsidRDefault="00584B98" w:rsidP="00584B98">
      <w:pPr>
        <w:keepNext/>
        <w:spacing w:after="360" w:line="480" w:lineRule="auto"/>
        <w:ind w:left="425" w:right="-153" w:hanging="425"/>
        <w:rPr>
          <w:rFonts w:ascii="Arial" w:eastAsiaTheme="minorHAnsi" w:hAnsi="Arial" w:cs="Arial"/>
          <w:color w:val="auto"/>
          <w:sz w:val="22"/>
          <w:u w:val="single"/>
          <w:lang w:val="en-AU" w:eastAsia="en-US"/>
        </w:rPr>
      </w:pPr>
      <w:r w:rsidRPr="009F2F2D">
        <w:rPr>
          <w:rFonts w:ascii="Arial" w:eastAsiaTheme="minorHAnsi" w:hAnsi="Arial" w:cs="Arial"/>
          <w:color w:val="auto"/>
          <w:sz w:val="22"/>
          <w:lang w:val="en-AU" w:eastAsia="en-US"/>
        </w:rPr>
        <w:t>(e)</w:t>
      </w:r>
      <w:r w:rsidRPr="009F2F2D">
        <w:rPr>
          <w:rFonts w:ascii="Arial" w:eastAsiaTheme="minorHAnsi" w:hAnsi="Arial" w:cs="Arial"/>
          <w:color w:val="auto"/>
          <w:sz w:val="22"/>
          <w:lang w:val="en-AU" w:eastAsia="en-US"/>
        </w:rPr>
        <w:tab/>
      </w:r>
      <w:r w:rsidR="009F2F2D" w:rsidRPr="00584B98">
        <w:rPr>
          <w:rFonts w:ascii="Arial" w:eastAsiaTheme="minorHAnsi" w:hAnsi="Arial" w:cs="Arial"/>
          <w:color w:val="auto"/>
          <w:sz w:val="22"/>
          <w:u w:val="single"/>
          <w:lang w:val="en-AU" w:eastAsia="en-US"/>
        </w:rPr>
        <w:t>Discussion: the facts and the law</w:t>
      </w:r>
    </w:p>
    <w:p w14:paraId="189E665C" w14:textId="6559F74F" w:rsidR="008252EC"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39.</w:t>
      </w:r>
      <w:r>
        <w:rPr>
          <w:rFonts w:ascii="Arial" w:eastAsiaTheme="minorHAnsi" w:hAnsi="Arial" w:cs="Arial"/>
          <w:color w:val="auto"/>
          <w:sz w:val="22"/>
          <w:lang w:val="en-AU" w:eastAsia="en-US"/>
        </w:rPr>
        <w:tab/>
      </w:r>
      <w:r w:rsidR="00DA0144" w:rsidRPr="00584B98">
        <w:rPr>
          <w:rFonts w:ascii="Arial" w:eastAsiaTheme="minorHAnsi" w:hAnsi="Arial" w:cs="Arial"/>
          <w:color w:val="auto"/>
          <w:sz w:val="22"/>
          <w:lang w:val="en-AU" w:eastAsia="en-US"/>
        </w:rPr>
        <w:t xml:space="preserve">In my view, it was not unreasonable for the respondent to regard the applicant’s non-response as evidence of his </w:t>
      </w:r>
      <w:r w:rsidR="009F2F2D" w:rsidRPr="00584B98">
        <w:rPr>
          <w:rFonts w:ascii="Arial" w:eastAsiaTheme="minorHAnsi" w:hAnsi="Arial" w:cs="Arial"/>
          <w:color w:val="auto"/>
          <w:sz w:val="22"/>
          <w:lang w:val="en-AU" w:eastAsia="en-US"/>
        </w:rPr>
        <w:t xml:space="preserve">acquiescence (if not outright </w:t>
      </w:r>
      <w:r w:rsidR="00DA0144" w:rsidRPr="00584B98">
        <w:rPr>
          <w:rFonts w:ascii="Arial" w:eastAsiaTheme="minorHAnsi" w:hAnsi="Arial" w:cs="Arial"/>
          <w:color w:val="auto"/>
          <w:sz w:val="22"/>
          <w:lang w:val="en-AU" w:eastAsia="en-US"/>
        </w:rPr>
        <w:t>acceptance</w:t>
      </w:r>
      <w:r w:rsidR="009F2F2D" w:rsidRPr="00584B98">
        <w:rPr>
          <w:rFonts w:ascii="Arial" w:eastAsiaTheme="minorHAnsi" w:hAnsi="Arial" w:cs="Arial"/>
          <w:color w:val="auto"/>
          <w:sz w:val="22"/>
          <w:lang w:val="en-AU" w:eastAsia="en-US"/>
        </w:rPr>
        <w:t xml:space="preserve">) </w:t>
      </w:r>
      <w:r w:rsidR="00DA0144" w:rsidRPr="00584B98">
        <w:rPr>
          <w:rFonts w:ascii="Arial" w:eastAsiaTheme="minorHAnsi" w:hAnsi="Arial" w:cs="Arial"/>
          <w:color w:val="auto"/>
          <w:sz w:val="22"/>
          <w:lang w:val="en-AU" w:eastAsia="en-US"/>
        </w:rPr>
        <w:t>of the respondent’s June/July holiday arrangements</w:t>
      </w:r>
      <w:r w:rsidR="00284CC8" w:rsidRPr="00584B98">
        <w:rPr>
          <w:rFonts w:ascii="Arial" w:eastAsiaTheme="minorHAnsi" w:hAnsi="Arial" w:cs="Arial"/>
          <w:color w:val="auto"/>
          <w:sz w:val="22"/>
          <w:lang w:val="en-AU" w:eastAsia="en-US"/>
        </w:rPr>
        <w:t>, particularly within the context of the parties having previously</w:t>
      </w:r>
      <w:r w:rsidR="005A4329" w:rsidRPr="00584B98">
        <w:rPr>
          <w:rFonts w:ascii="Arial" w:eastAsiaTheme="minorHAnsi" w:hAnsi="Arial" w:cs="Arial"/>
          <w:color w:val="auto"/>
          <w:sz w:val="22"/>
          <w:lang w:val="en-AU" w:eastAsia="en-US"/>
        </w:rPr>
        <w:t xml:space="preserve"> and frequently agreed to</w:t>
      </w:r>
      <w:r w:rsidR="00284CC8" w:rsidRPr="00584B98">
        <w:rPr>
          <w:rFonts w:ascii="Arial" w:eastAsiaTheme="minorHAnsi" w:hAnsi="Arial" w:cs="Arial"/>
          <w:color w:val="auto"/>
          <w:sz w:val="22"/>
          <w:lang w:val="en-AU" w:eastAsia="en-US"/>
        </w:rPr>
        <w:t xml:space="preserve"> amended and varied contact arrangements. </w:t>
      </w:r>
    </w:p>
    <w:p w14:paraId="368606D7" w14:textId="609090F0" w:rsidR="00CF25A3"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40.</w:t>
      </w:r>
      <w:r>
        <w:rPr>
          <w:rFonts w:ascii="Arial" w:eastAsiaTheme="minorHAnsi" w:hAnsi="Arial" w:cs="Arial"/>
          <w:color w:val="auto"/>
          <w:sz w:val="22"/>
          <w:lang w:val="en-AU" w:eastAsia="en-US"/>
        </w:rPr>
        <w:tab/>
      </w:r>
      <w:r w:rsidR="00284CC8" w:rsidRPr="00584B98">
        <w:rPr>
          <w:rFonts w:ascii="Arial" w:eastAsiaTheme="minorHAnsi" w:hAnsi="Arial" w:cs="Arial"/>
          <w:color w:val="auto"/>
          <w:sz w:val="22"/>
          <w:lang w:val="en-AU" w:eastAsia="en-US"/>
        </w:rPr>
        <w:t>I find that the respondent genuinely, even if mistakenly, believed that she was entitled to</w:t>
      </w:r>
      <w:r w:rsidR="005A4329" w:rsidRPr="00584B98">
        <w:rPr>
          <w:rFonts w:ascii="Arial" w:eastAsiaTheme="minorHAnsi" w:hAnsi="Arial" w:cs="Arial"/>
          <w:color w:val="auto"/>
          <w:sz w:val="22"/>
          <w:lang w:val="en-AU" w:eastAsia="en-US"/>
        </w:rPr>
        <w:t xml:space="preserve"> proceed as she did. Assuming in favour of the applicant that her conduct constituted a breach of the express terms of the deed of settlement and did not take place in terms of the proviso, I am unable to find that her conduct was </w:t>
      </w:r>
      <w:r w:rsidR="005A4329" w:rsidRPr="00584B98">
        <w:rPr>
          <w:rFonts w:ascii="Arial" w:eastAsiaTheme="minorHAnsi" w:hAnsi="Arial" w:cs="Arial"/>
          <w:i/>
          <w:iCs/>
          <w:color w:val="auto"/>
          <w:sz w:val="22"/>
          <w:lang w:val="en-AU" w:eastAsia="en-US"/>
        </w:rPr>
        <w:t>mala fide</w:t>
      </w:r>
      <w:r w:rsidR="005A4329" w:rsidRPr="00584B98">
        <w:rPr>
          <w:rFonts w:ascii="Arial" w:eastAsiaTheme="minorHAnsi" w:hAnsi="Arial" w:cs="Arial"/>
          <w:color w:val="auto"/>
          <w:sz w:val="22"/>
          <w:lang w:val="en-AU" w:eastAsia="en-US"/>
        </w:rPr>
        <w:t xml:space="preserve">. By all accounts, the respondent </w:t>
      </w:r>
      <w:r w:rsidR="005A4329" w:rsidRPr="00584B98">
        <w:rPr>
          <w:rFonts w:ascii="Arial" w:eastAsiaTheme="minorHAnsi" w:hAnsi="Arial" w:cs="Arial"/>
          <w:i/>
          <w:iCs/>
          <w:color w:val="auto"/>
          <w:sz w:val="22"/>
          <w:lang w:val="en-AU" w:eastAsia="en-US"/>
        </w:rPr>
        <w:t>bona fide</w:t>
      </w:r>
      <w:r w:rsidR="005A4329" w:rsidRPr="00584B98">
        <w:rPr>
          <w:rFonts w:ascii="Arial" w:eastAsiaTheme="minorHAnsi" w:hAnsi="Arial" w:cs="Arial"/>
          <w:color w:val="auto"/>
          <w:sz w:val="22"/>
          <w:lang w:val="en-AU" w:eastAsia="en-US"/>
        </w:rPr>
        <w:t xml:space="preserve"> believed that she was entitled to proceed in the way she did.</w:t>
      </w:r>
      <w:r w:rsidR="005A4329">
        <w:rPr>
          <w:rStyle w:val="FootnoteReference"/>
          <w:rFonts w:ascii="Arial" w:eastAsiaTheme="minorHAnsi" w:hAnsi="Arial" w:cs="Arial"/>
          <w:color w:val="auto"/>
          <w:sz w:val="22"/>
          <w:lang w:val="en-AU" w:eastAsia="en-US"/>
        </w:rPr>
        <w:footnoteReference w:id="17"/>
      </w:r>
      <w:r w:rsidR="005A4329" w:rsidRPr="00584B98">
        <w:rPr>
          <w:rFonts w:ascii="Arial" w:eastAsiaTheme="minorHAnsi" w:hAnsi="Arial" w:cs="Arial"/>
          <w:color w:val="auto"/>
          <w:sz w:val="22"/>
          <w:lang w:val="en-AU" w:eastAsia="en-US"/>
        </w:rPr>
        <w:t xml:space="preserve"> </w:t>
      </w:r>
      <w:r w:rsidR="00284CC8" w:rsidRPr="00584B98">
        <w:rPr>
          <w:rFonts w:ascii="Arial" w:eastAsiaTheme="minorHAnsi" w:hAnsi="Arial" w:cs="Arial"/>
          <w:color w:val="auto"/>
          <w:sz w:val="22"/>
          <w:lang w:val="en-AU" w:eastAsia="en-US"/>
        </w:rPr>
        <w:t xml:space="preserve">The respondent’s good faith belief accordingly </w:t>
      </w:r>
      <w:r w:rsidR="005A4329" w:rsidRPr="00584B98">
        <w:rPr>
          <w:rFonts w:ascii="Arial" w:eastAsiaTheme="minorHAnsi" w:hAnsi="Arial" w:cs="Arial"/>
          <w:color w:val="auto"/>
          <w:sz w:val="22"/>
          <w:lang w:val="en-AU" w:eastAsia="en-US"/>
        </w:rPr>
        <w:t>“</w:t>
      </w:r>
      <w:r w:rsidR="00284CC8" w:rsidRPr="00584B98">
        <w:rPr>
          <w:rFonts w:ascii="Arial" w:eastAsiaTheme="minorHAnsi" w:hAnsi="Arial" w:cs="Arial"/>
          <w:color w:val="auto"/>
          <w:sz w:val="22"/>
          <w:lang w:val="en-AU" w:eastAsia="en-US"/>
        </w:rPr>
        <w:t>avoids the infraction</w:t>
      </w:r>
      <w:r w:rsidR="005A4329" w:rsidRPr="00584B98">
        <w:rPr>
          <w:rFonts w:ascii="Arial" w:eastAsiaTheme="minorHAnsi" w:hAnsi="Arial" w:cs="Arial"/>
          <w:color w:val="auto"/>
          <w:sz w:val="22"/>
          <w:lang w:val="en-AU" w:eastAsia="en-US"/>
        </w:rPr>
        <w:t>”</w:t>
      </w:r>
      <w:r w:rsidR="00284CC8" w:rsidRPr="00584B98">
        <w:rPr>
          <w:rFonts w:ascii="Arial" w:eastAsiaTheme="minorHAnsi" w:hAnsi="Arial" w:cs="Arial"/>
          <w:color w:val="auto"/>
          <w:sz w:val="22"/>
          <w:lang w:val="en-AU" w:eastAsia="en-US"/>
        </w:rPr>
        <w:t>.</w:t>
      </w:r>
    </w:p>
    <w:p w14:paraId="06658EBE" w14:textId="18FF1F89" w:rsidR="009E415A"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CB7E6B">
        <w:rPr>
          <w:rFonts w:ascii="Arial" w:eastAsiaTheme="minorHAnsi" w:hAnsi="Arial" w:cs="Arial"/>
          <w:color w:val="auto"/>
          <w:sz w:val="22"/>
          <w:lang w:val="en-AU" w:eastAsia="en-US"/>
        </w:rPr>
        <w:t>41.</w:t>
      </w:r>
      <w:r w:rsidRPr="00CB7E6B">
        <w:rPr>
          <w:rFonts w:ascii="Arial" w:eastAsiaTheme="minorHAnsi" w:hAnsi="Arial" w:cs="Arial"/>
          <w:color w:val="auto"/>
          <w:sz w:val="22"/>
          <w:lang w:val="en-AU" w:eastAsia="en-US"/>
        </w:rPr>
        <w:tab/>
      </w:r>
      <w:r w:rsidR="005A4329" w:rsidRPr="00584B98">
        <w:rPr>
          <w:rFonts w:ascii="Arial" w:eastAsiaTheme="minorHAnsi" w:hAnsi="Arial" w:cs="Arial"/>
          <w:color w:val="auto"/>
          <w:sz w:val="22"/>
          <w:lang w:val="en-AU" w:eastAsia="en-US"/>
        </w:rPr>
        <w:t>I now turn to deal with the issue of the 19 June 2022 Father’s Day contact. T</w:t>
      </w:r>
      <w:r w:rsidR="004275CE" w:rsidRPr="00584B98">
        <w:rPr>
          <w:rFonts w:ascii="Arial" w:eastAsiaTheme="minorHAnsi" w:hAnsi="Arial" w:cs="Arial"/>
          <w:color w:val="auto"/>
          <w:sz w:val="22"/>
          <w:lang w:val="en-AU" w:eastAsia="en-US"/>
        </w:rPr>
        <w:t xml:space="preserve">he respondent </w:t>
      </w:r>
      <w:r w:rsidR="00284CC8" w:rsidRPr="00584B98">
        <w:rPr>
          <w:rFonts w:ascii="Arial" w:eastAsiaTheme="minorHAnsi" w:hAnsi="Arial" w:cs="Arial"/>
          <w:color w:val="auto"/>
          <w:sz w:val="22"/>
          <w:lang w:val="en-AU" w:eastAsia="en-US"/>
        </w:rPr>
        <w:t>states</w:t>
      </w:r>
      <w:r w:rsidR="004275CE" w:rsidRPr="00584B98">
        <w:rPr>
          <w:rFonts w:ascii="Arial" w:eastAsiaTheme="minorHAnsi" w:hAnsi="Arial" w:cs="Arial"/>
          <w:color w:val="auto"/>
          <w:sz w:val="22"/>
          <w:lang w:val="en-AU" w:eastAsia="en-US"/>
        </w:rPr>
        <w:t xml:space="preserve"> that </w:t>
      </w:r>
      <w:r w:rsidR="000E3F1D" w:rsidRPr="00584B98">
        <w:rPr>
          <w:rFonts w:ascii="Arial" w:eastAsiaTheme="minorHAnsi" w:hAnsi="Arial" w:cs="Arial"/>
          <w:color w:val="auto"/>
          <w:sz w:val="22"/>
          <w:lang w:val="en-AU" w:eastAsia="en-US"/>
        </w:rPr>
        <w:t xml:space="preserve">the reason she refused </w:t>
      </w:r>
      <w:r w:rsidR="005A4329" w:rsidRPr="00584B98">
        <w:rPr>
          <w:rFonts w:ascii="Arial" w:eastAsiaTheme="minorHAnsi" w:hAnsi="Arial" w:cs="Arial"/>
          <w:color w:val="auto"/>
          <w:sz w:val="22"/>
          <w:lang w:val="en-AU" w:eastAsia="en-US"/>
        </w:rPr>
        <w:t xml:space="preserve">such </w:t>
      </w:r>
      <w:r w:rsidR="000E3F1D" w:rsidRPr="00584B98">
        <w:rPr>
          <w:rFonts w:ascii="Arial" w:eastAsiaTheme="minorHAnsi" w:hAnsi="Arial" w:cs="Arial"/>
          <w:color w:val="auto"/>
          <w:sz w:val="22"/>
          <w:lang w:val="en-AU" w:eastAsia="en-US"/>
        </w:rPr>
        <w:t xml:space="preserve">contact was because </w:t>
      </w:r>
      <w:r w:rsidR="004275CE" w:rsidRPr="00584B98">
        <w:rPr>
          <w:rFonts w:ascii="Arial" w:eastAsiaTheme="minorHAnsi" w:hAnsi="Arial" w:cs="Arial"/>
          <w:color w:val="auto"/>
          <w:sz w:val="22"/>
          <w:lang w:val="en-AU" w:eastAsia="en-US"/>
        </w:rPr>
        <w:t>their daughter was studying for her exams</w:t>
      </w:r>
      <w:r w:rsidR="00F96551" w:rsidRPr="00584B98">
        <w:rPr>
          <w:rFonts w:ascii="Arial" w:eastAsiaTheme="minorHAnsi" w:hAnsi="Arial" w:cs="Arial"/>
          <w:color w:val="auto"/>
          <w:sz w:val="22"/>
          <w:lang w:val="en-AU" w:eastAsia="en-US"/>
        </w:rPr>
        <w:t xml:space="preserve">. Moreover, the respondent </w:t>
      </w:r>
      <w:r w:rsidR="00284CC8" w:rsidRPr="00584B98">
        <w:rPr>
          <w:rFonts w:ascii="Arial" w:eastAsiaTheme="minorHAnsi" w:hAnsi="Arial" w:cs="Arial"/>
          <w:color w:val="auto"/>
          <w:sz w:val="22"/>
          <w:lang w:val="en-AU" w:eastAsia="en-US"/>
        </w:rPr>
        <w:t xml:space="preserve">states </w:t>
      </w:r>
      <w:r w:rsidR="00F96551" w:rsidRPr="00584B98">
        <w:rPr>
          <w:rFonts w:ascii="Arial" w:eastAsiaTheme="minorHAnsi" w:hAnsi="Arial" w:cs="Arial"/>
          <w:color w:val="auto"/>
          <w:sz w:val="22"/>
          <w:lang w:val="en-AU" w:eastAsia="en-US"/>
        </w:rPr>
        <w:t xml:space="preserve">that she had already made plans </w:t>
      </w:r>
      <w:r w:rsidR="00284CC8" w:rsidRPr="00584B98">
        <w:rPr>
          <w:rFonts w:ascii="Arial" w:eastAsiaTheme="minorHAnsi" w:hAnsi="Arial" w:cs="Arial"/>
          <w:color w:val="auto"/>
          <w:sz w:val="22"/>
          <w:lang w:val="en-AU" w:eastAsia="en-US"/>
        </w:rPr>
        <w:t xml:space="preserve">with the minor children </w:t>
      </w:r>
      <w:r w:rsidR="00F96551" w:rsidRPr="00584B98">
        <w:rPr>
          <w:rFonts w:ascii="Arial" w:eastAsiaTheme="minorHAnsi" w:hAnsi="Arial" w:cs="Arial"/>
          <w:color w:val="auto"/>
          <w:sz w:val="22"/>
          <w:lang w:val="en-AU" w:eastAsia="en-US"/>
        </w:rPr>
        <w:t xml:space="preserve">for the weekend and </w:t>
      </w:r>
      <w:r w:rsidR="00284CC8" w:rsidRPr="00584B98">
        <w:rPr>
          <w:rFonts w:ascii="Arial" w:eastAsiaTheme="minorHAnsi" w:hAnsi="Arial" w:cs="Arial"/>
          <w:color w:val="auto"/>
          <w:sz w:val="22"/>
          <w:lang w:val="en-AU" w:eastAsia="en-US"/>
        </w:rPr>
        <w:t xml:space="preserve">that </w:t>
      </w:r>
      <w:r w:rsidR="00F96551" w:rsidRPr="00584B98">
        <w:rPr>
          <w:rFonts w:ascii="Arial" w:eastAsiaTheme="minorHAnsi" w:hAnsi="Arial" w:cs="Arial"/>
          <w:color w:val="auto"/>
          <w:sz w:val="22"/>
          <w:lang w:val="en-AU" w:eastAsia="en-US"/>
        </w:rPr>
        <w:t xml:space="preserve">the applicant’s request to have contact on Father’s Day was </w:t>
      </w:r>
      <w:r w:rsidR="00D2794D" w:rsidRPr="00584B98">
        <w:rPr>
          <w:rFonts w:ascii="Arial" w:eastAsiaTheme="minorHAnsi" w:hAnsi="Arial" w:cs="Arial"/>
          <w:color w:val="auto"/>
          <w:sz w:val="22"/>
          <w:lang w:val="en-AU" w:eastAsia="en-US"/>
        </w:rPr>
        <w:t xml:space="preserve">not </w:t>
      </w:r>
      <w:r w:rsidR="00284CC8" w:rsidRPr="00584B98">
        <w:rPr>
          <w:rFonts w:ascii="Arial" w:eastAsiaTheme="minorHAnsi" w:hAnsi="Arial" w:cs="Arial"/>
          <w:color w:val="auto"/>
          <w:sz w:val="22"/>
          <w:lang w:val="en-AU" w:eastAsia="en-US"/>
        </w:rPr>
        <w:t xml:space="preserve">timeously </w:t>
      </w:r>
      <w:r w:rsidR="00D2794D" w:rsidRPr="00584B98">
        <w:rPr>
          <w:rFonts w:ascii="Arial" w:eastAsiaTheme="minorHAnsi" w:hAnsi="Arial" w:cs="Arial"/>
          <w:color w:val="auto"/>
          <w:sz w:val="22"/>
          <w:lang w:val="en-AU" w:eastAsia="en-US"/>
        </w:rPr>
        <w:t xml:space="preserve">made as it was </w:t>
      </w:r>
      <w:r w:rsidR="00284CC8" w:rsidRPr="00584B98">
        <w:rPr>
          <w:rFonts w:ascii="Arial" w:eastAsiaTheme="minorHAnsi" w:hAnsi="Arial" w:cs="Arial"/>
          <w:color w:val="auto"/>
          <w:sz w:val="22"/>
          <w:lang w:val="en-AU" w:eastAsia="en-US"/>
        </w:rPr>
        <w:t xml:space="preserve">only </w:t>
      </w:r>
      <w:r w:rsidR="00F96551" w:rsidRPr="00584B98">
        <w:rPr>
          <w:rFonts w:ascii="Arial" w:eastAsiaTheme="minorHAnsi" w:hAnsi="Arial" w:cs="Arial"/>
          <w:color w:val="auto"/>
          <w:sz w:val="22"/>
          <w:lang w:val="en-AU" w:eastAsia="en-US"/>
        </w:rPr>
        <w:t xml:space="preserve">made </w:t>
      </w:r>
      <w:r w:rsidR="00284CC8" w:rsidRPr="00584B98">
        <w:rPr>
          <w:rFonts w:ascii="Arial" w:eastAsiaTheme="minorHAnsi" w:hAnsi="Arial" w:cs="Arial"/>
          <w:color w:val="auto"/>
          <w:sz w:val="22"/>
          <w:lang w:val="en-AU" w:eastAsia="en-US"/>
        </w:rPr>
        <w:t>mid-</w:t>
      </w:r>
      <w:r w:rsidR="008252EC" w:rsidRPr="00584B98">
        <w:rPr>
          <w:rFonts w:ascii="Arial" w:eastAsiaTheme="minorHAnsi" w:hAnsi="Arial" w:cs="Arial"/>
          <w:color w:val="auto"/>
          <w:sz w:val="22"/>
          <w:lang w:val="en-AU" w:eastAsia="en-US"/>
        </w:rPr>
        <w:t xml:space="preserve">morning the </w:t>
      </w:r>
      <w:r w:rsidR="00F96551" w:rsidRPr="00584B98">
        <w:rPr>
          <w:rFonts w:ascii="Arial" w:eastAsiaTheme="minorHAnsi" w:hAnsi="Arial" w:cs="Arial"/>
          <w:color w:val="auto"/>
          <w:sz w:val="22"/>
          <w:lang w:val="en-AU" w:eastAsia="en-US"/>
        </w:rPr>
        <w:t>day before.</w:t>
      </w:r>
      <w:r w:rsidR="004275CE" w:rsidRPr="00584B98">
        <w:rPr>
          <w:rFonts w:ascii="Arial" w:eastAsiaTheme="minorHAnsi" w:hAnsi="Arial" w:cs="Arial"/>
          <w:color w:val="auto"/>
          <w:sz w:val="22"/>
          <w:lang w:val="en-AU" w:eastAsia="en-US"/>
        </w:rPr>
        <w:t xml:space="preserve"> </w:t>
      </w:r>
    </w:p>
    <w:p w14:paraId="6CDC40EA" w14:textId="53BA745B" w:rsidR="008252EC"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lastRenderedPageBreak/>
        <w:t>42.</w:t>
      </w:r>
      <w:r>
        <w:rPr>
          <w:rFonts w:ascii="Arial" w:eastAsiaTheme="minorHAnsi" w:hAnsi="Arial" w:cs="Arial"/>
          <w:color w:val="auto"/>
          <w:sz w:val="22"/>
          <w:lang w:val="en-AU" w:eastAsia="en-US"/>
        </w:rPr>
        <w:tab/>
      </w:r>
      <w:r w:rsidR="008252EC" w:rsidRPr="00584B98">
        <w:rPr>
          <w:rFonts w:ascii="Arial" w:eastAsiaTheme="minorHAnsi" w:hAnsi="Arial" w:cs="Arial"/>
          <w:color w:val="auto"/>
          <w:sz w:val="22"/>
          <w:lang w:val="en-AU" w:eastAsia="en-US"/>
        </w:rPr>
        <w:t>The respondent</w:t>
      </w:r>
      <w:r w:rsidR="004275CE" w:rsidRPr="00584B98">
        <w:rPr>
          <w:rFonts w:ascii="Arial" w:eastAsiaTheme="minorHAnsi" w:hAnsi="Arial" w:cs="Arial"/>
          <w:color w:val="auto"/>
          <w:sz w:val="22"/>
          <w:lang w:val="en-AU" w:eastAsia="en-US"/>
        </w:rPr>
        <w:t xml:space="preserve"> also </w:t>
      </w:r>
      <w:r w:rsidR="008252EC" w:rsidRPr="00584B98">
        <w:rPr>
          <w:rFonts w:ascii="Arial" w:eastAsiaTheme="minorHAnsi" w:hAnsi="Arial" w:cs="Arial"/>
          <w:color w:val="auto"/>
          <w:sz w:val="22"/>
          <w:lang w:val="en-AU" w:eastAsia="en-US"/>
        </w:rPr>
        <w:t>states</w:t>
      </w:r>
      <w:r w:rsidR="004275CE" w:rsidRPr="00584B98">
        <w:rPr>
          <w:rFonts w:ascii="Arial" w:eastAsiaTheme="minorHAnsi" w:hAnsi="Arial" w:cs="Arial"/>
          <w:color w:val="auto"/>
          <w:sz w:val="22"/>
          <w:lang w:val="en-AU" w:eastAsia="en-US"/>
        </w:rPr>
        <w:t xml:space="preserve"> that prior to the </w:t>
      </w:r>
      <w:r w:rsidR="000E3F1D" w:rsidRPr="00584B98">
        <w:rPr>
          <w:rFonts w:ascii="Arial" w:eastAsiaTheme="minorHAnsi" w:hAnsi="Arial" w:cs="Arial"/>
          <w:color w:val="auto"/>
          <w:sz w:val="22"/>
          <w:lang w:val="en-AU" w:eastAsia="en-US"/>
        </w:rPr>
        <w:t xml:space="preserve">2022 </w:t>
      </w:r>
      <w:r w:rsidR="004275CE" w:rsidRPr="00584B98">
        <w:rPr>
          <w:rFonts w:ascii="Arial" w:eastAsiaTheme="minorHAnsi" w:hAnsi="Arial" w:cs="Arial"/>
          <w:color w:val="auto"/>
          <w:sz w:val="22"/>
          <w:lang w:val="en-AU" w:eastAsia="en-US"/>
        </w:rPr>
        <w:t>Father’s Day weekend, the minor children ha</w:t>
      </w:r>
      <w:r w:rsidR="000E3F1D" w:rsidRPr="00584B98">
        <w:rPr>
          <w:rFonts w:ascii="Arial" w:eastAsiaTheme="minorHAnsi" w:hAnsi="Arial" w:cs="Arial"/>
          <w:color w:val="auto"/>
          <w:sz w:val="22"/>
          <w:lang w:val="en-AU" w:eastAsia="en-US"/>
        </w:rPr>
        <w:t>d</w:t>
      </w:r>
      <w:r w:rsidR="004275CE" w:rsidRPr="00584B98">
        <w:rPr>
          <w:rFonts w:ascii="Arial" w:eastAsiaTheme="minorHAnsi" w:hAnsi="Arial" w:cs="Arial"/>
          <w:color w:val="auto"/>
          <w:sz w:val="22"/>
          <w:lang w:val="en-AU" w:eastAsia="en-US"/>
        </w:rPr>
        <w:t xml:space="preserve"> spent two consecutive weekends with the applicant</w:t>
      </w:r>
      <w:r w:rsidR="008252EC" w:rsidRPr="00584B98">
        <w:rPr>
          <w:rFonts w:ascii="Arial" w:eastAsiaTheme="minorHAnsi" w:hAnsi="Arial" w:cs="Arial"/>
          <w:color w:val="auto"/>
          <w:sz w:val="22"/>
          <w:lang w:val="en-AU" w:eastAsia="en-US"/>
        </w:rPr>
        <w:t xml:space="preserve"> (again, this </w:t>
      </w:r>
      <w:r w:rsidR="005A4329" w:rsidRPr="00584B98">
        <w:rPr>
          <w:rFonts w:ascii="Arial" w:eastAsiaTheme="minorHAnsi" w:hAnsi="Arial" w:cs="Arial"/>
          <w:color w:val="auto"/>
          <w:sz w:val="22"/>
          <w:lang w:val="en-AU" w:eastAsia="en-US"/>
        </w:rPr>
        <w:t>is c</w:t>
      </w:r>
      <w:r w:rsidR="008252EC" w:rsidRPr="00584B98">
        <w:rPr>
          <w:rFonts w:ascii="Arial" w:eastAsiaTheme="minorHAnsi" w:hAnsi="Arial" w:cs="Arial"/>
          <w:color w:val="auto"/>
          <w:sz w:val="22"/>
          <w:lang w:val="en-AU" w:eastAsia="en-US"/>
        </w:rPr>
        <w:t xml:space="preserve">ontrary to the </w:t>
      </w:r>
      <w:r w:rsidR="005A4329" w:rsidRPr="00584B98">
        <w:rPr>
          <w:rFonts w:ascii="Arial" w:eastAsiaTheme="minorHAnsi" w:hAnsi="Arial" w:cs="Arial"/>
          <w:color w:val="auto"/>
          <w:sz w:val="22"/>
          <w:lang w:val="en-AU" w:eastAsia="en-US"/>
        </w:rPr>
        <w:t xml:space="preserve">express </w:t>
      </w:r>
      <w:r w:rsidR="008252EC" w:rsidRPr="00584B98">
        <w:rPr>
          <w:rFonts w:ascii="Arial" w:eastAsiaTheme="minorHAnsi" w:hAnsi="Arial" w:cs="Arial"/>
          <w:color w:val="auto"/>
          <w:sz w:val="22"/>
          <w:lang w:val="en-AU" w:eastAsia="en-US"/>
        </w:rPr>
        <w:t>provisions of the deed of settlement, albeit mutually varied by the parties)</w:t>
      </w:r>
      <w:r w:rsidR="000E3F1D" w:rsidRPr="00584B98">
        <w:rPr>
          <w:rFonts w:ascii="Arial" w:eastAsiaTheme="minorHAnsi" w:hAnsi="Arial" w:cs="Arial"/>
          <w:color w:val="auto"/>
          <w:sz w:val="22"/>
          <w:lang w:val="en-AU" w:eastAsia="en-US"/>
        </w:rPr>
        <w:t xml:space="preserve">. </w:t>
      </w:r>
    </w:p>
    <w:p w14:paraId="2361E640" w14:textId="6BB3BCB6" w:rsidR="009B7CCF"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43.</w:t>
      </w:r>
      <w:r>
        <w:rPr>
          <w:rFonts w:ascii="Arial" w:eastAsiaTheme="minorHAnsi" w:hAnsi="Arial" w:cs="Arial"/>
          <w:color w:val="auto"/>
          <w:sz w:val="22"/>
          <w:lang w:val="en-AU" w:eastAsia="en-US"/>
        </w:rPr>
        <w:tab/>
      </w:r>
      <w:r w:rsidR="000E3F1D" w:rsidRPr="00584B98">
        <w:rPr>
          <w:rFonts w:ascii="Arial" w:eastAsiaTheme="minorHAnsi" w:hAnsi="Arial" w:cs="Arial"/>
          <w:color w:val="auto"/>
          <w:sz w:val="22"/>
          <w:lang w:val="en-AU" w:eastAsia="en-US"/>
        </w:rPr>
        <w:t xml:space="preserve">The respondent furthermore </w:t>
      </w:r>
      <w:r w:rsidR="008252EC" w:rsidRPr="00584B98">
        <w:rPr>
          <w:rFonts w:ascii="Arial" w:eastAsiaTheme="minorHAnsi" w:hAnsi="Arial" w:cs="Arial"/>
          <w:color w:val="auto"/>
          <w:sz w:val="22"/>
          <w:lang w:val="en-AU" w:eastAsia="en-US"/>
        </w:rPr>
        <w:t xml:space="preserve">states </w:t>
      </w:r>
      <w:r w:rsidR="000E3F1D" w:rsidRPr="00584B98">
        <w:rPr>
          <w:rFonts w:ascii="Arial" w:eastAsiaTheme="minorHAnsi" w:hAnsi="Arial" w:cs="Arial"/>
          <w:color w:val="auto"/>
          <w:sz w:val="22"/>
          <w:lang w:val="en-AU" w:eastAsia="en-US"/>
        </w:rPr>
        <w:t xml:space="preserve">that she did not spend Mother’s Day with the minor children </w:t>
      </w:r>
      <w:r w:rsidR="005A4329" w:rsidRPr="00584B98">
        <w:rPr>
          <w:rFonts w:ascii="Arial" w:eastAsiaTheme="minorHAnsi" w:hAnsi="Arial" w:cs="Arial"/>
          <w:color w:val="auto"/>
          <w:sz w:val="22"/>
          <w:lang w:val="en-AU" w:eastAsia="en-US"/>
        </w:rPr>
        <w:t xml:space="preserve">because </w:t>
      </w:r>
      <w:r w:rsidR="000E3F1D" w:rsidRPr="00584B98">
        <w:rPr>
          <w:rFonts w:ascii="Arial" w:eastAsiaTheme="minorHAnsi" w:hAnsi="Arial" w:cs="Arial"/>
          <w:color w:val="auto"/>
          <w:sz w:val="22"/>
          <w:lang w:val="en-AU" w:eastAsia="en-US"/>
        </w:rPr>
        <w:t xml:space="preserve">Mother’s Day fell on the applicant’s weekend. The respondent </w:t>
      </w:r>
      <w:r w:rsidR="005A4329" w:rsidRPr="00584B98">
        <w:rPr>
          <w:rFonts w:ascii="Arial" w:eastAsiaTheme="minorHAnsi" w:hAnsi="Arial" w:cs="Arial"/>
          <w:color w:val="auto"/>
          <w:sz w:val="22"/>
          <w:lang w:val="en-AU" w:eastAsia="en-US"/>
        </w:rPr>
        <w:t xml:space="preserve">recorded </w:t>
      </w:r>
      <w:r w:rsidR="000E3F1D" w:rsidRPr="00584B98">
        <w:rPr>
          <w:rFonts w:ascii="Arial" w:eastAsiaTheme="minorHAnsi" w:hAnsi="Arial" w:cs="Arial"/>
          <w:color w:val="auto"/>
          <w:sz w:val="22"/>
          <w:lang w:val="en-AU" w:eastAsia="en-US"/>
        </w:rPr>
        <w:t xml:space="preserve">that the parties have never in the past made </w:t>
      </w:r>
      <w:r w:rsidR="005A4329" w:rsidRPr="00584B98">
        <w:rPr>
          <w:rFonts w:ascii="Arial" w:eastAsiaTheme="minorHAnsi" w:hAnsi="Arial" w:cs="Arial"/>
          <w:color w:val="auto"/>
          <w:sz w:val="22"/>
          <w:lang w:val="en-AU" w:eastAsia="en-US"/>
        </w:rPr>
        <w:t xml:space="preserve">any specific </w:t>
      </w:r>
      <w:r w:rsidR="000E3F1D" w:rsidRPr="00584B98">
        <w:rPr>
          <w:rFonts w:ascii="Arial" w:eastAsiaTheme="minorHAnsi" w:hAnsi="Arial" w:cs="Arial"/>
          <w:color w:val="auto"/>
          <w:sz w:val="22"/>
          <w:lang w:val="en-AU" w:eastAsia="en-US"/>
        </w:rPr>
        <w:t xml:space="preserve">arrangements regarding Mother’s Day and Father’s Day and that, if </w:t>
      </w:r>
      <w:r w:rsidR="005A4329" w:rsidRPr="00584B98">
        <w:rPr>
          <w:rFonts w:ascii="Arial" w:eastAsiaTheme="minorHAnsi" w:hAnsi="Arial" w:cs="Arial"/>
          <w:color w:val="auto"/>
          <w:sz w:val="22"/>
          <w:lang w:val="en-AU" w:eastAsia="en-US"/>
        </w:rPr>
        <w:t xml:space="preserve">a particular Mother’s Day or Father’s Day fell </w:t>
      </w:r>
      <w:r w:rsidR="000E3F1D" w:rsidRPr="00584B98">
        <w:rPr>
          <w:rFonts w:ascii="Arial" w:eastAsiaTheme="minorHAnsi" w:hAnsi="Arial" w:cs="Arial"/>
          <w:color w:val="auto"/>
          <w:sz w:val="22"/>
          <w:lang w:val="en-AU" w:eastAsia="en-US"/>
        </w:rPr>
        <w:t>on a particular parties’ weekend, it was simply left as that.</w:t>
      </w:r>
      <w:r w:rsidR="008252EC" w:rsidRPr="00584B98">
        <w:rPr>
          <w:rFonts w:ascii="Arial" w:eastAsiaTheme="minorHAnsi" w:hAnsi="Arial" w:cs="Arial"/>
          <w:color w:val="auto"/>
          <w:sz w:val="22"/>
          <w:lang w:val="en-AU" w:eastAsia="en-US"/>
        </w:rPr>
        <w:t xml:space="preserve"> This is not disputed by the applicant.</w:t>
      </w:r>
      <w:r w:rsidR="005A4329" w:rsidRPr="00584B98">
        <w:rPr>
          <w:rFonts w:ascii="Arial" w:eastAsiaTheme="minorHAnsi" w:hAnsi="Arial" w:cs="Arial"/>
          <w:color w:val="auto"/>
          <w:sz w:val="22"/>
          <w:lang w:val="en-AU" w:eastAsia="en-US"/>
        </w:rPr>
        <w:t xml:space="preserve"> </w:t>
      </w:r>
    </w:p>
    <w:p w14:paraId="2383F914" w14:textId="0F5C3828" w:rsidR="009B7CCF"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9B7CCF">
        <w:rPr>
          <w:rFonts w:ascii="Arial" w:eastAsiaTheme="minorHAnsi" w:hAnsi="Arial" w:cs="Arial"/>
          <w:color w:val="auto"/>
          <w:sz w:val="22"/>
          <w:lang w:val="en-AU" w:eastAsia="en-US"/>
        </w:rPr>
        <w:t>44.</w:t>
      </w:r>
      <w:r w:rsidRPr="009B7CCF">
        <w:rPr>
          <w:rFonts w:ascii="Arial" w:eastAsiaTheme="minorHAnsi" w:hAnsi="Arial" w:cs="Arial"/>
          <w:color w:val="auto"/>
          <w:sz w:val="22"/>
          <w:lang w:val="en-AU" w:eastAsia="en-US"/>
        </w:rPr>
        <w:tab/>
      </w:r>
      <w:r w:rsidR="009B7CCF" w:rsidRPr="00584B98">
        <w:rPr>
          <w:rFonts w:ascii="Arial" w:eastAsiaTheme="minorHAnsi" w:hAnsi="Arial" w:cs="Arial"/>
          <w:color w:val="auto"/>
          <w:sz w:val="22"/>
          <w:lang w:val="en-AU" w:eastAsia="en-US"/>
        </w:rPr>
        <w:t xml:space="preserve">This status quo endured for some 5 or 6 years without either party insisting on strict compliance with the express terms of the deed of settlement; a position in respect of which both parties, at the very least, acquiesced. </w:t>
      </w:r>
    </w:p>
    <w:p w14:paraId="7B528FD7" w14:textId="4AAFCC53" w:rsidR="00820CDD"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820CDD">
        <w:rPr>
          <w:rFonts w:ascii="Arial" w:eastAsiaTheme="minorHAnsi" w:hAnsi="Arial" w:cs="Arial"/>
          <w:color w:val="auto"/>
          <w:sz w:val="22"/>
          <w:lang w:val="en-AU" w:eastAsia="en-US"/>
        </w:rPr>
        <w:t>45.</w:t>
      </w:r>
      <w:r w:rsidRPr="00820CDD">
        <w:rPr>
          <w:rFonts w:ascii="Arial" w:eastAsiaTheme="minorHAnsi" w:hAnsi="Arial" w:cs="Arial"/>
          <w:color w:val="auto"/>
          <w:sz w:val="22"/>
          <w:lang w:val="en-AU" w:eastAsia="en-US"/>
        </w:rPr>
        <w:tab/>
      </w:r>
      <w:r w:rsidR="00820CDD" w:rsidRPr="00584B98">
        <w:rPr>
          <w:rFonts w:ascii="Arial" w:eastAsiaTheme="minorHAnsi" w:hAnsi="Arial" w:cs="Arial"/>
          <w:color w:val="auto"/>
          <w:sz w:val="22"/>
          <w:lang w:val="en-AU" w:eastAsia="en-US"/>
        </w:rPr>
        <w:t>From the affidavits filed of record, and the arguments presented, I find that both the applicant and the respondent were willing and happy - on a seemingly laissez-faire basis and over an extended period of a number of years - to engage and agree on ad hoc and informal variations to the deed of settlement when it came to, inter-alia, issues and questions of contact</w:t>
      </w:r>
      <w:r w:rsidR="009B7CCF" w:rsidRPr="00584B98">
        <w:rPr>
          <w:rFonts w:ascii="Arial" w:eastAsiaTheme="minorHAnsi" w:hAnsi="Arial" w:cs="Arial"/>
          <w:color w:val="auto"/>
          <w:sz w:val="22"/>
          <w:lang w:val="en-AU" w:eastAsia="en-US"/>
        </w:rPr>
        <w:t xml:space="preserve">, </w:t>
      </w:r>
      <w:r w:rsidR="00820CDD" w:rsidRPr="00584B98">
        <w:rPr>
          <w:rFonts w:ascii="Arial" w:eastAsiaTheme="minorHAnsi" w:hAnsi="Arial" w:cs="Arial"/>
          <w:color w:val="auto"/>
          <w:sz w:val="22"/>
          <w:lang w:val="en-AU" w:eastAsia="en-US"/>
        </w:rPr>
        <w:t xml:space="preserve">and that they did so notwithstanding that expressly agreed upon and provided for in the deed of settlement. The clause 3.4 and 3.5 provisos additionally confirm that the express terms of the </w:t>
      </w:r>
      <w:r w:rsidR="009B7CCF" w:rsidRPr="00584B98">
        <w:rPr>
          <w:rFonts w:ascii="Arial" w:eastAsiaTheme="minorHAnsi" w:hAnsi="Arial" w:cs="Arial"/>
          <w:color w:val="auto"/>
          <w:sz w:val="22"/>
          <w:lang w:val="en-AU" w:eastAsia="en-US"/>
        </w:rPr>
        <w:t>d</w:t>
      </w:r>
      <w:r w:rsidR="00820CDD" w:rsidRPr="00584B98">
        <w:rPr>
          <w:rFonts w:ascii="Arial" w:eastAsiaTheme="minorHAnsi" w:hAnsi="Arial" w:cs="Arial"/>
          <w:color w:val="auto"/>
          <w:sz w:val="22"/>
          <w:lang w:val="en-AU" w:eastAsia="en-US"/>
        </w:rPr>
        <w:t>eed of settlement are not carved in stone.</w:t>
      </w:r>
    </w:p>
    <w:p w14:paraId="2965211F" w14:textId="2EC4B3D4" w:rsidR="00820CDD"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820CDD">
        <w:rPr>
          <w:rFonts w:ascii="Arial" w:eastAsiaTheme="minorHAnsi" w:hAnsi="Arial" w:cs="Arial"/>
          <w:color w:val="auto"/>
          <w:sz w:val="22"/>
          <w:lang w:val="en-AU" w:eastAsia="en-US"/>
        </w:rPr>
        <w:t>46.</w:t>
      </w:r>
      <w:r w:rsidRPr="00820CDD">
        <w:rPr>
          <w:rFonts w:ascii="Arial" w:eastAsiaTheme="minorHAnsi" w:hAnsi="Arial" w:cs="Arial"/>
          <w:color w:val="auto"/>
          <w:sz w:val="22"/>
          <w:lang w:val="en-AU" w:eastAsia="en-US"/>
        </w:rPr>
        <w:tab/>
      </w:r>
      <w:r w:rsidR="00820CDD" w:rsidRPr="00584B98">
        <w:rPr>
          <w:rFonts w:ascii="Arial" w:eastAsiaTheme="minorHAnsi" w:hAnsi="Arial" w:cs="Arial"/>
          <w:color w:val="auto"/>
          <w:sz w:val="22"/>
          <w:lang w:val="en-AU" w:eastAsia="en-US"/>
        </w:rPr>
        <w:t xml:space="preserve">At worst, the parties adopted and implemented a mutually beneficial approach and attitude to the deed of settlement, in which they engaged, or acquiesced, in contact arrangements different to those expressly provided for </w:t>
      </w:r>
      <w:r w:rsidR="009B7CCF" w:rsidRPr="00584B98">
        <w:rPr>
          <w:rFonts w:ascii="Arial" w:eastAsiaTheme="minorHAnsi" w:hAnsi="Arial" w:cs="Arial"/>
          <w:color w:val="auto"/>
          <w:sz w:val="22"/>
          <w:lang w:val="en-AU" w:eastAsia="en-US"/>
        </w:rPr>
        <w:t xml:space="preserve">in the </w:t>
      </w:r>
      <w:r w:rsidR="00820CDD" w:rsidRPr="00584B98">
        <w:rPr>
          <w:rFonts w:ascii="Arial" w:eastAsiaTheme="minorHAnsi" w:hAnsi="Arial" w:cs="Arial"/>
          <w:color w:val="auto"/>
          <w:sz w:val="22"/>
          <w:lang w:val="en-AU" w:eastAsia="en-US"/>
        </w:rPr>
        <w:t xml:space="preserve">deed of settlement.  </w:t>
      </w:r>
    </w:p>
    <w:p w14:paraId="27B45909" w14:textId="69E08CDC" w:rsidR="00820CDD"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820CDD">
        <w:rPr>
          <w:rFonts w:ascii="Arial" w:eastAsiaTheme="minorHAnsi" w:hAnsi="Arial" w:cs="Arial"/>
          <w:color w:val="auto"/>
          <w:sz w:val="22"/>
          <w:lang w:val="en-AU" w:eastAsia="en-US"/>
        </w:rPr>
        <w:t>47.</w:t>
      </w:r>
      <w:r w:rsidRPr="00820CDD">
        <w:rPr>
          <w:rFonts w:ascii="Arial" w:eastAsiaTheme="minorHAnsi" w:hAnsi="Arial" w:cs="Arial"/>
          <w:color w:val="auto"/>
          <w:sz w:val="22"/>
          <w:lang w:val="en-AU" w:eastAsia="en-US"/>
        </w:rPr>
        <w:tab/>
      </w:r>
      <w:r w:rsidR="00820CDD" w:rsidRPr="00584B98">
        <w:rPr>
          <w:rFonts w:ascii="Arial" w:eastAsiaTheme="minorHAnsi" w:hAnsi="Arial" w:cs="Arial"/>
          <w:color w:val="auto"/>
          <w:sz w:val="22"/>
          <w:lang w:val="en-AU" w:eastAsia="en-US"/>
        </w:rPr>
        <w:t>Whilst I</w:t>
      </w:r>
      <w:r w:rsidR="009B7CCF" w:rsidRPr="00584B98">
        <w:rPr>
          <w:rFonts w:ascii="Arial" w:eastAsiaTheme="minorHAnsi" w:hAnsi="Arial" w:cs="Arial"/>
          <w:color w:val="auto"/>
          <w:sz w:val="22"/>
          <w:lang w:val="en-AU" w:eastAsia="en-US"/>
        </w:rPr>
        <w:t xml:space="preserve"> am</w:t>
      </w:r>
      <w:r w:rsidR="00820CDD" w:rsidRPr="00584B98">
        <w:rPr>
          <w:rFonts w:ascii="Arial" w:eastAsiaTheme="minorHAnsi" w:hAnsi="Arial" w:cs="Arial"/>
          <w:color w:val="auto"/>
          <w:sz w:val="22"/>
          <w:lang w:val="en-AU" w:eastAsia="en-US"/>
        </w:rPr>
        <w:t xml:space="preserve"> obviously mindful that a court order is binding until interdicted or set aside by a competent court</w:t>
      </w:r>
      <w:r w:rsidR="009B7CCF" w:rsidRPr="00584B98">
        <w:rPr>
          <w:rFonts w:ascii="Arial" w:eastAsiaTheme="minorHAnsi" w:hAnsi="Arial" w:cs="Arial"/>
          <w:color w:val="auto"/>
          <w:sz w:val="22"/>
          <w:lang w:val="en-AU" w:eastAsia="en-US"/>
        </w:rPr>
        <w:t>,</w:t>
      </w:r>
      <w:r w:rsidR="00820CDD" w:rsidRPr="00584B98">
        <w:rPr>
          <w:rFonts w:ascii="Arial" w:eastAsiaTheme="minorHAnsi" w:hAnsi="Arial" w:cs="Arial"/>
          <w:color w:val="auto"/>
          <w:sz w:val="22"/>
          <w:lang w:val="en-AU" w:eastAsia="en-US"/>
        </w:rPr>
        <w:t xml:space="preserve"> and must be complied with, I also cannot ignore that, when it suited him, the applicant did not appear to have any regard to, let alone insist upon due compliance with, the </w:t>
      </w:r>
      <w:r w:rsidR="00820CDD" w:rsidRPr="00584B98">
        <w:rPr>
          <w:rFonts w:ascii="Arial" w:eastAsiaTheme="minorHAnsi" w:hAnsi="Arial" w:cs="Arial"/>
          <w:color w:val="auto"/>
          <w:sz w:val="22"/>
          <w:lang w:val="en-AU" w:eastAsia="en-US"/>
        </w:rPr>
        <w:lastRenderedPageBreak/>
        <w:t>relevant provisions of the deed of settlement. There is indubitably something odious, if not unconscionable and contrary to public policy, in the applicant’s recent and belated volte face. Sauce for the goose must be sauce for the gander. As such, I cannot find</w:t>
      </w:r>
      <w:r w:rsidR="009B7CCF" w:rsidRPr="00584B98">
        <w:rPr>
          <w:rFonts w:ascii="Arial" w:eastAsiaTheme="minorHAnsi" w:hAnsi="Arial" w:cs="Arial"/>
          <w:color w:val="auto"/>
          <w:sz w:val="22"/>
          <w:lang w:val="en-AU" w:eastAsia="en-US"/>
        </w:rPr>
        <w:t xml:space="preserve"> that</w:t>
      </w:r>
      <w:r w:rsidR="00820CDD" w:rsidRPr="00584B98">
        <w:rPr>
          <w:rFonts w:ascii="Arial" w:eastAsiaTheme="minorHAnsi" w:hAnsi="Arial" w:cs="Arial"/>
          <w:color w:val="auto"/>
          <w:sz w:val="22"/>
          <w:lang w:val="en-AU" w:eastAsia="en-US"/>
        </w:rPr>
        <w:t xml:space="preserve"> the alleged non-compliance by the respondent with the express terms of the deed of settlement as being </w:t>
      </w:r>
      <w:r w:rsidR="00820CDD" w:rsidRPr="00584B98">
        <w:rPr>
          <w:rFonts w:ascii="Arial" w:eastAsiaTheme="minorHAnsi" w:hAnsi="Arial" w:cs="Arial"/>
          <w:i/>
          <w:iCs/>
          <w:color w:val="auto"/>
          <w:sz w:val="22"/>
          <w:lang w:val="en-AU" w:eastAsia="en-US"/>
        </w:rPr>
        <w:t>mala fide</w:t>
      </w:r>
      <w:r w:rsidR="00820CDD" w:rsidRPr="00584B98">
        <w:rPr>
          <w:rFonts w:ascii="Arial" w:eastAsiaTheme="minorHAnsi" w:hAnsi="Arial" w:cs="Arial"/>
          <w:color w:val="auto"/>
          <w:sz w:val="22"/>
          <w:lang w:val="en-AU" w:eastAsia="en-US"/>
        </w:rPr>
        <w:t xml:space="preserve"> or deserving of sanction.</w:t>
      </w:r>
    </w:p>
    <w:p w14:paraId="281A384C" w14:textId="66A6BB74" w:rsidR="005A4329"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48.</w:t>
      </w:r>
      <w:r>
        <w:rPr>
          <w:rFonts w:ascii="Arial" w:eastAsiaTheme="minorHAnsi" w:hAnsi="Arial" w:cs="Arial"/>
          <w:color w:val="auto"/>
          <w:sz w:val="22"/>
          <w:lang w:val="en-AU" w:eastAsia="en-US"/>
        </w:rPr>
        <w:tab/>
      </w:r>
      <w:r w:rsidR="005A4329" w:rsidRPr="00584B98">
        <w:rPr>
          <w:rFonts w:ascii="Arial" w:eastAsiaTheme="minorHAnsi" w:hAnsi="Arial" w:cs="Arial"/>
          <w:color w:val="auto"/>
          <w:sz w:val="22"/>
          <w:lang w:val="en-AU" w:eastAsia="en-US"/>
        </w:rPr>
        <w:t>Moreover, even if I am incorrect on the aforesaid score, t</w:t>
      </w:r>
      <w:r w:rsidR="00CB7E6B" w:rsidRPr="00584B98">
        <w:rPr>
          <w:rFonts w:ascii="Arial" w:eastAsiaTheme="minorHAnsi" w:hAnsi="Arial" w:cs="Arial"/>
          <w:color w:val="auto"/>
          <w:sz w:val="22"/>
          <w:lang w:val="en-AU" w:eastAsia="en-US"/>
        </w:rPr>
        <w:t>he deed of settlement provides that the applicant’s right of reasonable contact is subject to the minor children’s educational, sporting, social and religious activities. I am of the view that the applicant’s belated request to have contact on Father’s Day</w:t>
      </w:r>
      <w:r w:rsidR="003E41E2" w:rsidRPr="00584B98">
        <w:rPr>
          <w:rFonts w:ascii="Arial" w:eastAsiaTheme="minorHAnsi" w:hAnsi="Arial" w:cs="Arial"/>
          <w:color w:val="auto"/>
          <w:sz w:val="22"/>
          <w:lang w:val="en-AU" w:eastAsia="en-US"/>
        </w:rPr>
        <w:t xml:space="preserve"> was subject to the minor children’s educational and social activities. </w:t>
      </w:r>
      <w:r w:rsidR="005A4329" w:rsidRPr="00584B98">
        <w:rPr>
          <w:rFonts w:ascii="Arial" w:eastAsiaTheme="minorHAnsi" w:hAnsi="Arial" w:cs="Arial"/>
          <w:color w:val="auto"/>
          <w:sz w:val="22"/>
          <w:lang w:val="en-AU" w:eastAsia="en-US"/>
        </w:rPr>
        <w:t>T</w:t>
      </w:r>
      <w:r w:rsidR="003E41E2" w:rsidRPr="00584B98">
        <w:rPr>
          <w:rFonts w:ascii="Arial" w:eastAsiaTheme="minorHAnsi" w:hAnsi="Arial" w:cs="Arial"/>
          <w:color w:val="auto"/>
          <w:sz w:val="22"/>
          <w:lang w:val="en-AU" w:eastAsia="en-US"/>
        </w:rPr>
        <w:t xml:space="preserve">he respondent and the minor children already had plans </w:t>
      </w:r>
      <w:r w:rsidR="00D2794D" w:rsidRPr="00584B98">
        <w:rPr>
          <w:rFonts w:ascii="Arial" w:eastAsiaTheme="minorHAnsi" w:hAnsi="Arial" w:cs="Arial"/>
          <w:color w:val="auto"/>
          <w:sz w:val="22"/>
          <w:lang w:val="en-AU" w:eastAsia="en-US"/>
        </w:rPr>
        <w:t>(educational and social)</w:t>
      </w:r>
      <w:r w:rsidR="005A4329" w:rsidRPr="005A4329">
        <w:t xml:space="preserve"> </w:t>
      </w:r>
      <w:r w:rsidR="005A4329" w:rsidRPr="00584B98">
        <w:rPr>
          <w:rFonts w:ascii="Arial" w:eastAsiaTheme="minorHAnsi" w:hAnsi="Arial" w:cs="Arial"/>
          <w:color w:val="auto"/>
          <w:sz w:val="22"/>
          <w:lang w:val="en-AU" w:eastAsia="en-US"/>
        </w:rPr>
        <w:t>for the weekend</w:t>
      </w:r>
      <w:r w:rsidR="008252EC" w:rsidRPr="00584B98">
        <w:rPr>
          <w:rFonts w:ascii="Arial" w:eastAsiaTheme="minorHAnsi" w:hAnsi="Arial" w:cs="Arial"/>
          <w:color w:val="auto"/>
          <w:sz w:val="22"/>
          <w:lang w:val="en-AU" w:eastAsia="en-US"/>
        </w:rPr>
        <w:t>.</w:t>
      </w:r>
      <w:r w:rsidR="005A4329" w:rsidRPr="00584B98">
        <w:rPr>
          <w:rFonts w:ascii="Arial" w:eastAsiaTheme="minorHAnsi" w:hAnsi="Arial" w:cs="Arial"/>
          <w:color w:val="auto"/>
          <w:sz w:val="22"/>
          <w:lang w:val="en-AU" w:eastAsia="en-US"/>
        </w:rPr>
        <w:t xml:space="preserve"> As such, t</w:t>
      </w:r>
      <w:r w:rsidR="003E41E2" w:rsidRPr="00584B98">
        <w:rPr>
          <w:rFonts w:ascii="Arial" w:eastAsiaTheme="minorHAnsi" w:hAnsi="Arial" w:cs="Arial"/>
          <w:color w:val="auto"/>
          <w:sz w:val="22"/>
          <w:lang w:val="en-AU" w:eastAsia="en-US"/>
        </w:rPr>
        <w:t xml:space="preserve">he applicant’s right to contact on Father’s Day </w:t>
      </w:r>
      <w:r w:rsidR="008252EC" w:rsidRPr="00584B98">
        <w:rPr>
          <w:rFonts w:ascii="Arial" w:eastAsiaTheme="minorHAnsi" w:hAnsi="Arial" w:cs="Arial"/>
          <w:color w:val="auto"/>
          <w:sz w:val="22"/>
          <w:lang w:val="en-AU" w:eastAsia="en-US"/>
        </w:rPr>
        <w:t>i</w:t>
      </w:r>
      <w:r w:rsidR="003E41E2" w:rsidRPr="00584B98">
        <w:rPr>
          <w:rFonts w:ascii="Arial" w:eastAsiaTheme="minorHAnsi" w:hAnsi="Arial" w:cs="Arial"/>
          <w:color w:val="auto"/>
          <w:sz w:val="22"/>
          <w:lang w:val="en-AU" w:eastAsia="en-US"/>
        </w:rPr>
        <w:t xml:space="preserve">s not </w:t>
      </w:r>
      <w:r w:rsidR="008A1B56" w:rsidRPr="00584B98">
        <w:rPr>
          <w:rFonts w:ascii="Arial" w:eastAsiaTheme="minorHAnsi" w:hAnsi="Arial" w:cs="Arial"/>
          <w:color w:val="auto"/>
          <w:sz w:val="22"/>
          <w:lang w:val="en-AU" w:eastAsia="en-US"/>
        </w:rPr>
        <w:t xml:space="preserve">unqualified. </w:t>
      </w:r>
    </w:p>
    <w:p w14:paraId="2B6E7212" w14:textId="326794A6" w:rsidR="000B1DC6"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49.</w:t>
      </w:r>
      <w:r>
        <w:rPr>
          <w:rFonts w:ascii="Arial" w:eastAsiaTheme="minorHAnsi" w:hAnsi="Arial" w:cs="Arial"/>
          <w:color w:val="auto"/>
          <w:sz w:val="22"/>
          <w:lang w:val="en-AU" w:eastAsia="en-US"/>
        </w:rPr>
        <w:tab/>
      </w:r>
      <w:r w:rsidR="000B1DC6" w:rsidRPr="00584B98">
        <w:rPr>
          <w:rFonts w:ascii="Arial" w:eastAsiaTheme="minorHAnsi" w:hAnsi="Arial" w:cs="Arial"/>
          <w:color w:val="auto"/>
          <w:sz w:val="22"/>
          <w:lang w:val="en-AU" w:eastAsia="en-US"/>
        </w:rPr>
        <w:t>The respondent was entitled, acting in good faith, to act in accordance with such plans given the parties historical attitude to Mother’s Day and Father’s Day. She</w:t>
      </w:r>
      <w:r w:rsidR="00820CDD" w:rsidRPr="00584B98">
        <w:rPr>
          <w:rFonts w:ascii="Arial" w:eastAsiaTheme="minorHAnsi" w:hAnsi="Arial" w:cs="Arial"/>
          <w:color w:val="auto"/>
          <w:sz w:val="22"/>
          <w:lang w:val="en-AU" w:eastAsia="en-US"/>
        </w:rPr>
        <w:t xml:space="preserve">, again, </w:t>
      </w:r>
      <w:r w:rsidR="000B1DC6" w:rsidRPr="00584B98">
        <w:rPr>
          <w:rFonts w:ascii="Arial" w:eastAsiaTheme="minorHAnsi" w:hAnsi="Arial" w:cs="Arial"/>
          <w:color w:val="auto"/>
          <w:sz w:val="22"/>
          <w:lang w:val="en-AU" w:eastAsia="en-US"/>
        </w:rPr>
        <w:t xml:space="preserve">cannot be </w:t>
      </w:r>
      <w:r w:rsidR="00820CDD" w:rsidRPr="00584B98">
        <w:rPr>
          <w:rFonts w:ascii="Arial" w:eastAsiaTheme="minorHAnsi" w:hAnsi="Arial" w:cs="Arial"/>
          <w:color w:val="auto"/>
          <w:sz w:val="22"/>
          <w:lang w:val="en-AU" w:eastAsia="en-US"/>
        </w:rPr>
        <w:t>found</w:t>
      </w:r>
      <w:r w:rsidR="000B1DC6" w:rsidRPr="00584B98">
        <w:rPr>
          <w:rFonts w:ascii="Arial" w:eastAsiaTheme="minorHAnsi" w:hAnsi="Arial" w:cs="Arial"/>
          <w:color w:val="auto"/>
          <w:sz w:val="22"/>
          <w:lang w:val="en-AU" w:eastAsia="en-US"/>
        </w:rPr>
        <w:t xml:space="preserve"> to have acted in bad faith.</w:t>
      </w:r>
    </w:p>
    <w:p w14:paraId="057B23AC" w14:textId="1EBAB7D2" w:rsidR="008252EC"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8252EC">
        <w:rPr>
          <w:rFonts w:ascii="Arial" w:eastAsiaTheme="minorHAnsi" w:hAnsi="Arial" w:cs="Arial"/>
          <w:color w:val="auto"/>
          <w:sz w:val="22"/>
          <w:lang w:val="en-AU" w:eastAsia="en-US"/>
        </w:rPr>
        <w:t>50.</w:t>
      </w:r>
      <w:r w:rsidRPr="008252EC">
        <w:rPr>
          <w:rFonts w:ascii="Arial" w:eastAsiaTheme="minorHAnsi" w:hAnsi="Arial" w:cs="Arial"/>
          <w:color w:val="auto"/>
          <w:sz w:val="22"/>
          <w:lang w:val="en-AU" w:eastAsia="en-US"/>
        </w:rPr>
        <w:tab/>
      </w:r>
      <w:r w:rsidR="008252EC" w:rsidRPr="00584B98">
        <w:rPr>
          <w:rFonts w:ascii="Arial" w:eastAsiaTheme="minorHAnsi" w:hAnsi="Arial" w:cs="Arial"/>
          <w:color w:val="auto"/>
          <w:sz w:val="22"/>
          <w:lang w:val="en-AU" w:eastAsia="en-US"/>
        </w:rPr>
        <w:t xml:space="preserve">Accordingly, I find that in respect of the Father’s Day contact, the respondent genuinely believed, even if mistakenly, that she was entitled to act in the way claimed to constitute the contempt. The respondent’s good faith belief </w:t>
      </w:r>
      <w:r w:rsidR="000B1DC6" w:rsidRPr="00584B98">
        <w:rPr>
          <w:rFonts w:ascii="Arial" w:eastAsiaTheme="minorHAnsi" w:hAnsi="Arial" w:cs="Arial"/>
          <w:color w:val="auto"/>
          <w:sz w:val="22"/>
          <w:lang w:val="en-AU" w:eastAsia="en-US"/>
        </w:rPr>
        <w:t>similarly</w:t>
      </w:r>
      <w:r w:rsidR="008252EC" w:rsidRPr="00584B98">
        <w:rPr>
          <w:rFonts w:ascii="Arial" w:eastAsiaTheme="minorHAnsi" w:hAnsi="Arial" w:cs="Arial"/>
          <w:color w:val="auto"/>
          <w:sz w:val="22"/>
          <w:lang w:val="en-AU" w:eastAsia="en-US"/>
        </w:rPr>
        <w:t xml:space="preserve"> </w:t>
      </w:r>
      <w:r w:rsidR="000B1DC6" w:rsidRPr="00584B98">
        <w:rPr>
          <w:rFonts w:ascii="Arial" w:eastAsiaTheme="minorHAnsi" w:hAnsi="Arial" w:cs="Arial"/>
          <w:color w:val="auto"/>
          <w:sz w:val="22"/>
          <w:lang w:val="en-AU" w:eastAsia="en-US"/>
        </w:rPr>
        <w:t>“</w:t>
      </w:r>
      <w:r w:rsidR="008252EC" w:rsidRPr="00584B98">
        <w:rPr>
          <w:rFonts w:ascii="Arial" w:eastAsiaTheme="minorHAnsi" w:hAnsi="Arial" w:cs="Arial"/>
          <w:color w:val="auto"/>
          <w:sz w:val="22"/>
          <w:lang w:val="en-AU" w:eastAsia="en-US"/>
        </w:rPr>
        <w:t>avoids the infraction</w:t>
      </w:r>
      <w:r w:rsidR="000B1DC6" w:rsidRPr="00584B98">
        <w:rPr>
          <w:rFonts w:ascii="Arial" w:eastAsiaTheme="minorHAnsi" w:hAnsi="Arial" w:cs="Arial"/>
          <w:color w:val="auto"/>
          <w:sz w:val="22"/>
          <w:lang w:val="en-AU" w:eastAsia="en-US"/>
        </w:rPr>
        <w:t>”</w:t>
      </w:r>
      <w:r w:rsidR="008252EC" w:rsidRPr="00584B98">
        <w:rPr>
          <w:rFonts w:ascii="Arial" w:eastAsiaTheme="minorHAnsi" w:hAnsi="Arial" w:cs="Arial"/>
          <w:color w:val="auto"/>
          <w:sz w:val="22"/>
          <w:lang w:val="en-AU" w:eastAsia="en-US"/>
        </w:rPr>
        <w:t>.</w:t>
      </w:r>
    </w:p>
    <w:p w14:paraId="39912C92" w14:textId="1124AB17" w:rsidR="008F2CCB"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51.</w:t>
      </w:r>
      <w:r>
        <w:rPr>
          <w:rFonts w:ascii="Arial" w:eastAsiaTheme="minorHAnsi" w:hAnsi="Arial" w:cs="Arial"/>
          <w:color w:val="auto"/>
          <w:sz w:val="22"/>
          <w:lang w:val="en-AU" w:eastAsia="en-US"/>
        </w:rPr>
        <w:tab/>
      </w:r>
      <w:r w:rsidR="000B1DC6" w:rsidRPr="00584B98">
        <w:rPr>
          <w:rFonts w:ascii="Arial" w:eastAsiaTheme="minorHAnsi" w:hAnsi="Arial" w:cs="Arial"/>
          <w:color w:val="auto"/>
          <w:sz w:val="22"/>
          <w:lang w:val="en-AU" w:eastAsia="en-US"/>
        </w:rPr>
        <w:t xml:space="preserve">Turning to the last Part A issue, the </w:t>
      </w:r>
      <w:r w:rsidR="008F2CCB" w:rsidRPr="00584B98">
        <w:rPr>
          <w:rFonts w:ascii="Arial" w:eastAsiaTheme="minorHAnsi" w:hAnsi="Arial" w:cs="Arial"/>
          <w:color w:val="auto"/>
          <w:sz w:val="22"/>
          <w:lang w:val="en-AU" w:eastAsia="en-US"/>
        </w:rPr>
        <w:t>applicant</w:t>
      </w:r>
      <w:r w:rsidR="000B1DC6" w:rsidRPr="00584B98">
        <w:rPr>
          <w:rFonts w:ascii="Arial" w:eastAsiaTheme="minorHAnsi" w:hAnsi="Arial" w:cs="Arial"/>
          <w:color w:val="auto"/>
          <w:sz w:val="22"/>
          <w:lang w:val="en-AU" w:eastAsia="en-US"/>
        </w:rPr>
        <w:t xml:space="preserve"> complains</w:t>
      </w:r>
      <w:r w:rsidR="008F2CCB" w:rsidRPr="00584B98">
        <w:rPr>
          <w:rFonts w:ascii="Arial" w:eastAsiaTheme="minorHAnsi" w:hAnsi="Arial" w:cs="Arial"/>
          <w:color w:val="auto"/>
          <w:sz w:val="22"/>
          <w:lang w:val="en-AU" w:eastAsia="en-US"/>
        </w:rPr>
        <w:t xml:space="preserve"> that the respondent frustrated his contact rights by no</w:t>
      </w:r>
      <w:r w:rsidR="00D2794D" w:rsidRPr="00584B98">
        <w:rPr>
          <w:rFonts w:ascii="Arial" w:eastAsiaTheme="minorHAnsi" w:hAnsi="Arial" w:cs="Arial"/>
          <w:color w:val="auto"/>
          <w:sz w:val="22"/>
          <w:lang w:val="en-AU" w:eastAsia="en-US"/>
        </w:rPr>
        <w:t>t</w:t>
      </w:r>
      <w:r w:rsidR="008F2CCB" w:rsidRPr="00584B98">
        <w:rPr>
          <w:rFonts w:ascii="Arial" w:eastAsiaTheme="minorHAnsi" w:hAnsi="Arial" w:cs="Arial"/>
          <w:color w:val="auto"/>
          <w:sz w:val="22"/>
          <w:lang w:val="en-AU" w:eastAsia="en-US"/>
        </w:rPr>
        <w:t xml:space="preserve"> allowing him to collect their daughter directly from certain school sports tournaments</w:t>
      </w:r>
      <w:r w:rsidR="000B1DC6" w:rsidRPr="00584B98">
        <w:rPr>
          <w:rFonts w:ascii="Arial" w:eastAsiaTheme="minorHAnsi" w:hAnsi="Arial" w:cs="Arial"/>
          <w:color w:val="auto"/>
          <w:sz w:val="22"/>
          <w:lang w:val="en-AU" w:eastAsia="en-US"/>
        </w:rPr>
        <w:t>. T</w:t>
      </w:r>
      <w:r w:rsidR="00F97169" w:rsidRPr="00584B98">
        <w:rPr>
          <w:rFonts w:ascii="Arial" w:eastAsiaTheme="minorHAnsi" w:hAnsi="Arial" w:cs="Arial"/>
          <w:color w:val="auto"/>
          <w:sz w:val="22"/>
          <w:lang w:val="en-AU" w:eastAsia="en-US"/>
        </w:rPr>
        <w:t>he respondent</w:t>
      </w:r>
      <w:r w:rsidR="009B7CCF" w:rsidRPr="00584B98">
        <w:rPr>
          <w:rFonts w:ascii="Arial" w:eastAsiaTheme="minorHAnsi" w:hAnsi="Arial" w:cs="Arial"/>
          <w:color w:val="auto"/>
          <w:sz w:val="22"/>
          <w:lang w:val="en-AU" w:eastAsia="en-US"/>
        </w:rPr>
        <w:t>’s</w:t>
      </w:r>
      <w:r w:rsidR="00F97169" w:rsidRPr="00584B98">
        <w:rPr>
          <w:rFonts w:ascii="Arial" w:eastAsiaTheme="minorHAnsi" w:hAnsi="Arial" w:cs="Arial"/>
          <w:color w:val="auto"/>
          <w:sz w:val="22"/>
          <w:lang w:val="en-AU" w:eastAsia="en-US"/>
        </w:rPr>
        <w:t xml:space="preserve"> </w:t>
      </w:r>
      <w:r w:rsidR="000B1DC6" w:rsidRPr="00584B98">
        <w:rPr>
          <w:rFonts w:ascii="Arial" w:eastAsiaTheme="minorHAnsi" w:hAnsi="Arial" w:cs="Arial"/>
          <w:color w:val="auto"/>
          <w:sz w:val="22"/>
          <w:lang w:val="en-AU" w:eastAsia="en-US"/>
        </w:rPr>
        <w:t xml:space="preserve">answer is that </w:t>
      </w:r>
      <w:r w:rsidR="00F97169" w:rsidRPr="00584B98">
        <w:rPr>
          <w:rFonts w:ascii="Arial" w:eastAsiaTheme="minorHAnsi" w:hAnsi="Arial" w:cs="Arial"/>
          <w:color w:val="auto"/>
          <w:sz w:val="22"/>
          <w:lang w:val="en-AU" w:eastAsia="en-US"/>
        </w:rPr>
        <w:t>it is the school policy</w:t>
      </w:r>
      <w:r w:rsidR="00D2794D" w:rsidRPr="00584B98">
        <w:rPr>
          <w:rFonts w:ascii="Arial" w:eastAsiaTheme="minorHAnsi" w:hAnsi="Arial" w:cs="Arial"/>
          <w:color w:val="auto"/>
          <w:sz w:val="22"/>
          <w:lang w:val="en-AU" w:eastAsia="en-US"/>
        </w:rPr>
        <w:t xml:space="preserve"> / rules that when a child is leaving from Potchefstroom, together with the school on the school bus, that the child must return again with the school on the school bus. This is a security measure implemented by the school to ensure that all children are</w:t>
      </w:r>
      <w:r w:rsidR="000B1DC6" w:rsidRPr="00584B98">
        <w:rPr>
          <w:rFonts w:ascii="Arial" w:eastAsiaTheme="minorHAnsi" w:hAnsi="Arial" w:cs="Arial"/>
          <w:color w:val="auto"/>
          <w:sz w:val="22"/>
          <w:lang w:val="en-AU" w:eastAsia="en-US"/>
        </w:rPr>
        <w:t xml:space="preserve"> at all times accounted for</w:t>
      </w:r>
      <w:r w:rsidR="00650364" w:rsidRPr="00584B98">
        <w:rPr>
          <w:rFonts w:ascii="Arial" w:eastAsiaTheme="minorHAnsi" w:hAnsi="Arial" w:cs="Arial"/>
          <w:color w:val="auto"/>
          <w:sz w:val="22"/>
          <w:lang w:val="en-AU" w:eastAsia="en-US"/>
        </w:rPr>
        <w:t xml:space="preserve"> </w:t>
      </w:r>
      <w:r w:rsidR="000B1DC6" w:rsidRPr="00584B98">
        <w:rPr>
          <w:rFonts w:ascii="Arial" w:eastAsiaTheme="minorHAnsi" w:hAnsi="Arial" w:cs="Arial"/>
          <w:color w:val="auto"/>
          <w:sz w:val="22"/>
          <w:lang w:val="en-AU" w:eastAsia="en-US"/>
        </w:rPr>
        <w:t>and</w:t>
      </w:r>
      <w:r w:rsidR="00D2794D" w:rsidRPr="00584B98">
        <w:rPr>
          <w:rFonts w:ascii="Arial" w:eastAsiaTheme="minorHAnsi" w:hAnsi="Arial" w:cs="Arial"/>
          <w:color w:val="auto"/>
          <w:sz w:val="22"/>
          <w:lang w:val="en-AU" w:eastAsia="en-US"/>
        </w:rPr>
        <w:t xml:space="preserve"> returned safely.</w:t>
      </w:r>
      <w:r w:rsidR="008F2CCB" w:rsidRPr="00584B98">
        <w:rPr>
          <w:rFonts w:ascii="Arial" w:eastAsiaTheme="minorHAnsi" w:hAnsi="Arial" w:cs="Arial"/>
          <w:color w:val="auto"/>
          <w:sz w:val="22"/>
          <w:lang w:val="en-AU" w:eastAsia="en-US"/>
        </w:rPr>
        <w:t xml:space="preserve"> </w:t>
      </w:r>
    </w:p>
    <w:p w14:paraId="5AE72248" w14:textId="587F24BF" w:rsidR="008252EC"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8252EC">
        <w:rPr>
          <w:rFonts w:ascii="Arial" w:eastAsiaTheme="minorHAnsi" w:hAnsi="Arial" w:cs="Arial"/>
          <w:color w:val="auto"/>
          <w:sz w:val="22"/>
          <w:lang w:val="en-AU" w:eastAsia="en-US"/>
        </w:rPr>
        <w:lastRenderedPageBreak/>
        <w:t>52.</w:t>
      </w:r>
      <w:r w:rsidRPr="008252EC">
        <w:rPr>
          <w:rFonts w:ascii="Arial" w:eastAsiaTheme="minorHAnsi" w:hAnsi="Arial" w:cs="Arial"/>
          <w:color w:val="auto"/>
          <w:sz w:val="22"/>
          <w:lang w:val="en-AU" w:eastAsia="en-US"/>
        </w:rPr>
        <w:tab/>
      </w:r>
      <w:r w:rsidR="008252EC" w:rsidRPr="00584B98">
        <w:rPr>
          <w:rFonts w:ascii="Arial" w:eastAsiaTheme="minorHAnsi" w:hAnsi="Arial" w:cs="Arial"/>
          <w:color w:val="auto"/>
          <w:sz w:val="22"/>
          <w:lang w:val="en-AU" w:eastAsia="en-US"/>
        </w:rPr>
        <w:t xml:space="preserve">In relation to the applicant stating that the respondent only allows him to collect the minor children at 17h00 (and not earlier) on the Friday of his weekend contact, the respondent explains that she informed the applicant that the 17h00 pick-up time is due to the minor children’s occasional extra-mural activities on Fridays.  </w:t>
      </w:r>
    </w:p>
    <w:p w14:paraId="38616C49" w14:textId="0CE03304" w:rsidR="006E4073"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53.</w:t>
      </w:r>
      <w:r>
        <w:rPr>
          <w:rFonts w:ascii="Arial" w:eastAsiaTheme="minorHAnsi" w:hAnsi="Arial" w:cs="Arial"/>
          <w:color w:val="auto"/>
          <w:sz w:val="22"/>
          <w:lang w:val="en-AU" w:eastAsia="en-US"/>
        </w:rPr>
        <w:tab/>
      </w:r>
      <w:r w:rsidR="009E415A" w:rsidRPr="00584B98">
        <w:rPr>
          <w:rFonts w:ascii="Arial" w:eastAsiaTheme="minorHAnsi" w:hAnsi="Arial" w:cs="Arial"/>
          <w:color w:val="auto"/>
          <w:sz w:val="22"/>
          <w:lang w:val="en-AU" w:eastAsia="en-US"/>
        </w:rPr>
        <w:t xml:space="preserve">It is apparent from the papers that </w:t>
      </w:r>
      <w:r w:rsidR="000B1DC6" w:rsidRPr="00584B98">
        <w:rPr>
          <w:rFonts w:ascii="Arial" w:eastAsiaTheme="minorHAnsi" w:hAnsi="Arial" w:cs="Arial"/>
          <w:color w:val="auto"/>
          <w:sz w:val="22"/>
          <w:lang w:val="en-AU" w:eastAsia="en-US"/>
        </w:rPr>
        <w:t>it appears to be</w:t>
      </w:r>
      <w:r w:rsidR="00650364" w:rsidRPr="00584B98">
        <w:rPr>
          <w:rFonts w:ascii="Arial" w:eastAsiaTheme="minorHAnsi" w:hAnsi="Arial" w:cs="Arial"/>
          <w:color w:val="auto"/>
          <w:sz w:val="22"/>
          <w:lang w:val="en-AU" w:eastAsia="en-US"/>
        </w:rPr>
        <w:t xml:space="preserve"> a</w:t>
      </w:r>
      <w:r w:rsidR="000B1DC6" w:rsidRPr="00584B98">
        <w:rPr>
          <w:rFonts w:ascii="Arial" w:eastAsiaTheme="minorHAnsi" w:hAnsi="Arial" w:cs="Arial"/>
          <w:color w:val="auto"/>
          <w:sz w:val="22"/>
          <w:lang w:val="en-AU" w:eastAsia="en-US"/>
        </w:rPr>
        <w:t xml:space="preserve"> general feature of the parties’ interactions with each other, that </w:t>
      </w:r>
      <w:r w:rsidR="009E415A" w:rsidRPr="00584B98">
        <w:rPr>
          <w:rFonts w:ascii="Arial" w:eastAsiaTheme="minorHAnsi" w:hAnsi="Arial" w:cs="Arial"/>
          <w:color w:val="auto"/>
          <w:sz w:val="22"/>
          <w:lang w:val="en-AU" w:eastAsia="en-US"/>
        </w:rPr>
        <w:t>during 2022, there</w:t>
      </w:r>
      <w:r w:rsidR="008A1B56" w:rsidRPr="00584B98">
        <w:rPr>
          <w:rFonts w:ascii="Arial" w:eastAsiaTheme="minorHAnsi" w:hAnsi="Arial" w:cs="Arial"/>
          <w:color w:val="auto"/>
          <w:sz w:val="22"/>
          <w:lang w:val="en-AU" w:eastAsia="en-US"/>
        </w:rPr>
        <w:t xml:space="preserve"> </w:t>
      </w:r>
      <w:r w:rsidR="000B1DC6" w:rsidRPr="00584B98">
        <w:rPr>
          <w:rFonts w:ascii="Arial" w:eastAsiaTheme="minorHAnsi" w:hAnsi="Arial" w:cs="Arial"/>
          <w:color w:val="auto"/>
          <w:sz w:val="22"/>
          <w:lang w:val="en-AU" w:eastAsia="en-US"/>
        </w:rPr>
        <w:t xml:space="preserve">was a </w:t>
      </w:r>
      <w:r w:rsidR="009E415A" w:rsidRPr="00584B98">
        <w:rPr>
          <w:rFonts w:ascii="Arial" w:eastAsiaTheme="minorHAnsi" w:hAnsi="Arial" w:cs="Arial"/>
          <w:color w:val="auto"/>
          <w:sz w:val="22"/>
          <w:lang w:val="en-AU" w:eastAsia="en-US"/>
        </w:rPr>
        <w:t>breakdown of communication and/or miscommunication between the parties</w:t>
      </w:r>
      <w:r w:rsidR="000B1DC6" w:rsidRPr="00584B98">
        <w:rPr>
          <w:rFonts w:ascii="Arial" w:eastAsiaTheme="minorHAnsi" w:hAnsi="Arial" w:cs="Arial"/>
          <w:color w:val="auto"/>
          <w:sz w:val="22"/>
          <w:lang w:val="en-AU" w:eastAsia="en-US"/>
        </w:rPr>
        <w:t>.</w:t>
      </w:r>
    </w:p>
    <w:p w14:paraId="0518D23B" w14:textId="0BDA0A8A" w:rsidR="009E415A"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634FF3">
        <w:rPr>
          <w:rFonts w:ascii="Arial" w:eastAsiaTheme="minorHAnsi" w:hAnsi="Arial" w:cs="Arial"/>
          <w:color w:val="auto"/>
          <w:sz w:val="22"/>
          <w:lang w:val="en-AU" w:eastAsia="en-US"/>
        </w:rPr>
        <w:t>54.</w:t>
      </w:r>
      <w:r w:rsidRPr="00634FF3">
        <w:rPr>
          <w:rFonts w:ascii="Arial" w:eastAsiaTheme="minorHAnsi" w:hAnsi="Arial" w:cs="Arial"/>
          <w:color w:val="auto"/>
          <w:sz w:val="22"/>
          <w:lang w:val="en-AU" w:eastAsia="en-US"/>
        </w:rPr>
        <w:tab/>
      </w:r>
      <w:r w:rsidR="009E415A" w:rsidRPr="00584B98">
        <w:rPr>
          <w:rFonts w:ascii="Arial" w:eastAsiaTheme="minorHAnsi" w:hAnsi="Arial" w:cs="Arial"/>
          <w:color w:val="auto"/>
          <w:sz w:val="22"/>
          <w:lang w:val="en-AU" w:eastAsia="en-US"/>
        </w:rPr>
        <w:t xml:space="preserve">Notwithstanding the miscommunication, </w:t>
      </w:r>
      <w:r w:rsidR="000B1DC6" w:rsidRPr="00584B98">
        <w:rPr>
          <w:rFonts w:ascii="Arial" w:eastAsiaTheme="minorHAnsi" w:hAnsi="Arial" w:cs="Arial"/>
          <w:color w:val="auto"/>
          <w:sz w:val="22"/>
          <w:lang w:val="en-AU" w:eastAsia="en-US"/>
        </w:rPr>
        <w:t xml:space="preserve">I am unable to find that </w:t>
      </w:r>
      <w:r w:rsidR="009E415A" w:rsidRPr="00584B98">
        <w:rPr>
          <w:rFonts w:ascii="Arial" w:eastAsiaTheme="minorHAnsi" w:hAnsi="Arial" w:cs="Arial"/>
          <w:color w:val="auto"/>
          <w:sz w:val="22"/>
          <w:lang w:val="en-AU" w:eastAsia="en-US"/>
        </w:rPr>
        <w:t>the respondent has purposefully withheld the applicant’s contact with the minor children</w:t>
      </w:r>
      <w:r w:rsidR="000B1DC6" w:rsidRPr="00584B98">
        <w:rPr>
          <w:rFonts w:ascii="Arial" w:eastAsiaTheme="minorHAnsi" w:hAnsi="Arial" w:cs="Arial"/>
          <w:color w:val="auto"/>
          <w:sz w:val="22"/>
          <w:lang w:val="en-AU" w:eastAsia="en-US"/>
        </w:rPr>
        <w:t xml:space="preserve">. </w:t>
      </w:r>
      <w:r w:rsidR="009E415A" w:rsidRPr="00584B98">
        <w:rPr>
          <w:rFonts w:ascii="Arial" w:eastAsiaTheme="minorHAnsi" w:hAnsi="Arial" w:cs="Arial"/>
          <w:color w:val="auto"/>
          <w:sz w:val="22"/>
          <w:lang w:val="en-AU" w:eastAsia="en-US"/>
        </w:rPr>
        <w:t xml:space="preserve">This is evidenced by the fact that the </w:t>
      </w:r>
      <w:r w:rsidR="00D2794D" w:rsidRPr="00584B98">
        <w:rPr>
          <w:rFonts w:ascii="Arial" w:eastAsiaTheme="minorHAnsi" w:hAnsi="Arial" w:cs="Arial"/>
          <w:color w:val="auto"/>
          <w:sz w:val="22"/>
          <w:lang w:val="en-AU" w:eastAsia="en-US"/>
        </w:rPr>
        <w:t xml:space="preserve">respondent agreed to the additional Wednesday contact (prior to her relocation) as well as agreeing to the </w:t>
      </w:r>
      <w:r w:rsidR="009E415A" w:rsidRPr="00584B98">
        <w:rPr>
          <w:rFonts w:ascii="Arial" w:eastAsiaTheme="minorHAnsi" w:hAnsi="Arial" w:cs="Arial"/>
          <w:color w:val="auto"/>
          <w:sz w:val="22"/>
          <w:lang w:val="en-AU" w:eastAsia="en-US"/>
        </w:rPr>
        <w:t>applicant ha</w:t>
      </w:r>
      <w:r w:rsidR="00D2794D" w:rsidRPr="00584B98">
        <w:rPr>
          <w:rFonts w:ascii="Arial" w:eastAsiaTheme="minorHAnsi" w:hAnsi="Arial" w:cs="Arial"/>
          <w:color w:val="auto"/>
          <w:sz w:val="22"/>
          <w:lang w:val="en-AU" w:eastAsia="en-US"/>
        </w:rPr>
        <w:t xml:space="preserve">ving </w:t>
      </w:r>
      <w:r w:rsidR="009E415A" w:rsidRPr="00584B98">
        <w:rPr>
          <w:rFonts w:ascii="Arial" w:eastAsiaTheme="minorHAnsi" w:hAnsi="Arial" w:cs="Arial"/>
          <w:color w:val="auto"/>
          <w:sz w:val="22"/>
          <w:lang w:val="en-AU" w:eastAsia="en-US"/>
        </w:rPr>
        <w:t>contact with the minor children in respect of both short school holidays in 2022</w:t>
      </w:r>
      <w:r w:rsidR="000B1DC6" w:rsidRPr="00584B98">
        <w:rPr>
          <w:rFonts w:ascii="Arial" w:eastAsiaTheme="minorHAnsi" w:hAnsi="Arial" w:cs="Arial"/>
          <w:color w:val="auto"/>
          <w:sz w:val="22"/>
          <w:lang w:val="en-AU" w:eastAsia="en-US"/>
        </w:rPr>
        <w:t xml:space="preserve"> (being the April and September holidays)</w:t>
      </w:r>
      <w:r w:rsidR="009E415A" w:rsidRPr="00584B98">
        <w:rPr>
          <w:rFonts w:ascii="Arial" w:eastAsiaTheme="minorHAnsi" w:hAnsi="Arial" w:cs="Arial"/>
          <w:color w:val="auto"/>
          <w:sz w:val="22"/>
          <w:lang w:val="en-AU" w:eastAsia="en-US"/>
        </w:rPr>
        <w:t>.</w:t>
      </w:r>
    </w:p>
    <w:p w14:paraId="76C0F32A" w14:textId="187561B6" w:rsidR="00D2794D"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55.</w:t>
      </w:r>
      <w:r>
        <w:rPr>
          <w:rFonts w:ascii="Arial" w:eastAsiaTheme="minorHAnsi" w:hAnsi="Arial" w:cs="Arial"/>
          <w:color w:val="auto"/>
          <w:sz w:val="22"/>
          <w:lang w:val="en-AU" w:eastAsia="en-US"/>
        </w:rPr>
        <w:tab/>
      </w:r>
      <w:r w:rsidR="000B1DC6" w:rsidRPr="00584B98">
        <w:rPr>
          <w:rFonts w:ascii="Arial" w:eastAsiaTheme="minorHAnsi" w:hAnsi="Arial" w:cs="Arial"/>
          <w:color w:val="auto"/>
          <w:sz w:val="22"/>
          <w:lang w:val="en-AU" w:eastAsia="en-US"/>
        </w:rPr>
        <w:t>As I have already stated, i</w:t>
      </w:r>
      <w:r w:rsidR="009E415A" w:rsidRPr="00584B98">
        <w:rPr>
          <w:rFonts w:ascii="Arial" w:eastAsiaTheme="minorHAnsi" w:hAnsi="Arial" w:cs="Arial"/>
          <w:color w:val="auto"/>
          <w:sz w:val="22"/>
          <w:lang w:val="en-AU" w:eastAsia="en-US"/>
        </w:rPr>
        <w:t xml:space="preserve">t has been emphasised by our courts that </w:t>
      </w:r>
      <w:r w:rsidR="000B1DC6" w:rsidRPr="00584B98">
        <w:rPr>
          <w:rFonts w:ascii="Arial" w:eastAsiaTheme="minorHAnsi" w:hAnsi="Arial" w:cs="Arial"/>
          <w:color w:val="auto"/>
          <w:sz w:val="22"/>
          <w:lang w:val="en-AU" w:eastAsia="en-US"/>
        </w:rPr>
        <w:t>“</w:t>
      </w:r>
      <w:r w:rsidR="009E415A" w:rsidRPr="00584B98">
        <w:rPr>
          <w:rFonts w:ascii="Arial" w:eastAsiaTheme="minorHAnsi" w:hAnsi="Arial" w:cs="Arial"/>
          <w:i/>
          <w:iCs/>
          <w:color w:val="auto"/>
          <w:sz w:val="22"/>
          <w:lang w:val="en-AU" w:eastAsia="en-US"/>
        </w:rPr>
        <w:t>contempt of court does not consist of mere disobedience of a court order, but of the contumacious disrespect for judicial authority</w:t>
      </w:r>
      <w:r w:rsidR="000B1DC6" w:rsidRPr="00584B98">
        <w:rPr>
          <w:rFonts w:ascii="Arial" w:eastAsiaTheme="minorHAnsi" w:hAnsi="Arial" w:cs="Arial"/>
          <w:i/>
          <w:iCs/>
          <w:color w:val="auto"/>
          <w:sz w:val="22"/>
          <w:lang w:val="en-AU" w:eastAsia="en-US"/>
        </w:rPr>
        <w:t>”</w:t>
      </w:r>
      <w:r w:rsidR="009E415A" w:rsidRPr="00584B98">
        <w:rPr>
          <w:rFonts w:ascii="Arial" w:eastAsiaTheme="minorHAnsi" w:hAnsi="Arial" w:cs="Arial"/>
          <w:color w:val="auto"/>
          <w:sz w:val="22"/>
          <w:lang w:val="en-AU" w:eastAsia="en-US"/>
        </w:rPr>
        <w:t>.</w:t>
      </w:r>
      <w:r w:rsidR="009E415A" w:rsidRPr="00634FF3">
        <w:rPr>
          <w:vertAlign w:val="superscript"/>
          <w:lang w:val="en-AU" w:eastAsia="en-US"/>
        </w:rPr>
        <w:footnoteReference w:id="18"/>
      </w:r>
      <w:r w:rsidR="009E415A" w:rsidRPr="00584B98">
        <w:rPr>
          <w:rFonts w:ascii="Arial" w:eastAsiaTheme="minorHAnsi" w:hAnsi="Arial" w:cs="Arial"/>
          <w:color w:val="auto"/>
          <w:sz w:val="22"/>
          <w:vertAlign w:val="superscript"/>
          <w:lang w:val="en-AU" w:eastAsia="en-US"/>
        </w:rPr>
        <w:t xml:space="preserve"> </w:t>
      </w:r>
      <w:r w:rsidR="009E415A" w:rsidRPr="00584B98">
        <w:rPr>
          <w:rFonts w:ascii="Arial" w:eastAsiaTheme="minorHAnsi" w:hAnsi="Arial" w:cs="Arial"/>
          <w:color w:val="auto"/>
          <w:sz w:val="22"/>
          <w:lang w:val="en-AU" w:eastAsia="en-US"/>
        </w:rPr>
        <w:t xml:space="preserve">Upon a proper analysis of the facts, it cannot be said that the respondent wilfully and </w:t>
      </w:r>
      <w:r w:rsidR="009E415A" w:rsidRPr="00584B98">
        <w:rPr>
          <w:rFonts w:ascii="Arial" w:eastAsiaTheme="minorHAnsi" w:hAnsi="Arial" w:cs="Arial"/>
          <w:i/>
          <w:iCs/>
          <w:color w:val="auto"/>
          <w:sz w:val="22"/>
          <w:lang w:val="en-AU" w:eastAsia="en-US"/>
        </w:rPr>
        <w:t>mala fide</w:t>
      </w:r>
      <w:r w:rsidR="009E415A" w:rsidRPr="00584B98">
        <w:rPr>
          <w:rFonts w:ascii="Arial" w:eastAsiaTheme="minorHAnsi" w:hAnsi="Arial" w:cs="Arial"/>
          <w:color w:val="auto"/>
          <w:sz w:val="22"/>
          <w:lang w:val="en-AU" w:eastAsia="en-US"/>
        </w:rPr>
        <w:t xml:space="preserve"> failed to comply with the provisions of the deed of settlement</w:t>
      </w:r>
      <w:r w:rsidR="000B1DC6" w:rsidRPr="00584B98">
        <w:rPr>
          <w:rFonts w:ascii="Arial" w:eastAsiaTheme="minorHAnsi" w:hAnsi="Arial" w:cs="Arial"/>
          <w:color w:val="auto"/>
          <w:sz w:val="22"/>
          <w:lang w:val="en-AU" w:eastAsia="en-US"/>
        </w:rPr>
        <w:t>; be it in terms of the clause 3.4 and 3.5 provisos or generally</w:t>
      </w:r>
      <w:r w:rsidR="009E415A" w:rsidRPr="00584B98">
        <w:rPr>
          <w:rFonts w:ascii="Arial" w:eastAsiaTheme="minorHAnsi" w:hAnsi="Arial" w:cs="Arial"/>
          <w:color w:val="auto"/>
          <w:sz w:val="22"/>
          <w:lang w:val="en-AU" w:eastAsia="en-US"/>
        </w:rPr>
        <w:t xml:space="preserve">. </w:t>
      </w:r>
    </w:p>
    <w:p w14:paraId="12183258" w14:textId="59EB86BF" w:rsidR="00634FF3"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8A1B56">
        <w:rPr>
          <w:rFonts w:ascii="Arial" w:eastAsiaTheme="minorHAnsi" w:hAnsi="Arial" w:cs="Arial"/>
          <w:color w:val="auto"/>
          <w:sz w:val="22"/>
          <w:lang w:val="en-AU" w:eastAsia="en-US"/>
        </w:rPr>
        <w:t>56.</w:t>
      </w:r>
      <w:r w:rsidRPr="008A1B56">
        <w:rPr>
          <w:rFonts w:ascii="Arial" w:eastAsiaTheme="minorHAnsi" w:hAnsi="Arial" w:cs="Arial"/>
          <w:color w:val="auto"/>
          <w:sz w:val="22"/>
          <w:lang w:val="en-AU" w:eastAsia="en-US"/>
        </w:rPr>
        <w:tab/>
      </w:r>
      <w:r w:rsidR="009E415A" w:rsidRPr="00584B98">
        <w:rPr>
          <w:rFonts w:ascii="Arial" w:eastAsiaTheme="minorHAnsi" w:hAnsi="Arial" w:cs="Arial"/>
          <w:color w:val="auto"/>
          <w:sz w:val="22"/>
          <w:lang w:val="en-AU" w:eastAsia="en-US"/>
        </w:rPr>
        <w:t xml:space="preserve">It is </w:t>
      </w:r>
      <w:r w:rsidR="000B1DC6" w:rsidRPr="00584B98">
        <w:rPr>
          <w:rFonts w:ascii="Arial" w:eastAsiaTheme="minorHAnsi" w:hAnsi="Arial" w:cs="Arial"/>
          <w:color w:val="auto"/>
          <w:sz w:val="22"/>
          <w:lang w:val="en-AU" w:eastAsia="en-US"/>
        </w:rPr>
        <w:t>apparent</w:t>
      </w:r>
      <w:r w:rsidR="009E415A" w:rsidRPr="00584B98">
        <w:rPr>
          <w:rFonts w:ascii="Arial" w:eastAsiaTheme="minorHAnsi" w:hAnsi="Arial" w:cs="Arial"/>
          <w:color w:val="auto"/>
          <w:sz w:val="22"/>
          <w:lang w:val="en-AU" w:eastAsia="en-US"/>
        </w:rPr>
        <w:t xml:space="preserve"> that since their divorce, the parties have </w:t>
      </w:r>
      <w:r w:rsidR="000B1DC6" w:rsidRPr="00584B98">
        <w:rPr>
          <w:rFonts w:ascii="Arial" w:eastAsiaTheme="minorHAnsi" w:hAnsi="Arial" w:cs="Arial"/>
          <w:color w:val="auto"/>
          <w:sz w:val="22"/>
          <w:lang w:val="en-AU" w:eastAsia="en-US"/>
        </w:rPr>
        <w:t xml:space="preserve">often consensually </w:t>
      </w:r>
      <w:r w:rsidR="009E415A" w:rsidRPr="00584B98">
        <w:rPr>
          <w:rFonts w:ascii="Arial" w:eastAsiaTheme="minorHAnsi" w:hAnsi="Arial" w:cs="Arial"/>
          <w:color w:val="auto"/>
          <w:sz w:val="22"/>
          <w:lang w:val="en-AU" w:eastAsia="en-US"/>
        </w:rPr>
        <w:t>agreed to deviate from the provisions of the deed of settlement</w:t>
      </w:r>
      <w:r w:rsidR="000B1DC6" w:rsidRPr="00584B98">
        <w:rPr>
          <w:rFonts w:ascii="Arial" w:eastAsiaTheme="minorHAnsi" w:hAnsi="Arial" w:cs="Arial"/>
          <w:color w:val="auto"/>
          <w:sz w:val="22"/>
          <w:lang w:val="en-AU" w:eastAsia="en-US"/>
        </w:rPr>
        <w:t>, and have accommodated each other’s contact requests accordingly.</w:t>
      </w:r>
    </w:p>
    <w:p w14:paraId="25520039" w14:textId="4097D4B1" w:rsidR="00634FF3" w:rsidRPr="00584B98" w:rsidRDefault="00584B98" w:rsidP="00584B98">
      <w:pPr>
        <w:keepNext/>
        <w:spacing w:after="360" w:line="480" w:lineRule="auto"/>
        <w:ind w:left="425" w:right="-153" w:hanging="357"/>
        <w:rPr>
          <w:rFonts w:ascii="Arial" w:eastAsiaTheme="minorHAnsi" w:hAnsi="Arial" w:cs="Arial"/>
          <w:color w:val="auto"/>
          <w:sz w:val="22"/>
          <w:lang w:val="en-AU" w:eastAsia="en-US"/>
        </w:rPr>
      </w:pPr>
      <w:r w:rsidRPr="00634FF3">
        <w:rPr>
          <w:rFonts w:ascii="Arial" w:eastAsiaTheme="minorHAnsi" w:hAnsi="Arial" w:cs="Arial"/>
          <w:color w:val="auto"/>
          <w:sz w:val="22"/>
          <w:lang w:val="en-AU" w:eastAsia="en-US"/>
        </w:rPr>
        <w:t>57.</w:t>
      </w:r>
      <w:r w:rsidRPr="00634FF3">
        <w:rPr>
          <w:rFonts w:ascii="Arial" w:eastAsiaTheme="minorHAnsi" w:hAnsi="Arial" w:cs="Arial"/>
          <w:color w:val="auto"/>
          <w:sz w:val="22"/>
          <w:lang w:val="en-AU" w:eastAsia="en-US"/>
        </w:rPr>
        <w:tab/>
      </w:r>
      <w:r w:rsidR="00634FF3" w:rsidRPr="00584B98">
        <w:rPr>
          <w:rFonts w:ascii="Arial" w:eastAsiaTheme="minorHAnsi" w:hAnsi="Arial" w:cs="Arial"/>
          <w:color w:val="auto"/>
          <w:sz w:val="22"/>
          <w:lang w:val="en-AU" w:eastAsia="en-US"/>
        </w:rPr>
        <w:t>In my view, the respondent has furnished a</w:t>
      </w:r>
      <w:r w:rsidR="008A1B56" w:rsidRPr="00584B98">
        <w:rPr>
          <w:rFonts w:ascii="Arial" w:eastAsiaTheme="minorHAnsi" w:hAnsi="Arial" w:cs="Arial"/>
          <w:color w:val="auto"/>
          <w:sz w:val="22"/>
          <w:lang w:val="en-AU" w:eastAsia="en-US"/>
        </w:rPr>
        <w:t xml:space="preserve"> satisfactory </w:t>
      </w:r>
      <w:r w:rsidR="000B1DC6" w:rsidRPr="00584B98">
        <w:rPr>
          <w:rFonts w:ascii="Arial" w:eastAsiaTheme="minorHAnsi" w:hAnsi="Arial" w:cs="Arial"/>
          <w:color w:val="auto"/>
          <w:sz w:val="22"/>
          <w:lang w:val="en-AU" w:eastAsia="en-US"/>
        </w:rPr>
        <w:t xml:space="preserve">and </w:t>
      </w:r>
      <w:r w:rsidR="00634FF3" w:rsidRPr="00584B98">
        <w:rPr>
          <w:rFonts w:ascii="Arial" w:eastAsiaTheme="minorHAnsi" w:hAnsi="Arial" w:cs="Arial"/>
          <w:color w:val="auto"/>
          <w:sz w:val="22"/>
          <w:lang w:val="en-AU" w:eastAsia="en-US"/>
        </w:rPr>
        <w:t xml:space="preserve">exculpatory explanation regarding the </w:t>
      </w:r>
      <w:r w:rsidR="000B1DC6" w:rsidRPr="00584B98">
        <w:rPr>
          <w:rFonts w:ascii="Arial" w:eastAsiaTheme="minorHAnsi" w:hAnsi="Arial" w:cs="Arial"/>
          <w:color w:val="auto"/>
          <w:sz w:val="22"/>
          <w:lang w:val="en-AU" w:eastAsia="en-US"/>
        </w:rPr>
        <w:t xml:space="preserve">claimed </w:t>
      </w:r>
      <w:r w:rsidR="00634FF3" w:rsidRPr="00584B98">
        <w:rPr>
          <w:rFonts w:ascii="Arial" w:eastAsiaTheme="minorHAnsi" w:hAnsi="Arial" w:cs="Arial"/>
          <w:color w:val="auto"/>
          <w:sz w:val="22"/>
          <w:lang w:val="en-AU" w:eastAsia="en-US"/>
        </w:rPr>
        <w:t xml:space="preserve">non-compliance of the long June/July 2022 school holidays, as well as the 2022 </w:t>
      </w:r>
      <w:r w:rsidR="00634FF3" w:rsidRPr="00584B98">
        <w:rPr>
          <w:rFonts w:ascii="Arial" w:eastAsiaTheme="minorHAnsi" w:hAnsi="Arial" w:cs="Arial"/>
          <w:color w:val="auto"/>
          <w:sz w:val="22"/>
          <w:lang w:val="en-AU" w:eastAsia="en-US"/>
        </w:rPr>
        <w:lastRenderedPageBreak/>
        <w:t>Father’s Day contact</w:t>
      </w:r>
      <w:r w:rsidR="003A740B" w:rsidRPr="00584B98">
        <w:rPr>
          <w:rFonts w:ascii="Arial" w:eastAsiaTheme="minorHAnsi" w:hAnsi="Arial" w:cs="Arial"/>
          <w:color w:val="auto"/>
          <w:sz w:val="22"/>
          <w:lang w:val="en-AU" w:eastAsia="en-US"/>
        </w:rPr>
        <w:t>, and the 17h00 Friday pick-up time</w:t>
      </w:r>
      <w:r w:rsidR="00634FF3" w:rsidRPr="00584B98">
        <w:rPr>
          <w:rFonts w:ascii="Arial" w:eastAsiaTheme="minorHAnsi" w:hAnsi="Arial" w:cs="Arial"/>
          <w:color w:val="auto"/>
          <w:sz w:val="22"/>
          <w:lang w:val="en-AU" w:eastAsia="en-US"/>
        </w:rPr>
        <w:t>. The respondent’s explanation is sufficient for me to find that she was not in wilful contempt of the provisions of the deed of settlement.</w:t>
      </w:r>
    </w:p>
    <w:p w14:paraId="503EA85C" w14:textId="1E734FAB" w:rsidR="000B1DC6"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364A68">
        <w:rPr>
          <w:rFonts w:ascii="Arial" w:eastAsiaTheme="minorHAnsi" w:hAnsi="Arial" w:cs="Arial"/>
          <w:color w:val="auto"/>
          <w:sz w:val="22"/>
          <w:lang w:val="en-AU" w:eastAsia="en-US"/>
        </w:rPr>
        <w:t>58.</w:t>
      </w:r>
      <w:r w:rsidRPr="00364A68">
        <w:rPr>
          <w:rFonts w:ascii="Arial" w:eastAsiaTheme="minorHAnsi" w:hAnsi="Arial" w:cs="Arial"/>
          <w:color w:val="auto"/>
          <w:sz w:val="22"/>
          <w:lang w:val="en-AU" w:eastAsia="en-US"/>
        </w:rPr>
        <w:tab/>
      </w:r>
      <w:r w:rsidR="003A740B" w:rsidRPr="00584B98">
        <w:rPr>
          <w:rFonts w:ascii="Arial" w:eastAsiaTheme="minorHAnsi" w:hAnsi="Arial" w:cs="Arial"/>
          <w:color w:val="auto"/>
          <w:sz w:val="22"/>
          <w:lang w:val="en-AU" w:eastAsia="en-US"/>
        </w:rPr>
        <w:t xml:space="preserve">I find that the </w:t>
      </w:r>
      <w:r w:rsidR="00634FF3" w:rsidRPr="00584B98">
        <w:rPr>
          <w:rFonts w:ascii="Arial" w:eastAsiaTheme="minorHAnsi" w:hAnsi="Arial" w:cs="Arial"/>
          <w:color w:val="auto"/>
          <w:sz w:val="22"/>
          <w:lang w:val="en-AU" w:eastAsia="en-US"/>
        </w:rPr>
        <w:t>respondent’s version before this Court</w:t>
      </w:r>
      <w:r w:rsidR="003A740B" w:rsidRPr="00584B98">
        <w:rPr>
          <w:rFonts w:ascii="Arial" w:eastAsiaTheme="minorHAnsi" w:hAnsi="Arial" w:cs="Arial"/>
          <w:color w:val="auto"/>
          <w:sz w:val="22"/>
          <w:lang w:val="en-AU" w:eastAsia="en-US"/>
        </w:rPr>
        <w:t xml:space="preserve"> discharges </w:t>
      </w:r>
      <w:r w:rsidR="00634FF3" w:rsidRPr="00584B98">
        <w:rPr>
          <w:rFonts w:ascii="Arial" w:eastAsiaTheme="minorHAnsi" w:hAnsi="Arial" w:cs="Arial"/>
          <w:color w:val="auto"/>
          <w:sz w:val="22"/>
          <w:lang w:val="en-AU" w:eastAsia="en-US"/>
        </w:rPr>
        <w:t>the evidentiary burden resting on her</w:t>
      </w:r>
      <w:r w:rsidR="003A740B" w:rsidRPr="00584B98">
        <w:rPr>
          <w:rFonts w:ascii="Arial" w:eastAsiaTheme="minorHAnsi" w:hAnsi="Arial" w:cs="Arial"/>
          <w:color w:val="auto"/>
          <w:sz w:val="22"/>
          <w:lang w:val="en-AU" w:eastAsia="en-US"/>
        </w:rPr>
        <w:t xml:space="preserve">. </w:t>
      </w:r>
      <w:r w:rsidR="00634FF3" w:rsidRPr="00584B98">
        <w:rPr>
          <w:rFonts w:ascii="Arial" w:eastAsiaTheme="minorHAnsi" w:hAnsi="Arial" w:cs="Arial"/>
          <w:color w:val="auto"/>
          <w:sz w:val="22"/>
          <w:lang w:val="en-AU" w:eastAsia="en-US"/>
        </w:rPr>
        <w:t xml:space="preserve">The respondent has advanced evidence that establishes a reasonable doubt that her non-compliance with the provisions of the deed of settlement was not wilful and </w:t>
      </w:r>
      <w:r w:rsidR="00634FF3" w:rsidRPr="00584B98">
        <w:rPr>
          <w:rFonts w:ascii="Arial" w:eastAsiaTheme="minorHAnsi" w:hAnsi="Arial" w:cs="Arial"/>
          <w:i/>
          <w:iCs/>
          <w:color w:val="auto"/>
          <w:sz w:val="22"/>
          <w:lang w:val="en-AU" w:eastAsia="en-US"/>
        </w:rPr>
        <w:t>mala fide</w:t>
      </w:r>
      <w:r w:rsidR="00634FF3" w:rsidRPr="00584B98">
        <w:rPr>
          <w:rFonts w:ascii="Arial" w:eastAsiaTheme="minorHAnsi" w:hAnsi="Arial" w:cs="Arial"/>
          <w:color w:val="auto"/>
          <w:sz w:val="22"/>
          <w:lang w:val="en-AU" w:eastAsia="en-US"/>
        </w:rPr>
        <w:t>.</w:t>
      </w:r>
      <w:r w:rsidR="00364A68" w:rsidRPr="00584B98">
        <w:rPr>
          <w:rFonts w:ascii="Arial" w:eastAsiaTheme="minorHAnsi" w:hAnsi="Arial" w:cs="Arial"/>
          <w:color w:val="auto"/>
          <w:sz w:val="22"/>
          <w:lang w:val="en-AU" w:eastAsia="en-US"/>
        </w:rPr>
        <w:t xml:space="preserve"> </w:t>
      </w:r>
      <w:r w:rsidR="000B1DC6" w:rsidRPr="00584B98">
        <w:rPr>
          <w:rFonts w:ascii="Arial" w:eastAsiaTheme="minorHAnsi" w:hAnsi="Arial" w:cs="Arial"/>
          <w:color w:val="auto"/>
          <w:sz w:val="22"/>
          <w:lang w:val="en-AU" w:eastAsia="en-US"/>
        </w:rPr>
        <w:t>Whilst no</w:t>
      </w:r>
      <w:r w:rsidR="00364A68" w:rsidRPr="00584B98">
        <w:rPr>
          <w:rFonts w:ascii="Arial" w:eastAsiaTheme="minorHAnsi" w:hAnsi="Arial" w:cs="Arial"/>
          <w:color w:val="auto"/>
          <w:sz w:val="22"/>
          <w:lang w:val="en-AU" w:eastAsia="en-US"/>
        </w:rPr>
        <w:t>t</w:t>
      </w:r>
      <w:r w:rsidR="000B1DC6" w:rsidRPr="00584B98">
        <w:rPr>
          <w:rFonts w:ascii="Arial" w:eastAsiaTheme="minorHAnsi" w:hAnsi="Arial" w:cs="Arial"/>
          <w:color w:val="auto"/>
          <w:sz w:val="22"/>
          <w:lang w:val="en-AU" w:eastAsia="en-US"/>
        </w:rPr>
        <w:t xml:space="preserve"> presently relevant, I </w:t>
      </w:r>
      <w:r w:rsidR="00650364" w:rsidRPr="00584B98">
        <w:rPr>
          <w:rFonts w:ascii="Arial" w:eastAsiaTheme="minorHAnsi" w:hAnsi="Arial" w:cs="Arial"/>
          <w:color w:val="auto"/>
          <w:sz w:val="22"/>
          <w:lang w:val="en-AU" w:eastAsia="en-US"/>
        </w:rPr>
        <w:t xml:space="preserve">am </w:t>
      </w:r>
      <w:r w:rsidR="000B1DC6" w:rsidRPr="00584B98">
        <w:rPr>
          <w:rFonts w:ascii="Arial" w:eastAsiaTheme="minorHAnsi" w:hAnsi="Arial" w:cs="Arial"/>
          <w:color w:val="auto"/>
          <w:sz w:val="22"/>
          <w:lang w:val="en-AU" w:eastAsia="en-US"/>
        </w:rPr>
        <w:t xml:space="preserve">equally able to find that the </w:t>
      </w:r>
      <w:r w:rsidR="00650364" w:rsidRPr="00584B98">
        <w:rPr>
          <w:rFonts w:ascii="Arial" w:eastAsiaTheme="minorHAnsi" w:hAnsi="Arial" w:cs="Arial"/>
          <w:color w:val="auto"/>
          <w:sz w:val="22"/>
          <w:lang w:val="en-AU" w:eastAsia="en-US"/>
        </w:rPr>
        <w:t xml:space="preserve">respondent’s </w:t>
      </w:r>
      <w:r w:rsidR="000B1DC6" w:rsidRPr="00584B98">
        <w:rPr>
          <w:rFonts w:ascii="Arial" w:eastAsiaTheme="minorHAnsi" w:hAnsi="Arial" w:cs="Arial"/>
          <w:color w:val="auto"/>
          <w:sz w:val="22"/>
          <w:lang w:val="en-AU" w:eastAsia="en-US"/>
        </w:rPr>
        <w:t xml:space="preserve">civil evidentiary burden (balance of probabilities) is </w:t>
      </w:r>
      <w:r w:rsidR="00364A68" w:rsidRPr="00584B98">
        <w:rPr>
          <w:rFonts w:ascii="Arial" w:eastAsiaTheme="minorHAnsi" w:hAnsi="Arial" w:cs="Arial"/>
          <w:color w:val="auto"/>
          <w:sz w:val="22"/>
          <w:lang w:val="en-AU" w:eastAsia="en-US"/>
        </w:rPr>
        <w:t>discharged.</w:t>
      </w:r>
    </w:p>
    <w:p w14:paraId="1601988C" w14:textId="66E6B595" w:rsidR="00634FF3"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59.</w:t>
      </w:r>
      <w:r>
        <w:rPr>
          <w:rFonts w:ascii="Arial" w:eastAsiaTheme="minorHAnsi" w:hAnsi="Arial" w:cs="Arial"/>
          <w:color w:val="auto"/>
          <w:sz w:val="22"/>
          <w:lang w:val="en-AU" w:eastAsia="en-US"/>
        </w:rPr>
        <w:tab/>
      </w:r>
      <w:r w:rsidR="00634FF3" w:rsidRPr="00584B98">
        <w:rPr>
          <w:rFonts w:ascii="Arial" w:eastAsiaTheme="minorHAnsi" w:hAnsi="Arial" w:cs="Arial"/>
          <w:color w:val="auto"/>
          <w:sz w:val="22"/>
          <w:lang w:val="en-AU" w:eastAsia="en-US"/>
        </w:rPr>
        <w:t>The respondent’s conduct, objectively assessed, demonstrate</w:t>
      </w:r>
      <w:r w:rsidR="00B600FB" w:rsidRPr="00584B98">
        <w:rPr>
          <w:rFonts w:ascii="Arial" w:eastAsiaTheme="minorHAnsi" w:hAnsi="Arial" w:cs="Arial"/>
          <w:color w:val="auto"/>
          <w:sz w:val="22"/>
          <w:lang w:val="en-AU" w:eastAsia="en-US"/>
        </w:rPr>
        <w:t>s i</w:t>
      </w:r>
      <w:r w:rsidR="00634FF3" w:rsidRPr="00584B98">
        <w:rPr>
          <w:rFonts w:ascii="Arial" w:eastAsiaTheme="minorHAnsi" w:hAnsi="Arial" w:cs="Arial"/>
          <w:color w:val="auto"/>
          <w:sz w:val="22"/>
          <w:lang w:val="en-AU" w:eastAsia="en-US"/>
        </w:rPr>
        <w:t xml:space="preserve">n my view, that she did not intend to defeat the course of justice and/or that she did not wilfully and </w:t>
      </w:r>
      <w:r w:rsidR="00634FF3" w:rsidRPr="00584B98">
        <w:rPr>
          <w:rFonts w:ascii="Arial" w:eastAsiaTheme="minorHAnsi" w:hAnsi="Arial" w:cs="Arial"/>
          <w:i/>
          <w:iCs/>
          <w:color w:val="auto"/>
          <w:sz w:val="22"/>
          <w:lang w:val="en-AU" w:eastAsia="en-US"/>
        </w:rPr>
        <w:t>mala fide</w:t>
      </w:r>
      <w:r w:rsidR="00634FF3" w:rsidRPr="00584B98">
        <w:rPr>
          <w:rFonts w:ascii="Arial" w:eastAsiaTheme="minorHAnsi" w:hAnsi="Arial" w:cs="Arial"/>
          <w:color w:val="auto"/>
          <w:sz w:val="22"/>
          <w:lang w:val="en-AU" w:eastAsia="en-US"/>
        </w:rPr>
        <w:t xml:space="preserve"> fail to comply with the provisions of the deed of settlement</w:t>
      </w:r>
      <w:r w:rsidR="00B600FB" w:rsidRPr="00584B98">
        <w:rPr>
          <w:rFonts w:ascii="Arial" w:eastAsiaTheme="minorHAnsi" w:hAnsi="Arial" w:cs="Arial"/>
          <w:color w:val="auto"/>
          <w:sz w:val="22"/>
          <w:lang w:val="en-AU" w:eastAsia="en-US"/>
        </w:rPr>
        <w:t xml:space="preserve"> and frustrate the applicant’s rights of contact</w:t>
      </w:r>
      <w:r w:rsidR="008A1B56" w:rsidRPr="00584B98">
        <w:rPr>
          <w:rFonts w:ascii="Arial" w:eastAsiaTheme="minorHAnsi" w:hAnsi="Arial" w:cs="Arial"/>
          <w:color w:val="auto"/>
          <w:sz w:val="22"/>
          <w:lang w:val="en-AU" w:eastAsia="en-US"/>
        </w:rPr>
        <w:t xml:space="preserve"> with the minor children</w:t>
      </w:r>
      <w:r w:rsidR="00634FF3" w:rsidRPr="00584B98">
        <w:rPr>
          <w:rFonts w:ascii="Arial" w:eastAsiaTheme="minorHAnsi" w:hAnsi="Arial" w:cs="Arial"/>
          <w:color w:val="auto"/>
          <w:sz w:val="22"/>
          <w:lang w:val="en-AU" w:eastAsia="en-US"/>
        </w:rPr>
        <w:t xml:space="preserve">. </w:t>
      </w:r>
      <w:r w:rsidR="008A1B56" w:rsidRPr="00584B98">
        <w:rPr>
          <w:rFonts w:ascii="Arial" w:eastAsiaTheme="minorHAnsi" w:hAnsi="Arial" w:cs="Arial"/>
          <w:color w:val="auto"/>
          <w:sz w:val="22"/>
          <w:lang w:val="en-AU" w:eastAsia="en-US"/>
        </w:rPr>
        <w:t>Accordingly, t</w:t>
      </w:r>
      <w:r w:rsidR="00B600FB" w:rsidRPr="00584B98">
        <w:rPr>
          <w:rFonts w:ascii="Arial" w:eastAsiaTheme="minorHAnsi" w:hAnsi="Arial" w:cs="Arial"/>
          <w:color w:val="auto"/>
          <w:sz w:val="22"/>
          <w:lang w:val="en-AU" w:eastAsia="en-US"/>
        </w:rPr>
        <w:t>he applicant has not discharged the onus resting upon him on the standard of beyond a reasonable doubt.</w:t>
      </w:r>
    </w:p>
    <w:p w14:paraId="7A82D39C" w14:textId="0E5915FB" w:rsidR="00364A68" w:rsidRPr="00584B98" w:rsidRDefault="00584B98" w:rsidP="00584B98">
      <w:pPr>
        <w:keepNext/>
        <w:spacing w:after="360" w:line="480" w:lineRule="auto"/>
        <w:ind w:left="425" w:right="-153" w:hanging="425"/>
        <w:rPr>
          <w:rFonts w:ascii="Arial" w:eastAsiaTheme="minorHAnsi" w:hAnsi="Arial" w:cs="Arial"/>
          <w:color w:val="auto"/>
          <w:sz w:val="22"/>
          <w:u w:val="single"/>
          <w:lang w:val="en-AU" w:eastAsia="en-US"/>
        </w:rPr>
      </w:pPr>
      <w:r w:rsidRPr="00364A68">
        <w:rPr>
          <w:rFonts w:ascii="Arial" w:eastAsiaTheme="minorHAnsi" w:hAnsi="Arial" w:cs="Arial"/>
          <w:color w:val="auto"/>
          <w:sz w:val="22"/>
          <w:lang w:val="en-AU" w:eastAsia="en-US"/>
        </w:rPr>
        <w:t>(f)</w:t>
      </w:r>
      <w:r w:rsidRPr="00364A68">
        <w:rPr>
          <w:rFonts w:ascii="Arial" w:eastAsiaTheme="minorHAnsi" w:hAnsi="Arial" w:cs="Arial"/>
          <w:color w:val="auto"/>
          <w:sz w:val="22"/>
          <w:lang w:val="en-AU" w:eastAsia="en-US"/>
        </w:rPr>
        <w:tab/>
      </w:r>
      <w:r w:rsidR="00364A68" w:rsidRPr="00584B98">
        <w:rPr>
          <w:rFonts w:ascii="Arial" w:eastAsiaTheme="minorHAnsi" w:hAnsi="Arial" w:cs="Arial"/>
          <w:color w:val="auto"/>
          <w:sz w:val="22"/>
          <w:u w:val="single"/>
          <w:lang w:val="en-AU" w:eastAsia="en-US"/>
        </w:rPr>
        <w:t>My concerns regarding the applicant’s conduct</w:t>
      </w:r>
    </w:p>
    <w:p w14:paraId="0038ECFB" w14:textId="69645A4A" w:rsidR="00364A68"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60.</w:t>
      </w:r>
      <w:r>
        <w:rPr>
          <w:rFonts w:ascii="Arial" w:eastAsiaTheme="minorHAnsi" w:hAnsi="Arial" w:cs="Arial"/>
          <w:color w:val="auto"/>
          <w:sz w:val="22"/>
          <w:lang w:val="en-AU" w:eastAsia="en-US"/>
        </w:rPr>
        <w:tab/>
      </w:r>
      <w:r w:rsidR="00D61BFF" w:rsidRPr="00584B98">
        <w:rPr>
          <w:rFonts w:ascii="Arial" w:eastAsiaTheme="minorHAnsi" w:hAnsi="Arial" w:cs="Arial"/>
          <w:color w:val="auto"/>
          <w:sz w:val="22"/>
          <w:lang w:val="en-AU" w:eastAsia="en-US"/>
        </w:rPr>
        <w:t xml:space="preserve">Separately to the above, I deem it necessary to address the nature of the relief sought by the applicant, namely a committal to imprisonment for 30 days. </w:t>
      </w:r>
    </w:p>
    <w:p w14:paraId="3C94FFE8" w14:textId="54336586" w:rsidR="00364A68"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61.</w:t>
      </w:r>
      <w:r>
        <w:rPr>
          <w:rFonts w:ascii="Arial" w:eastAsiaTheme="minorHAnsi" w:hAnsi="Arial" w:cs="Arial"/>
          <w:color w:val="auto"/>
          <w:sz w:val="22"/>
          <w:lang w:val="en-AU" w:eastAsia="en-US"/>
        </w:rPr>
        <w:tab/>
      </w:r>
      <w:r w:rsidR="00D61BFF" w:rsidRPr="00584B98">
        <w:rPr>
          <w:rFonts w:ascii="Arial" w:eastAsiaTheme="minorHAnsi" w:hAnsi="Arial" w:cs="Arial"/>
          <w:color w:val="auto"/>
          <w:sz w:val="22"/>
          <w:lang w:val="en-AU" w:eastAsia="en-US"/>
        </w:rPr>
        <w:t xml:space="preserve">It is concerning that the applicant would seek such drastic relief, particularly in light of the fact that </w:t>
      </w:r>
      <w:r w:rsidR="00364A68" w:rsidRPr="00584B98">
        <w:rPr>
          <w:rFonts w:ascii="Arial" w:eastAsiaTheme="minorHAnsi" w:hAnsi="Arial" w:cs="Arial"/>
          <w:color w:val="auto"/>
          <w:sz w:val="22"/>
          <w:lang w:val="en-AU" w:eastAsia="en-US"/>
        </w:rPr>
        <w:t>(</w:t>
      </w:r>
      <w:proofErr w:type="spellStart"/>
      <w:r w:rsidR="00364A68" w:rsidRPr="00584B98">
        <w:rPr>
          <w:rFonts w:ascii="Arial" w:eastAsiaTheme="minorHAnsi" w:hAnsi="Arial" w:cs="Arial"/>
          <w:color w:val="auto"/>
          <w:sz w:val="22"/>
          <w:lang w:val="en-AU" w:eastAsia="en-US"/>
        </w:rPr>
        <w:t>i</w:t>
      </w:r>
      <w:proofErr w:type="spellEnd"/>
      <w:r w:rsidR="00364A68" w:rsidRPr="00584B98">
        <w:rPr>
          <w:rFonts w:ascii="Arial" w:eastAsiaTheme="minorHAnsi" w:hAnsi="Arial" w:cs="Arial"/>
          <w:color w:val="auto"/>
          <w:sz w:val="22"/>
          <w:lang w:val="en-AU" w:eastAsia="en-US"/>
        </w:rPr>
        <w:t xml:space="preserve">) </w:t>
      </w:r>
      <w:r w:rsidR="00D61BFF" w:rsidRPr="00584B98">
        <w:rPr>
          <w:rFonts w:ascii="Arial" w:eastAsiaTheme="minorHAnsi" w:hAnsi="Arial" w:cs="Arial"/>
          <w:color w:val="auto"/>
          <w:sz w:val="22"/>
          <w:lang w:val="en-AU" w:eastAsia="en-US"/>
        </w:rPr>
        <w:t>the respondent is the primary caregiver of the minor children</w:t>
      </w:r>
      <w:r w:rsidR="00364A68" w:rsidRPr="00584B98">
        <w:rPr>
          <w:rFonts w:ascii="Arial" w:eastAsiaTheme="minorHAnsi" w:hAnsi="Arial" w:cs="Arial"/>
          <w:color w:val="auto"/>
          <w:sz w:val="22"/>
          <w:lang w:val="en-AU" w:eastAsia="en-US"/>
        </w:rPr>
        <w:t>; and (ii) the parties’ historical treatment of the deed of settlement</w:t>
      </w:r>
      <w:r w:rsidR="00D61BFF" w:rsidRPr="00584B98">
        <w:rPr>
          <w:rFonts w:ascii="Arial" w:eastAsiaTheme="minorHAnsi" w:hAnsi="Arial" w:cs="Arial"/>
          <w:color w:val="auto"/>
          <w:sz w:val="22"/>
          <w:lang w:val="en-AU" w:eastAsia="en-US"/>
        </w:rPr>
        <w:t xml:space="preserve">. </w:t>
      </w:r>
    </w:p>
    <w:p w14:paraId="1FB653E1" w14:textId="1CB10D6D" w:rsidR="00B600FB"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B600FB">
        <w:rPr>
          <w:rFonts w:ascii="Arial" w:eastAsiaTheme="minorHAnsi" w:hAnsi="Arial" w:cs="Arial"/>
          <w:color w:val="auto"/>
          <w:sz w:val="22"/>
          <w:lang w:val="en-AU" w:eastAsia="en-US"/>
        </w:rPr>
        <w:t>62.</w:t>
      </w:r>
      <w:r w:rsidRPr="00B600FB">
        <w:rPr>
          <w:rFonts w:ascii="Arial" w:eastAsiaTheme="minorHAnsi" w:hAnsi="Arial" w:cs="Arial"/>
          <w:color w:val="auto"/>
          <w:sz w:val="22"/>
          <w:lang w:val="en-AU" w:eastAsia="en-US"/>
        </w:rPr>
        <w:tab/>
      </w:r>
      <w:r w:rsidR="00D61BFF" w:rsidRPr="00584B98">
        <w:rPr>
          <w:rFonts w:ascii="Arial" w:eastAsiaTheme="minorHAnsi" w:hAnsi="Arial" w:cs="Arial"/>
          <w:color w:val="auto"/>
          <w:sz w:val="22"/>
          <w:lang w:val="en-AU" w:eastAsia="en-US"/>
        </w:rPr>
        <w:t xml:space="preserve">The applicant has not given any consideration to the impact this drastic sanction will have on the minor children and/or given any consideration as to whether such relief would ultimately be in the minor children’s best interest. </w:t>
      </w:r>
    </w:p>
    <w:p w14:paraId="60636399" w14:textId="7DCAB37F" w:rsidR="00D61BFF"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B600FB">
        <w:rPr>
          <w:rFonts w:ascii="Arial" w:eastAsiaTheme="minorHAnsi" w:hAnsi="Arial" w:cs="Arial"/>
          <w:color w:val="auto"/>
          <w:sz w:val="22"/>
          <w:lang w:val="en-AU" w:eastAsia="en-US"/>
        </w:rPr>
        <w:lastRenderedPageBreak/>
        <w:t>63.</w:t>
      </w:r>
      <w:r w:rsidRPr="00B600FB">
        <w:rPr>
          <w:rFonts w:ascii="Arial" w:eastAsiaTheme="minorHAnsi" w:hAnsi="Arial" w:cs="Arial"/>
          <w:color w:val="auto"/>
          <w:sz w:val="22"/>
          <w:lang w:val="en-AU" w:eastAsia="en-US"/>
        </w:rPr>
        <w:tab/>
      </w:r>
      <w:r w:rsidR="00D61BFF" w:rsidRPr="00584B98">
        <w:rPr>
          <w:rFonts w:ascii="Arial" w:eastAsiaTheme="minorHAnsi" w:hAnsi="Arial" w:cs="Arial"/>
          <w:color w:val="auto"/>
          <w:sz w:val="22"/>
          <w:lang w:val="en-AU" w:eastAsia="en-US"/>
        </w:rPr>
        <w:t>The drastic nature of the committal relief sought is, in my view, in sum and substance, an abuse of process aimed at an improper, ulterior, illegitimate, vexatious and </w:t>
      </w:r>
      <w:r w:rsidR="00D61BFF" w:rsidRPr="00584B98">
        <w:rPr>
          <w:rFonts w:ascii="Arial" w:eastAsiaTheme="minorHAnsi" w:hAnsi="Arial" w:cs="Arial"/>
          <w:i/>
          <w:iCs/>
          <w:color w:val="auto"/>
          <w:sz w:val="22"/>
          <w:lang w:val="en-AU" w:eastAsia="en-US"/>
        </w:rPr>
        <w:t>mala fide</w:t>
      </w:r>
      <w:r w:rsidR="00D61BFF" w:rsidRPr="00584B98">
        <w:rPr>
          <w:rFonts w:ascii="Arial" w:eastAsiaTheme="minorHAnsi" w:hAnsi="Arial" w:cs="Arial"/>
          <w:color w:val="auto"/>
          <w:sz w:val="22"/>
          <w:lang w:val="en-AU" w:eastAsia="en-US"/>
        </w:rPr>
        <w:t> end; and not in truth actually sought to be acted upon</w:t>
      </w:r>
      <w:r w:rsidR="00364A68" w:rsidRPr="00584B98">
        <w:rPr>
          <w:rFonts w:ascii="Arial" w:eastAsiaTheme="minorHAnsi" w:hAnsi="Arial" w:cs="Arial"/>
          <w:color w:val="auto"/>
          <w:sz w:val="22"/>
          <w:lang w:val="en-AU" w:eastAsia="en-US"/>
        </w:rPr>
        <w:t>,</w:t>
      </w:r>
      <w:r w:rsidR="00D61BFF" w:rsidRPr="00634FF3">
        <w:rPr>
          <w:vertAlign w:val="superscript"/>
          <w:lang w:val="en-AU" w:eastAsia="en-US"/>
        </w:rPr>
        <w:footnoteReference w:id="19"/>
      </w:r>
      <w:r w:rsidR="00364A68" w:rsidRPr="00584B98">
        <w:rPr>
          <w:rFonts w:ascii="Arial" w:eastAsiaTheme="minorHAnsi" w:hAnsi="Arial" w:cs="Arial"/>
          <w:color w:val="auto"/>
          <w:sz w:val="22"/>
          <w:lang w:val="en-AU" w:eastAsia="en-US"/>
        </w:rPr>
        <w:t xml:space="preserve"> within the context of contempt proceedings being aimed at compliance with court orders.</w:t>
      </w:r>
      <w:r w:rsidR="00D61BFF" w:rsidRPr="00584B98">
        <w:rPr>
          <w:rFonts w:ascii="Arial" w:eastAsiaTheme="minorHAnsi" w:hAnsi="Arial" w:cs="Arial"/>
          <w:color w:val="auto"/>
          <w:sz w:val="22"/>
          <w:vertAlign w:val="superscript"/>
          <w:lang w:val="en-AU" w:eastAsia="en-US"/>
        </w:rPr>
        <w:t xml:space="preserve"> </w:t>
      </w:r>
    </w:p>
    <w:p w14:paraId="09BD783F" w14:textId="18112F50" w:rsidR="00364A68"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64.</w:t>
      </w:r>
      <w:r>
        <w:rPr>
          <w:rFonts w:ascii="Arial" w:eastAsiaTheme="minorHAnsi" w:hAnsi="Arial" w:cs="Arial"/>
          <w:color w:val="auto"/>
          <w:sz w:val="22"/>
          <w:lang w:val="en-AU" w:eastAsia="en-US"/>
        </w:rPr>
        <w:tab/>
      </w:r>
      <w:r w:rsidR="00D61BFF" w:rsidRPr="00584B98">
        <w:rPr>
          <w:rFonts w:ascii="Arial" w:eastAsiaTheme="minorHAnsi" w:hAnsi="Arial" w:cs="Arial"/>
          <w:color w:val="auto"/>
          <w:sz w:val="22"/>
          <w:lang w:val="en-AU" w:eastAsia="en-US"/>
        </w:rPr>
        <w:t>Our courts have an inherent power and have shown a readiness to intervene in instances where litigation constitutes an abuse of process.</w:t>
      </w:r>
      <w:r w:rsidR="00D61BFF" w:rsidRPr="00634FF3">
        <w:rPr>
          <w:vertAlign w:val="superscript"/>
        </w:rPr>
        <w:footnoteReference w:id="20"/>
      </w:r>
      <w:r w:rsidR="00D61BFF" w:rsidRPr="00584B98">
        <w:rPr>
          <w:rFonts w:ascii="Arial" w:eastAsiaTheme="minorHAnsi" w:hAnsi="Arial" w:cs="Arial"/>
          <w:color w:val="auto"/>
          <w:sz w:val="22"/>
          <w:vertAlign w:val="superscript"/>
          <w:lang w:val="en-AU" w:eastAsia="en-US"/>
        </w:rPr>
        <w:t xml:space="preserve"> </w:t>
      </w:r>
      <w:r w:rsidR="00D61BFF" w:rsidRPr="00584B98">
        <w:rPr>
          <w:rFonts w:ascii="Arial" w:eastAsiaTheme="minorHAnsi" w:hAnsi="Arial" w:cs="Arial"/>
          <w:color w:val="auto"/>
          <w:sz w:val="22"/>
          <w:lang w:val="en-AU" w:eastAsia="en-US"/>
        </w:rPr>
        <w:t>This especially so where an attempt is made to use, for ulterior purposes and in respect of our Courts, the machinery devised for the better administration of justice.</w:t>
      </w:r>
      <w:r w:rsidR="00D61BFF" w:rsidRPr="00634FF3">
        <w:rPr>
          <w:vertAlign w:val="superscript"/>
        </w:rPr>
        <w:footnoteReference w:id="21"/>
      </w:r>
      <w:r w:rsidR="00D61BFF" w:rsidRPr="00584B98">
        <w:rPr>
          <w:rFonts w:ascii="Arial" w:eastAsiaTheme="minorHAnsi" w:hAnsi="Arial" w:cs="Arial"/>
          <w:color w:val="auto"/>
          <w:sz w:val="22"/>
          <w:lang w:val="en-AU" w:eastAsia="en-US"/>
        </w:rPr>
        <w:t xml:space="preserve"> </w:t>
      </w:r>
    </w:p>
    <w:p w14:paraId="6ECB92A7" w14:textId="2F625378" w:rsidR="00B600FB"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B600FB">
        <w:rPr>
          <w:rFonts w:ascii="Arial" w:eastAsiaTheme="minorHAnsi" w:hAnsi="Arial" w:cs="Arial"/>
          <w:color w:val="auto"/>
          <w:sz w:val="22"/>
          <w:lang w:val="en-AU" w:eastAsia="en-US"/>
        </w:rPr>
        <w:t>65.</w:t>
      </w:r>
      <w:r w:rsidRPr="00B600FB">
        <w:rPr>
          <w:rFonts w:ascii="Arial" w:eastAsiaTheme="minorHAnsi" w:hAnsi="Arial" w:cs="Arial"/>
          <w:color w:val="auto"/>
          <w:sz w:val="22"/>
          <w:lang w:val="en-AU" w:eastAsia="en-US"/>
        </w:rPr>
        <w:tab/>
      </w:r>
      <w:r w:rsidR="00D61BFF" w:rsidRPr="00584B98">
        <w:rPr>
          <w:rFonts w:ascii="Arial" w:eastAsiaTheme="minorHAnsi" w:hAnsi="Arial" w:cs="Arial"/>
          <w:color w:val="auto"/>
          <w:sz w:val="22"/>
          <w:lang w:val="en-AU" w:eastAsia="en-US"/>
        </w:rPr>
        <w:t>An abuse occurs where the legal process is diverted from its true course so as to serve extortion or oppression; or to exert pressure so as to achieve an improper end</w:t>
      </w:r>
      <w:r w:rsidR="00D61BFF" w:rsidRPr="00634FF3">
        <w:rPr>
          <w:vertAlign w:val="superscript"/>
        </w:rPr>
        <w:footnoteReference w:id="22"/>
      </w:r>
      <w:r w:rsidR="00D61BFF" w:rsidRPr="00584B98">
        <w:rPr>
          <w:rFonts w:ascii="Arial" w:eastAsiaTheme="minorHAnsi" w:hAnsi="Arial" w:cs="Arial"/>
          <w:color w:val="auto"/>
          <w:sz w:val="22"/>
          <w:vertAlign w:val="superscript"/>
          <w:lang w:val="en-AU" w:eastAsia="en-US"/>
        </w:rPr>
        <w:t xml:space="preserve"> </w:t>
      </w:r>
      <w:r w:rsidR="00D61BFF" w:rsidRPr="00584B98">
        <w:rPr>
          <w:rFonts w:ascii="Arial" w:eastAsiaTheme="minorHAnsi" w:hAnsi="Arial" w:cs="Arial"/>
          <w:color w:val="auto"/>
          <w:sz w:val="22"/>
          <w:lang w:val="en-AU" w:eastAsia="en-US"/>
        </w:rPr>
        <w:t>or where the procedures permitted by the Rules of the Court to facilitate the pursuit of the truth are used for a purpose extraneous to that objective.</w:t>
      </w:r>
      <w:r w:rsidR="00D61BFF" w:rsidRPr="00634FF3">
        <w:rPr>
          <w:vertAlign w:val="superscript"/>
        </w:rPr>
        <w:footnoteReference w:id="23"/>
      </w:r>
      <w:r w:rsidR="00D61BFF" w:rsidRPr="00584B98">
        <w:rPr>
          <w:rFonts w:ascii="Arial" w:eastAsiaTheme="minorHAnsi" w:hAnsi="Arial" w:cs="Arial"/>
          <w:color w:val="auto"/>
          <w:sz w:val="22"/>
          <w:vertAlign w:val="superscript"/>
          <w:lang w:val="en-AU" w:eastAsia="en-US"/>
        </w:rPr>
        <w:t xml:space="preserve"> </w:t>
      </w:r>
    </w:p>
    <w:p w14:paraId="6350FBCD" w14:textId="003AE709" w:rsidR="00364A68"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66.</w:t>
      </w:r>
      <w:r>
        <w:rPr>
          <w:rFonts w:ascii="Arial" w:eastAsiaTheme="minorHAnsi" w:hAnsi="Arial" w:cs="Arial"/>
          <w:color w:val="auto"/>
          <w:sz w:val="22"/>
          <w:lang w:val="en-AU" w:eastAsia="en-US"/>
        </w:rPr>
        <w:tab/>
      </w:r>
      <w:r w:rsidR="00B600FB" w:rsidRPr="00584B98">
        <w:rPr>
          <w:rFonts w:ascii="Arial" w:eastAsiaTheme="minorHAnsi" w:hAnsi="Arial" w:cs="Arial"/>
          <w:color w:val="auto"/>
          <w:sz w:val="22"/>
          <w:lang w:val="en-AU" w:eastAsia="en-US"/>
        </w:rPr>
        <w:t>I am of the view that the punitive nature of the relief sought by the applicant serves to extort and/or oppress the respondent. This would</w:t>
      </w:r>
      <w:r w:rsidR="00364A68" w:rsidRPr="00584B98">
        <w:rPr>
          <w:rFonts w:ascii="Arial" w:eastAsiaTheme="minorHAnsi" w:hAnsi="Arial" w:cs="Arial"/>
          <w:color w:val="auto"/>
          <w:sz w:val="22"/>
          <w:lang w:val="en-AU" w:eastAsia="en-US"/>
        </w:rPr>
        <w:t>, I ordinarily believe,</w:t>
      </w:r>
      <w:r w:rsidR="00B600FB" w:rsidRPr="00584B98">
        <w:rPr>
          <w:rFonts w:ascii="Arial" w:eastAsiaTheme="minorHAnsi" w:hAnsi="Arial" w:cs="Arial"/>
          <w:color w:val="auto"/>
          <w:sz w:val="22"/>
          <w:lang w:val="en-AU" w:eastAsia="en-US"/>
        </w:rPr>
        <w:t xml:space="preserve"> justify a punitive costs order. </w:t>
      </w:r>
    </w:p>
    <w:p w14:paraId="7202B25E" w14:textId="4667CECF" w:rsidR="00B600FB"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67.</w:t>
      </w:r>
      <w:r>
        <w:rPr>
          <w:rFonts w:ascii="Arial" w:eastAsiaTheme="minorHAnsi" w:hAnsi="Arial" w:cs="Arial"/>
          <w:color w:val="auto"/>
          <w:sz w:val="22"/>
          <w:lang w:val="en-AU" w:eastAsia="en-US"/>
        </w:rPr>
        <w:tab/>
      </w:r>
      <w:r w:rsidR="00B600FB" w:rsidRPr="00584B98">
        <w:rPr>
          <w:rFonts w:ascii="Arial" w:eastAsiaTheme="minorHAnsi" w:hAnsi="Arial" w:cs="Arial"/>
          <w:color w:val="auto"/>
          <w:sz w:val="22"/>
          <w:lang w:val="en-AU" w:eastAsia="en-US"/>
        </w:rPr>
        <w:t>However, I will give the applicant the benefit of the doubt that he did not intend to use the contempt proceedings for an ulterior purpose</w:t>
      </w:r>
      <w:r w:rsidR="00364A68" w:rsidRPr="00584B98">
        <w:rPr>
          <w:rFonts w:ascii="Arial" w:eastAsiaTheme="minorHAnsi" w:hAnsi="Arial" w:cs="Arial"/>
          <w:color w:val="auto"/>
          <w:sz w:val="22"/>
          <w:lang w:val="en-AU" w:eastAsia="en-US"/>
        </w:rPr>
        <w:t xml:space="preserve"> and that his true motivations were guided by his </w:t>
      </w:r>
      <w:r w:rsidR="00364A68" w:rsidRPr="00584B98">
        <w:rPr>
          <w:rFonts w:ascii="Arial" w:eastAsiaTheme="minorHAnsi" w:hAnsi="Arial" w:cs="Arial"/>
          <w:color w:val="auto"/>
          <w:sz w:val="22"/>
          <w:lang w:val="en-AU" w:eastAsia="en-US"/>
        </w:rPr>
        <w:lastRenderedPageBreak/>
        <w:t xml:space="preserve">need, and the minor </w:t>
      </w:r>
      <w:proofErr w:type="spellStart"/>
      <w:r w:rsidR="00364A68" w:rsidRPr="00584B98">
        <w:rPr>
          <w:rFonts w:ascii="Arial" w:eastAsiaTheme="minorHAnsi" w:hAnsi="Arial" w:cs="Arial"/>
          <w:color w:val="auto"/>
          <w:sz w:val="22"/>
          <w:lang w:val="en-AU" w:eastAsia="en-US"/>
        </w:rPr>
        <w:t>children</w:t>
      </w:r>
      <w:r w:rsidR="00650364" w:rsidRPr="00584B98">
        <w:rPr>
          <w:rFonts w:ascii="Arial" w:eastAsiaTheme="minorHAnsi" w:hAnsi="Arial" w:cs="Arial"/>
          <w:color w:val="auto"/>
          <w:sz w:val="22"/>
          <w:lang w:val="en-AU" w:eastAsia="en-US"/>
        </w:rPr>
        <w:t>s</w:t>
      </w:r>
      <w:proofErr w:type="spellEnd"/>
      <w:r w:rsidR="00650364" w:rsidRPr="00584B98">
        <w:rPr>
          <w:rFonts w:ascii="Arial" w:eastAsiaTheme="minorHAnsi" w:hAnsi="Arial" w:cs="Arial"/>
          <w:color w:val="auto"/>
          <w:sz w:val="22"/>
          <w:lang w:val="en-AU" w:eastAsia="en-US"/>
        </w:rPr>
        <w:t>’</w:t>
      </w:r>
      <w:r w:rsidR="00364A68" w:rsidRPr="00584B98">
        <w:rPr>
          <w:rFonts w:ascii="Arial" w:eastAsiaTheme="minorHAnsi" w:hAnsi="Arial" w:cs="Arial"/>
          <w:color w:val="auto"/>
          <w:sz w:val="22"/>
          <w:lang w:val="en-AU" w:eastAsia="en-US"/>
        </w:rPr>
        <w:t xml:space="preserve">, to enjoy contact with each other. </w:t>
      </w:r>
      <w:r w:rsidR="00B600FB" w:rsidRPr="00584B98">
        <w:rPr>
          <w:rFonts w:ascii="Arial" w:eastAsiaTheme="minorHAnsi" w:hAnsi="Arial" w:cs="Arial"/>
          <w:color w:val="auto"/>
          <w:sz w:val="22"/>
          <w:lang w:val="en-AU" w:eastAsia="en-US"/>
        </w:rPr>
        <w:t>In the circumstances, I intend to order costs on the ordinary scale.</w:t>
      </w:r>
    </w:p>
    <w:p w14:paraId="7C6595BF" w14:textId="0327A1CD" w:rsidR="00364A68"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68.</w:t>
      </w:r>
      <w:r>
        <w:rPr>
          <w:rFonts w:ascii="Arial" w:eastAsiaTheme="minorHAnsi" w:hAnsi="Arial" w:cs="Arial"/>
          <w:color w:val="auto"/>
          <w:sz w:val="22"/>
          <w:lang w:val="en-AU" w:eastAsia="en-US"/>
        </w:rPr>
        <w:tab/>
      </w:r>
      <w:r w:rsidR="00364A68" w:rsidRPr="00584B98">
        <w:rPr>
          <w:rFonts w:ascii="Arial" w:eastAsiaTheme="minorHAnsi" w:hAnsi="Arial" w:cs="Arial"/>
          <w:color w:val="auto"/>
          <w:sz w:val="22"/>
          <w:lang w:val="en-AU" w:eastAsia="en-US"/>
        </w:rPr>
        <w:t>Nevertheless, I hope that the aforesaid expression of my sentiments will guide the applicant accordingly in his future conduct.</w:t>
      </w:r>
    </w:p>
    <w:p w14:paraId="58846C2B" w14:textId="593B2D7A" w:rsidR="00B600FB" w:rsidRPr="00584B98" w:rsidRDefault="00584B98" w:rsidP="00584B98">
      <w:pPr>
        <w:keepLines/>
        <w:spacing w:before="240" w:after="360" w:line="276" w:lineRule="auto"/>
        <w:ind w:left="426" w:hanging="426"/>
        <w:rPr>
          <w:rFonts w:ascii="Arial" w:hAnsi="Arial" w:cs="Arial"/>
          <w:b/>
          <w:sz w:val="22"/>
        </w:rPr>
      </w:pPr>
      <w:r w:rsidRPr="00634FF3">
        <w:rPr>
          <w:rFonts w:ascii="Arial" w:hAnsi="Arial" w:cs="Arial"/>
          <w:b/>
          <w:sz w:val="22"/>
        </w:rPr>
        <w:t>C.</w:t>
      </w:r>
      <w:r w:rsidRPr="00634FF3">
        <w:rPr>
          <w:rFonts w:ascii="Arial" w:hAnsi="Arial" w:cs="Arial"/>
          <w:b/>
          <w:sz w:val="22"/>
        </w:rPr>
        <w:tab/>
      </w:r>
      <w:r w:rsidR="00B600FB" w:rsidRPr="00584B98">
        <w:rPr>
          <w:rFonts w:ascii="Arial" w:hAnsi="Arial" w:cs="Arial"/>
          <w:b/>
          <w:sz w:val="22"/>
        </w:rPr>
        <w:t>PART B – FAMILY ADVOCATE’S INVESTIGATION AND REPORT</w:t>
      </w:r>
    </w:p>
    <w:p w14:paraId="3E6AB1D3" w14:textId="24622788" w:rsidR="00E268B9" w:rsidRPr="00584B98" w:rsidRDefault="00584B98" w:rsidP="00584B98">
      <w:pPr>
        <w:keepNext/>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69.</w:t>
      </w:r>
      <w:r>
        <w:rPr>
          <w:rFonts w:ascii="Arial" w:eastAsiaTheme="minorHAnsi" w:hAnsi="Arial" w:cs="Arial"/>
          <w:color w:val="auto"/>
          <w:sz w:val="22"/>
          <w:lang w:val="en-AU" w:eastAsia="en-US"/>
        </w:rPr>
        <w:tab/>
      </w:r>
      <w:r w:rsidR="00E268B9" w:rsidRPr="00584B98">
        <w:rPr>
          <w:rFonts w:ascii="Arial" w:eastAsiaTheme="minorHAnsi" w:hAnsi="Arial" w:cs="Arial"/>
          <w:color w:val="auto"/>
          <w:sz w:val="22"/>
          <w:lang w:val="en-AU" w:eastAsia="en-US"/>
        </w:rPr>
        <w:t xml:space="preserve">As indicated earlier, the relief sought in Part B of the application </w:t>
      </w:r>
      <w:r w:rsidR="003A740B" w:rsidRPr="00584B98">
        <w:rPr>
          <w:rFonts w:ascii="Arial" w:eastAsiaTheme="minorHAnsi" w:hAnsi="Arial" w:cs="Arial"/>
          <w:color w:val="auto"/>
          <w:sz w:val="22"/>
          <w:lang w:val="en-AU" w:eastAsia="en-US"/>
        </w:rPr>
        <w:t xml:space="preserve">seeks </w:t>
      </w:r>
      <w:r w:rsidR="00E268B9" w:rsidRPr="00584B98">
        <w:rPr>
          <w:rFonts w:ascii="Arial" w:eastAsiaTheme="minorHAnsi" w:hAnsi="Arial" w:cs="Arial"/>
          <w:color w:val="auto"/>
          <w:sz w:val="22"/>
          <w:lang w:val="en-AU" w:eastAsia="en-US"/>
        </w:rPr>
        <w:t xml:space="preserve">an order requesting the </w:t>
      </w:r>
      <w:r w:rsidR="003A740B" w:rsidRPr="00584B98">
        <w:rPr>
          <w:rFonts w:ascii="Arial" w:eastAsiaTheme="minorHAnsi" w:hAnsi="Arial" w:cs="Arial"/>
          <w:color w:val="auto"/>
          <w:sz w:val="22"/>
          <w:lang w:val="en-AU" w:eastAsia="en-US"/>
        </w:rPr>
        <w:t xml:space="preserve">offices of the </w:t>
      </w:r>
      <w:r w:rsidR="00E268B9" w:rsidRPr="00584B98">
        <w:rPr>
          <w:rFonts w:ascii="Arial" w:eastAsiaTheme="minorHAnsi" w:hAnsi="Arial" w:cs="Arial"/>
          <w:color w:val="auto"/>
          <w:sz w:val="22"/>
          <w:lang w:val="en-AU" w:eastAsia="en-US"/>
        </w:rPr>
        <w:t>Family Advocate</w:t>
      </w:r>
      <w:r w:rsidR="003A740B" w:rsidRPr="00584B98">
        <w:rPr>
          <w:rFonts w:ascii="Arial" w:eastAsiaTheme="minorHAnsi" w:hAnsi="Arial" w:cs="Arial"/>
          <w:color w:val="auto"/>
          <w:sz w:val="22"/>
          <w:lang w:val="en-AU" w:eastAsia="en-US"/>
        </w:rPr>
        <w:t>, Johannesburg,</w:t>
      </w:r>
      <w:r w:rsidR="00E268B9" w:rsidRPr="00584B98">
        <w:rPr>
          <w:rFonts w:ascii="Arial" w:eastAsiaTheme="minorHAnsi" w:hAnsi="Arial" w:cs="Arial"/>
          <w:color w:val="auto"/>
          <w:sz w:val="22"/>
          <w:lang w:val="en-AU" w:eastAsia="en-US"/>
        </w:rPr>
        <w:t xml:space="preserve"> to investigate issues relevant to the minor children; being primary residence, care and contact.</w:t>
      </w:r>
    </w:p>
    <w:p w14:paraId="6B36952C" w14:textId="544F55DB" w:rsidR="00B600FB" w:rsidRPr="00584B98" w:rsidRDefault="00584B98" w:rsidP="00584B98">
      <w:pPr>
        <w:keepLines/>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70.</w:t>
      </w:r>
      <w:r>
        <w:rPr>
          <w:rFonts w:ascii="Arial" w:eastAsiaTheme="minorHAnsi" w:hAnsi="Arial" w:cs="Arial"/>
          <w:color w:val="auto"/>
          <w:sz w:val="22"/>
          <w:lang w:val="en-AU" w:eastAsia="en-US"/>
        </w:rPr>
        <w:tab/>
      </w:r>
      <w:r w:rsidR="00B600FB" w:rsidRPr="00584B98">
        <w:rPr>
          <w:rFonts w:ascii="Arial" w:eastAsiaTheme="minorHAnsi" w:hAnsi="Arial" w:cs="Arial"/>
          <w:color w:val="auto"/>
          <w:sz w:val="22"/>
          <w:lang w:val="en-AU" w:eastAsia="en-US"/>
        </w:rPr>
        <w:t xml:space="preserve">The respondent raised a point </w:t>
      </w:r>
      <w:r w:rsidR="00B600FB" w:rsidRPr="00584B98">
        <w:rPr>
          <w:rFonts w:ascii="Arial" w:eastAsiaTheme="minorHAnsi" w:hAnsi="Arial" w:cs="Arial"/>
          <w:i/>
          <w:iCs/>
          <w:color w:val="auto"/>
          <w:sz w:val="22"/>
          <w:lang w:val="en-AU" w:eastAsia="en-US"/>
        </w:rPr>
        <w:t xml:space="preserve">in </w:t>
      </w:r>
      <w:proofErr w:type="spellStart"/>
      <w:r w:rsidR="00B600FB" w:rsidRPr="00584B98">
        <w:rPr>
          <w:rFonts w:ascii="Arial" w:eastAsiaTheme="minorHAnsi" w:hAnsi="Arial" w:cs="Arial"/>
          <w:i/>
          <w:iCs/>
          <w:color w:val="auto"/>
          <w:sz w:val="22"/>
          <w:lang w:val="en-AU" w:eastAsia="en-US"/>
        </w:rPr>
        <w:t>limine</w:t>
      </w:r>
      <w:proofErr w:type="spellEnd"/>
      <w:r w:rsidR="00B600FB" w:rsidRPr="00584B98">
        <w:rPr>
          <w:rFonts w:ascii="Arial" w:eastAsiaTheme="minorHAnsi" w:hAnsi="Arial" w:cs="Arial"/>
          <w:color w:val="auto"/>
          <w:sz w:val="22"/>
          <w:lang w:val="en-AU" w:eastAsia="en-US"/>
        </w:rPr>
        <w:t xml:space="preserve"> of jurisdiction in respect of Part B of the application. I accordingly requested the parties to </w:t>
      </w:r>
      <w:r w:rsidR="006E4073" w:rsidRPr="00584B98">
        <w:rPr>
          <w:rFonts w:ascii="Arial" w:eastAsiaTheme="minorHAnsi" w:hAnsi="Arial" w:cs="Arial"/>
          <w:color w:val="auto"/>
          <w:sz w:val="22"/>
          <w:lang w:val="en-AU" w:eastAsia="en-US"/>
        </w:rPr>
        <w:t xml:space="preserve">only </w:t>
      </w:r>
      <w:r w:rsidR="00B600FB" w:rsidRPr="00584B98">
        <w:rPr>
          <w:rFonts w:ascii="Arial" w:eastAsiaTheme="minorHAnsi" w:hAnsi="Arial" w:cs="Arial"/>
          <w:color w:val="auto"/>
          <w:sz w:val="22"/>
          <w:lang w:val="en-AU" w:eastAsia="en-US"/>
        </w:rPr>
        <w:t xml:space="preserve">address me on the point </w:t>
      </w:r>
      <w:r w:rsidR="00B600FB" w:rsidRPr="00584B98">
        <w:rPr>
          <w:rFonts w:ascii="Arial" w:eastAsiaTheme="minorHAnsi" w:hAnsi="Arial" w:cs="Arial"/>
          <w:i/>
          <w:iCs/>
          <w:color w:val="auto"/>
          <w:sz w:val="22"/>
          <w:lang w:val="en-AU" w:eastAsia="en-US"/>
        </w:rPr>
        <w:t xml:space="preserve">in </w:t>
      </w:r>
      <w:proofErr w:type="spellStart"/>
      <w:r w:rsidR="00B600FB" w:rsidRPr="00584B98">
        <w:rPr>
          <w:rFonts w:ascii="Arial" w:eastAsiaTheme="minorHAnsi" w:hAnsi="Arial" w:cs="Arial"/>
          <w:i/>
          <w:iCs/>
          <w:color w:val="auto"/>
          <w:sz w:val="22"/>
          <w:lang w:val="en-AU" w:eastAsia="en-US"/>
        </w:rPr>
        <w:t>limine</w:t>
      </w:r>
      <w:proofErr w:type="spellEnd"/>
      <w:r w:rsidR="00B600FB" w:rsidRPr="00584B98">
        <w:rPr>
          <w:rFonts w:ascii="Arial" w:eastAsiaTheme="minorHAnsi" w:hAnsi="Arial" w:cs="Arial"/>
          <w:color w:val="auto"/>
          <w:sz w:val="22"/>
          <w:lang w:val="en-AU" w:eastAsia="en-US"/>
        </w:rPr>
        <w:t xml:space="preserve">. </w:t>
      </w:r>
      <w:r w:rsidR="006E4073" w:rsidRPr="00584B98">
        <w:rPr>
          <w:rFonts w:ascii="Arial" w:eastAsiaTheme="minorHAnsi" w:hAnsi="Arial" w:cs="Arial"/>
          <w:color w:val="auto"/>
          <w:sz w:val="22"/>
          <w:lang w:val="en-AU" w:eastAsia="en-US"/>
        </w:rPr>
        <w:t>I</w:t>
      </w:r>
      <w:r w:rsidR="00B600FB" w:rsidRPr="00584B98">
        <w:rPr>
          <w:rFonts w:ascii="Arial" w:eastAsiaTheme="minorHAnsi" w:hAnsi="Arial" w:cs="Arial"/>
          <w:color w:val="auto"/>
          <w:sz w:val="22"/>
          <w:lang w:val="en-AU" w:eastAsia="en-US"/>
        </w:rPr>
        <w:t xml:space="preserve">f the point </w:t>
      </w:r>
      <w:r w:rsidR="00B600FB" w:rsidRPr="00584B98">
        <w:rPr>
          <w:rFonts w:ascii="Arial" w:eastAsiaTheme="minorHAnsi" w:hAnsi="Arial" w:cs="Arial"/>
          <w:i/>
          <w:iCs/>
          <w:color w:val="auto"/>
          <w:sz w:val="22"/>
          <w:lang w:val="en-AU" w:eastAsia="en-US"/>
        </w:rPr>
        <w:t xml:space="preserve">in </w:t>
      </w:r>
      <w:proofErr w:type="spellStart"/>
      <w:r w:rsidR="00B600FB" w:rsidRPr="00584B98">
        <w:rPr>
          <w:rFonts w:ascii="Arial" w:eastAsiaTheme="minorHAnsi" w:hAnsi="Arial" w:cs="Arial"/>
          <w:i/>
          <w:iCs/>
          <w:color w:val="auto"/>
          <w:sz w:val="22"/>
          <w:lang w:val="en-AU" w:eastAsia="en-US"/>
        </w:rPr>
        <w:t>limine</w:t>
      </w:r>
      <w:proofErr w:type="spellEnd"/>
      <w:r w:rsidR="00B600FB" w:rsidRPr="00584B98">
        <w:rPr>
          <w:rFonts w:ascii="Arial" w:eastAsiaTheme="minorHAnsi" w:hAnsi="Arial" w:cs="Arial"/>
          <w:color w:val="auto"/>
          <w:sz w:val="22"/>
          <w:lang w:val="en-AU" w:eastAsia="en-US"/>
        </w:rPr>
        <w:t xml:space="preserve"> is upheld and this Court does not have jurisdiction, this Court </w:t>
      </w:r>
      <w:r w:rsidR="006E4073" w:rsidRPr="00584B98">
        <w:rPr>
          <w:rFonts w:ascii="Arial" w:eastAsiaTheme="minorHAnsi" w:hAnsi="Arial" w:cs="Arial"/>
          <w:color w:val="auto"/>
          <w:sz w:val="22"/>
          <w:lang w:val="en-AU" w:eastAsia="en-US"/>
        </w:rPr>
        <w:t xml:space="preserve">is not </w:t>
      </w:r>
      <w:r w:rsidR="00B600FB" w:rsidRPr="00584B98">
        <w:rPr>
          <w:rFonts w:ascii="Arial" w:eastAsiaTheme="minorHAnsi" w:hAnsi="Arial" w:cs="Arial"/>
          <w:color w:val="auto"/>
          <w:sz w:val="22"/>
          <w:lang w:val="en-AU" w:eastAsia="en-US"/>
        </w:rPr>
        <w:t>in a position to hear and adjudicate the merits of Part B.</w:t>
      </w:r>
    </w:p>
    <w:p w14:paraId="2C7211F1" w14:textId="47029A8D" w:rsidR="00364A68" w:rsidRPr="00584B98" w:rsidRDefault="00584B98" w:rsidP="00584B98">
      <w:pPr>
        <w:keepLines/>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71.</w:t>
      </w:r>
      <w:r>
        <w:rPr>
          <w:rFonts w:ascii="Arial" w:eastAsiaTheme="minorHAnsi" w:hAnsi="Arial" w:cs="Arial"/>
          <w:color w:val="auto"/>
          <w:sz w:val="22"/>
          <w:lang w:val="en-AU" w:eastAsia="en-US"/>
        </w:rPr>
        <w:tab/>
      </w:r>
      <w:r w:rsidR="00E268B9" w:rsidRPr="00584B98">
        <w:rPr>
          <w:rFonts w:ascii="Arial" w:eastAsiaTheme="minorHAnsi" w:hAnsi="Arial" w:cs="Arial"/>
          <w:color w:val="auto"/>
          <w:sz w:val="22"/>
          <w:lang w:val="en-AU" w:eastAsia="en-US"/>
        </w:rPr>
        <w:t xml:space="preserve">It is common cause that the respondent and the minor children </w:t>
      </w:r>
      <w:r w:rsidR="00CB5014" w:rsidRPr="00584B98">
        <w:rPr>
          <w:rFonts w:ascii="Arial" w:eastAsiaTheme="minorHAnsi" w:hAnsi="Arial" w:cs="Arial"/>
          <w:color w:val="auto"/>
          <w:sz w:val="22"/>
          <w:lang w:val="en-AU" w:eastAsia="en-US"/>
        </w:rPr>
        <w:t xml:space="preserve">do not reside within this Court’s area of jurisdiction. They </w:t>
      </w:r>
      <w:r w:rsidR="00E268B9" w:rsidRPr="00584B98">
        <w:rPr>
          <w:rFonts w:ascii="Arial" w:eastAsiaTheme="minorHAnsi" w:hAnsi="Arial" w:cs="Arial"/>
          <w:color w:val="auto"/>
          <w:sz w:val="22"/>
          <w:lang w:val="en-AU" w:eastAsia="en-US"/>
        </w:rPr>
        <w:t>reside in Potchefstroom. They have resided there since December 2017.</w:t>
      </w:r>
    </w:p>
    <w:p w14:paraId="49BB127C" w14:textId="2C175BA0" w:rsidR="00E268B9" w:rsidRPr="00584B98" w:rsidRDefault="00584B98" w:rsidP="00584B98">
      <w:pPr>
        <w:keepLines/>
        <w:spacing w:after="360" w:line="480" w:lineRule="auto"/>
        <w:ind w:left="425" w:right="-153" w:hanging="357"/>
        <w:rPr>
          <w:rFonts w:ascii="Arial" w:eastAsiaTheme="minorHAnsi" w:hAnsi="Arial" w:cs="Arial"/>
          <w:color w:val="auto"/>
          <w:sz w:val="22"/>
          <w:lang w:val="en-AU" w:eastAsia="en-US"/>
        </w:rPr>
      </w:pPr>
      <w:r w:rsidRPr="00364A68">
        <w:rPr>
          <w:rFonts w:ascii="Arial" w:eastAsiaTheme="minorHAnsi" w:hAnsi="Arial" w:cs="Arial"/>
          <w:color w:val="auto"/>
          <w:sz w:val="22"/>
          <w:lang w:val="en-AU" w:eastAsia="en-US"/>
        </w:rPr>
        <w:t>72.</w:t>
      </w:r>
      <w:r w:rsidRPr="00364A68">
        <w:rPr>
          <w:rFonts w:ascii="Arial" w:eastAsiaTheme="minorHAnsi" w:hAnsi="Arial" w:cs="Arial"/>
          <w:color w:val="auto"/>
          <w:sz w:val="22"/>
          <w:lang w:val="en-AU" w:eastAsia="en-US"/>
        </w:rPr>
        <w:tab/>
      </w:r>
      <w:r w:rsidR="00E268B9" w:rsidRPr="00584B98">
        <w:rPr>
          <w:rFonts w:ascii="Arial" w:eastAsiaTheme="minorHAnsi" w:hAnsi="Arial" w:cs="Arial"/>
          <w:color w:val="auto"/>
          <w:sz w:val="22"/>
          <w:lang w:val="en-AU" w:eastAsia="en-US"/>
        </w:rPr>
        <w:t xml:space="preserve">Since 18 April 2018, Potchefstroom falls under the jurisdiction of the </w:t>
      </w:r>
      <w:bookmarkStart w:id="16" w:name="_Hlk150448572"/>
      <w:r w:rsidR="00E268B9" w:rsidRPr="00584B98">
        <w:rPr>
          <w:rFonts w:ascii="Arial" w:eastAsiaTheme="minorHAnsi" w:hAnsi="Arial" w:cs="Arial"/>
          <w:color w:val="auto"/>
          <w:sz w:val="22"/>
          <w:lang w:val="en-AU" w:eastAsia="en-US"/>
        </w:rPr>
        <w:t xml:space="preserve">High Court, North-West Division, </w:t>
      </w:r>
      <w:proofErr w:type="spellStart"/>
      <w:r w:rsidR="00E268B9" w:rsidRPr="00584B98">
        <w:rPr>
          <w:rFonts w:ascii="Arial" w:eastAsiaTheme="minorHAnsi" w:hAnsi="Arial" w:cs="Arial"/>
          <w:color w:val="auto"/>
          <w:sz w:val="22"/>
          <w:lang w:val="en-AU" w:eastAsia="en-US"/>
        </w:rPr>
        <w:t>Mahikeng</w:t>
      </w:r>
      <w:proofErr w:type="spellEnd"/>
      <w:r w:rsidR="00E268B9" w:rsidRPr="00584B98">
        <w:rPr>
          <w:rFonts w:ascii="Arial" w:eastAsiaTheme="minorHAnsi" w:hAnsi="Arial" w:cs="Arial"/>
          <w:color w:val="auto"/>
          <w:sz w:val="22"/>
          <w:lang w:val="en-AU" w:eastAsia="en-US"/>
        </w:rPr>
        <w:t>.</w:t>
      </w:r>
      <w:bookmarkEnd w:id="16"/>
      <w:r w:rsidR="00725FD0">
        <w:rPr>
          <w:rStyle w:val="FootnoteReference"/>
          <w:rFonts w:ascii="Arial" w:eastAsiaTheme="minorHAnsi" w:hAnsi="Arial" w:cs="Arial"/>
          <w:color w:val="auto"/>
          <w:sz w:val="22"/>
          <w:lang w:val="en-AU" w:eastAsia="en-US"/>
        </w:rPr>
        <w:footnoteReference w:id="24"/>
      </w:r>
    </w:p>
    <w:p w14:paraId="3BF9E279" w14:textId="0E417647" w:rsidR="002D5C06" w:rsidRPr="00584B98" w:rsidRDefault="00584B98" w:rsidP="00584B98">
      <w:pPr>
        <w:keepNext/>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73.</w:t>
      </w:r>
      <w:r>
        <w:rPr>
          <w:rFonts w:ascii="Arial" w:eastAsiaTheme="minorHAnsi" w:hAnsi="Arial" w:cs="Arial"/>
          <w:color w:val="auto"/>
          <w:sz w:val="22"/>
          <w:lang w:val="en-AU" w:eastAsia="en-US"/>
        </w:rPr>
        <w:tab/>
      </w:r>
      <w:r w:rsidR="00E268B9" w:rsidRPr="00584B98">
        <w:rPr>
          <w:rFonts w:ascii="Arial" w:eastAsiaTheme="minorHAnsi" w:hAnsi="Arial" w:cs="Arial"/>
          <w:color w:val="auto"/>
          <w:sz w:val="22"/>
          <w:lang w:val="en-AU" w:eastAsia="en-US"/>
        </w:rPr>
        <w:t>It is trite that a High Court has jurisdiction over all minor children within its jurisdiction.</w:t>
      </w:r>
      <w:r w:rsidR="002D5C06">
        <w:rPr>
          <w:rStyle w:val="FootnoteReference"/>
          <w:rFonts w:ascii="Arial" w:eastAsiaTheme="minorHAnsi" w:hAnsi="Arial" w:cs="Arial"/>
          <w:color w:val="auto"/>
          <w:sz w:val="22"/>
          <w:lang w:val="en-AU" w:eastAsia="en-US"/>
        </w:rPr>
        <w:footnoteReference w:id="25"/>
      </w:r>
      <w:r w:rsidR="002D5C06" w:rsidRPr="00584B98">
        <w:rPr>
          <w:rFonts w:ascii="Arial" w:eastAsiaTheme="minorHAnsi" w:hAnsi="Arial" w:cs="Arial"/>
          <w:color w:val="auto"/>
          <w:sz w:val="22"/>
          <w:lang w:val="en-AU" w:eastAsia="en-US"/>
        </w:rPr>
        <w:t xml:space="preserve"> It is furthermore trite that a Court which granted a decree of divorce, incorporating the terms of a deed of settlement entered into between the parties, retains the jurisdiction to subsequently </w:t>
      </w:r>
      <w:r w:rsidR="002D5C06" w:rsidRPr="00584B98">
        <w:rPr>
          <w:rFonts w:ascii="Arial" w:eastAsiaTheme="minorHAnsi" w:hAnsi="Arial" w:cs="Arial"/>
          <w:color w:val="auto"/>
          <w:sz w:val="22"/>
          <w:lang w:val="en-AU" w:eastAsia="en-US"/>
        </w:rPr>
        <w:lastRenderedPageBreak/>
        <w:t>amend or vary that order. The jurisdiction of that Court is not affected by the fact that the respondent and/or the minor children are no</w:t>
      </w:r>
      <w:r w:rsidR="008A1B56" w:rsidRPr="00584B98">
        <w:rPr>
          <w:rFonts w:ascii="Arial" w:eastAsiaTheme="minorHAnsi" w:hAnsi="Arial" w:cs="Arial"/>
          <w:color w:val="auto"/>
          <w:sz w:val="22"/>
          <w:lang w:val="en-AU" w:eastAsia="en-US"/>
        </w:rPr>
        <w:t xml:space="preserve"> longer </w:t>
      </w:r>
      <w:r w:rsidR="002D5C06" w:rsidRPr="00584B98">
        <w:rPr>
          <w:rFonts w:ascii="Arial" w:eastAsiaTheme="minorHAnsi" w:hAnsi="Arial" w:cs="Arial"/>
          <w:color w:val="auto"/>
          <w:sz w:val="22"/>
          <w:lang w:val="en-AU" w:eastAsia="en-US"/>
        </w:rPr>
        <w:t xml:space="preserve">ordinarily resident within the area of jurisdiction of the Court. </w:t>
      </w:r>
    </w:p>
    <w:p w14:paraId="1FAA5803" w14:textId="7697EB01" w:rsidR="002D5C06" w:rsidRPr="00584B98" w:rsidRDefault="00584B98" w:rsidP="00584B98">
      <w:pPr>
        <w:keepLines/>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74.</w:t>
      </w:r>
      <w:r>
        <w:rPr>
          <w:rFonts w:ascii="Arial" w:eastAsiaTheme="minorHAnsi" w:hAnsi="Arial" w:cs="Arial"/>
          <w:color w:val="auto"/>
          <w:sz w:val="22"/>
          <w:lang w:val="en-AU" w:eastAsia="en-US"/>
        </w:rPr>
        <w:tab/>
      </w:r>
      <w:r w:rsidR="002D5C06" w:rsidRPr="00584B98">
        <w:rPr>
          <w:rFonts w:ascii="Arial" w:eastAsiaTheme="minorHAnsi" w:hAnsi="Arial" w:cs="Arial"/>
          <w:color w:val="auto"/>
          <w:sz w:val="22"/>
          <w:lang w:val="en-AU" w:eastAsia="en-US"/>
        </w:rPr>
        <w:t xml:space="preserve">However, if the relief sought </w:t>
      </w:r>
      <w:bookmarkStart w:id="17" w:name="_Hlk150448407"/>
      <w:r w:rsidR="002D5C06" w:rsidRPr="00584B98">
        <w:rPr>
          <w:rFonts w:ascii="Arial" w:eastAsiaTheme="minorHAnsi" w:hAnsi="Arial" w:cs="Arial"/>
          <w:color w:val="auto"/>
          <w:sz w:val="22"/>
          <w:lang w:val="en-AU" w:eastAsia="en-US"/>
        </w:rPr>
        <w:t xml:space="preserve">falls outside of the ambit of the variation of an order </w:t>
      </w:r>
      <w:bookmarkEnd w:id="17"/>
      <w:r w:rsidR="002D5C06" w:rsidRPr="00584B98">
        <w:rPr>
          <w:rFonts w:ascii="Arial" w:eastAsiaTheme="minorHAnsi" w:hAnsi="Arial" w:cs="Arial"/>
          <w:color w:val="auto"/>
          <w:sz w:val="22"/>
          <w:lang w:val="en-AU" w:eastAsia="en-US"/>
        </w:rPr>
        <w:t>granted upon decree of divorce, then in that event the territorial limitations of jurisdiction must be considered.</w:t>
      </w:r>
    </w:p>
    <w:p w14:paraId="535D018C" w14:textId="4D33D915" w:rsidR="003A740B" w:rsidRPr="00584B98" w:rsidRDefault="00584B98" w:rsidP="00584B98">
      <w:pPr>
        <w:keepNext/>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75.</w:t>
      </w:r>
      <w:r>
        <w:rPr>
          <w:rFonts w:ascii="Arial" w:eastAsiaTheme="minorHAnsi" w:hAnsi="Arial" w:cs="Arial"/>
          <w:color w:val="auto"/>
          <w:sz w:val="22"/>
          <w:lang w:val="en-AU" w:eastAsia="en-US"/>
        </w:rPr>
        <w:tab/>
      </w:r>
      <w:r w:rsidR="003A740B" w:rsidRPr="00584B98">
        <w:rPr>
          <w:rFonts w:ascii="Arial" w:eastAsiaTheme="minorHAnsi" w:hAnsi="Arial" w:cs="Arial"/>
          <w:color w:val="auto"/>
          <w:sz w:val="22"/>
          <w:lang w:val="en-AU" w:eastAsia="en-US"/>
        </w:rPr>
        <w:t xml:space="preserve">The parties’ divorce was finalised as long ago as February 2017. </w:t>
      </w:r>
      <w:r w:rsidR="002D5C06" w:rsidRPr="00584B98">
        <w:rPr>
          <w:rFonts w:ascii="Arial" w:eastAsiaTheme="minorHAnsi" w:hAnsi="Arial" w:cs="Arial"/>
          <w:color w:val="auto"/>
          <w:sz w:val="22"/>
          <w:lang w:val="en-AU" w:eastAsia="en-US"/>
        </w:rPr>
        <w:t xml:space="preserve">I am of the view that the relief sought, namely the request for the </w:t>
      </w:r>
      <w:r w:rsidR="003A740B" w:rsidRPr="00584B98">
        <w:rPr>
          <w:rFonts w:ascii="Arial" w:eastAsiaTheme="minorHAnsi" w:hAnsi="Arial" w:cs="Arial"/>
          <w:color w:val="auto"/>
          <w:sz w:val="22"/>
          <w:lang w:val="en-AU" w:eastAsia="en-US"/>
        </w:rPr>
        <w:t xml:space="preserve">Johannesburg </w:t>
      </w:r>
      <w:r w:rsidR="002D5C06" w:rsidRPr="00584B98">
        <w:rPr>
          <w:rFonts w:ascii="Arial" w:eastAsiaTheme="minorHAnsi" w:hAnsi="Arial" w:cs="Arial"/>
          <w:color w:val="auto"/>
          <w:sz w:val="22"/>
          <w:lang w:val="en-AU" w:eastAsia="en-US"/>
        </w:rPr>
        <w:t>Family Advocate’s investigation and report, constitutes a new investigation</w:t>
      </w:r>
      <w:r w:rsidR="003A740B" w:rsidRPr="00584B98">
        <w:rPr>
          <w:rFonts w:ascii="Arial" w:eastAsiaTheme="minorHAnsi" w:hAnsi="Arial" w:cs="Arial"/>
          <w:color w:val="auto"/>
          <w:sz w:val="22"/>
          <w:lang w:val="en-AU" w:eastAsia="en-US"/>
        </w:rPr>
        <w:t xml:space="preserve"> and application</w:t>
      </w:r>
      <w:r w:rsidR="002D5C06" w:rsidRPr="00584B98">
        <w:rPr>
          <w:rFonts w:ascii="Arial" w:eastAsiaTheme="minorHAnsi" w:hAnsi="Arial" w:cs="Arial"/>
          <w:color w:val="auto"/>
          <w:sz w:val="22"/>
          <w:lang w:val="en-AU" w:eastAsia="en-US"/>
        </w:rPr>
        <w:t xml:space="preserve"> and accordingly falls outside of the ambit of the variation of </w:t>
      </w:r>
      <w:r w:rsidR="00CB5014" w:rsidRPr="00584B98">
        <w:rPr>
          <w:rFonts w:ascii="Arial" w:eastAsiaTheme="minorHAnsi" w:hAnsi="Arial" w:cs="Arial"/>
          <w:color w:val="auto"/>
          <w:sz w:val="22"/>
          <w:lang w:val="en-AU" w:eastAsia="en-US"/>
        </w:rPr>
        <w:t xml:space="preserve">the </w:t>
      </w:r>
      <w:r w:rsidR="002D5C06" w:rsidRPr="00584B98">
        <w:rPr>
          <w:rFonts w:ascii="Arial" w:eastAsiaTheme="minorHAnsi" w:hAnsi="Arial" w:cs="Arial"/>
          <w:color w:val="auto"/>
          <w:sz w:val="22"/>
          <w:lang w:val="en-AU" w:eastAsia="en-US"/>
        </w:rPr>
        <w:t xml:space="preserve">deed of settlement. </w:t>
      </w:r>
    </w:p>
    <w:p w14:paraId="1634D5CC" w14:textId="5216FA9B" w:rsidR="00CB6F6C" w:rsidRPr="00584B98" w:rsidRDefault="00584B98" w:rsidP="00584B98">
      <w:pPr>
        <w:keepNext/>
        <w:spacing w:after="360" w:line="480" w:lineRule="auto"/>
        <w:ind w:left="425" w:right="-153" w:hanging="357"/>
        <w:rPr>
          <w:rFonts w:ascii="Arial" w:eastAsiaTheme="minorHAnsi" w:hAnsi="Arial" w:cs="Arial"/>
          <w:color w:val="auto"/>
          <w:sz w:val="22"/>
          <w:lang w:val="en-AU" w:eastAsia="en-US"/>
        </w:rPr>
      </w:pPr>
      <w:r w:rsidRPr="00CB6F6C">
        <w:rPr>
          <w:rFonts w:ascii="Arial" w:eastAsiaTheme="minorHAnsi" w:hAnsi="Arial" w:cs="Arial"/>
          <w:color w:val="auto"/>
          <w:sz w:val="22"/>
          <w:lang w:val="en-AU" w:eastAsia="en-US"/>
        </w:rPr>
        <w:t>76.</w:t>
      </w:r>
      <w:r w:rsidRPr="00CB6F6C">
        <w:rPr>
          <w:rFonts w:ascii="Arial" w:eastAsiaTheme="minorHAnsi" w:hAnsi="Arial" w:cs="Arial"/>
          <w:color w:val="auto"/>
          <w:sz w:val="22"/>
          <w:lang w:val="en-AU" w:eastAsia="en-US"/>
        </w:rPr>
        <w:tab/>
      </w:r>
      <w:r w:rsidR="002D5C06" w:rsidRPr="00584B98">
        <w:rPr>
          <w:rFonts w:ascii="Arial" w:eastAsiaTheme="minorHAnsi" w:hAnsi="Arial" w:cs="Arial"/>
          <w:color w:val="auto"/>
          <w:sz w:val="22"/>
          <w:lang w:val="en-AU" w:eastAsia="en-US"/>
        </w:rPr>
        <w:t>Moreover, the relief sought does not relate and/or pertain to a previous and/or existing Family’s Advocate’s investigation</w:t>
      </w:r>
      <w:r w:rsidR="00EA61DF" w:rsidRPr="00584B98">
        <w:rPr>
          <w:rFonts w:ascii="Arial" w:eastAsiaTheme="minorHAnsi" w:hAnsi="Arial" w:cs="Arial"/>
          <w:color w:val="auto"/>
          <w:sz w:val="22"/>
          <w:lang w:val="en-AU" w:eastAsia="en-US"/>
        </w:rPr>
        <w:t xml:space="preserve"> instituted in th</w:t>
      </w:r>
      <w:r w:rsidR="003A740B" w:rsidRPr="00584B98">
        <w:rPr>
          <w:rFonts w:ascii="Arial" w:eastAsiaTheme="minorHAnsi" w:hAnsi="Arial" w:cs="Arial"/>
          <w:color w:val="auto"/>
          <w:sz w:val="22"/>
          <w:lang w:val="en-AU" w:eastAsia="en-US"/>
        </w:rPr>
        <w:t xml:space="preserve">is </w:t>
      </w:r>
      <w:r w:rsidR="00EA61DF" w:rsidRPr="00584B98">
        <w:rPr>
          <w:rFonts w:ascii="Arial" w:eastAsiaTheme="minorHAnsi" w:hAnsi="Arial" w:cs="Arial"/>
          <w:color w:val="auto"/>
          <w:sz w:val="22"/>
          <w:lang w:val="en-AU" w:eastAsia="en-US"/>
        </w:rPr>
        <w:t>Court’s jurisdiction</w:t>
      </w:r>
      <w:r w:rsidR="002D5C06" w:rsidRPr="00584B98">
        <w:rPr>
          <w:rFonts w:ascii="Arial" w:eastAsiaTheme="minorHAnsi" w:hAnsi="Arial" w:cs="Arial"/>
          <w:color w:val="auto"/>
          <w:sz w:val="22"/>
          <w:lang w:val="en-AU" w:eastAsia="en-US"/>
        </w:rPr>
        <w:t>.</w:t>
      </w:r>
      <w:r w:rsidR="003A740B" w:rsidRPr="00584B98">
        <w:rPr>
          <w:rFonts w:ascii="Arial" w:eastAsiaTheme="minorHAnsi" w:hAnsi="Arial" w:cs="Arial"/>
          <w:color w:val="auto"/>
          <w:sz w:val="22"/>
          <w:lang w:val="en-AU" w:eastAsia="en-US"/>
        </w:rPr>
        <w:t xml:space="preserve"> Instead, it will be the first occasion that the Family Advocate is requested to attend to an investigation and report on the </w:t>
      </w:r>
      <w:r w:rsidR="00650364" w:rsidRPr="00584B98">
        <w:rPr>
          <w:rFonts w:ascii="Arial" w:eastAsiaTheme="minorHAnsi" w:hAnsi="Arial" w:cs="Arial"/>
          <w:color w:val="auto"/>
          <w:sz w:val="22"/>
          <w:lang w:val="en-AU" w:eastAsia="en-US"/>
        </w:rPr>
        <w:t xml:space="preserve">best interests of the </w:t>
      </w:r>
      <w:r w:rsidR="003A740B" w:rsidRPr="00584B98">
        <w:rPr>
          <w:rFonts w:ascii="Arial" w:eastAsiaTheme="minorHAnsi" w:hAnsi="Arial" w:cs="Arial"/>
          <w:color w:val="auto"/>
          <w:sz w:val="22"/>
          <w:lang w:val="en-AU" w:eastAsia="en-US"/>
        </w:rPr>
        <w:t>minor children.</w:t>
      </w:r>
    </w:p>
    <w:p w14:paraId="00D47808" w14:textId="7BE7EB9C" w:rsidR="009D55EB"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sidRPr="00CB5014">
        <w:rPr>
          <w:rFonts w:ascii="Arial" w:eastAsiaTheme="minorHAnsi" w:hAnsi="Arial" w:cs="Arial"/>
          <w:color w:val="auto"/>
          <w:sz w:val="22"/>
          <w:lang w:val="en-AU" w:eastAsia="en-US"/>
        </w:rPr>
        <w:t>77.</w:t>
      </w:r>
      <w:r w:rsidRPr="00CB5014">
        <w:rPr>
          <w:rFonts w:ascii="Arial" w:eastAsiaTheme="minorHAnsi" w:hAnsi="Arial" w:cs="Arial"/>
          <w:color w:val="auto"/>
          <w:sz w:val="22"/>
          <w:lang w:val="en-AU" w:eastAsia="en-US"/>
        </w:rPr>
        <w:tab/>
      </w:r>
      <w:r w:rsidR="00EA61DF" w:rsidRPr="00584B98">
        <w:rPr>
          <w:rFonts w:ascii="Arial" w:eastAsiaTheme="minorHAnsi" w:hAnsi="Arial" w:cs="Arial"/>
          <w:color w:val="auto"/>
          <w:sz w:val="22"/>
          <w:lang w:val="en-AU" w:eastAsia="en-US"/>
        </w:rPr>
        <w:t xml:space="preserve">Having regard to the fact that the minor children </w:t>
      </w:r>
      <w:r w:rsidR="008A1B56" w:rsidRPr="00584B98">
        <w:rPr>
          <w:rFonts w:ascii="Arial" w:eastAsiaTheme="minorHAnsi" w:hAnsi="Arial" w:cs="Arial"/>
          <w:color w:val="auto"/>
          <w:sz w:val="22"/>
          <w:lang w:val="en-AU" w:eastAsia="en-US"/>
        </w:rPr>
        <w:t>ordinarily</w:t>
      </w:r>
      <w:r w:rsidR="00EA61DF" w:rsidRPr="00584B98">
        <w:rPr>
          <w:rFonts w:ascii="Arial" w:eastAsiaTheme="minorHAnsi" w:hAnsi="Arial" w:cs="Arial"/>
          <w:color w:val="auto"/>
          <w:sz w:val="22"/>
          <w:lang w:val="en-AU" w:eastAsia="en-US"/>
        </w:rPr>
        <w:t xml:space="preserve"> reside within the jurisdiction of the High Court, North-West Division, </w:t>
      </w:r>
      <w:proofErr w:type="spellStart"/>
      <w:r w:rsidR="00EA61DF" w:rsidRPr="00584B98">
        <w:rPr>
          <w:rFonts w:ascii="Arial" w:eastAsiaTheme="minorHAnsi" w:hAnsi="Arial" w:cs="Arial"/>
          <w:color w:val="auto"/>
          <w:sz w:val="22"/>
          <w:lang w:val="en-AU" w:eastAsia="en-US"/>
        </w:rPr>
        <w:t>Mahikeng</w:t>
      </w:r>
      <w:proofErr w:type="spellEnd"/>
      <w:r w:rsidR="00EA61DF" w:rsidRPr="00584B98">
        <w:rPr>
          <w:rFonts w:ascii="Arial" w:eastAsiaTheme="minorHAnsi" w:hAnsi="Arial" w:cs="Arial"/>
          <w:color w:val="auto"/>
          <w:sz w:val="22"/>
          <w:lang w:val="en-AU" w:eastAsia="en-US"/>
        </w:rPr>
        <w:t>, this Court cannot entertain the relief sought in Part B.</w:t>
      </w:r>
    </w:p>
    <w:p w14:paraId="66AC9E07" w14:textId="674FF0C4" w:rsidR="00941BE5" w:rsidRPr="00CB5014" w:rsidRDefault="00941BE5" w:rsidP="00F37D64">
      <w:pPr>
        <w:spacing w:line="360" w:lineRule="auto"/>
        <w:rPr>
          <w:rFonts w:ascii="Arial" w:hAnsi="Arial" w:cs="Arial"/>
          <w:b/>
          <w:bCs/>
          <w:sz w:val="22"/>
        </w:rPr>
      </w:pPr>
      <w:r w:rsidRPr="00CB5014">
        <w:rPr>
          <w:rFonts w:ascii="Arial" w:hAnsi="Arial" w:cs="Arial"/>
          <w:b/>
          <w:bCs/>
          <w:sz w:val="22"/>
        </w:rPr>
        <w:t>ORDER</w:t>
      </w:r>
    </w:p>
    <w:p w14:paraId="78D70829" w14:textId="77777777" w:rsidR="0048799E" w:rsidRPr="00634FF3" w:rsidRDefault="0048799E" w:rsidP="00F37D64">
      <w:pPr>
        <w:spacing w:line="360" w:lineRule="auto"/>
        <w:rPr>
          <w:rFonts w:ascii="Arial" w:hAnsi="Arial" w:cs="Arial"/>
          <w:b/>
          <w:bCs/>
          <w:sz w:val="22"/>
          <w:u w:val="single"/>
        </w:rPr>
      </w:pPr>
    </w:p>
    <w:p w14:paraId="306FB782" w14:textId="093BC480" w:rsidR="00EA61DF" w:rsidRPr="00584B98" w:rsidRDefault="00584B98" w:rsidP="00584B98">
      <w:pPr>
        <w:spacing w:after="360" w:line="480" w:lineRule="auto"/>
        <w:ind w:left="425" w:right="-153" w:hanging="357"/>
        <w:rPr>
          <w:rFonts w:ascii="Arial" w:eastAsiaTheme="minorHAnsi" w:hAnsi="Arial" w:cs="Arial"/>
          <w:color w:val="auto"/>
          <w:sz w:val="22"/>
          <w:lang w:val="en-AU" w:eastAsia="en-US"/>
        </w:rPr>
      </w:pPr>
      <w:r>
        <w:rPr>
          <w:rFonts w:ascii="Arial" w:eastAsiaTheme="minorHAnsi" w:hAnsi="Arial" w:cs="Arial"/>
          <w:color w:val="auto"/>
          <w:sz w:val="22"/>
          <w:lang w:val="en-AU" w:eastAsia="en-US"/>
        </w:rPr>
        <w:t>78.</w:t>
      </w:r>
      <w:r>
        <w:rPr>
          <w:rFonts w:ascii="Arial" w:eastAsiaTheme="minorHAnsi" w:hAnsi="Arial" w:cs="Arial"/>
          <w:color w:val="auto"/>
          <w:sz w:val="22"/>
          <w:lang w:val="en-AU" w:eastAsia="en-US"/>
        </w:rPr>
        <w:tab/>
      </w:r>
      <w:r w:rsidR="00941BE5" w:rsidRPr="00584B98">
        <w:rPr>
          <w:rFonts w:ascii="Arial" w:eastAsiaTheme="minorHAnsi" w:hAnsi="Arial" w:cs="Arial"/>
          <w:color w:val="auto"/>
          <w:sz w:val="22"/>
          <w:lang w:val="en-AU" w:eastAsia="en-US"/>
        </w:rPr>
        <w:t xml:space="preserve">I </w:t>
      </w:r>
      <w:r w:rsidR="00EA61DF" w:rsidRPr="00584B98">
        <w:rPr>
          <w:rFonts w:ascii="Arial" w:eastAsiaTheme="minorHAnsi" w:hAnsi="Arial" w:cs="Arial"/>
          <w:color w:val="auto"/>
          <w:sz w:val="22"/>
          <w:lang w:val="en-AU" w:eastAsia="en-US"/>
        </w:rPr>
        <w:t>accordingly make the following order:</w:t>
      </w:r>
    </w:p>
    <w:p w14:paraId="07376E8E" w14:textId="6738A35A" w:rsidR="00941BE5" w:rsidRPr="00EA61DF" w:rsidRDefault="00EA61DF" w:rsidP="00EA61DF">
      <w:pPr>
        <w:spacing w:after="360" w:line="480" w:lineRule="auto"/>
        <w:ind w:right="-153" w:firstLine="686"/>
        <w:rPr>
          <w:rFonts w:ascii="Arial" w:eastAsiaTheme="minorHAnsi" w:hAnsi="Arial" w:cs="Arial"/>
          <w:color w:val="auto"/>
          <w:sz w:val="22"/>
          <w:lang w:val="en-AU" w:eastAsia="en-US"/>
        </w:rPr>
      </w:pPr>
      <w:r w:rsidRPr="00EA61DF">
        <w:rPr>
          <w:rFonts w:ascii="Arial" w:eastAsiaTheme="minorHAnsi" w:hAnsi="Arial" w:cs="Arial"/>
          <w:color w:val="auto"/>
          <w:sz w:val="22"/>
          <w:lang w:val="en-AU" w:eastAsia="en-US"/>
        </w:rPr>
        <w:t>Part A</w:t>
      </w:r>
    </w:p>
    <w:p w14:paraId="58C66A17" w14:textId="2B398437" w:rsidR="00EA61DF" w:rsidRPr="00584B98" w:rsidRDefault="00584B98" w:rsidP="00584B98">
      <w:pPr>
        <w:spacing w:after="360" w:line="480" w:lineRule="auto"/>
        <w:ind w:left="1080" w:right="-153" w:hanging="360"/>
        <w:rPr>
          <w:rFonts w:ascii="Arial" w:eastAsiaTheme="minorHAnsi" w:hAnsi="Arial" w:cs="Arial"/>
          <w:color w:val="auto"/>
          <w:sz w:val="22"/>
          <w:lang w:val="en-AU" w:eastAsia="en-US"/>
        </w:rPr>
      </w:pPr>
      <w:r>
        <w:rPr>
          <w:rFonts w:ascii="Arial" w:eastAsiaTheme="minorHAnsi" w:hAnsi="Arial" w:cs="Arial"/>
          <w:color w:val="auto"/>
          <w:sz w:val="22"/>
          <w:lang w:val="en-AU" w:eastAsia="en-US"/>
        </w:rPr>
        <w:t>1.</w:t>
      </w:r>
      <w:r>
        <w:rPr>
          <w:rFonts w:ascii="Arial" w:eastAsiaTheme="minorHAnsi" w:hAnsi="Arial" w:cs="Arial"/>
          <w:color w:val="auto"/>
          <w:sz w:val="22"/>
          <w:lang w:val="en-AU" w:eastAsia="en-US"/>
        </w:rPr>
        <w:tab/>
      </w:r>
      <w:r w:rsidR="00EA61DF" w:rsidRPr="00584B98">
        <w:rPr>
          <w:rFonts w:ascii="Arial" w:eastAsiaTheme="minorHAnsi" w:hAnsi="Arial" w:cs="Arial"/>
          <w:color w:val="auto"/>
          <w:sz w:val="22"/>
          <w:lang w:val="en-AU" w:eastAsia="en-US"/>
        </w:rPr>
        <w:t>The contempt of court application is dismissed.</w:t>
      </w:r>
    </w:p>
    <w:p w14:paraId="3D165ED8" w14:textId="15BD5F9A" w:rsidR="00EA61DF" w:rsidRPr="00584B98" w:rsidRDefault="00584B98" w:rsidP="00584B98">
      <w:pPr>
        <w:spacing w:after="360" w:line="480" w:lineRule="auto"/>
        <w:ind w:left="1080" w:right="-153" w:hanging="360"/>
        <w:rPr>
          <w:rFonts w:ascii="Arial" w:eastAsiaTheme="minorHAnsi" w:hAnsi="Arial" w:cs="Arial"/>
          <w:color w:val="auto"/>
          <w:sz w:val="22"/>
          <w:lang w:val="en-AU" w:eastAsia="en-US"/>
        </w:rPr>
      </w:pPr>
      <w:r>
        <w:rPr>
          <w:rFonts w:ascii="Arial" w:eastAsiaTheme="minorHAnsi" w:hAnsi="Arial" w:cs="Arial"/>
          <w:color w:val="auto"/>
          <w:sz w:val="22"/>
          <w:lang w:val="en-AU" w:eastAsia="en-US"/>
        </w:rPr>
        <w:t>2.</w:t>
      </w:r>
      <w:r>
        <w:rPr>
          <w:rFonts w:ascii="Arial" w:eastAsiaTheme="minorHAnsi" w:hAnsi="Arial" w:cs="Arial"/>
          <w:color w:val="auto"/>
          <w:sz w:val="22"/>
          <w:lang w:val="en-AU" w:eastAsia="en-US"/>
        </w:rPr>
        <w:tab/>
      </w:r>
      <w:r w:rsidR="00EA61DF" w:rsidRPr="00584B98">
        <w:rPr>
          <w:rFonts w:ascii="Arial" w:eastAsiaTheme="minorHAnsi" w:hAnsi="Arial" w:cs="Arial"/>
          <w:color w:val="auto"/>
          <w:sz w:val="22"/>
          <w:lang w:val="en-AU" w:eastAsia="en-US"/>
        </w:rPr>
        <w:t>The applicant is ordered to pay the respondent</w:t>
      </w:r>
      <w:r w:rsidR="00CB6F6C" w:rsidRPr="00584B98">
        <w:rPr>
          <w:rFonts w:ascii="Arial" w:eastAsiaTheme="minorHAnsi" w:hAnsi="Arial" w:cs="Arial"/>
          <w:color w:val="auto"/>
          <w:sz w:val="22"/>
          <w:lang w:val="en-AU" w:eastAsia="en-US"/>
        </w:rPr>
        <w:t>’</w:t>
      </w:r>
      <w:r w:rsidR="00EA61DF" w:rsidRPr="00584B98">
        <w:rPr>
          <w:rFonts w:ascii="Arial" w:eastAsiaTheme="minorHAnsi" w:hAnsi="Arial" w:cs="Arial"/>
          <w:color w:val="auto"/>
          <w:sz w:val="22"/>
          <w:lang w:val="en-AU" w:eastAsia="en-US"/>
        </w:rPr>
        <w:t>s costs</w:t>
      </w:r>
      <w:r w:rsidR="00764B86" w:rsidRPr="00584B98">
        <w:rPr>
          <w:rFonts w:ascii="Arial" w:eastAsiaTheme="minorHAnsi" w:hAnsi="Arial" w:cs="Arial"/>
          <w:color w:val="auto"/>
          <w:sz w:val="22"/>
          <w:lang w:val="en-AU" w:eastAsia="en-US"/>
        </w:rPr>
        <w:t xml:space="preserve"> of the application</w:t>
      </w:r>
      <w:r w:rsidR="00364A68" w:rsidRPr="00584B98">
        <w:rPr>
          <w:rFonts w:ascii="Arial" w:eastAsiaTheme="minorHAnsi" w:hAnsi="Arial" w:cs="Arial"/>
          <w:color w:val="auto"/>
          <w:sz w:val="22"/>
          <w:lang w:val="en-AU" w:eastAsia="en-US"/>
        </w:rPr>
        <w:t xml:space="preserve"> (Part A)</w:t>
      </w:r>
      <w:r w:rsidR="00EA61DF" w:rsidRPr="00584B98">
        <w:rPr>
          <w:rFonts w:ascii="Arial" w:eastAsiaTheme="minorHAnsi" w:hAnsi="Arial" w:cs="Arial"/>
          <w:color w:val="auto"/>
          <w:sz w:val="22"/>
          <w:lang w:val="en-AU" w:eastAsia="en-US"/>
        </w:rPr>
        <w:t>.</w:t>
      </w:r>
    </w:p>
    <w:p w14:paraId="775C43AB" w14:textId="068C2A54" w:rsidR="00EA61DF" w:rsidRDefault="00EA61DF" w:rsidP="00EA61DF">
      <w:pPr>
        <w:spacing w:after="360" w:line="480" w:lineRule="auto"/>
        <w:ind w:left="720" w:right="-153"/>
        <w:rPr>
          <w:rFonts w:ascii="Arial" w:eastAsiaTheme="minorHAnsi" w:hAnsi="Arial" w:cs="Arial"/>
          <w:color w:val="auto"/>
          <w:sz w:val="22"/>
          <w:lang w:val="en-AU" w:eastAsia="en-US"/>
        </w:rPr>
      </w:pPr>
      <w:r>
        <w:rPr>
          <w:rFonts w:ascii="Arial" w:eastAsiaTheme="minorHAnsi" w:hAnsi="Arial" w:cs="Arial"/>
          <w:color w:val="auto"/>
          <w:sz w:val="22"/>
          <w:lang w:val="en-AU" w:eastAsia="en-US"/>
        </w:rPr>
        <w:lastRenderedPageBreak/>
        <w:t>Part B</w:t>
      </w:r>
    </w:p>
    <w:p w14:paraId="27A693B3" w14:textId="67F20BAC" w:rsidR="00EA61DF" w:rsidRPr="00584B98" w:rsidRDefault="00584B98" w:rsidP="00584B98">
      <w:pPr>
        <w:spacing w:after="360" w:line="480" w:lineRule="auto"/>
        <w:ind w:left="1080" w:right="-153" w:hanging="360"/>
        <w:rPr>
          <w:rFonts w:ascii="Arial" w:eastAsiaTheme="minorHAnsi" w:hAnsi="Arial" w:cs="Arial"/>
          <w:color w:val="auto"/>
          <w:sz w:val="22"/>
          <w:lang w:val="en-AU" w:eastAsia="en-US"/>
        </w:rPr>
      </w:pPr>
      <w:r>
        <w:rPr>
          <w:rFonts w:ascii="Arial" w:eastAsiaTheme="minorHAnsi" w:hAnsi="Arial" w:cs="Arial"/>
          <w:color w:val="auto"/>
          <w:sz w:val="22"/>
          <w:lang w:val="en-AU" w:eastAsia="en-US"/>
        </w:rPr>
        <w:t>1.</w:t>
      </w:r>
      <w:r>
        <w:rPr>
          <w:rFonts w:ascii="Arial" w:eastAsiaTheme="minorHAnsi" w:hAnsi="Arial" w:cs="Arial"/>
          <w:color w:val="auto"/>
          <w:sz w:val="22"/>
          <w:lang w:val="en-AU" w:eastAsia="en-US"/>
        </w:rPr>
        <w:tab/>
      </w:r>
      <w:r w:rsidR="00EA61DF" w:rsidRPr="00584B98">
        <w:rPr>
          <w:rFonts w:ascii="Arial" w:eastAsiaTheme="minorHAnsi" w:hAnsi="Arial" w:cs="Arial"/>
          <w:color w:val="auto"/>
          <w:sz w:val="22"/>
          <w:lang w:val="en-AU" w:eastAsia="en-US"/>
        </w:rPr>
        <w:t xml:space="preserve">The respondent’s point </w:t>
      </w:r>
      <w:r w:rsidR="00EA61DF" w:rsidRPr="00584B98">
        <w:rPr>
          <w:rFonts w:ascii="Arial" w:eastAsiaTheme="minorHAnsi" w:hAnsi="Arial" w:cs="Arial"/>
          <w:i/>
          <w:iCs/>
          <w:color w:val="auto"/>
          <w:sz w:val="22"/>
          <w:lang w:val="en-AU" w:eastAsia="en-US"/>
        </w:rPr>
        <w:t xml:space="preserve">in </w:t>
      </w:r>
      <w:proofErr w:type="spellStart"/>
      <w:r w:rsidR="00EA61DF" w:rsidRPr="00584B98">
        <w:rPr>
          <w:rFonts w:ascii="Arial" w:eastAsiaTheme="minorHAnsi" w:hAnsi="Arial" w:cs="Arial"/>
          <w:i/>
          <w:iCs/>
          <w:color w:val="auto"/>
          <w:sz w:val="22"/>
          <w:lang w:val="en-AU" w:eastAsia="en-US"/>
        </w:rPr>
        <w:t>limine</w:t>
      </w:r>
      <w:proofErr w:type="spellEnd"/>
      <w:r w:rsidR="00EA61DF" w:rsidRPr="00584B98">
        <w:rPr>
          <w:rFonts w:ascii="Arial" w:eastAsiaTheme="minorHAnsi" w:hAnsi="Arial" w:cs="Arial"/>
          <w:color w:val="auto"/>
          <w:sz w:val="22"/>
          <w:lang w:val="en-AU" w:eastAsia="en-US"/>
        </w:rPr>
        <w:t xml:space="preserve"> is upheld and Part B is dismissed due to a lack of jurisdiction.</w:t>
      </w:r>
    </w:p>
    <w:p w14:paraId="072853DA" w14:textId="037A6547" w:rsidR="00F5622B" w:rsidRPr="00584B98" w:rsidRDefault="00584B98" w:rsidP="00584B98">
      <w:pPr>
        <w:spacing w:after="360" w:line="480" w:lineRule="auto"/>
        <w:ind w:left="1080" w:right="-153" w:hanging="360"/>
        <w:rPr>
          <w:rFonts w:ascii="Arial" w:eastAsiaTheme="minorHAnsi" w:hAnsi="Arial" w:cs="Arial"/>
          <w:color w:val="auto"/>
          <w:sz w:val="22"/>
          <w:lang w:val="en-AU" w:eastAsia="en-US"/>
        </w:rPr>
      </w:pPr>
      <w:r w:rsidRPr="00EA61DF">
        <w:rPr>
          <w:rFonts w:ascii="Arial" w:eastAsiaTheme="minorHAnsi" w:hAnsi="Arial" w:cs="Arial"/>
          <w:color w:val="auto"/>
          <w:sz w:val="22"/>
          <w:lang w:val="en-AU" w:eastAsia="en-US"/>
        </w:rPr>
        <w:t>2.</w:t>
      </w:r>
      <w:r w:rsidRPr="00EA61DF">
        <w:rPr>
          <w:rFonts w:ascii="Arial" w:eastAsiaTheme="minorHAnsi" w:hAnsi="Arial" w:cs="Arial"/>
          <w:color w:val="auto"/>
          <w:sz w:val="22"/>
          <w:lang w:val="en-AU" w:eastAsia="en-US"/>
        </w:rPr>
        <w:tab/>
      </w:r>
      <w:r w:rsidR="00EA61DF" w:rsidRPr="00584B98">
        <w:rPr>
          <w:rFonts w:ascii="Arial" w:eastAsiaTheme="minorHAnsi" w:hAnsi="Arial" w:cs="Arial"/>
          <w:color w:val="auto"/>
          <w:sz w:val="22"/>
          <w:lang w:val="en-AU" w:eastAsia="en-US"/>
        </w:rPr>
        <w:t>The applicant is ordered to pay the respondent’s costs</w:t>
      </w:r>
      <w:r w:rsidR="00764B86" w:rsidRPr="00584B98">
        <w:rPr>
          <w:rFonts w:ascii="Arial" w:eastAsiaTheme="minorHAnsi" w:hAnsi="Arial" w:cs="Arial"/>
          <w:color w:val="auto"/>
          <w:sz w:val="22"/>
          <w:lang w:val="en-AU" w:eastAsia="en-US"/>
        </w:rPr>
        <w:t xml:space="preserve"> of the application</w:t>
      </w:r>
      <w:r w:rsidR="00364A68" w:rsidRPr="00584B98">
        <w:rPr>
          <w:rFonts w:ascii="Arial" w:eastAsiaTheme="minorHAnsi" w:hAnsi="Arial" w:cs="Arial"/>
          <w:color w:val="auto"/>
          <w:sz w:val="22"/>
          <w:lang w:val="en-AU" w:eastAsia="en-US"/>
        </w:rPr>
        <w:t xml:space="preserve"> (Part B)</w:t>
      </w:r>
      <w:r w:rsidR="00EA61DF" w:rsidRPr="00584B98">
        <w:rPr>
          <w:rFonts w:ascii="Arial" w:eastAsiaTheme="minorHAnsi" w:hAnsi="Arial" w:cs="Arial"/>
          <w:color w:val="auto"/>
          <w:sz w:val="22"/>
          <w:lang w:val="en-AU" w:eastAsia="en-US"/>
        </w:rPr>
        <w:t>.</w:t>
      </w:r>
    </w:p>
    <w:p w14:paraId="530B1AC3" w14:textId="77777777" w:rsidR="00AB5511" w:rsidRPr="00634FF3" w:rsidRDefault="00AB5511" w:rsidP="00012C83">
      <w:pPr>
        <w:spacing w:after="200" w:line="360" w:lineRule="auto"/>
        <w:ind w:left="0"/>
        <w:rPr>
          <w:rFonts w:ascii="Arial" w:eastAsia="Times New Roman" w:hAnsi="Arial" w:cs="Arial"/>
          <w:sz w:val="22"/>
        </w:rPr>
      </w:pPr>
    </w:p>
    <w:p w14:paraId="6C0E990F" w14:textId="77777777" w:rsidR="00F5622B" w:rsidRPr="00634FF3" w:rsidRDefault="00F5622B" w:rsidP="00EA61DF">
      <w:pPr>
        <w:keepLines/>
        <w:spacing w:after="0" w:line="276" w:lineRule="auto"/>
        <w:ind w:left="0" w:right="-40" w:firstLine="720"/>
        <w:jc w:val="right"/>
        <w:rPr>
          <w:rFonts w:ascii="Arial" w:eastAsiaTheme="minorHAnsi" w:hAnsi="Arial" w:cs="Arial"/>
          <w:color w:val="auto"/>
          <w:sz w:val="22"/>
          <w:lang w:eastAsia="en-US"/>
        </w:rPr>
      </w:pPr>
      <w:r w:rsidRPr="00634FF3">
        <w:rPr>
          <w:rFonts w:ascii="Arial" w:eastAsiaTheme="minorHAnsi" w:hAnsi="Arial" w:cs="Arial"/>
          <w:color w:val="auto"/>
          <w:sz w:val="22"/>
          <w:lang w:eastAsia="en-US"/>
        </w:rPr>
        <w:t>____________________________</w:t>
      </w:r>
    </w:p>
    <w:p w14:paraId="0712B5B6" w14:textId="156DFAAC" w:rsidR="00F5622B" w:rsidRPr="00634FF3" w:rsidRDefault="00F5622B" w:rsidP="00EA61DF">
      <w:pPr>
        <w:keepLines/>
        <w:spacing w:after="0" w:line="276" w:lineRule="auto"/>
        <w:ind w:left="0" w:right="-40" w:firstLine="720"/>
        <w:jc w:val="right"/>
        <w:rPr>
          <w:rFonts w:ascii="Arial" w:eastAsiaTheme="minorHAnsi" w:hAnsi="Arial" w:cs="Arial"/>
          <w:b/>
          <w:color w:val="auto"/>
          <w:sz w:val="22"/>
          <w:lang w:eastAsia="en-US"/>
        </w:rPr>
      </w:pPr>
      <w:r w:rsidRPr="00634FF3">
        <w:rPr>
          <w:rFonts w:ascii="Arial" w:eastAsiaTheme="minorHAnsi" w:hAnsi="Arial" w:cs="Arial"/>
          <w:color w:val="auto"/>
          <w:sz w:val="22"/>
          <w:lang w:eastAsia="en-US"/>
        </w:rPr>
        <w:tab/>
      </w:r>
      <w:r w:rsidRPr="00634FF3">
        <w:rPr>
          <w:rFonts w:ascii="Arial" w:eastAsiaTheme="minorHAnsi" w:hAnsi="Arial" w:cs="Arial"/>
          <w:color w:val="auto"/>
          <w:sz w:val="22"/>
          <w:lang w:eastAsia="en-US"/>
        </w:rPr>
        <w:tab/>
      </w:r>
      <w:r w:rsidRPr="00634FF3">
        <w:rPr>
          <w:rFonts w:ascii="Arial" w:eastAsiaTheme="minorHAnsi" w:hAnsi="Arial" w:cs="Arial"/>
          <w:color w:val="auto"/>
          <w:sz w:val="22"/>
          <w:lang w:eastAsia="en-US"/>
        </w:rPr>
        <w:tab/>
      </w:r>
      <w:r w:rsidRPr="00634FF3">
        <w:rPr>
          <w:rFonts w:ascii="Arial" w:eastAsiaTheme="minorHAnsi" w:hAnsi="Arial" w:cs="Arial"/>
          <w:color w:val="auto"/>
          <w:sz w:val="22"/>
          <w:lang w:eastAsia="en-US"/>
        </w:rPr>
        <w:tab/>
      </w:r>
      <w:r w:rsidRPr="00634FF3">
        <w:rPr>
          <w:rFonts w:ascii="Arial" w:eastAsiaTheme="minorHAnsi" w:hAnsi="Arial" w:cs="Arial"/>
          <w:color w:val="auto"/>
          <w:sz w:val="22"/>
          <w:lang w:eastAsia="en-US"/>
        </w:rPr>
        <w:tab/>
      </w:r>
      <w:r w:rsidRPr="00634FF3">
        <w:rPr>
          <w:rFonts w:ascii="Arial" w:eastAsiaTheme="minorHAnsi" w:hAnsi="Arial" w:cs="Arial"/>
          <w:color w:val="auto"/>
          <w:sz w:val="22"/>
          <w:lang w:eastAsia="en-US"/>
        </w:rPr>
        <w:tab/>
      </w:r>
      <w:r w:rsidR="00194BC9" w:rsidRPr="00634FF3">
        <w:rPr>
          <w:rFonts w:ascii="Arial" w:hAnsi="Arial" w:cs="Arial"/>
          <w:b/>
          <w:sz w:val="22"/>
        </w:rPr>
        <w:t>SG DOS SANTOS</w:t>
      </w:r>
    </w:p>
    <w:p w14:paraId="73D1B1E6" w14:textId="77777777" w:rsidR="00F5622B" w:rsidRPr="00634FF3" w:rsidRDefault="00F5622B" w:rsidP="00EA61DF">
      <w:pPr>
        <w:keepLines/>
        <w:spacing w:after="0" w:line="276" w:lineRule="auto"/>
        <w:ind w:left="0" w:right="-40" w:firstLine="720"/>
        <w:jc w:val="right"/>
        <w:rPr>
          <w:rFonts w:ascii="Arial" w:eastAsiaTheme="minorHAnsi" w:hAnsi="Arial" w:cs="Arial"/>
          <w:color w:val="auto"/>
          <w:sz w:val="22"/>
          <w:lang w:eastAsia="en-US"/>
        </w:rPr>
      </w:pPr>
      <w:r w:rsidRPr="00634FF3">
        <w:rPr>
          <w:rFonts w:ascii="Arial" w:eastAsiaTheme="minorHAnsi" w:hAnsi="Arial" w:cs="Arial"/>
          <w:color w:val="auto"/>
          <w:sz w:val="22"/>
          <w:lang w:eastAsia="en-US"/>
        </w:rPr>
        <w:tab/>
      </w:r>
      <w:r w:rsidRPr="00634FF3">
        <w:rPr>
          <w:rFonts w:ascii="Arial" w:eastAsiaTheme="minorHAnsi" w:hAnsi="Arial" w:cs="Arial"/>
          <w:color w:val="auto"/>
          <w:sz w:val="22"/>
          <w:lang w:eastAsia="en-US"/>
        </w:rPr>
        <w:tab/>
      </w:r>
      <w:r w:rsidRPr="00634FF3">
        <w:rPr>
          <w:rFonts w:ascii="Arial" w:eastAsiaTheme="minorHAnsi" w:hAnsi="Arial" w:cs="Arial"/>
          <w:color w:val="auto"/>
          <w:sz w:val="22"/>
          <w:lang w:eastAsia="en-US"/>
        </w:rPr>
        <w:tab/>
      </w:r>
      <w:r w:rsidRPr="00634FF3">
        <w:rPr>
          <w:rFonts w:ascii="Arial" w:eastAsiaTheme="minorHAnsi" w:hAnsi="Arial" w:cs="Arial"/>
          <w:color w:val="auto"/>
          <w:sz w:val="22"/>
          <w:lang w:eastAsia="en-US"/>
        </w:rPr>
        <w:tab/>
      </w:r>
      <w:r w:rsidRPr="00634FF3">
        <w:rPr>
          <w:rFonts w:ascii="Arial" w:eastAsiaTheme="minorHAnsi" w:hAnsi="Arial" w:cs="Arial"/>
          <w:color w:val="auto"/>
          <w:sz w:val="22"/>
          <w:lang w:eastAsia="en-US"/>
        </w:rPr>
        <w:tab/>
        <w:t>Acting</w:t>
      </w:r>
      <w:r w:rsidRPr="00634FF3">
        <w:rPr>
          <w:rFonts w:ascii="Arial" w:eastAsiaTheme="minorHAnsi" w:hAnsi="Arial" w:cs="Arial"/>
          <w:color w:val="auto"/>
          <w:sz w:val="22"/>
          <w:lang w:eastAsia="en-US"/>
        </w:rPr>
        <w:tab/>
        <w:t>Judge of the High Court</w:t>
      </w:r>
    </w:p>
    <w:p w14:paraId="4EA2B9E4" w14:textId="37365B65" w:rsidR="00DC777D" w:rsidRPr="00634FF3" w:rsidRDefault="00F5622B" w:rsidP="00EA61DF">
      <w:pPr>
        <w:keepLines/>
        <w:spacing w:after="0" w:line="276" w:lineRule="auto"/>
        <w:ind w:left="0" w:right="-40" w:firstLine="720"/>
        <w:jc w:val="right"/>
        <w:rPr>
          <w:rFonts w:ascii="Arial" w:eastAsiaTheme="minorHAnsi" w:hAnsi="Arial" w:cs="Arial"/>
          <w:color w:val="auto"/>
          <w:sz w:val="22"/>
          <w:lang w:eastAsia="en-US"/>
        </w:rPr>
      </w:pPr>
      <w:r w:rsidRPr="00634FF3">
        <w:rPr>
          <w:rFonts w:ascii="Arial" w:eastAsiaTheme="minorHAnsi" w:hAnsi="Arial" w:cs="Arial"/>
          <w:color w:val="auto"/>
          <w:sz w:val="22"/>
          <w:lang w:eastAsia="en-US"/>
        </w:rPr>
        <w:tab/>
      </w:r>
      <w:r w:rsidRPr="00634FF3">
        <w:rPr>
          <w:rFonts w:ascii="Arial" w:eastAsiaTheme="minorHAnsi" w:hAnsi="Arial" w:cs="Arial"/>
          <w:color w:val="auto"/>
          <w:sz w:val="22"/>
          <w:lang w:eastAsia="en-US"/>
        </w:rPr>
        <w:tab/>
      </w:r>
      <w:r w:rsidRPr="00634FF3">
        <w:rPr>
          <w:rFonts w:ascii="Arial" w:eastAsiaTheme="minorHAnsi" w:hAnsi="Arial" w:cs="Arial"/>
          <w:color w:val="auto"/>
          <w:sz w:val="22"/>
          <w:lang w:eastAsia="en-US"/>
        </w:rPr>
        <w:tab/>
      </w:r>
      <w:r w:rsidRPr="00634FF3">
        <w:rPr>
          <w:rFonts w:ascii="Arial" w:eastAsiaTheme="minorHAnsi" w:hAnsi="Arial" w:cs="Arial"/>
          <w:color w:val="auto"/>
          <w:sz w:val="22"/>
          <w:lang w:eastAsia="en-US"/>
        </w:rPr>
        <w:tab/>
      </w:r>
      <w:r w:rsidRPr="00634FF3">
        <w:rPr>
          <w:rFonts w:ascii="Arial" w:eastAsiaTheme="minorHAnsi" w:hAnsi="Arial" w:cs="Arial"/>
          <w:color w:val="auto"/>
          <w:sz w:val="22"/>
          <w:lang w:eastAsia="en-US"/>
        </w:rPr>
        <w:tab/>
      </w:r>
      <w:r w:rsidRPr="00634FF3">
        <w:rPr>
          <w:rFonts w:ascii="Arial" w:eastAsiaTheme="minorHAnsi" w:hAnsi="Arial" w:cs="Arial"/>
          <w:color w:val="auto"/>
          <w:sz w:val="22"/>
          <w:lang w:eastAsia="en-US"/>
        </w:rPr>
        <w:tab/>
        <w:t>Gauteng Division, Johannesburg</w:t>
      </w:r>
    </w:p>
    <w:p w14:paraId="5E77957C" w14:textId="77777777" w:rsidR="0048799E" w:rsidRPr="00634FF3" w:rsidRDefault="0048799E" w:rsidP="00EA61DF">
      <w:pPr>
        <w:keepLines/>
        <w:spacing w:after="0" w:line="276" w:lineRule="auto"/>
        <w:ind w:left="0" w:right="-40" w:firstLine="720"/>
        <w:jc w:val="right"/>
        <w:rPr>
          <w:rFonts w:ascii="Arial" w:eastAsiaTheme="minorHAnsi" w:hAnsi="Arial" w:cs="Arial"/>
          <w:color w:val="auto"/>
          <w:sz w:val="22"/>
          <w:lang w:eastAsia="en-US"/>
        </w:rPr>
      </w:pPr>
    </w:p>
    <w:p w14:paraId="5B8DAAE2" w14:textId="77777777" w:rsidR="00012C83" w:rsidRPr="00634FF3" w:rsidRDefault="00012C83" w:rsidP="00F9182F">
      <w:pPr>
        <w:spacing w:after="0" w:line="276" w:lineRule="auto"/>
        <w:ind w:left="0" w:right="-42"/>
        <w:jc w:val="left"/>
        <w:rPr>
          <w:rFonts w:ascii="Arial" w:eastAsiaTheme="minorHAnsi" w:hAnsi="Arial" w:cs="Arial"/>
          <w:b/>
          <w:color w:val="auto"/>
          <w:sz w:val="22"/>
          <w:lang w:eastAsia="en-US"/>
        </w:rPr>
      </w:pPr>
    </w:p>
    <w:p w14:paraId="2C306681" w14:textId="77777777" w:rsidR="003B2B47" w:rsidRPr="00634FF3" w:rsidRDefault="003B2B47" w:rsidP="00F9182F">
      <w:pPr>
        <w:spacing w:after="0" w:line="276" w:lineRule="auto"/>
        <w:ind w:left="0" w:right="-42"/>
        <w:jc w:val="left"/>
        <w:rPr>
          <w:rFonts w:ascii="Arial" w:eastAsiaTheme="minorHAnsi" w:hAnsi="Arial" w:cs="Arial"/>
          <w:b/>
          <w:color w:val="auto"/>
          <w:sz w:val="22"/>
          <w:lang w:eastAsia="en-US"/>
        </w:rPr>
      </w:pPr>
    </w:p>
    <w:p w14:paraId="5CEA674B" w14:textId="77777777" w:rsidR="00650982" w:rsidRPr="00634FF3" w:rsidRDefault="00650982" w:rsidP="00F9182F">
      <w:pPr>
        <w:spacing w:after="0" w:line="276" w:lineRule="auto"/>
        <w:ind w:left="0" w:right="-42"/>
        <w:jc w:val="left"/>
        <w:rPr>
          <w:rFonts w:ascii="Arial" w:eastAsiaTheme="minorHAnsi" w:hAnsi="Arial" w:cs="Arial"/>
          <w:b/>
          <w:color w:val="auto"/>
          <w:sz w:val="22"/>
          <w:lang w:eastAsia="en-US"/>
        </w:rPr>
      </w:pPr>
    </w:p>
    <w:p w14:paraId="7D05937F" w14:textId="2F3BDB94" w:rsidR="008A7B0C" w:rsidRPr="00634FF3" w:rsidRDefault="006A7D07" w:rsidP="00F9182F">
      <w:pPr>
        <w:spacing w:after="0" w:line="276" w:lineRule="auto"/>
        <w:ind w:left="0" w:right="-42"/>
        <w:jc w:val="left"/>
        <w:rPr>
          <w:rFonts w:ascii="Arial" w:eastAsiaTheme="minorHAnsi" w:hAnsi="Arial" w:cs="Arial"/>
          <w:color w:val="auto"/>
          <w:sz w:val="22"/>
          <w:lang w:eastAsia="en-US"/>
        </w:rPr>
      </w:pPr>
      <w:r w:rsidRPr="00634FF3">
        <w:rPr>
          <w:rFonts w:ascii="Arial" w:eastAsiaTheme="minorHAnsi" w:hAnsi="Arial" w:cs="Arial"/>
          <w:b/>
          <w:color w:val="auto"/>
          <w:sz w:val="22"/>
          <w:lang w:eastAsia="en-US"/>
        </w:rPr>
        <w:t>Heard</w:t>
      </w:r>
      <w:r w:rsidRPr="00634FF3">
        <w:rPr>
          <w:rFonts w:ascii="Arial" w:eastAsiaTheme="minorHAnsi" w:hAnsi="Arial" w:cs="Arial"/>
          <w:color w:val="auto"/>
          <w:sz w:val="22"/>
          <w:lang w:eastAsia="en-US"/>
        </w:rPr>
        <w:t>:</w:t>
      </w:r>
      <w:r w:rsidRPr="00634FF3">
        <w:rPr>
          <w:rFonts w:ascii="Arial" w:eastAsiaTheme="minorHAnsi" w:hAnsi="Arial" w:cs="Arial"/>
          <w:color w:val="auto"/>
          <w:sz w:val="22"/>
          <w:lang w:eastAsia="en-US"/>
        </w:rPr>
        <w:tab/>
      </w:r>
      <w:r w:rsidRPr="00634FF3">
        <w:rPr>
          <w:rFonts w:ascii="Arial" w:eastAsiaTheme="minorHAnsi" w:hAnsi="Arial" w:cs="Arial"/>
          <w:color w:val="auto"/>
          <w:sz w:val="22"/>
          <w:lang w:eastAsia="en-US"/>
        </w:rPr>
        <w:tab/>
      </w:r>
      <w:r w:rsidR="007C296E" w:rsidRPr="00634FF3">
        <w:rPr>
          <w:rFonts w:ascii="Arial" w:eastAsiaTheme="minorHAnsi" w:hAnsi="Arial" w:cs="Arial"/>
          <w:color w:val="auto"/>
          <w:sz w:val="22"/>
          <w:lang w:eastAsia="en-US"/>
        </w:rPr>
        <w:tab/>
      </w:r>
      <w:r w:rsidR="00472255" w:rsidRPr="00634FF3">
        <w:rPr>
          <w:rFonts w:ascii="Arial" w:eastAsiaTheme="minorHAnsi" w:hAnsi="Arial" w:cs="Arial"/>
          <w:color w:val="auto"/>
          <w:sz w:val="22"/>
          <w:lang w:eastAsia="en-US"/>
        </w:rPr>
        <w:t>18</w:t>
      </w:r>
      <w:r w:rsidR="00AE7B31" w:rsidRPr="00634FF3">
        <w:rPr>
          <w:rFonts w:ascii="Arial" w:eastAsiaTheme="minorHAnsi" w:hAnsi="Arial" w:cs="Arial"/>
          <w:color w:val="auto"/>
          <w:sz w:val="22"/>
          <w:lang w:eastAsia="en-US"/>
        </w:rPr>
        <w:t xml:space="preserve"> </w:t>
      </w:r>
      <w:r w:rsidR="00194BC9" w:rsidRPr="00634FF3">
        <w:rPr>
          <w:rFonts w:ascii="Arial" w:eastAsiaTheme="minorHAnsi" w:hAnsi="Arial" w:cs="Arial"/>
          <w:color w:val="auto"/>
          <w:sz w:val="22"/>
          <w:lang w:eastAsia="en-US"/>
        </w:rPr>
        <w:t>October</w:t>
      </w:r>
      <w:r w:rsidR="00AE7B31" w:rsidRPr="00634FF3">
        <w:rPr>
          <w:rFonts w:ascii="Arial" w:eastAsiaTheme="minorHAnsi" w:hAnsi="Arial" w:cs="Arial"/>
          <w:color w:val="auto"/>
          <w:sz w:val="22"/>
          <w:lang w:eastAsia="en-US"/>
        </w:rPr>
        <w:t xml:space="preserve"> 2023</w:t>
      </w:r>
      <w:r w:rsidR="00775FC2" w:rsidRPr="00634FF3">
        <w:rPr>
          <w:rFonts w:ascii="Arial" w:eastAsiaTheme="minorHAnsi" w:hAnsi="Arial" w:cs="Arial"/>
          <w:color w:val="auto"/>
          <w:sz w:val="22"/>
          <w:lang w:eastAsia="en-US"/>
        </w:rPr>
        <w:t xml:space="preserve"> </w:t>
      </w:r>
    </w:p>
    <w:p w14:paraId="59F85DA8" w14:textId="6EEAA4C9" w:rsidR="006A7D07" w:rsidRDefault="006A7D07" w:rsidP="00F9182F">
      <w:pPr>
        <w:spacing w:after="0" w:line="276" w:lineRule="auto"/>
        <w:ind w:left="0" w:right="-42"/>
        <w:jc w:val="left"/>
        <w:rPr>
          <w:rFonts w:ascii="Arial" w:eastAsiaTheme="minorHAnsi" w:hAnsi="Arial" w:cs="Arial"/>
          <w:color w:val="auto"/>
          <w:sz w:val="22"/>
          <w:lang w:eastAsia="en-US"/>
        </w:rPr>
      </w:pPr>
      <w:r w:rsidRPr="00634FF3">
        <w:rPr>
          <w:rFonts w:ascii="Arial" w:eastAsiaTheme="minorHAnsi" w:hAnsi="Arial" w:cs="Arial"/>
          <w:b/>
          <w:color w:val="auto"/>
          <w:sz w:val="22"/>
          <w:lang w:eastAsia="en-US"/>
        </w:rPr>
        <w:t>Judgment</w:t>
      </w:r>
      <w:r w:rsidRPr="00634FF3">
        <w:rPr>
          <w:rFonts w:ascii="Arial" w:eastAsiaTheme="minorHAnsi" w:hAnsi="Arial" w:cs="Arial"/>
          <w:color w:val="auto"/>
          <w:sz w:val="22"/>
          <w:lang w:eastAsia="en-US"/>
        </w:rPr>
        <w:t>:</w:t>
      </w:r>
      <w:r w:rsidRPr="00634FF3">
        <w:rPr>
          <w:rFonts w:ascii="Arial" w:eastAsiaTheme="minorHAnsi" w:hAnsi="Arial" w:cs="Arial"/>
          <w:color w:val="auto"/>
          <w:sz w:val="22"/>
          <w:lang w:eastAsia="en-US"/>
        </w:rPr>
        <w:tab/>
      </w:r>
      <w:r w:rsidRPr="00634FF3">
        <w:rPr>
          <w:rFonts w:ascii="Arial" w:eastAsiaTheme="minorHAnsi" w:hAnsi="Arial" w:cs="Arial"/>
          <w:color w:val="auto"/>
          <w:sz w:val="22"/>
          <w:lang w:eastAsia="en-US"/>
        </w:rPr>
        <w:tab/>
      </w:r>
      <w:r w:rsidR="008D2819">
        <w:rPr>
          <w:rFonts w:ascii="Arial" w:eastAsiaTheme="minorHAnsi" w:hAnsi="Arial" w:cs="Arial"/>
          <w:color w:val="auto"/>
          <w:sz w:val="22"/>
          <w:lang w:eastAsia="en-US"/>
        </w:rPr>
        <w:t>10 November 2023</w:t>
      </w:r>
    </w:p>
    <w:p w14:paraId="19936D32" w14:textId="77777777" w:rsidR="00CB6F6C" w:rsidRPr="00634FF3" w:rsidRDefault="00CB6F6C" w:rsidP="00F9182F">
      <w:pPr>
        <w:spacing w:after="0" w:line="276" w:lineRule="auto"/>
        <w:ind w:left="0" w:right="-42"/>
        <w:jc w:val="left"/>
        <w:rPr>
          <w:rFonts w:ascii="Arial" w:eastAsiaTheme="minorHAnsi" w:hAnsi="Arial" w:cs="Arial"/>
          <w:color w:val="auto"/>
          <w:sz w:val="22"/>
          <w:lang w:eastAsia="en-US"/>
        </w:rPr>
      </w:pPr>
    </w:p>
    <w:p w14:paraId="282DE3CE" w14:textId="77777777" w:rsidR="006A7D07" w:rsidRPr="00634FF3" w:rsidRDefault="006A7D07" w:rsidP="00F9182F">
      <w:pPr>
        <w:spacing w:after="0" w:line="276" w:lineRule="auto"/>
        <w:ind w:right="-42"/>
        <w:jc w:val="left"/>
        <w:rPr>
          <w:rFonts w:ascii="Arial" w:eastAsiaTheme="minorHAnsi" w:hAnsi="Arial" w:cs="Arial"/>
          <w:color w:val="auto"/>
          <w:sz w:val="22"/>
          <w:lang w:eastAsia="en-US"/>
        </w:rPr>
      </w:pPr>
    </w:p>
    <w:p w14:paraId="03890D49" w14:textId="71C77328" w:rsidR="00394ED7" w:rsidRDefault="00394ED7" w:rsidP="00F9182F">
      <w:pPr>
        <w:spacing w:after="0" w:line="276" w:lineRule="auto"/>
        <w:ind w:right="-42"/>
        <w:jc w:val="left"/>
        <w:rPr>
          <w:rFonts w:ascii="Arial" w:eastAsiaTheme="minorHAnsi" w:hAnsi="Arial" w:cs="Arial"/>
          <w:b/>
          <w:bCs/>
          <w:color w:val="auto"/>
          <w:sz w:val="22"/>
          <w:u w:val="single"/>
          <w:lang w:eastAsia="en-US"/>
        </w:rPr>
      </w:pPr>
      <w:r w:rsidRPr="00634FF3">
        <w:rPr>
          <w:rFonts w:ascii="Arial" w:eastAsiaTheme="minorHAnsi" w:hAnsi="Arial" w:cs="Arial"/>
          <w:b/>
          <w:bCs/>
          <w:color w:val="auto"/>
          <w:sz w:val="22"/>
          <w:u w:val="single"/>
          <w:lang w:eastAsia="en-US"/>
        </w:rPr>
        <w:t>Appearances</w:t>
      </w:r>
      <w:r w:rsidR="008D2819">
        <w:rPr>
          <w:rFonts w:ascii="Arial" w:eastAsiaTheme="minorHAnsi" w:hAnsi="Arial" w:cs="Arial"/>
          <w:b/>
          <w:bCs/>
          <w:color w:val="auto"/>
          <w:sz w:val="22"/>
          <w:u w:val="single"/>
          <w:lang w:eastAsia="en-US"/>
        </w:rPr>
        <w:t>:</w:t>
      </w:r>
    </w:p>
    <w:p w14:paraId="21D9B65C" w14:textId="77777777" w:rsidR="008D2819" w:rsidRDefault="008D2819" w:rsidP="00F9182F">
      <w:pPr>
        <w:spacing w:after="0" w:line="276" w:lineRule="auto"/>
        <w:ind w:right="-42"/>
        <w:jc w:val="left"/>
        <w:rPr>
          <w:rFonts w:ascii="Arial" w:eastAsiaTheme="minorHAnsi" w:hAnsi="Arial" w:cs="Arial"/>
          <w:b/>
          <w:bCs/>
          <w:color w:val="auto"/>
          <w:sz w:val="22"/>
          <w:u w:val="single"/>
          <w:lang w:eastAsia="en-US"/>
        </w:rPr>
      </w:pPr>
    </w:p>
    <w:p w14:paraId="00442487" w14:textId="0766DC2A" w:rsidR="008D2819" w:rsidRDefault="008D2819" w:rsidP="00F9182F">
      <w:pPr>
        <w:spacing w:after="0" w:line="276" w:lineRule="auto"/>
        <w:ind w:right="-42"/>
        <w:jc w:val="left"/>
        <w:rPr>
          <w:rFonts w:ascii="Arial" w:eastAsiaTheme="minorHAnsi" w:hAnsi="Arial" w:cs="Arial"/>
          <w:color w:val="auto"/>
          <w:sz w:val="22"/>
          <w:lang w:eastAsia="en-US"/>
        </w:rPr>
      </w:pPr>
      <w:r w:rsidRPr="008D2819">
        <w:rPr>
          <w:rFonts w:ascii="Arial" w:eastAsiaTheme="minorHAnsi" w:hAnsi="Arial" w:cs="Arial"/>
          <w:b/>
          <w:bCs/>
          <w:color w:val="auto"/>
          <w:sz w:val="22"/>
          <w:lang w:eastAsia="en-US"/>
        </w:rPr>
        <w:t>For Applicant:</w:t>
      </w:r>
      <w:r w:rsidRPr="008D2819">
        <w:rPr>
          <w:rFonts w:ascii="Arial" w:eastAsiaTheme="minorHAnsi" w:hAnsi="Arial" w:cs="Arial"/>
          <w:color w:val="auto"/>
          <w:sz w:val="22"/>
          <w:lang w:eastAsia="en-US"/>
        </w:rPr>
        <w:t xml:space="preserve"> </w:t>
      </w:r>
      <w:r w:rsidRPr="008D2819">
        <w:rPr>
          <w:rFonts w:ascii="Arial" w:eastAsiaTheme="minorHAnsi" w:hAnsi="Arial" w:cs="Arial"/>
          <w:color w:val="auto"/>
          <w:sz w:val="22"/>
          <w:lang w:eastAsia="en-US"/>
        </w:rPr>
        <w:tab/>
        <w:t xml:space="preserve">Adv. HS </w:t>
      </w:r>
      <w:proofErr w:type="spellStart"/>
      <w:r w:rsidRPr="008D2819">
        <w:rPr>
          <w:rFonts w:ascii="Arial" w:eastAsiaTheme="minorHAnsi" w:hAnsi="Arial" w:cs="Arial"/>
          <w:color w:val="auto"/>
          <w:sz w:val="22"/>
          <w:lang w:eastAsia="en-US"/>
        </w:rPr>
        <w:t>Goosen</w:t>
      </w:r>
      <w:proofErr w:type="spellEnd"/>
    </w:p>
    <w:p w14:paraId="040AB5C2" w14:textId="54E29AB3" w:rsidR="008D2819" w:rsidRPr="008D2819" w:rsidRDefault="008D2819" w:rsidP="008D2819">
      <w:pPr>
        <w:spacing w:after="0" w:line="276" w:lineRule="auto"/>
        <w:ind w:right="-42"/>
        <w:jc w:val="left"/>
        <w:rPr>
          <w:rFonts w:ascii="Arial" w:eastAsiaTheme="minorHAnsi" w:hAnsi="Arial" w:cs="Arial"/>
          <w:color w:val="auto"/>
          <w:sz w:val="22"/>
          <w:lang w:eastAsia="en-US"/>
        </w:rPr>
      </w:pPr>
      <w:r>
        <w:rPr>
          <w:rFonts w:ascii="Arial" w:eastAsiaTheme="minorHAnsi" w:hAnsi="Arial" w:cs="Arial"/>
          <w:b/>
          <w:bCs/>
          <w:color w:val="auto"/>
          <w:sz w:val="22"/>
          <w:lang w:eastAsia="en-US"/>
        </w:rPr>
        <w:t>Instructed by:</w:t>
      </w:r>
      <w:r>
        <w:rPr>
          <w:rFonts w:ascii="Arial" w:eastAsiaTheme="minorHAnsi" w:hAnsi="Arial" w:cs="Arial"/>
          <w:color w:val="auto"/>
          <w:sz w:val="22"/>
          <w:lang w:eastAsia="en-US"/>
        </w:rPr>
        <w:tab/>
        <w:t>Arthur Channon Attorneys</w:t>
      </w:r>
    </w:p>
    <w:p w14:paraId="3BCF6CE1" w14:textId="77777777" w:rsidR="00D2182B" w:rsidRPr="00634FF3" w:rsidRDefault="00D2182B" w:rsidP="00D2182B">
      <w:pPr>
        <w:spacing w:after="0" w:line="276" w:lineRule="auto"/>
        <w:ind w:left="0"/>
        <w:jc w:val="left"/>
        <w:rPr>
          <w:rFonts w:ascii="Arial" w:eastAsiaTheme="minorHAnsi" w:hAnsi="Arial" w:cs="Arial"/>
          <w:color w:val="auto"/>
          <w:sz w:val="22"/>
          <w:lang w:eastAsia="en-US"/>
        </w:rPr>
      </w:pPr>
    </w:p>
    <w:p w14:paraId="679C2E1B" w14:textId="77777777" w:rsidR="00D2182B" w:rsidRPr="00634FF3" w:rsidRDefault="00D2182B" w:rsidP="00D2182B">
      <w:pPr>
        <w:spacing w:after="0" w:line="276" w:lineRule="auto"/>
        <w:ind w:left="0"/>
        <w:jc w:val="left"/>
        <w:rPr>
          <w:rFonts w:ascii="Arial" w:eastAsiaTheme="minorHAnsi" w:hAnsi="Arial" w:cs="Arial"/>
          <w:color w:val="auto"/>
          <w:sz w:val="22"/>
          <w:lang w:eastAsia="en-US"/>
        </w:rPr>
      </w:pPr>
    </w:p>
    <w:p w14:paraId="6DA1B93E" w14:textId="779DE74E" w:rsidR="00D2182B" w:rsidRPr="00634FF3" w:rsidRDefault="00D2182B" w:rsidP="00D2182B">
      <w:pPr>
        <w:spacing w:after="0" w:line="276" w:lineRule="auto"/>
        <w:ind w:left="0"/>
        <w:jc w:val="left"/>
        <w:rPr>
          <w:rFonts w:ascii="Arial" w:eastAsiaTheme="minorHAnsi" w:hAnsi="Arial" w:cs="Arial"/>
          <w:color w:val="auto"/>
          <w:sz w:val="22"/>
          <w:lang w:eastAsia="en-US"/>
        </w:rPr>
      </w:pPr>
      <w:r w:rsidRPr="00634FF3">
        <w:rPr>
          <w:rFonts w:ascii="Arial" w:eastAsiaTheme="minorHAnsi" w:hAnsi="Arial" w:cs="Arial"/>
          <w:b/>
          <w:color w:val="auto"/>
          <w:sz w:val="22"/>
          <w:lang w:eastAsia="en-US"/>
        </w:rPr>
        <w:t xml:space="preserve">For </w:t>
      </w:r>
      <w:r w:rsidR="00194BC9" w:rsidRPr="00634FF3">
        <w:rPr>
          <w:rFonts w:ascii="Arial" w:eastAsiaTheme="minorHAnsi" w:hAnsi="Arial" w:cs="Arial"/>
          <w:b/>
          <w:color w:val="auto"/>
          <w:sz w:val="22"/>
          <w:lang w:eastAsia="en-US"/>
        </w:rPr>
        <w:t>Respondent</w:t>
      </w:r>
      <w:r w:rsidRPr="00634FF3">
        <w:rPr>
          <w:rFonts w:ascii="Arial" w:eastAsiaTheme="minorHAnsi" w:hAnsi="Arial" w:cs="Arial"/>
          <w:color w:val="auto"/>
          <w:sz w:val="22"/>
          <w:lang w:eastAsia="en-US"/>
        </w:rPr>
        <w:t>:</w:t>
      </w:r>
      <w:r w:rsidR="008D2819">
        <w:rPr>
          <w:rFonts w:ascii="Arial" w:eastAsiaTheme="minorHAnsi" w:hAnsi="Arial" w:cs="Arial"/>
          <w:color w:val="auto"/>
          <w:sz w:val="22"/>
          <w:lang w:eastAsia="en-US"/>
        </w:rPr>
        <w:tab/>
        <w:t xml:space="preserve">Adv. S </w:t>
      </w:r>
      <w:proofErr w:type="spellStart"/>
      <w:r w:rsidR="008D2819">
        <w:rPr>
          <w:rFonts w:ascii="Arial" w:eastAsiaTheme="minorHAnsi" w:hAnsi="Arial" w:cs="Arial"/>
          <w:color w:val="auto"/>
          <w:sz w:val="22"/>
          <w:lang w:eastAsia="en-US"/>
        </w:rPr>
        <w:t>Nel</w:t>
      </w:r>
      <w:proofErr w:type="spellEnd"/>
      <w:r w:rsidRPr="00634FF3">
        <w:rPr>
          <w:rFonts w:ascii="Arial" w:eastAsiaTheme="minorHAnsi" w:hAnsi="Arial" w:cs="Arial"/>
          <w:color w:val="auto"/>
          <w:sz w:val="22"/>
          <w:lang w:eastAsia="en-US"/>
        </w:rPr>
        <w:tab/>
      </w:r>
    </w:p>
    <w:p w14:paraId="704C6DE4" w14:textId="3CA0EC7E" w:rsidR="00D91B48" w:rsidRDefault="00D2182B" w:rsidP="00D2182B">
      <w:pPr>
        <w:spacing w:after="0" w:line="276" w:lineRule="auto"/>
        <w:ind w:left="0"/>
        <w:jc w:val="left"/>
        <w:rPr>
          <w:rFonts w:ascii="Arial" w:eastAsiaTheme="minorHAnsi" w:hAnsi="Arial" w:cs="Arial"/>
          <w:color w:val="auto"/>
          <w:sz w:val="22"/>
          <w:lang w:eastAsia="en-US"/>
        </w:rPr>
      </w:pPr>
      <w:r w:rsidRPr="00634FF3">
        <w:rPr>
          <w:rFonts w:ascii="Arial" w:eastAsiaTheme="minorHAnsi" w:hAnsi="Arial" w:cs="Arial"/>
          <w:b/>
          <w:color w:val="auto"/>
          <w:sz w:val="22"/>
          <w:lang w:eastAsia="en-US"/>
        </w:rPr>
        <w:t>Instructed by</w:t>
      </w:r>
      <w:r w:rsidRPr="00634FF3">
        <w:rPr>
          <w:rFonts w:ascii="Arial" w:eastAsiaTheme="minorHAnsi" w:hAnsi="Arial" w:cs="Arial"/>
          <w:color w:val="auto"/>
          <w:sz w:val="22"/>
          <w:lang w:eastAsia="en-US"/>
        </w:rPr>
        <w:t>:</w:t>
      </w:r>
      <w:r w:rsidR="008D2819">
        <w:rPr>
          <w:rFonts w:ascii="Arial" w:eastAsiaTheme="minorHAnsi" w:hAnsi="Arial" w:cs="Arial"/>
          <w:color w:val="auto"/>
          <w:sz w:val="22"/>
          <w:lang w:eastAsia="en-US"/>
        </w:rPr>
        <w:tab/>
      </w:r>
      <w:proofErr w:type="spellStart"/>
      <w:r w:rsidR="008D2819">
        <w:rPr>
          <w:rFonts w:ascii="Arial" w:eastAsiaTheme="minorHAnsi" w:hAnsi="Arial" w:cs="Arial"/>
          <w:color w:val="auto"/>
          <w:sz w:val="22"/>
          <w:lang w:eastAsia="en-US"/>
        </w:rPr>
        <w:t>Matthys</w:t>
      </w:r>
      <w:proofErr w:type="spellEnd"/>
      <w:r w:rsidR="008D2819">
        <w:rPr>
          <w:rFonts w:ascii="Arial" w:eastAsiaTheme="minorHAnsi" w:hAnsi="Arial" w:cs="Arial"/>
          <w:color w:val="auto"/>
          <w:sz w:val="22"/>
          <w:lang w:eastAsia="en-US"/>
        </w:rPr>
        <w:t xml:space="preserve"> Coetzee Attorneys</w:t>
      </w:r>
      <w:r w:rsidRPr="00634FF3">
        <w:rPr>
          <w:rFonts w:ascii="Arial" w:eastAsiaTheme="minorHAnsi" w:hAnsi="Arial" w:cs="Arial"/>
          <w:color w:val="auto"/>
          <w:sz w:val="22"/>
          <w:lang w:eastAsia="en-US"/>
        </w:rPr>
        <w:tab/>
      </w:r>
    </w:p>
    <w:p w14:paraId="267305AF" w14:textId="77777777" w:rsidR="00CB6F6C" w:rsidRDefault="00CB6F6C" w:rsidP="00D2182B">
      <w:pPr>
        <w:spacing w:after="0" w:line="276" w:lineRule="auto"/>
        <w:ind w:left="0"/>
        <w:jc w:val="left"/>
        <w:rPr>
          <w:rFonts w:ascii="Arial" w:eastAsiaTheme="minorHAnsi" w:hAnsi="Arial" w:cs="Arial"/>
          <w:color w:val="auto"/>
          <w:sz w:val="22"/>
          <w:lang w:eastAsia="en-US"/>
        </w:rPr>
      </w:pPr>
    </w:p>
    <w:p w14:paraId="1AAAAD7C" w14:textId="77777777" w:rsidR="00CB6F6C" w:rsidRPr="00634FF3" w:rsidRDefault="00CB6F6C" w:rsidP="00D2182B">
      <w:pPr>
        <w:spacing w:after="0" w:line="276" w:lineRule="auto"/>
        <w:ind w:left="0"/>
        <w:jc w:val="left"/>
        <w:rPr>
          <w:rFonts w:ascii="Arial" w:eastAsiaTheme="minorHAnsi" w:hAnsi="Arial" w:cs="Arial"/>
          <w:color w:val="auto"/>
          <w:sz w:val="22"/>
          <w:lang w:eastAsia="en-US"/>
        </w:rPr>
      </w:pPr>
    </w:p>
    <w:p w14:paraId="4D0A0E5E" w14:textId="794A072C" w:rsidR="00CB6F6C" w:rsidRPr="00634FF3" w:rsidRDefault="00CB6F6C" w:rsidP="00CB6F6C">
      <w:pPr>
        <w:tabs>
          <w:tab w:val="left" w:pos="360"/>
        </w:tabs>
        <w:spacing w:line="360" w:lineRule="auto"/>
        <w:rPr>
          <w:rFonts w:ascii="Arial" w:hAnsi="Arial" w:cs="Arial"/>
          <w:i/>
          <w:iCs/>
          <w:sz w:val="22"/>
        </w:rPr>
      </w:pPr>
      <w:r w:rsidRPr="00634FF3">
        <w:rPr>
          <w:rFonts w:ascii="Arial" w:hAnsi="Arial" w:cs="Arial"/>
          <w:i/>
          <w:iCs/>
          <w:sz w:val="22"/>
        </w:rPr>
        <w:t>This judgment was handed down electronically by e-mail circulation to the parties’ legal representatives</w:t>
      </w:r>
      <w:r w:rsidR="0063192B">
        <w:rPr>
          <w:rFonts w:ascii="Arial" w:hAnsi="Arial" w:cs="Arial"/>
          <w:i/>
          <w:iCs/>
          <w:sz w:val="22"/>
        </w:rPr>
        <w:t xml:space="preserve"> and uploading to </w:t>
      </w:r>
      <w:proofErr w:type="spellStart"/>
      <w:r w:rsidR="0063192B">
        <w:rPr>
          <w:rFonts w:ascii="Arial" w:hAnsi="Arial" w:cs="Arial"/>
          <w:i/>
          <w:iCs/>
          <w:sz w:val="22"/>
        </w:rPr>
        <w:t>CaseLines</w:t>
      </w:r>
      <w:proofErr w:type="spellEnd"/>
      <w:r w:rsidRPr="00634FF3">
        <w:rPr>
          <w:rFonts w:ascii="Arial" w:hAnsi="Arial" w:cs="Arial"/>
          <w:i/>
          <w:iCs/>
          <w:sz w:val="22"/>
        </w:rPr>
        <w:t xml:space="preserve">. The date for hand-down is deemed to be </w:t>
      </w:r>
      <w:r>
        <w:rPr>
          <w:rFonts w:ascii="Arial" w:hAnsi="Arial" w:cs="Arial"/>
          <w:i/>
          <w:iCs/>
          <w:sz w:val="22"/>
        </w:rPr>
        <w:t>10 November 2023</w:t>
      </w:r>
      <w:r w:rsidRPr="00634FF3">
        <w:rPr>
          <w:rFonts w:ascii="Arial" w:hAnsi="Arial" w:cs="Arial"/>
          <w:i/>
          <w:iCs/>
          <w:sz w:val="22"/>
        </w:rPr>
        <w:t>.</w:t>
      </w:r>
    </w:p>
    <w:p w14:paraId="58FB61FE" w14:textId="15D61460" w:rsidR="00012C83" w:rsidRPr="00634FF3" w:rsidRDefault="00012C83" w:rsidP="00D2182B">
      <w:pPr>
        <w:spacing w:after="0" w:line="276" w:lineRule="auto"/>
        <w:ind w:left="0"/>
        <w:jc w:val="left"/>
        <w:rPr>
          <w:rFonts w:ascii="Arial" w:hAnsi="Arial" w:cs="Arial"/>
          <w:sz w:val="22"/>
        </w:rPr>
      </w:pPr>
      <w:r w:rsidRPr="00634FF3">
        <w:rPr>
          <w:rFonts w:ascii="Arial" w:eastAsiaTheme="minorHAnsi" w:hAnsi="Arial" w:cs="Arial"/>
          <w:color w:val="auto"/>
          <w:sz w:val="22"/>
          <w:lang w:eastAsia="en-US"/>
        </w:rPr>
        <w:tab/>
      </w:r>
      <w:r w:rsidRPr="00634FF3">
        <w:rPr>
          <w:rFonts w:ascii="Arial" w:eastAsiaTheme="minorHAnsi" w:hAnsi="Arial" w:cs="Arial"/>
          <w:color w:val="auto"/>
          <w:sz w:val="22"/>
          <w:lang w:eastAsia="en-US"/>
        </w:rPr>
        <w:tab/>
      </w:r>
      <w:r w:rsidRPr="00634FF3">
        <w:rPr>
          <w:rFonts w:ascii="Arial" w:eastAsiaTheme="minorHAnsi" w:hAnsi="Arial" w:cs="Arial"/>
          <w:color w:val="auto"/>
          <w:sz w:val="22"/>
          <w:lang w:eastAsia="en-US"/>
        </w:rPr>
        <w:tab/>
      </w:r>
    </w:p>
    <w:sectPr w:rsidR="00012C83" w:rsidRPr="00634FF3" w:rsidSect="00930263">
      <w:footerReference w:type="default" r:id="rId9"/>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11193" w14:textId="77777777" w:rsidR="00960129" w:rsidRDefault="00960129" w:rsidP="00A238D6">
      <w:pPr>
        <w:spacing w:after="0" w:line="240" w:lineRule="auto"/>
      </w:pPr>
      <w:r>
        <w:separator/>
      </w:r>
    </w:p>
  </w:endnote>
  <w:endnote w:type="continuationSeparator" w:id="0">
    <w:p w14:paraId="05FEEFDF" w14:textId="77777777" w:rsidR="00960129" w:rsidRDefault="00960129" w:rsidP="00A238D6">
      <w:pPr>
        <w:spacing w:after="0" w:line="240" w:lineRule="auto"/>
      </w:pPr>
      <w:r>
        <w:continuationSeparator/>
      </w:r>
    </w:p>
  </w:endnote>
  <w:endnote w:type="continuationNotice" w:id="1">
    <w:p w14:paraId="10419677" w14:textId="77777777" w:rsidR="00960129" w:rsidRDefault="009601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837188"/>
      <w:docPartObj>
        <w:docPartGallery w:val="Page Numbers (Bottom of Page)"/>
        <w:docPartUnique/>
      </w:docPartObj>
    </w:sdtPr>
    <w:sdtEndPr>
      <w:rPr>
        <w:noProof/>
      </w:rPr>
    </w:sdtEndPr>
    <w:sdtContent>
      <w:p w14:paraId="7416B72C" w14:textId="11FD70F5" w:rsidR="00226CF2" w:rsidRDefault="00226CF2">
        <w:pPr>
          <w:pStyle w:val="Footer"/>
          <w:jc w:val="right"/>
        </w:pPr>
        <w:r>
          <w:fldChar w:fldCharType="begin"/>
        </w:r>
        <w:r>
          <w:instrText xml:space="preserve"> PAGE   \* MERGEFORMAT </w:instrText>
        </w:r>
        <w:r>
          <w:fldChar w:fldCharType="separate"/>
        </w:r>
        <w:r w:rsidR="009668FF">
          <w:rPr>
            <w:noProof/>
          </w:rPr>
          <w:t>2</w:t>
        </w:r>
        <w:r>
          <w:rPr>
            <w:noProof/>
          </w:rPr>
          <w:fldChar w:fldCharType="end"/>
        </w:r>
      </w:p>
    </w:sdtContent>
  </w:sdt>
  <w:p w14:paraId="267E1A0B" w14:textId="77777777" w:rsidR="003B2999" w:rsidRDefault="003B2999" w:rsidP="00674F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62922" w14:textId="77777777" w:rsidR="00960129" w:rsidRDefault="00960129" w:rsidP="00A238D6">
      <w:pPr>
        <w:spacing w:after="0" w:line="240" w:lineRule="auto"/>
      </w:pPr>
      <w:r>
        <w:separator/>
      </w:r>
    </w:p>
  </w:footnote>
  <w:footnote w:type="continuationSeparator" w:id="0">
    <w:p w14:paraId="461D701A" w14:textId="77777777" w:rsidR="00960129" w:rsidRDefault="00960129" w:rsidP="00A238D6">
      <w:pPr>
        <w:spacing w:after="0" w:line="240" w:lineRule="auto"/>
      </w:pPr>
      <w:r>
        <w:continuationSeparator/>
      </w:r>
    </w:p>
  </w:footnote>
  <w:footnote w:type="continuationNotice" w:id="1">
    <w:p w14:paraId="48145582" w14:textId="77777777" w:rsidR="00960129" w:rsidRDefault="00960129">
      <w:pPr>
        <w:spacing w:after="0" w:line="240" w:lineRule="auto"/>
      </w:pPr>
    </w:p>
  </w:footnote>
  <w:footnote w:id="2">
    <w:p w14:paraId="7DCC86F3" w14:textId="15D0E1CA" w:rsidR="00AA084E" w:rsidRPr="00AA084E" w:rsidRDefault="00AA084E" w:rsidP="00AA084E">
      <w:pPr>
        <w:pStyle w:val="FootnoteText"/>
        <w:spacing w:afterLines="60" w:after="144"/>
        <w:ind w:left="360" w:hanging="360"/>
        <w:rPr>
          <w:rFonts w:ascii="Arial" w:hAnsi="Arial" w:cs="Arial"/>
          <w:sz w:val="19"/>
          <w:szCs w:val="19"/>
        </w:rPr>
      </w:pPr>
      <w:r w:rsidRPr="00AA084E">
        <w:rPr>
          <w:rStyle w:val="FootnoteReference"/>
          <w:rFonts w:ascii="Arial" w:hAnsi="Arial" w:cs="Arial"/>
          <w:sz w:val="19"/>
          <w:szCs w:val="19"/>
        </w:rPr>
        <w:footnoteRef/>
      </w:r>
      <w:r w:rsidRPr="00AA084E">
        <w:rPr>
          <w:rFonts w:ascii="Arial" w:hAnsi="Arial" w:cs="Arial"/>
          <w:sz w:val="19"/>
          <w:szCs w:val="19"/>
        </w:rPr>
        <w:t xml:space="preserve"> </w:t>
      </w:r>
      <w:r>
        <w:rPr>
          <w:rFonts w:ascii="Arial" w:hAnsi="Arial" w:cs="Arial"/>
          <w:sz w:val="19"/>
          <w:szCs w:val="19"/>
        </w:rPr>
        <w:tab/>
      </w:r>
      <w:r w:rsidRPr="00AA084E">
        <w:rPr>
          <w:rFonts w:ascii="Arial" w:hAnsi="Arial" w:cs="Arial"/>
          <w:sz w:val="19"/>
          <w:szCs w:val="19"/>
        </w:rPr>
        <w:t xml:space="preserve">It is not in dispute that the deed of settlement enjoys the status of a court order. See </w:t>
      </w:r>
      <w:r w:rsidRPr="00AA084E">
        <w:rPr>
          <w:rFonts w:ascii="Arial" w:hAnsi="Arial" w:cs="Arial"/>
          <w:b/>
          <w:bCs/>
          <w:sz w:val="19"/>
          <w:szCs w:val="19"/>
        </w:rPr>
        <w:t>Eke v Parsons</w:t>
      </w:r>
      <w:r w:rsidRPr="00AA084E">
        <w:rPr>
          <w:rFonts w:ascii="Arial" w:hAnsi="Arial" w:cs="Arial"/>
          <w:sz w:val="19"/>
          <w:szCs w:val="19"/>
        </w:rPr>
        <w:t xml:space="preserve"> 2016 (3) SA 37 (CC)</w:t>
      </w:r>
      <w:r w:rsidR="00365206">
        <w:rPr>
          <w:rFonts w:ascii="Arial" w:hAnsi="Arial" w:cs="Arial"/>
          <w:sz w:val="19"/>
          <w:szCs w:val="19"/>
        </w:rPr>
        <w:t xml:space="preserve"> and </w:t>
      </w:r>
      <w:r w:rsidR="00365206" w:rsidRPr="00365206">
        <w:rPr>
          <w:rFonts w:ascii="Arial" w:hAnsi="Arial" w:cs="Arial"/>
          <w:b/>
          <w:bCs/>
          <w:sz w:val="19"/>
          <w:szCs w:val="19"/>
        </w:rPr>
        <w:t>Compensation Solutions (Pty) Ltd v Compensation Commissioner</w:t>
      </w:r>
      <w:r w:rsidR="00365206">
        <w:rPr>
          <w:rFonts w:ascii="Arial" w:hAnsi="Arial" w:cs="Arial"/>
          <w:sz w:val="19"/>
          <w:szCs w:val="19"/>
        </w:rPr>
        <w:t xml:space="preserve"> (2016) 37 ILJ 1625 (SCA)</w:t>
      </w:r>
    </w:p>
  </w:footnote>
  <w:footnote w:id="3">
    <w:p w14:paraId="63042E03" w14:textId="3C72B6CD" w:rsidR="00483573" w:rsidRPr="002D26AD" w:rsidRDefault="00483573" w:rsidP="00483573">
      <w:pPr>
        <w:pStyle w:val="FootnoteText"/>
        <w:spacing w:afterLines="60" w:after="144"/>
        <w:ind w:left="360" w:hanging="360"/>
        <w:rPr>
          <w:rFonts w:ascii="Arial" w:hAnsi="Arial" w:cs="Arial"/>
          <w:sz w:val="19"/>
          <w:szCs w:val="19"/>
        </w:rPr>
      </w:pPr>
      <w:r w:rsidRPr="002D26AD">
        <w:rPr>
          <w:rStyle w:val="FootnoteReference"/>
          <w:rFonts w:ascii="Arial" w:hAnsi="Arial" w:cs="Arial"/>
          <w:sz w:val="19"/>
          <w:szCs w:val="19"/>
        </w:rPr>
        <w:footnoteRef/>
      </w:r>
      <w:r w:rsidRPr="002D26AD">
        <w:rPr>
          <w:rFonts w:ascii="Arial" w:hAnsi="Arial" w:cs="Arial"/>
          <w:sz w:val="19"/>
          <w:szCs w:val="19"/>
        </w:rPr>
        <w:t xml:space="preserve"> </w:t>
      </w:r>
      <w:r w:rsidRPr="002D26AD">
        <w:rPr>
          <w:rFonts w:ascii="Arial" w:hAnsi="Arial" w:cs="Arial"/>
          <w:sz w:val="19"/>
          <w:szCs w:val="19"/>
        </w:rPr>
        <w:tab/>
      </w:r>
      <w:proofErr w:type="spellStart"/>
      <w:r w:rsidRPr="002D26AD">
        <w:rPr>
          <w:rFonts w:ascii="Arial" w:hAnsi="Arial" w:cs="Arial"/>
          <w:b/>
          <w:bCs/>
          <w:sz w:val="19"/>
          <w:szCs w:val="19"/>
        </w:rPr>
        <w:t>Pheko</w:t>
      </w:r>
      <w:proofErr w:type="spellEnd"/>
      <w:r w:rsidRPr="002D26AD">
        <w:rPr>
          <w:rFonts w:ascii="Arial" w:hAnsi="Arial" w:cs="Arial"/>
          <w:b/>
          <w:bCs/>
          <w:sz w:val="19"/>
          <w:szCs w:val="19"/>
        </w:rPr>
        <w:t xml:space="preserve"> </w:t>
      </w:r>
      <w:r w:rsidR="00735EE9">
        <w:rPr>
          <w:rFonts w:ascii="Arial" w:hAnsi="Arial" w:cs="Arial"/>
          <w:b/>
          <w:bCs/>
          <w:sz w:val="19"/>
          <w:szCs w:val="19"/>
        </w:rPr>
        <w:t xml:space="preserve">and Others </w:t>
      </w:r>
      <w:r w:rsidRPr="002D26AD">
        <w:rPr>
          <w:rFonts w:ascii="Arial" w:hAnsi="Arial" w:cs="Arial"/>
          <w:b/>
          <w:bCs/>
          <w:sz w:val="19"/>
          <w:szCs w:val="19"/>
        </w:rPr>
        <w:t xml:space="preserve">v Ekurhuleni </w:t>
      </w:r>
      <w:r w:rsidR="00735EE9">
        <w:rPr>
          <w:rFonts w:ascii="Arial" w:hAnsi="Arial" w:cs="Arial"/>
          <w:b/>
          <w:bCs/>
          <w:sz w:val="19"/>
          <w:szCs w:val="19"/>
        </w:rPr>
        <w:t xml:space="preserve">Metropolitan Municipality </w:t>
      </w:r>
      <w:r w:rsidR="00735EE9">
        <w:rPr>
          <w:rFonts w:ascii="Arial" w:hAnsi="Arial" w:cs="Arial"/>
          <w:sz w:val="19"/>
          <w:szCs w:val="19"/>
        </w:rPr>
        <w:t>(</w:t>
      </w:r>
      <w:r w:rsidR="00735EE9" w:rsidRPr="00735EE9">
        <w:rPr>
          <w:rFonts w:ascii="Arial" w:hAnsi="Arial" w:cs="Arial"/>
          <w:sz w:val="19"/>
          <w:szCs w:val="19"/>
        </w:rPr>
        <w:t>No 2) 2015 (5) SA 600 (CC) (</w:t>
      </w:r>
      <w:proofErr w:type="spellStart"/>
      <w:r w:rsidR="00735EE9" w:rsidRPr="00735EE9">
        <w:rPr>
          <w:rFonts w:ascii="Arial" w:hAnsi="Arial" w:cs="Arial"/>
          <w:sz w:val="19"/>
          <w:szCs w:val="19"/>
        </w:rPr>
        <w:t>Pheko</w:t>
      </w:r>
      <w:proofErr w:type="spellEnd"/>
      <w:r w:rsidR="00735EE9" w:rsidRPr="00735EE9">
        <w:rPr>
          <w:rFonts w:ascii="Arial" w:hAnsi="Arial" w:cs="Arial"/>
          <w:sz w:val="19"/>
          <w:szCs w:val="19"/>
        </w:rPr>
        <w:t xml:space="preserve"> II) </w:t>
      </w:r>
      <w:r w:rsidRPr="002D26AD">
        <w:rPr>
          <w:rFonts w:ascii="Arial" w:hAnsi="Arial" w:cs="Arial"/>
          <w:sz w:val="19"/>
          <w:szCs w:val="19"/>
        </w:rPr>
        <w:t>at 617A–B</w:t>
      </w:r>
      <w:bookmarkStart w:id="3" w:name="0-0-0-16105"/>
      <w:bookmarkEnd w:id="3"/>
      <w:r w:rsidR="00735EE9">
        <w:rPr>
          <w:rFonts w:ascii="Arial" w:hAnsi="Arial" w:cs="Arial"/>
          <w:sz w:val="19"/>
          <w:szCs w:val="19"/>
        </w:rPr>
        <w:t xml:space="preserve">; </w:t>
      </w:r>
      <w:r w:rsidRPr="002D26AD">
        <w:rPr>
          <w:rFonts w:ascii="Arial" w:hAnsi="Arial" w:cs="Arial"/>
          <w:b/>
          <w:bCs/>
          <w:sz w:val="19"/>
          <w:szCs w:val="19"/>
        </w:rPr>
        <w:t xml:space="preserve">Minister of Home Affairs v </w:t>
      </w:r>
      <w:proofErr w:type="spellStart"/>
      <w:r w:rsidRPr="002D26AD">
        <w:rPr>
          <w:rFonts w:ascii="Arial" w:hAnsi="Arial" w:cs="Arial"/>
          <w:b/>
          <w:bCs/>
          <w:sz w:val="19"/>
          <w:szCs w:val="19"/>
        </w:rPr>
        <w:t>Scalabrini</w:t>
      </w:r>
      <w:proofErr w:type="spellEnd"/>
      <w:r w:rsidRPr="002D26AD">
        <w:rPr>
          <w:rFonts w:ascii="Arial" w:hAnsi="Arial" w:cs="Arial"/>
          <w:b/>
          <w:bCs/>
          <w:sz w:val="19"/>
          <w:szCs w:val="19"/>
        </w:rPr>
        <w:t xml:space="preserve"> Centre</w:t>
      </w:r>
      <w:r w:rsidRPr="002D26AD">
        <w:rPr>
          <w:rFonts w:ascii="Arial" w:hAnsi="Arial" w:cs="Arial"/>
          <w:sz w:val="19"/>
          <w:szCs w:val="19"/>
        </w:rPr>
        <w:t xml:space="preserve"> </w:t>
      </w:r>
      <w:hyperlink r:id="rId1" w:anchor="y2013v6SApg421" w:history="1">
        <w:r w:rsidRPr="002D26AD">
          <w:rPr>
            <w:rStyle w:val="Hyperlink1"/>
            <w:rFonts w:ascii="Arial" w:hAnsi="Arial" w:cs="Arial"/>
            <w:color w:val="auto"/>
            <w:sz w:val="19"/>
            <w:szCs w:val="19"/>
            <w:u w:val="none"/>
          </w:rPr>
          <w:t>2013 (6) SA 421 (SCA)</w:t>
        </w:r>
      </w:hyperlink>
      <w:r w:rsidRPr="002D26AD">
        <w:rPr>
          <w:rFonts w:ascii="Arial" w:hAnsi="Arial" w:cs="Arial"/>
          <w:sz w:val="19"/>
          <w:szCs w:val="19"/>
        </w:rPr>
        <w:t xml:space="preserve"> at 443H–I</w:t>
      </w:r>
      <w:r w:rsidR="00735EE9">
        <w:rPr>
          <w:rFonts w:ascii="Arial" w:hAnsi="Arial" w:cs="Arial"/>
          <w:sz w:val="19"/>
          <w:szCs w:val="19"/>
        </w:rPr>
        <w:t>; and</w:t>
      </w:r>
      <w:r w:rsidRPr="002D26AD">
        <w:rPr>
          <w:rFonts w:ascii="Arial" w:hAnsi="Arial" w:cs="Arial"/>
          <w:sz w:val="19"/>
          <w:szCs w:val="19"/>
        </w:rPr>
        <w:t xml:space="preserve"> </w:t>
      </w:r>
      <w:r w:rsidRPr="002D26AD">
        <w:rPr>
          <w:rFonts w:ascii="Arial" w:hAnsi="Arial" w:cs="Arial"/>
          <w:b/>
          <w:bCs/>
          <w:sz w:val="19"/>
          <w:szCs w:val="19"/>
        </w:rPr>
        <w:t xml:space="preserve">NW Civil Contractors CC v Anton </w:t>
      </w:r>
      <w:proofErr w:type="spellStart"/>
      <w:r w:rsidRPr="002D26AD">
        <w:rPr>
          <w:rFonts w:ascii="Arial" w:hAnsi="Arial" w:cs="Arial"/>
          <w:b/>
          <w:bCs/>
          <w:sz w:val="19"/>
          <w:szCs w:val="19"/>
        </w:rPr>
        <w:t>Ramaano</w:t>
      </w:r>
      <w:proofErr w:type="spellEnd"/>
      <w:r w:rsidRPr="002D26AD">
        <w:rPr>
          <w:rFonts w:ascii="Arial" w:hAnsi="Arial" w:cs="Arial"/>
          <w:b/>
          <w:bCs/>
          <w:sz w:val="19"/>
          <w:szCs w:val="19"/>
        </w:rPr>
        <w:t xml:space="preserve"> </w:t>
      </w:r>
      <w:proofErr w:type="spellStart"/>
      <w:r w:rsidRPr="002D26AD">
        <w:rPr>
          <w:rFonts w:ascii="Arial" w:hAnsi="Arial" w:cs="Arial"/>
          <w:b/>
          <w:bCs/>
          <w:sz w:val="19"/>
          <w:szCs w:val="19"/>
        </w:rPr>
        <w:t>Inc</w:t>
      </w:r>
      <w:proofErr w:type="spellEnd"/>
      <w:r w:rsidRPr="002D26AD">
        <w:rPr>
          <w:rFonts w:ascii="Arial" w:hAnsi="Arial" w:cs="Arial"/>
          <w:sz w:val="19"/>
          <w:szCs w:val="19"/>
        </w:rPr>
        <w:t xml:space="preserve"> </w:t>
      </w:r>
      <w:hyperlink r:id="rId2" w:anchor="y2020v3SApg241" w:history="1">
        <w:r w:rsidRPr="002D26AD">
          <w:rPr>
            <w:rStyle w:val="Hyperlink1"/>
            <w:rFonts w:ascii="Arial" w:hAnsi="Arial" w:cs="Arial"/>
            <w:color w:val="auto"/>
            <w:sz w:val="19"/>
            <w:szCs w:val="19"/>
            <w:u w:val="none"/>
          </w:rPr>
          <w:t>2020 (3) SA 241 (SCA)</w:t>
        </w:r>
      </w:hyperlink>
      <w:r w:rsidRPr="002D26AD">
        <w:rPr>
          <w:rFonts w:ascii="Arial" w:hAnsi="Arial" w:cs="Arial"/>
          <w:sz w:val="19"/>
          <w:szCs w:val="19"/>
        </w:rPr>
        <w:t xml:space="preserve"> at para [6]</w:t>
      </w:r>
    </w:p>
  </w:footnote>
  <w:footnote w:id="4">
    <w:p w14:paraId="6421CAE5" w14:textId="44220347" w:rsidR="002D26AD" w:rsidRPr="002D26AD" w:rsidRDefault="002D26AD" w:rsidP="002D26AD">
      <w:pPr>
        <w:pStyle w:val="FootnoteText"/>
        <w:spacing w:afterLines="60" w:after="144"/>
        <w:ind w:left="360" w:hanging="360"/>
        <w:rPr>
          <w:rFonts w:ascii="Arial" w:hAnsi="Arial" w:cs="Arial"/>
          <w:sz w:val="19"/>
          <w:szCs w:val="19"/>
          <w:lang w:val="en-US"/>
        </w:rPr>
      </w:pPr>
      <w:r w:rsidRPr="002D26AD">
        <w:rPr>
          <w:rStyle w:val="FootnoteReference"/>
          <w:rFonts w:ascii="Arial" w:hAnsi="Arial" w:cs="Arial"/>
          <w:sz w:val="19"/>
          <w:szCs w:val="19"/>
        </w:rPr>
        <w:footnoteRef/>
      </w:r>
      <w:r w:rsidRPr="002D26AD">
        <w:rPr>
          <w:rFonts w:ascii="Arial" w:hAnsi="Arial" w:cs="Arial"/>
          <w:sz w:val="19"/>
          <w:szCs w:val="19"/>
        </w:rPr>
        <w:t xml:space="preserve"> </w:t>
      </w:r>
      <w:r w:rsidRPr="002D26AD">
        <w:rPr>
          <w:rFonts w:ascii="Arial" w:hAnsi="Arial" w:cs="Arial"/>
          <w:sz w:val="19"/>
          <w:szCs w:val="19"/>
        </w:rPr>
        <w:tab/>
      </w:r>
      <w:r w:rsidRPr="002D26AD">
        <w:rPr>
          <w:rStyle w:val="Hyperlink1"/>
          <w:rFonts w:ascii="Arial" w:hAnsi="Arial" w:cs="Arial"/>
          <w:color w:val="auto"/>
          <w:sz w:val="19"/>
          <w:szCs w:val="19"/>
          <w:u w:val="none"/>
        </w:rPr>
        <w:t xml:space="preserve">Milton, </w:t>
      </w:r>
      <w:r w:rsidRPr="002D26AD">
        <w:rPr>
          <w:rStyle w:val="Hyperlink1"/>
          <w:rFonts w:ascii="Arial" w:hAnsi="Arial" w:cs="Arial"/>
          <w:b/>
          <w:bCs/>
          <w:color w:val="auto"/>
          <w:sz w:val="19"/>
          <w:szCs w:val="19"/>
          <w:u w:val="none"/>
        </w:rPr>
        <w:t>South African Criminal Law and Procedure</w:t>
      </w:r>
      <w:r w:rsidRPr="002D26AD">
        <w:rPr>
          <w:rStyle w:val="Hyperlink1"/>
          <w:rFonts w:ascii="Arial" w:hAnsi="Arial" w:cs="Arial"/>
          <w:color w:val="auto"/>
          <w:sz w:val="19"/>
          <w:szCs w:val="19"/>
          <w:u w:val="none"/>
        </w:rPr>
        <w:t xml:space="preserve"> (Vol II: Common Law Crimes) (3 </w:t>
      </w:r>
      <w:proofErr w:type="spellStart"/>
      <w:r w:rsidRPr="002D26AD">
        <w:rPr>
          <w:rStyle w:val="Hyperlink1"/>
          <w:rFonts w:ascii="Arial" w:hAnsi="Arial" w:cs="Arial"/>
          <w:color w:val="auto"/>
          <w:sz w:val="19"/>
          <w:szCs w:val="19"/>
          <w:u w:val="none"/>
        </w:rPr>
        <w:t>ed</w:t>
      </w:r>
      <w:proofErr w:type="spellEnd"/>
      <w:r w:rsidRPr="002D26AD">
        <w:rPr>
          <w:rStyle w:val="Hyperlink1"/>
          <w:rFonts w:ascii="Arial" w:hAnsi="Arial" w:cs="Arial"/>
          <w:color w:val="auto"/>
          <w:sz w:val="19"/>
          <w:szCs w:val="19"/>
          <w:u w:val="none"/>
        </w:rPr>
        <w:t xml:space="preserve">) Cape Town, </w:t>
      </w:r>
      <w:proofErr w:type="spellStart"/>
      <w:r w:rsidRPr="002D26AD">
        <w:rPr>
          <w:rStyle w:val="Hyperlink1"/>
          <w:rFonts w:ascii="Arial" w:hAnsi="Arial" w:cs="Arial"/>
          <w:color w:val="auto"/>
          <w:sz w:val="19"/>
          <w:szCs w:val="19"/>
          <w:u w:val="none"/>
        </w:rPr>
        <w:t>Juta</w:t>
      </w:r>
      <w:proofErr w:type="spellEnd"/>
      <w:r w:rsidRPr="002D26AD">
        <w:rPr>
          <w:rStyle w:val="Hyperlink1"/>
          <w:rFonts w:ascii="Arial" w:hAnsi="Arial" w:cs="Arial"/>
          <w:color w:val="auto"/>
          <w:sz w:val="19"/>
          <w:szCs w:val="19"/>
          <w:u w:val="none"/>
        </w:rPr>
        <w:t xml:space="preserve"> and Co: 1996 at 165</w:t>
      </w:r>
    </w:p>
  </w:footnote>
  <w:footnote w:id="5">
    <w:p w14:paraId="61562ACE" w14:textId="3DCE2BCF" w:rsidR="00910FFD" w:rsidRPr="00787ABF" w:rsidRDefault="00910FFD" w:rsidP="002D26AD">
      <w:pPr>
        <w:pStyle w:val="FootnoteText"/>
        <w:spacing w:afterLines="60" w:after="144"/>
        <w:ind w:left="360" w:hanging="360"/>
      </w:pPr>
      <w:r w:rsidRPr="002D26AD">
        <w:rPr>
          <w:rStyle w:val="FootnoteReference"/>
          <w:rFonts w:ascii="Arial" w:hAnsi="Arial" w:cs="Arial"/>
          <w:sz w:val="19"/>
          <w:szCs w:val="19"/>
        </w:rPr>
        <w:footnoteRef/>
      </w:r>
      <w:r w:rsidRPr="002D26AD">
        <w:rPr>
          <w:rFonts w:ascii="Arial" w:hAnsi="Arial" w:cs="Arial"/>
          <w:sz w:val="19"/>
          <w:szCs w:val="19"/>
        </w:rPr>
        <w:t xml:space="preserve"> </w:t>
      </w:r>
      <w:bookmarkStart w:id="5" w:name="_Hlk112752127"/>
      <w:r w:rsidR="002D26AD" w:rsidRPr="002D26AD">
        <w:rPr>
          <w:rFonts w:ascii="Arial" w:hAnsi="Arial" w:cs="Arial"/>
          <w:sz w:val="19"/>
          <w:szCs w:val="19"/>
        </w:rPr>
        <w:tab/>
      </w:r>
      <w:r w:rsidRPr="002D26AD">
        <w:rPr>
          <w:rStyle w:val="Hyperlink1"/>
          <w:rFonts w:ascii="Arial" w:hAnsi="Arial" w:cs="Arial"/>
          <w:b/>
          <w:bCs/>
          <w:color w:val="auto"/>
          <w:sz w:val="19"/>
          <w:szCs w:val="19"/>
          <w:u w:val="none"/>
        </w:rPr>
        <w:t>Coconut Express CC v South African Revenue Service (Customs and Excise) and others</w:t>
      </w:r>
      <w:r w:rsidRPr="002D26AD">
        <w:rPr>
          <w:rStyle w:val="Hyperlink1"/>
          <w:rFonts w:ascii="Arial" w:hAnsi="Arial" w:cs="Arial"/>
          <w:color w:val="auto"/>
          <w:sz w:val="19"/>
          <w:szCs w:val="19"/>
          <w:u w:val="none"/>
        </w:rPr>
        <w:t xml:space="preserve"> [2016] 2 All SA 749 (KZD)</w:t>
      </w:r>
      <w:bookmarkEnd w:id="5"/>
    </w:p>
  </w:footnote>
  <w:footnote w:id="6">
    <w:p w14:paraId="387F5339" w14:textId="60FF8C2B" w:rsidR="002D26AD" w:rsidRPr="002D26AD" w:rsidRDefault="002D26AD" w:rsidP="002D26AD">
      <w:pPr>
        <w:pStyle w:val="FootnoteText"/>
        <w:spacing w:afterLines="60" w:after="144"/>
        <w:ind w:left="360" w:hanging="360"/>
        <w:rPr>
          <w:rFonts w:ascii="Arial" w:hAnsi="Arial" w:cs="Arial"/>
          <w:sz w:val="19"/>
          <w:szCs w:val="19"/>
        </w:rPr>
      </w:pPr>
      <w:r w:rsidRPr="002D26AD">
        <w:rPr>
          <w:rStyle w:val="FootnoteReference"/>
          <w:rFonts w:ascii="Arial" w:hAnsi="Arial" w:cs="Arial"/>
          <w:sz w:val="19"/>
          <w:szCs w:val="19"/>
        </w:rPr>
        <w:footnoteRef/>
      </w:r>
      <w:r w:rsidRPr="002D26AD">
        <w:rPr>
          <w:rFonts w:ascii="Arial" w:hAnsi="Arial" w:cs="Arial"/>
          <w:sz w:val="19"/>
          <w:szCs w:val="19"/>
        </w:rPr>
        <w:t xml:space="preserve"> </w:t>
      </w:r>
      <w:r w:rsidRPr="002D26AD">
        <w:rPr>
          <w:rFonts w:ascii="Arial" w:hAnsi="Arial" w:cs="Arial"/>
          <w:sz w:val="19"/>
          <w:szCs w:val="19"/>
        </w:rPr>
        <w:tab/>
      </w:r>
      <w:r w:rsidRPr="002D26AD">
        <w:rPr>
          <w:rStyle w:val="Hyperlink1"/>
          <w:rFonts w:ascii="Arial" w:hAnsi="Arial" w:cs="Arial"/>
          <w:color w:val="auto"/>
          <w:sz w:val="19"/>
          <w:szCs w:val="19"/>
          <w:u w:val="none"/>
        </w:rPr>
        <w:t>2006</w:t>
      </w:r>
      <w:r w:rsidRPr="002D26AD">
        <w:rPr>
          <w:rFonts w:ascii="Arial" w:hAnsi="Arial" w:cs="Arial"/>
          <w:sz w:val="19"/>
          <w:szCs w:val="19"/>
        </w:rPr>
        <w:t xml:space="preserve"> (4) SA 326 (SCA)</w:t>
      </w:r>
      <w:r w:rsidR="00365206">
        <w:rPr>
          <w:rFonts w:ascii="Arial" w:hAnsi="Arial" w:cs="Arial"/>
          <w:sz w:val="19"/>
          <w:szCs w:val="19"/>
        </w:rPr>
        <w:t xml:space="preserve"> para 9</w:t>
      </w:r>
    </w:p>
  </w:footnote>
  <w:footnote w:id="7">
    <w:p w14:paraId="07A8936B" w14:textId="42BC0126" w:rsidR="002D26AD" w:rsidRPr="00DC07E3" w:rsidRDefault="002D26AD" w:rsidP="002D26AD">
      <w:pPr>
        <w:pStyle w:val="FootnoteText"/>
        <w:spacing w:afterLines="60" w:after="144"/>
        <w:ind w:left="360" w:hanging="360"/>
        <w:rPr>
          <w:rFonts w:ascii="Arial" w:hAnsi="Arial" w:cs="Arial"/>
          <w:lang w:val="en-US"/>
        </w:rPr>
      </w:pPr>
      <w:r w:rsidRPr="002D26AD">
        <w:rPr>
          <w:rStyle w:val="FootnoteReference"/>
          <w:rFonts w:ascii="Arial" w:hAnsi="Arial" w:cs="Arial"/>
          <w:sz w:val="19"/>
          <w:szCs w:val="19"/>
        </w:rPr>
        <w:footnoteRef/>
      </w:r>
      <w:r w:rsidRPr="002D26AD">
        <w:rPr>
          <w:rFonts w:ascii="Arial" w:hAnsi="Arial" w:cs="Arial"/>
          <w:sz w:val="19"/>
          <w:szCs w:val="19"/>
        </w:rPr>
        <w:t xml:space="preserve"> </w:t>
      </w:r>
      <w:r w:rsidRPr="002D26AD">
        <w:rPr>
          <w:rFonts w:ascii="Arial" w:hAnsi="Arial" w:cs="Arial"/>
          <w:sz w:val="19"/>
          <w:szCs w:val="19"/>
        </w:rPr>
        <w:tab/>
      </w:r>
      <w:hyperlink r:id="rId3" w:history="1">
        <w:r w:rsidRPr="002D26AD">
          <w:rPr>
            <w:rStyle w:val="Hyperlink1"/>
            <w:rFonts w:ascii="Arial" w:hAnsi="Arial" w:cs="Arial"/>
            <w:color w:val="auto"/>
            <w:sz w:val="19"/>
            <w:szCs w:val="19"/>
            <w:u w:val="none"/>
          </w:rPr>
          <w:t>2006 (4) SA 326 (SCA)</w:t>
        </w:r>
      </w:hyperlink>
      <w:r w:rsidRPr="002D26AD">
        <w:rPr>
          <w:rFonts w:ascii="Arial" w:hAnsi="Arial" w:cs="Arial"/>
          <w:sz w:val="19"/>
          <w:szCs w:val="19"/>
        </w:rPr>
        <w:t xml:space="preserve"> para 42</w:t>
      </w:r>
    </w:p>
  </w:footnote>
  <w:footnote w:id="8">
    <w:p w14:paraId="43734739" w14:textId="77777777" w:rsidR="004F0E7F" w:rsidRPr="002D26AD" w:rsidRDefault="004F0E7F" w:rsidP="004F0E7F">
      <w:pPr>
        <w:pStyle w:val="FootnoteText"/>
        <w:spacing w:afterLines="60" w:after="144"/>
        <w:ind w:left="360" w:hanging="360"/>
        <w:rPr>
          <w:rFonts w:ascii="Arial" w:hAnsi="Arial" w:cs="Arial"/>
          <w:sz w:val="19"/>
          <w:szCs w:val="19"/>
        </w:rPr>
      </w:pPr>
      <w:r w:rsidRPr="002D26AD">
        <w:rPr>
          <w:rStyle w:val="FootnoteReference"/>
          <w:rFonts w:ascii="Arial" w:hAnsi="Arial" w:cs="Arial"/>
          <w:sz w:val="19"/>
          <w:szCs w:val="19"/>
        </w:rPr>
        <w:footnoteRef/>
      </w:r>
      <w:r w:rsidRPr="002D26AD">
        <w:rPr>
          <w:rFonts w:ascii="Arial" w:hAnsi="Arial" w:cs="Arial"/>
          <w:sz w:val="19"/>
          <w:szCs w:val="19"/>
        </w:rPr>
        <w:t xml:space="preserve"> </w:t>
      </w:r>
      <w:r w:rsidRPr="002D26AD">
        <w:rPr>
          <w:rFonts w:ascii="Arial" w:hAnsi="Arial" w:cs="Arial"/>
          <w:sz w:val="19"/>
          <w:szCs w:val="19"/>
        </w:rPr>
        <w:tab/>
      </w:r>
      <w:proofErr w:type="spellStart"/>
      <w:r w:rsidRPr="002D26AD">
        <w:rPr>
          <w:rStyle w:val="Hyperlink1"/>
          <w:rFonts w:ascii="Arial" w:hAnsi="Arial" w:cs="Arial"/>
          <w:b/>
          <w:bCs/>
          <w:color w:val="auto"/>
          <w:sz w:val="19"/>
          <w:szCs w:val="19"/>
          <w:u w:val="none"/>
        </w:rPr>
        <w:t>Tasima</w:t>
      </w:r>
      <w:proofErr w:type="spellEnd"/>
      <w:r w:rsidRPr="002D26AD">
        <w:rPr>
          <w:rFonts w:ascii="Arial" w:hAnsi="Arial" w:cs="Arial"/>
          <w:b/>
          <w:bCs/>
          <w:sz w:val="19"/>
          <w:szCs w:val="19"/>
        </w:rPr>
        <w:t xml:space="preserve"> (Pty) Ltd v Department of Transport</w:t>
      </w:r>
      <w:r w:rsidRPr="002D26AD">
        <w:rPr>
          <w:rFonts w:ascii="Arial" w:hAnsi="Arial" w:cs="Arial"/>
          <w:sz w:val="19"/>
          <w:szCs w:val="19"/>
        </w:rPr>
        <w:t xml:space="preserve"> 2016 1 All SA 465 (SCA)</w:t>
      </w:r>
    </w:p>
  </w:footnote>
  <w:footnote w:id="9">
    <w:p w14:paraId="3595C034" w14:textId="0E86C2E6" w:rsidR="002D26AD" w:rsidRPr="00735EE9" w:rsidRDefault="00910FFD" w:rsidP="002D68B4">
      <w:pPr>
        <w:pStyle w:val="FootnoteText"/>
        <w:spacing w:afterLines="60" w:after="144"/>
        <w:ind w:left="360" w:hanging="360"/>
        <w:rPr>
          <w:rFonts w:ascii="Arial" w:hAnsi="Arial" w:cs="Arial"/>
          <w:color w:val="auto"/>
          <w:sz w:val="19"/>
          <w:szCs w:val="19"/>
        </w:rPr>
      </w:pPr>
      <w:r w:rsidRPr="00735EE9">
        <w:rPr>
          <w:rStyle w:val="FootnoteReference"/>
          <w:rFonts w:ascii="Arial" w:hAnsi="Arial" w:cs="Arial"/>
          <w:sz w:val="19"/>
          <w:szCs w:val="19"/>
        </w:rPr>
        <w:footnoteRef/>
      </w:r>
      <w:r w:rsidRPr="00735EE9">
        <w:rPr>
          <w:sz w:val="19"/>
          <w:szCs w:val="19"/>
        </w:rPr>
        <w:t xml:space="preserve"> </w:t>
      </w:r>
      <w:r w:rsidR="002D26AD" w:rsidRPr="00735EE9">
        <w:rPr>
          <w:sz w:val="19"/>
          <w:szCs w:val="19"/>
        </w:rPr>
        <w:tab/>
      </w:r>
      <w:proofErr w:type="spellStart"/>
      <w:r w:rsidRPr="00735EE9">
        <w:rPr>
          <w:rStyle w:val="Hyperlink1"/>
          <w:rFonts w:ascii="Arial" w:hAnsi="Arial" w:cs="Arial"/>
          <w:b/>
          <w:bCs/>
          <w:color w:val="auto"/>
          <w:sz w:val="19"/>
          <w:szCs w:val="19"/>
          <w:u w:val="none"/>
        </w:rPr>
        <w:t>Pheko</w:t>
      </w:r>
      <w:proofErr w:type="spellEnd"/>
      <w:r w:rsidRPr="00735EE9">
        <w:rPr>
          <w:rStyle w:val="Hyperlink1"/>
          <w:rFonts w:ascii="Arial" w:hAnsi="Arial" w:cs="Arial"/>
          <w:b/>
          <w:bCs/>
          <w:color w:val="auto"/>
          <w:sz w:val="19"/>
          <w:szCs w:val="19"/>
          <w:u w:val="none"/>
        </w:rPr>
        <w:t xml:space="preserve"> v Ekurhuleni Metropolitan Municipality</w:t>
      </w:r>
      <w:r w:rsidR="00735EE9">
        <w:rPr>
          <w:rStyle w:val="Hyperlink1"/>
          <w:rFonts w:ascii="Arial" w:hAnsi="Arial" w:cs="Arial"/>
          <w:color w:val="auto"/>
          <w:sz w:val="19"/>
          <w:szCs w:val="19"/>
          <w:u w:val="none"/>
        </w:rPr>
        <w:t xml:space="preserve"> supra at </w:t>
      </w:r>
      <w:r w:rsidRPr="00735EE9">
        <w:rPr>
          <w:rStyle w:val="Hyperlink1"/>
          <w:rFonts w:ascii="Arial" w:hAnsi="Arial" w:cs="Arial"/>
          <w:color w:val="auto"/>
          <w:sz w:val="19"/>
          <w:szCs w:val="19"/>
          <w:u w:val="none"/>
        </w:rPr>
        <w:t>para 28</w:t>
      </w:r>
    </w:p>
  </w:footnote>
  <w:footnote w:id="10">
    <w:p w14:paraId="0F4B7842" w14:textId="62EFA0C2" w:rsidR="00910FFD" w:rsidRPr="00CF25A3" w:rsidRDefault="00910FFD" w:rsidP="002D26AD">
      <w:pPr>
        <w:pStyle w:val="FootnoteText"/>
        <w:spacing w:afterLines="60" w:after="144"/>
        <w:ind w:left="360" w:hanging="360"/>
        <w:rPr>
          <w:rFonts w:ascii="Arial" w:hAnsi="Arial" w:cs="Arial"/>
        </w:rPr>
      </w:pPr>
      <w:r w:rsidRPr="00735EE9">
        <w:rPr>
          <w:rStyle w:val="FootnoteReference"/>
          <w:rFonts w:ascii="Arial" w:hAnsi="Arial" w:cs="Arial"/>
          <w:sz w:val="19"/>
          <w:szCs w:val="19"/>
        </w:rPr>
        <w:footnoteRef/>
      </w:r>
      <w:r w:rsidRPr="00735EE9">
        <w:rPr>
          <w:rFonts w:ascii="Arial" w:hAnsi="Arial" w:cs="Arial"/>
          <w:sz w:val="19"/>
          <w:szCs w:val="19"/>
        </w:rPr>
        <w:t xml:space="preserve"> </w:t>
      </w:r>
      <w:r w:rsidR="002D26AD" w:rsidRPr="00735EE9">
        <w:rPr>
          <w:rFonts w:ascii="Arial" w:hAnsi="Arial" w:cs="Arial"/>
          <w:sz w:val="19"/>
          <w:szCs w:val="19"/>
        </w:rPr>
        <w:tab/>
      </w:r>
      <w:proofErr w:type="spellStart"/>
      <w:r w:rsidRPr="00735EE9">
        <w:rPr>
          <w:rStyle w:val="Hyperlink1"/>
          <w:rFonts w:ascii="Arial" w:hAnsi="Arial" w:cs="Arial"/>
          <w:b/>
          <w:bCs/>
          <w:color w:val="auto"/>
          <w:sz w:val="19"/>
          <w:szCs w:val="19"/>
          <w:u w:val="none"/>
        </w:rPr>
        <w:t>Matjhabeng</w:t>
      </w:r>
      <w:proofErr w:type="spellEnd"/>
      <w:r w:rsidRPr="00735EE9">
        <w:rPr>
          <w:rFonts w:ascii="Arial" w:hAnsi="Arial" w:cs="Arial"/>
          <w:sz w:val="19"/>
          <w:szCs w:val="19"/>
        </w:rPr>
        <w:t xml:space="preserve"> </w:t>
      </w:r>
      <w:r w:rsidRPr="00735EE9">
        <w:rPr>
          <w:rFonts w:ascii="Arial" w:hAnsi="Arial" w:cs="Arial"/>
          <w:b/>
          <w:bCs/>
          <w:sz w:val="19"/>
          <w:szCs w:val="19"/>
        </w:rPr>
        <w:t xml:space="preserve">Local Municipality v Eskom Holdings Limited and Others; </w:t>
      </w:r>
      <w:proofErr w:type="spellStart"/>
      <w:r w:rsidRPr="00735EE9">
        <w:rPr>
          <w:rFonts w:ascii="Arial" w:hAnsi="Arial" w:cs="Arial"/>
          <w:b/>
          <w:bCs/>
          <w:sz w:val="19"/>
          <w:szCs w:val="19"/>
        </w:rPr>
        <w:t>Mkhonto</w:t>
      </w:r>
      <w:proofErr w:type="spellEnd"/>
      <w:r w:rsidRPr="00735EE9">
        <w:rPr>
          <w:rFonts w:ascii="Arial" w:hAnsi="Arial" w:cs="Arial"/>
          <w:b/>
          <w:bCs/>
          <w:sz w:val="19"/>
          <w:szCs w:val="19"/>
        </w:rPr>
        <w:t xml:space="preserve"> and Others </w:t>
      </w:r>
      <w:proofErr w:type="gramStart"/>
      <w:r w:rsidRPr="00735EE9">
        <w:rPr>
          <w:rFonts w:ascii="Arial" w:hAnsi="Arial" w:cs="Arial"/>
          <w:b/>
          <w:bCs/>
          <w:sz w:val="19"/>
          <w:szCs w:val="19"/>
        </w:rPr>
        <w:t>v</w:t>
      </w:r>
      <w:proofErr w:type="gramEnd"/>
      <w:r w:rsidRPr="00735EE9">
        <w:rPr>
          <w:rFonts w:ascii="Arial" w:hAnsi="Arial" w:cs="Arial"/>
          <w:b/>
          <w:bCs/>
          <w:sz w:val="19"/>
          <w:szCs w:val="19"/>
        </w:rPr>
        <w:t xml:space="preserve"> Compensation Solutions (Pty) Limited</w:t>
      </w:r>
      <w:r w:rsidRPr="00735EE9">
        <w:rPr>
          <w:rFonts w:ascii="Arial" w:hAnsi="Arial" w:cs="Arial"/>
          <w:sz w:val="19"/>
          <w:szCs w:val="19"/>
        </w:rPr>
        <w:t xml:space="preserve"> 2018 (1) SA 1 (CC)</w:t>
      </w:r>
    </w:p>
  </w:footnote>
  <w:footnote w:id="11">
    <w:p w14:paraId="5D513ED0" w14:textId="0863B0AF" w:rsidR="00910FFD" w:rsidRPr="00735EE9" w:rsidRDefault="00910FFD" w:rsidP="002D26AD">
      <w:pPr>
        <w:pStyle w:val="FootnoteText"/>
        <w:spacing w:afterLines="60" w:after="144"/>
        <w:ind w:left="360" w:hanging="360"/>
        <w:rPr>
          <w:rFonts w:ascii="Arial" w:hAnsi="Arial" w:cs="Arial"/>
          <w:sz w:val="19"/>
          <w:szCs w:val="19"/>
        </w:rPr>
      </w:pPr>
      <w:r w:rsidRPr="00735EE9">
        <w:rPr>
          <w:rStyle w:val="FootnoteReference"/>
          <w:rFonts w:ascii="Arial" w:hAnsi="Arial" w:cs="Arial"/>
          <w:sz w:val="19"/>
          <w:szCs w:val="19"/>
        </w:rPr>
        <w:footnoteRef/>
      </w:r>
      <w:r w:rsidRPr="00735EE9">
        <w:rPr>
          <w:rFonts w:ascii="Arial" w:hAnsi="Arial" w:cs="Arial"/>
          <w:sz w:val="19"/>
          <w:szCs w:val="19"/>
        </w:rPr>
        <w:t xml:space="preserve"> </w:t>
      </w:r>
      <w:r w:rsidR="002D26AD" w:rsidRPr="00735EE9">
        <w:rPr>
          <w:rFonts w:ascii="Arial" w:hAnsi="Arial" w:cs="Arial"/>
          <w:sz w:val="19"/>
          <w:szCs w:val="19"/>
        </w:rPr>
        <w:tab/>
      </w:r>
      <w:proofErr w:type="spellStart"/>
      <w:r w:rsidRPr="00735EE9">
        <w:rPr>
          <w:rStyle w:val="Hyperlink1"/>
          <w:rFonts w:ascii="Arial" w:hAnsi="Arial" w:cs="Arial"/>
          <w:b/>
          <w:bCs/>
          <w:color w:val="auto"/>
          <w:sz w:val="19"/>
          <w:szCs w:val="19"/>
          <w:u w:val="none"/>
        </w:rPr>
        <w:t>Matjhabeng</w:t>
      </w:r>
      <w:proofErr w:type="spellEnd"/>
      <w:r w:rsidRPr="00735EE9">
        <w:rPr>
          <w:rFonts w:ascii="Arial" w:hAnsi="Arial" w:cs="Arial"/>
          <w:b/>
          <w:bCs/>
          <w:sz w:val="19"/>
          <w:szCs w:val="19"/>
        </w:rPr>
        <w:t xml:space="preserve"> Local Municipality</w:t>
      </w:r>
      <w:r w:rsidRPr="00735EE9">
        <w:rPr>
          <w:rFonts w:ascii="Arial" w:hAnsi="Arial" w:cs="Arial"/>
          <w:sz w:val="19"/>
          <w:szCs w:val="19"/>
        </w:rPr>
        <w:t xml:space="preserve"> </w:t>
      </w:r>
      <w:r w:rsidR="00735EE9" w:rsidRPr="00735EE9">
        <w:rPr>
          <w:rFonts w:ascii="Arial" w:hAnsi="Arial" w:cs="Arial"/>
          <w:sz w:val="19"/>
          <w:szCs w:val="19"/>
        </w:rPr>
        <w:t xml:space="preserve">supra at </w:t>
      </w:r>
      <w:r w:rsidRPr="00735EE9">
        <w:rPr>
          <w:rFonts w:ascii="Arial" w:hAnsi="Arial" w:cs="Arial"/>
          <w:sz w:val="19"/>
          <w:szCs w:val="19"/>
        </w:rPr>
        <w:t>para 63</w:t>
      </w:r>
    </w:p>
  </w:footnote>
  <w:footnote w:id="12">
    <w:p w14:paraId="10E38C4E" w14:textId="3FE4521F" w:rsidR="00910FFD" w:rsidRPr="00735EE9" w:rsidRDefault="00910FFD" w:rsidP="00CF25A3">
      <w:pPr>
        <w:pStyle w:val="FootnoteText"/>
        <w:spacing w:afterLines="60" w:after="144"/>
        <w:ind w:left="360" w:hanging="360"/>
        <w:rPr>
          <w:rFonts w:ascii="Arial" w:hAnsi="Arial" w:cs="Arial"/>
          <w:sz w:val="19"/>
          <w:szCs w:val="19"/>
        </w:rPr>
      </w:pPr>
      <w:r w:rsidRPr="00735EE9">
        <w:rPr>
          <w:rStyle w:val="FootnoteReference"/>
          <w:rFonts w:ascii="Arial" w:hAnsi="Arial" w:cs="Arial"/>
          <w:sz w:val="19"/>
          <w:szCs w:val="19"/>
        </w:rPr>
        <w:footnoteRef/>
      </w:r>
      <w:r w:rsidRPr="00735EE9">
        <w:rPr>
          <w:rFonts w:ascii="Arial" w:hAnsi="Arial" w:cs="Arial"/>
          <w:sz w:val="19"/>
          <w:szCs w:val="19"/>
        </w:rPr>
        <w:t xml:space="preserve"> </w:t>
      </w:r>
      <w:r w:rsidR="00CF25A3" w:rsidRPr="00735EE9">
        <w:rPr>
          <w:rFonts w:ascii="Arial" w:hAnsi="Arial" w:cs="Arial"/>
          <w:sz w:val="19"/>
          <w:szCs w:val="19"/>
        </w:rPr>
        <w:tab/>
      </w:r>
      <w:proofErr w:type="spellStart"/>
      <w:r w:rsidRPr="00735EE9">
        <w:rPr>
          <w:rStyle w:val="Hyperlink1"/>
          <w:rFonts w:ascii="Arial" w:hAnsi="Arial" w:cs="Arial"/>
          <w:b/>
          <w:bCs/>
          <w:color w:val="auto"/>
          <w:sz w:val="19"/>
          <w:szCs w:val="19"/>
          <w:u w:val="none"/>
        </w:rPr>
        <w:t>Matjhabeng</w:t>
      </w:r>
      <w:proofErr w:type="spellEnd"/>
      <w:r w:rsidRPr="00735EE9">
        <w:rPr>
          <w:rFonts w:ascii="Arial" w:hAnsi="Arial" w:cs="Arial"/>
          <w:b/>
          <w:bCs/>
          <w:sz w:val="19"/>
          <w:szCs w:val="19"/>
        </w:rPr>
        <w:t xml:space="preserve"> Local Municipality</w:t>
      </w:r>
      <w:r w:rsidRPr="00735EE9">
        <w:rPr>
          <w:rFonts w:ascii="Arial" w:hAnsi="Arial" w:cs="Arial"/>
          <w:sz w:val="19"/>
          <w:szCs w:val="19"/>
        </w:rPr>
        <w:t xml:space="preserve"> </w:t>
      </w:r>
      <w:r w:rsidR="00735EE9" w:rsidRPr="00735EE9">
        <w:rPr>
          <w:rFonts w:ascii="Arial" w:hAnsi="Arial" w:cs="Arial"/>
          <w:sz w:val="19"/>
          <w:szCs w:val="19"/>
        </w:rPr>
        <w:t xml:space="preserve">supra at </w:t>
      </w:r>
      <w:r w:rsidRPr="00735EE9">
        <w:rPr>
          <w:rFonts w:ascii="Arial" w:hAnsi="Arial" w:cs="Arial"/>
          <w:sz w:val="19"/>
          <w:szCs w:val="19"/>
        </w:rPr>
        <w:t>paras 63 and 73</w:t>
      </w:r>
    </w:p>
  </w:footnote>
  <w:footnote w:id="13">
    <w:p w14:paraId="0990F022" w14:textId="4FA3247A" w:rsidR="00483573" w:rsidRPr="00735EE9" w:rsidRDefault="00483573" w:rsidP="00483573">
      <w:pPr>
        <w:pStyle w:val="FootnoteText"/>
        <w:spacing w:afterLines="60" w:after="144"/>
        <w:ind w:left="360" w:hanging="360"/>
        <w:rPr>
          <w:rFonts w:ascii="Arial" w:hAnsi="Arial" w:cs="Arial"/>
          <w:sz w:val="19"/>
          <w:szCs w:val="19"/>
          <w:lang w:val="en-US"/>
        </w:rPr>
      </w:pPr>
      <w:r w:rsidRPr="00735EE9">
        <w:rPr>
          <w:rStyle w:val="FootnoteReference"/>
          <w:rFonts w:ascii="Arial" w:hAnsi="Arial" w:cs="Arial"/>
          <w:sz w:val="19"/>
          <w:szCs w:val="19"/>
        </w:rPr>
        <w:footnoteRef/>
      </w:r>
      <w:r w:rsidRPr="00735EE9">
        <w:rPr>
          <w:rFonts w:ascii="Arial" w:hAnsi="Arial" w:cs="Arial"/>
          <w:sz w:val="19"/>
          <w:szCs w:val="19"/>
        </w:rPr>
        <w:t xml:space="preserve"> </w:t>
      </w:r>
      <w:r w:rsidRPr="00735EE9">
        <w:rPr>
          <w:rFonts w:ascii="Arial" w:hAnsi="Arial" w:cs="Arial"/>
          <w:sz w:val="19"/>
          <w:szCs w:val="19"/>
        </w:rPr>
        <w:tab/>
        <w:t xml:space="preserve">See </w:t>
      </w:r>
      <w:proofErr w:type="spellStart"/>
      <w:r w:rsidRPr="00735EE9">
        <w:rPr>
          <w:rFonts w:ascii="Arial" w:hAnsi="Arial" w:cs="Arial"/>
          <w:b/>
          <w:bCs/>
          <w:sz w:val="19"/>
          <w:szCs w:val="19"/>
        </w:rPr>
        <w:t>Fakie</w:t>
      </w:r>
      <w:proofErr w:type="spellEnd"/>
      <w:r w:rsidRPr="00735EE9">
        <w:rPr>
          <w:rFonts w:ascii="Arial" w:hAnsi="Arial" w:cs="Arial"/>
          <w:b/>
          <w:bCs/>
          <w:sz w:val="19"/>
          <w:szCs w:val="19"/>
        </w:rPr>
        <w:t xml:space="preserve"> NO v CCII Systems (Pty) Ltd</w:t>
      </w:r>
      <w:r w:rsidR="00735EE9" w:rsidRPr="00735EE9">
        <w:rPr>
          <w:rFonts w:ascii="Arial" w:hAnsi="Arial" w:cs="Arial"/>
          <w:sz w:val="19"/>
          <w:szCs w:val="19"/>
        </w:rPr>
        <w:t xml:space="preserve"> supra at </w:t>
      </w:r>
      <w:r w:rsidRPr="00735EE9">
        <w:rPr>
          <w:rFonts w:ascii="Arial" w:hAnsi="Arial" w:cs="Arial"/>
          <w:sz w:val="19"/>
          <w:szCs w:val="19"/>
          <w:lang w:val="af-ZA"/>
        </w:rPr>
        <w:t>para 14</w:t>
      </w:r>
      <w:r w:rsidRPr="00735EE9">
        <w:rPr>
          <w:rFonts w:ascii="Arial" w:hAnsi="Arial" w:cs="Arial"/>
          <w:b/>
          <w:bCs/>
          <w:sz w:val="19"/>
          <w:szCs w:val="19"/>
          <w:lang w:val="af-ZA"/>
        </w:rPr>
        <w:t xml:space="preserve"> </w:t>
      </w:r>
      <w:r w:rsidRPr="00735EE9">
        <w:rPr>
          <w:rFonts w:ascii="Arial" w:hAnsi="Arial" w:cs="Arial"/>
          <w:sz w:val="19"/>
          <w:szCs w:val="19"/>
          <w:lang w:val="af-ZA"/>
        </w:rPr>
        <w:t>and</w:t>
      </w:r>
      <w:r w:rsidRPr="00735EE9">
        <w:rPr>
          <w:rFonts w:ascii="Arial" w:hAnsi="Arial" w:cs="Arial"/>
          <w:b/>
          <w:bCs/>
          <w:sz w:val="19"/>
          <w:szCs w:val="19"/>
          <w:lang w:val="af-ZA"/>
        </w:rPr>
        <w:t xml:space="preserve"> Matjhabeng Local Municipality </w:t>
      </w:r>
      <w:r w:rsidR="00735EE9" w:rsidRPr="00735EE9">
        <w:rPr>
          <w:rFonts w:ascii="Arial" w:hAnsi="Arial" w:cs="Arial"/>
          <w:sz w:val="19"/>
          <w:szCs w:val="19"/>
          <w:lang w:val="af-ZA"/>
        </w:rPr>
        <w:t>supra at</w:t>
      </w:r>
      <w:r w:rsidR="00735EE9" w:rsidRPr="00735EE9">
        <w:rPr>
          <w:rFonts w:ascii="Arial" w:hAnsi="Arial" w:cs="Arial"/>
          <w:b/>
          <w:bCs/>
          <w:sz w:val="19"/>
          <w:szCs w:val="19"/>
          <w:lang w:val="af-ZA"/>
        </w:rPr>
        <w:t xml:space="preserve"> </w:t>
      </w:r>
      <w:r w:rsidRPr="00735EE9">
        <w:rPr>
          <w:rFonts w:ascii="Arial" w:hAnsi="Arial" w:cs="Arial"/>
          <w:sz w:val="19"/>
          <w:szCs w:val="19"/>
          <w:lang w:val="af-ZA"/>
        </w:rPr>
        <w:t>paras 67 and 85-88</w:t>
      </w:r>
    </w:p>
  </w:footnote>
  <w:footnote w:id="14">
    <w:p w14:paraId="60464737" w14:textId="1D7D5CC0" w:rsidR="00483573" w:rsidRPr="00735EE9" w:rsidRDefault="00483573" w:rsidP="00483573">
      <w:pPr>
        <w:pStyle w:val="FootnoteText"/>
        <w:spacing w:afterLines="60" w:after="144"/>
        <w:ind w:left="360" w:hanging="360"/>
        <w:rPr>
          <w:rFonts w:ascii="Arial" w:hAnsi="Arial" w:cs="Arial"/>
          <w:sz w:val="19"/>
          <w:szCs w:val="19"/>
          <w:lang w:val="en-US"/>
        </w:rPr>
      </w:pPr>
      <w:r w:rsidRPr="00735EE9">
        <w:rPr>
          <w:rStyle w:val="FootnoteReference"/>
          <w:rFonts w:ascii="Arial" w:hAnsi="Arial" w:cs="Arial"/>
          <w:sz w:val="19"/>
          <w:szCs w:val="19"/>
        </w:rPr>
        <w:footnoteRef/>
      </w:r>
      <w:r w:rsidRPr="00735EE9">
        <w:rPr>
          <w:rFonts w:ascii="Arial" w:hAnsi="Arial" w:cs="Arial"/>
          <w:sz w:val="19"/>
          <w:szCs w:val="19"/>
        </w:rPr>
        <w:t xml:space="preserve"> </w:t>
      </w:r>
      <w:r w:rsidRPr="00735EE9">
        <w:rPr>
          <w:rFonts w:ascii="Arial" w:hAnsi="Arial" w:cs="Arial"/>
          <w:sz w:val="19"/>
          <w:szCs w:val="19"/>
        </w:rPr>
        <w:tab/>
      </w:r>
      <w:r w:rsidRPr="00735EE9">
        <w:rPr>
          <w:rFonts w:ascii="Arial" w:hAnsi="Arial" w:cs="Arial"/>
          <w:b/>
          <w:bCs/>
          <w:sz w:val="19"/>
          <w:szCs w:val="19"/>
        </w:rPr>
        <w:t>Gauteng Gambling Board and Another v MEC for Economic Development, Gauteng</w:t>
      </w:r>
      <w:r w:rsidRPr="00735EE9">
        <w:rPr>
          <w:rFonts w:ascii="Arial" w:hAnsi="Arial" w:cs="Arial"/>
          <w:sz w:val="19"/>
          <w:szCs w:val="19"/>
        </w:rPr>
        <w:t xml:space="preserve"> </w:t>
      </w:r>
      <w:hyperlink r:id="rId4" w:tooltip="View LawCiteRecord" w:history="1">
        <w:r w:rsidRPr="00735EE9">
          <w:rPr>
            <w:rStyle w:val="Hyperlink1"/>
            <w:rFonts w:ascii="Arial" w:hAnsi="Arial" w:cs="Arial"/>
            <w:color w:val="auto"/>
            <w:sz w:val="19"/>
            <w:szCs w:val="19"/>
            <w:u w:val="none"/>
          </w:rPr>
          <w:t>2013 (5) SA 24</w:t>
        </w:r>
      </w:hyperlink>
      <w:r w:rsidRPr="00735EE9">
        <w:rPr>
          <w:rFonts w:ascii="Arial" w:hAnsi="Arial" w:cs="Arial"/>
          <w:sz w:val="19"/>
          <w:szCs w:val="19"/>
        </w:rPr>
        <w:t xml:space="preserve"> (SCA) para 51</w:t>
      </w:r>
    </w:p>
  </w:footnote>
  <w:footnote w:id="15">
    <w:p w14:paraId="0326E260" w14:textId="34AB39F0" w:rsidR="00483573" w:rsidRPr="00DC07E3" w:rsidRDefault="00483573" w:rsidP="00483573">
      <w:pPr>
        <w:pStyle w:val="FootnoteText"/>
        <w:spacing w:afterLines="60" w:after="144"/>
        <w:ind w:left="360" w:hanging="360"/>
        <w:rPr>
          <w:rFonts w:ascii="Arial" w:hAnsi="Arial" w:cs="Arial"/>
          <w:lang w:val="en-US"/>
        </w:rPr>
      </w:pPr>
      <w:r w:rsidRPr="00735EE9">
        <w:rPr>
          <w:rStyle w:val="FootnoteReference"/>
          <w:rFonts w:ascii="Arial" w:hAnsi="Arial" w:cs="Arial"/>
          <w:sz w:val="19"/>
          <w:szCs w:val="19"/>
        </w:rPr>
        <w:footnoteRef/>
      </w:r>
      <w:r w:rsidRPr="00735EE9">
        <w:rPr>
          <w:rFonts w:ascii="Arial" w:hAnsi="Arial" w:cs="Arial"/>
          <w:sz w:val="19"/>
          <w:szCs w:val="19"/>
        </w:rPr>
        <w:t xml:space="preserve"> </w:t>
      </w:r>
      <w:r w:rsidRPr="00735EE9">
        <w:rPr>
          <w:rFonts w:ascii="Arial" w:hAnsi="Arial" w:cs="Arial"/>
          <w:sz w:val="19"/>
          <w:szCs w:val="19"/>
        </w:rPr>
        <w:tab/>
      </w:r>
      <w:proofErr w:type="spellStart"/>
      <w:r w:rsidRPr="00735EE9">
        <w:rPr>
          <w:rFonts w:ascii="Arial" w:hAnsi="Arial" w:cs="Arial"/>
          <w:b/>
          <w:bCs/>
          <w:sz w:val="19"/>
          <w:szCs w:val="19"/>
        </w:rPr>
        <w:t>Pheko</w:t>
      </w:r>
      <w:proofErr w:type="spellEnd"/>
      <w:r w:rsidRPr="00735EE9">
        <w:rPr>
          <w:rFonts w:ascii="Arial" w:hAnsi="Arial" w:cs="Arial"/>
          <w:b/>
          <w:bCs/>
          <w:sz w:val="19"/>
          <w:szCs w:val="19"/>
        </w:rPr>
        <w:t xml:space="preserve"> </w:t>
      </w:r>
      <w:r w:rsidR="00735EE9">
        <w:rPr>
          <w:rFonts w:ascii="Arial" w:hAnsi="Arial" w:cs="Arial"/>
          <w:b/>
          <w:bCs/>
          <w:sz w:val="19"/>
          <w:szCs w:val="19"/>
        </w:rPr>
        <w:t xml:space="preserve">and Others </w:t>
      </w:r>
      <w:r w:rsidRPr="00735EE9">
        <w:rPr>
          <w:rFonts w:ascii="Arial" w:hAnsi="Arial" w:cs="Arial"/>
          <w:b/>
          <w:bCs/>
          <w:sz w:val="19"/>
          <w:szCs w:val="19"/>
        </w:rPr>
        <w:t xml:space="preserve">v Ekurhuleni </w:t>
      </w:r>
      <w:r w:rsidR="00735EE9">
        <w:rPr>
          <w:rFonts w:ascii="Arial" w:hAnsi="Arial" w:cs="Arial"/>
          <w:b/>
          <w:bCs/>
          <w:sz w:val="19"/>
          <w:szCs w:val="19"/>
        </w:rPr>
        <w:t xml:space="preserve">Metropolitan Municipality </w:t>
      </w:r>
      <w:r w:rsidRPr="00735EE9">
        <w:rPr>
          <w:rFonts w:ascii="Arial" w:hAnsi="Arial" w:cs="Arial"/>
          <w:b/>
          <w:bCs/>
          <w:sz w:val="19"/>
          <w:szCs w:val="19"/>
        </w:rPr>
        <w:t>City</w:t>
      </w:r>
      <w:r w:rsidRPr="00735EE9">
        <w:rPr>
          <w:rFonts w:ascii="Arial" w:hAnsi="Arial" w:cs="Arial"/>
          <w:sz w:val="19"/>
          <w:szCs w:val="19"/>
        </w:rPr>
        <w:t xml:space="preserve"> </w:t>
      </w:r>
      <w:r w:rsidR="00735EE9">
        <w:rPr>
          <w:rFonts w:ascii="Arial" w:hAnsi="Arial" w:cs="Arial"/>
          <w:sz w:val="19"/>
          <w:szCs w:val="19"/>
        </w:rPr>
        <w:t xml:space="preserve">supra </w:t>
      </w:r>
      <w:r w:rsidRPr="00735EE9">
        <w:rPr>
          <w:rFonts w:ascii="Arial" w:hAnsi="Arial" w:cs="Arial"/>
          <w:sz w:val="19"/>
          <w:szCs w:val="19"/>
        </w:rPr>
        <w:t>para 37</w:t>
      </w:r>
    </w:p>
  </w:footnote>
  <w:footnote w:id="16">
    <w:p w14:paraId="2D3A4E4B" w14:textId="720B334B" w:rsidR="00DD05CA" w:rsidRPr="00787ABF" w:rsidRDefault="00DD05CA" w:rsidP="00CF25A3">
      <w:pPr>
        <w:pStyle w:val="FootnoteText"/>
        <w:spacing w:afterLines="60" w:after="144"/>
        <w:ind w:left="360" w:hanging="360"/>
        <w:rPr>
          <w:rFonts w:ascii="Helvetica" w:hAnsi="Helvetica" w:cs="Helvetica"/>
        </w:rPr>
      </w:pPr>
      <w:r w:rsidRPr="00787ABF">
        <w:rPr>
          <w:rStyle w:val="FootnoteReference"/>
          <w:rFonts w:ascii="Helvetica" w:hAnsi="Helvetica" w:cs="Helvetica"/>
        </w:rPr>
        <w:footnoteRef/>
      </w:r>
      <w:r w:rsidRPr="00787ABF">
        <w:rPr>
          <w:rFonts w:ascii="Helvetica" w:hAnsi="Helvetica" w:cs="Helvetica"/>
        </w:rPr>
        <w:t xml:space="preserve"> </w:t>
      </w:r>
      <w:bookmarkStart w:id="12" w:name="_Hlk112752108"/>
      <w:r w:rsidR="00CF25A3">
        <w:rPr>
          <w:rFonts w:ascii="Helvetica" w:hAnsi="Helvetica" w:cs="Helvetica"/>
        </w:rPr>
        <w:tab/>
      </w:r>
      <w:r w:rsidRPr="00CF25A3">
        <w:rPr>
          <w:rFonts w:ascii="Arial" w:hAnsi="Arial" w:cs="Arial"/>
          <w:b/>
          <w:bCs/>
        </w:rPr>
        <w:t>Consolidated</w:t>
      </w:r>
      <w:r w:rsidRPr="00787ABF">
        <w:rPr>
          <w:rFonts w:ascii="Helvetica" w:hAnsi="Helvetica" w:cs="Helvetica"/>
          <w:b/>
          <w:bCs/>
        </w:rPr>
        <w:t xml:space="preserve"> Fish Distributors (Pty) Ltd v </w:t>
      </w:r>
      <w:proofErr w:type="spellStart"/>
      <w:r w:rsidRPr="00787ABF">
        <w:rPr>
          <w:rFonts w:ascii="Helvetica" w:hAnsi="Helvetica" w:cs="Helvetica"/>
          <w:b/>
          <w:bCs/>
        </w:rPr>
        <w:t>Zive</w:t>
      </w:r>
      <w:proofErr w:type="spellEnd"/>
      <w:r w:rsidRPr="00787ABF">
        <w:rPr>
          <w:rFonts w:ascii="Helvetica" w:hAnsi="Helvetica" w:cs="Helvetica"/>
        </w:rPr>
        <w:t xml:space="preserve"> 1968 (2) SA 517 (C)</w:t>
      </w:r>
      <w:bookmarkEnd w:id="12"/>
    </w:p>
  </w:footnote>
  <w:footnote w:id="17">
    <w:p w14:paraId="7A4B08E1" w14:textId="58B813E5" w:rsidR="005A4329" w:rsidRPr="005A4329" w:rsidRDefault="005A4329" w:rsidP="005A4329">
      <w:pPr>
        <w:pStyle w:val="FootnoteText"/>
        <w:spacing w:afterLines="60" w:after="144"/>
        <w:ind w:left="360" w:hanging="360"/>
        <w:rPr>
          <w:rFonts w:ascii="Arial" w:hAnsi="Arial" w:cs="Arial"/>
          <w:sz w:val="19"/>
          <w:szCs w:val="19"/>
        </w:rPr>
      </w:pPr>
      <w:r w:rsidRPr="005A4329">
        <w:rPr>
          <w:rStyle w:val="FootnoteReference"/>
          <w:rFonts w:ascii="Arial" w:hAnsi="Arial" w:cs="Arial"/>
          <w:sz w:val="19"/>
          <w:szCs w:val="19"/>
        </w:rPr>
        <w:footnoteRef/>
      </w:r>
      <w:r w:rsidRPr="005A4329">
        <w:rPr>
          <w:rFonts w:ascii="Arial" w:hAnsi="Arial" w:cs="Arial"/>
          <w:sz w:val="19"/>
          <w:szCs w:val="19"/>
        </w:rPr>
        <w:t xml:space="preserve"> </w:t>
      </w:r>
      <w:r>
        <w:rPr>
          <w:rFonts w:ascii="Arial" w:hAnsi="Arial" w:cs="Arial"/>
          <w:sz w:val="19"/>
          <w:szCs w:val="19"/>
        </w:rPr>
        <w:tab/>
      </w:r>
      <w:r w:rsidRPr="005A4329">
        <w:rPr>
          <w:rFonts w:ascii="Arial" w:hAnsi="Arial" w:cs="Arial"/>
          <w:sz w:val="19"/>
          <w:szCs w:val="19"/>
        </w:rPr>
        <w:t xml:space="preserve">See </w:t>
      </w:r>
      <w:proofErr w:type="spellStart"/>
      <w:r w:rsidRPr="005A4329">
        <w:rPr>
          <w:rFonts w:ascii="Arial" w:hAnsi="Arial" w:cs="Arial"/>
          <w:b/>
          <w:bCs/>
          <w:sz w:val="19"/>
          <w:szCs w:val="19"/>
        </w:rPr>
        <w:t>Fakie</w:t>
      </w:r>
      <w:proofErr w:type="spellEnd"/>
      <w:r w:rsidRPr="005A4329">
        <w:rPr>
          <w:rFonts w:ascii="Arial" w:hAnsi="Arial" w:cs="Arial"/>
          <w:b/>
          <w:bCs/>
          <w:sz w:val="19"/>
          <w:szCs w:val="19"/>
        </w:rPr>
        <w:t xml:space="preserve"> N.O</w:t>
      </w:r>
      <w:r w:rsidRPr="005A4329">
        <w:rPr>
          <w:rFonts w:ascii="Arial" w:hAnsi="Arial" w:cs="Arial"/>
          <w:sz w:val="19"/>
          <w:szCs w:val="19"/>
        </w:rPr>
        <w:t>. supra</w:t>
      </w:r>
    </w:p>
  </w:footnote>
  <w:footnote w:id="18">
    <w:p w14:paraId="510B6576" w14:textId="7418203A" w:rsidR="009E415A" w:rsidRDefault="009E415A" w:rsidP="00EE47A7">
      <w:pPr>
        <w:pStyle w:val="FootnoteText"/>
        <w:spacing w:afterLines="60" w:after="144"/>
        <w:ind w:left="360" w:hanging="360"/>
      </w:pPr>
      <w:r w:rsidRPr="002F10E4">
        <w:rPr>
          <w:rStyle w:val="FootnoteReference"/>
          <w:rFonts w:ascii="Arial" w:hAnsi="Arial" w:cs="Arial"/>
        </w:rPr>
        <w:footnoteRef/>
      </w:r>
      <w:r w:rsidRPr="002F10E4">
        <w:t xml:space="preserve"> </w:t>
      </w:r>
      <w:r w:rsidR="00EE47A7" w:rsidRPr="00D2794D">
        <w:rPr>
          <w:rFonts w:ascii="Arial" w:hAnsi="Arial" w:cs="Arial"/>
          <w:sz w:val="19"/>
          <w:szCs w:val="19"/>
        </w:rPr>
        <w:tab/>
      </w:r>
      <w:proofErr w:type="spellStart"/>
      <w:r w:rsidRPr="00D2794D">
        <w:rPr>
          <w:rFonts w:ascii="Arial" w:hAnsi="Arial" w:cs="Arial"/>
          <w:b/>
          <w:bCs/>
          <w:sz w:val="19"/>
          <w:szCs w:val="19"/>
        </w:rPr>
        <w:t>Pheko</w:t>
      </w:r>
      <w:proofErr w:type="spellEnd"/>
      <w:r w:rsidRPr="00D2794D">
        <w:rPr>
          <w:rFonts w:ascii="Arial" w:hAnsi="Arial" w:cs="Arial"/>
          <w:i/>
          <w:sz w:val="19"/>
          <w:szCs w:val="19"/>
        </w:rPr>
        <w:t xml:space="preserve"> </w:t>
      </w:r>
      <w:r w:rsidR="00D2794D" w:rsidRPr="00D2794D">
        <w:rPr>
          <w:rFonts w:ascii="Arial" w:hAnsi="Arial" w:cs="Arial"/>
          <w:sz w:val="19"/>
          <w:szCs w:val="19"/>
        </w:rPr>
        <w:t>supra p</w:t>
      </w:r>
      <w:r w:rsidRPr="00D2794D">
        <w:rPr>
          <w:rFonts w:ascii="Arial" w:hAnsi="Arial" w:cs="Arial"/>
          <w:sz w:val="19"/>
          <w:szCs w:val="19"/>
        </w:rPr>
        <w:t>ara 42</w:t>
      </w:r>
    </w:p>
  </w:footnote>
  <w:footnote w:id="19">
    <w:p w14:paraId="55DA8E93" w14:textId="70DBD265" w:rsidR="00D61BFF" w:rsidRPr="00EE47A7" w:rsidRDefault="00D61BFF" w:rsidP="00EE47A7">
      <w:pPr>
        <w:pStyle w:val="FootnoteText"/>
        <w:spacing w:afterLines="60" w:after="144"/>
        <w:ind w:left="360" w:hanging="360"/>
        <w:rPr>
          <w:rFonts w:ascii="Arial" w:hAnsi="Arial" w:cs="Arial"/>
          <w:sz w:val="19"/>
          <w:szCs w:val="19"/>
        </w:rPr>
      </w:pPr>
      <w:r w:rsidRPr="00EE47A7">
        <w:rPr>
          <w:rStyle w:val="FootnoteReference"/>
          <w:rFonts w:ascii="Arial" w:hAnsi="Arial" w:cs="Arial"/>
          <w:sz w:val="19"/>
          <w:szCs w:val="19"/>
        </w:rPr>
        <w:footnoteRef/>
      </w:r>
      <w:r w:rsidRPr="00EE47A7">
        <w:rPr>
          <w:rFonts w:ascii="Arial" w:hAnsi="Arial" w:cs="Arial"/>
          <w:sz w:val="19"/>
          <w:szCs w:val="19"/>
        </w:rPr>
        <w:t xml:space="preserve"> </w:t>
      </w:r>
      <w:r w:rsidR="00EE47A7" w:rsidRPr="00EE47A7">
        <w:rPr>
          <w:rFonts w:ascii="Arial" w:hAnsi="Arial" w:cs="Arial"/>
          <w:sz w:val="19"/>
          <w:szCs w:val="19"/>
        </w:rPr>
        <w:tab/>
      </w:r>
      <w:r w:rsidRPr="00EE47A7">
        <w:rPr>
          <w:rFonts w:ascii="Arial" w:hAnsi="Arial" w:cs="Arial"/>
          <w:sz w:val="19"/>
          <w:szCs w:val="19"/>
        </w:rPr>
        <w:t xml:space="preserve">See The Supreme Court of Namibia decision per </w:t>
      </w:r>
      <w:proofErr w:type="spellStart"/>
      <w:r w:rsidRPr="00EE47A7">
        <w:rPr>
          <w:rFonts w:ascii="Arial" w:hAnsi="Arial" w:cs="Arial"/>
          <w:sz w:val="19"/>
          <w:szCs w:val="19"/>
        </w:rPr>
        <w:t>Ngcobo</w:t>
      </w:r>
      <w:proofErr w:type="spellEnd"/>
      <w:r w:rsidRPr="00EE47A7">
        <w:rPr>
          <w:rFonts w:ascii="Arial" w:hAnsi="Arial" w:cs="Arial"/>
          <w:sz w:val="19"/>
          <w:szCs w:val="19"/>
        </w:rPr>
        <w:t xml:space="preserve"> AJA in </w:t>
      </w:r>
      <w:proofErr w:type="spellStart"/>
      <w:r w:rsidRPr="00EE47A7">
        <w:rPr>
          <w:rFonts w:ascii="Arial" w:hAnsi="Arial" w:cs="Arial"/>
          <w:b/>
          <w:bCs/>
          <w:sz w:val="19"/>
          <w:szCs w:val="19"/>
        </w:rPr>
        <w:t>Aussenkehr</w:t>
      </w:r>
      <w:proofErr w:type="spellEnd"/>
      <w:r w:rsidRPr="00EE47A7">
        <w:rPr>
          <w:rFonts w:ascii="Arial" w:hAnsi="Arial" w:cs="Arial"/>
          <w:b/>
          <w:bCs/>
          <w:sz w:val="19"/>
          <w:szCs w:val="19"/>
        </w:rPr>
        <w:t xml:space="preserve"> Farms (Pty) Ltd v Namibia Development Corporation Ltd</w:t>
      </w:r>
      <w:r w:rsidRPr="00EE47A7">
        <w:rPr>
          <w:rFonts w:ascii="Arial" w:hAnsi="Arial" w:cs="Arial"/>
          <w:sz w:val="19"/>
          <w:szCs w:val="19"/>
        </w:rPr>
        <w:t xml:space="preserve"> (SA 23/ 2010) [2012] NASC 15 (13 August 2012) at paragraphs [18] to [22] http://www.saflii.org/na/cases/NASC/2012/15.html.</w:t>
      </w:r>
    </w:p>
  </w:footnote>
  <w:footnote w:id="20">
    <w:p w14:paraId="24AB990B" w14:textId="3C23706A" w:rsidR="00D61BFF" w:rsidRPr="00EE47A7" w:rsidRDefault="00D61BFF" w:rsidP="00EE47A7">
      <w:pPr>
        <w:pStyle w:val="FootnoteText"/>
        <w:spacing w:afterLines="60" w:after="144"/>
        <w:ind w:left="360" w:hanging="360"/>
        <w:rPr>
          <w:rFonts w:ascii="Arial" w:hAnsi="Arial" w:cs="Arial"/>
          <w:sz w:val="19"/>
          <w:szCs w:val="19"/>
        </w:rPr>
      </w:pPr>
      <w:r w:rsidRPr="00EE47A7">
        <w:rPr>
          <w:rStyle w:val="FootnoteReference"/>
          <w:rFonts w:ascii="Arial" w:hAnsi="Arial" w:cs="Arial"/>
          <w:sz w:val="19"/>
          <w:szCs w:val="19"/>
        </w:rPr>
        <w:footnoteRef/>
      </w:r>
      <w:r w:rsidRPr="00EE47A7">
        <w:rPr>
          <w:rFonts w:ascii="Arial" w:hAnsi="Arial" w:cs="Arial"/>
          <w:sz w:val="19"/>
          <w:szCs w:val="19"/>
        </w:rPr>
        <w:t xml:space="preserve"> </w:t>
      </w:r>
      <w:r w:rsidR="00EE47A7" w:rsidRPr="00EE47A7">
        <w:rPr>
          <w:rFonts w:ascii="Arial" w:hAnsi="Arial" w:cs="Arial"/>
          <w:sz w:val="19"/>
          <w:szCs w:val="19"/>
        </w:rPr>
        <w:tab/>
      </w:r>
      <w:proofErr w:type="spellStart"/>
      <w:r w:rsidRPr="00EE47A7">
        <w:rPr>
          <w:rFonts w:ascii="Arial" w:hAnsi="Arial" w:cs="Arial"/>
          <w:b/>
          <w:bCs/>
          <w:sz w:val="19"/>
          <w:szCs w:val="19"/>
        </w:rPr>
        <w:t>Beinash</w:t>
      </w:r>
      <w:proofErr w:type="spellEnd"/>
      <w:r w:rsidRPr="00EE47A7">
        <w:rPr>
          <w:rFonts w:ascii="Arial" w:hAnsi="Arial" w:cs="Arial"/>
          <w:b/>
          <w:bCs/>
          <w:sz w:val="19"/>
          <w:szCs w:val="19"/>
        </w:rPr>
        <w:t xml:space="preserve"> v </w:t>
      </w:r>
      <w:proofErr w:type="spellStart"/>
      <w:r w:rsidRPr="00EE47A7">
        <w:rPr>
          <w:rFonts w:ascii="Arial" w:hAnsi="Arial" w:cs="Arial"/>
          <w:b/>
          <w:bCs/>
          <w:sz w:val="19"/>
          <w:szCs w:val="19"/>
        </w:rPr>
        <w:t>Wixley</w:t>
      </w:r>
      <w:proofErr w:type="spellEnd"/>
      <w:r w:rsidRPr="00EE47A7">
        <w:rPr>
          <w:rFonts w:ascii="Arial" w:hAnsi="Arial" w:cs="Arial"/>
          <w:sz w:val="19"/>
          <w:szCs w:val="19"/>
        </w:rPr>
        <w:t xml:space="preserve"> 1997 (3) SA 721 (SCA) at 734C-G and </w:t>
      </w:r>
      <w:r w:rsidRPr="00EE47A7">
        <w:rPr>
          <w:rFonts w:ascii="Arial" w:hAnsi="Arial" w:cs="Arial"/>
          <w:b/>
          <w:bCs/>
          <w:sz w:val="19"/>
          <w:szCs w:val="19"/>
        </w:rPr>
        <w:t>Western Assurance Co v Caldwell’s Trustees</w:t>
      </w:r>
      <w:r w:rsidRPr="00EE47A7">
        <w:rPr>
          <w:rFonts w:ascii="Arial" w:hAnsi="Arial" w:cs="Arial"/>
          <w:sz w:val="19"/>
          <w:szCs w:val="19"/>
        </w:rPr>
        <w:t xml:space="preserve"> 1918 AD 262 at 272.</w:t>
      </w:r>
    </w:p>
  </w:footnote>
  <w:footnote w:id="21">
    <w:p w14:paraId="0D7DA33F" w14:textId="35EFE635" w:rsidR="00D61BFF" w:rsidRPr="00EE47A7" w:rsidRDefault="00D61BFF" w:rsidP="00EE47A7">
      <w:pPr>
        <w:pStyle w:val="FootnoteText"/>
        <w:spacing w:afterLines="60" w:after="144"/>
        <w:ind w:left="360" w:hanging="360"/>
        <w:rPr>
          <w:rFonts w:ascii="Arial" w:hAnsi="Arial" w:cs="Arial"/>
          <w:sz w:val="19"/>
          <w:szCs w:val="19"/>
        </w:rPr>
      </w:pPr>
      <w:r w:rsidRPr="00EE47A7">
        <w:rPr>
          <w:rStyle w:val="FootnoteReference"/>
          <w:rFonts w:ascii="Arial" w:hAnsi="Arial" w:cs="Arial"/>
          <w:sz w:val="19"/>
          <w:szCs w:val="19"/>
        </w:rPr>
        <w:footnoteRef/>
      </w:r>
      <w:r w:rsidRPr="00EE47A7">
        <w:rPr>
          <w:rFonts w:ascii="Arial" w:hAnsi="Arial" w:cs="Arial"/>
          <w:sz w:val="19"/>
          <w:szCs w:val="19"/>
        </w:rPr>
        <w:t xml:space="preserve"> </w:t>
      </w:r>
      <w:r w:rsidR="00EE47A7" w:rsidRPr="00EE47A7">
        <w:rPr>
          <w:rFonts w:ascii="Arial" w:hAnsi="Arial" w:cs="Arial"/>
          <w:sz w:val="19"/>
          <w:szCs w:val="19"/>
        </w:rPr>
        <w:tab/>
      </w:r>
      <w:r w:rsidRPr="00EE47A7">
        <w:rPr>
          <w:rFonts w:ascii="Arial" w:hAnsi="Arial" w:cs="Arial"/>
          <w:b/>
          <w:bCs/>
          <w:sz w:val="19"/>
          <w:szCs w:val="19"/>
        </w:rPr>
        <w:t>Price Waterhouse Coopers Inc. v National Potato Co-operative Ltd</w:t>
      </w:r>
      <w:r w:rsidRPr="00EE47A7">
        <w:rPr>
          <w:rFonts w:ascii="Arial" w:hAnsi="Arial" w:cs="Arial"/>
          <w:sz w:val="19"/>
          <w:szCs w:val="19"/>
        </w:rPr>
        <w:t xml:space="preserve"> 2004 (6) SA 66 (SCA) at paragraph [43] and [50]</w:t>
      </w:r>
    </w:p>
  </w:footnote>
  <w:footnote w:id="22">
    <w:p w14:paraId="33E27772" w14:textId="2BD84E47" w:rsidR="00D61BFF" w:rsidRDefault="00D61BFF" w:rsidP="00EE47A7">
      <w:pPr>
        <w:pStyle w:val="FootnoteText"/>
        <w:spacing w:afterLines="60" w:after="144"/>
        <w:ind w:left="360" w:hanging="360"/>
      </w:pPr>
      <w:r w:rsidRPr="00EE47A7">
        <w:rPr>
          <w:rStyle w:val="FootnoteReference"/>
          <w:rFonts w:ascii="Arial" w:hAnsi="Arial" w:cs="Arial"/>
          <w:sz w:val="19"/>
          <w:szCs w:val="19"/>
        </w:rPr>
        <w:footnoteRef/>
      </w:r>
      <w:r w:rsidRPr="00EE47A7">
        <w:rPr>
          <w:rFonts w:ascii="Arial" w:hAnsi="Arial" w:cs="Arial"/>
          <w:sz w:val="19"/>
          <w:szCs w:val="19"/>
        </w:rPr>
        <w:t xml:space="preserve"> </w:t>
      </w:r>
      <w:r w:rsidR="00EE47A7" w:rsidRPr="00EE47A7">
        <w:rPr>
          <w:rFonts w:ascii="Arial" w:hAnsi="Arial" w:cs="Arial"/>
          <w:sz w:val="19"/>
          <w:szCs w:val="19"/>
        </w:rPr>
        <w:tab/>
      </w:r>
      <w:r w:rsidRPr="00EE47A7">
        <w:rPr>
          <w:rFonts w:ascii="Arial" w:hAnsi="Arial" w:cs="Arial"/>
          <w:sz w:val="19"/>
          <w:szCs w:val="19"/>
        </w:rPr>
        <w:t>Supra</w:t>
      </w:r>
    </w:p>
  </w:footnote>
  <w:footnote w:id="23">
    <w:p w14:paraId="2767EA53" w14:textId="712F6001" w:rsidR="00D61BFF" w:rsidRDefault="00D61BFF" w:rsidP="00EE47A7">
      <w:pPr>
        <w:pStyle w:val="FootnoteText"/>
        <w:spacing w:afterLines="60" w:after="144"/>
        <w:ind w:left="360" w:hanging="360"/>
      </w:pPr>
      <w:r>
        <w:rPr>
          <w:rStyle w:val="FootnoteReference"/>
        </w:rPr>
        <w:footnoteRef/>
      </w:r>
      <w:r>
        <w:t xml:space="preserve"> </w:t>
      </w:r>
      <w:r w:rsidR="00EE47A7">
        <w:tab/>
      </w:r>
      <w:proofErr w:type="spellStart"/>
      <w:r w:rsidRPr="00EE47A7">
        <w:rPr>
          <w:rFonts w:ascii="Arial" w:hAnsi="Arial" w:cs="Arial"/>
          <w:b/>
          <w:bCs/>
          <w:sz w:val="19"/>
          <w:szCs w:val="19"/>
        </w:rPr>
        <w:t>Beinash</w:t>
      </w:r>
      <w:proofErr w:type="spellEnd"/>
      <w:r w:rsidRPr="00EE47A7">
        <w:rPr>
          <w:rFonts w:ascii="Arial" w:hAnsi="Arial" w:cs="Arial"/>
          <w:b/>
          <w:bCs/>
          <w:sz w:val="19"/>
          <w:szCs w:val="19"/>
        </w:rPr>
        <w:t xml:space="preserve"> v </w:t>
      </w:r>
      <w:proofErr w:type="spellStart"/>
      <w:r w:rsidRPr="00EE47A7">
        <w:rPr>
          <w:rFonts w:ascii="Arial" w:hAnsi="Arial" w:cs="Arial"/>
          <w:b/>
          <w:bCs/>
          <w:sz w:val="19"/>
          <w:szCs w:val="19"/>
        </w:rPr>
        <w:t>Wixley</w:t>
      </w:r>
      <w:proofErr w:type="spellEnd"/>
      <w:r w:rsidR="00EE47A7">
        <w:rPr>
          <w:rFonts w:ascii="Arial" w:hAnsi="Arial" w:cs="Arial"/>
          <w:sz w:val="19"/>
          <w:szCs w:val="19"/>
        </w:rPr>
        <w:t xml:space="preserve"> </w:t>
      </w:r>
      <w:r w:rsidRPr="00EE47A7">
        <w:rPr>
          <w:rFonts w:ascii="Arial" w:hAnsi="Arial" w:cs="Arial"/>
          <w:sz w:val="19"/>
          <w:szCs w:val="19"/>
        </w:rPr>
        <w:t>supra, at 734C-G.</w:t>
      </w:r>
    </w:p>
  </w:footnote>
  <w:footnote w:id="24">
    <w:p w14:paraId="5FA9DC4F" w14:textId="333861A2" w:rsidR="00725FD0" w:rsidRPr="00725FD0" w:rsidRDefault="00725FD0" w:rsidP="00554E58">
      <w:pPr>
        <w:pStyle w:val="FootnoteText"/>
        <w:spacing w:afterLines="60" w:after="144"/>
        <w:ind w:left="360" w:hanging="360"/>
        <w:rPr>
          <w:rFonts w:ascii="Arial" w:hAnsi="Arial" w:cs="Arial"/>
          <w:sz w:val="19"/>
          <w:szCs w:val="19"/>
        </w:rPr>
      </w:pPr>
      <w:r w:rsidRPr="00725FD0">
        <w:rPr>
          <w:rStyle w:val="FootnoteReference"/>
          <w:rFonts w:ascii="Arial" w:hAnsi="Arial" w:cs="Arial"/>
          <w:sz w:val="19"/>
          <w:szCs w:val="19"/>
        </w:rPr>
        <w:footnoteRef/>
      </w:r>
      <w:r w:rsidRPr="00725FD0">
        <w:rPr>
          <w:rFonts w:ascii="Arial" w:hAnsi="Arial" w:cs="Arial"/>
          <w:sz w:val="19"/>
          <w:szCs w:val="19"/>
        </w:rPr>
        <w:t xml:space="preserve"> </w:t>
      </w:r>
      <w:r w:rsidR="00554E58">
        <w:rPr>
          <w:rFonts w:ascii="Arial" w:hAnsi="Arial" w:cs="Arial"/>
          <w:sz w:val="19"/>
          <w:szCs w:val="19"/>
        </w:rPr>
        <w:tab/>
        <w:t>Government Gazette Notice No. 408 29 March 2018 – Superior Court’s Act 10 of 2013: Determination of the area under jurisdiction of the Gauteng and North West Division of the High Court of South Africa</w:t>
      </w:r>
    </w:p>
  </w:footnote>
  <w:footnote w:id="25">
    <w:p w14:paraId="2760C342" w14:textId="797711EA" w:rsidR="002D5C06" w:rsidRPr="002D5C06" w:rsidRDefault="002D5C06" w:rsidP="002D5C06">
      <w:pPr>
        <w:pStyle w:val="FootnoteText"/>
        <w:spacing w:afterLines="60" w:after="144"/>
        <w:ind w:left="360" w:hanging="360"/>
        <w:rPr>
          <w:rFonts w:ascii="Arial" w:hAnsi="Arial" w:cs="Arial"/>
          <w:sz w:val="19"/>
          <w:szCs w:val="19"/>
        </w:rPr>
      </w:pPr>
      <w:r w:rsidRPr="00725FD0">
        <w:rPr>
          <w:rStyle w:val="FootnoteReference"/>
          <w:rFonts w:ascii="Arial" w:hAnsi="Arial" w:cs="Arial"/>
          <w:sz w:val="19"/>
          <w:szCs w:val="19"/>
        </w:rPr>
        <w:footnoteRef/>
      </w:r>
      <w:r w:rsidRPr="00725FD0">
        <w:rPr>
          <w:rFonts w:ascii="Arial" w:hAnsi="Arial" w:cs="Arial"/>
          <w:sz w:val="19"/>
          <w:szCs w:val="19"/>
        </w:rPr>
        <w:t xml:space="preserve"> </w:t>
      </w:r>
      <w:r w:rsidRPr="00725FD0">
        <w:rPr>
          <w:rFonts w:ascii="Arial" w:hAnsi="Arial" w:cs="Arial"/>
          <w:sz w:val="19"/>
          <w:szCs w:val="19"/>
        </w:rPr>
        <w:tab/>
        <w:t xml:space="preserve">See </w:t>
      </w:r>
      <w:proofErr w:type="spellStart"/>
      <w:r w:rsidRPr="00725FD0">
        <w:rPr>
          <w:rFonts w:ascii="Arial" w:hAnsi="Arial" w:cs="Arial"/>
          <w:b/>
          <w:bCs/>
          <w:sz w:val="19"/>
          <w:szCs w:val="19"/>
        </w:rPr>
        <w:t>Ceronio</w:t>
      </w:r>
      <w:proofErr w:type="spellEnd"/>
      <w:r w:rsidRPr="00725FD0">
        <w:rPr>
          <w:rFonts w:ascii="Arial" w:hAnsi="Arial" w:cs="Arial"/>
          <w:b/>
          <w:bCs/>
          <w:sz w:val="19"/>
          <w:szCs w:val="19"/>
        </w:rPr>
        <w:t xml:space="preserve"> v </w:t>
      </w:r>
      <w:proofErr w:type="spellStart"/>
      <w:r w:rsidRPr="00725FD0">
        <w:rPr>
          <w:rFonts w:ascii="Arial" w:hAnsi="Arial" w:cs="Arial"/>
          <w:b/>
          <w:bCs/>
          <w:sz w:val="19"/>
          <w:szCs w:val="19"/>
        </w:rPr>
        <w:t>Snyman</w:t>
      </w:r>
      <w:proofErr w:type="spellEnd"/>
      <w:r w:rsidRPr="00725FD0">
        <w:rPr>
          <w:rFonts w:ascii="Arial" w:hAnsi="Arial" w:cs="Arial"/>
          <w:sz w:val="19"/>
          <w:szCs w:val="19"/>
        </w:rPr>
        <w:t xml:space="preserve"> 1961 (4) SA 294 (W)</w:t>
      </w:r>
      <w:r w:rsidR="00CB5014">
        <w:rPr>
          <w:rFonts w:ascii="Arial" w:hAnsi="Arial" w:cs="Arial"/>
          <w:sz w:val="19"/>
          <w:szCs w:val="19"/>
        </w:rPr>
        <w:t xml:space="preserve">; </w:t>
      </w:r>
      <w:proofErr w:type="spellStart"/>
      <w:r w:rsidR="00CB5014" w:rsidRPr="00CB5014">
        <w:rPr>
          <w:rFonts w:ascii="Arial" w:hAnsi="Arial" w:cs="Arial"/>
          <w:b/>
          <w:bCs/>
          <w:sz w:val="19"/>
          <w:szCs w:val="19"/>
        </w:rPr>
        <w:t>Narodien</w:t>
      </w:r>
      <w:proofErr w:type="spellEnd"/>
      <w:r w:rsidR="00CB5014" w:rsidRPr="00CB5014">
        <w:rPr>
          <w:rFonts w:ascii="Arial" w:hAnsi="Arial" w:cs="Arial"/>
          <w:b/>
          <w:bCs/>
          <w:sz w:val="19"/>
          <w:szCs w:val="19"/>
        </w:rPr>
        <w:t xml:space="preserve"> v Andrews</w:t>
      </w:r>
      <w:r w:rsidR="00CB5014">
        <w:rPr>
          <w:rFonts w:ascii="Arial" w:hAnsi="Arial" w:cs="Arial"/>
          <w:sz w:val="19"/>
          <w:szCs w:val="19"/>
        </w:rPr>
        <w:t xml:space="preserve"> 2002 (3) SA 500 (c); </w:t>
      </w:r>
      <w:r w:rsidRPr="00725FD0">
        <w:rPr>
          <w:rFonts w:ascii="Arial" w:hAnsi="Arial" w:cs="Arial"/>
          <w:sz w:val="19"/>
          <w:szCs w:val="19"/>
        </w:rPr>
        <w:t xml:space="preserve">and </w:t>
      </w:r>
      <w:r w:rsidRPr="00725FD0">
        <w:rPr>
          <w:rFonts w:ascii="Arial" w:hAnsi="Arial" w:cs="Arial"/>
          <w:b/>
          <w:bCs/>
          <w:sz w:val="19"/>
          <w:szCs w:val="19"/>
        </w:rPr>
        <w:t xml:space="preserve">N </w:t>
      </w:r>
      <w:proofErr w:type="gramStart"/>
      <w:r w:rsidRPr="00725FD0">
        <w:rPr>
          <w:rFonts w:ascii="Arial" w:hAnsi="Arial" w:cs="Arial"/>
          <w:b/>
          <w:bCs/>
          <w:sz w:val="19"/>
          <w:szCs w:val="19"/>
        </w:rPr>
        <w:t>v</w:t>
      </w:r>
      <w:proofErr w:type="gramEnd"/>
      <w:r w:rsidRPr="00725FD0">
        <w:rPr>
          <w:rFonts w:ascii="Arial" w:hAnsi="Arial" w:cs="Arial"/>
          <w:b/>
          <w:bCs/>
          <w:sz w:val="19"/>
          <w:szCs w:val="19"/>
        </w:rPr>
        <w:t xml:space="preserve"> N; In re N</w:t>
      </w:r>
      <w:r w:rsidRPr="00725FD0">
        <w:rPr>
          <w:rFonts w:ascii="Arial" w:hAnsi="Arial" w:cs="Arial"/>
          <w:sz w:val="19"/>
          <w:szCs w:val="19"/>
        </w:rPr>
        <w:t xml:space="preserve"> (2425/16) (2017] ZAECPEHC 61 (14 December 2017)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3211ADA"/>
    <w:multiLevelType w:val="hybridMultilevel"/>
    <w:tmpl w:val="CDFE2944"/>
    <w:lvl w:ilvl="0" w:tplc="5322D41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4931DE6"/>
    <w:multiLevelType w:val="hybridMultilevel"/>
    <w:tmpl w:val="646E3CF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198014F"/>
    <w:multiLevelType w:val="hybridMultilevel"/>
    <w:tmpl w:val="DC3A388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D7108AB"/>
    <w:multiLevelType w:val="hybridMultilevel"/>
    <w:tmpl w:val="90BE6C56"/>
    <w:lvl w:ilvl="0" w:tplc="DDBC38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68A7770"/>
    <w:multiLevelType w:val="hybridMultilevel"/>
    <w:tmpl w:val="55FC3874"/>
    <w:lvl w:ilvl="0" w:tplc="698A6E8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0A96B24-4E23-40D0-9740-9A5280011E92}"/>
    <w:docVar w:name="dgnword-eventsink" w:val="2877427250752"/>
  </w:docVars>
  <w:rsids>
    <w:rsidRoot w:val="00A238D6"/>
    <w:rsid w:val="00004CC2"/>
    <w:rsid w:val="00012C83"/>
    <w:rsid w:val="000314B9"/>
    <w:rsid w:val="00054C76"/>
    <w:rsid w:val="000556E5"/>
    <w:rsid w:val="00060C70"/>
    <w:rsid w:val="0007108C"/>
    <w:rsid w:val="00081F92"/>
    <w:rsid w:val="0008557D"/>
    <w:rsid w:val="00093937"/>
    <w:rsid w:val="0009435B"/>
    <w:rsid w:val="000A3680"/>
    <w:rsid w:val="000A3E5E"/>
    <w:rsid w:val="000A4211"/>
    <w:rsid w:val="000A4E5C"/>
    <w:rsid w:val="000B1DC6"/>
    <w:rsid w:val="000B40FF"/>
    <w:rsid w:val="000B6057"/>
    <w:rsid w:val="000C1629"/>
    <w:rsid w:val="000C2ADC"/>
    <w:rsid w:val="000C45B5"/>
    <w:rsid w:val="000C7D42"/>
    <w:rsid w:val="000D38A2"/>
    <w:rsid w:val="000E3F1D"/>
    <w:rsid w:val="0010520B"/>
    <w:rsid w:val="00107285"/>
    <w:rsid w:val="00116F0B"/>
    <w:rsid w:val="00122CC2"/>
    <w:rsid w:val="0012398A"/>
    <w:rsid w:val="001262AB"/>
    <w:rsid w:val="001325F4"/>
    <w:rsid w:val="001375CB"/>
    <w:rsid w:val="00146069"/>
    <w:rsid w:val="001726A8"/>
    <w:rsid w:val="0017773F"/>
    <w:rsid w:val="00177EDD"/>
    <w:rsid w:val="00180503"/>
    <w:rsid w:val="00181C26"/>
    <w:rsid w:val="00194BC9"/>
    <w:rsid w:val="001954BA"/>
    <w:rsid w:val="001A1738"/>
    <w:rsid w:val="001A2972"/>
    <w:rsid w:val="001B1446"/>
    <w:rsid w:val="001C74B7"/>
    <w:rsid w:val="001D1F5D"/>
    <w:rsid w:val="001D34CB"/>
    <w:rsid w:val="001D42EA"/>
    <w:rsid w:val="002121BD"/>
    <w:rsid w:val="00216173"/>
    <w:rsid w:val="002256F1"/>
    <w:rsid w:val="00226CF2"/>
    <w:rsid w:val="00227A62"/>
    <w:rsid w:val="00230E3A"/>
    <w:rsid w:val="00234D5C"/>
    <w:rsid w:val="00240C39"/>
    <w:rsid w:val="00270699"/>
    <w:rsid w:val="00277319"/>
    <w:rsid w:val="00277EEF"/>
    <w:rsid w:val="00284CC8"/>
    <w:rsid w:val="00293101"/>
    <w:rsid w:val="00294D67"/>
    <w:rsid w:val="00296963"/>
    <w:rsid w:val="002A437D"/>
    <w:rsid w:val="002A7164"/>
    <w:rsid w:val="002B45F8"/>
    <w:rsid w:val="002C0A65"/>
    <w:rsid w:val="002C6721"/>
    <w:rsid w:val="002D26AD"/>
    <w:rsid w:val="002D299D"/>
    <w:rsid w:val="002D3F75"/>
    <w:rsid w:val="002D5C06"/>
    <w:rsid w:val="002D68B4"/>
    <w:rsid w:val="002F145F"/>
    <w:rsid w:val="002F65E6"/>
    <w:rsid w:val="0030438A"/>
    <w:rsid w:val="00307750"/>
    <w:rsid w:val="00312CA3"/>
    <w:rsid w:val="00315F6D"/>
    <w:rsid w:val="00317BA0"/>
    <w:rsid w:val="00340997"/>
    <w:rsid w:val="00364A68"/>
    <w:rsid w:val="00365206"/>
    <w:rsid w:val="003749AA"/>
    <w:rsid w:val="0037771E"/>
    <w:rsid w:val="00394ED7"/>
    <w:rsid w:val="0039695A"/>
    <w:rsid w:val="003A356A"/>
    <w:rsid w:val="003A740B"/>
    <w:rsid w:val="003B2999"/>
    <w:rsid w:val="003B2B47"/>
    <w:rsid w:val="003B411D"/>
    <w:rsid w:val="003C0FF2"/>
    <w:rsid w:val="003C2C29"/>
    <w:rsid w:val="003D3221"/>
    <w:rsid w:val="003E41E2"/>
    <w:rsid w:val="004035CA"/>
    <w:rsid w:val="00403C5A"/>
    <w:rsid w:val="00415E03"/>
    <w:rsid w:val="00420FE1"/>
    <w:rsid w:val="00426D03"/>
    <w:rsid w:val="004275CE"/>
    <w:rsid w:val="004321C7"/>
    <w:rsid w:val="00443A32"/>
    <w:rsid w:val="004646A1"/>
    <w:rsid w:val="00472255"/>
    <w:rsid w:val="00477D10"/>
    <w:rsid w:val="00482A7F"/>
    <w:rsid w:val="00483573"/>
    <w:rsid w:val="0048799E"/>
    <w:rsid w:val="004A6C67"/>
    <w:rsid w:val="004B5FD2"/>
    <w:rsid w:val="004C3145"/>
    <w:rsid w:val="004D0FB4"/>
    <w:rsid w:val="004E0A9E"/>
    <w:rsid w:val="004E7124"/>
    <w:rsid w:val="004F0E7F"/>
    <w:rsid w:val="005045F1"/>
    <w:rsid w:val="0052057C"/>
    <w:rsid w:val="00521864"/>
    <w:rsid w:val="00523AD8"/>
    <w:rsid w:val="005361D9"/>
    <w:rsid w:val="00540B2E"/>
    <w:rsid w:val="00543B35"/>
    <w:rsid w:val="00552D02"/>
    <w:rsid w:val="00554E58"/>
    <w:rsid w:val="00564266"/>
    <w:rsid w:val="0056477F"/>
    <w:rsid w:val="005843EE"/>
    <w:rsid w:val="0058466B"/>
    <w:rsid w:val="00584B98"/>
    <w:rsid w:val="005866AD"/>
    <w:rsid w:val="005A1803"/>
    <w:rsid w:val="005A4329"/>
    <w:rsid w:val="005A5ABC"/>
    <w:rsid w:val="005D36CD"/>
    <w:rsid w:val="005E608C"/>
    <w:rsid w:val="005F6E8F"/>
    <w:rsid w:val="00613BC5"/>
    <w:rsid w:val="006157BC"/>
    <w:rsid w:val="0063192B"/>
    <w:rsid w:val="00634FF3"/>
    <w:rsid w:val="0063635E"/>
    <w:rsid w:val="00636C6F"/>
    <w:rsid w:val="0064098D"/>
    <w:rsid w:val="00650364"/>
    <w:rsid w:val="00650982"/>
    <w:rsid w:val="0065323D"/>
    <w:rsid w:val="00655F2A"/>
    <w:rsid w:val="00661292"/>
    <w:rsid w:val="00674F13"/>
    <w:rsid w:val="006806F8"/>
    <w:rsid w:val="00681487"/>
    <w:rsid w:val="006911A0"/>
    <w:rsid w:val="006929FE"/>
    <w:rsid w:val="00693713"/>
    <w:rsid w:val="006A7D07"/>
    <w:rsid w:val="006C5477"/>
    <w:rsid w:val="006D2520"/>
    <w:rsid w:val="006D4851"/>
    <w:rsid w:val="006D5BD7"/>
    <w:rsid w:val="006E4073"/>
    <w:rsid w:val="006E42C4"/>
    <w:rsid w:val="006E46D5"/>
    <w:rsid w:val="006F370C"/>
    <w:rsid w:val="00715966"/>
    <w:rsid w:val="00720041"/>
    <w:rsid w:val="00725FD0"/>
    <w:rsid w:val="00735EE9"/>
    <w:rsid w:val="0074258D"/>
    <w:rsid w:val="007568C3"/>
    <w:rsid w:val="007602F1"/>
    <w:rsid w:val="00764B86"/>
    <w:rsid w:val="00770E07"/>
    <w:rsid w:val="0077364A"/>
    <w:rsid w:val="00775FC2"/>
    <w:rsid w:val="00785619"/>
    <w:rsid w:val="007965B7"/>
    <w:rsid w:val="00796797"/>
    <w:rsid w:val="007B109C"/>
    <w:rsid w:val="007B320B"/>
    <w:rsid w:val="007C296E"/>
    <w:rsid w:val="007F7D29"/>
    <w:rsid w:val="00811897"/>
    <w:rsid w:val="00813BAD"/>
    <w:rsid w:val="00820CDD"/>
    <w:rsid w:val="008252EC"/>
    <w:rsid w:val="00826491"/>
    <w:rsid w:val="00836ECF"/>
    <w:rsid w:val="008408F2"/>
    <w:rsid w:val="00856124"/>
    <w:rsid w:val="00860A4A"/>
    <w:rsid w:val="00865E8B"/>
    <w:rsid w:val="00870A2C"/>
    <w:rsid w:val="008831CB"/>
    <w:rsid w:val="00890885"/>
    <w:rsid w:val="008A0E02"/>
    <w:rsid w:val="008A1AAF"/>
    <w:rsid w:val="008A1B56"/>
    <w:rsid w:val="008A57C0"/>
    <w:rsid w:val="008A7B0C"/>
    <w:rsid w:val="008B1FC0"/>
    <w:rsid w:val="008B63B4"/>
    <w:rsid w:val="008B6C10"/>
    <w:rsid w:val="008C2A78"/>
    <w:rsid w:val="008D0D23"/>
    <w:rsid w:val="008D2819"/>
    <w:rsid w:val="008D72B7"/>
    <w:rsid w:val="008E01F8"/>
    <w:rsid w:val="008F2CCB"/>
    <w:rsid w:val="009001BE"/>
    <w:rsid w:val="00910FFD"/>
    <w:rsid w:val="00913275"/>
    <w:rsid w:val="00926179"/>
    <w:rsid w:val="00930263"/>
    <w:rsid w:val="00933245"/>
    <w:rsid w:val="00933F13"/>
    <w:rsid w:val="00936429"/>
    <w:rsid w:val="00941BE5"/>
    <w:rsid w:val="00942200"/>
    <w:rsid w:val="00954105"/>
    <w:rsid w:val="00954863"/>
    <w:rsid w:val="00960129"/>
    <w:rsid w:val="00962DE3"/>
    <w:rsid w:val="009668FF"/>
    <w:rsid w:val="00973B21"/>
    <w:rsid w:val="00975136"/>
    <w:rsid w:val="00991B2B"/>
    <w:rsid w:val="00992EAA"/>
    <w:rsid w:val="009B3C5B"/>
    <w:rsid w:val="009B53D0"/>
    <w:rsid w:val="009B7CCF"/>
    <w:rsid w:val="009C3329"/>
    <w:rsid w:val="009C3438"/>
    <w:rsid w:val="009C4058"/>
    <w:rsid w:val="009C52C3"/>
    <w:rsid w:val="009D55EB"/>
    <w:rsid w:val="009E415A"/>
    <w:rsid w:val="009E7580"/>
    <w:rsid w:val="009F2F2D"/>
    <w:rsid w:val="009F40F3"/>
    <w:rsid w:val="00A0490F"/>
    <w:rsid w:val="00A238D6"/>
    <w:rsid w:val="00A41B1C"/>
    <w:rsid w:val="00A41CB1"/>
    <w:rsid w:val="00A47796"/>
    <w:rsid w:val="00A533E6"/>
    <w:rsid w:val="00A53ECE"/>
    <w:rsid w:val="00A55A67"/>
    <w:rsid w:val="00A72B2B"/>
    <w:rsid w:val="00A9009E"/>
    <w:rsid w:val="00A90BE5"/>
    <w:rsid w:val="00A90E3F"/>
    <w:rsid w:val="00A9166B"/>
    <w:rsid w:val="00A92327"/>
    <w:rsid w:val="00A946B8"/>
    <w:rsid w:val="00AA084E"/>
    <w:rsid w:val="00AA5DA5"/>
    <w:rsid w:val="00AA6686"/>
    <w:rsid w:val="00AB54D0"/>
    <w:rsid w:val="00AB5511"/>
    <w:rsid w:val="00AD704E"/>
    <w:rsid w:val="00AE365F"/>
    <w:rsid w:val="00AE4108"/>
    <w:rsid w:val="00AE7B31"/>
    <w:rsid w:val="00AF1FC8"/>
    <w:rsid w:val="00AF727B"/>
    <w:rsid w:val="00B0076B"/>
    <w:rsid w:val="00B03896"/>
    <w:rsid w:val="00B200C0"/>
    <w:rsid w:val="00B25AF5"/>
    <w:rsid w:val="00B25C9C"/>
    <w:rsid w:val="00B30080"/>
    <w:rsid w:val="00B600FB"/>
    <w:rsid w:val="00B633E1"/>
    <w:rsid w:val="00B70830"/>
    <w:rsid w:val="00B92BFE"/>
    <w:rsid w:val="00B94C00"/>
    <w:rsid w:val="00B95EDC"/>
    <w:rsid w:val="00BA2FC0"/>
    <w:rsid w:val="00BA31B8"/>
    <w:rsid w:val="00BA76C5"/>
    <w:rsid w:val="00BB4D91"/>
    <w:rsid w:val="00BC6E05"/>
    <w:rsid w:val="00BD6789"/>
    <w:rsid w:val="00C10777"/>
    <w:rsid w:val="00C35227"/>
    <w:rsid w:val="00C73969"/>
    <w:rsid w:val="00C77CEE"/>
    <w:rsid w:val="00C919EA"/>
    <w:rsid w:val="00C91BF7"/>
    <w:rsid w:val="00C9253B"/>
    <w:rsid w:val="00C95C98"/>
    <w:rsid w:val="00CA0499"/>
    <w:rsid w:val="00CA2083"/>
    <w:rsid w:val="00CA53DB"/>
    <w:rsid w:val="00CA692E"/>
    <w:rsid w:val="00CB03AB"/>
    <w:rsid w:val="00CB0D23"/>
    <w:rsid w:val="00CB0DEF"/>
    <w:rsid w:val="00CB26EC"/>
    <w:rsid w:val="00CB5014"/>
    <w:rsid w:val="00CB5402"/>
    <w:rsid w:val="00CB6F6C"/>
    <w:rsid w:val="00CB7E6B"/>
    <w:rsid w:val="00CD4A20"/>
    <w:rsid w:val="00CF25A3"/>
    <w:rsid w:val="00CF2DF6"/>
    <w:rsid w:val="00CF4FDF"/>
    <w:rsid w:val="00D02016"/>
    <w:rsid w:val="00D13121"/>
    <w:rsid w:val="00D20A49"/>
    <w:rsid w:val="00D2182B"/>
    <w:rsid w:val="00D2402F"/>
    <w:rsid w:val="00D273DB"/>
    <w:rsid w:val="00D2794D"/>
    <w:rsid w:val="00D417C3"/>
    <w:rsid w:val="00D448F5"/>
    <w:rsid w:val="00D61BFF"/>
    <w:rsid w:val="00D675B2"/>
    <w:rsid w:val="00D91B48"/>
    <w:rsid w:val="00D93E8D"/>
    <w:rsid w:val="00DA0144"/>
    <w:rsid w:val="00DB15FF"/>
    <w:rsid w:val="00DB2DE7"/>
    <w:rsid w:val="00DB62D6"/>
    <w:rsid w:val="00DC777D"/>
    <w:rsid w:val="00DD05CA"/>
    <w:rsid w:val="00DD3AD9"/>
    <w:rsid w:val="00DF0D3A"/>
    <w:rsid w:val="00DF11FB"/>
    <w:rsid w:val="00DF3156"/>
    <w:rsid w:val="00E022C1"/>
    <w:rsid w:val="00E20F59"/>
    <w:rsid w:val="00E21D15"/>
    <w:rsid w:val="00E268B9"/>
    <w:rsid w:val="00E26B65"/>
    <w:rsid w:val="00E27CA9"/>
    <w:rsid w:val="00E34536"/>
    <w:rsid w:val="00E366F9"/>
    <w:rsid w:val="00E36B46"/>
    <w:rsid w:val="00E47C33"/>
    <w:rsid w:val="00E579BA"/>
    <w:rsid w:val="00E6008E"/>
    <w:rsid w:val="00E60E52"/>
    <w:rsid w:val="00E71931"/>
    <w:rsid w:val="00EA61DF"/>
    <w:rsid w:val="00ED326D"/>
    <w:rsid w:val="00ED35E1"/>
    <w:rsid w:val="00EE47A7"/>
    <w:rsid w:val="00EE61C7"/>
    <w:rsid w:val="00F002C1"/>
    <w:rsid w:val="00F2021A"/>
    <w:rsid w:val="00F23334"/>
    <w:rsid w:val="00F30F22"/>
    <w:rsid w:val="00F3200E"/>
    <w:rsid w:val="00F32815"/>
    <w:rsid w:val="00F37482"/>
    <w:rsid w:val="00F37D64"/>
    <w:rsid w:val="00F43290"/>
    <w:rsid w:val="00F43A60"/>
    <w:rsid w:val="00F4525A"/>
    <w:rsid w:val="00F5622B"/>
    <w:rsid w:val="00F72473"/>
    <w:rsid w:val="00F84133"/>
    <w:rsid w:val="00F85C96"/>
    <w:rsid w:val="00F9182F"/>
    <w:rsid w:val="00F949A0"/>
    <w:rsid w:val="00F96551"/>
    <w:rsid w:val="00F97169"/>
    <w:rsid w:val="00FA132B"/>
    <w:rsid w:val="00FA5658"/>
    <w:rsid w:val="00FA736E"/>
    <w:rsid w:val="00FB08E7"/>
    <w:rsid w:val="00FB1E21"/>
    <w:rsid w:val="00FB72C0"/>
    <w:rsid w:val="00FC40B4"/>
    <w:rsid w:val="00FD7576"/>
    <w:rsid w:val="00FE4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E462"/>
  <w15:chartTrackingRefBased/>
  <w15:docId w15:val="{D46B18E0-8800-4E7E-A18C-4BD8C7A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D6"/>
    <w:pPr>
      <w:spacing w:after="5" w:line="264" w:lineRule="auto"/>
      <w:ind w:left="34"/>
      <w:jc w:val="both"/>
    </w:pPr>
    <w:rPr>
      <w:rFonts w:ascii="Calibri" w:eastAsia="Calibri" w:hAnsi="Calibri" w:cs="Calibri"/>
      <w:color w:val="000000"/>
      <w:sz w:val="24"/>
      <w:lang w:eastAsia="en-ZA"/>
    </w:rPr>
  </w:style>
  <w:style w:type="paragraph" w:styleId="Heading1">
    <w:name w:val="heading 1"/>
    <w:basedOn w:val="Normal"/>
    <w:next w:val="Normal"/>
    <w:link w:val="Heading1Char"/>
    <w:uiPriority w:val="9"/>
    <w:qFormat/>
    <w:rsid w:val="00564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238D6"/>
    <w:pPr>
      <w:keepNext/>
      <w:keepLines/>
      <w:spacing w:after="3" w:line="264" w:lineRule="auto"/>
      <w:ind w:left="34" w:hanging="10"/>
      <w:outlineLvl w:val="1"/>
    </w:pPr>
    <w:rPr>
      <w:rFonts w:ascii="Calibri" w:eastAsia="Calibri" w:hAnsi="Calibri" w:cs="Calibri"/>
      <w:color w:val="000000"/>
      <w:sz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8D6"/>
    <w:rPr>
      <w:rFonts w:ascii="Calibri" w:eastAsia="Calibri" w:hAnsi="Calibri" w:cs="Calibri"/>
      <w:color w:val="000000"/>
      <w:sz w:val="26"/>
      <w:lang w:eastAsia="en-ZA"/>
    </w:rPr>
  </w:style>
  <w:style w:type="character" w:customStyle="1" w:styleId="footnotedescriptionChar">
    <w:name w:val="footnote description Char"/>
    <w:link w:val="footnotedescription"/>
    <w:locked/>
    <w:rsid w:val="00A238D6"/>
    <w:rPr>
      <w:rFonts w:ascii="Calibri" w:eastAsia="Calibri" w:hAnsi="Calibri" w:cs="Calibri"/>
      <w:color w:val="000000"/>
      <w:sz w:val="20"/>
    </w:rPr>
  </w:style>
  <w:style w:type="paragraph" w:customStyle="1" w:styleId="footnotedescription">
    <w:name w:val="footnote description"/>
    <w:next w:val="Normal"/>
    <w:link w:val="footnotedescriptionChar"/>
    <w:rsid w:val="00A238D6"/>
    <w:pPr>
      <w:spacing w:after="0" w:line="256" w:lineRule="auto"/>
      <w:ind w:left="48"/>
    </w:pPr>
    <w:rPr>
      <w:rFonts w:ascii="Calibri" w:eastAsia="Calibri" w:hAnsi="Calibri" w:cs="Calibri"/>
      <w:color w:val="000000"/>
      <w:sz w:val="20"/>
    </w:rPr>
  </w:style>
  <w:style w:type="character" w:customStyle="1" w:styleId="footnotemark">
    <w:name w:val="footnote mark"/>
    <w:rsid w:val="00A238D6"/>
    <w:rPr>
      <w:rFonts w:ascii="Calibri" w:eastAsia="Calibri" w:hAnsi="Calibri" w:cs="Calibri" w:hint="default"/>
      <w:color w:val="000000"/>
      <w:sz w:val="12"/>
      <w:vertAlign w:val="superscript"/>
    </w:rPr>
  </w:style>
  <w:style w:type="paragraph" w:styleId="ListParagraph">
    <w:name w:val="List Paragraph"/>
    <w:aliases w:val="ML List paragraph"/>
    <w:basedOn w:val="Normal"/>
    <w:link w:val="ListParagraphChar"/>
    <w:uiPriority w:val="34"/>
    <w:qFormat/>
    <w:rsid w:val="00A238D6"/>
    <w:pPr>
      <w:ind w:left="720"/>
      <w:contextualSpacing/>
    </w:pPr>
  </w:style>
  <w:style w:type="character" w:customStyle="1" w:styleId="Heading1Char">
    <w:name w:val="Heading 1 Char"/>
    <w:basedOn w:val="DefaultParagraphFont"/>
    <w:link w:val="Heading1"/>
    <w:uiPriority w:val="9"/>
    <w:rsid w:val="00564266"/>
    <w:rPr>
      <w:rFonts w:asciiTheme="majorHAnsi" w:eastAsiaTheme="majorEastAsia" w:hAnsiTheme="majorHAnsi" w:cstheme="majorBidi"/>
      <w:color w:val="2E74B5" w:themeColor="accent1" w:themeShade="BF"/>
      <w:sz w:val="32"/>
      <w:szCs w:val="32"/>
      <w:lang w:eastAsia="en-ZA"/>
    </w:rPr>
  </w:style>
  <w:style w:type="paragraph" w:styleId="FootnoteText">
    <w:name w:val="footnote text"/>
    <w:aliases w:val="PD: Footnote,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0B6057"/>
    <w:pPr>
      <w:spacing w:after="0" w:line="240" w:lineRule="auto"/>
    </w:pPr>
    <w:rPr>
      <w:sz w:val="20"/>
      <w:szCs w:val="20"/>
    </w:rPr>
  </w:style>
  <w:style w:type="character" w:customStyle="1" w:styleId="FootnoteTextChar">
    <w:name w:val="Footnote Text Char"/>
    <w:aliases w:val="PD: Footnote Char,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0B6057"/>
    <w:rPr>
      <w:rFonts w:ascii="Calibri" w:eastAsia="Calibri" w:hAnsi="Calibri" w:cs="Calibri"/>
      <w:color w:val="000000"/>
      <w:sz w:val="20"/>
      <w:szCs w:val="20"/>
      <w:lang w:eastAsia="en-ZA"/>
    </w:rPr>
  </w:style>
  <w:style w:type="character" w:styleId="FootnoteReference">
    <w:name w:val="footnote reference"/>
    <w:aliases w:val="Ref,de nota al pie,註腳內容,Footnote symbol,Style 12,(NECG) Footnote Reference,Footnote,Footnotes refss,Appel note de bas de page,Footnote Reference + Superscript,fr,Heading 6 Char1,do not use4 Char1,Bow_Footnote Reference"/>
    <w:basedOn w:val="DefaultParagraphFont"/>
    <w:uiPriority w:val="99"/>
    <w:unhideWhenUsed/>
    <w:qFormat/>
    <w:rsid w:val="000B6057"/>
    <w:rPr>
      <w:vertAlign w:val="superscript"/>
    </w:rPr>
  </w:style>
  <w:style w:type="character" w:styleId="Hyperlink">
    <w:name w:val="Hyperlink"/>
    <w:basedOn w:val="DefaultParagraphFont"/>
    <w:uiPriority w:val="99"/>
    <w:semiHidden/>
    <w:unhideWhenUsed/>
    <w:rsid w:val="003B2999"/>
    <w:rPr>
      <w:color w:val="0000FF"/>
      <w:u w:val="single"/>
    </w:rPr>
  </w:style>
  <w:style w:type="paragraph" w:styleId="NormalWeb">
    <w:name w:val="Normal (Web)"/>
    <w:basedOn w:val="Normal"/>
    <w:uiPriority w:val="99"/>
    <w:unhideWhenUsed/>
    <w:rsid w:val="003B2999"/>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3B2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999"/>
    <w:rPr>
      <w:rFonts w:ascii="Calibri" w:eastAsia="Calibri" w:hAnsi="Calibri" w:cs="Calibri"/>
      <w:color w:val="000000"/>
      <w:sz w:val="24"/>
      <w:lang w:eastAsia="en-ZA"/>
    </w:rPr>
  </w:style>
  <w:style w:type="paragraph" w:styleId="Footer">
    <w:name w:val="footer"/>
    <w:basedOn w:val="Normal"/>
    <w:link w:val="FooterChar"/>
    <w:uiPriority w:val="99"/>
    <w:unhideWhenUsed/>
    <w:rsid w:val="003B2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999"/>
    <w:rPr>
      <w:rFonts w:ascii="Calibri" w:eastAsia="Calibri" w:hAnsi="Calibri" w:cs="Calibri"/>
      <w:color w:val="000000"/>
      <w:sz w:val="24"/>
      <w:lang w:eastAsia="en-ZA"/>
    </w:rPr>
  </w:style>
  <w:style w:type="paragraph" w:styleId="BalloonText">
    <w:name w:val="Balloon Text"/>
    <w:basedOn w:val="Normal"/>
    <w:link w:val="BalloonTextChar"/>
    <w:uiPriority w:val="99"/>
    <w:semiHidden/>
    <w:unhideWhenUsed/>
    <w:rsid w:val="003B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99"/>
    <w:rPr>
      <w:rFonts w:ascii="Segoe UI" w:eastAsia="Calibri" w:hAnsi="Segoe UI" w:cs="Segoe UI"/>
      <w:color w:val="000000"/>
      <w:sz w:val="18"/>
      <w:szCs w:val="18"/>
      <w:lang w:eastAsia="en-ZA"/>
    </w:rPr>
  </w:style>
  <w:style w:type="character" w:styleId="CommentReference">
    <w:name w:val="annotation reference"/>
    <w:basedOn w:val="DefaultParagraphFont"/>
    <w:uiPriority w:val="99"/>
    <w:semiHidden/>
    <w:unhideWhenUsed/>
    <w:rsid w:val="006D4851"/>
    <w:rPr>
      <w:sz w:val="16"/>
      <w:szCs w:val="16"/>
    </w:rPr>
  </w:style>
  <w:style w:type="paragraph" w:styleId="CommentText">
    <w:name w:val="annotation text"/>
    <w:basedOn w:val="Normal"/>
    <w:link w:val="CommentTextChar"/>
    <w:uiPriority w:val="99"/>
    <w:semiHidden/>
    <w:unhideWhenUsed/>
    <w:rsid w:val="006D4851"/>
    <w:pPr>
      <w:spacing w:line="240" w:lineRule="auto"/>
    </w:pPr>
    <w:rPr>
      <w:sz w:val="20"/>
      <w:szCs w:val="20"/>
    </w:rPr>
  </w:style>
  <w:style w:type="character" w:customStyle="1" w:styleId="CommentTextChar">
    <w:name w:val="Comment Text Char"/>
    <w:basedOn w:val="DefaultParagraphFont"/>
    <w:link w:val="CommentText"/>
    <w:uiPriority w:val="99"/>
    <w:semiHidden/>
    <w:rsid w:val="006D4851"/>
    <w:rPr>
      <w:rFonts w:ascii="Calibri" w:eastAsia="Calibri" w:hAnsi="Calibri" w:cs="Calibri"/>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6D4851"/>
    <w:rPr>
      <w:b/>
      <w:bCs/>
    </w:rPr>
  </w:style>
  <w:style w:type="character" w:customStyle="1" w:styleId="CommentSubjectChar">
    <w:name w:val="Comment Subject Char"/>
    <w:basedOn w:val="CommentTextChar"/>
    <w:link w:val="CommentSubject"/>
    <w:uiPriority w:val="99"/>
    <w:semiHidden/>
    <w:rsid w:val="006D4851"/>
    <w:rPr>
      <w:rFonts w:ascii="Calibri" w:eastAsia="Calibri" w:hAnsi="Calibri" w:cs="Calibri"/>
      <w:b/>
      <w:bCs/>
      <w:color w:val="000000"/>
      <w:sz w:val="20"/>
      <w:szCs w:val="20"/>
      <w:lang w:eastAsia="en-ZA"/>
    </w:rPr>
  </w:style>
  <w:style w:type="table" w:styleId="TableGrid">
    <w:name w:val="Table Grid"/>
    <w:basedOn w:val="TableNormal"/>
    <w:rsid w:val="000314B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7364A"/>
    <w:pPr>
      <w:widowControl w:val="0"/>
      <w:tabs>
        <w:tab w:val="left" w:pos="-720"/>
      </w:tabs>
      <w:suppressAutoHyphens/>
      <w:spacing w:after="0" w:line="240" w:lineRule="auto"/>
      <w:ind w:left="720" w:hanging="720"/>
    </w:pPr>
    <w:rPr>
      <w:rFonts w:ascii="Times New Roman" w:eastAsia="Times New Roman" w:hAnsi="Times New Roman" w:cs="Times New Roman"/>
      <w:bCs/>
      <w:snapToGrid w:val="0"/>
      <w:color w:val="333333"/>
      <w:spacing w:val="-3"/>
      <w:szCs w:val="20"/>
      <w:lang w:val="en-GB" w:eastAsia="en-US"/>
    </w:rPr>
  </w:style>
  <w:style w:type="character" w:customStyle="1" w:styleId="BodyTextIndentChar">
    <w:name w:val="Body Text Indent Char"/>
    <w:basedOn w:val="DefaultParagraphFont"/>
    <w:link w:val="BodyTextIndent"/>
    <w:rsid w:val="0077364A"/>
    <w:rPr>
      <w:rFonts w:ascii="Times New Roman" w:eastAsia="Times New Roman" w:hAnsi="Times New Roman" w:cs="Times New Roman"/>
      <w:bCs/>
      <w:snapToGrid w:val="0"/>
      <w:color w:val="333333"/>
      <w:spacing w:val="-3"/>
      <w:sz w:val="24"/>
      <w:szCs w:val="20"/>
      <w:lang w:val="en-GB"/>
    </w:rPr>
  </w:style>
  <w:style w:type="character" w:customStyle="1" w:styleId="ListParagraphChar">
    <w:name w:val="List Paragraph Char"/>
    <w:aliases w:val="ML List paragraph Char"/>
    <w:basedOn w:val="DefaultParagraphFont"/>
    <w:link w:val="ListParagraph"/>
    <w:uiPriority w:val="34"/>
    <w:locked/>
    <w:rsid w:val="0077364A"/>
    <w:rPr>
      <w:rFonts w:ascii="Calibri" w:eastAsia="Calibri" w:hAnsi="Calibri" w:cs="Calibri"/>
      <w:color w:val="000000"/>
      <w:sz w:val="24"/>
      <w:lang w:eastAsia="en-ZA"/>
    </w:rPr>
  </w:style>
  <w:style w:type="character" w:customStyle="1" w:styleId="apple-converted-space">
    <w:name w:val="apple-converted-space"/>
    <w:basedOn w:val="DefaultParagraphFont"/>
    <w:rsid w:val="00941BE5"/>
  </w:style>
  <w:style w:type="character" w:customStyle="1" w:styleId="Hyperlink1">
    <w:name w:val="Hyperlink1"/>
    <w:basedOn w:val="DefaultParagraphFont"/>
    <w:uiPriority w:val="99"/>
    <w:unhideWhenUsed/>
    <w:rsid w:val="00483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3848">
      <w:bodyDiv w:val="1"/>
      <w:marLeft w:val="0"/>
      <w:marRight w:val="0"/>
      <w:marTop w:val="0"/>
      <w:marBottom w:val="0"/>
      <w:divBdr>
        <w:top w:val="none" w:sz="0" w:space="0" w:color="auto"/>
        <w:left w:val="none" w:sz="0" w:space="0" w:color="auto"/>
        <w:bottom w:val="none" w:sz="0" w:space="0" w:color="auto"/>
        <w:right w:val="none" w:sz="0" w:space="0" w:color="auto"/>
      </w:divBdr>
    </w:div>
    <w:div w:id="271481166">
      <w:bodyDiv w:val="1"/>
      <w:marLeft w:val="0"/>
      <w:marRight w:val="0"/>
      <w:marTop w:val="0"/>
      <w:marBottom w:val="0"/>
      <w:divBdr>
        <w:top w:val="none" w:sz="0" w:space="0" w:color="auto"/>
        <w:left w:val="none" w:sz="0" w:space="0" w:color="auto"/>
        <w:bottom w:val="none" w:sz="0" w:space="0" w:color="auto"/>
        <w:right w:val="none" w:sz="0" w:space="0" w:color="auto"/>
      </w:divBdr>
    </w:div>
    <w:div w:id="279141807">
      <w:bodyDiv w:val="1"/>
      <w:marLeft w:val="0"/>
      <w:marRight w:val="0"/>
      <w:marTop w:val="0"/>
      <w:marBottom w:val="0"/>
      <w:divBdr>
        <w:top w:val="none" w:sz="0" w:space="0" w:color="auto"/>
        <w:left w:val="none" w:sz="0" w:space="0" w:color="auto"/>
        <w:bottom w:val="none" w:sz="0" w:space="0" w:color="auto"/>
        <w:right w:val="none" w:sz="0" w:space="0" w:color="auto"/>
      </w:divBdr>
    </w:div>
    <w:div w:id="283196776">
      <w:bodyDiv w:val="1"/>
      <w:marLeft w:val="0"/>
      <w:marRight w:val="0"/>
      <w:marTop w:val="0"/>
      <w:marBottom w:val="0"/>
      <w:divBdr>
        <w:top w:val="none" w:sz="0" w:space="0" w:color="auto"/>
        <w:left w:val="none" w:sz="0" w:space="0" w:color="auto"/>
        <w:bottom w:val="none" w:sz="0" w:space="0" w:color="auto"/>
        <w:right w:val="none" w:sz="0" w:space="0" w:color="auto"/>
      </w:divBdr>
    </w:div>
    <w:div w:id="287201051">
      <w:bodyDiv w:val="1"/>
      <w:marLeft w:val="0"/>
      <w:marRight w:val="0"/>
      <w:marTop w:val="0"/>
      <w:marBottom w:val="0"/>
      <w:divBdr>
        <w:top w:val="none" w:sz="0" w:space="0" w:color="auto"/>
        <w:left w:val="none" w:sz="0" w:space="0" w:color="auto"/>
        <w:bottom w:val="none" w:sz="0" w:space="0" w:color="auto"/>
        <w:right w:val="none" w:sz="0" w:space="0" w:color="auto"/>
      </w:divBdr>
    </w:div>
    <w:div w:id="386875937">
      <w:bodyDiv w:val="1"/>
      <w:marLeft w:val="0"/>
      <w:marRight w:val="0"/>
      <w:marTop w:val="0"/>
      <w:marBottom w:val="0"/>
      <w:divBdr>
        <w:top w:val="none" w:sz="0" w:space="0" w:color="auto"/>
        <w:left w:val="none" w:sz="0" w:space="0" w:color="auto"/>
        <w:bottom w:val="none" w:sz="0" w:space="0" w:color="auto"/>
        <w:right w:val="none" w:sz="0" w:space="0" w:color="auto"/>
      </w:divBdr>
    </w:div>
    <w:div w:id="408430452">
      <w:bodyDiv w:val="1"/>
      <w:marLeft w:val="0"/>
      <w:marRight w:val="0"/>
      <w:marTop w:val="0"/>
      <w:marBottom w:val="0"/>
      <w:divBdr>
        <w:top w:val="none" w:sz="0" w:space="0" w:color="auto"/>
        <w:left w:val="none" w:sz="0" w:space="0" w:color="auto"/>
        <w:bottom w:val="none" w:sz="0" w:space="0" w:color="auto"/>
        <w:right w:val="none" w:sz="0" w:space="0" w:color="auto"/>
      </w:divBdr>
    </w:div>
    <w:div w:id="483132107">
      <w:bodyDiv w:val="1"/>
      <w:marLeft w:val="0"/>
      <w:marRight w:val="0"/>
      <w:marTop w:val="0"/>
      <w:marBottom w:val="0"/>
      <w:divBdr>
        <w:top w:val="none" w:sz="0" w:space="0" w:color="auto"/>
        <w:left w:val="none" w:sz="0" w:space="0" w:color="auto"/>
        <w:bottom w:val="none" w:sz="0" w:space="0" w:color="auto"/>
        <w:right w:val="none" w:sz="0" w:space="0" w:color="auto"/>
      </w:divBdr>
    </w:div>
    <w:div w:id="499085166">
      <w:bodyDiv w:val="1"/>
      <w:marLeft w:val="0"/>
      <w:marRight w:val="0"/>
      <w:marTop w:val="0"/>
      <w:marBottom w:val="0"/>
      <w:divBdr>
        <w:top w:val="none" w:sz="0" w:space="0" w:color="auto"/>
        <w:left w:val="none" w:sz="0" w:space="0" w:color="auto"/>
        <w:bottom w:val="none" w:sz="0" w:space="0" w:color="auto"/>
        <w:right w:val="none" w:sz="0" w:space="0" w:color="auto"/>
      </w:divBdr>
    </w:div>
    <w:div w:id="615016236">
      <w:bodyDiv w:val="1"/>
      <w:marLeft w:val="0"/>
      <w:marRight w:val="0"/>
      <w:marTop w:val="0"/>
      <w:marBottom w:val="0"/>
      <w:divBdr>
        <w:top w:val="none" w:sz="0" w:space="0" w:color="auto"/>
        <w:left w:val="none" w:sz="0" w:space="0" w:color="auto"/>
        <w:bottom w:val="none" w:sz="0" w:space="0" w:color="auto"/>
        <w:right w:val="none" w:sz="0" w:space="0" w:color="auto"/>
      </w:divBdr>
    </w:div>
    <w:div w:id="625821331">
      <w:bodyDiv w:val="1"/>
      <w:marLeft w:val="0"/>
      <w:marRight w:val="0"/>
      <w:marTop w:val="0"/>
      <w:marBottom w:val="0"/>
      <w:divBdr>
        <w:top w:val="none" w:sz="0" w:space="0" w:color="auto"/>
        <w:left w:val="none" w:sz="0" w:space="0" w:color="auto"/>
        <w:bottom w:val="none" w:sz="0" w:space="0" w:color="auto"/>
        <w:right w:val="none" w:sz="0" w:space="0" w:color="auto"/>
      </w:divBdr>
    </w:div>
    <w:div w:id="699084413">
      <w:bodyDiv w:val="1"/>
      <w:marLeft w:val="0"/>
      <w:marRight w:val="0"/>
      <w:marTop w:val="0"/>
      <w:marBottom w:val="0"/>
      <w:divBdr>
        <w:top w:val="none" w:sz="0" w:space="0" w:color="auto"/>
        <w:left w:val="none" w:sz="0" w:space="0" w:color="auto"/>
        <w:bottom w:val="none" w:sz="0" w:space="0" w:color="auto"/>
        <w:right w:val="none" w:sz="0" w:space="0" w:color="auto"/>
      </w:divBdr>
    </w:div>
    <w:div w:id="754547656">
      <w:bodyDiv w:val="1"/>
      <w:marLeft w:val="0"/>
      <w:marRight w:val="0"/>
      <w:marTop w:val="0"/>
      <w:marBottom w:val="0"/>
      <w:divBdr>
        <w:top w:val="none" w:sz="0" w:space="0" w:color="auto"/>
        <w:left w:val="none" w:sz="0" w:space="0" w:color="auto"/>
        <w:bottom w:val="none" w:sz="0" w:space="0" w:color="auto"/>
        <w:right w:val="none" w:sz="0" w:space="0" w:color="auto"/>
      </w:divBdr>
    </w:div>
    <w:div w:id="783573184">
      <w:bodyDiv w:val="1"/>
      <w:marLeft w:val="0"/>
      <w:marRight w:val="0"/>
      <w:marTop w:val="0"/>
      <w:marBottom w:val="0"/>
      <w:divBdr>
        <w:top w:val="none" w:sz="0" w:space="0" w:color="auto"/>
        <w:left w:val="none" w:sz="0" w:space="0" w:color="auto"/>
        <w:bottom w:val="none" w:sz="0" w:space="0" w:color="auto"/>
        <w:right w:val="none" w:sz="0" w:space="0" w:color="auto"/>
      </w:divBdr>
    </w:div>
    <w:div w:id="882669755">
      <w:bodyDiv w:val="1"/>
      <w:marLeft w:val="0"/>
      <w:marRight w:val="0"/>
      <w:marTop w:val="0"/>
      <w:marBottom w:val="0"/>
      <w:divBdr>
        <w:top w:val="none" w:sz="0" w:space="0" w:color="auto"/>
        <w:left w:val="none" w:sz="0" w:space="0" w:color="auto"/>
        <w:bottom w:val="none" w:sz="0" w:space="0" w:color="auto"/>
        <w:right w:val="none" w:sz="0" w:space="0" w:color="auto"/>
      </w:divBdr>
    </w:div>
    <w:div w:id="942802573">
      <w:bodyDiv w:val="1"/>
      <w:marLeft w:val="0"/>
      <w:marRight w:val="0"/>
      <w:marTop w:val="0"/>
      <w:marBottom w:val="0"/>
      <w:divBdr>
        <w:top w:val="none" w:sz="0" w:space="0" w:color="auto"/>
        <w:left w:val="none" w:sz="0" w:space="0" w:color="auto"/>
        <w:bottom w:val="none" w:sz="0" w:space="0" w:color="auto"/>
        <w:right w:val="none" w:sz="0" w:space="0" w:color="auto"/>
      </w:divBdr>
    </w:div>
    <w:div w:id="947200773">
      <w:bodyDiv w:val="1"/>
      <w:marLeft w:val="0"/>
      <w:marRight w:val="0"/>
      <w:marTop w:val="0"/>
      <w:marBottom w:val="0"/>
      <w:divBdr>
        <w:top w:val="none" w:sz="0" w:space="0" w:color="auto"/>
        <w:left w:val="none" w:sz="0" w:space="0" w:color="auto"/>
        <w:bottom w:val="none" w:sz="0" w:space="0" w:color="auto"/>
        <w:right w:val="none" w:sz="0" w:space="0" w:color="auto"/>
      </w:divBdr>
    </w:div>
    <w:div w:id="956571230">
      <w:bodyDiv w:val="1"/>
      <w:marLeft w:val="0"/>
      <w:marRight w:val="0"/>
      <w:marTop w:val="0"/>
      <w:marBottom w:val="0"/>
      <w:divBdr>
        <w:top w:val="none" w:sz="0" w:space="0" w:color="auto"/>
        <w:left w:val="none" w:sz="0" w:space="0" w:color="auto"/>
        <w:bottom w:val="none" w:sz="0" w:space="0" w:color="auto"/>
        <w:right w:val="none" w:sz="0" w:space="0" w:color="auto"/>
      </w:divBdr>
    </w:div>
    <w:div w:id="1007633712">
      <w:bodyDiv w:val="1"/>
      <w:marLeft w:val="0"/>
      <w:marRight w:val="0"/>
      <w:marTop w:val="0"/>
      <w:marBottom w:val="0"/>
      <w:divBdr>
        <w:top w:val="none" w:sz="0" w:space="0" w:color="auto"/>
        <w:left w:val="none" w:sz="0" w:space="0" w:color="auto"/>
        <w:bottom w:val="none" w:sz="0" w:space="0" w:color="auto"/>
        <w:right w:val="none" w:sz="0" w:space="0" w:color="auto"/>
      </w:divBdr>
    </w:div>
    <w:div w:id="1084182330">
      <w:bodyDiv w:val="1"/>
      <w:marLeft w:val="0"/>
      <w:marRight w:val="0"/>
      <w:marTop w:val="0"/>
      <w:marBottom w:val="0"/>
      <w:divBdr>
        <w:top w:val="none" w:sz="0" w:space="0" w:color="auto"/>
        <w:left w:val="none" w:sz="0" w:space="0" w:color="auto"/>
        <w:bottom w:val="none" w:sz="0" w:space="0" w:color="auto"/>
        <w:right w:val="none" w:sz="0" w:space="0" w:color="auto"/>
      </w:divBdr>
    </w:div>
    <w:div w:id="1185751429">
      <w:bodyDiv w:val="1"/>
      <w:marLeft w:val="0"/>
      <w:marRight w:val="0"/>
      <w:marTop w:val="0"/>
      <w:marBottom w:val="0"/>
      <w:divBdr>
        <w:top w:val="none" w:sz="0" w:space="0" w:color="auto"/>
        <w:left w:val="none" w:sz="0" w:space="0" w:color="auto"/>
        <w:bottom w:val="none" w:sz="0" w:space="0" w:color="auto"/>
        <w:right w:val="none" w:sz="0" w:space="0" w:color="auto"/>
      </w:divBdr>
    </w:div>
    <w:div w:id="1218667885">
      <w:bodyDiv w:val="1"/>
      <w:marLeft w:val="0"/>
      <w:marRight w:val="0"/>
      <w:marTop w:val="0"/>
      <w:marBottom w:val="0"/>
      <w:divBdr>
        <w:top w:val="none" w:sz="0" w:space="0" w:color="auto"/>
        <w:left w:val="none" w:sz="0" w:space="0" w:color="auto"/>
        <w:bottom w:val="none" w:sz="0" w:space="0" w:color="auto"/>
        <w:right w:val="none" w:sz="0" w:space="0" w:color="auto"/>
      </w:divBdr>
    </w:div>
    <w:div w:id="1218853604">
      <w:bodyDiv w:val="1"/>
      <w:marLeft w:val="0"/>
      <w:marRight w:val="0"/>
      <w:marTop w:val="0"/>
      <w:marBottom w:val="0"/>
      <w:divBdr>
        <w:top w:val="none" w:sz="0" w:space="0" w:color="auto"/>
        <w:left w:val="none" w:sz="0" w:space="0" w:color="auto"/>
        <w:bottom w:val="none" w:sz="0" w:space="0" w:color="auto"/>
        <w:right w:val="none" w:sz="0" w:space="0" w:color="auto"/>
      </w:divBdr>
    </w:div>
    <w:div w:id="1226376633">
      <w:bodyDiv w:val="1"/>
      <w:marLeft w:val="0"/>
      <w:marRight w:val="0"/>
      <w:marTop w:val="0"/>
      <w:marBottom w:val="0"/>
      <w:divBdr>
        <w:top w:val="none" w:sz="0" w:space="0" w:color="auto"/>
        <w:left w:val="none" w:sz="0" w:space="0" w:color="auto"/>
        <w:bottom w:val="none" w:sz="0" w:space="0" w:color="auto"/>
        <w:right w:val="none" w:sz="0" w:space="0" w:color="auto"/>
      </w:divBdr>
    </w:div>
    <w:div w:id="1258560515">
      <w:bodyDiv w:val="1"/>
      <w:marLeft w:val="0"/>
      <w:marRight w:val="0"/>
      <w:marTop w:val="0"/>
      <w:marBottom w:val="0"/>
      <w:divBdr>
        <w:top w:val="none" w:sz="0" w:space="0" w:color="auto"/>
        <w:left w:val="none" w:sz="0" w:space="0" w:color="auto"/>
        <w:bottom w:val="none" w:sz="0" w:space="0" w:color="auto"/>
        <w:right w:val="none" w:sz="0" w:space="0" w:color="auto"/>
      </w:divBdr>
    </w:div>
    <w:div w:id="1281492149">
      <w:bodyDiv w:val="1"/>
      <w:marLeft w:val="0"/>
      <w:marRight w:val="0"/>
      <w:marTop w:val="0"/>
      <w:marBottom w:val="0"/>
      <w:divBdr>
        <w:top w:val="none" w:sz="0" w:space="0" w:color="auto"/>
        <w:left w:val="none" w:sz="0" w:space="0" w:color="auto"/>
        <w:bottom w:val="none" w:sz="0" w:space="0" w:color="auto"/>
        <w:right w:val="none" w:sz="0" w:space="0" w:color="auto"/>
      </w:divBdr>
    </w:div>
    <w:div w:id="1384062371">
      <w:bodyDiv w:val="1"/>
      <w:marLeft w:val="0"/>
      <w:marRight w:val="0"/>
      <w:marTop w:val="0"/>
      <w:marBottom w:val="0"/>
      <w:divBdr>
        <w:top w:val="none" w:sz="0" w:space="0" w:color="auto"/>
        <w:left w:val="none" w:sz="0" w:space="0" w:color="auto"/>
        <w:bottom w:val="none" w:sz="0" w:space="0" w:color="auto"/>
        <w:right w:val="none" w:sz="0" w:space="0" w:color="auto"/>
      </w:divBdr>
    </w:div>
    <w:div w:id="1391343754">
      <w:bodyDiv w:val="1"/>
      <w:marLeft w:val="0"/>
      <w:marRight w:val="0"/>
      <w:marTop w:val="0"/>
      <w:marBottom w:val="0"/>
      <w:divBdr>
        <w:top w:val="none" w:sz="0" w:space="0" w:color="auto"/>
        <w:left w:val="none" w:sz="0" w:space="0" w:color="auto"/>
        <w:bottom w:val="none" w:sz="0" w:space="0" w:color="auto"/>
        <w:right w:val="none" w:sz="0" w:space="0" w:color="auto"/>
      </w:divBdr>
    </w:div>
    <w:div w:id="1437022596">
      <w:bodyDiv w:val="1"/>
      <w:marLeft w:val="0"/>
      <w:marRight w:val="0"/>
      <w:marTop w:val="0"/>
      <w:marBottom w:val="0"/>
      <w:divBdr>
        <w:top w:val="none" w:sz="0" w:space="0" w:color="auto"/>
        <w:left w:val="none" w:sz="0" w:space="0" w:color="auto"/>
        <w:bottom w:val="none" w:sz="0" w:space="0" w:color="auto"/>
        <w:right w:val="none" w:sz="0" w:space="0" w:color="auto"/>
      </w:divBdr>
    </w:div>
    <w:div w:id="1711570796">
      <w:bodyDiv w:val="1"/>
      <w:marLeft w:val="0"/>
      <w:marRight w:val="0"/>
      <w:marTop w:val="0"/>
      <w:marBottom w:val="0"/>
      <w:divBdr>
        <w:top w:val="none" w:sz="0" w:space="0" w:color="auto"/>
        <w:left w:val="none" w:sz="0" w:space="0" w:color="auto"/>
        <w:bottom w:val="none" w:sz="0" w:space="0" w:color="auto"/>
        <w:right w:val="none" w:sz="0" w:space="0" w:color="auto"/>
      </w:divBdr>
    </w:div>
    <w:div w:id="1859811739">
      <w:bodyDiv w:val="1"/>
      <w:marLeft w:val="0"/>
      <w:marRight w:val="0"/>
      <w:marTop w:val="0"/>
      <w:marBottom w:val="0"/>
      <w:divBdr>
        <w:top w:val="none" w:sz="0" w:space="0" w:color="auto"/>
        <w:left w:val="none" w:sz="0" w:space="0" w:color="auto"/>
        <w:bottom w:val="none" w:sz="0" w:space="0" w:color="auto"/>
        <w:right w:val="none" w:sz="0" w:space="0" w:color="auto"/>
      </w:divBdr>
    </w:div>
    <w:div w:id="1966080872">
      <w:bodyDiv w:val="1"/>
      <w:marLeft w:val="0"/>
      <w:marRight w:val="0"/>
      <w:marTop w:val="0"/>
      <w:marBottom w:val="0"/>
      <w:divBdr>
        <w:top w:val="none" w:sz="0" w:space="0" w:color="auto"/>
        <w:left w:val="none" w:sz="0" w:space="0" w:color="auto"/>
        <w:bottom w:val="none" w:sz="0" w:space="0" w:color="auto"/>
        <w:right w:val="none" w:sz="0" w:space="0" w:color="auto"/>
      </w:divBdr>
    </w:div>
    <w:div w:id="1967272830">
      <w:bodyDiv w:val="1"/>
      <w:marLeft w:val="0"/>
      <w:marRight w:val="0"/>
      <w:marTop w:val="0"/>
      <w:marBottom w:val="0"/>
      <w:divBdr>
        <w:top w:val="none" w:sz="0" w:space="0" w:color="auto"/>
        <w:left w:val="none" w:sz="0" w:space="0" w:color="auto"/>
        <w:bottom w:val="none" w:sz="0" w:space="0" w:color="auto"/>
        <w:right w:val="none" w:sz="0" w:space="0" w:color="auto"/>
      </w:divBdr>
    </w:div>
    <w:div w:id="1981226156">
      <w:bodyDiv w:val="1"/>
      <w:marLeft w:val="0"/>
      <w:marRight w:val="0"/>
      <w:marTop w:val="0"/>
      <w:marBottom w:val="0"/>
      <w:divBdr>
        <w:top w:val="none" w:sz="0" w:space="0" w:color="auto"/>
        <w:left w:val="none" w:sz="0" w:space="0" w:color="auto"/>
        <w:bottom w:val="none" w:sz="0" w:space="0" w:color="auto"/>
        <w:right w:val="none" w:sz="0" w:space="0" w:color="auto"/>
      </w:divBdr>
    </w:div>
    <w:div w:id="2106145989">
      <w:bodyDiv w:val="1"/>
      <w:marLeft w:val="0"/>
      <w:marRight w:val="0"/>
      <w:marTop w:val="0"/>
      <w:marBottom w:val="0"/>
      <w:divBdr>
        <w:top w:val="none" w:sz="0" w:space="0" w:color="auto"/>
        <w:left w:val="none" w:sz="0" w:space="0" w:color="auto"/>
        <w:bottom w:val="none" w:sz="0" w:space="0" w:color="auto"/>
        <w:right w:val="none" w:sz="0" w:space="0" w:color="auto"/>
      </w:divBdr>
    </w:div>
    <w:div w:id="21314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y2006v4SApg326" TargetMode="External"/><Relationship Id="rId2" Type="http://schemas.openxmlformats.org/officeDocument/2006/relationships/hyperlink" Target="https://app.jutastatevolve.co.za/y2020v3SApg241" TargetMode="External"/><Relationship Id="rId1" Type="http://schemas.openxmlformats.org/officeDocument/2006/relationships/hyperlink" Target="https://app.jutastatevolve.co.za/y2013v6SApg421" TargetMode="External"/><Relationship Id="rId4" Type="http://schemas.openxmlformats.org/officeDocument/2006/relationships/hyperlink" Target="http://www.saflii.org/cgi-bin/LawCite?cit=2013%20%285%29%20SA%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A785-76BB-4B35-A653-A8B9FC4A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4389</Words>
  <Characters>25021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Dos Santos</dc:creator>
  <cp:keywords/>
  <dc:description/>
  <cp:lastModifiedBy>Mary Bruce</cp:lastModifiedBy>
  <cp:revision>5</cp:revision>
  <cp:lastPrinted>2023-11-10T10:08:00Z</cp:lastPrinted>
  <dcterms:created xsi:type="dcterms:W3CDTF">2023-11-13T10:29:00Z</dcterms:created>
  <dcterms:modified xsi:type="dcterms:W3CDTF">2023-11-14T09:40:00Z</dcterms:modified>
</cp:coreProperties>
</file>