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0A2B52B0"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00424A5C"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4371CFEB"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08F7F4F"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7EE7365C"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2D21D8">
                              <w:rPr>
                                <w:rFonts w:ascii="Century Gothic" w:hAnsi="Century Gothic"/>
                                <w:sz w:val="18"/>
                                <w:szCs w:val="18"/>
                              </w:rPr>
                              <w:t>14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">
                <v:textbox>
                  <w:txbxContent>
                    <w:p w14:paraId="56D477FD" w14:textId="0A2B52B0"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4799B">
                        <w:rPr>
                          <w:rFonts w:ascii="Century Gothic" w:hAnsi="Century Gothic"/>
                          <w:sz w:val="20"/>
                          <w:szCs w:val="20"/>
                        </w:rPr>
                        <w:t xml:space="preserve">REPORTABLE: </w:t>
                      </w:r>
                      <w:r w:rsidR="005243F1">
                        <w:rPr>
                          <w:rFonts w:ascii="Century Gothic" w:hAnsi="Century Gothic"/>
                          <w:sz w:val="20"/>
                          <w:szCs w:val="20"/>
                        </w:rPr>
                        <w:t>No</w:t>
                      </w:r>
                    </w:p>
                    <w:p w14:paraId="300C0173" w14:textId="00424A5C"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F2A2D">
                        <w:rPr>
                          <w:rFonts w:ascii="Century Gothic" w:hAnsi="Century Gothic"/>
                          <w:sz w:val="20"/>
                          <w:szCs w:val="20"/>
                        </w:rPr>
                        <w:t>OF INTEREST TO OTHER JUDGES:</w:t>
                      </w:r>
                      <w:r w:rsidR="005243F1">
                        <w:rPr>
                          <w:rFonts w:ascii="Century Gothic" w:hAnsi="Century Gothic"/>
                          <w:sz w:val="20"/>
                          <w:szCs w:val="20"/>
                        </w:rPr>
                        <w:t xml:space="preserve"> No</w:t>
                      </w:r>
                    </w:p>
                    <w:p w14:paraId="57A058C4" w14:textId="4371CFEB" w:rsidR="006F2A2D" w:rsidRDefault="00B60877" w:rsidP="00B6087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F2A2D">
                        <w:rPr>
                          <w:rFonts w:ascii="Century Gothic" w:hAnsi="Century Gothic"/>
                          <w:sz w:val="20"/>
                          <w:szCs w:val="20"/>
                        </w:rPr>
                        <w:t xml:space="preserve">REVISED.  </w:t>
                      </w:r>
                    </w:p>
                    <w:p w14:paraId="00DE972E" w14:textId="008F7F4F" w:rsidR="006F2A2D" w:rsidRDefault="006F2A2D"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7EE7365C"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2D21D8">
                        <w:rPr>
                          <w:rFonts w:ascii="Century Gothic" w:hAnsi="Century Gothic"/>
                          <w:sz w:val="18"/>
                          <w:szCs w:val="18"/>
                        </w:rPr>
                        <w:t>14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33247BE2"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5243F1">
        <w:rPr>
          <w:rFonts w:cs="Arial"/>
          <w:b w:val="0"/>
          <w:sz w:val="24"/>
          <w:szCs w:val="24"/>
          <w:lang w:val="en-US"/>
        </w:rPr>
        <w:t>A3148/2021</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6EA75560" w:rsidR="00760139" w:rsidRPr="008F5371" w:rsidRDefault="005243F1" w:rsidP="00D261C3">
      <w:pPr>
        <w:tabs>
          <w:tab w:val="right" w:pos="8646"/>
        </w:tabs>
        <w:rPr>
          <w:rFonts w:ascii="Arial" w:hAnsi="Arial"/>
        </w:rPr>
      </w:pPr>
      <w:r>
        <w:rPr>
          <w:rFonts w:ascii="Arial" w:hAnsi="Arial"/>
          <w:b/>
        </w:rPr>
        <w:t>ALUDAR 233 CC</w:t>
      </w:r>
      <w:r w:rsidR="00D7474F">
        <w:rPr>
          <w:rFonts w:ascii="Arial" w:hAnsi="Arial"/>
        </w:rPr>
        <w:tab/>
      </w:r>
      <w:r>
        <w:rPr>
          <w:rFonts w:ascii="Arial" w:hAnsi="Arial"/>
        </w:rPr>
        <w:t>Appellant</w:t>
      </w:r>
    </w:p>
    <w:p w14:paraId="577115F9" w14:textId="77777777" w:rsidR="00D7474F" w:rsidRPr="00D261C3" w:rsidRDefault="00D7474F" w:rsidP="00D261C3">
      <w:pPr>
        <w:tabs>
          <w:tab w:val="right" w:pos="8646"/>
        </w:tabs>
        <w:rPr>
          <w:rFonts w:ascii="Arial" w:hAnsi="Arial"/>
        </w:rPr>
      </w:pPr>
    </w:p>
    <w:p w14:paraId="7F2EE8DD" w14:textId="09E38654" w:rsidR="008F5371" w:rsidRDefault="008F5371" w:rsidP="00D261C3">
      <w:pPr>
        <w:tabs>
          <w:tab w:val="right" w:pos="8646"/>
        </w:tabs>
        <w:rPr>
          <w:rFonts w:ascii="Arial" w:hAnsi="Arial"/>
          <w:bCs/>
        </w:rPr>
      </w:pPr>
      <w:r>
        <w:rPr>
          <w:rFonts w:ascii="Arial" w:hAnsi="Arial"/>
          <w:bCs/>
        </w:rPr>
        <w:t>and</w:t>
      </w:r>
    </w:p>
    <w:p w14:paraId="5218E326" w14:textId="77777777" w:rsidR="00840B4E" w:rsidRDefault="00840B4E" w:rsidP="00D261C3">
      <w:pPr>
        <w:tabs>
          <w:tab w:val="right" w:pos="8646"/>
        </w:tabs>
        <w:rPr>
          <w:rFonts w:ascii="Arial" w:hAnsi="Arial"/>
          <w:bCs/>
        </w:rPr>
      </w:pPr>
    </w:p>
    <w:p w14:paraId="64FB5639" w14:textId="091D8E8F" w:rsidR="00840B4E" w:rsidRDefault="005243F1" w:rsidP="00D261C3">
      <w:pPr>
        <w:tabs>
          <w:tab w:val="right" w:pos="8646"/>
        </w:tabs>
        <w:rPr>
          <w:rFonts w:ascii="Arial" w:hAnsi="Arial"/>
          <w:bCs/>
        </w:rPr>
      </w:pPr>
      <w:r>
        <w:rPr>
          <w:rFonts w:ascii="Arial" w:hAnsi="Arial"/>
          <w:b/>
        </w:rPr>
        <w:t>UNLOCKED PROPERTIES 28 (PTY) LTD</w:t>
      </w:r>
      <w:r w:rsidR="00840B4E">
        <w:rPr>
          <w:rFonts w:ascii="Arial" w:hAnsi="Arial"/>
          <w:bCs/>
        </w:rPr>
        <w:tab/>
        <w:t>Respondent</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sidRPr="000104F0">
        <w:rPr>
          <w:rFonts w:ascii="Arial" w:eastAsia="Calibri" w:hAnsi="Arial" w:cs="Arial"/>
          <w:b/>
          <w:bCs/>
          <w:color w:val="000000" w:themeColor="text1"/>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41719B2D" w14:textId="50ED8771" w:rsidR="00BA314A" w:rsidRDefault="00B60877" w:rsidP="00B60877">
      <w:pPr>
        <w:pStyle w:val="Paragraph12pt"/>
        <w:tabs>
          <w:tab w:val="left" w:pos="851"/>
        </w:tabs>
        <w:ind w:left="851" w:hanging="851"/>
        <w:rPr>
          <w:bCs/>
        </w:rPr>
      </w:pPr>
      <w:r>
        <w:rPr>
          <w:rFonts w:cs="Arial"/>
          <w:bCs/>
          <w:color w:val="000000"/>
          <w:szCs w:val="24"/>
        </w:rPr>
        <w:t>1</w:t>
      </w:r>
      <w:r>
        <w:rPr>
          <w:rFonts w:cs="Arial"/>
          <w:bCs/>
          <w:color w:val="000000"/>
          <w:szCs w:val="24"/>
        </w:rPr>
        <w:tab/>
      </w:r>
      <w:r w:rsidR="001C2236">
        <w:rPr>
          <w:bCs/>
        </w:rPr>
        <w:t xml:space="preserve">The appellant, </w:t>
      </w:r>
      <w:proofErr w:type="spellStart"/>
      <w:r w:rsidR="001C2236">
        <w:rPr>
          <w:bCs/>
        </w:rPr>
        <w:t>Aludar</w:t>
      </w:r>
      <w:proofErr w:type="spellEnd"/>
      <w:r w:rsidR="006C3436">
        <w:rPr>
          <w:bCs/>
        </w:rPr>
        <w:t xml:space="preserve"> 233 CC (“</w:t>
      </w:r>
      <w:proofErr w:type="spellStart"/>
      <w:r w:rsidR="006C3436">
        <w:rPr>
          <w:bCs/>
        </w:rPr>
        <w:t>Aludar</w:t>
      </w:r>
      <w:proofErr w:type="spellEnd"/>
      <w:r w:rsidR="006C3436">
        <w:rPr>
          <w:bCs/>
        </w:rPr>
        <w:t>”),</w:t>
      </w:r>
      <w:r w:rsidR="001C2236">
        <w:rPr>
          <w:bCs/>
        </w:rPr>
        <w:t xml:space="preserve"> rented premises from the respondent, </w:t>
      </w:r>
      <w:bookmarkStart w:id="0" w:name="_Hlk150856034"/>
      <w:r w:rsidR="001C2236">
        <w:rPr>
          <w:bCs/>
        </w:rPr>
        <w:t>Unlocked Properties</w:t>
      </w:r>
      <w:r w:rsidR="006C3436">
        <w:rPr>
          <w:bCs/>
        </w:rPr>
        <w:t xml:space="preserve"> </w:t>
      </w:r>
      <w:bookmarkEnd w:id="0"/>
      <w:r w:rsidR="006C3436">
        <w:rPr>
          <w:bCs/>
        </w:rPr>
        <w:t>28 (Pty) Ltd</w:t>
      </w:r>
      <w:r w:rsidR="006C3436" w:rsidRPr="006C3436">
        <w:rPr>
          <w:bCs/>
        </w:rPr>
        <w:t xml:space="preserve"> </w:t>
      </w:r>
      <w:r w:rsidR="006C3436">
        <w:rPr>
          <w:bCs/>
        </w:rPr>
        <w:t>(“Unlocked Properties”)</w:t>
      </w:r>
      <w:r w:rsidR="001C2236">
        <w:rPr>
          <w:bCs/>
        </w:rPr>
        <w:t xml:space="preserve">. The lease between the parties provided that the </w:t>
      </w:r>
      <w:r w:rsidR="00C205A5">
        <w:rPr>
          <w:bCs/>
        </w:rPr>
        <w:t>property</w:t>
      </w:r>
      <w:r w:rsidR="001C2236">
        <w:rPr>
          <w:bCs/>
        </w:rPr>
        <w:t xml:space="preserve"> </w:t>
      </w:r>
      <w:r w:rsidR="00C205A5">
        <w:rPr>
          <w:bCs/>
        </w:rPr>
        <w:t>was</w:t>
      </w:r>
      <w:r w:rsidR="001C2236">
        <w:rPr>
          <w:bCs/>
        </w:rPr>
        <w:t xml:space="preserve"> to be used as a nightclub, and only for that purpose. The lease was</w:t>
      </w:r>
      <w:r w:rsidR="001D04E6">
        <w:rPr>
          <w:bCs/>
        </w:rPr>
        <w:t xml:space="preserve"> to</w:t>
      </w:r>
      <w:r w:rsidR="001C2236">
        <w:rPr>
          <w:bCs/>
        </w:rPr>
        <w:t xml:space="preserve"> run between 1 September 2019 and 30 August 2020. </w:t>
      </w:r>
    </w:p>
    <w:p w14:paraId="38F77F0C" w14:textId="396ACAA9" w:rsidR="006666C9" w:rsidRDefault="00B60877" w:rsidP="00B60877">
      <w:pPr>
        <w:pStyle w:val="Paragraph12pt"/>
        <w:tabs>
          <w:tab w:val="left" w:pos="851"/>
        </w:tabs>
        <w:ind w:left="851" w:hanging="851"/>
        <w:rPr>
          <w:bCs/>
        </w:rPr>
      </w:pPr>
      <w:r>
        <w:rPr>
          <w:rFonts w:cs="Arial"/>
          <w:bCs/>
          <w:color w:val="000000"/>
          <w:szCs w:val="24"/>
        </w:rPr>
        <w:t>2</w:t>
      </w:r>
      <w:r>
        <w:rPr>
          <w:rFonts w:cs="Arial"/>
          <w:bCs/>
          <w:color w:val="000000"/>
          <w:szCs w:val="24"/>
        </w:rPr>
        <w:tab/>
      </w:r>
      <w:r w:rsidR="006666C9">
        <w:rPr>
          <w:bCs/>
        </w:rPr>
        <w:t xml:space="preserve">On 18 March 2020, the government declared a National State of Disaster in terms of section 27 of the Disaster Management Act 57 of 2002. The purpose </w:t>
      </w:r>
      <w:r w:rsidR="006666C9">
        <w:rPr>
          <w:bCs/>
        </w:rPr>
        <w:lastRenderedPageBreak/>
        <w:t>of the declaration was to enable the state to take measures to curb the transmission of the Covid-19 virus. Those measures were introduced by regulation, and they transformed most South Africans’ daily lives for the weeks and months that followed. At the core of the regulations were measures to curtail social gatherings except between members of the same household. Restaurants and bars were closed for an extended period,</w:t>
      </w:r>
      <w:r w:rsidR="00D37705">
        <w:rPr>
          <w:bCs/>
        </w:rPr>
        <w:t xml:space="preserve"> the sale of alcohol was banned,</w:t>
      </w:r>
      <w:r w:rsidR="006666C9">
        <w:rPr>
          <w:bCs/>
        </w:rPr>
        <w:t xml:space="preserve"> and the operation of a nightclub was clearly placed off-limits.</w:t>
      </w:r>
    </w:p>
    <w:p w14:paraId="6C31B9F0" w14:textId="740686B5" w:rsidR="006666C9" w:rsidRDefault="00B60877" w:rsidP="00B60877">
      <w:pPr>
        <w:pStyle w:val="Paragraph12pt"/>
        <w:tabs>
          <w:tab w:val="left" w:pos="851"/>
        </w:tabs>
        <w:ind w:left="851" w:hanging="851"/>
        <w:rPr>
          <w:bCs/>
        </w:rPr>
      </w:pPr>
      <w:r>
        <w:rPr>
          <w:rFonts w:cs="Arial"/>
          <w:bCs/>
          <w:color w:val="000000"/>
          <w:szCs w:val="24"/>
        </w:rPr>
        <w:t>3</w:t>
      </w:r>
      <w:r>
        <w:rPr>
          <w:rFonts w:cs="Arial"/>
          <w:bCs/>
          <w:color w:val="000000"/>
          <w:szCs w:val="24"/>
        </w:rPr>
        <w:tab/>
      </w:r>
      <w:r w:rsidR="006666C9">
        <w:rPr>
          <w:bCs/>
        </w:rPr>
        <w:t xml:space="preserve">Faced with the extinction of any possibility of operating a nightclub at the </w:t>
      </w:r>
      <w:r w:rsidR="00C205A5">
        <w:rPr>
          <w:bCs/>
        </w:rPr>
        <w:t>property</w:t>
      </w:r>
      <w:r w:rsidR="006666C9">
        <w:rPr>
          <w:bCs/>
        </w:rPr>
        <w:t xml:space="preserve">, </w:t>
      </w:r>
      <w:proofErr w:type="spellStart"/>
      <w:r w:rsidR="006666C9">
        <w:rPr>
          <w:bCs/>
        </w:rPr>
        <w:t>Aludar</w:t>
      </w:r>
      <w:proofErr w:type="spellEnd"/>
      <w:r w:rsidR="006666C9">
        <w:rPr>
          <w:bCs/>
        </w:rPr>
        <w:t xml:space="preserve"> took the view that the lease had been terminated by supervening impossibility of performance. It stopped paying rent from March 2020, and quit the property. </w:t>
      </w:r>
      <w:r w:rsidR="0076704A">
        <w:rPr>
          <w:bCs/>
        </w:rPr>
        <w:t>In its particulars of claim in the court below, Unlocked Properties allege</w:t>
      </w:r>
      <w:r w:rsidR="00460B46">
        <w:rPr>
          <w:bCs/>
        </w:rPr>
        <w:t>s</w:t>
      </w:r>
      <w:r w:rsidR="0076704A">
        <w:rPr>
          <w:bCs/>
        </w:rPr>
        <w:t xml:space="preserve"> that </w:t>
      </w:r>
      <w:proofErr w:type="spellStart"/>
      <w:r w:rsidR="0076704A">
        <w:rPr>
          <w:bCs/>
        </w:rPr>
        <w:t>Aludar</w:t>
      </w:r>
      <w:proofErr w:type="spellEnd"/>
      <w:r w:rsidR="0076704A">
        <w:rPr>
          <w:bCs/>
        </w:rPr>
        <w:t xml:space="preserve"> vacated the property on 10 September 2020. In its plea, </w:t>
      </w:r>
      <w:proofErr w:type="spellStart"/>
      <w:r w:rsidR="0076704A">
        <w:rPr>
          <w:bCs/>
        </w:rPr>
        <w:t>A</w:t>
      </w:r>
      <w:r w:rsidR="00513645">
        <w:rPr>
          <w:bCs/>
        </w:rPr>
        <w:t>l</w:t>
      </w:r>
      <w:r w:rsidR="0076704A">
        <w:rPr>
          <w:bCs/>
        </w:rPr>
        <w:t>u</w:t>
      </w:r>
      <w:r w:rsidR="00513645">
        <w:rPr>
          <w:bCs/>
        </w:rPr>
        <w:t>d</w:t>
      </w:r>
      <w:r w:rsidR="0076704A">
        <w:rPr>
          <w:bCs/>
        </w:rPr>
        <w:t>ar</w:t>
      </w:r>
      <w:proofErr w:type="spellEnd"/>
      <w:r w:rsidR="0076704A">
        <w:rPr>
          <w:bCs/>
        </w:rPr>
        <w:t xml:space="preserve"> does not specifically admit that it left the property on that date. It instead avers that the lease agreement was deemed to have been cancelled on or about 18 April 2023. </w:t>
      </w:r>
      <w:proofErr w:type="spellStart"/>
      <w:r w:rsidR="00D435D6">
        <w:rPr>
          <w:bCs/>
        </w:rPr>
        <w:t>A</w:t>
      </w:r>
      <w:r w:rsidR="00513645">
        <w:rPr>
          <w:bCs/>
        </w:rPr>
        <w:t>l</w:t>
      </w:r>
      <w:r w:rsidR="00D435D6">
        <w:rPr>
          <w:bCs/>
        </w:rPr>
        <w:t>u</w:t>
      </w:r>
      <w:r w:rsidR="00513645">
        <w:rPr>
          <w:bCs/>
        </w:rPr>
        <w:t>d</w:t>
      </w:r>
      <w:r w:rsidR="00D435D6">
        <w:rPr>
          <w:bCs/>
        </w:rPr>
        <w:t>ar</w:t>
      </w:r>
      <w:proofErr w:type="spellEnd"/>
      <w:r w:rsidR="00D435D6">
        <w:rPr>
          <w:bCs/>
        </w:rPr>
        <w:t xml:space="preserve"> also pleads that it would be contrary to public policy to hold it to the terms of the lease in circumstances where it had unforeseeably become impossible to use the property as both parties had agreed it must be used. </w:t>
      </w:r>
    </w:p>
    <w:p w14:paraId="4315FAA5" w14:textId="5BD42118" w:rsidR="0076704A" w:rsidRDefault="00B60877" w:rsidP="00B60877">
      <w:pPr>
        <w:pStyle w:val="Paragraph12pt"/>
        <w:tabs>
          <w:tab w:val="left" w:pos="851"/>
        </w:tabs>
        <w:ind w:left="851" w:hanging="851"/>
        <w:rPr>
          <w:bCs/>
        </w:rPr>
      </w:pPr>
      <w:r>
        <w:rPr>
          <w:rFonts w:cs="Arial"/>
          <w:bCs/>
          <w:color w:val="000000"/>
          <w:szCs w:val="24"/>
        </w:rPr>
        <w:t>4</w:t>
      </w:r>
      <w:r>
        <w:rPr>
          <w:rFonts w:cs="Arial"/>
          <w:bCs/>
          <w:color w:val="000000"/>
          <w:szCs w:val="24"/>
        </w:rPr>
        <w:tab/>
      </w:r>
      <w:r w:rsidR="0076704A">
        <w:rPr>
          <w:bCs/>
        </w:rPr>
        <w:t>Unlocked Properties took the view that, notwithstanding the impossibility of A</w:t>
      </w:r>
      <w:r w:rsidR="00513645">
        <w:rPr>
          <w:bCs/>
        </w:rPr>
        <w:t>l</w:t>
      </w:r>
      <w:r w:rsidR="0076704A">
        <w:rPr>
          <w:bCs/>
        </w:rPr>
        <w:t>u</w:t>
      </w:r>
      <w:r w:rsidR="00513645">
        <w:rPr>
          <w:bCs/>
        </w:rPr>
        <w:t>d</w:t>
      </w:r>
      <w:r w:rsidR="0076704A">
        <w:rPr>
          <w:bCs/>
        </w:rPr>
        <w:t xml:space="preserve">ar using the premises for the sole and exclusive purpose for which it had been let, </w:t>
      </w:r>
      <w:proofErr w:type="spellStart"/>
      <w:r w:rsidR="0076704A">
        <w:rPr>
          <w:bCs/>
        </w:rPr>
        <w:t>A</w:t>
      </w:r>
      <w:r w:rsidR="00513645">
        <w:rPr>
          <w:bCs/>
        </w:rPr>
        <w:t>l</w:t>
      </w:r>
      <w:r w:rsidR="0076704A">
        <w:rPr>
          <w:bCs/>
        </w:rPr>
        <w:t>u</w:t>
      </w:r>
      <w:r w:rsidR="00513645">
        <w:rPr>
          <w:bCs/>
        </w:rPr>
        <w:t>d</w:t>
      </w:r>
      <w:r w:rsidR="0076704A">
        <w:rPr>
          <w:bCs/>
        </w:rPr>
        <w:t>ar</w:t>
      </w:r>
      <w:proofErr w:type="spellEnd"/>
      <w:r w:rsidR="0076704A">
        <w:rPr>
          <w:bCs/>
        </w:rPr>
        <w:t xml:space="preserve"> was still liable for the rent that fell due under the lease between March and August 2020. It sued in the court below for payment of that rent, in the sum of R141 460.51</w:t>
      </w:r>
      <w:r w:rsidR="000133B7">
        <w:rPr>
          <w:bCs/>
        </w:rPr>
        <w:t>,</w:t>
      </w:r>
      <w:r w:rsidR="0076704A">
        <w:rPr>
          <w:bCs/>
        </w:rPr>
        <w:t xml:space="preserve"> plus interest and costs. </w:t>
      </w:r>
    </w:p>
    <w:p w14:paraId="6554CDFE" w14:textId="24D6B46B" w:rsidR="0076704A" w:rsidRDefault="00B60877" w:rsidP="00B60877">
      <w:pPr>
        <w:pStyle w:val="Paragraph12pt"/>
        <w:tabs>
          <w:tab w:val="left" w:pos="851"/>
        </w:tabs>
        <w:ind w:left="851" w:hanging="851"/>
        <w:rPr>
          <w:bCs/>
        </w:rPr>
      </w:pPr>
      <w:r>
        <w:rPr>
          <w:rFonts w:cs="Arial"/>
          <w:bCs/>
          <w:color w:val="000000"/>
          <w:szCs w:val="24"/>
        </w:rPr>
        <w:lastRenderedPageBreak/>
        <w:t>5</w:t>
      </w:r>
      <w:r>
        <w:rPr>
          <w:rFonts w:cs="Arial"/>
          <w:bCs/>
          <w:color w:val="000000"/>
          <w:szCs w:val="24"/>
        </w:rPr>
        <w:tab/>
      </w:r>
      <w:r w:rsidR="0076704A">
        <w:rPr>
          <w:bCs/>
        </w:rPr>
        <w:t>The Magistrate in the court below granted summary judgment for that amount. He did so on the basis that the parties had contracted out of the ordinary common law r</w:t>
      </w:r>
      <w:r w:rsidR="00D435D6">
        <w:rPr>
          <w:bCs/>
        </w:rPr>
        <w:t>ule that</w:t>
      </w:r>
      <w:r w:rsidR="00C205A5">
        <w:rPr>
          <w:bCs/>
        </w:rPr>
        <w:t xml:space="preserve"> a tenant can claim a remission of rent if they are deprived</w:t>
      </w:r>
      <w:r w:rsidR="00D435D6">
        <w:rPr>
          <w:bCs/>
        </w:rPr>
        <w:t xml:space="preserve"> </w:t>
      </w:r>
      <w:r w:rsidR="00C205A5">
        <w:rPr>
          <w:bCs/>
        </w:rPr>
        <w:t>of beneficial occupation of a property</w:t>
      </w:r>
      <w:r w:rsidR="00D435D6">
        <w:rPr>
          <w:bCs/>
        </w:rPr>
        <w:t xml:space="preserve"> </w:t>
      </w:r>
      <w:r w:rsidR="00C205A5">
        <w:rPr>
          <w:bCs/>
        </w:rPr>
        <w:t>by</w:t>
      </w:r>
      <w:r w:rsidR="00D435D6">
        <w:rPr>
          <w:bCs/>
        </w:rPr>
        <w:t xml:space="preserve"> </w:t>
      </w:r>
      <w:r w:rsidR="00D435D6" w:rsidRPr="00D435D6">
        <w:rPr>
          <w:bCs/>
          <w:i/>
        </w:rPr>
        <w:t>vis major</w:t>
      </w:r>
      <w:r w:rsidR="00D435D6">
        <w:rPr>
          <w:bCs/>
        </w:rPr>
        <w:t xml:space="preserve"> (superior force) or </w:t>
      </w:r>
      <w:proofErr w:type="spellStart"/>
      <w:r w:rsidR="00D435D6" w:rsidRPr="00D435D6">
        <w:rPr>
          <w:bCs/>
          <w:i/>
        </w:rPr>
        <w:t>causus</w:t>
      </w:r>
      <w:proofErr w:type="spellEnd"/>
      <w:r w:rsidR="00D435D6" w:rsidRPr="00D435D6">
        <w:rPr>
          <w:bCs/>
          <w:i/>
        </w:rPr>
        <w:t xml:space="preserve"> fortuitous</w:t>
      </w:r>
      <w:r w:rsidR="00D435D6">
        <w:rPr>
          <w:bCs/>
        </w:rPr>
        <w:t xml:space="preserve"> (an unexpected mishap</w:t>
      </w:r>
      <w:r w:rsidR="00C205A5">
        <w:rPr>
          <w:bCs/>
        </w:rPr>
        <w:t>)</w:t>
      </w:r>
      <w:r w:rsidR="00D435D6">
        <w:rPr>
          <w:bCs/>
        </w:rPr>
        <w:t xml:space="preserve">. </w:t>
      </w:r>
    </w:p>
    <w:p w14:paraId="54D95DB3" w14:textId="3C9114C6" w:rsidR="00D435D6" w:rsidRDefault="00B60877" w:rsidP="00B60877">
      <w:pPr>
        <w:pStyle w:val="Paragraph12pt"/>
        <w:tabs>
          <w:tab w:val="left" w:pos="851"/>
        </w:tabs>
        <w:ind w:left="851" w:hanging="851"/>
        <w:rPr>
          <w:bCs/>
        </w:rPr>
      </w:pPr>
      <w:r>
        <w:rPr>
          <w:rFonts w:cs="Arial"/>
          <w:bCs/>
          <w:color w:val="000000"/>
          <w:szCs w:val="24"/>
        </w:rPr>
        <w:t>6</w:t>
      </w:r>
      <w:r>
        <w:rPr>
          <w:rFonts w:cs="Arial"/>
          <w:bCs/>
          <w:color w:val="000000"/>
          <w:szCs w:val="24"/>
        </w:rPr>
        <w:tab/>
      </w:r>
      <w:proofErr w:type="spellStart"/>
      <w:r w:rsidR="00D435D6">
        <w:rPr>
          <w:bCs/>
        </w:rPr>
        <w:t>A</w:t>
      </w:r>
      <w:r w:rsidR="00513645">
        <w:rPr>
          <w:bCs/>
        </w:rPr>
        <w:t>l</w:t>
      </w:r>
      <w:r w:rsidR="00D435D6">
        <w:rPr>
          <w:bCs/>
        </w:rPr>
        <w:t>u</w:t>
      </w:r>
      <w:r w:rsidR="00513645">
        <w:rPr>
          <w:bCs/>
        </w:rPr>
        <w:t>d</w:t>
      </w:r>
      <w:r w:rsidR="00D435D6">
        <w:rPr>
          <w:bCs/>
        </w:rPr>
        <w:t>ar</w:t>
      </w:r>
      <w:proofErr w:type="spellEnd"/>
      <w:r w:rsidR="00D435D6">
        <w:rPr>
          <w:bCs/>
        </w:rPr>
        <w:t xml:space="preserve"> now appeals to us against this order. Summary judgment is a drastic remedy to be resorted to only where there is no good faith defence raised on the defendant’s plea. To put it another way, a court that grants summary judgment must do so only where the plea raises no triable issue, or where the plaintiff has an “unanswerable case” (see </w:t>
      </w:r>
      <w:r w:rsidR="00D435D6" w:rsidRPr="00D435D6">
        <w:rPr>
          <w:bCs/>
          <w:i/>
        </w:rPr>
        <w:t xml:space="preserve">First National Bank of South Africa Ltd v Myburgh </w:t>
      </w:r>
      <w:r w:rsidR="00D435D6">
        <w:rPr>
          <w:bCs/>
        </w:rPr>
        <w:t>2002 (4) SA 176 (C), paragraph 9).</w:t>
      </w:r>
    </w:p>
    <w:p w14:paraId="017A7788" w14:textId="56A6156F" w:rsidR="00D435D6" w:rsidRPr="0011043D" w:rsidRDefault="00B60877" w:rsidP="00B60877">
      <w:pPr>
        <w:pStyle w:val="Paragraph12pt"/>
        <w:tabs>
          <w:tab w:val="left" w:pos="851"/>
        </w:tabs>
        <w:ind w:left="851" w:hanging="851"/>
        <w:rPr>
          <w:bCs/>
        </w:rPr>
      </w:pPr>
      <w:r w:rsidRPr="0011043D">
        <w:rPr>
          <w:rFonts w:cs="Arial"/>
          <w:bCs/>
          <w:color w:val="000000"/>
          <w:szCs w:val="24"/>
        </w:rPr>
        <w:t>7</w:t>
      </w:r>
      <w:r w:rsidRPr="0011043D">
        <w:rPr>
          <w:rFonts w:cs="Arial"/>
          <w:bCs/>
          <w:color w:val="000000"/>
          <w:szCs w:val="24"/>
        </w:rPr>
        <w:tab/>
      </w:r>
      <w:r w:rsidR="00D435D6">
        <w:rPr>
          <w:bCs/>
        </w:rPr>
        <w:t>I think that Unlocked Properties’ application for summary judgment fell far short of that standard. It is true that clause G15.1.1 of the lease, on its face, exclude</w:t>
      </w:r>
      <w:r w:rsidR="0011043D">
        <w:rPr>
          <w:bCs/>
        </w:rPr>
        <w:t xml:space="preserve">s </w:t>
      </w:r>
      <w:proofErr w:type="spellStart"/>
      <w:r w:rsidR="0011043D">
        <w:rPr>
          <w:bCs/>
        </w:rPr>
        <w:t>A</w:t>
      </w:r>
      <w:r w:rsidR="00513645">
        <w:rPr>
          <w:bCs/>
        </w:rPr>
        <w:t>l</w:t>
      </w:r>
      <w:r w:rsidR="0011043D">
        <w:rPr>
          <w:bCs/>
        </w:rPr>
        <w:t>u</w:t>
      </w:r>
      <w:r w:rsidR="00513645">
        <w:rPr>
          <w:bCs/>
        </w:rPr>
        <w:t>d</w:t>
      </w:r>
      <w:r w:rsidR="0011043D">
        <w:rPr>
          <w:bCs/>
        </w:rPr>
        <w:t>ar’s</w:t>
      </w:r>
      <w:proofErr w:type="spellEnd"/>
      <w:r w:rsidR="0011043D">
        <w:rPr>
          <w:bCs/>
        </w:rPr>
        <w:t xml:space="preserve"> claims “arising out of </w:t>
      </w:r>
      <w:r w:rsidR="0011043D" w:rsidRPr="0011043D">
        <w:rPr>
          <w:bCs/>
          <w:i/>
          <w:lang w:val="en-GB"/>
        </w:rPr>
        <w:t>vis major</w:t>
      </w:r>
      <w:r w:rsidR="0011043D">
        <w:rPr>
          <w:bCs/>
          <w:lang w:val="en-GB"/>
        </w:rPr>
        <w:t xml:space="preserve"> or </w:t>
      </w:r>
      <w:proofErr w:type="spellStart"/>
      <w:r w:rsidR="0011043D" w:rsidRPr="0011043D">
        <w:rPr>
          <w:bCs/>
          <w:i/>
          <w:lang w:val="en-GB"/>
        </w:rPr>
        <w:t>causus</w:t>
      </w:r>
      <w:proofErr w:type="spellEnd"/>
      <w:r w:rsidR="0011043D" w:rsidRPr="0011043D">
        <w:rPr>
          <w:bCs/>
          <w:i/>
          <w:lang w:val="en-GB"/>
        </w:rPr>
        <w:t xml:space="preserve"> fortuitous</w:t>
      </w:r>
      <w:r w:rsidR="0011043D">
        <w:rPr>
          <w:bCs/>
          <w:lang w:val="en-GB"/>
        </w:rPr>
        <w:t xml:space="preserve">”, but I do not think that completely answers the claim that the whole contract was voided because it could no longer be performed by either party. The effect of the regulations was not just that </w:t>
      </w:r>
      <w:proofErr w:type="spellStart"/>
      <w:r w:rsidR="0011043D">
        <w:rPr>
          <w:bCs/>
          <w:lang w:val="en-GB"/>
        </w:rPr>
        <w:t>A</w:t>
      </w:r>
      <w:r w:rsidR="00513645">
        <w:rPr>
          <w:bCs/>
          <w:lang w:val="en-GB"/>
        </w:rPr>
        <w:t>l</w:t>
      </w:r>
      <w:r w:rsidR="0011043D">
        <w:rPr>
          <w:bCs/>
          <w:lang w:val="en-GB"/>
        </w:rPr>
        <w:t>u</w:t>
      </w:r>
      <w:r w:rsidR="00513645">
        <w:rPr>
          <w:bCs/>
          <w:lang w:val="en-GB"/>
        </w:rPr>
        <w:t>d</w:t>
      </w:r>
      <w:r w:rsidR="0011043D">
        <w:rPr>
          <w:bCs/>
          <w:lang w:val="en-GB"/>
        </w:rPr>
        <w:t>ar</w:t>
      </w:r>
      <w:proofErr w:type="spellEnd"/>
      <w:r w:rsidR="0011043D">
        <w:rPr>
          <w:bCs/>
          <w:lang w:val="en-GB"/>
        </w:rPr>
        <w:t xml:space="preserve"> could not operate a nightclub. It was that Unlocked Properties could not rent the property for that purpose. Given that this was the only purpose for which the parties agreed the property could be used, the effect of the regulations may well have been to void the whole contract. If that is so, the exclusion clause upon which Unlocked Properties relied was voided too. </w:t>
      </w:r>
    </w:p>
    <w:p w14:paraId="1ED91061" w14:textId="11326DAC" w:rsidR="0011043D" w:rsidRPr="0011043D" w:rsidRDefault="00B60877" w:rsidP="00B60877">
      <w:pPr>
        <w:pStyle w:val="Paragraph12pt"/>
        <w:tabs>
          <w:tab w:val="left" w:pos="851"/>
        </w:tabs>
        <w:ind w:left="851" w:hanging="851"/>
        <w:rPr>
          <w:bCs/>
        </w:rPr>
      </w:pPr>
      <w:r w:rsidRPr="0011043D">
        <w:rPr>
          <w:rFonts w:cs="Arial"/>
          <w:bCs/>
          <w:color w:val="000000"/>
          <w:szCs w:val="24"/>
        </w:rPr>
        <w:t>8</w:t>
      </w:r>
      <w:r w:rsidRPr="0011043D">
        <w:rPr>
          <w:rFonts w:cs="Arial"/>
          <w:bCs/>
          <w:color w:val="000000"/>
          <w:szCs w:val="24"/>
        </w:rPr>
        <w:tab/>
      </w:r>
      <w:r w:rsidR="0011043D">
        <w:rPr>
          <w:bCs/>
          <w:lang w:val="en-GB"/>
        </w:rPr>
        <w:t xml:space="preserve">It is not as if it was open to </w:t>
      </w:r>
      <w:proofErr w:type="spellStart"/>
      <w:r w:rsidR="0011043D">
        <w:rPr>
          <w:bCs/>
          <w:lang w:val="en-GB"/>
        </w:rPr>
        <w:t>A</w:t>
      </w:r>
      <w:r w:rsidR="00513645">
        <w:rPr>
          <w:bCs/>
          <w:lang w:val="en-GB"/>
        </w:rPr>
        <w:t>l</w:t>
      </w:r>
      <w:r w:rsidR="0011043D">
        <w:rPr>
          <w:bCs/>
          <w:lang w:val="en-GB"/>
        </w:rPr>
        <w:t>u</w:t>
      </w:r>
      <w:r w:rsidR="00513645">
        <w:rPr>
          <w:bCs/>
          <w:lang w:val="en-GB"/>
        </w:rPr>
        <w:t>d</w:t>
      </w:r>
      <w:r w:rsidR="0011043D">
        <w:rPr>
          <w:bCs/>
          <w:lang w:val="en-GB"/>
        </w:rPr>
        <w:t>ar</w:t>
      </w:r>
      <w:proofErr w:type="spellEnd"/>
      <w:r w:rsidR="0011043D">
        <w:rPr>
          <w:bCs/>
          <w:lang w:val="en-GB"/>
        </w:rPr>
        <w:t xml:space="preserve"> to simply change the use to which it intended to put the property. That would have been impossible without Unlocked </w:t>
      </w:r>
      <w:r w:rsidR="0011043D">
        <w:rPr>
          <w:bCs/>
          <w:lang w:val="en-GB"/>
        </w:rPr>
        <w:lastRenderedPageBreak/>
        <w:t xml:space="preserve">Properties’ consent. In other words, Unlocked Properties did not let the property to </w:t>
      </w:r>
      <w:proofErr w:type="spellStart"/>
      <w:r w:rsidR="0011043D">
        <w:rPr>
          <w:bCs/>
          <w:lang w:val="en-GB"/>
        </w:rPr>
        <w:t>A</w:t>
      </w:r>
      <w:r w:rsidR="00513645">
        <w:rPr>
          <w:bCs/>
          <w:lang w:val="en-GB"/>
        </w:rPr>
        <w:t>l</w:t>
      </w:r>
      <w:r w:rsidR="0011043D">
        <w:rPr>
          <w:bCs/>
          <w:lang w:val="en-GB"/>
        </w:rPr>
        <w:t>u</w:t>
      </w:r>
      <w:r w:rsidR="00513645">
        <w:rPr>
          <w:bCs/>
          <w:lang w:val="en-GB"/>
        </w:rPr>
        <w:t>d</w:t>
      </w:r>
      <w:r w:rsidR="0011043D">
        <w:rPr>
          <w:bCs/>
          <w:lang w:val="en-GB"/>
        </w:rPr>
        <w:t>ar</w:t>
      </w:r>
      <w:proofErr w:type="spellEnd"/>
      <w:r w:rsidR="0011043D">
        <w:rPr>
          <w:bCs/>
          <w:lang w:val="en-GB"/>
        </w:rPr>
        <w:t xml:space="preserve"> to be used for a broad range of beneficial purposes. It stipulated that the property was to be used solely and exclusively for a purpose that was unforeseeably declared illegal about halfway through the initial period of the lease. </w:t>
      </w:r>
    </w:p>
    <w:p w14:paraId="156343B3" w14:textId="2D2C2273" w:rsidR="008B47CA" w:rsidRPr="00295FD3" w:rsidRDefault="00B60877" w:rsidP="00B60877">
      <w:pPr>
        <w:pStyle w:val="Paragraph12pt"/>
        <w:tabs>
          <w:tab w:val="left" w:pos="851"/>
        </w:tabs>
        <w:ind w:left="851" w:hanging="851"/>
        <w:rPr>
          <w:bCs/>
        </w:rPr>
      </w:pPr>
      <w:r w:rsidRPr="00295FD3">
        <w:rPr>
          <w:rFonts w:cs="Arial"/>
          <w:bCs/>
          <w:color w:val="000000"/>
          <w:szCs w:val="24"/>
        </w:rPr>
        <w:t>9</w:t>
      </w:r>
      <w:r w:rsidRPr="00295FD3">
        <w:rPr>
          <w:rFonts w:cs="Arial"/>
          <w:bCs/>
          <w:color w:val="000000"/>
          <w:szCs w:val="24"/>
        </w:rPr>
        <w:tab/>
      </w:r>
      <w:r w:rsidR="008B47CA">
        <w:rPr>
          <w:bCs/>
          <w:lang w:val="en-GB"/>
        </w:rPr>
        <w:t xml:space="preserve">Mr. Paige-Green, who appeared for Unlocked Properties, referred </w:t>
      </w:r>
      <w:r w:rsidR="00C205A5">
        <w:rPr>
          <w:bCs/>
          <w:lang w:val="en-GB"/>
        </w:rPr>
        <w:t xml:space="preserve">us </w:t>
      </w:r>
      <w:r w:rsidR="008B47CA">
        <w:rPr>
          <w:bCs/>
          <w:lang w:val="en-GB"/>
        </w:rPr>
        <w:t xml:space="preserve">to the decision of the Supreme Court of Appeal in </w:t>
      </w:r>
      <w:r w:rsidR="008B47CA" w:rsidRPr="008B47CA">
        <w:rPr>
          <w:bCs/>
          <w:i/>
          <w:lang w:val="en-GB"/>
        </w:rPr>
        <w:t xml:space="preserve">Butcher Shop and Grill CC v Trustees for the time being of </w:t>
      </w:r>
      <w:proofErr w:type="spellStart"/>
      <w:r w:rsidR="008B47CA" w:rsidRPr="008B47CA">
        <w:rPr>
          <w:bCs/>
          <w:i/>
          <w:lang w:val="en-GB"/>
        </w:rPr>
        <w:t>Bymyam</w:t>
      </w:r>
      <w:proofErr w:type="spellEnd"/>
      <w:r w:rsidR="008B47CA" w:rsidRPr="008B47CA">
        <w:rPr>
          <w:bCs/>
          <w:i/>
          <w:lang w:val="en-GB"/>
        </w:rPr>
        <w:t xml:space="preserve"> Trust</w:t>
      </w:r>
      <w:r w:rsidR="008B47CA">
        <w:rPr>
          <w:bCs/>
          <w:lang w:val="en-GB"/>
        </w:rPr>
        <w:t xml:space="preserve"> 2023 (5) SA 68 (SCA), but I do not think that decision helps us. The main issue before the court in that case was whether a remission of rent could be claimed by a tenant where their sub-tenant had suffered loss because they could not run a restaurant during the period for which the regulations applied. The situation in this case is different. </w:t>
      </w:r>
      <w:proofErr w:type="spellStart"/>
      <w:r w:rsidR="008B47CA">
        <w:rPr>
          <w:bCs/>
          <w:lang w:val="en-GB"/>
        </w:rPr>
        <w:t>A</w:t>
      </w:r>
      <w:r w:rsidR="00513645">
        <w:rPr>
          <w:bCs/>
          <w:lang w:val="en-GB"/>
        </w:rPr>
        <w:t>lud</w:t>
      </w:r>
      <w:r w:rsidR="008B47CA">
        <w:rPr>
          <w:bCs/>
          <w:lang w:val="en-GB"/>
        </w:rPr>
        <w:t>ar’s</w:t>
      </w:r>
      <w:proofErr w:type="spellEnd"/>
      <w:r w:rsidR="008B47CA">
        <w:rPr>
          <w:bCs/>
          <w:lang w:val="en-GB"/>
        </w:rPr>
        <w:t xml:space="preserve"> case is pressed on its own behalf, and the case in its plea is not that it is entitled to a remission of rent. It is that the entire contract was voided by the fact that the regulations made it impossible for either party to perform their obligations under it.</w:t>
      </w:r>
    </w:p>
    <w:p w14:paraId="16163567" w14:textId="255446C8" w:rsidR="00295FD3" w:rsidRPr="008B47CA" w:rsidRDefault="00B60877" w:rsidP="00B60877">
      <w:pPr>
        <w:pStyle w:val="Paragraph12pt"/>
        <w:tabs>
          <w:tab w:val="left" w:pos="851"/>
        </w:tabs>
        <w:ind w:left="851" w:hanging="851"/>
        <w:rPr>
          <w:bCs/>
        </w:rPr>
      </w:pPr>
      <w:r w:rsidRPr="008B47CA">
        <w:rPr>
          <w:rFonts w:cs="Arial"/>
          <w:bCs/>
          <w:color w:val="000000"/>
          <w:szCs w:val="24"/>
        </w:rPr>
        <w:t>10</w:t>
      </w:r>
      <w:r w:rsidRPr="008B47CA">
        <w:rPr>
          <w:rFonts w:cs="Arial"/>
          <w:bCs/>
          <w:color w:val="000000"/>
          <w:szCs w:val="24"/>
        </w:rPr>
        <w:tab/>
      </w:r>
      <w:r w:rsidR="00295FD3">
        <w:rPr>
          <w:bCs/>
          <w:lang w:val="en-GB"/>
        </w:rPr>
        <w:t xml:space="preserve">In this respect, I think the situation that confronts us here has more to do with the facts in </w:t>
      </w:r>
      <w:r w:rsidR="00295FD3" w:rsidRPr="00B66C2B">
        <w:rPr>
          <w:bCs/>
          <w:i/>
          <w:lang w:val="en-GB"/>
        </w:rPr>
        <w:t>World Leisure Holidays (</w:t>
      </w:r>
      <w:r w:rsidR="00F06D0F">
        <w:rPr>
          <w:bCs/>
          <w:i/>
          <w:lang w:val="en-GB"/>
        </w:rPr>
        <w:t>Pty</w:t>
      </w:r>
      <w:r w:rsidR="00295FD3" w:rsidRPr="00B66C2B">
        <w:rPr>
          <w:bCs/>
          <w:i/>
          <w:lang w:val="en-GB"/>
        </w:rPr>
        <w:t>)</w:t>
      </w:r>
      <w:r w:rsidR="00F06D0F">
        <w:rPr>
          <w:bCs/>
          <w:i/>
          <w:lang w:val="en-GB"/>
        </w:rPr>
        <w:t xml:space="preserve"> Ltd</w:t>
      </w:r>
      <w:r w:rsidR="00295FD3" w:rsidRPr="00B66C2B">
        <w:rPr>
          <w:bCs/>
          <w:i/>
          <w:lang w:val="en-GB"/>
        </w:rPr>
        <w:t xml:space="preserve"> v Georges</w:t>
      </w:r>
      <w:r w:rsidR="00295FD3">
        <w:rPr>
          <w:bCs/>
          <w:lang w:val="en-GB"/>
        </w:rPr>
        <w:t xml:space="preserve"> 2002 (5) SA 531 (W), in which a full court of this Division explored the extent to which temporary impossibility of performance </w:t>
      </w:r>
      <w:r w:rsidR="00466647">
        <w:rPr>
          <w:bCs/>
          <w:lang w:val="en-GB"/>
        </w:rPr>
        <w:t>entitles a party to treat a cont</w:t>
      </w:r>
      <w:r w:rsidR="001D04E6">
        <w:rPr>
          <w:bCs/>
          <w:lang w:val="en-GB"/>
        </w:rPr>
        <w:t>r</w:t>
      </w:r>
      <w:r w:rsidR="00466647">
        <w:rPr>
          <w:bCs/>
          <w:lang w:val="en-GB"/>
        </w:rPr>
        <w:t>act as having been cancelled</w:t>
      </w:r>
      <w:r w:rsidR="00B66C2B">
        <w:rPr>
          <w:bCs/>
          <w:lang w:val="en-GB"/>
        </w:rPr>
        <w:t>. In that case, the court held that it could, but only “where the foundation of the contract has been destroyed”</w:t>
      </w:r>
      <w:r w:rsidR="00466647">
        <w:rPr>
          <w:bCs/>
          <w:lang w:val="en-GB"/>
        </w:rPr>
        <w:t>; where “all performance is already, or would inevitably become,</w:t>
      </w:r>
      <w:r w:rsidR="00B66C2B">
        <w:rPr>
          <w:bCs/>
          <w:lang w:val="en-GB"/>
        </w:rPr>
        <w:t xml:space="preserve"> </w:t>
      </w:r>
      <w:r w:rsidR="00466647">
        <w:rPr>
          <w:bCs/>
          <w:lang w:val="en-GB"/>
        </w:rPr>
        <w:t>impossible</w:t>
      </w:r>
      <w:r w:rsidR="00C205A5">
        <w:rPr>
          <w:bCs/>
          <w:lang w:val="en-GB"/>
        </w:rPr>
        <w:t>”</w:t>
      </w:r>
      <w:r w:rsidR="00466647">
        <w:rPr>
          <w:bCs/>
          <w:lang w:val="en-GB"/>
        </w:rPr>
        <w:t xml:space="preserve">; or where “part of the performance has become, or would inevitably be, impossible” and the party is </w:t>
      </w:r>
      <w:r w:rsidR="00466647">
        <w:rPr>
          <w:bCs/>
          <w:lang w:val="en-GB"/>
        </w:rPr>
        <w:lastRenderedPageBreak/>
        <w:t xml:space="preserve">not bound to accept the remaining performance </w:t>
      </w:r>
      <w:r w:rsidR="00B66C2B">
        <w:rPr>
          <w:bCs/>
          <w:lang w:val="en-GB"/>
        </w:rPr>
        <w:t xml:space="preserve">(paragraph 8). In this case, </w:t>
      </w:r>
      <w:r w:rsidR="00DA787C">
        <w:rPr>
          <w:bCs/>
          <w:lang w:val="en-GB"/>
        </w:rPr>
        <w:t xml:space="preserve">whether </w:t>
      </w:r>
      <w:r w:rsidR="00466647">
        <w:rPr>
          <w:bCs/>
          <w:lang w:val="en-GB"/>
        </w:rPr>
        <w:t>any of these situations applied</w:t>
      </w:r>
      <w:r w:rsidR="00B66C2B">
        <w:rPr>
          <w:bCs/>
          <w:lang w:val="en-GB"/>
        </w:rPr>
        <w:t xml:space="preserve"> was plainly a factual issue that should have been referred to trial. </w:t>
      </w:r>
    </w:p>
    <w:p w14:paraId="0D39F4E5" w14:textId="46617F0F" w:rsidR="0011043D" w:rsidRPr="00295FD3" w:rsidRDefault="00B60877" w:rsidP="00B60877">
      <w:pPr>
        <w:pStyle w:val="Paragraph12pt"/>
        <w:tabs>
          <w:tab w:val="left" w:pos="851"/>
        </w:tabs>
        <w:ind w:left="851" w:hanging="851"/>
        <w:rPr>
          <w:bCs/>
        </w:rPr>
      </w:pPr>
      <w:r w:rsidRPr="00295FD3">
        <w:rPr>
          <w:rFonts w:cs="Arial"/>
          <w:bCs/>
          <w:color w:val="000000"/>
          <w:szCs w:val="24"/>
        </w:rPr>
        <w:t>11</w:t>
      </w:r>
      <w:r w:rsidRPr="00295FD3">
        <w:rPr>
          <w:rFonts w:cs="Arial"/>
          <w:bCs/>
          <w:color w:val="000000"/>
          <w:szCs w:val="24"/>
        </w:rPr>
        <w:tab/>
      </w:r>
      <w:r w:rsidR="008B47CA">
        <w:rPr>
          <w:bCs/>
          <w:lang w:val="en-GB"/>
        </w:rPr>
        <w:t xml:space="preserve">Even if I am wrong in this respect, I think that there are colourable public policy </w:t>
      </w:r>
      <w:r w:rsidR="00C205A5">
        <w:rPr>
          <w:bCs/>
          <w:lang w:val="en-GB"/>
        </w:rPr>
        <w:t>claims</w:t>
      </w:r>
      <w:r w:rsidR="008B47CA">
        <w:rPr>
          <w:bCs/>
          <w:lang w:val="en-GB"/>
        </w:rPr>
        <w:t xml:space="preserve"> to be raised</w:t>
      </w:r>
      <w:r w:rsidR="00886E9D">
        <w:rPr>
          <w:bCs/>
          <w:lang w:val="en-GB"/>
        </w:rPr>
        <w:t xml:space="preserve"> at trial</w:t>
      </w:r>
      <w:r w:rsidR="008B47CA">
        <w:rPr>
          <w:bCs/>
          <w:lang w:val="en-GB"/>
        </w:rPr>
        <w:t xml:space="preserve"> by </w:t>
      </w:r>
      <w:proofErr w:type="spellStart"/>
      <w:r w:rsidR="008B47CA">
        <w:rPr>
          <w:bCs/>
          <w:lang w:val="en-GB"/>
        </w:rPr>
        <w:t>A</w:t>
      </w:r>
      <w:r w:rsidR="00513645">
        <w:rPr>
          <w:bCs/>
          <w:lang w:val="en-GB"/>
        </w:rPr>
        <w:t>l</w:t>
      </w:r>
      <w:r w:rsidR="008B47CA">
        <w:rPr>
          <w:bCs/>
          <w:lang w:val="en-GB"/>
        </w:rPr>
        <w:t>u</w:t>
      </w:r>
      <w:r w:rsidR="00513645">
        <w:rPr>
          <w:bCs/>
          <w:lang w:val="en-GB"/>
        </w:rPr>
        <w:t>d</w:t>
      </w:r>
      <w:r w:rsidR="008B47CA">
        <w:rPr>
          <w:bCs/>
          <w:lang w:val="en-GB"/>
        </w:rPr>
        <w:t>ar</w:t>
      </w:r>
      <w:proofErr w:type="spellEnd"/>
      <w:r w:rsidR="008B47CA">
        <w:rPr>
          <w:bCs/>
          <w:lang w:val="en-GB"/>
        </w:rPr>
        <w:t xml:space="preserve">. In my view, evidence </w:t>
      </w:r>
      <w:proofErr w:type="gramStart"/>
      <w:r w:rsidR="008B47CA">
        <w:rPr>
          <w:bCs/>
          <w:lang w:val="en-GB"/>
        </w:rPr>
        <w:t>has to</w:t>
      </w:r>
      <w:proofErr w:type="gramEnd"/>
      <w:r w:rsidR="008B47CA">
        <w:rPr>
          <w:bCs/>
          <w:lang w:val="en-GB"/>
        </w:rPr>
        <w:t xml:space="preserve"> be led to explore whether, on the facts of this</w:t>
      </w:r>
      <w:r w:rsidR="00886E9D">
        <w:rPr>
          <w:bCs/>
          <w:lang w:val="en-GB"/>
        </w:rPr>
        <w:t xml:space="preserve"> case, it can be consistent with public policy to allow a party to enforce the terms of a lease during </w:t>
      </w:r>
      <w:r w:rsidR="00295FD3">
        <w:rPr>
          <w:bCs/>
          <w:lang w:val="en-GB"/>
        </w:rPr>
        <w:t xml:space="preserve">a </w:t>
      </w:r>
      <w:r w:rsidR="00886E9D">
        <w:rPr>
          <w:bCs/>
          <w:lang w:val="en-GB"/>
        </w:rPr>
        <w:t>period in which everyone accepts that the underlying purpose of the contract ha</w:t>
      </w:r>
      <w:r w:rsidR="00C205A5">
        <w:rPr>
          <w:bCs/>
          <w:lang w:val="en-GB"/>
        </w:rPr>
        <w:t>s</w:t>
      </w:r>
      <w:r w:rsidR="00886E9D">
        <w:rPr>
          <w:bCs/>
          <w:lang w:val="en-GB"/>
        </w:rPr>
        <w:t xml:space="preserve"> been render</w:t>
      </w:r>
      <w:r w:rsidR="00295FD3">
        <w:rPr>
          <w:bCs/>
          <w:lang w:val="en-GB"/>
        </w:rPr>
        <w:t>ed</w:t>
      </w:r>
      <w:r w:rsidR="00886E9D">
        <w:rPr>
          <w:bCs/>
          <w:lang w:val="en-GB"/>
        </w:rPr>
        <w:t xml:space="preserve"> wholly </w:t>
      </w:r>
      <w:r w:rsidR="00295FD3">
        <w:rPr>
          <w:bCs/>
          <w:lang w:val="en-GB"/>
        </w:rPr>
        <w:t>unlawful.</w:t>
      </w:r>
    </w:p>
    <w:p w14:paraId="6CE25001" w14:textId="1CA6CF0A" w:rsidR="00295FD3" w:rsidRDefault="00B60877" w:rsidP="00B60877">
      <w:pPr>
        <w:pStyle w:val="Paragraph12pt"/>
        <w:tabs>
          <w:tab w:val="left" w:pos="851"/>
        </w:tabs>
        <w:ind w:left="851" w:hanging="851"/>
        <w:rPr>
          <w:bCs/>
        </w:rPr>
      </w:pPr>
      <w:r>
        <w:rPr>
          <w:rFonts w:cs="Arial"/>
          <w:bCs/>
          <w:color w:val="000000"/>
          <w:szCs w:val="24"/>
        </w:rPr>
        <w:t>12</w:t>
      </w:r>
      <w:r>
        <w:rPr>
          <w:rFonts w:cs="Arial"/>
          <w:bCs/>
          <w:color w:val="000000"/>
          <w:szCs w:val="24"/>
        </w:rPr>
        <w:tab/>
      </w:r>
      <w:r w:rsidR="00295FD3">
        <w:rPr>
          <w:bCs/>
          <w:lang w:val="en-GB"/>
        </w:rPr>
        <w:t xml:space="preserve">In these circumstances, Unlocked Properties’ case was far from “unanswerable”. </w:t>
      </w:r>
      <w:r w:rsidR="00295FD3">
        <w:rPr>
          <w:bCs/>
        </w:rPr>
        <w:t>I would make the following order –</w:t>
      </w:r>
    </w:p>
    <w:p w14:paraId="202A13B2" w14:textId="5E5FCF76" w:rsidR="00B66C2B" w:rsidRDefault="00B60877" w:rsidP="00B60877">
      <w:pPr>
        <w:pStyle w:val="Paragraph12pt"/>
        <w:tabs>
          <w:tab w:val="left" w:pos="1814"/>
        </w:tabs>
        <w:ind w:left="1814" w:hanging="963"/>
        <w:rPr>
          <w:bCs/>
        </w:rPr>
      </w:pPr>
      <w:r>
        <w:rPr>
          <w:bCs/>
        </w:rPr>
        <w:t>12.1</w:t>
      </w:r>
      <w:r>
        <w:rPr>
          <w:bCs/>
        </w:rPr>
        <w:tab/>
      </w:r>
      <w:r w:rsidR="00B66C2B">
        <w:rPr>
          <w:bCs/>
        </w:rPr>
        <w:t xml:space="preserve">The appeal succeeds with costs. </w:t>
      </w:r>
    </w:p>
    <w:p w14:paraId="07A60F0A" w14:textId="634EBAC4" w:rsidR="00B66C2B" w:rsidRDefault="00B60877" w:rsidP="00B60877">
      <w:pPr>
        <w:pStyle w:val="Paragraph12pt"/>
        <w:tabs>
          <w:tab w:val="left" w:pos="1814"/>
        </w:tabs>
        <w:ind w:left="1814" w:hanging="963"/>
        <w:rPr>
          <w:bCs/>
        </w:rPr>
      </w:pPr>
      <w:r>
        <w:rPr>
          <w:bCs/>
        </w:rPr>
        <w:t>12.2</w:t>
      </w:r>
      <w:r>
        <w:rPr>
          <w:bCs/>
        </w:rPr>
        <w:tab/>
      </w:r>
      <w:r w:rsidR="00B66C2B">
        <w:rPr>
          <w:bCs/>
        </w:rPr>
        <w:t xml:space="preserve">The order of the court below is set aside and substituted with an order dismissing the application for summary </w:t>
      </w:r>
      <w:r w:rsidR="001D04E6">
        <w:rPr>
          <w:bCs/>
        </w:rPr>
        <w:t>judgmen</w:t>
      </w:r>
      <w:r w:rsidR="00B66C2B" w:rsidRPr="001D04E6">
        <w:rPr>
          <w:bCs/>
        </w:rPr>
        <w:t xml:space="preserve">t, </w:t>
      </w:r>
      <w:r w:rsidR="001D04E6" w:rsidRPr="001D04E6">
        <w:rPr>
          <w:bCs/>
        </w:rPr>
        <w:t xml:space="preserve">and granting </w:t>
      </w:r>
      <w:proofErr w:type="spellStart"/>
      <w:r w:rsidR="001D04E6" w:rsidRPr="001D04E6">
        <w:rPr>
          <w:bCs/>
        </w:rPr>
        <w:t>Aludar</w:t>
      </w:r>
      <w:proofErr w:type="spellEnd"/>
      <w:r w:rsidR="001D04E6" w:rsidRPr="001D04E6">
        <w:rPr>
          <w:bCs/>
        </w:rPr>
        <w:t xml:space="preserve"> leave to defend, </w:t>
      </w:r>
      <w:r w:rsidR="00B66C2B" w:rsidRPr="001D04E6">
        <w:rPr>
          <w:bCs/>
        </w:rPr>
        <w:t>with costs to be cost</w:t>
      </w:r>
      <w:r w:rsidR="000133B7" w:rsidRPr="001D04E6">
        <w:rPr>
          <w:bCs/>
        </w:rPr>
        <w:t>s</w:t>
      </w:r>
      <w:r w:rsidR="00B66C2B" w:rsidRPr="001D04E6">
        <w:rPr>
          <w:bCs/>
        </w:rPr>
        <w:t xml:space="preserve"> in the trial</w:t>
      </w:r>
      <w:r w:rsidR="001D04E6" w:rsidRPr="001D04E6">
        <w:rPr>
          <w:bCs/>
        </w:rPr>
        <w:t>.</w:t>
      </w:r>
    </w:p>
    <w:p w14:paraId="6954FED7" w14:textId="51EFD578" w:rsidR="002413DB" w:rsidRDefault="002413DB" w:rsidP="002413DB">
      <w:pPr>
        <w:pStyle w:val="Paragraph12pt"/>
        <w:ind w:left="851"/>
        <w:rPr>
          <w:bCs/>
        </w:rPr>
      </w:pPr>
    </w:p>
    <w:p w14:paraId="78DD3096" w14:textId="77777777" w:rsidR="002413DB" w:rsidRPr="001D04E6" w:rsidRDefault="002413DB" w:rsidP="002413DB">
      <w:pPr>
        <w:pStyle w:val="Paragraph12pt"/>
        <w:ind w:left="851"/>
        <w:rPr>
          <w:bCs/>
        </w:rPr>
      </w:pPr>
    </w:p>
    <w:p w14:paraId="312EFD3E" w14:textId="298F957C" w:rsidR="005243F1" w:rsidRDefault="005243F1" w:rsidP="005243F1">
      <w:pPr>
        <w:pStyle w:val="Paragraph12pt"/>
        <w:spacing w:after="0"/>
        <w:ind w:left="851"/>
        <w:jc w:val="right"/>
        <w:rPr>
          <w:b/>
        </w:rPr>
      </w:pPr>
    </w:p>
    <w:p w14:paraId="72B5FB3A" w14:textId="77777777" w:rsidR="005243F1" w:rsidRPr="00FE593E" w:rsidRDefault="005243F1" w:rsidP="005243F1">
      <w:pPr>
        <w:pStyle w:val="Paragraph12pt"/>
        <w:spacing w:after="0" w:line="240" w:lineRule="auto"/>
        <w:ind w:left="851"/>
        <w:jc w:val="right"/>
        <w:rPr>
          <w:b/>
          <w:bCs/>
        </w:rPr>
      </w:pPr>
      <w:r w:rsidRPr="00FE593E">
        <w:rPr>
          <w:b/>
          <w:bCs/>
        </w:rPr>
        <w:t>S D J WILSON</w:t>
      </w:r>
    </w:p>
    <w:p w14:paraId="04573C8B" w14:textId="3B3860EF" w:rsidR="005243F1" w:rsidRDefault="005243F1" w:rsidP="00A71FF7">
      <w:pPr>
        <w:pStyle w:val="Paragraph12pt"/>
        <w:spacing w:after="0" w:line="240" w:lineRule="auto"/>
        <w:ind w:left="851"/>
        <w:jc w:val="right"/>
      </w:pPr>
      <w:r w:rsidRPr="00FE593E">
        <w:t>Judge of the High Court</w:t>
      </w:r>
    </w:p>
    <w:p w14:paraId="6265EBC3" w14:textId="77777777" w:rsidR="005243F1" w:rsidRDefault="005243F1" w:rsidP="005243F1">
      <w:pPr>
        <w:pStyle w:val="Paragraph12pt"/>
        <w:spacing w:after="0" w:line="240" w:lineRule="auto"/>
        <w:ind w:left="851"/>
        <w:jc w:val="right"/>
      </w:pPr>
    </w:p>
    <w:p w14:paraId="2904CC22" w14:textId="210BF8A6" w:rsidR="005243F1" w:rsidRDefault="00B60877" w:rsidP="00B60877">
      <w:pPr>
        <w:pStyle w:val="Paragraph12pt"/>
        <w:tabs>
          <w:tab w:val="left" w:pos="851"/>
        </w:tabs>
        <w:ind w:left="851" w:hanging="851"/>
        <w:rPr>
          <w:bCs/>
        </w:rPr>
      </w:pPr>
      <w:r>
        <w:rPr>
          <w:rFonts w:cs="Arial"/>
          <w:bCs/>
          <w:color w:val="000000"/>
          <w:szCs w:val="24"/>
        </w:rPr>
        <w:t>13</w:t>
      </w:r>
      <w:r>
        <w:rPr>
          <w:rFonts w:cs="Arial"/>
          <w:bCs/>
          <w:color w:val="000000"/>
          <w:szCs w:val="24"/>
        </w:rPr>
        <w:tab/>
      </w:r>
      <w:r w:rsidR="005243F1">
        <w:rPr>
          <w:bCs/>
        </w:rPr>
        <w:t>I agree, and it is so ordered.</w:t>
      </w:r>
    </w:p>
    <w:p w14:paraId="5003B235" w14:textId="77777777" w:rsidR="005243F1" w:rsidRDefault="005243F1" w:rsidP="005243F1">
      <w:pPr>
        <w:pStyle w:val="Paragraph12pt"/>
        <w:spacing w:after="0" w:line="240" w:lineRule="auto"/>
        <w:ind w:left="851"/>
        <w:jc w:val="right"/>
        <w:rPr>
          <w:b/>
          <w:bCs/>
        </w:rPr>
      </w:pPr>
    </w:p>
    <w:p w14:paraId="3A6EB363" w14:textId="77777777" w:rsidR="005243F1" w:rsidRDefault="005243F1" w:rsidP="005243F1">
      <w:pPr>
        <w:pStyle w:val="Paragraph12pt"/>
        <w:spacing w:after="0" w:line="240" w:lineRule="auto"/>
        <w:ind w:left="851"/>
        <w:jc w:val="right"/>
        <w:rPr>
          <w:b/>
          <w:bCs/>
        </w:rPr>
      </w:pPr>
    </w:p>
    <w:p w14:paraId="1A4F4DD4" w14:textId="77777777" w:rsidR="005243F1" w:rsidRDefault="005243F1" w:rsidP="005243F1">
      <w:pPr>
        <w:pStyle w:val="Paragraph12pt"/>
        <w:spacing w:after="0" w:line="240" w:lineRule="auto"/>
        <w:ind w:left="851"/>
        <w:jc w:val="right"/>
        <w:rPr>
          <w:b/>
          <w:bCs/>
        </w:rPr>
      </w:pPr>
    </w:p>
    <w:p w14:paraId="2BF559BC" w14:textId="77777777" w:rsidR="00A1421F" w:rsidRDefault="00A1421F" w:rsidP="005243F1">
      <w:pPr>
        <w:pStyle w:val="Paragraph12pt"/>
        <w:spacing w:after="0" w:line="240" w:lineRule="auto"/>
        <w:ind w:left="851"/>
        <w:jc w:val="right"/>
        <w:rPr>
          <w:b/>
          <w:bCs/>
        </w:rPr>
      </w:pPr>
    </w:p>
    <w:p w14:paraId="69A8809B" w14:textId="5979AD2C" w:rsidR="005243F1" w:rsidRPr="005243F1" w:rsidRDefault="005243F1" w:rsidP="005243F1">
      <w:pPr>
        <w:pStyle w:val="Paragraph12pt"/>
        <w:spacing w:after="0" w:line="240" w:lineRule="auto"/>
        <w:ind w:left="851"/>
        <w:jc w:val="right"/>
        <w:rPr>
          <w:b/>
          <w:bCs/>
        </w:rPr>
      </w:pPr>
      <w:r w:rsidRPr="005243F1">
        <w:rPr>
          <w:b/>
          <w:bCs/>
        </w:rPr>
        <w:t>A CRUTCHFIELD</w:t>
      </w:r>
    </w:p>
    <w:p w14:paraId="4F504892" w14:textId="1977C182" w:rsidR="005243F1" w:rsidRPr="00EA25C8" w:rsidRDefault="005243F1" w:rsidP="005243F1">
      <w:pPr>
        <w:pStyle w:val="Paragraph12pt"/>
        <w:spacing w:after="0" w:line="240" w:lineRule="auto"/>
        <w:ind w:left="851"/>
        <w:jc w:val="right"/>
        <w:rPr>
          <w:bCs/>
        </w:rPr>
      </w:pPr>
      <w:r>
        <w:rPr>
          <w:bCs/>
        </w:rPr>
        <w:t>Judge of the High Court</w:t>
      </w:r>
    </w:p>
    <w:p w14:paraId="55D0B03C" w14:textId="77777777" w:rsidR="00AF5F62" w:rsidRDefault="00AF5F62" w:rsidP="00A51101">
      <w:pPr>
        <w:pStyle w:val="Paragraph12pt"/>
        <w:spacing w:after="0" w:line="240" w:lineRule="auto"/>
      </w:pPr>
    </w:p>
    <w:p w14:paraId="540D0176" w14:textId="5EE93701" w:rsidR="00A51101" w:rsidRDefault="00A51101" w:rsidP="00A51101">
      <w:pPr>
        <w:pStyle w:val="Paragraph12pt"/>
        <w:spacing w:after="0" w:line="240" w:lineRule="auto"/>
      </w:pPr>
      <w:r w:rsidRPr="00973E9F">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2D21D8">
        <w:rPr>
          <w:bCs/>
        </w:rPr>
        <w:t>14 November 2023</w:t>
      </w:r>
      <w:r w:rsidRPr="00973E9F">
        <w:t>.</w:t>
      </w:r>
    </w:p>
    <w:p w14:paraId="6E86AD12" w14:textId="77777777" w:rsidR="00590AC6" w:rsidRDefault="00590AC6" w:rsidP="00D46FD0">
      <w:pPr>
        <w:pStyle w:val="Paragraph12pt"/>
        <w:spacing w:after="0" w:line="240" w:lineRule="auto"/>
        <w:jc w:val="left"/>
      </w:pPr>
    </w:p>
    <w:p w14:paraId="21605095" w14:textId="77BBDF66" w:rsidR="000315F7" w:rsidRDefault="0004799B" w:rsidP="004F6A2D">
      <w:pPr>
        <w:pStyle w:val="Paragraph12pt"/>
        <w:spacing w:after="0" w:line="240" w:lineRule="auto"/>
        <w:ind w:left="3600" w:hanging="3600"/>
        <w:jc w:val="left"/>
      </w:pPr>
      <w:r>
        <w:t>HEARD ON:</w:t>
      </w:r>
      <w:r>
        <w:tab/>
      </w:r>
      <w:r w:rsidR="005243F1">
        <w:t>19</w:t>
      </w:r>
      <w:r w:rsidR="00104CBB">
        <w:t xml:space="preserve"> </w:t>
      </w:r>
      <w:r w:rsidR="00626FB6">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226F9745" w:rsidR="00B06BF0" w:rsidRDefault="00104CBB" w:rsidP="00A31389">
      <w:pPr>
        <w:pStyle w:val="Paragraph12pt"/>
        <w:spacing w:after="0" w:line="240" w:lineRule="auto"/>
        <w:jc w:val="left"/>
      </w:pPr>
      <w:r>
        <w:t>DECIDED ON</w:t>
      </w:r>
      <w:r w:rsidR="00B06BF0">
        <w:t>:</w:t>
      </w:r>
      <w:r w:rsidR="00B06BF0">
        <w:tab/>
      </w:r>
      <w:r w:rsidR="00B06BF0">
        <w:tab/>
      </w:r>
      <w:r w:rsidR="00B06BF0">
        <w:tab/>
      </w:r>
      <w:r w:rsidR="002D21D8">
        <w:rPr>
          <w:bCs/>
        </w:rPr>
        <w:t>14 November 2023</w:t>
      </w:r>
    </w:p>
    <w:p w14:paraId="0D0089FF" w14:textId="77777777" w:rsidR="004F4C87" w:rsidRDefault="004F4C87" w:rsidP="006210A1">
      <w:pPr>
        <w:pStyle w:val="Paragraph12pt"/>
        <w:spacing w:after="0" w:line="240" w:lineRule="auto"/>
        <w:jc w:val="left"/>
      </w:pPr>
    </w:p>
    <w:p w14:paraId="4A269309" w14:textId="12EA9BAE" w:rsidR="00A048F5" w:rsidRDefault="0051403A" w:rsidP="006210A1">
      <w:pPr>
        <w:pStyle w:val="Paragraph12pt"/>
        <w:spacing w:after="0" w:line="240" w:lineRule="auto"/>
        <w:jc w:val="left"/>
      </w:pPr>
      <w:r>
        <w:t>For the</w:t>
      </w:r>
      <w:r w:rsidR="00226B2D">
        <w:t xml:space="preserve"> </w:t>
      </w:r>
      <w:r w:rsidR="005243F1">
        <w:t>Appellant</w:t>
      </w:r>
      <w:r>
        <w:t xml:space="preserve">: </w:t>
      </w:r>
      <w:r>
        <w:tab/>
      </w:r>
      <w:r>
        <w:tab/>
      </w:r>
      <w:r>
        <w:tab/>
      </w:r>
      <w:r w:rsidR="005243F1">
        <w:t>HP van Nieuwenhuizen</w:t>
      </w:r>
    </w:p>
    <w:p w14:paraId="6AEAAC50" w14:textId="39982F55" w:rsidR="006210A1" w:rsidRDefault="00840B4E" w:rsidP="00185A98">
      <w:pPr>
        <w:pStyle w:val="Paragraph12pt"/>
        <w:spacing w:after="0" w:line="240" w:lineRule="auto"/>
        <w:jc w:val="left"/>
      </w:pPr>
      <w:r>
        <w:tab/>
      </w:r>
      <w:r>
        <w:tab/>
      </w:r>
      <w:r>
        <w:tab/>
      </w:r>
      <w:r>
        <w:tab/>
      </w:r>
      <w:r>
        <w:tab/>
      </w:r>
      <w:r w:rsidR="006210A1">
        <w:t xml:space="preserve">Instructed by </w:t>
      </w:r>
      <w:proofErr w:type="spellStart"/>
      <w:r w:rsidR="005243F1">
        <w:t>Kavier</w:t>
      </w:r>
      <w:proofErr w:type="spellEnd"/>
      <w:r w:rsidR="005243F1">
        <w:t xml:space="preserve"> Guiness Inc</w:t>
      </w:r>
    </w:p>
    <w:p w14:paraId="4B3EBF8B" w14:textId="77777777" w:rsidR="000F77C7" w:rsidRDefault="000F77C7" w:rsidP="00B06BF0">
      <w:pPr>
        <w:pStyle w:val="Paragraph12pt"/>
        <w:spacing w:after="0" w:line="240" w:lineRule="auto"/>
        <w:jc w:val="left"/>
      </w:pPr>
    </w:p>
    <w:p w14:paraId="6D8811AE" w14:textId="3C3D8027" w:rsidR="00185A98" w:rsidRDefault="000F77C7" w:rsidP="00185A98">
      <w:pPr>
        <w:pStyle w:val="Paragraph12pt"/>
        <w:spacing w:after="0" w:line="240" w:lineRule="auto"/>
        <w:jc w:val="left"/>
      </w:pPr>
      <w:r>
        <w:t xml:space="preserve">For </w:t>
      </w:r>
      <w:r w:rsidR="00185A98">
        <w:t xml:space="preserve">the </w:t>
      </w:r>
      <w:r w:rsidR="005243F1">
        <w:t>Respondent</w:t>
      </w:r>
      <w:r w:rsidR="00185A98">
        <w:t>:</w:t>
      </w:r>
      <w:r w:rsidR="00185A98">
        <w:tab/>
      </w:r>
      <w:r w:rsidR="00185A98">
        <w:tab/>
      </w:r>
      <w:r w:rsidR="005243F1">
        <w:t>T Paige-Green</w:t>
      </w:r>
    </w:p>
    <w:p w14:paraId="33D36840" w14:textId="2CA572C9" w:rsidR="0024496A" w:rsidRPr="00D46FD0" w:rsidRDefault="00185A98" w:rsidP="00185A98">
      <w:pPr>
        <w:pStyle w:val="Paragraph12pt"/>
        <w:spacing w:after="0" w:line="240" w:lineRule="auto"/>
        <w:jc w:val="left"/>
      </w:pPr>
      <w:r>
        <w:tab/>
      </w:r>
      <w:r>
        <w:tab/>
      </w:r>
      <w:r>
        <w:tab/>
      </w:r>
      <w:r>
        <w:tab/>
      </w:r>
      <w:r>
        <w:tab/>
      </w:r>
      <w:r w:rsidR="00B06C58">
        <w:t xml:space="preserve">Instructed by </w:t>
      </w:r>
      <w:r w:rsidR="005243F1">
        <w:t>Schindler’s Attorneys</w:t>
      </w:r>
      <w:r w:rsidR="0024496A">
        <w:tab/>
      </w:r>
    </w:p>
    <w:sectPr w:rsidR="0024496A" w:rsidRPr="00D46FD0" w:rsidSect="007416C3">
      <w:foot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1B35" w14:textId="77777777" w:rsidR="005A4496" w:rsidRDefault="005A4496" w:rsidP="00023136">
      <w:r>
        <w:separator/>
      </w:r>
    </w:p>
  </w:endnote>
  <w:endnote w:type="continuationSeparator" w:id="0">
    <w:p w14:paraId="349329A4" w14:textId="77777777" w:rsidR="005A4496" w:rsidRDefault="005A449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380D2712"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C2768">
          <w:rPr>
            <w:noProof/>
            <w:sz w:val="24"/>
            <w:szCs w:val="24"/>
          </w:rPr>
          <w:t>6</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6A36" w14:textId="77777777" w:rsidR="005A4496" w:rsidRDefault="005A4496" w:rsidP="00023136">
      <w:r>
        <w:separator/>
      </w:r>
    </w:p>
  </w:footnote>
  <w:footnote w:type="continuationSeparator" w:id="0">
    <w:p w14:paraId="1AE668BC" w14:textId="77777777" w:rsidR="005A4496" w:rsidRDefault="005A4496"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78772142">
    <w:abstractNumId w:val="16"/>
  </w:num>
  <w:num w:numId="2" w16cid:durableId="1211067282">
    <w:abstractNumId w:val="7"/>
  </w:num>
  <w:num w:numId="3" w16cid:durableId="855728004">
    <w:abstractNumId w:val="15"/>
  </w:num>
  <w:num w:numId="4" w16cid:durableId="1808207487">
    <w:abstractNumId w:val="10"/>
  </w:num>
  <w:num w:numId="5" w16cid:durableId="1353188147">
    <w:abstractNumId w:val="32"/>
  </w:num>
  <w:num w:numId="6" w16cid:durableId="271863014">
    <w:abstractNumId w:val="19"/>
  </w:num>
  <w:num w:numId="7" w16cid:durableId="1630746094">
    <w:abstractNumId w:val="22"/>
  </w:num>
  <w:num w:numId="8" w16cid:durableId="563220141">
    <w:abstractNumId w:val="3"/>
  </w:num>
  <w:num w:numId="9" w16cid:durableId="771314334">
    <w:abstractNumId w:val="20"/>
  </w:num>
  <w:num w:numId="10" w16cid:durableId="356123799">
    <w:abstractNumId w:val="28"/>
  </w:num>
  <w:num w:numId="11" w16cid:durableId="990477270">
    <w:abstractNumId w:val="33"/>
  </w:num>
  <w:num w:numId="12" w16cid:durableId="2089958068">
    <w:abstractNumId w:val="24"/>
  </w:num>
  <w:num w:numId="13" w16cid:durableId="376398226">
    <w:abstractNumId w:val="27"/>
  </w:num>
  <w:num w:numId="14" w16cid:durableId="182524955">
    <w:abstractNumId w:val="40"/>
  </w:num>
  <w:num w:numId="15" w16cid:durableId="326830948">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701130887">
    <w:abstractNumId w:val="30"/>
  </w:num>
  <w:num w:numId="17" w16cid:durableId="2058510335">
    <w:abstractNumId w:val="34"/>
  </w:num>
  <w:num w:numId="18" w16cid:durableId="1206257217">
    <w:abstractNumId w:val="18"/>
  </w:num>
  <w:num w:numId="19" w16cid:durableId="951085123">
    <w:abstractNumId w:val="39"/>
  </w:num>
  <w:num w:numId="20" w16cid:durableId="1236818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3235744">
    <w:abstractNumId w:val="29"/>
  </w:num>
  <w:num w:numId="22" w16cid:durableId="536626734">
    <w:abstractNumId w:val="17"/>
  </w:num>
  <w:num w:numId="23" w16cid:durableId="1297837114">
    <w:abstractNumId w:val="11"/>
  </w:num>
  <w:num w:numId="24" w16cid:durableId="1198353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2593151">
    <w:abstractNumId w:val="4"/>
  </w:num>
  <w:num w:numId="26" w16cid:durableId="1586188621">
    <w:abstractNumId w:val="21"/>
  </w:num>
  <w:num w:numId="27" w16cid:durableId="1447919152">
    <w:abstractNumId w:val="0"/>
  </w:num>
  <w:num w:numId="28" w16cid:durableId="908345240">
    <w:abstractNumId w:val="2"/>
  </w:num>
  <w:num w:numId="29" w16cid:durableId="1592762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3361957">
    <w:abstractNumId w:val="26"/>
  </w:num>
  <w:num w:numId="31" w16cid:durableId="1922175620">
    <w:abstractNumId w:val="37"/>
  </w:num>
  <w:num w:numId="32" w16cid:durableId="376709266">
    <w:abstractNumId w:val="35"/>
  </w:num>
  <w:num w:numId="33" w16cid:durableId="1297563337">
    <w:abstractNumId w:val="25"/>
  </w:num>
  <w:num w:numId="34" w16cid:durableId="342978437">
    <w:abstractNumId w:val="5"/>
  </w:num>
  <w:num w:numId="35" w16cid:durableId="19159686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3380872">
    <w:abstractNumId w:val="8"/>
  </w:num>
  <w:num w:numId="37" w16cid:durableId="1849833810">
    <w:abstractNumId w:val="23"/>
  </w:num>
  <w:num w:numId="38" w16cid:durableId="1720474748">
    <w:abstractNumId w:val="12"/>
  </w:num>
  <w:num w:numId="39" w16cid:durableId="2003965866">
    <w:abstractNumId w:val="38"/>
  </w:num>
  <w:num w:numId="40" w16cid:durableId="1000081588">
    <w:abstractNumId w:val="36"/>
  </w:num>
  <w:num w:numId="41" w16cid:durableId="773206551">
    <w:abstractNumId w:val="14"/>
  </w:num>
  <w:num w:numId="42" w16cid:durableId="6777784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33B7"/>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56363"/>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3FD5"/>
    <w:rsid w:val="000C520A"/>
    <w:rsid w:val="000C6EE4"/>
    <w:rsid w:val="000C7667"/>
    <w:rsid w:val="000D0125"/>
    <w:rsid w:val="000D0844"/>
    <w:rsid w:val="000D1822"/>
    <w:rsid w:val="000D1A91"/>
    <w:rsid w:val="000D4AB1"/>
    <w:rsid w:val="000D4D49"/>
    <w:rsid w:val="000D54BF"/>
    <w:rsid w:val="000D5651"/>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070F0"/>
    <w:rsid w:val="0011043D"/>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08DE"/>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B75"/>
    <w:rsid w:val="001B5F23"/>
    <w:rsid w:val="001C0737"/>
    <w:rsid w:val="001C0CE2"/>
    <w:rsid w:val="001C1F4D"/>
    <w:rsid w:val="001C2122"/>
    <w:rsid w:val="001C2236"/>
    <w:rsid w:val="001C30FF"/>
    <w:rsid w:val="001C324E"/>
    <w:rsid w:val="001C3C7F"/>
    <w:rsid w:val="001C3CEE"/>
    <w:rsid w:val="001C4DBE"/>
    <w:rsid w:val="001C4F4C"/>
    <w:rsid w:val="001C63A0"/>
    <w:rsid w:val="001D04E6"/>
    <w:rsid w:val="001D248E"/>
    <w:rsid w:val="001D2DAF"/>
    <w:rsid w:val="001D351D"/>
    <w:rsid w:val="001D46BA"/>
    <w:rsid w:val="001D54BC"/>
    <w:rsid w:val="001E0372"/>
    <w:rsid w:val="001E0C36"/>
    <w:rsid w:val="001E0D76"/>
    <w:rsid w:val="001E1412"/>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5ED1"/>
    <w:rsid w:val="00237058"/>
    <w:rsid w:val="002377F5"/>
    <w:rsid w:val="00237B58"/>
    <w:rsid w:val="0024077C"/>
    <w:rsid w:val="00241005"/>
    <w:rsid w:val="002410B1"/>
    <w:rsid w:val="002413DB"/>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95FD3"/>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0E0"/>
    <w:rsid w:val="002D0141"/>
    <w:rsid w:val="002D15D0"/>
    <w:rsid w:val="002D1911"/>
    <w:rsid w:val="002D21D8"/>
    <w:rsid w:val="002D30C4"/>
    <w:rsid w:val="002D4B37"/>
    <w:rsid w:val="002D5667"/>
    <w:rsid w:val="002D701F"/>
    <w:rsid w:val="002D7817"/>
    <w:rsid w:val="002E2969"/>
    <w:rsid w:val="002E2B97"/>
    <w:rsid w:val="002E3F5D"/>
    <w:rsid w:val="002E52E8"/>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090C"/>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4EA"/>
    <w:rsid w:val="003407E0"/>
    <w:rsid w:val="003422F0"/>
    <w:rsid w:val="00342A82"/>
    <w:rsid w:val="003441A3"/>
    <w:rsid w:val="0034660F"/>
    <w:rsid w:val="00350762"/>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85"/>
    <w:rsid w:val="00397540"/>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AF2"/>
    <w:rsid w:val="00451E8D"/>
    <w:rsid w:val="00453B1F"/>
    <w:rsid w:val="00453DDF"/>
    <w:rsid w:val="00454560"/>
    <w:rsid w:val="004545EC"/>
    <w:rsid w:val="004546BC"/>
    <w:rsid w:val="00456455"/>
    <w:rsid w:val="0046049B"/>
    <w:rsid w:val="00460B46"/>
    <w:rsid w:val="00462885"/>
    <w:rsid w:val="0046468D"/>
    <w:rsid w:val="0046498E"/>
    <w:rsid w:val="004656AB"/>
    <w:rsid w:val="00466647"/>
    <w:rsid w:val="00466803"/>
    <w:rsid w:val="00467186"/>
    <w:rsid w:val="004701EE"/>
    <w:rsid w:val="00470703"/>
    <w:rsid w:val="00472029"/>
    <w:rsid w:val="004728FC"/>
    <w:rsid w:val="00473766"/>
    <w:rsid w:val="00473C00"/>
    <w:rsid w:val="004740CD"/>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A6B"/>
    <w:rsid w:val="004D6A6F"/>
    <w:rsid w:val="004D7372"/>
    <w:rsid w:val="004E02F6"/>
    <w:rsid w:val="004E435D"/>
    <w:rsid w:val="004E4384"/>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3645"/>
    <w:rsid w:val="0051403A"/>
    <w:rsid w:val="005151C4"/>
    <w:rsid w:val="005152CE"/>
    <w:rsid w:val="00515D76"/>
    <w:rsid w:val="00520C15"/>
    <w:rsid w:val="00522C54"/>
    <w:rsid w:val="00523907"/>
    <w:rsid w:val="0052406F"/>
    <w:rsid w:val="005240A6"/>
    <w:rsid w:val="005243F1"/>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054B"/>
    <w:rsid w:val="0057137B"/>
    <w:rsid w:val="0057277F"/>
    <w:rsid w:val="0057332F"/>
    <w:rsid w:val="0057449F"/>
    <w:rsid w:val="00576C1A"/>
    <w:rsid w:val="00580400"/>
    <w:rsid w:val="0058158A"/>
    <w:rsid w:val="005817D9"/>
    <w:rsid w:val="00581DDF"/>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496"/>
    <w:rsid w:val="005A4B43"/>
    <w:rsid w:val="005A4F5B"/>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B3D"/>
    <w:rsid w:val="005E4E43"/>
    <w:rsid w:val="005E661B"/>
    <w:rsid w:val="005F0BC0"/>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44DC"/>
    <w:rsid w:val="006649BB"/>
    <w:rsid w:val="00664D3D"/>
    <w:rsid w:val="006666C9"/>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256"/>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436"/>
    <w:rsid w:val="006C35D9"/>
    <w:rsid w:val="006C54B6"/>
    <w:rsid w:val="006C5589"/>
    <w:rsid w:val="006C5F7B"/>
    <w:rsid w:val="006C7D43"/>
    <w:rsid w:val="006D05B3"/>
    <w:rsid w:val="006D08BA"/>
    <w:rsid w:val="006D2A53"/>
    <w:rsid w:val="006D3FDA"/>
    <w:rsid w:val="006D4C7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589A"/>
    <w:rsid w:val="0076704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A7DD2"/>
    <w:rsid w:val="007B09C5"/>
    <w:rsid w:val="007B1EBD"/>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6E9D"/>
    <w:rsid w:val="00887DE3"/>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7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900A71"/>
    <w:rsid w:val="00902986"/>
    <w:rsid w:val="00903008"/>
    <w:rsid w:val="00903953"/>
    <w:rsid w:val="00903C32"/>
    <w:rsid w:val="00904073"/>
    <w:rsid w:val="0090487F"/>
    <w:rsid w:val="0090553F"/>
    <w:rsid w:val="009073C7"/>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FF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80FA6"/>
    <w:rsid w:val="009811E9"/>
    <w:rsid w:val="00983D90"/>
    <w:rsid w:val="00984F1D"/>
    <w:rsid w:val="009855BD"/>
    <w:rsid w:val="00985C74"/>
    <w:rsid w:val="0098747C"/>
    <w:rsid w:val="00990090"/>
    <w:rsid w:val="00990143"/>
    <w:rsid w:val="009929E4"/>
    <w:rsid w:val="00993618"/>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2768"/>
    <w:rsid w:val="009C5523"/>
    <w:rsid w:val="009C5F46"/>
    <w:rsid w:val="009C6A0C"/>
    <w:rsid w:val="009C6A7E"/>
    <w:rsid w:val="009C70E6"/>
    <w:rsid w:val="009D1B25"/>
    <w:rsid w:val="009D1B40"/>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9F75C6"/>
    <w:rsid w:val="00A004E2"/>
    <w:rsid w:val="00A0093D"/>
    <w:rsid w:val="00A00DAC"/>
    <w:rsid w:val="00A00E46"/>
    <w:rsid w:val="00A01416"/>
    <w:rsid w:val="00A0142A"/>
    <w:rsid w:val="00A02B2D"/>
    <w:rsid w:val="00A048F5"/>
    <w:rsid w:val="00A054F1"/>
    <w:rsid w:val="00A06130"/>
    <w:rsid w:val="00A069C9"/>
    <w:rsid w:val="00A12D4A"/>
    <w:rsid w:val="00A139DC"/>
    <w:rsid w:val="00A1421F"/>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1FF7"/>
    <w:rsid w:val="00A746DF"/>
    <w:rsid w:val="00A74A02"/>
    <w:rsid w:val="00A74A8A"/>
    <w:rsid w:val="00A75587"/>
    <w:rsid w:val="00A760AA"/>
    <w:rsid w:val="00A76795"/>
    <w:rsid w:val="00A77A2A"/>
    <w:rsid w:val="00A80B07"/>
    <w:rsid w:val="00A81BD7"/>
    <w:rsid w:val="00A82474"/>
    <w:rsid w:val="00A825C7"/>
    <w:rsid w:val="00A8282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A05"/>
    <w:rsid w:val="00AB0BE5"/>
    <w:rsid w:val="00AB115D"/>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0877"/>
    <w:rsid w:val="00B62A9A"/>
    <w:rsid w:val="00B63217"/>
    <w:rsid w:val="00B63551"/>
    <w:rsid w:val="00B667C4"/>
    <w:rsid w:val="00B66C2B"/>
    <w:rsid w:val="00B67971"/>
    <w:rsid w:val="00B70059"/>
    <w:rsid w:val="00B70EC8"/>
    <w:rsid w:val="00B74666"/>
    <w:rsid w:val="00B74DF6"/>
    <w:rsid w:val="00B75125"/>
    <w:rsid w:val="00B77551"/>
    <w:rsid w:val="00B80948"/>
    <w:rsid w:val="00B81D62"/>
    <w:rsid w:val="00B838F6"/>
    <w:rsid w:val="00B83CA4"/>
    <w:rsid w:val="00B85517"/>
    <w:rsid w:val="00B9033C"/>
    <w:rsid w:val="00B90D01"/>
    <w:rsid w:val="00B92B28"/>
    <w:rsid w:val="00B92E44"/>
    <w:rsid w:val="00B93010"/>
    <w:rsid w:val="00B934CE"/>
    <w:rsid w:val="00B93BD3"/>
    <w:rsid w:val="00B93BD9"/>
    <w:rsid w:val="00B93E36"/>
    <w:rsid w:val="00B94BE4"/>
    <w:rsid w:val="00B94DA4"/>
    <w:rsid w:val="00B9532E"/>
    <w:rsid w:val="00B95BF2"/>
    <w:rsid w:val="00B96F28"/>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5A5"/>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5AA"/>
    <w:rsid w:val="00C6267E"/>
    <w:rsid w:val="00C62EE5"/>
    <w:rsid w:val="00C6570F"/>
    <w:rsid w:val="00C670E9"/>
    <w:rsid w:val="00C67196"/>
    <w:rsid w:val="00C67440"/>
    <w:rsid w:val="00C70405"/>
    <w:rsid w:val="00C704B8"/>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3EEF"/>
    <w:rsid w:val="00D349EE"/>
    <w:rsid w:val="00D34E7E"/>
    <w:rsid w:val="00D366AF"/>
    <w:rsid w:val="00D36A21"/>
    <w:rsid w:val="00D37705"/>
    <w:rsid w:val="00D37AB6"/>
    <w:rsid w:val="00D402FC"/>
    <w:rsid w:val="00D43135"/>
    <w:rsid w:val="00D4345D"/>
    <w:rsid w:val="00D435D6"/>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A787C"/>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000"/>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305"/>
    <w:rsid w:val="00E434FE"/>
    <w:rsid w:val="00E440B1"/>
    <w:rsid w:val="00E469B4"/>
    <w:rsid w:val="00E46DD6"/>
    <w:rsid w:val="00E46EA0"/>
    <w:rsid w:val="00E47A33"/>
    <w:rsid w:val="00E50F24"/>
    <w:rsid w:val="00E510FF"/>
    <w:rsid w:val="00E513D5"/>
    <w:rsid w:val="00E52D10"/>
    <w:rsid w:val="00E5504F"/>
    <w:rsid w:val="00E55143"/>
    <w:rsid w:val="00E55B50"/>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86E06"/>
    <w:rsid w:val="00E926CA"/>
    <w:rsid w:val="00E9302A"/>
    <w:rsid w:val="00E9353D"/>
    <w:rsid w:val="00E93A1D"/>
    <w:rsid w:val="00E93AE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695"/>
    <w:rsid w:val="00EC21CF"/>
    <w:rsid w:val="00EC4024"/>
    <w:rsid w:val="00EC4C07"/>
    <w:rsid w:val="00EC4DDE"/>
    <w:rsid w:val="00EC4E76"/>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966"/>
    <w:rsid w:val="00F05E3C"/>
    <w:rsid w:val="00F06D0F"/>
    <w:rsid w:val="00F07248"/>
    <w:rsid w:val="00F07B0D"/>
    <w:rsid w:val="00F07C34"/>
    <w:rsid w:val="00F10664"/>
    <w:rsid w:val="00F10E38"/>
    <w:rsid w:val="00F11CA0"/>
    <w:rsid w:val="00F12C0F"/>
    <w:rsid w:val="00F1367B"/>
    <w:rsid w:val="00F146B3"/>
    <w:rsid w:val="00F14C98"/>
    <w:rsid w:val="00F157CE"/>
    <w:rsid w:val="00F22196"/>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6F84"/>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B0035D40A14B95F6F76D770ECA8B" ma:contentTypeVersion="3" ma:contentTypeDescription="Create a new document." ma:contentTypeScope="" ma:versionID="62fbbfc8c470ef05cda1fc048804d6cd">
  <xsd:schema xmlns:xsd="http://www.w3.org/2001/XMLSchema" xmlns:xs="http://www.w3.org/2001/XMLSchema" xmlns:p="http://schemas.microsoft.com/office/2006/metadata/properties" xmlns:ns3="da7c55be-2862-49ea-a69a-82bf28a5f3de" targetNamespace="http://schemas.microsoft.com/office/2006/metadata/properties" ma:root="true" ma:fieldsID="d1be4aadcbb73334a79a8eaad65bbcc0" ns3:_="">
    <xsd:import namespace="da7c55be-2862-49ea-a69a-82bf28a5f3d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c55be-2862-49ea-a69a-82bf28a5f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1558-3403-418C-8E39-CA100E3D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c55be-2862-49ea-a69a-82bf28a5f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57806-C752-4A00-9D86-7496DD1BF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E9072-6424-4E56-9B52-5BE8317C2EBB}">
  <ds:schemaRefs>
    <ds:schemaRef ds:uri="http://schemas.microsoft.com/sharepoint/v3/contenttype/forms"/>
  </ds:schemaRefs>
</ds:datastoreItem>
</file>

<file path=customXml/itemProps4.xml><?xml version="1.0" encoding="utf-8"?>
<ds:datastoreItem xmlns:ds="http://schemas.openxmlformats.org/officeDocument/2006/customXml" ds:itemID="{A1A2F6C5-85D3-4B83-957A-028DB546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Lilitha Mdleleni</cp:lastModifiedBy>
  <cp:revision>3</cp:revision>
  <cp:lastPrinted>2023-11-14T11:40:00Z</cp:lastPrinted>
  <dcterms:created xsi:type="dcterms:W3CDTF">2023-11-14T13:37:00Z</dcterms:created>
  <dcterms:modified xsi:type="dcterms:W3CDTF">2023-11-15T04:39:00Z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0x0101001857B0035D40A14B95F6F76D770ECA8B</vt:lpwstr>
  </property>
</Properties>
</file>