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A879" w14:textId="77777777" w:rsidR="00300D09" w:rsidRDefault="00300D09" w:rsidP="00300D09">
      <w:pPr>
        <w:jc w:val="center"/>
        <w:rPr>
          <w:rFonts w:cs="Arial"/>
          <w:b/>
          <w:bCs/>
          <w:lang w:eastAsia="en-GB"/>
        </w:rPr>
      </w:pPr>
      <w:r w:rsidRPr="00822349">
        <w:rPr>
          <w:rFonts w:cs="Arial"/>
          <w:b/>
          <w:bCs/>
          <w:lang w:eastAsia="en-GB"/>
        </w:rPr>
        <w:t>REPUBLIC OF SOUTH AFRICA</w:t>
      </w:r>
    </w:p>
    <w:p w14:paraId="35AC8F2F" w14:textId="77777777" w:rsidR="004E5D90" w:rsidRDefault="004E5D90" w:rsidP="00300D09">
      <w:pPr>
        <w:jc w:val="center"/>
        <w:rPr>
          <w:rFonts w:cs="Arial"/>
          <w:b/>
          <w:bCs/>
          <w:lang w:eastAsia="en-GB"/>
        </w:rPr>
      </w:pPr>
    </w:p>
    <w:p w14:paraId="32091CC0" w14:textId="77777777" w:rsidR="006E45F7" w:rsidRPr="00822349" w:rsidRDefault="006E45F7" w:rsidP="0050405F">
      <w:pPr>
        <w:rPr>
          <w:rFonts w:cs="Arial"/>
          <w:lang w:eastAsia="en-GB"/>
        </w:rPr>
      </w:pPr>
    </w:p>
    <w:p w14:paraId="22A0AFB8" w14:textId="77777777" w:rsidR="00300D09" w:rsidRDefault="00033914" w:rsidP="00300D09">
      <w:pPr>
        <w:jc w:val="center"/>
        <w:rPr>
          <w:rFonts w:cs="Arial"/>
          <w:lang w:eastAsia="en-GB"/>
        </w:rPr>
      </w:pPr>
      <w:r w:rsidRPr="00822349">
        <w:rPr>
          <w:rFonts w:cs="Arial"/>
          <w:noProof/>
          <w:lang w:val="en-ZA" w:eastAsia="en-ZA"/>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Default="006E45F7" w:rsidP="0050405F">
      <w:pPr>
        <w:rPr>
          <w:rFonts w:cs="Arial"/>
          <w:lang w:eastAsia="en-GB"/>
        </w:rPr>
      </w:pPr>
    </w:p>
    <w:p w14:paraId="1FD8431D" w14:textId="77777777" w:rsidR="004E5D90" w:rsidRPr="00822349" w:rsidRDefault="004E5D90" w:rsidP="0050405F">
      <w:pPr>
        <w:rPr>
          <w:rFonts w:cs="Arial"/>
          <w:lang w:eastAsia="en-GB"/>
        </w:rPr>
      </w:pPr>
    </w:p>
    <w:p w14:paraId="56BA021B" w14:textId="77777777" w:rsidR="00300D09" w:rsidRPr="00822349" w:rsidRDefault="00300D09" w:rsidP="00300D09">
      <w:pPr>
        <w:jc w:val="center"/>
        <w:rPr>
          <w:rFonts w:cs="Arial"/>
          <w:b/>
          <w:bCs/>
          <w:lang w:eastAsia="en-GB"/>
        </w:rPr>
      </w:pPr>
      <w:r w:rsidRPr="00822349">
        <w:rPr>
          <w:rFonts w:cs="Arial"/>
          <w:b/>
          <w:bCs/>
          <w:lang w:eastAsia="en-GB"/>
        </w:rPr>
        <w:t>IN THE HIGH COURT OF SOUTH AFRICA</w:t>
      </w:r>
    </w:p>
    <w:p w14:paraId="222A1AA8" w14:textId="77777777" w:rsidR="004E5D90" w:rsidRDefault="00300D09" w:rsidP="00300D09">
      <w:pPr>
        <w:jc w:val="center"/>
        <w:rPr>
          <w:rFonts w:cs="Arial"/>
          <w:b/>
          <w:bCs/>
          <w:lang w:eastAsia="en-GB"/>
        </w:rPr>
      </w:pPr>
      <w:r w:rsidRPr="00822349">
        <w:rPr>
          <w:rFonts w:cs="Arial"/>
          <w:b/>
          <w:bCs/>
          <w:lang w:eastAsia="en-GB"/>
        </w:rPr>
        <w:t xml:space="preserve">GAUTENG DIVISION, </w:t>
      </w:r>
      <w:r w:rsidR="00682D2A" w:rsidRPr="00822349">
        <w:rPr>
          <w:rFonts w:cs="Arial"/>
          <w:b/>
          <w:bCs/>
          <w:lang w:eastAsia="en-GB"/>
        </w:rPr>
        <w:t>JOHANNESBURG</w:t>
      </w:r>
    </w:p>
    <w:p w14:paraId="38EFA21F" w14:textId="46937631" w:rsidR="00300D09" w:rsidRDefault="00682D2A" w:rsidP="00300D09">
      <w:pPr>
        <w:jc w:val="center"/>
        <w:rPr>
          <w:rFonts w:cs="Arial"/>
          <w:b/>
          <w:bCs/>
          <w:lang w:eastAsia="en-GB"/>
        </w:rPr>
      </w:pPr>
      <w:r w:rsidRPr="00822349">
        <w:rPr>
          <w:rFonts w:cs="Arial"/>
          <w:b/>
          <w:bCs/>
          <w:lang w:eastAsia="en-GB"/>
        </w:rPr>
        <w:t xml:space="preserve"> </w:t>
      </w:r>
    </w:p>
    <w:p w14:paraId="299D619F" w14:textId="77777777" w:rsidR="004D4DBF" w:rsidRPr="00822349" w:rsidRDefault="004D4DBF" w:rsidP="0050405F">
      <w:pPr>
        <w:rPr>
          <w:rFonts w:cs="Arial"/>
          <w:b/>
          <w:bCs/>
          <w:lang w:eastAsia="en-GB"/>
        </w:rPr>
      </w:pPr>
    </w:p>
    <w:p w14:paraId="04D9EF6D" w14:textId="2CCA4638" w:rsidR="0050405F" w:rsidRDefault="00066BC7" w:rsidP="0050405F">
      <w:pPr>
        <w:jc w:val="right"/>
        <w:rPr>
          <w:rFonts w:cs="Arial"/>
        </w:rPr>
      </w:pPr>
      <w:r w:rsidRPr="00F73C09">
        <w:t xml:space="preserve">Case No: </w:t>
      </w:r>
      <w:r w:rsidRPr="000A2DB1">
        <w:rPr>
          <w:rFonts w:cs="Arial"/>
        </w:rPr>
        <w:t>28818/2014</w:t>
      </w:r>
    </w:p>
    <w:p w14:paraId="65D1BAD4" w14:textId="77777777" w:rsidR="004E5D90" w:rsidRDefault="004E5D90" w:rsidP="00C76CB3"/>
    <w:p w14:paraId="478AA434" w14:textId="77777777" w:rsidR="0050405F" w:rsidRDefault="0050405F" w:rsidP="00066BC7">
      <w:pPr>
        <w:jc w:val="right"/>
      </w:pPr>
    </w:p>
    <w:p w14:paraId="2A4CED62" w14:textId="37C2CEF7" w:rsidR="00066BC7" w:rsidRPr="00F73C09" w:rsidRDefault="00066BC7" w:rsidP="00066BC7">
      <w:pPr>
        <w:jc w:val="right"/>
      </w:pPr>
      <w:r w:rsidRPr="00F73C09">
        <w:rPr>
          <w:noProof/>
          <w:lang w:val="en-ZA" w:eastAsia="en-ZA"/>
        </w:rPr>
        <mc:AlternateContent>
          <mc:Choice Requires="wps">
            <w:drawing>
              <wp:anchor distT="0" distB="0" distL="114300" distR="114300" simplePos="0" relativeHeight="251659264" behindDoc="0" locked="0" layoutInCell="1" allowOverlap="1" wp14:anchorId="50A79751" wp14:editId="4864D1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5CA1C0C9" w14:textId="77777777" w:rsidR="00066BC7" w:rsidRPr="004120A8" w:rsidRDefault="00066BC7" w:rsidP="00066BC7">
                            <w:pPr>
                              <w:jc w:val="center"/>
                              <w:rPr>
                                <w:rFonts w:ascii="Century Gothic" w:hAnsi="Century Gothic"/>
                                <w:b/>
                                <w:sz w:val="2"/>
                                <w:szCs w:val="18"/>
                              </w:rPr>
                            </w:pPr>
                          </w:p>
                          <w:p w14:paraId="446DC6CC" w14:textId="10CC69DF" w:rsidR="00066BC7" w:rsidRPr="00EE6CBE" w:rsidRDefault="00BE61F8" w:rsidP="00BE61F8">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 xml:space="preserve">REPORTABLE: </w:t>
                            </w:r>
                            <w:r w:rsidR="004E5D90">
                              <w:rPr>
                                <w:rFonts w:cs="Arial"/>
                                <w:sz w:val="18"/>
                                <w:szCs w:val="18"/>
                              </w:rPr>
                              <w:t>NO</w:t>
                            </w:r>
                          </w:p>
                          <w:p w14:paraId="4270498A" w14:textId="4635961B" w:rsidR="00066BC7" w:rsidRPr="00EE6CBE" w:rsidRDefault="00BE61F8" w:rsidP="00BE61F8">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 xml:space="preserve">OF INTEREST TO OTHER JUDGES: </w:t>
                            </w:r>
                            <w:r w:rsidR="004E5D90">
                              <w:rPr>
                                <w:rFonts w:cs="Arial"/>
                                <w:sz w:val="18"/>
                                <w:szCs w:val="18"/>
                              </w:rPr>
                              <w:t>NO</w:t>
                            </w:r>
                          </w:p>
                          <w:p w14:paraId="68C20D45" w14:textId="5BBB9450" w:rsidR="00066BC7" w:rsidRPr="00EE6CBE" w:rsidRDefault="00BE61F8" w:rsidP="00BE61F8">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YES/NO</w:t>
                            </w:r>
                          </w:p>
                          <w:p w14:paraId="7783FD9C" w14:textId="77777777" w:rsidR="00066BC7" w:rsidRPr="00EE6CBE" w:rsidRDefault="00066BC7" w:rsidP="00066BC7">
                            <w:pPr>
                              <w:rPr>
                                <w:rFonts w:cs="Arial"/>
                                <w:b/>
                                <w:sz w:val="18"/>
                                <w:szCs w:val="18"/>
                              </w:rPr>
                            </w:pPr>
                          </w:p>
                          <w:p w14:paraId="1DA538F1"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66864559"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481F5254" w14:textId="77777777" w:rsidR="00066BC7" w:rsidRPr="004120A8" w:rsidRDefault="00066BC7"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79751"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">
                <o:lock v:ext="edit" aspectratio="t" verticies="t" text="t" shapetype="t"/>
                <v:textbox>
                  <w:txbxContent>
                    <w:p w14:paraId="5CA1C0C9" w14:textId="77777777" w:rsidR="00066BC7" w:rsidRPr="004120A8" w:rsidRDefault="00066BC7" w:rsidP="00066BC7">
                      <w:pPr>
                        <w:jc w:val="center"/>
                        <w:rPr>
                          <w:rFonts w:ascii="Century Gothic" w:hAnsi="Century Gothic"/>
                          <w:b/>
                          <w:sz w:val="2"/>
                          <w:szCs w:val="18"/>
                        </w:rPr>
                      </w:pPr>
                    </w:p>
                    <w:p w14:paraId="446DC6CC" w14:textId="10CC69DF" w:rsidR="00066BC7" w:rsidRPr="00EE6CBE" w:rsidRDefault="00BE61F8" w:rsidP="00BE61F8">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 xml:space="preserve">REPORTABLE: </w:t>
                      </w:r>
                      <w:r w:rsidR="004E5D90">
                        <w:rPr>
                          <w:rFonts w:cs="Arial"/>
                          <w:sz w:val="18"/>
                          <w:szCs w:val="18"/>
                        </w:rPr>
                        <w:t>NO</w:t>
                      </w:r>
                    </w:p>
                    <w:p w14:paraId="4270498A" w14:textId="4635961B" w:rsidR="00066BC7" w:rsidRPr="00EE6CBE" w:rsidRDefault="00BE61F8" w:rsidP="00BE61F8">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 xml:space="preserve">OF INTEREST TO OTHER JUDGES: </w:t>
                      </w:r>
                      <w:r w:rsidR="004E5D90">
                        <w:rPr>
                          <w:rFonts w:cs="Arial"/>
                          <w:sz w:val="18"/>
                          <w:szCs w:val="18"/>
                        </w:rPr>
                        <w:t>NO</w:t>
                      </w:r>
                    </w:p>
                    <w:p w14:paraId="68C20D45" w14:textId="5BBB9450" w:rsidR="00066BC7" w:rsidRPr="00EE6CBE" w:rsidRDefault="00BE61F8" w:rsidP="00BE61F8">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YES/NO</w:t>
                      </w:r>
                    </w:p>
                    <w:p w14:paraId="7783FD9C" w14:textId="77777777" w:rsidR="00066BC7" w:rsidRPr="00EE6CBE" w:rsidRDefault="00066BC7" w:rsidP="00066BC7">
                      <w:pPr>
                        <w:rPr>
                          <w:rFonts w:cs="Arial"/>
                          <w:b/>
                          <w:sz w:val="18"/>
                          <w:szCs w:val="18"/>
                        </w:rPr>
                      </w:pPr>
                    </w:p>
                    <w:p w14:paraId="1DA538F1"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66864559"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481F5254" w14:textId="77777777" w:rsidR="00066BC7" w:rsidRPr="004120A8" w:rsidRDefault="00066BC7" w:rsidP="00066BC7">
                      <w:pPr>
                        <w:rPr>
                          <w:rFonts w:ascii="Century Gothic" w:hAnsi="Century Gothic"/>
                          <w:b/>
                          <w:sz w:val="2"/>
                          <w:szCs w:val="18"/>
                        </w:rPr>
                      </w:pPr>
                    </w:p>
                  </w:txbxContent>
                </v:textbox>
              </v:shape>
            </w:pict>
          </mc:Fallback>
        </mc:AlternateContent>
      </w:r>
    </w:p>
    <w:p w14:paraId="643BA00A" w14:textId="77777777" w:rsidR="00066BC7" w:rsidRPr="00F73C09" w:rsidRDefault="00066BC7" w:rsidP="00066BC7">
      <w:pPr>
        <w:jc w:val="center"/>
        <w:rPr>
          <w:rFonts w:cs="Arial"/>
          <w:b/>
        </w:rPr>
      </w:pPr>
    </w:p>
    <w:p w14:paraId="5E779EDC" w14:textId="77777777" w:rsidR="00066BC7" w:rsidRPr="00F73C09" w:rsidRDefault="00066BC7" w:rsidP="00066BC7">
      <w:pPr>
        <w:jc w:val="right"/>
        <w:rPr>
          <w:rFonts w:cs="Arial"/>
          <w:b/>
        </w:rPr>
      </w:pPr>
      <w:bookmarkStart w:id="0" w:name="_Hlk88546104"/>
    </w:p>
    <w:p w14:paraId="2E164819" w14:textId="77777777" w:rsidR="00066BC7" w:rsidRPr="00F73C09" w:rsidRDefault="00066BC7" w:rsidP="00066BC7">
      <w:pPr>
        <w:jc w:val="left"/>
        <w:rPr>
          <w:rFonts w:cs="Arial"/>
          <w:u w:val="single"/>
        </w:rPr>
      </w:pPr>
    </w:p>
    <w:p w14:paraId="27D8A952" w14:textId="77777777" w:rsidR="00066BC7" w:rsidRPr="00F73C09" w:rsidRDefault="00066BC7" w:rsidP="00066BC7">
      <w:pPr>
        <w:jc w:val="left"/>
        <w:rPr>
          <w:rFonts w:cs="Arial"/>
          <w:u w:val="single"/>
        </w:rPr>
      </w:pPr>
    </w:p>
    <w:p w14:paraId="3DE47825" w14:textId="77777777" w:rsidR="00066BC7" w:rsidRPr="00F73C09" w:rsidRDefault="00066BC7" w:rsidP="00066BC7">
      <w:pPr>
        <w:jc w:val="left"/>
        <w:rPr>
          <w:rFonts w:cs="Arial"/>
          <w:u w:val="single"/>
        </w:rPr>
      </w:pPr>
    </w:p>
    <w:p w14:paraId="00E1F69E" w14:textId="77777777" w:rsidR="00066BC7" w:rsidRPr="00F73C09" w:rsidRDefault="00066BC7" w:rsidP="00066BC7">
      <w:pPr>
        <w:jc w:val="left"/>
        <w:rPr>
          <w:rFonts w:cs="Arial"/>
          <w:u w:val="single"/>
        </w:rPr>
      </w:pPr>
    </w:p>
    <w:bookmarkEnd w:id="0"/>
    <w:p w14:paraId="77BEB056" w14:textId="77777777" w:rsidR="00066BC7" w:rsidRPr="00F73C09" w:rsidRDefault="00066BC7" w:rsidP="00066BC7"/>
    <w:p w14:paraId="2BC225F8" w14:textId="77777777" w:rsidR="004E5D90" w:rsidRDefault="004E5D90" w:rsidP="00066BC7">
      <w:pPr>
        <w:rPr>
          <w:rFonts w:cs="Arial"/>
          <w:b/>
          <w:bCs/>
          <w:u w:val="single"/>
        </w:rPr>
      </w:pPr>
    </w:p>
    <w:p w14:paraId="310CEED9" w14:textId="77777777" w:rsidR="004E5D90" w:rsidRDefault="004E5D90" w:rsidP="00066BC7">
      <w:pPr>
        <w:rPr>
          <w:rFonts w:cs="Arial"/>
          <w:b/>
          <w:bCs/>
          <w:u w:val="single"/>
        </w:rPr>
      </w:pPr>
    </w:p>
    <w:p w14:paraId="068BDABA" w14:textId="52375D8E" w:rsidR="00066BC7" w:rsidRPr="004E5D90" w:rsidRDefault="00066BC7" w:rsidP="00066BC7">
      <w:pPr>
        <w:rPr>
          <w:rFonts w:cs="Arial"/>
          <w:b/>
          <w:bCs/>
          <w:u w:val="single"/>
        </w:rPr>
      </w:pPr>
      <w:r w:rsidRPr="004E5D90">
        <w:rPr>
          <w:rFonts w:cs="Arial"/>
          <w:b/>
          <w:bCs/>
          <w:u w:val="single"/>
        </w:rPr>
        <w:t xml:space="preserve">In the </w:t>
      </w:r>
      <w:r w:rsidR="004E5D90" w:rsidRPr="004E5D90">
        <w:rPr>
          <w:rFonts w:cs="Arial"/>
          <w:b/>
          <w:bCs/>
          <w:u w:val="single"/>
        </w:rPr>
        <w:t>application for leave to appeal:</w:t>
      </w:r>
    </w:p>
    <w:p w14:paraId="54987D01" w14:textId="77777777" w:rsidR="004E5D90" w:rsidRDefault="004E5D90" w:rsidP="004E5D90">
      <w:pPr>
        <w:pStyle w:val="Parties"/>
        <w:tabs>
          <w:tab w:val="clear" w:pos="8732"/>
          <w:tab w:val="right" w:pos="8931"/>
        </w:tabs>
        <w:spacing w:before="200"/>
        <w:rPr>
          <w:b/>
          <w:bCs/>
        </w:rPr>
      </w:pPr>
    </w:p>
    <w:p w14:paraId="77EB3C74" w14:textId="5833C1A3" w:rsidR="004E5D90" w:rsidRPr="00D14E5E" w:rsidRDefault="004E5D90" w:rsidP="004E5D90">
      <w:pPr>
        <w:pStyle w:val="Parties"/>
        <w:tabs>
          <w:tab w:val="clear" w:pos="8732"/>
          <w:tab w:val="right" w:pos="8931"/>
        </w:tabs>
        <w:spacing w:before="200"/>
        <w:rPr>
          <w:b/>
          <w:bCs/>
        </w:rPr>
      </w:pPr>
      <w:r w:rsidRPr="00D14E5E">
        <w:rPr>
          <w:b/>
          <w:bCs/>
        </w:rPr>
        <w:t>THE SOUTH AFRICAN PETROLEUM INDUSTRY</w:t>
      </w:r>
    </w:p>
    <w:p w14:paraId="167B1EE9" w14:textId="773D6E4E" w:rsidR="004E5D90" w:rsidRPr="000A2DB1" w:rsidRDefault="004E5D90" w:rsidP="004E5D90">
      <w:pPr>
        <w:pStyle w:val="Parties"/>
        <w:tabs>
          <w:tab w:val="clear" w:pos="8732"/>
          <w:tab w:val="right" w:pos="8931"/>
        </w:tabs>
      </w:pPr>
      <w:r w:rsidRPr="00D14E5E">
        <w:rPr>
          <w:b/>
          <w:bCs/>
        </w:rPr>
        <w:t>ASSOCIATION</w:t>
      </w:r>
      <w:r w:rsidRPr="000A2DB1">
        <w:tab/>
        <w:t xml:space="preserve">    </w:t>
      </w:r>
      <w:r>
        <w:t>Applicant</w:t>
      </w:r>
    </w:p>
    <w:p w14:paraId="336F675F" w14:textId="77777777" w:rsidR="004E5D90" w:rsidRDefault="004E5D90" w:rsidP="00066BC7">
      <w:pPr>
        <w:rPr>
          <w:rFonts w:cs="Arial"/>
        </w:rPr>
      </w:pPr>
    </w:p>
    <w:p w14:paraId="21632F76" w14:textId="77777777" w:rsidR="004E5D90" w:rsidRDefault="004E5D90" w:rsidP="00066BC7">
      <w:pPr>
        <w:rPr>
          <w:rFonts w:cs="Arial"/>
        </w:rPr>
      </w:pPr>
    </w:p>
    <w:p w14:paraId="7CC4925C" w14:textId="790073B0" w:rsidR="004E5D90" w:rsidRDefault="004E5D90" w:rsidP="00066BC7">
      <w:pPr>
        <w:rPr>
          <w:rFonts w:cs="Arial"/>
        </w:rPr>
      </w:pPr>
      <w:r>
        <w:rPr>
          <w:rFonts w:cs="Arial"/>
        </w:rPr>
        <w:t>and</w:t>
      </w:r>
    </w:p>
    <w:p w14:paraId="78F7C600" w14:textId="77777777" w:rsidR="004E5D90" w:rsidRDefault="004E5D90" w:rsidP="004E5D90">
      <w:pPr>
        <w:pStyle w:val="Parties"/>
        <w:tabs>
          <w:tab w:val="clear" w:pos="8732"/>
          <w:tab w:val="right" w:pos="8931"/>
        </w:tabs>
        <w:spacing w:before="200"/>
        <w:rPr>
          <w:b/>
          <w:bCs/>
        </w:rPr>
      </w:pPr>
    </w:p>
    <w:p w14:paraId="5048D5CC" w14:textId="586AE0FF" w:rsidR="004E5D90" w:rsidRPr="00C76CB3" w:rsidRDefault="004E5D90" w:rsidP="00C76CB3">
      <w:pPr>
        <w:pStyle w:val="Parties"/>
        <w:tabs>
          <w:tab w:val="clear" w:pos="8732"/>
          <w:tab w:val="right" w:pos="8931"/>
        </w:tabs>
        <w:spacing w:before="200"/>
      </w:pPr>
      <w:r w:rsidRPr="00D14E5E">
        <w:rPr>
          <w:b/>
          <w:bCs/>
        </w:rPr>
        <w:t>THE FUEL RETAILERS’ ASSOCIATION</w:t>
      </w:r>
      <w:r w:rsidRPr="000A2DB1">
        <w:tab/>
        <w:t xml:space="preserve"> </w:t>
      </w:r>
      <w:r>
        <w:t xml:space="preserve">  Respondent</w:t>
      </w:r>
    </w:p>
    <w:p w14:paraId="24D93CFF" w14:textId="77777777" w:rsidR="004E5D90" w:rsidRDefault="004E5D90" w:rsidP="00066BC7">
      <w:pPr>
        <w:rPr>
          <w:rFonts w:cs="Arial"/>
          <w:b/>
          <w:bCs/>
          <w:u w:val="single"/>
        </w:rPr>
      </w:pPr>
    </w:p>
    <w:p w14:paraId="64422B66" w14:textId="153ECA07" w:rsidR="004E5D90" w:rsidRPr="004E5D90" w:rsidRDefault="004E5D90" w:rsidP="00066BC7">
      <w:pPr>
        <w:rPr>
          <w:rFonts w:cs="Arial"/>
          <w:b/>
          <w:bCs/>
          <w:u w:val="single"/>
        </w:rPr>
      </w:pPr>
      <w:r w:rsidRPr="004E5D90">
        <w:rPr>
          <w:rFonts w:cs="Arial"/>
          <w:b/>
          <w:bCs/>
          <w:u w:val="single"/>
        </w:rPr>
        <w:t>In re:</w:t>
      </w:r>
    </w:p>
    <w:p w14:paraId="3E52C126" w14:textId="77777777" w:rsidR="00066BC7" w:rsidRPr="00F73C09" w:rsidRDefault="00066BC7" w:rsidP="00066BC7">
      <w:pPr>
        <w:rPr>
          <w:rFonts w:cs="Arial"/>
        </w:rPr>
      </w:pPr>
    </w:p>
    <w:p w14:paraId="07C8B5C3" w14:textId="141D7E7D" w:rsidR="00066BC7" w:rsidRPr="000A2DB1" w:rsidRDefault="00066BC7" w:rsidP="00066BC7">
      <w:pPr>
        <w:pStyle w:val="Parties"/>
        <w:tabs>
          <w:tab w:val="clear" w:pos="8732"/>
          <w:tab w:val="right" w:pos="8931"/>
        </w:tabs>
        <w:spacing w:before="200"/>
      </w:pPr>
      <w:r w:rsidRPr="00D14E5E">
        <w:rPr>
          <w:b/>
          <w:bCs/>
        </w:rPr>
        <w:t>THE FUEL RETAILERS’ ASSOCIATION</w:t>
      </w:r>
      <w:r w:rsidRPr="000A2DB1">
        <w:tab/>
        <w:t xml:space="preserve"> </w:t>
      </w:r>
      <w:r w:rsidR="00E658CE">
        <w:t xml:space="preserve">  </w:t>
      </w:r>
      <w:r w:rsidRPr="000A2DB1">
        <w:t>Applicant</w:t>
      </w:r>
    </w:p>
    <w:p w14:paraId="39F19CFB" w14:textId="76032831" w:rsidR="00066BC7" w:rsidRPr="00027806" w:rsidRDefault="00066BC7" w:rsidP="00066BC7">
      <w:pPr>
        <w:spacing w:before="200"/>
      </w:pPr>
      <w:r>
        <w:t>a</w:t>
      </w:r>
      <w:r w:rsidRPr="000A2DB1">
        <w:t>nd</w:t>
      </w:r>
    </w:p>
    <w:p w14:paraId="05202A4B" w14:textId="4CBCB793" w:rsidR="00066BC7" w:rsidRPr="000A2DB1" w:rsidRDefault="00066BC7" w:rsidP="00E658CE">
      <w:pPr>
        <w:pStyle w:val="Parties"/>
        <w:tabs>
          <w:tab w:val="clear" w:pos="8732"/>
          <w:tab w:val="right" w:pos="8931"/>
        </w:tabs>
        <w:spacing w:before="200"/>
      </w:pPr>
      <w:r w:rsidRPr="00D14E5E">
        <w:rPr>
          <w:b/>
          <w:bCs/>
        </w:rPr>
        <w:t>THE MINISTER OF ENERGY</w:t>
      </w:r>
      <w:r w:rsidRPr="000A2DB1">
        <w:tab/>
        <w:t>First Respondent</w:t>
      </w:r>
    </w:p>
    <w:p w14:paraId="3E03424F" w14:textId="24733070" w:rsidR="00066BC7" w:rsidRPr="000A2DB1" w:rsidRDefault="00066BC7" w:rsidP="00066BC7">
      <w:pPr>
        <w:pStyle w:val="Parties"/>
        <w:tabs>
          <w:tab w:val="clear" w:pos="8732"/>
          <w:tab w:val="right" w:pos="8931"/>
        </w:tabs>
        <w:spacing w:before="200"/>
      </w:pPr>
      <w:r w:rsidRPr="00D14E5E">
        <w:rPr>
          <w:b/>
          <w:bCs/>
        </w:rPr>
        <w:t>THE CONTROLLER OF PETROLEUM PRODUCTS</w:t>
      </w:r>
      <w:r w:rsidRPr="000A2DB1">
        <w:tab/>
      </w:r>
      <w:r w:rsidR="00E658CE">
        <w:t xml:space="preserve">     </w:t>
      </w:r>
      <w:r w:rsidRPr="000A2DB1">
        <w:t>Second Respondent</w:t>
      </w:r>
    </w:p>
    <w:p w14:paraId="1E1399FB" w14:textId="77777777" w:rsidR="00066BC7" w:rsidRPr="00D14E5E" w:rsidRDefault="00066BC7" w:rsidP="00066BC7">
      <w:pPr>
        <w:pStyle w:val="Parties"/>
        <w:tabs>
          <w:tab w:val="clear" w:pos="8732"/>
          <w:tab w:val="right" w:pos="8931"/>
        </w:tabs>
        <w:spacing w:before="200"/>
        <w:rPr>
          <w:b/>
          <w:bCs/>
        </w:rPr>
      </w:pPr>
      <w:r w:rsidRPr="00D14E5E">
        <w:rPr>
          <w:b/>
          <w:bCs/>
        </w:rPr>
        <w:lastRenderedPageBreak/>
        <w:t>THE SOUTH AFRICAN PETROLEUM INDUSTRY</w:t>
      </w:r>
    </w:p>
    <w:p w14:paraId="7106FE62" w14:textId="17F25CB7" w:rsidR="00066BC7" w:rsidRPr="000A2DB1" w:rsidRDefault="00066BC7" w:rsidP="00066BC7">
      <w:pPr>
        <w:pStyle w:val="Parties"/>
        <w:tabs>
          <w:tab w:val="clear" w:pos="8732"/>
          <w:tab w:val="right" w:pos="8931"/>
        </w:tabs>
      </w:pPr>
      <w:r w:rsidRPr="00D14E5E">
        <w:rPr>
          <w:b/>
          <w:bCs/>
        </w:rPr>
        <w:t>ASSOCIATION</w:t>
      </w:r>
      <w:r w:rsidRPr="000A2DB1">
        <w:tab/>
        <w:t xml:space="preserve">    Third Respondent</w:t>
      </w:r>
    </w:p>
    <w:p w14:paraId="3459EB64" w14:textId="77777777" w:rsidR="00066BC7" w:rsidRPr="000A2DB1" w:rsidRDefault="00066BC7" w:rsidP="00066BC7">
      <w:pPr>
        <w:pStyle w:val="Parties"/>
        <w:tabs>
          <w:tab w:val="clear" w:pos="8732"/>
          <w:tab w:val="right" w:pos="8931"/>
        </w:tabs>
        <w:spacing w:before="200"/>
        <w:rPr>
          <w:bCs/>
        </w:rPr>
      </w:pPr>
      <w:r w:rsidRPr="00D14E5E">
        <w:rPr>
          <w:b/>
          <w:bCs/>
        </w:rPr>
        <w:t>PETROSA (SOC) LTD</w:t>
      </w:r>
      <w:r w:rsidRPr="000A2DB1">
        <w:rPr>
          <w:bCs/>
        </w:rPr>
        <w:tab/>
      </w:r>
      <w:r w:rsidRPr="00027806">
        <w:t xml:space="preserve"> Fourth</w:t>
      </w:r>
      <w:r w:rsidRPr="000A2DB1">
        <w:rPr>
          <w:bCs/>
        </w:rPr>
        <w:t xml:space="preserve"> Respondent</w:t>
      </w:r>
    </w:p>
    <w:p w14:paraId="78A8237B" w14:textId="77777777" w:rsidR="00066BC7" w:rsidRPr="000A2DB1" w:rsidRDefault="00066BC7" w:rsidP="00066BC7">
      <w:pPr>
        <w:pStyle w:val="Parties"/>
        <w:tabs>
          <w:tab w:val="clear" w:pos="8732"/>
          <w:tab w:val="right" w:pos="8931"/>
        </w:tabs>
        <w:spacing w:before="200"/>
      </w:pPr>
      <w:r w:rsidRPr="00D14E5E">
        <w:rPr>
          <w:b/>
          <w:bCs/>
        </w:rPr>
        <w:t>THE RETAIL MOTOR INDUSTRY ORGANISATION</w:t>
      </w:r>
      <w:r w:rsidRPr="000A2DB1">
        <w:rPr>
          <w:bCs/>
        </w:rPr>
        <w:tab/>
        <w:t xml:space="preserve">     </w:t>
      </w:r>
      <w:r w:rsidRPr="000A2DB1">
        <w:t>Fifth Respondent</w:t>
      </w:r>
    </w:p>
    <w:p w14:paraId="656622D0" w14:textId="77777777" w:rsidR="00066BC7" w:rsidRPr="000A2DB1" w:rsidRDefault="00066BC7" w:rsidP="00066BC7">
      <w:pPr>
        <w:pStyle w:val="Parties"/>
        <w:tabs>
          <w:tab w:val="clear" w:pos="8732"/>
          <w:tab w:val="right" w:pos="8931"/>
        </w:tabs>
        <w:spacing w:before="200"/>
        <w:rPr>
          <w:bCs/>
        </w:rPr>
      </w:pPr>
      <w:r w:rsidRPr="00D14E5E">
        <w:rPr>
          <w:b/>
          <w:bCs/>
        </w:rPr>
        <w:t>AMISTEC (PTY) LTD T/A LIQUID FUELS WHOLESALERS</w:t>
      </w:r>
      <w:r w:rsidRPr="000A2DB1">
        <w:rPr>
          <w:bCs/>
        </w:rPr>
        <w:tab/>
        <w:t xml:space="preserve">    Sixth Respondent</w:t>
      </w:r>
    </w:p>
    <w:p w14:paraId="1A526C97" w14:textId="77777777" w:rsidR="00066BC7" w:rsidRPr="000A2DB1" w:rsidRDefault="00066BC7" w:rsidP="00066BC7">
      <w:pPr>
        <w:pStyle w:val="Parties"/>
        <w:tabs>
          <w:tab w:val="clear" w:pos="8732"/>
          <w:tab w:val="right" w:pos="8931"/>
        </w:tabs>
        <w:spacing w:before="200"/>
        <w:rPr>
          <w:lang w:val="en-US"/>
        </w:rPr>
      </w:pPr>
      <w:r w:rsidRPr="00D14E5E">
        <w:rPr>
          <w:b/>
          <w:bCs/>
        </w:rPr>
        <w:t xml:space="preserve">PETROLEUM </w:t>
      </w:r>
      <w:proofErr w:type="gramStart"/>
      <w:r w:rsidRPr="00D14E5E">
        <w:rPr>
          <w:b/>
          <w:bCs/>
        </w:rPr>
        <w:t>RETAILERS</w:t>
      </w:r>
      <w:proofErr w:type="gramEnd"/>
      <w:r w:rsidRPr="00D14E5E">
        <w:rPr>
          <w:b/>
          <w:bCs/>
        </w:rPr>
        <w:t xml:space="preserve"> ALIGNMENT FORUM</w:t>
      </w:r>
      <w:r w:rsidRPr="000A2DB1">
        <w:rPr>
          <w:bCs/>
        </w:rPr>
        <w:tab/>
        <w:t xml:space="preserve"> </w:t>
      </w:r>
      <w:r w:rsidRPr="000A2DB1">
        <w:t>Seventh Respondent</w:t>
      </w:r>
    </w:p>
    <w:p w14:paraId="671CAD54" w14:textId="77777777" w:rsidR="00066BC7" w:rsidRPr="000A2DB1" w:rsidRDefault="00066BC7" w:rsidP="00066BC7">
      <w:pPr>
        <w:pStyle w:val="Parties"/>
        <w:tabs>
          <w:tab w:val="clear" w:pos="8732"/>
          <w:tab w:val="right" w:pos="8931"/>
        </w:tabs>
        <w:spacing w:before="200"/>
        <w:rPr>
          <w:bCs/>
        </w:rPr>
      </w:pPr>
      <w:r w:rsidRPr="00D14E5E">
        <w:rPr>
          <w:b/>
          <w:bCs/>
        </w:rPr>
        <w:t>ROYALE ENERGY</w:t>
      </w:r>
      <w:proofErr w:type="gramStart"/>
      <w:r w:rsidRPr="000A2DB1">
        <w:rPr>
          <w:bCs/>
        </w:rPr>
        <w:tab/>
      </w:r>
      <w:r w:rsidRPr="00027806">
        <w:t xml:space="preserve"> </w:t>
      </w:r>
      <w:r>
        <w:t xml:space="preserve"> </w:t>
      </w:r>
      <w:r w:rsidRPr="00027806">
        <w:t>Eighth</w:t>
      </w:r>
      <w:proofErr w:type="gramEnd"/>
      <w:r w:rsidRPr="000A2DB1">
        <w:rPr>
          <w:bCs/>
        </w:rPr>
        <w:t xml:space="preserve"> Respondent</w:t>
      </w:r>
    </w:p>
    <w:p w14:paraId="4A6BC38B" w14:textId="4262B1B1" w:rsidR="00340405" w:rsidRPr="00547984" w:rsidRDefault="00066BC7" w:rsidP="00547984">
      <w:pPr>
        <w:pStyle w:val="Parties"/>
        <w:tabs>
          <w:tab w:val="clear" w:pos="8732"/>
          <w:tab w:val="right" w:pos="8931"/>
        </w:tabs>
        <w:spacing w:before="200"/>
        <w:rPr>
          <w:lang w:val="en-US"/>
        </w:rPr>
      </w:pPr>
      <w:r w:rsidRPr="00D14E5E">
        <w:rPr>
          <w:b/>
          <w:bCs/>
        </w:rPr>
        <w:t>NATIONAL ENERGY REGULATOR OF SOUTH AFRICA</w:t>
      </w:r>
      <w:r w:rsidRPr="000A2DB1">
        <w:rPr>
          <w:bCs/>
        </w:rPr>
        <w:tab/>
        <w:t xml:space="preserve">    </w:t>
      </w:r>
      <w:r w:rsidRPr="000A2DB1">
        <w:t>Ninth Respondent</w:t>
      </w:r>
    </w:p>
    <w:p w14:paraId="5D7EFC17" w14:textId="77777777" w:rsidR="00547984" w:rsidRDefault="00547984" w:rsidP="00066BC7">
      <w:pPr>
        <w:pStyle w:val="Parties"/>
        <w:rPr>
          <w:b/>
          <w:bCs/>
        </w:rPr>
      </w:pPr>
    </w:p>
    <w:p w14:paraId="4DD6457F" w14:textId="77777777" w:rsidR="004E5D90" w:rsidRDefault="004E5D90" w:rsidP="00066BC7">
      <w:pPr>
        <w:pStyle w:val="Parties"/>
        <w:rPr>
          <w:b/>
          <w:bCs/>
        </w:rPr>
      </w:pPr>
    </w:p>
    <w:p w14:paraId="22E3ACC2" w14:textId="68DEFE7F" w:rsidR="00D77290" w:rsidRDefault="00340405" w:rsidP="00066BC7">
      <w:pPr>
        <w:pStyle w:val="Parties"/>
      </w:pPr>
      <w:r w:rsidRPr="00340405">
        <w:rPr>
          <w:b/>
          <w:bCs/>
        </w:rPr>
        <w:t>Coram</w:t>
      </w:r>
      <w:r>
        <w:t>: Ingrid Opperman J</w:t>
      </w:r>
    </w:p>
    <w:p w14:paraId="2E7E1486" w14:textId="77777777" w:rsidR="00340405" w:rsidRDefault="00340405" w:rsidP="00066BC7">
      <w:pPr>
        <w:pStyle w:val="Parties"/>
      </w:pPr>
    </w:p>
    <w:p w14:paraId="157CF24B" w14:textId="77777777" w:rsidR="00340405" w:rsidRDefault="00340405" w:rsidP="00066BC7">
      <w:pPr>
        <w:pStyle w:val="Parties"/>
      </w:pPr>
    </w:p>
    <w:p w14:paraId="2C9D989D" w14:textId="5D35B50D" w:rsidR="00340405" w:rsidRDefault="00340405" w:rsidP="00066BC7">
      <w:pPr>
        <w:pStyle w:val="Parties"/>
      </w:pPr>
      <w:r w:rsidRPr="00340405">
        <w:rPr>
          <w:b/>
          <w:bCs/>
        </w:rPr>
        <w:t>Heard</w:t>
      </w:r>
      <w:r>
        <w:t xml:space="preserve">: </w:t>
      </w:r>
      <w:r w:rsidR="004E5D90">
        <w:t>10 November 2023</w:t>
      </w:r>
    </w:p>
    <w:p w14:paraId="76609D6F" w14:textId="77777777" w:rsidR="00340405" w:rsidRDefault="00340405" w:rsidP="00066BC7">
      <w:pPr>
        <w:pStyle w:val="Parties"/>
      </w:pPr>
    </w:p>
    <w:p w14:paraId="59FC37B2" w14:textId="77777777" w:rsidR="00340405" w:rsidRPr="00F73C09" w:rsidRDefault="00340405" w:rsidP="00066BC7">
      <w:pPr>
        <w:pStyle w:val="Parties"/>
      </w:pPr>
    </w:p>
    <w:p w14:paraId="29B0165D" w14:textId="706009CA" w:rsidR="00066BC7" w:rsidRDefault="00340405" w:rsidP="00340405">
      <w:pPr>
        <w:spacing w:line="360" w:lineRule="auto"/>
        <w:rPr>
          <w:color w:val="000000"/>
          <w:shd w:val="clear" w:color="auto" w:fill="FFFFFF"/>
        </w:rPr>
      </w:pPr>
      <w:r w:rsidRPr="00340405">
        <w:rPr>
          <w:b/>
          <w:bCs/>
          <w:shd w:val="clear" w:color="auto" w:fill="FFFFFF"/>
        </w:rPr>
        <w:t>Delivered</w:t>
      </w:r>
      <w:r>
        <w:rPr>
          <w:shd w:val="clear" w:color="auto" w:fill="FFFFFF"/>
        </w:rPr>
        <w:t xml:space="preserve">:  </w:t>
      </w:r>
      <w:r w:rsidR="00066BC7" w:rsidRPr="00F73C09">
        <w:rPr>
          <w:shd w:val="clear" w:color="auto" w:fill="FFFFFF"/>
        </w:rPr>
        <w:t xml:space="preserve">This judgment was handed down electronically by circulation to the parties’ legal representatives by email. The date and time for hand-down is deemed to be </w:t>
      </w:r>
      <w:r w:rsidR="00D77290">
        <w:rPr>
          <w:shd w:val="clear" w:color="auto" w:fill="FFFFFF"/>
        </w:rPr>
        <w:t>1</w:t>
      </w:r>
      <w:r w:rsidR="004E5D90">
        <w:rPr>
          <w:shd w:val="clear" w:color="auto" w:fill="FFFFFF"/>
        </w:rPr>
        <w:t>0</w:t>
      </w:r>
      <w:r w:rsidR="00D77290">
        <w:rPr>
          <w:shd w:val="clear" w:color="auto" w:fill="FFFFFF"/>
        </w:rPr>
        <w:t xml:space="preserve">h00 on </w:t>
      </w:r>
      <w:r w:rsidR="004E5D90">
        <w:rPr>
          <w:shd w:val="clear" w:color="auto" w:fill="FFFFFF"/>
        </w:rPr>
        <w:t>13</w:t>
      </w:r>
      <w:r w:rsidR="00D77290">
        <w:rPr>
          <w:shd w:val="clear" w:color="auto" w:fill="FFFFFF"/>
        </w:rPr>
        <w:t xml:space="preserve"> </w:t>
      </w:r>
      <w:r w:rsidR="004E5D90">
        <w:rPr>
          <w:shd w:val="clear" w:color="auto" w:fill="FFFFFF"/>
        </w:rPr>
        <w:t>November</w:t>
      </w:r>
      <w:r w:rsidR="00D77290">
        <w:rPr>
          <w:shd w:val="clear" w:color="auto" w:fill="FFFFFF"/>
        </w:rPr>
        <w:t xml:space="preserve"> </w:t>
      </w:r>
      <w:r w:rsidR="00066BC7" w:rsidRPr="00F73C09">
        <w:rPr>
          <w:color w:val="000000"/>
          <w:shd w:val="clear" w:color="auto" w:fill="FFFFFF"/>
        </w:rPr>
        <w:t>202</w:t>
      </w:r>
      <w:r w:rsidR="00760A17">
        <w:rPr>
          <w:color w:val="000000"/>
          <w:shd w:val="clear" w:color="auto" w:fill="FFFFFF"/>
        </w:rPr>
        <w:t>3</w:t>
      </w:r>
    </w:p>
    <w:p w14:paraId="1BF39301" w14:textId="77777777" w:rsidR="00340405" w:rsidRDefault="00340405" w:rsidP="00340405">
      <w:pPr>
        <w:spacing w:line="360" w:lineRule="auto"/>
        <w:rPr>
          <w:color w:val="000000"/>
          <w:shd w:val="clear" w:color="auto" w:fill="FFFFFF"/>
        </w:rPr>
      </w:pPr>
    </w:p>
    <w:p w14:paraId="4F843D4B" w14:textId="77777777" w:rsidR="00F31C5E" w:rsidRDefault="00F31C5E" w:rsidP="009B1D80">
      <w:pPr>
        <w:spacing w:line="360" w:lineRule="auto"/>
        <w:rPr>
          <w:color w:val="000000"/>
          <w:shd w:val="clear" w:color="auto" w:fill="FFFFFF"/>
        </w:rPr>
      </w:pPr>
    </w:p>
    <w:p w14:paraId="6FAA91F4" w14:textId="77777777" w:rsidR="00F31C5E" w:rsidRDefault="00F31C5E" w:rsidP="009B1D80">
      <w:pPr>
        <w:spacing w:line="360" w:lineRule="auto"/>
        <w:rPr>
          <w:b/>
          <w:bCs/>
        </w:rPr>
      </w:pPr>
      <w:r>
        <w:rPr>
          <w:b/>
          <w:bCs/>
          <w:color w:val="000000"/>
          <w:shd w:val="clear" w:color="auto" w:fill="FFFFFF"/>
        </w:rPr>
        <w:t xml:space="preserve">                                                              </w:t>
      </w:r>
      <w:r w:rsidRPr="00F31C5E">
        <w:rPr>
          <w:b/>
          <w:bCs/>
          <w:color w:val="000000"/>
          <w:shd w:val="clear" w:color="auto" w:fill="FFFFFF"/>
        </w:rPr>
        <w:t>Order</w:t>
      </w:r>
      <w:r w:rsidRPr="00F31C5E">
        <w:rPr>
          <w:b/>
          <w:bCs/>
        </w:rPr>
        <w:t xml:space="preserve"> </w:t>
      </w:r>
    </w:p>
    <w:p w14:paraId="5E958E59" w14:textId="418E5A18" w:rsidR="00B21EFC" w:rsidRPr="00F31C5E" w:rsidRDefault="004E5D90" w:rsidP="004E5D90">
      <w:pPr>
        <w:spacing w:line="360" w:lineRule="auto"/>
        <w:rPr>
          <w:b/>
          <w:bCs/>
          <w:color w:val="000000"/>
          <w:shd w:val="clear" w:color="auto" w:fill="FFFFFF"/>
        </w:rPr>
      </w:pPr>
      <w:r>
        <w:t>The application for leave to appeal is dismissed with costs including the costs of two counsel where so employed.</w:t>
      </w:r>
      <w:r w:rsidR="00B21EFC" w:rsidRPr="00F31C5E">
        <w:rPr>
          <w:b/>
          <w:bCs/>
        </w:rPr>
        <w:t xml:space="preserve"> </w:t>
      </w:r>
    </w:p>
    <w:p w14:paraId="10F630AA" w14:textId="77777777" w:rsidR="00066BC7" w:rsidRPr="00F73C09" w:rsidRDefault="00066BC7" w:rsidP="00066BC7">
      <w:pPr>
        <w:pStyle w:val="Parties"/>
      </w:pPr>
    </w:p>
    <w:p w14:paraId="4FB5AF5E" w14:textId="77777777" w:rsidR="00066BC7" w:rsidRPr="00F73C09" w:rsidRDefault="00066BC7" w:rsidP="00066BC7">
      <w:pPr>
        <w:pStyle w:val="Parties"/>
        <w:tabs>
          <w:tab w:val="center" w:pos="4111"/>
        </w:tabs>
      </w:pPr>
      <w:r w:rsidRPr="00F73C09">
        <w:tab/>
      </w:r>
    </w:p>
    <w:p w14:paraId="1C19D393" w14:textId="5354BA7D" w:rsidR="00AC56E7" w:rsidRPr="00C76CB3" w:rsidRDefault="00066BC7" w:rsidP="00C76CB3">
      <w:pPr>
        <w:pStyle w:val="TramLines"/>
      </w:pPr>
      <w:r w:rsidRPr="00F73C09">
        <w:t>JUDGMENT</w:t>
      </w:r>
    </w:p>
    <w:p w14:paraId="202DDC71" w14:textId="77777777" w:rsidR="004E5D90" w:rsidRDefault="004E5D90" w:rsidP="004E5D90">
      <w:pPr>
        <w:rPr>
          <w:b/>
          <w:bCs/>
        </w:rPr>
      </w:pPr>
    </w:p>
    <w:p w14:paraId="465E8393" w14:textId="3EFEA198" w:rsidR="004E5D90" w:rsidRDefault="00423F6D" w:rsidP="004E5D90">
      <w:pPr>
        <w:rPr>
          <w:b/>
          <w:bCs/>
        </w:rPr>
      </w:pPr>
      <w:r>
        <w:rPr>
          <w:b/>
          <w:bCs/>
        </w:rPr>
        <w:t>IN</w:t>
      </w:r>
      <w:r w:rsidR="00066BC7" w:rsidRPr="00F73C09">
        <w:rPr>
          <w:b/>
          <w:bCs/>
        </w:rPr>
        <w:t>GRID OPPERMAN J</w:t>
      </w:r>
    </w:p>
    <w:p w14:paraId="12C6F8B7" w14:textId="174689F4" w:rsidR="004E5D90" w:rsidRPr="004E5D90" w:rsidRDefault="004E5D90" w:rsidP="004E5D90">
      <w:pPr>
        <w:rPr>
          <w:b/>
          <w:bCs/>
        </w:rPr>
      </w:pPr>
    </w:p>
    <w:p w14:paraId="2C032121" w14:textId="71382A98" w:rsidR="004E5D90" w:rsidRPr="004E5D90" w:rsidRDefault="004E5D90" w:rsidP="004E5D90">
      <w:pPr>
        <w:pStyle w:val="1"/>
        <w:numPr>
          <w:ilvl w:val="0"/>
          <w:numId w:val="0"/>
        </w:numPr>
        <w:rPr>
          <w:b/>
          <w:bCs/>
          <w:u w:val="single"/>
        </w:rPr>
      </w:pPr>
      <w:r w:rsidRPr="004E5D90">
        <w:rPr>
          <w:b/>
          <w:bCs/>
          <w:u w:val="single"/>
        </w:rPr>
        <w:t>Introduction</w:t>
      </w:r>
    </w:p>
    <w:p w14:paraId="6B46B3E2" w14:textId="609F5638" w:rsidR="004E5D90" w:rsidRDefault="00BE61F8" w:rsidP="00BE61F8">
      <w:pPr>
        <w:pStyle w:val="1"/>
        <w:numPr>
          <w:ilvl w:val="0"/>
          <w:numId w:val="0"/>
        </w:numPr>
        <w:tabs>
          <w:tab w:val="left" w:pos="0"/>
        </w:tabs>
      </w:pPr>
      <w:r>
        <w:t>[1]</w:t>
      </w:r>
      <w:r>
        <w:tab/>
      </w:r>
      <w:r w:rsidR="004E5D90" w:rsidRPr="009E2781">
        <w:t>This is an application for le</w:t>
      </w:r>
      <w:r w:rsidR="004E5D90">
        <w:t xml:space="preserve">ave to appeal to the Supreme Court of Appeal or the Full Court of the Gauteng Local Division against paragraph 140.2  of this Court’s order (in terms of which the Minister’s decision was reviewed and set aside), as well as the </w:t>
      </w:r>
      <w:r w:rsidR="004E5D90">
        <w:lastRenderedPageBreak/>
        <w:t xml:space="preserve">remedial order remitting the matter to the Minister for a decision within nine months (contained in paragraph 140.3 of the order) and the costs order granted against it.  </w:t>
      </w:r>
    </w:p>
    <w:p w14:paraId="58122C19" w14:textId="026E682E" w:rsidR="004E5D90" w:rsidRPr="007A1BF2" w:rsidRDefault="00BE61F8" w:rsidP="00BE61F8">
      <w:pPr>
        <w:pStyle w:val="1"/>
        <w:numPr>
          <w:ilvl w:val="0"/>
          <w:numId w:val="0"/>
        </w:numPr>
        <w:tabs>
          <w:tab w:val="left" w:pos="0"/>
        </w:tabs>
      </w:pPr>
      <w:r w:rsidRPr="007A1BF2">
        <w:t>[2]</w:t>
      </w:r>
      <w:r w:rsidRPr="007A1BF2">
        <w:tab/>
      </w:r>
      <w:r w:rsidR="004E5D90">
        <w:t>This judgment should be read with the 22 September 2023 judgment (‘</w:t>
      </w:r>
      <w:r w:rsidR="004E5D90" w:rsidRPr="004E5D90">
        <w:rPr>
          <w:i/>
        </w:rPr>
        <w:t>the main judgment’</w:t>
      </w:r>
      <w:r w:rsidR="004E5D90">
        <w:t xml:space="preserve">). </w:t>
      </w:r>
      <w:r w:rsidR="004E5D90" w:rsidRPr="007A1BF2">
        <w:t xml:space="preserve">The parties are referred to as in the </w:t>
      </w:r>
      <w:r w:rsidR="004E5D90">
        <w:t xml:space="preserve">main </w:t>
      </w:r>
      <w:r w:rsidR="004E5D90" w:rsidRPr="007A1BF2">
        <w:t xml:space="preserve">judgment and all abbreviated descriptions used herein are defined in the </w:t>
      </w:r>
      <w:r w:rsidR="004E5D90">
        <w:t xml:space="preserve">main </w:t>
      </w:r>
      <w:r w:rsidR="004E5D90" w:rsidRPr="007A1BF2">
        <w:t>judgment.</w:t>
      </w:r>
    </w:p>
    <w:p w14:paraId="0B8189B9" w14:textId="57E4DFE6" w:rsidR="004E5D90" w:rsidRDefault="00BE61F8" w:rsidP="00BE61F8">
      <w:pPr>
        <w:pStyle w:val="1"/>
        <w:numPr>
          <w:ilvl w:val="0"/>
          <w:numId w:val="0"/>
        </w:numPr>
        <w:tabs>
          <w:tab w:val="left" w:pos="0"/>
        </w:tabs>
      </w:pPr>
      <w:r>
        <w:t>[3]</w:t>
      </w:r>
      <w:r>
        <w:tab/>
      </w:r>
      <w:r w:rsidR="004E5D90">
        <w:t>T</w:t>
      </w:r>
      <w:r w:rsidR="004E5D90" w:rsidRPr="001F1058">
        <w:t>he Minister</w:t>
      </w:r>
      <w:r w:rsidR="004E5D90">
        <w:t xml:space="preserve"> </w:t>
      </w:r>
      <w:r w:rsidR="004E5D90" w:rsidRPr="001F1058">
        <w:t>and the Controller</w:t>
      </w:r>
      <w:r w:rsidR="004E5D90">
        <w:t xml:space="preserve"> have accepted this Court’s decision.  They do not seek leave to appeal against any aspect of the main judgment.  They abide the Court’s decision on this application for leave to appeal.</w:t>
      </w:r>
    </w:p>
    <w:p w14:paraId="7082022C" w14:textId="2443CB8F" w:rsidR="004E5D90" w:rsidRDefault="00BE61F8" w:rsidP="00BE61F8">
      <w:pPr>
        <w:pStyle w:val="1"/>
        <w:numPr>
          <w:ilvl w:val="0"/>
          <w:numId w:val="0"/>
        </w:numPr>
        <w:tabs>
          <w:tab w:val="left" w:pos="0"/>
        </w:tabs>
      </w:pPr>
      <w:r>
        <w:t>[4]</w:t>
      </w:r>
      <w:r>
        <w:tab/>
      </w:r>
      <w:r w:rsidR="00423F6D">
        <w:t xml:space="preserve">The consequence of the order granted in the main judgment is that the DoE will have to reconsider the treatment and calculation of the EC as a component of the retail margin of the RAS.  That will require a review of RAS.  </w:t>
      </w:r>
      <w:r w:rsidR="004E5D90">
        <w:t>Significantly, SAPIA has indicated that it would welcome constructive engagement with the DoE and other stakeholders in any revision of the RAS which the DoE might undertake.  It has stated that it does not wish to delay any such regulatory process and contends that the appeal would not impact upon government’s right to conduct a review of the RAS, which</w:t>
      </w:r>
      <w:r w:rsidR="00423F6D">
        <w:t xml:space="preserve"> process</w:t>
      </w:r>
      <w:r w:rsidR="004E5D90">
        <w:t xml:space="preserve"> SAPIA would support. </w:t>
      </w:r>
    </w:p>
    <w:p w14:paraId="06AF75D2" w14:textId="09CD4E5C" w:rsidR="004E5D90" w:rsidRDefault="00BE61F8" w:rsidP="00BE61F8">
      <w:pPr>
        <w:pStyle w:val="1"/>
        <w:numPr>
          <w:ilvl w:val="0"/>
          <w:numId w:val="0"/>
        </w:numPr>
        <w:tabs>
          <w:tab w:val="left" w:pos="567"/>
        </w:tabs>
      </w:pPr>
      <w:r>
        <w:t>[5]</w:t>
      </w:r>
      <w:r>
        <w:tab/>
      </w:r>
      <w:r w:rsidR="004E5D90">
        <w:t xml:space="preserve">On its own version, SAPIA’s stated purpose in bringing this application is to </w:t>
      </w:r>
      <w:r w:rsidR="004E5D90" w:rsidRPr="004E5D90">
        <w:rPr>
          <w:i/>
          <w:iCs w:val="0"/>
        </w:rPr>
        <w:t xml:space="preserve">“seek correction of a number of legal and factual errors in the Court’s judgment” </w:t>
      </w:r>
      <w:r w:rsidR="004E5D90">
        <w:t>which would “</w:t>
      </w:r>
      <w:r w:rsidR="004E5D90" w:rsidRPr="004E5D90">
        <w:rPr>
          <w:i/>
          <w:iCs w:val="0"/>
        </w:rPr>
        <w:t>unduly fetter the Minister’s discretion in any future regulatory decisions</w:t>
      </w:r>
      <w:r w:rsidR="004E5D90">
        <w:t xml:space="preserve">”.  The appeal is consequently not directed at this Court’s order but rather at the reasons underpinning it.  That is not a recognised basis upon which an application for leave to appeal may be brought or granted.  It is trite that an appeal lies against a court’s order </w:t>
      </w:r>
      <w:r w:rsidR="004E5D90">
        <w:lastRenderedPageBreak/>
        <w:t>rather than the reasons underpinning it.</w:t>
      </w:r>
      <w:r w:rsidR="004E5D90">
        <w:rPr>
          <w:rStyle w:val="FootnoteReference"/>
        </w:rPr>
        <w:footnoteReference w:id="1"/>
      </w:r>
      <w:r w:rsidR="004E5D90">
        <w:t xml:space="preserve"> I would dismiss this application for leave to appeal on this basis alone.</w:t>
      </w:r>
    </w:p>
    <w:p w14:paraId="27F6ED7F" w14:textId="5585D1C5" w:rsidR="004E5D90" w:rsidRDefault="00BE61F8" w:rsidP="00BE61F8">
      <w:pPr>
        <w:pStyle w:val="1"/>
        <w:numPr>
          <w:ilvl w:val="0"/>
          <w:numId w:val="0"/>
        </w:numPr>
        <w:tabs>
          <w:tab w:val="left" w:pos="567"/>
        </w:tabs>
      </w:pPr>
      <w:r>
        <w:t>[6]</w:t>
      </w:r>
      <w:r>
        <w:tab/>
      </w:r>
      <w:r w:rsidR="004E5D90">
        <w:t xml:space="preserve">However, assuming, given the facts of this case, that an appeal on the reasoning underpinning </w:t>
      </w:r>
      <w:r w:rsidR="00423F6D">
        <w:t>the</w:t>
      </w:r>
      <w:r w:rsidR="004E5D90">
        <w:t xml:space="preserve"> order were competent, I would nonetheless refuse leave to appeal. In what follows I deal with the grounds of appeal</w:t>
      </w:r>
      <w:r w:rsidR="00423F6D">
        <w:t xml:space="preserve"> and for reaching such conclusion</w:t>
      </w:r>
      <w:r w:rsidR="004E5D90">
        <w:t>.</w:t>
      </w:r>
    </w:p>
    <w:p w14:paraId="659FCAAB" w14:textId="77777777" w:rsidR="004E5D90" w:rsidRPr="004E5D90" w:rsidRDefault="004E5D90" w:rsidP="004E5D90">
      <w:pPr>
        <w:pStyle w:val="1"/>
        <w:numPr>
          <w:ilvl w:val="0"/>
          <w:numId w:val="0"/>
        </w:numPr>
        <w:tabs>
          <w:tab w:val="clear" w:pos="567"/>
        </w:tabs>
        <w:rPr>
          <w:b/>
          <w:bCs/>
          <w:u w:val="single"/>
        </w:rPr>
      </w:pPr>
      <w:r w:rsidRPr="004E5D90">
        <w:rPr>
          <w:b/>
          <w:bCs/>
          <w:u w:val="single"/>
        </w:rPr>
        <w:t xml:space="preserve">Unpacking of the judgment. </w:t>
      </w:r>
    </w:p>
    <w:p w14:paraId="53F9BC7D" w14:textId="0119CACD" w:rsidR="00423F6D" w:rsidRDefault="00BE61F8" w:rsidP="00BE61F8">
      <w:pPr>
        <w:pStyle w:val="1"/>
        <w:numPr>
          <w:ilvl w:val="0"/>
          <w:numId w:val="0"/>
        </w:numPr>
        <w:tabs>
          <w:tab w:val="left" w:pos="567"/>
        </w:tabs>
      </w:pPr>
      <w:r>
        <w:t>[7]</w:t>
      </w:r>
      <w:r>
        <w:tab/>
      </w:r>
      <w:r w:rsidR="004E5D90">
        <w:t xml:space="preserve">This court found four independent grounds upon which to impugn the Minister’s decision.  </w:t>
      </w:r>
    </w:p>
    <w:p w14:paraId="6CE0873A" w14:textId="06F1B0D7" w:rsidR="004E5D90" w:rsidRDefault="00BE61F8" w:rsidP="00BE61F8">
      <w:pPr>
        <w:pStyle w:val="1"/>
        <w:numPr>
          <w:ilvl w:val="0"/>
          <w:numId w:val="0"/>
        </w:numPr>
        <w:tabs>
          <w:tab w:val="left" w:pos="567"/>
        </w:tabs>
      </w:pPr>
      <w:r>
        <w:t>[8]</w:t>
      </w:r>
      <w:r>
        <w:tab/>
      </w:r>
      <w:r w:rsidR="004E5D90">
        <w:t>First</w:t>
      </w:r>
      <w:r w:rsidR="00423F6D">
        <w:t>ly</w:t>
      </w:r>
      <w:r w:rsidR="004E5D90">
        <w:t xml:space="preserve">, the Court found that in taking the decision to implement the RAS, the DoE and the Minister had failed properly to consider materially relevant considerations regarding the consequences of the model for retailers. The Court concluded that the decision – taken in ignorance of, or without sufficient regard to, materially relevant considerations was procedurally unfair and procedurally irrational.  </w:t>
      </w:r>
    </w:p>
    <w:p w14:paraId="7FE7339E" w14:textId="26E3A9B1" w:rsidR="004E5D90" w:rsidRDefault="00BE61F8" w:rsidP="00BE61F8">
      <w:pPr>
        <w:pStyle w:val="1"/>
        <w:numPr>
          <w:ilvl w:val="0"/>
          <w:numId w:val="0"/>
        </w:numPr>
        <w:tabs>
          <w:tab w:val="left" w:pos="567"/>
        </w:tabs>
      </w:pPr>
      <w:r>
        <w:t>[9]</w:t>
      </w:r>
      <w:r>
        <w:tab/>
      </w:r>
      <w:r w:rsidR="004E5D90">
        <w:t xml:space="preserve">The Court identified a range of important considerations that were disregarded by the DoE and never placed before the Minister. The Court found that the DoE proceeded with the implementation of a pricing model based on only a selective reading of the recommendations of Bates White, that it disregarded the clear warnings raised by Bates White and that it failed to undertake the additional work proposed by Bates White.  The Minister was not informed of these cautionary factors and was therefore unable to take them into account. </w:t>
      </w:r>
    </w:p>
    <w:p w14:paraId="177D7AA6" w14:textId="6213A667" w:rsidR="004E5D90" w:rsidRDefault="00BE61F8" w:rsidP="00BE61F8">
      <w:pPr>
        <w:pStyle w:val="1"/>
        <w:numPr>
          <w:ilvl w:val="0"/>
          <w:numId w:val="0"/>
        </w:numPr>
        <w:tabs>
          <w:tab w:val="left" w:pos="567"/>
        </w:tabs>
      </w:pPr>
      <w:r>
        <w:t>[10]</w:t>
      </w:r>
      <w:r>
        <w:tab/>
      </w:r>
      <w:r w:rsidR="004E5D90">
        <w:t xml:space="preserve">The IPSR also raised serious concerns and flagged issues requiring additional research and </w:t>
      </w:r>
      <w:proofErr w:type="gramStart"/>
      <w:r w:rsidR="004E5D90">
        <w:t>analysis, but</w:t>
      </w:r>
      <w:proofErr w:type="gramEnd"/>
      <w:r w:rsidR="004E5D90">
        <w:t xml:space="preserve"> emphasised that these issues fell outside its mandate. It left the question of the EC open as it was not mandated to consider </w:t>
      </w:r>
      <w:proofErr w:type="gramStart"/>
      <w:r w:rsidR="004E5D90">
        <w:t>whether or not</w:t>
      </w:r>
      <w:proofErr w:type="gramEnd"/>
      <w:r w:rsidR="004E5D90">
        <w:t xml:space="preserve"> to </w:t>
      </w:r>
      <w:r w:rsidR="004E5D90">
        <w:lastRenderedPageBreak/>
        <w:t>include the EC in the retail margin. This information was before the DoE when it made the decision to implement the RAS, but there is nothing to demonstrate that the DoE applied its mind to these warnings or communicated the information to the Minister. The Minister was consequently precluded from taking these materially relevant considerations into account.</w:t>
      </w:r>
    </w:p>
    <w:p w14:paraId="64FFB70B" w14:textId="15D33136" w:rsidR="004E5D90" w:rsidRDefault="00BE61F8" w:rsidP="00BE61F8">
      <w:pPr>
        <w:pStyle w:val="1"/>
        <w:numPr>
          <w:ilvl w:val="0"/>
          <w:numId w:val="0"/>
        </w:numPr>
        <w:tabs>
          <w:tab w:val="left" w:pos="567"/>
        </w:tabs>
      </w:pPr>
      <w:r>
        <w:t>[11]</w:t>
      </w:r>
      <w:r>
        <w:tab/>
      </w:r>
      <w:r w:rsidR="004E5D90">
        <w:t xml:space="preserve">The Minister was not informed of the consequences of a regulatory model that did not include a trading margin for CORO retailers. This gave rise to a failure by the Minister properly to consider the impact of the RAS on CORO retailers and to deal with the specific concerns raised by the Fuel Retailers Association. </w:t>
      </w:r>
    </w:p>
    <w:p w14:paraId="38D5F6C4" w14:textId="32021B04" w:rsidR="004E5D90" w:rsidRDefault="00BE61F8" w:rsidP="00BE61F8">
      <w:pPr>
        <w:pStyle w:val="1"/>
        <w:numPr>
          <w:ilvl w:val="0"/>
          <w:numId w:val="0"/>
        </w:numPr>
        <w:tabs>
          <w:tab w:val="left" w:pos="567"/>
        </w:tabs>
      </w:pPr>
      <w:r>
        <w:t>[12]</w:t>
      </w:r>
      <w:r>
        <w:tab/>
      </w:r>
      <w:r w:rsidR="00423F6D">
        <w:t>Secondly, this</w:t>
      </w:r>
      <w:r w:rsidR="004E5D90">
        <w:t xml:space="preserve"> Court also found that the RAS model was at odds with the terms and objectives agreed by the RAS technical team.  The DoE’s RAS Fact Sheet provided that the technical team had agreed that an EC should be predetermined as a reward for the retailers. In the face of this, however, the DoE adopted a methodology that is </w:t>
      </w:r>
      <w:r w:rsidR="004E5D90" w:rsidRPr="004E5D90">
        <w:t xml:space="preserve">mismatched to the realities on the </w:t>
      </w:r>
      <w:proofErr w:type="gramStart"/>
      <w:r w:rsidR="004E5D90" w:rsidRPr="004E5D90">
        <w:t>ground</w:t>
      </w:r>
      <w:proofErr w:type="gramEnd"/>
      <w:r w:rsidR="004E5D90">
        <w:t xml:space="preserve"> and which </w:t>
      </w:r>
      <w:r w:rsidR="004E5D90" w:rsidRPr="004E5D90">
        <w:t xml:space="preserve">cannot secure </w:t>
      </w:r>
      <w:r w:rsidR="004E5D90">
        <w:t xml:space="preserve">the </w:t>
      </w:r>
      <w:r w:rsidR="004E5D90" w:rsidRPr="004E5D90">
        <w:t>reward f</w:t>
      </w:r>
      <w:r w:rsidR="004E5D90">
        <w:t>or retailers that the technical team agreed was required.</w:t>
      </w:r>
    </w:p>
    <w:p w14:paraId="0BEAD20F" w14:textId="390939FB" w:rsidR="004E5D90" w:rsidRDefault="00BE61F8" w:rsidP="00BE61F8">
      <w:pPr>
        <w:pStyle w:val="1"/>
        <w:numPr>
          <w:ilvl w:val="0"/>
          <w:numId w:val="0"/>
        </w:numPr>
        <w:tabs>
          <w:tab w:val="left" w:pos="567"/>
        </w:tabs>
      </w:pPr>
      <w:r>
        <w:t>[13]</w:t>
      </w:r>
      <w:r>
        <w:tab/>
      </w:r>
      <w:r w:rsidR="00423F6D">
        <w:t>Thirdly, this</w:t>
      </w:r>
      <w:r w:rsidR="004E5D90">
        <w:t xml:space="preserve"> Court found that the RAS is incapable of giving effect to its objective of providing a fair return to participants in the retail sector and avoiding cross-subsidisation of activities.  The decision to implement such a model is irrational to the extent that it does not ring-fence a trading margin and therefore leaves one category of participant without a fair return.  The court considered, and rejected, the arguments advanced by both the DoE and SAPIA that the provision in the model for the commercial negotiation of the EC somehow remedied this structural and conceptual flaw.</w:t>
      </w:r>
    </w:p>
    <w:p w14:paraId="7098921C" w14:textId="07D6084D" w:rsidR="004E5D90" w:rsidRDefault="00BE61F8" w:rsidP="00BE61F8">
      <w:pPr>
        <w:pStyle w:val="1"/>
        <w:numPr>
          <w:ilvl w:val="0"/>
          <w:numId w:val="0"/>
        </w:numPr>
        <w:tabs>
          <w:tab w:val="left" w:pos="567"/>
        </w:tabs>
      </w:pPr>
      <w:r>
        <w:t>[14]</w:t>
      </w:r>
      <w:r>
        <w:tab/>
      </w:r>
      <w:r w:rsidR="00423F6D">
        <w:t>Lastly, t</w:t>
      </w:r>
      <w:r w:rsidR="004E5D90">
        <w:t xml:space="preserve">his Court found that the RAS model permits and increases vertical integration within the fuel supply chain by enabling oil companies to exert an undue </w:t>
      </w:r>
      <w:r w:rsidR="004E5D90">
        <w:lastRenderedPageBreak/>
        <w:t>influence on the margins and profits of retailers and thereby to exercise control over their operations.  This undermines the rationale of the RAS and closes the door on the achievement of government’s policy objectives behind the model. The implementation of a model unable to achieve its own objectives is consequently irrational.</w:t>
      </w:r>
    </w:p>
    <w:p w14:paraId="5903562D" w14:textId="2938EC82" w:rsidR="00C76CB3" w:rsidRDefault="00BE61F8" w:rsidP="00BE61F8">
      <w:pPr>
        <w:pStyle w:val="1"/>
        <w:numPr>
          <w:ilvl w:val="0"/>
          <w:numId w:val="0"/>
        </w:numPr>
        <w:tabs>
          <w:tab w:val="left" w:pos="0"/>
        </w:tabs>
      </w:pPr>
      <w:r>
        <w:t>[15]</w:t>
      </w:r>
      <w:r>
        <w:tab/>
      </w:r>
      <w:r w:rsidR="004E5D90">
        <w:t xml:space="preserve">This court found that there were fundamental flaws in the decision-making process and defects in the structure of the RAS model that meant it could never achieve its objectives.  </w:t>
      </w:r>
    </w:p>
    <w:p w14:paraId="3BFF0130" w14:textId="5C46F52F" w:rsidR="004E5D90" w:rsidRPr="00C76CB3" w:rsidRDefault="00BE61F8" w:rsidP="00BE61F8">
      <w:pPr>
        <w:pStyle w:val="1"/>
        <w:numPr>
          <w:ilvl w:val="0"/>
          <w:numId w:val="0"/>
        </w:numPr>
        <w:tabs>
          <w:tab w:val="left" w:pos="0"/>
        </w:tabs>
      </w:pPr>
      <w:r w:rsidRPr="00C76CB3">
        <w:t>[16]</w:t>
      </w:r>
      <w:r w:rsidRPr="00C76CB3">
        <w:tab/>
      </w:r>
      <w:r w:rsidR="004E5D90">
        <w:t xml:space="preserve">SAPIA’s appeal is aimed at findings that lie at the periphery of this Court’s core conclusions.  SAPIA does not deal with the fundamental findings underpinning this Court’s order.  </w:t>
      </w:r>
    </w:p>
    <w:p w14:paraId="7571F0CB" w14:textId="03F07D2E" w:rsidR="004E5D90" w:rsidRPr="004E5D90" w:rsidRDefault="004E5D90" w:rsidP="004E5D90">
      <w:pPr>
        <w:pStyle w:val="1"/>
        <w:numPr>
          <w:ilvl w:val="0"/>
          <w:numId w:val="0"/>
        </w:numPr>
        <w:rPr>
          <w:b/>
          <w:bCs/>
          <w:u w:val="single"/>
        </w:rPr>
      </w:pPr>
      <w:r w:rsidRPr="004E5D90">
        <w:rPr>
          <w:b/>
          <w:bCs/>
          <w:u w:val="single"/>
        </w:rPr>
        <w:t>Reliance on a RORO Site as a Benchmark Service Station</w:t>
      </w:r>
    </w:p>
    <w:p w14:paraId="0DCBE9A8" w14:textId="35D58B1F" w:rsidR="004E5D90" w:rsidRDefault="00BE61F8" w:rsidP="00BE61F8">
      <w:pPr>
        <w:pStyle w:val="1"/>
        <w:numPr>
          <w:ilvl w:val="0"/>
          <w:numId w:val="0"/>
        </w:numPr>
        <w:tabs>
          <w:tab w:val="left" w:pos="0"/>
        </w:tabs>
      </w:pPr>
      <w:r>
        <w:t>[17]</w:t>
      </w:r>
      <w:r>
        <w:tab/>
      </w:r>
      <w:r w:rsidR="004E5D90" w:rsidRPr="00DB16FB">
        <w:t>SAPIA argue</w:t>
      </w:r>
      <w:r w:rsidR="004E5D90">
        <w:t>d</w:t>
      </w:r>
      <w:r w:rsidR="004E5D90" w:rsidRPr="00DB16FB">
        <w:t xml:space="preserve"> that this Court erred in fact and in law by </w:t>
      </w:r>
      <w:r w:rsidR="004E5D90" w:rsidRPr="004E5D90">
        <w:t>impugning the use of a RORO site as the benchmark service station used in the RAS</w:t>
      </w:r>
      <w:r w:rsidR="004E5D90" w:rsidRPr="00DB16FB">
        <w:t xml:space="preserve"> and by ultimately finding that the use of the RORO model as the benchmark service station was a basis to set aside the Minister’s decision</w:t>
      </w:r>
      <w:r w:rsidR="004E5D90">
        <w:t xml:space="preserve">. </w:t>
      </w:r>
    </w:p>
    <w:p w14:paraId="62CF91A5" w14:textId="2BC16893" w:rsidR="004E5D90" w:rsidRPr="00DB16FB" w:rsidRDefault="00BE61F8" w:rsidP="00BE61F8">
      <w:pPr>
        <w:pStyle w:val="1"/>
        <w:numPr>
          <w:ilvl w:val="0"/>
          <w:numId w:val="0"/>
        </w:numPr>
        <w:tabs>
          <w:tab w:val="left" w:pos="0"/>
        </w:tabs>
      </w:pPr>
      <w:r w:rsidRPr="00DB16FB">
        <w:t>[18]</w:t>
      </w:r>
      <w:r w:rsidRPr="00DB16FB">
        <w:tab/>
      </w:r>
      <w:r w:rsidR="004E5D90">
        <w:t xml:space="preserve">It is important to accurately characterise this Court’s findings on this score.  This Court found that the RAS model based on a RORO benchmark station meant that CORO retailers </w:t>
      </w:r>
      <w:r w:rsidR="004E5D90" w:rsidRPr="004E5D90">
        <w:rPr>
          <w:iCs w:val="0"/>
        </w:rPr>
        <w:t>were disregarded and would only be able to recover operational costs</w:t>
      </w:r>
      <w:r w:rsidR="004E5D90">
        <w:rPr>
          <w:iCs w:val="0"/>
        </w:rPr>
        <w:t>.</w:t>
      </w:r>
      <w:r w:rsidR="004E5D90" w:rsidRPr="004E5D90">
        <w:rPr>
          <w:iCs w:val="0"/>
        </w:rPr>
        <w:t xml:space="preserve"> </w:t>
      </w:r>
      <w:r w:rsidR="004E5D90">
        <w:t>This information was not communicated fully to the Minister. Although this court questioned the wisdom of basing the model solely on the RORO benchmark station, the conclusion of the Court was not that it was irrational to rely on the RORO benchmark station, but rather that the outcome of a model that did not cater for CORO stations was irrational.</w:t>
      </w:r>
    </w:p>
    <w:p w14:paraId="5B81C513" w14:textId="04402468" w:rsidR="004E5D90" w:rsidRDefault="00BE61F8" w:rsidP="00BE61F8">
      <w:pPr>
        <w:pStyle w:val="1"/>
        <w:numPr>
          <w:ilvl w:val="0"/>
          <w:numId w:val="0"/>
        </w:numPr>
        <w:tabs>
          <w:tab w:val="left" w:pos="0"/>
        </w:tabs>
      </w:pPr>
      <w:r>
        <w:t>[19]</w:t>
      </w:r>
      <w:r>
        <w:tab/>
      </w:r>
      <w:r w:rsidR="004E5D90">
        <w:t xml:space="preserve">SAPIA’s complaint relates primarily to the findings that, under the RAS model, CORO sites cannot secure a return on investment on the operation of their retail </w:t>
      </w:r>
      <w:r w:rsidR="004E5D90">
        <w:lastRenderedPageBreak/>
        <w:t xml:space="preserve">business and that CORO site operators will inevitably be undercompensated.  SAPIA argues that this Court </w:t>
      </w:r>
      <w:r w:rsidR="004E5D90" w:rsidRPr="004E5D90">
        <w:t>ignored the only evidence before it</w:t>
      </w:r>
      <w:r w:rsidR="004E5D90">
        <w:t xml:space="preserve"> being the confirmatory affidavits from retailers which – in its view – demonstrated that the retailers could sustain their businesses on the current model. SAPIA’s complaints overlook the fact that this evidence was considered, but that the defect with the RAS model was a conceptual one which went beyond the factual question of the viability of specific retailers. </w:t>
      </w:r>
    </w:p>
    <w:p w14:paraId="4A912A6A" w14:textId="649D5E86" w:rsidR="004E5D90" w:rsidRDefault="00BE61F8" w:rsidP="00BE61F8">
      <w:pPr>
        <w:pStyle w:val="1"/>
        <w:numPr>
          <w:ilvl w:val="0"/>
          <w:numId w:val="0"/>
        </w:numPr>
        <w:tabs>
          <w:tab w:val="left" w:pos="0"/>
        </w:tabs>
      </w:pPr>
      <w:r>
        <w:t>[20]</w:t>
      </w:r>
      <w:r>
        <w:tab/>
      </w:r>
      <w:r w:rsidR="004E5D90">
        <w:t xml:space="preserve">The judgment provides that </w:t>
      </w:r>
      <w:r w:rsidR="004E5D90" w:rsidRPr="004E5D90">
        <w:t>the model cannot be designed to, in principle, not provide an EC to the retailer at all.</w:t>
      </w:r>
      <w:r w:rsidR="004E5D90">
        <w:t xml:space="preserve"> The RAS model compensates retailers for operational </w:t>
      </w:r>
      <w:proofErr w:type="gramStart"/>
      <w:r w:rsidR="004E5D90">
        <w:t>costs, but</w:t>
      </w:r>
      <w:proofErr w:type="gramEnd"/>
      <w:r w:rsidR="004E5D90">
        <w:t xml:space="preserve"> does not secure a trading margin for them.  Profits are realised through the CAPEX margin, which the RAS contemplates will be earned by the owners of the capital assets at a service station.  Where the retailer does not own the assets, the RAS does not provide for the retailer to earn a profit at all.  The RAS requires the owner of the assets (the wholesaler in the case of a RORO station) to forfeit a portion of the profits to which it would otherwise be entitled (from the CAPEX margin). It was that conceptual flaw in the model that led this court to ultimately find that the RAS could not achieve its objectives.  This Court found that </w:t>
      </w:r>
      <w:r w:rsidR="004E5D90" w:rsidRPr="004E5D90">
        <w:t xml:space="preserve">to deny the structural flaw by pointing to instances where the structural flaw </w:t>
      </w:r>
      <w:r w:rsidR="004E5D90">
        <w:t>h</w:t>
      </w:r>
      <w:r w:rsidR="004E5D90" w:rsidRPr="004E5D90">
        <w:t>as not manifested itself particularly harshly is to deny the inherent and logical fl</w:t>
      </w:r>
      <w:r w:rsidR="00C76CB3">
        <w:t>a</w:t>
      </w:r>
      <w:r w:rsidR="004E5D90" w:rsidRPr="004E5D90">
        <w:t>w in the model on anecdotal evidence.</w:t>
      </w:r>
      <w:r w:rsidR="004E5D90">
        <w:t xml:space="preserve"> What was required, was to consider the scheme in its full context. </w:t>
      </w:r>
    </w:p>
    <w:p w14:paraId="53B62E0C" w14:textId="79163933" w:rsidR="004E5D90" w:rsidRDefault="00BE61F8" w:rsidP="00BE61F8">
      <w:pPr>
        <w:pStyle w:val="1"/>
        <w:numPr>
          <w:ilvl w:val="0"/>
          <w:numId w:val="0"/>
        </w:numPr>
        <w:tabs>
          <w:tab w:val="left" w:pos="0"/>
        </w:tabs>
      </w:pPr>
      <w:r>
        <w:t>[21]</w:t>
      </w:r>
      <w:r>
        <w:tab/>
      </w:r>
      <w:r w:rsidR="004E5D90">
        <w:t xml:space="preserve">No factual findings on the overall profitability or viability of retailers were made.  The Court’s conclusion was a far narrower one, namely that retailers were </w:t>
      </w:r>
      <w:r w:rsidR="004E5D90" w:rsidRPr="004E5D90">
        <w:rPr>
          <w:iCs w:val="0"/>
        </w:rPr>
        <w:t>undercompensated for the risk they assume when running a business of a petrol station, and for the fuel-dispensing service they provide</w:t>
      </w:r>
      <w:r w:rsidR="004E5D90">
        <w:t xml:space="preserve">.  The scheme does not provide a mechanism for retailers who do not own capital assets to realise any profits.  Their </w:t>
      </w:r>
      <w:r w:rsidR="004E5D90">
        <w:lastRenderedPageBreak/>
        <w:t>profits depend on the outcome of negotiations with retailers in circumstances where wholesalers are expected to “</w:t>
      </w:r>
      <w:r w:rsidR="004E5D90" w:rsidRPr="004E5D90">
        <w:rPr>
          <w:i/>
        </w:rPr>
        <w:t>forfeit</w:t>
      </w:r>
      <w:r w:rsidR="004E5D90">
        <w:t xml:space="preserve">” a portion of the profits the RAS model assumes they should receive </w:t>
      </w:r>
      <w:proofErr w:type="gramStart"/>
      <w:r w:rsidR="004E5D90">
        <w:t>as a result of</w:t>
      </w:r>
      <w:proofErr w:type="gramEnd"/>
      <w:r w:rsidR="004E5D90">
        <w:t xml:space="preserve"> their ownership of the relevant assets.  </w:t>
      </w:r>
    </w:p>
    <w:p w14:paraId="378BB9CA" w14:textId="51605E80" w:rsidR="004E5D90" w:rsidRDefault="00BE61F8" w:rsidP="00BE61F8">
      <w:pPr>
        <w:pStyle w:val="1"/>
        <w:numPr>
          <w:ilvl w:val="0"/>
          <w:numId w:val="0"/>
        </w:numPr>
        <w:tabs>
          <w:tab w:val="left" w:pos="0"/>
        </w:tabs>
      </w:pPr>
      <w:r>
        <w:t>[22]</w:t>
      </w:r>
      <w:r>
        <w:tab/>
      </w:r>
      <w:r w:rsidR="004E5D90">
        <w:t xml:space="preserve">This scheme is </w:t>
      </w:r>
      <w:proofErr w:type="gramStart"/>
      <w:r w:rsidR="004E5D90">
        <w:t>flawed;</w:t>
      </w:r>
      <w:proofErr w:type="gramEnd"/>
      <w:r w:rsidR="004E5D90">
        <w:t xml:space="preserve"> a conclusion independent of the factual question of the profitability of the retailers.  SAPIA’s complaints with the judgment do not address these fundamental flaws in the RAS model.</w:t>
      </w:r>
    </w:p>
    <w:p w14:paraId="109F5D42" w14:textId="1729BEDC" w:rsidR="004E5D90" w:rsidRPr="004E5D90" w:rsidRDefault="004E5D90" w:rsidP="004E5D90">
      <w:pPr>
        <w:pStyle w:val="1"/>
        <w:numPr>
          <w:ilvl w:val="0"/>
          <w:numId w:val="0"/>
        </w:numPr>
        <w:rPr>
          <w:b/>
          <w:bCs/>
          <w:u w:val="single"/>
        </w:rPr>
      </w:pPr>
      <w:r w:rsidRPr="004E5D90">
        <w:rPr>
          <w:b/>
          <w:bCs/>
          <w:u w:val="single"/>
        </w:rPr>
        <w:t>Unequal bargaining power</w:t>
      </w:r>
    </w:p>
    <w:p w14:paraId="15EB5251" w14:textId="5E99E7D9" w:rsidR="004E5D90" w:rsidRPr="004E5D90" w:rsidRDefault="00BE61F8" w:rsidP="00BE61F8">
      <w:pPr>
        <w:pStyle w:val="1"/>
        <w:numPr>
          <w:ilvl w:val="0"/>
          <w:numId w:val="0"/>
        </w:numPr>
        <w:tabs>
          <w:tab w:val="left" w:pos="0"/>
        </w:tabs>
      </w:pPr>
      <w:r w:rsidRPr="004E5D90">
        <w:t>[23]</w:t>
      </w:r>
      <w:r w:rsidRPr="004E5D90">
        <w:tab/>
      </w:r>
      <w:r w:rsidR="004E5D90">
        <w:t xml:space="preserve">SAPIA complains that this Court erred in finding that every fuel retailer was at an automatic commercial disadvantage in negotiations with the oil companies. This was not the finding.  The Court accepted that there was unequal bargaining power between the fuel retailer and the oil company in the context of any negotiation about the EC.  This was based on the statements of the Constitutional Court in </w:t>
      </w:r>
      <w:r w:rsidR="004E5D90" w:rsidRPr="004E5D90">
        <w:rPr>
          <w:i/>
        </w:rPr>
        <w:t>Rissik Street One Stop CC</w:t>
      </w:r>
      <w:r w:rsidR="004E5D90">
        <w:t xml:space="preserve"> t/</w:t>
      </w:r>
      <w:r w:rsidR="004E5D90" w:rsidRPr="004E5D90">
        <w:rPr>
          <w:i/>
        </w:rPr>
        <w:t>a Rissik Street Engen and Another v Engen Petroleum</w:t>
      </w:r>
      <w:r w:rsidR="004E5D90">
        <w:rPr>
          <w:rStyle w:val="FootnoteReference"/>
          <w:i/>
        </w:rPr>
        <w:footnoteReference w:id="2"/>
      </w:r>
      <w:r w:rsidR="004E5D90">
        <w:t xml:space="preserve"> as well as the provisions and preamble of the Petroleum Products Act. There was no blanket finding in relation to commercial disadvantage, but rather an acknowledgement of the</w:t>
      </w:r>
      <w:r w:rsidR="004E5D90" w:rsidRPr="003F7962">
        <w:t xml:space="preserve"> </w:t>
      </w:r>
      <w:r w:rsidR="004E5D90">
        <w:t>u</w:t>
      </w:r>
      <w:r w:rsidR="004E5D90" w:rsidRPr="003F7962">
        <w:t>nequal bargaining power</w:t>
      </w:r>
      <w:r w:rsidR="004E5D90">
        <w:t xml:space="preserve"> inherent</w:t>
      </w:r>
      <w:r w:rsidR="004E5D90" w:rsidRPr="003F7962">
        <w:t xml:space="preserve"> in the petroleum industry</w:t>
      </w:r>
      <w:r w:rsidR="004E5D90">
        <w:t xml:space="preserve">.  The Court’s finding also recognised that the ‘default position’ in the RAS model that allocated the EC to the asset-owner would further skew the bargaining position of both parties as the </w:t>
      </w:r>
      <w:r w:rsidR="004E5D90" w:rsidRPr="004E5D90">
        <w:t>retailer either accepts what is on offer from the oil company, or it must walk away from the transaction.</w:t>
      </w:r>
    </w:p>
    <w:p w14:paraId="7FC19BF4" w14:textId="093F5B30" w:rsidR="004E5D90" w:rsidRDefault="00BE61F8" w:rsidP="00BE61F8">
      <w:pPr>
        <w:pStyle w:val="1"/>
        <w:numPr>
          <w:ilvl w:val="0"/>
          <w:numId w:val="0"/>
        </w:numPr>
        <w:tabs>
          <w:tab w:val="left" w:pos="0"/>
        </w:tabs>
      </w:pPr>
      <w:r>
        <w:t>[24]</w:t>
      </w:r>
      <w:r>
        <w:tab/>
      </w:r>
      <w:r w:rsidR="004E5D90">
        <w:t xml:space="preserve">SAPIA’s attack on the findings regarding the bargaining power between the oil companies and the fuel retailers does not displace the key finding in the judgment on this score which was that even if there were no imbalance in bargaining power, the </w:t>
      </w:r>
      <w:r w:rsidR="004E5D90" w:rsidRPr="004E5D90">
        <w:rPr>
          <w:iCs w:val="0"/>
        </w:rPr>
        <w:t>inevitable outcome</w:t>
      </w:r>
      <w:r w:rsidR="004E5D90">
        <w:t xml:space="preserve"> of the RAS model was that either the retailers were </w:t>
      </w:r>
      <w:r w:rsidR="004E5D90">
        <w:lastRenderedPageBreak/>
        <w:t xml:space="preserve">undercompensated, or the asset-owners were undercompensated.  This is the fundamental flaw in the RAS, which rendered it </w:t>
      </w:r>
      <w:r w:rsidR="004E5D90" w:rsidRPr="004E5D90">
        <w:t xml:space="preserve">arbitrary and incapable of giving effect to the objectives that it was designed to achieve. </w:t>
      </w:r>
      <w:r w:rsidR="004E5D90">
        <w:t xml:space="preserve"> SAPIA’s appeal does not address or attack the findings regarding this flaw in the RAS.</w:t>
      </w:r>
    </w:p>
    <w:p w14:paraId="29F8C18E" w14:textId="21D1D0AE" w:rsidR="004E5D90" w:rsidRDefault="00BE61F8" w:rsidP="00BE61F8">
      <w:pPr>
        <w:pStyle w:val="1"/>
        <w:numPr>
          <w:ilvl w:val="0"/>
          <w:numId w:val="0"/>
        </w:numPr>
        <w:tabs>
          <w:tab w:val="left" w:pos="0"/>
        </w:tabs>
      </w:pPr>
      <w:r>
        <w:t>[25]</w:t>
      </w:r>
      <w:r>
        <w:tab/>
      </w:r>
      <w:r w:rsidR="004E5D90">
        <w:t xml:space="preserve">SAPIA’s attack does not displace the key findings in the judgment on this issue as even if there were no imbalance in bargaining power, the </w:t>
      </w:r>
      <w:r w:rsidR="004E5D90" w:rsidRPr="004E5D90">
        <w:t>inevitable outcome</w:t>
      </w:r>
      <w:r w:rsidR="004E5D90">
        <w:t xml:space="preserve"> of the RAS model was that either the retailers were undercompensated, or the asset-owners were undercompensated.  SAPIA’s appeal does not address or attack the Court’s core findings regarding this flaw in the RAS.</w:t>
      </w:r>
    </w:p>
    <w:p w14:paraId="01C2BE5B" w14:textId="6D9A0C70" w:rsidR="004E5D90" w:rsidRPr="004E5D90" w:rsidRDefault="004E5D90" w:rsidP="004E5D90">
      <w:pPr>
        <w:pStyle w:val="1"/>
        <w:numPr>
          <w:ilvl w:val="0"/>
          <w:numId w:val="0"/>
        </w:numPr>
        <w:rPr>
          <w:b/>
          <w:bCs/>
          <w:u w:val="single"/>
        </w:rPr>
      </w:pPr>
      <w:r w:rsidRPr="004E5D90">
        <w:rPr>
          <w:b/>
          <w:bCs/>
          <w:u w:val="single"/>
        </w:rPr>
        <w:t xml:space="preserve">Regulation of the </w:t>
      </w:r>
      <w:proofErr w:type="spellStart"/>
      <w:r w:rsidRPr="004E5D90">
        <w:rPr>
          <w:b/>
          <w:bCs/>
          <w:u w:val="single"/>
        </w:rPr>
        <w:t>Entrepeneurial</w:t>
      </w:r>
      <w:proofErr w:type="spellEnd"/>
      <w:r w:rsidRPr="004E5D90">
        <w:rPr>
          <w:b/>
          <w:bCs/>
          <w:u w:val="single"/>
        </w:rPr>
        <w:t xml:space="preserve"> Compensation</w:t>
      </w:r>
    </w:p>
    <w:p w14:paraId="1FDF5A5D" w14:textId="0E5D0692" w:rsidR="004E5D90" w:rsidRDefault="00BE61F8" w:rsidP="00BE61F8">
      <w:pPr>
        <w:pStyle w:val="1"/>
        <w:numPr>
          <w:ilvl w:val="0"/>
          <w:numId w:val="0"/>
        </w:numPr>
        <w:tabs>
          <w:tab w:val="left" w:pos="0"/>
        </w:tabs>
      </w:pPr>
      <w:r>
        <w:t>[26]</w:t>
      </w:r>
      <w:r>
        <w:tab/>
      </w:r>
      <w:r w:rsidR="004E5D90">
        <w:t xml:space="preserve">SAPIA contends that this Court found that the EC should be regulated and not left to negotiation between the fuel retailers and the oil companies. This is not so. This court found that the </w:t>
      </w:r>
      <w:r w:rsidR="004E5D90" w:rsidRPr="004E5D90">
        <w:t>treatment and allocation of the EC for retailers in CORO sites as an allocation within the retail margin of the RAS</w:t>
      </w:r>
      <w:r w:rsidR="004E5D90">
        <w:t xml:space="preserve"> is </w:t>
      </w:r>
      <w:proofErr w:type="gramStart"/>
      <w:r w:rsidR="004E5D90">
        <w:t>referred back</w:t>
      </w:r>
      <w:proofErr w:type="gramEnd"/>
      <w:r w:rsidR="004E5D90">
        <w:t xml:space="preserve"> to the DoE for reconsideration.  The judgment envisages further consideration of the model in its entirety as it relates to CORO stations to ensure that any model can produce outcomes in light with its objectives. It remains for the DoE and the Minister to determine how to achieve the objective of ensuring fair and transparent returns for each activity in the fuel supply chain, as well as the other purposes of the RAS (including certainty and the prevention of vertical integration).</w:t>
      </w:r>
    </w:p>
    <w:p w14:paraId="6E0678BB" w14:textId="1EA3D632" w:rsidR="004E5D90" w:rsidRDefault="00BE61F8" w:rsidP="00BE61F8">
      <w:pPr>
        <w:pStyle w:val="1"/>
        <w:numPr>
          <w:ilvl w:val="0"/>
          <w:numId w:val="0"/>
        </w:numPr>
        <w:tabs>
          <w:tab w:val="left" w:pos="0"/>
        </w:tabs>
      </w:pPr>
      <w:r>
        <w:t>[27]</w:t>
      </w:r>
      <w:r>
        <w:tab/>
      </w:r>
      <w:r w:rsidR="004E5D90">
        <w:t xml:space="preserve">The Court explained that the RAS does not provide for an EC. The Guidelines, Matrices or Principles don’t entitle the retailers to claim an EC either.  Rather the model leaves it to the investor and retailer to decide what portion of the CAPEX margin the investor will forfeit to the retailer. It is SAPIA’s members (the oil companies) who are entitled – on paper – to the full CAPEX portion of the retail margin, and who are </w:t>
      </w:r>
      <w:r w:rsidR="004E5D90">
        <w:lastRenderedPageBreak/>
        <w:t xml:space="preserve">expected to “forfeit” a portion of this margin to the retailers.  The </w:t>
      </w:r>
      <w:r w:rsidR="004E5D90" w:rsidRPr="004E5D90">
        <w:rPr>
          <w:iCs w:val="0"/>
        </w:rPr>
        <w:t>retailers are forced to operate within a regulatory scheme that makes no provision at all for a secured profit margin on their investment in the business of operating a service station.</w:t>
      </w:r>
      <w:r w:rsidR="004E5D90">
        <w:t xml:space="preserve">  It is not the fact that the model leaves certain portions of the margin to negotiation that is irrational per se.  It is the fact that this negotiation is expected to occur in a context where the negotiating power is unequal, the default position is that the oil company must “forfeit” a portion of the capex margin, and no negotiating guidelines have been put in place. </w:t>
      </w:r>
    </w:p>
    <w:p w14:paraId="400CA74E" w14:textId="4170C78A" w:rsidR="004E5D90" w:rsidRDefault="00BE61F8" w:rsidP="00BE61F8">
      <w:pPr>
        <w:pStyle w:val="1"/>
        <w:numPr>
          <w:ilvl w:val="0"/>
          <w:numId w:val="0"/>
        </w:numPr>
        <w:tabs>
          <w:tab w:val="left" w:pos="0"/>
        </w:tabs>
      </w:pPr>
      <w:r>
        <w:t>[28]</w:t>
      </w:r>
      <w:r>
        <w:tab/>
      </w:r>
      <w:r w:rsidR="004E5D90">
        <w:t xml:space="preserve"> The need for a regulated EC is not based entirely on the fate of the retailers.  The model gives rise to perverse outcomes for all parties. The model is structured so that either the retailers are undercompensated for the risk of operating the petrol business, or the asset owners are undercompensated for their investment in the assets.</w:t>
      </w:r>
    </w:p>
    <w:p w14:paraId="40B50B57" w14:textId="56101133" w:rsidR="004E5D90" w:rsidRDefault="00BE61F8" w:rsidP="00BE61F8">
      <w:pPr>
        <w:pStyle w:val="1"/>
        <w:numPr>
          <w:ilvl w:val="0"/>
          <w:numId w:val="0"/>
        </w:numPr>
        <w:tabs>
          <w:tab w:val="left" w:pos="0"/>
        </w:tabs>
      </w:pPr>
      <w:r>
        <w:t>[29]</w:t>
      </w:r>
      <w:r>
        <w:tab/>
      </w:r>
      <w:r w:rsidR="004E5D90">
        <w:t>SAPIA’s appeal does not address or challenge these fundamental underpinnings of this Court’s judgment.</w:t>
      </w:r>
    </w:p>
    <w:p w14:paraId="4F6F2B25" w14:textId="653281BE" w:rsidR="004E5D90" w:rsidRPr="004E5D90" w:rsidRDefault="004E5D90" w:rsidP="004E5D90">
      <w:pPr>
        <w:pStyle w:val="1"/>
        <w:numPr>
          <w:ilvl w:val="0"/>
          <w:numId w:val="0"/>
        </w:numPr>
        <w:rPr>
          <w:b/>
          <w:bCs/>
          <w:u w:val="single"/>
        </w:rPr>
      </w:pPr>
      <w:r>
        <w:rPr>
          <w:b/>
          <w:bCs/>
          <w:u w:val="single"/>
        </w:rPr>
        <w:t>T</w:t>
      </w:r>
      <w:r w:rsidRPr="004E5D90">
        <w:rPr>
          <w:b/>
          <w:bCs/>
          <w:u w:val="single"/>
        </w:rPr>
        <w:t xml:space="preserve">he </w:t>
      </w:r>
      <w:r>
        <w:rPr>
          <w:b/>
          <w:bCs/>
          <w:u w:val="single"/>
        </w:rPr>
        <w:t>M</w:t>
      </w:r>
      <w:r w:rsidRPr="004E5D90">
        <w:rPr>
          <w:b/>
          <w:bCs/>
          <w:u w:val="single"/>
        </w:rPr>
        <w:t>inister’s decision-making process</w:t>
      </w:r>
    </w:p>
    <w:p w14:paraId="30002486" w14:textId="5B2FDBCC" w:rsidR="004E5D90" w:rsidRDefault="00BE61F8" w:rsidP="00BE61F8">
      <w:pPr>
        <w:pStyle w:val="1"/>
        <w:numPr>
          <w:ilvl w:val="0"/>
          <w:numId w:val="0"/>
        </w:numPr>
        <w:tabs>
          <w:tab w:val="left" w:pos="0"/>
        </w:tabs>
      </w:pPr>
      <w:r>
        <w:t>[30]</w:t>
      </w:r>
      <w:r>
        <w:tab/>
      </w:r>
      <w:r w:rsidR="004E5D90">
        <w:t xml:space="preserve">SAPIA contends that this Court found the decision-making process unlawful because the Minister did not </w:t>
      </w:r>
      <w:r w:rsidR="004E5D90" w:rsidRPr="004E5D90">
        <w:t>adopt unaltered the input received from industry experts</w:t>
      </w:r>
      <w:r w:rsidR="004E5D90">
        <w:t xml:space="preserve"> and that the </w:t>
      </w:r>
      <w:r w:rsidR="004E5D90" w:rsidRPr="004E5D90">
        <w:t>Bates White report should dictate the Minister’s decision</w:t>
      </w:r>
      <w:r w:rsidR="004E5D90">
        <w:t xml:space="preserve"> (thereby suggesting that the Court found that there was an obligation on the Minister to follow the Bates White recommendations).  SAPIA has mischaracterised the findings on both scores.  The judgment does not state that the Minister ought to have followed the input of industry experts and the Bates White Report (and her decision was flawed on the basis that she failed to do so).  Rather, the judgment provides that the reviewable errors in the decision-making process arose from the fact that the Minister was not properly appraised of the contents of the Bates White report and therefore did not take </w:t>
      </w:r>
      <w:r w:rsidR="004E5D90">
        <w:lastRenderedPageBreak/>
        <w:t xml:space="preserve">it into account.  This was also the case in respect of the opinion and recommendations in the IPSR report. SAPIA has not pointed to any evidence in the papers or record of decision that demonstrates that the Minister did in fact apply her mind to this information. </w:t>
      </w:r>
    </w:p>
    <w:p w14:paraId="409818A2" w14:textId="060A7B7B" w:rsidR="004E5D90" w:rsidRDefault="00BE61F8" w:rsidP="00BE61F8">
      <w:pPr>
        <w:pStyle w:val="1"/>
        <w:numPr>
          <w:ilvl w:val="0"/>
          <w:numId w:val="0"/>
        </w:numPr>
        <w:tabs>
          <w:tab w:val="left" w:pos="0"/>
        </w:tabs>
      </w:pPr>
      <w:r>
        <w:t>[31]</w:t>
      </w:r>
      <w:r>
        <w:tab/>
      </w:r>
      <w:r w:rsidR="004E5D90">
        <w:t xml:space="preserve">SAPIA contends that the Court found that the use of a summary by the DoE in the recommendations to the Minister was in and of itself a reviewable error. That is not what the judgment says.  The issue was that this summary excluded material information, </w:t>
      </w:r>
      <w:proofErr w:type="gramStart"/>
      <w:r w:rsidR="004E5D90">
        <w:t>provisos</w:t>
      </w:r>
      <w:proofErr w:type="gramEnd"/>
      <w:r w:rsidR="004E5D90">
        <w:t xml:space="preserve"> and warnings, as well as recommendations that further work be completed before a model was adopted.  This prevented the Minister from taking these considerations into account at all.</w:t>
      </w:r>
    </w:p>
    <w:p w14:paraId="5F1CEE91" w14:textId="3CA7A24F" w:rsidR="004E5D90" w:rsidRDefault="00BE61F8" w:rsidP="00BE61F8">
      <w:pPr>
        <w:pStyle w:val="1"/>
        <w:numPr>
          <w:ilvl w:val="0"/>
          <w:numId w:val="0"/>
        </w:numPr>
        <w:tabs>
          <w:tab w:val="left" w:pos="0"/>
        </w:tabs>
      </w:pPr>
      <w:r>
        <w:t>[32]</w:t>
      </w:r>
      <w:r>
        <w:tab/>
      </w:r>
      <w:r w:rsidR="004E5D90">
        <w:t xml:space="preserve"> SAPIA contends that this court found in effect that the Minister was not entitled to disagree with certain inputs from Bates White, IPSR and the Fuel Retailers Association.  This is incorrect. The reviewable irregularity in the process was a failure to consider these inputs at all, and not the fact that the DoE or the Minister took a different view on these important issues. </w:t>
      </w:r>
    </w:p>
    <w:p w14:paraId="53817FEE" w14:textId="3E96DCF6" w:rsidR="004E5D90" w:rsidRDefault="00BE61F8" w:rsidP="00BE61F8">
      <w:pPr>
        <w:pStyle w:val="1"/>
        <w:numPr>
          <w:ilvl w:val="0"/>
          <w:numId w:val="0"/>
        </w:numPr>
        <w:tabs>
          <w:tab w:val="left" w:pos="0"/>
        </w:tabs>
      </w:pPr>
      <w:r>
        <w:t>[33]</w:t>
      </w:r>
      <w:r>
        <w:tab/>
      </w:r>
      <w:r w:rsidR="004E5D90">
        <w:t xml:space="preserve"> The Rule 53 Record demonstrated that the Minister received inaccurately summarised information that did not include a proper explanation of the consequences of the implementation of the recommended model.</w:t>
      </w:r>
    </w:p>
    <w:p w14:paraId="3A95FAB5" w14:textId="69DC2A98" w:rsidR="004E5D90" w:rsidRPr="004E5D90" w:rsidRDefault="004E5D90" w:rsidP="004E5D90">
      <w:pPr>
        <w:pStyle w:val="1"/>
        <w:numPr>
          <w:ilvl w:val="0"/>
          <w:numId w:val="0"/>
        </w:numPr>
        <w:rPr>
          <w:b/>
          <w:bCs/>
          <w:u w:val="single"/>
        </w:rPr>
      </w:pPr>
      <w:r>
        <w:rPr>
          <w:b/>
          <w:bCs/>
          <w:u w:val="single"/>
        </w:rPr>
        <w:t>V</w:t>
      </w:r>
      <w:r w:rsidRPr="004E5D90">
        <w:rPr>
          <w:b/>
          <w:bCs/>
          <w:u w:val="single"/>
        </w:rPr>
        <w:t xml:space="preserve">ertical </w:t>
      </w:r>
      <w:r>
        <w:rPr>
          <w:b/>
          <w:bCs/>
          <w:u w:val="single"/>
        </w:rPr>
        <w:t>I</w:t>
      </w:r>
      <w:r w:rsidRPr="004E5D90">
        <w:rPr>
          <w:b/>
          <w:bCs/>
          <w:u w:val="single"/>
        </w:rPr>
        <w:t>ntegration</w:t>
      </w:r>
    </w:p>
    <w:p w14:paraId="73846527" w14:textId="7F962859" w:rsidR="004E5D90" w:rsidRPr="00C76CB3" w:rsidRDefault="00BE61F8" w:rsidP="00BE61F8">
      <w:pPr>
        <w:pStyle w:val="1"/>
        <w:numPr>
          <w:ilvl w:val="0"/>
          <w:numId w:val="0"/>
        </w:numPr>
        <w:tabs>
          <w:tab w:val="left" w:pos="567"/>
        </w:tabs>
      </w:pPr>
      <w:r w:rsidRPr="00C76CB3">
        <w:t>[34]</w:t>
      </w:r>
      <w:r w:rsidRPr="00C76CB3">
        <w:tab/>
      </w:r>
      <w:r w:rsidR="004E5D90">
        <w:t xml:space="preserve">SAPIA’s final ground of appeal is that the Court was wrong to conclude that the negotiation of the EC within the current RAS model permits vertical integration. SAPIA provides no further explanation for why the reasoning and findings of the Court should be set aside on appeal.  I can see none. </w:t>
      </w:r>
    </w:p>
    <w:p w14:paraId="01A71B4F" w14:textId="77777777" w:rsidR="00C76CB3" w:rsidRDefault="00C76CB3" w:rsidP="004E5D90">
      <w:pPr>
        <w:pStyle w:val="1"/>
        <w:numPr>
          <w:ilvl w:val="0"/>
          <w:numId w:val="0"/>
        </w:numPr>
        <w:tabs>
          <w:tab w:val="clear" w:pos="567"/>
        </w:tabs>
        <w:rPr>
          <w:rFonts w:cs="Arial"/>
          <w:b/>
          <w:u w:val="single"/>
        </w:rPr>
      </w:pPr>
    </w:p>
    <w:p w14:paraId="67D9424D" w14:textId="77777777" w:rsidR="00C76CB3" w:rsidRDefault="00C76CB3" w:rsidP="004E5D90">
      <w:pPr>
        <w:pStyle w:val="1"/>
        <w:numPr>
          <w:ilvl w:val="0"/>
          <w:numId w:val="0"/>
        </w:numPr>
        <w:tabs>
          <w:tab w:val="clear" w:pos="567"/>
        </w:tabs>
        <w:rPr>
          <w:rFonts w:cs="Arial"/>
          <w:b/>
          <w:u w:val="single"/>
        </w:rPr>
      </w:pPr>
    </w:p>
    <w:p w14:paraId="7607CB7D" w14:textId="02CF5AC1" w:rsidR="004E5D90" w:rsidRPr="004E5D90" w:rsidRDefault="004E5D90" w:rsidP="004E5D90">
      <w:pPr>
        <w:pStyle w:val="1"/>
        <w:numPr>
          <w:ilvl w:val="0"/>
          <w:numId w:val="0"/>
        </w:numPr>
        <w:tabs>
          <w:tab w:val="clear" w:pos="567"/>
        </w:tabs>
        <w:rPr>
          <w:u w:val="single"/>
        </w:rPr>
      </w:pPr>
      <w:r w:rsidRPr="004E5D90">
        <w:rPr>
          <w:rFonts w:cs="Arial"/>
          <w:b/>
          <w:u w:val="single"/>
        </w:rPr>
        <w:lastRenderedPageBreak/>
        <w:t>Conclusion</w:t>
      </w:r>
    </w:p>
    <w:p w14:paraId="2416810F" w14:textId="50BD0C85" w:rsidR="004E5D90" w:rsidRPr="004E5D90" w:rsidRDefault="00BE61F8" w:rsidP="00BE61F8">
      <w:pPr>
        <w:pStyle w:val="1"/>
        <w:numPr>
          <w:ilvl w:val="0"/>
          <w:numId w:val="0"/>
        </w:numPr>
        <w:tabs>
          <w:tab w:val="left" w:pos="567"/>
        </w:tabs>
      </w:pPr>
      <w:r w:rsidRPr="004E5D90">
        <w:t>[35]</w:t>
      </w:r>
      <w:r w:rsidRPr="004E5D90">
        <w:tab/>
      </w:r>
      <w:r w:rsidR="004E5D90" w:rsidRPr="004E5D90">
        <w:rPr>
          <w:rFonts w:cs="Arial"/>
        </w:rPr>
        <w:t xml:space="preserve">In the decision of </w:t>
      </w:r>
      <w:proofErr w:type="spellStart"/>
      <w:r w:rsidR="004E5D90" w:rsidRPr="004E5D90">
        <w:rPr>
          <w:rFonts w:cs="Arial"/>
          <w:i/>
        </w:rPr>
        <w:t>Dexgroup</w:t>
      </w:r>
      <w:proofErr w:type="spellEnd"/>
      <w:r w:rsidR="004E5D90" w:rsidRPr="004E5D90">
        <w:rPr>
          <w:rFonts w:ascii="Verdana" w:hAnsi="Verdana" w:cs="Verdana"/>
          <w:i/>
          <w:sz w:val="26"/>
          <w:szCs w:val="26"/>
        </w:rPr>
        <w:t xml:space="preserve"> </w:t>
      </w:r>
      <w:r w:rsidR="004E5D90" w:rsidRPr="004E5D90">
        <w:rPr>
          <w:rFonts w:cs="Arial"/>
          <w:i/>
        </w:rPr>
        <w:t>(Pty) Ltd v Trustco Group International (Pty) Ltd and Others</w:t>
      </w:r>
      <w:r w:rsidR="004E5D90">
        <w:rPr>
          <w:rStyle w:val="FootnoteReference"/>
          <w:rFonts w:cs="Arial"/>
          <w:i/>
        </w:rPr>
        <w:footnoteReference w:id="3"/>
      </w:r>
      <w:r w:rsidR="004E5D90" w:rsidRPr="004E5D90">
        <w:rPr>
          <w:rFonts w:cs="Arial"/>
        </w:rPr>
        <w:t>, Wallis JA observed that a court should not grant leave to appeal, and indeed is under a duty not to do so, where the threshold which warrants such leave, has not been cleared by an applicant in an application for leave to appeal. In paragraph [24] he held as follows:</w:t>
      </w:r>
    </w:p>
    <w:p w14:paraId="69E2D89D" w14:textId="6AF69C1E" w:rsidR="004E5D90" w:rsidRDefault="004E5D90" w:rsidP="004E5D90">
      <w:pPr>
        <w:pStyle w:val="ListParagraph"/>
        <w:numPr>
          <w:ilvl w:val="0"/>
          <w:numId w:val="0"/>
        </w:numPr>
        <w:tabs>
          <w:tab w:val="left" w:pos="6300"/>
        </w:tabs>
        <w:spacing w:line="360" w:lineRule="auto"/>
        <w:ind w:left="1134"/>
        <w:rPr>
          <w:rFonts w:cs="Arial"/>
          <w:szCs w:val="22"/>
        </w:rPr>
      </w:pPr>
      <w:r w:rsidRPr="009E2781">
        <w:rPr>
          <w:rFonts w:cs="Arial"/>
          <w:szCs w:val="22"/>
        </w:rPr>
        <w:t>“[24] For those reasons the court below was correct t</w:t>
      </w:r>
      <w:r>
        <w:rPr>
          <w:rFonts w:cs="Arial"/>
          <w:szCs w:val="22"/>
        </w:rPr>
        <w:t xml:space="preserve">o dismiss the challenge to the </w:t>
      </w:r>
      <w:r w:rsidRPr="009E2781">
        <w:rPr>
          <w:rFonts w:cs="Arial"/>
          <w:szCs w:val="22"/>
        </w:rPr>
        <w:t xml:space="preserve">arbitrator's award and the appeal must fail. I should however mention that the learned acting judge did not give any reasons for granting leave to appeal. This is unfortunate as it left us in the dark as to her reasons for thinking that enjoyed reasonable prospects of success. Clearly it did not. Although points of some interest in arbitration law have been canvassed in this judgment, they would have arisen on some other occasion and, as has been demonstrated, the appeal was bound to fail on the facts. </w:t>
      </w:r>
      <w:r w:rsidRPr="009E2781">
        <w:rPr>
          <w:rFonts w:cs="Arial"/>
          <w:b/>
          <w:szCs w:val="22"/>
        </w:rPr>
        <w:t>The need to obtain leave to appeal is a valuable tool in ensuring that scarce judicial resources are not spent on appeals that lack merit</w:t>
      </w:r>
      <w:r w:rsidRPr="009E2781">
        <w:rPr>
          <w:rFonts w:cs="Arial"/>
          <w:szCs w:val="22"/>
        </w:rPr>
        <w:t>. It should in this case have been deployed by refusing leave to appeal.” (emphasis added)</w:t>
      </w:r>
    </w:p>
    <w:p w14:paraId="0EF9B3F3" w14:textId="77777777" w:rsidR="004E5D90" w:rsidRDefault="004E5D90" w:rsidP="004E5D90">
      <w:pPr>
        <w:pStyle w:val="ListParagraph"/>
        <w:numPr>
          <w:ilvl w:val="0"/>
          <w:numId w:val="0"/>
        </w:numPr>
        <w:tabs>
          <w:tab w:val="left" w:pos="6300"/>
        </w:tabs>
        <w:spacing w:line="360" w:lineRule="auto"/>
        <w:ind w:left="1134"/>
        <w:rPr>
          <w:rFonts w:cs="Arial"/>
          <w:szCs w:val="22"/>
        </w:rPr>
      </w:pPr>
    </w:p>
    <w:p w14:paraId="4CCAFC08" w14:textId="792D0F9E" w:rsidR="00423F6D" w:rsidRPr="004E5D90" w:rsidRDefault="00BE61F8" w:rsidP="00BE61F8">
      <w:pPr>
        <w:pStyle w:val="1"/>
        <w:numPr>
          <w:ilvl w:val="0"/>
          <w:numId w:val="0"/>
        </w:numPr>
        <w:tabs>
          <w:tab w:val="left" w:pos="567"/>
        </w:tabs>
      </w:pPr>
      <w:r w:rsidRPr="004E5D90">
        <w:t>[36]</w:t>
      </w:r>
      <w:r w:rsidRPr="004E5D90">
        <w:tab/>
      </w:r>
      <w:r w:rsidR="004E5D90" w:rsidRPr="004E5D90">
        <w:rPr>
          <w:rFonts w:cs="Arial"/>
        </w:rPr>
        <w:t>I have considered the extensive application for leave to appeal</w:t>
      </w:r>
      <w:r w:rsidR="004E5D90">
        <w:rPr>
          <w:rFonts w:cs="Arial"/>
        </w:rPr>
        <w:t xml:space="preserve"> dispassionately</w:t>
      </w:r>
      <w:r w:rsidR="004E5D90">
        <w:rPr>
          <w:rStyle w:val="FootnoteReference"/>
          <w:rFonts w:cs="Arial"/>
        </w:rPr>
        <w:footnoteReference w:id="4"/>
      </w:r>
      <w:r w:rsidR="004E5D90" w:rsidRPr="004E5D90">
        <w:rPr>
          <w:rFonts w:cs="Arial"/>
        </w:rPr>
        <w:t xml:space="preserve"> and hold the view that </w:t>
      </w:r>
      <w:r w:rsidR="004E5D90">
        <w:rPr>
          <w:rFonts w:cs="Arial"/>
        </w:rPr>
        <w:t>the appeal would not have a reasonable prospect of success nor that there is some other compelling reason why the appeal should be heard. M</w:t>
      </w:r>
      <w:r w:rsidR="004E5D90" w:rsidRPr="004E5D90">
        <w:rPr>
          <w:rFonts w:cs="Arial"/>
        </w:rPr>
        <w:t>ost of the grounds have been answered in the main judgment</w:t>
      </w:r>
      <w:r w:rsidR="004E5D90">
        <w:rPr>
          <w:rFonts w:cs="Arial"/>
        </w:rPr>
        <w:t xml:space="preserve">. </w:t>
      </w:r>
      <w:r w:rsidR="00423F6D" w:rsidRPr="004E5D90">
        <w:rPr>
          <w:rFonts w:cs="Arial"/>
        </w:rPr>
        <w:t xml:space="preserve">Nothing argued has persuaded me that another court would find differently. </w:t>
      </w:r>
    </w:p>
    <w:p w14:paraId="0FB8A400" w14:textId="1647F150" w:rsidR="004E5D90" w:rsidRPr="004E5D90" w:rsidRDefault="00BE61F8" w:rsidP="00BE61F8">
      <w:pPr>
        <w:pStyle w:val="1"/>
        <w:numPr>
          <w:ilvl w:val="0"/>
          <w:numId w:val="0"/>
        </w:numPr>
        <w:tabs>
          <w:tab w:val="left" w:pos="567"/>
        </w:tabs>
      </w:pPr>
      <w:r w:rsidRPr="004E5D90">
        <w:t>[37]</w:t>
      </w:r>
      <w:r w:rsidRPr="004E5D90">
        <w:tab/>
      </w:r>
      <w:r w:rsidR="004E5D90">
        <w:rPr>
          <w:rFonts w:cs="Arial"/>
        </w:rPr>
        <w:t xml:space="preserve">The criticism that the Minister’s discretion will be hamstrung by the judgment </w:t>
      </w:r>
      <w:proofErr w:type="spellStart"/>
      <w:proofErr w:type="gramStart"/>
      <w:r w:rsidR="004E5D90">
        <w:rPr>
          <w:rFonts w:cs="Arial"/>
        </w:rPr>
        <w:t>ie</w:t>
      </w:r>
      <w:proofErr w:type="spellEnd"/>
      <w:proofErr w:type="gramEnd"/>
      <w:r w:rsidR="004E5D90">
        <w:rPr>
          <w:rFonts w:cs="Arial"/>
        </w:rPr>
        <w:t xml:space="preserve"> that her discretion will be fettered, in my view is without merit having regard to the actual findings made in the judgment.</w:t>
      </w:r>
    </w:p>
    <w:p w14:paraId="74206088" w14:textId="64AE8597" w:rsidR="00423F6D" w:rsidRPr="00C76CB3" w:rsidRDefault="00BE61F8" w:rsidP="00BE61F8">
      <w:pPr>
        <w:pStyle w:val="1"/>
        <w:numPr>
          <w:ilvl w:val="0"/>
          <w:numId w:val="0"/>
        </w:numPr>
        <w:tabs>
          <w:tab w:val="left" w:pos="567"/>
        </w:tabs>
      </w:pPr>
      <w:r w:rsidRPr="00C76CB3">
        <w:lastRenderedPageBreak/>
        <w:t>[38]</w:t>
      </w:r>
      <w:r w:rsidRPr="00C76CB3">
        <w:tab/>
      </w:r>
      <w:r w:rsidR="004E5D90">
        <w:t xml:space="preserve">As mentioned, SAPIA has indicated that it would welcome constructive engagement with the DoE and other stakeholders in any revision of the RAS which the DoE might undertake.  It has stated that it does not wish to delay any such regulatory process and contends that the appeal would not impact upon government’s right to conduct a review of the RAS, which SAPIA would support. The position SAPIA holds appears to be contradictory: either the reasoning in the judgment is flawed in which event it must be corrected before a revision is embarked upon or the stakeholders can engage on the revision process forthwith which implies that </w:t>
      </w:r>
      <w:proofErr w:type="gramStart"/>
      <w:r w:rsidR="004E5D90">
        <w:t>a  process</w:t>
      </w:r>
      <w:proofErr w:type="gramEnd"/>
      <w:r w:rsidR="004E5D90">
        <w:t xml:space="preserve"> can be undertaken having regard to the findings in the judgment which will not fetter the Minister’s discretion in any future regulatory decisions unduly. </w:t>
      </w:r>
      <w:r w:rsidR="00423F6D">
        <w:t xml:space="preserve">If it is accepted that the Minister’s discretion is </w:t>
      </w:r>
      <w:proofErr w:type="gramStart"/>
      <w:r w:rsidR="00423F6D">
        <w:t>unfettered</w:t>
      </w:r>
      <w:proofErr w:type="gramEnd"/>
      <w:r w:rsidR="00423F6D">
        <w:t xml:space="preserve"> then there is nothing left to correct on appeal and the application under consideration falls to be dismissed.</w:t>
      </w:r>
      <w:r w:rsidR="004E5D90">
        <w:t xml:space="preserve"> </w:t>
      </w:r>
    </w:p>
    <w:p w14:paraId="657786D3" w14:textId="691C0CB5" w:rsidR="004E5D90" w:rsidRPr="004E5D90" w:rsidRDefault="004E5D90" w:rsidP="004E5D90">
      <w:pPr>
        <w:pStyle w:val="1"/>
        <w:numPr>
          <w:ilvl w:val="0"/>
          <w:numId w:val="0"/>
        </w:numPr>
        <w:tabs>
          <w:tab w:val="clear" w:pos="567"/>
        </w:tabs>
        <w:rPr>
          <w:u w:val="single"/>
        </w:rPr>
      </w:pPr>
      <w:r w:rsidRPr="004E5D90">
        <w:rPr>
          <w:rFonts w:cs="Arial"/>
          <w:b/>
          <w:u w:val="single"/>
        </w:rPr>
        <w:t>Order</w:t>
      </w:r>
    </w:p>
    <w:p w14:paraId="4352809D" w14:textId="29D82920" w:rsidR="004E5D90" w:rsidRPr="004E5D90" w:rsidRDefault="00BE61F8" w:rsidP="00BE61F8">
      <w:pPr>
        <w:pStyle w:val="1"/>
        <w:numPr>
          <w:ilvl w:val="0"/>
          <w:numId w:val="0"/>
        </w:numPr>
        <w:tabs>
          <w:tab w:val="left" w:pos="567"/>
        </w:tabs>
      </w:pPr>
      <w:r w:rsidRPr="004E5D90">
        <w:t>[39]</w:t>
      </w:r>
      <w:r w:rsidRPr="004E5D90">
        <w:tab/>
      </w:r>
      <w:r w:rsidR="004E5D90">
        <w:t>I accordingly grant the following order:</w:t>
      </w:r>
    </w:p>
    <w:p w14:paraId="1C977843" w14:textId="66436A51" w:rsidR="00066BC7" w:rsidRPr="00F73C09" w:rsidRDefault="004E5D90" w:rsidP="004E5D90">
      <w:pPr>
        <w:pStyle w:val="1"/>
        <w:numPr>
          <w:ilvl w:val="0"/>
          <w:numId w:val="0"/>
        </w:numPr>
      </w:pPr>
      <w:r w:rsidRPr="004E5D90">
        <w:rPr>
          <w:rFonts w:cs="Arial"/>
        </w:rPr>
        <w:t xml:space="preserve">The application for leave to appeal is dismissed with costs </w:t>
      </w:r>
      <w:r w:rsidRPr="000A7572">
        <w:t>to include the costs consequent upo</w:t>
      </w:r>
      <w:r>
        <w:t>n the employment of two counsel, where so employed.</w:t>
      </w:r>
    </w:p>
    <w:p w14:paraId="79ED6F10" w14:textId="13F6E1E6" w:rsidR="00066BC7" w:rsidRPr="00F73C09" w:rsidRDefault="00066BC7" w:rsidP="00066BC7">
      <w:pPr>
        <w:pStyle w:val="Quote"/>
        <w:rPr>
          <w:sz w:val="24"/>
          <w:szCs w:val="24"/>
        </w:rPr>
      </w:pPr>
    </w:p>
    <w:p w14:paraId="24CAB904" w14:textId="77777777" w:rsidR="00066BC7" w:rsidRPr="00F73C09" w:rsidRDefault="00066BC7" w:rsidP="00066BC7">
      <w:pPr>
        <w:spacing w:line="480" w:lineRule="auto"/>
      </w:pPr>
    </w:p>
    <w:p w14:paraId="1028A034" w14:textId="77777777" w:rsidR="00066BC7" w:rsidRPr="00F73C09" w:rsidRDefault="00066BC7" w:rsidP="00066BC7">
      <w:pPr>
        <w:spacing w:line="480" w:lineRule="auto"/>
      </w:pPr>
    </w:p>
    <w:p w14:paraId="0196A4E4" w14:textId="77777777" w:rsidR="00066BC7" w:rsidRPr="00F73C09" w:rsidRDefault="00066BC7" w:rsidP="00066BC7">
      <w:pPr>
        <w:tabs>
          <w:tab w:val="left" w:pos="851"/>
          <w:tab w:val="left" w:pos="1701"/>
          <w:tab w:val="left" w:pos="2835"/>
          <w:tab w:val="left" w:pos="3969"/>
          <w:tab w:val="right" w:pos="8222"/>
        </w:tabs>
        <w:ind w:left="691"/>
        <w:contextualSpacing/>
        <w:jc w:val="right"/>
        <w:rPr>
          <w:rFonts w:cs="Arial"/>
        </w:rPr>
      </w:pPr>
      <w:r w:rsidRPr="00F73C09">
        <w:rPr>
          <w:rFonts w:cs="Arial"/>
        </w:rPr>
        <w:t>___________________________</w:t>
      </w:r>
    </w:p>
    <w:p w14:paraId="0B406293" w14:textId="77777777" w:rsidR="00066BC7" w:rsidRPr="00F73C09" w:rsidRDefault="00066BC7" w:rsidP="00066BC7">
      <w:pPr>
        <w:ind w:left="691"/>
        <w:jc w:val="right"/>
        <w:outlineLvl w:val="0"/>
        <w:rPr>
          <w:rFonts w:cs="Arial"/>
        </w:rPr>
      </w:pPr>
      <w:r w:rsidRPr="00F73C09">
        <w:rPr>
          <w:rFonts w:cs="Arial"/>
        </w:rPr>
        <w:t>I OPPERMAN</w:t>
      </w:r>
    </w:p>
    <w:p w14:paraId="4012472B" w14:textId="77777777" w:rsidR="00066BC7" w:rsidRPr="00F73C09" w:rsidRDefault="00066BC7" w:rsidP="00066BC7">
      <w:pPr>
        <w:ind w:left="691"/>
        <w:jc w:val="right"/>
        <w:rPr>
          <w:rFonts w:cs="Arial"/>
        </w:rPr>
      </w:pPr>
      <w:r w:rsidRPr="00F73C09">
        <w:rPr>
          <w:rFonts w:cs="Arial"/>
        </w:rPr>
        <w:t>Judge of the High Court</w:t>
      </w:r>
    </w:p>
    <w:p w14:paraId="18411095" w14:textId="77777777" w:rsidR="00066BC7" w:rsidRPr="00F73C09" w:rsidRDefault="00066BC7" w:rsidP="00066BC7">
      <w:pPr>
        <w:ind w:left="691"/>
        <w:jc w:val="right"/>
        <w:rPr>
          <w:rFonts w:cs="Arial"/>
        </w:rPr>
      </w:pPr>
      <w:r w:rsidRPr="00F73C09">
        <w:rPr>
          <w:rFonts w:cs="Arial"/>
        </w:rPr>
        <w:t>Gauteng Division, Johannesburg</w:t>
      </w:r>
    </w:p>
    <w:p w14:paraId="1325D8BB" w14:textId="77777777" w:rsidR="00066BC7" w:rsidRPr="00F73C09" w:rsidRDefault="00066BC7" w:rsidP="00066BC7">
      <w:pPr>
        <w:ind w:left="691"/>
        <w:jc w:val="right"/>
        <w:rPr>
          <w:rFonts w:cs="Arial"/>
        </w:rPr>
      </w:pPr>
    </w:p>
    <w:p w14:paraId="2DF8450B" w14:textId="77777777" w:rsidR="00066BC7" w:rsidRPr="00F73C09" w:rsidRDefault="00066BC7" w:rsidP="00066BC7">
      <w:pPr>
        <w:ind w:left="691"/>
        <w:rPr>
          <w:rFonts w:cs="Arial"/>
        </w:rPr>
      </w:pPr>
    </w:p>
    <w:p w14:paraId="55FE3818" w14:textId="77777777" w:rsidR="00AC56E7" w:rsidRDefault="00AC56E7" w:rsidP="00066BC7">
      <w:pPr>
        <w:pStyle w:val="BodyText"/>
        <w:tabs>
          <w:tab w:val="left" w:pos="567"/>
        </w:tabs>
        <w:spacing w:before="120"/>
        <w:outlineLvl w:val="0"/>
        <w:rPr>
          <w:rFonts w:cs="Arial"/>
          <w:sz w:val="22"/>
          <w:szCs w:val="22"/>
        </w:rPr>
      </w:pPr>
    </w:p>
    <w:p w14:paraId="60385C3F" w14:textId="77777777" w:rsidR="00AC56E7" w:rsidRDefault="00AC56E7" w:rsidP="00066BC7">
      <w:pPr>
        <w:pStyle w:val="BodyText"/>
        <w:tabs>
          <w:tab w:val="left" w:pos="567"/>
        </w:tabs>
        <w:spacing w:before="120"/>
        <w:outlineLvl w:val="0"/>
        <w:rPr>
          <w:rFonts w:cs="Arial"/>
          <w:sz w:val="22"/>
          <w:szCs w:val="22"/>
        </w:rPr>
      </w:pPr>
    </w:p>
    <w:p w14:paraId="0D1672FF" w14:textId="77777777" w:rsidR="00AC56E7" w:rsidRDefault="00AC56E7" w:rsidP="00066BC7">
      <w:pPr>
        <w:pStyle w:val="BodyText"/>
        <w:tabs>
          <w:tab w:val="left" w:pos="567"/>
        </w:tabs>
        <w:spacing w:before="120"/>
        <w:outlineLvl w:val="0"/>
        <w:rPr>
          <w:rFonts w:cs="Arial"/>
          <w:sz w:val="22"/>
          <w:szCs w:val="22"/>
        </w:rPr>
      </w:pPr>
    </w:p>
    <w:p w14:paraId="72B0E738" w14:textId="77777777" w:rsidR="00AC56E7" w:rsidRDefault="00AC56E7" w:rsidP="00066BC7">
      <w:pPr>
        <w:pStyle w:val="BodyText"/>
        <w:tabs>
          <w:tab w:val="left" w:pos="567"/>
        </w:tabs>
        <w:spacing w:before="120"/>
        <w:outlineLvl w:val="0"/>
        <w:rPr>
          <w:rFonts w:cs="Arial"/>
          <w:sz w:val="22"/>
          <w:szCs w:val="22"/>
        </w:rPr>
      </w:pPr>
    </w:p>
    <w:p w14:paraId="20437331" w14:textId="77777777" w:rsidR="00AC56E7" w:rsidRDefault="00AC56E7" w:rsidP="00066BC7">
      <w:pPr>
        <w:pStyle w:val="BodyText"/>
        <w:tabs>
          <w:tab w:val="left" w:pos="567"/>
        </w:tabs>
        <w:spacing w:before="120"/>
        <w:outlineLvl w:val="0"/>
        <w:rPr>
          <w:rFonts w:cs="Arial"/>
          <w:sz w:val="22"/>
          <w:szCs w:val="22"/>
        </w:rPr>
      </w:pPr>
    </w:p>
    <w:p w14:paraId="5DCBA6B0" w14:textId="77777777" w:rsidR="00AC56E7" w:rsidRDefault="00AC56E7" w:rsidP="00066BC7">
      <w:pPr>
        <w:pStyle w:val="BodyText"/>
        <w:tabs>
          <w:tab w:val="left" w:pos="567"/>
        </w:tabs>
        <w:spacing w:before="120"/>
        <w:outlineLvl w:val="0"/>
        <w:rPr>
          <w:rFonts w:cs="Arial"/>
          <w:sz w:val="22"/>
          <w:szCs w:val="22"/>
        </w:rPr>
      </w:pPr>
    </w:p>
    <w:p w14:paraId="28195801" w14:textId="77777777" w:rsidR="00AC56E7" w:rsidRDefault="00AC56E7" w:rsidP="00066BC7">
      <w:pPr>
        <w:pStyle w:val="BodyText"/>
        <w:tabs>
          <w:tab w:val="left" w:pos="567"/>
        </w:tabs>
        <w:spacing w:before="120"/>
        <w:outlineLvl w:val="0"/>
        <w:rPr>
          <w:rFonts w:cs="Arial"/>
          <w:sz w:val="22"/>
          <w:szCs w:val="22"/>
        </w:rPr>
      </w:pPr>
    </w:p>
    <w:p w14:paraId="32D780AA" w14:textId="77777777" w:rsidR="00AC56E7" w:rsidRDefault="00AC56E7" w:rsidP="00066BC7">
      <w:pPr>
        <w:pStyle w:val="BodyText"/>
        <w:tabs>
          <w:tab w:val="left" w:pos="567"/>
        </w:tabs>
        <w:spacing w:before="120"/>
        <w:outlineLvl w:val="0"/>
        <w:rPr>
          <w:rFonts w:cs="Arial"/>
          <w:sz w:val="22"/>
          <w:szCs w:val="22"/>
        </w:rPr>
      </w:pPr>
    </w:p>
    <w:p w14:paraId="2AE7BF58" w14:textId="77777777" w:rsidR="00AC56E7" w:rsidRDefault="00AC56E7" w:rsidP="00066BC7">
      <w:pPr>
        <w:pStyle w:val="BodyText"/>
        <w:tabs>
          <w:tab w:val="left" w:pos="567"/>
        </w:tabs>
        <w:spacing w:before="120"/>
        <w:outlineLvl w:val="0"/>
        <w:rPr>
          <w:rFonts w:cs="Arial"/>
          <w:sz w:val="22"/>
          <w:szCs w:val="22"/>
        </w:rPr>
      </w:pPr>
    </w:p>
    <w:p w14:paraId="5FEB42A0" w14:textId="77777777" w:rsidR="00AC56E7" w:rsidRDefault="00AC56E7" w:rsidP="00066BC7">
      <w:pPr>
        <w:pStyle w:val="BodyText"/>
        <w:tabs>
          <w:tab w:val="left" w:pos="567"/>
        </w:tabs>
        <w:spacing w:before="120"/>
        <w:outlineLvl w:val="0"/>
        <w:rPr>
          <w:rFonts w:cs="Arial"/>
          <w:sz w:val="22"/>
          <w:szCs w:val="22"/>
        </w:rPr>
      </w:pPr>
    </w:p>
    <w:p w14:paraId="031E8EEE" w14:textId="77777777" w:rsidR="002072BA" w:rsidRDefault="002072BA" w:rsidP="00066BC7">
      <w:pPr>
        <w:pStyle w:val="BodyText"/>
        <w:tabs>
          <w:tab w:val="left" w:pos="567"/>
        </w:tabs>
        <w:spacing w:before="120"/>
        <w:outlineLvl w:val="0"/>
        <w:rPr>
          <w:rFonts w:cs="Arial"/>
          <w:sz w:val="22"/>
          <w:szCs w:val="22"/>
        </w:rPr>
      </w:pPr>
    </w:p>
    <w:p w14:paraId="779E691A" w14:textId="216DE1CA" w:rsidR="004E5D90" w:rsidRDefault="004E5D90" w:rsidP="004E5D90">
      <w:pPr>
        <w:pStyle w:val="BodyText"/>
        <w:tabs>
          <w:tab w:val="left" w:pos="567"/>
        </w:tabs>
        <w:spacing w:before="120"/>
        <w:rPr>
          <w:rFonts w:cs="Arial"/>
          <w:sz w:val="22"/>
          <w:szCs w:val="22"/>
        </w:rPr>
      </w:pPr>
      <w:r>
        <w:rPr>
          <w:rFonts w:cs="Arial"/>
          <w:sz w:val="22"/>
          <w:szCs w:val="22"/>
        </w:rPr>
        <w:t>Counsel for the Applicant (SAPIA): Adv MM le Roux SC</w:t>
      </w:r>
    </w:p>
    <w:p w14:paraId="1E24A733" w14:textId="43F8C29E" w:rsidR="002072BA" w:rsidRDefault="004E5D90" w:rsidP="004E5D90">
      <w:pPr>
        <w:pStyle w:val="BodyText"/>
        <w:tabs>
          <w:tab w:val="left" w:pos="567"/>
        </w:tabs>
        <w:spacing w:before="120"/>
        <w:rPr>
          <w:rFonts w:cs="Arial"/>
          <w:sz w:val="22"/>
          <w:szCs w:val="22"/>
        </w:rPr>
      </w:pPr>
      <w:r>
        <w:rPr>
          <w:rFonts w:cs="Arial"/>
          <w:sz w:val="22"/>
          <w:szCs w:val="22"/>
        </w:rPr>
        <w:t>Instructed by: Fasken Attorneys</w:t>
      </w:r>
    </w:p>
    <w:p w14:paraId="287D78EF" w14:textId="77E52BA9" w:rsidR="00066BC7" w:rsidRDefault="00066BC7" w:rsidP="00066BC7">
      <w:pPr>
        <w:pStyle w:val="BodyText"/>
        <w:tabs>
          <w:tab w:val="left" w:pos="567"/>
        </w:tabs>
        <w:spacing w:before="120"/>
        <w:outlineLvl w:val="0"/>
        <w:rPr>
          <w:rFonts w:cs="Arial"/>
          <w:sz w:val="22"/>
          <w:szCs w:val="22"/>
        </w:rPr>
      </w:pPr>
      <w:r w:rsidRPr="00F73C09">
        <w:rPr>
          <w:rFonts w:cs="Arial"/>
          <w:sz w:val="22"/>
          <w:szCs w:val="22"/>
        </w:rPr>
        <w:t xml:space="preserve">Counsel for the </w:t>
      </w:r>
      <w:r w:rsidR="004E5D90">
        <w:rPr>
          <w:rFonts w:cs="Arial"/>
          <w:sz w:val="22"/>
          <w:szCs w:val="22"/>
        </w:rPr>
        <w:t xml:space="preserve">Respondent (Fuel Retailers </w:t>
      </w:r>
      <w:proofErr w:type="spellStart"/>
      <w:r w:rsidR="004E5D90">
        <w:rPr>
          <w:rFonts w:cs="Arial"/>
          <w:sz w:val="22"/>
          <w:szCs w:val="22"/>
        </w:rPr>
        <w:t>Assocation</w:t>
      </w:r>
      <w:proofErr w:type="spellEnd"/>
      <w:r w:rsidR="004E5D90">
        <w:rPr>
          <w:rFonts w:cs="Arial"/>
          <w:sz w:val="22"/>
          <w:szCs w:val="22"/>
        </w:rPr>
        <w:t>)</w:t>
      </w:r>
      <w:r w:rsidRPr="00F73C09">
        <w:rPr>
          <w:rFonts w:cs="Arial"/>
          <w:sz w:val="22"/>
          <w:szCs w:val="22"/>
        </w:rPr>
        <w:t xml:space="preserve">: </w:t>
      </w:r>
      <w:r w:rsidR="008127D0">
        <w:rPr>
          <w:rFonts w:cs="Arial"/>
          <w:sz w:val="22"/>
          <w:szCs w:val="22"/>
        </w:rPr>
        <w:t xml:space="preserve">Adv G </w:t>
      </w:r>
      <w:proofErr w:type="spellStart"/>
      <w:r w:rsidR="008127D0">
        <w:rPr>
          <w:rFonts w:cs="Arial"/>
          <w:sz w:val="22"/>
          <w:szCs w:val="22"/>
        </w:rPr>
        <w:t>Quixley</w:t>
      </w:r>
      <w:proofErr w:type="spellEnd"/>
      <w:r w:rsidR="008127D0">
        <w:rPr>
          <w:rFonts w:cs="Arial"/>
          <w:sz w:val="22"/>
          <w:szCs w:val="22"/>
        </w:rPr>
        <w:t xml:space="preserve"> and Adv F Hobden</w:t>
      </w:r>
    </w:p>
    <w:p w14:paraId="28454FC7" w14:textId="6C53C290"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Instructed by: </w:t>
      </w:r>
      <w:r w:rsidR="008127D0">
        <w:rPr>
          <w:rFonts w:cs="Arial"/>
          <w:sz w:val="22"/>
          <w:szCs w:val="22"/>
        </w:rPr>
        <w:t>Seton Smith &amp; Associates</w:t>
      </w:r>
    </w:p>
    <w:p w14:paraId="14AF3C48" w14:textId="0DF9ADEB"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Date of hearing: </w:t>
      </w:r>
      <w:r w:rsidR="004E5D90">
        <w:rPr>
          <w:rFonts w:cs="Arial"/>
          <w:sz w:val="22"/>
          <w:szCs w:val="22"/>
        </w:rPr>
        <w:t>10 November 2023</w:t>
      </w:r>
    </w:p>
    <w:p w14:paraId="5C2B50B5" w14:textId="6D6BDD75" w:rsidR="00300D09" w:rsidRDefault="00066BC7" w:rsidP="00972CDF">
      <w:pPr>
        <w:tabs>
          <w:tab w:val="left" w:pos="4917"/>
        </w:tabs>
        <w:rPr>
          <w:rFonts w:cs="Arial"/>
          <w:sz w:val="22"/>
          <w:szCs w:val="22"/>
        </w:rPr>
      </w:pPr>
      <w:r w:rsidRPr="00F73C09">
        <w:rPr>
          <w:rFonts w:cs="Arial"/>
          <w:sz w:val="22"/>
          <w:szCs w:val="22"/>
        </w:rPr>
        <w:t>Date of Judgment:</w:t>
      </w:r>
      <w:r w:rsidR="008127D0">
        <w:rPr>
          <w:rFonts w:cs="Arial"/>
          <w:sz w:val="22"/>
          <w:szCs w:val="22"/>
        </w:rPr>
        <w:t xml:space="preserve"> </w:t>
      </w:r>
      <w:r w:rsidR="004E5D90">
        <w:rPr>
          <w:rFonts w:cs="Arial"/>
          <w:sz w:val="22"/>
          <w:szCs w:val="22"/>
        </w:rPr>
        <w:t>13 November</w:t>
      </w:r>
      <w:r w:rsidR="008127D0">
        <w:rPr>
          <w:rFonts w:cs="Arial"/>
          <w:sz w:val="22"/>
          <w:szCs w:val="22"/>
        </w:rPr>
        <w:t xml:space="preserve"> 2023</w:t>
      </w:r>
    </w:p>
    <w:p w14:paraId="7C268DAA" w14:textId="6E159EBA" w:rsidR="00972CDF" w:rsidRDefault="00972CDF" w:rsidP="00972CDF">
      <w:pPr>
        <w:tabs>
          <w:tab w:val="left" w:pos="4917"/>
        </w:tabs>
        <w:rPr>
          <w:rFonts w:cs="Arial"/>
          <w:sz w:val="22"/>
          <w:szCs w:val="22"/>
        </w:rPr>
      </w:pPr>
    </w:p>
    <w:p w14:paraId="4E773C08" w14:textId="4F46DF7D" w:rsidR="00972CDF" w:rsidRDefault="00972CDF" w:rsidP="00972CDF">
      <w:pPr>
        <w:tabs>
          <w:tab w:val="left" w:pos="4917"/>
        </w:tabs>
        <w:rPr>
          <w:rFonts w:cs="Arial"/>
          <w:sz w:val="22"/>
          <w:szCs w:val="22"/>
        </w:rPr>
      </w:pPr>
    </w:p>
    <w:p w14:paraId="6CF89D6B" w14:textId="18BBF800" w:rsidR="00972CDF" w:rsidRDefault="00972CDF" w:rsidP="00972CDF">
      <w:pPr>
        <w:tabs>
          <w:tab w:val="left" w:pos="4917"/>
        </w:tabs>
        <w:rPr>
          <w:rFonts w:cs="Arial"/>
          <w:sz w:val="22"/>
          <w:szCs w:val="22"/>
        </w:rPr>
      </w:pPr>
    </w:p>
    <w:p w14:paraId="7E25E1A7" w14:textId="5037BED3" w:rsidR="00972CDF" w:rsidRPr="00822349" w:rsidRDefault="00972CDF" w:rsidP="00972CDF">
      <w:pPr>
        <w:tabs>
          <w:tab w:val="left" w:pos="4917"/>
        </w:tabs>
        <w:rPr>
          <w:rFonts w:cs="Arial"/>
          <w:b/>
          <w:sz w:val="28"/>
          <w:szCs w:val="28"/>
          <w:u w:val="single"/>
        </w:rPr>
      </w:pPr>
    </w:p>
    <w:sectPr w:rsidR="00972CDF" w:rsidRPr="00822349"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EA3B" w14:textId="77777777" w:rsidR="002963A5" w:rsidRDefault="002963A5" w:rsidP="00115245">
      <w:r>
        <w:separator/>
      </w:r>
    </w:p>
  </w:endnote>
  <w:endnote w:type="continuationSeparator" w:id="0">
    <w:p w14:paraId="508865AD" w14:textId="77777777" w:rsidR="002963A5" w:rsidRDefault="002963A5"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2DB8" w14:textId="77777777" w:rsidR="002963A5" w:rsidRDefault="002963A5" w:rsidP="00115245">
      <w:r>
        <w:separator/>
      </w:r>
    </w:p>
  </w:footnote>
  <w:footnote w:type="continuationSeparator" w:id="0">
    <w:p w14:paraId="61E2D841" w14:textId="77777777" w:rsidR="002963A5" w:rsidRDefault="002963A5" w:rsidP="00115245">
      <w:r>
        <w:continuationSeparator/>
      </w:r>
    </w:p>
  </w:footnote>
  <w:footnote w:id="1">
    <w:p w14:paraId="540F0959" w14:textId="77777777" w:rsidR="004E5D90" w:rsidRPr="002043E6" w:rsidRDefault="004E5D90" w:rsidP="004E5D90">
      <w:pPr>
        <w:pStyle w:val="FootnoteText"/>
      </w:pPr>
      <w:r>
        <w:rPr>
          <w:rStyle w:val="FootnoteReference"/>
        </w:rPr>
        <w:footnoteRef/>
      </w:r>
      <w:r>
        <w:t xml:space="preserve"> </w:t>
      </w:r>
      <w:r>
        <w:tab/>
      </w:r>
      <w:r w:rsidRPr="002043E6">
        <w:rPr>
          <w:i/>
          <w:iCs/>
        </w:rPr>
        <w:t>Western Johannesburg Rent Board &amp; another v Ursula Mansions (Pty) Ltd</w:t>
      </w:r>
      <w:r w:rsidRPr="002043E6">
        <w:t xml:space="preserve"> 1948 (3) SA 353 (A) at 355</w:t>
      </w:r>
      <w:r>
        <w:t xml:space="preserve">; </w:t>
      </w:r>
      <w:r w:rsidRPr="00FC705D">
        <w:rPr>
          <w:i/>
          <w:iCs/>
        </w:rPr>
        <w:t>ABSA Bank Ltd v Mkhize and two similar cases</w:t>
      </w:r>
      <w:r w:rsidRPr="00FC705D">
        <w:t xml:space="preserve"> 2014 (5) SA 16 (SCA) para 64</w:t>
      </w:r>
    </w:p>
  </w:footnote>
  <w:footnote w:id="2">
    <w:p w14:paraId="33622ABB" w14:textId="77777777" w:rsidR="004E5D90" w:rsidRPr="006325A9" w:rsidRDefault="004E5D90" w:rsidP="004E5D90">
      <w:pPr>
        <w:pStyle w:val="FootnoteText"/>
        <w:rPr>
          <w:lang w:val="en-US"/>
        </w:rPr>
      </w:pPr>
      <w:r>
        <w:rPr>
          <w:rStyle w:val="FootnoteReference"/>
        </w:rPr>
        <w:footnoteRef/>
      </w:r>
      <w:r>
        <w:t xml:space="preserve"> </w:t>
      </w:r>
      <w:r>
        <w:tab/>
      </w:r>
      <w:r w:rsidRPr="00336193">
        <w:rPr>
          <w:i/>
          <w:iCs/>
        </w:rPr>
        <w:t>Rissik Street One Stop CC t/a Rissik Street Engen and Another V Engen Petroleum</w:t>
      </w:r>
      <w:r>
        <w:t xml:space="preserve"> </w:t>
      </w:r>
      <w:r w:rsidRPr="00AA2CA8">
        <w:t>2023 (4) BCLR 425 (CC)</w:t>
      </w:r>
      <w:r>
        <w:t>.</w:t>
      </w:r>
    </w:p>
  </w:footnote>
  <w:footnote w:id="3">
    <w:p w14:paraId="22F68D56" w14:textId="77777777" w:rsidR="004E5D90" w:rsidRPr="003302BA" w:rsidRDefault="004E5D90" w:rsidP="004E5D90">
      <w:pPr>
        <w:pStyle w:val="FootnoteText"/>
        <w:rPr>
          <w:lang w:val="en-US"/>
        </w:rPr>
      </w:pPr>
      <w:r>
        <w:rPr>
          <w:rStyle w:val="FootnoteReference"/>
        </w:rPr>
        <w:footnoteRef/>
      </w:r>
      <w:r>
        <w:t xml:space="preserve"> </w:t>
      </w:r>
      <w:r>
        <w:rPr>
          <w:lang w:val="en-US"/>
        </w:rPr>
        <w:t>2013 (6) SA 520 (SCA)</w:t>
      </w:r>
    </w:p>
  </w:footnote>
  <w:footnote w:id="4">
    <w:p w14:paraId="3832FB26" w14:textId="7B168A03" w:rsidR="004E5D90" w:rsidRPr="004E5D90" w:rsidRDefault="004E5D90">
      <w:pPr>
        <w:pStyle w:val="FootnoteText"/>
        <w:rPr>
          <w:lang w:val="en-US"/>
        </w:rPr>
      </w:pPr>
      <w:r>
        <w:rPr>
          <w:rStyle w:val="FootnoteReference"/>
        </w:rPr>
        <w:footnoteRef/>
      </w:r>
      <w:r>
        <w:t xml:space="preserve"> </w:t>
      </w:r>
      <w:r>
        <w:rPr>
          <w:lang w:val="en-US"/>
        </w:rPr>
        <w:t xml:space="preserve"> </w:t>
      </w:r>
      <w:r w:rsidRPr="004E5D90">
        <w:rPr>
          <w:i/>
          <w:iCs/>
          <w:lang w:val="en-US"/>
        </w:rPr>
        <w:t>Smith v S</w:t>
      </w:r>
      <w:r>
        <w:rPr>
          <w:lang w:val="en-US"/>
        </w:rPr>
        <w:t>, 2012 (1) SACR 567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A5A9" w14:textId="79E11F5E" w:rsidR="0011705A" w:rsidRDefault="0011705A">
    <w:pPr>
      <w:pStyle w:val="Header"/>
      <w:jc w:val="right"/>
    </w:pPr>
    <w:r>
      <w:fldChar w:fldCharType="begin"/>
    </w:r>
    <w:r>
      <w:instrText xml:space="preserve"> PAGE   \* MERGEFORMAT </w:instrText>
    </w:r>
    <w:r>
      <w:fldChar w:fldCharType="separate"/>
    </w:r>
    <w:r w:rsidR="0091727F">
      <w:rPr>
        <w:noProof/>
      </w:rPr>
      <w:t>14</w:t>
    </w:r>
    <w:r>
      <w:rPr>
        <w:noProof/>
      </w:rPr>
      <w:fldChar w:fldCharType="end"/>
    </w:r>
  </w:p>
  <w:p w14:paraId="7C19FFE2" w14:textId="77777777" w:rsidR="0011705A" w:rsidRDefault="0011705A">
    <w:pPr>
      <w:pStyle w:val="Header"/>
    </w:pPr>
  </w:p>
  <w:p w14:paraId="6EBD5368" w14:textId="77777777" w:rsidR="00642F49" w:rsidRDefault="00642F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7"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0E2843D6"/>
    <w:multiLevelType w:val="hybridMultilevel"/>
    <w:tmpl w:val="625E4700"/>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653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E919A4"/>
    <w:multiLevelType w:val="multilevel"/>
    <w:tmpl w:val="0809001F"/>
    <w:numStyleLink w:val="111111"/>
  </w:abstractNum>
  <w:abstractNum w:abstractNumId="9" w15:restartNumberingAfterBreak="0">
    <w:nsid w:val="27CA3683"/>
    <w:multiLevelType w:val="hybridMultilevel"/>
    <w:tmpl w:val="E8C4414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EC32EAB"/>
    <w:multiLevelType w:val="multilevel"/>
    <w:tmpl w:val="847892B8"/>
    <w:lvl w:ilvl="0">
      <w:start w:val="1"/>
      <w:numFmt w:val="decimal"/>
      <w:pStyle w:val="1"/>
      <w:lvlText w:val="[%1]"/>
      <w:lvlJc w:val="left"/>
      <w:pPr>
        <w:tabs>
          <w:tab w:val="num" w:pos="0"/>
        </w:tabs>
        <w:ind w:left="0" w:firstLine="0"/>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1" w15:restartNumberingAfterBreak="0">
    <w:nsid w:val="36F878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5"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6" w15:restartNumberingAfterBreak="0">
    <w:nsid w:val="47C877B2"/>
    <w:multiLevelType w:val="multilevel"/>
    <w:tmpl w:val="0809001F"/>
    <w:numStyleLink w:val="111111"/>
  </w:abstractNum>
  <w:abstractNum w:abstractNumId="17" w15:restartNumberingAfterBreak="0">
    <w:nsid w:val="4B985676"/>
    <w:multiLevelType w:val="multilevel"/>
    <w:tmpl w:val="0809001F"/>
    <w:styleLink w:val="111111"/>
    <w:lvl w:ilvl="0">
      <w:start w:val="1"/>
      <w:numFmt w:val="decimal"/>
      <w:pStyle w:val="Firstlevel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9"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20"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1" w15:restartNumberingAfterBreak="0">
    <w:nsid w:val="63C71DAD"/>
    <w:multiLevelType w:val="multilevel"/>
    <w:tmpl w:val="5DA60C26"/>
    <w:lvl w:ilvl="0">
      <w:start w:val="1"/>
      <w:numFmt w:val="decimal"/>
      <w:lvlText w:val="%1."/>
      <w:lvlJc w:val="left"/>
      <w:pPr>
        <w:ind w:left="457" w:hanging="424"/>
      </w:pPr>
      <w:rPr>
        <w:rFonts w:ascii="Arial" w:eastAsia="Arial" w:hAnsi="Arial" w:cs="Arial" w:hint="default"/>
        <w:b w:val="0"/>
        <w:bCs w:val="0"/>
        <w:i w:val="0"/>
        <w:iCs w:val="0"/>
        <w:w w:val="100"/>
        <w:sz w:val="24"/>
        <w:szCs w:val="24"/>
      </w:rPr>
    </w:lvl>
    <w:lvl w:ilvl="1">
      <w:start w:val="1"/>
      <w:numFmt w:val="decimal"/>
      <w:lvlText w:val="%1.%2."/>
      <w:lvlJc w:val="left"/>
      <w:pPr>
        <w:ind w:left="1090" w:hanging="630"/>
      </w:pPr>
      <w:rPr>
        <w:rFonts w:ascii="Arial" w:eastAsia="Arial" w:hAnsi="Arial" w:cs="Arial" w:hint="default"/>
        <w:b w:val="0"/>
        <w:bCs w:val="0"/>
        <w:i w:val="0"/>
        <w:iCs w:val="0"/>
        <w:w w:val="100"/>
        <w:sz w:val="24"/>
        <w:szCs w:val="24"/>
      </w:rPr>
    </w:lvl>
    <w:lvl w:ilvl="2">
      <w:numFmt w:val="bullet"/>
      <w:lvlText w:val="•"/>
      <w:lvlJc w:val="left"/>
      <w:pPr>
        <w:ind w:left="1540" w:hanging="630"/>
      </w:pPr>
      <w:rPr>
        <w:rFonts w:hint="default"/>
      </w:rPr>
    </w:lvl>
    <w:lvl w:ilvl="3">
      <w:numFmt w:val="bullet"/>
      <w:lvlText w:val="•"/>
      <w:lvlJc w:val="left"/>
      <w:pPr>
        <w:ind w:left="2502" w:hanging="630"/>
      </w:pPr>
      <w:rPr>
        <w:rFonts w:hint="default"/>
      </w:rPr>
    </w:lvl>
    <w:lvl w:ilvl="4">
      <w:numFmt w:val="bullet"/>
      <w:lvlText w:val="•"/>
      <w:lvlJc w:val="left"/>
      <w:pPr>
        <w:ind w:left="3465" w:hanging="630"/>
      </w:pPr>
      <w:rPr>
        <w:rFonts w:hint="default"/>
      </w:rPr>
    </w:lvl>
    <w:lvl w:ilvl="5">
      <w:numFmt w:val="bullet"/>
      <w:lvlText w:val="•"/>
      <w:lvlJc w:val="left"/>
      <w:pPr>
        <w:ind w:left="4427" w:hanging="630"/>
      </w:pPr>
      <w:rPr>
        <w:rFonts w:hint="default"/>
      </w:rPr>
    </w:lvl>
    <w:lvl w:ilvl="6">
      <w:numFmt w:val="bullet"/>
      <w:lvlText w:val="•"/>
      <w:lvlJc w:val="left"/>
      <w:pPr>
        <w:ind w:left="5390" w:hanging="630"/>
      </w:pPr>
      <w:rPr>
        <w:rFonts w:hint="default"/>
      </w:rPr>
    </w:lvl>
    <w:lvl w:ilvl="7">
      <w:numFmt w:val="bullet"/>
      <w:lvlText w:val="•"/>
      <w:lvlJc w:val="left"/>
      <w:pPr>
        <w:ind w:left="6352" w:hanging="630"/>
      </w:pPr>
      <w:rPr>
        <w:rFonts w:hint="default"/>
      </w:rPr>
    </w:lvl>
    <w:lvl w:ilvl="8">
      <w:numFmt w:val="bullet"/>
      <w:lvlText w:val="•"/>
      <w:lvlJc w:val="left"/>
      <w:pPr>
        <w:ind w:left="7315" w:hanging="630"/>
      </w:pPr>
      <w:rPr>
        <w:rFonts w:hint="default"/>
      </w:rPr>
    </w:lvl>
  </w:abstractNum>
  <w:abstractNum w:abstractNumId="22" w15:restartNumberingAfterBreak="0">
    <w:nsid w:val="6A0E706B"/>
    <w:multiLevelType w:val="multilevel"/>
    <w:tmpl w:val="B98259E0"/>
    <w:lvl w:ilvl="0">
      <w:start w:val="1"/>
      <w:numFmt w:val="decimal"/>
      <w:isLgl/>
      <w:lvlText w:val="%1."/>
      <w:lvlJc w:val="left"/>
      <w:pPr>
        <w:ind w:left="567" w:hanging="567"/>
      </w:pPr>
      <w:rPr>
        <w:rFonts w:ascii="Arial" w:hAnsi="Arial" w:hint="default"/>
        <w:b w:val="0"/>
        <w:i w:val="0"/>
        <w:sz w:val="24"/>
      </w:rPr>
    </w:lvl>
    <w:lvl w:ilvl="1">
      <w:start w:val="1"/>
      <w:numFmt w:val="decimal"/>
      <w:isLgl/>
      <w:lvlText w:val="%1.%2."/>
      <w:lvlJc w:val="left"/>
      <w:pPr>
        <w:ind w:left="567" w:hanging="567"/>
      </w:pPr>
      <w:rPr>
        <w:rFonts w:ascii="Arial" w:hAnsi="Arial" w:hint="default"/>
        <w:b w:val="0"/>
        <w:i w:val="0"/>
        <w:sz w:val="24"/>
      </w:rPr>
    </w:lvl>
    <w:lvl w:ilvl="2">
      <w:start w:val="1"/>
      <w:numFmt w:val="decimal"/>
      <w:isLgl/>
      <w:lvlText w:val="%1.%2.%3."/>
      <w:lvlJc w:val="left"/>
      <w:pPr>
        <w:ind w:left="1985" w:hanging="851"/>
      </w:pPr>
      <w:rPr>
        <w:rFonts w:ascii="Arial" w:hAnsi="Arial" w:hint="default"/>
        <w:b w:val="0"/>
        <w:i w:val="0"/>
        <w:sz w:val="24"/>
      </w:rPr>
    </w:lvl>
    <w:lvl w:ilvl="3">
      <w:start w:val="1"/>
      <w:numFmt w:val="decimal"/>
      <w:lvlText w:val="%1.%2.%3.%4."/>
      <w:lvlJc w:val="left"/>
      <w:pPr>
        <w:ind w:left="2268" w:hanging="283"/>
      </w:pPr>
      <w:rPr>
        <w:rFonts w:ascii="Arial" w:hAnsi="Arial" w:hint="default"/>
        <w:b w:val="0"/>
        <w:i w:val="0"/>
        <w:sz w:val="24"/>
      </w:rPr>
    </w:lvl>
    <w:lvl w:ilvl="4">
      <w:start w:val="1"/>
      <w:numFmt w:val="decimal"/>
      <w:lvlText w:val="%1.%2.%3.%4.%5."/>
      <w:lvlJc w:val="left"/>
      <w:pPr>
        <w:ind w:left="2439" w:hanging="792"/>
      </w:pPr>
      <w:rPr>
        <w:rFonts w:hint="default"/>
      </w:rPr>
    </w:lvl>
    <w:lvl w:ilvl="5">
      <w:start w:val="1"/>
      <w:numFmt w:val="decimal"/>
      <w:lvlText w:val="%1.%2.%3.%4.%5.%6."/>
      <w:lvlJc w:val="left"/>
      <w:pPr>
        <w:ind w:left="2943" w:hanging="936"/>
      </w:pPr>
      <w:rPr>
        <w:rFonts w:hint="default"/>
      </w:rPr>
    </w:lvl>
    <w:lvl w:ilvl="6">
      <w:start w:val="1"/>
      <w:numFmt w:val="decimal"/>
      <w:lvlText w:val="%1.%2.%3.%4.%5.%6.%7."/>
      <w:lvlJc w:val="left"/>
      <w:pPr>
        <w:ind w:left="3447" w:hanging="1080"/>
      </w:pPr>
      <w:rPr>
        <w:rFonts w:hint="default"/>
      </w:rPr>
    </w:lvl>
    <w:lvl w:ilvl="7">
      <w:start w:val="1"/>
      <w:numFmt w:val="decimal"/>
      <w:lvlText w:val="%1.%2.%3.%4.%5.%6.%7.%8."/>
      <w:lvlJc w:val="left"/>
      <w:pPr>
        <w:ind w:left="3951" w:hanging="1224"/>
      </w:pPr>
      <w:rPr>
        <w:rFonts w:hint="default"/>
      </w:rPr>
    </w:lvl>
    <w:lvl w:ilvl="8">
      <w:start w:val="1"/>
      <w:numFmt w:val="decimal"/>
      <w:lvlText w:val="%1.%2.%3.%4.%5.%6.%7.%8.%9."/>
      <w:lvlJc w:val="left"/>
      <w:pPr>
        <w:ind w:left="4527" w:hanging="1440"/>
      </w:pPr>
      <w:rPr>
        <w:rFonts w:hint="default"/>
      </w:rPr>
    </w:lvl>
  </w:abstractNum>
  <w:abstractNum w:abstractNumId="23"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870532825">
    <w:abstractNumId w:val="10"/>
  </w:num>
  <w:num w:numId="2" w16cid:durableId="1936210799">
    <w:abstractNumId w:val="0"/>
  </w:num>
  <w:num w:numId="3" w16cid:durableId="1504204365">
    <w:abstractNumId w:val="7"/>
  </w:num>
  <w:num w:numId="4" w16cid:durableId="17318770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2068007">
    <w:abstractNumId w:val="23"/>
  </w:num>
  <w:num w:numId="6" w16cid:durableId="384330423">
    <w:abstractNumId w:val="25"/>
  </w:num>
  <w:num w:numId="7" w16cid:durableId="1234311298">
    <w:abstractNumId w:val="20"/>
  </w:num>
  <w:num w:numId="8" w16cid:durableId="6834777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4543830">
    <w:abstractNumId w:val="3"/>
  </w:num>
  <w:num w:numId="10" w16cid:durableId="443035725">
    <w:abstractNumId w:val="18"/>
  </w:num>
  <w:num w:numId="11" w16cid:durableId="2133668898">
    <w:abstractNumId w:val="15"/>
  </w:num>
  <w:num w:numId="12" w16cid:durableId="1476799757">
    <w:abstractNumId w:val="14"/>
  </w:num>
  <w:num w:numId="13" w16cid:durableId="389116713">
    <w:abstractNumId w:val="12"/>
  </w:num>
  <w:num w:numId="14" w16cid:durableId="446975730">
    <w:abstractNumId w:val="4"/>
  </w:num>
  <w:num w:numId="15" w16cid:durableId="7977978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5767269">
    <w:abstractNumId w:val="24"/>
  </w:num>
  <w:num w:numId="17" w16cid:durableId="1632860917">
    <w:abstractNumId w:val="13"/>
  </w:num>
  <w:num w:numId="18" w16cid:durableId="884175001">
    <w:abstractNumId w:val="22"/>
  </w:num>
  <w:num w:numId="19" w16cid:durableId="677193385">
    <w:abstractNumId w:val="21"/>
  </w:num>
  <w:num w:numId="20" w16cid:durableId="331880785">
    <w:abstractNumId w:val="5"/>
  </w:num>
  <w:num w:numId="21" w16cid:durableId="568535953">
    <w:abstractNumId w:val="8"/>
    <w:lvlOverride w:ilvl="0">
      <w:lvl w:ilvl="0">
        <w:start w:val="1"/>
        <w:numFmt w:val="decimal"/>
        <w:lvlText w:val="%1."/>
        <w:lvlJc w:val="left"/>
        <w:pPr>
          <w:tabs>
            <w:tab w:val="num" w:pos="567"/>
          </w:tabs>
          <w:ind w:left="567" w:hanging="567"/>
        </w:pPr>
        <w:rPr>
          <w:rFonts w:hint="default"/>
          <w:b w:val="0"/>
          <w:bCs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pStyle w:val="ListNumber3"/>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901136528">
    <w:abstractNumId w:val="17"/>
  </w:num>
  <w:num w:numId="23" w16cid:durableId="1828472241">
    <w:abstractNumId w:val="9"/>
  </w:num>
  <w:num w:numId="24" w16cid:durableId="839007941">
    <w:abstractNumId w:val="6"/>
  </w:num>
  <w:num w:numId="25" w16cid:durableId="1999308246">
    <w:abstractNumId w:val="11"/>
  </w:num>
  <w:num w:numId="26" w16cid:durableId="693263255">
    <w:abstractNumId w:val="19"/>
  </w:num>
  <w:num w:numId="27" w16cid:durableId="253176151">
    <w:abstractNumId w:val="16"/>
    <w:lvlOverride w:ilvl="0">
      <w:lvl w:ilvl="0">
        <w:start w:val="1"/>
        <w:numFmt w:val="decimal"/>
        <w:lvlText w:val="%1."/>
        <w:lvlJc w:val="left"/>
        <w:pPr>
          <w:ind w:left="360" w:hanging="360"/>
        </w:pPr>
        <w:rPr>
          <w:rFonts w:ascii="Arial" w:hAnsi="Arial" w:cs="Arial" w:hint="default"/>
          <w:i w:val="0"/>
          <w:iCs w:val="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A1E"/>
    <w:rsid w:val="00007BEB"/>
    <w:rsid w:val="00007F10"/>
    <w:rsid w:val="0001069D"/>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5C54"/>
    <w:rsid w:val="00035CA2"/>
    <w:rsid w:val="00036839"/>
    <w:rsid w:val="00036B3C"/>
    <w:rsid w:val="00036CBB"/>
    <w:rsid w:val="00036E35"/>
    <w:rsid w:val="00037B4A"/>
    <w:rsid w:val="00037E9A"/>
    <w:rsid w:val="00040CFF"/>
    <w:rsid w:val="0004166E"/>
    <w:rsid w:val="0004179B"/>
    <w:rsid w:val="00041A35"/>
    <w:rsid w:val="00042120"/>
    <w:rsid w:val="00042144"/>
    <w:rsid w:val="0004225B"/>
    <w:rsid w:val="00042883"/>
    <w:rsid w:val="00042910"/>
    <w:rsid w:val="00042E5D"/>
    <w:rsid w:val="00043330"/>
    <w:rsid w:val="00043B8D"/>
    <w:rsid w:val="0004454D"/>
    <w:rsid w:val="00044CB9"/>
    <w:rsid w:val="00046726"/>
    <w:rsid w:val="0004700B"/>
    <w:rsid w:val="000471C4"/>
    <w:rsid w:val="00047380"/>
    <w:rsid w:val="00047496"/>
    <w:rsid w:val="00047864"/>
    <w:rsid w:val="00047964"/>
    <w:rsid w:val="00051139"/>
    <w:rsid w:val="000526FC"/>
    <w:rsid w:val="00053DD2"/>
    <w:rsid w:val="000541F4"/>
    <w:rsid w:val="00054540"/>
    <w:rsid w:val="00054B84"/>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6BC7"/>
    <w:rsid w:val="00067403"/>
    <w:rsid w:val="0007054D"/>
    <w:rsid w:val="00071171"/>
    <w:rsid w:val="000713C6"/>
    <w:rsid w:val="000715B5"/>
    <w:rsid w:val="00071C04"/>
    <w:rsid w:val="0007238B"/>
    <w:rsid w:val="00073213"/>
    <w:rsid w:val="000743C1"/>
    <w:rsid w:val="00074490"/>
    <w:rsid w:val="00075A7B"/>
    <w:rsid w:val="000768B7"/>
    <w:rsid w:val="00076AEB"/>
    <w:rsid w:val="00076C32"/>
    <w:rsid w:val="00077A72"/>
    <w:rsid w:val="00077DA0"/>
    <w:rsid w:val="0008003B"/>
    <w:rsid w:val="00081B44"/>
    <w:rsid w:val="000821DD"/>
    <w:rsid w:val="00082997"/>
    <w:rsid w:val="00083DA8"/>
    <w:rsid w:val="00084A85"/>
    <w:rsid w:val="00085710"/>
    <w:rsid w:val="00085F72"/>
    <w:rsid w:val="000869FE"/>
    <w:rsid w:val="00087F0F"/>
    <w:rsid w:val="00090D1E"/>
    <w:rsid w:val="00090E6B"/>
    <w:rsid w:val="00091EF1"/>
    <w:rsid w:val="00092FE0"/>
    <w:rsid w:val="00094423"/>
    <w:rsid w:val="00094488"/>
    <w:rsid w:val="00094B0E"/>
    <w:rsid w:val="0009559D"/>
    <w:rsid w:val="00095CA6"/>
    <w:rsid w:val="00095F1C"/>
    <w:rsid w:val="0009617B"/>
    <w:rsid w:val="000968A2"/>
    <w:rsid w:val="000975B2"/>
    <w:rsid w:val="00097C41"/>
    <w:rsid w:val="000A0398"/>
    <w:rsid w:val="000A1B6E"/>
    <w:rsid w:val="000A1C84"/>
    <w:rsid w:val="000A1CF7"/>
    <w:rsid w:val="000A2515"/>
    <w:rsid w:val="000A3154"/>
    <w:rsid w:val="000A5992"/>
    <w:rsid w:val="000A6549"/>
    <w:rsid w:val="000A7F92"/>
    <w:rsid w:val="000B0497"/>
    <w:rsid w:val="000B0C4C"/>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390B"/>
    <w:rsid w:val="000F4DD5"/>
    <w:rsid w:val="000F4FE4"/>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867"/>
    <w:rsid w:val="00114D89"/>
    <w:rsid w:val="00115245"/>
    <w:rsid w:val="00115AA8"/>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662"/>
    <w:rsid w:val="00125BD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3E0F"/>
    <w:rsid w:val="00143F69"/>
    <w:rsid w:val="001441DA"/>
    <w:rsid w:val="00145B6A"/>
    <w:rsid w:val="001468BA"/>
    <w:rsid w:val="00146DDD"/>
    <w:rsid w:val="0015010C"/>
    <w:rsid w:val="00150C6C"/>
    <w:rsid w:val="0015121B"/>
    <w:rsid w:val="00151489"/>
    <w:rsid w:val="00153BCD"/>
    <w:rsid w:val="00154728"/>
    <w:rsid w:val="0015650B"/>
    <w:rsid w:val="0015676D"/>
    <w:rsid w:val="001567D0"/>
    <w:rsid w:val="00157759"/>
    <w:rsid w:val="0015786A"/>
    <w:rsid w:val="001578FD"/>
    <w:rsid w:val="00157C3E"/>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2E31"/>
    <w:rsid w:val="00172F5D"/>
    <w:rsid w:val="00173B17"/>
    <w:rsid w:val="00173C62"/>
    <w:rsid w:val="00173DFC"/>
    <w:rsid w:val="0017472F"/>
    <w:rsid w:val="001750DB"/>
    <w:rsid w:val="0017518A"/>
    <w:rsid w:val="00175E7C"/>
    <w:rsid w:val="001779BC"/>
    <w:rsid w:val="00180CD7"/>
    <w:rsid w:val="001812DE"/>
    <w:rsid w:val="001822E1"/>
    <w:rsid w:val="00183192"/>
    <w:rsid w:val="00183E73"/>
    <w:rsid w:val="001879BC"/>
    <w:rsid w:val="00192693"/>
    <w:rsid w:val="00193169"/>
    <w:rsid w:val="0019325C"/>
    <w:rsid w:val="00193712"/>
    <w:rsid w:val="00193F31"/>
    <w:rsid w:val="00194234"/>
    <w:rsid w:val="0019451B"/>
    <w:rsid w:val="00195605"/>
    <w:rsid w:val="0019568E"/>
    <w:rsid w:val="00196AFF"/>
    <w:rsid w:val="00197791"/>
    <w:rsid w:val="00197C67"/>
    <w:rsid w:val="001A00C1"/>
    <w:rsid w:val="001A0391"/>
    <w:rsid w:val="001A07C6"/>
    <w:rsid w:val="001A20AA"/>
    <w:rsid w:val="001A2212"/>
    <w:rsid w:val="001A2FD7"/>
    <w:rsid w:val="001A3CF6"/>
    <w:rsid w:val="001A6457"/>
    <w:rsid w:val="001A7558"/>
    <w:rsid w:val="001A7D24"/>
    <w:rsid w:val="001A7E26"/>
    <w:rsid w:val="001B053D"/>
    <w:rsid w:val="001B0765"/>
    <w:rsid w:val="001B091A"/>
    <w:rsid w:val="001B09A6"/>
    <w:rsid w:val="001B09DA"/>
    <w:rsid w:val="001B0E3A"/>
    <w:rsid w:val="001B1309"/>
    <w:rsid w:val="001B2D50"/>
    <w:rsid w:val="001B65A6"/>
    <w:rsid w:val="001C057A"/>
    <w:rsid w:val="001C0BDD"/>
    <w:rsid w:val="001C2695"/>
    <w:rsid w:val="001C318A"/>
    <w:rsid w:val="001C3706"/>
    <w:rsid w:val="001C38A1"/>
    <w:rsid w:val="001C58CC"/>
    <w:rsid w:val="001C5BE4"/>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86B"/>
    <w:rsid w:val="001E2974"/>
    <w:rsid w:val="001E3931"/>
    <w:rsid w:val="001E447A"/>
    <w:rsid w:val="001E5131"/>
    <w:rsid w:val="001E77C7"/>
    <w:rsid w:val="001E7DA7"/>
    <w:rsid w:val="001F0581"/>
    <w:rsid w:val="001F05C0"/>
    <w:rsid w:val="001F1468"/>
    <w:rsid w:val="001F1531"/>
    <w:rsid w:val="001F1D54"/>
    <w:rsid w:val="001F24F6"/>
    <w:rsid w:val="001F2977"/>
    <w:rsid w:val="001F2E35"/>
    <w:rsid w:val="001F36A0"/>
    <w:rsid w:val="001F3CAE"/>
    <w:rsid w:val="001F7561"/>
    <w:rsid w:val="001F7976"/>
    <w:rsid w:val="001F7FC2"/>
    <w:rsid w:val="0020161E"/>
    <w:rsid w:val="00201FE1"/>
    <w:rsid w:val="0020229A"/>
    <w:rsid w:val="00202F97"/>
    <w:rsid w:val="00203048"/>
    <w:rsid w:val="00203FBE"/>
    <w:rsid w:val="002053DD"/>
    <w:rsid w:val="002072BA"/>
    <w:rsid w:val="00207AFE"/>
    <w:rsid w:val="00207F92"/>
    <w:rsid w:val="002101BB"/>
    <w:rsid w:val="00210A60"/>
    <w:rsid w:val="00211100"/>
    <w:rsid w:val="00211E3E"/>
    <w:rsid w:val="00212B52"/>
    <w:rsid w:val="002130C1"/>
    <w:rsid w:val="00213264"/>
    <w:rsid w:val="00213914"/>
    <w:rsid w:val="00213BDE"/>
    <w:rsid w:val="00214970"/>
    <w:rsid w:val="00214D52"/>
    <w:rsid w:val="0021508A"/>
    <w:rsid w:val="00215B90"/>
    <w:rsid w:val="002169E8"/>
    <w:rsid w:val="00216C48"/>
    <w:rsid w:val="00216E31"/>
    <w:rsid w:val="002172D6"/>
    <w:rsid w:val="00217A1B"/>
    <w:rsid w:val="002204A3"/>
    <w:rsid w:val="002214DB"/>
    <w:rsid w:val="00221808"/>
    <w:rsid w:val="0022241E"/>
    <w:rsid w:val="002235CA"/>
    <w:rsid w:val="00223928"/>
    <w:rsid w:val="00223968"/>
    <w:rsid w:val="00223AC3"/>
    <w:rsid w:val="0022426E"/>
    <w:rsid w:val="00227680"/>
    <w:rsid w:val="00227F7F"/>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09A5"/>
    <w:rsid w:val="00251183"/>
    <w:rsid w:val="00251D3D"/>
    <w:rsid w:val="00253B4E"/>
    <w:rsid w:val="002543D0"/>
    <w:rsid w:val="00254988"/>
    <w:rsid w:val="00254E57"/>
    <w:rsid w:val="00254EE5"/>
    <w:rsid w:val="00254EFF"/>
    <w:rsid w:val="0025579B"/>
    <w:rsid w:val="0025707E"/>
    <w:rsid w:val="00257764"/>
    <w:rsid w:val="0026073B"/>
    <w:rsid w:val="0026229C"/>
    <w:rsid w:val="00262464"/>
    <w:rsid w:val="00263E02"/>
    <w:rsid w:val="0026449D"/>
    <w:rsid w:val="00264DCB"/>
    <w:rsid w:val="002665ED"/>
    <w:rsid w:val="00266C60"/>
    <w:rsid w:val="00266D99"/>
    <w:rsid w:val="0026703D"/>
    <w:rsid w:val="00270F2A"/>
    <w:rsid w:val="00272701"/>
    <w:rsid w:val="00272F4E"/>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4749"/>
    <w:rsid w:val="00285E30"/>
    <w:rsid w:val="00286941"/>
    <w:rsid w:val="00286E0F"/>
    <w:rsid w:val="00287E8B"/>
    <w:rsid w:val="00290D42"/>
    <w:rsid w:val="00290D86"/>
    <w:rsid w:val="00291853"/>
    <w:rsid w:val="002919F1"/>
    <w:rsid w:val="00292736"/>
    <w:rsid w:val="00293CC6"/>
    <w:rsid w:val="002941ED"/>
    <w:rsid w:val="002945C4"/>
    <w:rsid w:val="002963A5"/>
    <w:rsid w:val="002964EC"/>
    <w:rsid w:val="00296715"/>
    <w:rsid w:val="00296FA6"/>
    <w:rsid w:val="00297B28"/>
    <w:rsid w:val="00297CD4"/>
    <w:rsid w:val="002A02E1"/>
    <w:rsid w:val="002A033E"/>
    <w:rsid w:val="002A05D9"/>
    <w:rsid w:val="002A0B6B"/>
    <w:rsid w:val="002A155E"/>
    <w:rsid w:val="002A20ED"/>
    <w:rsid w:val="002A218B"/>
    <w:rsid w:val="002A27C9"/>
    <w:rsid w:val="002A29CB"/>
    <w:rsid w:val="002A3E4C"/>
    <w:rsid w:val="002A414E"/>
    <w:rsid w:val="002A41E2"/>
    <w:rsid w:val="002A42E3"/>
    <w:rsid w:val="002A4D60"/>
    <w:rsid w:val="002A5397"/>
    <w:rsid w:val="002A53A6"/>
    <w:rsid w:val="002A5F21"/>
    <w:rsid w:val="002A6480"/>
    <w:rsid w:val="002A72E7"/>
    <w:rsid w:val="002B04FF"/>
    <w:rsid w:val="002B1672"/>
    <w:rsid w:val="002B3426"/>
    <w:rsid w:val="002B4223"/>
    <w:rsid w:val="002B4B3D"/>
    <w:rsid w:val="002B6034"/>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D85"/>
    <w:rsid w:val="002D1185"/>
    <w:rsid w:val="002D1A05"/>
    <w:rsid w:val="002D307B"/>
    <w:rsid w:val="002D34CB"/>
    <w:rsid w:val="002D3BDC"/>
    <w:rsid w:val="002D4178"/>
    <w:rsid w:val="002D436D"/>
    <w:rsid w:val="002D494B"/>
    <w:rsid w:val="002D4F6A"/>
    <w:rsid w:val="002D519F"/>
    <w:rsid w:val="002D54F2"/>
    <w:rsid w:val="002D5F40"/>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8D9"/>
    <w:rsid w:val="002E6C8A"/>
    <w:rsid w:val="002F03B7"/>
    <w:rsid w:val="002F12CF"/>
    <w:rsid w:val="002F179E"/>
    <w:rsid w:val="002F23AD"/>
    <w:rsid w:val="002F269D"/>
    <w:rsid w:val="002F3120"/>
    <w:rsid w:val="002F38B6"/>
    <w:rsid w:val="002F3D9A"/>
    <w:rsid w:val="002F3F6E"/>
    <w:rsid w:val="002F4438"/>
    <w:rsid w:val="002F44A8"/>
    <w:rsid w:val="002F450F"/>
    <w:rsid w:val="002F5701"/>
    <w:rsid w:val="002F5E51"/>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4B88"/>
    <w:rsid w:val="00315C08"/>
    <w:rsid w:val="0031674B"/>
    <w:rsid w:val="00320434"/>
    <w:rsid w:val="0032085D"/>
    <w:rsid w:val="00320976"/>
    <w:rsid w:val="003210CC"/>
    <w:rsid w:val="00321382"/>
    <w:rsid w:val="00321949"/>
    <w:rsid w:val="00321AF2"/>
    <w:rsid w:val="00322320"/>
    <w:rsid w:val="0032281E"/>
    <w:rsid w:val="003233E5"/>
    <w:rsid w:val="003237DC"/>
    <w:rsid w:val="003237FB"/>
    <w:rsid w:val="00323B14"/>
    <w:rsid w:val="003243A3"/>
    <w:rsid w:val="00324CE5"/>
    <w:rsid w:val="00325DA4"/>
    <w:rsid w:val="00326267"/>
    <w:rsid w:val="00327290"/>
    <w:rsid w:val="003277DB"/>
    <w:rsid w:val="00332113"/>
    <w:rsid w:val="0033242B"/>
    <w:rsid w:val="00332969"/>
    <w:rsid w:val="00332E2C"/>
    <w:rsid w:val="00333BED"/>
    <w:rsid w:val="00333EAB"/>
    <w:rsid w:val="00334DDA"/>
    <w:rsid w:val="0033663E"/>
    <w:rsid w:val="00337520"/>
    <w:rsid w:val="003377E4"/>
    <w:rsid w:val="0033792D"/>
    <w:rsid w:val="003379B6"/>
    <w:rsid w:val="00337BFA"/>
    <w:rsid w:val="0034022B"/>
    <w:rsid w:val="003402BE"/>
    <w:rsid w:val="00340405"/>
    <w:rsid w:val="00340833"/>
    <w:rsid w:val="00340835"/>
    <w:rsid w:val="00340D11"/>
    <w:rsid w:val="003411B4"/>
    <w:rsid w:val="0034200E"/>
    <w:rsid w:val="003423FB"/>
    <w:rsid w:val="00343D1C"/>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1922"/>
    <w:rsid w:val="00372281"/>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DE7"/>
    <w:rsid w:val="00384ED6"/>
    <w:rsid w:val="00386437"/>
    <w:rsid w:val="00386BC7"/>
    <w:rsid w:val="00387DE2"/>
    <w:rsid w:val="0039031B"/>
    <w:rsid w:val="00390810"/>
    <w:rsid w:val="00390B8B"/>
    <w:rsid w:val="00391307"/>
    <w:rsid w:val="00392333"/>
    <w:rsid w:val="0039279B"/>
    <w:rsid w:val="00392844"/>
    <w:rsid w:val="00394779"/>
    <w:rsid w:val="003947BF"/>
    <w:rsid w:val="003954E6"/>
    <w:rsid w:val="00395DFD"/>
    <w:rsid w:val="0039615F"/>
    <w:rsid w:val="00396313"/>
    <w:rsid w:val="00396697"/>
    <w:rsid w:val="0039673B"/>
    <w:rsid w:val="00396FE4"/>
    <w:rsid w:val="00397D1B"/>
    <w:rsid w:val="003A0085"/>
    <w:rsid w:val="003A01AE"/>
    <w:rsid w:val="003A0313"/>
    <w:rsid w:val="003A0790"/>
    <w:rsid w:val="003A0E19"/>
    <w:rsid w:val="003A0F42"/>
    <w:rsid w:val="003A1665"/>
    <w:rsid w:val="003A2561"/>
    <w:rsid w:val="003A269B"/>
    <w:rsid w:val="003A367D"/>
    <w:rsid w:val="003A3A10"/>
    <w:rsid w:val="003A463D"/>
    <w:rsid w:val="003A5026"/>
    <w:rsid w:val="003A54CA"/>
    <w:rsid w:val="003A54EC"/>
    <w:rsid w:val="003A56C5"/>
    <w:rsid w:val="003A60E8"/>
    <w:rsid w:val="003A6159"/>
    <w:rsid w:val="003A64C9"/>
    <w:rsid w:val="003A7014"/>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B7DCC"/>
    <w:rsid w:val="003C060F"/>
    <w:rsid w:val="003C075C"/>
    <w:rsid w:val="003C0D92"/>
    <w:rsid w:val="003C0DF1"/>
    <w:rsid w:val="003C20C9"/>
    <w:rsid w:val="003C40D7"/>
    <w:rsid w:val="003C42BE"/>
    <w:rsid w:val="003C46C0"/>
    <w:rsid w:val="003C4E9C"/>
    <w:rsid w:val="003C6F44"/>
    <w:rsid w:val="003C7290"/>
    <w:rsid w:val="003C74B4"/>
    <w:rsid w:val="003C76B2"/>
    <w:rsid w:val="003C785A"/>
    <w:rsid w:val="003C7EF1"/>
    <w:rsid w:val="003D130B"/>
    <w:rsid w:val="003D1383"/>
    <w:rsid w:val="003D139F"/>
    <w:rsid w:val="003D3D85"/>
    <w:rsid w:val="003D4381"/>
    <w:rsid w:val="003D4EFC"/>
    <w:rsid w:val="003D5332"/>
    <w:rsid w:val="003D6C2F"/>
    <w:rsid w:val="003D6D58"/>
    <w:rsid w:val="003D6F8F"/>
    <w:rsid w:val="003D7FD0"/>
    <w:rsid w:val="003E0545"/>
    <w:rsid w:val="003E0F70"/>
    <w:rsid w:val="003E24EA"/>
    <w:rsid w:val="003E2957"/>
    <w:rsid w:val="003E36B6"/>
    <w:rsid w:val="003E3ADD"/>
    <w:rsid w:val="003E4764"/>
    <w:rsid w:val="003E4A0B"/>
    <w:rsid w:val="003E5F73"/>
    <w:rsid w:val="003E63AC"/>
    <w:rsid w:val="003E63C2"/>
    <w:rsid w:val="003E64CD"/>
    <w:rsid w:val="003E6788"/>
    <w:rsid w:val="003E681A"/>
    <w:rsid w:val="003E754A"/>
    <w:rsid w:val="003E7624"/>
    <w:rsid w:val="003F09BA"/>
    <w:rsid w:val="003F0E59"/>
    <w:rsid w:val="003F2E19"/>
    <w:rsid w:val="003F462F"/>
    <w:rsid w:val="003F5B4E"/>
    <w:rsid w:val="003F6BE7"/>
    <w:rsid w:val="003F7FBE"/>
    <w:rsid w:val="004008D2"/>
    <w:rsid w:val="00400A31"/>
    <w:rsid w:val="0040188D"/>
    <w:rsid w:val="00402DEF"/>
    <w:rsid w:val="00403234"/>
    <w:rsid w:val="0040488D"/>
    <w:rsid w:val="00404F05"/>
    <w:rsid w:val="00404F42"/>
    <w:rsid w:val="00405E30"/>
    <w:rsid w:val="0040616D"/>
    <w:rsid w:val="0040676E"/>
    <w:rsid w:val="00406923"/>
    <w:rsid w:val="00407776"/>
    <w:rsid w:val="00407B3E"/>
    <w:rsid w:val="0041008C"/>
    <w:rsid w:val="004102F8"/>
    <w:rsid w:val="0041032D"/>
    <w:rsid w:val="00411184"/>
    <w:rsid w:val="004112E3"/>
    <w:rsid w:val="00411ECB"/>
    <w:rsid w:val="00412D3E"/>
    <w:rsid w:val="004138A7"/>
    <w:rsid w:val="00413A73"/>
    <w:rsid w:val="00414491"/>
    <w:rsid w:val="00414F15"/>
    <w:rsid w:val="004158AA"/>
    <w:rsid w:val="004159A7"/>
    <w:rsid w:val="00420462"/>
    <w:rsid w:val="0042067C"/>
    <w:rsid w:val="004225C0"/>
    <w:rsid w:val="0042348C"/>
    <w:rsid w:val="004236B7"/>
    <w:rsid w:val="0042399B"/>
    <w:rsid w:val="00423F6D"/>
    <w:rsid w:val="0042517A"/>
    <w:rsid w:val="004263DD"/>
    <w:rsid w:val="00427140"/>
    <w:rsid w:val="00427427"/>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9AE"/>
    <w:rsid w:val="00446DAF"/>
    <w:rsid w:val="004472C4"/>
    <w:rsid w:val="004475C5"/>
    <w:rsid w:val="0044775E"/>
    <w:rsid w:val="0045091A"/>
    <w:rsid w:val="00450988"/>
    <w:rsid w:val="00450A43"/>
    <w:rsid w:val="00451B01"/>
    <w:rsid w:val="00452EDC"/>
    <w:rsid w:val="00452F24"/>
    <w:rsid w:val="00453CAF"/>
    <w:rsid w:val="00453FCA"/>
    <w:rsid w:val="00454018"/>
    <w:rsid w:val="004548FA"/>
    <w:rsid w:val="00455CF9"/>
    <w:rsid w:val="00456FFD"/>
    <w:rsid w:val="00457466"/>
    <w:rsid w:val="004574B7"/>
    <w:rsid w:val="00457DD8"/>
    <w:rsid w:val="004609DA"/>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11BE"/>
    <w:rsid w:val="004712CC"/>
    <w:rsid w:val="00471CD6"/>
    <w:rsid w:val="00471DAE"/>
    <w:rsid w:val="004724C4"/>
    <w:rsid w:val="004730CF"/>
    <w:rsid w:val="00473818"/>
    <w:rsid w:val="00474025"/>
    <w:rsid w:val="004742B6"/>
    <w:rsid w:val="0047447E"/>
    <w:rsid w:val="004744FB"/>
    <w:rsid w:val="00475159"/>
    <w:rsid w:val="004751E6"/>
    <w:rsid w:val="0047571E"/>
    <w:rsid w:val="00475B92"/>
    <w:rsid w:val="004763AB"/>
    <w:rsid w:val="00476EC1"/>
    <w:rsid w:val="004776BE"/>
    <w:rsid w:val="00477DB8"/>
    <w:rsid w:val="00480AAB"/>
    <w:rsid w:val="004818C0"/>
    <w:rsid w:val="0048276D"/>
    <w:rsid w:val="00482EB0"/>
    <w:rsid w:val="00484575"/>
    <w:rsid w:val="0048472E"/>
    <w:rsid w:val="00485D93"/>
    <w:rsid w:val="00485F07"/>
    <w:rsid w:val="004868D6"/>
    <w:rsid w:val="00486E27"/>
    <w:rsid w:val="0048727C"/>
    <w:rsid w:val="00487843"/>
    <w:rsid w:val="004907DD"/>
    <w:rsid w:val="0049096C"/>
    <w:rsid w:val="0049143A"/>
    <w:rsid w:val="0049176E"/>
    <w:rsid w:val="00491EE2"/>
    <w:rsid w:val="004922F0"/>
    <w:rsid w:val="004927FF"/>
    <w:rsid w:val="004928D9"/>
    <w:rsid w:val="00493426"/>
    <w:rsid w:val="004937E8"/>
    <w:rsid w:val="004954B0"/>
    <w:rsid w:val="004956AD"/>
    <w:rsid w:val="004962E9"/>
    <w:rsid w:val="004A02B0"/>
    <w:rsid w:val="004A1968"/>
    <w:rsid w:val="004A1EA1"/>
    <w:rsid w:val="004A383D"/>
    <w:rsid w:val="004A468E"/>
    <w:rsid w:val="004A5A06"/>
    <w:rsid w:val="004A63CC"/>
    <w:rsid w:val="004A6508"/>
    <w:rsid w:val="004B08C4"/>
    <w:rsid w:val="004B0E80"/>
    <w:rsid w:val="004B1421"/>
    <w:rsid w:val="004B2BDB"/>
    <w:rsid w:val="004B3290"/>
    <w:rsid w:val="004B4530"/>
    <w:rsid w:val="004B45BF"/>
    <w:rsid w:val="004B4F11"/>
    <w:rsid w:val="004B5C5F"/>
    <w:rsid w:val="004B5EE2"/>
    <w:rsid w:val="004B6E2D"/>
    <w:rsid w:val="004C0BEF"/>
    <w:rsid w:val="004C24F9"/>
    <w:rsid w:val="004C39F9"/>
    <w:rsid w:val="004C3A56"/>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4DBF"/>
    <w:rsid w:val="004D551D"/>
    <w:rsid w:val="004D5D20"/>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B03"/>
    <w:rsid w:val="004E4FE3"/>
    <w:rsid w:val="004E596A"/>
    <w:rsid w:val="004E5D90"/>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4F7C62"/>
    <w:rsid w:val="005017C8"/>
    <w:rsid w:val="00502C53"/>
    <w:rsid w:val="0050338C"/>
    <w:rsid w:val="00503410"/>
    <w:rsid w:val="005035D5"/>
    <w:rsid w:val="00503CDE"/>
    <w:rsid w:val="0050405F"/>
    <w:rsid w:val="005044F3"/>
    <w:rsid w:val="00504CC9"/>
    <w:rsid w:val="005052C4"/>
    <w:rsid w:val="00505D97"/>
    <w:rsid w:val="00507D25"/>
    <w:rsid w:val="00510489"/>
    <w:rsid w:val="0051064B"/>
    <w:rsid w:val="005109B3"/>
    <w:rsid w:val="005114A5"/>
    <w:rsid w:val="00511B85"/>
    <w:rsid w:val="00513291"/>
    <w:rsid w:val="0051369A"/>
    <w:rsid w:val="005136CD"/>
    <w:rsid w:val="00513836"/>
    <w:rsid w:val="0051406F"/>
    <w:rsid w:val="00514229"/>
    <w:rsid w:val="00514CC8"/>
    <w:rsid w:val="0051516F"/>
    <w:rsid w:val="005154BB"/>
    <w:rsid w:val="005156AA"/>
    <w:rsid w:val="00515EAB"/>
    <w:rsid w:val="0051687F"/>
    <w:rsid w:val="00517231"/>
    <w:rsid w:val="00517ABC"/>
    <w:rsid w:val="0052028C"/>
    <w:rsid w:val="005203C2"/>
    <w:rsid w:val="00520868"/>
    <w:rsid w:val="005209FD"/>
    <w:rsid w:val="00520E50"/>
    <w:rsid w:val="00522162"/>
    <w:rsid w:val="005222C1"/>
    <w:rsid w:val="005223A3"/>
    <w:rsid w:val="005252B6"/>
    <w:rsid w:val="00525D24"/>
    <w:rsid w:val="00530D60"/>
    <w:rsid w:val="00530E68"/>
    <w:rsid w:val="0053146C"/>
    <w:rsid w:val="005314DD"/>
    <w:rsid w:val="00531925"/>
    <w:rsid w:val="00532D77"/>
    <w:rsid w:val="005332D4"/>
    <w:rsid w:val="005344E4"/>
    <w:rsid w:val="00534716"/>
    <w:rsid w:val="00535879"/>
    <w:rsid w:val="005373A1"/>
    <w:rsid w:val="005422AF"/>
    <w:rsid w:val="0054290D"/>
    <w:rsid w:val="00543D3A"/>
    <w:rsid w:val="00544141"/>
    <w:rsid w:val="00545B27"/>
    <w:rsid w:val="00546262"/>
    <w:rsid w:val="00546717"/>
    <w:rsid w:val="0054707B"/>
    <w:rsid w:val="0054767E"/>
    <w:rsid w:val="00547984"/>
    <w:rsid w:val="00547FD4"/>
    <w:rsid w:val="005507D0"/>
    <w:rsid w:val="00550EAC"/>
    <w:rsid w:val="005516D2"/>
    <w:rsid w:val="00551A73"/>
    <w:rsid w:val="00552147"/>
    <w:rsid w:val="00553E08"/>
    <w:rsid w:val="00554224"/>
    <w:rsid w:val="00554CD7"/>
    <w:rsid w:val="00554EF8"/>
    <w:rsid w:val="00555F21"/>
    <w:rsid w:val="00560DD0"/>
    <w:rsid w:val="00561227"/>
    <w:rsid w:val="00561C6F"/>
    <w:rsid w:val="005637A2"/>
    <w:rsid w:val="00563923"/>
    <w:rsid w:val="00564495"/>
    <w:rsid w:val="0056552B"/>
    <w:rsid w:val="00565D72"/>
    <w:rsid w:val="005666C9"/>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12AB"/>
    <w:rsid w:val="00581451"/>
    <w:rsid w:val="0058281E"/>
    <w:rsid w:val="0058288F"/>
    <w:rsid w:val="00582F7F"/>
    <w:rsid w:val="00584275"/>
    <w:rsid w:val="005843B7"/>
    <w:rsid w:val="00585497"/>
    <w:rsid w:val="005854CE"/>
    <w:rsid w:val="00585F96"/>
    <w:rsid w:val="00586A1F"/>
    <w:rsid w:val="00586B39"/>
    <w:rsid w:val="0059041D"/>
    <w:rsid w:val="00590D69"/>
    <w:rsid w:val="0059103F"/>
    <w:rsid w:val="00591472"/>
    <w:rsid w:val="00591A7E"/>
    <w:rsid w:val="00594751"/>
    <w:rsid w:val="00595AAE"/>
    <w:rsid w:val="005960DB"/>
    <w:rsid w:val="005A147A"/>
    <w:rsid w:val="005A32FD"/>
    <w:rsid w:val="005A33A3"/>
    <w:rsid w:val="005A3500"/>
    <w:rsid w:val="005A3D8D"/>
    <w:rsid w:val="005A413F"/>
    <w:rsid w:val="005A4303"/>
    <w:rsid w:val="005A486A"/>
    <w:rsid w:val="005A4E6B"/>
    <w:rsid w:val="005A4F6A"/>
    <w:rsid w:val="005A5949"/>
    <w:rsid w:val="005A5D07"/>
    <w:rsid w:val="005A6063"/>
    <w:rsid w:val="005A68EA"/>
    <w:rsid w:val="005A69D9"/>
    <w:rsid w:val="005A6AC1"/>
    <w:rsid w:val="005B0196"/>
    <w:rsid w:val="005B03EF"/>
    <w:rsid w:val="005B1165"/>
    <w:rsid w:val="005B16DB"/>
    <w:rsid w:val="005B1C40"/>
    <w:rsid w:val="005B1E71"/>
    <w:rsid w:val="005B2585"/>
    <w:rsid w:val="005B2DB9"/>
    <w:rsid w:val="005B376C"/>
    <w:rsid w:val="005B413D"/>
    <w:rsid w:val="005B46F0"/>
    <w:rsid w:val="005B489E"/>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3D10"/>
    <w:rsid w:val="005E02A8"/>
    <w:rsid w:val="005E04CB"/>
    <w:rsid w:val="005E07B1"/>
    <w:rsid w:val="005E2689"/>
    <w:rsid w:val="005E26D9"/>
    <w:rsid w:val="005E2D0C"/>
    <w:rsid w:val="005E352B"/>
    <w:rsid w:val="005E380E"/>
    <w:rsid w:val="005E4870"/>
    <w:rsid w:val="005E490F"/>
    <w:rsid w:val="005E4ACF"/>
    <w:rsid w:val="005E5C08"/>
    <w:rsid w:val="005E6E48"/>
    <w:rsid w:val="005E6F74"/>
    <w:rsid w:val="005E7E2F"/>
    <w:rsid w:val="005E7F90"/>
    <w:rsid w:val="005F0A5B"/>
    <w:rsid w:val="005F0A87"/>
    <w:rsid w:val="005F0D5D"/>
    <w:rsid w:val="005F11AB"/>
    <w:rsid w:val="005F137A"/>
    <w:rsid w:val="005F15F6"/>
    <w:rsid w:val="005F3F0C"/>
    <w:rsid w:val="005F445F"/>
    <w:rsid w:val="005F44AE"/>
    <w:rsid w:val="005F4AA8"/>
    <w:rsid w:val="005F530F"/>
    <w:rsid w:val="005F53A4"/>
    <w:rsid w:val="005F61A0"/>
    <w:rsid w:val="005F6FC0"/>
    <w:rsid w:val="005F778B"/>
    <w:rsid w:val="00600B0A"/>
    <w:rsid w:val="006011F7"/>
    <w:rsid w:val="00601661"/>
    <w:rsid w:val="00602A19"/>
    <w:rsid w:val="00603007"/>
    <w:rsid w:val="0060395C"/>
    <w:rsid w:val="00603A0A"/>
    <w:rsid w:val="00603B35"/>
    <w:rsid w:val="006056DC"/>
    <w:rsid w:val="00606C62"/>
    <w:rsid w:val="00606DD4"/>
    <w:rsid w:val="0061204F"/>
    <w:rsid w:val="006134D3"/>
    <w:rsid w:val="006134FA"/>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408"/>
    <w:rsid w:val="00635B97"/>
    <w:rsid w:val="00635CB9"/>
    <w:rsid w:val="00636258"/>
    <w:rsid w:val="0063684F"/>
    <w:rsid w:val="00636BB7"/>
    <w:rsid w:val="0063748C"/>
    <w:rsid w:val="006379C7"/>
    <w:rsid w:val="00640825"/>
    <w:rsid w:val="0064115D"/>
    <w:rsid w:val="00641993"/>
    <w:rsid w:val="00642064"/>
    <w:rsid w:val="006425B9"/>
    <w:rsid w:val="00642F49"/>
    <w:rsid w:val="00643734"/>
    <w:rsid w:val="006437E7"/>
    <w:rsid w:val="006437EC"/>
    <w:rsid w:val="00643CC5"/>
    <w:rsid w:val="00644E64"/>
    <w:rsid w:val="0064511D"/>
    <w:rsid w:val="00645CAF"/>
    <w:rsid w:val="00646B84"/>
    <w:rsid w:val="00647518"/>
    <w:rsid w:val="00647762"/>
    <w:rsid w:val="00647F50"/>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94A"/>
    <w:rsid w:val="00662B17"/>
    <w:rsid w:val="00663523"/>
    <w:rsid w:val="006635B3"/>
    <w:rsid w:val="0066468B"/>
    <w:rsid w:val="00664C6F"/>
    <w:rsid w:val="00664D3A"/>
    <w:rsid w:val="00665CAD"/>
    <w:rsid w:val="00666A0C"/>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84D36"/>
    <w:rsid w:val="00690E83"/>
    <w:rsid w:val="00690E99"/>
    <w:rsid w:val="0069141E"/>
    <w:rsid w:val="00692E50"/>
    <w:rsid w:val="00694A20"/>
    <w:rsid w:val="00694BF1"/>
    <w:rsid w:val="00694F2E"/>
    <w:rsid w:val="0069614B"/>
    <w:rsid w:val="00696913"/>
    <w:rsid w:val="00696963"/>
    <w:rsid w:val="006975D3"/>
    <w:rsid w:val="00697DB8"/>
    <w:rsid w:val="006A0705"/>
    <w:rsid w:val="006A07EA"/>
    <w:rsid w:val="006A0C67"/>
    <w:rsid w:val="006A1EC8"/>
    <w:rsid w:val="006A2951"/>
    <w:rsid w:val="006A3476"/>
    <w:rsid w:val="006A51B7"/>
    <w:rsid w:val="006A5ADF"/>
    <w:rsid w:val="006A5B0B"/>
    <w:rsid w:val="006A62CC"/>
    <w:rsid w:val="006A661B"/>
    <w:rsid w:val="006A6C14"/>
    <w:rsid w:val="006A79E4"/>
    <w:rsid w:val="006B05C9"/>
    <w:rsid w:val="006B11CF"/>
    <w:rsid w:val="006B14A8"/>
    <w:rsid w:val="006B3381"/>
    <w:rsid w:val="006B371E"/>
    <w:rsid w:val="006B3CD6"/>
    <w:rsid w:val="006B3E27"/>
    <w:rsid w:val="006B3E48"/>
    <w:rsid w:val="006B448A"/>
    <w:rsid w:val="006B4DB4"/>
    <w:rsid w:val="006B54B3"/>
    <w:rsid w:val="006B633B"/>
    <w:rsid w:val="006B7635"/>
    <w:rsid w:val="006B7A6F"/>
    <w:rsid w:val="006B7FF0"/>
    <w:rsid w:val="006C0608"/>
    <w:rsid w:val="006C0C3F"/>
    <w:rsid w:val="006C1344"/>
    <w:rsid w:val="006C1D50"/>
    <w:rsid w:val="006C1E95"/>
    <w:rsid w:val="006C1FD8"/>
    <w:rsid w:val="006C32E4"/>
    <w:rsid w:val="006C400A"/>
    <w:rsid w:val="006C4B20"/>
    <w:rsid w:val="006C4C0A"/>
    <w:rsid w:val="006C54B0"/>
    <w:rsid w:val="006C5B02"/>
    <w:rsid w:val="006C6176"/>
    <w:rsid w:val="006C67B4"/>
    <w:rsid w:val="006C74DC"/>
    <w:rsid w:val="006C7E80"/>
    <w:rsid w:val="006D06C8"/>
    <w:rsid w:val="006D0932"/>
    <w:rsid w:val="006D1EDD"/>
    <w:rsid w:val="006D2119"/>
    <w:rsid w:val="006D37D9"/>
    <w:rsid w:val="006D3DBA"/>
    <w:rsid w:val="006D3E4B"/>
    <w:rsid w:val="006D4089"/>
    <w:rsid w:val="006D420D"/>
    <w:rsid w:val="006D4568"/>
    <w:rsid w:val="006D5454"/>
    <w:rsid w:val="006D5F06"/>
    <w:rsid w:val="006D66EA"/>
    <w:rsid w:val="006D6C0F"/>
    <w:rsid w:val="006D7476"/>
    <w:rsid w:val="006D7F36"/>
    <w:rsid w:val="006E041D"/>
    <w:rsid w:val="006E0D36"/>
    <w:rsid w:val="006E0D59"/>
    <w:rsid w:val="006E1413"/>
    <w:rsid w:val="006E173A"/>
    <w:rsid w:val="006E1923"/>
    <w:rsid w:val="006E2DEB"/>
    <w:rsid w:val="006E2EE3"/>
    <w:rsid w:val="006E2EE5"/>
    <w:rsid w:val="006E3828"/>
    <w:rsid w:val="006E45F7"/>
    <w:rsid w:val="006E46A0"/>
    <w:rsid w:val="006E510B"/>
    <w:rsid w:val="006E5254"/>
    <w:rsid w:val="006E66C6"/>
    <w:rsid w:val="006E67BF"/>
    <w:rsid w:val="006E69D3"/>
    <w:rsid w:val="006E6DBD"/>
    <w:rsid w:val="006F06A4"/>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223C"/>
    <w:rsid w:val="00713272"/>
    <w:rsid w:val="00713BD4"/>
    <w:rsid w:val="00714501"/>
    <w:rsid w:val="007156CE"/>
    <w:rsid w:val="00716002"/>
    <w:rsid w:val="00717D57"/>
    <w:rsid w:val="007202B6"/>
    <w:rsid w:val="00721116"/>
    <w:rsid w:val="0072136B"/>
    <w:rsid w:val="007220C0"/>
    <w:rsid w:val="0072431A"/>
    <w:rsid w:val="007262BD"/>
    <w:rsid w:val="00726980"/>
    <w:rsid w:val="0072758D"/>
    <w:rsid w:val="007277E3"/>
    <w:rsid w:val="00727D45"/>
    <w:rsid w:val="00730D43"/>
    <w:rsid w:val="007319C3"/>
    <w:rsid w:val="00732DA4"/>
    <w:rsid w:val="00733185"/>
    <w:rsid w:val="00734401"/>
    <w:rsid w:val="00734865"/>
    <w:rsid w:val="00735525"/>
    <w:rsid w:val="007358AF"/>
    <w:rsid w:val="00735C5A"/>
    <w:rsid w:val="0073666E"/>
    <w:rsid w:val="007370DF"/>
    <w:rsid w:val="00737D83"/>
    <w:rsid w:val="00740030"/>
    <w:rsid w:val="0074035A"/>
    <w:rsid w:val="00740486"/>
    <w:rsid w:val="007406EC"/>
    <w:rsid w:val="00742FA2"/>
    <w:rsid w:val="007433CC"/>
    <w:rsid w:val="00744098"/>
    <w:rsid w:val="007443F6"/>
    <w:rsid w:val="00744F0D"/>
    <w:rsid w:val="00745768"/>
    <w:rsid w:val="0074679E"/>
    <w:rsid w:val="00750099"/>
    <w:rsid w:val="007503A3"/>
    <w:rsid w:val="007508DF"/>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0A17"/>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160"/>
    <w:rsid w:val="00776F85"/>
    <w:rsid w:val="00777B30"/>
    <w:rsid w:val="0078013D"/>
    <w:rsid w:val="0078019A"/>
    <w:rsid w:val="007803D9"/>
    <w:rsid w:val="00780F93"/>
    <w:rsid w:val="00781041"/>
    <w:rsid w:val="00781091"/>
    <w:rsid w:val="0078122A"/>
    <w:rsid w:val="0078536D"/>
    <w:rsid w:val="00785920"/>
    <w:rsid w:val="00785A50"/>
    <w:rsid w:val="00786F58"/>
    <w:rsid w:val="0079015D"/>
    <w:rsid w:val="007906AA"/>
    <w:rsid w:val="0079072C"/>
    <w:rsid w:val="00790FC5"/>
    <w:rsid w:val="007911A4"/>
    <w:rsid w:val="007920D3"/>
    <w:rsid w:val="007929DC"/>
    <w:rsid w:val="00792CC9"/>
    <w:rsid w:val="0079309E"/>
    <w:rsid w:val="00793C30"/>
    <w:rsid w:val="00793EFA"/>
    <w:rsid w:val="00794BBA"/>
    <w:rsid w:val="00794CC2"/>
    <w:rsid w:val="00795C4E"/>
    <w:rsid w:val="0079646F"/>
    <w:rsid w:val="007965AD"/>
    <w:rsid w:val="007977DE"/>
    <w:rsid w:val="007A014D"/>
    <w:rsid w:val="007A1ECE"/>
    <w:rsid w:val="007A2891"/>
    <w:rsid w:val="007A55A8"/>
    <w:rsid w:val="007A568E"/>
    <w:rsid w:val="007A6675"/>
    <w:rsid w:val="007A689E"/>
    <w:rsid w:val="007A7B28"/>
    <w:rsid w:val="007B0DE6"/>
    <w:rsid w:val="007B2965"/>
    <w:rsid w:val="007B2D43"/>
    <w:rsid w:val="007B450F"/>
    <w:rsid w:val="007B48C6"/>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E01AE"/>
    <w:rsid w:val="007E0FA8"/>
    <w:rsid w:val="007E2039"/>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7E8B"/>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9F1"/>
    <w:rsid w:val="008127D0"/>
    <w:rsid w:val="00812C54"/>
    <w:rsid w:val="00812ED0"/>
    <w:rsid w:val="00812FB2"/>
    <w:rsid w:val="00813763"/>
    <w:rsid w:val="00814625"/>
    <w:rsid w:val="0081504C"/>
    <w:rsid w:val="00815488"/>
    <w:rsid w:val="008159FC"/>
    <w:rsid w:val="00816560"/>
    <w:rsid w:val="0081678C"/>
    <w:rsid w:val="00817040"/>
    <w:rsid w:val="00820579"/>
    <w:rsid w:val="008209B0"/>
    <w:rsid w:val="00821003"/>
    <w:rsid w:val="008210C1"/>
    <w:rsid w:val="00821B93"/>
    <w:rsid w:val="00822054"/>
    <w:rsid w:val="00822349"/>
    <w:rsid w:val="00822AD8"/>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40AD0"/>
    <w:rsid w:val="00840BE7"/>
    <w:rsid w:val="008424C5"/>
    <w:rsid w:val="00842AAE"/>
    <w:rsid w:val="00843037"/>
    <w:rsid w:val="00843A42"/>
    <w:rsid w:val="00844108"/>
    <w:rsid w:val="008445F5"/>
    <w:rsid w:val="00844F2D"/>
    <w:rsid w:val="008468AE"/>
    <w:rsid w:val="0084742B"/>
    <w:rsid w:val="00847780"/>
    <w:rsid w:val="00847BD5"/>
    <w:rsid w:val="00847C74"/>
    <w:rsid w:val="00850236"/>
    <w:rsid w:val="00851D1F"/>
    <w:rsid w:val="0085383A"/>
    <w:rsid w:val="00855E69"/>
    <w:rsid w:val="00856A9E"/>
    <w:rsid w:val="00856D5E"/>
    <w:rsid w:val="00856DAB"/>
    <w:rsid w:val="00857A49"/>
    <w:rsid w:val="00861F11"/>
    <w:rsid w:val="00862109"/>
    <w:rsid w:val="00862519"/>
    <w:rsid w:val="00862F60"/>
    <w:rsid w:val="008638BB"/>
    <w:rsid w:val="00863980"/>
    <w:rsid w:val="00863B86"/>
    <w:rsid w:val="008651CC"/>
    <w:rsid w:val="008654FC"/>
    <w:rsid w:val="00865B22"/>
    <w:rsid w:val="0086727D"/>
    <w:rsid w:val="00867CF3"/>
    <w:rsid w:val="00867E33"/>
    <w:rsid w:val="00873332"/>
    <w:rsid w:val="0087478D"/>
    <w:rsid w:val="00874B70"/>
    <w:rsid w:val="008750D3"/>
    <w:rsid w:val="00876DD7"/>
    <w:rsid w:val="00877A07"/>
    <w:rsid w:val="00880B44"/>
    <w:rsid w:val="008821AD"/>
    <w:rsid w:val="00882FB4"/>
    <w:rsid w:val="00883EEF"/>
    <w:rsid w:val="00884004"/>
    <w:rsid w:val="008842FC"/>
    <w:rsid w:val="008850FF"/>
    <w:rsid w:val="00885389"/>
    <w:rsid w:val="0088586C"/>
    <w:rsid w:val="00885A5C"/>
    <w:rsid w:val="00886B20"/>
    <w:rsid w:val="00890FB1"/>
    <w:rsid w:val="00891EA3"/>
    <w:rsid w:val="008926CC"/>
    <w:rsid w:val="00892BE1"/>
    <w:rsid w:val="00893049"/>
    <w:rsid w:val="0089310B"/>
    <w:rsid w:val="00893168"/>
    <w:rsid w:val="008959C6"/>
    <w:rsid w:val="00895B8D"/>
    <w:rsid w:val="008960A8"/>
    <w:rsid w:val="00896CAB"/>
    <w:rsid w:val="00896D9E"/>
    <w:rsid w:val="00897F04"/>
    <w:rsid w:val="008A159E"/>
    <w:rsid w:val="008A1627"/>
    <w:rsid w:val="008A19A5"/>
    <w:rsid w:val="008A32BD"/>
    <w:rsid w:val="008A3F8C"/>
    <w:rsid w:val="008A4065"/>
    <w:rsid w:val="008A49ED"/>
    <w:rsid w:val="008A4B81"/>
    <w:rsid w:val="008A77E4"/>
    <w:rsid w:val="008A7F86"/>
    <w:rsid w:val="008B1AA3"/>
    <w:rsid w:val="008B234F"/>
    <w:rsid w:val="008B2EAF"/>
    <w:rsid w:val="008B3E3C"/>
    <w:rsid w:val="008B483D"/>
    <w:rsid w:val="008B5955"/>
    <w:rsid w:val="008B6D68"/>
    <w:rsid w:val="008B725B"/>
    <w:rsid w:val="008B757A"/>
    <w:rsid w:val="008B772F"/>
    <w:rsid w:val="008B7969"/>
    <w:rsid w:val="008B7C46"/>
    <w:rsid w:val="008B7F1A"/>
    <w:rsid w:val="008C16F9"/>
    <w:rsid w:val="008C2F14"/>
    <w:rsid w:val="008C304F"/>
    <w:rsid w:val="008C3899"/>
    <w:rsid w:val="008C3BEE"/>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72D"/>
    <w:rsid w:val="008F6B7A"/>
    <w:rsid w:val="008F7CAD"/>
    <w:rsid w:val="00900624"/>
    <w:rsid w:val="009009A9"/>
    <w:rsid w:val="009013F0"/>
    <w:rsid w:val="0090145E"/>
    <w:rsid w:val="0090244B"/>
    <w:rsid w:val="00902884"/>
    <w:rsid w:val="009032E4"/>
    <w:rsid w:val="009033EB"/>
    <w:rsid w:val="00906D64"/>
    <w:rsid w:val="00906EF4"/>
    <w:rsid w:val="00907883"/>
    <w:rsid w:val="00912075"/>
    <w:rsid w:val="00912ED8"/>
    <w:rsid w:val="00912F9A"/>
    <w:rsid w:val="009160CF"/>
    <w:rsid w:val="0091727F"/>
    <w:rsid w:val="00917287"/>
    <w:rsid w:val="009205B0"/>
    <w:rsid w:val="0092080C"/>
    <w:rsid w:val="0092134B"/>
    <w:rsid w:val="00921F0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32BA"/>
    <w:rsid w:val="00933397"/>
    <w:rsid w:val="00933706"/>
    <w:rsid w:val="0093465C"/>
    <w:rsid w:val="009346C4"/>
    <w:rsid w:val="00934A8F"/>
    <w:rsid w:val="009350BF"/>
    <w:rsid w:val="009359A1"/>
    <w:rsid w:val="009367D9"/>
    <w:rsid w:val="009401A8"/>
    <w:rsid w:val="00941909"/>
    <w:rsid w:val="009435CD"/>
    <w:rsid w:val="0094396D"/>
    <w:rsid w:val="0094420F"/>
    <w:rsid w:val="00944846"/>
    <w:rsid w:val="00945EA1"/>
    <w:rsid w:val="009469B5"/>
    <w:rsid w:val="009473CE"/>
    <w:rsid w:val="00947563"/>
    <w:rsid w:val="00947A5C"/>
    <w:rsid w:val="009508D4"/>
    <w:rsid w:val="00950D10"/>
    <w:rsid w:val="00950F84"/>
    <w:rsid w:val="00951C7A"/>
    <w:rsid w:val="00952B7A"/>
    <w:rsid w:val="0095395B"/>
    <w:rsid w:val="0095425C"/>
    <w:rsid w:val="00954DC0"/>
    <w:rsid w:val="00955978"/>
    <w:rsid w:val="009560F0"/>
    <w:rsid w:val="009566EF"/>
    <w:rsid w:val="00957B1D"/>
    <w:rsid w:val="00957B73"/>
    <w:rsid w:val="00957BF9"/>
    <w:rsid w:val="00960EC8"/>
    <w:rsid w:val="009637F9"/>
    <w:rsid w:val="00963AA1"/>
    <w:rsid w:val="00964608"/>
    <w:rsid w:val="009646D8"/>
    <w:rsid w:val="009658B2"/>
    <w:rsid w:val="009659E0"/>
    <w:rsid w:val="00966710"/>
    <w:rsid w:val="009674A0"/>
    <w:rsid w:val="00967B54"/>
    <w:rsid w:val="00970AD2"/>
    <w:rsid w:val="0097113C"/>
    <w:rsid w:val="00971C7B"/>
    <w:rsid w:val="00971DA8"/>
    <w:rsid w:val="00971DDD"/>
    <w:rsid w:val="0097213C"/>
    <w:rsid w:val="00972753"/>
    <w:rsid w:val="00972CDF"/>
    <w:rsid w:val="00973026"/>
    <w:rsid w:val="00974119"/>
    <w:rsid w:val="009741CB"/>
    <w:rsid w:val="00974E3E"/>
    <w:rsid w:val="00976A8C"/>
    <w:rsid w:val="0097721C"/>
    <w:rsid w:val="00982912"/>
    <w:rsid w:val="00982918"/>
    <w:rsid w:val="00982AEF"/>
    <w:rsid w:val="00982E37"/>
    <w:rsid w:val="00983AAA"/>
    <w:rsid w:val="00983F4B"/>
    <w:rsid w:val="0098418F"/>
    <w:rsid w:val="00984A6F"/>
    <w:rsid w:val="009859D1"/>
    <w:rsid w:val="0098686E"/>
    <w:rsid w:val="009875D2"/>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A12"/>
    <w:rsid w:val="009A6F33"/>
    <w:rsid w:val="009B07A9"/>
    <w:rsid w:val="009B08D9"/>
    <w:rsid w:val="009B08DD"/>
    <w:rsid w:val="009B140A"/>
    <w:rsid w:val="009B16A0"/>
    <w:rsid w:val="009B179E"/>
    <w:rsid w:val="009B1CF9"/>
    <w:rsid w:val="009B1D80"/>
    <w:rsid w:val="009B34C8"/>
    <w:rsid w:val="009B4D01"/>
    <w:rsid w:val="009B546B"/>
    <w:rsid w:val="009B5D2F"/>
    <w:rsid w:val="009B60C4"/>
    <w:rsid w:val="009B752F"/>
    <w:rsid w:val="009B7AFD"/>
    <w:rsid w:val="009C08DC"/>
    <w:rsid w:val="009C0B76"/>
    <w:rsid w:val="009C1126"/>
    <w:rsid w:val="009C1F07"/>
    <w:rsid w:val="009C201E"/>
    <w:rsid w:val="009C6153"/>
    <w:rsid w:val="009C64CC"/>
    <w:rsid w:val="009C79AD"/>
    <w:rsid w:val="009C7A03"/>
    <w:rsid w:val="009D0335"/>
    <w:rsid w:val="009D2508"/>
    <w:rsid w:val="009D363A"/>
    <w:rsid w:val="009D37D2"/>
    <w:rsid w:val="009D3DA2"/>
    <w:rsid w:val="009D47AC"/>
    <w:rsid w:val="009D4E2D"/>
    <w:rsid w:val="009D51E8"/>
    <w:rsid w:val="009D5C39"/>
    <w:rsid w:val="009D6C16"/>
    <w:rsid w:val="009D7263"/>
    <w:rsid w:val="009D7321"/>
    <w:rsid w:val="009D745C"/>
    <w:rsid w:val="009E0074"/>
    <w:rsid w:val="009E013A"/>
    <w:rsid w:val="009E03F3"/>
    <w:rsid w:val="009E0ACD"/>
    <w:rsid w:val="009E1F33"/>
    <w:rsid w:val="009E425B"/>
    <w:rsid w:val="009E51C0"/>
    <w:rsid w:val="009E5327"/>
    <w:rsid w:val="009E6205"/>
    <w:rsid w:val="009E63E8"/>
    <w:rsid w:val="009E66F7"/>
    <w:rsid w:val="009E69EF"/>
    <w:rsid w:val="009E6B90"/>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2A2"/>
    <w:rsid w:val="00A033BB"/>
    <w:rsid w:val="00A03D1A"/>
    <w:rsid w:val="00A03E8F"/>
    <w:rsid w:val="00A0428E"/>
    <w:rsid w:val="00A046F1"/>
    <w:rsid w:val="00A04956"/>
    <w:rsid w:val="00A0549E"/>
    <w:rsid w:val="00A05AA7"/>
    <w:rsid w:val="00A06472"/>
    <w:rsid w:val="00A06780"/>
    <w:rsid w:val="00A10862"/>
    <w:rsid w:val="00A10E25"/>
    <w:rsid w:val="00A115D7"/>
    <w:rsid w:val="00A119CF"/>
    <w:rsid w:val="00A12853"/>
    <w:rsid w:val="00A12CC4"/>
    <w:rsid w:val="00A13843"/>
    <w:rsid w:val="00A13DFB"/>
    <w:rsid w:val="00A13FE8"/>
    <w:rsid w:val="00A140DE"/>
    <w:rsid w:val="00A14634"/>
    <w:rsid w:val="00A15343"/>
    <w:rsid w:val="00A16A32"/>
    <w:rsid w:val="00A16D1F"/>
    <w:rsid w:val="00A17397"/>
    <w:rsid w:val="00A173FC"/>
    <w:rsid w:val="00A1749E"/>
    <w:rsid w:val="00A17F10"/>
    <w:rsid w:val="00A207E2"/>
    <w:rsid w:val="00A20856"/>
    <w:rsid w:val="00A20CD2"/>
    <w:rsid w:val="00A21616"/>
    <w:rsid w:val="00A21C40"/>
    <w:rsid w:val="00A21D69"/>
    <w:rsid w:val="00A21DA5"/>
    <w:rsid w:val="00A22328"/>
    <w:rsid w:val="00A223AA"/>
    <w:rsid w:val="00A228C0"/>
    <w:rsid w:val="00A22E58"/>
    <w:rsid w:val="00A22F56"/>
    <w:rsid w:val="00A2426D"/>
    <w:rsid w:val="00A24FB8"/>
    <w:rsid w:val="00A260ED"/>
    <w:rsid w:val="00A30051"/>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070A"/>
    <w:rsid w:val="00A51C05"/>
    <w:rsid w:val="00A51D06"/>
    <w:rsid w:val="00A52252"/>
    <w:rsid w:val="00A524D1"/>
    <w:rsid w:val="00A5267E"/>
    <w:rsid w:val="00A52D6B"/>
    <w:rsid w:val="00A5370E"/>
    <w:rsid w:val="00A54851"/>
    <w:rsid w:val="00A54B30"/>
    <w:rsid w:val="00A54C58"/>
    <w:rsid w:val="00A56A25"/>
    <w:rsid w:val="00A570FA"/>
    <w:rsid w:val="00A57955"/>
    <w:rsid w:val="00A60E51"/>
    <w:rsid w:val="00A60F71"/>
    <w:rsid w:val="00A6129B"/>
    <w:rsid w:val="00A61B38"/>
    <w:rsid w:val="00A61DF7"/>
    <w:rsid w:val="00A63A59"/>
    <w:rsid w:val="00A64AB2"/>
    <w:rsid w:val="00A65FDE"/>
    <w:rsid w:val="00A72319"/>
    <w:rsid w:val="00A7270E"/>
    <w:rsid w:val="00A727F1"/>
    <w:rsid w:val="00A73822"/>
    <w:rsid w:val="00A73EDC"/>
    <w:rsid w:val="00A74F5C"/>
    <w:rsid w:val="00A766F3"/>
    <w:rsid w:val="00A77D81"/>
    <w:rsid w:val="00A77E1A"/>
    <w:rsid w:val="00A8043B"/>
    <w:rsid w:val="00A80682"/>
    <w:rsid w:val="00A80CE8"/>
    <w:rsid w:val="00A82D49"/>
    <w:rsid w:val="00A832D7"/>
    <w:rsid w:val="00A8358C"/>
    <w:rsid w:val="00A83592"/>
    <w:rsid w:val="00A8373F"/>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4E46"/>
    <w:rsid w:val="00AA5121"/>
    <w:rsid w:val="00AA5956"/>
    <w:rsid w:val="00AA5994"/>
    <w:rsid w:val="00AA5B6C"/>
    <w:rsid w:val="00AA70D2"/>
    <w:rsid w:val="00AB03AC"/>
    <w:rsid w:val="00AB0892"/>
    <w:rsid w:val="00AB0B4A"/>
    <w:rsid w:val="00AB0DFF"/>
    <w:rsid w:val="00AB3FB3"/>
    <w:rsid w:val="00AB4AA7"/>
    <w:rsid w:val="00AB4EF7"/>
    <w:rsid w:val="00AB6EEA"/>
    <w:rsid w:val="00AC0D99"/>
    <w:rsid w:val="00AC0F80"/>
    <w:rsid w:val="00AC118A"/>
    <w:rsid w:val="00AC1EA2"/>
    <w:rsid w:val="00AC24B0"/>
    <w:rsid w:val="00AC2D2F"/>
    <w:rsid w:val="00AC47DD"/>
    <w:rsid w:val="00AC4D76"/>
    <w:rsid w:val="00AC56E7"/>
    <w:rsid w:val="00AC6021"/>
    <w:rsid w:val="00AC614B"/>
    <w:rsid w:val="00AC79F2"/>
    <w:rsid w:val="00AC7B02"/>
    <w:rsid w:val="00AD01AC"/>
    <w:rsid w:val="00AD1821"/>
    <w:rsid w:val="00AD2776"/>
    <w:rsid w:val="00AD6705"/>
    <w:rsid w:val="00AD6FCE"/>
    <w:rsid w:val="00AD7476"/>
    <w:rsid w:val="00AD7F4C"/>
    <w:rsid w:val="00AE06BD"/>
    <w:rsid w:val="00AE06EC"/>
    <w:rsid w:val="00AE38AB"/>
    <w:rsid w:val="00AE53D5"/>
    <w:rsid w:val="00AE5476"/>
    <w:rsid w:val="00AE5D03"/>
    <w:rsid w:val="00AE62EA"/>
    <w:rsid w:val="00AE75EF"/>
    <w:rsid w:val="00AE78F3"/>
    <w:rsid w:val="00AF091B"/>
    <w:rsid w:val="00AF113D"/>
    <w:rsid w:val="00AF1A00"/>
    <w:rsid w:val="00AF3CEB"/>
    <w:rsid w:val="00AF3EB7"/>
    <w:rsid w:val="00AF4849"/>
    <w:rsid w:val="00AF4AE7"/>
    <w:rsid w:val="00AF4B9E"/>
    <w:rsid w:val="00AF4D70"/>
    <w:rsid w:val="00AF5521"/>
    <w:rsid w:val="00AF60FB"/>
    <w:rsid w:val="00AF7C12"/>
    <w:rsid w:val="00B00C9E"/>
    <w:rsid w:val="00B00ED7"/>
    <w:rsid w:val="00B0264A"/>
    <w:rsid w:val="00B0291F"/>
    <w:rsid w:val="00B02C04"/>
    <w:rsid w:val="00B02C2F"/>
    <w:rsid w:val="00B034D6"/>
    <w:rsid w:val="00B03B24"/>
    <w:rsid w:val="00B03DDF"/>
    <w:rsid w:val="00B04F21"/>
    <w:rsid w:val="00B05234"/>
    <w:rsid w:val="00B05306"/>
    <w:rsid w:val="00B056E4"/>
    <w:rsid w:val="00B05B94"/>
    <w:rsid w:val="00B06003"/>
    <w:rsid w:val="00B076ED"/>
    <w:rsid w:val="00B10B00"/>
    <w:rsid w:val="00B11B4C"/>
    <w:rsid w:val="00B11B8E"/>
    <w:rsid w:val="00B14837"/>
    <w:rsid w:val="00B149AA"/>
    <w:rsid w:val="00B14B3C"/>
    <w:rsid w:val="00B15609"/>
    <w:rsid w:val="00B16527"/>
    <w:rsid w:val="00B16B0B"/>
    <w:rsid w:val="00B173A2"/>
    <w:rsid w:val="00B17562"/>
    <w:rsid w:val="00B17B9C"/>
    <w:rsid w:val="00B200F3"/>
    <w:rsid w:val="00B20781"/>
    <w:rsid w:val="00B20AFE"/>
    <w:rsid w:val="00B20F0D"/>
    <w:rsid w:val="00B211D4"/>
    <w:rsid w:val="00B2132A"/>
    <w:rsid w:val="00B21EFC"/>
    <w:rsid w:val="00B22017"/>
    <w:rsid w:val="00B22FCF"/>
    <w:rsid w:val="00B235A8"/>
    <w:rsid w:val="00B2420A"/>
    <w:rsid w:val="00B26342"/>
    <w:rsid w:val="00B2664A"/>
    <w:rsid w:val="00B26929"/>
    <w:rsid w:val="00B26C1C"/>
    <w:rsid w:val="00B26E73"/>
    <w:rsid w:val="00B27154"/>
    <w:rsid w:val="00B27628"/>
    <w:rsid w:val="00B3047B"/>
    <w:rsid w:val="00B31E4B"/>
    <w:rsid w:val="00B328F5"/>
    <w:rsid w:val="00B33055"/>
    <w:rsid w:val="00B33297"/>
    <w:rsid w:val="00B341F9"/>
    <w:rsid w:val="00B34F3E"/>
    <w:rsid w:val="00B35619"/>
    <w:rsid w:val="00B36038"/>
    <w:rsid w:val="00B36A1A"/>
    <w:rsid w:val="00B375B2"/>
    <w:rsid w:val="00B37DD9"/>
    <w:rsid w:val="00B413CC"/>
    <w:rsid w:val="00B4160D"/>
    <w:rsid w:val="00B42339"/>
    <w:rsid w:val="00B424C7"/>
    <w:rsid w:val="00B4275E"/>
    <w:rsid w:val="00B42C26"/>
    <w:rsid w:val="00B43CD0"/>
    <w:rsid w:val="00B43DFF"/>
    <w:rsid w:val="00B43EBB"/>
    <w:rsid w:val="00B44267"/>
    <w:rsid w:val="00B45A37"/>
    <w:rsid w:val="00B462ED"/>
    <w:rsid w:val="00B46537"/>
    <w:rsid w:val="00B5029A"/>
    <w:rsid w:val="00B507B2"/>
    <w:rsid w:val="00B51E2D"/>
    <w:rsid w:val="00B53BDD"/>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974"/>
    <w:rsid w:val="00B67790"/>
    <w:rsid w:val="00B67C37"/>
    <w:rsid w:val="00B705FE"/>
    <w:rsid w:val="00B7094C"/>
    <w:rsid w:val="00B7225A"/>
    <w:rsid w:val="00B72A7E"/>
    <w:rsid w:val="00B73EEB"/>
    <w:rsid w:val="00B7408F"/>
    <w:rsid w:val="00B74321"/>
    <w:rsid w:val="00B755FE"/>
    <w:rsid w:val="00B75A6A"/>
    <w:rsid w:val="00B75B7C"/>
    <w:rsid w:val="00B75E01"/>
    <w:rsid w:val="00B76565"/>
    <w:rsid w:val="00B810A6"/>
    <w:rsid w:val="00B81AB1"/>
    <w:rsid w:val="00B82C79"/>
    <w:rsid w:val="00B82EB4"/>
    <w:rsid w:val="00B84055"/>
    <w:rsid w:val="00B8429E"/>
    <w:rsid w:val="00B8496B"/>
    <w:rsid w:val="00B860AD"/>
    <w:rsid w:val="00B903E3"/>
    <w:rsid w:val="00B90439"/>
    <w:rsid w:val="00B904C2"/>
    <w:rsid w:val="00B92E14"/>
    <w:rsid w:val="00B92E2E"/>
    <w:rsid w:val="00B93A29"/>
    <w:rsid w:val="00B949F0"/>
    <w:rsid w:val="00B94BB4"/>
    <w:rsid w:val="00B96E7C"/>
    <w:rsid w:val="00B9723B"/>
    <w:rsid w:val="00BA0588"/>
    <w:rsid w:val="00BA0903"/>
    <w:rsid w:val="00BA1483"/>
    <w:rsid w:val="00BA184E"/>
    <w:rsid w:val="00BA221F"/>
    <w:rsid w:val="00BA2F49"/>
    <w:rsid w:val="00BA327F"/>
    <w:rsid w:val="00BA38F2"/>
    <w:rsid w:val="00BA401C"/>
    <w:rsid w:val="00BA574E"/>
    <w:rsid w:val="00BA5FBC"/>
    <w:rsid w:val="00BA607B"/>
    <w:rsid w:val="00BA6266"/>
    <w:rsid w:val="00BA78C7"/>
    <w:rsid w:val="00BA7927"/>
    <w:rsid w:val="00BA7AE5"/>
    <w:rsid w:val="00BB0495"/>
    <w:rsid w:val="00BB1344"/>
    <w:rsid w:val="00BB1D4A"/>
    <w:rsid w:val="00BB2F5A"/>
    <w:rsid w:val="00BB35C6"/>
    <w:rsid w:val="00BB3724"/>
    <w:rsid w:val="00BB3A62"/>
    <w:rsid w:val="00BB56FA"/>
    <w:rsid w:val="00BB5EF5"/>
    <w:rsid w:val="00BB69C8"/>
    <w:rsid w:val="00BC1041"/>
    <w:rsid w:val="00BC1ED0"/>
    <w:rsid w:val="00BC39D5"/>
    <w:rsid w:val="00BC7063"/>
    <w:rsid w:val="00BC73AB"/>
    <w:rsid w:val="00BD138A"/>
    <w:rsid w:val="00BD1F09"/>
    <w:rsid w:val="00BD1F42"/>
    <w:rsid w:val="00BD20DD"/>
    <w:rsid w:val="00BD27C2"/>
    <w:rsid w:val="00BD2907"/>
    <w:rsid w:val="00BD3A5E"/>
    <w:rsid w:val="00BD486C"/>
    <w:rsid w:val="00BD6168"/>
    <w:rsid w:val="00BD61A3"/>
    <w:rsid w:val="00BD67F8"/>
    <w:rsid w:val="00BD6B8C"/>
    <w:rsid w:val="00BD6DDB"/>
    <w:rsid w:val="00BE2B70"/>
    <w:rsid w:val="00BE3C7F"/>
    <w:rsid w:val="00BE61F8"/>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10AE"/>
    <w:rsid w:val="00C010D5"/>
    <w:rsid w:val="00C02A93"/>
    <w:rsid w:val="00C05755"/>
    <w:rsid w:val="00C06B36"/>
    <w:rsid w:val="00C06E5D"/>
    <w:rsid w:val="00C071A7"/>
    <w:rsid w:val="00C074E8"/>
    <w:rsid w:val="00C07C94"/>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C0F"/>
    <w:rsid w:val="00C16CAD"/>
    <w:rsid w:val="00C20FE8"/>
    <w:rsid w:val="00C22453"/>
    <w:rsid w:val="00C229B2"/>
    <w:rsid w:val="00C2463A"/>
    <w:rsid w:val="00C252D9"/>
    <w:rsid w:val="00C2593E"/>
    <w:rsid w:val="00C2596A"/>
    <w:rsid w:val="00C263D3"/>
    <w:rsid w:val="00C26569"/>
    <w:rsid w:val="00C26AB4"/>
    <w:rsid w:val="00C27053"/>
    <w:rsid w:val="00C27D9E"/>
    <w:rsid w:val="00C30B78"/>
    <w:rsid w:val="00C32E15"/>
    <w:rsid w:val="00C33017"/>
    <w:rsid w:val="00C3330B"/>
    <w:rsid w:val="00C33DDF"/>
    <w:rsid w:val="00C34566"/>
    <w:rsid w:val="00C349D9"/>
    <w:rsid w:val="00C357F0"/>
    <w:rsid w:val="00C37011"/>
    <w:rsid w:val="00C40C52"/>
    <w:rsid w:val="00C414D4"/>
    <w:rsid w:val="00C42A4B"/>
    <w:rsid w:val="00C43046"/>
    <w:rsid w:val="00C43D09"/>
    <w:rsid w:val="00C43E31"/>
    <w:rsid w:val="00C4514C"/>
    <w:rsid w:val="00C45374"/>
    <w:rsid w:val="00C453BE"/>
    <w:rsid w:val="00C45936"/>
    <w:rsid w:val="00C46898"/>
    <w:rsid w:val="00C46B2D"/>
    <w:rsid w:val="00C46B64"/>
    <w:rsid w:val="00C4724E"/>
    <w:rsid w:val="00C47CB9"/>
    <w:rsid w:val="00C50205"/>
    <w:rsid w:val="00C51740"/>
    <w:rsid w:val="00C51992"/>
    <w:rsid w:val="00C52D4A"/>
    <w:rsid w:val="00C53392"/>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6CB3"/>
    <w:rsid w:val="00C775F9"/>
    <w:rsid w:val="00C77E56"/>
    <w:rsid w:val="00C803D9"/>
    <w:rsid w:val="00C81152"/>
    <w:rsid w:val="00C81894"/>
    <w:rsid w:val="00C81AC4"/>
    <w:rsid w:val="00C827D8"/>
    <w:rsid w:val="00C8409A"/>
    <w:rsid w:val="00C842F0"/>
    <w:rsid w:val="00C843F0"/>
    <w:rsid w:val="00C85194"/>
    <w:rsid w:val="00C85249"/>
    <w:rsid w:val="00C85D5A"/>
    <w:rsid w:val="00C865A8"/>
    <w:rsid w:val="00C86959"/>
    <w:rsid w:val="00C873F4"/>
    <w:rsid w:val="00C87F3D"/>
    <w:rsid w:val="00C902DE"/>
    <w:rsid w:val="00C9058F"/>
    <w:rsid w:val="00C93095"/>
    <w:rsid w:val="00C938CF"/>
    <w:rsid w:val="00C94FDF"/>
    <w:rsid w:val="00C95A13"/>
    <w:rsid w:val="00C95B24"/>
    <w:rsid w:val="00C96430"/>
    <w:rsid w:val="00C96627"/>
    <w:rsid w:val="00C96D93"/>
    <w:rsid w:val="00C9783D"/>
    <w:rsid w:val="00C97AAA"/>
    <w:rsid w:val="00C97B5F"/>
    <w:rsid w:val="00C97FDB"/>
    <w:rsid w:val="00CA0354"/>
    <w:rsid w:val="00CA041E"/>
    <w:rsid w:val="00CA0791"/>
    <w:rsid w:val="00CA085D"/>
    <w:rsid w:val="00CA14CE"/>
    <w:rsid w:val="00CA1DB5"/>
    <w:rsid w:val="00CA1E32"/>
    <w:rsid w:val="00CA1EFC"/>
    <w:rsid w:val="00CA29EC"/>
    <w:rsid w:val="00CA46CA"/>
    <w:rsid w:val="00CA5789"/>
    <w:rsid w:val="00CA60F4"/>
    <w:rsid w:val="00CA61C9"/>
    <w:rsid w:val="00CA680B"/>
    <w:rsid w:val="00CA6D0E"/>
    <w:rsid w:val="00CA70EF"/>
    <w:rsid w:val="00CA7C91"/>
    <w:rsid w:val="00CB2501"/>
    <w:rsid w:val="00CB39E0"/>
    <w:rsid w:val="00CB3BA5"/>
    <w:rsid w:val="00CB3E90"/>
    <w:rsid w:val="00CB3F60"/>
    <w:rsid w:val="00CB4D0E"/>
    <w:rsid w:val="00CB5F33"/>
    <w:rsid w:val="00CB68A7"/>
    <w:rsid w:val="00CB6C62"/>
    <w:rsid w:val="00CB7462"/>
    <w:rsid w:val="00CB7710"/>
    <w:rsid w:val="00CB7765"/>
    <w:rsid w:val="00CC0B78"/>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3DF0"/>
    <w:rsid w:val="00CE3ED3"/>
    <w:rsid w:val="00CE5298"/>
    <w:rsid w:val="00CE5995"/>
    <w:rsid w:val="00CE61B1"/>
    <w:rsid w:val="00CE701B"/>
    <w:rsid w:val="00CE71D7"/>
    <w:rsid w:val="00CE7AA0"/>
    <w:rsid w:val="00CF229F"/>
    <w:rsid w:val="00CF258E"/>
    <w:rsid w:val="00CF2B39"/>
    <w:rsid w:val="00CF40EA"/>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268"/>
    <w:rsid w:val="00D05BBC"/>
    <w:rsid w:val="00D06F0E"/>
    <w:rsid w:val="00D0760C"/>
    <w:rsid w:val="00D076E6"/>
    <w:rsid w:val="00D077DA"/>
    <w:rsid w:val="00D10D24"/>
    <w:rsid w:val="00D11194"/>
    <w:rsid w:val="00D11392"/>
    <w:rsid w:val="00D11FA9"/>
    <w:rsid w:val="00D12082"/>
    <w:rsid w:val="00D13012"/>
    <w:rsid w:val="00D1440D"/>
    <w:rsid w:val="00D159C4"/>
    <w:rsid w:val="00D17E00"/>
    <w:rsid w:val="00D17E10"/>
    <w:rsid w:val="00D207D4"/>
    <w:rsid w:val="00D21C3F"/>
    <w:rsid w:val="00D22FD5"/>
    <w:rsid w:val="00D2369D"/>
    <w:rsid w:val="00D23769"/>
    <w:rsid w:val="00D23EE7"/>
    <w:rsid w:val="00D26F58"/>
    <w:rsid w:val="00D31438"/>
    <w:rsid w:val="00D32E03"/>
    <w:rsid w:val="00D3382F"/>
    <w:rsid w:val="00D338BB"/>
    <w:rsid w:val="00D33EE7"/>
    <w:rsid w:val="00D33F62"/>
    <w:rsid w:val="00D341DC"/>
    <w:rsid w:val="00D35312"/>
    <w:rsid w:val="00D35DF4"/>
    <w:rsid w:val="00D3649E"/>
    <w:rsid w:val="00D37305"/>
    <w:rsid w:val="00D376C0"/>
    <w:rsid w:val="00D37993"/>
    <w:rsid w:val="00D4196F"/>
    <w:rsid w:val="00D42C25"/>
    <w:rsid w:val="00D446C9"/>
    <w:rsid w:val="00D44CDB"/>
    <w:rsid w:val="00D45D66"/>
    <w:rsid w:val="00D46150"/>
    <w:rsid w:val="00D46968"/>
    <w:rsid w:val="00D47EDB"/>
    <w:rsid w:val="00D51393"/>
    <w:rsid w:val="00D51672"/>
    <w:rsid w:val="00D51A92"/>
    <w:rsid w:val="00D52E5E"/>
    <w:rsid w:val="00D52EF1"/>
    <w:rsid w:val="00D5324B"/>
    <w:rsid w:val="00D53CD8"/>
    <w:rsid w:val="00D553B3"/>
    <w:rsid w:val="00D55E23"/>
    <w:rsid w:val="00D56109"/>
    <w:rsid w:val="00D568DC"/>
    <w:rsid w:val="00D57375"/>
    <w:rsid w:val="00D57693"/>
    <w:rsid w:val="00D576AA"/>
    <w:rsid w:val="00D5777B"/>
    <w:rsid w:val="00D57E34"/>
    <w:rsid w:val="00D608B5"/>
    <w:rsid w:val="00D60AD5"/>
    <w:rsid w:val="00D60B1C"/>
    <w:rsid w:val="00D6148A"/>
    <w:rsid w:val="00D61911"/>
    <w:rsid w:val="00D6608B"/>
    <w:rsid w:val="00D6627E"/>
    <w:rsid w:val="00D663C7"/>
    <w:rsid w:val="00D66825"/>
    <w:rsid w:val="00D66FFB"/>
    <w:rsid w:val="00D67994"/>
    <w:rsid w:val="00D7074C"/>
    <w:rsid w:val="00D70F76"/>
    <w:rsid w:val="00D716D2"/>
    <w:rsid w:val="00D71C18"/>
    <w:rsid w:val="00D738B5"/>
    <w:rsid w:val="00D74158"/>
    <w:rsid w:val="00D77290"/>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056"/>
    <w:rsid w:val="00D9718A"/>
    <w:rsid w:val="00D97E1A"/>
    <w:rsid w:val="00DA11B6"/>
    <w:rsid w:val="00DA18AA"/>
    <w:rsid w:val="00DA1B54"/>
    <w:rsid w:val="00DA1BE2"/>
    <w:rsid w:val="00DA1F0E"/>
    <w:rsid w:val="00DA32FC"/>
    <w:rsid w:val="00DA495B"/>
    <w:rsid w:val="00DA556F"/>
    <w:rsid w:val="00DA74E7"/>
    <w:rsid w:val="00DA7CF8"/>
    <w:rsid w:val="00DA7D2B"/>
    <w:rsid w:val="00DA7FE2"/>
    <w:rsid w:val="00DB0F71"/>
    <w:rsid w:val="00DB16A2"/>
    <w:rsid w:val="00DB17B4"/>
    <w:rsid w:val="00DB2646"/>
    <w:rsid w:val="00DB307C"/>
    <w:rsid w:val="00DB3894"/>
    <w:rsid w:val="00DB3A0B"/>
    <w:rsid w:val="00DB4C26"/>
    <w:rsid w:val="00DB6FBB"/>
    <w:rsid w:val="00DB73E4"/>
    <w:rsid w:val="00DB7AD3"/>
    <w:rsid w:val="00DB7E20"/>
    <w:rsid w:val="00DC1372"/>
    <w:rsid w:val="00DC186D"/>
    <w:rsid w:val="00DC1C08"/>
    <w:rsid w:val="00DC1E0D"/>
    <w:rsid w:val="00DC321B"/>
    <w:rsid w:val="00DC34D0"/>
    <w:rsid w:val="00DC3E3C"/>
    <w:rsid w:val="00DC41FC"/>
    <w:rsid w:val="00DC45AD"/>
    <w:rsid w:val="00DC497C"/>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557"/>
    <w:rsid w:val="00DE7BDF"/>
    <w:rsid w:val="00DF10A4"/>
    <w:rsid w:val="00DF1343"/>
    <w:rsid w:val="00DF2C5C"/>
    <w:rsid w:val="00DF4572"/>
    <w:rsid w:val="00DF614A"/>
    <w:rsid w:val="00DF7B85"/>
    <w:rsid w:val="00DF7D60"/>
    <w:rsid w:val="00DF7ED7"/>
    <w:rsid w:val="00E01F65"/>
    <w:rsid w:val="00E0204C"/>
    <w:rsid w:val="00E03A22"/>
    <w:rsid w:val="00E03C2B"/>
    <w:rsid w:val="00E048B4"/>
    <w:rsid w:val="00E04926"/>
    <w:rsid w:val="00E04A3E"/>
    <w:rsid w:val="00E053AE"/>
    <w:rsid w:val="00E0617C"/>
    <w:rsid w:val="00E074F0"/>
    <w:rsid w:val="00E07FFD"/>
    <w:rsid w:val="00E10D7F"/>
    <w:rsid w:val="00E12C19"/>
    <w:rsid w:val="00E12FB6"/>
    <w:rsid w:val="00E138DB"/>
    <w:rsid w:val="00E13C60"/>
    <w:rsid w:val="00E14205"/>
    <w:rsid w:val="00E14CF1"/>
    <w:rsid w:val="00E15148"/>
    <w:rsid w:val="00E15F47"/>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84"/>
    <w:rsid w:val="00E260FB"/>
    <w:rsid w:val="00E267CE"/>
    <w:rsid w:val="00E26817"/>
    <w:rsid w:val="00E27BE9"/>
    <w:rsid w:val="00E3087F"/>
    <w:rsid w:val="00E309D6"/>
    <w:rsid w:val="00E30AA8"/>
    <w:rsid w:val="00E31247"/>
    <w:rsid w:val="00E32342"/>
    <w:rsid w:val="00E333EC"/>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503E"/>
    <w:rsid w:val="00E4550D"/>
    <w:rsid w:val="00E464DF"/>
    <w:rsid w:val="00E472A8"/>
    <w:rsid w:val="00E507D1"/>
    <w:rsid w:val="00E50E29"/>
    <w:rsid w:val="00E51A96"/>
    <w:rsid w:val="00E52518"/>
    <w:rsid w:val="00E531EB"/>
    <w:rsid w:val="00E5359B"/>
    <w:rsid w:val="00E535DF"/>
    <w:rsid w:val="00E553E7"/>
    <w:rsid w:val="00E555FA"/>
    <w:rsid w:val="00E55AD4"/>
    <w:rsid w:val="00E5704C"/>
    <w:rsid w:val="00E61A39"/>
    <w:rsid w:val="00E61BBA"/>
    <w:rsid w:val="00E61BBC"/>
    <w:rsid w:val="00E62519"/>
    <w:rsid w:val="00E62920"/>
    <w:rsid w:val="00E62FE6"/>
    <w:rsid w:val="00E6492A"/>
    <w:rsid w:val="00E658CE"/>
    <w:rsid w:val="00E66EA9"/>
    <w:rsid w:val="00E677BE"/>
    <w:rsid w:val="00E67E88"/>
    <w:rsid w:val="00E71FAB"/>
    <w:rsid w:val="00E72056"/>
    <w:rsid w:val="00E7221E"/>
    <w:rsid w:val="00E7242C"/>
    <w:rsid w:val="00E729BB"/>
    <w:rsid w:val="00E72AAE"/>
    <w:rsid w:val="00E72B09"/>
    <w:rsid w:val="00E72F07"/>
    <w:rsid w:val="00E7311B"/>
    <w:rsid w:val="00E738AB"/>
    <w:rsid w:val="00E75135"/>
    <w:rsid w:val="00E7641E"/>
    <w:rsid w:val="00E76712"/>
    <w:rsid w:val="00E76CA3"/>
    <w:rsid w:val="00E8039D"/>
    <w:rsid w:val="00E8148D"/>
    <w:rsid w:val="00E81518"/>
    <w:rsid w:val="00E8208A"/>
    <w:rsid w:val="00E82475"/>
    <w:rsid w:val="00E824B1"/>
    <w:rsid w:val="00E83E8D"/>
    <w:rsid w:val="00E856C3"/>
    <w:rsid w:val="00E85ADD"/>
    <w:rsid w:val="00E86E87"/>
    <w:rsid w:val="00E87129"/>
    <w:rsid w:val="00E87449"/>
    <w:rsid w:val="00E876AF"/>
    <w:rsid w:val="00E9037C"/>
    <w:rsid w:val="00E90458"/>
    <w:rsid w:val="00E91199"/>
    <w:rsid w:val="00E9288B"/>
    <w:rsid w:val="00E9421B"/>
    <w:rsid w:val="00E94ABC"/>
    <w:rsid w:val="00E95202"/>
    <w:rsid w:val="00E952A7"/>
    <w:rsid w:val="00E95E1B"/>
    <w:rsid w:val="00E962BC"/>
    <w:rsid w:val="00E9661F"/>
    <w:rsid w:val="00E96872"/>
    <w:rsid w:val="00E96D0E"/>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083E"/>
    <w:rsid w:val="00EB2C18"/>
    <w:rsid w:val="00EB2C92"/>
    <w:rsid w:val="00EB33FA"/>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FB5"/>
    <w:rsid w:val="00EF4193"/>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31D"/>
    <w:rsid w:val="00F03F47"/>
    <w:rsid w:val="00F04595"/>
    <w:rsid w:val="00F05EE2"/>
    <w:rsid w:val="00F06439"/>
    <w:rsid w:val="00F06569"/>
    <w:rsid w:val="00F0772A"/>
    <w:rsid w:val="00F07DA8"/>
    <w:rsid w:val="00F10565"/>
    <w:rsid w:val="00F10DB3"/>
    <w:rsid w:val="00F1101C"/>
    <w:rsid w:val="00F11EB3"/>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CF"/>
    <w:rsid w:val="00F31AF1"/>
    <w:rsid w:val="00F31C5E"/>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220C"/>
    <w:rsid w:val="00F52BE6"/>
    <w:rsid w:val="00F53995"/>
    <w:rsid w:val="00F53A2C"/>
    <w:rsid w:val="00F546AE"/>
    <w:rsid w:val="00F561DF"/>
    <w:rsid w:val="00F567F4"/>
    <w:rsid w:val="00F574BB"/>
    <w:rsid w:val="00F60C31"/>
    <w:rsid w:val="00F60F89"/>
    <w:rsid w:val="00F61531"/>
    <w:rsid w:val="00F644C2"/>
    <w:rsid w:val="00F648D6"/>
    <w:rsid w:val="00F64B26"/>
    <w:rsid w:val="00F66EF3"/>
    <w:rsid w:val="00F66F44"/>
    <w:rsid w:val="00F70954"/>
    <w:rsid w:val="00F72258"/>
    <w:rsid w:val="00F72A90"/>
    <w:rsid w:val="00F74A5D"/>
    <w:rsid w:val="00F75882"/>
    <w:rsid w:val="00F7665C"/>
    <w:rsid w:val="00F76A03"/>
    <w:rsid w:val="00F76C5B"/>
    <w:rsid w:val="00F8053A"/>
    <w:rsid w:val="00F80B0D"/>
    <w:rsid w:val="00F80E32"/>
    <w:rsid w:val="00F824CA"/>
    <w:rsid w:val="00F82F0A"/>
    <w:rsid w:val="00F83AF7"/>
    <w:rsid w:val="00F846B8"/>
    <w:rsid w:val="00F84882"/>
    <w:rsid w:val="00F84F52"/>
    <w:rsid w:val="00F84F60"/>
    <w:rsid w:val="00F8532C"/>
    <w:rsid w:val="00F858C6"/>
    <w:rsid w:val="00F8649E"/>
    <w:rsid w:val="00F87273"/>
    <w:rsid w:val="00F87CF3"/>
    <w:rsid w:val="00F90464"/>
    <w:rsid w:val="00F90ED0"/>
    <w:rsid w:val="00F91A03"/>
    <w:rsid w:val="00F91A66"/>
    <w:rsid w:val="00F92818"/>
    <w:rsid w:val="00F92A92"/>
    <w:rsid w:val="00F92AF5"/>
    <w:rsid w:val="00F92CE8"/>
    <w:rsid w:val="00F93EA8"/>
    <w:rsid w:val="00F94907"/>
    <w:rsid w:val="00F94BBC"/>
    <w:rsid w:val="00F967B0"/>
    <w:rsid w:val="00F96A33"/>
    <w:rsid w:val="00FA055D"/>
    <w:rsid w:val="00FA089C"/>
    <w:rsid w:val="00FA1820"/>
    <w:rsid w:val="00FA198B"/>
    <w:rsid w:val="00FA35D2"/>
    <w:rsid w:val="00FA3BF1"/>
    <w:rsid w:val="00FA4097"/>
    <w:rsid w:val="00FA7360"/>
    <w:rsid w:val="00FA738F"/>
    <w:rsid w:val="00FB2364"/>
    <w:rsid w:val="00FB2D63"/>
    <w:rsid w:val="00FB3053"/>
    <w:rsid w:val="00FB3BA3"/>
    <w:rsid w:val="00FB3CC3"/>
    <w:rsid w:val="00FB4099"/>
    <w:rsid w:val="00FB4520"/>
    <w:rsid w:val="00FB4C02"/>
    <w:rsid w:val="00FB4CAC"/>
    <w:rsid w:val="00FB4CCC"/>
    <w:rsid w:val="00FB6031"/>
    <w:rsid w:val="00FB6F32"/>
    <w:rsid w:val="00FB71F5"/>
    <w:rsid w:val="00FB7376"/>
    <w:rsid w:val="00FB784A"/>
    <w:rsid w:val="00FC0E69"/>
    <w:rsid w:val="00FC1E0D"/>
    <w:rsid w:val="00FC24BB"/>
    <w:rsid w:val="00FC313F"/>
    <w:rsid w:val="00FC3F94"/>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94D"/>
    <w:rsid w:val="00FE4F1A"/>
    <w:rsid w:val="00FE51D1"/>
    <w:rsid w:val="00FE5640"/>
    <w:rsid w:val="00FE5BA4"/>
    <w:rsid w:val="00FE7B1A"/>
    <w:rsid w:val="00FE7B35"/>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uiPriority w:val="9"/>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C07C94"/>
    <w:pPr>
      <w:numPr>
        <w:numId w:val="1"/>
      </w:numPr>
      <w:tabs>
        <w:tab w:val="num" w:pos="567"/>
      </w:tabs>
      <w:spacing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uiPriority w:val="9"/>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tabs>
        <w:tab w:val="num" w:pos="567"/>
      </w:tabs>
    </w:pPr>
  </w:style>
  <w:style w:type="paragraph" w:customStyle="1" w:styleId="3">
    <w:name w:val="3"/>
    <w:basedOn w:val="2"/>
    <w:qFormat/>
    <w:rsid w:val="004D4DBF"/>
    <w:pPr>
      <w:numPr>
        <w:ilvl w:val="2"/>
      </w:numPr>
      <w:tabs>
        <w:tab w:val="num" w:pos="1701"/>
      </w:tabs>
    </w:pPr>
  </w:style>
  <w:style w:type="paragraph" w:customStyle="1" w:styleId="4">
    <w:name w:val="4"/>
    <w:basedOn w:val="2"/>
    <w:qFormat/>
    <w:rsid w:val="00300D09"/>
    <w:pPr>
      <w:numPr>
        <w:ilvl w:val="3"/>
      </w:numPr>
      <w:tabs>
        <w:tab w:val="num" w:pos="1701"/>
      </w:tabs>
    </w:pPr>
    <w:rPr>
      <w:iCs w:val="0"/>
    </w:rPr>
  </w:style>
  <w:style w:type="paragraph" w:customStyle="1" w:styleId="5">
    <w:name w:val="5"/>
    <w:basedOn w:val="4"/>
    <w:qFormat/>
    <w:rsid w:val="00300D09"/>
    <w:pPr>
      <w:numPr>
        <w:ilvl w:val="4"/>
      </w:numPr>
      <w:tabs>
        <w:tab w:val="num" w:pos="4536"/>
      </w:tabs>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aliases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aliases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aliases w:val="Second Level,Second Level Numbered"/>
    <w:basedOn w:val="ListNumber"/>
    <w:uiPriority w:val="99"/>
    <w:unhideWhenUsed/>
    <w:qFormat/>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C07C94"/>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paragraph" w:customStyle="1" w:styleId="Quote1">
    <w:name w:val="Quote1"/>
    <w:qFormat/>
    <w:rsid w:val="00972CDF"/>
    <w:pPr>
      <w:spacing w:before="240" w:after="240" w:line="360" w:lineRule="auto"/>
      <w:ind w:left="1701" w:right="567"/>
      <w:jc w:val="both"/>
    </w:pPr>
    <w:rPr>
      <w:rFonts w:ascii="Arial" w:eastAsia="Arial" w:hAnsi="Arial" w:cs="Arial"/>
      <w:i/>
      <w:iCs/>
      <w:sz w:val="24"/>
      <w:szCs w:val="24"/>
      <w:u w:color="0A5287"/>
    </w:rPr>
  </w:style>
  <w:style w:type="numbering" w:styleId="111111">
    <w:name w:val="Outline List 2"/>
    <w:aliases w:val="Work Numbering"/>
    <w:basedOn w:val="NoList"/>
    <w:uiPriority w:val="99"/>
    <w:semiHidden/>
    <w:unhideWhenUsed/>
    <w:rsid w:val="00972CDF"/>
    <w:pPr>
      <w:numPr>
        <w:numId w:val="22"/>
      </w:numPr>
    </w:pPr>
  </w:style>
  <w:style w:type="paragraph" w:styleId="ListNumber3">
    <w:name w:val="List Number 3"/>
    <w:aliases w:val="Third level Numbered,Third Level"/>
    <w:basedOn w:val="Normal"/>
    <w:autoRedefine/>
    <w:uiPriority w:val="99"/>
    <w:unhideWhenUsed/>
    <w:qFormat/>
    <w:rsid w:val="00972CDF"/>
    <w:pPr>
      <w:numPr>
        <w:ilvl w:val="3"/>
        <w:numId w:val="21"/>
      </w:numPr>
      <w:spacing w:before="240" w:after="240" w:line="360" w:lineRule="auto"/>
      <w:ind w:left="4536" w:hanging="1417"/>
    </w:pPr>
    <w:rPr>
      <w:rFonts w:eastAsiaTheme="minorHAnsi" w:cstheme="minorBidi"/>
    </w:rPr>
  </w:style>
  <w:style w:type="paragraph" w:customStyle="1" w:styleId="FirstlevelNumbered">
    <w:name w:val="First level Numbered"/>
    <w:basedOn w:val="ListNumber"/>
    <w:autoRedefine/>
    <w:qFormat/>
    <w:rsid w:val="00972CDF"/>
    <w:pPr>
      <w:numPr>
        <w:numId w:val="22"/>
      </w:numPr>
      <w:tabs>
        <w:tab w:val="num" w:pos="360"/>
      </w:tabs>
      <w:spacing w:before="240" w:after="240" w:line="480" w:lineRule="auto"/>
    </w:pPr>
    <w:rPr>
      <w:rFonts w:eastAsiaTheme="minorHAnsi" w:cstheme="minorBidi"/>
      <w:color w:val="000000" w:themeColor="text1"/>
    </w:rPr>
  </w:style>
  <w:style w:type="paragraph" w:styleId="Revision">
    <w:name w:val="Revision"/>
    <w:hidden/>
    <w:uiPriority w:val="99"/>
    <w:semiHidden/>
    <w:rsid w:val="003237FB"/>
    <w:rPr>
      <w:rFonts w:ascii="Arial" w:hAnsi="Arial"/>
      <w:sz w:val="24"/>
      <w:szCs w:val="24"/>
      <w:lang w:eastAsia="en-US"/>
    </w:rPr>
  </w:style>
  <w:style w:type="paragraph" w:customStyle="1" w:styleId="FirstLevel">
    <w:name w:val="First Level"/>
    <w:basedOn w:val="ListNumber"/>
    <w:qFormat/>
    <w:rsid w:val="004E5D90"/>
    <w:pPr>
      <w:numPr>
        <w:numId w:val="0"/>
      </w:numPr>
      <w:adjustRightInd w:val="0"/>
      <w:spacing w:before="240" w:after="240" w:line="480" w:lineRule="auto"/>
      <w:ind w:left="567" w:hanging="567"/>
    </w:pPr>
    <w:rPr>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29525658">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5B54-2A46-40A5-AA20-4C228706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7</TotalTime>
  <Pages>14</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Lilitha Mdleleni</cp:lastModifiedBy>
  <cp:revision>3</cp:revision>
  <cp:lastPrinted>2023-11-13T06:59:00Z</cp:lastPrinted>
  <dcterms:created xsi:type="dcterms:W3CDTF">2023-11-13T07:00:00Z</dcterms:created>
  <dcterms:modified xsi:type="dcterms:W3CDTF">2023-11-15T12:49:00Z</dcterms:modified>
</cp:coreProperties>
</file>