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141D" w14:textId="77777777" w:rsidR="00F172D0" w:rsidRDefault="00F172D0" w:rsidP="0067716B">
      <w:pPr>
        <w:spacing w:line="480" w:lineRule="auto"/>
        <w:rPr>
          <w:rFonts w:ascii="Arial" w:hAnsi="Arial" w:cs="Arial"/>
          <w:b/>
          <w:bCs/>
        </w:rPr>
      </w:pPr>
    </w:p>
    <w:p w14:paraId="2B7C2CBB" w14:textId="77777777" w:rsidR="007F3E52" w:rsidRPr="00CF2177" w:rsidRDefault="007F3E52" w:rsidP="007F3E52">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CF2177">
        <w:rPr>
          <w:rFonts w:ascii="Arial" w:eastAsia="Times New Roman" w:hAnsi="Arial" w:cs="Arial"/>
          <w:noProof/>
          <w:kern w:val="0"/>
          <w:sz w:val="24"/>
          <w:szCs w:val="24"/>
          <w:lang w:eastAsia="en-ZA"/>
          <w14:ligatures w14:val="none"/>
        </w:rPr>
        <w:drawing>
          <wp:inline distT="0" distB="0" distL="0" distR="0" wp14:anchorId="04AD6080" wp14:editId="0A5BB0E5">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5CCBC01" w14:textId="77777777" w:rsidR="007F3E52" w:rsidRPr="00CF2177" w:rsidRDefault="007F3E52" w:rsidP="007F3E52">
      <w:pPr>
        <w:spacing w:after="0" w:line="240" w:lineRule="auto"/>
        <w:jc w:val="center"/>
        <w:outlineLvl w:val="0"/>
        <w:rPr>
          <w:rFonts w:ascii="Arial" w:eastAsia="Times New Roman" w:hAnsi="Arial" w:cs="Arial"/>
          <w:b/>
          <w:kern w:val="0"/>
          <w:sz w:val="24"/>
          <w:szCs w:val="24"/>
          <w14:ligatures w14:val="none"/>
        </w:rPr>
      </w:pPr>
    </w:p>
    <w:p w14:paraId="2A554370" w14:textId="77777777" w:rsidR="007F3E52" w:rsidRPr="00CF2177" w:rsidRDefault="007F3E52" w:rsidP="007F3E52">
      <w:pPr>
        <w:spacing w:after="0" w:line="240" w:lineRule="auto"/>
        <w:jc w:val="center"/>
        <w:outlineLvl w:val="0"/>
        <w:rPr>
          <w:rFonts w:ascii="Arial" w:eastAsia="Times New Roman" w:hAnsi="Arial" w:cs="Arial"/>
          <w:b/>
          <w:kern w:val="0"/>
          <w:sz w:val="24"/>
          <w:szCs w:val="24"/>
          <w14:ligatures w14:val="none"/>
        </w:rPr>
      </w:pPr>
      <w:r w:rsidRPr="00CF2177">
        <w:rPr>
          <w:rFonts w:ascii="Arial" w:eastAsia="Times New Roman" w:hAnsi="Arial" w:cs="Arial"/>
          <w:b/>
          <w:kern w:val="0"/>
          <w:sz w:val="24"/>
          <w:szCs w:val="24"/>
          <w14:ligatures w14:val="none"/>
        </w:rPr>
        <w:t>IN THE HIGH COURT OF SOUTH AFRICA</w:t>
      </w:r>
    </w:p>
    <w:p w14:paraId="6D8D8F2E" w14:textId="26479AA4" w:rsidR="007F3E52" w:rsidRDefault="007F3E52" w:rsidP="007F3E52">
      <w:pPr>
        <w:spacing w:after="0" w:line="240" w:lineRule="auto"/>
        <w:jc w:val="center"/>
        <w:outlineLvl w:val="0"/>
        <w:rPr>
          <w:rFonts w:ascii="Arial" w:eastAsia="Times New Roman" w:hAnsi="Arial" w:cs="Arial"/>
          <w:b/>
          <w:kern w:val="0"/>
          <w:sz w:val="24"/>
          <w:szCs w:val="24"/>
          <w14:ligatures w14:val="none"/>
        </w:rPr>
      </w:pPr>
      <w:r w:rsidRPr="00CF2177">
        <w:rPr>
          <w:rFonts w:ascii="Arial" w:eastAsia="Times New Roman" w:hAnsi="Arial" w:cs="Arial"/>
          <w:b/>
          <w:kern w:val="0"/>
          <w:sz w:val="24"/>
          <w:szCs w:val="24"/>
          <w14:ligatures w14:val="none"/>
        </w:rPr>
        <w:t xml:space="preserve">GAUTENG </w:t>
      </w:r>
      <w:r>
        <w:rPr>
          <w:rFonts w:ascii="Arial" w:eastAsia="Times New Roman" w:hAnsi="Arial" w:cs="Arial"/>
          <w:b/>
          <w:kern w:val="0"/>
          <w:sz w:val="24"/>
          <w:szCs w:val="24"/>
          <w14:ligatures w14:val="none"/>
        </w:rPr>
        <w:t xml:space="preserve">LOCAL </w:t>
      </w:r>
      <w:r w:rsidRPr="00CF2177">
        <w:rPr>
          <w:rFonts w:ascii="Arial" w:eastAsia="Times New Roman" w:hAnsi="Arial" w:cs="Arial"/>
          <w:b/>
          <w:kern w:val="0"/>
          <w:sz w:val="24"/>
          <w:szCs w:val="24"/>
          <w14:ligatures w14:val="none"/>
        </w:rPr>
        <w:t>DIVISION, JOHANNESBURG</w:t>
      </w:r>
    </w:p>
    <w:p w14:paraId="48DBADB3" w14:textId="77777777" w:rsidR="007F3E52" w:rsidRDefault="007F3E52" w:rsidP="007F3E52">
      <w:pPr>
        <w:spacing w:after="0" w:line="240" w:lineRule="auto"/>
        <w:jc w:val="center"/>
        <w:outlineLvl w:val="0"/>
        <w:rPr>
          <w:rFonts w:ascii="Arial" w:eastAsia="Times New Roman" w:hAnsi="Arial" w:cs="Arial"/>
          <w:b/>
          <w:kern w:val="0"/>
          <w:sz w:val="24"/>
          <w:szCs w:val="24"/>
          <w14:ligatures w14:val="none"/>
        </w:rPr>
      </w:pPr>
    </w:p>
    <w:p w14:paraId="4FCF844A" w14:textId="77777777" w:rsidR="007F3E52" w:rsidRPr="007F3E52" w:rsidRDefault="007F3E52" w:rsidP="007F3E52">
      <w:pPr>
        <w:spacing w:after="0" w:line="240" w:lineRule="auto"/>
        <w:jc w:val="center"/>
        <w:outlineLvl w:val="0"/>
        <w:rPr>
          <w:rFonts w:ascii="Arial" w:eastAsia="Times New Roman" w:hAnsi="Arial" w:cs="Arial"/>
          <w:b/>
          <w:kern w:val="0"/>
          <w:sz w:val="24"/>
          <w:szCs w:val="24"/>
          <w14:ligatures w14:val="none"/>
        </w:rPr>
      </w:pPr>
    </w:p>
    <w:p w14:paraId="7BA2C408" w14:textId="56BA3254" w:rsidR="007F3E52" w:rsidRDefault="00F172D0" w:rsidP="007F3E52">
      <w:pPr>
        <w:spacing w:line="480" w:lineRule="auto"/>
        <w:rPr>
          <w:rFonts w:ascii="Arial" w:hAnsi="Arial" w:cs="Arial"/>
          <w:b/>
          <w:bCs/>
        </w:rPr>
      </w:pP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t>Case No:28841/2020</w:t>
      </w:r>
      <w:r w:rsidR="007F3E52" w:rsidRPr="00CF2177">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204A751F" wp14:editId="2697DC61">
                <wp:simplePos x="0" y="0"/>
                <wp:positionH relativeFrom="margin">
                  <wp:posOffset>0</wp:posOffset>
                </wp:positionH>
                <wp:positionV relativeFrom="paragraph">
                  <wp:posOffset>1086485</wp:posOffset>
                </wp:positionV>
                <wp:extent cx="3314700" cy="1371600"/>
                <wp:effectExtent l="57150" t="133350" r="57150" b="133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891B7C2" w14:textId="77777777" w:rsidR="007F3E52" w:rsidRPr="00C344A5" w:rsidRDefault="007F3E52" w:rsidP="007F3E52">
                            <w:pPr>
                              <w:pStyle w:val="ListParagraph"/>
                              <w:numPr>
                                <w:ilvl w:val="0"/>
                                <w:numId w:val="6"/>
                              </w:numPr>
                              <w:ind w:left="567" w:hanging="567"/>
                              <w:rPr>
                                <w:rFonts w:ascii="Arial" w:hAnsi="Arial" w:cs="Arial"/>
                                <w:sz w:val="18"/>
                              </w:rPr>
                            </w:pPr>
                            <w:r w:rsidRPr="00C344A5">
                              <w:rPr>
                                <w:rFonts w:ascii="Arial" w:hAnsi="Arial" w:cs="Arial"/>
                                <w:sz w:val="18"/>
                              </w:rPr>
                              <w:t>REPORTABLE: YES / NO</w:t>
                            </w:r>
                          </w:p>
                          <w:p w14:paraId="79435388" w14:textId="77777777" w:rsidR="007F3E52" w:rsidRPr="001F0900" w:rsidRDefault="007F3E52" w:rsidP="007F3E52">
                            <w:pPr>
                              <w:pStyle w:val="ListParagraph"/>
                              <w:numPr>
                                <w:ilvl w:val="0"/>
                                <w:numId w:val="6"/>
                              </w:numPr>
                              <w:ind w:left="567" w:hanging="567"/>
                              <w:rPr>
                                <w:rFonts w:ascii="Arial" w:hAnsi="Arial" w:cs="Arial"/>
                                <w:sz w:val="18"/>
                                <w:szCs w:val="20"/>
                              </w:rPr>
                            </w:pPr>
                            <w:r w:rsidRPr="001F0900">
                              <w:rPr>
                                <w:rFonts w:ascii="Arial" w:hAnsi="Arial" w:cs="Arial"/>
                                <w:sz w:val="18"/>
                                <w:szCs w:val="20"/>
                              </w:rPr>
                              <w:t>OF INTEREST TO OTHER JUDGES: YES / NO</w:t>
                            </w:r>
                          </w:p>
                          <w:p w14:paraId="26E8823E" w14:textId="77777777" w:rsidR="007F3E52" w:rsidRPr="001F0900" w:rsidRDefault="007F3E52" w:rsidP="007F3E52">
                            <w:pPr>
                              <w:pStyle w:val="ListParagraph"/>
                              <w:numPr>
                                <w:ilvl w:val="0"/>
                                <w:numId w:val="6"/>
                              </w:numPr>
                              <w:ind w:left="567" w:hanging="567"/>
                              <w:rPr>
                                <w:rFonts w:ascii="Arial" w:hAnsi="Arial" w:cs="Arial"/>
                                <w:sz w:val="18"/>
                                <w:szCs w:val="20"/>
                              </w:rPr>
                            </w:pPr>
                            <w:r w:rsidRPr="001F0900">
                              <w:rPr>
                                <w:rFonts w:ascii="Arial" w:hAnsi="Arial" w:cs="Arial"/>
                                <w:sz w:val="18"/>
                                <w:szCs w:val="20"/>
                              </w:rPr>
                              <w:t>REVISED: YES / NO</w:t>
                            </w:r>
                          </w:p>
                          <w:p w14:paraId="40D9457D" w14:textId="77777777" w:rsidR="007F3E52" w:rsidRPr="00C344A5" w:rsidRDefault="007F3E52" w:rsidP="007F3E52">
                            <w:pPr>
                              <w:spacing w:after="0"/>
                              <w:rPr>
                                <w:rFonts w:ascii="Arial" w:hAnsi="Arial" w:cs="Arial"/>
                                <w:b/>
                                <w:sz w:val="18"/>
                                <w:szCs w:val="20"/>
                              </w:rPr>
                            </w:pPr>
                          </w:p>
                          <w:p w14:paraId="6A4B9264" w14:textId="77777777" w:rsidR="007F3E52" w:rsidRPr="00C344A5" w:rsidRDefault="007F3E52" w:rsidP="007F3E52">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703BF931" w14:textId="77777777" w:rsidR="007F3E52" w:rsidRPr="00C344A5" w:rsidRDefault="007F3E52" w:rsidP="007F3E52">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4A751F" id="_x0000_t202" coordsize="21600,21600" o:spt="202" path="m,l,21600r21600,l21600,xe">
                <v:stroke joinstyle="miter"/>
                <v:path gradientshapeok="t" o:connecttype="rect"/>
              </v:shapetype>
              <v:shape id="Text Box 1" o:spid="_x0000_s1026" type="#_x0000_t202" style="position:absolute;margin-left:0;margin-top:85.55pt;width:26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">
                <v:textbox>
                  <w:txbxContent>
                    <w:p w14:paraId="2891B7C2" w14:textId="77777777" w:rsidR="007F3E52" w:rsidRPr="00C344A5" w:rsidRDefault="007F3E52" w:rsidP="007F3E52">
                      <w:pPr>
                        <w:pStyle w:val="ListParagraph"/>
                        <w:numPr>
                          <w:ilvl w:val="0"/>
                          <w:numId w:val="6"/>
                        </w:numPr>
                        <w:ind w:left="567" w:hanging="567"/>
                        <w:rPr>
                          <w:rFonts w:ascii="Arial" w:hAnsi="Arial" w:cs="Arial"/>
                          <w:sz w:val="18"/>
                        </w:rPr>
                      </w:pPr>
                      <w:r w:rsidRPr="00C344A5">
                        <w:rPr>
                          <w:rFonts w:ascii="Arial" w:hAnsi="Arial" w:cs="Arial"/>
                          <w:sz w:val="18"/>
                        </w:rPr>
                        <w:t>REPORTABLE: YES / NO</w:t>
                      </w:r>
                    </w:p>
                    <w:p w14:paraId="79435388" w14:textId="77777777" w:rsidR="007F3E52" w:rsidRPr="001F0900" w:rsidRDefault="007F3E52" w:rsidP="007F3E52">
                      <w:pPr>
                        <w:pStyle w:val="ListParagraph"/>
                        <w:numPr>
                          <w:ilvl w:val="0"/>
                          <w:numId w:val="6"/>
                        </w:numPr>
                        <w:ind w:left="567" w:hanging="567"/>
                        <w:rPr>
                          <w:rFonts w:ascii="Arial" w:hAnsi="Arial" w:cs="Arial"/>
                          <w:sz w:val="18"/>
                          <w:szCs w:val="20"/>
                        </w:rPr>
                      </w:pPr>
                      <w:r w:rsidRPr="001F0900">
                        <w:rPr>
                          <w:rFonts w:ascii="Arial" w:hAnsi="Arial" w:cs="Arial"/>
                          <w:sz w:val="18"/>
                          <w:szCs w:val="20"/>
                        </w:rPr>
                        <w:t>OF INTEREST TO OTHER JUDGES: YES / NO</w:t>
                      </w:r>
                    </w:p>
                    <w:p w14:paraId="26E8823E" w14:textId="77777777" w:rsidR="007F3E52" w:rsidRPr="001F0900" w:rsidRDefault="007F3E52" w:rsidP="007F3E52">
                      <w:pPr>
                        <w:pStyle w:val="ListParagraph"/>
                        <w:numPr>
                          <w:ilvl w:val="0"/>
                          <w:numId w:val="6"/>
                        </w:numPr>
                        <w:ind w:left="567" w:hanging="567"/>
                        <w:rPr>
                          <w:rFonts w:ascii="Arial" w:hAnsi="Arial" w:cs="Arial"/>
                          <w:sz w:val="18"/>
                          <w:szCs w:val="20"/>
                        </w:rPr>
                      </w:pPr>
                      <w:r w:rsidRPr="001F0900">
                        <w:rPr>
                          <w:rFonts w:ascii="Arial" w:hAnsi="Arial" w:cs="Arial"/>
                          <w:sz w:val="18"/>
                          <w:szCs w:val="20"/>
                        </w:rPr>
                        <w:t>REVISED: YES / NO</w:t>
                      </w:r>
                    </w:p>
                    <w:p w14:paraId="40D9457D" w14:textId="77777777" w:rsidR="007F3E52" w:rsidRPr="00C344A5" w:rsidRDefault="007F3E52" w:rsidP="007F3E52">
                      <w:pPr>
                        <w:spacing w:after="0"/>
                        <w:rPr>
                          <w:rFonts w:ascii="Arial" w:hAnsi="Arial" w:cs="Arial"/>
                          <w:b/>
                          <w:sz w:val="18"/>
                          <w:szCs w:val="20"/>
                        </w:rPr>
                      </w:pPr>
                    </w:p>
                    <w:p w14:paraId="6A4B9264" w14:textId="77777777" w:rsidR="007F3E52" w:rsidRPr="00C344A5" w:rsidRDefault="007F3E52" w:rsidP="007F3E52">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703BF931" w14:textId="77777777" w:rsidR="007F3E52" w:rsidRPr="00C344A5" w:rsidRDefault="007F3E52" w:rsidP="007F3E52">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011B13A7" w14:textId="77777777" w:rsidR="007F3E52" w:rsidRDefault="007F3E52" w:rsidP="007F3E52">
      <w:pPr>
        <w:spacing w:line="480" w:lineRule="auto"/>
        <w:rPr>
          <w:rFonts w:ascii="Arial" w:hAnsi="Arial" w:cs="Arial"/>
          <w:b/>
          <w:bCs/>
        </w:rPr>
      </w:pPr>
    </w:p>
    <w:p w14:paraId="4685DA89" w14:textId="77777777" w:rsidR="007F3E52" w:rsidRPr="004529AA" w:rsidRDefault="007F3E52" w:rsidP="0049548F">
      <w:pPr>
        <w:spacing w:line="480" w:lineRule="auto"/>
        <w:jc w:val="both"/>
        <w:rPr>
          <w:rFonts w:ascii="Arial" w:hAnsi="Arial" w:cs="Arial"/>
          <w:b/>
          <w:bCs/>
        </w:rPr>
      </w:pPr>
    </w:p>
    <w:p w14:paraId="04DC41B5" w14:textId="0DDAC1E7" w:rsidR="00F172D0" w:rsidRPr="004529AA" w:rsidRDefault="00F172D0" w:rsidP="0049548F">
      <w:pPr>
        <w:spacing w:line="480" w:lineRule="auto"/>
        <w:jc w:val="both"/>
        <w:rPr>
          <w:rFonts w:ascii="Arial" w:hAnsi="Arial" w:cs="Arial"/>
          <w:b/>
          <w:bCs/>
        </w:rPr>
      </w:pPr>
      <w:r w:rsidRPr="004529AA">
        <w:rPr>
          <w:rFonts w:ascii="Arial" w:hAnsi="Arial" w:cs="Arial"/>
          <w:b/>
          <w:bCs/>
        </w:rPr>
        <w:t>In the matter between</w:t>
      </w:r>
    </w:p>
    <w:p w14:paraId="6179EB65" w14:textId="1E1F4094" w:rsidR="00F172D0" w:rsidRPr="004529AA" w:rsidRDefault="00F172D0" w:rsidP="007F3E52">
      <w:pPr>
        <w:spacing w:line="276" w:lineRule="auto"/>
        <w:jc w:val="both"/>
        <w:rPr>
          <w:rFonts w:ascii="Arial" w:hAnsi="Arial" w:cs="Arial"/>
          <w:b/>
          <w:bCs/>
        </w:rPr>
      </w:pPr>
      <w:r w:rsidRPr="004529AA">
        <w:rPr>
          <w:rFonts w:ascii="Arial" w:hAnsi="Arial" w:cs="Arial"/>
          <w:b/>
          <w:bCs/>
        </w:rPr>
        <w:t>DANIEL WELLINGTON SOUTH AFRICA (PTY) LTD</w:t>
      </w:r>
    </w:p>
    <w:p w14:paraId="1F6C5C9E" w14:textId="734B3140" w:rsidR="00F172D0" w:rsidRPr="004529AA" w:rsidRDefault="00F172D0" w:rsidP="007F3E52">
      <w:pPr>
        <w:spacing w:line="276" w:lineRule="auto"/>
        <w:jc w:val="both"/>
        <w:rPr>
          <w:rFonts w:ascii="Arial" w:hAnsi="Arial" w:cs="Arial"/>
          <w:b/>
          <w:bCs/>
        </w:rPr>
      </w:pPr>
      <w:r w:rsidRPr="004529AA">
        <w:rPr>
          <w:rFonts w:ascii="Arial" w:hAnsi="Arial" w:cs="Arial"/>
          <w:b/>
          <w:bCs/>
        </w:rPr>
        <w:t>T/a DANIEL WELLINGTON</w:t>
      </w:r>
    </w:p>
    <w:p w14:paraId="39535FA6" w14:textId="01F4CF30" w:rsidR="007F3E52" w:rsidRDefault="00F172D0" w:rsidP="007F3E52">
      <w:pPr>
        <w:spacing w:line="276" w:lineRule="auto"/>
        <w:jc w:val="both"/>
        <w:rPr>
          <w:rFonts w:ascii="Arial" w:hAnsi="Arial" w:cs="Arial"/>
          <w:b/>
          <w:bCs/>
        </w:rPr>
      </w:pPr>
      <w:r w:rsidRPr="004529AA">
        <w:rPr>
          <w:rFonts w:ascii="Arial" w:hAnsi="Arial" w:cs="Arial"/>
          <w:b/>
          <w:bCs/>
        </w:rPr>
        <w:t>(REG. No 2018/262456/07)</w:t>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p>
    <w:p w14:paraId="2AA38E36" w14:textId="1A430097" w:rsidR="00444D1D" w:rsidRDefault="00444D1D" w:rsidP="00444D1D">
      <w:pPr>
        <w:spacing w:line="276" w:lineRule="auto"/>
        <w:jc w:val="both"/>
        <w:rPr>
          <w:rFonts w:ascii="Arial" w:hAnsi="Arial" w:cs="Arial"/>
          <w:b/>
          <w:bCs/>
        </w:rPr>
      </w:pPr>
      <w:r w:rsidRPr="00444D1D">
        <w:rPr>
          <w:rFonts w:ascii="Arial" w:hAnsi="Arial" w:cs="Arial"/>
          <w:b/>
          <w:bCs/>
        </w:rPr>
        <w:t>In the matter between</w:t>
      </w:r>
      <w:r>
        <w:rPr>
          <w:rFonts w:ascii="Arial" w:hAnsi="Arial" w:cs="Arial"/>
          <w:b/>
          <w:bCs/>
        </w:rPr>
        <w:t xml:space="preserve">: </w:t>
      </w:r>
    </w:p>
    <w:p w14:paraId="4C3CD464" w14:textId="77777777" w:rsidR="00444D1D" w:rsidRPr="00444D1D" w:rsidRDefault="00444D1D" w:rsidP="00444D1D">
      <w:pPr>
        <w:spacing w:line="276" w:lineRule="auto"/>
        <w:jc w:val="both"/>
        <w:rPr>
          <w:rFonts w:ascii="Arial" w:hAnsi="Arial" w:cs="Arial"/>
          <w:b/>
          <w:bCs/>
        </w:rPr>
      </w:pPr>
    </w:p>
    <w:p w14:paraId="5F938282" w14:textId="625D5403" w:rsidR="00444D1D" w:rsidRPr="00444D1D" w:rsidRDefault="00444D1D" w:rsidP="00444D1D">
      <w:pPr>
        <w:spacing w:line="276" w:lineRule="auto"/>
        <w:jc w:val="both"/>
        <w:rPr>
          <w:rFonts w:ascii="Arial" w:hAnsi="Arial" w:cs="Arial"/>
          <w:b/>
          <w:bCs/>
        </w:rPr>
      </w:pPr>
      <w:r w:rsidRPr="00444D1D">
        <w:rPr>
          <w:rFonts w:ascii="Arial" w:hAnsi="Arial" w:cs="Arial"/>
          <w:b/>
          <w:bCs/>
        </w:rPr>
        <w:t>DANIEL WELLINGTON SOUTH AFRICA (PTY) LTD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902ADB6" w14:textId="77777777" w:rsidR="00444D1D" w:rsidRPr="00444D1D" w:rsidRDefault="00444D1D" w:rsidP="00444D1D">
      <w:pPr>
        <w:spacing w:line="276" w:lineRule="auto"/>
        <w:jc w:val="both"/>
        <w:rPr>
          <w:rFonts w:ascii="Arial" w:hAnsi="Arial" w:cs="Arial"/>
          <w:b/>
          <w:bCs/>
        </w:rPr>
      </w:pPr>
      <w:r w:rsidRPr="00444D1D">
        <w:rPr>
          <w:rFonts w:ascii="Arial" w:hAnsi="Arial" w:cs="Arial"/>
          <w:b/>
          <w:bCs/>
        </w:rPr>
        <w:t>T/a DANIEL WELLINGTON</w:t>
      </w:r>
    </w:p>
    <w:p w14:paraId="1FFEE26D" w14:textId="619FCA08" w:rsidR="00F172D0" w:rsidRDefault="00444D1D" w:rsidP="00444D1D">
      <w:pPr>
        <w:spacing w:line="276" w:lineRule="auto"/>
        <w:jc w:val="both"/>
        <w:rPr>
          <w:rFonts w:ascii="Arial" w:hAnsi="Arial" w:cs="Arial"/>
          <w:b/>
          <w:bCs/>
        </w:rPr>
      </w:pPr>
      <w:r w:rsidRPr="00444D1D">
        <w:rPr>
          <w:rFonts w:ascii="Arial" w:hAnsi="Arial" w:cs="Arial"/>
          <w:b/>
          <w:bCs/>
        </w:rPr>
        <w:t>(REG. No 2018/262456/07)</w:t>
      </w:r>
      <w:r>
        <w:rPr>
          <w:rFonts w:ascii="Arial" w:hAnsi="Arial" w:cs="Arial"/>
          <w:b/>
          <w:bCs/>
        </w:rPr>
        <w:t xml:space="preserve">                                                                                       </w:t>
      </w:r>
      <w:r w:rsidRPr="004529AA">
        <w:rPr>
          <w:rFonts w:ascii="Arial" w:hAnsi="Arial" w:cs="Arial"/>
          <w:b/>
          <w:bCs/>
        </w:rPr>
        <w:t>Applicant</w:t>
      </w:r>
    </w:p>
    <w:p w14:paraId="6995832A" w14:textId="77777777" w:rsidR="00444D1D" w:rsidRPr="004529AA" w:rsidRDefault="00444D1D" w:rsidP="00444D1D">
      <w:pPr>
        <w:spacing w:line="276" w:lineRule="auto"/>
        <w:jc w:val="both"/>
        <w:rPr>
          <w:rFonts w:ascii="Arial" w:hAnsi="Arial" w:cs="Arial"/>
          <w:b/>
          <w:bCs/>
        </w:rPr>
      </w:pPr>
    </w:p>
    <w:p w14:paraId="7D438F6D" w14:textId="5966CF3F" w:rsidR="00F172D0" w:rsidRPr="004529AA" w:rsidRDefault="00F172D0" w:rsidP="0049548F">
      <w:pPr>
        <w:spacing w:line="480" w:lineRule="auto"/>
        <w:jc w:val="both"/>
        <w:rPr>
          <w:rFonts w:ascii="Arial" w:hAnsi="Arial" w:cs="Arial"/>
          <w:b/>
          <w:bCs/>
        </w:rPr>
      </w:pPr>
      <w:r w:rsidRPr="004529AA">
        <w:rPr>
          <w:rFonts w:ascii="Arial" w:hAnsi="Arial" w:cs="Arial"/>
          <w:b/>
          <w:bCs/>
        </w:rPr>
        <w:t xml:space="preserve">And </w:t>
      </w:r>
    </w:p>
    <w:p w14:paraId="4CFF60C4" w14:textId="21283A56" w:rsidR="00F172D0" w:rsidRPr="004529AA" w:rsidRDefault="00F172D0" w:rsidP="007F3E52">
      <w:pPr>
        <w:spacing w:line="276" w:lineRule="auto"/>
        <w:jc w:val="both"/>
        <w:rPr>
          <w:rFonts w:ascii="Arial" w:hAnsi="Arial" w:cs="Arial"/>
          <w:b/>
          <w:bCs/>
        </w:rPr>
      </w:pPr>
      <w:r w:rsidRPr="004529AA">
        <w:rPr>
          <w:rFonts w:ascii="Arial" w:hAnsi="Arial" w:cs="Arial"/>
          <w:b/>
          <w:bCs/>
        </w:rPr>
        <w:t>AZ</w:t>
      </w:r>
      <w:r w:rsidR="004529AA" w:rsidRPr="004529AA">
        <w:rPr>
          <w:rFonts w:ascii="Arial" w:hAnsi="Arial" w:cs="Arial"/>
          <w:b/>
          <w:bCs/>
        </w:rPr>
        <w:t>RAPART (PTY) LTD</w:t>
      </w:r>
    </w:p>
    <w:p w14:paraId="36FD24D4" w14:textId="4A169183" w:rsidR="004529AA" w:rsidRPr="004529AA" w:rsidRDefault="004529AA" w:rsidP="007F3E52">
      <w:pPr>
        <w:spacing w:line="276" w:lineRule="auto"/>
        <w:jc w:val="both"/>
        <w:rPr>
          <w:rFonts w:ascii="Arial" w:hAnsi="Arial" w:cs="Arial"/>
          <w:b/>
          <w:bCs/>
        </w:rPr>
      </w:pPr>
      <w:r w:rsidRPr="004529AA">
        <w:rPr>
          <w:rFonts w:ascii="Arial" w:hAnsi="Arial" w:cs="Arial"/>
          <w:b/>
          <w:bCs/>
        </w:rPr>
        <w:t>(REG No 2011/002042/07)</w:t>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00444D1D">
        <w:rPr>
          <w:rFonts w:ascii="Arial" w:hAnsi="Arial" w:cs="Arial"/>
          <w:b/>
          <w:bCs/>
        </w:rPr>
        <w:t xml:space="preserve">         </w:t>
      </w:r>
      <w:r w:rsidRPr="004529AA">
        <w:rPr>
          <w:rFonts w:ascii="Arial" w:hAnsi="Arial" w:cs="Arial"/>
          <w:b/>
          <w:bCs/>
        </w:rPr>
        <w:t>Respondent</w:t>
      </w:r>
    </w:p>
    <w:p w14:paraId="066D449F" w14:textId="77777777" w:rsidR="004529AA" w:rsidRPr="004529AA" w:rsidRDefault="004529AA" w:rsidP="0049548F">
      <w:pPr>
        <w:spacing w:line="480" w:lineRule="auto"/>
        <w:jc w:val="both"/>
        <w:rPr>
          <w:rFonts w:ascii="Arial" w:hAnsi="Arial" w:cs="Arial"/>
          <w:b/>
          <w:bCs/>
        </w:rPr>
      </w:pPr>
      <w:bookmarkStart w:id="0" w:name="_GoBack"/>
      <w:bookmarkEnd w:id="0"/>
    </w:p>
    <w:p w14:paraId="53D40251" w14:textId="57D9597B" w:rsidR="004529AA" w:rsidRPr="004529AA" w:rsidRDefault="004529AA" w:rsidP="0049548F">
      <w:pPr>
        <w:spacing w:line="480" w:lineRule="auto"/>
        <w:jc w:val="both"/>
        <w:rPr>
          <w:rFonts w:ascii="Arial" w:hAnsi="Arial" w:cs="Arial"/>
          <w:b/>
          <w:bCs/>
        </w:rPr>
      </w:pPr>
      <w:r w:rsidRPr="004529AA">
        <w:rPr>
          <w:rFonts w:ascii="Arial" w:hAnsi="Arial" w:cs="Arial"/>
          <w:b/>
          <w:bCs/>
        </w:rPr>
        <w:t>IN RE:</w:t>
      </w:r>
    </w:p>
    <w:p w14:paraId="713972F8" w14:textId="3BE1062C" w:rsidR="004529AA" w:rsidRPr="004529AA" w:rsidRDefault="004529AA" w:rsidP="0049548F">
      <w:pPr>
        <w:spacing w:line="480" w:lineRule="auto"/>
        <w:jc w:val="both"/>
        <w:rPr>
          <w:rFonts w:ascii="Arial" w:hAnsi="Arial" w:cs="Arial"/>
          <w:b/>
          <w:bCs/>
        </w:rPr>
      </w:pPr>
      <w:r w:rsidRPr="004529AA">
        <w:rPr>
          <w:rFonts w:ascii="Arial" w:hAnsi="Arial" w:cs="Arial"/>
          <w:b/>
          <w:bCs/>
        </w:rPr>
        <w:lastRenderedPageBreak/>
        <w:t>AZRAPART (PTY) LTD</w:t>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00444D1D">
        <w:rPr>
          <w:rFonts w:ascii="Arial" w:hAnsi="Arial" w:cs="Arial"/>
          <w:b/>
          <w:bCs/>
        </w:rPr>
        <w:t xml:space="preserve">    </w:t>
      </w:r>
      <w:r w:rsidRPr="004529AA">
        <w:rPr>
          <w:rFonts w:ascii="Arial" w:hAnsi="Arial" w:cs="Arial"/>
          <w:b/>
          <w:bCs/>
        </w:rPr>
        <w:t>Plaintiff</w:t>
      </w:r>
    </w:p>
    <w:p w14:paraId="26CAFB63" w14:textId="11C28BD1" w:rsidR="004529AA" w:rsidRPr="004529AA" w:rsidRDefault="004529AA" w:rsidP="0049548F">
      <w:pPr>
        <w:spacing w:line="480" w:lineRule="auto"/>
        <w:jc w:val="both"/>
        <w:rPr>
          <w:rFonts w:ascii="Arial" w:hAnsi="Arial" w:cs="Arial"/>
          <w:b/>
          <w:bCs/>
        </w:rPr>
      </w:pPr>
      <w:r w:rsidRPr="004529AA">
        <w:rPr>
          <w:rFonts w:ascii="Arial" w:hAnsi="Arial" w:cs="Arial"/>
          <w:b/>
          <w:bCs/>
        </w:rPr>
        <w:t>And</w:t>
      </w:r>
    </w:p>
    <w:p w14:paraId="05FE86E6" w14:textId="2B995F02" w:rsidR="004529AA" w:rsidRPr="004529AA" w:rsidRDefault="004529AA" w:rsidP="0049548F">
      <w:pPr>
        <w:spacing w:line="480" w:lineRule="auto"/>
        <w:jc w:val="both"/>
        <w:rPr>
          <w:rFonts w:ascii="Arial" w:hAnsi="Arial" w:cs="Arial"/>
          <w:b/>
          <w:bCs/>
        </w:rPr>
      </w:pPr>
      <w:r w:rsidRPr="004529AA">
        <w:rPr>
          <w:rFonts w:ascii="Arial" w:hAnsi="Arial" w:cs="Arial"/>
          <w:b/>
          <w:bCs/>
        </w:rPr>
        <w:t>DANIEL WELLINGTON SOUTH AFRICA (PTY) LTD</w:t>
      </w:r>
    </w:p>
    <w:p w14:paraId="36841ABC" w14:textId="42B6A6CB" w:rsidR="004529AA" w:rsidRPr="004529AA" w:rsidRDefault="004529AA" w:rsidP="0049548F">
      <w:pPr>
        <w:spacing w:line="480" w:lineRule="auto"/>
        <w:jc w:val="both"/>
        <w:rPr>
          <w:rFonts w:ascii="Arial" w:hAnsi="Arial" w:cs="Arial"/>
          <w:b/>
          <w:bCs/>
        </w:rPr>
      </w:pPr>
      <w:r w:rsidRPr="004529AA">
        <w:rPr>
          <w:rFonts w:ascii="Arial" w:hAnsi="Arial" w:cs="Arial"/>
          <w:b/>
          <w:bCs/>
        </w:rPr>
        <w:t>T/A DANIEL WELLINGTON</w:t>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r>
      <w:r w:rsidR="00444D1D">
        <w:rPr>
          <w:rFonts w:ascii="Arial" w:hAnsi="Arial" w:cs="Arial"/>
          <w:b/>
          <w:bCs/>
        </w:rPr>
        <w:t xml:space="preserve">            </w:t>
      </w:r>
      <w:r w:rsidRPr="004529AA">
        <w:rPr>
          <w:rFonts w:ascii="Arial" w:hAnsi="Arial" w:cs="Arial"/>
          <w:b/>
          <w:bCs/>
        </w:rPr>
        <w:t>Defendant</w:t>
      </w:r>
    </w:p>
    <w:p w14:paraId="07BE7281" w14:textId="1123FCF4" w:rsidR="004529AA" w:rsidRPr="004529AA" w:rsidRDefault="004529AA" w:rsidP="0049548F">
      <w:pPr>
        <w:pBdr>
          <w:top w:val="single" w:sz="12" w:space="1" w:color="auto"/>
          <w:bottom w:val="single" w:sz="12" w:space="1" w:color="auto"/>
        </w:pBdr>
        <w:spacing w:line="480" w:lineRule="auto"/>
        <w:jc w:val="both"/>
        <w:rPr>
          <w:rFonts w:ascii="Arial" w:hAnsi="Arial" w:cs="Arial"/>
          <w:b/>
          <w:bCs/>
        </w:rPr>
      </w:pPr>
      <w:r w:rsidRPr="004529AA">
        <w:rPr>
          <w:rFonts w:ascii="Arial" w:hAnsi="Arial" w:cs="Arial"/>
          <w:b/>
          <w:bCs/>
        </w:rPr>
        <w:tab/>
      </w:r>
      <w:r w:rsidRPr="004529AA">
        <w:rPr>
          <w:rFonts w:ascii="Arial" w:hAnsi="Arial" w:cs="Arial"/>
          <w:b/>
          <w:bCs/>
        </w:rPr>
        <w:tab/>
      </w:r>
      <w:r w:rsidRPr="004529AA">
        <w:rPr>
          <w:rFonts w:ascii="Arial" w:hAnsi="Arial" w:cs="Arial"/>
          <w:b/>
          <w:bCs/>
        </w:rPr>
        <w:tab/>
      </w:r>
      <w:r w:rsidRPr="004529AA">
        <w:rPr>
          <w:rFonts w:ascii="Arial" w:hAnsi="Arial" w:cs="Arial"/>
          <w:b/>
          <w:bCs/>
        </w:rPr>
        <w:tab/>
        <w:t>JUDGMENT</w:t>
      </w:r>
    </w:p>
    <w:p w14:paraId="39BEC224" w14:textId="253292CF" w:rsidR="004529AA" w:rsidRDefault="004529AA" w:rsidP="0049548F">
      <w:pPr>
        <w:spacing w:line="480" w:lineRule="auto"/>
        <w:jc w:val="both"/>
        <w:rPr>
          <w:rFonts w:ascii="Arial" w:hAnsi="Arial" w:cs="Arial"/>
          <w:b/>
          <w:bCs/>
        </w:rPr>
      </w:pPr>
      <w:r w:rsidRPr="00EC7E33">
        <w:rPr>
          <w:rFonts w:ascii="Arial" w:hAnsi="Arial" w:cs="Arial"/>
          <w:b/>
          <w:bCs/>
        </w:rPr>
        <w:t>MAHOMED AJ</w:t>
      </w:r>
    </w:p>
    <w:p w14:paraId="5ED96C0D" w14:textId="31D3A227" w:rsidR="00EC7E33" w:rsidRPr="00EC7E33" w:rsidRDefault="00EC7E33" w:rsidP="0049548F">
      <w:pPr>
        <w:spacing w:line="480" w:lineRule="auto"/>
        <w:jc w:val="both"/>
        <w:rPr>
          <w:rFonts w:ascii="Arial" w:hAnsi="Arial" w:cs="Arial"/>
          <w:b/>
          <w:bCs/>
        </w:rPr>
      </w:pPr>
      <w:r>
        <w:rPr>
          <w:rFonts w:ascii="Arial" w:hAnsi="Arial" w:cs="Arial"/>
          <w:b/>
          <w:bCs/>
        </w:rPr>
        <w:t>INTRODUCTION</w:t>
      </w:r>
    </w:p>
    <w:p w14:paraId="39181EA7" w14:textId="10156A0A" w:rsidR="00CA0160" w:rsidRDefault="00D624B5" w:rsidP="00821FA5">
      <w:pPr>
        <w:tabs>
          <w:tab w:val="left" w:pos="851"/>
        </w:tabs>
        <w:spacing w:line="480" w:lineRule="auto"/>
        <w:jc w:val="both"/>
        <w:rPr>
          <w:rFonts w:ascii="Arial" w:hAnsi="Arial" w:cs="Arial"/>
        </w:rPr>
      </w:pPr>
      <w:r>
        <w:rPr>
          <w:rFonts w:ascii="Arial" w:hAnsi="Arial" w:cs="Arial"/>
        </w:rPr>
        <w:t xml:space="preserve">This is an application for a rescission of a judgment which was granted by default on </w:t>
      </w:r>
      <w:r w:rsidR="00AB638B">
        <w:rPr>
          <w:rFonts w:ascii="Arial" w:hAnsi="Arial" w:cs="Arial"/>
        </w:rPr>
        <w:t>2</w:t>
      </w:r>
      <w:r w:rsidR="00927CB6">
        <w:rPr>
          <w:rFonts w:ascii="Arial" w:hAnsi="Arial" w:cs="Arial"/>
        </w:rPr>
        <w:t>5</w:t>
      </w:r>
      <w:r w:rsidR="00AB638B">
        <w:rPr>
          <w:rFonts w:ascii="Arial" w:hAnsi="Arial" w:cs="Arial"/>
        </w:rPr>
        <w:t xml:space="preserve"> January 2021</w:t>
      </w:r>
      <w:r w:rsidR="00713DB0">
        <w:rPr>
          <w:rFonts w:ascii="Arial" w:hAnsi="Arial" w:cs="Arial"/>
        </w:rPr>
        <w:t xml:space="preserve"> in terms of which the applicant was ordered to pay an</w:t>
      </w:r>
      <w:r w:rsidR="00AB638B">
        <w:rPr>
          <w:rFonts w:ascii="Arial" w:hAnsi="Arial" w:cs="Arial"/>
        </w:rPr>
        <w:t xml:space="preserve"> amount of R178 829.31,</w:t>
      </w:r>
      <w:r w:rsidR="00713DB0">
        <w:rPr>
          <w:rFonts w:ascii="Arial" w:hAnsi="Arial" w:cs="Arial"/>
        </w:rPr>
        <w:t xml:space="preserve"> </w:t>
      </w:r>
      <w:r w:rsidR="00AB638B">
        <w:rPr>
          <w:rFonts w:ascii="Arial" w:hAnsi="Arial" w:cs="Arial"/>
        </w:rPr>
        <w:t xml:space="preserve">ejectment, </w:t>
      </w:r>
      <w:r w:rsidR="0016638F">
        <w:rPr>
          <w:rFonts w:ascii="Arial" w:hAnsi="Arial" w:cs="Arial"/>
        </w:rPr>
        <w:t>interest,</w:t>
      </w:r>
      <w:r w:rsidR="00AB638B">
        <w:rPr>
          <w:rFonts w:ascii="Arial" w:hAnsi="Arial" w:cs="Arial"/>
        </w:rPr>
        <w:t xml:space="preserve"> and costs.</w:t>
      </w:r>
      <w:r w:rsidR="00AB638B">
        <w:rPr>
          <w:rStyle w:val="FootnoteReference"/>
          <w:rFonts w:ascii="Arial" w:hAnsi="Arial" w:cs="Arial"/>
        </w:rPr>
        <w:footnoteReference w:id="1"/>
      </w:r>
      <w:r w:rsidR="00AB638B">
        <w:rPr>
          <w:rFonts w:ascii="Arial" w:hAnsi="Arial" w:cs="Arial"/>
        </w:rPr>
        <w:t xml:space="preserve"> </w:t>
      </w:r>
      <w:r w:rsidR="004334FB">
        <w:rPr>
          <w:rFonts w:ascii="Arial" w:hAnsi="Arial" w:cs="Arial"/>
        </w:rPr>
        <w:t xml:space="preserve"> The </w:t>
      </w:r>
      <w:r w:rsidR="00EC7E33">
        <w:rPr>
          <w:rFonts w:ascii="Arial" w:hAnsi="Arial" w:cs="Arial"/>
        </w:rPr>
        <w:t xml:space="preserve">applicant failed to file a notice to defend the action.  </w:t>
      </w:r>
      <w:r>
        <w:rPr>
          <w:rFonts w:ascii="Arial" w:hAnsi="Arial" w:cs="Arial"/>
        </w:rPr>
        <w:t xml:space="preserve"> </w:t>
      </w:r>
    </w:p>
    <w:p w14:paraId="301F974F" w14:textId="096A0674" w:rsidR="00AA4ABF" w:rsidRDefault="00D624B5" w:rsidP="0049548F">
      <w:pPr>
        <w:spacing w:line="480" w:lineRule="auto"/>
        <w:jc w:val="both"/>
        <w:rPr>
          <w:rFonts w:ascii="Arial" w:hAnsi="Arial" w:cs="Arial"/>
        </w:rPr>
      </w:pPr>
      <w:r>
        <w:rPr>
          <w:rFonts w:ascii="Arial" w:hAnsi="Arial" w:cs="Arial"/>
        </w:rPr>
        <w:t>The respondent oppose</w:t>
      </w:r>
      <w:r w:rsidR="00AA4ABF">
        <w:rPr>
          <w:rFonts w:ascii="Arial" w:hAnsi="Arial" w:cs="Arial"/>
        </w:rPr>
        <w:t>d</w:t>
      </w:r>
      <w:r>
        <w:rPr>
          <w:rFonts w:ascii="Arial" w:hAnsi="Arial" w:cs="Arial"/>
        </w:rPr>
        <w:t xml:space="preserve"> the </w:t>
      </w:r>
      <w:r w:rsidR="00BC0D76">
        <w:rPr>
          <w:rFonts w:ascii="Arial" w:hAnsi="Arial" w:cs="Arial"/>
        </w:rPr>
        <w:t>application and</w:t>
      </w:r>
      <w:r>
        <w:rPr>
          <w:rFonts w:ascii="Arial" w:hAnsi="Arial" w:cs="Arial"/>
        </w:rPr>
        <w:t xml:space="preserve"> submit</w:t>
      </w:r>
      <w:r w:rsidR="00AA4ABF">
        <w:rPr>
          <w:rFonts w:ascii="Arial" w:hAnsi="Arial" w:cs="Arial"/>
        </w:rPr>
        <w:t>ted</w:t>
      </w:r>
      <w:r>
        <w:rPr>
          <w:rFonts w:ascii="Arial" w:hAnsi="Arial" w:cs="Arial"/>
        </w:rPr>
        <w:t xml:space="preserve"> that the applicant was properly served at the address it indicated as its </w:t>
      </w:r>
      <w:proofErr w:type="spellStart"/>
      <w:r>
        <w:rPr>
          <w:rFonts w:ascii="Arial" w:hAnsi="Arial" w:cs="Arial"/>
        </w:rPr>
        <w:t>domicilium</w:t>
      </w:r>
      <w:proofErr w:type="spellEnd"/>
      <w:r>
        <w:rPr>
          <w:rFonts w:ascii="Arial" w:hAnsi="Arial" w:cs="Arial"/>
        </w:rPr>
        <w:t xml:space="preserve"> address</w:t>
      </w:r>
      <w:r w:rsidR="00A74833">
        <w:rPr>
          <w:rFonts w:ascii="Arial" w:hAnsi="Arial" w:cs="Arial"/>
        </w:rPr>
        <w:t xml:space="preserve"> and </w:t>
      </w:r>
      <w:r w:rsidR="00347722">
        <w:rPr>
          <w:rFonts w:ascii="Arial" w:hAnsi="Arial" w:cs="Arial"/>
        </w:rPr>
        <w:t xml:space="preserve">that the applicant </w:t>
      </w:r>
      <w:r w:rsidR="00A74833">
        <w:rPr>
          <w:rFonts w:ascii="Arial" w:hAnsi="Arial" w:cs="Arial"/>
        </w:rPr>
        <w:t>was wilful when i</w:t>
      </w:r>
      <w:r w:rsidR="00347722">
        <w:rPr>
          <w:rFonts w:ascii="Arial" w:hAnsi="Arial" w:cs="Arial"/>
        </w:rPr>
        <w:t>t</w:t>
      </w:r>
      <w:r w:rsidR="00A74833">
        <w:rPr>
          <w:rFonts w:ascii="Arial" w:hAnsi="Arial" w:cs="Arial"/>
        </w:rPr>
        <w:t xml:space="preserve"> failed to file a notice to defend, in that it was advised that the respondent decided to take legal action.  It contends that application must fail.</w:t>
      </w:r>
      <w:r w:rsidR="00EC7E33">
        <w:rPr>
          <w:rFonts w:ascii="Arial" w:hAnsi="Arial" w:cs="Arial"/>
        </w:rPr>
        <w:t xml:space="preserve"> </w:t>
      </w:r>
    </w:p>
    <w:p w14:paraId="6F5EE48E" w14:textId="0CA939B9" w:rsidR="00EC7E33" w:rsidRDefault="00EC7E33" w:rsidP="0049548F">
      <w:pPr>
        <w:spacing w:line="480" w:lineRule="auto"/>
        <w:jc w:val="both"/>
        <w:rPr>
          <w:rFonts w:ascii="Arial" w:hAnsi="Arial" w:cs="Arial"/>
        </w:rPr>
      </w:pPr>
      <w:r>
        <w:rPr>
          <w:rFonts w:ascii="Arial" w:hAnsi="Arial" w:cs="Arial"/>
        </w:rPr>
        <w:t>By agreement between the parties, the applicant</w:t>
      </w:r>
      <w:r w:rsidR="0016638F">
        <w:rPr>
          <w:rFonts w:ascii="Arial" w:hAnsi="Arial" w:cs="Arial"/>
        </w:rPr>
        <w:t>’</w:t>
      </w:r>
      <w:r>
        <w:rPr>
          <w:rFonts w:ascii="Arial" w:hAnsi="Arial" w:cs="Arial"/>
        </w:rPr>
        <w:t xml:space="preserve">s late filing of this application is condoned, the applicant was late by </w:t>
      </w:r>
      <w:r w:rsidR="0016638F">
        <w:rPr>
          <w:rFonts w:ascii="Arial" w:hAnsi="Arial" w:cs="Arial"/>
        </w:rPr>
        <w:t>six</w:t>
      </w:r>
      <w:r>
        <w:rPr>
          <w:rFonts w:ascii="Arial" w:hAnsi="Arial" w:cs="Arial"/>
        </w:rPr>
        <w:t xml:space="preserve"> days beyond the usual time periods observed</w:t>
      </w:r>
      <w:r w:rsidR="0016638F">
        <w:rPr>
          <w:rFonts w:ascii="Arial" w:hAnsi="Arial" w:cs="Arial"/>
        </w:rPr>
        <w:t>, which cannot be considered undue delay.</w:t>
      </w:r>
    </w:p>
    <w:p w14:paraId="472A0911" w14:textId="4C09BB96" w:rsidR="00D624B5" w:rsidRDefault="00D624B5" w:rsidP="0049548F">
      <w:pPr>
        <w:spacing w:line="480" w:lineRule="auto"/>
        <w:jc w:val="both"/>
        <w:rPr>
          <w:rFonts w:ascii="Arial" w:hAnsi="Arial" w:cs="Arial"/>
        </w:rPr>
      </w:pPr>
      <w:r>
        <w:rPr>
          <w:rFonts w:ascii="Arial" w:hAnsi="Arial" w:cs="Arial"/>
        </w:rPr>
        <w:t>The claim is for arrear rentals</w:t>
      </w:r>
      <w:r w:rsidR="0016638F">
        <w:rPr>
          <w:rFonts w:ascii="Arial" w:hAnsi="Arial" w:cs="Arial"/>
        </w:rPr>
        <w:t>, cancellation of lease and damages.   The damages claim was postponed sine die.</w:t>
      </w:r>
      <w:r>
        <w:rPr>
          <w:rFonts w:ascii="Arial" w:hAnsi="Arial" w:cs="Arial"/>
        </w:rPr>
        <w:t xml:space="preserve"> The parties concluded a lease agreement of business premises at </w:t>
      </w:r>
      <w:r w:rsidR="00C26609">
        <w:rPr>
          <w:rFonts w:ascii="Arial" w:hAnsi="Arial" w:cs="Arial"/>
        </w:rPr>
        <w:t>a shopping m</w:t>
      </w:r>
      <w:r>
        <w:rPr>
          <w:rFonts w:ascii="Arial" w:hAnsi="Arial" w:cs="Arial"/>
        </w:rPr>
        <w:t xml:space="preserve">all in </w:t>
      </w:r>
      <w:r w:rsidR="00815710">
        <w:rPr>
          <w:rFonts w:ascii="Arial" w:hAnsi="Arial" w:cs="Arial"/>
        </w:rPr>
        <w:t xml:space="preserve">the </w:t>
      </w:r>
      <w:r>
        <w:rPr>
          <w:rFonts w:ascii="Arial" w:hAnsi="Arial" w:cs="Arial"/>
        </w:rPr>
        <w:t>greater Johannesburg</w:t>
      </w:r>
      <w:r w:rsidR="00815710">
        <w:rPr>
          <w:rFonts w:ascii="Arial" w:hAnsi="Arial" w:cs="Arial"/>
        </w:rPr>
        <w:t xml:space="preserve"> area</w:t>
      </w:r>
      <w:r>
        <w:rPr>
          <w:rFonts w:ascii="Arial" w:hAnsi="Arial" w:cs="Arial"/>
        </w:rPr>
        <w:t xml:space="preserve">.   </w:t>
      </w:r>
    </w:p>
    <w:p w14:paraId="592C9A82" w14:textId="77777777" w:rsidR="00BB1F31" w:rsidRDefault="00BB1F31">
      <w:pPr>
        <w:rPr>
          <w:rFonts w:ascii="Arial" w:hAnsi="Arial" w:cs="Arial"/>
          <w:b/>
          <w:bCs/>
        </w:rPr>
      </w:pPr>
      <w:r>
        <w:rPr>
          <w:rFonts w:ascii="Arial" w:hAnsi="Arial" w:cs="Arial"/>
          <w:b/>
          <w:bCs/>
        </w:rPr>
        <w:br w:type="page"/>
      </w:r>
    </w:p>
    <w:p w14:paraId="1285DB4B" w14:textId="54764B1E" w:rsidR="009C675E" w:rsidRPr="00CA0160" w:rsidRDefault="009C675E" w:rsidP="0049548F">
      <w:pPr>
        <w:spacing w:line="480" w:lineRule="auto"/>
        <w:jc w:val="both"/>
        <w:rPr>
          <w:rFonts w:ascii="Arial" w:hAnsi="Arial" w:cs="Arial"/>
          <w:b/>
          <w:bCs/>
        </w:rPr>
      </w:pPr>
      <w:r w:rsidRPr="00CA0160">
        <w:rPr>
          <w:rFonts w:ascii="Arial" w:hAnsi="Arial" w:cs="Arial"/>
          <w:b/>
          <w:bCs/>
        </w:rPr>
        <w:lastRenderedPageBreak/>
        <w:t>THE LAW</w:t>
      </w:r>
    </w:p>
    <w:p w14:paraId="382CD1AF" w14:textId="7FB81A04" w:rsidR="009C675E" w:rsidRDefault="00150C2C" w:rsidP="00821FA5">
      <w:pPr>
        <w:pStyle w:val="ListParagraph"/>
        <w:numPr>
          <w:ilvl w:val="0"/>
          <w:numId w:val="3"/>
        </w:numPr>
        <w:spacing w:line="480" w:lineRule="auto"/>
        <w:ind w:left="851" w:right="567" w:hanging="851"/>
        <w:jc w:val="both"/>
        <w:rPr>
          <w:rFonts w:ascii="Arial" w:hAnsi="Arial" w:cs="Arial"/>
        </w:rPr>
      </w:pPr>
      <w:r>
        <w:rPr>
          <w:rFonts w:ascii="Arial" w:hAnsi="Arial" w:cs="Arial"/>
        </w:rPr>
        <w:t xml:space="preserve">When a final judgment has been granted, the court itself has no authority to set it aside or correct, alter or supplement it.  The court is said to have become functus officio, as its authority over that matter ceases.  It is also important that </w:t>
      </w:r>
      <w:r w:rsidR="0040709F">
        <w:rPr>
          <w:rFonts w:ascii="Arial" w:hAnsi="Arial" w:cs="Arial"/>
        </w:rPr>
        <w:t>litigation</w:t>
      </w:r>
      <w:r>
        <w:rPr>
          <w:rFonts w:ascii="Arial" w:hAnsi="Arial" w:cs="Arial"/>
        </w:rPr>
        <w:t xml:space="preserve"> is brought to finality,</w:t>
      </w:r>
      <w:r w:rsidR="00F328E5">
        <w:rPr>
          <w:rFonts w:ascii="Arial" w:hAnsi="Arial" w:cs="Arial"/>
        </w:rPr>
        <w:t xml:space="preserve"> it is </w:t>
      </w:r>
      <w:r>
        <w:rPr>
          <w:rFonts w:ascii="Arial" w:hAnsi="Arial" w:cs="Arial"/>
        </w:rPr>
        <w:t>in the public interest</w:t>
      </w:r>
      <w:r w:rsidR="00F328E5">
        <w:rPr>
          <w:rFonts w:ascii="Arial" w:hAnsi="Arial" w:cs="Arial"/>
        </w:rPr>
        <w:t xml:space="preserve"> to do so</w:t>
      </w:r>
      <w:r>
        <w:rPr>
          <w:rFonts w:ascii="Arial" w:hAnsi="Arial" w:cs="Arial"/>
        </w:rPr>
        <w:t>.</w:t>
      </w:r>
    </w:p>
    <w:p w14:paraId="358FDCAD" w14:textId="492B56D3" w:rsidR="00150C2C" w:rsidRDefault="00150C2C" w:rsidP="00821FA5">
      <w:pPr>
        <w:pStyle w:val="ListParagraph"/>
        <w:numPr>
          <w:ilvl w:val="0"/>
          <w:numId w:val="3"/>
        </w:numPr>
        <w:spacing w:line="480" w:lineRule="auto"/>
        <w:ind w:left="851" w:right="567" w:hanging="851"/>
        <w:jc w:val="both"/>
        <w:rPr>
          <w:rFonts w:ascii="Arial" w:hAnsi="Arial" w:cs="Arial"/>
        </w:rPr>
      </w:pPr>
      <w:r>
        <w:rPr>
          <w:rFonts w:ascii="Arial" w:hAnsi="Arial" w:cs="Arial"/>
        </w:rPr>
        <w:t xml:space="preserve">However, </w:t>
      </w:r>
      <w:r w:rsidR="00F328E5">
        <w:rPr>
          <w:rFonts w:ascii="Arial" w:hAnsi="Arial" w:cs="Arial"/>
        </w:rPr>
        <w:t>a judgment can be rescinded or amended</w:t>
      </w:r>
      <w:r>
        <w:rPr>
          <w:rFonts w:ascii="Arial" w:hAnsi="Arial" w:cs="Arial"/>
        </w:rPr>
        <w:t xml:space="preserve"> </w:t>
      </w:r>
      <w:r w:rsidR="00F328E5">
        <w:rPr>
          <w:rFonts w:ascii="Arial" w:hAnsi="Arial" w:cs="Arial"/>
        </w:rPr>
        <w:t>in terms of</w:t>
      </w:r>
      <w:r>
        <w:rPr>
          <w:rFonts w:ascii="Arial" w:hAnsi="Arial" w:cs="Arial"/>
        </w:rPr>
        <w:t xml:space="preserve"> the Rules of Court, that is, Rule 42(1)(a), 31(2) (b) and in terms of the common law.  A</w:t>
      </w:r>
      <w:r w:rsidR="0040709F">
        <w:rPr>
          <w:rFonts w:ascii="Arial" w:hAnsi="Arial" w:cs="Arial"/>
        </w:rPr>
        <w:t xml:space="preserve"> judgment or</w:t>
      </w:r>
      <w:r>
        <w:rPr>
          <w:rFonts w:ascii="Arial" w:hAnsi="Arial" w:cs="Arial"/>
        </w:rPr>
        <w:t xml:space="preserve"> order may also be set aside in terms of s23 A of the Superior Courts Act.</w:t>
      </w:r>
    </w:p>
    <w:p w14:paraId="25905FDC" w14:textId="454B7F8E" w:rsidR="0040709F" w:rsidRDefault="00A97590" w:rsidP="00821FA5">
      <w:pPr>
        <w:pStyle w:val="ListParagraph"/>
        <w:numPr>
          <w:ilvl w:val="0"/>
          <w:numId w:val="3"/>
        </w:numPr>
        <w:spacing w:line="480" w:lineRule="auto"/>
        <w:ind w:left="851" w:right="567" w:hanging="851"/>
        <w:jc w:val="both"/>
        <w:rPr>
          <w:rFonts w:ascii="Arial" w:hAnsi="Arial" w:cs="Arial"/>
        </w:rPr>
      </w:pPr>
      <w:r>
        <w:rPr>
          <w:rFonts w:ascii="Arial" w:hAnsi="Arial" w:cs="Arial"/>
        </w:rPr>
        <w:t>Rule 32(1) (b) provides for a recission of a judgment granted by default.</w:t>
      </w:r>
    </w:p>
    <w:p w14:paraId="6B031755" w14:textId="6DA00C21" w:rsidR="00A97590" w:rsidRDefault="00A97590" w:rsidP="00821FA5">
      <w:pPr>
        <w:pStyle w:val="ListParagraph"/>
        <w:numPr>
          <w:ilvl w:val="0"/>
          <w:numId w:val="3"/>
        </w:numPr>
        <w:spacing w:line="480" w:lineRule="auto"/>
        <w:ind w:left="851" w:right="567" w:hanging="851"/>
        <w:jc w:val="both"/>
        <w:rPr>
          <w:rFonts w:ascii="Arial" w:hAnsi="Arial" w:cs="Arial"/>
        </w:rPr>
      </w:pPr>
      <w:r>
        <w:rPr>
          <w:rFonts w:ascii="Arial" w:hAnsi="Arial" w:cs="Arial"/>
        </w:rPr>
        <w:t xml:space="preserve">In </w:t>
      </w:r>
      <w:r w:rsidRPr="00CA0160">
        <w:rPr>
          <w:rFonts w:ascii="Arial" w:hAnsi="Arial" w:cs="Arial"/>
          <w:b/>
          <w:bCs/>
        </w:rPr>
        <w:t>GRANT  v PLUMBERS (PTY) LTD</w:t>
      </w:r>
      <w:r>
        <w:rPr>
          <w:rStyle w:val="FootnoteReference"/>
          <w:rFonts w:ascii="Arial" w:hAnsi="Arial" w:cs="Arial"/>
        </w:rPr>
        <w:footnoteReference w:id="2"/>
      </w:r>
      <w:r>
        <w:rPr>
          <w:rFonts w:ascii="Arial" w:hAnsi="Arial" w:cs="Arial"/>
        </w:rPr>
        <w:t xml:space="preserve">, </w:t>
      </w:r>
      <w:r w:rsidR="003E25EE">
        <w:rPr>
          <w:rFonts w:ascii="Arial" w:hAnsi="Arial" w:cs="Arial"/>
        </w:rPr>
        <w:t>the court set out the requirements for  a recission of judgment sought under Rule 31(2) (b),</w:t>
      </w:r>
    </w:p>
    <w:p w14:paraId="12663311" w14:textId="77777777" w:rsidR="00114A70" w:rsidRDefault="003E25EE" w:rsidP="00852579">
      <w:pPr>
        <w:pStyle w:val="ListParagraph"/>
        <w:numPr>
          <w:ilvl w:val="1"/>
          <w:numId w:val="3"/>
        </w:numPr>
        <w:spacing w:line="480" w:lineRule="auto"/>
        <w:ind w:left="1418" w:right="567" w:hanging="567"/>
        <w:jc w:val="both"/>
        <w:rPr>
          <w:rFonts w:ascii="Arial" w:hAnsi="Arial" w:cs="Arial"/>
        </w:rPr>
      </w:pPr>
      <w:r w:rsidRPr="00114A70">
        <w:rPr>
          <w:rFonts w:ascii="Arial" w:hAnsi="Arial" w:cs="Arial"/>
        </w:rPr>
        <w:t>The applicant must give a reasonable explanation for his/her default.  If the default is found to be wilful or due to gross negligence, the court should not come to the assistance of the applicant.</w:t>
      </w:r>
    </w:p>
    <w:p w14:paraId="3142E9C1" w14:textId="77777777" w:rsidR="00114A70" w:rsidRDefault="003E25EE" w:rsidP="00852579">
      <w:pPr>
        <w:pStyle w:val="ListParagraph"/>
        <w:numPr>
          <w:ilvl w:val="1"/>
          <w:numId w:val="3"/>
        </w:numPr>
        <w:spacing w:line="480" w:lineRule="auto"/>
        <w:ind w:left="1418" w:right="567" w:hanging="567"/>
        <w:jc w:val="both"/>
        <w:rPr>
          <w:rFonts w:ascii="Arial" w:hAnsi="Arial" w:cs="Arial"/>
        </w:rPr>
      </w:pPr>
      <w:r w:rsidRPr="00114A70">
        <w:rPr>
          <w:rFonts w:ascii="Arial" w:hAnsi="Arial" w:cs="Arial"/>
        </w:rPr>
        <w:t xml:space="preserve">The applicant must demonstrate that </w:t>
      </w:r>
      <w:r w:rsidR="00C33B40" w:rsidRPr="00114A70">
        <w:rPr>
          <w:rFonts w:ascii="Arial" w:hAnsi="Arial" w:cs="Arial"/>
        </w:rPr>
        <w:t>i</w:t>
      </w:r>
      <w:r w:rsidRPr="00114A70">
        <w:rPr>
          <w:rFonts w:ascii="Arial" w:hAnsi="Arial" w:cs="Arial"/>
        </w:rPr>
        <w:t>t is bona fide in making the application and does not do to so to frustrate the plaintiff/respondent’s claim.</w:t>
      </w:r>
    </w:p>
    <w:p w14:paraId="0FEB869F" w14:textId="4C3F4CB6" w:rsidR="003E25EE" w:rsidRPr="00114A70" w:rsidRDefault="003E25EE" w:rsidP="00852579">
      <w:pPr>
        <w:pStyle w:val="ListParagraph"/>
        <w:numPr>
          <w:ilvl w:val="1"/>
          <w:numId w:val="3"/>
        </w:numPr>
        <w:spacing w:line="480" w:lineRule="auto"/>
        <w:ind w:left="1418" w:right="567" w:hanging="567"/>
        <w:jc w:val="both"/>
        <w:rPr>
          <w:rFonts w:ascii="Arial" w:hAnsi="Arial" w:cs="Arial"/>
        </w:rPr>
      </w:pPr>
      <w:r w:rsidRPr="00114A70">
        <w:rPr>
          <w:rFonts w:ascii="Arial" w:hAnsi="Arial" w:cs="Arial"/>
        </w:rPr>
        <w:t xml:space="preserve">The applicant must show that he </w:t>
      </w:r>
      <w:r w:rsidR="00C33B40" w:rsidRPr="00114A70">
        <w:rPr>
          <w:rFonts w:ascii="Arial" w:hAnsi="Arial" w:cs="Arial"/>
        </w:rPr>
        <w:t>i</w:t>
      </w:r>
      <w:r w:rsidR="00D35006" w:rsidRPr="00114A70">
        <w:rPr>
          <w:rFonts w:ascii="Arial" w:hAnsi="Arial" w:cs="Arial"/>
        </w:rPr>
        <w:t>t</w:t>
      </w:r>
      <w:r w:rsidRPr="00114A70">
        <w:rPr>
          <w:rFonts w:ascii="Arial" w:hAnsi="Arial" w:cs="Arial"/>
        </w:rPr>
        <w:t xml:space="preserve"> has a bona fide defence to the claim.  It is sufficient if the applicant sets out a prima facie </w:t>
      </w:r>
      <w:r w:rsidR="00740403" w:rsidRPr="00114A70">
        <w:rPr>
          <w:rFonts w:ascii="Arial" w:hAnsi="Arial" w:cs="Arial"/>
        </w:rPr>
        <w:t>defence</w:t>
      </w:r>
      <w:r w:rsidRPr="00114A70">
        <w:rPr>
          <w:rFonts w:ascii="Arial" w:hAnsi="Arial" w:cs="Arial"/>
        </w:rPr>
        <w:t xml:space="preserve">, that is, it can set out averments which if established at the trial, would entitle </w:t>
      </w:r>
      <w:r w:rsidR="00D35006" w:rsidRPr="00114A70">
        <w:rPr>
          <w:rFonts w:ascii="Arial" w:hAnsi="Arial" w:cs="Arial"/>
        </w:rPr>
        <w:t>it</w:t>
      </w:r>
      <w:r w:rsidRPr="00114A70">
        <w:rPr>
          <w:rFonts w:ascii="Arial" w:hAnsi="Arial" w:cs="Arial"/>
        </w:rPr>
        <w:t xml:space="preserve"> to the relief sought.  The applicant is not required to deal fully with the merits </w:t>
      </w:r>
      <w:r w:rsidR="00D35006" w:rsidRPr="00114A70">
        <w:rPr>
          <w:rFonts w:ascii="Arial" w:hAnsi="Arial" w:cs="Arial"/>
        </w:rPr>
        <w:t xml:space="preserve">of the matter and </w:t>
      </w:r>
      <w:r w:rsidR="00347722">
        <w:rPr>
          <w:rFonts w:ascii="Arial" w:hAnsi="Arial" w:cs="Arial"/>
        </w:rPr>
        <w:t>can furnish</w:t>
      </w:r>
      <w:r w:rsidR="00D35006" w:rsidRPr="00114A70">
        <w:rPr>
          <w:rFonts w:ascii="Arial" w:hAnsi="Arial" w:cs="Arial"/>
        </w:rPr>
        <w:t xml:space="preserve"> evidence which demonstrates the probabilities are in its favour.</w:t>
      </w:r>
    </w:p>
    <w:p w14:paraId="78CCB8FE" w14:textId="7A8A5E51" w:rsidR="00EB1950" w:rsidRDefault="00EB1950" w:rsidP="00821FA5">
      <w:pPr>
        <w:pStyle w:val="ListParagraph"/>
        <w:numPr>
          <w:ilvl w:val="0"/>
          <w:numId w:val="3"/>
        </w:numPr>
        <w:spacing w:line="480" w:lineRule="auto"/>
        <w:ind w:left="851" w:right="567" w:hanging="851"/>
        <w:jc w:val="both"/>
        <w:rPr>
          <w:rFonts w:ascii="Arial" w:hAnsi="Arial" w:cs="Arial"/>
        </w:rPr>
      </w:pPr>
      <w:r>
        <w:rPr>
          <w:rFonts w:ascii="Arial" w:hAnsi="Arial" w:cs="Arial"/>
        </w:rPr>
        <w:t xml:space="preserve">A court has a </w:t>
      </w:r>
      <w:r w:rsidR="005D7BE2">
        <w:rPr>
          <w:rFonts w:ascii="Arial" w:hAnsi="Arial" w:cs="Arial"/>
        </w:rPr>
        <w:t xml:space="preserve">wide </w:t>
      </w:r>
      <w:r>
        <w:rPr>
          <w:rFonts w:ascii="Arial" w:hAnsi="Arial" w:cs="Arial"/>
        </w:rPr>
        <w:t xml:space="preserve">discretion </w:t>
      </w:r>
      <w:r w:rsidR="00276CB7">
        <w:rPr>
          <w:rFonts w:ascii="Arial" w:hAnsi="Arial" w:cs="Arial"/>
        </w:rPr>
        <w:t>in the</w:t>
      </w:r>
      <w:r>
        <w:rPr>
          <w:rFonts w:ascii="Arial" w:hAnsi="Arial" w:cs="Arial"/>
        </w:rPr>
        <w:t xml:space="preserve"> grant</w:t>
      </w:r>
      <w:r w:rsidR="00276CB7">
        <w:rPr>
          <w:rFonts w:ascii="Arial" w:hAnsi="Arial" w:cs="Arial"/>
        </w:rPr>
        <w:t xml:space="preserve">ing of </w:t>
      </w:r>
      <w:r>
        <w:rPr>
          <w:rFonts w:ascii="Arial" w:hAnsi="Arial" w:cs="Arial"/>
        </w:rPr>
        <w:t>a recission</w:t>
      </w:r>
      <w:r w:rsidR="005D7BE2">
        <w:rPr>
          <w:rFonts w:ascii="Arial" w:hAnsi="Arial" w:cs="Arial"/>
        </w:rPr>
        <w:t xml:space="preserve"> and </w:t>
      </w:r>
      <w:r w:rsidR="00E83761">
        <w:rPr>
          <w:rFonts w:ascii="Arial" w:hAnsi="Arial" w:cs="Arial"/>
        </w:rPr>
        <w:t xml:space="preserve">must have regard </w:t>
      </w:r>
      <w:r w:rsidR="005D7BE2">
        <w:rPr>
          <w:rFonts w:ascii="Arial" w:hAnsi="Arial" w:cs="Arial"/>
        </w:rPr>
        <w:t>to all the relevant circumstances.</w:t>
      </w:r>
    </w:p>
    <w:p w14:paraId="2277A916" w14:textId="578B6915" w:rsidR="00EB1950" w:rsidRPr="00A12898" w:rsidRDefault="00D35006" w:rsidP="00821FA5">
      <w:pPr>
        <w:pStyle w:val="ListParagraph"/>
        <w:numPr>
          <w:ilvl w:val="0"/>
          <w:numId w:val="3"/>
        </w:numPr>
        <w:spacing w:line="480" w:lineRule="auto"/>
        <w:ind w:left="851" w:right="567" w:hanging="851"/>
        <w:jc w:val="both"/>
        <w:rPr>
          <w:rFonts w:ascii="Arial" w:hAnsi="Arial" w:cs="Arial"/>
        </w:rPr>
      </w:pPr>
      <w:r w:rsidRPr="00A12898">
        <w:rPr>
          <w:rFonts w:ascii="Arial" w:hAnsi="Arial" w:cs="Arial"/>
        </w:rPr>
        <w:lastRenderedPageBreak/>
        <w:t xml:space="preserve">In </w:t>
      </w:r>
      <w:r w:rsidRPr="00A12898">
        <w:rPr>
          <w:rFonts w:ascii="Arial" w:hAnsi="Arial" w:cs="Arial"/>
          <w:b/>
          <w:bCs/>
        </w:rPr>
        <w:t>COLYN v TIGER FOOD INDUSTRIES LTD t/a MEADOW FEED MILLS (Cape)</w:t>
      </w:r>
      <w:r w:rsidRPr="00A12898">
        <w:rPr>
          <w:rFonts w:ascii="Arial" w:hAnsi="Arial" w:cs="Arial"/>
        </w:rPr>
        <w:t xml:space="preserve"> </w:t>
      </w:r>
      <w:r>
        <w:rPr>
          <w:rStyle w:val="FootnoteReference"/>
          <w:rFonts w:ascii="Arial" w:hAnsi="Arial" w:cs="Arial"/>
        </w:rPr>
        <w:footnoteReference w:id="3"/>
      </w:r>
      <w:r w:rsidRPr="00A12898">
        <w:rPr>
          <w:rFonts w:ascii="Arial" w:hAnsi="Arial" w:cs="Arial"/>
        </w:rPr>
        <w:t>,</w:t>
      </w:r>
      <w:r w:rsidR="00C33B40">
        <w:rPr>
          <w:rFonts w:ascii="Arial" w:hAnsi="Arial" w:cs="Arial"/>
        </w:rPr>
        <w:t xml:space="preserve"> it was stated that,</w:t>
      </w:r>
      <w:r w:rsidRPr="00A12898">
        <w:rPr>
          <w:rFonts w:ascii="Arial" w:hAnsi="Arial" w:cs="Arial"/>
        </w:rPr>
        <w:t xml:space="preserve"> where a recission is sought against judgment taken by default, the applicant must show good /sufficient cause.</w:t>
      </w:r>
      <w:r w:rsidR="00EB1950" w:rsidRPr="00A12898">
        <w:rPr>
          <w:rFonts w:ascii="Arial" w:hAnsi="Arial" w:cs="Arial"/>
        </w:rPr>
        <w:t xml:space="preserve">  No precise or definite definition is given to the terms because many and various factors must be considered.</w:t>
      </w:r>
    </w:p>
    <w:p w14:paraId="6C0952C9" w14:textId="25A8187D" w:rsidR="00D624B5" w:rsidRPr="00EC7E33" w:rsidRDefault="00D624B5" w:rsidP="0049548F">
      <w:pPr>
        <w:spacing w:line="480" w:lineRule="auto"/>
        <w:jc w:val="both"/>
        <w:rPr>
          <w:rFonts w:ascii="Arial" w:hAnsi="Arial" w:cs="Arial"/>
          <w:b/>
          <w:bCs/>
        </w:rPr>
      </w:pPr>
      <w:r w:rsidRPr="00EC7E33">
        <w:rPr>
          <w:rFonts w:ascii="Arial" w:hAnsi="Arial" w:cs="Arial"/>
          <w:b/>
          <w:bCs/>
        </w:rPr>
        <w:t>The Applicant’s submissions</w:t>
      </w:r>
    </w:p>
    <w:p w14:paraId="645FFD23" w14:textId="7FCAFCC7" w:rsidR="000A0229" w:rsidRPr="00114A70" w:rsidRDefault="00D624B5" w:rsidP="00821FA5">
      <w:pPr>
        <w:pStyle w:val="ListParagraph"/>
        <w:numPr>
          <w:ilvl w:val="0"/>
          <w:numId w:val="3"/>
        </w:numPr>
        <w:spacing w:line="480" w:lineRule="auto"/>
        <w:ind w:left="851" w:hanging="851"/>
        <w:jc w:val="both"/>
        <w:rPr>
          <w:rFonts w:ascii="Arial" w:hAnsi="Arial" w:cs="Arial"/>
        </w:rPr>
      </w:pPr>
      <w:r w:rsidRPr="00114A70">
        <w:rPr>
          <w:rFonts w:ascii="Arial" w:hAnsi="Arial" w:cs="Arial"/>
        </w:rPr>
        <w:t>The parties initially concluded an agreement</w:t>
      </w:r>
      <w:r w:rsidR="00AA4ABF" w:rsidRPr="00114A70">
        <w:rPr>
          <w:rFonts w:ascii="Arial" w:hAnsi="Arial" w:cs="Arial"/>
        </w:rPr>
        <w:t xml:space="preserve"> </w:t>
      </w:r>
      <w:r w:rsidR="00F328E5" w:rsidRPr="00114A70">
        <w:rPr>
          <w:rFonts w:ascii="Arial" w:hAnsi="Arial" w:cs="Arial"/>
        </w:rPr>
        <w:t xml:space="preserve">to occupy premises </w:t>
      </w:r>
      <w:r w:rsidR="00BC0D76" w:rsidRPr="00114A70">
        <w:rPr>
          <w:rFonts w:ascii="Arial" w:hAnsi="Arial" w:cs="Arial"/>
        </w:rPr>
        <w:t>in November 2018</w:t>
      </w:r>
      <w:r w:rsidR="008A7D08" w:rsidRPr="00114A70">
        <w:rPr>
          <w:rFonts w:ascii="Arial" w:hAnsi="Arial" w:cs="Arial"/>
        </w:rPr>
        <w:t xml:space="preserve">, </w:t>
      </w:r>
      <w:r w:rsidR="00BC0D76" w:rsidRPr="00114A70">
        <w:rPr>
          <w:rFonts w:ascii="Arial" w:hAnsi="Arial" w:cs="Arial"/>
        </w:rPr>
        <w:t xml:space="preserve">but could not do so </w:t>
      </w:r>
      <w:r w:rsidR="00347722">
        <w:rPr>
          <w:rFonts w:ascii="Arial" w:hAnsi="Arial" w:cs="Arial"/>
        </w:rPr>
        <w:t>because</w:t>
      </w:r>
      <w:r w:rsidR="00BC0D76" w:rsidRPr="00114A70">
        <w:rPr>
          <w:rFonts w:ascii="Arial" w:hAnsi="Arial" w:cs="Arial"/>
        </w:rPr>
        <w:t xml:space="preserve"> the mall in which they leased a store, was still under construction. </w:t>
      </w:r>
      <w:r w:rsidR="000A0229" w:rsidRPr="00114A70">
        <w:rPr>
          <w:rFonts w:ascii="Arial" w:hAnsi="Arial" w:cs="Arial"/>
        </w:rPr>
        <w:t>They were to enjoy beneficial occupation as of 26 March 2019 and rentals were payable after a period.</w:t>
      </w:r>
      <w:r w:rsidR="00E83761" w:rsidRPr="00114A70">
        <w:rPr>
          <w:rFonts w:ascii="Arial" w:hAnsi="Arial" w:cs="Arial"/>
        </w:rPr>
        <w:t xml:space="preserve">  </w:t>
      </w:r>
    </w:p>
    <w:p w14:paraId="3C00812D" w14:textId="1E1E5112" w:rsidR="000A0229" w:rsidRDefault="00E83761"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The mall still being incomplete, the </w:t>
      </w:r>
      <w:r w:rsidR="0049548F">
        <w:rPr>
          <w:rFonts w:ascii="Arial" w:hAnsi="Arial" w:cs="Arial"/>
        </w:rPr>
        <w:t>parties ent</w:t>
      </w:r>
      <w:r w:rsidR="000A0229">
        <w:rPr>
          <w:rFonts w:ascii="Arial" w:hAnsi="Arial" w:cs="Arial"/>
        </w:rPr>
        <w:t xml:space="preserve">ered into </w:t>
      </w:r>
      <w:r w:rsidR="00347722">
        <w:rPr>
          <w:rFonts w:ascii="Arial" w:hAnsi="Arial" w:cs="Arial"/>
        </w:rPr>
        <w:t>second</w:t>
      </w:r>
      <w:r w:rsidR="000A0229">
        <w:rPr>
          <w:rFonts w:ascii="Arial" w:hAnsi="Arial" w:cs="Arial"/>
        </w:rPr>
        <w:t xml:space="preserve"> agreement which was concluded in June 2019 in terms of which they were to enjoy beneficial occupation on 23 July 2019</w:t>
      </w:r>
      <w:r w:rsidR="00347722">
        <w:rPr>
          <w:rFonts w:ascii="Arial" w:hAnsi="Arial" w:cs="Arial"/>
        </w:rPr>
        <w:t>,</w:t>
      </w:r>
      <w:r w:rsidR="000A0229">
        <w:rPr>
          <w:rFonts w:ascii="Arial" w:hAnsi="Arial" w:cs="Arial"/>
        </w:rPr>
        <w:t xml:space="preserve"> rentals would be payable as of 1 September 2019 and the lease would terminate on 31 August 2022.</w:t>
      </w:r>
    </w:p>
    <w:p w14:paraId="210F78B6" w14:textId="61027BB9" w:rsidR="00F328E5" w:rsidRPr="0039420D" w:rsidRDefault="00F328E5" w:rsidP="00821FA5">
      <w:pPr>
        <w:pStyle w:val="ListParagraph"/>
        <w:numPr>
          <w:ilvl w:val="0"/>
          <w:numId w:val="3"/>
        </w:numPr>
        <w:spacing w:line="480" w:lineRule="auto"/>
        <w:ind w:left="851" w:hanging="851"/>
        <w:jc w:val="both"/>
        <w:rPr>
          <w:rFonts w:ascii="Arial" w:hAnsi="Arial" w:cs="Arial"/>
        </w:rPr>
      </w:pPr>
      <w:r w:rsidRPr="0039420D">
        <w:rPr>
          <w:rFonts w:ascii="Arial" w:hAnsi="Arial" w:cs="Arial"/>
        </w:rPr>
        <w:t>The</w:t>
      </w:r>
      <w:r w:rsidR="0039420D" w:rsidRPr="0039420D">
        <w:rPr>
          <w:rFonts w:ascii="Arial" w:hAnsi="Arial" w:cs="Arial"/>
        </w:rPr>
        <w:t xml:space="preserve"> applicant com</w:t>
      </w:r>
      <w:r w:rsidRPr="0039420D">
        <w:rPr>
          <w:rFonts w:ascii="Arial" w:hAnsi="Arial" w:cs="Arial"/>
        </w:rPr>
        <w:t xml:space="preserve">plained that </w:t>
      </w:r>
      <w:r w:rsidR="00A74833">
        <w:rPr>
          <w:rFonts w:ascii="Arial" w:hAnsi="Arial" w:cs="Arial"/>
        </w:rPr>
        <w:t>its</w:t>
      </w:r>
      <w:r w:rsidRPr="0039420D">
        <w:rPr>
          <w:rFonts w:ascii="Arial" w:hAnsi="Arial" w:cs="Arial"/>
        </w:rPr>
        <w:t xml:space="preserve"> trad</w:t>
      </w:r>
      <w:r w:rsidR="00A74833">
        <w:rPr>
          <w:rFonts w:ascii="Arial" w:hAnsi="Arial" w:cs="Arial"/>
        </w:rPr>
        <w:t>ing</w:t>
      </w:r>
      <w:r w:rsidRPr="0039420D">
        <w:rPr>
          <w:rFonts w:ascii="Arial" w:hAnsi="Arial" w:cs="Arial"/>
        </w:rPr>
        <w:t xml:space="preserve"> </w:t>
      </w:r>
      <w:r w:rsidR="00D33864">
        <w:rPr>
          <w:rFonts w:ascii="Arial" w:hAnsi="Arial" w:cs="Arial"/>
        </w:rPr>
        <w:t xml:space="preserve">continued to be </w:t>
      </w:r>
      <w:r w:rsidRPr="0039420D">
        <w:rPr>
          <w:rFonts w:ascii="Arial" w:hAnsi="Arial" w:cs="Arial"/>
        </w:rPr>
        <w:t>hampered by the incomplete construction</w:t>
      </w:r>
      <w:r w:rsidR="00D33864">
        <w:rPr>
          <w:rFonts w:ascii="Arial" w:hAnsi="Arial" w:cs="Arial"/>
        </w:rPr>
        <w:t>.</w:t>
      </w:r>
    </w:p>
    <w:p w14:paraId="128F160A" w14:textId="4A07CF89" w:rsidR="00226475" w:rsidRDefault="008A7D08" w:rsidP="00821FA5">
      <w:pPr>
        <w:pStyle w:val="ListParagraph"/>
        <w:numPr>
          <w:ilvl w:val="0"/>
          <w:numId w:val="3"/>
        </w:numPr>
        <w:spacing w:line="480" w:lineRule="auto"/>
        <w:ind w:left="851" w:hanging="851"/>
        <w:jc w:val="both"/>
        <w:rPr>
          <w:rFonts w:ascii="Arial" w:hAnsi="Arial" w:cs="Arial"/>
        </w:rPr>
      </w:pPr>
      <w:r>
        <w:rPr>
          <w:rFonts w:ascii="Arial" w:hAnsi="Arial" w:cs="Arial"/>
        </w:rPr>
        <w:t>Adv</w:t>
      </w:r>
      <w:r w:rsidR="00D33864">
        <w:rPr>
          <w:rFonts w:ascii="Arial" w:hAnsi="Arial" w:cs="Arial"/>
        </w:rPr>
        <w:t xml:space="preserve">ocate </w:t>
      </w:r>
      <w:r w:rsidR="004C1098">
        <w:rPr>
          <w:rFonts w:ascii="Arial" w:hAnsi="Arial" w:cs="Arial"/>
        </w:rPr>
        <w:t>N Mahlangu</w:t>
      </w:r>
      <w:r w:rsidR="00D33864">
        <w:rPr>
          <w:rFonts w:ascii="Arial" w:hAnsi="Arial" w:cs="Arial"/>
        </w:rPr>
        <w:t xml:space="preserve"> appeared for the applicant</w:t>
      </w:r>
      <w:r>
        <w:rPr>
          <w:rFonts w:ascii="Arial" w:hAnsi="Arial" w:cs="Arial"/>
        </w:rPr>
        <w:t>, submitted that in issue i</w:t>
      </w:r>
      <w:r w:rsidR="00226475">
        <w:rPr>
          <w:rFonts w:ascii="Arial" w:hAnsi="Arial" w:cs="Arial"/>
        </w:rPr>
        <w:t>n this matter, is whether the use and enjoyment of the store had ever passed to the applicant</w:t>
      </w:r>
      <w:r w:rsidR="007F4973">
        <w:rPr>
          <w:rFonts w:ascii="Arial" w:hAnsi="Arial" w:cs="Arial"/>
        </w:rPr>
        <w:t>.</w:t>
      </w:r>
    </w:p>
    <w:p w14:paraId="21E222CE" w14:textId="5727897D" w:rsidR="00D33864" w:rsidRDefault="00D33864"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Counsel </w:t>
      </w:r>
      <w:r w:rsidR="00A74833">
        <w:rPr>
          <w:rFonts w:ascii="Arial" w:hAnsi="Arial" w:cs="Arial"/>
        </w:rPr>
        <w:t>proffered</w:t>
      </w:r>
      <w:r>
        <w:rPr>
          <w:rFonts w:ascii="Arial" w:hAnsi="Arial" w:cs="Arial"/>
        </w:rPr>
        <w:t xml:space="preserve"> that the negotiations on the rentals were ongoing as of November 2019 despite the </w:t>
      </w:r>
      <w:r w:rsidR="00347722">
        <w:rPr>
          <w:rFonts w:ascii="Arial" w:hAnsi="Arial" w:cs="Arial"/>
        </w:rPr>
        <w:t xml:space="preserve">conclusion of the </w:t>
      </w:r>
      <w:r>
        <w:rPr>
          <w:rFonts w:ascii="Arial" w:hAnsi="Arial" w:cs="Arial"/>
        </w:rPr>
        <w:t>second agreement in June 2019</w:t>
      </w:r>
      <w:r w:rsidR="00347722">
        <w:rPr>
          <w:rFonts w:ascii="Arial" w:hAnsi="Arial" w:cs="Arial"/>
        </w:rPr>
        <w:t>. The</w:t>
      </w:r>
      <w:r>
        <w:rPr>
          <w:rFonts w:ascii="Arial" w:hAnsi="Arial" w:cs="Arial"/>
        </w:rPr>
        <w:t xml:space="preserve"> problems </w:t>
      </w:r>
      <w:r w:rsidR="00320BBC">
        <w:rPr>
          <w:rFonts w:ascii="Arial" w:hAnsi="Arial" w:cs="Arial"/>
        </w:rPr>
        <w:t>regarding</w:t>
      </w:r>
      <w:r>
        <w:rPr>
          <w:rFonts w:ascii="Arial" w:hAnsi="Arial" w:cs="Arial"/>
        </w:rPr>
        <w:t xml:space="preserve"> the incomplete construction which hampered trade</w:t>
      </w:r>
      <w:r w:rsidR="00347722">
        <w:rPr>
          <w:rFonts w:ascii="Arial" w:hAnsi="Arial" w:cs="Arial"/>
        </w:rPr>
        <w:t>,</w:t>
      </w:r>
      <w:r>
        <w:rPr>
          <w:rFonts w:ascii="Arial" w:hAnsi="Arial" w:cs="Arial"/>
        </w:rPr>
        <w:t xml:space="preserve"> continued into 2020.</w:t>
      </w:r>
      <w:r w:rsidR="00E83761">
        <w:rPr>
          <w:rStyle w:val="FootnoteReference"/>
          <w:rFonts w:ascii="Arial" w:hAnsi="Arial" w:cs="Arial"/>
        </w:rPr>
        <w:footnoteReference w:id="4"/>
      </w:r>
    </w:p>
    <w:p w14:paraId="3321F2AC" w14:textId="12F45384" w:rsidR="00226475" w:rsidRDefault="00D33864" w:rsidP="00821FA5">
      <w:pPr>
        <w:pStyle w:val="ListParagraph"/>
        <w:numPr>
          <w:ilvl w:val="0"/>
          <w:numId w:val="3"/>
        </w:numPr>
        <w:spacing w:line="480" w:lineRule="auto"/>
        <w:ind w:left="851" w:hanging="851"/>
        <w:jc w:val="both"/>
        <w:rPr>
          <w:rFonts w:ascii="Arial" w:hAnsi="Arial" w:cs="Arial"/>
        </w:rPr>
      </w:pPr>
      <w:r>
        <w:rPr>
          <w:rFonts w:ascii="Arial" w:hAnsi="Arial" w:cs="Arial"/>
        </w:rPr>
        <w:t>In February 2020</w:t>
      </w:r>
      <w:r w:rsidR="007F4973">
        <w:rPr>
          <w:rFonts w:ascii="Arial" w:hAnsi="Arial" w:cs="Arial"/>
        </w:rPr>
        <w:t xml:space="preserve"> the parties agreed to the basic rentals and 8% on the applicant’s turnover.</w:t>
      </w:r>
      <w:r w:rsidR="00226475">
        <w:rPr>
          <w:rFonts w:ascii="Arial" w:hAnsi="Arial" w:cs="Arial"/>
        </w:rPr>
        <w:t xml:space="preserve">  </w:t>
      </w:r>
    </w:p>
    <w:p w14:paraId="376C0CEA" w14:textId="470EFF3B" w:rsidR="00D624B5" w:rsidRPr="002A0EF2" w:rsidRDefault="00226475" w:rsidP="00821FA5">
      <w:pPr>
        <w:pStyle w:val="ListParagraph"/>
        <w:numPr>
          <w:ilvl w:val="0"/>
          <w:numId w:val="3"/>
        </w:numPr>
        <w:spacing w:line="480" w:lineRule="auto"/>
        <w:ind w:left="851" w:hanging="851"/>
        <w:jc w:val="both"/>
        <w:rPr>
          <w:rFonts w:ascii="Arial" w:hAnsi="Arial" w:cs="Arial"/>
        </w:rPr>
      </w:pPr>
      <w:r>
        <w:rPr>
          <w:rFonts w:ascii="Arial" w:hAnsi="Arial" w:cs="Arial"/>
        </w:rPr>
        <w:lastRenderedPageBreak/>
        <w:t xml:space="preserve">Counsel </w:t>
      </w:r>
      <w:r w:rsidR="00E83761">
        <w:rPr>
          <w:rFonts w:ascii="Arial" w:hAnsi="Arial" w:cs="Arial"/>
        </w:rPr>
        <w:t>submitted</w:t>
      </w:r>
      <w:r>
        <w:rPr>
          <w:rFonts w:ascii="Arial" w:hAnsi="Arial" w:cs="Arial"/>
        </w:rPr>
        <w:t xml:space="preserve"> that the court must consider the nature of the agreement concluded, that is, the rental was set on a basic amount and a percentage of the profits generated per month</w:t>
      </w:r>
      <w:r w:rsidR="00C33B40">
        <w:rPr>
          <w:rFonts w:ascii="Arial" w:hAnsi="Arial" w:cs="Arial"/>
        </w:rPr>
        <w:t>, thus t</w:t>
      </w:r>
      <w:r w:rsidR="002A0EF2">
        <w:rPr>
          <w:rFonts w:ascii="Arial" w:hAnsi="Arial" w:cs="Arial"/>
        </w:rPr>
        <w:t>he payment of a rental amount was inextricably linked to the generation of revenue.</w:t>
      </w:r>
    </w:p>
    <w:p w14:paraId="3FBD5CA1" w14:textId="31112385" w:rsidR="00F415BA" w:rsidRPr="00347722" w:rsidRDefault="00D33864" w:rsidP="00821FA5">
      <w:pPr>
        <w:pStyle w:val="ListParagraph"/>
        <w:numPr>
          <w:ilvl w:val="0"/>
          <w:numId w:val="3"/>
        </w:numPr>
        <w:spacing w:line="480" w:lineRule="auto"/>
        <w:ind w:left="851" w:hanging="851"/>
        <w:jc w:val="both"/>
        <w:rPr>
          <w:rFonts w:ascii="Arial" w:hAnsi="Arial" w:cs="Arial"/>
        </w:rPr>
      </w:pPr>
      <w:r w:rsidRPr="00347722">
        <w:rPr>
          <w:rFonts w:ascii="Arial" w:hAnsi="Arial" w:cs="Arial"/>
        </w:rPr>
        <w:t xml:space="preserve">It was further argued that the customers were not attracted to the mall which was still under </w:t>
      </w:r>
      <w:r w:rsidR="00C33B40" w:rsidRPr="00347722">
        <w:rPr>
          <w:rFonts w:ascii="Arial" w:hAnsi="Arial" w:cs="Arial"/>
        </w:rPr>
        <w:t>construction,</w:t>
      </w:r>
      <w:r w:rsidRPr="00347722">
        <w:rPr>
          <w:rFonts w:ascii="Arial" w:hAnsi="Arial" w:cs="Arial"/>
        </w:rPr>
        <w:t xml:space="preserve"> and this impacted on the applicant’s revenue</w:t>
      </w:r>
      <w:r w:rsidR="002A0EF2" w:rsidRPr="00347722">
        <w:rPr>
          <w:rFonts w:ascii="Arial" w:hAnsi="Arial" w:cs="Arial"/>
        </w:rPr>
        <w:t xml:space="preserve">.  The applicant again approached the respondents </w:t>
      </w:r>
      <w:r w:rsidR="00320BBC" w:rsidRPr="00347722">
        <w:rPr>
          <w:rFonts w:ascii="Arial" w:hAnsi="Arial" w:cs="Arial"/>
        </w:rPr>
        <w:t>regarding</w:t>
      </w:r>
      <w:r w:rsidR="002A0EF2" w:rsidRPr="00347722">
        <w:rPr>
          <w:rFonts w:ascii="Arial" w:hAnsi="Arial" w:cs="Arial"/>
        </w:rPr>
        <w:t xml:space="preserve"> its challenges and parties agreed to review rentals in six months.</w:t>
      </w:r>
      <w:r w:rsidR="00347722" w:rsidRPr="00347722">
        <w:rPr>
          <w:rFonts w:ascii="Arial" w:hAnsi="Arial" w:cs="Arial"/>
        </w:rPr>
        <w:t xml:space="preserve">  However, the applicants challenges were exacerbated when the </w:t>
      </w:r>
      <w:r w:rsidRPr="00347722">
        <w:rPr>
          <w:rFonts w:ascii="Arial" w:hAnsi="Arial" w:cs="Arial"/>
        </w:rPr>
        <w:t xml:space="preserve">Covid </w:t>
      </w:r>
      <w:proofErr w:type="gramStart"/>
      <w:r w:rsidRPr="00347722">
        <w:rPr>
          <w:rFonts w:ascii="Arial" w:hAnsi="Arial" w:cs="Arial"/>
        </w:rPr>
        <w:t xml:space="preserve">pandemic </w:t>
      </w:r>
      <w:r w:rsidR="00347722">
        <w:rPr>
          <w:rFonts w:ascii="Arial" w:hAnsi="Arial" w:cs="Arial"/>
        </w:rPr>
        <w:t xml:space="preserve"> struck</w:t>
      </w:r>
      <w:proofErr w:type="gramEnd"/>
      <w:r w:rsidR="00347722">
        <w:rPr>
          <w:rFonts w:ascii="Arial" w:hAnsi="Arial" w:cs="Arial"/>
        </w:rPr>
        <w:t xml:space="preserve"> and t</w:t>
      </w:r>
      <w:r w:rsidRPr="00347722">
        <w:rPr>
          <w:rFonts w:ascii="Arial" w:hAnsi="Arial" w:cs="Arial"/>
        </w:rPr>
        <w:t>he hard lockdown rules permitted trading to only</w:t>
      </w:r>
      <w:r w:rsidR="00F415BA" w:rsidRPr="00347722">
        <w:rPr>
          <w:rFonts w:ascii="Arial" w:hAnsi="Arial" w:cs="Arial"/>
        </w:rPr>
        <w:t xml:space="preserve"> traders of essential services.</w:t>
      </w:r>
    </w:p>
    <w:p w14:paraId="58245590" w14:textId="626F79DC" w:rsidR="00F415BA" w:rsidRDefault="00F415BA" w:rsidP="00821FA5">
      <w:pPr>
        <w:pStyle w:val="ListParagraph"/>
        <w:numPr>
          <w:ilvl w:val="0"/>
          <w:numId w:val="3"/>
        </w:numPr>
        <w:spacing w:line="480" w:lineRule="auto"/>
        <w:ind w:left="851" w:hanging="851"/>
        <w:jc w:val="both"/>
        <w:rPr>
          <w:rFonts w:ascii="Arial" w:hAnsi="Arial" w:cs="Arial"/>
        </w:rPr>
      </w:pPr>
      <w:proofErr w:type="gramStart"/>
      <w:r>
        <w:rPr>
          <w:rFonts w:ascii="Arial" w:hAnsi="Arial" w:cs="Arial"/>
        </w:rPr>
        <w:t xml:space="preserve">On </w:t>
      </w:r>
      <w:r w:rsidR="002A0EF2">
        <w:rPr>
          <w:rFonts w:ascii="Arial" w:hAnsi="Arial" w:cs="Arial"/>
        </w:rPr>
        <w:t xml:space="preserve"> a</w:t>
      </w:r>
      <w:proofErr w:type="gramEnd"/>
      <w:r w:rsidR="002A0EF2">
        <w:rPr>
          <w:rFonts w:ascii="Arial" w:hAnsi="Arial" w:cs="Arial"/>
        </w:rPr>
        <w:t xml:space="preserve"> </w:t>
      </w:r>
      <w:r w:rsidR="00347C87">
        <w:rPr>
          <w:rFonts w:ascii="Arial" w:hAnsi="Arial" w:cs="Arial"/>
        </w:rPr>
        <w:t>month’s notice</w:t>
      </w:r>
      <w:r w:rsidR="002A0EF2">
        <w:rPr>
          <w:rFonts w:ascii="Arial" w:hAnsi="Arial" w:cs="Arial"/>
        </w:rPr>
        <w:t xml:space="preserve"> </w:t>
      </w:r>
      <w:r>
        <w:rPr>
          <w:rFonts w:ascii="Arial" w:hAnsi="Arial" w:cs="Arial"/>
        </w:rPr>
        <w:t xml:space="preserve">the applicants terminated the lease agreement, </w:t>
      </w:r>
      <w:r w:rsidR="002A0EF2">
        <w:rPr>
          <w:rFonts w:ascii="Arial" w:hAnsi="Arial" w:cs="Arial"/>
        </w:rPr>
        <w:t xml:space="preserve">as of 1 June 2020. </w:t>
      </w:r>
      <w:r>
        <w:rPr>
          <w:rFonts w:ascii="Arial" w:hAnsi="Arial" w:cs="Arial"/>
        </w:rPr>
        <w:t>having paid in two months as a rental deposit.</w:t>
      </w:r>
      <w:r w:rsidR="00EE38FA">
        <w:rPr>
          <w:rStyle w:val="FootnoteReference"/>
          <w:rFonts w:ascii="Arial" w:hAnsi="Arial" w:cs="Arial"/>
        </w:rPr>
        <w:footnoteReference w:id="5"/>
      </w:r>
      <w:r w:rsidR="00EE38FA">
        <w:rPr>
          <w:rFonts w:ascii="Arial" w:hAnsi="Arial" w:cs="Arial"/>
        </w:rPr>
        <w:t xml:space="preserve">  It could no longer trade profitably.</w:t>
      </w:r>
    </w:p>
    <w:p w14:paraId="738477A1" w14:textId="581CCC66" w:rsidR="00347C87" w:rsidRDefault="00EE38FA" w:rsidP="00821FA5">
      <w:pPr>
        <w:pStyle w:val="ListParagraph"/>
        <w:numPr>
          <w:ilvl w:val="0"/>
          <w:numId w:val="3"/>
        </w:numPr>
        <w:spacing w:line="480" w:lineRule="auto"/>
        <w:ind w:left="851" w:hanging="851"/>
        <w:jc w:val="both"/>
        <w:rPr>
          <w:rFonts w:ascii="Arial" w:hAnsi="Arial" w:cs="Arial"/>
        </w:rPr>
      </w:pPr>
      <w:r>
        <w:rPr>
          <w:rFonts w:ascii="Arial" w:hAnsi="Arial" w:cs="Arial"/>
        </w:rPr>
        <w:t>O</w:t>
      </w:r>
      <w:r w:rsidR="00347C87">
        <w:rPr>
          <w:rFonts w:ascii="Arial" w:hAnsi="Arial" w:cs="Arial"/>
        </w:rPr>
        <w:t>n 27 July 2020</w:t>
      </w:r>
      <w:r w:rsidR="00F415BA">
        <w:rPr>
          <w:rFonts w:ascii="Arial" w:hAnsi="Arial" w:cs="Arial"/>
        </w:rPr>
        <w:t xml:space="preserve"> the </w:t>
      </w:r>
      <w:r w:rsidR="00347C87">
        <w:rPr>
          <w:rFonts w:ascii="Arial" w:hAnsi="Arial" w:cs="Arial"/>
        </w:rPr>
        <w:t>applicants</w:t>
      </w:r>
      <w:r w:rsidR="00F415BA">
        <w:rPr>
          <w:rFonts w:ascii="Arial" w:hAnsi="Arial" w:cs="Arial"/>
        </w:rPr>
        <w:t xml:space="preserve"> </w:t>
      </w:r>
      <w:r w:rsidR="00347C87">
        <w:rPr>
          <w:rFonts w:ascii="Arial" w:hAnsi="Arial" w:cs="Arial"/>
        </w:rPr>
        <w:t xml:space="preserve">by email </w:t>
      </w:r>
      <w:r w:rsidR="00F415BA">
        <w:rPr>
          <w:rFonts w:ascii="Arial" w:hAnsi="Arial" w:cs="Arial"/>
        </w:rPr>
        <w:t xml:space="preserve">correspondences sought to remove its </w:t>
      </w:r>
      <w:r w:rsidR="00740403">
        <w:rPr>
          <w:rFonts w:ascii="Arial" w:hAnsi="Arial" w:cs="Arial"/>
        </w:rPr>
        <w:t>shopfitting</w:t>
      </w:r>
      <w:r w:rsidR="002A0EF2">
        <w:rPr>
          <w:rFonts w:ascii="Arial" w:hAnsi="Arial" w:cs="Arial"/>
        </w:rPr>
        <w:t xml:space="preserve"> and return the store as</w:t>
      </w:r>
      <w:r w:rsidR="00347C87">
        <w:rPr>
          <w:rFonts w:ascii="Arial" w:hAnsi="Arial" w:cs="Arial"/>
        </w:rPr>
        <w:t xml:space="preserve"> was required in the lease, as</w:t>
      </w:r>
      <w:r w:rsidR="002A0EF2">
        <w:rPr>
          <w:rFonts w:ascii="Arial" w:hAnsi="Arial" w:cs="Arial"/>
        </w:rPr>
        <w:t xml:space="preserve"> a “shell”</w:t>
      </w:r>
      <w:r w:rsidR="00347C87">
        <w:rPr>
          <w:rFonts w:ascii="Arial" w:hAnsi="Arial" w:cs="Arial"/>
        </w:rPr>
        <w:t>.</w:t>
      </w:r>
      <w:r w:rsidR="00A633D9">
        <w:rPr>
          <w:rStyle w:val="FootnoteReference"/>
          <w:rFonts w:ascii="Arial" w:hAnsi="Arial" w:cs="Arial"/>
        </w:rPr>
        <w:footnoteReference w:id="6"/>
      </w:r>
    </w:p>
    <w:p w14:paraId="09AE1188" w14:textId="69545538" w:rsidR="00347C87" w:rsidRDefault="004354FA"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Only on 7 October 2020, the respondent in its reply </w:t>
      </w:r>
      <w:r w:rsidR="00347C87">
        <w:rPr>
          <w:rFonts w:ascii="Arial" w:hAnsi="Arial" w:cs="Arial"/>
        </w:rPr>
        <w:t>informed that the Board had decided to institute legal action for the breach of the agreement.</w:t>
      </w:r>
      <w:r w:rsidR="00A633D9">
        <w:rPr>
          <w:rStyle w:val="FootnoteReference"/>
          <w:rFonts w:ascii="Arial" w:hAnsi="Arial" w:cs="Arial"/>
        </w:rPr>
        <w:footnoteReference w:id="7"/>
      </w:r>
    </w:p>
    <w:p w14:paraId="738EC8ED" w14:textId="0256FBA8" w:rsidR="00347C87" w:rsidRDefault="00347C87" w:rsidP="00114A70">
      <w:pPr>
        <w:tabs>
          <w:tab w:val="left" w:pos="1418"/>
        </w:tabs>
        <w:spacing w:line="480" w:lineRule="auto"/>
        <w:ind w:left="1440" w:hanging="720"/>
        <w:jc w:val="both"/>
        <w:rPr>
          <w:rFonts w:ascii="Arial" w:hAnsi="Arial" w:cs="Arial"/>
        </w:rPr>
      </w:pPr>
      <w:r>
        <w:rPr>
          <w:rFonts w:ascii="Arial" w:hAnsi="Arial" w:cs="Arial"/>
        </w:rPr>
        <w:t>1</w:t>
      </w:r>
      <w:r w:rsidR="00114A70">
        <w:rPr>
          <w:rFonts w:ascii="Arial" w:hAnsi="Arial" w:cs="Arial"/>
        </w:rPr>
        <w:t>8</w:t>
      </w:r>
      <w:r>
        <w:rPr>
          <w:rFonts w:ascii="Arial" w:hAnsi="Arial" w:cs="Arial"/>
        </w:rPr>
        <w:t>.1</w:t>
      </w:r>
      <w:r w:rsidR="00114A70">
        <w:rPr>
          <w:rFonts w:ascii="Arial" w:hAnsi="Arial" w:cs="Arial"/>
        </w:rPr>
        <w:tab/>
      </w:r>
      <w:r>
        <w:rPr>
          <w:rFonts w:ascii="Arial" w:hAnsi="Arial" w:cs="Arial"/>
        </w:rPr>
        <w:tab/>
        <w:t>Counsel emphasised that at no stage did the respondent’s representative inform the applicants that action had already been taken on the 2</w:t>
      </w:r>
      <w:r>
        <w:rPr>
          <w:rFonts w:ascii="Arial" w:hAnsi="Arial" w:cs="Arial"/>
          <w:vertAlign w:val="superscript"/>
        </w:rPr>
        <w:t xml:space="preserve"> </w:t>
      </w:r>
      <w:r>
        <w:rPr>
          <w:rFonts w:ascii="Arial" w:hAnsi="Arial" w:cs="Arial"/>
        </w:rPr>
        <w:t xml:space="preserve">October </w:t>
      </w:r>
      <w:r w:rsidR="001E1700">
        <w:rPr>
          <w:rFonts w:ascii="Arial" w:hAnsi="Arial" w:cs="Arial"/>
        </w:rPr>
        <w:t>2020.</w:t>
      </w:r>
    </w:p>
    <w:p w14:paraId="1390E8C0" w14:textId="2C9C46DB" w:rsidR="001E1700" w:rsidRDefault="001E1700" w:rsidP="0049548F">
      <w:pPr>
        <w:spacing w:line="480" w:lineRule="auto"/>
        <w:ind w:left="1440" w:hanging="720"/>
        <w:jc w:val="both"/>
        <w:rPr>
          <w:rFonts w:ascii="Arial" w:hAnsi="Arial" w:cs="Arial"/>
        </w:rPr>
      </w:pPr>
      <w:r>
        <w:rPr>
          <w:rFonts w:ascii="Arial" w:hAnsi="Arial" w:cs="Arial"/>
        </w:rPr>
        <w:t>1</w:t>
      </w:r>
      <w:r w:rsidR="00114A70">
        <w:rPr>
          <w:rFonts w:ascii="Arial" w:hAnsi="Arial" w:cs="Arial"/>
        </w:rPr>
        <w:t>8</w:t>
      </w:r>
      <w:r>
        <w:rPr>
          <w:rFonts w:ascii="Arial" w:hAnsi="Arial" w:cs="Arial"/>
        </w:rPr>
        <w:t>.2</w:t>
      </w:r>
      <w:r>
        <w:rPr>
          <w:rFonts w:ascii="Arial" w:hAnsi="Arial" w:cs="Arial"/>
        </w:rPr>
        <w:tab/>
        <w:t>The applicant was of the understanding that it was to await a summons.</w:t>
      </w:r>
    </w:p>
    <w:p w14:paraId="7280DA80" w14:textId="672EACBE" w:rsidR="004B0D46" w:rsidRDefault="001E1700" w:rsidP="0049548F">
      <w:pPr>
        <w:spacing w:line="480" w:lineRule="auto"/>
        <w:ind w:left="1440" w:hanging="720"/>
        <w:jc w:val="both"/>
        <w:rPr>
          <w:rFonts w:ascii="Arial" w:hAnsi="Arial" w:cs="Arial"/>
        </w:rPr>
      </w:pPr>
      <w:r>
        <w:rPr>
          <w:rFonts w:ascii="Arial" w:hAnsi="Arial" w:cs="Arial"/>
        </w:rPr>
        <w:t>1</w:t>
      </w:r>
      <w:r w:rsidR="00114A70">
        <w:rPr>
          <w:rFonts w:ascii="Arial" w:hAnsi="Arial" w:cs="Arial"/>
        </w:rPr>
        <w:t>8</w:t>
      </w:r>
      <w:r>
        <w:rPr>
          <w:rFonts w:ascii="Arial" w:hAnsi="Arial" w:cs="Arial"/>
        </w:rPr>
        <w:t>.3</w:t>
      </w:r>
      <w:r>
        <w:rPr>
          <w:rFonts w:ascii="Arial" w:hAnsi="Arial" w:cs="Arial"/>
        </w:rPr>
        <w:tab/>
        <w:t>The applicant continued to approach the respondents to resolve the impasse between them and d</w:t>
      </w:r>
      <w:r w:rsidR="004354FA">
        <w:rPr>
          <w:rFonts w:ascii="Arial" w:hAnsi="Arial" w:cs="Arial"/>
        </w:rPr>
        <w:t>id</w:t>
      </w:r>
      <w:r>
        <w:rPr>
          <w:rFonts w:ascii="Arial" w:hAnsi="Arial" w:cs="Arial"/>
        </w:rPr>
        <w:t xml:space="preserve"> in January and March 2021</w:t>
      </w:r>
      <w:r w:rsidR="004354FA">
        <w:rPr>
          <w:rFonts w:ascii="Arial" w:hAnsi="Arial" w:cs="Arial"/>
        </w:rPr>
        <w:t xml:space="preserve">.  </w:t>
      </w:r>
    </w:p>
    <w:p w14:paraId="54788C13" w14:textId="6DDD2251" w:rsidR="001E1700" w:rsidRDefault="004B0D46" w:rsidP="0049548F">
      <w:pPr>
        <w:spacing w:line="480" w:lineRule="auto"/>
        <w:ind w:left="1440" w:hanging="720"/>
        <w:jc w:val="both"/>
        <w:rPr>
          <w:rFonts w:ascii="Arial" w:hAnsi="Arial" w:cs="Arial"/>
        </w:rPr>
      </w:pPr>
      <w:r>
        <w:rPr>
          <w:rFonts w:ascii="Arial" w:hAnsi="Arial" w:cs="Arial"/>
        </w:rPr>
        <w:lastRenderedPageBreak/>
        <w:t>1</w:t>
      </w:r>
      <w:r w:rsidR="00114A70">
        <w:rPr>
          <w:rFonts w:ascii="Arial" w:hAnsi="Arial" w:cs="Arial"/>
        </w:rPr>
        <w:t>8</w:t>
      </w:r>
      <w:r>
        <w:rPr>
          <w:rFonts w:ascii="Arial" w:hAnsi="Arial" w:cs="Arial"/>
        </w:rPr>
        <w:t>.4</w:t>
      </w:r>
      <w:r>
        <w:rPr>
          <w:rFonts w:ascii="Arial" w:hAnsi="Arial" w:cs="Arial"/>
        </w:rPr>
        <w:tab/>
        <w:t>Only in June</w:t>
      </w:r>
      <w:r w:rsidR="001E1700">
        <w:rPr>
          <w:rFonts w:ascii="Arial" w:hAnsi="Arial" w:cs="Arial"/>
        </w:rPr>
        <w:t xml:space="preserve"> 2021 </w:t>
      </w:r>
      <w:r w:rsidR="004354FA">
        <w:rPr>
          <w:rFonts w:ascii="Arial" w:hAnsi="Arial" w:cs="Arial"/>
        </w:rPr>
        <w:t xml:space="preserve">on </w:t>
      </w:r>
      <w:r w:rsidR="001E1700">
        <w:rPr>
          <w:rFonts w:ascii="Arial" w:hAnsi="Arial" w:cs="Arial"/>
        </w:rPr>
        <w:t>inquir</w:t>
      </w:r>
      <w:r w:rsidR="004354FA">
        <w:rPr>
          <w:rFonts w:ascii="Arial" w:hAnsi="Arial" w:cs="Arial"/>
        </w:rPr>
        <w:t xml:space="preserve">ing </w:t>
      </w:r>
      <w:r w:rsidR="001E1700">
        <w:rPr>
          <w:rFonts w:ascii="Arial" w:hAnsi="Arial" w:cs="Arial"/>
        </w:rPr>
        <w:t xml:space="preserve">about the removal of their </w:t>
      </w:r>
      <w:r w:rsidR="00740403">
        <w:rPr>
          <w:rFonts w:ascii="Arial" w:hAnsi="Arial" w:cs="Arial"/>
        </w:rPr>
        <w:t>shopfitting</w:t>
      </w:r>
      <w:r w:rsidR="00CB3996">
        <w:rPr>
          <w:rFonts w:ascii="Arial" w:hAnsi="Arial" w:cs="Arial"/>
        </w:rPr>
        <w:t xml:space="preserve">, the respondent </w:t>
      </w:r>
      <w:r>
        <w:rPr>
          <w:rFonts w:ascii="Arial" w:hAnsi="Arial" w:cs="Arial"/>
        </w:rPr>
        <w:t xml:space="preserve">informed </w:t>
      </w:r>
      <w:r w:rsidR="001E1700">
        <w:rPr>
          <w:rFonts w:ascii="Arial" w:hAnsi="Arial" w:cs="Arial"/>
        </w:rPr>
        <w:t xml:space="preserve">that the matter was with the attorneys and </w:t>
      </w:r>
      <w:r>
        <w:rPr>
          <w:rFonts w:ascii="Arial" w:hAnsi="Arial" w:cs="Arial"/>
        </w:rPr>
        <w:t>furnished</w:t>
      </w:r>
      <w:r w:rsidR="001E1700">
        <w:rPr>
          <w:rFonts w:ascii="Arial" w:hAnsi="Arial" w:cs="Arial"/>
        </w:rPr>
        <w:t xml:space="preserve"> their contact details.</w:t>
      </w:r>
    </w:p>
    <w:p w14:paraId="639B897A" w14:textId="6B69AB4D" w:rsidR="001E1700" w:rsidRPr="00347C87" w:rsidRDefault="001E1700" w:rsidP="0049548F">
      <w:pPr>
        <w:spacing w:line="480" w:lineRule="auto"/>
        <w:ind w:left="1440" w:hanging="720"/>
        <w:jc w:val="both"/>
        <w:rPr>
          <w:rFonts w:ascii="Arial" w:hAnsi="Arial" w:cs="Arial"/>
        </w:rPr>
      </w:pPr>
      <w:r>
        <w:rPr>
          <w:rFonts w:ascii="Arial" w:hAnsi="Arial" w:cs="Arial"/>
        </w:rPr>
        <w:t>1</w:t>
      </w:r>
      <w:r w:rsidR="00114A70">
        <w:rPr>
          <w:rFonts w:ascii="Arial" w:hAnsi="Arial" w:cs="Arial"/>
        </w:rPr>
        <w:t>8</w:t>
      </w:r>
      <w:r>
        <w:rPr>
          <w:rFonts w:ascii="Arial" w:hAnsi="Arial" w:cs="Arial"/>
        </w:rPr>
        <w:t>.</w:t>
      </w:r>
      <w:r w:rsidR="00CB3996">
        <w:rPr>
          <w:rFonts w:ascii="Arial" w:hAnsi="Arial" w:cs="Arial"/>
        </w:rPr>
        <w:t>5</w:t>
      </w:r>
      <w:r>
        <w:rPr>
          <w:rFonts w:ascii="Arial" w:hAnsi="Arial" w:cs="Arial"/>
        </w:rPr>
        <w:tab/>
        <w:t xml:space="preserve">The </w:t>
      </w:r>
      <w:r w:rsidR="004B0D46">
        <w:rPr>
          <w:rFonts w:ascii="Arial" w:hAnsi="Arial" w:cs="Arial"/>
        </w:rPr>
        <w:t xml:space="preserve">applicants for the first time heard from </w:t>
      </w:r>
      <w:r w:rsidR="00A74833">
        <w:rPr>
          <w:rFonts w:ascii="Arial" w:hAnsi="Arial" w:cs="Arial"/>
        </w:rPr>
        <w:t>respondent’s</w:t>
      </w:r>
      <w:r>
        <w:rPr>
          <w:rFonts w:ascii="Arial" w:hAnsi="Arial" w:cs="Arial"/>
        </w:rPr>
        <w:t xml:space="preserve"> attorneys that a judgment was granted on</w:t>
      </w:r>
      <w:r w:rsidR="009E2585">
        <w:rPr>
          <w:rFonts w:ascii="Arial" w:hAnsi="Arial" w:cs="Arial"/>
        </w:rPr>
        <w:t xml:space="preserve"> 25 January 2021.</w:t>
      </w:r>
    </w:p>
    <w:p w14:paraId="50481770" w14:textId="53BA077F" w:rsidR="00C36855" w:rsidRDefault="00A633D9"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Mr </w:t>
      </w:r>
      <w:r w:rsidR="004C1098">
        <w:rPr>
          <w:rFonts w:ascii="Arial" w:hAnsi="Arial" w:cs="Arial"/>
        </w:rPr>
        <w:t>Mahlangu</w:t>
      </w:r>
      <w:r>
        <w:rPr>
          <w:rFonts w:ascii="Arial" w:hAnsi="Arial" w:cs="Arial"/>
        </w:rPr>
        <w:t xml:space="preserve"> </w:t>
      </w:r>
      <w:r w:rsidR="00D33864">
        <w:rPr>
          <w:rFonts w:ascii="Arial" w:hAnsi="Arial" w:cs="Arial"/>
        </w:rPr>
        <w:t xml:space="preserve">submitted that the </w:t>
      </w:r>
      <w:r>
        <w:rPr>
          <w:rFonts w:ascii="Arial" w:hAnsi="Arial" w:cs="Arial"/>
        </w:rPr>
        <w:t>applicants had at all material times engaged with the respondents to resolve their dispute</w:t>
      </w:r>
      <w:r w:rsidR="00D5002B">
        <w:rPr>
          <w:rFonts w:ascii="Arial" w:hAnsi="Arial" w:cs="Arial"/>
        </w:rPr>
        <w:t xml:space="preserve"> and to return their property</w:t>
      </w:r>
      <w:r w:rsidR="00EE38FA">
        <w:rPr>
          <w:rFonts w:ascii="Arial" w:hAnsi="Arial" w:cs="Arial"/>
        </w:rPr>
        <w:t>, several of its</w:t>
      </w:r>
      <w:r w:rsidR="00821FA5">
        <w:rPr>
          <w:rFonts w:ascii="Arial" w:hAnsi="Arial" w:cs="Arial"/>
        </w:rPr>
        <w:t xml:space="preserve"> </w:t>
      </w:r>
      <w:r w:rsidR="00EE38FA">
        <w:rPr>
          <w:rFonts w:ascii="Arial" w:hAnsi="Arial" w:cs="Arial"/>
        </w:rPr>
        <w:t>correspondences were unanswered.</w:t>
      </w:r>
    </w:p>
    <w:p w14:paraId="075A3822" w14:textId="0A69E339" w:rsidR="00022BC9" w:rsidRDefault="00821FA5"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 </w:t>
      </w:r>
      <w:r w:rsidR="00D5002B" w:rsidRPr="00022BC9">
        <w:rPr>
          <w:rFonts w:ascii="Arial" w:hAnsi="Arial" w:cs="Arial"/>
        </w:rPr>
        <w:t xml:space="preserve">Counsel submitted that the applicant has several defences which it must be </w:t>
      </w:r>
      <w:proofErr w:type="gramStart"/>
      <w:r w:rsidR="00D5002B" w:rsidRPr="00022BC9">
        <w:rPr>
          <w:rFonts w:ascii="Arial" w:hAnsi="Arial" w:cs="Arial"/>
        </w:rPr>
        <w:t xml:space="preserve">permitted </w:t>
      </w:r>
      <w:r>
        <w:rPr>
          <w:rFonts w:ascii="Arial" w:hAnsi="Arial" w:cs="Arial"/>
        </w:rPr>
        <w:t xml:space="preserve"> </w:t>
      </w:r>
      <w:r w:rsidR="00D5002B" w:rsidRPr="00022BC9">
        <w:rPr>
          <w:rFonts w:ascii="Arial" w:hAnsi="Arial" w:cs="Arial"/>
        </w:rPr>
        <w:t>to</w:t>
      </w:r>
      <w:proofErr w:type="gramEnd"/>
      <w:r w:rsidR="00D5002B" w:rsidRPr="00022BC9">
        <w:rPr>
          <w:rFonts w:ascii="Arial" w:hAnsi="Arial" w:cs="Arial"/>
        </w:rPr>
        <w:t xml:space="preserve"> argue before a trial court.  </w:t>
      </w:r>
    </w:p>
    <w:p w14:paraId="69734AFD" w14:textId="542AC1D0" w:rsidR="009A18AD" w:rsidRPr="00852579" w:rsidRDefault="009A18AD" w:rsidP="00852579">
      <w:pPr>
        <w:spacing w:line="480" w:lineRule="auto"/>
        <w:ind w:left="360" w:hanging="360"/>
        <w:jc w:val="both"/>
        <w:rPr>
          <w:rFonts w:ascii="Arial" w:hAnsi="Arial" w:cs="Arial"/>
          <w:b/>
          <w:bCs/>
        </w:rPr>
      </w:pPr>
      <w:r w:rsidRPr="00852579">
        <w:rPr>
          <w:rFonts w:ascii="Arial" w:hAnsi="Arial" w:cs="Arial"/>
          <w:b/>
          <w:bCs/>
        </w:rPr>
        <w:t>Wilful Default</w:t>
      </w:r>
    </w:p>
    <w:p w14:paraId="4C8E889E" w14:textId="538B0894" w:rsidR="00BE1A3F" w:rsidRPr="00717380" w:rsidRDefault="00717380" w:rsidP="00717380">
      <w:pPr>
        <w:pStyle w:val="ListParagraph"/>
        <w:numPr>
          <w:ilvl w:val="0"/>
          <w:numId w:val="3"/>
        </w:numPr>
        <w:spacing w:line="480" w:lineRule="auto"/>
        <w:ind w:left="851" w:hanging="851"/>
        <w:jc w:val="both"/>
        <w:rPr>
          <w:rFonts w:ascii="Arial" w:hAnsi="Arial" w:cs="Arial"/>
        </w:rPr>
      </w:pPr>
      <w:r w:rsidRPr="00717380">
        <w:rPr>
          <w:rFonts w:ascii="Arial" w:hAnsi="Arial" w:cs="Arial"/>
        </w:rPr>
        <w:t>It is common cause that</w:t>
      </w:r>
      <w:r>
        <w:rPr>
          <w:rFonts w:ascii="Arial" w:hAnsi="Arial" w:cs="Arial"/>
        </w:rPr>
        <w:t xml:space="preserve"> after the second lease was concluded</w:t>
      </w:r>
      <w:r w:rsidRPr="00717380">
        <w:rPr>
          <w:rFonts w:ascii="Arial" w:hAnsi="Arial" w:cs="Arial"/>
        </w:rPr>
        <w:t xml:space="preserve"> the applicant </w:t>
      </w:r>
      <w:r w:rsidR="009A18AD" w:rsidRPr="00717380">
        <w:rPr>
          <w:rFonts w:ascii="Arial" w:hAnsi="Arial" w:cs="Arial"/>
        </w:rPr>
        <w:t>submitted documents for the FICA and CIPC</w:t>
      </w:r>
      <w:r w:rsidR="009A18AD">
        <w:rPr>
          <w:rStyle w:val="FootnoteReference"/>
          <w:rFonts w:ascii="Arial" w:hAnsi="Arial" w:cs="Arial"/>
        </w:rPr>
        <w:footnoteReference w:id="8"/>
      </w:r>
      <w:r w:rsidR="009A18AD" w:rsidRPr="00717380">
        <w:rPr>
          <w:rFonts w:ascii="Arial" w:hAnsi="Arial" w:cs="Arial"/>
        </w:rPr>
        <w:t xml:space="preserve"> registrations, </w:t>
      </w:r>
      <w:r w:rsidR="00BE1A3F" w:rsidRPr="00717380">
        <w:rPr>
          <w:rFonts w:ascii="Arial" w:hAnsi="Arial" w:cs="Arial"/>
        </w:rPr>
        <w:t xml:space="preserve">to the respondent </w:t>
      </w:r>
      <w:r w:rsidR="00C57CDD" w:rsidRPr="00717380">
        <w:rPr>
          <w:rFonts w:ascii="Arial" w:hAnsi="Arial" w:cs="Arial"/>
        </w:rPr>
        <w:t xml:space="preserve">at its request, </w:t>
      </w:r>
      <w:r w:rsidR="009A18AD" w:rsidRPr="00717380">
        <w:rPr>
          <w:rFonts w:ascii="Arial" w:hAnsi="Arial" w:cs="Arial"/>
        </w:rPr>
        <w:t>which reflects the applicant</w:t>
      </w:r>
      <w:r w:rsidR="00BE1A3F" w:rsidRPr="00717380">
        <w:rPr>
          <w:rFonts w:ascii="Arial" w:hAnsi="Arial" w:cs="Arial"/>
        </w:rPr>
        <w:t xml:space="preserve">’s </w:t>
      </w:r>
      <w:proofErr w:type="spellStart"/>
      <w:r w:rsidR="00BE1A3F" w:rsidRPr="00717380">
        <w:rPr>
          <w:rFonts w:ascii="Arial" w:hAnsi="Arial" w:cs="Arial"/>
        </w:rPr>
        <w:t>domicilium</w:t>
      </w:r>
      <w:proofErr w:type="spellEnd"/>
      <w:r w:rsidR="00BE1A3F" w:rsidRPr="00717380">
        <w:rPr>
          <w:rFonts w:ascii="Arial" w:hAnsi="Arial" w:cs="Arial"/>
        </w:rPr>
        <w:t>.</w:t>
      </w:r>
      <w:r>
        <w:rPr>
          <w:rFonts w:ascii="Arial" w:hAnsi="Arial" w:cs="Arial"/>
        </w:rPr>
        <w:t xml:space="preserve">  </w:t>
      </w:r>
      <w:r w:rsidR="00C57CDD" w:rsidRPr="00717380">
        <w:rPr>
          <w:rFonts w:ascii="Arial" w:hAnsi="Arial" w:cs="Arial"/>
        </w:rPr>
        <w:t xml:space="preserve">Counsel submitted the </w:t>
      </w:r>
      <w:r w:rsidR="00BE1A3F" w:rsidRPr="00717380">
        <w:rPr>
          <w:rFonts w:ascii="Arial" w:hAnsi="Arial" w:cs="Arial"/>
        </w:rPr>
        <w:t xml:space="preserve">applicant is entitled to accept that it has fully complied with respondent’s requirements as to where it </w:t>
      </w:r>
      <w:r w:rsidR="004B0D46" w:rsidRPr="00717380">
        <w:rPr>
          <w:rFonts w:ascii="Arial" w:hAnsi="Arial" w:cs="Arial"/>
        </w:rPr>
        <w:t>c</w:t>
      </w:r>
      <w:r w:rsidR="00BE1A3F" w:rsidRPr="00717380">
        <w:rPr>
          <w:rFonts w:ascii="Arial" w:hAnsi="Arial" w:cs="Arial"/>
        </w:rPr>
        <w:t xml:space="preserve">ould </w:t>
      </w:r>
      <w:r w:rsidR="004B0D46" w:rsidRPr="00717380">
        <w:rPr>
          <w:rFonts w:ascii="Arial" w:hAnsi="Arial" w:cs="Arial"/>
        </w:rPr>
        <w:t>locate</w:t>
      </w:r>
      <w:r w:rsidR="00BE1A3F" w:rsidRPr="00717380">
        <w:rPr>
          <w:rFonts w:ascii="Arial" w:hAnsi="Arial" w:cs="Arial"/>
        </w:rPr>
        <w:t xml:space="preserve"> the applicant.</w:t>
      </w:r>
    </w:p>
    <w:p w14:paraId="141852D4" w14:textId="4FF645C8" w:rsidR="00533A3D" w:rsidRPr="00533A3D" w:rsidRDefault="00BE1A3F"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Counsel </w:t>
      </w:r>
      <w:r w:rsidR="006E023D">
        <w:rPr>
          <w:rFonts w:ascii="Arial" w:hAnsi="Arial" w:cs="Arial"/>
        </w:rPr>
        <w:t xml:space="preserve">argued that the respondent knew of its addresses it </w:t>
      </w:r>
      <w:r w:rsidR="00AB62CD">
        <w:rPr>
          <w:rFonts w:ascii="Arial" w:hAnsi="Arial" w:cs="Arial"/>
        </w:rPr>
        <w:t xml:space="preserve">chose to serve on the old address and is </w:t>
      </w:r>
      <w:r w:rsidR="00740403">
        <w:rPr>
          <w:rFonts w:ascii="Arial" w:hAnsi="Arial" w:cs="Arial"/>
        </w:rPr>
        <w:t>therefore</w:t>
      </w:r>
      <w:r w:rsidR="00AB62CD">
        <w:rPr>
          <w:rFonts w:ascii="Arial" w:hAnsi="Arial" w:cs="Arial"/>
        </w:rPr>
        <w:t xml:space="preserve"> mala fides</w:t>
      </w:r>
      <w:r w:rsidR="004B0D46">
        <w:rPr>
          <w:rFonts w:ascii="Arial" w:hAnsi="Arial" w:cs="Arial"/>
        </w:rPr>
        <w:t xml:space="preserve"> when it served on the old address.</w:t>
      </w:r>
    </w:p>
    <w:p w14:paraId="0996F0C5" w14:textId="77777777" w:rsidR="00AB62CD" w:rsidRDefault="00AB62CD" w:rsidP="00821FA5">
      <w:pPr>
        <w:pStyle w:val="ListParagraph"/>
        <w:numPr>
          <w:ilvl w:val="0"/>
          <w:numId w:val="3"/>
        </w:numPr>
        <w:spacing w:line="480" w:lineRule="auto"/>
        <w:ind w:left="851" w:hanging="851"/>
        <w:jc w:val="both"/>
        <w:rPr>
          <w:rFonts w:ascii="Arial" w:hAnsi="Arial" w:cs="Arial"/>
        </w:rPr>
      </w:pPr>
      <w:r>
        <w:rPr>
          <w:rFonts w:ascii="Arial" w:hAnsi="Arial" w:cs="Arial"/>
        </w:rPr>
        <w:t>It was submitted that the applicant was n</w:t>
      </w:r>
      <w:r w:rsidR="00C57CDD">
        <w:rPr>
          <w:rFonts w:ascii="Arial" w:hAnsi="Arial" w:cs="Arial"/>
        </w:rPr>
        <w:t xml:space="preserve">ot in wilful default, the facts demonstrate that at all material times the applicants engaged with the respondent.  </w:t>
      </w:r>
    </w:p>
    <w:p w14:paraId="5432685C" w14:textId="5261C622" w:rsidR="00C57CDD" w:rsidRDefault="00AB62CD"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It was </w:t>
      </w:r>
      <w:r w:rsidR="00740403">
        <w:rPr>
          <w:rFonts w:ascii="Arial" w:hAnsi="Arial" w:cs="Arial"/>
        </w:rPr>
        <w:t>proffered</w:t>
      </w:r>
      <w:r>
        <w:rPr>
          <w:rFonts w:ascii="Arial" w:hAnsi="Arial" w:cs="Arial"/>
        </w:rPr>
        <w:t xml:space="preserve"> that t</w:t>
      </w:r>
      <w:r w:rsidR="00C57CDD">
        <w:rPr>
          <w:rFonts w:ascii="Arial" w:hAnsi="Arial" w:cs="Arial"/>
        </w:rPr>
        <w:t xml:space="preserve">he respondent could have provided them with details of attorneys when they handed </w:t>
      </w:r>
      <w:r w:rsidR="00D35A14">
        <w:rPr>
          <w:rFonts w:ascii="Arial" w:hAnsi="Arial" w:cs="Arial"/>
        </w:rPr>
        <w:t xml:space="preserve">the </w:t>
      </w:r>
      <w:r w:rsidR="00C57CDD">
        <w:rPr>
          <w:rFonts w:ascii="Arial" w:hAnsi="Arial" w:cs="Arial"/>
        </w:rPr>
        <w:t>matter over.</w:t>
      </w:r>
    </w:p>
    <w:p w14:paraId="37A88A89" w14:textId="35D28E7B" w:rsidR="00FD155F" w:rsidRDefault="00821FA5" w:rsidP="00821FA5">
      <w:pPr>
        <w:pStyle w:val="ListParagraph"/>
        <w:numPr>
          <w:ilvl w:val="0"/>
          <w:numId w:val="3"/>
        </w:numPr>
        <w:spacing w:line="480" w:lineRule="auto"/>
        <w:ind w:left="709" w:hanging="709"/>
        <w:jc w:val="both"/>
        <w:rPr>
          <w:rFonts w:ascii="Arial" w:hAnsi="Arial" w:cs="Arial"/>
        </w:rPr>
      </w:pPr>
      <w:r>
        <w:rPr>
          <w:rFonts w:ascii="Arial" w:hAnsi="Arial" w:cs="Arial"/>
        </w:rPr>
        <w:t xml:space="preserve"> </w:t>
      </w:r>
      <w:r w:rsidR="000D6AFD">
        <w:rPr>
          <w:rFonts w:ascii="Arial" w:hAnsi="Arial" w:cs="Arial"/>
        </w:rPr>
        <w:t>Mr Mahlangu s</w:t>
      </w:r>
      <w:r w:rsidR="00FD155F">
        <w:rPr>
          <w:rFonts w:ascii="Arial" w:hAnsi="Arial" w:cs="Arial"/>
        </w:rPr>
        <w:t>ubmit</w:t>
      </w:r>
      <w:r w:rsidR="000D6AFD">
        <w:rPr>
          <w:rFonts w:ascii="Arial" w:hAnsi="Arial" w:cs="Arial"/>
        </w:rPr>
        <w:t>ted</w:t>
      </w:r>
      <w:r w:rsidR="00FD155F">
        <w:rPr>
          <w:rFonts w:ascii="Arial" w:hAnsi="Arial" w:cs="Arial"/>
        </w:rPr>
        <w:t xml:space="preserve"> that applicant has </w:t>
      </w:r>
      <w:r w:rsidR="000D6AFD">
        <w:rPr>
          <w:rFonts w:ascii="Arial" w:hAnsi="Arial" w:cs="Arial"/>
        </w:rPr>
        <w:t xml:space="preserve">provided </w:t>
      </w:r>
      <w:r w:rsidR="00FD155F">
        <w:rPr>
          <w:rFonts w:ascii="Arial" w:hAnsi="Arial" w:cs="Arial"/>
        </w:rPr>
        <w:t>a reasonable explanation for the default, it did not know that a summons was served at its old address.</w:t>
      </w:r>
    </w:p>
    <w:p w14:paraId="7B8CAEB0" w14:textId="3B1F0CA3" w:rsidR="00FD155F" w:rsidRPr="00821FA5" w:rsidRDefault="00022BC9" w:rsidP="0049548F">
      <w:pPr>
        <w:spacing w:line="480" w:lineRule="auto"/>
        <w:jc w:val="both"/>
        <w:rPr>
          <w:rFonts w:ascii="Arial" w:hAnsi="Arial" w:cs="Arial"/>
          <w:b/>
          <w:bCs/>
        </w:rPr>
      </w:pPr>
      <w:r w:rsidRPr="00821FA5">
        <w:rPr>
          <w:rFonts w:ascii="Arial" w:hAnsi="Arial" w:cs="Arial"/>
          <w:b/>
          <w:bCs/>
        </w:rPr>
        <w:lastRenderedPageBreak/>
        <w:t>Bona Fide Defence</w:t>
      </w:r>
      <w:r w:rsidR="00FD155F" w:rsidRPr="00821FA5">
        <w:rPr>
          <w:rFonts w:ascii="Arial" w:hAnsi="Arial" w:cs="Arial"/>
          <w:b/>
          <w:bCs/>
        </w:rPr>
        <w:t>.</w:t>
      </w:r>
    </w:p>
    <w:p w14:paraId="7DE0A3A1" w14:textId="2A13B3E7" w:rsidR="00FD155F" w:rsidRDefault="00AB62CD"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Mr </w:t>
      </w:r>
      <w:r w:rsidR="004C1098">
        <w:rPr>
          <w:rFonts w:ascii="Arial" w:hAnsi="Arial" w:cs="Arial"/>
        </w:rPr>
        <w:t>Mahlangu</w:t>
      </w:r>
      <w:r>
        <w:rPr>
          <w:rFonts w:ascii="Arial" w:hAnsi="Arial" w:cs="Arial"/>
        </w:rPr>
        <w:t xml:space="preserve"> referred the court to the judgment in </w:t>
      </w:r>
      <w:r w:rsidR="00FD155F" w:rsidRPr="004C1098">
        <w:rPr>
          <w:rFonts w:ascii="Arial" w:hAnsi="Arial" w:cs="Arial"/>
          <w:b/>
          <w:bCs/>
        </w:rPr>
        <w:t>Z</w:t>
      </w:r>
      <w:r w:rsidR="004C1098" w:rsidRPr="004C1098">
        <w:rPr>
          <w:rFonts w:ascii="Arial" w:hAnsi="Arial" w:cs="Arial"/>
          <w:b/>
          <w:bCs/>
        </w:rPr>
        <w:t xml:space="preserve">uma v Secretary of the Judicial Commission of Inquiry into Allegations of State Capture, Corruption and Fraud in the Public Sector Including Organs of </w:t>
      </w:r>
      <w:proofErr w:type="gramStart"/>
      <w:r w:rsidR="004C1098" w:rsidRPr="004C1098">
        <w:rPr>
          <w:rFonts w:ascii="Arial" w:hAnsi="Arial" w:cs="Arial"/>
          <w:b/>
          <w:bCs/>
        </w:rPr>
        <w:t>State  and</w:t>
      </w:r>
      <w:proofErr w:type="gramEnd"/>
      <w:r w:rsidR="004C1098" w:rsidRPr="004C1098">
        <w:rPr>
          <w:rFonts w:ascii="Arial" w:hAnsi="Arial" w:cs="Arial"/>
          <w:b/>
          <w:bCs/>
        </w:rPr>
        <w:t xml:space="preserve"> Others</w:t>
      </w:r>
      <w:r w:rsidR="004C1098" w:rsidRPr="004C1098">
        <w:rPr>
          <w:rStyle w:val="FootnoteReference"/>
          <w:rFonts w:ascii="Arial" w:hAnsi="Arial" w:cs="Arial"/>
          <w:b/>
          <w:bCs/>
        </w:rPr>
        <w:footnoteReference w:id="9"/>
      </w:r>
      <w:r>
        <w:rPr>
          <w:rFonts w:ascii="Arial" w:hAnsi="Arial" w:cs="Arial"/>
        </w:rPr>
        <w:t xml:space="preserve">, where the court restated the </w:t>
      </w:r>
      <w:r w:rsidR="00FD155F">
        <w:rPr>
          <w:rFonts w:ascii="Arial" w:hAnsi="Arial" w:cs="Arial"/>
        </w:rPr>
        <w:t xml:space="preserve"> two requirements</w:t>
      </w:r>
      <w:r>
        <w:rPr>
          <w:rFonts w:ascii="Arial" w:hAnsi="Arial" w:cs="Arial"/>
        </w:rPr>
        <w:t xml:space="preserve"> to </w:t>
      </w:r>
      <w:r w:rsidR="002B3D98">
        <w:rPr>
          <w:rFonts w:ascii="Arial" w:hAnsi="Arial" w:cs="Arial"/>
        </w:rPr>
        <w:t>succeed in an application for recission</w:t>
      </w:r>
      <w:r w:rsidR="000D6AFD">
        <w:rPr>
          <w:rFonts w:ascii="Arial" w:hAnsi="Arial" w:cs="Arial"/>
        </w:rPr>
        <w:t>,</w:t>
      </w:r>
      <w:r w:rsidR="002B3D98">
        <w:rPr>
          <w:rFonts w:ascii="Arial" w:hAnsi="Arial" w:cs="Arial"/>
        </w:rPr>
        <w:t xml:space="preserve"> being </w:t>
      </w:r>
      <w:r w:rsidR="00147F11">
        <w:rPr>
          <w:rFonts w:ascii="Arial" w:hAnsi="Arial" w:cs="Arial"/>
        </w:rPr>
        <w:t>good/sufficient cause and a bona fide defence,</w:t>
      </w:r>
      <w:r w:rsidR="002B3D98">
        <w:rPr>
          <w:rFonts w:ascii="Arial" w:hAnsi="Arial" w:cs="Arial"/>
        </w:rPr>
        <w:t xml:space="preserve"> which prima facie has some prospects of success</w:t>
      </w:r>
      <w:r w:rsidR="00D35A14">
        <w:rPr>
          <w:rFonts w:ascii="Arial" w:hAnsi="Arial" w:cs="Arial"/>
        </w:rPr>
        <w:t>, must be demonstrated</w:t>
      </w:r>
      <w:r w:rsidR="000D6AFD">
        <w:rPr>
          <w:rFonts w:ascii="Arial" w:hAnsi="Arial" w:cs="Arial"/>
        </w:rPr>
        <w:t xml:space="preserve">.  An applicant cannot </w:t>
      </w:r>
      <w:r w:rsidR="00D35A14">
        <w:rPr>
          <w:rFonts w:ascii="Arial" w:hAnsi="Arial" w:cs="Arial"/>
        </w:rPr>
        <w:t>succeed</w:t>
      </w:r>
      <w:r w:rsidR="000D6AFD">
        <w:rPr>
          <w:rFonts w:ascii="Arial" w:hAnsi="Arial" w:cs="Arial"/>
        </w:rPr>
        <w:t xml:space="preserve"> if it fail</w:t>
      </w:r>
      <w:r w:rsidR="00D35A14">
        <w:rPr>
          <w:rFonts w:ascii="Arial" w:hAnsi="Arial" w:cs="Arial"/>
        </w:rPr>
        <w:t>ed</w:t>
      </w:r>
      <w:r w:rsidR="000D6AFD">
        <w:rPr>
          <w:rFonts w:ascii="Arial" w:hAnsi="Arial" w:cs="Arial"/>
        </w:rPr>
        <w:t xml:space="preserve"> to demonstrate both </w:t>
      </w:r>
      <w:r w:rsidR="00D35A14">
        <w:rPr>
          <w:rFonts w:ascii="Arial" w:hAnsi="Arial" w:cs="Arial"/>
        </w:rPr>
        <w:t>requirements</w:t>
      </w:r>
      <w:r w:rsidR="002B3D98">
        <w:rPr>
          <w:rFonts w:ascii="Arial" w:hAnsi="Arial" w:cs="Arial"/>
        </w:rPr>
        <w:t>.</w:t>
      </w:r>
    </w:p>
    <w:p w14:paraId="393BD1BD" w14:textId="10072FD7" w:rsidR="00FD155F" w:rsidRDefault="00F92671"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Counsel reminded the </w:t>
      </w:r>
      <w:r w:rsidR="00FD155F">
        <w:rPr>
          <w:rFonts w:ascii="Arial" w:hAnsi="Arial" w:cs="Arial"/>
        </w:rPr>
        <w:t xml:space="preserve">Court </w:t>
      </w:r>
      <w:r>
        <w:rPr>
          <w:rFonts w:ascii="Arial" w:hAnsi="Arial" w:cs="Arial"/>
        </w:rPr>
        <w:t>on the</w:t>
      </w:r>
      <w:r w:rsidR="00FD155F">
        <w:rPr>
          <w:rFonts w:ascii="Arial" w:hAnsi="Arial" w:cs="Arial"/>
        </w:rPr>
        <w:t xml:space="preserve"> steps the applicant had taken upon becoming aware of the judgment</w:t>
      </w:r>
      <w:r>
        <w:rPr>
          <w:rFonts w:ascii="Arial" w:hAnsi="Arial" w:cs="Arial"/>
        </w:rPr>
        <w:t xml:space="preserve"> and its delay of </w:t>
      </w:r>
      <w:r w:rsidR="00D35A14">
        <w:rPr>
          <w:rFonts w:ascii="Arial" w:hAnsi="Arial" w:cs="Arial"/>
        </w:rPr>
        <w:t>six</w:t>
      </w:r>
      <w:r>
        <w:rPr>
          <w:rFonts w:ascii="Arial" w:hAnsi="Arial" w:cs="Arial"/>
        </w:rPr>
        <w:t xml:space="preserve"> days </w:t>
      </w:r>
      <w:r w:rsidR="00D35A14">
        <w:rPr>
          <w:rFonts w:ascii="Arial" w:hAnsi="Arial" w:cs="Arial"/>
        </w:rPr>
        <w:t xml:space="preserve">is </w:t>
      </w:r>
      <w:r>
        <w:rPr>
          <w:rFonts w:ascii="Arial" w:hAnsi="Arial" w:cs="Arial"/>
        </w:rPr>
        <w:t xml:space="preserve">not </w:t>
      </w:r>
      <w:r w:rsidR="004B0D46">
        <w:rPr>
          <w:rFonts w:ascii="Arial" w:hAnsi="Arial" w:cs="Arial"/>
        </w:rPr>
        <w:t>inordinate</w:t>
      </w:r>
      <w:r>
        <w:rPr>
          <w:rFonts w:ascii="Arial" w:hAnsi="Arial" w:cs="Arial"/>
        </w:rPr>
        <w:t xml:space="preserve"> delay.</w:t>
      </w:r>
    </w:p>
    <w:p w14:paraId="17C72231" w14:textId="0273ACF0" w:rsidR="00FD155F" w:rsidRDefault="004C1098" w:rsidP="00821FA5">
      <w:pPr>
        <w:pStyle w:val="ListParagraph"/>
        <w:numPr>
          <w:ilvl w:val="0"/>
          <w:numId w:val="3"/>
        </w:numPr>
        <w:spacing w:line="480" w:lineRule="auto"/>
        <w:ind w:left="851" w:hanging="851"/>
        <w:jc w:val="both"/>
        <w:rPr>
          <w:rFonts w:ascii="Arial" w:hAnsi="Arial" w:cs="Arial"/>
        </w:rPr>
      </w:pPr>
      <w:r>
        <w:rPr>
          <w:rFonts w:ascii="Arial" w:hAnsi="Arial" w:cs="Arial"/>
        </w:rPr>
        <w:t xml:space="preserve">It was </w:t>
      </w:r>
      <w:r w:rsidR="00F92671">
        <w:rPr>
          <w:rFonts w:ascii="Arial" w:hAnsi="Arial" w:cs="Arial"/>
        </w:rPr>
        <w:t>submitted that the a</w:t>
      </w:r>
      <w:r w:rsidR="00FD155F">
        <w:rPr>
          <w:rFonts w:ascii="Arial" w:hAnsi="Arial" w:cs="Arial"/>
        </w:rPr>
        <w:t>pplicant has a bona fide defence</w:t>
      </w:r>
      <w:r w:rsidR="00051DAC">
        <w:rPr>
          <w:rStyle w:val="FootnoteReference"/>
          <w:rFonts w:ascii="Arial" w:hAnsi="Arial" w:cs="Arial"/>
        </w:rPr>
        <w:footnoteReference w:id="10"/>
      </w:r>
      <w:r w:rsidR="00FD155F">
        <w:rPr>
          <w:rFonts w:ascii="Arial" w:hAnsi="Arial" w:cs="Arial"/>
        </w:rPr>
        <w:t xml:space="preserve"> as the respondent was in material breach of the lease agreement, </w:t>
      </w:r>
      <w:r w:rsidR="00F92671">
        <w:rPr>
          <w:rFonts w:ascii="Arial" w:hAnsi="Arial" w:cs="Arial"/>
        </w:rPr>
        <w:t>in that:</w:t>
      </w:r>
    </w:p>
    <w:p w14:paraId="1CE1DD31" w14:textId="3A807F7D" w:rsidR="00FE2253" w:rsidRDefault="00FD155F" w:rsidP="00FE2253">
      <w:pPr>
        <w:pStyle w:val="ListParagraph"/>
        <w:numPr>
          <w:ilvl w:val="1"/>
          <w:numId w:val="3"/>
        </w:numPr>
        <w:spacing w:line="480" w:lineRule="auto"/>
        <w:ind w:left="1418" w:hanging="567"/>
        <w:jc w:val="both"/>
        <w:rPr>
          <w:rFonts w:ascii="Arial" w:hAnsi="Arial" w:cs="Arial"/>
        </w:rPr>
      </w:pPr>
      <w:r>
        <w:rPr>
          <w:rFonts w:ascii="Arial" w:hAnsi="Arial" w:cs="Arial"/>
        </w:rPr>
        <w:t xml:space="preserve">the </w:t>
      </w:r>
      <w:r w:rsidR="00051DAC">
        <w:rPr>
          <w:rFonts w:ascii="Arial" w:hAnsi="Arial" w:cs="Arial"/>
        </w:rPr>
        <w:t>incomplete</w:t>
      </w:r>
      <w:r>
        <w:rPr>
          <w:rFonts w:ascii="Arial" w:hAnsi="Arial" w:cs="Arial"/>
        </w:rPr>
        <w:t xml:space="preserve"> construction </w:t>
      </w:r>
      <w:r w:rsidR="00F92671">
        <w:rPr>
          <w:rFonts w:ascii="Arial" w:hAnsi="Arial" w:cs="Arial"/>
        </w:rPr>
        <w:t xml:space="preserve">of the mall </w:t>
      </w:r>
      <w:r>
        <w:rPr>
          <w:rFonts w:ascii="Arial" w:hAnsi="Arial" w:cs="Arial"/>
        </w:rPr>
        <w:t>and parking bays</w:t>
      </w:r>
      <w:r w:rsidR="00F92671">
        <w:rPr>
          <w:rFonts w:ascii="Arial" w:hAnsi="Arial" w:cs="Arial"/>
        </w:rPr>
        <w:t xml:space="preserve">, hampered the flow of </w:t>
      </w:r>
      <w:r w:rsidR="00FE2253">
        <w:rPr>
          <w:rFonts w:ascii="Arial" w:hAnsi="Arial" w:cs="Arial"/>
        </w:rPr>
        <w:t xml:space="preserve">  </w:t>
      </w:r>
      <w:r w:rsidR="00F92671">
        <w:rPr>
          <w:rFonts w:ascii="Arial" w:hAnsi="Arial" w:cs="Arial"/>
        </w:rPr>
        <w:t>customers to the mall,</w:t>
      </w:r>
    </w:p>
    <w:p w14:paraId="708C0B28" w14:textId="2D6A5106" w:rsidR="00FE2253" w:rsidRDefault="00FD155F" w:rsidP="00FE2253">
      <w:pPr>
        <w:pStyle w:val="ListParagraph"/>
        <w:numPr>
          <w:ilvl w:val="1"/>
          <w:numId w:val="3"/>
        </w:numPr>
        <w:spacing w:line="480" w:lineRule="auto"/>
        <w:ind w:hanging="404"/>
        <w:jc w:val="both"/>
        <w:rPr>
          <w:rFonts w:ascii="Arial" w:hAnsi="Arial" w:cs="Arial"/>
        </w:rPr>
      </w:pPr>
      <w:r w:rsidRPr="00FE2253">
        <w:rPr>
          <w:rFonts w:ascii="Arial" w:hAnsi="Arial" w:cs="Arial"/>
        </w:rPr>
        <w:t xml:space="preserve">the marketing was </w:t>
      </w:r>
      <w:r w:rsidR="00051DAC" w:rsidRPr="00FE2253">
        <w:rPr>
          <w:rFonts w:ascii="Arial" w:hAnsi="Arial" w:cs="Arial"/>
        </w:rPr>
        <w:t xml:space="preserve">insufficient </w:t>
      </w:r>
    </w:p>
    <w:p w14:paraId="13174201" w14:textId="22E61A4F" w:rsidR="00051DAC" w:rsidRPr="00FE2253" w:rsidRDefault="00051DAC" w:rsidP="00FE2253">
      <w:pPr>
        <w:pStyle w:val="ListParagraph"/>
        <w:numPr>
          <w:ilvl w:val="1"/>
          <w:numId w:val="3"/>
        </w:numPr>
        <w:spacing w:line="480" w:lineRule="auto"/>
        <w:ind w:hanging="404"/>
        <w:jc w:val="both"/>
        <w:rPr>
          <w:rFonts w:ascii="Arial" w:hAnsi="Arial" w:cs="Arial"/>
        </w:rPr>
      </w:pPr>
      <w:r w:rsidRPr="00FE2253">
        <w:rPr>
          <w:rFonts w:ascii="Arial" w:hAnsi="Arial" w:cs="Arial"/>
        </w:rPr>
        <w:t xml:space="preserve">the </w:t>
      </w:r>
      <w:r w:rsidR="00F92671" w:rsidRPr="00FE2253">
        <w:rPr>
          <w:rFonts w:ascii="Arial" w:hAnsi="Arial" w:cs="Arial"/>
        </w:rPr>
        <w:t>general appeal of the mall as a shopping destination because of the extensive construction impacted on trade</w:t>
      </w:r>
      <w:r w:rsidR="00F92671">
        <w:rPr>
          <w:rStyle w:val="FootnoteReference"/>
          <w:rFonts w:ascii="Arial" w:hAnsi="Arial" w:cs="Arial"/>
        </w:rPr>
        <w:footnoteReference w:id="11"/>
      </w:r>
    </w:p>
    <w:p w14:paraId="01867527" w14:textId="5B05D7FE" w:rsidR="00C531B4" w:rsidRPr="00717380" w:rsidRDefault="00051DAC" w:rsidP="00C531B4">
      <w:pPr>
        <w:pStyle w:val="ListParagraph"/>
        <w:numPr>
          <w:ilvl w:val="0"/>
          <w:numId w:val="3"/>
        </w:numPr>
        <w:spacing w:line="480" w:lineRule="auto"/>
        <w:ind w:left="851" w:hanging="851"/>
        <w:jc w:val="both"/>
        <w:rPr>
          <w:rFonts w:ascii="Arial" w:hAnsi="Arial" w:cs="Arial"/>
        </w:rPr>
      </w:pPr>
      <w:r w:rsidRPr="00717380">
        <w:rPr>
          <w:rFonts w:ascii="Arial" w:hAnsi="Arial" w:cs="Arial"/>
        </w:rPr>
        <w:t xml:space="preserve">Counsel submitted that the </w:t>
      </w:r>
      <w:r w:rsidR="004B0D46" w:rsidRPr="00717380">
        <w:rPr>
          <w:rFonts w:ascii="Arial" w:hAnsi="Arial" w:cs="Arial"/>
        </w:rPr>
        <w:t>fact that the respondents engaged with it on more workable terms demonstrates that it appreciated the applicant’s predicament</w:t>
      </w:r>
      <w:r w:rsidR="00717380" w:rsidRPr="00717380">
        <w:rPr>
          <w:rFonts w:ascii="Arial" w:hAnsi="Arial" w:cs="Arial"/>
        </w:rPr>
        <w:t xml:space="preserve"> and knew</w:t>
      </w:r>
      <w:r w:rsidR="003A3FD1" w:rsidRPr="00717380">
        <w:rPr>
          <w:rFonts w:ascii="Arial" w:hAnsi="Arial" w:cs="Arial"/>
        </w:rPr>
        <w:t xml:space="preserve"> that the revenue generation was very dependent on the customer traffic in the mall</w:t>
      </w:r>
      <w:r w:rsidR="00717380" w:rsidRPr="00717380">
        <w:rPr>
          <w:rFonts w:ascii="Arial" w:hAnsi="Arial" w:cs="Arial"/>
        </w:rPr>
        <w:t xml:space="preserve">.  It is </w:t>
      </w:r>
      <w:r w:rsidR="003A3FD1" w:rsidRPr="00717380">
        <w:rPr>
          <w:rFonts w:ascii="Arial" w:hAnsi="Arial" w:cs="Arial"/>
        </w:rPr>
        <w:t xml:space="preserve">a </w:t>
      </w:r>
      <w:r w:rsidR="005931FD" w:rsidRPr="00717380">
        <w:rPr>
          <w:rFonts w:ascii="Arial" w:hAnsi="Arial" w:cs="Arial"/>
        </w:rPr>
        <w:t>point</w:t>
      </w:r>
      <w:r w:rsidR="003A3FD1" w:rsidRPr="00717380">
        <w:rPr>
          <w:rFonts w:ascii="Arial" w:hAnsi="Arial" w:cs="Arial"/>
        </w:rPr>
        <w:t xml:space="preserve"> that </w:t>
      </w:r>
      <w:r w:rsidR="004C1098" w:rsidRPr="00717380">
        <w:rPr>
          <w:rFonts w:ascii="Arial" w:hAnsi="Arial" w:cs="Arial"/>
        </w:rPr>
        <w:t>must</w:t>
      </w:r>
      <w:r w:rsidR="003A3FD1" w:rsidRPr="00717380">
        <w:rPr>
          <w:rFonts w:ascii="Arial" w:hAnsi="Arial" w:cs="Arial"/>
        </w:rPr>
        <w:t xml:space="preserve"> be argued before a trial court,</w:t>
      </w:r>
      <w:r w:rsidR="005931FD" w:rsidRPr="00717380">
        <w:rPr>
          <w:rFonts w:ascii="Arial" w:hAnsi="Arial" w:cs="Arial"/>
        </w:rPr>
        <w:t xml:space="preserve"> </w:t>
      </w:r>
      <w:r w:rsidR="00D35A14" w:rsidRPr="00717380">
        <w:rPr>
          <w:rFonts w:ascii="Arial" w:hAnsi="Arial" w:cs="Arial"/>
        </w:rPr>
        <w:t>regarding</w:t>
      </w:r>
      <w:r w:rsidR="005931FD" w:rsidRPr="00717380">
        <w:rPr>
          <w:rFonts w:ascii="Arial" w:hAnsi="Arial" w:cs="Arial"/>
        </w:rPr>
        <w:t xml:space="preserve"> </w:t>
      </w:r>
      <w:r w:rsidR="003A3FD1" w:rsidRPr="00717380">
        <w:rPr>
          <w:rFonts w:ascii="Arial" w:hAnsi="Arial" w:cs="Arial"/>
        </w:rPr>
        <w:t>the applicant’s liability for payment of rentals</w:t>
      </w:r>
      <w:r w:rsidR="00717380" w:rsidRPr="00717380">
        <w:rPr>
          <w:rFonts w:ascii="Arial" w:hAnsi="Arial" w:cs="Arial"/>
        </w:rPr>
        <w:t xml:space="preserve"> as the </w:t>
      </w:r>
      <w:r w:rsidR="003A3FD1" w:rsidRPr="00717380">
        <w:rPr>
          <w:rFonts w:ascii="Arial" w:hAnsi="Arial" w:cs="Arial"/>
        </w:rPr>
        <w:t>applicant is desirous of filing a counterclaim in that regard.</w:t>
      </w:r>
    </w:p>
    <w:p w14:paraId="710443CE" w14:textId="61E6BCD7" w:rsidR="00C531B4" w:rsidRPr="00D7129D" w:rsidRDefault="00C531B4" w:rsidP="00D7129D">
      <w:pPr>
        <w:spacing w:line="480" w:lineRule="auto"/>
        <w:jc w:val="both"/>
        <w:rPr>
          <w:rFonts w:ascii="Arial" w:hAnsi="Arial" w:cs="Arial"/>
          <w:b/>
          <w:bCs/>
        </w:rPr>
      </w:pPr>
      <w:r w:rsidRPr="00C531B4">
        <w:rPr>
          <w:rFonts w:ascii="Arial" w:hAnsi="Arial" w:cs="Arial"/>
          <w:b/>
          <w:bCs/>
        </w:rPr>
        <w:t xml:space="preserve">Supervening Impossibility </w:t>
      </w:r>
    </w:p>
    <w:p w14:paraId="5192E583" w14:textId="77777777" w:rsidR="005B58EB" w:rsidRDefault="003A3FD1" w:rsidP="005B58EB">
      <w:pPr>
        <w:pStyle w:val="ListParagraph"/>
        <w:numPr>
          <w:ilvl w:val="0"/>
          <w:numId w:val="3"/>
        </w:numPr>
        <w:spacing w:line="480" w:lineRule="auto"/>
        <w:ind w:left="851" w:hanging="851"/>
        <w:jc w:val="both"/>
        <w:rPr>
          <w:rFonts w:ascii="Arial" w:hAnsi="Arial" w:cs="Arial"/>
        </w:rPr>
      </w:pPr>
      <w:r w:rsidRPr="00C531B4">
        <w:rPr>
          <w:rFonts w:ascii="Arial" w:hAnsi="Arial" w:cs="Arial"/>
        </w:rPr>
        <w:lastRenderedPageBreak/>
        <w:t xml:space="preserve">Counsel referred the court to </w:t>
      </w:r>
      <w:r w:rsidR="004B0D46" w:rsidRPr="00C531B4">
        <w:rPr>
          <w:rFonts w:ascii="Arial" w:hAnsi="Arial" w:cs="Arial"/>
        </w:rPr>
        <w:t xml:space="preserve">the </w:t>
      </w:r>
      <w:r w:rsidRPr="00C531B4">
        <w:rPr>
          <w:rFonts w:ascii="Arial" w:hAnsi="Arial" w:cs="Arial"/>
        </w:rPr>
        <w:t xml:space="preserve">judgment </w:t>
      </w:r>
      <w:r w:rsidR="005931FD" w:rsidRPr="00C531B4">
        <w:rPr>
          <w:rFonts w:ascii="Arial" w:hAnsi="Arial" w:cs="Arial"/>
        </w:rPr>
        <w:t xml:space="preserve">of </w:t>
      </w:r>
      <w:r w:rsidRPr="00C531B4">
        <w:rPr>
          <w:rFonts w:ascii="Arial" w:hAnsi="Arial" w:cs="Arial"/>
          <w:b/>
          <w:bCs/>
        </w:rPr>
        <w:t>HENNOPS SPORT</w:t>
      </w:r>
      <w:r w:rsidR="005931FD" w:rsidRPr="00C531B4">
        <w:rPr>
          <w:rFonts w:ascii="Arial" w:hAnsi="Arial" w:cs="Arial"/>
          <w:b/>
          <w:bCs/>
        </w:rPr>
        <w:t xml:space="preserve"> (PTY) LTD v LUHAN</w:t>
      </w:r>
      <w:r w:rsidR="005931FD" w:rsidRPr="00C531B4">
        <w:rPr>
          <w:rFonts w:ascii="Arial" w:hAnsi="Arial" w:cs="Arial"/>
        </w:rPr>
        <w:t xml:space="preserve"> </w:t>
      </w:r>
      <w:r w:rsidR="005931FD" w:rsidRPr="00C531B4">
        <w:rPr>
          <w:rFonts w:ascii="Arial" w:hAnsi="Arial" w:cs="Arial"/>
          <w:b/>
          <w:bCs/>
        </w:rPr>
        <w:t>AUTO (PTY) LTD</w:t>
      </w:r>
      <w:r w:rsidR="005931FD">
        <w:rPr>
          <w:rStyle w:val="FootnoteReference"/>
          <w:rFonts w:ascii="Arial" w:hAnsi="Arial" w:cs="Arial"/>
        </w:rPr>
        <w:footnoteReference w:id="12"/>
      </w:r>
      <w:r w:rsidRPr="00C531B4">
        <w:rPr>
          <w:rFonts w:ascii="Arial" w:hAnsi="Arial" w:cs="Arial"/>
        </w:rPr>
        <w:t xml:space="preserve"> </w:t>
      </w:r>
      <w:r w:rsidR="005931FD" w:rsidRPr="00C531B4">
        <w:rPr>
          <w:rFonts w:ascii="Arial" w:hAnsi="Arial" w:cs="Arial"/>
        </w:rPr>
        <w:t xml:space="preserve">in relation to </w:t>
      </w:r>
      <w:r w:rsidRPr="00C531B4">
        <w:rPr>
          <w:rFonts w:ascii="Arial" w:hAnsi="Arial" w:cs="Arial"/>
        </w:rPr>
        <w:t xml:space="preserve">the use and enjoyment of premises and </w:t>
      </w:r>
      <w:r w:rsidR="00022BC9" w:rsidRPr="00C531B4">
        <w:rPr>
          <w:rFonts w:ascii="Arial" w:hAnsi="Arial" w:cs="Arial"/>
        </w:rPr>
        <w:t>submitted</w:t>
      </w:r>
      <w:r w:rsidR="005931FD" w:rsidRPr="00C531B4">
        <w:rPr>
          <w:rFonts w:ascii="Arial" w:hAnsi="Arial" w:cs="Arial"/>
        </w:rPr>
        <w:t xml:space="preserve"> that the court must look at the foundation of </w:t>
      </w:r>
      <w:r w:rsidR="004B0D46" w:rsidRPr="00C531B4">
        <w:rPr>
          <w:rFonts w:ascii="Arial" w:hAnsi="Arial" w:cs="Arial"/>
        </w:rPr>
        <w:t xml:space="preserve">the </w:t>
      </w:r>
      <w:r w:rsidR="005931FD" w:rsidRPr="00C531B4">
        <w:rPr>
          <w:rFonts w:ascii="Arial" w:hAnsi="Arial" w:cs="Arial"/>
        </w:rPr>
        <w:t xml:space="preserve">agreement to decide if the vis major defence is competent.  It was submitted that this inquiry is crucial to understanding the nature and extent of the </w:t>
      </w:r>
      <w:r w:rsidR="00D35A14" w:rsidRPr="00C531B4">
        <w:rPr>
          <w:rFonts w:ascii="Arial" w:hAnsi="Arial" w:cs="Arial"/>
        </w:rPr>
        <w:t>parties’</w:t>
      </w:r>
      <w:r w:rsidR="007A0DB8" w:rsidRPr="00C531B4">
        <w:rPr>
          <w:rFonts w:ascii="Arial" w:hAnsi="Arial" w:cs="Arial"/>
        </w:rPr>
        <w:t xml:space="preserve"> reciprocal obligations as embodied in the lease agreement.</w:t>
      </w:r>
    </w:p>
    <w:p w14:paraId="681496D7" w14:textId="44D6FF1E" w:rsidR="005B58EB" w:rsidRDefault="007A0DB8" w:rsidP="005B58EB">
      <w:pPr>
        <w:pStyle w:val="ListParagraph"/>
        <w:numPr>
          <w:ilvl w:val="0"/>
          <w:numId w:val="3"/>
        </w:numPr>
        <w:spacing w:line="480" w:lineRule="auto"/>
        <w:ind w:left="851" w:hanging="851"/>
        <w:jc w:val="both"/>
        <w:rPr>
          <w:rFonts w:ascii="Arial" w:hAnsi="Arial" w:cs="Arial"/>
        </w:rPr>
      </w:pPr>
      <w:r w:rsidRPr="005B58EB">
        <w:rPr>
          <w:rFonts w:ascii="Arial" w:hAnsi="Arial" w:cs="Arial"/>
        </w:rPr>
        <w:t xml:space="preserve">In the </w:t>
      </w:r>
      <w:proofErr w:type="spellStart"/>
      <w:r w:rsidRPr="005B58EB">
        <w:rPr>
          <w:rFonts w:ascii="Arial" w:hAnsi="Arial" w:cs="Arial"/>
        </w:rPr>
        <w:t>Hennops</w:t>
      </w:r>
      <w:proofErr w:type="spellEnd"/>
      <w:r w:rsidRPr="005B58EB">
        <w:rPr>
          <w:rFonts w:ascii="Arial" w:hAnsi="Arial" w:cs="Arial"/>
        </w:rPr>
        <w:t xml:space="preserve"> Sports </w:t>
      </w:r>
      <w:r w:rsidR="00D722C0" w:rsidRPr="005B58EB">
        <w:rPr>
          <w:rFonts w:ascii="Arial" w:hAnsi="Arial" w:cs="Arial"/>
        </w:rPr>
        <w:t>case</w:t>
      </w:r>
      <w:r w:rsidRPr="005B58EB">
        <w:rPr>
          <w:rFonts w:ascii="Arial" w:hAnsi="Arial" w:cs="Arial"/>
        </w:rPr>
        <w:t xml:space="preserve">, the court held the defence was not competent in that the premises could </w:t>
      </w:r>
      <w:r w:rsidR="00D35A14" w:rsidRPr="005B58EB">
        <w:rPr>
          <w:rFonts w:ascii="Arial" w:hAnsi="Arial" w:cs="Arial"/>
        </w:rPr>
        <w:t xml:space="preserve">have </w:t>
      </w:r>
      <w:r w:rsidRPr="005B58EB">
        <w:rPr>
          <w:rFonts w:ascii="Arial" w:hAnsi="Arial" w:cs="Arial"/>
        </w:rPr>
        <w:t>be</w:t>
      </w:r>
      <w:r w:rsidR="00D35A14" w:rsidRPr="005B58EB">
        <w:rPr>
          <w:rFonts w:ascii="Arial" w:hAnsi="Arial" w:cs="Arial"/>
        </w:rPr>
        <w:t>en</w:t>
      </w:r>
      <w:r w:rsidRPr="005B58EB">
        <w:rPr>
          <w:rFonts w:ascii="Arial" w:hAnsi="Arial" w:cs="Arial"/>
        </w:rPr>
        <w:t xml:space="preserve"> used  in</w:t>
      </w:r>
      <w:r w:rsidR="002E22DF" w:rsidRPr="005B58EB">
        <w:rPr>
          <w:rFonts w:ascii="Arial" w:hAnsi="Arial" w:cs="Arial"/>
        </w:rPr>
        <w:t xml:space="preserve"> other ways to generate income</w:t>
      </w:r>
      <w:r w:rsidR="00717380">
        <w:rPr>
          <w:rFonts w:ascii="Arial" w:hAnsi="Arial" w:cs="Arial"/>
        </w:rPr>
        <w:t xml:space="preserve"> in</w:t>
      </w:r>
      <w:r w:rsidRPr="005B58EB">
        <w:rPr>
          <w:rFonts w:ascii="Arial" w:hAnsi="Arial" w:cs="Arial"/>
        </w:rPr>
        <w:t xml:space="preserve"> </w:t>
      </w:r>
      <w:proofErr w:type="spellStart"/>
      <w:r w:rsidRPr="005B58EB">
        <w:rPr>
          <w:rFonts w:ascii="Arial" w:hAnsi="Arial" w:cs="Arial"/>
        </w:rPr>
        <w:t>casu</w:t>
      </w:r>
      <w:proofErr w:type="spellEnd"/>
      <w:r w:rsidRPr="005B58EB">
        <w:rPr>
          <w:rFonts w:ascii="Arial" w:hAnsi="Arial" w:cs="Arial"/>
        </w:rPr>
        <w:t xml:space="preserve"> </w:t>
      </w:r>
      <w:r w:rsidR="00717380">
        <w:rPr>
          <w:rFonts w:ascii="Arial" w:hAnsi="Arial" w:cs="Arial"/>
        </w:rPr>
        <w:t xml:space="preserve">the applicant </w:t>
      </w:r>
      <w:r w:rsidRPr="005B58EB">
        <w:rPr>
          <w:rFonts w:ascii="Arial" w:hAnsi="Arial" w:cs="Arial"/>
        </w:rPr>
        <w:t>was limited to the use for retail of its watches and accessories only.</w:t>
      </w:r>
    </w:p>
    <w:p w14:paraId="5E005D35" w14:textId="26A985BA" w:rsidR="00C35DD7" w:rsidRPr="00717380" w:rsidRDefault="007A0DB8" w:rsidP="00C35DD7">
      <w:pPr>
        <w:pStyle w:val="ListParagraph"/>
        <w:numPr>
          <w:ilvl w:val="0"/>
          <w:numId w:val="3"/>
        </w:numPr>
        <w:spacing w:line="480" w:lineRule="auto"/>
        <w:ind w:left="851" w:hanging="851"/>
        <w:jc w:val="both"/>
        <w:rPr>
          <w:rFonts w:ascii="Arial" w:hAnsi="Arial" w:cs="Arial"/>
        </w:rPr>
      </w:pPr>
      <w:r w:rsidRPr="00717380">
        <w:rPr>
          <w:rFonts w:ascii="Arial" w:hAnsi="Arial" w:cs="Arial"/>
        </w:rPr>
        <w:t xml:space="preserve">Counsel referred to the clause in the </w:t>
      </w:r>
      <w:r w:rsidR="00243FAB" w:rsidRPr="00717380">
        <w:rPr>
          <w:rFonts w:ascii="Arial" w:hAnsi="Arial" w:cs="Arial"/>
        </w:rPr>
        <w:t>lease agreement</w:t>
      </w:r>
      <w:r w:rsidRPr="00717380">
        <w:rPr>
          <w:rFonts w:ascii="Arial" w:hAnsi="Arial" w:cs="Arial"/>
        </w:rPr>
        <w:t xml:space="preserve"> which </w:t>
      </w:r>
      <w:r w:rsidR="00243FAB" w:rsidRPr="00717380">
        <w:rPr>
          <w:rFonts w:ascii="Arial" w:hAnsi="Arial" w:cs="Arial"/>
        </w:rPr>
        <w:t xml:space="preserve"> </w:t>
      </w:r>
      <w:r w:rsidR="00E16957" w:rsidRPr="00717380">
        <w:rPr>
          <w:rFonts w:ascii="Arial" w:hAnsi="Arial" w:cs="Arial"/>
        </w:rPr>
        <w:t xml:space="preserve">requires the applicant to provide expert evidence if it relied on the defence of </w:t>
      </w:r>
      <w:r w:rsidR="00243FAB" w:rsidRPr="00717380">
        <w:rPr>
          <w:rFonts w:ascii="Arial" w:hAnsi="Arial" w:cs="Arial"/>
        </w:rPr>
        <w:t xml:space="preserve">vis major and </w:t>
      </w:r>
      <w:r w:rsidR="00E16957" w:rsidRPr="00717380">
        <w:rPr>
          <w:rFonts w:ascii="Arial" w:hAnsi="Arial" w:cs="Arial"/>
        </w:rPr>
        <w:t>argued that th</w:t>
      </w:r>
      <w:r w:rsidR="00243FAB" w:rsidRPr="00717380">
        <w:rPr>
          <w:rFonts w:ascii="Arial" w:hAnsi="Arial" w:cs="Arial"/>
        </w:rPr>
        <w:t xml:space="preserve">is </w:t>
      </w:r>
      <w:r w:rsidR="00E16957" w:rsidRPr="00717380">
        <w:rPr>
          <w:rFonts w:ascii="Arial" w:hAnsi="Arial" w:cs="Arial"/>
        </w:rPr>
        <w:t xml:space="preserve">itself </w:t>
      </w:r>
      <w:r w:rsidR="00243FAB" w:rsidRPr="00717380">
        <w:rPr>
          <w:rFonts w:ascii="Arial" w:hAnsi="Arial" w:cs="Arial"/>
        </w:rPr>
        <w:t>raises a triable issue</w:t>
      </w:r>
      <w:r w:rsidR="00E16957" w:rsidRPr="00717380">
        <w:rPr>
          <w:rFonts w:ascii="Arial" w:hAnsi="Arial" w:cs="Arial"/>
        </w:rPr>
        <w:t xml:space="preserve"> for a trial court to</w:t>
      </w:r>
      <w:r w:rsidR="00D722C0" w:rsidRPr="00717380">
        <w:rPr>
          <w:rFonts w:ascii="Arial" w:hAnsi="Arial" w:cs="Arial"/>
        </w:rPr>
        <w:t xml:space="preserve"> have regard to</w:t>
      </w:r>
      <w:r w:rsidR="00717380" w:rsidRPr="00717380">
        <w:rPr>
          <w:rFonts w:ascii="Arial" w:hAnsi="Arial" w:cs="Arial"/>
        </w:rPr>
        <w:t xml:space="preserve"> and demonstrates </w:t>
      </w:r>
      <w:r w:rsidR="00717380">
        <w:rPr>
          <w:rFonts w:ascii="Arial" w:hAnsi="Arial" w:cs="Arial"/>
        </w:rPr>
        <w:t>suf</w:t>
      </w:r>
      <w:r w:rsidR="00E16957" w:rsidRPr="00717380">
        <w:rPr>
          <w:rFonts w:ascii="Arial" w:hAnsi="Arial" w:cs="Arial"/>
        </w:rPr>
        <w:t>ficient cause in this application for recission</w:t>
      </w:r>
      <w:r w:rsidR="00243FAB" w:rsidRPr="00717380">
        <w:rPr>
          <w:rFonts w:ascii="Arial" w:hAnsi="Arial" w:cs="Arial"/>
        </w:rPr>
        <w:t xml:space="preserve">. </w:t>
      </w:r>
    </w:p>
    <w:p w14:paraId="7DB8B1E4" w14:textId="03EE09F3" w:rsidR="00243FAB" w:rsidRPr="00C35DD7" w:rsidRDefault="00243FAB" w:rsidP="00C35DD7">
      <w:pPr>
        <w:pStyle w:val="ListParagraph"/>
        <w:spacing w:line="480" w:lineRule="auto"/>
        <w:ind w:left="851" w:hanging="851"/>
        <w:jc w:val="both"/>
        <w:rPr>
          <w:rFonts w:ascii="Arial" w:hAnsi="Arial" w:cs="Arial"/>
        </w:rPr>
      </w:pPr>
      <w:r w:rsidRPr="00C35DD7">
        <w:rPr>
          <w:rFonts w:ascii="Arial" w:hAnsi="Arial" w:cs="Arial"/>
          <w:b/>
          <w:bCs/>
        </w:rPr>
        <w:t>RESPONDENTS VERSION</w:t>
      </w:r>
    </w:p>
    <w:p w14:paraId="78468857" w14:textId="73213DB0" w:rsidR="00D35A14" w:rsidRDefault="00243FAB" w:rsidP="00D7129D">
      <w:pPr>
        <w:spacing w:line="480" w:lineRule="auto"/>
        <w:ind w:left="851" w:hanging="851"/>
        <w:jc w:val="both"/>
        <w:rPr>
          <w:rFonts w:ascii="Arial" w:hAnsi="Arial" w:cs="Arial"/>
        </w:rPr>
      </w:pPr>
      <w:r>
        <w:rPr>
          <w:rFonts w:ascii="Arial" w:hAnsi="Arial" w:cs="Arial"/>
        </w:rPr>
        <w:t>39.</w:t>
      </w:r>
      <w:r>
        <w:rPr>
          <w:rFonts w:ascii="Arial" w:hAnsi="Arial" w:cs="Arial"/>
        </w:rPr>
        <w:tab/>
      </w:r>
      <w:r w:rsidR="00CE75DA">
        <w:rPr>
          <w:rFonts w:ascii="Arial" w:hAnsi="Arial" w:cs="Arial"/>
        </w:rPr>
        <w:t xml:space="preserve">Advocate Dobie represented the respondent </w:t>
      </w:r>
      <w:r w:rsidR="00784392">
        <w:rPr>
          <w:rFonts w:ascii="Arial" w:hAnsi="Arial" w:cs="Arial"/>
        </w:rPr>
        <w:t xml:space="preserve">and </w:t>
      </w:r>
      <w:r w:rsidR="00CE75DA">
        <w:rPr>
          <w:rFonts w:ascii="Arial" w:hAnsi="Arial" w:cs="Arial"/>
        </w:rPr>
        <w:t xml:space="preserve">submitted that </w:t>
      </w:r>
      <w:r w:rsidR="00717380">
        <w:rPr>
          <w:rFonts w:ascii="Arial" w:hAnsi="Arial" w:cs="Arial"/>
        </w:rPr>
        <w:t>it</w:t>
      </w:r>
      <w:r w:rsidR="00CE75DA">
        <w:rPr>
          <w:rFonts w:ascii="Arial" w:hAnsi="Arial" w:cs="Arial"/>
        </w:rPr>
        <w:t xml:space="preserve"> served </w:t>
      </w:r>
      <w:r w:rsidR="00717380">
        <w:rPr>
          <w:rFonts w:ascii="Arial" w:hAnsi="Arial" w:cs="Arial"/>
        </w:rPr>
        <w:t>the</w:t>
      </w:r>
      <w:r w:rsidR="00CE75DA">
        <w:rPr>
          <w:rFonts w:ascii="Arial" w:hAnsi="Arial" w:cs="Arial"/>
        </w:rPr>
        <w:t xml:space="preserve"> summons at the chosen </w:t>
      </w:r>
      <w:proofErr w:type="spellStart"/>
      <w:r w:rsidR="00CE75DA">
        <w:rPr>
          <w:rFonts w:ascii="Arial" w:hAnsi="Arial" w:cs="Arial"/>
        </w:rPr>
        <w:t>domicilium</w:t>
      </w:r>
      <w:proofErr w:type="spellEnd"/>
      <w:r w:rsidR="00CE75DA">
        <w:rPr>
          <w:rFonts w:ascii="Arial" w:hAnsi="Arial" w:cs="Arial"/>
        </w:rPr>
        <w:t xml:space="preserve"> as it was obliged to do</w:t>
      </w:r>
      <w:r w:rsidR="00E403AC">
        <w:rPr>
          <w:rFonts w:ascii="Arial" w:hAnsi="Arial" w:cs="Arial"/>
        </w:rPr>
        <w:t>.  There was proper service by affixing, the sheriff’s return stated</w:t>
      </w:r>
      <w:r w:rsidR="00E16957">
        <w:rPr>
          <w:rFonts w:ascii="Arial" w:hAnsi="Arial" w:cs="Arial"/>
        </w:rPr>
        <w:t xml:space="preserve"> </w:t>
      </w:r>
    </w:p>
    <w:p w14:paraId="475A5B1B" w14:textId="0DD8DFBD" w:rsidR="00D35A14" w:rsidRDefault="009A3829" w:rsidP="00D35A14">
      <w:pPr>
        <w:spacing w:line="480" w:lineRule="auto"/>
        <w:ind w:left="720"/>
        <w:jc w:val="both"/>
        <w:rPr>
          <w:rFonts w:ascii="Arial" w:hAnsi="Arial" w:cs="Arial"/>
        </w:rPr>
      </w:pPr>
      <w:r w:rsidRPr="000E260C">
        <w:rPr>
          <w:rFonts w:ascii="Arial" w:hAnsi="Arial" w:cs="Arial"/>
          <w:i/>
          <w:iCs/>
        </w:rPr>
        <w:t>“</w:t>
      </w:r>
      <w:proofErr w:type="gramStart"/>
      <w:r w:rsidRPr="000E260C">
        <w:rPr>
          <w:rFonts w:ascii="Arial" w:hAnsi="Arial" w:cs="Arial"/>
          <w:i/>
          <w:iCs/>
        </w:rPr>
        <w:t>no</w:t>
      </w:r>
      <w:proofErr w:type="gramEnd"/>
      <w:r w:rsidRPr="000E260C">
        <w:rPr>
          <w:rFonts w:ascii="Arial" w:hAnsi="Arial" w:cs="Arial"/>
          <w:i/>
          <w:iCs/>
        </w:rPr>
        <w:t xml:space="preserve"> other manner of service was possible after diligent search. NB company unknown by … (receptionist)</w:t>
      </w:r>
      <w:r>
        <w:rPr>
          <w:rFonts w:ascii="Arial" w:hAnsi="Arial" w:cs="Arial"/>
        </w:rPr>
        <w:t>”</w:t>
      </w:r>
      <w:r>
        <w:rPr>
          <w:rStyle w:val="FootnoteReference"/>
          <w:rFonts w:ascii="Arial" w:hAnsi="Arial" w:cs="Arial"/>
        </w:rPr>
        <w:footnoteReference w:id="13"/>
      </w:r>
      <w:r>
        <w:rPr>
          <w:rFonts w:ascii="Arial" w:hAnsi="Arial" w:cs="Arial"/>
        </w:rPr>
        <w:t xml:space="preserve">  </w:t>
      </w:r>
    </w:p>
    <w:p w14:paraId="337F489B" w14:textId="34DB8235" w:rsidR="00D7129D" w:rsidRDefault="00D7129D" w:rsidP="00D7129D">
      <w:pPr>
        <w:spacing w:line="480" w:lineRule="auto"/>
        <w:ind w:left="851" w:hanging="851"/>
        <w:jc w:val="both"/>
        <w:rPr>
          <w:rFonts w:ascii="Arial" w:hAnsi="Arial" w:cs="Arial"/>
        </w:rPr>
      </w:pPr>
      <w:r>
        <w:rPr>
          <w:rFonts w:ascii="Arial" w:hAnsi="Arial" w:cs="Arial"/>
        </w:rPr>
        <w:t>40.</w:t>
      </w:r>
      <w:r>
        <w:rPr>
          <w:rFonts w:ascii="Arial" w:hAnsi="Arial" w:cs="Arial"/>
        </w:rPr>
        <w:tab/>
      </w:r>
      <w:r w:rsidR="009A3829">
        <w:rPr>
          <w:rFonts w:ascii="Arial" w:hAnsi="Arial" w:cs="Arial"/>
        </w:rPr>
        <w:t>The respondent had no reason to believe that the applicant was no longer operating on the premises</w:t>
      </w:r>
      <w:r w:rsidR="00681DE9">
        <w:rPr>
          <w:rFonts w:ascii="Arial" w:hAnsi="Arial" w:cs="Arial"/>
        </w:rPr>
        <w:t xml:space="preserve">, </w:t>
      </w:r>
      <w:r w:rsidR="00CE75DA">
        <w:rPr>
          <w:rFonts w:ascii="Arial" w:hAnsi="Arial" w:cs="Arial"/>
        </w:rPr>
        <w:t>the applicant is obliged to inform of a change</w:t>
      </w:r>
      <w:r w:rsidR="000E260C">
        <w:rPr>
          <w:rFonts w:ascii="Arial" w:hAnsi="Arial" w:cs="Arial"/>
        </w:rPr>
        <w:t xml:space="preserve"> in </w:t>
      </w:r>
      <w:proofErr w:type="spellStart"/>
      <w:r w:rsidR="000E260C">
        <w:rPr>
          <w:rFonts w:ascii="Arial" w:hAnsi="Arial" w:cs="Arial"/>
        </w:rPr>
        <w:t>domicilium</w:t>
      </w:r>
      <w:proofErr w:type="spellEnd"/>
      <w:r w:rsidR="000E260C">
        <w:rPr>
          <w:rFonts w:ascii="Arial" w:hAnsi="Arial" w:cs="Arial"/>
        </w:rPr>
        <w:t xml:space="preserve"> as confirmed in</w:t>
      </w:r>
      <w:r w:rsidR="00CE75DA">
        <w:rPr>
          <w:rFonts w:ascii="Arial" w:hAnsi="Arial" w:cs="Arial"/>
        </w:rPr>
        <w:t xml:space="preserve"> </w:t>
      </w:r>
      <w:r w:rsidR="00CE75DA" w:rsidRPr="00D35A14">
        <w:rPr>
          <w:rFonts w:ascii="Arial" w:hAnsi="Arial" w:cs="Arial"/>
          <w:b/>
          <w:bCs/>
        </w:rPr>
        <w:t xml:space="preserve">Van der Merwe v </w:t>
      </w:r>
      <w:proofErr w:type="spellStart"/>
      <w:r w:rsidR="00CE75DA" w:rsidRPr="00D35A14">
        <w:rPr>
          <w:rFonts w:ascii="Arial" w:hAnsi="Arial" w:cs="Arial"/>
          <w:b/>
          <w:bCs/>
        </w:rPr>
        <w:t>Boniero</w:t>
      </w:r>
      <w:proofErr w:type="spellEnd"/>
      <w:r w:rsidR="00CE75DA" w:rsidRPr="00D35A14">
        <w:rPr>
          <w:rFonts w:ascii="Arial" w:hAnsi="Arial" w:cs="Arial"/>
          <w:b/>
          <w:bCs/>
        </w:rPr>
        <w:t xml:space="preserve"> Park (</w:t>
      </w:r>
      <w:proofErr w:type="spellStart"/>
      <w:r w:rsidR="00CE75DA" w:rsidRPr="00D35A14">
        <w:rPr>
          <w:rFonts w:ascii="Arial" w:hAnsi="Arial" w:cs="Arial"/>
          <w:b/>
          <w:bCs/>
        </w:rPr>
        <w:t>Edms</w:t>
      </w:r>
      <w:proofErr w:type="spellEnd"/>
      <w:r w:rsidR="00E403AC">
        <w:rPr>
          <w:rFonts w:ascii="Arial" w:hAnsi="Arial" w:cs="Arial"/>
        </w:rPr>
        <w:t>)</w:t>
      </w:r>
      <w:r w:rsidR="000E260C">
        <w:rPr>
          <w:rFonts w:ascii="Arial" w:hAnsi="Arial" w:cs="Arial"/>
        </w:rPr>
        <w:t>.</w:t>
      </w:r>
      <w:r w:rsidR="00E403AC">
        <w:rPr>
          <w:rFonts w:ascii="Arial" w:hAnsi="Arial" w:cs="Arial"/>
        </w:rPr>
        <w:t xml:space="preserve"> </w:t>
      </w:r>
      <w:r w:rsidR="00E403AC">
        <w:rPr>
          <w:rStyle w:val="FootnoteReference"/>
          <w:rFonts w:ascii="Arial" w:hAnsi="Arial" w:cs="Arial"/>
        </w:rPr>
        <w:footnoteReference w:id="14"/>
      </w:r>
      <w:r w:rsidR="000E260C">
        <w:rPr>
          <w:rFonts w:ascii="Arial" w:hAnsi="Arial" w:cs="Arial"/>
        </w:rPr>
        <w:t xml:space="preserve"> </w:t>
      </w:r>
      <w:r w:rsidR="009A3829">
        <w:rPr>
          <w:rFonts w:ascii="Arial" w:hAnsi="Arial" w:cs="Arial"/>
        </w:rPr>
        <w:t>T</w:t>
      </w:r>
      <w:r w:rsidR="00E403AC">
        <w:rPr>
          <w:rFonts w:ascii="Arial" w:hAnsi="Arial" w:cs="Arial"/>
        </w:rPr>
        <w:t xml:space="preserve">he documents </w:t>
      </w:r>
      <w:r w:rsidR="00D35A14">
        <w:rPr>
          <w:rFonts w:ascii="Arial" w:hAnsi="Arial" w:cs="Arial"/>
        </w:rPr>
        <w:t xml:space="preserve">which the applicant </w:t>
      </w:r>
      <w:r w:rsidR="00E403AC">
        <w:rPr>
          <w:rFonts w:ascii="Arial" w:hAnsi="Arial" w:cs="Arial"/>
        </w:rPr>
        <w:t>submitted w</w:t>
      </w:r>
      <w:r w:rsidR="009A3829">
        <w:rPr>
          <w:rFonts w:ascii="Arial" w:hAnsi="Arial" w:cs="Arial"/>
        </w:rPr>
        <w:t>ere</w:t>
      </w:r>
      <w:r w:rsidR="00E403AC">
        <w:rPr>
          <w:rFonts w:ascii="Arial" w:hAnsi="Arial" w:cs="Arial"/>
        </w:rPr>
        <w:t xml:space="preserve"> merely a verification of where the directors of the applicant could be found.  </w:t>
      </w:r>
      <w:r w:rsidR="000E260C">
        <w:rPr>
          <w:rFonts w:ascii="Arial" w:hAnsi="Arial" w:cs="Arial"/>
        </w:rPr>
        <w:t xml:space="preserve">It </w:t>
      </w:r>
      <w:r w:rsidR="00E403AC">
        <w:rPr>
          <w:rFonts w:ascii="Arial" w:hAnsi="Arial" w:cs="Arial"/>
        </w:rPr>
        <w:t xml:space="preserve">was not a notice of a change of </w:t>
      </w:r>
      <w:proofErr w:type="spellStart"/>
      <w:r w:rsidR="00E403AC">
        <w:rPr>
          <w:rFonts w:ascii="Arial" w:hAnsi="Arial" w:cs="Arial"/>
        </w:rPr>
        <w:t>domicilium</w:t>
      </w:r>
      <w:proofErr w:type="spellEnd"/>
      <w:r w:rsidR="006C1F2B">
        <w:rPr>
          <w:rFonts w:ascii="Arial" w:hAnsi="Arial" w:cs="Arial"/>
        </w:rPr>
        <w:t>.</w:t>
      </w:r>
      <w:r w:rsidR="00E403AC">
        <w:rPr>
          <w:rFonts w:ascii="Arial" w:hAnsi="Arial" w:cs="Arial"/>
        </w:rPr>
        <w:t xml:space="preserve">  The applicant’s </w:t>
      </w:r>
      <w:proofErr w:type="spellStart"/>
      <w:r w:rsidR="00E403AC">
        <w:rPr>
          <w:rFonts w:ascii="Arial" w:hAnsi="Arial" w:cs="Arial"/>
        </w:rPr>
        <w:lastRenderedPageBreak/>
        <w:t>domicil</w:t>
      </w:r>
      <w:r w:rsidR="00740403">
        <w:rPr>
          <w:rFonts w:ascii="Arial" w:hAnsi="Arial" w:cs="Arial"/>
        </w:rPr>
        <w:t>i</w:t>
      </w:r>
      <w:r w:rsidR="00E403AC">
        <w:rPr>
          <w:rFonts w:ascii="Arial" w:hAnsi="Arial" w:cs="Arial"/>
        </w:rPr>
        <w:t>um</w:t>
      </w:r>
      <w:proofErr w:type="spellEnd"/>
      <w:r w:rsidR="00E403AC">
        <w:rPr>
          <w:rFonts w:ascii="Arial" w:hAnsi="Arial" w:cs="Arial"/>
        </w:rPr>
        <w:t xml:space="preserve"> changed in 2018, before it concluded the lease agreement.  It chose the </w:t>
      </w:r>
      <w:proofErr w:type="spellStart"/>
      <w:r w:rsidR="00E403AC">
        <w:rPr>
          <w:rFonts w:ascii="Arial" w:hAnsi="Arial" w:cs="Arial"/>
        </w:rPr>
        <w:t>domicilium</w:t>
      </w:r>
      <w:proofErr w:type="spellEnd"/>
      <w:r w:rsidR="00E403AC">
        <w:rPr>
          <w:rFonts w:ascii="Arial" w:hAnsi="Arial" w:cs="Arial"/>
        </w:rPr>
        <w:t xml:space="preserve"> on the lease agreement and the respondent </w:t>
      </w:r>
      <w:r w:rsidR="000E260C">
        <w:rPr>
          <w:rFonts w:ascii="Arial" w:hAnsi="Arial" w:cs="Arial"/>
        </w:rPr>
        <w:t xml:space="preserve">served at its chosen </w:t>
      </w:r>
      <w:proofErr w:type="spellStart"/>
      <w:r w:rsidR="000E260C">
        <w:rPr>
          <w:rFonts w:ascii="Arial" w:hAnsi="Arial" w:cs="Arial"/>
        </w:rPr>
        <w:t>domicilium</w:t>
      </w:r>
      <w:proofErr w:type="spellEnd"/>
      <w:r w:rsidR="00E403AC">
        <w:rPr>
          <w:rFonts w:ascii="Arial" w:hAnsi="Arial" w:cs="Arial"/>
        </w:rPr>
        <w:t>.</w:t>
      </w:r>
    </w:p>
    <w:p w14:paraId="70D6915B" w14:textId="29C38062" w:rsidR="006D55C0" w:rsidRDefault="00D7129D" w:rsidP="00D7129D">
      <w:pPr>
        <w:spacing w:line="480" w:lineRule="auto"/>
        <w:ind w:left="851" w:hanging="851"/>
        <w:jc w:val="both"/>
        <w:rPr>
          <w:rFonts w:ascii="Arial" w:hAnsi="Arial" w:cs="Arial"/>
        </w:rPr>
      </w:pPr>
      <w:r>
        <w:rPr>
          <w:rFonts w:ascii="Arial" w:hAnsi="Arial" w:cs="Arial"/>
        </w:rPr>
        <w:t>43.</w:t>
      </w:r>
      <w:r>
        <w:rPr>
          <w:rFonts w:ascii="Arial" w:hAnsi="Arial" w:cs="Arial"/>
        </w:rPr>
        <w:tab/>
      </w:r>
      <w:r w:rsidR="000E260C">
        <w:rPr>
          <w:rFonts w:ascii="Arial" w:hAnsi="Arial" w:cs="Arial"/>
        </w:rPr>
        <w:t xml:space="preserve">Mr </w:t>
      </w:r>
      <w:r w:rsidR="009D0296">
        <w:rPr>
          <w:rFonts w:ascii="Arial" w:hAnsi="Arial" w:cs="Arial"/>
        </w:rPr>
        <w:t>Dobi</w:t>
      </w:r>
      <w:r w:rsidR="000E260C">
        <w:rPr>
          <w:rFonts w:ascii="Arial" w:hAnsi="Arial" w:cs="Arial"/>
        </w:rPr>
        <w:t xml:space="preserve"> </w:t>
      </w:r>
      <w:proofErr w:type="gramStart"/>
      <w:r w:rsidR="000E260C">
        <w:rPr>
          <w:rFonts w:ascii="Arial" w:hAnsi="Arial" w:cs="Arial"/>
        </w:rPr>
        <w:t>submitted  that</w:t>
      </w:r>
      <w:proofErr w:type="gramEnd"/>
      <w:r w:rsidR="000E260C">
        <w:rPr>
          <w:rFonts w:ascii="Arial" w:hAnsi="Arial" w:cs="Arial"/>
        </w:rPr>
        <w:t xml:space="preserve"> </w:t>
      </w:r>
      <w:r w:rsidR="009D0296">
        <w:rPr>
          <w:rFonts w:ascii="Arial" w:hAnsi="Arial" w:cs="Arial"/>
        </w:rPr>
        <w:t>the applicant conceded it was told in October 202</w:t>
      </w:r>
      <w:r w:rsidR="008E3D5D">
        <w:rPr>
          <w:rFonts w:ascii="Arial" w:hAnsi="Arial" w:cs="Arial"/>
        </w:rPr>
        <w:t>0</w:t>
      </w:r>
      <w:r w:rsidR="009D0296">
        <w:rPr>
          <w:rFonts w:ascii="Arial" w:hAnsi="Arial" w:cs="Arial"/>
        </w:rPr>
        <w:t xml:space="preserve"> that the respondent was “going to institute action” and it did nothing about this until only in January 202</w:t>
      </w:r>
      <w:r w:rsidR="00E70F89">
        <w:rPr>
          <w:rFonts w:ascii="Arial" w:hAnsi="Arial" w:cs="Arial"/>
        </w:rPr>
        <w:t>1</w:t>
      </w:r>
      <w:r w:rsidR="009D0296">
        <w:rPr>
          <w:rFonts w:ascii="Arial" w:hAnsi="Arial" w:cs="Arial"/>
        </w:rPr>
        <w:t xml:space="preserve"> when i</w:t>
      </w:r>
      <w:r w:rsidR="00E70F89">
        <w:rPr>
          <w:rFonts w:ascii="Arial" w:hAnsi="Arial" w:cs="Arial"/>
        </w:rPr>
        <w:t>t in</w:t>
      </w:r>
      <w:r w:rsidR="00E80EBE">
        <w:rPr>
          <w:rFonts w:ascii="Arial" w:hAnsi="Arial" w:cs="Arial"/>
        </w:rPr>
        <w:t xml:space="preserve">quired when </w:t>
      </w:r>
      <w:r w:rsidR="00E70F89">
        <w:rPr>
          <w:rFonts w:ascii="Arial" w:hAnsi="Arial" w:cs="Arial"/>
        </w:rPr>
        <w:t>it was too late</w:t>
      </w:r>
      <w:r w:rsidR="00E80EBE">
        <w:rPr>
          <w:rFonts w:ascii="Arial" w:hAnsi="Arial" w:cs="Arial"/>
        </w:rPr>
        <w:t xml:space="preserve"> as judgment had been granted.  H</w:t>
      </w:r>
      <w:r w:rsidR="0083583C">
        <w:rPr>
          <w:rFonts w:ascii="Arial" w:hAnsi="Arial" w:cs="Arial"/>
        </w:rPr>
        <w:t xml:space="preserve">e submitted that the applicant was </w:t>
      </w:r>
      <w:r w:rsidR="00E70F89">
        <w:rPr>
          <w:rFonts w:ascii="Arial" w:hAnsi="Arial" w:cs="Arial"/>
        </w:rPr>
        <w:t>wilful.</w:t>
      </w:r>
    </w:p>
    <w:p w14:paraId="5C16017D" w14:textId="40A2FA08" w:rsidR="00E80EBE" w:rsidRDefault="00D7129D" w:rsidP="00681DE9">
      <w:pPr>
        <w:spacing w:line="480" w:lineRule="auto"/>
        <w:ind w:left="851" w:hanging="851"/>
        <w:jc w:val="both"/>
        <w:rPr>
          <w:rFonts w:ascii="Arial" w:hAnsi="Arial" w:cs="Arial"/>
        </w:rPr>
      </w:pPr>
      <w:r>
        <w:rPr>
          <w:rFonts w:ascii="Arial" w:hAnsi="Arial" w:cs="Arial"/>
        </w:rPr>
        <w:t>44.</w:t>
      </w:r>
      <w:r>
        <w:rPr>
          <w:rFonts w:ascii="Arial" w:hAnsi="Arial" w:cs="Arial"/>
        </w:rPr>
        <w:tab/>
      </w:r>
      <w:r w:rsidR="00E80EBE">
        <w:rPr>
          <w:rFonts w:ascii="Arial" w:hAnsi="Arial" w:cs="Arial"/>
        </w:rPr>
        <w:t>Counsel submitted that the applicant fails to allege a breach of any specific clause of the agreement and what facts it relies on for its defence</w:t>
      </w:r>
      <w:r w:rsidR="00E70F89">
        <w:rPr>
          <w:rFonts w:ascii="Arial" w:hAnsi="Arial" w:cs="Arial"/>
        </w:rPr>
        <w:t xml:space="preserve">.  </w:t>
      </w:r>
    </w:p>
    <w:p w14:paraId="09CA79B4" w14:textId="504921C3" w:rsidR="003848D3" w:rsidRDefault="00E70F89" w:rsidP="00D7129D">
      <w:pPr>
        <w:spacing w:line="480" w:lineRule="auto"/>
        <w:ind w:left="851" w:hanging="851"/>
        <w:jc w:val="both"/>
        <w:rPr>
          <w:rFonts w:ascii="Arial" w:hAnsi="Arial" w:cs="Arial"/>
        </w:rPr>
      </w:pPr>
      <w:r>
        <w:rPr>
          <w:rFonts w:ascii="Arial" w:hAnsi="Arial" w:cs="Arial"/>
        </w:rPr>
        <w:t>4</w:t>
      </w:r>
      <w:r w:rsidR="00681DE9">
        <w:rPr>
          <w:rFonts w:ascii="Arial" w:hAnsi="Arial" w:cs="Arial"/>
        </w:rPr>
        <w:t>5.</w:t>
      </w:r>
      <w:r w:rsidR="00681DE9">
        <w:rPr>
          <w:rFonts w:ascii="Arial" w:hAnsi="Arial" w:cs="Arial"/>
        </w:rPr>
        <w:tab/>
      </w:r>
      <w:r w:rsidR="008E3D5D">
        <w:rPr>
          <w:rFonts w:ascii="Arial" w:hAnsi="Arial" w:cs="Arial"/>
        </w:rPr>
        <w:t>C</w:t>
      </w:r>
      <w:r w:rsidR="00E80EBE">
        <w:rPr>
          <w:rFonts w:ascii="Arial" w:hAnsi="Arial" w:cs="Arial"/>
        </w:rPr>
        <w:t>ounsel referred the court to clause</w:t>
      </w:r>
      <w:r w:rsidR="003848D3">
        <w:rPr>
          <w:rFonts w:ascii="Arial" w:hAnsi="Arial" w:cs="Arial"/>
        </w:rPr>
        <w:t xml:space="preserve">s 3.3 and 3.5 of </w:t>
      </w:r>
      <w:r w:rsidR="005D0AE0">
        <w:rPr>
          <w:rFonts w:ascii="Arial" w:hAnsi="Arial" w:cs="Arial"/>
        </w:rPr>
        <w:t xml:space="preserve">the lease agreement </w:t>
      </w:r>
      <w:r w:rsidR="003848D3">
        <w:rPr>
          <w:rFonts w:ascii="Arial" w:hAnsi="Arial" w:cs="Arial"/>
        </w:rPr>
        <w:t xml:space="preserve">which excludes warranties and clause 24.5 which </w:t>
      </w:r>
      <w:r w:rsidR="008E3D5D">
        <w:rPr>
          <w:rFonts w:ascii="Arial" w:hAnsi="Arial" w:cs="Arial"/>
        </w:rPr>
        <w:t>addresses</w:t>
      </w:r>
      <w:r w:rsidR="003848D3">
        <w:rPr>
          <w:rFonts w:ascii="Arial" w:hAnsi="Arial" w:cs="Arial"/>
        </w:rPr>
        <w:t xml:space="preserve"> the challenges arising from incomplete construction, when the </w:t>
      </w:r>
      <w:r w:rsidR="005D0AE0">
        <w:rPr>
          <w:rFonts w:ascii="Arial" w:hAnsi="Arial" w:cs="Arial"/>
        </w:rPr>
        <w:t xml:space="preserve">tenant must suffer some inconvenience from, certain interruptions. </w:t>
      </w:r>
    </w:p>
    <w:p w14:paraId="05C87D22" w14:textId="754CA0AF" w:rsidR="005D0AE0" w:rsidRPr="003848D3" w:rsidRDefault="00D7129D" w:rsidP="00D7129D">
      <w:pPr>
        <w:spacing w:line="480" w:lineRule="auto"/>
        <w:ind w:left="851" w:hanging="851"/>
        <w:jc w:val="both"/>
        <w:rPr>
          <w:rFonts w:ascii="Arial" w:hAnsi="Arial" w:cs="Arial"/>
        </w:rPr>
      </w:pPr>
      <w:r>
        <w:rPr>
          <w:rFonts w:ascii="Arial" w:hAnsi="Arial" w:cs="Arial"/>
        </w:rPr>
        <w:t>4</w:t>
      </w:r>
      <w:r w:rsidR="00681DE9">
        <w:rPr>
          <w:rFonts w:ascii="Arial" w:hAnsi="Arial" w:cs="Arial"/>
        </w:rPr>
        <w:t>6.</w:t>
      </w:r>
      <w:r w:rsidR="00681DE9">
        <w:rPr>
          <w:rFonts w:ascii="Arial" w:hAnsi="Arial" w:cs="Arial"/>
        </w:rPr>
        <w:tab/>
      </w:r>
      <w:r w:rsidR="003848D3">
        <w:rPr>
          <w:rFonts w:ascii="Arial" w:hAnsi="Arial" w:cs="Arial"/>
        </w:rPr>
        <w:t>Mr Dobie submitted n</w:t>
      </w:r>
      <w:r w:rsidR="005D0AE0">
        <w:rPr>
          <w:rFonts w:ascii="Arial" w:hAnsi="Arial" w:cs="Arial"/>
        </w:rPr>
        <w:t>o claim for damages lie</w:t>
      </w:r>
      <w:r w:rsidR="003848D3">
        <w:rPr>
          <w:rFonts w:ascii="Arial" w:hAnsi="Arial" w:cs="Arial"/>
        </w:rPr>
        <w:t xml:space="preserve"> in this instance and clause 24.2 deals specifically with the applicant’s main complaint that </w:t>
      </w:r>
      <w:proofErr w:type="gramStart"/>
      <w:r w:rsidR="003848D3">
        <w:rPr>
          <w:rFonts w:ascii="Arial" w:hAnsi="Arial" w:cs="Arial"/>
        </w:rPr>
        <w:t xml:space="preserve">it  </w:t>
      </w:r>
      <w:r w:rsidR="005D0AE0" w:rsidRPr="003848D3">
        <w:rPr>
          <w:rFonts w:ascii="Arial" w:hAnsi="Arial" w:cs="Arial"/>
        </w:rPr>
        <w:t>could</w:t>
      </w:r>
      <w:proofErr w:type="gramEnd"/>
      <w:r w:rsidR="005D0AE0" w:rsidRPr="003848D3">
        <w:rPr>
          <w:rFonts w:ascii="Arial" w:hAnsi="Arial" w:cs="Arial"/>
        </w:rPr>
        <w:t xml:space="preserve"> not </w:t>
      </w:r>
      <w:r w:rsidR="003848D3" w:rsidRPr="003848D3">
        <w:rPr>
          <w:rFonts w:ascii="Arial" w:hAnsi="Arial" w:cs="Arial"/>
        </w:rPr>
        <w:t xml:space="preserve">operate its </w:t>
      </w:r>
      <w:r w:rsidR="005D0AE0" w:rsidRPr="003848D3">
        <w:rPr>
          <w:rFonts w:ascii="Arial" w:hAnsi="Arial" w:cs="Arial"/>
        </w:rPr>
        <w:t xml:space="preserve">business due to </w:t>
      </w:r>
      <w:r w:rsidR="00784392">
        <w:rPr>
          <w:rFonts w:ascii="Arial" w:hAnsi="Arial" w:cs="Arial"/>
        </w:rPr>
        <w:t xml:space="preserve">incomplete </w:t>
      </w:r>
      <w:r w:rsidR="005D0AE0" w:rsidRPr="003848D3">
        <w:rPr>
          <w:rFonts w:ascii="Arial" w:hAnsi="Arial" w:cs="Arial"/>
        </w:rPr>
        <w:t>construction.</w:t>
      </w:r>
      <w:r w:rsidR="00E67D9F">
        <w:rPr>
          <w:rFonts w:ascii="Arial" w:hAnsi="Arial" w:cs="Arial"/>
        </w:rPr>
        <w:t xml:space="preserve">   </w:t>
      </w:r>
    </w:p>
    <w:p w14:paraId="7EFC802B" w14:textId="27EADC30" w:rsidR="00935A80" w:rsidRDefault="00D7129D" w:rsidP="00D7129D">
      <w:pPr>
        <w:spacing w:line="480" w:lineRule="auto"/>
        <w:ind w:left="851" w:hanging="851"/>
        <w:jc w:val="both"/>
        <w:rPr>
          <w:rFonts w:ascii="Arial" w:hAnsi="Arial" w:cs="Arial"/>
        </w:rPr>
      </w:pPr>
      <w:r>
        <w:rPr>
          <w:rFonts w:ascii="Arial" w:hAnsi="Arial" w:cs="Arial"/>
        </w:rPr>
        <w:t>48</w:t>
      </w:r>
      <w:r w:rsidR="005D0AE0">
        <w:rPr>
          <w:rFonts w:ascii="Arial" w:hAnsi="Arial" w:cs="Arial"/>
        </w:rPr>
        <w:t>.</w:t>
      </w:r>
      <w:r w:rsidR="005D0AE0">
        <w:rPr>
          <w:rFonts w:ascii="Arial" w:hAnsi="Arial" w:cs="Arial"/>
        </w:rPr>
        <w:tab/>
        <w:t>Counsel denie</w:t>
      </w:r>
      <w:r w:rsidR="00784392">
        <w:rPr>
          <w:rFonts w:ascii="Arial" w:hAnsi="Arial" w:cs="Arial"/>
        </w:rPr>
        <w:t>d</w:t>
      </w:r>
      <w:r w:rsidR="005D0AE0">
        <w:rPr>
          <w:rFonts w:ascii="Arial" w:hAnsi="Arial" w:cs="Arial"/>
        </w:rPr>
        <w:t xml:space="preserve"> that the parties concluded any agreement </w:t>
      </w:r>
      <w:r w:rsidR="00784392">
        <w:rPr>
          <w:rFonts w:ascii="Arial" w:hAnsi="Arial" w:cs="Arial"/>
        </w:rPr>
        <w:t xml:space="preserve">after </w:t>
      </w:r>
      <w:r w:rsidR="005D0AE0">
        <w:rPr>
          <w:rFonts w:ascii="Arial" w:hAnsi="Arial" w:cs="Arial"/>
        </w:rPr>
        <w:t>the lease for reduced rentals or any review of rentals.</w:t>
      </w:r>
      <w:r w:rsidR="00784392">
        <w:rPr>
          <w:rFonts w:ascii="Arial" w:hAnsi="Arial" w:cs="Arial"/>
        </w:rPr>
        <w:t xml:space="preserve">  The </w:t>
      </w:r>
      <w:r w:rsidR="00D722C0">
        <w:rPr>
          <w:rFonts w:ascii="Arial" w:hAnsi="Arial" w:cs="Arial"/>
        </w:rPr>
        <w:t xml:space="preserve">agreement concluded </w:t>
      </w:r>
      <w:r w:rsidR="00784392">
        <w:rPr>
          <w:rFonts w:ascii="Arial" w:hAnsi="Arial" w:cs="Arial"/>
        </w:rPr>
        <w:t>were merely indulgences.  The respondent made an o</w:t>
      </w:r>
      <w:r w:rsidR="00F13F7D">
        <w:rPr>
          <w:rFonts w:ascii="Arial" w:hAnsi="Arial" w:cs="Arial"/>
        </w:rPr>
        <w:t xml:space="preserve">ffer </w:t>
      </w:r>
      <w:r w:rsidR="00935A80">
        <w:rPr>
          <w:rFonts w:ascii="Arial" w:hAnsi="Arial" w:cs="Arial"/>
        </w:rPr>
        <w:t xml:space="preserve">which </w:t>
      </w:r>
      <w:r w:rsidR="00784392">
        <w:rPr>
          <w:rFonts w:ascii="Arial" w:hAnsi="Arial" w:cs="Arial"/>
        </w:rPr>
        <w:t>was</w:t>
      </w:r>
      <w:r w:rsidR="00935A80">
        <w:rPr>
          <w:rFonts w:ascii="Arial" w:hAnsi="Arial" w:cs="Arial"/>
        </w:rPr>
        <w:t xml:space="preserve"> met by counteroffers as the correspondence confirms.</w:t>
      </w:r>
      <w:r w:rsidR="00784392">
        <w:rPr>
          <w:rFonts w:ascii="Arial" w:hAnsi="Arial" w:cs="Arial"/>
        </w:rPr>
        <w:t xml:space="preserve">  The lease includes a </w:t>
      </w:r>
      <w:r w:rsidR="00147F11">
        <w:rPr>
          <w:rFonts w:ascii="Arial" w:hAnsi="Arial" w:cs="Arial"/>
        </w:rPr>
        <w:t>non-variation</w:t>
      </w:r>
      <w:r w:rsidR="00784392">
        <w:rPr>
          <w:rFonts w:ascii="Arial" w:hAnsi="Arial" w:cs="Arial"/>
        </w:rPr>
        <w:t xml:space="preserve"> clause, which requires any variation to be in writing between parties.  No such variation is recorded.</w:t>
      </w:r>
    </w:p>
    <w:p w14:paraId="33D09D44" w14:textId="58A54265" w:rsidR="003369B6" w:rsidRDefault="00D7129D" w:rsidP="00681DE9">
      <w:pPr>
        <w:spacing w:line="480" w:lineRule="auto"/>
        <w:ind w:left="851" w:hanging="851"/>
        <w:jc w:val="both"/>
        <w:rPr>
          <w:rFonts w:ascii="Arial" w:hAnsi="Arial" w:cs="Arial"/>
        </w:rPr>
      </w:pPr>
      <w:r>
        <w:rPr>
          <w:rFonts w:ascii="Arial" w:hAnsi="Arial" w:cs="Arial"/>
        </w:rPr>
        <w:t>49</w:t>
      </w:r>
      <w:r w:rsidR="00935A80">
        <w:rPr>
          <w:rFonts w:ascii="Arial" w:hAnsi="Arial" w:cs="Arial"/>
        </w:rPr>
        <w:t>.</w:t>
      </w:r>
      <w:r w:rsidR="00935A80">
        <w:rPr>
          <w:rFonts w:ascii="Arial" w:hAnsi="Arial" w:cs="Arial"/>
        </w:rPr>
        <w:tab/>
      </w:r>
      <w:r w:rsidR="003369B6">
        <w:rPr>
          <w:rFonts w:ascii="Arial" w:hAnsi="Arial" w:cs="Arial"/>
        </w:rPr>
        <w:t>Mr Dobie submitted t</w:t>
      </w:r>
      <w:r w:rsidR="00935A80">
        <w:rPr>
          <w:rFonts w:ascii="Arial" w:hAnsi="Arial" w:cs="Arial"/>
        </w:rPr>
        <w:t>he applicant repudiated the lease,</w:t>
      </w:r>
      <w:r w:rsidR="00935A80">
        <w:rPr>
          <w:rStyle w:val="FootnoteReference"/>
          <w:rFonts w:ascii="Arial" w:hAnsi="Arial" w:cs="Arial"/>
        </w:rPr>
        <w:footnoteReference w:id="15"/>
      </w:r>
      <w:r w:rsidR="00935A80">
        <w:rPr>
          <w:rFonts w:ascii="Arial" w:hAnsi="Arial" w:cs="Arial"/>
        </w:rPr>
        <w:t xml:space="preserve"> it simply cancel</w:t>
      </w:r>
      <w:r w:rsidR="003369B6">
        <w:rPr>
          <w:rFonts w:ascii="Arial" w:hAnsi="Arial" w:cs="Arial"/>
        </w:rPr>
        <w:t>led</w:t>
      </w:r>
      <w:r w:rsidR="00935A80">
        <w:rPr>
          <w:rFonts w:ascii="Arial" w:hAnsi="Arial" w:cs="Arial"/>
        </w:rPr>
        <w:t xml:space="preserve"> the lease, the respondent </w:t>
      </w:r>
      <w:r w:rsidR="003369B6">
        <w:rPr>
          <w:rFonts w:ascii="Arial" w:hAnsi="Arial" w:cs="Arial"/>
        </w:rPr>
        <w:t>was</w:t>
      </w:r>
      <w:r w:rsidR="00935A80">
        <w:rPr>
          <w:rFonts w:ascii="Arial" w:hAnsi="Arial" w:cs="Arial"/>
        </w:rPr>
        <w:t xml:space="preserve"> not placed in mora</w:t>
      </w:r>
      <w:r w:rsidR="00C30684">
        <w:rPr>
          <w:rFonts w:ascii="Arial" w:hAnsi="Arial" w:cs="Arial"/>
        </w:rPr>
        <w:t xml:space="preserve">.  The respondent has not accepted the repudiation.  </w:t>
      </w:r>
    </w:p>
    <w:p w14:paraId="553F96E1" w14:textId="24DB9F3D" w:rsidR="00C30684" w:rsidRDefault="003369B6" w:rsidP="00D7129D">
      <w:pPr>
        <w:spacing w:line="480" w:lineRule="auto"/>
        <w:ind w:left="851" w:hanging="851"/>
        <w:jc w:val="both"/>
        <w:rPr>
          <w:rFonts w:ascii="Arial" w:hAnsi="Arial" w:cs="Arial"/>
        </w:rPr>
      </w:pPr>
      <w:r>
        <w:rPr>
          <w:rFonts w:ascii="Arial" w:hAnsi="Arial" w:cs="Arial"/>
        </w:rPr>
        <w:lastRenderedPageBreak/>
        <w:t>5</w:t>
      </w:r>
      <w:r w:rsidR="00681DE9">
        <w:rPr>
          <w:rFonts w:ascii="Arial" w:hAnsi="Arial" w:cs="Arial"/>
        </w:rPr>
        <w:t>0</w:t>
      </w:r>
      <w:r>
        <w:rPr>
          <w:rFonts w:ascii="Arial" w:hAnsi="Arial" w:cs="Arial"/>
        </w:rPr>
        <w:t>.</w:t>
      </w:r>
      <w:r>
        <w:rPr>
          <w:rFonts w:ascii="Arial" w:hAnsi="Arial" w:cs="Arial"/>
        </w:rPr>
        <w:tab/>
        <w:t xml:space="preserve">It was submitted that </w:t>
      </w:r>
      <w:r w:rsidR="00C30684">
        <w:rPr>
          <w:rFonts w:ascii="Arial" w:hAnsi="Arial" w:cs="Arial"/>
        </w:rPr>
        <w:t>nothing in lease obliges the respondent to guarantee that applicant makes a profit</w:t>
      </w:r>
      <w:r w:rsidR="00681DE9">
        <w:rPr>
          <w:rFonts w:ascii="Arial" w:hAnsi="Arial" w:cs="Arial"/>
        </w:rPr>
        <w:t xml:space="preserve"> t</w:t>
      </w:r>
      <w:r w:rsidR="00C30684">
        <w:rPr>
          <w:rFonts w:ascii="Arial" w:hAnsi="Arial" w:cs="Arial"/>
        </w:rPr>
        <w:t>he applicant must show that it became impossible to use the premises</w:t>
      </w:r>
      <w:r w:rsidR="008E3D5D">
        <w:rPr>
          <w:rFonts w:ascii="Arial" w:hAnsi="Arial" w:cs="Arial"/>
        </w:rPr>
        <w:t>.</w:t>
      </w:r>
    </w:p>
    <w:p w14:paraId="67239971" w14:textId="3FA055E1" w:rsidR="00035B8D" w:rsidRDefault="00C30684" w:rsidP="00691635">
      <w:pPr>
        <w:spacing w:line="480" w:lineRule="auto"/>
        <w:ind w:left="851" w:hanging="851"/>
        <w:jc w:val="both"/>
        <w:rPr>
          <w:rFonts w:ascii="Arial" w:hAnsi="Arial" w:cs="Arial"/>
        </w:rPr>
      </w:pPr>
      <w:r>
        <w:rPr>
          <w:rFonts w:ascii="Arial" w:hAnsi="Arial" w:cs="Arial"/>
        </w:rPr>
        <w:t>5</w:t>
      </w:r>
      <w:r w:rsidR="00681DE9">
        <w:rPr>
          <w:rFonts w:ascii="Arial" w:hAnsi="Arial" w:cs="Arial"/>
        </w:rPr>
        <w:t>1.</w:t>
      </w:r>
      <w:r w:rsidR="00681DE9">
        <w:rPr>
          <w:rFonts w:ascii="Arial" w:hAnsi="Arial" w:cs="Arial"/>
        </w:rPr>
        <w:tab/>
      </w:r>
      <w:r w:rsidR="00035B8D">
        <w:rPr>
          <w:rFonts w:ascii="Arial" w:hAnsi="Arial" w:cs="Arial"/>
        </w:rPr>
        <w:t>Mr Dobie submitted that the applicant has failed to demonstrate prospects of success at a trial and asked that the application be dismissed.</w:t>
      </w:r>
    </w:p>
    <w:p w14:paraId="6E3E9181" w14:textId="4E394161" w:rsidR="00EA7194" w:rsidRDefault="00035B8D" w:rsidP="00691635">
      <w:pPr>
        <w:spacing w:line="480" w:lineRule="auto"/>
        <w:ind w:left="851" w:hanging="851"/>
        <w:jc w:val="both"/>
        <w:rPr>
          <w:rFonts w:ascii="Arial" w:hAnsi="Arial" w:cs="Arial"/>
        </w:rPr>
      </w:pPr>
      <w:r>
        <w:rPr>
          <w:rFonts w:ascii="Arial" w:hAnsi="Arial" w:cs="Arial"/>
        </w:rPr>
        <w:t>5</w:t>
      </w:r>
      <w:r w:rsidR="00681DE9">
        <w:rPr>
          <w:rFonts w:ascii="Arial" w:hAnsi="Arial" w:cs="Arial"/>
        </w:rPr>
        <w:t>2.</w:t>
      </w:r>
      <w:r w:rsidR="00681DE9">
        <w:rPr>
          <w:rFonts w:ascii="Arial" w:hAnsi="Arial" w:cs="Arial"/>
        </w:rPr>
        <w:tab/>
      </w:r>
      <w:r>
        <w:rPr>
          <w:rFonts w:ascii="Arial" w:hAnsi="Arial" w:cs="Arial"/>
        </w:rPr>
        <w:t>Counsel submitted further that even if the court grants the recission, it must order the applicant to pay the costs, as it was necessary for the respondent to oppose this application.</w:t>
      </w:r>
      <w:r w:rsidR="00EA7194">
        <w:rPr>
          <w:rFonts w:ascii="Arial" w:hAnsi="Arial" w:cs="Arial"/>
        </w:rPr>
        <w:t xml:space="preserve">  </w:t>
      </w:r>
    </w:p>
    <w:p w14:paraId="6A479D10" w14:textId="77777777" w:rsidR="003C268B" w:rsidRDefault="003C268B" w:rsidP="0049548F">
      <w:pPr>
        <w:spacing w:line="480" w:lineRule="auto"/>
        <w:ind w:left="720" w:hanging="720"/>
        <w:jc w:val="both"/>
        <w:rPr>
          <w:rFonts w:ascii="Arial" w:hAnsi="Arial" w:cs="Arial"/>
        </w:rPr>
      </w:pPr>
    </w:p>
    <w:p w14:paraId="346B5013" w14:textId="060B27FA" w:rsidR="00035B8D" w:rsidRPr="000D6AFD" w:rsidRDefault="00035B8D" w:rsidP="0049548F">
      <w:pPr>
        <w:spacing w:line="480" w:lineRule="auto"/>
        <w:ind w:left="720" w:hanging="720"/>
        <w:jc w:val="both"/>
        <w:rPr>
          <w:rFonts w:ascii="Arial" w:hAnsi="Arial" w:cs="Arial"/>
          <w:b/>
          <w:bCs/>
        </w:rPr>
      </w:pPr>
      <w:r w:rsidRPr="000D6AFD">
        <w:rPr>
          <w:rFonts w:ascii="Arial" w:hAnsi="Arial" w:cs="Arial"/>
          <w:b/>
          <w:bCs/>
        </w:rPr>
        <w:t>JUDGMENT</w:t>
      </w:r>
    </w:p>
    <w:p w14:paraId="2CFBC5AB" w14:textId="77DA3743" w:rsidR="0065218C" w:rsidRDefault="00375B95" w:rsidP="00691635">
      <w:pPr>
        <w:spacing w:line="480" w:lineRule="auto"/>
        <w:ind w:left="851" w:hanging="851"/>
        <w:jc w:val="both"/>
        <w:rPr>
          <w:rFonts w:ascii="Arial" w:hAnsi="Arial" w:cs="Arial"/>
        </w:rPr>
      </w:pPr>
      <w:r>
        <w:rPr>
          <w:rFonts w:ascii="Arial" w:hAnsi="Arial" w:cs="Arial"/>
        </w:rPr>
        <w:t>5</w:t>
      </w:r>
      <w:r w:rsidR="00767BB6">
        <w:rPr>
          <w:rFonts w:ascii="Arial" w:hAnsi="Arial" w:cs="Arial"/>
        </w:rPr>
        <w:t>3.</w:t>
      </w:r>
      <w:r w:rsidR="00767BB6">
        <w:rPr>
          <w:rFonts w:ascii="Arial" w:hAnsi="Arial" w:cs="Arial"/>
        </w:rPr>
        <w:tab/>
      </w:r>
      <w:r w:rsidR="005A6F77">
        <w:rPr>
          <w:rFonts w:ascii="Arial" w:hAnsi="Arial" w:cs="Arial"/>
        </w:rPr>
        <w:t xml:space="preserve">In this application the applicant seeks a right to be heard.  It seeks the opportunity to present its defence and argue against its liability to pay the rentals claimed.  It did not know that a summons was served on its </w:t>
      </w:r>
      <w:r w:rsidR="00CD28DC">
        <w:rPr>
          <w:rFonts w:ascii="Arial" w:hAnsi="Arial" w:cs="Arial"/>
        </w:rPr>
        <w:t xml:space="preserve">previous </w:t>
      </w:r>
      <w:proofErr w:type="spellStart"/>
      <w:r w:rsidR="00CD28DC">
        <w:rPr>
          <w:rFonts w:ascii="Arial" w:hAnsi="Arial" w:cs="Arial"/>
        </w:rPr>
        <w:t>domicilium</w:t>
      </w:r>
      <w:proofErr w:type="spellEnd"/>
      <w:r w:rsidR="00CD28DC">
        <w:rPr>
          <w:rFonts w:ascii="Arial" w:hAnsi="Arial" w:cs="Arial"/>
        </w:rPr>
        <w:t xml:space="preserve"> address.  Had it know</w:t>
      </w:r>
      <w:r w:rsidR="0074193F">
        <w:rPr>
          <w:rFonts w:ascii="Arial" w:hAnsi="Arial" w:cs="Arial"/>
        </w:rPr>
        <w:t>n</w:t>
      </w:r>
      <w:r w:rsidR="00CD28DC">
        <w:rPr>
          <w:rFonts w:ascii="Arial" w:hAnsi="Arial" w:cs="Arial"/>
        </w:rPr>
        <w:t xml:space="preserve"> of the action, it would have defended it.</w:t>
      </w:r>
      <w:r w:rsidR="00767BB6">
        <w:rPr>
          <w:rFonts w:ascii="Arial" w:hAnsi="Arial" w:cs="Arial"/>
        </w:rPr>
        <w:t xml:space="preserve"> </w:t>
      </w:r>
      <w:r w:rsidR="00CD28DC">
        <w:rPr>
          <w:rFonts w:ascii="Arial" w:hAnsi="Arial" w:cs="Arial"/>
        </w:rPr>
        <w:t xml:space="preserve">It is noteworthy that the applicants acted almost immediately on realising that </w:t>
      </w:r>
      <w:r w:rsidR="008E3D5D">
        <w:rPr>
          <w:rFonts w:ascii="Arial" w:hAnsi="Arial" w:cs="Arial"/>
        </w:rPr>
        <w:t xml:space="preserve">a </w:t>
      </w:r>
      <w:r w:rsidR="0074193F">
        <w:rPr>
          <w:rFonts w:ascii="Arial" w:hAnsi="Arial" w:cs="Arial"/>
        </w:rPr>
        <w:t>judgment ha</w:t>
      </w:r>
      <w:r w:rsidR="008E3D5D">
        <w:rPr>
          <w:rFonts w:ascii="Arial" w:hAnsi="Arial" w:cs="Arial"/>
        </w:rPr>
        <w:t>d</w:t>
      </w:r>
      <w:r w:rsidR="0074193F">
        <w:rPr>
          <w:rFonts w:ascii="Arial" w:hAnsi="Arial" w:cs="Arial"/>
        </w:rPr>
        <w:t xml:space="preserve"> been granted.</w:t>
      </w:r>
      <w:r w:rsidR="009E7263">
        <w:rPr>
          <w:rFonts w:ascii="Arial" w:hAnsi="Arial" w:cs="Arial"/>
        </w:rPr>
        <w:tab/>
      </w:r>
    </w:p>
    <w:p w14:paraId="3E080ED7" w14:textId="242A33B3" w:rsidR="00CD28DC" w:rsidRDefault="00375B95" w:rsidP="00691635">
      <w:pPr>
        <w:spacing w:line="480" w:lineRule="auto"/>
        <w:ind w:left="851" w:hanging="851"/>
        <w:jc w:val="both"/>
        <w:rPr>
          <w:rFonts w:ascii="Arial" w:hAnsi="Arial" w:cs="Arial"/>
        </w:rPr>
      </w:pPr>
      <w:r>
        <w:rPr>
          <w:rFonts w:ascii="Arial" w:hAnsi="Arial" w:cs="Arial"/>
        </w:rPr>
        <w:t>5</w:t>
      </w:r>
      <w:r w:rsidR="00767BB6">
        <w:rPr>
          <w:rFonts w:ascii="Arial" w:hAnsi="Arial" w:cs="Arial"/>
        </w:rPr>
        <w:t>4.</w:t>
      </w:r>
      <w:r w:rsidR="00767BB6">
        <w:rPr>
          <w:rFonts w:ascii="Arial" w:hAnsi="Arial" w:cs="Arial"/>
        </w:rPr>
        <w:tab/>
      </w:r>
      <w:r w:rsidR="00CD28DC">
        <w:rPr>
          <w:rFonts w:ascii="Arial" w:hAnsi="Arial" w:cs="Arial"/>
        </w:rPr>
        <w:t xml:space="preserve">In </w:t>
      </w:r>
      <w:r w:rsidR="00CD28DC" w:rsidRPr="00CD28DC">
        <w:rPr>
          <w:rFonts w:ascii="Arial" w:hAnsi="Arial" w:cs="Arial"/>
          <w:b/>
          <w:bCs/>
        </w:rPr>
        <w:t>INFINTUM HOLDINGS (PTY) LTD AND ANOTHER v JUDGO LERM AND OTHERS</w:t>
      </w:r>
      <w:r w:rsidR="00CD28DC">
        <w:rPr>
          <w:rStyle w:val="FootnoteReference"/>
          <w:rFonts w:ascii="Arial" w:hAnsi="Arial" w:cs="Arial"/>
        </w:rPr>
        <w:footnoteReference w:id="16"/>
      </w:r>
      <w:r w:rsidR="00CD28DC">
        <w:rPr>
          <w:rFonts w:ascii="Arial" w:hAnsi="Arial" w:cs="Arial"/>
        </w:rPr>
        <w:t xml:space="preserve">, Molahlehi J, stated, </w:t>
      </w:r>
    </w:p>
    <w:p w14:paraId="6C9A7D7E" w14:textId="27599EBF" w:rsidR="00CD28DC" w:rsidRDefault="00CD28DC" w:rsidP="0004512A">
      <w:pPr>
        <w:spacing w:line="480" w:lineRule="auto"/>
        <w:ind w:left="851"/>
        <w:jc w:val="both"/>
        <w:rPr>
          <w:rFonts w:ascii="Arial" w:hAnsi="Arial" w:cs="Arial"/>
        </w:rPr>
      </w:pPr>
      <w:r>
        <w:rPr>
          <w:rFonts w:ascii="Arial" w:hAnsi="Arial" w:cs="Arial"/>
        </w:rPr>
        <w:t>“</w:t>
      </w:r>
      <w:r w:rsidR="008E3D5D">
        <w:rPr>
          <w:rFonts w:ascii="Arial" w:hAnsi="Arial" w:cs="Arial"/>
        </w:rPr>
        <w:t>….</w:t>
      </w:r>
      <w:r w:rsidRPr="00CD28DC">
        <w:rPr>
          <w:rFonts w:ascii="Arial" w:hAnsi="Arial" w:cs="Arial"/>
          <w:i/>
          <w:iCs/>
        </w:rPr>
        <w:t xml:space="preserve"> the court retains a discretion to grant or refuse the rescission to rescind an order having regard to fairness and justice.”</w:t>
      </w:r>
    </w:p>
    <w:p w14:paraId="79B3B761" w14:textId="67F0C3D5" w:rsidR="000D6AFD" w:rsidRDefault="00375B95" w:rsidP="00691635">
      <w:pPr>
        <w:spacing w:line="480" w:lineRule="auto"/>
        <w:ind w:left="851" w:hanging="851"/>
        <w:jc w:val="both"/>
        <w:rPr>
          <w:rFonts w:ascii="Arial" w:hAnsi="Arial" w:cs="Arial"/>
        </w:rPr>
      </w:pPr>
      <w:r>
        <w:rPr>
          <w:rFonts w:ascii="Arial" w:hAnsi="Arial" w:cs="Arial"/>
        </w:rPr>
        <w:t>5</w:t>
      </w:r>
      <w:r w:rsidR="00767BB6">
        <w:rPr>
          <w:rFonts w:ascii="Arial" w:hAnsi="Arial" w:cs="Arial"/>
        </w:rPr>
        <w:t>5.</w:t>
      </w:r>
      <w:r w:rsidR="00767BB6">
        <w:rPr>
          <w:rFonts w:ascii="Arial" w:hAnsi="Arial" w:cs="Arial"/>
        </w:rPr>
        <w:tab/>
      </w:r>
      <w:r w:rsidR="009E7263">
        <w:rPr>
          <w:rFonts w:ascii="Arial" w:hAnsi="Arial" w:cs="Arial"/>
        </w:rPr>
        <w:t xml:space="preserve">In </w:t>
      </w:r>
      <w:r w:rsidR="009E7263" w:rsidRPr="009E7263">
        <w:rPr>
          <w:rFonts w:ascii="Arial" w:hAnsi="Arial" w:cs="Arial"/>
          <w:b/>
          <w:bCs/>
        </w:rPr>
        <w:t>HARRIS v ABSA BANK LTD</w:t>
      </w:r>
      <w:r w:rsidR="009E7263">
        <w:rPr>
          <w:rStyle w:val="FootnoteReference"/>
          <w:rFonts w:ascii="Arial" w:hAnsi="Arial" w:cs="Arial"/>
        </w:rPr>
        <w:footnoteReference w:id="17"/>
      </w:r>
      <w:r w:rsidR="009E7263">
        <w:rPr>
          <w:rFonts w:ascii="Arial" w:hAnsi="Arial" w:cs="Arial"/>
        </w:rPr>
        <w:t xml:space="preserve"> the court held that,</w:t>
      </w:r>
    </w:p>
    <w:p w14:paraId="1D638747" w14:textId="4F93A4A8" w:rsidR="009E7263" w:rsidRDefault="009E7263" w:rsidP="00691635">
      <w:pPr>
        <w:spacing w:line="480" w:lineRule="auto"/>
        <w:ind w:left="851" w:hanging="851"/>
        <w:jc w:val="both"/>
        <w:rPr>
          <w:rFonts w:ascii="Arial" w:hAnsi="Arial" w:cs="Arial"/>
        </w:rPr>
      </w:pPr>
      <w:r>
        <w:rPr>
          <w:rFonts w:ascii="Arial" w:hAnsi="Arial" w:cs="Arial"/>
        </w:rPr>
        <w:tab/>
        <w:t>“</w:t>
      </w:r>
      <w:r w:rsidRPr="00CD28DC">
        <w:rPr>
          <w:rFonts w:ascii="Arial" w:hAnsi="Arial" w:cs="Arial"/>
          <w:i/>
          <w:iCs/>
        </w:rPr>
        <w:t xml:space="preserve">Before an applicant in a recission of judgment application can be said to be in wilful default, he or she must bear </w:t>
      </w:r>
      <w:proofErr w:type="gramStart"/>
      <w:r w:rsidRPr="00CD28DC">
        <w:rPr>
          <w:rFonts w:ascii="Arial" w:hAnsi="Arial" w:cs="Arial"/>
          <w:i/>
          <w:iCs/>
        </w:rPr>
        <w:t>knowledge  of</w:t>
      </w:r>
      <w:proofErr w:type="gramEnd"/>
      <w:r w:rsidRPr="00CD28DC">
        <w:rPr>
          <w:rFonts w:ascii="Arial" w:hAnsi="Arial" w:cs="Arial"/>
          <w:i/>
          <w:iCs/>
        </w:rPr>
        <w:t xml:space="preserve"> the action brought against him or her of the steps required to avoid the default.  Such an applicant must deliberately, being </w:t>
      </w:r>
      <w:r w:rsidRPr="00CD28DC">
        <w:rPr>
          <w:rFonts w:ascii="Arial" w:hAnsi="Arial" w:cs="Arial"/>
          <w:i/>
          <w:iCs/>
        </w:rPr>
        <w:lastRenderedPageBreak/>
        <w:t>free to do so, fail or omit to take the step which would avoid the default and must appreciate the legal consequences of his or her actions.”</w:t>
      </w:r>
    </w:p>
    <w:p w14:paraId="5B6957F5" w14:textId="03348029" w:rsidR="009E7263" w:rsidRDefault="00375B95" w:rsidP="00691635">
      <w:pPr>
        <w:spacing w:line="480" w:lineRule="auto"/>
        <w:ind w:left="851" w:hanging="851"/>
        <w:jc w:val="both"/>
        <w:rPr>
          <w:rFonts w:ascii="Arial" w:hAnsi="Arial" w:cs="Arial"/>
        </w:rPr>
      </w:pPr>
      <w:r>
        <w:rPr>
          <w:rFonts w:ascii="Arial" w:hAnsi="Arial" w:cs="Arial"/>
        </w:rPr>
        <w:t>5</w:t>
      </w:r>
      <w:r w:rsidR="00767BB6">
        <w:rPr>
          <w:rFonts w:ascii="Arial" w:hAnsi="Arial" w:cs="Arial"/>
        </w:rPr>
        <w:t>6.</w:t>
      </w:r>
      <w:r w:rsidR="00767BB6">
        <w:rPr>
          <w:rFonts w:ascii="Arial" w:hAnsi="Arial" w:cs="Arial"/>
        </w:rPr>
        <w:tab/>
      </w:r>
      <w:r w:rsidR="009E7263">
        <w:rPr>
          <w:rFonts w:ascii="Arial" w:hAnsi="Arial" w:cs="Arial"/>
        </w:rPr>
        <w:t xml:space="preserve">Mr Dobie argued that the applicant was aware that the respondent’s Board had taken a decision to </w:t>
      </w:r>
      <w:r w:rsidR="001B5D66">
        <w:rPr>
          <w:rFonts w:ascii="Arial" w:hAnsi="Arial" w:cs="Arial"/>
        </w:rPr>
        <w:t>“</w:t>
      </w:r>
      <w:r w:rsidR="001B5D66" w:rsidRPr="001B5D66">
        <w:rPr>
          <w:rFonts w:ascii="Arial" w:hAnsi="Arial" w:cs="Arial"/>
          <w:i/>
          <w:iCs/>
        </w:rPr>
        <w:t>proceed with legal action</w:t>
      </w:r>
      <w:r w:rsidR="001B5D66">
        <w:rPr>
          <w:rFonts w:ascii="Arial" w:hAnsi="Arial" w:cs="Arial"/>
        </w:rPr>
        <w:t>.”</w:t>
      </w:r>
      <w:r w:rsidR="001B5D66">
        <w:rPr>
          <w:rStyle w:val="FootnoteReference"/>
          <w:rFonts w:ascii="Arial" w:hAnsi="Arial" w:cs="Arial"/>
        </w:rPr>
        <w:footnoteReference w:id="18"/>
      </w:r>
      <w:r w:rsidR="00767BB6">
        <w:rPr>
          <w:rFonts w:ascii="Arial" w:hAnsi="Arial" w:cs="Arial"/>
        </w:rPr>
        <w:t>, however t</w:t>
      </w:r>
      <w:r w:rsidR="0065218C">
        <w:rPr>
          <w:rFonts w:ascii="Arial" w:hAnsi="Arial" w:cs="Arial"/>
        </w:rPr>
        <w:t xml:space="preserve">he </w:t>
      </w:r>
      <w:proofErr w:type="gramStart"/>
      <w:r w:rsidR="0065218C">
        <w:rPr>
          <w:rFonts w:ascii="Arial" w:hAnsi="Arial" w:cs="Arial"/>
        </w:rPr>
        <w:t xml:space="preserve">evidence </w:t>
      </w:r>
      <w:r w:rsidR="001B5D66">
        <w:rPr>
          <w:rFonts w:ascii="Arial" w:hAnsi="Arial" w:cs="Arial"/>
        </w:rPr>
        <w:t xml:space="preserve"> is</w:t>
      </w:r>
      <w:proofErr w:type="gramEnd"/>
      <w:r w:rsidR="001B5D66">
        <w:rPr>
          <w:rFonts w:ascii="Arial" w:hAnsi="Arial" w:cs="Arial"/>
        </w:rPr>
        <w:t xml:space="preserve"> </w:t>
      </w:r>
      <w:r w:rsidR="0065218C">
        <w:rPr>
          <w:rFonts w:ascii="Arial" w:hAnsi="Arial" w:cs="Arial"/>
        </w:rPr>
        <w:t xml:space="preserve">that nothing more was conveyed to the applicants </w:t>
      </w:r>
      <w:r w:rsidR="00A71EC5">
        <w:rPr>
          <w:rFonts w:ascii="Arial" w:hAnsi="Arial" w:cs="Arial"/>
        </w:rPr>
        <w:t>in that regard, even after the summons was served</w:t>
      </w:r>
      <w:r w:rsidR="0065218C">
        <w:rPr>
          <w:rFonts w:ascii="Arial" w:hAnsi="Arial" w:cs="Arial"/>
        </w:rPr>
        <w:t>.</w:t>
      </w:r>
      <w:r w:rsidR="009E7263">
        <w:rPr>
          <w:rFonts w:ascii="Arial" w:hAnsi="Arial" w:cs="Arial"/>
        </w:rPr>
        <w:t xml:space="preserve"> </w:t>
      </w:r>
    </w:p>
    <w:p w14:paraId="4CFC1EBD" w14:textId="346652F4" w:rsidR="009E7263" w:rsidRDefault="00767BB6" w:rsidP="0004512A">
      <w:pPr>
        <w:spacing w:line="480" w:lineRule="auto"/>
        <w:ind w:left="851" w:hanging="851"/>
        <w:jc w:val="both"/>
        <w:rPr>
          <w:rFonts w:ascii="Arial" w:hAnsi="Arial" w:cs="Arial"/>
        </w:rPr>
      </w:pPr>
      <w:r>
        <w:rPr>
          <w:rFonts w:ascii="Arial" w:hAnsi="Arial" w:cs="Arial"/>
        </w:rPr>
        <w:t>57.</w:t>
      </w:r>
      <w:r>
        <w:rPr>
          <w:rFonts w:ascii="Arial" w:hAnsi="Arial" w:cs="Arial"/>
        </w:rPr>
        <w:tab/>
        <w:t>I</w:t>
      </w:r>
      <w:r w:rsidR="009E7263">
        <w:rPr>
          <w:rFonts w:ascii="Arial" w:hAnsi="Arial" w:cs="Arial"/>
        </w:rPr>
        <w:t xml:space="preserve">t is clear from the judgment </w:t>
      </w:r>
      <w:r w:rsidR="00E0384A">
        <w:rPr>
          <w:rFonts w:ascii="Arial" w:hAnsi="Arial" w:cs="Arial"/>
        </w:rPr>
        <w:t>in Harris</w:t>
      </w:r>
      <w:r w:rsidR="009E7263">
        <w:rPr>
          <w:rFonts w:ascii="Arial" w:hAnsi="Arial" w:cs="Arial"/>
        </w:rPr>
        <w:t xml:space="preserve"> above</w:t>
      </w:r>
      <w:r w:rsidR="00E0384A">
        <w:rPr>
          <w:rFonts w:ascii="Arial" w:hAnsi="Arial" w:cs="Arial"/>
        </w:rPr>
        <w:t>,</w:t>
      </w:r>
      <w:r w:rsidR="009E7263">
        <w:rPr>
          <w:rFonts w:ascii="Arial" w:hAnsi="Arial" w:cs="Arial"/>
        </w:rPr>
        <w:t xml:space="preserve"> that </w:t>
      </w:r>
      <w:r w:rsidR="00CD28DC">
        <w:rPr>
          <w:rFonts w:ascii="Arial" w:hAnsi="Arial" w:cs="Arial"/>
        </w:rPr>
        <w:t xml:space="preserve">a </w:t>
      </w:r>
      <w:r w:rsidR="00CD28DC" w:rsidRPr="00CD28DC">
        <w:rPr>
          <w:rFonts w:ascii="Arial" w:hAnsi="Arial" w:cs="Arial"/>
          <w:i/>
          <w:iCs/>
        </w:rPr>
        <w:t>“</w:t>
      </w:r>
      <w:r w:rsidR="009E7263" w:rsidRPr="00CD28DC">
        <w:rPr>
          <w:rFonts w:ascii="Arial" w:hAnsi="Arial" w:cs="Arial"/>
          <w:i/>
          <w:iCs/>
        </w:rPr>
        <w:t>mere knowledge is</w:t>
      </w:r>
      <w:r w:rsidR="009E7263">
        <w:rPr>
          <w:rFonts w:ascii="Arial" w:hAnsi="Arial" w:cs="Arial"/>
        </w:rPr>
        <w:t xml:space="preserve"> </w:t>
      </w:r>
      <w:r w:rsidR="009E7263" w:rsidRPr="00CD28DC">
        <w:rPr>
          <w:rFonts w:ascii="Arial" w:hAnsi="Arial" w:cs="Arial"/>
          <w:i/>
          <w:iCs/>
        </w:rPr>
        <w:t>not sufficient</w:t>
      </w:r>
      <w:r w:rsidR="00CD28DC">
        <w:rPr>
          <w:rFonts w:ascii="Arial" w:hAnsi="Arial" w:cs="Arial"/>
        </w:rPr>
        <w:t>”</w:t>
      </w:r>
      <w:r w:rsidR="009E7263">
        <w:rPr>
          <w:rFonts w:ascii="Arial" w:hAnsi="Arial" w:cs="Arial"/>
        </w:rPr>
        <w:t xml:space="preserve"> and that more is required.</w:t>
      </w:r>
      <w:r w:rsidR="0065218C">
        <w:rPr>
          <w:rFonts w:ascii="Arial" w:hAnsi="Arial" w:cs="Arial"/>
        </w:rPr>
        <w:t xml:space="preserve">  </w:t>
      </w:r>
      <w:r w:rsidR="009E7263">
        <w:rPr>
          <w:rFonts w:ascii="Arial" w:hAnsi="Arial" w:cs="Arial"/>
        </w:rPr>
        <w:t>The defaulting party is also required to know of the steps that must be taken to avoid default judgment being granted against it.</w:t>
      </w:r>
    </w:p>
    <w:p w14:paraId="6379342F" w14:textId="328B7814" w:rsidR="008E3D5D" w:rsidRDefault="00767BB6" w:rsidP="0004512A">
      <w:pPr>
        <w:spacing w:line="480" w:lineRule="auto"/>
        <w:ind w:left="851" w:hanging="851"/>
        <w:jc w:val="both"/>
        <w:rPr>
          <w:rFonts w:ascii="Arial" w:hAnsi="Arial" w:cs="Arial"/>
        </w:rPr>
      </w:pPr>
      <w:r>
        <w:rPr>
          <w:rFonts w:ascii="Arial" w:hAnsi="Arial" w:cs="Arial"/>
        </w:rPr>
        <w:t>58.</w:t>
      </w:r>
      <w:r>
        <w:rPr>
          <w:rFonts w:ascii="Arial" w:hAnsi="Arial" w:cs="Arial"/>
        </w:rPr>
        <w:tab/>
      </w:r>
      <w:r w:rsidR="009E7263">
        <w:rPr>
          <w:rFonts w:ascii="Arial" w:hAnsi="Arial" w:cs="Arial"/>
        </w:rPr>
        <w:t xml:space="preserve">The applicant could not have </w:t>
      </w:r>
      <w:r w:rsidR="001B706E">
        <w:rPr>
          <w:rFonts w:ascii="Arial" w:hAnsi="Arial" w:cs="Arial"/>
        </w:rPr>
        <w:t>known of the s</w:t>
      </w:r>
      <w:r w:rsidR="009E7263">
        <w:rPr>
          <w:rFonts w:ascii="Arial" w:hAnsi="Arial" w:cs="Arial"/>
        </w:rPr>
        <w:t>teps</w:t>
      </w:r>
      <w:r w:rsidR="001B706E">
        <w:rPr>
          <w:rFonts w:ascii="Arial" w:hAnsi="Arial" w:cs="Arial"/>
        </w:rPr>
        <w:t xml:space="preserve"> it should have taken</w:t>
      </w:r>
      <w:r w:rsidR="009E7263">
        <w:rPr>
          <w:rFonts w:ascii="Arial" w:hAnsi="Arial" w:cs="Arial"/>
        </w:rPr>
        <w:t xml:space="preserve"> to avoid default </w:t>
      </w:r>
      <w:r w:rsidR="00147F11">
        <w:rPr>
          <w:rFonts w:ascii="Arial" w:hAnsi="Arial" w:cs="Arial"/>
        </w:rPr>
        <w:t>judgment;</w:t>
      </w:r>
      <w:r w:rsidR="009E7263">
        <w:rPr>
          <w:rFonts w:ascii="Arial" w:hAnsi="Arial" w:cs="Arial"/>
        </w:rPr>
        <w:t xml:space="preserve"> it did not know that a summons was served </w:t>
      </w:r>
      <w:r w:rsidR="008E3D5D">
        <w:rPr>
          <w:rFonts w:ascii="Arial" w:hAnsi="Arial" w:cs="Arial"/>
        </w:rPr>
        <w:t>at</w:t>
      </w:r>
      <w:r w:rsidR="009E7263">
        <w:rPr>
          <w:rFonts w:ascii="Arial" w:hAnsi="Arial" w:cs="Arial"/>
        </w:rPr>
        <w:t xml:space="preserve"> its old address.  </w:t>
      </w:r>
    </w:p>
    <w:p w14:paraId="5120AB82" w14:textId="30A74C12" w:rsidR="009E7263" w:rsidRDefault="00767BB6" w:rsidP="0004512A">
      <w:pPr>
        <w:spacing w:line="480" w:lineRule="auto"/>
        <w:ind w:left="851" w:hanging="851"/>
        <w:jc w:val="both"/>
        <w:rPr>
          <w:rFonts w:ascii="Arial" w:hAnsi="Arial" w:cs="Arial"/>
        </w:rPr>
      </w:pPr>
      <w:r>
        <w:rPr>
          <w:rFonts w:ascii="Arial" w:hAnsi="Arial" w:cs="Arial"/>
        </w:rPr>
        <w:t>59.</w:t>
      </w:r>
      <w:r>
        <w:rPr>
          <w:rFonts w:ascii="Arial" w:hAnsi="Arial" w:cs="Arial"/>
        </w:rPr>
        <w:tab/>
      </w:r>
      <w:r w:rsidR="009E7263">
        <w:rPr>
          <w:rFonts w:ascii="Arial" w:hAnsi="Arial" w:cs="Arial"/>
        </w:rPr>
        <w:t>The evidence is that the applicant understood it</w:t>
      </w:r>
      <w:r w:rsidR="001B706E">
        <w:rPr>
          <w:rFonts w:ascii="Arial" w:hAnsi="Arial" w:cs="Arial"/>
        </w:rPr>
        <w:t xml:space="preserve"> had</w:t>
      </w:r>
      <w:r w:rsidR="009E7263">
        <w:rPr>
          <w:rFonts w:ascii="Arial" w:hAnsi="Arial" w:cs="Arial"/>
        </w:rPr>
        <w:t xml:space="preserve"> </w:t>
      </w:r>
      <w:r w:rsidR="001B706E">
        <w:rPr>
          <w:rFonts w:ascii="Arial" w:hAnsi="Arial" w:cs="Arial"/>
        </w:rPr>
        <w:t>properly informed the respondent of its address and where its directors may be found.  Had it known of the action, it would have defended it.</w:t>
      </w:r>
    </w:p>
    <w:p w14:paraId="3161B68A" w14:textId="5CA7881C" w:rsidR="001B706E" w:rsidRDefault="001B706E" w:rsidP="0004512A">
      <w:pPr>
        <w:spacing w:line="480" w:lineRule="auto"/>
        <w:ind w:left="851" w:hanging="851"/>
        <w:jc w:val="both"/>
        <w:rPr>
          <w:rFonts w:ascii="Arial" w:hAnsi="Arial" w:cs="Arial"/>
        </w:rPr>
      </w:pPr>
      <w:r>
        <w:rPr>
          <w:rFonts w:ascii="Arial" w:hAnsi="Arial" w:cs="Arial"/>
        </w:rPr>
        <w:t>6</w:t>
      </w:r>
      <w:r w:rsidR="00767BB6">
        <w:rPr>
          <w:rFonts w:ascii="Arial" w:hAnsi="Arial" w:cs="Arial"/>
        </w:rPr>
        <w:t>0.</w:t>
      </w:r>
      <w:r w:rsidR="00767BB6">
        <w:rPr>
          <w:rFonts w:ascii="Arial" w:hAnsi="Arial" w:cs="Arial"/>
        </w:rPr>
        <w:tab/>
      </w:r>
      <w:r>
        <w:rPr>
          <w:rFonts w:ascii="Arial" w:hAnsi="Arial" w:cs="Arial"/>
        </w:rPr>
        <w:t xml:space="preserve">Furthermore, the </w:t>
      </w:r>
      <w:r w:rsidR="007A2EBD">
        <w:rPr>
          <w:rFonts w:ascii="Arial" w:hAnsi="Arial" w:cs="Arial"/>
        </w:rPr>
        <w:t xml:space="preserve">court in </w:t>
      </w:r>
      <w:r>
        <w:rPr>
          <w:rFonts w:ascii="Arial" w:hAnsi="Arial" w:cs="Arial"/>
        </w:rPr>
        <w:t xml:space="preserve">Harris </w:t>
      </w:r>
      <w:r w:rsidR="007A2EBD">
        <w:rPr>
          <w:rFonts w:ascii="Arial" w:hAnsi="Arial" w:cs="Arial"/>
        </w:rPr>
        <w:t>states that there must have been</w:t>
      </w:r>
      <w:r>
        <w:rPr>
          <w:rFonts w:ascii="Arial" w:hAnsi="Arial" w:cs="Arial"/>
        </w:rPr>
        <w:t xml:space="preserve"> a “</w:t>
      </w:r>
      <w:r w:rsidRPr="00CD28DC">
        <w:rPr>
          <w:rFonts w:ascii="Arial" w:hAnsi="Arial" w:cs="Arial"/>
          <w:i/>
          <w:iCs/>
        </w:rPr>
        <w:t>deliberate failure”</w:t>
      </w:r>
      <w:r>
        <w:rPr>
          <w:rFonts w:ascii="Arial" w:hAnsi="Arial" w:cs="Arial"/>
        </w:rPr>
        <w:t xml:space="preserve"> to take steps to avoid default judgment being granted.  The applicant did not </w:t>
      </w:r>
      <w:r w:rsidR="007A2EBD">
        <w:rPr>
          <w:rFonts w:ascii="Arial" w:hAnsi="Arial" w:cs="Arial"/>
        </w:rPr>
        <w:t xml:space="preserve">know </w:t>
      </w:r>
      <w:proofErr w:type="gramStart"/>
      <w:r w:rsidR="007A2EBD">
        <w:rPr>
          <w:rFonts w:ascii="Arial" w:hAnsi="Arial" w:cs="Arial"/>
        </w:rPr>
        <w:t xml:space="preserve">of </w:t>
      </w:r>
      <w:r>
        <w:rPr>
          <w:rFonts w:ascii="Arial" w:hAnsi="Arial" w:cs="Arial"/>
        </w:rPr>
        <w:t xml:space="preserve"> the</w:t>
      </w:r>
      <w:proofErr w:type="gramEnd"/>
      <w:r>
        <w:rPr>
          <w:rFonts w:ascii="Arial" w:hAnsi="Arial" w:cs="Arial"/>
        </w:rPr>
        <w:t xml:space="preserve"> service of the summons and c</w:t>
      </w:r>
      <w:r w:rsidR="00CD28DC">
        <w:rPr>
          <w:rFonts w:ascii="Arial" w:hAnsi="Arial" w:cs="Arial"/>
        </w:rPr>
        <w:t>annot</w:t>
      </w:r>
      <w:r>
        <w:rPr>
          <w:rFonts w:ascii="Arial" w:hAnsi="Arial" w:cs="Arial"/>
        </w:rPr>
        <w:t xml:space="preserve"> be s</w:t>
      </w:r>
      <w:r w:rsidR="007A2EBD">
        <w:rPr>
          <w:rFonts w:ascii="Arial" w:hAnsi="Arial" w:cs="Arial"/>
        </w:rPr>
        <w:t>aid</w:t>
      </w:r>
      <w:r>
        <w:rPr>
          <w:rFonts w:ascii="Arial" w:hAnsi="Arial" w:cs="Arial"/>
        </w:rPr>
        <w:t xml:space="preserve"> to have acted deliberately, or even be said to have </w:t>
      </w:r>
      <w:r w:rsidR="001B5D66">
        <w:rPr>
          <w:rFonts w:ascii="Arial" w:hAnsi="Arial" w:cs="Arial"/>
        </w:rPr>
        <w:t>“</w:t>
      </w:r>
      <w:r w:rsidRPr="001B5D66">
        <w:rPr>
          <w:rFonts w:ascii="Arial" w:hAnsi="Arial" w:cs="Arial"/>
          <w:i/>
          <w:iCs/>
        </w:rPr>
        <w:t>appreciated the legal consequences of its failure</w:t>
      </w:r>
      <w:r w:rsidR="001B5D66">
        <w:rPr>
          <w:rFonts w:ascii="Arial" w:hAnsi="Arial" w:cs="Arial"/>
        </w:rPr>
        <w:t>”</w:t>
      </w:r>
      <w:r>
        <w:rPr>
          <w:rFonts w:ascii="Arial" w:hAnsi="Arial" w:cs="Arial"/>
        </w:rPr>
        <w:t xml:space="preserve"> to file a notice to </w:t>
      </w:r>
      <w:r w:rsidR="00147F11">
        <w:rPr>
          <w:rFonts w:ascii="Arial" w:hAnsi="Arial" w:cs="Arial"/>
        </w:rPr>
        <w:t>defend if</w:t>
      </w:r>
      <w:r>
        <w:rPr>
          <w:rFonts w:ascii="Arial" w:hAnsi="Arial" w:cs="Arial"/>
        </w:rPr>
        <w:t xml:space="preserve"> it did not know </w:t>
      </w:r>
      <w:r w:rsidR="007A2EBD">
        <w:rPr>
          <w:rFonts w:ascii="Arial" w:hAnsi="Arial" w:cs="Arial"/>
        </w:rPr>
        <w:t>of the claim</w:t>
      </w:r>
      <w:r>
        <w:rPr>
          <w:rFonts w:ascii="Arial" w:hAnsi="Arial" w:cs="Arial"/>
        </w:rPr>
        <w:t>.</w:t>
      </w:r>
    </w:p>
    <w:p w14:paraId="749C6214" w14:textId="24A3B76D" w:rsidR="001B5D66" w:rsidRDefault="001B706E" w:rsidP="0004512A">
      <w:pPr>
        <w:spacing w:line="480" w:lineRule="auto"/>
        <w:ind w:left="851" w:hanging="851"/>
        <w:jc w:val="both"/>
        <w:rPr>
          <w:rFonts w:ascii="Arial" w:hAnsi="Arial" w:cs="Arial"/>
        </w:rPr>
      </w:pPr>
      <w:r>
        <w:rPr>
          <w:rFonts w:ascii="Arial" w:hAnsi="Arial" w:cs="Arial"/>
        </w:rPr>
        <w:t>6</w:t>
      </w:r>
      <w:r w:rsidR="00767BB6">
        <w:rPr>
          <w:rFonts w:ascii="Arial" w:hAnsi="Arial" w:cs="Arial"/>
        </w:rPr>
        <w:t>1.</w:t>
      </w:r>
      <w:r w:rsidR="00767BB6">
        <w:rPr>
          <w:rFonts w:ascii="Arial" w:hAnsi="Arial" w:cs="Arial"/>
        </w:rPr>
        <w:tab/>
      </w:r>
      <w:r w:rsidR="0065218C">
        <w:rPr>
          <w:rFonts w:ascii="Arial" w:hAnsi="Arial" w:cs="Arial"/>
        </w:rPr>
        <w:t xml:space="preserve">I </w:t>
      </w:r>
      <w:r w:rsidR="001B5D66">
        <w:rPr>
          <w:rFonts w:ascii="Arial" w:hAnsi="Arial" w:cs="Arial"/>
        </w:rPr>
        <w:t xml:space="preserve">am not persuaded that the applicant was wilful in </w:t>
      </w:r>
      <w:r w:rsidR="0065218C">
        <w:rPr>
          <w:rFonts w:ascii="Arial" w:hAnsi="Arial" w:cs="Arial"/>
        </w:rPr>
        <w:t xml:space="preserve">failing to file an appearance to defend </w:t>
      </w:r>
      <w:r w:rsidR="001B5D66">
        <w:rPr>
          <w:rFonts w:ascii="Arial" w:hAnsi="Arial" w:cs="Arial"/>
        </w:rPr>
        <w:t xml:space="preserve">or in failing to inquire after it was advised of the Board’s decision to proceed with legal action.  </w:t>
      </w:r>
    </w:p>
    <w:p w14:paraId="7E5D98E3" w14:textId="4B52A6B3" w:rsidR="001B5D66" w:rsidRDefault="001B5D66" w:rsidP="0004512A">
      <w:pPr>
        <w:spacing w:line="480" w:lineRule="auto"/>
        <w:ind w:left="851" w:hanging="851"/>
        <w:jc w:val="both"/>
        <w:rPr>
          <w:rFonts w:ascii="Arial" w:hAnsi="Arial" w:cs="Arial"/>
        </w:rPr>
      </w:pPr>
      <w:r>
        <w:rPr>
          <w:rFonts w:ascii="Arial" w:hAnsi="Arial" w:cs="Arial"/>
        </w:rPr>
        <w:lastRenderedPageBreak/>
        <w:t>6</w:t>
      </w:r>
      <w:r w:rsidR="00767BB6">
        <w:rPr>
          <w:rFonts w:ascii="Arial" w:hAnsi="Arial" w:cs="Arial"/>
        </w:rPr>
        <w:t>2.</w:t>
      </w:r>
      <w:r w:rsidR="00767BB6">
        <w:rPr>
          <w:rFonts w:ascii="Arial" w:hAnsi="Arial" w:cs="Arial"/>
        </w:rPr>
        <w:tab/>
      </w:r>
      <w:r w:rsidR="007A2EBD">
        <w:rPr>
          <w:rFonts w:ascii="Arial" w:hAnsi="Arial" w:cs="Arial"/>
        </w:rPr>
        <w:t xml:space="preserve">The evidence is </w:t>
      </w:r>
      <w:r>
        <w:rPr>
          <w:rFonts w:ascii="Arial" w:hAnsi="Arial" w:cs="Arial"/>
        </w:rPr>
        <w:t>that even after it learnt of the Board’s decision, it contacted the respondents to further negotiate to resol</w:t>
      </w:r>
      <w:r w:rsidR="00306E1D">
        <w:rPr>
          <w:rFonts w:ascii="Arial" w:hAnsi="Arial" w:cs="Arial"/>
        </w:rPr>
        <w:t>ve</w:t>
      </w:r>
      <w:r>
        <w:rPr>
          <w:rFonts w:ascii="Arial" w:hAnsi="Arial" w:cs="Arial"/>
        </w:rPr>
        <w:t xml:space="preserve"> the dispute</w:t>
      </w:r>
      <w:r w:rsidR="007A2EBD">
        <w:rPr>
          <w:rFonts w:ascii="Arial" w:hAnsi="Arial" w:cs="Arial"/>
        </w:rPr>
        <w:t xml:space="preserve">, still unaware that </w:t>
      </w:r>
      <w:r>
        <w:rPr>
          <w:rFonts w:ascii="Arial" w:hAnsi="Arial" w:cs="Arial"/>
        </w:rPr>
        <w:t>a summons was served.</w:t>
      </w:r>
    </w:p>
    <w:p w14:paraId="5422B4E3" w14:textId="4F947EF8" w:rsidR="0065218C" w:rsidRDefault="001B5D66" w:rsidP="0004512A">
      <w:pPr>
        <w:spacing w:line="480" w:lineRule="auto"/>
        <w:ind w:left="851" w:hanging="851"/>
        <w:jc w:val="both"/>
        <w:rPr>
          <w:rFonts w:ascii="Arial" w:hAnsi="Arial" w:cs="Arial"/>
        </w:rPr>
      </w:pPr>
      <w:r>
        <w:rPr>
          <w:rFonts w:ascii="Arial" w:hAnsi="Arial" w:cs="Arial"/>
        </w:rPr>
        <w:t>6</w:t>
      </w:r>
      <w:r w:rsidR="00767BB6">
        <w:rPr>
          <w:rFonts w:ascii="Arial" w:hAnsi="Arial" w:cs="Arial"/>
        </w:rPr>
        <w:t>3.</w:t>
      </w:r>
      <w:r w:rsidR="00767BB6">
        <w:rPr>
          <w:rFonts w:ascii="Arial" w:hAnsi="Arial" w:cs="Arial"/>
        </w:rPr>
        <w:tab/>
      </w:r>
      <w:r>
        <w:rPr>
          <w:rFonts w:ascii="Arial" w:hAnsi="Arial" w:cs="Arial"/>
        </w:rPr>
        <w:t>In my view the</w:t>
      </w:r>
      <w:r w:rsidR="0065218C">
        <w:rPr>
          <w:rFonts w:ascii="Arial" w:hAnsi="Arial" w:cs="Arial"/>
        </w:rPr>
        <w:t xml:space="preserve"> applicant provided a reasonable and acceptable explanation for its default.</w:t>
      </w:r>
    </w:p>
    <w:p w14:paraId="08F72C1A" w14:textId="329134FF" w:rsidR="0065218C" w:rsidRDefault="00001EFD" w:rsidP="0004512A">
      <w:pPr>
        <w:spacing w:line="480" w:lineRule="auto"/>
        <w:ind w:left="851" w:hanging="851"/>
        <w:jc w:val="both"/>
        <w:rPr>
          <w:rFonts w:ascii="Arial" w:hAnsi="Arial" w:cs="Arial"/>
        </w:rPr>
      </w:pPr>
      <w:r>
        <w:rPr>
          <w:rFonts w:ascii="Arial" w:hAnsi="Arial" w:cs="Arial"/>
        </w:rPr>
        <w:t>6</w:t>
      </w:r>
      <w:r w:rsidR="00B3664F">
        <w:rPr>
          <w:rFonts w:ascii="Arial" w:hAnsi="Arial" w:cs="Arial"/>
        </w:rPr>
        <w:t>4.</w:t>
      </w:r>
      <w:r w:rsidR="00B3664F">
        <w:rPr>
          <w:rFonts w:ascii="Arial" w:hAnsi="Arial" w:cs="Arial"/>
        </w:rPr>
        <w:tab/>
      </w:r>
      <w:r w:rsidR="0065218C">
        <w:rPr>
          <w:rFonts w:ascii="Arial" w:hAnsi="Arial" w:cs="Arial"/>
        </w:rPr>
        <w:t xml:space="preserve">In </w:t>
      </w:r>
      <w:r w:rsidR="0065218C" w:rsidRPr="00022BC9">
        <w:rPr>
          <w:rFonts w:ascii="Arial" w:hAnsi="Arial" w:cs="Arial"/>
          <w:b/>
          <w:bCs/>
        </w:rPr>
        <w:t>HARRIS,</w:t>
      </w:r>
      <w:r w:rsidR="0065218C">
        <w:rPr>
          <w:rFonts w:ascii="Arial" w:hAnsi="Arial" w:cs="Arial"/>
        </w:rPr>
        <w:t xml:space="preserve"> supra, Moseneke J, stated that:</w:t>
      </w:r>
    </w:p>
    <w:p w14:paraId="13A99FFB" w14:textId="6AA3B73F" w:rsidR="0065218C" w:rsidRPr="00022BC9" w:rsidRDefault="0065218C" w:rsidP="0004512A">
      <w:pPr>
        <w:spacing w:line="480" w:lineRule="auto"/>
        <w:ind w:left="851" w:hanging="851"/>
        <w:jc w:val="both"/>
        <w:rPr>
          <w:rFonts w:ascii="Arial" w:hAnsi="Arial" w:cs="Arial"/>
          <w:i/>
          <w:iCs/>
        </w:rPr>
      </w:pPr>
      <w:r>
        <w:rPr>
          <w:rFonts w:ascii="Arial" w:hAnsi="Arial" w:cs="Arial"/>
        </w:rPr>
        <w:tab/>
        <w:t>“</w:t>
      </w:r>
      <w:r w:rsidRPr="00022BC9">
        <w:rPr>
          <w:rFonts w:ascii="Arial" w:hAnsi="Arial" w:cs="Arial"/>
          <w:i/>
          <w:iCs/>
        </w:rPr>
        <w:t xml:space="preserve">A steady body of </w:t>
      </w:r>
      <w:r w:rsidR="00022BC9" w:rsidRPr="00022BC9">
        <w:rPr>
          <w:rFonts w:ascii="Arial" w:hAnsi="Arial" w:cs="Arial"/>
          <w:i/>
          <w:iCs/>
        </w:rPr>
        <w:t>judicial</w:t>
      </w:r>
      <w:r w:rsidRPr="00022BC9">
        <w:rPr>
          <w:rFonts w:ascii="Arial" w:hAnsi="Arial" w:cs="Arial"/>
          <w:i/>
          <w:iCs/>
        </w:rPr>
        <w:t xml:space="preserve"> authorities has held that a court seized with an application for rescission of judgment should not, in determining whether good or sufficient </w:t>
      </w:r>
      <w:r w:rsidR="0016638F" w:rsidRPr="00022BC9">
        <w:rPr>
          <w:rFonts w:ascii="Arial" w:hAnsi="Arial" w:cs="Arial"/>
          <w:i/>
          <w:iCs/>
        </w:rPr>
        <w:t>cause</w:t>
      </w:r>
      <w:r w:rsidRPr="00022BC9">
        <w:rPr>
          <w:rFonts w:ascii="Arial" w:hAnsi="Arial" w:cs="Arial"/>
          <w:i/>
          <w:iCs/>
        </w:rPr>
        <w:t xml:space="preserve"> has been proven, look at the adequacy or otherwise of the explanation of the default of failure in isolation.</w:t>
      </w:r>
    </w:p>
    <w:p w14:paraId="2C97190B" w14:textId="65C7E2A3" w:rsidR="00022BC9" w:rsidRDefault="00022BC9" w:rsidP="0004512A">
      <w:pPr>
        <w:spacing w:line="480" w:lineRule="auto"/>
        <w:ind w:left="851" w:hanging="720"/>
        <w:jc w:val="both"/>
        <w:rPr>
          <w:rFonts w:ascii="Arial" w:hAnsi="Arial" w:cs="Arial"/>
        </w:rPr>
      </w:pPr>
      <w:r w:rsidRPr="00022BC9">
        <w:rPr>
          <w:rFonts w:ascii="Arial" w:hAnsi="Arial" w:cs="Arial"/>
          <w:i/>
          <w:iCs/>
        </w:rPr>
        <w:tab/>
        <w:t>“instead, the explanation, be it good, bad or indifferent, must be considered in the light of the nature of the defence, which is an important consideration, and in the light of all the facts and circumstances of the case as a whole</w:t>
      </w:r>
      <w:r>
        <w:rPr>
          <w:rFonts w:ascii="Arial" w:hAnsi="Arial" w:cs="Arial"/>
        </w:rPr>
        <w:t>.”</w:t>
      </w:r>
    </w:p>
    <w:p w14:paraId="1E7493A4" w14:textId="4FFB5CAE" w:rsidR="00022BC9" w:rsidRDefault="00001EFD" w:rsidP="0004512A">
      <w:pPr>
        <w:spacing w:line="480" w:lineRule="auto"/>
        <w:ind w:left="851" w:hanging="851"/>
        <w:jc w:val="both"/>
        <w:rPr>
          <w:rFonts w:ascii="Arial" w:hAnsi="Arial" w:cs="Arial"/>
        </w:rPr>
      </w:pPr>
      <w:r>
        <w:rPr>
          <w:rFonts w:ascii="Arial" w:hAnsi="Arial" w:cs="Arial"/>
        </w:rPr>
        <w:t>6</w:t>
      </w:r>
      <w:r w:rsidR="00B3664F">
        <w:rPr>
          <w:rFonts w:ascii="Arial" w:hAnsi="Arial" w:cs="Arial"/>
        </w:rPr>
        <w:t>5.</w:t>
      </w:r>
      <w:r w:rsidR="00B3664F">
        <w:rPr>
          <w:rFonts w:ascii="Arial" w:hAnsi="Arial" w:cs="Arial"/>
        </w:rPr>
        <w:tab/>
      </w:r>
      <w:r w:rsidR="00A92ADC">
        <w:rPr>
          <w:rFonts w:ascii="Arial" w:hAnsi="Arial" w:cs="Arial"/>
        </w:rPr>
        <w:t>Mr Mahlangu submitted that a trial court must determine whether the applicants were ever afforded use and enjoyment of the premises leased.</w:t>
      </w:r>
    </w:p>
    <w:p w14:paraId="42B3D0FA" w14:textId="21339CDF" w:rsidR="00A92ADC" w:rsidRDefault="00001EFD" w:rsidP="0004512A">
      <w:pPr>
        <w:spacing w:line="480" w:lineRule="auto"/>
        <w:ind w:left="851" w:hanging="851"/>
        <w:jc w:val="both"/>
        <w:rPr>
          <w:rFonts w:ascii="Arial" w:hAnsi="Arial" w:cs="Arial"/>
        </w:rPr>
      </w:pPr>
      <w:r>
        <w:rPr>
          <w:rFonts w:ascii="Arial" w:hAnsi="Arial" w:cs="Arial"/>
        </w:rPr>
        <w:t>6</w:t>
      </w:r>
      <w:r w:rsidR="00B3664F">
        <w:rPr>
          <w:rFonts w:ascii="Arial" w:hAnsi="Arial" w:cs="Arial"/>
        </w:rPr>
        <w:t>6.</w:t>
      </w:r>
      <w:r w:rsidR="00B3664F">
        <w:rPr>
          <w:rFonts w:ascii="Arial" w:hAnsi="Arial" w:cs="Arial"/>
        </w:rPr>
        <w:tab/>
      </w:r>
      <w:r w:rsidR="001B5D66">
        <w:rPr>
          <w:rFonts w:ascii="Arial" w:hAnsi="Arial" w:cs="Arial"/>
        </w:rPr>
        <w:t xml:space="preserve">When the respondents </w:t>
      </w:r>
      <w:r w:rsidR="009C4169">
        <w:rPr>
          <w:rFonts w:ascii="Arial" w:hAnsi="Arial" w:cs="Arial"/>
        </w:rPr>
        <w:t xml:space="preserve">engaged in </w:t>
      </w:r>
      <w:r w:rsidR="00FE6DF7">
        <w:rPr>
          <w:rFonts w:ascii="Arial" w:hAnsi="Arial" w:cs="Arial"/>
        </w:rPr>
        <w:t xml:space="preserve">further discussions and </w:t>
      </w:r>
      <w:r w:rsidR="009C4169">
        <w:rPr>
          <w:rFonts w:ascii="Arial" w:hAnsi="Arial" w:cs="Arial"/>
        </w:rPr>
        <w:t xml:space="preserve">offered </w:t>
      </w:r>
      <w:r w:rsidR="00FE6DF7">
        <w:rPr>
          <w:rFonts w:ascii="Arial" w:hAnsi="Arial" w:cs="Arial"/>
        </w:rPr>
        <w:t xml:space="preserve">“indulgences” as suggested by Mr Dobie, it is reasonable to conclude that </w:t>
      </w:r>
      <w:r w:rsidR="009C4169">
        <w:rPr>
          <w:rFonts w:ascii="Arial" w:hAnsi="Arial" w:cs="Arial"/>
        </w:rPr>
        <w:t>it</w:t>
      </w:r>
      <w:r w:rsidR="00FE6DF7">
        <w:rPr>
          <w:rFonts w:ascii="Arial" w:hAnsi="Arial" w:cs="Arial"/>
        </w:rPr>
        <w:t xml:space="preserve"> did so </w:t>
      </w:r>
      <w:r w:rsidR="009C4169">
        <w:rPr>
          <w:rFonts w:ascii="Arial" w:hAnsi="Arial" w:cs="Arial"/>
        </w:rPr>
        <w:t xml:space="preserve">because it </w:t>
      </w:r>
      <w:r w:rsidR="00FE6DF7">
        <w:rPr>
          <w:rFonts w:ascii="Arial" w:hAnsi="Arial" w:cs="Arial"/>
        </w:rPr>
        <w:t>kn</w:t>
      </w:r>
      <w:r w:rsidR="009C4169">
        <w:rPr>
          <w:rFonts w:ascii="Arial" w:hAnsi="Arial" w:cs="Arial"/>
        </w:rPr>
        <w:t>e</w:t>
      </w:r>
      <w:r w:rsidR="00FE6DF7">
        <w:rPr>
          <w:rFonts w:ascii="Arial" w:hAnsi="Arial" w:cs="Arial"/>
        </w:rPr>
        <w:t>w that the incomplete construction was posing a problem to its tenants.</w:t>
      </w:r>
    </w:p>
    <w:p w14:paraId="69DAB90F" w14:textId="1C6EFF70" w:rsidR="00A92ADC" w:rsidRDefault="00B3664F" w:rsidP="0004512A">
      <w:pPr>
        <w:spacing w:line="480" w:lineRule="auto"/>
        <w:ind w:left="851" w:hanging="851"/>
        <w:jc w:val="both"/>
        <w:rPr>
          <w:rFonts w:ascii="Arial" w:hAnsi="Arial" w:cs="Arial"/>
        </w:rPr>
      </w:pPr>
      <w:r>
        <w:rPr>
          <w:rFonts w:ascii="Arial" w:hAnsi="Arial" w:cs="Arial"/>
        </w:rPr>
        <w:t>67.</w:t>
      </w:r>
      <w:r>
        <w:rPr>
          <w:rFonts w:ascii="Arial" w:hAnsi="Arial" w:cs="Arial"/>
        </w:rPr>
        <w:tab/>
      </w:r>
      <w:r w:rsidR="00FE6DF7">
        <w:rPr>
          <w:rFonts w:ascii="Arial" w:hAnsi="Arial" w:cs="Arial"/>
        </w:rPr>
        <w:t>The evidence is that t</w:t>
      </w:r>
      <w:r w:rsidR="00A92ADC">
        <w:rPr>
          <w:rFonts w:ascii="Arial" w:hAnsi="Arial" w:cs="Arial"/>
        </w:rPr>
        <w:t xml:space="preserve">he rental payable was inextricably linked to the generation of revenue, and this is a factor that the trial court must apply its mind to, </w:t>
      </w:r>
      <w:r w:rsidR="00FE6DF7">
        <w:rPr>
          <w:rFonts w:ascii="Arial" w:hAnsi="Arial" w:cs="Arial"/>
        </w:rPr>
        <w:t xml:space="preserve">with the assistance of </w:t>
      </w:r>
      <w:r w:rsidR="00A92ADC">
        <w:rPr>
          <w:rFonts w:ascii="Arial" w:hAnsi="Arial" w:cs="Arial"/>
        </w:rPr>
        <w:t>expert evidence</w:t>
      </w:r>
      <w:r w:rsidR="00FE6DF7">
        <w:rPr>
          <w:rFonts w:ascii="Arial" w:hAnsi="Arial" w:cs="Arial"/>
        </w:rPr>
        <w:t>, as is set out in the lease agreement</w:t>
      </w:r>
      <w:r w:rsidR="00A92ADC">
        <w:rPr>
          <w:rFonts w:ascii="Arial" w:hAnsi="Arial" w:cs="Arial"/>
        </w:rPr>
        <w:t xml:space="preserve">.  </w:t>
      </w:r>
    </w:p>
    <w:p w14:paraId="2D4CFF9E" w14:textId="342B2C52" w:rsidR="005D1774" w:rsidRDefault="00B3664F" w:rsidP="0004512A">
      <w:pPr>
        <w:spacing w:line="480" w:lineRule="auto"/>
        <w:ind w:left="851" w:hanging="851"/>
        <w:jc w:val="both"/>
        <w:rPr>
          <w:rFonts w:ascii="Arial" w:hAnsi="Arial" w:cs="Arial"/>
        </w:rPr>
      </w:pPr>
      <w:r>
        <w:rPr>
          <w:rFonts w:ascii="Arial" w:hAnsi="Arial" w:cs="Arial"/>
        </w:rPr>
        <w:t>68.</w:t>
      </w:r>
      <w:r>
        <w:rPr>
          <w:rFonts w:ascii="Arial" w:hAnsi="Arial" w:cs="Arial"/>
        </w:rPr>
        <w:tab/>
      </w:r>
      <w:r w:rsidR="005D1774">
        <w:rPr>
          <w:rFonts w:ascii="Arial" w:hAnsi="Arial" w:cs="Arial"/>
        </w:rPr>
        <w:t xml:space="preserve">In </w:t>
      </w:r>
      <w:r w:rsidR="005D1774" w:rsidRPr="007263D4">
        <w:rPr>
          <w:rFonts w:ascii="Arial" w:hAnsi="Arial" w:cs="Arial"/>
          <w:b/>
          <w:bCs/>
        </w:rPr>
        <w:t>SCOTT v TRUSTEE</w:t>
      </w:r>
      <w:r w:rsidR="001C2096" w:rsidRPr="007263D4">
        <w:rPr>
          <w:rFonts w:ascii="Arial" w:hAnsi="Arial" w:cs="Arial"/>
          <w:b/>
          <w:bCs/>
        </w:rPr>
        <w:t xml:space="preserve"> INSOLVENT ESTATE COMERMA</w:t>
      </w:r>
      <w:r w:rsidR="001C2096">
        <w:rPr>
          <w:rStyle w:val="FootnoteReference"/>
          <w:rFonts w:ascii="Arial" w:hAnsi="Arial" w:cs="Arial"/>
        </w:rPr>
        <w:footnoteReference w:id="19"/>
      </w:r>
      <w:r w:rsidR="001C2096">
        <w:rPr>
          <w:rFonts w:ascii="Arial" w:hAnsi="Arial" w:cs="Arial"/>
        </w:rPr>
        <w:t xml:space="preserve">, was stated that the court should not scrutinise too closely whether the defence raised is valid, but rather </w:t>
      </w:r>
      <w:r w:rsidR="001C2096">
        <w:rPr>
          <w:rFonts w:ascii="Arial" w:hAnsi="Arial" w:cs="Arial"/>
        </w:rPr>
        <w:lastRenderedPageBreak/>
        <w:t xml:space="preserve">that prima facie there are sufficient reasons </w:t>
      </w:r>
      <w:r w:rsidR="007263D4">
        <w:rPr>
          <w:rFonts w:ascii="Arial" w:hAnsi="Arial" w:cs="Arial"/>
        </w:rPr>
        <w:t xml:space="preserve">that present a bona fide defence </w:t>
      </w:r>
      <w:r w:rsidR="001C2096">
        <w:rPr>
          <w:rFonts w:ascii="Arial" w:hAnsi="Arial" w:cs="Arial"/>
        </w:rPr>
        <w:t xml:space="preserve">for the applicant to </w:t>
      </w:r>
      <w:r w:rsidR="007263D4">
        <w:rPr>
          <w:rFonts w:ascii="Arial" w:hAnsi="Arial" w:cs="Arial"/>
        </w:rPr>
        <w:t xml:space="preserve">defend itself and </w:t>
      </w:r>
      <w:r w:rsidR="001C2096">
        <w:rPr>
          <w:rFonts w:ascii="Arial" w:hAnsi="Arial" w:cs="Arial"/>
        </w:rPr>
        <w:t xml:space="preserve">to be heard.   </w:t>
      </w:r>
    </w:p>
    <w:p w14:paraId="5E765C44" w14:textId="727A4A99" w:rsidR="001C2096" w:rsidRDefault="00B3664F" w:rsidP="0004512A">
      <w:pPr>
        <w:spacing w:line="480" w:lineRule="auto"/>
        <w:ind w:left="851" w:hanging="851"/>
        <w:jc w:val="both"/>
        <w:rPr>
          <w:rFonts w:ascii="Arial" w:hAnsi="Arial" w:cs="Arial"/>
        </w:rPr>
      </w:pPr>
      <w:r>
        <w:rPr>
          <w:rFonts w:ascii="Arial" w:hAnsi="Arial" w:cs="Arial"/>
        </w:rPr>
        <w:t>69.</w:t>
      </w:r>
      <w:r>
        <w:rPr>
          <w:rFonts w:ascii="Arial" w:hAnsi="Arial" w:cs="Arial"/>
        </w:rPr>
        <w:tab/>
      </w:r>
      <w:r w:rsidR="001C2096">
        <w:rPr>
          <w:rFonts w:ascii="Arial" w:hAnsi="Arial" w:cs="Arial"/>
        </w:rPr>
        <w:t xml:space="preserve">In </w:t>
      </w:r>
      <w:r w:rsidR="001C2096" w:rsidRPr="007263D4">
        <w:rPr>
          <w:rFonts w:ascii="Arial" w:hAnsi="Arial" w:cs="Arial"/>
          <w:b/>
          <w:bCs/>
        </w:rPr>
        <w:t>RGS PROPERTIES (PTY) LTD v ETHEKWINI MUNICIPALITY</w:t>
      </w:r>
      <w:r w:rsidR="001C2096">
        <w:rPr>
          <w:rStyle w:val="FootnoteReference"/>
          <w:rFonts w:ascii="Arial" w:hAnsi="Arial" w:cs="Arial"/>
        </w:rPr>
        <w:footnoteReference w:id="20"/>
      </w:r>
      <w:r w:rsidR="007263D4">
        <w:rPr>
          <w:rFonts w:ascii="Arial" w:hAnsi="Arial" w:cs="Arial"/>
        </w:rPr>
        <w:t xml:space="preserve">, </w:t>
      </w:r>
      <w:r w:rsidR="00306E1D">
        <w:rPr>
          <w:rFonts w:ascii="Arial" w:hAnsi="Arial" w:cs="Arial"/>
        </w:rPr>
        <w:t xml:space="preserve">it </w:t>
      </w:r>
      <w:r w:rsidR="007263D4">
        <w:rPr>
          <w:rFonts w:ascii="Arial" w:hAnsi="Arial" w:cs="Arial"/>
        </w:rPr>
        <w:t>was confirmed that “</w:t>
      </w:r>
      <w:r w:rsidR="007263D4" w:rsidRPr="007263D4">
        <w:rPr>
          <w:rFonts w:ascii="Arial" w:hAnsi="Arial" w:cs="Arial"/>
          <w:i/>
          <w:iCs/>
        </w:rPr>
        <w:t>the court is not seized with the duty to evaluate the merits of the defence.  The fact that the court is in doubt about the prospects of the defence to be advanced, is not a good reason why the application should not be granted.  That said however, the nature of the defence advanced must not be such that it prima facie amounts to nothing more than a delaying tactic on the part of the applicant</w:t>
      </w:r>
      <w:r w:rsidR="007263D4">
        <w:rPr>
          <w:rFonts w:ascii="Arial" w:hAnsi="Arial" w:cs="Arial"/>
        </w:rPr>
        <w:t>.”</w:t>
      </w:r>
    </w:p>
    <w:p w14:paraId="628B3647" w14:textId="4124DDA4" w:rsidR="00A71EC5" w:rsidRDefault="007263D4" w:rsidP="0004512A">
      <w:pPr>
        <w:spacing w:line="480" w:lineRule="auto"/>
        <w:ind w:left="851" w:hanging="851"/>
        <w:jc w:val="both"/>
        <w:rPr>
          <w:rFonts w:ascii="Arial" w:hAnsi="Arial" w:cs="Arial"/>
        </w:rPr>
      </w:pPr>
      <w:r>
        <w:rPr>
          <w:rFonts w:ascii="Arial" w:hAnsi="Arial" w:cs="Arial"/>
        </w:rPr>
        <w:t>7</w:t>
      </w:r>
      <w:r w:rsidR="00B3664F">
        <w:rPr>
          <w:rFonts w:ascii="Arial" w:hAnsi="Arial" w:cs="Arial"/>
        </w:rPr>
        <w:t>0.</w:t>
      </w:r>
      <w:r w:rsidR="00B3664F">
        <w:rPr>
          <w:rFonts w:ascii="Arial" w:hAnsi="Arial" w:cs="Arial"/>
        </w:rPr>
        <w:tab/>
      </w:r>
      <w:r w:rsidR="00A71EC5">
        <w:rPr>
          <w:rFonts w:ascii="Arial" w:hAnsi="Arial" w:cs="Arial"/>
        </w:rPr>
        <w:t>Having regard to the conspectus of the evidence before me, I am of the view that the applicants were not in wilful default and present a defence that prima facie has prospects of success. There is no evidence that the applicants attempt to de</w:t>
      </w:r>
      <w:r w:rsidR="0016638F">
        <w:rPr>
          <w:rFonts w:ascii="Arial" w:hAnsi="Arial" w:cs="Arial"/>
        </w:rPr>
        <w:t>l</w:t>
      </w:r>
      <w:r w:rsidR="00A71EC5">
        <w:rPr>
          <w:rFonts w:ascii="Arial" w:hAnsi="Arial" w:cs="Arial"/>
        </w:rPr>
        <w:t>ay the matter or frustrate the respondent’s claim in the action.</w:t>
      </w:r>
    </w:p>
    <w:p w14:paraId="00FC5A93" w14:textId="179D09A2" w:rsidR="00A71EC5" w:rsidRDefault="00A71EC5" w:rsidP="0004512A">
      <w:pPr>
        <w:spacing w:line="480" w:lineRule="auto"/>
        <w:ind w:left="851" w:hanging="851"/>
        <w:jc w:val="both"/>
        <w:rPr>
          <w:rFonts w:ascii="Arial" w:hAnsi="Arial" w:cs="Arial"/>
        </w:rPr>
      </w:pPr>
      <w:r>
        <w:rPr>
          <w:rFonts w:ascii="Arial" w:hAnsi="Arial" w:cs="Arial"/>
        </w:rPr>
        <w:t>7</w:t>
      </w:r>
      <w:r w:rsidR="00B3664F">
        <w:rPr>
          <w:rFonts w:ascii="Arial" w:hAnsi="Arial" w:cs="Arial"/>
        </w:rPr>
        <w:t>1.</w:t>
      </w:r>
      <w:r w:rsidR="00B3664F">
        <w:rPr>
          <w:rFonts w:ascii="Arial" w:hAnsi="Arial" w:cs="Arial"/>
        </w:rPr>
        <w:tab/>
      </w:r>
      <w:r>
        <w:rPr>
          <w:rFonts w:ascii="Arial" w:hAnsi="Arial" w:cs="Arial"/>
        </w:rPr>
        <w:t>Accordingly, the application for recission must succeed</w:t>
      </w:r>
      <w:r w:rsidR="00D722C0">
        <w:rPr>
          <w:rFonts w:ascii="Arial" w:hAnsi="Arial" w:cs="Arial"/>
        </w:rPr>
        <w:t xml:space="preserve"> they must be allowed to present their </w:t>
      </w:r>
      <w:r w:rsidR="00B3664F">
        <w:rPr>
          <w:rFonts w:ascii="Arial" w:hAnsi="Arial" w:cs="Arial"/>
        </w:rPr>
        <w:t>defence</w:t>
      </w:r>
      <w:r w:rsidR="00D722C0">
        <w:rPr>
          <w:rFonts w:ascii="Arial" w:hAnsi="Arial" w:cs="Arial"/>
        </w:rPr>
        <w:t xml:space="preserve"> to the respondent’s claim.</w:t>
      </w:r>
    </w:p>
    <w:p w14:paraId="03E041DA" w14:textId="25ADE1CA" w:rsidR="00035B8D" w:rsidRDefault="00A71EC5" w:rsidP="0049548F">
      <w:pPr>
        <w:spacing w:line="480" w:lineRule="auto"/>
        <w:ind w:left="720" w:hanging="720"/>
        <w:jc w:val="both"/>
        <w:rPr>
          <w:rFonts w:ascii="Arial" w:hAnsi="Arial" w:cs="Arial"/>
          <w:b/>
          <w:bCs/>
        </w:rPr>
      </w:pPr>
      <w:r w:rsidRPr="00A71EC5">
        <w:rPr>
          <w:rFonts w:ascii="Arial" w:hAnsi="Arial" w:cs="Arial"/>
          <w:b/>
          <w:bCs/>
        </w:rPr>
        <w:t xml:space="preserve">COSTS </w:t>
      </w:r>
    </w:p>
    <w:p w14:paraId="6147AB07" w14:textId="36A798D2" w:rsidR="00306E1D" w:rsidRDefault="00306E1D" w:rsidP="0004512A">
      <w:pPr>
        <w:spacing w:line="480" w:lineRule="auto"/>
        <w:ind w:left="851" w:hanging="851"/>
        <w:jc w:val="both"/>
        <w:rPr>
          <w:rFonts w:ascii="Arial" w:hAnsi="Arial" w:cs="Arial"/>
        </w:rPr>
      </w:pPr>
      <w:r>
        <w:rPr>
          <w:rFonts w:ascii="Arial" w:hAnsi="Arial" w:cs="Arial"/>
        </w:rPr>
        <w:t>7</w:t>
      </w:r>
      <w:r w:rsidR="00B3664F">
        <w:rPr>
          <w:rFonts w:ascii="Arial" w:hAnsi="Arial" w:cs="Arial"/>
        </w:rPr>
        <w:t>2.</w:t>
      </w:r>
      <w:r w:rsidR="00B3664F">
        <w:rPr>
          <w:rFonts w:ascii="Arial" w:hAnsi="Arial" w:cs="Arial"/>
        </w:rPr>
        <w:tab/>
      </w:r>
      <w:r>
        <w:rPr>
          <w:rFonts w:ascii="Arial" w:hAnsi="Arial" w:cs="Arial"/>
        </w:rPr>
        <w:t xml:space="preserve">Mr Dobie submitted that even if </w:t>
      </w:r>
      <w:r w:rsidR="00B94D92">
        <w:rPr>
          <w:rFonts w:ascii="Arial" w:hAnsi="Arial" w:cs="Arial"/>
        </w:rPr>
        <w:t>a</w:t>
      </w:r>
      <w:r>
        <w:rPr>
          <w:rFonts w:ascii="Arial" w:hAnsi="Arial" w:cs="Arial"/>
        </w:rPr>
        <w:t>pplication</w:t>
      </w:r>
      <w:r w:rsidR="00B94D92">
        <w:rPr>
          <w:rFonts w:ascii="Arial" w:hAnsi="Arial" w:cs="Arial"/>
        </w:rPr>
        <w:t xml:space="preserve"> were to succeed</w:t>
      </w:r>
      <w:r>
        <w:rPr>
          <w:rFonts w:ascii="Arial" w:hAnsi="Arial" w:cs="Arial"/>
        </w:rPr>
        <w:t xml:space="preserve">, </w:t>
      </w:r>
      <w:r w:rsidR="00B94D92">
        <w:rPr>
          <w:rFonts w:ascii="Arial" w:hAnsi="Arial" w:cs="Arial"/>
        </w:rPr>
        <w:t xml:space="preserve">the </w:t>
      </w:r>
      <w:proofErr w:type="gramStart"/>
      <w:r w:rsidR="00B94D92">
        <w:rPr>
          <w:rFonts w:ascii="Arial" w:hAnsi="Arial" w:cs="Arial"/>
        </w:rPr>
        <w:t xml:space="preserve">court </w:t>
      </w:r>
      <w:r>
        <w:rPr>
          <w:rFonts w:ascii="Arial" w:hAnsi="Arial" w:cs="Arial"/>
        </w:rPr>
        <w:t xml:space="preserve"> must</w:t>
      </w:r>
      <w:proofErr w:type="gramEnd"/>
      <w:r>
        <w:rPr>
          <w:rFonts w:ascii="Arial" w:hAnsi="Arial" w:cs="Arial"/>
        </w:rPr>
        <w:t xml:space="preserve"> order that the applicant pay the costs of this application, as it was necessary for the respondent to oppose the application.</w:t>
      </w:r>
    </w:p>
    <w:p w14:paraId="682C6468" w14:textId="5AF69101" w:rsidR="004334FB" w:rsidRDefault="00306E1D" w:rsidP="0004512A">
      <w:pPr>
        <w:spacing w:line="480" w:lineRule="auto"/>
        <w:ind w:left="851" w:hanging="851"/>
        <w:jc w:val="both"/>
        <w:rPr>
          <w:rFonts w:ascii="Arial" w:hAnsi="Arial" w:cs="Arial"/>
        </w:rPr>
      </w:pPr>
      <w:r>
        <w:rPr>
          <w:rFonts w:ascii="Arial" w:hAnsi="Arial" w:cs="Arial"/>
        </w:rPr>
        <w:t>7</w:t>
      </w:r>
      <w:r w:rsidR="00B3664F">
        <w:rPr>
          <w:rFonts w:ascii="Arial" w:hAnsi="Arial" w:cs="Arial"/>
        </w:rPr>
        <w:t>3.</w:t>
      </w:r>
      <w:r w:rsidR="00B3664F">
        <w:rPr>
          <w:rFonts w:ascii="Arial" w:hAnsi="Arial" w:cs="Arial"/>
        </w:rPr>
        <w:tab/>
      </w:r>
      <w:r w:rsidR="00B94D92">
        <w:rPr>
          <w:rFonts w:ascii="Arial" w:hAnsi="Arial" w:cs="Arial"/>
        </w:rPr>
        <w:t>A court has a discretion in the award of costs which is to be exercised judicially</w:t>
      </w:r>
      <w:r w:rsidR="004334FB">
        <w:rPr>
          <w:rFonts w:ascii="Arial" w:hAnsi="Arial" w:cs="Arial"/>
        </w:rPr>
        <w:t xml:space="preserve"> and must be in fairness to both sides.</w:t>
      </w:r>
      <w:r w:rsidR="00B94D92">
        <w:rPr>
          <w:rFonts w:ascii="Arial" w:hAnsi="Arial" w:cs="Arial"/>
        </w:rPr>
        <w:t xml:space="preserve">  </w:t>
      </w:r>
    </w:p>
    <w:p w14:paraId="5D5DFE23" w14:textId="11BB702B" w:rsidR="00306E1D" w:rsidRDefault="004334FB" w:rsidP="0004512A">
      <w:pPr>
        <w:spacing w:line="480" w:lineRule="auto"/>
        <w:ind w:left="851" w:hanging="851"/>
        <w:jc w:val="both"/>
        <w:rPr>
          <w:rFonts w:ascii="Arial" w:hAnsi="Arial" w:cs="Arial"/>
        </w:rPr>
      </w:pPr>
      <w:r>
        <w:rPr>
          <w:rFonts w:ascii="Arial" w:hAnsi="Arial" w:cs="Arial"/>
        </w:rPr>
        <w:t>7</w:t>
      </w:r>
      <w:r w:rsidR="00B3664F">
        <w:rPr>
          <w:rFonts w:ascii="Arial" w:hAnsi="Arial" w:cs="Arial"/>
        </w:rPr>
        <w:t>4.</w:t>
      </w:r>
      <w:r w:rsidR="00B3664F">
        <w:rPr>
          <w:rFonts w:ascii="Arial" w:hAnsi="Arial" w:cs="Arial"/>
        </w:rPr>
        <w:tab/>
      </w:r>
      <w:r w:rsidR="00B94D92">
        <w:rPr>
          <w:rFonts w:ascii="Arial" w:hAnsi="Arial" w:cs="Arial"/>
        </w:rPr>
        <w:t>On the facts the respondent was entitled to rely on the address provided in the lease agreement.  The evidence is that the address was incorrect, albeit that the correct address was available to the applicant on the date of signature.</w:t>
      </w:r>
    </w:p>
    <w:p w14:paraId="6E32B6F7" w14:textId="7E819C9C" w:rsidR="00B94D92" w:rsidRDefault="00B94D92" w:rsidP="0004512A">
      <w:pPr>
        <w:spacing w:line="480" w:lineRule="auto"/>
        <w:ind w:left="851" w:hanging="851"/>
        <w:jc w:val="both"/>
        <w:rPr>
          <w:rFonts w:ascii="Arial" w:hAnsi="Arial" w:cs="Arial"/>
        </w:rPr>
      </w:pPr>
      <w:r>
        <w:rPr>
          <w:rFonts w:ascii="Arial" w:hAnsi="Arial" w:cs="Arial"/>
        </w:rPr>
        <w:lastRenderedPageBreak/>
        <w:t>7</w:t>
      </w:r>
      <w:r w:rsidR="00B3664F">
        <w:rPr>
          <w:rFonts w:ascii="Arial" w:hAnsi="Arial" w:cs="Arial"/>
        </w:rPr>
        <w:t>5.</w:t>
      </w:r>
      <w:r w:rsidR="00B3664F">
        <w:rPr>
          <w:rFonts w:ascii="Arial" w:hAnsi="Arial" w:cs="Arial"/>
        </w:rPr>
        <w:tab/>
      </w:r>
      <w:r>
        <w:rPr>
          <w:rFonts w:ascii="Arial" w:hAnsi="Arial" w:cs="Arial"/>
        </w:rPr>
        <w:t>It is fair in the circumstances that the applicant, who in effect seeks an indulgence, pay the costs of the application.</w:t>
      </w:r>
    </w:p>
    <w:p w14:paraId="4BF0AA52" w14:textId="66FAC749" w:rsidR="00B94D92" w:rsidRDefault="00147F11" w:rsidP="0049548F">
      <w:pPr>
        <w:spacing w:line="480" w:lineRule="auto"/>
        <w:ind w:left="720" w:hanging="720"/>
        <w:jc w:val="both"/>
        <w:rPr>
          <w:rFonts w:ascii="Arial" w:hAnsi="Arial" w:cs="Arial"/>
        </w:rPr>
      </w:pPr>
      <w:r>
        <w:rPr>
          <w:rFonts w:ascii="Arial" w:hAnsi="Arial" w:cs="Arial"/>
        </w:rPr>
        <w:t>Accordingly,</w:t>
      </w:r>
      <w:r w:rsidR="00B94D92">
        <w:rPr>
          <w:rFonts w:ascii="Arial" w:hAnsi="Arial" w:cs="Arial"/>
        </w:rPr>
        <w:t xml:space="preserve"> I make the following order:</w:t>
      </w:r>
    </w:p>
    <w:p w14:paraId="1B9A3679" w14:textId="0F041B43" w:rsidR="00B94D92" w:rsidRDefault="00B94D92" w:rsidP="0004512A">
      <w:pPr>
        <w:pStyle w:val="ListParagraph"/>
        <w:numPr>
          <w:ilvl w:val="0"/>
          <w:numId w:val="5"/>
        </w:numPr>
        <w:tabs>
          <w:tab w:val="left" w:pos="993"/>
        </w:tabs>
        <w:spacing w:line="480" w:lineRule="auto"/>
        <w:ind w:hanging="153"/>
        <w:jc w:val="both"/>
        <w:rPr>
          <w:rFonts w:ascii="Arial" w:hAnsi="Arial" w:cs="Arial"/>
        </w:rPr>
      </w:pPr>
      <w:r>
        <w:rPr>
          <w:rFonts w:ascii="Arial" w:hAnsi="Arial" w:cs="Arial"/>
        </w:rPr>
        <w:t>The application for recission is granted.</w:t>
      </w:r>
    </w:p>
    <w:p w14:paraId="18943917" w14:textId="41684B2A" w:rsidR="00B94D92" w:rsidRPr="003F6F3C" w:rsidRDefault="00B94D92" w:rsidP="00AB096A">
      <w:pPr>
        <w:pStyle w:val="ListParagraph"/>
        <w:numPr>
          <w:ilvl w:val="0"/>
          <w:numId w:val="5"/>
        </w:numPr>
        <w:tabs>
          <w:tab w:val="left" w:pos="993"/>
        </w:tabs>
        <w:spacing w:line="480" w:lineRule="auto"/>
        <w:ind w:left="567" w:firstLine="0"/>
        <w:jc w:val="both"/>
        <w:rPr>
          <w:rFonts w:ascii="Arial" w:hAnsi="Arial" w:cs="Arial"/>
        </w:rPr>
      </w:pPr>
      <w:r>
        <w:rPr>
          <w:rFonts w:ascii="Arial" w:hAnsi="Arial" w:cs="Arial"/>
        </w:rPr>
        <w:t xml:space="preserve">The applicant is to pay the costs of the application on a party </w:t>
      </w:r>
      <w:proofErr w:type="spellStart"/>
      <w:r>
        <w:rPr>
          <w:rFonts w:ascii="Arial" w:hAnsi="Arial" w:cs="Arial"/>
        </w:rPr>
        <w:t>party</w:t>
      </w:r>
      <w:proofErr w:type="spellEnd"/>
      <w:r>
        <w:rPr>
          <w:rFonts w:ascii="Arial" w:hAnsi="Arial" w:cs="Arial"/>
        </w:rPr>
        <w:t xml:space="preserve"> scale.</w:t>
      </w:r>
    </w:p>
    <w:p w14:paraId="66B8BC6D" w14:textId="7763C4AA" w:rsidR="00B94D92" w:rsidRDefault="00B94D92" w:rsidP="002E74CB">
      <w:pPr>
        <w:spacing w:line="480" w:lineRule="auto"/>
        <w:jc w:val="right"/>
        <w:rPr>
          <w:rFonts w:ascii="Arial" w:hAnsi="Arial" w:cs="Arial"/>
        </w:rPr>
      </w:pPr>
      <w:r>
        <w:rPr>
          <w:rFonts w:ascii="Arial" w:hAnsi="Arial" w:cs="Arial"/>
        </w:rPr>
        <w:t>_________</w:t>
      </w:r>
      <w:r w:rsidR="002E74CB">
        <w:rPr>
          <w:rFonts w:ascii="Arial" w:hAnsi="Arial" w:cs="Arial"/>
        </w:rPr>
        <w:t>__________</w:t>
      </w:r>
    </w:p>
    <w:p w14:paraId="5F6DA49A" w14:textId="77777777" w:rsidR="003F6F3C" w:rsidRDefault="003F6F3C" w:rsidP="003F6F3C">
      <w:pPr>
        <w:pStyle w:val="JudgmentNumbered"/>
        <w:numPr>
          <w:ilvl w:val="0"/>
          <w:numId w:val="0"/>
        </w:numPr>
        <w:spacing w:after="0"/>
        <w:ind w:left="567" w:hanging="567"/>
        <w:jc w:val="right"/>
        <w:rPr>
          <w:b/>
        </w:rPr>
      </w:pPr>
      <w:r w:rsidRPr="00603BD8">
        <w:rPr>
          <w:b/>
        </w:rPr>
        <w:t>MAHOMED AJ</w:t>
      </w:r>
    </w:p>
    <w:p w14:paraId="0C509A97" w14:textId="77777777" w:rsidR="003F6F3C" w:rsidRDefault="003F6F3C" w:rsidP="003F6F3C">
      <w:pPr>
        <w:pStyle w:val="JudgmentNumbered"/>
        <w:numPr>
          <w:ilvl w:val="0"/>
          <w:numId w:val="0"/>
        </w:numPr>
        <w:spacing w:after="0"/>
        <w:ind w:left="567" w:hanging="567"/>
        <w:jc w:val="right"/>
        <w:rPr>
          <w:b/>
        </w:rPr>
      </w:pPr>
      <w:r>
        <w:rPr>
          <w:b/>
        </w:rPr>
        <w:t>JUDGE OF THE HIGH COURT</w:t>
      </w:r>
    </w:p>
    <w:p w14:paraId="4FB761B4" w14:textId="39B83943" w:rsidR="002E74CB" w:rsidRDefault="003F6F3C" w:rsidP="00312A80">
      <w:pPr>
        <w:pStyle w:val="JudgmentNumbered"/>
        <w:numPr>
          <w:ilvl w:val="0"/>
          <w:numId w:val="0"/>
        </w:numPr>
        <w:spacing w:after="0"/>
        <w:ind w:left="567" w:hanging="567"/>
        <w:jc w:val="right"/>
        <w:rPr>
          <w:b/>
        </w:rPr>
      </w:pPr>
      <w:r>
        <w:rPr>
          <w:b/>
        </w:rPr>
        <w:t>JOHANNESBURG</w:t>
      </w:r>
    </w:p>
    <w:p w14:paraId="724636E2" w14:textId="7CB52542" w:rsidR="00AB096A" w:rsidRDefault="00AB096A">
      <w:pPr>
        <w:rPr>
          <w:rFonts w:ascii="Arial" w:hAnsi="Arial" w:cs="Arial"/>
        </w:rPr>
      </w:pPr>
    </w:p>
    <w:p w14:paraId="6BDB0C4C" w14:textId="2389A330" w:rsidR="004334FB" w:rsidRDefault="004334FB" w:rsidP="003F6F3C">
      <w:pPr>
        <w:tabs>
          <w:tab w:val="left" w:pos="2127"/>
        </w:tabs>
        <w:spacing w:line="480" w:lineRule="auto"/>
        <w:jc w:val="both"/>
        <w:rPr>
          <w:rFonts w:ascii="Arial" w:hAnsi="Arial" w:cs="Arial"/>
        </w:rPr>
      </w:pPr>
      <w:r>
        <w:rPr>
          <w:rFonts w:ascii="Arial" w:hAnsi="Arial" w:cs="Arial"/>
        </w:rPr>
        <w:t>Date of Hearing:</w:t>
      </w:r>
      <w:r>
        <w:rPr>
          <w:rFonts w:ascii="Arial" w:hAnsi="Arial" w:cs="Arial"/>
        </w:rPr>
        <w:tab/>
      </w:r>
      <w:r w:rsidR="001C7DFD">
        <w:rPr>
          <w:rFonts w:ascii="Arial" w:hAnsi="Arial" w:cs="Arial"/>
        </w:rPr>
        <w:t>2 November 2023</w:t>
      </w:r>
    </w:p>
    <w:p w14:paraId="55106C03" w14:textId="6E8A497C" w:rsidR="00B94D92" w:rsidRDefault="004334FB" w:rsidP="003F6F3C">
      <w:pPr>
        <w:tabs>
          <w:tab w:val="left" w:pos="2127"/>
        </w:tabs>
        <w:spacing w:line="480" w:lineRule="auto"/>
        <w:jc w:val="both"/>
        <w:rPr>
          <w:rFonts w:ascii="Arial" w:hAnsi="Arial" w:cs="Arial"/>
        </w:rPr>
      </w:pPr>
      <w:r>
        <w:rPr>
          <w:rFonts w:ascii="Arial" w:hAnsi="Arial" w:cs="Arial"/>
        </w:rPr>
        <w:t>Date of Judgment:</w:t>
      </w:r>
      <w:r w:rsidR="003F6F3C">
        <w:rPr>
          <w:rFonts w:ascii="Arial" w:hAnsi="Arial" w:cs="Arial"/>
        </w:rPr>
        <w:t xml:space="preserve">     </w:t>
      </w:r>
      <w:r>
        <w:rPr>
          <w:rFonts w:ascii="Arial" w:hAnsi="Arial" w:cs="Arial"/>
        </w:rPr>
        <w:t>1</w:t>
      </w:r>
      <w:r w:rsidR="00BB1F31">
        <w:rPr>
          <w:rFonts w:ascii="Arial" w:hAnsi="Arial" w:cs="Arial"/>
        </w:rPr>
        <w:t>5</w:t>
      </w:r>
      <w:r>
        <w:rPr>
          <w:rFonts w:ascii="Arial" w:hAnsi="Arial" w:cs="Arial"/>
        </w:rPr>
        <w:t xml:space="preserve"> November 2023</w:t>
      </w:r>
    </w:p>
    <w:p w14:paraId="41C6CC16" w14:textId="77777777" w:rsidR="003F6F3C" w:rsidRDefault="003F6F3C" w:rsidP="00B94D92">
      <w:pPr>
        <w:spacing w:line="480" w:lineRule="auto"/>
        <w:jc w:val="both"/>
        <w:rPr>
          <w:rFonts w:ascii="Arial" w:hAnsi="Arial" w:cs="Arial"/>
        </w:rPr>
      </w:pPr>
    </w:p>
    <w:p w14:paraId="66AB9B98" w14:textId="4FF17CC7" w:rsidR="00B94D92" w:rsidRDefault="00B94D92" w:rsidP="00B94D92">
      <w:pPr>
        <w:spacing w:line="480" w:lineRule="auto"/>
        <w:jc w:val="both"/>
        <w:rPr>
          <w:rFonts w:ascii="Arial" w:hAnsi="Arial" w:cs="Arial"/>
        </w:rPr>
      </w:pPr>
      <w:r>
        <w:rPr>
          <w:rFonts w:ascii="Arial" w:hAnsi="Arial" w:cs="Arial"/>
        </w:rPr>
        <w:t>Appearances:</w:t>
      </w:r>
    </w:p>
    <w:p w14:paraId="5EED9148" w14:textId="6900174B" w:rsidR="00B94D92" w:rsidRDefault="00B94D92" w:rsidP="003F6F3C">
      <w:pPr>
        <w:tabs>
          <w:tab w:val="left" w:pos="2127"/>
        </w:tabs>
        <w:spacing w:line="480" w:lineRule="auto"/>
        <w:jc w:val="both"/>
        <w:rPr>
          <w:rFonts w:ascii="Arial" w:hAnsi="Arial" w:cs="Arial"/>
        </w:rPr>
      </w:pPr>
      <w:r>
        <w:rPr>
          <w:rFonts w:ascii="Arial" w:hAnsi="Arial" w:cs="Arial"/>
        </w:rPr>
        <w:t xml:space="preserve">For applicant: </w:t>
      </w:r>
      <w:r>
        <w:rPr>
          <w:rFonts w:ascii="Arial" w:hAnsi="Arial" w:cs="Arial"/>
        </w:rPr>
        <w:tab/>
      </w:r>
      <w:r w:rsidR="003F6F3C">
        <w:rPr>
          <w:rFonts w:ascii="Arial" w:hAnsi="Arial" w:cs="Arial"/>
        </w:rPr>
        <w:tab/>
      </w:r>
      <w:r>
        <w:rPr>
          <w:rFonts w:ascii="Arial" w:hAnsi="Arial" w:cs="Arial"/>
        </w:rPr>
        <w:t>Advocate N Mahlangu</w:t>
      </w:r>
    </w:p>
    <w:p w14:paraId="3097A2B6" w14:textId="4C8C4A1E" w:rsidR="00B94D92" w:rsidRDefault="00B94D92" w:rsidP="003F6F3C">
      <w:pPr>
        <w:tabs>
          <w:tab w:val="left" w:pos="2127"/>
        </w:tabs>
        <w:spacing w:line="480" w:lineRule="auto"/>
        <w:jc w:val="both"/>
        <w:rPr>
          <w:rFonts w:ascii="Arial" w:hAnsi="Arial" w:cs="Arial"/>
        </w:rPr>
      </w:pPr>
      <w:r>
        <w:rPr>
          <w:rFonts w:ascii="Arial" w:hAnsi="Arial" w:cs="Arial"/>
        </w:rPr>
        <w:t>Instructed by:</w:t>
      </w:r>
      <w:r>
        <w:rPr>
          <w:rFonts w:ascii="Arial" w:hAnsi="Arial" w:cs="Arial"/>
        </w:rPr>
        <w:tab/>
      </w:r>
      <w:r w:rsidR="003F6F3C">
        <w:rPr>
          <w:rFonts w:ascii="Arial" w:hAnsi="Arial" w:cs="Arial"/>
        </w:rPr>
        <w:tab/>
      </w:r>
      <w:r>
        <w:rPr>
          <w:rFonts w:ascii="Arial" w:hAnsi="Arial" w:cs="Arial"/>
        </w:rPr>
        <w:t>Norton Rose Fulbright South Africa Inc</w:t>
      </w:r>
    </w:p>
    <w:p w14:paraId="45079D61" w14:textId="26A0F8E8" w:rsidR="00B94D92" w:rsidRDefault="00B94D92" w:rsidP="00B94D92">
      <w:pPr>
        <w:spacing w:line="480" w:lineRule="auto"/>
        <w:jc w:val="both"/>
        <w:rPr>
          <w:rFonts w:ascii="Arial" w:hAnsi="Arial" w:cs="Arial"/>
        </w:rPr>
      </w:pPr>
      <w:r>
        <w:rPr>
          <w:rFonts w:ascii="Arial" w:hAnsi="Arial" w:cs="Arial"/>
        </w:rPr>
        <w:t>Email:</w:t>
      </w:r>
      <w:r>
        <w:rPr>
          <w:rFonts w:ascii="Arial" w:hAnsi="Arial" w:cs="Arial"/>
        </w:rPr>
        <w:tab/>
      </w:r>
      <w:r w:rsidR="003F6F3C">
        <w:rPr>
          <w:rFonts w:ascii="Arial" w:hAnsi="Arial" w:cs="Arial"/>
        </w:rPr>
        <w:tab/>
      </w:r>
      <w:r w:rsidR="003F6F3C">
        <w:rPr>
          <w:rFonts w:ascii="Arial" w:hAnsi="Arial" w:cs="Arial"/>
        </w:rPr>
        <w:tab/>
      </w:r>
      <w:hyperlink r:id="rId10" w:history="1">
        <w:r w:rsidR="003F6F3C" w:rsidRPr="006028C3">
          <w:rPr>
            <w:rStyle w:val="Hyperlink"/>
            <w:rFonts w:ascii="Arial" w:hAnsi="Arial" w:cs="Arial"/>
          </w:rPr>
          <w:t>sentebale.makara@nortonrosefulbright.com</w:t>
        </w:r>
      </w:hyperlink>
      <w:r w:rsidR="004334FB">
        <w:rPr>
          <w:rFonts w:ascii="Arial" w:hAnsi="Arial" w:cs="Arial"/>
        </w:rPr>
        <w:t xml:space="preserve"> </w:t>
      </w:r>
    </w:p>
    <w:p w14:paraId="78B52989" w14:textId="12E9C3D1" w:rsidR="004334FB" w:rsidRDefault="004334FB" w:rsidP="003F6F3C">
      <w:pPr>
        <w:tabs>
          <w:tab w:val="left" w:pos="2268"/>
        </w:tabs>
        <w:spacing w:line="480" w:lineRule="auto"/>
        <w:jc w:val="both"/>
        <w:rPr>
          <w:rFonts w:ascii="Arial" w:hAnsi="Arial" w:cs="Arial"/>
        </w:rPr>
      </w:pPr>
      <w:r>
        <w:rPr>
          <w:rFonts w:ascii="Arial" w:hAnsi="Arial" w:cs="Arial"/>
        </w:rPr>
        <w:t>For Respondent:</w:t>
      </w:r>
      <w:r w:rsidR="003F6F3C">
        <w:rPr>
          <w:rFonts w:ascii="Arial" w:hAnsi="Arial" w:cs="Arial"/>
        </w:rPr>
        <w:t xml:space="preserve">         </w:t>
      </w:r>
      <w:r>
        <w:rPr>
          <w:rFonts w:ascii="Arial" w:hAnsi="Arial" w:cs="Arial"/>
        </w:rPr>
        <w:t>Advocate Dobie</w:t>
      </w:r>
    </w:p>
    <w:p w14:paraId="7861EAC6" w14:textId="5A8282F3" w:rsidR="004334FB" w:rsidRDefault="004334FB" w:rsidP="003F6F3C">
      <w:pPr>
        <w:tabs>
          <w:tab w:val="left" w:pos="2127"/>
        </w:tabs>
        <w:spacing w:line="48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t>Reaan Swanepoel Inc</w:t>
      </w:r>
    </w:p>
    <w:p w14:paraId="0AB23183" w14:textId="2B0FBDFD" w:rsidR="004334FB" w:rsidRPr="00B94D92" w:rsidRDefault="004334FB" w:rsidP="00B94D92">
      <w:pPr>
        <w:spacing w:line="480" w:lineRule="auto"/>
        <w:jc w:val="both"/>
        <w:rPr>
          <w:rFonts w:ascii="Arial" w:hAnsi="Arial" w:cs="Arial"/>
        </w:rPr>
      </w:pPr>
      <w:r>
        <w:rPr>
          <w:rFonts w:ascii="Arial" w:hAnsi="Arial" w:cs="Arial"/>
        </w:rPr>
        <w:t>Email:</w:t>
      </w:r>
      <w:r>
        <w:rPr>
          <w:rFonts w:ascii="Arial" w:hAnsi="Arial" w:cs="Arial"/>
        </w:rPr>
        <w:tab/>
      </w:r>
      <w:r w:rsidR="003F6F3C">
        <w:rPr>
          <w:rFonts w:ascii="Arial" w:hAnsi="Arial" w:cs="Arial"/>
        </w:rPr>
        <w:tab/>
      </w:r>
      <w:r w:rsidR="003F6F3C">
        <w:rPr>
          <w:rFonts w:ascii="Arial" w:hAnsi="Arial" w:cs="Arial"/>
        </w:rPr>
        <w:tab/>
      </w:r>
      <w:hyperlink r:id="rId11" w:history="1">
        <w:r w:rsidR="003F6F3C" w:rsidRPr="006028C3">
          <w:rPr>
            <w:rStyle w:val="Hyperlink"/>
            <w:rFonts w:ascii="Arial" w:hAnsi="Arial" w:cs="Arial"/>
          </w:rPr>
          <w:t>reaan@uitweb.co.za</w:t>
        </w:r>
      </w:hyperlink>
      <w:r>
        <w:rPr>
          <w:rFonts w:ascii="Arial" w:hAnsi="Arial" w:cs="Arial"/>
        </w:rPr>
        <w:t xml:space="preserve"> </w:t>
      </w:r>
    </w:p>
    <w:p w14:paraId="250FC0A6" w14:textId="0427A51C" w:rsidR="00A71EC5" w:rsidRPr="00A71EC5" w:rsidRDefault="00A71EC5" w:rsidP="0049548F">
      <w:pPr>
        <w:spacing w:line="480" w:lineRule="auto"/>
        <w:ind w:left="720" w:hanging="720"/>
        <w:jc w:val="both"/>
        <w:rPr>
          <w:rFonts w:ascii="Arial" w:hAnsi="Arial" w:cs="Arial"/>
          <w:b/>
          <w:bCs/>
        </w:rPr>
      </w:pPr>
    </w:p>
    <w:p w14:paraId="6112F026" w14:textId="77777777" w:rsidR="009B030F" w:rsidRDefault="009B030F" w:rsidP="0049548F">
      <w:pPr>
        <w:spacing w:line="480" w:lineRule="auto"/>
        <w:ind w:left="720" w:hanging="720"/>
        <w:jc w:val="both"/>
        <w:rPr>
          <w:rFonts w:ascii="Arial" w:hAnsi="Arial" w:cs="Arial"/>
        </w:rPr>
      </w:pPr>
    </w:p>
    <w:sectPr w:rsidR="009B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272F" w14:textId="77777777" w:rsidR="009E0087" w:rsidRDefault="009E0087" w:rsidP="00AB638B">
      <w:pPr>
        <w:spacing w:after="0" w:line="240" w:lineRule="auto"/>
      </w:pPr>
      <w:r>
        <w:separator/>
      </w:r>
    </w:p>
  </w:endnote>
  <w:endnote w:type="continuationSeparator" w:id="0">
    <w:p w14:paraId="419E0D55" w14:textId="77777777" w:rsidR="009E0087" w:rsidRDefault="009E0087" w:rsidP="00AB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7ED5" w14:textId="77777777" w:rsidR="009E0087" w:rsidRDefault="009E0087" w:rsidP="00AB638B">
      <w:pPr>
        <w:spacing w:after="0" w:line="240" w:lineRule="auto"/>
      </w:pPr>
      <w:r>
        <w:separator/>
      </w:r>
    </w:p>
  </w:footnote>
  <w:footnote w:type="continuationSeparator" w:id="0">
    <w:p w14:paraId="4400C1A5" w14:textId="77777777" w:rsidR="009E0087" w:rsidRDefault="009E0087" w:rsidP="00AB638B">
      <w:pPr>
        <w:spacing w:after="0" w:line="240" w:lineRule="auto"/>
      </w:pPr>
      <w:r>
        <w:continuationSeparator/>
      </w:r>
    </w:p>
  </w:footnote>
  <w:footnote w:id="1">
    <w:p w14:paraId="4295777D" w14:textId="172F1A1A" w:rsidR="00AB638B" w:rsidRDefault="00AB638B">
      <w:pPr>
        <w:pStyle w:val="FootnoteText"/>
      </w:pPr>
      <w:r>
        <w:rPr>
          <w:rStyle w:val="FootnoteReference"/>
        </w:rPr>
        <w:footnoteRef/>
      </w:r>
      <w:r>
        <w:t xml:space="preserve"> </w:t>
      </w:r>
      <w:proofErr w:type="spellStart"/>
      <w:r>
        <w:t>Caselines</w:t>
      </w:r>
      <w:proofErr w:type="spellEnd"/>
      <w:r>
        <w:t xml:space="preserve"> 00</w:t>
      </w:r>
      <w:r w:rsidR="00815710">
        <w:t>6-172</w:t>
      </w:r>
    </w:p>
  </w:footnote>
  <w:footnote w:id="2">
    <w:p w14:paraId="7C7B3751" w14:textId="61B0BCD9" w:rsidR="00A97590" w:rsidRDefault="00A97590">
      <w:pPr>
        <w:pStyle w:val="FootnoteText"/>
      </w:pPr>
      <w:r>
        <w:rPr>
          <w:rStyle w:val="FootnoteReference"/>
        </w:rPr>
        <w:footnoteRef/>
      </w:r>
      <w:r>
        <w:t xml:space="preserve"> 1949 (2) S 470 ( O) at 467-7, </w:t>
      </w:r>
    </w:p>
  </w:footnote>
  <w:footnote w:id="3">
    <w:p w14:paraId="1D0C5C66" w14:textId="7F95B58A" w:rsidR="00D35006" w:rsidRDefault="00D35006">
      <w:pPr>
        <w:pStyle w:val="FootnoteText"/>
      </w:pPr>
      <w:r>
        <w:rPr>
          <w:rStyle w:val="FootnoteReference"/>
        </w:rPr>
        <w:footnoteRef/>
      </w:r>
      <w:r>
        <w:t xml:space="preserve"> 2003 (6) SA 1 (SCA) at 9C</w:t>
      </w:r>
    </w:p>
  </w:footnote>
  <w:footnote w:id="4">
    <w:p w14:paraId="78387D71" w14:textId="51CF0FCC" w:rsidR="00E83761" w:rsidRDefault="00E83761">
      <w:pPr>
        <w:pStyle w:val="FootnoteText"/>
      </w:pPr>
      <w:r>
        <w:rPr>
          <w:rStyle w:val="FootnoteReference"/>
        </w:rPr>
        <w:footnoteRef/>
      </w:r>
      <w:r>
        <w:t xml:space="preserve"> </w:t>
      </w:r>
      <w:proofErr w:type="spellStart"/>
      <w:r>
        <w:t>Caselines</w:t>
      </w:r>
      <w:proofErr w:type="spellEnd"/>
      <w:r>
        <w:t xml:space="preserve"> 006-148 to 150</w:t>
      </w:r>
    </w:p>
  </w:footnote>
  <w:footnote w:id="5">
    <w:p w14:paraId="7FB554D1" w14:textId="42A732A2" w:rsidR="00EE38FA" w:rsidRDefault="00EE38FA">
      <w:pPr>
        <w:pStyle w:val="FootnoteText"/>
      </w:pPr>
      <w:r>
        <w:rPr>
          <w:rStyle w:val="FootnoteReference"/>
        </w:rPr>
        <w:footnoteRef/>
      </w:r>
      <w:r>
        <w:t xml:space="preserve"> </w:t>
      </w:r>
      <w:proofErr w:type="spellStart"/>
      <w:r>
        <w:t>Caselines</w:t>
      </w:r>
      <w:proofErr w:type="spellEnd"/>
      <w:r>
        <w:t xml:space="preserve"> 006-154</w:t>
      </w:r>
    </w:p>
  </w:footnote>
  <w:footnote w:id="6">
    <w:p w14:paraId="1A31AAA6" w14:textId="588707B4" w:rsidR="00A633D9" w:rsidRDefault="00A633D9">
      <w:pPr>
        <w:pStyle w:val="FootnoteText"/>
      </w:pPr>
      <w:r>
        <w:rPr>
          <w:rStyle w:val="FootnoteReference"/>
        </w:rPr>
        <w:footnoteRef/>
      </w:r>
      <w:r>
        <w:t xml:space="preserve"> </w:t>
      </w:r>
      <w:proofErr w:type="spellStart"/>
      <w:r>
        <w:t>Caselines</w:t>
      </w:r>
      <w:proofErr w:type="spellEnd"/>
      <w:r>
        <w:t xml:space="preserve"> 006-157-158</w:t>
      </w:r>
    </w:p>
  </w:footnote>
  <w:footnote w:id="7">
    <w:p w14:paraId="4D3E6A42" w14:textId="0EC0522B" w:rsidR="00A633D9" w:rsidRDefault="00A633D9">
      <w:pPr>
        <w:pStyle w:val="FootnoteText"/>
      </w:pPr>
      <w:r>
        <w:rPr>
          <w:rStyle w:val="FootnoteReference"/>
        </w:rPr>
        <w:footnoteRef/>
      </w:r>
      <w:r>
        <w:t xml:space="preserve"> </w:t>
      </w:r>
      <w:proofErr w:type="spellStart"/>
      <w:r>
        <w:t>Caselines</w:t>
      </w:r>
      <w:proofErr w:type="spellEnd"/>
      <w:r>
        <w:t xml:space="preserve"> 006-157</w:t>
      </w:r>
    </w:p>
  </w:footnote>
  <w:footnote w:id="8">
    <w:p w14:paraId="4EBA2059" w14:textId="54675228" w:rsidR="009A18AD" w:rsidRDefault="009A18AD">
      <w:pPr>
        <w:pStyle w:val="FootnoteText"/>
      </w:pPr>
      <w:r>
        <w:rPr>
          <w:rStyle w:val="FootnoteReference"/>
        </w:rPr>
        <w:footnoteRef/>
      </w:r>
      <w:r>
        <w:t xml:space="preserve"> 006-164 to 171</w:t>
      </w:r>
    </w:p>
  </w:footnote>
  <w:footnote w:id="9">
    <w:p w14:paraId="46D503D6" w14:textId="065DA726" w:rsidR="004C1098" w:rsidRDefault="004C1098">
      <w:pPr>
        <w:pStyle w:val="FootnoteText"/>
      </w:pPr>
      <w:r>
        <w:rPr>
          <w:rStyle w:val="FootnoteReference"/>
        </w:rPr>
        <w:footnoteRef/>
      </w:r>
      <w:r>
        <w:t xml:space="preserve"> 2021 (11) </w:t>
      </w:r>
      <w:r w:rsidR="00740403">
        <w:t>BCLR</w:t>
      </w:r>
      <w:r>
        <w:t xml:space="preserve"> 1263 (CC )</w:t>
      </w:r>
    </w:p>
  </w:footnote>
  <w:footnote w:id="10">
    <w:p w14:paraId="71AD9CCD" w14:textId="28A73E54" w:rsidR="00051DAC" w:rsidRDefault="00051DAC">
      <w:pPr>
        <w:pStyle w:val="FootnoteText"/>
      </w:pPr>
      <w:r>
        <w:rPr>
          <w:rStyle w:val="FootnoteReference"/>
        </w:rPr>
        <w:footnoteRef/>
      </w:r>
      <w:r>
        <w:t xml:space="preserve"> </w:t>
      </w:r>
      <w:proofErr w:type="spellStart"/>
      <w:r>
        <w:t>Caselines</w:t>
      </w:r>
      <w:proofErr w:type="spellEnd"/>
      <w:r>
        <w:t xml:space="preserve"> 006-14 para 20</w:t>
      </w:r>
    </w:p>
  </w:footnote>
  <w:footnote w:id="11">
    <w:p w14:paraId="6D0F950E" w14:textId="7DFD0819" w:rsidR="00F92671" w:rsidRDefault="00F92671">
      <w:pPr>
        <w:pStyle w:val="FootnoteText"/>
      </w:pPr>
    </w:p>
  </w:footnote>
  <w:footnote w:id="12">
    <w:p w14:paraId="1487A568" w14:textId="225609CB" w:rsidR="005931FD" w:rsidRDefault="005931FD">
      <w:pPr>
        <w:pStyle w:val="FootnoteText"/>
      </w:pPr>
      <w:r>
        <w:rPr>
          <w:rStyle w:val="FootnoteReference"/>
        </w:rPr>
        <w:footnoteRef/>
      </w:r>
      <w:r>
        <w:t xml:space="preserve"> 2022 JDR 3763</w:t>
      </w:r>
    </w:p>
  </w:footnote>
  <w:footnote w:id="13">
    <w:p w14:paraId="5C090D94" w14:textId="77777777" w:rsidR="009A3829" w:rsidRDefault="009A3829" w:rsidP="009A3829">
      <w:pPr>
        <w:pStyle w:val="FootnoteText"/>
      </w:pPr>
      <w:r>
        <w:rPr>
          <w:rStyle w:val="FootnoteReference"/>
        </w:rPr>
        <w:footnoteRef/>
      </w:r>
      <w:r>
        <w:t xml:space="preserve"> </w:t>
      </w:r>
      <w:proofErr w:type="spellStart"/>
      <w:r>
        <w:t>Caselines</w:t>
      </w:r>
      <w:proofErr w:type="spellEnd"/>
      <w:r>
        <w:t xml:space="preserve"> 006-183</w:t>
      </w:r>
    </w:p>
  </w:footnote>
  <w:footnote w:id="14">
    <w:p w14:paraId="32A498BC" w14:textId="55A8086E" w:rsidR="00E403AC" w:rsidRDefault="00E403AC">
      <w:pPr>
        <w:pStyle w:val="FootnoteText"/>
      </w:pPr>
      <w:r>
        <w:rPr>
          <w:rStyle w:val="FootnoteReference"/>
        </w:rPr>
        <w:footnoteRef/>
      </w:r>
      <w:r>
        <w:t xml:space="preserve"> 1998 (1) SA 697 T</w:t>
      </w:r>
    </w:p>
  </w:footnote>
  <w:footnote w:id="15">
    <w:p w14:paraId="5DEAF49C" w14:textId="20B9ECE9" w:rsidR="00935A80" w:rsidRDefault="00935A80">
      <w:pPr>
        <w:pStyle w:val="FootnoteText"/>
      </w:pPr>
      <w:r>
        <w:rPr>
          <w:rStyle w:val="FootnoteReference"/>
        </w:rPr>
        <w:footnoteRef/>
      </w:r>
      <w:r>
        <w:t xml:space="preserve"> </w:t>
      </w:r>
      <w:proofErr w:type="spellStart"/>
      <w:r>
        <w:t>Caselines</w:t>
      </w:r>
      <w:proofErr w:type="spellEnd"/>
      <w:r>
        <w:t xml:space="preserve"> 006-155</w:t>
      </w:r>
    </w:p>
  </w:footnote>
  <w:footnote w:id="16">
    <w:p w14:paraId="076566BA" w14:textId="17E81548" w:rsidR="00CD28DC" w:rsidRDefault="00CD28DC">
      <w:pPr>
        <w:pStyle w:val="FootnoteText"/>
      </w:pPr>
      <w:r>
        <w:rPr>
          <w:rStyle w:val="FootnoteReference"/>
        </w:rPr>
        <w:footnoteRef/>
      </w:r>
      <w:r>
        <w:t xml:space="preserve"> Case No, 26799/2017 [18 May 2022]</w:t>
      </w:r>
    </w:p>
  </w:footnote>
  <w:footnote w:id="17">
    <w:p w14:paraId="4E38F3F1" w14:textId="4580EC72" w:rsidR="009E7263" w:rsidRDefault="009E7263">
      <w:pPr>
        <w:pStyle w:val="FootnoteText"/>
      </w:pPr>
      <w:r>
        <w:rPr>
          <w:rStyle w:val="FootnoteReference"/>
        </w:rPr>
        <w:footnoteRef/>
      </w:r>
      <w:r>
        <w:t xml:space="preserve"> 2006 (4) SAS 527 (T) AT 530A</w:t>
      </w:r>
    </w:p>
  </w:footnote>
  <w:footnote w:id="18">
    <w:p w14:paraId="3866F826" w14:textId="6170A2C2" w:rsidR="001B5D66" w:rsidRDefault="001B5D66">
      <w:pPr>
        <w:pStyle w:val="FootnoteText"/>
      </w:pPr>
      <w:r>
        <w:rPr>
          <w:rStyle w:val="FootnoteReference"/>
        </w:rPr>
        <w:footnoteRef/>
      </w:r>
      <w:r>
        <w:t xml:space="preserve"> </w:t>
      </w:r>
      <w:proofErr w:type="spellStart"/>
      <w:r>
        <w:t>Caselines</w:t>
      </w:r>
      <w:proofErr w:type="spellEnd"/>
      <w:r>
        <w:t xml:space="preserve"> 006-161</w:t>
      </w:r>
    </w:p>
  </w:footnote>
  <w:footnote w:id="19">
    <w:p w14:paraId="6C0E184E" w14:textId="7FF7294A" w:rsidR="001C2096" w:rsidRDefault="001C2096">
      <w:pPr>
        <w:pStyle w:val="FootnoteText"/>
      </w:pPr>
      <w:r>
        <w:rPr>
          <w:rStyle w:val="FootnoteReference"/>
        </w:rPr>
        <w:footnoteRef/>
      </w:r>
      <w:r>
        <w:t xml:space="preserve"> 1938 WLD 129</w:t>
      </w:r>
    </w:p>
  </w:footnote>
  <w:footnote w:id="20">
    <w:p w14:paraId="44092E6F" w14:textId="5BE1D464" w:rsidR="001C2096" w:rsidRDefault="001C2096">
      <w:pPr>
        <w:pStyle w:val="FootnoteText"/>
      </w:pPr>
      <w:r>
        <w:rPr>
          <w:rStyle w:val="FootnoteReference"/>
        </w:rPr>
        <w:footnoteRef/>
      </w:r>
      <w:r>
        <w:t xml:space="preserve"> </w:t>
      </w:r>
      <w:r w:rsidR="007263D4">
        <w:t>2010 (6) SA 572 (KZD) para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73B"/>
    <w:multiLevelType w:val="multilevel"/>
    <w:tmpl w:val="A3B043EE"/>
    <w:lvl w:ilvl="0">
      <w:start w:val="1"/>
      <w:numFmt w:val="decimal"/>
      <w:pStyle w:val="JudgmentNumbered"/>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351F2B7F"/>
    <w:multiLevelType w:val="hybridMultilevel"/>
    <w:tmpl w:val="0108F1C0"/>
    <w:lvl w:ilvl="0" w:tplc="ACEE9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E92A31"/>
    <w:multiLevelType w:val="multilevel"/>
    <w:tmpl w:val="348A0DBE"/>
    <w:lvl w:ilvl="0">
      <w:start w:val="1"/>
      <w:numFmt w:val="decimal"/>
      <w:lvlText w:val="%1."/>
      <w:lvlJc w:val="left"/>
      <w:pPr>
        <w:ind w:left="1332" w:hanging="360"/>
      </w:pPr>
      <w:rPr>
        <w:rFonts w:hint="default"/>
      </w:rPr>
    </w:lvl>
    <w:lvl w:ilvl="1">
      <w:start w:val="1"/>
      <w:numFmt w:val="decimal"/>
      <w:isLgl/>
      <w:lvlText w:val="%1.%2"/>
      <w:lvlJc w:val="left"/>
      <w:pPr>
        <w:ind w:left="1255" w:hanging="360"/>
      </w:pPr>
      <w:rPr>
        <w:rFonts w:hint="default"/>
      </w:rPr>
    </w:lvl>
    <w:lvl w:ilvl="2">
      <w:start w:val="1"/>
      <w:numFmt w:val="decimal"/>
      <w:lvlText w:val="%3.1"/>
      <w:lvlJc w:val="left"/>
      <w:pPr>
        <w:ind w:left="1332" w:hanging="36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 w15:restartNumberingAfterBreak="0">
    <w:nsid w:val="56BD5F97"/>
    <w:multiLevelType w:val="hybridMultilevel"/>
    <w:tmpl w:val="EF764A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CC1589"/>
    <w:multiLevelType w:val="hybridMultilevel"/>
    <w:tmpl w:val="4DD8BDAC"/>
    <w:lvl w:ilvl="0" w:tplc="D5081D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8901FA6"/>
    <w:multiLevelType w:val="hybridMultilevel"/>
    <w:tmpl w:val="612C3C8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3B6DF0"/>
    <w:multiLevelType w:val="hybridMultilevel"/>
    <w:tmpl w:val="AD2A9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D0"/>
    <w:rsid w:val="00001EFD"/>
    <w:rsid w:val="0001784E"/>
    <w:rsid w:val="00022BC9"/>
    <w:rsid w:val="00035B8D"/>
    <w:rsid w:val="0004512A"/>
    <w:rsid w:val="00051DAC"/>
    <w:rsid w:val="000A0229"/>
    <w:rsid w:val="000D6AFD"/>
    <w:rsid w:val="000E260C"/>
    <w:rsid w:val="00114A70"/>
    <w:rsid w:val="00147F11"/>
    <w:rsid w:val="00150C2C"/>
    <w:rsid w:val="0016638F"/>
    <w:rsid w:val="001B5D66"/>
    <w:rsid w:val="001B706E"/>
    <w:rsid w:val="001C2096"/>
    <w:rsid w:val="001C7DFD"/>
    <w:rsid w:val="001E1700"/>
    <w:rsid w:val="00226475"/>
    <w:rsid w:val="00240655"/>
    <w:rsid w:val="00243FAB"/>
    <w:rsid w:val="00276CB7"/>
    <w:rsid w:val="002A0EF2"/>
    <w:rsid w:val="002B3D98"/>
    <w:rsid w:val="002E22DF"/>
    <w:rsid w:val="002E74CB"/>
    <w:rsid w:val="00306E1D"/>
    <w:rsid w:val="00312A80"/>
    <w:rsid w:val="00320BBC"/>
    <w:rsid w:val="003369B6"/>
    <w:rsid w:val="00347722"/>
    <w:rsid w:val="00347C87"/>
    <w:rsid w:val="00375B95"/>
    <w:rsid w:val="00375F85"/>
    <w:rsid w:val="003848D3"/>
    <w:rsid w:val="0039420D"/>
    <w:rsid w:val="003A3FD1"/>
    <w:rsid w:val="003C268B"/>
    <w:rsid w:val="003E25EE"/>
    <w:rsid w:val="003F6F3C"/>
    <w:rsid w:val="0040709F"/>
    <w:rsid w:val="004334FB"/>
    <w:rsid w:val="004354FA"/>
    <w:rsid w:val="00444D1D"/>
    <w:rsid w:val="004529AA"/>
    <w:rsid w:val="0049548F"/>
    <w:rsid w:val="004B0D46"/>
    <w:rsid w:val="004C1098"/>
    <w:rsid w:val="00533A3D"/>
    <w:rsid w:val="005931FD"/>
    <w:rsid w:val="005A6F77"/>
    <w:rsid w:val="005B58EB"/>
    <w:rsid w:val="005D0AE0"/>
    <w:rsid w:val="005D1774"/>
    <w:rsid w:val="005D7BE2"/>
    <w:rsid w:val="005F6DE1"/>
    <w:rsid w:val="0065218C"/>
    <w:rsid w:val="0067716B"/>
    <w:rsid w:val="00681DE9"/>
    <w:rsid w:val="00691635"/>
    <w:rsid w:val="006C1F2B"/>
    <w:rsid w:val="006D55C0"/>
    <w:rsid w:val="006E023D"/>
    <w:rsid w:val="00713DB0"/>
    <w:rsid w:val="00717380"/>
    <w:rsid w:val="007263D4"/>
    <w:rsid w:val="00740403"/>
    <w:rsid w:val="0074193F"/>
    <w:rsid w:val="00767BB6"/>
    <w:rsid w:val="00784392"/>
    <w:rsid w:val="007A0DB8"/>
    <w:rsid w:val="007A2EBD"/>
    <w:rsid w:val="007E73CF"/>
    <w:rsid w:val="007F3E52"/>
    <w:rsid w:val="007F4973"/>
    <w:rsid w:val="00815710"/>
    <w:rsid w:val="00821FA5"/>
    <w:rsid w:val="0083583C"/>
    <w:rsid w:val="00852579"/>
    <w:rsid w:val="008A7D08"/>
    <w:rsid w:val="008E3D5D"/>
    <w:rsid w:val="00927CB6"/>
    <w:rsid w:val="00935A80"/>
    <w:rsid w:val="009A18AD"/>
    <w:rsid w:val="009A3829"/>
    <w:rsid w:val="009B030F"/>
    <w:rsid w:val="009C4169"/>
    <w:rsid w:val="009C675E"/>
    <w:rsid w:val="009D0296"/>
    <w:rsid w:val="009E0087"/>
    <w:rsid w:val="009E2585"/>
    <w:rsid w:val="009E7263"/>
    <w:rsid w:val="009F2199"/>
    <w:rsid w:val="00A12898"/>
    <w:rsid w:val="00A57CE4"/>
    <w:rsid w:val="00A633D9"/>
    <w:rsid w:val="00A71EC5"/>
    <w:rsid w:val="00A74833"/>
    <w:rsid w:val="00A92ADC"/>
    <w:rsid w:val="00A97590"/>
    <w:rsid w:val="00AA39E7"/>
    <w:rsid w:val="00AA4ABF"/>
    <w:rsid w:val="00AB096A"/>
    <w:rsid w:val="00AB62CD"/>
    <w:rsid w:val="00AB638B"/>
    <w:rsid w:val="00AB6CAE"/>
    <w:rsid w:val="00B3664F"/>
    <w:rsid w:val="00B93C6B"/>
    <w:rsid w:val="00B94D92"/>
    <w:rsid w:val="00BB1F31"/>
    <w:rsid w:val="00BC0D76"/>
    <w:rsid w:val="00BD3422"/>
    <w:rsid w:val="00BE1A3F"/>
    <w:rsid w:val="00C26609"/>
    <w:rsid w:val="00C30684"/>
    <w:rsid w:val="00C33B40"/>
    <w:rsid w:val="00C35DD7"/>
    <w:rsid w:val="00C36855"/>
    <w:rsid w:val="00C531B4"/>
    <w:rsid w:val="00C57CDD"/>
    <w:rsid w:val="00C95E76"/>
    <w:rsid w:val="00CA0160"/>
    <w:rsid w:val="00CB3996"/>
    <w:rsid w:val="00CD28DC"/>
    <w:rsid w:val="00CE75DA"/>
    <w:rsid w:val="00D33864"/>
    <w:rsid w:val="00D35006"/>
    <w:rsid w:val="00D35A14"/>
    <w:rsid w:val="00D5002B"/>
    <w:rsid w:val="00D624B5"/>
    <w:rsid w:val="00D63702"/>
    <w:rsid w:val="00D7129D"/>
    <w:rsid w:val="00D722C0"/>
    <w:rsid w:val="00E0384A"/>
    <w:rsid w:val="00E16957"/>
    <w:rsid w:val="00E403AC"/>
    <w:rsid w:val="00E67D9F"/>
    <w:rsid w:val="00E70F89"/>
    <w:rsid w:val="00E80EBE"/>
    <w:rsid w:val="00E83761"/>
    <w:rsid w:val="00EA7194"/>
    <w:rsid w:val="00EB1950"/>
    <w:rsid w:val="00EC7E33"/>
    <w:rsid w:val="00EE2BBF"/>
    <w:rsid w:val="00EE38FA"/>
    <w:rsid w:val="00EF669B"/>
    <w:rsid w:val="00F13F7D"/>
    <w:rsid w:val="00F172D0"/>
    <w:rsid w:val="00F328E5"/>
    <w:rsid w:val="00F415BA"/>
    <w:rsid w:val="00F92671"/>
    <w:rsid w:val="00FD155F"/>
    <w:rsid w:val="00FE2253"/>
    <w:rsid w:val="00FE6D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5E0D"/>
  <w15:chartTrackingRefBased/>
  <w15:docId w15:val="{EDE76B40-176C-4E06-A337-B487981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B5"/>
    <w:pPr>
      <w:ind w:left="720"/>
      <w:contextualSpacing/>
    </w:pPr>
  </w:style>
  <w:style w:type="paragraph" w:styleId="FootnoteText">
    <w:name w:val="footnote text"/>
    <w:basedOn w:val="Normal"/>
    <w:link w:val="FootnoteTextChar"/>
    <w:uiPriority w:val="99"/>
    <w:semiHidden/>
    <w:unhideWhenUsed/>
    <w:rsid w:val="00AB6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38B"/>
    <w:rPr>
      <w:sz w:val="20"/>
      <w:szCs w:val="20"/>
    </w:rPr>
  </w:style>
  <w:style w:type="character" w:styleId="FootnoteReference">
    <w:name w:val="footnote reference"/>
    <w:basedOn w:val="DefaultParagraphFont"/>
    <w:uiPriority w:val="99"/>
    <w:semiHidden/>
    <w:unhideWhenUsed/>
    <w:rsid w:val="00AB638B"/>
    <w:rPr>
      <w:vertAlign w:val="superscript"/>
    </w:rPr>
  </w:style>
  <w:style w:type="character" w:styleId="Hyperlink">
    <w:name w:val="Hyperlink"/>
    <w:basedOn w:val="DefaultParagraphFont"/>
    <w:uiPriority w:val="99"/>
    <w:unhideWhenUsed/>
    <w:rsid w:val="00B94D92"/>
    <w:rPr>
      <w:color w:val="0563C1" w:themeColor="hyperlink"/>
      <w:u w:val="single"/>
    </w:rPr>
  </w:style>
  <w:style w:type="character" w:customStyle="1" w:styleId="UnresolvedMention">
    <w:name w:val="Unresolved Mention"/>
    <w:basedOn w:val="DefaultParagraphFont"/>
    <w:uiPriority w:val="99"/>
    <w:semiHidden/>
    <w:unhideWhenUsed/>
    <w:rsid w:val="00B94D92"/>
    <w:rPr>
      <w:color w:val="605E5C"/>
      <w:shd w:val="clear" w:color="auto" w:fill="E1DFDD"/>
    </w:rPr>
  </w:style>
  <w:style w:type="paragraph" w:customStyle="1" w:styleId="JudgmentNumbered">
    <w:name w:val="Judgment Numbered"/>
    <w:basedOn w:val="Normal"/>
    <w:link w:val="JudgmentNumberedChar"/>
    <w:qFormat/>
    <w:rsid w:val="003F6F3C"/>
    <w:pPr>
      <w:numPr>
        <w:numId w:val="7"/>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3F6F3C"/>
    <w:rPr>
      <w:rFonts w:ascii="Arial" w:hAnsi="Arial" w:cs="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an@uitweb.co.za" TargetMode="External"/><Relationship Id="rId5" Type="http://schemas.openxmlformats.org/officeDocument/2006/relationships/webSettings" Target="webSettings.xml"/><Relationship Id="rId10" Type="http://schemas.openxmlformats.org/officeDocument/2006/relationships/hyperlink" Target="mailto:sentebale.makara@nortonrosefulbright.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EEF8-2978-4066-AE2F-370A17B7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Shaida Mahomed</dc:creator>
  <cp:keywords/>
  <dc:description/>
  <cp:lastModifiedBy>Tshwarelo Mabina</cp:lastModifiedBy>
  <cp:revision>2</cp:revision>
  <cp:lastPrinted>2023-11-15T13:34:00Z</cp:lastPrinted>
  <dcterms:created xsi:type="dcterms:W3CDTF">2023-11-16T06:09:00Z</dcterms:created>
  <dcterms:modified xsi:type="dcterms:W3CDTF">2023-11-16T06:09:00Z</dcterms:modified>
</cp:coreProperties>
</file>