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091B" w14:textId="5DD64DE0" w:rsidR="00493DE4" w:rsidRPr="00D6797F" w:rsidRDefault="00B625DB" w:rsidP="00493DE4">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tab/>
      </w:r>
      <w:r>
        <w:rPr>
          <w:rFonts w:ascii="Arial" w:eastAsia="Times New Roman" w:hAnsi="Arial" w:cs="Arial"/>
          <w:b/>
          <w:noProof/>
          <w:sz w:val="24"/>
          <w:szCs w:val="24"/>
          <w:lang w:eastAsia="en-ZA"/>
        </w:rPr>
        <w:tab/>
      </w:r>
      <w:r w:rsidR="00493DE4" w:rsidRPr="00D6797F">
        <w:rPr>
          <w:rFonts w:ascii="Arial" w:eastAsia="Times New Roman" w:hAnsi="Arial" w:cs="Arial"/>
          <w:b/>
          <w:noProof/>
          <w:sz w:val="24"/>
          <w:szCs w:val="24"/>
          <w:lang w:eastAsia="en-ZA"/>
        </w:rPr>
        <w:t>REPUBLIC OF SOUTH AFRICA</w:t>
      </w:r>
    </w:p>
    <w:p w14:paraId="6BD0197D" w14:textId="77777777" w:rsidR="00493DE4" w:rsidRPr="00D6797F" w:rsidRDefault="00493DE4" w:rsidP="00493DE4">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296EB198" w14:textId="77777777" w:rsidR="00493DE4" w:rsidRPr="00D6797F" w:rsidRDefault="00493DE4" w:rsidP="00493DE4">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781EA900" wp14:editId="4B46678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69FDE53" w14:textId="77777777" w:rsidR="00493DE4" w:rsidRPr="00D6797F" w:rsidRDefault="00493DE4" w:rsidP="00493DE4">
      <w:pPr>
        <w:spacing w:after="0" w:line="240" w:lineRule="auto"/>
        <w:jc w:val="center"/>
        <w:outlineLvl w:val="0"/>
        <w:rPr>
          <w:rFonts w:ascii="Arial" w:eastAsia="Times New Roman" w:hAnsi="Arial" w:cs="Arial"/>
          <w:b/>
          <w:sz w:val="24"/>
          <w:szCs w:val="24"/>
        </w:rPr>
      </w:pPr>
    </w:p>
    <w:p w14:paraId="0E20E248" w14:textId="77777777" w:rsidR="00493DE4" w:rsidRPr="00D6797F" w:rsidRDefault="00493DE4" w:rsidP="00493DE4">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1E95AC9D" w14:textId="77777777" w:rsidR="00493DE4" w:rsidRDefault="00493DE4" w:rsidP="00493DE4">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Pr>
          <w:rFonts w:ascii="Arial" w:hAnsi="Arial" w:cs="Arial"/>
          <w:sz w:val="24"/>
          <w:szCs w:val="24"/>
        </w:rPr>
        <w:t xml:space="preserve">                               </w:t>
      </w:r>
    </w:p>
    <w:p w14:paraId="6F0BCF4F" w14:textId="77777777" w:rsidR="00493DE4" w:rsidRPr="001B3D97" w:rsidRDefault="00493DE4" w:rsidP="00493DE4">
      <w:pPr>
        <w:spacing w:line="48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3D97">
        <w:rPr>
          <w:rFonts w:ascii="Arial" w:hAnsi="Arial" w:cs="Arial"/>
          <w:b/>
          <w:sz w:val="24"/>
          <w:szCs w:val="24"/>
        </w:rPr>
        <w:tab/>
        <w:t>Case no: 2014/11875</w:t>
      </w:r>
    </w:p>
    <w:p w14:paraId="331D0675" w14:textId="77777777" w:rsidR="00493DE4" w:rsidRDefault="00493DE4" w:rsidP="00493DE4">
      <w:pPr>
        <w:spacing w:line="480" w:lineRule="auto"/>
        <w:rPr>
          <w:rFonts w:ascii="Arial" w:hAnsi="Arial" w:cs="Arial"/>
          <w:sz w:val="24"/>
          <w:szCs w:val="24"/>
        </w:rPr>
      </w:pPr>
      <w:r w:rsidRPr="0016795C">
        <w:rPr>
          <w:rFonts w:ascii="Arial" w:hAnsi="Arial" w:cs="Arial"/>
          <w:noProof/>
          <w:lang w:eastAsia="en-ZA"/>
        </w:rPr>
        <mc:AlternateContent>
          <mc:Choice Requires="wps">
            <w:drawing>
              <wp:anchor distT="0" distB="0" distL="114300" distR="114300" simplePos="0" relativeHeight="251659264" behindDoc="0" locked="0" layoutInCell="1" allowOverlap="1" wp14:anchorId="66FE69B3" wp14:editId="4929F90E">
                <wp:simplePos x="0" y="0"/>
                <wp:positionH relativeFrom="margin">
                  <wp:posOffset>19050</wp:posOffset>
                </wp:positionH>
                <wp:positionV relativeFrom="paragraph">
                  <wp:posOffset>58420</wp:posOffset>
                </wp:positionV>
                <wp:extent cx="3314700" cy="1193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77D17B0B" w14:textId="55C0A62E" w:rsidR="00493DE4" w:rsidRPr="00C344A5" w:rsidRDefault="00717B6D" w:rsidP="00717B6D">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493DE4">
                              <w:rPr>
                                <w:rFonts w:ascii="Arial" w:hAnsi="Arial" w:cs="Arial"/>
                                <w:sz w:val="18"/>
                                <w:szCs w:val="20"/>
                              </w:rPr>
                              <w:t>REPORTABLE: NO</w:t>
                            </w:r>
                          </w:p>
                          <w:p w14:paraId="3A6A5B31" w14:textId="35BE0488" w:rsidR="00493DE4" w:rsidRPr="00C344A5" w:rsidRDefault="00717B6D" w:rsidP="00717B6D">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493DE4">
                              <w:rPr>
                                <w:rFonts w:ascii="Arial" w:hAnsi="Arial" w:cs="Arial"/>
                                <w:sz w:val="18"/>
                                <w:szCs w:val="20"/>
                              </w:rPr>
                              <w:t>OF INTEREST TO OTHER JUDGES: YES/NO</w:t>
                            </w:r>
                          </w:p>
                          <w:p w14:paraId="1D394CEE" w14:textId="77777777" w:rsidR="00493DE4" w:rsidRPr="00C344A5" w:rsidRDefault="00493DE4" w:rsidP="00493DE4">
                            <w:pPr>
                              <w:rPr>
                                <w:rFonts w:ascii="Arial" w:hAnsi="Arial" w:cs="Arial"/>
                                <w:b/>
                                <w:sz w:val="18"/>
                                <w:szCs w:val="20"/>
                              </w:rPr>
                            </w:pPr>
                          </w:p>
                          <w:p w14:paraId="3A49100B" w14:textId="77777777" w:rsidR="00493DE4" w:rsidRPr="00C344A5" w:rsidRDefault="00493DE4" w:rsidP="00493DE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FF937B6" w14:textId="77777777" w:rsidR="00493DE4" w:rsidRPr="00C344A5" w:rsidRDefault="00493DE4" w:rsidP="00493DE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69B3" id="_x0000_t202" coordsize="21600,21600" o:spt="202" path="m,l,21600r21600,l21600,xe">
                <v:stroke joinstyle="miter"/>
                <v:path gradientshapeok="t" o:connecttype="rect"/>
              </v:shapetype>
              <v:shape id="Text Box 2"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">
                <v:textbox>
                  <w:txbxContent>
                    <w:p w14:paraId="77D17B0B" w14:textId="55C0A62E" w:rsidR="00493DE4" w:rsidRPr="00C344A5" w:rsidRDefault="00717B6D" w:rsidP="00717B6D">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493DE4">
                        <w:rPr>
                          <w:rFonts w:ascii="Arial" w:hAnsi="Arial" w:cs="Arial"/>
                          <w:sz w:val="18"/>
                          <w:szCs w:val="20"/>
                        </w:rPr>
                        <w:t>REPORTABLE: NO</w:t>
                      </w:r>
                    </w:p>
                    <w:p w14:paraId="3A6A5B31" w14:textId="35BE0488" w:rsidR="00493DE4" w:rsidRPr="00C344A5" w:rsidRDefault="00717B6D" w:rsidP="00717B6D">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493DE4">
                        <w:rPr>
                          <w:rFonts w:ascii="Arial" w:hAnsi="Arial" w:cs="Arial"/>
                          <w:sz w:val="18"/>
                          <w:szCs w:val="20"/>
                        </w:rPr>
                        <w:t>OF INTEREST TO OTHER JUDGES: YES/NO</w:t>
                      </w:r>
                    </w:p>
                    <w:p w14:paraId="1D394CEE" w14:textId="77777777" w:rsidR="00493DE4" w:rsidRPr="00C344A5" w:rsidRDefault="00493DE4" w:rsidP="00493DE4">
                      <w:pPr>
                        <w:rPr>
                          <w:rFonts w:ascii="Arial" w:hAnsi="Arial" w:cs="Arial"/>
                          <w:b/>
                          <w:sz w:val="18"/>
                          <w:szCs w:val="20"/>
                        </w:rPr>
                      </w:pPr>
                    </w:p>
                    <w:p w14:paraId="3A49100B" w14:textId="77777777" w:rsidR="00493DE4" w:rsidRPr="00C344A5" w:rsidRDefault="00493DE4" w:rsidP="00493DE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FF937B6" w14:textId="77777777" w:rsidR="00493DE4" w:rsidRPr="00C344A5" w:rsidRDefault="00493DE4" w:rsidP="00493DE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7B8D7A9C" w14:textId="77777777" w:rsidR="00493DE4" w:rsidRDefault="00493DE4" w:rsidP="00493DE4">
      <w:pPr>
        <w:spacing w:line="360" w:lineRule="auto"/>
        <w:rPr>
          <w:rFonts w:ascii="Arial" w:hAnsi="Arial" w:cs="Arial"/>
          <w:sz w:val="24"/>
          <w:szCs w:val="24"/>
        </w:rPr>
      </w:pPr>
    </w:p>
    <w:p w14:paraId="7DA5B724" w14:textId="77777777" w:rsidR="00493DE4" w:rsidRDefault="00493DE4" w:rsidP="00493DE4">
      <w:pPr>
        <w:spacing w:line="360" w:lineRule="auto"/>
        <w:rPr>
          <w:rFonts w:ascii="Arial" w:hAnsi="Arial" w:cs="Arial"/>
          <w:sz w:val="24"/>
          <w:szCs w:val="24"/>
        </w:rPr>
      </w:pPr>
    </w:p>
    <w:p w14:paraId="596FE5AD" w14:textId="77777777" w:rsidR="00493DE4" w:rsidRDefault="00493DE4" w:rsidP="00493DE4">
      <w:pPr>
        <w:spacing w:line="360" w:lineRule="auto"/>
        <w:rPr>
          <w:rFonts w:ascii="Arial" w:hAnsi="Arial" w:cs="Arial"/>
          <w:sz w:val="24"/>
          <w:szCs w:val="24"/>
        </w:rPr>
      </w:pPr>
    </w:p>
    <w:p w14:paraId="34CAF298" w14:textId="77777777" w:rsidR="00493DE4" w:rsidRDefault="00493DE4" w:rsidP="00493DE4">
      <w:pPr>
        <w:spacing w:line="360" w:lineRule="auto"/>
        <w:rPr>
          <w:rFonts w:ascii="Arial" w:hAnsi="Arial" w:cs="Arial"/>
          <w:sz w:val="24"/>
          <w:szCs w:val="24"/>
        </w:rPr>
      </w:pPr>
    </w:p>
    <w:p w14:paraId="68C97567" w14:textId="77777777" w:rsidR="00493DE4" w:rsidRDefault="00493DE4" w:rsidP="00493DE4">
      <w:pPr>
        <w:spacing w:line="360" w:lineRule="auto"/>
        <w:rPr>
          <w:rFonts w:ascii="Arial" w:hAnsi="Arial" w:cs="Arial"/>
          <w:sz w:val="24"/>
          <w:szCs w:val="24"/>
        </w:rPr>
      </w:pPr>
      <w:r>
        <w:rPr>
          <w:rFonts w:ascii="Arial" w:hAnsi="Arial" w:cs="Arial"/>
          <w:sz w:val="24"/>
          <w:szCs w:val="24"/>
        </w:rPr>
        <w:t>In the matter between:</w:t>
      </w:r>
    </w:p>
    <w:p w14:paraId="13A9D580" w14:textId="02C15B1B" w:rsidR="00493DE4" w:rsidRPr="00530284" w:rsidRDefault="00493DE4" w:rsidP="00493DE4">
      <w:pPr>
        <w:spacing w:line="360" w:lineRule="auto"/>
        <w:rPr>
          <w:rFonts w:ascii="Arial" w:hAnsi="Arial" w:cs="Arial"/>
          <w:b/>
          <w:sz w:val="24"/>
          <w:szCs w:val="24"/>
        </w:rPr>
      </w:pPr>
      <w:r>
        <w:rPr>
          <w:rFonts w:ascii="Arial" w:hAnsi="Arial" w:cs="Arial"/>
          <w:b/>
          <w:sz w:val="24"/>
          <w:szCs w:val="24"/>
        </w:rPr>
        <w:t>MASUKU NONHLANHLA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Plaintiff</w:t>
      </w:r>
    </w:p>
    <w:p w14:paraId="79D40DDF" w14:textId="7E4DF715" w:rsidR="00493DE4" w:rsidRDefault="00A73328" w:rsidP="00A73328">
      <w:pPr>
        <w:rPr>
          <w:rFonts w:ascii="Arial" w:hAnsi="Arial" w:cs="Arial"/>
          <w:b/>
        </w:rPr>
      </w:pPr>
      <w:r w:rsidRPr="00530284">
        <w:rPr>
          <w:rFonts w:ascii="Arial" w:hAnsi="Arial" w:cs="Arial"/>
          <w:b/>
        </w:rPr>
        <w:t>A</w:t>
      </w:r>
      <w:r w:rsidR="00493DE4" w:rsidRPr="00530284">
        <w:rPr>
          <w:rFonts w:ascii="Arial" w:hAnsi="Arial" w:cs="Arial"/>
          <w:b/>
        </w:rPr>
        <w:t>nd</w:t>
      </w:r>
    </w:p>
    <w:p w14:paraId="1C1E3E9C" w14:textId="100CD705" w:rsidR="00A73328" w:rsidRDefault="00A73328" w:rsidP="00A73328">
      <w:pPr>
        <w:rPr>
          <w:rFonts w:ascii="Arial" w:hAnsi="Arial" w:cs="Arial"/>
          <w:b/>
        </w:rPr>
      </w:pPr>
    </w:p>
    <w:p w14:paraId="57A18DFE" w14:textId="4EDB8452" w:rsidR="00A73328" w:rsidRPr="00A73328" w:rsidRDefault="00A73328" w:rsidP="00A73328">
      <w:pPr>
        <w:rPr>
          <w:rFonts w:ascii="Arial" w:hAnsi="Arial" w:cs="Arial"/>
          <w:b/>
        </w:rPr>
      </w:pPr>
      <w:r>
        <w:rPr>
          <w:rFonts w:ascii="Arial" w:hAnsi="Arial" w:cs="Arial"/>
          <w:b/>
        </w:rPr>
        <w:t>EKURHULENI METROPOLITAN MUNICIPALITY</w:t>
      </w:r>
      <w:r>
        <w:rPr>
          <w:rFonts w:ascii="Arial" w:hAnsi="Arial" w:cs="Arial"/>
          <w:b/>
        </w:rPr>
        <w:tab/>
      </w:r>
      <w:r>
        <w:rPr>
          <w:rFonts w:ascii="Arial" w:hAnsi="Arial" w:cs="Arial"/>
          <w:b/>
        </w:rPr>
        <w:tab/>
      </w:r>
      <w:r>
        <w:rPr>
          <w:rFonts w:ascii="Arial" w:hAnsi="Arial" w:cs="Arial"/>
          <w:b/>
        </w:rPr>
        <w:tab/>
        <w:t>Defendant</w:t>
      </w:r>
    </w:p>
    <w:p w14:paraId="572529D5" w14:textId="77777777" w:rsidR="00493DE4" w:rsidRPr="00530284" w:rsidRDefault="00493DE4" w:rsidP="00493DE4">
      <w:pPr>
        <w:pStyle w:val="NoSpacing"/>
        <w:rPr>
          <w:b/>
        </w:rPr>
      </w:pPr>
      <w:r w:rsidRPr="00530284">
        <w:rPr>
          <w:b/>
        </w:rPr>
        <w:t xml:space="preserve">                </w:t>
      </w:r>
    </w:p>
    <w:p w14:paraId="7AB10996" w14:textId="2932FBBD" w:rsidR="00493DE4" w:rsidRDefault="00493DE4" w:rsidP="00493DE4">
      <w:pPr>
        <w:spacing w:line="360" w:lineRule="auto"/>
        <w:rPr>
          <w:rFonts w:ascii="Arial" w:hAnsi="Arial" w:cs="Arial"/>
          <w:b/>
          <w:sz w:val="24"/>
          <w:szCs w:val="24"/>
        </w:rPr>
      </w:pPr>
    </w:p>
    <w:p w14:paraId="48F73392" w14:textId="7D577E5F" w:rsidR="00B625DB" w:rsidRDefault="00493DE4" w:rsidP="00B625DB">
      <w:pPr>
        <w:spacing w:line="480" w:lineRule="auto"/>
        <w:rPr>
          <w:rFonts w:ascii="Arial" w:hAnsi="Arial" w:cs="Arial"/>
          <w:sz w:val="24"/>
          <w:szCs w:val="24"/>
        </w:rPr>
      </w:pPr>
      <w:r>
        <w:rPr>
          <w:rFonts w:ascii="Arial" w:hAnsi="Arial" w:cs="Arial"/>
          <w:sz w:val="24"/>
          <w:szCs w:val="24"/>
        </w:rPr>
        <w:t xml:space="preserve">This judgment has been delivered by </w:t>
      </w:r>
      <w:r w:rsidR="00A73328">
        <w:rPr>
          <w:rFonts w:ascii="Arial" w:hAnsi="Arial" w:cs="Arial"/>
          <w:sz w:val="24"/>
          <w:szCs w:val="24"/>
        </w:rPr>
        <w:t xml:space="preserve">uploading it to the </w:t>
      </w:r>
      <w:proofErr w:type="spellStart"/>
      <w:r w:rsidR="00A73328">
        <w:rPr>
          <w:rFonts w:ascii="Arial" w:hAnsi="Arial" w:cs="Arial"/>
          <w:sz w:val="24"/>
          <w:szCs w:val="24"/>
        </w:rPr>
        <w:t>caselines</w:t>
      </w:r>
      <w:proofErr w:type="spellEnd"/>
      <w:r>
        <w:rPr>
          <w:rFonts w:ascii="Arial" w:hAnsi="Arial" w:cs="Arial"/>
          <w:sz w:val="24"/>
          <w:szCs w:val="24"/>
        </w:rPr>
        <w:t xml:space="preserve"> digital data base of the Gauteng Division of the High Court of South Africa, Johannesburg, and by email to the attorneys of record of the parties. The deemed date and time of the delivery is </w:t>
      </w:r>
      <w:r w:rsidR="00AD1F7E">
        <w:rPr>
          <w:rFonts w:ascii="Arial" w:hAnsi="Arial" w:cs="Arial"/>
          <w:sz w:val="24"/>
          <w:szCs w:val="24"/>
        </w:rPr>
        <w:t xml:space="preserve">10H00 </w:t>
      </w:r>
      <w:r w:rsidR="00067F75">
        <w:rPr>
          <w:rFonts w:ascii="Arial" w:hAnsi="Arial" w:cs="Arial"/>
          <w:sz w:val="24"/>
          <w:szCs w:val="24"/>
        </w:rPr>
        <w:t>on</w:t>
      </w:r>
      <w:r w:rsidR="00AD1F7E">
        <w:rPr>
          <w:rFonts w:ascii="Arial" w:hAnsi="Arial" w:cs="Arial"/>
          <w:sz w:val="24"/>
          <w:szCs w:val="24"/>
        </w:rPr>
        <w:t xml:space="preserve"> </w:t>
      </w:r>
      <w:r w:rsidR="00E1053E">
        <w:rPr>
          <w:rFonts w:ascii="Arial" w:hAnsi="Arial" w:cs="Arial"/>
          <w:sz w:val="24"/>
          <w:szCs w:val="24"/>
        </w:rPr>
        <w:t>8</w:t>
      </w:r>
      <w:r w:rsidR="00AD1F7E">
        <w:rPr>
          <w:rFonts w:ascii="Arial" w:hAnsi="Arial" w:cs="Arial"/>
          <w:sz w:val="24"/>
          <w:szCs w:val="24"/>
        </w:rPr>
        <w:t xml:space="preserve"> November 2023</w:t>
      </w:r>
    </w:p>
    <w:p w14:paraId="0387957F" w14:textId="77777777" w:rsidR="00125F03" w:rsidRDefault="00B625DB" w:rsidP="00B625DB">
      <w:pPr>
        <w:pBdr>
          <w:bottom w:val="single" w:sz="12" w:space="1" w:color="auto"/>
        </w:pBdr>
        <w:spacing w:line="480" w:lineRule="auto"/>
        <w:rPr>
          <w:rFonts w:ascii="Arial" w:hAnsi="Arial" w:cs="Arial"/>
          <w:b/>
          <w:sz w:val="24"/>
          <w:szCs w:val="24"/>
        </w:rPr>
      </w:pPr>
      <w:r w:rsidRPr="00B625DB">
        <w:rPr>
          <w:rFonts w:ascii="Arial" w:hAnsi="Arial" w:cs="Arial"/>
          <w:b/>
          <w:sz w:val="24"/>
          <w:szCs w:val="24"/>
        </w:rPr>
        <w:lastRenderedPageBreak/>
        <w:t>___________________________________________________________________</w:t>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r>
    </w:p>
    <w:p w14:paraId="394484A5" w14:textId="7AF7EB23" w:rsidR="00B625DB" w:rsidRPr="00B625DB" w:rsidRDefault="00125F03" w:rsidP="00B625DB">
      <w:pPr>
        <w:pBdr>
          <w:bottom w:val="single" w:sz="12" w:space="1" w:color="auto"/>
        </w:pBdr>
        <w:spacing w:line="480" w:lineRule="auto"/>
        <w:rPr>
          <w:rFonts w:ascii="Arial" w:hAnsi="Arial" w:cs="Arial"/>
          <w:b/>
          <w:sz w:val="24"/>
          <w:szCs w:val="24"/>
        </w:rPr>
      </w:pPr>
      <w:r>
        <w:rPr>
          <w:rFonts w:ascii="Arial" w:hAnsi="Arial" w:cs="Arial"/>
          <w:b/>
          <w:sz w:val="24"/>
          <w:szCs w:val="24"/>
        </w:rPr>
        <w:t xml:space="preserve">                                                    </w:t>
      </w:r>
      <w:r w:rsidR="00B625DB" w:rsidRPr="00B625DB">
        <w:rPr>
          <w:rFonts w:ascii="Arial" w:hAnsi="Arial" w:cs="Arial"/>
          <w:b/>
          <w:sz w:val="24"/>
          <w:szCs w:val="24"/>
        </w:rPr>
        <w:t>JUDGMENT</w:t>
      </w:r>
      <w:r>
        <w:rPr>
          <w:rFonts w:ascii="Arial" w:hAnsi="Arial" w:cs="Arial"/>
          <w:b/>
          <w:sz w:val="24"/>
          <w:szCs w:val="24"/>
        </w:rPr>
        <w:br/>
      </w:r>
    </w:p>
    <w:p w14:paraId="7047A1ED" w14:textId="77777777" w:rsidR="0025461D" w:rsidRDefault="0025461D" w:rsidP="00B625DB">
      <w:pPr>
        <w:spacing w:line="480" w:lineRule="auto"/>
        <w:rPr>
          <w:rFonts w:ascii="Arial" w:hAnsi="Arial" w:cs="Arial"/>
          <w:b/>
          <w:sz w:val="24"/>
          <w:szCs w:val="24"/>
        </w:rPr>
      </w:pPr>
    </w:p>
    <w:p w14:paraId="2CE2F5AE" w14:textId="0AF83CF8" w:rsidR="006A7FBA" w:rsidRPr="00A73328" w:rsidRDefault="00A73328" w:rsidP="00B625DB">
      <w:pPr>
        <w:spacing w:line="480" w:lineRule="auto"/>
        <w:rPr>
          <w:rFonts w:ascii="Arial" w:hAnsi="Arial" w:cs="Arial"/>
          <w:b/>
          <w:sz w:val="24"/>
          <w:szCs w:val="24"/>
        </w:rPr>
      </w:pPr>
      <w:r w:rsidRPr="00A73328">
        <w:rPr>
          <w:rFonts w:ascii="Arial" w:hAnsi="Arial" w:cs="Arial"/>
          <w:b/>
          <w:sz w:val="24"/>
          <w:szCs w:val="24"/>
        </w:rPr>
        <w:t>Sutherland DJP:</w:t>
      </w:r>
    </w:p>
    <w:p w14:paraId="19F7D015" w14:textId="77777777" w:rsidR="006A7FBA" w:rsidRDefault="006A7FBA"/>
    <w:p w14:paraId="52EB99D1" w14:textId="6884F76C" w:rsidR="006A7FBA" w:rsidRPr="0082366A" w:rsidRDefault="006A7FBA" w:rsidP="0082366A">
      <w:pPr>
        <w:spacing w:line="360" w:lineRule="auto"/>
        <w:rPr>
          <w:rFonts w:ascii="Arial" w:hAnsi="Arial" w:cs="Arial"/>
          <w:b/>
          <w:i/>
          <w:sz w:val="24"/>
          <w:szCs w:val="24"/>
        </w:rPr>
      </w:pPr>
      <w:r w:rsidRPr="00A73328">
        <w:rPr>
          <w:rFonts w:ascii="Arial" w:hAnsi="Arial" w:cs="Arial"/>
          <w:b/>
          <w:i/>
          <w:sz w:val="24"/>
          <w:szCs w:val="24"/>
        </w:rPr>
        <w:t>Introduction</w:t>
      </w:r>
    </w:p>
    <w:p w14:paraId="3378B8C0" w14:textId="071BE4E8" w:rsidR="000B3D35" w:rsidRPr="0082366A" w:rsidRDefault="0082366A" w:rsidP="0082366A">
      <w:pPr>
        <w:spacing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0B3D35" w:rsidRPr="0082366A">
        <w:rPr>
          <w:rFonts w:ascii="Arial" w:hAnsi="Arial" w:cs="Arial"/>
          <w:sz w:val="24"/>
          <w:szCs w:val="24"/>
        </w:rPr>
        <w:t>The plaintiff is a former employee of the defendant. She was dism</w:t>
      </w:r>
      <w:r w:rsidR="003B285B" w:rsidRPr="0082366A">
        <w:rPr>
          <w:rFonts w:ascii="Arial" w:hAnsi="Arial" w:cs="Arial"/>
          <w:sz w:val="24"/>
          <w:szCs w:val="24"/>
        </w:rPr>
        <w:t>issed. She sued the defendant</w:t>
      </w:r>
      <w:r w:rsidR="00091949" w:rsidRPr="0082366A">
        <w:rPr>
          <w:rFonts w:ascii="Arial" w:hAnsi="Arial" w:cs="Arial"/>
          <w:sz w:val="24"/>
          <w:szCs w:val="24"/>
        </w:rPr>
        <w:t xml:space="preserve"> </w:t>
      </w:r>
      <w:r w:rsidR="003B285B" w:rsidRPr="0082366A">
        <w:rPr>
          <w:rFonts w:ascii="Arial" w:hAnsi="Arial" w:cs="Arial"/>
          <w:sz w:val="24"/>
          <w:szCs w:val="24"/>
        </w:rPr>
        <w:t>on an alleged br</w:t>
      </w:r>
      <w:r w:rsidR="00091949" w:rsidRPr="0082366A">
        <w:rPr>
          <w:rFonts w:ascii="Arial" w:hAnsi="Arial" w:cs="Arial"/>
          <w:sz w:val="24"/>
          <w:szCs w:val="24"/>
        </w:rPr>
        <w:t>each of the terms of her</w:t>
      </w:r>
      <w:r w:rsidR="000B3D35" w:rsidRPr="0082366A">
        <w:rPr>
          <w:rFonts w:ascii="Arial" w:hAnsi="Arial" w:cs="Arial"/>
          <w:sz w:val="24"/>
          <w:szCs w:val="24"/>
        </w:rPr>
        <w:t xml:space="preserve"> employment agreement. Al</w:t>
      </w:r>
      <w:r w:rsidR="00DF3749" w:rsidRPr="0082366A">
        <w:rPr>
          <w:rFonts w:ascii="Arial" w:hAnsi="Arial" w:cs="Arial"/>
          <w:sz w:val="24"/>
          <w:szCs w:val="24"/>
        </w:rPr>
        <w:t>so</w:t>
      </w:r>
      <w:r w:rsidR="00091949" w:rsidRPr="0082366A">
        <w:rPr>
          <w:rFonts w:ascii="Arial" w:hAnsi="Arial" w:cs="Arial"/>
          <w:sz w:val="24"/>
          <w:szCs w:val="24"/>
        </w:rPr>
        <w:t>, she s</w:t>
      </w:r>
      <w:r w:rsidR="00DF3749" w:rsidRPr="0082366A">
        <w:rPr>
          <w:rFonts w:ascii="Arial" w:hAnsi="Arial" w:cs="Arial"/>
          <w:sz w:val="24"/>
          <w:szCs w:val="24"/>
        </w:rPr>
        <w:t>ued the defendant fo</w:t>
      </w:r>
      <w:r w:rsidR="00091949" w:rsidRPr="0082366A">
        <w:rPr>
          <w:rFonts w:ascii="Arial" w:hAnsi="Arial" w:cs="Arial"/>
          <w:sz w:val="24"/>
          <w:szCs w:val="24"/>
        </w:rPr>
        <w:t xml:space="preserve">r injuria in consequence of an alleged unlawful dismissal, </w:t>
      </w:r>
      <w:r w:rsidR="009749F9" w:rsidRPr="0082366A">
        <w:rPr>
          <w:rFonts w:ascii="Arial" w:hAnsi="Arial" w:cs="Arial"/>
          <w:sz w:val="24"/>
          <w:szCs w:val="24"/>
        </w:rPr>
        <w:t>but that claim, I am told from the bar</w:t>
      </w:r>
      <w:r w:rsidR="00E25AC8" w:rsidRPr="0082366A">
        <w:rPr>
          <w:rFonts w:ascii="Arial" w:hAnsi="Arial" w:cs="Arial"/>
          <w:sz w:val="24"/>
          <w:szCs w:val="24"/>
        </w:rPr>
        <w:t xml:space="preserve"> by both </w:t>
      </w:r>
      <w:proofErr w:type="gramStart"/>
      <w:r w:rsidR="00E25AC8" w:rsidRPr="0082366A">
        <w:rPr>
          <w:rFonts w:ascii="Arial" w:hAnsi="Arial" w:cs="Arial"/>
          <w:sz w:val="24"/>
          <w:szCs w:val="24"/>
        </w:rPr>
        <w:t>counsel</w:t>
      </w:r>
      <w:proofErr w:type="gramEnd"/>
      <w:r w:rsidR="009749F9" w:rsidRPr="0082366A">
        <w:rPr>
          <w:rFonts w:ascii="Arial" w:hAnsi="Arial" w:cs="Arial"/>
          <w:sz w:val="24"/>
          <w:szCs w:val="24"/>
        </w:rPr>
        <w:t>, is not being persisted with. The defendant, inter alia</w:t>
      </w:r>
      <w:r w:rsidR="0025461D">
        <w:rPr>
          <w:rFonts w:ascii="Arial" w:hAnsi="Arial" w:cs="Arial"/>
          <w:sz w:val="24"/>
          <w:szCs w:val="24"/>
        </w:rPr>
        <w:t>,</w:t>
      </w:r>
      <w:r w:rsidR="009749F9" w:rsidRPr="0082366A">
        <w:rPr>
          <w:rFonts w:ascii="Arial" w:hAnsi="Arial" w:cs="Arial"/>
          <w:sz w:val="24"/>
          <w:szCs w:val="24"/>
        </w:rPr>
        <w:t xml:space="preserve"> has pleaded that the High Court has no jurisdiction to hear the plaintiffs claim.</w:t>
      </w:r>
    </w:p>
    <w:p w14:paraId="39545EB7" w14:textId="77777777" w:rsidR="009749F9" w:rsidRDefault="009749F9" w:rsidP="009749F9">
      <w:pPr>
        <w:pStyle w:val="ListParagraph"/>
        <w:spacing w:line="480" w:lineRule="auto"/>
        <w:ind w:left="360"/>
      </w:pPr>
    </w:p>
    <w:p w14:paraId="74C25876" w14:textId="43343592" w:rsidR="009436B1" w:rsidRPr="0082366A" w:rsidRDefault="0082366A" w:rsidP="0082366A">
      <w:pPr>
        <w:spacing w:line="360" w:lineRule="auto"/>
        <w:rPr>
          <w:rFonts w:ascii="Arial" w:hAnsi="Arial" w:cs="Arial"/>
          <w:sz w:val="24"/>
          <w:szCs w:val="24"/>
        </w:rPr>
      </w:pPr>
      <w:r w:rsidRPr="0082366A">
        <w:rPr>
          <w:rFonts w:ascii="Arial" w:hAnsi="Arial" w:cs="Arial"/>
          <w:sz w:val="24"/>
          <w:szCs w:val="24"/>
        </w:rPr>
        <w:t>[2]</w:t>
      </w:r>
      <w:r w:rsidRPr="0082366A">
        <w:rPr>
          <w:rFonts w:ascii="Arial" w:hAnsi="Arial" w:cs="Arial"/>
          <w:sz w:val="24"/>
          <w:szCs w:val="24"/>
        </w:rPr>
        <w:tab/>
      </w:r>
      <w:r w:rsidR="00004B9F" w:rsidRPr="0082366A">
        <w:rPr>
          <w:rFonts w:ascii="Arial" w:hAnsi="Arial" w:cs="Arial"/>
          <w:sz w:val="24"/>
          <w:szCs w:val="24"/>
        </w:rPr>
        <w:t>By agreement of the parties a rule 33(4) order was made thus:</w:t>
      </w:r>
    </w:p>
    <w:p w14:paraId="5EC899BB" w14:textId="40025D31" w:rsidR="00004B9F" w:rsidRPr="00717B6D" w:rsidRDefault="00717B6D" w:rsidP="00717B6D">
      <w:pPr>
        <w:spacing w:line="360" w:lineRule="auto"/>
        <w:ind w:left="1440" w:hanging="360"/>
        <w:rPr>
          <w:rFonts w:ascii="Arial" w:hAnsi="Arial" w:cs="Arial"/>
          <w:sz w:val="24"/>
          <w:szCs w:val="24"/>
        </w:rPr>
      </w:pPr>
      <w:r w:rsidRPr="0082366A">
        <w:rPr>
          <w:rFonts w:ascii="Arial" w:hAnsi="Arial" w:cs="Arial"/>
          <w:sz w:val="24"/>
          <w:szCs w:val="24"/>
        </w:rPr>
        <w:t>(1)</w:t>
      </w:r>
      <w:r w:rsidRPr="0082366A">
        <w:rPr>
          <w:rFonts w:ascii="Arial" w:hAnsi="Arial" w:cs="Arial"/>
          <w:sz w:val="24"/>
          <w:szCs w:val="24"/>
        </w:rPr>
        <w:tab/>
      </w:r>
      <w:r w:rsidR="00004B9F" w:rsidRPr="00717B6D">
        <w:rPr>
          <w:rFonts w:ascii="Arial" w:hAnsi="Arial" w:cs="Arial"/>
          <w:sz w:val="24"/>
          <w:szCs w:val="24"/>
        </w:rPr>
        <w:t xml:space="preserve">The claim arising from the alleged breach by the defendant of the employment contract between the plaintiff and the defendant shall </w:t>
      </w:r>
      <w:r w:rsidR="00CA061D" w:rsidRPr="00717B6D">
        <w:rPr>
          <w:rFonts w:ascii="Arial" w:hAnsi="Arial" w:cs="Arial"/>
          <w:sz w:val="24"/>
          <w:szCs w:val="24"/>
        </w:rPr>
        <w:t xml:space="preserve">be </w:t>
      </w:r>
      <w:r w:rsidR="00004B9F" w:rsidRPr="00717B6D">
        <w:rPr>
          <w:rFonts w:ascii="Arial" w:hAnsi="Arial" w:cs="Arial"/>
          <w:sz w:val="24"/>
          <w:szCs w:val="24"/>
        </w:rPr>
        <w:t>dealt with thus:</w:t>
      </w:r>
    </w:p>
    <w:p w14:paraId="50BE864E" w14:textId="1D126E6B" w:rsidR="00004B9F" w:rsidRPr="00717B6D" w:rsidRDefault="00717B6D" w:rsidP="00717B6D">
      <w:pPr>
        <w:spacing w:line="360" w:lineRule="auto"/>
        <w:ind w:left="2160" w:hanging="720"/>
        <w:rPr>
          <w:rFonts w:ascii="Arial" w:hAnsi="Arial" w:cs="Arial"/>
          <w:sz w:val="24"/>
          <w:szCs w:val="24"/>
        </w:rPr>
      </w:pPr>
      <w:r w:rsidRPr="0082366A">
        <w:rPr>
          <w:rFonts w:ascii="Arial" w:hAnsi="Arial" w:cs="Arial"/>
          <w:sz w:val="24"/>
          <w:szCs w:val="24"/>
        </w:rPr>
        <w:t>(</w:t>
      </w:r>
      <w:proofErr w:type="spellStart"/>
      <w:r w:rsidRPr="0082366A">
        <w:rPr>
          <w:rFonts w:ascii="Arial" w:hAnsi="Arial" w:cs="Arial"/>
          <w:sz w:val="24"/>
          <w:szCs w:val="24"/>
        </w:rPr>
        <w:t>i</w:t>
      </w:r>
      <w:proofErr w:type="spellEnd"/>
      <w:r w:rsidRPr="0082366A">
        <w:rPr>
          <w:rFonts w:ascii="Arial" w:hAnsi="Arial" w:cs="Arial"/>
          <w:sz w:val="24"/>
          <w:szCs w:val="24"/>
        </w:rPr>
        <w:t>)</w:t>
      </w:r>
      <w:r w:rsidRPr="0082366A">
        <w:rPr>
          <w:rFonts w:ascii="Arial" w:hAnsi="Arial" w:cs="Arial"/>
          <w:sz w:val="24"/>
          <w:szCs w:val="24"/>
        </w:rPr>
        <w:tab/>
      </w:r>
      <w:r w:rsidR="00004B9F" w:rsidRPr="00717B6D">
        <w:rPr>
          <w:rFonts w:ascii="Arial" w:hAnsi="Arial" w:cs="Arial"/>
          <w:sz w:val="24"/>
          <w:szCs w:val="24"/>
        </w:rPr>
        <w:t xml:space="preserve">The question of </w:t>
      </w:r>
      <w:proofErr w:type="gramStart"/>
      <w:r w:rsidR="00004B9F" w:rsidRPr="00717B6D">
        <w:rPr>
          <w:rFonts w:ascii="Arial" w:hAnsi="Arial" w:cs="Arial"/>
          <w:sz w:val="24"/>
          <w:szCs w:val="24"/>
        </w:rPr>
        <w:t>whether or not</w:t>
      </w:r>
      <w:proofErr w:type="gramEnd"/>
      <w:r w:rsidR="00004B9F" w:rsidRPr="00717B6D">
        <w:rPr>
          <w:rFonts w:ascii="Arial" w:hAnsi="Arial" w:cs="Arial"/>
          <w:sz w:val="24"/>
          <w:szCs w:val="24"/>
        </w:rPr>
        <w:t xml:space="preserve"> the High court has jurisdiction to hear the claim of the plaintiff shall be separated and decided.</w:t>
      </w:r>
    </w:p>
    <w:p w14:paraId="38334357" w14:textId="1789F2F6" w:rsidR="00004B9F" w:rsidRPr="00717B6D" w:rsidRDefault="00717B6D" w:rsidP="00717B6D">
      <w:pPr>
        <w:spacing w:line="360" w:lineRule="auto"/>
        <w:ind w:left="2160" w:hanging="720"/>
        <w:rPr>
          <w:rFonts w:ascii="Arial" w:hAnsi="Arial" w:cs="Arial"/>
          <w:sz w:val="24"/>
          <w:szCs w:val="24"/>
        </w:rPr>
      </w:pPr>
      <w:r w:rsidRPr="0082366A">
        <w:rPr>
          <w:rFonts w:ascii="Arial" w:hAnsi="Arial" w:cs="Arial"/>
          <w:sz w:val="24"/>
          <w:szCs w:val="24"/>
        </w:rPr>
        <w:t>(ii)</w:t>
      </w:r>
      <w:r w:rsidRPr="0082366A">
        <w:rPr>
          <w:rFonts w:ascii="Arial" w:hAnsi="Arial" w:cs="Arial"/>
          <w:sz w:val="24"/>
          <w:szCs w:val="24"/>
        </w:rPr>
        <w:tab/>
      </w:r>
      <w:r w:rsidR="00004B9F" w:rsidRPr="00717B6D">
        <w:rPr>
          <w:rFonts w:ascii="Arial" w:hAnsi="Arial" w:cs="Arial"/>
          <w:sz w:val="24"/>
          <w:szCs w:val="24"/>
        </w:rPr>
        <w:t>All other issues are deferred.</w:t>
      </w:r>
    </w:p>
    <w:p w14:paraId="21AB34C1" w14:textId="5F902029" w:rsidR="00004B9F" w:rsidRPr="00717B6D" w:rsidRDefault="00717B6D" w:rsidP="00717B6D">
      <w:pPr>
        <w:spacing w:line="360" w:lineRule="auto"/>
        <w:ind w:left="1440" w:hanging="360"/>
        <w:rPr>
          <w:rFonts w:ascii="Arial" w:hAnsi="Arial" w:cs="Arial"/>
          <w:sz w:val="24"/>
          <w:szCs w:val="24"/>
        </w:rPr>
      </w:pPr>
      <w:r w:rsidRPr="0082366A">
        <w:rPr>
          <w:rFonts w:ascii="Arial" w:hAnsi="Arial" w:cs="Arial"/>
          <w:sz w:val="24"/>
          <w:szCs w:val="24"/>
        </w:rPr>
        <w:t>(2)</w:t>
      </w:r>
      <w:r w:rsidRPr="0082366A">
        <w:rPr>
          <w:rFonts w:ascii="Arial" w:hAnsi="Arial" w:cs="Arial"/>
          <w:sz w:val="24"/>
          <w:szCs w:val="24"/>
        </w:rPr>
        <w:tab/>
      </w:r>
      <w:r w:rsidR="00004B9F" w:rsidRPr="00717B6D">
        <w:rPr>
          <w:rFonts w:ascii="Arial" w:hAnsi="Arial" w:cs="Arial"/>
          <w:sz w:val="24"/>
          <w:szCs w:val="24"/>
        </w:rPr>
        <w:t>If the judgment is that the High Court has not got jurisdiction, th</w:t>
      </w:r>
      <w:r w:rsidR="00E74B00" w:rsidRPr="00717B6D">
        <w:rPr>
          <w:rFonts w:ascii="Arial" w:hAnsi="Arial" w:cs="Arial"/>
          <w:sz w:val="24"/>
          <w:szCs w:val="24"/>
        </w:rPr>
        <w:t>e plaintiffs claim shall b</w:t>
      </w:r>
      <w:r w:rsidR="00004B9F" w:rsidRPr="00717B6D">
        <w:rPr>
          <w:rFonts w:ascii="Arial" w:hAnsi="Arial" w:cs="Arial"/>
          <w:sz w:val="24"/>
          <w:szCs w:val="24"/>
        </w:rPr>
        <w:t>e dismissed.</w:t>
      </w:r>
    </w:p>
    <w:p w14:paraId="401382EA" w14:textId="6A0D0907" w:rsidR="00004B9F" w:rsidRPr="00717B6D" w:rsidRDefault="00717B6D" w:rsidP="00717B6D">
      <w:pPr>
        <w:spacing w:line="360" w:lineRule="auto"/>
        <w:ind w:left="1440" w:hanging="360"/>
        <w:rPr>
          <w:rFonts w:ascii="Arial" w:hAnsi="Arial" w:cs="Arial"/>
          <w:sz w:val="24"/>
          <w:szCs w:val="24"/>
        </w:rPr>
      </w:pPr>
      <w:r w:rsidRPr="0082366A">
        <w:rPr>
          <w:rFonts w:ascii="Arial" w:hAnsi="Arial" w:cs="Arial"/>
          <w:sz w:val="24"/>
          <w:szCs w:val="24"/>
        </w:rPr>
        <w:t>(3)</w:t>
      </w:r>
      <w:r w:rsidRPr="0082366A">
        <w:rPr>
          <w:rFonts w:ascii="Arial" w:hAnsi="Arial" w:cs="Arial"/>
          <w:sz w:val="24"/>
          <w:szCs w:val="24"/>
        </w:rPr>
        <w:tab/>
      </w:r>
      <w:r w:rsidR="00004B9F" w:rsidRPr="00717B6D">
        <w:rPr>
          <w:rFonts w:ascii="Arial" w:hAnsi="Arial" w:cs="Arial"/>
          <w:sz w:val="24"/>
          <w:szCs w:val="24"/>
        </w:rPr>
        <w:t>If the judgment is that the high court has jurisdiction, the trial shall proceed.</w:t>
      </w:r>
    </w:p>
    <w:p w14:paraId="47922AB1" w14:textId="77777777" w:rsidR="00E74B00" w:rsidRDefault="00E74B00" w:rsidP="00E74B00">
      <w:pPr>
        <w:pStyle w:val="ListParagraph"/>
        <w:spacing w:line="480" w:lineRule="auto"/>
      </w:pPr>
    </w:p>
    <w:p w14:paraId="3A670CFC" w14:textId="4B4212B0" w:rsidR="004579DC" w:rsidRPr="0082366A" w:rsidRDefault="0082366A" w:rsidP="0082366A">
      <w:pPr>
        <w:spacing w:line="360" w:lineRule="auto"/>
        <w:rPr>
          <w:rFonts w:ascii="Arial" w:hAnsi="Arial" w:cs="Arial"/>
          <w:b/>
          <w:sz w:val="24"/>
          <w:szCs w:val="24"/>
        </w:rPr>
      </w:pPr>
      <w:r>
        <w:rPr>
          <w:rFonts w:ascii="Arial" w:hAnsi="Arial" w:cs="Arial"/>
          <w:sz w:val="24"/>
          <w:szCs w:val="24"/>
        </w:rPr>
        <w:t>[3]</w:t>
      </w:r>
      <w:r>
        <w:rPr>
          <w:rFonts w:ascii="Arial" w:hAnsi="Arial" w:cs="Arial"/>
          <w:sz w:val="24"/>
          <w:szCs w:val="24"/>
        </w:rPr>
        <w:tab/>
      </w:r>
      <w:r w:rsidR="00E74B00" w:rsidRPr="0082366A">
        <w:rPr>
          <w:rFonts w:ascii="Arial" w:hAnsi="Arial" w:cs="Arial"/>
          <w:sz w:val="24"/>
          <w:szCs w:val="24"/>
        </w:rPr>
        <w:t>Accordingly</w:t>
      </w:r>
      <w:r w:rsidR="00BF19FC" w:rsidRPr="0082366A">
        <w:rPr>
          <w:rFonts w:ascii="Arial" w:hAnsi="Arial" w:cs="Arial"/>
          <w:sz w:val="24"/>
          <w:szCs w:val="24"/>
        </w:rPr>
        <w:t>,</w:t>
      </w:r>
      <w:r w:rsidR="00E74B00" w:rsidRPr="0082366A">
        <w:rPr>
          <w:rFonts w:ascii="Arial" w:hAnsi="Arial" w:cs="Arial"/>
          <w:sz w:val="24"/>
          <w:szCs w:val="24"/>
        </w:rPr>
        <w:t xml:space="preserve"> I heard argument on this question</w:t>
      </w:r>
      <w:r w:rsidR="004579DC" w:rsidRPr="0082366A">
        <w:rPr>
          <w:rFonts w:ascii="Arial" w:hAnsi="Arial" w:cs="Arial"/>
          <w:sz w:val="24"/>
          <w:szCs w:val="24"/>
        </w:rPr>
        <w:t>.</w:t>
      </w:r>
    </w:p>
    <w:p w14:paraId="4F4D8578" w14:textId="77777777" w:rsidR="0082366A" w:rsidRDefault="0082366A" w:rsidP="0082366A">
      <w:pPr>
        <w:spacing w:line="360" w:lineRule="auto"/>
        <w:rPr>
          <w:rFonts w:ascii="Arial" w:hAnsi="Arial" w:cs="Arial"/>
          <w:b/>
          <w:i/>
          <w:sz w:val="24"/>
          <w:szCs w:val="24"/>
        </w:rPr>
      </w:pPr>
    </w:p>
    <w:p w14:paraId="4122F3BA" w14:textId="2345FED2" w:rsidR="009436B1" w:rsidRPr="0082366A" w:rsidRDefault="006A7FBA" w:rsidP="0082366A">
      <w:pPr>
        <w:spacing w:line="360" w:lineRule="auto"/>
        <w:rPr>
          <w:rFonts w:ascii="Arial" w:hAnsi="Arial" w:cs="Arial"/>
          <w:b/>
          <w:i/>
          <w:sz w:val="24"/>
          <w:szCs w:val="24"/>
        </w:rPr>
      </w:pPr>
      <w:r w:rsidRPr="0082366A">
        <w:rPr>
          <w:rFonts w:ascii="Arial" w:hAnsi="Arial" w:cs="Arial"/>
          <w:b/>
          <w:i/>
          <w:sz w:val="24"/>
          <w:szCs w:val="24"/>
        </w:rPr>
        <w:t>The jurisdictional issue</w:t>
      </w:r>
    </w:p>
    <w:p w14:paraId="74ECEBA7" w14:textId="2E168B6C" w:rsidR="009436B1" w:rsidRPr="007642AC" w:rsidRDefault="007642AC" w:rsidP="007642AC">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6A7FBA" w:rsidRPr="007642AC">
        <w:rPr>
          <w:rFonts w:ascii="Arial" w:hAnsi="Arial" w:cs="Arial"/>
          <w:sz w:val="24"/>
          <w:szCs w:val="24"/>
        </w:rPr>
        <w:t xml:space="preserve">The controversy </w:t>
      </w:r>
      <w:proofErr w:type="gramStart"/>
      <w:r w:rsidR="006A7FBA" w:rsidRPr="007642AC">
        <w:rPr>
          <w:rFonts w:ascii="Arial" w:hAnsi="Arial" w:cs="Arial"/>
          <w:sz w:val="24"/>
          <w:szCs w:val="24"/>
        </w:rPr>
        <w:t>is located in</w:t>
      </w:r>
      <w:proofErr w:type="gramEnd"/>
      <w:r w:rsidR="006A7FBA" w:rsidRPr="007642AC">
        <w:rPr>
          <w:rFonts w:ascii="Arial" w:hAnsi="Arial" w:cs="Arial"/>
          <w:sz w:val="24"/>
          <w:szCs w:val="24"/>
        </w:rPr>
        <w:t xml:space="preserve"> the jurisprudence that reserves certain types of claims for the fora created by the </w:t>
      </w:r>
      <w:r w:rsidR="00580A89">
        <w:rPr>
          <w:rFonts w:ascii="Arial" w:hAnsi="Arial" w:cs="Arial"/>
          <w:sz w:val="24"/>
          <w:szCs w:val="24"/>
        </w:rPr>
        <w:t>L</w:t>
      </w:r>
      <w:r w:rsidR="006A7FBA" w:rsidRPr="007642AC">
        <w:rPr>
          <w:rFonts w:ascii="Arial" w:hAnsi="Arial" w:cs="Arial"/>
          <w:sz w:val="24"/>
          <w:szCs w:val="24"/>
        </w:rPr>
        <w:t xml:space="preserve">abour Relations Act 61 of 1995 (LRA) and </w:t>
      </w:r>
      <w:r w:rsidR="006A316F" w:rsidRPr="007642AC">
        <w:rPr>
          <w:rFonts w:ascii="Arial" w:hAnsi="Arial" w:cs="Arial"/>
          <w:sz w:val="24"/>
          <w:szCs w:val="24"/>
        </w:rPr>
        <w:t xml:space="preserve">which, </w:t>
      </w:r>
      <w:r w:rsidR="006A7FBA" w:rsidRPr="007642AC">
        <w:rPr>
          <w:rFonts w:ascii="Arial" w:hAnsi="Arial" w:cs="Arial"/>
          <w:sz w:val="24"/>
          <w:szCs w:val="24"/>
        </w:rPr>
        <w:t>in other respects</w:t>
      </w:r>
      <w:r w:rsidR="006A316F" w:rsidRPr="007642AC">
        <w:rPr>
          <w:rFonts w:ascii="Arial" w:hAnsi="Arial" w:cs="Arial"/>
          <w:sz w:val="24"/>
          <w:szCs w:val="24"/>
        </w:rPr>
        <w:t>,</w:t>
      </w:r>
      <w:r w:rsidR="006A7FBA" w:rsidRPr="007642AC">
        <w:rPr>
          <w:rFonts w:ascii="Arial" w:hAnsi="Arial" w:cs="Arial"/>
          <w:sz w:val="24"/>
          <w:szCs w:val="24"/>
        </w:rPr>
        <w:t xml:space="preserve"> </w:t>
      </w:r>
      <w:r w:rsidR="000C6253" w:rsidRPr="007642AC">
        <w:rPr>
          <w:rFonts w:ascii="Arial" w:hAnsi="Arial" w:cs="Arial"/>
          <w:sz w:val="24"/>
          <w:szCs w:val="24"/>
        </w:rPr>
        <w:t>allows for concurrent jurisdiction between the Labour Court and the High court</w:t>
      </w:r>
      <w:r w:rsidR="006A316F" w:rsidRPr="007642AC">
        <w:rPr>
          <w:rFonts w:ascii="Arial" w:hAnsi="Arial" w:cs="Arial"/>
          <w:sz w:val="24"/>
          <w:szCs w:val="24"/>
        </w:rPr>
        <w:t xml:space="preserve"> in </w:t>
      </w:r>
      <w:r w:rsidR="00580A89">
        <w:rPr>
          <w:rFonts w:ascii="Arial" w:hAnsi="Arial" w:cs="Arial"/>
          <w:sz w:val="24"/>
          <w:szCs w:val="24"/>
        </w:rPr>
        <w:t xml:space="preserve">certain </w:t>
      </w:r>
      <w:r w:rsidR="006A316F" w:rsidRPr="007642AC">
        <w:rPr>
          <w:rFonts w:ascii="Arial" w:hAnsi="Arial" w:cs="Arial"/>
          <w:sz w:val="24"/>
          <w:szCs w:val="24"/>
        </w:rPr>
        <w:t>labour matters</w:t>
      </w:r>
      <w:r w:rsidR="000C6253" w:rsidRPr="007642AC">
        <w:rPr>
          <w:rFonts w:ascii="Arial" w:hAnsi="Arial" w:cs="Arial"/>
          <w:sz w:val="24"/>
          <w:szCs w:val="24"/>
        </w:rPr>
        <w:t>.</w:t>
      </w:r>
      <w:r w:rsidR="00706A4A" w:rsidRPr="007642AC">
        <w:rPr>
          <w:rFonts w:ascii="Arial" w:hAnsi="Arial" w:cs="Arial"/>
          <w:sz w:val="24"/>
          <w:szCs w:val="24"/>
        </w:rPr>
        <w:t xml:space="preserve"> It is trite that an employee who is able to allege a cause of action that constitutes a breach of an individual contract of employment may bring such a case to either the High Court or</w:t>
      </w:r>
      <w:r w:rsidR="00927D99" w:rsidRPr="007642AC">
        <w:rPr>
          <w:rFonts w:ascii="Arial" w:hAnsi="Arial" w:cs="Arial"/>
          <w:sz w:val="24"/>
          <w:szCs w:val="24"/>
        </w:rPr>
        <w:t>,</w:t>
      </w:r>
      <w:r w:rsidR="00706A4A" w:rsidRPr="007642AC">
        <w:rPr>
          <w:rFonts w:ascii="Arial" w:hAnsi="Arial" w:cs="Arial"/>
          <w:sz w:val="24"/>
          <w:szCs w:val="24"/>
        </w:rPr>
        <w:t xml:space="preserve"> in te</w:t>
      </w:r>
      <w:r w:rsidR="006A316F" w:rsidRPr="007642AC">
        <w:rPr>
          <w:rFonts w:ascii="Arial" w:hAnsi="Arial" w:cs="Arial"/>
          <w:sz w:val="24"/>
          <w:szCs w:val="24"/>
        </w:rPr>
        <w:t>rms of section 77</w:t>
      </w:r>
      <w:r w:rsidR="003A6A9B" w:rsidRPr="007642AC">
        <w:rPr>
          <w:rFonts w:ascii="Arial" w:hAnsi="Arial" w:cs="Arial"/>
          <w:sz w:val="24"/>
          <w:szCs w:val="24"/>
        </w:rPr>
        <w:t xml:space="preserve">(3) </w:t>
      </w:r>
      <w:r w:rsidR="006A316F" w:rsidRPr="007642AC">
        <w:rPr>
          <w:rFonts w:ascii="Arial" w:hAnsi="Arial" w:cs="Arial"/>
          <w:sz w:val="24"/>
          <w:szCs w:val="24"/>
        </w:rPr>
        <w:t>of the Basic Conditions of Employment Act</w:t>
      </w:r>
      <w:r w:rsidR="00DC1684" w:rsidRPr="007642AC">
        <w:rPr>
          <w:rFonts w:ascii="Arial" w:hAnsi="Arial" w:cs="Arial"/>
          <w:sz w:val="24"/>
          <w:szCs w:val="24"/>
        </w:rPr>
        <w:t xml:space="preserve"> (BCEA)</w:t>
      </w:r>
      <w:r w:rsidR="006A316F" w:rsidRPr="007642AC">
        <w:rPr>
          <w:rFonts w:ascii="Arial" w:hAnsi="Arial" w:cs="Arial"/>
          <w:sz w:val="24"/>
          <w:szCs w:val="24"/>
        </w:rPr>
        <w:t xml:space="preserve"> </w:t>
      </w:r>
      <w:r w:rsidR="00927D99" w:rsidRPr="007642AC">
        <w:rPr>
          <w:rFonts w:ascii="Arial" w:hAnsi="Arial" w:cs="Arial"/>
          <w:sz w:val="24"/>
          <w:szCs w:val="24"/>
        </w:rPr>
        <w:t xml:space="preserve">directly </w:t>
      </w:r>
      <w:r w:rsidR="00706A4A" w:rsidRPr="007642AC">
        <w:rPr>
          <w:rFonts w:ascii="Arial" w:hAnsi="Arial" w:cs="Arial"/>
          <w:sz w:val="24"/>
          <w:szCs w:val="24"/>
        </w:rPr>
        <w:t>to the Labour court</w:t>
      </w:r>
      <w:r w:rsidR="00216659">
        <w:rPr>
          <w:rFonts w:ascii="Arial" w:hAnsi="Arial" w:cs="Arial"/>
          <w:sz w:val="24"/>
          <w:szCs w:val="24"/>
        </w:rPr>
        <w:t>, and need not pursue a statutory remedy through conciliation and arbitration in the Commission for Conciliation Mediation and Arbitration (CCMA).</w:t>
      </w:r>
      <w:r w:rsidR="00706A4A" w:rsidRPr="007642AC">
        <w:rPr>
          <w:rFonts w:ascii="Arial" w:hAnsi="Arial" w:cs="Arial"/>
          <w:sz w:val="24"/>
          <w:szCs w:val="24"/>
        </w:rPr>
        <w:t xml:space="preserve"> </w:t>
      </w:r>
      <w:r w:rsidR="00246C7F" w:rsidRPr="007642AC">
        <w:rPr>
          <w:rFonts w:ascii="Arial" w:hAnsi="Arial" w:cs="Arial"/>
          <w:sz w:val="24"/>
          <w:szCs w:val="24"/>
        </w:rPr>
        <w:t xml:space="preserve"> </w:t>
      </w:r>
    </w:p>
    <w:p w14:paraId="401951A4" w14:textId="77777777" w:rsidR="006A316F" w:rsidRDefault="006A316F" w:rsidP="006A316F">
      <w:pPr>
        <w:pStyle w:val="ListParagraph"/>
        <w:spacing w:line="480" w:lineRule="auto"/>
        <w:ind w:left="360"/>
      </w:pPr>
    </w:p>
    <w:p w14:paraId="265DD0AE" w14:textId="516AD617" w:rsidR="00706A4A" w:rsidRPr="007642AC" w:rsidRDefault="007642AC" w:rsidP="007642AC">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706A4A" w:rsidRPr="007642AC">
        <w:rPr>
          <w:rFonts w:ascii="Arial" w:hAnsi="Arial" w:cs="Arial"/>
          <w:sz w:val="24"/>
          <w:szCs w:val="24"/>
        </w:rPr>
        <w:t xml:space="preserve">However, the jurisdiction of either court is not </w:t>
      </w:r>
      <w:r w:rsidR="00E6441C" w:rsidRPr="007642AC">
        <w:rPr>
          <w:rFonts w:ascii="Arial" w:hAnsi="Arial" w:cs="Arial"/>
          <w:sz w:val="24"/>
          <w:szCs w:val="24"/>
        </w:rPr>
        <w:t xml:space="preserve">automatically </w:t>
      </w:r>
      <w:r w:rsidR="00706A4A" w:rsidRPr="007642AC">
        <w:rPr>
          <w:rFonts w:ascii="Arial" w:hAnsi="Arial" w:cs="Arial"/>
          <w:sz w:val="24"/>
          <w:szCs w:val="24"/>
        </w:rPr>
        <w:t>engaged by a simple allegatio</w:t>
      </w:r>
      <w:r w:rsidR="00246C7F" w:rsidRPr="007642AC">
        <w:rPr>
          <w:rFonts w:ascii="Arial" w:hAnsi="Arial" w:cs="Arial"/>
          <w:sz w:val="24"/>
          <w:szCs w:val="24"/>
        </w:rPr>
        <w:t>n that the plaintiff sues on a</w:t>
      </w:r>
      <w:r w:rsidR="00706A4A" w:rsidRPr="007642AC">
        <w:rPr>
          <w:rFonts w:ascii="Arial" w:hAnsi="Arial" w:cs="Arial"/>
          <w:sz w:val="24"/>
          <w:szCs w:val="24"/>
        </w:rPr>
        <w:t xml:space="preserve"> contact of employment. Rather, the</w:t>
      </w:r>
      <w:r w:rsidR="00706A4A" w:rsidRPr="007642AC">
        <w:rPr>
          <w:rFonts w:ascii="Arial" w:hAnsi="Arial" w:cs="Arial"/>
          <w:i/>
          <w:sz w:val="24"/>
          <w:szCs w:val="24"/>
        </w:rPr>
        <w:t xml:space="preserve"> breach</w:t>
      </w:r>
      <w:r w:rsidR="00706A4A" w:rsidRPr="007642AC">
        <w:rPr>
          <w:rFonts w:ascii="Arial" w:hAnsi="Arial" w:cs="Arial"/>
          <w:sz w:val="24"/>
          <w:szCs w:val="24"/>
        </w:rPr>
        <w:t xml:space="preserve"> which is alleged to have occurred must indeed constitute a breach of the terms of the contract</w:t>
      </w:r>
      <w:r w:rsidR="00246C7F" w:rsidRPr="007642AC">
        <w:rPr>
          <w:rFonts w:ascii="Arial" w:hAnsi="Arial" w:cs="Arial"/>
          <w:sz w:val="24"/>
          <w:szCs w:val="24"/>
        </w:rPr>
        <w:t xml:space="preserve"> and the allegations of fact in the particulars of claim must set out such a case</w:t>
      </w:r>
      <w:r w:rsidR="00706A4A" w:rsidRPr="007642AC">
        <w:rPr>
          <w:rFonts w:ascii="Arial" w:hAnsi="Arial" w:cs="Arial"/>
          <w:sz w:val="24"/>
          <w:szCs w:val="24"/>
        </w:rPr>
        <w:t>.</w:t>
      </w:r>
      <w:r w:rsidR="007F5C0F" w:rsidRPr="007642AC">
        <w:rPr>
          <w:rFonts w:ascii="Arial" w:hAnsi="Arial" w:cs="Arial"/>
          <w:sz w:val="24"/>
          <w:szCs w:val="24"/>
        </w:rPr>
        <w:t xml:space="preserve"> In this case that distinction has been overlooked.</w:t>
      </w:r>
      <w:r w:rsidR="00CA0C60" w:rsidRPr="007642AC">
        <w:rPr>
          <w:rStyle w:val="FootnoteReference"/>
          <w:rFonts w:ascii="Arial" w:hAnsi="Arial" w:cs="Arial"/>
          <w:sz w:val="24"/>
          <w:szCs w:val="24"/>
        </w:rPr>
        <w:footnoteReference w:id="1"/>
      </w:r>
    </w:p>
    <w:p w14:paraId="781B5D5A" w14:textId="77777777" w:rsidR="00246C7F" w:rsidRDefault="00246C7F" w:rsidP="00246C7F">
      <w:pPr>
        <w:pStyle w:val="ListParagraph"/>
      </w:pPr>
    </w:p>
    <w:p w14:paraId="5AD77A87" w14:textId="77777777" w:rsidR="005051C1" w:rsidRDefault="005051C1" w:rsidP="00246C7F">
      <w:pPr>
        <w:pStyle w:val="ListParagraph"/>
      </w:pPr>
    </w:p>
    <w:p w14:paraId="5031BDD4" w14:textId="77777777" w:rsidR="005051C1" w:rsidRDefault="005051C1" w:rsidP="00246C7F">
      <w:pPr>
        <w:pStyle w:val="ListParagraph"/>
      </w:pPr>
    </w:p>
    <w:p w14:paraId="4CD94419" w14:textId="78B0DA24" w:rsidR="009436B1" w:rsidRPr="007642AC" w:rsidRDefault="007642AC" w:rsidP="007642AC">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7F5C0F" w:rsidRPr="007642AC">
        <w:rPr>
          <w:rFonts w:ascii="Arial" w:hAnsi="Arial" w:cs="Arial"/>
          <w:sz w:val="24"/>
          <w:szCs w:val="24"/>
        </w:rPr>
        <w:t>What is the plaintiffs cause of action?</w:t>
      </w:r>
      <w:r w:rsidR="00C50DAC" w:rsidRPr="007642AC">
        <w:rPr>
          <w:rFonts w:ascii="Arial" w:hAnsi="Arial" w:cs="Arial"/>
          <w:sz w:val="24"/>
          <w:szCs w:val="24"/>
        </w:rPr>
        <w:t xml:space="preserve"> In he</w:t>
      </w:r>
      <w:r w:rsidR="00246C7F" w:rsidRPr="007642AC">
        <w:rPr>
          <w:rFonts w:ascii="Arial" w:hAnsi="Arial" w:cs="Arial"/>
          <w:sz w:val="24"/>
          <w:szCs w:val="24"/>
        </w:rPr>
        <w:t>r pleadings, it is averred thus: -</w:t>
      </w:r>
    </w:p>
    <w:p w14:paraId="46165D68" w14:textId="3502646A" w:rsidR="00C50DAC" w:rsidRPr="007642AC" w:rsidRDefault="007642AC" w:rsidP="00377470">
      <w:pPr>
        <w:pStyle w:val="NoSpacing"/>
        <w:ind w:left="1440"/>
        <w:rPr>
          <w:rFonts w:ascii="Arial" w:hAnsi="Arial" w:cs="Arial"/>
        </w:rPr>
      </w:pPr>
      <w:r>
        <w:rPr>
          <w:rFonts w:ascii="Arial" w:hAnsi="Arial" w:cs="Arial"/>
        </w:rPr>
        <w:t>‘</w:t>
      </w:r>
      <w:r w:rsidR="00C50DAC" w:rsidRPr="007642AC">
        <w:rPr>
          <w:rFonts w:ascii="Arial" w:hAnsi="Arial" w:cs="Arial"/>
        </w:rPr>
        <w:t>(16) It was an implied</w:t>
      </w:r>
      <w:r w:rsidR="009F39A0">
        <w:rPr>
          <w:rFonts w:ascii="Arial" w:hAnsi="Arial" w:cs="Arial"/>
        </w:rPr>
        <w:t xml:space="preserve"> </w:t>
      </w:r>
      <w:r w:rsidR="00C50DAC" w:rsidRPr="007642AC">
        <w:rPr>
          <w:rStyle w:val="FootnoteReference"/>
          <w:rFonts w:ascii="Arial" w:hAnsi="Arial" w:cs="Arial"/>
        </w:rPr>
        <w:footnoteReference w:id="2"/>
      </w:r>
      <w:r w:rsidR="00C50DAC" w:rsidRPr="007642AC">
        <w:rPr>
          <w:rFonts w:ascii="Arial" w:hAnsi="Arial" w:cs="Arial"/>
        </w:rPr>
        <w:t xml:space="preserve"> term of the plaintiffs</w:t>
      </w:r>
      <w:r w:rsidR="009F39A0">
        <w:rPr>
          <w:rFonts w:ascii="Arial" w:hAnsi="Arial" w:cs="Arial"/>
        </w:rPr>
        <w:t>’</w:t>
      </w:r>
      <w:r w:rsidR="00C50DAC" w:rsidRPr="007642AC">
        <w:rPr>
          <w:rFonts w:ascii="Arial" w:hAnsi="Arial" w:cs="Arial"/>
        </w:rPr>
        <w:t xml:space="preserve"> contract of employment with the defendant that both parties would treat each other lawfully in all matters dealing with their relationship.</w:t>
      </w:r>
    </w:p>
    <w:p w14:paraId="630A2EF4" w14:textId="77777777" w:rsidR="006D179B" w:rsidRPr="007642AC" w:rsidRDefault="006D179B" w:rsidP="007642AC">
      <w:pPr>
        <w:pStyle w:val="NoSpacing"/>
        <w:rPr>
          <w:rFonts w:ascii="Arial" w:hAnsi="Arial" w:cs="Arial"/>
        </w:rPr>
      </w:pPr>
    </w:p>
    <w:p w14:paraId="18B82E1F" w14:textId="77777777" w:rsidR="00EB4FDF" w:rsidRPr="007642AC" w:rsidRDefault="00EB4FDF" w:rsidP="00377470">
      <w:pPr>
        <w:pStyle w:val="NoSpacing"/>
        <w:ind w:left="1440"/>
        <w:rPr>
          <w:rFonts w:ascii="Arial" w:hAnsi="Arial" w:cs="Arial"/>
        </w:rPr>
      </w:pPr>
      <w:r w:rsidRPr="007642AC">
        <w:rPr>
          <w:rFonts w:ascii="Arial" w:hAnsi="Arial" w:cs="Arial"/>
        </w:rPr>
        <w:t>(17) It was also within this con</w:t>
      </w:r>
      <w:r w:rsidR="00156DC6" w:rsidRPr="007642AC">
        <w:rPr>
          <w:rFonts w:ascii="Arial" w:hAnsi="Arial" w:cs="Arial"/>
        </w:rPr>
        <w:t>t</w:t>
      </w:r>
      <w:r w:rsidRPr="007642AC">
        <w:rPr>
          <w:rFonts w:ascii="Arial" w:hAnsi="Arial" w:cs="Arial"/>
        </w:rPr>
        <w:t>emplation</w:t>
      </w:r>
      <w:r w:rsidR="00156DC6" w:rsidRPr="007642AC">
        <w:rPr>
          <w:rFonts w:ascii="Arial" w:hAnsi="Arial" w:cs="Arial"/>
        </w:rPr>
        <w:t xml:space="preserve"> </w:t>
      </w:r>
      <w:r w:rsidR="001C1C79" w:rsidRPr="007642AC">
        <w:rPr>
          <w:rFonts w:ascii="Arial" w:hAnsi="Arial" w:cs="Arial"/>
        </w:rPr>
        <w:t>that organised labour to which the plaintiff is a member and the defendant to enter into a collective agreement in terms whereof their relationship would be regulated and that neither part shall conduct themselves in contravention of the provisions thereof. Find attached a copy of the collective agreement, annex NM7.</w:t>
      </w:r>
    </w:p>
    <w:p w14:paraId="6CCE08D1" w14:textId="77777777" w:rsidR="006D179B" w:rsidRPr="007642AC" w:rsidRDefault="006D179B" w:rsidP="007642AC">
      <w:pPr>
        <w:pStyle w:val="NoSpacing"/>
        <w:rPr>
          <w:rFonts w:ascii="Arial" w:hAnsi="Arial" w:cs="Arial"/>
        </w:rPr>
      </w:pPr>
    </w:p>
    <w:p w14:paraId="3735248D" w14:textId="77777777" w:rsidR="003D647E" w:rsidRPr="007642AC" w:rsidRDefault="00BD60D2" w:rsidP="00377470">
      <w:pPr>
        <w:pStyle w:val="NoSpacing"/>
        <w:ind w:left="1440"/>
        <w:rPr>
          <w:rFonts w:ascii="Arial" w:hAnsi="Arial" w:cs="Arial"/>
        </w:rPr>
      </w:pPr>
      <w:r w:rsidRPr="007642AC">
        <w:rPr>
          <w:rFonts w:ascii="Arial" w:hAnsi="Arial" w:cs="Arial"/>
        </w:rPr>
        <w:t>(18) The</w:t>
      </w:r>
      <w:r w:rsidR="003D647E" w:rsidRPr="007642AC">
        <w:rPr>
          <w:rFonts w:ascii="Arial" w:hAnsi="Arial" w:cs="Arial"/>
        </w:rPr>
        <w:t xml:space="preserve"> defendant has failed to act in accordance with the provisions of the collective agreement in particular clause 7.7 in that it altered the findings and determinations of the initial presiding officer, which determination was final and binding on both parties to the collective agreement.</w:t>
      </w:r>
    </w:p>
    <w:p w14:paraId="0CC7FAFC" w14:textId="77777777" w:rsidR="006D179B" w:rsidRPr="007642AC" w:rsidRDefault="006D179B" w:rsidP="007642AC">
      <w:pPr>
        <w:pStyle w:val="NoSpacing"/>
        <w:rPr>
          <w:rFonts w:ascii="Arial" w:hAnsi="Arial" w:cs="Arial"/>
        </w:rPr>
      </w:pPr>
    </w:p>
    <w:p w14:paraId="6EF44D24" w14:textId="77777777" w:rsidR="003D647E" w:rsidRPr="007642AC" w:rsidRDefault="003D647E" w:rsidP="00377470">
      <w:pPr>
        <w:pStyle w:val="NoSpacing"/>
        <w:ind w:left="1440"/>
        <w:rPr>
          <w:rFonts w:ascii="Arial" w:hAnsi="Arial" w:cs="Arial"/>
        </w:rPr>
      </w:pPr>
      <w:r w:rsidRPr="007642AC">
        <w:rPr>
          <w:rFonts w:ascii="Arial" w:hAnsi="Arial" w:cs="Arial"/>
        </w:rPr>
        <w:t xml:space="preserve">(19) the defendant instituting the alteration hearing and instituted the new disciplinary proceedings against the plaintiff for the same misconduct </w:t>
      </w:r>
      <w:proofErr w:type="gramStart"/>
      <w:r w:rsidRPr="007642AC">
        <w:rPr>
          <w:rFonts w:ascii="Arial" w:hAnsi="Arial" w:cs="Arial"/>
        </w:rPr>
        <w:t>despite the fact that</w:t>
      </w:r>
      <w:proofErr w:type="gramEnd"/>
      <w:r w:rsidRPr="007642AC">
        <w:rPr>
          <w:rFonts w:ascii="Arial" w:hAnsi="Arial" w:cs="Arial"/>
        </w:rPr>
        <w:t xml:space="preserve"> the previous disciplinary hearing ruled in her favour and handed down a sanction as per annex NM 3. The defendant has unreasonably and without just cause subjected the plaintiff to double jeopardy and its termination of the plaintiff</w:t>
      </w:r>
      <w:r w:rsidR="00970F8C" w:rsidRPr="007642AC">
        <w:rPr>
          <w:rFonts w:ascii="Arial" w:hAnsi="Arial" w:cs="Arial"/>
        </w:rPr>
        <w:t>’</w:t>
      </w:r>
      <w:r w:rsidRPr="007642AC">
        <w:rPr>
          <w:rFonts w:ascii="Arial" w:hAnsi="Arial" w:cs="Arial"/>
        </w:rPr>
        <w:t>s contract of employment is unlawful.’</w:t>
      </w:r>
    </w:p>
    <w:p w14:paraId="2D4055BD" w14:textId="77777777" w:rsidR="00970F8C" w:rsidRDefault="00970F8C" w:rsidP="00970F8C">
      <w:pPr>
        <w:spacing w:line="480" w:lineRule="auto"/>
      </w:pPr>
    </w:p>
    <w:p w14:paraId="182610A6" w14:textId="4177AB5D" w:rsidR="009436B1" w:rsidRPr="007642AC" w:rsidRDefault="00377470" w:rsidP="00377470">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proofErr w:type="gramStart"/>
      <w:r w:rsidR="00970F8C" w:rsidRPr="007642AC">
        <w:rPr>
          <w:rFonts w:ascii="Arial" w:hAnsi="Arial" w:cs="Arial"/>
          <w:sz w:val="24"/>
          <w:szCs w:val="24"/>
        </w:rPr>
        <w:t>It is</w:t>
      </w:r>
      <w:r w:rsidR="006D179B" w:rsidRPr="007642AC">
        <w:rPr>
          <w:rFonts w:ascii="Arial" w:hAnsi="Arial" w:cs="Arial"/>
          <w:sz w:val="24"/>
          <w:szCs w:val="24"/>
        </w:rPr>
        <w:t xml:space="preserve"> plain that the</w:t>
      </w:r>
      <w:proofErr w:type="gramEnd"/>
      <w:r w:rsidR="006D179B" w:rsidRPr="007642AC">
        <w:rPr>
          <w:rFonts w:ascii="Arial" w:hAnsi="Arial" w:cs="Arial"/>
          <w:sz w:val="24"/>
          <w:szCs w:val="24"/>
        </w:rPr>
        <w:t xml:space="preserve"> right invoked is</w:t>
      </w:r>
      <w:r w:rsidR="00970F8C" w:rsidRPr="007642AC">
        <w:rPr>
          <w:rFonts w:ascii="Arial" w:hAnsi="Arial" w:cs="Arial"/>
          <w:sz w:val="24"/>
          <w:szCs w:val="24"/>
        </w:rPr>
        <w:t xml:space="preserve"> one </w:t>
      </w:r>
      <w:r w:rsidR="006D179B" w:rsidRPr="007642AC">
        <w:rPr>
          <w:rFonts w:ascii="Arial" w:hAnsi="Arial" w:cs="Arial"/>
          <w:sz w:val="24"/>
          <w:szCs w:val="24"/>
        </w:rPr>
        <w:t xml:space="preserve">located </w:t>
      </w:r>
      <w:r w:rsidR="00970F8C" w:rsidRPr="007642AC">
        <w:rPr>
          <w:rFonts w:ascii="Arial" w:hAnsi="Arial" w:cs="Arial"/>
          <w:sz w:val="24"/>
          <w:szCs w:val="24"/>
        </w:rPr>
        <w:t>in the collective agreement. It must at this juncture be remarked that the collective agreement is between the trade union and the defendant employer. The plaintiff is not a party to</w:t>
      </w:r>
      <w:r w:rsidR="006D179B" w:rsidRPr="007642AC">
        <w:rPr>
          <w:rFonts w:ascii="Arial" w:hAnsi="Arial" w:cs="Arial"/>
          <w:sz w:val="24"/>
          <w:szCs w:val="24"/>
        </w:rPr>
        <w:t xml:space="preserve"> that agreement, nor does</w:t>
      </w:r>
      <w:r w:rsidR="00246C05" w:rsidRPr="007642AC">
        <w:rPr>
          <w:rFonts w:ascii="Arial" w:hAnsi="Arial" w:cs="Arial"/>
          <w:sz w:val="24"/>
          <w:szCs w:val="24"/>
        </w:rPr>
        <w:t xml:space="preserve"> she aver so.</w:t>
      </w:r>
    </w:p>
    <w:p w14:paraId="075973BE" w14:textId="77777777" w:rsidR="00230580" w:rsidRDefault="00230580" w:rsidP="00230580">
      <w:pPr>
        <w:pStyle w:val="ListParagraph"/>
        <w:spacing w:line="480" w:lineRule="auto"/>
        <w:ind w:left="360"/>
      </w:pPr>
    </w:p>
    <w:p w14:paraId="0DBA05C9" w14:textId="059EA1CD" w:rsidR="00970F8C" w:rsidRPr="00377470" w:rsidRDefault="00377470" w:rsidP="00377470">
      <w:pPr>
        <w:spacing w:line="360" w:lineRule="auto"/>
        <w:ind w:left="720" w:hanging="720"/>
        <w:rPr>
          <w:rFonts w:ascii="Arial" w:hAnsi="Arial" w:cs="Arial"/>
          <w:sz w:val="24"/>
        </w:rPr>
      </w:pPr>
      <w:r>
        <w:rPr>
          <w:rFonts w:ascii="Arial" w:hAnsi="Arial" w:cs="Arial"/>
          <w:sz w:val="24"/>
        </w:rPr>
        <w:t>[7]</w:t>
      </w:r>
      <w:r>
        <w:rPr>
          <w:rFonts w:ascii="Arial" w:hAnsi="Arial" w:cs="Arial"/>
          <w:sz w:val="24"/>
        </w:rPr>
        <w:tab/>
      </w:r>
      <w:r w:rsidR="00230580" w:rsidRPr="00377470">
        <w:rPr>
          <w:rFonts w:ascii="Arial" w:hAnsi="Arial" w:cs="Arial"/>
          <w:sz w:val="24"/>
        </w:rPr>
        <w:t xml:space="preserve">More importantly, it is not averred that the collective agreement was incorporated into her contract of employment.  This </w:t>
      </w:r>
      <w:r w:rsidR="00230580" w:rsidRPr="00377470">
        <w:rPr>
          <w:rFonts w:ascii="Arial" w:hAnsi="Arial" w:cs="Arial"/>
          <w:i/>
          <w:sz w:val="24"/>
        </w:rPr>
        <w:t>per</w:t>
      </w:r>
      <w:r w:rsidR="00230580" w:rsidRPr="00377470">
        <w:rPr>
          <w:rFonts w:ascii="Arial" w:hAnsi="Arial" w:cs="Arial"/>
          <w:sz w:val="24"/>
        </w:rPr>
        <w:t xml:space="preserve"> se is a critical flaw in her case.</w:t>
      </w:r>
    </w:p>
    <w:p w14:paraId="347CA79E" w14:textId="77777777" w:rsidR="00230580" w:rsidRDefault="00230580" w:rsidP="00230580">
      <w:pPr>
        <w:pStyle w:val="ListParagraph"/>
      </w:pPr>
    </w:p>
    <w:p w14:paraId="2D3729B2" w14:textId="01ED69CE" w:rsidR="009436B1" w:rsidRDefault="00377470" w:rsidP="00377470">
      <w:pPr>
        <w:spacing w:line="360" w:lineRule="auto"/>
        <w:ind w:left="720" w:hanging="720"/>
        <w:rPr>
          <w:rFonts w:ascii="Arial" w:hAnsi="Arial" w:cs="Arial"/>
          <w:sz w:val="24"/>
        </w:rPr>
      </w:pPr>
      <w:r>
        <w:rPr>
          <w:rFonts w:ascii="Arial" w:hAnsi="Arial" w:cs="Arial"/>
          <w:sz w:val="24"/>
        </w:rPr>
        <w:t>[8]</w:t>
      </w:r>
      <w:r>
        <w:rPr>
          <w:rFonts w:ascii="Arial" w:hAnsi="Arial" w:cs="Arial"/>
          <w:sz w:val="24"/>
        </w:rPr>
        <w:tab/>
      </w:r>
      <w:r w:rsidR="00230580" w:rsidRPr="00377470">
        <w:rPr>
          <w:rFonts w:ascii="Arial" w:hAnsi="Arial" w:cs="Arial"/>
          <w:sz w:val="24"/>
        </w:rPr>
        <w:t xml:space="preserve">The plaintiff’s written contract of employment is constituted by a letter of appointment dated 29 June 2011. This document set out the usual banal details of her position as a cashier. It notably does not incorporate the </w:t>
      </w:r>
      <w:r w:rsidR="00230580" w:rsidRPr="00377470">
        <w:rPr>
          <w:rFonts w:ascii="Arial" w:hAnsi="Arial" w:cs="Arial"/>
          <w:sz w:val="24"/>
        </w:rPr>
        <w:lastRenderedPageBreak/>
        <w:t>collective agreement. Nor is the minimal text capable of being interpreted to do so.</w:t>
      </w:r>
    </w:p>
    <w:p w14:paraId="0C00C57A" w14:textId="77777777" w:rsidR="00377470" w:rsidRPr="00377470" w:rsidRDefault="00377470" w:rsidP="00377470">
      <w:pPr>
        <w:spacing w:line="360" w:lineRule="auto"/>
        <w:ind w:left="720" w:hanging="720"/>
        <w:rPr>
          <w:rFonts w:ascii="Arial" w:hAnsi="Arial" w:cs="Arial"/>
          <w:sz w:val="24"/>
        </w:rPr>
      </w:pPr>
    </w:p>
    <w:p w14:paraId="38476E93" w14:textId="1D1041ED" w:rsidR="009436B1" w:rsidRPr="00ED11E5" w:rsidRDefault="00ED11E5" w:rsidP="00ED11E5">
      <w:pPr>
        <w:spacing w:line="360" w:lineRule="auto"/>
        <w:ind w:left="720" w:hanging="720"/>
        <w:rPr>
          <w:rFonts w:ascii="Arial" w:hAnsi="Arial" w:cs="Arial"/>
          <w:sz w:val="24"/>
        </w:rPr>
      </w:pPr>
      <w:r>
        <w:rPr>
          <w:rFonts w:ascii="Arial" w:hAnsi="Arial" w:cs="Arial"/>
          <w:sz w:val="24"/>
        </w:rPr>
        <w:t>[9]</w:t>
      </w:r>
      <w:r>
        <w:rPr>
          <w:rFonts w:ascii="Arial" w:hAnsi="Arial" w:cs="Arial"/>
          <w:sz w:val="24"/>
        </w:rPr>
        <w:tab/>
      </w:r>
      <w:r w:rsidR="0089482B" w:rsidRPr="00ED11E5">
        <w:rPr>
          <w:rFonts w:ascii="Arial" w:hAnsi="Arial" w:cs="Arial"/>
          <w:sz w:val="24"/>
        </w:rPr>
        <w:t>The source o</w:t>
      </w:r>
      <w:r>
        <w:rPr>
          <w:rFonts w:ascii="Arial" w:hAnsi="Arial" w:cs="Arial"/>
          <w:sz w:val="24"/>
        </w:rPr>
        <w:t xml:space="preserve">f </w:t>
      </w:r>
      <w:r w:rsidR="00B4154E" w:rsidRPr="00F44035">
        <w:rPr>
          <w:rFonts w:ascii="Arial" w:hAnsi="Arial" w:cs="Arial"/>
          <w:i/>
          <w:iCs/>
          <w:sz w:val="24"/>
        </w:rPr>
        <w:t>R</w:t>
      </w:r>
      <w:r w:rsidRPr="00F44035">
        <w:rPr>
          <w:rFonts w:ascii="Arial" w:hAnsi="Arial" w:cs="Arial"/>
          <w:i/>
          <w:iCs/>
          <w:sz w:val="24"/>
        </w:rPr>
        <w:t xml:space="preserve">ight </w:t>
      </w:r>
      <w:r>
        <w:rPr>
          <w:rFonts w:ascii="Arial" w:hAnsi="Arial" w:cs="Arial"/>
          <w:sz w:val="24"/>
        </w:rPr>
        <w:t>the plaintiff claims have</w:t>
      </w:r>
      <w:r w:rsidR="0089482B" w:rsidRPr="00ED11E5">
        <w:rPr>
          <w:rFonts w:ascii="Arial" w:hAnsi="Arial" w:cs="Arial"/>
          <w:sz w:val="24"/>
        </w:rPr>
        <w:t xml:space="preserve"> been violated is, as alleged, in clause 7.7 of the collective agreement. This is a clause in a part </w:t>
      </w:r>
      <w:r w:rsidR="003E5B35">
        <w:rPr>
          <w:rFonts w:ascii="Arial" w:hAnsi="Arial" w:cs="Arial"/>
          <w:sz w:val="24"/>
        </w:rPr>
        <w:t xml:space="preserve">of that agreement </w:t>
      </w:r>
      <w:r w:rsidR="0089482B" w:rsidRPr="00ED11E5">
        <w:rPr>
          <w:rFonts w:ascii="Arial" w:hAnsi="Arial" w:cs="Arial"/>
          <w:sz w:val="24"/>
        </w:rPr>
        <w:t xml:space="preserve">which is headed ‘conduct of a disciplinary hearing.’ </w:t>
      </w:r>
      <w:r w:rsidR="00BD60D2" w:rsidRPr="00ED11E5">
        <w:rPr>
          <w:rFonts w:ascii="Arial" w:hAnsi="Arial" w:cs="Arial"/>
          <w:sz w:val="24"/>
        </w:rPr>
        <w:t xml:space="preserve"> The clause 7.7 indeed does forbid an alteration of a determination by the ‘municipal manager or other governing structure of a municipality’. Whether or not the defendant actually breached this clause</w:t>
      </w:r>
      <w:r w:rsidR="00B4154E">
        <w:rPr>
          <w:rFonts w:ascii="Arial" w:hAnsi="Arial" w:cs="Arial"/>
          <w:sz w:val="24"/>
        </w:rPr>
        <w:t>, for the purposes of this judgment,</w:t>
      </w:r>
      <w:r w:rsidR="00BD60D2" w:rsidRPr="00ED11E5">
        <w:rPr>
          <w:rFonts w:ascii="Arial" w:hAnsi="Arial" w:cs="Arial"/>
          <w:sz w:val="24"/>
        </w:rPr>
        <w:t xml:space="preserve"> is beside the </w:t>
      </w:r>
      <w:proofErr w:type="gramStart"/>
      <w:r w:rsidR="00BD60D2" w:rsidRPr="00ED11E5">
        <w:rPr>
          <w:rFonts w:ascii="Arial" w:hAnsi="Arial" w:cs="Arial"/>
          <w:sz w:val="24"/>
        </w:rPr>
        <w:t>point;</w:t>
      </w:r>
      <w:proofErr w:type="gramEnd"/>
      <w:r w:rsidR="00BD60D2" w:rsidRPr="00ED11E5">
        <w:rPr>
          <w:rFonts w:ascii="Arial" w:hAnsi="Arial" w:cs="Arial"/>
          <w:sz w:val="24"/>
        </w:rPr>
        <w:t xml:space="preserve"> i</w:t>
      </w:r>
      <w:r>
        <w:rPr>
          <w:rFonts w:ascii="Arial" w:hAnsi="Arial" w:cs="Arial"/>
          <w:sz w:val="24"/>
        </w:rPr>
        <w:t>.</w:t>
      </w:r>
      <w:r w:rsidR="00BD60D2" w:rsidRPr="00ED11E5">
        <w:rPr>
          <w:rFonts w:ascii="Arial" w:hAnsi="Arial" w:cs="Arial"/>
          <w:sz w:val="24"/>
        </w:rPr>
        <w:t>e</w:t>
      </w:r>
      <w:r>
        <w:rPr>
          <w:rFonts w:ascii="Arial" w:hAnsi="Arial" w:cs="Arial"/>
          <w:sz w:val="24"/>
        </w:rPr>
        <w:t>.</w:t>
      </w:r>
      <w:r w:rsidR="00BD60D2" w:rsidRPr="00ED11E5">
        <w:rPr>
          <w:rFonts w:ascii="Arial" w:hAnsi="Arial" w:cs="Arial"/>
          <w:sz w:val="24"/>
        </w:rPr>
        <w:t xml:space="preserve"> is this </w:t>
      </w:r>
      <w:r w:rsidR="00B4154E">
        <w:rPr>
          <w:rFonts w:ascii="Arial" w:hAnsi="Arial" w:cs="Arial"/>
          <w:sz w:val="24"/>
        </w:rPr>
        <w:t xml:space="preserve">a </w:t>
      </w:r>
      <w:r w:rsidR="00B4154E" w:rsidRPr="00F44035">
        <w:rPr>
          <w:rFonts w:ascii="Arial" w:hAnsi="Arial" w:cs="Arial"/>
          <w:i/>
          <w:iCs/>
          <w:sz w:val="24"/>
        </w:rPr>
        <w:t>R</w:t>
      </w:r>
      <w:r w:rsidR="00BD60D2" w:rsidRPr="00F44035">
        <w:rPr>
          <w:rFonts w:ascii="Arial" w:hAnsi="Arial" w:cs="Arial"/>
          <w:i/>
          <w:iCs/>
          <w:sz w:val="24"/>
        </w:rPr>
        <w:t>ight</w:t>
      </w:r>
      <w:r w:rsidR="00BD60D2" w:rsidRPr="00ED11E5">
        <w:rPr>
          <w:rFonts w:ascii="Arial" w:hAnsi="Arial" w:cs="Arial"/>
          <w:sz w:val="24"/>
        </w:rPr>
        <w:t xml:space="preserve"> that ca</w:t>
      </w:r>
      <w:r w:rsidR="00B4154E">
        <w:rPr>
          <w:rFonts w:ascii="Arial" w:hAnsi="Arial" w:cs="Arial"/>
          <w:sz w:val="24"/>
        </w:rPr>
        <w:t>n</w:t>
      </w:r>
      <w:r w:rsidR="00BD60D2" w:rsidRPr="00ED11E5">
        <w:rPr>
          <w:rFonts w:ascii="Arial" w:hAnsi="Arial" w:cs="Arial"/>
          <w:sz w:val="24"/>
        </w:rPr>
        <w:t xml:space="preserve"> be invoked by invoking the contract of employment.  Plainly, it cannot.</w:t>
      </w:r>
    </w:p>
    <w:p w14:paraId="2769E03C" w14:textId="77777777" w:rsidR="00BD60D2" w:rsidRDefault="00BD60D2" w:rsidP="00BD60D2">
      <w:pPr>
        <w:pStyle w:val="ListParagraph"/>
        <w:spacing w:line="480" w:lineRule="auto"/>
        <w:ind w:left="360"/>
      </w:pPr>
    </w:p>
    <w:p w14:paraId="23CC27AE" w14:textId="731E5A2C" w:rsidR="00BD60D2" w:rsidRPr="00705AF9" w:rsidRDefault="00705AF9" w:rsidP="00705AF9">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BD60D2" w:rsidRPr="00705AF9">
        <w:rPr>
          <w:rFonts w:ascii="Arial" w:hAnsi="Arial" w:cs="Arial"/>
          <w:sz w:val="24"/>
          <w:szCs w:val="24"/>
        </w:rPr>
        <w:t xml:space="preserve">The </w:t>
      </w:r>
      <w:r w:rsidR="00E843C3">
        <w:rPr>
          <w:rFonts w:ascii="Arial" w:hAnsi="Arial" w:cs="Arial"/>
          <w:sz w:val="24"/>
          <w:szCs w:val="24"/>
        </w:rPr>
        <w:t xml:space="preserve">Defendant’s </w:t>
      </w:r>
      <w:r w:rsidR="00BD60D2" w:rsidRPr="00705AF9">
        <w:rPr>
          <w:rFonts w:ascii="Arial" w:hAnsi="Arial" w:cs="Arial"/>
          <w:sz w:val="24"/>
          <w:szCs w:val="24"/>
        </w:rPr>
        <w:t>plea</w:t>
      </w:r>
      <w:r w:rsidR="00564256">
        <w:rPr>
          <w:rFonts w:ascii="Arial" w:hAnsi="Arial" w:cs="Arial"/>
          <w:sz w:val="24"/>
          <w:szCs w:val="24"/>
        </w:rPr>
        <w:t xml:space="preserve">, paragraph 14 </w:t>
      </w:r>
      <w:r w:rsidR="00BD60D2" w:rsidRPr="00705AF9">
        <w:rPr>
          <w:rFonts w:ascii="Arial" w:hAnsi="Arial" w:cs="Arial"/>
          <w:sz w:val="24"/>
          <w:szCs w:val="24"/>
        </w:rPr>
        <w:t>avers this defence</w:t>
      </w:r>
      <w:r w:rsidR="00D5674B" w:rsidRPr="00705AF9">
        <w:rPr>
          <w:rFonts w:ascii="Arial" w:hAnsi="Arial" w:cs="Arial"/>
          <w:sz w:val="24"/>
          <w:szCs w:val="24"/>
        </w:rPr>
        <w:t>. Further, the plea</w:t>
      </w:r>
      <w:r w:rsidR="00BD60D2" w:rsidRPr="00705AF9">
        <w:rPr>
          <w:rFonts w:ascii="Arial" w:hAnsi="Arial" w:cs="Arial"/>
          <w:sz w:val="24"/>
          <w:szCs w:val="24"/>
        </w:rPr>
        <w:t xml:space="preserve"> avers that the collective agreement provides for a procedure leading to conciliation and arbitration in the South African Local Government Bargaining Council</w:t>
      </w:r>
      <w:r w:rsidR="00D5674B" w:rsidRPr="00705AF9">
        <w:rPr>
          <w:rFonts w:ascii="Arial" w:hAnsi="Arial" w:cs="Arial"/>
          <w:sz w:val="24"/>
          <w:szCs w:val="24"/>
        </w:rPr>
        <w:t xml:space="preserve"> (</w:t>
      </w:r>
      <w:r w:rsidR="00BD60D2" w:rsidRPr="00705AF9">
        <w:rPr>
          <w:rFonts w:ascii="Arial" w:hAnsi="Arial" w:cs="Arial"/>
          <w:sz w:val="24"/>
          <w:szCs w:val="24"/>
        </w:rPr>
        <w:t>SALGBC)</w:t>
      </w:r>
      <w:r w:rsidR="00D5674B" w:rsidRPr="00705AF9">
        <w:rPr>
          <w:rFonts w:ascii="Arial" w:hAnsi="Arial" w:cs="Arial"/>
          <w:sz w:val="24"/>
          <w:szCs w:val="24"/>
        </w:rPr>
        <w:t>. This is standard procedure for collective agreements, which like this one, was concluded under the auspices of the SALGBC.</w:t>
      </w:r>
      <w:r w:rsidR="0082474A" w:rsidRPr="00705AF9">
        <w:rPr>
          <w:rFonts w:ascii="Arial" w:hAnsi="Arial" w:cs="Arial"/>
          <w:sz w:val="24"/>
          <w:szCs w:val="24"/>
        </w:rPr>
        <w:t xml:space="preserve"> The</w:t>
      </w:r>
      <w:r w:rsidR="00611CE2" w:rsidRPr="00705AF9">
        <w:rPr>
          <w:rFonts w:ascii="Arial" w:hAnsi="Arial" w:cs="Arial"/>
          <w:sz w:val="24"/>
          <w:szCs w:val="24"/>
        </w:rPr>
        <w:t xml:space="preserve"> claim</w:t>
      </w:r>
      <w:r w:rsidR="0082474A" w:rsidRPr="00705AF9">
        <w:rPr>
          <w:rFonts w:ascii="Arial" w:hAnsi="Arial" w:cs="Arial"/>
          <w:sz w:val="24"/>
          <w:szCs w:val="24"/>
        </w:rPr>
        <w:t xml:space="preserve"> is manifestly a labour law case.</w:t>
      </w:r>
      <w:r w:rsidR="004B588A">
        <w:rPr>
          <w:rFonts w:ascii="Arial" w:hAnsi="Arial" w:cs="Arial"/>
          <w:sz w:val="24"/>
          <w:szCs w:val="24"/>
        </w:rPr>
        <w:t xml:space="preserve"> To rely on this </w:t>
      </w:r>
      <w:r w:rsidR="004B588A" w:rsidRPr="0080370A">
        <w:rPr>
          <w:rFonts w:ascii="Arial" w:hAnsi="Arial" w:cs="Arial"/>
          <w:i/>
          <w:iCs/>
          <w:sz w:val="24"/>
          <w:szCs w:val="24"/>
        </w:rPr>
        <w:t>causa,</w:t>
      </w:r>
      <w:r w:rsidR="004B588A">
        <w:rPr>
          <w:rFonts w:ascii="Arial" w:hAnsi="Arial" w:cs="Arial"/>
          <w:sz w:val="24"/>
          <w:szCs w:val="24"/>
        </w:rPr>
        <w:t xml:space="preserve"> the plaintiff ought to have referred a dispute about an unfair dismissal to the SALGBC.</w:t>
      </w:r>
    </w:p>
    <w:p w14:paraId="6A1AF56E" w14:textId="77777777" w:rsidR="008F7918" w:rsidRDefault="008F7918" w:rsidP="008F7918">
      <w:pPr>
        <w:pStyle w:val="ListParagraph"/>
      </w:pPr>
    </w:p>
    <w:p w14:paraId="27467825" w14:textId="267F0EA4" w:rsidR="009436B1" w:rsidRPr="00705AF9" w:rsidRDefault="00705AF9" w:rsidP="00705AF9">
      <w:pPr>
        <w:spacing w:line="360" w:lineRule="auto"/>
        <w:ind w:left="720" w:hanging="720"/>
        <w:rPr>
          <w:rFonts w:ascii="Arial" w:hAnsi="Arial" w:cs="Arial"/>
          <w:sz w:val="24"/>
        </w:rPr>
      </w:pPr>
      <w:r>
        <w:rPr>
          <w:rFonts w:ascii="Arial" w:hAnsi="Arial" w:cs="Arial"/>
          <w:sz w:val="24"/>
        </w:rPr>
        <w:t>[11]</w:t>
      </w:r>
      <w:r>
        <w:rPr>
          <w:rFonts w:ascii="Arial" w:hAnsi="Arial" w:cs="Arial"/>
          <w:sz w:val="24"/>
        </w:rPr>
        <w:tab/>
      </w:r>
      <w:r w:rsidR="0082474A" w:rsidRPr="00705AF9">
        <w:rPr>
          <w:rFonts w:ascii="Arial" w:hAnsi="Arial" w:cs="Arial"/>
          <w:sz w:val="24"/>
        </w:rPr>
        <w:t>It is obvious that the High Court has no jurisdiction</w:t>
      </w:r>
      <w:r w:rsidR="009436B1" w:rsidRPr="00705AF9">
        <w:rPr>
          <w:rFonts w:ascii="Arial" w:hAnsi="Arial" w:cs="Arial"/>
          <w:sz w:val="24"/>
        </w:rPr>
        <w:t>.</w:t>
      </w:r>
      <w:r w:rsidR="0082474A" w:rsidRPr="00705AF9">
        <w:rPr>
          <w:rFonts w:ascii="Arial" w:hAnsi="Arial" w:cs="Arial"/>
          <w:sz w:val="24"/>
        </w:rPr>
        <w:t xml:space="preserve"> The action must therefore be dismissed.</w:t>
      </w:r>
    </w:p>
    <w:p w14:paraId="557BEE98" w14:textId="77777777" w:rsidR="008F7918" w:rsidRPr="00705AF9" w:rsidRDefault="008F7918" w:rsidP="00705AF9">
      <w:pPr>
        <w:pStyle w:val="ListParagraph"/>
        <w:spacing w:line="360" w:lineRule="auto"/>
        <w:rPr>
          <w:rFonts w:ascii="Arial" w:hAnsi="Arial" w:cs="Arial"/>
          <w:sz w:val="24"/>
        </w:rPr>
      </w:pPr>
    </w:p>
    <w:p w14:paraId="0E7D1E2E" w14:textId="4EE1BA9A" w:rsidR="009436B1" w:rsidRPr="00705AF9" w:rsidRDefault="00705AF9" w:rsidP="00705AF9">
      <w:pPr>
        <w:spacing w:line="36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8F7918" w:rsidRPr="00705AF9">
        <w:rPr>
          <w:rFonts w:ascii="Arial" w:hAnsi="Arial" w:cs="Arial"/>
          <w:sz w:val="24"/>
          <w:szCs w:val="24"/>
        </w:rPr>
        <w:t xml:space="preserve">As to costs, paradoxically, having repudiated an opportunity </w:t>
      </w:r>
      <w:r w:rsidR="00611CE2" w:rsidRPr="00705AF9">
        <w:rPr>
          <w:rFonts w:ascii="Arial" w:hAnsi="Arial" w:cs="Arial"/>
          <w:sz w:val="24"/>
          <w:szCs w:val="24"/>
        </w:rPr>
        <w:t xml:space="preserve">to </w:t>
      </w:r>
      <w:r w:rsidR="008F7918" w:rsidRPr="00705AF9">
        <w:rPr>
          <w:rFonts w:ascii="Arial" w:hAnsi="Arial" w:cs="Arial"/>
          <w:sz w:val="24"/>
          <w:szCs w:val="24"/>
        </w:rPr>
        <w:t>refer a claim of unfair dismissal to the</w:t>
      </w:r>
      <w:r w:rsidRPr="00705AF9">
        <w:rPr>
          <w:rFonts w:ascii="Arial" w:hAnsi="Arial" w:cs="Arial"/>
          <w:sz w:val="24"/>
          <w:szCs w:val="24"/>
        </w:rPr>
        <w:t xml:space="preserve"> SALGBC, I was told from the bar</w:t>
      </w:r>
      <w:r w:rsidR="008F7918" w:rsidRPr="00705AF9">
        <w:rPr>
          <w:rFonts w:ascii="Arial" w:hAnsi="Arial" w:cs="Arial"/>
          <w:sz w:val="24"/>
          <w:szCs w:val="24"/>
        </w:rPr>
        <w:t xml:space="preserve"> that the South African Municipal Workers Union (SAMWU) was the </w:t>
      </w:r>
      <w:proofErr w:type="spellStart"/>
      <w:r w:rsidR="008F7918" w:rsidRPr="00705AF9">
        <w:rPr>
          <w:rFonts w:ascii="Arial" w:hAnsi="Arial" w:cs="Arial"/>
          <w:sz w:val="24"/>
          <w:szCs w:val="24"/>
        </w:rPr>
        <w:t>funder</w:t>
      </w:r>
      <w:proofErr w:type="spellEnd"/>
      <w:r w:rsidR="008F7918" w:rsidRPr="00705AF9">
        <w:rPr>
          <w:rFonts w:ascii="Arial" w:hAnsi="Arial" w:cs="Arial"/>
          <w:sz w:val="24"/>
          <w:szCs w:val="24"/>
        </w:rPr>
        <w:t xml:space="preserve"> of the case on behalf of the plaintiff and owing to the ongoing relationship between that union and the defendant, there should not be, in line with conventions in labour litigation, a costs order against the plaintiff. That is not the norm in civil litigation.  No reason exists why costs ought not to follow the result.</w:t>
      </w:r>
    </w:p>
    <w:p w14:paraId="70FB7FD5" w14:textId="77777777" w:rsidR="008F7918" w:rsidRDefault="008F7918" w:rsidP="008F7918">
      <w:pPr>
        <w:pStyle w:val="ListParagraph"/>
      </w:pPr>
    </w:p>
    <w:p w14:paraId="468F0ECC" w14:textId="77777777" w:rsidR="00861D71" w:rsidRDefault="00861D71" w:rsidP="00705AF9">
      <w:pPr>
        <w:pStyle w:val="ListParagraph"/>
        <w:spacing w:line="360" w:lineRule="auto"/>
        <w:ind w:left="360"/>
        <w:rPr>
          <w:rFonts w:ascii="Arial" w:hAnsi="Arial" w:cs="Arial"/>
          <w:b/>
          <w:i/>
          <w:sz w:val="24"/>
          <w:szCs w:val="24"/>
        </w:rPr>
      </w:pPr>
    </w:p>
    <w:p w14:paraId="63726293" w14:textId="77777777" w:rsidR="00861D71" w:rsidRDefault="00861D71" w:rsidP="00705AF9">
      <w:pPr>
        <w:pStyle w:val="ListParagraph"/>
        <w:spacing w:line="360" w:lineRule="auto"/>
        <w:ind w:left="360"/>
        <w:rPr>
          <w:rFonts w:ascii="Arial" w:hAnsi="Arial" w:cs="Arial"/>
          <w:b/>
          <w:i/>
          <w:sz w:val="24"/>
          <w:szCs w:val="24"/>
        </w:rPr>
      </w:pPr>
    </w:p>
    <w:p w14:paraId="7B640643" w14:textId="79378EE8" w:rsidR="008F7918" w:rsidRDefault="008F7918" w:rsidP="00705AF9">
      <w:pPr>
        <w:pStyle w:val="ListParagraph"/>
        <w:spacing w:line="360" w:lineRule="auto"/>
        <w:ind w:left="360"/>
        <w:rPr>
          <w:rFonts w:ascii="Arial" w:hAnsi="Arial" w:cs="Arial"/>
          <w:b/>
          <w:i/>
          <w:sz w:val="24"/>
          <w:szCs w:val="24"/>
        </w:rPr>
      </w:pPr>
      <w:r w:rsidRPr="00705AF9">
        <w:rPr>
          <w:rFonts w:ascii="Arial" w:hAnsi="Arial" w:cs="Arial"/>
          <w:b/>
          <w:i/>
          <w:sz w:val="24"/>
          <w:szCs w:val="24"/>
        </w:rPr>
        <w:t>The Order</w:t>
      </w:r>
    </w:p>
    <w:p w14:paraId="4BA6B04C" w14:textId="77777777" w:rsidR="00861D71" w:rsidRPr="00705AF9" w:rsidRDefault="00861D71" w:rsidP="00705AF9">
      <w:pPr>
        <w:pStyle w:val="ListParagraph"/>
        <w:spacing w:line="360" w:lineRule="auto"/>
        <w:ind w:left="360"/>
        <w:rPr>
          <w:rFonts w:ascii="Arial" w:hAnsi="Arial" w:cs="Arial"/>
          <w:b/>
          <w:i/>
          <w:sz w:val="24"/>
          <w:szCs w:val="24"/>
        </w:rPr>
      </w:pPr>
    </w:p>
    <w:p w14:paraId="47512A28" w14:textId="2CCCEB5D" w:rsidR="009436B1" w:rsidRPr="00717B6D" w:rsidRDefault="00717B6D" w:rsidP="00717B6D">
      <w:pPr>
        <w:spacing w:line="360" w:lineRule="auto"/>
        <w:ind w:left="720" w:hanging="360"/>
        <w:rPr>
          <w:rFonts w:ascii="Arial" w:hAnsi="Arial" w:cs="Arial"/>
          <w:sz w:val="24"/>
          <w:szCs w:val="24"/>
        </w:rPr>
      </w:pPr>
      <w:r w:rsidRPr="00705AF9">
        <w:rPr>
          <w:rFonts w:ascii="Arial" w:hAnsi="Arial" w:cs="Arial"/>
          <w:sz w:val="24"/>
          <w:szCs w:val="24"/>
        </w:rPr>
        <w:t>(1)</w:t>
      </w:r>
      <w:r w:rsidRPr="00705AF9">
        <w:rPr>
          <w:rFonts w:ascii="Arial" w:hAnsi="Arial" w:cs="Arial"/>
          <w:sz w:val="24"/>
          <w:szCs w:val="24"/>
        </w:rPr>
        <w:tab/>
      </w:r>
      <w:r w:rsidR="008F7918" w:rsidRPr="00717B6D">
        <w:rPr>
          <w:rFonts w:ascii="Arial" w:hAnsi="Arial" w:cs="Arial"/>
          <w:sz w:val="24"/>
          <w:szCs w:val="24"/>
        </w:rPr>
        <w:t>The action is dismissed with costs.</w:t>
      </w:r>
    </w:p>
    <w:p w14:paraId="0FCB1714" w14:textId="77777777" w:rsidR="008F7918" w:rsidRDefault="008F7918" w:rsidP="008F7918">
      <w:pPr>
        <w:pStyle w:val="ListParagraph"/>
        <w:spacing w:line="480" w:lineRule="auto"/>
        <w:ind w:left="360"/>
      </w:pPr>
    </w:p>
    <w:p w14:paraId="4FBF3DFC" w14:textId="77777777" w:rsidR="00861D71" w:rsidRDefault="00861D71" w:rsidP="008F7918">
      <w:pPr>
        <w:pStyle w:val="ListParagraph"/>
        <w:spacing w:line="480" w:lineRule="auto"/>
        <w:ind w:left="360"/>
      </w:pPr>
    </w:p>
    <w:p w14:paraId="5315F1F1" w14:textId="77777777" w:rsidR="00861D71" w:rsidRDefault="00861D71" w:rsidP="008F7918">
      <w:pPr>
        <w:pStyle w:val="ListParagraph"/>
        <w:spacing w:line="480" w:lineRule="auto"/>
        <w:ind w:left="360"/>
      </w:pPr>
    </w:p>
    <w:p w14:paraId="3412E491" w14:textId="376141EA" w:rsidR="00B23AC7" w:rsidRDefault="00705AF9" w:rsidP="00705AF9">
      <w:pPr>
        <w:spacing w:line="480" w:lineRule="auto"/>
        <w:ind w:left="4320" w:firstLine="720"/>
      </w:pPr>
      <w:r>
        <w:t>____________________________</w:t>
      </w:r>
    </w:p>
    <w:p w14:paraId="5962B8B9" w14:textId="77777777" w:rsidR="00705AF9" w:rsidRPr="00705AF9" w:rsidRDefault="00705AF9" w:rsidP="00705AF9">
      <w:pPr>
        <w:spacing w:line="240" w:lineRule="auto"/>
        <w:ind w:left="4320" w:firstLine="720"/>
        <w:rPr>
          <w:rFonts w:ascii="Arial" w:hAnsi="Arial" w:cs="Arial"/>
          <w:sz w:val="24"/>
          <w:szCs w:val="24"/>
        </w:rPr>
      </w:pPr>
      <w:r w:rsidRPr="00705AF9">
        <w:rPr>
          <w:rFonts w:ascii="Arial" w:hAnsi="Arial" w:cs="Arial"/>
          <w:sz w:val="24"/>
          <w:szCs w:val="24"/>
        </w:rPr>
        <w:t>Roland Sutherland</w:t>
      </w:r>
    </w:p>
    <w:p w14:paraId="3B557071" w14:textId="77777777" w:rsidR="00705AF9" w:rsidRPr="00705AF9" w:rsidRDefault="00705AF9" w:rsidP="00705AF9">
      <w:pPr>
        <w:spacing w:line="240" w:lineRule="auto"/>
        <w:ind w:left="5040"/>
        <w:rPr>
          <w:rFonts w:ascii="Arial" w:hAnsi="Arial" w:cs="Arial"/>
          <w:sz w:val="24"/>
          <w:szCs w:val="24"/>
        </w:rPr>
      </w:pPr>
      <w:r w:rsidRPr="00705AF9">
        <w:rPr>
          <w:rFonts w:ascii="Arial" w:hAnsi="Arial" w:cs="Arial"/>
          <w:sz w:val="24"/>
          <w:szCs w:val="24"/>
        </w:rPr>
        <w:t>Deputy Judge President, Gauteng Division, Johannesburg</w:t>
      </w:r>
    </w:p>
    <w:p w14:paraId="57C773B8" w14:textId="77777777" w:rsidR="00705AF9" w:rsidRDefault="00705AF9" w:rsidP="00705AF9">
      <w:pPr>
        <w:pStyle w:val="ListParagraph"/>
        <w:spacing w:line="480" w:lineRule="auto"/>
        <w:ind w:left="360"/>
        <w:rPr>
          <w:rFonts w:ascii="Arial" w:hAnsi="Arial" w:cs="Arial"/>
          <w:sz w:val="24"/>
          <w:szCs w:val="24"/>
        </w:rPr>
      </w:pPr>
    </w:p>
    <w:p w14:paraId="72D4416E" w14:textId="4D10F831" w:rsidR="00705AF9" w:rsidRPr="00705AF9" w:rsidRDefault="00705AF9" w:rsidP="00705AF9">
      <w:pPr>
        <w:spacing w:line="480" w:lineRule="auto"/>
        <w:ind w:firstLine="360"/>
        <w:rPr>
          <w:rFonts w:ascii="Arial" w:hAnsi="Arial" w:cs="Arial"/>
          <w:sz w:val="24"/>
          <w:szCs w:val="24"/>
        </w:rPr>
      </w:pPr>
      <w:r w:rsidRPr="00705AF9">
        <w:rPr>
          <w:rFonts w:ascii="Arial" w:hAnsi="Arial" w:cs="Arial"/>
          <w:sz w:val="24"/>
          <w:szCs w:val="24"/>
        </w:rPr>
        <w:t xml:space="preserve">Heard: </w:t>
      </w:r>
      <w:r w:rsidRPr="00705AF9">
        <w:rPr>
          <w:rFonts w:ascii="Arial" w:hAnsi="Arial" w:cs="Arial"/>
          <w:sz w:val="24"/>
          <w:szCs w:val="24"/>
        </w:rPr>
        <w:tab/>
      </w:r>
      <w:r w:rsidRPr="00705AF9">
        <w:rPr>
          <w:rFonts w:ascii="Arial" w:hAnsi="Arial" w:cs="Arial"/>
          <w:sz w:val="24"/>
          <w:szCs w:val="24"/>
        </w:rPr>
        <w:tab/>
        <w:t>30 October 2023</w:t>
      </w:r>
    </w:p>
    <w:p w14:paraId="53DF1A10" w14:textId="043F6620" w:rsidR="00705AF9" w:rsidRDefault="00705AF9" w:rsidP="00705AF9">
      <w:pPr>
        <w:pStyle w:val="ListParagraph"/>
        <w:spacing w:line="480" w:lineRule="auto"/>
        <w:ind w:left="360"/>
        <w:rPr>
          <w:rFonts w:ascii="Arial" w:hAnsi="Arial" w:cs="Arial"/>
          <w:sz w:val="24"/>
          <w:szCs w:val="24"/>
        </w:rPr>
      </w:pPr>
      <w:r>
        <w:rPr>
          <w:rFonts w:ascii="Arial" w:hAnsi="Arial" w:cs="Arial"/>
          <w:sz w:val="24"/>
          <w:szCs w:val="24"/>
        </w:rPr>
        <w:t xml:space="preserve">Delivered: </w:t>
      </w:r>
      <w:r>
        <w:rPr>
          <w:rFonts w:ascii="Arial" w:hAnsi="Arial" w:cs="Arial"/>
          <w:sz w:val="24"/>
          <w:szCs w:val="24"/>
        </w:rPr>
        <w:tab/>
      </w:r>
      <w:r w:rsidR="00E1053E">
        <w:rPr>
          <w:rFonts w:ascii="Arial" w:hAnsi="Arial" w:cs="Arial"/>
          <w:sz w:val="24"/>
          <w:szCs w:val="24"/>
        </w:rPr>
        <w:t>8</w:t>
      </w:r>
      <w:r>
        <w:rPr>
          <w:rFonts w:ascii="Arial" w:hAnsi="Arial" w:cs="Arial"/>
          <w:sz w:val="24"/>
          <w:szCs w:val="24"/>
        </w:rPr>
        <w:t xml:space="preserve"> November 2023</w:t>
      </w:r>
    </w:p>
    <w:p w14:paraId="292A8A8C" w14:textId="77777777" w:rsidR="00705AF9" w:rsidRDefault="00705AF9" w:rsidP="00705AF9">
      <w:pPr>
        <w:spacing w:line="480" w:lineRule="auto"/>
        <w:ind w:left="5040" w:firstLine="720"/>
      </w:pPr>
    </w:p>
    <w:p w14:paraId="21CFCF15" w14:textId="208AC30C" w:rsidR="00B23AC7" w:rsidRPr="00705AF9" w:rsidRDefault="00B23AC7" w:rsidP="00705AF9">
      <w:pPr>
        <w:pStyle w:val="ListParagraph"/>
        <w:spacing w:line="360" w:lineRule="auto"/>
        <w:ind w:left="360"/>
        <w:rPr>
          <w:rFonts w:ascii="Arial" w:hAnsi="Arial" w:cs="Arial"/>
          <w:sz w:val="24"/>
        </w:rPr>
      </w:pPr>
      <w:r w:rsidRPr="00705AF9">
        <w:rPr>
          <w:rFonts w:ascii="Arial" w:hAnsi="Arial" w:cs="Arial"/>
          <w:sz w:val="24"/>
        </w:rPr>
        <w:t xml:space="preserve">For the </w:t>
      </w:r>
      <w:r w:rsidR="00490E30" w:rsidRPr="00705AF9">
        <w:rPr>
          <w:rFonts w:ascii="Arial" w:hAnsi="Arial" w:cs="Arial"/>
          <w:sz w:val="24"/>
        </w:rPr>
        <w:t>P</w:t>
      </w:r>
      <w:r w:rsidRPr="00705AF9">
        <w:rPr>
          <w:rFonts w:ascii="Arial" w:hAnsi="Arial" w:cs="Arial"/>
          <w:sz w:val="24"/>
        </w:rPr>
        <w:t>laintiff:</w:t>
      </w:r>
      <w:r w:rsidR="00705AF9">
        <w:rPr>
          <w:rFonts w:ascii="Arial" w:hAnsi="Arial" w:cs="Arial"/>
          <w:sz w:val="24"/>
        </w:rPr>
        <w:tab/>
      </w:r>
      <w:r w:rsidR="00705AF9">
        <w:rPr>
          <w:rFonts w:ascii="Arial" w:hAnsi="Arial" w:cs="Arial"/>
          <w:sz w:val="24"/>
        </w:rPr>
        <w:tab/>
      </w:r>
      <w:r w:rsidRPr="00705AF9">
        <w:rPr>
          <w:rFonts w:ascii="Arial" w:hAnsi="Arial" w:cs="Arial"/>
          <w:sz w:val="24"/>
        </w:rPr>
        <w:t>Attorney P F Ndou,</w:t>
      </w:r>
      <w:r w:rsidR="00705AF9">
        <w:rPr>
          <w:rFonts w:ascii="Arial" w:hAnsi="Arial" w:cs="Arial"/>
          <w:sz w:val="24"/>
        </w:rPr>
        <w:t xml:space="preserve"> (with rights of appearance)</w:t>
      </w:r>
    </w:p>
    <w:p w14:paraId="50A04A9F" w14:textId="19690989" w:rsidR="00B23AC7" w:rsidRPr="00705AF9" w:rsidRDefault="00B23AC7" w:rsidP="00705AF9">
      <w:pPr>
        <w:pStyle w:val="ListParagraph"/>
        <w:spacing w:line="360" w:lineRule="auto"/>
        <w:ind w:left="2520" w:firstLine="360"/>
        <w:rPr>
          <w:rFonts w:ascii="Arial" w:hAnsi="Arial" w:cs="Arial"/>
          <w:sz w:val="24"/>
        </w:rPr>
      </w:pPr>
      <w:r w:rsidRPr="00705AF9">
        <w:rPr>
          <w:rFonts w:ascii="Arial" w:hAnsi="Arial" w:cs="Arial"/>
          <w:sz w:val="24"/>
        </w:rPr>
        <w:t>Of Ndou Attorneys.</w:t>
      </w:r>
    </w:p>
    <w:p w14:paraId="1C8EB0F9" w14:textId="77777777" w:rsidR="00B23AC7" w:rsidRDefault="00B23AC7" w:rsidP="008F7918">
      <w:pPr>
        <w:pStyle w:val="ListParagraph"/>
        <w:spacing w:line="480" w:lineRule="auto"/>
        <w:ind w:left="360"/>
      </w:pPr>
    </w:p>
    <w:p w14:paraId="53A18FBD" w14:textId="0427C493" w:rsidR="00B23AC7" w:rsidRPr="00705AF9" w:rsidRDefault="00705AF9" w:rsidP="00705AF9">
      <w:pPr>
        <w:pStyle w:val="ListParagraph"/>
        <w:spacing w:line="360" w:lineRule="auto"/>
        <w:ind w:left="360"/>
        <w:rPr>
          <w:rFonts w:ascii="Arial" w:hAnsi="Arial" w:cs="Arial"/>
          <w:sz w:val="24"/>
          <w:szCs w:val="24"/>
        </w:rPr>
      </w:pPr>
      <w:r w:rsidRPr="00705AF9">
        <w:rPr>
          <w:rFonts w:ascii="Arial" w:hAnsi="Arial" w:cs="Arial"/>
          <w:sz w:val="24"/>
          <w:szCs w:val="24"/>
        </w:rPr>
        <w:t>For the Defendant:</w:t>
      </w:r>
      <w:r w:rsidRPr="00705AF9">
        <w:rPr>
          <w:rFonts w:ascii="Arial" w:hAnsi="Arial" w:cs="Arial"/>
          <w:sz w:val="24"/>
          <w:szCs w:val="24"/>
        </w:rPr>
        <w:tab/>
        <w:t xml:space="preserve">Adv T </w:t>
      </w:r>
      <w:proofErr w:type="spellStart"/>
      <w:r w:rsidRPr="00705AF9">
        <w:rPr>
          <w:rFonts w:ascii="Arial" w:hAnsi="Arial" w:cs="Arial"/>
          <w:sz w:val="24"/>
          <w:szCs w:val="24"/>
        </w:rPr>
        <w:t>Ntoane</w:t>
      </w:r>
      <w:proofErr w:type="spellEnd"/>
    </w:p>
    <w:p w14:paraId="04ACDE3F" w14:textId="462C4C72" w:rsidR="00705AF9" w:rsidRPr="00705AF9" w:rsidRDefault="00705AF9" w:rsidP="00705AF9">
      <w:pPr>
        <w:pStyle w:val="ListParagraph"/>
        <w:spacing w:line="360" w:lineRule="auto"/>
        <w:ind w:left="360"/>
        <w:rPr>
          <w:rFonts w:ascii="Arial" w:hAnsi="Arial" w:cs="Arial"/>
          <w:sz w:val="24"/>
          <w:szCs w:val="24"/>
        </w:rPr>
      </w:pPr>
      <w:r w:rsidRPr="00705AF9">
        <w:rPr>
          <w:rFonts w:ascii="Arial" w:hAnsi="Arial" w:cs="Arial"/>
          <w:sz w:val="24"/>
          <w:szCs w:val="24"/>
        </w:rPr>
        <w:t>Instructed by</w:t>
      </w:r>
      <w:r w:rsidRPr="00705AF9">
        <w:rPr>
          <w:rFonts w:ascii="Arial" w:hAnsi="Arial" w:cs="Arial"/>
          <w:sz w:val="24"/>
          <w:szCs w:val="24"/>
        </w:rPr>
        <w:tab/>
      </w:r>
      <w:r w:rsidRPr="00705AF9">
        <w:rPr>
          <w:rFonts w:ascii="Arial" w:hAnsi="Arial" w:cs="Arial"/>
          <w:sz w:val="24"/>
          <w:szCs w:val="24"/>
        </w:rPr>
        <w:tab/>
      </w:r>
      <w:proofErr w:type="spellStart"/>
      <w:r w:rsidRPr="00705AF9">
        <w:rPr>
          <w:rFonts w:ascii="Arial" w:hAnsi="Arial" w:cs="Arial"/>
          <w:sz w:val="24"/>
          <w:szCs w:val="24"/>
        </w:rPr>
        <w:t>Tshibi</w:t>
      </w:r>
      <w:proofErr w:type="spellEnd"/>
      <w:r w:rsidRPr="00705AF9">
        <w:rPr>
          <w:rFonts w:ascii="Arial" w:hAnsi="Arial" w:cs="Arial"/>
          <w:sz w:val="24"/>
          <w:szCs w:val="24"/>
        </w:rPr>
        <w:t xml:space="preserve"> </w:t>
      </w:r>
      <w:proofErr w:type="spellStart"/>
      <w:r w:rsidRPr="00705AF9">
        <w:rPr>
          <w:rFonts w:ascii="Arial" w:hAnsi="Arial" w:cs="Arial"/>
          <w:sz w:val="24"/>
          <w:szCs w:val="24"/>
        </w:rPr>
        <w:t>Zebedela</w:t>
      </w:r>
      <w:proofErr w:type="spellEnd"/>
      <w:r w:rsidRPr="00705AF9">
        <w:rPr>
          <w:rFonts w:ascii="Arial" w:hAnsi="Arial" w:cs="Arial"/>
          <w:sz w:val="24"/>
          <w:szCs w:val="24"/>
        </w:rPr>
        <w:t xml:space="preserve"> Inc. </w:t>
      </w:r>
    </w:p>
    <w:sectPr w:rsidR="00705AF9" w:rsidRPr="00705A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500C" w14:textId="77777777" w:rsidR="00541CA4" w:rsidRDefault="00541CA4" w:rsidP="00C50DAC">
      <w:pPr>
        <w:spacing w:after="0" w:line="240" w:lineRule="auto"/>
      </w:pPr>
      <w:r>
        <w:separator/>
      </w:r>
    </w:p>
  </w:endnote>
  <w:endnote w:type="continuationSeparator" w:id="0">
    <w:p w14:paraId="0CFC32B9" w14:textId="77777777" w:rsidR="00541CA4" w:rsidRDefault="00541CA4" w:rsidP="00C5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180C" w14:textId="77777777" w:rsidR="00541CA4" w:rsidRDefault="00541CA4" w:rsidP="00C50DAC">
      <w:pPr>
        <w:spacing w:after="0" w:line="240" w:lineRule="auto"/>
      </w:pPr>
      <w:r>
        <w:separator/>
      </w:r>
    </w:p>
  </w:footnote>
  <w:footnote w:type="continuationSeparator" w:id="0">
    <w:p w14:paraId="448D0D63" w14:textId="77777777" w:rsidR="00541CA4" w:rsidRDefault="00541CA4" w:rsidP="00C50DAC">
      <w:pPr>
        <w:spacing w:after="0" w:line="240" w:lineRule="auto"/>
      </w:pPr>
      <w:r>
        <w:continuationSeparator/>
      </w:r>
    </w:p>
  </w:footnote>
  <w:footnote w:id="1">
    <w:p w14:paraId="11057EA7" w14:textId="4D50C444" w:rsidR="00CA0C60" w:rsidRPr="007642AC" w:rsidRDefault="00CA0C60">
      <w:pPr>
        <w:pStyle w:val="FootnoteText"/>
        <w:rPr>
          <w:rFonts w:ascii="Arial" w:hAnsi="Arial" w:cs="Arial"/>
          <w:sz w:val="18"/>
          <w:szCs w:val="18"/>
        </w:rPr>
      </w:pPr>
      <w:r w:rsidRPr="007642AC">
        <w:rPr>
          <w:rStyle w:val="FootnoteReference"/>
          <w:rFonts w:ascii="Arial" w:hAnsi="Arial" w:cs="Arial"/>
          <w:sz w:val="18"/>
          <w:szCs w:val="18"/>
        </w:rPr>
        <w:footnoteRef/>
      </w:r>
      <w:r w:rsidRPr="007642AC">
        <w:rPr>
          <w:rFonts w:ascii="Arial" w:hAnsi="Arial" w:cs="Arial"/>
          <w:sz w:val="18"/>
          <w:szCs w:val="18"/>
        </w:rPr>
        <w:t xml:space="preserve"> I was referred to several cases by the plaintiff. These cases do not support the plaintiffs case. In </w:t>
      </w:r>
      <w:r w:rsidRPr="007642AC">
        <w:rPr>
          <w:rFonts w:ascii="Arial" w:hAnsi="Arial" w:cs="Arial"/>
          <w:i/>
          <w:sz w:val="18"/>
          <w:szCs w:val="18"/>
        </w:rPr>
        <w:t xml:space="preserve">Ngubani v National Youth Development Agency (2014) 35 ILJ 1356 (LC) </w:t>
      </w:r>
      <w:r w:rsidRPr="007642AC">
        <w:rPr>
          <w:rFonts w:ascii="Arial" w:hAnsi="Arial" w:cs="Arial"/>
          <w:sz w:val="18"/>
          <w:szCs w:val="18"/>
        </w:rPr>
        <w:t xml:space="preserve">the plaintiff sued on an employment contract which did include a clause stipulating that a fair disciplinary enquiry </w:t>
      </w:r>
      <w:r w:rsidR="00B970E7" w:rsidRPr="007642AC">
        <w:rPr>
          <w:rFonts w:ascii="Arial" w:hAnsi="Arial" w:cs="Arial"/>
          <w:sz w:val="18"/>
          <w:szCs w:val="18"/>
        </w:rPr>
        <w:t>was n</w:t>
      </w:r>
      <w:r w:rsidRPr="007642AC">
        <w:rPr>
          <w:rFonts w:ascii="Arial" w:hAnsi="Arial" w:cs="Arial"/>
          <w:sz w:val="18"/>
          <w:szCs w:val="18"/>
        </w:rPr>
        <w:t xml:space="preserve">ecessary. In </w:t>
      </w:r>
      <w:r w:rsidRPr="007642AC">
        <w:rPr>
          <w:rFonts w:ascii="Arial" w:hAnsi="Arial" w:cs="Arial"/>
          <w:i/>
          <w:sz w:val="18"/>
          <w:szCs w:val="18"/>
        </w:rPr>
        <w:t xml:space="preserve">Somi  </w:t>
      </w:r>
      <w:r w:rsidR="00381EBF" w:rsidRPr="007642AC">
        <w:rPr>
          <w:rFonts w:ascii="Arial" w:hAnsi="Arial" w:cs="Arial"/>
          <w:i/>
          <w:sz w:val="18"/>
          <w:szCs w:val="18"/>
        </w:rPr>
        <w:t xml:space="preserve">v </w:t>
      </w:r>
      <w:r w:rsidRPr="007642AC">
        <w:rPr>
          <w:rFonts w:ascii="Arial" w:hAnsi="Arial" w:cs="Arial"/>
          <w:i/>
          <w:sz w:val="18"/>
          <w:szCs w:val="18"/>
        </w:rPr>
        <w:t>Old Mutual Africa Holdings (Pty) Ltd (2015) 36 ILJ 2370 (LC)</w:t>
      </w:r>
      <w:r w:rsidRPr="007642AC">
        <w:rPr>
          <w:rFonts w:ascii="Arial" w:hAnsi="Arial" w:cs="Arial"/>
          <w:sz w:val="18"/>
          <w:szCs w:val="18"/>
        </w:rPr>
        <w:t xml:space="preserve"> the provisions of the LRA were incorporated into the contract of employment.</w:t>
      </w:r>
      <w:r w:rsidR="00381EBF" w:rsidRPr="007642AC">
        <w:rPr>
          <w:rFonts w:ascii="Arial" w:hAnsi="Arial" w:cs="Arial"/>
          <w:sz w:val="18"/>
          <w:szCs w:val="18"/>
        </w:rPr>
        <w:t xml:space="preserve"> In </w:t>
      </w:r>
      <w:r w:rsidR="00381EBF" w:rsidRPr="007642AC">
        <w:rPr>
          <w:rFonts w:ascii="Arial" w:hAnsi="Arial" w:cs="Arial"/>
          <w:i/>
          <w:sz w:val="18"/>
          <w:szCs w:val="18"/>
        </w:rPr>
        <w:t>Wereley v Productivity SA &amp; Another (2020) 41 ILJ 997 (LC)</w:t>
      </w:r>
      <w:r w:rsidR="007A29E8" w:rsidRPr="007642AC">
        <w:rPr>
          <w:rFonts w:ascii="Arial" w:hAnsi="Arial" w:cs="Arial"/>
          <w:sz w:val="18"/>
          <w:szCs w:val="18"/>
        </w:rPr>
        <w:t xml:space="preserve"> </w:t>
      </w:r>
      <w:r w:rsidR="00381EBF" w:rsidRPr="007642AC">
        <w:rPr>
          <w:rFonts w:ascii="Arial" w:hAnsi="Arial" w:cs="Arial"/>
          <w:sz w:val="18"/>
          <w:szCs w:val="18"/>
        </w:rPr>
        <w:t>a clause in the contract of employment</w:t>
      </w:r>
      <w:r w:rsidR="00B970E7" w:rsidRPr="007642AC">
        <w:rPr>
          <w:rFonts w:ascii="Arial" w:hAnsi="Arial" w:cs="Arial"/>
          <w:sz w:val="18"/>
          <w:szCs w:val="18"/>
        </w:rPr>
        <w:t xml:space="preserve"> incorporated the employers ‘rules regulations and procedures’ </w:t>
      </w:r>
      <w:r w:rsidR="007A29E8" w:rsidRPr="007642AC">
        <w:rPr>
          <w:rFonts w:ascii="Arial" w:hAnsi="Arial" w:cs="Arial"/>
          <w:sz w:val="18"/>
          <w:szCs w:val="18"/>
        </w:rPr>
        <w:t>which the court held</w:t>
      </w:r>
      <w:r w:rsidR="00B970E7" w:rsidRPr="007642AC">
        <w:rPr>
          <w:rFonts w:ascii="Arial" w:hAnsi="Arial" w:cs="Arial"/>
          <w:sz w:val="18"/>
          <w:szCs w:val="18"/>
        </w:rPr>
        <w:t xml:space="preserve"> included a fair disciplinary procedure.</w:t>
      </w:r>
      <w:r w:rsidR="007A29E8" w:rsidRPr="007642AC">
        <w:rPr>
          <w:rFonts w:ascii="Arial" w:hAnsi="Arial" w:cs="Arial"/>
          <w:sz w:val="18"/>
          <w:szCs w:val="18"/>
        </w:rPr>
        <w:t xml:space="preserve"> All these cases are examples where there was</w:t>
      </w:r>
      <w:r w:rsidR="005051C1">
        <w:rPr>
          <w:rFonts w:ascii="Arial" w:hAnsi="Arial" w:cs="Arial"/>
          <w:sz w:val="18"/>
          <w:szCs w:val="18"/>
        </w:rPr>
        <w:t>,</w:t>
      </w:r>
      <w:r w:rsidR="007A29E8" w:rsidRPr="007642AC">
        <w:rPr>
          <w:rFonts w:ascii="Arial" w:hAnsi="Arial" w:cs="Arial"/>
          <w:sz w:val="18"/>
          <w:szCs w:val="18"/>
        </w:rPr>
        <w:t xml:space="preserve"> as a fact</w:t>
      </w:r>
      <w:r w:rsidR="005051C1">
        <w:rPr>
          <w:rFonts w:ascii="Arial" w:hAnsi="Arial" w:cs="Arial"/>
          <w:sz w:val="18"/>
          <w:szCs w:val="18"/>
        </w:rPr>
        <w:t>,</w:t>
      </w:r>
      <w:r w:rsidR="007A29E8" w:rsidRPr="007642AC">
        <w:rPr>
          <w:rFonts w:ascii="Arial" w:hAnsi="Arial" w:cs="Arial"/>
          <w:sz w:val="18"/>
          <w:szCs w:val="18"/>
        </w:rPr>
        <w:t xml:space="preserve"> an incorporation</w:t>
      </w:r>
      <w:r w:rsidR="005051C1">
        <w:rPr>
          <w:rFonts w:ascii="Arial" w:hAnsi="Arial" w:cs="Arial"/>
          <w:sz w:val="18"/>
          <w:szCs w:val="18"/>
        </w:rPr>
        <w:t xml:space="preserve"> of a right to fairness,</w:t>
      </w:r>
      <w:r w:rsidR="007A29E8" w:rsidRPr="007642AC">
        <w:rPr>
          <w:rFonts w:ascii="Arial" w:hAnsi="Arial" w:cs="Arial"/>
          <w:sz w:val="18"/>
          <w:szCs w:val="18"/>
        </w:rPr>
        <w:t>, which in the case of this plaintiff is absent.</w:t>
      </w:r>
      <w:r w:rsidR="007C40C5" w:rsidRPr="007642AC">
        <w:rPr>
          <w:rFonts w:ascii="Arial" w:hAnsi="Arial" w:cs="Arial"/>
          <w:sz w:val="18"/>
          <w:szCs w:val="18"/>
        </w:rPr>
        <w:t xml:space="preserve"> In addition, I was referred to</w:t>
      </w:r>
      <w:r w:rsidR="007C40C5" w:rsidRPr="007642AC">
        <w:rPr>
          <w:rFonts w:ascii="Arial" w:hAnsi="Arial" w:cs="Arial"/>
          <w:i/>
          <w:iCs/>
          <w:sz w:val="18"/>
          <w:szCs w:val="18"/>
        </w:rPr>
        <w:t xml:space="preserve"> Ekurheleni Metropolitan Municipality v SA Municipal workers Union &amp; others (2018) 39 ILJ 546 (LAC)</w:t>
      </w:r>
      <w:r w:rsidR="007C40C5" w:rsidRPr="007642AC">
        <w:rPr>
          <w:rFonts w:ascii="Arial" w:hAnsi="Arial" w:cs="Arial"/>
          <w:sz w:val="18"/>
          <w:szCs w:val="18"/>
        </w:rPr>
        <w:t xml:space="preserve"> where the distinction between a contractual claim and a claim based on a statutory right was explained. </w:t>
      </w:r>
      <w:r w:rsidR="00F35FAA" w:rsidRPr="007642AC">
        <w:rPr>
          <w:rFonts w:ascii="Arial" w:hAnsi="Arial" w:cs="Arial"/>
          <w:sz w:val="18"/>
          <w:szCs w:val="18"/>
        </w:rPr>
        <w:t xml:space="preserve">That case takes the debate no further.  </w:t>
      </w:r>
      <w:r w:rsidR="00022EF0" w:rsidRPr="007642AC">
        <w:rPr>
          <w:rFonts w:ascii="Arial" w:hAnsi="Arial" w:cs="Arial"/>
          <w:sz w:val="18"/>
          <w:szCs w:val="18"/>
        </w:rPr>
        <w:t xml:space="preserve">Also, I was referred to </w:t>
      </w:r>
      <w:r w:rsidR="00022EF0" w:rsidRPr="007642AC">
        <w:rPr>
          <w:rFonts w:ascii="Arial" w:hAnsi="Arial" w:cs="Arial"/>
          <w:i/>
          <w:iCs/>
          <w:sz w:val="18"/>
          <w:szCs w:val="18"/>
        </w:rPr>
        <w:t>United National Transport Union v Transnet SOC ZALCJHB 2022/</w:t>
      </w:r>
      <w:r w:rsidR="00022EF0" w:rsidRPr="007642AC">
        <w:rPr>
          <w:rFonts w:ascii="Arial" w:hAnsi="Arial" w:cs="Arial"/>
          <w:sz w:val="18"/>
          <w:szCs w:val="18"/>
        </w:rPr>
        <w:t>127 where a union lodged a claim based on</w:t>
      </w:r>
      <w:r w:rsidR="00DF72D1" w:rsidRPr="007642AC">
        <w:rPr>
          <w:rFonts w:ascii="Arial" w:hAnsi="Arial" w:cs="Arial"/>
          <w:sz w:val="18"/>
          <w:szCs w:val="18"/>
        </w:rPr>
        <w:t xml:space="preserve"> an agreement to increase wages</w:t>
      </w:r>
      <w:r w:rsidR="00022EF0" w:rsidRPr="007642AC">
        <w:rPr>
          <w:rFonts w:ascii="Arial" w:hAnsi="Arial" w:cs="Arial"/>
          <w:sz w:val="18"/>
          <w:szCs w:val="18"/>
        </w:rPr>
        <w:t>. On exception, the court held that the allegation passed the test for excipibility</w:t>
      </w:r>
      <w:r w:rsidR="00DF72D1" w:rsidRPr="007642AC">
        <w:rPr>
          <w:rFonts w:ascii="Arial" w:hAnsi="Arial" w:cs="Arial"/>
          <w:sz w:val="18"/>
          <w:szCs w:val="18"/>
        </w:rPr>
        <w:t xml:space="preserve"> (see para [9])</w:t>
      </w:r>
      <w:r w:rsidR="00022EF0" w:rsidRPr="007642AC">
        <w:rPr>
          <w:rFonts w:ascii="Arial" w:hAnsi="Arial" w:cs="Arial"/>
          <w:sz w:val="18"/>
          <w:szCs w:val="18"/>
        </w:rPr>
        <w:t xml:space="preserve"> and dismissed the exception. This </w:t>
      </w:r>
      <w:r w:rsidR="005051C1">
        <w:rPr>
          <w:rFonts w:ascii="Arial" w:hAnsi="Arial" w:cs="Arial"/>
          <w:sz w:val="18"/>
          <w:szCs w:val="18"/>
        </w:rPr>
        <w:t xml:space="preserve">case </w:t>
      </w:r>
      <w:r w:rsidR="00022EF0" w:rsidRPr="007642AC">
        <w:rPr>
          <w:rFonts w:ascii="Arial" w:hAnsi="Arial" w:cs="Arial"/>
          <w:sz w:val="18"/>
          <w:szCs w:val="18"/>
        </w:rPr>
        <w:t>is not authority for the finding that a contractual term actually existed</w:t>
      </w:r>
      <w:r w:rsidR="00FF22AB">
        <w:rPr>
          <w:rFonts w:ascii="Arial" w:hAnsi="Arial" w:cs="Arial"/>
          <w:sz w:val="18"/>
          <w:szCs w:val="18"/>
        </w:rPr>
        <w:t xml:space="preserve"> nor was the case argued for substantive relief.</w:t>
      </w:r>
      <w:r w:rsidR="00022EF0" w:rsidRPr="007642AC">
        <w:rPr>
          <w:rFonts w:ascii="Arial" w:hAnsi="Arial" w:cs="Arial"/>
          <w:sz w:val="18"/>
          <w:szCs w:val="18"/>
        </w:rPr>
        <w:t xml:space="preserve"> </w:t>
      </w:r>
    </w:p>
  </w:footnote>
  <w:footnote w:id="2">
    <w:p w14:paraId="1AD87821" w14:textId="62B577C9" w:rsidR="00C50DAC" w:rsidRPr="007642AC" w:rsidRDefault="00C50DAC">
      <w:pPr>
        <w:pStyle w:val="FootnoteText"/>
        <w:rPr>
          <w:rFonts w:ascii="Arial" w:hAnsi="Arial" w:cs="Arial"/>
          <w:sz w:val="18"/>
          <w:szCs w:val="18"/>
        </w:rPr>
      </w:pPr>
      <w:r w:rsidRPr="007642AC">
        <w:rPr>
          <w:rStyle w:val="FootnoteReference"/>
          <w:rFonts w:ascii="Arial" w:hAnsi="Arial" w:cs="Arial"/>
          <w:sz w:val="18"/>
          <w:szCs w:val="18"/>
        </w:rPr>
        <w:footnoteRef/>
      </w:r>
      <w:r w:rsidRPr="007642AC">
        <w:rPr>
          <w:rFonts w:ascii="Arial" w:hAnsi="Arial" w:cs="Arial"/>
          <w:sz w:val="18"/>
          <w:szCs w:val="18"/>
        </w:rPr>
        <w:t xml:space="preserve"> I read the term ‘implied’ to mean ‘tacit’</w:t>
      </w:r>
      <w:r w:rsidR="00116412" w:rsidRPr="007642AC">
        <w:rPr>
          <w:rFonts w:ascii="Arial" w:hAnsi="Arial" w:cs="Arial"/>
          <w:sz w:val="18"/>
          <w:szCs w:val="18"/>
        </w:rPr>
        <w:t xml:space="preserve"> The term ‘implied’ should be reserved for the </w:t>
      </w:r>
      <w:r w:rsidR="00116412" w:rsidRPr="007642AC">
        <w:rPr>
          <w:rFonts w:ascii="Arial" w:hAnsi="Arial" w:cs="Arial"/>
          <w:i/>
          <w:sz w:val="18"/>
          <w:szCs w:val="18"/>
        </w:rPr>
        <w:t xml:space="preserve">naturalia </w:t>
      </w:r>
      <w:r w:rsidR="00116412" w:rsidRPr="007642AC">
        <w:rPr>
          <w:rFonts w:ascii="Arial" w:hAnsi="Arial" w:cs="Arial"/>
          <w:sz w:val="18"/>
          <w:szCs w:val="18"/>
        </w:rPr>
        <w:t xml:space="preserve">of a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020629"/>
      <w:docPartObj>
        <w:docPartGallery w:val="Page Numbers (Top of Page)"/>
        <w:docPartUnique/>
      </w:docPartObj>
    </w:sdtPr>
    <w:sdtEndPr>
      <w:rPr>
        <w:noProof/>
      </w:rPr>
    </w:sdtEndPr>
    <w:sdtContent>
      <w:p w14:paraId="6B25B498" w14:textId="76DD9F36" w:rsidR="003E7E9F" w:rsidRDefault="003E7E9F">
        <w:pPr>
          <w:pStyle w:val="Header"/>
          <w:jc w:val="right"/>
        </w:pPr>
        <w:r>
          <w:fldChar w:fldCharType="begin"/>
        </w:r>
        <w:r>
          <w:instrText xml:space="preserve"> PAGE   \* MERGEFORMAT </w:instrText>
        </w:r>
        <w:r>
          <w:fldChar w:fldCharType="separate"/>
        </w:r>
        <w:r w:rsidR="008B22CE">
          <w:rPr>
            <w:noProof/>
          </w:rPr>
          <w:t>6</w:t>
        </w:r>
        <w:r>
          <w:rPr>
            <w:noProof/>
          </w:rPr>
          <w:fldChar w:fldCharType="end"/>
        </w:r>
      </w:p>
    </w:sdtContent>
  </w:sdt>
  <w:p w14:paraId="3703ADC5" w14:textId="77777777" w:rsidR="003E7E9F" w:rsidRDefault="003E7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6A1662"/>
    <w:multiLevelType w:val="hybridMultilevel"/>
    <w:tmpl w:val="89C02C50"/>
    <w:lvl w:ilvl="0" w:tplc="C4E04A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1B77CE"/>
    <w:multiLevelType w:val="hybridMultilevel"/>
    <w:tmpl w:val="1B26F640"/>
    <w:lvl w:ilvl="0" w:tplc="40AA346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68B23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F03D77"/>
    <w:multiLevelType w:val="hybridMultilevel"/>
    <w:tmpl w:val="01F42A46"/>
    <w:lvl w:ilvl="0" w:tplc="F35CB4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73189C"/>
    <w:multiLevelType w:val="hybridMultilevel"/>
    <w:tmpl w:val="62C82BBE"/>
    <w:lvl w:ilvl="0" w:tplc="A15844EC">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24352430">
    <w:abstractNumId w:val="3"/>
  </w:num>
  <w:num w:numId="2" w16cid:durableId="862211962">
    <w:abstractNumId w:val="5"/>
  </w:num>
  <w:num w:numId="3" w16cid:durableId="463891873">
    <w:abstractNumId w:val="2"/>
  </w:num>
  <w:num w:numId="4" w16cid:durableId="1031103789">
    <w:abstractNumId w:val="1"/>
  </w:num>
  <w:num w:numId="5" w16cid:durableId="1145009605">
    <w:abstractNumId w:val="0"/>
  </w:num>
  <w:num w:numId="6" w16cid:durableId="1561331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B1"/>
    <w:rsid w:val="00002876"/>
    <w:rsid w:val="00004B9F"/>
    <w:rsid w:val="00022EF0"/>
    <w:rsid w:val="00067F75"/>
    <w:rsid w:val="00091949"/>
    <w:rsid w:val="000B3D35"/>
    <w:rsid w:val="000C2B0D"/>
    <w:rsid w:val="000C486A"/>
    <w:rsid w:val="000C6253"/>
    <w:rsid w:val="00116412"/>
    <w:rsid w:val="00125F03"/>
    <w:rsid w:val="00156DC6"/>
    <w:rsid w:val="001C1C79"/>
    <w:rsid w:val="001F4E9B"/>
    <w:rsid w:val="00216659"/>
    <w:rsid w:val="00230580"/>
    <w:rsid w:val="00246C05"/>
    <w:rsid w:val="00246C7F"/>
    <w:rsid w:val="0025461D"/>
    <w:rsid w:val="0026181D"/>
    <w:rsid w:val="002B6B8E"/>
    <w:rsid w:val="00377470"/>
    <w:rsid w:val="00381EBF"/>
    <w:rsid w:val="003A6A9B"/>
    <w:rsid w:val="003B285B"/>
    <w:rsid w:val="003C35A2"/>
    <w:rsid w:val="003D647E"/>
    <w:rsid w:val="003E5B35"/>
    <w:rsid w:val="003E7E9F"/>
    <w:rsid w:val="004252E3"/>
    <w:rsid w:val="004579DC"/>
    <w:rsid w:val="00490E30"/>
    <w:rsid w:val="00493DE4"/>
    <w:rsid w:val="004B588A"/>
    <w:rsid w:val="005051C1"/>
    <w:rsid w:val="00507C44"/>
    <w:rsid w:val="00541CA4"/>
    <w:rsid w:val="00556B56"/>
    <w:rsid w:val="00564256"/>
    <w:rsid w:val="00580A89"/>
    <w:rsid w:val="00611CE2"/>
    <w:rsid w:val="006234C9"/>
    <w:rsid w:val="006A316F"/>
    <w:rsid w:val="006A7FBA"/>
    <w:rsid w:val="006D179B"/>
    <w:rsid w:val="00705AF9"/>
    <w:rsid w:val="00706A4A"/>
    <w:rsid w:val="00717B6D"/>
    <w:rsid w:val="007642AC"/>
    <w:rsid w:val="007A29E8"/>
    <w:rsid w:val="007B64B0"/>
    <w:rsid w:val="007C40C5"/>
    <w:rsid w:val="007F5C0F"/>
    <w:rsid w:val="0080370A"/>
    <w:rsid w:val="0082366A"/>
    <w:rsid w:val="0082474A"/>
    <w:rsid w:val="00861D71"/>
    <w:rsid w:val="0089482B"/>
    <w:rsid w:val="008B22CE"/>
    <w:rsid w:val="008F7918"/>
    <w:rsid w:val="00927D99"/>
    <w:rsid w:val="009436B1"/>
    <w:rsid w:val="00970F8C"/>
    <w:rsid w:val="009749F9"/>
    <w:rsid w:val="00981A57"/>
    <w:rsid w:val="009C0033"/>
    <w:rsid w:val="009F39A0"/>
    <w:rsid w:val="00A73328"/>
    <w:rsid w:val="00A83693"/>
    <w:rsid w:val="00AD1F7E"/>
    <w:rsid w:val="00AF45F6"/>
    <w:rsid w:val="00B16CE0"/>
    <w:rsid w:val="00B23AC7"/>
    <w:rsid w:val="00B4154E"/>
    <w:rsid w:val="00B625DB"/>
    <w:rsid w:val="00B970E7"/>
    <w:rsid w:val="00BD60D2"/>
    <w:rsid w:val="00BF19FC"/>
    <w:rsid w:val="00C50DAC"/>
    <w:rsid w:val="00C61684"/>
    <w:rsid w:val="00C62DC3"/>
    <w:rsid w:val="00CA061D"/>
    <w:rsid w:val="00CA0C60"/>
    <w:rsid w:val="00CB3ACD"/>
    <w:rsid w:val="00D5674B"/>
    <w:rsid w:val="00DC1684"/>
    <w:rsid w:val="00DF3749"/>
    <w:rsid w:val="00DF72D1"/>
    <w:rsid w:val="00E1053E"/>
    <w:rsid w:val="00E25AC8"/>
    <w:rsid w:val="00E6441C"/>
    <w:rsid w:val="00E74B00"/>
    <w:rsid w:val="00E843C3"/>
    <w:rsid w:val="00EB4FDF"/>
    <w:rsid w:val="00ED11E5"/>
    <w:rsid w:val="00ED12BA"/>
    <w:rsid w:val="00F35FAA"/>
    <w:rsid w:val="00F44035"/>
    <w:rsid w:val="00FA4B27"/>
    <w:rsid w:val="00FC3489"/>
    <w:rsid w:val="00FE45AB"/>
    <w:rsid w:val="00FF22AB"/>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1EC6"/>
  <w15:chartTrackingRefBased/>
  <w15:docId w15:val="{BF89FA16-D0E6-44C0-8069-194D24C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B1"/>
    <w:pPr>
      <w:ind w:left="720"/>
      <w:contextualSpacing/>
    </w:pPr>
  </w:style>
  <w:style w:type="paragraph" w:styleId="FootnoteText">
    <w:name w:val="footnote text"/>
    <w:basedOn w:val="Normal"/>
    <w:link w:val="FootnoteTextChar"/>
    <w:uiPriority w:val="99"/>
    <w:semiHidden/>
    <w:unhideWhenUsed/>
    <w:rsid w:val="00C50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DAC"/>
    <w:rPr>
      <w:sz w:val="20"/>
      <w:szCs w:val="20"/>
    </w:rPr>
  </w:style>
  <w:style w:type="character" w:styleId="FootnoteReference">
    <w:name w:val="footnote reference"/>
    <w:basedOn w:val="DefaultParagraphFont"/>
    <w:uiPriority w:val="99"/>
    <w:semiHidden/>
    <w:unhideWhenUsed/>
    <w:rsid w:val="00C50DAC"/>
    <w:rPr>
      <w:vertAlign w:val="superscript"/>
    </w:rPr>
  </w:style>
  <w:style w:type="paragraph" w:styleId="NoSpacing">
    <w:name w:val="No Spacing"/>
    <w:uiPriority w:val="1"/>
    <w:qFormat/>
    <w:rsid w:val="00493DE4"/>
    <w:pPr>
      <w:spacing w:after="0" w:line="240" w:lineRule="auto"/>
    </w:pPr>
  </w:style>
  <w:style w:type="paragraph" w:styleId="Header">
    <w:name w:val="header"/>
    <w:basedOn w:val="Normal"/>
    <w:link w:val="HeaderChar"/>
    <w:uiPriority w:val="99"/>
    <w:unhideWhenUsed/>
    <w:rsid w:val="0082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6A"/>
  </w:style>
  <w:style w:type="paragraph" w:styleId="Footer">
    <w:name w:val="footer"/>
    <w:basedOn w:val="Normal"/>
    <w:link w:val="FooterChar"/>
    <w:uiPriority w:val="99"/>
    <w:unhideWhenUsed/>
    <w:rsid w:val="0082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56B2-CC37-4E51-A3F9-CAE05A0D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Judge-Roland Sutherland</dc:creator>
  <cp:keywords/>
  <dc:description/>
  <cp:lastModifiedBy>Lilitha Mdleleni</cp:lastModifiedBy>
  <cp:revision>3</cp:revision>
  <dcterms:created xsi:type="dcterms:W3CDTF">2023-11-16T13:45:00Z</dcterms:created>
  <dcterms:modified xsi:type="dcterms:W3CDTF">2023-11-16T22:44:00Z</dcterms:modified>
</cp:coreProperties>
</file>