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D848" w14:textId="19228AD4" w:rsidR="007B7F59" w:rsidRPr="000314C8" w:rsidRDefault="000314C8" w:rsidP="000314C8">
      <w:pPr>
        <w:tabs>
          <w:tab w:val="left" w:pos="2342"/>
          <w:tab w:val="center" w:pos="4513"/>
        </w:tabs>
        <w:spacing w:after="0" w:line="240" w:lineRule="auto"/>
        <w:ind w:left="0"/>
        <w:jc w:val="center"/>
        <w:outlineLvl w:val="0"/>
        <w:rPr>
          <w:rFonts w:eastAsia="Times New Roman" w:cs="Arial"/>
          <w:szCs w:val="24"/>
          <w:lang w:val="en-ZA"/>
        </w:rPr>
      </w:pPr>
      <w:r>
        <w:rPr>
          <w:noProof/>
          <w:lang w:val="en-ZA" w:eastAsia="en-ZA"/>
        </w:rPr>
        <w:drawing>
          <wp:inline distT="0" distB="0" distL="0" distR="0" wp14:anchorId="1FA5DEC1" wp14:editId="395F53E7">
            <wp:extent cx="1326515" cy="1356076"/>
            <wp:effectExtent l="0" t="0" r="6985" b="0"/>
            <wp:docPr id="1" name="Picture 1" descr="A logo of the judici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the judicial syste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6011" cy="1365784"/>
                    </a:xfrm>
                    <a:prstGeom prst="rect">
                      <a:avLst/>
                    </a:prstGeom>
                  </pic:spPr>
                </pic:pic>
              </a:graphicData>
            </a:graphic>
          </wp:inline>
        </w:drawing>
      </w:r>
    </w:p>
    <w:p w14:paraId="08CC121C"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17DF6862"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70B43185" w14:textId="77777777" w:rsidR="007B7F59" w:rsidRPr="007B7F59" w:rsidRDefault="007B7F59" w:rsidP="007B7F59">
      <w:pPr>
        <w:spacing w:after="0" w:line="240" w:lineRule="auto"/>
        <w:ind w:left="0"/>
        <w:rPr>
          <w:rFonts w:eastAsia="Times New Roman" w:cs="Arial"/>
          <w:szCs w:val="24"/>
          <w:lang w:val="en-ZA"/>
        </w:rPr>
      </w:pPr>
    </w:p>
    <w:p w14:paraId="4BDCA4D1" w14:textId="77777777" w:rsidR="007B7F59" w:rsidRPr="007B7F59" w:rsidRDefault="007B7F59" w:rsidP="007B7F59">
      <w:pPr>
        <w:spacing w:after="0" w:line="240" w:lineRule="auto"/>
        <w:ind w:left="0"/>
        <w:rPr>
          <w:rFonts w:eastAsia="Times New Roman" w:cs="Arial"/>
          <w:szCs w:val="24"/>
          <w:lang w:val="en-ZA"/>
        </w:rPr>
      </w:pPr>
    </w:p>
    <w:p w14:paraId="6AABB62C" w14:textId="401C42B1"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0314C8">
        <w:rPr>
          <w:rFonts w:eastAsia="Times New Roman" w:cs="Arial"/>
          <w:bCs/>
          <w:szCs w:val="24"/>
          <w:lang w:val="en-ZA"/>
        </w:rPr>
        <w:t>00667/2017</w:t>
      </w:r>
    </w:p>
    <w:p w14:paraId="5878A46D" w14:textId="77777777" w:rsidR="007B7F59" w:rsidRPr="007B7F59" w:rsidRDefault="007B7F59"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653803F5" wp14:editId="30FCC8BD">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CADC25D" w14:textId="607A3EE7" w:rsidR="007B7F59" w:rsidRPr="003B746C" w:rsidRDefault="00D36700" w:rsidP="00D36700">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0314C8">
                              <w:rPr>
                                <w:rFonts w:cs="Arial"/>
                                <w:sz w:val="18"/>
                                <w:szCs w:val="20"/>
                              </w:rPr>
                              <w:t>YES / NO</w:t>
                            </w:r>
                          </w:p>
                          <w:p w14:paraId="61066378" w14:textId="2C51FD96" w:rsidR="007B7F59" w:rsidRPr="003B746C" w:rsidRDefault="00D36700" w:rsidP="00D36700">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0314C8">
                              <w:rPr>
                                <w:rFonts w:cs="Arial"/>
                                <w:sz w:val="18"/>
                                <w:szCs w:val="20"/>
                              </w:rPr>
                              <w:t>YES/NO</w:t>
                            </w:r>
                          </w:p>
                          <w:p w14:paraId="4D22CBD5" w14:textId="6A327226" w:rsidR="007B7F59" w:rsidRDefault="00D36700" w:rsidP="00D36700">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0314C8">
                              <w:rPr>
                                <w:rFonts w:cs="Arial"/>
                                <w:sz w:val="18"/>
                                <w:szCs w:val="20"/>
                              </w:rPr>
                              <w:t>YES/NO</w:t>
                            </w:r>
                          </w:p>
                          <w:p w14:paraId="4AF29108"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6B2B3E6"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03F5"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6CADC25D" w14:textId="607A3EE7" w:rsidR="007B7F59" w:rsidRPr="003B746C" w:rsidRDefault="00D36700" w:rsidP="00D36700">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0314C8">
                        <w:rPr>
                          <w:rFonts w:cs="Arial"/>
                          <w:sz w:val="18"/>
                          <w:szCs w:val="20"/>
                        </w:rPr>
                        <w:t>YES / NO</w:t>
                      </w:r>
                    </w:p>
                    <w:p w14:paraId="61066378" w14:textId="2C51FD96" w:rsidR="007B7F59" w:rsidRPr="003B746C" w:rsidRDefault="00D36700" w:rsidP="00D36700">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0314C8">
                        <w:rPr>
                          <w:rFonts w:cs="Arial"/>
                          <w:sz w:val="18"/>
                          <w:szCs w:val="20"/>
                        </w:rPr>
                        <w:t>YES/NO</w:t>
                      </w:r>
                    </w:p>
                    <w:p w14:paraId="4D22CBD5" w14:textId="6A327226" w:rsidR="007B7F59" w:rsidRDefault="00D36700" w:rsidP="00D36700">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0314C8">
                        <w:rPr>
                          <w:rFonts w:cs="Arial"/>
                          <w:sz w:val="18"/>
                          <w:szCs w:val="20"/>
                        </w:rPr>
                        <w:t>YES/NO</w:t>
                      </w:r>
                    </w:p>
                    <w:p w14:paraId="4AF29108"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6B2B3E6"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2748DFC3"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31BD007A"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3AC80A7C"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2746F96F"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68DBEE9D"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85DEE53"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268CD89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45D1A88"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2CF7D72"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D0C2E11"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0750301A" w14:textId="7FD9E50C" w:rsidR="007B7F59" w:rsidRPr="007B7F59" w:rsidRDefault="000314C8" w:rsidP="007B7F59">
      <w:pPr>
        <w:tabs>
          <w:tab w:val="right" w:pos="9029"/>
        </w:tabs>
        <w:spacing w:after="0" w:line="240" w:lineRule="auto"/>
        <w:ind w:left="0"/>
        <w:contextualSpacing/>
        <w:rPr>
          <w:rFonts w:eastAsia="Times New Roman" w:cs="Arial"/>
          <w:szCs w:val="24"/>
          <w:lang w:val="en-ZA"/>
        </w:rPr>
      </w:pPr>
      <w:r w:rsidRPr="000314C8">
        <w:rPr>
          <w:rFonts w:eastAsia="Times New Roman" w:cs="Arial"/>
          <w:b/>
          <w:szCs w:val="24"/>
          <w:lang w:val="en-ZA"/>
        </w:rPr>
        <w:t>KHOMO MALESHOANA EVELENA</w:t>
      </w:r>
      <w:r w:rsidR="007B7F59" w:rsidRPr="007B7F59">
        <w:rPr>
          <w:rFonts w:eastAsia="Times New Roman" w:cs="Arial"/>
          <w:b/>
          <w:szCs w:val="24"/>
          <w:lang w:val="en-ZA"/>
        </w:rPr>
        <w:tab/>
      </w:r>
      <w:r>
        <w:rPr>
          <w:rFonts w:eastAsia="Times New Roman" w:cs="Arial"/>
          <w:szCs w:val="24"/>
          <w:lang w:val="en-ZA"/>
        </w:rPr>
        <w:t>Plaintiff</w:t>
      </w:r>
    </w:p>
    <w:p w14:paraId="2A520B78"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1B666F1B"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43C125EA" w14:textId="77777777" w:rsidR="007B7F59" w:rsidRPr="007B7F59" w:rsidRDefault="007B7F59" w:rsidP="007B7F59">
      <w:pPr>
        <w:tabs>
          <w:tab w:val="right" w:pos="9029"/>
        </w:tabs>
        <w:spacing w:after="0" w:line="240" w:lineRule="auto"/>
        <w:ind w:left="0"/>
        <w:contextualSpacing/>
        <w:rPr>
          <w:rFonts w:eastAsia="Times New Roman" w:cs="Arial"/>
          <w:szCs w:val="24"/>
          <w:lang w:val="en-ZA"/>
        </w:rPr>
      </w:pPr>
    </w:p>
    <w:p w14:paraId="0C8854D9" w14:textId="77777777" w:rsidR="0018132B" w:rsidRPr="007B7F59" w:rsidRDefault="0018132B" w:rsidP="0018132B">
      <w:pPr>
        <w:tabs>
          <w:tab w:val="right" w:pos="9029"/>
        </w:tabs>
        <w:spacing w:after="0" w:line="240" w:lineRule="auto"/>
        <w:ind w:left="0"/>
        <w:contextualSpacing/>
        <w:rPr>
          <w:rFonts w:eastAsia="Times New Roman" w:cs="Arial"/>
          <w:szCs w:val="24"/>
          <w:lang w:val="en-ZA"/>
        </w:rPr>
      </w:pPr>
      <w:r>
        <w:rPr>
          <w:rFonts w:cs="Arial"/>
          <w:b/>
          <w:szCs w:val="24"/>
        </w:rPr>
        <w:t>THE ROAD ACCIDENT FUND</w:t>
      </w:r>
      <w:r w:rsidRPr="007B7F59">
        <w:rPr>
          <w:rFonts w:cs="Arial"/>
          <w:b/>
          <w:szCs w:val="24"/>
          <w:lang w:val="en-ZA"/>
        </w:rPr>
        <w:tab/>
      </w:r>
      <w:r>
        <w:rPr>
          <w:rFonts w:eastAsia="Times New Roman" w:cs="Arial"/>
          <w:szCs w:val="24"/>
          <w:lang w:val="en-ZA"/>
        </w:rPr>
        <w:t>Defendant</w:t>
      </w:r>
    </w:p>
    <w:p w14:paraId="5A0A7B07" w14:textId="77777777" w:rsidR="0018132B" w:rsidRDefault="0018132B" w:rsidP="007B7F59">
      <w:pPr>
        <w:tabs>
          <w:tab w:val="right" w:pos="9029"/>
        </w:tabs>
        <w:spacing w:after="0" w:line="240" w:lineRule="auto"/>
        <w:ind w:left="0"/>
        <w:contextualSpacing/>
        <w:rPr>
          <w:rFonts w:cs="Arial"/>
          <w:b/>
          <w:szCs w:val="24"/>
        </w:rPr>
      </w:pPr>
    </w:p>
    <w:p w14:paraId="2D8C05FA" w14:textId="2B7B03FA" w:rsidR="007B7F59" w:rsidRDefault="007B7F59" w:rsidP="007B7F59">
      <w:pPr>
        <w:tabs>
          <w:tab w:val="right" w:pos="9029"/>
        </w:tabs>
        <w:spacing w:after="0" w:line="240" w:lineRule="auto"/>
        <w:ind w:left="0"/>
        <w:contextualSpacing/>
        <w:rPr>
          <w:rFonts w:cs="Arial"/>
          <w:b/>
          <w:szCs w:val="24"/>
        </w:rPr>
      </w:pPr>
    </w:p>
    <w:p w14:paraId="704B122A" w14:textId="363FBC88" w:rsidR="007F12B1" w:rsidRDefault="007F12B1" w:rsidP="007F12B1">
      <w:pPr>
        <w:pStyle w:val="JudgmentNumbered"/>
        <w:numPr>
          <w:ilvl w:val="0"/>
          <w:numId w:val="0"/>
        </w:numPr>
      </w:pPr>
      <w:r w:rsidRPr="007F12B1">
        <w:rPr>
          <w:b/>
          <w:bCs/>
          <w:i/>
          <w:iCs/>
        </w:rPr>
        <w:t>Summary:</w:t>
      </w:r>
      <w:r w:rsidRPr="007F12B1">
        <w:t xml:space="preserve"> </w:t>
      </w:r>
      <w:r>
        <w:t>Section 24(2)(a) of Road Accident Fund Act 56 of 1996 –</w:t>
      </w:r>
      <w:r w:rsidR="00C2301F">
        <w:t xml:space="preserve"> </w:t>
      </w:r>
      <w:r>
        <w:t>Meaning of substantial compliance – Purpose and objectives of section 24(2)(a) requirements.</w:t>
      </w:r>
    </w:p>
    <w:p w14:paraId="1D6CE50C" w14:textId="36542713" w:rsidR="007F12B1" w:rsidRDefault="007F12B1" w:rsidP="007F12B1">
      <w:pPr>
        <w:pStyle w:val="JudgmentNumbered"/>
        <w:numPr>
          <w:ilvl w:val="0"/>
          <w:numId w:val="0"/>
        </w:numPr>
      </w:pPr>
      <w:r>
        <w:t>The plaintiff lodged a claim for compensation with the Road Accident Fund (the Fund) after being injured as a pedestrian in a motor vehicle accident. The medical report section of the RAF1 form was completed by a private doctor instead of the treating doctor or hospital superintendent</w:t>
      </w:r>
      <w:r w:rsidR="009D7776">
        <w:t xml:space="preserve"> or </w:t>
      </w:r>
      <w:r w:rsidR="00A30DD3">
        <w:t>his or her representative</w:t>
      </w:r>
      <w:r>
        <w:t xml:space="preserve"> as required by section 24(2)(a) of the Road Accident Fund Act</w:t>
      </w:r>
      <w:r w:rsidR="00C2301F">
        <w:t xml:space="preserve">. </w:t>
      </w:r>
      <w:r>
        <w:t>The Fund objected to the validity of the claim on this basis. The plaintiff argued that there had been substantial compliance with section 24(2)(a) as the private doctor had the hospital records and was in an adequate position to complete the report.</w:t>
      </w:r>
      <w:r w:rsidR="00E9257C">
        <w:t xml:space="preserve"> </w:t>
      </w:r>
      <w:r w:rsidR="0001628A">
        <w:t>Moreover, t</w:t>
      </w:r>
      <w:r w:rsidR="00E9257C">
        <w:t xml:space="preserve">hese </w:t>
      </w:r>
      <w:r w:rsidR="008278F3">
        <w:t xml:space="preserve">hospital and other records accompanied the RAF1 form when the claim was lodged. </w:t>
      </w:r>
    </w:p>
    <w:p w14:paraId="69D7B9DB" w14:textId="77777777" w:rsidR="00491E2C" w:rsidRDefault="007F12B1" w:rsidP="007F12B1">
      <w:pPr>
        <w:pStyle w:val="JudgmentNumbered"/>
        <w:numPr>
          <w:ilvl w:val="0"/>
          <w:numId w:val="0"/>
        </w:numPr>
      </w:pPr>
      <w:r>
        <w:lastRenderedPageBreak/>
        <w:t>Held: Considering the purpose and objectives of section 24(2)(a), there has been substantial compliance</w:t>
      </w:r>
      <w:r w:rsidR="00491E2C">
        <w:t xml:space="preserve"> with this section</w:t>
      </w:r>
      <w:r>
        <w:t>. The completed RAF1 form together with the submitted hospital records provided sufficient information for the Fund to investigate the claim.</w:t>
      </w:r>
      <w:r w:rsidR="0018132B">
        <w:t xml:space="preserve"> </w:t>
      </w:r>
    </w:p>
    <w:p w14:paraId="1C5DBF18" w14:textId="77777777" w:rsidR="00BF6719" w:rsidRDefault="0001082A" w:rsidP="007F12B1">
      <w:pPr>
        <w:pStyle w:val="JudgmentNumbered"/>
        <w:numPr>
          <w:ilvl w:val="0"/>
          <w:numId w:val="0"/>
        </w:numPr>
      </w:pPr>
      <w:r>
        <w:t>H</w:t>
      </w:r>
      <w:r w:rsidR="0018132B">
        <w:t>eld</w:t>
      </w:r>
      <w:r>
        <w:t xml:space="preserve"> further</w:t>
      </w:r>
      <w:r w:rsidR="0018132B">
        <w:t xml:space="preserve">: </w:t>
      </w:r>
      <w:r w:rsidR="007F12B1">
        <w:t>The steps required by section 24(2)(a) before another doctor can complete the form are directory in nature.</w:t>
      </w:r>
      <w:r w:rsidR="0018132B">
        <w:t xml:space="preserve"> </w:t>
      </w:r>
      <w:r w:rsidR="007F12B1">
        <w:t>The Fund's objection</w:t>
      </w:r>
      <w:r w:rsidR="00C20C45">
        <w:t xml:space="preserve"> in terms of section 24(5)</w:t>
      </w:r>
      <w:r w:rsidR="007F12B1">
        <w:t xml:space="preserve"> did not preclude a finding of substantial compliance. </w:t>
      </w:r>
    </w:p>
    <w:p w14:paraId="1A38F19C" w14:textId="3C1568AE" w:rsidR="00E91402" w:rsidRPr="007F12B1" w:rsidRDefault="007F12B1" w:rsidP="007F12B1">
      <w:pPr>
        <w:pStyle w:val="JudgmentNumbered"/>
        <w:numPr>
          <w:ilvl w:val="0"/>
          <w:numId w:val="0"/>
        </w:numPr>
      </w:pPr>
      <w:r>
        <w:t>The special plea was dismissed and the claim found not to have prescribed.</w:t>
      </w:r>
    </w:p>
    <w:p w14:paraId="6FCE0389"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4D6A960E" w14:textId="77777777" w:rsidR="007B7F59" w:rsidRPr="007B7F59" w:rsidRDefault="007B7F59" w:rsidP="007B7F59">
      <w:pPr>
        <w:spacing w:after="0" w:line="240" w:lineRule="auto"/>
        <w:ind w:left="1440" w:hanging="1440"/>
        <w:jc w:val="left"/>
        <w:rPr>
          <w:rFonts w:cs="Arial"/>
          <w:b/>
          <w:szCs w:val="24"/>
        </w:rPr>
      </w:pPr>
    </w:p>
    <w:p w14:paraId="0D0B7786"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0BF4FA64" w14:textId="7F890A53" w:rsidR="007B7F59" w:rsidRPr="007B7F59" w:rsidRDefault="000314C8" w:rsidP="007B7F59">
      <w:pPr>
        <w:spacing w:after="0" w:line="240" w:lineRule="auto"/>
        <w:ind w:left="0"/>
        <w:jc w:val="left"/>
        <w:rPr>
          <w:rFonts w:cs="Arial"/>
          <w:szCs w:val="24"/>
        </w:rPr>
      </w:pPr>
      <w:r>
        <w:rPr>
          <w:rFonts w:cs="Arial"/>
          <w:szCs w:val="24"/>
        </w:rPr>
        <w:t>STRYDOM, J</w:t>
      </w:r>
    </w:p>
    <w:p w14:paraId="50369655" w14:textId="77777777" w:rsidR="007B7F59" w:rsidRPr="007B7F59" w:rsidRDefault="007B7F59" w:rsidP="007B7F59">
      <w:pPr>
        <w:spacing w:after="0" w:line="240" w:lineRule="auto"/>
        <w:ind w:left="0"/>
        <w:jc w:val="left"/>
        <w:rPr>
          <w:rFonts w:cs="Arial"/>
          <w:szCs w:val="24"/>
        </w:rPr>
      </w:pPr>
    </w:p>
    <w:p w14:paraId="59322A12" w14:textId="77777777" w:rsidR="007B7F59" w:rsidRPr="007B7F59" w:rsidRDefault="007B7F59" w:rsidP="007B7F59">
      <w:pPr>
        <w:spacing w:after="0" w:line="240" w:lineRule="auto"/>
        <w:ind w:left="0"/>
        <w:jc w:val="left"/>
        <w:rPr>
          <w:rFonts w:cs="Arial"/>
          <w:szCs w:val="24"/>
        </w:rPr>
      </w:pPr>
    </w:p>
    <w:p w14:paraId="7484E3A8" w14:textId="2BACCEA3" w:rsidR="00794DCB" w:rsidRDefault="000314C8" w:rsidP="007B7F59">
      <w:pPr>
        <w:pStyle w:val="JudgmentHeading"/>
      </w:pPr>
      <w:r>
        <w:t>Introduction</w:t>
      </w:r>
    </w:p>
    <w:p w14:paraId="434A600A" w14:textId="361F4F50" w:rsidR="000314C8" w:rsidRDefault="00D36700" w:rsidP="00D36700">
      <w:pPr>
        <w:pStyle w:val="JudgmentNumbered"/>
        <w:numPr>
          <w:ilvl w:val="0"/>
          <w:numId w:val="0"/>
        </w:numPr>
        <w:ind w:left="567" w:hanging="567"/>
      </w:pPr>
      <w:r>
        <w:t>[1]</w:t>
      </w:r>
      <w:r>
        <w:tab/>
      </w:r>
      <w:r w:rsidR="00B82526">
        <w:t>On 25 January 201</w:t>
      </w:r>
      <w:r w:rsidR="00D00645">
        <w:t>7</w:t>
      </w:r>
      <w:r w:rsidR="00B93D9E">
        <w:t>,</w:t>
      </w:r>
      <w:r w:rsidR="00B82526">
        <w:t xml:space="preserve"> the plaintiff </w:t>
      </w:r>
      <w:r w:rsidR="00485909">
        <w:t>issued a summons against the Road Accident Fund (</w:t>
      </w:r>
      <w:r w:rsidR="00222DDB">
        <w:t>the Fund</w:t>
      </w:r>
      <w:r w:rsidR="00485909">
        <w:t xml:space="preserve">) </w:t>
      </w:r>
      <w:r w:rsidR="00B91E1E">
        <w:t>claiming compensation for injuries allegedly sustained</w:t>
      </w:r>
      <w:r w:rsidR="009F1489">
        <w:t xml:space="preserve"> </w:t>
      </w:r>
      <w:r w:rsidR="00775C51">
        <w:t>on 2 June 2016,</w:t>
      </w:r>
      <w:r w:rsidR="0082296F">
        <w:t xml:space="preserve"> when she</w:t>
      </w:r>
      <w:r w:rsidR="00D64C43">
        <w:t xml:space="preserve"> </w:t>
      </w:r>
      <w:r w:rsidR="00A06834">
        <w:t>as</w:t>
      </w:r>
      <w:r w:rsidR="00D64C43">
        <w:t xml:space="preserve"> a</w:t>
      </w:r>
      <w:r w:rsidR="00674DE9">
        <w:t xml:space="preserve"> pedestrian</w:t>
      </w:r>
      <w:r w:rsidR="00D26073">
        <w:t>,</w:t>
      </w:r>
      <w:r w:rsidR="00D64C43">
        <w:t xml:space="preserve"> was</w:t>
      </w:r>
      <w:r w:rsidR="00541849">
        <w:t xml:space="preserve"> hit by a motor vehicle driven by the insured driver</w:t>
      </w:r>
      <w:r w:rsidR="00700905">
        <w:t>.</w:t>
      </w:r>
      <w:r w:rsidR="00545DDC">
        <w:t xml:space="preserve"> </w:t>
      </w:r>
    </w:p>
    <w:p w14:paraId="2932C8B4" w14:textId="40591FA2" w:rsidR="00766A9A" w:rsidRDefault="00D36700" w:rsidP="00D36700">
      <w:pPr>
        <w:pStyle w:val="JudgmentNumbered"/>
        <w:numPr>
          <w:ilvl w:val="0"/>
          <w:numId w:val="0"/>
        </w:numPr>
        <w:ind w:left="567" w:hanging="567"/>
      </w:pPr>
      <w:r>
        <w:t>[2]</w:t>
      </w:r>
      <w:r>
        <w:tab/>
      </w:r>
      <w:r w:rsidR="00975AB1">
        <w:t>On 23 August 20</w:t>
      </w:r>
      <w:r w:rsidR="00847DCB">
        <w:t xml:space="preserve">16, with the assistance of her attorney, </w:t>
      </w:r>
      <w:r w:rsidR="00765FA9">
        <w:t xml:space="preserve">the plaintiff </w:t>
      </w:r>
      <w:r w:rsidR="00847DCB">
        <w:t>lodge</w:t>
      </w:r>
      <w:r w:rsidR="00765FA9">
        <w:t>d</w:t>
      </w:r>
      <w:r w:rsidR="00847DCB">
        <w:t xml:space="preserve"> a claim </w:t>
      </w:r>
      <w:r w:rsidR="003605A7">
        <w:t>with the Fund by submitting the prescribed RAF1 form.</w:t>
      </w:r>
      <w:r w:rsidR="009F1489">
        <w:t xml:space="preserve"> </w:t>
      </w:r>
      <w:r w:rsidR="00A941AB">
        <w:t>On 6 September 2016</w:t>
      </w:r>
      <w:r w:rsidR="00B93D9E">
        <w:t>,</w:t>
      </w:r>
      <w:r w:rsidR="00A941AB">
        <w:t xml:space="preserve"> the Fund </w:t>
      </w:r>
      <w:r w:rsidR="00864962">
        <w:t xml:space="preserve">objected to the </w:t>
      </w:r>
      <w:r w:rsidR="00B06B06">
        <w:t xml:space="preserve">validity </w:t>
      </w:r>
      <w:r w:rsidR="00031366">
        <w:t>of the claim</w:t>
      </w:r>
      <w:r w:rsidR="00577D49">
        <w:t xml:space="preserve"> </w:t>
      </w:r>
      <w:r w:rsidR="002E6A98">
        <w:t xml:space="preserve">by </w:t>
      </w:r>
      <w:r w:rsidR="00D42FCD">
        <w:t>writing to</w:t>
      </w:r>
      <w:r w:rsidR="002E6A98">
        <w:t xml:space="preserve"> the plaintiff’s attorney</w:t>
      </w:r>
      <w:r w:rsidR="00D42FCD">
        <w:t xml:space="preserve"> stat</w:t>
      </w:r>
      <w:r w:rsidR="0031453A">
        <w:t>ing the</w:t>
      </w:r>
      <w:r w:rsidR="00D42FCD">
        <w:t xml:space="preserve"> reason for the objection</w:t>
      </w:r>
      <w:r w:rsidR="0031453A">
        <w:t xml:space="preserve"> to be</w:t>
      </w:r>
      <w:r w:rsidR="00D42FCD">
        <w:t xml:space="preserve"> </w:t>
      </w:r>
      <w:r w:rsidR="00D52A36">
        <w:t>as follows</w:t>
      </w:r>
      <w:r w:rsidR="0031453A">
        <w:t>:</w:t>
      </w:r>
      <w:r w:rsidR="00766A9A">
        <w:t xml:space="preserve"> </w:t>
      </w:r>
    </w:p>
    <w:p w14:paraId="4DD80864" w14:textId="77777777" w:rsidR="005C74BF" w:rsidRPr="00A74A4B" w:rsidRDefault="00766A9A" w:rsidP="00A74A4B">
      <w:pPr>
        <w:pStyle w:val="Quote"/>
        <w:ind w:right="-46"/>
        <w:jc w:val="both"/>
        <w:rPr>
          <w:i w:val="0"/>
          <w:iCs w:val="0"/>
          <w:color w:val="000000" w:themeColor="text1"/>
          <w:sz w:val="22"/>
        </w:rPr>
      </w:pPr>
      <w:r w:rsidRPr="00A74A4B">
        <w:rPr>
          <w:i w:val="0"/>
          <w:iCs w:val="0"/>
          <w:color w:val="000000" w:themeColor="text1"/>
          <w:sz w:val="22"/>
        </w:rPr>
        <w:t xml:space="preserve">“1. The Medical section of the RAF 1 form </w:t>
      </w:r>
      <w:r w:rsidR="0048661A" w:rsidRPr="00A74A4B">
        <w:rPr>
          <w:i w:val="0"/>
          <w:iCs w:val="0"/>
          <w:color w:val="000000" w:themeColor="text1"/>
          <w:sz w:val="22"/>
        </w:rPr>
        <w:t>has not been completed by the treating doctor in terms of Section 24(2)</w:t>
      </w:r>
      <w:r w:rsidR="00482222" w:rsidRPr="00A74A4B">
        <w:rPr>
          <w:i w:val="0"/>
          <w:iCs w:val="0"/>
          <w:color w:val="000000" w:themeColor="text1"/>
          <w:sz w:val="22"/>
        </w:rPr>
        <w:t>(a) of the Act. Prescription is not looming.”</w:t>
      </w:r>
    </w:p>
    <w:p w14:paraId="0F0BE8D8" w14:textId="4EF5A21D" w:rsidR="007F4A14" w:rsidRPr="00A74A4B" w:rsidRDefault="00D36700" w:rsidP="00D36700">
      <w:pPr>
        <w:pStyle w:val="JudgmentNumbered"/>
        <w:numPr>
          <w:ilvl w:val="0"/>
          <w:numId w:val="0"/>
        </w:numPr>
        <w:ind w:left="567" w:hanging="567"/>
      </w:pPr>
      <w:r w:rsidRPr="00A74A4B">
        <w:t>[3]</w:t>
      </w:r>
      <w:r w:rsidRPr="00A74A4B">
        <w:tab/>
      </w:r>
      <w:r w:rsidR="00E354C3" w:rsidRPr="00A74A4B">
        <w:t>and further</w:t>
      </w:r>
      <w:r w:rsidR="00A74A4B">
        <w:t>—</w:t>
      </w:r>
    </w:p>
    <w:p w14:paraId="0DBD4982" w14:textId="4A926AF4" w:rsidR="00E354C3" w:rsidRPr="00A74A4B" w:rsidRDefault="00E354C3" w:rsidP="00A74A4B">
      <w:pPr>
        <w:pStyle w:val="Quote"/>
        <w:ind w:right="-46"/>
        <w:jc w:val="both"/>
        <w:rPr>
          <w:i w:val="0"/>
          <w:iCs w:val="0"/>
          <w:color w:val="000000" w:themeColor="text1"/>
          <w:sz w:val="22"/>
        </w:rPr>
      </w:pPr>
      <w:r w:rsidRPr="00A74A4B">
        <w:rPr>
          <w:i w:val="0"/>
          <w:iCs w:val="0"/>
          <w:color w:val="000000" w:themeColor="text1"/>
          <w:sz w:val="22"/>
        </w:rPr>
        <w:t>“</w:t>
      </w:r>
      <w:r w:rsidR="006119AA" w:rsidRPr="00A74A4B">
        <w:rPr>
          <w:i w:val="0"/>
          <w:iCs w:val="0"/>
          <w:color w:val="000000" w:themeColor="text1"/>
          <w:sz w:val="22"/>
        </w:rPr>
        <w:t xml:space="preserve">This claim will remain invalid until such time as the defect </w:t>
      </w:r>
      <w:r w:rsidR="00BE09B7" w:rsidRPr="00A74A4B">
        <w:rPr>
          <w:i w:val="0"/>
          <w:iCs w:val="0"/>
          <w:color w:val="000000" w:themeColor="text1"/>
          <w:sz w:val="22"/>
        </w:rPr>
        <w:t>has been rectified and your claim substantially complies with the Ac</w:t>
      </w:r>
      <w:r w:rsidR="00AD0E19" w:rsidRPr="00A74A4B">
        <w:rPr>
          <w:i w:val="0"/>
          <w:iCs w:val="0"/>
          <w:color w:val="000000" w:themeColor="text1"/>
          <w:sz w:val="22"/>
        </w:rPr>
        <w:t>t.”</w:t>
      </w:r>
    </w:p>
    <w:p w14:paraId="67AD615B" w14:textId="20288EA9" w:rsidR="002C561E" w:rsidRDefault="00D36700" w:rsidP="00D36700">
      <w:pPr>
        <w:pStyle w:val="JudgmentNumbered"/>
        <w:numPr>
          <w:ilvl w:val="0"/>
          <w:numId w:val="0"/>
        </w:numPr>
        <w:ind w:left="567" w:hanging="567"/>
      </w:pPr>
      <w:r>
        <w:t>[4]</w:t>
      </w:r>
      <w:r>
        <w:tab/>
      </w:r>
      <w:r w:rsidR="007F71A8">
        <w:t>After the summons was served</w:t>
      </w:r>
      <w:r w:rsidR="009F1489">
        <w:t xml:space="preserve">, </w:t>
      </w:r>
      <w:r w:rsidR="007F71A8">
        <w:t xml:space="preserve">the </w:t>
      </w:r>
      <w:r w:rsidR="00D00645">
        <w:t>Fund entered</w:t>
      </w:r>
      <w:r w:rsidR="0031453A">
        <w:t xml:space="preserve"> an appearance to de</w:t>
      </w:r>
      <w:r w:rsidR="00C8217A">
        <w:t>f</w:t>
      </w:r>
      <w:r w:rsidR="0031453A">
        <w:t>end and</w:t>
      </w:r>
      <w:r w:rsidR="00C8217A">
        <w:t xml:space="preserve"> filed a special plea</w:t>
      </w:r>
      <w:r w:rsidR="00ED324F">
        <w:t xml:space="preserve">. It was pleaded </w:t>
      </w:r>
      <w:r w:rsidR="00533D30">
        <w:t xml:space="preserve">that upon lodging of the plaintiff’s claim on 23 </w:t>
      </w:r>
      <w:r w:rsidR="00533D30">
        <w:lastRenderedPageBreak/>
        <w:t>August 2016</w:t>
      </w:r>
      <w:r w:rsidR="001D1784">
        <w:t>, the plaintiff failed to comply with the requirements of s</w:t>
      </w:r>
      <w:r w:rsidR="00A74A4B">
        <w:t xml:space="preserve">ection </w:t>
      </w:r>
      <w:r w:rsidR="001D1784">
        <w:t xml:space="preserve">24(2)(a) of the </w:t>
      </w:r>
      <w:r w:rsidR="00CC485F">
        <w:t>Road Accident Fund Act</w:t>
      </w:r>
      <w:r w:rsidR="00602A4D">
        <w:rPr>
          <w:rStyle w:val="FootnoteReference"/>
        </w:rPr>
        <w:footnoteReference w:id="1"/>
      </w:r>
      <w:r w:rsidR="00CC485F">
        <w:t xml:space="preserve"> (the Act)</w:t>
      </w:r>
      <w:r w:rsidR="00101036">
        <w:t xml:space="preserve"> in that the medical practitioner and\or superinten</w:t>
      </w:r>
      <w:r w:rsidR="00105896">
        <w:t xml:space="preserve">dent failed to complete the medical report on the prescribed </w:t>
      </w:r>
      <w:r w:rsidR="00B3592F">
        <w:t>form in terms of s</w:t>
      </w:r>
      <w:r w:rsidR="00A74A4B">
        <w:t xml:space="preserve">ection </w:t>
      </w:r>
      <w:r w:rsidR="00B3592F">
        <w:t xml:space="preserve">24(2)(a) of the Act. It was further pleaded </w:t>
      </w:r>
      <w:r w:rsidR="0028623F">
        <w:t>that prescription was not imminent as envisaged b</w:t>
      </w:r>
      <w:r w:rsidR="00602A4D">
        <w:t>y</w:t>
      </w:r>
      <w:r w:rsidR="0028623F">
        <w:t xml:space="preserve"> s</w:t>
      </w:r>
      <w:r w:rsidR="00A74A4B">
        <w:t xml:space="preserve">ection </w:t>
      </w:r>
      <w:r w:rsidR="0028623F">
        <w:t xml:space="preserve">24(2)(a) of the Act </w:t>
      </w:r>
      <w:r w:rsidR="00B3618D">
        <w:t>in that the collision occurred on 02 June 2016</w:t>
      </w:r>
      <w:r w:rsidR="00B93D9E">
        <w:t>,</w:t>
      </w:r>
      <w:r w:rsidR="007D6BB3">
        <w:t xml:space="preserve"> </w:t>
      </w:r>
      <w:r w:rsidR="00B93D9E">
        <w:t>and</w:t>
      </w:r>
      <w:r w:rsidR="00440CD8">
        <w:t xml:space="preserve"> to date of the plea</w:t>
      </w:r>
      <w:r w:rsidR="00B93D9E">
        <w:t>,</w:t>
      </w:r>
      <w:r w:rsidR="00AD084E">
        <w:t xml:space="preserve"> the plaintiff has failed, refused</w:t>
      </w:r>
      <w:r w:rsidR="00B93D9E">
        <w:t>,</w:t>
      </w:r>
      <w:r w:rsidR="00AD084E">
        <w:t xml:space="preserve"> and/or neglected to remedy </w:t>
      </w:r>
      <w:r w:rsidR="00602A4D">
        <w:t>the above non-compliance</w:t>
      </w:r>
      <w:r w:rsidR="00AD084E">
        <w:t>.</w:t>
      </w:r>
      <w:r w:rsidR="00D210F0">
        <w:t xml:space="preserve"> It was prayed that the</w:t>
      </w:r>
      <w:r w:rsidR="002C561E">
        <w:t xml:space="preserve"> plaintiff’s claim be dismissed with costs. </w:t>
      </w:r>
    </w:p>
    <w:p w14:paraId="6015FA48" w14:textId="13A0F01F" w:rsidR="00C029A0" w:rsidRDefault="00D36700" w:rsidP="00D36700">
      <w:pPr>
        <w:pStyle w:val="JudgmentNumbered"/>
        <w:numPr>
          <w:ilvl w:val="0"/>
          <w:numId w:val="0"/>
        </w:numPr>
        <w:ind w:left="567" w:hanging="567"/>
      </w:pPr>
      <w:r>
        <w:t>[5]</w:t>
      </w:r>
      <w:r>
        <w:tab/>
      </w:r>
      <w:r w:rsidR="00B80416">
        <w:t xml:space="preserve">The plaintiff replicated. She denied </w:t>
      </w:r>
      <w:r w:rsidR="007F0E5C">
        <w:t xml:space="preserve">that she </w:t>
      </w:r>
      <w:r w:rsidR="00602A4D">
        <w:t>failed to meet section</w:t>
      </w:r>
      <w:r w:rsidR="00A74A4B">
        <w:t xml:space="preserve"> </w:t>
      </w:r>
      <w:r w:rsidR="007F0E5C">
        <w:t>24(2)(a)</w:t>
      </w:r>
      <w:r w:rsidR="00F51BC1">
        <w:t xml:space="preserve"> and</w:t>
      </w:r>
      <w:r w:rsidR="00634EBC">
        <w:t xml:space="preserve"> pleaded that she</w:t>
      </w:r>
      <w:r w:rsidR="00F51BC1">
        <w:t xml:space="preserve"> complied therewith</w:t>
      </w:r>
      <w:r w:rsidR="009717AF">
        <w:t xml:space="preserve"> and further that the said provision is directive rather than peremptory. </w:t>
      </w:r>
      <w:r w:rsidR="00C029A0">
        <w:t>She pleaded further as follows:</w:t>
      </w:r>
    </w:p>
    <w:p w14:paraId="548FC92B" w14:textId="45E67D9E" w:rsidR="000163CC" w:rsidRPr="00A74A4B" w:rsidRDefault="00C029A0" w:rsidP="00A74A4B">
      <w:pPr>
        <w:pStyle w:val="Quote"/>
        <w:ind w:right="-46"/>
        <w:jc w:val="both"/>
        <w:rPr>
          <w:i w:val="0"/>
          <w:iCs w:val="0"/>
          <w:color w:val="000000" w:themeColor="text1"/>
          <w:sz w:val="22"/>
          <w:szCs w:val="21"/>
        </w:rPr>
      </w:pPr>
      <w:r w:rsidRPr="00A74A4B">
        <w:rPr>
          <w:i w:val="0"/>
          <w:iCs w:val="0"/>
          <w:color w:val="000000" w:themeColor="text1"/>
          <w:sz w:val="22"/>
          <w:szCs w:val="21"/>
        </w:rPr>
        <w:t>2</w:t>
      </w:r>
      <w:r w:rsidR="00E9010D" w:rsidRPr="00A74A4B">
        <w:rPr>
          <w:i w:val="0"/>
          <w:iCs w:val="0"/>
          <w:color w:val="000000" w:themeColor="text1"/>
          <w:sz w:val="22"/>
          <w:szCs w:val="21"/>
        </w:rPr>
        <w:t>. The said section 24(2)(a) only requires of another medical practitioner to “</w:t>
      </w:r>
      <w:r w:rsidR="00E9010D" w:rsidRPr="00A74A4B">
        <w:rPr>
          <w:color w:val="000000" w:themeColor="text1"/>
          <w:sz w:val="22"/>
          <w:szCs w:val="21"/>
        </w:rPr>
        <w:t>…</w:t>
      </w:r>
      <w:r w:rsidR="00A97931" w:rsidRPr="00A74A4B">
        <w:rPr>
          <w:color w:val="000000" w:themeColor="text1"/>
          <w:sz w:val="22"/>
          <w:szCs w:val="21"/>
        </w:rPr>
        <w:t>f</w:t>
      </w:r>
      <w:r w:rsidR="00E9010D" w:rsidRPr="00A74A4B">
        <w:rPr>
          <w:color w:val="000000" w:themeColor="text1"/>
          <w:sz w:val="22"/>
          <w:szCs w:val="21"/>
        </w:rPr>
        <w:t>ully satisf</w:t>
      </w:r>
      <w:r w:rsidR="00821762" w:rsidRPr="00A74A4B">
        <w:rPr>
          <w:color w:val="000000" w:themeColor="text1"/>
          <w:sz w:val="22"/>
          <w:szCs w:val="21"/>
        </w:rPr>
        <w:t>y himself or herself</w:t>
      </w:r>
      <w:r w:rsidR="00243331" w:rsidRPr="00A74A4B">
        <w:rPr>
          <w:color w:val="000000" w:themeColor="text1"/>
          <w:sz w:val="22"/>
          <w:szCs w:val="21"/>
        </w:rPr>
        <w:t>…. or</w:t>
      </w:r>
      <w:r w:rsidR="00821762" w:rsidRPr="00A74A4B">
        <w:rPr>
          <w:color w:val="000000" w:themeColor="text1"/>
          <w:sz w:val="22"/>
          <w:szCs w:val="21"/>
        </w:rPr>
        <w:t xml:space="preserve"> the nature and treatment of the bodi</w:t>
      </w:r>
      <w:r w:rsidR="000163CC" w:rsidRPr="00A74A4B">
        <w:rPr>
          <w:color w:val="000000" w:themeColor="text1"/>
          <w:sz w:val="22"/>
          <w:szCs w:val="21"/>
        </w:rPr>
        <w:t>ly injuries in respect of which the claim relates.</w:t>
      </w:r>
      <w:r w:rsidR="000163CC" w:rsidRPr="00A74A4B">
        <w:rPr>
          <w:i w:val="0"/>
          <w:iCs w:val="0"/>
          <w:color w:val="000000" w:themeColor="text1"/>
          <w:sz w:val="22"/>
          <w:szCs w:val="21"/>
        </w:rPr>
        <w:t>”</w:t>
      </w:r>
    </w:p>
    <w:p w14:paraId="078ECF4F" w14:textId="28CD2084" w:rsidR="008B4DB9" w:rsidRPr="00A74A4B" w:rsidRDefault="00F17BCD" w:rsidP="00A74A4B">
      <w:pPr>
        <w:pStyle w:val="Quote"/>
        <w:ind w:right="-46"/>
        <w:jc w:val="both"/>
        <w:rPr>
          <w:i w:val="0"/>
          <w:iCs w:val="0"/>
          <w:color w:val="000000" w:themeColor="text1"/>
          <w:sz w:val="22"/>
          <w:szCs w:val="21"/>
        </w:rPr>
      </w:pPr>
      <w:r w:rsidRPr="00A74A4B">
        <w:rPr>
          <w:i w:val="0"/>
          <w:iCs w:val="0"/>
          <w:color w:val="000000" w:themeColor="text1"/>
          <w:sz w:val="22"/>
          <w:szCs w:val="21"/>
        </w:rPr>
        <w:t>3. The Act does no</w:t>
      </w:r>
      <w:r w:rsidR="00107325" w:rsidRPr="00A74A4B">
        <w:rPr>
          <w:i w:val="0"/>
          <w:iCs w:val="0"/>
          <w:color w:val="000000" w:themeColor="text1"/>
          <w:sz w:val="22"/>
          <w:szCs w:val="21"/>
        </w:rPr>
        <w:t>t</w:t>
      </w:r>
      <w:r w:rsidRPr="00A74A4B">
        <w:rPr>
          <w:i w:val="0"/>
          <w:iCs w:val="0"/>
          <w:color w:val="000000" w:themeColor="text1"/>
          <w:sz w:val="22"/>
          <w:szCs w:val="21"/>
        </w:rPr>
        <w:t xml:space="preserve"> require of the said medical doctor</w:t>
      </w:r>
      <w:r w:rsidR="008B4DB9" w:rsidRPr="00A74A4B">
        <w:rPr>
          <w:i w:val="0"/>
          <w:iCs w:val="0"/>
          <w:color w:val="000000" w:themeColor="text1"/>
          <w:sz w:val="22"/>
          <w:szCs w:val="21"/>
        </w:rPr>
        <w:t xml:space="preserve"> to physically examine the Plaintiff.</w:t>
      </w:r>
    </w:p>
    <w:p w14:paraId="2C4A6A0E" w14:textId="14A26391" w:rsidR="001A112D" w:rsidRPr="00A74A4B" w:rsidRDefault="008B4DB9" w:rsidP="00A74A4B">
      <w:pPr>
        <w:pStyle w:val="Quote"/>
        <w:ind w:right="-46"/>
        <w:jc w:val="both"/>
        <w:rPr>
          <w:i w:val="0"/>
          <w:iCs w:val="0"/>
          <w:color w:val="000000" w:themeColor="text1"/>
          <w:sz w:val="22"/>
          <w:szCs w:val="21"/>
        </w:rPr>
      </w:pPr>
      <w:r w:rsidRPr="00A74A4B">
        <w:rPr>
          <w:i w:val="0"/>
          <w:iCs w:val="0"/>
          <w:color w:val="000000" w:themeColor="text1"/>
          <w:sz w:val="22"/>
          <w:szCs w:val="21"/>
        </w:rPr>
        <w:t xml:space="preserve">4. The Plaintiff does not have </w:t>
      </w:r>
      <w:r w:rsidR="00371299" w:rsidRPr="00A74A4B">
        <w:rPr>
          <w:i w:val="0"/>
          <w:iCs w:val="0"/>
          <w:color w:val="000000" w:themeColor="text1"/>
          <w:sz w:val="22"/>
          <w:szCs w:val="21"/>
        </w:rPr>
        <w:t>to wait until his or her claim is facing prescription before</w:t>
      </w:r>
      <w:r w:rsidR="00E94E59" w:rsidRPr="00A74A4B">
        <w:rPr>
          <w:i w:val="0"/>
          <w:iCs w:val="0"/>
          <w:color w:val="000000" w:themeColor="text1"/>
          <w:sz w:val="22"/>
          <w:szCs w:val="21"/>
        </w:rPr>
        <w:t xml:space="preserve"> he or she can utilize the services of a different or other </w:t>
      </w:r>
      <w:r w:rsidR="001D7ACE" w:rsidRPr="00A74A4B">
        <w:rPr>
          <w:i w:val="0"/>
          <w:iCs w:val="0"/>
          <w:color w:val="000000" w:themeColor="text1"/>
          <w:sz w:val="22"/>
          <w:szCs w:val="21"/>
        </w:rPr>
        <w:t>doctor</w:t>
      </w:r>
      <w:r w:rsidR="006357DC" w:rsidRPr="00A74A4B">
        <w:rPr>
          <w:i w:val="0"/>
          <w:iCs w:val="0"/>
          <w:color w:val="000000" w:themeColor="text1"/>
          <w:sz w:val="22"/>
          <w:szCs w:val="21"/>
        </w:rPr>
        <w:t xml:space="preserve"> </w:t>
      </w:r>
      <w:r w:rsidR="001D7ACE" w:rsidRPr="00A74A4B">
        <w:rPr>
          <w:i w:val="0"/>
          <w:iCs w:val="0"/>
          <w:color w:val="000000" w:themeColor="text1"/>
          <w:sz w:val="22"/>
          <w:szCs w:val="21"/>
        </w:rPr>
        <w:t>as per section</w:t>
      </w:r>
      <w:r w:rsidR="00D210F0" w:rsidRPr="00A74A4B">
        <w:rPr>
          <w:i w:val="0"/>
          <w:iCs w:val="0"/>
          <w:color w:val="000000" w:themeColor="text1"/>
          <w:sz w:val="22"/>
          <w:szCs w:val="21"/>
        </w:rPr>
        <w:t xml:space="preserve"> </w:t>
      </w:r>
      <w:r w:rsidR="006357DC" w:rsidRPr="00A74A4B">
        <w:rPr>
          <w:i w:val="0"/>
          <w:iCs w:val="0"/>
          <w:color w:val="000000" w:themeColor="text1"/>
          <w:sz w:val="22"/>
          <w:szCs w:val="21"/>
        </w:rPr>
        <w:t xml:space="preserve">24(2)(a) is </w:t>
      </w:r>
      <w:r w:rsidR="00AA4627" w:rsidRPr="00A74A4B">
        <w:rPr>
          <w:i w:val="0"/>
          <w:iCs w:val="0"/>
          <w:color w:val="000000" w:themeColor="text1"/>
          <w:sz w:val="22"/>
          <w:szCs w:val="21"/>
        </w:rPr>
        <w:t>unconstitutional as it undermines the Plaintiff’s right in t</w:t>
      </w:r>
      <w:r w:rsidR="007F7779" w:rsidRPr="00A74A4B">
        <w:rPr>
          <w:i w:val="0"/>
          <w:iCs w:val="0"/>
          <w:color w:val="000000" w:themeColor="text1"/>
          <w:sz w:val="22"/>
          <w:szCs w:val="21"/>
        </w:rPr>
        <w:t>erms of the bill of rights in the Constitution of the Republic</w:t>
      </w:r>
      <w:r w:rsidR="006F6B40" w:rsidRPr="00A74A4B">
        <w:rPr>
          <w:i w:val="0"/>
          <w:iCs w:val="0"/>
          <w:color w:val="000000" w:themeColor="text1"/>
          <w:sz w:val="22"/>
          <w:szCs w:val="21"/>
        </w:rPr>
        <w:t xml:space="preserve"> of South Africa 108 0f 1996, section 33 (just administrative action) and it further unfairly </w:t>
      </w:r>
      <w:r w:rsidR="00182935" w:rsidRPr="00A74A4B">
        <w:rPr>
          <w:i w:val="0"/>
          <w:iCs w:val="0"/>
          <w:color w:val="000000" w:themeColor="text1"/>
          <w:sz w:val="22"/>
          <w:szCs w:val="21"/>
        </w:rPr>
        <w:t xml:space="preserve">delays the Plaintiff’s rights to have this matter finalized timeously which also delays </w:t>
      </w:r>
      <w:r w:rsidR="00E11401" w:rsidRPr="00A74A4B">
        <w:rPr>
          <w:i w:val="0"/>
          <w:iCs w:val="0"/>
          <w:color w:val="000000" w:themeColor="text1"/>
          <w:sz w:val="22"/>
          <w:szCs w:val="21"/>
        </w:rPr>
        <w:t>his rights of access to the courts as per section 34 of the constitution.</w:t>
      </w:r>
      <w:r w:rsidR="001A112D" w:rsidRPr="00A74A4B">
        <w:rPr>
          <w:i w:val="0"/>
          <w:iCs w:val="0"/>
          <w:color w:val="000000" w:themeColor="text1"/>
          <w:sz w:val="22"/>
          <w:szCs w:val="21"/>
        </w:rPr>
        <w:t>”</w:t>
      </w:r>
    </w:p>
    <w:p w14:paraId="565E1B94" w14:textId="29288C73" w:rsidR="00AA59A0" w:rsidRDefault="00D36700" w:rsidP="00D36700">
      <w:pPr>
        <w:pStyle w:val="JudgmentNumbered"/>
        <w:numPr>
          <w:ilvl w:val="0"/>
          <w:numId w:val="0"/>
        </w:numPr>
        <w:ind w:left="567" w:hanging="567"/>
      </w:pPr>
      <w:r>
        <w:t>[6]</w:t>
      </w:r>
      <w:r>
        <w:tab/>
      </w:r>
      <w:r w:rsidR="0045396B">
        <w:t>After th</w:t>
      </w:r>
      <w:r w:rsidR="00C114D3">
        <w:t>e</w:t>
      </w:r>
      <w:r w:rsidR="0045396B">
        <w:t xml:space="preserve"> matter was allocated to me for hearing</w:t>
      </w:r>
      <w:r w:rsidR="00524113">
        <w:t>, t</w:t>
      </w:r>
      <w:r w:rsidR="00C114D3" w:rsidRPr="00C114D3">
        <w:t xml:space="preserve">he parties agreed, pursuant to Rule 33(4) of the Uniform Rules of Court, that the special plea be adjudicated prior to and separately from the remaining issues and </w:t>
      </w:r>
      <w:r w:rsidR="00524113">
        <w:t>I made</w:t>
      </w:r>
      <w:r w:rsidR="00C114D3" w:rsidRPr="00C114D3">
        <w:t xml:space="preserve"> an order to that effect</w:t>
      </w:r>
      <w:r w:rsidR="00CA4FE7">
        <w:t xml:space="preserve">. The court was asked to decide the special plea on the </w:t>
      </w:r>
      <w:r w:rsidR="00136256">
        <w:t>pleaded allegations and common cause facts.</w:t>
      </w:r>
      <w:r w:rsidR="00AA59A0">
        <w:t xml:space="preserve"> </w:t>
      </w:r>
      <w:r w:rsidR="00C45C7A" w:rsidRPr="00C45C7A">
        <w:t xml:space="preserve">The parties agreed that the validity of the plaintiff's claim turns on whether the claim lodged with the Fund on 23 August 2023 was </w:t>
      </w:r>
      <w:r w:rsidR="00C45C7A" w:rsidRPr="00C45C7A">
        <w:lastRenderedPageBreak/>
        <w:t xml:space="preserve">valid. Therefore, if the court finds </w:t>
      </w:r>
      <w:r w:rsidR="00C45C7A">
        <w:t xml:space="preserve">that </w:t>
      </w:r>
      <w:r w:rsidR="00C45C7A" w:rsidRPr="00C45C7A">
        <w:t>the claim lodged was invalid, it follows</w:t>
      </w:r>
      <w:r w:rsidR="00AA59A0">
        <w:t xml:space="preserve"> that</w:t>
      </w:r>
      <w:r w:rsidR="00C45C7A" w:rsidRPr="00C45C7A">
        <w:t xml:space="preserve"> the claim has prescribed under section 23</w:t>
      </w:r>
      <w:r w:rsidR="00AA59A0">
        <w:t>(1) of the Act.</w:t>
      </w:r>
      <w:r w:rsidR="00AA59A0">
        <w:rPr>
          <w:rStyle w:val="FootnoteReference"/>
        </w:rPr>
        <w:footnoteReference w:id="2"/>
      </w:r>
      <w:r w:rsidR="00AA59A0">
        <w:t xml:space="preserve"> </w:t>
      </w:r>
    </w:p>
    <w:p w14:paraId="0E4ACDBF" w14:textId="32635E61" w:rsidR="00AD0E19" w:rsidRDefault="00D36700" w:rsidP="00D36700">
      <w:pPr>
        <w:pStyle w:val="JudgmentNumbered"/>
        <w:numPr>
          <w:ilvl w:val="0"/>
          <w:numId w:val="0"/>
        </w:numPr>
        <w:ind w:left="567" w:hanging="567"/>
      </w:pPr>
      <w:r>
        <w:t>[7]</w:t>
      </w:r>
      <w:r>
        <w:tab/>
      </w:r>
      <w:r w:rsidR="00C44647">
        <w:t xml:space="preserve">The court was informed </w:t>
      </w:r>
      <w:r w:rsidR="007F056B">
        <w:t>that</w:t>
      </w:r>
      <w:r w:rsidR="00154A5C">
        <w:t xml:space="preserve"> the</w:t>
      </w:r>
      <w:r w:rsidR="007F056B">
        <w:t xml:space="preserve"> 3</w:t>
      </w:r>
      <w:r w:rsidR="00115074">
        <w:t>-</w:t>
      </w:r>
      <w:r w:rsidR="007F056B">
        <w:t>year</w:t>
      </w:r>
      <w:r w:rsidR="00154A5C">
        <w:t xml:space="preserve"> period</w:t>
      </w:r>
      <w:r w:rsidR="00711000">
        <w:t xml:space="preserve"> ended on</w:t>
      </w:r>
      <w:r w:rsidR="007F056B">
        <w:t xml:space="preserve"> 1 June 2019. </w:t>
      </w:r>
      <w:r w:rsidR="00770DC0">
        <w:t xml:space="preserve">It was further agreed that if the special plea was not upheld then the matter should be postponed </w:t>
      </w:r>
      <w:r w:rsidR="00770DC0" w:rsidRPr="00AA59A0">
        <w:rPr>
          <w:i/>
          <w:iCs/>
        </w:rPr>
        <w:t>sine die</w:t>
      </w:r>
      <w:r w:rsidR="00512154">
        <w:t>, providing the Fund</w:t>
      </w:r>
      <w:r w:rsidR="00745461">
        <w:t xml:space="preserve"> and the plaintiff</w:t>
      </w:r>
      <w:r w:rsidR="002A3868">
        <w:t xml:space="preserve"> with an opportunity</w:t>
      </w:r>
      <w:r w:rsidR="00512154">
        <w:t xml:space="preserve"> to</w:t>
      </w:r>
      <w:r w:rsidR="00745461">
        <w:t xml:space="preserve"> explore</w:t>
      </w:r>
      <w:r w:rsidR="00A31BC2">
        <w:t xml:space="preserve"> the possibility of</w:t>
      </w:r>
      <w:r w:rsidR="00745461">
        <w:t xml:space="preserve"> settle</w:t>
      </w:r>
      <w:r w:rsidR="004F1CBC">
        <w:t>ment</w:t>
      </w:r>
      <w:r w:rsidR="00C73D6F">
        <w:t xml:space="preserve"> of the claim</w:t>
      </w:r>
      <w:r w:rsidR="00002455">
        <w:t>.</w:t>
      </w:r>
    </w:p>
    <w:p w14:paraId="3EEC3572" w14:textId="68BCE9D4" w:rsidR="00BC1185" w:rsidRDefault="00D36700" w:rsidP="00D36700">
      <w:pPr>
        <w:pStyle w:val="JudgmentNumbered"/>
        <w:numPr>
          <w:ilvl w:val="0"/>
          <w:numId w:val="0"/>
        </w:numPr>
        <w:ind w:left="567" w:hanging="567"/>
      </w:pPr>
      <w:r>
        <w:t>[8]</w:t>
      </w:r>
      <w:r>
        <w:tab/>
      </w:r>
      <w:r w:rsidR="00BC1185">
        <w:t xml:space="preserve">After </w:t>
      </w:r>
      <w:r w:rsidR="00155CE9">
        <w:t>argument on the special plea</w:t>
      </w:r>
      <w:r w:rsidR="00EA1828">
        <w:t>,</w:t>
      </w:r>
      <w:r w:rsidR="00155CE9">
        <w:t xml:space="preserve"> the court </w:t>
      </w:r>
      <w:r w:rsidR="00E467BD">
        <w:t>reserved judgmen</w:t>
      </w:r>
      <w:r w:rsidR="0031299A">
        <w:t>t</w:t>
      </w:r>
      <w:r w:rsidR="00E550DF">
        <w:t xml:space="preserve"> and started to prepare</w:t>
      </w:r>
      <w:r w:rsidR="006156E0">
        <w:t xml:space="preserve"> same</w:t>
      </w:r>
      <w:r w:rsidR="00E550DF">
        <w:t xml:space="preserve">. </w:t>
      </w:r>
      <w:r w:rsidR="006156E0">
        <w:t xml:space="preserve">It </w:t>
      </w:r>
      <w:r w:rsidR="00602A4D">
        <w:t xml:space="preserve">was then only </w:t>
      </w:r>
      <w:r w:rsidR="00EA1828">
        <w:t>that</w:t>
      </w:r>
      <w:r w:rsidR="006156E0">
        <w:t xml:space="preserve"> </w:t>
      </w:r>
      <w:r w:rsidR="00B21DAE">
        <w:t>I reali</w:t>
      </w:r>
      <w:r w:rsidR="00EA1828">
        <w:t>s</w:t>
      </w:r>
      <w:r w:rsidR="00B21DAE">
        <w:t>ed that portions of t</w:t>
      </w:r>
      <w:r w:rsidR="005902DE">
        <w:t>he RAF1 form</w:t>
      </w:r>
      <w:r w:rsidR="0001173F">
        <w:t>,</w:t>
      </w:r>
      <w:r w:rsidR="005902DE">
        <w:t xml:space="preserve"> </w:t>
      </w:r>
      <w:r w:rsidR="00E05A4C">
        <w:t>complete</w:t>
      </w:r>
      <w:r w:rsidR="004C6A3B">
        <w:t>d</w:t>
      </w:r>
      <w:r w:rsidR="00E05A4C">
        <w:t xml:space="preserve"> by Dr Hovis in </w:t>
      </w:r>
      <w:r w:rsidR="00EA1828">
        <w:t xml:space="preserve">the </w:t>
      </w:r>
      <w:r w:rsidR="00E05A4C">
        <w:t>manuscript</w:t>
      </w:r>
      <w:r w:rsidR="0001173F">
        <w:t>, w</w:t>
      </w:r>
      <w:r w:rsidR="00EA1828">
        <w:t>ere</w:t>
      </w:r>
      <w:r w:rsidR="0001173F">
        <w:t xml:space="preserve"> illeg</w:t>
      </w:r>
      <w:r w:rsidR="00EF680C">
        <w:t>ible.</w:t>
      </w:r>
      <w:r w:rsidR="00872380">
        <w:t xml:space="preserve"> </w:t>
      </w:r>
      <w:r w:rsidR="006037F4">
        <w:t>Further</w:t>
      </w:r>
      <w:r w:rsidR="007E4E42">
        <w:t>,</w:t>
      </w:r>
      <w:r w:rsidR="006037F4">
        <w:t xml:space="preserve"> Mr Malema, </w:t>
      </w:r>
      <w:r w:rsidR="00574207">
        <w:t>during argument referred to hospital records, and other documents</w:t>
      </w:r>
      <w:r w:rsidR="000B34DF">
        <w:t>, which w</w:t>
      </w:r>
      <w:r w:rsidR="00EA1828">
        <w:t>ere</w:t>
      </w:r>
      <w:r w:rsidR="000B34DF">
        <w:t xml:space="preserve"> allegedly handed in together with the RAF1 when the claim was lodged</w:t>
      </w:r>
      <w:r w:rsidR="007E4E42">
        <w:t>. I enq</w:t>
      </w:r>
      <w:r w:rsidR="00AD33F7">
        <w:t>uired from the parties whether they could provide me with</w:t>
      </w:r>
      <w:r w:rsidR="00082815">
        <w:t xml:space="preserve"> a document </w:t>
      </w:r>
      <w:r w:rsidR="00EA1828">
        <w:t>that</w:t>
      </w:r>
      <w:r w:rsidR="00082815">
        <w:t xml:space="preserve"> contain</w:t>
      </w:r>
      <w:r w:rsidR="00EA1828">
        <w:t>ed</w:t>
      </w:r>
      <w:r w:rsidR="00082815">
        <w:t xml:space="preserve"> an agreed version of what </w:t>
      </w:r>
      <w:r w:rsidR="00E47E57">
        <w:t>Dr Hovis</w:t>
      </w:r>
      <w:r w:rsidR="00082815">
        <w:t xml:space="preserve"> noted</w:t>
      </w:r>
      <w:r w:rsidR="00AE29DB">
        <w:t xml:space="preserve"> and indicate to the court whether it is disputed that the hospital records and other document</w:t>
      </w:r>
      <w:r w:rsidR="00EA1828">
        <w:t>s</w:t>
      </w:r>
      <w:r w:rsidR="00AE29DB">
        <w:t xml:space="preserve"> accompanied the RAF1 </w:t>
      </w:r>
      <w:r w:rsidR="00711B9D">
        <w:t>claim. If these issues remained conten</w:t>
      </w:r>
      <w:r w:rsidR="005128D0">
        <w:t>tious then the court would require</w:t>
      </w:r>
      <w:r w:rsidR="009B01DC">
        <w:t xml:space="preserve"> oral</w:t>
      </w:r>
      <w:r w:rsidR="005128D0">
        <w:t xml:space="preserve"> evidence. Only thereafter </w:t>
      </w:r>
      <w:r w:rsidR="00E0752B">
        <w:t>a judgment can be handed down</w:t>
      </w:r>
      <w:r w:rsidR="00937036">
        <w:t xml:space="preserve"> on the special plea.</w:t>
      </w:r>
      <w:r w:rsidR="00E0752B">
        <w:t xml:space="preserve"> </w:t>
      </w:r>
      <w:r w:rsidR="00B42A94">
        <w:t xml:space="preserve"> </w:t>
      </w:r>
    </w:p>
    <w:p w14:paraId="2DB77DDA" w14:textId="04847659" w:rsidR="003F0F23" w:rsidRDefault="00D36700" w:rsidP="00D36700">
      <w:pPr>
        <w:pStyle w:val="JudgmentNumbered"/>
        <w:numPr>
          <w:ilvl w:val="0"/>
          <w:numId w:val="0"/>
        </w:numPr>
        <w:ind w:left="567" w:hanging="567"/>
      </w:pPr>
      <w:r>
        <w:t>[9]</w:t>
      </w:r>
      <w:r>
        <w:tab/>
      </w:r>
      <w:r w:rsidR="00DF51E6">
        <w:t>The parties uploaded o</w:t>
      </w:r>
      <w:r w:rsidR="00FD2455">
        <w:t>nto</w:t>
      </w:r>
      <w:r w:rsidR="00DF51E6">
        <w:t xml:space="preserve"> </w:t>
      </w:r>
      <w:r w:rsidR="00C24449">
        <w:t xml:space="preserve">CaseLines a joint submission </w:t>
      </w:r>
      <w:r w:rsidR="00FD2455">
        <w:t>dealing with these issue</w:t>
      </w:r>
      <w:r w:rsidR="00F628FD">
        <w:t>s</w:t>
      </w:r>
      <w:r w:rsidR="00FD2455">
        <w:t xml:space="preserve">. </w:t>
      </w:r>
      <w:r w:rsidR="00C24449">
        <w:t xml:space="preserve"> </w:t>
      </w:r>
      <w:r w:rsidR="004719E2">
        <w:t>At the resumed hearing o</w:t>
      </w:r>
      <w:r w:rsidR="003F202E">
        <w:t xml:space="preserve">f the </w:t>
      </w:r>
      <w:r w:rsidR="00243331">
        <w:t>matter,</w:t>
      </w:r>
      <w:r w:rsidR="003F202E">
        <w:t xml:space="preserve"> it was placed on record, in line with the j</w:t>
      </w:r>
      <w:r w:rsidR="009902CC">
        <w:t>oint</w:t>
      </w:r>
      <w:r w:rsidR="003F202E">
        <w:t xml:space="preserve"> submission</w:t>
      </w:r>
      <w:r w:rsidR="009902CC">
        <w:t>, that Dr Hovis could not be traced and</w:t>
      </w:r>
      <w:r w:rsidR="00B95C59">
        <w:t xml:space="preserve"> that the parties could not assist the court with the </w:t>
      </w:r>
      <w:r w:rsidR="00664A85">
        <w:t>reading of certain manuscript portions contained on the RAF1 form</w:t>
      </w:r>
      <w:r w:rsidR="007E6148">
        <w:t xml:space="preserve">. It was, however, agreed that the RAF1 form </w:t>
      </w:r>
      <w:r w:rsidR="006D3191">
        <w:t xml:space="preserve">was lodged accompanied by the hospital records and other </w:t>
      </w:r>
      <w:r w:rsidR="00C97382">
        <w:t xml:space="preserve">documents. </w:t>
      </w:r>
      <w:r w:rsidR="009A0FF8">
        <w:t>Further documents</w:t>
      </w:r>
      <w:r w:rsidR="00AC4E0B">
        <w:t xml:space="preserve"> were by consent </w:t>
      </w:r>
      <w:r w:rsidR="00853967">
        <w:t>between the parties uploaded onto</w:t>
      </w:r>
      <w:r w:rsidR="00A022F4">
        <w:t xml:space="preserve"> CaseLines and it was agreed that this court could </w:t>
      </w:r>
      <w:r w:rsidR="00B22EED">
        <w:t xml:space="preserve">accept these documents as part of the evidence in this matter </w:t>
      </w:r>
      <w:r w:rsidR="00037153">
        <w:t xml:space="preserve">to decide the special plea. </w:t>
      </w:r>
    </w:p>
    <w:p w14:paraId="3A60C8ED" w14:textId="403D236A" w:rsidR="00E154EC" w:rsidRDefault="00D36700" w:rsidP="00D36700">
      <w:pPr>
        <w:pStyle w:val="JudgmentNumbered"/>
        <w:numPr>
          <w:ilvl w:val="0"/>
          <w:numId w:val="0"/>
        </w:numPr>
        <w:ind w:left="567" w:hanging="567"/>
      </w:pPr>
      <w:r>
        <w:t>[10]</w:t>
      </w:r>
      <w:r>
        <w:tab/>
      </w:r>
      <w:r w:rsidR="00E154EC">
        <w:t>These documents are:</w:t>
      </w:r>
    </w:p>
    <w:p w14:paraId="22814D5F" w14:textId="11568BC8" w:rsidR="00EA1410" w:rsidRDefault="00D36700" w:rsidP="00D36700">
      <w:pPr>
        <w:pStyle w:val="JudgmentNumbered"/>
        <w:numPr>
          <w:ilvl w:val="0"/>
          <w:numId w:val="0"/>
        </w:numPr>
        <w:ind w:left="1134" w:hanging="567"/>
      </w:pPr>
      <w:r>
        <w:lastRenderedPageBreak/>
        <w:t>1.</w:t>
      </w:r>
      <w:r>
        <w:tab/>
      </w:r>
      <w:r w:rsidR="00EA1410">
        <w:t>A letter from the plaintiff’s attorney, MB Mabunda Incorporated,</w:t>
      </w:r>
      <w:r w:rsidR="00CF6896">
        <w:t xml:space="preserve"> dated 5 July </w:t>
      </w:r>
      <w:r w:rsidR="003A60CB">
        <w:t>2016, addressed to Dr A</w:t>
      </w:r>
      <w:r w:rsidR="00BE5091">
        <w:t> </w:t>
      </w:r>
      <w:r w:rsidR="003A60CB">
        <w:t>J Hovis,</w:t>
      </w:r>
      <w:r w:rsidR="004A2DEE">
        <w:t xml:space="preserve"> in which he was requested to complete the RAF1</w:t>
      </w:r>
      <w:r w:rsidR="00D52AE7">
        <w:t xml:space="preserve"> claim form. In the letter</w:t>
      </w:r>
      <w:r w:rsidR="00BE5091">
        <w:t xml:space="preserve">, </w:t>
      </w:r>
      <w:r w:rsidR="00D52AE7">
        <w:t xml:space="preserve">it was stated that </w:t>
      </w:r>
      <w:r w:rsidR="00282B5E">
        <w:t>attached</w:t>
      </w:r>
      <w:r w:rsidR="00FC4647">
        <w:t xml:space="preserve"> to the letter</w:t>
      </w:r>
      <w:r w:rsidR="00282B5E">
        <w:t xml:space="preserve"> w</w:t>
      </w:r>
      <w:r w:rsidR="00CC7B6A">
        <w:t>ere</w:t>
      </w:r>
      <w:r w:rsidR="00282B5E">
        <w:t xml:space="preserve"> copies of hospital records from Tembisa </w:t>
      </w:r>
      <w:r w:rsidR="00BE5091">
        <w:t>H</w:t>
      </w:r>
      <w:r w:rsidR="00282B5E">
        <w:t>ospital</w:t>
      </w:r>
      <w:r w:rsidR="00FC4647">
        <w:t>, as well as</w:t>
      </w:r>
      <w:r w:rsidR="00CC7B6A">
        <w:t xml:space="preserve"> a</w:t>
      </w:r>
      <w:r w:rsidR="00FC4647">
        <w:t xml:space="preserve"> consent form</w:t>
      </w:r>
      <w:r w:rsidR="00BC63C2">
        <w:t>.</w:t>
      </w:r>
    </w:p>
    <w:p w14:paraId="42E7CA7C" w14:textId="5A0F204A" w:rsidR="00E0752B" w:rsidRDefault="00D36700" w:rsidP="00D36700">
      <w:pPr>
        <w:pStyle w:val="JudgmentNumbered"/>
        <w:numPr>
          <w:ilvl w:val="0"/>
          <w:numId w:val="0"/>
        </w:numPr>
        <w:ind w:left="1134" w:hanging="567"/>
      </w:pPr>
      <w:r>
        <w:t>2.</w:t>
      </w:r>
      <w:r>
        <w:tab/>
      </w:r>
      <w:r w:rsidR="0093635E">
        <w:t xml:space="preserve">A letter from the plaintiff’s attorney, </w:t>
      </w:r>
      <w:r w:rsidR="00644D72">
        <w:t>MB Mabunda Incorporated</w:t>
      </w:r>
      <w:r w:rsidR="00B21B78">
        <w:t xml:space="preserve">, dated </w:t>
      </w:r>
      <w:r w:rsidR="004764D6">
        <w:t xml:space="preserve">4 October 2016, </w:t>
      </w:r>
      <w:r w:rsidR="00B21B78">
        <w:t xml:space="preserve">addressed to </w:t>
      </w:r>
      <w:r w:rsidR="004764D6">
        <w:t xml:space="preserve">Tembisa </w:t>
      </w:r>
      <w:r w:rsidR="00A52F3C">
        <w:t>Hospital, requesting</w:t>
      </w:r>
      <w:r w:rsidR="00C176E6">
        <w:t xml:space="preserve"> completion of the attached </w:t>
      </w:r>
      <w:r w:rsidR="00FA4521">
        <w:t xml:space="preserve">RAF1 </w:t>
      </w:r>
      <w:r w:rsidR="00914A3E">
        <w:t>form.</w:t>
      </w:r>
    </w:p>
    <w:p w14:paraId="616A44E0" w14:textId="601D2B33" w:rsidR="00BC63C2" w:rsidRDefault="00D36700" w:rsidP="00D36700">
      <w:pPr>
        <w:pStyle w:val="JudgmentNumbered"/>
        <w:numPr>
          <w:ilvl w:val="0"/>
          <w:numId w:val="0"/>
        </w:numPr>
        <w:ind w:left="1134" w:hanging="567"/>
      </w:pPr>
      <w:r>
        <w:t>3.</w:t>
      </w:r>
      <w:r>
        <w:tab/>
      </w:r>
      <w:r w:rsidR="00243331">
        <w:t>The lodgement letter</w:t>
      </w:r>
      <w:r w:rsidR="007B2011">
        <w:t xml:space="preserve"> </w:t>
      </w:r>
      <w:r w:rsidR="000C4C4E">
        <w:t>dated 11 August 2016</w:t>
      </w:r>
      <w:r w:rsidR="004A5AE1">
        <w:t xml:space="preserve">, </w:t>
      </w:r>
      <w:r w:rsidR="007B2011">
        <w:t>from</w:t>
      </w:r>
      <w:r w:rsidR="004A5AE1">
        <w:t xml:space="preserve"> the plaintiff’s attorney</w:t>
      </w:r>
      <w:r w:rsidR="007B2011">
        <w:t>,</w:t>
      </w:r>
      <w:r w:rsidR="004A5AE1">
        <w:t xml:space="preserve"> addressed to the</w:t>
      </w:r>
      <w:r w:rsidR="00937867">
        <w:t xml:space="preserve"> Chief</w:t>
      </w:r>
      <w:r w:rsidR="004A5AE1">
        <w:t xml:space="preserve"> </w:t>
      </w:r>
      <w:r w:rsidR="00937867">
        <w:t>Executive Officer of the Fund</w:t>
      </w:r>
      <w:r w:rsidR="00BF428D">
        <w:t>. In this letter it was stated</w:t>
      </w:r>
      <w:r w:rsidR="0094050B">
        <w:t xml:space="preserve"> that the following documents </w:t>
      </w:r>
      <w:r w:rsidR="002918D4">
        <w:t>were enclosed: A duly completed</w:t>
      </w:r>
      <w:r w:rsidR="00B76B2B">
        <w:t xml:space="preserve"> RAF 1 claim form; </w:t>
      </w:r>
      <w:r w:rsidR="00414EA2">
        <w:t xml:space="preserve">a copy of </w:t>
      </w:r>
      <w:r w:rsidR="00BE5091">
        <w:t xml:space="preserve">the </w:t>
      </w:r>
      <w:r w:rsidR="00CB03A6">
        <w:t>claimant’s Identity Document; cop</w:t>
      </w:r>
      <w:r w:rsidR="004F62DF">
        <w:t>ies of hospital records; special power of attorney;</w:t>
      </w:r>
      <w:r w:rsidR="00305EF3">
        <w:t xml:space="preserve"> hospital co</w:t>
      </w:r>
      <w:r w:rsidR="008C2852">
        <w:t>ns</w:t>
      </w:r>
      <w:r w:rsidR="00305EF3">
        <w:t xml:space="preserve">ent form and </w:t>
      </w:r>
      <w:r w:rsidR="008C2852">
        <w:t xml:space="preserve">termination of mandate. This letter </w:t>
      </w:r>
      <w:r w:rsidR="005F5F72">
        <w:t xml:space="preserve">bears the stamp of the Fund, dated 23 </w:t>
      </w:r>
      <w:r w:rsidR="00BE5091">
        <w:t>A</w:t>
      </w:r>
      <w:r w:rsidR="005F5F72">
        <w:t xml:space="preserve">ugust </w:t>
      </w:r>
      <w:r w:rsidR="00F002A4">
        <w:t>2016.</w:t>
      </w:r>
    </w:p>
    <w:p w14:paraId="63273675" w14:textId="58F59335" w:rsidR="00F86271" w:rsidRDefault="00D36700" w:rsidP="00D36700">
      <w:pPr>
        <w:pStyle w:val="JudgmentNumbered"/>
        <w:numPr>
          <w:ilvl w:val="0"/>
          <w:numId w:val="0"/>
        </w:numPr>
        <w:ind w:left="567" w:hanging="567"/>
      </w:pPr>
      <w:r>
        <w:t>[11]</w:t>
      </w:r>
      <w:r>
        <w:tab/>
      </w:r>
      <w:r w:rsidR="00BA160A">
        <w:t xml:space="preserve">The </w:t>
      </w:r>
      <w:r w:rsidR="00602A4D">
        <w:t>decision here revolves</w:t>
      </w:r>
      <w:r w:rsidR="00BA160A">
        <w:t xml:space="preserve"> around the questio</w:t>
      </w:r>
      <w:r w:rsidR="00024B92">
        <w:t xml:space="preserve">n if the plaintiff substantially complied with the </w:t>
      </w:r>
      <w:r w:rsidR="00EE5F82">
        <w:t>prescribes of s</w:t>
      </w:r>
      <w:r w:rsidR="00DF6833">
        <w:t xml:space="preserve">ection </w:t>
      </w:r>
      <w:r w:rsidR="00EE5F82">
        <w:t xml:space="preserve">24(2)(a). </w:t>
      </w:r>
      <w:r w:rsidR="00C85E01">
        <w:t>As no evidence was led</w:t>
      </w:r>
      <w:r w:rsidR="00BE5091">
        <w:t xml:space="preserve"> </w:t>
      </w:r>
      <w:r w:rsidR="00E67A1A">
        <w:t>t</w:t>
      </w:r>
      <w:r w:rsidR="00ED4533">
        <w:t>o decide this</w:t>
      </w:r>
      <w:r w:rsidR="00BE5091">
        <w:t>,</w:t>
      </w:r>
      <w:r w:rsidR="00ED4533">
        <w:t xml:space="preserve"> the evidential matrix </w:t>
      </w:r>
      <w:r w:rsidR="00C85E01">
        <w:t>must be</w:t>
      </w:r>
      <w:r w:rsidR="00E67A1A">
        <w:t xml:space="preserve"> established. For th</w:t>
      </w:r>
      <w:r w:rsidR="00D1753F">
        <w:t>is</w:t>
      </w:r>
      <w:r w:rsidR="00E67A1A">
        <w:t xml:space="preserve"> </w:t>
      </w:r>
      <w:r w:rsidR="00243331">
        <w:t>purpose,</w:t>
      </w:r>
      <w:r w:rsidR="008D5F3D">
        <w:t xml:space="preserve"> further common cause facts need to be stated</w:t>
      </w:r>
      <w:r w:rsidR="00A74A4B">
        <w:t>:</w:t>
      </w:r>
    </w:p>
    <w:p w14:paraId="79931078" w14:textId="63268CD4" w:rsidR="007A245E" w:rsidRDefault="00D36700" w:rsidP="00D36700">
      <w:pPr>
        <w:pStyle w:val="JudgmentNumbered"/>
        <w:numPr>
          <w:ilvl w:val="0"/>
          <w:numId w:val="0"/>
        </w:numPr>
        <w:ind w:left="1134" w:hanging="567"/>
      </w:pPr>
      <w:r>
        <w:t>1.</w:t>
      </w:r>
      <w:r>
        <w:tab/>
      </w:r>
      <w:r w:rsidR="00F86271">
        <w:t>The</w:t>
      </w:r>
      <w:r w:rsidR="00664CDF">
        <w:t xml:space="preserve"> medical </w:t>
      </w:r>
      <w:r w:rsidR="00707A9A">
        <w:t>report</w:t>
      </w:r>
      <w:r w:rsidR="00B568E3">
        <w:t xml:space="preserve"> (section 22)</w:t>
      </w:r>
      <w:r w:rsidR="00664CDF">
        <w:t xml:space="preserve"> of the</w:t>
      </w:r>
      <w:r w:rsidR="00F86271">
        <w:t xml:space="preserve"> RAF1 form</w:t>
      </w:r>
      <w:r w:rsidR="00664CDF">
        <w:t xml:space="preserve"> was not completed by the treating </w:t>
      </w:r>
      <w:r w:rsidR="006512AD">
        <w:t>medical practitioner</w:t>
      </w:r>
      <w:r w:rsidR="00664CDF">
        <w:t xml:space="preserve"> or the </w:t>
      </w:r>
      <w:r w:rsidR="000D7D10">
        <w:t xml:space="preserve">superintendent at the Tembisa Hospital where the plaintiff was treated for about </w:t>
      </w:r>
      <w:r w:rsidR="007A245E">
        <w:t xml:space="preserve">5 days from the date of </w:t>
      </w:r>
      <w:r w:rsidR="00BE5091">
        <w:t xml:space="preserve">the </w:t>
      </w:r>
      <w:r w:rsidR="007A245E">
        <w:t xml:space="preserve">accident. </w:t>
      </w:r>
    </w:p>
    <w:p w14:paraId="3D8CD5E4" w14:textId="24942A46" w:rsidR="00502E1C" w:rsidRDefault="00D36700" w:rsidP="00D36700">
      <w:pPr>
        <w:pStyle w:val="JudgmentNumbered"/>
        <w:numPr>
          <w:ilvl w:val="0"/>
          <w:numId w:val="0"/>
        </w:numPr>
        <w:ind w:left="1134" w:hanging="567"/>
      </w:pPr>
      <w:r>
        <w:t>2.</w:t>
      </w:r>
      <w:r>
        <w:tab/>
      </w:r>
      <w:r w:rsidR="00170B73">
        <w:t>S</w:t>
      </w:r>
      <w:r w:rsidR="007A245E">
        <w:t>ection</w:t>
      </w:r>
      <w:r w:rsidR="00B568E3">
        <w:t xml:space="preserve"> 22</w:t>
      </w:r>
      <w:r w:rsidR="007A245E">
        <w:t xml:space="preserve"> of</w:t>
      </w:r>
      <w:r w:rsidR="00024B92">
        <w:t xml:space="preserve"> </w:t>
      </w:r>
      <w:r w:rsidR="00B568E3">
        <w:t xml:space="preserve">the </w:t>
      </w:r>
      <w:r w:rsidR="0049212B">
        <w:t xml:space="preserve">RAF1 form was completed by </w:t>
      </w:r>
      <w:r w:rsidR="00F15097">
        <w:t>Dr A.J. Hovis</w:t>
      </w:r>
      <w:r w:rsidR="0032346A">
        <w:t>, a private practitioner, on 8 July 20</w:t>
      </w:r>
      <w:r w:rsidR="00170B73">
        <w:t xml:space="preserve">16. </w:t>
      </w:r>
      <w:r w:rsidR="00151A99">
        <w:t>He had at his disposal the hospital records of the plaintiff.</w:t>
      </w:r>
    </w:p>
    <w:p w14:paraId="4CD578A6" w14:textId="49282805" w:rsidR="00AF1382" w:rsidRDefault="00D36700" w:rsidP="00D36700">
      <w:pPr>
        <w:pStyle w:val="JudgmentNumbered"/>
        <w:numPr>
          <w:ilvl w:val="0"/>
          <w:numId w:val="0"/>
        </w:numPr>
        <w:ind w:left="1134" w:hanging="567"/>
      </w:pPr>
      <w:r>
        <w:t>3.</w:t>
      </w:r>
      <w:r>
        <w:tab/>
      </w:r>
      <w:r w:rsidR="00AF1382">
        <w:t>The RAF1 form</w:t>
      </w:r>
      <w:r w:rsidR="007527B9">
        <w:t>, the hospital records</w:t>
      </w:r>
      <w:r w:rsidR="00BE5091">
        <w:t xml:space="preserve">, </w:t>
      </w:r>
      <w:r w:rsidR="007527B9">
        <w:t>and othe</w:t>
      </w:r>
      <w:r w:rsidR="0086669F">
        <w:t xml:space="preserve">r </w:t>
      </w:r>
      <w:r w:rsidR="007527B9">
        <w:t>documentation</w:t>
      </w:r>
      <w:r w:rsidR="00AF1382">
        <w:t xml:space="preserve"> w</w:t>
      </w:r>
      <w:r w:rsidR="00BE5091">
        <w:t>ere</w:t>
      </w:r>
      <w:r w:rsidR="00AF1382">
        <w:t xml:space="preserve"> received by the </w:t>
      </w:r>
      <w:r w:rsidR="00872A92">
        <w:t>F</w:t>
      </w:r>
      <w:r w:rsidR="00AF1382">
        <w:t>und on 23 A</w:t>
      </w:r>
      <w:r w:rsidR="00590DA5">
        <w:t xml:space="preserve">ugust 2016. </w:t>
      </w:r>
    </w:p>
    <w:p w14:paraId="1C16FCD8" w14:textId="17C05922" w:rsidR="00DF1A29" w:rsidRDefault="00D36700" w:rsidP="00D36700">
      <w:pPr>
        <w:pStyle w:val="JudgmentNumbered"/>
        <w:numPr>
          <w:ilvl w:val="0"/>
          <w:numId w:val="0"/>
        </w:numPr>
        <w:ind w:left="1134" w:hanging="567"/>
      </w:pPr>
      <w:r>
        <w:t>4.</w:t>
      </w:r>
      <w:r>
        <w:tab/>
      </w:r>
      <w:r w:rsidR="00590DA5">
        <w:t>On 6 September 2016</w:t>
      </w:r>
      <w:r w:rsidR="00BE5091">
        <w:t>,</w:t>
      </w:r>
      <w:r w:rsidR="00590DA5">
        <w:t xml:space="preserve"> the</w:t>
      </w:r>
      <w:r w:rsidR="00872A92">
        <w:t xml:space="preserve"> fund objected to the validity of the form</w:t>
      </w:r>
      <w:r w:rsidR="006C3689">
        <w:t>, more particularly as section 22</w:t>
      </w:r>
      <w:r w:rsidR="00D33DE0">
        <w:t>,</w:t>
      </w:r>
      <w:r w:rsidR="006C3689">
        <w:t xml:space="preserve"> was not completed by the</w:t>
      </w:r>
      <w:r w:rsidR="00BD5684">
        <w:t xml:space="preserve"> treating</w:t>
      </w:r>
      <w:r w:rsidR="00D33DE0">
        <w:t xml:space="preserve"> medical </w:t>
      </w:r>
      <w:r w:rsidR="00D33DE0">
        <w:lastRenderedPageBreak/>
        <w:t>practitioner</w:t>
      </w:r>
      <w:r w:rsidR="00BD5684">
        <w:t xml:space="preserve"> or superintendent</w:t>
      </w:r>
      <w:r w:rsidR="005D4C47">
        <w:t xml:space="preserve"> or a representative</w:t>
      </w:r>
      <w:r w:rsidR="00BD5684">
        <w:t xml:space="preserve"> at the Tembisa Hospital but by a</w:t>
      </w:r>
      <w:r w:rsidR="00DF1A29">
        <w:t xml:space="preserve">nother doctor. </w:t>
      </w:r>
    </w:p>
    <w:p w14:paraId="2950C4FF" w14:textId="534BA330" w:rsidR="00BB63DF" w:rsidRDefault="00D36700" w:rsidP="00D36700">
      <w:pPr>
        <w:pStyle w:val="JudgmentNumbered"/>
        <w:numPr>
          <w:ilvl w:val="0"/>
          <w:numId w:val="0"/>
        </w:numPr>
        <w:ind w:left="1134" w:hanging="567"/>
      </w:pPr>
      <w:r>
        <w:t>5.</w:t>
      </w:r>
      <w:r>
        <w:tab/>
      </w:r>
      <w:r w:rsidR="0086669F">
        <w:t xml:space="preserve">After the </w:t>
      </w:r>
      <w:r w:rsidR="00444A42">
        <w:t xml:space="preserve">objection </w:t>
      </w:r>
      <w:r w:rsidR="00987633">
        <w:t>the plaintiff’s attorney addressed a letter to the Fund, dated 4 October 2016</w:t>
      </w:r>
      <w:r w:rsidR="00F46D9F">
        <w:t>, requesting t</w:t>
      </w:r>
      <w:r w:rsidR="0091607C">
        <w:t>he completion of the RAF1 claim form.</w:t>
      </w:r>
    </w:p>
    <w:p w14:paraId="1C1826FD" w14:textId="37F529A6" w:rsidR="00590DA5" w:rsidRPr="001A112D" w:rsidRDefault="00D36700" w:rsidP="00D36700">
      <w:pPr>
        <w:pStyle w:val="JudgmentNumbered"/>
        <w:numPr>
          <w:ilvl w:val="0"/>
          <w:numId w:val="0"/>
        </w:numPr>
        <w:ind w:left="1134" w:hanging="567"/>
      </w:pPr>
      <w:r w:rsidRPr="001A112D">
        <w:t>6.</w:t>
      </w:r>
      <w:r w:rsidRPr="001A112D">
        <w:tab/>
      </w:r>
      <w:r w:rsidR="00DF1A29">
        <w:t xml:space="preserve">The </w:t>
      </w:r>
      <w:r w:rsidR="00C230C7">
        <w:t>RAF 1 form was never amended o</w:t>
      </w:r>
      <w:r w:rsidR="00DC67B6">
        <w:t>r</w:t>
      </w:r>
      <w:r w:rsidR="00C230C7">
        <w:t xml:space="preserve"> substituted</w:t>
      </w:r>
      <w:r w:rsidR="005727CE">
        <w:t xml:space="preserve"> until summons was issued or</w:t>
      </w:r>
      <w:r w:rsidR="003B1F90">
        <w:t xml:space="preserve"> even</w:t>
      </w:r>
      <w:r w:rsidR="005727CE">
        <w:t xml:space="preserve"> thereafter.</w:t>
      </w:r>
      <w:r w:rsidR="00590DA5">
        <w:t xml:space="preserve"> </w:t>
      </w:r>
    </w:p>
    <w:p w14:paraId="03BB8966" w14:textId="3F815F83" w:rsidR="00A83A79" w:rsidRDefault="001352C5" w:rsidP="00A83A79">
      <w:pPr>
        <w:pStyle w:val="JudgmentHeading"/>
      </w:pPr>
      <w:r>
        <w:t>Applicable legal prescripts</w:t>
      </w:r>
    </w:p>
    <w:p w14:paraId="3E6B1368" w14:textId="5CDD7C44" w:rsidR="001352C5" w:rsidRDefault="00D36700" w:rsidP="00D36700">
      <w:pPr>
        <w:pStyle w:val="JudgmentNumbered"/>
        <w:numPr>
          <w:ilvl w:val="0"/>
          <w:numId w:val="0"/>
        </w:numPr>
        <w:ind w:left="567" w:hanging="567"/>
      </w:pPr>
      <w:r>
        <w:t>[12]</w:t>
      </w:r>
      <w:r>
        <w:tab/>
      </w:r>
      <w:r w:rsidR="001352C5">
        <w:t>I</w:t>
      </w:r>
      <w:r w:rsidR="001352C5" w:rsidRPr="001352C5">
        <w:t xml:space="preserve">t is trite law that a claim for compensation and the accompanying medical report </w:t>
      </w:r>
      <w:r w:rsidR="007E6F51">
        <w:t>must be set</w:t>
      </w:r>
      <w:r w:rsidR="001352C5" w:rsidRPr="001352C5">
        <w:t xml:space="preserve"> out in the prescribed form being the RAF 1 form in compliance with s</w:t>
      </w:r>
      <w:r w:rsidR="001352C5">
        <w:t xml:space="preserve">ection </w:t>
      </w:r>
      <w:r w:rsidR="001352C5" w:rsidRPr="001352C5">
        <w:t>24(1) of</w:t>
      </w:r>
      <w:r w:rsidR="006A21D9">
        <w:t xml:space="preserve"> </w:t>
      </w:r>
      <w:r w:rsidR="003C2EF1">
        <w:t xml:space="preserve">the </w:t>
      </w:r>
      <w:r w:rsidR="001352C5">
        <w:t>A</w:t>
      </w:r>
      <w:r w:rsidR="003C2EF1">
        <w:t>ct</w:t>
      </w:r>
      <w:r w:rsidR="001352C5" w:rsidRPr="001352C5">
        <w:t>.</w:t>
      </w:r>
    </w:p>
    <w:p w14:paraId="7AEFBD18" w14:textId="31531F1D" w:rsidR="003C2EF1" w:rsidRDefault="00D36700" w:rsidP="00D36700">
      <w:pPr>
        <w:pStyle w:val="JudgmentNumbered"/>
        <w:numPr>
          <w:ilvl w:val="0"/>
          <w:numId w:val="0"/>
        </w:numPr>
        <w:ind w:left="567" w:hanging="567"/>
      </w:pPr>
      <w:r>
        <w:t>[13]</w:t>
      </w:r>
      <w:r>
        <w:tab/>
      </w:r>
      <w:r w:rsidR="003C2EF1">
        <w:t>Section 24 of the Act provides as follows in the relevant parts:</w:t>
      </w:r>
    </w:p>
    <w:p w14:paraId="6E2CF0D2" w14:textId="7D9F6AE2" w:rsidR="003C2EF1" w:rsidRPr="00A74A4B" w:rsidRDefault="003C2EF1" w:rsidP="003C2EF1">
      <w:pPr>
        <w:pStyle w:val="JudgmentNumbered"/>
        <w:numPr>
          <w:ilvl w:val="0"/>
          <w:numId w:val="0"/>
        </w:numPr>
        <w:ind w:left="851"/>
        <w:rPr>
          <w:rStyle w:val="Emphasis"/>
          <w:i w:val="0"/>
          <w:iCs w:val="0"/>
          <w:color w:val="000000" w:themeColor="text1"/>
          <w:sz w:val="22"/>
          <w:szCs w:val="21"/>
        </w:rPr>
      </w:pPr>
      <w:r w:rsidRPr="00A74A4B">
        <w:rPr>
          <w:rStyle w:val="Emphasis"/>
          <w:i w:val="0"/>
          <w:iCs w:val="0"/>
          <w:color w:val="000000" w:themeColor="text1"/>
          <w:sz w:val="22"/>
          <w:szCs w:val="21"/>
        </w:rPr>
        <w:t>“</w:t>
      </w:r>
      <w:r w:rsidRPr="00DF6833">
        <w:rPr>
          <w:rStyle w:val="Emphasis"/>
          <w:b/>
          <w:bCs/>
          <w:i w:val="0"/>
          <w:iCs w:val="0"/>
          <w:color w:val="000000" w:themeColor="text1"/>
          <w:sz w:val="22"/>
          <w:szCs w:val="21"/>
        </w:rPr>
        <w:t>24. Procedure</w:t>
      </w:r>
      <w:r w:rsidRPr="00A74A4B">
        <w:rPr>
          <w:rStyle w:val="Emphasis"/>
          <w:i w:val="0"/>
          <w:iCs w:val="0"/>
          <w:color w:val="000000" w:themeColor="text1"/>
          <w:sz w:val="22"/>
          <w:szCs w:val="21"/>
        </w:rPr>
        <w:t xml:space="preserve"> — (1) A claim for compensation and accompanying medical report under section 17 (1) shall —</w:t>
      </w:r>
    </w:p>
    <w:p w14:paraId="7DD906FC" w14:textId="6D4EE65B" w:rsidR="003C2EF1" w:rsidRPr="00A74A4B" w:rsidRDefault="003C2EF1" w:rsidP="003C2EF1">
      <w:pPr>
        <w:pStyle w:val="JudgmentNumbered"/>
        <w:numPr>
          <w:ilvl w:val="0"/>
          <w:numId w:val="0"/>
        </w:numPr>
        <w:ind w:left="1276"/>
        <w:rPr>
          <w:rStyle w:val="Emphasis"/>
          <w:i w:val="0"/>
          <w:iCs w:val="0"/>
          <w:color w:val="000000" w:themeColor="text1"/>
          <w:sz w:val="22"/>
          <w:szCs w:val="21"/>
        </w:rPr>
      </w:pPr>
      <w:r w:rsidRPr="00A74A4B">
        <w:rPr>
          <w:rStyle w:val="Emphasis"/>
          <w:i w:val="0"/>
          <w:iCs w:val="0"/>
          <w:color w:val="000000" w:themeColor="text1"/>
          <w:sz w:val="22"/>
          <w:szCs w:val="21"/>
        </w:rPr>
        <w:t>(a) be set out in the prescribed form, which shall be completed in all its particulars;</w:t>
      </w:r>
    </w:p>
    <w:p w14:paraId="4B729520" w14:textId="073E205F" w:rsidR="003C2EF1" w:rsidRPr="00A74A4B" w:rsidRDefault="003C2EF1" w:rsidP="003C2EF1">
      <w:pPr>
        <w:pStyle w:val="JudgmentNumbered"/>
        <w:numPr>
          <w:ilvl w:val="0"/>
          <w:numId w:val="0"/>
        </w:numPr>
        <w:ind w:left="1276"/>
        <w:rPr>
          <w:rStyle w:val="Emphasis"/>
          <w:i w:val="0"/>
          <w:iCs w:val="0"/>
          <w:color w:val="000000" w:themeColor="text1"/>
          <w:sz w:val="22"/>
          <w:szCs w:val="21"/>
        </w:rPr>
      </w:pPr>
      <w:r w:rsidRPr="00A74A4B">
        <w:rPr>
          <w:rStyle w:val="Emphasis"/>
          <w:i w:val="0"/>
          <w:iCs w:val="0"/>
          <w:color w:val="000000" w:themeColor="text1"/>
          <w:sz w:val="22"/>
          <w:szCs w:val="21"/>
        </w:rPr>
        <w:t xml:space="preserve">… </w:t>
      </w:r>
    </w:p>
    <w:p w14:paraId="6DC6F3E1" w14:textId="2B1BEDB4" w:rsidR="00A83A79" w:rsidRPr="00A74A4B" w:rsidRDefault="00DF6833" w:rsidP="003C2EF1">
      <w:pPr>
        <w:pStyle w:val="JudgmentNumbered"/>
        <w:numPr>
          <w:ilvl w:val="0"/>
          <w:numId w:val="0"/>
        </w:numPr>
        <w:ind w:left="851"/>
        <w:rPr>
          <w:color w:val="000000" w:themeColor="text1"/>
          <w:sz w:val="22"/>
          <w:szCs w:val="21"/>
        </w:rPr>
      </w:pPr>
      <w:r>
        <w:rPr>
          <w:rStyle w:val="Emphasis"/>
          <w:i w:val="0"/>
          <w:iCs w:val="0"/>
          <w:color w:val="000000" w:themeColor="text1"/>
          <w:sz w:val="22"/>
          <w:szCs w:val="21"/>
        </w:rPr>
        <w:t>(</w:t>
      </w:r>
      <w:r w:rsidR="009972BA" w:rsidRPr="00A74A4B">
        <w:rPr>
          <w:color w:val="000000" w:themeColor="text1"/>
          <w:sz w:val="22"/>
          <w:szCs w:val="21"/>
        </w:rPr>
        <w:t xml:space="preserve">2)(a) </w:t>
      </w:r>
      <w:r w:rsidR="009972BA" w:rsidRPr="00A74A4B">
        <w:rPr>
          <w:color w:val="000000" w:themeColor="text1"/>
          <w:sz w:val="22"/>
          <w:szCs w:val="21"/>
          <w:u w:val="single"/>
        </w:rPr>
        <w:t>The medical report shall be completed on the prescribed form by the medical practitioner who treated the deceased or injured person for the bodily injuries sustained in the accident from which the claim arises</w:t>
      </w:r>
      <w:r w:rsidR="009972BA" w:rsidRPr="00A74A4B">
        <w:rPr>
          <w:color w:val="000000" w:themeColor="text1"/>
          <w:sz w:val="22"/>
          <w:szCs w:val="21"/>
        </w:rPr>
        <w:t xml:space="preserve">, or by the superintendent (or his or her representative) of the hospital where the deceased or injured person was treated for such bodily injuries: Provided that, </w:t>
      </w:r>
      <w:r w:rsidR="009972BA" w:rsidRPr="00A74A4B">
        <w:rPr>
          <w:color w:val="000000" w:themeColor="text1"/>
          <w:sz w:val="22"/>
          <w:szCs w:val="21"/>
          <w:u w:val="single"/>
        </w:rPr>
        <w:t>if the medical practitioner or superintendent (or his or her representative) concerned fails to complete the medical report on request within a reasonable time and it appears that as a result of the passage of time the claim concerned may become prescribed, the medical report may be completed by another medical practitioner who has fully satisfied himself or herself regarding the cause of the death or the nature and treatment of the bodily injuries in respect of which the claim is made.</w:t>
      </w:r>
      <w:r>
        <w:rPr>
          <w:color w:val="000000" w:themeColor="text1"/>
          <w:sz w:val="22"/>
          <w:szCs w:val="21"/>
        </w:rPr>
        <w:t>”</w:t>
      </w:r>
      <w:r w:rsidR="003C2EF1" w:rsidRPr="00A74A4B">
        <w:rPr>
          <w:i/>
          <w:iCs/>
          <w:color w:val="000000" w:themeColor="text1"/>
          <w:sz w:val="22"/>
          <w:szCs w:val="21"/>
        </w:rPr>
        <w:t xml:space="preserve"> </w:t>
      </w:r>
      <w:r w:rsidR="003C2EF1" w:rsidRPr="00A74A4B">
        <w:rPr>
          <w:color w:val="000000" w:themeColor="text1"/>
          <w:sz w:val="22"/>
          <w:szCs w:val="21"/>
        </w:rPr>
        <w:t>(</w:t>
      </w:r>
      <w:r w:rsidR="00243331" w:rsidRPr="00A74A4B">
        <w:rPr>
          <w:color w:val="000000" w:themeColor="text1"/>
          <w:sz w:val="22"/>
          <w:szCs w:val="21"/>
        </w:rPr>
        <w:t>Own</w:t>
      </w:r>
      <w:r w:rsidR="003C2EF1" w:rsidRPr="00A74A4B">
        <w:rPr>
          <w:color w:val="000000" w:themeColor="text1"/>
          <w:sz w:val="22"/>
          <w:szCs w:val="21"/>
        </w:rPr>
        <w:t xml:space="preserve"> emphasis)</w:t>
      </w:r>
    </w:p>
    <w:p w14:paraId="34B9B8C5" w14:textId="2B81E5A1" w:rsidR="00AB4726" w:rsidRDefault="00D36700" w:rsidP="00D36700">
      <w:pPr>
        <w:pStyle w:val="JudgmentNumbered"/>
        <w:numPr>
          <w:ilvl w:val="0"/>
          <w:numId w:val="0"/>
        </w:numPr>
        <w:ind w:left="567" w:hanging="567"/>
      </w:pPr>
      <w:r>
        <w:t>[14]</w:t>
      </w:r>
      <w:r>
        <w:tab/>
      </w:r>
      <w:r w:rsidR="003F17C9">
        <w:t>The plaintiff has a right to lodge a claim with the defendant and is required to do so within the prescriptive period. In the present case</w:t>
      </w:r>
      <w:r w:rsidR="00456114">
        <w:t>,</w:t>
      </w:r>
      <w:r w:rsidR="003F17C9">
        <w:t xml:space="preserve"> the </w:t>
      </w:r>
      <w:r w:rsidR="005919DA">
        <w:t xml:space="preserve">plaintiff’s </w:t>
      </w:r>
      <w:r w:rsidR="003F17C9">
        <w:t xml:space="preserve">completed </w:t>
      </w:r>
      <w:r w:rsidR="003F17C9">
        <w:lastRenderedPageBreak/>
        <w:t xml:space="preserve">RAF1 claim form and accompanying documents were </w:t>
      </w:r>
      <w:r w:rsidR="005919DA">
        <w:t>lodged</w:t>
      </w:r>
      <w:r w:rsidR="00304B24">
        <w:t xml:space="preserve"> </w:t>
      </w:r>
      <w:r w:rsidR="00F84931">
        <w:t xml:space="preserve">with </w:t>
      </w:r>
      <w:r w:rsidR="00304B24">
        <w:t>the</w:t>
      </w:r>
      <w:r w:rsidR="00304B24" w:rsidRPr="001352C5">
        <w:t xml:space="preserve"> </w:t>
      </w:r>
      <w:r w:rsidR="002F5E82">
        <w:t>Fund</w:t>
      </w:r>
      <w:r w:rsidR="00F84931">
        <w:t>, wh</w:t>
      </w:r>
      <w:r w:rsidR="00BE5091">
        <w:t>ich</w:t>
      </w:r>
      <w:r w:rsidR="00304B24">
        <w:t xml:space="preserve"> </w:t>
      </w:r>
      <w:r w:rsidR="00304B24" w:rsidRPr="001352C5">
        <w:t>object</w:t>
      </w:r>
      <w:r w:rsidR="00304B24">
        <w:t>ed</w:t>
      </w:r>
      <w:r w:rsidR="00F84931">
        <w:t xml:space="preserve">, </w:t>
      </w:r>
      <w:r w:rsidR="00304B24" w:rsidRPr="001352C5">
        <w:t>within 60 days of the lodgement of the documents,</w:t>
      </w:r>
      <w:r w:rsidR="00304B24">
        <w:t xml:space="preserve"> </w:t>
      </w:r>
      <w:r w:rsidR="009B3A9D">
        <w:t>according to</w:t>
      </w:r>
      <w:r w:rsidR="00304B24">
        <w:t xml:space="preserve"> its letter dated 6 September 2016 </w:t>
      </w:r>
      <w:r w:rsidR="00F84931" w:rsidRPr="005919DA">
        <w:t xml:space="preserve">to the validity of the claim </w:t>
      </w:r>
      <w:r w:rsidR="007E6F51">
        <w:t>because</w:t>
      </w:r>
      <w:r w:rsidR="00F84931">
        <w:t xml:space="preserve"> the</w:t>
      </w:r>
      <w:r w:rsidR="00F84931" w:rsidRPr="005919DA">
        <w:t xml:space="preserve"> </w:t>
      </w:r>
      <w:r w:rsidR="00F84931">
        <w:t>m</w:t>
      </w:r>
      <w:r w:rsidR="00F84931" w:rsidRPr="005919DA">
        <w:t>edical section of the RAF 1 form ha</w:t>
      </w:r>
      <w:r w:rsidR="00F84931">
        <w:t>d</w:t>
      </w:r>
      <w:r w:rsidR="00F84931" w:rsidRPr="005919DA">
        <w:t xml:space="preserve"> not been completed by the treating doctor in terms of Section 24(2)(a) of the Act.</w:t>
      </w:r>
    </w:p>
    <w:p w14:paraId="2E8D366B" w14:textId="3AE2D7E9" w:rsidR="00DB6066" w:rsidRDefault="00D36700" w:rsidP="00D36700">
      <w:pPr>
        <w:pStyle w:val="JudgmentNumbered"/>
        <w:numPr>
          <w:ilvl w:val="0"/>
          <w:numId w:val="0"/>
        </w:numPr>
        <w:ind w:left="567" w:hanging="567"/>
      </w:pPr>
      <w:r>
        <w:t>[15]</w:t>
      </w:r>
      <w:r>
        <w:tab/>
      </w:r>
      <w:r w:rsidR="00EB400F">
        <w:t>S</w:t>
      </w:r>
      <w:r w:rsidR="00A74A4B">
        <w:t xml:space="preserve">ection </w:t>
      </w:r>
      <w:r w:rsidR="00EB400F">
        <w:t>24(2)(a) is clear in its terms</w:t>
      </w:r>
      <w:r w:rsidR="00BA4452">
        <w:t xml:space="preserve"> that</w:t>
      </w:r>
      <w:r w:rsidR="00707A9A">
        <w:t xml:space="preserve"> the mentioned</w:t>
      </w:r>
      <w:r w:rsidR="00BA4452">
        <w:t xml:space="preserve"> persons at the hosp</w:t>
      </w:r>
      <w:r w:rsidR="00707A9A">
        <w:t xml:space="preserve">ital should </w:t>
      </w:r>
      <w:r w:rsidR="00E8760F">
        <w:t>complete section 22</w:t>
      </w:r>
      <w:r w:rsidR="00E87190">
        <w:t xml:space="preserve"> in the RAF1 form</w:t>
      </w:r>
      <w:r w:rsidR="005F3E80">
        <w:t xml:space="preserve">. Only if such people fail to complete such </w:t>
      </w:r>
      <w:r w:rsidR="00ED64CA">
        <w:t>medical report upon request</w:t>
      </w:r>
      <w:r w:rsidR="00284D19">
        <w:t xml:space="preserve">, </w:t>
      </w:r>
      <w:r w:rsidR="00470C07">
        <w:t xml:space="preserve">within a reasonable time </w:t>
      </w:r>
      <w:r w:rsidR="000206FB" w:rsidRPr="00DF6833">
        <w:t>and</w:t>
      </w:r>
      <w:r w:rsidR="00DF6833">
        <w:t xml:space="preserve">, </w:t>
      </w:r>
      <w:r w:rsidR="000206FB" w:rsidRPr="00F45D76">
        <w:t>as</w:t>
      </w:r>
      <w:r w:rsidR="00F45D76">
        <w:t xml:space="preserve"> a result </w:t>
      </w:r>
      <w:r w:rsidR="003B5DBD">
        <w:t>of the passage of time</w:t>
      </w:r>
      <w:r w:rsidR="001507D3">
        <w:t>,</w:t>
      </w:r>
      <w:r w:rsidR="003B5DBD">
        <w:t xml:space="preserve"> the claim may become prescribed </w:t>
      </w:r>
      <w:r w:rsidR="00CE6B51">
        <w:t>then the medical report may be completed by another medical practitioner</w:t>
      </w:r>
      <w:r w:rsidR="00151A99">
        <w:t xml:space="preserve"> who has fully</w:t>
      </w:r>
      <w:r w:rsidR="003158AB">
        <w:t xml:space="preserve"> </w:t>
      </w:r>
      <w:r w:rsidR="00BB2773">
        <w:t>satisfied himself or herself regarding</w:t>
      </w:r>
      <w:r w:rsidR="00B10A99">
        <w:t xml:space="preserve"> the nature and treatment of th</w:t>
      </w:r>
      <w:r w:rsidR="001024FD">
        <w:t>e</w:t>
      </w:r>
      <w:r w:rsidR="00B10A99">
        <w:t xml:space="preserve"> bodily injuries of which the claim is made.</w:t>
      </w:r>
      <w:r w:rsidR="00DB6066">
        <w:t xml:space="preserve"> </w:t>
      </w:r>
    </w:p>
    <w:p w14:paraId="41815700" w14:textId="71148297" w:rsidR="00F84931" w:rsidRDefault="00D36700" w:rsidP="00D36700">
      <w:pPr>
        <w:pStyle w:val="JudgmentNumbered"/>
        <w:numPr>
          <w:ilvl w:val="0"/>
          <w:numId w:val="0"/>
        </w:numPr>
        <w:ind w:left="567" w:hanging="567"/>
      </w:pPr>
      <w:r>
        <w:t>[16]</w:t>
      </w:r>
      <w:r>
        <w:tab/>
      </w:r>
      <w:r w:rsidR="00DB6066">
        <w:t xml:space="preserve">As far as this claim is concerned the prescripts of </w:t>
      </w:r>
      <w:r w:rsidR="001D3540">
        <w:t>s</w:t>
      </w:r>
      <w:r w:rsidR="00A74A4B">
        <w:t xml:space="preserve">ection </w:t>
      </w:r>
      <w:r w:rsidR="001D3540">
        <w:t>24(2)(a) w</w:t>
      </w:r>
      <w:r w:rsidR="00B3565D">
        <w:t>ere</w:t>
      </w:r>
      <w:r w:rsidR="001D3540">
        <w:t xml:space="preserve"> not followed. The </w:t>
      </w:r>
      <w:r w:rsidR="00A76C23">
        <w:t>treating medical practitioner, or some</w:t>
      </w:r>
      <w:r w:rsidR="00461B4F">
        <w:t>one else at the hospital as prescribed, ha</w:t>
      </w:r>
      <w:r w:rsidR="00B3565D">
        <w:t>s</w:t>
      </w:r>
      <w:r w:rsidR="00461B4F">
        <w:t xml:space="preserve"> not completed the medical section. </w:t>
      </w:r>
      <w:r w:rsidR="007327DA">
        <w:t>A</w:t>
      </w:r>
      <w:r w:rsidR="00461B4F">
        <w:t xml:space="preserve"> request</w:t>
      </w:r>
      <w:r w:rsidR="00A22909">
        <w:t xml:space="preserve"> made</w:t>
      </w:r>
      <w:r w:rsidR="007327DA">
        <w:t xml:space="preserve"> </w:t>
      </w:r>
      <w:r w:rsidR="008567EF">
        <w:t>to</w:t>
      </w:r>
      <w:r w:rsidR="007327DA">
        <w:t xml:space="preserve"> </w:t>
      </w:r>
      <w:r w:rsidR="00B438F6">
        <w:t xml:space="preserve">Tembisa </w:t>
      </w:r>
      <w:r w:rsidR="00B3565D">
        <w:t>H</w:t>
      </w:r>
      <w:r w:rsidR="00B438F6">
        <w:t xml:space="preserve">ospital </w:t>
      </w:r>
      <w:r w:rsidR="00A22909">
        <w:t xml:space="preserve">for these people </w:t>
      </w:r>
      <w:r w:rsidR="00B438F6">
        <w:t>to complete the RAF1 form was only</w:t>
      </w:r>
      <w:r w:rsidR="00164514">
        <w:t xml:space="preserve"> </w:t>
      </w:r>
      <w:r w:rsidR="00735BF9">
        <w:t>ma</w:t>
      </w:r>
      <w:r w:rsidR="00B438F6">
        <w:t xml:space="preserve">de after the objection </w:t>
      </w:r>
      <w:r w:rsidR="00255185">
        <w:t>from the Fund</w:t>
      </w:r>
      <w:r w:rsidR="00735BF9">
        <w:t>.</w:t>
      </w:r>
      <w:r w:rsidR="00E469DD">
        <w:t xml:space="preserve"> Further</w:t>
      </w:r>
      <w:r w:rsidR="00B3565D">
        <w:t>,</w:t>
      </w:r>
      <w:r w:rsidR="00E469DD">
        <w:t xml:space="preserve"> other jurisdictional facts </w:t>
      </w:r>
      <w:r w:rsidR="006A192F">
        <w:t>before</w:t>
      </w:r>
      <w:r w:rsidR="0032145D">
        <w:t xml:space="preserve"> </w:t>
      </w:r>
      <w:r w:rsidR="00593731">
        <w:t>another</w:t>
      </w:r>
      <w:r w:rsidR="007B521C">
        <w:t xml:space="preserve"> medical practitioner</w:t>
      </w:r>
      <w:r w:rsidR="0032145D">
        <w:t xml:space="preserve"> could complete the</w:t>
      </w:r>
      <w:r w:rsidR="00593731">
        <w:t xml:space="preserve"> RAF1 form w</w:t>
      </w:r>
      <w:r w:rsidR="00B3565D">
        <w:t>ere</w:t>
      </w:r>
      <w:r w:rsidR="00593731">
        <w:t xml:space="preserve"> not present</w:t>
      </w:r>
      <w:r w:rsidR="00983A55">
        <w:t>.</w:t>
      </w:r>
      <w:r w:rsidR="007B521C">
        <w:t xml:space="preserve"> </w:t>
      </w:r>
      <w:r w:rsidR="00B613C1">
        <w:t>As no request</w:t>
      </w:r>
      <w:r w:rsidR="0013047E">
        <w:t xml:space="preserve"> was made</w:t>
      </w:r>
      <w:r w:rsidR="00094D61">
        <w:t xml:space="preserve"> before the objection,</w:t>
      </w:r>
      <w:r w:rsidR="0013047E">
        <w:t xml:space="preserve"> the reasonable period could not be determined. </w:t>
      </w:r>
      <w:r w:rsidR="00CC738F">
        <w:t>P</w:t>
      </w:r>
      <w:r w:rsidR="009939DA">
        <w:t xml:space="preserve">rescription of the claim </w:t>
      </w:r>
      <w:r w:rsidR="00CC738F">
        <w:t>could</w:t>
      </w:r>
      <w:r w:rsidR="009939DA">
        <w:t xml:space="preserve"> not </w:t>
      </w:r>
      <w:r w:rsidR="000353A8">
        <w:t>have been an</w:t>
      </w:r>
      <w:r w:rsidR="009939DA">
        <w:t xml:space="preserve"> issue</w:t>
      </w:r>
      <w:r w:rsidR="00091C40">
        <w:t xml:space="preserve"> as</w:t>
      </w:r>
      <w:r w:rsidR="00983A55">
        <w:t xml:space="preserve"> the prescr</w:t>
      </w:r>
      <w:r w:rsidR="00CE1E61">
        <w:t>iption period was far in the future.</w:t>
      </w:r>
      <w:r w:rsidR="00091C40">
        <w:t xml:space="preserve"> </w:t>
      </w:r>
      <w:r w:rsidR="003C62ED">
        <w:t>The other medical practitioner</w:t>
      </w:r>
      <w:r w:rsidR="006E0383">
        <w:t>, Dr Hovis,</w:t>
      </w:r>
      <w:r w:rsidR="003C62ED">
        <w:t xml:space="preserve"> was </w:t>
      </w:r>
      <w:r w:rsidR="006E0383">
        <w:t>requested</w:t>
      </w:r>
      <w:r w:rsidR="00CE1E61">
        <w:t xml:space="preserve"> on 5 July 2016</w:t>
      </w:r>
      <w:r w:rsidR="006E0383">
        <w:t xml:space="preserve"> and completed the </w:t>
      </w:r>
      <w:r w:rsidR="008142C4">
        <w:t xml:space="preserve">medical section on the RAF1 form on 8 July 2016 already. That was </w:t>
      </w:r>
      <w:r w:rsidR="00AA7561">
        <w:t xml:space="preserve">just over a month after the accident. </w:t>
      </w:r>
      <w:r w:rsidR="005E7B41">
        <w:t>Approximately 2 years and 9 m</w:t>
      </w:r>
      <w:r w:rsidR="00523BF2">
        <w:t xml:space="preserve">onths remained before the claim </w:t>
      </w:r>
      <w:r w:rsidR="004E4F00">
        <w:t>w</w:t>
      </w:r>
      <w:r w:rsidR="00523BF2">
        <w:t>ou</w:t>
      </w:r>
      <w:r w:rsidR="00571FEF">
        <w:t>ld prescribe.</w:t>
      </w:r>
    </w:p>
    <w:p w14:paraId="566A10F6" w14:textId="0A9E2C41" w:rsidR="004E4F00" w:rsidRDefault="00D36700" w:rsidP="00D36700">
      <w:pPr>
        <w:pStyle w:val="JudgmentNumbered"/>
        <w:numPr>
          <w:ilvl w:val="0"/>
          <w:numId w:val="0"/>
        </w:numPr>
        <w:ind w:left="567" w:hanging="567"/>
      </w:pPr>
      <w:r>
        <w:t>[17]</w:t>
      </w:r>
      <w:r>
        <w:tab/>
      </w:r>
      <w:r w:rsidR="004E4F00">
        <w:t>The plaintiff, for a reason unknown to this court, must have decided</w:t>
      </w:r>
      <w:r w:rsidR="00E31F50">
        <w:t xml:space="preserve"> or</w:t>
      </w:r>
      <w:r w:rsidR="00206353">
        <w:t xml:space="preserve"> was</w:t>
      </w:r>
      <w:r w:rsidR="00E31F50">
        <w:t xml:space="preserve"> advised,</w:t>
      </w:r>
      <w:r w:rsidR="004E4F00">
        <w:t xml:space="preserve"> </w:t>
      </w:r>
      <w:r w:rsidR="00E31F50">
        <w:t>to</w:t>
      </w:r>
      <w:r w:rsidR="00EC72DA">
        <w:t xml:space="preserve"> approach a private medical practitioner</w:t>
      </w:r>
      <w:r w:rsidR="00B3565D">
        <w:t xml:space="preserve"> rather</w:t>
      </w:r>
      <w:r w:rsidR="00E31F50">
        <w:t xml:space="preserve"> than to approach the </w:t>
      </w:r>
      <w:r w:rsidR="00356FF0">
        <w:t>hospital where she was treated</w:t>
      </w:r>
      <w:r w:rsidR="00F63385">
        <w:t>,</w:t>
      </w:r>
      <w:r w:rsidR="00356FF0">
        <w:t xml:space="preserve"> for assistance </w:t>
      </w:r>
      <w:r w:rsidR="00B3565D">
        <w:t xml:space="preserve">in </w:t>
      </w:r>
      <w:r w:rsidR="00356FF0">
        <w:t>fill</w:t>
      </w:r>
      <w:r w:rsidR="00B3565D">
        <w:t>ing</w:t>
      </w:r>
      <w:r w:rsidR="00356FF0">
        <w:t xml:space="preserve"> in the medical report. </w:t>
      </w:r>
      <w:r w:rsidR="003E288F">
        <w:t>Only after the objection</w:t>
      </w:r>
      <w:r w:rsidR="00F23533">
        <w:t xml:space="preserve"> by the Fund</w:t>
      </w:r>
      <w:r w:rsidR="004E2511">
        <w:t>,</w:t>
      </w:r>
      <w:r w:rsidR="00492BC8">
        <w:t xml:space="preserve"> </w:t>
      </w:r>
      <w:r w:rsidR="003E288F">
        <w:t xml:space="preserve">Tembisa </w:t>
      </w:r>
      <w:r w:rsidR="00B3565D">
        <w:t>H</w:t>
      </w:r>
      <w:r w:rsidR="003E288F">
        <w:t>ospital</w:t>
      </w:r>
      <w:r w:rsidR="00492BC8">
        <w:t xml:space="preserve"> was</w:t>
      </w:r>
      <w:r w:rsidR="003E288F">
        <w:t xml:space="preserve"> </w:t>
      </w:r>
      <w:r w:rsidR="000E4FC7">
        <w:t xml:space="preserve">requested to complete the form. There is no evidence before this court </w:t>
      </w:r>
      <w:r w:rsidR="00B3565D">
        <w:t xml:space="preserve">as to </w:t>
      </w:r>
      <w:r w:rsidR="00D50210">
        <w:t>whether this was done o</w:t>
      </w:r>
      <w:r w:rsidR="00B3565D">
        <w:t>r</w:t>
      </w:r>
      <w:r w:rsidR="00D50210">
        <w:t xml:space="preserve"> not.</w:t>
      </w:r>
    </w:p>
    <w:p w14:paraId="2E08FD50" w14:textId="18623529" w:rsidR="00F27E6C" w:rsidRDefault="00D36700" w:rsidP="00D36700">
      <w:pPr>
        <w:pStyle w:val="JudgmentNumbered"/>
        <w:numPr>
          <w:ilvl w:val="0"/>
          <w:numId w:val="0"/>
        </w:numPr>
        <w:ind w:left="567" w:hanging="567"/>
      </w:pPr>
      <w:r>
        <w:lastRenderedPageBreak/>
        <w:t>[18]</w:t>
      </w:r>
      <w:r>
        <w:tab/>
      </w:r>
      <w:r w:rsidR="00D116A5">
        <w:t>Counsel for the plaintiff based his argument</w:t>
      </w:r>
      <w:r w:rsidR="00A936DD">
        <w:t>,</w:t>
      </w:r>
      <w:r w:rsidR="00853FAB">
        <w:t xml:space="preserve"> not on the interpretation of s</w:t>
      </w:r>
      <w:r w:rsidR="00A74A4B">
        <w:t xml:space="preserve">ection </w:t>
      </w:r>
      <w:r w:rsidR="00853FAB">
        <w:t>24(2)(a) of the Act</w:t>
      </w:r>
      <w:r w:rsidR="002557EB">
        <w:t xml:space="preserve"> as such</w:t>
      </w:r>
      <w:r w:rsidR="00A936DD">
        <w:t xml:space="preserve">, </w:t>
      </w:r>
      <w:r w:rsidR="00853FAB">
        <w:t>but</w:t>
      </w:r>
      <w:r w:rsidR="00A936DD">
        <w:t xml:space="preserve"> rather o</w:t>
      </w:r>
      <w:r w:rsidR="008E1514">
        <w:t xml:space="preserve">n a submission that the plaintiff </w:t>
      </w:r>
      <w:r w:rsidR="00040A2D">
        <w:t xml:space="preserve">substantially complied with the prescripts of the </w:t>
      </w:r>
      <w:r w:rsidR="006A4354">
        <w:t>Act. He argued that Dr Hovis had at his disposal th</w:t>
      </w:r>
      <w:r w:rsidR="009E1A7A">
        <w:t>e hospital</w:t>
      </w:r>
      <w:r w:rsidR="006A4354">
        <w:t xml:space="preserve"> records of the </w:t>
      </w:r>
      <w:r w:rsidR="009E1A7A">
        <w:t xml:space="preserve">plaintiff and was in as good a position as the hospital </w:t>
      </w:r>
      <w:r w:rsidR="00AD4355">
        <w:t xml:space="preserve">personnel to have completed the form. </w:t>
      </w:r>
      <w:r w:rsidR="004627F0">
        <w:t xml:space="preserve">It was submitted that the court should overlook the </w:t>
      </w:r>
      <w:r w:rsidR="00994A8D">
        <w:t xml:space="preserve">fact that the medical report was not completed by </w:t>
      </w:r>
      <w:r w:rsidR="008F103E">
        <w:t>the treating doctor or othe</w:t>
      </w:r>
      <w:r w:rsidR="006D3CFD">
        <w:t xml:space="preserve">r </w:t>
      </w:r>
      <w:r w:rsidR="00F63F9F">
        <w:t>personnel</w:t>
      </w:r>
      <w:r w:rsidR="006D3CFD">
        <w:t xml:space="preserve"> at Tembisa Hospital. </w:t>
      </w:r>
      <w:r w:rsidR="00376671">
        <w:t>Fact is</w:t>
      </w:r>
      <w:r w:rsidR="00F63F9F">
        <w:t>,</w:t>
      </w:r>
      <w:r w:rsidR="00376671">
        <w:t xml:space="preserve"> the medica</w:t>
      </w:r>
      <w:r w:rsidR="00EE591B">
        <w:t>l report was filled in by a doctor who had at his disposal all available hospital records. This doctor would have been en</w:t>
      </w:r>
      <w:r w:rsidR="00F93CC5">
        <w:t xml:space="preserve">titled to complete the RAF1 form, </w:t>
      </w:r>
      <w:r w:rsidR="00243331">
        <w:t>albeit</w:t>
      </w:r>
      <w:r w:rsidR="00103EB7">
        <w:t>,</w:t>
      </w:r>
      <w:r w:rsidR="00F93CC5">
        <w:t xml:space="preserve"> only</w:t>
      </w:r>
      <w:r w:rsidR="005E106C">
        <w:t xml:space="preserve"> if the jurisdictional facts stipulated in s</w:t>
      </w:r>
      <w:r w:rsidR="00A74A4B">
        <w:t xml:space="preserve">ection </w:t>
      </w:r>
      <w:r w:rsidR="005E106C">
        <w:t>24(2)(a) w</w:t>
      </w:r>
      <w:r w:rsidR="00F63F9F">
        <w:t>ere</w:t>
      </w:r>
      <w:r w:rsidR="005E106C">
        <w:t xml:space="preserve"> </w:t>
      </w:r>
      <w:r w:rsidR="008E1E70">
        <w:t xml:space="preserve">met. </w:t>
      </w:r>
    </w:p>
    <w:p w14:paraId="717A77A2" w14:textId="778730A6" w:rsidR="00D116A5" w:rsidRDefault="00D36700" w:rsidP="00D36700">
      <w:pPr>
        <w:pStyle w:val="JudgmentNumbered"/>
        <w:numPr>
          <w:ilvl w:val="0"/>
          <w:numId w:val="0"/>
        </w:numPr>
        <w:ind w:left="567" w:hanging="567"/>
      </w:pPr>
      <w:r>
        <w:t>[19]</w:t>
      </w:r>
      <w:r>
        <w:tab/>
      </w:r>
      <w:r w:rsidR="00F27E6C">
        <w:t>For th</w:t>
      </w:r>
      <w:r w:rsidR="00EF68FE">
        <w:t>e</w:t>
      </w:r>
      <w:r w:rsidR="00F27E6C">
        <w:t xml:space="preserve"> submission</w:t>
      </w:r>
      <w:r w:rsidR="00EF68FE">
        <w:t xml:space="preserve"> that </w:t>
      </w:r>
      <w:r w:rsidR="007D2631">
        <w:t>there was substantial compliance with</w:t>
      </w:r>
      <w:r w:rsidR="00F01A54">
        <w:t xml:space="preserve"> s</w:t>
      </w:r>
      <w:r w:rsidR="006F1F3D">
        <w:t xml:space="preserve">ection </w:t>
      </w:r>
      <w:r w:rsidR="00F01A54">
        <w:t>24(2)(a)</w:t>
      </w:r>
      <w:r w:rsidR="00F63F9F">
        <w:t>,</w:t>
      </w:r>
      <w:r w:rsidR="00F27E6C">
        <w:t xml:space="preserve"> counsel </w:t>
      </w:r>
      <w:r w:rsidR="00EC6428">
        <w:t>relied on</w:t>
      </w:r>
      <w:r w:rsidR="00F27E6C">
        <w:t xml:space="preserve"> </w:t>
      </w:r>
      <w:r w:rsidR="00A6309C">
        <w:t xml:space="preserve">the decision of </w:t>
      </w:r>
      <w:r w:rsidR="00A6309C">
        <w:rPr>
          <w:i/>
          <w:iCs/>
        </w:rPr>
        <w:t>Pretorius v Roa</w:t>
      </w:r>
      <w:r w:rsidR="003B4BDA">
        <w:rPr>
          <w:i/>
          <w:iCs/>
        </w:rPr>
        <w:t>d Accident Fund</w:t>
      </w:r>
      <w:r w:rsidR="00690F72">
        <w:t xml:space="preserve"> where </w:t>
      </w:r>
      <w:r w:rsidR="00034D92">
        <w:t>the</w:t>
      </w:r>
      <w:r w:rsidR="00066BE9">
        <w:t xml:space="preserve"> RAF1 form</w:t>
      </w:r>
      <w:r w:rsidR="00D3577F">
        <w:t xml:space="preserve"> lodged</w:t>
      </w:r>
      <w:r w:rsidR="00066BE9">
        <w:t xml:space="preserve"> </w:t>
      </w:r>
      <w:r w:rsidR="008C1D2B">
        <w:t>was</w:t>
      </w:r>
      <w:r w:rsidR="00066BE9">
        <w:t xml:space="preserve"> incomplete</w:t>
      </w:r>
      <w:r w:rsidR="003B4BDA">
        <w:t>.</w:t>
      </w:r>
      <w:r w:rsidR="000659DF">
        <w:t xml:space="preserve"> Despite this shortcoming</w:t>
      </w:r>
      <w:r w:rsidR="00F63F9F">
        <w:t xml:space="preserve"> </w:t>
      </w:r>
      <w:r w:rsidR="000659DF">
        <w:t>t</w:t>
      </w:r>
      <w:r w:rsidR="008C1D2B">
        <w:t>he</w:t>
      </w:r>
      <w:r w:rsidR="00066BE9">
        <w:t xml:space="preserve"> </w:t>
      </w:r>
      <w:r w:rsidR="00DD0C56">
        <w:t>court</w:t>
      </w:r>
      <w:r w:rsidR="00F63F9F">
        <w:t xml:space="preserve"> </w:t>
      </w:r>
      <w:r w:rsidR="00DD0C56">
        <w:t>found that the</w:t>
      </w:r>
      <w:r w:rsidR="00CA3129">
        <w:t xml:space="preserve"> claim made </w:t>
      </w:r>
      <w:r w:rsidR="00E95B4D">
        <w:t>in terms of the</w:t>
      </w:r>
      <w:r w:rsidR="00DD0C56">
        <w:t xml:space="preserve"> form w</w:t>
      </w:r>
      <w:r w:rsidR="00DC0B65">
        <w:t>as</w:t>
      </w:r>
      <w:r w:rsidR="00DD0C56">
        <w:t xml:space="preserve"> not</w:t>
      </w:r>
      <w:r w:rsidR="00FB5F81">
        <w:t xml:space="preserve"> necessarily </w:t>
      </w:r>
      <w:r w:rsidR="00A86648">
        <w:t>invalid so long</w:t>
      </w:r>
      <w:r w:rsidR="000A016D">
        <w:t xml:space="preserve"> as there was substantial compliance</w:t>
      </w:r>
      <w:r w:rsidR="00E95B4D">
        <w:t xml:space="preserve"> </w:t>
      </w:r>
      <w:r w:rsidR="000938B0">
        <w:t>with</w:t>
      </w:r>
      <w:r w:rsidR="00E95B4D">
        <w:t xml:space="preserve"> </w:t>
      </w:r>
      <w:r w:rsidR="002C2C4B">
        <w:t>legislative requirements</w:t>
      </w:r>
      <w:r w:rsidR="002C2C4B">
        <w:rPr>
          <w:rStyle w:val="FootnoteReference"/>
        </w:rPr>
        <w:footnoteReference w:id="3"/>
      </w:r>
      <w:r w:rsidR="0089418E">
        <w:t>. It was found that</w:t>
      </w:r>
      <w:r w:rsidR="00F63F9F">
        <w:t xml:space="preserve"> the incomplete</w:t>
      </w:r>
      <w:r w:rsidR="004814BC">
        <w:t xml:space="preserve"> form should be read together with accompanying </w:t>
      </w:r>
      <w:r w:rsidR="00F5205D">
        <w:t>hospital records</w:t>
      </w:r>
      <w:r w:rsidR="004814BC">
        <w:t xml:space="preserve"> and</w:t>
      </w:r>
      <w:r w:rsidR="006971CE">
        <w:t xml:space="preserve"> it should be considered</w:t>
      </w:r>
      <w:r w:rsidR="004814BC">
        <w:t xml:space="preserve"> whether these documents provide</w:t>
      </w:r>
      <w:r w:rsidR="00797A40">
        <w:t>d</w:t>
      </w:r>
      <w:r w:rsidR="004814BC">
        <w:t xml:space="preserve"> sufficient information</w:t>
      </w:r>
      <w:r w:rsidR="006971CE">
        <w:t xml:space="preserve"> to the Fund</w:t>
      </w:r>
      <w:r w:rsidR="00417BDB">
        <w:t xml:space="preserve"> to investigate the claim.</w:t>
      </w:r>
    </w:p>
    <w:p w14:paraId="245887C5" w14:textId="30E5B616" w:rsidR="00456114" w:rsidRDefault="00D36700" w:rsidP="00D36700">
      <w:pPr>
        <w:pStyle w:val="JudgmentNumbered"/>
        <w:numPr>
          <w:ilvl w:val="0"/>
          <w:numId w:val="0"/>
        </w:numPr>
        <w:ind w:left="567" w:hanging="567"/>
      </w:pPr>
      <w:r>
        <w:t>[20]</w:t>
      </w:r>
      <w:r>
        <w:tab/>
      </w:r>
      <w:r w:rsidR="00456114">
        <w:t xml:space="preserve">The </w:t>
      </w:r>
      <w:r w:rsidR="0008759D">
        <w:t>c</w:t>
      </w:r>
      <w:r w:rsidR="00456114">
        <w:t>ourt was</w:t>
      </w:r>
      <w:r w:rsidR="00F5205D">
        <w:t xml:space="preserve"> also</w:t>
      </w:r>
      <w:r w:rsidR="00456114">
        <w:t xml:space="preserve"> </w:t>
      </w:r>
      <w:r w:rsidR="00BB741E">
        <w:t>referred</w:t>
      </w:r>
      <w:r w:rsidR="00456114">
        <w:t xml:space="preserve"> to the</w:t>
      </w:r>
      <w:r w:rsidR="00BB741E">
        <w:t xml:space="preserve"> SCA</w:t>
      </w:r>
      <w:r w:rsidR="00456114">
        <w:t xml:space="preserve"> decision of </w:t>
      </w:r>
      <w:r w:rsidR="00456114" w:rsidRPr="008F1D37">
        <w:rPr>
          <w:i/>
          <w:iCs/>
        </w:rPr>
        <w:t>Road Accident Fund v Busuku</w:t>
      </w:r>
      <w:r w:rsidR="00456114">
        <w:rPr>
          <w:rStyle w:val="FootnoteReference"/>
          <w:i/>
          <w:iCs/>
        </w:rPr>
        <w:footnoteReference w:id="4"/>
      </w:r>
      <w:r w:rsidR="00456114">
        <w:t xml:space="preserve"> where Eksteen AJA, stated the following:</w:t>
      </w:r>
    </w:p>
    <w:p w14:paraId="0DB2EDC6" w14:textId="34D2A9FE" w:rsidR="00456114" w:rsidRPr="00C2301F" w:rsidRDefault="00456114" w:rsidP="00456114">
      <w:pPr>
        <w:pStyle w:val="Quote"/>
        <w:ind w:right="95"/>
        <w:jc w:val="both"/>
        <w:rPr>
          <w:rFonts w:cs="Arial"/>
          <w:i w:val="0"/>
          <w:iCs w:val="0"/>
          <w:color w:val="000000" w:themeColor="text1"/>
          <w:sz w:val="22"/>
          <w:szCs w:val="21"/>
        </w:rPr>
      </w:pPr>
      <w:r w:rsidRPr="00C2301F">
        <w:rPr>
          <w:rFonts w:cs="Arial"/>
          <w:i w:val="0"/>
          <w:iCs w:val="0"/>
          <w:color w:val="000000" w:themeColor="text1"/>
          <w:sz w:val="22"/>
          <w:szCs w:val="21"/>
        </w:rPr>
        <w:t>“[I]n respect of the submission of a claim this Court, in Pithey, [</w:t>
      </w:r>
      <w:r w:rsidRPr="00C2301F">
        <w:rPr>
          <w:rFonts w:cs="Arial"/>
          <w:color w:val="000000" w:themeColor="text1"/>
          <w:sz w:val="22"/>
          <w:szCs w:val="21"/>
        </w:rPr>
        <w:t>Pithey v Road Accident Fund</w:t>
      </w:r>
      <w:r w:rsidRPr="00C2301F">
        <w:rPr>
          <w:rFonts w:cs="Arial"/>
          <w:i w:val="0"/>
          <w:iCs w:val="0"/>
          <w:color w:val="000000" w:themeColor="text1"/>
          <w:sz w:val="22"/>
          <w:szCs w:val="21"/>
        </w:rPr>
        <w:t xml:space="preserve"> [2014] ZASCA 55; 2014 (4) SA 112 (SCA) para 19] held: ‘</w:t>
      </w:r>
      <w:r w:rsidRPr="00C2301F">
        <w:rPr>
          <w:rFonts w:cs="Arial"/>
          <w:color w:val="000000" w:themeColor="text1"/>
          <w:sz w:val="22"/>
          <w:szCs w:val="21"/>
        </w:rPr>
        <w:t>It has been held in a long line of cases that the requirement relating to the submission of the claim form is peremptory and that the prescribed requirements concerning the completeness of the form are directory, meaning that substantial compliance with such requirements suffices. As to the latter requirement this court in “SA Eagle Insurance Co Limited v Pretorius” reiterated that the test for substantial compliance is an objective one.</w:t>
      </w:r>
      <w:r w:rsidRPr="00C2301F">
        <w:rPr>
          <w:rFonts w:cs="Arial"/>
          <w:i w:val="0"/>
          <w:iCs w:val="0"/>
          <w:color w:val="000000" w:themeColor="text1"/>
          <w:sz w:val="22"/>
          <w:szCs w:val="21"/>
        </w:rPr>
        <w:t xml:space="preserve">’ This approach is confirmed by the terms of the form which says in part 20 that substantial compliance is required in regard to </w:t>
      </w:r>
      <w:r w:rsidRPr="00C2301F">
        <w:rPr>
          <w:rFonts w:cs="Arial"/>
          <w:color w:val="000000" w:themeColor="text1"/>
          <w:sz w:val="22"/>
          <w:szCs w:val="21"/>
        </w:rPr>
        <w:t>inter alia</w:t>
      </w:r>
      <w:r w:rsidRPr="00C2301F">
        <w:rPr>
          <w:rFonts w:cs="Arial"/>
          <w:i w:val="0"/>
          <w:iCs w:val="0"/>
          <w:color w:val="000000" w:themeColor="text1"/>
          <w:sz w:val="22"/>
          <w:szCs w:val="21"/>
        </w:rPr>
        <w:t xml:space="preserve"> the medical report”.</w:t>
      </w:r>
    </w:p>
    <w:p w14:paraId="7FF2FEE4" w14:textId="6DF6D211" w:rsidR="00A21725" w:rsidRDefault="00D36700" w:rsidP="00D36700">
      <w:pPr>
        <w:pStyle w:val="JudgmentNumbered"/>
        <w:numPr>
          <w:ilvl w:val="0"/>
          <w:numId w:val="0"/>
        </w:numPr>
        <w:ind w:left="567" w:hanging="567"/>
      </w:pPr>
      <w:r>
        <w:lastRenderedPageBreak/>
        <w:t>[21]</w:t>
      </w:r>
      <w:r>
        <w:tab/>
      </w:r>
      <w:r w:rsidR="00433D3E">
        <w:t xml:space="preserve">In </w:t>
      </w:r>
      <w:r w:rsidR="00433D3E">
        <w:rPr>
          <w:i/>
          <w:iCs/>
        </w:rPr>
        <w:t xml:space="preserve">Busuku </w:t>
      </w:r>
      <w:r w:rsidR="00433D3E">
        <w:t xml:space="preserve">the issue was </w:t>
      </w:r>
      <w:r w:rsidR="000C3F0C">
        <w:t xml:space="preserve">the incompleteness of the form and not </w:t>
      </w:r>
      <w:r w:rsidR="00456683">
        <w:t xml:space="preserve">who filled in the </w:t>
      </w:r>
      <w:r w:rsidR="00B8650B">
        <w:t xml:space="preserve"> medical report</w:t>
      </w:r>
      <w:r w:rsidR="00DD76F6">
        <w:t xml:space="preserve">, section 22, of the </w:t>
      </w:r>
      <w:r w:rsidR="00456683">
        <w:t xml:space="preserve">form. </w:t>
      </w:r>
      <w:r w:rsidR="00E32E05">
        <w:t xml:space="preserve">From paragraph 3 of this </w:t>
      </w:r>
      <w:r w:rsidR="00243331">
        <w:t>judgment,</w:t>
      </w:r>
      <w:r w:rsidR="00E32E05">
        <w:t xml:space="preserve"> it appears</w:t>
      </w:r>
      <w:r w:rsidR="00E811D9">
        <w:t xml:space="preserve"> that</w:t>
      </w:r>
      <w:r w:rsidR="00E32E05">
        <w:t xml:space="preserve"> </w:t>
      </w:r>
      <w:r w:rsidR="005417D5">
        <w:t xml:space="preserve">the </w:t>
      </w:r>
      <w:r w:rsidR="00101943">
        <w:t xml:space="preserve">portion of the form which provides for </w:t>
      </w:r>
      <w:r w:rsidR="000D001A">
        <w:t>the medical report was not completed</w:t>
      </w:r>
      <w:r w:rsidR="007619FF">
        <w:t xml:space="preserve"> at all</w:t>
      </w:r>
      <w:r w:rsidR="000D001A">
        <w:t>. I</w:t>
      </w:r>
      <w:r w:rsidR="0094758D">
        <w:t xml:space="preserve">t was </w:t>
      </w:r>
      <w:r w:rsidR="002B424B">
        <w:t xml:space="preserve">submitted </w:t>
      </w:r>
      <w:r w:rsidR="00A6187E">
        <w:t xml:space="preserve">that </w:t>
      </w:r>
      <w:r w:rsidR="002B424B">
        <w:t>a c</w:t>
      </w:r>
      <w:r w:rsidR="000004B1">
        <w:t>opy of the original records of the Mthatha H</w:t>
      </w:r>
      <w:r w:rsidR="00E811D9">
        <w:t>ospital</w:t>
      </w:r>
      <w:r w:rsidR="00A6187E">
        <w:t>,</w:t>
      </w:r>
      <w:r w:rsidR="00E811D9">
        <w:t xml:space="preserve"> </w:t>
      </w:r>
      <w:r w:rsidR="002728B0">
        <w:t xml:space="preserve">which reflected particulars of </w:t>
      </w:r>
      <w:r w:rsidR="009B32C6">
        <w:t>the claimant’s</w:t>
      </w:r>
      <w:r w:rsidR="002728B0">
        <w:t xml:space="preserve"> hospital</w:t>
      </w:r>
      <w:r w:rsidR="005401D0">
        <w:t>ization, the medical assessment of</w:t>
      </w:r>
      <w:r w:rsidR="0075037E">
        <w:t xml:space="preserve"> the claimant’s</w:t>
      </w:r>
      <w:r w:rsidR="005401D0">
        <w:t xml:space="preserve"> condition from time to time</w:t>
      </w:r>
      <w:r w:rsidR="00F24288">
        <w:t xml:space="preserve">, medical treatment </w:t>
      </w:r>
      <w:r w:rsidR="00243331">
        <w:t>received,</w:t>
      </w:r>
      <w:r w:rsidR="00F24288">
        <w:t xml:space="preserve"> and </w:t>
      </w:r>
      <w:r w:rsidR="00F27440">
        <w:t>surgical procedures carried out</w:t>
      </w:r>
      <w:r w:rsidR="009B391A">
        <w:t>,</w:t>
      </w:r>
      <w:r w:rsidR="00F27440">
        <w:t xml:space="preserve"> together with the identity of the doctors</w:t>
      </w:r>
      <w:r w:rsidR="00290044">
        <w:t xml:space="preserve"> involved therein</w:t>
      </w:r>
      <w:r w:rsidR="009B391A">
        <w:t>,</w:t>
      </w:r>
      <w:r w:rsidR="0044399D">
        <w:t xml:space="preserve"> w</w:t>
      </w:r>
      <w:r w:rsidR="009B391A">
        <w:t>ere</w:t>
      </w:r>
      <w:r w:rsidR="0044399D">
        <w:t xml:space="preserve"> sufficient for the Fund to consider and investigate the claim</w:t>
      </w:r>
      <w:r w:rsidR="00643032">
        <w:t xml:space="preserve">. </w:t>
      </w:r>
      <w:r w:rsidR="00EF34AF">
        <w:t xml:space="preserve">The court </w:t>
      </w:r>
      <w:r w:rsidR="00B80CF5">
        <w:t>followed</w:t>
      </w:r>
      <w:r w:rsidR="006B135C">
        <w:t xml:space="preserve"> the </w:t>
      </w:r>
      <w:r w:rsidR="006B135C">
        <w:rPr>
          <w:i/>
          <w:iCs/>
        </w:rPr>
        <w:t xml:space="preserve">ratio </w:t>
      </w:r>
      <w:r w:rsidR="004943E6">
        <w:t>in</w:t>
      </w:r>
      <w:r w:rsidR="00B80CF5">
        <w:t xml:space="preserve"> </w:t>
      </w:r>
      <w:r w:rsidR="00B80CF5">
        <w:rPr>
          <w:i/>
          <w:iCs/>
        </w:rPr>
        <w:t>Pit</w:t>
      </w:r>
      <w:r w:rsidR="002C160D">
        <w:rPr>
          <w:i/>
          <w:iCs/>
        </w:rPr>
        <w:t>hey v</w:t>
      </w:r>
      <w:r w:rsidR="002F7653">
        <w:rPr>
          <w:i/>
          <w:iCs/>
        </w:rPr>
        <w:t xml:space="preserve"> Road Accident Fund</w:t>
      </w:r>
      <w:r w:rsidR="007E135D">
        <w:rPr>
          <w:rStyle w:val="FootnoteReference"/>
          <w:i/>
          <w:iCs/>
        </w:rPr>
        <w:footnoteReference w:id="5"/>
      </w:r>
      <w:r w:rsidR="004943E6">
        <w:t xml:space="preserve"> </w:t>
      </w:r>
      <w:r w:rsidR="009B711D">
        <w:t>w</w:t>
      </w:r>
      <w:r w:rsidR="00764F50">
        <w:t>here it was found</w:t>
      </w:r>
      <w:r w:rsidR="00EF34AF">
        <w:t xml:space="preserve"> that the submission </w:t>
      </w:r>
      <w:r w:rsidR="00B705A1">
        <w:t xml:space="preserve">of the claim form was peremptory </w:t>
      </w:r>
      <w:r w:rsidR="004A2909">
        <w:t xml:space="preserve">but the prescribed </w:t>
      </w:r>
      <w:r w:rsidR="007E6F51">
        <w:t>requirements for</w:t>
      </w:r>
      <w:r w:rsidR="004A2909">
        <w:t xml:space="preserve"> the completeness of the form was directory</w:t>
      </w:r>
      <w:r w:rsidR="00904DC8">
        <w:t>, meaning substantial compliance will suffice.</w:t>
      </w:r>
      <w:r w:rsidR="003F4EF1">
        <w:t xml:space="preserve"> </w:t>
      </w:r>
      <w:r w:rsidR="00456683">
        <w:t xml:space="preserve">The court found </w:t>
      </w:r>
      <w:r w:rsidR="00A307A2">
        <w:t>as follows</w:t>
      </w:r>
      <w:r w:rsidR="00A21725">
        <w:t>:</w:t>
      </w:r>
    </w:p>
    <w:p w14:paraId="3AF702FF" w14:textId="0735B2CA" w:rsidR="00A848A3" w:rsidRPr="000E022E" w:rsidRDefault="00A21725" w:rsidP="000E022E">
      <w:pPr>
        <w:pStyle w:val="Quote"/>
        <w:ind w:right="95"/>
        <w:jc w:val="both"/>
        <w:rPr>
          <w:i w:val="0"/>
          <w:iCs w:val="0"/>
          <w:color w:val="000000" w:themeColor="text1"/>
          <w:sz w:val="22"/>
          <w:szCs w:val="21"/>
        </w:rPr>
      </w:pPr>
      <w:r w:rsidRPr="000E022E">
        <w:rPr>
          <w:i w:val="0"/>
          <w:iCs w:val="0"/>
          <w:color w:val="000000" w:themeColor="text1"/>
          <w:sz w:val="22"/>
          <w:szCs w:val="21"/>
        </w:rPr>
        <w:t>“</w:t>
      </w:r>
      <w:r w:rsidR="005F3C4A" w:rsidRPr="000E022E">
        <w:rPr>
          <w:i w:val="0"/>
          <w:iCs w:val="0"/>
          <w:color w:val="000000" w:themeColor="text1"/>
          <w:sz w:val="22"/>
          <w:szCs w:val="21"/>
        </w:rPr>
        <w:t xml:space="preserve">The hospital records </w:t>
      </w:r>
      <w:r w:rsidR="00ED24F4" w:rsidRPr="000E022E">
        <w:rPr>
          <w:i w:val="0"/>
          <w:iCs w:val="0"/>
          <w:color w:val="000000" w:themeColor="text1"/>
          <w:sz w:val="22"/>
          <w:szCs w:val="21"/>
        </w:rPr>
        <w:t xml:space="preserve">were submitted </w:t>
      </w:r>
      <w:r w:rsidR="009E6CAF" w:rsidRPr="000E022E">
        <w:rPr>
          <w:i w:val="0"/>
          <w:iCs w:val="0"/>
          <w:color w:val="000000" w:themeColor="text1"/>
          <w:sz w:val="22"/>
          <w:szCs w:val="21"/>
        </w:rPr>
        <w:t>together with the claim in order to enable the Fund to investigate the sig</w:t>
      </w:r>
      <w:r w:rsidR="00961C8C" w:rsidRPr="000E022E">
        <w:rPr>
          <w:i w:val="0"/>
          <w:iCs w:val="0"/>
          <w:color w:val="000000" w:themeColor="text1"/>
          <w:sz w:val="22"/>
          <w:szCs w:val="21"/>
        </w:rPr>
        <w:t xml:space="preserve">nificance of the injuries sustained by Mr Busuku. They </w:t>
      </w:r>
      <w:r w:rsidR="00FB4320" w:rsidRPr="000E022E">
        <w:rPr>
          <w:i w:val="0"/>
          <w:iCs w:val="0"/>
          <w:color w:val="000000" w:themeColor="text1"/>
          <w:sz w:val="22"/>
          <w:szCs w:val="21"/>
        </w:rPr>
        <w:t xml:space="preserve">contained most of the information </w:t>
      </w:r>
      <w:r w:rsidR="000C4409" w:rsidRPr="000E022E">
        <w:rPr>
          <w:i w:val="0"/>
          <w:iCs w:val="0"/>
          <w:color w:val="000000" w:themeColor="text1"/>
          <w:sz w:val="22"/>
          <w:szCs w:val="21"/>
        </w:rPr>
        <w:t>called for in the RAF 1 for</w:t>
      </w:r>
      <w:r w:rsidR="00F304C7" w:rsidRPr="000E022E">
        <w:rPr>
          <w:i w:val="0"/>
          <w:iCs w:val="0"/>
          <w:color w:val="000000" w:themeColor="text1"/>
          <w:sz w:val="22"/>
          <w:szCs w:val="21"/>
        </w:rPr>
        <w:t>m</w:t>
      </w:r>
      <w:r w:rsidR="000C4409" w:rsidRPr="000E022E">
        <w:rPr>
          <w:i w:val="0"/>
          <w:iCs w:val="0"/>
          <w:color w:val="000000" w:themeColor="text1"/>
          <w:sz w:val="22"/>
          <w:szCs w:val="21"/>
        </w:rPr>
        <w:t xml:space="preserve">. In my view, </w:t>
      </w:r>
      <w:r w:rsidR="00186F09" w:rsidRPr="000E022E">
        <w:rPr>
          <w:i w:val="0"/>
          <w:iCs w:val="0"/>
          <w:color w:val="000000" w:themeColor="text1"/>
          <w:sz w:val="22"/>
          <w:szCs w:val="21"/>
        </w:rPr>
        <w:t xml:space="preserve">furnishing medical records constituted substantial compliance </w:t>
      </w:r>
      <w:r w:rsidR="00A950B1" w:rsidRPr="000E022E">
        <w:rPr>
          <w:i w:val="0"/>
          <w:iCs w:val="0"/>
          <w:color w:val="000000" w:themeColor="text1"/>
          <w:sz w:val="22"/>
          <w:szCs w:val="21"/>
        </w:rPr>
        <w:t xml:space="preserve">with the requirements of s 24 in this case. There </w:t>
      </w:r>
      <w:r w:rsidR="00A76AFF" w:rsidRPr="000E022E">
        <w:rPr>
          <w:i w:val="0"/>
          <w:iCs w:val="0"/>
          <w:color w:val="000000" w:themeColor="text1"/>
          <w:sz w:val="22"/>
          <w:szCs w:val="21"/>
        </w:rPr>
        <w:t>was no suggestion that any significant information</w:t>
      </w:r>
      <w:r w:rsidR="00A848A3" w:rsidRPr="000E022E">
        <w:rPr>
          <w:i w:val="0"/>
          <w:iCs w:val="0"/>
          <w:color w:val="000000" w:themeColor="text1"/>
          <w:sz w:val="22"/>
          <w:szCs w:val="21"/>
        </w:rPr>
        <w:t xml:space="preserve"> demanded by the form was missing.”</w:t>
      </w:r>
      <w:r w:rsidR="000E022E">
        <w:rPr>
          <w:rStyle w:val="FootnoteReference"/>
          <w:i w:val="0"/>
          <w:iCs w:val="0"/>
          <w:color w:val="000000" w:themeColor="text1"/>
          <w:sz w:val="22"/>
          <w:szCs w:val="21"/>
        </w:rPr>
        <w:footnoteReference w:id="6"/>
      </w:r>
    </w:p>
    <w:p w14:paraId="51D228D9" w14:textId="674F72DF" w:rsidR="00041E7F" w:rsidRDefault="00D36700" w:rsidP="00D36700">
      <w:pPr>
        <w:pStyle w:val="JudgmentNumbered"/>
        <w:numPr>
          <w:ilvl w:val="0"/>
          <w:numId w:val="0"/>
        </w:numPr>
        <w:ind w:left="567" w:hanging="567"/>
      </w:pPr>
      <w:r>
        <w:t>[22]</w:t>
      </w:r>
      <w:r>
        <w:tab/>
      </w:r>
      <w:r w:rsidR="007E6F51">
        <w:t>As found in</w:t>
      </w:r>
      <w:r w:rsidR="004E1C99">
        <w:t xml:space="preserve"> </w:t>
      </w:r>
      <w:r w:rsidR="004E1C99">
        <w:rPr>
          <w:i/>
          <w:iCs/>
        </w:rPr>
        <w:t>Busuku</w:t>
      </w:r>
      <w:r w:rsidR="001A49AC">
        <w:rPr>
          <w:i/>
          <w:iCs/>
        </w:rPr>
        <w:t xml:space="preserve">, </w:t>
      </w:r>
      <w:r w:rsidR="004E1C99">
        <w:t>i</w:t>
      </w:r>
      <w:r w:rsidR="001A49AC">
        <w:t xml:space="preserve">t </w:t>
      </w:r>
      <w:r w:rsidR="0026175F">
        <w:t xml:space="preserve">comes down to the purpose of the legislative requirement. </w:t>
      </w:r>
      <w:r w:rsidR="007E6F51">
        <w:t>In this sense</w:t>
      </w:r>
      <w:r w:rsidR="0008759D">
        <w:t>,</w:t>
      </w:r>
      <w:r w:rsidR="002256A2">
        <w:t xml:space="preserve"> t</w:t>
      </w:r>
      <w:r w:rsidR="001A49AC">
        <w:t>he</w:t>
      </w:r>
      <w:r w:rsidR="002256A2">
        <w:t xml:space="preserve"> court </w:t>
      </w:r>
      <w:r w:rsidR="00B83C3F">
        <w:t>analysed</w:t>
      </w:r>
      <w:r w:rsidR="00E60B85">
        <w:t xml:space="preserve"> the </w:t>
      </w:r>
      <w:r w:rsidR="0057245F">
        <w:t xml:space="preserve">object </w:t>
      </w:r>
      <w:r w:rsidR="001A49AC">
        <w:t>for</w:t>
      </w:r>
      <w:r w:rsidR="0057245F">
        <w:t xml:space="preserve"> the requirements</w:t>
      </w:r>
      <w:r w:rsidR="005D3AD0">
        <w:t xml:space="preserve"> </w:t>
      </w:r>
      <w:r w:rsidR="001A49AC">
        <w:t>of</w:t>
      </w:r>
      <w:r w:rsidR="005D3AD0">
        <w:t xml:space="preserve"> completeness of the RAF1 form</w:t>
      </w:r>
      <w:r w:rsidR="001A49AC">
        <w:t xml:space="preserve">, and </w:t>
      </w:r>
      <w:r w:rsidR="00C97F4E">
        <w:t>found as follows</w:t>
      </w:r>
      <w:r w:rsidR="000D3CAF">
        <w:t>:</w:t>
      </w:r>
    </w:p>
    <w:p w14:paraId="11F693D5" w14:textId="290A4DA1" w:rsidR="002D1022" w:rsidRPr="000E022E" w:rsidRDefault="000E022E" w:rsidP="000E022E">
      <w:pPr>
        <w:pStyle w:val="Quote"/>
        <w:ind w:right="-46"/>
        <w:jc w:val="both"/>
        <w:rPr>
          <w:i w:val="0"/>
          <w:iCs w:val="0"/>
          <w:color w:val="000000" w:themeColor="text1"/>
          <w:szCs w:val="24"/>
          <w:lang w:val="en-ZA"/>
        </w:rPr>
      </w:pPr>
      <w:r w:rsidRPr="000E022E">
        <w:rPr>
          <w:i w:val="0"/>
          <w:iCs w:val="0"/>
          <w:color w:val="000000" w:themeColor="text1"/>
          <w:sz w:val="22"/>
          <w:szCs w:val="21"/>
        </w:rPr>
        <w:t>“</w:t>
      </w:r>
      <w:r w:rsidR="002D1022" w:rsidRPr="000E022E">
        <w:rPr>
          <w:i w:val="0"/>
          <w:iCs w:val="0"/>
          <w:color w:val="000000" w:themeColor="text1"/>
          <w:sz w:val="22"/>
          <w:szCs w:val="21"/>
        </w:rPr>
        <w:t xml:space="preserve">I have referred earlier to the objectives of the Act and the approach to its interpretation. In the context of the Act the purpose of the early submission of the claim form is to enable the Fund to investigate the merits of a plaintiff’s claim in order to consider its approach to the pending litigation before costs are incurred. By parity of reasoning the medical report is intended to enable it at an early stage to investigate the cause and seriousness of a plaintiff’s alleged injuries in order to make an offer to settle the claim, if so advised. Section 24(2) seeks to ensure the reliability of the information provided, primarily to protect the Fund against fraud, by requiring the form to be completed by the treating doctor, the superintendent of the hospital or their representative, as the case may be. In the event of their failure to comply, the form </w:t>
      </w:r>
      <w:r w:rsidR="002D1022" w:rsidRPr="000E022E">
        <w:rPr>
          <w:i w:val="0"/>
          <w:iCs w:val="0"/>
          <w:color w:val="000000" w:themeColor="text1"/>
          <w:sz w:val="22"/>
          <w:szCs w:val="21"/>
        </w:rPr>
        <w:lastRenderedPageBreak/>
        <w:t>may be completed by another doctor who has satisfied himself of the nature and treatment of the injury. Where, one might rightly ask, would the superintendent of the hospital, or any other doctor, source such information from? It seems to me that they could only acquire such information from the hospital records.</w:t>
      </w:r>
    </w:p>
    <w:p w14:paraId="480564BD" w14:textId="7A6C669A" w:rsidR="002D1022" w:rsidRPr="000E022E" w:rsidRDefault="002D1022" w:rsidP="000E022E">
      <w:pPr>
        <w:pStyle w:val="Quote"/>
        <w:ind w:right="-46"/>
        <w:jc w:val="both"/>
        <w:rPr>
          <w:i w:val="0"/>
          <w:iCs w:val="0"/>
          <w:color w:val="000000" w:themeColor="text1"/>
          <w:szCs w:val="24"/>
        </w:rPr>
      </w:pPr>
      <w:r w:rsidRPr="000E022E">
        <w:rPr>
          <w:i w:val="0"/>
          <w:iCs w:val="0"/>
          <w:color w:val="000000" w:themeColor="text1"/>
          <w:sz w:val="22"/>
          <w:szCs w:val="21"/>
        </w:rPr>
        <w:t>The RAF 1 form does not call for detailed information. It is not intended, of itself, to enable the Fund to assess the quantum of the plaintiff’s claim. It seeks to enable it to investigate the impact of the injuries sustained. In order to do so the RAF 1 form requires the disclosure of information to guide and facilitate the investigation. On the first page of the ‘medical report’ section of the form it seeks particulars of any emergency transport which had been required; whether the plaintiff had been hospitalized, and if so, whether he was in ICU. All of this was contained in the hospital records. The third page of the report requires the provision of particulars of the medical facilities where treatment was received and the identity of practitioners who treated the plaintiff. This, too, was recorded in the hospital records.</w:t>
      </w:r>
      <w:r w:rsidR="009A2B10" w:rsidRPr="000E022E">
        <w:rPr>
          <w:i w:val="0"/>
          <w:iCs w:val="0"/>
          <w:color w:val="000000" w:themeColor="text1"/>
          <w:sz w:val="22"/>
          <w:szCs w:val="21"/>
        </w:rPr>
        <w:t>”</w:t>
      </w:r>
      <w:r w:rsidR="001A49AC">
        <w:rPr>
          <w:rStyle w:val="FootnoteReference"/>
          <w:i w:val="0"/>
          <w:iCs w:val="0"/>
          <w:color w:val="000000" w:themeColor="text1"/>
          <w:sz w:val="22"/>
          <w:szCs w:val="21"/>
        </w:rPr>
        <w:footnoteReference w:id="7"/>
      </w:r>
    </w:p>
    <w:p w14:paraId="222F6A27" w14:textId="63BB9D3B" w:rsidR="00C6039D" w:rsidRDefault="00D36700" w:rsidP="00D36700">
      <w:pPr>
        <w:pStyle w:val="JudgmentNumbered"/>
        <w:numPr>
          <w:ilvl w:val="0"/>
          <w:numId w:val="0"/>
        </w:numPr>
        <w:ind w:left="567" w:hanging="567"/>
      </w:pPr>
      <w:r>
        <w:t>[23]</w:t>
      </w:r>
      <w:r>
        <w:tab/>
      </w:r>
      <w:r w:rsidR="00A81707">
        <w:t xml:space="preserve">Relying on </w:t>
      </w:r>
      <w:r w:rsidR="003E423A">
        <w:t>this decision t</w:t>
      </w:r>
      <w:r w:rsidR="00F84931" w:rsidRPr="001352C5">
        <w:t xml:space="preserve">he plaintiff’s </w:t>
      </w:r>
      <w:r w:rsidR="00C6039D">
        <w:t xml:space="preserve">counsel </w:t>
      </w:r>
      <w:r w:rsidR="00C6039D" w:rsidRPr="001352C5">
        <w:t>contended</w:t>
      </w:r>
      <w:r w:rsidR="00F84931" w:rsidRPr="001352C5">
        <w:t xml:space="preserve"> that there has been substantial compliance with s</w:t>
      </w:r>
      <w:r w:rsidR="001A49AC">
        <w:t xml:space="preserve">ection </w:t>
      </w:r>
      <w:r w:rsidR="00F84931" w:rsidRPr="001352C5">
        <w:t>24(4)(</w:t>
      </w:r>
      <w:r w:rsidR="00456114">
        <w:t>2</w:t>
      </w:r>
      <w:r w:rsidR="00F84931" w:rsidRPr="001352C5">
        <w:t>)</w:t>
      </w:r>
      <w:r w:rsidR="00456114">
        <w:t>(a)</w:t>
      </w:r>
      <w:r w:rsidR="00F84931" w:rsidRPr="001352C5">
        <w:t xml:space="preserve"> of the Act,</w:t>
      </w:r>
      <w:r w:rsidR="00077EAD">
        <w:t xml:space="preserve"> as</w:t>
      </w:r>
      <w:r w:rsidR="00F84931" w:rsidRPr="001352C5">
        <w:t xml:space="preserve"> the</w:t>
      </w:r>
      <w:r w:rsidR="00456114">
        <w:t xml:space="preserve"> </w:t>
      </w:r>
      <w:r w:rsidR="00C6039D">
        <w:t xml:space="preserve">medical practitioner who completed the medical report </w:t>
      </w:r>
      <w:r w:rsidR="00F84931" w:rsidRPr="001352C5">
        <w:t>w</w:t>
      </w:r>
      <w:r w:rsidR="00C6039D">
        <w:t>as</w:t>
      </w:r>
      <w:r w:rsidR="001C17E1">
        <w:t xml:space="preserve"> fully informed</w:t>
      </w:r>
      <w:r w:rsidR="00FC7ECF">
        <w:t xml:space="preserve"> about the</w:t>
      </w:r>
      <w:r w:rsidR="00776537">
        <w:t xml:space="preserve"> injuries and treatment of the plaintiff. H</w:t>
      </w:r>
      <w:r w:rsidR="00F67D0D">
        <w:t>e had</w:t>
      </w:r>
      <w:r w:rsidR="00C6039D">
        <w:t xml:space="preserve"> access to the </w:t>
      </w:r>
      <w:r w:rsidR="00C6039D" w:rsidRPr="001352C5">
        <w:t>hospital records and accompanying documentation</w:t>
      </w:r>
      <w:r w:rsidR="000547DE">
        <w:t xml:space="preserve"> same</w:t>
      </w:r>
      <w:r w:rsidR="00C6039D" w:rsidRPr="001352C5">
        <w:t xml:space="preserve"> which</w:t>
      </w:r>
      <w:r w:rsidR="00BD05D8">
        <w:t xml:space="preserve"> the </w:t>
      </w:r>
      <w:r w:rsidR="006F2B69">
        <w:t xml:space="preserve">treating doctor would have </w:t>
      </w:r>
      <w:r w:rsidR="00A933AD">
        <w:t>considered</w:t>
      </w:r>
      <w:r w:rsidR="00733E7A">
        <w:t>.</w:t>
      </w:r>
      <w:r w:rsidR="00306EDE">
        <w:t xml:space="preserve"> Although the </w:t>
      </w:r>
      <w:r w:rsidR="00BA177B">
        <w:t>jurisdictional facts</w:t>
      </w:r>
      <w:r w:rsidR="00D252F5">
        <w:t xml:space="preserve"> were not met</w:t>
      </w:r>
      <w:r w:rsidR="00D7141F">
        <w:t>,</w:t>
      </w:r>
      <w:r w:rsidR="00231467">
        <w:t xml:space="preserve"> to wit,</w:t>
      </w:r>
      <w:r w:rsidR="00AB71D0">
        <w:t xml:space="preserve"> a request</w:t>
      </w:r>
      <w:r w:rsidR="00137153">
        <w:t xml:space="preserve"> was not</w:t>
      </w:r>
      <w:r w:rsidR="00AB71D0">
        <w:t xml:space="preserve"> made </w:t>
      </w:r>
      <w:r w:rsidR="00017BE8">
        <w:t>to the hospital</w:t>
      </w:r>
      <w:r w:rsidR="008536FB">
        <w:t xml:space="preserve"> to complete the medical report</w:t>
      </w:r>
      <w:r w:rsidR="00017BE8">
        <w:t>, a reasonable period</w:t>
      </w:r>
      <w:r w:rsidR="00D7141F">
        <w:t xml:space="preserve"> </w:t>
      </w:r>
      <w:r w:rsidR="00137153">
        <w:t>could thus not have</w:t>
      </w:r>
      <w:r w:rsidR="00017BE8">
        <w:t xml:space="preserve"> laps</w:t>
      </w:r>
      <w:r w:rsidR="00D7141F">
        <w:t>ed</w:t>
      </w:r>
      <w:r w:rsidR="00017BE8">
        <w:t xml:space="preserve"> and</w:t>
      </w:r>
      <w:r w:rsidR="007C18A2">
        <w:t xml:space="preserve"> with</w:t>
      </w:r>
      <w:r w:rsidR="00017BE8">
        <w:t xml:space="preserve"> </w:t>
      </w:r>
      <w:r w:rsidR="00231467">
        <w:t>prescription looming</w:t>
      </w:r>
      <w:r w:rsidR="00C40157">
        <w:t>,</w:t>
      </w:r>
      <w:r w:rsidR="00BA177B">
        <w:t xml:space="preserve"> were not</w:t>
      </w:r>
      <w:r w:rsidR="00286FBC">
        <w:t xml:space="preserve"> met</w:t>
      </w:r>
      <w:r w:rsidR="00745465">
        <w:t xml:space="preserve"> this </w:t>
      </w:r>
      <w:r w:rsidR="00286FBC">
        <w:t>should</w:t>
      </w:r>
      <w:r w:rsidR="00745465">
        <w:t xml:space="preserve"> be overlooked</w:t>
      </w:r>
      <w:r w:rsidR="00AB159E">
        <w:t>. Moreover, when the RAF1 form was lodged</w:t>
      </w:r>
      <w:r w:rsidR="00745465">
        <w:t xml:space="preserve"> the</w:t>
      </w:r>
      <w:r w:rsidR="00244777">
        <w:t xml:space="preserve"> hospital records</w:t>
      </w:r>
      <w:r w:rsidR="00FB5271">
        <w:t xml:space="preserve"> and other documentation</w:t>
      </w:r>
      <w:r w:rsidR="00244777">
        <w:t xml:space="preserve"> w</w:t>
      </w:r>
      <w:r w:rsidR="0008759D">
        <w:t>ere</w:t>
      </w:r>
      <w:r w:rsidR="00244777">
        <w:t xml:space="preserve"> attached to the RAF1 </w:t>
      </w:r>
      <w:r w:rsidR="00243331">
        <w:t>form when</w:t>
      </w:r>
      <w:r w:rsidR="00244777">
        <w:t xml:space="preserve"> the claim was lodged. </w:t>
      </w:r>
    </w:p>
    <w:p w14:paraId="43C1D23C" w14:textId="67708C1A" w:rsidR="00F84931" w:rsidRDefault="00D36700" w:rsidP="00D36700">
      <w:pPr>
        <w:pStyle w:val="JudgmentNumbered"/>
        <w:numPr>
          <w:ilvl w:val="0"/>
          <w:numId w:val="0"/>
        </w:numPr>
        <w:ind w:left="567" w:hanging="567"/>
      </w:pPr>
      <w:r>
        <w:t>[24]</w:t>
      </w:r>
      <w:r>
        <w:tab/>
      </w:r>
      <w:r w:rsidR="00F84931">
        <w:t xml:space="preserve">On behalf of the </w:t>
      </w:r>
      <w:r w:rsidR="00243331">
        <w:t>plaintiff,</w:t>
      </w:r>
      <w:r w:rsidR="00F84931">
        <w:t xml:space="preserve"> it was</w:t>
      </w:r>
      <w:r w:rsidR="00F84931" w:rsidRPr="001352C5">
        <w:t xml:space="preserve"> argued that because the defendant failed to</w:t>
      </w:r>
      <w:r w:rsidR="00F84931">
        <w:t xml:space="preserve"> cure the defect in</w:t>
      </w:r>
      <w:r w:rsidR="0008759D">
        <w:t xml:space="preserve"> the</w:t>
      </w:r>
      <w:r w:rsidR="00F84931">
        <w:t xml:space="preserve"> </w:t>
      </w:r>
      <w:r w:rsidR="00456114">
        <w:t>medical section</w:t>
      </w:r>
      <w:r w:rsidR="00322BEF">
        <w:t xml:space="preserve"> after objection</w:t>
      </w:r>
      <w:r w:rsidR="00F84931" w:rsidRPr="001352C5">
        <w:t xml:space="preserve">, the RAF 1 form </w:t>
      </w:r>
      <w:r w:rsidR="00456114">
        <w:t>could not be</w:t>
      </w:r>
      <w:r w:rsidR="00F84931" w:rsidRPr="001352C5">
        <w:t xml:space="preserve"> deemed to be valid in all respects</w:t>
      </w:r>
      <w:r w:rsidR="00456114">
        <w:t>, and the claim ha</w:t>
      </w:r>
      <w:r w:rsidR="00A62780">
        <w:t>d consequently</w:t>
      </w:r>
      <w:r w:rsidR="00456114">
        <w:t xml:space="preserve"> prescribed.</w:t>
      </w:r>
    </w:p>
    <w:p w14:paraId="2F5CDABB" w14:textId="1D4E7F26" w:rsidR="00584BA4" w:rsidRDefault="00D36700" w:rsidP="00D36700">
      <w:pPr>
        <w:pStyle w:val="JudgmentNumbered"/>
        <w:numPr>
          <w:ilvl w:val="0"/>
          <w:numId w:val="0"/>
        </w:numPr>
        <w:ind w:left="567" w:hanging="567"/>
      </w:pPr>
      <w:r>
        <w:t>[25]</w:t>
      </w:r>
      <w:r>
        <w:tab/>
      </w:r>
      <w:r w:rsidR="0008759D">
        <w:t>T</w:t>
      </w:r>
      <w:r w:rsidR="009542E5">
        <w:t>he plaintiff</w:t>
      </w:r>
      <w:r w:rsidR="0008759D">
        <w:t>, in this matter,</w:t>
      </w:r>
      <w:r w:rsidR="009542E5">
        <w:t xml:space="preserve"> caused the RAF1 form to be completed and submitted the form with the </w:t>
      </w:r>
      <w:r w:rsidR="009542E5" w:rsidRPr="00EF2D64">
        <w:t>hospital records</w:t>
      </w:r>
      <w:r w:rsidR="009542E5">
        <w:t xml:space="preserve">. The plaintiff is thus in a better position than </w:t>
      </w:r>
      <w:r w:rsidR="00607670">
        <w:t>the claimant in</w:t>
      </w:r>
      <w:r w:rsidR="000A64C1">
        <w:rPr>
          <w:b/>
          <w:bCs/>
        </w:rPr>
        <w:t xml:space="preserve"> </w:t>
      </w:r>
      <w:r w:rsidR="000A64C1">
        <w:rPr>
          <w:i/>
          <w:iCs/>
        </w:rPr>
        <w:t>Busuku</w:t>
      </w:r>
      <w:r w:rsidR="003835F9">
        <w:t xml:space="preserve"> where the</w:t>
      </w:r>
      <w:r w:rsidR="00775F39">
        <w:t xml:space="preserve"> medic</w:t>
      </w:r>
      <w:r w:rsidR="007F222E">
        <w:t>al report in the</w:t>
      </w:r>
      <w:r w:rsidR="003835F9">
        <w:t xml:space="preserve"> RAF1 form was</w:t>
      </w:r>
      <w:r w:rsidR="007F222E">
        <w:t xml:space="preserve"> left blank</w:t>
      </w:r>
      <w:r w:rsidR="003835F9">
        <w:t>.</w:t>
      </w:r>
      <w:r w:rsidR="006A0718">
        <w:t xml:space="preserve"> </w:t>
      </w:r>
      <w:r w:rsidR="006A0718">
        <w:lastRenderedPageBreak/>
        <w:t>In both cases</w:t>
      </w:r>
      <w:r w:rsidR="002C63F5">
        <w:t>,</w:t>
      </w:r>
      <w:r w:rsidR="006A0718">
        <w:t xml:space="preserve"> the hospital reports were furnished. </w:t>
      </w:r>
      <w:r w:rsidR="009542E5">
        <w:t>The difference in the matter before this court is that in terms of s</w:t>
      </w:r>
      <w:r w:rsidR="002C63F5">
        <w:t xml:space="preserve">ection </w:t>
      </w:r>
      <w:r w:rsidR="009542E5">
        <w:t>24(5) an objection was raised by the Fund to the</w:t>
      </w:r>
      <w:r w:rsidR="003B7E48">
        <w:t xml:space="preserve"> validity of the</w:t>
      </w:r>
      <w:r w:rsidR="009542E5">
        <w:t xml:space="preserve"> RAF1 form</w:t>
      </w:r>
      <w:r w:rsidR="00EC21DB">
        <w:t>,</w:t>
      </w:r>
      <w:r w:rsidR="009542E5">
        <w:t xml:space="preserve"> objecting to the person who filled in the medical report on the form</w:t>
      </w:r>
      <w:r w:rsidR="00ED472A">
        <w:t xml:space="preserve"> and indicating that the jurisdictional requiremen</w:t>
      </w:r>
      <w:r w:rsidR="00570BDD">
        <w:t xml:space="preserve">ts was not met before a private practitioner could complete the form. </w:t>
      </w:r>
    </w:p>
    <w:p w14:paraId="6305A279" w14:textId="624C1F02" w:rsidR="00397D50" w:rsidRDefault="00D36700" w:rsidP="00D36700">
      <w:pPr>
        <w:pStyle w:val="JudgmentNumbered"/>
        <w:numPr>
          <w:ilvl w:val="0"/>
          <w:numId w:val="0"/>
        </w:numPr>
        <w:ind w:left="567" w:hanging="567"/>
      </w:pPr>
      <w:r>
        <w:t>[26]</w:t>
      </w:r>
      <w:r>
        <w:tab/>
      </w:r>
      <w:r w:rsidR="009209DE">
        <w:t>The question arises</w:t>
      </w:r>
      <w:r w:rsidR="00DF4E07">
        <w:t xml:space="preserve"> whether the fact that the form was not </w:t>
      </w:r>
      <w:r w:rsidR="003B483A">
        <w:t>completed by the treating doctor or person</w:t>
      </w:r>
      <w:r w:rsidR="001E04F7">
        <w:t>n</w:t>
      </w:r>
      <w:r w:rsidR="002C63F5">
        <w:t>e</w:t>
      </w:r>
      <w:r w:rsidR="003B483A">
        <w:t>l at Tembisa Hospital</w:t>
      </w:r>
      <w:r w:rsidR="00584BA4">
        <w:t>, even after</w:t>
      </w:r>
      <w:r w:rsidR="0064417A">
        <w:t xml:space="preserve"> objection, means that there</w:t>
      </w:r>
      <w:r w:rsidR="00A064F3">
        <w:t xml:space="preserve"> was nevertheless</w:t>
      </w:r>
      <w:r w:rsidR="0064417A">
        <w:t xml:space="preserve"> substantial compliance with s</w:t>
      </w:r>
      <w:r w:rsidR="001A49AC">
        <w:t xml:space="preserve">ection </w:t>
      </w:r>
      <w:r w:rsidR="0064417A">
        <w:t>24(</w:t>
      </w:r>
      <w:r w:rsidR="009F19A5">
        <w:t>2)(a) of the Act</w:t>
      </w:r>
      <w:r w:rsidR="002C63F5">
        <w:t>.</w:t>
      </w:r>
      <w:r w:rsidR="009F19A5">
        <w:t xml:space="preserve"> </w:t>
      </w:r>
      <w:r w:rsidR="008A59E1">
        <w:t xml:space="preserve">In my view, </w:t>
      </w:r>
      <w:r w:rsidR="00D04A1E">
        <w:t xml:space="preserve">the objection itself </w:t>
      </w:r>
      <w:r w:rsidR="001E1550">
        <w:t xml:space="preserve">does </w:t>
      </w:r>
      <w:r w:rsidR="000839C0">
        <w:t xml:space="preserve">mean that there was not substantial </w:t>
      </w:r>
      <w:r w:rsidR="008D0CF4">
        <w:t xml:space="preserve">compliance </w:t>
      </w:r>
      <w:r w:rsidR="00BE3063">
        <w:t xml:space="preserve">with the prescripts of the Act. </w:t>
      </w:r>
      <w:r w:rsidR="004C413D">
        <w:t>The Fund might have been wrong to have objected</w:t>
      </w:r>
      <w:r w:rsidR="00684A6E">
        <w:t xml:space="preserve"> as compliance might have been substantial.</w:t>
      </w:r>
      <w:r w:rsidR="009542E5">
        <w:t xml:space="preserve"> </w:t>
      </w:r>
    </w:p>
    <w:p w14:paraId="1CC21371" w14:textId="1218F3C2" w:rsidR="00BD646F" w:rsidRDefault="00D36700" w:rsidP="00D36700">
      <w:pPr>
        <w:pStyle w:val="JudgmentNumbered"/>
        <w:numPr>
          <w:ilvl w:val="0"/>
          <w:numId w:val="0"/>
        </w:numPr>
        <w:ind w:left="567" w:hanging="567"/>
      </w:pPr>
      <w:r>
        <w:t>[27]</w:t>
      </w:r>
      <w:r>
        <w:tab/>
      </w:r>
      <w:r w:rsidR="009542E5">
        <w:t>If a</w:t>
      </w:r>
      <w:r w:rsidR="002C63F5">
        <w:t>n</w:t>
      </w:r>
      <w:r w:rsidR="009542E5">
        <w:t xml:space="preserve"> RAF1 form wh</w:t>
      </w:r>
      <w:r w:rsidR="00232C53">
        <w:t>ere</w:t>
      </w:r>
      <w:r w:rsidR="002C63F5">
        <w:t xml:space="preserve"> the</w:t>
      </w:r>
      <w:r w:rsidR="009542E5">
        <w:t xml:space="preserve"> medical report section was left blank, but</w:t>
      </w:r>
      <w:r w:rsidR="001C7077">
        <w:t xml:space="preserve"> which</w:t>
      </w:r>
      <w:r w:rsidR="002C63F5">
        <w:t xml:space="preserve"> </w:t>
      </w:r>
      <w:r w:rsidR="009542E5">
        <w:t>was accompanied by hospital reports, was found to be in substantial compliance with s</w:t>
      </w:r>
      <w:r w:rsidR="002C63F5">
        <w:t xml:space="preserve">ection </w:t>
      </w:r>
      <w:r w:rsidR="009542E5">
        <w:t>24</w:t>
      </w:r>
      <w:r w:rsidR="001C7077">
        <w:t>(2)(a)</w:t>
      </w:r>
      <w:r w:rsidR="009542E5">
        <w:t xml:space="preserve">, </w:t>
      </w:r>
      <w:r w:rsidR="00397D50">
        <w:t>as</w:t>
      </w:r>
      <w:r w:rsidR="000C0874">
        <w:t xml:space="preserve"> was found</w:t>
      </w:r>
      <w:r w:rsidR="00397D50">
        <w:t xml:space="preserve"> in </w:t>
      </w:r>
      <w:r w:rsidR="00397D50">
        <w:rPr>
          <w:i/>
          <w:iCs/>
        </w:rPr>
        <w:t>Busuku</w:t>
      </w:r>
      <w:r w:rsidR="00290555">
        <w:rPr>
          <w:i/>
          <w:iCs/>
        </w:rPr>
        <w:t xml:space="preserve">, </w:t>
      </w:r>
      <w:r w:rsidR="009542E5">
        <w:t>it can hardly be found that a completed form</w:t>
      </w:r>
      <w:r w:rsidR="00C151C8">
        <w:t xml:space="preserve"> lodged</w:t>
      </w:r>
      <w:r w:rsidR="00A67F8D">
        <w:t xml:space="preserve">, </w:t>
      </w:r>
      <w:r w:rsidR="00D008DF">
        <w:t>completed</w:t>
      </w:r>
      <w:r w:rsidR="009542E5">
        <w:t xml:space="preserve"> by a</w:t>
      </w:r>
      <w:r w:rsidR="00D008DF">
        <w:t xml:space="preserve"> private</w:t>
      </w:r>
      <w:r w:rsidR="009542E5">
        <w:t xml:space="preserve"> medical practitioner and accompanied by </w:t>
      </w:r>
      <w:r w:rsidR="009542E5" w:rsidRPr="000E0695">
        <w:t>hospital records</w:t>
      </w:r>
      <w:r w:rsidR="009542E5">
        <w:t xml:space="preserve"> does not constitute substantial compliance</w:t>
      </w:r>
      <w:r w:rsidR="000C0874">
        <w:t xml:space="preserve"> with the section</w:t>
      </w:r>
      <w:r w:rsidR="009542E5">
        <w:t>. Th</w:t>
      </w:r>
      <w:r w:rsidR="003224FD">
        <w:t>is despite the fact that the</w:t>
      </w:r>
      <w:r w:rsidR="009542E5">
        <w:t xml:space="preserve"> steps to be taken to get in the position to make use of the services of another medical practitioner</w:t>
      </w:r>
      <w:r w:rsidR="00803AD3">
        <w:t>, as set out</w:t>
      </w:r>
      <w:r w:rsidR="009542E5">
        <w:t xml:space="preserve"> in s</w:t>
      </w:r>
      <w:r w:rsidR="001A49AC">
        <w:t xml:space="preserve">ection </w:t>
      </w:r>
      <w:r w:rsidR="009542E5">
        <w:t>24(2)(a)</w:t>
      </w:r>
      <w:r w:rsidR="003E3F17">
        <w:t xml:space="preserve"> were </w:t>
      </w:r>
      <w:r w:rsidR="00B64846">
        <w:t>not met. Consequently, I am of the view</w:t>
      </w:r>
      <w:r w:rsidR="00CD12EC">
        <w:t xml:space="preserve"> that the jurisdictional </w:t>
      </w:r>
      <w:r w:rsidR="00BD5719">
        <w:t>requirements</w:t>
      </w:r>
      <w:r w:rsidR="00CD12EC">
        <w:t xml:space="preserve"> that should </w:t>
      </w:r>
      <w:r w:rsidR="00BD5719">
        <w:t>be</w:t>
      </w:r>
      <w:r w:rsidR="00177208">
        <w:t xml:space="preserve"> present before another medical practitioner can complete the RAF1 form</w:t>
      </w:r>
      <w:r w:rsidR="009904E7">
        <w:t xml:space="preserve"> is not peremptory but</w:t>
      </w:r>
      <w:r w:rsidR="00E97334">
        <w:t xml:space="preserve"> direc</w:t>
      </w:r>
      <w:r w:rsidR="004732CE">
        <w:t xml:space="preserve">tory. </w:t>
      </w:r>
    </w:p>
    <w:p w14:paraId="7FE756FD" w14:textId="18F535AD" w:rsidR="009542E5" w:rsidRDefault="00D36700" w:rsidP="00D36700">
      <w:pPr>
        <w:pStyle w:val="JudgmentNumbered"/>
        <w:numPr>
          <w:ilvl w:val="0"/>
          <w:numId w:val="0"/>
        </w:numPr>
        <w:ind w:left="567" w:hanging="567"/>
      </w:pPr>
      <w:r>
        <w:t>[28]</w:t>
      </w:r>
      <w:r>
        <w:tab/>
      </w:r>
      <w:r w:rsidR="00243331">
        <w:t>Even though</w:t>
      </w:r>
      <w:r w:rsidR="00BD646F">
        <w:t xml:space="preserve"> certain </w:t>
      </w:r>
      <w:r w:rsidR="0054656B">
        <w:t xml:space="preserve">manuscript writing of the RAF1 form by Dr Hovis was </w:t>
      </w:r>
      <w:r w:rsidR="005F0710">
        <w:t>illegible this does not render the form invalid</w:t>
      </w:r>
      <w:r w:rsidR="00F262FE">
        <w:t>.</w:t>
      </w:r>
      <w:r w:rsidR="00863941">
        <w:t xml:space="preserve"> The common cause facts indicate that Dr Hovis was provided with the hospital </w:t>
      </w:r>
      <w:r w:rsidR="00243331">
        <w:t>records,</w:t>
      </w:r>
      <w:r w:rsidR="00020CDF">
        <w:t xml:space="preserve"> and he must have used </w:t>
      </w:r>
      <w:r w:rsidR="002C63F5">
        <w:t>the</w:t>
      </w:r>
      <w:r w:rsidR="00E17474">
        <w:t>se records</w:t>
      </w:r>
      <w:r w:rsidR="00020CDF">
        <w:t xml:space="preserve"> to complete the </w:t>
      </w:r>
      <w:r w:rsidR="00BC5A21">
        <w:t xml:space="preserve">medical section. But apart </w:t>
      </w:r>
      <w:r w:rsidR="00F1372C">
        <w:t>from</w:t>
      </w:r>
      <w:r w:rsidR="00BC5A21">
        <w:t xml:space="preserve"> this</w:t>
      </w:r>
      <w:r w:rsidR="00C9637B">
        <w:t xml:space="preserve">, </w:t>
      </w:r>
      <w:r w:rsidR="00243331">
        <w:t>even if the medical report section w</w:t>
      </w:r>
      <w:r w:rsidR="002C63F5">
        <w:t>as</w:t>
      </w:r>
      <w:r w:rsidR="005D7FF5">
        <w:t xml:space="preserve"> left</w:t>
      </w:r>
      <w:r w:rsidR="00A53DBB">
        <w:t xml:space="preserve"> blank, as in </w:t>
      </w:r>
      <w:r w:rsidR="00A53DBB">
        <w:rPr>
          <w:i/>
          <w:iCs/>
        </w:rPr>
        <w:t>Bus</w:t>
      </w:r>
      <w:r w:rsidR="00F1372C">
        <w:rPr>
          <w:i/>
          <w:iCs/>
        </w:rPr>
        <w:t>uku,</w:t>
      </w:r>
      <w:r w:rsidR="00F262FE">
        <w:t xml:space="preserve"> </w:t>
      </w:r>
      <w:r w:rsidR="00BC5A21">
        <w:t>t</w:t>
      </w:r>
      <w:r w:rsidR="00F262FE">
        <w:t>he deciding factor is what was handed</w:t>
      </w:r>
      <w:r w:rsidR="0043589D">
        <w:t xml:space="preserve"> to the Fund</w:t>
      </w:r>
      <w:r w:rsidR="00F262FE">
        <w:t xml:space="preserve"> with the </w:t>
      </w:r>
      <w:r w:rsidR="00527020">
        <w:t>RAF1 form</w:t>
      </w:r>
      <w:r w:rsidR="00F262FE">
        <w:t xml:space="preserve">. </w:t>
      </w:r>
      <w:r w:rsidR="0043589D">
        <w:t>In this case</w:t>
      </w:r>
      <w:r w:rsidR="00DF6833">
        <w:t>,</w:t>
      </w:r>
      <w:r w:rsidR="0043589D">
        <w:t xml:space="preserve"> it was </w:t>
      </w:r>
      <w:r w:rsidR="00A77524">
        <w:t>a</w:t>
      </w:r>
      <w:r w:rsidR="00B94F4A">
        <w:t xml:space="preserve"> full set of</w:t>
      </w:r>
      <w:r w:rsidR="00A77524">
        <w:t xml:space="preserve"> hospital</w:t>
      </w:r>
      <w:r w:rsidR="00B94F4A">
        <w:t xml:space="preserve"> records</w:t>
      </w:r>
      <w:r w:rsidR="00DF6833">
        <w:t>,</w:t>
      </w:r>
      <w:r w:rsidR="00C3655B">
        <w:t xml:space="preserve"> and th</w:t>
      </w:r>
      <w:r w:rsidR="001164C9">
        <w:t>at in itself</w:t>
      </w:r>
      <w:r w:rsidR="00B94F4A">
        <w:t xml:space="preserve"> </w:t>
      </w:r>
      <w:r w:rsidR="00DF6833">
        <w:t>should</w:t>
      </w:r>
      <w:r w:rsidR="00B94F4A">
        <w:t xml:space="preserve"> </w:t>
      </w:r>
      <w:r w:rsidR="00243331">
        <w:t>suffice to</w:t>
      </w:r>
      <w:r w:rsidR="001164C9">
        <w:t xml:space="preserve"> establish substantial compliance </w:t>
      </w:r>
      <w:r w:rsidR="007A1878">
        <w:t xml:space="preserve">with </w:t>
      </w:r>
      <w:r w:rsidR="001A49AC">
        <w:t xml:space="preserve">section </w:t>
      </w:r>
      <w:r w:rsidR="007A1878">
        <w:t>24(2)(a).</w:t>
      </w:r>
    </w:p>
    <w:p w14:paraId="61D27155" w14:textId="73B8F0A7" w:rsidR="007F4A14" w:rsidRDefault="00D36700" w:rsidP="00D36700">
      <w:pPr>
        <w:pStyle w:val="JudgmentNumbered"/>
        <w:numPr>
          <w:ilvl w:val="0"/>
          <w:numId w:val="0"/>
        </w:numPr>
        <w:ind w:left="567" w:hanging="567"/>
      </w:pPr>
      <w:r>
        <w:t>[29]</w:t>
      </w:r>
      <w:r>
        <w:tab/>
      </w:r>
      <w:r w:rsidR="005F10EC">
        <w:t xml:space="preserve">In my view, </w:t>
      </w:r>
      <w:r w:rsidR="002F1C2B">
        <w:t xml:space="preserve">considering the purpose of </w:t>
      </w:r>
      <w:r w:rsidR="001A49AC">
        <w:t xml:space="preserve">section </w:t>
      </w:r>
      <w:r w:rsidR="002F1C2B">
        <w:t xml:space="preserve">24(2)(a) </w:t>
      </w:r>
      <w:r w:rsidR="00D923E8">
        <w:t xml:space="preserve">as referred to in </w:t>
      </w:r>
      <w:r w:rsidR="00222E8F">
        <w:rPr>
          <w:i/>
          <w:iCs/>
        </w:rPr>
        <w:t>B</w:t>
      </w:r>
      <w:r w:rsidR="00D923E8">
        <w:rPr>
          <w:i/>
          <w:iCs/>
        </w:rPr>
        <w:t xml:space="preserve">usuku, </w:t>
      </w:r>
      <w:r w:rsidR="005F10EC">
        <w:t>there was substantial</w:t>
      </w:r>
      <w:r w:rsidR="008245A6">
        <w:t xml:space="preserve"> compliance with this section.</w:t>
      </w:r>
      <w:r w:rsidR="00732110">
        <w:t xml:space="preserve"> If the</w:t>
      </w:r>
      <w:r w:rsidR="00BC4F5D">
        <w:t xml:space="preserve"> RAF1 form</w:t>
      </w:r>
      <w:r w:rsidR="00732110">
        <w:t xml:space="preserve"> lodged was </w:t>
      </w:r>
      <w:r w:rsidR="00732110">
        <w:lastRenderedPageBreak/>
        <w:t>considered</w:t>
      </w:r>
      <w:r w:rsidR="00FF4866">
        <w:t>,</w:t>
      </w:r>
      <w:r w:rsidR="00732110">
        <w:t xml:space="preserve"> together with the </w:t>
      </w:r>
      <w:r w:rsidR="002A671C">
        <w:t>hospital records</w:t>
      </w:r>
      <w:r w:rsidR="00FF4866">
        <w:t>,</w:t>
      </w:r>
      <w:r w:rsidR="002A671C">
        <w:t xml:space="preserve"> there was </w:t>
      </w:r>
      <w:r w:rsidR="00BC4F5D">
        <w:t>sufficient information</w:t>
      </w:r>
      <w:r w:rsidR="002A671C">
        <w:t xml:space="preserve"> available to the Fund to investigate and consider the claim. </w:t>
      </w:r>
      <w:r w:rsidR="009E433D">
        <w:t>The finding of this court is</w:t>
      </w:r>
      <w:r w:rsidR="00611952">
        <w:t xml:space="preserve"> that the plaintiff in lodging her claim </w:t>
      </w:r>
      <w:r w:rsidR="0024367A">
        <w:t>substantially complied with s</w:t>
      </w:r>
      <w:r w:rsidR="001A49AC">
        <w:t xml:space="preserve">ection </w:t>
      </w:r>
      <w:r w:rsidR="0024367A">
        <w:t>24(2)(a) of the Act</w:t>
      </w:r>
      <w:r w:rsidR="001E707E">
        <w:t>.</w:t>
      </w:r>
    </w:p>
    <w:p w14:paraId="6152A67D" w14:textId="0351C9D7" w:rsidR="007F4A14" w:rsidRDefault="00D36700" w:rsidP="00D36700">
      <w:pPr>
        <w:pStyle w:val="JudgmentNumbered"/>
        <w:numPr>
          <w:ilvl w:val="0"/>
          <w:numId w:val="0"/>
        </w:numPr>
        <w:ind w:left="567" w:hanging="567"/>
      </w:pPr>
      <w:r>
        <w:t>[30]</w:t>
      </w:r>
      <w:r>
        <w:tab/>
      </w:r>
      <w:r w:rsidR="00303881">
        <w:t>This being the case the special plea</w:t>
      </w:r>
      <w:r w:rsidR="00B351FD">
        <w:t xml:space="preserve"> </w:t>
      </w:r>
      <w:r w:rsidR="00B55ECF">
        <w:t>s</w:t>
      </w:r>
      <w:r w:rsidR="00B351FD">
        <w:t>tands to be</w:t>
      </w:r>
      <w:r w:rsidR="00B55ECF">
        <w:t xml:space="preserve"> dismissed</w:t>
      </w:r>
      <w:r w:rsidR="007A7A5D">
        <w:t>, with cost</w:t>
      </w:r>
      <w:r w:rsidR="00D25479">
        <w:t>s.</w:t>
      </w:r>
      <w:r w:rsidR="0024367A">
        <w:t xml:space="preserve"> </w:t>
      </w:r>
      <w:r w:rsidR="00595875">
        <w:t>Consequently, t</w:t>
      </w:r>
      <w:r w:rsidR="00F40317">
        <w:t>he claim of the plaintiff has not prescribed.</w:t>
      </w:r>
    </w:p>
    <w:p w14:paraId="3AC9F6BB" w14:textId="054D58BC" w:rsidR="007F4A14" w:rsidRDefault="00D36700" w:rsidP="00D36700">
      <w:pPr>
        <w:pStyle w:val="JudgmentNumbered"/>
        <w:numPr>
          <w:ilvl w:val="0"/>
          <w:numId w:val="0"/>
        </w:numPr>
        <w:ind w:left="567" w:hanging="567"/>
      </w:pPr>
      <w:r>
        <w:t>[31]</w:t>
      </w:r>
      <w:r>
        <w:tab/>
      </w:r>
      <w:r w:rsidR="00D25479">
        <w:t>The following order is made:</w:t>
      </w:r>
    </w:p>
    <w:p w14:paraId="2133963E" w14:textId="0EF589FD" w:rsidR="001A49AC" w:rsidRDefault="001A49AC" w:rsidP="001A49AC">
      <w:pPr>
        <w:pStyle w:val="JudgmentNumbered"/>
        <w:numPr>
          <w:ilvl w:val="0"/>
          <w:numId w:val="0"/>
        </w:numPr>
        <w:ind w:left="567" w:hanging="567"/>
      </w:pPr>
      <w:r>
        <w:t>Order</w:t>
      </w:r>
    </w:p>
    <w:p w14:paraId="5E8DC621" w14:textId="3C0ACC53" w:rsidR="00F40317" w:rsidRDefault="00D36700" w:rsidP="00D36700">
      <w:pPr>
        <w:pStyle w:val="JudgmentNumbered"/>
        <w:numPr>
          <w:ilvl w:val="0"/>
          <w:numId w:val="0"/>
        </w:numPr>
        <w:ind w:left="1134" w:hanging="567"/>
      </w:pPr>
      <w:r>
        <w:t>1.</w:t>
      </w:r>
      <w:r>
        <w:tab/>
      </w:r>
      <w:r w:rsidR="00F40317">
        <w:t>The special plea is dismissed with costs.</w:t>
      </w:r>
    </w:p>
    <w:p w14:paraId="5939D19E" w14:textId="49361D31" w:rsidR="00F40317" w:rsidRDefault="00D36700" w:rsidP="00D36700">
      <w:pPr>
        <w:pStyle w:val="JudgmentNumbered"/>
        <w:numPr>
          <w:ilvl w:val="0"/>
          <w:numId w:val="0"/>
        </w:numPr>
        <w:ind w:left="1134" w:hanging="567"/>
      </w:pPr>
      <w:r>
        <w:t>2.</w:t>
      </w:r>
      <w:r>
        <w:tab/>
      </w:r>
      <w:r w:rsidR="00F40317">
        <w:t xml:space="preserve">The matter is postponed </w:t>
      </w:r>
      <w:r w:rsidR="00F40317">
        <w:rPr>
          <w:i/>
          <w:iCs/>
        </w:rPr>
        <w:t>sine die</w:t>
      </w:r>
      <w:r w:rsidR="00667827">
        <w:rPr>
          <w:i/>
          <w:iCs/>
        </w:rPr>
        <w:t>.</w:t>
      </w:r>
      <w:r w:rsidR="00F40317">
        <w:t xml:space="preserve"> </w:t>
      </w:r>
    </w:p>
    <w:p w14:paraId="4A8A6E50" w14:textId="31390A3F" w:rsidR="00A83A79" w:rsidRDefault="00A83A79" w:rsidP="007F4A14">
      <w:pPr>
        <w:pStyle w:val="JudgmentNumbered"/>
        <w:numPr>
          <w:ilvl w:val="0"/>
          <w:numId w:val="0"/>
        </w:numPr>
        <w:ind w:left="567"/>
      </w:pPr>
    </w:p>
    <w:p w14:paraId="0BC883E4" w14:textId="77777777" w:rsidR="006F1F3D" w:rsidRDefault="006F1F3D" w:rsidP="006F1F3D">
      <w:pPr>
        <w:pStyle w:val="JudgmentNumbered"/>
        <w:numPr>
          <w:ilvl w:val="0"/>
          <w:numId w:val="0"/>
        </w:numPr>
        <w:ind w:left="567"/>
      </w:pPr>
    </w:p>
    <w:p w14:paraId="2678838B" w14:textId="77777777" w:rsidR="006F1F3D" w:rsidRPr="008B41CD" w:rsidRDefault="006F1F3D" w:rsidP="006F1F3D">
      <w:pPr>
        <w:pStyle w:val="JudgmentNumbered"/>
        <w:numPr>
          <w:ilvl w:val="0"/>
          <w:numId w:val="0"/>
        </w:numPr>
        <w:ind w:left="567"/>
      </w:pPr>
    </w:p>
    <w:p w14:paraId="785B2A6F" w14:textId="77777777" w:rsidR="006F1F3D" w:rsidRPr="008B41CD" w:rsidRDefault="006F1F3D" w:rsidP="006F1F3D">
      <w:pPr>
        <w:spacing w:after="0"/>
        <w:ind w:hanging="567"/>
        <w:jc w:val="right"/>
        <w:rPr>
          <w:rFonts w:eastAsia="Calibri" w:cs="Arial"/>
        </w:rPr>
      </w:pPr>
      <w:r w:rsidRPr="008B41CD">
        <w:rPr>
          <w:rFonts w:eastAsia="Calibri" w:cs="Arial"/>
        </w:rPr>
        <w:t>___________________________</w:t>
      </w:r>
    </w:p>
    <w:p w14:paraId="5C77D457" w14:textId="77777777" w:rsidR="006F1F3D" w:rsidRPr="008B41CD" w:rsidRDefault="006F1F3D" w:rsidP="006F1F3D">
      <w:pPr>
        <w:spacing w:after="0"/>
        <w:ind w:hanging="567"/>
        <w:jc w:val="right"/>
        <w:rPr>
          <w:rFonts w:eastAsia="Calibri" w:cs="Arial"/>
          <w:b/>
        </w:rPr>
      </w:pPr>
      <w:r w:rsidRPr="008B41CD">
        <w:rPr>
          <w:rFonts w:eastAsia="Calibri" w:cs="Arial"/>
          <w:b/>
        </w:rPr>
        <w:t>R. STRYDOM, J</w:t>
      </w:r>
    </w:p>
    <w:p w14:paraId="7C19FCB9" w14:textId="77777777" w:rsidR="006F1F3D" w:rsidRPr="008B41CD" w:rsidRDefault="006F1F3D" w:rsidP="006F1F3D">
      <w:pPr>
        <w:spacing w:after="0"/>
        <w:ind w:hanging="567"/>
        <w:jc w:val="right"/>
        <w:rPr>
          <w:rFonts w:eastAsia="Calibri" w:cs="Arial"/>
          <w:b/>
        </w:rPr>
      </w:pPr>
      <w:r w:rsidRPr="008B41CD">
        <w:rPr>
          <w:rFonts w:eastAsia="Calibri" w:cs="Arial"/>
          <w:b/>
        </w:rPr>
        <w:t>JUDGE OF THE HIGH COURT</w:t>
      </w:r>
    </w:p>
    <w:p w14:paraId="0C012D5C" w14:textId="77777777" w:rsidR="006F1F3D" w:rsidRPr="008B41CD" w:rsidRDefault="006F1F3D" w:rsidP="006F1F3D">
      <w:pPr>
        <w:spacing w:after="0"/>
        <w:ind w:hanging="567"/>
        <w:jc w:val="right"/>
        <w:rPr>
          <w:rFonts w:eastAsia="Calibri" w:cs="Arial"/>
          <w:b/>
        </w:rPr>
        <w:sectPr w:rsidR="006F1F3D" w:rsidRPr="008B41CD">
          <w:pgSz w:w="11906" w:h="16838"/>
          <w:pgMar w:top="1440" w:right="1440" w:bottom="1440" w:left="1440" w:header="708" w:footer="708" w:gutter="0"/>
          <w:cols w:space="708"/>
          <w:docGrid w:linePitch="360"/>
        </w:sectPr>
      </w:pPr>
      <w:r w:rsidRPr="008B41CD">
        <w:rPr>
          <w:rFonts w:eastAsia="Calibri" w:cs="Arial"/>
          <w:b/>
        </w:rPr>
        <w:t>GAUTENG LOCAL DIVISION, JOHANNESBURG</w:t>
      </w:r>
    </w:p>
    <w:p w14:paraId="2435E87B" w14:textId="77777777" w:rsidR="006F1F3D" w:rsidRPr="008B41CD" w:rsidRDefault="006F1F3D" w:rsidP="006F1F3D">
      <w:pPr>
        <w:spacing w:after="0"/>
        <w:ind w:hanging="567"/>
        <w:jc w:val="right"/>
        <w:rPr>
          <w:rFonts w:eastAsia="Calibri" w:cs="Arial"/>
          <w:b/>
        </w:rPr>
        <w:sectPr w:rsidR="006F1F3D" w:rsidRPr="008B41CD" w:rsidSect="00EB01DA">
          <w:type w:val="continuous"/>
          <w:pgSz w:w="11906" w:h="16838"/>
          <w:pgMar w:top="1440" w:right="1440" w:bottom="1440" w:left="1440" w:header="708" w:footer="708" w:gutter="0"/>
          <w:cols w:space="708"/>
          <w:docGrid w:linePitch="360"/>
        </w:sectPr>
      </w:pPr>
    </w:p>
    <w:p w14:paraId="43248A27" w14:textId="77777777" w:rsidR="006F1F3D" w:rsidRPr="008B41CD" w:rsidRDefault="006F1F3D" w:rsidP="006F1F3D">
      <w:pPr>
        <w:spacing w:after="0" w:line="480" w:lineRule="auto"/>
        <w:ind w:left="0"/>
        <w:rPr>
          <w:rFonts w:eastAsia="Times New Roman" w:cs="Arial"/>
          <w:szCs w:val="24"/>
          <w:lang w:val="en-ZA"/>
        </w:rPr>
      </w:pPr>
      <w:r w:rsidRPr="008B41CD">
        <w:rPr>
          <w:rFonts w:eastAsia="Times New Roman" w:cs="Arial"/>
          <w:szCs w:val="24"/>
          <w:lang w:val="en-ZA"/>
        </w:rPr>
        <w:lastRenderedPageBreak/>
        <w:t xml:space="preserve">For the </w:t>
      </w:r>
      <w:r>
        <w:rPr>
          <w:rFonts w:eastAsia="Times New Roman" w:cs="Arial"/>
          <w:szCs w:val="24"/>
          <w:lang w:val="en-ZA"/>
        </w:rPr>
        <w:t>Plaintiff</w:t>
      </w:r>
      <w:r w:rsidRPr="008B41CD">
        <w:rPr>
          <w:rFonts w:eastAsia="Times New Roman" w:cs="Arial"/>
          <w:szCs w:val="24"/>
          <w:lang w:val="en-ZA"/>
        </w:rPr>
        <w:t>:</w:t>
      </w:r>
      <w:r w:rsidRPr="008B41CD">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t xml:space="preserve">Mr. </w:t>
      </w:r>
      <w:r>
        <w:rPr>
          <w:rFonts w:eastAsia="Times New Roman" w:cs="Arial"/>
          <w:szCs w:val="24"/>
          <w:lang w:val="en-ZA"/>
        </w:rPr>
        <w:t>J.V.M. Malema</w:t>
      </w:r>
    </w:p>
    <w:p w14:paraId="6BD4E158" w14:textId="77777777" w:rsidR="006F1F3D" w:rsidRPr="008B41CD" w:rsidRDefault="006F1F3D" w:rsidP="006F1F3D">
      <w:pPr>
        <w:spacing w:after="0" w:line="480" w:lineRule="auto"/>
        <w:ind w:left="5040" w:hanging="5040"/>
        <w:rPr>
          <w:rFonts w:eastAsia="Times New Roman" w:cs="Arial"/>
          <w:szCs w:val="24"/>
          <w:lang w:val="en-ZA"/>
        </w:rPr>
      </w:pPr>
      <w:r w:rsidRPr="008B41CD">
        <w:rPr>
          <w:rFonts w:eastAsia="Times New Roman" w:cs="Arial"/>
          <w:szCs w:val="24"/>
          <w:lang w:val="en-ZA"/>
        </w:rPr>
        <w:t xml:space="preserve">Instructed by: </w:t>
      </w:r>
      <w:r w:rsidRPr="008B41CD">
        <w:rPr>
          <w:rFonts w:eastAsia="Times New Roman" w:cs="Arial"/>
          <w:szCs w:val="24"/>
          <w:lang w:val="en-ZA"/>
        </w:rPr>
        <w:tab/>
      </w:r>
      <w:r>
        <w:rPr>
          <w:rFonts w:eastAsia="Times New Roman" w:cs="Arial"/>
          <w:szCs w:val="24"/>
          <w:lang w:val="en-ZA"/>
        </w:rPr>
        <w:t xml:space="preserve">MB Mabunda Inc </w:t>
      </w:r>
    </w:p>
    <w:p w14:paraId="60D5CB60" w14:textId="77777777" w:rsidR="006F1F3D" w:rsidRPr="008B41CD" w:rsidRDefault="006F1F3D" w:rsidP="006F1F3D">
      <w:pPr>
        <w:spacing w:after="0" w:line="480" w:lineRule="auto"/>
        <w:ind w:left="0"/>
        <w:rPr>
          <w:rFonts w:eastAsia="Times New Roman" w:cs="Arial"/>
          <w:szCs w:val="24"/>
          <w:lang w:val="en-ZA"/>
        </w:rPr>
      </w:pPr>
    </w:p>
    <w:p w14:paraId="04E81CFC" w14:textId="77777777" w:rsidR="006F1F3D" w:rsidRPr="008B41CD" w:rsidRDefault="006F1F3D" w:rsidP="006F1F3D">
      <w:pPr>
        <w:spacing w:after="0" w:line="480" w:lineRule="auto"/>
        <w:ind w:left="0"/>
        <w:rPr>
          <w:rFonts w:eastAsia="Times New Roman" w:cs="Arial"/>
          <w:szCs w:val="24"/>
          <w:lang w:val="en-ZA"/>
        </w:rPr>
      </w:pPr>
      <w:r w:rsidRPr="008B41CD">
        <w:rPr>
          <w:rFonts w:eastAsia="Times New Roman" w:cs="Arial"/>
          <w:szCs w:val="24"/>
          <w:lang w:val="en-ZA"/>
        </w:rPr>
        <w:t xml:space="preserve">For the </w:t>
      </w:r>
      <w:r>
        <w:rPr>
          <w:rFonts w:eastAsia="Times New Roman" w:cs="Arial"/>
          <w:szCs w:val="24"/>
          <w:lang w:val="en-ZA"/>
        </w:rPr>
        <w:t>Defendant</w:t>
      </w:r>
      <w:r w:rsidRPr="008B41CD">
        <w:rPr>
          <w:rFonts w:eastAsia="Times New Roman" w:cs="Arial"/>
          <w:szCs w:val="24"/>
          <w:lang w:val="en-ZA"/>
        </w:rPr>
        <w:t>:</w:t>
      </w:r>
      <w:r>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r>
      <w:r>
        <w:rPr>
          <w:rFonts w:eastAsia="Times New Roman" w:cs="Arial"/>
          <w:szCs w:val="24"/>
          <w:lang w:val="en-ZA"/>
        </w:rPr>
        <w:t>Ms. J. Mhlanga</w:t>
      </w:r>
    </w:p>
    <w:p w14:paraId="57ACB3BB" w14:textId="77777777" w:rsidR="006F1F3D" w:rsidRPr="008B41CD" w:rsidRDefault="006F1F3D" w:rsidP="006F1F3D">
      <w:pPr>
        <w:spacing w:after="0" w:line="480" w:lineRule="auto"/>
        <w:ind w:left="0"/>
        <w:rPr>
          <w:rFonts w:eastAsia="Times New Roman" w:cs="Arial"/>
          <w:szCs w:val="24"/>
          <w:lang w:val="en-ZA"/>
        </w:rPr>
      </w:pPr>
      <w:r w:rsidRPr="008B41CD">
        <w:rPr>
          <w:rFonts w:eastAsia="Times New Roman" w:cs="Arial"/>
          <w:szCs w:val="24"/>
          <w:lang w:val="en-ZA"/>
        </w:rPr>
        <w:t>Instructed by:</w:t>
      </w:r>
      <w:r w:rsidRPr="008B41CD">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r>
      <w:r w:rsidRPr="008B41CD">
        <w:rPr>
          <w:rFonts w:eastAsia="Times New Roman" w:cs="Arial"/>
          <w:szCs w:val="24"/>
          <w:lang w:val="en-ZA"/>
        </w:rPr>
        <w:tab/>
      </w:r>
      <w:r>
        <w:rPr>
          <w:rFonts w:eastAsia="Times New Roman" w:cs="Arial"/>
          <w:szCs w:val="24"/>
          <w:lang w:val="en-ZA"/>
        </w:rPr>
        <w:t>The State Attorney</w:t>
      </w:r>
    </w:p>
    <w:p w14:paraId="1777F204" w14:textId="77777777" w:rsidR="006F1F3D" w:rsidRPr="008B41CD" w:rsidRDefault="006F1F3D" w:rsidP="006F1F3D">
      <w:pPr>
        <w:spacing w:after="0" w:line="240" w:lineRule="auto"/>
        <w:ind w:left="0" w:hanging="567"/>
        <w:rPr>
          <w:rFonts w:eastAsia="Calibri" w:cs="Arial"/>
          <w:szCs w:val="24"/>
          <w:lang w:val="en-ZA"/>
        </w:rPr>
      </w:pPr>
    </w:p>
    <w:p w14:paraId="6F8C3833" w14:textId="77777777" w:rsidR="006F1F3D" w:rsidRPr="008B41CD" w:rsidRDefault="006F1F3D" w:rsidP="006F1F3D">
      <w:pPr>
        <w:spacing w:after="0" w:line="240" w:lineRule="auto"/>
        <w:ind w:left="0"/>
        <w:rPr>
          <w:rFonts w:eastAsia="Calibri" w:cs="Arial"/>
          <w:szCs w:val="24"/>
          <w:lang w:val="en-ZA"/>
        </w:rPr>
      </w:pPr>
      <w:r w:rsidRPr="008B41CD">
        <w:rPr>
          <w:rFonts w:eastAsia="Calibri" w:cs="Arial"/>
          <w:szCs w:val="24"/>
          <w:lang w:val="en-ZA"/>
        </w:rPr>
        <w:t>Date of Hearing:</w:t>
      </w:r>
      <w:r w:rsidRPr="008B41CD">
        <w:rPr>
          <w:rFonts w:eastAsia="Calibri" w:cs="Arial"/>
          <w:szCs w:val="24"/>
          <w:lang w:val="en-ZA"/>
        </w:rPr>
        <w:tab/>
      </w:r>
      <w:r w:rsidRPr="008B41CD">
        <w:rPr>
          <w:rFonts w:eastAsia="Calibri" w:cs="Arial"/>
          <w:szCs w:val="24"/>
          <w:lang w:val="en-ZA"/>
        </w:rPr>
        <w:tab/>
      </w:r>
      <w:r w:rsidRPr="008B41CD">
        <w:rPr>
          <w:rFonts w:eastAsia="Calibri" w:cs="Arial"/>
          <w:szCs w:val="24"/>
          <w:lang w:val="en-ZA"/>
        </w:rPr>
        <w:tab/>
      </w:r>
      <w:r w:rsidRPr="008B41CD">
        <w:rPr>
          <w:rFonts w:eastAsia="Calibri" w:cs="Arial"/>
          <w:szCs w:val="24"/>
          <w:lang w:val="en-ZA"/>
        </w:rPr>
        <w:tab/>
      </w:r>
      <w:r w:rsidRPr="008B41CD">
        <w:rPr>
          <w:rFonts w:eastAsia="Calibri" w:cs="Arial"/>
          <w:szCs w:val="24"/>
          <w:lang w:val="en-ZA"/>
        </w:rPr>
        <w:tab/>
      </w:r>
      <w:r>
        <w:rPr>
          <w:lang w:val="en-ZA"/>
        </w:rPr>
        <w:t>10 November 2023</w:t>
      </w:r>
    </w:p>
    <w:p w14:paraId="7154F7EE" w14:textId="77777777" w:rsidR="006F1F3D" w:rsidRPr="008B41CD" w:rsidRDefault="006F1F3D" w:rsidP="006F1F3D">
      <w:pPr>
        <w:spacing w:after="0" w:line="240" w:lineRule="auto"/>
        <w:ind w:left="0"/>
        <w:rPr>
          <w:rFonts w:eastAsia="Calibri" w:cs="Arial"/>
          <w:szCs w:val="24"/>
          <w:lang w:val="en-ZA"/>
        </w:rPr>
      </w:pPr>
    </w:p>
    <w:p w14:paraId="63B86BF5" w14:textId="77777777" w:rsidR="006F1F3D" w:rsidRPr="008B41CD" w:rsidRDefault="006F1F3D" w:rsidP="006F1F3D">
      <w:pPr>
        <w:spacing w:after="0" w:line="240" w:lineRule="auto"/>
        <w:ind w:left="0"/>
        <w:rPr>
          <w:rFonts w:eastAsia="Calibri" w:cs="Arial"/>
          <w:szCs w:val="24"/>
        </w:rPr>
      </w:pPr>
      <w:r w:rsidRPr="008B41CD">
        <w:rPr>
          <w:rFonts w:eastAsia="Calibri" w:cs="Arial"/>
          <w:szCs w:val="24"/>
          <w:lang w:val="en-ZA"/>
        </w:rPr>
        <w:t>Date of Judgment:</w:t>
      </w:r>
      <w:r w:rsidRPr="008B41CD">
        <w:rPr>
          <w:rFonts w:eastAsia="Calibri" w:cs="Arial"/>
          <w:szCs w:val="24"/>
          <w:lang w:val="en-ZA"/>
        </w:rPr>
        <w:tab/>
      </w:r>
      <w:r w:rsidRPr="008B41CD">
        <w:rPr>
          <w:rFonts w:eastAsia="Calibri" w:cs="Arial"/>
          <w:szCs w:val="24"/>
          <w:lang w:val="en-ZA"/>
        </w:rPr>
        <w:tab/>
      </w:r>
      <w:r w:rsidRPr="008B41CD">
        <w:rPr>
          <w:rFonts w:eastAsia="Calibri" w:cs="Arial"/>
          <w:szCs w:val="24"/>
          <w:lang w:val="en-ZA"/>
        </w:rPr>
        <w:tab/>
      </w:r>
      <w:r w:rsidRPr="008B41CD">
        <w:rPr>
          <w:rFonts w:eastAsia="Calibri" w:cs="Arial"/>
          <w:szCs w:val="24"/>
          <w:lang w:val="en-ZA"/>
        </w:rPr>
        <w:tab/>
      </w:r>
      <w:r w:rsidRPr="008B41CD">
        <w:rPr>
          <w:rFonts w:eastAsia="Calibri" w:cs="Arial"/>
          <w:szCs w:val="24"/>
          <w:lang w:val="en-ZA"/>
        </w:rPr>
        <w:tab/>
      </w:r>
      <w:r>
        <w:rPr>
          <w:lang w:val="en-ZA"/>
        </w:rPr>
        <w:t>15 November 2023</w:t>
      </w:r>
    </w:p>
    <w:p w14:paraId="4E5DA760" w14:textId="4FEE809A" w:rsidR="002B448C" w:rsidRPr="003673B7" w:rsidRDefault="002B448C" w:rsidP="006F1F3D">
      <w:pPr>
        <w:pStyle w:val="JudgmentNumbered"/>
        <w:numPr>
          <w:ilvl w:val="0"/>
          <w:numId w:val="0"/>
        </w:numPr>
        <w:spacing w:after="0"/>
        <w:ind w:left="567" w:hanging="567"/>
        <w:jc w:val="right"/>
        <w:rPr>
          <w:b/>
          <w:szCs w:val="24"/>
        </w:rPr>
      </w:pPr>
    </w:p>
    <w:sectPr w:rsidR="002B448C" w:rsidRPr="003673B7" w:rsidSect="006F1F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341E" w14:textId="77777777" w:rsidR="00E4417C" w:rsidRDefault="00E4417C" w:rsidP="001352C5">
      <w:pPr>
        <w:spacing w:after="0" w:line="240" w:lineRule="auto"/>
      </w:pPr>
      <w:r>
        <w:separator/>
      </w:r>
    </w:p>
  </w:endnote>
  <w:endnote w:type="continuationSeparator" w:id="0">
    <w:p w14:paraId="4054B12A" w14:textId="77777777" w:rsidR="00E4417C" w:rsidRDefault="00E4417C" w:rsidP="001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8708" w14:textId="77777777" w:rsidR="00E4417C" w:rsidRDefault="00E4417C" w:rsidP="001352C5">
      <w:pPr>
        <w:spacing w:after="0" w:line="240" w:lineRule="auto"/>
      </w:pPr>
      <w:r>
        <w:separator/>
      </w:r>
    </w:p>
  </w:footnote>
  <w:footnote w:type="continuationSeparator" w:id="0">
    <w:p w14:paraId="64170733" w14:textId="77777777" w:rsidR="00E4417C" w:rsidRDefault="00E4417C" w:rsidP="001352C5">
      <w:pPr>
        <w:spacing w:after="0" w:line="240" w:lineRule="auto"/>
      </w:pPr>
      <w:r>
        <w:continuationSeparator/>
      </w:r>
    </w:p>
  </w:footnote>
  <w:footnote w:id="1">
    <w:p w14:paraId="263F9260" w14:textId="68C9C2A8" w:rsidR="00602A4D" w:rsidRPr="00DF6833" w:rsidRDefault="00602A4D">
      <w:pPr>
        <w:pStyle w:val="FootnoteText"/>
        <w:rPr>
          <w:rFonts w:cs="Arial"/>
        </w:rPr>
      </w:pPr>
      <w:r w:rsidRPr="00DF6833">
        <w:rPr>
          <w:rStyle w:val="FootnoteReference"/>
          <w:rFonts w:cs="Arial"/>
        </w:rPr>
        <w:footnoteRef/>
      </w:r>
      <w:r w:rsidRPr="00DF6833">
        <w:rPr>
          <w:rFonts w:cs="Arial"/>
        </w:rPr>
        <w:t xml:space="preserve"> 56 of 1996.</w:t>
      </w:r>
    </w:p>
  </w:footnote>
  <w:footnote w:id="2">
    <w:p w14:paraId="1CB63C12" w14:textId="77777777" w:rsidR="00AA59A0" w:rsidRDefault="00AA59A0" w:rsidP="00AA59A0">
      <w:pPr>
        <w:pStyle w:val="FootnoteText"/>
      </w:pPr>
      <w:r>
        <w:rPr>
          <w:rStyle w:val="FootnoteReference"/>
        </w:rPr>
        <w:footnoteRef/>
      </w:r>
      <w:r>
        <w:t xml:space="preserve"> </w:t>
      </w:r>
      <w:r w:rsidRPr="00B42A94">
        <w:t>Section 23(1) of the Act states that a claim, “shall prescribe upon the expiry of a period of three years from the date upon which the cause of action arose.”</w:t>
      </w:r>
    </w:p>
    <w:p w14:paraId="162B52D6" w14:textId="77777777" w:rsidR="00AA59A0" w:rsidRDefault="00AA59A0" w:rsidP="00AA59A0">
      <w:pPr>
        <w:pStyle w:val="FootnoteText"/>
      </w:pPr>
    </w:p>
    <w:p w14:paraId="17159C7C" w14:textId="77777777" w:rsidR="00AA59A0" w:rsidRDefault="00AA59A0" w:rsidP="00AA59A0">
      <w:pPr>
        <w:pStyle w:val="FootnoteText"/>
      </w:pPr>
    </w:p>
    <w:p w14:paraId="3320F220" w14:textId="77777777" w:rsidR="00AA59A0" w:rsidRDefault="00AA59A0" w:rsidP="00AA59A0">
      <w:pPr>
        <w:pStyle w:val="FootnoteText"/>
      </w:pPr>
    </w:p>
  </w:footnote>
  <w:footnote w:id="3">
    <w:p w14:paraId="157B5745" w14:textId="37F6CE13" w:rsidR="002C2C4B" w:rsidRPr="00DA59AF" w:rsidRDefault="002C2C4B">
      <w:pPr>
        <w:pStyle w:val="FootnoteText"/>
        <w:rPr>
          <w:rFonts w:cs="Arial"/>
          <w:lang w:val="en-ZA"/>
        </w:rPr>
      </w:pPr>
      <w:r w:rsidRPr="00DF6833">
        <w:rPr>
          <w:rStyle w:val="FootnoteReference"/>
          <w:rFonts w:cs="Arial"/>
        </w:rPr>
        <w:footnoteRef/>
      </w:r>
      <w:r w:rsidRPr="00DF6833">
        <w:rPr>
          <w:rFonts w:cs="Arial"/>
        </w:rPr>
        <w:t xml:space="preserve"> </w:t>
      </w:r>
      <w:r w:rsidR="007E4684" w:rsidRPr="00DF6833">
        <w:rPr>
          <w:rFonts w:cs="Arial"/>
          <w:i/>
          <w:iCs/>
          <w:lang w:val="en-ZA"/>
        </w:rPr>
        <w:t>Pretorius v Road Accident Fund</w:t>
      </w:r>
      <w:r w:rsidR="005E1026" w:rsidRPr="00DF6833">
        <w:rPr>
          <w:rFonts w:cs="Arial"/>
          <w:i/>
          <w:iCs/>
          <w:lang w:val="en-ZA"/>
        </w:rPr>
        <w:t xml:space="preserve"> </w:t>
      </w:r>
      <w:r w:rsidR="005E1026" w:rsidRPr="00DA59AF">
        <w:rPr>
          <w:rFonts w:cs="Arial"/>
          <w:lang w:val="en-ZA"/>
        </w:rPr>
        <w:t>[</w:t>
      </w:r>
      <w:r w:rsidR="000E022E" w:rsidRPr="00DA59AF">
        <w:rPr>
          <w:rFonts w:cs="Arial"/>
          <w:lang w:val="en-ZA"/>
        </w:rPr>
        <w:t>2</w:t>
      </w:r>
      <w:r w:rsidR="005E1026" w:rsidRPr="00DA59AF">
        <w:rPr>
          <w:rFonts w:cs="Arial"/>
          <w:lang w:val="en-ZA"/>
        </w:rPr>
        <w:t>019] ZAGPJHC</w:t>
      </w:r>
      <w:r w:rsidR="00265B85" w:rsidRPr="00DA59AF">
        <w:rPr>
          <w:rFonts w:cs="Arial"/>
          <w:lang w:val="en-ZA"/>
        </w:rPr>
        <w:t xml:space="preserve"> 293</w:t>
      </w:r>
      <w:r w:rsidR="000E022E" w:rsidRPr="00DA59AF">
        <w:rPr>
          <w:rFonts w:cs="Arial"/>
          <w:lang w:val="en-ZA"/>
        </w:rPr>
        <w:t>.</w:t>
      </w:r>
    </w:p>
  </w:footnote>
  <w:footnote w:id="4">
    <w:p w14:paraId="5C2AAA1D" w14:textId="6D9BBB42" w:rsidR="00456114" w:rsidRPr="00DF6833" w:rsidRDefault="00456114" w:rsidP="00456114">
      <w:pPr>
        <w:pStyle w:val="FootnoteText"/>
        <w:rPr>
          <w:rFonts w:cs="Arial"/>
        </w:rPr>
      </w:pPr>
      <w:r w:rsidRPr="00DF6833">
        <w:rPr>
          <w:rStyle w:val="FootnoteReference"/>
          <w:rFonts w:cs="Arial"/>
        </w:rPr>
        <w:footnoteRef/>
      </w:r>
      <w:r w:rsidRPr="00DF6833">
        <w:rPr>
          <w:rFonts w:cs="Arial"/>
        </w:rPr>
        <w:t xml:space="preserve"> </w:t>
      </w:r>
      <w:r w:rsidRPr="00DF6833">
        <w:rPr>
          <w:rFonts w:eastAsia="Times New Roman" w:cs="Arial"/>
          <w:i/>
          <w:iCs/>
          <w:szCs w:val="24"/>
          <w:lang w:eastAsia="en-GB"/>
        </w:rPr>
        <w:t>Road Accident Fund v Busuku</w:t>
      </w:r>
      <w:r w:rsidRPr="00DF6833">
        <w:rPr>
          <w:rFonts w:eastAsia="Times New Roman" w:cs="Arial"/>
          <w:szCs w:val="24"/>
          <w:lang w:eastAsia="en-GB"/>
        </w:rPr>
        <w:t xml:space="preserve"> [2020] ZASCA 158 at para 14</w:t>
      </w:r>
      <w:r w:rsidR="000E022E" w:rsidRPr="00DF6833">
        <w:rPr>
          <w:rFonts w:eastAsia="Times New Roman" w:cs="Arial"/>
          <w:szCs w:val="24"/>
          <w:lang w:eastAsia="en-GB"/>
        </w:rPr>
        <w:t xml:space="preserve"> (“</w:t>
      </w:r>
      <w:r w:rsidR="000E022E" w:rsidRPr="00DF6833">
        <w:rPr>
          <w:rFonts w:eastAsia="Times New Roman" w:cs="Arial"/>
          <w:i/>
          <w:iCs/>
          <w:szCs w:val="24"/>
          <w:lang w:eastAsia="en-GB"/>
        </w:rPr>
        <w:t>Busuku</w:t>
      </w:r>
      <w:r w:rsidR="000E022E" w:rsidRPr="00DF6833">
        <w:rPr>
          <w:rFonts w:eastAsia="Times New Roman" w:cs="Arial"/>
          <w:szCs w:val="24"/>
          <w:lang w:eastAsia="en-GB"/>
        </w:rPr>
        <w:t>”).</w:t>
      </w:r>
    </w:p>
    <w:p w14:paraId="6BCD0F59" w14:textId="77777777" w:rsidR="00456114" w:rsidRPr="00DF6833" w:rsidRDefault="00456114" w:rsidP="00456114">
      <w:pPr>
        <w:pStyle w:val="FootnoteText"/>
        <w:rPr>
          <w:rFonts w:cs="Arial"/>
        </w:rPr>
      </w:pPr>
    </w:p>
  </w:footnote>
  <w:footnote w:id="5">
    <w:p w14:paraId="4D4F2608" w14:textId="42880D6E" w:rsidR="007E135D" w:rsidRPr="00DF6833" w:rsidRDefault="007E135D">
      <w:pPr>
        <w:pStyle w:val="FootnoteText"/>
        <w:rPr>
          <w:rFonts w:cs="Arial"/>
        </w:rPr>
      </w:pPr>
      <w:r w:rsidRPr="00DF6833">
        <w:rPr>
          <w:rStyle w:val="FootnoteReference"/>
          <w:rFonts w:cs="Arial"/>
        </w:rPr>
        <w:footnoteRef/>
      </w:r>
      <w:r w:rsidRPr="00DF6833">
        <w:rPr>
          <w:rFonts w:cs="Arial"/>
        </w:rPr>
        <w:t xml:space="preserve"> </w:t>
      </w:r>
      <w:r w:rsidR="000E022E" w:rsidRPr="00DF6833">
        <w:rPr>
          <w:rFonts w:cs="Arial"/>
          <w:i/>
          <w:iCs/>
        </w:rPr>
        <w:t>Pithey v Road Accident Fund</w:t>
      </w:r>
      <w:r w:rsidR="000E022E" w:rsidRPr="00DF6833">
        <w:rPr>
          <w:rFonts w:cs="Arial"/>
        </w:rPr>
        <w:t xml:space="preserve"> </w:t>
      </w:r>
      <w:r w:rsidRPr="00DF6833">
        <w:rPr>
          <w:rFonts w:cs="Arial"/>
          <w:lang w:val="en-ZA"/>
        </w:rPr>
        <w:t>[2014]</w:t>
      </w:r>
      <w:r w:rsidR="009069D0" w:rsidRPr="00DF6833">
        <w:rPr>
          <w:rFonts w:cs="Arial"/>
          <w:lang w:val="en-ZA"/>
        </w:rPr>
        <w:t xml:space="preserve"> </w:t>
      </w:r>
      <w:r w:rsidRPr="00DF6833">
        <w:rPr>
          <w:rFonts w:cs="Arial"/>
          <w:lang w:val="en-ZA"/>
        </w:rPr>
        <w:t>ZASCA</w:t>
      </w:r>
      <w:r w:rsidR="009069D0" w:rsidRPr="00DF6833">
        <w:rPr>
          <w:rFonts w:cs="Arial"/>
          <w:lang w:val="en-ZA"/>
        </w:rPr>
        <w:t xml:space="preserve"> 55; 2014 (4) SA 112 SC</w:t>
      </w:r>
      <w:r w:rsidR="00514D93" w:rsidRPr="00DF6833">
        <w:rPr>
          <w:rFonts w:cs="Arial"/>
          <w:lang w:val="en-ZA"/>
        </w:rPr>
        <w:t>A</w:t>
      </w:r>
      <w:r w:rsidR="000E022E" w:rsidRPr="00DF6833">
        <w:rPr>
          <w:rFonts w:cs="Arial"/>
          <w:lang w:val="en-ZA"/>
        </w:rPr>
        <w:t>.</w:t>
      </w:r>
    </w:p>
  </w:footnote>
  <w:footnote w:id="6">
    <w:p w14:paraId="25912E8C" w14:textId="30C730F9" w:rsidR="000E022E" w:rsidRPr="00DF6833" w:rsidRDefault="000E022E">
      <w:pPr>
        <w:pStyle w:val="FootnoteText"/>
        <w:rPr>
          <w:rFonts w:cs="Arial"/>
        </w:rPr>
      </w:pPr>
      <w:r w:rsidRPr="00DF6833">
        <w:rPr>
          <w:rStyle w:val="FootnoteReference"/>
          <w:rFonts w:cs="Arial"/>
        </w:rPr>
        <w:footnoteRef/>
      </w:r>
      <w:r w:rsidRPr="00DF6833">
        <w:rPr>
          <w:rFonts w:cs="Arial"/>
        </w:rPr>
        <w:t xml:space="preserve"> Id at para 18.</w:t>
      </w:r>
    </w:p>
  </w:footnote>
  <w:footnote w:id="7">
    <w:p w14:paraId="2BA92718" w14:textId="7674EAC0" w:rsidR="001A49AC" w:rsidRDefault="001A49AC">
      <w:pPr>
        <w:pStyle w:val="FootnoteText"/>
      </w:pPr>
      <w:r w:rsidRPr="00DF6833">
        <w:rPr>
          <w:rStyle w:val="FootnoteReference"/>
          <w:rFonts w:cs="Arial"/>
        </w:rPr>
        <w:footnoteRef/>
      </w:r>
      <w:r w:rsidRPr="00DF6833">
        <w:rPr>
          <w:rFonts w:cs="Arial"/>
        </w:rPr>
        <w:t xml:space="preserve"> </w:t>
      </w:r>
      <w:r w:rsidRPr="00DF6833">
        <w:rPr>
          <w:rFonts w:cs="Arial"/>
          <w:i/>
          <w:iCs/>
        </w:rPr>
        <w:t>Busuku</w:t>
      </w:r>
      <w:r w:rsidRPr="00DF6833">
        <w:rPr>
          <w:rFonts w:cs="Arial"/>
        </w:rPr>
        <w:t xml:space="preserve"> at para</w:t>
      </w:r>
      <w:r w:rsidR="00DA59AF">
        <w:rPr>
          <w:rFonts w:cs="Arial"/>
        </w:rPr>
        <w:t>s</w:t>
      </w:r>
      <w:r w:rsidRPr="00DF6833">
        <w:rPr>
          <w:rFonts w:cs="Arial"/>
        </w:rPr>
        <w:t xml:space="preserve"> 15</w:t>
      </w:r>
      <w:r w:rsidR="00DA59AF">
        <w:rPr>
          <w:rFonts w:cs="Arial"/>
        </w:rPr>
        <w:t xml:space="preserve"> and </w:t>
      </w:r>
      <w:r w:rsidR="00DF6833" w:rsidRPr="00DF6833">
        <w:rPr>
          <w:rFonts w:cs="Arial"/>
        </w:rPr>
        <w:t>16</w:t>
      </w:r>
      <w:r w:rsidRPr="00DF6833">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F45473B"/>
    <w:multiLevelType w:val="multilevel"/>
    <w:tmpl w:val="41B077C4"/>
    <w:lvl w:ilvl="0">
      <w:start w:val="1"/>
      <w:numFmt w:val="decimal"/>
      <w:pStyle w:val="JudgmentNumbered"/>
      <w:lvlText w:val="[%1]"/>
      <w:lvlJc w:val="left"/>
      <w:pPr>
        <w:ind w:left="567" w:hanging="567"/>
      </w:pPr>
      <w:rPr>
        <w:rFonts w:hint="default"/>
      </w:rPr>
    </w:lvl>
    <w:lvl w:ilvl="1">
      <w:start w:val="1"/>
      <w:numFmt w:val="decimal"/>
      <w:lvlText w:val="%2."/>
      <w:lvlJc w:val="left"/>
      <w:pPr>
        <w:ind w:left="1134" w:hanging="567"/>
      </w:pPr>
      <w:rPr>
        <w:rFonts w:ascii="Arial" w:eastAsiaTheme="minorHAnsi" w:hAnsi="Arial" w:cs="Arial"/>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2F9A5561"/>
    <w:multiLevelType w:val="hybridMultilevel"/>
    <w:tmpl w:val="F3BC2AAC"/>
    <w:lvl w:ilvl="0" w:tplc="7B062796">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953750401">
    <w:abstractNumId w:val="1"/>
  </w:num>
  <w:num w:numId="2" w16cid:durableId="366834840">
    <w:abstractNumId w:val="3"/>
  </w:num>
  <w:num w:numId="3" w16cid:durableId="1517501826">
    <w:abstractNumId w:val="0"/>
  </w:num>
  <w:num w:numId="4" w16cid:durableId="1920169412">
    <w:abstractNumId w:val="1"/>
  </w:num>
  <w:num w:numId="5" w16cid:durableId="672879824">
    <w:abstractNumId w:val="2"/>
  </w:num>
  <w:num w:numId="6" w16cid:durableId="888421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63"/>
    <w:rsid w:val="000004B1"/>
    <w:rsid w:val="00002455"/>
    <w:rsid w:val="0000701A"/>
    <w:rsid w:val="0001082A"/>
    <w:rsid w:val="0001173F"/>
    <w:rsid w:val="0001628A"/>
    <w:rsid w:val="000163CC"/>
    <w:rsid w:val="00017BE8"/>
    <w:rsid w:val="000206FB"/>
    <w:rsid w:val="00020CDF"/>
    <w:rsid w:val="00024B92"/>
    <w:rsid w:val="00031366"/>
    <w:rsid w:val="000314C8"/>
    <w:rsid w:val="00034D92"/>
    <w:rsid w:val="000353A8"/>
    <w:rsid w:val="00035D08"/>
    <w:rsid w:val="00037153"/>
    <w:rsid w:val="00040A2D"/>
    <w:rsid w:val="00041E7F"/>
    <w:rsid w:val="000428C8"/>
    <w:rsid w:val="000547DE"/>
    <w:rsid w:val="000617DE"/>
    <w:rsid w:val="000659DF"/>
    <w:rsid w:val="0006640B"/>
    <w:rsid w:val="00066BE9"/>
    <w:rsid w:val="00073BA6"/>
    <w:rsid w:val="00077EAD"/>
    <w:rsid w:val="00082815"/>
    <w:rsid w:val="000839C0"/>
    <w:rsid w:val="00085780"/>
    <w:rsid w:val="0008759D"/>
    <w:rsid w:val="00091C40"/>
    <w:rsid w:val="000938B0"/>
    <w:rsid w:val="00094D61"/>
    <w:rsid w:val="00097BB5"/>
    <w:rsid w:val="000A0044"/>
    <w:rsid w:val="000A016D"/>
    <w:rsid w:val="000A4EC9"/>
    <w:rsid w:val="000A64C1"/>
    <w:rsid w:val="000B34DF"/>
    <w:rsid w:val="000B75F9"/>
    <w:rsid w:val="000C0874"/>
    <w:rsid w:val="000C0E43"/>
    <w:rsid w:val="000C3F0C"/>
    <w:rsid w:val="000C4409"/>
    <w:rsid w:val="000C4C4E"/>
    <w:rsid w:val="000D001A"/>
    <w:rsid w:val="000D3CAF"/>
    <w:rsid w:val="000D7D10"/>
    <w:rsid w:val="000E022E"/>
    <w:rsid w:val="000E0695"/>
    <w:rsid w:val="000E4FC7"/>
    <w:rsid w:val="00101036"/>
    <w:rsid w:val="00101943"/>
    <w:rsid w:val="001024FD"/>
    <w:rsid w:val="00103EB7"/>
    <w:rsid w:val="00105896"/>
    <w:rsid w:val="00107325"/>
    <w:rsid w:val="00115074"/>
    <w:rsid w:val="001164C9"/>
    <w:rsid w:val="001268BA"/>
    <w:rsid w:val="00126D67"/>
    <w:rsid w:val="0013047E"/>
    <w:rsid w:val="001352C5"/>
    <w:rsid w:val="00136256"/>
    <w:rsid w:val="00137153"/>
    <w:rsid w:val="001507D3"/>
    <w:rsid w:val="00151A99"/>
    <w:rsid w:val="00154A5C"/>
    <w:rsid w:val="00155CE9"/>
    <w:rsid w:val="00164514"/>
    <w:rsid w:val="00170B73"/>
    <w:rsid w:val="00173D89"/>
    <w:rsid w:val="00177208"/>
    <w:rsid w:val="0018132B"/>
    <w:rsid w:val="00182935"/>
    <w:rsid w:val="00183C96"/>
    <w:rsid w:val="00186F09"/>
    <w:rsid w:val="001942B2"/>
    <w:rsid w:val="0019527B"/>
    <w:rsid w:val="001A112D"/>
    <w:rsid w:val="001A49AC"/>
    <w:rsid w:val="001C17E1"/>
    <w:rsid w:val="001C3576"/>
    <w:rsid w:val="001C3779"/>
    <w:rsid w:val="001C5042"/>
    <w:rsid w:val="001C7077"/>
    <w:rsid w:val="001D03CA"/>
    <w:rsid w:val="001D1784"/>
    <w:rsid w:val="001D3540"/>
    <w:rsid w:val="001D7ACE"/>
    <w:rsid w:val="001E04F7"/>
    <w:rsid w:val="001E1550"/>
    <w:rsid w:val="001E707E"/>
    <w:rsid w:val="001F0088"/>
    <w:rsid w:val="001F0958"/>
    <w:rsid w:val="00206353"/>
    <w:rsid w:val="00222DDB"/>
    <w:rsid w:val="00222E8F"/>
    <w:rsid w:val="002256A2"/>
    <w:rsid w:val="00231467"/>
    <w:rsid w:val="00232C53"/>
    <w:rsid w:val="00233C68"/>
    <w:rsid w:val="00243331"/>
    <w:rsid w:val="0024367A"/>
    <w:rsid w:val="00244777"/>
    <w:rsid w:val="00254B18"/>
    <w:rsid w:val="00255185"/>
    <w:rsid w:val="002557EB"/>
    <w:rsid w:val="002573B0"/>
    <w:rsid w:val="0026175F"/>
    <w:rsid w:val="00265B85"/>
    <w:rsid w:val="002728B0"/>
    <w:rsid w:val="00282B5E"/>
    <w:rsid w:val="00284D19"/>
    <w:rsid w:val="0028623F"/>
    <w:rsid w:val="00286FBC"/>
    <w:rsid w:val="00290044"/>
    <w:rsid w:val="00290555"/>
    <w:rsid w:val="002918D4"/>
    <w:rsid w:val="002A10B9"/>
    <w:rsid w:val="002A3868"/>
    <w:rsid w:val="002A671C"/>
    <w:rsid w:val="002A7027"/>
    <w:rsid w:val="002B424B"/>
    <w:rsid w:val="002B448C"/>
    <w:rsid w:val="002B6B90"/>
    <w:rsid w:val="002C160D"/>
    <w:rsid w:val="002C1E99"/>
    <w:rsid w:val="002C2C4B"/>
    <w:rsid w:val="002C561E"/>
    <w:rsid w:val="002C63F5"/>
    <w:rsid w:val="002D1022"/>
    <w:rsid w:val="002D711E"/>
    <w:rsid w:val="002E2198"/>
    <w:rsid w:val="002E6A98"/>
    <w:rsid w:val="002F1C2B"/>
    <w:rsid w:val="002F5E82"/>
    <w:rsid w:val="002F7653"/>
    <w:rsid w:val="00303881"/>
    <w:rsid w:val="00304B24"/>
    <w:rsid w:val="00305EF3"/>
    <w:rsid w:val="00306804"/>
    <w:rsid w:val="00306EDE"/>
    <w:rsid w:val="0031299A"/>
    <w:rsid w:val="0031453A"/>
    <w:rsid w:val="003158AB"/>
    <w:rsid w:val="0032145D"/>
    <w:rsid w:val="003224FD"/>
    <w:rsid w:val="00322BEF"/>
    <w:rsid w:val="0032346A"/>
    <w:rsid w:val="00326AC8"/>
    <w:rsid w:val="00356FF0"/>
    <w:rsid w:val="003605A7"/>
    <w:rsid w:val="003673B7"/>
    <w:rsid w:val="00370A27"/>
    <w:rsid w:val="00371299"/>
    <w:rsid w:val="00376671"/>
    <w:rsid w:val="003835F9"/>
    <w:rsid w:val="00385CBF"/>
    <w:rsid w:val="00391565"/>
    <w:rsid w:val="00397D50"/>
    <w:rsid w:val="003A1A4F"/>
    <w:rsid w:val="003A60CB"/>
    <w:rsid w:val="003B0BEA"/>
    <w:rsid w:val="003B1143"/>
    <w:rsid w:val="003B1F90"/>
    <w:rsid w:val="003B483A"/>
    <w:rsid w:val="003B4BDA"/>
    <w:rsid w:val="003B5DBD"/>
    <w:rsid w:val="003B7E48"/>
    <w:rsid w:val="003C2EF1"/>
    <w:rsid w:val="003C62ED"/>
    <w:rsid w:val="003C7083"/>
    <w:rsid w:val="003D49A3"/>
    <w:rsid w:val="003D697F"/>
    <w:rsid w:val="003E288F"/>
    <w:rsid w:val="003E3F17"/>
    <w:rsid w:val="003E423A"/>
    <w:rsid w:val="003F0F23"/>
    <w:rsid w:val="003F17C9"/>
    <w:rsid w:val="003F202E"/>
    <w:rsid w:val="003F288D"/>
    <w:rsid w:val="003F4EF1"/>
    <w:rsid w:val="00414EA2"/>
    <w:rsid w:val="00417BDB"/>
    <w:rsid w:val="00433D3E"/>
    <w:rsid w:val="0043589D"/>
    <w:rsid w:val="00436181"/>
    <w:rsid w:val="00440CD8"/>
    <w:rsid w:val="00442279"/>
    <w:rsid w:val="0044399D"/>
    <w:rsid w:val="00444A42"/>
    <w:rsid w:val="0045176F"/>
    <w:rsid w:val="0045396B"/>
    <w:rsid w:val="00456114"/>
    <w:rsid w:val="00456683"/>
    <w:rsid w:val="00461B4F"/>
    <w:rsid w:val="004627F0"/>
    <w:rsid w:val="00470C07"/>
    <w:rsid w:val="004719E2"/>
    <w:rsid w:val="004732CE"/>
    <w:rsid w:val="004764D6"/>
    <w:rsid w:val="00480FAC"/>
    <w:rsid w:val="004814BC"/>
    <w:rsid w:val="00482222"/>
    <w:rsid w:val="00484797"/>
    <w:rsid w:val="00485909"/>
    <w:rsid w:val="0048661A"/>
    <w:rsid w:val="00491E2C"/>
    <w:rsid w:val="0049212B"/>
    <w:rsid w:val="00492BC8"/>
    <w:rsid w:val="004943E6"/>
    <w:rsid w:val="0049690B"/>
    <w:rsid w:val="004A2909"/>
    <w:rsid w:val="004A2DEE"/>
    <w:rsid w:val="004A5AE1"/>
    <w:rsid w:val="004B45CF"/>
    <w:rsid w:val="004C413D"/>
    <w:rsid w:val="004C6A3B"/>
    <w:rsid w:val="004D3486"/>
    <w:rsid w:val="004D55F1"/>
    <w:rsid w:val="004E1C99"/>
    <w:rsid w:val="004E218C"/>
    <w:rsid w:val="004E2511"/>
    <w:rsid w:val="004E4F00"/>
    <w:rsid w:val="004E76E4"/>
    <w:rsid w:val="004F1CBC"/>
    <w:rsid w:val="004F3FC3"/>
    <w:rsid w:val="004F62DF"/>
    <w:rsid w:val="004F6FC3"/>
    <w:rsid w:val="00502E1C"/>
    <w:rsid w:val="00512154"/>
    <w:rsid w:val="005126D0"/>
    <w:rsid w:val="005128D0"/>
    <w:rsid w:val="00514837"/>
    <w:rsid w:val="00514D93"/>
    <w:rsid w:val="00523BF2"/>
    <w:rsid w:val="00524113"/>
    <w:rsid w:val="00527020"/>
    <w:rsid w:val="00533D30"/>
    <w:rsid w:val="005401D0"/>
    <w:rsid w:val="005417D5"/>
    <w:rsid w:val="00541849"/>
    <w:rsid w:val="00544217"/>
    <w:rsid w:val="005447AD"/>
    <w:rsid w:val="00545DDC"/>
    <w:rsid w:val="0054656B"/>
    <w:rsid w:val="00570BDD"/>
    <w:rsid w:val="00571FEF"/>
    <w:rsid w:val="0057245F"/>
    <w:rsid w:val="005727CE"/>
    <w:rsid w:val="00574207"/>
    <w:rsid w:val="005754F2"/>
    <w:rsid w:val="00577D49"/>
    <w:rsid w:val="00584BA4"/>
    <w:rsid w:val="005902DE"/>
    <w:rsid w:val="00590DA5"/>
    <w:rsid w:val="005919DA"/>
    <w:rsid w:val="00593731"/>
    <w:rsid w:val="00595875"/>
    <w:rsid w:val="005C74BF"/>
    <w:rsid w:val="005D2821"/>
    <w:rsid w:val="005D3AD0"/>
    <w:rsid w:val="005D4C47"/>
    <w:rsid w:val="005D7FF5"/>
    <w:rsid w:val="005E1026"/>
    <w:rsid w:val="005E106C"/>
    <w:rsid w:val="005E7B41"/>
    <w:rsid w:val="005F0710"/>
    <w:rsid w:val="005F10EC"/>
    <w:rsid w:val="005F2ADE"/>
    <w:rsid w:val="005F3C4A"/>
    <w:rsid w:val="005F3E80"/>
    <w:rsid w:val="005F5F72"/>
    <w:rsid w:val="0060243A"/>
    <w:rsid w:val="00602A4D"/>
    <w:rsid w:val="006037F4"/>
    <w:rsid w:val="00607670"/>
    <w:rsid w:val="00610BC7"/>
    <w:rsid w:val="00611952"/>
    <w:rsid w:val="006119AA"/>
    <w:rsid w:val="006156E0"/>
    <w:rsid w:val="00630D9C"/>
    <w:rsid w:val="00634EBC"/>
    <w:rsid w:val="006357DC"/>
    <w:rsid w:val="00643032"/>
    <w:rsid w:val="0064417A"/>
    <w:rsid w:val="00644D72"/>
    <w:rsid w:val="006512AD"/>
    <w:rsid w:val="00664A85"/>
    <w:rsid w:val="00664CDF"/>
    <w:rsid w:val="00666E0B"/>
    <w:rsid w:val="00667827"/>
    <w:rsid w:val="00674DE9"/>
    <w:rsid w:val="00684A6E"/>
    <w:rsid w:val="00690F72"/>
    <w:rsid w:val="006971CE"/>
    <w:rsid w:val="006A0718"/>
    <w:rsid w:val="006A192F"/>
    <w:rsid w:val="006A1F72"/>
    <w:rsid w:val="006A21D9"/>
    <w:rsid w:val="006A4354"/>
    <w:rsid w:val="006B135C"/>
    <w:rsid w:val="006B6DE0"/>
    <w:rsid w:val="006C3689"/>
    <w:rsid w:val="006D3191"/>
    <w:rsid w:val="006D3CFD"/>
    <w:rsid w:val="006E0383"/>
    <w:rsid w:val="006E56DB"/>
    <w:rsid w:val="006F1F3D"/>
    <w:rsid w:val="006F2B69"/>
    <w:rsid w:val="006F6B40"/>
    <w:rsid w:val="00700905"/>
    <w:rsid w:val="00700AE6"/>
    <w:rsid w:val="00707A9A"/>
    <w:rsid w:val="00710648"/>
    <w:rsid w:val="00711000"/>
    <w:rsid w:val="00711B9D"/>
    <w:rsid w:val="00720D0D"/>
    <w:rsid w:val="00732110"/>
    <w:rsid w:val="007327DA"/>
    <w:rsid w:val="00733E7A"/>
    <w:rsid w:val="00735BF9"/>
    <w:rsid w:val="0074284D"/>
    <w:rsid w:val="00745461"/>
    <w:rsid w:val="00745465"/>
    <w:rsid w:val="0075037E"/>
    <w:rsid w:val="007527B9"/>
    <w:rsid w:val="007619FF"/>
    <w:rsid w:val="007624E0"/>
    <w:rsid w:val="00764F50"/>
    <w:rsid w:val="00765C66"/>
    <w:rsid w:val="00765FA9"/>
    <w:rsid w:val="00766A9A"/>
    <w:rsid w:val="00770DC0"/>
    <w:rsid w:val="00775C51"/>
    <w:rsid w:val="00775F39"/>
    <w:rsid w:val="00776537"/>
    <w:rsid w:val="00782F4F"/>
    <w:rsid w:val="0079422E"/>
    <w:rsid w:val="00794DCB"/>
    <w:rsid w:val="00796586"/>
    <w:rsid w:val="00797A40"/>
    <w:rsid w:val="007A1878"/>
    <w:rsid w:val="007A245E"/>
    <w:rsid w:val="007A7A5D"/>
    <w:rsid w:val="007B2011"/>
    <w:rsid w:val="007B3F2A"/>
    <w:rsid w:val="007B521C"/>
    <w:rsid w:val="007B7F59"/>
    <w:rsid w:val="007C18A2"/>
    <w:rsid w:val="007C294A"/>
    <w:rsid w:val="007D2631"/>
    <w:rsid w:val="007D6BB3"/>
    <w:rsid w:val="007E135D"/>
    <w:rsid w:val="007E4684"/>
    <w:rsid w:val="007E4E42"/>
    <w:rsid w:val="007E6148"/>
    <w:rsid w:val="007E6F51"/>
    <w:rsid w:val="007F056B"/>
    <w:rsid w:val="007F0E5C"/>
    <w:rsid w:val="007F12B1"/>
    <w:rsid w:val="007F222E"/>
    <w:rsid w:val="007F4A14"/>
    <w:rsid w:val="007F71A8"/>
    <w:rsid w:val="007F7779"/>
    <w:rsid w:val="00803AD3"/>
    <w:rsid w:val="00804659"/>
    <w:rsid w:val="008142C4"/>
    <w:rsid w:val="0081766F"/>
    <w:rsid w:val="00821762"/>
    <w:rsid w:val="0082296F"/>
    <w:rsid w:val="008245A6"/>
    <w:rsid w:val="008278F3"/>
    <w:rsid w:val="00847DCB"/>
    <w:rsid w:val="00850636"/>
    <w:rsid w:val="008536FB"/>
    <w:rsid w:val="00853967"/>
    <w:rsid w:val="00853FAB"/>
    <w:rsid w:val="008567EF"/>
    <w:rsid w:val="00863941"/>
    <w:rsid w:val="00864962"/>
    <w:rsid w:val="0086669F"/>
    <w:rsid w:val="00872380"/>
    <w:rsid w:val="00872A92"/>
    <w:rsid w:val="008855D4"/>
    <w:rsid w:val="00887B44"/>
    <w:rsid w:val="00893DD5"/>
    <w:rsid w:val="0089418E"/>
    <w:rsid w:val="008A0E34"/>
    <w:rsid w:val="008A59E1"/>
    <w:rsid w:val="008B4DB9"/>
    <w:rsid w:val="008B5ED0"/>
    <w:rsid w:val="008C1D2B"/>
    <w:rsid w:val="008C2852"/>
    <w:rsid w:val="008C702A"/>
    <w:rsid w:val="008D0CF4"/>
    <w:rsid w:val="008D3084"/>
    <w:rsid w:val="008D5D12"/>
    <w:rsid w:val="008D5F3D"/>
    <w:rsid w:val="008E1514"/>
    <w:rsid w:val="008E1E70"/>
    <w:rsid w:val="008E53EF"/>
    <w:rsid w:val="008F103E"/>
    <w:rsid w:val="008F1D37"/>
    <w:rsid w:val="00904DC8"/>
    <w:rsid w:val="009069D0"/>
    <w:rsid w:val="00914A3E"/>
    <w:rsid w:val="0091607C"/>
    <w:rsid w:val="009209DE"/>
    <w:rsid w:val="009241F2"/>
    <w:rsid w:val="0093635E"/>
    <w:rsid w:val="00937036"/>
    <w:rsid w:val="00937390"/>
    <w:rsid w:val="00937867"/>
    <w:rsid w:val="0094050B"/>
    <w:rsid w:val="0094758D"/>
    <w:rsid w:val="009542E5"/>
    <w:rsid w:val="00960C24"/>
    <w:rsid w:val="00961C8C"/>
    <w:rsid w:val="009717AF"/>
    <w:rsid w:val="00971B36"/>
    <w:rsid w:val="009741D5"/>
    <w:rsid w:val="00975AB1"/>
    <w:rsid w:val="00983A55"/>
    <w:rsid w:val="0098687F"/>
    <w:rsid w:val="00987633"/>
    <w:rsid w:val="009902CC"/>
    <w:rsid w:val="009904E7"/>
    <w:rsid w:val="009939DA"/>
    <w:rsid w:val="00994A8D"/>
    <w:rsid w:val="009972BA"/>
    <w:rsid w:val="009A0FF8"/>
    <w:rsid w:val="009A2B10"/>
    <w:rsid w:val="009A48AE"/>
    <w:rsid w:val="009A6B91"/>
    <w:rsid w:val="009B01DC"/>
    <w:rsid w:val="009B32C6"/>
    <w:rsid w:val="009B391A"/>
    <w:rsid w:val="009B3A9D"/>
    <w:rsid w:val="009B711D"/>
    <w:rsid w:val="009C08C0"/>
    <w:rsid w:val="009C29A2"/>
    <w:rsid w:val="009D0B08"/>
    <w:rsid w:val="009D6AA5"/>
    <w:rsid w:val="009D7776"/>
    <w:rsid w:val="009E1A7A"/>
    <w:rsid w:val="009E433D"/>
    <w:rsid w:val="009E6CAF"/>
    <w:rsid w:val="009F0B75"/>
    <w:rsid w:val="009F1489"/>
    <w:rsid w:val="009F19A5"/>
    <w:rsid w:val="00A022F4"/>
    <w:rsid w:val="00A064F3"/>
    <w:rsid w:val="00A06834"/>
    <w:rsid w:val="00A14D67"/>
    <w:rsid w:val="00A21725"/>
    <w:rsid w:val="00A22909"/>
    <w:rsid w:val="00A271FD"/>
    <w:rsid w:val="00A307A2"/>
    <w:rsid w:val="00A30DD3"/>
    <w:rsid w:val="00A31BC2"/>
    <w:rsid w:val="00A36095"/>
    <w:rsid w:val="00A52F3C"/>
    <w:rsid w:val="00A53DBB"/>
    <w:rsid w:val="00A6187E"/>
    <w:rsid w:val="00A62780"/>
    <w:rsid w:val="00A6309C"/>
    <w:rsid w:val="00A67F8D"/>
    <w:rsid w:val="00A74A4B"/>
    <w:rsid w:val="00A76AFF"/>
    <w:rsid w:val="00A76C23"/>
    <w:rsid w:val="00A77524"/>
    <w:rsid w:val="00A81707"/>
    <w:rsid w:val="00A83A79"/>
    <w:rsid w:val="00A848A3"/>
    <w:rsid w:val="00A86648"/>
    <w:rsid w:val="00A933AD"/>
    <w:rsid w:val="00A936DD"/>
    <w:rsid w:val="00A941AB"/>
    <w:rsid w:val="00A94998"/>
    <w:rsid w:val="00A950B1"/>
    <w:rsid w:val="00A9726E"/>
    <w:rsid w:val="00A97931"/>
    <w:rsid w:val="00AA4627"/>
    <w:rsid w:val="00AA59A0"/>
    <w:rsid w:val="00AA7561"/>
    <w:rsid w:val="00AB159E"/>
    <w:rsid w:val="00AB4726"/>
    <w:rsid w:val="00AB71D0"/>
    <w:rsid w:val="00AC4E0B"/>
    <w:rsid w:val="00AD084E"/>
    <w:rsid w:val="00AD0E19"/>
    <w:rsid w:val="00AD33F7"/>
    <w:rsid w:val="00AD4355"/>
    <w:rsid w:val="00AE29DB"/>
    <w:rsid w:val="00AF1382"/>
    <w:rsid w:val="00B06B06"/>
    <w:rsid w:val="00B07A12"/>
    <w:rsid w:val="00B10A99"/>
    <w:rsid w:val="00B13458"/>
    <w:rsid w:val="00B17CB5"/>
    <w:rsid w:val="00B21B78"/>
    <w:rsid w:val="00B21DAE"/>
    <w:rsid w:val="00B22EED"/>
    <w:rsid w:val="00B23380"/>
    <w:rsid w:val="00B351FD"/>
    <w:rsid w:val="00B3565D"/>
    <w:rsid w:val="00B3592F"/>
    <w:rsid w:val="00B3618D"/>
    <w:rsid w:val="00B42A94"/>
    <w:rsid w:val="00B438F6"/>
    <w:rsid w:val="00B55961"/>
    <w:rsid w:val="00B55ECF"/>
    <w:rsid w:val="00B568E3"/>
    <w:rsid w:val="00B60AAB"/>
    <w:rsid w:val="00B613C1"/>
    <w:rsid w:val="00B619C8"/>
    <w:rsid w:val="00B64846"/>
    <w:rsid w:val="00B705A1"/>
    <w:rsid w:val="00B76B2B"/>
    <w:rsid w:val="00B80416"/>
    <w:rsid w:val="00B80CF5"/>
    <w:rsid w:val="00B82526"/>
    <w:rsid w:val="00B83C3F"/>
    <w:rsid w:val="00B8650B"/>
    <w:rsid w:val="00B91E1E"/>
    <w:rsid w:val="00B93D9E"/>
    <w:rsid w:val="00B94F4A"/>
    <w:rsid w:val="00B95C59"/>
    <w:rsid w:val="00BA160A"/>
    <w:rsid w:val="00BA177B"/>
    <w:rsid w:val="00BA4452"/>
    <w:rsid w:val="00BA61E3"/>
    <w:rsid w:val="00BB2773"/>
    <w:rsid w:val="00BB63DF"/>
    <w:rsid w:val="00BB741E"/>
    <w:rsid w:val="00BB78B4"/>
    <w:rsid w:val="00BC1185"/>
    <w:rsid w:val="00BC4F5D"/>
    <w:rsid w:val="00BC5A21"/>
    <w:rsid w:val="00BC63C2"/>
    <w:rsid w:val="00BD05D8"/>
    <w:rsid w:val="00BD40F9"/>
    <w:rsid w:val="00BD5684"/>
    <w:rsid w:val="00BD5719"/>
    <w:rsid w:val="00BD646F"/>
    <w:rsid w:val="00BE09B7"/>
    <w:rsid w:val="00BE3063"/>
    <w:rsid w:val="00BE5091"/>
    <w:rsid w:val="00BE5B90"/>
    <w:rsid w:val="00BF428D"/>
    <w:rsid w:val="00BF6719"/>
    <w:rsid w:val="00C029A0"/>
    <w:rsid w:val="00C114D3"/>
    <w:rsid w:val="00C151C8"/>
    <w:rsid w:val="00C176E6"/>
    <w:rsid w:val="00C17BCC"/>
    <w:rsid w:val="00C20C45"/>
    <w:rsid w:val="00C2301F"/>
    <w:rsid w:val="00C230C7"/>
    <w:rsid w:val="00C24449"/>
    <w:rsid w:val="00C3655B"/>
    <w:rsid w:val="00C40157"/>
    <w:rsid w:val="00C44647"/>
    <w:rsid w:val="00C45C7A"/>
    <w:rsid w:val="00C6039D"/>
    <w:rsid w:val="00C64028"/>
    <w:rsid w:val="00C7041C"/>
    <w:rsid w:val="00C73D6F"/>
    <w:rsid w:val="00C8217A"/>
    <w:rsid w:val="00C85E01"/>
    <w:rsid w:val="00C95856"/>
    <w:rsid w:val="00C9637B"/>
    <w:rsid w:val="00C97382"/>
    <w:rsid w:val="00C97F4E"/>
    <w:rsid w:val="00CA3129"/>
    <w:rsid w:val="00CA38FF"/>
    <w:rsid w:val="00CA4FE7"/>
    <w:rsid w:val="00CA6EEB"/>
    <w:rsid w:val="00CB03A6"/>
    <w:rsid w:val="00CC485F"/>
    <w:rsid w:val="00CC738F"/>
    <w:rsid w:val="00CC7B6A"/>
    <w:rsid w:val="00CD12EC"/>
    <w:rsid w:val="00CD3493"/>
    <w:rsid w:val="00CE1E61"/>
    <w:rsid w:val="00CE6B51"/>
    <w:rsid w:val="00CF6896"/>
    <w:rsid w:val="00D00645"/>
    <w:rsid w:val="00D008DF"/>
    <w:rsid w:val="00D04A1E"/>
    <w:rsid w:val="00D05EBB"/>
    <w:rsid w:val="00D116A5"/>
    <w:rsid w:val="00D12FAB"/>
    <w:rsid w:val="00D1753F"/>
    <w:rsid w:val="00D210F0"/>
    <w:rsid w:val="00D252F5"/>
    <w:rsid w:val="00D25479"/>
    <w:rsid w:val="00D26073"/>
    <w:rsid w:val="00D30C30"/>
    <w:rsid w:val="00D33DE0"/>
    <w:rsid w:val="00D3577F"/>
    <w:rsid w:val="00D3609E"/>
    <w:rsid w:val="00D36700"/>
    <w:rsid w:val="00D42FCD"/>
    <w:rsid w:val="00D50210"/>
    <w:rsid w:val="00D52A36"/>
    <w:rsid w:val="00D52AE7"/>
    <w:rsid w:val="00D64C43"/>
    <w:rsid w:val="00D7141F"/>
    <w:rsid w:val="00D8799A"/>
    <w:rsid w:val="00D923E8"/>
    <w:rsid w:val="00DA59AF"/>
    <w:rsid w:val="00DB06D0"/>
    <w:rsid w:val="00DB44B0"/>
    <w:rsid w:val="00DB6066"/>
    <w:rsid w:val="00DB6AC0"/>
    <w:rsid w:val="00DC0B65"/>
    <w:rsid w:val="00DC67B6"/>
    <w:rsid w:val="00DD0C56"/>
    <w:rsid w:val="00DD76F6"/>
    <w:rsid w:val="00DE1656"/>
    <w:rsid w:val="00DF1A29"/>
    <w:rsid w:val="00DF4681"/>
    <w:rsid w:val="00DF4E07"/>
    <w:rsid w:val="00DF51E6"/>
    <w:rsid w:val="00DF6833"/>
    <w:rsid w:val="00E013C8"/>
    <w:rsid w:val="00E05A4C"/>
    <w:rsid w:val="00E0752B"/>
    <w:rsid w:val="00E11401"/>
    <w:rsid w:val="00E14093"/>
    <w:rsid w:val="00E154EC"/>
    <w:rsid w:val="00E17474"/>
    <w:rsid w:val="00E31F50"/>
    <w:rsid w:val="00E32E05"/>
    <w:rsid w:val="00E354C3"/>
    <w:rsid w:val="00E370BF"/>
    <w:rsid w:val="00E40584"/>
    <w:rsid w:val="00E43A1C"/>
    <w:rsid w:val="00E4417C"/>
    <w:rsid w:val="00E45F90"/>
    <w:rsid w:val="00E467BD"/>
    <w:rsid w:val="00E469DD"/>
    <w:rsid w:val="00E47E57"/>
    <w:rsid w:val="00E550DF"/>
    <w:rsid w:val="00E56ED7"/>
    <w:rsid w:val="00E60B85"/>
    <w:rsid w:val="00E67A1A"/>
    <w:rsid w:val="00E80263"/>
    <w:rsid w:val="00E80AA7"/>
    <w:rsid w:val="00E80AD4"/>
    <w:rsid w:val="00E811D9"/>
    <w:rsid w:val="00E87190"/>
    <w:rsid w:val="00E8760F"/>
    <w:rsid w:val="00E9010D"/>
    <w:rsid w:val="00E91402"/>
    <w:rsid w:val="00E9257C"/>
    <w:rsid w:val="00E94E59"/>
    <w:rsid w:val="00E95B4D"/>
    <w:rsid w:val="00E97334"/>
    <w:rsid w:val="00EA1410"/>
    <w:rsid w:val="00EA1828"/>
    <w:rsid w:val="00EA3502"/>
    <w:rsid w:val="00EB01DA"/>
    <w:rsid w:val="00EB400F"/>
    <w:rsid w:val="00EB6823"/>
    <w:rsid w:val="00EC21DB"/>
    <w:rsid w:val="00EC2AE3"/>
    <w:rsid w:val="00EC6428"/>
    <w:rsid w:val="00EC72DA"/>
    <w:rsid w:val="00ED0159"/>
    <w:rsid w:val="00ED24F4"/>
    <w:rsid w:val="00ED324F"/>
    <w:rsid w:val="00ED4533"/>
    <w:rsid w:val="00ED472A"/>
    <w:rsid w:val="00ED64CA"/>
    <w:rsid w:val="00EE27D3"/>
    <w:rsid w:val="00EE591B"/>
    <w:rsid w:val="00EE5F82"/>
    <w:rsid w:val="00EF2D64"/>
    <w:rsid w:val="00EF34AF"/>
    <w:rsid w:val="00EF680C"/>
    <w:rsid w:val="00EF68FE"/>
    <w:rsid w:val="00F002A4"/>
    <w:rsid w:val="00F011EB"/>
    <w:rsid w:val="00F01A54"/>
    <w:rsid w:val="00F03FF4"/>
    <w:rsid w:val="00F12EFA"/>
    <w:rsid w:val="00F1372C"/>
    <w:rsid w:val="00F15097"/>
    <w:rsid w:val="00F17BCD"/>
    <w:rsid w:val="00F23533"/>
    <w:rsid w:val="00F24288"/>
    <w:rsid w:val="00F262FE"/>
    <w:rsid w:val="00F27440"/>
    <w:rsid w:val="00F27E6C"/>
    <w:rsid w:val="00F304C7"/>
    <w:rsid w:val="00F32742"/>
    <w:rsid w:val="00F32C5E"/>
    <w:rsid w:val="00F40317"/>
    <w:rsid w:val="00F45261"/>
    <w:rsid w:val="00F45D76"/>
    <w:rsid w:val="00F46D9F"/>
    <w:rsid w:val="00F509B3"/>
    <w:rsid w:val="00F51BC1"/>
    <w:rsid w:val="00F5205D"/>
    <w:rsid w:val="00F628FD"/>
    <w:rsid w:val="00F63385"/>
    <w:rsid w:val="00F63F9F"/>
    <w:rsid w:val="00F67D0D"/>
    <w:rsid w:val="00F84931"/>
    <w:rsid w:val="00F86271"/>
    <w:rsid w:val="00F93CC5"/>
    <w:rsid w:val="00FA4521"/>
    <w:rsid w:val="00FB4320"/>
    <w:rsid w:val="00FB5271"/>
    <w:rsid w:val="00FB5F81"/>
    <w:rsid w:val="00FC4647"/>
    <w:rsid w:val="00FC7ECF"/>
    <w:rsid w:val="00FD2455"/>
    <w:rsid w:val="00FD7C55"/>
    <w:rsid w:val="00FF4866"/>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2DD9"/>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basedOn w:val="Normal"/>
    <w:link w:val="FootnoteTextChar"/>
    <w:uiPriority w:val="99"/>
    <w:unhideWhenUsed/>
    <w:rsid w:val="001352C5"/>
    <w:pPr>
      <w:spacing w:after="0" w:line="240" w:lineRule="auto"/>
    </w:pPr>
    <w:rPr>
      <w:sz w:val="20"/>
      <w:szCs w:val="20"/>
    </w:rPr>
  </w:style>
  <w:style w:type="character" w:customStyle="1" w:styleId="FootnoteTextChar">
    <w:name w:val="Footnote Text Char"/>
    <w:basedOn w:val="DefaultParagraphFont"/>
    <w:link w:val="FootnoteText"/>
    <w:uiPriority w:val="99"/>
    <w:rsid w:val="001352C5"/>
    <w:rPr>
      <w:rFonts w:ascii="Arial" w:hAnsi="Arial"/>
      <w:sz w:val="20"/>
      <w:szCs w:val="20"/>
      <w:lang w:val="en-GB"/>
    </w:rPr>
  </w:style>
  <w:style w:type="character" w:styleId="FootnoteReference">
    <w:name w:val="footnote reference"/>
    <w:basedOn w:val="DefaultParagraphFont"/>
    <w:uiPriority w:val="99"/>
    <w:semiHidden/>
    <w:unhideWhenUsed/>
    <w:rsid w:val="001352C5"/>
    <w:rPr>
      <w:vertAlign w:val="superscript"/>
    </w:rPr>
  </w:style>
  <w:style w:type="paragraph" w:styleId="Quote">
    <w:name w:val="Quote"/>
    <w:basedOn w:val="Normal"/>
    <w:next w:val="Normal"/>
    <w:link w:val="QuoteChar"/>
    <w:uiPriority w:val="29"/>
    <w:qFormat/>
    <w:rsid w:val="009972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72BA"/>
    <w:rPr>
      <w:rFonts w:ascii="Arial" w:hAnsi="Arial"/>
      <w:i/>
      <w:iCs/>
      <w:color w:val="404040" w:themeColor="text1" w:themeTint="BF"/>
      <w:sz w:val="24"/>
      <w:lang w:val="en-GB"/>
    </w:rPr>
  </w:style>
  <w:style w:type="character" w:styleId="Emphasis">
    <w:name w:val="Emphasis"/>
    <w:basedOn w:val="DefaultParagraphFont"/>
    <w:uiPriority w:val="20"/>
    <w:qFormat/>
    <w:rsid w:val="003C2EF1"/>
    <w:rPr>
      <w:i/>
      <w:iCs/>
    </w:rPr>
  </w:style>
  <w:style w:type="paragraph" w:styleId="NormalWeb">
    <w:name w:val="Normal (Web)"/>
    <w:basedOn w:val="Normal"/>
    <w:uiPriority w:val="99"/>
    <w:semiHidden/>
    <w:unhideWhenUsed/>
    <w:rsid w:val="00D3609E"/>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BalloonText">
    <w:name w:val="Balloon Text"/>
    <w:basedOn w:val="Normal"/>
    <w:link w:val="BalloonTextChar"/>
    <w:uiPriority w:val="99"/>
    <w:semiHidden/>
    <w:unhideWhenUsed/>
    <w:rsid w:val="006F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F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86298">
      <w:bodyDiv w:val="1"/>
      <w:marLeft w:val="0"/>
      <w:marRight w:val="0"/>
      <w:marTop w:val="0"/>
      <w:marBottom w:val="0"/>
      <w:divBdr>
        <w:top w:val="none" w:sz="0" w:space="0" w:color="auto"/>
        <w:left w:val="none" w:sz="0" w:space="0" w:color="auto"/>
        <w:bottom w:val="none" w:sz="0" w:space="0" w:color="auto"/>
        <w:right w:val="none" w:sz="0" w:space="0" w:color="auto"/>
      </w:divBdr>
    </w:div>
    <w:div w:id="1823043438">
      <w:bodyDiv w:val="1"/>
      <w:marLeft w:val="0"/>
      <w:marRight w:val="0"/>
      <w:marTop w:val="0"/>
      <w:marBottom w:val="0"/>
      <w:divBdr>
        <w:top w:val="none" w:sz="0" w:space="0" w:color="auto"/>
        <w:left w:val="none" w:sz="0" w:space="0" w:color="auto"/>
        <w:bottom w:val="none" w:sz="0" w:space="0" w:color="auto"/>
        <w:right w:val="none" w:sz="0" w:space="0" w:color="auto"/>
      </w:divBdr>
    </w:div>
    <w:div w:id="21021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D88712-D0D1-A947-B275-CDA885C26F16}">
  <we:reference id="wa200003725" version="3.1.4.0" store="en-US" storeType="OMEX"/>
  <we:alternateReferences>
    <we:reference id="wa200003725" version="3.1.4.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75F0-A7D7-4B6B-9741-32962C87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11</TotalTime>
  <Pages>13</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Lilitha Mdleleni</cp:lastModifiedBy>
  <cp:revision>3</cp:revision>
  <cp:lastPrinted>2023-11-15T13:10:00Z</cp:lastPrinted>
  <dcterms:created xsi:type="dcterms:W3CDTF">2023-11-17T07:37:00Z</dcterms:created>
  <dcterms:modified xsi:type="dcterms:W3CDTF">2023-11-17T10:48:00Z</dcterms:modified>
</cp:coreProperties>
</file>