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19A9" w14:textId="5AE45932" w:rsidR="00C74F7F" w:rsidRPr="00C74F7F" w:rsidRDefault="00C74F7F" w:rsidP="00C74F7F">
      <w:pPr>
        <w:rPr>
          <w:rFonts w:ascii="Courier New" w:eastAsia="DengXian" w:hAnsi="Courier New" w:cs="Courier New"/>
          <w:color w:val="FF0000"/>
          <w:u w:val="single"/>
        </w:rPr>
      </w:pPr>
      <w:bookmarkStart w:id="0" w:name="_GoBack"/>
      <w:bookmarkEnd w:id="0"/>
      <w:r>
        <w:rPr>
          <w:rFonts w:ascii="Arial" w:hAnsi="Arial" w:cs="Arial"/>
          <w:color w:val="FF0000"/>
        </w:rPr>
        <w:t>Editorial note: Certain information has been redacted from this judgment in compliance with the law.</w:t>
      </w:r>
    </w:p>
    <w:p w14:paraId="5845264E" w14:textId="6EE3D513" w:rsidR="00564266" w:rsidRPr="0028747A" w:rsidRDefault="00564266" w:rsidP="00F9182F">
      <w:pPr>
        <w:spacing w:after="0" w:line="276" w:lineRule="auto"/>
        <w:ind w:left="0"/>
        <w:jc w:val="center"/>
        <w:rPr>
          <w:rFonts w:ascii="Arial" w:eastAsia="Times New Roman" w:hAnsi="Arial" w:cs="Arial"/>
          <w:b/>
          <w:color w:val="auto"/>
          <w:sz w:val="22"/>
        </w:rPr>
      </w:pPr>
      <w:r w:rsidRPr="0028747A">
        <w:rPr>
          <w:rFonts w:ascii="Arial" w:eastAsia="Times New Roman" w:hAnsi="Arial" w:cs="Arial"/>
          <w:b/>
          <w:sz w:val="22"/>
        </w:rPr>
        <w:t>REPUBLIC OF SOUTH AFRICA</w:t>
      </w:r>
    </w:p>
    <w:p w14:paraId="6FDB5806" w14:textId="77777777" w:rsidR="00564266" w:rsidRPr="0028747A" w:rsidRDefault="00564266" w:rsidP="00F9182F">
      <w:pPr>
        <w:spacing w:after="0" w:line="276" w:lineRule="auto"/>
        <w:ind w:left="0"/>
        <w:jc w:val="center"/>
        <w:rPr>
          <w:rFonts w:ascii="Arial" w:eastAsia="Times New Roman" w:hAnsi="Arial" w:cs="Arial"/>
          <w:b/>
          <w:sz w:val="22"/>
        </w:rPr>
      </w:pPr>
      <w:r w:rsidRPr="0028747A">
        <w:rPr>
          <w:rFonts w:ascii="Arial" w:eastAsia="Times New Roman" w:hAnsi="Arial" w:cs="Arial"/>
          <w:b/>
          <w:noProof/>
          <w:sz w:val="22"/>
        </w:rPr>
        <w:drawing>
          <wp:inline distT="0" distB="0" distL="0" distR="0" wp14:anchorId="3F20B319" wp14:editId="648395E1">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CCCC847" w14:textId="77777777" w:rsidR="00564266" w:rsidRPr="0028747A" w:rsidRDefault="00564266" w:rsidP="00F9182F">
      <w:pPr>
        <w:spacing w:after="0" w:line="276" w:lineRule="auto"/>
        <w:ind w:left="0"/>
        <w:jc w:val="center"/>
        <w:rPr>
          <w:rFonts w:ascii="Arial" w:eastAsia="Times New Roman" w:hAnsi="Arial" w:cs="Arial"/>
          <w:b/>
          <w:sz w:val="22"/>
          <w:lang w:eastAsia="en-US"/>
        </w:rPr>
      </w:pPr>
      <w:r w:rsidRPr="0028747A">
        <w:rPr>
          <w:rFonts w:ascii="Arial" w:eastAsia="Times New Roman" w:hAnsi="Arial" w:cs="Arial"/>
          <w:b/>
          <w:sz w:val="22"/>
        </w:rPr>
        <w:t>IN THE HIGH COURT OF SOUTH AFRICA</w:t>
      </w:r>
    </w:p>
    <w:p w14:paraId="672C2D6C" w14:textId="076838A3" w:rsidR="00564266" w:rsidRPr="0028747A" w:rsidRDefault="00564266" w:rsidP="00F9182F">
      <w:pPr>
        <w:spacing w:after="0" w:line="276" w:lineRule="auto"/>
        <w:ind w:left="0"/>
        <w:jc w:val="center"/>
        <w:rPr>
          <w:rFonts w:ascii="Arial" w:eastAsia="Times New Roman" w:hAnsi="Arial" w:cs="Arial"/>
          <w:b/>
          <w:sz w:val="22"/>
        </w:rPr>
      </w:pPr>
      <w:r w:rsidRPr="0028747A">
        <w:rPr>
          <w:rFonts w:ascii="Arial" w:eastAsia="Times New Roman" w:hAnsi="Arial" w:cs="Arial"/>
          <w:b/>
          <w:sz w:val="22"/>
        </w:rPr>
        <w:t>GAUTENG</w:t>
      </w:r>
      <w:r w:rsidR="000A4211" w:rsidRPr="0028747A">
        <w:rPr>
          <w:rFonts w:ascii="Arial" w:eastAsia="Times New Roman" w:hAnsi="Arial" w:cs="Arial"/>
          <w:b/>
          <w:sz w:val="22"/>
        </w:rPr>
        <w:t xml:space="preserve"> </w:t>
      </w:r>
      <w:r w:rsidRPr="0028747A">
        <w:rPr>
          <w:rFonts w:ascii="Arial" w:eastAsia="Times New Roman" w:hAnsi="Arial" w:cs="Arial"/>
          <w:b/>
          <w:sz w:val="22"/>
        </w:rPr>
        <w:t>DIVISION</w:t>
      </w:r>
      <w:r w:rsidR="00D417C3" w:rsidRPr="0028747A">
        <w:rPr>
          <w:rFonts w:ascii="Arial" w:eastAsia="Times New Roman" w:hAnsi="Arial" w:cs="Arial"/>
          <w:b/>
          <w:sz w:val="22"/>
        </w:rPr>
        <w:t xml:space="preserve">: </w:t>
      </w:r>
      <w:r w:rsidRPr="0028747A">
        <w:rPr>
          <w:rFonts w:ascii="Arial" w:eastAsia="Times New Roman" w:hAnsi="Arial" w:cs="Arial"/>
          <w:b/>
          <w:sz w:val="22"/>
        </w:rPr>
        <w:t>JOHANNESBURG</w:t>
      </w:r>
    </w:p>
    <w:p w14:paraId="24D77C13" w14:textId="77777777" w:rsidR="00785619" w:rsidRPr="0028747A" w:rsidRDefault="00785619" w:rsidP="00F9182F">
      <w:pPr>
        <w:spacing w:after="0" w:line="276" w:lineRule="auto"/>
        <w:ind w:left="0"/>
        <w:jc w:val="right"/>
        <w:rPr>
          <w:rFonts w:ascii="Arial" w:eastAsia="Times New Roman" w:hAnsi="Arial" w:cs="Arial"/>
          <w:b/>
          <w:sz w:val="22"/>
        </w:rPr>
      </w:pPr>
    </w:p>
    <w:p w14:paraId="79BFB7B2" w14:textId="0331FE77" w:rsidR="00F4525A" w:rsidRPr="0028747A" w:rsidRDefault="00785619" w:rsidP="00F4525A">
      <w:pPr>
        <w:spacing w:after="0" w:line="276" w:lineRule="auto"/>
        <w:ind w:left="0"/>
        <w:jc w:val="right"/>
        <w:rPr>
          <w:rFonts w:ascii="Arial" w:hAnsi="Arial" w:cs="Arial"/>
          <w:b/>
          <w:sz w:val="22"/>
          <w:u w:val="single"/>
        </w:rPr>
      </w:pPr>
      <w:r w:rsidRPr="0028747A">
        <w:rPr>
          <w:rFonts w:ascii="Arial" w:eastAsia="Times New Roman" w:hAnsi="Arial" w:cs="Arial"/>
          <w:b/>
          <w:sz w:val="22"/>
        </w:rPr>
        <w:t>CASE NUMBER:</w:t>
      </w:r>
      <w:r w:rsidR="00E71931" w:rsidRPr="0028747A">
        <w:rPr>
          <w:rFonts w:ascii="Arial" w:hAnsi="Arial" w:cs="Arial"/>
          <w:b/>
          <w:sz w:val="22"/>
        </w:rPr>
        <w:t xml:space="preserve"> </w:t>
      </w:r>
      <w:r w:rsidR="00CD4A20" w:rsidRPr="0028747A">
        <w:rPr>
          <w:rFonts w:ascii="Arial" w:hAnsi="Arial" w:cs="Arial"/>
          <w:b/>
          <w:sz w:val="22"/>
        </w:rPr>
        <w:t>202</w:t>
      </w:r>
      <w:r w:rsidR="00A208C2" w:rsidRPr="0028747A">
        <w:rPr>
          <w:rFonts w:ascii="Arial" w:hAnsi="Arial" w:cs="Arial"/>
          <w:b/>
          <w:sz w:val="22"/>
        </w:rPr>
        <w:t>3/004515</w:t>
      </w:r>
    </w:p>
    <w:p w14:paraId="4AF71CDA" w14:textId="77777777" w:rsidR="00ED35E1" w:rsidRPr="0028747A" w:rsidRDefault="00ED35E1" w:rsidP="00F9182F">
      <w:pPr>
        <w:spacing w:after="0" w:line="276" w:lineRule="auto"/>
        <w:ind w:left="0"/>
        <w:jc w:val="left"/>
        <w:rPr>
          <w:rFonts w:ascii="Arial" w:eastAsia="Times New Roman" w:hAnsi="Arial" w:cs="Arial"/>
          <w:b/>
          <w:sz w:val="22"/>
        </w:rPr>
      </w:pPr>
      <w:r w:rsidRPr="0028747A">
        <w:rPr>
          <w:rFonts w:ascii="Arial" w:hAnsi="Arial" w:cs="Arial"/>
          <w:noProof/>
          <w:sz w:val="22"/>
        </w:rPr>
        <mc:AlternateContent>
          <mc:Choice Requires="wps">
            <w:drawing>
              <wp:anchor distT="0" distB="0" distL="114300" distR="114300" simplePos="0" relativeHeight="251659264" behindDoc="0" locked="0" layoutInCell="1" allowOverlap="1" wp14:anchorId="2719C3BD" wp14:editId="2276EBD3">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96164ED" w14:textId="77777777" w:rsidR="00ED35E1" w:rsidRPr="004120A8" w:rsidRDefault="00ED35E1" w:rsidP="00ED35E1">
                            <w:pPr>
                              <w:jc w:val="center"/>
                              <w:rPr>
                                <w:rFonts w:ascii="Century Gothic" w:hAnsi="Century Gothic"/>
                                <w:b/>
                                <w:sz w:val="2"/>
                                <w:szCs w:val="18"/>
                              </w:rPr>
                            </w:pPr>
                          </w:p>
                          <w:p w14:paraId="6869BB73" w14:textId="19004167" w:rsidR="00ED35E1" w:rsidRPr="004120A8" w:rsidRDefault="00ED35E1" w:rsidP="00F32287">
                            <w:pPr>
                              <w:numPr>
                                <w:ilvl w:val="0"/>
                                <w:numId w:val="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00CD4A20">
                              <w:rPr>
                                <w:rFonts w:ascii="Century Gothic" w:hAnsi="Century Gothic"/>
                                <w:sz w:val="18"/>
                                <w:szCs w:val="18"/>
                              </w:rPr>
                              <w:t>YES/</w:t>
                            </w:r>
                            <w:r w:rsidRPr="004120A8">
                              <w:rPr>
                                <w:rFonts w:ascii="Century Gothic" w:hAnsi="Century Gothic"/>
                                <w:sz w:val="18"/>
                                <w:szCs w:val="18"/>
                              </w:rPr>
                              <w:t>NO</w:t>
                            </w:r>
                          </w:p>
                          <w:p w14:paraId="3B492570" w14:textId="19F8E828" w:rsidR="00ED35E1" w:rsidRPr="004120A8" w:rsidRDefault="00ED35E1" w:rsidP="00F32287">
                            <w:pPr>
                              <w:numPr>
                                <w:ilvl w:val="0"/>
                                <w:numId w:val="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D4A20">
                              <w:rPr>
                                <w:rFonts w:ascii="Century Gothic" w:hAnsi="Century Gothic"/>
                                <w:sz w:val="18"/>
                                <w:szCs w:val="18"/>
                              </w:rPr>
                              <w:t>YE</w:t>
                            </w:r>
                            <w:r w:rsidR="007B320B">
                              <w:rPr>
                                <w:rFonts w:ascii="Century Gothic" w:hAnsi="Century Gothic"/>
                                <w:sz w:val="18"/>
                                <w:szCs w:val="18"/>
                              </w:rPr>
                              <w:t>S</w:t>
                            </w:r>
                            <w:r w:rsidR="00CD4A20">
                              <w:rPr>
                                <w:rFonts w:ascii="Century Gothic" w:hAnsi="Century Gothic"/>
                                <w:sz w:val="18"/>
                                <w:szCs w:val="18"/>
                              </w:rPr>
                              <w:t>/</w:t>
                            </w:r>
                            <w:r w:rsidRPr="004120A8">
                              <w:rPr>
                                <w:rFonts w:ascii="Century Gothic" w:hAnsi="Century Gothic"/>
                                <w:sz w:val="18"/>
                                <w:szCs w:val="18"/>
                              </w:rPr>
                              <w:t>NO</w:t>
                            </w:r>
                          </w:p>
                          <w:p w14:paraId="002DFA6E" w14:textId="5F7D675B" w:rsidR="00ED35E1" w:rsidRPr="004120A8" w:rsidRDefault="00ED35E1" w:rsidP="00F32287">
                            <w:pPr>
                              <w:numPr>
                                <w:ilvl w:val="0"/>
                                <w:numId w:val="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r w:rsidR="007B320B">
                              <w:rPr>
                                <w:rFonts w:ascii="Century Gothic" w:hAnsi="Century Gothic"/>
                                <w:sz w:val="18"/>
                                <w:szCs w:val="18"/>
                              </w:rPr>
                              <w:t>/NO</w:t>
                            </w:r>
                          </w:p>
                          <w:p w14:paraId="7EECFF09" w14:textId="77777777" w:rsidR="00ED35E1" w:rsidRPr="004120A8" w:rsidRDefault="00ED35E1" w:rsidP="00ED35E1">
                            <w:pPr>
                              <w:rPr>
                                <w:rFonts w:ascii="Century Gothic" w:hAnsi="Century Gothic"/>
                                <w:b/>
                                <w:sz w:val="18"/>
                                <w:szCs w:val="18"/>
                              </w:rPr>
                            </w:pPr>
                          </w:p>
                          <w:p w14:paraId="6500FB7F" w14:textId="77777777"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71BD2FB2" w14:textId="7EFD257A"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D417C3">
                              <w:rPr>
                                <w:rFonts w:ascii="Century Gothic" w:hAnsi="Century Gothic"/>
                                <w:b/>
                                <w:sz w:val="18"/>
                                <w:szCs w:val="18"/>
                              </w:rPr>
                              <w:t>SG DOS SANTOS</w:t>
                            </w:r>
                            <w:r w:rsidR="001D42EA">
                              <w:rPr>
                                <w:rFonts w:ascii="Century Gothic" w:hAnsi="Century Gothic"/>
                                <w:b/>
                                <w:sz w:val="18"/>
                                <w:szCs w:val="18"/>
                              </w:rPr>
                              <w:tab/>
                            </w:r>
                            <w:r w:rsidR="001D42EA">
                              <w:rPr>
                                <w:rFonts w:ascii="Century Gothic" w:hAnsi="Century Gothic"/>
                                <w:b/>
                                <w:sz w:val="18"/>
                                <w:szCs w:val="18"/>
                              </w:rPr>
                              <w:tab/>
                            </w:r>
                            <w:r w:rsidR="00FA5658">
                              <w:rPr>
                                <w:rFonts w:ascii="Century Gothic" w:hAnsi="Century Gothic"/>
                                <w:b/>
                                <w:sz w:val="18"/>
                                <w:szCs w:val="18"/>
                              </w:rPr>
                              <w:t xml:space="preserve">     </w:t>
                            </w:r>
                            <w:r w:rsidR="006005A7">
                              <w:rPr>
                                <w:rFonts w:ascii="Century Gothic" w:hAnsi="Century Gothic"/>
                                <w:b/>
                                <w:sz w:val="18"/>
                                <w:szCs w:val="18"/>
                              </w:rPr>
                              <w:t>15</w:t>
                            </w:r>
                            <w:r w:rsidR="00B95EDC">
                              <w:rPr>
                                <w:rFonts w:ascii="Century Gothic" w:hAnsi="Century Gothic"/>
                                <w:b/>
                                <w:sz w:val="18"/>
                                <w:szCs w:val="18"/>
                              </w:rPr>
                              <w:t xml:space="preserve"> </w:t>
                            </w:r>
                            <w:r w:rsidR="00D417C3">
                              <w:rPr>
                                <w:rFonts w:ascii="Century Gothic" w:hAnsi="Century Gothic"/>
                                <w:b/>
                                <w:sz w:val="18"/>
                                <w:szCs w:val="18"/>
                              </w:rPr>
                              <w:t>NOVEMBER</w:t>
                            </w:r>
                            <w:r w:rsidR="003C2C29" w:rsidRPr="00CA53DB">
                              <w:rPr>
                                <w:rFonts w:ascii="Century Gothic" w:hAnsi="Century Gothic"/>
                                <w:b/>
                                <w:sz w:val="18"/>
                                <w:szCs w:val="18"/>
                              </w:rPr>
                              <w:t xml:space="preserve"> 2023</w:t>
                            </w:r>
                          </w:p>
                          <w:p w14:paraId="01DBA379" w14:textId="77777777" w:rsidR="00ED35E1" w:rsidRPr="004120A8" w:rsidRDefault="00ED35E1" w:rsidP="00930263">
                            <w:pPr>
                              <w:ind w:left="0"/>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719C3BD"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396164ED" w14:textId="77777777" w:rsidR="00ED35E1" w:rsidRPr="004120A8" w:rsidRDefault="00ED35E1" w:rsidP="00ED35E1">
                      <w:pPr>
                        <w:jc w:val="center"/>
                        <w:rPr>
                          <w:rFonts w:ascii="Century Gothic" w:hAnsi="Century Gothic"/>
                          <w:b/>
                          <w:sz w:val="2"/>
                          <w:szCs w:val="18"/>
                        </w:rPr>
                      </w:pPr>
                    </w:p>
                    <w:p w14:paraId="6869BB73" w14:textId="1900416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00CD4A20">
                        <w:rPr>
                          <w:rFonts w:ascii="Century Gothic" w:hAnsi="Century Gothic"/>
                          <w:sz w:val="18"/>
                          <w:szCs w:val="18"/>
                        </w:rPr>
                        <w:t>YES/</w:t>
                      </w:r>
                      <w:r w:rsidRPr="004120A8">
                        <w:rPr>
                          <w:rFonts w:ascii="Century Gothic" w:hAnsi="Century Gothic"/>
                          <w:sz w:val="18"/>
                          <w:szCs w:val="18"/>
                        </w:rPr>
                        <w:t>NO</w:t>
                      </w:r>
                    </w:p>
                    <w:p w14:paraId="3B492570" w14:textId="19F8E828"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D4A20">
                        <w:rPr>
                          <w:rFonts w:ascii="Century Gothic" w:hAnsi="Century Gothic"/>
                          <w:sz w:val="18"/>
                          <w:szCs w:val="18"/>
                        </w:rPr>
                        <w:t>YE</w:t>
                      </w:r>
                      <w:r w:rsidR="007B320B">
                        <w:rPr>
                          <w:rFonts w:ascii="Century Gothic" w:hAnsi="Century Gothic"/>
                          <w:sz w:val="18"/>
                          <w:szCs w:val="18"/>
                        </w:rPr>
                        <w:t>S</w:t>
                      </w:r>
                      <w:r w:rsidR="00CD4A20">
                        <w:rPr>
                          <w:rFonts w:ascii="Century Gothic" w:hAnsi="Century Gothic"/>
                          <w:sz w:val="18"/>
                          <w:szCs w:val="18"/>
                        </w:rPr>
                        <w:t>/</w:t>
                      </w:r>
                      <w:r w:rsidRPr="004120A8">
                        <w:rPr>
                          <w:rFonts w:ascii="Century Gothic" w:hAnsi="Century Gothic"/>
                          <w:sz w:val="18"/>
                          <w:szCs w:val="18"/>
                        </w:rPr>
                        <w:t>NO</w:t>
                      </w:r>
                    </w:p>
                    <w:p w14:paraId="002DFA6E" w14:textId="5F7D675B"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r w:rsidR="007B320B">
                        <w:rPr>
                          <w:rFonts w:ascii="Century Gothic" w:hAnsi="Century Gothic"/>
                          <w:sz w:val="18"/>
                          <w:szCs w:val="18"/>
                        </w:rPr>
                        <w:t>/NO</w:t>
                      </w:r>
                    </w:p>
                    <w:p w14:paraId="7EECFF09" w14:textId="77777777" w:rsidR="00ED35E1" w:rsidRPr="004120A8" w:rsidRDefault="00ED35E1" w:rsidP="00ED35E1">
                      <w:pPr>
                        <w:rPr>
                          <w:rFonts w:ascii="Century Gothic" w:hAnsi="Century Gothic"/>
                          <w:b/>
                          <w:sz w:val="18"/>
                          <w:szCs w:val="18"/>
                        </w:rPr>
                      </w:pPr>
                    </w:p>
                    <w:p w14:paraId="6500FB7F" w14:textId="77777777"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71BD2FB2" w14:textId="7EFD257A"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D417C3">
                        <w:rPr>
                          <w:rFonts w:ascii="Century Gothic" w:hAnsi="Century Gothic"/>
                          <w:b/>
                          <w:sz w:val="18"/>
                          <w:szCs w:val="18"/>
                        </w:rPr>
                        <w:t>SG DOS SANTOS</w:t>
                      </w:r>
                      <w:r w:rsidR="001D42EA">
                        <w:rPr>
                          <w:rFonts w:ascii="Century Gothic" w:hAnsi="Century Gothic"/>
                          <w:b/>
                          <w:sz w:val="18"/>
                          <w:szCs w:val="18"/>
                        </w:rPr>
                        <w:tab/>
                      </w:r>
                      <w:r w:rsidR="001D42EA">
                        <w:rPr>
                          <w:rFonts w:ascii="Century Gothic" w:hAnsi="Century Gothic"/>
                          <w:b/>
                          <w:sz w:val="18"/>
                          <w:szCs w:val="18"/>
                        </w:rPr>
                        <w:tab/>
                      </w:r>
                      <w:r w:rsidR="00FA5658">
                        <w:rPr>
                          <w:rFonts w:ascii="Century Gothic" w:hAnsi="Century Gothic"/>
                          <w:b/>
                          <w:sz w:val="18"/>
                          <w:szCs w:val="18"/>
                        </w:rPr>
                        <w:t xml:space="preserve">     </w:t>
                      </w:r>
                      <w:r w:rsidR="006005A7">
                        <w:rPr>
                          <w:rFonts w:ascii="Century Gothic" w:hAnsi="Century Gothic"/>
                          <w:b/>
                          <w:sz w:val="18"/>
                          <w:szCs w:val="18"/>
                        </w:rPr>
                        <w:t>15</w:t>
                      </w:r>
                      <w:r w:rsidR="00B95EDC">
                        <w:rPr>
                          <w:rFonts w:ascii="Century Gothic" w:hAnsi="Century Gothic"/>
                          <w:b/>
                          <w:sz w:val="18"/>
                          <w:szCs w:val="18"/>
                        </w:rPr>
                        <w:t xml:space="preserve"> </w:t>
                      </w:r>
                      <w:r w:rsidR="00D417C3">
                        <w:rPr>
                          <w:rFonts w:ascii="Century Gothic" w:hAnsi="Century Gothic"/>
                          <w:b/>
                          <w:sz w:val="18"/>
                          <w:szCs w:val="18"/>
                        </w:rPr>
                        <w:t>NOVEMBER</w:t>
                      </w:r>
                      <w:r w:rsidR="003C2C29" w:rsidRPr="00CA53DB">
                        <w:rPr>
                          <w:rFonts w:ascii="Century Gothic" w:hAnsi="Century Gothic"/>
                          <w:b/>
                          <w:sz w:val="18"/>
                          <w:szCs w:val="18"/>
                        </w:rPr>
                        <w:t xml:space="preserve"> 2023</w:t>
                      </w:r>
                    </w:p>
                    <w:p w14:paraId="01DBA379" w14:textId="77777777" w:rsidR="00ED35E1" w:rsidRPr="004120A8" w:rsidRDefault="00ED35E1" w:rsidP="00930263">
                      <w:pPr>
                        <w:ind w:left="0"/>
                        <w:rPr>
                          <w:rFonts w:ascii="Century Gothic" w:hAnsi="Century Gothic"/>
                          <w:b/>
                          <w:sz w:val="2"/>
                          <w:szCs w:val="18"/>
                        </w:rPr>
                      </w:pPr>
                    </w:p>
                  </w:txbxContent>
                </v:textbox>
                <w10:wrap type="topAndBottom" anchorx="margin" anchory="page"/>
              </v:shape>
            </w:pict>
          </mc:Fallback>
        </mc:AlternateContent>
      </w:r>
    </w:p>
    <w:p w14:paraId="051AB456" w14:textId="77777777" w:rsidR="00564266" w:rsidRPr="0028747A" w:rsidRDefault="00564266" w:rsidP="00F9182F">
      <w:pPr>
        <w:spacing w:after="0" w:line="276" w:lineRule="auto"/>
        <w:ind w:left="0"/>
        <w:jc w:val="left"/>
        <w:rPr>
          <w:rFonts w:ascii="Arial" w:eastAsia="Times New Roman" w:hAnsi="Arial" w:cs="Arial"/>
          <w:b/>
          <w:sz w:val="22"/>
        </w:rPr>
      </w:pPr>
      <w:r w:rsidRPr="0028747A">
        <w:rPr>
          <w:rFonts w:ascii="Arial" w:eastAsia="Times New Roman" w:hAnsi="Arial" w:cs="Arial"/>
          <w:b/>
          <w:sz w:val="22"/>
        </w:rPr>
        <w:tab/>
      </w:r>
      <w:r w:rsidRPr="0028747A">
        <w:rPr>
          <w:rFonts w:ascii="Arial" w:eastAsia="Times New Roman" w:hAnsi="Arial" w:cs="Arial"/>
          <w:b/>
          <w:sz w:val="22"/>
        </w:rPr>
        <w:tab/>
      </w:r>
      <w:r w:rsidRPr="0028747A">
        <w:rPr>
          <w:rFonts w:ascii="Arial" w:eastAsia="Times New Roman" w:hAnsi="Arial" w:cs="Arial"/>
          <w:b/>
          <w:sz w:val="22"/>
        </w:rPr>
        <w:tab/>
      </w:r>
      <w:r w:rsidRPr="0028747A">
        <w:rPr>
          <w:rFonts w:ascii="Arial" w:eastAsia="Times New Roman" w:hAnsi="Arial" w:cs="Arial"/>
          <w:b/>
          <w:sz w:val="22"/>
        </w:rPr>
        <w:tab/>
      </w:r>
      <w:r w:rsidRPr="0028747A">
        <w:rPr>
          <w:rFonts w:ascii="Arial" w:eastAsia="Times New Roman" w:hAnsi="Arial" w:cs="Arial"/>
          <w:b/>
          <w:sz w:val="22"/>
        </w:rPr>
        <w:tab/>
      </w:r>
      <w:r w:rsidRPr="0028747A">
        <w:rPr>
          <w:rFonts w:ascii="Arial" w:eastAsia="Times New Roman" w:hAnsi="Arial" w:cs="Arial"/>
          <w:b/>
          <w:sz w:val="22"/>
        </w:rPr>
        <w:tab/>
      </w:r>
      <w:r w:rsidRPr="0028747A">
        <w:rPr>
          <w:rFonts w:ascii="Arial" w:eastAsia="Times New Roman" w:hAnsi="Arial" w:cs="Arial"/>
          <w:b/>
          <w:sz w:val="22"/>
        </w:rPr>
        <w:tab/>
        <w:t xml:space="preserve">     </w:t>
      </w:r>
    </w:p>
    <w:p w14:paraId="6C84F240" w14:textId="77777777" w:rsidR="00CB5402" w:rsidRPr="0028747A" w:rsidRDefault="00CB5402" w:rsidP="00F9182F">
      <w:pPr>
        <w:spacing w:after="0" w:line="276" w:lineRule="auto"/>
        <w:ind w:left="0"/>
        <w:rPr>
          <w:rFonts w:ascii="Arial" w:eastAsia="Times New Roman" w:hAnsi="Arial" w:cs="Arial"/>
          <w:sz w:val="22"/>
          <w:lang w:eastAsia="en-US"/>
        </w:rPr>
      </w:pPr>
      <w:r w:rsidRPr="0028747A">
        <w:rPr>
          <w:rFonts w:ascii="Arial" w:eastAsia="Times New Roman" w:hAnsi="Arial" w:cs="Arial"/>
          <w:sz w:val="22"/>
        </w:rPr>
        <w:t>In the matter between:</w:t>
      </w:r>
    </w:p>
    <w:p w14:paraId="434E6521" w14:textId="77777777" w:rsidR="00785619" w:rsidRPr="0028747A" w:rsidRDefault="00785619" w:rsidP="00F9182F">
      <w:pPr>
        <w:spacing w:after="0" w:line="276" w:lineRule="auto"/>
        <w:ind w:left="0"/>
        <w:rPr>
          <w:rFonts w:ascii="Arial" w:eastAsia="Times New Roman" w:hAnsi="Arial" w:cs="Arial"/>
          <w:b/>
          <w:sz w:val="22"/>
        </w:rPr>
      </w:pPr>
    </w:p>
    <w:p w14:paraId="751EB6DC" w14:textId="7FC2A928" w:rsidR="00552D02" w:rsidRPr="0028747A" w:rsidRDefault="00A208C2" w:rsidP="00552D02">
      <w:pPr>
        <w:tabs>
          <w:tab w:val="left" w:pos="360"/>
        </w:tabs>
        <w:spacing w:line="360" w:lineRule="auto"/>
        <w:rPr>
          <w:rFonts w:ascii="Arial" w:hAnsi="Arial" w:cs="Arial"/>
          <w:b/>
          <w:sz w:val="22"/>
        </w:rPr>
      </w:pPr>
      <w:r w:rsidRPr="0028747A">
        <w:rPr>
          <w:rFonts w:ascii="Arial" w:hAnsi="Arial" w:cs="Arial"/>
          <w:b/>
          <w:sz w:val="22"/>
        </w:rPr>
        <w:t>L</w:t>
      </w:r>
      <w:r w:rsidR="00C74F7F">
        <w:rPr>
          <w:rFonts w:ascii="Arial" w:hAnsi="Arial" w:cs="Arial"/>
          <w:b/>
          <w:sz w:val="22"/>
        </w:rPr>
        <w:t>[…]</w:t>
      </w:r>
      <w:r w:rsidRPr="0028747A">
        <w:rPr>
          <w:rFonts w:ascii="Arial" w:hAnsi="Arial" w:cs="Arial"/>
          <w:b/>
          <w:sz w:val="22"/>
        </w:rPr>
        <w:t xml:space="preserve"> C</w:t>
      </w:r>
      <w:r w:rsidR="00C74F7F">
        <w:rPr>
          <w:rFonts w:ascii="Arial" w:hAnsi="Arial" w:cs="Arial"/>
          <w:b/>
          <w:sz w:val="22"/>
        </w:rPr>
        <w:t>[…]</w:t>
      </w:r>
      <w:r w:rsidR="00C74F7F">
        <w:rPr>
          <w:rFonts w:ascii="Arial" w:hAnsi="Arial" w:cs="Arial"/>
          <w:b/>
          <w:sz w:val="22"/>
        </w:rPr>
        <w:tab/>
      </w:r>
      <w:r w:rsidR="00C74F7F">
        <w:rPr>
          <w:rFonts w:ascii="Arial" w:hAnsi="Arial" w:cs="Arial"/>
          <w:b/>
          <w:sz w:val="22"/>
        </w:rPr>
        <w:tab/>
      </w:r>
      <w:r w:rsidRPr="0028747A">
        <w:rPr>
          <w:rFonts w:ascii="Arial" w:hAnsi="Arial" w:cs="Arial"/>
          <w:b/>
          <w:sz w:val="22"/>
        </w:rPr>
        <w:tab/>
      </w:r>
      <w:r w:rsidR="00552D02" w:rsidRPr="0028747A">
        <w:rPr>
          <w:rFonts w:ascii="Arial" w:hAnsi="Arial" w:cs="Arial"/>
          <w:b/>
          <w:sz w:val="22"/>
        </w:rPr>
        <w:tab/>
      </w:r>
      <w:r w:rsidR="00552D02" w:rsidRPr="0028747A">
        <w:rPr>
          <w:rFonts w:ascii="Arial" w:hAnsi="Arial" w:cs="Arial"/>
          <w:b/>
          <w:sz w:val="22"/>
        </w:rPr>
        <w:tab/>
      </w:r>
      <w:r w:rsidR="00552D02" w:rsidRPr="0028747A">
        <w:rPr>
          <w:rFonts w:ascii="Arial" w:hAnsi="Arial" w:cs="Arial"/>
          <w:b/>
          <w:sz w:val="22"/>
        </w:rPr>
        <w:tab/>
      </w:r>
      <w:r w:rsidR="00552D02" w:rsidRPr="0028747A">
        <w:rPr>
          <w:rFonts w:ascii="Arial" w:hAnsi="Arial" w:cs="Arial"/>
          <w:b/>
          <w:sz w:val="22"/>
        </w:rPr>
        <w:tab/>
      </w:r>
      <w:r w:rsidR="00552D02" w:rsidRPr="0028747A">
        <w:rPr>
          <w:rFonts w:ascii="Arial" w:hAnsi="Arial" w:cs="Arial"/>
          <w:b/>
          <w:sz w:val="22"/>
        </w:rPr>
        <w:tab/>
      </w:r>
      <w:r w:rsidR="00552D02" w:rsidRPr="0028747A">
        <w:rPr>
          <w:rFonts w:ascii="Arial" w:hAnsi="Arial" w:cs="Arial"/>
          <w:b/>
          <w:sz w:val="22"/>
        </w:rPr>
        <w:tab/>
        <w:t xml:space="preserve">                     </w:t>
      </w:r>
      <w:r w:rsidR="00D417C3" w:rsidRPr="0028747A">
        <w:rPr>
          <w:rFonts w:ascii="Arial" w:hAnsi="Arial" w:cs="Arial"/>
          <w:b/>
          <w:sz w:val="22"/>
        </w:rPr>
        <w:t>Applicant</w:t>
      </w:r>
      <w:r w:rsidR="00552D02" w:rsidRPr="0028747A">
        <w:rPr>
          <w:rFonts w:ascii="Arial" w:hAnsi="Arial" w:cs="Arial"/>
          <w:b/>
          <w:sz w:val="22"/>
        </w:rPr>
        <w:t xml:space="preserve"> </w:t>
      </w:r>
    </w:p>
    <w:p w14:paraId="3659F9A7" w14:textId="77777777" w:rsidR="00552D02" w:rsidRPr="0028747A" w:rsidRDefault="00552D02" w:rsidP="00552D02">
      <w:pPr>
        <w:tabs>
          <w:tab w:val="left" w:pos="360"/>
        </w:tabs>
        <w:spacing w:line="360" w:lineRule="auto"/>
        <w:rPr>
          <w:rFonts w:ascii="Arial" w:hAnsi="Arial" w:cs="Arial"/>
          <w:b/>
          <w:sz w:val="22"/>
        </w:rPr>
      </w:pPr>
    </w:p>
    <w:p w14:paraId="34CB4C84" w14:textId="77777777" w:rsidR="00552D02" w:rsidRPr="0028747A" w:rsidRDefault="00552D02" w:rsidP="00552D02">
      <w:pPr>
        <w:tabs>
          <w:tab w:val="left" w:pos="360"/>
        </w:tabs>
        <w:spacing w:line="360" w:lineRule="auto"/>
        <w:rPr>
          <w:rFonts w:ascii="Arial" w:hAnsi="Arial" w:cs="Arial"/>
          <w:b/>
          <w:sz w:val="22"/>
        </w:rPr>
      </w:pPr>
      <w:r w:rsidRPr="0028747A">
        <w:rPr>
          <w:rFonts w:ascii="Arial" w:hAnsi="Arial" w:cs="Arial"/>
          <w:b/>
          <w:sz w:val="22"/>
        </w:rPr>
        <w:t xml:space="preserve">and </w:t>
      </w:r>
    </w:p>
    <w:p w14:paraId="76433D6A" w14:textId="77777777" w:rsidR="00552D02" w:rsidRPr="0028747A" w:rsidRDefault="00552D02" w:rsidP="00552D02">
      <w:pPr>
        <w:tabs>
          <w:tab w:val="left" w:pos="360"/>
        </w:tabs>
        <w:spacing w:line="360" w:lineRule="auto"/>
        <w:rPr>
          <w:rFonts w:ascii="Arial" w:hAnsi="Arial" w:cs="Arial"/>
          <w:b/>
          <w:sz w:val="22"/>
        </w:rPr>
      </w:pPr>
    </w:p>
    <w:p w14:paraId="2E0C601D" w14:textId="7992B4A7" w:rsidR="0064098D" w:rsidRPr="0028747A" w:rsidRDefault="00A208C2" w:rsidP="00552D02">
      <w:pPr>
        <w:tabs>
          <w:tab w:val="left" w:pos="360"/>
        </w:tabs>
        <w:spacing w:line="360" w:lineRule="auto"/>
        <w:rPr>
          <w:rFonts w:ascii="Arial" w:hAnsi="Arial" w:cs="Arial"/>
          <w:b/>
          <w:sz w:val="22"/>
        </w:rPr>
      </w:pPr>
      <w:r w:rsidRPr="0028747A">
        <w:rPr>
          <w:rFonts w:ascii="Arial" w:hAnsi="Arial" w:cs="Arial"/>
          <w:b/>
          <w:sz w:val="22"/>
        </w:rPr>
        <w:t>L</w:t>
      </w:r>
      <w:r w:rsidR="00C74F7F">
        <w:rPr>
          <w:rFonts w:ascii="Arial" w:hAnsi="Arial" w:cs="Arial"/>
          <w:b/>
          <w:sz w:val="22"/>
        </w:rPr>
        <w:t>[…]</w:t>
      </w:r>
      <w:r w:rsidRPr="0028747A">
        <w:rPr>
          <w:rFonts w:ascii="Arial" w:hAnsi="Arial" w:cs="Arial"/>
          <w:b/>
          <w:sz w:val="22"/>
        </w:rPr>
        <w:t xml:space="preserve"> C</w:t>
      </w:r>
      <w:r w:rsidR="00C74F7F">
        <w:rPr>
          <w:rFonts w:ascii="Arial" w:hAnsi="Arial" w:cs="Arial"/>
          <w:b/>
          <w:sz w:val="22"/>
        </w:rPr>
        <w:t>[…]</w:t>
      </w:r>
      <w:r w:rsidR="00C74F7F">
        <w:rPr>
          <w:rFonts w:ascii="Arial" w:hAnsi="Arial" w:cs="Arial"/>
          <w:b/>
          <w:sz w:val="22"/>
        </w:rPr>
        <w:tab/>
      </w:r>
      <w:r w:rsidR="00C74F7F">
        <w:rPr>
          <w:rFonts w:ascii="Arial" w:hAnsi="Arial" w:cs="Arial"/>
          <w:b/>
          <w:sz w:val="22"/>
        </w:rPr>
        <w:tab/>
      </w:r>
      <w:r w:rsidR="00C74F7F">
        <w:rPr>
          <w:rFonts w:ascii="Arial" w:hAnsi="Arial" w:cs="Arial"/>
          <w:b/>
          <w:sz w:val="22"/>
        </w:rPr>
        <w:tab/>
      </w:r>
      <w:r w:rsidR="00C74F7F">
        <w:rPr>
          <w:rFonts w:ascii="Arial" w:hAnsi="Arial" w:cs="Arial"/>
          <w:b/>
          <w:sz w:val="22"/>
        </w:rPr>
        <w:tab/>
      </w:r>
      <w:r w:rsidR="00552D02" w:rsidRPr="0028747A">
        <w:rPr>
          <w:rFonts w:ascii="Arial" w:hAnsi="Arial" w:cs="Arial"/>
          <w:b/>
          <w:sz w:val="22"/>
        </w:rPr>
        <w:t xml:space="preserve">     </w:t>
      </w:r>
      <w:r w:rsidR="00552D02" w:rsidRPr="0028747A">
        <w:rPr>
          <w:rFonts w:ascii="Arial" w:hAnsi="Arial" w:cs="Arial"/>
          <w:b/>
          <w:sz w:val="22"/>
        </w:rPr>
        <w:tab/>
      </w:r>
      <w:r w:rsidR="00552D02" w:rsidRPr="0028747A">
        <w:rPr>
          <w:rFonts w:ascii="Arial" w:hAnsi="Arial" w:cs="Arial"/>
          <w:b/>
          <w:sz w:val="22"/>
        </w:rPr>
        <w:tab/>
      </w:r>
      <w:r w:rsidR="00552D02" w:rsidRPr="0028747A">
        <w:rPr>
          <w:rFonts w:ascii="Arial" w:hAnsi="Arial" w:cs="Arial"/>
          <w:b/>
          <w:sz w:val="22"/>
        </w:rPr>
        <w:tab/>
        <w:t xml:space="preserve">      </w:t>
      </w:r>
      <w:r w:rsidR="00240C39" w:rsidRPr="0028747A">
        <w:rPr>
          <w:rFonts w:ascii="Arial" w:hAnsi="Arial" w:cs="Arial"/>
          <w:b/>
          <w:sz w:val="22"/>
        </w:rPr>
        <w:tab/>
      </w:r>
      <w:r w:rsidR="00240C39" w:rsidRPr="0028747A">
        <w:rPr>
          <w:rFonts w:ascii="Arial" w:hAnsi="Arial" w:cs="Arial"/>
          <w:b/>
          <w:sz w:val="22"/>
        </w:rPr>
        <w:tab/>
        <w:t xml:space="preserve">       </w:t>
      </w:r>
      <w:r w:rsidR="00552D02" w:rsidRPr="0028747A">
        <w:rPr>
          <w:rFonts w:ascii="Arial" w:hAnsi="Arial" w:cs="Arial"/>
          <w:b/>
          <w:sz w:val="22"/>
        </w:rPr>
        <w:t xml:space="preserve"> </w:t>
      </w:r>
      <w:r w:rsidR="00D417C3" w:rsidRPr="0028747A">
        <w:rPr>
          <w:rFonts w:ascii="Arial" w:hAnsi="Arial" w:cs="Arial"/>
          <w:b/>
          <w:sz w:val="22"/>
        </w:rPr>
        <w:tab/>
        <w:t xml:space="preserve">     Respondent</w:t>
      </w:r>
    </w:p>
    <w:p w14:paraId="189F305B" w14:textId="77777777" w:rsidR="00D417C3" w:rsidRPr="0028747A" w:rsidRDefault="00D417C3" w:rsidP="00552D02">
      <w:pPr>
        <w:tabs>
          <w:tab w:val="left" w:pos="360"/>
        </w:tabs>
        <w:spacing w:line="360" w:lineRule="auto"/>
        <w:rPr>
          <w:rFonts w:ascii="Arial" w:hAnsi="Arial" w:cs="Arial"/>
          <w:b/>
          <w:sz w:val="22"/>
        </w:rPr>
      </w:pPr>
    </w:p>
    <w:p w14:paraId="64950A21" w14:textId="390BB736" w:rsidR="00785619" w:rsidRPr="0028747A" w:rsidRDefault="00785619" w:rsidP="00930263">
      <w:pPr>
        <w:spacing w:after="0" w:line="276" w:lineRule="auto"/>
        <w:ind w:left="0"/>
        <w:rPr>
          <w:rFonts w:ascii="Arial" w:eastAsia="Times New Roman" w:hAnsi="Arial" w:cs="Arial"/>
          <w:sz w:val="22"/>
        </w:rPr>
      </w:pPr>
      <w:r w:rsidRPr="0028747A">
        <w:rPr>
          <w:rFonts w:ascii="Arial" w:eastAsia="Times New Roman" w:hAnsi="Arial" w:cs="Arial"/>
          <w:sz w:val="22"/>
        </w:rPr>
        <w:t>_________________________________________________________________________</w:t>
      </w:r>
      <w:r w:rsidR="00930263" w:rsidRPr="0028747A">
        <w:rPr>
          <w:rFonts w:ascii="Arial" w:eastAsia="Times New Roman" w:hAnsi="Arial" w:cs="Arial"/>
          <w:sz w:val="22"/>
        </w:rPr>
        <w:t>_____</w:t>
      </w:r>
    </w:p>
    <w:p w14:paraId="06A28395" w14:textId="77777777" w:rsidR="00930263" w:rsidRPr="0028747A" w:rsidRDefault="00930263" w:rsidP="00930263">
      <w:pPr>
        <w:spacing w:after="0" w:line="276" w:lineRule="auto"/>
        <w:ind w:left="0"/>
        <w:rPr>
          <w:rFonts w:ascii="Arial" w:eastAsia="Times New Roman" w:hAnsi="Arial" w:cs="Arial"/>
          <w:sz w:val="22"/>
        </w:rPr>
      </w:pPr>
    </w:p>
    <w:p w14:paraId="44B27518" w14:textId="77777777" w:rsidR="00785619" w:rsidRPr="0028747A" w:rsidRDefault="00785619" w:rsidP="00B95EDC">
      <w:pPr>
        <w:spacing w:after="0" w:line="276" w:lineRule="auto"/>
        <w:ind w:left="0"/>
        <w:jc w:val="center"/>
        <w:rPr>
          <w:rFonts w:ascii="Arial" w:eastAsia="Times New Roman" w:hAnsi="Arial" w:cs="Arial"/>
          <w:b/>
          <w:sz w:val="22"/>
        </w:rPr>
      </w:pPr>
      <w:r w:rsidRPr="0028747A">
        <w:rPr>
          <w:rFonts w:ascii="Arial" w:eastAsia="Times New Roman" w:hAnsi="Arial" w:cs="Arial"/>
          <w:b/>
          <w:sz w:val="22"/>
        </w:rPr>
        <w:t>JUDGMENT</w:t>
      </w:r>
    </w:p>
    <w:p w14:paraId="5EDC6BB8" w14:textId="5D2C6A0A" w:rsidR="00564266" w:rsidRPr="0028747A" w:rsidRDefault="00785619" w:rsidP="00F9182F">
      <w:pPr>
        <w:spacing w:after="0" w:line="276" w:lineRule="auto"/>
        <w:ind w:left="0"/>
        <w:rPr>
          <w:rFonts w:ascii="Arial" w:eastAsia="Times New Roman" w:hAnsi="Arial" w:cs="Arial"/>
          <w:sz w:val="22"/>
        </w:rPr>
      </w:pPr>
      <w:r w:rsidRPr="0028747A">
        <w:rPr>
          <w:rFonts w:ascii="Arial" w:eastAsia="Times New Roman" w:hAnsi="Arial" w:cs="Arial"/>
          <w:sz w:val="22"/>
        </w:rPr>
        <w:t>_________________________________________________________________________</w:t>
      </w:r>
      <w:r w:rsidR="00930263" w:rsidRPr="0028747A">
        <w:rPr>
          <w:rFonts w:ascii="Arial" w:eastAsia="Times New Roman" w:hAnsi="Arial" w:cs="Arial"/>
          <w:sz w:val="22"/>
        </w:rPr>
        <w:t>_____</w:t>
      </w:r>
    </w:p>
    <w:p w14:paraId="19EB9447" w14:textId="77777777" w:rsidR="00930263" w:rsidRPr="0028747A" w:rsidRDefault="00930263" w:rsidP="00F9182F">
      <w:pPr>
        <w:spacing w:after="0" w:line="276" w:lineRule="auto"/>
        <w:ind w:left="0"/>
        <w:rPr>
          <w:rFonts w:ascii="Arial" w:eastAsia="Times New Roman" w:hAnsi="Arial" w:cs="Arial"/>
          <w:sz w:val="22"/>
        </w:rPr>
      </w:pPr>
    </w:p>
    <w:p w14:paraId="491D6469" w14:textId="4194D554" w:rsidR="00543B35" w:rsidRPr="0028747A" w:rsidRDefault="00D417C3" w:rsidP="008B1FC0">
      <w:pPr>
        <w:spacing w:after="0" w:line="276" w:lineRule="auto"/>
        <w:ind w:left="0"/>
        <w:rPr>
          <w:rFonts w:ascii="Arial" w:hAnsi="Arial" w:cs="Arial"/>
          <w:b/>
          <w:sz w:val="22"/>
          <w:u w:val="single"/>
        </w:rPr>
      </w:pPr>
      <w:r w:rsidRPr="0028747A">
        <w:rPr>
          <w:rFonts w:ascii="Arial" w:hAnsi="Arial" w:cs="Arial"/>
          <w:b/>
          <w:sz w:val="22"/>
          <w:u w:val="single"/>
        </w:rPr>
        <w:t>DOS SANTOS</w:t>
      </w:r>
      <w:r w:rsidR="002C6721" w:rsidRPr="0028747A">
        <w:rPr>
          <w:rFonts w:ascii="Arial" w:hAnsi="Arial" w:cs="Arial"/>
          <w:b/>
          <w:sz w:val="22"/>
          <w:u w:val="single"/>
        </w:rPr>
        <w:t xml:space="preserve"> AJ</w:t>
      </w:r>
    </w:p>
    <w:p w14:paraId="05C8DA93" w14:textId="08162800" w:rsidR="00543B35" w:rsidRPr="0028747A" w:rsidRDefault="00543B35">
      <w:pPr>
        <w:spacing w:after="160" w:line="259" w:lineRule="auto"/>
        <w:ind w:left="0"/>
        <w:jc w:val="left"/>
        <w:rPr>
          <w:rFonts w:ascii="Arial" w:hAnsi="Arial" w:cs="Arial"/>
          <w:b/>
          <w:sz w:val="22"/>
          <w:u w:val="single"/>
        </w:rPr>
      </w:pPr>
    </w:p>
    <w:p w14:paraId="3F0D9A2F" w14:textId="7FA56F99" w:rsidR="00194BC9" w:rsidRPr="0028747A" w:rsidRDefault="00543B35" w:rsidP="00F32287">
      <w:pPr>
        <w:pStyle w:val="ListParagraph"/>
        <w:keepLines/>
        <w:numPr>
          <w:ilvl w:val="0"/>
          <w:numId w:val="4"/>
        </w:numPr>
        <w:spacing w:before="240" w:after="360" w:line="276" w:lineRule="auto"/>
        <w:ind w:left="426" w:hanging="426"/>
        <w:contextualSpacing w:val="0"/>
        <w:rPr>
          <w:rFonts w:ascii="Arial" w:hAnsi="Arial" w:cs="Arial"/>
          <w:b/>
          <w:sz w:val="22"/>
        </w:rPr>
      </w:pPr>
      <w:r w:rsidRPr="0028747A">
        <w:rPr>
          <w:rFonts w:ascii="Arial" w:hAnsi="Arial" w:cs="Arial"/>
          <w:b/>
          <w:sz w:val="22"/>
        </w:rPr>
        <w:t>INTRODUCTION</w:t>
      </w:r>
    </w:p>
    <w:p w14:paraId="35B33C30" w14:textId="1264634B" w:rsidR="00A208C2" w:rsidRPr="0028747A" w:rsidRDefault="00543B35" w:rsidP="00F32287">
      <w:pPr>
        <w:pStyle w:val="ListParagraph"/>
        <w:keepLines/>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Th</w:t>
      </w:r>
      <w:r w:rsidR="00A208C2" w:rsidRPr="0028747A">
        <w:rPr>
          <w:rFonts w:ascii="Arial" w:eastAsiaTheme="minorHAnsi" w:hAnsi="Arial" w:cs="Arial"/>
          <w:color w:val="auto"/>
          <w:sz w:val="22"/>
          <w:lang w:val="en-AU" w:eastAsia="en-US"/>
        </w:rPr>
        <w:t xml:space="preserve">is is an </w:t>
      </w:r>
      <w:r w:rsidR="00AA084E" w:rsidRPr="0028747A">
        <w:rPr>
          <w:rFonts w:ascii="Arial" w:eastAsiaTheme="minorHAnsi" w:hAnsi="Arial" w:cs="Arial"/>
          <w:color w:val="auto"/>
          <w:sz w:val="22"/>
          <w:lang w:val="en-AU" w:eastAsia="en-US"/>
        </w:rPr>
        <w:t xml:space="preserve">opposed </w:t>
      </w:r>
      <w:r w:rsidR="00A208C2" w:rsidRPr="0028747A">
        <w:rPr>
          <w:rFonts w:ascii="Arial" w:eastAsiaTheme="minorHAnsi" w:hAnsi="Arial" w:cs="Arial"/>
          <w:color w:val="auto"/>
          <w:sz w:val="22"/>
          <w:lang w:val="en-AU" w:eastAsia="en-US"/>
        </w:rPr>
        <w:t xml:space="preserve">rescission </w:t>
      </w:r>
      <w:r w:rsidR="00D417C3" w:rsidRPr="0028747A">
        <w:rPr>
          <w:rFonts w:ascii="Arial" w:eastAsiaTheme="minorHAnsi" w:hAnsi="Arial" w:cs="Arial"/>
          <w:color w:val="auto"/>
          <w:sz w:val="22"/>
          <w:lang w:val="en-AU" w:eastAsia="en-US"/>
        </w:rPr>
        <w:t>application</w:t>
      </w:r>
      <w:r w:rsidR="00A208C2" w:rsidRPr="0028747A">
        <w:rPr>
          <w:rFonts w:ascii="Arial" w:eastAsiaTheme="minorHAnsi" w:hAnsi="Arial" w:cs="Arial"/>
          <w:color w:val="auto"/>
          <w:sz w:val="22"/>
          <w:lang w:val="en-AU" w:eastAsia="en-US"/>
        </w:rPr>
        <w:t>. The applicant seeks to rescind and/or set aside the contempt of court order granted by Acting Justice Moorcraft. The contempt of court order, being an order of this Court, was granted on 11 October 2022 under case number 34367/2019.</w:t>
      </w:r>
    </w:p>
    <w:p w14:paraId="6612D3C2" w14:textId="4CD2FA17" w:rsidR="00943D01" w:rsidRPr="0028747A" w:rsidRDefault="00A208C2" w:rsidP="00F32287">
      <w:pPr>
        <w:pStyle w:val="ListParagraph"/>
        <w:keepLines/>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 xml:space="preserve">The rescission application is brought </w:t>
      </w:r>
      <w:r w:rsidR="00FE299E" w:rsidRPr="0028747A">
        <w:rPr>
          <w:rFonts w:ascii="Arial" w:eastAsiaTheme="minorHAnsi" w:hAnsi="Arial" w:cs="Arial"/>
          <w:color w:val="auto"/>
          <w:sz w:val="22"/>
          <w:lang w:val="en-AU" w:eastAsia="en-US"/>
        </w:rPr>
        <w:t xml:space="preserve">on two grounds, being </w:t>
      </w:r>
      <w:r w:rsidR="006005A7" w:rsidRPr="0028747A">
        <w:rPr>
          <w:rFonts w:ascii="Arial" w:eastAsiaTheme="minorHAnsi" w:hAnsi="Arial" w:cs="Arial"/>
          <w:color w:val="auto"/>
          <w:sz w:val="22"/>
          <w:lang w:val="en-AU" w:eastAsia="en-US"/>
        </w:rPr>
        <w:t>R</w:t>
      </w:r>
      <w:r w:rsidRPr="0028747A">
        <w:rPr>
          <w:rFonts w:ascii="Arial" w:eastAsiaTheme="minorHAnsi" w:hAnsi="Arial" w:cs="Arial"/>
          <w:color w:val="auto"/>
          <w:sz w:val="22"/>
          <w:lang w:val="en-AU" w:eastAsia="en-US"/>
        </w:rPr>
        <w:t>ule 42(1)(c) and the common law</w:t>
      </w:r>
      <w:r w:rsidR="002E1777" w:rsidRPr="0028747A">
        <w:rPr>
          <w:rFonts w:ascii="Arial" w:eastAsiaTheme="minorHAnsi" w:hAnsi="Arial" w:cs="Arial"/>
          <w:color w:val="auto"/>
          <w:sz w:val="22"/>
          <w:lang w:val="en-AU" w:eastAsia="en-US"/>
        </w:rPr>
        <w:t xml:space="preserve">. </w:t>
      </w:r>
    </w:p>
    <w:p w14:paraId="50228E6A" w14:textId="15833848" w:rsidR="00941BE5" w:rsidRPr="0028747A" w:rsidRDefault="002E1777" w:rsidP="00F32287">
      <w:pPr>
        <w:pStyle w:val="ListParagraph"/>
        <w:keepLines/>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The common law ground relied upon by the applicant is that a</w:t>
      </w:r>
      <w:r w:rsidR="007C210A" w:rsidRPr="0028747A">
        <w:rPr>
          <w:rFonts w:ascii="Arial" w:eastAsiaTheme="minorHAnsi" w:hAnsi="Arial" w:cs="Arial"/>
          <w:color w:val="auto"/>
          <w:sz w:val="22"/>
          <w:lang w:val="en-AU" w:eastAsia="en-US"/>
        </w:rPr>
        <w:t xml:space="preserve"> new document</w:t>
      </w:r>
      <w:r w:rsidRPr="0028747A">
        <w:rPr>
          <w:rFonts w:ascii="Arial" w:eastAsiaTheme="minorHAnsi" w:hAnsi="Arial" w:cs="Arial"/>
          <w:color w:val="auto"/>
          <w:sz w:val="22"/>
          <w:lang w:val="en-AU" w:eastAsia="en-US"/>
        </w:rPr>
        <w:t xml:space="preserve"> has been</w:t>
      </w:r>
      <w:r w:rsidR="008942B5" w:rsidRPr="0028747A">
        <w:rPr>
          <w:rFonts w:ascii="Arial" w:eastAsiaTheme="minorHAnsi" w:hAnsi="Arial" w:cs="Arial"/>
          <w:color w:val="auto"/>
          <w:sz w:val="22"/>
          <w:lang w:val="en-AU" w:eastAsia="en-US"/>
        </w:rPr>
        <w:t xml:space="preserve"> discovered</w:t>
      </w:r>
      <w:r w:rsidRPr="0028747A">
        <w:rPr>
          <w:rFonts w:ascii="Arial" w:eastAsiaTheme="minorHAnsi" w:hAnsi="Arial" w:cs="Arial"/>
          <w:color w:val="auto"/>
          <w:sz w:val="22"/>
          <w:lang w:val="en-AU" w:eastAsia="en-US"/>
        </w:rPr>
        <w:t xml:space="preserve"> </w:t>
      </w:r>
      <w:r w:rsidRPr="0028747A">
        <w:rPr>
          <w:rFonts w:ascii="Arial" w:eastAsiaTheme="minorHAnsi" w:hAnsi="Arial" w:cs="Arial"/>
          <w:i/>
          <w:iCs/>
          <w:color w:val="auto"/>
          <w:sz w:val="22"/>
          <w:lang w:val="en-AU" w:eastAsia="en-US"/>
        </w:rPr>
        <w:t>after</w:t>
      </w:r>
      <w:r w:rsidRPr="0028747A">
        <w:rPr>
          <w:rFonts w:ascii="Arial" w:eastAsiaTheme="minorHAnsi" w:hAnsi="Arial" w:cs="Arial"/>
          <w:color w:val="auto"/>
          <w:sz w:val="22"/>
          <w:lang w:val="en-AU" w:eastAsia="en-US"/>
        </w:rPr>
        <w:t xml:space="preserve"> the contempt of order was granted</w:t>
      </w:r>
      <w:r w:rsidR="00A208C2" w:rsidRPr="0028747A">
        <w:rPr>
          <w:rFonts w:ascii="Arial" w:eastAsiaTheme="minorHAnsi" w:hAnsi="Arial" w:cs="Arial"/>
          <w:color w:val="auto"/>
          <w:sz w:val="22"/>
          <w:lang w:val="en-AU" w:eastAsia="en-US"/>
        </w:rPr>
        <w:t xml:space="preserve">. </w:t>
      </w:r>
      <w:r w:rsidR="00D417C3" w:rsidRPr="0028747A">
        <w:rPr>
          <w:rFonts w:ascii="Arial" w:eastAsiaTheme="minorHAnsi" w:hAnsi="Arial" w:cs="Arial"/>
          <w:color w:val="auto"/>
          <w:sz w:val="22"/>
          <w:lang w:val="en-AU" w:eastAsia="en-US"/>
        </w:rPr>
        <w:t xml:space="preserve">I deal with </w:t>
      </w:r>
      <w:r w:rsidR="00A41CB1" w:rsidRPr="0028747A">
        <w:rPr>
          <w:rFonts w:ascii="Arial" w:eastAsiaTheme="minorHAnsi" w:hAnsi="Arial" w:cs="Arial"/>
          <w:color w:val="auto"/>
          <w:sz w:val="22"/>
          <w:lang w:val="en-AU" w:eastAsia="en-US"/>
        </w:rPr>
        <w:t xml:space="preserve">the </w:t>
      </w:r>
      <w:r w:rsidR="00A208C2" w:rsidRPr="0028747A">
        <w:rPr>
          <w:rFonts w:ascii="Arial" w:eastAsiaTheme="minorHAnsi" w:hAnsi="Arial" w:cs="Arial"/>
          <w:color w:val="auto"/>
          <w:sz w:val="22"/>
          <w:lang w:val="en-AU" w:eastAsia="en-US"/>
        </w:rPr>
        <w:t xml:space="preserve">different grounds of rescission </w:t>
      </w:r>
      <w:r w:rsidR="00D417C3" w:rsidRPr="0028747A">
        <w:rPr>
          <w:rFonts w:ascii="Arial" w:eastAsiaTheme="minorHAnsi" w:hAnsi="Arial" w:cs="Arial"/>
          <w:color w:val="auto"/>
          <w:sz w:val="22"/>
          <w:lang w:val="en-AU" w:eastAsia="en-US"/>
        </w:rPr>
        <w:t>in turn.</w:t>
      </w:r>
    </w:p>
    <w:p w14:paraId="57D31AA3" w14:textId="1E6C5ADA" w:rsidR="00F30F22" w:rsidRPr="0028747A" w:rsidRDefault="007C210A" w:rsidP="00F32287">
      <w:pPr>
        <w:pStyle w:val="ListParagraph"/>
        <w:keepLines/>
        <w:numPr>
          <w:ilvl w:val="0"/>
          <w:numId w:val="4"/>
        </w:numPr>
        <w:spacing w:before="240" w:after="360" w:line="276" w:lineRule="auto"/>
        <w:ind w:left="426" w:hanging="426"/>
        <w:contextualSpacing w:val="0"/>
        <w:rPr>
          <w:rFonts w:ascii="Arial" w:hAnsi="Arial" w:cs="Arial"/>
          <w:b/>
          <w:sz w:val="22"/>
        </w:rPr>
      </w:pPr>
      <w:bookmarkStart w:id="1" w:name="_Hlk150439991"/>
      <w:r w:rsidRPr="0028747A">
        <w:rPr>
          <w:rFonts w:ascii="Arial" w:hAnsi="Arial" w:cs="Arial"/>
          <w:b/>
          <w:sz w:val="22"/>
        </w:rPr>
        <w:t>THE RELEVANT CONTEXT</w:t>
      </w:r>
    </w:p>
    <w:p w14:paraId="4C1D480C" w14:textId="138FE4CF" w:rsidR="00A208C2" w:rsidRPr="0028747A" w:rsidRDefault="00F30F22"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applicant and the respondent </w:t>
      </w:r>
      <w:r w:rsidR="00A208C2" w:rsidRPr="0028747A">
        <w:rPr>
          <w:rFonts w:ascii="Arial" w:eastAsiaTheme="minorHAnsi" w:hAnsi="Arial" w:cs="Arial"/>
          <w:color w:val="auto"/>
          <w:sz w:val="22"/>
          <w:lang w:val="en-AU" w:eastAsia="en-US"/>
        </w:rPr>
        <w:t>are involved in divorce proceedings</w:t>
      </w:r>
      <w:r w:rsidR="00D55DFF" w:rsidRPr="0028747A">
        <w:rPr>
          <w:rFonts w:ascii="Arial" w:eastAsiaTheme="minorHAnsi" w:hAnsi="Arial" w:cs="Arial"/>
          <w:color w:val="auto"/>
          <w:sz w:val="22"/>
          <w:lang w:val="en-AU" w:eastAsia="en-US"/>
        </w:rPr>
        <w:t>. The divorce proceedings have not been finalised and</w:t>
      </w:r>
      <w:r w:rsidR="00A208C2" w:rsidRPr="0028747A">
        <w:rPr>
          <w:rFonts w:ascii="Arial" w:eastAsiaTheme="minorHAnsi" w:hAnsi="Arial" w:cs="Arial"/>
          <w:color w:val="auto"/>
          <w:sz w:val="22"/>
          <w:lang w:val="en-AU" w:eastAsia="en-US"/>
        </w:rPr>
        <w:t xml:space="preserve"> are presently pending in this Court. </w:t>
      </w:r>
    </w:p>
    <w:p w14:paraId="02453FD2" w14:textId="50A9DF5A" w:rsidR="00751CEC" w:rsidRPr="0028747A" w:rsidRDefault="00A208C2"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On 28 November 2019, Acting Justice Budlender granted an order in terms of Uniform Rule 43 (‘the Rule 43 Order’). The Rule 43 Order provides</w:t>
      </w:r>
      <w:r w:rsidR="001F5965" w:rsidRPr="0028747A">
        <w:rPr>
          <w:rFonts w:ascii="Arial" w:eastAsiaTheme="minorHAnsi" w:hAnsi="Arial" w:cs="Arial"/>
          <w:color w:val="auto"/>
          <w:sz w:val="22"/>
          <w:lang w:val="en-AU" w:eastAsia="en-US"/>
        </w:rPr>
        <w:t xml:space="preserve">, </w:t>
      </w:r>
      <w:r w:rsidR="001F5965" w:rsidRPr="0028747A">
        <w:rPr>
          <w:rFonts w:ascii="Arial" w:eastAsiaTheme="minorHAnsi" w:hAnsi="Arial" w:cs="Arial"/>
          <w:i/>
          <w:iCs/>
          <w:color w:val="auto"/>
          <w:sz w:val="22"/>
          <w:lang w:val="en-AU" w:eastAsia="en-US"/>
        </w:rPr>
        <w:t>pendente lite</w:t>
      </w:r>
      <w:r w:rsidR="001F5965"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 xml:space="preserve"> for, inter alia, maintenance</w:t>
      </w:r>
      <w:r w:rsidR="00081DC5" w:rsidRPr="0028747A">
        <w:rPr>
          <w:rFonts w:ascii="Arial" w:eastAsiaTheme="minorHAnsi" w:hAnsi="Arial" w:cs="Arial"/>
          <w:color w:val="auto"/>
          <w:sz w:val="22"/>
          <w:lang w:val="en-AU" w:eastAsia="en-US"/>
        </w:rPr>
        <w:t xml:space="preserve"> for the applicant and the minor child,</w:t>
      </w:r>
      <w:r w:rsidRPr="0028747A">
        <w:rPr>
          <w:rFonts w:ascii="Arial" w:eastAsiaTheme="minorHAnsi" w:hAnsi="Arial" w:cs="Arial"/>
          <w:color w:val="auto"/>
          <w:sz w:val="22"/>
          <w:lang w:val="en-AU" w:eastAsia="en-US"/>
        </w:rPr>
        <w:t xml:space="preserve"> </w:t>
      </w:r>
      <w:r w:rsidR="00081DC5" w:rsidRPr="0028747A">
        <w:rPr>
          <w:rFonts w:ascii="Arial" w:eastAsiaTheme="minorHAnsi" w:hAnsi="Arial" w:cs="Arial"/>
          <w:color w:val="auto"/>
          <w:sz w:val="22"/>
          <w:lang w:val="en-AU" w:eastAsia="en-US"/>
        </w:rPr>
        <w:t xml:space="preserve">residency, </w:t>
      </w:r>
      <w:r w:rsidRPr="0028747A">
        <w:rPr>
          <w:rFonts w:ascii="Arial" w:eastAsiaTheme="minorHAnsi" w:hAnsi="Arial" w:cs="Arial"/>
          <w:color w:val="auto"/>
          <w:sz w:val="22"/>
          <w:lang w:val="en-AU" w:eastAsia="en-US"/>
        </w:rPr>
        <w:t xml:space="preserve">care and contact with the minor child, </w:t>
      </w:r>
      <w:r w:rsidR="00081DC5" w:rsidRPr="0028747A">
        <w:rPr>
          <w:rFonts w:ascii="Arial" w:eastAsiaTheme="minorHAnsi" w:hAnsi="Arial" w:cs="Arial"/>
          <w:color w:val="auto"/>
          <w:sz w:val="22"/>
          <w:lang w:val="en-AU" w:eastAsia="en-US"/>
        </w:rPr>
        <w:t>and a contribution towards legal costs</w:t>
      </w:r>
      <w:r w:rsidR="001F5965" w:rsidRPr="0028747A">
        <w:rPr>
          <w:rFonts w:ascii="Arial" w:eastAsiaTheme="minorHAnsi" w:hAnsi="Arial" w:cs="Arial"/>
          <w:color w:val="auto"/>
          <w:sz w:val="22"/>
          <w:lang w:val="en-AU" w:eastAsia="en-US"/>
        </w:rPr>
        <w:t>.</w:t>
      </w:r>
      <w:r w:rsidR="00751CEC" w:rsidRPr="0028747A">
        <w:rPr>
          <w:rFonts w:ascii="Arial" w:eastAsiaTheme="minorHAnsi" w:hAnsi="Arial" w:cs="Arial"/>
          <w:color w:val="auto"/>
          <w:sz w:val="22"/>
          <w:lang w:val="en-AU" w:eastAsia="en-US"/>
        </w:rPr>
        <w:t xml:space="preserve"> The Rule 43 Order has, to date, not been set aside </w:t>
      </w:r>
      <w:r w:rsidR="00FE299E" w:rsidRPr="0028747A">
        <w:rPr>
          <w:rFonts w:ascii="Arial" w:eastAsiaTheme="minorHAnsi" w:hAnsi="Arial" w:cs="Arial"/>
          <w:color w:val="auto"/>
          <w:sz w:val="22"/>
          <w:lang w:val="en-AU" w:eastAsia="en-US"/>
        </w:rPr>
        <w:t xml:space="preserve">and/or varied </w:t>
      </w:r>
      <w:r w:rsidR="00751CEC" w:rsidRPr="0028747A">
        <w:rPr>
          <w:rFonts w:ascii="Arial" w:eastAsiaTheme="minorHAnsi" w:hAnsi="Arial" w:cs="Arial"/>
          <w:color w:val="auto"/>
          <w:sz w:val="22"/>
          <w:lang w:val="en-AU" w:eastAsia="en-US"/>
        </w:rPr>
        <w:t>by a competent court.</w:t>
      </w:r>
    </w:p>
    <w:p w14:paraId="4915969D" w14:textId="79A06B69" w:rsidR="00081DC5" w:rsidRPr="0028747A" w:rsidRDefault="00A208C2"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2022, the respondent instituted contempt of court proceedings a</w:t>
      </w:r>
      <w:r w:rsidR="00621FF6" w:rsidRPr="0028747A">
        <w:rPr>
          <w:rFonts w:ascii="Arial" w:eastAsiaTheme="minorHAnsi" w:hAnsi="Arial" w:cs="Arial"/>
          <w:color w:val="auto"/>
          <w:sz w:val="22"/>
          <w:lang w:val="en-AU" w:eastAsia="en-US"/>
        </w:rPr>
        <w:t>gainst the applicant for his failure to comply with the Rule 43 Order. On 11 October 2022, the applicant was found in contempt of court.</w:t>
      </w:r>
      <w:r w:rsidR="00081DC5" w:rsidRPr="0028747A">
        <w:rPr>
          <w:rFonts w:ascii="Arial" w:eastAsiaTheme="minorHAnsi" w:hAnsi="Arial" w:cs="Arial"/>
          <w:color w:val="auto"/>
          <w:sz w:val="22"/>
          <w:lang w:val="en-AU" w:eastAsia="en-US"/>
        </w:rPr>
        <w:t xml:space="preserve"> In late 2022, the applicant applied for leave to appeal the contempt </w:t>
      </w:r>
      <w:r w:rsidR="001F5965" w:rsidRPr="0028747A">
        <w:rPr>
          <w:rFonts w:ascii="Arial" w:eastAsiaTheme="minorHAnsi" w:hAnsi="Arial" w:cs="Arial"/>
          <w:color w:val="auto"/>
          <w:sz w:val="22"/>
          <w:lang w:val="en-AU" w:eastAsia="en-US"/>
        </w:rPr>
        <w:t xml:space="preserve">of court </w:t>
      </w:r>
      <w:r w:rsidR="00081DC5" w:rsidRPr="0028747A">
        <w:rPr>
          <w:rFonts w:ascii="Arial" w:eastAsiaTheme="minorHAnsi" w:hAnsi="Arial" w:cs="Arial"/>
          <w:color w:val="auto"/>
          <w:sz w:val="22"/>
          <w:lang w:val="en-AU" w:eastAsia="en-US"/>
        </w:rPr>
        <w:t>order</w:t>
      </w:r>
      <w:r w:rsidR="00D55DFF" w:rsidRPr="0028747A">
        <w:rPr>
          <w:rFonts w:ascii="Arial" w:eastAsiaTheme="minorHAnsi" w:hAnsi="Arial" w:cs="Arial"/>
          <w:color w:val="auto"/>
          <w:sz w:val="22"/>
          <w:lang w:val="en-AU" w:eastAsia="en-US"/>
        </w:rPr>
        <w:t xml:space="preserve">. The leave </w:t>
      </w:r>
      <w:r w:rsidR="00081DC5" w:rsidRPr="0028747A">
        <w:rPr>
          <w:rFonts w:ascii="Arial" w:eastAsiaTheme="minorHAnsi" w:hAnsi="Arial" w:cs="Arial"/>
          <w:color w:val="auto"/>
          <w:sz w:val="22"/>
          <w:lang w:val="en-AU" w:eastAsia="en-US"/>
        </w:rPr>
        <w:t>to appeal was dismissed.</w:t>
      </w:r>
    </w:p>
    <w:p w14:paraId="0F8EF5BD" w14:textId="72175CF7" w:rsidR="00081DC5" w:rsidRPr="0028747A" w:rsidRDefault="00081DC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January 2023, the applicant approached th</w:t>
      </w:r>
      <w:r w:rsidR="00751CEC" w:rsidRPr="0028747A">
        <w:rPr>
          <w:rFonts w:ascii="Arial" w:eastAsiaTheme="minorHAnsi" w:hAnsi="Arial" w:cs="Arial"/>
          <w:color w:val="auto"/>
          <w:sz w:val="22"/>
          <w:lang w:val="en-AU" w:eastAsia="en-US"/>
        </w:rPr>
        <w:t>e</w:t>
      </w:r>
      <w:r w:rsidRPr="0028747A">
        <w:rPr>
          <w:rFonts w:ascii="Arial" w:eastAsiaTheme="minorHAnsi" w:hAnsi="Arial" w:cs="Arial"/>
          <w:color w:val="auto"/>
          <w:sz w:val="22"/>
          <w:lang w:val="en-AU" w:eastAsia="en-US"/>
        </w:rPr>
        <w:t xml:space="preserve"> court</w:t>
      </w:r>
      <w:r w:rsidR="001F5965" w:rsidRPr="0028747A">
        <w:rPr>
          <w:rFonts w:ascii="Arial" w:eastAsiaTheme="minorHAnsi" w:hAnsi="Arial" w:cs="Arial"/>
          <w:color w:val="auto"/>
          <w:sz w:val="22"/>
          <w:lang w:val="en-AU" w:eastAsia="en-US"/>
        </w:rPr>
        <w:t xml:space="preserve"> for relief</w:t>
      </w:r>
      <w:r w:rsidRPr="0028747A">
        <w:rPr>
          <w:rFonts w:ascii="Arial" w:eastAsiaTheme="minorHAnsi" w:hAnsi="Arial" w:cs="Arial"/>
          <w:color w:val="auto"/>
          <w:sz w:val="22"/>
          <w:lang w:val="en-AU" w:eastAsia="en-US"/>
        </w:rPr>
        <w:t xml:space="preserve"> to rescind and/or set aside the contempt of court order. </w:t>
      </w:r>
    </w:p>
    <w:p w14:paraId="1B15C898" w14:textId="77777777" w:rsidR="00D55DFF" w:rsidRPr="0028747A" w:rsidRDefault="00D55DFF"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Prior to the contempt proceedings, and a</w:t>
      </w:r>
      <w:r w:rsidR="001F5965" w:rsidRPr="0028747A">
        <w:rPr>
          <w:rFonts w:ascii="Arial" w:eastAsiaTheme="minorHAnsi" w:hAnsi="Arial" w:cs="Arial"/>
          <w:color w:val="auto"/>
          <w:sz w:val="22"/>
          <w:lang w:val="en-AU" w:eastAsia="en-US"/>
        </w:rPr>
        <w:t xml:space="preserve">s long ago as </w:t>
      </w:r>
      <w:r w:rsidR="00081DC5" w:rsidRPr="0028747A">
        <w:rPr>
          <w:rFonts w:ascii="Arial" w:eastAsiaTheme="minorHAnsi" w:hAnsi="Arial" w:cs="Arial"/>
          <w:color w:val="auto"/>
          <w:sz w:val="22"/>
          <w:lang w:val="en-AU" w:eastAsia="en-US"/>
        </w:rPr>
        <w:t>September 2020</w:t>
      </w:r>
      <w:r w:rsidRPr="0028747A">
        <w:rPr>
          <w:rFonts w:ascii="Arial" w:eastAsiaTheme="minorHAnsi" w:hAnsi="Arial" w:cs="Arial"/>
          <w:color w:val="auto"/>
          <w:sz w:val="22"/>
          <w:lang w:val="en-AU" w:eastAsia="en-US"/>
        </w:rPr>
        <w:t xml:space="preserve">, </w:t>
      </w:r>
      <w:r w:rsidR="00081DC5" w:rsidRPr="0028747A">
        <w:rPr>
          <w:rFonts w:ascii="Arial" w:eastAsiaTheme="minorHAnsi" w:hAnsi="Arial" w:cs="Arial"/>
          <w:color w:val="auto"/>
          <w:sz w:val="22"/>
          <w:lang w:val="en-AU" w:eastAsia="en-US"/>
        </w:rPr>
        <w:t xml:space="preserve">the applicant and the respondent signed a settlement agreement. </w:t>
      </w:r>
      <w:r w:rsidRPr="0028747A">
        <w:rPr>
          <w:rFonts w:ascii="Arial" w:eastAsiaTheme="minorHAnsi" w:hAnsi="Arial" w:cs="Arial"/>
          <w:color w:val="auto"/>
          <w:sz w:val="22"/>
          <w:lang w:val="en-AU" w:eastAsia="en-US"/>
        </w:rPr>
        <w:t xml:space="preserve">The settlement agreement was in contemplation of the parties finalising their divorce. The settlement agreement regulates, inter alia, the applicant’s maintenance obligations post-divorce. </w:t>
      </w:r>
    </w:p>
    <w:p w14:paraId="7A5EDD09" w14:textId="03A6E1F5" w:rsidR="00621FF6" w:rsidRPr="0028747A" w:rsidRDefault="001F596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T</w:t>
      </w:r>
      <w:r w:rsidR="00081DC5" w:rsidRPr="0028747A">
        <w:rPr>
          <w:rFonts w:ascii="Arial" w:eastAsiaTheme="minorHAnsi" w:hAnsi="Arial" w:cs="Arial"/>
          <w:color w:val="auto"/>
          <w:sz w:val="22"/>
          <w:lang w:val="en-AU" w:eastAsia="en-US"/>
        </w:rPr>
        <w:t xml:space="preserve">he settlement agreement was </w:t>
      </w:r>
      <w:r w:rsidRPr="0028747A">
        <w:rPr>
          <w:rFonts w:ascii="Arial" w:eastAsiaTheme="minorHAnsi" w:hAnsi="Arial" w:cs="Arial"/>
          <w:color w:val="auto"/>
          <w:sz w:val="22"/>
          <w:lang w:val="en-AU" w:eastAsia="en-US"/>
        </w:rPr>
        <w:t xml:space="preserve">however </w:t>
      </w:r>
      <w:r w:rsidR="00081DC5" w:rsidRPr="0028747A">
        <w:rPr>
          <w:rFonts w:ascii="Arial" w:eastAsiaTheme="minorHAnsi" w:hAnsi="Arial" w:cs="Arial"/>
          <w:color w:val="auto"/>
          <w:sz w:val="22"/>
          <w:lang w:val="en-AU" w:eastAsia="en-US"/>
        </w:rPr>
        <w:t>never made an order of court</w:t>
      </w:r>
      <w:r w:rsidRPr="0028747A">
        <w:rPr>
          <w:rFonts w:ascii="Arial" w:eastAsiaTheme="minorHAnsi" w:hAnsi="Arial" w:cs="Arial"/>
          <w:color w:val="auto"/>
          <w:sz w:val="22"/>
          <w:lang w:val="en-AU" w:eastAsia="en-US"/>
        </w:rPr>
        <w:t xml:space="preserve">. Moreover, </w:t>
      </w:r>
      <w:r w:rsidR="00081DC5" w:rsidRPr="0028747A">
        <w:rPr>
          <w:rFonts w:ascii="Arial" w:eastAsiaTheme="minorHAnsi" w:hAnsi="Arial" w:cs="Arial"/>
          <w:color w:val="auto"/>
          <w:sz w:val="22"/>
          <w:lang w:val="en-AU" w:eastAsia="en-US"/>
        </w:rPr>
        <w:t>and</w:t>
      </w:r>
      <w:r w:rsidRPr="0028747A">
        <w:rPr>
          <w:rFonts w:ascii="Arial" w:eastAsiaTheme="minorHAnsi" w:hAnsi="Arial" w:cs="Arial"/>
          <w:color w:val="auto"/>
          <w:sz w:val="22"/>
          <w:lang w:val="en-AU" w:eastAsia="en-US"/>
        </w:rPr>
        <w:t xml:space="preserve"> </w:t>
      </w:r>
      <w:r w:rsidR="00081DC5" w:rsidRPr="0028747A">
        <w:rPr>
          <w:rFonts w:ascii="Arial" w:eastAsiaTheme="minorHAnsi" w:hAnsi="Arial" w:cs="Arial"/>
          <w:color w:val="auto"/>
          <w:sz w:val="22"/>
          <w:lang w:val="en-AU" w:eastAsia="en-US"/>
        </w:rPr>
        <w:t xml:space="preserve">as stated earlier, the </w:t>
      </w:r>
      <w:r w:rsidR="00D55DFF" w:rsidRPr="0028747A">
        <w:rPr>
          <w:rFonts w:ascii="Arial" w:eastAsiaTheme="minorHAnsi" w:hAnsi="Arial" w:cs="Arial"/>
          <w:color w:val="auto"/>
          <w:sz w:val="22"/>
          <w:lang w:val="en-AU" w:eastAsia="en-US"/>
        </w:rPr>
        <w:t xml:space="preserve">parties are still married as the </w:t>
      </w:r>
      <w:r w:rsidR="00081DC5" w:rsidRPr="0028747A">
        <w:rPr>
          <w:rFonts w:ascii="Arial" w:eastAsiaTheme="minorHAnsi" w:hAnsi="Arial" w:cs="Arial"/>
          <w:color w:val="auto"/>
          <w:sz w:val="22"/>
          <w:lang w:val="en-AU" w:eastAsia="en-US"/>
        </w:rPr>
        <w:t>divorce</w:t>
      </w:r>
      <w:r w:rsidR="00D55DFF" w:rsidRPr="0028747A">
        <w:rPr>
          <w:rFonts w:ascii="Arial" w:eastAsiaTheme="minorHAnsi" w:hAnsi="Arial" w:cs="Arial"/>
          <w:color w:val="auto"/>
          <w:sz w:val="22"/>
          <w:lang w:val="en-AU" w:eastAsia="en-US"/>
        </w:rPr>
        <w:t xml:space="preserve"> proceedings</w:t>
      </w:r>
      <w:r w:rsidR="00081DC5" w:rsidRPr="0028747A">
        <w:rPr>
          <w:rFonts w:ascii="Arial" w:eastAsiaTheme="minorHAnsi" w:hAnsi="Arial" w:cs="Arial"/>
          <w:color w:val="auto"/>
          <w:sz w:val="22"/>
          <w:lang w:val="en-AU" w:eastAsia="en-US"/>
        </w:rPr>
        <w:t xml:space="preserve"> </w:t>
      </w:r>
      <w:r w:rsidR="00D55DFF" w:rsidRPr="0028747A">
        <w:rPr>
          <w:rFonts w:ascii="Arial" w:eastAsiaTheme="minorHAnsi" w:hAnsi="Arial" w:cs="Arial"/>
          <w:color w:val="auto"/>
          <w:sz w:val="22"/>
          <w:lang w:val="en-AU" w:eastAsia="en-US"/>
        </w:rPr>
        <w:t>are</w:t>
      </w:r>
      <w:r w:rsidR="00081DC5" w:rsidRPr="0028747A">
        <w:rPr>
          <w:rFonts w:ascii="Arial" w:eastAsiaTheme="minorHAnsi" w:hAnsi="Arial" w:cs="Arial"/>
          <w:color w:val="auto"/>
          <w:sz w:val="22"/>
          <w:lang w:val="en-AU" w:eastAsia="en-US"/>
        </w:rPr>
        <w:t xml:space="preserve"> still pending in this Court.</w:t>
      </w:r>
    </w:p>
    <w:p w14:paraId="7CF59B45" w14:textId="54D12922" w:rsidR="009415B1" w:rsidRPr="0028747A" w:rsidRDefault="001F596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It is common cause that t</w:t>
      </w:r>
      <w:r w:rsidR="00081DC5" w:rsidRPr="0028747A">
        <w:rPr>
          <w:rFonts w:ascii="Arial" w:eastAsiaTheme="minorHAnsi" w:hAnsi="Arial" w:cs="Arial"/>
          <w:color w:val="auto"/>
          <w:sz w:val="22"/>
          <w:lang w:val="en-AU" w:eastAsia="en-US"/>
        </w:rPr>
        <w:t>he existence of the settlement agreement was not made known</w:t>
      </w:r>
      <w:r w:rsidR="009415B1" w:rsidRPr="0028747A">
        <w:rPr>
          <w:rFonts w:ascii="Arial" w:eastAsiaTheme="minorHAnsi" w:hAnsi="Arial" w:cs="Arial"/>
          <w:color w:val="auto"/>
          <w:sz w:val="22"/>
          <w:lang w:val="en-AU" w:eastAsia="en-US"/>
        </w:rPr>
        <w:t xml:space="preserve"> to the court</w:t>
      </w:r>
      <w:r w:rsidR="00081DC5" w:rsidRPr="0028747A">
        <w:rPr>
          <w:rFonts w:ascii="Arial" w:eastAsiaTheme="minorHAnsi" w:hAnsi="Arial" w:cs="Arial"/>
          <w:color w:val="auto"/>
          <w:sz w:val="22"/>
          <w:lang w:val="en-AU" w:eastAsia="en-US"/>
        </w:rPr>
        <w:t xml:space="preserve"> during the contempt proceedings that served before Moorcraft AJ</w:t>
      </w:r>
      <w:r w:rsidRPr="0028747A">
        <w:rPr>
          <w:rFonts w:ascii="Arial" w:eastAsiaTheme="minorHAnsi" w:hAnsi="Arial" w:cs="Arial"/>
          <w:color w:val="auto"/>
          <w:sz w:val="22"/>
          <w:lang w:val="en-AU" w:eastAsia="en-US"/>
        </w:rPr>
        <w:t xml:space="preserve"> in October 2022</w:t>
      </w:r>
      <w:r w:rsidR="00081DC5" w:rsidRPr="0028747A">
        <w:rPr>
          <w:rFonts w:ascii="Arial" w:eastAsiaTheme="minorHAnsi" w:hAnsi="Arial" w:cs="Arial"/>
          <w:color w:val="auto"/>
          <w:sz w:val="22"/>
          <w:lang w:val="en-AU" w:eastAsia="en-US"/>
        </w:rPr>
        <w:t>.</w:t>
      </w:r>
    </w:p>
    <w:p w14:paraId="51209714" w14:textId="08E7190E" w:rsidR="00081DC5" w:rsidRPr="0028747A" w:rsidRDefault="00D55DFF"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It is also common cause that both the applicant and the respondent </w:t>
      </w:r>
      <w:r w:rsidR="006005A7" w:rsidRPr="0028747A">
        <w:rPr>
          <w:rFonts w:ascii="Arial" w:eastAsiaTheme="minorHAnsi" w:hAnsi="Arial" w:cs="Arial"/>
          <w:color w:val="auto"/>
          <w:sz w:val="22"/>
          <w:lang w:val="en-AU" w:eastAsia="en-US"/>
        </w:rPr>
        <w:t xml:space="preserve">did not </w:t>
      </w:r>
      <w:r w:rsidRPr="0028747A">
        <w:rPr>
          <w:rFonts w:ascii="Arial" w:eastAsiaTheme="minorHAnsi" w:hAnsi="Arial" w:cs="Arial"/>
          <w:color w:val="auto"/>
          <w:sz w:val="22"/>
          <w:lang w:val="en-AU" w:eastAsia="en-US"/>
        </w:rPr>
        <w:t>bring the existence of the settlement agreement to the court’s attention during the contempt proceedings.</w:t>
      </w:r>
    </w:p>
    <w:bookmarkEnd w:id="1"/>
    <w:p w14:paraId="043D4D29" w14:textId="638C12F2" w:rsidR="00483573" w:rsidRPr="0028747A" w:rsidRDefault="007C210A" w:rsidP="00F32287">
      <w:pPr>
        <w:pStyle w:val="ListParagraph"/>
        <w:keepLines/>
        <w:numPr>
          <w:ilvl w:val="0"/>
          <w:numId w:val="4"/>
        </w:numPr>
        <w:spacing w:before="240" w:after="360" w:line="276" w:lineRule="auto"/>
        <w:ind w:left="426" w:hanging="426"/>
        <w:contextualSpacing w:val="0"/>
        <w:rPr>
          <w:rFonts w:ascii="Arial" w:hAnsi="Arial" w:cs="Arial"/>
          <w:b/>
          <w:sz w:val="22"/>
        </w:rPr>
      </w:pPr>
      <w:r w:rsidRPr="0028747A">
        <w:rPr>
          <w:rFonts w:ascii="Arial" w:hAnsi="Arial" w:cs="Arial"/>
          <w:b/>
          <w:sz w:val="22"/>
        </w:rPr>
        <w:t>THE LEGAL PRINCIPLES APPLICABLE TO RESCISSION APPLICATION</w:t>
      </w:r>
      <w:r w:rsidR="008942B5" w:rsidRPr="0028747A">
        <w:rPr>
          <w:rFonts w:ascii="Arial" w:hAnsi="Arial" w:cs="Arial"/>
          <w:b/>
          <w:sz w:val="22"/>
        </w:rPr>
        <w:t>S</w:t>
      </w:r>
    </w:p>
    <w:p w14:paraId="54215EF6" w14:textId="45F33772" w:rsidR="00102B5B" w:rsidRPr="0028747A" w:rsidRDefault="00102B5B"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 do not intend herein to provide a treatise on the law of rescission applications, save to point out, as I do below, certain fundamental principles thereof.</w:t>
      </w:r>
    </w:p>
    <w:p w14:paraId="2E5F0DD6" w14:textId="42D5E4D6" w:rsidR="008942B5" w:rsidRPr="0028747A" w:rsidRDefault="008942B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As a general rule, a court has no power to set aside or alter its own final order, as opposed to an interim or interlocutory order. The reasons for this age-old rule are twofold. First, once a court has pronounced a final judgment, it becomes </w:t>
      </w:r>
      <w:r w:rsidRPr="0028747A">
        <w:rPr>
          <w:rFonts w:ascii="Arial" w:eastAsiaTheme="minorHAnsi" w:hAnsi="Arial" w:cs="Arial"/>
          <w:i/>
          <w:iCs/>
          <w:color w:val="auto"/>
          <w:sz w:val="22"/>
          <w:lang w:val="en-AU" w:eastAsia="en-US"/>
        </w:rPr>
        <w:t>functus officio</w:t>
      </w:r>
      <w:r w:rsidRPr="0028747A">
        <w:rPr>
          <w:rFonts w:ascii="Arial" w:eastAsiaTheme="minorHAnsi" w:hAnsi="Arial" w:cs="Arial"/>
          <w:color w:val="auto"/>
          <w:sz w:val="22"/>
          <w:lang w:val="en-AU" w:eastAsia="en-US"/>
        </w:rPr>
        <w:t xml:space="preserve"> and its authority over the subject-matter has ceased. The second reason is the principle of finality of litigation expressed in the maxim </w:t>
      </w:r>
      <w:r w:rsidRPr="0028747A">
        <w:rPr>
          <w:rFonts w:ascii="Arial" w:eastAsiaTheme="minorHAnsi" w:hAnsi="Arial" w:cs="Arial"/>
          <w:i/>
          <w:iCs/>
          <w:color w:val="auto"/>
          <w:sz w:val="22"/>
          <w:lang w:val="en-AU" w:eastAsia="en-US"/>
        </w:rPr>
        <w:t>interest rei publicae ut sit finis litium</w:t>
      </w:r>
      <w:r w:rsidRPr="0028747A">
        <w:rPr>
          <w:rFonts w:ascii="Arial" w:eastAsiaTheme="minorHAnsi" w:hAnsi="Arial" w:cs="Arial"/>
          <w:color w:val="auto"/>
          <w:sz w:val="22"/>
          <w:lang w:val="en-AU" w:eastAsia="en-US"/>
        </w:rPr>
        <w:t> (it is in the public interest that litigation be brought to finality).</w:t>
      </w:r>
      <w:r w:rsidRPr="0028747A">
        <w:rPr>
          <w:rStyle w:val="FootnoteReference"/>
          <w:rFonts w:ascii="Arial" w:eastAsiaTheme="minorHAnsi" w:hAnsi="Arial" w:cs="Arial"/>
          <w:color w:val="auto"/>
          <w:sz w:val="22"/>
          <w:lang w:val="en-AU" w:eastAsia="en-US"/>
        </w:rPr>
        <w:footnoteReference w:id="2"/>
      </w:r>
    </w:p>
    <w:p w14:paraId="4B8773DF" w14:textId="77777777" w:rsidR="005127C5" w:rsidRPr="0028747A" w:rsidRDefault="00465BF2"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Whether </w:t>
      </w:r>
      <w:r w:rsidR="008942B5" w:rsidRPr="0028747A">
        <w:rPr>
          <w:rFonts w:ascii="Arial" w:eastAsiaTheme="minorHAnsi" w:hAnsi="Arial" w:cs="Arial"/>
          <w:color w:val="auto"/>
          <w:sz w:val="22"/>
          <w:lang w:val="en-AU" w:eastAsia="en-US"/>
        </w:rPr>
        <w:t xml:space="preserve">under </w:t>
      </w:r>
      <w:r w:rsidR="00751CEC" w:rsidRPr="0028747A">
        <w:rPr>
          <w:rFonts w:ascii="Arial" w:eastAsiaTheme="minorHAnsi" w:hAnsi="Arial" w:cs="Arial"/>
          <w:color w:val="auto"/>
          <w:sz w:val="22"/>
          <w:lang w:val="en-AU" w:eastAsia="en-US"/>
        </w:rPr>
        <w:t xml:space="preserve">Uniform </w:t>
      </w:r>
      <w:r w:rsidRPr="0028747A">
        <w:rPr>
          <w:rFonts w:ascii="Arial" w:eastAsiaTheme="minorHAnsi" w:hAnsi="Arial" w:cs="Arial"/>
          <w:color w:val="auto"/>
          <w:sz w:val="22"/>
          <w:lang w:val="en-AU" w:eastAsia="en-US"/>
        </w:rPr>
        <w:t>Rule 42(1)</w:t>
      </w:r>
      <w:r w:rsidR="008942B5" w:rsidRPr="0028747A">
        <w:rPr>
          <w:rFonts w:ascii="Arial" w:eastAsiaTheme="minorHAnsi" w:hAnsi="Arial" w:cs="Arial"/>
          <w:color w:val="auto"/>
          <w:sz w:val="22"/>
          <w:lang w:val="en-AU" w:eastAsia="en-US"/>
        </w:rPr>
        <w:t xml:space="preserve"> or at common law</w:t>
      </w:r>
      <w:r w:rsidRPr="0028747A">
        <w:rPr>
          <w:rFonts w:ascii="Arial" w:eastAsiaTheme="minorHAnsi" w:hAnsi="Arial" w:cs="Arial"/>
          <w:color w:val="auto"/>
          <w:sz w:val="22"/>
          <w:lang w:val="en-AU" w:eastAsia="en-US"/>
        </w:rPr>
        <w:t>, the court’s power to rescind a final order is</w:t>
      </w:r>
      <w:r w:rsidR="00F96652" w:rsidRPr="0028747A">
        <w:rPr>
          <w:rFonts w:ascii="Arial" w:eastAsiaTheme="minorHAnsi" w:hAnsi="Arial" w:cs="Arial"/>
          <w:color w:val="auto"/>
          <w:sz w:val="22"/>
          <w:lang w:val="en-AU" w:eastAsia="en-US"/>
        </w:rPr>
        <w:t xml:space="preserve"> accordingly</w:t>
      </w:r>
      <w:r w:rsidRPr="0028747A">
        <w:rPr>
          <w:rFonts w:ascii="Arial" w:eastAsiaTheme="minorHAnsi" w:hAnsi="Arial" w:cs="Arial"/>
          <w:color w:val="auto"/>
          <w:sz w:val="22"/>
          <w:lang w:val="en-AU" w:eastAsia="en-US"/>
        </w:rPr>
        <w:t xml:space="preserve"> limited</w:t>
      </w:r>
      <w:r w:rsidR="00730E48" w:rsidRPr="0028747A">
        <w:rPr>
          <w:rFonts w:ascii="Arial" w:eastAsiaTheme="minorHAnsi" w:hAnsi="Arial" w:cs="Arial"/>
          <w:color w:val="auto"/>
          <w:sz w:val="22"/>
          <w:lang w:val="en-AU" w:eastAsia="en-US"/>
        </w:rPr>
        <w:t>. T</w:t>
      </w:r>
      <w:r w:rsidRPr="0028747A">
        <w:rPr>
          <w:rFonts w:ascii="Arial" w:eastAsiaTheme="minorHAnsi" w:hAnsi="Arial" w:cs="Arial"/>
          <w:color w:val="auto"/>
          <w:sz w:val="22"/>
          <w:lang w:val="en-AU" w:eastAsia="en-US"/>
        </w:rPr>
        <w:t>he circumstances within which the power may be exercised fall within a relatively narrow ambit.</w:t>
      </w:r>
      <w:r w:rsidR="00102B5B" w:rsidRPr="0028747A">
        <w:rPr>
          <w:rStyle w:val="FootnoteReference"/>
          <w:rFonts w:ascii="Arial" w:eastAsiaTheme="minorHAnsi" w:hAnsi="Arial" w:cs="Arial"/>
          <w:color w:val="auto"/>
          <w:sz w:val="22"/>
          <w:lang w:val="en-AU" w:eastAsia="en-US"/>
        </w:rPr>
        <w:footnoteReference w:id="3"/>
      </w:r>
    </w:p>
    <w:p w14:paraId="0AC3BB52" w14:textId="7D89DAD3" w:rsidR="005127C5" w:rsidRPr="0028747A" w:rsidRDefault="00C8795F"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On Rule 42(1) generally, t</w:t>
      </w:r>
      <w:r w:rsidR="005127C5" w:rsidRPr="0028747A">
        <w:rPr>
          <w:rFonts w:ascii="Arial" w:eastAsiaTheme="minorHAnsi" w:hAnsi="Arial" w:cs="Arial"/>
          <w:color w:val="auto"/>
          <w:sz w:val="22"/>
          <w:lang w:val="en-AU" w:eastAsia="en-US"/>
        </w:rPr>
        <w:t xml:space="preserve">he Supreme Court of Appeal in </w:t>
      </w:r>
      <w:r w:rsidR="005127C5" w:rsidRPr="0028747A">
        <w:rPr>
          <w:rFonts w:ascii="Arial" w:eastAsiaTheme="minorHAnsi" w:hAnsi="Arial" w:cs="Arial"/>
          <w:b/>
          <w:bCs/>
          <w:color w:val="auto"/>
          <w:sz w:val="22"/>
          <w:lang w:val="en-AU" w:eastAsia="en-US"/>
        </w:rPr>
        <w:t xml:space="preserve">Colyn </w:t>
      </w:r>
      <w:bookmarkStart w:id="2" w:name="_Hlk150942913"/>
      <w:r w:rsidR="005127C5" w:rsidRPr="0028747A">
        <w:rPr>
          <w:rFonts w:ascii="Arial" w:eastAsiaTheme="minorHAnsi" w:hAnsi="Arial" w:cs="Arial"/>
          <w:b/>
          <w:bCs/>
          <w:color w:val="auto"/>
          <w:sz w:val="22"/>
          <w:lang w:val="en-AU" w:eastAsia="en-US"/>
        </w:rPr>
        <w:t>v Tiger Food Industries Ltd t/a Meadow Feed Mills (Cape)</w:t>
      </w:r>
      <w:bookmarkEnd w:id="2"/>
      <w:r w:rsidR="005127C5" w:rsidRPr="0028747A">
        <w:rPr>
          <w:rStyle w:val="FootnoteReference"/>
          <w:rFonts w:ascii="Arial" w:eastAsiaTheme="minorHAnsi" w:hAnsi="Arial" w:cs="Arial"/>
          <w:b/>
          <w:bCs/>
          <w:color w:val="auto"/>
          <w:sz w:val="22"/>
          <w:lang w:val="en-AU" w:eastAsia="en-US"/>
        </w:rPr>
        <w:footnoteReference w:id="4"/>
      </w:r>
      <w:r w:rsidR="005127C5" w:rsidRPr="0028747A">
        <w:rPr>
          <w:rFonts w:ascii="Arial" w:eastAsiaTheme="minorHAnsi" w:hAnsi="Arial" w:cs="Arial"/>
          <w:color w:val="auto"/>
          <w:sz w:val="22"/>
          <w:lang w:val="en-AU" w:eastAsia="en-US"/>
        </w:rPr>
        <w:t>, held that</w:t>
      </w:r>
      <w:r w:rsidR="00505D75" w:rsidRPr="0028747A">
        <w:rPr>
          <w:rFonts w:ascii="Arial" w:eastAsiaTheme="minorHAnsi" w:hAnsi="Arial" w:cs="Arial"/>
          <w:color w:val="auto"/>
          <w:sz w:val="22"/>
          <w:lang w:val="en-AU" w:eastAsia="en-US"/>
        </w:rPr>
        <w:t xml:space="preserve"> (footnotes omitted)</w:t>
      </w:r>
      <w:r w:rsidR="005127C5" w:rsidRPr="0028747A">
        <w:rPr>
          <w:rFonts w:ascii="Arial" w:eastAsiaTheme="minorHAnsi" w:hAnsi="Arial" w:cs="Arial"/>
          <w:color w:val="auto"/>
          <w:sz w:val="22"/>
          <w:lang w:val="en-AU" w:eastAsia="en-US"/>
        </w:rPr>
        <w:t>:</w:t>
      </w:r>
    </w:p>
    <w:p w14:paraId="2F404307" w14:textId="1BA24464" w:rsidR="005127C5" w:rsidRPr="0028747A" w:rsidRDefault="005127C5" w:rsidP="00505D75">
      <w:pPr>
        <w:spacing w:after="360" w:line="276" w:lineRule="auto"/>
        <w:ind w:left="1440" w:right="547"/>
        <w:rPr>
          <w:rFonts w:ascii="Arial" w:hAnsi="Arial" w:cs="Arial"/>
          <w:i/>
          <w:iCs/>
          <w:sz w:val="22"/>
        </w:rPr>
      </w:pPr>
      <w:r w:rsidRPr="0028747A">
        <w:rPr>
          <w:rFonts w:ascii="Arial" w:hAnsi="Arial" w:cs="Arial"/>
          <w:i/>
          <w:iCs/>
          <w:sz w:val="22"/>
        </w:rPr>
        <w:t>“[5] …The Rule [42] caters for mistake. Rescission or variation does not follow automatically upon proof of a mistake. The Rule gives the Courts a discretion to order it, which must be exercised judicially (Theron NO v United Democratic Front (Western Cape Region) and Others)</w:t>
      </w:r>
      <w:r w:rsidR="00505D75" w:rsidRPr="0028747A">
        <w:rPr>
          <w:rFonts w:ascii="Arial" w:hAnsi="Arial" w:cs="Arial"/>
          <w:i/>
          <w:iCs/>
          <w:sz w:val="22"/>
        </w:rPr>
        <w:t xml:space="preserve"> </w:t>
      </w:r>
      <w:r w:rsidRPr="0028747A">
        <w:rPr>
          <w:rFonts w:ascii="Arial" w:hAnsi="Arial" w:cs="Arial"/>
          <w:i/>
          <w:iCs/>
          <w:sz w:val="22"/>
        </w:rPr>
        <w:t>and Tshivhase Royal Council and Another v Tshivhase and Another; Tshivhase and Another v Tshivhase and Another.</w:t>
      </w:r>
    </w:p>
    <w:p w14:paraId="026142AF" w14:textId="77777777" w:rsidR="00505D75" w:rsidRPr="0028747A" w:rsidRDefault="005127C5" w:rsidP="00505D75">
      <w:pPr>
        <w:spacing w:after="360" w:line="276" w:lineRule="auto"/>
        <w:ind w:left="1440" w:right="547"/>
        <w:rPr>
          <w:rFonts w:ascii="Arial" w:hAnsi="Arial" w:cs="Arial"/>
          <w:i/>
          <w:iCs/>
          <w:sz w:val="22"/>
        </w:rPr>
      </w:pPr>
      <w:r w:rsidRPr="0028747A">
        <w:rPr>
          <w:rFonts w:ascii="Arial" w:hAnsi="Arial" w:cs="Arial"/>
          <w:i/>
          <w:iCs/>
          <w:sz w:val="22"/>
        </w:rPr>
        <w:t xml:space="preserve">[6] </w:t>
      </w:r>
      <w:bookmarkStart w:id="3" w:name="_Hlk150942567"/>
      <w:r w:rsidRPr="0028747A">
        <w:rPr>
          <w:rFonts w:ascii="Arial" w:hAnsi="Arial" w:cs="Arial"/>
          <w:i/>
          <w:iCs/>
          <w:sz w:val="22"/>
        </w:rPr>
        <w:t>Not every mistake or irregularity may be corrected in terms of the Rule.</w:t>
      </w:r>
      <w:bookmarkEnd w:id="3"/>
      <w:r w:rsidRPr="0028747A">
        <w:rPr>
          <w:rFonts w:ascii="Arial" w:hAnsi="Arial" w:cs="Arial"/>
          <w:i/>
          <w:iCs/>
          <w:sz w:val="22"/>
        </w:rPr>
        <w:t xml:space="preserve"> It is, for the most part at any rate, a restatement of the common law. It does not purport to amend or extend the common law. That is why the common law is the proper context for its interpretation. Because it is a Rule of Court its ambit is entirely procedural. </w:t>
      </w:r>
    </w:p>
    <w:p w14:paraId="624D62A4" w14:textId="108115C7" w:rsidR="00505D75" w:rsidRPr="0028747A" w:rsidRDefault="005127C5" w:rsidP="00505D75">
      <w:pPr>
        <w:spacing w:after="360" w:line="276" w:lineRule="auto"/>
        <w:ind w:left="1440" w:right="547"/>
        <w:rPr>
          <w:rFonts w:ascii="Arial" w:hAnsi="Arial" w:cs="Arial"/>
          <w:i/>
          <w:iCs/>
          <w:sz w:val="22"/>
        </w:rPr>
      </w:pPr>
      <w:r w:rsidRPr="0028747A">
        <w:rPr>
          <w:rFonts w:ascii="Arial" w:hAnsi="Arial" w:cs="Arial"/>
          <w:i/>
          <w:iCs/>
          <w:sz w:val="22"/>
        </w:rPr>
        <w:t>[7] Rule 42 is confined by its wording and context to the rescission or variation of an ambiguous order or an order containing a patent error or omission (Rule 42(1)(b)); or an order resulting from a mistake common to the parties (Rule 42(1)(c)); or 'an order erroneously sought or erroneously granted in the absence of a party affected thereby' (Rule 42(1)(a))</w:t>
      </w:r>
      <w:r w:rsidR="00505D75" w:rsidRPr="0028747A">
        <w:rPr>
          <w:rFonts w:ascii="Arial" w:hAnsi="Arial" w:cs="Arial"/>
          <w:i/>
          <w:iCs/>
          <w:sz w:val="22"/>
        </w:rPr>
        <w:t xml:space="preserve"> …</w:t>
      </w:r>
    </w:p>
    <w:p w14:paraId="60513971" w14:textId="3512318C" w:rsidR="005127C5" w:rsidRPr="0028747A" w:rsidRDefault="005127C5" w:rsidP="00505D75">
      <w:pPr>
        <w:spacing w:after="360" w:line="276" w:lineRule="auto"/>
        <w:ind w:left="1440" w:right="547"/>
        <w:rPr>
          <w:rFonts w:ascii="Arial" w:hAnsi="Arial" w:cs="Arial"/>
          <w:i/>
          <w:iCs/>
          <w:sz w:val="22"/>
        </w:rPr>
      </w:pPr>
      <w:r w:rsidRPr="0028747A">
        <w:rPr>
          <w:rFonts w:ascii="Arial" w:hAnsi="Arial" w:cs="Arial"/>
          <w:i/>
          <w:iCs/>
          <w:sz w:val="22"/>
        </w:rPr>
        <w:t xml:space="preserve">[8] The trend of the Courts over the years is </w:t>
      </w:r>
      <w:bookmarkStart w:id="4" w:name="_Hlk150942784"/>
      <w:r w:rsidRPr="0028747A">
        <w:rPr>
          <w:rFonts w:ascii="Arial" w:hAnsi="Arial" w:cs="Arial"/>
          <w:i/>
          <w:iCs/>
          <w:sz w:val="22"/>
        </w:rPr>
        <w:t>not to give a more extended application to the Rule to include all kinds of mistakes or irregularities</w:t>
      </w:r>
      <w:bookmarkEnd w:id="4"/>
      <w:r w:rsidRPr="0028747A">
        <w:rPr>
          <w:rFonts w:ascii="Arial" w:hAnsi="Arial" w:cs="Arial"/>
          <w:i/>
          <w:iCs/>
          <w:sz w:val="22"/>
        </w:rPr>
        <w:t>.</w:t>
      </w:r>
      <w:r w:rsidR="00505D75" w:rsidRPr="0028747A">
        <w:rPr>
          <w:rFonts w:ascii="Arial" w:hAnsi="Arial" w:cs="Arial"/>
          <w:i/>
          <w:iCs/>
          <w:sz w:val="22"/>
        </w:rPr>
        <w:t>”</w:t>
      </w:r>
    </w:p>
    <w:p w14:paraId="7860B198" w14:textId="432D20C6" w:rsidR="005127C5" w:rsidRPr="0028747A" w:rsidRDefault="00505D7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The court accordingly</w:t>
      </w:r>
      <w:r w:rsidR="005127C5" w:rsidRPr="0028747A">
        <w:rPr>
          <w:rFonts w:ascii="Arial" w:eastAsiaTheme="minorHAnsi" w:hAnsi="Arial" w:cs="Arial"/>
          <w:color w:val="auto"/>
          <w:sz w:val="22"/>
          <w:lang w:val="en-AU" w:eastAsia="en-US"/>
        </w:rPr>
        <w:t xml:space="preserve"> has a discretion whether or not to grant an application for rescission under Rule 42(1).</w:t>
      </w:r>
      <w:r w:rsidRPr="0028747A">
        <w:rPr>
          <w:rStyle w:val="FootnoteReference"/>
          <w:rFonts w:ascii="Arial" w:eastAsiaTheme="minorHAnsi" w:hAnsi="Arial" w:cs="Arial"/>
          <w:color w:val="auto"/>
          <w:sz w:val="22"/>
          <w:lang w:val="en-AU" w:eastAsia="en-US"/>
        </w:rPr>
        <w:footnoteReference w:id="5"/>
      </w:r>
    </w:p>
    <w:p w14:paraId="561E86DE" w14:textId="38D190FF" w:rsidR="00730E48" w:rsidRPr="0028747A" w:rsidRDefault="00751CEC" w:rsidP="00F32287">
      <w:pPr>
        <w:pStyle w:val="ListParagraph"/>
        <w:keepNext/>
        <w:numPr>
          <w:ilvl w:val="0"/>
          <w:numId w:val="5"/>
        </w:numPr>
        <w:spacing w:after="360" w:line="480" w:lineRule="auto"/>
        <w:ind w:left="425" w:right="-153" w:hanging="425"/>
        <w:contextualSpacing w:val="0"/>
        <w:rPr>
          <w:rFonts w:ascii="Arial" w:eastAsiaTheme="minorHAnsi" w:hAnsi="Arial" w:cs="Arial"/>
          <w:color w:val="auto"/>
          <w:sz w:val="22"/>
          <w:u w:val="single"/>
          <w:lang w:val="en-AU" w:eastAsia="en-US"/>
        </w:rPr>
      </w:pPr>
      <w:r w:rsidRPr="0028747A">
        <w:rPr>
          <w:rFonts w:ascii="Arial" w:eastAsiaTheme="minorHAnsi" w:hAnsi="Arial" w:cs="Arial"/>
          <w:color w:val="auto"/>
          <w:sz w:val="22"/>
          <w:u w:val="single"/>
          <w:lang w:val="en-AU" w:eastAsia="en-US"/>
        </w:rPr>
        <w:t xml:space="preserve">Uniform </w:t>
      </w:r>
      <w:r w:rsidR="00730E48" w:rsidRPr="0028747A">
        <w:rPr>
          <w:rFonts w:ascii="Arial" w:eastAsiaTheme="minorHAnsi" w:hAnsi="Arial" w:cs="Arial"/>
          <w:color w:val="auto"/>
          <w:sz w:val="22"/>
          <w:u w:val="single"/>
          <w:lang w:val="en-AU" w:eastAsia="en-US"/>
        </w:rPr>
        <w:t>Rule 42(1)(c)</w:t>
      </w:r>
    </w:p>
    <w:p w14:paraId="568DC71B" w14:textId="142849CA" w:rsidR="00F96652" w:rsidRPr="0028747A" w:rsidRDefault="00751CEC" w:rsidP="00F32287">
      <w:pPr>
        <w:pStyle w:val="ListParagraph"/>
        <w:keepNext/>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Uniform </w:t>
      </w:r>
      <w:r w:rsidR="00102B5B" w:rsidRPr="0028747A">
        <w:rPr>
          <w:rFonts w:ascii="Arial" w:eastAsiaTheme="minorHAnsi" w:hAnsi="Arial" w:cs="Arial"/>
          <w:color w:val="auto"/>
          <w:sz w:val="22"/>
          <w:lang w:val="en-AU" w:eastAsia="en-US"/>
        </w:rPr>
        <w:t>Rule 42(1)(c) provides that</w:t>
      </w:r>
      <w:r w:rsidR="00F96652" w:rsidRPr="0028747A">
        <w:rPr>
          <w:rFonts w:ascii="Arial" w:eastAsiaTheme="minorHAnsi" w:hAnsi="Arial" w:cs="Arial"/>
          <w:color w:val="auto"/>
          <w:sz w:val="22"/>
          <w:lang w:val="en-AU" w:eastAsia="en-US"/>
        </w:rPr>
        <w:t>:</w:t>
      </w:r>
    </w:p>
    <w:p w14:paraId="31880689" w14:textId="13C47DF4" w:rsidR="00F96652" w:rsidRPr="0028747A" w:rsidRDefault="00F96652" w:rsidP="00FE299E">
      <w:pPr>
        <w:spacing w:after="360" w:line="276" w:lineRule="auto"/>
        <w:ind w:left="1843" w:right="547" w:hanging="403"/>
        <w:rPr>
          <w:rFonts w:ascii="Arial" w:hAnsi="Arial" w:cs="Arial"/>
          <w:i/>
          <w:iCs/>
          <w:sz w:val="22"/>
        </w:rPr>
      </w:pPr>
      <w:r w:rsidRPr="0028747A">
        <w:rPr>
          <w:rFonts w:ascii="Arial" w:hAnsi="Arial" w:cs="Arial"/>
          <w:i/>
          <w:iCs/>
          <w:sz w:val="22"/>
        </w:rPr>
        <w:t>“(1) The court may, in addition to any other powers it may have, mero motu or upon the application of any party affected, rescind or vary:</w:t>
      </w:r>
    </w:p>
    <w:p w14:paraId="4A6F94EE" w14:textId="79B7C1D4" w:rsidR="00F96652" w:rsidRPr="0028747A" w:rsidRDefault="00F96652" w:rsidP="00F96652">
      <w:pPr>
        <w:spacing w:after="360" w:line="276" w:lineRule="auto"/>
        <w:ind w:left="1440" w:right="547"/>
        <w:rPr>
          <w:rFonts w:ascii="Arial" w:hAnsi="Arial" w:cs="Arial"/>
          <w:i/>
          <w:iCs/>
          <w:sz w:val="22"/>
        </w:rPr>
      </w:pPr>
      <w:r w:rsidRPr="0028747A">
        <w:rPr>
          <w:rFonts w:ascii="Arial" w:hAnsi="Arial" w:cs="Arial"/>
          <w:i/>
          <w:iCs/>
          <w:sz w:val="22"/>
        </w:rPr>
        <w:lastRenderedPageBreak/>
        <w:t>(a)   …</w:t>
      </w:r>
    </w:p>
    <w:p w14:paraId="6B5DD898" w14:textId="732CB37F" w:rsidR="00F96652" w:rsidRPr="0028747A" w:rsidRDefault="00F96652" w:rsidP="00F96652">
      <w:pPr>
        <w:spacing w:after="360" w:line="276" w:lineRule="auto"/>
        <w:ind w:left="1440" w:right="547"/>
        <w:rPr>
          <w:rFonts w:ascii="Arial" w:hAnsi="Arial" w:cs="Arial"/>
          <w:i/>
          <w:iCs/>
          <w:sz w:val="22"/>
        </w:rPr>
      </w:pPr>
      <w:r w:rsidRPr="0028747A">
        <w:rPr>
          <w:rFonts w:ascii="Arial" w:hAnsi="Arial" w:cs="Arial"/>
          <w:i/>
          <w:iCs/>
          <w:sz w:val="22"/>
        </w:rPr>
        <w:t>(b)   …</w:t>
      </w:r>
    </w:p>
    <w:p w14:paraId="627CA6E0" w14:textId="597D25CE" w:rsidR="00102B5B" w:rsidRPr="0028747A" w:rsidRDefault="00F96652" w:rsidP="00FE299E">
      <w:pPr>
        <w:spacing w:after="360" w:line="276" w:lineRule="auto"/>
        <w:ind w:left="1843" w:right="547" w:hanging="403"/>
        <w:rPr>
          <w:rFonts w:ascii="Arial" w:hAnsi="Arial" w:cs="Arial"/>
          <w:i/>
          <w:iCs/>
          <w:sz w:val="22"/>
        </w:rPr>
      </w:pPr>
      <w:r w:rsidRPr="0028747A">
        <w:rPr>
          <w:rFonts w:ascii="Arial" w:hAnsi="Arial" w:cs="Arial"/>
          <w:i/>
          <w:iCs/>
          <w:sz w:val="22"/>
        </w:rPr>
        <w:t>(c)   an order or judgment granted as the result of a mistake common to the parties</w:t>
      </w:r>
      <w:r w:rsidR="00102B5B" w:rsidRPr="0028747A">
        <w:rPr>
          <w:rFonts w:ascii="Arial" w:hAnsi="Arial" w:cs="Arial"/>
          <w:i/>
          <w:iCs/>
          <w:sz w:val="22"/>
        </w:rPr>
        <w:t>.</w:t>
      </w:r>
      <w:r w:rsidRPr="0028747A">
        <w:rPr>
          <w:rFonts w:ascii="Arial" w:hAnsi="Arial" w:cs="Arial"/>
          <w:i/>
          <w:iCs/>
          <w:sz w:val="22"/>
        </w:rPr>
        <w:t>”</w:t>
      </w:r>
    </w:p>
    <w:p w14:paraId="0AB83F0F" w14:textId="089D9BD9" w:rsidR="001726A8" w:rsidRPr="0028747A" w:rsidRDefault="00102B5B" w:rsidP="00F32287">
      <w:pPr>
        <w:pStyle w:val="ListParagraph"/>
        <w:keepNext/>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reference to</w:t>
      </w:r>
      <w:r w:rsidR="00FE299E" w:rsidRPr="0028747A">
        <w:rPr>
          <w:rFonts w:ascii="Arial" w:eastAsiaTheme="minorHAnsi" w:hAnsi="Arial" w:cs="Arial"/>
          <w:color w:val="auto"/>
          <w:sz w:val="22"/>
          <w:lang w:val="en-AU" w:eastAsia="en-US"/>
        </w:rPr>
        <w:t xml:space="preserve"> the phrase</w:t>
      </w:r>
      <w:r w:rsidRPr="0028747A">
        <w:rPr>
          <w:rFonts w:ascii="Arial" w:eastAsiaTheme="minorHAnsi" w:hAnsi="Arial" w:cs="Arial"/>
          <w:color w:val="auto"/>
          <w:sz w:val="22"/>
          <w:lang w:val="en-AU" w:eastAsia="en-US"/>
        </w:rPr>
        <w:t xml:space="preserve"> ‘a mistake common to the parties’, this means that both parties are mistaken as to the correctness of certain facts; such a mistake occurs where both parties are of one mind and share the mistake.</w:t>
      </w:r>
      <w:bookmarkStart w:id="6" w:name="0-0-0-56443"/>
      <w:bookmarkEnd w:id="6"/>
      <w:r w:rsidRPr="0028747A">
        <w:rPr>
          <w:rStyle w:val="FootnoteReference"/>
          <w:rFonts w:ascii="Arial" w:eastAsiaTheme="minorHAnsi" w:hAnsi="Arial" w:cs="Arial"/>
          <w:color w:val="auto"/>
          <w:sz w:val="22"/>
          <w:lang w:val="en-AU" w:eastAsia="en-US"/>
        </w:rPr>
        <w:footnoteReference w:id="6"/>
      </w:r>
      <w:r w:rsidRPr="0028747A">
        <w:rPr>
          <w:rFonts w:ascii="Arial" w:eastAsiaTheme="minorHAnsi" w:hAnsi="Arial" w:cs="Arial"/>
          <w:color w:val="auto"/>
          <w:sz w:val="22"/>
          <w:lang w:val="en-AU" w:eastAsia="en-US"/>
        </w:rPr>
        <w:t xml:space="preserve"> A unilateral mistake does not give rise to rescission.</w:t>
      </w:r>
      <w:r w:rsidRPr="0028747A">
        <w:rPr>
          <w:rStyle w:val="FootnoteReference"/>
          <w:rFonts w:ascii="Arial" w:eastAsiaTheme="minorHAnsi" w:hAnsi="Arial" w:cs="Arial"/>
          <w:color w:val="auto"/>
          <w:sz w:val="22"/>
          <w:lang w:val="en-AU" w:eastAsia="en-US"/>
        </w:rPr>
        <w:footnoteReference w:id="7"/>
      </w:r>
    </w:p>
    <w:p w14:paraId="7D2CA4B4" w14:textId="38DDDF02" w:rsidR="009415B1" w:rsidRPr="0028747A" w:rsidRDefault="00730E48"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The mistake must relate to and be based on something relevant to the question to be decided by the court at the time</w:t>
      </w:r>
      <w:r w:rsidR="00FE299E" w:rsidRPr="0028747A">
        <w:rPr>
          <w:rFonts w:ascii="Arial" w:eastAsiaTheme="minorHAnsi" w:hAnsi="Arial" w:cs="Arial"/>
          <w:color w:val="auto"/>
          <w:sz w:val="22"/>
          <w:lang w:val="en-AU" w:eastAsia="en-US"/>
        </w:rPr>
        <w:t xml:space="preserve"> the judgment or order was granted</w:t>
      </w:r>
      <w:r w:rsidRPr="0028747A">
        <w:rPr>
          <w:rFonts w:ascii="Arial" w:eastAsiaTheme="minorHAnsi" w:hAnsi="Arial" w:cs="Arial"/>
          <w:color w:val="auto"/>
          <w:sz w:val="22"/>
          <w:lang w:val="en-AU" w:eastAsia="en-US"/>
        </w:rPr>
        <w:t>.</w:t>
      </w:r>
      <w:r w:rsidR="007C210A" w:rsidRPr="0028747A">
        <w:rPr>
          <w:rStyle w:val="FootnoteReference"/>
          <w:rFonts w:ascii="Arial" w:eastAsiaTheme="minorHAnsi" w:hAnsi="Arial" w:cs="Arial"/>
          <w:color w:val="auto"/>
          <w:sz w:val="22"/>
          <w:lang w:val="en-AU" w:eastAsia="en-US"/>
        </w:rPr>
        <w:footnoteReference w:id="8"/>
      </w:r>
    </w:p>
    <w:p w14:paraId="1A6225F5" w14:textId="27D12D55" w:rsidR="009415B1" w:rsidRPr="0028747A" w:rsidRDefault="009415B1"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A common mistake of fact as envisaged in Rule 42(1)(c) is present where </w:t>
      </w:r>
      <w:bookmarkStart w:id="9" w:name="_Hlk150929149"/>
      <w:r w:rsidRPr="0028747A">
        <w:rPr>
          <w:rFonts w:ascii="Arial" w:eastAsiaTheme="minorHAnsi" w:hAnsi="Arial" w:cs="Arial"/>
          <w:color w:val="auto"/>
          <w:sz w:val="22"/>
          <w:lang w:val="en-AU" w:eastAsia="en-US"/>
        </w:rPr>
        <w:t>both parties labour under the same incorrect perception of fact external to the minds of the parties. In common mistake, the parties are in complete agreement, although their consensus is based on an incorrect factual assumption or supposition.</w:t>
      </w:r>
    </w:p>
    <w:bookmarkEnd w:id="9"/>
    <w:p w14:paraId="250B4A38" w14:textId="6730C3C7" w:rsidR="002D26AD" w:rsidRPr="0028747A" w:rsidRDefault="002D26AD"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w:t>
      </w:r>
      <w:r w:rsidR="00730E48" w:rsidRPr="0028747A">
        <w:rPr>
          <w:rFonts w:ascii="Arial" w:eastAsiaTheme="minorHAnsi" w:hAnsi="Arial" w:cs="Arial"/>
          <w:color w:val="auto"/>
          <w:sz w:val="22"/>
          <w:lang w:val="en-AU" w:eastAsia="en-US"/>
        </w:rPr>
        <w:t xml:space="preserve">then-Appellate Division in </w:t>
      </w:r>
      <w:bookmarkStart w:id="10" w:name="_Hlk105498472"/>
      <w:r w:rsidR="00730E48" w:rsidRPr="0028747A">
        <w:rPr>
          <w:rFonts w:ascii="Arial" w:eastAsiaTheme="minorHAnsi" w:hAnsi="Arial" w:cs="Arial"/>
          <w:b/>
          <w:bCs/>
          <w:color w:val="auto"/>
          <w:sz w:val="22"/>
          <w:lang w:val="en-AU" w:eastAsia="en-US"/>
        </w:rPr>
        <w:t>Tshivhase Royal Council v Tshivhase; Tshivhase v Tshivhase</w:t>
      </w:r>
      <w:bookmarkEnd w:id="10"/>
      <w:r w:rsidRPr="0028747A">
        <w:rPr>
          <w:rFonts w:ascii="Arial" w:eastAsiaTheme="minorHAnsi" w:hAnsi="Arial" w:cs="Arial"/>
          <w:color w:val="auto"/>
          <w:sz w:val="22"/>
          <w:vertAlign w:val="superscript"/>
          <w:lang w:val="en-AU" w:eastAsia="en-US"/>
        </w:rPr>
        <w:footnoteReference w:id="9"/>
      </w:r>
      <w:r w:rsidRPr="0028747A">
        <w:rPr>
          <w:rFonts w:ascii="Arial" w:eastAsiaTheme="minorHAnsi" w:hAnsi="Arial" w:cs="Arial"/>
          <w:color w:val="auto"/>
          <w:sz w:val="22"/>
          <w:lang w:val="en-AU" w:eastAsia="en-US"/>
        </w:rPr>
        <w:t xml:space="preserve"> summarised the requirements for </w:t>
      </w:r>
      <w:r w:rsidR="00730E48" w:rsidRPr="0028747A">
        <w:rPr>
          <w:rFonts w:ascii="Arial" w:eastAsiaTheme="minorHAnsi" w:hAnsi="Arial" w:cs="Arial"/>
          <w:color w:val="auto"/>
          <w:sz w:val="22"/>
          <w:lang w:val="en-AU" w:eastAsia="en-US"/>
        </w:rPr>
        <w:t xml:space="preserve">a </w:t>
      </w:r>
      <w:r w:rsidR="00751CEC" w:rsidRPr="0028747A">
        <w:rPr>
          <w:rFonts w:ascii="Arial" w:eastAsiaTheme="minorHAnsi" w:hAnsi="Arial" w:cs="Arial"/>
          <w:color w:val="auto"/>
          <w:sz w:val="22"/>
          <w:lang w:val="en-AU" w:eastAsia="en-US"/>
        </w:rPr>
        <w:t>R</w:t>
      </w:r>
      <w:r w:rsidR="00730E48" w:rsidRPr="0028747A">
        <w:rPr>
          <w:rFonts w:ascii="Arial" w:eastAsiaTheme="minorHAnsi" w:hAnsi="Arial" w:cs="Arial"/>
          <w:color w:val="auto"/>
          <w:sz w:val="22"/>
          <w:lang w:val="en-AU" w:eastAsia="en-US"/>
        </w:rPr>
        <w:t xml:space="preserve">ule 42(1)(c) rescission </w:t>
      </w:r>
      <w:r w:rsidRPr="0028747A">
        <w:rPr>
          <w:rFonts w:ascii="Arial" w:eastAsiaTheme="minorHAnsi" w:hAnsi="Arial" w:cs="Arial"/>
          <w:color w:val="auto"/>
          <w:sz w:val="22"/>
          <w:lang w:val="en-AU" w:eastAsia="en-US"/>
        </w:rPr>
        <w:t xml:space="preserve">as </w:t>
      </w:r>
      <w:r w:rsidR="00730E48" w:rsidRPr="0028747A">
        <w:rPr>
          <w:rFonts w:ascii="Arial" w:eastAsiaTheme="minorHAnsi" w:hAnsi="Arial" w:cs="Arial"/>
          <w:color w:val="auto"/>
          <w:sz w:val="22"/>
          <w:lang w:val="en-AU" w:eastAsia="en-US"/>
        </w:rPr>
        <w:t>follows</w:t>
      </w:r>
      <w:r w:rsidRPr="0028747A">
        <w:rPr>
          <w:rFonts w:ascii="Arial" w:eastAsiaTheme="minorHAnsi" w:hAnsi="Arial" w:cs="Arial"/>
          <w:color w:val="auto"/>
          <w:sz w:val="22"/>
          <w:lang w:val="en-AU" w:eastAsia="en-US"/>
        </w:rPr>
        <w:t>:</w:t>
      </w:r>
    </w:p>
    <w:p w14:paraId="3D2B1B9D" w14:textId="6D5FE08D" w:rsidR="002D26AD" w:rsidRPr="0028747A" w:rsidRDefault="002D26AD" w:rsidP="00CB6F6C">
      <w:pPr>
        <w:spacing w:after="360" w:line="276" w:lineRule="auto"/>
        <w:ind w:left="1440" w:right="547"/>
        <w:rPr>
          <w:rFonts w:ascii="Arial" w:hAnsi="Arial" w:cs="Arial"/>
          <w:i/>
          <w:iCs/>
          <w:sz w:val="22"/>
        </w:rPr>
      </w:pPr>
      <w:r w:rsidRPr="0028747A">
        <w:rPr>
          <w:rFonts w:ascii="Arial" w:hAnsi="Arial" w:cs="Arial"/>
          <w:i/>
          <w:iCs/>
          <w:sz w:val="22"/>
        </w:rPr>
        <w:t>“</w:t>
      </w:r>
      <w:r w:rsidR="00730E48" w:rsidRPr="0028747A">
        <w:rPr>
          <w:rFonts w:ascii="Arial" w:hAnsi="Arial" w:cs="Arial"/>
          <w:i/>
          <w:iCs/>
          <w:sz w:val="22"/>
        </w:rPr>
        <w:t xml:space="preserve">In relation to subrule (c) thereof, two broad requirements must be satisfied. One is that there must have been a 'mistake common to the parties'. I conceive the meaning of this expression to be what is termed, in the field of contract, a common mistake. This occurs where both parties are of one mind and share the same mistake; they are, in this regard, ad idem (see Christie Law of Contract in South Africa 2nd ed at 382 and 397-8). A mistake of fact would be the usual type relied on. Whether a mistake of law and of motive will suffice and whether possibly the mistake must be reasonable are not questions which, on the facts of our matter, arise. Secondly, there must be a causative link between the mistake and the grant of the order or judgment; the latter must </w:t>
      </w:r>
      <w:r w:rsidR="00730E48" w:rsidRPr="0028747A">
        <w:rPr>
          <w:rFonts w:ascii="Arial" w:hAnsi="Arial" w:cs="Arial"/>
          <w:i/>
          <w:iCs/>
          <w:sz w:val="22"/>
        </w:rPr>
        <w:lastRenderedPageBreak/>
        <w:t>have been 'as the result of' the mistake. This requires, in the words of Eloff J in Seedat v Arai and Another 1984 (2) SA 198 (T) at 201D, that the mistake relate to and be based on something relevant to the question to be decided by the Court at the time.”</w:t>
      </w:r>
    </w:p>
    <w:p w14:paraId="0CA8E59F" w14:textId="31202482" w:rsidR="004F0E7F" w:rsidRPr="0028747A" w:rsidRDefault="001726A8"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summary, a</w:t>
      </w:r>
      <w:r w:rsidR="004F0E7F" w:rsidRPr="0028747A">
        <w:rPr>
          <w:rFonts w:ascii="Arial" w:eastAsiaTheme="minorHAnsi" w:hAnsi="Arial" w:cs="Arial"/>
          <w:color w:val="auto"/>
          <w:sz w:val="22"/>
          <w:lang w:val="en-AU" w:eastAsia="en-US"/>
        </w:rPr>
        <w:t>n applicant in a</w:t>
      </w:r>
      <w:r w:rsidR="00730E48" w:rsidRPr="0028747A">
        <w:rPr>
          <w:rFonts w:ascii="Arial" w:eastAsiaTheme="minorHAnsi" w:hAnsi="Arial" w:cs="Arial"/>
          <w:color w:val="auto"/>
          <w:sz w:val="22"/>
          <w:lang w:val="en-AU" w:eastAsia="en-US"/>
        </w:rPr>
        <w:t xml:space="preserve"> </w:t>
      </w:r>
      <w:r w:rsidR="00751CEC" w:rsidRPr="0028747A">
        <w:rPr>
          <w:rFonts w:ascii="Arial" w:eastAsiaTheme="minorHAnsi" w:hAnsi="Arial" w:cs="Arial"/>
          <w:color w:val="auto"/>
          <w:sz w:val="22"/>
          <w:lang w:val="en-AU" w:eastAsia="en-US"/>
        </w:rPr>
        <w:t>R</w:t>
      </w:r>
      <w:r w:rsidR="00730E48" w:rsidRPr="0028747A">
        <w:rPr>
          <w:rFonts w:ascii="Arial" w:eastAsiaTheme="minorHAnsi" w:hAnsi="Arial" w:cs="Arial"/>
          <w:color w:val="auto"/>
          <w:sz w:val="22"/>
          <w:lang w:val="en-AU" w:eastAsia="en-US"/>
        </w:rPr>
        <w:t>ule 42(1)(c) rescission</w:t>
      </w:r>
      <w:r w:rsidR="004F0E7F" w:rsidRPr="0028747A">
        <w:rPr>
          <w:rFonts w:ascii="Arial" w:eastAsiaTheme="minorHAnsi" w:hAnsi="Arial" w:cs="Arial"/>
          <w:color w:val="auto"/>
          <w:sz w:val="22"/>
          <w:lang w:val="en-AU" w:eastAsia="en-US"/>
        </w:rPr>
        <w:t xml:space="preserve"> application must </w:t>
      </w:r>
      <w:r w:rsidRPr="0028747A">
        <w:rPr>
          <w:rFonts w:ascii="Arial" w:eastAsiaTheme="minorHAnsi" w:hAnsi="Arial" w:cs="Arial"/>
          <w:color w:val="auto"/>
          <w:sz w:val="22"/>
          <w:lang w:val="en-AU" w:eastAsia="en-US"/>
        </w:rPr>
        <w:t xml:space="preserve">therefore </w:t>
      </w:r>
      <w:r w:rsidR="004F0E7F" w:rsidRPr="0028747A">
        <w:rPr>
          <w:rFonts w:ascii="Arial" w:eastAsiaTheme="minorHAnsi" w:hAnsi="Arial" w:cs="Arial"/>
          <w:color w:val="auto"/>
          <w:sz w:val="22"/>
          <w:lang w:val="en-AU" w:eastAsia="en-US"/>
        </w:rPr>
        <w:t xml:space="preserve">establish (i) </w:t>
      </w:r>
      <w:r w:rsidR="00730E48" w:rsidRPr="0028747A">
        <w:rPr>
          <w:rFonts w:ascii="Arial" w:eastAsiaTheme="minorHAnsi" w:hAnsi="Arial" w:cs="Arial"/>
          <w:color w:val="auto"/>
          <w:sz w:val="22"/>
          <w:lang w:val="en-AU" w:eastAsia="en-US"/>
        </w:rPr>
        <w:t>a mistake common to the parties; and (ii) a causative link between the mistake and the grant of the order or judgment.</w:t>
      </w:r>
    </w:p>
    <w:p w14:paraId="6368D5F1" w14:textId="6B5AAFDA" w:rsidR="00910FFD" w:rsidRPr="0028747A" w:rsidRDefault="007C210A" w:rsidP="00F32287">
      <w:pPr>
        <w:pStyle w:val="ListParagraph"/>
        <w:numPr>
          <w:ilvl w:val="0"/>
          <w:numId w:val="5"/>
        </w:numPr>
        <w:spacing w:after="360" w:line="480" w:lineRule="auto"/>
        <w:ind w:left="425" w:right="-153" w:hanging="425"/>
        <w:contextualSpacing w:val="0"/>
        <w:rPr>
          <w:rFonts w:ascii="Arial" w:eastAsiaTheme="minorHAnsi" w:hAnsi="Arial" w:cs="Arial"/>
          <w:color w:val="auto"/>
          <w:sz w:val="22"/>
          <w:u w:val="single"/>
          <w:lang w:val="en-AU" w:eastAsia="en-US"/>
        </w:rPr>
      </w:pPr>
      <w:r w:rsidRPr="0028747A">
        <w:rPr>
          <w:rFonts w:ascii="Arial" w:eastAsiaTheme="minorHAnsi" w:hAnsi="Arial" w:cs="Arial"/>
          <w:color w:val="auto"/>
          <w:sz w:val="22"/>
          <w:u w:val="single"/>
          <w:lang w:val="en-AU" w:eastAsia="en-US"/>
        </w:rPr>
        <w:t>The common law – new documents</w:t>
      </w:r>
      <w:r w:rsidR="008942B5" w:rsidRPr="0028747A">
        <w:rPr>
          <w:rFonts w:ascii="Arial" w:eastAsiaTheme="minorHAnsi" w:hAnsi="Arial" w:cs="Arial"/>
          <w:color w:val="auto"/>
          <w:sz w:val="22"/>
          <w:u w:val="single"/>
          <w:lang w:val="en-AU" w:eastAsia="en-US"/>
        </w:rPr>
        <w:t xml:space="preserve"> discovered</w:t>
      </w:r>
    </w:p>
    <w:p w14:paraId="540DEE75" w14:textId="77777777" w:rsidR="003C60C0" w:rsidRPr="0028747A" w:rsidRDefault="008942B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At common law, a judgment can be set aside, in certain exceptional circumstances, when new documents have been discovered.</w:t>
      </w:r>
      <w:r w:rsidRPr="0028747A">
        <w:rPr>
          <w:rStyle w:val="FootnoteReference"/>
          <w:rFonts w:ascii="Arial" w:eastAsiaTheme="minorHAnsi" w:hAnsi="Arial" w:cs="Arial"/>
          <w:color w:val="auto"/>
          <w:sz w:val="22"/>
          <w:lang w:val="en-AU" w:eastAsia="en-US"/>
        </w:rPr>
        <w:footnoteReference w:id="10"/>
      </w:r>
    </w:p>
    <w:p w14:paraId="1CC1C3CA" w14:textId="1BE8C3B7" w:rsidR="00B15609" w:rsidRPr="0028747A" w:rsidRDefault="003C60C0"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In </w:t>
      </w:r>
      <w:r w:rsidRPr="0028747A">
        <w:rPr>
          <w:rFonts w:ascii="Arial" w:eastAsiaTheme="minorHAnsi" w:hAnsi="Arial" w:cs="Arial"/>
          <w:b/>
          <w:bCs/>
          <w:color w:val="auto"/>
          <w:sz w:val="22"/>
          <w:lang w:val="en-AU" w:eastAsia="en-US"/>
        </w:rPr>
        <w:t>Childerley Estate Stores v Standard Bank of SA Ltd</w:t>
      </w:r>
      <w:r w:rsidR="00B15609" w:rsidRPr="0028747A">
        <w:rPr>
          <w:rFonts w:ascii="Arial" w:eastAsiaTheme="minorHAnsi" w:hAnsi="Arial" w:cs="Arial"/>
          <w:color w:val="auto"/>
          <w:sz w:val="22"/>
          <w:lang w:val="en-AU" w:eastAsia="en-US"/>
        </w:rPr>
        <w:t>,</w:t>
      </w:r>
      <w:r w:rsidRPr="0028747A">
        <w:rPr>
          <w:rFonts w:ascii="Arial" w:hAnsi="Arial" w:cs="Arial"/>
          <w:sz w:val="22"/>
          <w:vertAlign w:val="superscript"/>
        </w:rPr>
        <w:footnoteReference w:id="11"/>
      </w:r>
      <w:r w:rsidRPr="0028747A">
        <w:rPr>
          <w:rFonts w:ascii="Arial" w:eastAsiaTheme="minorHAnsi" w:hAnsi="Arial" w:cs="Arial"/>
          <w:color w:val="auto"/>
          <w:sz w:val="22"/>
          <w:lang w:val="en-AU" w:eastAsia="en-US"/>
        </w:rPr>
        <w:t xml:space="preserve"> De Villiers JP held that a judgment could be set aside on the ground of the discovery of new documents after the judgment has been given in </w:t>
      </w:r>
      <w:r w:rsidRPr="0028747A">
        <w:rPr>
          <w:rFonts w:ascii="Arial" w:eastAsiaTheme="minorHAnsi" w:hAnsi="Arial" w:cs="Arial"/>
          <w:i/>
          <w:iCs/>
          <w:color w:val="auto"/>
          <w:sz w:val="22"/>
          <w:lang w:val="en-AU" w:eastAsia="en-US"/>
        </w:rPr>
        <w:t>certain exceptional circumstances only</w:t>
      </w:r>
      <w:r w:rsidRPr="0028747A">
        <w:rPr>
          <w:rFonts w:ascii="Arial" w:eastAsiaTheme="minorHAnsi" w:hAnsi="Arial" w:cs="Arial"/>
          <w:color w:val="auto"/>
          <w:sz w:val="22"/>
          <w:lang w:val="en-AU" w:eastAsia="en-US"/>
        </w:rPr>
        <w:t>.</w:t>
      </w:r>
      <w:r w:rsidR="00B15609" w:rsidRPr="0028747A">
        <w:rPr>
          <w:rFonts w:ascii="Arial" w:eastAsiaTheme="minorHAnsi" w:hAnsi="Arial" w:cs="Arial"/>
          <w:color w:val="auto"/>
          <w:sz w:val="22"/>
          <w:lang w:val="en-AU" w:eastAsia="en-US"/>
        </w:rPr>
        <w:t xml:space="preserve"> These exceptional circumstances include:</w:t>
      </w:r>
    </w:p>
    <w:p w14:paraId="45040541" w14:textId="77777777" w:rsidR="00B15609" w:rsidRPr="0028747A" w:rsidRDefault="00B15609" w:rsidP="00F32287">
      <w:pPr>
        <w:pStyle w:val="ListParagraph"/>
        <w:numPr>
          <w:ilvl w:val="1"/>
          <w:numId w:val="6"/>
        </w:numPr>
        <w:spacing w:after="360" w:line="480" w:lineRule="auto"/>
        <w:ind w:left="1134" w:right="-153"/>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testamentary suits in which judgment has been given on a will and subsequently a later will/codicil has been discovered;</w:t>
      </w:r>
    </w:p>
    <w:p w14:paraId="321B1DA5" w14:textId="77777777" w:rsidR="00B15609" w:rsidRPr="0028747A" w:rsidRDefault="00B15609" w:rsidP="00F32287">
      <w:pPr>
        <w:pStyle w:val="ListParagraph"/>
        <w:numPr>
          <w:ilvl w:val="1"/>
          <w:numId w:val="6"/>
        </w:numPr>
        <w:spacing w:after="360" w:line="480" w:lineRule="auto"/>
        <w:ind w:left="1134" w:right="-153"/>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cases in which it was in consequence of the fraud of the opposite party that the relevant document was not found or produced at the trial;</w:t>
      </w:r>
    </w:p>
    <w:p w14:paraId="7CBF9D6F" w14:textId="65C57A3F" w:rsidR="00B15609" w:rsidRPr="0028747A" w:rsidRDefault="00B15609" w:rsidP="00F32287">
      <w:pPr>
        <w:pStyle w:val="ListParagraph"/>
        <w:keepLines/>
        <w:numPr>
          <w:ilvl w:val="1"/>
          <w:numId w:val="6"/>
        </w:numPr>
        <w:spacing w:after="360" w:line="480" w:lineRule="auto"/>
        <w:ind w:left="1134" w:right="-153"/>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cases in which it was without the slightest fault on the part of the applicant seeking to introduce the new document or his legal representative(s) that the document was not found and produced before judgment; and</w:t>
      </w:r>
    </w:p>
    <w:p w14:paraId="2EC68F98" w14:textId="38966579" w:rsidR="008942B5" w:rsidRPr="0028747A" w:rsidRDefault="00B15609" w:rsidP="00F32287">
      <w:pPr>
        <w:pStyle w:val="ListParagraph"/>
        <w:numPr>
          <w:ilvl w:val="1"/>
          <w:numId w:val="6"/>
        </w:numPr>
        <w:spacing w:after="360" w:line="480" w:lineRule="auto"/>
        <w:ind w:left="1134" w:right="-153"/>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 xml:space="preserve">cases in which the judgment was founded on a presumption of law, on the opinion of a </w:t>
      </w:r>
      <w:r w:rsidRPr="0028747A">
        <w:rPr>
          <w:rFonts w:ascii="Arial" w:eastAsiaTheme="minorHAnsi" w:hAnsi="Arial" w:cs="Arial"/>
          <w:i/>
          <w:iCs/>
          <w:color w:val="auto"/>
          <w:sz w:val="22"/>
          <w:lang w:val="en-AU" w:eastAsia="en-US"/>
        </w:rPr>
        <w:t>jurisconsult</w:t>
      </w:r>
      <w:r w:rsidRPr="0028747A">
        <w:rPr>
          <w:rFonts w:ascii="Arial" w:eastAsiaTheme="minorHAnsi" w:hAnsi="Arial" w:cs="Arial"/>
          <w:color w:val="auto"/>
          <w:sz w:val="22"/>
          <w:lang w:val="en-AU" w:eastAsia="en-US"/>
        </w:rPr>
        <w:t xml:space="preserve"> or on expert evidence.</w:t>
      </w:r>
    </w:p>
    <w:p w14:paraId="480DCCD1" w14:textId="274EC309" w:rsidR="003C60C0" w:rsidRPr="0028747A" w:rsidRDefault="003C60C0"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As a general rule</w:t>
      </w:r>
      <w:r w:rsidR="00FE299E"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 xml:space="preserve"> a party cannot have a judgment set aside on the basis of </w:t>
      </w:r>
      <w:bookmarkStart w:id="12" w:name="_Hlk150856934"/>
      <w:r w:rsidRPr="0028747A">
        <w:rPr>
          <w:rFonts w:ascii="Arial" w:eastAsiaTheme="minorHAnsi" w:hAnsi="Arial" w:cs="Arial"/>
          <w:color w:val="auto"/>
          <w:sz w:val="22"/>
          <w:lang w:val="en-AU" w:eastAsia="en-US"/>
        </w:rPr>
        <w:t>evidence that was or ought to have been available to him before judgment.</w:t>
      </w:r>
      <w:r w:rsidR="008B732A" w:rsidRPr="0028747A">
        <w:rPr>
          <w:rStyle w:val="FootnoteReference"/>
          <w:rFonts w:ascii="Arial" w:eastAsiaTheme="minorHAnsi" w:hAnsi="Arial" w:cs="Arial"/>
          <w:color w:val="auto"/>
          <w:sz w:val="22"/>
          <w:lang w:val="en-AU" w:eastAsia="en-US"/>
        </w:rPr>
        <w:footnoteReference w:id="12"/>
      </w:r>
      <w:r w:rsidRPr="0028747A">
        <w:rPr>
          <w:rFonts w:ascii="Arial" w:eastAsiaTheme="minorHAnsi" w:hAnsi="Arial" w:cs="Arial"/>
          <w:color w:val="auto"/>
          <w:sz w:val="22"/>
          <w:lang w:val="en-AU" w:eastAsia="en-US"/>
        </w:rPr>
        <w:t> The late discovery of a document, which disproves the correctness of a judgment, will only be a ground for setting a</w:t>
      </w:r>
      <w:r w:rsidR="00FE299E" w:rsidRPr="0028747A">
        <w:rPr>
          <w:rFonts w:ascii="Arial" w:eastAsiaTheme="minorHAnsi" w:hAnsi="Arial" w:cs="Arial"/>
          <w:color w:val="auto"/>
          <w:sz w:val="22"/>
          <w:lang w:val="en-AU" w:eastAsia="en-US"/>
        </w:rPr>
        <w:t>side a</w:t>
      </w:r>
      <w:r w:rsidRPr="0028747A">
        <w:rPr>
          <w:rFonts w:ascii="Arial" w:eastAsiaTheme="minorHAnsi" w:hAnsi="Arial" w:cs="Arial"/>
          <w:color w:val="auto"/>
          <w:sz w:val="22"/>
          <w:lang w:val="en-AU" w:eastAsia="en-US"/>
        </w:rPr>
        <w:t xml:space="preserve"> final judgment if the successful litigant fraudulently suppressed the document and the other party only became aware of it after judgment</w:t>
      </w:r>
      <w:bookmarkEnd w:id="12"/>
      <w:r w:rsidRPr="0028747A">
        <w:rPr>
          <w:rFonts w:ascii="Arial" w:eastAsiaTheme="minorHAnsi" w:hAnsi="Arial" w:cs="Arial"/>
          <w:color w:val="auto"/>
          <w:sz w:val="22"/>
          <w:lang w:val="en-AU" w:eastAsia="en-US"/>
        </w:rPr>
        <w:t>.</w:t>
      </w:r>
      <w:r w:rsidR="008B732A" w:rsidRPr="0028747A">
        <w:rPr>
          <w:rStyle w:val="FootnoteReference"/>
          <w:rFonts w:ascii="Arial" w:eastAsiaTheme="minorHAnsi" w:hAnsi="Arial" w:cs="Arial"/>
          <w:color w:val="auto"/>
          <w:sz w:val="22"/>
          <w:lang w:val="en-AU" w:eastAsia="en-US"/>
        </w:rPr>
        <w:footnoteReference w:id="13"/>
      </w:r>
      <w:r w:rsidR="008B732A" w:rsidRPr="0028747A">
        <w:rPr>
          <w:rFonts w:ascii="Arial" w:eastAsiaTheme="minorHAnsi" w:hAnsi="Arial" w:cs="Arial"/>
          <w:color w:val="auto"/>
          <w:sz w:val="22"/>
          <w:lang w:val="en-AU" w:eastAsia="en-US"/>
        </w:rPr>
        <w:t xml:space="preserve"> </w:t>
      </w:r>
    </w:p>
    <w:p w14:paraId="2A963057" w14:textId="6ACF1B1C" w:rsidR="00E1577D" w:rsidRPr="0028747A" w:rsidRDefault="00126E3F"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Finally, t</w:t>
      </w:r>
      <w:r w:rsidR="00E1577D" w:rsidRPr="0028747A">
        <w:rPr>
          <w:rFonts w:ascii="Arial" w:eastAsiaTheme="minorHAnsi" w:hAnsi="Arial" w:cs="Arial"/>
          <w:color w:val="auto"/>
          <w:sz w:val="22"/>
          <w:lang w:val="en-AU" w:eastAsia="en-US"/>
        </w:rPr>
        <w:t xml:space="preserve">he Supreme Court of Appeal in the unreported judgment of </w:t>
      </w:r>
      <w:bookmarkStart w:id="13" w:name="_Hlk150935410"/>
      <w:bookmarkStart w:id="14" w:name="_Hlk150931332"/>
      <w:r w:rsidR="00E1577D" w:rsidRPr="0028747A">
        <w:rPr>
          <w:rFonts w:ascii="Arial" w:eastAsiaTheme="minorHAnsi" w:hAnsi="Arial" w:cs="Arial"/>
          <w:b/>
          <w:bCs/>
          <w:color w:val="auto"/>
          <w:sz w:val="22"/>
          <w:lang w:val="en-AU" w:eastAsia="en-US"/>
        </w:rPr>
        <w:t>Fraai Uitzicht 1798 Farm (Pty) Ltd</w:t>
      </w:r>
      <w:bookmarkEnd w:id="13"/>
      <w:r w:rsidR="00E1577D" w:rsidRPr="0028747A">
        <w:rPr>
          <w:rFonts w:ascii="Arial" w:eastAsiaTheme="minorHAnsi" w:hAnsi="Arial" w:cs="Arial"/>
          <w:b/>
          <w:bCs/>
          <w:color w:val="auto"/>
          <w:sz w:val="22"/>
          <w:lang w:val="en-AU" w:eastAsia="en-US"/>
        </w:rPr>
        <w:t xml:space="preserve"> v McCullough</w:t>
      </w:r>
      <w:bookmarkEnd w:id="14"/>
      <w:r w:rsidR="007D7626" w:rsidRPr="0028747A">
        <w:rPr>
          <w:rStyle w:val="FootnoteReference"/>
          <w:rFonts w:ascii="Arial" w:eastAsiaTheme="minorHAnsi" w:hAnsi="Arial" w:cs="Arial"/>
          <w:b/>
          <w:bCs/>
          <w:color w:val="auto"/>
          <w:sz w:val="22"/>
          <w:lang w:val="en-AU" w:eastAsia="en-US"/>
        </w:rPr>
        <w:footnoteReference w:id="14"/>
      </w:r>
      <w:r w:rsidR="00E1577D" w:rsidRPr="0028747A">
        <w:rPr>
          <w:rFonts w:ascii="Arial" w:eastAsiaTheme="minorHAnsi" w:hAnsi="Arial" w:cs="Arial"/>
          <w:color w:val="auto"/>
          <w:sz w:val="22"/>
          <w:lang w:val="en-AU" w:eastAsia="en-US"/>
        </w:rPr>
        <w:t xml:space="preserve"> had to determine the question of </w:t>
      </w:r>
      <w:r w:rsidR="00E1577D" w:rsidRPr="0028747A">
        <w:rPr>
          <w:rFonts w:ascii="Arial" w:eastAsiaTheme="minorHAnsi" w:hAnsi="Arial" w:cs="Arial"/>
          <w:i/>
          <w:iCs/>
          <w:color w:val="auto"/>
          <w:sz w:val="22"/>
          <w:lang w:val="en-AU" w:eastAsia="en-US"/>
        </w:rPr>
        <w:t>justus error</w:t>
      </w:r>
      <w:r w:rsidR="00E1577D" w:rsidRPr="0028747A">
        <w:rPr>
          <w:rFonts w:ascii="Arial" w:eastAsiaTheme="minorHAnsi" w:hAnsi="Arial" w:cs="Arial"/>
          <w:color w:val="auto"/>
          <w:sz w:val="22"/>
          <w:lang w:val="en-AU" w:eastAsia="en-US"/>
        </w:rPr>
        <w:t xml:space="preserve"> and whether the appellant in that matter had shown an entitlement to </w:t>
      </w:r>
      <w:r w:rsidRPr="0028747A">
        <w:rPr>
          <w:rFonts w:ascii="Arial" w:eastAsiaTheme="minorHAnsi" w:hAnsi="Arial" w:cs="Arial"/>
          <w:color w:val="auto"/>
          <w:sz w:val="22"/>
          <w:lang w:val="en-AU" w:eastAsia="en-US"/>
        </w:rPr>
        <w:t xml:space="preserve">a </w:t>
      </w:r>
      <w:r w:rsidR="00E1577D" w:rsidRPr="0028747A">
        <w:rPr>
          <w:rFonts w:ascii="Arial" w:eastAsiaTheme="minorHAnsi" w:hAnsi="Arial" w:cs="Arial"/>
          <w:color w:val="auto"/>
          <w:sz w:val="22"/>
          <w:lang w:val="en-AU" w:eastAsia="en-US"/>
        </w:rPr>
        <w:t xml:space="preserve">rescission of the order as a result of four missing (lost) documents. </w:t>
      </w:r>
    </w:p>
    <w:p w14:paraId="6C24FDE5" w14:textId="10C7A675" w:rsidR="00E1577D" w:rsidRPr="0028747A" w:rsidRDefault="00E1577D"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SCA held that, at the very least, the (lost) documents should be of such significance that they would materially alter the outcome of the case. In other words, the applicant for rescission </w:t>
      </w:r>
      <w:bookmarkStart w:id="15" w:name="_Hlk150931823"/>
      <w:r w:rsidRPr="0028747A">
        <w:rPr>
          <w:rFonts w:ascii="Arial" w:eastAsiaTheme="minorHAnsi" w:hAnsi="Arial" w:cs="Arial"/>
          <w:color w:val="auto"/>
          <w:sz w:val="22"/>
          <w:lang w:val="en-AU" w:eastAsia="en-US"/>
        </w:rPr>
        <w:t xml:space="preserve">must allege and prove that, had the new documents been placed before the court which gave judgment, this would have </w:t>
      </w:r>
      <w:r w:rsidR="007D7626" w:rsidRPr="0028747A">
        <w:rPr>
          <w:rFonts w:ascii="Arial" w:eastAsiaTheme="minorHAnsi" w:hAnsi="Arial" w:cs="Arial"/>
          <w:color w:val="auto"/>
          <w:sz w:val="22"/>
          <w:lang w:val="en-AU" w:eastAsia="en-US"/>
        </w:rPr>
        <w:t xml:space="preserve">materially </w:t>
      </w:r>
      <w:r w:rsidRPr="0028747A">
        <w:rPr>
          <w:rFonts w:ascii="Arial" w:eastAsiaTheme="minorHAnsi" w:hAnsi="Arial" w:cs="Arial"/>
          <w:color w:val="auto"/>
          <w:sz w:val="22"/>
          <w:lang w:val="en-AU" w:eastAsia="en-US"/>
        </w:rPr>
        <w:t>altered the outcome</w:t>
      </w:r>
      <w:bookmarkEnd w:id="15"/>
      <w:r w:rsidRPr="0028747A">
        <w:rPr>
          <w:rFonts w:ascii="Arial" w:eastAsiaTheme="minorHAnsi" w:hAnsi="Arial" w:cs="Arial"/>
          <w:color w:val="auto"/>
          <w:sz w:val="22"/>
          <w:lang w:val="en-AU" w:eastAsia="en-US"/>
        </w:rPr>
        <w:t>.</w:t>
      </w:r>
      <w:r w:rsidRPr="0028747A">
        <w:rPr>
          <w:rStyle w:val="FootnoteReference"/>
          <w:rFonts w:ascii="Arial" w:eastAsiaTheme="minorHAnsi" w:hAnsi="Arial" w:cs="Arial"/>
          <w:color w:val="auto"/>
          <w:sz w:val="22"/>
          <w:lang w:val="en-AU" w:eastAsia="en-US"/>
        </w:rPr>
        <w:footnoteReference w:id="15"/>
      </w:r>
    </w:p>
    <w:p w14:paraId="2E841DFF" w14:textId="7ADE6379" w:rsidR="00DD05CA" w:rsidRPr="00DE026E" w:rsidRDefault="00DE026E" w:rsidP="00F32287">
      <w:pPr>
        <w:pStyle w:val="ListParagraph"/>
        <w:keepLines/>
        <w:numPr>
          <w:ilvl w:val="0"/>
          <w:numId w:val="4"/>
        </w:numPr>
        <w:spacing w:before="240" w:after="360" w:line="276" w:lineRule="auto"/>
        <w:ind w:left="426" w:hanging="426"/>
        <w:contextualSpacing w:val="0"/>
        <w:rPr>
          <w:rFonts w:ascii="Arial" w:hAnsi="Arial" w:cs="Arial"/>
          <w:b/>
          <w:sz w:val="22"/>
        </w:rPr>
      </w:pPr>
      <w:r w:rsidRPr="00DE026E">
        <w:rPr>
          <w:rFonts w:ascii="Arial" w:hAnsi="Arial" w:cs="Arial"/>
          <w:b/>
          <w:sz w:val="22"/>
        </w:rPr>
        <w:t>THE RELEVANT AND MATERIAL BACKGROUND FACTS</w:t>
      </w:r>
    </w:p>
    <w:p w14:paraId="0EE71962" w14:textId="4C2B7FCE" w:rsidR="00DF0D3A" w:rsidRPr="0028747A" w:rsidRDefault="001726A8" w:rsidP="00F32287">
      <w:pPr>
        <w:pStyle w:val="ListParagraph"/>
        <w:keepLines/>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In these proceedings, i</w:t>
      </w:r>
      <w:r w:rsidR="00DF0D3A" w:rsidRPr="0028747A">
        <w:rPr>
          <w:rFonts w:ascii="Arial" w:eastAsiaTheme="minorHAnsi" w:hAnsi="Arial" w:cs="Arial"/>
          <w:color w:val="auto"/>
          <w:sz w:val="22"/>
          <w:lang w:val="en-AU" w:eastAsia="en-US"/>
        </w:rPr>
        <w:t xml:space="preserve">t is common cause that </w:t>
      </w:r>
      <w:r w:rsidR="00DD05CA" w:rsidRPr="0028747A">
        <w:rPr>
          <w:rFonts w:ascii="Arial" w:eastAsiaTheme="minorHAnsi" w:hAnsi="Arial" w:cs="Arial"/>
          <w:color w:val="auto"/>
          <w:sz w:val="22"/>
          <w:lang w:val="en-AU" w:eastAsia="en-US"/>
        </w:rPr>
        <w:t xml:space="preserve">(i) </w:t>
      </w:r>
      <w:r w:rsidR="000072BD" w:rsidRPr="0028747A">
        <w:rPr>
          <w:rFonts w:ascii="Arial" w:eastAsiaTheme="minorHAnsi" w:hAnsi="Arial" w:cs="Arial"/>
          <w:color w:val="auto"/>
          <w:sz w:val="22"/>
          <w:lang w:val="en-AU" w:eastAsia="en-US"/>
        </w:rPr>
        <w:t>the divorce proceedings are still pending; (ii) a Rule 43 Order was granted in November 2019; (iii) the parties signed a settlement agreement in September 2020; (iv) the applicant has not complied with the terms of the Rule 43 Order or the settlement agreement; (v) the existence of the settlement agreement was not before Moorcraft AJ during the contempt proceedings; and (vi) neither the applicant nor the respondent informed the court of the existence of the settlement agreement in the contempt proceedings.</w:t>
      </w:r>
    </w:p>
    <w:p w14:paraId="05535573" w14:textId="21DE9777" w:rsidR="000072BD" w:rsidRPr="0028747A" w:rsidRDefault="000072BD"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applicant states that </w:t>
      </w:r>
      <w:r w:rsidR="00C34049" w:rsidRPr="0028747A">
        <w:rPr>
          <w:rFonts w:ascii="Arial" w:eastAsiaTheme="minorHAnsi" w:hAnsi="Arial" w:cs="Arial"/>
          <w:color w:val="auto"/>
          <w:sz w:val="22"/>
          <w:lang w:val="en-AU" w:eastAsia="en-US"/>
        </w:rPr>
        <w:t xml:space="preserve">he only informed his legal representatives of the existence of the settlement agreement </w:t>
      </w:r>
      <w:r w:rsidR="00C34049" w:rsidRPr="0028747A">
        <w:rPr>
          <w:rFonts w:ascii="Arial" w:eastAsiaTheme="minorHAnsi" w:hAnsi="Arial" w:cs="Arial"/>
          <w:i/>
          <w:iCs/>
          <w:color w:val="auto"/>
          <w:sz w:val="22"/>
          <w:lang w:val="en-AU" w:eastAsia="en-US"/>
        </w:rPr>
        <w:t xml:space="preserve">after </w:t>
      </w:r>
      <w:r w:rsidR="00C34049" w:rsidRPr="0028747A">
        <w:rPr>
          <w:rFonts w:ascii="Arial" w:eastAsiaTheme="minorHAnsi" w:hAnsi="Arial" w:cs="Arial"/>
          <w:color w:val="auto"/>
          <w:sz w:val="22"/>
          <w:lang w:val="en-AU" w:eastAsia="en-US"/>
        </w:rPr>
        <w:t xml:space="preserve">the contempt of court order was granted. The applicant explains that he </w:t>
      </w:r>
      <w:bookmarkStart w:id="17" w:name="_Hlk150857407"/>
      <w:r w:rsidR="00C34049" w:rsidRPr="0028747A">
        <w:rPr>
          <w:rFonts w:ascii="Arial" w:eastAsiaTheme="minorHAnsi" w:hAnsi="Arial" w:cs="Arial"/>
          <w:color w:val="auto"/>
          <w:sz w:val="22"/>
          <w:lang w:val="en-AU" w:eastAsia="en-US"/>
        </w:rPr>
        <w:t>had forgotten</w:t>
      </w:r>
      <w:r w:rsidR="00815239" w:rsidRPr="0028747A">
        <w:rPr>
          <w:rStyle w:val="FootnoteReference"/>
          <w:rFonts w:ascii="Arial" w:eastAsiaTheme="minorHAnsi" w:hAnsi="Arial" w:cs="Arial"/>
          <w:color w:val="auto"/>
          <w:sz w:val="22"/>
          <w:lang w:val="en-AU" w:eastAsia="en-US"/>
        </w:rPr>
        <w:footnoteReference w:id="16"/>
      </w:r>
      <w:r w:rsidR="00C34049" w:rsidRPr="0028747A">
        <w:rPr>
          <w:rFonts w:ascii="Arial" w:eastAsiaTheme="minorHAnsi" w:hAnsi="Arial" w:cs="Arial"/>
          <w:color w:val="auto"/>
          <w:sz w:val="22"/>
          <w:lang w:val="en-AU" w:eastAsia="en-US"/>
        </w:rPr>
        <w:t xml:space="preserve"> about the settlement agreement and that he was not sure how it fit into the contempt proceedings. In my view, these explanations are mutually exclusive. </w:t>
      </w:r>
    </w:p>
    <w:p w14:paraId="3863DEA7" w14:textId="51115225" w:rsidR="00C34049" w:rsidRPr="0028747A" w:rsidRDefault="00C3404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bookmarkStart w:id="18" w:name="_Hlk150854409"/>
      <w:bookmarkEnd w:id="17"/>
      <w:r w:rsidRPr="0028747A">
        <w:rPr>
          <w:rFonts w:ascii="Arial" w:eastAsiaTheme="minorHAnsi" w:hAnsi="Arial" w:cs="Arial"/>
          <w:color w:val="auto"/>
          <w:sz w:val="22"/>
          <w:lang w:val="en-AU" w:eastAsia="en-US"/>
        </w:rPr>
        <w:t xml:space="preserve">The applicant’s position is that the settlement agreement supersedes the Rule 43 Order. </w:t>
      </w:r>
      <w:bookmarkEnd w:id="18"/>
      <w:r w:rsidRPr="0028747A">
        <w:rPr>
          <w:rFonts w:ascii="Arial" w:eastAsiaTheme="minorHAnsi" w:hAnsi="Arial" w:cs="Arial"/>
          <w:color w:val="auto"/>
          <w:sz w:val="22"/>
          <w:lang w:val="en-AU" w:eastAsia="en-US"/>
        </w:rPr>
        <w:t>The applicant states that the parties, by agreement, altered the terms of the Rule 43 Order.</w:t>
      </w:r>
    </w:p>
    <w:p w14:paraId="69643692" w14:textId="63CE0299" w:rsidR="008F0D05" w:rsidRPr="0028747A" w:rsidRDefault="008F0D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applicant also states that the respondent asked for performance in accordance with the settlement agreement and accordingly he </w:t>
      </w:r>
      <w:bookmarkStart w:id="19" w:name="_Hlk150937841"/>
      <w:r w:rsidRPr="0028747A">
        <w:rPr>
          <w:rFonts w:ascii="Arial" w:eastAsiaTheme="minorHAnsi" w:hAnsi="Arial" w:cs="Arial"/>
          <w:color w:val="auto"/>
          <w:sz w:val="22"/>
          <w:lang w:val="en-AU" w:eastAsia="en-US"/>
        </w:rPr>
        <w:t>would have been entitled to raise the defence of estoppel in the contempt proceedings.</w:t>
      </w:r>
    </w:p>
    <w:bookmarkEnd w:id="19"/>
    <w:p w14:paraId="3151CFCE" w14:textId="4D7F9C72" w:rsidR="000072BD" w:rsidRPr="0028747A" w:rsidRDefault="00CF25A3"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applicant </w:t>
      </w:r>
      <w:r w:rsidR="004F0E7F" w:rsidRPr="0028747A">
        <w:rPr>
          <w:rFonts w:ascii="Arial" w:eastAsiaTheme="minorHAnsi" w:hAnsi="Arial" w:cs="Arial"/>
          <w:color w:val="auto"/>
          <w:sz w:val="22"/>
          <w:lang w:val="en-AU" w:eastAsia="en-US"/>
        </w:rPr>
        <w:t>states</w:t>
      </w:r>
      <w:r w:rsidRPr="0028747A">
        <w:rPr>
          <w:rFonts w:ascii="Arial" w:eastAsiaTheme="minorHAnsi" w:hAnsi="Arial" w:cs="Arial"/>
          <w:color w:val="auto"/>
          <w:sz w:val="22"/>
          <w:lang w:val="en-AU" w:eastAsia="en-US"/>
        </w:rPr>
        <w:t xml:space="preserve"> </w:t>
      </w:r>
      <w:r w:rsidR="00C34049" w:rsidRPr="0028747A">
        <w:rPr>
          <w:rFonts w:ascii="Arial" w:eastAsiaTheme="minorHAnsi" w:hAnsi="Arial" w:cs="Arial"/>
          <w:color w:val="auto"/>
          <w:sz w:val="22"/>
          <w:lang w:val="en-AU" w:eastAsia="en-US"/>
        </w:rPr>
        <w:t xml:space="preserve">further </w:t>
      </w:r>
      <w:r w:rsidRPr="0028747A">
        <w:rPr>
          <w:rFonts w:ascii="Arial" w:eastAsiaTheme="minorHAnsi" w:hAnsi="Arial" w:cs="Arial"/>
          <w:color w:val="auto"/>
          <w:sz w:val="22"/>
          <w:lang w:val="en-AU" w:eastAsia="en-US"/>
        </w:rPr>
        <w:t xml:space="preserve">that </w:t>
      </w:r>
      <w:r w:rsidR="000072BD" w:rsidRPr="0028747A">
        <w:rPr>
          <w:rFonts w:ascii="Arial" w:eastAsiaTheme="minorHAnsi" w:hAnsi="Arial" w:cs="Arial"/>
          <w:color w:val="auto"/>
          <w:sz w:val="22"/>
          <w:lang w:val="en-AU" w:eastAsia="en-US"/>
        </w:rPr>
        <w:t xml:space="preserve">the failure by both parties to produce the settlement agreement during the contempt proceedings constitutes a mistake common to the parties as contemplated in </w:t>
      </w:r>
      <w:r w:rsidR="004D01F9" w:rsidRPr="0028747A">
        <w:rPr>
          <w:rFonts w:ascii="Arial" w:eastAsiaTheme="minorHAnsi" w:hAnsi="Arial" w:cs="Arial"/>
          <w:color w:val="auto"/>
          <w:sz w:val="22"/>
          <w:lang w:val="en-AU" w:eastAsia="en-US"/>
        </w:rPr>
        <w:t>R</w:t>
      </w:r>
      <w:r w:rsidR="000072BD" w:rsidRPr="0028747A">
        <w:rPr>
          <w:rFonts w:ascii="Arial" w:eastAsiaTheme="minorHAnsi" w:hAnsi="Arial" w:cs="Arial"/>
          <w:color w:val="auto"/>
          <w:sz w:val="22"/>
          <w:lang w:val="en-AU" w:eastAsia="en-US"/>
        </w:rPr>
        <w:t>ule 42(1)(c).</w:t>
      </w:r>
    </w:p>
    <w:p w14:paraId="0E4A17E1" w14:textId="56E017D9" w:rsidR="008F0D05" w:rsidRPr="0028747A" w:rsidRDefault="00C3404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respondent’s position is that </w:t>
      </w:r>
      <w:r w:rsidR="008F0D05" w:rsidRPr="0028747A">
        <w:rPr>
          <w:rFonts w:ascii="Arial" w:eastAsiaTheme="minorHAnsi" w:hAnsi="Arial" w:cs="Arial"/>
          <w:color w:val="auto"/>
          <w:sz w:val="22"/>
          <w:lang w:val="en-AU" w:eastAsia="en-US"/>
        </w:rPr>
        <w:t>the parties were not mistaken and that she was entitled to enforce her rights in terms of the Rule 43 Order. The respondent</w:t>
      </w:r>
      <w:r w:rsidR="00850BC7" w:rsidRPr="0028747A">
        <w:rPr>
          <w:rFonts w:ascii="Arial" w:eastAsiaTheme="minorHAnsi" w:hAnsi="Arial" w:cs="Arial"/>
          <w:color w:val="auto"/>
          <w:sz w:val="22"/>
          <w:lang w:val="en-AU" w:eastAsia="en-US"/>
        </w:rPr>
        <w:t xml:space="preserve"> states</w:t>
      </w:r>
      <w:r w:rsidR="008F0D05" w:rsidRPr="0028747A">
        <w:rPr>
          <w:rFonts w:ascii="Arial" w:eastAsiaTheme="minorHAnsi" w:hAnsi="Arial" w:cs="Arial"/>
          <w:color w:val="auto"/>
          <w:sz w:val="22"/>
          <w:lang w:val="en-AU" w:eastAsia="en-US"/>
        </w:rPr>
        <w:t xml:space="preserve"> </w:t>
      </w:r>
      <w:bookmarkStart w:id="20" w:name="_Hlk150855753"/>
      <w:r w:rsidR="008F0D05" w:rsidRPr="0028747A">
        <w:rPr>
          <w:rFonts w:ascii="Arial" w:eastAsiaTheme="minorHAnsi" w:hAnsi="Arial" w:cs="Arial"/>
          <w:color w:val="auto"/>
          <w:sz w:val="22"/>
          <w:lang w:val="en-AU" w:eastAsia="en-US"/>
        </w:rPr>
        <w:t xml:space="preserve">that the settlement </w:t>
      </w:r>
      <w:r w:rsidR="008F0D05" w:rsidRPr="0028747A">
        <w:rPr>
          <w:rFonts w:ascii="Arial" w:eastAsiaTheme="minorHAnsi" w:hAnsi="Arial" w:cs="Arial"/>
          <w:color w:val="auto"/>
          <w:sz w:val="22"/>
          <w:lang w:val="en-AU" w:eastAsia="en-US"/>
        </w:rPr>
        <w:lastRenderedPageBreak/>
        <w:t xml:space="preserve">agreement is a dead letter in that it has lost its force and authority and has been overtaken by subsequent events. </w:t>
      </w:r>
    </w:p>
    <w:bookmarkEnd w:id="20"/>
    <w:p w14:paraId="0585768F" w14:textId="43A05E37" w:rsidR="00C34049" w:rsidRPr="0028747A" w:rsidRDefault="008F0D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respondent states further that the reason </w:t>
      </w:r>
      <w:r w:rsidR="00850BC7" w:rsidRPr="0028747A">
        <w:rPr>
          <w:rFonts w:ascii="Arial" w:eastAsiaTheme="minorHAnsi" w:hAnsi="Arial" w:cs="Arial"/>
          <w:color w:val="auto"/>
          <w:sz w:val="22"/>
          <w:lang w:val="en-AU" w:eastAsia="en-US"/>
        </w:rPr>
        <w:t xml:space="preserve">she </w:t>
      </w:r>
      <w:r w:rsidR="007D7626" w:rsidRPr="0028747A">
        <w:rPr>
          <w:rFonts w:ascii="Arial" w:eastAsiaTheme="minorHAnsi" w:hAnsi="Arial" w:cs="Arial"/>
          <w:color w:val="auto"/>
          <w:sz w:val="22"/>
          <w:lang w:val="en-AU" w:eastAsia="en-US"/>
        </w:rPr>
        <w:t>did not</w:t>
      </w:r>
      <w:r w:rsidRPr="0028747A">
        <w:rPr>
          <w:rFonts w:ascii="Arial" w:eastAsiaTheme="minorHAnsi" w:hAnsi="Arial" w:cs="Arial"/>
          <w:color w:val="auto"/>
          <w:sz w:val="22"/>
          <w:lang w:val="en-AU" w:eastAsia="en-US"/>
        </w:rPr>
        <w:t xml:space="preserve"> </w:t>
      </w:r>
      <w:r w:rsidR="00850BC7" w:rsidRPr="0028747A">
        <w:rPr>
          <w:rFonts w:ascii="Arial" w:eastAsiaTheme="minorHAnsi" w:hAnsi="Arial" w:cs="Arial"/>
          <w:color w:val="auto"/>
          <w:sz w:val="22"/>
          <w:lang w:val="en-AU" w:eastAsia="en-US"/>
        </w:rPr>
        <w:t xml:space="preserve">refer to </w:t>
      </w:r>
      <w:r w:rsidRPr="0028747A">
        <w:rPr>
          <w:rFonts w:ascii="Arial" w:eastAsiaTheme="minorHAnsi" w:hAnsi="Arial" w:cs="Arial"/>
          <w:color w:val="auto"/>
          <w:sz w:val="22"/>
          <w:lang w:val="en-AU" w:eastAsia="en-US"/>
        </w:rPr>
        <w:t>the settlement agreement in the contempt proceedings is because she believed it was irrelevant because the applicant had not adhered to the settlement agreement. The respondent’s position is that the settlement agreement cannot supersede an enforceable court order.</w:t>
      </w:r>
    </w:p>
    <w:p w14:paraId="3DB3E64C" w14:textId="404C962C" w:rsidR="008F0D05" w:rsidRPr="0028747A" w:rsidRDefault="008F0D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The respondent denies that she requested performance in terms of the settlement agreement and states that she</w:t>
      </w:r>
      <w:r w:rsidR="001A4FD9" w:rsidRPr="0028747A">
        <w:rPr>
          <w:rFonts w:ascii="Arial" w:eastAsiaTheme="minorHAnsi" w:hAnsi="Arial" w:cs="Arial"/>
          <w:color w:val="auto"/>
          <w:sz w:val="22"/>
          <w:lang w:val="en-AU" w:eastAsia="en-US"/>
        </w:rPr>
        <w:t xml:space="preserve"> was in a desperate financial situation and</w:t>
      </w:r>
      <w:r w:rsidRPr="0028747A">
        <w:rPr>
          <w:rFonts w:ascii="Arial" w:eastAsiaTheme="minorHAnsi" w:hAnsi="Arial" w:cs="Arial"/>
          <w:color w:val="auto"/>
          <w:sz w:val="22"/>
          <w:lang w:val="en-AU" w:eastAsia="en-US"/>
        </w:rPr>
        <w:t xml:space="preserve"> </w:t>
      </w:r>
      <w:r w:rsidR="001A4FD9" w:rsidRPr="0028747A">
        <w:rPr>
          <w:rFonts w:ascii="Arial" w:eastAsiaTheme="minorHAnsi" w:hAnsi="Arial" w:cs="Arial"/>
          <w:color w:val="auto"/>
          <w:sz w:val="22"/>
          <w:lang w:val="en-AU" w:eastAsia="en-US"/>
        </w:rPr>
        <w:t>desperately</w:t>
      </w:r>
      <w:r w:rsidRPr="0028747A">
        <w:rPr>
          <w:rFonts w:ascii="Arial" w:eastAsiaTheme="minorHAnsi" w:hAnsi="Arial" w:cs="Arial"/>
          <w:color w:val="auto"/>
          <w:sz w:val="22"/>
          <w:lang w:val="en-AU" w:eastAsia="en-US"/>
        </w:rPr>
        <w:t xml:space="preserve"> </w:t>
      </w:r>
      <w:r w:rsidR="001A4FD9" w:rsidRPr="0028747A">
        <w:rPr>
          <w:rFonts w:ascii="Arial" w:eastAsiaTheme="minorHAnsi" w:hAnsi="Arial" w:cs="Arial"/>
          <w:color w:val="auto"/>
          <w:sz w:val="22"/>
          <w:lang w:val="en-AU" w:eastAsia="en-US"/>
        </w:rPr>
        <w:t>requested</w:t>
      </w:r>
      <w:r w:rsidRPr="0028747A">
        <w:rPr>
          <w:rFonts w:ascii="Arial" w:eastAsiaTheme="minorHAnsi" w:hAnsi="Arial" w:cs="Arial"/>
          <w:color w:val="auto"/>
          <w:sz w:val="22"/>
          <w:lang w:val="en-AU" w:eastAsia="en-US"/>
        </w:rPr>
        <w:t xml:space="preserve"> maint</w:t>
      </w:r>
      <w:r w:rsidR="001A4FD9" w:rsidRPr="0028747A">
        <w:rPr>
          <w:rFonts w:ascii="Arial" w:eastAsiaTheme="minorHAnsi" w:hAnsi="Arial" w:cs="Arial"/>
          <w:color w:val="auto"/>
          <w:sz w:val="22"/>
          <w:lang w:val="en-AU" w:eastAsia="en-US"/>
        </w:rPr>
        <w:t>en</w:t>
      </w:r>
      <w:r w:rsidRPr="0028747A">
        <w:rPr>
          <w:rFonts w:ascii="Arial" w:eastAsiaTheme="minorHAnsi" w:hAnsi="Arial" w:cs="Arial"/>
          <w:color w:val="auto"/>
          <w:sz w:val="22"/>
          <w:lang w:val="en-AU" w:eastAsia="en-US"/>
        </w:rPr>
        <w:t xml:space="preserve">ance from the applicant on several </w:t>
      </w:r>
      <w:r w:rsidR="001A4FD9" w:rsidRPr="0028747A">
        <w:rPr>
          <w:rFonts w:ascii="Arial" w:eastAsiaTheme="minorHAnsi" w:hAnsi="Arial" w:cs="Arial"/>
          <w:color w:val="auto"/>
          <w:sz w:val="22"/>
          <w:lang w:val="en-AU" w:eastAsia="en-US"/>
        </w:rPr>
        <w:t>occasions. The respondent also states that the applicant still refuses to make payment in terms the Rule 43 Order</w:t>
      </w:r>
      <w:r w:rsidR="00850BC7" w:rsidRPr="0028747A">
        <w:rPr>
          <w:rFonts w:ascii="Arial" w:eastAsiaTheme="minorHAnsi" w:hAnsi="Arial" w:cs="Arial"/>
          <w:color w:val="auto"/>
          <w:sz w:val="22"/>
          <w:lang w:val="en-AU" w:eastAsia="en-US"/>
        </w:rPr>
        <w:t>,</w:t>
      </w:r>
      <w:r w:rsidR="001A4FD9" w:rsidRPr="0028747A">
        <w:rPr>
          <w:rFonts w:ascii="Arial" w:eastAsiaTheme="minorHAnsi" w:hAnsi="Arial" w:cs="Arial"/>
          <w:color w:val="auto"/>
          <w:sz w:val="22"/>
          <w:lang w:val="en-AU" w:eastAsia="en-US"/>
        </w:rPr>
        <w:t xml:space="preserve"> let alone the settlement agreement.</w:t>
      </w:r>
      <w:r w:rsidR="00E251B2" w:rsidRPr="0028747A">
        <w:rPr>
          <w:rFonts w:ascii="Arial" w:eastAsiaTheme="minorHAnsi" w:hAnsi="Arial" w:cs="Arial"/>
          <w:color w:val="auto"/>
          <w:sz w:val="22"/>
          <w:lang w:val="en-AU" w:eastAsia="en-US"/>
        </w:rPr>
        <w:t xml:space="preserve"> </w:t>
      </w:r>
    </w:p>
    <w:p w14:paraId="45C657FA" w14:textId="5BFE5E20" w:rsidR="009F2F2D" w:rsidRPr="00DE026E" w:rsidRDefault="00DE026E" w:rsidP="00F32287">
      <w:pPr>
        <w:pStyle w:val="ListParagraph"/>
        <w:keepLines/>
        <w:numPr>
          <w:ilvl w:val="0"/>
          <w:numId w:val="4"/>
        </w:numPr>
        <w:spacing w:before="240" w:after="360" w:line="276" w:lineRule="auto"/>
        <w:ind w:left="426" w:hanging="426"/>
        <w:contextualSpacing w:val="0"/>
        <w:rPr>
          <w:rFonts w:ascii="Arial" w:hAnsi="Arial" w:cs="Arial"/>
          <w:b/>
          <w:sz w:val="22"/>
        </w:rPr>
      </w:pPr>
      <w:r w:rsidRPr="00DE026E">
        <w:rPr>
          <w:rFonts w:ascii="Arial" w:hAnsi="Arial" w:cs="Arial"/>
          <w:b/>
          <w:sz w:val="22"/>
        </w:rPr>
        <w:t>DISCUSSION: THE FACTS AND THE LAW</w:t>
      </w:r>
    </w:p>
    <w:p w14:paraId="085B2549" w14:textId="77777777" w:rsidR="003930CC" w:rsidRPr="0028747A" w:rsidRDefault="00DA0144"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w:t>
      </w:r>
      <w:r w:rsidR="001A4FD9" w:rsidRPr="0028747A">
        <w:rPr>
          <w:rFonts w:ascii="Arial" w:eastAsiaTheme="minorHAnsi" w:hAnsi="Arial" w:cs="Arial"/>
          <w:color w:val="auto"/>
          <w:sz w:val="22"/>
          <w:lang w:val="en-AU" w:eastAsia="en-US"/>
        </w:rPr>
        <w:t xml:space="preserve"> first deal with the rescission in term of </w:t>
      </w:r>
      <w:r w:rsidR="004D01F9" w:rsidRPr="0028747A">
        <w:rPr>
          <w:rFonts w:ascii="Arial" w:eastAsiaTheme="minorHAnsi" w:hAnsi="Arial" w:cs="Arial"/>
          <w:color w:val="auto"/>
          <w:sz w:val="22"/>
          <w:lang w:val="en-AU" w:eastAsia="en-US"/>
        </w:rPr>
        <w:t>R</w:t>
      </w:r>
      <w:r w:rsidR="001A4FD9" w:rsidRPr="0028747A">
        <w:rPr>
          <w:rFonts w:ascii="Arial" w:eastAsiaTheme="minorHAnsi" w:hAnsi="Arial" w:cs="Arial"/>
          <w:color w:val="auto"/>
          <w:sz w:val="22"/>
          <w:lang w:val="en-AU" w:eastAsia="en-US"/>
        </w:rPr>
        <w:t xml:space="preserve">ule 42(1)(c). </w:t>
      </w:r>
    </w:p>
    <w:p w14:paraId="0F616CAA" w14:textId="77777777" w:rsidR="00C84F01" w:rsidRDefault="001A4FD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w:t>
      </w:r>
      <w:r w:rsidR="00DA0144" w:rsidRPr="0028747A">
        <w:rPr>
          <w:rFonts w:ascii="Arial" w:eastAsiaTheme="minorHAnsi" w:hAnsi="Arial" w:cs="Arial"/>
          <w:color w:val="auto"/>
          <w:sz w:val="22"/>
          <w:lang w:val="en-AU" w:eastAsia="en-US"/>
        </w:rPr>
        <w:t xml:space="preserve">n my view, </w:t>
      </w:r>
      <w:bookmarkStart w:id="21" w:name="_Hlk150861936"/>
      <w:r w:rsidRPr="0028747A">
        <w:rPr>
          <w:rFonts w:ascii="Arial" w:eastAsiaTheme="minorHAnsi" w:hAnsi="Arial" w:cs="Arial"/>
          <w:color w:val="auto"/>
          <w:sz w:val="22"/>
          <w:lang w:val="en-AU" w:eastAsia="en-US"/>
        </w:rPr>
        <w:t xml:space="preserve">the </w:t>
      </w:r>
      <w:r w:rsidR="00C84F01">
        <w:rPr>
          <w:rFonts w:ascii="Arial" w:eastAsiaTheme="minorHAnsi" w:hAnsi="Arial" w:cs="Arial"/>
          <w:color w:val="auto"/>
          <w:sz w:val="22"/>
          <w:lang w:val="en-AU" w:eastAsia="en-US"/>
        </w:rPr>
        <w:t xml:space="preserve">mistake or </w:t>
      </w:r>
      <w:r w:rsidRPr="0028747A">
        <w:rPr>
          <w:rFonts w:ascii="Arial" w:eastAsiaTheme="minorHAnsi" w:hAnsi="Arial" w:cs="Arial"/>
          <w:color w:val="auto"/>
          <w:sz w:val="22"/>
          <w:lang w:val="en-AU" w:eastAsia="en-US"/>
        </w:rPr>
        <w:t xml:space="preserve">oversight </w:t>
      </w:r>
      <w:r w:rsidR="008074B3" w:rsidRPr="0028747A">
        <w:rPr>
          <w:rFonts w:ascii="Arial" w:eastAsiaTheme="minorHAnsi" w:hAnsi="Arial" w:cs="Arial"/>
          <w:color w:val="auto"/>
          <w:sz w:val="22"/>
          <w:lang w:val="en-AU" w:eastAsia="en-US"/>
        </w:rPr>
        <w:t>by</w:t>
      </w:r>
      <w:r w:rsidRPr="0028747A">
        <w:rPr>
          <w:rFonts w:ascii="Arial" w:eastAsiaTheme="minorHAnsi" w:hAnsi="Arial" w:cs="Arial"/>
          <w:color w:val="auto"/>
          <w:sz w:val="22"/>
          <w:lang w:val="en-AU" w:eastAsia="en-US"/>
        </w:rPr>
        <w:t xml:space="preserve"> both parties</w:t>
      </w:r>
      <w:r w:rsidR="003930CC" w:rsidRPr="0028747A">
        <w:rPr>
          <w:rFonts w:ascii="Arial" w:eastAsiaTheme="minorHAnsi" w:hAnsi="Arial" w:cs="Arial"/>
          <w:color w:val="auto"/>
          <w:sz w:val="22"/>
          <w:lang w:val="en-AU" w:eastAsia="en-US"/>
        </w:rPr>
        <w:t xml:space="preserve"> (or election vis-à-vis the respondent)</w:t>
      </w:r>
      <w:r w:rsidRPr="0028747A">
        <w:rPr>
          <w:rFonts w:ascii="Arial" w:eastAsiaTheme="minorHAnsi" w:hAnsi="Arial" w:cs="Arial"/>
          <w:color w:val="auto"/>
          <w:sz w:val="22"/>
          <w:lang w:val="en-AU" w:eastAsia="en-US"/>
        </w:rPr>
        <w:t xml:space="preserve"> </w:t>
      </w:r>
      <w:bookmarkEnd w:id="21"/>
      <w:r w:rsidR="008074B3" w:rsidRPr="0028747A">
        <w:rPr>
          <w:rFonts w:ascii="Arial" w:eastAsiaTheme="minorHAnsi" w:hAnsi="Arial" w:cs="Arial"/>
          <w:color w:val="auto"/>
          <w:sz w:val="22"/>
          <w:lang w:val="en-AU" w:eastAsia="en-US"/>
        </w:rPr>
        <w:t xml:space="preserve">in not </w:t>
      </w:r>
      <w:r w:rsidRPr="0028747A">
        <w:rPr>
          <w:rFonts w:ascii="Arial" w:eastAsiaTheme="minorHAnsi" w:hAnsi="Arial" w:cs="Arial"/>
          <w:color w:val="auto"/>
          <w:sz w:val="22"/>
          <w:lang w:val="en-AU" w:eastAsia="en-US"/>
        </w:rPr>
        <w:t>plac</w:t>
      </w:r>
      <w:r w:rsidR="008074B3" w:rsidRPr="0028747A">
        <w:rPr>
          <w:rFonts w:ascii="Arial" w:eastAsiaTheme="minorHAnsi" w:hAnsi="Arial" w:cs="Arial"/>
          <w:color w:val="auto"/>
          <w:sz w:val="22"/>
          <w:lang w:val="en-AU" w:eastAsia="en-US"/>
        </w:rPr>
        <w:t>ing</w:t>
      </w:r>
      <w:r w:rsidRPr="0028747A">
        <w:rPr>
          <w:rFonts w:ascii="Arial" w:eastAsiaTheme="minorHAnsi" w:hAnsi="Arial" w:cs="Arial"/>
          <w:color w:val="auto"/>
          <w:sz w:val="22"/>
          <w:lang w:val="en-AU" w:eastAsia="en-US"/>
        </w:rPr>
        <w:t xml:space="preserve"> the existence of the settlement agreement before the court in the contempt proceedings does not </w:t>
      </w:r>
      <w:r w:rsidR="0053090B" w:rsidRPr="0028747A">
        <w:rPr>
          <w:rFonts w:ascii="Arial" w:eastAsiaTheme="minorHAnsi" w:hAnsi="Arial" w:cs="Arial"/>
          <w:color w:val="auto"/>
          <w:sz w:val="22"/>
          <w:lang w:val="en-AU" w:eastAsia="en-US"/>
        </w:rPr>
        <w:t xml:space="preserve">constitute a common mistake of </w:t>
      </w:r>
      <w:r w:rsidR="0053090B" w:rsidRPr="0028747A">
        <w:rPr>
          <w:rFonts w:ascii="Arial" w:eastAsiaTheme="minorHAnsi" w:hAnsi="Arial" w:cs="Arial"/>
          <w:i/>
          <w:iCs/>
          <w:color w:val="auto"/>
          <w:sz w:val="22"/>
          <w:lang w:val="en-AU" w:eastAsia="en-US"/>
        </w:rPr>
        <w:t xml:space="preserve">fact </w:t>
      </w:r>
      <w:r w:rsidR="0053090B" w:rsidRPr="0028747A">
        <w:rPr>
          <w:rFonts w:ascii="Arial" w:eastAsiaTheme="minorHAnsi" w:hAnsi="Arial" w:cs="Arial"/>
          <w:color w:val="auto"/>
          <w:sz w:val="22"/>
          <w:lang w:val="en-AU" w:eastAsia="en-US"/>
        </w:rPr>
        <w:t xml:space="preserve">as contemplated in </w:t>
      </w:r>
      <w:r w:rsidR="004D01F9" w:rsidRPr="0028747A">
        <w:rPr>
          <w:rFonts w:ascii="Arial" w:eastAsiaTheme="minorHAnsi" w:hAnsi="Arial" w:cs="Arial"/>
          <w:color w:val="auto"/>
          <w:sz w:val="22"/>
          <w:lang w:val="en-AU" w:eastAsia="en-US"/>
        </w:rPr>
        <w:t>R</w:t>
      </w:r>
      <w:r w:rsidR="0053090B" w:rsidRPr="0028747A">
        <w:rPr>
          <w:rFonts w:ascii="Arial" w:eastAsiaTheme="minorHAnsi" w:hAnsi="Arial" w:cs="Arial"/>
          <w:color w:val="auto"/>
          <w:sz w:val="22"/>
          <w:lang w:val="en-AU" w:eastAsia="en-US"/>
        </w:rPr>
        <w:t>ule 42(1)(c)</w:t>
      </w:r>
      <w:r w:rsidR="00C84F01">
        <w:rPr>
          <w:rFonts w:ascii="Arial" w:eastAsiaTheme="minorHAnsi" w:hAnsi="Arial" w:cs="Arial"/>
          <w:color w:val="auto"/>
          <w:sz w:val="22"/>
          <w:lang w:val="en-AU" w:eastAsia="en-US"/>
        </w:rPr>
        <w:t xml:space="preserve">. </w:t>
      </w:r>
    </w:p>
    <w:p w14:paraId="03A4C570" w14:textId="72A718CE" w:rsidR="001A4FD9" w:rsidRPr="00C84F01" w:rsidRDefault="00C84F01"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C84F01">
        <w:rPr>
          <w:rFonts w:ascii="Arial" w:eastAsiaTheme="minorHAnsi" w:hAnsi="Arial" w:cs="Arial"/>
          <w:color w:val="auto"/>
          <w:sz w:val="22"/>
          <w:lang w:val="en-AU" w:eastAsia="en-US"/>
        </w:rPr>
        <w:t xml:space="preserve">As held in </w:t>
      </w:r>
      <w:r w:rsidRPr="00C84F01">
        <w:rPr>
          <w:rFonts w:ascii="Arial" w:eastAsiaTheme="minorHAnsi" w:hAnsi="Arial" w:cs="Arial"/>
          <w:b/>
          <w:bCs/>
          <w:color w:val="auto"/>
          <w:sz w:val="22"/>
          <w:lang w:val="en-AU" w:eastAsia="en-US"/>
        </w:rPr>
        <w:t>Colyn</w:t>
      </w:r>
      <w:r w:rsidRPr="00C84F01">
        <w:rPr>
          <w:rFonts w:ascii="Arial" w:eastAsiaTheme="minorHAnsi" w:hAnsi="Arial" w:cs="Arial"/>
          <w:color w:val="auto"/>
          <w:sz w:val="22"/>
          <w:lang w:val="en-AU" w:eastAsia="en-US"/>
        </w:rPr>
        <w:t>, not every mistake or irregularity may be corrected in terms of Rule</w:t>
      </w:r>
      <w:r w:rsidR="00DE026E">
        <w:rPr>
          <w:rFonts w:ascii="Arial" w:eastAsiaTheme="minorHAnsi" w:hAnsi="Arial" w:cs="Arial"/>
          <w:color w:val="auto"/>
          <w:sz w:val="22"/>
          <w:lang w:val="en-AU" w:eastAsia="en-US"/>
        </w:rPr>
        <w:t xml:space="preserve"> 42(1)</w:t>
      </w:r>
      <w:r w:rsidRPr="00C84F01">
        <w:rPr>
          <w:rFonts w:ascii="Arial" w:eastAsiaTheme="minorHAnsi" w:hAnsi="Arial" w:cs="Arial"/>
          <w:color w:val="auto"/>
          <w:sz w:val="22"/>
          <w:lang w:val="en-AU" w:eastAsia="en-US"/>
        </w:rPr>
        <w:t xml:space="preserve">. </w:t>
      </w:r>
      <w:r>
        <w:rPr>
          <w:rFonts w:ascii="Arial" w:eastAsiaTheme="minorHAnsi" w:hAnsi="Arial" w:cs="Arial"/>
          <w:color w:val="auto"/>
          <w:sz w:val="22"/>
          <w:lang w:val="en-AU" w:eastAsia="en-US"/>
        </w:rPr>
        <w:t xml:space="preserve">I do </w:t>
      </w:r>
      <w:r w:rsidRPr="00C84F01">
        <w:rPr>
          <w:rFonts w:ascii="Arial" w:eastAsiaTheme="minorHAnsi" w:hAnsi="Arial" w:cs="Arial"/>
          <w:color w:val="auto"/>
          <w:sz w:val="22"/>
          <w:lang w:val="en-AU" w:eastAsia="en-US"/>
        </w:rPr>
        <w:t>not</w:t>
      </w:r>
      <w:r>
        <w:rPr>
          <w:rFonts w:ascii="Arial" w:eastAsiaTheme="minorHAnsi" w:hAnsi="Arial" w:cs="Arial"/>
          <w:color w:val="auto"/>
          <w:sz w:val="22"/>
          <w:lang w:val="en-AU" w:eastAsia="en-US"/>
        </w:rPr>
        <w:t xml:space="preserve"> intend</w:t>
      </w:r>
      <w:r w:rsidRPr="00C84F01">
        <w:rPr>
          <w:rFonts w:ascii="Arial" w:eastAsiaTheme="minorHAnsi" w:hAnsi="Arial" w:cs="Arial"/>
          <w:color w:val="auto"/>
          <w:sz w:val="22"/>
          <w:lang w:val="en-AU" w:eastAsia="en-US"/>
        </w:rPr>
        <w:t xml:space="preserve"> to give a more extended application to Rule</w:t>
      </w:r>
      <w:r>
        <w:rPr>
          <w:rFonts w:ascii="Arial" w:eastAsiaTheme="minorHAnsi" w:hAnsi="Arial" w:cs="Arial"/>
          <w:color w:val="auto"/>
          <w:sz w:val="22"/>
          <w:lang w:val="en-AU" w:eastAsia="en-US"/>
        </w:rPr>
        <w:t xml:space="preserve"> 42(1)</w:t>
      </w:r>
      <w:r w:rsidRPr="00C84F01">
        <w:rPr>
          <w:rFonts w:ascii="Arial" w:eastAsiaTheme="minorHAnsi" w:hAnsi="Arial" w:cs="Arial"/>
          <w:color w:val="auto"/>
          <w:sz w:val="22"/>
          <w:lang w:val="en-AU" w:eastAsia="en-US"/>
        </w:rPr>
        <w:t xml:space="preserve"> to include </w:t>
      </w:r>
      <w:r>
        <w:rPr>
          <w:rFonts w:ascii="Arial" w:eastAsiaTheme="minorHAnsi" w:hAnsi="Arial" w:cs="Arial"/>
          <w:color w:val="auto"/>
          <w:sz w:val="22"/>
          <w:lang w:val="en-AU" w:eastAsia="en-US"/>
        </w:rPr>
        <w:t xml:space="preserve">the </w:t>
      </w:r>
      <w:r w:rsidRPr="00C84F01">
        <w:rPr>
          <w:rFonts w:ascii="Arial" w:eastAsiaTheme="minorHAnsi" w:hAnsi="Arial" w:cs="Arial"/>
          <w:color w:val="auto"/>
          <w:sz w:val="22"/>
          <w:lang w:val="en-AU" w:eastAsia="en-US"/>
        </w:rPr>
        <w:t>kind of mistake</w:t>
      </w:r>
      <w:r>
        <w:rPr>
          <w:rStyle w:val="FootnoteReference"/>
          <w:rFonts w:ascii="Arial" w:eastAsiaTheme="minorHAnsi" w:hAnsi="Arial" w:cs="Arial"/>
          <w:color w:val="auto"/>
          <w:sz w:val="22"/>
          <w:lang w:val="en-AU" w:eastAsia="en-US"/>
        </w:rPr>
        <w:footnoteReference w:id="17"/>
      </w:r>
      <w:r>
        <w:rPr>
          <w:rFonts w:ascii="Arial" w:eastAsiaTheme="minorHAnsi" w:hAnsi="Arial" w:cs="Arial"/>
          <w:color w:val="auto"/>
          <w:sz w:val="22"/>
          <w:lang w:val="en-AU" w:eastAsia="en-US"/>
        </w:rPr>
        <w:t xml:space="preserve"> or oversight relied upon by the applicant, being a failure and/or omission by the parties to present certain (available) evidence before the Court.</w:t>
      </w:r>
    </w:p>
    <w:p w14:paraId="0D703649" w14:textId="77777777" w:rsidR="002E2389" w:rsidRPr="0028747A" w:rsidRDefault="00850BC7"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In terms of Rule 42(1)(c), t</w:t>
      </w:r>
      <w:r w:rsidR="00E251B2" w:rsidRPr="0028747A">
        <w:rPr>
          <w:rFonts w:ascii="Arial" w:eastAsiaTheme="minorHAnsi" w:hAnsi="Arial" w:cs="Arial"/>
          <w:color w:val="auto"/>
          <w:sz w:val="22"/>
          <w:lang w:val="en-AU" w:eastAsia="en-US"/>
        </w:rPr>
        <w:t>he common mistake of fact means that both parties are mistaken as to the correctness of certain facts that existed at the time that the contempt proceedings were heard by Moorcraft AJ.</w:t>
      </w:r>
    </w:p>
    <w:p w14:paraId="2D0E0D89" w14:textId="4F0EE31D" w:rsidR="002E2389" w:rsidRPr="0028747A" w:rsidRDefault="002E238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situation for which Rule 42(1)(c) provides is </w:t>
      </w:r>
      <w:r w:rsidR="009824E7" w:rsidRPr="0028747A">
        <w:rPr>
          <w:rFonts w:ascii="Arial" w:eastAsiaTheme="minorHAnsi" w:hAnsi="Arial" w:cs="Arial"/>
          <w:color w:val="auto"/>
          <w:sz w:val="22"/>
          <w:lang w:val="en-AU" w:eastAsia="en-US"/>
        </w:rPr>
        <w:t>that</w:t>
      </w:r>
      <w:r w:rsidRPr="0028747A">
        <w:rPr>
          <w:rFonts w:ascii="Arial" w:eastAsiaTheme="minorHAnsi" w:hAnsi="Arial" w:cs="Arial"/>
          <w:color w:val="auto"/>
          <w:sz w:val="22"/>
          <w:lang w:val="en-AU" w:eastAsia="en-US"/>
        </w:rPr>
        <w:t xml:space="preserve"> the subsequent evidence is aimed at showing that the </w:t>
      </w:r>
      <w:bookmarkStart w:id="22" w:name="_Hlk150929563"/>
      <w:r w:rsidRPr="0028747A">
        <w:rPr>
          <w:rFonts w:ascii="Arial" w:eastAsiaTheme="minorHAnsi" w:hAnsi="Arial" w:cs="Arial"/>
          <w:color w:val="auto"/>
          <w:sz w:val="22"/>
          <w:lang w:val="en-AU" w:eastAsia="en-US"/>
        </w:rPr>
        <w:t>factual material which led the Court to make its original order was, contrary to the parties' assumption as to its correctness, incorrect.</w:t>
      </w:r>
      <w:bookmarkEnd w:id="22"/>
      <w:r w:rsidRPr="0028747A">
        <w:rPr>
          <w:rStyle w:val="FootnoteReference"/>
          <w:rFonts w:ascii="Arial" w:eastAsiaTheme="minorHAnsi" w:hAnsi="Arial" w:cs="Arial"/>
          <w:color w:val="auto"/>
          <w:sz w:val="22"/>
          <w:lang w:val="en-AU" w:eastAsia="en-US"/>
        </w:rPr>
        <w:footnoteReference w:id="18"/>
      </w:r>
    </w:p>
    <w:p w14:paraId="5BD75FEE" w14:textId="50728765" w:rsidR="004D01F9" w:rsidRPr="0028747A" w:rsidRDefault="004D01F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During the contempt proceedings, the parties did not labour under the same incorrect factual assumption or supposition. The parties were both aware</w:t>
      </w:r>
      <w:r w:rsidR="002E2389" w:rsidRPr="0028747A">
        <w:rPr>
          <w:rFonts w:ascii="Arial" w:eastAsiaTheme="minorHAnsi" w:hAnsi="Arial" w:cs="Arial"/>
          <w:color w:val="auto"/>
          <w:sz w:val="22"/>
          <w:lang w:val="en-AU" w:eastAsia="en-US"/>
        </w:rPr>
        <w:t xml:space="preserve"> (or ought reasonably to have been aware)</w:t>
      </w:r>
      <w:r w:rsidRPr="0028747A">
        <w:rPr>
          <w:rFonts w:ascii="Arial" w:eastAsiaTheme="minorHAnsi" w:hAnsi="Arial" w:cs="Arial"/>
          <w:color w:val="auto"/>
          <w:sz w:val="22"/>
          <w:lang w:val="en-AU" w:eastAsia="en-US"/>
        </w:rPr>
        <w:t xml:space="preserve"> of the settlement agreement. The respondent </w:t>
      </w:r>
      <w:r w:rsidR="00FF517C" w:rsidRPr="0028747A">
        <w:rPr>
          <w:rFonts w:ascii="Arial" w:eastAsiaTheme="minorHAnsi" w:hAnsi="Arial" w:cs="Arial"/>
          <w:color w:val="auto"/>
          <w:sz w:val="22"/>
          <w:lang w:val="en-AU" w:eastAsia="en-US"/>
        </w:rPr>
        <w:t>believed</w:t>
      </w:r>
      <w:r w:rsidRPr="0028747A">
        <w:rPr>
          <w:rFonts w:ascii="Arial" w:eastAsiaTheme="minorHAnsi" w:hAnsi="Arial" w:cs="Arial"/>
          <w:color w:val="auto"/>
          <w:sz w:val="22"/>
          <w:lang w:val="en-AU" w:eastAsia="en-US"/>
        </w:rPr>
        <w:t xml:space="preserve"> it irrelevant to the contempt proceedings and the applicant had forgotten about it and/or was not sure how it fit into the proceedings.</w:t>
      </w:r>
    </w:p>
    <w:p w14:paraId="785B910B" w14:textId="57FFF344" w:rsidR="002A7CFF" w:rsidRPr="0028747A" w:rsidRDefault="00C9556C"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From the affidavits filed of record, and the arguments presented, I find that th</w:t>
      </w:r>
      <w:r w:rsidR="0053090B" w:rsidRPr="0028747A">
        <w:rPr>
          <w:rFonts w:ascii="Arial" w:eastAsiaTheme="minorHAnsi" w:hAnsi="Arial" w:cs="Arial"/>
          <w:color w:val="auto"/>
          <w:sz w:val="22"/>
          <w:lang w:val="en-AU" w:eastAsia="en-US"/>
        </w:rPr>
        <w:t xml:space="preserve">e parties are only </w:t>
      </w:r>
      <w:r w:rsidR="0053090B" w:rsidRPr="0028747A">
        <w:rPr>
          <w:rFonts w:ascii="Arial" w:eastAsiaTheme="minorHAnsi" w:hAnsi="Arial" w:cs="Arial"/>
          <w:i/>
          <w:iCs/>
          <w:color w:val="auto"/>
          <w:sz w:val="22"/>
          <w:lang w:val="en-AU" w:eastAsia="en-US"/>
        </w:rPr>
        <w:t>ad idem</w:t>
      </w:r>
      <w:r w:rsidR="0053090B"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 xml:space="preserve">in relation to the fact that </w:t>
      </w:r>
      <w:r w:rsidR="0053090B" w:rsidRPr="0028747A">
        <w:rPr>
          <w:rFonts w:ascii="Arial" w:eastAsiaTheme="minorHAnsi" w:hAnsi="Arial" w:cs="Arial"/>
          <w:color w:val="auto"/>
          <w:sz w:val="22"/>
          <w:lang w:val="en-AU" w:eastAsia="en-US"/>
        </w:rPr>
        <w:t xml:space="preserve">the existence of the settlement agreement was </w:t>
      </w:r>
      <w:r w:rsidRPr="0028747A">
        <w:rPr>
          <w:rFonts w:ascii="Arial" w:eastAsiaTheme="minorHAnsi" w:hAnsi="Arial" w:cs="Arial"/>
          <w:color w:val="auto"/>
          <w:sz w:val="22"/>
          <w:lang w:val="en-AU" w:eastAsia="en-US"/>
        </w:rPr>
        <w:t xml:space="preserve">not </w:t>
      </w:r>
      <w:r w:rsidR="0053090B" w:rsidRPr="0028747A">
        <w:rPr>
          <w:rFonts w:ascii="Arial" w:eastAsiaTheme="minorHAnsi" w:hAnsi="Arial" w:cs="Arial"/>
          <w:color w:val="auto"/>
          <w:sz w:val="22"/>
          <w:lang w:val="en-AU" w:eastAsia="en-US"/>
        </w:rPr>
        <w:t>placed before</w:t>
      </w:r>
      <w:r w:rsidR="002E2389" w:rsidRPr="0028747A">
        <w:rPr>
          <w:rFonts w:ascii="Arial" w:eastAsiaTheme="minorHAnsi" w:hAnsi="Arial" w:cs="Arial"/>
          <w:color w:val="auto"/>
          <w:sz w:val="22"/>
          <w:lang w:val="en-AU" w:eastAsia="en-US"/>
        </w:rPr>
        <w:t xml:space="preserve">, and </w:t>
      </w:r>
      <w:r w:rsidRPr="0028747A">
        <w:rPr>
          <w:rFonts w:ascii="Arial" w:eastAsiaTheme="minorHAnsi" w:hAnsi="Arial" w:cs="Arial"/>
          <w:color w:val="auto"/>
          <w:sz w:val="22"/>
          <w:lang w:val="en-AU" w:eastAsia="en-US"/>
        </w:rPr>
        <w:t xml:space="preserve">not </w:t>
      </w:r>
      <w:r w:rsidR="002E2389" w:rsidRPr="0028747A">
        <w:rPr>
          <w:rFonts w:ascii="Arial" w:eastAsiaTheme="minorHAnsi" w:hAnsi="Arial" w:cs="Arial"/>
          <w:color w:val="auto"/>
          <w:sz w:val="22"/>
          <w:lang w:val="en-AU" w:eastAsia="en-US"/>
        </w:rPr>
        <w:t>made known to,</w:t>
      </w:r>
      <w:r w:rsidR="0053090B" w:rsidRPr="0028747A">
        <w:rPr>
          <w:rFonts w:ascii="Arial" w:eastAsiaTheme="minorHAnsi" w:hAnsi="Arial" w:cs="Arial"/>
          <w:color w:val="auto"/>
          <w:sz w:val="22"/>
          <w:lang w:val="en-AU" w:eastAsia="en-US"/>
        </w:rPr>
        <w:t xml:space="preserve"> Moorcraft AJ during the contempt proceedings. The parties however part ways and do not share the same state of mind in relation to the </w:t>
      </w:r>
      <w:r w:rsidR="00E251B2" w:rsidRPr="0028747A">
        <w:rPr>
          <w:rFonts w:ascii="Arial" w:eastAsiaTheme="minorHAnsi" w:hAnsi="Arial" w:cs="Arial"/>
          <w:color w:val="auto"/>
          <w:sz w:val="22"/>
          <w:lang w:val="en-AU" w:eastAsia="en-US"/>
        </w:rPr>
        <w:t xml:space="preserve">factual </w:t>
      </w:r>
      <w:r w:rsidR="0053090B" w:rsidRPr="0028747A">
        <w:rPr>
          <w:rFonts w:ascii="Arial" w:eastAsiaTheme="minorHAnsi" w:hAnsi="Arial" w:cs="Arial"/>
          <w:color w:val="auto"/>
          <w:sz w:val="22"/>
          <w:lang w:val="en-AU" w:eastAsia="en-US"/>
        </w:rPr>
        <w:t xml:space="preserve">status and/or </w:t>
      </w:r>
      <w:r w:rsidR="00850BC7" w:rsidRPr="0028747A">
        <w:rPr>
          <w:rFonts w:ascii="Arial" w:eastAsiaTheme="minorHAnsi" w:hAnsi="Arial" w:cs="Arial"/>
          <w:color w:val="auto"/>
          <w:sz w:val="22"/>
          <w:lang w:val="en-AU" w:eastAsia="en-US"/>
        </w:rPr>
        <w:t xml:space="preserve">factual </w:t>
      </w:r>
      <w:r w:rsidR="0053090B" w:rsidRPr="0028747A">
        <w:rPr>
          <w:rFonts w:ascii="Arial" w:eastAsiaTheme="minorHAnsi" w:hAnsi="Arial" w:cs="Arial"/>
          <w:color w:val="auto"/>
          <w:sz w:val="22"/>
          <w:lang w:val="en-AU" w:eastAsia="en-US"/>
        </w:rPr>
        <w:t xml:space="preserve">consequences of the settlement agreement in light of the existing </w:t>
      </w:r>
      <w:r w:rsidR="008074B3" w:rsidRPr="0028747A">
        <w:rPr>
          <w:rFonts w:ascii="Arial" w:eastAsiaTheme="minorHAnsi" w:hAnsi="Arial" w:cs="Arial"/>
          <w:color w:val="auto"/>
          <w:sz w:val="22"/>
          <w:lang w:val="en-AU" w:eastAsia="en-US"/>
        </w:rPr>
        <w:t>R</w:t>
      </w:r>
      <w:r w:rsidR="0053090B" w:rsidRPr="0028747A">
        <w:rPr>
          <w:rFonts w:ascii="Arial" w:eastAsiaTheme="minorHAnsi" w:hAnsi="Arial" w:cs="Arial"/>
          <w:color w:val="auto"/>
          <w:sz w:val="22"/>
          <w:lang w:val="en-AU" w:eastAsia="en-US"/>
        </w:rPr>
        <w:t>ule 43 Order.</w:t>
      </w:r>
      <w:r w:rsidR="00E251B2" w:rsidRPr="0028747A">
        <w:rPr>
          <w:rFonts w:ascii="Arial" w:eastAsiaTheme="minorHAnsi" w:hAnsi="Arial" w:cs="Arial"/>
          <w:color w:val="auto"/>
          <w:sz w:val="22"/>
          <w:lang w:val="en-AU" w:eastAsia="en-US"/>
        </w:rPr>
        <w:t xml:space="preserve"> </w:t>
      </w:r>
    </w:p>
    <w:p w14:paraId="2432C08E" w14:textId="21131B26" w:rsidR="00D00B6A" w:rsidRPr="0028747A" w:rsidRDefault="00850BC7"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contrast in the parties’ state of mind is plain. </w:t>
      </w:r>
      <w:r w:rsidR="00D00B6A" w:rsidRPr="0028747A">
        <w:rPr>
          <w:rFonts w:ascii="Arial" w:eastAsiaTheme="minorHAnsi" w:hAnsi="Arial" w:cs="Arial"/>
          <w:color w:val="auto"/>
          <w:sz w:val="22"/>
          <w:lang w:val="en-AU" w:eastAsia="en-US"/>
        </w:rPr>
        <w:t>The applicant’s position is that the settlement agreement supersedes the Rule 43 Order. The respondent’s position is that the settlement agreement is unenforceable and cannot supersede an enforceable court order.</w:t>
      </w:r>
    </w:p>
    <w:p w14:paraId="0FC3075F" w14:textId="0A27CDDD" w:rsidR="00D00B6A" w:rsidRPr="0028747A" w:rsidRDefault="00D00B6A"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Whilst I am not called upon to determine the validity of the settlement agreement in these proceedings, I do not agree with the respondent’s p</w:t>
      </w:r>
      <w:r w:rsidR="00FA5063">
        <w:rPr>
          <w:rFonts w:ascii="Arial" w:eastAsiaTheme="minorHAnsi" w:hAnsi="Arial" w:cs="Arial"/>
          <w:color w:val="auto"/>
          <w:sz w:val="22"/>
          <w:lang w:val="en-AU" w:eastAsia="en-US"/>
        </w:rPr>
        <w:t>rop</w:t>
      </w:r>
      <w:r w:rsidRPr="0028747A">
        <w:rPr>
          <w:rFonts w:ascii="Arial" w:eastAsiaTheme="minorHAnsi" w:hAnsi="Arial" w:cs="Arial"/>
          <w:color w:val="auto"/>
          <w:sz w:val="22"/>
          <w:lang w:val="en-AU" w:eastAsia="en-US"/>
        </w:rPr>
        <w:t xml:space="preserve">osition that the settlement agreement is a </w:t>
      </w:r>
      <w:r w:rsidRPr="0028747A">
        <w:rPr>
          <w:rFonts w:ascii="Arial" w:eastAsiaTheme="minorHAnsi" w:hAnsi="Arial" w:cs="Arial"/>
          <w:color w:val="auto"/>
          <w:sz w:val="22"/>
          <w:lang w:val="en-AU" w:eastAsia="en-US"/>
        </w:rPr>
        <w:lastRenderedPageBreak/>
        <w:t xml:space="preserve">dead letter and unenforceable. In my view, the settlement agreement remains an agreement </w:t>
      </w:r>
      <w:r w:rsidRPr="0028747A">
        <w:rPr>
          <w:rFonts w:ascii="Arial" w:eastAsiaTheme="minorHAnsi" w:hAnsi="Arial" w:cs="Arial"/>
          <w:i/>
          <w:iCs/>
          <w:color w:val="auto"/>
          <w:sz w:val="22"/>
          <w:lang w:val="en-AU" w:eastAsia="en-US"/>
        </w:rPr>
        <w:t>inter partes</w:t>
      </w:r>
      <w:r w:rsidRPr="0028747A">
        <w:rPr>
          <w:rFonts w:ascii="Arial" w:eastAsiaTheme="minorHAnsi" w:hAnsi="Arial" w:cs="Arial"/>
          <w:color w:val="auto"/>
          <w:sz w:val="22"/>
          <w:lang w:val="en-AU" w:eastAsia="en-US"/>
        </w:rPr>
        <w:t>, until and if the agreement is set aside.</w:t>
      </w:r>
    </w:p>
    <w:p w14:paraId="1122C1DF" w14:textId="292463D2" w:rsidR="002A7CFF" w:rsidRPr="0028747A" w:rsidRDefault="0053090B"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 </w:t>
      </w:r>
      <w:r w:rsidR="00D00B6A" w:rsidRPr="0028747A">
        <w:rPr>
          <w:rFonts w:ascii="Arial" w:eastAsiaTheme="minorHAnsi" w:hAnsi="Arial" w:cs="Arial"/>
          <w:color w:val="auto"/>
          <w:sz w:val="22"/>
          <w:lang w:val="en-AU" w:eastAsia="en-US"/>
        </w:rPr>
        <w:t xml:space="preserve">similarly </w:t>
      </w:r>
      <w:r w:rsidRPr="0028747A">
        <w:rPr>
          <w:rFonts w:ascii="Arial" w:eastAsiaTheme="minorHAnsi" w:hAnsi="Arial" w:cs="Arial"/>
          <w:color w:val="auto"/>
          <w:sz w:val="22"/>
          <w:lang w:val="en-AU" w:eastAsia="en-US"/>
        </w:rPr>
        <w:t>do not agree with the applicant’s position that the settlement agreement supersedes the terms of the Rule 43 Order</w:t>
      </w:r>
      <w:r w:rsidR="002A7CFF" w:rsidRPr="0028747A">
        <w:rPr>
          <w:rFonts w:ascii="Arial" w:eastAsiaTheme="minorHAnsi" w:hAnsi="Arial" w:cs="Arial"/>
          <w:color w:val="auto"/>
          <w:sz w:val="22"/>
          <w:lang w:val="en-AU" w:eastAsia="en-US"/>
        </w:rPr>
        <w:t>.</w:t>
      </w:r>
      <w:r w:rsidR="008074B3" w:rsidRPr="0028747A">
        <w:rPr>
          <w:rFonts w:ascii="Arial" w:eastAsiaTheme="minorHAnsi" w:hAnsi="Arial" w:cs="Arial"/>
          <w:color w:val="auto"/>
          <w:sz w:val="22"/>
          <w:lang w:val="en-AU" w:eastAsia="en-US"/>
        </w:rPr>
        <w:t xml:space="preserve"> This position is </w:t>
      </w:r>
      <w:r w:rsidR="00E251B2" w:rsidRPr="0028747A">
        <w:rPr>
          <w:rFonts w:ascii="Arial" w:eastAsiaTheme="minorHAnsi" w:hAnsi="Arial" w:cs="Arial"/>
          <w:color w:val="auto"/>
          <w:sz w:val="22"/>
          <w:lang w:val="en-AU" w:eastAsia="en-US"/>
        </w:rPr>
        <w:t xml:space="preserve">manifestly </w:t>
      </w:r>
      <w:r w:rsidR="008074B3" w:rsidRPr="0028747A">
        <w:rPr>
          <w:rFonts w:ascii="Arial" w:eastAsiaTheme="minorHAnsi" w:hAnsi="Arial" w:cs="Arial"/>
          <w:color w:val="auto"/>
          <w:sz w:val="22"/>
          <w:lang w:val="en-AU" w:eastAsia="en-US"/>
        </w:rPr>
        <w:t>wrong.</w:t>
      </w:r>
      <w:r w:rsidR="002A7CFF" w:rsidRPr="0028747A">
        <w:rPr>
          <w:rFonts w:ascii="Arial" w:eastAsiaTheme="minorHAnsi" w:hAnsi="Arial" w:cs="Arial"/>
          <w:color w:val="auto"/>
          <w:sz w:val="22"/>
          <w:lang w:val="en-AU" w:eastAsia="en-US"/>
        </w:rPr>
        <w:t xml:space="preserve"> It is trite that an order of a court stands </w:t>
      </w:r>
      <w:r w:rsidR="002E2389" w:rsidRPr="0028747A">
        <w:rPr>
          <w:rFonts w:ascii="Arial" w:eastAsiaTheme="minorHAnsi" w:hAnsi="Arial" w:cs="Arial"/>
          <w:color w:val="auto"/>
          <w:sz w:val="22"/>
          <w:lang w:val="en-AU" w:eastAsia="en-US"/>
        </w:rPr>
        <w:t xml:space="preserve">and is binding </w:t>
      </w:r>
      <w:r w:rsidR="002A7CFF" w:rsidRPr="0028747A">
        <w:rPr>
          <w:rFonts w:ascii="Arial" w:eastAsiaTheme="minorHAnsi" w:hAnsi="Arial" w:cs="Arial"/>
          <w:color w:val="auto"/>
          <w:sz w:val="22"/>
          <w:lang w:val="en-AU" w:eastAsia="en-US"/>
        </w:rPr>
        <w:t>until set aside by a court of competent jurisdiction.</w:t>
      </w:r>
      <w:r w:rsidR="002A7CFF" w:rsidRPr="0028747A">
        <w:rPr>
          <w:rFonts w:ascii="Arial" w:hAnsi="Arial" w:cs="Arial"/>
          <w:sz w:val="22"/>
          <w:vertAlign w:val="superscript"/>
        </w:rPr>
        <w:footnoteReference w:id="19"/>
      </w:r>
      <w:r w:rsidR="002A7CFF" w:rsidRPr="0028747A">
        <w:rPr>
          <w:rFonts w:ascii="Arial" w:eastAsiaTheme="minorHAnsi" w:hAnsi="Arial" w:cs="Arial"/>
          <w:color w:val="auto"/>
          <w:sz w:val="22"/>
          <w:vertAlign w:val="superscript"/>
          <w:lang w:val="en-AU" w:eastAsia="en-US"/>
        </w:rPr>
        <w:t xml:space="preserve"> </w:t>
      </w:r>
      <w:r w:rsidR="002A7CFF" w:rsidRPr="0028747A">
        <w:rPr>
          <w:rFonts w:ascii="Arial" w:eastAsiaTheme="minorHAnsi" w:hAnsi="Arial" w:cs="Arial"/>
          <w:color w:val="auto"/>
          <w:sz w:val="22"/>
          <w:lang w:val="en-AU" w:eastAsia="en-US"/>
        </w:rPr>
        <w:t>Moreover, until a court order is set aside, the court order must be obeyed even if it may be wrong.</w:t>
      </w:r>
      <w:r w:rsidR="002A7CFF" w:rsidRPr="0028747A">
        <w:rPr>
          <w:rFonts w:ascii="Arial" w:hAnsi="Arial" w:cs="Arial"/>
          <w:sz w:val="22"/>
          <w:vertAlign w:val="superscript"/>
        </w:rPr>
        <w:footnoteReference w:id="20"/>
      </w:r>
      <w:r w:rsidR="002A7CFF" w:rsidRPr="0028747A">
        <w:rPr>
          <w:rFonts w:ascii="Arial" w:eastAsiaTheme="minorHAnsi" w:hAnsi="Arial" w:cs="Arial"/>
          <w:color w:val="auto"/>
          <w:sz w:val="22"/>
          <w:vertAlign w:val="superscript"/>
          <w:lang w:val="en-AU" w:eastAsia="en-US"/>
        </w:rPr>
        <w:t xml:space="preserve"> </w:t>
      </w:r>
    </w:p>
    <w:p w14:paraId="3C0791C4" w14:textId="0102DF66" w:rsidR="0053090B" w:rsidRPr="0028747A" w:rsidRDefault="002A7CFF"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Separately to the above, </w:t>
      </w:r>
      <w:r w:rsidR="00D00B6A" w:rsidRPr="0028747A">
        <w:rPr>
          <w:rFonts w:ascii="Arial" w:eastAsiaTheme="minorHAnsi" w:hAnsi="Arial" w:cs="Arial"/>
          <w:color w:val="auto"/>
          <w:sz w:val="22"/>
          <w:lang w:val="en-AU" w:eastAsia="en-US"/>
        </w:rPr>
        <w:t xml:space="preserve">and </w:t>
      </w:r>
      <w:r w:rsidR="008074B3" w:rsidRPr="0028747A">
        <w:rPr>
          <w:rFonts w:ascii="Arial" w:eastAsiaTheme="minorHAnsi" w:hAnsi="Arial" w:cs="Arial"/>
          <w:color w:val="auto"/>
          <w:sz w:val="22"/>
          <w:lang w:val="en-AU" w:eastAsia="en-US"/>
        </w:rPr>
        <w:t>whilst a</w:t>
      </w:r>
      <w:r w:rsidRPr="0028747A">
        <w:rPr>
          <w:rFonts w:ascii="Arial" w:eastAsiaTheme="minorHAnsi" w:hAnsi="Arial" w:cs="Arial"/>
          <w:color w:val="auto"/>
          <w:sz w:val="22"/>
          <w:lang w:val="en-AU" w:eastAsia="en-US"/>
        </w:rPr>
        <w:t xml:space="preserve"> court order </w:t>
      </w:r>
      <w:r w:rsidR="002E2389" w:rsidRPr="0028747A">
        <w:rPr>
          <w:rFonts w:ascii="Arial" w:eastAsiaTheme="minorHAnsi" w:hAnsi="Arial" w:cs="Arial"/>
          <w:color w:val="auto"/>
          <w:sz w:val="22"/>
          <w:lang w:val="en-AU" w:eastAsia="en-US"/>
        </w:rPr>
        <w:t xml:space="preserve">or judgment </w:t>
      </w:r>
      <w:r w:rsidRPr="0028747A">
        <w:rPr>
          <w:rFonts w:ascii="Arial" w:eastAsiaTheme="minorHAnsi" w:hAnsi="Arial" w:cs="Arial"/>
          <w:color w:val="auto"/>
          <w:sz w:val="22"/>
          <w:lang w:val="en-AU" w:eastAsia="en-US"/>
        </w:rPr>
        <w:t>may be formally abandoned</w:t>
      </w:r>
      <w:r w:rsidR="008074B3" w:rsidRPr="0028747A">
        <w:rPr>
          <w:rFonts w:ascii="Arial" w:eastAsiaTheme="minorHAnsi" w:hAnsi="Arial" w:cs="Arial"/>
          <w:color w:val="auto"/>
          <w:sz w:val="22"/>
          <w:lang w:val="en-AU" w:eastAsia="en-US"/>
        </w:rPr>
        <w:t>, a</w:t>
      </w:r>
      <w:r w:rsidRPr="0028747A">
        <w:rPr>
          <w:rFonts w:ascii="Arial" w:eastAsiaTheme="minorHAnsi" w:hAnsi="Arial" w:cs="Arial"/>
          <w:color w:val="auto"/>
          <w:sz w:val="22"/>
          <w:lang w:val="en-AU" w:eastAsia="en-US"/>
        </w:rPr>
        <w:t xml:space="preserve"> mere abandonment does not </w:t>
      </w:r>
      <w:r w:rsidR="009824E7" w:rsidRPr="0028747A">
        <w:rPr>
          <w:rFonts w:ascii="Arial" w:eastAsiaTheme="minorHAnsi" w:hAnsi="Arial" w:cs="Arial"/>
          <w:color w:val="auto"/>
          <w:sz w:val="22"/>
          <w:lang w:val="en-AU" w:eastAsia="en-US"/>
        </w:rPr>
        <w:t>however</w:t>
      </w:r>
      <w:r w:rsidR="00FF517C" w:rsidRPr="0028747A">
        <w:rPr>
          <w:rFonts w:ascii="Arial" w:eastAsiaTheme="minorHAnsi" w:hAnsi="Arial" w:cs="Arial"/>
          <w:color w:val="auto"/>
          <w:sz w:val="22"/>
          <w:lang w:val="en-AU" w:eastAsia="en-US"/>
        </w:rPr>
        <w:t>, in and of itself,</w:t>
      </w:r>
      <w:r w:rsidR="009824E7"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 xml:space="preserve">extinguish the existence of the order or judgment. The judgment is still final in effect, and stands until it is varied, rescinded or set aside. It is not within the power of a litigant to vary or rescind a judgment. </w:t>
      </w:r>
      <w:r w:rsidR="00850BC7" w:rsidRPr="0028747A">
        <w:rPr>
          <w:rFonts w:ascii="Arial" w:eastAsiaTheme="minorHAnsi" w:hAnsi="Arial" w:cs="Arial"/>
          <w:color w:val="auto"/>
          <w:sz w:val="22"/>
          <w:lang w:val="en-AU" w:eastAsia="en-US"/>
        </w:rPr>
        <w:t>A litigant</w:t>
      </w:r>
      <w:r w:rsidRPr="0028747A">
        <w:rPr>
          <w:rFonts w:ascii="Arial" w:eastAsiaTheme="minorHAnsi" w:hAnsi="Arial" w:cs="Arial"/>
          <w:color w:val="auto"/>
          <w:sz w:val="22"/>
          <w:lang w:val="en-AU" w:eastAsia="en-US"/>
        </w:rPr>
        <w:t xml:space="preserve"> cannot usurp the court's role in purporting to </w:t>
      </w:r>
      <w:r w:rsidR="00850BC7" w:rsidRPr="0028747A">
        <w:rPr>
          <w:rFonts w:ascii="Arial" w:eastAsiaTheme="minorHAnsi" w:hAnsi="Arial" w:cs="Arial"/>
          <w:color w:val="auto"/>
          <w:sz w:val="22"/>
          <w:lang w:val="en-AU" w:eastAsia="en-US"/>
        </w:rPr>
        <w:t xml:space="preserve">vary or rescind a judgment or order </w:t>
      </w:r>
      <w:r w:rsidRPr="0028747A">
        <w:rPr>
          <w:rFonts w:ascii="Arial" w:eastAsiaTheme="minorHAnsi" w:hAnsi="Arial" w:cs="Arial"/>
          <w:color w:val="auto"/>
          <w:sz w:val="22"/>
          <w:lang w:val="en-AU" w:eastAsia="en-US"/>
        </w:rPr>
        <w:t xml:space="preserve">by abandoning </w:t>
      </w:r>
      <w:r w:rsidR="00850BC7" w:rsidRPr="0028747A">
        <w:rPr>
          <w:rFonts w:ascii="Arial" w:eastAsiaTheme="minorHAnsi" w:hAnsi="Arial" w:cs="Arial"/>
          <w:color w:val="auto"/>
          <w:sz w:val="22"/>
          <w:lang w:val="en-AU" w:eastAsia="en-US"/>
        </w:rPr>
        <w:t xml:space="preserve">it by means of </w:t>
      </w:r>
      <w:r w:rsidRPr="0028747A">
        <w:rPr>
          <w:rFonts w:ascii="Arial" w:eastAsiaTheme="minorHAnsi" w:hAnsi="Arial" w:cs="Arial"/>
          <w:color w:val="auto"/>
          <w:sz w:val="22"/>
          <w:lang w:val="en-AU" w:eastAsia="en-US"/>
        </w:rPr>
        <w:t>rule 41(2))</w:t>
      </w:r>
      <w:r w:rsidR="009824E7" w:rsidRPr="0028747A">
        <w:rPr>
          <w:rFonts w:ascii="Arial" w:eastAsiaTheme="minorHAnsi" w:hAnsi="Arial" w:cs="Arial"/>
          <w:color w:val="auto"/>
          <w:sz w:val="22"/>
          <w:lang w:val="en-AU" w:eastAsia="en-US"/>
        </w:rPr>
        <w:t>,</w:t>
      </w:r>
      <w:r w:rsidRPr="0028747A">
        <w:rPr>
          <w:rStyle w:val="FootnoteReference"/>
          <w:rFonts w:ascii="Arial" w:eastAsiaTheme="minorHAnsi" w:hAnsi="Arial" w:cs="Arial"/>
          <w:color w:val="auto"/>
          <w:sz w:val="22"/>
          <w:lang w:val="en-AU" w:eastAsia="en-US"/>
        </w:rPr>
        <w:footnoteReference w:id="21"/>
      </w:r>
      <w:r w:rsidR="009824E7" w:rsidRPr="0028747A">
        <w:rPr>
          <w:rFonts w:ascii="Arial" w:eastAsiaTheme="minorHAnsi" w:hAnsi="Arial" w:cs="Arial"/>
          <w:color w:val="auto"/>
          <w:sz w:val="22"/>
          <w:lang w:val="en-AU" w:eastAsia="en-US"/>
        </w:rPr>
        <w:t xml:space="preserve"> or in this case, by </w:t>
      </w:r>
      <w:r w:rsidR="00FF7610" w:rsidRPr="0028747A">
        <w:rPr>
          <w:rFonts w:ascii="Arial" w:eastAsiaTheme="minorHAnsi" w:hAnsi="Arial" w:cs="Arial"/>
          <w:color w:val="auto"/>
          <w:sz w:val="22"/>
          <w:lang w:val="en-AU" w:eastAsia="en-US"/>
        </w:rPr>
        <w:t xml:space="preserve">concluding a </w:t>
      </w:r>
      <w:r w:rsidR="009824E7" w:rsidRPr="0028747A">
        <w:rPr>
          <w:rFonts w:ascii="Arial" w:eastAsiaTheme="minorHAnsi" w:hAnsi="Arial" w:cs="Arial"/>
          <w:color w:val="auto"/>
          <w:sz w:val="22"/>
          <w:lang w:val="en-AU" w:eastAsia="en-US"/>
        </w:rPr>
        <w:t>settlement agreement.</w:t>
      </w:r>
    </w:p>
    <w:p w14:paraId="15BB3F75" w14:textId="39D92A39" w:rsidR="00FF7610" w:rsidRPr="0028747A" w:rsidRDefault="00850BC7"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Notwithstanding the above, i</w:t>
      </w:r>
      <w:r w:rsidR="002A7CFF" w:rsidRPr="0028747A">
        <w:rPr>
          <w:rFonts w:ascii="Arial" w:eastAsiaTheme="minorHAnsi" w:hAnsi="Arial" w:cs="Arial"/>
          <w:color w:val="auto"/>
          <w:sz w:val="22"/>
          <w:lang w:val="en-AU" w:eastAsia="en-US"/>
        </w:rPr>
        <w:t>n my e</w:t>
      </w:r>
      <w:r w:rsidR="008B3DC6" w:rsidRPr="0028747A">
        <w:rPr>
          <w:rFonts w:ascii="Arial" w:eastAsiaTheme="minorHAnsi" w:hAnsi="Arial" w:cs="Arial"/>
          <w:color w:val="auto"/>
          <w:sz w:val="22"/>
          <w:lang w:val="en-AU" w:eastAsia="en-US"/>
        </w:rPr>
        <w:t xml:space="preserve">xchanges </w:t>
      </w:r>
      <w:r w:rsidR="002A7CFF" w:rsidRPr="0028747A">
        <w:rPr>
          <w:rFonts w:ascii="Arial" w:eastAsiaTheme="minorHAnsi" w:hAnsi="Arial" w:cs="Arial"/>
          <w:color w:val="auto"/>
          <w:sz w:val="22"/>
          <w:lang w:val="en-AU" w:eastAsia="en-US"/>
        </w:rPr>
        <w:t xml:space="preserve">with the applicant’s counsel, she was </w:t>
      </w:r>
      <w:r w:rsidRPr="0028747A">
        <w:rPr>
          <w:rFonts w:ascii="Arial" w:eastAsiaTheme="minorHAnsi" w:hAnsi="Arial" w:cs="Arial"/>
          <w:color w:val="auto"/>
          <w:sz w:val="22"/>
          <w:lang w:val="en-AU" w:eastAsia="en-US"/>
        </w:rPr>
        <w:t xml:space="preserve">nevertheless </w:t>
      </w:r>
      <w:r w:rsidR="002A7CFF" w:rsidRPr="0028747A">
        <w:rPr>
          <w:rFonts w:ascii="Arial" w:eastAsiaTheme="minorHAnsi" w:hAnsi="Arial" w:cs="Arial"/>
          <w:color w:val="auto"/>
          <w:sz w:val="22"/>
          <w:lang w:val="en-AU" w:eastAsia="en-US"/>
        </w:rPr>
        <w:t>unable to point me to an express and/or formal abandonment</w:t>
      </w:r>
      <w:r w:rsidR="008B3DC6" w:rsidRPr="0028747A">
        <w:rPr>
          <w:rFonts w:ascii="Arial" w:eastAsiaTheme="minorHAnsi" w:hAnsi="Arial" w:cs="Arial"/>
          <w:color w:val="auto"/>
          <w:sz w:val="22"/>
          <w:lang w:val="en-AU" w:eastAsia="en-US"/>
        </w:rPr>
        <w:t xml:space="preserve"> </w:t>
      </w:r>
      <w:r w:rsidR="002A7CFF" w:rsidRPr="0028747A">
        <w:rPr>
          <w:rFonts w:ascii="Arial" w:eastAsiaTheme="minorHAnsi" w:hAnsi="Arial" w:cs="Arial"/>
          <w:color w:val="auto"/>
          <w:sz w:val="22"/>
          <w:lang w:val="en-AU" w:eastAsia="en-US"/>
        </w:rPr>
        <w:t>by the respondent of her rights in terms of the Rule 43 Order</w:t>
      </w:r>
      <w:r w:rsidRPr="0028747A">
        <w:rPr>
          <w:rFonts w:ascii="Arial" w:eastAsiaTheme="minorHAnsi" w:hAnsi="Arial" w:cs="Arial"/>
          <w:color w:val="auto"/>
          <w:sz w:val="22"/>
          <w:lang w:val="en-AU" w:eastAsia="en-US"/>
        </w:rPr>
        <w:t xml:space="preserve"> (</w:t>
      </w:r>
      <w:r w:rsidR="00C9556C" w:rsidRPr="0028747A">
        <w:rPr>
          <w:rFonts w:ascii="Arial" w:eastAsiaTheme="minorHAnsi" w:hAnsi="Arial" w:cs="Arial"/>
          <w:color w:val="auto"/>
          <w:sz w:val="22"/>
          <w:lang w:val="en-AU" w:eastAsia="en-US"/>
        </w:rPr>
        <w:t xml:space="preserve">i.e., </w:t>
      </w:r>
      <w:r w:rsidR="009D627F" w:rsidRPr="0028747A">
        <w:rPr>
          <w:rFonts w:ascii="Arial" w:eastAsiaTheme="minorHAnsi" w:hAnsi="Arial" w:cs="Arial"/>
          <w:color w:val="auto"/>
          <w:sz w:val="22"/>
          <w:lang w:val="en-AU" w:eastAsia="en-US"/>
        </w:rPr>
        <w:t xml:space="preserve">contained </w:t>
      </w:r>
      <w:r w:rsidRPr="0028747A">
        <w:rPr>
          <w:rFonts w:ascii="Arial" w:eastAsiaTheme="minorHAnsi" w:hAnsi="Arial" w:cs="Arial"/>
          <w:color w:val="auto"/>
          <w:sz w:val="22"/>
          <w:lang w:val="en-AU" w:eastAsia="en-US"/>
        </w:rPr>
        <w:t>in the settlement agreement).</w:t>
      </w:r>
    </w:p>
    <w:p w14:paraId="45B7228D" w14:textId="77777777" w:rsidR="00FA51A2" w:rsidRPr="0028747A" w:rsidRDefault="00D00B6A"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 am accordingly of the view that the settlement agreement does not</w:t>
      </w:r>
      <w:r w:rsidR="009824E7" w:rsidRPr="0028747A">
        <w:rPr>
          <w:rFonts w:ascii="Arial" w:eastAsiaTheme="minorHAnsi" w:hAnsi="Arial" w:cs="Arial"/>
          <w:color w:val="auto"/>
          <w:sz w:val="22"/>
          <w:lang w:val="en-AU" w:eastAsia="en-US"/>
        </w:rPr>
        <w:t xml:space="preserve"> constitute an abandonment of the respondent’s rights in terms of the existing Rule 43 Order. </w:t>
      </w:r>
    </w:p>
    <w:p w14:paraId="2C922E23" w14:textId="5F7FFF65" w:rsidR="00FA51A2" w:rsidRPr="0028747A" w:rsidRDefault="00DE026E"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Pr>
          <w:rFonts w:ascii="Arial" w:eastAsiaTheme="minorHAnsi" w:hAnsi="Arial" w:cs="Arial"/>
          <w:color w:val="auto"/>
          <w:sz w:val="22"/>
          <w:lang w:val="en-AU" w:eastAsia="en-US"/>
        </w:rPr>
        <w:t xml:space="preserve">Returning to </w:t>
      </w:r>
      <w:r w:rsidR="00FA51A2" w:rsidRPr="0028747A">
        <w:rPr>
          <w:rFonts w:ascii="Arial" w:eastAsiaTheme="minorHAnsi" w:hAnsi="Arial" w:cs="Arial"/>
          <w:color w:val="auto"/>
          <w:sz w:val="22"/>
          <w:lang w:val="en-AU" w:eastAsia="en-US"/>
        </w:rPr>
        <w:t>the applicant’s proposition that the settlement agreement supersedes the existing Rule 43 Order</w:t>
      </w:r>
      <w:r w:rsidR="000C439F">
        <w:rPr>
          <w:rFonts w:ascii="Arial" w:eastAsiaTheme="minorHAnsi" w:hAnsi="Arial" w:cs="Arial"/>
          <w:color w:val="auto"/>
          <w:sz w:val="22"/>
          <w:lang w:val="en-AU" w:eastAsia="en-US"/>
        </w:rPr>
        <w:t xml:space="preserve">, </w:t>
      </w:r>
      <w:r w:rsidR="00FA51A2" w:rsidRPr="0028747A">
        <w:rPr>
          <w:rFonts w:ascii="Arial" w:eastAsiaTheme="minorHAnsi" w:hAnsi="Arial" w:cs="Arial"/>
          <w:color w:val="auto"/>
          <w:sz w:val="22"/>
          <w:lang w:val="en-AU" w:eastAsia="en-US"/>
        </w:rPr>
        <w:t xml:space="preserve">the applicant’s counsel referred me to the cases of </w:t>
      </w:r>
      <w:r w:rsidR="00FA51A2" w:rsidRPr="0028747A">
        <w:rPr>
          <w:rFonts w:ascii="Arial" w:eastAsiaTheme="minorHAnsi" w:hAnsi="Arial" w:cs="Arial"/>
          <w:b/>
          <w:bCs/>
          <w:color w:val="auto"/>
          <w:sz w:val="22"/>
          <w:lang w:val="en-AU" w:eastAsia="en-US"/>
        </w:rPr>
        <w:t>Brisley v Drotsky</w:t>
      </w:r>
      <w:r w:rsidR="00FA51A2" w:rsidRPr="0028747A">
        <w:rPr>
          <w:rStyle w:val="FootnoteReference"/>
          <w:rFonts w:ascii="Arial" w:eastAsiaTheme="minorHAnsi" w:hAnsi="Arial" w:cs="Arial"/>
          <w:color w:val="auto"/>
          <w:sz w:val="22"/>
          <w:lang w:val="en-AU" w:eastAsia="en-US"/>
        </w:rPr>
        <w:footnoteReference w:id="22"/>
      </w:r>
      <w:r w:rsidR="00FA51A2" w:rsidRPr="0028747A">
        <w:rPr>
          <w:rFonts w:ascii="Arial" w:eastAsiaTheme="minorHAnsi" w:hAnsi="Arial" w:cs="Arial"/>
          <w:color w:val="auto"/>
          <w:sz w:val="22"/>
          <w:lang w:val="en-AU" w:eastAsia="en-US"/>
        </w:rPr>
        <w:t xml:space="preserve"> and </w:t>
      </w:r>
      <w:r w:rsidR="00FA51A2" w:rsidRPr="0028747A">
        <w:rPr>
          <w:rFonts w:ascii="Arial" w:eastAsiaTheme="minorHAnsi" w:hAnsi="Arial" w:cs="Arial"/>
          <w:b/>
          <w:bCs/>
          <w:color w:val="auto"/>
          <w:sz w:val="22"/>
          <w:lang w:val="en-AU" w:eastAsia="en-US"/>
        </w:rPr>
        <w:lastRenderedPageBreak/>
        <w:t>Napier v Barkhuizen</w:t>
      </w:r>
      <w:r w:rsidR="00FA51A2" w:rsidRPr="0028747A">
        <w:rPr>
          <w:rStyle w:val="FootnoteReference"/>
          <w:rFonts w:ascii="Arial" w:eastAsiaTheme="minorHAnsi" w:hAnsi="Arial" w:cs="Arial"/>
          <w:color w:val="auto"/>
          <w:sz w:val="22"/>
          <w:lang w:val="en-AU" w:eastAsia="en-US"/>
        </w:rPr>
        <w:footnoteReference w:id="23"/>
      </w:r>
      <w:r w:rsidR="000C439F" w:rsidRPr="000C439F">
        <w:t xml:space="preserve"> </w:t>
      </w:r>
      <w:r w:rsidR="000C439F" w:rsidRPr="000C439F">
        <w:rPr>
          <w:rFonts w:ascii="Arial" w:eastAsiaTheme="minorHAnsi" w:hAnsi="Arial" w:cs="Arial"/>
          <w:color w:val="auto"/>
          <w:sz w:val="22"/>
          <w:lang w:val="en-AU" w:eastAsia="en-US"/>
        </w:rPr>
        <w:t>and the principle of a party’s freedom of contract</w:t>
      </w:r>
      <w:r w:rsidR="00FA51A2" w:rsidRPr="000C439F">
        <w:rPr>
          <w:rFonts w:ascii="Arial" w:eastAsiaTheme="minorHAnsi" w:hAnsi="Arial" w:cs="Arial"/>
          <w:color w:val="auto"/>
          <w:sz w:val="22"/>
          <w:lang w:val="en-AU" w:eastAsia="en-US"/>
        </w:rPr>
        <w:t>.</w:t>
      </w:r>
      <w:r w:rsidR="00FA51A2" w:rsidRPr="0028747A">
        <w:rPr>
          <w:rFonts w:ascii="Arial" w:eastAsiaTheme="minorHAnsi" w:hAnsi="Arial" w:cs="Arial"/>
          <w:color w:val="auto"/>
          <w:sz w:val="22"/>
          <w:lang w:val="en-AU" w:eastAsia="en-US"/>
        </w:rPr>
        <w:t xml:space="preserve"> I am unpersuaded by the applicant’s submissions. Both the </w:t>
      </w:r>
      <w:r w:rsidR="00FA51A2" w:rsidRPr="0028747A">
        <w:rPr>
          <w:rFonts w:ascii="Arial" w:eastAsiaTheme="minorHAnsi" w:hAnsi="Arial" w:cs="Arial"/>
          <w:b/>
          <w:bCs/>
          <w:color w:val="auto"/>
          <w:sz w:val="22"/>
          <w:lang w:val="en-AU" w:eastAsia="en-US"/>
        </w:rPr>
        <w:t>Brisley</w:t>
      </w:r>
      <w:r w:rsidR="00FA51A2" w:rsidRPr="0028747A">
        <w:rPr>
          <w:rFonts w:ascii="Arial" w:eastAsiaTheme="minorHAnsi" w:hAnsi="Arial" w:cs="Arial"/>
          <w:color w:val="auto"/>
          <w:sz w:val="22"/>
          <w:lang w:val="en-AU" w:eastAsia="en-US"/>
        </w:rPr>
        <w:t xml:space="preserve"> and </w:t>
      </w:r>
      <w:r w:rsidR="00FA51A2" w:rsidRPr="0028747A">
        <w:rPr>
          <w:rFonts w:ascii="Arial" w:eastAsiaTheme="minorHAnsi" w:hAnsi="Arial" w:cs="Arial"/>
          <w:b/>
          <w:bCs/>
          <w:color w:val="auto"/>
          <w:sz w:val="22"/>
          <w:lang w:val="en-AU" w:eastAsia="en-US"/>
        </w:rPr>
        <w:t>Napier</w:t>
      </w:r>
      <w:r w:rsidR="00FA51A2" w:rsidRPr="0028747A">
        <w:rPr>
          <w:rFonts w:ascii="Arial" w:eastAsiaTheme="minorHAnsi" w:hAnsi="Arial" w:cs="Arial"/>
          <w:color w:val="auto"/>
          <w:sz w:val="22"/>
          <w:lang w:val="en-AU" w:eastAsia="en-US"/>
        </w:rPr>
        <w:t xml:space="preserve"> judgments are distinguishable. This is because neither judgment deals with the issue as to whether an agreement – concluded after the grant of a court order – supersedes and/or replaces such existing court order</w:t>
      </w:r>
      <w:r w:rsidR="007A3205" w:rsidRPr="0028747A">
        <w:rPr>
          <w:rFonts w:ascii="Arial" w:eastAsiaTheme="minorHAnsi" w:hAnsi="Arial" w:cs="Arial"/>
          <w:color w:val="auto"/>
          <w:sz w:val="22"/>
          <w:lang w:val="en-AU" w:eastAsia="en-US"/>
        </w:rPr>
        <w:t xml:space="preserve"> (</w:t>
      </w:r>
      <w:r w:rsidR="00FA51A2" w:rsidRPr="0028747A">
        <w:rPr>
          <w:rFonts w:ascii="Arial" w:eastAsiaTheme="minorHAnsi" w:hAnsi="Arial" w:cs="Arial"/>
          <w:color w:val="auto"/>
          <w:sz w:val="22"/>
          <w:lang w:val="en-AU" w:eastAsia="en-US"/>
        </w:rPr>
        <w:t xml:space="preserve">absent a variation and/or setting aside of the </w:t>
      </w:r>
      <w:r w:rsidR="009D627F" w:rsidRPr="0028747A">
        <w:rPr>
          <w:rFonts w:ascii="Arial" w:eastAsiaTheme="minorHAnsi" w:hAnsi="Arial" w:cs="Arial"/>
          <w:color w:val="auto"/>
          <w:sz w:val="22"/>
          <w:lang w:val="en-AU" w:eastAsia="en-US"/>
        </w:rPr>
        <w:t xml:space="preserve">existing </w:t>
      </w:r>
      <w:r w:rsidR="00FA51A2" w:rsidRPr="0028747A">
        <w:rPr>
          <w:rFonts w:ascii="Arial" w:eastAsiaTheme="minorHAnsi" w:hAnsi="Arial" w:cs="Arial"/>
          <w:color w:val="auto"/>
          <w:sz w:val="22"/>
          <w:lang w:val="en-AU" w:eastAsia="en-US"/>
        </w:rPr>
        <w:t>court order</w:t>
      </w:r>
      <w:r w:rsidR="007A3205" w:rsidRPr="0028747A">
        <w:rPr>
          <w:rFonts w:ascii="Arial" w:eastAsiaTheme="minorHAnsi" w:hAnsi="Arial" w:cs="Arial"/>
          <w:color w:val="auto"/>
          <w:sz w:val="22"/>
          <w:lang w:val="en-AU" w:eastAsia="en-US"/>
        </w:rPr>
        <w:t>)</w:t>
      </w:r>
      <w:r w:rsidR="00FA51A2" w:rsidRPr="0028747A">
        <w:rPr>
          <w:rFonts w:ascii="Arial" w:eastAsiaTheme="minorHAnsi" w:hAnsi="Arial" w:cs="Arial"/>
          <w:color w:val="auto"/>
          <w:sz w:val="22"/>
          <w:lang w:val="en-AU" w:eastAsia="en-US"/>
        </w:rPr>
        <w:t>.</w:t>
      </w:r>
    </w:p>
    <w:p w14:paraId="79069E88" w14:textId="45C3AD59" w:rsidR="009824E7" w:rsidRPr="0028747A" w:rsidRDefault="00FA51A2"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my view, t</w:t>
      </w:r>
      <w:r w:rsidR="009824E7" w:rsidRPr="0028747A">
        <w:rPr>
          <w:rFonts w:ascii="Arial" w:eastAsiaTheme="minorHAnsi" w:hAnsi="Arial" w:cs="Arial"/>
          <w:color w:val="auto"/>
          <w:sz w:val="22"/>
          <w:lang w:val="en-AU" w:eastAsia="en-US"/>
        </w:rPr>
        <w:t>he settlement agreement</w:t>
      </w:r>
      <w:r w:rsidR="007A3205" w:rsidRPr="0028747A">
        <w:rPr>
          <w:rFonts w:ascii="Arial" w:eastAsiaTheme="minorHAnsi" w:hAnsi="Arial" w:cs="Arial"/>
          <w:color w:val="auto"/>
          <w:sz w:val="22"/>
          <w:lang w:val="en-AU" w:eastAsia="en-US"/>
        </w:rPr>
        <w:t>,</w:t>
      </w:r>
      <w:r w:rsidR="009824E7"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in and of itself</w:t>
      </w:r>
      <w:r w:rsidR="007A3205"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 xml:space="preserve"> </w:t>
      </w:r>
      <w:r w:rsidR="009824E7" w:rsidRPr="0028747A">
        <w:rPr>
          <w:rFonts w:ascii="Arial" w:eastAsiaTheme="minorHAnsi" w:hAnsi="Arial" w:cs="Arial"/>
          <w:color w:val="auto"/>
          <w:sz w:val="22"/>
          <w:lang w:val="en-AU" w:eastAsia="en-US"/>
        </w:rPr>
        <w:t>does not</w:t>
      </w:r>
      <w:r w:rsidR="00D00B6A" w:rsidRPr="0028747A">
        <w:rPr>
          <w:rFonts w:ascii="Arial" w:eastAsiaTheme="minorHAnsi" w:hAnsi="Arial" w:cs="Arial"/>
          <w:color w:val="auto"/>
          <w:sz w:val="22"/>
          <w:lang w:val="en-AU" w:eastAsia="en-US"/>
        </w:rPr>
        <w:t xml:space="preserve"> supersede, replace and/or trump the </w:t>
      </w:r>
      <w:r w:rsidR="008B3DC6" w:rsidRPr="0028747A">
        <w:rPr>
          <w:rFonts w:ascii="Arial" w:eastAsiaTheme="minorHAnsi" w:hAnsi="Arial" w:cs="Arial"/>
          <w:color w:val="auto"/>
          <w:sz w:val="22"/>
          <w:lang w:val="en-AU" w:eastAsia="en-US"/>
        </w:rPr>
        <w:t xml:space="preserve">terms of the </w:t>
      </w:r>
      <w:r w:rsidR="00D00B6A" w:rsidRPr="0028747A">
        <w:rPr>
          <w:rFonts w:ascii="Arial" w:eastAsiaTheme="minorHAnsi" w:hAnsi="Arial" w:cs="Arial"/>
          <w:color w:val="auto"/>
          <w:sz w:val="22"/>
          <w:lang w:val="en-AU" w:eastAsia="en-US"/>
        </w:rPr>
        <w:t>existing Rule 43 Order</w:t>
      </w:r>
      <w:r w:rsidRPr="0028747A">
        <w:rPr>
          <w:rFonts w:ascii="Arial" w:eastAsiaTheme="minorHAnsi" w:hAnsi="Arial" w:cs="Arial"/>
          <w:color w:val="auto"/>
          <w:sz w:val="22"/>
          <w:lang w:val="en-AU" w:eastAsia="en-US"/>
        </w:rPr>
        <w:t xml:space="preserve"> and/or the respondent’s rights in terms of the Rule 43 Order</w:t>
      </w:r>
      <w:r w:rsidR="00D00B6A" w:rsidRPr="0028747A">
        <w:rPr>
          <w:rFonts w:ascii="Arial" w:eastAsiaTheme="minorHAnsi" w:hAnsi="Arial" w:cs="Arial"/>
          <w:color w:val="auto"/>
          <w:sz w:val="22"/>
          <w:lang w:val="en-AU" w:eastAsia="en-US"/>
        </w:rPr>
        <w:t>.</w:t>
      </w:r>
    </w:p>
    <w:p w14:paraId="0B478D8F" w14:textId="790D3DAA" w:rsidR="009824E7" w:rsidRPr="0028747A" w:rsidRDefault="007A32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For the above reasons, </w:t>
      </w:r>
      <w:r w:rsidR="009824E7" w:rsidRPr="0028747A">
        <w:rPr>
          <w:rFonts w:ascii="Arial" w:eastAsiaTheme="minorHAnsi" w:hAnsi="Arial" w:cs="Arial"/>
          <w:color w:val="auto"/>
          <w:sz w:val="22"/>
          <w:lang w:val="en-AU" w:eastAsia="en-US"/>
        </w:rPr>
        <w:t xml:space="preserve">I am unable to find that the parties laboured under the same incorrect factual assumption of the status </w:t>
      </w:r>
      <w:r w:rsidR="00C9556C" w:rsidRPr="0028747A">
        <w:rPr>
          <w:rFonts w:ascii="Arial" w:eastAsiaTheme="minorHAnsi" w:hAnsi="Arial" w:cs="Arial"/>
          <w:color w:val="auto"/>
          <w:sz w:val="22"/>
          <w:lang w:val="en-AU" w:eastAsia="en-US"/>
        </w:rPr>
        <w:t xml:space="preserve">and/or consequences </w:t>
      </w:r>
      <w:r w:rsidR="009824E7" w:rsidRPr="0028747A">
        <w:rPr>
          <w:rFonts w:ascii="Arial" w:eastAsiaTheme="minorHAnsi" w:hAnsi="Arial" w:cs="Arial"/>
          <w:color w:val="auto"/>
          <w:sz w:val="22"/>
          <w:lang w:val="en-AU" w:eastAsia="en-US"/>
        </w:rPr>
        <w:t xml:space="preserve">of the settlement agreement in the context of the existing Rule 43 Order. I am also unable to find that the factual material which led </w:t>
      </w:r>
      <w:r w:rsidR="00FA5063">
        <w:rPr>
          <w:rFonts w:ascii="Arial" w:eastAsiaTheme="minorHAnsi" w:hAnsi="Arial" w:cs="Arial"/>
          <w:color w:val="auto"/>
          <w:sz w:val="22"/>
          <w:lang w:val="en-AU" w:eastAsia="en-US"/>
        </w:rPr>
        <w:t xml:space="preserve">Moorcraft AJ </w:t>
      </w:r>
      <w:r w:rsidR="009824E7" w:rsidRPr="0028747A">
        <w:rPr>
          <w:rFonts w:ascii="Arial" w:eastAsiaTheme="minorHAnsi" w:hAnsi="Arial" w:cs="Arial"/>
          <w:color w:val="auto"/>
          <w:sz w:val="22"/>
          <w:lang w:val="en-AU" w:eastAsia="en-US"/>
        </w:rPr>
        <w:t xml:space="preserve">to make </w:t>
      </w:r>
      <w:r w:rsidR="00FA5063">
        <w:rPr>
          <w:rFonts w:ascii="Arial" w:eastAsiaTheme="minorHAnsi" w:hAnsi="Arial" w:cs="Arial"/>
          <w:color w:val="auto"/>
          <w:sz w:val="22"/>
          <w:lang w:val="en-AU" w:eastAsia="en-US"/>
        </w:rPr>
        <w:t>his</w:t>
      </w:r>
      <w:r w:rsidR="009824E7" w:rsidRPr="0028747A">
        <w:rPr>
          <w:rFonts w:ascii="Arial" w:eastAsiaTheme="minorHAnsi" w:hAnsi="Arial" w:cs="Arial"/>
          <w:color w:val="auto"/>
          <w:sz w:val="22"/>
          <w:lang w:val="en-AU" w:eastAsia="en-US"/>
        </w:rPr>
        <w:t xml:space="preserve"> original order (i) was not contrary to the parties' common assumption as to its correctness; and (ii) was incorrect.</w:t>
      </w:r>
    </w:p>
    <w:p w14:paraId="620159C9" w14:textId="6CC24789" w:rsidR="009824E7" w:rsidRDefault="00C9556C"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w:t>
      </w:r>
      <w:r w:rsidR="009824E7" w:rsidRPr="0028747A">
        <w:rPr>
          <w:rFonts w:ascii="Arial" w:eastAsiaTheme="minorHAnsi" w:hAnsi="Arial" w:cs="Arial"/>
          <w:color w:val="auto"/>
          <w:sz w:val="22"/>
          <w:lang w:val="en-AU" w:eastAsia="en-US"/>
        </w:rPr>
        <w:t xml:space="preserve">he parties </w:t>
      </w:r>
      <w:r w:rsidRPr="0028747A">
        <w:rPr>
          <w:rFonts w:ascii="Arial" w:eastAsiaTheme="minorHAnsi" w:hAnsi="Arial" w:cs="Arial"/>
          <w:color w:val="auto"/>
          <w:sz w:val="22"/>
          <w:lang w:val="en-AU" w:eastAsia="en-US"/>
        </w:rPr>
        <w:t>did</w:t>
      </w:r>
      <w:r w:rsidR="009824E7" w:rsidRPr="0028747A">
        <w:rPr>
          <w:rFonts w:ascii="Arial" w:eastAsiaTheme="minorHAnsi" w:hAnsi="Arial" w:cs="Arial"/>
          <w:color w:val="auto"/>
          <w:sz w:val="22"/>
          <w:lang w:val="en-AU" w:eastAsia="en-US"/>
        </w:rPr>
        <w:t xml:space="preserve"> not jointly assume a factual state of affairs during the contempt proceedings which turned out to be a wrong factual assumption. Otherwise cast, the parties did not labour under a common mistake. </w:t>
      </w:r>
    </w:p>
    <w:p w14:paraId="333FC56D" w14:textId="7B3D6452" w:rsidR="00D00B6A" w:rsidRPr="0028747A" w:rsidRDefault="00D00B6A"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Moreover, even if I am incorrect on the aforesaid scor</w:t>
      </w:r>
      <w:r w:rsidR="00850BC7" w:rsidRPr="0028747A">
        <w:rPr>
          <w:rFonts w:ascii="Arial" w:eastAsiaTheme="minorHAnsi" w:hAnsi="Arial" w:cs="Arial"/>
          <w:color w:val="auto"/>
          <w:sz w:val="22"/>
          <w:lang w:val="en-AU" w:eastAsia="en-US"/>
        </w:rPr>
        <w:t xml:space="preserve">e, </w:t>
      </w:r>
      <w:r w:rsidRPr="0028747A">
        <w:rPr>
          <w:rFonts w:ascii="Arial" w:eastAsiaTheme="minorHAnsi" w:hAnsi="Arial" w:cs="Arial"/>
          <w:color w:val="auto"/>
          <w:sz w:val="22"/>
          <w:lang w:val="en-AU" w:eastAsia="en-US"/>
        </w:rPr>
        <w:t xml:space="preserve">there is </w:t>
      </w:r>
      <w:bookmarkStart w:id="23" w:name="_Hlk150937926"/>
      <w:r w:rsidRPr="0028747A">
        <w:rPr>
          <w:rFonts w:ascii="Arial" w:eastAsiaTheme="minorHAnsi" w:hAnsi="Arial" w:cs="Arial"/>
          <w:color w:val="auto"/>
          <w:sz w:val="22"/>
          <w:lang w:val="en-AU" w:eastAsia="en-US"/>
        </w:rPr>
        <w:t xml:space="preserve">no causative link between the mere existence of the settlement agreement and the contempt of court order granted by Moorcraft AJ. </w:t>
      </w:r>
      <w:bookmarkEnd w:id="23"/>
      <w:r w:rsidRPr="0028747A">
        <w:rPr>
          <w:rFonts w:ascii="Arial" w:eastAsiaTheme="minorHAnsi" w:hAnsi="Arial" w:cs="Arial"/>
          <w:color w:val="auto"/>
          <w:sz w:val="22"/>
          <w:lang w:val="en-AU" w:eastAsia="en-US"/>
        </w:rPr>
        <w:t xml:space="preserve">This is for two reasons. One, the settlement agreement does not supersede the Rule 43 Order. And two, the </w:t>
      </w:r>
      <w:r w:rsidR="00C14705" w:rsidRPr="0028747A">
        <w:rPr>
          <w:rFonts w:ascii="Arial" w:eastAsiaTheme="minorHAnsi" w:hAnsi="Arial" w:cs="Arial"/>
          <w:color w:val="auto"/>
          <w:sz w:val="22"/>
          <w:lang w:val="en-AU" w:eastAsia="en-US"/>
        </w:rPr>
        <w:t>applicant has not complied with the settlement agreement.</w:t>
      </w:r>
    </w:p>
    <w:p w14:paraId="46294BE9" w14:textId="6AA38489" w:rsidR="008B3DC6" w:rsidRPr="0028747A" w:rsidRDefault="00C147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my view, the settlement agreement may have been relevant in determining whether the applicant was in wilful contempt of the Rule 43 Order</w:t>
      </w:r>
      <w:r w:rsidR="00C9556C" w:rsidRPr="0028747A">
        <w:rPr>
          <w:rFonts w:ascii="Arial" w:eastAsiaTheme="minorHAnsi" w:hAnsi="Arial" w:cs="Arial"/>
          <w:color w:val="auto"/>
          <w:sz w:val="22"/>
          <w:lang w:val="en-AU" w:eastAsia="en-US"/>
        </w:rPr>
        <w:t xml:space="preserve">, particularly </w:t>
      </w:r>
      <w:r w:rsidR="00850BC7" w:rsidRPr="0028747A">
        <w:rPr>
          <w:rFonts w:ascii="Arial" w:eastAsiaTheme="minorHAnsi" w:hAnsi="Arial" w:cs="Arial"/>
          <w:color w:val="auto"/>
          <w:sz w:val="22"/>
          <w:lang w:val="en-AU" w:eastAsia="en-US"/>
        </w:rPr>
        <w:t>if the applicant ha</w:t>
      </w:r>
      <w:r w:rsidR="00C9556C" w:rsidRPr="0028747A">
        <w:rPr>
          <w:rFonts w:ascii="Arial" w:eastAsiaTheme="minorHAnsi" w:hAnsi="Arial" w:cs="Arial"/>
          <w:color w:val="auto"/>
          <w:sz w:val="22"/>
          <w:lang w:val="en-AU" w:eastAsia="en-US"/>
        </w:rPr>
        <w:t xml:space="preserve">d </w:t>
      </w:r>
      <w:r w:rsidR="00850BC7" w:rsidRPr="0028747A">
        <w:rPr>
          <w:rFonts w:ascii="Arial" w:eastAsiaTheme="minorHAnsi" w:hAnsi="Arial" w:cs="Arial"/>
          <w:color w:val="auto"/>
          <w:sz w:val="22"/>
          <w:lang w:val="en-AU" w:eastAsia="en-US"/>
        </w:rPr>
        <w:t xml:space="preserve">been </w:t>
      </w:r>
      <w:r w:rsidR="00850BC7" w:rsidRPr="0028747A">
        <w:rPr>
          <w:rFonts w:ascii="Arial" w:eastAsiaTheme="minorHAnsi" w:hAnsi="Arial" w:cs="Arial"/>
          <w:color w:val="auto"/>
          <w:sz w:val="22"/>
          <w:lang w:val="en-AU" w:eastAsia="en-US"/>
        </w:rPr>
        <w:lastRenderedPageBreak/>
        <w:t>diligently complying with the terms of the settlement agreement</w:t>
      </w:r>
      <w:r w:rsidRPr="0028747A">
        <w:rPr>
          <w:rFonts w:ascii="Arial" w:eastAsiaTheme="minorHAnsi" w:hAnsi="Arial" w:cs="Arial"/>
          <w:color w:val="auto"/>
          <w:sz w:val="22"/>
          <w:lang w:val="en-AU" w:eastAsia="en-US"/>
        </w:rPr>
        <w:t xml:space="preserve">. </w:t>
      </w:r>
      <w:r w:rsidR="008B3DC6" w:rsidRPr="0028747A">
        <w:rPr>
          <w:rFonts w:ascii="Arial" w:eastAsiaTheme="minorHAnsi" w:hAnsi="Arial" w:cs="Arial"/>
          <w:color w:val="auto"/>
          <w:sz w:val="22"/>
          <w:lang w:val="en-AU" w:eastAsia="en-US"/>
        </w:rPr>
        <w:t xml:space="preserve">In my exchanges with the applicant’s counsel, she was unable to point me to any portion of the papers where the applicant </w:t>
      </w:r>
      <w:r w:rsidR="00827EB2" w:rsidRPr="0028747A">
        <w:rPr>
          <w:rFonts w:ascii="Arial" w:eastAsiaTheme="minorHAnsi" w:hAnsi="Arial" w:cs="Arial"/>
          <w:color w:val="auto"/>
          <w:sz w:val="22"/>
          <w:lang w:val="en-AU" w:eastAsia="en-US"/>
        </w:rPr>
        <w:t xml:space="preserve">states that he </w:t>
      </w:r>
      <w:r w:rsidR="008B3DC6" w:rsidRPr="0028747A">
        <w:rPr>
          <w:rFonts w:ascii="Arial" w:eastAsiaTheme="minorHAnsi" w:hAnsi="Arial" w:cs="Arial"/>
          <w:color w:val="auto"/>
          <w:sz w:val="22"/>
          <w:lang w:val="en-AU" w:eastAsia="en-US"/>
        </w:rPr>
        <w:t>has complied with the terms of the settlement agreement. Instead, the applicant’s counsel s</w:t>
      </w:r>
      <w:r w:rsidR="00827EB2" w:rsidRPr="0028747A">
        <w:rPr>
          <w:rFonts w:ascii="Arial" w:eastAsiaTheme="minorHAnsi" w:hAnsi="Arial" w:cs="Arial"/>
          <w:color w:val="auto"/>
          <w:sz w:val="22"/>
          <w:lang w:val="en-AU" w:eastAsia="en-US"/>
        </w:rPr>
        <w:t xml:space="preserve">ubmitted that it was not necessary to deal with this issue because the Rule 43 Order has been replaced by the settlement agreement. </w:t>
      </w:r>
    </w:p>
    <w:p w14:paraId="18FC9F6C" w14:textId="5C1B670C" w:rsidR="00C14705" w:rsidRPr="0028747A" w:rsidRDefault="008B3DC6"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Again, I do not agree</w:t>
      </w:r>
      <w:r w:rsidR="00827EB2" w:rsidRPr="0028747A">
        <w:rPr>
          <w:rFonts w:ascii="Arial" w:eastAsiaTheme="minorHAnsi" w:hAnsi="Arial" w:cs="Arial"/>
          <w:color w:val="auto"/>
          <w:sz w:val="22"/>
          <w:lang w:val="en-AU" w:eastAsia="en-US"/>
        </w:rPr>
        <w:t>, for two reasons</w:t>
      </w:r>
      <w:r w:rsidRPr="0028747A">
        <w:rPr>
          <w:rFonts w:ascii="Arial" w:eastAsiaTheme="minorHAnsi" w:hAnsi="Arial" w:cs="Arial"/>
          <w:color w:val="auto"/>
          <w:sz w:val="22"/>
          <w:lang w:val="en-AU" w:eastAsia="en-US"/>
        </w:rPr>
        <w:t>.</w:t>
      </w:r>
      <w:r w:rsidR="00827EB2" w:rsidRPr="0028747A">
        <w:rPr>
          <w:rFonts w:ascii="Arial" w:eastAsiaTheme="minorHAnsi" w:hAnsi="Arial" w:cs="Arial"/>
          <w:color w:val="auto"/>
          <w:sz w:val="22"/>
          <w:lang w:val="en-AU" w:eastAsia="en-US"/>
        </w:rPr>
        <w:t xml:space="preserve"> One, the Rule 43 Order has not been replaced. And two,</w:t>
      </w:r>
      <w:r w:rsidR="00C9556C"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 xml:space="preserve">the applicant’s compliance </w:t>
      </w:r>
      <w:r w:rsidR="00850BC7" w:rsidRPr="0028747A">
        <w:rPr>
          <w:rFonts w:ascii="Arial" w:eastAsiaTheme="minorHAnsi" w:hAnsi="Arial" w:cs="Arial"/>
          <w:color w:val="auto"/>
          <w:sz w:val="22"/>
          <w:lang w:val="en-AU" w:eastAsia="en-US"/>
        </w:rPr>
        <w:t xml:space="preserve">or otherwise </w:t>
      </w:r>
      <w:r w:rsidRPr="0028747A">
        <w:rPr>
          <w:rFonts w:ascii="Arial" w:eastAsiaTheme="minorHAnsi" w:hAnsi="Arial" w:cs="Arial"/>
          <w:color w:val="auto"/>
          <w:sz w:val="22"/>
          <w:lang w:val="en-AU" w:eastAsia="en-US"/>
        </w:rPr>
        <w:t xml:space="preserve">with the settlement agreement would </w:t>
      </w:r>
      <w:r w:rsidR="00827EB2" w:rsidRPr="0028747A">
        <w:rPr>
          <w:rFonts w:ascii="Arial" w:eastAsiaTheme="minorHAnsi" w:hAnsi="Arial" w:cs="Arial"/>
          <w:color w:val="auto"/>
          <w:sz w:val="22"/>
          <w:lang w:val="en-AU" w:eastAsia="en-US"/>
        </w:rPr>
        <w:t xml:space="preserve">have unquestionably </w:t>
      </w:r>
      <w:r w:rsidRPr="0028747A">
        <w:rPr>
          <w:rFonts w:ascii="Arial" w:eastAsiaTheme="minorHAnsi" w:hAnsi="Arial" w:cs="Arial"/>
          <w:color w:val="auto"/>
          <w:sz w:val="22"/>
          <w:lang w:val="en-AU" w:eastAsia="en-US"/>
        </w:rPr>
        <w:t xml:space="preserve">been relevant to demonstrate a lack of wilfulness and/or </w:t>
      </w:r>
      <w:r w:rsidRPr="0028747A">
        <w:rPr>
          <w:rFonts w:ascii="Arial" w:eastAsiaTheme="minorHAnsi" w:hAnsi="Arial" w:cs="Arial"/>
          <w:i/>
          <w:iCs/>
          <w:color w:val="auto"/>
          <w:sz w:val="22"/>
          <w:lang w:val="en-AU" w:eastAsia="en-US"/>
        </w:rPr>
        <w:t>mala fides</w:t>
      </w:r>
      <w:r w:rsidRPr="0028747A">
        <w:rPr>
          <w:rFonts w:ascii="Arial" w:eastAsiaTheme="minorHAnsi" w:hAnsi="Arial" w:cs="Arial"/>
          <w:color w:val="auto"/>
          <w:sz w:val="22"/>
          <w:lang w:val="en-AU" w:eastAsia="en-US"/>
        </w:rPr>
        <w:t xml:space="preserve"> in the contempt proceedings.</w:t>
      </w:r>
      <w:r w:rsidR="002B261F" w:rsidRPr="0028747A">
        <w:rPr>
          <w:rFonts w:ascii="Arial" w:eastAsiaTheme="minorHAnsi" w:hAnsi="Arial" w:cs="Arial"/>
          <w:color w:val="auto"/>
          <w:sz w:val="22"/>
          <w:lang w:val="en-AU" w:eastAsia="en-US"/>
        </w:rPr>
        <w:t xml:space="preserve"> This, in turn, would have been relevant to determine whether there was a causative link between the mistake and the order granted.</w:t>
      </w:r>
    </w:p>
    <w:p w14:paraId="62F6BDDF" w14:textId="14BBFDB7" w:rsidR="009D627F" w:rsidRPr="0028747A" w:rsidRDefault="009D627F"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Whilst I am mindful that the applicant potentially </w:t>
      </w:r>
      <w:r w:rsidR="00FA5063">
        <w:rPr>
          <w:rFonts w:ascii="Arial" w:eastAsiaTheme="minorHAnsi" w:hAnsi="Arial" w:cs="Arial"/>
          <w:color w:val="auto"/>
          <w:sz w:val="22"/>
          <w:lang w:val="en-AU" w:eastAsia="en-US"/>
        </w:rPr>
        <w:t>c</w:t>
      </w:r>
      <w:r w:rsidRPr="0028747A">
        <w:rPr>
          <w:rFonts w:ascii="Arial" w:eastAsiaTheme="minorHAnsi" w:hAnsi="Arial" w:cs="Arial"/>
          <w:color w:val="auto"/>
          <w:sz w:val="22"/>
          <w:lang w:val="en-AU" w:eastAsia="en-US"/>
        </w:rPr>
        <w:t>ould have raise</w:t>
      </w:r>
      <w:r w:rsidR="00246E58" w:rsidRPr="0028747A">
        <w:rPr>
          <w:rFonts w:ascii="Arial" w:eastAsiaTheme="minorHAnsi" w:hAnsi="Arial" w:cs="Arial"/>
          <w:color w:val="auto"/>
          <w:sz w:val="22"/>
          <w:lang w:val="en-AU" w:eastAsia="en-US"/>
        </w:rPr>
        <w:t>d</w:t>
      </w:r>
      <w:r w:rsidRPr="0028747A">
        <w:rPr>
          <w:rFonts w:ascii="Arial" w:eastAsiaTheme="minorHAnsi" w:hAnsi="Arial" w:cs="Arial"/>
          <w:color w:val="auto"/>
          <w:sz w:val="22"/>
          <w:lang w:val="en-AU" w:eastAsia="en-US"/>
        </w:rPr>
        <w:t xml:space="preserve"> the defence of estoppel in the contempt proceedings, I am not convinced that the absence of the estoppel defence constitutes causative link in respect of the contempt of court order granted by Moorcraft AJ. This is because (i) the estoppel defence is not a common mistake; and (ii) the estoppel defence was nevertheless available to the applicant during the contempt proceedings</w:t>
      </w:r>
      <w:r w:rsidR="00FA5063">
        <w:rPr>
          <w:rFonts w:ascii="Arial" w:eastAsiaTheme="minorHAnsi" w:hAnsi="Arial" w:cs="Arial"/>
          <w:color w:val="auto"/>
          <w:sz w:val="22"/>
          <w:lang w:val="en-AU" w:eastAsia="en-US"/>
        </w:rPr>
        <w:t>.</w:t>
      </w:r>
    </w:p>
    <w:p w14:paraId="39A07019" w14:textId="120D5067" w:rsidR="009D627F" w:rsidRPr="0028747A" w:rsidRDefault="00C147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Accordingly, I find that the applicant has </w:t>
      </w:r>
      <w:r w:rsidR="00FA5063">
        <w:rPr>
          <w:rFonts w:ascii="Arial" w:eastAsiaTheme="minorHAnsi" w:hAnsi="Arial" w:cs="Arial"/>
          <w:color w:val="auto"/>
          <w:sz w:val="22"/>
          <w:lang w:val="en-AU" w:eastAsia="en-US"/>
        </w:rPr>
        <w:t xml:space="preserve">not established </w:t>
      </w:r>
      <w:r w:rsidRPr="0028747A">
        <w:rPr>
          <w:rFonts w:ascii="Arial" w:eastAsiaTheme="minorHAnsi" w:hAnsi="Arial" w:cs="Arial"/>
          <w:color w:val="auto"/>
          <w:sz w:val="22"/>
          <w:lang w:val="en-AU" w:eastAsia="en-US"/>
        </w:rPr>
        <w:t xml:space="preserve">case for a rescission of the contempt of court order in terms of </w:t>
      </w:r>
      <w:r w:rsidR="0062085B" w:rsidRPr="0028747A">
        <w:rPr>
          <w:rFonts w:ascii="Arial" w:eastAsiaTheme="minorHAnsi" w:hAnsi="Arial" w:cs="Arial"/>
          <w:color w:val="auto"/>
          <w:sz w:val="22"/>
          <w:lang w:val="en-AU" w:eastAsia="en-US"/>
        </w:rPr>
        <w:t>R</w:t>
      </w:r>
      <w:r w:rsidRPr="0028747A">
        <w:rPr>
          <w:rFonts w:ascii="Arial" w:eastAsiaTheme="minorHAnsi" w:hAnsi="Arial" w:cs="Arial"/>
          <w:color w:val="auto"/>
          <w:sz w:val="22"/>
          <w:lang w:val="en-AU" w:eastAsia="en-US"/>
        </w:rPr>
        <w:t>ule 42(1)(c).</w:t>
      </w:r>
      <w:r w:rsidR="009D627F" w:rsidRPr="0028747A">
        <w:rPr>
          <w:rFonts w:ascii="Arial" w:eastAsiaTheme="minorHAnsi" w:hAnsi="Arial" w:cs="Arial"/>
          <w:color w:val="auto"/>
          <w:sz w:val="22"/>
          <w:lang w:val="en-AU" w:eastAsia="en-US"/>
        </w:rPr>
        <w:t xml:space="preserve"> Even if I am wrong in my rejection of the applicant’s submissions, I retain a discretion to refuse his application.</w:t>
      </w:r>
    </w:p>
    <w:p w14:paraId="7DF7D939" w14:textId="31179DD9" w:rsidR="00C14705" w:rsidRPr="0028747A" w:rsidRDefault="00C147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Turning</w:t>
      </w:r>
      <w:r w:rsidR="00850BC7" w:rsidRPr="0028747A">
        <w:rPr>
          <w:rFonts w:ascii="Arial" w:eastAsiaTheme="minorHAnsi" w:hAnsi="Arial" w:cs="Arial"/>
          <w:color w:val="auto"/>
          <w:sz w:val="22"/>
          <w:lang w:val="en-AU" w:eastAsia="en-US"/>
        </w:rPr>
        <w:t xml:space="preserve"> now</w:t>
      </w:r>
      <w:r w:rsidRPr="0028747A">
        <w:rPr>
          <w:rFonts w:ascii="Arial" w:eastAsiaTheme="minorHAnsi" w:hAnsi="Arial" w:cs="Arial"/>
          <w:color w:val="auto"/>
          <w:sz w:val="22"/>
          <w:lang w:val="en-AU" w:eastAsia="en-US"/>
        </w:rPr>
        <w:t xml:space="preserve"> to the common law ground of rescission relied upon by the applicant</w:t>
      </w:r>
      <w:r w:rsidR="00850BC7" w:rsidRPr="0028747A">
        <w:rPr>
          <w:rFonts w:ascii="Arial" w:eastAsiaTheme="minorHAnsi" w:hAnsi="Arial" w:cs="Arial"/>
          <w:color w:val="auto"/>
          <w:sz w:val="22"/>
          <w:lang w:val="en-AU" w:eastAsia="en-US"/>
        </w:rPr>
        <w:t xml:space="preserve">. The applicant’s position is that </w:t>
      </w:r>
      <w:r w:rsidR="001A4FD9" w:rsidRPr="0028747A">
        <w:rPr>
          <w:rFonts w:ascii="Arial" w:eastAsiaTheme="minorHAnsi" w:hAnsi="Arial" w:cs="Arial"/>
          <w:color w:val="auto"/>
          <w:sz w:val="22"/>
          <w:lang w:val="en-AU" w:eastAsia="en-US"/>
        </w:rPr>
        <w:t>the settlement agreement constitutes a new document discovered as contemplated in the common law</w:t>
      </w:r>
      <w:r w:rsidR="00850BC7" w:rsidRPr="0028747A">
        <w:rPr>
          <w:rFonts w:ascii="Arial" w:eastAsiaTheme="minorHAnsi" w:hAnsi="Arial" w:cs="Arial"/>
          <w:color w:val="auto"/>
          <w:sz w:val="22"/>
          <w:lang w:val="en-AU" w:eastAsia="en-US"/>
        </w:rPr>
        <w:t xml:space="preserve"> and accordingly </w:t>
      </w:r>
      <w:r w:rsidRPr="0028747A">
        <w:rPr>
          <w:rFonts w:ascii="Arial" w:eastAsiaTheme="minorHAnsi" w:hAnsi="Arial" w:cs="Arial"/>
          <w:color w:val="auto"/>
          <w:sz w:val="22"/>
          <w:lang w:val="en-AU" w:eastAsia="en-US"/>
        </w:rPr>
        <w:t>constitutes a foundation to justify a rescission in terms of the common law.</w:t>
      </w:r>
    </w:p>
    <w:p w14:paraId="08FE2D99" w14:textId="2DE5FA1F" w:rsidR="00C14705" w:rsidRPr="0028747A" w:rsidRDefault="00C147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Whilst the respondent also states that the settlement agreement is a new document, </w:t>
      </w:r>
      <w:r w:rsidR="00850BC7" w:rsidRPr="0028747A">
        <w:rPr>
          <w:rFonts w:ascii="Arial" w:eastAsiaTheme="minorHAnsi" w:hAnsi="Arial" w:cs="Arial"/>
          <w:color w:val="auto"/>
          <w:sz w:val="22"/>
          <w:lang w:val="en-AU" w:eastAsia="en-US"/>
        </w:rPr>
        <w:t xml:space="preserve">whether a document constitutes a new document is </w:t>
      </w:r>
      <w:r w:rsidRPr="0028747A">
        <w:rPr>
          <w:rFonts w:ascii="Arial" w:eastAsiaTheme="minorHAnsi" w:hAnsi="Arial" w:cs="Arial"/>
          <w:color w:val="auto"/>
          <w:sz w:val="22"/>
          <w:lang w:val="en-AU" w:eastAsia="en-US"/>
        </w:rPr>
        <w:t>not a factual question, but a legal question.</w:t>
      </w:r>
    </w:p>
    <w:p w14:paraId="2A1538D0" w14:textId="77777777" w:rsidR="00740559" w:rsidRPr="0028747A" w:rsidRDefault="00C147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 xml:space="preserve">The applicant’s counsel submitted that it constituted a new document because it had only been </w:t>
      </w:r>
      <w:bookmarkStart w:id="24" w:name="_Hlk150856871"/>
      <w:r w:rsidRPr="0028747A">
        <w:rPr>
          <w:rFonts w:ascii="Arial" w:eastAsiaTheme="minorHAnsi" w:hAnsi="Arial" w:cs="Arial"/>
          <w:color w:val="auto"/>
          <w:sz w:val="22"/>
          <w:lang w:val="en-AU" w:eastAsia="en-US"/>
        </w:rPr>
        <w:t xml:space="preserve">brought to the attention of the applicant’s </w:t>
      </w:r>
      <w:r w:rsidRPr="0028747A">
        <w:rPr>
          <w:rFonts w:ascii="Arial" w:eastAsiaTheme="minorHAnsi" w:hAnsi="Arial" w:cs="Arial"/>
          <w:i/>
          <w:iCs/>
          <w:color w:val="auto"/>
          <w:sz w:val="22"/>
          <w:lang w:val="en-AU" w:eastAsia="en-US"/>
        </w:rPr>
        <w:t xml:space="preserve">legal representatives </w:t>
      </w:r>
      <w:bookmarkEnd w:id="24"/>
      <w:r w:rsidRPr="0028747A">
        <w:rPr>
          <w:rFonts w:ascii="Arial" w:eastAsiaTheme="minorHAnsi" w:hAnsi="Arial" w:cs="Arial"/>
          <w:color w:val="auto"/>
          <w:sz w:val="22"/>
          <w:lang w:val="en-AU" w:eastAsia="en-US"/>
        </w:rPr>
        <w:t xml:space="preserve">after the contempt of court order was granted. </w:t>
      </w:r>
      <w:r w:rsidR="00740559" w:rsidRPr="0028747A">
        <w:rPr>
          <w:rFonts w:ascii="Arial" w:eastAsiaTheme="minorHAnsi" w:hAnsi="Arial" w:cs="Arial"/>
          <w:color w:val="auto"/>
          <w:sz w:val="22"/>
          <w:lang w:val="en-AU" w:eastAsia="en-US"/>
        </w:rPr>
        <w:t xml:space="preserve">I do not agree. </w:t>
      </w:r>
    </w:p>
    <w:p w14:paraId="2BACBFF9" w14:textId="28E37979" w:rsidR="001A4FD9" w:rsidRPr="0028747A" w:rsidRDefault="0074055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In my exchanges with the applicant’s counsel, she rightly </w:t>
      </w:r>
      <w:r w:rsidR="00C14705" w:rsidRPr="0028747A">
        <w:rPr>
          <w:rFonts w:ascii="Arial" w:eastAsiaTheme="minorHAnsi" w:hAnsi="Arial" w:cs="Arial"/>
          <w:color w:val="auto"/>
          <w:sz w:val="22"/>
          <w:lang w:val="en-AU" w:eastAsia="en-US"/>
        </w:rPr>
        <w:t>conceded that the question is not when it was brought to the attention of the applicant’s legal representatives, but when the applicant himself was aware of the settlement agreement.</w:t>
      </w:r>
      <w:r w:rsidRPr="0028747A">
        <w:rPr>
          <w:rFonts w:ascii="Arial" w:eastAsiaTheme="minorHAnsi" w:hAnsi="Arial" w:cs="Arial"/>
          <w:color w:val="auto"/>
          <w:sz w:val="22"/>
          <w:lang w:val="en-AU" w:eastAsia="en-US"/>
        </w:rPr>
        <w:t xml:space="preserve"> The applicant’s counsel rightly conceded that the settlement agreement was not a new document insofar as the applicant’s knowledge was concerned.</w:t>
      </w:r>
    </w:p>
    <w:p w14:paraId="0FA7DC25" w14:textId="49F5EFDD" w:rsidR="0062085B" w:rsidRPr="0028747A" w:rsidRDefault="00C14705"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It is common cause that the settlement agreement was available to the applicant </w:t>
      </w:r>
      <w:r w:rsidR="002D7E46" w:rsidRPr="0028747A">
        <w:rPr>
          <w:rFonts w:ascii="Arial" w:eastAsiaTheme="minorHAnsi" w:hAnsi="Arial" w:cs="Arial"/>
          <w:color w:val="auto"/>
          <w:sz w:val="22"/>
          <w:lang w:val="en-AU" w:eastAsia="en-US"/>
        </w:rPr>
        <w:t xml:space="preserve">long </w:t>
      </w:r>
      <w:r w:rsidRPr="0028747A">
        <w:rPr>
          <w:rFonts w:ascii="Arial" w:eastAsiaTheme="minorHAnsi" w:hAnsi="Arial" w:cs="Arial"/>
          <w:color w:val="auto"/>
          <w:sz w:val="22"/>
          <w:lang w:val="en-AU" w:eastAsia="en-US"/>
        </w:rPr>
        <w:t xml:space="preserve">before </w:t>
      </w:r>
      <w:r w:rsidR="002D7E46" w:rsidRPr="0028747A">
        <w:rPr>
          <w:rFonts w:ascii="Arial" w:eastAsiaTheme="minorHAnsi" w:hAnsi="Arial" w:cs="Arial"/>
          <w:color w:val="auto"/>
          <w:sz w:val="22"/>
          <w:lang w:val="en-AU" w:eastAsia="en-US"/>
        </w:rPr>
        <w:t xml:space="preserve">the </w:t>
      </w:r>
      <w:r w:rsidRPr="0028747A">
        <w:rPr>
          <w:rFonts w:ascii="Arial" w:eastAsiaTheme="minorHAnsi" w:hAnsi="Arial" w:cs="Arial"/>
          <w:color w:val="auto"/>
          <w:sz w:val="22"/>
          <w:lang w:val="en-AU" w:eastAsia="en-US"/>
        </w:rPr>
        <w:t xml:space="preserve">judgment in the contempt proceedings. The late </w:t>
      </w:r>
      <w:r w:rsidR="002D7E46"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re</w:t>
      </w:r>
      <w:r w:rsidR="002D7E46"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-discovery of the settlement agreement would only be a ground for setting aside a judgment if the respondent fraudulently suppressed the settlement agreement and the applicant only became aware of it after judgment. This is not the applicant’s case in the present proceedings.</w:t>
      </w:r>
    </w:p>
    <w:p w14:paraId="044C99AE" w14:textId="7577BA93" w:rsidR="004440EE" w:rsidRPr="0028747A" w:rsidRDefault="004440EE"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Parties cannot be permitted to rescind judgments every time they conceive of a “possible better argument”</w:t>
      </w:r>
      <w:r w:rsidR="00BD121D" w:rsidRPr="0028747A">
        <w:rPr>
          <w:rFonts w:ascii="Arial" w:eastAsiaTheme="minorHAnsi" w:hAnsi="Arial" w:cs="Arial"/>
          <w:color w:val="auto"/>
          <w:sz w:val="22"/>
          <w:lang w:val="en-AU" w:eastAsia="en-US"/>
        </w:rPr>
        <w:t>.</w:t>
      </w:r>
      <w:r w:rsidR="00BD121D" w:rsidRPr="0028747A">
        <w:rPr>
          <w:rStyle w:val="FootnoteReference"/>
          <w:rFonts w:ascii="Arial" w:eastAsiaTheme="minorHAnsi" w:hAnsi="Arial" w:cs="Arial"/>
          <w:color w:val="auto"/>
          <w:sz w:val="22"/>
          <w:lang w:val="en-AU" w:eastAsia="en-US"/>
        </w:rPr>
        <w:footnoteReference w:id="24"/>
      </w:r>
      <w:r w:rsidR="00BD121D"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Policy considerations weigh against permitting this.</w:t>
      </w:r>
      <w:r w:rsidR="00BD121D" w:rsidRPr="0028747A">
        <w:rPr>
          <w:rStyle w:val="FootnoteReference"/>
          <w:rFonts w:ascii="Arial" w:eastAsiaTheme="minorHAnsi" w:hAnsi="Arial" w:cs="Arial"/>
          <w:color w:val="auto"/>
          <w:sz w:val="22"/>
          <w:lang w:val="en-AU" w:eastAsia="en-US"/>
        </w:rPr>
        <w:footnoteReference w:id="25"/>
      </w:r>
      <w:r w:rsidR="00BD121D"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This is particularly so having regard to the foundational principle regarding the finality of judgments.</w:t>
      </w:r>
    </w:p>
    <w:p w14:paraId="61E03C47" w14:textId="2864558C" w:rsidR="004440EE" w:rsidRPr="0028747A" w:rsidRDefault="004440EE"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This approach of our courts is echoed in the following statement in </w:t>
      </w:r>
      <w:r w:rsidRPr="0028747A">
        <w:rPr>
          <w:rFonts w:ascii="Arial" w:eastAsiaTheme="minorHAnsi" w:hAnsi="Arial" w:cs="Arial"/>
          <w:b/>
          <w:bCs/>
          <w:color w:val="auto"/>
          <w:sz w:val="22"/>
          <w:lang w:val="en-AU" w:eastAsia="en-US"/>
        </w:rPr>
        <w:t>Shedden v Patrick and Attorney-General</w:t>
      </w:r>
      <w:r w:rsidR="00BD121D" w:rsidRPr="0028747A">
        <w:rPr>
          <w:rStyle w:val="FootnoteReference"/>
          <w:rFonts w:ascii="Arial" w:eastAsiaTheme="minorHAnsi" w:hAnsi="Arial" w:cs="Arial"/>
          <w:b/>
          <w:bCs/>
          <w:color w:val="auto"/>
          <w:sz w:val="22"/>
          <w:lang w:val="en-AU" w:eastAsia="en-US"/>
        </w:rPr>
        <w:footnoteReference w:id="26"/>
      </w:r>
      <w:r w:rsidR="00BD121D" w:rsidRPr="0028747A">
        <w:rPr>
          <w:rFonts w:ascii="Arial" w:eastAsiaTheme="minorHAnsi" w:hAnsi="Arial" w:cs="Arial"/>
          <w:b/>
          <w:bCs/>
          <w:color w:val="auto"/>
          <w:sz w:val="22"/>
          <w:lang w:val="en-AU" w:eastAsia="en-US"/>
        </w:rPr>
        <w:t xml:space="preserve"> </w:t>
      </w:r>
      <w:r w:rsidR="00BD121D" w:rsidRPr="0028747A">
        <w:rPr>
          <w:rFonts w:ascii="Arial" w:eastAsiaTheme="minorHAnsi" w:hAnsi="Arial" w:cs="Arial"/>
          <w:color w:val="auto"/>
          <w:sz w:val="22"/>
          <w:lang w:val="en-AU" w:eastAsia="en-US"/>
        </w:rPr>
        <w:t>(albeit in the context of a trial)</w:t>
      </w:r>
      <w:r w:rsidRPr="0028747A">
        <w:rPr>
          <w:rFonts w:ascii="Arial" w:eastAsiaTheme="minorHAnsi" w:hAnsi="Arial" w:cs="Arial"/>
          <w:color w:val="auto"/>
          <w:sz w:val="22"/>
          <w:lang w:val="en-AU" w:eastAsia="en-US"/>
        </w:rPr>
        <w:t>:</w:t>
      </w:r>
    </w:p>
    <w:p w14:paraId="74C53CB7" w14:textId="6FAD0C51" w:rsidR="004440EE" w:rsidRPr="0028747A" w:rsidRDefault="004440EE" w:rsidP="00BD121D">
      <w:pPr>
        <w:spacing w:after="360" w:line="276" w:lineRule="auto"/>
        <w:ind w:left="1440" w:right="547"/>
        <w:rPr>
          <w:rFonts w:ascii="Arial" w:hAnsi="Arial" w:cs="Arial"/>
          <w:i/>
          <w:iCs/>
          <w:sz w:val="22"/>
        </w:rPr>
      </w:pPr>
      <w:r w:rsidRPr="0028747A">
        <w:rPr>
          <w:rFonts w:ascii="Arial" w:hAnsi="Arial" w:cs="Arial"/>
          <w:i/>
          <w:iCs/>
          <w:sz w:val="22"/>
        </w:rPr>
        <w:t xml:space="preserve">“It is an invariable rule in all the courts, and one founded upon the clearest principles of reason and justice, that if evidence, which either was in the possession of parties at the time of a trial, or by proper diligence might have been obtained, is either not produced or has not been procured, and the case is decided adversely to the side to which the evidence was available, no </w:t>
      </w:r>
      <w:r w:rsidRPr="0028747A">
        <w:rPr>
          <w:rFonts w:ascii="Arial" w:hAnsi="Arial" w:cs="Arial"/>
          <w:i/>
          <w:iCs/>
          <w:sz w:val="22"/>
        </w:rPr>
        <w:lastRenderedPageBreak/>
        <w:t>opportunity for producing that evidence ought to be given by granting a new trial.”</w:t>
      </w:r>
    </w:p>
    <w:p w14:paraId="05F70A1C" w14:textId="26D3817C" w:rsidR="00D74533" w:rsidRPr="0028747A" w:rsidRDefault="00D74533"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By all accounts, the applicant was in possession of the settlement agreement since September 2020.</w:t>
      </w:r>
      <w:r w:rsidR="00FC5C65" w:rsidRPr="0028747A">
        <w:rPr>
          <w:rFonts w:ascii="Arial" w:hAnsi="Arial" w:cs="Arial"/>
          <w:sz w:val="22"/>
        </w:rPr>
        <w:t xml:space="preserve"> </w:t>
      </w:r>
      <w:r w:rsidR="00FC5C65" w:rsidRPr="0028747A">
        <w:rPr>
          <w:rFonts w:ascii="Arial" w:eastAsiaTheme="minorHAnsi" w:hAnsi="Arial" w:cs="Arial"/>
          <w:color w:val="auto"/>
          <w:sz w:val="22"/>
          <w:lang w:val="en-AU" w:eastAsia="en-US"/>
        </w:rPr>
        <w:t>Th</w:t>
      </w:r>
      <w:r w:rsidR="00BD121D" w:rsidRPr="0028747A">
        <w:rPr>
          <w:rFonts w:ascii="Arial" w:eastAsiaTheme="minorHAnsi" w:hAnsi="Arial" w:cs="Arial"/>
          <w:color w:val="auto"/>
          <w:sz w:val="22"/>
          <w:lang w:val="en-AU" w:eastAsia="en-US"/>
        </w:rPr>
        <w:t>e</w:t>
      </w:r>
      <w:r w:rsidR="00FC5C65" w:rsidRPr="0028747A">
        <w:rPr>
          <w:rFonts w:ascii="Arial" w:eastAsiaTheme="minorHAnsi" w:hAnsi="Arial" w:cs="Arial"/>
          <w:color w:val="auto"/>
          <w:sz w:val="22"/>
          <w:lang w:val="en-AU" w:eastAsia="en-US"/>
        </w:rPr>
        <w:t xml:space="preserve"> settlement agreement was, in the main and at all material times, available and known to the applicant.</w:t>
      </w:r>
      <w:r w:rsidRPr="0028747A">
        <w:rPr>
          <w:rFonts w:ascii="Arial" w:eastAsiaTheme="minorHAnsi" w:hAnsi="Arial" w:cs="Arial"/>
          <w:color w:val="auto"/>
          <w:sz w:val="22"/>
          <w:lang w:val="en-AU" w:eastAsia="en-US"/>
        </w:rPr>
        <w:t xml:space="preserve"> It was due to </w:t>
      </w:r>
      <w:r w:rsidR="00FC5C65" w:rsidRPr="0028747A">
        <w:rPr>
          <w:rFonts w:ascii="Arial" w:eastAsiaTheme="minorHAnsi" w:hAnsi="Arial" w:cs="Arial"/>
          <w:color w:val="auto"/>
          <w:sz w:val="22"/>
          <w:lang w:val="en-AU" w:eastAsia="en-US"/>
        </w:rPr>
        <w:t xml:space="preserve">the applicant’s </w:t>
      </w:r>
      <w:r w:rsidRPr="0028747A">
        <w:rPr>
          <w:rFonts w:ascii="Arial" w:eastAsiaTheme="minorHAnsi" w:hAnsi="Arial" w:cs="Arial"/>
          <w:color w:val="auto"/>
          <w:sz w:val="22"/>
          <w:lang w:val="en-AU" w:eastAsia="en-US"/>
        </w:rPr>
        <w:t xml:space="preserve">own fault that he did not produce the settlement agreement during the contempt proceedings and before judgment was granted. </w:t>
      </w:r>
    </w:p>
    <w:p w14:paraId="3949B995" w14:textId="1044DD20" w:rsidR="00D74533" w:rsidRPr="0028747A" w:rsidRDefault="00D74533"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applicant’s explanation that </w:t>
      </w:r>
      <w:r w:rsidR="00BD121D" w:rsidRPr="0028747A">
        <w:rPr>
          <w:rFonts w:ascii="Arial" w:eastAsiaTheme="minorHAnsi" w:hAnsi="Arial" w:cs="Arial"/>
          <w:color w:val="auto"/>
          <w:sz w:val="22"/>
          <w:lang w:val="en-AU" w:eastAsia="en-US"/>
        </w:rPr>
        <w:t xml:space="preserve">he </w:t>
      </w:r>
      <w:r w:rsidRPr="0028747A">
        <w:rPr>
          <w:rFonts w:ascii="Arial" w:eastAsiaTheme="minorHAnsi" w:hAnsi="Arial" w:cs="Arial"/>
          <w:color w:val="auto"/>
          <w:sz w:val="22"/>
          <w:lang w:val="en-AU" w:eastAsia="en-US"/>
        </w:rPr>
        <w:t xml:space="preserve">had forgotten about the settlement agreement and that he was not sure how it fit into the contempt proceedings </w:t>
      </w:r>
      <w:r w:rsidR="00FA5063">
        <w:rPr>
          <w:rFonts w:ascii="Arial" w:eastAsiaTheme="minorHAnsi" w:hAnsi="Arial" w:cs="Arial"/>
          <w:color w:val="auto"/>
          <w:sz w:val="22"/>
          <w:lang w:val="en-AU" w:eastAsia="en-US"/>
        </w:rPr>
        <w:t>is</w:t>
      </w:r>
      <w:r w:rsidR="00BD121D" w:rsidRPr="0028747A">
        <w:rPr>
          <w:rFonts w:ascii="Arial" w:eastAsiaTheme="minorHAnsi" w:hAnsi="Arial" w:cs="Arial"/>
          <w:color w:val="auto"/>
          <w:sz w:val="22"/>
          <w:lang w:val="en-AU" w:eastAsia="en-US"/>
        </w:rPr>
        <w:t xml:space="preserve"> not only</w:t>
      </w:r>
      <w:r w:rsidRPr="0028747A">
        <w:rPr>
          <w:rFonts w:ascii="Arial" w:eastAsiaTheme="minorHAnsi" w:hAnsi="Arial" w:cs="Arial"/>
          <w:color w:val="auto"/>
          <w:sz w:val="22"/>
          <w:lang w:val="en-AU" w:eastAsia="en-US"/>
        </w:rPr>
        <w:t xml:space="preserve"> unsatisfactory</w:t>
      </w:r>
      <w:r w:rsidR="00BD121D" w:rsidRPr="0028747A">
        <w:rPr>
          <w:rFonts w:ascii="Arial" w:eastAsiaTheme="minorHAnsi" w:hAnsi="Arial" w:cs="Arial"/>
          <w:color w:val="auto"/>
          <w:sz w:val="22"/>
          <w:lang w:val="en-AU" w:eastAsia="en-US"/>
        </w:rPr>
        <w:t xml:space="preserve">, but </w:t>
      </w:r>
      <w:r w:rsidRPr="0028747A">
        <w:rPr>
          <w:rFonts w:ascii="Arial" w:eastAsiaTheme="minorHAnsi" w:hAnsi="Arial" w:cs="Arial"/>
          <w:color w:val="auto"/>
          <w:sz w:val="22"/>
          <w:lang w:val="en-AU" w:eastAsia="en-US"/>
        </w:rPr>
        <w:t>mutually exclusive. I am unable to find any exceptional circumstances to justify the rescission</w:t>
      </w:r>
      <w:r w:rsidR="00FC5C65" w:rsidRPr="0028747A">
        <w:rPr>
          <w:rFonts w:ascii="Arial" w:eastAsiaTheme="minorHAnsi" w:hAnsi="Arial" w:cs="Arial"/>
          <w:color w:val="auto"/>
          <w:sz w:val="22"/>
          <w:lang w:val="en-AU" w:eastAsia="en-US"/>
        </w:rPr>
        <w:t xml:space="preserve"> on this common law ground</w:t>
      </w:r>
      <w:r w:rsidRPr="0028747A">
        <w:rPr>
          <w:rFonts w:ascii="Arial" w:eastAsiaTheme="minorHAnsi" w:hAnsi="Arial" w:cs="Arial"/>
          <w:color w:val="auto"/>
          <w:sz w:val="22"/>
          <w:lang w:val="en-AU" w:eastAsia="en-US"/>
        </w:rPr>
        <w:t>.</w:t>
      </w:r>
      <w:r w:rsidRPr="0028747A">
        <w:rPr>
          <w:rStyle w:val="FootnoteReference"/>
          <w:rFonts w:ascii="Arial" w:eastAsiaTheme="minorHAnsi" w:hAnsi="Arial" w:cs="Arial"/>
          <w:color w:val="auto"/>
          <w:sz w:val="22"/>
          <w:lang w:val="en-AU" w:eastAsia="en-US"/>
        </w:rPr>
        <w:footnoteReference w:id="27"/>
      </w:r>
    </w:p>
    <w:p w14:paraId="7C417782" w14:textId="1A5B605A" w:rsidR="0062085B" w:rsidRPr="0028747A" w:rsidRDefault="002D7E46"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 am </w:t>
      </w:r>
      <w:r w:rsidR="008B43DE" w:rsidRPr="0028747A">
        <w:rPr>
          <w:rFonts w:ascii="Arial" w:eastAsiaTheme="minorHAnsi" w:hAnsi="Arial" w:cs="Arial"/>
          <w:color w:val="auto"/>
          <w:sz w:val="22"/>
          <w:lang w:val="en-AU" w:eastAsia="en-US"/>
        </w:rPr>
        <w:t>un</w:t>
      </w:r>
      <w:r w:rsidRPr="0028747A">
        <w:rPr>
          <w:rFonts w:ascii="Arial" w:eastAsiaTheme="minorHAnsi" w:hAnsi="Arial" w:cs="Arial"/>
          <w:color w:val="auto"/>
          <w:sz w:val="22"/>
          <w:lang w:val="en-AU" w:eastAsia="en-US"/>
        </w:rPr>
        <w:t>persuaded that the settlement agreement constitutes a new document as contemplated in the common law.</w:t>
      </w:r>
    </w:p>
    <w:p w14:paraId="209EA67B" w14:textId="77777777" w:rsidR="003E53F1" w:rsidRPr="0028747A" w:rsidRDefault="0062085B"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Moreover, and considering </w:t>
      </w:r>
      <w:r w:rsidRPr="0028747A">
        <w:rPr>
          <w:rFonts w:ascii="Arial" w:eastAsiaTheme="minorHAnsi" w:hAnsi="Arial" w:cs="Arial"/>
          <w:b/>
          <w:bCs/>
          <w:color w:val="auto"/>
          <w:sz w:val="22"/>
          <w:lang w:val="en-AU" w:eastAsia="en-US"/>
        </w:rPr>
        <w:t xml:space="preserve">Fraai Uitzicht 1798 Farm (Pty) Ltd v McCullough, </w:t>
      </w:r>
      <w:r w:rsidRPr="0028747A">
        <w:rPr>
          <w:rFonts w:ascii="Arial" w:eastAsiaTheme="minorHAnsi" w:hAnsi="Arial" w:cs="Arial"/>
          <w:color w:val="auto"/>
          <w:sz w:val="22"/>
          <w:lang w:val="en-AU" w:eastAsia="en-US"/>
        </w:rPr>
        <w:t>the applicant has not demonstrated</w:t>
      </w:r>
      <w:r w:rsidRPr="0028747A">
        <w:rPr>
          <w:rFonts w:ascii="Arial" w:hAnsi="Arial" w:cs="Arial"/>
          <w:sz w:val="22"/>
        </w:rPr>
        <w:t xml:space="preserve"> </w:t>
      </w:r>
      <w:r w:rsidRPr="0028747A">
        <w:rPr>
          <w:rFonts w:ascii="Arial" w:eastAsiaTheme="minorHAnsi" w:hAnsi="Arial" w:cs="Arial"/>
          <w:color w:val="auto"/>
          <w:sz w:val="22"/>
          <w:lang w:val="en-AU" w:eastAsia="en-US"/>
        </w:rPr>
        <w:t>that</w:t>
      </w:r>
      <w:r w:rsidR="00C575A9"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 xml:space="preserve"> had the new documents been placed before Moorcraft AJ, it would have </w:t>
      </w:r>
      <w:r w:rsidR="008B43DE" w:rsidRPr="0028747A">
        <w:rPr>
          <w:rFonts w:ascii="Arial" w:eastAsiaTheme="minorHAnsi" w:hAnsi="Arial" w:cs="Arial"/>
          <w:color w:val="auto"/>
          <w:sz w:val="22"/>
          <w:lang w:val="en-AU" w:eastAsia="en-US"/>
        </w:rPr>
        <w:t xml:space="preserve">materially </w:t>
      </w:r>
      <w:r w:rsidRPr="0028747A">
        <w:rPr>
          <w:rFonts w:ascii="Arial" w:eastAsiaTheme="minorHAnsi" w:hAnsi="Arial" w:cs="Arial"/>
          <w:color w:val="auto"/>
          <w:sz w:val="22"/>
          <w:lang w:val="en-AU" w:eastAsia="en-US"/>
        </w:rPr>
        <w:t>altered the outcome</w:t>
      </w:r>
      <w:r w:rsidR="00C575A9" w:rsidRPr="0028747A">
        <w:rPr>
          <w:rFonts w:ascii="Arial" w:eastAsiaTheme="minorHAnsi" w:hAnsi="Arial" w:cs="Arial"/>
          <w:color w:val="auto"/>
          <w:sz w:val="22"/>
          <w:lang w:val="en-AU" w:eastAsia="en-US"/>
        </w:rPr>
        <w:t xml:space="preserve"> of </w:t>
      </w:r>
      <w:r w:rsidR="008B43DE" w:rsidRPr="0028747A">
        <w:rPr>
          <w:rFonts w:ascii="Arial" w:eastAsiaTheme="minorHAnsi" w:hAnsi="Arial" w:cs="Arial"/>
          <w:color w:val="auto"/>
          <w:sz w:val="22"/>
          <w:lang w:val="en-AU" w:eastAsia="en-US"/>
        </w:rPr>
        <w:t xml:space="preserve">the </w:t>
      </w:r>
      <w:r w:rsidR="00C575A9" w:rsidRPr="0028747A">
        <w:rPr>
          <w:rFonts w:ascii="Arial" w:eastAsiaTheme="minorHAnsi" w:hAnsi="Arial" w:cs="Arial"/>
          <w:color w:val="auto"/>
          <w:sz w:val="22"/>
          <w:lang w:val="en-AU" w:eastAsia="en-US"/>
        </w:rPr>
        <w:t>order and judgment</w:t>
      </w:r>
      <w:r w:rsidRPr="0028747A">
        <w:rPr>
          <w:rFonts w:ascii="Arial" w:eastAsiaTheme="minorHAnsi" w:hAnsi="Arial" w:cs="Arial"/>
          <w:color w:val="auto"/>
          <w:sz w:val="22"/>
          <w:lang w:val="en-AU" w:eastAsia="en-US"/>
        </w:rPr>
        <w:t xml:space="preserve">. </w:t>
      </w:r>
    </w:p>
    <w:p w14:paraId="260864F6" w14:textId="5114F9D4" w:rsidR="0062085B" w:rsidRPr="0028747A" w:rsidRDefault="003E53F1"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this regard, t</w:t>
      </w:r>
      <w:r w:rsidR="0062085B" w:rsidRPr="0028747A">
        <w:rPr>
          <w:rFonts w:ascii="Arial" w:eastAsiaTheme="minorHAnsi" w:hAnsi="Arial" w:cs="Arial"/>
          <w:color w:val="auto"/>
          <w:sz w:val="22"/>
          <w:lang w:val="en-AU" w:eastAsia="en-US"/>
        </w:rPr>
        <w:t xml:space="preserve">he applicant’s counsel </w:t>
      </w:r>
      <w:r w:rsidRPr="0028747A">
        <w:rPr>
          <w:rFonts w:ascii="Arial" w:eastAsiaTheme="minorHAnsi" w:hAnsi="Arial" w:cs="Arial"/>
          <w:color w:val="auto"/>
          <w:sz w:val="22"/>
          <w:lang w:val="en-AU" w:eastAsia="en-US"/>
        </w:rPr>
        <w:t xml:space="preserve">initially </w:t>
      </w:r>
      <w:r w:rsidR="0062085B" w:rsidRPr="0028747A">
        <w:rPr>
          <w:rFonts w:ascii="Arial" w:eastAsiaTheme="minorHAnsi" w:hAnsi="Arial" w:cs="Arial"/>
          <w:color w:val="auto"/>
          <w:sz w:val="22"/>
          <w:lang w:val="en-AU" w:eastAsia="en-US"/>
        </w:rPr>
        <w:t xml:space="preserve">submitted </w:t>
      </w:r>
      <w:r w:rsidR="008B43DE" w:rsidRPr="0028747A">
        <w:rPr>
          <w:rFonts w:ascii="Arial" w:eastAsiaTheme="minorHAnsi" w:hAnsi="Arial" w:cs="Arial"/>
          <w:color w:val="auto"/>
          <w:sz w:val="22"/>
          <w:lang w:val="en-AU" w:eastAsia="en-US"/>
        </w:rPr>
        <w:t>in</w:t>
      </w:r>
      <w:r w:rsidR="0062085B" w:rsidRPr="0028747A">
        <w:rPr>
          <w:rFonts w:ascii="Arial" w:eastAsiaTheme="minorHAnsi" w:hAnsi="Arial" w:cs="Arial"/>
          <w:color w:val="auto"/>
          <w:sz w:val="22"/>
          <w:lang w:val="en-AU" w:eastAsia="en-US"/>
        </w:rPr>
        <w:t xml:space="preserve"> oral argument that </w:t>
      </w:r>
      <w:r w:rsidR="00C575A9" w:rsidRPr="0028747A">
        <w:rPr>
          <w:rFonts w:ascii="Arial" w:eastAsiaTheme="minorHAnsi" w:hAnsi="Arial" w:cs="Arial"/>
          <w:color w:val="auto"/>
          <w:sz w:val="22"/>
          <w:lang w:val="en-AU" w:eastAsia="en-US"/>
        </w:rPr>
        <w:t>it was not known how the settlement agreement would have possibly affected the outcome of the contemp</w:t>
      </w:r>
      <w:r w:rsidRPr="0028747A">
        <w:rPr>
          <w:rFonts w:ascii="Arial" w:eastAsiaTheme="minorHAnsi" w:hAnsi="Arial" w:cs="Arial"/>
          <w:color w:val="auto"/>
          <w:sz w:val="22"/>
          <w:lang w:val="en-AU" w:eastAsia="en-US"/>
        </w:rPr>
        <w:t xml:space="preserve">t </w:t>
      </w:r>
      <w:r w:rsidR="00C575A9" w:rsidRPr="0028747A">
        <w:rPr>
          <w:rFonts w:ascii="Arial" w:eastAsiaTheme="minorHAnsi" w:hAnsi="Arial" w:cs="Arial"/>
          <w:color w:val="auto"/>
          <w:sz w:val="22"/>
          <w:lang w:val="en-AU" w:eastAsia="en-US"/>
        </w:rPr>
        <w:t>proceedings</w:t>
      </w:r>
      <w:r w:rsidRPr="0028747A">
        <w:rPr>
          <w:rFonts w:ascii="Arial" w:eastAsiaTheme="minorHAnsi" w:hAnsi="Arial" w:cs="Arial"/>
          <w:color w:val="auto"/>
          <w:sz w:val="22"/>
          <w:lang w:val="en-AU" w:eastAsia="en-US"/>
        </w:rPr>
        <w:t xml:space="preserve">. Later in her argument, </w:t>
      </w:r>
      <w:r w:rsidR="000C439F">
        <w:rPr>
          <w:rFonts w:ascii="Arial" w:eastAsiaTheme="minorHAnsi" w:hAnsi="Arial" w:cs="Arial"/>
          <w:color w:val="auto"/>
          <w:sz w:val="22"/>
          <w:lang w:val="en-AU" w:eastAsia="en-US"/>
        </w:rPr>
        <w:t xml:space="preserve">she </w:t>
      </w:r>
      <w:r w:rsidRPr="0028747A">
        <w:rPr>
          <w:rFonts w:ascii="Arial" w:eastAsiaTheme="minorHAnsi" w:hAnsi="Arial" w:cs="Arial"/>
          <w:color w:val="auto"/>
          <w:sz w:val="22"/>
          <w:lang w:val="en-AU" w:eastAsia="en-US"/>
        </w:rPr>
        <w:t>submitted that the court need only be convinced that the settlement agreement “perhaps” would have had an impact, and not “definitely” would have had an impact, on the contempt proceedings.</w:t>
      </w:r>
    </w:p>
    <w:p w14:paraId="5D4F7693" w14:textId="0989D0EC" w:rsidR="00C575A9" w:rsidRPr="0028747A" w:rsidRDefault="00246E58"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lastRenderedPageBreak/>
        <w:t xml:space="preserve">On the facts in the present case, </w:t>
      </w:r>
      <w:r w:rsidR="00D74533" w:rsidRPr="0028747A">
        <w:rPr>
          <w:rFonts w:ascii="Arial" w:eastAsiaTheme="minorHAnsi" w:hAnsi="Arial" w:cs="Arial"/>
          <w:color w:val="auto"/>
          <w:sz w:val="22"/>
          <w:lang w:val="en-AU" w:eastAsia="en-US"/>
        </w:rPr>
        <w:t xml:space="preserve">I find that the applicant has not </w:t>
      </w:r>
      <w:r w:rsidR="00FA5063">
        <w:rPr>
          <w:rFonts w:ascii="Arial" w:eastAsiaTheme="minorHAnsi" w:hAnsi="Arial" w:cs="Arial"/>
          <w:color w:val="auto"/>
          <w:sz w:val="22"/>
          <w:lang w:val="en-AU" w:eastAsia="en-US"/>
        </w:rPr>
        <w:t xml:space="preserve">established a </w:t>
      </w:r>
      <w:r w:rsidR="00D74533" w:rsidRPr="0028747A">
        <w:rPr>
          <w:rFonts w:ascii="Arial" w:eastAsiaTheme="minorHAnsi" w:hAnsi="Arial" w:cs="Arial"/>
          <w:color w:val="auto"/>
          <w:sz w:val="22"/>
          <w:lang w:val="en-AU" w:eastAsia="en-US"/>
        </w:rPr>
        <w:t>case for a rescission of the contempt of court order in terms of the common law based on new documents discovered.</w:t>
      </w:r>
    </w:p>
    <w:p w14:paraId="568A408F" w14:textId="58F1F074" w:rsidR="0055593D" w:rsidRPr="0028747A" w:rsidRDefault="008B43DE"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Finally, and w</w:t>
      </w:r>
      <w:r w:rsidR="0055593D" w:rsidRPr="0028747A">
        <w:rPr>
          <w:rFonts w:ascii="Arial" w:eastAsiaTheme="minorHAnsi" w:hAnsi="Arial" w:cs="Arial"/>
          <w:color w:val="auto"/>
          <w:sz w:val="22"/>
          <w:lang w:val="en-AU" w:eastAsia="en-US"/>
        </w:rPr>
        <w:t>hilst not presently relevant, it appears to me that, properly construed and considered, the applicant’s appropriate recourse would have been to apply for leave to adduce further (new) evidence on appeal.</w:t>
      </w:r>
      <w:r w:rsidR="0055593D" w:rsidRPr="0028747A">
        <w:rPr>
          <w:rStyle w:val="FootnoteReference"/>
          <w:rFonts w:ascii="Arial" w:eastAsiaTheme="minorHAnsi" w:hAnsi="Arial" w:cs="Arial"/>
          <w:color w:val="auto"/>
          <w:sz w:val="22"/>
          <w:lang w:val="en-AU" w:eastAsia="en-US"/>
        </w:rPr>
        <w:footnoteReference w:id="28"/>
      </w:r>
      <w:r w:rsidR="0055593D" w:rsidRPr="0028747A">
        <w:rPr>
          <w:rFonts w:ascii="Arial" w:eastAsiaTheme="minorHAnsi" w:hAnsi="Arial" w:cs="Arial"/>
          <w:color w:val="auto"/>
          <w:sz w:val="22"/>
          <w:lang w:val="en-AU" w:eastAsia="en-US"/>
        </w:rPr>
        <w:t xml:space="preserve"> </w:t>
      </w:r>
      <w:r w:rsidRPr="0028747A">
        <w:rPr>
          <w:rFonts w:ascii="Arial" w:eastAsiaTheme="minorHAnsi" w:hAnsi="Arial" w:cs="Arial"/>
          <w:color w:val="auto"/>
          <w:sz w:val="22"/>
          <w:lang w:val="en-AU" w:eastAsia="en-US"/>
        </w:rPr>
        <w:t xml:space="preserve">The </w:t>
      </w:r>
      <w:r w:rsidR="0055593D" w:rsidRPr="0028747A">
        <w:rPr>
          <w:rFonts w:ascii="Arial" w:eastAsiaTheme="minorHAnsi" w:hAnsi="Arial" w:cs="Arial"/>
          <w:color w:val="auto"/>
          <w:sz w:val="22"/>
          <w:lang w:val="en-AU" w:eastAsia="en-US"/>
        </w:rPr>
        <w:t xml:space="preserve">applicant provided his legal representatives with the settlement agreement prior to his application for leave to appeal the contempt of court order. There is no </w:t>
      </w:r>
      <w:r w:rsidR="0028747A" w:rsidRPr="0028747A">
        <w:rPr>
          <w:rFonts w:ascii="Arial" w:eastAsiaTheme="minorHAnsi" w:hAnsi="Arial" w:cs="Arial"/>
          <w:color w:val="auto"/>
          <w:sz w:val="22"/>
          <w:lang w:val="en-AU" w:eastAsia="en-US"/>
        </w:rPr>
        <w:t xml:space="preserve">satisfactory </w:t>
      </w:r>
      <w:r w:rsidR="0055593D" w:rsidRPr="0028747A">
        <w:rPr>
          <w:rFonts w:ascii="Arial" w:eastAsiaTheme="minorHAnsi" w:hAnsi="Arial" w:cs="Arial"/>
          <w:color w:val="auto"/>
          <w:sz w:val="22"/>
          <w:lang w:val="en-AU" w:eastAsia="en-US"/>
        </w:rPr>
        <w:t>explanation why this aspect was not dealt with in the application for leave to appeal. Nevertheless, this is not an issue th</w:t>
      </w:r>
      <w:r w:rsidR="0028747A" w:rsidRPr="0028747A">
        <w:rPr>
          <w:rFonts w:ascii="Arial" w:eastAsiaTheme="minorHAnsi" w:hAnsi="Arial" w:cs="Arial"/>
          <w:color w:val="auto"/>
          <w:sz w:val="22"/>
          <w:lang w:val="en-AU" w:eastAsia="en-US"/>
        </w:rPr>
        <w:t>at</w:t>
      </w:r>
      <w:r w:rsidR="0055593D" w:rsidRPr="0028747A">
        <w:rPr>
          <w:rFonts w:ascii="Arial" w:eastAsiaTheme="minorHAnsi" w:hAnsi="Arial" w:cs="Arial"/>
          <w:color w:val="auto"/>
          <w:sz w:val="22"/>
          <w:lang w:val="en-AU" w:eastAsia="en-US"/>
        </w:rPr>
        <w:t xml:space="preserve"> concerns the present rescission application.</w:t>
      </w:r>
    </w:p>
    <w:p w14:paraId="4BAFEBEB" w14:textId="6F22CA16" w:rsidR="00C575A9" w:rsidRPr="0028747A" w:rsidRDefault="00C575A9"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In summary therefore, I conclude that the applicant has failed to establish a valid ground for rescinding the judgment and order of Moorcraft AJ under either Rule 42(1)(c) or the common law.</w:t>
      </w:r>
      <w:r w:rsidR="0055593D" w:rsidRPr="0028747A">
        <w:rPr>
          <w:rFonts w:ascii="Arial" w:hAnsi="Arial" w:cs="Arial"/>
          <w:sz w:val="22"/>
        </w:rPr>
        <w:t xml:space="preserve"> </w:t>
      </w:r>
      <w:r w:rsidR="0028747A" w:rsidRPr="0028747A">
        <w:rPr>
          <w:rFonts w:ascii="Arial" w:eastAsiaTheme="minorHAnsi" w:hAnsi="Arial" w:cs="Arial"/>
          <w:color w:val="auto"/>
          <w:sz w:val="22"/>
          <w:lang w:val="en-AU" w:eastAsia="en-US"/>
        </w:rPr>
        <w:t>Still</w:t>
      </w:r>
      <w:r w:rsidR="0055593D" w:rsidRPr="0028747A">
        <w:rPr>
          <w:rFonts w:ascii="Arial" w:eastAsiaTheme="minorHAnsi" w:hAnsi="Arial" w:cs="Arial"/>
          <w:color w:val="auto"/>
          <w:sz w:val="22"/>
          <w:lang w:val="en-AU" w:eastAsia="en-US"/>
        </w:rPr>
        <w:t>, even if I am wrong in this regard, in the exercise of my discretion I conclude that the applicant’s rescission application should be refused.</w:t>
      </w:r>
    </w:p>
    <w:p w14:paraId="459EE807" w14:textId="0BB52E3D" w:rsidR="00BA3A93" w:rsidRPr="0028747A" w:rsidRDefault="00BA3A93" w:rsidP="00F32287">
      <w:pPr>
        <w:pStyle w:val="ListParagraph"/>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Lastly, as to costs, there is no reason to depart from the usual principle that costs should follow the result. The applicant has been unsuccessful and accordingly he should bear the costs of the application.</w:t>
      </w:r>
    </w:p>
    <w:p w14:paraId="66AC9E07" w14:textId="674FF0C4" w:rsidR="00941BE5" w:rsidRPr="0028747A" w:rsidRDefault="00941BE5" w:rsidP="00BA3A93">
      <w:pPr>
        <w:keepNext/>
        <w:spacing w:line="360" w:lineRule="auto"/>
        <w:rPr>
          <w:rFonts w:ascii="Arial" w:hAnsi="Arial" w:cs="Arial"/>
          <w:b/>
          <w:bCs/>
          <w:sz w:val="22"/>
        </w:rPr>
      </w:pPr>
      <w:r w:rsidRPr="0028747A">
        <w:rPr>
          <w:rFonts w:ascii="Arial" w:hAnsi="Arial" w:cs="Arial"/>
          <w:b/>
          <w:bCs/>
          <w:sz w:val="22"/>
        </w:rPr>
        <w:t>ORDER</w:t>
      </w:r>
    </w:p>
    <w:p w14:paraId="78D70829" w14:textId="77777777" w:rsidR="0048799E" w:rsidRPr="0028747A" w:rsidRDefault="0048799E" w:rsidP="00BA3A93">
      <w:pPr>
        <w:keepNext/>
        <w:spacing w:line="360" w:lineRule="auto"/>
        <w:rPr>
          <w:rFonts w:ascii="Arial" w:hAnsi="Arial" w:cs="Arial"/>
          <w:b/>
          <w:bCs/>
          <w:sz w:val="22"/>
          <w:u w:val="single"/>
        </w:rPr>
      </w:pPr>
    </w:p>
    <w:p w14:paraId="07376E8E" w14:textId="5DD97439" w:rsidR="00941BE5" w:rsidRPr="0028747A" w:rsidRDefault="00941BE5" w:rsidP="00F32287">
      <w:pPr>
        <w:pStyle w:val="ListParagraph"/>
        <w:keepNext/>
        <w:numPr>
          <w:ilvl w:val="0"/>
          <w:numId w:val="2"/>
        </w:numPr>
        <w:spacing w:after="360" w:line="480" w:lineRule="auto"/>
        <w:ind w:left="425" w:right="-153" w:hanging="357"/>
        <w:contextualSpacing w:val="0"/>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I </w:t>
      </w:r>
      <w:r w:rsidR="00EA61DF" w:rsidRPr="0028747A">
        <w:rPr>
          <w:rFonts w:ascii="Arial" w:eastAsiaTheme="minorHAnsi" w:hAnsi="Arial" w:cs="Arial"/>
          <w:color w:val="auto"/>
          <w:sz w:val="22"/>
          <w:lang w:val="en-AU" w:eastAsia="en-US"/>
        </w:rPr>
        <w:t>accordingly make the following order:</w:t>
      </w:r>
    </w:p>
    <w:p w14:paraId="58C66A17" w14:textId="1DBC2D4E" w:rsidR="00EA61DF" w:rsidRPr="0028747A" w:rsidRDefault="00EA61DF" w:rsidP="00F32287">
      <w:pPr>
        <w:pStyle w:val="ListParagraph"/>
        <w:numPr>
          <w:ilvl w:val="0"/>
          <w:numId w:val="3"/>
        </w:numPr>
        <w:spacing w:after="360" w:line="480" w:lineRule="auto"/>
        <w:ind w:right="-153"/>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 xml:space="preserve">The </w:t>
      </w:r>
      <w:r w:rsidR="00D74533" w:rsidRPr="0028747A">
        <w:rPr>
          <w:rFonts w:ascii="Arial" w:eastAsiaTheme="minorHAnsi" w:hAnsi="Arial" w:cs="Arial"/>
          <w:color w:val="auto"/>
          <w:sz w:val="22"/>
          <w:lang w:val="en-AU" w:eastAsia="en-US"/>
        </w:rPr>
        <w:t xml:space="preserve">rescission </w:t>
      </w:r>
      <w:r w:rsidRPr="0028747A">
        <w:rPr>
          <w:rFonts w:ascii="Arial" w:eastAsiaTheme="minorHAnsi" w:hAnsi="Arial" w:cs="Arial"/>
          <w:color w:val="auto"/>
          <w:sz w:val="22"/>
          <w:lang w:val="en-AU" w:eastAsia="en-US"/>
        </w:rPr>
        <w:t>application is dismissed.</w:t>
      </w:r>
    </w:p>
    <w:p w14:paraId="3D165ED8" w14:textId="646E38A8" w:rsidR="00EA61DF" w:rsidRPr="0028747A" w:rsidRDefault="00EA61DF" w:rsidP="00F32287">
      <w:pPr>
        <w:pStyle w:val="ListParagraph"/>
        <w:numPr>
          <w:ilvl w:val="0"/>
          <w:numId w:val="3"/>
        </w:numPr>
        <w:spacing w:after="360" w:line="480" w:lineRule="auto"/>
        <w:ind w:right="-153"/>
        <w:rPr>
          <w:rFonts w:ascii="Arial" w:eastAsiaTheme="minorHAnsi" w:hAnsi="Arial" w:cs="Arial"/>
          <w:color w:val="auto"/>
          <w:sz w:val="22"/>
          <w:lang w:val="en-AU" w:eastAsia="en-US"/>
        </w:rPr>
      </w:pPr>
      <w:r w:rsidRPr="0028747A">
        <w:rPr>
          <w:rFonts w:ascii="Arial" w:eastAsiaTheme="minorHAnsi" w:hAnsi="Arial" w:cs="Arial"/>
          <w:color w:val="auto"/>
          <w:sz w:val="22"/>
          <w:lang w:val="en-AU" w:eastAsia="en-US"/>
        </w:rPr>
        <w:t>The applicant is ordered to pay the respondent</w:t>
      </w:r>
      <w:r w:rsidR="00CB6F6C" w:rsidRPr="0028747A">
        <w:rPr>
          <w:rFonts w:ascii="Arial" w:eastAsiaTheme="minorHAnsi" w:hAnsi="Arial" w:cs="Arial"/>
          <w:color w:val="auto"/>
          <w:sz w:val="22"/>
          <w:lang w:val="en-AU" w:eastAsia="en-US"/>
        </w:rPr>
        <w:t>’</w:t>
      </w:r>
      <w:r w:rsidRPr="0028747A">
        <w:rPr>
          <w:rFonts w:ascii="Arial" w:eastAsiaTheme="minorHAnsi" w:hAnsi="Arial" w:cs="Arial"/>
          <w:color w:val="auto"/>
          <w:sz w:val="22"/>
          <w:lang w:val="en-AU" w:eastAsia="en-US"/>
        </w:rPr>
        <w:t>s costs</w:t>
      </w:r>
      <w:r w:rsidR="00764B86" w:rsidRPr="0028747A">
        <w:rPr>
          <w:rFonts w:ascii="Arial" w:eastAsiaTheme="minorHAnsi" w:hAnsi="Arial" w:cs="Arial"/>
          <w:color w:val="auto"/>
          <w:sz w:val="22"/>
          <w:lang w:val="en-AU" w:eastAsia="en-US"/>
        </w:rPr>
        <w:t xml:space="preserve"> of the application</w:t>
      </w:r>
      <w:r w:rsidR="00D74533" w:rsidRPr="0028747A">
        <w:rPr>
          <w:rFonts w:ascii="Arial" w:eastAsiaTheme="minorHAnsi" w:hAnsi="Arial" w:cs="Arial"/>
          <w:color w:val="auto"/>
          <w:sz w:val="22"/>
          <w:lang w:val="en-AU" w:eastAsia="en-US"/>
        </w:rPr>
        <w:t>.</w:t>
      </w:r>
    </w:p>
    <w:p w14:paraId="530B1AC3" w14:textId="77777777" w:rsidR="00AB5511" w:rsidRPr="0028747A" w:rsidRDefault="00AB5511" w:rsidP="00012C83">
      <w:pPr>
        <w:spacing w:after="200" w:line="360" w:lineRule="auto"/>
        <w:ind w:left="0"/>
        <w:rPr>
          <w:rFonts w:ascii="Arial" w:eastAsia="Times New Roman" w:hAnsi="Arial" w:cs="Arial"/>
          <w:sz w:val="22"/>
        </w:rPr>
      </w:pPr>
    </w:p>
    <w:p w14:paraId="6C0E990F" w14:textId="77777777" w:rsidR="00F5622B" w:rsidRPr="0028747A" w:rsidRDefault="00F5622B" w:rsidP="00EA61DF">
      <w:pPr>
        <w:keepLines/>
        <w:spacing w:after="0" w:line="276" w:lineRule="auto"/>
        <w:ind w:left="0" w:right="-40" w:firstLine="720"/>
        <w:jc w:val="right"/>
        <w:rPr>
          <w:rFonts w:ascii="Arial" w:eastAsiaTheme="minorHAnsi" w:hAnsi="Arial" w:cs="Arial"/>
          <w:color w:val="auto"/>
          <w:sz w:val="22"/>
          <w:lang w:eastAsia="en-US"/>
        </w:rPr>
      </w:pPr>
      <w:r w:rsidRPr="0028747A">
        <w:rPr>
          <w:rFonts w:ascii="Arial" w:eastAsiaTheme="minorHAnsi" w:hAnsi="Arial" w:cs="Arial"/>
          <w:color w:val="auto"/>
          <w:sz w:val="22"/>
          <w:lang w:eastAsia="en-US"/>
        </w:rPr>
        <w:lastRenderedPageBreak/>
        <w:t>____________________________</w:t>
      </w:r>
    </w:p>
    <w:p w14:paraId="0712B5B6" w14:textId="156DFAAC" w:rsidR="00F5622B" w:rsidRPr="0028747A" w:rsidRDefault="00F5622B" w:rsidP="00EA61DF">
      <w:pPr>
        <w:keepLines/>
        <w:spacing w:after="0" w:line="276" w:lineRule="auto"/>
        <w:ind w:left="0" w:right="-40" w:firstLine="720"/>
        <w:jc w:val="right"/>
        <w:rPr>
          <w:rFonts w:ascii="Arial" w:eastAsiaTheme="minorHAnsi" w:hAnsi="Arial" w:cs="Arial"/>
          <w:b/>
          <w:color w:val="auto"/>
          <w:sz w:val="22"/>
          <w:lang w:eastAsia="en-US"/>
        </w:rPr>
      </w:pP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00194BC9" w:rsidRPr="0028747A">
        <w:rPr>
          <w:rFonts w:ascii="Arial" w:hAnsi="Arial" w:cs="Arial"/>
          <w:b/>
          <w:sz w:val="22"/>
        </w:rPr>
        <w:t>SG DOS SANTOS</w:t>
      </w:r>
    </w:p>
    <w:p w14:paraId="73D1B1E6" w14:textId="77777777" w:rsidR="00F5622B" w:rsidRPr="0028747A" w:rsidRDefault="00F5622B" w:rsidP="00EA61DF">
      <w:pPr>
        <w:keepLines/>
        <w:spacing w:after="0" w:line="276" w:lineRule="auto"/>
        <w:ind w:left="0" w:right="-40" w:firstLine="720"/>
        <w:jc w:val="right"/>
        <w:rPr>
          <w:rFonts w:ascii="Arial" w:eastAsiaTheme="minorHAnsi" w:hAnsi="Arial" w:cs="Arial"/>
          <w:color w:val="auto"/>
          <w:sz w:val="22"/>
          <w:lang w:eastAsia="en-US"/>
        </w:rPr>
      </w:pP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t>Acting</w:t>
      </w:r>
      <w:r w:rsidRPr="0028747A">
        <w:rPr>
          <w:rFonts w:ascii="Arial" w:eastAsiaTheme="minorHAnsi" w:hAnsi="Arial" w:cs="Arial"/>
          <w:color w:val="auto"/>
          <w:sz w:val="22"/>
          <w:lang w:eastAsia="en-US"/>
        </w:rPr>
        <w:tab/>
        <w:t>Judge of the High Court</w:t>
      </w:r>
    </w:p>
    <w:p w14:paraId="4EA2B9E4" w14:textId="37365B65" w:rsidR="00DC777D" w:rsidRPr="0028747A" w:rsidRDefault="00F5622B" w:rsidP="00EA61DF">
      <w:pPr>
        <w:keepLines/>
        <w:spacing w:after="0" w:line="276" w:lineRule="auto"/>
        <w:ind w:left="0" w:right="-40" w:firstLine="720"/>
        <w:jc w:val="right"/>
        <w:rPr>
          <w:rFonts w:ascii="Arial" w:eastAsiaTheme="minorHAnsi" w:hAnsi="Arial" w:cs="Arial"/>
          <w:color w:val="auto"/>
          <w:sz w:val="22"/>
          <w:lang w:eastAsia="en-US"/>
        </w:rPr>
      </w:pP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t>Gauteng Division, Johannesburg</w:t>
      </w:r>
    </w:p>
    <w:p w14:paraId="5E77957C" w14:textId="77777777" w:rsidR="0048799E" w:rsidRPr="0028747A" w:rsidRDefault="0048799E" w:rsidP="00EA61DF">
      <w:pPr>
        <w:keepLines/>
        <w:spacing w:after="0" w:line="276" w:lineRule="auto"/>
        <w:ind w:left="0" w:right="-40" w:firstLine="720"/>
        <w:jc w:val="right"/>
        <w:rPr>
          <w:rFonts w:ascii="Arial" w:eastAsiaTheme="minorHAnsi" w:hAnsi="Arial" w:cs="Arial"/>
          <w:color w:val="auto"/>
          <w:sz w:val="22"/>
          <w:lang w:eastAsia="en-US"/>
        </w:rPr>
      </w:pPr>
    </w:p>
    <w:p w14:paraId="5B8DAAE2" w14:textId="77777777" w:rsidR="00012C83" w:rsidRPr="0028747A" w:rsidRDefault="00012C83" w:rsidP="00F9182F">
      <w:pPr>
        <w:spacing w:after="0" w:line="276" w:lineRule="auto"/>
        <w:ind w:left="0" w:right="-42"/>
        <w:jc w:val="left"/>
        <w:rPr>
          <w:rFonts w:ascii="Arial" w:eastAsiaTheme="minorHAnsi" w:hAnsi="Arial" w:cs="Arial"/>
          <w:b/>
          <w:color w:val="auto"/>
          <w:sz w:val="22"/>
          <w:lang w:eastAsia="en-US"/>
        </w:rPr>
      </w:pPr>
    </w:p>
    <w:p w14:paraId="2C306681" w14:textId="77777777" w:rsidR="003B2B47" w:rsidRPr="0028747A" w:rsidRDefault="003B2B47" w:rsidP="00F9182F">
      <w:pPr>
        <w:spacing w:after="0" w:line="276" w:lineRule="auto"/>
        <w:ind w:left="0" w:right="-42"/>
        <w:jc w:val="left"/>
        <w:rPr>
          <w:rFonts w:ascii="Arial" w:eastAsiaTheme="minorHAnsi" w:hAnsi="Arial" w:cs="Arial"/>
          <w:b/>
          <w:color w:val="auto"/>
          <w:sz w:val="22"/>
          <w:lang w:eastAsia="en-US"/>
        </w:rPr>
      </w:pPr>
    </w:p>
    <w:p w14:paraId="5CEA674B" w14:textId="77777777" w:rsidR="00650982" w:rsidRPr="0028747A" w:rsidRDefault="00650982" w:rsidP="00F9182F">
      <w:pPr>
        <w:spacing w:after="0" w:line="276" w:lineRule="auto"/>
        <w:ind w:left="0" w:right="-42"/>
        <w:jc w:val="left"/>
        <w:rPr>
          <w:rFonts w:ascii="Arial" w:eastAsiaTheme="minorHAnsi" w:hAnsi="Arial" w:cs="Arial"/>
          <w:b/>
          <w:color w:val="auto"/>
          <w:sz w:val="22"/>
          <w:lang w:eastAsia="en-US"/>
        </w:rPr>
      </w:pPr>
    </w:p>
    <w:p w14:paraId="7D05937F" w14:textId="2F3BDB94" w:rsidR="008A7B0C" w:rsidRPr="0028747A" w:rsidRDefault="006A7D07" w:rsidP="00F9182F">
      <w:pPr>
        <w:spacing w:after="0" w:line="276" w:lineRule="auto"/>
        <w:ind w:left="0" w:right="-42"/>
        <w:jc w:val="left"/>
        <w:rPr>
          <w:rFonts w:ascii="Arial" w:eastAsiaTheme="minorHAnsi" w:hAnsi="Arial" w:cs="Arial"/>
          <w:color w:val="auto"/>
          <w:sz w:val="22"/>
          <w:lang w:eastAsia="en-US"/>
        </w:rPr>
      </w:pPr>
      <w:r w:rsidRPr="0028747A">
        <w:rPr>
          <w:rFonts w:ascii="Arial" w:eastAsiaTheme="minorHAnsi" w:hAnsi="Arial" w:cs="Arial"/>
          <w:b/>
          <w:color w:val="auto"/>
          <w:sz w:val="22"/>
          <w:lang w:eastAsia="en-US"/>
        </w:rPr>
        <w:t>Heard</w:t>
      </w:r>
      <w:r w:rsidRPr="0028747A">
        <w:rPr>
          <w:rFonts w:ascii="Arial" w:eastAsiaTheme="minorHAnsi" w:hAnsi="Arial" w:cs="Arial"/>
          <w:color w:val="auto"/>
          <w:sz w:val="22"/>
          <w:lang w:eastAsia="en-US"/>
        </w:rPr>
        <w:t>:</w:t>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007C296E" w:rsidRPr="0028747A">
        <w:rPr>
          <w:rFonts w:ascii="Arial" w:eastAsiaTheme="minorHAnsi" w:hAnsi="Arial" w:cs="Arial"/>
          <w:color w:val="auto"/>
          <w:sz w:val="22"/>
          <w:lang w:eastAsia="en-US"/>
        </w:rPr>
        <w:tab/>
      </w:r>
      <w:r w:rsidR="00472255" w:rsidRPr="0028747A">
        <w:rPr>
          <w:rFonts w:ascii="Arial" w:eastAsiaTheme="minorHAnsi" w:hAnsi="Arial" w:cs="Arial"/>
          <w:color w:val="auto"/>
          <w:sz w:val="22"/>
          <w:lang w:eastAsia="en-US"/>
        </w:rPr>
        <w:t>18</w:t>
      </w:r>
      <w:r w:rsidR="00AE7B31" w:rsidRPr="0028747A">
        <w:rPr>
          <w:rFonts w:ascii="Arial" w:eastAsiaTheme="minorHAnsi" w:hAnsi="Arial" w:cs="Arial"/>
          <w:color w:val="auto"/>
          <w:sz w:val="22"/>
          <w:lang w:eastAsia="en-US"/>
        </w:rPr>
        <w:t xml:space="preserve"> </w:t>
      </w:r>
      <w:r w:rsidR="00194BC9" w:rsidRPr="0028747A">
        <w:rPr>
          <w:rFonts w:ascii="Arial" w:eastAsiaTheme="minorHAnsi" w:hAnsi="Arial" w:cs="Arial"/>
          <w:color w:val="auto"/>
          <w:sz w:val="22"/>
          <w:lang w:eastAsia="en-US"/>
        </w:rPr>
        <w:t>October</w:t>
      </w:r>
      <w:r w:rsidR="00AE7B31" w:rsidRPr="0028747A">
        <w:rPr>
          <w:rFonts w:ascii="Arial" w:eastAsiaTheme="minorHAnsi" w:hAnsi="Arial" w:cs="Arial"/>
          <w:color w:val="auto"/>
          <w:sz w:val="22"/>
          <w:lang w:eastAsia="en-US"/>
        </w:rPr>
        <w:t xml:space="preserve"> 2023</w:t>
      </w:r>
      <w:r w:rsidR="00775FC2" w:rsidRPr="0028747A">
        <w:rPr>
          <w:rFonts w:ascii="Arial" w:eastAsiaTheme="minorHAnsi" w:hAnsi="Arial" w:cs="Arial"/>
          <w:color w:val="auto"/>
          <w:sz w:val="22"/>
          <w:lang w:eastAsia="en-US"/>
        </w:rPr>
        <w:t xml:space="preserve"> </w:t>
      </w:r>
    </w:p>
    <w:p w14:paraId="59F85DA8" w14:textId="6121826A" w:rsidR="006A7D07" w:rsidRPr="0028747A" w:rsidRDefault="006A7D07" w:rsidP="00F9182F">
      <w:pPr>
        <w:spacing w:after="0" w:line="276" w:lineRule="auto"/>
        <w:ind w:left="0" w:right="-42"/>
        <w:jc w:val="left"/>
        <w:rPr>
          <w:rFonts w:ascii="Arial" w:eastAsiaTheme="minorHAnsi" w:hAnsi="Arial" w:cs="Arial"/>
          <w:color w:val="auto"/>
          <w:sz w:val="22"/>
          <w:lang w:eastAsia="en-US"/>
        </w:rPr>
      </w:pPr>
      <w:r w:rsidRPr="0028747A">
        <w:rPr>
          <w:rFonts w:ascii="Arial" w:eastAsiaTheme="minorHAnsi" w:hAnsi="Arial" w:cs="Arial"/>
          <w:b/>
          <w:color w:val="auto"/>
          <w:sz w:val="22"/>
          <w:lang w:eastAsia="en-US"/>
        </w:rPr>
        <w:t>Judgment</w:t>
      </w:r>
      <w:r w:rsidRPr="0028747A">
        <w:rPr>
          <w:rFonts w:ascii="Arial" w:eastAsiaTheme="minorHAnsi" w:hAnsi="Arial" w:cs="Arial"/>
          <w:color w:val="auto"/>
          <w:sz w:val="22"/>
          <w:lang w:eastAsia="en-US"/>
        </w:rPr>
        <w:t>:</w:t>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008D2819" w:rsidRPr="0028747A">
        <w:rPr>
          <w:rFonts w:ascii="Arial" w:eastAsiaTheme="minorHAnsi" w:hAnsi="Arial" w:cs="Arial"/>
          <w:color w:val="auto"/>
          <w:sz w:val="22"/>
          <w:lang w:eastAsia="en-US"/>
        </w:rPr>
        <w:t>1</w:t>
      </w:r>
      <w:r w:rsidR="00D74533" w:rsidRPr="0028747A">
        <w:rPr>
          <w:rFonts w:ascii="Arial" w:eastAsiaTheme="minorHAnsi" w:hAnsi="Arial" w:cs="Arial"/>
          <w:color w:val="auto"/>
          <w:sz w:val="22"/>
          <w:lang w:eastAsia="en-US"/>
        </w:rPr>
        <w:t>5</w:t>
      </w:r>
      <w:r w:rsidR="008D2819" w:rsidRPr="0028747A">
        <w:rPr>
          <w:rFonts w:ascii="Arial" w:eastAsiaTheme="minorHAnsi" w:hAnsi="Arial" w:cs="Arial"/>
          <w:color w:val="auto"/>
          <w:sz w:val="22"/>
          <w:lang w:eastAsia="en-US"/>
        </w:rPr>
        <w:t xml:space="preserve"> November 2023</w:t>
      </w:r>
    </w:p>
    <w:p w14:paraId="19936D32" w14:textId="77777777" w:rsidR="00CB6F6C" w:rsidRPr="0028747A" w:rsidRDefault="00CB6F6C" w:rsidP="00F9182F">
      <w:pPr>
        <w:spacing w:after="0" w:line="276" w:lineRule="auto"/>
        <w:ind w:left="0" w:right="-42"/>
        <w:jc w:val="left"/>
        <w:rPr>
          <w:rFonts w:ascii="Arial" w:eastAsiaTheme="minorHAnsi" w:hAnsi="Arial" w:cs="Arial"/>
          <w:color w:val="auto"/>
          <w:sz w:val="22"/>
          <w:lang w:eastAsia="en-US"/>
        </w:rPr>
      </w:pPr>
    </w:p>
    <w:p w14:paraId="282DE3CE" w14:textId="77777777" w:rsidR="006A7D07" w:rsidRPr="0028747A" w:rsidRDefault="006A7D07" w:rsidP="00F9182F">
      <w:pPr>
        <w:spacing w:after="0" w:line="276" w:lineRule="auto"/>
        <w:ind w:right="-42"/>
        <w:jc w:val="left"/>
        <w:rPr>
          <w:rFonts w:ascii="Arial" w:eastAsiaTheme="minorHAnsi" w:hAnsi="Arial" w:cs="Arial"/>
          <w:color w:val="auto"/>
          <w:sz w:val="22"/>
          <w:lang w:eastAsia="en-US"/>
        </w:rPr>
      </w:pPr>
    </w:p>
    <w:p w14:paraId="03890D49" w14:textId="71C77328" w:rsidR="00394ED7" w:rsidRPr="0028747A" w:rsidRDefault="00394ED7" w:rsidP="00F9182F">
      <w:pPr>
        <w:spacing w:after="0" w:line="276" w:lineRule="auto"/>
        <w:ind w:right="-42"/>
        <w:jc w:val="left"/>
        <w:rPr>
          <w:rFonts w:ascii="Arial" w:eastAsiaTheme="minorHAnsi" w:hAnsi="Arial" w:cs="Arial"/>
          <w:b/>
          <w:bCs/>
          <w:color w:val="auto"/>
          <w:sz w:val="22"/>
          <w:u w:val="single"/>
          <w:lang w:eastAsia="en-US"/>
        </w:rPr>
      </w:pPr>
      <w:r w:rsidRPr="0028747A">
        <w:rPr>
          <w:rFonts w:ascii="Arial" w:eastAsiaTheme="minorHAnsi" w:hAnsi="Arial" w:cs="Arial"/>
          <w:b/>
          <w:bCs/>
          <w:color w:val="auto"/>
          <w:sz w:val="22"/>
          <w:u w:val="single"/>
          <w:lang w:eastAsia="en-US"/>
        </w:rPr>
        <w:t>Appearances</w:t>
      </w:r>
      <w:r w:rsidR="008D2819" w:rsidRPr="0028747A">
        <w:rPr>
          <w:rFonts w:ascii="Arial" w:eastAsiaTheme="minorHAnsi" w:hAnsi="Arial" w:cs="Arial"/>
          <w:b/>
          <w:bCs/>
          <w:color w:val="auto"/>
          <w:sz w:val="22"/>
          <w:u w:val="single"/>
          <w:lang w:eastAsia="en-US"/>
        </w:rPr>
        <w:t>:</w:t>
      </w:r>
    </w:p>
    <w:p w14:paraId="21D9B65C" w14:textId="77777777" w:rsidR="008D2819" w:rsidRPr="0028747A" w:rsidRDefault="008D2819" w:rsidP="00F9182F">
      <w:pPr>
        <w:spacing w:after="0" w:line="276" w:lineRule="auto"/>
        <w:ind w:right="-42"/>
        <w:jc w:val="left"/>
        <w:rPr>
          <w:rFonts w:ascii="Arial" w:eastAsiaTheme="minorHAnsi" w:hAnsi="Arial" w:cs="Arial"/>
          <w:b/>
          <w:bCs/>
          <w:color w:val="auto"/>
          <w:sz w:val="22"/>
          <w:u w:val="single"/>
          <w:lang w:eastAsia="en-US"/>
        </w:rPr>
      </w:pPr>
    </w:p>
    <w:p w14:paraId="00442487" w14:textId="21CFAA72" w:rsidR="008D2819" w:rsidRPr="0028747A" w:rsidRDefault="008D2819" w:rsidP="00F9182F">
      <w:pPr>
        <w:spacing w:after="0" w:line="276" w:lineRule="auto"/>
        <w:ind w:right="-42"/>
        <w:jc w:val="left"/>
        <w:rPr>
          <w:rFonts w:ascii="Arial" w:eastAsiaTheme="minorHAnsi" w:hAnsi="Arial" w:cs="Arial"/>
          <w:color w:val="auto"/>
          <w:sz w:val="22"/>
          <w:lang w:eastAsia="en-US"/>
        </w:rPr>
      </w:pPr>
      <w:r w:rsidRPr="0028747A">
        <w:rPr>
          <w:rFonts w:ascii="Arial" w:eastAsiaTheme="minorHAnsi" w:hAnsi="Arial" w:cs="Arial"/>
          <w:b/>
          <w:bCs/>
          <w:color w:val="auto"/>
          <w:sz w:val="22"/>
          <w:lang w:eastAsia="en-US"/>
        </w:rPr>
        <w:t>For Applicant:</w:t>
      </w:r>
      <w:r w:rsidRPr="0028747A">
        <w:rPr>
          <w:rFonts w:ascii="Arial" w:eastAsiaTheme="minorHAnsi" w:hAnsi="Arial" w:cs="Arial"/>
          <w:color w:val="auto"/>
          <w:sz w:val="22"/>
          <w:lang w:eastAsia="en-US"/>
        </w:rPr>
        <w:t xml:space="preserve"> </w:t>
      </w:r>
      <w:r w:rsidRPr="0028747A">
        <w:rPr>
          <w:rFonts w:ascii="Arial" w:eastAsiaTheme="minorHAnsi" w:hAnsi="Arial" w:cs="Arial"/>
          <w:color w:val="auto"/>
          <w:sz w:val="22"/>
          <w:lang w:eastAsia="en-US"/>
        </w:rPr>
        <w:tab/>
        <w:t xml:space="preserve">Adv. </w:t>
      </w:r>
      <w:r w:rsidR="00B725CB" w:rsidRPr="0028747A">
        <w:rPr>
          <w:rFonts w:ascii="Arial" w:eastAsiaTheme="minorHAnsi" w:hAnsi="Arial" w:cs="Arial"/>
          <w:color w:val="auto"/>
          <w:sz w:val="22"/>
          <w:lang w:eastAsia="en-US"/>
        </w:rPr>
        <w:t>L. van der Westhuizen</w:t>
      </w:r>
    </w:p>
    <w:p w14:paraId="040AB5C2" w14:textId="42416D12" w:rsidR="008D2819" w:rsidRPr="0028747A" w:rsidRDefault="008D2819" w:rsidP="008D2819">
      <w:pPr>
        <w:spacing w:after="0" w:line="276" w:lineRule="auto"/>
        <w:ind w:right="-42"/>
        <w:jc w:val="left"/>
        <w:rPr>
          <w:rFonts w:ascii="Arial" w:eastAsiaTheme="minorHAnsi" w:hAnsi="Arial" w:cs="Arial"/>
          <w:color w:val="auto"/>
          <w:sz w:val="22"/>
          <w:lang w:eastAsia="en-US"/>
        </w:rPr>
      </w:pPr>
      <w:r w:rsidRPr="0028747A">
        <w:rPr>
          <w:rFonts w:ascii="Arial" w:eastAsiaTheme="minorHAnsi" w:hAnsi="Arial" w:cs="Arial"/>
          <w:b/>
          <w:bCs/>
          <w:color w:val="auto"/>
          <w:sz w:val="22"/>
          <w:lang w:eastAsia="en-US"/>
        </w:rPr>
        <w:t>Instructed by:</w:t>
      </w:r>
      <w:r w:rsidRPr="0028747A">
        <w:rPr>
          <w:rFonts w:ascii="Arial" w:eastAsiaTheme="minorHAnsi" w:hAnsi="Arial" w:cs="Arial"/>
          <w:color w:val="auto"/>
          <w:sz w:val="22"/>
          <w:lang w:eastAsia="en-US"/>
        </w:rPr>
        <w:tab/>
      </w:r>
      <w:r w:rsidR="00B725CB" w:rsidRPr="0028747A">
        <w:rPr>
          <w:rFonts w:ascii="Arial" w:eastAsiaTheme="minorHAnsi" w:hAnsi="Arial" w:cs="Arial"/>
          <w:color w:val="auto"/>
          <w:sz w:val="22"/>
          <w:lang w:eastAsia="en-US"/>
        </w:rPr>
        <w:t>F van Wyk Incorporated</w:t>
      </w:r>
    </w:p>
    <w:p w14:paraId="3BCF6CE1" w14:textId="77777777" w:rsidR="00D2182B" w:rsidRPr="0028747A" w:rsidRDefault="00D2182B" w:rsidP="00D2182B">
      <w:pPr>
        <w:spacing w:after="0" w:line="276" w:lineRule="auto"/>
        <w:ind w:left="0"/>
        <w:jc w:val="left"/>
        <w:rPr>
          <w:rFonts w:ascii="Arial" w:eastAsiaTheme="minorHAnsi" w:hAnsi="Arial" w:cs="Arial"/>
          <w:color w:val="auto"/>
          <w:sz w:val="22"/>
          <w:lang w:eastAsia="en-US"/>
        </w:rPr>
      </w:pPr>
    </w:p>
    <w:p w14:paraId="679C2E1B" w14:textId="77777777" w:rsidR="00D2182B" w:rsidRPr="0028747A" w:rsidRDefault="00D2182B" w:rsidP="00D2182B">
      <w:pPr>
        <w:spacing w:after="0" w:line="276" w:lineRule="auto"/>
        <w:ind w:left="0"/>
        <w:jc w:val="left"/>
        <w:rPr>
          <w:rFonts w:ascii="Arial" w:eastAsiaTheme="minorHAnsi" w:hAnsi="Arial" w:cs="Arial"/>
          <w:color w:val="auto"/>
          <w:sz w:val="22"/>
          <w:lang w:eastAsia="en-US"/>
        </w:rPr>
      </w:pPr>
    </w:p>
    <w:p w14:paraId="6DA1B93E" w14:textId="01BDF643" w:rsidR="00D2182B" w:rsidRPr="0028747A" w:rsidRDefault="00D2182B" w:rsidP="00D2182B">
      <w:pPr>
        <w:spacing w:after="0" w:line="276" w:lineRule="auto"/>
        <w:ind w:left="0"/>
        <w:jc w:val="left"/>
        <w:rPr>
          <w:rFonts w:ascii="Arial" w:eastAsiaTheme="minorHAnsi" w:hAnsi="Arial" w:cs="Arial"/>
          <w:color w:val="auto"/>
          <w:sz w:val="22"/>
          <w:lang w:eastAsia="en-US"/>
        </w:rPr>
      </w:pPr>
      <w:r w:rsidRPr="0028747A">
        <w:rPr>
          <w:rFonts w:ascii="Arial" w:eastAsiaTheme="minorHAnsi" w:hAnsi="Arial" w:cs="Arial"/>
          <w:b/>
          <w:color w:val="auto"/>
          <w:sz w:val="22"/>
          <w:lang w:eastAsia="en-US"/>
        </w:rPr>
        <w:t xml:space="preserve">For </w:t>
      </w:r>
      <w:r w:rsidR="00194BC9" w:rsidRPr="0028747A">
        <w:rPr>
          <w:rFonts w:ascii="Arial" w:eastAsiaTheme="minorHAnsi" w:hAnsi="Arial" w:cs="Arial"/>
          <w:b/>
          <w:color w:val="auto"/>
          <w:sz w:val="22"/>
          <w:lang w:eastAsia="en-US"/>
        </w:rPr>
        <w:t>Respondent</w:t>
      </w:r>
      <w:r w:rsidRPr="0028747A">
        <w:rPr>
          <w:rFonts w:ascii="Arial" w:eastAsiaTheme="minorHAnsi" w:hAnsi="Arial" w:cs="Arial"/>
          <w:color w:val="auto"/>
          <w:sz w:val="22"/>
          <w:lang w:eastAsia="en-US"/>
        </w:rPr>
        <w:t>:</w:t>
      </w:r>
      <w:r w:rsidR="008D2819" w:rsidRPr="0028747A">
        <w:rPr>
          <w:rFonts w:ascii="Arial" w:eastAsiaTheme="minorHAnsi" w:hAnsi="Arial" w:cs="Arial"/>
          <w:color w:val="auto"/>
          <w:sz w:val="22"/>
          <w:lang w:eastAsia="en-US"/>
        </w:rPr>
        <w:tab/>
        <w:t>A</w:t>
      </w:r>
      <w:r w:rsidR="00B725CB" w:rsidRPr="0028747A">
        <w:rPr>
          <w:rFonts w:ascii="Arial" w:eastAsiaTheme="minorHAnsi" w:hAnsi="Arial" w:cs="Arial"/>
          <w:color w:val="auto"/>
          <w:sz w:val="22"/>
          <w:lang w:eastAsia="en-US"/>
        </w:rPr>
        <w:t>tt</w:t>
      </w:r>
      <w:r w:rsidR="008D2819" w:rsidRPr="0028747A">
        <w:rPr>
          <w:rFonts w:ascii="Arial" w:eastAsiaTheme="minorHAnsi" w:hAnsi="Arial" w:cs="Arial"/>
          <w:color w:val="auto"/>
          <w:sz w:val="22"/>
          <w:lang w:eastAsia="en-US"/>
        </w:rPr>
        <w:t xml:space="preserve">. </w:t>
      </w:r>
      <w:r w:rsidR="00B725CB" w:rsidRPr="0028747A">
        <w:rPr>
          <w:rFonts w:ascii="Arial" w:eastAsiaTheme="minorHAnsi" w:hAnsi="Arial" w:cs="Arial"/>
          <w:color w:val="auto"/>
          <w:sz w:val="22"/>
          <w:lang w:eastAsia="en-US"/>
        </w:rPr>
        <w:t>D Charles</w:t>
      </w:r>
      <w:r w:rsidRPr="0028747A">
        <w:rPr>
          <w:rFonts w:ascii="Arial" w:eastAsiaTheme="minorHAnsi" w:hAnsi="Arial" w:cs="Arial"/>
          <w:color w:val="auto"/>
          <w:sz w:val="22"/>
          <w:lang w:eastAsia="en-US"/>
        </w:rPr>
        <w:tab/>
      </w:r>
      <w:r w:rsidR="0055593D" w:rsidRPr="0028747A">
        <w:rPr>
          <w:rFonts w:ascii="Arial" w:eastAsiaTheme="minorHAnsi" w:hAnsi="Arial" w:cs="Arial"/>
          <w:color w:val="auto"/>
          <w:sz w:val="22"/>
          <w:lang w:eastAsia="en-US"/>
        </w:rPr>
        <w:t>(with right of appearance)</w:t>
      </w:r>
    </w:p>
    <w:p w14:paraId="704C6DE4" w14:textId="28CED1B0" w:rsidR="00D91B48" w:rsidRPr="0028747A" w:rsidRDefault="00D2182B" w:rsidP="00D2182B">
      <w:pPr>
        <w:spacing w:after="0" w:line="276" w:lineRule="auto"/>
        <w:ind w:left="0"/>
        <w:jc w:val="left"/>
        <w:rPr>
          <w:rFonts w:ascii="Arial" w:eastAsiaTheme="minorHAnsi" w:hAnsi="Arial" w:cs="Arial"/>
          <w:color w:val="auto"/>
          <w:sz w:val="22"/>
          <w:lang w:eastAsia="en-US"/>
        </w:rPr>
      </w:pPr>
      <w:r w:rsidRPr="0028747A">
        <w:rPr>
          <w:rFonts w:ascii="Arial" w:eastAsiaTheme="minorHAnsi" w:hAnsi="Arial" w:cs="Arial"/>
          <w:b/>
          <w:color w:val="auto"/>
          <w:sz w:val="22"/>
          <w:lang w:eastAsia="en-US"/>
        </w:rPr>
        <w:t>Instructed by</w:t>
      </w:r>
      <w:r w:rsidRPr="0028747A">
        <w:rPr>
          <w:rFonts w:ascii="Arial" w:eastAsiaTheme="minorHAnsi" w:hAnsi="Arial" w:cs="Arial"/>
          <w:color w:val="auto"/>
          <w:sz w:val="22"/>
          <w:lang w:eastAsia="en-US"/>
        </w:rPr>
        <w:t>:</w:t>
      </w:r>
      <w:r w:rsidR="008D2819" w:rsidRPr="0028747A">
        <w:rPr>
          <w:rFonts w:ascii="Arial" w:eastAsiaTheme="minorHAnsi" w:hAnsi="Arial" w:cs="Arial"/>
          <w:color w:val="auto"/>
          <w:sz w:val="22"/>
          <w:lang w:eastAsia="en-US"/>
        </w:rPr>
        <w:tab/>
      </w:r>
      <w:r w:rsidR="00B725CB" w:rsidRPr="0028747A">
        <w:rPr>
          <w:rFonts w:ascii="Arial" w:eastAsiaTheme="minorHAnsi" w:hAnsi="Arial" w:cs="Arial"/>
          <w:color w:val="auto"/>
          <w:sz w:val="22"/>
          <w:lang w:eastAsia="en-US"/>
        </w:rPr>
        <w:t>McCormick Londt Incorporated</w:t>
      </w:r>
    </w:p>
    <w:p w14:paraId="267305AF" w14:textId="77777777" w:rsidR="00CB6F6C" w:rsidRPr="0028747A" w:rsidRDefault="00CB6F6C" w:rsidP="00D2182B">
      <w:pPr>
        <w:spacing w:after="0" w:line="276" w:lineRule="auto"/>
        <w:ind w:left="0"/>
        <w:jc w:val="left"/>
        <w:rPr>
          <w:rFonts w:ascii="Arial" w:eastAsiaTheme="minorHAnsi" w:hAnsi="Arial" w:cs="Arial"/>
          <w:color w:val="auto"/>
          <w:sz w:val="22"/>
          <w:lang w:eastAsia="en-US"/>
        </w:rPr>
      </w:pPr>
    </w:p>
    <w:p w14:paraId="1AAAAD7C" w14:textId="77777777" w:rsidR="00CB6F6C" w:rsidRPr="0028747A" w:rsidRDefault="00CB6F6C" w:rsidP="00D2182B">
      <w:pPr>
        <w:spacing w:after="0" w:line="276" w:lineRule="auto"/>
        <w:ind w:left="0"/>
        <w:jc w:val="left"/>
        <w:rPr>
          <w:rFonts w:ascii="Arial" w:eastAsiaTheme="minorHAnsi" w:hAnsi="Arial" w:cs="Arial"/>
          <w:color w:val="auto"/>
          <w:sz w:val="22"/>
          <w:lang w:eastAsia="en-US"/>
        </w:rPr>
      </w:pPr>
    </w:p>
    <w:p w14:paraId="4D0A0E5E" w14:textId="6C30FA6D" w:rsidR="00CB6F6C" w:rsidRPr="0028747A" w:rsidRDefault="00CB6F6C" w:rsidP="00CB6F6C">
      <w:pPr>
        <w:tabs>
          <w:tab w:val="left" w:pos="360"/>
        </w:tabs>
        <w:spacing w:line="360" w:lineRule="auto"/>
        <w:rPr>
          <w:rFonts w:ascii="Arial" w:hAnsi="Arial" w:cs="Arial"/>
          <w:i/>
          <w:iCs/>
          <w:sz w:val="22"/>
        </w:rPr>
      </w:pPr>
      <w:r w:rsidRPr="0028747A">
        <w:rPr>
          <w:rFonts w:ascii="Arial" w:hAnsi="Arial" w:cs="Arial"/>
          <w:i/>
          <w:iCs/>
          <w:sz w:val="22"/>
        </w:rPr>
        <w:t>This judgment was handed down electronically by e-mail circulation to the parties’ legal representatives</w:t>
      </w:r>
      <w:r w:rsidR="0063192B" w:rsidRPr="0028747A">
        <w:rPr>
          <w:rFonts w:ascii="Arial" w:hAnsi="Arial" w:cs="Arial"/>
          <w:i/>
          <w:iCs/>
          <w:sz w:val="22"/>
        </w:rPr>
        <w:t xml:space="preserve"> and uploading to CaseLines</w:t>
      </w:r>
      <w:r w:rsidRPr="0028747A">
        <w:rPr>
          <w:rFonts w:ascii="Arial" w:hAnsi="Arial" w:cs="Arial"/>
          <w:i/>
          <w:iCs/>
          <w:sz w:val="22"/>
        </w:rPr>
        <w:t xml:space="preserve">. The date for hand-down is deemed to be </w:t>
      </w:r>
      <w:r w:rsidR="00B725CB" w:rsidRPr="0028747A">
        <w:rPr>
          <w:rFonts w:ascii="Arial" w:hAnsi="Arial" w:cs="Arial"/>
          <w:i/>
          <w:iCs/>
          <w:sz w:val="22"/>
        </w:rPr>
        <w:t>15</w:t>
      </w:r>
      <w:r w:rsidRPr="0028747A">
        <w:rPr>
          <w:rFonts w:ascii="Arial" w:hAnsi="Arial" w:cs="Arial"/>
          <w:i/>
          <w:iCs/>
          <w:sz w:val="22"/>
        </w:rPr>
        <w:t xml:space="preserve"> November 2023.</w:t>
      </w:r>
    </w:p>
    <w:p w14:paraId="58FB61FE" w14:textId="15D61460" w:rsidR="00012C83" w:rsidRPr="0028747A" w:rsidRDefault="00012C83" w:rsidP="00D2182B">
      <w:pPr>
        <w:spacing w:after="0" w:line="276" w:lineRule="auto"/>
        <w:ind w:left="0"/>
        <w:jc w:val="left"/>
        <w:rPr>
          <w:rFonts w:ascii="Arial" w:hAnsi="Arial" w:cs="Arial"/>
          <w:sz w:val="22"/>
        </w:rPr>
      </w:pP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r w:rsidRPr="0028747A">
        <w:rPr>
          <w:rFonts w:ascii="Arial" w:eastAsiaTheme="minorHAnsi" w:hAnsi="Arial" w:cs="Arial"/>
          <w:color w:val="auto"/>
          <w:sz w:val="22"/>
          <w:lang w:eastAsia="en-US"/>
        </w:rPr>
        <w:tab/>
      </w:r>
    </w:p>
    <w:sectPr w:rsidR="00012C83" w:rsidRPr="0028747A" w:rsidSect="00930263">
      <w:footerReference w:type="default" r:id="rId9"/>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10A6" w14:textId="77777777" w:rsidR="0057215F" w:rsidRDefault="0057215F" w:rsidP="00A238D6">
      <w:pPr>
        <w:spacing w:after="0" w:line="240" w:lineRule="auto"/>
      </w:pPr>
      <w:r>
        <w:separator/>
      </w:r>
    </w:p>
  </w:endnote>
  <w:endnote w:type="continuationSeparator" w:id="0">
    <w:p w14:paraId="5823ADAB" w14:textId="77777777" w:rsidR="0057215F" w:rsidRDefault="0057215F" w:rsidP="00A238D6">
      <w:pPr>
        <w:spacing w:after="0" w:line="240" w:lineRule="auto"/>
      </w:pPr>
      <w:r>
        <w:continuationSeparator/>
      </w:r>
    </w:p>
  </w:endnote>
  <w:endnote w:type="continuationNotice" w:id="1">
    <w:p w14:paraId="4FAECD11" w14:textId="77777777" w:rsidR="0057215F" w:rsidRDefault="00572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37188"/>
      <w:docPartObj>
        <w:docPartGallery w:val="Page Numbers (Bottom of Page)"/>
        <w:docPartUnique/>
      </w:docPartObj>
    </w:sdtPr>
    <w:sdtEndPr>
      <w:rPr>
        <w:noProof/>
      </w:rPr>
    </w:sdtEndPr>
    <w:sdtContent>
      <w:p w14:paraId="7416B72C" w14:textId="66053E36" w:rsidR="00226CF2" w:rsidRDefault="00226CF2">
        <w:pPr>
          <w:pStyle w:val="Footer"/>
          <w:jc w:val="right"/>
        </w:pPr>
        <w:r>
          <w:fldChar w:fldCharType="begin"/>
        </w:r>
        <w:r>
          <w:instrText xml:space="preserve"> PAGE   \* MERGEFORMAT </w:instrText>
        </w:r>
        <w:r>
          <w:fldChar w:fldCharType="separate"/>
        </w:r>
        <w:r w:rsidR="00E4691C">
          <w:rPr>
            <w:noProof/>
          </w:rPr>
          <w:t>17</w:t>
        </w:r>
        <w:r>
          <w:rPr>
            <w:noProof/>
          </w:rPr>
          <w:fldChar w:fldCharType="end"/>
        </w:r>
      </w:p>
    </w:sdtContent>
  </w:sdt>
  <w:p w14:paraId="267E1A0B"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B91B" w14:textId="77777777" w:rsidR="0057215F" w:rsidRDefault="0057215F" w:rsidP="00A238D6">
      <w:pPr>
        <w:spacing w:after="0" w:line="240" w:lineRule="auto"/>
      </w:pPr>
      <w:r>
        <w:separator/>
      </w:r>
    </w:p>
  </w:footnote>
  <w:footnote w:type="continuationSeparator" w:id="0">
    <w:p w14:paraId="2104DE9B" w14:textId="77777777" w:rsidR="0057215F" w:rsidRDefault="0057215F" w:rsidP="00A238D6">
      <w:pPr>
        <w:spacing w:after="0" w:line="240" w:lineRule="auto"/>
      </w:pPr>
      <w:r>
        <w:continuationSeparator/>
      </w:r>
    </w:p>
  </w:footnote>
  <w:footnote w:type="continuationNotice" w:id="1">
    <w:p w14:paraId="72CAFB70" w14:textId="77777777" w:rsidR="0057215F" w:rsidRDefault="0057215F">
      <w:pPr>
        <w:spacing w:after="0" w:line="240" w:lineRule="auto"/>
      </w:pPr>
    </w:p>
  </w:footnote>
  <w:footnote w:id="2">
    <w:p w14:paraId="22B8B29F" w14:textId="32DC3CE8" w:rsidR="008942B5" w:rsidRPr="008942B5" w:rsidRDefault="008942B5" w:rsidP="008942B5">
      <w:pPr>
        <w:pStyle w:val="FootnoteText"/>
        <w:spacing w:afterLines="60" w:after="144"/>
        <w:ind w:left="360" w:hanging="360"/>
        <w:rPr>
          <w:rFonts w:ascii="Arial" w:hAnsi="Arial" w:cs="Arial"/>
          <w:sz w:val="19"/>
          <w:szCs w:val="19"/>
        </w:rPr>
      </w:pPr>
      <w:r w:rsidRPr="008942B5">
        <w:rPr>
          <w:rStyle w:val="FootnoteReference"/>
          <w:rFonts w:ascii="Arial" w:hAnsi="Arial" w:cs="Arial"/>
          <w:sz w:val="19"/>
          <w:szCs w:val="19"/>
        </w:rPr>
        <w:footnoteRef/>
      </w:r>
      <w:r w:rsidRPr="008942B5">
        <w:rPr>
          <w:rFonts w:ascii="Arial" w:hAnsi="Arial" w:cs="Arial"/>
          <w:sz w:val="19"/>
          <w:szCs w:val="19"/>
        </w:rPr>
        <w:t xml:space="preserve"> </w:t>
      </w:r>
      <w:r w:rsidRPr="008942B5">
        <w:rPr>
          <w:rFonts w:ascii="Arial" w:hAnsi="Arial" w:cs="Arial"/>
          <w:sz w:val="19"/>
          <w:szCs w:val="19"/>
        </w:rPr>
        <w:tab/>
      </w:r>
      <w:r w:rsidRPr="008942B5">
        <w:rPr>
          <w:rFonts w:ascii="Arial" w:hAnsi="Arial" w:cs="Arial"/>
          <w:b/>
          <w:bCs/>
          <w:sz w:val="19"/>
          <w:szCs w:val="19"/>
        </w:rPr>
        <w:t>Freedom</w:t>
      </w:r>
      <w:r w:rsidRPr="008942B5">
        <w:rPr>
          <w:rFonts w:ascii="Arial" w:hAnsi="Arial" w:cs="Arial"/>
          <w:sz w:val="19"/>
          <w:szCs w:val="19"/>
        </w:rPr>
        <w:t xml:space="preserve"> </w:t>
      </w:r>
      <w:r w:rsidRPr="008942B5">
        <w:rPr>
          <w:rFonts w:ascii="Arial" w:hAnsi="Arial" w:cs="Arial"/>
          <w:b/>
          <w:bCs/>
          <w:sz w:val="19"/>
          <w:szCs w:val="19"/>
        </w:rPr>
        <w:t>Stationery (Pty) Ltd v Hassam</w:t>
      </w:r>
      <w:r w:rsidRPr="008942B5">
        <w:rPr>
          <w:rFonts w:ascii="Arial" w:hAnsi="Arial" w:cs="Arial"/>
          <w:sz w:val="19"/>
          <w:szCs w:val="19"/>
        </w:rPr>
        <w:t xml:space="preserve"> 2019 (4) SA 459 (SCA) at para [16]</w:t>
      </w:r>
    </w:p>
  </w:footnote>
  <w:footnote w:id="3">
    <w:p w14:paraId="0868A2F4" w14:textId="098EE150" w:rsidR="00102B5B" w:rsidRPr="008942B5" w:rsidRDefault="00102B5B" w:rsidP="007C210A">
      <w:pPr>
        <w:pStyle w:val="FootnoteText"/>
        <w:spacing w:afterLines="60" w:after="144"/>
        <w:ind w:left="360" w:hanging="360"/>
        <w:rPr>
          <w:rFonts w:ascii="Arial" w:hAnsi="Arial" w:cs="Arial"/>
          <w:sz w:val="19"/>
          <w:szCs w:val="19"/>
        </w:rPr>
      </w:pPr>
      <w:r w:rsidRPr="008942B5">
        <w:rPr>
          <w:rStyle w:val="FootnoteReference"/>
          <w:rFonts w:ascii="Arial" w:hAnsi="Arial" w:cs="Arial"/>
          <w:sz w:val="19"/>
          <w:szCs w:val="19"/>
        </w:rPr>
        <w:footnoteRef/>
      </w:r>
      <w:r w:rsidRPr="008942B5">
        <w:rPr>
          <w:rFonts w:ascii="Arial" w:hAnsi="Arial" w:cs="Arial"/>
          <w:sz w:val="19"/>
          <w:szCs w:val="19"/>
        </w:rPr>
        <w:t xml:space="preserve"> </w:t>
      </w:r>
      <w:r w:rsidR="007C210A" w:rsidRPr="008942B5">
        <w:rPr>
          <w:rFonts w:ascii="Arial" w:hAnsi="Arial" w:cs="Arial"/>
          <w:sz w:val="19"/>
          <w:szCs w:val="19"/>
        </w:rPr>
        <w:tab/>
      </w:r>
      <w:r w:rsidRPr="008942B5">
        <w:rPr>
          <w:rFonts w:ascii="Arial" w:hAnsi="Arial" w:cs="Arial"/>
          <w:b/>
          <w:bCs/>
          <w:sz w:val="19"/>
          <w:szCs w:val="19"/>
        </w:rPr>
        <w:t>Childerley Estate Stores v Standard Bank of SA Ltd</w:t>
      </w:r>
      <w:r w:rsidRPr="008942B5">
        <w:rPr>
          <w:rFonts w:ascii="Arial" w:hAnsi="Arial" w:cs="Arial"/>
          <w:sz w:val="19"/>
          <w:szCs w:val="19"/>
        </w:rPr>
        <w:t xml:space="preserve"> 124 OPD 163 at 166</w:t>
      </w:r>
    </w:p>
  </w:footnote>
  <w:footnote w:id="4">
    <w:p w14:paraId="6DB8F156" w14:textId="49BFF325" w:rsidR="005127C5" w:rsidRPr="00505D75" w:rsidRDefault="005127C5" w:rsidP="00505D75">
      <w:pPr>
        <w:pStyle w:val="FootnoteText"/>
        <w:spacing w:afterLines="60" w:after="144"/>
        <w:ind w:left="360" w:hanging="360"/>
        <w:rPr>
          <w:rFonts w:ascii="Arial" w:hAnsi="Arial" w:cs="Arial"/>
          <w:sz w:val="19"/>
          <w:szCs w:val="19"/>
        </w:rPr>
      </w:pPr>
      <w:r w:rsidRPr="00505D75">
        <w:rPr>
          <w:rStyle w:val="FootnoteReference"/>
          <w:rFonts w:ascii="Arial" w:hAnsi="Arial" w:cs="Arial"/>
          <w:sz w:val="19"/>
          <w:szCs w:val="19"/>
        </w:rPr>
        <w:footnoteRef/>
      </w:r>
      <w:r w:rsidRPr="00505D75">
        <w:rPr>
          <w:rFonts w:ascii="Arial" w:hAnsi="Arial" w:cs="Arial"/>
          <w:sz w:val="19"/>
          <w:szCs w:val="19"/>
        </w:rPr>
        <w:t xml:space="preserve"> </w:t>
      </w:r>
      <w:r w:rsidR="00505D75">
        <w:rPr>
          <w:rFonts w:ascii="Arial" w:hAnsi="Arial" w:cs="Arial"/>
          <w:sz w:val="19"/>
          <w:szCs w:val="19"/>
        </w:rPr>
        <w:tab/>
      </w:r>
      <w:r w:rsidR="00505D75" w:rsidRPr="00505D75">
        <w:rPr>
          <w:rFonts w:ascii="Arial" w:hAnsi="Arial" w:cs="Arial"/>
          <w:sz w:val="19"/>
          <w:szCs w:val="19"/>
        </w:rPr>
        <w:t>2003 (6) SA 1 (SCA) at paras [5] to [8]</w:t>
      </w:r>
    </w:p>
  </w:footnote>
  <w:footnote w:id="5">
    <w:p w14:paraId="354F2F96" w14:textId="40B72BE6" w:rsidR="00505D75" w:rsidRDefault="00505D75" w:rsidP="00505D75">
      <w:pPr>
        <w:pStyle w:val="FootnoteText"/>
        <w:spacing w:afterLines="60" w:after="144"/>
        <w:ind w:left="360" w:hanging="360"/>
      </w:pPr>
      <w:r w:rsidRPr="00505D75">
        <w:rPr>
          <w:rStyle w:val="FootnoteReference"/>
          <w:rFonts w:ascii="Arial" w:hAnsi="Arial" w:cs="Arial"/>
          <w:sz w:val="19"/>
          <w:szCs w:val="19"/>
        </w:rPr>
        <w:footnoteRef/>
      </w:r>
      <w:r w:rsidRPr="00505D75">
        <w:rPr>
          <w:rFonts w:ascii="Arial" w:hAnsi="Arial" w:cs="Arial"/>
          <w:sz w:val="19"/>
          <w:szCs w:val="19"/>
        </w:rPr>
        <w:t xml:space="preserve"> </w:t>
      </w:r>
      <w:r>
        <w:rPr>
          <w:rFonts w:ascii="Arial" w:hAnsi="Arial" w:cs="Arial"/>
          <w:sz w:val="19"/>
          <w:szCs w:val="19"/>
        </w:rPr>
        <w:tab/>
      </w:r>
      <w:bookmarkStart w:id="5" w:name="_Hlk150942937"/>
      <w:r w:rsidRPr="00505D75">
        <w:rPr>
          <w:rFonts w:ascii="Arial" w:hAnsi="Arial" w:cs="Arial"/>
          <w:b/>
          <w:bCs/>
          <w:sz w:val="19"/>
          <w:szCs w:val="19"/>
        </w:rPr>
        <w:t>Colyn</w:t>
      </w:r>
      <w:r w:rsidR="00C84F01" w:rsidRPr="00C84F01">
        <w:t xml:space="preserve"> </w:t>
      </w:r>
      <w:r w:rsidR="00C84F01" w:rsidRPr="00C84F01">
        <w:rPr>
          <w:rFonts w:ascii="Arial" w:hAnsi="Arial" w:cs="Arial"/>
          <w:b/>
          <w:bCs/>
          <w:sz w:val="19"/>
          <w:szCs w:val="19"/>
        </w:rPr>
        <w:t>v Tiger Food Industries Ltd t/a Meadow Feed Mills (Cape)</w:t>
      </w:r>
      <w:r w:rsidRPr="00505D75">
        <w:rPr>
          <w:rFonts w:ascii="Arial" w:hAnsi="Arial" w:cs="Arial"/>
          <w:sz w:val="19"/>
          <w:szCs w:val="19"/>
        </w:rPr>
        <w:t xml:space="preserve"> supra </w:t>
      </w:r>
      <w:bookmarkEnd w:id="5"/>
      <w:r w:rsidRPr="00505D75">
        <w:rPr>
          <w:rFonts w:ascii="Arial" w:hAnsi="Arial" w:cs="Arial"/>
          <w:sz w:val="19"/>
          <w:szCs w:val="19"/>
        </w:rPr>
        <w:t xml:space="preserve">and </w:t>
      </w:r>
      <w:r w:rsidRPr="00505D75">
        <w:rPr>
          <w:rFonts w:ascii="Arial" w:hAnsi="Arial" w:cs="Arial"/>
          <w:b/>
          <w:bCs/>
          <w:sz w:val="19"/>
          <w:szCs w:val="19"/>
        </w:rPr>
        <w:t>Tshivhase Royal Council v Tshivhase</w:t>
      </w:r>
      <w:r w:rsidRPr="00505D75">
        <w:rPr>
          <w:rFonts w:ascii="Arial" w:hAnsi="Arial" w:cs="Arial"/>
          <w:sz w:val="19"/>
          <w:szCs w:val="19"/>
        </w:rPr>
        <w:t xml:space="preserve"> 1992 (4) SA 852 (A) at 86</w:t>
      </w:r>
      <w:r>
        <w:rPr>
          <w:rFonts w:ascii="Arial" w:hAnsi="Arial" w:cs="Arial"/>
          <w:sz w:val="19"/>
          <w:szCs w:val="19"/>
        </w:rPr>
        <w:t>2J</w:t>
      </w:r>
    </w:p>
  </w:footnote>
  <w:footnote w:id="6">
    <w:p w14:paraId="30E48C55" w14:textId="0EEF4A78" w:rsidR="00102B5B" w:rsidRPr="007C210A" w:rsidRDefault="00102B5B" w:rsidP="007C210A">
      <w:pPr>
        <w:pStyle w:val="FootnoteText"/>
        <w:spacing w:afterLines="60" w:after="144"/>
        <w:ind w:left="360" w:hanging="360"/>
        <w:rPr>
          <w:rFonts w:ascii="Arial" w:hAnsi="Arial" w:cs="Arial"/>
          <w:sz w:val="19"/>
          <w:szCs w:val="19"/>
        </w:rPr>
      </w:pPr>
      <w:r w:rsidRPr="007C210A">
        <w:rPr>
          <w:rStyle w:val="FootnoteReference"/>
          <w:rFonts w:ascii="Arial" w:hAnsi="Arial" w:cs="Arial"/>
          <w:sz w:val="19"/>
          <w:szCs w:val="19"/>
        </w:rPr>
        <w:footnoteRef/>
      </w:r>
      <w:r w:rsidRPr="007C210A">
        <w:rPr>
          <w:rFonts w:ascii="Arial" w:hAnsi="Arial" w:cs="Arial"/>
          <w:sz w:val="19"/>
          <w:szCs w:val="19"/>
        </w:rPr>
        <w:t xml:space="preserve"> </w:t>
      </w:r>
      <w:r w:rsidR="007C210A" w:rsidRPr="007C210A">
        <w:rPr>
          <w:rFonts w:ascii="Arial" w:hAnsi="Arial" w:cs="Arial"/>
          <w:sz w:val="19"/>
          <w:szCs w:val="19"/>
        </w:rPr>
        <w:tab/>
      </w:r>
      <w:bookmarkStart w:id="7" w:name="_Hlk150929864"/>
      <w:r w:rsidRPr="007C210A">
        <w:rPr>
          <w:rFonts w:ascii="Arial" w:hAnsi="Arial" w:cs="Arial"/>
          <w:b/>
          <w:bCs/>
          <w:sz w:val="19"/>
          <w:szCs w:val="19"/>
        </w:rPr>
        <w:t>Tshivhase Royal Council v Tshivhase</w:t>
      </w:r>
      <w:r w:rsidRPr="007C210A">
        <w:rPr>
          <w:rFonts w:ascii="Arial" w:hAnsi="Arial" w:cs="Arial"/>
          <w:sz w:val="19"/>
          <w:szCs w:val="19"/>
        </w:rPr>
        <w:t xml:space="preserve"> </w:t>
      </w:r>
      <w:r w:rsidR="00505D75">
        <w:rPr>
          <w:rFonts w:ascii="Arial" w:hAnsi="Arial" w:cs="Arial"/>
          <w:sz w:val="19"/>
          <w:szCs w:val="19"/>
        </w:rPr>
        <w:t xml:space="preserve">supra </w:t>
      </w:r>
      <w:r w:rsidRPr="007C210A">
        <w:rPr>
          <w:rFonts w:ascii="Arial" w:hAnsi="Arial" w:cs="Arial"/>
          <w:sz w:val="19"/>
          <w:szCs w:val="19"/>
        </w:rPr>
        <w:t>at 863A</w:t>
      </w:r>
      <w:bookmarkEnd w:id="7"/>
    </w:p>
  </w:footnote>
  <w:footnote w:id="7">
    <w:p w14:paraId="4A982C86" w14:textId="43AC293D" w:rsidR="00102B5B" w:rsidRDefault="00102B5B" w:rsidP="007C210A">
      <w:pPr>
        <w:pStyle w:val="FootnoteText"/>
        <w:spacing w:afterLines="60" w:after="144"/>
        <w:ind w:left="360" w:hanging="360"/>
      </w:pPr>
      <w:r w:rsidRPr="007C210A">
        <w:rPr>
          <w:rStyle w:val="FootnoteReference"/>
          <w:rFonts w:ascii="Arial" w:hAnsi="Arial" w:cs="Arial"/>
          <w:sz w:val="19"/>
          <w:szCs w:val="19"/>
        </w:rPr>
        <w:footnoteRef/>
      </w:r>
      <w:r w:rsidRPr="007C210A">
        <w:rPr>
          <w:rFonts w:ascii="Arial" w:hAnsi="Arial" w:cs="Arial"/>
          <w:sz w:val="19"/>
          <w:szCs w:val="19"/>
        </w:rPr>
        <w:t xml:space="preserve"> </w:t>
      </w:r>
      <w:r w:rsidR="007C210A" w:rsidRPr="007C210A">
        <w:rPr>
          <w:rFonts w:ascii="Arial" w:hAnsi="Arial" w:cs="Arial"/>
          <w:sz w:val="19"/>
          <w:szCs w:val="19"/>
        </w:rPr>
        <w:tab/>
      </w:r>
      <w:r w:rsidRPr="007C210A">
        <w:rPr>
          <w:rFonts w:ascii="Arial" w:hAnsi="Arial" w:cs="Arial"/>
          <w:b/>
          <w:bCs/>
          <w:sz w:val="19"/>
          <w:szCs w:val="19"/>
        </w:rPr>
        <w:t>Botha v Road Accident Fund</w:t>
      </w:r>
      <w:r w:rsidRPr="007C210A">
        <w:rPr>
          <w:rFonts w:ascii="Arial" w:hAnsi="Arial" w:cs="Arial"/>
          <w:sz w:val="19"/>
          <w:szCs w:val="19"/>
        </w:rPr>
        <w:t xml:space="preserve"> 2017 (2) SA 50 (SCA)</w:t>
      </w:r>
    </w:p>
  </w:footnote>
  <w:footnote w:id="8">
    <w:p w14:paraId="0E3E1FC2" w14:textId="64D1BB04" w:rsidR="007C210A" w:rsidRPr="007C210A" w:rsidRDefault="007C210A" w:rsidP="007C210A">
      <w:pPr>
        <w:pStyle w:val="FootnoteText"/>
        <w:spacing w:afterLines="60" w:after="144"/>
        <w:ind w:left="360" w:hanging="360"/>
        <w:rPr>
          <w:rFonts w:ascii="Arial" w:hAnsi="Arial" w:cs="Arial"/>
          <w:sz w:val="19"/>
          <w:szCs w:val="19"/>
        </w:rPr>
      </w:pPr>
      <w:r w:rsidRPr="007C210A">
        <w:rPr>
          <w:rStyle w:val="FootnoteReference"/>
          <w:rFonts w:ascii="Arial" w:hAnsi="Arial" w:cs="Arial"/>
          <w:sz w:val="19"/>
          <w:szCs w:val="19"/>
        </w:rPr>
        <w:footnoteRef/>
      </w:r>
      <w:r w:rsidRPr="007C210A">
        <w:rPr>
          <w:rFonts w:ascii="Arial" w:hAnsi="Arial" w:cs="Arial"/>
          <w:sz w:val="19"/>
          <w:szCs w:val="19"/>
        </w:rPr>
        <w:t xml:space="preserve"> </w:t>
      </w:r>
      <w:r w:rsidRPr="007C210A">
        <w:rPr>
          <w:rFonts w:ascii="Arial" w:hAnsi="Arial" w:cs="Arial"/>
          <w:sz w:val="19"/>
          <w:szCs w:val="19"/>
        </w:rPr>
        <w:tab/>
      </w:r>
      <w:bookmarkStart w:id="8" w:name="_Hlk150934420"/>
      <w:r w:rsidRPr="007C210A">
        <w:rPr>
          <w:rFonts w:ascii="Arial" w:hAnsi="Arial" w:cs="Arial"/>
          <w:b/>
          <w:bCs/>
          <w:sz w:val="19"/>
          <w:szCs w:val="19"/>
        </w:rPr>
        <w:t>T</w:t>
      </w:r>
      <w:r w:rsidR="00DE026E">
        <w:rPr>
          <w:rFonts w:ascii="Arial" w:hAnsi="Arial" w:cs="Arial"/>
          <w:b/>
          <w:bCs/>
          <w:sz w:val="19"/>
          <w:szCs w:val="19"/>
        </w:rPr>
        <w:t>s</w:t>
      </w:r>
      <w:r w:rsidRPr="007C210A">
        <w:rPr>
          <w:rFonts w:ascii="Arial" w:hAnsi="Arial" w:cs="Arial"/>
          <w:b/>
          <w:bCs/>
          <w:sz w:val="19"/>
          <w:szCs w:val="19"/>
        </w:rPr>
        <w:t>hiv</w:t>
      </w:r>
      <w:r w:rsidR="00DE026E">
        <w:rPr>
          <w:rFonts w:ascii="Arial" w:hAnsi="Arial" w:cs="Arial"/>
          <w:b/>
          <w:bCs/>
          <w:sz w:val="19"/>
          <w:szCs w:val="19"/>
        </w:rPr>
        <w:t>h</w:t>
      </w:r>
      <w:r w:rsidRPr="007C210A">
        <w:rPr>
          <w:rFonts w:ascii="Arial" w:hAnsi="Arial" w:cs="Arial"/>
          <w:b/>
          <w:bCs/>
          <w:sz w:val="19"/>
          <w:szCs w:val="19"/>
        </w:rPr>
        <w:t>ase</w:t>
      </w:r>
      <w:r w:rsidRPr="007C210A">
        <w:rPr>
          <w:rFonts w:ascii="Arial" w:hAnsi="Arial" w:cs="Arial"/>
          <w:sz w:val="19"/>
          <w:szCs w:val="19"/>
        </w:rPr>
        <w:t xml:space="preserve"> </w:t>
      </w:r>
      <w:r w:rsidRPr="007C210A">
        <w:rPr>
          <w:rFonts w:ascii="Arial" w:hAnsi="Arial" w:cs="Arial"/>
          <w:b/>
          <w:bCs/>
          <w:sz w:val="19"/>
          <w:szCs w:val="19"/>
        </w:rPr>
        <w:t>Royal Council v T</w:t>
      </w:r>
      <w:r w:rsidR="00505D75">
        <w:rPr>
          <w:rFonts w:ascii="Arial" w:hAnsi="Arial" w:cs="Arial"/>
          <w:b/>
          <w:bCs/>
          <w:sz w:val="19"/>
          <w:szCs w:val="19"/>
        </w:rPr>
        <w:t>s</w:t>
      </w:r>
      <w:r w:rsidRPr="007C210A">
        <w:rPr>
          <w:rFonts w:ascii="Arial" w:hAnsi="Arial" w:cs="Arial"/>
          <w:b/>
          <w:bCs/>
          <w:sz w:val="19"/>
          <w:szCs w:val="19"/>
        </w:rPr>
        <w:t>hiv</w:t>
      </w:r>
      <w:r w:rsidR="00505D75">
        <w:rPr>
          <w:rFonts w:ascii="Arial" w:hAnsi="Arial" w:cs="Arial"/>
          <w:b/>
          <w:bCs/>
          <w:sz w:val="19"/>
          <w:szCs w:val="19"/>
        </w:rPr>
        <w:t>h</w:t>
      </w:r>
      <w:r w:rsidRPr="007C210A">
        <w:rPr>
          <w:rFonts w:ascii="Arial" w:hAnsi="Arial" w:cs="Arial"/>
          <w:b/>
          <w:bCs/>
          <w:sz w:val="19"/>
          <w:szCs w:val="19"/>
        </w:rPr>
        <w:t>ase</w:t>
      </w:r>
      <w:r w:rsidRPr="007C210A">
        <w:rPr>
          <w:rFonts w:ascii="Arial" w:hAnsi="Arial" w:cs="Arial"/>
          <w:sz w:val="19"/>
          <w:szCs w:val="19"/>
        </w:rPr>
        <w:t xml:space="preserve"> </w:t>
      </w:r>
      <w:r w:rsidR="002E2389">
        <w:rPr>
          <w:rFonts w:ascii="Arial" w:hAnsi="Arial" w:cs="Arial"/>
          <w:sz w:val="19"/>
          <w:szCs w:val="19"/>
        </w:rPr>
        <w:t xml:space="preserve">supra </w:t>
      </w:r>
      <w:bookmarkEnd w:id="8"/>
      <w:r w:rsidR="002E2389">
        <w:rPr>
          <w:rFonts w:ascii="Arial" w:hAnsi="Arial" w:cs="Arial"/>
          <w:sz w:val="19"/>
          <w:szCs w:val="19"/>
        </w:rPr>
        <w:t xml:space="preserve">at </w:t>
      </w:r>
      <w:r w:rsidRPr="007C210A">
        <w:rPr>
          <w:rFonts w:ascii="Arial" w:hAnsi="Arial" w:cs="Arial"/>
          <w:sz w:val="19"/>
          <w:szCs w:val="19"/>
        </w:rPr>
        <w:t xml:space="preserve">863 and </w:t>
      </w:r>
      <w:r w:rsidRPr="007C210A">
        <w:rPr>
          <w:rFonts w:ascii="Arial" w:hAnsi="Arial" w:cs="Arial"/>
          <w:b/>
          <w:bCs/>
          <w:sz w:val="19"/>
          <w:szCs w:val="19"/>
        </w:rPr>
        <w:t>Seedat v Arai</w:t>
      </w:r>
      <w:r w:rsidRPr="007C210A">
        <w:rPr>
          <w:rFonts w:ascii="Arial" w:hAnsi="Arial" w:cs="Arial"/>
          <w:sz w:val="19"/>
          <w:szCs w:val="19"/>
        </w:rPr>
        <w:t xml:space="preserve"> 1984 (2) SA 198 (T)</w:t>
      </w:r>
    </w:p>
  </w:footnote>
  <w:footnote w:id="9">
    <w:p w14:paraId="07A8936B" w14:textId="4E45BF89" w:rsidR="002D26AD" w:rsidRPr="007C210A" w:rsidRDefault="002D26AD" w:rsidP="002D26AD">
      <w:pPr>
        <w:pStyle w:val="FootnoteText"/>
        <w:spacing w:afterLines="60" w:after="144"/>
        <w:ind w:left="360" w:hanging="360"/>
        <w:rPr>
          <w:rFonts w:ascii="Arial" w:hAnsi="Arial" w:cs="Arial"/>
          <w:sz w:val="19"/>
          <w:szCs w:val="19"/>
          <w:lang w:val="en-US"/>
        </w:rPr>
      </w:pPr>
      <w:r w:rsidRPr="007C210A">
        <w:rPr>
          <w:rStyle w:val="FootnoteReference"/>
          <w:rFonts w:ascii="Arial" w:hAnsi="Arial" w:cs="Arial"/>
          <w:sz w:val="19"/>
          <w:szCs w:val="19"/>
        </w:rPr>
        <w:footnoteRef/>
      </w:r>
      <w:r w:rsidRPr="007C210A">
        <w:rPr>
          <w:rFonts w:ascii="Arial" w:hAnsi="Arial" w:cs="Arial"/>
          <w:sz w:val="19"/>
          <w:szCs w:val="19"/>
        </w:rPr>
        <w:t xml:space="preserve"> </w:t>
      </w:r>
      <w:r w:rsidRPr="007C210A">
        <w:rPr>
          <w:rFonts w:ascii="Arial" w:hAnsi="Arial" w:cs="Arial"/>
          <w:sz w:val="19"/>
          <w:szCs w:val="19"/>
        </w:rPr>
        <w:tab/>
      </w:r>
      <w:r w:rsidR="00505D75" w:rsidRPr="00505D75">
        <w:rPr>
          <w:rFonts w:ascii="Arial" w:hAnsi="Arial" w:cs="Arial"/>
          <w:b/>
          <w:bCs/>
          <w:sz w:val="19"/>
          <w:szCs w:val="19"/>
        </w:rPr>
        <w:t>T</w:t>
      </w:r>
      <w:r w:rsidR="00DE026E">
        <w:rPr>
          <w:rFonts w:ascii="Arial" w:hAnsi="Arial" w:cs="Arial"/>
          <w:b/>
          <w:bCs/>
          <w:sz w:val="19"/>
          <w:szCs w:val="19"/>
        </w:rPr>
        <w:t>s</w:t>
      </w:r>
      <w:r w:rsidR="00505D75" w:rsidRPr="00505D75">
        <w:rPr>
          <w:rFonts w:ascii="Arial" w:hAnsi="Arial" w:cs="Arial"/>
          <w:b/>
          <w:bCs/>
          <w:sz w:val="19"/>
          <w:szCs w:val="19"/>
        </w:rPr>
        <w:t>hiv</w:t>
      </w:r>
      <w:r w:rsidR="00DE026E">
        <w:rPr>
          <w:rFonts w:ascii="Arial" w:hAnsi="Arial" w:cs="Arial"/>
          <w:b/>
          <w:bCs/>
          <w:sz w:val="19"/>
          <w:szCs w:val="19"/>
        </w:rPr>
        <w:t>h</w:t>
      </w:r>
      <w:r w:rsidR="00505D75" w:rsidRPr="00505D75">
        <w:rPr>
          <w:rFonts w:ascii="Arial" w:hAnsi="Arial" w:cs="Arial"/>
          <w:b/>
          <w:bCs/>
          <w:sz w:val="19"/>
          <w:szCs w:val="19"/>
        </w:rPr>
        <w:t>ase Royal Council v Tshivhase</w:t>
      </w:r>
      <w:r w:rsidR="00505D75" w:rsidRPr="00505D75">
        <w:rPr>
          <w:rFonts w:ascii="Arial" w:hAnsi="Arial" w:cs="Arial"/>
          <w:sz w:val="19"/>
          <w:szCs w:val="19"/>
        </w:rPr>
        <w:t xml:space="preserve"> supra </w:t>
      </w:r>
      <w:r w:rsidR="00730E48" w:rsidRPr="007C210A">
        <w:rPr>
          <w:rFonts w:ascii="Arial" w:hAnsi="Arial" w:cs="Arial"/>
          <w:sz w:val="19"/>
          <w:szCs w:val="19"/>
        </w:rPr>
        <w:t xml:space="preserve">at </w:t>
      </w:r>
      <w:r w:rsidR="00751CEC">
        <w:rPr>
          <w:rFonts w:ascii="Arial" w:hAnsi="Arial" w:cs="Arial"/>
          <w:sz w:val="19"/>
          <w:szCs w:val="19"/>
        </w:rPr>
        <w:t>863</w:t>
      </w:r>
    </w:p>
  </w:footnote>
  <w:footnote w:id="10">
    <w:p w14:paraId="3F4F43F0" w14:textId="79DC9E36" w:rsidR="008942B5" w:rsidRPr="008B732A" w:rsidRDefault="008942B5" w:rsidP="008B732A">
      <w:pPr>
        <w:pStyle w:val="FootnoteText"/>
        <w:spacing w:afterLines="60" w:after="144"/>
        <w:ind w:left="360" w:hanging="360"/>
        <w:rPr>
          <w:rFonts w:ascii="Arial" w:hAnsi="Arial" w:cs="Arial"/>
          <w:sz w:val="19"/>
          <w:szCs w:val="19"/>
        </w:rPr>
      </w:pPr>
      <w:r w:rsidRPr="008B732A">
        <w:rPr>
          <w:rStyle w:val="FootnoteReference"/>
          <w:rFonts w:ascii="Arial" w:hAnsi="Arial" w:cs="Arial"/>
          <w:sz w:val="19"/>
          <w:szCs w:val="19"/>
        </w:rPr>
        <w:footnoteRef/>
      </w:r>
      <w:r w:rsidRPr="008B732A">
        <w:rPr>
          <w:rFonts w:ascii="Arial" w:hAnsi="Arial" w:cs="Arial"/>
          <w:sz w:val="19"/>
          <w:szCs w:val="19"/>
        </w:rPr>
        <w:t xml:space="preserve"> </w:t>
      </w:r>
      <w:bookmarkStart w:id="11" w:name="_Hlk150849321"/>
      <w:r w:rsidR="008B732A" w:rsidRPr="008B732A">
        <w:rPr>
          <w:rFonts w:ascii="Arial" w:hAnsi="Arial" w:cs="Arial"/>
          <w:sz w:val="19"/>
          <w:szCs w:val="19"/>
        </w:rPr>
        <w:tab/>
      </w:r>
      <w:r w:rsidRPr="008B732A">
        <w:rPr>
          <w:rStyle w:val="Hyperlink1"/>
          <w:rFonts w:ascii="Arial" w:hAnsi="Arial" w:cs="Arial"/>
          <w:b/>
          <w:bCs/>
          <w:color w:val="auto"/>
          <w:sz w:val="19"/>
          <w:szCs w:val="19"/>
          <w:u w:val="none"/>
        </w:rPr>
        <w:t>Freedom</w:t>
      </w:r>
      <w:r w:rsidRPr="008B732A">
        <w:rPr>
          <w:rFonts w:ascii="Arial" w:hAnsi="Arial" w:cs="Arial"/>
          <w:b/>
          <w:bCs/>
          <w:sz w:val="19"/>
          <w:szCs w:val="19"/>
        </w:rPr>
        <w:t xml:space="preserve"> Stationery (Pty) Ltd v Hassam</w:t>
      </w:r>
      <w:r w:rsidRPr="008B732A">
        <w:rPr>
          <w:rFonts w:ascii="Arial" w:hAnsi="Arial" w:cs="Arial"/>
          <w:sz w:val="19"/>
          <w:szCs w:val="19"/>
        </w:rPr>
        <w:t xml:space="preserve"> </w:t>
      </w:r>
      <w:r w:rsidR="00FA5063">
        <w:rPr>
          <w:rFonts w:ascii="Arial" w:hAnsi="Arial" w:cs="Arial"/>
          <w:sz w:val="19"/>
          <w:szCs w:val="19"/>
        </w:rPr>
        <w:t>supra</w:t>
      </w:r>
      <w:r w:rsidRPr="008B732A">
        <w:rPr>
          <w:rFonts w:ascii="Arial" w:hAnsi="Arial" w:cs="Arial"/>
          <w:sz w:val="19"/>
          <w:szCs w:val="19"/>
        </w:rPr>
        <w:t xml:space="preserve"> at 465D</w:t>
      </w:r>
    </w:p>
    <w:bookmarkEnd w:id="11"/>
  </w:footnote>
  <w:footnote w:id="11">
    <w:p w14:paraId="0EFF2C45" w14:textId="2744A071" w:rsidR="003C60C0" w:rsidRPr="008B732A" w:rsidRDefault="003C60C0" w:rsidP="008B732A">
      <w:pPr>
        <w:pStyle w:val="FootnoteText"/>
        <w:spacing w:afterLines="60" w:after="144"/>
        <w:ind w:left="360" w:hanging="360"/>
        <w:rPr>
          <w:rFonts w:ascii="Arial" w:hAnsi="Arial" w:cs="Arial"/>
          <w:sz w:val="19"/>
          <w:szCs w:val="19"/>
        </w:rPr>
      </w:pPr>
      <w:r w:rsidRPr="008B732A">
        <w:rPr>
          <w:rStyle w:val="FootnoteReference"/>
          <w:rFonts w:ascii="Arial" w:hAnsi="Arial" w:cs="Arial"/>
          <w:sz w:val="19"/>
          <w:szCs w:val="19"/>
        </w:rPr>
        <w:footnoteRef/>
      </w:r>
      <w:r w:rsidRPr="008B732A">
        <w:rPr>
          <w:rFonts w:ascii="Arial" w:hAnsi="Arial" w:cs="Arial"/>
          <w:sz w:val="19"/>
          <w:szCs w:val="19"/>
        </w:rPr>
        <w:t xml:space="preserve"> </w:t>
      </w:r>
      <w:r w:rsidR="008B732A" w:rsidRPr="008B732A">
        <w:rPr>
          <w:rFonts w:ascii="Arial" w:hAnsi="Arial" w:cs="Arial"/>
          <w:sz w:val="19"/>
          <w:szCs w:val="19"/>
        </w:rPr>
        <w:tab/>
      </w:r>
      <w:r w:rsidRPr="008B732A">
        <w:rPr>
          <w:rFonts w:ascii="Arial" w:hAnsi="Arial" w:cs="Arial"/>
          <w:b/>
          <w:bCs/>
          <w:sz w:val="19"/>
          <w:szCs w:val="19"/>
        </w:rPr>
        <w:t>Childerley Estate Stores</w:t>
      </w:r>
      <w:r w:rsidRPr="008B732A">
        <w:rPr>
          <w:rFonts w:ascii="Arial" w:hAnsi="Arial" w:cs="Arial"/>
          <w:sz w:val="19"/>
          <w:szCs w:val="19"/>
        </w:rPr>
        <w:t xml:space="preserve"> supra at</w:t>
      </w:r>
      <w:r w:rsidR="008B732A" w:rsidRPr="008B732A">
        <w:rPr>
          <w:rFonts w:ascii="Arial" w:hAnsi="Arial" w:cs="Arial"/>
          <w:sz w:val="19"/>
          <w:szCs w:val="19"/>
        </w:rPr>
        <w:t xml:space="preserve"> </w:t>
      </w:r>
      <w:r w:rsidRPr="008B732A">
        <w:rPr>
          <w:rFonts w:ascii="Arial" w:hAnsi="Arial" w:cs="Arial"/>
          <w:sz w:val="19"/>
          <w:szCs w:val="19"/>
        </w:rPr>
        <w:t>166–9.</w:t>
      </w:r>
    </w:p>
  </w:footnote>
  <w:footnote w:id="12">
    <w:p w14:paraId="4589F170" w14:textId="0ECBE093" w:rsidR="008B732A" w:rsidRPr="00E1577D" w:rsidRDefault="008B732A" w:rsidP="008B732A">
      <w:pPr>
        <w:pStyle w:val="FootnoteText"/>
        <w:spacing w:afterLines="60" w:after="144"/>
        <w:ind w:left="360" w:hanging="360"/>
        <w:rPr>
          <w:rFonts w:ascii="Arial" w:hAnsi="Arial" w:cs="Arial"/>
          <w:sz w:val="19"/>
          <w:szCs w:val="19"/>
        </w:rPr>
      </w:pPr>
      <w:r w:rsidRPr="00E1577D">
        <w:rPr>
          <w:rStyle w:val="FootnoteReference"/>
          <w:rFonts w:ascii="Arial" w:hAnsi="Arial" w:cs="Arial"/>
          <w:sz w:val="19"/>
          <w:szCs w:val="19"/>
        </w:rPr>
        <w:footnoteRef/>
      </w:r>
      <w:r w:rsidRPr="00E1577D">
        <w:rPr>
          <w:rFonts w:ascii="Arial" w:hAnsi="Arial" w:cs="Arial"/>
          <w:sz w:val="19"/>
          <w:szCs w:val="19"/>
        </w:rPr>
        <w:t xml:space="preserve"> </w:t>
      </w:r>
      <w:r w:rsidRPr="00E1577D">
        <w:rPr>
          <w:rFonts w:ascii="Arial" w:hAnsi="Arial" w:cs="Arial"/>
          <w:sz w:val="19"/>
          <w:szCs w:val="19"/>
        </w:rPr>
        <w:tab/>
      </w:r>
      <w:r w:rsidRPr="00E1577D">
        <w:rPr>
          <w:rStyle w:val="Hyperlink1"/>
          <w:rFonts w:ascii="Arial" w:hAnsi="Arial" w:cs="Arial"/>
          <w:b/>
          <w:bCs/>
          <w:color w:val="auto"/>
          <w:sz w:val="19"/>
          <w:szCs w:val="19"/>
          <w:u w:val="none"/>
        </w:rPr>
        <w:t>Port</w:t>
      </w:r>
      <w:r w:rsidRPr="00E1577D">
        <w:rPr>
          <w:rFonts w:ascii="Arial" w:hAnsi="Arial" w:cs="Arial"/>
          <w:b/>
          <w:bCs/>
          <w:sz w:val="19"/>
          <w:szCs w:val="19"/>
        </w:rPr>
        <w:t xml:space="preserve"> Edward Town Board v Kay</w:t>
      </w:r>
      <w:r w:rsidRPr="00E1577D">
        <w:rPr>
          <w:rFonts w:ascii="Arial" w:hAnsi="Arial" w:cs="Arial"/>
          <w:sz w:val="19"/>
          <w:szCs w:val="19"/>
        </w:rPr>
        <w:t xml:space="preserve"> 1994 (1) SA 690 (D) and </w:t>
      </w:r>
      <w:r w:rsidRPr="00E1577D">
        <w:rPr>
          <w:rFonts w:ascii="Arial" w:hAnsi="Arial" w:cs="Arial"/>
          <w:b/>
          <w:bCs/>
          <w:sz w:val="19"/>
          <w:szCs w:val="19"/>
        </w:rPr>
        <w:t>CTP Ltd v Independent Newspaper Holdings Ltd</w:t>
      </w:r>
      <w:r w:rsidRPr="00E1577D">
        <w:rPr>
          <w:rFonts w:ascii="Arial" w:hAnsi="Arial" w:cs="Arial"/>
          <w:sz w:val="19"/>
          <w:szCs w:val="19"/>
        </w:rPr>
        <w:t xml:space="preserve"> 1999 (1) SA 452 (W) at 462</w:t>
      </w:r>
    </w:p>
  </w:footnote>
  <w:footnote w:id="13">
    <w:p w14:paraId="465E567A" w14:textId="2CDEFB7B" w:rsidR="008B732A" w:rsidRPr="00E1577D" w:rsidRDefault="008B732A" w:rsidP="008B732A">
      <w:pPr>
        <w:pStyle w:val="FootnoteText"/>
        <w:spacing w:afterLines="60" w:after="144"/>
        <w:ind w:left="360" w:hanging="360"/>
        <w:rPr>
          <w:rFonts w:ascii="Arial" w:hAnsi="Arial" w:cs="Arial"/>
          <w:sz w:val="19"/>
          <w:szCs w:val="19"/>
        </w:rPr>
      </w:pPr>
      <w:r w:rsidRPr="00E1577D">
        <w:rPr>
          <w:rStyle w:val="FootnoteReference"/>
          <w:rFonts w:ascii="Arial" w:hAnsi="Arial" w:cs="Arial"/>
          <w:sz w:val="19"/>
          <w:szCs w:val="19"/>
        </w:rPr>
        <w:footnoteRef/>
      </w:r>
      <w:r w:rsidRPr="00E1577D">
        <w:rPr>
          <w:rFonts w:ascii="Arial" w:hAnsi="Arial" w:cs="Arial"/>
          <w:sz w:val="19"/>
          <w:szCs w:val="19"/>
        </w:rPr>
        <w:t xml:space="preserve"> </w:t>
      </w:r>
      <w:r w:rsidRPr="00E1577D">
        <w:rPr>
          <w:rFonts w:ascii="Arial" w:hAnsi="Arial" w:cs="Arial"/>
          <w:sz w:val="19"/>
          <w:szCs w:val="19"/>
        </w:rPr>
        <w:tab/>
      </w:r>
      <w:r w:rsidRPr="00E1577D">
        <w:rPr>
          <w:rFonts w:ascii="Arial" w:hAnsi="Arial" w:cs="Arial"/>
          <w:b/>
          <w:bCs/>
          <w:sz w:val="19"/>
          <w:szCs w:val="19"/>
        </w:rPr>
        <w:t>Schierhout v Union Government</w:t>
      </w:r>
      <w:r w:rsidRPr="00E1577D">
        <w:rPr>
          <w:rFonts w:ascii="Arial" w:hAnsi="Arial" w:cs="Arial"/>
          <w:sz w:val="19"/>
          <w:szCs w:val="19"/>
        </w:rPr>
        <w:t xml:space="preserve"> 1927 AD 94 and </w:t>
      </w:r>
      <w:r w:rsidRPr="00E1577D">
        <w:rPr>
          <w:rFonts w:ascii="Arial" w:hAnsi="Arial" w:cs="Arial"/>
          <w:b/>
          <w:bCs/>
          <w:sz w:val="19"/>
          <w:szCs w:val="19"/>
        </w:rPr>
        <w:t>Clark v Van Rensburg</w:t>
      </w:r>
      <w:r w:rsidRPr="00E1577D">
        <w:rPr>
          <w:rFonts w:ascii="Arial" w:hAnsi="Arial" w:cs="Arial"/>
          <w:sz w:val="19"/>
          <w:szCs w:val="19"/>
        </w:rPr>
        <w:t xml:space="preserve"> 1964 (4) SA 153 (O)</w:t>
      </w:r>
    </w:p>
  </w:footnote>
  <w:footnote w:id="14">
    <w:p w14:paraId="264FEF65" w14:textId="4C638517" w:rsidR="007D7626" w:rsidRPr="007D7626" w:rsidRDefault="007D7626" w:rsidP="007D7626">
      <w:pPr>
        <w:pStyle w:val="FootnoteText"/>
        <w:spacing w:afterLines="60" w:after="144"/>
        <w:ind w:left="360" w:hanging="360"/>
        <w:rPr>
          <w:rFonts w:ascii="Arial" w:hAnsi="Arial" w:cs="Arial"/>
          <w:sz w:val="19"/>
          <w:szCs w:val="19"/>
        </w:rPr>
      </w:pPr>
      <w:r w:rsidRPr="007D7626">
        <w:rPr>
          <w:rStyle w:val="FootnoteReference"/>
          <w:rFonts w:ascii="Arial" w:hAnsi="Arial" w:cs="Arial"/>
          <w:sz w:val="19"/>
          <w:szCs w:val="19"/>
        </w:rPr>
        <w:footnoteRef/>
      </w:r>
      <w:r w:rsidRPr="007D7626">
        <w:rPr>
          <w:rFonts w:ascii="Arial" w:hAnsi="Arial" w:cs="Arial"/>
          <w:sz w:val="19"/>
          <w:szCs w:val="19"/>
        </w:rPr>
        <w:t xml:space="preserve"> </w:t>
      </w:r>
      <w:r>
        <w:rPr>
          <w:rFonts w:ascii="Arial" w:hAnsi="Arial" w:cs="Arial"/>
          <w:sz w:val="19"/>
          <w:szCs w:val="19"/>
        </w:rPr>
        <w:tab/>
      </w:r>
      <w:r w:rsidRPr="007D7626">
        <w:rPr>
          <w:rFonts w:ascii="Arial" w:hAnsi="Arial" w:cs="Arial"/>
          <w:sz w:val="19"/>
          <w:szCs w:val="19"/>
        </w:rPr>
        <w:t>(118/2019) [2020] ZASCA 60 (5 June 2020)</w:t>
      </w:r>
    </w:p>
  </w:footnote>
  <w:footnote w:id="15">
    <w:p w14:paraId="68C37E2A" w14:textId="0CB0CD04" w:rsidR="00E1577D" w:rsidRDefault="00E1577D" w:rsidP="00E1577D">
      <w:pPr>
        <w:pStyle w:val="FootnoteText"/>
        <w:spacing w:afterLines="60" w:after="144"/>
        <w:ind w:left="360" w:hanging="360"/>
      </w:pPr>
      <w:r w:rsidRPr="00E1577D">
        <w:rPr>
          <w:rStyle w:val="FootnoteReference"/>
          <w:rFonts w:ascii="Arial" w:hAnsi="Arial" w:cs="Arial"/>
          <w:sz w:val="19"/>
          <w:szCs w:val="19"/>
        </w:rPr>
        <w:footnoteRef/>
      </w:r>
      <w:r w:rsidRPr="00E1577D">
        <w:rPr>
          <w:rFonts w:ascii="Arial" w:hAnsi="Arial" w:cs="Arial"/>
          <w:sz w:val="19"/>
          <w:szCs w:val="19"/>
        </w:rPr>
        <w:t xml:space="preserve"> </w:t>
      </w:r>
      <w:r w:rsidRPr="00E1577D">
        <w:rPr>
          <w:rFonts w:ascii="Arial" w:hAnsi="Arial" w:cs="Arial"/>
          <w:sz w:val="19"/>
          <w:szCs w:val="19"/>
        </w:rPr>
        <w:tab/>
      </w:r>
      <w:bookmarkStart w:id="16" w:name="_Hlk150935376"/>
      <w:r w:rsidR="007D7626" w:rsidRPr="007D7626">
        <w:rPr>
          <w:rFonts w:ascii="Arial" w:hAnsi="Arial" w:cs="Arial"/>
          <w:b/>
          <w:bCs/>
          <w:sz w:val="19"/>
          <w:szCs w:val="19"/>
        </w:rPr>
        <w:t>Fraai Uitzicht 1798 Farm (Pty) Ltd</w:t>
      </w:r>
      <w:r w:rsidR="007D7626">
        <w:rPr>
          <w:rFonts w:ascii="Arial" w:hAnsi="Arial" w:cs="Arial"/>
          <w:sz w:val="19"/>
          <w:szCs w:val="19"/>
        </w:rPr>
        <w:t xml:space="preserve"> supra </w:t>
      </w:r>
      <w:bookmarkEnd w:id="16"/>
      <w:r w:rsidRPr="00E1577D">
        <w:rPr>
          <w:rFonts w:ascii="Arial" w:hAnsi="Arial" w:cs="Arial"/>
          <w:sz w:val="19"/>
          <w:szCs w:val="19"/>
        </w:rPr>
        <w:t>at para [20]</w:t>
      </w:r>
    </w:p>
  </w:footnote>
  <w:footnote w:id="16">
    <w:p w14:paraId="73658618" w14:textId="1ABED729" w:rsidR="00815239" w:rsidRDefault="00815239" w:rsidP="00815239">
      <w:pPr>
        <w:pStyle w:val="FootnoteText"/>
        <w:spacing w:afterLines="60" w:after="144"/>
        <w:ind w:left="360" w:hanging="360"/>
      </w:pPr>
      <w:r>
        <w:rPr>
          <w:rStyle w:val="FootnoteReference"/>
        </w:rPr>
        <w:footnoteRef/>
      </w:r>
      <w:r>
        <w:t xml:space="preserve"> </w:t>
      </w:r>
      <w:r>
        <w:tab/>
      </w:r>
      <w:r w:rsidRPr="00815239">
        <w:rPr>
          <w:rFonts w:ascii="Arial" w:hAnsi="Arial" w:cs="Arial"/>
          <w:sz w:val="19"/>
          <w:szCs w:val="19"/>
        </w:rPr>
        <w:t>In support of his forgetfulness, the applicant attaches a letter from Dr. Korb. However, the letter is not accompanied by a confirmatory affidavit and accordingly constitutes inadmissible hearsay</w:t>
      </w:r>
      <w:r>
        <w:rPr>
          <w:rFonts w:ascii="Arial" w:hAnsi="Arial" w:cs="Arial"/>
          <w:sz w:val="19"/>
          <w:szCs w:val="19"/>
        </w:rPr>
        <w:t xml:space="preserve"> evidence</w:t>
      </w:r>
      <w:r w:rsidRPr="00815239">
        <w:rPr>
          <w:rFonts w:ascii="Arial" w:hAnsi="Arial" w:cs="Arial"/>
          <w:sz w:val="19"/>
          <w:szCs w:val="19"/>
        </w:rPr>
        <w:t xml:space="preserve">. Moroever, the applicant did not proffer or advance any case why the letter ought to be admitted in terms of </w:t>
      </w:r>
      <w:r>
        <w:rPr>
          <w:rFonts w:ascii="Arial" w:hAnsi="Arial" w:cs="Arial"/>
          <w:sz w:val="19"/>
          <w:szCs w:val="19"/>
        </w:rPr>
        <w:t>t</w:t>
      </w:r>
      <w:r w:rsidRPr="00815239">
        <w:rPr>
          <w:rFonts w:ascii="Arial" w:hAnsi="Arial" w:cs="Arial"/>
          <w:sz w:val="19"/>
          <w:szCs w:val="19"/>
        </w:rPr>
        <w:t>he Law of Evidence Amendment Act 45 of 1988.</w:t>
      </w:r>
    </w:p>
  </w:footnote>
  <w:footnote w:id="17">
    <w:p w14:paraId="5BD38360" w14:textId="77777777" w:rsidR="00C84F01" w:rsidRPr="00C84F01" w:rsidRDefault="00C84F01" w:rsidP="00C84F01">
      <w:pPr>
        <w:pStyle w:val="FootnoteText"/>
        <w:spacing w:afterLines="60" w:after="144"/>
        <w:ind w:left="360" w:hanging="360"/>
        <w:rPr>
          <w:rFonts w:ascii="Arial" w:hAnsi="Arial" w:cs="Arial"/>
          <w:sz w:val="19"/>
          <w:szCs w:val="19"/>
        </w:rPr>
      </w:pPr>
      <w:r w:rsidRPr="00C84F01">
        <w:rPr>
          <w:rStyle w:val="FootnoteReference"/>
          <w:rFonts w:ascii="Arial" w:hAnsi="Arial" w:cs="Arial"/>
          <w:sz w:val="19"/>
          <w:szCs w:val="19"/>
        </w:rPr>
        <w:footnoteRef/>
      </w:r>
      <w:r w:rsidRPr="00C84F01">
        <w:rPr>
          <w:rFonts w:ascii="Arial" w:hAnsi="Arial" w:cs="Arial"/>
          <w:sz w:val="19"/>
          <w:szCs w:val="19"/>
        </w:rPr>
        <w:t xml:space="preserve"> </w:t>
      </w:r>
      <w:r>
        <w:rPr>
          <w:rFonts w:ascii="Arial" w:hAnsi="Arial" w:cs="Arial"/>
          <w:sz w:val="19"/>
          <w:szCs w:val="19"/>
        </w:rPr>
        <w:tab/>
      </w:r>
      <w:r w:rsidRPr="00C84F01">
        <w:rPr>
          <w:rFonts w:ascii="Arial" w:hAnsi="Arial" w:cs="Arial"/>
          <w:b/>
          <w:bCs/>
          <w:sz w:val="19"/>
          <w:szCs w:val="19"/>
        </w:rPr>
        <w:t>Colyn</w:t>
      </w:r>
      <w:r w:rsidRPr="00C84F01">
        <w:rPr>
          <w:rFonts w:ascii="Arial" w:hAnsi="Arial" w:cs="Arial"/>
          <w:sz w:val="19"/>
          <w:szCs w:val="19"/>
        </w:rPr>
        <w:t xml:space="preserve"> </w:t>
      </w:r>
      <w:r w:rsidRPr="00C84F01">
        <w:rPr>
          <w:rFonts w:ascii="Arial" w:hAnsi="Arial" w:cs="Arial"/>
          <w:b/>
          <w:bCs/>
          <w:sz w:val="19"/>
          <w:szCs w:val="19"/>
        </w:rPr>
        <w:t>v Tiger Food Industries Ltd t/a Meadow Feed Mills (Cape)</w:t>
      </w:r>
      <w:r w:rsidRPr="00C84F01">
        <w:rPr>
          <w:rFonts w:ascii="Arial" w:hAnsi="Arial" w:cs="Arial"/>
          <w:sz w:val="19"/>
          <w:szCs w:val="19"/>
        </w:rPr>
        <w:t xml:space="preserve"> supra at para [8]</w:t>
      </w:r>
    </w:p>
  </w:footnote>
  <w:footnote w:id="18">
    <w:p w14:paraId="24863EB7" w14:textId="72BB19D9" w:rsidR="002E2389" w:rsidRPr="009824E7" w:rsidRDefault="002E2389" w:rsidP="009824E7">
      <w:pPr>
        <w:pStyle w:val="FootnoteText"/>
        <w:spacing w:afterLines="60" w:after="144"/>
        <w:ind w:left="360" w:hanging="360"/>
        <w:rPr>
          <w:rFonts w:ascii="Arial" w:hAnsi="Arial" w:cs="Arial"/>
          <w:sz w:val="19"/>
          <w:szCs w:val="19"/>
        </w:rPr>
      </w:pPr>
      <w:r w:rsidRPr="00C84F01">
        <w:rPr>
          <w:rStyle w:val="FootnoteReference"/>
          <w:rFonts w:ascii="Arial" w:hAnsi="Arial" w:cs="Arial"/>
          <w:sz w:val="19"/>
          <w:szCs w:val="19"/>
        </w:rPr>
        <w:footnoteRef/>
      </w:r>
      <w:r w:rsidRPr="00C84F01">
        <w:rPr>
          <w:rFonts w:ascii="Arial" w:hAnsi="Arial" w:cs="Arial"/>
          <w:sz w:val="19"/>
          <w:szCs w:val="19"/>
        </w:rPr>
        <w:t xml:space="preserve"> </w:t>
      </w:r>
      <w:r w:rsidR="009824E7" w:rsidRPr="00C84F01">
        <w:rPr>
          <w:rFonts w:ascii="Arial" w:hAnsi="Arial" w:cs="Arial"/>
          <w:sz w:val="19"/>
          <w:szCs w:val="19"/>
        </w:rPr>
        <w:tab/>
      </w:r>
      <w:r w:rsidRPr="00C84F01">
        <w:rPr>
          <w:rFonts w:ascii="Arial" w:hAnsi="Arial" w:cs="Arial"/>
          <w:b/>
          <w:bCs/>
          <w:sz w:val="19"/>
          <w:szCs w:val="19"/>
        </w:rPr>
        <w:t>Tshivhase Royal Council v Tshivhase</w:t>
      </w:r>
      <w:r w:rsidRPr="00C84F01">
        <w:rPr>
          <w:rFonts w:ascii="Arial" w:hAnsi="Arial" w:cs="Arial"/>
          <w:sz w:val="19"/>
          <w:szCs w:val="19"/>
        </w:rPr>
        <w:t xml:space="preserve"> supra at 863E</w:t>
      </w:r>
    </w:p>
  </w:footnote>
  <w:footnote w:id="19">
    <w:p w14:paraId="0B31CEA4" w14:textId="112ACD44" w:rsidR="002A7CFF" w:rsidRPr="00A11FAD" w:rsidRDefault="002A7CFF" w:rsidP="00A11FAD">
      <w:pPr>
        <w:pStyle w:val="FootnoteText"/>
        <w:spacing w:afterLines="60" w:after="144"/>
        <w:ind w:left="360" w:hanging="360"/>
        <w:rPr>
          <w:rFonts w:ascii="Arial" w:hAnsi="Arial" w:cs="Arial"/>
          <w:sz w:val="19"/>
          <w:szCs w:val="19"/>
        </w:rPr>
      </w:pPr>
      <w:r w:rsidRPr="00A11FAD">
        <w:rPr>
          <w:rStyle w:val="FootnoteReference"/>
          <w:rFonts w:ascii="Arial" w:hAnsi="Arial" w:cs="Arial"/>
          <w:sz w:val="19"/>
          <w:szCs w:val="19"/>
        </w:rPr>
        <w:footnoteRef/>
      </w:r>
      <w:r w:rsidRPr="00A11FAD">
        <w:rPr>
          <w:rFonts w:ascii="Arial" w:hAnsi="Arial" w:cs="Arial"/>
          <w:sz w:val="19"/>
          <w:szCs w:val="19"/>
        </w:rPr>
        <w:t xml:space="preserve"> </w:t>
      </w:r>
      <w:r w:rsidR="00A11FAD">
        <w:rPr>
          <w:rFonts w:ascii="Arial" w:hAnsi="Arial" w:cs="Arial"/>
          <w:sz w:val="19"/>
          <w:szCs w:val="19"/>
        </w:rPr>
        <w:tab/>
      </w:r>
      <w:r w:rsidRPr="00A11FAD">
        <w:rPr>
          <w:rFonts w:ascii="Arial" w:hAnsi="Arial" w:cs="Arial"/>
          <w:b/>
          <w:bCs/>
          <w:sz w:val="19"/>
          <w:szCs w:val="19"/>
        </w:rPr>
        <w:t>Minister of Home Affairs v Somali Association of South Africa</w:t>
      </w:r>
      <w:r w:rsidRPr="00A11FAD">
        <w:rPr>
          <w:rFonts w:ascii="Arial" w:hAnsi="Arial" w:cs="Arial"/>
          <w:sz w:val="19"/>
          <w:szCs w:val="19"/>
        </w:rPr>
        <w:t xml:space="preserve"> 2015 (3) SA 545 (SCA) at 570F–H</w:t>
      </w:r>
    </w:p>
  </w:footnote>
  <w:footnote w:id="20">
    <w:p w14:paraId="64382C10" w14:textId="2D356D84" w:rsidR="002A7CFF" w:rsidRPr="00A11FAD" w:rsidRDefault="002A7CFF" w:rsidP="00A11FAD">
      <w:pPr>
        <w:pStyle w:val="FootnoteText"/>
        <w:spacing w:afterLines="60" w:after="144"/>
        <w:ind w:left="360" w:hanging="360"/>
        <w:rPr>
          <w:rFonts w:ascii="Arial" w:hAnsi="Arial" w:cs="Arial"/>
          <w:sz w:val="19"/>
          <w:szCs w:val="19"/>
        </w:rPr>
      </w:pPr>
      <w:r w:rsidRPr="00A11FAD">
        <w:rPr>
          <w:rStyle w:val="FootnoteReference"/>
          <w:rFonts w:ascii="Arial" w:hAnsi="Arial" w:cs="Arial"/>
          <w:sz w:val="19"/>
          <w:szCs w:val="19"/>
        </w:rPr>
        <w:footnoteRef/>
      </w:r>
      <w:r w:rsidRPr="00A11FAD">
        <w:rPr>
          <w:rFonts w:ascii="Arial" w:hAnsi="Arial" w:cs="Arial"/>
          <w:sz w:val="19"/>
          <w:szCs w:val="19"/>
        </w:rPr>
        <w:t xml:space="preserve"> </w:t>
      </w:r>
      <w:r w:rsidR="00A11FAD">
        <w:rPr>
          <w:rFonts w:ascii="Arial" w:hAnsi="Arial" w:cs="Arial"/>
          <w:sz w:val="19"/>
          <w:szCs w:val="19"/>
        </w:rPr>
        <w:tab/>
      </w:r>
      <w:r w:rsidRPr="00A11FAD">
        <w:rPr>
          <w:rFonts w:ascii="Arial" w:hAnsi="Arial" w:cs="Arial"/>
          <w:sz w:val="19"/>
          <w:szCs w:val="19"/>
        </w:rPr>
        <w:t>Supra at 570F-G</w:t>
      </w:r>
      <w:r w:rsidR="00C91D2B">
        <w:rPr>
          <w:rFonts w:ascii="Arial" w:hAnsi="Arial" w:cs="Arial"/>
          <w:sz w:val="19"/>
          <w:szCs w:val="19"/>
        </w:rPr>
        <w:t xml:space="preserve"> and </w:t>
      </w:r>
      <w:r w:rsidR="00C91D2B" w:rsidRPr="00C91D2B">
        <w:rPr>
          <w:rFonts w:ascii="Arial" w:hAnsi="Arial" w:cs="Arial"/>
          <w:b/>
          <w:bCs/>
          <w:sz w:val="19"/>
          <w:szCs w:val="19"/>
        </w:rPr>
        <w:t>Bezuidenhout v Patensie Sitrus Beherend Bpk</w:t>
      </w:r>
      <w:r w:rsidR="00C91D2B" w:rsidRPr="00C91D2B">
        <w:rPr>
          <w:rFonts w:ascii="Arial" w:hAnsi="Arial" w:cs="Arial"/>
          <w:sz w:val="19"/>
          <w:szCs w:val="19"/>
        </w:rPr>
        <w:t xml:space="preserve"> 2001 (2) SA 224 (E) at 229B–C</w:t>
      </w:r>
    </w:p>
  </w:footnote>
  <w:footnote w:id="21">
    <w:p w14:paraId="47970DE8" w14:textId="750570E8" w:rsidR="002A7CFF" w:rsidRPr="00FA51A2" w:rsidRDefault="002A7CFF" w:rsidP="00A11FAD">
      <w:pPr>
        <w:pStyle w:val="FootnoteText"/>
        <w:spacing w:afterLines="60" w:after="144"/>
        <w:ind w:left="360" w:hanging="360"/>
        <w:rPr>
          <w:rFonts w:ascii="Arial" w:hAnsi="Arial" w:cs="Arial"/>
          <w:sz w:val="19"/>
          <w:szCs w:val="19"/>
        </w:rPr>
      </w:pPr>
      <w:r w:rsidRPr="00FA51A2">
        <w:rPr>
          <w:rStyle w:val="FootnoteReference"/>
          <w:rFonts w:ascii="Arial" w:hAnsi="Arial" w:cs="Arial"/>
          <w:sz w:val="19"/>
          <w:szCs w:val="19"/>
        </w:rPr>
        <w:footnoteRef/>
      </w:r>
      <w:r w:rsidRPr="00FA51A2">
        <w:rPr>
          <w:rFonts w:ascii="Arial" w:hAnsi="Arial" w:cs="Arial"/>
          <w:sz w:val="19"/>
          <w:szCs w:val="19"/>
        </w:rPr>
        <w:t xml:space="preserve"> </w:t>
      </w:r>
      <w:r w:rsidR="00A11FAD" w:rsidRPr="00FA51A2">
        <w:rPr>
          <w:rFonts w:ascii="Arial" w:hAnsi="Arial" w:cs="Arial"/>
          <w:sz w:val="19"/>
          <w:szCs w:val="19"/>
        </w:rPr>
        <w:tab/>
      </w:r>
      <w:r w:rsidRPr="00FA51A2">
        <w:rPr>
          <w:rFonts w:ascii="Arial" w:hAnsi="Arial" w:cs="Arial"/>
          <w:b/>
          <w:bCs/>
          <w:sz w:val="19"/>
          <w:szCs w:val="19"/>
        </w:rPr>
        <w:t>Coetzer v Wesbank t/a FirstRand Bank Ltd</w:t>
      </w:r>
      <w:r w:rsidRPr="00FA51A2">
        <w:rPr>
          <w:rFonts w:ascii="Arial" w:hAnsi="Arial" w:cs="Arial"/>
          <w:sz w:val="19"/>
          <w:szCs w:val="19"/>
        </w:rPr>
        <w:t xml:space="preserve"> 2022 (2) SA 178 (GJ) at para [26]</w:t>
      </w:r>
      <w:r w:rsidR="00A11FAD" w:rsidRPr="00FA51A2">
        <w:rPr>
          <w:rFonts w:ascii="Arial" w:hAnsi="Arial" w:cs="Arial"/>
          <w:sz w:val="19"/>
          <w:szCs w:val="19"/>
        </w:rPr>
        <w:t xml:space="preserve"> and </w:t>
      </w:r>
      <w:r w:rsidRPr="00FA51A2">
        <w:rPr>
          <w:rFonts w:ascii="Arial" w:hAnsi="Arial" w:cs="Arial"/>
          <w:sz w:val="19"/>
          <w:szCs w:val="19"/>
        </w:rPr>
        <w:t>[27]</w:t>
      </w:r>
    </w:p>
  </w:footnote>
  <w:footnote w:id="22">
    <w:p w14:paraId="6045796A" w14:textId="27C5E54A" w:rsidR="00FA51A2" w:rsidRPr="00FA51A2" w:rsidRDefault="00FA51A2" w:rsidP="00FA51A2">
      <w:pPr>
        <w:pStyle w:val="FootnoteText"/>
        <w:spacing w:afterLines="60" w:after="144"/>
        <w:ind w:left="360" w:hanging="360"/>
        <w:rPr>
          <w:rFonts w:ascii="Arial" w:hAnsi="Arial" w:cs="Arial"/>
          <w:sz w:val="19"/>
          <w:szCs w:val="19"/>
        </w:rPr>
      </w:pPr>
      <w:r w:rsidRPr="00FA51A2">
        <w:rPr>
          <w:rStyle w:val="FootnoteReference"/>
          <w:rFonts w:ascii="Arial" w:hAnsi="Arial" w:cs="Arial"/>
          <w:sz w:val="19"/>
          <w:szCs w:val="19"/>
        </w:rPr>
        <w:footnoteRef/>
      </w:r>
      <w:r w:rsidRPr="00FA51A2">
        <w:rPr>
          <w:rFonts w:ascii="Arial" w:hAnsi="Arial" w:cs="Arial"/>
          <w:sz w:val="19"/>
          <w:szCs w:val="19"/>
        </w:rPr>
        <w:t xml:space="preserve"> </w:t>
      </w:r>
      <w:r>
        <w:rPr>
          <w:rFonts w:ascii="Arial" w:hAnsi="Arial" w:cs="Arial"/>
          <w:sz w:val="19"/>
          <w:szCs w:val="19"/>
        </w:rPr>
        <w:tab/>
      </w:r>
      <w:r w:rsidRPr="00FA51A2">
        <w:rPr>
          <w:rFonts w:ascii="Arial" w:hAnsi="Arial" w:cs="Arial"/>
          <w:sz w:val="19"/>
          <w:szCs w:val="19"/>
        </w:rPr>
        <w:t xml:space="preserve">2002 (4) SA 1 (SCA) </w:t>
      </w:r>
    </w:p>
  </w:footnote>
  <w:footnote w:id="23">
    <w:p w14:paraId="62F03D45" w14:textId="458FAAD9" w:rsidR="00FA51A2" w:rsidRDefault="00FA51A2" w:rsidP="00FA51A2">
      <w:pPr>
        <w:pStyle w:val="FootnoteText"/>
        <w:spacing w:afterLines="60" w:after="144"/>
        <w:ind w:left="360" w:hanging="360"/>
      </w:pPr>
      <w:r w:rsidRPr="00FA51A2">
        <w:rPr>
          <w:rStyle w:val="FootnoteReference"/>
          <w:rFonts w:ascii="Arial" w:hAnsi="Arial" w:cs="Arial"/>
          <w:sz w:val="19"/>
          <w:szCs w:val="19"/>
        </w:rPr>
        <w:footnoteRef/>
      </w:r>
      <w:r w:rsidRPr="00FA51A2">
        <w:rPr>
          <w:rFonts w:ascii="Arial" w:hAnsi="Arial" w:cs="Arial"/>
          <w:sz w:val="19"/>
          <w:szCs w:val="19"/>
        </w:rPr>
        <w:t xml:space="preserve"> </w:t>
      </w:r>
      <w:r>
        <w:rPr>
          <w:rFonts w:ascii="Arial" w:hAnsi="Arial" w:cs="Arial"/>
          <w:sz w:val="19"/>
          <w:szCs w:val="19"/>
        </w:rPr>
        <w:tab/>
      </w:r>
      <w:r w:rsidRPr="00FA51A2">
        <w:rPr>
          <w:rFonts w:ascii="Arial" w:hAnsi="Arial" w:cs="Arial"/>
          <w:sz w:val="19"/>
          <w:szCs w:val="19"/>
        </w:rPr>
        <w:t xml:space="preserve">2006 (4) SA 1 (SCA) and the Constitutional Court’s judgment </w:t>
      </w:r>
      <w:r>
        <w:rPr>
          <w:rFonts w:ascii="Arial" w:hAnsi="Arial" w:cs="Arial"/>
          <w:sz w:val="19"/>
          <w:szCs w:val="19"/>
        </w:rPr>
        <w:t xml:space="preserve">in </w:t>
      </w:r>
      <w:r w:rsidRPr="00FA51A2">
        <w:rPr>
          <w:rFonts w:ascii="Arial" w:hAnsi="Arial" w:cs="Arial"/>
          <w:b/>
          <w:bCs/>
          <w:sz w:val="19"/>
          <w:szCs w:val="19"/>
        </w:rPr>
        <w:t>Barkhuizen v Napier</w:t>
      </w:r>
      <w:r w:rsidRPr="00FA51A2">
        <w:rPr>
          <w:rFonts w:ascii="Arial" w:hAnsi="Arial" w:cs="Arial"/>
          <w:sz w:val="19"/>
          <w:szCs w:val="19"/>
        </w:rPr>
        <w:t xml:space="preserve"> 2007 (5) SA 323 (CC)</w:t>
      </w:r>
    </w:p>
  </w:footnote>
  <w:footnote w:id="24">
    <w:p w14:paraId="34E9C071" w14:textId="023D088F" w:rsidR="00BD121D" w:rsidRPr="00A11FAD" w:rsidRDefault="00BD121D" w:rsidP="00A11FAD">
      <w:pPr>
        <w:pStyle w:val="FootnoteText"/>
        <w:spacing w:afterLines="60" w:after="144"/>
        <w:ind w:left="360" w:hanging="360"/>
        <w:rPr>
          <w:rFonts w:ascii="Arial" w:hAnsi="Arial" w:cs="Arial"/>
          <w:sz w:val="19"/>
          <w:szCs w:val="19"/>
        </w:rPr>
      </w:pPr>
      <w:r w:rsidRPr="00A11FAD">
        <w:rPr>
          <w:rStyle w:val="FootnoteReference"/>
          <w:rFonts w:ascii="Arial" w:hAnsi="Arial" w:cs="Arial"/>
          <w:sz w:val="19"/>
          <w:szCs w:val="19"/>
        </w:rPr>
        <w:footnoteRef/>
      </w:r>
      <w:r w:rsidRPr="00A11FAD">
        <w:rPr>
          <w:rFonts w:ascii="Arial" w:hAnsi="Arial" w:cs="Arial"/>
          <w:sz w:val="19"/>
          <w:szCs w:val="19"/>
        </w:rPr>
        <w:t xml:space="preserve"> </w:t>
      </w:r>
      <w:r w:rsidR="00A11FAD">
        <w:rPr>
          <w:rFonts w:ascii="Arial" w:hAnsi="Arial" w:cs="Arial"/>
          <w:sz w:val="19"/>
          <w:szCs w:val="19"/>
        </w:rPr>
        <w:tab/>
      </w:r>
      <w:r w:rsidRPr="00A11FAD">
        <w:rPr>
          <w:rFonts w:ascii="Arial" w:hAnsi="Arial" w:cs="Arial"/>
          <w:b/>
          <w:bCs/>
          <w:sz w:val="19"/>
          <w:szCs w:val="19"/>
        </w:rPr>
        <w:t>Papageorgio v Wainbergas</w:t>
      </w:r>
      <w:r w:rsidRPr="00A11FAD">
        <w:rPr>
          <w:rFonts w:ascii="Arial" w:hAnsi="Arial" w:cs="Arial"/>
          <w:sz w:val="19"/>
          <w:szCs w:val="19"/>
        </w:rPr>
        <w:t xml:space="preserve"> 2014 JDR 1848 (GJ) at para [24]</w:t>
      </w:r>
    </w:p>
  </w:footnote>
  <w:footnote w:id="25">
    <w:p w14:paraId="74CA4667" w14:textId="7A7DF5B7" w:rsidR="00BD121D" w:rsidRPr="00A11FAD" w:rsidRDefault="00BD121D" w:rsidP="00A11FAD">
      <w:pPr>
        <w:pStyle w:val="FootnoteText"/>
        <w:spacing w:afterLines="60" w:after="144"/>
        <w:ind w:left="360" w:hanging="360"/>
        <w:rPr>
          <w:rFonts w:ascii="Arial" w:hAnsi="Arial" w:cs="Arial"/>
          <w:sz w:val="19"/>
          <w:szCs w:val="19"/>
        </w:rPr>
      </w:pPr>
      <w:r w:rsidRPr="00A11FAD">
        <w:rPr>
          <w:rStyle w:val="FootnoteReference"/>
          <w:rFonts w:ascii="Arial" w:hAnsi="Arial" w:cs="Arial"/>
          <w:sz w:val="19"/>
          <w:szCs w:val="19"/>
        </w:rPr>
        <w:footnoteRef/>
      </w:r>
      <w:r w:rsidRPr="00A11FAD">
        <w:rPr>
          <w:rFonts w:ascii="Arial" w:hAnsi="Arial" w:cs="Arial"/>
          <w:sz w:val="19"/>
          <w:szCs w:val="19"/>
        </w:rPr>
        <w:t xml:space="preserve"> </w:t>
      </w:r>
      <w:r w:rsidR="00A11FAD">
        <w:rPr>
          <w:rFonts w:ascii="Arial" w:hAnsi="Arial" w:cs="Arial"/>
          <w:sz w:val="19"/>
          <w:szCs w:val="19"/>
        </w:rPr>
        <w:tab/>
      </w:r>
      <w:r w:rsidRPr="00A11FAD">
        <w:rPr>
          <w:rFonts w:ascii="Arial" w:hAnsi="Arial" w:cs="Arial"/>
          <w:b/>
          <w:bCs/>
          <w:sz w:val="19"/>
          <w:szCs w:val="19"/>
        </w:rPr>
        <w:t>Makings v Makings</w:t>
      </w:r>
      <w:r w:rsidRPr="00A11FAD">
        <w:rPr>
          <w:rFonts w:ascii="Arial" w:hAnsi="Arial" w:cs="Arial"/>
          <w:sz w:val="19"/>
          <w:szCs w:val="19"/>
        </w:rPr>
        <w:t xml:space="preserve"> 1958 (1) SA 338 (AD) at page 338 at 349</w:t>
      </w:r>
    </w:p>
  </w:footnote>
  <w:footnote w:id="26">
    <w:p w14:paraId="2C32ABF6" w14:textId="4D486E49" w:rsidR="00BD121D" w:rsidRDefault="00BD121D" w:rsidP="00A11FAD">
      <w:pPr>
        <w:pStyle w:val="FootnoteText"/>
        <w:spacing w:afterLines="60" w:after="144"/>
        <w:ind w:left="360" w:hanging="360"/>
      </w:pPr>
      <w:r w:rsidRPr="00A11FAD">
        <w:rPr>
          <w:rStyle w:val="FootnoteReference"/>
          <w:rFonts w:ascii="Arial" w:hAnsi="Arial" w:cs="Arial"/>
          <w:sz w:val="19"/>
          <w:szCs w:val="19"/>
        </w:rPr>
        <w:footnoteRef/>
      </w:r>
      <w:r w:rsidRPr="00A11FAD">
        <w:rPr>
          <w:rFonts w:ascii="Arial" w:hAnsi="Arial" w:cs="Arial"/>
          <w:sz w:val="19"/>
          <w:szCs w:val="19"/>
        </w:rPr>
        <w:t xml:space="preserve"> </w:t>
      </w:r>
      <w:r w:rsidR="00A11FAD">
        <w:rPr>
          <w:rFonts w:ascii="Arial" w:hAnsi="Arial" w:cs="Arial"/>
          <w:sz w:val="19"/>
          <w:szCs w:val="19"/>
        </w:rPr>
        <w:tab/>
      </w:r>
      <w:r w:rsidRPr="00A11FAD">
        <w:rPr>
          <w:rFonts w:ascii="Arial" w:hAnsi="Arial" w:cs="Arial"/>
          <w:sz w:val="19"/>
          <w:szCs w:val="19"/>
        </w:rPr>
        <w:t>(1869) 1 HL Sc 470 at 545</w:t>
      </w:r>
    </w:p>
  </w:footnote>
  <w:footnote w:id="27">
    <w:p w14:paraId="7AD324F8" w14:textId="59B48131" w:rsidR="00D74533" w:rsidRPr="00A11FAD" w:rsidRDefault="00D74533" w:rsidP="00A11FAD">
      <w:pPr>
        <w:pStyle w:val="FootnoteText"/>
        <w:spacing w:afterLines="60" w:after="144"/>
        <w:ind w:left="360" w:hanging="360"/>
        <w:rPr>
          <w:rFonts w:ascii="Arial" w:hAnsi="Arial" w:cs="Arial"/>
          <w:sz w:val="19"/>
          <w:szCs w:val="19"/>
        </w:rPr>
      </w:pPr>
      <w:r w:rsidRPr="00A11FAD">
        <w:rPr>
          <w:rStyle w:val="FootnoteReference"/>
          <w:rFonts w:ascii="Arial" w:hAnsi="Arial" w:cs="Arial"/>
          <w:sz w:val="19"/>
          <w:szCs w:val="19"/>
        </w:rPr>
        <w:footnoteRef/>
      </w:r>
      <w:r w:rsidRPr="00A11FAD">
        <w:rPr>
          <w:rFonts w:ascii="Arial" w:hAnsi="Arial" w:cs="Arial"/>
          <w:sz w:val="19"/>
          <w:szCs w:val="19"/>
        </w:rPr>
        <w:t xml:space="preserve"> </w:t>
      </w:r>
      <w:r w:rsidR="00A11FAD">
        <w:rPr>
          <w:rFonts w:ascii="Arial" w:hAnsi="Arial" w:cs="Arial"/>
          <w:sz w:val="19"/>
          <w:szCs w:val="19"/>
        </w:rPr>
        <w:tab/>
      </w:r>
      <w:r w:rsidRPr="00A11FAD">
        <w:rPr>
          <w:rFonts w:ascii="Arial" w:hAnsi="Arial" w:cs="Arial"/>
          <w:sz w:val="19"/>
          <w:szCs w:val="19"/>
        </w:rPr>
        <w:t xml:space="preserve">As contemplated in </w:t>
      </w:r>
      <w:r w:rsidRPr="00A11FAD">
        <w:rPr>
          <w:rFonts w:ascii="Arial" w:hAnsi="Arial" w:cs="Arial"/>
          <w:b/>
          <w:bCs/>
          <w:sz w:val="19"/>
          <w:szCs w:val="19"/>
        </w:rPr>
        <w:t>Childerley Estate Stores v Standard Bank of SA Ltd</w:t>
      </w:r>
      <w:r w:rsidRPr="00A11FAD">
        <w:rPr>
          <w:rFonts w:ascii="Arial" w:hAnsi="Arial" w:cs="Arial"/>
          <w:sz w:val="19"/>
          <w:szCs w:val="19"/>
        </w:rPr>
        <w:t xml:space="preserve"> supra</w:t>
      </w:r>
    </w:p>
  </w:footnote>
  <w:footnote w:id="28">
    <w:p w14:paraId="2143C6EE" w14:textId="79706F0C" w:rsidR="0055593D" w:rsidRPr="0055593D" w:rsidRDefault="0055593D" w:rsidP="0055593D">
      <w:pPr>
        <w:pStyle w:val="FootnoteText"/>
        <w:spacing w:afterLines="60" w:after="144"/>
        <w:ind w:left="360" w:hanging="360"/>
        <w:rPr>
          <w:rFonts w:ascii="Arial" w:hAnsi="Arial" w:cs="Arial"/>
          <w:sz w:val="19"/>
          <w:szCs w:val="19"/>
        </w:rPr>
      </w:pPr>
      <w:r w:rsidRPr="0055593D">
        <w:rPr>
          <w:rStyle w:val="FootnoteReference"/>
          <w:rFonts w:ascii="Arial" w:hAnsi="Arial" w:cs="Arial"/>
          <w:sz w:val="19"/>
          <w:szCs w:val="19"/>
        </w:rPr>
        <w:footnoteRef/>
      </w:r>
      <w:r w:rsidRPr="0055593D">
        <w:rPr>
          <w:rFonts w:ascii="Arial" w:hAnsi="Arial" w:cs="Arial"/>
          <w:sz w:val="19"/>
          <w:szCs w:val="19"/>
        </w:rPr>
        <w:t xml:space="preserve"> </w:t>
      </w:r>
      <w:r w:rsidRPr="0055593D">
        <w:rPr>
          <w:rFonts w:ascii="Arial" w:hAnsi="Arial" w:cs="Arial"/>
          <w:sz w:val="19"/>
          <w:szCs w:val="19"/>
        </w:rPr>
        <w:tab/>
      </w:r>
      <w:r w:rsidRPr="0055593D">
        <w:rPr>
          <w:rFonts w:ascii="Arial" w:hAnsi="Arial" w:cs="Arial"/>
          <w:b/>
          <w:bCs/>
          <w:sz w:val="19"/>
          <w:szCs w:val="19"/>
        </w:rPr>
        <w:t xml:space="preserve">De Aguiar </w:t>
      </w:r>
      <w:r>
        <w:rPr>
          <w:rFonts w:ascii="Arial" w:hAnsi="Arial" w:cs="Arial"/>
          <w:b/>
          <w:bCs/>
          <w:sz w:val="19"/>
          <w:szCs w:val="19"/>
        </w:rPr>
        <w:t>v</w:t>
      </w:r>
      <w:r w:rsidRPr="0055593D">
        <w:rPr>
          <w:rFonts w:ascii="Arial" w:hAnsi="Arial" w:cs="Arial"/>
          <w:b/>
          <w:bCs/>
          <w:sz w:val="19"/>
          <w:szCs w:val="19"/>
        </w:rPr>
        <w:t xml:space="preserve"> Real People Housing (Pty) Ltd</w:t>
      </w:r>
      <w:r w:rsidRPr="0055593D">
        <w:rPr>
          <w:rFonts w:ascii="Arial" w:hAnsi="Arial" w:cs="Arial"/>
          <w:sz w:val="19"/>
          <w:szCs w:val="19"/>
        </w:rPr>
        <w:t xml:space="preserve"> 2011 (1) SA 16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34931DE6"/>
    <w:multiLevelType w:val="hybridMultilevel"/>
    <w:tmpl w:val="FB7E98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198014F"/>
    <w:multiLevelType w:val="hybridMultilevel"/>
    <w:tmpl w:val="DC3A388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D7108AB"/>
    <w:multiLevelType w:val="hybridMultilevel"/>
    <w:tmpl w:val="90BE6C56"/>
    <w:lvl w:ilvl="0" w:tplc="DDBC38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57C056F"/>
    <w:multiLevelType w:val="multilevel"/>
    <w:tmpl w:val="219A70E0"/>
    <w:lvl w:ilvl="0">
      <w:start w:val="22"/>
      <w:numFmt w:val="decimal"/>
      <w:lvlText w:val="%1."/>
      <w:lvlJc w:val="left"/>
      <w:pPr>
        <w:ind w:left="480" w:hanging="48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668A7770"/>
    <w:multiLevelType w:val="hybridMultilevel"/>
    <w:tmpl w:val="55FC3874"/>
    <w:lvl w:ilvl="0" w:tplc="698A6E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A96B24-4E23-40D0-9740-9A5280011E92}"/>
    <w:docVar w:name="dgnword-eventsink" w:val="2877427250752"/>
  </w:docVars>
  <w:rsids>
    <w:rsidRoot w:val="00A238D6"/>
    <w:rsid w:val="00004CC2"/>
    <w:rsid w:val="000072BD"/>
    <w:rsid w:val="00012C83"/>
    <w:rsid w:val="000314B9"/>
    <w:rsid w:val="00054C76"/>
    <w:rsid w:val="000556E5"/>
    <w:rsid w:val="0007108C"/>
    <w:rsid w:val="00081DC5"/>
    <w:rsid w:val="00081F92"/>
    <w:rsid w:val="0008557D"/>
    <w:rsid w:val="00093937"/>
    <w:rsid w:val="0009435B"/>
    <w:rsid w:val="000A3680"/>
    <w:rsid w:val="000A3E5E"/>
    <w:rsid w:val="000A4211"/>
    <w:rsid w:val="000A4E5C"/>
    <w:rsid w:val="000B1DC6"/>
    <w:rsid w:val="000B40FF"/>
    <w:rsid w:val="000B6057"/>
    <w:rsid w:val="000C1629"/>
    <w:rsid w:val="000C241E"/>
    <w:rsid w:val="000C2ADC"/>
    <w:rsid w:val="000C439F"/>
    <w:rsid w:val="000C45B5"/>
    <w:rsid w:val="000C7D42"/>
    <w:rsid w:val="000D38A2"/>
    <w:rsid w:val="000E3F1D"/>
    <w:rsid w:val="00102B5B"/>
    <w:rsid w:val="0010520B"/>
    <w:rsid w:val="00107285"/>
    <w:rsid w:val="00116F0B"/>
    <w:rsid w:val="00122CC2"/>
    <w:rsid w:val="0012398A"/>
    <w:rsid w:val="001262AB"/>
    <w:rsid w:val="00126E3F"/>
    <w:rsid w:val="001325F4"/>
    <w:rsid w:val="001375CB"/>
    <w:rsid w:val="00146069"/>
    <w:rsid w:val="001726A8"/>
    <w:rsid w:val="0017773F"/>
    <w:rsid w:val="00177EDD"/>
    <w:rsid w:val="00180503"/>
    <w:rsid w:val="00181C26"/>
    <w:rsid w:val="00194BC9"/>
    <w:rsid w:val="001954BA"/>
    <w:rsid w:val="001A1738"/>
    <w:rsid w:val="001A2972"/>
    <w:rsid w:val="001A4FD9"/>
    <w:rsid w:val="001B1446"/>
    <w:rsid w:val="001C74B7"/>
    <w:rsid w:val="001D1F5D"/>
    <w:rsid w:val="001D34CB"/>
    <w:rsid w:val="001D42EA"/>
    <w:rsid w:val="001F5965"/>
    <w:rsid w:val="002121BD"/>
    <w:rsid w:val="00216173"/>
    <w:rsid w:val="002256F1"/>
    <w:rsid w:val="00226CF2"/>
    <w:rsid w:val="00227A62"/>
    <w:rsid w:val="00230E3A"/>
    <w:rsid w:val="00234D5C"/>
    <w:rsid w:val="00240C39"/>
    <w:rsid w:val="00246E58"/>
    <w:rsid w:val="00270699"/>
    <w:rsid w:val="00277319"/>
    <w:rsid w:val="00277EEF"/>
    <w:rsid w:val="00284CC8"/>
    <w:rsid w:val="0028747A"/>
    <w:rsid w:val="00293101"/>
    <w:rsid w:val="00294D67"/>
    <w:rsid w:val="00296963"/>
    <w:rsid w:val="002A437D"/>
    <w:rsid w:val="002A7164"/>
    <w:rsid w:val="002A7CFF"/>
    <w:rsid w:val="002B261F"/>
    <w:rsid w:val="002B45F8"/>
    <w:rsid w:val="002C0A65"/>
    <w:rsid w:val="002C6721"/>
    <w:rsid w:val="002D26AD"/>
    <w:rsid w:val="002D299D"/>
    <w:rsid w:val="002D3F75"/>
    <w:rsid w:val="002D5C06"/>
    <w:rsid w:val="002D68B4"/>
    <w:rsid w:val="002D7E46"/>
    <w:rsid w:val="002E1777"/>
    <w:rsid w:val="002E2389"/>
    <w:rsid w:val="002F145F"/>
    <w:rsid w:val="002F65E6"/>
    <w:rsid w:val="0030438A"/>
    <w:rsid w:val="00307750"/>
    <w:rsid w:val="00312CA3"/>
    <w:rsid w:val="00315F6D"/>
    <w:rsid w:val="00317BA0"/>
    <w:rsid w:val="00336348"/>
    <w:rsid w:val="00340997"/>
    <w:rsid w:val="00364A68"/>
    <w:rsid w:val="00365206"/>
    <w:rsid w:val="003749AA"/>
    <w:rsid w:val="0037771E"/>
    <w:rsid w:val="003930CC"/>
    <w:rsid w:val="00394ED7"/>
    <w:rsid w:val="0039695A"/>
    <w:rsid w:val="003A356A"/>
    <w:rsid w:val="003A740B"/>
    <w:rsid w:val="003B2999"/>
    <w:rsid w:val="003B2B47"/>
    <w:rsid w:val="003B411D"/>
    <w:rsid w:val="003C0FF2"/>
    <w:rsid w:val="003C2C29"/>
    <w:rsid w:val="003C60C0"/>
    <w:rsid w:val="003D3221"/>
    <w:rsid w:val="003E41E2"/>
    <w:rsid w:val="003E53F1"/>
    <w:rsid w:val="004035CA"/>
    <w:rsid w:val="00403C5A"/>
    <w:rsid w:val="00415E03"/>
    <w:rsid w:val="00420FE1"/>
    <w:rsid w:val="004243CF"/>
    <w:rsid w:val="00426D03"/>
    <w:rsid w:val="0042720D"/>
    <w:rsid w:val="004275CE"/>
    <w:rsid w:val="004321C7"/>
    <w:rsid w:val="00443A32"/>
    <w:rsid w:val="004440EE"/>
    <w:rsid w:val="004646A1"/>
    <w:rsid w:val="00465BF2"/>
    <w:rsid w:val="00472255"/>
    <w:rsid w:val="00477D10"/>
    <w:rsid w:val="00482A7F"/>
    <w:rsid w:val="00483573"/>
    <w:rsid w:val="0048799E"/>
    <w:rsid w:val="004A6C67"/>
    <w:rsid w:val="004B5FD2"/>
    <w:rsid w:val="004C3145"/>
    <w:rsid w:val="004D01F9"/>
    <w:rsid w:val="004D0FB4"/>
    <w:rsid w:val="004E0A9E"/>
    <w:rsid w:val="004E7124"/>
    <w:rsid w:val="004F0E7F"/>
    <w:rsid w:val="005045F1"/>
    <w:rsid w:val="00505D75"/>
    <w:rsid w:val="005127C5"/>
    <w:rsid w:val="0052057C"/>
    <w:rsid w:val="00520FD3"/>
    <w:rsid w:val="00521864"/>
    <w:rsid w:val="00523AD8"/>
    <w:rsid w:val="0053090B"/>
    <w:rsid w:val="005361D9"/>
    <w:rsid w:val="00540B2E"/>
    <w:rsid w:val="00543B35"/>
    <w:rsid w:val="00552D02"/>
    <w:rsid w:val="00554E58"/>
    <w:rsid w:val="0055593D"/>
    <w:rsid w:val="00564266"/>
    <w:rsid w:val="0056477F"/>
    <w:rsid w:val="0057215F"/>
    <w:rsid w:val="005843EE"/>
    <w:rsid w:val="0058466B"/>
    <w:rsid w:val="005866AD"/>
    <w:rsid w:val="005A1803"/>
    <w:rsid w:val="005A4329"/>
    <w:rsid w:val="005A5ABC"/>
    <w:rsid w:val="005D36CD"/>
    <w:rsid w:val="005E608C"/>
    <w:rsid w:val="005F6E8F"/>
    <w:rsid w:val="006005A7"/>
    <w:rsid w:val="00613BC5"/>
    <w:rsid w:val="006157BC"/>
    <w:rsid w:val="0062085B"/>
    <w:rsid w:val="00621FF6"/>
    <w:rsid w:val="0063192B"/>
    <w:rsid w:val="00634FF3"/>
    <w:rsid w:val="0063635E"/>
    <w:rsid w:val="00636C6F"/>
    <w:rsid w:val="0064098D"/>
    <w:rsid w:val="00650364"/>
    <w:rsid w:val="00650982"/>
    <w:rsid w:val="0065323D"/>
    <w:rsid w:val="00655F2A"/>
    <w:rsid w:val="00661292"/>
    <w:rsid w:val="00674F13"/>
    <w:rsid w:val="006806F8"/>
    <w:rsid w:val="00681487"/>
    <w:rsid w:val="006911A0"/>
    <w:rsid w:val="006929FE"/>
    <w:rsid w:val="00693713"/>
    <w:rsid w:val="006A7D07"/>
    <w:rsid w:val="006C5477"/>
    <w:rsid w:val="006D2520"/>
    <w:rsid w:val="006D4851"/>
    <w:rsid w:val="006D5BD7"/>
    <w:rsid w:val="006E4073"/>
    <w:rsid w:val="006E42C4"/>
    <w:rsid w:val="006E46D5"/>
    <w:rsid w:val="006F370C"/>
    <w:rsid w:val="00715966"/>
    <w:rsid w:val="00720041"/>
    <w:rsid w:val="00725FD0"/>
    <w:rsid w:val="00730E48"/>
    <w:rsid w:val="00733945"/>
    <w:rsid w:val="00735EE9"/>
    <w:rsid w:val="00740559"/>
    <w:rsid w:val="0074258D"/>
    <w:rsid w:val="00751CEC"/>
    <w:rsid w:val="007568C3"/>
    <w:rsid w:val="007602F1"/>
    <w:rsid w:val="00764B86"/>
    <w:rsid w:val="00770E07"/>
    <w:rsid w:val="0077364A"/>
    <w:rsid w:val="00775FC2"/>
    <w:rsid w:val="00785619"/>
    <w:rsid w:val="007965B7"/>
    <w:rsid w:val="00796797"/>
    <w:rsid w:val="007A3205"/>
    <w:rsid w:val="007B109C"/>
    <w:rsid w:val="007B320B"/>
    <w:rsid w:val="007C210A"/>
    <w:rsid w:val="007C296E"/>
    <w:rsid w:val="007D7626"/>
    <w:rsid w:val="007F7D29"/>
    <w:rsid w:val="008074B3"/>
    <w:rsid w:val="00811897"/>
    <w:rsid w:val="00813BAD"/>
    <w:rsid w:val="00815239"/>
    <w:rsid w:val="00820CDD"/>
    <w:rsid w:val="008252EC"/>
    <w:rsid w:val="00826491"/>
    <w:rsid w:val="00827EB2"/>
    <w:rsid w:val="00836ECF"/>
    <w:rsid w:val="008408F2"/>
    <w:rsid w:val="00850BC7"/>
    <w:rsid w:val="00856124"/>
    <w:rsid w:val="00860A4A"/>
    <w:rsid w:val="00865E8B"/>
    <w:rsid w:val="00870A2C"/>
    <w:rsid w:val="008831CB"/>
    <w:rsid w:val="00890885"/>
    <w:rsid w:val="008942B5"/>
    <w:rsid w:val="008A0E02"/>
    <w:rsid w:val="008A1AAF"/>
    <w:rsid w:val="008A1B56"/>
    <w:rsid w:val="008A57C0"/>
    <w:rsid w:val="008A7B0C"/>
    <w:rsid w:val="008B1FC0"/>
    <w:rsid w:val="008B3DC6"/>
    <w:rsid w:val="008B43DE"/>
    <w:rsid w:val="008B63B4"/>
    <w:rsid w:val="008B6C10"/>
    <w:rsid w:val="008B732A"/>
    <w:rsid w:val="008C2A78"/>
    <w:rsid w:val="008D0D23"/>
    <w:rsid w:val="008D2819"/>
    <w:rsid w:val="008D72B7"/>
    <w:rsid w:val="008E01F8"/>
    <w:rsid w:val="008F0D05"/>
    <w:rsid w:val="008F2CCB"/>
    <w:rsid w:val="009001BE"/>
    <w:rsid w:val="00910FFD"/>
    <w:rsid w:val="00913275"/>
    <w:rsid w:val="00915E50"/>
    <w:rsid w:val="00926179"/>
    <w:rsid w:val="00930263"/>
    <w:rsid w:val="00933245"/>
    <w:rsid w:val="00933F13"/>
    <w:rsid w:val="00936429"/>
    <w:rsid w:val="009415B1"/>
    <w:rsid w:val="00941BE5"/>
    <w:rsid w:val="00942200"/>
    <w:rsid w:val="00943D01"/>
    <w:rsid w:val="00954105"/>
    <w:rsid w:val="00954863"/>
    <w:rsid w:val="00962DE3"/>
    <w:rsid w:val="00973B21"/>
    <w:rsid w:val="00975136"/>
    <w:rsid w:val="009824E7"/>
    <w:rsid w:val="00991B2B"/>
    <w:rsid w:val="00992EAA"/>
    <w:rsid w:val="009B3C5B"/>
    <w:rsid w:val="009B53D0"/>
    <w:rsid w:val="009B7CCF"/>
    <w:rsid w:val="009C3329"/>
    <w:rsid w:val="009C3438"/>
    <w:rsid w:val="009C4058"/>
    <w:rsid w:val="009C52C3"/>
    <w:rsid w:val="009D55EB"/>
    <w:rsid w:val="009D627F"/>
    <w:rsid w:val="009E415A"/>
    <w:rsid w:val="009E7580"/>
    <w:rsid w:val="009F2F2D"/>
    <w:rsid w:val="009F40F3"/>
    <w:rsid w:val="00A0490F"/>
    <w:rsid w:val="00A11FAD"/>
    <w:rsid w:val="00A208C2"/>
    <w:rsid w:val="00A238D6"/>
    <w:rsid w:val="00A41B1C"/>
    <w:rsid w:val="00A41CB1"/>
    <w:rsid w:val="00A47796"/>
    <w:rsid w:val="00A533E6"/>
    <w:rsid w:val="00A53ECE"/>
    <w:rsid w:val="00A55A67"/>
    <w:rsid w:val="00A72B2B"/>
    <w:rsid w:val="00A9009E"/>
    <w:rsid w:val="00A90BE5"/>
    <w:rsid w:val="00A90E3F"/>
    <w:rsid w:val="00A9166B"/>
    <w:rsid w:val="00A92327"/>
    <w:rsid w:val="00A946B8"/>
    <w:rsid w:val="00AA084E"/>
    <w:rsid w:val="00AA5DA5"/>
    <w:rsid w:val="00AA6686"/>
    <w:rsid w:val="00AB54D0"/>
    <w:rsid w:val="00AB5511"/>
    <w:rsid w:val="00AD704E"/>
    <w:rsid w:val="00AE365F"/>
    <w:rsid w:val="00AE4108"/>
    <w:rsid w:val="00AE7B31"/>
    <w:rsid w:val="00AF1FC8"/>
    <w:rsid w:val="00AF727B"/>
    <w:rsid w:val="00B0076B"/>
    <w:rsid w:val="00B03896"/>
    <w:rsid w:val="00B15609"/>
    <w:rsid w:val="00B200C0"/>
    <w:rsid w:val="00B25AF5"/>
    <w:rsid w:val="00B25C9C"/>
    <w:rsid w:val="00B30080"/>
    <w:rsid w:val="00B600FB"/>
    <w:rsid w:val="00B633E1"/>
    <w:rsid w:val="00B725CB"/>
    <w:rsid w:val="00B92BFE"/>
    <w:rsid w:val="00B94C00"/>
    <w:rsid w:val="00B95EDC"/>
    <w:rsid w:val="00BA2FC0"/>
    <w:rsid w:val="00BA31B8"/>
    <w:rsid w:val="00BA3A93"/>
    <w:rsid w:val="00BA76C5"/>
    <w:rsid w:val="00BB4D91"/>
    <w:rsid w:val="00BC6E05"/>
    <w:rsid w:val="00BD121D"/>
    <w:rsid w:val="00BD6789"/>
    <w:rsid w:val="00C10777"/>
    <w:rsid w:val="00C14705"/>
    <w:rsid w:val="00C34049"/>
    <w:rsid w:val="00C35227"/>
    <w:rsid w:val="00C575A9"/>
    <w:rsid w:val="00C73969"/>
    <w:rsid w:val="00C74F7F"/>
    <w:rsid w:val="00C77CEE"/>
    <w:rsid w:val="00C84F01"/>
    <w:rsid w:val="00C8795F"/>
    <w:rsid w:val="00C919EA"/>
    <w:rsid w:val="00C91BF7"/>
    <w:rsid w:val="00C91D2B"/>
    <w:rsid w:val="00C9253B"/>
    <w:rsid w:val="00C9556C"/>
    <w:rsid w:val="00C95C98"/>
    <w:rsid w:val="00CA0499"/>
    <w:rsid w:val="00CA2083"/>
    <w:rsid w:val="00CA53DB"/>
    <w:rsid w:val="00CA692E"/>
    <w:rsid w:val="00CB03AB"/>
    <w:rsid w:val="00CB0D23"/>
    <w:rsid w:val="00CB0DEF"/>
    <w:rsid w:val="00CB26EC"/>
    <w:rsid w:val="00CB5014"/>
    <w:rsid w:val="00CB5402"/>
    <w:rsid w:val="00CB6F6C"/>
    <w:rsid w:val="00CB7E6B"/>
    <w:rsid w:val="00CD4A20"/>
    <w:rsid w:val="00CE3DAC"/>
    <w:rsid w:val="00CF25A3"/>
    <w:rsid w:val="00CF2DF6"/>
    <w:rsid w:val="00CF4FDF"/>
    <w:rsid w:val="00D00B6A"/>
    <w:rsid w:val="00D02016"/>
    <w:rsid w:val="00D13121"/>
    <w:rsid w:val="00D20A49"/>
    <w:rsid w:val="00D2182B"/>
    <w:rsid w:val="00D2402F"/>
    <w:rsid w:val="00D273DB"/>
    <w:rsid w:val="00D2794D"/>
    <w:rsid w:val="00D417C3"/>
    <w:rsid w:val="00D448F5"/>
    <w:rsid w:val="00D55DFF"/>
    <w:rsid w:val="00D61BFF"/>
    <w:rsid w:val="00D675B2"/>
    <w:rsid w:val="00D74533"/>
    <w:rsid w:val="00D91B48"/>
    <w:rsid w:val="00D93E8D"/>
    <w:rsid w:val="00DA0144"/>
    <w:rsid w:val="00DB15FF"/>
    <w:rsid w:val="00DB2DE7"/>
    <w:rsid w:val="00DB62D6"/>
    <w:rsid w:val="00DC777D"/>
    <w:rsid w:val="00DD05CA"/>
    <w:rsid w:val="00DD3AD9"/>
    <w:rsid w:val="00DE026E"/>
    <w:rsid w:val="00DF0D3A"/>
    <w:rsid w:val="00DF11FB"/>
    <w:rsid w:val="00DF3156"/>
    <w:rsid w:val="00E022C1"/>
    <w:rsid w:val="00E1577D"/>
    <w:rsid w:val="00E20F59"/>
    <w:rsid w:val="00E21D15"/>
    <w:rsid w:val="00E251B2"/>
    <w:rsid w:val="00E268B9"/>
    <w:rsid w:val="00E26B65"/>
    <w:rsid w:val="00E27CA9"/>
    <w:rsid w:val="00E34536"/>
    <w:rsid w:val="00E366F9"/>
    <w:rsid w:val="00E36B46"/>
    <w:rsid w:val="00E4691C"/>
    <w:rsid w:val="00E579BA"/>
    <w:rsid w:val="00E6008E"/>
    <w:rsid w:val="00E60E52"/>
    <w:rsid w:val="00E71931"/>
    <w:rsid w:val="00EA61DF"/>
    <w:rsid w:val="00ED326D"/>
    <w:rsid w:val="00ED35E1"/>
    <w:rsid w:val="00EE47A7"/>
    <w:rsid w:val="00EE61C7"/>
    <w:rsid w:val="00F002C1"/>
    <w:rsid w:val="00F2021A"/>
    <w:rsid w:val="00F23334"/>
    <w:rsid w:val="00F30F22"/>
    <w:rsid w:val="00F3200E"/>
    <w:rsid w:val="00F32287"/>
    <w:rsid w:val="00F32815"/>
    <w:rsid w:val="00F37482"/>
    <w:rsid w:val="00F37D64"/>
    <w:rsid w:val="00F43290"/>
    <w:rsid w:val="00F43A60"/>
    <w:rsid w:val="00F4525A"/>
    <w:rsid w:val="00F5622B"/>
    <w:rsid w:val="00F72473"/>
    <w:rsid w:val="00F84133"/>
    <w:rsid w:val="00F85C96"/>
    <w:rsid w:val="00F9182F"/>
    <w:rsid w:val="00F949A0"/>
    <w:rsid w:val="00F96551"/>
    <w:rsid w:val="00F96652"/>
    <w:rsid w:val="00F97169"/>
    <w:rsid w:val="00FA132B"/>
    <w:rsid w:val="00FA5063"/>
    <w:rsid w:val="00FA51A2"/>
    <w:rsid w:val="00FA5658"/>
    <w:rsid w:val="00FA736E"/>
    <w:rsid w:val="00FB08E7"/>
    <w:rsid w:val="00FB1E21"/>
    <w:rsid w:val="00FB72C0"/>
    <w:rsid w:val="00FC381B"/>
    <w:rsid w:val="00FC40B4"/>
    <w:rsid w:val="00FC5C65"/>
    <w:rsid w:val="00FD7576"/>
    <w:rsid w:val="00FE299E"/>
    <w:rsid w:val="00FE4E5D"/>
    <w:rsid w:val="00FF517C"/>
    <w:rsid w:val="00FF76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E462"/>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aliases w:val="ML List paragraph"/>
    <w:basedOn w:val="Normal"/>
    <w:link w:val="ListParagraphChar"/>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aliases w:val="PD: Footnote,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0B6057"/>
    <w:pPr>
      <w:spacing w:after="0" w:line="240" w:lineRule="auto"/>
    </w:pPr>
    <w:rPr>
      <w:sz w:val="20"/>
      <w:szCs w:val="20"/>
    </w:rPr>
  </w:style>
  <w:style w:type="character" w:customStyle="1" w:styleId="FootnoteTextChar">
    <w:name w:val="Footnote Text Char"/>
    <w:aliases w:val="PD: Footnote Char,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0B6057"/>
    <w:rPr>
      <w:rFonts w:ascii="Calibri" w:eastAsia="Calibri" w:hAnsi="Calibri" w:cs="Calibri"/>
      <w:color w:val="000000"/>
      <w:sz w:val="20"/>
      <w:szCs w:val="20"/>
      <w:lang w:eastAsia="en-ZA"/>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Bow_Footnote Reference"/>
    <w:basedOn w:val="DefaultParagraphFont"/>
    <w:uiPriority w:val="99"/>
    <w:unhideWhenUsed/>
    <w:qFormat/>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table" w:styleId="TableGrid">
    <w:name w:val="Table Grid"/>
    <w:basedOn w:val="TableNormal"/>
    <w:rsid w:val="000314B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364A"/>
    <w:pPr>
      <w:widowControl w:val="0"/>
      <w:tabs>
        <w:tab w:val="left" w:pos="-720"/>
      </w:tabs>
      <w:suppressAutoHyphens/>
      <w:spacing w:after="0" w:line="240" w:lineRule="auto"/>
      <w:ind w:left="720" w:hanging="720"/>
    </w:pPr>
    <w:rPr>
      <w:rFonts w:ascii="Times New Roman" w:eastAsia="Times New Roman" w:hAnsi="Times New Roman" w:cs="Times New Roman"/>
      <w:bCs/>
      <w:snapToGrid w:val="0"/>
      <w:color w:val="333333"/>
      <w:spacing w:val="-3"/>
      <w:szCs w:val="20"/>
      <w:lang w:val="en-GB" w:eastAsia="en-US"/>
    </w:rPr>
  </w:style>
  <w:style w:type="character" w:customStyle="1" w:styleId="BodyTextIndentChar">
    <w:name w:val="Body Text Indent Char"/>
    <w:basedOn w:val="DefaultParagraphFont"/>
    <w:link w:val="BodyTextIndent"/>
    <w:rsid w:val="0077364A"/>
    <w:rPr>
      <w:rFonts w:ascii="Times New Roman" w:eastAsia="Times New Roman" w:hAnsi="Times New Roman" w:cs="Times New Roman"/>
      <w:bCs/>
      <w:snapToGrid w:val="0"/>
      <w:color w:val="333333"/>
      <w:spacing w:val="-3"/>
      <w:sz w:val="24"/>
      <w:szCs w:val="20"/>
      <w:lang w:val="en-GB"/>
    </w:rPr>
  </w:style>
  <w:style w:type="character" w:customStyle="1" w:styleId="ListParagraphChar">
    <w:name w:val="List Paragraph Char"/>
    <w:aliases w:val="ML List paragraph Char"/>
    <w:basedOn w:val="DefaultParagraphFont"/>
    <w:link w:val="ListParagraph"/>
    <w:uiPriority w:val="34"/>
    <w:locked/>
    <w:rsid w:val="0077364A"/>
    <w:rPr>
      <w:rFonts w:ascii="Calibri" w:eastAsia="Calibri" w:hAnsi="Calibri" w:cs="Calibri"/>
      <w:color w:val="000000"/>
      <w:sz w:val="24"/>
      <w:lang w:eastAsia="en-ZA"/>
    </w:rPr>
  </w:style>
  <w:style w:type="character" w:customStyle="1" w:styleId="apple-converted-space">
    <w:name w:val="apple-converted-space"/>
    <w:basedOn w:val="DefaultParagraphFont"/>
    <w:rsid w:val="00941BE5"/>
  </w:style>
  <w:style w:type="character" w:customStyle="1" w:styleId="Hyperlink1">
    <w:name w:val="Hyperlink1"/>
    <w:basedOn w:val="DefaultParagraphFont"/>
    <w:uiPriority w:val="99"/>
    <w:unhideWhenUsed/>
    <w:rsid w:val="00483573"/>
    <w:rPr>
      <w:color w:val="0000FF"/>
      <w:u w:val="single"/>
    </w:rPr>
  </w:style>
  <w:style w:type="character" w:customStyle="1" w:styleId="mc">
    <w:name w:val="mc"/>
    <w:basedOn w:val="DefaultParagraphFont"/>
    <w:rsid w:val="0089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3196776">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786700955">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FBDF-93F6-4796-B718-ADFECC8F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Dos Santos</dc:creator>
  <cp:keywords/>
  <dc:description/>
  <cp:lastModifiedBy>Mary Bruce</cp:lastModifiedBy>
  <cp:revision>2</cp:revision>
  <cp:lastPrinted>2023-11-15T10:29:00Z</cp:lastPrinted>
  <dcterms:created xsi:type="dcterms:W3CDTF">2023-11-17T12:24:00Z</dcterms:created>
  <dcterms:modified xsi:type="dcterms:W3CDTF">2023-11-17T12:24:00Z</dcterms:modified>
</cp:coreProperties>
</file>