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7F48" w14:textId="77777777" w:rsidR="00D202C2" w:rsidRPr="00671349" w:rsidRDefault="007D51E5" w:rsidP="00C860E6">
      <w:pPr>
        <w:spacing w:after="120" w:line="360" w:lineRule="auto"/>
        <w:jc w:val="center"/>
        <w:rPr>
          <w:rFonts w:ascii="Arial" w:hAnsi="Arial" w:cs="Arial"/>
          <w:sz w:val="24"/>
          <w:szCs w:val="24"/>
        </w:rPr>
      </w:pPr>
      <w:r w:rsidRPr="00671349">
        <w:rPr>
          <w:rFonts w:ascii="Arial" w:hAnsi="Arial" w:cs="Arial"/>
          <w:noProof/>
          <w:sz w:val="24"/>
          <w:szCs w:val="24"/>
          <w:lang w:eastAsia="en-ZA"/>
        </w:rPr>
        <w:drawing>
          <wp:inline distT="0" distB="0" distL="0" distR="0" wp14:anchorId="55DDC685" wp14:editId="3815BF13">
            <wp:extent cx="1297940" cy="1148080"/>
            <wp:effectExtent l="0" t="0" r="0" b="0"/>
            <wp:docPr id="2"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8" r:link="rId9" cstate="print"/>
                    <a:srcRect/>
                    <a:stretch>
                      <a:fillRect/>
                    </a:stretch>
                  </pic:blipFill>
                  <pic:spPr bwMode="auto">
                    <a:xfrm>
                      <a:off x="0" y="0"/>
                      <a:ext cx="1315700" cy="1163789"/>
                    </a:xfrm>
                    <a:prstGeom prst="rect">
                      <a:avLst/>
                    </a:prstGeom>
                    <a:solidFill>
                      <a:sysClr val="windowText" lastClr="FFFFFF"/>
                    </a:solidFill>
                    <a:ln w="9525">
                      <a:noFill/>
                      <a:miter lim="800000"/>
                      <a:headEnd/>
                      <a:tailEnd/>
                    </a:ln>
                  </pic:spPr>
                </pic:pic>
              </a:graphicData>
            </a:graphic>
          </wp:inline>
        </w:drawing>
      </w:r>
    </w:p>
    <w:p w14:paraId="3954D95A" w14:textId="77777777" w:rsidR="000D0102" w:rsidRPr="00671349" w:rsidRDefault="00D202C2" w:rsidP="0016137A">
      <w:pPr>
        <w:autoSpaceDE w:val="0"/>
        <w:autoSpaceDN w:val="0"/>
        <w:adjustRightInd w:val="0"/>
        <w:spacing w:line="360" w:lineRule="auto"/>
        <w:jc w:val="center"/>
        <w:rPr>
          <w:rFonts w:ascii="Arial" w:hAnsi="Arial" w:cs="Arial"/>
          <w:b/>
          <w:bCs/>
          <w:sz w:val="24"/>
          <w:szCs w:val="24"/>
        </w:rPr>
      </w:pPr>
      <w:r w:rsidRPr="00671349">
        <w:rPr>
          <w:rFonts w:ascii="Arial" w:hAnsi="Arial" w:cs="Arial"/>
          <w:b/>
          <w:bCs/>
          <w:sz w:val="24"/>
          <w:szCs w:val="24"/>
        </w:rPr>
        <w:t xml:space="preserve">IN THE </w:t>
      </w:r>
      <w:r w:rsidR="000D0102" w:rsidRPr="00671349">
        <w:rPr>
          <w:rFonts w:ascii="Arial" w:hAnsi="Arial" w:cs="Arial"/>
          <w:b/>
          <w:bCs/>
          <w:sz w:val="24"/>
          <w:szCs w:val="24"/>
        </w:rPr>
        <w:t xml:space="preserve">HIGH </w:t>
      </w:r>
      <w:r w:rsidRPr="00671349">
        <w:rPr>
          <w:rFonts w:ascii="Arial" w:hAnsi="Arial" w:cs="Arial"/>
          <w:b/>
          <w:bCs/>
          <w:sz w:val="24"/>
          <w:szCs w:val="24"/>
        </w:rPr>
        <w:t>COURT OF SOUTH AFRICA</w:t>
      </w:r>
    </w:p>
    <w:p w14:paraId="072336A1" w14:textId="605FDDC8" w:rsidR="00D202C2" w:rsidRPr="00671349" w:rsidRDefault="000D0102" w:rsidP="0016137A">
      <w:pPr>
        <w:autoSpaceDE w:val="0"/>
        <w:autoSpaceDN w:val="0"/>
        <w:adjustRightInd w:val="0"/>
        <w:spacing w:after="120" w:line="360" w:lineRule="auto"/>
        <w:jc w:val="center"/>
        <w:rPr>
          <w:rFonts w:ascii="Arial" w:hAnsi="Arial" w:cs="Arial"/>
          <w:b/>
          <w:bCs/>
          <w:sz w:val="24"/>
          <w:szCs w:val="24"/>
        </w:rPr>
      </w:pPr>
      <w:r w:rsidRPr="00671349">
        <w:rPr>
          <w:rFonts w:ascii="Arial" w:hAnsi="Arial" w:cs="Arial"/>
          <w:b/>
          <w:bCs/>
          <w:sz w:val="24"/>
          <w:szCs w:val="24"/>
        </w:rPr>
        <w:t>(GAUTENG DIVISION</w:t>
      </w:r>
      <w:r w:rsidR="00D202C2" w:rsidRPr="00671349">
        <w:rPr>
          <w:rFonts w:ascii="Arial" w:hAnsi="Arial" w:cs="Arial"/>
          <w:b/>
          <w:bCs/>
          <w:sz w:val="24"/>
          <w:szCs w:val="24"/>
        </w:rPr>
        <w:t xml:space="preserve">, </w:t>
      </w:r>
      <w:r w:rsidR="004071E9">
        <w:rPr>
          <w:rFonts w:ascii="Arial" w:hAnsi="Arial" w:cs="Arial"/>
          <w:b/>
          <w:bCs/>
          <w:sz w:val="24"/>
          <w:szCs w:val="24"/>
        </w:rPr>
        <w:t>JOHANNESBURG</w:t>
      </w:r>
      <w:r w:rsidRPr="00671349">
        <w:rPr>
          <w:rFonts w:ascii="Arial" w:hAnsi="Arial" w:cs="Arial"/>
          <w:b/>
          <w:bCs/>
          <w:sz w:val="24"/>
          <w:szCs w:val="24"/>
        </w:rPr>
        <w:t>)</w:t>
      </w:r>
    </w:p>
    <w:p w14:paraId="50821842" w14:textId="77777777" w:rsidR="007D51E5" w:rsidRPr="00671349" w:rsidRDefault="007D51E5" w:rsidP="0016137A">
      <w:pPr>
        <w:autoSpaceDE w:val="0"/>
        <w:autoSpaceDN w:val="0"/>
        <w:adjustRightInd w:val="0"/>
        <w:spacing w:after="120" w:line="360" w:lineRule="auto"/>
        <w:rPr>
          <w:rFonts w:ascii="Arial" w:hAnsi="Arial" w:cs="Arial"/>
          <w:sz w:val="24"/>
          <w:szCs w:val="24"/>
        </w:rPr>
      </w:pPr>
      <w:r w:rsidRPr="00671349">
        <w:rPr>
          <w:rFonts w:ascii="Arial" w:hAnsi="Arial" w:cs="Arial"/>
          <w:noProof/>
          <w:sz w:val="24"/>
          <w:szCs w:val="24"/>
          <w:lang w:eastAsia="en-ZA"/>
        </w:rPr>
        <mc:AlternateContent>
          <mc:Choice Requires="wps">
            <w:drawing>
              <wp:inline distT="0" distB="0" distL="0" distR="0" wp14:anchorId="354FFED0" wp14:editId="58EF5345">
                <wp:extent cx="3314700" cy="1371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06A5375F" w:rsidR="00FC0780" w:rsidRDefault="005C69AA" w:rsidP="005C69A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326FD0AC" w:rsidR="00FC0780" w:rsidRDefault="005C69AA" w:rsidP="005C69A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110CFA">
                              <w:rPr>
                                <w:rFonts w:ascii="Century Gothic" w:hAnsi="Century Gothic"/>
                                <w:sz w:val="20"/>
                                <w:szCs w:val="20"/>
                              </w:rPr>
                              <w:t>NO</w:t>
                            </w:r>
                          </w:p>
                          <w:p w14:paraId="29110CF7" w14:textId="3343285A" w:rsidR="00FC0780" w:rsidRDefault="005C69AA" w:rsidP="005C69A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REVISED</w:t>
                            </w:r>
                            <w:r w:rsidR="00161C04">
                              <w:rPr>
                                <w:rFonts w:ascii="Century Gothic" w:hAnsi="Century Gothic"/>
                                <w:sz w:val="20"/>
                                <w:szCs w:val="20"/>
                              </w:rPr>
                              <w:t xml:space="preserve">: </w:t>
                            </w:r>
                            <w:r w:rsidR="00EA10C3">
                              <w:rPr>
                                <w:rFonts w:ascii="Century Gothic" w:hAnsi="Century Gothic"/>
                                <w:sz w:val="20"/>
                                <w:szCs w:val="20"/>
                              </w:rPr>
                              <w:t>17 November 2023</w:t>
                            </w:r>
                            <w:r w:rsidR="00FC0780">
                              <w:rPr>
                                <w:rFonts w:ascii="Century Gothic" w:hAnsi="Century Gothic"/>
                                <w:sz w:val="20"/>
                                <w:szCs w:val="20"/>
                              </w:rPr>
                              <w:t xml:space="preserve"> </w:t>
                            </w:r>
                          </w:p>
                          <w:p w14:paraId="0E2B39CC" w14:textId="77777777" w:rsidR="00FC0780" w:rsidRDefault="00FC0780" w:rsidP="007D51E5">
                            <w:pPr>
                              <w:rPr>
                                <w:rFonts w:ascii="Century Gothic" w:hAnsi="Century Gothic"/>
                                <w:b/>
                                <w:sz w:val="18"/>
                                <w:szCs w:val="18"/>
                              </w:rPr>
                            </w:pPr>
                          </w:p>
                          <w:p w14:paraId="2B550753" w14:textId="145BA8BB" w:rsidR="00FC0780" w:rsidRDefault="00FC0780" w:rsidP="007D51E5">
                            <w:pPr>
                              <w:rPr>
                                <w:rFonts w:ascii="Century Gothic" w:hAnsi="Century Gothic"/>
                                <w:b/>
                                <w:sz w:val="18"/>
                                <w:szCs w:val="18"/>
                              </w:rPr>
                            </w:pPr>
                            <w:r>
                              <w:rPr>
                                <w:rFonts w:ascii="Century Gothic" w:hAnsi="Century Gothic"/>
                                <w:b/>
                                <w:sz w:val="18"/>
                                <w:szCs w:val="18"/>
                              </w:rPr>
                              <w:t xml:space="preserve"> </w:t>
                            </w:r>
                            <w:r w:rsidR="00E8356A">
                              <w:rPr>
                                <w:rFonts w:ascii="Century Gothic" w:hAnsi="Century Gothic"/>
                                <w:b/>
                                <w:sz w:val="18"/>
                                <w:szCs w:val="18"/>
                              </w:rPr>
                              <w:t xml:space="preserve">Signature: </w:t>
                            </w:r>
                            <w:r>
                              <w:rPr>
                                <w:rFonts w:ascii="Century Gothic" w:hAnsi="Century Gothic"/>
                                <w:b/>
                                <w:sz w:val="18"/>
                                <w:szCs w:val="18"/>
                              </w:rPr>
                              <w:t>…………………….</w:t>
                            </w:r>
                            <w:r w:rsidR="003E796A">
                              <w:rPr>
                                <w:rFonts w:ascii="Century Gothic" w:hAnsi="Century Gothic"/>
                                <w:b/>
                                <w:sz w:val="18"/>
                                <w:szCs w:val="18"/>
                              </w:rPr>
                              <w:t xml:space="preserve">    </w:t>
                            </w:r>
                            <w:r w:rsidR="00E8356A">
                              <w:rPr>
                                <w:rFonts w:ascii="Century Gothic" w:hAnsi="Century Gothic"/>
                                <w:b/>
                                <w:sz w:val="18"/>
                                <w:szCs w:val="18"/>
                              </w:rPr>
                              <w:t xml:space="preserve">Date: </w:t>
                            </w:r>
                            <w:r w:rsidR="00DA46E8">
                              <w:rPr>
                                <w:rFonts w:ascii="Century Gothic" w:hAnsi="Century Gothic"/>
                                <w:b/>
                                <w:sz w:val="18"/>
                                <w:szCs w:val="18"/>
                              </w:rPr>
                              <w:t xml:space="preserve"> </w:t>
                            </w:r>
                            <w:r w:rsidR="00161C04">
                              <w:rPr>
                                <w:rFonts w:ascii="Century Gothic" w:hAnsi="Century Gothic"/>
                                <w:b/>
                                <w:sz w:val="18"/>
                                <w:szCs w:val="18"/>
                              </w:rPr>
                              <w:t>1</w:t>
                            </w:r>
                            <w:r w:rsidR="00EA10C3">
                              <w:rPr>
                                <w:rFonts w:ascii="Century Gothic" w:hAnsi="Century Gothic"/>
                                <w:b/>
                                <w:sz w:val="18"/>
                                <w:szCs w:val="18"/>
                              </w:rPr>
                              <w:t>7</w:t>
                            </w:r>
                            <w:r w:rsidR="00161C04">
                              <w:rPr>
                                <w:rFonts w:ascii="Century Gothic" w:hAnsi="Century Gothic"/>
                                <w:b/>
                                <w:sz w:val="18"/>
                                <w:szCs w:val="18"/>
                              </w:rPr>
                              <w:t xml:space="preserve"> </w:t>
                            </w:r>
                            <w:r w:rsidR="003E796A">
                              <w:rPr>
                                <w:rFonts w:ascii="Century Gothic" w:hAnsi="Century Gothic"/>
                                <w:b/>
                                <w:sz w:val="18"/>
                                <w:szCs w:val="18"/>
                              </w:rPr>
                              <w:t xml:space="preserve">November </w:t>
                            </w:r>
                            <w:r w:rsidR="00B469F8">
                              <w:rPr>
                                <w:rFonts w:ascii="Century Gothic" w:hAnsi="Century Gothic"/>
                                <w:b/>
                                <w:sz w:val="18"/>
                                <w:szCs w:val="18"/>
                              </w:rPr>
                              <w:t>202</w:t>
                            </w:r>
                            <w:r w:rsidR="00D33D7C">
                              <w:rPr>
                                <w:rFonts w:ascii="Century Gothic" w:hAnsi="Century Gothic"/>
                                <w:b/>
                                <w:sz w:val="18"/>
                                <w:szCs w:val="18"/>
                              </w:rPr>
                              <w:t>3</w:t>
                            </w:r>
                          </w:p>
                          <w:p w14:paraId="7806C82D" w14:textId="71EBAAA3" w:rsidR="00FC0780" w:rsidRDefault="00FC0780" w:rsidP="007D51E5">
                            <w:pPr>
                              <w:rPr>
                                <w:rFonts w:ascii="Century Gothic" w:hAnsi="Century Gothic"/>
                                <w:sz w:val="18"/>
                                <w:szCs w:val="18"/>
                              </w:rPr>
                            </w:pPr>
                            <w:r>
                              <w:rPr>
                                <w:rFonts w:ascii="Century Gothic" w:hAnsi="Century Gothic"/>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type w14:anchorId="354FFED0" id="_x0000_t202" coordsize="21600,21600" o:spt="202" path="m,l,21600r21600,l21600,xe">
                <v:stroke joinstyle="miter"/>
                <v:path gradientshapeok="t" o:connecttype="rect"/>
              </v:shapetype>
              <v:shape id="Text Box 1" o:spid="_x0000_s1026" type="#_x0000_t202" style="width:261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Bj1gj9wAAAAFAQAADwAAAGRycy9kb3ducmV2LnhtbEyPwU7DMBBE70j8g7VIXBB1&#10;GiCUEKdCSCC4QVvB1Y23SYS9Drabhr9n4QKXkUazmnlbLSdnxYgh9p4UzGcZCKTGm55aBZv1w/kC&#10;REyajLaeUMEXRljWx0eVLo0/0CuOq9QKLqFYagVdSkMpZWw6dDrO/IDE2c4HpxPb0EoT9IHLnZV5&#10;lhXS6Z54odMD3nfYfKz2TsHi8ml8j88XL29NsbM36ex6fPwMSp2eTHe3IBJO6e8YfvAZHWpm2vo9&#10;mSisAn4k/SpnV3nOdqsgnxcZyLqS/+nrbwAAAP//AwBQSwECLQAUAAYACAAAACEAtoM4kv4AAADh&#10;AQAAEwAAAAAAAAAAAAAAAAAAAAAAW0NvbnRlbnRfVHlwZXNdLnhtbFBLAQItABQABgAIAAAAIQA4&#10;/SH/1gAAAJQBAAALAAAAAAAAAAAAAAAAAC8BAABfcmVscy8ucmVsc1BLAQItABQABgAIAAAAIQAA&#10;GbdrFQIAACwEAAAOAAAAAAAAAAAAAAAAAC4CAABkcnMvZTJvRG9jLnhtbFBLAQItABQABgAIAAAA&#10;IQAGPWCP3AAAAAUBAAAPAAAAAAAAAAAAAAAAAG8EAABkcnMvZG93bnJldi54bWxQSwUGAAAAAAQA&#10;BADzAAAAeAUAAAAA&#10;">
                <v:textbox>
                  <w:txbxContent>
                    <w:p w14:paraId="56016463" w14:textId="77777777" w:rsidR="00FC0780" w:rsidRDefault="00FC0780" w:rsidP="007D51E5">
                      <w:pPr>
                        <w:jc w:val="center"/>
                        <w:rPr>
                          <w:rFonts w:ascii="Century Gothic" w:hAnsi="Century Gothic"/>
                          <w:b/>
                          <w:sz w:val="20"/>
                          <w:szCs w:val="20"/>
                        </w:rPr>
                      </w:pPr>
                    </w:p>
                    <w:p w14:paraId="0E750DD9" w14:textId="06A5375F" w:rsidR="00FC0780" w:rsidRDefault="005C69AA" w:rsidP="005C69A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326FD0AC" w:rsidR="00FC0780" w:rsidRDefault="005C69AA" w:rsidP="005C69A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110CFA">
                        <w:rPr>
                          <w:rFonts w:ascii="Century Gothic" w:hAnsi="Century Gothic"/>
                          <w:sz w:val="20"/>
                          <w:szCs w:val="20"/>
                        </w:rPr>
                        <w:t>NO</w:t>
                      </w:r>
                    </w:p>
                    <w:p w14:paraId="29110CF7" w14:textId="3343285A" w:rsidR="00FC0780" w:rsidRDefault="005C69AA" w:rsidP="005C69A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REVISED</w:t>
                      </w:r>
                      <w:r w:rsidR="00161C04">
                        <w:rPr>
                          <w:rFonts w:ascii="Century Gothic" w:hAnsi="Century Gothic"/>
                          <w:sz w:val="20"/>
                          <w:szCs w:val="20"/>
                        </w:rPr>
                        <w:t xml:space="preserve">: </w:t>
                      </w:r>
                      <w:r w:rsidR="00EA10C3">
                        <w:rPr>
                          <w:rFonts w:ascii="Century Gothic" w:hAnsi="Century Gothic"/>
                          <w:sz w:val="20"/>
                          <w:szCs w:val="20"/>
                        </w:rPr>
                        <w:t>17 November 2023</w:t>
                      </w:r>
                      <w:r w:rsidR="00FC0780">
                        <w:rPr>
                          <w:rFonts w:ascii="Century Gothic" w:hAnsi="Century Gothic"/>
                          <w:sz w:val="20"/>
                          <w:szCs w:val="20"/>
                        </w:rPr>
                        <w:t xml:space="preserve"> </w:t>
                      </w:r>
                    </w:p>
                    <w:p w14:paraId="0E2B39CC" w14:textId="77777777" w:rsidR="00FC0780" w:rsidRDefault="00FC0780" w:rsidP="007D51E5">
                      <w:pPr>
                        <w:rPr>
                          <w:rFonts w:ascii="Century Gothic" w:hAnsi="Century Gothic"/>
                          <w:b/>
                          <w:sz w:val="18"/>
                          <w:szCs w:val="18"/>
                        </w:rPr>
                      </w:pPr>
                    </w:p>
                    <w:p w14:paraId="2B550753" w14:textId="145BA8BB" w:rsidR="00FC0780" w:rsidRDefault="00FC0780" w:rsidP="007D51E5">
                      <w:pPr>
                        <w:rPr>
                          <w:rFonts w:ascii="Century Gothic" w:hAnsi="Century Gothic"/>
                          <w:b/>
                          <w:sz w:val="18"/>
                          <w:szCs w:val="18"/>
                        </w:rPr>
                      </w:pPr>
                      <w:r>
                        <w:rPr>
                          <w:rFonts w:ascii="Century Gothic" w:hAnsi="Century Gothic"/>
                          <w:b/>
                          <w:sz w:val="18"/>
                          <w:szCs w:val="18"/>
                        </w:rPr>
                        <w:t xml:space="preserve"> </w:t>
                      </w:r>
                      <w:r w:rsidR="00E8356A">
                        <w:rPr>
                          <w:rFonts w:ascii="Century Gothic" w:hAnsi="Century Gothic"/>
                          <w:b/>
                          <w:sz w:val="18"/>
                          <w:szCs w:val="18"/>
                        </w:rPr>
                        <w:t xml:space="preserve">Signature: </w:t>
                      </w:r>
                      <w:r>
                        <w:rPr>
                          <w:rFonts w:ascii="Century Gothic" w:hAnsi="Century Gothic"/>
                          <w:b/>
                          <w:sz w:val="18"/>
                          <w:szCs w:val="18"/>
                        </w:rPr>
                        <w:t>…………………….</w:t>
                      </w:r>
                      <w:r w:rsidR="003E796A">
                        <w:rPr>
                          <w:rFonts w:ascii="Century Gothic" w:hAnsi="Century Gothic"/>
                          <w:b/>
                          <w:sz w:val="18"/>
                          <w:szCs w:val="18"/>
                        </w:rPr>
                        <w:t xml:space="preserve">    </w:t>
                      </w:r>
                      <w:r w:rsidR="00E8356A">
                        <w:rPr>
                          <w:rFonts w:ascii="Century Gothic" w:hAnsi="Century Gothic"/>
                          <w:b/>
                          <w:sz w:val="18"/>
                          <w:szCs w:val="18"/>
                        </w:rPr>
                        <w:t xml:space="preserve">Date: </w:t>
                      </w:r>
                      <w:r w:rsidR="00DA46E8">
                        <w:rPr>
                          <w:rFonts w:ascii="Century Gothic" w:hAnsi="Century Gothic"/>
                          <w:b/>
                          <w:sz w:val="18"/>
                          <w:szCs w:val="18"/>
                        </w:rPr>
                        <w:t xml:space="preserve"> </w:t>
                      </w:r>
                      <w:r w:rsidR="00161C04">
                        <w:rPr>
                          <w:rFonts w:ascii="Century Gothic" w:hAnsi="Century Gothic"/>
                          <w:b/>
                          <w:sz w:val="18"/>
                          <w:szCs w:val="18"/>
                        </w:rPr>
                        <w:t>1</w:t>
                      </w:r>
                      <w:r w:rsidR="00EA10C3">
                        <w:rPr>
                          <w:rFonts w:ascii="Century Gothic" w:hAnsi="Century Gothic"/>
                          <w:b/>
                          <w:sz w:val="18"/>
                          <w:szCs w:val="18"/>
                        </w:rPr>
                        <w:t>7</w:t>
                      </w:r>
                      <w:r w:rsidR="00161C04">
                        <w:rPr>
                          <w:rFonts w:ascii="Century Gothic" w:hAnsi="Century Gothic"/>
                          <w:b/>
                          <w:sz w:val="18"/>
                          <w:szCs w:val="18"/>
                        </w:rPr>
                        <w:t xml:space="preserve"> </w:t>
                      </w:r>
                      <w:r w:rsidR="003E796A">
                        <w:rPr>
                          <w:rFonts w:ascii="Century Gothic" w:hAnsi="Century Gothic"/>
                          <w:b/>
                          <w:sz w:val="18"/>
                          <w:szCs w:val="18"/>
                        </w:rPr>
                        <w:t xml:space="preserve">November </w:t>
                      </w:r>
                      <w:r w:rsidR="00B469F8">
                        <w:rPr>
                          <w:rFonts w:ascii="Century Gothic" w:hAnsi="Century Gothic"/>
                          <w:b/>
                          <w:sz w:val="18"/>
                          <w:szCs w:val="18"/>
                        </w:rPr>
                        <w:t>202</w:t>
                      </w:r>
                      <w:r w:rsidR="00D33D7C">
                        <w:rPr>
                          <w:rFonts w:ascii="Century Gothic" w:hAnsi="Century Gothic"/>
                          <w:b/>
                          <w:sz w:val="18"/>
                          <w:szCs w:val="18"/>
                        </w:rPr>
                        <w:t>3</w:t>
                      </w:r>
                    </w:p>
                    <w:p w14:paraId="7806C82D" w14:textId="71EBAAA3" w:rsidR="00FC0780" w:rsidRDefault="00FC0780" w:rsidP="007D51E5">
                      <w:pPr>
                        <w:rPr>
                          <w:rFonts w:ascii="Century Gothic" w:hAnsi="Century Gothic"/>
                          <w:sz w:val="18"/>
                          <w:szCs w:val="18"/>
                        </w:rPr>
                      </w:pPr>
                      <w:r>
                        <w:rPr>
                          <w:rFonts w:ascii="Century Gothic" w:hAnsi="Century Gothic"/>
                          <w:sz w:val="18"/>
                          <w:szCs w:val="18"/>
                        </w:rPr>
                        <w:t xml:space="preserve"> </w:t>
                      </w:r>
                    </w:p>
                  </w:txbxContent>
                </v:textbox>
                <w10:anchorlock/>
              </v:shape>
            </w:pict>
          </mc:Fallback>
        </mc:AlternateContent>
      </w:r>
    </w:p>
    <w:p w14:paraId="704A3E7E" w14:textId="5CA4C0B2" w:rsidR="00B93B6F" w:rsidRPr="00054CE0" w:rsidRDefault="00B93B6F" w:rsidP="00B93B6F">
      <w:pPr>
        <w:autoSpaceDE w:val="0"/>
        <w:autoSpaceDN w:val="0"/>
        <w:adjustRightInd w:val="0"/>
        <w:spacing w:before="240" w:line="360" w:lineRule="auto"/>
        <w:ind w:left="720"/>
        <w:jc w:val="right"/>
        <w:rPr>
          <w:rFonts w:ascii="Arial" w:hAnsi="Arial" w:cs="Arial"/>
          <w:b/>
          <w:sz w:val="24"/>
          <w:szCs w:val="24"/>
        </w:rPr>
      </w:pPr>
      <w:r w:rsidRPr="00054CE0">
        <w:rPr>
          <w:rFonts w:ascii="Arial" w:hAnsi="Arial" w:cs="Arial"/>
          <w:b/>
          <w:sz w:val="24"/>
          <w:szCs w:val="24"/>
        </w:rPr>
        <w:t xml:space="preserve">Case no: </w:t>
      </w:r>
      <w:r w:rsidR="002B64E9" w:rsidRPr="00054CE0">
        <w:rPr>
          <w:rFonts w:ascii="Arial" w:hAnsi="Arial" w:cs="Arial"/>
          <w:b/>
          <w:sz w:val="24"/>
          <w:szCs w:val="24"/>
        </w:rPr>
        <w:t>202</w:t>
      </w:r>
      <w:r w:rsidR="003E796A" w:rsidRPr="00054CE0">
        <w:rPr>
          <w:rFonts w:ascii="Arial" w:hAnsi="Arial" w:cs="Arial"/>
          <w:b/>
          <w:sz w:val="24"/>
          <w:szCs w:val="24"/>
        </w:rPr>
        <w:t>0</w:t>
      </w:r>
      <w:r w:rsidR="002B64E9" w:rsidRPr="00054CE0">
        <w:rPr>
          <w:rFonts w:ascii="Arial" w:hAnsi="Arial" w:cs="Arial"/>
          <w:b/>
          <w:sz w:val="24"/>
          <w:szCs w:val="24"/>
        </w:rPr>
        <w:t>/</w:t>
      </w:r>
      <w:r w:rsidR="003E796A" w:rsidRPr="00054CE0">
        <w:rPr>
          <w:rFonts w:ascii="Arial" w:hAnsi="Arial" w:cs="Arial"/>
          <w:b/>
          <w:sz w:val="24"/>
          <w:szCs w:val="24"/>
        </w:rPr>
        <w:t>41514</w:t>
      </w:r>
    </w:p>
    <w:p w14:paraId="29E97B5D" w14:textId="2BBDFFBD" w:rsidR="00D202C2" w:rsidRPr="00671349" w:rsidRDefault="00D202C2" w:rsidP="00B928FE">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r w:rsidR="00B928FE" w:rsidRPr="00671349">
        <w:rPr>
          <w:rFonts w:ascii="Arial" w:hAnsi="Arial" w:cs="Arial"/>
          <w:sz w:val="24"/>
          <w:szCs w:val="24"/>
        </w:rPr>
        <w:t>:</w:t>
      </w:r>
    </w:p>
    <w:p w14:paraId="5749F4CD" w14:textId="77777777" w:rsidR="00B5292A" w:rsidRDefault="00E970E4" w:rsidP="00B7178D">
      <w:pPr>
        <w:pStyle w:val="NoSpacing"/>
        <w:tabs>
          <w:tab w:val="left" w:pos="720"/>
          <w:tab w:val="left" w:pos="1440"/>
          <w:tab w:val="left" w:pos="2160"/>
          <w:tab w:val="right" w:pos="9356"/>
        </w:tabs>
        <w:rPr>
          <w:rFonts w:ascii="Arial" w:hAnsi="Arial"/>
          <w:b/>
          <w:sz w:val="24"/>
          <w:szCs w:val="24"/>
        </w:rPr>
      </w:pPr>
      <w:r>
        <w:rPr>
          <w:rFonts w:ascii="Arial" w:hAnsi="Arial"/>
          <w:b/>
          <w:sz w:val="24"/>
          <w:szCs w:val="24"/>
        </w:rPr>
        <w:tab/>
      </w:r>
    </w:p>
    <w:p w14:paraId="2FEF0451" w14:textId="55AB4221" w:rsidR="00110CFA" w:rsidRPr="00110CFA" w:rsidRDefault="003E796A" w:rsidP="00361DD3">
      <w:pPr>
        <w:pStyle w:val="NoSpacing"/>
        <w:tabs>
          <w:tab w:val="left" w:pos="720"/>
          <w:tab w:val="left" w:pos="1440"/>
          <w:tab w:val="left" w:pos="2160"/>
          <w:tab w:val="right" w:pos="8788"/>
        </w:tabs>
        <w:rPr>
          <w:rFonts w:ascii="Arial" w:hAnsi="Arial"/>
          <w:b/>
          <w:sz w:val="24"/>
          <w:szCs w:val="24"/>
        </w:rPr>
      </w:pPr>
      <w:r w:rsidRPr="00807543">
        <w:rPr>
          <w:rFonts w:ascii="Arial" w:hAnsi="Arial"/>
          <w:b/>
          <w:bCs/>
          <w:sz w:val="24"/>
          <w:szCs w:val="24"/>
        </w:rPr>
        <w:t xml:space="preserve">MERCHANT CAPITAL ADVISORY SERVICES (PTY) </w:t>
      </w:r>
      <w:r>
        <w:rPr>
          <w:rFonts w:ascii="Arial" w:hAnsi="Arial"/>
          <w:b/>
          <w:sz w:val="24"/>
          <w:szCs w:val="24"/>
        </w:rPr>
        <w:t>LTD</w:t>
      </w:r>
      <w:r w:rsidR="00110CFA">
        <w:rPr>
          <w:rFonts w:ascii="Arial" w:hAnsi="Arial"/>
          <w:b/>
          <w:sz w:val="24"/>
          <w:szCs w:val="24"/>
        </w:rPr>
        <w:tab/>
      </w:r>
      <w:r>
        <w:rPr>
          <w:rFonts w:ascii="Arial" w:hAnsi="Arial"/>
          <w:bCs/>
          <w:sz w:val="24"/>
          <w:szCs w:val="24"/>
        </w:rPr>
        <w:t xml:space="preserve">Applicant </w:t>
      </w:r>
    </w:p>
    <w:p w14:paraId="6F0B3BF3" w14:textId="77777777" w:rsidR="00110CFA" w:rsidRDefault="00110CFA" w:rsidP="00361DD3">
      <w:pPr>
        <w:tabs>
          <w:tab w:val="left" w:pos="0"/>
          <w:tab w:val="right" w:pos="8788"/>
          <w:tab w:val="right" w:pos="8931"/>
          <w:tab w:val="right" w:pos="9356"/>
        </w:tabs>
        <w:autoSpaceDE w:val="0"/>
        <w:autoSpaceDN w:val="0"/>
        <w:adjustRightInd w:val="0"/>
        <w:spacing w:line="240" w:lineRule="auto"/>
        <w:rPr>
          <w:rFonts w:ascii="Arial" w:hAnsi="Arial" w:cs="Arial"/>
          <w:bCs/>
          <w:sz w:val="24"/>
          <w:szCs w:val="24"/>
        </w:rPr>
      </w:pPr>
    </w:p>
    <w:p w14:paraId="7666F6E1" w14:textId="50577F0E" w:rsidR="00D202C2" w:rsidRDefault="00110CFA" w:rsidP="00361DD3">
      <w:pPr>
        <w:tabs>
          <w:tab w:val="left" w:pos="0"/>
          <w:tab w:val="right" w:pos="8788"/>
          <w:tab w:val="right" w:pos="8931"/>
          <w:tab w:val="right" w:pos="9356"/>
        </w:tabs>
        <w:autoSpaceDE w:val="0"/>
        <w:autoSpaceDN w:val="0"/>
        <w:adjustRightInd w:val="0"/>
        <w:spacing w:line="240" w:lineRule="auto"/>
        <w:rPr>
          <w:rFonts w:ascii="Arial" w:hAnsi="Arial" w:cs="Arial"/>
          <w:bCs/>
          <w:sz w:val="24"/>
          <w:szCs w:val="24"/>
        </w:rPr>
      </w:pPr>
      <w:r>
        <w:rPr>
          <w:rFonts w:ascii="Arial" w:hAnsi="Arial" w:cs="Arial"/>
          <w:bCs/>
          <w:sz w:val="24"/>
          <w:szCs w:val="24"/>
        </w:rPr>
        <w:t>a</w:t>
      </w:r>
      <w:r w:rsidR="00D202C2" w:rsidRPr="00671349">
        <w:rPr>
          <w:rFonts w:ascii="Arial" w:hAnsi="Arial" w:cs="Arial"/>
          <w:bCs/>
          <w:sz w:val="24"/>
          <w:szCs w:val="24"/>
        </w:rPr>
        <w:t>nd</w:t>
      </w:r>
    </w:p>
    <w:p w14:paraId="76E5BFF3" w14:textId="77777777" w:rsidR="00110CFA" w:rsidRPr="00671349" w:rsidRDefault="00110CFA" w:rsidP="00361DD3">
      <w:pPr>
        <w:tabs>
          <w:tab w:val="left" w:pos="0"/>
          <w:tab w:val="right" w:pos="8788"/>
          <w:tab w:val="right" w:pos="8931"/>
          <w:tab w:val="right" w:pos="9356"/>
        </w:tabs>
        <w:autoSpaceDE w:val="0"/>
        <w:autoSpaceDN w:val="0"/>
        <w:adjustRightInd w:val="0"/>
        <w:spacing w:line="240" w:lineRule="auto"/>
        <w:rPr>
          <w:rFonts w:ascii="Arial" w:hAnsi="Arial" w:cs="Arial"/>
          <w:bCs/>
          <w:sz w:val="24"/>
          <w:szCs w:val="24"/>
        </w:rPr>
      </w:pPr>
    </w:p>
    <w:p w14:paraId="41E83749" w14:textId="75998C35" w:rsidR="00110CFA" w:rsidRDefault="003E796A" w:rsidP="00361DD3">
      <w:pPr>
        <w:tabs>
          <w:tab w:val="left" w:pos="0"/>
          <w:tab w:val="right" w:pos="8788"/>
        </w:tabs>
        <w:autoSpaceDE w:val="0"/>
        <w:autoSpaceDN w:val="0"/>
        <w:adjustRightInd w:val="0"/>
        <w:spacing w:line="240" w:lineRule="auto"/>
        <w:rPr>
          <w:rFonts w:ascii="Arial" w:hAnsi="Arial"/>
          <w:bCs/>
          <w:sz w:val="24"/>
          <w:szCs w:val="24"/>
        </w:rPr>
      </w:pPr>
      <w:r>
        <w:rPr>
          <w:rFonts w:ascii="Arial" w:hAnsi="Arial"/>
          <w:b/>
          <w:sz w:val="24"/>
          <w:szCs w:val="24"/>
        </w:rPr>
        <w:t>MILAN CERIMAJ</w:t>
      </w:r>
      <w:r w:rsidR="00110CFA">
        <w:rPr>
          <w:rFonts w:ascii="Arial" w:hAnsi="Arial"/>
          <w:b/>
          <w:sz w:val="24"/>
          <w:szCs w:val="24"/>
        </w:rPr>
        <w:tab/>
      </w:r>
      <w:r>
        <w:rPr>
          <w:rFonts w:ascii="Arial" w:hAnsi="Arial"/>
          <w:bCs/>
          <w:sz w:val="24"/>
          <w:szCs w:val="24"/>
        </w:rPr>
        <w:t>First Respondent</w:t>
      </w:r>
    </w:p>
    <w:p w14:paraId="31CFC5AC" w14:textId="77777777" w:rsidR="003E796A" w:rsidRDefault="003E796A" w:rsidP="00361DD3">
      <w:pPr>
        <w:tabs>
          <w:tab w:val="left" w:pos="0"/>
          <w:tab w:val="right" w:pos="8788"/>
        </w:tabs>
        <w:autoSpaceDE w:val="0"/>
        <w:autoSpaceDN w:val="0"/>
        <w:adjustRightInd w:val="0"/>
        <w:spacing w:line="240" w:lineRule="auto"/>
        <w:rPr>
          <w:rFonts w:ascii="Arial" w:hAnsi="Arial"/>
          <w:bCs/>
          <w:sz w:val="24"/>
          <w:szCs w:val="24"/>
        </w:rPr>
      </w:pPr>
    </w:p>
    <w:p w14:paraId="2BB6D9E4" w14:textId="50773695" w:rsidR="003E796A" w:rsidRDefault="003E796A" w:rsidP="00361DD3">
      <w:pPr>
        <w:pBdr>
          <w:bottom w:val="single" w:sz="12" w:space="1" w:color="auto"/>
        </w:pBdr>
        <w:tabs>
          <w:tab w:val="left" w:pos="0"/>
          <w:tab w:val="right" w:pos="8788"/>
        </w:tabs>
        <w:autoSpaceDE w:val="0"/>
        <w:autoSpaceDN w:val="0"/>
        <w:adjustRightInd w:val="0"/>
        <w:spacing w:line="240" w:lineRule="auto"/>
        <w:rPr>
          <w:rFonts w:ascii="Arial" w:hAnsi="Arial"/>
          <w:bCs/>
          <w:sz w:val="24"/>
          <w:szCs w:val="24"/>
        </w:rPr>
      </w:pPr>
      <w:r w:rsidRPr="003E796A">
        <w:rPr>
          <w:rFonts w:ascii="Arial" w:hAnsi="Arial"/>
          <w:b/>
          <w:sz w:val="24"/>
          <w:szCs w:val="24"/>
        </w:rPr>
        <w:t>DRAGAN VIDAKOVIC</w:t>
      </w:r>
      <w:r>
        <w:rPr>
          <w:rFonts w:ascii="Arial" w:hAnsi="Arial"/>
          <w:bCs/>
          <w:sz w:val="24"/>
          <w:szCs w:val="24"/>
        </w:rPr>
        <w:tab/>
        <w:t>Second Respondent</w:t>
      </w:r>
    </w:p>
    <w:p w14:paraId="709E8F01" w14:textId="77777777" w:rsidR="00361DD3" w:rsidRPr="00110CFA" w:rsidRDefault="00361DD3" w:rsidP="00361DD3">
      <w:pPr>
        <w:pBdr>
          <w:bottom w:val="single" w:sz="12" w:space="1" w:color="auto"/>
        </w:pBdr>
        <w:tabs>
          <w:tab w:val="left" w:pos="0"/>
          <w:tab w:val="right" w:pos="8788"/>
        </w:tabs>
        <w:autoSpaceDE w:val="0"/>
        <w:autoSpaceDN w:val="0"/>
        <w:adjustRightInd w:val="0"/>
        <w:spacing w:line="240" w:lineRule="auto"/>
        <w:rPr>
          <w:rFonts w:ascii="Arial" w:hAnsi="Arial"/>
          <w:b/>
          <w:sz w:val="24"/>
          <w:szCs w:val="24"/>
        </w:rPr>
      </w:pPr>
    </w:p>
    <w:p w14:paraId="71D8E284" w14:textId="77777777" w:rsidR="00361DD3" w:rsidRPr="00671349" w:rsidRDefault="00361DD3" w:rsidP="00361DD3">
      <w:pPr>
        <w:tabs>
          <w:tab w:val="right" w:pos="8788"/>
          <w:tab w:val="right" w:pos="9356"/>
        </w:tabs>
        <w:autoSpaceDE w:val="0"/>
        <w:autoSpaceDN w:val="0"/>
        <w:adjustRightInd w:val="0"/>
        <w:spacing w:after="120" w:line="360" w:lineRule="auto"/>
        <w:rPr>
          <w:rFonts w:ascii="Arial" w:hAnsi="Arial" w:cs="Arial"/>
          <w:b/>
          <w:bCs/>
          <w:sz w:val="24"/>
          <w:szCs w:val="24"/>
        </w:rPr>
      </w:pPr>
    </w:p>
    <w:p w14:paraId="1DEA2455" w14:textId="0875CE26" w:rsidR="00D202C2" w:rsidRDefault="00D202C2" w:rsidP="00361DD3">
      <w:pPr>
        <w:pBdr>
          <w:bottom w:val="single" w:sz="12" w:space="1" w:color="auto"/>
        </w:pBdr>
        <w:tabs>
          <w:tab w:val="right" w:pos="8788"/>
          <w:tab w:val="right" w:pos="9356"/>
        </w:tabs>
        <w:autoSpaceDE w:val="0"/>
        <w:autoSpaceDN w:val="0"/>
        <w:adjustRightInd w:val="0"/>
        <w:spacing w:before="240" w:after="120" w:line="360" w:lineRule="auto"/>
        <w:jc w:val="center"/>
        <w:rPr>
          <w:rFonts w:ascii="Arial" w:hAnsi="Arial" w:cs="Arial"/>
          <w:b/>
          <w:bCs/>
          <w:sz w:val="24"/>
          <w:szCs w:val="24"/>
        </w:rPr>
      </w:pPr>
      <w:r w:rsidRPr="00671349">
        <w:rPr>
          <w:rFonts w:ascii="Arial" w:hAnsi="Arial" w:cs="Arial"/>
          <w:b/>
          <w:bCs/>
          <w:sz w:val="24"/>
          <w:szCs w:val="24"/>
        </w:rPr>
        <w:t>JUDGMENT</w:t>
      </w:r>
      <w:r w:rsidR="00110CFA">
        <w:rPr>
          <w:rFonts w:ascii="Arial" w:hAnsi="Arial" w:cs="Arial"/>
          <w:b/>
          <w:bCs/>
          <w:sz w:val="24"/>
          <w:szCs w:val="24"/>
        </w:rPr>
        <w:t xml:space="preserve"> </w:t>
      </w:r>
    </w:p>
    <w:p w14:paraId="3F42C980" w14:textId="77777777" w:rsidR="00361DD3" w:rsidRPr="00671349" w:rsidRDefault="00361DD3" w:rsidP="00361DD3">
      <w:pPr>
        <w:pBdr>
          <w:bottom w:val="single" w:sz="12" w:space="1" w:color="auto"/>
        </w:pBdr>
        <w:tabs>
          <w:tab w:val="right" w:pos="8788"/>
          <w:tab w:val="right" w:pos="9356"/>
        </w:tabs>
        <w:autoSpaceDE w:val="0"/>
        <w:autoSpaceDN w:val="0"/>
        <w:adjustRightInd w:val="0"/>
        <w:spacing w:before="240" w:after="120" w:line="360" w:lineRule="auto"/>
        <w:jc w:val="center"/>
        <w:rPr>
          <w:rFonts w:ascii="Arial" w:hAnsi="Arial" w:cs="Arial"/>
          <w:b/>
          <w:bCs/>
          <w:sz w:val="24"/>
          <w:szCs w:val="24"/>
        </w:rPr>
      </w:pPr>
    </w:p>
    <w:p w14:paraId="7D4970BF" w14:textId="77777777" w:rsidR="00B469F8" w:rsidRDefault="005E4834" w:rsidP="00B928FE">
      <w:pPr>
        <w:tabs>
          <w:tab w:val="left" w:pos="0"/>
          <w:tab w:val="right" w:pos="9070"/>
        </w:tabs>
        <w:autoSpaceDE w:val="0"/>
        <w:autoSpaceDN w:val="0"/>
        <w:adjustRightInd w:val="0"/>
        <w:spacing w:before="240" w:after="120" w:line="360" w:lineRule="auto"/>
        <w:rPr>
          <w:rFonts w:ascii="Arial" w:hAnsi="Arial" w:cs="Arial"/>
          <w:b/>
          <w:sz w:val="24"/>
          <w:szCs w:val="24"/>
        </w:rPr>
      </w:pPr>
      <w:r w:rsidRPr="00FE508D">
        <w:rPr>
          <w:rFonts w:ascii="Arial" w:hAnsi="Arial" w:cs="Arial"/>
          <w:b/>
          <w:sz w:val="24"/>
          <w:szCs w:val="24"/>
        </w:rPr>
        <w:t xml:space="preserve">This judgment </w:t>
      </w:r>
      <w:r>
        <w:rPr>
          <w:rFonts w:ascii="Arial" w:hAnsi="Arial" w:cs="Arial"/>
          <w:b/>
          <w:sz w:val="24"/>
          <w:szCs w:val="24"/>
        </w:rPr>
        <w:t xml:space="preserve">is </w:t>
      </w:r>
      <w:r w:rsidRPr="00FE508D">
        <w:rPr>
          <w:rFonts w:ascii="Arial" w:hAnsi="Arial" w:cs="Arial"/>
          <w:b/>
          <w:sz w:val="24"/>
          <w:szCs w:val="24"/>
        </w:rPr>
        <w:t xml:space="preserve">handed down electronically by circulation to the parties’ legal representatives by e-mail and by uploading the signed copy to </w:t>
      </w:r>
      <w:proofErr w:type="spellStart"/>
      <w:r w:rsidRPr="00FE508D">
        <w:rPr>
          <w:rFonts w:ascii="Arial" w:hAnsi="Arial" w:cs="Arial"/>
          <w:b/>
          <w:sz w:val="24"/>
          <w:szCs w:val="24"/>
        </w:rPr>
        <w:t>Caselines</w:t>
      </w:r>
      <w:proofErr w:type="spellEnd"/>
      <w:r>
        <w:rPr>
          <w:rFonts w:ascii="Arial" w:hAnsi="Arial" w:cs="Arial"/>
          <w:b/>
          <w:sz w:val="24"/>
          <w:szCs w:val="24"/>
        </w:rPr>
        <w:t>.</w:t>
      </w:r>
    </w:p>
    <w:p w14:paraId="736D3A2C" w14:textId="1E21DD24" w:rsidR="00D202C2" w:rsidRPr="00671349" w:rsidRDefault="003C4F1C" w:rsidP="00C21D3B">
      <w:pPr>
        <w:keepNext/>
        <w:tabs>
          <w:tab w:val="left" w:pos="0"/>
          <w:tab w:val="right" w:pos="9070"/>
        </w:tabs>
        <w:autoSpaceDE w:val="0"/>
        <w:autoSpaceDN w:val="0"/>
        <w:adjustRightInd w:val="0"/>
        <w:spacing w:before="240" w:after="120" w:line="360" w:lineRule="auto"/>
        <w:rPr>
          <w:rFonts w:ascii="Arial" w:hAnsi="Arial" w:cs="Arial"/>
          <w:b/>
          <w:sz w:val="24"/>
          <w:szCs w:val="24"/>
        </w:rPr>
      </w:pPr>
      <w:r w:rsidRPr="00671349">
        <w:rPr>
          <w:rFonts w:ascii="Arial" w:hAnsi="Arial" w:cs="Arial"/>
          <w:b/>
          <w:sz w:val="24"/>
          <w:szCs w:val="24"/>
        </w:rPr>
        <w:lastRenderedPageBreak/>
        <w:t>MOULTRIE</w:t>
      </w:r>
      <w:r w:rsidR="00D202C2" w:rsidRPr="00671349">
        <w:rPr>
          <w:rFonts w:ascii="Arial" w:hAnsi="Arial" w:cs="Arial"/>
          <w:b/>
          <w:sz w:val="24"/>
          <w:szCs w:val="24"/>
        </w:rPr>
        <w:t xml:space="preserve"> AJ</w:t>
      </w:r>
    </w:p>
    <w:p w14:paraId="004798FF" w14:textId="176FB36D" w:rsidR="003E796A" w:rsidRDefault="005C69AA" w:rsidP="005C69AA">
      <w:pPr>
        <w:pStyle w:val="LC1"/>
        <w:numPr>
          <w:ilvl w:val="0"/>
          <w:numId w:val="0"/>
        </w:numPr>
        <w:ind w:left="720" w:hanging="720"/>
      </w:pPr>
      <w:r>
        <w:rPr>
          <w:rFonts w:cs="Arial"/>
          <w:szCs w:val="24"/>
        </w:rPr>
        <w:t>[1]</w:t>
      </w:r>
      <w:r>
        <w:rPr>
          <w:rFonts w:cs="Arial"/>
          <w:szCs w:val="24"/>
        </w:rPr>
        <w:tab/>
      </w:r>
      <w:r w:rsidR="003E796A">
        <w:t xml:space="preserve">In this matter, the applicant seeks a money judgment on motion against the first respondent. The cause of action </w:t>
      </w:r>
      <w:r w:rsidR="00F67383">
        <w:t xml:space="preserve">is based on </w:t>
      </w:r>
      <w:r w:rsidR="003E796A">
        <w:t xml:space="preserve">a credit agreement </w:t>
      </w:r>
      <w:r w:rsidR="00F67383">
        <w:t xml:space="preserve">allegedly </w:t>
      </w:r>
      <w:r w:rsidR="009B4F37">
        <w:t xml:space="preserve">concluded </w:t>
      </w:r>
      <w:r w:rsidR="003E796A">
        <w:t xml:space="preserve">between the applicant and a now-insolvent company </w:t>
      </w:r>
      <w:r w:rsidR="009B4F37">
        <w:t xml:space="preserve">(the principal debtor) together with an alleged </w:t>
      </w:r>
      <w:r w:rsidR="003E796A">
        <w:t xml:space="preserve">suretyship </w:t>
      </w:r>
      <w:r w:rsidR="009B4F37">
        <w:t xml:space="preserve">undertaken </w:t>
      </w:r>
      <w:r w:rsidR="003E796A">
        <w:t>by the first respondent</w:t>
      </w:r>
      <w:r w:rsidR="009B4F37">
        <w:t>.</w:t>
      </w:r>
    </w:p>
    <w:p w14:paraId="197EA128" w14:textId="655560CE" w:rsidR="003E796A" w:rsidRDefault="005C69AA" w:rsidP="005C69AA">
      <w:pPr>
        <w:pStyle w:val="LC1"/>
        <w:numPr>
          <w:ilvl w:val="0"/>
          <w:numId w:val="0"/>
        </w:numPr>
        <w:ind w:left="720" w:hanging="720"/>
      </w:pPr>
      <w:r>
        <w:rPr>
          <w:rFonts w:cs="Arial"/>
          <w:szCs w:val="24"/>
        </w:rPr>
        <w:t>[2]</w:t>
      </w:r>
      <w:r>
        <w:rPr>
          <w:rFonts w:cs="Arial"/>
          <w:szCs w:val="24"/>
        </w:rPr>
        <w:tab/>
      </w:r>
      <w:r w:rsidR="003E796A">
        <w:t xml:space="preserve">Although the application was opposed and an answering affidavit was deposed to by the first respondent, and although heads of argument were filed on his behalf, there was no appearance </w:t>
      </w:r>
      <w:r w:rsidR="009B4F37">
        <w:t xml:space="preserve">for him </w:t>
      </w:r>
      <w:r w:rsidR="003E796A">
        <w:t xml:space="preserve">when the matter was </w:t>
      </w:r>
      <w:r w:rsidR="009B4F37">
        <w:t>called</w:t>
      </w:r>
      <w:r w:rsidR="003E796A">
        <w:t xml:space="preserve">. This was </w:t>
      </w:r>
      <w:proofErr w:type="gramStart"/>
      <w:r w:rsidR="003E796A">
        <w:t>despite the fact that</w:t>
      </w:r>
      <w:proofErr w:type="gramEnd"/>
      <w:r w:rsidR="003E796A">
        <w:t xml:space="preserve"> the notice of set down </w:t>
      </w:r>
      <w:r w:rsidR="009B4F37">
        <w:t xml:space="preserve">appears to have been </w:t>
      </w:r>
      <w:r w:rsidR="003E796A">
        <w:t>duly served</w:t>
      </w:r>
      <w:r w:rsidR="009B4F37">
        <w:t xml:space="preserve">. Furthermore, </w:t>
      </w:r>
      <w:r w:rsidR="003E796A">
        <w:t xml:space="preserve">the first respondent’s attorneys were sent a copy of the allocated opposed motion roll by the </w:t>
      </w:r>
      <w:r w:rsidR="009B4F37">
        <w:t>s</w:t>
      </w:r>
      <w:r w:rsidR="003E796A">
        <w:t xml:space="preserve">ecretary of the senior motion court judge for the week. The failure of a respondent to appear </w:t>
      </w:r>
      <w:r w:rsidR="00F8257E">
        <w:t xml:space="preserve">despite </w:t>
      </w:r>
      <w:r w:rsidR="003E796A">
        <w:t>having been duly notified does not, however, ent</w:t>
      </w:r>
      <w:r w:rsidR="007F5F02">
        <w:t>itle an applicant to its order</w:t>
      </w:r>
      <w:r w:rsidR="00F26F30">
        <w:t xml:space="preserve">: </w:t>
      </w:r>
      <w:r w:rsidR="003E796A">
        <w:t xml:space="preserve">the court </w:t>
      </w:r>
      <w:r w:rsidR="00F26F30">
        <w:t xml:space="preserve">must still </w:t>
      </w:r>
      <w:r w:rsidR="003E796A">
        <w:t>be satisfied that a case is duly made out on the papers for the relief sought.</w:t>
      </w:r>
    </w:p>
    <w:p w14:paraId="56A7ECC1" w14:textId="6A5BF866" w:rsidR="00C416EA" w:rsidRDefault="005C69AA" w:rsidP="005C69AA">
      <w:pPr>
        <w:pStyle w:val="LC1"/>
        <w:numPr>
          <w:ilvl w:val="0"/>
          <w:numId w:val="0"/>
        </w:numPr>
        <w:ind w:left="720" w:hanging="720"/>
      </w:pPr>
      <w:r>
        <w:rPr>
          <w:rFonts w:cs="Arial"/>
          <w:szCs w:val="24"/>
        </w:rPr>
        <w:t>[3]</w:t>
      </w:r>
      <w:r>
        <w:rPr>
          <w:rFonts w:cs="Arial"/>
          <w:szCs w:val="24"/>
        </w:rPr>
        <w:tab/>
      </w:r>
      <w:r w:rsidR="003E796A">
        <w:t xml:space="preserve">I requested </w:t>
      </w:r>
      <w:r w:rsidR="00F8257E">
        <w:t xml:space="preserve">Mr Jacobs, who appeared for the applicant </w:t>
      </w:r>
      <w:r w:rsidR="003E796A">
        <w:t xml:space="preserve">to address me on various </w:t>
      </w:r>
      <w:r w:rsidR="009B4F37">
        <w:t>aspects of the application</w:t>
      </w:r>
      <w:r w:rsidR="003E796A">
        <w:t xml:space="preserve">. </w:t>
      </w:r>
      <w:r w:rsidR="00F26F30">
        <w:t xml:space="preserve">The </w:t>
      </w:r>
      <w:r w:rsidR="003E796A">
        <w:t xml:space="preserve">responses furnished to my queries </w:t>
      </w:r>
      <w:r w:rsidR="00F26F30">
        <w:t xml:space="preserve">were satisfactory </w:t>
      </w:r>
      <w:r w:rsidR="003E796A">
        <w:t xml:space="preserve">regarding </w:t>
      </w:r>
      <w:r w:rsidR="00C416EA">
        <w:t xml:space="preserve">the factual allegations supporting the applicant’s contention regarding the inapplicability </w:t>
      </w:r>
      <w:r w:rsidR="003E796A">
        <w:t>of the National Credit Act</w:t>
      </w:r>
      <w:r w:rsidR="00C416EA">
        <w:t>, 34 of 2005</w:t>
      </w:r>
      <w:r w:rsidR="003E796A">
        <w:t xml:space="preserve"> </w:t>
      </w:r>
      <w:r w:rsidR="00C416EA">
        <w:t>(which</w:t>
      </w:r>
      <w:r w:rsidR="00F26F30">
        <w:t xml:space="preserve"> </w:t>
      </w:r>
      <w:r w:rsidR="009B4F37">
        <w:t xml:space="preserve">had been </w:t>
      </w:r>
      <w:r w:rsidR="00C416EA">
        <w:t xml:space="preserve">met with a bare denial on the first respondent’s part) </w:t>
      </w:r>
      <w:r w:rsidR="003E796A">
        <w:t xml:space="preserve">and in relation </w:t>
      </w:r>
      <w:r w:rsidR="00C416EA">
        <w:t xml:space="preserve">to the date from </w:t>
      </w:r>
      <w:r w:rsidR="00570F23">
        <w:t xml:space="preserve">which </w:t>
      </w:r>
      <w:r w:rsidR="00C416EA">
        <w:t xml:space="preserve">interest should be ordered to run </w:t>
      </w:r>
      <w:r w:rsidR="00570F23">
        <w:t xml:space="preserve">should </w:t>
      </w:r>
      <w:r w:rsidR="00C416EA">
        <w:t xml:space="preserve">the money judgment </w:t>
      </w:r>
      <w:r w:rsidR="00D44954">
        <w:t xml:space="preserve">be </w:t>
      </w:r>
      <w:r w:rsidR="00C416EA">
        <w:t>granted.</w:t>
      </w:r>
    </w:p>
    <w:p w14:paraId="0B3592C7" w14:textId="668A7FF6" w:rsidR="00AE6D0F" w:rsidRPr="00161C04" w:rsidRDefault="005C69AA" w:rsidP="005C69AA">
      <w:pPr>
        <w:pStyle w:val="LC1"/>
        <w:numPr>
          <w:ilvl w:val="0"/>
          <w:numId w:val="0"/>
        </w:numPr>
        <w:ind w:left="720" w:hanging="720"/>
      </w:pPr>
      <w:r w:rsidRPr="00161C04">
        <w:rPr>
          <w:rFonts w:cs="Arial"/>
          <w:szCs w:val="24"/>
        </w:rPr>
        <w:lastRenderedPageBreak/>
        <w:t>[4]</w:t>
      </w:r>
      <w:r w:rsidRPr="00161C04">
        <w:rPr>
          <w:rFonts w:cs="Arial"/>
          <w:szCs w:val="24"/>
        </w:rPr>
        <w:tab/>
      </w:r>
      <w:r w:rsidR="00161C04">
        <w:t>T</w:t>
      </w:r>
      <w:r w:rsidR="00F26F30">
        <w:t xml:space="preserve">he </w:t>
      </w:r>
      <w:r w:rsidR="00C416EA">
        <w:t>remaining concern was</w:t>
      </w:r>
      <w:r w:rsidR="00F8257E">
        <w:t xml:space="preserve"> </w:t>
      </w:r>
      <w:r w:rsidR="00D44954">
        <w:t xml:space="preserve">what appears to be </w:t>
      </w:r>
      <w:r w:rsidR="00F8257E">
        <w:t xml:space="preserve">dispute </w:t>
      </w:r>
      <w:r w:rsidR="00B60327">
        <w:t xml:space="preserve">on the papers as to whether the first respondent </w:t>
      </w:r>
      <w:r w:rsidR="00F8257E">
        <w:t xml:space="preserve">signed </w:t>
      </w:r>
      <w:r w:rsidR="00B60327">
        <w:t xml:space="preserve">the </w:t>
      </w:r>
      <w:r w:rsidR="00F8257E">
        <w:t xml:space="preserve">deed of suretyship </w:t>
      </w:r>
      <w:r w:rsidR="00B60327">
        <w:t xml:space="preserve">and, if so, how best </w:t>
      </w:r>
      <w:r w:rsidR="00570F23">
        <w:t xml:space="preserve">to </w:t>
      </w:r>
      <w:r w:rsidR="00B60327">
        <w:t>deal with</w:t>
      </w:r>
      <w:r w:rsidR="00570F23">
        <w:t xml:space="preserve"> it</w:t>
      </w:r>
      <w:r w:rsidR="00161C04">
        <w:t>,</w:t>
      </w:r>
      <w:r w:rsidR="00B60327">
        <w:rPr>
          <w:rStyle w:val="FootnoteReference"/>
        </w:rPr>
        <w:footnoteReference w:id="1"/>
      </w:r>
      <w:r w:rsidR="00161C04">
        <w:t xml:space="preserve"> recalling that section 6 of the General Law Amendment Act, 50 of 1956 (the GLA Act) stipulates that in order to be valid, a contract of suretyship must b</w:t>
      </w:r>
      <w:r w:rsidR="00161C04" w:rsidRPr="00161C04">
        <w:t>e “embodied in a written document signed by or on behalf of the surety”.</w:t>
      </w:r>
      <w:r w:rsidR="00B60327" w:rsidRPr="00161C04">
        <w:t xml:space="preserve"> </w:t>
      </w:r>
    </w:p>
    <w:p w14:paraId="52791C4B" w14:textId="19C99CA1" w:rsidR="00054CE0" w:rsidRPr="00054CE0" w:rsidRDefault="005C69AA" w:rsidP="005C69AA">
      <w:pPr>
        <w:pStyle w:val="LC1"/>
        <w:numPr>
          <w:ilvl w:val="0"/>
          <w:numId w:val="0"/>
        </w:numPr>
        <w:ind w:left="720" w:hanging="720"/>
        <w:rPr>
          <w:rFonts w:cs="Arial"/>
        </w:rPr>
      </w:pPr>
      <w:r w:rsidRPr="00054CE0">
        <w:rPr>
          <w:rFonts w:cs="Arial"/>
          <w:szCs w:val="24"/>
        </w:rPr>
        <w:t>[5]</w:t>
      </w:r>
      <w:r w:rsidRPr="00054CE0">
        <w:rPr>
          <w:rFonts w:cs="Arial"/>
          <w:szCs w:val="24"/>
        </w:rPr>
        <w:tab/>
      </w:r>
      <w:r w:rsidR="009B4F37">
        <w:t xml:space="preserve">In </w:t>
      </w:r>
      <w:r w:rsidR="00EF4A89">
        <w:t xml:space="preserve">paragraph 23 of </w:t>
      </w:r>
      <w:r w:rsidR="009B4F37">
        <w:t xml:space="preserve">the founding affidavit, the applicant’s deponent alleges </w:t>
      </w:r>
      <w:r w:rsidR="00EF4A89">
        <w:t>that “o</w:t>
      </w:r>
      <w:r w:rsidR="009B4F37" w:rsidRPr="00EF4A89">
        <w:rPr>
          <w:rFonts w:eastAsia="Cambria" w:cs="Arial"/>
        </w:rPr>
        <w:t>n or about 20 November 2019 and at Sandton, and in writing the First and Second</w:t>
      </w:r>
      <w:r w:rsidR="009B4F37" w:rsidRPr="00EF4A89">
        <w:rPr>
          <w:rFonts w:cs="Arial"/>
        </w:rPr>
        <w:t xml:space="preserve"> </w:t>
      </w:r>
      <w:r w:rsidR="009B4F37" w:rsidRPr="00EF4A89">
        <w:rPr>
          <w:rFonts w:eastAsia="Cambria" w:cs="Arial"/>
        </w:rPr>
        <w:t>Respondents bound themselves jointly and severally as sureties and co-principal debtors</w:t>
      </w:r>
      <w:r w:rsidR="009B4F37" w:rsidRPr="00EF4A89">
        <w:rPr>
          <w:rFonts w:cs="Arial"/>
        </w:rPr>
        <w:t xml:space="preserve"> </w:t>
      </w:r>
      <w:r w:rsidR="009B4F37" w:rsidRPr="00EF4A89">
        <w:rPr>
          <w:rFonts w:eastAsia="Cambria" w:cs="Arial"/>
        </w:rPr>
        <w:t>with the Principal Debto</w:t>
      </w:r>
      <w:r w:rsidR="009B4F37" w:rsidRPr="00EF4A89">
        <w:rPr>
          <w:rFonts w:cs="Arial"/>
        </w:rPr>
        <w:t xml:space="preserve">r …. </w:t>
      </w:r>
      <w:r w:rsidR="009B4F37" w:rsidRPr="00EF4A89">
        <w:rPr>
          <w:rFonts w:eastAsia="Cambria" w:cs="Arial"/>
        </w:rPr>
        <w:t>A copy of the suretyship is annexed hereto, marked as</w:t>
      </w:r>
      <w:r w:rsidR="00EF4A89">
        <w:rPr>
          <w:rFonts w:eastAsia="Cambria" w:cs="Arial"/>
        </w:rPr>
        <w:t xml:space="preserve"> </w:t>
      </w:r>
      <w:r w:rsidR="009B4F37" w:rsidRPr="00EF4A89">
        <w:rPr>
          <w:rFonts w:eastAsia="Cambria" w:cs="Arial"/>
        </w:rPr>
        <w:t xml:space="preserve">annexure </w:t>
      </w:r>
      <w:r w:rsidR="00EF4A89">
        <w:rPr>
          <w:rFonts w:eastAsia="Cambria" w:cs="Arial"/>
        </w:rPr>
        <w:t>“</w:t>
      </w:r>
      <w:r w:rsidR="009B4F37" w:rsidRPr="00EF4A89">
        <w:rPr>
          <w:rFonts w:eastAsia="Cambria" w:cs="Arial"/>
        </w:rPr>
        <w:t>FA7</w:t>
      </w:r>
      <w:r w:rsidR="00054CE0">
        <w:rPr>
          <w:rFonts w:eastAsia="Cambria" w:cs="Arial"/>
        </w:rPr>
        <w:t>”</w:t>
      </w:r>
      <w:r w:rsidR="00161C04">
        <w:rPr>
          <w:rFonts w:eastAsia="Cambria" w:cs="Arial"/>
        </w:rPr>
        <w:t>”</w:t>
      </w:r>
      <w:r w:rsidR="009B4F37" w:rsidRPr="00EF4A89">
        <w:rPr>
          <w:rFonts w:eastAsia="Cambria" w:cs="Arial"/>
        </w:rPr>
        <w:t>.</w:t>
      </w:r>
      <w:r w:rsidR="00EF4A89">
        <w:rPr>
          <w:rFonts w:eastAsia="Cambria" w:cs="Arial"/>
        </w:rPr>
        <w:t xml:space="preserve"> </w:t>
      </w:r>
    </w:p>
    <w:p w14:paraId="21D4577E" w14:textId="7228942E" w:rsidR="007F5F02" w:rsidRPr="007F5F02" w:rsidRDefault="005C69AA" w:rsidP="005C69AA">
      <w:pPr>
        <w:pStyle w:val="LC1"/>
        <w:numPr>
          <w:ilvl w:val="0"/>
          <w:numId w:val="0"/>
        </w:numPr>
        <w:ind w:left="720" w:hanging="720"/>
      </w:pPr>
      <w:r w:rsidRPr="007F5F02">
        <w:rPr>
          <w:rFonts w:cs="Arial"/>
          <w:szCs w:val="24"/>
        </w:rPr>
        <w:t>[6]</w:t>
      </w:r>
      <w:r w:rsidRPr="007F5F02">
        <w:rPr>
          <w:rFonts w:cs="Arial"/>
          <w:szCs w:val="24"/>
        </w:rPr>
        <w:tab/>
      </w:r>
      <w:r w:rsidR="00C021AE">
        <w:rPr>
          <w:rFonts w:eastAsia="Cambria"/>
        </w:rPr>
        <w:t>T</w:t>
      </w:r>
      <w:r w:rsidR="00BF4760" w:rsidRPr="00BF4760">
        <w:rPr>
          <w:rFonts w:eastAsia="Cambria"/>
        </w:rPr>
        <w:t xml:space="preserve">he first respondent’s answer to </w:t>
      </w:r>
      <w:r w:rsidR="00F8257E">
        <w:rPr>
          <w:rFonts w:eastAsia="Cambria"/>
        </w:rPr>
        <w:t xml:space="preserve">this </w:t>
      </w:r>
      <w:r w:rsidR="00BF4760" w:rsidRPr="00BF4760">
        <w:rPr>
          <w:rFonts w:eastAsia="Cambria"/>
        </w:rPr>
        <w:t xml:space="preserve">paragraph </w:t>
      </w:r>
      <w:r w:rsidR="00570F23">
        <w:rPr>
          <w:rFonts w:eastAsia="Cambria"/>
        </w:rPr>
        <w:t xml:space="preserve">is </w:t>
      </w:r>
      <w:r w:rsidR="006B0F42">
        <w:rPr>
          <w:rFonts w:eastAsia="Cambria"/>
        </w:rPr>
        <w:t>contained in paragraph 22 of hi</w:t>
      </w:r>
      <w:r w:rsidR="000B4A5E">
        <w:rPr>
          <w:rFonts w:eastAsia="Cambria"/>
        </w:rPr>
        <w:t>s</w:t>
      </w:r>
      <w:r w:rsidR="006B0F42">
        <w:rPr>
          <w:rFonts w:eastAsia="Cambria"/>
        </w:rPr>
        <w:t xml:space="preserve"> answering affidavit and </w:t>
      </w:r>
      <w:r w:rsidR="00C021AE">
        <w:rPr>
          <w:rFonts w:eastAsia="Cambria"/>
        </w:rPr>
        <w:t xml:space="preserve">is </w:t>
      </w:r>
      <w:r w:rsidR="00BF4760" w:rsidRPr="00BF4760">
        <w:rPr>
          <w:rFonts w:eastAsia="Cambria"/>
        </w:rPr>
        <w:t xml:space="preserve">as follows: </w:t>
      </w:r>
    </w:p>
    <w:p w14:paraId="21E00960" w14:textId="427BC8D4" w:rsidR="00EF4A89" w:rsidRPr="00054CE0" w:rsidRDefault="00BF4760" w:rsidP="00161C04">
      <w:pPr>
        <w:pStyle w:val="LC1"/>
        <w:numPr>
          <w:ilvl w:val="0"/>
          <w:numId w:val="0"/>
        </w:numPr>
        <w:ind w:left="1440"/>
      </w:pPr>
      <w:r w:rsidRPr="00BF4760">
        <w:rPr>
          <w:rFonts w:eastAsia="Cambria"/>
        </w:rPr>
        <w:t>“</w:t>
      </w:r>
      <w:r w:rsidR="00C021AE">
        <w:rPr>
          <w:rFonts w:eastAsia="Cambria"/>
        </w:rPr>
        <w:t>Th</w:t>
      </w:r>
      <w:r w:rsidRPr="00BF4760">
        <w:rPr>
          <w:rFonts w:eastAsia="Cambria"/>
        </w:rPr>
        <w:t xml:space="preserve">e allegations are denied. The First Respondent denies having signed the suretyship in respect of the Principal Debtor. The only persons that signed the contract was Natalie Walker and the Second Respondent. The First Respondent denies any liability as the </w:t>
      </w:r>
      <w:r>
        <w:rPr>
          <w:rFonts w:eastAsia="Cambria"/>
        </w:rPr>
        <w:t xml:space="preserve">First </w:t>
      </w:r>
      <w:r w:rsidRPr="00BF4760">
        <w:rPr>
          <w:rFonts w:eastAsia="Cambria"/>
        </w:rPr>
        <w:t>Respondent denie</w:t>
      </w:r>
      <w:r>
        <w:rPr>
          <w:rFonts w:eastAsia="Cambria"/>
        </w:rPr>
        <w:t>s</w:t>
      </w:r>
      <w:r w:rsidRPr="00BF4760">
        <w:rPr>
          <w:rFonts w:eastAsia="Cambria"/>
        </w:rPr>
        <w:t xml:space="preserve"> </w:t>
      </w:r>
      <w:r>
        <w:rPr>
          <w:rFonts w:eastAsia="Cambria"/>
        </w:rPr>
        <w:t>ha</w:t>
      </w:r>
      <w:r w:rsidRPr="00BF4760">
        <w:rPr>
          <w:rFonts w:eastAsia="Cambria"/>
        </w:rPr>
        <w:t>v</w:t>
      </w:r>
      <w:r>
        <w:rPr>
          <w:rFonts w:eastAsia="Cambria"/>
        </w:rPr>
        <w:t>i</w:t>
      </w:r>
      <w:r w:rsidRPr="00BF4760">
        <w:rPr>
          <w:rFonts w:eastAsia="Cambria"/>
        </w:rPr>
        <w:t>ng</w:t>
      </w:r>
      <w:r>
        <w:rPr>
          <w:rFonts w:eastAsia="Cambria"/>
        </w:rPr>
        <w:t xml:space="preserve"> </w:t>
      </w:r>
      <w:r w:rsidRPr="00BF4760">
        <w:rPr>
          <w:rFonts w:eastAsia="Cambria"/>
        </w:rPr>
        <w:t>signed the contract.</w:t>
      </w:r>
      <w:r w:rsidR="00C021AE">
        <w:rPr>
          <w:rFonts w:eastAsia="Cambria"/>
        </w:rPr>
        <w:t>”</w:t>
      </w:r>
    </w:p>
    <w:p w14:paraId="3E31EC2D" w14:textId="6B9299F1" w:rsidR="000B4A5E" w:rsidRPr="00054CE0" w:rsidRDefault="005C69AA" w:rsidP="005C69AA">
      <w:pPr>
        <w:pStyle w:val="LC1"/>
        <w:numPr>
          <w:ilvl w:val="0"/>
          <w:numId w:val="0"/>
        </w:numPr>
        <w:ind w:left="720" w:hanging="720"/>
      </w:pPr>
      <w:r w:rsidRPr="00054CE0">
        <w:rPr>
          <w:rFonts w:cs="Arial"/>
          <w:szCs w:val="24"/>
        </w:rPr>
        <w:t>[7]</w:t>
      </w:r>
      <w:r w:rsidRPr="00054CE0">
        <w:rPr>
          <w:rFonts w:cs="Arial"/>
          <w:szCs w:val="24"/>
        </w:rPr>
        <w:tab/>
      </w:r>
      <w:r w:rsidR="00D44954">
        <w:rPr>
          <w:rFonts w:eastAsia="Cambria"/>
        </w:rPr>
        <w:t>In my view, t</w:t>
      </w:r>
      <w:r w:rsidR="006879CD">
        <w:rPr>
          <w:rFonts w:eastAsia="Cambria"/>
        </w:rPr>
        <w:t xml:space="preserve">he </w:t>
      </w:r>
      <w:r w:rsidR="000B4A5E">
        <w:rPr>
          <w:rFonts w:eastAsia="Cambria"/>
        </w:rPr>
        <w:t>first respondent’s allegation that he did not sign the suretyship is neither a bald denial,</w:t>
      </w:r>
      <w:r w:rsidR="00C34486">
        <w:rPr>
          <w:rStyle w:val="FootnoteReference"/>
          <w:rFonts w:eastAsia="Cambria"/>
        </w:rPr>
        <w:t xml:space="preserve"> </w:t>
      </w:r>
      <w:r w:rsidR="000B4A5E">
        <w:rPr>
          <w:rFonts w:eastAsia="Cambria"/>
        </w:rPr>
        <w:t xml:space="preserve">nor </w:t>
      </w:r>
      <w:r w:rsidR="00571EFC">
        <w:rPr>
          <w:rFonts w:eastAsia="Cambria"/>
        </w:rPr>
        <w:t xml:space="preserve">is it </w:t>
      </w:r>
      <w:r w:rsidR="000B4A5E">
        <w:rPr>
          <w:rFonts w:eastAsia="Cambria"/>
        </w:rPr>
        <w:t>vague and insubstantial</w:t>
      </w:r>
      <w:r w:rsidR="00571EFC">
        <w:rPr>
          <w:rFonts w:eastAsia="Cambria"/>
        </w:rPr>
        <w:t xml:space="preserve">. </w:t>
      </w:r>
    </w:p>
    <w:p w14:paraId="42383397" w14:textId="0D96C1B9" w:rsidR="00571EFC" w:rsidRPr="00054CE0" w:rsidRDefault="005C69AA" w:rsidP="005C69AA">
      <w:pPr>
        <w:pStyle w:val="LC1"/>
        <w:numPr>
          <w:ilvl w:val="0"/>
          <w:numId w:val="0"/>
        </w:numPr>
        <w:ind w:left="720" w:hanging="720"/>
      </w:pPr>
      <w:r w:rsidRPr="00054CE0">
        <w:rPr>
          <w:rFonts w:cs="Arial"/>
          <w:szCs w:val="24"/>
        </w:rPr>
        <w:t>[8]</w:t>
      </w:r>
      <w:r w:rsidRPr="00054CE0">
        <w:rPr>
          <w:rFonts w:cs="Arial"/>
          <w:szCs w:val="24"/>
        </w:rPr>
        <w:tab/>
      </w:r>
      <w:r w:rsidR="000B4A5E">
        <w:rPr>
          <w:rFonts w:eastAsia="Cambria"/>
        </w:rPr>
        <w:t xml:space="preserve">In the first place, it is not a denial at all, but a positive averment. The </w:t>
      </w:r>
      <w:r w:rsidR="000B4A5E">
        <w:rPr>
          <w:rFonts w:eastAsia="Cambria"/>
        </w:rPr>
        <w:lastRenderedPageBreak/>
        <w:t xml:space="preserve">founding affidavit contains no pertinent allegation that the first respondent signed the document contended to embody the </w:t>
      </w:r>
      <w:proofErr w:type="gramStart"/>
      <w:r w:rsidR="000B4A5E">
        <w:rPr>
          <w:rFonts w:eastAsia="Cambria"/>
        </w:rPr>
        <w:t>suretyship, and</w:t>
      </w:r>
      <w:proofErr w:type="gramEnd"/>
      <w:r w:rsidR="000B4A5E">
        <w:rPr>
          <w:rFonts w:eastAsia="Cambria"/>
        </w:rPr>
        <w:t xml:space="preserve"> makes no reference to the fact that the document purports to bear his signature. It is beyond me how it can be contended that the first respondent’s case on the signature could be regarded as a bald denial. </w:t>
      </w:r>
    </w:p>
    <w:p w14:paraId="33462B16" w14:textId="3251F7A8" w:rsidR="00C021AE" w:rsidRPr="006B0F42" w:rsidRDefault="005C69AA" w:rsidP="005C69AA">
      <w:pPr>
        <w:pStyle w:val="LC1"/>
        <w:numPr>
          <w:ilvl w:val="0"/>
          <w:numId w:val="0"/>
        </w:numPr>
        <w:ind w:left="720" w:hanging="720"/>
      </w:pPr>
      <w:r w:rsidRPr="006B0F42">
        <w:rPr>
          <w:rFonts w:cs="Arial"/>
          <w:szCs w:val="24"/>
        </w:rPr>
        <w:t>[9]</w:t>
      </w:r>
      <w:r w:rsidRPr="006B0F42">
        <w:rPr>
          <w:rFonts w:cs="Arial"/>
          <w:szCs w:val="24"/>
        </w:rPr>
        <w:tab/>
      </w:r>
      <w:r w:rsidR="00571EFC" w:rsidRPr="00FC12C1">
        <w:rPr>
          <w:rFonts w:eastAsia="Cambria"/>
        </w:rPr>
        <w:t xml:space="preserve">Secondly, the allegation is </w:t>
      </w:r>
      <w:r w:rsidR="00C021AE" w:rsidRPr="00FC12C1">
        <w:rPr>
          <w:rFonts w:eastAsia="Cambria"/>
        </w:rPr>
        <w:t xml:space="preserve">not vague </w:t>
      </w:r>
      <w:r w:rsidR="000B4A5E" w:rsidRPr="00FC12C1">
        <w:rPr>
          <w:rFonts w:eastAsia="Cambria"/>
        </w:rPr>
        <w:t>and insubstantial</w:t>
      </w:r>
      <w:r w:rsidR="00C021AE" w:rsidRPr="00FC12C1">
        <w:rPr>
          <w:rFonts w:eastAsia="Cambria"/>
        </w:rPr>
        <w:t xml:space="preserve">. </w:t>
      </w:r>
      <w:r w:rsidR="00F8257E">
        <w:rPr>
          <w:rFonts w:eastAsia="Cambria"/>
        </w:rPr>
        <w:t xml:space="preserve">It is </w:t>
      </w:r>
      <w:r w:rsidR="00C021AE" w:rsidRPr="00FC12C1">
        <w:rPr>
          <w:rFonts w:eastAsia="Cambria"/>
        </w:rPr>
        <w:t xml:space="preserve">unequivocal. And indeed, the applicant itself clearly understood </w:t>
      </w:r>
      <w:r w:rsidR="00570F23">
        <w:rPr>
          <w:rFonts w:eastAsia="Cambria"/>
        </w:rPr>
        <w:t>it</w:t>
      </w:r>
      <w:r w:rsidR="00C021AE" w:rsidRPr="00FC12C1">
        <w:rPr>
          <w:rFonts w:eastAsia="Cambria"/>
        </w:rPr>
        <w:t xml:space="preserve">, as it </w:t>
      </w:r>
      <w:r w:rsidR="00161C04">
        <w:rPr>
          <w:rFonts w:eastAsia="Cambria"/>
        </w:rPr>
        <w:t xml:space="preserve">found it necessary </w:t>
      </w:r>
      <w:r w:rsidR="00C021AE" w:rsidRPr="00570F23">
        <w:rPr>
          <w:rFonts w:eastAsia="Cambria"/>
        </w:rPr>
        <w:t>to</w:t>
      </w:r>
      <w:r w:rsidR="00C021AE" w:rsidRPr="00FC12C1">
        <w:rPr>
          <w:rFonts w:eastAsia="Cambria"/>
        </w:rPr>
        <w:t xml:space="preserve"> say the following </w:t>
      </w:r>
      <w:r w:rsidR="006B0F42" w:rsidRPr="00FC12C1">
        <w:rPr>
          <w:rFonts w:eastAsia="Cambria"/>
        </w:rPr>
        <w:t xml:space="preserve">in reply to paragraph 22: </w:t>
      </w:r>
    </w:p>
    <w:p w14:paraId="69638018" w14:textId="6E471EC4" w:rsidR="006B0F42" w:rsidRPr="00F26F30" w:rsidRDefault="007F5F02" w:rsidP="00161C04">
      <w:pPr>
        <w:pStyle w:val="HeadsQuote"/>
        <w:spacing w:line="480" w:lineRule="auto"/>
        <w:rPr>
          <w:rFonts w:cs="Arial"/>
          <w:i w:val="0"/>
          <w:iCs w:val="0"/>
          <w:color w:val="181818"/>
        </w:rPr>
      </w:pPr>
      <w:r w:rsidRPr="00F26F30">
        <w:rPr>
          <w:i w:val="0"/>
          <w:iCs w:val="0"/>
        </w:rPr>
        <w:t>“</w:t>
      </w:r>
      <w:r w:rsidR="006B0F42" w:rsidRPr="00F26F30">
        <w:rPr>
          <w:i w:val="0"/>
          <w:iCs w:val="0"/>
        </w:rPr>
        <w:t xml:space="preserve">The allegations are denied. As demonstrated, the Respondents have signed </w:t>
      </w:r>
      <w:r w:rsidR="006B0F42" w:rsidRPr="00F26F30">
        <w:rPr>
          <w:rFonts w:cs="Arial"/>
          <w:i w:val="0"/>
          <w:iCs w:val="0"/>
          <w:color w:val="181818"/>
        </w:rPr>
        <w:t>the suretyship by means of an electronic signature as envisaged in Section 13 read in conjunction with Section 1 of the Electronic Communications and Transactions Act, 25 of 2002. The denial is intended to be a red herring and is without substance</w:t>
      </w:r>
      <w:r w:rsidRPr="00F26F30">
        <w:rPr>
          <w:rFonts w:cs="Arial"/>
          <w:i w:val="0"/>
          <w:iCs w:val="0"/>
          <w:color w:val="181818"/>
        </w:rPr>
        <w:t>”</w:t>
      </w:r>
      <w:r w:rsidR="006B0F42" w:rsidRPr="00F26F30">
        <w:rPr>
          <w:rFonts w:cs="Arial"/>
          <w:i w:val="0"/>
          <w:iCs w:val="0"/>
          <w:color w:val="181818"/>
        </w:rPr>
        <w:t>.</w:t>
      </w:r>
    </w:p>
    <w:p w14:paraId="30E331AE" w14:textId="76F1B8F8" w:rsidR="007F5F02" w:rsidRPr="007F5F02" w:rsidRDefault="005C69AA" w:rsidP="005C69AA">
      <w:pPr>
        <w:pStyle w:val="LC1"/>
        <w:numPr>
          <w:ilvl w:val="0"/>
          <w:numId w:val="0"/>
        </w:numPr>
        <w:ind w:left="720" w:hanging="720"/>
        <w:rPr>
          <w:rFonts w:cs="Arial"/>
        </w:rPr>
      </w:pPr>
      <w:r w:rsidRPr="007F5F02">
        <w:rPr>
          <w:rFonts w:cs="Arial"/>
          <w:szCs w:val="24"/>
        </w:rPr>
        <w:t>[10]</w:t>
      </w:r>
      <w:r w:rsidRPr="007F5F02">
        <w:rPr>
          <w:rFonts w:cs="Arial"/>
          <w:szCs w:val="24"/>
        </w:rPr>
        <w:tab/>
      </w:r>
      <w:r w:rsidR="00C34486">
        <w:t xml:space="preserve">The words “as demonstrated” indicate that this paragraph </w:t>
      </w:r>
      <w:r w:rsidR="00FC12C1">
        <w:t xml:space="preserve">must be </w:t>
      </w:r>
      <w:r w:rsidR="006B0F42">
        <w:t xml:space="preserve">read together with paragraph 17.2.2 of the replying affidavit, </w:t>
      </w:r>
      <w:r w:rsidR="00FC12C1">
        <w:t xml:space="preserve">in which </w:t>
      </w:r>
      <w:r w:rsidR="006B0F42">
        <w:t>the applicant alleges as follows:</w:t>
      </w:r>
    </w:p>
    <w:p w14:paraId="056E3F5B" w14:textId="32F34327" w:rsidR="007F5F02" w:rsidRDefault="006B0F42" w:rsidP="00161C04">
      <w:pPr>
        <w:pStyle w:val="LC1"/>
        <w:numPr>
          <w:ilvl w:val="0"/>
          <w:numId w:val="0"/>
        </w:numPr>
        <w:ind w:left="1510"/>
      </w:pPr>
      <w:r>
        <w:t>“</w:t>
      </w:r>
      <w:r w:rsidR="00161C04">
        <w:t>T</w:t>
      </w:r>
      <w:r>
        <w:t>he Court will have observed that the Respondents have signed the … suretyship in their capacities as sureties, which schedule was appended as a schedule to the principal agreement”.</w:t>
      </w:r>
    </w:p>
    <w:p w14:paraId="0CCE6B56" w14:textId="5D3FC4A9" w:rsidR="00F8257E" w:rsidRPr="00BF4760" w:rsidRDefault="00F8257E" w:rsidP="00161C04">
      <w:pPr>
        <w:pStyle w:val="LC1"/>
        <w:numPr>
          <w:ilvl w:val="0"/>
          <w:numId w:val="0"/>
        </w:numPr>
        <w:ind w:left="720" w:hanging="11"/>
        <w:rPr>
          <w:rFonts w:cs="Arial"/>
        </w:rPr>
      </w:pPr>
      <w:r>
        <w:t xml:space="preserve">This is evidently a reference to the fact that FA7 </w:t>
      </w:r>
      <w:r w:rsidR="00C34486">
        <w:rPr>
          <w:rFonts w:eastAsia="Cambria" w:cs="Arial"/>
        </w:rPr>
        <w:t>bears three signatures</w:t>
      </w:r>
      <w:r w:rsidR="00767272">
        <w:rPr>
          <w:rFonts w:eastAsia="Cambria" w:cs="Arial"/>
        </w:rPr>
        <w:t xml:space="preserve"> each of which appears under the words “</w:t>
      </w:r>
      <w:proofErr w:type="spellStart"/>
      <w:r w:rsidR="00767272">
        <w:rPr>
          <w:rFonts w:eastAsia="Cambria" w:cs="Arial"/>
        </w:rPr>
        <w:t>DocuSigned</w:t>
      </w:r>
      <w:proofErr w:type="spellEnd"/>
      <w:r w:rsidR="00767272">
        <w:rPr>
          <w:rFonts w:eastAsia="Cambria" w:cs="Arial"/>
        </w:rPr>
        <w:t xml:space="preserve"> by”</w:t>
      </w:r>
      <w:r w:rsidR="00C34486">
        <w:rPr>
          <w:rFonts w:eastAsia="Cambria" w:cs="Arial"/>
        </w:rPr>
        <w:t xml:space="preserve">, </w:t>
      </w:r>
      <w:r w:rsidR="00767272">
        <w:rPr>
          <w:rFonts w:eastAsia="Cambria" w:cs="Arial"/>
        </w:rPr>
        <w:t xml:space="preserve">and </w:t>
      </w:r>
      <w:r w:rsidR="00C34486">
        <w:rPr>
          <w:rFonts w:eastAsia="Cambria" w:cs="Arial"/>
        </w:rPr>
        <w:t xml:space="preserve">one of which has the first respondent’s name next to it. </w:t>
      </w:r>
    </w:p>
    <w:p w14:paraId="1C4C98C9" w14:textId="2123D6BC" w:rsidR="00202034" w:rsidRDefault="005C69AA" w:rsidP="005C69AA">
      <w:pPr>
        <w:pStyle w:val="LC1"/>
        <w:numPr>
          <w:ilvl w:val="0"/>
          <w:numId w:val="0"/>
        </w:numPr>
        <w:ind w:left="720" w:hanging="720"/>
      </w:pPr>
      <w:r>
        <w:rPr>
          <w:rFonts w:cs="Arial"/>
          <w:szCs w:val="24"/>
        </w:rPr>
        <w:lastRenderedPageBreak/>
        <w:t>[11]</w:t>
      </w:r>
      <w:r>
        <w:rPr>
          <w:rFonts w:cs="Arial"/>
          <w:szCs w:val="24"/>
        </w:rPr>
        <w:tab/>
      </w:r>
      <w:r w:rsidR="00202034">
        <w:t xml:space="preserve">The applicant </w:t>
      </w:r>
      <w:r w:rsidR="00570F23">
        <w:t xml:space="preserve">continues as follows in </w:t>
      </w:r>
      <w:r w:rsidR="00202034">
        <w:t>paragraphs 17.3 and 17.4:</w:t>
      </w:r>
    </w:p>
    <w:p w14:paraId="418E1BA7" w14:textId="019CCBCE" w:rsidR="00202034" w:rsidRPr="00F26F30" w:rsidRDefault="007F5F02" w:rsidP="00161C04">
      <w:pPr>
        <w:pStyle w:val="HeadsQuote"/>
        <w:spacing w:line="480" w:lineRule="auto"/>
        <w:rPr>
          <w:i w:val="0"/>
          <w:iCs w:val="0"/>
        </w:rPr>
      </w:pPr>
      <w:r w:rsidRPr="00F26F30">
        <w:rPr>
          <w:i w:val="0"/>
          <w:iCs w:val="0"/>
        </w:rPr>
        <w:t>“</w:t>
      </w:r>
      <w:r w:rsidR="00B46E1C" w:rsidRPr="00F26F30">
        <w:rPr>
          <w:i w:val="0"/>
          <w:iCs w:val="0"/>
        </w:rPr>
        <w:t xml:space="preserve">… </w:t>
      </w:r>
      <w:r w:rsidR="00202034" w:rsidRPr="00F26F30">
        <w:rPr>
          <w:i w:val="0"/>
          <w:iCs w:val="0"/>
        </w:rPr>
        <w:t xml:space="preserve">the suretyship was executed by means of an electronic signature as envisaged in Section 13 read in conjunction with Section 1 of the Electronic Communications and Transactions Act, 25 of 2002. </w:t>
      </w:r>
      <w:r w:rsidR="00B46E1C" w:rsidRPr="00F26F30">
        <w:rPr>
          <w:i w:val="0"/>
          <w:iCs w:val="0"/>
        </w:rPr>
        <w:t xml:space="preserve">… </w:t>
      </w:r>
      <w:r w:rsidR="00202034" w:rsidRPr="00F26F30">
        <w:rPr>
          <w:i w:val="0"/>
          <w:iCs w:val="0"/>
        </w:rPr>
        <w:t>In corroboration of this fact, the Court is referred to the certification in terms of Section 15(4) of the ECT Act, appended as annexure ‘RA2’</w:t>
      </w:r>
      <w:r w:rsidRPr="00F26F30">
        <w:rPr>
          <w:i w:val="0"/>
          <w:iCs w:val="0"/>
        </w:rPr>
        <w:t>”</w:t>
      </w:r>
      <w:r w:rsidR="00202034" w:rsidRPr="00F26F30">
        <w:rPr>
          <w:i w:val="0"/>
          <w:iCs w:val="0"/>
        </w:rPr>
        <w:t>.</w:t>
      </w:r>
    </w:p>
    <w:p w14:paraId="03C7BE32" w14:textId="320912D2" w:rsidR="00202034" w:rsidRDefault="005C69AA" w:rsidP="005C69AA">
      <w:pPr>
        <w:pStyle w:val="LC1"/>
        <w:numPr>
          <w:ilvl w:val="0"/>
          <w:numId w:val="0"/>
        </w:numPr>
        <w:ind w:left="720" w:hanging="720"/>
      </w:pPr>
      <w:r>
        <w:rPr>
          <w:rFonts w:cs="Arial"/>
          <w:szCs w:val="24"/>
        </w:rPr>
        <w:t>[12]</w:t>
      </w:r>
      <w:r>
        <w:rPr>
          <w:rFonts w:cs="Arial"/>
          <w:szCs w:val="24"/>
        </w:rPr>
        <w:tab/>
      </w:r>
      <w:r w:rsidR="00202034">
        <w:t>Annexure RA2, in turn</w:t>
      </w:r>
      <w:r w:rsidR="00570F23">
        <w:t>,</w:t>
      </w:r>
      <w:r w:rsidR="00202034">
        <w:t xml:space="preserve"> is in the form of an affidavit deposed to by one of the applicant’s directors, who states that it “serves as </w:t>
      </w:r>
      <w:r w:rsidR="00202034" w:rsidRPr="00D873A4">
        <w:t>certification</w:t>
      </w:r>
      <w:r w:rsidR="00767272">
        <w:t>”</w:t>
      </w:r>
      <w:r w:rsidR="00202034" w:rsidRPr="00D873A4">
        <w:t xml:space="preserve"> in terms of Section 15(4) of the </w:t>
      </w:r>
      <w:r w:rsidR="00767272" w:rsidRPr="00FC12C1">
        <w:t>Electronic Communications and Transactions Act, 25 of 2002</w:t>
      </w:r>
      <w:r w:rsidR="00767272">
        <w:t xml:space="preserve"> (the </w:t>
      </w:r>
      <w:r w:rsidR="00202034" w:rsidRPr="00D873A4">
        <w:t>ECT Act</w:t>
      </w:r>
      <w:r w:rsidR="00767272">
        <w:t>)</w:t>
      </w:r>
      <w:r w:rsidR="00202034">
        <w:t xml:space="preserve">, that the principal agreement to which the deed of suretyship was allegedly attached </w:t>
      </w:r>
      <w:r w:rsidR="00767272">
        <w:t xml:space="preserve">as </w:t>
      </w:r>
      <w:r w:rsidR="00202034">
        <w:t>a schedule “was electronically signed within the purview of section 15 of the ECT Act”</w:t>
      </w:r>
      <w:r w:rsidR="00767272">
        <w:t>,</w:t>
      </w:r>
      <w:r w:rsidR="00570CD6">
        <w:rPr>
          <w:rStyle w:val="FootnoteReference"/>
        </w:rPr>
        <w:footnoteReference w:id="2"/>
      </w:r>
      <w:r w:rsidR="00202034">
        <w:t xml:space="preserve"> and that the electronic signature </w:t>
      </w:r>
      <w:r w:rsidR="00B64521">
        <w:t xml:space="preserve">itself </w:t>
      </w:r>
      <w:r w:rsidR="00202034">
        <w:t xml:space="preserve">constitutes a data message. </w:t>
      </w:r>
    </w:p>
    <w:p w14:paraId="1EF85811" w14:textId="473E09C1" w:rsidR="00B46E1C" w:rsidRDefault="005C69AA" w:rsidP="005C69AA">
      <w:pPr>
        <w:pStyle w:val="LC1"/>
        <w:numPr>
          <w:ilvl w:val="0"/>
          <w:numId w:val="0"/>
        </w:numPr>
        <w:ind w:left="720" w:hanging="720"/>
      </w:pPr>
      <w:r>
        <w:rPr>
          <w:rFonts w:cs="Arial"/>
          <w:szCs w:val="24"/>
        </w:rPr>
        <w:t>[13]</w:t>
      </w:r>
      <w:r>
        <w:rPr>
          <w:rFonts w:cs="Arial"/>
          <w:szCs w:val="24"/>
        </w:rPr>
        <w:tab/>
      </w:r>
      <w:r w:rsidR="00202034">
        <w:t xml:space="preserve">Apart from the fact that the first respondent </w:t>
      </w:r>
      <w:r w:rsidR="00F26F30">
        <w:t xml:space="preserve">had no </w:t>
      </w:r>
      <w:r w:rsidR="00202034">
        <w:t xml:space="preserve">opportunity to respond to these allegations in the replying affidavit, they </w:t>
      </w:r>
      <w:r w:rsidR="00767272">
        <w:t xml:space="preserve">do not </w:t>
      </w:r>
      <w:r w:rsidR="00B46E1C">
        <w:t xml:space="preserve">demonstrate that his clear and unambiguous assertion in the answering affidavit that he did not sign the document </w:t>
      </w:r>
      <w:r w:rsidR="00836A4E">
        <w:t xml:space="preserve">is </w:t>
      </w:r>
      <w:r w:rsidR="00B46E1C">
        <w:t>“without substance”, as the applicant contends.</w:t>
      </w:r>
    </w:p>
    <w:p w14:paraId="7CF29BA5" w14:textId="212944B8" w:rsidR="00202034" w:rsidRDefault="005C69AA" w:rsidP="005C69AA">
      <w:pPr>
        <w:pStyle w:val="LC1"/>
        <w:numPr>
          <w:ilvl w:val="0"/>
          <w:numId w:val="0"/>
        </w:numPr>
        <w:ind w:left="720" w:hanging="720"/>
      </w:pPr>
      <w:r>
        <w:rPr>
          <w:rFonts w:cs="Arial"/>
          <w:szCs w:val="24"/>
        </w:rPr>
        <w:t>[14]</w:t>
      </w:r>
      <w:r>
        <w:rPr>
          <w:rFonts w:cs="Arial"/>
          <w:szCs w:val="24"/>
        </w:rPr>
        <w:tab/>
      </w:r>
      <w:r w:rsidR="00F26F30">
        <w:t>R</w:t>
      </w:r>
      <w:r w:rsidR="00E82C29">
        <w:t xml:space="preserve">eference to the document itself and the </w:t>
      </w:r>
      <w:r w:rsidR="00B46E1C">
        <w:t xml:space="preserve">mere </w:t>
      </w:r>
      <w:r w:rsidR="00E82C29">
        <w:t xml:space="preserve">fact that it </w:t>
      </w:r>
      <w:r w:rsidR="00E731E4">
        <w:t xml:space="preserve">contains the first respondent’s name next to a signature </w:t>
      </w:r>
      <w:r w:rsidR="00B46E1C">
        <w:t xml:space="preserve">is </w:t>
      </w:r>
      <w:r w:rsidR="00F26F30">
        <w:t>in</w:t>
      </w:r>
      <w:r w:rsidR="00B46E1C">
        <w:t>sufficient</w:t>
      </w:r>
      <w:r w:rsidR="00570CD6">
        <w:t xml:space="preserve">. the first respondent’s allegation cannot be rejected simply on that basis – there could be a </w:t>
      </w:r>
      <w:proofErr w:type="gramStart"/>
      <w:r w:rsidR="00570CD6">
        <w:t>number</w:t>
      </w:r>
      <w:proofErr w:type="gramEnd"/>
      <w:r w:rsidR="00570CD6">
        <w:t xml:space="preserve"> circumstances under which it could still be true despite the appearance of </w:t>
      </w:r>
      <w:r w:rsidR="00570CD6">
        <w:lastRenderedPageBreak/>
        <w:t>his name next to a signature on the document</w:t>
      </w:r>
      <w:r w:rsidR="00F26F30">
        <w:t>.</w:t>
      </w:r>
      <w:r w:rsidR="00C34486">
        <w:t xml:space="preserve"> </w:t>
      </w:r>
      <w:r w:rsidR="00F26F30">
        <w:t xml:space="preserve">And </w:t>
      </w:r>
      <w:r w:rsidR="00202034">
        <w:t xml:space="preserve">paragraphs 17.3 and 17.4 of the replying affidavit and Annexure RA2 thereto take the matter </w:t>
      </w:r>
      <w:r w:rsidR="00F26F30">
        <w:t xml:space="preserve">no </w:t>
      </w:r>
      <w:r w:rsidR="00202034">
        <w:t>further.</w:t>
      </w:r>
      <w:r w:rsidR="00B46E1C">
        <w:t xml:space="preserve"> </w:t>
      </w:r>
      <w:proofErr w:type="gramStart"/>
      <w:r w:rsidR="00B46E1C">
        <w:t xml:space="preserve">In particular, </w:t>
      </w:r>
      <w:r w:rsidR="00B64521">
        <w:t>even</w:t>
      </w:r>
      <w:proofErr w:type="gramEnd"/>
      <w:r w:rsidR="00B64521">
        <w:t xml:space="preserve"> if </w:t>
      </w:r>
      <w:r w:rsidR="00B46E1C">
        <w:t xml:space="preserve">RA2 </w:t>
      </w:r>
      <w:r w:rsidR="00B64521">
        <w:t xml:space="preserve">were to be accepted as a valid certificate under section 15(4) </w:t>
      </w:r>
      <w:r w:rsidR="00836A4E">
        <w:t xml:space="preserve">of the ECTA Act </w:t>
      </w:r>
      <w:r w:rsidR="00B64521">
        <w:t>and that the signature itself (as opposed to the deed of surety) is a data message (I express no view in this regard), that would merely mean that the signature is admissible in evidence as “rebuttable proof”</w:t>
      </w:r>
      <w:r w:rsidR="00570CD6">
        <w:t xml:space="preserve"> that the document bears a signature</w:t>
      </w:r>
      <w:r w:rsidR="001F72BB">
        <w:t>.</w:t>
      </w:r>
      <w:r w:rsidR="00B64521">
        <w:t xml:space="preserve"> </w:t>
      </w:r>
      <w:r w:rsidR="001F72BB">
        <w:t>I</w:t>
      </w:r>
      <w:r w:rsidR="00B64521">
        <w:t>n other words</w:t>
      </w:r>
      <w:r w:rsidR="001F72BB">
        <w:t>,</w:t>
      </w:r>
      <w:r w:rsidR="00B64521">
        <w:t xml:space="preserve"> it is to be treated no differently from </w:t>
      </w:r>
      <w:r w:rsidR="00570CD6">
        <w:t xml:space="preserve">a </w:t>
      </w:r>
      <w:r w:rsidR="00B64521">
        <w:t xml:space="preserve">pen and ink signature on a piece of paper. This </w:t>
      </w:r>
      <w:r w:rsidR="00570CD6">
        <w:t xml:space="preserve">does not nullify or give the lie to </w:t>
      </w:r>
      <w:r w:rsidR="00B64521">
        <w:t xml:space="preserve">the first respondent’s </w:t>
      </w:r>
      <w:r w:rsidR="00F26F30">
        <w:t xml:space="preserve">clear </w:t>
      </w:r>
      <w:r w:rsidR="00B64521">
        <w:t>allegation that he did not sign the surety, using any method.</w:t>
      </w:r>
    </w:p>
    <w:p w14:paraId="396FB0BD" w14:textId="34F11E6E" w:rsidR="00AE6D0F" w:rsidRPr="00054CE0" w:rsidRDefault="005C69AA" w:rsidP="005C69AA">
      <w:pPr>
        <w:pStyle w:val="LC1"/>
        <w:numPr>
          <w:ilvl w:val="0"/>
          <w:numId w:val="0"/>
        </w:numPr>
        <w:ind w:left="720" w:hanging="720"/>
      </w:pPr>
      <w:r w:rsidRPr="00054CE0">
        <w:rPr>
          <w:rFonts w:cs="Arial"/>
          <w:szCs w:val="24"/>
        </w:rPr>
        <w:t>[15]</w:t>
      </w:r>
      <w:r w:rsidRPr="00054CE0">
        <w:rPr>
          <w:rFonts w:cs="Arial"/>
          <w:szCs w:val="24"/>
        </w:rPr>
        <w:tab/>
      </w:r>
      <w:r w:rsidR="00B94766">
        <w:t xml:space="preserve">While </w:t>
      </w:r>
      <w:r w:rsidR="00E82C29">
        <w:t xml:space="preserve">of course </w:t>
      </w:r>
      <w:r w:rsidR="00F26F30">
        <w:t xml:space="preserve">no finding can be made </w:t>
      </w:r>
      <w:r w:rsidR="00E82C29">
        <w:t xml:space="preserve">that the first respondent’s contention </w:t>
      </w:r>
      <w:r w:rsidR="00B64521">
        <w:t xml:space="preserve">that he did not sign </w:t>
      </w:r>
      <w:r w:rsidR="00E82C29">
        <w:t xml:space="preserve">is factually correct, </w:t>
      </w:r>
      <w:r w:rsidR="00B64521">
        <w:t xml:space="preserve">my conclusion is </w:t>
      </w:r>
      <w:r w:rsidR="00E82C29">
        <w:t>that there is a real</w:t>
      </w:r>
      <w:r w:rsidR="00AE6D0F" w:rsidRPr="00D873A4">
        <w:rPr>
          <w:rFonts w:eastAsia="Cambria"/>
        </w:rPr>
        <w:t xml:space="preserve">, genuine or </w:t>
      </w:r>
      <w:r w:rsidR="00AE6D0F" w:rsidRPr="00D873A4">
        <w:rPr>
          <w:rFonts w:eastAsia="Cambria"/>
          <w:i/>
          <w:iCs/>
        </w:rPr>
        <w:t xml:space="preserve">bona fide </w:t>
      </w:r>
      <w:r w:rsidR="00AE6D0F" w:rsidRPr="00D873A4">
        <w:rPr>
          <w:rFonts w:eastAsia="Cambria"/>
        </w:rPr>
        <w:t>dispute of fact</w:t>
      </w:r>
      <w:r w:rsidR="0025103A">
        <w:rPr>
          <w:rStyle w:val="FootnoteReference"/>
          <w:rFonts w:eastAsia="Cambria"/>
        </w:rPr>
        <w:t xml:space="preserve"> </w:t>
      </w:r>
      <w:r w:rsidR="00AE6D0F" w:rsidRPr="00D873A4">
        <w:rPr>
          <w:rFonts w:eastAsia="Cambria"/>
        </w:rPr>
        <w:t xml:space="preserve">on the papers as to whether or not the first respondent </w:t>
      </w:r>
      <w:r w:rsidR="00D873A4" w:rsidRPr="00D873A4">
        <w:rPr>
          <w:rFonts w:eastAsia="Cambria"/>
        </w:rPr>
        <w:t>signed the surety</w:t>
      </w:r>
      <w:r w:rsidR="00B64521">
        <w:rPr>
          <w:rFonts w:eastAsia="Cambria"/>
        </w:rPr>
        <w:t xml:space="preserve"> and, as </w:t>
      </w:r>
      <w:r w:rsidR="00AE6D0F" w:rsidRPr="00D873A4">
        <w:rPr>
          <w:rFonts w:eastAsia="Cambria"/>
        </w:rPr>
        <w:t>such</w:t>
      </w:r>
      <w:r w:rsidR="00B64521">
        <w:rPr>
          <w:rFonts w:eastAsia="Cambria"/>
        </w:rPr>
        <w:t>,</w:t>
      </w:r>
      <w:r w:rsidR="00AE6D0F" w:rsidRPr="00D873A4">
        <w:rPr>
          <w:rFonts w:eastAsia="Cambria"/>
        </w:rPr>
        <w:t xml:space="preserve"> </w:t>
      </w:r>
      <w:r w:rsidR="0025103A">
        <w:rPr>
          <w:rFonts w:eastAsia="Cambria"/>
        </w:rPr>
        <w:t xml:space="preserve">that </w:t>
      </w:r>
      <w:r w:rsidR="00AE6D0F" w:rsidRPr="00D873A4">
        <w:rPr>
          <w:rFonts w:eastAsia="Cambria"/>
        </w:rPr>
        <w:t>the applicant cannot be granted the final relief that it seeks on motion.</w:t>
      </w:r>
      <w:r w:rsidR="00AE6D0F">
        <w:rPr>
          <w:rStyle w:val="FootnoteReference"/>
          <w:rFonts w:eastAsia="Cambria"/>
        </w:rPr>
        <w:footnoteReference w:id="3"/>
      </w:r>
    </w:p>
    <w:p w14:paraId="2CB0EF13" w14:textId="65BD945A" w:rsidR="00C424CA" w:rsidRPr="00054CE0" w:rsidRDefault="005C69AA" w:rsidP="005C69AA">
      <w:pPr>
        <w:pStyle w:val="LC1"/>
        <w:numPr>
          <w:ilvl w:val="0"/>
          <w:numId w:val="0"/>
        </w:numPr>
        <w:ind w:left="720" w:hanging="720"/>
        <w:rPr>
          <w:rStyle w:val="cf01"/>
          <w:rFonts w:ascii="Arial" w:hAnsi="Arial" w:cs="Times New Roman"/>
          <w:sz w:val="24"/>
          <w:szCs w:val="20"/>
        </w:rPr>
      </w:pPr>
      <w:r w:rsidRPr="00054CE0">
        <w:rPr>
          <w:rStyle w:val="cf01"/>
          <w:rFonts w:ascii="Arial" w:hAnsi="Arial" w:cs="Arial"/>
          <w:sz w:val="24"/>
          <w:szCs w:val="24"/>
        </w:rPr>
        <w:t>[16]</w:t>
      </w:r>
      <w:r w:rsidRPr="00054CE0">
        <w:rPr>
          <w:rStyle w:val="cf01"/>
          <w:rFonts w:ascii="Arial" w:hAnsi="Arial" w:cs="Arial"/>
          <w:sz w:val="24"/>
          <w:szCs w:val="24"/>
        </w:rPr>
        <w:tab/>
      </w:r>
      <w:r w:rsidR="00326F5F">
        <w:t xml:space="preserve">I raised with Mr Jacobs what the </w:t>
      </w:r>
      <w:r w:rsidR="00767272">
        <w:t xml:space="preserve">appropriate order </w:t>
      </w:r>
      <w:r w:rsidR="00326F5F">
        <w:t xml:space="preserve">should be </w:t>
      </w:r>
      <w:proofErr w:type="gramStart"/>
      <w:r w:rsidR="00326F5F">
        <w:t>in the event that</w:t>
      </w:r>
      <w:proofErr w:type="gramEnd"/>
      <w:r w:rsidR="00326F5F">
        <w:t xml:space="preserve"> I were to reach the conclusion (as I have) that the dispute as to signature is </w:t>
      </w:r>
      <w:r w:rsidR="00767272">
        <w:t>a material one</w:t>
      </w:r>
      <w:r w:rsidR="00326F5F">
        <w:t xml:space="preserve">. </w:t>
      </w:r>
      <w:proofErr w:type="gramStart"/>
      <w:r w:rsidR="00326F5F">
        <w:t>In particular, I</w:t>
      </w:r>
      <w:proofErr w:type="gramEnd"/>
      <w:r w:rsidR="00326F5F">
        <w:t xml:space="preserve"> </w:t>
      </w:r>
      <w:r w:rsidR="00767272">
        <w:t xml:space="preserve">indicated that I </w:t>
      </w:r>
      <w:r w:rsidR="00C424CA">
        <w:t xml:space="preserve">was </w:t>
      </w:r>
      <w:r w:rsidR="00326F5F">
        <w:t>concerned that t</w:t>
      </w:r>
      <w:r w:rsidR="00326F5F" w:rsidRPr="00C424CA">
        <w:rPr>
          <w:rStyle w:val="cf01"/>
          <w:rFonts w:ascii="Arial" w:hAnsi="Arial" w:cs="Arial"/>
          <w:sz w:val="24"/>
          <w:szCs w:val="24"/>
        </w:rPr>
        <w:t>he replying affidavit and RA2 raise more questions than answers</w:t>
      </w:r>
      <w:r w:rsidR="00C424CA" w:rsidRPr="00C424CA">
        <w:rPr>
          <w:rStyle w:val="cf01"/>
          <w:rFonts w:ascii="Arial" w:hAnsi="Arial" w:cs="Arial"/>
          <w:sz w:val="24"/>
          <w:szCs w:val="24"/>
        </w:rPr>
        <w:t xml:space="preserve"> regarding the suretyship</w:t>
      </w:r>
      <w:r w:rsidR="00F26F30">
        <w:rPr>
          <w:rStyle w:val="cf01"/>
          <w:rFonts w:ascii="Arial" w:hAnsi="Arial" w:cs="Arial"/>
          <w:sz w:val="24"/>
          <w:szCs w:val="24"/>
        </w:rPr>
        <w:t>.</w:t>
      </w:r>
      <w:r w:rsidR="0015788B">
        <w:rPr>
          <w:rStyle w:val="cf01"/>
          <w:rFonts w:ascii="Arial" w:hAnsi="Arial" w:cs="Arial"/>
          <w:sz w:val="24"/>
          <w:szCs w:val="24"/>
        </w:rPr>
        <w:t xml:space="preserve"> </w:t>
      </w:r>
      <w:r w:rsidR="00F26F30">
        <w:rPr>
          <w:rStyle w:val="cf01"/>
          <w:rFonts w:ascii="Arial" w:hAnsi="Arial" w:cs="Arial"/>
          <w:sz w:val="24"/>
          <w:szCs w:val="24"/>
        </w:rPr>
        <w:t>S</w:t>
      </w:r>
      <w:r w:rsidR="00C424CA">
        <w:t>ection 13(1) of the ECT Act provides that “</w:t>
      </w:r>
      <w:r w:rsidR="00C424CA" w:rsidRPr="00C424CA">
        <w:rPr>
          <w:rFonts w:eastAsia="Cambria"/>
        </w:rPr>
        <w:t>[w]</w:t>
      </w:r>
      <w:r w:rsidR="00326F5F" w:rsidRPr="00C424CA">
        <w:rPr>
          <w:rFonts w:eastAsia="Cambria"/>
        </w:rPr>
        <w:t xml:space="preserve">here the signature of a person is required by law and such law does not specify the type of signature, that requirement in relation to a data message </w:t>
      </w:r>
      <w:r w:rsidR="00326F5F" w:rsidRPr="00C424CA">
        <w:rPr>
          <w:rFonts w:eastAsia="Cambria"/>
        </w:rPr>
        <w:lastRenderedPageBreak/>
        <w:t>is met only if an advanced</w:t>
      </w:r>
      <w:r w:rsidR="00C424CA" w:rsidRPr="00C424CA">
        <w:rPr>
          <w:rFonts w:eastAsia="Cambria"/>
        </w:rPr>
        <w:t xml:space="preserve"> </w:t>
      </w:r>
      <w:r w:rsidR="00326F5F" w:rsidRPr="00C424CA">
        <w:rPr>
          <w:rFonts w:eastAsia="Cambria"/>
        </w:rPr>
        <w:t>electronic signature is used</w:t>
      </w:r>
      <w:r w:rsidR="00C424CA" w:rsidRPr="00C424CA">
        <w:rPr>
          <w:rFonts w:eastAsia="Cambria"/>
        </w:rPr>
        <w:t>”</w:t>
      </w:r>
      <w:r w:rsidR="0015788B">
        <w:rPr>
          <w:rFonts w:eastAsia="Cambria"/>
        </w:rPr>
        <w:t>,</w:t>
      </w:r>
      <w:r w:rsidR="00C424CA" w:rsidRPr="00C424CA">
        <w:rPr>
          <w:rFonts w:eastAsia="Cambria"/>
        </w:rPr>
        <w:t xml:space="preserve"> and t</w:t>
      </w:r>
      <w:r w:rsidR="00C424CA">
        <w:t xml:space="preserve">he </w:t>
      </w:r>
      <w:r w:rsidR="00FE68E8">
        <w:t xml:space="preserve">GLA </w:t>
      </w:r>
      <w:r w:rsidR="00C424CA">
        <w:t>Act does not specify the type of signature required. Since t</w:t>
      </w:r>
      <w:r w:rsidR="00C424CA" w:rsidRPr="00C424CA">
        <w:rPr>
          <w:rFonts w:eastAsia="Cambria"/>
        </w:rPr>
        <w:t xml:space="preserve">here is no evidence that the “electronic signature” used in this instance </w:t>
      </w:r>
      <w:r w:rsidR="0025103A">
        <w:rPr>
          <w:rFonts w:eastAsia="Cambria"/>
        </w:rPr>
        <w:t xml:space="preserve">is </w:t>
      </w:r>
      <w:r w:rsidR="00C424CA" w:rsidRPr="00C424CA">
        <w:rPr>
          <w:rFonts w:eastAsia="Cambria"/>
        </w:rPr>
        <w:t xml:space="preserve">an “advanced electronic signature” (indeed, Mr Jacobs candidly informed me from the bar that it isn’t), it would seem to me that, even on the applicant’s own version, the deed of surety </w:t>
      </w:r>
      <w:r w:rsidR="00F26F30">
        <w:rPr>
          <w:rFonts w:eastAsia="Cambria"/>
        </w:rPr>
        <w:t xml:space="preserve">is </w:t>
      </w:r>
      <w:r w:rsidR="00C424CA" w:rsidRPr="00C424CA">
        <w:rPr>
          <w:rFonts w:eastAsia="Cambria"/>
        </w:rPr>
        <w:t>invalid</w:t>
      </w:r>
      <w:r w:rsidR="00C424CA">
        <w:rPr>
          <w:rFonts w:eastAsia="Cambria"/>
        </w:rPr>
        <w:t xml:space="preserve">, </w:t>
      </w:r>
      <w:r w:rsidR="00C424CA" w:rsidRPr="00C424CA">
        <w:rPr>
          <w:rFonts w:eastAsia="Cambria"/>
        </w:rPr>
        <w:t xml:space="preserve">as </w:t>
      </w:r>
      <w:r w:rsidR="0015788B">
        <w:rPr>
          <w:rFonts w:eastAsia="Cambria"/>
        </w:rPr>
        <w:t xml:space="preserve">was undisputed </w:t>
      </w:r>
      <w:r w:rsidR="00C424CA" w:rsidRPr="00C424CA">
        <w:rPr>
          <w:rFonts w:eastAsia="Cambria"/>
        </w:rPr>
        <w:t xml:space="preserve">in </w:t>
      </w:r>
      <w:proofErr w:type="spellStart"/>
      <w:r w:rsidR="00C424CA" w:rsidRPr="00C424CA">
        <w:rPr>
          <w:rFonts w:eastAsia="Cambria"/>
          <w:i/>
          <w:iCs/>
        </w:rPr>
        <w:t>Massbuild</w:t>
      </w:r>
      <w:proofErr w:type="spellEnd"/>
      <w:r w:rsidR="00C424CA" w:rsidRPr="00C424CA">
        <w:rPr>
          <w:rFonts w:eastAsia="Cambria"/>
        </w:rPr>
        <w:t>,</w:t>
      </w:r>
      <w:r w:rsidR="00C424CA">
        <w:rPr>
          <w:rStyle w:val="FootnoteReference"/>
          <w:rFonts w:eastAsia="Cambria"/>
        </w:rPr>
        <w:footnoteReference w:id="4"/>
      </w:r>
      <w:r w:rsidR="00C424CA" w:rsidRPr="00C424CA">
        <w:rPr>
          <w:rFonts w:eastAsia="Cambria"/>
        </w:rPr>
        <w:t xml:space="preserve"> to which </w:t>
      </w:r>
      <w:r w:rsidR="00C424CA">
        <w:rPr>
          <w:rStyle w:val="cf01"/>
          <w:rFonts w:ascii="Arial" w:hAnsi="Arial" w:cs="Arial"/>
          <w:sz w:val="24"/>
          <w:szCs w:val="24"/>
        </w:rPr>
        <w:t xml:space="preserve">Mr </w:t>
      </w:r>
      <w:r w:rsidR="00326F5F" w:rsidRPr="00C424CA">
        <w:rPr>
          <w:rStyle w:val="cf01"/>
          <w:rFonts w:ascii="Arial" w:hAnsi="Arial" w:cs="Arial"/>
          <w:sz w:val="24"/>
          <w:szCs w:val="24"/>
        </w:rPr>
        <w:t>Jacobs quite properly referred me</w:t>
      </w:r>
      <w:r w:rsidR="00C424CA">
        <w:rPr>
          <w:rStyle w:val="cf01"/>
          <w:rFonts w:ascii="Arial" w:hAnsi="Arial" w:cs="Arial"/>
          <w:sz w:val="24"/>
          <w:szCs w:val="24"/>
        </w:rPr>
        <w:t>.</w:t>
      </w:r>
    </w:p>
    <w:p w14:paraId="6BD6A13E" w14:textId="0FA91CAB" w:rsidR="004D461D" w:rsidRDefault="005C69AA" w:rsidP="005C69AA">
      <w:pPr>
        <w:pStyle w:val="LC1"/>
        <w:numPr>
          <w:ilvl w:val="0"/>
          <w:numId w:val="0"/>
        </w:numPr>
        <w:ind w:left="720" w:hanging="720"/>
      </w:pPr>
      <w:r>
        <w:rPr>
          <w:rFonts w:cs="Arial"/>
          <w:szCs w:val="24"/>
        </w:rPr>
        <w:t>[17]</w:t>
      </w:r>
      <w:r>
        <w:rPr>
          <w:rFonts w:cs="Arial"/>
          <w:szCs w:val="24"/>
        </w:rPr>
        <w:tab/>
      </w:r>
      <w:r w:rsidR="00C424CA">
        <w:rPr>
          <w:rStyle w:val="cf01"/>
          <w:rFonts w:ascii="Arial" w:hAnsi="Arial" w:cs="Arial"/>
          <w:sz w:val="24"/>
          <w:szCs w:val="24"/>
        </w:rPr>
        <w:t xml:space="preserve">Mr </w:t>
      </w:r>
      <w:r w:rsidR="00326F5F" w:rsidRPr="00C424CA">
        <w:rPr>
          <w:rStyle w:val="cf01"/>
          <w:rFonts w:ascii="Arial" w:hAnsi="Arial" w:cs="Arial"/>
          <w:sz w:val="24"/>
          <w:szCs w:val="24"/>
        </w:rPr>
        <w:t xml:space="preserve">Jacobs </w:t>
      </w:r>
      <w:r w:rsidR="00767272">
        <w:rPr>
          <w:rStyle w:val="cf01"/>
          <w:rFonts w:ascii="Arial" w:hAnsi="Arial" w:cs="Arial"/>
          <w:sz w:val="24"/>
          <w:szCs w:val="24"/>
        </w:rPr>
        <w:t xml:space="preserve">however </w:t>
      </w:r>
      <w:r w:rsidR="00161C04">
        <w:rPr>
          <w:rStyle w:val="cf01"/>
          <w:rFonts w:ascii="Arial" w:hAnsi="Arial" w:cs="Arial"/>
          <w:sz w:val="24"/>
          <w:szCs w:val="24"/>
        </w:rPr>
        <w:t xml:space="preserve">pressed </w:t>
      </w:r>
      <w:r w:rsidR="00326F5F" w:rsidRPr="00C424CA">
        <w:rPr>
          <w:rStyle w:val="cf01"/>
          <w:rFonts w:ascii="Arial" w:hAnsi="Arial" w:cs="Arial"/>
          <w:sz w:val="24"/>
          <w:szCs w:val="24"/>
        </w:rPr>
        <w:t>refer</w:t>
      </w:r>
      <w:r w:rsidR="00836A4E">
        <w:rPr>
          <w:rStyle w:val="cf01"/>
          <w:rFonts w:ascii="Arial" w:hAnsi="Arial" w:cs="Arial"/>
          <w:sz w:val="24"/>
          <w:szCs w:val="24"/>
        </w:rPr>
        <w:t>ral of</w:t>
      </w:r>
      <w:r w:rsidR="00326F5F" w:rsidRPr="00C424CA">
        <w:rPr>
          <w:rStyle w:val="cf01"/>
          <w:rFonts w:ascii="Arial" w:hAnsi="Arial" w:cs="Arial"/>
          <w:sz w:val="24"/>
          <w:szCs w:val="24"/>
        </w:rPr>
        <w:t xml:space="preserve"> the issue of signature to oral evidence on the basis that</w:t>
      </w:r>
      <w:r w:rsidR="00F26F30">
        <w:rPr>
          <w:rStyle w:val="cf01"/>
          <w:rFonts w:ascii="Arial" w:hAnsi="Arial" w:cs="Arial"/>
          <w:sz w:val="24"/>
          <w:szCs w:val="24"/>
        </w:rPr>
        <w:t>,</w:t>
      </w:r>
      <w:r w:rsidR="00326F5F" w:rsidRPr="00C424CA">
        <w:rPr>
          <w:rStyle w:val="cf01"/>
          <w:rFonts w:ascii="Arial" w:hAnsi="Arial" w:cs="Arial"/>
          <w:sz w:val="24"/>
          <w:szCs w:val="24"/>
        </w:rPr>
        <w:t xml:space="preserve"> </w:t>
      </w:r>
      <w:r w:rsidR="00767272">
        <w:rPr>
          <w:rStyle w:val="cf01"/>
          <w:rFonts w:ascii="Arial" w:hAnsi="Arial" w:cs="Arial"/>
          <w:sz w:val="24"/>
          <w:szCs w:val="24"/>
        </w:rPr>
        <w:t>i</w:t>
      </w:r>
      <w:r w:rsidR="00326F5F" w:rsidRPr="00C424CA">
        <w:rPr>
          <w:rStyle w:val="cf01"/>
          <w:rFonts w:ascii="Arial" w:hAnsi="Arial" w:cs="Arial"/>
          <w:sz w:val="24"/>
          <w:szCs w:val="24"/>
        </w:rPr>
        <w:t xml:space="preserve">f signature in the manner alleged </w:t>
      </w:r>
      <w:r w:rsidR="004D461D">
        <w:rPr>
          <w:rStyle w:val="cf01"/>
          <w:rFonts w:ascii="Arial" w:hAnsi="Arial" w:cs="Arial"/>
          <w:sz w:val="24"/>
          <w:szCs w:val="24"/>
        </w:rPr>
        <w:t xml:space="preserve">by the applicant </w:t>
      </w:r>
      <w:r w:rsidR="00836A4E">
        <w:rPr>
          <w:rStyle w:val="cf01"/>
          <w:rFonts w:ascii="Arial" w:hAnsi="Arial" w:cs="Arial"/>
          <w:sz w:val="24"/>
          <w:szCs w:val="24"/>
        </w:rPr>
        <w:t xml:space="preserve">were to be </w:t>
      </w:r>
      <w:r w:rsidR="00326F5F" w:rsidRPr="00C424CA">
        <w:rPr>
          <w:rStyle w:val="cf01"/>
          <w:rFonts w:ascii="Arial" w:hAnsi="Arial" w:cs="Arial"/>
          <w:sz w:val="24"/>
          <w:szCs w:val="24"/>
        </w:rPr>
        <w:t xml:space="preserve">proved, then </w:t>
      </w:r>
      <w:r w:rsidR="004D461D">
        <w:rPr>
          <w:rStyle w:val="cf01"/>
          <w:rFonts w:ascii="Arial" w:hAnsi="Arial" w:cs="Arial"/>
          <w:sz w:val="24"/>
          <w:szCs w:val="24"/>
        </w:rPr>
        <w:t xml:space="preserve">the suretyship might nevertheless be </w:t>
      </w:r>
      <w:r w:rsidR="00326F5F" w:rsidRPr="00C424CA">
        <w:rPr>
          <w:rStyle w:val="cf01"/>
          <w:rFonts w:ascii="Arial" w:hAnsi="Arial" w:cs="Arial"/>
          <w:sz w:val="24"/>
          <w:szCs w:val="24"/>
        </w:rPr>
        <w:t>enforc</w:t>
      </w:r>
      <w:r w:rsidR="004D461D">
        <w:rPr>
          <w:rStyle w:val="cf01"/>
          <w:rFonts w:ascii="Arial" w:hAnsi="Arial" w:cs="Arial"/>
          <w:sz w:val="24"/>
          <w:szCs w:val="24"/>
        </w:rPr>
        <w:t xml:space="preserve">eable. For this submission, he relied upon </w:t>
      </w:r>
      <w:proofErr w:type="spellStart"/>
      <w:r w:rsidR="004D461D" w:rsidRPr="004D461D">
        <w:rPr>
          <w:rStyle w:val="cf01"/>
          <w:rFonts w:ascii="Arial" w:hAnsi="Arial" w:cs="Arial"/>
          <w:i/>
          <w:iCs/>
          <w:sz w:val="24"/>
          <w:szCs w:val="24"/>
        </w:rPr>
        <w:t>Borcherds</w:t>
      </w:r>
      <w:proofErr w:type="spellEnd"/>
      <w:r w:rsidR="004D461D" w:rsidRPr="004D461D">
        <w:rPr>
          <w:rStyle w:val="cf01"/>
          <w:rFonts w:ascii="Arial" w:hAnsi="Arial" w:cs="Arial"/>
          <w:i/>
          <w:iCs/>
          <w:sz w:val="24"/>
          <w:szCs w:val="24"/>
        </w:rPr>
        <w:t xml:space="preserve"> v </w:t>
      </w:r>
      <w:proofErr w:type="spellStart"/>
      <w:r w:rsidR="004D461D" w:rsidRPr="004D461D">
        <w:rPr>
          <w:rStyle w:val="cf01"/>
          <w:rFonts w:ascii="Arial" w:hAnsi="Arial" w:cs="Arial"/>
          <w:i/>
          <w:iCs/>
          <w:sz w:val="24"/>
          <w:szCs w:val="24"/>
        </w:rPr>
        <w:t>Duxberry</w:t>
      </w:r>
      <w:proofErr w:type="spellEnd"/>
      <w:r w:rsidR="00836A4E">
        <w:rPr>
          <w:rStyle w:val="cf01"/>
          <w:rFonts w:ascii="Arial" w:hAnsi="Arial" w:cs="Arial"/>
          <w:sz w:val="24"/>
          <w:szCs w:val="24"/>
        </w:rPr>
        <w:t>,</w:t>
      </w:r>
      <w:r w:rsidR="004D461D">
        <w:rPr>
          <w:rStyle w:val="FootnoteReference"/>
          <w:rFonts w:cs="Arial"/>
          <w:szCs w:val="24"/>
        </w:rPr>
        <w:footnoteReference w:id="5"/>
      </w:r>
      <w:r w:rsidR="004D461D">
        <w:rPr>
          <w:rStyle w:val="cf01"/>
          <w:rFonts w:ascii="Arial" w:hAnsi="Arial" w:cs="Arial"/>
          <w:sz w:val="24"/>
          <w:szCs w:val="24"/>
        </w:rPr>
        <w:t xml:space="preserve"> </w:t>
      </w:r>
      <w:r w:rsidR="004D461D">
        <w:t xml:space="preserve">where it was held that </w:t>
      </w:r>
      <w:r w:rsidR="00F26F30">
        <w:t xml:space="preserve">the </w:t>
      </w:r>
      <w:r w:rsidR="00767272">
        <w:t xml:space="preserve">undisputed </w:t>
      </w:r>
      <w:r w:rsidR="00FE68E8">
        <w:t xml:space="preserve">electronic </w:t>
      </w:r>
      <w:r w:rsidR="004D461D">
        <w:t>signature of a contract for the sale of land</w:t>
      </w:r>
      <w:r w:rsidR="00FE68E8">
        <w:rPr>
          <w:rStyle w:val="FootnoteReference"/>
        </w:rPr>
        <w:t xml:space="preserve"> </w:t>
      </w:r>
      <w:r w:rsidR="004D461D">
        <w:t xml:space="preserve">by </w:t>
      </w:r>
      <w:r w:rsidR="00767272">
        <w:t>means of the “DocuSign” application</w:t>
      </w:r>
      <w:r w:rsidR="00FE68E8">
        <w:t xml:space="preserve"> constituted compliance with section 2(1)(a) of the Alienation of Land Act, 68 of 1981</w:t>
      </w:r>
      <w:r w:rsidR="00F26F30">
        <w:t xml:space="preserve">. As with </w:t>
      </w:r>
      <w:r w:rsidR="00FE68E8">
        <w:t>section 6 of the GLA Act</w:t>
      </w:r>
      <w:r w:rsidR="00F26F30">
        <w:t xml:space="preserve">, the Alienation of Land Act </w:t>
      </w:r>
      <w:r w:rsidR="00FE68E8">
        <w:t>requires such a contract to be signed by the parties.</w:t>
      </w:r>
    </w:p>
    <w:p w14:paraId="1895DF95" w14:textId="029B2C78" w:rsidR="0025103A" w:rsidRPr="00161C04" w:rsidRDefault="005C69AA" w:rsidP="005C69AA">
      <w:pPr>
        <w:pStyle w:val="LC1"/>
        <w:numPr>
          <w:ilvl w:val="0"/>
          <w:numId w:val="0"/>
        </w:numPr>
        <w:ind w:left="720" w:hanging="720"/>
        <w:rPr>
          <w:rStyle w:val="cf01"/>
          <w:rFonts w:ascii="Arial" w:hAnsi="Arial" w:cs="Times New Roman"/>
          <w:sz w:val="24"/>
          <w:szCs w:val="20"/>
        </w:rPr>
      </w:pPr>
      <w:r w:rsidRPr="00161C04">
        <w:rPr>
          <w:rStyle w:val="cf01"/>
          <w:rFonts w:ascii="Arial" w:hAnsi="Arial" w:cs="Arial"/>
          <w:sz w:val="24"/>
          <w:szCs w:val="24"/>
        </w:rPr>
        <w:t>[18]</w:t>
      </w:r>
      <w:r w:rsidRPr="00161C04">
        <w:rPr>
          <w:rStyle w:val="cf01"/>
          <w:rFonts w:ascii="Arial" w:hAnsi="Arial" w:cs="Arial"/>
          <w:sz w:val="24"/>
          <w:szCs w:val="24"/>
        </w:rPr>
        <w:tab/>
      </w:r>
      <w:r w:rsidR="00F26F30">
        <w:rPr>
          <w:rStyle w:val="cf01"/>
          <w:rFonts w:ascii="Arial" w:hAnsi="Arial" w:cs="Arial"/>
          <w:sz w:val="24"/>
          <w:szCs w:val="24"/>
        </w:rPr>
        <w:t xml:space="preserve">However, </w:t>
      </w:r>
      <w:r w:rsidR="0025103A" w:rsidRPr="00623708">
        <w:rPr>
          <w:rStyle w:val="cf01"/>
          <w:rFonts w:ascii="Arial" w:hAnsi="Arial" w:cs="Arial"/>
          <w:sz w:val="24"/>
          <w:szCs w:val="24"/>
        </w:rPr>
        <w:t xml:space="preserve">the </w:t>
      </w:r>
      <w:proofErr w:type="spellStart"/>
      <w:r w:rsidR="0025103A" w:rsidRPr="00623708">
        <w:rPr>
          <w:rStyle w:val="cf01"/>
          <w:rFonts w:ascii="Arial" w:hAnsi="Arial" w:cs="Arial"/>
          <w:i/>
          <w:iCs/>
          <w:sz w:val="24"/>
          <w:szCs w:val="24"/>
        </w:rPr>
        <w:t>Borcherds</w:t>
      </w:r>
      <w:proofErr w:type="spellEnd"/>
      <w:r w:rsidR="0025103A" w:rsidRPr="00623708">
        <w:rPr>
          <w:rStyle w:val="cf01"/>
          <w:rFonts w:ascii="Arial" w:hAnsi="Arial" w:cs="Arial"/>
          <w:sz w:val="24"/>
          <w:szCs w:val="24"/>
        </w:rPr>
        <w:t xml:space="preserve"> decision</w:t>
      </w:r>
      <w:r w:rsidR="0025103A">
        <w:rPr>
          <w:rStyle w:val="cf01"/>
          <w:rFonts w:ascii="Arial" w:hAnsi="Arial" w:cs="Arial"/>
          <w:sz w:val="24"/>
          <w:szCs w:val="24"/>
        </w:rPr>
        <w:t xml:space="preserve"> </w:t>
      </w:r>
      <w:r w:rsidR="00FE68E8" w:rsidRPr="00623708">
        <w:rPr>
          <w:rStyle w:val="cf01"/>
          <w:rFonts w:ascii="Arial" w:hAnsi="Arial" w:cs="Arial"/>
          <w:sz w:val="24"/>
          <w:szCs w:val="24"/>
        </w:rPr>
        <w:t xml:space="preserve">is </w:t>
      </w:r>
      <w:r w:rsidR="00F26F30">
        <w:rPr>
          <w:rStyle w:val="cf01"/>
          <w:rFonts w:ascii="Arial" w:hAnsi="Arial" w:cs="Arial"/>
          <w:sz w:val="24"/>
          <w:szCs w:val="24"/>
        </w:rPr>
        <w:t xml:space="preserve">clearly </w:t>
      </w:r>
      <w:r w:rsidR="00FE68E8" w:rsidRPr="00623708">
        <w:rPr>
          <w:rStyle w:val="cf01"/>
          <w:rFonts w:ascii="Arial" w:hAnsi="Arial" w:cs="Arial"/>
          <w:sz w:val="24"/>
          <w:szCs w:val="24"/>
        </w:rPr>
        <w:t>distinguishable from the current case</w:t>
      </w:r>
      <w:r w:rsidR="0025103A">
        <w:rPr>
          <w:rStyle w:val="cf01"/>
          <w:rFonts w:ascii="Arial" w:hAnsi="Arial" w:cs="Arial"/>
          <w:sz w:val="24"/>
          <w:szCs w:val="24"/>
        </w:rPr>
        <w:t>.</w:t>
      </w:r>
      <w:r w:rsidR="00FE68E8" w:rsidRPr="00623708">
        <w:rPr>
          <w:rStyle w:val="cf01"/>
          <w:rFonts w:ascii="Arial" w:hAnsi="Arial" w:cs="Arial"/>
          <w:sz w:val="24"/>
          <w:szCs w:val="24"/>
        </w:rPr>
        <w:t xml:space="preserve"> </w:t>
      </w:r>
      <w:r w:rsidR="0025103A">
        <w:rPr>
          <w:rStyle w:val="cf01"/>
          <w:rFonts w:ascii="Arial" w:hAnsi="Arial" w:cs="Arial"/>
          <w:sz w:val="24"/>
          <w:szCs w:val="24"/>
        </w:rPr>
        <w:t>T</w:t>
      </w:r>
      <w:r w:rsidR="00FE68E8" w:rsidRPr="00623708">
        <w:rPr>
          <w:rStyle w:val="cf01"/>
          <w:rFonts w:ascii="Arial" w:hAnsi="Arial" w:cs="Arial"/>
          <w:sz w:val="24"/>
          <w:szCs w:val="24"/>
        </w:rPr>
        <w:t xml:space="preserve">here was no consideration </w:t>
      </w:r>
      <w:r w:rsidR="0025103A">
        <w:rPr>
          <w:rStyle w:val="cf01"/>
          <w:rFonts w:ascii="Arial" w:hAnsi="Arial" w:cs="Arial"/>
          <w:sz w:val="24"/>
          <w:szCs w:val="24"/>
        </w:rPr>
        <w:t xml:space="preserve">in that </w:t>
      </w:r>
      <w:r w:rsidR="00161C04">
        <w:rPr>
          <w:rStyle w:val="cf01"/>
          <w:rFonts w:ascii="Arial" w:hAnsi="Arial" w:cs="Arial"/>
          <w:sz w:val="24"/>
          <w:szCs w:val="24"/>
        </w:rPr>
        <w:t xml:space="preserve">matter </w:t>
      </w:r>
      <w:r w:rsidR="00FE68E8" w:rsidRPr="00623708">
        <w:rPr>
          <w:rStyle w:val="cf01"/>
          <w:rFonts w:ascii="Arial" w:hAnsi="Arial" w:cs="Arial"/>
          <w:sz w:val="24"/>
          <w:szCs w:val="24"/>
        </w:rPr>
        <w:t>of section 13(1) of the ECT Act</w:t>
      </w:r>
      <w:r w:rsidR="00161C04">
        <w:rPr>
          <w:rStyle w:val="cf01"/>
          <w:rFonts w:ascii="Arial" w:hAnsi="Arial" w:cs="Arial"/>
          <w:sz w:val="24"/>
          <w:szCs w:val="24"/>
        </w:rPr>
        <w:t>,</w:t>
      </w:r>
      <w:r w:rsidR="0015788B" w:rsidRPr="00623708">
        <w:rPr>
          <w:rStyle w:val="cf01"/>
          <w:rFonts w:ascii="Arial" w:hAnsi="Arial" w:cs="Arial"/>
          <w:sz w:val="24"/>
          <w:szCs w:val="24"/>
        </w:rPr>
        <w:t xml:space="preserve"> </w:t>
      </w:r>
      <w:r w:rsidR="00161C04">
        <w:rPr>
          <w:rStyle w:val="cf01"/>
          <w:rFonts w:ascii="Arial" w:hAnsi="Arial" w:cs="Arial"/>
          <w:sz w:val="24"/>
          <w:szCs w:val="24"/>
        </w:rPr>
        <w:t xml:space="preserve">which the court found not to apply </w:t>
      </w:r>
      <w:r w:rsidR="0015788B" w:rsidRPr="00623708">
        <w:rPr>
          <w:rStyle w:val="cf01"/>
          <w:rFonts w:ascii="Arial" w:hAnsi="Arial" w:cs="Arial"/>
          <w:sz w:val="24"/>
          <w:szCs w:val="24"/>
        </w:rPr>
        <w:t xml:space="preserve">in view of </w:t>
      </w:r>
      <w:r w:rsidR="00161C04">
        <w:rPr>
          <w:rStyle w:val="cf01"/>
          <w:rFonts w:ascii="Arial" w:hAnsi="Arial" w:cs="Arial"/>
          <w:sz w:val="24"/>
          <w:szCs w:val="24"/>
        </w:rPr>
        <w:t xml:space="preserve">its </w:t>
      </w:r>
      <w:r w:rsidR="0015788B" w:rsidRPr="00623708">
        <w:rPr>
          <w:rStyle w:val="cf01"/>
          <w:rFonts w:ascii="Arial" w:hAnsi="Arial" w:cs="Arial"/>
          <w:sz w:val="24"/>
          <w:szCs w:val="24"/>
        </w:rPr>
        <w:t>reading of section 4(3)</w:t>
      </w:r>
      <w:r w:rsidR="0025103A">
        <w:rPr>
          <w:rStyle w:val="cf01"/>
          <w:rFonts w:ascii="Arial" w:hAnsi="Arial" w:cs="Arial"/>
          <w:sz w:val="24"/>
          <w:szCs w:val="24"/>
        </w:rPr>
        <w:t xml:space="preserve"> read with Schedule 1 thereof. Unlike the Alienation of Land Act, the </w:t>
      </w:r>
      <w:r w:rsidR="0015788B" w:rsidRPr="00623708">
        <w:rPr>
          <w:rStyle w:val="cf01"/>
          <w:rFonts w:ascii="Arial" w:hAnsi="Arial" w:cs="Arial"/>
          <w:sz w:val="24"/>
          <w:szCs w:val="24"/>
        </w:rPr>
        <w:t xml:space="preserve">GLA </w:t>
      </w:r>
      <w:r w:rsidR="0015788B" w:rsidRPr="00623708">
        <w:rPr>
          <w:rStyle w:val="cf01"/>
          <w:rFonts w:ascii="Arial" w:hAnsi="Arial" w:cs="Arial"/>
          <w:sz w:val="24"/>
          <w:szCs w:val="24"/>
        </w:rPr>
        <w:lastRenderedPageBreak/>
        <w:t>Act</w:t>
      </w:r>
      <w:r w:rsidR="0025103A">
        <w:rPr>
          <w:rStyle w:val="cf01"/>
          <w:rFonts w:ascii="Arial" w:hAnsi="Arial" w:cs="Arial"/>
          <w:sz w:val="24"/>
          <w:szCs w:val="24"/>
        </w:rPr>
        <w:t xml:space="preserve"> is not mentioned in Schedule 1</w:t>
      </w:r>
      <w:r w:rsidR="00161C04">
        <w:rPr>
          <w:rStyle w:val="cf01"/>
          <w:rFonts w:ascii="Arial" w:hAnsi="Arial" w:cs="Arial"/>
          <w:sz w:val="24"/>
          <w:szCs w:val="24"/>
        </w:rPr>
        <w:t xml:space="preserve"> to the ECT Act</w:t>
      </w:r>
      <w:r w:rsidR="0015788B" w:rsidRPr="00623708">
        <w:rPr>
          <w:rStyle w:val="cf01"/>
          <w:rFonts w:ascii="Arial" w:hAnsi="Arial" w:cs="Arial"/>
          <w:sz w:val="24"/>
          <w:szCs w:val="24"/>
        </w:rPr>
        <w:t>.</w:t>
      </w:r>
      <w:r w:rsidR="00161C04">
        <w:rPr>
          <w:rStyle w:val="cf01"/>
          <w:rFonts w:ascii="Arial" w:hAnsi="Arial" w:cs="Arial"/>
          <w:sz w:val="24"/>
          <w:szCs w:val="24"/>
        </w:rPr>
        <w:t xml:space="preserve"> In those circumstances no purpose would be served by referring to oral evidence the issue of whether the deed of suretyship was in fact signed in the manner contended for by the applicant, and the application falls to be dismissed. There is no reason why costs should not follow the result.</w:t>
      </w:r>
      <w:r w:rsidR="00FE68E8" w:rsidRPr="00623708">
        <w:rPr>
          <w:rStyle w:val="cf01"/>
          <w:rFonts w:ascii="Arial" w:hAnsi="Arial" w:cs="Arial"/>
          <w:sz w:val="24"/>
          <w:szCs w:val="24"/>
        </w:rPr>
        <w:t xml:space="preserve"> </w:t>
      </w:r>
    </w:p>
    <w:p w14:paraId="6CFCB60E" w14:textId="1CF1C83A" w:rsidR="00161C04" w:rsidRPr="00054CE0" w:rsidRDefault="005C69AA" w:rsidP="005C69AA">
      <w:pPr>
        <w:pStyle w:val="LC1"/>
        <w:numPr>
          <w:ilvl w:val="0"/>
          <w:numId w:val="0"/>
        </w:numPr>
        <w:ind w:left="720" w:hanging="720"/>
        <w:rPr>
          <w:rStyle w:val="cf01"/>
          <w:rFonts w:ascii="Arial" w:hAnsi="Arial" w:cs="Times New Roman"/>
          <w:sz w:val="24"/>
          <w:szCs w:val="20"/>
        </w:rPr>
      </w:pPr>
      <w:r w:rsidRPr="00054CE0">
        <w:rPr>
          <w:rStyle w:val="cf01"/>
          <w:rFonts w:ascii="Arial" w:hAnsi="Arial" w:cs="Arial"/>
          <w:sz w:val="24"/>
          <w:szCs w:val="24"/>
        </w:rPr>
        <w:t>[19]</w:t>
      </w:r>
      <w:r w:rsidRPr="00054CE0">
        <w:rPr>
          <w:rStyle w:val="cf01"/>
          <w:rFonts w:ascii="Arial" w:hAnsi="Arial" w:cs="Arial"/>
          <w:sz w:val="24"/>
          <w:szCs w:val="24"/>
        </w:rPr>
        <w:tab/>
      </w:r>
      <w:r w:rsidR="00161C04">
        <w:rPr>
          <w:rStyle w:val="cf01"/>
          <w:rFonts w:ascii="Arial" w:hAnsi="Arial" w:cs="Arial"/>
          <w:sz w:val="24"/>
          <w:szCs w:val="24"/>
        </w:rPr>
        <w:t>The application is dismissed with costs.</w:t>
      </w:r>
    </w:p>
    <w:p w14:paraId="722823C3" w14:textId="77777777" w:rsidR="00361DD3" w:rsidRDefault="00361DD3" w:rsidP="0025103A">
      <w:pPr>
        <w:pStyle w:val="LC1"/>
        <w:numPr>
          <w:ilvl w:val="0"/>
          <w:numId w:val="0"/>
        </w:numPr>
        <w:ind w:left="720" w:hanging="720"/>
      </w:pPr>
    </w:p>
    <w:p w14:paraId="28011808" w14:textId="77777777" w:rsidR="00161C04" w:rsidRDefault="00161C04" w:rsidP="0025103A">
      <w:pPr>
        <w:pStyle w:val="LC1"/>
        <w:numPr>
          <w:ilvl w:val="0"/>
          <w:numId w:val="0"/>
        </w:numPr>
        <w:ind w:left="720" w:hanging="720"/>
      </w:pPr>
    </w:p>
    <w:p w14:paraId="52ACCD6E" w14:textId="75273461" w:rsidR="00D202C2" w:rsidRPr="00054CE0" w:rsidRDefault="00B928FE" w:rsidP="00054CE0">
      <w:pPr>
        <w:keepNext/>
        <w:spacing w:after="120" w:line="360" w:lineRule="auto"/>
        <w:jc w:val="right"/>
        <w:rPr>
          <w:rFonts w:ascii="Arial" w:hAnsi="Arial" w:cs="Arial"/>
          <w:b/>
          <w:sz w:val="24"/>
          <w:szCs w:val="24"/>
          <w:u w:val="single"/>
        </w:rPr>
      </w:pPr>
      <w:r w:rsidRPr="00054CE0">
        <w:rPr>
          <w:rFonts w:ascii="Arial" w:hAnsi="Arial" w:cs="Arial"/>
          <w:b/>
          <w:sz w:val="24"/>
          <w:szCs w:val="24"/>
          <w:u w:val="single"/>
        </w:rPr>
        <w:t>______</w:t>
      </w:r>
      <w:r w:rsidR="00044A38" w:rsidRPr="00054CE0">
        <w:rPr>
          <w:rFonts w:ascii="Arial" w:hAnsi="Arial" w:cs="Arial"/>
          <w:b/>
          <w:sz w:val="24"/>
          <w:szCs w:val="24"/>
          <w:u w:val="single"/>
        </w:rPr>
        <w:t>_________</w:t>
      </w:r>
      <w:r w:rsidRPr="00054CE0">
        <w:rPr>
          <w:rFonts w:ascii="Arial" w:hAnsi="Arial" w:cs="Arial"/>
          <w:b/>
          <w:sz w:val="24"/>
          <w:szCs w:val="24"/>
          <w:u w:val="single"/>
        </w:rPr>
        <w:t>________</w:t>
      </w:r>
    </w:p>
    <w:p w14:paraId="4A51D625" w14:textId="6810B2B1" w:rsidR="00D202C2" w:rsidRPr="00054CE0" w:rsidRDefault="00B94766" w:rsidP="00054CE0">
      <w:pPr>
        <w:keepNext/>
        <w:autoSpaceDE w:val="0"/>
        <w:autoSpaceDN w:val="0"/>
        <w:adjustRightInd w:val="0"/>
        <w:spacing w:after="120" w:line="360" w:lineRule="auto"/>
        <w:jc w:val="right"/>
        <w:rPr>
          <w:rFonts w:ascii="Arial" w:hAnsi="Arial" w:cs="Arial"/>
          <w:b/>
          <w:sz w:val="24"/>
          <w:szCs w:val="24"/>
        </w:rPr>
      </w:pPr>
      <w:r>
        <w:rPr>
          <w:rFonts w:ascii="Arial" w:hAnsi="Arial" w:cs="Arial"/>
          <w:b/>
          <w:sz w:val="24"/>
          <w:szCs w:val="24"/>
        </w:rPr>
        <w:t xml:space="preserve"> </w:t>
      </w:r>
      <w:r w:rsidR="001A42D3" w:rsidRPr="00054CE0">
        <w:rPr>
          <w:rFonts w:ascii="Arial" w:hAnsi="Arial" w:cs="Arial"/>
          <w:b/>
          <w:sz w:val="24"/>
          <w:szCs w:val="24"/>
        </w:rPr>
        <w:t>R</w:t>
      </w:r>
      <w:r>
        <w:rPr>
          <w:rFonts w:ascii="Arial" w:hAnsi="Arial" w:cs="Arial"/>
          <w:b/>
          <w:sz w:val="24"/>
          <w:szCs w:val="24"/>
        </w:rPr>
        <w:t xml:space="preserve">. </w:t>
      </w:r>
      <w:r w:rsidR="001A42D3" w:rsidRPr="00054CE0">
        <w:rPr>
          <w:rFonts w:ascii="Arial" w:hAnsi="Arial" w:cs="Arial"/>
          <w:b/>
          <w:sz w:val="24"/>
          <w:szCs w:val="24"/>
        </w:rPr>
        <w:t>J</w:t>
      </w:r>
      <w:r w:rsidR="00161C04">
        <w:rPr>
          <w:rFonts w:ascii="Arial" w:hAnsi="Arial" w:cs="Arial"/>
          <w:b/>
          <w:sz w:val="24"/>
          <w:szCs w:val="24"/>
        </w:rPr>
        <w:t>.</w:t>
      </w:r>
      <w:r w:rsidR="001A42D3" w:rsidRPr="00054CE0">
        <w:rPr>
          <w:rFonts w:ascii="Arial" w:hAnsi="Arial" w:cs="Arial"/>
          <w:b/>
          <w:sz w:val="24"/>
          <w:szCs w:val="24"/>
        </w:rPr>
        <w:t xml:space="preserve"> </w:t>
      </w:r>
      <w:r w:rsidR="003C4F1C" w:rsidRPr="00054CE0">
        <w:rPr>
          <w:rFonts w:ascii="Arial" w:hAnsi="Arial" w:cs="Arial"/>
          <w:b/>
          <w:sz w:val="24"/>
          <w:szCs w:val="24"/>
        </w:rPr>
        <w:t>M</w:t>
      </w:r>
      <w:r>
        <w:rPr>
          <w:rFonts w:ascii="Arial" w:hAnsi="Arial" w:cs="Arial"/>
          <w:b/>
          <w:sz w:val="24"/>
          <w:szCs w:val="24"/>
        </w:rPr>
        <w:t>OULTRIE</w:t>
      </w:r>
    </w:p>
    <w:p w14:paraId="40911379" w14:textId="7216D52E" w:rsidR="00D202C2" w:rsidRPr="00054CE0" w:rsidRDefault="00B94766" w:rsidP="00054CE0">
      <w:pPr>
        <w:keepNext/>
        <w:autoSpaceDE w:val="0"/>
        <w:autoSpaceDN w:val="0"/>
        <w:adjustRightInd w:val="0"/>
        <w:spacing w:after="120" w:line="360" w:lineRule="auto"/>
        <w:jc w:val="right"/>
        <w:rPr>
          <w:rFonts w:ascii="Arial" w:hAnsi="Arial" w:cs="Arial"/>
          <w:b/>
          <w:sz w:val="24"/>
          <w:szCs w:val="24"/>
        </w:rPr>
      </w:pPr>
      <w:r>
        <w:rPr>
          <w:rFonts w:ascii="Arial" w:hAnsi="Arial" w:cs="Arial"/>
          <w:b/>
          <w:sz w:val="24"/>
          <w:szCs w:val="24"/>
        </w:rPr>
        <w:t>ACTING JUDGE OF THE HIGH COURT</w:t>
      </w:r>
      <w:r w:rsidR="00D202C2" w:rsidRPr="00054CE0">
        <w:rPr>
          <w:rFonts w:ascii="Arial" w:hAnsi="Arial" w:cs="Arial"/>
          <w:b/>
          <w:sz w:val="24"/>
          <w:szCs w:val="24"/>
        </w:rPr>
        <w:t xml:space="preserve"> </w:t>
      </w:r>
    </w:p>
    <w:p w14:paraId="27FA8E08" w14:textId="77777777" w:rsidR="00B94766" w:rsidRDefault="00B94766" w:rsidP="00054CE0">
      <w:pPr>
        <w:autoSpaceDE w:val="0"/>
        <w:autoSpaceDN w:val="0"/>
        <w:adjustRightInd w:val="0"/>
        <w:spacing w:after="120" w:line="360" w:lineRule="auto"/>
        <w:jc w:val="right"/>
        <w:rPr>
          <w:rFonts w:ascii="Arial" w:hAnsi="Arial" w:cs="Arial"/>
          <w:b/>
          <w:sz w:val="24"/>
          <w:szCs w:val="24"/>
        </w:rPr>
      </w:pPr>
      <w:r>
        <w:rPr>
          <w:rFonts w:ascii="Arial" w:hAnsi="Arial" w:cs="Arial"/>
          <w:b/>
          <w:sz w:val="24"/>
          <w:szCs w:val="24"/>
        </w:rPr>
        <w:t>GAUTENG LOCAL DIVISION</w:t>
      </w:r>
    </w:p>
    <w:p w14:paraId="18A4CE1E" w14:textId="4D413358" w:rsidR="007D51E5" w:rsidRPr="00054CE0" w:rsidRDefault="00B94766" w:rsidP="00054CE0">
      <w:pPr>
        <w:autoSpaceDE w:val="0"/>
        <w:autoSpaceDN w:val="0"/>
        <w:adjustRightInd w:val="0"/>
        <w:spacing w:after="120" w:line="360" w:lineRule="auto"/>
        <w:jc w:val="right"/>
        <w:rPr>
          <w:rFonts w:ascii="Arial" w:hAnsi="Arial" w:cs="Arial"/>
          <w:b/>
          <w:sz w:val="24"/>
          <w:szCs w:val="24"/>
        </w:rPr>
      </w:pPr>
      <w:r>
        <w:rPr>
          <w:rFonts w:ascii="Arial" w:hAnsi="Arial" w:cs="Arial"/>
          <w:b/>
          <w:sz w:val="24"/>
          <w:szCs w:val="24"/>
        </w:rPr>
        <w:t>JOHANNESBURG</w:t>
      </w:r>
    </w:p>
    <w:p w14:paraId="0584217B" w14:textId="24556635" w:rsidR="00AB3AF8" w:rsidRDefault="00AB3AF8" w:rsidP="00665B87">
      <w:pPr>
        <w:spacing w:before="240" w:after="120" w:line="360" w:lineRule="auto"/>
        <w:jc w:val="left"/>
        <w:rPr>
          <w:rFonts w:ascii="Arial" w:hAnsi="Arial" w:cs="Arial"/>
          <w:sz w:val="24"/>
          <w:szCs w:val="24"/>
          <w:u w:val="single"/>
        </w:rPr>
      </w:pPr>
    </w:p>
    <w:p w14:paraId="1EB9E1CC" w14:textId="77777777" w:rsidR="00361DD3" w:rsidRDefault="00361DD3" w:rsidP="00EF4A89">
      <w:pPr>
        <w:spacing w:before="240" w:line="360" w:lineRule="auto"/>
        <w:jc w:val="left"/>
        <w:rPr>
          <w:rFonts w:ascii="Arial" w:hAnsi="Arial" w:cs="Arial"/>
          <w:sz w:val="24"/>
          <w:szCs w:val="24"/>
        </w:rPr>
      </w:pPr>
    </w:p>
    <w:p w14:paraId="0B1170AD" w14:textId="08F0F37E" w:rsidR="00EF4A89" w:rsidRPr="00001F4A" w:rsidRDefault="00EF4A89" w:rsidP="00EF4A89">
      <w:pPr>
        <w:spacing w:before="240" w:line="360" w:lineRule="auto"/>
        <w:jc w:val="left"/>
        <w:rPr>
          <w:rFonts w:ascii="Arial" w:hAnsi="Arial" w:cs="Arial"/>
          <w:sz w:val="24"/>
          <w:szCs w:val="24"/>
        </w:rPr>
      </w:pPr>
      <w:r w:rsidRPr="00001F4A">
        <w:rPr>
          <w:rFonts w:ascii="Arial" w:hAnsi="Arial" w:cs="Arial"/>
          <w:sz w:val="24"/>
          <w:szCs w:val="24"/>
        </w:rPr>
        <w:t>DATE HEARD:</w:t>
      </w:r>
      <w:r w:rsidRPr="00001F4A">
        <w:rPr>
          <w:rFonts w:ascii="Arial" w:hAnsi="Arial" w:cs="Arial"/>
          <w:sz w:val="24"/>
          <w:szCs w:val="24"/>
        </w:rPr>
        <w:tab/>
      </w:r>
      <w:r w:rsidRPr="00001F4A">
        <w:rPr>
          <w:rFonts w:ascii="Arial" w:hAnsi="Arial" w:cs="Arial"/>
          <w:sz w:val="24"/>
          <w:szCs w:val="24"/>
        </w:rPr>
        <w:tab/>
      </w:r>
      <w:r w:rsidRPr="00001F4A">
        <w:rPr>
          <w:rFonts w:ascii="Arial" w:hAnsi="Arial" w:cs="Arial"/>
          <w:sz w:val="24"/>
          <w:szCs w:val="24"/>
        </w:rPr>
        <w:tab/>
      </w:r>
      <w:r>
        <w:rPr>
          <w:rFonts w:ascii="Arial" w:hAnsi="Arial" w:cs="Arial"/>
          <w:sz w:val="24"/>
          <w:szCs w:val="24"/>
        </w:rPr>
        <w:t>14 November 2023</w:t>
      </w:r>
    </w:p>
    <w:p w14:paraId="371C5053" w14:textId="228BDCFC" w:rsidR="00EF4A89" w:rsidRDefault="00EF4A89" w:rsidP="00EA10C3">
      <w:pPr>
        <w:spacing w:line="360" w:lineRule="auto"/>
        <w:jc w:val="left"/>
        <w:rPr>
          <w:rFonts w:ascii="Arial" w:hAnsi="Arial" w:cs="Arial"/>
          <w:sz w:val="24"/>
          <w:szCs w:val="24"/>
        </w:rPr>
      </w:pPr>
      <w:r w:rsidRPr="00001F4A">
        <w:rPr>
          <w:rFonts w:ascii="Arial" w:hAnsi="Arial" w:cs="Arial"/>
          <w:sz w:val="24"/>
          <w:szCs w:val="24"/>
        </w:rPr>
        <w:t>JUDGMENT DELIVERED:</w:t>
      </w:r>
      <w:r w:rsidRPr="00001F4A">
        <w:rPr>
          <w:rFonts w:ascii="Arial" w:hAnsi="Arial" w:cs="Arial"/>
          <w:sz w:val="24"/>
          <w:szCs w:val="24"/>
        </w:rPr>
        <w:tab/>
      </w:r>
      <w:r w:rsidRPr="00001F4A">
        <w:rPr>
          <w:rFonts w:ascii="Arial" w:hAnsi="Arial" w:cs="Arial"/>
          <w:sz w:val="24"/>
          <w:szCs w:val="24"/>
        </w:rPr>
        <w:tab/>
      </w:r>
      <w:r>
        <w:rPr>
          <w:rFonts w:ascii="Arial" w:hAnsi="Arial" w:cs="Arial"/>
          <w:sz w:val="24"/>
          <w:szCs w:val="24"/>
        </w:rPr>
        <w:t>1</w:t>
      </w:r>
      <w:r w:rsidR="00161C04">
        <w:rPr>
          <w:rFonts w:ascii="Arial" w:hAnsi="Arial" w:cs="Arial"/>
          <w:sz w:val="24"/>
          <w:szCs w:val="24"/>
        </w:rPr>
        <w:t>6</w:t>
      </w:r>
      <w:r>
        <w:rPr>
          <w:rFonts w:ascii="Arial" w:hAnsi="Arial" w:cs="Arial"/>
          <w:sz w:val="24"/>
          <w:szCs w:val="24"/>
        </w:rPr>
        <w:t xml:space="preserve"> November 2023</w:t>
      </w:r>
    </w:p>
    <w:p w14:paraId="5E2F964E" w14:textId="52D7F4D9" w:rsidR="00EA10C3" w:rsidRPr="00001F4A" w:rsidRDefault="00EA10C3" w:rsidP="00EF4A89">
      <w:pPr>
        <w:spacing w:after="120" w:line="360" w:lineRule="auto"/>
        <w:jc w:val="left"/>
        <w:rPr>
          <w:rFonts w:ascii="Arial" w:hAnsi="Arial" w:cs="Arial"/>
          <w:sz w:val="24"/>
          <w:szCs w:val="24"/>
        </w:rPr>
      </w:pPr>
      <w:r w:rsidRPr="00001F4A">
        <w:rPr>
          <w:rFonts w:ascii="Arial" w:hAnsi="Arial" w:cs="Arial"/>
          <w:sz w:val="24"/>
          <w:szCs w:val="24"/>
        </w:rPr>
        <w:t xml:space="preserve">JUDGMENT </w:t>
      </w:r>
      <w:r>
        <w:rPr>
          <w:rFonts w:ascii="Arial" w:hAnsi="Arial" w:cs="Arial"/>
          <w:sz w:val="24"/>
          <w:szCs w:val="24"/>
        </w:rPr>
        <w:t>REVISED</w:t>
      </w:r>
      <w:r w:rsidRPr="00001F4A">
        <w:rPr>
          <w:rFonts w:ascii="Arial" w:hAnsi="Arial" w:cs="Arial"/>
          <w:sz w:val="24"/>
          <w:szCs w:val="24"/>
        </w:rPr>
        <w:t>:</w:t>
      </w:r>
      <w:r w:rsidRPr="00001F4A">
        <w:rPr>
          <w:rFonts w:ascii="Arial" w:hAnsi="Arial" w:cs="Arial"/>
          <w:sz w:val="24"/>
          <w:szCs w:val="24"/>
        </w:rPr>
        <w:tab/>
      </w:r>
      <w:r w:rsidRPr="00001F4A">
        <w:rPr>
          <w:rFonts w:ascii="Arial" w:hAnsi="Arial" w:cs="Arial"/>
          <w:sz w:val="24"/>
          <w:szCs w:val="24"/>
        </w:rPr>
        <w:tab/>
      </w:r>
      <w:r>
        <w:rPr>
          <w:rFonts w:ascii="Arial" w:hAnsi="Arial" w:cs="Arial"/>
          <w:sz w:val="24"/>
          <w:szCs w:val="24"/>
        </w:rPr>
        <w:t>17 November 2023</w:t>
      </w:r>
    </w:p>
    <w:p w14:paraId="64DC61D2" w14:textId="77777777" w:rsidR="00054CE0" w:rsidRDefault="00054CE0" w:rsidP="00B928FE">
      <w:pPr>
        <w:autoSpaceDE w:val="0"/>
        <w:autoSpaceDN w:val="0"/>
        <w:adjustRightInd w:val="0"/>
        <w:spacing w:before="240" w:after="120" w:line="360" w:lineRule="auto"/>
        <w:rPr>
          <w:rFonts w:ascii="Arial" w:hAnsi="Arial" w:cs="Arial"/>
          <w:sz w:val="24"/>
          <w:szCs w:val="24"/>
          <w:u w:val="single"/>
        </w:rPr>
      </w:pPr>
    </w:p>
    <w:p w14:paraId="127291A0" w14:textId="51DEA13C" w:rsidR="00D202C2" w:rsidRPr="00671349" w:rsidRDefault="00D202C2" w:rsidP="00B928FE">
      <w:pPr>
        <w:autoSpaceDE w:val="0"/>
        <w:autoSpaceDN w:val="0"/>
        <w:adjustRightInd w:val="0"/>
        <w:spacing w:before="240" w:after="120" w:line="360" w:lineRule="auto"/>
        <w:rPr>
          <w:rFonts w:ascii="Arial" w:hAnsi="Arial" w:cs="Arial"/>
          <w:sz w:val="24"/>
          <w:szCs w:val="24"/>
          <w:u w:val="single"/>
        </w:rPr>
      </w:pPr>
      <w:r w:rsidRPr="00671349">
        <w:rPr>
          <w:rFonts w:ascii="Arial" w:hAnsi="Arial" w:cs="Arial"/>
          <w:sz w:val="24"/>
          <w:szCs w:val="24"/>
          <w:u w:val="single"/>
        </w:rPr>
        <w:t>APPEARANCES</w:t>
      </w:r>
    </w:p>
    <w:p w14:paraId="50495967" w14:textId="23AC66CC" w:rsidR="00D202C2" w:rsidRPr="00671349" w:rsidRDefault="00A06D4C" w:rsidP="00743662">
      <w:pPr>
        <w:autoSpaceDE w:val="0"/>
        <w:autoSpaceDN w:val="0"/>
        <w:adjustRightInd w:val="0"/>
        <w:spacing w:before="240" w:after="120" w:line="240" w:lineRule="auto"/>
        <w:rPr>
          <w:rFonts w:ascii="Arial" w:hAnsi="Arial" w:cs="Arial"/>
          <w:sz w:val="24"/>
          <w:szCs w:val="24"/>
        </w:rPr>
      </w:pPr>
      <w:r>
        <w:rPr>
          <w:rFonts w:ascii="Arial" w:hAnsi="Arial" w:cs="Arial"/>
          <w:sz w:val="24"/>
          <w:szCs w:val="24"/>
        </w:rPr>
        <w:t xml:space="preserve">For the </w:t>
      </w:r>
      <w:r w:rsidR="00F75EDE">
        <w:rPr>
          <w:rFonts w:ascii="Arial" w:hAnsi="Arial" w:cs="Arial"/>
          <w:sz w:val="24"/>
          <w:szCs w:val="24"/>
        </w:rPr>
        <w:t>applicant</w:t>
      </w:r>
      <w:r w:rsidR="00743662">
        <w:rPr>
          <w:rFonts w:ascii="Arial" w:hAnsi="Arial" w:cs="Arial"/>
          <w:sz w:val="24"/>
          <w:szCs w:val="24"/>
        </w:rPr>
        <w:t xml:space="preserve">: </w:t>
      </w:r>
      <w:r>
        <w:rPr>
          <w:rFonts w:ascii="Arial" w:hAnsi="Arial" w:cs="Arial"/>
          <w:sz w:val="24"/>
          <w:szCs w:val="24"/>
        </w:rPr>
        <w:tab/>
      </w:r>
      <w:r w:rsidR="00F75EDE">
        <w:rPr>
          <w:rFonts w:ascii="Arial" w:hAnsi="Arial" w:cs="Arial"/>
          <w:sz w:val="24"/>
          <w:szCs w:val="24"/>
        </w:rPr>
        <w:tab/>
      </w:r>
      <w:r w:rsidR="00054CE0">
        <w:rPr>
          <w:rFonts w:ascii="Arial" w:hAnsi="Arial" w:cs="Arial"/>
          <w:sz w:val="24"/>
          <w:szCs w:val="24"/>
        </w:rPr>
        <w:tab/>
      </w:r>
      <w:r w:rsidR="00953812">
        <w:rPr>
          <w:rFonts w:ascii="Arial" w:hAnsi="Arial" w:cs="Arial"/>
          <w:sz w:val="24"/>
          <w:szCs w:val="24"/>
        </w:rPr>
        <w:t xml:space="preserve">Mr S Jacobs of </w:t>
      </w:r>
      <w:proofErr w:type="spellStart"/>
      <w:r w:rsidR="00953812">
        <w:rPr>
          <w:rFonts w:ascii="Arial" w:hAnsi="Arial" w:cs="Arial"/>
          <w:sz w:val="24"/>
          <w:szCs w:val="24"/>
        </w:rPr>
        <w:t>St</w:t>
      </w:r>
      <w:r w:rsidR="00EF4A89">
        <w:rPr>
          <w:rFonts w:ascii="Arial" w:hAnsi="Arial" w:cs="Arial"/>
          <w:sz w:val="24"/>
          <w:szCs w:val="24"/>
        </w:rPr>
        <w:t>u</w:t>
      </w:r>
      <w:r w:rsidR="00953812">
        <w:rPr>
          <w:rFonts w:ascii="Arial" w:hAnsi="Arial" w:cs="Arial"/>
          <w:sz w:val="24"/>
          <w:szCs w:val="24"/>
        </w:rPr>
        <w:t>pel</w:t>
      </w:r>
      <w:proofErr w:type="spellEnd"/>
      <w:r w:rsidR="00953812">
        <w:rPr>
          <w:rFonts w:ascii="Arial" w:hAnsi="Arial" w:cs="Arial"/>
          <w:sz w:val="24"/>
          <w:szCs w:val="24"/>
        </w:rPr>
        <w:t xml:space="preserve"> </w:t>
      </w:r>
      <w:r w:rsidR="00EF4A89">
        <w:rPr>
          <w:rFonts w:ascii="Arial" w:hAnsi="Arial" w:cs="Arial"/>
          <w:sz w:val="24"/>
          <w:szCs w:val="24"/>
        </w:rPr>
        <w:t xml:space="preserve">&amp; </w:t>
      </w:r>
      <w:r w:rsidR="00953812">
        <w:rPr>
          <w:rFonts w:ascii="Arial" w:hAnsi="Arial" w:cs="Arial"/>
          <w:sz w:val="24"/>
          <w:szCs w:val="24"/>
        </w:rPr>
        <w:t xml:space="preserve">Berman </w:t>
      </w:r>
      <w:r w:rsidR="00EF4A89">
        <w:rPr>
          <w:rFonts w:ascii="Arial" w:hAnsi="Arial" w:cs="Arial"/>
          <w:sz w:val="24"/>
          <w:szCs w:val="24"/>
        </w:rPr>
        <w:t>Inc.</w:t>
      </w:r>
    </w:p>
    <w:p w14:paraId="1BA62940" w14:textId="63A42783" w:rsidR="00AD335A" w:rsidRPr="00671349" w:rsidRDefault="00A06D4C" w:rsidP="00161C04">
      <w:pPr>
        <w:autoSpaceDE w:val="0"/>
        <w:autoSpaceDN w:val="0"/>
        <w:adjustRightInd w:val="0"/>
        <w:spacing w:before="240" w:after="120" w:line="240" w:lineRule="auto"/>
        <w:ind w:left="3600" w:hanging="3600"/>
        <w:rPr>
          <w:rFonts w:ascii="Arial" w:hAnsi="Arial" w:cs="Arial"/>
          <w:sz w:val="24"/>
          <w:szCs w:val="24"/>
        </w:rPr>
      </w:pPr>
      <w:r>
        <w:rPr>
          <w:rFonts w:ascii="Arial" w:hAnsi="Arial" w:cs="Arial"/>
          <w:sz w:val="24"/>
          <w:szCs w:val="24"/>
        </w:rPr>
        <w:t>F</w:t>
      </w:r>
      <w:r w:rsidR="00743662">
        <w:rPr>
          <w:rFonts w:ascii="Arial" w:hAnsi="Arial" w:cs="Arial"/>
          <w:sz w:val="24"/>
          <w:szCs w:val="24"/>
        </w:rPr>
        <w:t xml:space="preserve">or the </w:t>
      </w:r>
      <w:r w:rsidR="00F75EDE">
        <w:rPr>
          <w:rFonts w:ascii="Arial" w:hAnsi="Arial" w:cs="Arial"/>
          <w:sz w:val="24"/>
          <w:szCs w:val="24"/>
        </w:rPr>
        <w:t>respondent</w:t>
      </w:r>
      <w:r w:rsidR="00743662">
        <w:rPr>
          <w:rFonts w:ascii="Arial" w:hAnsi="Arial" w:cs="Arial"/>
          <w:sz w:val="24"/>
          <w:szCs w:val="24"/>
        </w:rPr>
        <w:t xml:space="preserve">: </w:t>
      </w:r>
      <w:r>
        <w:rPr>
          <w:rFonts w:ascii="Arial" w:hAnsi="Arial" w:cs="Arial"/>
          <w:sz w:val="24"/>
          <w:szCs w:val="24"/>
        </w:rPr>
        <w:tab/>
      </w:r>
      <w:r w:rsidR="00F75EDE">
        <w:rPr>
          <w:rFonts w:ascii="Arial" w:hAnsi="Arial" w:cs="Arial"/>
          <w:sz w:val="24"/>
          <w:szCs w:val="24"/>
        </w:rPr>
        <w:t xml:space="preserve">No appearance </w:t>
      </w:r>
      <w:r w:rsidR="00317397">
        <w:rPr>
          <w:rFonts w:ascii="Arial" w:hAnsi="Arial" w:cs="Arial"/>
          <w:sz w:val="24"/>
          <w:szCs w:val="24"/>
        </w:rPr>
        <w:t xml:space="preserve">on behalf of </w:t>
      </w:r>
      <w:proofErr w:type="spellStart"/>
      <w:r w:rsidR="00953812">
        <w:rPr>
          <w:rFonts w:ascii="Arial" w:hAnsi="Arial" w:cs="Arial"/>
          <w:sz w:val="24"/>
          <w:szCs w:val="24"/>
        </w:rPr>
        <w:t>Krishnee</w:t>
      </w:r>
      <w:proofErr w:type="spellEnd"/>
      <w:r w:rsidR="00953812">
        <w:rPr>
          <w:rFonts w:ascii="Arial" w:hAnsi="Arial" w:cs="Arial"/>
          <w:sz w:val="24"/>
          <w:szCs w:val="24"/>
        </w:rPr>
        <w:t xml:space="preserve"> Pillay Attorneys</w:t>
      </w:r>
    </w:p>
    <w:sectPr w:rsidR="00AD335A" w:rsidRPr="00671349" w:rsidSect="00161C0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2" w:right="1700" w:bottom="1440" w:left="156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31A7" w14:textId="77777777" w:rsidR="00C70ABE" w:rsidRDefault="00C70ABE" w:rsidP="00D202C2">
      <w:pPr>
        <w:spacing w:line="240" w:lineRule="auto"/>
      </w:pPr>
      <w:r>
        <w:separator/>
      </w:r>
    </w:p>
  </w:endnote>
  <w:endnote w:type="continuationSeparator" w:id="0">
    <w:p w14:paraId="1DC0AA8E" w14:textId="77777777" w:rsidR="00C70ABE" w:rsidRDefault="00C70ABE"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4A46" w14:textId="77777777" w:rsidR="00FC0780" w:rsidRDefault="00FC0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920B" w14:textId="77777777" w:rsidR="00FC0780" w:rsidRDefault="00FC0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9D92" w14:textId="77777777" w:rsidR="00FC0780" w:rsidRDefault="00FC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9A2C" w14:textId="77777777" w:rsidR="00C70ABE" w:rsidRDefault="00C70ABE" w:rsidP="00D202C2">
      <w:pPr>
        <w:spacing w:line="240" w:lineRule="auto"/>
      </w:pPr>
      <w:r>
        <w:separator/>
      </w:r>
    </w:p>
  </w:footnote>
  <w:footnote w:type="continuationSeparator" w:id="0">
    <w:p w14:paraId="2CB38A8F" w14:textId="77777777" w:rsidR="00C70ABE" w:rsidRDefault="00C70ABE" w:rsidP="00D202C2">
      <w:pPr>
        <w:spacing w:line="240" w:lineRule="auto"/>
      </w:pPr>
      <w:r>
        <w:continuationSeparator/>
      </w:r>
    </w:p>
  </w:footnote>
  <w:footnote w:id="1">
    <w:p w14:paraId="6D131A65" w14:textId="15BC5F05" w:rsidR="00B60327" w:rsidRDefault="00B60327">
      <w:pPr>
        <w:pStyle w:val="FootnoteText"/>
      </w:pPr>
      <w:r>
        <w:rPr>
          <w:rStyle w:val="FootnoteReference"/>
        </w:rPr>
        <w:footnoteRef/>
      </w:r>
      <w:r>
        <w:t xml:space="preserve"> </w:t>
      </w:r>
      <w:r w:rsidR="00C02D48">
        <w:tab/>
      </w:r>
      <w:r w:rsidRPr="00B60327">
        <w:rPr>
          <w:i/>
          <w:iCs/>
        </w:rPr>
        <w:t>Canton Trading 17 (Pty) Ltd t/a Cube Architects v Hattingh NO</w:t>
      </w:r>
      <w:r w:rsidRPr="00B60327">
        <w:t xml:space="preserve"> 2022 (4) SA 420 (SCA)</w:t>
      </w:r>
      <w:r>
        <w:t xml:space="preserve"> para 43.</w:t>
      </w:r>
    </w:p>
  </w:footnote>
  <w:footnote w:id="2">
    <w:p w14:paraId="5760A34A" w14:textId="62B9AD4B" w:rsidR="00570CD6" w:rsidRDefault="00570CD6">
      <w:pPr>
        <w:pStyle w:val="FootnoteText"/>
      </w:pPr>
      <w:r>
        <w:rPr>
          <w:rStyle w:val="FootnoteReference"/>
        </w:rPr>
        <w:footnoteRef/>
      </w:r>
      <w:r>
        <w:t xml:space="preserve"> </w:t>
      </w:r>
      <w:r>
        <w:tab/>
        <w:t>Notably, there is no reference in the document to section 13 of the ECT Act, and even if there was, that would be irrelevant, there is no scope for the peremptory requirements of section 13(1) to be overcome by means of a certificate under section 15(4).</w:t>
      </w:r>
    </w:p>
  </w:footnote>
  <w:footnote w:id="3">
    <w:p w14:paraId="66B585DA" w14:textId="77777777" w:rsidR="00AE6D0F" w:rsidRDefault="00AE6D0F" w:rsidP="00AE6D0F">
      <w:pPr>
        <w:pStyle w:val="FootnoteText"/>
      </w:pPr>
      <w:r>
        <w:rPr>
          <w:rStyle w:val="FootnoteReference"/>
        </w:rPr>
        <w:footnoteRef/>
      </w:r>
      <w:r>
        <w:t xml:space="preserve"> </w:t>
      </w:r>
      <w:r>
        <w:tab/>
      </w:r>
      <w:r w:rsidRPr="00C02D48">
        <w:rPr>
          <w:i/>
          <w:iCs/>
        </w:rPr>
        <w:t xml:space="preserve">Wightman t/a JW Construction v </w:t>
      </w:r>
      <w:proofErr w:type="spellStart"/>
      <w:r w:rsidRPr="00C02D48">
        <w:rPr>
          <w:i/>
          <w:iCs/>
        </w:rPr>
        <w:t>Headfour</w:t>
      </w:r>
      <w:proofErr w:type="spellEnd"/>
      <w:r w:rsidRPr="00C02D48">
        <w:rPr>
          <w:i/>
          <w:iCs/>
        </w:rPr>
        <w:t xml:space="preserve"> (Pty) Ltd and Another</w:t>
      </w:r>
      <w:r w:rsidRPr="00C02D48">
        <w:t xml:space="preserve"> 2008 (3) SA 371 (SCA) ([2008] 2 All SA 512; [2008] ZASCA 6) para 13.</w:t>
      </w:r>
    </w:p>
  </w:footnote>
  <w:footnote w:id="4">
    <w:p w14:paraId="5DFD1CB9" w14:textId="33923F9F" w:rsidR="00C424CA" w:rsidRDefault="00C424CA">
      <w:pPr>
        <w:pStyle w:val="FootnoteText"/>
      </w:pPr>
      <w:r>
        <w:rPr>
          <w:rStyle w:val="FootnoteReference"/>
        </w:rPr>
        <w:footnoteRef/>
      </w:r>
      <w:r>
        <w:t xml:space="preserve"> </w:t>
      </w:r>
      <w:r>
        <w:tab/>
      </w:r>
      <w:proofErr w:type="spellStart"/>
      <w:r w:rsidRPr="00527E6B">
        <w:rPr>
          <w:i/>
          <w:iCs/>
        </w:rPr>
        <w:t>Massbuild</w:t>
      </w:r>
      <w:proofErr w:type="spellEnd"/>
      <w:r w:rsidRPr="00527E6B">
        <w:rPr>
          <w:i/>
          <w:iCs/>
        </w:rPr>
        <w:t xml:space="preserve"> (Pty) Ltd t/a Builders Express, Builders Warehouse and Builders Trade Depot v </w:t>
      </w:r>
      <w:proofErr w:type="spellStart"/>
      <w:r w:rsidRPr="00527E6B">
        <w:rPr>
          <w:i/>
          <w:iCs/>
        </w:rPr>
        <w:t>Tikon</w:t>
      </w:r>
      <w:proofErr w:type="spellEnd"/>
      <w:r w:rsidRPr="00527E6B">
        <w:rPr>
          <w:i/>
          <w:iCs/>
        </w:rPr>
        <w:t xml:space="preserve"> Construction CC and Another</w:t>
      </w:r>
      <w:r w:rsidRPr="00527E6B">
        <w:t xml:space="preserve"> (6986/2017) [2020] ZAGPJHC 441 (14 September 2020)</w:t>
      </w:r>
      <w:r w:rsidR="0015788B">
        <w:t xml:space="preserve"> paras 25 to 34 and 49.</w:t>
      </w:r>
      <w:r w:rsidR="00623708">
        <w:t xml:space="preserve"> The remainder of this judgment seems distinguishable, because the issue for decision was a highly fact-specific (albeit ultimately unsuccessful) contention of the plaintiff.</w:t>
      </w:r>
    </w:p>
  </w:footnote>
  <w:footnote w:id="5">
    <w:p w14:paraId="5A46D106" w14:textId="5EBF9C78" w:rsidR="004D461D" w:rsidRDefault="004D461D">
      <w:pPr>
        <w:pStyle w:val="FootnoteText"/>
      </w:pPr>
      <w:r>
        <w:rPr>
          <w:rStyle w:val="FootnoteReference"/>
        </w:rPr>
        <w:footnoteRef/>
      </w:r>
      <w:r>
        <w:t xml:space="preserve"> </w:t>
      </w:r>
      <w:r>
        <w:tab/>
      </w:r>
      <w:proofErr w:type="spellStart"/>
      <w:r w:rsidRPr="00527E6B">
        <w:rPr>
          <w:i/>
          <w:iCs/>
        </w:rPr>
        <w:t>Borcherds</w:t>
      </w:r>
      <w:proofErr w:type="spellEnd"/>
      <w:r w:rsidRPr="00527E6B">
        <w:rPr>
          <w:i/>
          <w:iCs/>
        </w:rPr>
        <w:t xml:space="preserve"> and Another v Duxbury and Others</w:t>
      </w:r>
      <w:r w:rsidRPr="00527E6B">
        <w:t xml:space="preserve"> 2021 (1) SA 410 (ECP)</w:t>
      </w:r>
      <w:r>
        <w:t xml:space="preserve"> paras 2</w:t>
      </w:r>
      <w:r w:rsidR="00767272">
        <w:t>2 &amp; 27</w:t>
      </w:r>
      <w:r>
        <w:t xml:space="preserve"> to 39</w:t>
      </w:r>
      <w:r w:rsidR="006237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AC33" w14:textId="77777777" w:rsidR="00FC0780" w:rsidRDefault="00FC0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6B26" w14:textId="4FE6723C" w:rsidR="00FC0780" w:rsidRPr="007405CA" w:rsidRDefault="00FC0780">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F60A89">
      <w:rPr>
        <w:rFonts w:ascii="Arial" w:hAnsi="Arial" w:cs="Arial"/>
        <w:noProof/>
        <w:sz w:val="24"/>
        <w:szCs w:val="24"/>
      </w:rPr>
      <w:t>8</w:t>
    </w:r>
    <w:r w:rsidRPr="007405CA">
      <w:rPr>
        <w:rFonts w:ascii="Arial" w:hAnsi="Arial" w:cs="Arial"/>
        <w:sz w:val="24"/>
        <w:szCs w:val="24"/>
      </w:rPr>
      <w:fldChar w:fldCharType="end"/>
    </w:r>
  </w:p>
  <w:p w14:paraId="07BA724A" w14:textId="77777777" w:rsidR="00FC0780" w:rsidRDefault="00FC0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121D" w14:textId="77777777" w:rsidR="00FC0780" w:rsidRDefault="00FC0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C73"/>
    <w:multiLevelType w:val="multilevel"/>
    <w:tmpl w:val="1504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D158FE"/>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E3C4D5B"/>
    <w:multiLevelType w:val="hybridMultilevel"/>
    <w:tmpl w:val="A5181496"/>
    <w:lvl w:ilvl="0" w:tplc="1C09001B">
      <w:start w:val="1"/>
      <w:numFmt w:val="lowerRoman"/>
      <w:lvlText w:val="%1."/>
      <w:lvlJc w:val="right"/>
      <w:pPr>
        <w:ind w:left="2160" w:hanging="18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9B09B3"/>
    <w:multiLevelType w:val="hybridMultilevel"/>
    <w:tmpl w:val="94ECCFA8"/>
    <w:lvl w:ilvl="0" w:tplc="7C58C6CA">
      <w:start w:val="1"/>
      <w:numFmt w:val="decimal"/>
      <w:pStyle w:val="LC1"/>
      <w:lvlText w:val="[%1]"/>
      <w:lvlJc w:val="left"/>
      <w:pPr>
        <w:ind w:left="720" w:hanging="360"/>
      </w:pPr>
      <w:rPr>
        <w:rFonts w:ascii="Arial" w:hAnsi="Arial" w:cs="Arial" w:hint="default"/>
        <w:b w:val="0"/>
        <w:sz w:val="24"/>
        <w:szCs w:val="24"/>
      </w:rPr>
    </w:lvl>
    <w:lvl w:ilvl="1" w:tplc="E4C4F96E">
      <w:start w:val="1"/>
      <w:numFmt w:val="lowerLetter"/>
      <w:pStyle w:val="LC2"/>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143C46"/>
    <w:multiLevelType w:val="multilevel"/>
    <w:tmpl w:val="9E68A160"/>
    <w:lvl w:ilvl="0">
      <w:start w:val="1"/>
      <w:numFmt w:val="decimal"/>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6" w15:restartNumberingAfterBreak="0">
    <w:nsid w:val="2CF15D73"/>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60A44CF3"/>
    <w:multiLevelType w:val="multilevel"/>
    <w:tmpl w:val="34109A2E"/>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600" w:hanging="360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5040" w:hanging="5040"/>
      </w:pPr>
      <w:rPr>
        <w:rFonts w:hint="default"/>
      </w:rPr>
    </w:lvl>
    <w:lvl w:ilvl="7">
      <w:start w:val="1"/>
      <w:numFmt w:val="decimal"/>
      <w:lvlText w:val="%1.%2.%3.%4.%5.%6.%7.%8"/>
      <w:lvlJc w:val="left"/>
      <w:pPr>
        <w:ind w:left="5760" w:hanging="5760"/>
      </w:pPr>
      <w:rPr>
        <w:rFonts w:hint="default"/>
      </w:rPr>
    </w:lvl>
    <w:lvl w:ilvl="8">
      <w:start w:val="1"/>
      <w:numFmt w:val="decimal"/>
      <w:lvlText w:val="%1.%2.%3.%4.%5.%6.%7.%8.%9"/>
      <w:lvlJc w:val="left"/>
      <w:pPr>
        <w:ind w:left="6480" w:hanging="6480"/>
      </w:pPr>
      <w:rPr>
        <w:rFonts w:hint="default"/>
      </w:rPr>
    </w:lvl>
  </w:abstractNum>
  <w:abstractNum w:abstractNumId="8" w15:restartNumberingAfterBreak="0">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CB1021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6F7704B2"/>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48653240">
    <w:abstractNumId w:val="5"/>
  </w:num>
  <w:num w:numId="2" w16cid:durableId="1105006287">
    <w:abstractNumId w:val="0"/>
  </w:num>
  <w:num w:numId="3" w16cid:durableId="2077430296">
    <w:abstractNumId w:val="5"/>
  </w:num>
  <w:num w:numId="4" w16cid:durableId="2082672926">
    <w:abstractNumId w:val="5"/>
  </w:num>
  <w:num w:numId="5" w16cid:durableId="91359036">
    <w:abstractNumId w:val="5"/>
  </w:num>
  <w:num w:numId="6" w16cid:durableId="388461426">
    <w:abstractNumId w:val="5"/>
  </w:num>
  <w:num w:numId="7" w16cid:durableId="66802357">
    <w:abstractNumId w:val="5"/>
  </w:num>
  <w:num w:numId="8" w16cid:durableId="1772896451">
    <w:abstractNumId w:val="5"/>
  </w:num>
  <w:num w:numId="9" w16cid:durableId="784154591">
    <w:abstractNumId w:val="5"/>
  </w:num>
  <w:num w:numId="10" w16cid:durableId="1162964456">
    <w:abstractNumId w:val="7"/>
  </w:num>
  <w:num w:numId="11" w16cid:durableId="1505626105">
    <w:abstractNumId w:val="8"/>
  </w:num>
  <w:num w:numId="12" w16cid:durableId="966424751">
    <w:abstractNumId w:val="5"/>
  </w:num>
  <w:num w:numId="13" w16cid:durableId="1177187766">
    <w:abstractNumId w:val="5"/>
  </w:num>
  <w:num w:numId="14" w16cid:durableId="1958636572">
    <w:abstractNumId w:val="5"/>
  </w:num>
  <w:num w:numId="15" w16cid:durableId="685641046">
    <w:abstractNumId w:val="5"/>
  </w:num>
  <w:num w:numId="16" w16cid:durableId="194584252">
    <w:abstractNumId w:val="5"/>
  </w:num>
  <w:num w:numId="17" w16cid:durableId="944265036">
    <w:abstractNumId w:val="5"/>
  </w:num>
  <w:num w:numId="18" w16cid:durableId="1111045922">
    <w:abstractNumId w:val="5"/>
  </w:num>
  <w:num w:numId="19" w16cid:durableId="1618877549">
    <w:abstractNumId w:val="5"/>
  </w:num>
  <w:num w:numId="20" w16cid:durableId="1605530246">
    <w:abstractNumId w:val="5"/>
  </w:num>
  <w:num w:numId="21" w16cid:durableId="522980621">
    <w:abstractNumId w:val="5"/>
  </w:num>
  <w:num w:numId="22" w16cid:durableId="325085924">
    <w:abstractNumId w:val="5"/>
  </w:num>
  <w:num w:numId="23" w16cid:durableId="1329212073">
    <w:abstractNumId w:val="5"/>
  </w:num>
  <w:num w:numId="24" w16cid:durableId="2085760387">
    <w:abstractNumId w:val="5"/>
  </w:num>
  <w:num w:numId="25" w16cid:durableId="2079671579">
    <w:abstractNumId w:val="5"/>
  </w:num>
  <w:num w:numId="26" w16cid:durableId="77945241">
    <w:abstractNumId w:val="5"/>
  </w:num>
  <w:num w:numId="27" w16cid:durableId="335809319">
    <w:abstractNumId w:val="5"/>
  </w:num>
  <w:num w:numId="28" w16cid:durableId="703410964">
    <w:abstractNumId w:val="5"/>
  </w:num>
  <w:num w:numId="29" w16cid:durableId="1486700997">
    <w:abstractNumId w:val="5"/>
  </w:num>
  <w:num w:numId="30" w16cid:durableId="1329403262">
    <w:abstractNumId w:val="5"/>
  </w:num>
  <w:num w:numId="31" w16cid:durableId="1482653313">
    <w:abstractNumId w:val="5"/>
  </w:num>
  <w:num w:numId="32" w16cid:durableId="795291396">
    <w:abstractNumId w:val="5"/>
  </w:num>
  <w:num w:numId="33" w16cid:durableId="1142621239">
    <w:abstractNumId w:val="5"/>
  </w:num>
  <w:num w:numId="34" w16cid:durableId="1002929618">
    <w:abstractNumId w:val="5"/>
  </w:num>
  <w:num w:numId="35" w16cid:durableId="1829441851">
    <w:abstractNumId w:val="4"/>
  </w:num>
  <w:num w:numId="36" w16cid:durableId="15167680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7198907">
    <w:abstractNumId w:val="2"/>
  </w:num>
  <w:num w:numId="38" w16cid:durableId="1692805451">
    <w:abstractNumId w:val="1"/>
  </w:num>
  <w:num w:numId="39" w16cid:durableId="1232157771">
    <w:abstractNumId w:val="6"/>
  </w:num>
  <w:num w:numId="40" w16cid:durableId="1874805849">
    <w:abstractNumId w:val="10"/>
  </w:num>
  <w:num w:numId="41" w16cid:durableId="1082219488">
    <w:abstractNumId w:val="9"/>
  </w:num>
  <w:num w:numId="42" w16cid:durableId="1514147841">
    <w:abstractNumId w:val="4"/>
    <w:lvlOverride w:ilvl="0">
      <w:startOverride w:val="1"/>
    </w:lvlOverride>
  </w:num>
  <w:num w:numId="43" w16cid:durableId="921379561">
    <w:abstractNumId w:val="4"/>
    <w:lvlOverride w:ilvl="0">
      <w:startOverride w:val="1"/>
    </w:lvlOverride>
  </w:num>
  <w:num w:numId="44" w16cid:durableId="1913544363">
    <w:abstractNumId w:val="4"/>
    <w:lvlOverride w:ilvl="0">
      <w:startOverride w:val="1"/>
    </w:lvlOverride>
  </w:num>
  <w:num w:numId="45" w16cid:durableId="1276519222">
    <w:abstractNumId w:val="4"/>
    <w:lvlOverride w:ilvl="0">
      <w:startOverride w:val="1"/>
    </w:lvlOverride>
  </w:num>
  <w:num w:numId="46" w16cid:durableId="689071419">
    <w:abstractNumId w:val="4"/>
    <w:lvlOverride w:ilvl="0">
      <w:startOverride w:val="1"/>
    </w:lvlOverride>
  </w:num>
  <w:num w:numId="47" w16cid:durableId="654069144">
    <w:abstractNumId w:val="4"/>
    <w:lvlOverride w:ilvl="0">
      <w:startOverride w:val="1"/>
    </w:lvlOverride>
  </w:num>
  <w:num w:numId="48" w16cid:durableId="1888957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1C"/>
    <w:rsid w:val="000012A6"/>
    <w:rsid w:val="00001F4A"/>
    <w:rsid w:val="00003782"/>
    <w:rsid w:val="00003803"/>
    <w:rsid w:val="00004549"/>
    <w:rsid w:val="00004D23"/>
    <w:rsid w:val="0000706E"/>
    <w:rsid w:val="000073C9"/>
    <w:rsid w:val="0001167B"/>
    <w:rsid w:val="0001502E"/>
    <w:rsid w:val="00016121"/>
    <w:rsid w:val="0002226B"/>
    <w:rsid w:val="00022F6D"/>
    <w:rsid w:val="0002662D"/>
    <w:rsid w:val="00031365"/>
    <w:rsid w:val="00031BDD"/>
    <w:rsid w:val="0003348B"/>
    <w:rsid w:val="00034E66"/>
    <w:rsid w:val="000351B2"/>
    <w:rsid w:val="000353A2"/>
    <w:rsid w:val="00044A38"/>
    <w:rsid w:val="00045FEF"/>
    <w:rsid w:val="000472C4"/>
    <w:rsid w:val="000510E6"/>
    <w:rsid w:val="000520DA"/>
    <w:rsid w:val="00054CE0"/>
    <w:rsid w:val="0006394C"/>
    <w:rsid w:val="00064401"/>
    <w:rsid w:val="00065E5C"/>
    <w:rsid w:val="00070100"/>
    <w:rsid w:val="00070375"/>
    <w:rsid w:val="000716A9"/>
    <w:rsid w:val="00072AB8"/>
    <w:rsid w:val="00077868"/>
    <w:rsid w:val="000824F1"/>
    <w:rsid w:val="00082F4A"/>
    <w:rsid w:val="000831B3"/>
    <w:rsid w:val="000833AD"/>
    <w:rsid w:val="00085E78"/>
    <w:rsid w:val="00094012"/>
    <w:rsid w:val="00094DFD"/>
    <w:rsid w:val="000A2519"/>
    <w:rsid w:val="000A3444"/>
    <w:rsid w:val="000A6817"/>
    <w:rsid w:val="000A6D19"/>
    <w:rsid w:val="000B1421"/>
    <w:rsid w:val="000B3E04"/>
    <w:rsid w:val="000B4A5E"/>
    <w:rsid w:val="000B5042"/>
    <w:rsid w:val="000B5B15"/>
    <w:rsid w:val="000B670C"/>
    <w:rsid w:val="000C0393"/>
    <w:rsid w:val="000C2F36"/>
    <w:rsid w:val="000C6122"/>
    <w:rsid w:val="000C785F"/>
    <w:rsid w:val="000C7D79"/>
    <w:rsid w:val="000D0102"/>
    <w:rsid w:val="000D011D"/>
    <w:rsid w:val="000D3349"/>
    <w:rsid w:val="000D67C6"/>
    <w:rsid w:val="000D6B38"/>
    <w:rsid w:val="000E2737"/>
    <w:rsid w:val="000E3458"/>
    <w:rsid w:val="000E37F3"/>
    <w:rsid w:val="000E6595"/>
    <w:rsid w:val="000E6B70"/>
    <w:rsid w:val="000E6CBA"/>
    <w:rsid w:val="000E77CD"/>
    <w:rsid w:val="000F042E"/>
    <w:rsid w:val="000F20C7"/>
    <w:rsid w:val="000F2126"/>
    <w:rsid w:val="000F3280"/>
    <w:rsid w:val="000F34B0"/>
    <w:rsid w:val="000F3897"/>
    <w:rsid w:val="00100D7D"/>
    <w:rsid w:val="00110166"/>
    <w:rsid w:val="00110CFA"/>
    <w:rsid w:val="001129AE"/>
    <w:rsid w:val="00117061"/>
    <w:rsid w:val="00122E7C"/>
    <w:rsid w:val="001261D9"/>
    <w:rsid w:val="001317DB"/>
    <w:rsid w:val="0013270A"/>
    <w:rsid w:val="00133185"/>
    <w:rsid w:val="0013376C"/>
    <w:rsid w:val="0013396B"/>
    <w:rsid w:val="00134416"/>
    <w:rsid w:val="0013446D"/>
    <w:rsid w:val="0013734C"/>
    <w:rsid w:val="00141E17"/>
    <w:rsid w:val="00144D8F"/>
    <w:rsid w:val="00147CF6"/>
    <w:rsid w:val="001525A0"/>
    <w:rsid w:val="00153263"/>
    <w:rsid w:val="00153692"/>
    <w:rsid w:val="00155545"/>
    <w:rsid w:val="0015788B"/>
    <w:rsid w:val="0016137A"/>
    <w:rsid w:val="00161742"/>
    <w:rsid w:val="00161768"/>
    <w:rsid w:val="00161C04"/>
    <w:rsid w:val="00164711"/>
    <w:rsid w:val="001772D1"/>
    <w:rsid w:val="00177A2D"/>
    <w:rsid w:val="00185305"/>
    <w:rsid w:val="00185D04"/>
    <w:rsid w:val="001869B1"/>
    <w:rsid w:val="0018761E"/>
    <w:rsid w:val="00187E63"/>
    <w:rsid w:val="00190F5B"/>
    <w:rsid w:val="001913F8"/>
    <w:rsid w:val="0019412F"/>
    <w:rsid w:val="001941AE"/>
    <w:rsid w:val="00194624"/>
    <w:rsid w:val="00195948"/>
    <w:rsid w:val="001A03F9"/>
    <w:rsid w:val="001A066C"/>
    <w:rsid w:val="001A08C2"/>
    <w:rsid w:val="001A2909"/>
    <w:rsid w:val="001A42D3"/>
    <w:rsid w:val="001A55DB"/>
    <w:rsid w:val="001A66FF"/>
    <w:rsid w:val="001B05F3"/>
    <w:rsid w:val="001B5CB4"/>
    <w:rsid w:val="001B66D5"/>
    <w:rsid w:val="001B7FDB"/>
    <w:rsid w:val="001C0EBD"/>
    <w:rsid w:val="001C338F"/>
    <w:rsid w:val="001D2FCD"/>
    <w:rsid w:val="001D3CAA"/>
    <w:rsid w:val="001D3DE1"/>
    <w:rsid w:val="001D73D1"/>
    <w:rsid w:val="001E1934"/>
    <w:rsid w:val="001E2746"/>
    <w:rsid w:val="001E3C4A"/>
    <w:rsid w:val="001E6505"/>
    <w:rsid w:val="001F3346"/>
    <w:rsid w:val="001F40A2"/>
    <w:rsid w:val="001F41FC"/>
    <w:rsid w:val="001F72BB"/>
    <w:rsid w:val="0020038A"/>
    <w:rsid w:val="002011CA"/>
    <w:rsid w:val="00201D94"/>
    <w:rsid w:val="00202034"/>
    <w:rsid w:val="002038C4"/>
    <w:rsid w:val="0020470F"/>
    <w:rsid w:val="00204894"/>
    <w:rsid w:val="00205D77"/>
    <w:rsid w:val="002079F3"/>
    <w:rsid w:val="002131B0"/>
    <w:rsid w:val="00214702"/>
    <w:rsid w:val="002153EB"/>
    <w:rsid w:val="00215D5E"/>
    <w:rsid w:val="0021615D"/>
    <w:rsid w:val="002204D4"/>
    <w:rsid w:val="0022201A"/>
    <w:rsid w:val="00223394"/>
    <w:rsid w:val="00223659"/>
    <w:rsid w:val="00225C87"/>
    <w:rsid w:val="0022691E"/>
    <w:rsid w:val="002307DC"/>
    <w:rsid w:val="00231758"/>
    <w:rsid w:val="0023238A"/>
    <w:rsid w:val="00232AAA"/>
    <w:rsid w:val="002354C7"/>
    <w:rsid w:val="002364F5"/>
    <w:rsid w:val="0023710F"/>
    <w:rsid w:val="00237524"/>
    <w:rsid w:val="00243FFB"/>
    <w:rsid w:val="002458DA"/>
    <w:rsid w:val="00246C6E"/>
    <w:rsid w:val="00247065"/>
    <w:rsid w:val="002507E7"/>
    <w:rsid w:val="00250CA2"/>
    <w:rsid w:val="0025103A"/>
    <w:rsid w:val="00251740"/>
    <w:rsid w:val="00252EA0"/>
    <w:rsid w:val="00254A2A"/>
    <w:rsid w:val="002568A5"/>
    <w:rsid w:val="00261518"/>
    <w:rsid w:val="002616FE"/>
    <w:rsid w:val="0026179C"/>
    <w:rsid w:val="00262145"/>
    <w:rsid w:val="00264164"/>
    <w:rsid w:val="00264DBD"/>
    <w:rsid w:val="002658F5"/>
    <w:rsid w:val="00270256"/>
    <w:rsid w:val="00272CC9"/>
    <w:rsid w:val="002738F6"/>
    <w:rsid w:val="0027476A"/>
    <w:rsid w:val="00275348"/>
    <w:rsid w:val="00281AA5"/>
    <w:rsid w:val="00283AE9"/>
    <w:rsid w:val="00284935"/>
    <w:rsid w:val="0028506A"/>
    <w:rsid w:val="00287983"/>
    <w:rsid w:val="002904E8"/>
    <w:rsid w:val="002915EF"/>
    <w:rsid w:val="00292B64"/>
    <w:rsid w:val="00293A08"/>
    <w:rsid w:val="002943CC"/>
    <w:rsid w:val="00294703"/>
    <w:rsid w:val="002951E4"/>
    <w:rsid w:val="00297CA0"/>
    <w:rsid w:val="002A0027"/>
    <w:rsid w:val="002A263A"/>
    <w:rsid w:val="002A2834"/>
    <w:rsid w:val="002A5354"/>
    <w:rsid w:val="002A6A82"/>
    <w:rsid w:val="002B074C"/>
    <w:rsid w:val="002B1D2E"/>
    <w:rsid w:val="002B29E2"/>
    <w:rsid w:val="002B4682"/>
    <w:rsid w:val="002B64E9"/>
    <w:rsid w:val="002B7280"/>
    <w:rsid w:val="002B74DA"/>
    <w:rsid w:val="002C4033"/>
    <w:rsid w:val="002C4D66"/>
    <w:rsid w:val="002C7281"/>
    <w:rsid w:val="002D2DE6"/>
    <w:rsid w:val="002D425A"/>
    <w:rsid w:val="002D47F7"/>
    <w:rsid w:val="002E3F6F"/>
    <w:rsid w:val="002F1953"/>
    <w:rsid w:val="002F2E50"/>
    <w:rsid w:val="002F5C8D"/>
    <w:rsid w:val="002F7EA9"/>
    <w:rsid w:val="00300C56"/>
    <w:rsid w:val="00302B56"/>
    <w:rsid w:val="003031DE"/>
    <w:rsid w:val="00303C39"/>
    <w:rsid w:val="0030632A"/>
    <w:rsid w:val="00306A29"/>
    <w:rsid w:val="0030779C"/>
    <w:rsid w:val="00311B83"/>
    <w:rsid w:val="00316A03"/>
    <w:rsid w:val="00316BB4"/>
    <w:rsid w:val="00316EB2"/>
    <w:rsid w:val="00317397"/>
    <w:rsid w:val="00320590"/>
    <w:rsid w:val="00323262"/>
    <w:rsid w:val="00323CEC"/>
    <w:rsid w:val="00326F5F"/>
    <w:rsid w:val="00333F6D"/>
    <w:rsid w:val="00334249"/>
    <w:rsid w:val="003370D2"/>
    <w:rsid w:val="0034240A"/>
    <w:rsid w:val="00342CE8"/>
    <w:rsid w:val="00343523"/>
    <w:rsid w:val="003438A1"/>
    <w:rsid w:val="00344610"/>
    <w:rsid w:val="00356CD7"/>
    <w:rsid w:val="0035787D"/>
    <w:rsid w:val="00357FF6"/>
    <w:rsid w:val="00361DD3"/>
    <w:rsid w:val="0036450F"/>
    <w:rsid w:val="003662FA"/>
    <w:rsid w:val="00366EC7"/>
    <w:rsid w:val="00367FE4"/>
    <w:rsid w:val="00371EAC"/>
    <w:rsid w:val="00374424"/>
    <w:rsid w:val="00375189"/>
    <w:rsid w:val="00383815"/>
    <w:rsid w:val="00383CA2"/>
    <w:rsid w:val="00383DE0"/>
    <w:rsid w:val="003843A1"/>
    <w:rsid w:val="003844CD"/>
    <w:rsid w:val="00387D95"/>
    <w:rsid w:val="00387E2B"/>
    <w:rsid w:val="00393CFC"/>
    <w:rsid w:val="00394257"/>
    <w:rsid w:val="00394A38"/>
    <w:rsid w:val="0039695C"/>
    <w:rsid w:val="003A1345"/>
    <w:rsid w:val="003A18A9"/>
    <w:rsid w:val="003A1E5C"/>
    <w:rsid w:val="003A25F7"/>
    <w:rsid w:val="003A2784"/>
    <w:rsid w:val="003A5C0A"/>
    <w:rsid w:val="003A7748"/>
    <w:rsid w:val="003B0D7D"/>
    <w:rsid w:val="003B0DFF"/>
    <w:rsid w:val="003B1C0D"/>
    <w:rsid w:val="003B2162"/>
    <w:rsid w:val="003B39F8"/>
    <w:rsid w:val="003B5ACF"/>
    <w:rsid w:val="003B7448"/>
    <w:rsid w:val="003C0FEE"/>
    <w:rsid w:val="003C133F"/>
    <w:rsid w:val="003C39BB"/>
    <w:rsid w:val="003C4F1C"/>
    <w:rsid w:val="003C7AD4"/>
    <w:rsid w:val="003D2AD1"/>
    <w:rsid w:val="003D6B4C"/>
    <w:rsid w:val="003D736C"/>
    <w:rsid w:val="003D7771"/>
    <w:rsid w:val="003E4340"/>
    <w:rsid w:val="003E5CCD"/>
    <w:rsid w:val="003E6919"/>
    <w:rsid w:val="003E6F2D"/>
    <w:rsid w:val="003E796A"/>
    <w:rsid w:val="003F0485"/>
    <w:rsid w:val="003F0A4D"/>
    <w:rsid w:val="003F0FB5"/>
    <w:rsid w:val="003F1021"/>
    <w:rsid w:val="003F7818"/>
    <w:rsid w:val="003F7CBD"/>
    <w:rsid w:val="004005B6"/>
    <w:rsid w:val="00400C5A"/>
    <w:rsid w:val="00401C97"/>
    <w:rsid w:val="004047D5"/>
    <w:rsid w:val="00406476"/>
    <w:rsid w:val="004071E9"/>
    <w:rsid w:val="00407D6B"/>
    <w:rsid w:val="004156FA"/>
    <w:rsid w:val="00416723"/>
    <w:rsid w:val="004209D8"/>
    <w:rsid w:val="004229C3"/>
    <w:rsid w:val="004268B9"/>
    <w:rsid w:val="00427C68"/>
    <w:rsid w:val="004341D0"/>
    <w:rsid w:val="0043517E"/>
    <w:rsid w:val="0044726A"/>
    <w:rsid w:val="00450395"/>
    <w:rsid w:val="004529B4"/>
    <w:rsid w:val="004574CF"/>
    <w:rsid w:val="00457C05"/>
    <w:rsid w:val="00461C58"/>
    <w:rsid w:val="0046276E"/>
    <w:rsid w:val="004631CF"/>
    <w:rsid w:val="00467FAE"/>
    <w:rsid w:val="0047010F"/>
    <w:rsid w:val="00470CB2"/>
    <w:rsid w:val="004836EE"/>
    <w:rsid w:val="00485082"/>
    <w:rsid w:val="00485A06"/>
    <w:rsid w:val="00485BE2"/>
    <w:rsid w:val="00485D51"/>
    <w:rsid w:val="004871E9"/>
    <w:rsid w:val="0049213A"/>
    <w:rsid w:val="00493927"/>
    <w:rsid w:val="0049403D"/>
    <w:rsid w:val="004A26B4"/>
    <w:rsid w:val="004A482E"/>
    <w:rsid w:val="004A61E8"/>
    <w:rsid w:val="004A72C3"/>
    <w:rsid w:val="004B1046"/>
    <w:rsid w:val="004B1D7B"/>
    <w:rsid w:val="004B3172"/>
    <w:rsid w:val="004B5170"/>
    <w:rsid w:val="004B70F3"/>
    <w:rsid w:val="004C1163"/>
    <w:rsid w:val="004C209D"/>
    <w:rsid w:val="004C2F68"/>
    <w:rsid w:val="004D059C"/>
    <w:rsid w:val="004D2CC7"/>
    <w:rsid w:val="004D2E17"/>
    <w:rsid w:val="004D4506"/>
    <w:rsid w:val="004D461D"/>
    <w:rsid w:val="004D4A30"/>
    <w:rsid w:val="004D6D55"/>
    <w:rsid w:val="004D7420"/>
    <w:rsid w:val="004E2571"/>
    <w:rsid w:val="004E2B12"/>
    <w:rsid w:val="004E3832"/>
    <w:rsid w:val="004E3B4E"/>
    <w:rsid w:val="004E4A55"/>
    <w:rsid w:val="004E6DBC"/>
    <w:rsid w:val="004F15AD"/>
    <w:rsid w:val="004F239B"/>
    <w:rsid w:val="004F4CC1"/>
    <w:rsid w:val="004F4D7E"/>
    <w:rsid w:val="00502C6E"/>
    <w:rsid w:val="00503794"/>
    <w:rsid w:val="00504A69"/>
    <w:rsid w:val="00504B76"/>
    <w:rsid w:val="00505F2B"/>
    <w:rsid w:val="00506722"/>
    <w:rsid w:val="0050762B"/>
    <w:rsid w:val="0051292F"/>
    <w:rsid w:val="00516A81"/>
    <w:rsid w:val="00527E6B"/>
    <w:rsid w:val="005307F6"/>
    <w:rsid w:val="00531A72"/>
    <w:rsid w:val="00532239"/>
    <w:rsid w:val="00535053"/>
    <w:rsid w:val="005357A4"/>
    <w:rsid w:val="00535FFA"/>
    <w:rsid w:val="00536906"/>
    <w:rsid w:val="0054747C"/>
    <w:rsid w:val="0055113E"/>
    <w:rsid w:val="00552A12"/>
    <w:rsid w:val="00554368"/>
    <w:rsid w:val="00555228"/>
    <w:rsid w:val="0055724B"/>
    <w:rsid w:val="00560305"/>
    <w:rsid w:val="00560AE9"/>
    <w:rsid w:val="00560CB2"/>
    <w:rsid w:val="0056163E"/>
    <w:rsid w:val="00564164"/>
    <w:rsid w:val="00564B8A"/>
    <w:rsid w:val="0056525F"/>
    <w:rsid w:val="0056687A"/>
    <w:rsid w:val="00566A8C"/>
    <w:rsid w:val="00567801"/>
    <w:rsid w:val="005708F6"/>
    <w:rsid w:val="00570CD6"/>
    <w:rsid w:val="00570F23"/>
    <w:rsid w:val="00571EFC"/>
    <w:rsid w:val="00572877"/>
    <w:rsid w:val="00573912"/>
    <w:rsid w:val="0057634C"/>
    <w:rsid w:val="00576DC0"/>
    <w:rsid w:val="0058318E"/>
    <w:rsid w:val="00583873"/>
    <w:rsid w:val="00584B23"/>
    <w:rsid w:val="00586825"/>
    <w:rsid w:val="00590502"/>
    <w:rsid w:val="005938AC"/>
    <w:rsid w:val="0059397B"/>
    <w:rsid w:val="005953FD"/>
    <w:rsid w:val="00596448"/>
    <w:rsid w:val="0059799B"/>
    <w:rsid w:val="005A2878"/>
    <w:rsid w:val="005A3E6A"/>
    <w:rsid w:val="005A502D"/>
    <w:rsid w:val="005B1663"/>
    <w:rsid w:val="005B32F4"/>
    <w:rsid w:val="005B3C6E"/>
    <w:rsid w:val="005C6433"/>
    <w:rsid w:val="005C69AA"/>
    <w:rsid w:val="005C740A"/>
    <w:rsid w:val="005D1628"/>
    <w:rsid w:val="005D6850"/>
    <w:rsid w:val="005E240C"/>
    <w:rsid w:val="005E4834"/>
    <w:rsid w:val="005E4F44"/>
    <w:rsid w:val="005E52B8"/>
    <w:rsid w:val="005F1181"/>
    <w:rsid w:val="005F514C"/>
    <w:rsid w:val="005F7C9A"/>
    <w:rsid w:val="00602402"/>
    <w:rsid w:val="00610740"/>
    <w:rsid w:val="00612618"/>
    <w:rsid w:val="00615C8B"/>
    <w:rsid w:val="00620527"/>
    <w:rsid w:val="0062053B"/>
    <w:rsid w:val="00620927"/>
    <w:rsid w:val="00620A35"/>
    <w:rsid w:val="00620C55"/>
    <w:rsid w:val="00620C69"/>
    <w:rsid w:val="0062116D"/>
    <w:rsid w:val="00623306"/>
    <w:rsid w:val="00623708"/>
    <w:rsid w:val="00626354"/>
    <w:rsid w:val="00631A43"/>
    <w:rsid w:val="00633829"/>
    <w:rsid w:val="00634CD5"/>
    <w:rsid w:val="0064508E"/>
    <w:rsid w:val="0064691B"/>
    <w:rsid w:val="00650039"/>
    <w:rsid w:val="00660038"/>
    <w:rsid w:val="00660D19"/>
    <w:rsid w:val="00662205"/>
    <w:rsid w:val="00662878"/>
    <w:rsid w:val="00663206"/>
    <w:rsid w:val="00664551"/>
    <w:rsid w:val="00665B87"/>
    <w:rsid w:val="00671349"/>
    <w:rsid w:val="00671E88"/>
    <w:rsid w:val="00672E25"/>
    <w:rsid w:val="00675086"/>
    <w:rsid w:val="00675D4C"/>
    <w:rsid w:val="00675FDD"/>
    <w:rsid w:val="0068156F"/>
    <w:rsid w:val="00681DB6"/>
    <w:rsid w:val="00685BFC"/>
    <w:rsid w:val="00685F17"/>
    <w:rsid w:val="006879CD"/>
    <w:rsid w:val="006910D5"/>
    <w:rsid w:val="00691BB1"/>
    <w:rsid w:val="00693017"/>
    <w:rsid w:val="00694EDB"/>
    <w:rsid w:val="006A19A2"/>
    <w:rsid w:val="006A5165"/>
    <w:rsid w:val="006A5DE6"/>
    <w:rsid w:val="006A62B2"/>
    <w:rsid w:val="006B005F"/>
    <w:rsid w:val="006B00FC"/>
    <w:rsid w:val="006B0F42"/>
    <w:rsid w:val="006B1C26"/>
    <w:rsid w:val="006B5D7B"/>
    <w:rsid w:val="006B612E"/>
    <w:rsid w:val="006C49A0"/>
    <w:rsid w:val="006C50B9"/>
    <w:rsid w:val="006C7710"/>
    <w:rsid w:val="006C790B"/>
    <w:rsid w:val="006C7A09"/>
    <w:rsid w:val="006C7A3A"/>
    <w:rsid w:val="006D0194"/>
    <w:rsid w:val="006D05EB"/>
    <w:rsid w:val="006D1DEE"/>
    <w:rsid w:val="006D355D"/>
    <w:rsid w:val="006D562E"/>
    <w:rsid w:val="006D7CE2"/>
    <w:rsid w:val="006E19FB"/>
    <w:rsid w:val="006E3F30"/>
    <w:rsid w:val="006E50DF"/>
    <w:rsid w:val="006E637D"/>
    <w:rsid w:val="006F331A"/>
    <w:rsid w:val="006F3C07"/>
    <w:rsid w:val="006F45D1"/>
    <w:rsid w:val="006F471F"/>
    <w:rsid w:val="006F73FF"/>
    <w:rsid w:val="006F7771"/>
    <w:rsid w:val="007046ED"/>
    <w:rsid w:val="00706851"/>
    <w:rsid w:val="00706DEF"/>
    <w:rsid w:val="00717608"/>
    <w:rsid w:val="0072490A"/>
    <w:rsid w:val="00724DBB"/>
    <w:rsid w:val="00727329"/>
    <w:rsid w:val="00730BAC"/>
    <w:rsid w:val="00731CD4"/>
    <w:rsid w:val="00732048"/>
    <w:rsid w:val="007364DE"/>
    <w:rsid w:val="0073729E"/>
    <w:rsid w:val="00741CE0"/>
    <w:rsid w:val="00743341"/>
    <w:rsid w:val="00743662"/>
    <w:rsid w:val="00745C12"/>
    <w:rsid w:val="0074639A"/>
    <w:rsid w:val="007532D7"/>
    <w:rsid w:val="007539E6"/>
    <w:rsid w:val="00753C34"/>
    <w:rsid w:val="00753D4C"/>
    <w:rsid w:val="00760412"/>
    <w:rsid w:val="00760602"/>
    <w:rsid w:val="00760D5E"/>
    <w:rsid w:val="007613D7"/>
    <w:rsid w:val="0076208F"/>
    <w:rsid w:val="00763359"/>
    <w:rsid w:val="00767272"/>
    <w:rsid w:val="00776390"/>
    <w:rsid w:val="007779D1"/>
    <w:rsid w:val="00781AF9"/>
    <w:rsid w:val="00785DCD"/>
    <w:rsid w:val="007864B0"/>
    <w:rsid w:val="00790DA8"/>
    <w:rsid w:val="0079152D"/>
    <w:rsid w:val="007917EC"/>
    <w:rsid w:val="00792BFA"/>
    <w:rsid w:val="00796A89"/>
    <w:rsid w:val="007A5A73"/>
    <w:rsid w:val="007A5DD7"/>
    <w:rsid w:val="007A5E17"/>
    <w:rsid w:val="007A6630"/>
    <w:rsid w:val="007B07F7"/>
    <w:rsid w:val="007B42C5"/>
    <w:rsid w:val="007B6259"/>
    <w:rsid w:val="007B70A2"/>
    <w:rsid w:val="007B798F"/>
    <w:rsid w:val="007C03FB"/>
    <w:rsid w:val="007C207B"/>
    <w:rsid w:val="007C280E"/>
    <w:rsid w:val="007C2DD4"/>
    <w:rsid w:val="007C3650"/>
    <w:rsid w:val="007C4413"/>
    <w:rsid w:val="007C54A7"/>
    <w:rsid w:val="007C7CFF"/>
    <w:rsid w:val="007D0658"/>
    <w:rsid w:val="007D1D0C"/>
    <w:rsid w:val="007D1F78"/>
    <w:rsid w:val="007D3888"/>
    <w:rsid w:val="007D42D7"/>
    <w:rsid w:val="007D51E5"/>
    <w:rsid w:val="007D71FD"/>
    <w:rsid w:val="007D736B"/>
    <w:rsid w:val="007E0C74"/>
    <w:rsid w:val="007E2A9E"/>
    <w:rsid w:val="007E3918"/>
    <w:rsid w:val="007E686C"/>
    <w:rsid w:val="007E6AAD"/>
    <w:rsid w:val="007F1170"/>
    <w:rsid w:val="007F5F02"/>
    <w:rsid w:val="0080031B"/>
    <w:rsid w:val="00801B76"/>
    <w:rsid w:val="00802253"/>
    <w:rsid w:val="0080454C"/>
    <w:rsid w:val="00807B64"/>
    <w:rsid w:val="00807DB8"/>
    <w:rsid w:val="0081091C"/>
    <w:rsid w:val="008140DD"/>
    <w:rsid w:val="00817F18"/>
    <w:rsid w:val="008219AD"/>
    <w:rsid w:val="00823414"/>
    <w:rsid w:val="00824790"/>
    <w:rsid w:val="008254FE"/>
    <w:rsid w:val="0082557F"/>
    <w:rsid w:val="00826605"/>
    <w:rsid w:val="00831041"/>
    <w:rsid w:val="00833CEF"/>
    <w:rsid w:val="00833FC0"/>
    <w:rsid w:val="0083405D"/>
    <w:rsid w:val="0083515A"/>
    <w:rsid w:val="00835906"/>
    <w:rsid w:val="00836A4E"/>
    <w:rsid w:val="00840FA3"/>
    <w:rsid w:val="008420DB"/>
    <w:rsid w:val="008435C3"/>
    <w:rsid w:val="008436FD"/>
    <w:rsid w:val="0084389A"/>
    <w:rsid w:val="0084518E"/>
    <w:rsid w:val="00851F01"/>
    <w:rsid w:val="00857B95"/>
    <w:rsid w:val="00857BA7"/>
    <w:rsid w:val="00860E3A"/>
    <w:rsid w:val="00870882"/>
    <w:rsid w:val="00872FB8"/>
    <w:rsid w:val="00874D3C"/>
    <w:rsid w:val="0087624D"/>
    <w:rsid w:val="008775CD"/>
    <w:rsid w:val="00880050"/>
    <w:rsid w:val="008837AE"/>
    <w:rsid w:val="00885647"/>
    <w:rsid w:val="008921E9"/>
    <w:rsid w:val="00892C1F"/>
    <w:rsid w:val="008945BF"/>
    <w:rsid w:val="00897805"/>
    <w:rsid w:val="00897BC9"/>
    <w:rsid w:val="008A0969"/>
    <w:rsid w:val="008A0D0F"/>
    <w:rsid w:val="008A1C52"/>
    <w:rsid w:val="008A4C2C"/>
    <w:rsid w:val="008A686A"/>
    <w:rsid w:val="008A6D65"/>
    <w:rsid w:val="008B0530"/>
    <w:rsid w:val="008B1429"/>
    <w:rsid w:val="008B20F6"/>
    <w:rsid w:val="008B4FC4"/>
    <w:rsid w:val="008C4D76"/>
    <w:rsid w:val="008C5790"/>
    <w:rsid w:val="008C6FA5"/>
    <w:rsid w:val="008C7EC0"/>
    <w:rsid w:val="008D231D"/>
    <w:rsid w:val="008D4038"/>
    <w:rsid w:val="008D6F12"/>
    <w:rsid w:val="008D6FCF"/>
    <w:rsid w:val="008E1C4F"/>
    <w:rsid w:val="008E3B6A"/>
    <w:rsid w:val="008E5F6E"/>
    <w:rsid w:val="008E7216"/>
    <w:rsid w:val="008F0CFF"/>
    <w:rsid w:val="00900684"/>
    <w:rsid w:val="00902742"/>
    <w:rsid w:val="00906D03"/>
    <w:rsid w:val="00910B04"/>
    <w:rsid w:val="0091431D"/>
    <w:rsid w:val="00914D9D"/>
    <w:rsid w:val="00923D42"/>
    <w:rsid w:val="009243BB"/>
    <w:rsid w:val="00924EAF"/>
    <w:rsid w:val="009307E3"/>
    <w:rsid w:val="009308BE"/>
    <w:rsid w:val="0093121B"/>
    <w:rsid w:val="00931C18"/>
    <w:rsid w:val="00931C25"/>
    <w:rsid w:val="00932500"/>
    <w:rsid w:val="00941A26"/>
    <w:rsid w:val="009441CD"/>
    <w:rsid w:val="009460C8"/>
    <w:rsid w:val="009523E2"/>
    <w:rsid w:val="00953812"/>
    <w:rsid w:val="00953AEA"/>
    <w:rsid w:val="0095634A"/>
    <w:rsid w:val="00956E98"/>
    <w:rsid w:val="00960664"/>
    <w:rsid w:val="00962E0A"/>
    <w:rsid w:val="00963D63"/>
    <w:rsid w:val="00964507"/>
    <w:rsid w:val="00964EF7"/>
    <w:rsid w:val="00964FA1"/>
    <w:rsid w:val="00966980"/>
    <w:rsid w:val="009727AC"/>
    <w:rsid w:val="009757B1"/>
    <w:rsid w:val="009801D2"/>
    <w:rsid w:val="00984F91"/>
    <w:rsid w:val="00985105"/>
    <w:rsid w:val="00985E6C"/>
    <w:rsid w:val="00987BBD"/>
    <w:rsid w:val="009907D3"/>
    <w:rsid w:val="00991799"/>
    <w:rsid w:val="00991FF4"/>
    <w:rsid w:val="009930F5"/>
    <w:rsid w:val="00997901"/>
    <w:rsid w:val="009A09F7"/>
    <w:rsid w:val="009A1157"/>
    <w:rsid w:val="009A1C92"/>
    <w:rsid w:val="009A52F7"/>
    <w:rsid w:val="009B2079"/>
    <w:rsid w:val="009B4F37"/>
    <w:rsid w:val="009B5C15"/>
    <w:rsid w:val="009C124F"/>
    <w:rsid w:val="009C2EC7"/>
    <w:rsid w:val="009C45C5"/>
    <w:rsid w:val="009C7076"/>
    <w:rsid w:val="009C7F7B"/>
    <w:rsid w:val="009D70E7"/>
    <w:rsid w:val="009D788E"/>
    <w:rsid w:val="009D7BD8"/>
    <w:rsid w:val="009D7CF6"/>
    <w:rsid w:val="009E01DA"/>
    <w:rsid w:val="009E7685"/>
    <w:rsid w:val="009F10AD"/>
    <w:rsid w:val="009F1D04"/>
    <w:rsid w:val="009F620C"/>
    <w:rsid w:val="009F7AA8"/>
    <w:rsid w:val="00A06D4C"/>
    <w:rsid w:val="00A0725F"/>
    <w:rsid w:val="00A078DF"/>
    <w:rsid w:val="00A10787"/>
    <w:rsid w:val="00A11B68"/>
    <w:rsid w:val="00A11D0C"/>
    <w:rsid w:val="00A11E84"/>
    <w:rsid w:val="00A139A3"/>
    <w:rsid w:val="00A15981"/>
    <w:rsid w:val="00A20C8C"/>
    <w:rsid w:val="00A21420"/>
    <w:rsid w:val="00A310FB"/>
    <w:rsid w:val="00A3124C"/>
    <w:rsid w:val="00A3344A"/>
    <w:rsid w:val="00A357C6"/>
    <w:rsid w:val="00A35B20"/>
    <w:rsid w:val="00A36F91"/>
    <w:rsid w:val="00A4041D"/>
    <w:rsid w:val="00A42CF6"/>
    <w:rsid w:val="00A45E00"/>
    <w:rsid w:val="00A47848"/>
    <w:rsid w:val="00A47A4D"/>
    <w:rsid w:val="00A525A6"/>
    <w:rsid w:val="00A52642"/>
    <w:rsid w:val="00A52923"/>
    <w:rsid w:val="00A53A13"/>
    <w:rsid w:val="00A55D38"/>
    <w:rsid w:val="00A55E36"/>
    <w:rsid w:val="00A71443"/>
    <w:rsid w:val="00A746F8"/>
    <w:rsid w:val="00A7609F"/>
    <w:rsid w:val="00A76964"/>
    <w:rsid w:val="00A80BD7"/>
    <w:rsid w:val="00A82384"/>
    <w:rsid w:val="00A83CA0"/>
    <w:rsid w:val="00A8464D"/>
    <w:rsid w:val="00A91CA3"/>
    <w:rsid w:val="00A935E0"/>
    <w:rsid w:val="00A938D8"/>
    <w:rsid w:val="00A96288"/>
    <w:rsid w:val="00AA2504"/>
    <w:rsid w:val="00AA2AC3"/>
    <w:rsid w:val="00AA49EA"/>
    <w:rsid w:val="00AA7A63"/>
    <w:rsid w:val="00AB2F65"/>
    <w:rsid w:val="00AB3AF8"/>
    <w:rsid w:val="00AB4A29"/>
    <w:rsid w:val="00AB5583"/>
    <w:rsid w:val="00AB71D3"/>
    <w:rsid w:val="00AB785C"/>
    <w:rsid w:val="00AC2651"/>
    <w:rsid w:val="00AC67C4"/>
    <w:rsid w:val="00AD0267"/>
    <w:rsid w:val="00AD3077"/>
    <w:rsid w:val="00AD335A"/>
    <w:rsid w:val="00AD3C04"/>
    <w:rsid w:val="00AD41E5"/>
    <w:rsid w:val="00AD4978"/>
    <w:rsid w:val="00AD4D36"/>
    <w:rsid w:val="00AD5AD3"/>
    <w:rsid w:val="00AE094E"/>
    <w:rsid w:val="00AE3126"/>
    <w:rsid w:val="00AE37A7"/>
    <w:rsid w:val="00AE57B4"/>
    <w:rsid w:val="00AE6D0F"/>
    <w:rsid w:val="00AE7C92"/>
    <w:rsid w:val="00AF77F5"/>
    <w:rsid w:val="00B01B99"/>
    <w:rsid w:val="00B03251"/>
    <w:rsid w:val="00B04646"/>
    <w:rsid w:val="00B10BEF"/>
    <w:rsid w:val="00B14F5E"/>
    <w:rsid w:val="00B156C3"/>
    <w:rsid w:val="00B1773E"/>
    <w:rsid w:val="00B20D91"/>
    <w:rsid w:val="00B21005"/>
    <w:rsid w:val="00B217BF"/>
    <w:rsid w:val="00B278AE"/>
    <w:rsid w:val="00B27B3A"/>
    <w:rsid w:val="00B3256D"/>
    <w:rsid w:val="00B326BB"/>
    <w:rsid w:val="00B37BFF"/>
    <w:rsid w:val="00B415BA"/>
    <w:rsid w:val="00B469F8"/>
    <w:rsid w:val="00B46E1C"/>
    <w:rsid w:val="00B47B06"/>
    <w:rsid w:val="00B5116B"/>
    <w:rsid w:val="00B51EEC"/>
    <w:rsid w:val="00B5292A"/>
    <w:rsid w:val="00B52A6C"/>
    <w:rsid w:val="00B56288"/>
    <w:rsid w:val="00B5665E"/>
    <w:rsid w:val="00B56C02"/>
    <w:rsid w:val="00B57413"/>
    <w:rsid w:val="00B57EFA"/>
    <w:rsid w:val="00B60327"/>
    <w:rsid w:val="00B64521"/>
    <w:rsid w:val="00B6601F"/>
    <w:rsid w:val="00B7178D"/>
    <w:rsid w:val="00B7186E"/>
    <w:rsid w:val="00B73C35"/>
    <w:rsid w:val="00B74B5C"/>
    <w:rsid w:val="00B778A0"/>
    <w:rsid w:val="00B82B56"/>
    <w:rsid w:val="00B83190"/>
    <w:rsid w:val="00B8589B"/>
    <w:rsid w:val="00B928FE"/>
    <w:rsid w:val="00B92FEE"/>
    <w:rsid w:val="00B934AB"/>
    <w:rsid w:val="00B93B6F"/>
    <w:rsid w:val="00B94766"/>
    <w:rsid w:val="00B964B2"/>
    <w:rsid w:val="00BA3743"/>
    <w:rsid w:val="00BA5033"/>
    <w:rsid w:val="00BA607E"/>
    <w:rsid w:val="00BA74AA"/>
    <w:rsid w:val="00BB019D"/>
    <w:rsid w:val="00BB094D"/>
    <w:rsid w:val="00BB0C4C"/>
    <w:rsid w:val="00BB4E90"/>
    <w:rsid w:val="00BB5382"/>
    <w:rsid w:val="00BB6B20"/>
    <w:rsid w:val="00BB6EC9"/>
    <w:rsid w:val="00BC06C9"/>
    <w:rsid w:val="00BC1D27"/>
    <w:rsid w:val="00BC1DA7"/>
    <w:rsid w:val="00BC7272"/>
    <w:rsid w:val="00BD2C41"/>
    <w:rsid w:val="00BD31D0"/>
    <w:rsid w:val="00BD4082"/>
    <w:rsid w:val="00BD7CF0"/>
    <w:rsid w:val="00BE0F7F"/>
    <w:rsid w:val="00BE25CA"/>
    <w:rsid w:val="00BE7533"/>
    <w:rsid w:val="00BF1076"/>
    <w:rsid w:val="00BF2F61"/>
    <w:rsid w:val="00BF4760"/>
    <w:rsid w:val="00C004BA"/>
    <w:rsid w:val="00C01589"/>
    <w:rsid w:val="00C021AE"/>
    <w:rsid w:val="00C02D48"/>
    <w:rsid w:val="00C041C8"/>
    <w:rsid w:val="00C049CB"/>
    <w:rsid w:val="00C06607"/>
    <w:rsid w:val="00C06B16"/>
    <w:rsid w:val="00C1151B"/>
    <w:rsid w:val="00C16299"/>
    <w:rsid w:val="00C17A35"/>
    <w:rsid w:val="00C21D3B"/>
    <w:rsid w:val="00C2381F"/>
    <w:rsid w:val="00C25837"/>
    <w:rsid w:val="00C258FF"/>
    <w:rsid w:val="00C271ED"/>
    <w:rsid w:val="00C32ED5"/>
    <w:rsid w:val="00C34486"/>
    <w:rsid w:val="00C36071"/>
    <w:rsid w:val="00C368AB"/>
    <w:rsid w:val="00C371A1"/>
    <w:rsid w:val="00C404DA"/>
    <w:rsid w:val="00C416EA"/>
    <w:rsid w:val="00C424CA"/>
    <w:rsid w:val="00C43311"/>
    <w:rsid w:val="00C43547"/>
    <w:rsid w:val="00C4438D"/>
    <w:rsid w:val="00C46747"/>
    <w:rsid w:val="00C50054"/>
    <w:rsid w:val="00C64174"/>
    <w:rsid w:val="00C64C13"/>
    <w:rsid w:val="00C65E33"/>
    <w:rsid w:val="00C70806"/>
    <w:rsid w:val="00C70ABE"/>
    <w:rsid w:val="00C70E56"/>
    <w:rsid w:val="00C8127A"/>
    <w:rsid w:val="00C860E6"/>
    <w:rsid w:val="00C862AE"/>
    <w:rsid w:val="00C911E5"/>
    <w:rsid w:val="00C941B5"/>
    <w:rsid w:val="00C966DF"/>
    <w:rsid w:val="00C979C0"/>
    <w:rsid w:val="00CA0462"/>
    <w:rsid w:val="00CA095C"/>
    <w:rsid w:val="00CA0F01"/>
    <w:rsid w:val="00CA39A3"/>
    <w:rsid w:val="00CA430B"/>
    <w:rsid w:val="00CA6300"/>
    <w:rsid w:val="00CB0291"/>
    <w:rsid w:val="00CB17E6"/>
    <w:rsid w:val="00CB69C5"/>
    <w:rsid w:val="00CC24A7"/>
    <w:rsid w:val="00CC2AFD"/>
    <w:rsid w:val="00CC2B2C"/>
    <w:rsid w:val="00CC45B5"/>
    <w:rsid w:val="00CC6116"/>
    <w:rsid w:val="00CC7C3D"/>
    <w:rsid w:val="00CD0EF7"/>
    <w:rsid w:val="00CD1EF6"/>
    <w:rsid w:val="00CD291C"/>
    <w:rsid w:val="00CD5EF8"/>
    <w:rsid w:val="00CE0DD0"/>
    <w:rsid w:val="00CE4054"/>
    <w:rsid w:val="00CF0561"/>
    <w:rsid w:val="00CF0F7A"/>
    <w:rsid w:val="00CF3ECB"/>
    <w:rsid w:val="00CF3F5B"/>
    <w:rsid w:val="00CF4DB6"/>
    <w:rsid w:val="00CF6791"/>
    <w:rsid w:val="00CF7614"/>
    <w:rsid w:val="00D01E65"/>
    <w:rsid w:val="00D057EE"/>
    <w:rsid w:val="00D068B3"/>
    <w:rsid w:val="00D06B97"/>
    <w:rsid w:val="00D126A6"/>
    <w:rsid w:val="00D1418F"/>
    <w:rsid w:val="00D170A9"/>
    <w:rsid w:val="00D202C2"/>
    <w:rsid w:val="00D2110F"/>
    <w:rsid w:val="00D273F4"/>
    <w:rsid w:val="00D27A8F"/>
    <w:rsid w:val="00D30A46"/>
    <w:rsid w:val="00D30E33"/>
    <w:rsid w:val="00D33D7C"/>
    <w:rsid w:val="00D34648"/>
    <w:rsid w:val="00D35415"/>
    <w:rsid w:val="00D41294"/>
    <w:rsid w:val="00D4408A"/>
    <w:rsid w:val="00D445CC"/>
    <w:rsid w:val="00D44954"/>
    <w:rsid w:val="00D475B0"/>
    <w:rsid w:val="00D55AD5"/>
    <w:rsid w:val="00D563AD"/>
    <w:rsid w:val="00D60529"/>
    <w:rsid w:val="00D6411C"/>
    <w:rsid w:val="00D65684"/>
    <w:rsid w:val="00D65E92"/>
    <w:rsid w:val="00D66C6E"/>
    <w:rsid w:val="00D705C4"/>
    <w:rsid w:val="00D70C5C"/>
    <w:rsid w:val="00D710B6"/>
    <w:rsid w:val="00D74F4C"/>
    <w:rsid w:val="00D759BE"/>
    <w:rsid w:val="00D809B6"/>
    <w:rsid w:val="00D83D13"/>
    <w:rsid w:val="00D84FB3"/>
    <w:rsid w:val="00D852CC"/>
    <w:rsid w:val="00D8675B"/>
    <w:rsid w:val="00D873A4"/>
    <w:rsid w:val="00D91DC4"/>
    <w:rsid w:val="00D93CC5"/>
    <w:rsid w:val="00D948FB"/>
    <w:rsid w:val="00D958BA"/>
    <w:rsid w:val="00D95C12"/>
    <w:rsid w:val="00DA46E8"/>
    <w:rsid w:val="00DA72C1"/>
    <w:rsid w:val="00DA7691"/>
    <w:rsid w:val="00DB09C1"/>
    <w:rsid w:val="00DB14B7"/>
    <w:rsid w:val="00DB2D11"/>
    <w:rsid w:val="00DB3C17"/>
    <w:rsid w:val="00DB6535"/>
    <w:rsid w:val="00DB6BEF"/>
    <w:rsid w:val="00DC14F1"/>
    <w:rsid w:val="00DC3B1D"/>
    <w:rsid w:val="00DC3E12"/>
    <w:rsid w:val="00DC45D4"/>
    <w:rsid w:val="00DC6996"/>
    <w:rsid w:val="00DD4565"/>
    <w:rsid w:val="00DD6D2F"/>
    <w:rsid w:val="00DD7668"/>
    <w:rsid w:val="00DE0FD2"/>
    <w:rsid w:val="00DE1A6C"/>
    <w:rsid w:val="00DE3314"/>
    <w:rsid w:val="00DE416A"/>
    <w:rsid w:val="00DE5AFF"/>
    <w:rsid w:val="00DE7197"/>
    <w:rsid w:val="00DF4404"/>
    <w:rsid w:val="00DF569F"/>
    <w:rsid w:val="00E0119F"/>
    <w:rsid w:val="00E0226F"/>
    <w:rsid w:val="00E0601A"/>
    <w:rsid w:val="00E077D1"/>
    <w:rsid w:val="00E07A85"/>
    <w:rsid w:val="00E12C78"/>
    <w:rsid w:val="00E154A6"/>
    <w:rsid w:val="00E15990"/>
    <w:rsid w:val="00E15D20"/>
    <w:rsid w:val="00E15D50"/>
    <w:rsid w:val="00E171A0"/>
    <w:rsid w:val="00E1726B"/>
    <w:rsid w:val="00E211DA"/>
    <w:rsid w:val="00E255EC"/>
    <w:rsid w:val="00E25C11"/>
    <w:rsid w:val="00E26783"/>
    <w:rsid w:val="00E3256D"/>
    <w:rsid w:val="00E35443"/>
    <w:rsid w:val="00E357AE"/>
    <w:rsid w:val="00E37B8A"/>
    <w:rsid w:val="00E42A07"/>
    <w:rsid w:val="00E42E15"/>
    <w:rsid w:val="00E4580E"/>
    <w:rsid w:val="00E478CE"/>
    <w:rsid w:val="00E479CF"/>
    <w:rsid w:val="00E47D84"/>
    <w:rsid w:val="00E5171D"/>
    <w:rsid w:val="00E52A36"/>
    <w:rsid w:val="00E52B41"/>
    <w:rsid w:val="00E568E8"/>
    <w:rsid w:val="00E56B9E"/>
    <w:rsid w:val="00E6258E"/>
    <w:rsid w:val="00E62CA0"/>
    <w:rsid w:val="00E64210"/>
    <w:rsid w:val="00E704B2"/>
    <w:rsid w:val="00E70BC0"/>
    <w:rsid w:val="00E7225B"/>
    <w:rsid w:val="00E731E4"/>
    <w:rsid w:val="00E7481C"/>
    <w:rsid w:val="00E75462"/>
    <w:rsid w:val="00E766DA"/>
    <w:rsid w:val="00E802AD"/>
    <w:rsid w:val="00E81838"/>
    <w:rsid w:val="00E82C29"/>
    <w:rsid w:val="00E8356A"/>
    <w:rsid w:val="00E9217A"/>
    <w:rsid w:val="00E92E66"/>
    <w:rsid w:val="00E95360"/>
    <w:rsid w:val="00E95C7B"/>
    <w:rsid w:val="00E966FC"/>
    <w:rsid w:val="00E970E4"/>
    <w:rsid w:val="00EA03A9"/>
    <w:rsid w:val="00EA10C3"/>
    <w:rsid w:val="00EA13B0"/>
    <w:rsid w:val="00EA311A"/>
    <w:rsid w:val="00EA3F95"/>
    <w:rsid w:val="00EA68B5"/>
    <w:rsid w:val="00EB4BF7"/>
    <w:rsid w:val="00EB63A0"/>
    <w:rsid w:val="00EC0D3D"/>
    <w:rsid w:val="00EC5978"/>
    <w:rsid w:val="00EC64BC"/>
    <w:rsid w:val="00EC7D31"/>
    <w:rsid w:val="00ED7D08"/>
    <w:rsid w:val="00EE0A65"/>
    <w:rsid w:val="00EE3990"/>
    <w:rsid w:val="00EE45B2"/>
    <w:rsid w:val="00EE5601"/>
    <w:rsid w:val="00EF1D60"/>
    <w:rsid w:val="00EF3C04"/>
    <w:rsid w:val="00EF4A89"/>
    <w:rsid w:val="00EF5E15"/>
    <w:rsid w:val="00EF6106"/>
    <w:rsid w:val="00F02879"/>
    <w:rsid w:val="00F030BE"/>
    <w:rsid w:val="00F03456"/>
    <w:rsid w:val="00F03ACA"/>
    <w:rsid w:val="00F04643"/>
    <w:rsid w:val="00F0535E"/>
    <w:rsid w:val="00F053C9"/>
    <w:rsid w:val="00F06C40"/>
    <w:rsid w:val="00F06E42"/>
    <w:rsid w:val="00F07020"/>
    <w:rsid w:val="00F1725C"/>
    <w:rsid w:val="00F206D6"/>
    <w:rsid w:val="00F222AD"/>
    <w:rsid w:val="00F23E10"/>
    <w:rsid w:val="00F25788"/>
    <w:rsid w:val="00F26F30"/>
    <w:rsid w:val="00F27254"/>
    <w:rsid w:val="00F31B2C"/>
    <w:rsid w:val="00F31B91"/>
    <w:rsid w:val="00F3780F"/>
    <w:rsid w:val="00F4102F"/>
    <w:rsid w:val="00F43177"/>
    <w:rsid w:val="00F45305"/>
    <w:rsid w:val="00F4730B"/>
    <w:rsid w:val="00F50F05"/>
    <w:rsid w:val="00F548D3"/>
    <w:rsid w:val="00F54CDB"/>
    <w:rsid w:val="00F60A89"/>
    <w:rsid w:val="00F60CFF"/>
    <w:rsid w:val="00F67383"/>
    <w:rsid w:val="00F67D00"/>
    <w:rsid w:val="00F70037"/>
    <w:rsid w:val="00F70730"/>
    <w:rsid w:val="00F75EDE"/>
    <w:rsid w:val="00F80C78"/>
    <w:rsid w:val="00F80F95"/>
    <w:rsid w:val="00F8257E"/>
    <w:rsid w:val="00F90FDB"/>
    <w:rsid w:val="00F91645"/>
    <w:rsid w:val="00F91787"/>
    <w:rsid w:val="00F918C6"/>
    <w:rsid w:val="00FA191C"/>
    <w:rsid w:val="00FA2C32"/>
    <w:rsid w:val="00FA31D3"/>
    <w:rsid w:val="00FA40AC"/>
    <w:rsid w:val="00FA4611"/>
    <w:rsid w:val="00FA4FAB"/>
    <w:rsid w:val="00FA4FFE"/>
    <w:rsid w:val="00FA5CAC"/>
    <w:rsid w:val="00FA6D38"/>
    <w:rsid w:val="00FB54FB"/>
    <w:rsid w:val="00FB5DE7"/>
    <w:rsid w:val="00FB7410"/>
    <w:rsid w:val="00FB7F6D"/>
    <w:rsid w:val="00FC008E"/>
    <w:rsid w:val="00FC0780"/>
    <w:rsid w:val="00FC12C1"/>
    <w:rsid w:val="00FC211D"/>
    <w:rsid w:val="00FC519F"/>
    <w:rsid w:val="00FC5EBE"/>
    <w:rsid w:val="00FC74B0"/>
    <w:rsid w:val="00FD0316"/>
    <w:rsid w:val="00FD7373"/>
    <w:rsid w:val="00FE0474"/>
    <w:rsid w:val="00FE3282"/>
    <w:rsid w:val="00FE5033"/>
    <w:rsid w:val="00FE578F"/>
    <w:rsid w:val="00FE68E8"/>
    <w:rsid w:val="00FF437F"/>
    <w:rsid w:val="00FF5076"/>
    <w:rsid w:val="00FF5957"/>
    <w:rsid w:val="00FF5ACF"/>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0F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14"/>
    <w:pPr>
      <w:spacing w:after="0" w:line="480" w:lineRule="auto"/>
      <w:jc w:val="both"/>
    </w:pPr>
    <w:rPr>
      <w:rFonts w:eastAsia="Times New Roman" w:cs="Times New Roman"/>
    </w:rPr>
  </w:style>
  <w:style w:type="paragraph" w:styleId="Heading1">
    <w:name w:val="heading 1"/>
    <w:aliases w:val="Style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tyle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yle 3"/>
    <w:basedOn w:val="Normal"/>
    <w:next w:val="Normal"/>
    <w:link w:val="Heading3Char"/>
    <w:unhideWhenUsed/>
    <w:qFormat/>
    <w:rsid w:val="00232AAA"/>
    <w:pPr>
      <w:widowControl w:val="0"/>
      <w:numPr>
        <w:ilvl w:val="2"/>
        <w:numId w:val="1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0C7D79"/>
    <w:pPr>
      <w:numPr>
        <w:ilvl w:val="2"/>
        <w:numId w:val="34"/>
      </w:numPr>
      <w:tabs>
        <w:tab w:val="clear" w:pos="2160"/>
        <w:tab w:val="num" w:pos="360"/>
      </w:tabs>
      <w:spacing w:before="240"/>
      <w:ind w:left="0" w:firstLine="0"/>
      <w:outlineLvl w:val="2"/>
    </w:pPr>
    <w:rPr>
      <w:rFonts w:ascii="Arial" w:hAnsi="Arial"/>
      <w:sz w:val="24"/>
      <w:szCs w:val="20"/>
      <w:lang w:val="en-GB"/>
    </w:rPr>
  </w:style>
  <w:style w:type="character" w:customStyle="1" w:styleId="Style3Char">
    <w:name w:val="Style3 Char"/>
    <w:link w:val="Style3"/>
    <w:rsid w:val="000C7D79"/>
    <w:rPr>
      <w:rFonts w:ascii="Arial" w:eastAsia="Times New Roman" w:hAnsi="Arial" w:cs="Times New Roman"/>
      <w:sz w:val="24"/>
      <w:szCs w:val="20"/>
      <w:lang w:val="en-GB"/>
    </w:rPr>
  </w:style>
  <w:style w:type="paragraph" w:customStyle="1" w:styleId="Style2">
    <w:name w:val="Style2"/>
    <w:basedOn w:val="Normal"/>
    <w:next w:val="Normal"/>
    <w:qFormat/>
    <w:rsid w:val="000C7D79"/>
    <w:pPr>
      <w:widowControl w:val="0"/>
      <w:numPr>
        <w:ilvl w:val="1"/>
        <w:numId w:val="34"/>
      </w:numPr>
      <w:spacing w:before="240"/>
      <w:outlineLvl w:val="1"/>
    </w:pPr>
    <w:rPr>
      <w:rFonts w:ascii="Arial" w:hAnsi="Arial"/>
      <w:sz w:val="24"/>
      <w:szCs w:val="20"/>
      <w:lang w:val="en-GB"/>
    </w:rPr>
  </w:style>
  <w:style w:type="paragraph" w:customStyle="1" w:styleId="Style1">
    <w:name w:val="Style1"/>
    <w:basedOn w:val="Normal"/>
    <w:next w:val="Normal"/>
    <w:qFormat/>
    <w:rsid w:val="000C7D79"/>
    <w:pPr>
      <w:widowControl w:val="0"/>
      <w:spacing w:before="240"/>
      <w:outlineLvl w:val="0"/>
    </w:pPr>
    <w:rPr>
      <w:rFonts w:ascii="Arial" w:hAnsi="Arial"/>
      <w:sz w:val="24"/>
      <w:szCs w:val="20"/>
      <w:lang w:val="en-GB"/>
    </w:rPr>
  </w:style>
  <w:style w:type="paragraph" w:customStyle="1" w:styleId="Style4">
    <w:name w:val="Style4"/>
    <w:basedOn w:val="Normal"/>
    <w:next w:val="Normal"/>
    <w:qFormat/>
    <w:rsid w:val="000C7D79"/>
    <w:pPr>
      <w:widowControl w:val="0"/>
      <w:numPr>
        <w:ilvl w:val="3"/>
        <w:numId w:val="34"/>
      </w:numPr>
      <w:spacing w:before="240"/>
      <w:outlineLvl w:val="3"/>
    </w:pPr>
    <w:rPr>
      <w:rFonts w:ascii="Arial" w:eastAsia="Cambria" w:hAnsi="Arial"/>
      <w:sz w:val="24"/>
      <w:szCs w:val="24"/>
    </w:rPr>
  </w:style>
  <w:style w:type="paragraph" w:customStyle="1" w:styleId="HeadsQuote">
    <w:name w:val="Heads Quote"/>
    <w:basedOn w:val="Normal"/>
    <w:link w:val="HeadsQuoteChar"/>
    <w:qFormat/>
    <w:rsid w:val="001E6505"/>
    <w:pPr>
      <w:keepNext/>
      <w:widowControl w:val="0"/>
      <w:spacing w:before="120" w:line="360" w:lineRule="auto"/>
      <w:ind w:left="1440"/>
      <w:contextualSpacing/>
      <w:outlineLvl w:val="2"/>
    </w:pPr>
    <w:rPr>
      <w:rFonts w:ascii="Arial" w:eastAsia="Cambria" w:hAnsi="Arial"/>
      <w:i/>
      <w:iCs/>
      <w:sz w:val="24"/>
      <w:szCs w:val="24"/>
    </w:rPr>
  </w:style>
  <w:style w:type="character" w:customStyle="1" w:styleId="HeadsQuoteChar">
    <w:name w:val="Heads Quote Char"/>
    <w:link w:val="HeadsQuote"/>
    <w:rsid w:val="001E6505"/>
    <w:rPr>
      <w:rFonts w:ascii="Arial" w:hAnsi="Arial" w:cs="Times New Roman"/>
      <w:i/>
      <w:iCs/>
      <w:sz w:val="24"/>
      <w:szCs w:val="24"/>
    </w:rPr>
  </w:style>
  <w:style w:type="character" w:customStyle="1" w:styleId="Heading3Char">
    <w:name w:val="Heading 3 Char"/>
    <w:aliases w:val="Style 3 Char"/>
    <w:basedOn w:val="DefaultParagraphFont"/>
    <w:link w:val="Heading3"/>
    <w:uiPriority w:val="9"/>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basedOn w:val="Normal"/>
    <w:link w:val="FootnoteTextChar"/>
    <w:uiPriority w:val="99"/>
    <w:unhideWhenUsed/>
    <w:qFormat/>
    <w:rsid w:val="0059799B"/>
    <w:pPr>
      <w:widowControl w:val="0"/>
      <w:spacing w:before="120" w:line="240" w:lineRule="auto"/>
      <w:ind w:left="284" w:hanging="284"/>
    </w:pPr>
    <w:rPr>
      <w:rFonts w:ascii="Arial" w:eastAsia="Cambria" w:hAnsi="Arial"/>
      <w:sz w:val="20"/>
      <w:szCs w:val="24"/>
    </w:rPr>
  </w:style>
  <w:style w:type="character" w:customStyle="1" w:styleId="FootnoteTextChar">
    <w:name w:val="Footnote Text Char"/>
    <w:basedOn w:val="DefaultParagraphFont"/>
    <w:link w:val="FootnoteText"/>
    <w:uiPriority w:val="99"/>
    <w:rsid w:val="0059799B"/>
    <w:rPr>
      <w:rFonts w:ascii="Arial" w:hAnsi="Arial" w:cs="Times New Roman"/>
      <w:sz w:val="20"/>
      <w:szCs w:val="24"/>
    </w:rPr>
  </w:style>
  <w:style w:type="character" w:styleId="FootnoteReference">
    <w:name w:val="footnote reference"/>
    <w:uiPriority w:val="99"/>
    <w:semiHidden/>
    <w:rsid w:val="00D126A6"/>
    <w:rPr>
      <w:rFonts w:ascii="Arial" w:hAnsi="Arial"/>
      <w:dstrike w:val="0"/>
      <w:sz w:val="24"/>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F26F30"/>
    <w:pPr>
      <w:numPr>
        <w:numId w:val="35"/>
      </w:numPr>
      <w:ind w:hanging="720"/>
    </w:pPr>
    <w:rPr>
      <w:lang w:val="en-ZA"/>
    </w:rPr>
  </w:style>
  <w:style w:type="character" w:customStyle="1" w:styleId="LC1Char">
    <w:name w:val="LC1 Char"/>
    <w:basedOn w:val="DefaultParagraphFont"/>
    <w:link w:val="LC1"/>
    <w:rsid w:val="00F26F30"/>
    <w:rPr>
      <w:rFonts w:ascii="Arial" w:eastAsia="Times New Roman"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aliases w:val="Style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aliases w:val="Style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3F0FB5"/>
    <w:pPr>
      <w:numPr>
        <w:ilvl w:val="1"/>
      </w:numPr>
      <w:ind w:left="1701" w:hanging="993"/>
    </w:pPr>
  </w:style>
  <w:style w:type="paragraph" w:customStyle="1" w:styleId="LCORder">
    <w:name w:val="LC ORder"/>
    <w:basedOn w:val="LC1"/>
    <w:link w:val="LCORderChar"/>
    <w:qFormat/>
    <w:rsid w:val="00400C5A"/>
    <w:pPr>
      <w:numPr>
        <w:numId w:val="0"/>
      </w:numPr>
      <w:spacing w:after="120"/>
    </w:pPr>
    <w:rPr>
      <w:rFonts w:cs="Arial"/>
      <w:szCs w:val="24"/>
    </w:rPr>
  </w:style>
  <w:style w:type="character" w:customStyle="1" w:styleId="LC2Char">
    <w:name w:val="LC2 Char"/>
    <w:basedOn w:val="LC1Char"/>
    <w:link w:val="LC2"/>
    <w:rsid w:val="003F0FB5"/>
    <w:rPr>
      <w:rFonts w:ascii="Arial" w:eastAsia="Times New Roman" w:hAnsi="Arial" w:cs="Times New Roman"/>
      <w:sz w:val="24"/>
      <w:szCs w:val="20"/>
    </w:rPr>
  </w:style>
  <w:style w:type="character" w:customStyle="1" w:styleId="LCORderChar">
    <w:name w:val="LC ORder Char"/>
    <w:basedOn w:val="LC1Char"/>
    <w:link w:val="LCORder"/>
    <w:rsid w:val="00400C5A"/>
    <w:rPr>
      <w:rFonts w:ascii="Arial" w:eastAsia="Times New Roman" w:hAnsi="Arial" w:cs="Arial"/>
      <w:sz w:val="24"/>
      <w:szCs w:val="24"/>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 w:type="character" w:customStyle="1" w:styleId="UnresolvedMention1">
    <w:name w:val="Unresolved Mention1"/>
    <w:basedOn w:val="DefaultParagraphFont"/>
    <w:uiPriority w:val="99"/>
    <w:semiHidden/>
    <w:unhideWhenUsed/>
    <w:rsid w:val="00B03251"/>
    <w:rPr>
      <w:color w:val="605E5C"/>
      <w:shd w:val="clear" w:color="auto" w:fill="E1DFDD"/>
    </w:rPr>
  </w:style>
  <w:style w:type="paragraph" w:customStyle="1" w:styleId="Style40">
    <w:name w:val="Style 4"/>
    <w:basedOn w:val="Heading3"/>
    <w:next w:val="Normal"/>
    <w:link w:val="Style4Char"/>
    <w:qFormat/>
    <w:rsid w:val="00D33D7C"/>
    <w:pPr>
      <w:widowControl/>
      <w:numPr>
        <w:ilvl w:val="0"/>
        <w:numId w:val="0"/>
      </w:numPr>
      <w:tabs>
        <w:tab w:val="num" w:pos="2880"/>
      </w:tabs>
      <w:spacing w:after="240"/>
      <w:ind w:left="2880" w:hanging="2880"/>
      <w:outlineLvl w:val="9"/>
    </w:pPr>
    <w:rPr>
      <w:rFonts w:eastAsia="Times New Roman" w:cstheme="minorBidi"/>
      <w:bCs w:val="0"/>
      <w:szCs w:val="22"/>
    </w:rPr>
  </w:style>
  <w:style w:type="character" w:customStyle="1" w:styleId="Style4Char">
    <w:name w:val="Style 4 Char"/>
    <w:basedOn w:val="DefaultParagraphFont"/>
    <w:link w:val="Style40"/>
    <w:rsid w:val="00D33D7C"/>
    <w:rPr>
      <w:rFonts w:ascii="Arial" w:eastAsia="Times New Roman" w:hAnsi="Arial"/>
      <w:sz w:val="24"/>
    </w:rPr>
  </w:style>
  <w:style w:type="paragraph" w:customStyle="1" w:styleId="Default">
    <w:name w:val="Default"/>
    <w:rsid w:val="00E25C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TA3">
    <w:name w:val="LTA 3"/>
    <w:basedOn w:val="NoSpacing"/>
    <w:link w:val="LTA3Char"/>
    <w:qFormat/>
    <w:rsid w:val="00FD7373"/>
    <w:pPr>
      <w:widowControl w:val="0"/>
      <w:tabs>
        <w:tab w:val="right" w:pos="9026"/>
      </w:tabs>
      <w:spacing w:before="240" w:after="240" w:line="480" w:lineRule="auto"/>
      <w:ind w:left="2126" w:hanging="2126"/>
      <w:jc w:val="both"/>
    </w:pPr>
    <w:rPr>
      <w:rFonts w:ascii="Arial" w:eastAsiaTheme="minorHAnsi" w:hAnsi="Arial"/>
      <w:kern w:val="2"/>
      <w:lang w:val="en-GB"/>
      <w14:ligatures w14:val="standardContextual"/>
    </w:rPr>
  </w:style>
  <w:style w:type="character" w:customStyle="1" w:styleId="LTA3Char">
    <w:name w:val="LTA 3 Char"/>
    <w:basedOn w:val="DefaultParagraphFont"/>
    <w:link w:val="LTA3"/>
    <w:rsid w:val="00FD7373"/>
    <w:rPr>
      <w:rFonts w:ascii="Arial" w:eastAsiaTheme="minorHAnsi" w:hAnsi="Arial" w:cs="Arial"/>
      <w:kern w:val="2"/>
      <w:lang w:val="en-GB"/>
      <w14:ligatures w14:val="standardContextual"/>
    </w:rPr>
  </w:style>
  <w:style w:type="paragraph" w:customStyle="1" w:styleId="pf0">
    <w:name w:val="pf0"/>
    <w:basedOn w:val="Normal"/>
    <w:rsid w:val="00326F5F"/>
    <w:pPr>
      <w:spacing w:before="100" w:beforeAutospacing="1" w:after="100" w:afterAutospacing="1" w:line="240" w:lineRule="auto"/>
      <w:jc w:val="left"/>
    </w:pPr>
    <w:rPr>
      <w:rFonts w:ascii="Times New Roman" w:hAnsi="Times New Roman"/>
      <w:sz w:val="24"/>
      <w:szCs w:val="24"/>
      <w:lang w:eastAsia="en-ZA"/>
    </w:rPr>
  </w:style>
  <w:style w:type="character" w:customStyle="1" w:styleId="cf01">
    <w:name w:val="cf01"/>
    <w:basedOn w:val="DefaultParagraphFont"/>
    <w:rsid w:val="00326F5F"/>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3062">
      <w:bodyDiv w:val="1"/>
      <w:marLeft w:val="0"/>
      <w:marRight w:val="0"/>
      <w:marTop w:val="0"/>
      <w:marBottom w:val="0"/>
      <w:divBdr>
        <w:top w:val="none" w:sz="0" w:space="0" w:color="auto"/>
        <w:left w:val="none" w:sz="0" w:space="0" w:color="auto"/>
        <w:bottom w:val="none" w:sz="0" w:space="0" w:color="auto"/>
        <w:right w:val="none" w:sz="0" w:space="0" w:color="auto"/>
      </w:divBdr>
    </w:div>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5895">
      <w:bodyDiv w:val="1"/>
      <w:marLeft w:val="0"/>
      <w:marRight w:val="0"/>
      <w:marTop w:val="0"/>
      <w:marBottom w:val="0"/>
      <w:divBdr>
        <w:top w:val="none" w:sz="0" w:space="0" w:color="auto"/>
        <w:left w:val="none" w:sz="0" w:space="0" w:color="auto"/>
        <w:bottom w:val="none" w:sz="0" w:space="0" w:color="auto"/>
        <w:right w:val="none" w:sz="0" w:space="0" w:color="auto"/>
      </w:divBdr>
      <w:divsChild>
        <w:div w:id="1226523665">
          <w:marLeft w:val="0"/>
          <w:marRight w:val="0"/>
          <w:marTop w:val="0"/>
          <w:marBottom w:val="0"/>
          <w:divBdr>
            <w:top w:val="none" w:sz="0" w:space="0" w:color="auto"/>
            <w:left w:val="none" w:sz="0" w:space="0" w:color="auto"/>
            <w:bottom w:val="none" w:sz="0" w:space="0" w:color="auto"/>
            <w:right w:val="none" w:sz="0" w:space="0" w:color="auto"/>
          </w:divBdr>
        </w:div>
        <w:div w:id="1485731590">
          <w:marLeft w:val="0"/>
          <w:marRight w:val="0"/>
          <w:marTop w:val="0"/>
          <w:marBottom w:val="0"/>
          <w:divBdr>
            <w:top w:val="none" w:sz="0" w:space="0" w:color="auto"/>
            <w:left w:val="none" w:sz="0" w:space="0" w:color="auto"/>
            <w:bottom w:val="none" w:sz="0" w:space="0" w:color="auto"/>
            <w:right w:val="none" w:sz="0" w:space="0" w:color="auto"/>
          </w:divBdr>
        </w:div>
        <w:div w:id="1358897114">
          <w:marLeft w:val="0"/>
          <w:marRight w:val="0"/>
          <w:marTop w:val="0"/>
          <w:marBottom w:val="0"/>
          <w:divBdr>
            <w:top w:val="none" w:sz="0" w:space="0" w:color="auto"/>
            <w:left w:val="none" w:sz="0" w:space="0" w:color="auto"/>
            <w:bottom w:val="none" w:sz="0" w:space="0" w:color="auto"/>
            <w:right w:val="none" w:sz="0" w:space="0" w:color="auto"/>
          </w:divBdr>
        </w:div>
        <w:div w:id="26377791">
          <w:marLeft w:val="0"/>
          <w:marRight w:val="0"/>
          <w:marTop w:val="0"/>
          <w:marBottom w:val="0"/>
          <w:divBdr>
            <w:top w:val="none" w:sz="0" w:space="0" w:color="auto"/>
            <w:left w:val="none" w:sz="0" w:space="0" w:color="auto"/>
            <w:bottom w:val="none" w:sz="0" w:space="0" w:color="auto"/>
            <w:right w:val="none" w:sz="0" w:space="0" w:color="auto"/>
          </w:divBdr>
        </w:div>
        <w:div w:id="1790970930">
          <w:marLeft w:val="0"/>
          <w:marRight w:val="0"/>
          <w:marTop w:val="0"/>
          <w:marBottom w:val="0"/>
          <w:divBdr>
            <w:top w:val="none" w:sz="0" w:space="0" w:color="auto"/>
            <w:left w:val="none" w:sz="0" w:space="0" w:color="auto"/>
            <w:bottom w:val="none" w:sz="0" w:space="0" w:color="auto"/>
            <w:right w:val="none" w:sz="0" w:space="0" w:color="auto"/>
          </w:divBdr>
        </w:div>
        <w:div w:id="1418406801">
          <w:marLeft w:val="0"/>
          <w:marRight w:val="0"/>
          <w:marTop w:val="0"/>
          <w:marBottom w:val="0"/>
          <w:divBdr>
            <w:top w:val="none" w:sz="0" w:space="0" w:color="auto"/>
            <w:left w:val="none" w:sz="0" w:space="0" w:color="auto"/>
            <w:bottom w:val="none" w:sz="0" w:space="0" w:color="auto"/>
            <w:right w:val="none" w:sz="0" w:space="0" w:color="auto"/>
          </w:divBdr>
        </w:div>
        <w:div w:id="1760324789">
          <w:marLeft w:val="0"/>
          <w:marRight w:val="0"/>
          <w:marTop w:val="0"/>
          <w:marBottom w:val="0"/>
          <w:divBdr>
            <w:top w:val="none" w:sz="0" w:space="0" w:color="auto"/>
            <w:left w:val="none" w:sz="0" w:space="0" w:color="auto"/>
            <w:bottom w:val="none" w:sz="0" w:space="0" w:color="auto"/>
            <w:right w:val="none" w:sz="0" w:space="0" w:color="auto"/>
          </w:divBdr>
        </w:div>
      </w:divsChild>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7751">
      <w:bodyDiv w:val="1"/>
      <w:marLeft w:val="0"/>
      <w:marRight w:val="0"/>
      <w:marTop w:val="0"/>
      <w:marBottom w:val="0"/>
      <w:divBdr>
        <w:top w:val="none" w:sz="0" w:space="0" w:color="auto"/>
        <w:left w:val="none" w:sz="0" w:space="0" w:color="auto"/>
        <w:bottom w:val="none" w:sz="0" w:space="0" w:color="auto"/>
        <w:right w:val="none" w:sz="0" w:space="0" w:color="auto"/>
      </w:divBdr>
      <w:divsChild>
        <w:div w:id="1467551731">
          <w:marLeft w:val="0"/>
          <w:marRight w:val="0"/>
          <w:marTop w:val="0"/>
          <w:marBottom w:val="0"/>
          <w:divBdr>
            <w:top w:val="none" w:sz="0" w:space="0" w:color="auto"/>
            <w:left w:val="none" w:sz="0" w:space="0" w:color="auto"/>
            <w:bottom w:val="none" w:sz="0" w:space="0" w:color="auto"/>
            <w:right w:val="none" w:sz="0" w:space="0" w:color="auto"/>
          </w:divBdr>
        </w:div>
        <w:div w:id="1643462552">
          <w:marLeft w:val="0"/>
          <w:marRight w:val="0"/>
          <w:marTop w:val="0"/>
          <w:marBottom w:val="0"/>
          <w:divBdr>
            <w:top w:val="none" w:sz="0" w:space="0" w:color="auto"/>
            <w:left w:val="none" w:sz="0" w:space="0" w:color="auto"/>
            <w:bottom w:val="none" w:sz="0" w:space="0" w:color="auto"/>
            <w:right w:val="none" w:sz="0" w:space="0" w:color="auto"/>
          </w:divBdr>
        </w:div>
        <w:div w:id="1132672054">
          <w:marLeft w:val="0"/>
          <w:marRight w:val="0"/>
          <w:marTop w:val="0"/>
          <w:marBottom w:val="0"/>
          <w:divBdr>
            <w:top w:val="none" w:sz="0" w:space="0" w:color="auto"/>
            <w:left w:val="none" w:sz="0" w:space="0" w:color="auto"/>
            <w:bottom w:val="none" w:sz="0" w:space="0" w:color="auto"/>
            <w:right w:val="none" w:sz="0" w:space="0" w:color="auto"/>
          </w:divBdr>
        </w:div>
        <w:div w:id="602538362">
          <w:marLeft w:val="0"/>
          <w:marRight w:val="0"/>
          <w:marTop w:val="0"/>
          <w:marBottom w:val="0"/>
          <w:divBdr>
            <w:top w:val="none" w:sz="0" w:space="0" w:color="auto"/>
            <w:left w:val="none" w:sz="0" w:space="0" w:color="auto"/>
            <w:bottom w:val="none" w:sz="0" w:space="0" w:color="auto"/>
            <w:right w:val="none" w:sz="0" w:space="0" w:color="auto"/>
          </w:divBdr>
        </w:div>
        <w:div w:id="850992138">
          <w:marLeft w:val="0"/>
          <w:marRight w:val="0"/>
          <w:marTop w:val="0"/>
          <w:marBottom w:val="0"/>
          <w:divBdr>
            <w:top w:val="none" w:sz="0" w:space="0" w:color="auto"/>
            <w:left w:val="none" w:sz="0" w:space="0" w:color="auto"/>
            <w:bottom w:val="none" w:sz="0" w:space="0" w:color="auto"/>
            <w:right w:val="none" w:sz="0" w:space="0" w:color="auto"/>
          </w:divBdr>
        </w:div>
        <w:div w:id="1121849841">
          <w:marLeft w:val="0"/>
          <w:marRight w:val="0"/>
          <w:marTop w:val="0"/>
          <w:marBottom w:val="0"/>
          <w:divBdr>
            <w:top w:val="none" w:sz="0" w:space="0" w:color="auto"/>
            <w:left w:val="none" w:sz="0" w:space="0" w:color="auto"/>
            <w:bottom w:val="none" w:sz="0" w:space="0" w:color="auto"/>
            <w:right w:val="none" w:sz="0" w:space="0" w:color="auto"/>
          </w:divBdr>
        </w:div>
        <w:div w:id="1345744407">
          <w:marLeft w:val="0"/>
          <w:marRight w:val="0"/>
          <w:marTop w:val="0"/>
          <w:marBottom w:val="0"/>
          <w:divBdr>
            <w:top w:val="none" w:sz="0" w:space="0" w:color="auto"/>
            <w:left w:val="none" w:sz="0" w:space="0" w:color="auto"/>
            <w:bottom w:val="none" w:sz="0" w:space="0" w:color="auto"/>
            <w:right w:val="none" w:sz="0" w:space="0" w:color="auto"/>
          </w:divBdr>
        </w:div>
        <w:div w:id="111631190">
          <w:marLeft w:val="0"/>
          <w:marRight w:val="0"/>
          <w:marTop w:val="0"/>
          <w:marBottom w:val="0"/>
          <w:divBdr>
            <w:top w:val="none" w:sz="0" w:space="0" w:color="auto"/>
            <w:left w:val="none" w:sz="0" w:space="0" w:color="auto"/>
            <w:bottom w:val="none" w:sz="0" w:space="0" w:color="auto"/>
            <w:right w:val="none" w:sz="0" w:space="0" w:color="auto"/>
          </w:divBdr>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832">
      <w:bodyDiv w:val="1"/>
      <w:marLeft w:val="0"/>
      <w:marRight w:val="0"/>
      <w:marTop w:val="0"/>
      <w:marBottom w:val="0"/>
      <w:divBdr>
        <w:top w:val="none" w:sz="0" w:space="0" w:color="auto"/>
        <w:left w:val="none" w:sz="0" w:space="0" w:color="auto"/>
        <w:bottom w:val="none" w:sz="0" w:space="0" w:color="auto"/>
        <w:right w:val="none" w:sz="0" w:space="0" w:color="auto"/>
      </w:divBdr>
      <w:divsChild>
        <w:div w:id="59907171">
          <w:marLeft w:val="0"/>
          <w:marRight w:val="0"/>
          <w:marTop w:val="0"/>
          <w:marBottom w:val="0"/>
          <w:divBdr>
            <w:top w:val="none" w:sz="0" w:space="0" w:color="auto"/>
            <w:left w:val="none" w:sz="0" w:space="0" w:color="auto"/>
            <w:bottom w:val="none" w:sz="0" w:space="0" w:color="auto"/>
            <w:right w:val="none" w:sz="0" w:space="0" w:color="auto"/>
          </w:divBdr>
        </w:div>
        <w:div w:id="39937451">
          <w:marLeft w:val="0"/>
          <w:marRight w:val="0"/>
          <w:marTop w:val="0"/>
          <w:marBottom w:val="0"/>
          <w:divBdr>
            <w:top w:val="none" w:sz="0" w:space="0" w:color="auto"/>
            <w:left w:val="none" w:sz="0" w:space="0" w:color="auto"/>
            <w:bottom w:val="none" w:sz="0" w:space="0" w:color="auto"/>
            <w:right w:val="none" w:sz="0" w:space="0" w:color="auto"/>
          </w:divBdr>
        </w:div>
        <w:div w:id="129329912">
          <w:marLeft w:val="0"/>
          <w:marRight w:val="0"/>
          <w:marTop w:val="0"/>
          <w:marBottom w:val="0"/>
          <w:divBdr>
            <w:top w:val="none" w:sz="0" w:space="0" w:color="auto"/>
            <w:left w:val="none" w:sz="0" w:space="0" w:color="auto"/>
            <w:bottom w:val="none" w:sz="0" w:space="0" w:color="auto"/>
            <w:right w:val="none" w:sz="0" w:space="0" w:color="auto"/>
          </w:divBdr>
        </w:div>
        <w:div w:id="1267419204">
          <w:marLeft w:val="0"/>
          <w:marRight w:val="0"/>
          <w:marTop w:val="0"/>
          <w:marBottom w:val="0"/>
          <w:divBdr>
            <w:top w:val="none" w:sz="0" w:space="0" w:color="auto"/>
            <w:left w:val="none" w:sz="0" w:space="0" w:color="auto"/>
            <w:bottom w:val="none" w:sz="0" w:space="0" w:color="auto"/>
            <w:right w:val="none" w:sz="0" w:space="0" w:color="auto"/>
          </w:divBdr>
        </w:div>
        <w:div w:id="106856125">
          <w:marLeft w:val="0"/>
          <w:marRight w:val="0"/>
          <w:marTop w:val="0"/>
          <w:marBottom w:val="0"/>
          <w:divBdr>
            <w:top w:val="none" w:sz="0" w:space="0" w:color="auto"/>
            <w:left w:val="none" w:sz="0" w:space="0" w:color="auto"/>
            <w:bottom w:val="none" w:sz="0" w:space="0" w:color="auto"/>
            <w:right w:val="none" w:sz="0" w:space="0" w:color="auto"/>
          </w:divBdr>
        </w:div>
        <w:div w:id="1157916660">
          <w:marLeft w:val="0"/>
          <w:marRight w:val="0"/>
          <w:marTop w:val="0"/>
          <w:marBottom w:val="0"/>
          <w:divBdr>
            <w:top w:val="none" w:sz="0" w:space="0" w:color="auto"/>
            <w:left w:val="none" w:sz="0" w:space="0" w:color="auto"/>
            <w:bottom w:val="none" w:sz="0" w:space="0" w:color="auto"/>
            <w:right w:val="none" w:sz="0" w:space="0" w:color="auto"/>
          </w:divBdr>
        </w:div>
        <w:div w:id="560024240">
          <w:marLeft w:val="0"/>
          <w:marRight w:val="0"/>
          <w:marTop w:val="0"/>
          <w:marBottom w:val="0"/>
          <w:divBdr>
            <w:top w:val="none" w:sz="0" w:space="0" w:color="auto"/>
            <w:left w:val="none" w:sz="0" w:space="0" w:color="auto"/>
            <w:bottom w:val="none" w:sz="0" w:space="0" w:color="auto"/>
            <w:right w:val="none" w:sz="0" w:space="0" w:color="auto"/>
          </w:divBdr>
        </w:div>
        <w:div w:id="1915318130">
          <w:marLeft w:val="0"/>
          <w:marRight w:val="0"/>
          <w:marTop w:val="0"/>
          <w:marBottom w:val="0"/>
          <w:divBdr>
            <w:top w:val="none" w:sz="0" w:space="0" w:color="auto"/>
            <w:left w:val="none" w:sz="0" w:space="0" w:color="auto"/>
            <w:bottom w:val="none" w:sz="0" w:space="0" w:color="auto"/>
            <w:right w:val="none" w:sz="0" w:space="0" w:color="auto"/>
          </w:divBdr>
        </w:div>
        <w:div w:id="358243138">
          <w:marLeft w:val="0"/>
          <w:marRight w:val="0"/>
          <w:marTop w:val="0"/>
          <w:marBottom w:val="0"/>
          <w:divBdr>
            <w:top w:val="none" w:sz="0" w:space="0" w:color="auto"/>
            <w:left w:val="none" w:sz="0" w:space="0" w:color="auto"/>
            <w:bottom w:val="none" w:sz="0" w:space="0" w:color="auto"/>
            <w:right w:val="none" w:sz="0" w:space="0" w:color="auto"/>
          </w:divBdr>
        </w:div>
        <w:div w:id="381952147">
          <w:marLeft w:val="0"/>
          <w:marRight w:val="0"/>
          <w:marTop w:val="0"/>
          <w:marBottom w:val="0"/>
          <w:divBdr>
            <w:top w:val="none" w:sz="0" w:space="0" w:color="auto"/>
            <w:left w:val="none" w:sz="0" w:space="0" w:color="auto"/>
            <w:bottom w:val="none" w:sz="0" w:space="0" w:color="auto"/>
            <w:right w:val="none" w:sz="0" w:space="0" w:color="auto"/>
          </w:divBdr>
        </w:div>
        <w:div w:id="710957988">
          <w:marLeft w:val="0"/>
          <w:marRight w:val="0"/>
          <w:marTop w:val="0"/>
          <w:marBottom w:val="0"/>
          <w:divBdr>
            <w:top w:val="none" w:sz="0" w:space="0" w:color="auto"/>
            <w:left w:val="none" w:sz="0" w:space="0" w:color="auto"/>
            <w:bottom w:val="none" w:sz="0" w:space="0" w:color="auto"/>
            <w:right w:val="none" w:sz="0" w:space="0" w:color="auto"/>
          </w:divBdr>
        </w:div>
        <w:div w:id="889876803">
          <w:marLeft w:val="0"/>
          <w:marRight w:val="0"/>
          <w:marTop w:val="0"/>
          <w:marBottom w:val="0"/>
          <w:divBdr>
            <w:top w:val="none" w:sz="0" w:space="0" w:color="auto"/>
            <w:left w:val="none" w:sz="0" w:space="0" w:color="auto"/>
            <w:bottom w:val="none" w:sz="0" w:space="0" w:color="auto"/>
            <w:right w:val="none" w:sz="0" w:space="0" w:color="auto"/>
          </w:divBdr>
        </w:div>
        <w:div w:id="993875744">
          <w:marLeft w:val="0"/>
          <w:marRight w:val="0"/>
          <w:marTop w:val="0"/>
          <w:marBottom w:val="0"/>
          <w:divBdr>
            <w:top w:val="none" w:sz="0" w:space="0" w:color="auto"/>
            <w:left w:val="none" w:sz="0" w:space="0" w:color="auto"/>
            <w:bottom w:val="none" w:sz="0" w:space="0" w:color="auto"/>
            <w:right w:val="none" w:sz="0" w:space="0" w:color="auto"/>
          </w:divBdr>
        </w:div>
        <w:div w:id="200368352">
          <w:marLeft w:val="0"/>
          <w:marRight w:val="0"/>
          <w:marTop w:val="0"/>
          <w:marBottom w:val="0"/>
          <w:divBdr>
            <w:top w:val="none" w:sz="0" w:space="0" w:color="auto"/>
            <w:left w:val="none" w:sz="0" w:space="0" w:color="auto"/>
            <w:bottom w:val="none" w:sz="0" w:space="0" w:color="auto"/>
            <w:right w:val="none" w:sz="0" w:space="0" w:color="auto"/>
          </w:divBdr>
        </w:div>
      </w:divsChild>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1415">
      <w:bodyDiv w:val="1"/>
      <w:marLeft w:val="0"/>
      <w:marRight w:val="0"/>
      <w:marTop w:val="0"/>
      <w:marBottom w:val="0"/>
      <w:divBdr>
        <w:top w:val="none" w:sz="0" w:space="0" w:color="auto"/>
        <w:left w:val="none" w:sz="0" w:space="0" w:color="auto"/>
        <w:bottom w:val="none" w:sz="0" w:space="0" w:color="auto"/>
        <w:right w:val="none" w:sz="0" w:space="0" w:color="auto"/>
      </w:divBdr>
      <w:divsChild>
        <w:div w:id="714622709">
          <w:marLeft w:val="0"/>
          <w:marRight w:val="0"/>
          <w:marTop w:val="0"/>
          <w:marBottom w:val="0"/>
          <w:divBdr>
            <w:top w:val="none" w:sz="0" w:space="0" w:color="auto"/>
            <w:left w:val="none" w:sz="0" w:space="0" w:color="auto"/>
            <w:bottom w:val="none" w:sz="0" w:space="0" w:color="auto"/>
            <w:right w:val="none" w:sz="0" w:space="0" w:color="auto"/>
          </w:divBdr>
        </w:div>
        <w:div w:id="1413236653">
          <w:marLeft w:val="0"/>
          <w:marRight w:val="0"/>
          <w:marTop w:val="0"/>
          <w:marBottom w:val="0"/>
          <w:divBdr>
            <w:top w:val="none" w:sz="0" w:space="0" w:color="auto"/>
            <w:left w:val="none" w:sz="0" w:space="0" w:color="auto"/>
            <w:bottom w:val="none" w:sz="0" w:space="0" w:color="auto"/>
            <w:right w:val="none" w:sz="0" w:space="0" w:color="auto"/>
          </w:divBdr>
        </w:div>
        <w:div w:id="1435318116">
          <w:marLeft w:val="0"/>
          <w:marRight w:val="0"/>
          <w:marTop w:val="0"/>
          <w:marBottom w:val="0"/>
          <w:divBdr>
            <w:top w:val="none" w:sz="0" w:space="0" w:color="auto"/>
            <w:left w:val="none" w:sz="0" w:space="0" w:color="auto"/>
            <w:bottom w:val="none" w:sz="0" w:space="0" w:color="auto"/>
            <w:right w:val="none" w:sz="0" w:space="0" w:color="auto"/>
          </w:divBdr>
        </w:div>
        <w:div w:id="380374074">
          <w:marLeft w:val="0"/>
          <w:marRight w:val="0"/>
          <w:marTop w:val="0"/>
          <w:marBottom w:val="0"/>
          <w:divBdr>
            <w:top w:val="none" w:sz="0" w:space="0" w:color="auto"/>
            <w:left w:val="none" w:sz="0" w:space="0" w:color="auto"/>
            <w:bottom w:val="none" w:sz="0" w:space="0" w:color="auto"/>
            <w:right w:val="none" w:sz="0" w:space="0" w:color="auto"/>
          </w:divBdr>
        </w:div>
        <w:div w:id="99301404">
          <w:marLeft w:val="0"/>
          <w:marRight w:val="0"/>
          <w:marTop w:val="0"/>
          <w:marBottom w:val="0"/>
          <w:divBdr>
            <w:top w:val="none" w:sz="0" w:space="0" w:color="auto"/>
            <w:left w:val="none" w:sz="0" w:space="0" w:color="auto"/>
            <w:bottom w:val="none" w:sz="0" w:space="0" w:color="auto"/>
            <w:right w:val="none" w:sz="0" w:space="0" w:color="auto"/>
          </w:divBdr>
        </w:div>
        <w:div w:id="381292882">
          <w:marLeft w:val="0"/>
          <w:marRight w:val="0"/>
          <w:marTop w:val="0"/>
          <w:marBottom w:val="0"/>
          <w:divBdr>
            <w:top w:val="none" w:sz="0" w:space="0" w:color="auto"/>
            <w:left w:val="none" w:sz="0" w:space="0" w:color="auto"/>
            <w:bottom w:val="none" w:sz="0" w:space="0" w:color="auto"/>
            <w:right w:val="none" w:sz="0" w:space="0" w:color="auto"/>
          </w:divBdr>
        </w:div>
        <w:div w:id="6644068">
          <w:marLeft w:val="0"/>
          <w:marRight w:val="0"/>
          <w:marTop w:val="0"/>
          <w:marBottom w:val="0"/>
          <w:divBdr>
            <w:top w:val="none" w:sz="0" w:space="0" w:color="auto"/>
            <w:left w:val="none" w:sz="0" w:space="0" w:color="auto"/>
            <w:bottom w:val="none" w:sz="0" w:space="0" w:color="auto"/>
            <w:right w:val="none" w:sz="0" w:space="0" w:color="auto"/>
          </w:divBdr>
        </w:div>
        <w:div w:id="1369988464">
          <w:marLeft w:val="0"/>
          <w:marRight w:val="0"/>
          <w:marTop w:val="0"/>
          <w:marBottom w:val="0"/>
          <w:divBdr>
            <w:top w:val="none" w:sz="0" w:space="0" w:color="auto"/>
            <w:left w:val="none" w:sz="0" w:space="0" w:color="auto"/>
            <w:bottom w:val="none" w:sz="0" w:space="0" w:color="auto"/>
            <w:right w:val="none" w:sz="0" w:space="0" w:color="auto"/>
          </w:divBdr>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424717251">
      <w:bodyDiv w:val="1"/>
      <w:marLeft w:val="0"/>
      <w:marRight w:val="0"/>
      <w:marTop w:val="0"/>
      <w:marBottom w:val="0"/>
      <w:divBdr>
        <w:top w:val="none" w:sz="0" w:space="0" w:color="auto"/>
        <w:left w:val="none" w:sz="0" w:space="0" w:color="auto"/>
        <w:bottom w:val="none" w:sz="0" w:space="0" w:color="auto"/>
        <w:right w:val="none" w:sz="0" w:space="0" w:color="auto"/>
      </w:divBdr>
    </w:div>
    <w:div w:id="1427773432">
      <w:bodyDiv w:val="1"/>
      <w:marLeft w:val="0"/>
      <w:marRight w:val="0"/>
      <w:marTop w:val="0"/>
      <w:marBottom w:val="0"/>
      <w:divBdr>
        <w:top w:val="none" w:sz="0" w:space="0" w:color="auto"/>
        <w:left w:val="none" w:sz="0" w:space="0" w:color="auto"/>
        <w:bottom w:val="none" w:sz="0" w:space="0" w:color="auto"/>
        <w:right w:val="none" w:sz="0" w:space="0" w:color="auto"/>
      </w:divBdr>
      <w:divsChild>
        <w:div w:id="483933515">
          <w:marLeft w:val="0"/>
          <w:marRight w:val="0"/>
          <w:marTop w:val="0"/>
          <w:marBottom w:val="0"/>
          <w:divBdr>
            <w:top w:val="none" w:sz="0" w:space="0" w:color="auto"/>
            <w:left w:val="none" w:sz="0" w:space="0" w:color="auto"/>
            <w:bottom w:val="none" w:sz="0" w:space="0" w:color="auto"/>
            <w:right w:val="none" w:sz="0" w:space="0" w:color="auto"/>
          </w:divBdr>
        </w:div>
        <w:div w:id="125705468">
          <w:marLeft w:val="0"/>
          <w:marRight w:val="0"/>
          <w:marTop w:val="0"/>
          <w:marBottom w:val="0"/>
          <w:divBdr>
            <w:top w:val="none" w:sz="0" w:space="0" w:color="auto"/>
            <w:left w:val="none" w:sz="0" w:space="0" w:color="auto"/>
            <w:bottom w:val="none" w:sz="0" w:space="0" w:color="auto"/>
            <w:right w:val="none" w:sz="0" w:space="0" w:color="auto"/>
          </w:divBdr>
        </w:div>
        <w:div w:id="166404864">
          <w:marLeft w:val="0"/>
          <w:marRight w:val="0"/>
          <w:marTop w:val="0"/>
          <w:marBottom w:val="0"/>
          <w:divBdr>
            <w:top w:val="none" w:sz="0" w:space="0" w:color="auto"/>
            <w:left w:val="none" w:sz="0" w:space="0" w:color="auto"/>
            <w:bottom w:val="none" w:sz="0" w:space="0" w:color="auto"/>
            <w:right w:val="none" w:sz="0" w:space="0" w:color="auto"/>
          </w:divBdr>
        </w:div>
        <w:div w:id="1321927801">
          <w:marLeft w:val="0"/>
          <w:marRight w:val="0"/>
          <w:marTop w:val="0"/>
          <w:marBottom w:val="0"/>
          <w:divBdr>
            <w:top w:val="none" w:sz="0" w:space="0" w:color="auto"/>
            <w:left w:val="none" w:sz="0" w:space="0" w:color="auto"/>
            <w:bottom w:val="none" w:sz="0" w:space="0" w:color="auto"/>
            <w:right w:val="none" w:sz="0" w:space="0" w:color="auto"/>
          </w:divBdr>
        </w:div>
        <w:div w:id="537737705">
          <w:marLeft w:val="0"/>
          <w:marRight w:val="0"/>
          <w:marTop w:val="0"/>
          <w:marBottom w:val="0"/>
          <w:divBdr>
            <w:top w:val="none" w:sz="0" w:space="0" w:color="auto"/>
            <w:left w:val="none" w:sz="0" w:space="0" w:color="auto"/>
            <w:bottom w:val="none" w:sz="0" w:space="0" w:color="auto"/>
            <w:right w:val="none" w:sz="0" w:space="0" w:color="auto"/>
          </w:divBdr>
        </w:div>
        <w:div w:id="735325850">
          <w:marLeft w:val="0"/>
          <w:marRight w:val="0"/>
          <w:marTop w:val="0"/>
          <w:marBottom w:val="0"/>
          <w:divBdr>
            <w:top w:val="none" w:sz="0" w:space="0" w:color="auto"/>
            <w:left w:val="none" w:sz="0" w:space="0" w:color="auto"/>
            <w:bottom w:val="none" w:sz="0" w:space="0" w:color="auto"/>
            <w:right w:val="none" w:sz="0" w:space="0" w:color="auto"/>
          </w:divBdr>
        </w:div>
        <w:div w:id="1927574034">
          <w:marLeft w:val="0"/>
          <w:marRight w:val="0"/>
          <w:marTop w:val="0"/>
          <w:marBottom w:val="0"/>
          <w:divBdr>
            <w:top w:val="none" w:sz="0" w:space="0" w:color="auto"/>
            <w:left w:val="none" w:sz="0" w:space="0" w:color="auto"/>
            <w:bottom w:val="none" w:sz="0" w:space="0" w:color="auto"/>
            <w:right w:val="none" w:sz="0" w:space="0" w:color="auto"/>
          </w:divBdr>
        </w:div>
      </w:divsChild>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54121896">
      <w:bodyDiv w:val="1"/>
      <w:marLeft w:val="0"/>
      <w:marRight w:val="0"/>
      <w:marTop w:val="0"/>
      <w:marBottom w:val="0"/>
      <w:divBdr>
        <w:top w:val="none" w:sz="0" w:space="0" w:color="auto"/>
        <w:left w:val="none" w:sz="0" w:space="0" w:color="auto"/>
        <w:bottom w:val="none" w:sz="0" w:space="0" w:color="auto"/>
        <w:right w:val="none" w:sz="0" w:space="0" w:color="auto"/>
      </w:divBdr>
      <w:divsChild>
        <w:div w:id="1599144193">
          <w:marLeft w:val="0"/>
          <w:marRight w:val="0"/>
          <w:marTop w:val="0"/>
          <w:marBottom w:val="0"/>
          <w:divBdr>
            <w:top w:val="none" w:sz="0" w:space="0" w:color="auto"/>
            <w:left w:val="none" w:sz="0" w:space="0" w:color="auto"/>
            <w:bottom w:val="none" w:sz="0" w:space="0" w:color="auto"/>
            <w:right w:val="none" w:sz="0" w:space="0" w:color="auto"/>
          </w:divBdr>
        </w:div>
        <w:div w:id="361634958">
          <w:marLeft w:val="0"/>
          <w:marRight w:val="0"/>
          <w:marTop w:val="0"/>
          <w:marBottom w:val="0"/>
          <w:divBdr>
            <w:top w:val="none" w:sz="0" w:space="0" w:color="auto"/>
            <w:left w:val="none" w:sz="0" w:space="0" w:color="auto"/>
            <w:bottom w:val="none" w:sz="0" w:space="0" w:color="auto"/>
            <w:right w:val="none" w:sz="0" w:space="0" w:color="auto"/>
          </w:divBdr>
        </w:div>
        <w:div w:id="357659138">
          <w:marLeft w:val="0"/>
          <w:marRight w:val="0"/>
          <w:marTop w:val="0"/>
          <w:marBottom w:val="0"/>
          <w:divBdr>
            <w:top w:val="none" w:sz="0" w:space="0" w:color="auto"/>
            <w:left w:val="none" w:sz="0" w:space="0" w:color="auto"/>
            <w:bottom w:val="none" w:sz="0" w:space="0" w:color="auto"/>
            <w:right w:val="none" w:sz="0" w:space="0" w:color="auto"/>
          </w:divBdr>
        </w:div>
        <w:div w:id="1703095689">
          <w:marLeft w:val="0"/>
          <w:marRight w:val="0"/>
          <w:marTop w:val="0"/>
          <w:marBottom w:val="0"/>
          <w:divBdr>
            <w:top w:val="none" w:sz="0" w:space="0" w:color="auto"/>
            <w:left w:val="none" w:sz="0" w:space="0" w:color="auto"/>
            <w:bottom w:val="none" w:sz="0" w:space="0" w:color="auto"/>
            <w:right w:val="none" w:sz="0" w:space="0" w:color="auto"/>
          </w:divBdr>
        </w:div>
        <w:div w:id="1721782689">
          <w:marLeft w:val="0"/>
          <w:marRight w:val="0"/>
          <w:marTop w:val="0"/>
          <w:marBottom w:val="0"/>
          <w:divBdr>
            <w:top w:val="none" w:sz="0" w:space="0" w:color="auto"/>
            <w:left w:val="none" w:sz="0" w:space="0" w:color="auto"/>
            <w:bottom w:val="none" w:sz="0" w:space="0" w:color="auto"/>
            <w:right w:val="none" w:sz="0" w:space="0" w:color="auto"/>
          </w:divBdr>
        </w:div>
        <w:div w:id="775641890">
          <w:marLeft w:val="0"/>
          <w:marRight w:val="0"/>
          <w:marTop w:val="0"/>
          <w:marBottom w:val="0"/>
          <w:divBdr>
            <w:top w:val="none" w:sz="0" w:space="0" w:color="auto"/>
            <w:left w:val="none" w:sz="0" w:space="0" w:color="auto"/>
            <w:bottom w:val="none" w:sz="0" w:space="0" w:color="auto"/>
            <w:right w:val="none" w:sz="0" w:space="0" w:color="auto"/>
          </w:divBdr>
        </w:div>
      </w:divsChild>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3759">
      <w:bodyDiv w:val="1"/>
      <w:marLeft w:val="0"/>
      <w:marRight w:val="0"/>
      <w:marTop w:val="0"/>
      <w:marBottom w:val="0"/>
      <w:divBdr>
        <w:top w:val="none" w:sz="0" w:space="0" w:color="auto"/>
        <w:left w:val="none" w:sz="0" w:space="0" w:color="auto"/>
        <w:bottom w:val="none" w:sz="0" w:space="0" w:color="auto"/>
        <w:right w:val="none" w:sz="0" w:space="0" w:color="auto"/>
      </w:divBdr>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5609">
      <w:bodyDiv w:val="1"/>
      <w:marLeft w:val="0"/>
      <w:marRight w:val="0"/>
      <w:marTop w:val="0"/>
      <w:marBottom w:val="0"/>
      <w:divBdr>
        <w:top w:val="none" w:sz="0" w:space="0" w:color="auto"/>
        <w:left w:val="none" w:sz="0" w:space="0" w:color="auto"/>
        <w:bottom w:val="none" w:sz="0" w:space="0" w:color="auto"/>
        <w:right w:val="none" w:sz="0" w:space="0" w:color="auto"/>
      </w:divBdr>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14772498">
      <w:bodyDiv w:val="1"/>
      <w:marLeft w:val="0"/>
      <w:marRight w:val="0"/>
      <w:marTop w:val="0"/>
      <w:marBottom w:val="0"/>
      <w:divBdr>
        <w:top w:val="none" w:sz="0" w:space="0" w:color="auto"/>
        <w:left w:val="none" w:sz="0" w:space="0" w:color="auto"/>
        <w:bottom w:val="none" w:sz="0" w:space="0" w:color="auto"/>
        <w:right w:val="none" w:sz="0" w:space="0" w:color="auto"/>
      </w:divBdr>
      <w:divsChild>
        <w:div w:id="1063873504">
          <w:marLeft w:val="0"/>
          <w:marRight w:val="0"/>
          <w:marTop w:val="0"/>
          <w:marBottom w:val="0"/>
          <w:divBdr>
            <w:top w:val="none" w:sz="0" w:space="0" w:color="auto"/>
            <w:left w:val="none" w:sz="0" w:space="0" w:color="auto"/>
            <w:bottom w:val="none" w:sz="0" w:space="0" w:color="auto"/>
            <w:right w:val="none" w:sz="0" w:space="0" w:color="auto"/>
          </w:divBdr>
        </w:div>
        <w:div w:id="254096836">
          <w:marLeft w:val="0"/>
          <w:marRight w:val="0"/>
          <w:marTop w:val="0"/>
          <w:marBottom w:val="0"/>
          <w:divBdr>
            <w:top w:val="none" w:sz="0" w:space="0" w:color="auto"/>
            <w:left w:val="none" w:sz="0" w:space="0" w:color="auto"/>
            <w:bottom w:val="none" w:sz="0" w:space="0" w:color="auto"/>
            <w:right w:val="none" w:sz="0" w:space="0" w:color="auto"/>
          </w:divBdr>
        </w:div>
        <w:div w:id="1199245039">
          <w:marLeft w:val="0"/>
          <w:marRight w:val="0"/>
          <w:marTop w:val="0"/>
          <w:marBottom w:val="0"/>
          <w:divBdr>
            <w:top w:val="none" w:sz="0" w:space="0" w:color="auto"/>
            <w:left w:val="none" w:sz="0" w:space="0" w:color="auto"/>
            <w:bottom w:val="none" w:sz="0" w:space="0" w:color="auto"/>
            <w:right w:val="none" w:sz="0" w:space="0" w:color="auto"/>
          </w:divBdr>
        </w:div>
        <w:div w:id="185751215">
          <w:marLeft w:val="0"/>
          <w:marRight w:val="0"/>
          <w:marTop w:val="0"/>
          <w:marBottom w:val="0"/>
          <w:divBdr>
            <w:top w:val="none" w:sz="0" w:space="0" w:color="auto"/>
            <w:left w:val="none" w:sz="0" w:space="0" w:color="auto"/>
            <w:bottom w:val="none" w:sz="0" w:space="0" w:color="auto"/>
            <w:right w:val="none" w:sz="0" w:space="0" w:color="auto"/>
          </w:divBdr>
        </w:div>
        <w:div w:id="348458159">
          <w:marLeft w:val="0"/>
          <w:marRight w:val="0"/>
          <w:marTop w:val="0"/>
          <w:marBottom w:val="0"/>
          <w:divBdr>
            <w:top w:val="none" w:sz="0" w:space="0" w:color="auto"/>
            <w:left w:val="none" w:sz="0" w:space="0" w:color="auto"/>
            <w:bottom w:val="none" w:sz="0" w:space="0" w:color="auto"/>
            <w:right w:val="none" w:sz="0" w:space="0" w:color="auto"/>
          </w:divBdr>
        </w:div>
        <w:div w:id="406416929">
          <w:marLeft w:val="0"/>
          <w:marRight w:val="0"/>
          <w:marTop w:val="0"/>
          <w:marBottom w:val="0"/>
          <w:divBdr>
            <w:top w:val="none" w:sz="0" w:space="0" w:color="auto"/>
            <w:left w:val="none" w:sz="0" w:space="0" w:color="auto"/>
            <w:bottom w:val="none" w:sz="0" w:space="0" w:color="auto"/>
            <w:right w:val="none" w:sz="0" w:space="0" w:color="auto"/>
          </w:divBdr>
        </w:div>
        <w:div w:id="79302856">
          <w:marLeft w:val="0"/>
          <w:marRight w:val="0"/>
          <w:marTop w:val="0"/>
          <w:marBottom w:val="0"/>
          <w:divBdr>
            <w:top w:val="none" w:sz="0" w:space="0" w:color="auto"/>
            <w:left w:val="none" w:sz="0" w:space="0" w:color="auto"/>
            <w:bottom w:val="none" w:sz="0" w:space="0" w:color="auto"/>
            <w:right w:val="none" w:sz="0" w:space="0" w:color="auto"/>
          </w:divBdr>
        </w:div>
        <w:div w:id="1718817111">
          <w:marLeft w:val="0"/>
          <w:marRight w:val="0"/>
          <w:marTop w:val="0"/>
          <w:marBottom w:val="0"/>
          <w:divBdr>
            <w:top w:val="none" w:sz="0" w:space="0" w:color="auto"/>
            <w:left w:val="none" w:sz="0" w:space="0" w:color="auto"/>
            <w:bottom w:val="none" w:sz="0" w:space="0" w:color="auto"/>
            <w:right w:val="none" w:sz="0" w:space="0" w:color="auto"/>
          </w:divBdr>
        </w:div>
        <w:div w:id="1425610177">
          <w:marLeft w:val="0"/>
          <w:marRight w:val="0"/>
          <w:marTop w:val="0"/>
          <w:marBottom w:val="0"/>
          <w:divBdr>
            <w:top w:val="none" w:sz="0" w:space="0" w:color="auto"/>
            <w:left w:val="none" w:sz="0" w:space="0" w:color="auto"/>
            <w:bottom w:val="none" w:sz="0" w:space="0" w:color="auto"/>
            <w:right w:val="none" w:sz="0" w:space="0" w:color="auto"/>
          </w:divBdr>
        </w:div>
        <w:div w:id="285890636">
          <w:marLeft w:val="0"/>
          <w:marRight w:val="0"/>
          <w:marTop w:val="0"/>
          <w:marBottom w:val="0"/>
          <w:divBdr>
            <w:top w:val="none" w:sz="0" w:space="0" w:color="auto"/>
            <w:left w:val="none" w:sz="0" w:space="0" w:color="auto"/>
            <w:bottom w:val="none" w:sz="0" w:space="0" w:color="auto"/>
            <w:right w:val="none" w:sz="0" w:space="0" w:color="auto"/>
          </w:divBdr>
        </w:div>
        <w:div w:id="89618267">
          <w:marLeft w:val="0"/>
          <w:marRight w:val="0"/>
          <w:marTop w:val="0"/>
          <w:marBottom w:val="0"/>
          <w:divBdr>
            <w:top w:val="none" w:sz="0" w:space="0" w:color="auto"/>
            <w:left w:val="none" w:sz="0" w:space="0" w:color="auto"/>
            <w:bottom w:val="none" w:sz="0" w:space="0" w:color="auto"/>
            <w:right w:val="none" w:sz="0" w:space="0" w:color="auto"/>
          </w:divBdr>
        </w:div>
        <w:div w:id="284040821">
          <w:marLeft w:val="0"/>
          <w:marRight w:val="0"/>
          <w:marTop w:val="0"/>
          <w:marBottom w:val="0"/>
          <w:divBdr>
            <w:top w:val="none" w:sz="0" w:space="0" w:color="auto"/>
            <w:left w:val="none" w:sz="0" w:space="0" w:color="auto"/>
            <w:bottom w:val="none" w:sz="0" w:space="0" w:color="auto"/>
            <w:right w:val="none" w:sz="0" w:space="0" w:color="auto"/>
          </w:divBdr>
        </w:div>
        <w:div w:id="299653940">
          <w:marLeft w:val="0"/>
          <w:marRight w:val="0"/>
          <w:marTop w:val="0"/>
          <w:marBottom w:val="0"/>
          <w:divBdr>
            <w:top w:val="none" w:sz="0" w:space="0" w:color="auto"/>
            <w:left w:val="none" w:sz="0" w:space="0" w:color="auto"/>
            <w:bottom w:val="none" w:sz="0" w:space="0" w:color="auto"/>
            <w:right w:val="none" w:sz="0" w:space="0" w:color="auto"/>
          </w:divBdr>
        </w:div>
        <w:div w:id="166288924">
          <w:marLeft w:val="0"/>
          <w:marRight w:val="0"/>
          <w:marTop w:val="0"/>
          <w:marBottom w:val="0"/>
          <w:divBdr>
            <w:top w:val="none" w:sz="0" w:space="0" w:color="auto"/>
            <w:left w:val="none" w:sz="0" w:space="0" w:color="auto"/>
            <w:bottom w:val="none" w:sz="0" w:space="0" w:color="auto"/>
            <w:right w:val="none" w:sz="0" w:space="0" w:color="auto"/>
          </w:divBdr>
        </w:div>
      </w:divsChild>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9832">
      <w:bodyDiv w:val="1"/>
      <w:marLeft w:val="0"/>
      <w:marRight w:val="0"/>
      <w:marTop w:val="0"/>
      <w:marBottom w:val="0"/>
      <w:divBdr>
        <w:top w:val="none" w:sz="0" w:space="0" w:color="auto"/>
        <w:left w:val="none" w:sz="0" w:space="0" w:color="auto"/>
        <w:bottom w:val="none" w:sz="0" w:space="0" w:color="auto"/>
        <w:right w:val="none" w:sz="0" w:space="0" w:color="auto"/>
      </w:divBdr>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7774.1E4A6C9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2023-11-17T06:10:00Z</dcterms:created>
  <dcterms:modified xsi:type="dcterms:W3CDTF">2023-11-19T15:22:00Z</dcterms:modified>
</cp:coreProperties>
</file>