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CA50F" w14:textId="17E7340C" w:rsidR="00C41D23" w:rsidRPr="00C41D23" w:rsidRDefault="00C41D23" w:rsidP="00C41D23">
      <w:pPr>
        <w:rPr>
          <w:rFonts w:ascii="Courier New" w:hAnsi="Courier New"/>
          <w:color w:val="FF0000"/>
          <w:sz w:val="24"/>
          <w:u w:val="single"/>
          <w:lang w:eastAsia="en-ZA"/>
        </w:rPr>
      </w:pPr>
      <w:r>
        <w:rPr>
          <w:rFonts w:cs="Arial"/>
          <w:color w:val="FF0000"/>
        </w:rPr>
        <w:t>Editorial note: Certain information has been redacted from this judgment in compliance with the law.</w:t>
      </w:r>
    </w:p>
    <w:p w14:paraId="6D981421" w14:textId="4AA9EE6D" w:rsidR="006C43D7" w:rsidRPr="000F7813" w:rsidRDefault="00AD3D5D" w:rsidP="00C74E97">
      <w:pPr>
        <w:spacing w:after="120" w:line="360" w:lineRule="auto"/>
        <w:jc w:val="center"/>
        <w:rPr>
          <w:rFonts w:cs="Arial"/>
          <w:b/>
          <w:bCs/>
          <w:szCs w:val="22"/>
        </w:rPr>
      </w:pPr>
      <w:r w:rsidRPr="000F7813">
        <w:rPr>
          <w:rFonts w:cs="Arial"/>
          <w:b/>
          <w:bCs/>
          <w:szCs w:val="22"/>
        </w:rPr>
        <w:t xml:space="preserve"> </w:t>
      </w:r>
      <w:r w:rsidR="006C43D7" w:rsidRPr="000F7813">
        <w:rPr>
          <w:rFonts w:cs="Arial"/>
          <w:b/>
          <w:bCs/>
          <w:noProof/>
          <w:szCs w:val="22"/>
          <w:lang w:eastAsia="en-ZA"/>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6133950C" w:rsidR="006C43D7" w:rsidRPr="00CA757B" w:rsidRDefault="006C43D7" w:rsidP="00C74E97">
      <w:pPr>
        <w:spacing w:line="360" w:lineRule="auto"/>
        <w:jc w:val="center"/>
        <w:rPr>
          <w:rFonts w:cs="Arial"/>
          <w:b/>
          <w:szCs w:val="22"/>
        </w:rPr>
      </w:pPr>
      <w:r w:rsidRPr="00CA757B">
        <w:rPr>
          <w:rFonts w:cs="Arial"/>
          <w:b/>
          <w:szCs w:val="22"/>
        </w:rPr>
        <w:t xml:space="preserve">IN THE HIGH COURT OF SOUTH AFRICA, </w:t>
      </w:r>
    </w:p>
    <w:p w14:paraId="566C4D1B" w14:textId="77777777" w:rsidR="006C43D7" w:rsidRPr="00CA757B" w:rsidRDefault="006C43D7" w:rsidP="00C74E97">
      <w:pPr>
        <w:spacing w:line="360" w:lineRule="auto"/>
        <w:jc w:val="center"/>
        <w:rPr>
          <w:rFonts w:cs="Arial"/>
          <w:b/>
          <w:szCs w:val="22"/>
        </w:rPr>
      </w:pPr>
      <w:r w:rsidRPr="00CA757B">
        <w:rPr>
          <w:rFonts w:cs="Arial"/>
          <w:b/>
          <w:szCs w:val="22"/>
        </w:rPr>
        <w:t>GAUTENG DIVISION, JOHANNESBURG</w:t>
      </w:r>
    </w:p>
    <w:p w14:paraId="13D6E83E" w14:textId="77777777" w:rsidR="006C43D7" w:rsidRPr="00CA757B" w:rsidRDefault="006C43D7" w:rsidP="00C74E97">
      <w:pPr>
        <w:spacing w:line="360" w:lineRule="auto"/>
        <w:jc w:val="both"/>
        <w:rPr>
          <w:rFonts w:cs="Arial"/>
          <w:b/>
          <w:szCs w:val="22"/>
        </w:rPr>
      </w:pPr>
    </w:p>
    <w:p w14:paraId="0AF8DD38" w14:textId="66631AF6" w:rsidR="006C43D7" w:rsidRDefault="00F913C7" w:rsidP="00D9135E">
      <w:pPr>
        <w:jc w:val="right"/>
        <w:rPr>
          <w:rFonts w:cs="Arial"/>
          <w:b/>
          <w:szCs w:val="22"/>
        </w:rPr>
      </w:pPr>
      <w:r w:rsidRPr="00CA757B">
        <w:rPr>
          <w:rFonts w:cs="Arial"/>
          <w:b/>
          <w:szCs w:val="22"/>
        </w:rPr>
        <w:t xml:space="preserve">CASE NO: </w:t>
      </w:r>
      <w:r w:rsidR="00C56E55" w:rsidRPr="00CA757B">
        <w:rPr>
          <w:rFonts w:cs="Arial"/>
          <w:noProof/>
          <w:szCs w:val="22"/>
          <w:lang w:eastAsia="en-ZA"/>
        </w:rPr>
        <mc:AlternateContent>
          <mc:Choice Requires="wps">
            <w:drawing>
              <wp:anchor distT="0" distB="0" distL="114300" distR="114300" simplePos="0" relativeHeight="251659264" behindDoc="0" locked="0" layoutInCell="1" allowOverlap="1" wp14:anchorId="15401FE8" wp14:editId="56542595">
                <wp:simplePos x="0" y="0"/>
                <wp:positionH relativeFrom="margin">
                  <wp:align>left</wp:align>
                </wp:positionH>
                <wp:positionV relativeFrom="paragraph">
                  <wp:posOffset>49530</wp:posOffset>
                </wp:positionV>
                <wp:extent cx="3314700" cy="1592580"/>
                <wp:effectExtent l="0" t="0" r="0" b="7620"/>
                <wp:wrapNone/>
                <wp:docPr id="119049700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893C08" w:rsidRPr="00913F95" w:rsidRDefault="00893C08" w:rsidP="006C43D7">
                            <w:pPr>
                              <w:jc w:val="center"/>
                              <w:rPr>
                                <w:rFonts w:ascii="Century Gothic" w:hAnsi="Century Gothic"/>
                                <w:b/>
                                <w:sz w:val="20"/>
                                <w:szCs w:val="20"/>
                              </w:rPr>
                            </w:pPr>
                          </w:p>
                          <w:p w14:paraId="01FDAE28" w14:textId="29573B29" w:rsidR="00893C08" w:rsidRDefault="00687AC8" w:rsidP="00687AC8">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893C08" w:rsidRPr="001D3CC2">
                              <w:rPr>
                                <w:rFonts w:ascii="Century Gothic" w:hAnsi="Century Gothic"/>
                                <w:sz w:val="20"/>
                                <w:szCs w:val="20"/>
                              </w:rPr>
                              <w:t xml:space="preserve">REPORTABLE: </w:t>
                            </w:r>
                            <w:r w:rsidR="00413977">
                              <w:rPr>
                                <w:rFonts w:ascii="Century Gothic" w:hAnsi="Century Gothic"/>
                                <w:sz w:val="20"/>
                                <w:szCs w:val="20"/>
                              </w:rPr>
                              <w:t>NO</w:t>
                            </w:r>
                          </w:p>
                          <w:p w14:paraId="3A4C7296" w14:textId="27274A39" w:rsidR="00893C08" w:rsidRDefault="00687AC8" w:rsidP="00687AC8">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893C08" w:rsidRPr="001D3CC2">
                              <w:rPr>
                                <w:rFonts w:ascii="Century Gothic" w:hAnsi="Century Gothic"/>
                                <w:sz w:val="20"/>
                                <w:szCs w:val="20"/>
                              </w:rPr>
                              <w:t>OF INTEREST TO OTHER JUDGES</w:t>
                            </w:r>
                            <w:r w:rsidR="00893C08">
                              <w:rPr>
                                <w:rFonts w:ascii="Century Gothic" w:hAnsi="Century Gothic"/>
                                <w:sz w:val="20"/>
                                <w:szCs w:val="20"/>
                              </w:rPr>
                              <w:t xml:space="preserve">: </w:t>
                            </w:r>
                            <w:r w:rsidR="00413977">
                              <w:rPr>
                                <w:rFonts w:ascii="Century Gothic" w:hAnsi="Century Gothic"/>
                                <w:sz w:val="20"/>
                                <w:szCs w:val="20"/>
                              </w:rPr>
                              <w:t>NO</w:t>
                            </w:r>
                          </w:p>
                          <w:p w14:paraId="1545E4B8" w14:textId="74255A93" w:rsidR="00CA0F98" w:rsidRPr="001D3CC2" w:rsidRDefault="00CA0F98" w:rsidP="004479C3">
                            <w:pPr>
                              <w:rPr>
                                <w:rFonts w:ascii="Century Gothic" w:hAnsi="Century Gothic"/>
                                <w:sz w:val="20"/>
                                <w:szCs w:val="20"/>
                              </w:rPr>
                            </w:pPr>
                          </w:p>
                          <w:p w14:paraId="21D4A71B" w14:textId="5B58BFC8" w:rsidR="00893C08" w:rsidRPr="00913F95" w:rsidRDefault="00893C08" w:rsidP="001D3CC2">
                            <w:pPr>
                              <w:ind w:left="180"/>
                              <w:rPr>
                                <w:rFonts w:ascii="Century Gothic" w:hAnsi="Century Gothic"/>
                                <w:sz w:val="20"/>
                                <w:szCs w:val="20"/>
                              </w:rPr>
                            </w:pPr>
                          </w:p>
                          <w:p w14:paraId="761B7CA4" w14:textId="77777777" w:rsidR="00893C08" w:rsidRDefault="00893C08" w:rsidP="006C43D7">
                            <w:pPr>
                              <w:rPr>
                                <w:rFonts w:ascii="Century Gothic" w:hAnsi="Century Gothic"/>
                                <w:b/>
                                <w:sz w:val="18"/>
                                <w:szCs w:val="18"/>
                              </w:rPr>
                            </w:pPr>
                          </w:p>
                          <w:p w14:paraId="0EC4BA5C" w14:textId="61945B0D" w:rsidR="00893C08" w:rsidRPr="001D3CC2" w:rsidRDefault="00893C08"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893C08" w:rsidRPr="00084341" w:rsidRDefault="00893C08"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01FE8"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8EMwIAAFoEAAAOAAAAZHJzL2Uyb0RvYy54bWysVNtu2zAMfR+wfxD0vthOkzUx4hRdugwD&#10;ugvQ7gNkWY6FSaImKbGzry8lp1l2exnmB0EUyUPykPTqZtCKHITzEkxFi0lOiTAcGml2Ff3yuH21&#10;oMQHZhqmwIiKHoWnN+uXL1a9LcUUOlCNcARBjC97W9EuBFtmmeed0MxPwAqDyhacZgFFt8sax3pE&#10;1yqb5vnrrAfXWAdceI+vd6OSrhN+2woePrWtF4GoimJuIZ0unXU8s/WKlTvHbCf5KQ32D1loJg0G&#10;PUPdscDI3snfoLTkDjy0YcJBZ9C2kotUA1ZT5L9U89AxK1ItSI63Z5r8/4PlHw+fHZEN9q5Y5rPl&#10;dZ4XlBimsVePYgjkDQykiDT11pdo/WDRPgz4jC6pZG/vgX/1xMCmY2Ynbp2DvhOswTSTZ3bhOuL4&#10;CFL3H6DBMGwfIAENrdORQ2SFIDq263huUUyF4+PVVTHDHCnhqCvmy+l8kZqYsfLZ3Tof3gnQJF4q&#10;6nAGEjw73PuAhaDps0mM5kHJZiuVSoLb1RvlyIHhvGzTF2tHl5/MlCF9RZfz6Xxk4K8Qefr+BKFl&#10;wMFXUld0cTZiZeTtrWnSWAYm1XjH+MpgGpHIyN3IYhjq4dSYGpojUupgHHBcSLx04L5T0uNwV9R/&#10;2zMnKFHvDbZlWcxmcRuSMJtfT1Fwl5r6UsMMR6iKBkrG6yaMG7S3Tu46jDQOgoFbbGUrE8kx1TGr&#10;U944wInI07LFDbmUk9WPX8L6CQAA//8DAFBLAwQUAAYACAAAACEA3l5cv9wAAAAGAQAADwAAAGRy&#10;cy9kb3ducmV2LnhtbEyPzU7DMBCE70i8g7VIXBB1CDQNIZsKIYHgBgXB1Y23SYR/gu2m4e1ZTnAc&#10;zWjmm3o9WyMmCnHwDuFikYEg13o9uA7h7fX+vAQRk3JaGe8I4ZsirJvjo1pV2h/cC02b1AkucbFS&#10;CH1KYyVlbHuyKi78SI69nQ9WJZahkzqoA5dbI/MsK6RVg+OFXo1011P7udlbhPLqcfqIT5fP722x&#10;M9fpbDU9fAXE05P59gZEojn9heEXn9GhYaat3zsdhUHgIwlhxfhsLvOc9RYhX5YFyKaW//GbHwAA&#10;AP//AwBQSwECLQAUAAYACAAAACEAtoM4kv4AAADhAQAAEwAAAAAAAAAAAAAAAAAAAAAAW0NvbnRl&#10;bnRfVHlwZXNdLnhtbFBLAQItABQABgAIAAAAIQA4/SH/1gAAAJQBAAALAAAAAAAAAAAAAAAAAC8B&#10;AABfcmVscy8ucmVsc1BLAQItABQABgAIAAAAIQCRUL8EMwIAAFoEAAAOAAAAAAAAAAAAAAAAAC4C&#10;AABkcnMvZTJvRG9jLnhtbFBLAQItABQABgAIAAAAIQDeXly/3AAAAAYBAAAPAAAAAAAAAAAAAAAA&#10;AI0EAABkcnMvZG93bnJldi54bWxQSwUGAAAAAAQABADzAAAAlgUAAAAA&#10;">
                <v:textbox>
                  <w:txbxContent>
                    <w:p w14:paraId="0EA4B470" w14:textId="77777777" w:rsidR="00893C08" w:rsidRPr="00913F95" w:rsidRDefault="00893C08" w:rsidP="006C43D7">
                      <w:pPr>
                        <w:jc w:val="center"/>
                        <w:rPr>
                          <w:rFonts w:ascii="Century Gothic" w:hAnsi="Century Gothic"/>
                          <w:b/>
                          <w:sz w:val="20"/>
                          <w:szCs w:val="20"/>
                        </w:rPr>
                      </w:pPr>
                    </w:p>
                    <w:p w14:paraId="01FDAE28" w14:textId="29573B29" w:rsidR="00893C08" w:rsidRDefault="00687AC8" w:rsidP="00687AC8">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893C08" w:rsidRPr="001D3CC2">
                        <w:rPr>
                          <w:rFonts w:ascii="Century Gothic" w:hAnsi="Century Gothic"/>
                          <w:sz w:val="20"/>
                          <w:szCs w:val="20"/>
                        </w:rPr>
                        <w:t xml:space="preserve">REPORTABLE: </w:t>
                      </w:r>
                      <w:r w:rsidR="00413977">
                        <w:rPr>
                          <w:rFonts w:ascii="Century Gothic" w:hAnsi="Century Gothic"/>
                          <w:sz w:val="20"/>
                          <w:szCs w:val="20"/>
                        </w:rPr>
                        <w:t>NO</w:t>
                      </w:r>
                    </w:p>
                    <w:p w14:paraId="3A4C7296" w14:textId="27274A39" w:rsidR="00893C08" w:rsidRDefault="00687AC8" w:rsidP="00687AC8">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893C08" w:rsidRPr="001D3CC2">
                        <w:rPr>
                          <w:rFonts w:ascii="Century Gothic" w:hAnsi="Century Gothic"/>
                          <w:sz w:val="20"/>
                          <w:szCs w:val="20"/>
                        </w:rPr>
                        <w:t>OF INTEREST TO OTHER JUDGES</w:t>
                      </w:r>
                      <w:r w:rsidR="00893C08">
                        <w:rPr>
                          <w:rFonts w:ascii="Century Gothic" w:hAnsi="Century Gothic"/>
                          <w:sz w:val="20"/>
                          <w:szCs w:val="20"/>
                        </w:rPr>
                        <w:t xml:space="preserve">: </w:t>
                      </w:r>
                      <w:r w:rsidR="00413977">
                        <w:rPr>
                          <w:rFonts w:ascii="Century Gothic" w:hAnsi="Century Gothic"/>
                          <w:sz w:val="20"/>
                          <w:szCs w:val="20"/>
                        </w:rPr>
                        <w:t>NO</w:t>
                      </w:r>
                    </w:p>
                    <w:p w14:paraId="1545E4B8" w14:textId="74255A93" w:rsidR="00CA0F98" w:rsidRPr="001D3CC2" w:rsidRDefault="00CA0F98" w:rsidP="004479C3">
                      <w:pPr>
                        <w:rPr>
                          <w:rFonts w:ascii="Century Gothic" w:hAnsi="Century Gothic"/>
                          <w:sz w:val="20"/>
                          <w:szCs w:val="20"/>
                        </w:rPr>
                      </w:pPr>
                    </w:p>
                    <w:p w14:paraId="21D4A71B" w14:textId="5B58BFC8" w:rsidR="00893C08" w:rsidRPr="00913F95" w:rsidRDefault="00893C08" w:rsidP="001D3CC2">
                      <w:pPr>
                        <w:ind w:left="180"/>
                        <w:rPr>
                          <w:rFonts w:ascii="Century Gothic" w:hAnsi="Century Gothic"/>
                          <w:sz w:val="20"/>
                          <w:szCs w:val="20"/>
                        </w:rPr>
                      </w:pPr>
                    </w:p>
                    <w:p w14:paraId="761B7CA4" w14:textId="77777777" w:rsidR="00893C08" w:rsidRDefault="00893C08" w:rsidP="006C43D7">
                      <w:pPr>
                        <w:rPr>
                          <w:rFonts w:ascii="Century Gothic" w:hAnsi="Century Gothic"/>
                          <w:b/>
                          <w:sz w:val="18"/>
                          <w:szCs w:val="18"/>
                        </w:rPr>
                      </w:pPr>
                    </w:p>
                    <w:p w14:paraId="0EC4BA5C" w14:textId="61945B0D" w:rsidR="00893C08" w:rsidRPr="001D3CC2" w:rsidRDefault="00893C08"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893C08" w:rsidRPr="00084341" w:rsidRDefault="00893C08"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r w:rsidR="00D9135E">
        <w:rPr>
          <w:rFonts w:cs="Arial"/>
          <w:b/>
          <w:szCs w:val="22"/>
        </w:rPr>
        <w:t xml:space="preserve">A6270 – </w:t>
      </w:r>
      <w:r w:rsidR="00236E47" w:rsidRPr="00CA757B">
        <w:rPr>
          <w:rFonts w:cs="Arial"/>
          <w:b/>
          <w:szCs w:val="22"/>
        </w:rPr>
        <w:t>202</w:t>
      </w:r>
      <w:r w:rsidR="00515FD8" w:rsidRPr="00CA757B">
        <w:rPr>
          <w:rFonts w:cs="Arial"/>
          <w:b/>
          <w:szCs w:val="22"/>
        </w:rPr>
        <w:t>3</w:t>
      </w:r>
    </w:p>
    <w:p w14:paraId="2019CB5E" w14:textId="77777777" w:rsidR="001074E0" w:rsidRDefault="001074E0" w:rsidP="00D9135E">
      <w:pPr>
        <w:jc w:val="right"/>
        <w:rPr>
          <w:rFonts w:cs="Arial"/>
          <w:b/>
          <w:szCs w:val="22"/>
        </w:rPr>
      </w:pPr>
      <w:r>
        <w:rPr>
          <w:rFonts w:cs="Arial"/>
          <w:b/>
          <w:szCs w:val="22"/>
        </w:rPr>
        <w:t>KEMPTON PARK</w:t>
      </w:r>
    </w:p>
    <w:p w14:paraId="702A90A0" w14:textId="78492C1C" w:rsidR="00D9135E" w:rsidRDefault="001074E0" w:rsidP="00D9135E">
      <w:pPr>
        <w:jc w:val="right"/>
        <w:rPr>
          <w:rFonts w:cs="Arial"/>
          <w:b/>
          <w:szCs w:val="22"/>
        </w:rPr>
      </w:pPr>
      <w:r>
        <w:rPr>
          <w:rFonts w:cs="Arial"/>
          <w:b/>
          <w:szCs w:val="22"/>
        </w:rPr>
        <w:t xml:space="preserve">MAGISTRATES’ </w:t>
      </w:r>
      <w:r w:rsidR="00D9135E">
        <w:rPr>
          <w:rFonts w:cs="Arial"/>
          <w:b/>
          <w:szCs w:val="22"/>
        </w:rPr>
        <w:t>COURT</w:t>
      </w:r>
    </w:p>
    <w:p w14:paraId="17A6FB2B" w14:textId="29BA6E6A" w:rsidR="00D9135E" w:rsidRDefault="00D9135E" w:rsidP="00D9135E">
      <w:pPr>
        <w:jc w:val="right"/>
        <w:rPr>
          <w:rFonts w:cs="Arial"/>
          <w:b/>
          <w:szCs w:val="22"/>
        </w:rPr>
      </w:pPr>
      <w:r>
        <w:rPr>
          <w:rFonts w:cs="Arial"/>
          <w:b/>
          <w:szCs w:val="22"/>
        </w:rPr>
        <w:t>CASE NUMBER 705/2021</w:t>
      </w:r>
    </w:p>
    <w:p w14:paraId="62A726F4" w14:textId="080E0ECF" w:rsidR="00D9135E" w:rsidRDefault="00D9135E" w:rsidP="00D9135E">
      <w:pPr>
        <w:jc w:val="right"/>
        <w:rPr>
          <w:rFonts w:cs="Arial"/>
          <w:b/>
          <w:szCs w:val="22"/>
        </w:rPr>
      </w:pPr>
      <w:r>
        <w:rPr>
          <w:rFonts w:cs="Arial"/>
          <w:b/>
          <w:szCs w:val="22"/>
        </w:rPr>
        <w:t>MAINTENANCE REFERENCE</w:t>
      </w:r>
    </w:p>
    <w:p w14:paraId="3FB01572" w14:textId="77777777" w:rsidR="00D9135E" w:rsidRDefault="00D9135E" w:rsidP="00D9135E">
      <w:pPr>
        <w:jc w:val="right"/>
        <w:rPr>
          <w:rFonts w:cs="Arial"/>
          <w:b/>
          <w:szCs w:val="22"/>
        </w:rPr>
      </w:pPr>
      <w:r>
        <w:rPr>
          <w:rFonts w:cs="Arial"/>
          <w:b/>
          <w:szCs w:val="22"/>
        </w:rPr>
        <w:t xml:space="preserve">NUMBER </w:t>
      </w:r>
    </w:p>
    <w:p w14:paraId="1AA98C30" w14:textId="623FABD6" w:rsidR="00D9135E" w:rsidRPr="00CA757B" w:rsidRDefault="00D9135E" w:rsidP="00D9135E">
      <w:pPr>
        <w:jc w:val="right"/>
        <w:rPr>
          <w:rFonts w:cs="Arial"/>
          <w:b/>
          <w:szCs w:val="22"/>
        </w:rPr>
      </w:pPr>
      <w:r>
        <w:rPr>
          <w:rFonts w:cs="Arial"/>
          <w:b/>
          <w:szCs w:val="22"/>
        </w:rPr>
        <w:t>1042021MA1000705</w:t>
      </w:r>
    </w:p>
    <w:p w14:paraId="084B5ECD" w14:textId="77777777" w:rsidR="006C43D7" w:rsidRPr="00CA757B" w:rsidRDefault="006C43D7" w:rsidP="00C74E97">
      <w:pPr>
        <w:spacing w:line="360" w:lineRule="auto"/>
        <w:jc w:val="both"/>
        <w:rPr>
          <w:rFonts w:cs="Arial"/>
          <w:szCs w:val="22"/>
        </w:rPr>
      </w:pPr>
    </w:p>
    <w:p w14:paraId="4E808D74" w14:textId="77777777" w:rsidR="006C43D7" w:rsidRPr="00CA757B" w:rsidRDefault="006C43D7" w:rsidP="00C74E97">
      <w:pPr>
        <w:spacing w:line="360" w:lineRule="auto"/>
        <w:jc w:val="both"/>
        <w:rPr>
          <w:rFonts w:cs="Arial"/>
          <w:szCs w:val="22"/>
        </w:rPr>
      </w:pPr>
    </w:p>
    <w:p w14:paraId="34BF70B6" w14:textId="77777777" w:rsidR="006C43D7" w:rsidRPr="00CA757B" w:rsidRDefault="006C43D7" w:rsidP="00C74E97">
      <w:pPr>
        <w:spacing w:line="360" w:lineRule="auto"/>
        <w:jc w:val="both"/>
        <w:rPr>
          <w:rFonts w:cs="Arial"/>
          <w:szCs w:val="22"/>
        </w:rPr>
      </w:pPr>
    </w:p>
    <w:p w14:paraId="2F53BA3A" w14:textId="7CE26CA8" w:rsidR="006C43D7" w:rsidRPr="00CA757B" w:rsidRDefault="00C56E55" w:rsidP="00C74E97">
      <w:pPr>
        <w:spacing w:line="360" w:lineRule="auto"/>
        <w:jc w:val="both"/>
        <w:rPr>
          <w:rFonts w:cs="Arial"/>
          <w:szCs w:val="22"/>
        </w:rPr>
      </w:pPr>
      <w:r w:rsidRPr="00CA757B">
        <w:rPr>
          <w:rFonts w:cs="Arial"/>
          <w:szCs w:val="22"/>
        </w:rPr>
        <w:t xml:space="preserve">                        </w:t>
      </w:r>
    </w:p>
    <w:p w14:paraId="3A1C212E" w14:textId="77777777" w:rsidR="006C43D7" w:rsidRPr="00CA757B" w:rsidRDefault="006C43D7" w:rsidP="00C74E97">
      <w:pPr>
        <w:spacing w:line="360" w:lineRule="auto"/>
        <w:jc w:val="both"/>
        <w:rPr>
          <w:rFonts w:cs="Arial"/>
          <w:szCs w:val="22"/>
        </w:rPr>
      </w:pPr>
    </w:p>
    <w:p w14:paraId="04919B1B" w14:textId="77777777" w:rsidR="001D3CC2" w:rsidRPr="00CA757B" w:rsidRDefault="001D3CC2" w:rsidP="00C74E97">
      <w:pPr>
        <w:spacing w:line="360" w:lineRule="auto"/>
        <w:jc w:val="both"/>
        <w:rPr>
          <w:rFonts w:cs="Arial"/>
          <w:szCs w:val="22"/>
        </w:rPr>
      </w:pPr>
    </w:p>
    <w:p w14:paraId="045D3852" w14:textId="77777777" w:rsidR="00E57446" w:rsidRPr="00CA757B" w:rsidRDefault="00E57446" w:rsidP="00C74E97">
      <w:pPr>
        <w:spacing w:line="360" w:lineRule="auto"/>
        <w:jc w:val="both"/>
        <w:rPr>
          <w:rFonts w:cs="Arial"/>
          <w:szCs w:val="22"/>
        </w:rPr>
      </w:pPr>
    </w:p>
    <w:p w14:paraId="2804C32A" w14:textId="6C8D50AF" w:rsidR="00E57446" w:rsidRDefault="00E57446" w:rsidP="00C74E97">
      <w:pPr>
        <w:spacing w:line="360" w:lineRule="auto"/>
        <w:jc w:val="both"/>
        <w:rPr>
          <w:rFonts w:cs="Arial"/>
          <w:szCs w:val="22"/>
        </w:rPr>
      </w:pPr>
      <w:r w:rsidRPr="00CA757B">
        <w:rPr>
          <w:rFonts w:cs="Arial"/>
          <w:szCs w:val="22"/>
        </w:rPr>
        <w:t>In the application by</w:t>
      </w:r>
    </w:p>
    <w:p w14:paraId="6CF7E04D" w14:textId="77777777" w:rsidR="00227580" w:rsidRPr="00CA757B" w:rsidRDefault="00227580" w:rsidP="00834B62">
      <w:pPr>
        <w:spacing w:after="120"/>
        <w:jc w:val="both"/>
        <w:rPr>
          <w:rFonts w:cs="Arial"/>
          <w:szCs w:val="22"/>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3161"/>
      </w:tblGrid>
      <w:tr w:rsidR="00227580" w:rsidRPr="00D73FA7" w14:paraId="3D016594" w14:textId="77777777" w:rsidTr="00227580">
        <w:tc>
          <w:tcPr>
            <w:tcW w:w="5108" w:type="dxa"/>
          </w:tcPr>
          <w:p w14:paraId="2ADC0252" w14:textId="40D12521" w:rsidR="00227580" w:rsidRPr="00227580" w:rsidRDefault="00C41D23" w:rsidP="00C41D23">
            <w:pPr>
              <w:spacing w:after="120"/>
              <w:ind w:right="57"/>
              <w:rPr>
                <w:rFonts w:cs="Arial"/>
                <w:b/>
                <w:bCs/>
                <w:color w:val="000000" w:themeColor="text1"/>
                <w:szCs w:val="22"/>
              </w:rPr>
            </w:pPr>
            <w:r>
              <w:rPr>
                <w:rFonts w:cs="Arial"/>
                <w:b/>
                <w:bCs/>
                <w:color w:val="000000" w:themeColor="text1"/>
                <w:szCs w:val="22"/>
              </w:rPr>
              <w:t>R[…]</w:t>
            </w:r>
            <w:r w:rsidR="00D9135E">
              <w:rPr>
                <w:rFonts w:cs="Arial"/>
                <w:b/>
                <w:bCs/>
                <w:color w:val="000000" w:themeColor="text1"/>
                <w:szCs w:val="22"/>
              </w:rPr>
              <w:t>, O</w:t>
            </w:r>
            <w:r>
              <w:rPr>
                <w:rFonts w:cs="Arial"/>
                <w:b/>
                <w:bCs/>
                <w:color w:val="000000" w:themeColor="text1"/>
                <w:szCs w:val="22"/>
              </w:rPr>
              <w:t>[…]</w:t>
            </w:r>
          </w:p>
        </w:tc>
        <w:tc>
          <w:tcPr>
            <w:tcW w:w="3161" w:type="dxa"/>
          </w:tcPr>
          <w:p w14:paraId="5551C50D" w14:textId="227A21CD" w:rsidR="00227580" w:rsidRPr="00227580" w:rsidRDefault="00D9135E" w:rsidP="00834B62">
            <w:pPr>
              <w:spacing w:after="120"/>
              <w:ind w:right="57"/>
              <w:jc w:val="right"/>
              <w:rPr>
                <w:rFonts w:cs="Arial"/>
                <w:b/>
                <w:bCs/>
                <w:color w:val="000000" w:themeColor="text1"/>
                <w:szCs w:val="22"/>
              </w:rPr>
            </w:pPr>
            <w:r>
              <w:rPr>
                <w:rFonts w:cs="Arial"/>
                <w:b/>
                <w:bCs/>
                <w:color w:val="000000" w:themeColor="text1"/>
                <w:szCs w:val="22"/>
              </w:rPr>
              <w:t>APPELLANT</w:t>
            </w:r>
          </w:p>
        </w:tc>
      </w:tr>
      <w:tr w:rsidR="00227580" w:rsidRPr="00D73FA7" w14:paraId="4B67EB27" w14:textId="77777777" w:rsidTr="00227580">
        <w:tc>
          <w:tcPr>
            <w:tcW w:w="5108" w:type="dxa"/>
          </w:tcPr>
          <w:p w14:paraId="090D65B8" w14:textId="77777777" w:rsidR="00227580" w:rsidRPr="00227580" w:rsidRDefault="00227580" w:rsidP="00834B62">
            <w:pPr>
              <w:spacing w:after="120"/>
              <w:ind w:right="57"/>
              <w:rPr>
                <w:rFonts w:cs="Arial"/>
                <w:b/>
                <w:bCs/>
                <w:color w:val="000000" w:themeColor="text1"/>
                <w:szCs w:val="22"/>
              </w:rPr>
            </w:pPr>
            <w:r w:rsidRPr="00227580">
              <w:rPr>
                <w:rFonts w:cs="Arial"/>
                <w:b/>
                <w:bCs/>
                <w:color w:val="000000" w:themeColor="text1"/>
                <w:szCs w:val="22"/>
              </w:rPr>
              <w:t>and</w:t>
            </w:r>
          </w:p>
        </w:tc>
        <w:tc>
          <w:tcPr>
            <w:tcW w:w="3161" w:type="dxa"/>
          </w:tcPr>
          <w:p w14:paraId="6203EB54" w14:textId="77777777" w:rsidR="00227580" w:rsidRPr="00227580" w:rsidRDefault="00227580" w:rsidP="00834B62">
            <w:pPr>
              <w:spacing w:after="120"/>
              <w:ind w:right="57"/>
              <w:jc w:val="right"/>
              <w:rPr>
                <w:rFonts w:cs="Arial"/>
                <w:b/>
                <w:bCs/>
                <w:color w:val="000000" w:themeColor="text1"/>
                <w:szCs w:val="22"/>
              </w:rPr>
            </w:pPr>
          </w:p>
        </w:tc>
      </w:tr>
      <w:tr w:rsidR="00227580" w:rsidRPr="00D73FA7" w14:paraId="5CCC9B9A" w14:textId="77777777" w:rsidTr="00227580">
        <w:tc>
          <w:tcPr>
            <w:tcW w:w="5108" w:type="dxa"/>
          </w:tcPr>
          <w:p w14:paraId="6CB517C0" w14:textId="77777777" w:rsidR="00227580" w:rsidRPr="00227580" w:rsidRDefault="00227580" w:rsidP="00834B62">
            <w:pPr>
              <w:spacing w:after="120"/>
              <w:ind w:right="57"/>
              <w:rPr>
                <w:rFonts w:cs="Arial"/>
                <w:b/>
                <w:bCs/>
                <w:color w:val="000000" w:themeColor="text1"/>
                <w:szCs w:val="22"/>
              </w:rPr>
            </w:pPr>
          </w:p>
        </w:tc>
        <w:tc>
          <w:tcPr>
            <w:tcW w:w="3161" w:type="dxa"/>
          </w:tcPr>
          <w:p w14:paraId="7A5CFFC1" w14:textId="77777777" w:rsidR="00227580" w:rsidRPr="00227580" w:rsidRDefault="00227580" w:rsidP="00834B62">
            <w:pPr>
              <w:spacing w:after="120"/>
              <w:ind w:right="57"/>
              <w:jc w:val="right"/>
              <w:rPr>
                <w:rFonts w:cs="Arial"/>
                <w:b/>
                <w:bCs/>
                <w:color w:val="000000" w:themeColor="text1"/>
                <w:szCs w:val="22"/>
              </w:rPr>
            </w:pPr>
          </w:p>
        </w:tc>
      </w:tr>
      <w:tr w:rsidR="00227580" w:rsidRPr="00D73FA7" w14:paraId="6D101B53" w14:textId="77777777" w:rsidTr="00227580">
        <w:tc>
          <w:tcPr>
            <w:tcW w:w="5108" w:type="dxa"/>
          </w:tcPr>
          <w:p w14:paraId="307A52F7" w14:textId="49854DB8" w:rsidR="00227580" w:rsidRPr="00227580" w:rsidRDefault="00D9135E" w:rsidP="00C41D23">
            <w:pPr>
              <w:spacing w:after="120"/>
              <w:ind w:right="57"/>
              <w:rPr>
                <w:rFonts w:cs="Arial"/>
                <w:b/>
                <w:bCs/>
                <w:color w:val="000000" w:themeColor="text1"/>
                <w:szCs w:val="22"/>
              </w:rPr>
            </w:pPr>
            <w:r>
              <w:rPr>
                <w:rFonts w:cs="Arial"/>
                <w:b/>
                <w:bCs/>
                <w:color w:val="000000" w:themeColor="text1"/>
                <w:szCs w:val="22"/>
              </w:rPr>
              <w:t>R</w:t>
            </w:r>
            <w:r w:rsidR="00C41D23">
              <w:rPr>
                <w:rFonts w:cs="Arial"/>
                <w:b/>
                <w:bCs/>
                <w:color w:val="000000" w:themeColor="text1"/>
                <w:szCs w:val="22"/>
              </w:rPr>
              <w:t>[…]</w:t>
            </w:r>
            <w:r>
              <w:rPr>
                <w:rFonts w:cs="Arial"/>
                <w:b/>
                <w:bCs/>
                <w:color w:val="000000" w:themeColor="text1"/>
                <w:szCs w:val="22"/>
              </w:rPr>
              <w:t>, H</w:t>
            </w:r>
            <w:r w:rsidR="00C41D23">
              <w:rPr>
                <w:rFonts w:cs="Arial"/>
                <w:b/>
                <w:bCs/>
                <w:color w:val="000000" w:themeColor="text1"/>
                <w:szCs w:val="22"/>
              </w:rPr>
              <w:t>[…]</w:t>
            </w:r>
            <w:bookmarkStart w:id="0" w:name="_GoBack"/>
            <w:bookmarkEnd w:id="0"/>
            <w:r w:rsidR="00227580" w:rsidRPr="00227580">
              <w:rPr>
                <w:rFonts w:cs="Arial"/>
                <w:b/>
                <w:bCs/>
                <w:color w:val="000000" w:themeColor="text1"/>
                <w:szCs w:val="22"/>
              </w:rPr>
              <w:t xml:space="preserve"> </w:t>
            </w:r>
          </w:p>
        </w:tc>
        <w:tc>
          <w:tcPr>
            <w:tcW w:w="3161" w:type="dxa"/>
          </w:tcPr>
          <w:p w14:paraId="5FCD9669" w14:textId="1882D062" w:rsidR="00227580" w:rsidRPr="00227580" w:rsidRDefault="00D9135E" w:rsidP="00834B62">
            <w:pPr>
              <w:spacing w:after="120"/>
              <w:ind w:right="57"/>
              <w:jc w:val="right"/>
              <w:rPr>
                <w:rFonts w:cs="Arial"/>
                <w:b/>
                <w:bCs/>
                <w:color w:val="000000" w:themeColor="text1"/>
                <w:szCs w:val="22"/>
              </w:rPr>
            </w:pPr>
            <w:r w:rsidRPr="00227580">
              <w:rPr>
                <w:rFonts w:cs="Arial"/>
                <w:b/>
                <w:bCs/>
                <w:color w:val="000000" w:themeColor="text1"/>
                <w:szCs w:val="22"/>
              </w:rPr>
              <w:t>RESPONDENT</w:t>
            </w:r>
          </w:p>
        </w:tc>
      </w:tr>
    </w:tbl>
    <w:p w14:paraId="25A9B909" w14:textId="77777777" w:rsidR="00C1108E" w:rsidRPr="00CA757B" w:rsidRDefault="00C1108E" w:rsidP="00C1108E">
      <w:pPr>
        <w:spacing w:line="360" w:lineRule="auto"/>
        <w:jc w:val="both"/>
        <w:rPr>
          <w:rFonts w:cs="Arial"/>
          <w:b/>
          <w:szCs w:val="22"/>
        </w:rPr>
      </w:pPr>
    </w:p>
    <w:p w14:paraId="67781CE9" w14:textId="77777777" w:rsidR="0023405C" w:rsidRPr="00CA757B" w:rsidRDefault="0023405C" w:rsidP="00C74E97">
      <w:pPr>
        <w:pBdr>
          <w:bottom w:val="single" w:sz="4" w:space="1" w:color="auto"/>
        </w:pBdr>
        <w:spacing w:line="360" w:lineRule="auto"/>
        <w:jc w:val="both"/>
        <w:rPr>
          <w:rFonts w:cs="Arial"/>
          <w:szCs w:val="22"/>
        </w:rPr>
      </w:pPr>
    </w:p>
    <w:p w14:paraId="58DE5549" w14:textId="77777777" w:rsidR="006C43D7" w:rsidRPr="00CA757B" w:rsidRDefault="006C43D7" w:rsidP="00C74E97">
      <w:pPr>
        <w:spacing w:line="360" w:lineRule="auto"/>
        <w:jc w:val="both"/>
        <w:rPr>
          <w:rFonts w:cs="Arial"/>
          <w:szCs w:val="22"/>
        </w:rPr>
      </w:pPr>
    </w:p>
    <w:p w14:paraId="647AB70C" w14:textId="77777777" w:rsidR="006C43D7" w:rsidRPr="00CA757B" w:rsidRDefault="006C43D7" w:rsidP="00C74E97">
      <w:pPr>
        <w:keepNext/>
        <w:spacing w:line="360" w:lineRule="auto"/>
        <w:jc w:val="center"/>
        <w:outlineLvl w:val="1"/>
        <w:rPr>
          <w:rFonts w:cs="Arial"/>
          <w:b/>
          <w:bCs/>
          <w:szCs w:val="22"/>
        </w:rPr>
      </w:pPr>
      <w:r w:rsidRPr="00CA757B">
        <w:rPr>
          <w:rFonts w:cs="Arial"/>
          <w:b/>
          <w:bCs/>
          <w:szCs w:val="22"/>
        </w:rPr>
        <w:t>JUDGMENT</w:t>
      </w:r>
    </w:p>
    <w:p w14:paraId="52CD25EB" w14:textId="77777777" w:rsidR="006C43D7" w:rsidRPr="00CA757B" w:rsidRDefault="006C43D7" w:rsidP="00C74E97">
      <w:pPr>
        <w:pBdr>
          <w:bottom w:val="single" w:sz="4" w:space="1" w:color="auto"/>
        </w:pBdr>
        <w:spacing w:line="360" w:lineRule="auto"/>
        <w:jc w:val="both"/>
        <w:rPr>
          <w:rFonts w:cs="Arial"/>
          <w:szCs w:val="22"/>
        </w:rPr>
      </w:pPr>
    </w:p>
    <w:p w14:paraId="0CA76DA1" w14:textId="77777777" w:rsidR="00DC621D" w:rsidRPr="00CA757B" w:rsidRDefault="00DC621D" w:rsidP="00C74E97">
      <w:pPr>
        <w:spacing w:line="360" w:lineRule="auto"/>
        <w:jc w:val="both"/>
        <w:rPr>
          <w:rFonts w:cs="Arial"/>
          <w:b/>
          <w:szCs w:val="22"/>
        </w:rPr>
      </w:pPr>
    </w:p>
    <w:p w14:paraId="5BD82EFE" w14:textId="13458C4E" w:rsidR="00BE6AB8" w:rsidRPr="00E40F0B" w:rsidRDefault="00C676F3" w:rsidP="00C74E97">
      <w:pPr>
        <w:spacing w:after="480" w:line="360" w:lineRule="auto"/>
        <w:jc w:val="both"/>
        <w:rPr>
          <w:rFonts w:cs="Arial"/>
          <w:b/>
          <w:szCs w:val="22"/>
        </w:rPr>
      </w:pPr>
      <w:r w:rsidRPr="00E40F0B">
        <w:rPr>
          <w:rFonts w:cs="Arial"/>
          <w:b/>
          <w:szCs w:val="22"/>
        </w:rPr>
        <w:t>MOORCROFT</w:t>
      </w:r>
      <w:r w:rsidR="006C43D7" w:rsidRPr="00E40F0B">
        <w:rPr>
          <w:rFonts w:cs="Arial"/>
          <w:b/>
          <w:szCs w:val="22"/>
        </w:rPr>
        <w:t xml:space="preserve"> AJ</w:t>
      </w:r>
      <w:r w:rsidR="003F250F">
        <w:rPr>
          <w:rFonts w:cs="Arial"/>
          <w:b/>
          <w:szCs w:val="22"/>
        </w:rPr>
        <w:t xml:space="preserve"> [CRUTCHFIELD J CONCURRING]</w:t>
      </w:r>
      <w:r w:rsidR="007D1FDF">
        <w:rPr>
          <w:rFonts w:cs="Arial"/>
          <w:b/>
          <w:szCs w:val="22"/>
        </w:rPr>
        <w:t>:</w:t>
      </w:r>
      <w:r w:rsidR="004E4EEF" w:rsidRPr="00E40F0B">
        <w:rPr>
          <w:rFonts w:cs="Arial"/>
          <w:b/>
          <w:szCs w:val="22"/>
        </w:rPr>
        <w:t xml:space="preserve"> </w:t>
      </w:r>
      <w:r w:rsidR="007D1FDF">
        <w:rPr>
          <w:rFonts w:cs="Arial"/>
          <w:b/>
          <w:szCs w:val="22"/>
        </w:rPr>
        <w:t xml:space="preserve"> </w:t>
      </w:r>
    </w:p>
    <w:p w14:paraId="1756D8BE" w14:textId="07E9BDDB" w:rsidR="00227580" w:rsidRDefault="00C460A0" w:rsidP="00C74E97">
      <w:pPr>
        <w:keepNext/>
        <w:spacing w:after="480" w:line="360" w:lineRule="auto"/>
        <w:jc w:val="both"/>
        <w:rPr>
          <w:rFonts w:cs="Arial"/>
          <w:bCs/>
          <w:i/>
          <w:iCs/>
          <w:szCs w:val="22"/>
          <w:u w:val="single"/>
        </w:rPr>
      </w:pPr>
      <w:r w:rsidRPr="00E40F0B">
        <w:rPr>
          <w:rFonts w:cs="Arial"/>
          <w:bCs/>
          <w:i/>
          <w:iCs/>
          <w:szCs w:val="22"/>
          <w:u w:val="single"/>
        </w:rPr>
        <w:lastRenderedPageBreak/>
        <w:t>Summary</w:t>
      </w:r>
    </w:p>
    <w:p w14:paraId="26BBAC6B" w14:textId="11E0B0AC" w:rsidR="000F00EF" w:rsidRPr="00E40F0B" w:rsidRDefault="00B4185A" w:rsidP="00C74E97">
      <w:pPr>
        <w:keepNext/>
        <w:spacing w:after="480" w:line="360" w:lineRule="auto"/>
        <w:jc w:val="both"/>
        <w:rPr>
          <w:rFonts w:cs="Arial"/>
          <w:bCs/>
          <w:i/>
          <w:iCs/>
          <w:szCs w:val="22"/>
        </w:rPr>
      </w:pPr>
      <w:r>
        <w:rPr>
          <w:rFonts w:cs="Arial"/>
          <w:bCs/>
          <w:i/>
          <w:iCs/>
          <w:szCs w:val="22"/>
        </w:rPr>
        <w:t>Appeal from Magistrates’ Court – maintenance order – magistrates’ discretion exercised judicially – no ground for interfering with order</w:t>
      </w:r>
    </w:p>
    <w:p w14:paraId="18AFD427" w14:textId="7B3D0B7D" w:rsidR="00BE6AB8" w:rsidRPr="00E40F0B" w:rsidRDefault="00BE6AB8" w:rsidP="00C74E97">
      <w:pPr>
        <w:keepNext/>
        <w:spacing w:after="480" w:line="360" w:lineRule="auto"/>
        <w:jc w:val="both"/>
        <w:rPr>
          <w:rFonts w:cs="Arial"/>
          <w:bCs/>
          <w:szCs w:val="22"/>
          <w:u w:val="single"/>
        </w:rPr>
      </w:pPr>
      <w:r w:rsidRPr="00E40F0B">
        <w:rPr>
          <w:rFonts w:cs="Arial"/>
          <w:bCs/>
          <w:szCs w:val="22"/>
          <w:u w:val="single"/>
        </w:rPr>
        <w:t>Order</w:t>
      </w:r>
    </w:p>
    <w:p w14:paraId="63515C87" w14:textId="0C68AFA7" w:rsidR="004E3D0E" w:rsidRPr="00E40F0B" w:rsidRDefault="00687AC8" w:rsidP="00687AC8">
      <w:pPr>
        <w:tabs>
          <w:tab w:val="left" w:pos="567"/>
        </w:tabs>
        <w:spacing w:after="480" w:line="360" w:lineRule="auto"/>
        <w:jc w:val="both"/>
        <w:rPr>
          <w:rFonts w:cs="Arial"/>
          <w:i/>
          <w:iCs/>
          <w:szCs w:val="22"/>
        </w:rPr>
      </w:pPr>
      <w:r w:rsidRPr="00E40F0B">
        <w:rPr>
          <w:rFonts w:cs="Arial"/>
          <w:iCs/>
          <w:szCs w:val="22"/>
        </w:rPr>
        <w:t>[1]</w:t>
      </w:r>
      <w:r w:rsidRPr="00E40F0B">
        <w:rPr>
          <w:rFonts w:cs="Arial"/>
          <w:iCs/>
          <w:szCs w:val="22"/>
        </w:rPr>
        <w:tab/>
      </w:r>
      <w:r w:rsidR="003B4100" w:rsidRPr="00E40F0B">
        <w:rPr>
          <w:rFonts w:cs="Arial"/>
          <w:bCs/>
          <w:szCs w:val="22"/>
        </w:rPr>
        <w:t xml:space="preserve">In this </w:t>
      </w:r>
      <w:r w:rsidR="00B56906" w:rsidRPr="00E40F0B">
        <w:rPr>
          <w:rFonts w:cs="Arial"/>
          <w:bCs/>
          <w:szCs w:val="22"/>
        </w:rPr>
        <w:t xml:space="preserve">matter </w:t>
      </w:r>
      <w:r w:rsidR="00C460A0" w:rsidRPr="00E40F0B">
        <w:rPr>
          <w:rFonts w:cs="Arial"/>
          <w:bCs/>
          <w:szCs w:val="22"/>
        </w:rPr>
        <w:t>I ma</w:t>
      </w:r>
      <w:r w:rsidR="000976D2" w:rsidRPr="00E40F0B">
        <w:rPr>
          <w:rFonts w:cs="Arial"/>
          <w:bCs/>
          <w:szCs w:val="22"/>
        </w:rPr>
        <w:t>k</w:t>
      </w:r>
      <w:r w:rsidR="00DC6EF8" w:rsidRPr="00E40F0B">
        <w:rPr>
          <w:rFonts w:cs="Arial"/>
          <w:bCs/>
          <w:szCs w:val="22"/>
        </w:rPr>
        <w:t>e</w:t>
      </w:r>
      <w:r w:rsidR="00C460A0" w:rsidRPr="00E40F0B">
        <w:rPr>
          <w:rFonts w:cs="Arial"/>
          <w:bCs/>
          <w:szCs w:val="22"/>
        </w:rPr>
        <w:t xml:space="preserve"> the following order</w:t>
      </w:r>
      <w:r w:rsidR="000976D2" w:rsidRPr="00E40F0B">
        <w:rPr>
          <w:rFonts w:cs="Arial"/>
          <w:bCs/>
          <w:szCs w:val="22"/>
        </w:rPr>
        <w:t>:</w:t>
      </w:r>
    </w:p>
    <w:p w14:paraId="50F4BE66" w14:textId="6C0C6546" w:rsidR="00D9135E" w:rsidRPr="00687AC8" w:rsidRDefault="00687AC8" w:rsidP="00687AC8">
      <w:pPr>
        <w:spacing w:before="120" w:after="120" w:line="360" w:lineRule="auto"/>
        <w:ind w:left="360" w:hanging="360"/>
        <w:jc w:val="both"/>
        <w:rPr>
          <w:rFonts w:cs="Arial"/>
          <w:i/>
          <w:iCs/>
          <w:szCs w:val="22"/>
          <w:lang w:val="en-GB"/>
        </w:rPr>
      </w:pPr>
      <w:bookmarkStart w:id="1" w:name="_Hlk150694650"/>
      <w:r>
        <w:rPr>
          <w:rFonts w:cs="Arial"/>
          <w:i/>
          <w:iCs/>
          <w:szCs w:val="22"/>
          <w:lang w:val="en-GB"/>
        </w:rPr>
        <w:t>1.</w:t>
      </w:r>
      <w:r>
        <w:rPr>
          <w:rFonts w:cs="Arial"/>
          <w:i/>
          <w:iCs/>
          <w:szCs w:val="22"/>
          <w:lang w:val="en-GB"/>
        </w:rPr>
        <w:tab/>
      </w:r>
      <w:r w:rsidR="00B4185A" w:rsidRPr="00687AC8">
        <w:rPr>
          <w:rFonts w:cs="Arial"/>
          <w:i/>
          <w:iCs/>
          <w:szCs w:val="22"/>
          <w:lang w:val="en-GB"/>
        </w:rPr>
        <w:t>The appeal is dismissed;</w:t>
      </w:r>
    </w:p>
    <w:p w14:paraId="4AB0CBCD" w14:textId="3760F010" w:rsidR="00B4185A" w:rsidRPr="00687AC8" w:rsidRDefault="00687AC8" w:rsidP="00687AC8">
      <w:pPr>
        <w:spacing w:before="120" w:after="120" w:line="360" w:lineRule="auto"/>
        <w:ind w:left="360" w:hanging="360"/>
        <w:jc w:val="both"/>
        <w:rPr>
          <w:rFonts w:cs="Arial"/>
          <w:i/>
          <w:iCs/>
          <w:szCs w:val="22"/>
          <w:lang w:val="en-GB"/>
        </w:rPr>
      </w:pPr>
      <w:r w:rsidRPr="00E40F0B">
        <w:rPr>
          <w:rFonts w:cs="Arial"/>
          <w:i/>
          <w:iCs/>
          <w:szCs w:val="22"/>
          <w:lang w:val="en-GB"/>
        </w:rPr>
        <w:t>2.</w:t>
      </w:r>
      <w:r w:rsidRPr="00E40F0B">
        <w:rPr>
          <w:rFonts w:cs="Arial"/>
          <w:i/>
          <w:iCs/>
          <w:szCs w:val="22"/>
          <w:lang w:val="en-GB"/>
        </w:rPr>
        <w:tab/>
      </w:r>
      <w:r w:rsidR="00B4185A" w:rsidRPr="00687AC8">
        <w:rPr>
          <w:rFonts w:cs="Arial"/>
          <w:i/>
          <w:iCs/>
          <w:szCs w:val="22"/>
          <w:lang w:val="en-GB"/>
        </w:rPr>
        <w:t>The appellant is ordered to pay the costs of the appeal.</w:t>
      </w:r>
    </w:p>
    <w:bookmarkEnd w:id="1"/>
    <w:p w14:paraId="41B4AF18" w14:textId="77777777" w:rsidR="00E37B97" w:rsidRPr="00E40F0B" w:rsidRDefault="00E37B97" w:rsidP="00E37B97">
      <w:pPr>
        <w:spacing w:after="480" w:line="360" w:lineRule="auto"/>
        <w:ind w:left="360"/>
        <w:jc w:val="both"/>
        <w:rPr>
          <w:rFonts w:cs="Arial"/>
          <w:i/>
          <w:iCs/>
          <w:szCs w:val="22"/>
        </w:rPr>
      </w:pPr>
    </w:p>
    <w:p w14:paraId="037F1A01" w14:textId="00F985F5" w:rsidR="00A444DD" w:rsidRPr="00687AC8" w:rsidRDefault="00687AC8" w:rsidP="00687AC8">
      <w:pPr>
        <w:widowControl w:val="0"/>
        <w:tabs>
          <w:tab w:val="left" w:pos="567"/>
        </w:tabs>
        <w:spacing w:before="480" w:after="480" w:line="360" w:lineRule="auto"/>
        <w:jc w:val="both"/>
        <w:rPr>
          <w:rFonts w:cs="Arial"/>
          <w:bCs/>
          <w:szCs w:val="22"/>
          <w:u w:val="single"/>
        </w:rPr>
      </w:pPr>
      <w:r w:rsidRPr="007D1FDF">
        <w:rPr>
          <w:rFonts w:cs="Arial"/>
          <w:bCs/>
          <w:szCs w:val="22"/>
        </w:rPr>
        <w:t>[2]</w:t>
      </w:r>
      <w:r w:rsidRPr="007D1FDF">
        <w:rPr>
          <w:rFonts w:cs="Arial"/>
          <w:bCs/>
          <w:szCs w:val="22"/>
        </w:rPr>
        <w:tab/>
      </w:r>
      <w:r w:rsidR="00573FF9" w:rsidRPr="00687AC8">
        <w:rPr>
          <w:rFonts w:cs="Arial"/>
          <w:bCs/>
          <w:szCs w:val="22"/>
        </w:rPr>
        <w:t xml:space="preserve">The reasons for the order </w:t>
      </w:r>
      <w:r w:rsidR="00A63709" w:rsidRPr="00687AC8">
        <w:rPr>
          <w:rFonts w:cs="Arial"/>
          <w:bCs/>
          <w:szCs w:val="22"/>
        </w:rPr>
        <w:t>follow</w:t>
      </w:r>
      <w:r w:rsidR="00573FF9" w:rsidRPr="00687AC8">
        <w:rPr>
          <w:rFonts w:cs="Arial"/>
          <w:bCs/>
          <w:szCs w:val="22"/>
        </w:rPr>
        <w:t xml:space="preserve"> below.</w:t>
      </w:r>
    </w:p>
    <w:p w14:paraId="3658C913" w14:textId="6056F843" w:rsidR="00573FF9" w:rsidRPr="00E40F0B" w:rsidRDefault="00D9086C" w:rsidP="00C74E97">
      <w:pPr>
        <w:keepNext/>
        <w:widowControl w:val="0"/>
        <w:spacing w:before="480" w:after="480" w:line="360" w:lineRule="auto"/>
        <w:jc w:val="both"/>
        <w:rPr>
          <w:rFonts w:cs="Arial"/>
          <w:bCs/>
          <w:szCs w:val="22"/>
          <w:u w:val="single"/>
        </w:rPr>
      </w:pPr>
      <w:r w:rsidRPr="00E40F0B">
        <w:rPr>
          <w:rFonts w:cs="Arial"/>
          <w:bCs/>
          <w:szCs w:val="22"/>
          <w:u w:val="single"/>
        </w:rPr>
        <w:t>Introduction</w:t>
      </w:r>
    </w:p>
    <w:p w14:paraId="497BE508" w14:textId="3393BBBA" w:rsidR="001074E0" w:rsidRPr="00E40F0B" w:rsidRDefault="00687AC8" w:rsidP="00687AC8">
      <w:pPr>
        <w:widowControl w:val="0"/>
        <w:tabs>
          <w:tab w:val="left" w:pos="567"/>
        </w:tabs>
        <w:spacing w:before="480" w:after="480" w:line="360" w:lineRule="auto"/>
        <w:jc w:val="both"/>
        <w:rPr>
          <w:rFonts w:cs="Arial"/>
          <w:bCs/>
          <w:szCs w:val="22"/>
        </w:rPr>
      </w:pPr>
      <w:r w:rsidRPr="00E40F0B">
        <w:rPr>
          <w:rFonts w:cs="Arial"/>
          <w:bCs/>
          <w:szCs w:val="22"/>
        </w:rPr>
        <w:t>[3]</w:t>
      </w:r>
      <w:r w:rsidRPr="00E40F0B">
        <w:rPr>
          <w:rFonts w:cs="Arial"/>
          <w:bCs/>
          <w:szCs w:val="22"/>
        </w:rPr>
        <w:tab/>
      </w:r>
      <w:r w:rsidR="001074E0" w:rsidRPr="00E40F0B">
        <w:rPr>
          <w:rFonts w:cs="Arial"/>
          <w:bCs/>
          <w:szCs w:val="22"/>
          <w:lang w:val="en-GB"/>
        </w:rPr>
        <w:t>This is an appeal against a judgement</w:t>
      </w:r>
      <w:r w:rsidR="004843FB" w:rsidRPr="00E40F0B">
        <w:rPr>
          <w:rFonts w:cs="Arial"/>
          <w:bCs/>
          <w:szCs w:val="22"/>
          <w:lang w:val="en-GB"/>
        </w:rPr>
        <w:t xml:space="preserve"> handed down on 30 September 2022</w:t>
      </w:r>
      <w:r w:rsidR="001074E0" w:rsidRPr="00E40F0B">
        <w:rPr>
          <w:rFonts w:cs="Arial"/>
          <w:bCs/>
          <w:szCs w:val="22"/>
          <w:lang w:val="en-GB"/>
        </w:rPr>
        <w:t xml:space="preserve"> by the learned Additional Magistrate </w:t>
      </w:r>
      <w:proofErr w:type="spellStart"/>
      <w:r w:rsidR="001074E0" w:rsidRPr="00E40F0B">
        <w:rPr>
          <w:rFonts w:cs="Arial"/>
          <w:bCs/>
          <w:szCs w:val="22"/>
          <w:lang w:val="en-GB"/>
        </w:rPr>
        <w:t>Mokoma</w:t>
      </w:r>
      <w:proofErr w:type="spellEnd"/>
      <w:r w:rsidR="001074E0" w:rsidRPr="00E40F0B">
        <w:rPr>
          <w:rFonts w:cs="Arial"/>
          <w:bCs/>
          <w:szCs w:val="22"/>
          <w:lang w:val="en-GB"/>
        </w:rPr>
        <w:t xml:space="preserve"> in the Magistrates’ Court for the district of Ekurhuleni North, held at Kempton Park. In his judgement</w:t>
      </w:r>
      <w:r w:rsidR="005811C1">
        <w:rPr>
          <w:rFonts w:cs="Arial"/>
          <w:bCs/>
          <w:szCs w:val="22"/>
          <w:lang w:val="en-GB"/>
        </w:rPr>
        <w:t>,</w:t>
      </w:r>
      <w:r w:rsidR="001074E0" w:rsidRPr="00E40F0B">
        <w:rPr>
          <w:rFonts w:cs="Arial"/>
          <w:bCs/>
          <w:szCs w:val="22"/>
          <w:lang w:val="en-GB"/>
        </w:rPr>
        <w:t xml:space="preserve"> the Learned Magistrate discharged a</w:t>
      </w:r>
      <w:r w:rsidR="00B4185A">
        <w:rPr>
          <w:rFonts w:cs="Arial"/>
          <w:bCs/>
          <w:szCs w:val="22"/>
          <w:lang w:val="en-GB"/>
        </w:rPr>
        <w:t>n earlier</w:t>
      </w:r>
      <w:r w:rsidR="001074E0" w:rsidRPr="00E40F0B">
        <w:rPr>
          <w:rFonts w:cs="Arial"/>
          <w:bCs/>
          <w:szCs w:val="22"/>
          <w:lang w:val="en-GB"/>
        </w:rPr>
        <w:t xml:space="preserve"> judgement of the </w:t>
      </w:r>
      <w:proofErr w:type="spellStart"/>
      <w:r w:rsidR="001074E0" w:rsidRPr="00E40F0B">
        <w:rPr>
          <w:rFonts w:cs="Arial"/>
          <w:bCs/>
          <w:szCs w:val="22"/>
          <w:lang w:val="en-GB"/>
        </w:rPr>
        <w:t>Randburg</w:t>
      </w:r>
      <w:proofErr w:type="spellEnd"/>
      <w:r w:rsidR="001074E0" w:rsidRPr="00E40F0B">
        <w:rPr>
          <w:rFonts w:cs="Arial"/>
          <w:bCs/>
          <w:szCs w:val="22"/>
          <w:lang w:val="en-GB"/>
        </w:rPr>
        <w:t xml:space="preserve"> Magistrates</w:t>
      </w:r>
      <w:r w:rsidR="005811C1">
        <w:rPr>
          <w:rFonts w:cs="Arial"/>
          <w:bCs/>
          <w:szCs w:val="22"/>
          <w:lang w:val="en-GB"/>
        </w:rPr>
        <w:t>’</w:t>
      </w:r>
      <w:r w:rsidR="001074E0" w:rsidRPr="00E40F0B">
        <w:rPr>
          <w:rFonts w:cs="Arial"/>
          <w:bCs/>
          <w:szCs w:val="22"/>
          <w:lang w:val="en-GB"/>
        </w:rPr>
        <w:t xml:space="preserve"> Court handed down</w:t>
      </w:r>
      <w:r w:rsidR="00B4185A">
        <w:rPr>
          <w:rFonts w:cs="Arial"/>
          <w:bCs/>
          <w:szCs w:val="22"/>
          <w:lang w:val="en-GB"/>
        </w:rPr>
        <w:t xml:space="preserve"> by consent</w:t>
      </w:r>
      <w:r w:rsidR="001074E0" w:rsidRPr="00E40F0B">
        <w:rPr>
          <w:rFonts w:cs="Arial"/>
          <w:bCs/>
          <w:szCs w:val="22"/>
          <w:lang w:val="en-GB"/>
        </w:rPr>
        <w:t xml:space="preserve"> on 20 August 2020, set aside a</w:t>
      </w:r>
      <w:r w:rsidR="00A857FF">
        <w:rPr>
          <w:rFonts w:cs="Arial"/>
          <w:bCs/>
          <w:szCs w:val="22"/>
          <w:lang w:val="en-GB"/>
        </w:rPr>
        <w:t>n interim</w:t>
      </w:r>
      <w:r w:rsidR="001074E0" w:rsidRPr="00E40F0B">
        <w:rPr>
          <w:rFonts w:cs="Arial"/>
          <w:bCs/>
          <w:szCs w:val="22"/>
          <w:lang w:val="en-GB"/>
        </w:rPr>
        <w:t xml:space="preserve"> maintenance order granted on 20 June 2022 and substituted </w:t>
      </w:r>
      <w:r w:rsidR="001074E0" w:rsidRPr="00CC3983">
        <w:rPr>
          <w:rFonts w:cs="Arial"/>
          <w:bCs/>
          <w:szCs w:val="22"/>
          <w:lang w:val="en-GB"/>
        </w:rPr>
        <w:t xml:space="preserve">the </w:t>
      </w:r>
      <w:r w:rsidR="00C22568" w:rsidRPr="00CC3983">
        <w:rPr>
          <w:rFonts w:cs="Arial"/>
          <w:bCs/>
          <w:szCs w:val="22"/>
          <w:lang w:val="en-GB"/>
        </w:rPr>
        <w:t xml:space="preserve">interim </w:t>
      </w:r>
      <w:r w:rsidR="00B4185A" w:rsidRPr="00CC3983">
        <w:rPr>
          <w:rFonts w:cs="Arial"/>
          <w:bCs/>
          <w:szCs w:val="22"/>
          <w:lang w:val="en-GB"/>
        </w:rPr>
        <w:t>maintenance</w:t>
      </w:r>
      <w:r w:rsidR="00B4185A">
        <w:rPr>
          <w:rFonts w:cs="Arial"/>
          <w:bCs/>
          <w:szCs w:val="22"/>
          <w:lang w:val="en-GB"/>
        </w:rPr>
        <w:t xml:space="preserve"> </w:t>
      </w:r>
      <w:r w:rsidR="001074E0" w:rsidRPr="00E40F0B">
        <w:rPr>
          <w:rFonts w:cs="Arial"/>
          <w:bCs/>
          <w:szCs w:val="22"/>
          <w:lang w:val="en-GB"/>
        </w:rPr>
        <w:t>order with a new order</w:t>
      </w:r>
      <w:r w:rsidR="00C22568">
        <w:rPr>
          <w:rFonts w:cs="Arial"/>
          <w:bCs/>
          <w:szCs w:val="22"/>
          <w:lang w:val="en-GB"/>
        </w:rPr>
        <w:t>, against which the appellant appeals, and</w:t>
      </w:r>
      <w:r w:rsidR="001074E0" w:rsidRPr="00E40F0B">
        <w:rPr>
          <w:rFonts w:cs="Arial"/>
          <w:bCs/>
          <w:szCs w:val="22"/>
          <w:lang w:val="en-GB"/>
        </w:rPr>
        <w:t xml:space="preserve"> in terms of which the appellant</w:t>
      </w:r>
      <w:r w:rsidR="001139C0" w:rsidRPr="00E40F0B">
        <w:rPr>
          <w:rFonts w:cs="Arial"/>
          <w:bCs/>
          <w:szCs w:val="22"/>
          <w:lang w:val="en-GB"/>
        </w:rPr>
        <w:t xml:space="preserve"> </w:t>
      </w:r>
      <w:r w:rsidR="001074E0" w:rsidRPr="00E40F0B">
        <w:rPr>
          <w:rFonts w:cs="Arial"/>
          <w:bCs/>
          <w:szCs w:val="22"/>
          <w:lang w:val="en-GB"/>
        </w:rPr>
        <w:t>was ordered to pay -</w:t>
      </w:r>
    </w:p>
    <w:p w14:paraId="410BAB5D" w14:textId="05E815AA" w:rsidR="001074E0" w:rsidRPr="00E40F0B" w:rsidRDefault="00687AC8" w:rsidP="00687AC8">
      <w:pPr>
        <w:widowControl w:val="0"/>
        <w:tabs>
          <w:tab w:val="left" w:pos="1418"/>
        </w:tabs>
        <w:spacing w:before="480" w:after="480" w:line="360" w:lineRule="auto"/>
        <w:ind w:left="1418" w:hanging="851"/>
        <w:jc w:val="both"/>
        <w:rPr>
          <w:rFonts w:cs="Arial"/>
          <w:bCs/>
          <w:szCs w:val="22"/>
        </w:rPr>
      </w:pPr>
      <w:r w:rsidRPr="00E40F0B">
        <w:rPr>
          <w:rFonts w:cs="Arial"/>
          <w:bCs/>
          <w:szCs w:val="22"/>
        </w:rPr>
        <w:t>3.1</w:t>
      </w:r>
      <w:r w:rsidRPr="00E40F0B">
        <w:rPr>
          <w:rFonts w:cs="Arial"/>
          <w:bCs/>
          <w:szCs w:val="22"/>
        </w:rPr>
        <w:tab/>
      </w:r>
      <w:r w:rsidR="001074E0" w:rsidRPr="00E40F0B">
        <w:rPr>
          <w:rFonts w:cs="Arial"/>
          <w:bCs/>
          <w:szCs w:val="22"/>
          <w:lang w:val="en-GB"/>
        </w:rPr>
        <w:t xml:space="preserve">R15,000 per month towards a loan secured by a mortgage bond until the sale of the house over which the bond was registered had been finalised, and thereafter to pay R7,500.00 per month </w:t>
      </w:r>
      <w:r w:rsidR="001139C0" w:rsidRPr="00E40F0B">
        <w:rPr>
          <w:rFonts w:cs="Arial"/>
          <w:bCs/>
          <w:szCs w:val="22"/>
          <w:lang w:val="en-GB"/>
        </w:rPr>
        <w:t>towards board and lodging for the three minor children born</w:t>
      </w:r>
      <w:r w:rsidR="00C42673">
        <w:rPr>
          <w:rStyle w:val="FootnoteReference"/>
          <w:rFonts w:cs="Arial"/>
          <w:bCs/>
          <w:szCs w:val="22"/>
          <w:lang w:val="en-GB"/>
        </w:rPr>
        <w:footnoteReference w:id="1"/>
      </w:r>
      <w:r w:rsidR="001139C0" w:rsidRPr="00E40F0B">
        <w:rPr>
          <w:rFonts w:cs="Arial"/>
          <w:bCs/>
          <w:szCs w:val="22"/>
          <w:lang w:val="en-GB"/>
        </w:rPr>
        <w:t xml:space="preserve"> out of the marriage between the parties; and</w:t>
      </w:r>
    </w:p>
    <w:p w14:paraId="2132BCB9" w14:textId="3B6AA927" w:rsidR="00D9135E" w:rsidRPr="00E40F0B" w:rsidRDefault="00687AC8" w:rsidP="00687AC8">
      <w:pPr>
        <w:widowControl w:val="0"/>
        <w:tabs>
          <w:tab w:val="left" w:pos="1418"/>
        </w:tabs>
        <w:spacing w:before="480" w:after="480" w:line="360" w:lineRule="auto"/>
        <w:ind w:left="1418" w:hanging="851"/>
        <w:jc w:val="both"/>
        <w:rPr>
          <w:rFonts w:cs="Arial"/>
          <w:bCs/>
          <w:szCs w:val="22"/>
        </w:rPr>
      </w:pPr>
      <w:r w:rsidRPr="00E40F0B">
        <w:rPr>
          <w:rFonts w:cs="Arial"/>
          <w:bCs/>
          <w:szCs w:val="22"/>
        </w:rPr>
        <w:t>3.2</w:t>
      </w:r>
      <w:r w:rsidRPr="00E40F0B">
        <w:rPr>
          <w:rFonts w:cs="Arial"/>
          <w:bCs/>
          <w:szCs w:val="22"/>
        </w:rPr>
        <w:tab/>
      </w:r>
      <w:r w:rsidR="001139C0" w:rsidRPr="00E40F0B">
        <w:rPr>
          <w:rFonts w:cs="Arial"/>
          <w:bCs/>
          <w:szCs w:val="22"/>
          <w:lang w:val="en-GB"/>
        </w:rPr>
        <w:t xml:space="preserve">R10,400.00 per month towards the maintenance of </w:t>
      </w:r>
      <w:r w:rsidR="001074E0" w:rsidRPr="00E40F0B">
        <w:rPr>
          <w:rFonts w:cs="Arial"/>
          <w:bCs/>
          <w:szCs w:val="22"/>
          <w:lang w:val="en-GB"/>
        </w:rPr>
        <w:t>th</w:t>
      </w:r>
      <w:r w:rsidR="001139C0" w:rsidRPr="00E40F0B">
        <w:rPr>
          <w:rFonts w:cs="Arial"/>
          <w:bCs/>
          <w:szCs w:val="22"/>
          <w:lang w:val="en-GB"/>
        </w:rPr>
        <w:t>e</w:t>
      </w:r>
      <w:r w:rsidR="001074E0" w:rsidRPr="00E40F0B">
        <w:rPr>
          <w:rFonts w:cs="Arial"/>
          <w:bCs/>
          <w:szCs w:val="22"/>
          <w:lang w:val="en-GB"/>
        </w:rPr>
        <w:t xml:space="preserve"> children from </w:t>
      </w:r>
      <w:r w:rsidR="001074E0" w:rsidRPr="00E40F0B">
        <w:rPr>
          <w:rFonts w:cs="Arial"/>
          <w:bCs/>
          <w:szCs w:val="22"/>
          <w:lang w:val="en-GB"/>
        </w:rPr>
        <w:lastRenderedPageBreak/>
        <w:t>January 2023 onwards.</w:t>
      </w:r>
    </w:p>
    <w:p w14:paraId="5B8CD25B" w14:textId="1AF81C84" w:rsidR="0043650A" w:rsidRPr="00E40F0B" w:rsidRDefault="00687AC8" w:rsidP="00687AC8">
      <w:pPr>
        <w:widowControl w:val="0"/>
        <w:tabs>
          <w:tab w:val="left" w:pos="567"/>
        </w:tabs>
        <w:spacing w:before="480" w:after="480" w:line="360" w:lineRule="auto"/>
        <w:jc w:val="both"/>
        <w:rPr>
          <w:rFonts w:cs="Arial"/>
          <w:bCs/>
          <w:szCs w:val="22"/>
        </w:rPr>
      </w:pPr>
      <w:r w:rsidRPr="00E40F0B">
        <w:rPr>
          <w:rFonts w:cs="Arial"/>
          <w:bCs/>
          <w:szCs w:val="22"/>
        </w:rPr>
        <w:t>[4]</w:t>
      </w:r>
      <w:r w:rsidRPr="00E40F0B">
        <w:rPr>
          <w:rFonts w:cs="Arial"/>
          <w:bCs/>
          <w:szCs w:val="22"/>
        </w:rPr>
        <w:tab/>
      </w:r>
      <w:r w:rsidR="0043650A" w:rsidRPr="00E40F0B">
        <w:rPr>
          <w:rFonts w:cs="Arial"/>
          <w:bCs/>
          <w:szCs w:val="22"/>
        </w:rPr>
        <w:t xml:space="preserve">The appellant also instituted a divorce action against the respondent in the </w:t>
      </w:r>
      <w:proofErr w:type="spellStart"/>
      <w:r w:rsidR="00E40F0B" w:rsidRPr="00E40F0B">
        <w:rPr>
          <w:rFonts w:cs="Arial"/>
          <w:bCs/>
          <w:szCs w:val="22"/>
        </w:rPr>
        <w:t>Randburg</w:t>
      </w:r>
      <w:proofErr w:type="spellEnd"/>
      <w:r w:rsidR="00E40F0B" w:rsidRPr="00E40F0B">
        <w:rPr>
          <w:rFonts w:cs="Arial"/>
          <w:bCs/>
          <w:szCs w:val="22"/>
        </w:rPr>
        <w:t xml:space="preserve"> Regional Court in 2021 under case number 100 of 2021. The </w:t>
      </w:r>
      <w:r w:rsidR="00C42673">
        <w:rPr>
          <w:rFonts w:cs="Arial"/>
          <w:bCs/>
          <w:szCs w:val="22"/>
        </w:rPr>
        <w:t>parties entered into a settlement agreement</w:t>
      </w:r>
      <w:r w:rsidR="005811C1">
        <w:rPr>
          <w:rFonts w:cs="Arial"/>
          <w:bCs/>
          <w:szCs w:val="22"/>
        </w:rPr>
        <w:t xml:space="preserve"> in</w:t>
      </w:r>
      <w:r w:rsidR="00C42673">
        <w:rPr>
          <w:rFonts w:cs="Arial"/>
          <w:bCs/>
          <w:szCs w:val="22"/>
        </w:rPr>
        <w:t xml:space="preserve"> the divorce </w:t>
      </w:r>
      <w:r w:rsidR="00E40F0B" w:rsidRPr="00E40F0B">
        <w:rPr>
          <w:rFonts w:cs="Arial"/>
          <w:bCs/>
          <w:szCs w:val="22"/>
        </w:rPr>
        <w:t>action</w:t>
      </w:r>
      <w:r w:rsidR="00B4185A">
        <w:rPr>
          <w:rStyle w:val="FootnoteReference"/>
          <w:rFonts w:cs="Arial"/>
          <w:bCs/>
          <w:szCs w:val="22"/>
        </w:rPr>
        <w:footnoteReference w:id="2"/>
      </w:r>
      <w:r w:rsidR="00C42673">
        <w:rPr>
          <w:rFonts w:cs="Arial"/>
          <w:bCs/>
          <w:szCs w:val="22"/>
        </w:rPr>
        <w:t xml:space="preserve"> but the question of maintenance of the minor children was left for determination </w:t>
      </w:r>
      <w:r w:rsidR="00C42673" w:rsidRPr="00CC3983">
        <w:rPr>
          <w:rFonts w:cs="Arial"/>
          <w:bCs/>
          <w:szCs w:val="22"/>
        </w:rPr>
        <w:t xml:space="preserve">by the </w:t>
      </w:r>
      <w:r w:rsidR="005811C1" w:rsidRPr="00CC3983">
        <w:rPr>
          <w:rFonts w:cs="Arial"/>
          <w:bCs/>
          <w:szCs w:val="22"/>
        </w:rPr>
        <w:t xml:space="preserve">Maintenance </w:t>
      </w:r>
      <w:r w:rsidR="00C42673" w:rsidRPr="00CC3983">
        <w:rPr>
          <w:rFonts w:cs="Arial"/>
          <w:bCs/>
          <w:szCs w:val="22"/>
        </w:rPr>
        <w:t xml:space="preserve">Court. The order </w:t>
      </w:r>
      <w:r w:rsidR="00C22568" w:rsidRPr="00CC3983">
        <w:rPr>
          <w:rFonts w:cs="Arial"/>
          <w:bCs/>
          <w:szCs w:val="22"/>
        </w:rPr>
        <w:t>that is the subject of this appeal i</w:t>
      </w:r>
      <w:r w:rsidR="00C42673" w:rsidRPr="00CC3983">
        <w:rPr>
          <w:rFonts w:cs="Arial"/>
          <w:bCs/>
          <w:szCs w:val="22"/>
        </w:rPr>
        <w:t>s therefore a final order and not struck</w:t>
      </w:r>
      <w:r w:rsidR="00C42673">
        <w:rPr>
          <w:rFonts w:cs="Arial"/>
          <w:bCs/>
          <w:szCs w:val="22"/>
        </w:rPr>
        <w:t xml:space="preserve"> by section 16(3)(a) of the Superior Courts Act,10 of 2013.</w:t>
      </w:r>
    </w:p>
    <w:p w14:paraId="44D8A838" w14:textId="038185D6" w:rsidR="00D9135E" w:rsidRPr="00E40F0B" w:rsidRDefault="00687AC8" w:rsidP="00687AC8">
      <w:pPr>
        <w:widowControl w:val="0"/>
        <w:tabs>
          <w:tab w:val="left" w:pos="567"/>
        </w:tabs>
        <w:spacing w:before="480" w:after="480" w:line="360" w:lineRule="auto"/>
        <w:jc w:val="both"/>
        <w:rPr>
          <w:rFonts w:cs="Arial"/>
          <w:bCs/>
          <w:szCs w:val="22"/>
        </w:rPr>
      </w:pPr>
      <w:r w:rsidRPr="00E40F0B">
        <w:rPr>
          <w:rFonts w:cs="Arial"/>
          <w:bCs/>
          <w:szCs w:val="22"/>
        </w:rPr>
        <w:t>[5]</w:t>
      </w:r>
      <w:r w:rsidRPr="00E40F0B">
        <w:rPr>
          <w:rFonts w:cs="Arial"/>
          <w:bCs/>
          <w:szCs w:val="22"/>
        </w:rPr>
        <w:tab/>
      </w:r>
      <w:r w:rsidR="001139C0" w:rsidRPr="00E40F0B">
        <w:rPr>
          <w:rFonts w:cs="Arial"/>
          <w:bCs/>
          <w:szCs w:val="22"/>
          <w:lang w:val="en-GB"/>
        </w:rPr>
        <w:t>The magistrate gave a detailed judgement and found the following</w:t>
      </w:r>
      <w:r w:rsidR="004843FB" w:rsidRPr="00E40F0B">
        <w:rPr>
          <w:rFonts w:cs="Arial"/>
          <w:bCs/>
          <w:szCs w:val="22"/>
          <w:lang w:val="en-GB"/>
        </w:rPr>
        <w:t xml:space="preserve"> facts that are not in dispute</w:t>
      </w:r>
      <w:r w:rsidR="001139C0" w:rsidRPr="00E40F0B">
        <w:rPr>
          <w:rFonts w:cs="Arial"/>
          <w:bCs/>
          <w:szCs w:val="22"/>
          <w:lang w:val="en-GB"/>
        </w:rPr>
        <w:t>:</w:t>
      </w:r>
    </w:p>
    <w:p w14:paraId="707A0965" w14:textId="36FF8441" w:rsidR="00D9135E" w:rsidRPr="00E40F0B" w:rsidRDefault="00687AC8" w:rsidP="00687AC8">
      <w:pPr>
        <w:widowControl w:val="0"/>
        <w:tabs>
          <w:tab w:val="left" w:pos="1418"/>
        </w:tabs>
        <w:spacing w:before="480" w:after="480" w:line="360" w:lineRule="auto"/>
        <w:ind w:left="1418" w:hanging="851"/>
        <w:jc w:val="both"/>
        <w:rPr>
          <w:rFonts w:cs="Arial"/>
          <w:bCs/>
          <w:szCs w:val="22"/>
        </w:rPr>
      </w:pPr>
      <w:r w:rsidRPr="00E40F0B">
        <w:rPr>
          <w:rFonts w:cs="Arial"/>
          <w:bCs/>
          <w:szCs w:val="22"/>
        </w:rPr>
        <w:t>5.1</w:t>
      </w:r>
      <w:r w:rsidRPr="00E40F0B">
        <w:rPr>
          <w:rFonts w:cs="Arial"/>
          <w:bCs/>
          <w:szCs w:val="22"/>
        </w:rPr>
        <w:tab/>
      </w:r>
      <w:r w:rsidR="001139C0" w:rsidRPr="00E40F0B">
        <w:rPr>
          <w:rFonts w:cs="Arial"/>
          <w:bCs/>
          <w:szCs w:val="22"/>
          <w:lang w:val="en-GB"/>
        </w:rPr>
        <w:t xml:space="preserve">Two of the three children born out of the marriage are attending school and the third is attending a </w:t>
      </w:r>
      <w:proofErr w:type="spellStart"/>
      <w:r w:rsidR="001139C0" w:rsidRPr="00E40F0B">
        <w:rPr>
          <w:rFonts w:cs="Arial"/>
          <w:bCs/>
          <w:szCs w:val="22"/>
          <w:lang w:val="en-GB"/>
        </w:rPr>
        <w:t>creche</w:t>
      </w:r>
      <w:proofErr w:type="spellEnd"/>
      <w:r w:rsidR="001139C0" w:rsidRPr="00E40F0B">
        <w:rPr>
          <w:rFonts w:cs="Arial"/>
          <w:bCs/>
          <w:szCs w:val="22"/>
          <w:lang w:val="en-GB"/>
        </w:rPr>
        <w:t>;</w:t>
      </w:r>
    </w:p>
    <w:p w14:paraId="64A4B547" w14:textId="0D169930" w:rsidR="001139C0" w:rsidRPr="00E40F0B" w:rsidRDefault="00687AC8" w:rsidP="00687AC8">
      <w:pPr>
        <w:widowControl w:val="0"/>
        <w:tabs>
          <w:tab w:val="left" w:pos="1418"/>
        </w:tabs>
        <w:spacing w:before="480" w:after="480" w:line="360" w:lineRule="auto"/>
        <w:ind w:left="1418" w:hanging="851"/>
        <w:jc w:val="both"/>
        <w:rPr>
          <w:rFonts w:cs="Arial"/>
          <w:bCs/>
          <w:szCs w:val="22"/>
        </w:rPr>
      </w:pPr>
      <w:r w:rsidRPr="00E40F0B">
        <w:rPr>
          <w:rFonts w:cs="Arial"/>
          <w:bCs/>
          <w:szCs w:val="22"/>
        </w:rPr>
        <w:t>5.2</w:t>
      </w:r>
      <w:r w:rsidRPr="00E40F0B">
        <w:rPr>
          <w:rFonts w:cs="Arial"/>
          <w:bCs/>
          <w:szCs w:val="22"/>
        </w:rPr>
        <w:tab/>
      </w:r>
      <w:r w:rsidR="001139C0" w:rsidRPr="00E40F0B">
        <w:rPr>
          <w:rFonts w:cs="Arial"/>
          <w:bCs/>
          <w:szCs w:val="22"/>
          <w:lang w:val="en-GB"/>
        </w:rPr>
        <w:t>The appellant is also the father of three other children born out of wedlock during the subsistence of the marriage;</w:t>
      </w:r>
    </w:p>
    <w:p w14:paraId="188E9252" w14:textId="2F528DCC" w:rsidR="001139C0" w:rsidRPr="00E40F0B" w:rsidRDefault="00687AC8" w:rsidP="00687AC8">
      <w:pPr>
        <w:widowControl w:val="0"/>
        <w:tabs>
          <w:tab w:val="left" w:pos="1418"/>
        </w:tabs>
        <w:spacing w:before="480" w:after="480" w:line="360" w:lineRule="auto"/>
        <w:ind w:left="1418" w:hanging="851"/>
        <w:jc w:val="both"/>
        <w:rPr>
          <w:rFonts w:cs="Arial"/>
          <w:bCs/>
          <w:szCs w:val="22"/>
        </w:rPr>
      </w:pPr>
      <w:r w:rsidRPr="00E40F0B">
        <w:rPr>
          <w:rFonts w:cs="Arial"/>
          <w:bCs/>
          <w:szCs w:val="22"/>
        </w:rPr>
        <w:t>5.3</w:t>
      </w:r>
      <w:r w:rsidRPr="00E40F0B">
        <w:rPr>
          <w:rFonts w:cs="Arial"/>
          <w:bCs/>
          <w:szCs w:val="22"/>
        </w:rPr>
        <w:tab/>
      </w:r>
      <w:r w:rsidR="001139C0" w:rsidRPr="00E40F0B">
        <w:rPr>
          <w:rFonts w:cs="Arial"/>
          <w:bCs/>
          <w:szCs w:val="22"/>
          <w:lang w:val="en-GB"/>
        </w:rPr>
        <w:t>Both parties are gainfully employed;</w:t>
      </w:r>
    </w:p>
    <w:p w14:paraId="39EC3400" w14:textId="14878DAB" w:rsidR="001139C0" w:rsidRPr="00E40F0B" w:rsidRDefault="00687AC8" w:rsidP="00687AC8">
      <w:pPr>
        <w:widowControl w:val="0"/>
        <w:tabs>
          <w:tab w:val="left" w:pos="1418"/>
        </w:tabs>
        <w:spacing w:before="480" w:after="480" w:line="360" w:lineRule="auto"/>
        <w:ind w:left="1418" w:hanging="851"/>
        <w:jc w:val="both"/>
        <w:rPr>
          <w:rFonts w:cs="Arial"/>
          <w:bCs/>
          <w:szCs w:val="22"/>
        </w:rPr>
      </w:pPr>
      <w:r w:rsidRPr="00E40F0B">
        <w:rPr>
          <w:rFonts w:cs="Arial"/>
          <w:bCs/>
          <w:szCs w:val="22"/>
        </w:rPr>
        <w:t>5.4</w:t>
      </w:r>
      <w:r w:rsidRPr="00E40F0B">
        <w:rPr>
          <w:rFonts w:cs="Arial"/>
          <w:bCs/>
          <w:szCs w:val="22"/>
        </w:rPr>
        <w:tab/>
      </w:r>
      <w:r w:rsidR="00A857FF">
        <w:rPr>
          <w:rFonts w:cs="Arial"/>
          <w:bCs/>
          <w:szCs w:val="22"/>
          <w:lang w:val="en-GB"/>
        </w:rPr>
        <w:t>The first</w:t>
      </w:r>
      <w:r w:rsidR="004843FB" w:rsidRPr="00E40F0B">
        <w:rPr>
          <w:rFonts w:cs="Arial"/>
          <w:bCs/>
          <w:szCs w:val="22"/>
          <w:lang w:val="en-GB"/>
        </w:rPr>
        <w:t xml:space="preserve"> maintenance order was granted in the </w:t>
      </w:r>
      <w:proofErr w:type="spellStart"/>
      <w:r w:rsidR="004843FB" w:rsidRPr="00E40F0B">
        <w:rPr>
          <w:rFonts w:cs="Arial"/>
          <w:bCs/>
          <w:szCs w:val="22"/>
          <w:lang w:val="en-GB"/>
        </w:rPr>
        <w:t>Randburg</w:t>
      </w:r>
      <w:proofErr w:type="spellEnd"/>
      <w:r w:rsidR="004843FB" w:rsidRPr="00E40F0B">
        <w:rPr>
          <w:rFonts w:cs="Arial"/>
          <w:bCs/>
          <w:szCs w:val="22"/>
          <w:lang w:val="en-GB"/>
        </w:rPr>
        <w:t xml:space="preserve"> Maintenance Court on 28 August 2020</w:t>
      </w:r>
      <w:r w:rsidR="00EE08BD">
        <w:rPr>
          <w:rFonts w:cs="Arial"/>
          <w:bCs/>
          <w:szCs w:val="22"/>
          <w:lang w:val="en-GB"/>
        </w:rPr>
        <w:t>;</w:t>
      </w:r>
    </w:p>
    <w:p w14:paraId="3130240C" w14:textId="5098E49F" w:rsidR="00F44F59" w:rsidRPr="00E40F0B" w:rsidRDefault="00687AC8" w:rsidP="00687AC8">
      <w:pPr>
        <w:widowControl w:val="0"/>
        <w:tabs>
          <w:tab w:val="left" w:pos="1418"/>
        </w:tabs>
        <w:spacing w:before="480" w:after="480" w:line="360" w:lineRule="auto"/>
        <w:ind w:left="1418" w:hanging="851"/>
        <w:jc w:val="both"/>
        <w:rPr>
          <w:rFonts w:cs="Arial"/>
          <w:bCs/>
          <w:szCs w:val="22"/>
        </w:rPr>
      </w:pPr>
      <w:r w:rsidRPr="00E40F0B">
        <w:rPr>
          <w:rFonts w:cs="Arial"/>
          <w:bCs/>
          <w:szCs w:val="22"/>
        </w:rPr>
        <w:t>5.5</w:t>
      </w:r>
      <w:r w:rsidRPr="00E40F0B">
        <w:rPr>
          <w:rFonts w:cs="Arial"/>
          <w:bCs/>
          <w:szCs w:val="22"/>
        </w:rPr>
        <w:tab/>
      </w:r>
      <w:r w:rsidR="00F44F59" w:rsidRPr="00E40F0B">
        <w:rPr>
          <w:rFonts w:cs="Arial"/>
          <w:bCs/>
          <w:szCs w:val="22"/>
          <w:lang w:val="en-GB"/>
        </w:rPr>
        <w:t>The order was granted</w:t>
      </w:r>
      <w:r w:rsidR="00C31AC7">
        <w:rPr>
          <w:rFonts w:cs="Arial"/>
          <w:bCs/>
          <w:szCs w:val="22"/>
          <w:lang w:val="en-GB"/>
        </w:rPr>
        <w:t xml:space="preserve"> by consent and</w:t>
      </w:r>
      <w:r w:rsidR="00F44F59" w:rsidRPr="00E40F0B">
        <w:rPr>
          <w:rFonts w:cs="Arial"/>
          <w:bCs/>
          <w:szCs w:val="22"/>
          <w:lang w:val="en-GB"/>
        </w:rPr>
        <w:t xml:space="preserve"> </w:t>
      </w:r>
      <w:r w:rsidR="004258D8" w:rsidRPr="00E40F0B">
        <w:rPr>
          <w:rFonts w:cs="Arial"/>
          <w:bCs/>
          <w:szCs w:val="22"/>
          <w:lang w:val="en-GB"/>
        </w:rPr>
        <w:t>in accordance with a</w:t>
      </w:r>
      <w:r w:rsidR="00F44F59" w:rsidRPr="00E40F0B">
        <w:rPr>
          <w:rFonts w:cs="Arial"/>
          <w:bCs/>
          <w:szCs w:val="22"/>
          <w:lang w:val="en-GB"/>
        </w:rPr>
        <w:t xml:space="preserve"> </w:t>
      </w:r>
      <w:r w:rsidR="004258D8" w:rsidRPr="00E40F0B">
        <w:rPr>
          <w:rFonts w:cs="Arial"/>
          <w:bCs/>
          <w:szCs w:val="22"/>
          <w:lang w:val="en-GB"/>
        </w:rPr>
        <w:t xml:space="preserve">settlement </w:t>
      </w:r>
      <w:r w:rsidR="00F44F59" w:rsidRPr="00E40F0B">
        <w:rPr>
          <w:rFonts w:cs="Arial"/>
          <w:bCs/>
          <w:szCs w:val="22"/>
          <w:lang w:val="en-GB"/>
        </w:rPr>
        <w:t xml:space="preserve">agreement </w:t>
      </w:r>
      <w:r w:rsidR="004258D8" w:rsidRPr="00E40F0B">
        <w:rPr>
          <w:rFonts w:cs="Arial"/>
          <w:bCs/>
          <w:szCs w:val="22"/>
          <w:lang w:val="en-GB"/>
        </w:rPr>
        <w:t>entered into on 28 August 2020</w:t>
      </w:r>
      <w:r w:rsidR="00EE08BD">
        <w:rPr>
          <w:rFonts w:cs="Arial"/>
          <w:bCs/>
          <w:szCs w:val="22"/>
          <w:lang w:val="en-GB"/>
        </w:rPr>
        <w:t>;</w:t>
      </w:r>
    </w:p>
    <w:p w14:paraId="4360B753" w14:textId="0C591575" w:rsidR="004843FB" w:rsidRPr="00E40F0B" w:rsidRDefault="00687AC8" w:rsidP="00687AC8">
      <w:pPr>
        <w:widowControl w:val="0"/>
        <w:tabs>
          <w:tab w:val="left" w:pos="1418"/>
        </w:tabs>
        <w:spacing w:before="480" w:after="480" w:line="360" w:lineRule="auto"/>
        <w:ind w:left="1418" w:hanging="851"/>
        <w:jc w:val="both"/>
        <w:rPr>
          <w:rFonts w:cs="Arial"/>
          <w:bCs/>
          <w:szCs w:val="22"/>
        </w:rPr>
      </w:pPr>
      <w:r w:rsidRPr="00E40F0B">
        <w:rPr>
          <w:rFonts w:cs="Arial"/>
          <w:bCs/>
          <w:szCs w:val="22"/>
        </w:rPr>
        <w:t>5.6</w:t>
      </w:r>
      <w:r w:rsidRPr="00E40F0B">
        <w:rPr>
          <w:rFonts w:cs="Arial"/>
          <w:bCs/>
          <w:szCs w:val="22"/>
        </w:rPr>
        <w:tab/>
      </w:r>
      <w:r w:rsidR="004843FB" w:rsidRPr="00E40F0B">
        <w:rPr>
          <w:rFonts w:cs="Arial"/>
          <w:bCs/>
          <w:szCs w:val="22"/>
          <w:lang w:val="en-GB"/>
        </w:rPr>
        <w:t xml:space="preserve">The appellant </w:t>
      </w:r>
      <w:r w:rsidR="002D73C6">
        <w:rPr>
          <w:rFonts w:cs="Arial"/>
          <w:bCs/>
          <w:szCs w:val="22"/>
          <w:lang w:val="en-GB"/>
        </w:rPr>
        <w:t>could</w:t>
      </w:r>
      <w:r w:rsidR="004843FB" w:rsidRPr="00E40F0B">
        <w:rPr>
          <w:rFonts w:cs="Arial"/>
          <w:bCs/>
          <w:szCs w:val="22"/>
          <w:lang w:val="en-GB"/>
        </w:rPr>
        <w:t xml:space="preserve"> not comply with the order</w:t>
      </w:r>
      <w:r w:rsidR="002D73C6">
        <w:rPr>
          <w:rFonts w:cs="Arial"/>
          <w:bCs/>
          <w:szCs w:val="22"/>
          <w:lang w:val="en-GB"/>
        </w:rPr>
        <w:t xml:space="preserve"> and sought an order amending the first order.</w:t>
      </w:r>
    </w:p>
    <w:p w14:paraId="480FCE06" w14:textId="0E6C9A05" w:rsidR="008041D4" w:rsidRPr="00E40F0B" w:rsidRDefault="00687AC8" w:rsidP="00687AC8">
      <w:pPr>
        <w:widowControl w:val="0"/>
        <w:tabs>
          <w:tab w:val="left" w:pos="567"/>
        </w:tabs>
        <w:spacing w:before="480" w:after="480" w:line="360" w:lineRule="auto"/>
        <w:jc w:val="both"/>
        <w:rPr>
          <w:rFonts w:cs="Arial"/>
          <w:bCs/>
          <w:szCs w:val="22"/>
        </w:rPr>
      </w:pPr>
      <w:bookmarkStart w:id="2" w:name="_Hlk150693540"/>
      <w:r w:rsidRPr="00E40F0B">
        <w:rPr>
          <w:rFonts w:cs="Arial"/>
          <w:bCs/>
          <w:szCs w:val="22"/>
        </w:rPr>
        <w:t>[6]</w:t>
      </w:r>
      <w:r w:rsidRPr="00E40F0B">
        <w:rPr>
          <w:rFonts w:cs="Arial"/>
          <w:bCs/>
          <w:szCs w:val="22"/>
        </w:rPr>
        <w:tab/>
      </w:r>
      <w:r w:rsidR="00F44F59" w:rsidRPr="00E40F0B">
        <w:rPr>
          <w:rFonts w:cs="Arial"/>
          <w:bCs/>
          <w:szCs w:val="22"/>
          <w:lang w:val="en-GB"/>
        </w:rPr>
        <w:t xml:space="preserve">The magistrate </w:t>
      </w:r>
      <w:bookmarkEnd w:id="2"/>
      <w:r w:rsidR="00F44F59" w:rsidRPr="00E40F0B">
        <w:rPr>
          <w:rFonts w:cs="Arial"/>
          <w:bCs/>
          <w:szCs w:val="22"/>
          <w:lang w:val="en-GB"/>
        </w:rPr>
        <w:t>referred to</w:t>
      </w:r>
      <w:r w:rsidR="00893805" w:rsidRPr="00E40F0B">
        <w:rPr>
          <w:rFonts w:cs="Arial"/>
          <w:bCs/>
          <w:szCs w:val="22"/>
          <w:lang w:val="en-GB"/>
        </w:rPr>
        <w:t xml:space="preserve"> section 28</w:t>
      </w:r>
      <w:r w:rsidR="008041D4" w:rsidRPr="00E40F0B">
        <w:rPr>
          <w:rFonts w:cs="Arial"/>
          <w:bCs/>
          <w:szCs w:val="22"/>
          <w:lang w:val="en-GB"/>
        </w:rPr>
        <w:t>(2)</w:t>
      </w:r>
      <w:r w:rsidR="00893805" w:rsidRPr="00E40F0B">
        <w:rPr>
          <w:rFonts w:cs="Arial"/>
          <w:bCs/>
          <w:szCs w:val="22"/>
          <w:lang w:val="en-GB"/>
        </w:rPr>
        <w:t xml:space="preserve"> of the Constitution of 1996</w:t>
      </w:r>
      <w:r w:rsidR="008041D4" w:rsidRPr="00E40F0B">
        <w:rPr>
          <w:rFonts w:cs="Arial"/>
          <w:bCs/>
          <w:szCs w:val="22"/>
          <w:lang w:val="en-GB"/>
        </w:rPr>
        <w:t>. The subsection entrench</w:t>
      </w:r>
      <w:r w:rsidR="00C22568">
        <w:rPr>
          <w:rFonts w:cs="Arial"/>
          <w:bCs/>
          <w:szCs w:val="22"/>
          <w:lang w:val="en-GB"/>
        </w:rPr>
        <w:t>es</w:t>
      </w:r>
      <w:r w:rsidR="008041D4" w:rsidRPr="00E40F0B">
        <w:rPr>
          <w:rFonts w:cs="Arial"/>
          <w:bCs/>
          <w:szCs w:val="22"/>
          <w:lang w:val="en-GB"/>
        </w:rPr>
        <w:t xml:space="preserve"> the rights of children and reads as follows:</w:t>
      </w:r>
    </w:p>
    <w:p w14:paraId="6DC2B030" w14:textId="56826D88" w:rsidR="008041D4" w:rsidRPr="00E40F0B" w:rsidRDefault="008041D4" w:rsidP="008041D4">
      <w:pPr>
        <w:widowControl w:val="0"/>
        <w:spacing w:before="480" w:after="480" w:line="360" w:lineRule="auto"/>
        <w:ind w:left="720"/>
        <w:jc w:val="both"/>
        <w:rPr>
          <w:rFonts w:cs="Arial"/>
          <w:bCs/>
          <w:i/>
          <w:iCs/>
          <w:szCs w:val="22"/>
        </w:rPr>
      </w:pPr>
      <w:r w:rsidRPr="00E40F0B">
        <w:rPr>
          <w:rFonts w:cs="Arial"/>
          <w:i/>
          <w:iCs/>
          <w:szCs w:val="22"/>
        </w:rPr>
        <w:t xml:space="preserve">“(2) A child's best interests are of paramount importance in every matter </w:t>
      </w:r>
      <w:r w:rsidRPr="00E40F0B">
        <w:rPr>
          <w:rFonts w:cs="Arial"/>
          <w:i/>
          <w:iCs/>
          <w:szCs w:val="22"/>
        </w:rPr>
        <w:lastRenderedPageBreak/>
        <w:t>concerning the child.”</w:t>
      </w:r>
    </w:p>
    <w:p w14:paraId="4C482685" w14:textId="53E4DFDA" w:rsidR="004843FB" w:rsidRPr="00E40F0B" w:rsidRDefault="00687AC8" w:rsidP="00687AC8">
      <w:pPr>
        <w:widowControl w:val="0"/>
        <w:tabs>
          <w:tab w:val="left" w:pos="567"/>
        </w:tabs>
        <w:spacing w:before="480" w:after="480" w:line="360" w:lineRule="auto"/>
        <w:jc w:val="both"/>
        <w:rPr>
          <w:rFonts w:cs="Arial"/>
          <w:bCs/>
          <w:szCs w:val="22"/>
        </w:rPr>
      </w:pPr>
      <w:r w:rsidRPr="00E40F0B">
        <w:rPr>
          <w:rFonts w:cs="Arial"/>
          <w:bCs/>
          <w:szCs w:val="22"/>
        </w:rPr>
        <w:t>[7]</w:t>
      </w:r>
      <w:r w:rsidRPr="00E40F0B">
        <w:rPr>
          <w:rFonts w:cs="Arial"/>
          <w:bCs/>
          <w:szCs w:val="22"/>
        </w:rPr>
        <w:tab/>
      </w:r>
      <w:r w:rsidR="008041D4" w:rsidRPr="00E40F0B">
        <w:rPr>
          <w:rFonts w:cs="Arial"/>
          <w:bCs/>
          <w:szCs w:val="22"/>
          <w:lang w:val="en-GB"/>
        </w:rPr>
        <w:t xml:space="preserve">  </w:t>
      </w:r>
      <w:r w:rsidR="00C22568" w:rsidRPr="00E40F0B">
        <w:rPr>
          <w:rFonts w:cs="Arial"/>
          <w:bCs/>
          <w:szCs w:val="22"/>
          <w:lang w:val="en-GB"/>
        </w:rPr>
        <w:t xml:space="preserve">The </w:t>
      </w:r>
      <w:r w:rsidR="00C22568">
        <w:rPr>
          <w:rFonts w:cs="Arial"/>
          <w:bCs/>
          <w:szCs w:val="22"/>
          <w:lang w:val="en-GB"/>
        </w:rPr>
        <w:t xml:space="preserve">learned </w:t>
      </w:r>
      <w:r w:rsidR="00C22568" w:rsidRPr="00E40F0B">
        <w:rPr>
          <w:rFonts w:cs="Arial"/>
          <w:bCs/>
          <w:szCs w:val="22"/>
          <w:lang w:val="en-GB"/>
        </w:rPr>
        <w:t xml:space="preserve">magistrate </w:t>
      </w:r>
      <w:r w:rsidR="008041D4" w:rsidRPr="00E40F0B">
        <w:rPr>
          <w:rFonts w:cs="Arial"/>
          <w:bCs/>
          <w:szCs w:val="22"/>
          <w:lang w:val="en-GB"/>
        </w:rPr>
        <w:t>then analysed</w:t>
      </w:r>
      <w:r w:rsidR="00F44F59" w:rsidRPr="00E40F0B">
        <w:rPr>
          <w:rFonts w:cs="Arial"/>
          <w:bCs/>
          <w:szCs w:val="22"/>
          <w:lang w:val="en-GB"/>
        </w:rPr>
        <w:t xml:space="preserve"> various authorities</w:t>
      </w:r>
      <w:r w:rsidR="00F44F59" w:rsidRPr="00E40F0B">
        <w:rPr>
          <w:rStyle w:val="FootnoteReference"/>
          <w:rFonts w:cs="Arial"/>
          <w:bCs/>
          <w:szCs w:val="22"/>
          <w:lang w:val="en-GB"/>
        </w:rPr>
        <w:footnoteReference w:id="3"/>
      </w:r>
      <w:r w:rsidR="00E77C31" w:rsidRPr="00E40F0B">
        <w:rPr>
          <w:rFonts w:cs="Arial"/>
          <w:bCs/>
          <w:szCs w:val="22"/>
          <w:lang w:val="en-GB"/>
        </w:rPr>
        <w:t xml:space="preserve"> and </w:t>
      </w:r>
      <w:r w:rsidR="005074CD" w:rsidRPr="00E40F0B">
        <w:rPr>
          <w:rFonts w:cs="Arial"/>
          <w:bCs/>
          <w:szCs w:val="22"/>
          <w:lang w:val="en-GB"/>
        </w:rPr>
        <w:t xml:space="preserve">set out </w:t>
      </w:r>
      <w:r w:rsidR="00971001" w:rsidRPr="00E40F0B">
        <w:rPr>
          <w:rFonts w:cs="Arial"/>
          <w:bCs/>
          <w:szCs w:val="22"/>
          <w:lang w:val="en-GB"/>
        </w:rPr>
        <w:t xml:space="preserve">the factors that  a court should consider </w:t>
      </w:r>
      <w:r w:rsidR="005074CD" w:rsidRPr="00E40F0B">
        <w:rPr>
          <w:rFonts w:cs="Arial"/>
          <w:bCs/>
          <w:szCs w:val="22"/>
          <w:lang w:val="en-GB"/>
        </w:rPr>
        <w:t xml:space="preserve">when deciding on the contribution to be made by each party. He did so by quoting from </w:t>
      </w:r>
      <w:proofErr w:type="spellStart"/>
      <w:r w:rsidR="00971001" w:rsidRPr="00E40F0B">
        <w:rPr>
          <w:rFonts w:cs="Arial"/>
          <w:i/>
          <w:iCs/>
          <w:szCs w:val="22"/>
        </w:rPr>
        <w:t>Modise</w:t>
      </w:r>
      <w:proofErr w:type="spellEnd"/>
      <w:r w:rsidR="00971001" w:rsidRPr="00E40F0B">
        <w:rPr>
          <w:rFonts w:cs="Arial"/>
          <w:i/>
          <w:iCs/>
          <w:szCs w:val="22"/>
        </w:rPr>
        <w:t xml:space="preserve"> v </w:t>
      </w:r>
      <w:proofErr w:type="spellStart"/>
      <w:r w:rsidR="00971001" w:rsidRPr="00E40F0B">
        <w:rPr>
          <w:rFonts w:cs="Arial"/>
          <w:i/>
          <w:iCs/>
          <w:szCs w:val="22"/>
        </w:rPr>
        <w:t>Modise</w:t>
      </w:r>
      <w:proofErr w:type="spellEnd"/>
      <w:r w:rsidR="00971001" w:rsidRPr="00E40F0B">
        <w:rPr>
          <w:rFonts w:cs="Arial"/>
          <w:i/>
          <w:iCs/>
          <w:szCs w:val="22"/>
        </w:rPr>
        <w:t xml:space="preserve"> and Another</w:t>
      </w:r>
      <w:r w:rsidR="002D73C6">
        <w:rPr>
          <w:rFonts w:cs="Arial"/>
          <w:i/>
          <w:iCs/>
          <w:szCs w:val="22"/>
        </w:rPr>
        <w:t>.</w:t>
      </w:r>
      <w:r w:rsidR="00971001" w:rsidRPr="00E40F0B">
        <w:rPr>
          <w:rStyle w:val="FootnoteReference"/>
          <w:rFonts w:cs="Arial"/>
          <w:szCs w:val="22"/>
        </w:rPr>
        <w:footnoteReference w:id="4"/>
      </w:r>
      <w:r w:rsidR="002D73C6">
        <w:rPr>
          <w:rFonts w:cs="Arial"/>
          <w:i/>
          <w:iCs/>
          <w:szCs w:val="22"/>
        </w:rPr>
        <w:t xml:space="preserve"> </w:t>
      </w:r>
      <w:r w:rsidR="002D73C6">
        <w:rPr>
          <w:rFonts w:cs="Arial"/>
          <w:szCs w:val="22"/>
        </w:rPr>
        <w:t>The following factors are deserving of consideration:</w:t>
      </w:r>
    </w:p>
    <w:p w14:paraId="00555846" w14:textId="7C388B31" w:rsidR="00E77C31" w:rsidRPr="00E40F0B" w:rsidRDefault="00971001" w:rsidP="005074CD">
      <w:pPr>
        <w:pStyle w:val="Heading2"/>
        <w:shd w:val="clear" w:color="auto" w:fill="FFFFFF"/>
        <w:spacing w:after="0" w:line="360" w:lineRule="auto"/>
        <w:ind w:left="720"/>
        <w:jc w:val="both"/>
        <w:rPr>
          <w:b w:val="0"/>
          <w:bCs w:val="0"/>
          <w:color w:val="000000" w:themeColor="text1"/>
          <w:szCs w:val="22"/>
          <w:lang w:eastAsia="en-ZA"/>
        </w:rPr>
      </w:pPr>
      <w:r w:rsidRPr="00E40F0B">
        <w:rPr>
          <w:b w:val="0"/>
          <w:bCs w:val="0"/>
          <w:i/>
          <w:iCs/>
          <w:color w:val="000000" w:themeColor="text1"/>
          <w:szCs w:val="22"/>
        </w:rPr>
        <w:t>“</w:t>
      </w:r>
      <w:r w:rsidR="00E77C31" w:rsidRPr="00E40F0B">
        <w:rPr>
          <w:b w:val="0"/>
          <w:bCs w:val="0"/>
          <w:i/>
          <w:iCs/>
          <w:color w:val="000000" w:themeColor="text1"/>
          <w:szCs w:val="22"/>
        </w:rPr>
        <w:t>(</w:t>
      </w:r>
      <w:proofErr w:type="spellStart"/>
      <w:r w:rsidR="00E77C31" w:rsidRPr="00E40F0B">
        <w:rPr>
          <w:b w:val="0"/>
          <w:bCs w:val="0"/>
          <w:i/>
          <w:iCs/>
          <w:color w:val="000000" w:themeColor="text1"/>
          <w:szCs w:val="22"/>
        </w:rPr>
        <w:t>i</w:t>
      </w:r>
      <w:proofErr w:type="spellEnd"/>
      <w:r w:rsidR="00E77C31" w:rsidRPr="00E40F0B">
        <w:rPr>
          <w:b w:val="0"/>
          <w:bCs w:val="0"/>
          <w:i/>
          <w:iCs/>
          <w:color w:val="000000" w:themeColor="text1"/>
          <w:szCs w:val="22"/>
        </w:rPr>
        <w:t>) The reasons that led to the failure by the other parent to contribute to the maintenance of the child.</w:t>
      </w:r>
    </w:p>
    <w:p w14:paraId="6528198B" w14:textId="05E6302D" w:rsidR="00E77C31" w:rsidRPr="00E40F0B" w:rsidRDefault="00E77C31" w:rsidP="005074CD">
      <w:pPr>
        <w:pStyle w:val="NormalWeb"/>
        <w:shd w:val="clear" w:color="auto" w:fill="FFFFFF"/>
        <w:spacing w:before="0" w:beforeAutospacing="0" w:after="0" w:afterAutospacing="0" w:line="360" w:lineRule="auto"/>
        <w:ind w:left="1395"/>
        <w:jc w:val="both"/>
        <w:rPr>
          <w:rFonts w:ascii="Arial" w:hAnsi="Arial" w:cs="Arial"/>
          <w:color w:val="000000" w:themeColor="text1"/>
          <w:sz w:val="22"/>
          <w:szCs w:val="22"/>
        </w:rPr>
      </w:pPr>
    </w:p>
    <w:p w14:paraId="4E68D877" w14:textId="4834508E" w:rsidR="00E77C31" w:rsidRPr="00E40F0B" w:rsidRDefault="00E77C31" w:rsidP="005074CD">
      <w:pPr>
        <w:pStyle w:val="Heading2"/>
        <w:shd w:val="clear" w:color="auto" w:fill="FFFFFF"/>
        <w:spacing w:after="0" w:line="360" w:lineRule="auto"/>
        <w:ind w:left="720"/>
        <w:jc w:val="both"/>
        <w:rPr>
          <w:b w:val="0"/>
          <w:bCs w:val="0"/>
          <w:color w:val="000000" w:themeColor="text1"/>
          <w:szCs w:val="22"/>
        </w:rPr>
      </w:pPr>
      <w:r w:rsidRPr="00E40F0B">
        <w:rPr>
          <w:b w:val="0"/>
          <w:bCs w:val="0"/>
          <w:i/>
          <w:iCs/>
          <w:color w:val="000000" w:themeColor="text1"/>
          <w:szCs w:val="22"/>
        </w:rPr>
        <w:t>(ii) Whether the claiming parent has acted within reasonable time, regard being had to her ability to claim from the other party, the relationship between the parties, the availability of the other party, etc.</w:t>
      </w:r>
    </w:p>
    <w:p w14:paraId="369CC6E6" w14:textId="06716B76" w:rsidR="00E77C31" w:rsidRPr="00E40F0B" w:rsidRDefault="00E77C31" w:rsidP="005074CD">
      <w:pPr>
        <w:pStyle w:val="NormalWeb"/>
        <w:shd w:val="clear" w:color="auto" w:fill="FFFFFF"/>
        <w:spacing w:before="0" w:beforeAutospacing="0" w:after="0" w:afterAutospacing="0" w:line="360" w:lineRule="auto"/>
        <w:ind w:left="1395"/>
        <w:jc w:val="both"/>
        <w:rPr>
          <w:rFonts w:ascii="Arial" w:hAnsi="Arial" w:cs="Arial"/>
          <w:color w:val="000000" w:themeColor="text1"/>
          <w:sz w:val="22"/>
          <w:szCs w:val="22"/>
        </w:rPr>
      </w:pPr>
    </w:p>
    <w:p w14:paraId="37872E16" w14:textId="567F01A1" w:rsidR="00E77C31" w:rsidRPr="00E40F0B" w:rsidRDefault="00E77C31" w:rsidP="005074CD">
      <w:pPr>
        <w:pStyle w:val="Heading2"/>
        <w:shd w:val="clear" w:color="auto" w:fill="FFFFFF"/>
        <w:spacing w:after="0" w:line="360" w:lineRule="auto"/>
        <w:ind w:left="720"/>
        <w:jc w:val="both"/>
        <w:rPr>
          <w:b w:val="0"/>
          <w:bCs w:val="0"/>
          <w:color w:val="000000" w:themeColor="text1"/>
          <w:szCs w:val="22"/>
        </w:rPr>
      </w:pPr>
      <w:r w:rsidRPr="00E40F0B">
        <w:rPr>
          <w:b w:val="0"/>
          <w:bCs w:val="0"/>
          <w:i/>
          <w:iCs/>
          <w:color w:val="000000" w:themeColor="text1"/>
          <w:szCs w:val="22"/>
        </w:rPr>
        <w:t>(iii) Whether the parent who did not contribute was aware that the other party was making expenses for the benefit of their children.</w:t>
      </w:r>
    </w:p>
    <w:p w14:paraId="57FFD53D" w14:textId="7714CB61" w:rsidR="00E77C31" w:rsidRPr="00E40F0B" w:rsidRDefault="00E77C31" w:rsidP="005074CD">
      <w:pPr>
        <w:pStyle w:val="NormalWeb"/>
        <w:shd w:val="clear" w:color="auto" w:fill="FFFFFF"/>
        <w:spacing w:before="0" w:beforeAutospacing="0" w:after="0" w:afterAutospacing="0" w:line="360" w:lineRule="auto"/>
        <w:ind w:left="1395"/>
        <w:jc w:val="both"/>
        <w:rPr>
          <w:rFonts w:ascii="Arial" w:hAnsi="Arial" w:cs="Arial"/>
          <w:color w:val="000000" w:themeColor="text1"/>
          <w:sz w:val="22"/>
          <w:szCs w:val="22"/>
        </w:rPr>
      </w:pPr>
    </w:p>
    <w:p w14:paraId="0CA4576F" w14:textId="1F425767" w:rsidR="00E77C31" w:rsidRPr="00E40F0B" w:rsidRDefault="00E77C31" w:rsidP="005074CD">
      <w:pPr>
        <w:pStyle w:val="Heading2"/>
        <w:shd w:val="clear" w:color="auto" w:fill="FFFFFF"/>
        <w:spacing w:after="0" w:line="360" w:lineRule="auto"/>
        <w:ind w:left="720"/>
        <w:jc w:val="both"/>
        <w:rPr>
          <w:b w:val="0"/>
          <w:bCs w:val="0"/>
          <w:color w:val="000000" w:themeColor="text1"/>
          <w:szCs w:val="22"/>
        </w:rPr>
      </w:pPr>
      <w:r w:rsidRPr="00E40F0B">
        <w:rPr>
          <w:b w:val="0"/>
          <w:bCs w:val="0"/>
          <w:i/>
          <w:iCs/>
          <w:color w:val="000000" w:themeColor="text1"/>
          <w:szCs w:val="22"/>
        </w:rPr>
        <w:t>(iv) What steps, if any, the party who failed to contribute made to enquire about his own obligations in the maintenance arrangements made and executed by the other party.</w:t>
      </w:r>
      <w:r w:rsidR="00971001" w:rsidRPr="00E40F0B">
        <w:rPr>
          <w:b w:val="0"/>
          <w:bCs w:val="0"/>
          <w:i/>
          <w:iCs/>
          <w:color w:val="000000" w:themeColor="text1"/>
          <w:szCs w:val="22"/>
        </w:rPr>
        <w:t>”</w:t>
      </w:r>
    </w:p>
    <w:p w14:paraId="17BB01BD" w14:textId="08CDAFCE" w:rsidR="00E77C31" w:rsidRPr="00E40F0B" w:rsidRDefault="00E77C31" w:rsidP="005074CD">
      <w:pPr>
        <w:pStyle w:val="NormalWeb"/>
        <w:shd w:val="clear" w:color="auto" w:fill="FFFFFF"/>
        <w:spacing w:before="0" w:beforeAutospacing="0" w:after="0" w:afterAutospacing="0" w:line="360" w:lineRule="auto"/>
        <w:ind w:left="1395"/>
        <w:jc w:val="both"/>
        <w:rPr>
          <w:rFonts w:ascii="Arial" w:hAnsi="Arial" w:cs="Arial"/>
          <w:color w:val="000000" w:themeColor="text1"/>
          <w:sz w:val="22"/>
          <w:szCs w:val="22"/>
        </w:rPr>
      </w:pPr>
    </w:p>
    <w:p w14:paraId="69ABD1CC" w14:textId="15BECDAB" w:rsidR="00E77C31" w:rsidRPr="00E40F0B" w:rsidRDefault="00687AC8" w:rsidP="00687AC8">
      <w:pPr>
        <w:widowControl w:val="0"/>
        <w:tabs>
          <w:tab w:val="left" w:pos="567"/>
        </w:tabs>
        <w:spacing w:before="480" w:after="480" w:line="360" w:lineRule="auto"/>
        <w:jc w:val="both"/>
        <w:rPr>
          <w:rFonts w:cs="Arial"/>
          <w:bCs/>
          <w:szCs w:val="22"/>
        </w:rPr>
      </w:pPr>
      <w:r w:rsidRPr="00E40F0B">
        <w:rPr>
          <w:rFonts w:cs="Arial"/>
          <w:bCs/>
          <w:szCs w:val="22"/>
        </w:rPr>
        <w:t>[8]</w:t>
      </w:r>
      <w:r w:rsidRPr="00E40F0B">
        <w:rPr>
          <w:rFonts w:cs="Arial"/>
          <w:bCs/>
          <w:szCs w:val="22"/>
        </w:rPr>
        <w:tab/>
      </w:r>
      <w:r w:rsidR="00893805" w:rsidRPr="00E40F0B">
        <w:rPr>
          <w:rFonts w:cs="Arial"/>
          <w:bCs/>
          <w:szCs w:val="22"/>
        </w:rPr>
        <w:t xml:space="preserve">Having set out the applicable principles the magistrate turned to </w:t>
      </w:r>
      <w:r w:rsidR="002D73C6">
        <w:rPr>
          <w:rFonts w:cs="Arial"/>
          <w:bCs/>
          <w:szCs w:val="22"/>
        </w:rPr>
        <w:t xml:space="preserve">the </w:t>
      </w:r>
      <w:r w:rsidR="00893805" w:rsidRPr="00E40F0B">
        <w:rPr>
          <w:rFonts w:cs="Arial"/>
          <w:bCs/>
          <w:szCs w:val="22"/>
        </w:rPr>
        <w:t>facts placed before him.</w:t>
      </w:r>
      <w:r w:rsidR="008041D4" w:rsidRPr="00E40F0B">
        <w:rPr>
          <w:rFonts w:cs="Arial"/>
          <w:bCs/>
          <w:szCs w:val="22"/>
        </w:rPr>
        <w:t xml:space="preserve"> </w:t>
      </w:r>
      <w:r w:rsidR="00893805" w:rsidRPr="00E40F0B">
        <w:rPr>
          <w:rFonts w:cs="Arial"/>
          <w:bCs/>
          <w:szCs w:val="22"/>
        </w:rPr>
        <w:t xml:space="preserve">The appellant earned R62,433.90 </w:t>
      </w:r>
      <w:r w:rsidR="00C22568" w:rsidRPr="00A512AB">
        <w:rPr>
          <w:rFonts w:cs="Arial"/>
          <w:b/>
          <w:szCs w:val="22"/>
        </w:rPr>
        <w:t>nett</w:t>
      </w:r>
      <w:r w:rsidR="00C22568" w:rsidRPr="00A512AB">
        <w:rPr>
          <w:rFonts w:cs="Arial"/>
          <w:bCs/>
          <w:szCs w:val="22"/>
        </w:rPr>
        <w:t xml:space="preserve"> </w:t>
      </w:r>
      <w:r w:rsidR="00893805" w:rsidRPr="00E40F0B">
        <w:rPr>
          <w:rFonts w:cs="Arial"/>
          <w:bCs/>
          <w:szCs w:val="22"/>
        </w:rPr>
        <w:t xml:space="preserve">per month, more than double the </w:t>
      </w:r>
      <w:r w:rsidR="00893805" w:rsidRPr="00C22568">
        <w:rPr>
          <w:rFonts w:cs="Arial"/>
          <w:b/>
          <w:szCs w:val="22"/>
        </w:rPr>
        <w:t xml:space="preserve">amount </w:t>
      </w:r>
      <w:r w:rsidR="00C22568" w:rsidRPr="00C22568">
        <w:rPr>
          <w:rFonts w:cs="Arial"/>
          <w:b/>
          <w:szCs w:val="22"/>
        </w:rPr>
        <w:t xml:space="preserve">of </w:t>
      </w:r>
      <w:r w:rsidR="00893805" w:rsidRPr="00C22568">
        <w:rPr>
          <w:rFonts w:cs="Arial"/>
          <w:b/>
          <w:szCs w:val="22"/>
        </w:rPr>
        <w:t>R30,345.20</w:t>
      </w:r>
      <w:r w:rsidR="00C22568" w:rsidRPr="00C22568">
        <w:rPr>
          <w:rFonts w:cs="Arial"/>
          <w:b/>
          <w:szCs w:val="22"/>
        </w:rPr>
        <w:t xml:space="preserve"> </w:t>
      </w:r>
      <w:r w:rsidR="00A512AB">
        <w:rPr>
          <w:rFonts w:cs="Arial"/>
          <w:b/>
          <w:szCs w:val="22"/>
        </w:rPr>
        <w:t xml:space="preserve">nett </w:t>
      </w:r>
      <w:r w:rsidR="00C22568" w:rsidRPr="00C22568">
        <w:rPr>
          <w:rFonts w:cs="Arial"/>
          <w:b/>
          <w:szCs w:val="22"/>
        </w:rPr>
        <w:t>earned by the respondent.</w:t>
      </w:r>
      <w:r w:rsidR="00C22568">
        <w:rPr>
          <w:rFonts w:cs="Arial"/>
          <w:bCs/>
          <w:szCs w:val="22"/>
        </w:rPr>
        <w:t xml:space="preserve"> </w:t>
      </w:r>
      <w:r w:rsidR="00893805" w:rsidRPr="00E40F0B">
        <w:rPr>
          <w:rFonts w:cs="Arial"/>
          <w:bCs/>
          <w:szCs w:val="22"/>
        </w:rPr>
        <w:t>Both parties earned overtime payment in</w:t>
      </w:r>
      <w:r w:rsidR="00A512AB">
        <w:rPr>
          <w:rFonts w:cs="Arial"/>
          <w:bCs/>
          <w:szCs w:val="22"/>
        </w:rPr>
        <w:t xml:space="preserve"> </w:t>
      </w:r>
      <w:r w:rsidR="00A512AB" w:rsidRPr="00A512AB">
        <w:rPr>
          <w:rFonts w:cs="Arial"/>
          <w:b/>
          <w:szCs w:val="22"/>
        </w:rPr>
        <w:t>addition to</w:t>
      </w:r>
      <w:r w:rsidR="00893805" w:rsidRPr="00E40F0B">
        <w:rPr>
          <w:rFonts w:cs="Arial"/>
          <w:bCs/>
          <w:szCs w:val="22"/>
        </w:rPr>
        <w:t xml:space="preserve"> their salaries.</w:t>
      </w:r>
    </w:p>
    <w:p w14:paraId="2A4756C9" w14:textId="0734F59A" w:rsidR="00893805" w:rsidRPr="00E40F0B" w:rsidRDefault="00687AC8" w:rsidP="00687AC8">
      <w:pPr>
        <w:widowControl w:val="0"/>
        <w:tabs>
          <w:tab w:val="left" w:pos="567"/>
        </w:tabs>
        <w:spacing w:before="480" w:after="480" w:line="360" w:lineRule="auto"/>
        <w:jc w:val="both"/>
        <w:rPr>
          <w:rFonts w:cs="Arial"/>
          <w:bCs/>
          <w:szCs w:val="22"/>
        </w:rPr>
      </w:pPr>
      <w:r w:rsidRPr="00E40F0B">
        <w:rPr>
          <w:rFonts w:cs="Arial"/>
          <w:bCs/>
          <w:szCs w:val="22"/>
        </w:rPr>
        <w:t>[9]</w:t>
      </w:r>
      <w:r w:rsidRPr="00E40F0B">
        <w:rPr>
          <w:rFonts w:cs="Arial"/>
          <w:bCs/>
          <w:szCs w:val="22"/>
        </w:rPr>
        <w:tab/>
      </w:r>
      <w:r w:rsidR="00893805" w:rsidRPr="00E40F0B">
        <w:rPr>
          <w:rFonts w:cs="Arial"/>
          <w:bCs/>
          <w:szCs w:val="22"/>
        </w:rPr>
        <w:t>The parties’ eldest son is head</w:t>
      </w:r>
      <w:r w:rsidR="00602F6C">
        <w:rPr>
          <w:rFonts w:cs="Arial"/>
          <w:bCs/>
          <w:szCs w:val="22"/>
        </w:rPr>
        <w:t>-</w:t>
      </w:r>
      <w:r w:rsidR="00893805" w:rsidRPr="00E40F0B">
        <w:rPr>
          <w:rFonts w:cs="Arial"/>
          <w:bCs/>
          <w:szCs w:val="22"/>
        </w:rPr>
        <w:t xml:space="preserve">boy at </w:t>
      </w:r>
      <w:r w:rsidR="00221F59">
        <w:rPr>
          <w:rFonts w:cs="Arial"/>
          <w:bCs/>
          <w:szCs w:val="22"/>
        </w:rPr>
        <w:t>t</w:t>
      </w:r>
      <w:r w:rsidR="00893805" w:rsidRPr="00E40F0B">
        <w:rPr>
          <w:rFonts w:cs="Arial"/>
          <w:bCs/>
          <w:szCs w:val="22"/>
        </w:rPr>
        <w:t>he school he attend</w:t>
      </w:r>
      <w:r w:rsidR="00A512AB">
        <w:rPr>
          <w:rFonts w:cs="Arial"/>
          <w:bCs/>
          <w:szCs w:val="22"/>
        </w:rPr>
        <w:t>ed</w:t>
      </w:r>
      <w:r w:rsidR="00893805" w:rsidRPr="00E40F0B">
        <w:rPr>
          <w:rFonts w:cs="Arial"/>
          <w:bCs/>
          <w:szCs w:val="22"/>
        </w:rPr>
        <w:t xml:space="preserve">. He </w:t>
      </w:r>
      <w:r w:rsidR="00A512AB">
        <w:rPr>
          <w:rFonts w:cs="Arial"/>
          <w:bCs/>
          <w:szCs w:val="22"/>
        </w:rPr>
        <w:t>performs</w:t>
      </w:r>
      <w:r w:rsidR="00893805" w:rsidRPr="00E40F0B">
        <w:rPr>
          <w:rFonts w:cs="Arial"/>
          <w:bCs/>
          <w:szCs w:val="22"/>
        </w:rPr>
        <w:t xml:space="preserve"> well academically and in sport and moving him to another school to reduce costs would be a very unsatisfactory option. His school fees amount</w:t>
      </w:r>
      <w:r w:rsidR="00A512AB">
        <w:rPr>
          <w:rFonts w:cs="Arial"/>
          <w:bCs/>
          <w:szCs w:val="22"/>
        </w:rPr>
        <w:t>ed</w:t>
      </w:r>
      <w:r w:rsidR="00893805" w:rsidRPr="00E40F0B">
        <w:rPr>
          <w:rFonts w:cs="Arial"/>
          <w:bCs/>
          <w:szCs w:val="22"/>
        </w:rPr>
        <w:t xml:space="preserve"> to R4,200.00</w:t>
      </w:r>
      <w:r w:rsidR="00221F59">
        <w:rPr>
          <w:rFonts w:cs="Arial"/>
          <w:bCs/>
          <w:szCs w:val="22"/>
        </w:rPr>
        <w:t xml:space="preserve"> per month</w:t>
      </w:r>
      <w:r w:rsidR="00893805" w:rsidRPr="00E40F0B">
        <w:rPr>
          <w:rFonts w:cs="Arial"/>
          <w:bCs/>
          <w:szCs w:val="22"/>
        </w:rPr>
        <w:t>. The second-born attend</w:t>
      </w:r>
      <w:r w:rsidR="00A512AB">
        <w:rPr>
          <w:rFonts w:cs="Arial"/>
          <w:bCs/>
          <w:szCs w:val="22"/>
        </w:rPr>
        <w:t>ed</w:t>
      </w:r>
      <w:r w:rsidR="00893805" w:rsidRPr="00E40F0B">
        <w:rPr>
          <w:rFonts w:cs="Arial"/>
          <w:bCs/>
          <w:szCs w:val="22"/>
        </w:rPr>
        <w:t xml:space="preserve"> a public school and the monthly fee</w:t>
      </w:r>
      <w:r w:rsidR="00A512AB">
        <w:rPr>
          <w:rFonts w:cs="Arial"/>
          <w:bCs/>
          <w:szCs w:val="22"/>
        </w:rPr>
        <w:t>s amounted to</w:t>
      </w:r>
      <w:r w:rsidR="00893805" w:rsidRPr="00E40F0B">
        <w:rPr>
          <w:rFonts w:cs="Arial"/>
          <w:bCs/>
          <w:szCs w:val="22"/>
        </w:rPr>
        <w:t xml:space="preserve"> R1,150.00. A nanny look</w:t>
      </w:r>
      <w:r w:rsidR="00A512AB">
        <w:rPr>
          <w:rFonts w:cs="Arial"/>
          <w:bCs/>
          <w:szCs w:val="22"/>
        </w:rPr>
        <w:t>ed</w:t>
      </w:r>
      <w:r w:rsidR="00893805" w:rsidRPr="00E40F0B">
        <w:rPr>
          <w:rFonts w:cs="Arial"/>
          <w:bCs/>
          <w:szCs w:val="22"/>
        </w:rPr>
        <w:t xml:space="preserve"> after the children and earned R3,200.00 per month</w:t>
      </w:r>
      <w:r w:rsidR="00A512AB">
        <w:rPr>
          <w:rFonts w:cs="Arial"/>
          <w:bCs/>
          <w:szCs w:val="22"/>
        </w:rPr>
        <w:t>. T</w:t>
      </w:r>
      <w:r w:rsidR="00893805" w:rsidRPr="00E40F0B">
        <w:rPr>
          <w:rFonts w:cs="Arial"/>
          <w:bCs/>
          <w:szCs w:val="22"/>
        </w:rPr>
        <w:t xml:space="preserve">he respondent’s </w:t>
      </w:r>
      <w:r w:rsidR="00893805" w:rsidRPr="00E40F0B">
        <w:rPr>
          <w:rFonts w:cs="Arial"/>
          <w:bCs/>
          <w:szCs w:val="22"/>
        </w:rPr>
        <w:lastRenderedPageBreak/>
        <w:t>brother lived with the respondent in the same house a</w:t>
      </w:r>
      <w:r w:rsidR="00A512AB">
        <w:rPr>
          <w:rFonts w:cs="Arial"/>
          <w:bCs/>
          <w:szCs w:val="22"/>
        </w:rPr>
        <w:t xml:space="preserve">nd </w:t>
      </w:r>
      <w:r w:rsidR="00893805" w:rsidRPr="00E40F0B">
        <w:rPr>
          <w:rFonts w:cs="Arial"/>
          <w:bCs/>
          <w:szCs w:val="22"/>
        </w:rPr>
        <w:t>contributed to their well-being and maintenance.</w:t>
      </w:r>
    </w:p>
    <w:p w14:paraId="1494512F" w14:textId="042E81C4" w:rsidR="00893805" w:rsidRPr="00E40F0B" w:rsidRDefault="00687AC8" w:rsidP="00687AC8">
      <w:pPr>
        <w:widowControl w:val="0"/>
        <w:tabs>
          <w:tab w:val="left" w:pos="567"/>
        </w:tabs>
        <w:spacing w:before="480" w:after="480" w:line="360" w:lineRule="auto"/>
        <w:jc w:val="both"/>
        <w:rPr>
          <w:rFonts w:cs="Arial"/>
          <w:bCs/>
          <w:szCs w:val="22"/>
        </w:rPr>
      </w:pPr>
      <w:r w:rsidRPr="00E40F0B">
        <w:rPr>
          <w:rFonts w:cs="Arial"/>
          <w:bCs/>
          <w:szCs w:val="22"/>
        </w:rPr>
        <w:t>[10]</w:t>
      </w:r>
      <w:r w:rsidRPr="00E40F0B">
        <w:rPr>
          <w:rFonts w:cs="Arial"/>
          <w:bCs/>
          <w:szCs w:val="22"/>
        </w:rPr>
        <w:tab/>
      </w:r>
      <w:r w:rsidR="00893805" w:rsidRPr="00E40F0B">
        <w:rPr>
          <w:rFonts w:cs="Arial"/>
          <w:bCs/>
          <w:szCs w:val="22"/>
        </w:rPr>
        <w:t xml:space="preserve">The </w:t>
      </w:r>
      <w:r w:rsidR="00A512AB">
        <w:rPr>
          <w:rFonts w:cs="Arial"/>
          <w:bCs/>
          <w:szCs w:val="22"/>
        </w:rPr>
        <w:t xml:space="preserve">learned </w:t>
      </w:r>
      <w:r w:rsidR="00893805" w:rsidRPr="00E40F0B">
        <w:rPr>
          <w:rFonts w:cs="Arial"/>
          <w:bCs/>
          <w:szCs w:val="22"/>
        </w:rPr>
        <w:t>magistrate pointed out that sufficient internet data is no longer a luxury as the children required internet access for school work.</w:t>
      </w:r>
      <w:r w:rsidR="00221F59">
        <w:rPr>
          <w:rFonts w:cs="Arial"/>
          <w:bCs/>
          <w:szCs w:val="22"/>
        </w:rPr>
        <w:t xml:space="preserve"> The two older children required internet access and expenditure on </w:t>
      </w:r>
      <w:r w:rsidR="005F0485">
        <w:rPr>
          <w:rFonts w:cs="Arial"/>
          <w:bCs/>
          <w:szCs w:val="22"/>
        </w:rPr>
        <w:t>Wi-Fi</w:t>
      </w:r>
      <w:r w:rsidR="00602F6C">
        <w:rPr>
          <w:rStyle w:val="FootnoteReference"/>
          <w:rFonts w:cs="Arial"/>
          <w:bCs/>
          <w:szCs w:val="22"/>
        </w:rPr>
        <w:footnoteReference w:id="5"/>
      </w:r>
      <w:r w:rsidR="00221F59">
        <w:rPr>
          <w:rFonts w:cs="Arial"/>
          <w:bCs/>
          <w:szCs w:val="22"/>
        </w:rPr>
        <w:t xml:space="preserve"> </w:t>
      </w:r>
      <w:r w:rsidR="00A512AB">
        <w:rPr>
          <w:rFonts w:cs="Arial"/>
          <w:bCs/>
          <w:szCs w:val="22"/>
        </w:rPr>
        <w:t>wa</w:t>
      </w:r>
      <w:r w:rsidR="00221F59">
        <w:rPr>
          <w:rFonts w:cs="Arial"/>
          <w:bCs/>
          <w:szCs w:val="22"/>
        </w:rPr>
        <w:t>s justified.</w:t>
      </w:r>
    </w:p>
    <w:p w14:paraId="3DBC1277" w14:textId="1865605D" w:rsidR="00D9135E" w:rsidRPr="00E40F0B" w:rsidRDefault="00687AC8" w:rsidP="00687AC8">
      <w:pPr>
        <w:widowControl w:val="0"/>
        <w:tabs>
          <w:tab w:val="left" w:pos="567"/>
        </w:tabs>
        <w:spacing w:before="480" w:after="480" w:line="360" w:lineRule="auto"/>
        <w:jc w:val="both"/>
        <w:rPr>
          <w:rFonts w:cs="Arial"/>
          <w:bCs/>
          <w:szCs w:val="22"/>
        </w:rPr>
      </w:pPr>
      <w:r w:rsidRPr="00E40F0B">
        <w:rPr>
          <w:rFonts w:cs="Arial"/>
          <w:bCs/>
          <w:szCs w:val="22"/>
        </w:rPr>
        <w:t>[11]</w:t>
      </w:r>
      <w:r w:rsidRPr="00E40F0B">
        <w:rPr>
          <w:rFonts w:cs="Arial"/>
          <w:bCs/>
          <w:szCs w:val="22"/>
        </w:rPr>
        <w:tab/>
      </w:r>
      <w:r w:rsidR="00DD72FF" w:rsidRPr="00E40F0B">
        <w:rPr>
          <w:rFonts w:cs="Arial"/>
          <w:bCs/>
          <w:szCs w:val="22"/>
        </w:rPr>
        <w:t xml:space="preserve">The magistrate was critical of the appellant’s expenditure on what was termed a “second nest.” </w:t>
      </w:r>
      <w:r w:rsidR="00A512AB">
        <w:rPr>
          <w:rFonts w:cs="Arial"/>
          <w:bCs/>
          <w:szCs w:val="22"/>
        </w:rPr>
        <w:t xml:space="preserve">The appellant </w:t>
      </w:r>
      <w:r w:rsidR="00DD72FF" w:rsidRPr="00E40F0B">
        <w:rPr>
          <w:rFonts w:cs="Arial"/>
          <w:bCs/>
          <w:szCs w:val="22"/>
        </w:rPr>
        <w:t xml:space="preserve">spent considerable amounts on the mothers of his other children and </w:t>
      </w:r>
      <w:r w:rsidR="00A512AB">
        <w:rPr>
          <w:rFonts w:cs="Arial"/>
          <w:bCs/>
          <w:szCs w:val="22"/>
        </w:rPr>
        <w:t>the appellant’s</w:t>
      </w:r>
      <w:r w:rsidR="00DD72FF" w:rsidRPr="00E40F0B">
        <w:rPr>
          <w:rFonts w:cs="Arial"/>
          <w:bCs/>
          <w:szCs w:val="22"/>
        </w:rPr>
        <w:t xml:space="preserve"> averment that those amounts were not</w:t>
      </w:r>
      <w:r w:rsidR="00393354">
        <w:rPr>
          <w:rFonts w:cs="Arial"/>
          <w:bCs/>
          <w:szCs w:val="22"/>
        </w:rPr>
        <w:t xml:space="preserve"> items of</w:t>
      </w:r>
      <w:r w:rsidR="00DD72FF" w:rsidRPr="00E40F0B">
        <w:rPr>
          <w:rFonts w:cs="Arial"/>
          <w:bCs/>
          <w:szCs w:val="22"/>
        </w:rPr>
        <w:t xml:space="preserve"> expenditure but the repayment of loans was not substantiated by any evidence.</w:t>
      </w:r>
    </w:p>
    <w:p w14:paraId="66996C05" w14:textId="7553515D" w:rsidR="00546B49" w:rsidRPr="00CC3983" w:rsidRDefault="00687AC8" w:rsidP="00687AC8">
      <w:pPr>
        <w:widowControl w:val="0"/>
        <w:tabs>
          <w:tab w:val="left" w:pos="567"/>
        </w:tabs>
        <w:spacing w:before="480" w:after="480" w:line="360" w:lineRule="auto"/>
        <w:jc w:val="both"/>
        <w:rPr>
          <w:rFonts w:cs="Arial"/>
          <w:bCs/>
          <w:szCs w:val="22"/>
        </w:rPr>
      </w:pPr>
      <w:r w:rsidRPr="00CC3983">
        <w:rPr>
          <w:rFonts w:cs="Arial"/>
          <w:bCs/>
          <w:szCs w:val="22"/>
        </w:rPr>
        <w:t>[12]</w:t>
      </w:r>
      <w:r w:rsidRPr="00CC3983">
        <w:rPr>
          <w:rFonts w:cs="Arial"/>
          <w:bCs/>
          <w:szCs w:val="22"/>
        </w:rPr>
        <w:tab/>
      </w:r>
      <w:r w:rsidR="00546B49" w:rsidRPr="00CC3983">
        <w:rPr>
          <w:rFonts w:cs="Arial"/>
          <w:bCs/>
          <w:szCs w:val="22"/>
        </w:rPr>
        <w:t xml:space="preserve">In reaching the conclusions </w:t>
      </w:r>
      <w:r w:rsidR="00A512AB" w:rsidRPr="00CC3983">
        <w:rPr>
          <w:rFonts w:cs="Arial"/>
          <w:bCs/>
          <w:szCs w:val="22"/>
        </w:rPr>
        <w:t xml:space="preserve">that </w:t>
      </w:r>
      <w:r w:rsidR="00546B49" w:rsidRPr="00CC3983">
        <w:rPr>
          <w:rFonts w:cs="Arial"/>
          <w:bCs/>
          <w:szCs w:val="22"/>
        </w:rPr>
        <w:t>he did, the magistrate considered the evidence that was placed before him an</w:t>
      </w:r>
      <w:r w:rsidR="0043650A" w:rsidRPr="00CC3983">
        <w:rPr>
          <w:rFonts w:cs="Arial"/>
          <w:bCs/>
          <w:szCs w:val="22"/>
        </w:rPr>
        <w:t xml:space="preserve">d arrived at reasoned conclusions. He </w:t>
      </w:r>
      <w:r w:rsidR="00E05FC3" w:rsidRPr="00CC3983">
        <w:rPr>
          <w:rFonts w:cs="Arial"/>
          <w:bCs/>
          <w:szCs w:val="22"/>
        </w:rPr>
        <w:t xml:space="preserve">exercised his discretion judicially </w:t>
      </w:r>
      <w:r w:rsidR="00870AA9" w:rsidRPr="00CC3983">
        <w:rPr>
          <w:rFonts w:cs="Arial"/>
          <w:bCs/>
          <w:szCs w:val="22"/>
        </w:rPr>
        <w:t xml:space="preserve">according to the respective earnings of the parties </w:t>
      </w:r>
      <w:r w:rsidR="00E05FC3" w:rsidRPr="00CC3983">
        <w:rPr>
          <w:rFonts w:cs="Arial"/>
          <w:bCs/>
          <w:szCs w:val="22"/>
        </w:rPr>
        <w:t xml:space="preserve">and </w:t>
      </w:r>
      <w:r w:rsidR="00870AA9" w:rsidRPr="00CC3983">
        <w:rPr>
          <w:rFonts w:cs="Arial"/>
          <w:bCs/>
          <w:szCs w:val="22"/>
        </w:rPr>
        <w:t>the needs of the children. The learned magistrate</w:t>
      </w:r>
      <w:r w:rsidR="00E05FC3" w:rsidRPr="00CC3983">
        <w:rPr>
          <w:rFonts w:cs="Arial"/>
          <w:bCs/>
          <w:szCs w:val="22"/>
        </w:rPr>
        <w:t xml:space="preserve"> </w:t>
      </w:r>
      <w:r w:rsidR="0043650A" w:rsidRPr="00CC3983">
        <w:rPr>
          <w:rFonts w:cs="Arial"/>
          <w:bCs/>
          <w:szCs w:val="22"/>
        </w:rPr>
        <w:t xml:space="preserve">did not </w:t>
      </w:r>
      <w:r w:rsidR="00870AA9" w:rsidRPr="00CC3983">
        <w:rPr>
          <w:rFonts w:cs="Arial"/>
          <w:bCs/>
          <w:szCs w:val="22"/>
        </w:rPr>
        <w:t>reach his decision</w:t>
      </w:r>
      <w:r w:rsidR="0043650A" w:rsidRPr="00CC3983">
        <w:rPr>
          <w:rFonts w:cs="Arial"/>
          <w:bCs/>
          <w:szCs w:val="22"/>
        </w:rPr>
        <w:t xml:space="preserve"> arbitrarily </w:t>
      </w:r>
      <w:r w:rsidR="00E05FC3" w:rsidRPr="00CC3983">
        <w:rPr>
          <w:rFonts w:cs="Arial"/>
          <w:bCs/>
          <w:szCs w:val="22"/>
        </w:rPr>
        <w:t>or capriciously</w:t>
      </w:r>
      <w:r w:rsidR="00870AA9" w:rsidRPr="00CC3983">
        <w:rPr>
          <w:rFonts w:cs="Arial"/>
          <w:bCs/>
          <w:szCs w:val="22"/>
        </w:rPr>
        <w:t xml:space="preserve"> and the decision is not at variance with the law.</w:t>
      </w:r>
    </w:p>
    <w:p w14:paraId="2DD0A586" w14:textId="3481DEF6" w:rsidR="00E05FC3" w:rsidRPr="00687AC8" w:rsidRDefault="00687AC8" w:rsidP="00687AC8">
      <w:pPr>
        <w:widowControl w:val="0"/>
        <w:tabs>
          <w:tab w:val="left" w:pos="567"/>
        </w:tabs>
        <w:spacing w:before="480" w:after="480" w:line="360" w:lineRule="auto"/>
        <w:jc w:val="both"/>
        <w:rPr>
          <w:i/>
          <w:iCs/>
        </w:rPr>
      </w:pPr>
      <w:r w:rsidRPr="00E05FC3">
        <w:rPr>
          <w:iCs/>
        </w:rPr>
        <w:t>[13]</w:t>
      </w:r>
      <w:r w:rsidRPr="00E05FC3">
        <w:rPr>
          <w:iCs/>
        </w:rPr>
        <w:tab/>
      </w:r>
      <w:proofErr w:type="spellStart"/>
      <w:r w:rsidR="00E05FC3" w:rsidRPr="00E05FC3">
        <w:t>Moseneke</w:t>
      </w:r>
      <w:proofErr w:type="spellEnd"/>
      <w:r w:rsidR="00E05FC3" w:rsidRPr="00E05FC3">
        <w:t xml:space="preserve"> DCJ </w:t>
      </w:r>
      <w:r w:rsidR="00E05FC3">
        <w:t>said in</w:t>
      </w:r>
      <w:r w:rsidR="00E05FC3" w:rsidRPr="00687AC8">
        <w:rPr>
          <w:i/>
          <w:iCs/>
        </w:rPr>
        <w:t> </w:t>
      </w:r>
      <w:r w:rsidR="00E05FC3" w:rsidRPr="00687AC8">
        <w:rPr>
          <w:rFonts w:cs="Arial"/>
          <w:i/>
          <w:iCs/>
          <w:shd w:val="clear" w:color="auto" w:fill="FFFFFF"/>
        </w:rPr>
        <w:t>Florence v Government of the Republic of South Africa</w:t>
      </w:r>
      <w:r w:rsidR="00E05FC3" w:rsidRPr="00687AC8">
        <w:rPr>
          <w:i/>
          <w:iCs/>
        </w:rPr>
        <w:t>:</w:t>
      </w:r>
      <w:r w:rsidR="00E05FC3" w:rsidRPr="005405FB">
        <w:rPr>
          <w:rStyle w:val="FootnoteReference"/>
          <w:rFonts w:cs="Arial"/>
          <w:i/>
          <w:iCs/>
          <w:color w:val="000000" w:themeColor="text1"/>
          <w:szCs w:val="22"/>
          <w:shd w:val="clear" w:color="auto" w:fill="FFFFFF"/>
        </w:rPr>
        <w:footnoteReference w:id="6"/>
      </w:r>
    </w:p>
    <w:p w14:paraId="386AD747" w14:textId="5707320C" w:rsidR="00E05FC3" w:rsidRPr="00194322" w:rsidRDefault="00E05FC3" w:rsidP="00E05FC3">
      <w:pPr>
        <w:widowControl w:val="0"/>
        <w:spacing w:before="480" w:after="480" w:line="360" w:lineRule="auto"/>
        <w:ind w:left="720"/>
        <w:jc w:val="both"/>
      </w:pPr>
      <w:r>
        <w:rPr>
          <w:i/>
          <w:iCs/>
        </w:rPr>
        <w:t>“</w:t>
      </w:r>
      <w:r w:rsidRPr="00E05FC3">
        <w:rPr>
          <w:i/>
          <w:iCs/>
        </w:rPr>
        <w:t>Where a court is granted wide decision making powers with a number of options or variables, an appellate court may not interfere unless it is clear that the choice the court has preferred is at odds with the law. If the impugned decision lies within a range of permissible decisions, an appeal court may not interfere only because it favours a different option within the range. This principle of appellate restraint preserves judicial comity. It fosters certainty in the application of the law and favours finality in judicial decision making.”</w:t>
      </w:r>
    </w:p>
    <w:p w14:paraId="75D19136" w14:textId="77777777" w:rsidR="00E05FC3" w:rsidRPr="00414131" w:rsidRDefault="00E05FC3" w:rsidP="00414131">
      <w:pPr>
        <w:widowControl w:val="0"/>
        <w:spacing w:before="480" w:after="480" w:line="360" w:lineRule="auto"/>
        <w:ind w:left="720"/>
        <w:jc w:val="both"/>
        <w:rPr>
          <w:rFonts w:cs="Arial"/>
          <w:bCs/>
          <w:szCs w:val="22"/>
          <w:u w:val="single"/>
        </w:rPr>
      </w:pPr>
      <w:r w:rsidRPr="00194322">
        <w:t>[footnotes</w:t>
      </w:r>
      <w:r>
        <w:t xml:space="preserve"> in text of judgment</w:t>
      </w:r>
      <w:r w:rsidRPr="00194322">
        <w:t xml:space="preserve"> omitted]</w:t>
      </w:r>
    </w:p>
    <w:p w14:paraId="75208926" w14:textId="18055806" w:rsidR="00870AA9" w:rsidRPr="00870AA9" w:rsidRDefault="00687AC8" w:rsidP="00687AC8">
      <w:pPr>
        <w:widowControl w:val="0"/>
        <w:tabs>
          <w:tab w:val="left" w:pos="567"/>
        </w:tabs>
        <w:spacing w:before="480" w:after="480" w:line="360" w:lineRule="auto"/>
        <w:jc w:val="both"/>
        <w:rPr>
          <w:rFonts w:cs="Arial"/>
          <w:bCs/>
          <w:szCs w:val="22"/>
        </w:rPr>
      </w:pPr>
      <w:r w:rsidRPr="00870AA9">
        <w:rPr>
          <w:rFonts w:cs="Arial"/>
          <w:bCs/>
          <w:szCs w:val="22"/>
        </w:rPr>
        <w:t>[14]</w:t>
      </w:r>
      <w:r w:rsidRPr="00870AA9">
        <w:rPr>
          <w:rFonts w:cs="Arial"/>
          <w:bCs/>
          <w:szCs w:val="22"/>
        </w:rPr>
        <w:tab/>
      </w:r>
      <w:r w:rsidR="00870AA9">
        <w:rPr>
          <w:rFonts w:cs="Arial"/>
          <w:bCs/>
          <w:szCs w:val="22"/>
          <w:lang w:val="en-US"/>
        </w:rPr>
        <w:t xml:space="preserve">Accordingly, there is no basis for me to interfere with the decision of the court </w:t>
      </w:r>
      <w:r w:rsidR="00870AA9" w:rsidRPr="00870AA9">
        <w:rPr>
          <w:rFonts w:cs="Arial"/>
          <w:bCs/>
          <w:i/>
          <w:iCs/>
          <w:szCs w:val="22"/>
          <w:lang w:val="en-US"/>
        </w:rPr>
        <w:t xml:space="preserve">a </w:t>
      </w:r>
      <w:r w:rsidR="00870AA9" w:rsidRPr="00870AA9">
        <w:rPr>
          <w:rFonts w:cs="Arial"/>
          <w:bCs/>
          <w:i/>
          <w:iCs/>
          <w:szCs w:val="22"/>
          <w:lang w:val="en-US"/>
        </w:rPr>
        <w:lastRenderedPageBreak/>
        <w:t>quo.</w:t>
      </w:r>
    </w:p>
    <w:p w14:paraId="50826F15" w14:textId="430E55FB" w:rsidR="00D2164A" w:rsidRPr="00870AA9" w:rsidRDefault="00687AC8" w:rsidP="00687AC8">
      <w:pPr>
        <w:widowControl w:val="0"/>
        <w:tabs>
          <w:tab w:val="left" w:pos="567"/>
        </w:tabs>
        <w:spacing w:before="480" w:after="480" w:line="360" w:lineRule="auto"/>
        <w:jc w:val="both"/>
        <w:rPr>
          <w:rFonts w:cs="Arial"/>
          <w:bCs/>
          <w:szCs w:val="22"/>
        </w:rPr>
      </w:pPr>
      <w:r w:rsidRPr="00870AA9">
        <w:rPr>
          <w:rFonts w:cs="Arial"/>
          <w:bCs/>
          <w:szCs w:val="22"/>
        </w:rPr>
        <w:t>[15]</w:t>
      </w:r>
      <w:r w:rsidRPr="00870AA9">
        <w:rPr>
          <w:rFonts w:cs="Arial"/>
          <w:bCs/>
          <w:szCs w:val="22"/>
        </w:rPr>
        <w:tab/>
      </w:r>
      <w:r w:rsidR="00D2164A" w:rsidRPr="00E40F0B">
        <w:rPr>
          <w:rFonts w:cs="Arial"/>
          <w:bCs/>
          <w:szCs w:val="22"/>
          <w:lang w:val="en-US"/>
        </w:rPr>
        <w:t xml:space="preserve">For the reasons set out above I </w:t>
      </w:r>
      <w:r w:rsidR="00221F59">
        <w:rPr>
          <w:rFonts w:cs="Arial"/>
          <w:bCs/>
          <w:szCs w:val="22"/>
          <w:lang w:val="en-US"/>
        </w:rPr>
        <w:t xml:space="preserve">am of the view that </w:t>
      </w:r>
      <w:r w:rsidR="0067689D">
        <w:rPr>
          <w:rFonts w:cs="Arial"/>
          <w:bCs/>
          <w:szCs w:val="22"/>
          <w:lang w:val="en-US"/>
        </w:rPr>
        <w:t xml:space="preserve">the appeal should be </w:t>
      </w:r>
      <w:r w:rsidR="00870AA9">
        <w:rPr>
          <w:rFonts w:cs="Arial"/>
          <w:bCs/>
          <w:szCs w:val="22"/>
          <w:lang w:val="en-US"/>
        </w:rPr>
        <w:t xml:space="preserve">dismissed </w:t>
      </w:r>
      <w:r w:rsidR="0067689D">
        <w:rPr>
          <w:rFonts w:cs="Arial"/>
          <w:bCs/>
          <w:szCs w:val="22"/>
          <w:lang w:val="en-US"/>
        </w:rPr>
        <w:t xml:space="preserve">and </w:t>
      </w:r>
      <w:r w:rsidR="00221F59">
        <w:rPr>
          <w:rFonts w:cs="Arial"/>
          <w:bCs/>
          <w:szCs w:val="22"/>
          <w:lang w:val="en-US"/>
        </w:rPr>
        <w:t xml:space="preserve">I </w:t>
      </w:r>
      <w:r w:rsidR="00870AA9">
        <w:rPr>
          <w:rFonts w:cs="Arial"/>
          <w:bCs/>
          <w:szCs w:val="22"/>
          <w:lang w:val="en-US"/>
        </w:rPr>
        <w:t xml:space="preserve">grant the following order:  </w:t>
      </w:r>
    </w:p>
    <w:p w14:paraId="3688DA69" w14:textId="52167834" w:rsidR="00870AA9" w:rsidRPr="00687AC8" w:rsidRDefault="00687AC8" w:rsidP="00687AC8">
      <w:pPr>
        <w:spacing w:before="120" w:after="120" w:line="360" w:lineRule="auto"/>
        <w:ind w:left="720" w:hanging="360"/>
        <w:jc w:val="both"/>
        <w:rPr>
          <w:rFonts w:cs="Arial"/>
          <w:i/>
          <w:iCs/>
          <w:szCs w:val="22"/>
          <w:lang w:val="en-GB"/>
        </w:rPr>
      </w:pPr>
      <w:r>
        <w:rPr>
          <w:rFonts w:cs="Arial"/>
          <w:i/>
          <w:iCs/>
          <w:szCs w:val="22"/>
          <w:lang w:val="en-GB"/>
        </w:rPr>
        <w:t>1.</w:t>
      </w:r>
      <w:r>
        <w:rPr>
          <w:rFonts w:cs="Arial"/>
          <w:i/>
          <w:iCs/>
          <w:szCs w:val="22"/>
          <w:lang w:val="en-GB"/>
        </w:rPr>
        <w:tab/>
      </w:r>
      <w:r w:rsidR="00870AA9" w:rsidRPr="00687AC8">
        <w:rPr>
          <w:rFonts w:cs="Arial"/>
          <w:i/>
          <w:iCs/>
          <w:szCs w:val="22"/>
          <w:lang w:val="en-GB"/>
        </w:rPr>
        <w:t>The appeal is dismissed;</w:t>
      </w:r>
    </w:p>
    <w:p w14:paraId="3E7896D2" w14:textId="2634DF6E" w:rsidR="00870AA9" w:rsidRPr="00687AC8" w:rsidRDefault="00687AC8" w:rsidP="00687AC8">
      <w:pPr>
        <w:spacing w:before="120" w:after="120" w:line="360" w:lineRule="auto"/>
        <w:ind w:left="720" w:hanging="360"/>
        <w:jc w:val="both"/>
        <w:rPr>
          <w:rFonts w:cs="Arial"/>
          <w:i/>
          <w:iCs/>
          <w:szCs w:val="22"/>
          <w:lang w:val="en-GB"/>
        </w:rPr>
      </w:pPr>
      <w:r w:rsidRPr="00870AA9">
        <w:rPr>
          <w:rFonts w:cs="Arial"/>
          <w:i/>
          <w:iCs/>
          <w:szCs w:val="22"/>
          <w:lang w:val="en-GB"/>
        </w:rPr>
        <w:t>2.</w:t>
      </w:r>
      <w:r w:rsidRPr="00870AA9">
        <w:rPr>
          <w:rFonts w:cs="Arial"/>
          <w:i/>
          <w:iCs/>
          <w:szCs w:val="22"/>
          <w:lang w:val="en-GB"/>
        </w:rPr>
        <w:tab/>
      </w:r>
      <w:r w:rsidR="00870AA9" w:rsidRPr="00687AC8">
        <w:rPr>
          <w:rFonts w:cs="Arial"/>
          <w:i/>
          <w:iCs/>
          <w:szCs w:val="22"/>
          <w:lang w:val="en-GB"/>
        </w:rPr>
        <w:t>The appellant is ordered to pay the costs of the appeal.</w:t>
      </w:r>
    </w:p>
    <w:p w14:paraId="4E16FC9D" w14:textId="77777777" w:rsidR="00870AA9" w:rsidRPr="00E40F0B" w:rsidRDefault="00870AA9" w:rsidP="00870AA9">
      <w:pPr>
        <w:widowControl w:val="0"/>
        <w:spacing w:before="480" w:after="480" w:line="360" w:lineRule="auto"/>
        <w:jc w:val="both"/>
        <w:rPr>
          <w:rFonts w:cs="Arial"/>
          <w:bCs/>
          <w:szCs w:val="22"/>
        </w:rPr>
      </w:pPr>
    </w:p>
    <w:p w14:paraId="5E3F3A66" w14:textId="6CAAB854" w:rsidR="00293C02" w:rsidRPr="00E40F0B" w:rsidRDefault="00293C02" w:rsidP="005B380D">
      <w:pPr>
        <w:widowControl w:val="0"/>
        <w:tabs>
          <w:tab w:val="right" w:pos="0"/>
        </w:tabs>
        <w:spacing w:line="360" w:lineRule="auto"/>
        <w:contextualSpacing/>
        <w:rPr>
          <w:rFonts w:cs="Arial"/>
          <w:b/>
          <w:szCs w:val="22"/>
        </w:rPr>
      </w:pPr>
    </w:p>
    <w:p w14:paraId="53CD27EE" w14:textId="0B3A7FA3" w:rsidR="00AE287F" w:rsidRPr="00E40F0B" w:rsidRDefault="00A649E6" w:rsidP="003A1D18">
      <w:pPr>
        <w:widowControl w:val="0"/>
        <w:tabs>
          <w:tab w:val="right" w:pos="0"/>
        </w:tabs>
        <w:spacing w:line="360" w:lineRule="auto"/>
        <w:contextualSpacing/>
        <w:jc w:val="right"/>
        <w:rPr>
          <w:rFonts w:cs="Arial"/>
          <w:b/>
          <w:szCs w:val="22"/>
        </w:rPr>
      </w:pPr>
      <w:r w:rsidRPr="00E40F0B">
        <w:rPr>
          <w:rFonts w:cs="Arial"/>
          <w:b/>
          <w:szCs w:val="22"/>
        </w:rPr>
        <w:t>______________</w:t>
      </w:r>
    </w:p>
    <w:p w14:paraId="0CCB9BFE" w14:textId="532C3FFA" w:rsidR="006C43D7" w:rsidRPr="00E40F0B" w:rsidRDefault="00C676F3" w:rsidP="003A1D18">
      <w:pPr>
        <w:widowControl w:val="0"/>
        <w:tabs>
          <w:tab w:val="right" w:pos="0"/>
        </w:tabs>
        <w:spacing w:line="360" w:lineRule="auto"/>
        <w:contextualSpacing/>
        <w:jc w:val="right"/>
        <w:rPr>
          <w:rFonts w:cs="Arial"/>
          <w:b/>
          <w:szCs w:val="22"/>
        </w:rPr>
      </w:pPr>
      <w:r w:rsidRPr="00E40F0B">
        <w:rPr>
          <w:rFonts w:cs="Arial"/>
          <w:b/>
          <w:szCs w:val="22"/>
        </w:rPr>
        <w:t>MOORCROFT</w:t>
      </w:r>
      <w:r w:rsidR="00870AA9">
        <w:rPr>
          <w:rFonts w:cs="Arial"/>
          <w:b/>
          <w:szCs w:val="22"/>
        </w:rPr>
        <w:t xml:space="preserve"> AJ</w:t>
      </w:r>
    </w:p>
    <w:p w14:paraId="7A2C1059" w14:textId="77777777" w:rsidR="006C43D7" w:rsidRPr="00E40F0B" w:rsidRDefault="006C43D7" w:rsidP="003A1D18">
      <w:pPr>
        <w:widowControl w:val="0"/>
        <w:tabs>
          <w:tab w:val="right" w:pos="0"/>
        </w:tabs>
        <w:spacing w:line="360" w:lineRule="auto"/>
        <w:contextualSpacing/>
        <w:jc w:val="right"/>
        <w:rPr>
          <w:rFonts w:cs="Arial"/>
          <w:b/>
          <w:szCs w:val="22"/>
        </w:rPr>
      </w:pPr>
      <w:r w:rsidRPr="00E40F0B">
        <w:rPr>
          <w:rFonts w:cs="Arial"/>
          <w:b/>
          <w:szCs w:val="22"/>
        </w:rPr>
        <w:t>ACTING JUDGE OF THE HIGH COURT OF SOUTH AFRICA</w:t>
      </w:r>
    </w:p>
    <w:p w14:paraId="077C2590" w14:textId="7452355B" w:rsidR="006C43D7" w:rsidRPr="00E40F0B" w:rsidRDefault="006C43D7" w:rsidP="003A1D18">
      <w:pPr>
        <w:widowControl w:val="0"/>
        <w:tabs>
          <w:tab w:val="right" w:pos="0"/>
          <w:tab w:val="left" w:pos="4253"/>
        </w:tabs>
        <w:spacing w:line="360" w:lineRule="auto"/>
        <w:contextualSpacing/>
        <w:jc w:val="right"/>
        <w:rPr>
          <w:rFonts w:cs="Arial"/>
          <w:b/>
          <w:szCs w:val="22"/>
        </w:rPr>
      </w:pPr>
      <w:r w:rsidRPr="00E40F0B">
        <w:rPr>
          <w:rFonts w:cs="Arial"/>
          <w:b/>
          <w:szCs w:val="22"/>
        </w:rPr>
        <w:t>GAUTENG DIVISION</w:t>
      </w:r>
    </w:p>
    <w:p w14:paraId="40B9C946" w14:textId="77777777" w:rsidR="006C43D7" w:rsidRPr="00E40F0B" w:rsidRDefault="006C43D7" w:rsidP="0005282E">
      <w:pPr>
        <w:widowControl w:val="0"/>
        <w:tabs>
          <w:tab w:val="right" w:pos="0"/>
          <w:tab w:val="left" w:pos="4253"/>
        </w:tabs>
        <w:spacing w:line="360" w:lineRule="auto"/>
        <w:contextualSpacing/>
        <w:jc w:val="right"/>
        <w:rPr>
          <w:rFonts w:cs="Arial"/>
          <w:b/>
          <w:szCs w:val="22"/>
        </w:rPr>
      </w:pPr>
      <w:r w:rsidRPr="00E40F0B">
        <w:rPr>
          <w:rFonts w:cs="Arial"/>
          <w:b/>
          <w:szCs w:val="22"/>
        </w:rPr>
        <w:t>JOHANNESBURG</w:t>
      </w:r>
    </w:p>
    <w:p w14:paraId="02EB80A3" w14:textId="77777777" w:rsidR="00D9135E" w:rsidRPr="00E40F0B" w:rsidRDefault="00D9135E" w:rsidP="00D9135E">
      <w:pPr>
        <w:widowControl w:val="0"/>
        <w:tabs>
          <w:tab w:val="right" w:pos="0"/>
        </w:tabs>
        <w:spacing w:line="360" w:lineRule="auto"/>
        <w:contextualSpacing/>
        <w:jc w:val="right"/>
        <w:rPr>
          <w:rFonts w:cs="Arial"/>
          <w:b/>
          <w:szCs w:val="22"/>
        </w:rPr>
      </w:pPr>
    </w:p>
    <w:p w14:paraId="21B4A486" w14:textId="77777777" w:rsidR="00D9135E" w:rsidRDefault="00D9135E" w:rsidP="00D9135E">
      <w:pPr>
        <w:widowControl w:val="0"/>
        <w:tabs>
          <w:tab w:val="right" w:pos="0"/>
        </w:tabs>
        <w:spacing w:line="360" w:lineRule="auto"/>
        <w:contextualSpacing/>
        <w:jc w:val="right"/>
        <w:rPr>
          <w:rFonts w:cs="Arial"/>
          <w:b/>
          <w:szCs w:val="22"/>
        </w:rPr>
      </w:pPr>
    </w:p>
    <w:p w14:paraId="58467FCF" w14:textId="4F33A99B" w:rsidR="00393354" w:rsidRPr="00393354" w:rsidRDefault="00393354" w:rsidP="00393354">
      <w:pPr>
        <w:widowControl w:val="0"/>
        <w:tabs>
          <w:tab w:val="right" w:pos="0"/>
        </w:tabs>
        <w:spacing w:line="360" w:lineRule="auto"/>
        <w:contextualSpacing/>
        <w:rPr>
          <w:rFonts w:cs="Arial"/>
          <w:bCs/>
          <w:szCs w:val="22"/>
        </w:rPr>
      </w:pPr>
      <w:r w:rsidRPr="00393354">
        <w:rPr>
          <w:rFonts w:cs="Arial"/>
          <w:bCs/>
          <w:szCs w:val="22"/>
        </w:rPr>
        <w:t>I agree and it is so ordered</w:t>
      </w:r>
    </w:p>
    <w:p w14:paraId="1BD2CD2D" w14:textId="77777777" w:rsidR="00393354" w:rsidRPr="00E40F0B" w:rsidRDefault="00393354" w:rsidP="00D9135E">
      <w:pPr>
        <w:widowControl w:val="0"/>
        <w:tabs>
          <w:tab w:val="right" w:pos="0"/>
        </w:tabs>
        <w:spacing w:line="360" w:lineRule="auto"/>
        <w:contextualSpacing/>
        <w:jc w:val="right"/>
        <w:rPr>
          <w:rFonts w:cs="Arial"/>
          <w:b/>
          <w:szCs w:val="22"/>
        </w:rPr>
      </w:pPr>
    </w:p>
    <w:p w14:paraId="2D8B263D" w14:textId="1FB2996D" w:rsidR="00D9135E" w:rsidRPr="00E40F0B" w:rsidRDefault="00D9135E" w:rsidP="00D9135E">
      <w:pPr>
        <w:widowControl w:val="0"/>
        <w:tabs>
          <w:tab w:val="right" w:pos="0"/>
        </w:tabs>
        <w:spacing w:line="360" w:lineRule="auto"/>
        <w:contextualSpacing/>
        <w:jc w:val="right"/>
        <w:rPr>
          <w:rFonts w:cs="Arial"/>
          <w:b/>
          <w:szCs w:val="22"/>
        </w:rPr>
      </w:pPr>
      <w:r w:rsidRPr="00E40F0B">
        <w:rPr>
          <w:rFonts w:cs="Arial"/>
          <w:b/>
          <w:szCs w:val="22"/>
        </w:rPr>
        <w:t>______________</w:t>
      </w:r>
    </w:p>
    <w:p w14:paraId="4E46AF87" w14:textId="79837351" w:rsidR="00D9135E" w:rsidRPr="00E40F0B" w:rsidRDefault="00D9135E" w:rsidP="00D9135E">
      <w:pPr>
        <w:widowControl w:val="0"/>
        <w:tabs>
          <w:tab w:val="right" w:pos="0"/>
        </w:tabs>
        <w:spacing w:line="360" w:lineRule="auto"/>
        <w:contextualSpacing/>
        <w:jc w:val="right"/>
        <w:rPr>
          <w:rFonts w:cs="Arial"/>
          <w:b/>
          <w:szCs w:val="22"/>
        </w:rPr>
      </w:pPr>
      <w:r w:rsidRPr="00E40F0B">
        <w:rPr>
          <w:rFonts w:cs="Arial"/>
          <w:b/>
          <w:szCs w:val="22"/>
        </w:rPr>
        <w:t>CRUTCHFIELD</w:t>
      </w:r>
      <w:r w:rsidR="00870AA9">
        <w:rPr>
          <w:rFonts w:cs="Arial"/>
          <w:b/>
          <w:szCs w:val="22"/>
        </w:rPr>
        <w:t xml:space="preserve"> J</w:t>
      </w:r>
    </w:p>
    <w:p w14:paraId="08C89ED2" w14:textId="5CB1ABD8" w:rsidR="00D9135E" w:rsidRPr="00E40F0B" w:rsidRDefault="00D9135E" w:rsidP="00D9135E">
      <w:pPr>
        <w:widowControl w:val="0"/>
        <w:tabs>
          <w:tab w:val="right" w:pos="0"/>
        </w:tabs>
        <w:spacing w:line="360" w:lineRule="auto"/>
        <w:contextualSpacing/>
        <w:jc w:val="right"/>
        <w:rPr>
          <w:rFonts w:cs="Arial"/>
          <w:b/>
          <w:szCs w:val="22"/>
        </w:rPr>
      </w:pPr>
      <w:r w:rsidRPr="00E40F0B">
        <w:rPr>
          <w:rFonts w:cs="Arial"/>
          <w:b/>
          <w:szCs w:val="22"/>
        </w:rPr>
        <w:t>JUDGE OF THE HIGH COURT OF SOUTH AFRICA</w:t>
      </w:r>
    </w:p>
    <w:p w14:paraId="13818A6D" w14:textId="77777777" w:rsidR="00D9135E" w:rsidRPr="00E40F0B" w:rsidRDefault="00D9135E" w:rsidP="00D9135E">
      <w:pPr>
        <w:widowControl w:val="0"/>
        <w:tabs>
          <w:tab w:val="right" w:pos="0"/>
          <w:tab w:val="left" w:pos="4253"/>
        </w:tabs>
        <w:spacing w:line="360" w:lineRule="auto"/>
        <w:contextualSpacing/>
        <w:jc w:val="right"/>
        <w:rPr>
          <w:rFonts w:cs="Arial"/>
          <w:b/>
          <w:szCs w:val="22"/>
        </w:rPr>
      </w:pPr>
      <w:r w:rsidRPr="00E40F0B">
        <w:rPr>
          <w:rFonts w:cs="Arial"/>
          <w:b/>
          <w:szCs w:val="22"/>
        </w:rPr>
        <w:t>GAUTENG DIVISION</w:t>
      </w:r>
    </w:p>
    <w:p w14:paraId="6BA82A8C" w14:textId="77777777" w:rsidR="00D9135E" w:rsidRPr="00E40F0B" w:rsidRDefault="00D9135E" w:rsidP="00D9135E">
      <w:pPr>
        <w:widowControl w:val="0"/>
        <w:tabs>
          <w:tab w:val="right" w:pos="0"/>
          <w:tab w:val="left" w:pos="4253"/>
        </w:tabs>
        <w:spacing w:line="360" w:lineRule="auto"/>
        <w:contextualSpacing/>
        <w:jc w:val="right"/>
        <w:rPr>
          <w:rFonts w:cs="Arial"/>
          <w:b/>
          <w:szCs w:val="22"/>
        </w:rPr>
      </w:pPr>
      <w:r w:rsidRPr="00E40F0B">
        <w:rPr>
          <w:rFonts w:cs="Arial"/>
          <w:b/>
          <w:szCs w:val="22"/>
        </w:rPr>
        <w:t>JOHANNESBURG</w:t>
      </w:r>
    </w:p>
    <w:p w14:paraId="326B529B" w14:textId="77777777" w:rsidR="006C43D7" w:rsidRPr="00E40F0B" w:rsidRDefault="006C43D7" w:rsidP="00D9135E">
      <w:pPr>
        <w:widowControl w:val="0"/>
        <w:tabs>
          <w:tab w:val="right" w:pos="0"/>
          <w:tab w:val="left" w:pos="4253"/>
        </w:tabs>
        <w:spacing w:line="360" w:lineRule="auto"/>
        <w:contextualSpacing/>
        <w:jc w:val="both"/>
        <w:rPr>
          <w:rFonts w:cs="Arial"/>
          <w:b/>
          <w:szCs w:val="22"/>
        </w:rPr>
      </w:pPr>
    </w:p>
    <w:p w14:paraId="5A4CC56C" w14:textId="051C4E22" w:rsidR="006C43D7" w:rsidRPr="00E40F0B" w:rsidRDefault="006C43D7" w:rsidP="003A1D18">
      <w:pPr>
        <w:widowControl w:val="0"/>
        <w:spacing w:after="200" w:line="480" w:lineRule="auto"/>
        <w:contextualSpacing/>
        <w:jc w:val="right"/>
        <w:rPr>
          <w:rFonts w:cs="Arial"/>
          <w:b/>
          <w:i/>
          <w:iCs/>
          <w:szCs w:val="22"/>
        </w:rPr>
      </w:pPr>
      <w:r w:rsidRPr="00E40F0B">
        <w:rPr>
          <w:rFonts w:cs="Arial"/>
          <w:b/>
          <w:i/>
          <w:iCs/>
          <w:szCs w:val="22"/>
        </w:rPr>
        <w:t>Electronically submitted</w:t>
      </w:r>
    </w:p>
    <w:p w14:paraId="51C686CA" w14:textId="6A42DA88" w:rsidR="006C43D7" w:rsidRPr="00E40F0B" w:rsidRDefault="006C43D7" w:rsidP="003A1D18">
      <w:pPr>
        <w:widowControl w:val="0"/>
        <w:spacing w:after="200" w:line="360" w:lineRule="auto"/>
        <w:contextualSpacing/>
        <w:jc w:val="both"/>
        <w:rPr>
          <w:rFonts w:eastAsia="Arial Unicode MS" w:cs="Arial"/>
          <w:bCs/>
          <w:szCs w:val="22"/>
        </w:rPr>
      </w:pPr>
      <w:r w:rsidRPr="00E40F0B">
        <w:rPr>
          <w:rFonts w:eastAsia="Arial Unicode MS" w:cs="Arial"/>
          <w:bCs/>
          <w:szCs w:val="22"/>
        </w:rPr>
        <w:t>Delivered: This judgement was prepared and authored by the Judge</w:t>
      </w:r>
      <w:r w:rsidR="00D9135E" w:rsidRPr="00E40F0B">
        <w:rPr>
          <w:rFonts w:eastAsia="Arial Unicode MS" w:cs="Arial"/>
          <w:bCs/>
          <w:szCs w:val="22"/>
        </w:rPr>
        <w:t>s</w:t>
      </w:r>
      <w:r w:rsidRPr="00E40F0B">
        <w:rPr>
          <w:rFonts w:eastAsia="Arial Unicode MS" w:cs="Arial"/>
          <w:bCs/>
          <w:szCs w:val="22"/>
        </w:rPr>
        <w:t xml:space="preserve"> whose name</w:t>
      </w:r>
      <w:r w:rsidR="00D9135E" w:rsidRPr="00E40F0B">
        <w:rPr>
          <w:rFonts w:eastAsia="Arial Unicode MS" w:cs="Arial"/>
          <w:bCs/>
          <w:szCs w:val="22"/>
        </w:rPr>
        <w:t>s</w:t>
      </w:r>
      <w:r w:rsidRPr="00E40F0B">
        <w:rPr>
          <w:rFonts w:eastAsia="Arial Unicode MS" w:cs="Arial"/>
          <w:bCs/>
          <w:szCs w:val="22"/>
        </w:rPr>
        <w:t xml:space="preserve"> </w:t>
      </w:r>
      <w:r w:rsidR="00D9135E" w:rsidRPr="00E40F0B">
        <w:rPr>
          <w:rFonts w:eastAsia="Arial Unicode MS" w:cs="Arial"/>
          <w:bCs/>
          <w:szCs w:val="22"/>
        </w:rPr>
        <w:t>are</w:t>
      </w:r>
      <w:r w:rsidRPr="00E40F0B">
        <w:rPr>
          <w:rFonts w:eastAsia="Arial Unicode MS" w:cs="Arial"/>
          <w:bCs/>
          <w:szCs w:val="22"/>
        </w:rPr>
        <w:t xml:space="preserve"> reflected and is handed down electronically by circulation to the Parties / their legal representatives by email and by uploading it to the electronic file of this matter on </w:t>
      </w:r>
      <w:proofErr w:type="spellStart"/>
      <w:r w:rsidRPr="00E40F0B">
        <w:rPr>
          <w:rFonts w:eastAsia="Arial Unicode MS" w:cs="Arial"/>
          <w:bCs/>
          <w:szCs w:val="22"/>
        </w:rPr>
        <w:t>CaseLines</w:t>
      </w:r>
      <w:proofErr w:type="spellEnd"/>
      <w:r w:rsidRPr="00E40F0B">
        <w:rPr>
          <w:rFonts w:eastAsia="Arial Unicode MS" w:cs="Arial"/>
          <w:bCs/>
          <w:szCs w:val="22"/>
        </w:rPr>
        <w:t xml:space="preserve">. The date of the judgment is deemed to </w:t>
      </w:r>
      <w:proofErr w:type="gramStart"/>
      <w:r w:rsidRPr="00E40F0B">
        <w:rPr>
          <w:rFonts w:eastAsia="Arial Unicode MS" w:cs="Arial"/>
          <w:bCs/>
          <w:szCs w:val="22"/>
        </w:rPr>
        <w:t>be</w:t>
      </w:r>
      <w:r w:rsidR="00C460A0" w:rsidRPr="00E40F0B">
        <w:rPr>
          <w:rFonts w:eastAsia="Arial Unicode MS" w:cs="Arial"/>
          <w:b/>
          <w:szCs w:val="22"/>
        </w:rPr>
        <w:t xml:space="preserve"> </w:t>
      </w:r>
      <w:r w:rsidR="0005282E" w:rsidRPr="00E40F0B">
        <w:rPr>
          <w:rFonts w:eastAsia="Arial Unicode MS" w:cs="Arial"/>
          <w:b/>
          <w:szCs w:val="22"/>
        </w:rPr>
        <w:t xml:space="preserve"> </w:t>
      </w:r>
      <w:r w:rsidR="00D9135E" w:rsidRPr="00E40F0B">
        <w:rPr>
          <w:rFonts w:eastAsia="Arial Unicode MS" w:cs="Arial"/>
          <w:b/>
          <w:szCs w:val="22"/>
        </w:rPr>
        <w:t>_</w:t>
      </w:r>
      <w:proofErr w:type="gramEnd"/>
      <w:r w:rsidR="00D9135E" w:rsidRPr="00E40F0B">
        <w:rPr>
          <w:rFonts w:eastAsia="Arial Unicode MS" w:cs="Arial"/>
          <w:b/>
          <w:szCs w:val="22"/>
        </w:rPr>
        <w:t>____________</w:t>
      </w:r>
      <w:r w:rsidR="00393354">
        <w:rPr>
          <w:rFonts w:eastAsia="Arial Unicode MS" w:cs="Arial"/>
          <w:b/>
          <w:szCs w:val="22"/>
        </w:rPr>
        <w:t xml:space="preserve"> NOVEMBER</w:t>
      </w:r>
      <w:r w:rsidR="000976D2" w:rsidRPr="00E40F0B">
        <w:rPr>
          <w:rFonts w:eastAsia="Arial Unicode MS" w:cs="Arial"/>
          <w:b/>
          <w:szCs w:val="22"/>
        </w:rPr>
        <w:t xml:space="preserve"> </w:t>
      </w:r>
      <w:r w:rsidR="00237FF9" w:rsidRPr="00E40F0B">
        <w:rPr>
          <w:rFonts w:eastAsia="Arial Unicode MS" w:cs="Arial"/>
          <w:b/>
          <w:bCs/>
          <w:szCs w:val="22"/>
        </w:rPr>
        <w:t>202</w:t>
      </w:r>
      <w:r w:rsidR="00051A2B" w:rsidRPr="00E40F0B">
        <w:rPr>
          <w:rFonts w:eastAsia="Arial Unicode MS" w:cs="Arial"/>
          <w:b/>
          <w:bCs/>
          <w:szCs w:val="22"/>
        </w:rPr>
        <w:t>3</w:t>
      </w:r>
      <w:r w:rsidR="00051A2B" w:rsidRPr="00E40F0B">
        <w:rPr>
          <w:rFonts w:eastAsia="Arial Unicode MS" w:cs="Arial"/>
          <w:bCs/>
          <w:szCs w:val="22"/>
        </w:rPr>
        <w:t>.</w:t>
      </w:r>
    </w:p>
    <w:p w14:paraId="482DDF6E" w14:textId="77777777" w:rsidR="006C43D7" w:rsidRPr="00E40F0B" w:rsidRDefault="006C43D7" w:rsidP="006C43D7">
      <w:pPr>
        <w:tabs>
          <w:tab w:val="right" w:pos="0"/>
          <w:tab w:val="left" w:pos="4253"/>
        </w:tabs>
        <w:spacing w:line="360" w:lineRule="auto"/>
        <w:contextualSpacing/>
        <w:jc w:val="center"/>
        <w:rPr>
          <w:rFonts w:cs="Arial"/>
          <w:b/>
          <w:szCs w:val="22"/>
        </w:rPr>
      </w:pPr>
    </w:p>
    <w:tbl>
      <w:tblPr>
        <w:tblStyle w:val="TableGrid"/>
        <w:tblW w:w="86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35"/>
      </w:tblGrid>
      <w:tr w:rsidR="009D35B5" w:rsidRPr="00E40F0B" w14:paraId="493AF0D7" w14:textId="77777777" w:rsidTr="00615F6B">
        <w:tc>
          <w:tcPr>
            <w:tcW w:w="4678" w:type="dxa"/>
          </w:tcPr>
          <w:p w14:paraId="6A05541A" w14:textId="1405B694" w:rsidR="009D35B5" w:rsidRPr="00E40F0B" w:rsidRDefault="00393354" w:rsidP="00A25AB4">
            <w:pPr>
              <w:tabs>
                <w:tab w:val="right" w:pos="0"/>
                <w:tab w:val="left" w:pos="4253"/>
              </w:tabs>
              <w:spacing w:before="120" w:after="120"/>
              <w:rPr>
                <w:rFonts w:cs="Arial"/>
                <w:szCs w:val="22"/>
              </w:rPr>
            </w:pPr>
            <w:r>
              <w:rPr>
                <w:rFonts w:cs="Arial"/>
                <w:szCs w:val="22"/>
              </w:rPr>
              <w:t>APPEARANCE</w:t>
            </w:r>
            <w:r w:rsidR="009D35B5" w:rsidRPr="00E40F0B">
              <w:rPr>
                <w:rFonts w:cs="Arial"/>
                <w:szCs w:val="22"/>
              </w:rPr>
              <w:t xml:space="preserve"> FOR </w:t>
            </w:r>
            <w:r w:rsidR="00404A52" w:rsidRPr="00E40F0B">
              <w:rPr>
                <w:rFonts w:cs="Arial"/>
                <w:szCs w:val="22"/>
              </w:rPr>
              <w:t xml:space="preserve">THE </w:t>
            </w:r>
            <w:r w:rsidR="00D9135E" w:rsidRPr="00E40F0B">
              <w:rPr>
                <w:rFonts w:cs="Arial"/>
                <w:szCs w:val="22"/>
              </w:rPr>
              <w:t>APPELLANT</w:t>
            </w:r>
            <w:r w:rsidR="009D35B5" w:rsidRPr="00E40F0B">
              <w:rPr>
                <w:rFonts w:cs="Arial"/>
                <w:szCs w:val="22"/>
              </w:rPr>
              <w:t>:</w:t>
            </w:r>
          </w:p>
        </w:tc>
        <w:tc>
          <w:tcPr>
            <w:tcW w:w="3935" w:type="dxa"/>
          </w:tcPr>
          <w:p w14:paraId="69785AA9" w14:textId="5542B115" w:rsidR="00834B62" w:rsidRPr="00E40F0B" w:rsidRDefault="001F1B3F" w:rsidP="00D65571">
            <w:pPr>
              <w:tabs>
                <w:tab w:val="right" w:pos="0"/>
                <w:tab w:val="left" w:pos="567"/>
                <w:tab w:val="right" w:pos="2727"/>
                <w:tab w:val="left" w:pos="4253"/>
              </w:tabs>
              <w:spacing w:before="120" w:after="120"/>
              <w:jc w:val="right"/>
              <w:rPr>
                <w:rFonts w:cs="Arial"/>
                <w:szCs w:val="22"/>
              </w:rPr>
            </w:pPr>
            <w:r w:rsidRPr="00E40F0B">
              <w:rPr>
                <w:rFonts w:cs="Arial"/>
                <w:szCs w:val="22"/>
              </w:rPr>
              <w:t>L S KAMFER</w:t>
            </w:r>
          </w:p>
        </w:tc>
      </w:tr>
      <w:tr w:rsidR="009D35B5" w:rsidRPr="00E40F0B" w14:paraId="183C176D" w14:textId="77777777" w:rsidTr="00615F6B">
        <w:tc>
          <w:tcPr>
            <w:tcW w:w="4678" w:type="dxa"/>
          </w:tcPr>
          <w:p w14:paraId="75365413" w14:textId="481747BC" w:rsidR="009D35B5" w:rsidRPr="00E40F0B" w:rsidRDefault="009D35B5" w:rsidP="00A25AB4">
            <w:pPr>
              <w:tabs>
                <w:tab w:val="right" w:pos="0"/>
                <w:tab w:val="left" w:pos="4253"/>
              </w:tabs>
              <w:spacing w:before="120" w:after="120"/>
              <w:rPr>
                <w:rFonts w:cs="Arial"/>
                <w:szCs w:val="22"/>
              </w:rPr>
            </w:pPr>
            <w:r w:rsidRPr="00E40F0B">
              <w:rPr>
                <w:rFonts w:cs="Arial"/>
                <w:szCs w:val="22"/>
              </w:rPr>
              <w:lastRenderedPageBreak/>
              <w:t>INSTRUCTED BY:</w:t>
            </w:r>
          </w:p>
        </w:tc>
        <w:tc>
          <w:tcPr>
            <w:tcW w:w="3935" w:type="dxa"/>
          </w:tcPr>
          <w:p w14:paraId="4044534A" w14:textId="679F3FBC" w:rsidR="00E10D04" w:rsidRPr="00E40F0B" w:rsidRDefault="001F1B3F" w:rsidP="00A25AB4">
            <w:pPr>
              <w:tabs>
                <w:tab w:val="right" w:pos="0"/>
                <w:tab w:val="left" w:pos="4253"/>
              </w:tabs>
              <w:spacing w:before="120" w:after="120"/>
              <w:jc w:val="right"/>
              <w:rPr>
                <w:rFonts w:cs="Arial"/>
                <w:szCs w:val="22"/>
              </w:rPr>
            </w:pPr>
            <w:r w:rsidRPr="00E40F0B">
              <w:rPr>
                <w:rFonts w:cs="Arial"/>
                <w:szCs w:val="22"/>
              </w:rPr>
              <w:t>KAMFER ATTORNEYS INC</w:t>
            </w:r>
          </w:p>
        </w:tc>
      </w:tr>
      <w:tr w:rsidR="009D35B5" w:rsidRPr="00E40F0B" w14:paraId="6E2BF966" w14:textId="77777777" w:rsidTr="00615F6B">
        <w:tc>
          <w:tcPr>
            <w:tcW w:w="4678" w:type="dxa"/>
          </w:tcPr>
          <w:p w14:paraId="545B6665" w14:textId="3C9D3748" w:rsidR="009D35B5" w:rsidRPr="00E40F0B" w:rsidRDefault="00393354" w:rsidP="00A25AB4">
            <w:pPr>
              <w:tabs>
                <w:tab w:val="right" w:pos="0"/>
                <w:tab w:val="left" w:pos="4253"/>
              </w:tabs>
              <w:spacing w:before="120" w:after="120"/>
              <w:rPr>
                <w:rFonts w:cs="Arial"/>
                <w:szCs w:val="22"/>
              </w:rPr>
            </w:pPr>
            <w:r>
              <w:rPr>
                <w:rFonts w:cs="Arial"/>
                <w:szCs w:val="22"/>
              </w:rPr>
              <w:t>APPEARANCE</w:t>
            </w:r>
            <w:r w:rsidR="009D35B5" w:rsidRPr="00E40F0B">
              <w:rPr>
                <w:rFonts w:cs="Arial"/>
                <w:szCs w:val="22"/>
              </w:rPr>
              <w:t xml:space="preserve"> FOR </w:t>
            </w:r>
            <w:r w:rsidR="00404A52" w:rsidRPr="00E40F0B">
              <w:rPr>
                <w:rFonts w:cs="Arial"/>
                <w:szCs w:val="22"/>
              </w:rPr>
              <w:t xml:space="preserve">THE </w:t>
            </w:r>
            <w:r w:rsidR="00027D19" w:rsidRPr="00E40F0B">
              <w:rPr>
                <w:rFonts w:cs="Arial"/>
                <w:szCs w:val="22"/>
              </w:rPr>
              <w:t>RESPONDENT</w:t>
            </w:r>
            <w:r w:rsidR="009D35B5" w:rsidRPr="00E40F0B">
              <w:rPr>
                <w:rFonts w:cs="Arial"/>
                <w:szCs w:val="22"/>
              </w:rPr>
              <w:t>:</w:t>
            </w:r>
          </w:p>
        </w:tc>
        <w:tc>
          <w:tcPr>
            <w:tcW w:w="3935" w:type="dxa"/>
          </w:tcPr>
          <w:p w14:paraId="51741A90" w14:textId="04D6E1DB" w:rsidR="00834B62" w:rsidRPr="00E40F0B" w:rsidRDefault="00D9135E" w:rsidP="00D65571">
            <w:pPr>
              <w:tabs>
                <w:tab w:val="right" w:pos="0"/>
                <w:tab w:val="left" w:pos="4253"/>
              </w:tabs>
              <w:spacing w:before="120" w:after="120"/>
              <w:jc w:val="right"/>
              <w:rPr>
                <w:rFonts w:cs="Arial"/>
                <w:szCs w:val="22"/>
              </w:rPr>
            </w:pPr>
            <w:r w:rsidRPr="00E40F0B">
              <w:rPr>
                <w:rFonts w:cs="Arial"/>
                <w:szCs w:val="22"/>
              </w:rPr>
              <w:t>IN PERSON</w:t>
            </w:r>
          </w:p>
        </w:tc>
      </w:tr>
      <w:tr w:rsidR="009D35B5" w:rsidRPr="00E40F0B" w14:paraId="1EC4105A" w14:textId="77777777" w:rsidTr="00615F6B">
        <w:tc>
          <w:tcPr>
            <w:tcW w:w="4678" w:type="dxa"/>
          </w:tcPr>
          <w:p w14:paraId="184EC2ED" w14:textId="1E42F28A" w:rsidR="009D35B5" w:rsidRPr="00E40F0B" w:rsidRDefault="009D35B5" w:rsidP="00A25AB4">
            <w:pPr>
              <w:tabs>
                <w:tab w:val="right" w:pos="0"/>
                <w:tab w:val="left" w:pos="4253"/>
              </w:tabs>
              <w:spacing w:before="120" w:after="120"/>
              <w:rPr>
                <w:rFonts w:cs="Arial"/>
                <w:szCs w:val="22"/>
              </w:rPr>
            </w:pPr>
            <w:r w:rsidRPr="00E40F0B">
              <w:rPr>
                <w:rFonts w:cs="Arial"/>
                <w:szCs w:val="22"/>
              </w:rPr>
              <w:t>INSTRUCTED BY:</w:t>
            </w:r>
          </w:p>
        </w:tc>
        <w:tc>
          <w:tcPr>
            <w:tcW w:w="3935" w:type="dxa"/>
          </w:tcPr>
          <w:p w14:paraId="2098BE2A" w14:textId="42A33EBD" w:rsidR="009D35B5" w:rsidRPr="00E40F0B" w:rsidRDefault="00D9135E" w:rsidP="00A25AB4">
            <w:pPr>
              <w:tabs>
                <w:tab w:val="right" w:pos="0"/>
                <w:tab w:val="left" w:pos="4253"/>
              </w:tabs>
              <w:spacing w:before="120" w:after="120"/>
              <w:jc w:val="right"/>
              <w:rPr>
                <w:rFonts w:cs="Arial"/>
                <w:szCs w:val="22"/>
              </w:rPr>
            </w:pPr>
            <w:r w:rsidRPr="00E40F0B">
              <w:rPr>
                <w:rFonts w:cs="Arial"/>
                <w:szCs w:val="22"/>
              </w:rPr>
              <w:t>-</w:t>
            </w:r>
          </w:p>
        </w:tc>
      </w:tr>
      <w:tr w:rsidR="009D35B5" w:rsidRPr="00E40F0B" w14:paraId="2A3FE2B1" w14:textId="77777777" w:rsidTr="00615F6B">
        <w:tc>
          <w:tcPr>
            <w:tcW w:w="4678" w:type="dxa"/>
          </w:tcPr>
          <w:p w14:paraId="0767D0FE" w14:textId="61925A22" w:rsidR="009D35B5" w:rsidRPr="00E40F0B" w:rsidRDefault="009D35B5" w:rsidP="00A25AB4">
            <w:pPr>
              <w:tabs>
                <w:tab w:val="right" w:pos="0"/>
                <w:tab w:val="left" w:pos="4253"/>
              </w:tabs>
              <w:spacing w:before="120" w:after="120"/>
              <w:rPr>
                <w:rFonts w:cs="Arial"/>
                <w:szCs w:val="22"/>
              </w:rPr>
            </w:pPr>
            <w:r w:rsidRPr="00E40F0B">
              <w:rPr>
                <w:rFonts w:cs="Arial"/>
                <w:szCs w:val="22"/>
              </w:rPr>
              <w:t xml:space="preserve">DATE </w:t>
            </w:r>
            <w:r w:rsidR="00E57446" w:rsidRPr="00E40F0B">
              <w:rPr>
                <w:rFonts w:cs="Arial"/>
                <w:szCs w:val="22"/>
              </w:rPr>
              <w:t>OF ARGUMENT</w:t>
            </w:r>
            <w:r w:rsidRPr="00E40F0B">
              <w:rPr>
                <w:rFonts w:cs="Arial"/>
                <w:szCs w:val="22"/>
              </w:rPr>
              <w:t>:</w:t>
            </w:r>
          </w:p>
        </w:tc>
        <w:tc>
          <w:tcPr>
            <w:tcW w:w="3935" w:type="dxa"/>
          </w:tcPr>
          <w:p w14:paraId="34C95147" w14:textId="7741C4DA" w:rsidR="009D35B5" w:rsidRPr="00E40F0B" w:rsidRDefault="00D9135E" w:rsidP="00A25AB4">
            <w:pPr>
              <w:tabs>
                <w:tab w:val="right" w:pos="0"/>
                <w:tab w:val="left" w:pos="4253"/>
              </w:tabs>
              <w:spacing w:before="120" w:after="120"/>
              <w:jc w:val="right"/>
              <w:rPr>
                <w:rFonts w:cs="Arial"/>
                <w:szCs w:val="22"/>
              </w:rPr>
            </w:pPr>
            <w:r w:rsidRPr="00E40F0B">
              <w:rPr>
                <w:rFonts w:cs="Arial"/>
                <w:szCs w:val="22"/>
              </w:rPr>
              <w:t>31</w:t>
            </w:r>
            <w:r w:rsidR="00834B62" w:rsidRPr="00E40F0B">
              <w:rPr>
                <w:rFonts w:cs="Arial"/>
                <w:szCs w:val="22"/>
              </w:rPr>
              <w:t xml:space="preserve"> OCTOBER 2023</w:t>
            </w:r>
          </w:p>
        </w:tc>
      </w:tr>
      <w:tr w:rsidR="00A25AB4" w:rsidRPr="00E40F0B" w14:paraId="5ECDFF3A" w14:textId="77777777" w:rsidTr="00615F6B">
        <w:tc>
          <w:tcPr>
            <w:tcW w:w="4678" w:type="dxa"/>
          </w:tcPr>
          <w:p w14:paraId="1DF2AE9E" w14:textId="1FC539A4" w:rsidR="00A25AB4" w:rsidRPr="00E40F0B" w:rsidRDefault="00A25AB4" w:rsidP="00A25AB4">
            <w:pPr>
              <w:tabs>
                <w:tab w:val="right" w:pos="0"/>
                <w:tab w:val="left" w:pos="4253"/>
              </w:tabs>
              <w:spacing w:before="120" w:after="120"/>
              <w:rPr>
                <w:rFonts w:cs="Arial"/>
                <w:szCs w:val="22"/>
              </w:rPr>
            </w:pPr>
            <w:r w:rsidRPr="00E40F0B">
              <w:rPr>
                <w:rFonts w:cs="Arial"/>
                <w:szCs w:val="22"/>
              </w:rPr>
              <w:t>DATE OF JUDGMENT:</w:t>
            </w:r>
          </w:p>
        </w:tc>
        <w:tc>
          <w:tcPr>
            <w:tcW w:w="3935" w:type="dxa"/>
          </w:tcPr>
          <w:p w14:paraId="02219E99" w14:textId="6BF11162" w:rsidR="00A25AB4" w:rsidRPr="00E40F0B" w:rsidRDefault="00CC3983" w:rsidP="00A25AB4">
            <w:pPr>
              <w:tabs>
                <w:tab w:val="right" w:pos="0"/>
                <w:tab w:val="left" w:pos="4253"/>
              </w:tabs>
              <w:spacing w:before="120" w:after="120"/>
              <w:jc w:val="right"/>
              <w:rPr>
                <w:rFonts w:cs="Arial"/>
                <w:szCs w:val="22"/>
              </w:rPr>
            </w:pPr>
            <w:r>
              <w:rPr>
                <w:rFonts w:cs="Arial"/>
                <w:szCs w:val="22"/>
              </w:rPr>
              <w:t>15</w:t>
            </w:r>
            <w:r w:rsidR="00834B62" w:rsidRPr="00E40F0B">
              <w:rPr>
                <w:rFonts w:cs="Arial"/>
                <w:szCs w:val="22"/>
              </w:rPr>
              <w:t xml:space="preserve"> </w:t>
            </w:r>
            <w:r w:rsidR="00D74FA1" w:rsidRPr="00E40F0B">
              <w:rPr>
                <w:rFonts w:cs="Arial"/>
                <w:szCs w:val="22"/>
              </w:rPr>
              <w:t>NOVEMBER</w:t>
            </w:r>
            <w:r w:rsidR="00834B62" w:rsidRPr="00E40F0B">
              <w:rPr>
                <w:rFonts w:cs="Arial"/>
                <w:szCs w:val="22"/>
              </w:rPr>
              <w:t xml:space="preserve"> 2023</w:t>
            </w:r>
          </w:p>
        </w:tc>
      </w:tr>
    </w:tbl>
    <w:p w14:paraId="1BD8F4EB" w14:textId="491B3C8F" w:rsidR="00A402F6" w:rsidRPr="00E40F0B" w:rsidRDefault="00A402F6" w:rsidP="001966E8">
      <w:pPr>
        <w:widowControl w:val="0"/>
        <w:spacing w:before="480" w:after="480" w:line="360" w:lineRule="auto"/>
        <w:jc w:val="both"/>
        <w:rPr>
          <w:rFonts w:cs="Arial"/>
          <w:szCs w:val="22"/>
        </w:rPr>
      </w:pPr>
    </w:p>
    <w:sectPr w:rsidR="00A402F6" w:rsidRPr="00E40F0B" w:rsidSect="009869F2">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5D07E" w14:textId="77777777" w:rsidR="00067118" w:rsidRDefault="00067118">
      <w:r>
        <w:separator/>
      </w:r>
    </w:p>
  </w:endnote>
  <w:endnote w:type="continuationSeparator" w:id="0">
    <w:p w14:paraId="313F6E44" w14:textId="77777777" w:rsidR="00067118" w:rsidRDefault="0006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4CDD5" w14:textId="77777777" w:rsidR="00067118" w:rsidRDefault="00067118">
      <w:r>
        <w:separator/>
      </w:r>
    </w:p>
  </w:footnote>
  <w:footnote w:type="continuationSeparator" w:id="0">
    <w:p w14:paraId="44349AFC" w14:textId="77777777" w:rsidR="00067118" w:rsidRDefault="00067118">
      <w:r>
        <w:continuationSeparator/>
      </w:r>
    </w:p>
  </w:footnote>
  <w:footnote w:id="1">
    <w:p w14:paraId="6A73A110" w14:textId="73140326" w:rsidR="00C42673" w:rsidRDefault="00C42673">
      <w:pPr>
        <w:pStyle w:val="FootnoteText"/>
      </w:pPr>
      <w:r>
        <w:rPr>
          <w:rStyle w:val="FootnoteReference"/>
        </w:rPr>
        <w:footnoteRef/>
      </w:r>
      <w:r>
        <w:t xml:space="preserve"> </w:t>
      </w:r>
      <w:r>
        <w:tab/>
        <w:t>The three children were born in 2008, 2013 and 2018.</w:t>
      </w:r>
    </w:p>
  </w:footnote>
  <w:footnote w:id="2">
    <w:p w14:paraId="1372AD1A" w14:textId="7329D2C2" w:rsidR="00B4185A" w:rsidRDefault="00B4185A">
      <w:pPr>
        <w:pStyle w:val="FootnoteText"/>
      </w:pPr>
      <w:r>
        <w:rPr>
          <w:rStyle w:val="FootnoteReference"/>
        </w:rPr>
        <w:footnoteRef/>
      </w:r>
      <w:r>
        <w:t xml:space="preserve"> </w:t>
      </w:r>
      <w:r>
        <w:tab/>
        <w:t>Judgment para 1.</w:t>
      </w:r>
    </w:p>
  </w:footnote>
  <w:footnote w:id="3">
    <w:p w14:paraId="1CBE45D8" w14:textId="4F6D38FE" w:rsidR="00F44F59" w:rsidRDefault="00F44F59">
      <w:pPr>
        <w:pStyle w:val="FootnoteText"/>
      </w:pPr>
      <w:r>
        <w:rPr>
          <w:rStyle w:val="FootnoteReference"/>
        </w:rPr>
        <w:footnoteRef/>
      </w:r>
      <w:r>
        <w:t xml:space="preserve"> </w:t>
      </w:r>
      <w:r w:rsidR="00E77C31">
        <w:tab/>
      </w:r>
      <w:r w:rsidR="00E77C31" w:rsidRPr="007E0DBB">
        <w:rPr>
          <w:rFonts w:cs="Arial"/>
          <w:i/>
          <w:iCs/>
        </w:rPr>
        <w:t>Hancock v Hancock</w:t>
      </w:r>
      <w:r w:rsidR="00E77C31">
        <w:rPr>
          <w:rFonts w:cs="Arial"/>
        </w:rPr>
        <w:t xml:space="preserve"> </w:t>
      </w:r>
      <w:r w:rsidR="00E77C31" w:rsidRPr="007E0DBB">
        <w:rPr>
          <w:rFonts w:cs="Arial"/>
        </w:rPr>
        <w:t>1957 (2) SA 500 (C) 503</w:t>
      </w:r>
      <w:r w:rsidR="00E77C31">
        <w:rPr>
          <w:rFonts w:cs="Arial"/>
        </w:rPr>
        <w:t xml:space="preserve">, </w:t>
      </w:r>
      <w:r w:rsidR="00E77C31" w:rsidRPr="007E0DBB">
        <w:rPr>
          <w:rFonts w:cs="Arial"/>
          <w:i/>
          <w:iCs/>
        </w:rPr>
        <w:t>Davis v Davis</w:t>
      </w:r>
      <w:r w:rsidR="00E77C31">
        <w:rPr>
          <w:rFonts w:cs="Arial"/>
        </w:rPr>
        <w:t xml:space="preserve"> </w:t>
      </w:r>
      <w:r w:rsidR="00E77C31" w:rsidRPr="007E0DBB">
        <w:rPr>
          <w:rFonts w:cs="Arial"/>
        </w:rPr>
        <w:t>1993 (1) SA 293 (SE) 295</w:t>
      </w:r>
      <w:r w:rsidR="00EE08BD">
        <w:rPr>
          <w:rFonts w:cs="Arial"/>
        </w:rPr>
        <w:t xml:space="preserve">, </w:t>
      </w:r>
      <w:proofErr w:type="spellStart"/>
      <w:r w:rsidR="00E77C31" w:rsidRPr="007E0DBB">
        <w:rPr>
          <w:rFonts w:cs="Arial"/>
          <w:i/>
          <w:iCs/>
        </w:rPr>
        <w:t>Bursey</w:t>
      </w:r>
      <w:proofErr w:type="spellEnd"/>
      <w:r w:rsidR="00E77C31" w:rsidRPr="007E0DBB">
        <w:rPr>
          <w:rFonts w:cs="Arial"/>
          <w:i/>
          <w:iCs/>
        </w:rPr>
        <w:t xml:space="preserve"> v </w:t>
      </w:r>
      <w:proofErr w:type="spellStart"/>
      <w:r w:rsidR="00E77C31" w:rsidRPr="007E0DBB">
        <w:rPr>
          <w:rFonts w:cs="Arial"/>
          <w:i/>
          <w:iCs/>
        </w:rPr>
        <w:t>Bursey</w:t>
      </w:r>
      <w:proofErr w:type="spellEnd"/>
      <w:r w:rsidR="00E77C31" w:rsidRPr="007E0DBB">
        <w:rPr>
          <w:rFonts w:cs="Arial"/>
          <w:i/>
          <w:iCs/>
        </w:rPr>
        <w:t xml:space="preserve"> and Another</w:t>
      </w:r>
      <w:r w:rsidR="00E77C31" w:rsidRPr="007E0DBB">
        <w:rPr>
          <w:rFonts w:cs="Arial"/>
        </w:rPr>
        <w:t xml:space="preserve"> 1999 (3) SA 33 (SCA) 36D,</w:t>
      </w:r>
      <w:r w:rsidR="008060DF">
        <w:rPr>
          <w:rFonts w:cs="Arial"/>
        </w:rPr>
        <w:t xml:space="preserve"> </w:t>
      </w:r>
      <w:r w:rsidR="00971001">
        <w:rPr>
          <w:rFonts w:cs="Arial"/>
        </w:rPr>
        <w:t xml:space="preserve">and </w:t>
      </w:r>
      <w:proofErr w:type="spellStart"/>
      <w:r w:rsidR="00E77C31" w:rsidRPr="007E0DBB">
        <w:rPr>
          <w:rFonts w:cs="Arial"/>
          <w:i/>
          <w:iCs/>
        </w:rPr>
        <w:t>Bannatyne</w:t>
      </w:r>
      <w:proofErr w:type="spellEnd"/>
      <w:r w:rsidR="00E77C31" w:rsidRPr="007E0DBB">
        <w:rPr>
          <w:rFonts w:cs="Arial"/>
          <w:i/>
          <w:iCs/>
        </w:rPr>
        <w:t xml:space="preserve"> v </w:t>
      </w:r>
      <w:proofErr w:type="spellStart"/>
      <w:r w:rsidR="00E77C31" w:rsidRPr="007E0DBB">
        <w:rPr>
          <w:rFonts w:cs="Arial"/>
          <w:i/>
          <w:iCs/>
        </w:rPr>
        <w:t>Bannatyne</w:t>
      </w:r>
      <w:proofErr w:type="spellEnd"/>
      <w:r w:rsidR="00E77C31" w:rsidRPr="007E0DBB">
        <w:rPr>
          <w:rFonts w:cs="Arial"/>
          <w:i/>
          <w:iCs/>
        </w:rPr>
        <w:t xml:space="preserve"> (Commission for Gender Equality, as Amicus Curiae) </w:t>
      </w:r>
      <w:r w:rsidR="00E77C31" w:rsidRPr="007E0DBB">
        <w:rPr>
          <w:rFonts w:cs="Arial"/>
        </w:rPr>
        <w:t>2003 (2) SA 363 (CC) para 29</w:t>
      </w:r>
      <w:r w:rsidR="00971001">
        <w:rPr>
          <w:rFonts w:cs="Arial"/>
        </w:rPr>
        <w:t>.</w:t>
      </w:r>
    </w:p>
  </w:footnote>
  <w:footnote w:id="4">
    <w:p w14:paraId="6E2F3A81" w14:textId="12BEA3B8" w:rsidR="00971001" w:rsidRDefault="00971001">
      <w:pPr>
        <w:pStyle w:val="FootnoteText"/>
      </w:pPr>
      <w:r>
        <w:rPr>
          <w:rStyle w:val="FootnoteReference"/>
        </w:rPr>
        <w:footnoteRef/>
      </w:r>
      <w:r>
        <w:t xml:space="preserve"> </w:t>
      </w:r>
      <w:r>
        <w:tab/>
      </w:r>
      <w:proofErr w:type="spellStart"/>
      <w:r w:rsidRPr="007E0DBB">
        <w:rPr>
          <w:rFonts w:cs="Arial"/>
          <w:i/>
          <w:iCs/>
        </w:rPr>
        <w:t>Modise</w:t>
      </w:r>
      <w:proofErr w:type="spellEnd"/>
      <w:r w:rsidRPr="007E0DBB">
        <w:rPr>
          <w:rFonts w:cs="Arial"/>
          <w:i/>
          <w:iCs/>
        </w:rPr>
        <w:t xml:space="preserve"> v </w:t>
      </w:r>
      <w:proofErr w:type="spellStart"/>
      <w:r w:rsidRPr="007E0DBB">
        <w:rPr>
          <w:rFonts w:cs="Arial"/>
          <w:i/>
          <w:iCs/>
        </w:rPr>
        <w:t>Modise</w:t>
      </w:r>
      <w:proofErr w:type="spellEnd"/>
      <w:r w:rsidRPr="007E0DBB">
        <w:rPr>
          <w:rFonts w:cs="Arial"/>
          <w:i/>
          <w:iCs/>
        </w:rPr>
        <w:t xml:space="preserve"> and </w:t>
      </w:r>
      <w:proofErr w:type="gramStart"/>
      <w:r w:rsidRPr="007E0DBB">
        <w:rPr>
          <w:rFonts w:cs="Arial"/>
          <w:i/>
          <w:iCs/>
        </w:rPr>
        <w:t>Another</w:t>
      </w:r>
      <w:r w:rsidRPr="007E0DBB">
        <w:rPr>
          <w:rFonts w:cs="Arial"/>
        </w:rPr>
        <w:t xml:space="preserve">  2007</w:t>
      </w:r>
      <w:proofErr w:type="gramEnd"/>
      <w:r w:rsidRPr="007E0DBB">
        <w:rPr>
          <w:rFonts w:cs="Arial"/>
        </w:rPr>
        <w:t xml:space="preserve"> (1) BLR 622 (HC) 627</w:t>
      </w:r>
      <w:r>
        <w:rPr>
          <w:rFonts w:cs="Arial"/>
        </w:rPr>
        <w:t xml:space="preserve">. See also </w:t>
      </w:r>
      <w:r w:rsidRPr="00CB1DE7">
        <w:rPr>
          <w:i/>
          <w:iCs/>
        </w:rPr>
        <w:t>SV v JB</w:t>
      </w:r>
      <w:r w:rsidRPr="00CB1DE7">
        <w:t xml:space="preserve"> 2016 JDR 0704 (GP)</w:t>
      </w:r>
      <w:r>
        <w:t xml:space="preserve"> para 22.</w:t>
      </w:r>
    </w:p>
  </w:footnote>
  <w:footnote w:id="5">
    <w:p w14:paraId="2742DE85" w14:textId="39C826C2" w:rsidR="00602F6C" w:rsidRDefault="00602F6C">
      <w:pPr>
        <w:pStyle w:val="FootnoteText"/>
      </w:pPr>
      <w:r>
        <w:rPr>
          <w:rStyle w:val="FootnoteReference"/>
        </w:rPr>
        <w:footnoteRef/>
      </w:r>
      <w:r>
        <w:t xml:space="preserve"> </w:t>
      </w:r>
      <w:r>
        <w:tab/>
        <w:t xml:space="preserve">Wireless </w:t>
      </w:r>
      <w:r w:rsidR="002337ED">
        <w:t>Fidelity</w:t>
      </w:r>
      <w:r>
        <w:t>.</w:t>
      </w:r>
    </w:p>
  </w:footnote>
  <w:footnote w:id="6">
    <w:p w14:paraId="03BCBD55" w14:textId="44B3C766" w:rsidR="00E05FC3" w:rsidRDefault="00E05FC3" w:rsidP="00E05FC3">
      <w:pPr>
        <w:pStyle w:val="FootnoteText"/>
      </w:pPr>
      <w:r w:rsidRPr="0002629D">
        <w:rPr>
          <w:rStyle w:val="FootnoteReference"/>
        </w:rPr>
        <w:footnoteRef/>
      </w:r>
      <w:r w:rsidRPr="0002629D">
        <w:t xml:space="preserve"> </w:t>
      </w:r>
      <w:r w:rsidRPr="0002629D">
        <w:tab/>
      </w:r>
      <w:r w:rsidRPr="0002629D">
        <w:rPr>
          <w:rFonts w:cs="Arial"/>
          <w:i/>
          <w:iCs/>
          <w:shd w:val="clear" w:color="auto" w:fill="FFFFFF"/>
        </w:rPr>
        <w:t>Florence v Government of the Republic of South Africa</w:t>
      </w:r>
      <w:r w:rsidRPr="0002629D">
        <w:rPr>
          <w:rFonts w:cs="Arial"/>
          <w:shd w:val="clear" w:color="auto" w:fill="FFFFFF"/>
        </w:rPr>
        <w:t> </w:t>
      </w:r>
      <w:hyperlink r:id="rId1" w:history="1">
        <w:r w:rsidRPr="0002629D">
          <w:rPr>
            <w:rStyle w:val="Hyperlink"/>
            <w:rFonts w:cs="Arial"/>
            <w:color w:val="auto"/>
            <w:u w:val="none"/>
            <w:shd w:val="clear" w:color="auto" w:fill="FFFFFF"/>
          </w:rPr>
          <w:t>2014 (6) SA 456 (CC)</w:t>
        </w:r>
      </w:hyperlink>
      <w:r w:rsidRPr="0002629D">
        <w:rPr>
          <w:rFonts w:cs="Arial"/>
        </w:rPr>
        <w:t xml:space="preserve"> para 113.</w:t>
      </w:r>
      <w:r>
        <w:rPr>
          <w:rFonts w:cs="Arial"/>
        </w:rPr>
        <w:t xml:space="preserve"> See also</w:t>
      </w:r>
      <w:r w:rsidRPr="00E05FC3">
        <w:rPr>
          <w:i/>
          <w:iCs/>
          <w:color w:val="000000" w:themeColor="text1"/>
          <w:lang w:eastAsia="en-ZA"/>
        </w:rPr>
        <w:t xml:space="preserve"> </w:t>
      </w:r>
      <w:r w:rsidRPr="00191619">
        <w:rPr>
          <w:i/>
          <w:iCs/>
          <w:color w:val="000000" w:themeColor="text1"/>
          <w:lang w:eastAsia="en-ZA"/>
        </w:rPr>
        <w:t xml:space="preserve">Ex parte </w:t>
      </w:r>
      <w:proofErr w:type="spellStart"/>
      <w:r w:rsidRPr="00191619">
        <w:rPr>
          <w:i/>
          <w:iCs/>
          <w:color w:val="000000" w:themeColor="text1"/>
          <w:lang w:eastAsia="en-ZA"/>
        </w:rPr>
        <w:t>Neethling</w:t>
      </w:r>
      <w:proofErr w:type="spellEnd"/>
      <w:r w:rsidRPr="00191619">
        <w:rPr>
          <w:i/>
          <w:iCs/>
          <w:color w:val="000000" w:themeColor="text1"/>
          <w:lang w:eastAsia="en-ZA"/>
        </w:rPr>
        <w:t xml:space="preserve"> and Others </w:t>
      </w:r>
      <w:hyperlink r:id="rId2" w:history="1">
        <w:r w:rsidRPr="00191619">
          <w:rPr>
            <w:rStyle w:val="Hyperlink"/>
            <w:i/>
            <w:iCs/>
            <w:color w:val="000000" w:themeColor="text1"/>
            <w:u w:val="none"/>
            <w:lang w:eastAsia="en-ZA"/>
          </w:rPr>
          <w:t>1951 (4) SA 331 (A)</w:t>
        </w:r>
      </w:hyperlink>
      <w:r w:rsidR="00414131">
        <w:rPr>
          <w:rStyle w:val="Hyperlink"/>
          <w:i/>
          <w:iCs/>
          <w:color w:val="000000" w:themeColor="text1"/>
          <w:u w:val="none"/>
          <w:lang w:eastAsia="en-ZA"/>
        </w:rPr>
        <w:t xml:space="preserve"> 335D to E</w:t>
      </w:r>
      <w:r>
        <w:rPr>
          <w:rStyle w:val="Hyperlink"/>
          <w:i/>
          <w:iCs/>
          <w:color w:val="000000" w:themeColor="text1"/>
          <w:u w:val="none"/>
          <w:lang w:eastAsia="en-ZA"/>
        </w:rPr>
        <w:t>,</w:t>
      </w:r>
      <w:r>
        <w:rPr>
          <w:rFonts w:cs="Arial"/>
        </w:rPr>
        <w:t xml:space="preserve"> </w:t>
      </w:r>
      <w:bookmarkStart w:id="3" w:name="_Hlk143008917"/>
      <w:proofErr w:type="spellStart"/>
      <w:r w:rsidRPr="00D7757B">
        <w:rPr>
          <w:i/>
          <w:iCs/>
        </w:rPr>
        <w:t>Tjospomie</w:t>
      </w:r>
      <w:proofErr w:type="spellEnd"/>
      <w:r w:rsidRPr="00D7757B">
        <w:rPr>
          <w:i/>
          <w:iCs/>
        </w:rPr>
        <w:t xml:space="preserve"> </w:t>
      </w:r>
      <w:proofErr w:type="spellStart"/>
      <w:r w:rsidRPr="00D7757B">
        <w:rPr>
          <w:i/>
          <w:iCs/>
        </w:rPr>
        <w:t>Boerdery</w:t>
      </w:r>
      <w:proofErr w:type="spellEnd"/>
      <w:r w:rsidRPr="00D7757B">
        <w:rPr>
          <w:i/>
          <w:iCs/>
        </w:rPr>
        <w:t xml:space="preserve"> (Pty) Ltd v Drakensberg </w:t>
      </w:r>
      <w:proofErr w:type="spellStart"/>
      <w:r w:rsidRPr="00D7757B">
        <w:rPr>
          <w:i/>
          <w:iCs/>
        </w:rPr>
        <w:t>Botteliers</w:t>
      </w:r>
      <w:proofErr w:type="spellEnd"/>
      <w:r w:rsidRPr="00D7757B">
        <w:rPr>
          <w:i/>
          <w:iCs/>
        </w:rPr>
        <w:t xml:space="preserve"> (Pty) Ltd and Another</w:t>
      </w:r>
      <w:r w:rsidRPr="00D7757B">
        <w:t xml:space="preserve"> </w:t>
      </w:r>
      <w:bookmarkEnd w:id="3"/>
      <w:r w:rsidRPr="00D7757B">
        <w:t>1989 (4) SA 31 (T)</w:t>
      </w:r>
      <w:r w:rsidR="00414131">
        <w:t xml:space="preserve"> 39J to 40J, and </w:t>
      </w:r>
      <w:r w:rsidRPr="0002629D">
        <w:rPr>
          <w:i/>
          <w:iCs/>
        </w:rPr>
        <w:t>Public Protector v South African Reserve Bank</w:t>
      </w:r>
      <w:r w:rsidRPr="0002629D">
        <w:t xml:space="preserve"> 2019 (6) SA 253 (CC) paras 144 to 145</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8A9B" w14:textId="0A90827E" w:rsidR="00893C08" w:rsidRPr="006C43D7" w:rsidRDefault="00893C08"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C41D23">
      <w:rPr>
        <w:rFonts w:cs="Arial"/>
        <w:noProof/>
        <w:sz w:val="20"/>
        <w:szCs w:val="20"/>
        <w:lang w:val="en-GB"/>
      </w:rPr>
      <w:t>2</w:t>
    </w:r>
    <w:r w:rsidRPr="006C43D7">
      <w:rPr>
        <w:rFonts w:cs="Arial"/>
        <w:sz w:val="20"/>
        <w:szCs w:val="20"/>
        <w:lang w:val="en-GB"/>
      </w:rPr>
      <w:fldChar w:fldCharType="end"/>
    </w:r>
  </w:p>
  <w:p w14:paraId="08C008E5" w14:textId="77777777" w:rsidR="00893C08" w:rsidRPr="006C43D7" w:rsidRDefault="00893C08" w:rsidP="006C43D7">
    <w:pPr>
      <w:tabs>
        <w:tab w:val="center" w:pos="4153"/>
        <w:tab w:val="right" w:pos="8306"/>
      </w:tabs>
      <w:spacing w:line="276" w:lineRule="auto"/>
      <w:jc w:val="right"/>
      <w:rPr>
        <w:rFonts w:cs="Arial"/>
        <w:lang w:val="en-US"/>
      </w:rPr>
    </w:pPr>
  </w:p>
  <w:p w14:paraId="4A21EF97" w14:textId="77777777" w:rsidR="00893C08" w:rsidRPr="006C43D7" w:rsidRDefault="00893C08" w:rsidP="006C43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A0D50CD"/>
    <w:multiLevelType w:val="hybridMultilevel"/>
    <w:tmpl w:val="9DC047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4576F93"/>
    <w:multiLevelType w:val="hybridMultilevel"/>
    <w:tmpl w:val="64068F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5DE0EE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126397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1" w15:restartNumberingAfterBreak="0">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12" w15:restartNumberingAfterBreak="0">
    <w:nsid w:val="43317FD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9C0D19"/>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AD3D5B"/>
    <w:multiLevelType w:val="hybridMultilevel"/>
    <w:tmpl w:val="8788F6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15:restartNumberingAfterBreak="0">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18"/>
  </w:num>
  <w:num w:numId="4">
    <w:abstractNumId w:val="9"/>
  </w:num>
  <w:num w:numId="5">
    <w:abstractNumId w:val="17"/>
  </w:num>
  <w:num w:numId="6">
    <w:abstractNumId w:val="14"/>
  </w:num>
  <w:num w:numId="7">
    <w:abstractNumId w:val="0"/>
  </w:num>
  <w:num w:numId="8">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19"/>
  </w:num>
  <w:num w:numId="12">
    <w:abstractNumId w:val="6"/>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abstractNumId w:val="15"/>
  </w:num>
  <w:num w:numId="14">
    <w:abstractNumId w:val="13"/>
  </w:num>
  <w:num w:numId="15">
    <w:abstractNumId w:val="5"/>
  </w:num>
  <w:num w:numId="16">
    <w:abstractNumId w:val="8"/>
  </w:num>
  <w:num w:numId="17">
    <w:abstractNumId w:val="4"/>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0AFE"/>
    <w:rsid w:val="00001138"/>
    <w:rsid w:val="000019D2"/>
    <w:rsid w:val="00005CDD"/>
    <w:rsid w:val="00006113"/>
    <w:rsid w:val="0001111B"/>
    <w:rsid w:val="0001140A"/>
    <w:rsid w:val="00011522"/>
    <w:rsid w:val="00013B7F"/>
    <w:rsid w:val="00013F00"/>
    <w:rsid w:val="00014CC6"/>
    <w:rsid w:val="0001593E"/>
    <w:rsid w:val="00015D74"/>
    <w:rsid w:val="00022ACD"/>
    <w:rsid w:val="00024A29"/>
    <w:rsid w:val="00025815"/>
    <w:rsid w:val="000262B3"/>
    <w:rsid w:val="000264AE"/>
    <w:rsid w:val="00026D9A"/>
    <w:rsid w:val="00027D19"/>
    <w:rsid w:val="00030A89"/>
    <w:rsid w:val="000319AA"/>
    <w:rsid w:val="000325E2"/>
    <w:rsid w:val="00036508"/>
    <w:rsid w:val="00040CD3"/>
    <w:rsid w:val="000426C0"/>
    <w:rsid w:val="00042D0E"/>
    <w:rsid w:val="0004506F"/>
    <w:rsid w:val="0004508D"/>
    <w:rsid w:val="00047F26"/>
    <w:rsid w:val="00050086"/>
    <w:rsid w:val="000504F1"/>
    <w:rsid w:val="00051A2B"/>
    <w:rsid w:val="0005282E"/>
    <w:rsid w:val="000528B3"/>
    <w:rsid w:val="000550EB"/>
    <w:rsid w:val="000554B8"/>
    <w:rsid w:val="0005636C"/>
    <w:rsid w:val="00060AF8"/>
    <w:rsid w:val="00063F7B"/>
    <w:rsid w:val="00066971"/>
    <w:rsid w:val="00067118"/>
    <w:rsid w:val="00072105"/>
    <w:rsid w:val="000737E1"/>
    <w:rsid w:val="00073E30"/>
    <w:rsid w:val="00077D11"/>
    <w:rsid w:val="00081716"/>
    <w:rsid w:val="00082EDC"/>
    <w:rsid w:val="000833BB"/>
    <w:rsid w:val="000835BE"/>
    <w:rsid w:val="00085288"/>
    <w:rsid w:val="00087AE6"/>
    <w:rsid w:val="000906B5"/>
    <w:rsid w:val="00090FFC"/>
    <w:rsid w:val="00092591"/>
    <w:rsid w:val="0009429D"/>
    <w:rsid w:val="0009488C"/>
    <w:rsid w:val="0009540B"/>
    <w:rsid w:val="000956E5"/>
    <w:rsid w:val="00096A67"/>
    <w:rsid w:val="000976D2"/>
    <w:rsid w:val="00097968"/>
    <w:rsid w:val="000A6AD8"/>
    <w:rsid w:val="000B0A70"/>
    <w:rsid w:val="000B1DBC"/>
    <w:rsid w:val="000B21DA"/>
    <w:rsid w:val="000B39D7"/>
    <w:rsid w:val="000B709B"/>
    <w:rsid w:val="000C7A3D"/>
    <w:rsid w:val="000D01E0"/>
    <w:rsid w:val="000D21E7"/>
    <w:rsid w:val="000D2265"/>
    <w:rsid w:val="000D415C"/>
    <w:rsid w:val="000D4E84"/>
    <w:rsid w:val="000D53F5"/>
    <w:rsid w:val="000D5760"/>
    <w:rsid w:val="000D71C5"/>
    <w:rsid w:val="000D7D6A"/>
    <w:rsid w:val="000E1EC8"/>
    <w:rsid w:val="000E3EE8"/>
    <w:rsid w:val="000E4985"/>
    <w:rsid w:val="000E5343"/>
    <w:rsid w:val="000F00EF"/>
    <w:rsid w:val="000F17C9"/>
    <w:rsid w:val="000F430D"/>
    <w:rsid w:val="000F59F8"/>
    <w:rsid w:val="000F7813"/>
    <w:rsid w:val="00101890"/>
    <w:rsid w:val="001025B5"/>
    <w:rsid w:val="00104142"/>
    <w:rsid w:val="00105F97"/>
    <w:rsid w:val="001074E0"/>
    <w:rsid w:val="00107D26"/>
    <w:rsid w:val="00107D90"/>
    <w:rsid w:val="001114D8"/>
    <w:rsid w:val="00112B8C"/>
    <w:rsid w:val="001139C0"/>
    <w:rsid w:val="001142D1"/>
    <w:rsid w:val="00120C79"/>
    <w:rsid w:val="00120FB1"/>
    <w:rsid w:val="00126FD4"/>
    <w:rsid w:val="00130253"/>
    <w:rsid w:val="00130C4A"/>
    <w:rsid w:val="00130EA6"/>
    <w:rsid w:val="00133E81"/>
    <w:rsid w:val="001342B3"/>
    <w:rsid w:val="00140CED"/>
    <w:rsid w:val="00141AD1"/>
    <w:rsid w:val="0014628D"/>
    <w:rsid w:val="00147FF5"/>
    <w:rsid w:val="00151DA9"/>
    <w:rsid w:val="00152899"/>
    <w:rsid w:val="00154961"/>
    <w:rsid w:val="00155A21"/>
    <w:rsid w:val="00161057"/>
    <w:rsid w:val="0016589D"/>
    <w:rsid w:val="00165AB0"/>
    <w:rsid w:val="001671C1"/>
    <w:rsid w:val="00171182"/>
    <w:rsid w:val="0017124B"/>
    <w:rsid w:val="00171D7F"/>
    <w:rsid w:val="00172763"/>
    <w:rsid w:val="00172DDF"/>
    <w:rsid w:val="00175DDD"/>
    <w:rsid w:val="001802F8"/>
    <w:rsid w:val="00180CB6"/>
    <w:rsid w:val="001838CC"/>
    <w:rsid w:val="00183EB6"/>
    <w:rsid w:val="00185ACF"/>
    <w:rsid w:val="00190579"/>
    <w:rsid w:val="00190F4E"/>
    <w:rsid w:val="001916C4"/>
    <w:rsid w:val="0019236B"/>
    <w:rsid w:val="001923E3"/>
    <w:rsid w:val="00192613"/>
    <w:rsid w:val="00192F78"/>
    <w:rsid w:val="00193DDD"/>
    <w:rsid w:val="00195810"/>
    <w:rsid w:val="001966E8"/>
    <w:rsid w:val="00196E14"/>
    <w:rsid w:val="001A2608"/>
    <w:rsid w:val="001A5145"/>
    <w:rsid w:val="001A522A"/>
    <w:rsid w:val="001A70B4"/>
    <w:rsid w:val="001A7904"/>
    <w:rsid w:val="001B1550"/>
    <w:rsid w:val="001B1D39"/>
    <w:rsid w:val="001B35C2"/>
    <w:rsid w:val="001B4217"/>
    <w:rsid w:val="001B4812"/>
    <w:rsid w:val="001B4893"/>
    <w:rsid w:val="001B5350"/>
    <w:rsid w:val="001B5D3E"/>
    <w:rsid w:val="001B5E58"/>
    <w:rsid w:val="001B606B"/>
    <w:rsid w:val="001B7889"/>
    <w:rsid w:val="001C0755"/>
    <w:rsid w:val="001C2371"/>
    <w:rsid w:val="001C33E6"/>
    <w:rsid w:val="001C608F"/>
    <w:rsid w:val="001C7048"/>
    <w:rsid w:val="001D1569"/>
    <w:rsid w:val="001D3CC2"/>
    <w:rsid w:val="001E0529"/>
    <w:rsid w:val="001E2EED"/>
    <w:rsid w:val="001E44D1"/>
    <w:rsid w:val="001E4691"/>
    <w:rsid w:val="001E518E"/>
    <w:rsid w:val="001F09D1"/>
    <w:rsid w:val="001F0A29"/>
    <w:rsid w:val="001F0CE5"/>
    <w:rsid w:val="001F1B3F"/>
    <w:rsid w:val="001F361F"/>
    <w:rsid w:val="001F3DBD"/>
    <w:rsid w:val="001F648A"/>
    <w:rsid w:val="001F6F43"/>
    <w:rsid w:val="00200B96"/>
    <w:rsid w:val="00201620"/>
    <w:rsid w:val="00203DA2"/>
    <w:rsid w:val="0020474A"/>
    <w:rsid w:val="00205392"/>
    <w:rsid w:val="00205E72"/>
    <w:rsid w:val="00206919"/>
    <w:rsid w:val="002104BF"/>
    <w:rsid w:val="002108B6"/>
    <w:rsid w:val="00211F49"/>
    <w:rsid w:val="00213738"/>
    <w:rsid w:val="00214877"/>
    <w:rsid w:val="00215824"/>
    <w:rsid w:val="00216BC8"/>
    <w:rsid w:val="002175BA"/>
    <w:rsid w:val="002200DC"/>
    <w:rsid w:val="00221F59"/>
    <w:rsid w:val="0022218D"/>
    <w:rsid w:val="00223C05"/>
    <w:rsid w:val="00226926"/>
    <w:rsid w:val="00227580"/>
    <w:rsid w:val="00227C24"/>
    <w:rsid w:val="002302E3"/>
    <w:rsid w:val="00232528"/>
    <w:rsid w:val="002337ED"/>
    <w:rsid w:val="0023405C"/>
    <w:rsid w:val="00235D20"/>
    <w:rsid w:val="00236E47"/>
    <w:rsid w:val="00237806"/>
    <w:rsid w:val="00237FF9"/>
    <w:rsid w:val="0024012B"/>
    <w:rsid w:val="00243D2F"/>
    <w:rsid w:val="00244FB9"/>
    <w:rsid w:val="00250164"/>
    <w:rsid w:val="00250BB3"/>
    <w:rsid w:val="00251668"/>
    <w:rsid w:val="002535F0"/>
    <w:rsid w:val="00253F38"/>
    <w:rsid w:val="00253F72"/>
    <w:rsid w:val="00260B0A"/>
    <w:rsid w:val="002625C5"/>
    <w:rsid w:val="00262819"/>
    <w:rsid w:val="00263A96"/>
    <w:rsid w:val="00270557"/>
    <w:rsid w:val="002709AE"/>
    <w:rsid w:val="00272B77"/>
    <w:rsid w:val="0027600C"/>
    <w:rsid w:val="00277491"/>
    <w:rsid w:val="00285040"/>
    <w:rsid w:val="00285062"/>
    <w:rsid w:val="0029196F"/>
    <w:rsid w:val="00292E3E"/>
    <w:rsid w:val="0029369B"/>
    <w:rsid w:val="00293C02"/>
    <w:rsid w:val="0029605B"/>
    <w:rsid w:val="00296DAF"/>
    <w:rsid w:val="002976B8"/>
    <w:rsid w:val="002A030C"/>
    <w:rsid w:val="002A4B7B"/>
    <w:rsid w:val="002B0355"/>
    <w:rsid w:val="002B05EA"/>
    <w:rsid w:val="002B12D6"/>
    <w:rsid w:val="002B528D"/>
    <w:rsid w:val="002B6270"/>
    <w:rsid w:val="002C15AC"/>
    <w:rsid w:val="002C2E80"/>
    <w:rsid w:val="002C4687"/>
    <w:rsid w:val="002C48E7"/>
    <w:rsid w:val="002D2842"/>
    <w:rsid w:val="002D47B3"/>
    <w:rsid w:val="002D73C6"/>
    <w:rsid w:val="002E0E37"/>
    <w:rsid w:val="002E3586"/>
    <w:rsid w:val="002E5B57"/>
    <w:rsid w:val="002E612C"/>
    <w:rsid w:val="002E6CD7"/>
    <w:rsid w:val="002F1C4D"/>
    <w:rsid w:val="002F2881"/>
    <w:rsid w:val="002F41F8"/>
    <w:rsid w:val="002F4A5D"/>
    <w:rsid w:val="002F508A"/>
    <w:rsid w:val="002F6309"/>
    <w:rsid w:val="002F72D3"/>
    <w:rsid w:val="00302290"/>
    <w:rsid w:val="003023F9"/>
    <w:rsid w:val="00302C31"/>
    <w:rsid w:val="003031A1"/>
    <w:rsid w:val="00303919"/>
    <w:rsid w:val="003047C2"/>
    <w:rsid w:val="0030653F"/>
    <w:rsid w:val="00306B41"/>
    <w:rsid w:val="003102C8"/>
    <w:rsid w:val="0031117B"/>
    <w:rsid w:val="003112A0"/>
    <w:rsid w:val="00312EBC"/>
    <w:rsid w:val="00313056"/>
    <w:rsid w:val="00313D95"/>
    <w:rsid w:val="00321DF8"/>
    <w:rsid w:val="00323058"/>
    <w:rsid w:val="00324EDF"/>
    <w:rsid w:val="003312BF"/>
    <w:rsid w:val="003313A2"/>
    <w:rsid w:val="003322AC"/>
    <w:rsid w:val="00337135"/>
    <w:rsid w:val="0034147B"/>
    <w:rsid w:val="00342E02"/>
    <w:rsid w:val="003448B1"/>
    <w:rsid w:val="003463D6"/>
    <w:rsid w:val="00346D31"/>
    <w:rsid w:val="00346DE6"/>
    <w:rsid w:val="00347E19"/>
    <w:rsid w:val="0035170A"/>
    <w:rsid w:val="003541F6"/>
    <w:rsid w:val="00354395"/>
    <w:rsid w:val="003543C5"/>
    <w:rsid w:val="00354EF2"/>
    <w:rsid w:val="00355BEB"/>
    <w:rsid w:val="00357081"/>
    <w:rsid w:val="00357D35"/>
    <w:rsid w:val="0036253D"/>
    <w:rsid w:val="00363FCD"/>
    <w:rsid w:val="00364C43"/>
    <w:rsid w:val="00364E6A"/>
    <w:rsid w:val="00364E80"/>
    <w:rsid w:val="00366E5C"/>
    <w:rsid w:val="003676CF"/>
    <w:rsid w:val="00367720"/>
    <w:rsid w:val="00367778"/>
    <w:rsid w:val="0037029D"/>
    <w:rsid w:val="00371332"/>
    <w:rsid w:val="00372A48"/>
    <w:rsid w:val="00373181"/>
    <w:rsid w:val="00375E93"/>
    <w:rsid w:val="003761BD"/>
    <w:rsid w:val="00377123"/>
    <w:rsid w:val="00377CD6"/>
    <w:rsid w:val="00380919"/>
    <w:rsid w:val="00381213"/>
    <w:rsid w:val="003832F7"/>
    <w:rsid w:val="00383EAF"/>
    <w:rsid w:val="003840EC"/>
    <w:rsid w:val="00385DBA"/>
    <w:rsid w:val="00386938"/>
    <w:rsid w:val="0038715A"/>
    <w:rsid w:val="00390C3F"/>
    <w:rsid w:val="00393127"/>
    <w:rsid w:val="00393354"/>
    <w:rsid w:val="003940DD"/>
    <w:rsid w:val="00394A1A"/>
    <w:rsid w:val="00395873"/>
    <w:rsid w:val="003959D1"/>
    <w:rsid w:val="00397552"/>
    <w:rsid w:val="003A1D18"/>
    <w:rsid w:val="003A62CC"/>
    <w:rsid w:val="003A649B"/>
    <w:rsid w:val="003A7864"/>
    <w:rsid w:val="003A7CA2"/>
    <w:rsid w:val="003B0845"/>
    <w:rsid w:val="003B0C56"/>
    <w:rsid w:val="003B11F4"/>
    <w:rsid w:val="003B1882"/>
    <w:rsid w:val="003B4100"/>
    <w:rsid w:val="003B6C02"/>
    <w:rsid w:val="003B75AD"/>
    <w:rsid w:val="003C067B"/>
    <w:rsid w:val="003C0ED8"/>
    <w:rsid w:val="003C1488"/>
    <w:rsid w:val="003C1A16"/>
    <w:rsid w:val="003C1E91"/>
    <w:rsid w:val="003C5536"/>
    <w:rsid w:val="003C7FCC"/>
    <w:rsid w:val="003D1202"/>
    <w:rsid w:val="003D19C3"/>
    <w:rsid w:val="003D36F9"/>
    <w:rsid w:val="003D77F1"/>
    <w:rsid w:val="003D7970"/>
    <w:rsid w:val="003E0159"/>
    <w:rsid w:val="003E1799"/>
    <w:rsid w:val="003E449A"/>
    <w:rsid w:val="003E4A33"/>
    <w:rsid w:val="003E54E1"/>
    <w:rsid w:val="003E724B"/>
    <w:rsid w:val="003E7A60"/>
    <w:rsid w:val="003F1F49"/>
    <w:rsid w:val="003F23F0"/>
    <w:rsid w:val="003F250F"/>
    <w:rsid w:val="003F4801"/>
    <w:rsid w:val="003F7448"/>
    <w:rsid w:val="00404A52"/>
    <w:rsid w:val="00407897"/>
    <w:rsid w:val="00407B85"/>
    <w:rsid w:val="00407F28"/>
    <w:rsid w:val="00410BA9"/>
    <w:rsid w:val="0041100A"/>
    <w:rsid w:val="004131C5"/>
    <w:rsid w:val="0041363D"/>
    <w:rsid w:val="00413977"/>
    <w:rsid w:val="00413D9B"/>
    <w:rsid w:val="00414131"/>
    <w:rsid w:val="00415439"/>
    <w:rsid w:val="0042161A"/>
    <w:rsid w:val="0042423E"/>
    <w:rsid w:val="00424BA6"/>
    <w:rsid w:val="004258D8"/>
    <w:rsid w:val="004274E7"/>
    <w:rsid w:val="00430142"/>
    <w:rsid w:val="00430B04"/>
    <w:rsid w:val="00431ABD"/>
    <w:rsid w:val="004339E6"/>
    <w:rsid w:val="00434796"/>
    <w:rsid w:val="0043650A"/>
    <w:rsid w:val="0043683A"/>
    <w:rsid w:val="00437EB1"/>
    <w:rsid w:val="00441422"/>
    <w:rsid w:val="00442609"/>
    <w:rsid w:val="00444ED6"/>
    <w:rsid w:val="00445DCB"/>
    <w:rsid w:val="00447235"/>
    <w:rsid w:val="004479C3"/>
    <w:rsid w:val="0045044C"/>
    <w:rsid w:val="00451D8F"/>
    <w:rsid w:val="00454B37"/>
    <w:rsid w:val="00460495"/>
    <w:rsid w:val="00460EEA"/>
    <w:rsid w:val="004630B6"/>
    <w:rsid w:val="00463106"/>
    <w:rsid w:val="00466A30"/>
    <w:rsid w:val="00467F5B"/>
    <w:rsid w:val="00472F97"/>
    <w:rsid w:val="00474607"/>
    <w:rsid w:val="00474910"/>
    <w:rsid w:val="004749AF"/>
    <w:rsid w:val="00475410"/>
    <w:rsid w:val="00475E80"/>
    <w:rsid w:val="004774FF"/>
    <w:rsid w:val="004813F3"/>
    <w:rsid w:val="0048285C"/>
    <w:rsid w:val="00483F21"/>
    <w:rsid w:val="00484116"/>
    <w:rsid w:val="00484163"/>
    <w:rsid w:val="0048424E"/>
    <w:rsid w:val="004843FB"/>
    <w:rsid w:val="00484F44"/>
    <w:rsid w:val="00484F8A"/>
    <w:rsid w:val="00486B43"/>
    <w:rsid w:val="00486F42"/>
    <w:rsid w:val="00487D14"/>
    <w:rsid w:val="0049165E"/>
    <w:rsid w:val="004923A9"/>
    <w:rsid w:val="00494337"/>
    <w:rsid w:val="00495F7C"/>
    <w:rsid w:val="004976D5"/>
    <w:rsid w:val="004A11D9"/>
    <w:rsid w:val="004A1E3F"/>
    <w:rsid w:val="004A2C7E"/>
    <w:rsid w:val="004A5056"/>
    <w:rsid w:val="004A6625"/>
    <w:rsid w:val="004A69D6"/>
    <w:rsid w:val="004A70AB"/>
    <w:rsid w:val="004A7DFE"/>
    <w:rsid w:val="004B085D"/>
    <w:rsid w:val="004B0DBA"/>
    <w:rsid w:val="004B21D9"/>
    <w:rsid w:val="004B255A"/>
    <w:rsid w:val="004B3CA9"/>
    <w:rsid w:val="004C0CE3"/>
    <w:rsid w:val="004C368B"/>
    <w:rsid w:val="004D1A31"/>
    <w:rsid w:val="004D1A91"/>
    <w:rsid w:val="004D2123"/>
    <w:rsid w:val="004D262A"/>
    <w:rsid w:val="004D2C6F"/>
    <w:rsid w:val="004D2E01"/>
    <w:rsid w:val="004D3237"/>
    <w:rsid w:val="004D4E89"/>
    <w:rsid w:val="004D635C"/>
    <w:rsid w:val="004E0F3F"/>
    <w:rsid w:val="004E1191"/>
    <w:rsid w:val="004E1349"/>
    <w:rsid w:val="004E1AF1"/>
    <w:rsid w:val="004E3305"/>
    <w:rsid w:val="004E3D0E"/>
    <w:rsid w:val="004E4EEF"/>
    <w:rsid w:val="004E568C"/>
    <w:rsid w:val="004E5AD8"/>
    <w:rsid w:val="004E61DE"/>
    <w:rsid w:val="004F0806"/>
    <w:rsid w:val="004F12D8"/>
    <w:rsid w:val="004F2189"/>
    <w:rsid w:val="004F22A6"/>
    <w:rsid w:val="004F4A37"/>
    <w:rsid w:val="004F5D23"/>
    <w:rsid w:val="00502E5E"/>
    <w:rsid w:val="00504B53"/>
    <w:rsid w:val="00505FF7"/>
    <w:rsid w:val="00506F3E"/>
    <w:rsid w:val="005074CD"/>
    <w:rsid w:val="0051015D"/>
    <w:rsid w:val="0051292D"/>
    <w:rsid w:val="00512B49"/>
    <w:rsid w:val="00514162"/>
    <w:rsid w:val="00514426"/>
    <w:rsid w:val="0051442D"/>
    <w:rsid w:val="00515FD8"/>
    <w:rsid w:val="0051622D"/>
    <w:rsid w:val="00517A09"/>
    <w:rsid w:val="005207B2"/>
    <w:rsid w:val="005219EB"/>
    <w:rsid w:val="005262C2"/>
    <w:rsid w:val="005263F0"/>
    <w:rsid w:val="0052705A"/>
    <w:rsid w:val="005272E3"/>
    <w:rsid w:val="00527698"/>
    <w:rsid w:val="00532E26"/>
    <w:rsid w:val="00537126"/>
    <w:rsid w:val="00537A72"/>
    <w:rsid w:val="005405F8"/>
    <w:rsid w:val="00542EAE"/>
    <w:rsid w:val="005431B1"/>
    <w:rsid w:val="00546878"/>
    <w:rsid w:val="00546B49"/>
    <w:rsid w:val="005509BE"/>
    <w:rsid w:val="00555D70"/>
    <w:rsid w:val="00560E18"/>
    <w:rsid w:val="005615BB"/>
    <w:rsid w:val="005621E7"/>
    <w:rsid w:val="00562B7E"/>
    <w:rsid w:val="00563355"/>
    <w:rsid w:val="00571604"/>
    <w:rsid w:val="00571E81"/>
    <w:rsid w:val="00573424"/>
    <w:rsid w:val="00573FF9"/>
    <w:rsid w:val="005743CA"/>
    <w:rsid w:val="005755B7"/>
    <w:rsid w:val="00576B16"/>
    <w:rsid w:val="00577427"/>
    <w:rsid w:val="005808E5"/>
    <w:rsid w:val="005811C1"/>
    <w:rsid w:val="005875A9"/>
    <w:rsid w:val="00593C34"/>
    <w:rsid w:val="005949BC"/>
    <w:rsid w:val="005971D5"/>
    <w:rsid w:val="005A313A"/>
    <w:rsid w:val="005A35EB"/>
    <w:rsid w:val="005A5582"/>
    <w:rsid w:val="005A680F"/>
    <w:rsid w:val="005A70F0"/>
    <w:rsid w:val="005A747A"/>
    <w:rsid w:val="005A7D15"/>
    <w:rsid w:val="005B07CB"/>
    <w:rsid w:val="005B2FF9"/>
    <w:rsid w:val="005B380D"/>
    <w:rsid w:val="005B3F1C"/>
    <w:rsid w:val="005B696E"/>
    <w:rsid w:val="005B6D81"/>
    <w:rsid w:val="005B7767"/>
    <w:rsid w:val="005B7DD3"/>
    <w:rsid w:val="005C11DA"/>
    <w:rsid w:val="005C1E41"/>
    <w:rsid w:val="005C7FC2"/>
    <w:rsid w:val="005D1F92"/>
    <w:rsid w:val="005D2137"/>
    <w:rsid w:val="005D2408"/>
    <w:rsid w:val="005D32A9"/>
    <w:rsid w:val="005D56A8"/>
    <w:rsid w:val="005D6122"/>
    <w:rsid w:val="005D6E80"/>
    <w:rsid w:val="005E02FB"/>
    <w:rsid w:val="005E03B3"/>
    <w:rsid w:val="005E0B20"/>
    <w:rsid w:val="005E2936"/>
    <w:rsid w:val="005E2F7B"/>
    <w:rsid w:val="005E3C94"/>
    <w:rsid w:val="005E5BB7"/>
    <w:rsid w:val="005E5C01"/>
    <w:rsid w:val="005E6A9D"/>
    <w:rsid w:val="005E7118"/>
    <w:rsid w:val="005E7B14"/>
    <w:rsid w:val="005E7E9F"/>
    <w:rsid w:val="005F0485"/>
    <w:rsid w:val="005F1CDA"/>
    <w:rsid w:val="005F35C5"/>
    <w:rsid w:val="005F37A4"/>
    <w:rsid w:val="005F561B"/>
    <w:rsid w:val="005F5C0C"/>
    <w:rsid w:val="005F7244"/>
    <w:rsid w:val="005F7E15"/>
    <w:rsid w:val="00602403"/>
    <w:rsid w:val="00602F6C"/>
    <w:rsid w:val="006041A4"/>
    <w:rsid w:val="00610873"/>
    <w:rsid w:val="006109EC"/>
    <w:rsid w:val="00610F53"/>
    <w:rsid w:val="00611D8A"/>
    <w:rsid w:val="006122AB"/>
    <w:rsid w:val="0061430D"/>
    <w:rsid w:val="006150CE"/>
    <w:rsid w:val="00615F6B"/>
    <w:rsid w:val="006165F4"/>
    <w:rsid w:val="00617EAE"/>
    <w:rsid w:val="006245EC"/>
    <w:rsid w:val="00626ABB"/>
    <w:rsid w:val="006309D5"/>
    <w:rsid w:val="006376C5"/>
    <w:rsid w:val="006407E9"/>
    <w:rsid w:val="00641F4F"/>
    <w:rsid w:val="00642664"/>
    <w:rsid w:val="0064486F"/>
    <w:rsid w:val="00644BBE"/>
    <w:rsid w:val="006466DA"/>
    <w:rsid w:val="00646711"/>
    <w:rsid w:val="006479F9"/>
    <w:rsid w:val="00647DDD"/>
    <w:rsid w:val="00653BA4"/>
    <w:rsid w:val="00656E2E"/>
    <w:rsid w:val="00657478"/>
    <w:rsid w:val="00657EDA"/>
    <w:rsid w:val="00657F9A"/>
    <w:rsid w:val="006609A2"/>
    <w:rsid w:val="00660C84"/>
    <w:rsid w:val="0066132D"/>
    <w:rsid w:val="0066194B"/>
    <w:rsid w:val="00661FC4"/>
    <w:rsid w:val="006630E1"/>
    <w:rsid w:val="0066655D"/>
    <w:rsid w:val="00666D4D"/>
    <w:rsid w:val="00672205"/>
    <w:rsid w:val="00672E95"/>
    <w:rsid w:val="0067508C"/>
    <w:rsid w:val="006762B3"/>
    <w:rsid w:val="0067689D"/>
    <w:rsid w:val="00677059"/>
    <w:rsid w:val="00680072"/>
    <w:rsid w:val="00680421"/>
    <w:rsid w:val="00681B06"/>
    <w:rsid w:val="006858DA"/>
    <w:rsid w:val="00686C3F"/>
    <w:rsid w:val="0068719B"/>
    <w:rsid w:val="00687AC8"/>
    <w:rsid w:val="006902F1"/>
    <w:rsid w:val="00690BE6"/>
    <w:rsid w:val="006918E9"/>
    <w:rsid w:val="00692A13"/>
    <w:rsid w:val="006951CE"/>
    <w:rsid w:val="0069571F"/>
    <w:rsid w:val="00695B2C"/>
    <w:rsid w:val="006A1F2C"/>
    <w:rsid w:val="006A3B6B"/>
    <w:rsid w:val="006A438B"/>
    <w:rsid w:val="006A4F20"/>
    <w:rsid w:val="006A6039"/>
    <w:rsid w:val="006B1E87"/>
    <w:rsid w:val="006B514A"/>
    <w:rsid w:val="006C06E5"/>
    <w:rsid w:val="006C1EA3"/>
    <w:rsid w:val="006C1EDF"/>
    <w:rsid w:val="006C279A"/>
    <w:rsid w:val="006C2AB0"/>
    <w:rsid w:val="006C2B5F"/>
    <w:rsid w:val="006C31B7"/>
    <w:rsid w:val="006C3CE1"/>
    <w:rsid w:val="006C4213"/>
    <w:rsid w:val="006C43D7"/>
    <w:rsid w:val="006C49F6"/>
    <w:rsid w:val="006C53ED"/>
    <w:rsid w:val="006C5694"/>
    <w:rsid w:val="006D11AD"/>
    <w:rsid w:val="006D193A"/>
    <w:rsid w:val="006D25DD"/>
    <w:rsid w:val="006D29AA"/>
    <w:rsid w:val="006D4128"/>
    <w:rsid w:val="006D4C1B"/>
    <w:rsid w:val="006D5E45"/>
    <w:rsid w:val="006D5E57"/>
    <w:rsid w:val="006E0B4D"/>
    <w:rsid w:val="006E2083"/>
    <w:rsid w:val="006E2725"/>
    <w:rsid w:val="006E3064"/>
    <w:rsid w:val="006E405E"/>
    <w:rsid w:val="006E4BD7"/>
    <w:rsid w:val="006E68E6"/>
    <w:rsid w:val="006E73D0"/>
    <w:rsid w:val="006F042A"/>
    <w:rsid w:val="006F0C74"/>
    <w:rsid w:val="006F1875"/>
    <w:rsid w:val="006F2187"/>
    <w:rsid w:val="006F25E5"/>
    <w:rsid w:val="006F2FCE"/>
    <w:rsid w:val="006F36B9"/>
    <w:rsid w:val="006F415C"/>
    <w:rsid w:val="006F489F"/>
    <w:rsid w:val="00700C86"/>
    <w:rsid w:val="0070560F"/>
    <w:rsid w:val="007112CA"/>
    <w:rsid w:val="00714728"/>
    <w:rsid w:val="007202BD"/>
    <w:rsid w:val="007205BF"/>
    <w:rsid w:val="00721AE9"/>
    <w:rsid w:val="007237D1"/>
    <w:rsid w:val="007241D4"/>
    <w:rsid w:val="00724D82"/>
    <w:rsid w:val="00730BF2"/>
    <w:rsid w:val="00732A6F"/>
    <w:rsid w:val="007351A5"/>
    <w:rsid w:val="0074214D"/>
    <w:rsid w:val="00742764"/>
    <w:rsid w:val="0074439E"/>
    <w:rsid w:val="00745456"/>
    <w:rsid w:val="00745ED0"/>
    <w:rsid w:val="00746E92"/>
    <w:rsid w:val="00750950"/>
    <w:rsid w:val="00751452"/>
    <w:rsid w:val="0075156A"/>
    <w:rsid w:val="00751D8C"/>
    <w:rsid w:val="00751F90"/>
    <w:rsid w:val="00752EF6"/>
    <w:rsid w:val="00754BDD"/>
    <w:rsid w:val="007619C5"/>
    <w:rsid w:val="00761B26"/>
    <w:rsid w:val="00761C35"/>
    <w:rsid w:val="00762178"/>
    <w:rsid w:val="00765F62"/>
    <w:rsid w:val="00766026"/>
    <w:rsid w:val="00770DFB"/>
    <w:rsid w:val="00772025"/>
    <w:rsid w:val="007726C0"/>
    <w:rsid w:val="00775AB7"/>
    <w:rsid w:val="00776B34"/>
    <w:rsid w:val="00781088"/>
    <w:rsid w:val="00781AA0"/>
    <w:rsid w:val="00781CF7"/>
    <w:rsid w:val="00781D24"/>
    <w:rsid w:val="00782550"/>
    <w:rsid w:val="00782DE8"/>
    <w:rsid w:val="00786D45"/>
    <w:rsid w:val="00787202"/>
    <w:rsid w:val="00792E10"/>
    <w:rsid w:val="0079383D"/>
    <w:rsid w:val="007A006B"/>
    <w:rsid w:val="007A1D60"/>
    <w:rsid w:val="007A34D1"/>
    <w:rsid w:val="007A5BDB"/>
    <w:rsid w:val="007A7102"/>
    <w:rsid w:val="007B165A"/>
    <w:rsid w:val="007B2DAD"/>
    <w:rsid w:val="007B2DF7"/>
    <w:rsid w:val="007B46E7"/>
    <w:rsid w:val="007B7246"/>
    <w:rsid w:val="007B78C2"/>
    <w:rsid w:val="007C23FF"/>
    <w:rsid w:val="007C25B0"/>
    <w:rsid w:val="007C416B"/>
    <w:rsid w:val="007C4CB7"/>
    <w:rsid w:val="007C5008"/>
    <w:rsid w:val="007C6046"/>
    <w:rsid w:val="007C658B"/>
    <w:rsid w:val="007D1E79"/>
    <w:rsid w:val="007D1FDF"/>
    <w:rsid w:val="007D27CF"/>
    <w:rsid w:val="007D4DAF"/>
    <w:rsid w:val="007D6FD9"/>
    <w:rsid w:val="007E1175"/>
    <w:rsid w:val="007E220A"/>
    <w:rsid w:val="007E468A"/>
    <w:rsid w:val="007E54E5"/>
    <w:rsid w:val="007E58FC"/>
    <w:rsid w:val="007E7463"/>
    <w:rsid w:val="007F07D4"/>
    <w:rsid w:val="007F1517"/>
    <w:rsid w:val="007F207F"/>
    <w:rsid w:val="007F47C9"/>
    <w:rsid w:val="007F5842"/>
    <w:rsid w:val="007F5B91"/>
    <w:rsid w:val="007F6954"/>
    <w:rsid w:val="007F75AC"/>
    <w:rsid w:val="007F7DAA"/>
    <w:rsid w:val="00800BE5"/>
    <w:rsid w:val="008019A7"/>
    <w:rsid w:val="00802382"/>
    <w:rsid w:val="00803CEC"/>
    <w:rsid w:val="008040B5"/>
    <w:rsid w:val="008041D4"/>
    <w:rsid w:val="00804B15"/>
    <w:rsid w:val="008060DF"/>
    <w:rsid w:val="008076A4"/>
    <w:rsid w:val="00807DC2"/>
    <w:rsid w:val="0081003E"/>
    <w:rsid w:val="00810CA3"/>
    <w:rsid w:val="008112DE"/>
    <w:rsid w:val="00811776"/>
    <w:rsid w:val="008200A7"/>
    <w:rsid w:val="00822050"/>
    <w:rsid w:val="008304EC"/>
    <w:rsid w:val="00830952"/>
    <w:rsid w:val="00830F84"/>
    <w:rsid w:val="00832522"/>
    <w:rsid w:val="00833453"/>
    <w:rsid w:val="00834B62"/>
    <w:rsid w:val="0084184E"/>
    <w:rsid w:val="00841B33"/>
    <w:rsid w:val="00841C01"/>
    <w:rsid w:val="00843EFD"/>
    <w:rsid w:val="008443A9"/>
    <w:rsid w:val="0084599C"/>
    <w:rsid w:val="008469B3"/>
    <w:rsid w:val="00847539"/>
    <w:rsid w:val="008535CA"/>
    <w:rsid w:val="00856FA8"/>
    <w:rsid w:val="00856FF2"/>
    <w:rsid w:val="008578F4"/>
    <w:rsid w:val="00860576"/>
    <w:rsid w:val="00861120"/>
    <w:rsid w:val="0086688C"/>
    <w:rsid w:val="008674AA"/>
    <w:rsid w:val="008675CC"/>
    <w:rsid w:val="00870AA9"/>
    <w:rsid w:val="0087609B"/>
    <w:rsid w:val="00880850"/>
    <w:rsid w:val="0088094C"/>
    <w:rsid w:val="00881004"/>
    <w:rsid w:val="00882C40"/>
    <w:rsid w:val="00885973"/>
    <w:rsid w:val="0089145D"/>
    <w:rsid w:val="008919D3"/>
    <w:rsid w:val="00891DC8"/>
    <w:rsid w:val="00891F55"/>
    <w:rsid w:val="00892908"/>
    <w:rsid w:val="00893805"/>
    <w:rsid w:val="00893C08"/>
    <w:rsid w:val="008942FC"/>
    <w:rsid w:val="0089562F"/>
    <w:rsid w:val="008957BF"/>
    <w:rsid w:val="00895BE0"/>
    <w:rsid w:val="0089629F"/>
    <w:rsid w:val="008A082A"/>
    <w:rsid w:val="008A389B"/>
    <w:rsid w:val="008A4DF4"/>
    <w:rsid w:val="008B0950"/>
    <w:rsid w:val="008B1DA9"/>
    <w:rsid w:val="008B23D4"/>
    <w:rsid w:val="008B571D"/>
    <w:rsid w:val="008B6162"/>
    <w:rsid w:val="008C3710"/>
    <w:rsid w:val="008C3EBC"/>
    <w:rsid w:val="008C4AE0"/>
    <w:rsid w:val="008C57F6"/>
    <w:rsid w:val="008C68A7"/>
    <w:rsid w:val="008C7019"/>
    <w:rsid w:val="008D2A7F"/>
    <w:rsid w:val="008D33A3"/>
    <w:rsid w:val="008D4715"/>
    <w:rsid w:val="008D5B23"/>
    <w:rsid w:val="008D6F1D"/>
    <w:rsid w:val="008E03A3"/>
    <w:rsid w:val="008E1B11"/>
    <w:rsid w:val="008E2ACD"/>
    <w:rsid w:val="008E2D8C"/>
    <w:rsid w:val="008E53BA"/>
    <w:rsid w:val="008E6B69"/>
    <w:rsid w:val="008E6E63"/>
    <w:rsid w:val="008E7E5E"/>
    <w:rsid w:val="008E7F87"/>
    <w:rsid w:val="008F0CC7"/>
    <w:rsid w:val="008F11CF"/>
    <w:rsid w:val="008F14EA"/>
    <w:rsid w:val="008F189C"/>
    <w:rsid w:val="008F1FE1"/>
    <w:rsid w:val="008F32FF"/>
    <w:rsid w:val="008F4486"/>
    <w:rsid w:val="008F480C"/>
    <w:rsid w:val="008F4FC6"/>
    <w:rsid w:val="008F6436"/>
    <w:rsid w:val="008F72CD"/>
    <w:rsid w:val="009015D3"/>
    <w:rsid w:val="00902179"/>
    <w:rsid w:val="00903877"/>
    <w:rsid w:val="0090677E"/>
    <w:rsid w:val="00912D79"/>
    <w:rsid w:val="00913A4A"/>
    <w:rsid w:val="00914A6E"/>
    <w:rsid w:val="0091544C"/>
    <w:rsid w:val="00921D03"/>
    <w:rsid w:val="00921DE6"/>
    <w:rsid w:val="00925CD2"/>
    <w:rsid w:val="00932559"/>
    <w:rsid w:val="00933065"/>
    <w:rsid w:val="00933569"/>
    <w:rsid w:val="009365B1"/>
    <w:rsid w:val="0093799C"/>
    <w:rsid w:val="009422A1"/>
    <w:rsid w:val="00943484"/>
    <w:rsid w:val="00944804"/>
    <w:rsid w:val="009449FB"/>
    <w:rsid w:val="0094634F"/>
    <w:rsid w:val="009473D8"/>
    <w:rsid w:val="00947F51"/>
    <w:rsid w:val="00954386"/>
    <w:rsid w:val="009564B5"/>
    <w:rsid w:val="00957513"/>
    <w:rsid w:val="00960ADF"/>
    <w:rsid w:val="009623DA"/>
    <w:rsid w:val="00963A0C"/>
    <w:rsid w:val="009661A4"/>
    <w:rsid w:val="009661B5"/>
    <w:rsid w:val="00971001"/>
    <w:rsid w:val="009725C0"/>
    <w:rsid w:val="009727D8"/>
    <w:rsid w:val="009729BD"/>
    <w:rsid w:val="00974A92"/>
    <w:rsid w:val="00974C91"/>
    <w:rsid w:val="00975270"/>
    <w:rsid w:val="00975BA1"/>
    <w:rsid w:val="00976F39"/>
    <w:rsid w:val="009809DD"/>
    <w:rsid w:val="0098338C"/>
    <w:rsid w:val="009835E3"/>
    <w:rsid w:val="009837A6"/>
    <w:rsid w:val="009839A1"/>
    <w:rsid w:val="009839B9"/>
    <w:rsid w:val="00983C64"/>
    <w:rsid w:val="009869F2"/>
    <w:rsid w:val="00987CDB"/>
    <w:rsid w:val="009A087C"/>
    <w:rsid w:val="009A2613"/>
    <w:rsid w:val="009A2726"/>
    <w:rsid w:val="009A30E0"/>
    <w:rsid w:val="009A3619"/>
    <w:rsid w:val="009A57B9"/>
    <w:rsid w:val="009A66D0"/>
    <w:rsid w:val="009A739F"/>
    <w:rsid w:val="009B08AF"/>
    <w:rsid w:val="009B0AC9"/>
    <w:rsid w:val="009B10F4"/>
    <w:rsid w:val="009B3DFC"/>
    <w:rsid w:val="009B53BC"/>
    <w:rsid w:val="009B793E"/>
    <w:rsid w:val="009C1EA6"/>
    <w:rsid w:val="009C37B9"/>
    <w:rsid w:val="009C38E7"/>
    <w:rsid w:val="009C5DDA"/>
    <w:rsid w:val="009D31D8"/>
    <w:rsid w:val="009D31FA"/>
    <w:rsid w:val="009D32BD"/>
    <w:rsid w:val="009D33F1"/>
    <w:rsid w:val="009D35B5"/>
    <w:rsid w:val="009D3771"/>
    <w:rsid w:val="009D37BD"/>
    <w:rsid w:val="009D4486"/>
    <w:rsid w:val="009D7128"/>
    <w:rsid w:val="009D7613"/>
    <w:rsid w:val="009E21DE"/>
    <w:rsid w:val="009E6174"/>
    <w:rsid w:val="009E69E9"/>
    <w:rsid w:val="009F1DC7"/>
    <w:rsid w:val="009F211E"/>
    <w:rsid w:val="009F2572"/>
    <w:rsid w:val="009F294E"/>
    <w:rsid w:val="009F30F1"/>
    <w:rsid w:val="009F37C7"/>
    <w:rsid w:val="009F50AB"/>
    <w:rsid w:val="00A005F6"/>
    <w:rsid w:val="00A00849"/>
    <w:rsid w:val="00A03986"/>
    <w:rsid w:val="00A041A2"/>
    <w:rsid w:val="00A0424F"/>
    <w:rsid w:val="00A051FB"/>
    <w:rsid w:val="00A0659C"/>
    <w:rsid w:val="00A07164"/>
    <w:rsid w:val="00A10039"/>
    <w:rsid w:val="00A100BA"/>
    <w:rsid w:val="00A103FF"/>
    <w:rsid w:val="00A121B5"/>
    <w:rsid w:val="00A16C6E"/>
    <w:rsid w:val="00A17DB2"/>
    <w:rsid w:val="00A21DEA"/>
    <w:rsid w:val="00A22A14"/>
    <w:rsid w:val="00A23A49"/>
    <w:rsid w:val="00A25AB4"/>
    <w:rsid w:val="00A261DF"/>
    <w:rsid w:val="00A26214"/>
    <w:rsid w:val="00A26566"/>
    <w:rsid w:val="00A27A51"/>
    <w:rsid w:val="00A31837"/>
    <w:rsid w:val="00A31D70"/>
    <w:rsid w:val="00A33018"/>
    <w:rsid w:val="00A3310D"/>
    <w:rsid w:val="00A3484C"/>
    <w:rsid w:val="00A351B3"/>
    <w:rsid w:val="00A35CE6"/>
    <w:rsid w:val="00A37BA4"/>
    <w:rsid w:val="00A402F6"/>
    <w:rsid w:val="00A42167"/>
    <w:rsid w:val="00A434B9"/>
    <w:rsid w:val="00A43739"/>
    <w:rsid w:val="00A444DD"/>
    <w:rsid w:val="00A467A3"/>
    <w:rsid w:val="00A47150"/>
    <w:rsid w:val="00A471EF"/>
    <w:rsid w:val="00A47466"/>
    <w:rsid w:val="00A47815"/>
    <w:rsid w:val="00A47A18"/>
    <w:rsid w:val="00A47A3D"/>
    <w:rsid w:val="00A47CD6"/>
    <w:rsid w:val="00A512AB"/>
    <w:rsid w:val="00A5359C"/>
    <w:rsid w:val="00A539CB"/>
    <w:rsid w:val="00A57DA7"/>
    <w:rsid w:val="00A60542"/>
    <w:rsid w:val="00A63709"/>
    <w:rsid w:val="00A643AB"/>
    <w:rsid w:val="00A649E6"/>
    <w:rsid w:val="00A660AF"/>
    <w:rsid w:val="00A7021C"/>
    <w:rsid w:val="00A70814"/>
    <w:rsid w:val="00A70A95"/>
    <w:rsid w:val="00A70BDA"/>
    <w:rsid w:val="00A740B6"/>
    <w:rsid w:val="00A7621E"/>
    <w:rsid w:val="00A76BE4"/>
    <w:rsid w:val="00A817D5"/>
    <w:rsid w:val="00A841B2"/>
    <w:rsid w:val="00A843FC"/>
    <w:rsid w:val="00A848DF"/>
    <w:rsid w:val="00A84F01"/>
    <w:rsid w:val="00A857FF"/>
    <w:rsid w:val="00A9029A"/>
    <w:rsid w:val="00A908B2"/>
    <w:rsid w:val="00A91332"/>
    <w:rsid w:val="00A93351"/>
    <w:rsid w:val="00A95538"/>
    <w:rsid w:val="00AA0013"/>
    <w:rsid w:val="00AA26FF"/>
    <w:rsid w:val="00AA3B50"/>
    <w:rsid w:val="00AA43EC"/>
    <w:rsid w:val="00AA4C92"/>
    <w:rsid w:val="00AA4E77"/>
    <w:rsid w:val="00AA587F"/>
    <w:rsid w:val="00AA6E8C"/>
    <w:rsid w:val="00AA6F19"/>
    <w:rsid w:val="00AA75E6"/>
    <w:rsid w:val="00AA79A8"/>
    <w:rsid w:val="00AA7A76"/>
    <w:rsid w:val="00AA7C2E"/>
    <w:rsid w:val="00AB0286"/>
    <w:rsid w:val="00AB0DD9"/>
    <w:rsid w:val="00AB3676"/>
    <w:rsid w:val="00AB404E"/>
    <w:rsid w:val="00AB4C6D"/>
    <w:rsid w:val="00AB53F2"/>
    <w:rsid w:val="00AB55F7"/>
    <w:rsid w:val="00AB6E29"/>
    <w:rsid w:val="00AB7162"/>
    <w:rsid w:val="00AC022F"/>
    <w:rsid w:val="00AC114D"/>
    <w:rsid w:val="00AC2995"/>
    <w:rsid w:val="00AC2F6A"/>
    <w:rsid w:val="00AC38A4"/>
    <w:rsid w:val="00AC4165"/>
    <w:rsid w:val="00AC556A"/>
    <w:rsid w:val="00AC76EA"/>
    <w:rsid w:val="00AC7FB7"/>
    <w:rsid w:val="00AD0007"/>
    <w:rsid w:val="00AD23B3"/>
    <w:rsid w:val="00AD23BF"/>
    <w:rsid w:val="00AD25B6"/>
    <w:rsid w:val="00AD2631"/>
    <w:rsid w:val="00AD2C31"/>
    <w:rsid w:val="00AD3D5D"/>
    <w:rsid w:val="00AD4080"/>
    <w:rsid w:val="00AD40E8"/>
    <w:rsid w:val="00AD5A05"/>
    <w:rsid w:val="00AD662C"/>
    <w:rsid w:val="00AE1220"/>
    <w:rsid w:val="00AE287F"/>
    <w:rsid w:val="00AE39F3"/>
    <w:rsid w:val="00AE4006"/>
    <w:rsid w:val="00AE4875"/>
    <w:rsid w:val="00AE5118"/>
    <w:rsid w:val="00AE63BD"/>
    <w:rsid w:val="00AF0B2B"/>
    <w:rsid w:val="00AF20DB"/>
    <w:rsid w:val="00AF2914"/>
    <w:rsid w:val="00AF345A"/>
    <w:rsid w:val="00AF363F"/>
    <w:rsid w:val="00AF3E4F"/>
    <w:rsid w:val="00AF71E5"/>
    <w:rsid w:val="00B00DA5"/>
    <w:rsid w:val="00B0366D"/>
    <w:rsid w:val="00B071FF"/>
    <w:rsid w:val="00B110BC"/>
    <w:rsid w:val="00B11505"/>
    <w:rsid w:val="00B11DC2"/>
    <w:rsid w:val="00B15142"/>
    <w:rsid w:val="00B16F69"/>
    <w:rsid w:val="00B1789D"/>
    <w:rsid w:val="00B207DD"/>
    <w:rsid w:val="00B20DD8"/>
    <w:rsid w:val="00B21CA9"/>
    <w:rsid w:val="00B223FE"/>
    <w:rsid w:val="00B3161A"/>
    <w:rsid w:val="00B3208F"/>
    <w:rsid w:val="00B3260E"/>
    <w:rsid w:val="00B36F2F"/>
    <w:rsid w:val="00B413BD"/>
    <w:rsid w:val="00B4185A"/>
    <w:rsid w:val="00B42807"/>
    <w:rsid w:val="00B428A6"/>
    <w:rsid w:val="00B43340"/>
    <w:rsid w:val="00B4461C"/>
    <w:rsid w:val="00B46D68"/>
    <w:rsid w:val="00B51951"/>
    <w:rsid w:val="00B53913"/>
    <w:rsid w:val="00B54D6D"/>
    <w:rsid w:val="00B554D4"/>
    <w:rsid w:val="00B5572D"/>
    <w:rsid w:val="00B55F3A"/>
    <w:rsid w:val="00B562B0"/>
    <w:rsid w:val="00B56906"/>
    <w:rsid w:val="00B569F1"/>
    <w:rsid w:val="00B6007E"/>
    <w:rsid w:val="00B61484"/>
    <w:rsid w:val="00B6179E"/>
    <w:rsid w:val="00B62B08"/>
    <w:rsid w:val="00B71CB5"/>
    <w:rsid w:val="00B71F16"/>
    <w:rsid w:val="00B72922"/>
    <w:rsid w:val="00B72A13"/>
    <w:rsid w:val="00B72ADA"/>
    <w:rsid w:val="00B7473A"/>
    <w:rsid w:val="00B74A39"/>
    <w:rsid w:val="00B75819"/>
    <w:rsid w:val="00B75CDA"/>
    <w:rsid w:val="00B81526"/>
    <w:rsid w:val="00B819E4"/>
    <w:rsid w:val="00B84042"/>
    <w:rsid w:val="00B84DD5"/>
    <w:rsid w:val="00B903CC"/>
    <w:rsid w:val="00B9165A"/>
    <w:rsid w:val="00B91F7E"/>
    <w:rsid w:val="00B924B4"/>
    <w:rsid w:val="00B9487E"/>
    <w:rsid w:val="00B95910"/>
    <w:rsid w:val="00B9692A"/>
    <w:rsid w:val="00BA0848"/>
    <w:rsid w:val="00BA29E7"/>
    <w:rsid w:val="00BA33AF"/>
    <w:rsid w:val="00BA385E"/>
    <w:rsid w:val="00BA3A4C"/>
    <w:rsid w:val="00BA61FA"/>
    <w:rsid w:val="00BA67FC"/>
    <w:rsid w:val="00BA6851"/>
    <w:rsid w:val="00BB0F20"/>
    <w:rsid w:val="00BB17D2"/>
    <w:rsid w:val="00BB2328"/>
    <w:rsid w:val="00BB3264"/>
    <w:rsid w:val="00BB50D7"/>
    <w:rsid w:val="00BB7D06"/>
    <w:rsid w:val="00BB7F08"/>
    <w:rsid w:val="00BC0623"/>
    <w:rsid w:val="00BC35CD"/>
    <w:rsid w:val="00BC3C54"/>
    <w:rsid w:val="00BC415B"/>
    <w:rsid w:val="00BC5B96"/>
    <w:rsid w:val="00BC6256"/>
    <w:rsid w:val="00BC769F"/>
    <w:rsid w:val="00BD1DCA"/>
    <w:rsid w:val="00BD2C66"/>
    <w:rsid w:val="00BD2CDE"/>
    <w:rsid w:val="00BD3D16"/>
    <w:rsid w:val="00BD41CF"/>
    <w:rsid w:val="00BD75F3"/>
    <w:rsid w:val="00BE0164"/>
    <w:rsid w:val="00BE12BD"/>
    <w:rsid w:val="00BE2ED7"/>
    <w:rsid w:val="00BE3498"/>
    <w:rsid w:val="00BE5A3E"/>
    <w:rsid w:val="00BE6AB8"/>
    <w:rsid w:val="00BF040B"/>
    <w:rsid w:val="00BF086D"/>
    <w:rsid w:val="00BF1C99"/>
    <w:rsid w:val="00BF2167"/>
    <w:rsid w:val="00BF43BC"/>
    <w:rsid w:val="00BF491B"/>
    <w:rsid w:val="00BF4DDA"/>
    <w:rsid w:val="00BF55C7"/>
    <w:rsid w:val="00BF7ED8"/>
    <w:rsid w:val="00C00A14"/>
    <w:rsid w:val="00C0222C"/>
    <w:rsid w:val="00C04139"/>
    <w:rsid w:val="00C0476F"/>
    <w:rsid w:val="00C0572E"/>
    <w:rsid w:val="00C1108E"/>
    <w:rsid w:val="00C14A51"/>
    <w:rsid w:val="00C14B1A"/>
    <w:rsid w:val="00C15C65"/>
    <w:rsid w:val="00C17853"/>
    <w:rsid w:val="00C17D8B"/>
    <w:rsid w:val="00C17EE4"/>
    <w:rsid w:val="00C21656"/>
    <w:rsid w:val="00C21B3D"/>
    <w:rsid w:val="00C21B6B"/>
    <w:rsid w:val="00C2200F"/>
    <w:rsid w:val="00C22568"/>
    <w:rsid w:val="00C24267"/>
    <w:rsid w:val="00C243E6"/>
    <w:rsid w:val="00C26FA6"/>
    <w:rsid w:val="00C2788D"/>
    <w:rsid w:val="00C31189"/>
    <w:rsid w:val="00C31AC7"/>
    <w:rsid w:val="00C31D37"/>
    <w:rsid w:val="00C33398"/>
    <w:rsid w:val="00C34388"/>
    <w:rsid w:val="00C34C5B"/>
    <w:rsid w:val="00C361F6"/>
    <w:rsid w:val="00C3669A"/>
    <w:rsid w:val="00C371D5"/>
    <w:rsid w:val="00C41D23"/>
    <w:rsid w:val="00C423E3"/>
    <w:rsid w:val="00C42673"/>
    <w:rsid w:val="00C428AB"/>
    <w:rsid w:val="00C44BAC"/>
    <w:rsid w:val="00C45626"/>
    <w:rsid w:val="00C458AF"/>
    <w:rsid w:val="00C460A0"/>
    <w:rsid w:val="00C46244"/>
    <w:rsid w:val="00C4720D"/>
    <w:rsid w:val="00C47768"/>
    <w:rsid w:val="00C50068"/>
    <w:rsid w:val="00C50180"/>
    <w:rsid w:val="00C51C4B"/>
    <w:rsid w:val="00C51EE9"/>
    <w:rsid w:val="00C539A5"/>
    <w:rsid w:val="00C53DFA"/>
    <w:rsid w:val="00C54619"/>
    <w:rsid w:val="00C549F4"/>
    <w:rsid w:val="00C555FE"/>
    <w:rsid w:val="00C56E55"/>
    <w:rsid w:val="00C60DD4"/>
    <w:rsid w:val="00C60F27"/>
    <w:rsid w:val="00C610F2"/>
    <w:rsid w:val="00C61B5E"/>
    <w:rsid w:val="00C676F3"/>
    <w:rsid w:val="00C71AB8"/>
    <w:rsid w:val="00C73E8B"/>
    <w:rsid w:val="00C74E97"/>
    <w:rsid w:val="00C75909"/>
    <w:rsid w:val="00C767D5"/>
    <w:rsid w:val="00C77219"/>
    <w:rsid w:val="00C77EFD"/>
    <w:rsid w:val="00C8015A"/>
    <w:rsid w:val="00C803EE"/>
    <w:rsid w:val="00C809AF"/>
    <w:rsid w:val="00C81A10"/>
    <w:rsid w:val="00C81F39"/>
    <w:rsid w:val="00C829DF"/>
    <w:rsid w:val="00C82F5A"/>
    <w:rsid w:val="00C84021"/>
    <w:rsid w:val="00C85B7F"/>
    <w:rsid w:val="00C86AEA"/>
    <w:rsid w:val="00C875AE"/>
    <w:rsid w:val="00C90B1C"/>
    <w:rsid w:val="00C90CE6"/>
    <w:rsid w:val="00C93030"/>
    <w:rsid w:val="00C9310B"/>
    <w:rsid w:val="00C937FB"/>
    <w:rsid w:val="00CA0F98"/>
    <w:rsid w:val="00CA2964"/>
    <w:rsid w:val="00CA696D"/>
    <w:rsid w:val="00CA6B5A"/>
    <w:rsid w:val="00CA757B"/>
    <w:rsid w:val="00CB1536"/>
    <w:rsid w:val="00CB3907"/>
    <w:rsid w:val="00CB3B51"/>
    <w:rsid w:val="00CB46F0"/>
    <w:rsid w:val="00CB5B24"/>
    <w:rsid w:val="00CB6167"/>
    <w:rsid w:val="00CC0C54"/>
    <w:rsid w:val="00CC1016"/>
    <w:rsid w:val="00CC1E78"/>
    <w:rsid w:val="00CC32A0"/>
    <w:rsid w:val="00CC3829"/>
    <w:rsid w:val="00CC3983"/>
    <w:rsid w:val="00CC585C"/>
    <w:rsid w:val="00CD0D1D"/>
    <w:rsid w:val="00CD1673"/>
    <w:rsid w:val="00CD1721"/>
    <w:rsid w:val="00CD25F1"/>
    <w:rsid w:val="00CD4BC2"/>
    <w:rsid w:val="00CD4DDC"/>
    <w:rsid w:val="00CD6592"/>
    <w:rsid w:val="00CE0808"/>
    <w:rsid w:val="00CE2E22"/>
    <w:rsid w:val="00CE35B4"/>
    <w:rsid w:val="00CE569F"/>
    <w:rsid w:val="00CE6301"/>
    <w:rsid w:val="00CF06D4"/>
    <w:rsid w:val="00CF2008"/>
    <w:rsid w:val="00CF2496"/>
    <w:rsid w:val="00CF3649"/>
    <w:rsid w:val="00CF4188"/>
    <w:rsid w:val="00CF4E9E"/>
    <w:rsid w:val="00CF52CE"/>
    <w:rsid w:val="00CF7848"/>
    <w:rsid w:val="00D00B84"/>
    <w:rsid w:val="00D058FC"/>
    <w:rsid w:val="00D06213"/>
    <w:rsid w:val="00D073D1"/>
    <w:rsid w:val="00D10010"/>
    <w:rsid w:val="00D11510"/>
    <w:rsid w:val="00D116EE"/>
    <w:rsid w:val="00D12BB7"/>
    <w:rsid w:val="00D159D4"/>
    <w:rsid w:val="00D15C79"/>
    <w:rsid w:val="00D1641A"/>
    <w:rsid w:val="00D20E16"/>
    <w:rsid w:val="00D21601"/>
    <w:rsid w:val="00D2164A"/>
    <w:rsid w:val="00D21AA7"/>
    <w:rsid w:val="00D22F1C"/>
    <w:rsid w:val="00D23D75"/>
    <w:rsid w:val="00D256F0"/>
    <w:rsid w:val="00D26D4B"/>
    <w:rsid w:val="00D31882"/>
    <w:rsid w:val="00D31BAB"/>
    <w:rsid w:val="00D31D27"/>
    <w:rsid w:val="00D32109"/>
    <w:rsid w:val="00D330B3"/>
    <w:rsid w:val="00D336A4"/>
    <w:rsid w:val="00D34AFB"/>
    <w:rsid w:val="00D352EE"/>
    <w:rsid w:val="00D35A03"/>
    <w:rsid w:val="00D37377"/>
    <w:rsid w:val="00D41830"/>
    <w:rsid w:val="00D42EF8"/>
    <w:rsid w:val="00D45B8C"/>
    <w:rsid w:val="00D56058"/>
    <w:rsid w:val="00D567E0"/>
    <w:rsid w:val="00D56A09"/>
    <w:rsid w:val="00D57976"/>
    <w:rsid w:val="00D61F2D"/>
    <w:rsid w:val="00D630DE"/>
    <w:rsid w:val="00D63DBC"/>
    <w:rsid w:val="00D645C6"/>
    <w:rsid w:val="00D6548A"/>
    <w:rsid w:val="00D65571"/>
    <w:rsid w:val="00D65905"/>
    <w:rsid w:val="00D65A71"/>
    <w:rsid w:val="00D66C66"/>
    <w:rsid w:val="00D67355"/>
    <w:rsid w:val="00D712C3"/>
    <w:rsid w:val="00D71B03"/>
    <w:rsid w:val="00D7327A"/>
    <w:rsid w:val="00D74EC8"/>
    <w:rsid w:val="00D74FA1"/>
    <w:rsid w:val="00D76F23"/>
    <w:rsid w:val="00D81AC9"/>
    <w:rsid w:val="00D8368D"/>
    <w:rsid w:val="00D858CC"/>
    <w:rsid w:val="00D9086C"/>
    <w:rsid w:val="00D91172"/>
    <w:rsid w:val="00D9135E"/>
    <w:rsid w:val="00D9196B"/>
    <w:rsid w:val="00D922E1"/>
    <w:rsid w:val="00D92C84"/>
    <w:rsid w:val="00D93AAA"/>
    <w:rsid w:val="00D93ECC"/>
    <w:rsid w:val="00D94745"/>
    <w:rsid w:val="00D94921"/>
    <w:rsid w:val="00D95DFF"/>
    <w:rsid w:val="00D963D5"/>
    <w:rsid w:val="00D96C96"/>
    <w:rsid w:val="00DA2201"/>
    <w:rsid w:val="00DA41B2"/>
    <w:rsid w:val="00DA5D06"/>
    <w:rsid w:val="00DA62C4"/>
    <w:rsid w:val="00DA7B20"/>
    <w:rsid w:val="00DB049D"/>
    <w:rsid w:val="00DB473D"/>
    <w:rsid w:val="00DB5727"/>
    <w:rsid w:val="00DB6135"/>
    <w:rsid w:val="00DB64E9"/>
    <w:rsid w:val="00DB68CC"/>
    <w:rsid w:val="00DC2E38"/>
    <w:rsid w:val="00DC2FBF"/>
    <w:rsid w:val="00DC52BC"/>
    <w:rsid w:val="00DC60C2"/>
    <w:rsid w:val="00DC621D"/>
    <w:rsid w:val="00DC6A98"/>
    <w:rsid w:val="00DC6EF8"/>
    <w:rsid w:val="00DC7245"/>
    <w:rsid w:val="00DC730A"/>
    <w:rsid w:val="00DC7A0C"/>
    <w:rsid w:val="00DD09A6"/>
    <w:rsid w:val="00DD10C4"/>
    <w:rsid w:val="00DD12FC"/>
    <w:rsid w:val="00DD1ED6"/>
    <w:rsid w:val="00DD2B0D"/>
    <w:rsid w:val="00DD72FF"/>
    <w:rsid w:val="00DE130A"/>
    <w:rsid w:val="00DE1F21"/>
    <w:rsid w:val="00DE26A3"/>
    <w:rsid w:val="00DE3369"/>
    <w:rsid w:val="00DE33DB"/>
    <w:rsid w:val="00DE38B2"/>
    <w:rsid w:val="00DF2C9A"/>
    <w:rsid w:val="00DF32E5"/>
    <w:rsid w:val="00DF5291"/>
    <w:rsid w:val="00DF6AC1"/>
    <w:rsid w:val="00E010C4"/>
    <w:rsid w:val="00E03EBC"/>
    <w:rsid w:val="00E05572"/>
    <w:rsid w:val="00E05FC3"/>
    <w:rsid w:val="00E06927"/>
    <w:rsid w:val="00E06AB6"/>
    <w:rsid w:val="00E10D04"/>
    <w:rsid w:val="00E1217F"/>
    <w:rsid w:val="00E16292"/>
    <w:rsid w:val="00E166FD"/>
    <w:rsid w:val="00E16B6A"/>
    <w:rsid w:val="00E17143"/>
    <w:rsid w:val="00E20294"/>
    <w:rsid w:val="00E221E9"/>
    <w:rsid w:val="00E23089"/>
    <w:rsid w:val="00E25706"/>
    <w:rsid w:val="00E25F47"/>
    <w:rsid w:val="00E264BB"/>
    <w:rsid w:val="00E267F5"/>
    <w:rsid w:val="00E276DF"/>
    <w:rsid w:val="00E27A89"/>
    <w:rsid w:val="00E30596"/>
    <w:rsid w:val="00E30E0D"/>
    <w:rsid w:val="00E31FF9"/>
    <w:rsid w:val="00E33434"/>
    <w:rsid w:val="00E33B23"/>
    <w:rsid w:val="00E35D0F"/>
    <w:rsid w:val="00E37B1B"/>
    <w:rsid w:val="00E37B97"/>
    <w:rsid w:val="00E40F0B"/>
    <w:rsid w:val="00E417B9"/>
    <w:rsid w:val="00E41B67"/>
    <w:rsid w:val="00E43C23"/>
    <w:rsid w:val="00E4477A"/>
    <w:rsid w:val="00E45160"/>
    <w:rsid w:val="00E45E6A"/>
    <w:rsid w:val="00E46847"/>
    <w:rsid w:val="00E50A42"/>
    <w:rsid w:val="00E52F6E"/>
    <w:rsid w:val="00E53930"/>
    <w:rsid w:val="00E54FA5"/>
    <w:rsid w:val="00E56D64"/>
    <w:rsid w:val="00E57446"/>
    <w:rsid w:val="00E61081"/>
    <w:rsid w:val="00E61788"/>
    <w:rsid w:val="00E65B18"/>
    <w:rsid w:val="00E65B9D"/>
    <w:rsid w:val="00E704E0"/>
    <w:rsid w:val="00E71CE6"/>
    <w:rsid w:val="00E71E16"/>
    <w:rsid w:val="00E728C6"/>
    <w:rsid w:val="00E73E65"/>
    <w:rsid w:val="00E75732"/>
    <w:rsid w:val="00E76641"/>
    <w:rsid w:val="00E77AC7"/>
    <w:rsid w:val="00E77C31"/>
    <w:rsid w:val="00E83DA2"/>
    <w:rsid w:val="00E851E8"/>
    <w:rsid w:val="00E856E9"/>
    <w:rsid w:val="00E862E7"/>
    <w:rsid w:val="00E86395"/>
    <w:rsid w:val="00E86DF2"/>
    <w:rsid w:val="00E879EC"/>
    <w:rsid w:val="00E94A64"/>
    <w:rsid w:val="00E9538B"/>
    <w:rsid w:val="00E95703"/>
    <w:rsid w:val="00E95707"/>
    <w:rsid w:val="00E95C5F"/>
    <w:rsid w:val="00E964C2"/>
    <w:rsid w:val="00EA0297"/>
    <w:rsid w:val="00EA116B"/>
    <w:rsid w:val="00EA2C29"/>
    <w:rsid w:val="00EA3F05"/>
    <w:rsid w:val="00EA5E85"/>
    <w:rsid w:val="00EB0B07"/>
    <w:rsid w:val="00EB0C6A"/>
    <w:rsid w:val="00EB144E"/>
    <w:rsid w:val="00EB1B82"/>
    <w:rsid w:val="00EB2F49"/>
    <w:rsid w:val="00EB462A"/>
    <w:rsid w:val="00EB545A"/>
    <w:rsid w:val="00EB635D"/>
    <w:rsid w:val="00EB6554"/>
    <w:rsid w:val="00EB6AA6"/>
    <w:rsid w:val="00EC0354"/>
    <w:rsid w:val="00EC5A70"/>
    <w:rsid w:val="00EC5B97"/>
    <w:rsid w:val="00EC692F"/>
    <w:rsid w:val="00EC6BED"/>
    <w:rsid w:val="00EC70BC"/>
    <w:rsid w:val="00ED018E"/>
    <w:rsid w:val="00ED044F"/>
    <w:rsid w:val="00ED07AD"/>
    <w:rsid w:val="00ED2A04"/>
    <w:rsid w:val="00ED370F"/>
    <w:rsid w:val="00ED3804"/>
    <w:rsid w:val="00ED39D5"/>
    <w:rsid w:val="00ED3B36"/>
    <w:rsid w:val="00EE08BD"/>
    <w:rsid w:val="00EE21F2"/>
    <w:rsid w:val="00EE288B"/>
    <w:rsid w:val="00EE55F9"/>
    <w:rsid w:val="00EE62A5"/>
    <w:rsid w:val="00EE63DE"/>
    <w:rsid w:val="00EE64F9"/>
    <w:rsid w:val="00EF00EA"/>
    <w:rsid w:val="00EF0CBA"/>
    <w:rsid w:val="00EF0EFC"/>
    <w:rsid w:val="00EF34E1"/>
    <w:rsid w:val="00EF3688"/>
    <w:rsid w:val="00EF36A0"/>
    <w:rsid w:val="00EF6CC3"/>
    <w:rsid w:val="00F00D0F"/>
    <w:rsid w:val="00F0109E"/>
    <w:rsid w:val="00F03A0B"/>
    <w:rsid w:val="00F11454"/>
    <w:rsid w:val="00F121F6"/>
    <w:rsid w:val="00F12E5A"/>
    <w:rsid w:val="00F2125A"/>
    <w:rsid w:val="00F221FC"/>
    <w:rsid w:val="00F23C89"/>
    <w:rsid w:val="00F24025"/>
    <w:rsid w:val="00F24190"/>
    <w:rsid w:val="00F26083"/>
    <w:rsid w:val="00F322F5"/>
    <w:rsid w:val="00F35033"/>
    <w:rsid w:val="00F35CAE"/>
    <w:rsid w:val="00F36EE7"/>
    <w:rsid w:val="00F40190"/>
    <w:rsid w:val="00F4192F"/>
    <w:rsid w:val="00F41B64"/>
    <w:rsid w:val="00F41D9D"/>
    <w:rsid w:val="00F44250"/>
    <w:rsid w:val="00F4468A"/>
    <w:rsid w:val="00F44F59"/>
    <w:rsid w:val="00F47653"/>
    <w:rsid w:val="00F47EFB"/>
    <w:rsid w:val="00F50412"/>
    <w:rsid w:val="00F505CE"/>
    <w:rsid w:val="00F5169E"/>
    <w:rsid w:val="00F51C0B"/>
    <w:rsid w:val="00F57AFC"/>
    <w:rsid w:val="00F627E4"/>
    <w:rsid w:val="00F6494D"/>
    <w:rsid w:val="00F65A5D"/>
    <w:rsid w:val="00F65DBD"/>
    <w:rsid w:val="00F669B9"/>
    <w:rsid w:val="00F67D80"/>
    <w:rsid w:val="00F773E6"/>
    <w:rsid w:val="00F77DEE"/>
    <w:rsid w:val="00F80A07"/>
    <w:rsid w:val="00F80C1E"/>
    <w:rsid w:val="00F80CEE"/>
    <w:rsid w:val="00F81639"/>
    <w:rsid w:val="00F81AFE"/>
    <w:rsid w:val="00F81C18"/>
    <w:rsid w:val="00F81F36"/>
    <w:rsid w:val="00F83E85"/>
    <w:rsid w:val="00F8493C"/>
    <w:rsid w:val="00F85468"/>
    <w:rsid w:val="00F86A45"/>
    <w:rsid w:val="00F86BC7"/>
    <w:rsid w:val="00F907D4"/>
    <w:rsid w:val="00F913C7"/>
    <w:rsid w:val="00F91DA3"/>
    <w:rsid w:val="00F9202F"/>
    <w:rsid w:val="00F92AA4"/>
    <w:rsid w:val="00FA2519"/>
    <w:rsid w:val="00FA625E"/>
    <w:rsid w:val="00FA6B1E"/>
    <w:rsid w:val="00FA7FD2"/>
    <w:rsid w:val="00FB4165"/>
    <w:rsid w:val="00FB48E1"/>
    <w:rsid w:val="00FB59A0"/>
    <w:rsid w:val="00FC1484"/>
    <w:rsid w:val="00FC1792"/>
    <w:rsid w:val="00FC1944"/>
    <w:rsid w:val="00FC42BD"/>
    <w:rsid w:val="00FD2E9B"/>
    <w:rsid w:val="00FD378D"/>
    <w:rsid w:val="00FD41A2"/>
    <w:rsid w:val="00FE065B"/>
    <w:rsid w:val="00FE06D8"/>
    <w:rsid w:val="00FE128D"/>
    <w:rsid w:val="00FE17D2"/>
    <w:rsid w:val="00FE2BF0"/>
    <w:rsid w:val="00FE43C6"/>
    <w:rsid w:val="00FE7835"/>
    <w:rsid w:val="00FF6D2A"/>
    <w:rsid w:val="00FF7F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57696"/>
  <w15:docId w15:val="{4C5185BA-A775-4610-B2F9-5591E17B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39"/>
    <w:rsid w:val="0021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paragraph" w:customStyle="1" w:styleId="Default">
    <w:name w:val="Default"/>
    <w:rsid w:val="00A434B9"/>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B20DD8"/>
  </w:style>
  <w:style w:type="paragraph" w:customStyle="1" w:styleId="lrquoteindtafter11lvl1hang">
    <w:name w:val="lrquoteindtafter11lvl1hang"/>
    <w:basedOn w:val="Normal"/>
    <w:rsid w:val="00E77C31"/>
    <w:pPr>
      <w:spacing w:before="100" w:beforeAutospacing="1" w:after="100" w:afterAutospacing="1"/>
    </w:pPr>
    <w:rPr>
      <w:rFonts w:ascii="Times New Roman" w:hAnsi="Times New Roman"/>
      <w:sz w:val="24"/>
      <w:lang w:eastAsia="en-ZA"/>
    </w:rPr>
  </w:style>
  <w:style w:type="paragraph" w:customStyle="1" w:styleId="lrquote11lvl1hang">
    <w:name w:val="lrquote11lvl1hang"/>
    <w:basedOn w:val="Normal"/>
    <w:rsid w:val="00E77C31"/>
    <w:pPr>
      <w:spacing w:before="100" w:beforeAutospacing="1" w:after="100" w:afterAutospacing="1"/>
    </w:pPr>
    <w:rPr>
      <w:rFonts w:ascii="Times New Roman" w:hAnsi="Times New Roman"/>
      <w:sz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63209253">
      <w:bodyDiv w:val="1"/>
      <w:marLeft w:val="0"/>
      <w:marRight w:val="0"/>
      <w:marTop w:val="0"/>
      <w:marBottom w:val="0"/>
      <w:divBdr>
        <w:top w:val="none" w:sz="0" w:space="0" w:color="auto"/>
        <w:left w:val="none" w:sz="0" w:space="0" w:color="auto"/>
        <w:bottom w:val="none" w:sz="0" w:space="0" w:color="auto"/>
        <w:right w:val="none" w:sz="0" w:space="0" w:color="auto"/>
      </w:divBdr>
      <w:divsChild>
        <w:div w:id="559486776">
          <w:marLeft w:val="0"/>
          <w:marRight w:val="0"/>
          <w:marTop w:val="120"/>
          <w:marBottom w:val="0"/>
          <w:divBdr>
            <w:top w:val="none" w:sz="0" w:space="0" w:color="auto"/>
            <w:left w:val="none" w:sz="0" w:space="0" w:color="auto"/>
            <w:bottom w:val="none" w:sz="0" w:space="0" w:color="auto"/>
            <w:right w:val="none" w:sz="0" w:space="0" w:color="auto"/>
          </w:divBdr>
        </w:div>
        <w:div w:id="1238244361">
          <w:marLeft w:val="0"/>
          <w:marRight w:val="0"/>
          <w:marTop w:val="240"/>
          <w:marBottom w:val="0"/>
          <w:divBdr>
            <w:top w:val="none" w:sz="0" w:space="0" w:color="auto"/>
            <w:left w:val="none" w:sz="0" w:space="0" w:color="auto"/>
            <w:bottom w:val="none" w:sz="0" w:space="0" w:color="auto"/>
            <w:right w:val="none" w:sz="0" w:space="0" w:color="auto"/>
          </w:divBdr>
        </w:div>
        <w:div w:id="1412848520">
          <w:marLeft w:val="567"/>
          <w:marRight w:val="567"/>
          <w:marTop w:val="20"/>
          <w:marBottom w:val="20"/>
          <w:divBdr>
            <w:top w:val="none" w:sz="0" w:space="0" w:color="auto"/>
            <w:left w:val="none" w:sz="0" w:space="0" w:color="auto"/>
            <w:bottom w:val="none" w:sz="0" w:space="0" w:color="auto"/>
            <w:right w:val="none" w:sz="0" w:space="0" w:color="auto"/>
          </w:divBdr>
        </w:div>
      </w:divsChild>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352655753">
      <w:bodyDiv w:val="1"/>
      <w:marLeft w:val="0"/>
      <w:marRight w:val="0"/>
      <w:marTop w:val="0"/>
      <w:marBottom w:val="0"/>
      <w:divBdr>
        <w:top w:val="none" w:sz="0" w:space="0" w:color="auto"/>
        <w:left w:val="none" w:sz="0" w:space="0" w:color="auto"/>
        <w:bottom w:val="none" w:sz="0" w:space="0" w:color="auto"/>
        <w:right w:val="none" w:sz="0" w:space="0" w:color="auto"/>
      </w:divBdr>
      <w:divsChild>
        <w:div w:id="543565086">
          <w:marLeft w:val="0"/>
          <w:marRight w:val="0"/>
          <w:marTop w:val="60"/>
          <w:marBottom w:val="0"/>
          <w:divBdr>
            <w:top w:val="none" w:sz="0" w:space="0" w:color="auto"/>
            <w:left w:val="none" w:sz="0" w:space="0" w:color="auto"/>
            <w:bottom w:val="none" w:sz="0" w:space="0" w:color="auto"/>
            <w:right w:val="none" w:sz="0" w:space="0" w:color="auto"/>
          </w:divBdr>
        </w:div>
        <w:div w:id="795026512">
          <w:marLeft w:val="0"/>
          <w:marRight w:val="0"/>
          <w:marTop w:val="120"/>
          <w:marBottom w:val="0"/>
          <w:divBdr>
            <w:top w:val="none" w:sz="0" w:space="0" w:color="auto"/>
            <w:left w:val="none" w:sz="0" w:space="0" w:color="auto"/>
            <w:bottom w:val="none" w:sz="0" w:space="0" w:color="auto"/>
            <w:right w:val="none" w:sz="0" w:space="0" w:color="auto"/>
          </w:divBdr>
        </w:div>
      </w:divsChild>
    </w:div>
    <w:div w:id="538202760">
      <w:bodyDiv w:val="1"/>
      <w:marLeft w:val="0"/>
      <w:marRight w:val="0"/>
      <w:marTop w:val="0"/>
      <w:marBottom w:val="0"/>
      <w:divBdr>
        <w:top w:val="none" w:sz="0" w:space="0" w:color="auto"/>
        <w:left w:val="none" w:sz="0" w:space="0" w:color="auto"/>
        <w:bottom w:val="none" w:sz="0" w:space="0" w:color="auto"/>
        <w:right w:val="none" w:sz="0" w:space="0" w:color="auto"/>
      </w:divBdr>
    </w:div>
    <w:div w:id="552427858">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170483299">
      <w:bodyDiv w:val="1"/>
      <w:marLeft w:val="0"/>
      <w:marRight w:val="0"/>
      <w:marTop w:val="0"/>
      <w:marBottom w:val="0"/>
      <w:divBdr>
        <w:top w:val="none" w:sz="0" w:space="0" w:color="auto"/>
        <w:left w:val="none" w:sz="0" w:space="0" w:color="auto"/>
        <w:bottom w:val="none" w:sz="0" w:space="0" w:color="auto"/>
        <w:right w:val="none" w:sz="0" w:space="0" w:color="auto"/>
      </w:divBdr>
    </w:div>
    <w:div w:id="1174035608">
      <w:bodyDiv w:val="1"/>
      <w:marLeft w:val="0"/>
      <w:marRight w:val="0"/>
      <w:marTop w:val="0"/>
      <w:marBottom w:val="0"/>
      <w:divBdr>
        <w:top w:val="none" w:sz="0" w:space="0" w:color="auto"/>
        <w:left w:val="none" w:sz="0" w:space="0" w:color="auto"/>
        <w:bottom w:val="none" w:sz="0" w:space="0" w:color="auto"/>
        <w:right w:val="none" w:sz="0" w:space="0" w:color="auto"/>
      </w:divBdr>
    </w:div>
    <w:div w:id="1197696140">
      <w:bodyDiv w:val="1"/>
      <w:marLeft w:val="0"/>
      <w:marRight w:val="0"/>
      <w:marTop w:val="0"/>
      <w:marBottom w:val="0"/>
      <w:divBdr>
        <w:top w:val="none" w:sz="0" w:space="0" w:color="auto"/>
        <w:left w:val="none" w:sz="0" w:space="0" w:color="auto"/>
        <w:bottom w:val="none" w:sz="0" w:space="0" w:color="auto"/>
        <w:right w:val="none" w:sz="0" w:space="0" w:color="auto"/>
      </w:divBdr>
      <w:divsChild>
        <w:div w:id="1878808815">
          <w:marLeft w:val="675"/>
          <w:marRight w:val="0"/>
          <w:marTop w:val="0"/>
          <w:marBottom w:val="0"/>
          <w:divBdr>
            <w:top w:val="none" w:sz="0" w:space="0" w:color="auto"/>
            <w:left w:val="none" w:sz="0" w:space="0" w:color="auto"/>
            <w:bottom w:val="none" w:sz="0" w:space="0" w:color="auto"/>
            <w:right w:val="none" w:sz="0" w:space="0" w:color="auto"/>
          </w:divBdr>
        </w:div>
        <w:div w:id="1892958996">
          <w:marLeft w:val="675"/>
          <w:marRight w:val="0"/>
          <w:marTop w:val="0"/>
          <w:marBottom w:val="0"/>
          <w:divBdr>
            <w:top w:val="none" w:sz="0" w:space="0" w:color="auto"/>
            <w:left w:val="none" w:sz="0" w:space="0" w:color="auto"/>
            <w:bottom w:val="none" w:sz="0" w:space="0" w:color="auto"/>
            <w:right w:val="none" w:sz="0" w:space="0" w:color="auto"/>
          </w:divBdr>
        </w:div>
        <w:div w:id="1937789993">
          <w:marLeft w:val="675"/>
          <w:marRight w:val="0"/>
          <w:marTop w:val="0"/>
          <w:marBottom w:val="0"/>
          <w:divBdr>
            <w:top w:val="none" w:sz="0" w:space="0" w:color="auto"/>
            <w:left w:val="none" w:sz="0" w:space="0" w:color="auto"/>
            <w:bottom w:val="none" w:sz="0" w:space="0" w:color="auto"/>
            <w:right w:val="none" w:sz="0" w:space="0" w:color="auto"/>
          </w:divBdr>
        </w:div>
      </w:divsChild>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593855903">
      <w:bodyDiv w:val="1"/>
      <w:marLeft w:val="0"/>
      <w:marRight w:val="0"/>
      <w:marTop w:val="0"/>
      <w:marBottom w:val="0"/>
      <w:divBdr>
        <w:top w:val="none" w:sz="0" w:space="0" w:color="auto"/>
        <w:left w:val="none" w:sz="0" w:space="0" w:color="auto"/>
        <w:bottom w:val="none" w:sz="0" w:space="0" w:color="auto"/>
        <w:right w:val="none" w:sz="0" w:space="0" w:color="auto"/>
      </w:divBdr>
      <w:divsChild>
        <w:div w:id="1335960999">
          <w:marLeft w:val="1755"/>
          <w:marRight w:val="0"/>
          <w:marTop w:val="0"/>
          <w:marBottom w:val="0"/>
          <w:divBdr>
            <w:top w:val="none" w:sz="0" w:space="0" w:color="auto"/>
            <w:left w:val="none" w:sz="0" w:space="0" w:color="auto"/>
            <w:bottom w:val="none" w:sz="0" w:space="0" w:color="auto"/>
            <w:right w:val="none" w:sz="0" w:space="0" w:color="auto"/>
          </w:divBdr>
        </w:div>
        <w:div w:id="369652510">
          <w:marLeft w:val="1755"/>
          <w:marRight w:val="0"/>
          <w:marTop w:val="0"/>
          <w:marBottom w:val="0"/>
          <w:divBdr>
            <w:top w:val="none" w:sz="0" w:space="0" w:color="auto"/>
            <w:left w:val="none" w:sz="0" w:space="0" w:color="auto"/>
            <w:bottom w:val="none" w:sz="0" w:space="0" w:color="auto"/>
            <w:right w:val="none" w:sz="0" w:space="0" w:color="auto"/>
          </w:divBdr>
        </w:div>
        <w:div w:id="1598826100">
          <w:marLeft w:val="1755"/>
          <w:marRight w:val="0"/>
          <w:marTop w:val="0"/>
          <w:marBottom w:val="0"/>
          <w:divBdr>
            <w:top w:val="none" w:sz="0" w:space="0" w:color="auto"/>
            <w:left w:val="none" w:sz="0" w:space="0" w:color="auto"/>
            <w:bottom w:val="none" w:sz="0" w:space="0" w:color="auto"/>
            <w:right w:val="none" w:sz="0" w:space="0" w:color="auto"/>
          </w:divBdr>
        </w:div>
        <w:div w:id="974337345">
          <w:marLeft w:val="1755"/>
          <w:marRight w:val="0"/>
          <w:marTop w:val="0"/>
          <w:marBottom w:val="0"/>
          <w:divBdr>
            <w:top w:val="none" w:sz="0" w:space="0" w:color="auto"/>
            <w:left w:val="none" w:sz="0" w:space="0" w:color="auto"/>
            <w:bottom w:val="none" w:sz="0" w:space="0" w:color="auto"/>
            <w:right w:val="none" w:sz="0" w:space="0" w:color="auto"/>
          </w:divBdr>
        </w:div>
        <w:div w:id="58135089">
          <w:marLeft w:val="1755"/>
          <w:marRight w:val="0"/>
          <w:marTop w:val="0"/>
          <w:marBottom w:val="0"/>
          <w:divBdr>
            <w:top w:val="none" w:sz="0" w:space="0" w:color="auto"/>
            <w:left w:val="none" w:sz="0" w:space="0" w:color="auto"/>
            <w:bottom w:val="none" w:sz="0" w:space="0" w:color="auto"/>
            <w:right w:val="none" w:sz="0" w:space="0" w:color="auto"/>
          </w:divBdr>
        </w:div>
        <w:div w:id="1662392872">
          <w:marLeft w:val="1755"/>
          <w:marRight w:val="0"/>
          <w:marTop w:val="0"/>
          <w:marBottom w:val="0"/>
          <w:divBdr>
            <w:top w:val="none" w:sz="0" w:space="0" w:color="auto"/>
            <w:left w:val="none" w:sz="0" w:space="0" w:color="auto"/>
            <w:bottom w:val="none" w:sz="0" w:space="0" w:color="auto"/>
            <w:right w:val="none" w:sz="0" w:space="0" w:color="auto"/>
          </w:divBdr>
        </w:div>
        <w:div w:id="275991">
          <w:marLeft w:val="1755"/>
          <w:marRight w:val="0"/>
          <w:marTop w:val="0"/>
          <w:marBottom w:val="0"/>
          <w:divBdr>
            <w:top w:val="none" w:sz="0" w:space="0" w:color="auto"/>
            <w:left w:val="none" w:sz="0" w:space="0" w:color="auto"/>
            <w:bottom w:val="none" w:sz="0" w:space="0" w:color="auto"/>
            <w:right w:val="none" w:sz="0" w:space="0" w:color="auto"/>
          </w:divBdr>
        </w:div>
        <w:div w:id="785271542">
          <w:marLeft w:val="1755"/>
          <w:marRight w:val="0"/>
          <w:marTop w:val="0"/>
          <w:marBottom w:val="0"/>
          <w:divBdr>
            <w:top w:val="none" w:sz="0" w:space="0" w:color="auto"/>
            <w:left w:val="none" w:sz="0" w:space="0" w:color="auto"/>
            <w:bottom w:val="none" w:sz="0" w:space="0" w:color="auto"/>
            <w:right w:val="none" w:sz="0" w:space="0" w:color="auto"/>
          </w:divBdr>
        </w:div>
        <w:div w:id="1811633053">
          <w:marLeft w:val="1755"/>
          <w:marRight w:val="0"/>
          <w:marTop w:val="0"/>
          <w:marBottom w:val="0"/>
          <w:divBdr>
            <w:top w:val="none" w:sz="0" w:space="0" w:color="auto"/>
            <w:left w:val="none" w:sz="0" w:space="0" w:color="auto"/>
            <w:bottom w:val="none" w:sz="0" w:space="0" w:color="auto"/>
            <w:right w:val="none" w:sz="0" w:space="0" w:color="auto"/>
          </w:divBdr>
        </w:div>
      </w:divsChild>
    </w:div>
    <w:div w:id="1598950405">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70987435">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796942867">
      <w:bodyDiv w:val="1"/>
      <w:marLeft w:val="0"/>
      <w:marRight w:val="0"/>
      <w:marTop w:val="0"/>
      <w:marBottom w:val="0"/>
      <w:divBdr>
        <w:top w:val="none" w:sz="0" w:space="0" w:color="auto"/>
        <w:left w:val="none" w:sz="0" w:space="0" w:color="auto"/>
        <w:bottom w:val="none" w:sz="0" w:space="0" w:color="auto"/>
        <w:right w:val="none" w:sz="0" w:space="0" w:color="auto"/>
      </w:divBdr>
      <w:divsChild>
        <w:div w:id="180821449">
          <w:marLeft w:val="0"/>
          <w:marRight w:val="0"/>
          <w:marTop w:val="120"/>
          <w:marBottom w:val="0"/>
          <w:divBdr>
            <w:top w:val="none" w:sz="0" w:space="0" w:color="auto"/>
            <w:left w:val="none" w:sz="0" w:space="0" w:color="auto"/>
            <w:bottom w:val="none" w:sz="0" w:space="0" w:color="auto"/>
            <w:right w:val="none" w:sz="0" w:space="0" w:color="auto"/>
          </w:divBdr>
        </w:div>
        <w:div w:id="1104307864">
          <w:marLeft w:val="0"/>
          <w:marRight w:val="0"/>
          <w:marTop w:val="60"/>
          <w:marBottom w:val="0"/>
          <w:divBdr>
            <w:top w:val="none" w:sz="0" w:space="0" w:color="auto"/>
            <w:left w:val="none" w:sz="0" w:space="0" w:color="auto"/>
            <w:bottom w:val="none" w:sz="0" w:space="0" w:color="auto"/>
            <w:right w:val="none" w:sz="0" w:space="0" w:color="auto"/>
          </w:divBdr>
        </w:div>
      </w:divsChild>
    </w:div>
    <w:div w:id="1867060159">
      <w:bodyDiv w:val="1"/>
      <w:marLeft w:val="0"/>
      <w:marRight w:val="0"/>
      <w:marTop w:val="0"/>
      <w:marBottom w:val="0"/>
      <w:divBdr>
        <w:top w:val="none" w:sz="0" w:space="0" w:color="auto"/>
        <w:left w:val="none" w:sz="0" w:space="0" w:color="auto"/>
        <w:bottom w:val="none" w:sz="0" w:space="0" w:color="auto"/>
        <w:right w:val="none" w:sz="0" w:space="0" w:color="auto"/>
      </w:divBdr>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app.jutastatevolve.co.za/y1951v4SApg331" TargetMode="External"/><Relationship Id="rId1" Type="http://schemas.openxmlformats.org/officeDocument/2006/relationships/hyperlink" Target="https://app.jutastatevolve.co.za/y2014v6SApg4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FF88D-ED18-4426-9BF2-F1CA946D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2</TotalTime>
  <Pages>7</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Mary Bruce</cp:lastModifiedBy>
  <cp:revision>4</cp:revision>
  <cp:lastPrinted>2023-11-14T16:17:00Z</cp:lastPrinted>
  <dcterms:created xsi:type="dcterms:W3CDTF">2023-11-17T10:02:00Z</dcterms:created>
  <dcterms:modified xsi:type="dcterms:W3CDTF">2023-11-19T21:12:00Z</dcterms:modified>
</cp:coreProperties>
</file>