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9ED3E" w14:textId="77777777" w:rsidR="00EF11A8" w:rsidRDefault="00EF11A8" w:rsidP="00EF11A8">
      <w:pPr>
        <w:ind w:left="2160" w:firstLine="720"/>
        <w:rPr>
          <w:rFonts w:ascii="Arial" w:hAnsi="Arial" w:cs="Arial"/>
          <w:b/>
          <w:u w:val="single"/>
        </w:rPr>
      </w:pPr>
      <w:r w:rsidRPr="005B354E">
        <w:rPr>
          <w:rFonts w:asciiTheme="minorHAnsi" w:eastAsiaTheme="minorHAnsi" w:hAnsiTheme="minorHAnsi" w:cstheme="minorBidi"/>
          <w:noProof/>
          <w:lang w:val="en-ZA" w:eastAsia="en-ZA"/>
        </w:rPr>
        <w:drawing>
          <wp:anchor distT="0" distB="0" distL="114300" distR="114300" simplePos="0" relativeHeight="251659264" behindDoc="1" locked="0" layoutInCell="1" allowOverlap="1" wp14:anchorId="0D831079" wp14:editId="781BB996">
            <wp:simplePos x="0" y="0"/>
            <wp:positionH relativeFrom="margin">
              <wp:posOffset>2089150</wp:posOffset>
            </wp:positionH>
            <wp:positionV relativeFrom="paragraph">
              <wp:posOffset>-717550</wp:posOffset>
            </wp:positionV>
            <wp:extent cx="1797050" cy="1668780"/>
            <wp:effectExtent l="0" t="0" r="0" b="7620"/>
            <wp:wrapNone/>
            <wp:docPr id="1" name="Picture 1" descr="cid:image003.png@01D32573.78E90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32573.78E904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97050" cy="1668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FF2756" w14:textId="77777777" w:rsidR="00EF11A8" w:rsidRDefault="00EF11A8" w:rsidP="00EF11A8">
      <w:pPr>
        <w:ind w:left="2160" w:firstLine="720"/>
        <w:rPr>
          <w:rFonts w:ascii="Arial" w:hAnsi="Arial" w:cs="Arial"/>
          <w:b/>
          <w:u w:val="single"/>
        </w:rPr>
      </w:pPr>
    </w:p>
    <w:p w14:paraId="6A94D07A" w14:textId="77777777" w:rsidR="00EF11A8" w:rsidRDefault="00EF11A8" w:rsidP="00EF11A8">
      <w:pPr>
        <w:ind w:left="2160" w:firstLine="720"/>
        <w:rPr>
          <w:rFonts w:ascii="Arial" w:hAnsi="Arial" w:cs="Arial"/>
          <w:b/>
          <w:u w:val="single"/>
        </w:rPr>
      </w:pPr>
    </w:p>
    <w:p w14:paraId="6A0EC809" w14:textId="77777777" w:rsidR="00EF11A8" w:rsidRDefault="00EF11A8" w:rsidP="00EF11A8">
      <w:pPr>
        <w:ind w:left="2160" w:firstLine="720"/>
        <w:rPr>
          <w:rFonts w:ascii="Arial" w:hAnsi="Arial" w:cs="Arial"/>
          <w:b/>
          <w:u w:val="single"/>
        </w:rPr>
      </w:pPr>
    </w:p>
    <w:p w14:paraId="541CFACD" w14:textId="77777777" w:rsidR="00EF11A8" w:rsidRDefault="00EF11A8" w:rsidP="00EF11A8">
      <w:pPr>
        <w:ind w:left="2160" w:firstLine="720"/>
        <w:rPr>
          <w:rFonts w:ascii="Arial" w:hAnsi="Arial" w:cs="Arial"/>
          <w:b/>
          <w:u w:val="single"/>
        </w:rPr>
      </w:pPr>
    </w:p>
    <w:p w14:paraId="76CE7C23" w14:textId="77777777" w:rsidR="00DC6873" w:rsidRDefault="00DC6873" w:rsidP="00EF11A8">
      <w:pPr>
        <w:ind w:left="2160" w:firstLine="720"/>
        <w:rPr>
          <w:rFonts w:ascii="Arial" w:hAnsi="Arial" w:cs="Arial"/>
          <w:b/>
          <w:u w:val="single"/>
        </w:rPr>
      </w:pPr>
    </w:p>
    <w:p w14:paraId="6A7D399B" w14:textId="77777777" w:rsidR="0081218C" w:rsidRDefault="0081218C" w:rsidP="00EF11A8">
      <w:pPr>
        <w:ind w:left="1440" w:firstLine="720"/>
        <w:rPr>
          <w:rFonts w:ascii="Arial" w:hAnsi="Arial" w:cs="Arial"/>
          <w:b/>
          <w:u w:val="single"/>
        </w:rPr>
      </w:pPr>
    </w:p>
    <w:p w14:paraId="6117E8EA" w14:textId="77777777" w:rsidR="00EF11A8" w:rsidRDefault="00EF11A8" w:rsidP="00EF11A8">
      <w:pPr>
        <w:ind w:left="1440" w:firstLine="720"/>
        <w:rPr>
          <w:rFonts w:ascii="Arial" w:hAnsi="Arial" w:cs="Arial"/>
          <w:b/>
          <w:u w:val="single"/>
        </w:rPr>
      </w:pPr>
      <w:r>
        <w:rPr>
          <w:rFonts w:ascii="Arial" w:hAnsi="Arial" w:cs="Arial"/>
          <w:b/>
          <w:u w:val="single"/>
        </w:rPr>
        <w:t>IN THE HIGH COURT OF SOUTH AFRICA,</w:t>
      </w:r>
    </w:p>
    <w:p w14:paraId="6D4F51A4" w14:textId="77777777" w:rsidR="00EF11A8" w:rsidRDefault="00EF11A8" w:rsidP="00EF11A8">
      <w:pPr>
        <w:ind w:left="1440" w:firstLine="720"/>
        <w:rPr>
          <w:rFonts w:ascii="Arial" w:hAnsi="Arial" w:cs="Arial"/>
          <w:b/>
          <w:u w:val="single"/>
        </w:rPr>
      </w:pPr>
      <w:r>
        <w:rPr>
          <w:rFonts w:ascii="Arial" w:hAnsi="Arial" w:cs="Arial"/>
          <w:b/>
          <w:u w:val="single"/>
        </w:rPr>
        <w:t>FREE STATE DIVISION, BLOEMFONTEIN</w:t>
      </w:r>
    </w:p>
    <w:p w14:paraId="16FBEB5B" w14:textId="4D2C0838" w:rsidR="003F2617" w:rsidRDefault="003F2617" w:rsidP="00EF11A8">
      <w:pPr>
        <w:ind w:left="1440" w:firstLine="720"/>
        <w:rPr>
          <w:rFonts w:ascii="Arial" w:hAnsi="Arial" w:cs="Arial"/>
          <w:b/>
          <w:u w:val="single"/>
        </w:rPr>
      </w:pPr>
    </w:p>
    <w:p w14:paraId="5980AF64" w14:textId="77777777" w:rsidR="003F2617" w:rsidRDefault="003F2617" w:rsidP="00EF11A8">
      <w:pPr>
        <w:ind w:left="1440" w:firstLine="720"/>
        <w:rPr>
          <w:rFonts w:ascii="Arial" w:hAnsi="Arial" w:cs="Arial"/>
          <w:b/>
          <w:u w:val="single"/>
        </w:rPr>
      </w:pPr>
    </w:p>
    <w:tbl>
      <w:tblPr>
        <w:tblStyle w:val="TableGrid"/>
        <w:tblW w:w="2693" w:type="dxa"/>
        <w:tblInd w:w="6487" w:type="dxa"/>
        <w:tblLook w:val="04A0" w:firstRow="1" w:lastRow="0" w:firstColumn="1" w:lastColumn="0" w:noHBand="0" w:noVBand="1"/>
      </w:tblPr>
      <w:tblGrid>
        <w:gridCol w:w="2693"/>
      </w:tblGrid>
      <w:tr w:rsidR="00EF11A8" w14:paraId="298DA670" w14:textId="77777777" w:rsidTr="007C2356">
        <w:trPr>
          <w:trHeight w:val="642"/>
        </w:trPr>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D5650C" w14:textId="77777777" w:rsidR="00EF11A8" w:rsidRPr="005D6CBF" w:rsidRDefault="00EF11A8" w:rsidP="007C2356">
            <w:pPr>
              <w:rPr>
                <w:rFonts w:ascii="Arial" w:hAnsi="Arial" w:cs="Arial"/>
                <w:b/>
                <w:sz w:val="16"/>
                <w:szCs w:val="16"/>
              </w:rPr>
            </w:pPr>
            <w:r w:rsidRPr="005D6CBF">
              <w:rPr>
                <w:rFonts w:ascii="Arial" w:hAnsi="Arial" w:cs="Arial"/>
                <w:b/>
                <w:sz w:val="16"/>
                <w:szCs w:val="16"/>
              </w:rPr>
              <w:t>Reportable:                              NO</w:t>
            </w:r>
          </w:p>
          <w:p w14:paraId="6D924F67" w14:textId="77777777" w:rsidR="00EF11A8" w:rsidRPr="005D6CBF" w:rsidRDefault="00EF11A8" w:rsidP="007C2356">
            <w:pPr>
              <w:rPr>
                <w:rFonts w:ascii="Arial" w:hAnsi="Arial" w:cs="Arial"/>
                <w:b/>
                <w:sz w:val="16"/>
                <w:szCs w:val="16"/>
              </w:rPr>
            </w:pPr>
            <w:r w:rsidRPr="005D6CBF">
              <w:rPr>
                <w:rFonts w:ascii="Arial" w:hAnsi="Arial" w:cs="Arial"/>
                <w:b/>
                <w:sz w:val="16"/>
                <w:szCs w:val="16"/>
              </w:rPr>
              <w:t>Of Interest to other Judges:   NO</w:t>
            </w:r>
          </w:p>
          <w:p w14:paraId="20FD1EA7" w14:textId="77777777" w:rsidR="00EF11A8" w:rsidRPr="005D6CBF" w:rsidRDefault="00EF11A8" w:rsidP="007C2356">
            <w:pPr>
              <w:rPr>
                <w:rFonts w:ascii="Arial" w:hAnsi="Arial" w:cs="Arial"/>
                <w:b/>
                <w:sz w:val="16"/>
                <w:szCs w:val="16"/>
                <w:u w:val="single"/>
              </w:rPr>
            </w:pPr>
            <w:r w:rsidRPr="005D6CBF">
              <w:rPr>
                <w:rFonts w:ascii="Arial" w:hAnsi="Arial" w:cs="Arial"/>
                <w:b/>
                <w:sz w:val="16"/>
                <w:szCs w:val="16"/>
              </w:rPr>
              <w:t>Circulate to Magistrates:        NO</w:t>
            </w:r>
          </w:p>
        </w:tc>
      </w:tr>
    </w:tbl>
    <w:p w14:paraId="3A36F240" w14:textId="77777777" w:rsidR="00EF11A8" w:rsidRDefault="00EF11A8" w:rsidP="00EF11A8">
      <w:pPr>
        <w:jc w:val="both"/>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p>
    <w:p w14:paraId="68F859BD" w14:textId="77777777" w:rsidR="00781F07" w:rsidRPr="005D6CBF" w:rsidRDefault="00EF11A8" w:rsidP="00EF11A8">
      <w:pPr>
        <w:jc w:val="right"/>
        <w:rPr>
          <w:rFonts w:ascii="Arial" w:hAnsi="Arial" w:cs="Arial"/>
          <w:b/>
        </w:rPr>
      </w:pPr>
      <w:r w:rsidRPr="005D6CBF">
        <w:rPr>
          <w:rFonts w:ascii="Arial" w:hAnsi="Arial" w:cs="Arial"/>
          <w:b/>
        </w:rPr>
        <w:tab/>
      </w:r>
      <w:r w:rsidRPr="005D6CBF">
        <w:rPr>
          <w:rFonts w:ascii="Arial" w:hAnsi="Arial" w:cs="Arial"/>
          <w:b/>
        </w:rPr>
        <w:tab/>
      </w:r>
      <w:r w:rsidRPr="005D6CBF">
        <w:rPr>
          <w:rFonts w:ascii="Arial" w:hAnsi="Arial" w:cs="Arial"/>
          <w:b/>
        </w:rPr>
        <w:tab/>
      </w:r>
      <w:r w:rsidRPr="005D6CBF">
        <w:rPr>
          <w:rFonts w:ascii="Arial" w:hAnsi="Arial" w:cs="Arial"/>
          <w:b/>
        </w:rPr>
        <w:tab/>
      </w:r>
      <w:r w:rsidR="00781F07" w:rsidRPr="005D6CBF">
        <w:rPr>
          <w:rFonts w:ascii="Arial" w:hAnsi="Arial" w:cs="Arial"/>
          <w:b/>
        </w:rPr>
        <w:t xml:space="preserve"> </w:t>
      </w:r>
      <w:r w:rsidR="0094642F" w:rsidRPr="005D6CBF">
        <w:rPr>
          <w:rFonts w:ascii="Arial" w:hAnsi="Arial" w:cs="Arial"/>
          <w:b/>
        </w:rPr>
        <w:t>C</w:t>
      </w:r>
      <w:r w:rsidR="004E243D">
        <w:rPr>
          <w:rFonts w:ascii="Arial" w:hAnsi="Arial" w:cs="Arial"/>
          <w:b/>
        </w:rPr>
        <w:t>ase No</w:t>
      </w:r>
      <w:r w:rsidR="00781F07" w:rsidRPr="005D6CBF">
        <w:rPr>
          <w:rFonts w:ascii="Arial" w:hAnsi="Arial" w:cs="Arial"/>
          <w:b/>
        </w:rPr>
        <w:t xml:space="preserve">: </w:t>
      </w:r>
      <w:r w:rsidR="00A3090B">
        <w:rPr>
          <w:rFonts w:ascii="Arial" w:hAnsi="Arial" w:cs="Arial"/>
          <w:b/>
        </w:rPr>
        <w:t>656</w:t>
      </w:r>
      <w:r w:rsidR="007F4300">
        <w:rPr>
          <w:rFonts w:ascii="Arial" w:hAnsi="Arial" w:cs="Arial"/>
          <w:b/>
        </w:rPr>
        <w:t>/</w:t>
      </w:r>
      <w:r w:rsidR="00781F07" w:rsidRPr="005D6CBF">
        <w:rPr>
          <w:rFonts w:ascii="Arial" w:hAnsi="Arial" w:cs="Arial"/>
          <w:b/>
        </w:rPr>
        <w:t>20</w:t>
      </w:r>
      <w:r w:rsidR="0046504C">
        <w:rPr>
          <w:rFonts w:ascii="Arial" w:hAnsi="Arial" w:cs="Arial"/>
          <w:b/>
        </w:rPr>
        <w:t>2</w:t>
      </w:r>
      <w:r w:rsidR="00A3090B">
        <w:rPr>
          <w:rFonts w:ascii="Arial" w:hAnsi="Arial" w:cs="Arial"/>
          <w:b/>
        </w:rPr>
        <w:t>3</w:t>
      </w:r>
    </w:p>
    <w:p w14:paraId="1A97955C" w14:textId="77777777" w:rsidR="00EF11A8" w:rsidRPr="005D6CBF" w:rsidRDefault="00EF11A8" w:rsidP="00EF11A8">
      <w:pPr>
        <w:jc w:val="right"/>
        <w:rPr>
          <w:rFonts w:ascii="Arial" w:hAnsi="Arial" w:cs="Arial"/>
        </w:rPr>
      </w:pPr>
      <w:r w:rsidRPr="005D6CBF">
        <w:rPr>
          <w:rFonts w:ascii="Arial" w:hAnsi="Arial" w:cs="Arial"/>
        </w:rPr>
        <w:t xml:space="preserve"> </w:t>
      </w:r>
      <w:r w:rsidRPr="005D6CBF">
        <w:rPr>
          <w:rFonts w:ascii="Arial" w:hAnsi="Arial" w:cs="Arial"/>
        </w:rPr>
        <w:tab/>
        <w:t xml:space="preserve"> </w:t>
      </w:r>
    </w:p>
    <w:p w14:paraId="44499AE7" w14:textId="77777777" w:rsidR="00781F07" w:rsidRPr="005D6CBF" w:rsidRDefault="00EF11A8" w:rsidP="00EF11A8">
      <w:pPr>
        <w:jc w:val="both"/>
        <w:rPr>
          <w:rFonts w:ascii="Arial" w:hAnsi="Arial" w:cs="Arial"/>
        </w:rPr>
      </w:pPr>
      <w:r w:rsidRPr="005D6CBF">
        <w:rPr>
          <w:rFonts w:ascii="Arial" w:hAnsi="Arial" w:cs="Arial"/>
        </w:rPr>
        <w:t>In the matter between:</w:t>
      </w:r>
    </w:p>
    <w:p w14:paraId="56C85766" w14:textId="77777777" w:rsidR="00EF11A8" w:rsidRPr="005D6CBF" w:rsidRDefault="00EF11A8" w:rsidP="00EF11A8">
      <w:pPr>
        <w:jc w:val="both"/>
        <w:rPr>
          <w:rFonts w:ascii="Arial" w:hAnsi="Arial" w:cs="Arial"/>
        </w:rPr>
      </w:pPr>
      <w:r w:rsidRPr="005D6CBF">
        <w:rPr>
          <w:rFonts w:ascii="Arial" w:hAnsi="Arial" w:cs="Arial"/>
        </w:rPr>
        <w:t xml:space="preserve"> </w:t>
      </w:r>
    </w:p>
    <w:p w14:paraId="5ECDC8D5" w14:textId="77777777" w:rsidR="0081372D" w:rsidRDefault="00CD19F3" w:rsidP="00EF11A8">
      <w:pPr>
        <w:tabs>
          <w:tab w:val="left" w:pos="720"/>
          <w:tab w:val="left" w:pos="1440"/>
          <w:tab w:val="left" w:pos="2160"/>
          <w:tab w:val="left" w:pos="2880"/>
          <w:tab w:val="left" w:pos="3600"/>
          <w:tab w:val="left" w:pos="4320"/>
          <w:tab w:val="left" w:pos="5040"/>
          <w:tab w:val="left" w:pos="5760"/>
          <w:tab w:val="left" w:pos="6480"/>
          <w:tab w:val="right" w:pos="9026"/>
        </w:tabs>
        <w:jc w:val="both"/>
        <w:rPr>
          <w:rFonts w:ascii="Arial" w:hAnsi="Arial" w:cs="Arial"/>
        </w:rPr>
      </w:pPr>
      <w:r>
        <w:rPr>
          <w:rFonts w:ascii="Arial" w:hAnsi="Arial" w:cs="Arial"/>
          <w:b/>
        </w:rPr>
        <w:t>OLYMPIC F</w:t>
      </w:r>
      <w:r w:rsidR="00A3090B">
        <w:rPr>
          <w:rFonts w:ascii="Arial" w:hAnsi="Arial" w:cs="Arial"/>
          <w:b/>
        </w:rPr>
        <w:t>L</w:t>
      </w:r>
      <w:r>
        <w:rPr>
          <w:rFonts w:ascii="Arial" w:hAnsi="Arial" w:cs="Arial"/>
          <w:b/>
        </w:rPr>
        <w:t>A</w:t>
      </w:r>
      <w:r w:rsidR="00A3090B">
        <w:rPr>
          <w:rFonts w:ascii="Arial" w:hAnsi="Arial" w:cs="Arial"/>
          <w:b/>
        </w:rPr>
        <w:t>ME (PTY) LTD</w:t>
      </w:r>
      <w:r w:rsidR="00A3090B">
        <w:rPr>
          <w:rFonts w:ascii="Arial" w:hAnsi="Arial" w:cs="Arial"/>
          <w:b/>
        </w:rPr>
        <w:tab/>
      </w:r>
      <w:r w:rsidR="005D6CBF" w:rsidRPr="005D6CBF">
        <w:rPr>
          <w:rFonts w:ascii="Arial" w:hAnsi="Arial" w:cs="Arial"/>
          <w:b/>
        </w:rPr>
        <w:t xml:space="preserve">   </w:t>
      </w:r>
      <w:r w:rsidR="001575AF" w:rsidRPr="005D6CBF">
        <w:rPr>
          <w:rFonts w:ascii="Arial" w:hAnsi="Arial" w:cs="Arial"/>
          <w:b/>
        </w:rPr>
        <w:t xml:space="preserve">                   </w:t>
      </w:r>
      <w:r w:rsidR="00077E52" w:rsidRPr="005D6CBF">
        <w:rPr>
          <w:rFonts w:ascii="Arial" w:hAnsi="Arial" w:cs="Arial"/>
          <w:b/>
        </w:rPr>
        <w:t xml:space="preserve"> </w:t>
      </w:r>
      <w:r w:rsidR="00781F07" w:rsidRPr="005D6CBF">
        <w:rPr>
          <w:rFonts w:ascii="Arial" w:hAnsi="Arial" w:cs="Arial"/>
          <w:b/>
        </w:rPr>
        <w:t xml:space="preserve"> </w:t>
      </w:r>
      <w:r w:rsidR="005D6CBF">
        <w:rPr>
          <w:rFonts w:ascii="Arial" w:hAnsi="Arial" w:cs="Arial"/>
          <w:b/>
        </w:rPr>
        <w:t xml:space="preserve">   </w:t>
      </w:r>
      <w:r w:rsidR="00A3090B">
        <w:rPr>
          <w:rFonts w:ascii="Arial" w:hAnsi="Arial" w:cs="Arial"/>
          <w:b/>
        </w:rPr>
        <w:t xml:space="preserve">          </w:t>
      </w:r>
      <w:r w:rsidR="005D6CBF">
        <w:rPr>
          <w:rFonts w:ascii="Arial" w:hAnsi="Arial" w:cs="Arial"/>
          <w:b/>
        </w:rPr>
        <w:t xml:space="preserve">                  </w:t>
      </w:r>
      <w:r w:rsidR="0081372D">
        <w:rPr>
          <w:rFonts w:ascii="Arial" w:hAnsi="Arial" w:cs="Arial"/>
          <w:b/>
        </w:rPr>
        <w:t xml:space="preserve">         </w:t>
      </w:r>
      <w:r w:rsidR="0046504C">
        <w:rPr>
          <w:rFonts w:ascii="Arial" w:hAnsi="Arial" w:cs="Arial"/>
          <w:b/>
        </w:rPr>
        <w:t xml:space="preserve"> </w:t>
      </w:r>
      <w:r w:rsidR="0081372D">
        <w:rPr>
          <w:rFonts w:ascii="Arial" w:hAnsi="Arial" w:cs="Arial"/>
          <w:b/>
        </w:rPr>
        <w:t xml:space="preserve"> </w:t>
      </w:r>
      <w:r w:rsidR="0046504C" w:rsidRPr="0046504C">
        <w:rPr>
          <w:rFonts w:ascii="Arial" w:hAnsi="Arial" w:cs="Arial"/>
        </w:rPr>
        <w:t>Applicant</w:t>
      </w:r>
    </w:p>
    <w:p w14:paraId="179E78FC" w14:textId="77777777" w:rsidR="0081372D" w:rsidRDefault="0081372D" w:rsidP="00EF11A8">
      <w:pPr>
        <w:tabs>
          <w:tab w:val="left" w:pos="720"/>
          <w:tab w:val="left" w:pos="1440"/>
          <w:tab w:val="left" w:pos="2160"/>
          <w:tab w:val="left" w:pos="2880"/>
          <w:tab w:val="left" w:pos="3600"/>
          <w:tab w:val="left" w:pos="4320"/>
          <w:tab w:val="left" w:pos="5040"/>
          <w:tab w:val="left" w:pos="5760"/>
          <w:tab w:val="left" w:pos="6480"/>
          <w:tab w:val="right" w:pos="9026"/>
        </w:tabs>
        <w:jc w:val="both"/>
        <w:rPr>
          <w:rFonts w:ascii="Arial" w:hAnsi="Arial" w:cs="Arial"/>
        </w:rPr>
      </w:pPr>
    </w:p>
    <w:p w14:paraId="35941AB6" w14:textId="77777777" w:rsidR="00EF11A8" w:rsidRPr="005D6CBF" w:rsidRDefault="00EF11A8" w:rsidP="00EF11A8">
      <w:pPr>
        <w:jc w:val="both"/>
        <w:rPr>
          <w:rFonts w:ascii="Arial" w:hAnsi="Arial" w:cs="Arial"/>
        </w:rPr>
      </w:pPr>
      <w:r w:rsidRPr="005D6CBF">
        <w:rPr>
          <w:rFonts w:ascii="Arial" w:hAnsi="Arial" w:cs="Arial"/>
        </w:rPr>
        <w:t xml:space="preserve">and </w:t>
      </w:r>
    </w:p>
    <w:p w14:paraId="0DD196AE" w14:textId="77777777" w:rsidR="00781F07" w:rsidRPr="005D6CBF" w:rsidRDefault="00781F07" w:rsidP="00EF11A8">
      <w:pPr>
        <w:jc w:val="both"/>
        <w:rPr>
          <w:rFonts w:ascii="Arial" w:hAnsi="Arial" w:cs="Arial"/>
        </w:rPr>
      </w:pPr>
    </w:p>
    <w:p w14:paraId="3C8E4D87" w14:textId="77777777" w:rsidR="0081372D" w:rsidRDefault="00A3090B" w:rsidP="00EF11A8">
      <w:pPr>
        <w:pBdr>
          <w:bottom w:val="single" w:sz="12" w:space="1" w:color="auto"/>
        </w:pBdr>
        <w:jc w:val="both"/>
        <w:rPr>
          <w:rFonts w:ascii="Arial" w:hAnsi="Arial" w:cs="Arial"/>
        </w:rPr>
      </w:pPr>
      <w:r>
        <w:rPr>
          <w:rFonts w:ascii="Arial" w:hAnsi="Arial" w:cs="Arial"/>
          <w:b/>
        </w:rPr>
        <w:t xml:space="preserve">MATJHABENG LOCAL MUNICIPALITY </w:t>
      </w:r>
      <w:r>
        <w:rPr>
          <w:rFonts w:ascii="Arial" w:hAnsi="Arial" w:cs="Arial"/>
          <w:b/>
        </w:rPr>
        <w:tab/>
      </w:r>
      <w:r>
        <w:rPr>
          <w:rFonts w:ascii="Arial" w:hAnsi="Arial" w:cs="Arial"/>
          <w:b/>
        </w:rPr>
        <w:tab/>
      </w:r>
      <w:r w:rsidR="0081372D">
        <w:rPr>
          <w:rFonts w:ascii="Arial" w:hAnsi="Arial" w:cs="Arial"/>
          <w:b/>
        </w:rPr>
        <w:t xml:space="preserve"> </w:t>
      </w:r>
      <w:r w:rsidR="004E243D">
        <w:rPr>
          <w:rFonts w:ascii="Arial" w:hAnsi="Arial" w:cs="Arial"/>
          <w:b/>
        </w:rPr>
        <w:tab/>
        <w:t xml:space="preserve">         </w:t>
      </w:r>
      <w:r w:rsidR="0046504C">
        <w:rPr>
          <w:rFonts w:ascii="Arial" w:hAnsi="Arial" w:cs="Arial"/>
          <w:b/>
        </w:rPr>
        <w:t xml:space="preserve">         </w:t>
      </w:r>
      <w:r w:rsidR="0046504C">
        <w:rPr>
          <w:rFonts w:ascii="Arial" w:hAnsi="Arial" w:cs="Arial"/>
        </w:rPr>
        <w:t>Respondent</w:t>
      </w:r>
    </w:p>
    <w:p w14:paraId="3A411659" w14:textId="77777777" w:rsidR="004E243D" w:rsidRPr="005D6CBF" w:rsidRDefault="004E243D" w:rsidP="00EF11A8">
      <w:pPr>
        <w:pBdr>
          <w:bottom w:val="single" w:sz="12" w:space="1" w:color="auto"/>
        </w:pBdr>
        <w:jc w:val="both"/>
        <w:rPr>
          <w:rFonts w:ascii="Arial" w:hAnsi="Arial" w:cs="Arial"/>
          <w:b/>
        </w:rPr>
      </w:pPr>
    </w:p>
    <w:p w14:paraId="6E033A28" w14:textId="77777777" w:rsidR="00EF11A8" w:rsidRPr="005D6CBF" w:rsidRDefault="00EF11A8" w:rsidP="00EF11A8">
      <w:pPr>
        <w:contextualSpacing/>
        <w:jc w:val="both"/>
        <w:rPr>
          <w:rFonts w:ascii="Arial" w:hAnsi="Arial" w:cs="Arial"/>
          <w:b/>
          <w:u w:val="single"/>
        </w:rPr>
      </w:pPr>
    </w:p>
    <w:p w14:paraId="0CDB0AF8" w14:textId="77777777" w:rsidR="00D221EC" w:rsidRPr="0081372D" w:rsidRDefault="00EF11A8" w:rsidP="009E06E4">
      <w:pPr>
        <w:pBdr>
          <w:bottom w:val="single" w:sz="12" w:space="1" w:color="auto"/>
        </w:pBdr>
        <w:ind w:left="2880" w:hanging="2880"/>
        <w:contextualSpacing/>
        <w:jc w:val="both"/>
        <w:rPr>
          <w:rFonts w:ascii="Arial" w:hAnsi="Arial" w:cs="Arial"/>
          <w:bCs/>
        </w:rPr>
      </w:pPr>
      <w:r w:rsidRPr="005D6CBF">
        <w:rPr>
          <w:rFonts w:ascii="Arial" w:hAnsi="Arial" w:cs="Arial"/>
          <w:b/>
          <w:u w:val="single"/>
        </w:rPr>
        <w:t>HEARD ON:</w:t>
      </w:r>
      <w:r w:rsidRPr="005D6CBF">
        <w:rPr>
          <w:rFonts w:ascii="Arial" w:hAnsi="Arial" w:cs="Arial"/>
          <w:b/>
        </w:rPr>
        <w:tab/>
      </w:r>
      <w:r w:rsidR="0046504C">
        <w:rPr>
          <w:rFonts w:ascii="Arial" w:hAnsi="Arial" w:cs="Arial"/>
          <w:b/>
        </w:rPr>
        <w:t xml:space="preserve"> </w:t>
      </w:r>
      <w:r w:rsidR="00EF5058">
        <w:rPr>
          <w:rFonts w:ascii="Arial" w:hAnsi="Arial" w:cs="Arial"/>
        </w:rPr>
        <w:t xml:space="preserve">07 </w:t>
      </w:r>
      <w:r w:rsidR="00CD19F3">
        <w:rPr>
          <w:rFonts w:ascii="Arial" w:hAnsi="Arial" w:cs="Arial"/>
        </w:rPr>
        <w:t>NOVEMBER</w:t>
      </w:r>
      <w:r w:rsidR="00EF5058">
        <w:rPr>
          <w:rFonts w:ascii="Arial" w:hAnsi="Arial" w:cs="Arial"/>
        </w:rPr>
        <w:t xml:space="preserve"> </w:t>
      </w:r>
      <w:r w:rsidR="0081372D">
        <w:rPr>
          <w:rFonts w:ascii="Arial" w:hAnsi="Arial" w:cs="Arial"/>
        </w:rPr>
        <w:t>2023</w:t>
      </w:r>
    </w:p>
    <w:p w14:paraId="4A407814" w14:textId="77777777" w:rsidR="00D221EC" w:rsidRDefault="00EF11A8" w:rsidP="009E06E4">
      <w:pPr>
        <w:pBdr>
          <w:bottom w:val="single" w:sz="12" w:space="1" w:color="auto"/>
        </w:pBdr>
        <w:ind w:left="2880" w:hanging="2880"/>
        <w:contextualSpacing/>
        <w:jc w:val="both"/>
        <w:rPr>
          <w:rFonts w:ascii="Arial" w:hAnsi="Arial" w:cs="Arial"/>
        </w:rPr>
      </w:pPr>
      <w:r w:rsidRPr="00F940D0">
        <w:rPr>
          <w:rFonts w:ascii="Arial" w:hAnsi="Arial" w:cs="Arial"/>
        </w:rPr>
        <w:t xml:space="preserve"> </w:t>
      </w:r>
    </w:p>
    <w:p w14:paraId="264B62A5" w14:textId="77777777" w:rsidR="00D221EC" w:rsidRPr="005D6CBF" w:rsidRDefault="00D221EC" w:rsidP="00EF11A8">
      <w:pPr>
        <w:contextualSpacing/>
        <w:jc w:val="both"/>
        <w:rPr>
          <w:rFonts w:ascii="Arial" w:hAnsi="Arial" w:cs="Arial"/>
          <w:b/>
        </w:rPr>
      </w:pPr>
    </w:p>
    <w:p w14:paraId="35142371" w14:textId="77777777" w:rsidR="009E06E4" w:rsidRPr="005D6CBF" w:rsidRDefault="00797293" w:rsidP="009E06E4">
      <w:pPr>
        <w:contextualSpacing/>
        <w:jc w:val="both"/>
        <w:rPr>
          <w:rFonts w:ascii="Arial" w:hAnsi="Arial" w:cs="Arial"/>
          <w:b/>
          <w:u w:val="single"/>
        </w:rPr>
      </w:pPr>
      <w:r>
        <w:rPr>
          <w:rFonts w:ascii="Arial" w:hAnsi="Arial" w:cs="Arial"/>
          <w:b/>
          <w:u w:val="single"/>
        </w:rPr>
        <w:t>JUDGMENT BY</w:t>
      </w:r>
      <w:r w:rsidR="003F410D" w:rsidRPr="005D6CBF">
        <w:rPr>
          <w:rFonts w:ascii="Arial" w:hAnsi="Arial" w:cs="Arial"/>
          <w:b/>
        </w:rPr>
        <w:t xml:space="preserve">:                 </w:t>
      </w:r>
      <w:bookmarkStart w:id="0" w:name="_Hlk111883941"/>
      <w:r w:rsidR="009E06E4" w:rsidRPr="00F940D0">
        <w:rPr>
          <w:rFonts w:ascii="Arial" w:hAnsi="Arial" w:cs="Arial"/>
        </w:rPr>
        <w:t>MHLAMBI, J</w:t>
      </w:r>
      <w:bookmarkEnd w:id="0"/>
      <w:r w:rsidR="009E06E4" w:rsidRPr="00F940D0">
        <w:rPr>
          <w:rFonts w:ascii="Arial" w:hAnsi="Arial" w:cs="Arial"/>
        </w:rPr>
        <w:t xml:space="preserve"> </w:t>
      </w:r>
    </w:p>
    <w:p w14:paraId="60A0752C" w14:textId="77777777" w:rsidR="003F410D" w:rsidRPr="003036C9" w:rsidRDefault="003F410D" w:rsidP="003036C9">
      <w:pPr>
        <w:ind w:right="26"/>
        <w:contextualSpacing/>
        <w:jc w:val="both"/>
        <w:rPr>
          <w:rFonts w:ascii="Arial" w:hAnsi="Arial" w:cs="Arial"/>
          <w:bCs/>
          <w:u w:val="single"/>
        </w:rPr>
      </w:pPr>
      <w:r w:rsidRPr="005D6CBF">
        <w:rPr>
          <w:rFonts w:ascii="Arial" w:hAnsi="Arial" w:cs="Arial"/>
          <w:b/>
          <w:u w:val="single"/>
        </w:rPr>
        <w:t>_________________________________________________________</w:t>
      </w:r>
      <w:r w:rsidR="003036C9">
        <w:rPr>
          <w:rFonts w:ascii="Arial" w:hAnsi="Arial" w:cs="Arial"/>
          <w:b/>
          <w:u w:val="single"/>
        </w:rPr>
        <w:t>__________</w:t>
      </w:r>
    </w:p>
    <w:p w14:paraId="06BC11FF" w14:textId="77777777" w:rsidR="003F410D" w:rsidRPr="005D6CBF" w:rsidRDefault="003F410D" w:rsidP="00EF11A8">
      <w:pPr>
        <w:contextualSpacing/>
        <w:jc w:val="both"/>
        <w:rPr>
          <w:rFonts w:ascii="Arial" w:hAnsi="Arial" w:cs="Arial"/>
          <w:b/>
          <w:u w:val="single"/>
        </w:rPr>
      </w:pPr>
    </w:p>
    <w:p w14:paraId="780B2486" w14:textId="77777777" w:rsidR="007C348D" w:rsidRPr="005D6CBF" w:rsidRDefault="00EF11A8" w:rsidP="00F87E7C">
      <w:pPr>
        <w:tabs>
          <w:tab w:val="left" w:pos="2880"/>
        </w:tabs>
        <w:ind w:left="1985" w:hanging="1985"/>
        <w:contextualSpacing/>
        <w:jc w:val="both"/>
        <w:rPr>
          <w:rFonts w:ascii="Arial" w:hAnsi="Arial" w:cs="Arial"/>
          <w:b/>
          <w:bCs/>
        </w:rPr>
      </w:pPr>
      <w:r w:rsidRPr="005D6CBF">
        <w:rPr>
          <w:rFonts w:ascii="Arial" w:hAnsi="Arial" w:cs="Arial"/>
          <w:b/>
          <w:u w:val="single"/>
        </w:rPr>
        <w:t>DELIVERED ON:</w:t>
      </w:r>
      <w:r w:rsidR="00F87E7C">
        <w:rPr>
          <w:rFonts w:ascii="Arial" w:hAnsi="Arial" w:cs="Arial"/>
          <w:b/>
        </w:rPr>
        <w:t xml:space="preserve">  </w:t>
      </w:r>
      <w:r w:rsidR="00CD19F3">
        <w:rPr>
          <w:rFonts w:ascii="Arial" w:hAnsi="Arial" w:cs="Arial"/>
          <w:b/>
        </w:rPr>
        <w:t xml:space="preserve">              </w:t>
      </w:r>
      <w:r w:rsidR="00CD19F3" w:rsidRPr="006E1673">
        <w:rPr>
          <w:rFonts w:ascii="Arial" w:hAnsi="Arial" w:cs="Arial"/>
        </w:rPr>
        <w:t>16 NOVEMBER 2023</w:t>
      </w:r>
    </w:p>
    <w:p w14:paraId="5E850E0E" w14:textId="77777777" w:rsidR="00891F14" w:rsidRPr="005D6CBF" w:rsidRDefault="00891F14" w:rsidP="00EF11A8">
      <w:pPr>
        <w:pBdr>
          <w:bottom w:val="single" w:sz="12" w:space="1" w:color="auto"/>
        </w:pBdr>
        <w:tabs>
          <w:tab w:val="left" w:pos="2940"/>
        </w:tabs>
        <w:contextualSpacing/>
        <w:jc w:val="both"/>
        <w:rPr>
          <w:rFonts w:ascii="Arial" w:hAnsi="Arial" w:cs="Arial"/>
          <w:b/>
          <w:bCs/>
          <w:u w:val="single"/>
        </w:rPr>
      </w:pPr>
    </w:p>
    <w:p w14:paraId="31792626" w14:textId="77777777" w:rsidR="00EF5058" w:rsidRPr="00EF5058" w:rsidRDefault="002A631E" w:rsidP="00EF5058">
      <w:pPr>
        <w:spacing w:before="240" w:after="240" w:line="360" w:lineRule="auto"/>
        <w:ind w:left="567" w:hanging="567"/>
        <w:jc w:val="both"/>
        <w:rPr>
          <w:rFonts w:ascii="Arial" w:hAnsi="Arial" w:cs="Arial"/>
          <w:iCs/>
        </w:rPr>
      </w:pPr>
      <w:r>
        <w:rPr>
          <w:rFonts w:ascii="Arial" w:hAnsi="Arial" w:cs="Arial"/>
        </w:rPr>
        <w:t>[1]</w:t>
      </w:r>
      <w:r>
        <w:rPr>
          <w:rFonts w:ascii="Arial" w:hAnsi="Arial" w:cs="Arial"/>
        </w:rPr>
        <w:tab/>
      </w:r>
      <w:r w:rsidR="00EF5058">
        <w:rPr>
          <w:rFonts w:ascii="Arial" w:hAnsi="Arial" w:cs="Arial"/>
        </w:rPr>
        <w:t>On 30 March 2023</w:t>
      </w:r>
      <w:r w:rsidR="00CD19F3">
        <w:rPr>
          <w:rFonts w:ascii="Arial" w:hAnsi="Arial" w:cs="Arial"/>
        </w:rPr>
        <w:t>,</w:t>
      </w:r>
      <w:r w:rsidR="00EF5058">
        <w:rPr>
          <w:rFonts w:ascii="Arial" w:hAnsi="Arial" w:cs="Arial"/>
        </w:rPr>
        <w:t xml:space="preserve"> a </w:t>
      </w:r>
      <w:r w:rsidR="00EF5058">
        <w:rPr>
          <w:rFonts w:ascii="Arial" w:hAnsi="Arial" w:cs="Arial"/>
          <w:i/>
        </w:rPr>
        <w:t>rule nisi</w:t>
      </w:r>
      <w:r w:rsidR="00EF5058">
        <w:rPr>
          <w:rFonts w:ascii="Arial" w:hAnsi="Arial" w:cs="Arial"/>
        </w:rPr>
        <w:t xml:space="preserve"> was issued calling upon the respondent to show cause, if any, why the following orders should not be made final:</w:t>
      </w:r>
    </w:p>
    <w:p w14:paraId="0FB94B56" w14:textId="77777777" w:rsidR="00EF5058" w:rsidRPr="003B22A4" w:rsidRDefault="00EF5058" w:rsidP="006E1673">
      <w:pPr>
        <w:spacing w:before="240" w:after="240" w:line="360" w:lineRule="auto"/>
        <w:ind w:left="1134" w:hanging="567"/>
        <w:jc w:val="both"/>
        <w:rPr>
          <w:rFonts w:ascii="Arial" w:hAnsi="Arial" w:cs="Arial"/>
          <w:i/>
          <w:iCs/>
        </w:rPr>
      </w:pPr>
      <w:r w:rsidRPr="003B22A4">
        <w:rPr>
          <w:rFonts w:ascii="Arial" w:hAnsi="Arial" w:cs="Arial"/>
          <w:i/>
          <w:iCs/>
        </w:rPr>
        <w:t>2.1.</w:t>
      </w:r>
      <w:r w:rsidRPr="003B22A4">
        <w:rPr>
          <w:rFonts w:ascii="Arial" w:hAnsi="Arial" w:cs="Arial"/>
          <w:i/>
          <w:iCs/>
        </w:rPr>
        <w:tab/>
        <w:t>That the Respondent be ordered to immediately restore the electricity supply to the Applicant’s immovable property at 26 12</w:t>
      </w:r>
      <w:r w:rsidRPr="003B22A4">
        <w:rPr>
          <w:rFonts w:ascii="Arial" w:hAnsi="Arial" w:cs="Arial"/>
          <w:i/>
          <w:iCs/>
          <w:vertAlign w:val="superscript"/>
        </w:rPr>
        <w:t>th</w:t>
      </w:r>
      <w:r w:rsidRPr="003B22A4">
        <w:rPr>
          <w:rFonts w:ascii="Arial" w:hAnsi="Arial" w:cs="Arial"/>
          <w:i/>
          <w:iCs/>
        </w:rPr>
        <w:t xml:space="preserve"> Street, Industria, Welkom, Free State Province (“the Premises”).</w:t>
      </w:r>
    </w:p>
    <w:p w14:paraId="528BD950" w14:textId="77777777" w:rsidR="00EF5058" w:rsidRPr="003B22A4" w:rsidRDefault="00EF5058" w:rsidP="006E1673">
      <w:pPr>
        <w:spacing w:before="240" w:after="240" w:line="360" w:lineRule="auto"/>
        <w:ind w:left="1134" w:hanging="567"/>
        <w:jc w:val="both"/>
        <w:rPr>
          <w:rFonts w:ascii="Arial" w:hAnsi="Arial" w:cs="Arial"/>
          <w:i/>
          <w:iCs/>
        </w:rPr>
      </w:pPr>
      <w:r w:rsidRPr="003B22A4">
        <w:rPr>
          <w:rFonts w:ascii="Arial" w:hAnsi="Arial" w:cs="Arial"/>
          <w:i/>
          <w:iCs/>
        </w:rPr>
        <w:t>2.2.</w:t>
      </w:r>
      <w:r w:rsidRPr="003B22A4">
        <w:rPr>
          <w:rFonts w:ascii="Arial" w:hAnsi="Arial" w:cs="Arial"/>
          <w:i/>
          <w:iCs/>
        </w:rPr>
        <w:tab/>
        <w:t>That the Sheriff of the High Court, be authorised to take any and all actions necessary to effect the reconnection of electrical supply to the Premises should the Respondent fail to adhere to the terms set out in prayer 2.1. hereof.</w:t>
      </w:r>
    </w:p>
    <w:p w14:paraId="5A1CBF4F" w14:textId="77777777" w:rsidR="00EF5058" w:rsidRPr="003B22A4" w:rsidRDefault="00EF5058" w:rsidP="006E1673">
      <w:pPr>
        <w:spacing w:before="240" w:after="240" w:line="360" w:lineRule="auto"/>
        <w:ind w:left="1134" w:hanging="567"/>
        <w:jc w:val="both"/>
        <w:rPr>
          <w:rFonts w:ascii="Arial" w:hAnsi="Arial" w:cs="Arial"/>
          <w:i/>
          <w:iCs/>
        </w:rPr>
      </w:pPr>
      <w:r w:rsidRPr="003B22A4">
        <w:rPr>
          <w:rFonts w:ascii="Arial" w:hAnsi="Arial" w:cs="Arial"/>
          <w:i/>
          <w:iCs/>
        </w:rPr>
        <w:lastRenderedPageBreak/>
        <w:t>2.3.</w:t>
      </w:r>
      <w:r w:rsidRPr="003B22A4">
        <w:rPr>
          <w:rFonts w:ascii="Arial" w:hAnsi="Arial" w:cs="Arial"/>
          <w:i/>
          <w:iCs/>
        </w:rPr>
        <w:tab/>
        <w:t>That the Respondent be interdicted and restrained from disconnecting the electricity supply to the Premises pending the dispute resolution processes and/or action envisaged in paragraphs 2.4. and 2.5. hereof.</w:t>
      </w:r>
    </w:p>
    <w:p w14:paraId="1BE40D19" w14:textId="77777777" w:rsidR="00EF5058" w:rsidRPr="003B22A4" w:rsidRDefault="00EF5058" w:rsidP="006E1673">
      <w:pPr>
        <w:spacing w:before="240" w:after="240" w:line="360" w:lineRule="auto"/>
        <w:ind w:left="1134" w:hanging="567"/>
        <w:jc w:val="both"/>
        <w:rPr>
          <w:rFonts w:ascii="Arial" w:hAnsi="Arial" w:cs="Arial"/>
          <w:i/>
          <w:iCs/>
        </w:rPr>
      </w:pPr>
      <w:r w:rsidRPr="003B22A4">
        <w:rPr>
          <w:rFonts w:ascii="Arial" w:hAnsi="Arial" w:cs="Arial"/>
          <w:i/>
          <w:iCs/>
        </w:rPr>
        <w:t>2.4.</w:t>
      </w:r>
      <w:r w:rsidRPr="003B22A4">
        <w:rPr>
          <w:rFonts w:ascii="Arial" w:hAnsi="Arial" w:cs="Arial"/>
          <w:i/>
          <w:iCs/>
        </w:rPr>
        <w:tab/>
        <w:t xml:space="preserve">That the Applicant be ordered to lodge a formal dispute against the electricity charges billed on its tax invoice and/or electricity fees bill in respect of such charges issued to it by the Respondent, in terms of Section 11 of the Respondent’s officially adopted Debt and Credit Control Policy, within 30 days from date of confirmation of the aforesaid rule nisi, </w:t>
      </w:r>
      <w:r w:rsidRPr="003B22A4">
        <w:rPr>
          <w:rFonts w:ascii="Arial" w:hAnsi="Arial" w:cs="Arial"/>
          <w:i/>
        </w:rPr>
        <w:t>failing which, the relief granted in paragraph 2.1, 2.2 and 2.3 shall lapse.</w:t>
      </w:r>
      <w:r w:rsidRPr="003B22A4">
        <w:rPr>
          <w:rFonts w:ascii="Arial" w:hAnsi="Arial" w:cs="Arial"/>
          <w:i/>
          <w:iCs/>
        </w:rPr>
        <w:t xml:space="preserve"> </w:t>
      </w:r>
    </w:p>
    <w:p w14:paraId="16D731EE" w14:textId="77777777" w:rsidR="00EF5058" w:rsidRPr="003B22A4" w:rsidRDefault="00EF5058" w:rsidP="006E1673">
      <w:pPr>
        <w:spacing w:before="240" w:after="240" w:line="360" w:lineRule="auto"/>
        <w:ind w:left="1134" w:hanging="567"/>
        <w:jc w:val="both"/>
        <w:rPr>
          <w:rFonts w:ascii="Arial" w:hAnsi="Arial" w:cs="Arial"/>
          <w:i/>
          <w:iCs/>
        </w:rPr>
      </w:pPr>
      <w:r w:rsidRPr="003B22A4">
        <w:rPr>
          <w:rFonts w:ascii="Arial" w:hAnsi="Arial" w:cs="Arial"/>
          <w:i/>
          <w:iCs/>
        </w:rPr>
        <w:t xml:space="preserve">2.5. </w:t>
      </w:r>
      <w:r w:rsidRPr="003B22A4">
        <w:rPr>
          <w:rFonts w:ascii="Arial" w:hAnsi="Arial" w:cs="Arial"/>
          <w:i/>
          <w:iCs/>
        </w:rPr>
        <w:tab/>
        <w:t>Alternatively, to paragraph 2.4, that the Applicant within 30 days, from date of finalisation of this application, be ordered to institute declaratory proceedings against the Respondent relevant to its indebtedness to the Respondent, failing which, the relief granted in paragraphs 2.1, 2.2 and 2.3 shall lapse.</w:t>
      </w:r>
    </w:p>
    <w:p w14:paraId="58A333A1" w14:textId="77777777" w:rsidR="00EF5058" w:rsidRPr="003B22A4" w:rsidRDefault="00EF5058" w:rsidP="006E1673">
      <w:pPr>
        <w:spacing w:before="240" w:after="240" w:line="360" w:lineRule="auto"/>
        <w:ind w:left="1134" w:hanging="567"/>
        <w:jc w:val="both"/>
        <w:rPr>
          <w:rFonts w:ascii="Arial" w:hAnsi="Arial" w:cs="Arial"/>
          <w:i/>
        </w:rPr>
      </w:pPr>
      <w:r w:rsidRPr="003B22A4">
        <w:rPr>
          <w:rFonts w:ascii="Arial" w:hAnsi="Arial" w:cs="Arial"/>
          <w:i/>
          <w:iCs/>
        </w:rPr>
        <w:t>2.6.</w:t>
      </w:r>
      <w:r w:rsidRPr="003B22A4">
        <w:rPr>
          <w:rFonts w:ascii="Arial" w:hAnsi="Arial" w:cs="Arial"/>
          <w:i/>
          <w:iCs/>
        </w:rPr>
        <w:tab/>
        <w:t>That the Respondent should be ordered to pay the costs of this application.</w:t>
      </w:r>
    </w:p>
    <w:p w14:paraId="08007BDC" w14:textId="77777777" w:rsidR="00EF5058" w:rsidRDefault="00EF5058" w:rsidP="006E1673">
      <w:pPr>
        <w:spacing w:before="240" w:after="240" w:line="360" w:lineRule="auto"/>
        <w:ind w:left="1134" w:hanging="567"/>
        <w:jc w:val="both"/>
        <w:rPr>
          <w:rFonts w:ascii="Arial" w:hAnsi="Arial" w:cs="Arial"/>
        </w:rPr>
      </w:pPr>
      <w:r w:rsidRPr="003B22A4">
        <w:rPr>
          <w:rFonts w:ascii="Arial" w:hAnsi="Arial" w:cs="Arial"/>
          <w:i/>
        </w:rPr>
        <w:t>3.</w:t>
      </w:r>
      <w:r w:rsidRPr="003B22A4">
        <w:rPr>
          <w:rFonts w:ascii="Arial" w:hAnsi="Arial" w:cs="Arial"/>
          <w:i/>
        </w:rPr>
        <w:tab/>
        <w:t>The orders in paragraphs 2.1 to 2.3.</w:t>
      </w:r>
      <w:r w:rsidRPr="003B22A4">
        <w:rPr>
          <w:rFonts w:ascii="Arial" w:hAnsi="Arial" w:cs="Arial"/>
          <w:i/>
          <w:iCs/>
        </w:rPr>
        <w:t xml:space="preserve"> supra</w:t>
      </w:r>
      <w:r w:rsidRPr="003B22A4">
        <w:rPr>
          <w:rFonts w:ascii="Arial" w:hAnsi="Arial" w:cs="Arial"/>
          <w:i/>
        </w:rPr>
        <w:t xml:space="preserve"> shall serve as interim interdict with immediate effect pending the aforesaid return date</w:t>
      </w:r>
      <w:r w:rsidRPr="00EF5058">
        <w:rPr>
          <w:rFonts w:ascii="Arial" w:hAnsi="Arial" w:cs="Arial"/>
        </w:rPr>
        <w:t>.</w:t>
      </w:r>
      <w:r w:rsidR="003B22A4">
        <w:rPr>
          <w:rFonts w:ascii="Arial" w:hAnsi="Arial" w:cs="Arial"/>
        </w:rPr>
        <w:t>”</w:t>
      </w:r>
    </w:p>
    <w:p w14:paraId="159C6EA2" w14:textId="77777777" w:rsidR="003B6922" w:rsidRDefault="003B6922" w:rsidP="003B6922">
      <w:pPr>
        <w:tabs>
          <w:tab w:val="left" w:pos="1134"/>
        </w:tabs>
        <w:spacing w:before="240" w:after="240" w:line="360" w:lineRule="auto"/>
        <w:ind w:left="567" w:hanging="567"/>
        <w:jc w:val="both"/>
        <w:rPr>
          <w:rFonts w:ascii="Arial" w:hAnsi="Arial" w:cs="Arial"/>
        </w:rPr>
      </w:pPr>
      <w:r>
        <w:rPr>
          <w:rFonts w:ascii="Arial" w:hAnsi="Arial" w:cs="Arial"/>
        </w:rPr>
        <w:t>[2]</w:t>
      </w:r>
      <w:r>
        <w:rPr>
          <w:rFonts w:ascii="Arial" w:hAnsi="Arial" w:cs="Arial"/>
        </w:rPr>
        <w:tab/>
        <w:t>The application was opposed by the respondent on the basis that the applicant was the registered owner of the property situated at 26 12</w:t>
      </w:r>
      <w:r w:rsidRPr="003B6922">
        <w:rPr>
          <w:rFonts w:ascii="Arial" w:hAnsi="Arial" w:cs="Arial"/>
          <w:vertAlign w:val="superscript"/>
        </w:rPr>
        <w:t>th</w:t>
      </w:r>
      <w:r>
        <w:rPr>
          <w:rFonts w:ascii="Arial" w:hAnsi="Arial" w:cs="Arial"/>
        </w:rPr>
        <w:t xml:space="preserve"> </w:t>
      </w:r>
      <w:r w:rsidR="00CD19F3">
        <w:rPr>
          <w:rFonts w:ascii="Arial" w:hAnsi="Arial" w:cs="Arial"/>
        </w:rPr>
        <w:t>Street</w:t>
      </w:r>
      <w:r>
        <w:rPr>
          <w:rFonts w:ascii="Arial" w:hAnsi="Arial" w:cs="Arial"/>
        </w:rPr>
        <w:t xml:space="preserve">, Welkom, </w:t>
      </w:r>
      <w:r w:rsidR="002D31EA">
        <w:rPr>
          <w:rFonts w:ascii="Arial" w:hAnsi="Arial" w:cs="Arial"/>
        </w:rPr>
        <w:t>also known as erf 9040, Welkom E</w:t>
      </w:r>
      <w:r>
        <w:rPr>
          <w:rFonts w:ascii="Arial" w:hAnsi="Arial" w:cs="Arial"/>
        </w:rPr>
        <w:t xml:space="preserve">xtension 24 which was bought from the </w:t>
      </w:r>
      <w:r w:rsidR="002D31EA">
        <w:rPr>
          <w:rFonts w:ascii="Arial" w:hAnsi="Arial" w:cs="Arial"/>
        </w:rPr>
        <w:t>previous owner on 31 October 200</w:t>
      </w:r>
      <w:r>
        <w:rPr>
          <w:rFonts w:ascii="Arial" w:hAnsi="Arial" w:cs="Arial"/>
        </w:rPr>
        <w:t xml:space="preserve">1 and transferred to the applicant on 24 May 2005 under title deed number: T15412/2005. The previous owner was a company known as </w:t>
      </w:r>
      <w:proofErr w:type="spellStart"/>
      <w:r w:rsidR="006E1673">
        <w:rPr>
          <w:rFonts w:ascii="Arial" w:hAnsi="Arial" w:cs="Arial"/>
        </w:rPr>
        <w:t>Bluedust</w:t>
      </w:r>
      <w:proofErr w:type="spellEnd"/>
      <w:r>
        <w:rPr>
          <w:rFonts w:ascii="Arial" w:hAnsi="Arial" w:cs="Arial"/>
        </w:rPr>
        <w:t xml:space="preserve"> (Pty) Ltd which made </w:t>
      </w:r>
      <w:r w:rsidR="00CD19F3">
        <w:rPr>
          <w:rFonts w:ascii="Arial" w:hAnsi="Arial" w:cs="Arial"/>
        </w:rPr>
        <w:t>an application to the respondent</w:t>
      </w:r>
      <w:r>
        <w:rPr>
          <w:rFonts w:ascii="Arial" w:hAnsi="Arial" w:cs="Arial"/>
        </w:rPr>
        <w:t xml:space="preserve"> for </w:t>
      </w:r>
      <w:r w:rsidR="002D31EA">
        <w:rPr>
          <w:rFonts w:ascii="Arial" w:hAnsi="Arial" w:cs="Arial"/>
        </w:rPr>
        <w:t>the supply of electricity</w:t>
      </w:r>
      <w:r>
        <w:rPr>
          <w:rFonts w:ascii="Arial" w:hAnsi="Arial" w:cs="Arial"/>
        </w:rPr>
        <w:t xml:space="preserve"> to the property. The respondent </w:t>
      </w:r>
      <w:r w:rsidR="00CD19F3">
        <w:rPr>
          <w:rFonts w:ascii="Arial" w:hAnsi="Arial" w:cs="Arial"/>
        </w:rPr>
        <w:t>complied</w:t>
      </w:r>
      <w:r>
        <w:rPr>
          <w:rFonts w:ascii="Arial" w:hAnsi="Arial" w:cs="Arial"/>
        </w:rPr>
        <w:t xml:space="preserve"> and </w:t>
      </w:r>
      <w:proofErr w:type="spellStart"/>
      <w:r w:rsidR="006E1673">
        <w:rPr>
          <w:rFonts w:ascii="Arial" w:hAnsi="Arial" w:cs="Arial"/>
        </w:rPr>
        <w:t>Bluedust</w:t>
      </w:r>
      <w:proofErr w:type="spellEnd"/>
      <w:r w:rsidR="00CD19F3">
        <w:rPr>
          <w:rFonts w:ascii="Arial" w:hAnsi="Arial" w:cs="Arial"/>
        </w:rPr>
        <w:t xml:space="preserve"> (Pty) Ltd paid for the electrical supply</w:t>
      </w:r>
      <w:r>
        <w:rPr>
          <w:rFonts w:ascii="Arial" w:hAnsi="Arial" w:cs="Arial"/>
        </w:rPr>
        <w:t xml:space="preserve"> und</w:t>
      </w:r>
      <w:r w:rsidR="00CD19F3">
        <w:rPr>
          <w:rFonts w:ascii="Arial" w:hAnsi="Arial" w:cs="Arial"/>
        </w:rPr>
        <w:t>er the</w:t>
      </w:r>
      <w:r>
        <w:rPr>
          <w:rFonts w:ascii="Arial" w:hAnsi="Arial" w:cs="Arial"/>
        </w:rPr>
        <w:t xml:space="preserve"> municipal account number 12108014. The applicant, subsequent to the transfer of the property into its own name, failed t</w:t>
      </w:r>
      <w:r w:rsidR="00CD19F3">
        <w:rPr>
          <w:rFonts w:ascii="Arial" w:hAnsi="Arial" w:cs="Arial"/>
        </w:rPr>
        <w:t>o transfer and/or make an application</w:t>
      </w:r>
      <w:r>
        <w:rPr>
          <w:rFonts w:ascii="Arial" w:hAnsi="Arial" w:cs="Arial"/>
        </w:rPr>
        <w:t xml:space="preserve"> for the electricity </w:t>
      </w:r>
      <w:r w:rsidR="00CD19F3">
        <w:rPr>
          <w:rFonts w:ascii="Arial" w:hAnsi="Arial" w:cs="Arial"/>
        </w:rPr>
        <w:t>meter</w:t>
      </w:r>
      <w:r>
        <w:rPr>
          <w:rFonts w:ascii="Arial" w:hAnsi="Arial" w:cs="Arial"/>
        </w:rPr>
        <w:t xml:space="preserve"> to be registered into its own name. The electricity </w:t>
      </w:r>
      <w:r w:rsidR="00CD19F3">
        <w:rPr>
          <w:rFonts w:ascii="Arial" w:hAnsi="Arial" w:cs="Arial"/>
        </w:rPr>
        <w:t>meter</w:t>
      </w:r>
      <w:r>
        <w:rPr>
          <w:rFonts w:ascii="Arial" w:hAnsi="Arial" w:cs="Arial"/>
        </w:rPr>
        <w:t xml:space="preserve"> (EL A18132336) remained in the name of </w:t>
      </w:r>
      <w:proofErr w:type="spellStart"/>
      <w:r>
        <w:rPr>
          <w:rFonts w:ascii="Arial" w:hAnsi="Arial" w:cs="Arial"/>
        </w:rPr>
        <w:t>Blue</w:t>
      </w:r>
      <w:r w:rsidR="006E1673">
        <w:rPr>
          <w:rFonts w:ascii="Arial" w:hAnsi="Arial" w:cs="Arial"/>
        </w:rPr>
        <w:t>d</w:t>
      </w:r>
      <w:r w:rsidR="00CD19F3">
        <w:rPr>
          <w:rFonts w:ascii="Arial" w:hAnsi="Arial" w:cs="Arial"/>
        </w:rPr>
        <w:t>ust</w:t>
      </w:r>
      <w:proofErr w:type="spellEnd"/>
      <w:r w:rsidR="00CD19F3">
        <w:rPr>
          <w:rFonts w:ascii="Arial" w:hAnsi="Arial" w:cs="Arial"/>
        </w:rPr>
        <w:t xml:space="preserve"> (Pty) Ltd to whose property</w:t>
      </w:r>
      <w:r>
        <w:rPr>
          <w:rFonts w:ascii="Arial" w:hAnsi="Arial" w:cs="Arial"/>
        </w:rPr>
        <w:t xml:space="preserve"> the municipality continued to su</w:t>
      </w:r>
      <w:r w:rsidR="006F4BE7">
        <w:rPr>
          <w:rFonts w:ascii="Arial" w:hAnsi="Arial" w:cs="Arial"/>
        </w:rPr>
        <w:t>pply electricity</w:t>
      </w:r>
      <w:r>
        <w:rPr>
          <w:rFonts w:ascii="Arial" w:hAnsi="Arial" w:cs="Arial"/>
        </w:rPr>
        <w:t xml:space="preserve"> through a </w:t>
      </w:r>
      <w:r w:rsidR="006F4BE7">
        <w:rPr>
          <w:rFonts w:ascii="Arial" w:hAnsi="Arial" w:cs="Arial"/>
        </w:rPr>
        <w:t>metering</w:t>
      </w:r>
      <w:r>
        <w:rPr>
          <w:rFonts w:ascii="Arial" w:hAnsi="Arial" w:cs="Arial"/>
        </w:rPr>
        <w:t xml:space="preserve"> system for the actual consumption of electricity. </w:t>
      </w:r>
    </w:p>
    <w:p w14:paraId="2D4CE9CF" w14:textId="77777777" w:rsidR="00F05BCA" w:rsidRDefault="002E2905" w:rsidP="003B6922">
      <w:pPr>
        <w:tabs>
          <w:tab w:val="left" w:pos="1134"/>
        </w:tabs>
        <w:spacing w:before="240" w:after="240" w:line="360" w:lineRule="auto"/>
        <w:ind w:left="567" w:hanging="567"/>
        <w:jc w:val="both"/>
        <w:rPr>
          <w:rFonts w:ascii="Arial" w:hAnsi="Arial" w:cs="Arial"/>
        </w:rPr>
      </w:pPr>
      <w:r>
        <w:rPr>
          <w:rFonts w:ascii="Arial" w:hAnsi="Arial" w:cs="Arial"/>
        </w:rPr>
        <w:lastRenderedPageBreak/>
        <w:t>[3]</w:t>
      </w:r>
      <w:r>
        <w:rPr>
          <w:rFonts w:ascii="Arial" w:hAnsi="Arial" w:cs="Arial"/>
        </w:rPr>
        <w:tab/>
        <w:t>On 30 December 2022, the respondent delivered and/or served a notice for the disconnection of the electricity supply to the</w:t>
      </w:r>
      <w:r w:rsidR="00B847F0">
        <w:rPr>
          <w:rFonts w:ascii="Arial" w:hAnsi="Arial" w:cs="Arial"/>
        </w:rPr>
        <w:t xml:space="preserve"> premises due to non-payment.</w:t>
      </w:r>
      <w:r w:rsidR="003B6922">
        <w:rPr>
          <w:rFonts w:ascii="Arial" w:hAnsi="Arial" w:cs="Arial"/>
        </w:rPr>
        <w:t xml:space="preserve"> </w:t>
      </w:r>
      <w:r w:rsidR="00B847F0">
        <w:rPr>
          <w:rFonts w:ascii="Arial" w:hAnsi="Arial" w:cs="Arial"/>
        </w:rPr>
        <w:t>T</w:t>
      </w:r>
      <w:r w:rsidR="00F05BCA">
        <w:rPr>
          <w:rFonts w:ascii="Arial" w:hAnsi="Arial" w:cs="Arial"/>
        </w:rPr>
        <w:t>he</w:t>
      </w:r>
      <w:r w:rsidR="00B847F0">
        <w:rPr>
          <w:rFonts w:ascii="Arial" w:hAnsi="Arial" w:cs="Arial"/>
        </w:rPr>
        <w:t xml:space="preserve"> notice stated that the</w:t>
      </w:r>
      <w:r w:rsidR="00F05BCA">
        <w:rPr>
          <w:rFonts w:ascii="Arial" w:hAnsi="Arial" w:cs="Arial"/>
        </w:rPr>
        <w:t xml:space="preserve"> electricity would be disconnected on 13 January 2023 if the amount </w:t>
      </w:r>
      <w:r w:rsidR="00B847F0">
        <w:rPr>
          <w:rFonts w:ascii="Arial" w:hAnsi="Arial" w:cs="Arial"/>
        </w:rPr>
        <w:t>of R 202 885.60 was not paid on/</w:t>
      </w:r>
      <w:r w:rsidR="00F05BCA">
        <w:rPr>
          <w:rFonts w:ascii="Arial" w:hAnsi="Arial" w:cs="Arial"/>
        </w:rPr>
        <w:t xml:space="preserve">or before 12 January 2023, </w:t>
      </w:r>
    </w:p>
    <w:p w14:paraId="7AB28370" w14:textId="77777777" w:rsidR="006A22A9" w:rsidRDefault="00F05BCA" w:rsidP="003B6922">
      <w:pPr>
        <w:tabs>
          <w:tab w:val="left" w:pos="1134"/>
        </w:tabs>
        <w:spacing w:before="240" w:after="240" w:line="360" w:lineRule="auto"/>
        <w:ind w:left="567" w:hanging="567"/>
        <w:jc w:val="both"/>
        <w:rPr>
          <w:rFonts w:ascii="Arial" w:hAnsi="Arial" w:cs="Arial"/>
        </w:rPr>
      </w:pPr>
      <w:r>
        <w:rPr>
          <w:rFonts w:ascii="Arial" w:hAnsi="Arial" w:cs="Arial"/>
        </w:rPr>
        <w:t>[4]</w:t>
      </w:r>
      <w:r>
        <w:rPr>
          <w:rFonts w:ascii="Arial" w:hAnsi="Arial" w:cs="Arial"/>
        </w:rPr>
        <w:tab/>
        <w:t>The applicant, in reply to the respondent’s opposition, admitted that it failed to register the electri</w:t>
      </w:r>
      <w:r w:rsidR="001B4208">
        <w:rPr>
          <w:rFonts w:ascii="Arial" w:hAnsi="Arial" w:cs="Arial"/>
        </w:rPr>
        <w:t>city met</w:t>
      </w:r>
      <w:r>
        <w:rPr>
          <w:rFonts w:ascii="Arial" w:hAnsi="Arial" w:cs="Arial"/>
        </w:rPr>
        <w:t>e</w:t>
      </w:r>
      <w:r w:rsidR="001B4208">
        <w:rPr>
          <w:rFonts w:ascii="Arial" w:hAnsi="Arial" w:cs="Arial"/>
        </w:rPr>
        <w:t>r</w:t>
      </w:r>
      <w:r>
        <w:rPr>
          <w:rFonts w:ascii="Arial" w:hAnsi="Arial" w:cs="Arial"/>
        </w:rPr>
        <w:t xml:space="preserve"> into its own name</w:t>
      </w:r>
      <w:r w:rsidR="001B4208">
        <w:rPr>
          <w:rFonts w:ascii="Arial" w:hAnsi="Arial" w:cs="Arial"/>
        </w:rPr>
        <w:t xml:space="preserve"> and contended that</w:t>
      </w:r>
      <w:r>
        <w:rPr>
          <w:rFonts w:ascii="Arial" w:hAnsi="Arial" w:cs="Arial"/>
        </w:rPr>
        <w:t xml:space="preserve"> the respondent failed to mention</w:t>
      </w:r>
      <w:r w:rsidR="001B4208">
        <w:rPr>
          <w:rFonts w:ascii="Arial" w:hAnsi="Arial" w:cs="Arial"/>
        </w:rPr>
        <w:t xml:space="preserve"> in </w:t>
      </w:r>
      <w:r w:rsidR="006A22A9">
        <w:rPr>
          <w:rFonts w:ascii="Arial" w:hAnsi="Arial" w:cs="Arial"/>
        </w:rPr>
        <w:t xml:space="preserve">its </w:t>
      </w:r>
      <w:r w:rsidR="001B4208">
        <w:rPr>
          <w:rFonts w:ascii="Arial" w:hAnsi="Arial" w:cs="Arial"/>
        </w:rPr>
        <w:t>founding</w:t>
      </w:r>
      <w:r>
        <w:rPr>
          <w:rFonts w:ascii="Arial" w:hAnsi="Arial" w:cs="Arial"/>
        </w:rPr>
        <w:t xml:space="preserve"> </w:t>
      </w:r>
      <w:r w:rsidR="006A22A9">
        <w:rPr>
          <w:rFonts w:ascii="Arial" w:hAnsi="Arial" w:cs="Arial"/>
        </w:rPr>
        <w:t xml:space="preserve">affidavit </w:t>
      </w:r>
      <w:r w:rsidR="000E681F">
        <w:rPr>
          <w:rFonts w:ascii="Arial" w:hAnsi="Arial" w:cs="Arial"/>
        </w:rPr>
        <w:t>that the applicant had on numerous occasion</w:t>
      </w:r>
      <w:r w:rsidR="001B4208">
        <w:rPr>
          <w:rFonts w:ascii="Arial" w:hAnsi="Arial" w:cs="Arial"/>
        </w:rPr>
        <w:t>s attempted to register the met</w:t>
      </w:r>
      <w:r w:rsidR="000E681F">
        <w:rPr>
          <w:rFonts w:ascii="Arial" w:hAnsi="Arial" w:cs="Arial"/>
        </w:rPr>
        <w:t>e</w:t>
      </w:r>
      <w:r w:rsidR="001B4208">
        <w:rPr>
          <w:rFonts w:ascii="Arial" w:hAnsi="Arial" w:cs="Arial"/>
        </w:rPr>
        <w:t>r</w:t>
      </w:r>
      <w:r w:rsidR="000E681F">
        <w:rPr>
          <w:rFonts w:ascii="Arial" w:hAnsi="Arial" w:cs="Arial"/>
        </w:rPr>
        <w:t xml:space="preserve"> in its own name</w:t>
      </w:r>
      <w:r w:rsidR="001B4208">
        <w:rPr>
          <w:rFonts w:ascii="Arial" w:hAnsi="Arial" w:cs="Arial"/>
        </w:rPr>
        <w:t xml:space="preserve">. According to the applicant, </w:t>
      </w:r>
      <w:r w:rsidR="000E681F">
        <w:rPr>
          <w:rFonts w:ascii="Arial" w:hAnsi="Arial" w:cs="Arial"/>
        </w:rPr>
        <w:t xml:space="preserve">the respondent refused to assist </w:t>
      </w:r>
      <w:r w:rsidR="001B4208">
        <w:rPr>
          <w:rFonts w:ascii="Arial" w:hAnsi="Arial" w:cs="Arial"/>
        </w:rPr>
        <w:t xml:space="preserve">with </w:t>
      </w:r>
      <w:r w:rsidR="000E681F">
        <w:rPr>
          <w:rFonts w:ascii="Arial" w:hAnsi="Arial" w:cs="Arial"/>
        </w:rPr>
        <w:t xml:space="preserve">the </w:t>
      </w:r>
      <w:r w:rsidR="001B4208">
        <w:rPr>
          <w:rFonts w:ascii="Arial" w:hAnsi="Arial" w:cs="Arial"/>
        </w:rPr>
        <w:t>registration until</w:t>
      </w:r>
      <w:r w:rsidR="000E681F">
        <w:rPr>
          <w:rFonts w:ascii="Arial" w:hAnsi="Arial" w:cs="Arial"/>
        </w:rPr>
        <w:t xml:space="preserve"> such time that the a</w:t>
      </w:r>
      <w:r w:rsidR="001B4208">
        <w:rPr>
          <w:rFonts w:ascii="Arial" w:hAnsi="Arial" w:cs="Arial"/>
        </w:rPr>
        <w:t>pplicant had settled</w:t>
      </w:r>
      <w:r w:rsidR="000E681F">
        <w:rPr>
          <w:rFonts w:ascii="Arial" w:hAnsi="Arial" w:cs="Arial"/>
        </w:rPr>
        <w:t xml:space="preserve"> </w:t>
      </w:r>
      <w:proofErr w:type="spellStart"/>
      <w:r w:rsidR="006E1673">
        <w:rPr>
          <w:rFonts w:ascii="Arial" w:hAnsi="Arial" w:cs="Arial"/>
        </w:rPr>
        <w:t>Bluedust</w:t>
      </w:r>
      <w:proofErr w:type="spellEnd"/>
      <w:r w:rsidR="000E681F">
        <w:rPr>
          <w:rFonts w:ascii="Arial" w:hAnsi="Arial" w:cs="Arial"/>
        </w:rPr>
        <w:t xml:space="preserve"> (Pty) </w:t>
      </w:r>
      <w:proofErr w:type="spellStart"/>
      <w:r w:rsidR="001B4208">
        <w:rPr>
          <w:rFonts w:ascii="Arial" w:hAnsi="Arial" w:cs="Arial"/>
        </w:rPr>
        <w:t>Ltd’s</w:t>
      </w:r>
      <w:proofErr w:type="spellEnd"/>
      <w:r w:rsidR="001B4208">
        <w:rPr>
          <w:rFonts w:ascii="Arial" w:hAnsi="Arial" w:cs="Arial"/>
        </w:rPr>
        <w:t xml:space="preserve"> arrear electricity account</w:t>
      </w:r>
      <w:r w:rsidR="000E681F">
        <w:rPr>
          <w:rFonts w:ascii="Arial" w:hAnsi="Arial" w:cs="Arial"/>
        </w:rPr>
        <w:t>.</w:t>
      </w:r>
      <w:r w:rsidR="00A24A88">
        <w:rPr>
          <w:rFonts w:ascii="Arial" w:hAnsi="Arial" w:cs="Arial"/>
        </w:rPr>
        <w:t xml:space="preserve"> By so doing, the respondent was holding the applicant liable for another company’s debt.</w:t>
      </w:r>
      <w:r w:rsidR="000E681F">
        <w:rPr>
          <w:rFonts w:ascii="Arial" w:hAnsi="Arial" w:cs="Arial"/>
        </w:rPr>
        <w:t xml:space="preserve"> </w:t>
      </w:r>
    </w:p>
    <w:p w14:paraId="2D694657" w14:textId="77777777" w:rsidR="00491E65" w:rsidRDefault="0092232E" w:rsidP="003B6922">
      <w:pPr>
        <w:tabs>
          <w:tab w:val="left" w:pos="1134"/>
        </w:tabs>
        <w:spacing w:before="240" w:after="240" w:line="360" w:lineRule="auto"/>
        <w:ind w:left="567" w:hanging="567"/>
        <w:jc w:val="both"/>
        <w:rPr>
          <w:rFonts w:ascii="Arial" w:hAnsi="Arial" w:cs="Arial"/>
        </w:rPr>
      </w:pPr>
      <w:r>
        <w:rPr>
          <w:rFonts w:ascii="Arial" w:hAnsi="Arial" w:cs="Arial"/>
        </w:rPr>
        <w:t>[5]</w:t>
      </w:r>
      <w:r w:rsidR="00536F23">
        <w:rPr>
          <w:rFonts w:ascii="Arial" w:hAnsi="Arial" w:cs="Arial"/>
        </w:rPr>
        <w:tab/>
        <w:t>The</w:t>
      </w:r>
      <w:r w:rsidR="00D73923">
        <w:rPr>
          <w:rFonts w:ascii="Arial" w:hAnsi="Arial" w:cs="Arial"/>
        </w:rPr>
        <w:t xml:space="preserve"> applicant contended that the respondent could not use the</w:t>
      </w:r>
      <w:r w:rsidR="00536F23">
        <w:rPr>
          <w:rFonts w:ascii="Arial" w:hAnsi="Arial" w:cs="Arial"/>
        </w:rPr>
        <w:t xml:space="preserve"> notice of disconnection</w:t>
      </w:r>
      <w:r w:rsidR="00536F23">
        <w:rPr>
          <w:rStyle w:val="FootnoteReference"/>
          <w:rFonts w:ascii="Arial" w:hAnsi="Arial" w:cs="Arial"/>
        </w:rPr>
        <w:footnoteReference w:id="2"/>
      </w:r>
      <w:r w:rsidR="00536F23">
        <w:rPr>
          <w:rFonts w:ascii="Arial" w:hAnsi="Arial" w:cs="Arial"/>
        </w:rPr>
        <w:t xml:space="preserve"> </w:t>
      </w:r>
      <w:r w:rsidR="00D73923">
        <w:rPr>
          <w:rFonts w:ascii="Arial" w:hAnsi="Arial" w:cs="Arial"/>
        </w:rPr>
        <w:t>dated 30 December 2022  as a basis for the electric</w:t>
      </w:r>
      <w:r w:rsidR="00491E65">
        <w:rPr>
          <w:rFonts w:ascii="Arial" w:hAnsi="Arial" w:cs="Arial"/>
        </w:rPr>
        <w:t xml:space="preserve">ity disconnection which took place on 13 February 2023. The notice </w:t>
      </w:r>
      <w:r w:rsidR="00536F23">
        <w:rPr>
          <w:rFonts w:ascii="Arial" w:hAnsi="Arial" w:cs="Arial"/>
        </w:rPr>
        <w:t xml:space="preserve">was defective and invalid </w:t>
      </w:r>
      <w:r w:rsidR="00491E65">
        <w:rPr>
          <w:rFonts w:ascii="Arial" w:hAnsi="Arial" w:cs="Arial"/>
        </w:rPr>
        <w:t>in the following respects:</w:t>
      </w:r>
    </w:p>
    <w:p w14:paraId="3ABC4BC0" w14:textId="77777777" w:rsidR="00491E65" w:rsidRDefault="00491E65" w:rsidP="006E1673">
      <w:pPr>
        <w:tabs>
          <w:tab w:val="left" w:pos="1134"/>
        </w:tabs>
        <w:spacing w:before="240" w:after="240" w:line="360" w:lineRule="auto"/>
        <w:ind w:left="993" w:hanging="426"/>
        <w:jc w:val="both"/>
        <w:rPr>
          <w:rFonts w:ascii="Arial" w:hAnsi="Arial" w:cs="Arial"/>
        </w:rPr>
      </w:pPr>
      <w:r>
        <w:rPr>
          <w:rFonts w:ascii="Arial" w:hAnsi="Arial" w:cs="Arial"/>
        </w:rPr>
        <w:t xml:space="preserve">5.1 </w:t>
      </w:r>
      <w:r w:rsidR="006E1673">
        <w:rPr>
          <w:rFonts w:ascii="Arial" w:hAnsi="Arial" w:cs="Arial"/>
        </w:rPr>
        <w:tab/>
      </w:r>
      <w:r>
        <w:rPr>
          <w:rFonts w:ascii="Arial" w:hAnsi="Arial" w:cs="Arial"/>
        </w:rPr>
        <w:t>It was not addressed</w:t>
      </w:r>
      <w:r w:rsidR="00536F23">
        <w:rPr>
          <w:rFonts w:ascii="Arial" w:hAnsi="Arial" w:cs="Arial"/>
        </w:rPr>
        <w:t xml:space="preserve"> to the applicant </w:t>
      </w:r>
      <w:r>
        <w:rPr>
          <w:rFonts w:ascii="Arial" w:hAnsi="Arial" w:cs="Arial"/>
        </w:rPr>
        <w:t xml:space="preserve">but to </w:t>
      </w:r>
      <w:proofErr w:type="spellStart"/>
      <w:r w:rsidR="006E1673">
        <w:rPr>
          <w:rFonts w:ascii="Arial" w:hAnsi="Arial" w:cs="Arial"/>
        </w:rPr>
        <w:t>Bluedust</w:t>
      </w:r>
      <w:proofErr w:type="spellEnd"/>
      <w:r w:rsidR="00536F23">
        <w:rPr>
          <w:rFonts w:ascii="Arial" w:hAnsi="Arial" w:cs="Arial"/>
        </w:rPr>
        <w:t xml:space="preserve"> (Pty) Ltd</w:t>
      </w:r>
      <w:r>
        <w:rPr>
          <w:rFonts w:ascii="Arial" w:hAnsi="Arial" w:cs="Arial"/>
        </w:rPr>
        <w:t>;</w:t>
      </w:r>
    </w:p>
    <w:p w14:paraId="64B2DDEA" w14:textId="77777777" w:rsidR="00491E65" w:rsidRDefault="00491E65" w:rsidP="006E1673">
      <w:pPr>
        <w:tabs>
          <w:tab w:val="left" w:pos="1134"/>
        </w:tabs>
        <w:spacing w:before="240" w:after="240" w:line="360" w:lineRule="auto"/>
        <w:ind w:left="993" w:hanging="426"/>
        <w:jc w:val="both"/>
        <w:rPr>
          <w:rFonts w:ascii="Arial" w:hAnsi="Arial" w:cs="Arial"/>
        </w:rPr>
      </w:pPr>
      <w:r>
        <w:rPr>
          <w:rFonts w:ascii="Arial" w:hAnsi="Arial" w:cs="Arial"/>
        </w:rPr>
        <w:t xml:space="preserve">5.2 </w:t>
      </w:r>
      <w:r w:rsidR="006E1673">
        <w:rPr>
          <w:rFonts w:ascii="Arial" w:hAnsi="Arial" w:cs="Arial"/>
        </w:rPr>
        <w:tab/>
      </w:r>
      <w:r>
        <w:rPr>
          <w:rFonts w:ascii="Arial" w:hAnsi="Arial" w:cs="Arial"/>
        </w:rPr>
        <w:t xml:space="preserve">It notified </w:t>
      </w:r>
      <w:proofErr w:type="spellStart"/>
      <w:r w:rsidR="006E1673">
        <w:rPr>
          <w:rFonts w:ascii="Arial" w:hAnsi="Arial" w:cs="Arial"/>
        </w:rPr>
        <w:t>Bluedust</w:t>
      </w:r>
      <w:proofErr w:type="spellEnd"/>
      <w:r>
        <w:rPr>
          <w:rFonts w:ascii="Arial" w:hAnsi="Arial" w:cs="Arial"/>
        </w:rPr>
        <w:t xml:space="preserve"> (Pty) Ltd</w:t>
      </w:r>
      <w:r w:rsidR="00536F23">
        <w:rPr>
          <w:rFonts w:ascii="Arial" w:hAnsi="Arial" w:cs="Arial"/>
        </w:rPr>
        <w:t xml:space="preserve"> that the electricity/water supply to the premises would be </w:t>
      </w:r>
      <w:r>
        <w:rPr>
          <w:rFonts w:ascii="Arial" w:hAnsi="Arial" w:cs="Arial"/>
        </w:rPr>
        <w:t>disconnected/reduced if it failed</w:t>
      </w:r>
      <w:r w:rsidR="00536F23">
        <w:rPr>
          <w:rFonts w:ascii="Arial" w:hAnsi="Arial" w:cs="Arial"/>
        </w:rPr>
        <w:t xml:space="preserve"> to pay the amount of R 202 885.60 before or on </w:t>
      </w:r>
      <w:r w:rsidR="00F172AD">
        <w:rPr>
          <w:rFonts w:ascii="Arial" w:hAnsi="Arial" w:cs="Arial"/>
        </w:rPr>
        <w:t xml:space="preserve">12 January </w:t>
      </w:r>
      <w:r>
        <w:rPr>
          <w:rFonts w:ascii="Arial" w:hAnsi="Arial" w:cs="Arial"/>
        </w:rPr>
        <w:t>20</w:t>
      </w:r>
      <w:r w:rsidR="00F172AD">
        <w:rPr>
          <w:rFonts w:ascii="Arial" w:hAnsi="Arial" w:cs="Arial"/>
        </w:rPr>
        <w:t>23</w:t>
      </w:r>
      <w:r w:rsidR="00536F23">
        <w:rPr>
          <w:rFonts w:ascii="Arial" w:hAnsi="Arial" w:cs="Arial"/>
        </w:rPr>
        <w:t xml:space="preserve">. </w:t>
      </w:r>
    </w:p>
    <w:p w14:paraId="3CF839B1" w14:textId="77777777" w:rsidR="00491E65" w:rsidRDefault="00491E65" w:rsidP="006E1673">
      <w:pPr>
        <w:tabs>
          <w:tab w:val="left" w:pos="1134"/>
        </w:tabs>
        <w:spacing w:before="240" w:after="240" w:line="360" w:lineRule="auto"/>
        <w:ind w:left="993" w:hanging="426"/>
        <w:jc w:val="both"/>
        <w:rPr>
          <w:rFonts w:ascii="Arial" w:hAnsi="Arial" w:cs="Arial"/>
        </w:rPr>
      </w:pPr>
      <w:r>
        <w:rPr>
          <w:rFonts w:ascii="Arial" w:hAnsi="Arial" w:cs="Arial"/>
        </w:rPr>
        <w:t xml:space="preserve">5.3 </w:t>
      </w:r>
      <w:r w:rsidR="006E1673">
        <w:rPr>
          <w:rFonts w:ascii="Arial" w:hAnsi="Arial" w:cs="Arial"/>
        </w:rPr>
        <w:tab/>
      </w:r>
      <w:r w:rsidR="00536F23">
        <w:rPr>
          <w:rFonts w:ascii="Arial" w:hAnsi="Arial" w:cs="Arial"/>
        </w:rPr>
        <w:t>The disco</w:t>
      </w:r>
      <w:r>
        <w:rPr>
          <w:rFonts w:ascii="Arial" w:hAnsi="Arial" w:cs="Arial"/>
        </w:rPr>
        <w:t>nnection</w:t>
      </w:r>
      <w:r w:rsidR="00536F23">
        <w:rPr>
          <w:rFonts w:ascii="Arial" w:hAnsi="Arial" w:cs="Arial"/>
        </w:rPr>
        <w:t xml:space="preserve"> would be effected on 13 January 2023.</w:t>
      </w:r>
    </w:p>
    <w:p w14:paraId="19CA136B" w14:textId="77777777" w:rsidR="00FE7C5A" w:rsidRDefault="00491E65" w:rsidP="006E1673">
      <w:pPr>
        <w:tabs>
          <w:tab w:val="left" w:pos="1134"/>
        </w:tabs>
        <w:spacing w:before="240" w:after="240" w:line="360" w:lineRule="auto"/>
        <w:ind w:left="993" w:hanging="426"/>
        <w:jc w:val="both"/>
        <w:rPr>
          <w:rFonts w:ascii="Arial" w:hAnsi="Arial" w:cs="Arial"/>
        </w:rPr>
      </w:pPr>
      <w:r>
        <w:rPr>
          <w:rFonts w:ascii="Arial" w:hAnsi="Arial" w:cs="Arial"/>
        </w:rPr>
        <w:t xml:space="preserve">5.4 </w:t>
      </w:r>
      <w:r w:rsidR="006E1673">
        <w:rPr>
          <w:rFonts w:ascii="Arial" w:hAnsi="Arial" w:cs="Arial"/>
        </w:rPr>
        <w:tab/>
      </w:r>
      <w:r w:rsidR="00536F23">
        <w:rPr>
          <w:rFonts w:ascii="Arial" w:hAnsi="Arial" w:cs="Arial"/>
        </w:rPr>
        <w:t>The</w:t>
      </w:r>
      <w:r w:rsidR="00A57B95">
        <w:rPr>
          <w:rFonts w:ascii="Arial" w:hAnsi="Arial" w:cs="Arial"/>
        </w:rPr>
        <w:t xml:space="preserve"> notice was only valid for a period of</w:t>
      </w:r>
      <w:r w:rsidR="00536F23">
        <w:rPr>
          <w:rFonts w:ascii="Arial" w:hAnsi="Arial" w:cs="Arial"/>
        </w:rPr>
        <w:t xml:space="preserve"> 14 days as indicated</w:t>
      </w:r>
      <w:r w:rsidR="00A57B95">
        <w:rPr>
          <w:rFonts w:ascii="Arial" w:hAnsi="Arial" w:cs="Arial"/>
        </w:rPr>
        <w:t xml:space="preserve"> also at the bottom of the said</w:t>
      </w:r>
      <w:r w:rsidR="00536F23">
        <w:rPr>
          <w:rFonts w:ascii="Arial" w:hAnsi="Arial" w:cs="Arial"/>
        </w:rPr>
        <w:t xml:space="preserve"> notice. </w:t>
      </w:r>
    </w:p>
    <w:p w14:paraId="7857BAB9" w14:textId="77777777" w:rsidR="00FE7C5A" w:rsidRDefault="00FE7C5A" w:rsidP="006E1673">
      <w:pPr>
        <w:tabs>
          <w:tab w:val="left" w:pos="1134"/>
        </w:tabs>
        <w:spacing w:before="240" w:after="240" w:line="360" w:lineRule="auto"/>
        <w:ind w:left="993" w:hanging="426"/>
        <w:jc w:val="both"/>
        <w:rPr>
          <w:rFonts w:ascii="Arial" w:hAnsi="Arial" w:cs="Arial"/>
        </w:rPr>
      </w:pPr>
      <w:r>
        <w:rPr>
          <w:rFonts w:ascii="Arial" w:hAnsi="Arial" w:cs="Arial"/>
        </w:rPr>
        <w:t xml:space="preserve">5.5 </w:t>
      </w:r>
      <w:r w:rsidR="006E1673">
        <w:rPr>
          <w:rFonts w:ascii="Arial" w:hAnsi="Arial" w:cs="Arial"/>
        </w:rPr>
        <w:tab/>
      </w:r>
      <w:r w:rsidR="00536F23">
        <w:rPr>
          <w:rFonts w:ascii="Arial" w:hAnsi="Arial" w:cs="Arial"/>
        </w:rPr>
        <w:t>The electricity supply was only disconnected on 13 February 2023</w:t>
      </w:r>
      <w:r>
        <w:rPr>
          <w:rFonts w:ascii="Arial" w:hAnsi="Arial" w:cs="Arial"/>
        </w:rPr>
        <w:t>.</w:t>
      </w:r>
    </w:p>
    <w:p w14:paraId="58A336A7" w14:textId="77777777" w:rsidR="00536F23" w:rsidRDefault="00FE7C5A" w:rsidP="003B6922">
      <w:pPr>
        <w:tabs>
          <w:tab w:val="left" w:pos="1134"/>
        </w:tabs>
        <w:spacing w:before="240" w:after="240" w:line="360" w:lineRule="auto"/>
        <w:ind w:left="567" w:hanging="567"/>
        <w:jc w:val="both"/>
        <w:rPr>
          <w:rFonts w:ascii="Arial" w:hAnsi="Arial" w:cs="Arial"/>
        </w:rPr>
      </w:pPr>
      <w:r>
        <w:rPr>
          <w:rFonts w:ascii="Arial" w:hAnsi="Arial" w:cs="Arial"/>
        </w:rPr>
        <w:t xml:space="preserve">[6] </w:t>
      </w:r>
      <w:r w:rsidR="006E1673">
        <w:rPr>
          <w:rFonts w:ascii="Arial" w:hAnsi="Arial" w:cs="Arial"/>
        </w:rPr>
        <w:tab/>
      </w:r>
      <w:r>
        <w:rPr>
          <w:rFonts w:ascii="Arial" w:hAnsi="Arial" w:cs="Arial"/>
        </w:rPr>
        <w:t xml:space="preserve">The applicant’s contention was that when the electricity supply was disconnected on 13 February 2023, </w:t>
      </w:r>
      <w:r w:rsidR="00536F23">
        <w:rPr>
          <w:rFonts w:ascii="Arial" w:hAnsi="Arial" w:cs="Arial"/>
        </w:rPr>
        <w:t xml:space="preserve">no pre-termination notice was given for the electricity </w:t>
      </w:r>
      <w:r w:rsidR="00536F23">
        <w:rPr>
          <w:rFonts w:ascii="Arial" w:hAnsi="Arial" w:cs="Arial"/>
        </w:rPr>
        <w:lastRenderedPageBreak/>
        <w:t>d</w:t>
      </w:r>
      <w:r>
        <w:rPr>
          <w:rFonts w:ascii="Arial" w:hAnsi="Arial" w:cs="Arial"/>
        </w:rPr>
        <w:t>isconnection as the one dated 30 December 2022 had lapsed and was of no force and effect.</w:t>
      </w:r>
      <w:r w:rsidR="00536F23">
        <w:rPr>
          <w:rFonts w:ascii="Arial" w:hAnsi="Arial" w:cs="Arial"/>
        </w:rPr>
        <w:t xml:space="preserve"> </w:t>
      </w:r>
    </w:p>
    <w:p w14:paraId="087490CB" w14:textId="77777777" w:rsidR="00E52E9E" w:rsidRDefault="00275063" w:rsidP="003B6922">
      <w:pPr>
        <w:tabs>
          <w:tab w:val="left" w:pos="1134"/>
        </w:tabs>
        <w:spacing w:before="240" w:after="240" w:line="360" w:lineRule="auto"/>
        <w:ind w:left="567" w:hanging="567"/>
        <w:jc w:val="both"/>
        <w:rPr>
          <w:rFonts w:ascii="Arial" w:hAnsi="Arial" w:cs="Arial"/>
        </w:rPr>
      </w:pPr>
      <w:r>
        <w:rPr>
          <w:rFonts w:ascii="Arial" w:hAnsi="Arial" w:cs="Arial"/>
        </w:rPr>
        <w:t>[7]</w:t>
      </w:r>
      <w:r>
        <w:rPr>
          <w:rFonts w:ascii="Arial" w:hAnsi="Arial" w:cs="Arial"/>
        </w:rPr>
        <w:tab/>
        <w:t>As to</w:t>
      </w:r>
      <w:r w:rsidR="00536F23">
        <w:rPr>
          <w:rFonts w:ascii="Arial" w:hAnsi="Arial" w:cs="Arial"/>
        </w:rPr>
        <w:t xml:space="preserve"> the </w:t>
      </w:r>
      <w:r>
        <w:rPr>
          <w:rFonts w:ascii="Arial" w:hAnsi="Arial" w:cs="Arial"/>
        </w:rPr>
        <w:t>adequacy of the pre-termination</w:t>
      </w:r>
      <w:r w:rsidR="00E52E9E">
        <w:rPr>
          <w:rFonts w:ascii="Arial" w:hAnsi="Arial" w:cs="Arial"/>
        </w:rPr>
        <w:t xml:space="preserve"> notice prior to the termination of </w:t>
      </w:r>
      <w:r>
        <w:rPr>
          <w:rFonts w:ascii="Arial" w:hAnsi="Arial" w:cs="Arial"/>
        </w:rPr>
        <w:t>basic</w:t>
      </w:r>
      <w:r w:rsidR="00E52E9E">
        <w:rPr>
          <w:rFonts w:ascii="Arial" w:hAnsi="Arial" w:cs="Arial"/>
        </w:rPr>
        <w:t xml:space="preserve"> municipal services, both parties referred me</w:t>
      </w:r>
      <w:r>
        <w:rPr>
          <w:rFonts w:ascii="Arial" w:hAnsi="Arial" w:cs="Arial"/>
        </w:rPr>
        <w:t>, albeit for different reasons and approaches,</w:t>
      </w:r>
      <w:r w:rsidR="00E52E9E">
        <w:rPr>
          <w:rFonts w:ascii="Arial" w:hAnsi="Arial" w:cs="Arial"/>
        </w:rPr>
        <w:t xml:space="preserve"> to the case of </w:t>
      </w:r>
      <w:r w:rsidR="00E52E9E">
        <w:rPr>
          <w:rFonts w:ascii="Arial" w:hAnsi="Arial" w:cs="Arial"/>
          <w:i/>
        </w:rPr>
        <w:t>Joseph and Others v Johannesburg and Others</w:t>
      </w:r>
      <w:r w:rsidR="00E52E9E">
        <w:rPr>
          <w:rStyle w:val="FootnoteReference"/>
          <w:rFonts w:ascii="Arial" w:hAnsi="Arial" w:cs="Arial"/>
          <w:i/>
        </w:rPr>
        <w:footnoteReference w:id="3"/>
      </w:r>
      <w:r w:rsidR="00E52E9E">
        <w:rPr>
          <w:rFonts w:ascii="Arial" w:hAnsi="Arial" w:cs="Arial"/>
          <w:i/>
        </w:rPr>
        <w:t xml:space="preserve">. </w:t>
      </w:r>
      <w:r w:rsidR="00E52E9E">
        <w:rPr>
          <w:rFonts w:ascii="Arial" w:hAnsi="Arial" w:cs="Arial"/>
        </w:rPr>
        <w:t>The</w:t>
      </w:r>
      <w:r>
        <w:rPr>
          <w:rFonts w:ascii="Arial" w:hAnsi="Arial" w:cs="Arial"/>
        </w:rPr>
        <w:t xml:space="preserve"> relevant</w:t>
      </w:r>
      <w:r w:rsidR="00E52E9E">
        <w:rPr>
          <w:rFonts w:ascii="Arial" w:hAnsi="Arial" w:cs="Arial"/>
        </w:rPr>
        <w:t xml:space="preserve"> passage that I was referred to reads as </w:t>
      </w:r>
      <w:r>
        <w:rPr>
          <w:rFonts w:ascii="Arial" w:hAnsi="Arial" w:cs="Arial"/>
        </w:rPr>
        <w:t>follows</w:t>
      </w:r>
      <w:r w:rsidR="00E52E9E">
        <w:rPr>
          <w:rFonts w:ascii="Arial" w:hAnsi="Arial" w:cs="Arial"/>
        </w:rPr>
        <w:t>:</w:t>
      </w:r>
    </w:p>
    <w:p w14:paraId="7AE37357" w14:textId="77777777" w:rsidR="00E52E9E" w:rsidRDefault="00E52E9E" w:rsidP="00E52E9E">
      <w:pPr>
        <w:spacing w:before="240" w:after="240" w:line="360" w:lineRule="auto"/>
        <w:ind w:left="1134" w:hanging="567"/>
        <w:jc w:val="both"/>
        <w:rPr>
          <w:rFonts w:ascii="Arial" w:hAnsi="Arial" w:cs="Arial"/>
          <w:i/>
          <w:color w:val="000000"/>
          <w:sz w:val="20"/>
          <w:szCs w:val="20"/>
        </w:rPr>
      </w:pPr>
      <w:r>
        <w:rPr>
          <w:rFonts w:ascii="Arial" w:hAnsi="Arial" w:cs="Arial"/>
          <w:i/>
          <w:sz w:val="20"/>
          <w:szCs w:val="20"/>
        </w:rPr>
        <w:t>“[61]</w:t>
      </w:r>
      <w:r>
        <w:rPr>
          <w:rFonts w:ascii="Arial" w:hAnsi="Arial" w:cs="Arial"/>
          <w:i/>
          <w:sz w:val="20"/>
          <w:szCs w:val="20"/>
        </w:rPr>
        <w:tab/>
      </w:r>
      <w:r w:rsidRPr="00E52E9E">
        <w:rPr>
          <w:rFonts w:ascii="Arial" w:hAnsi="Arial" w:cs="Arial"/>
          <w:i/>
        </w:rPr>
        <w:t xml:space="preserve"> </w:t>
      </w:r>
      <w:r w:rsidRPr="00E52E9E">
        <w:rPr>
          <w:rFonts w:ascii="Arial" w:hAnsi="Arial" w:cs="Arial"/>
          <w:i/>
          <w:color w:val="000000"/>
          <w:sz w:val="20"/>
          <w:szCs w:val="20"/>
        </w:rPr>
        <w:t>I agree that affording notice to the applicants would not undermine City Power's ability to provide an efficient service. Accordingly, City Power must afford the applicants pre-termination notice. For the notice to be 'adequate' it must contain all relevant information, including the date and time of the proposed disconnection, the reason for the proposed disconnection, and the place at which the affected parties can challenge the basis of the proposed disconnection. Moreover, it must afford the</w:t>
      </w:r>
      <w:r w:rsidRPr="00E52E9E">
        <w:rPr>
          <w:rFonts w:ascii="Arial" w:hAnsi="Arial" w:cs="Arial"/>
          <w:i/>
          <w:color w:val="000000"/>
          <w:sz w:val="20"/>
          <w:szCs w:val="20"/>
          <w:lang w:val="en-ZA" w:eastAsia="en-ZA"/>
        </w:rPr>
        <w:t xml:space="preserve"> </w:t>
      </w:r>
      <w:r w:rsidRPr="00E52E9E">
        <w:rPr>
          <w:rFonts w:ascii="Arial" w:hAnsi="Arial" w:cs="Arial"/>
          <w:i/>
          <w:color w:val="000000"/>
          <w:sz w:val="20"/>
          <w:szCs w:val="20"/>
        </w:rPr>
        <w:t>applicants sufficient time to make any necessary enquiries and investigations,</w:t>
      </w:r>
      <w:r w:rsidRPr="00E52E9E">
        <w:rPr>
          <w:rStyle w:val="mc"/>
          <w:rFonts w:ascii="Arial" w:hAnsi="Arial" w:cs="Arial"/>
          <w:i/>
          <w:color w:val="000000"/>
          <w:sz w:val="13"/>
          <w:szCs w:val="13"/>
          <w:shd w:val="clear" w:color="auto" w:fill="C0C0C0"/>
        </w:rPr>
        <w:t> </w:t>
      </w:r>
      <w:r w:rsidRPr="00E52E9E">
        <w:rPr>
          <w:rFonts w:ascii="Arial" w:hAnsi="Arial" w:cs="Arial"/>
          <w:i/>
          <w:color w:val="000000"/>
          <w:sz w:val="20"/>
          <w:szCs w:val="20"/>
        </w:rPr>
        <w:t>to seek legal advice and to organise themselves collectively if they so wish. At a minimum, it seems to me that 14 days' pre-termination notice is fair, and is consistent with the provisions of the credit control bylaws.</w:t>
      </w:r>
      <w:r>
        <w:rPr>
          <w:rFonts w:ascii="Arial" w:hAnsi="Arial" w:cs="Arial"/>
          <w:i/>
          <w:color w:val="000000"/>
          <w:sz w:val="20"/>
          <w:szCs w:val="20"/>
        </w:rPr>
        <w:t>”</w:t>
      </w:r>
    </w:p>
    <w:p w14:paraId="02CCC845" w14:textId="77777777" w:rsidR="000E4D4E" w:rsidRDefault="00177377" w:rsidP="00E52E9E">
      <w:pPr>
        <w:spacing w:before="240" w:after="240" w:line="360" w:lineRule="auto"/>
        <w:ind w:left="567" w:hanging="567"/>
        <w:jc w:val="both"/>
        <w:rPr>
          <w:rFonts w:ascii="Arial" w:hAnsi="Arial" w:cs="Arial"/>
        </w:rPr>
      </w:pPr>
      <w:r>
        <w:rPr>
          <w:rFonts w:ascii="Arial" w:hAnsi="Arial" w:cs="Arial"/>
        </w:rPr>
        <w:t>[8</w:t>
      </w:r>
      <w:r w:rsidR="00E52E9E">
        <w:rPr>
          <w:rFonts w:ascii="Arial" w:hAnsi="Arial" w:cs="Arial"/>
        </w:rPr>
        <w:t>]</w:t>
      </w:r>
      <w:r w:rsidR="00E52E9E">
        <w:rPr>
          <w:rFonts w:ascii="Arial" w:hAnsi="Arial" w:cs="Arial"/>
        </w:rPr>
        <w:tab/>
        <w:t xml:space="preserve">The respondent held the view that it complied with the </w:t>
      </w:r>
      <w:r>
        <w:rPr>
          <w:rFonts w:ascii="Arial" w:hAnsi="Arial" w:cs="Arial"/>
        </w:rPr>
        <w:t>14-day</w:t>
      </w:r>
      <w:r w:rsidR="00E52E9E">
        <w:rPr>
          <w:rFonts w:ascii="Arial" w:hAnsi="Arial" w:cs="Arial"/>
        </w:rPr>
        <w:t xml:space="preserve"> pre-termination notice period </w:t>
      </w:r>
      <w:r>
        <w:rPr>
          <w:rFonts w:ascii="Arial" w:hAnsi="Arial" w:cs="Arial"/>
        </w:rPr>
        <w:t xml:space="preserve">that it was required to </w:t>
      </w:r>
      <w:r w:rsidR="0043416E">
        <w:rPr>
          <w:rFonts w:ascii="Arial" w:hAnsi="Arial" w:cs="Arial"/>
        </w:rPr>
        <w:t xml:space="preserve">afford to </w:t>
      </w:r>
      <w:r>
        <w:rPr>
          <w:rFonts w:ascii="Arial" w:hAnsi="Arial" w:cs="Arial"/>
        </w:rPr>
        <w:t>the customer. T</w:t>
      </w:r>
      <w:r w:rsidR="00E52E9E">
        <w:rPr>
          <w:rFonts w:ascii="Arial" w:hAnsi="Arial" w:cs="Arial"/>
        </w:rPr>
        <w:t>he</w:t>
      </w:r>
      <w:r>
        <w:rPr>
          <w:rFonts w:ascii="Arial" w:hAnsi="Arial" w:cs="Arial"/>
        </w:rPr>
        <w:t>re was no legal and contractual relationship between the parties</w:t>
      </w:r>
      <w:r w:rsidR="0043416E">
        <w:rPr>
          <w:rFonts w:ascii="Arial" w:hAnsi="Arial" w:cs="Arial"/>
        </w:rPr>
        <w:t xml:space="preserve"> for the supply of electricity to the premises as the</w:t>
      </w:r>
      <w:r w:rsidR="00E52E9E">
        <w:rPr>
          <w:rFonts w:ascii="Arial" w:hAnsi="Arial" w:cs="Arial"/>
        </w:rPr>
        <w:t xml:space="preserve"> applicant</w:t>
      </w:r>
      <w:r w:rsidR="0043416E">
        <w:rPr>
          <w:rFonts w:ascii="Arial" w:hAnsi="Arial" w:cs="Arial"/>
        </w:rPr>
        <w:t xml:space="preserve"> never applied for such services. Consequently, the applicant did not have the necessary </w:t>
      </w:r>
      <w:r w:rsidR="0043416E" w:rsidRPr="00526D41">
        <w:rPr>
          <w:rFonts w:ascii="Arial" w:hAnsi="Arial" w:cs="Arial"/>
          <w:i/>
        </w:rPr>
        <w:t>locus standi</w:t>
      </w:r>
      <w:r w:rsidR="0043416E">
        <w:rPr>
          <w:rFonts w:ascii="Arial" w:hAnsi="Arial" w:cs="Arial"/>
        </w:rPr>
        <w:t xml:space="preserve"> to enforce contractual rights it never had. The current consumer of electricity on the premises was the applicant’s tenant, Industrial Materials and Services Trust.</w:t>
      </w:r>
      <w:r w:rsidR="000E4D4E">
        <w:rPr>
          <w:rFonts w:ascii="Arial" w:hAnsi="Arial" w:cs="Arial"/>
        </w:rPr>
        <w:t xml:space="preserve"> The</w:t>
      </w:r>
      <w:r w:rsidR="00285F92">
        <w:rPr>
          <w:rFonts w:ascii="Arial" w:hAnsi="Arial" w:cs="Arial"/>
        </w:rPr>
        <w:t xml:space="preserve"> applicant</w:t>
      </w:r>
      <w:r w:rsidR="00E52E9E">
        <w:rPr>
          <w:rFonts w:ascii="Arial" w:hAnsi="Arial" w:cs="Arial"/>
        </w:rPr>
        <w:t xml:space="preserve"> failed to make out a proper case for the relief it sought. </w:t>
      </w:r>
    </w:p>
    <w:p w14:paraId="052BB5B1" w14:textId="77777777" w:rsidR="00A006C9" w:rsidRDefault="000E4D4E" w:rsidP="00E52E9E">
      <w:pPr>
        <w:spacing w:before="240" w:after="240" w:line="360" w:lineRule="auto"/>
        <w:ind w:left="567" w:hanging="567"/>
        <w:jc w:val="both"/>
        <w:rPr>
          <w:rFonts w:ascii="Arial" w:hAnsi="Arial" w:cs="Arial"/>
        </w:rPr>
      </w:pPr>
      <w:r>
        <w:rPr>
          <w:rFonts w:ascii="Arial" w:hAnsi="Arial" w:cs="Arial"/>
        </w:rPr>
        <w:t xml:space="preserve">[9] </w:t>
      </w:r>
      <w:r w:rsidR="006E1673">
        <w:rPr>
          <w:rFonts w:ascii="Arial" w:hAnsi="Arial" w:cs="Arial"/>
        </w:rPr>
        <w:tab/>
      </w:r>
      <w:r w:rsidR="00E52E9E">
        <w:rPr>
          <w:rFonts w:ascii="Arial" w:hAnsi="Arial" w:cs="Arial"/>
        </w:rPr>
        <w:t xml:space="preserve">The applicant on the other hand contended that the termination of electricity constituted </w:t>
      </w:r>
      <w:r w:rsidR="009D3A09">
        <w:rPr>
          <w:rFonts w:ascii="Arial" w:hAnsi="Arial" w:cs="Arial"/>
        </w:rPr>
        <w:t>an</w:t>
      </w:r>
      <w:r w:rsidR="00E52E9E">
        <w:rPr>
          <w:rFonts w:ascii="Arial" w:hAnsi="Arial" w:cs="Arial"/>
        </w:rPr>
        <w:t xml:space="preserve"> administrative action which materially and adversely affected the rights of a person. Accordingly, such administrative action must comply with the minimum procedural fairness requirements </w:t>
      </w:r>
      <w:r w:rsidR="00A006C9">
        <w:rPr>
          <w:rFonts w:ascii="Arial" w:hAnsi="Arial" w:cs="Arial"/>
        </w:rPr>
        <w:t>o</w:t>
      </w:r>
      <w:r w:rsidR="00E52E9E">
        <w:rPr>
          <w:rFonts w:ascii="Arial" w:hAnsi="Arial" w:cs="Arial"/>
        </w:rPr>
        <w:t>f section 3(</w:t>
      </w:r>
      <w:r w:rsidR="00A006C9">
        <w:rPr>
          <w:rFonts w:ascii="Arial" w:hAnsi="Arial" w:cs="Arial"/>
        </w:rPr>
        <w:t xml:space="preserve">2)(b) of the Promotion of Administrative Justice Act, 3 of 2000 (PAJA), which entails, </w:t>
      </w:r>
      <w:r w:rsidR="00A006C9">
        <w:rPr>
          <w:rFonts w:ascii="Arial" w:hAnsi="Arial" w:cs="Arial"/>
          <w:i/>
        </w:rPr>
        <w:t xml:space="preserve">inter alia, </w:t>
      </w:r>
      <w:r w:rsidR="00543088">
        <w:rPr>
          <w:rFonts w:ascii="Arial" w:hAnsi="Arial" w:cs="Arial"/>
        </w:rPr>
        <w:t>the</w:t>
      </w:r>
      <w:r w:rsidR="00A006C9">
        <w:rPr>
          <w:rFonts w:ascii="Arial" w:hAnsi="Arial" w:cs="Arial"/>
        </w:rPr>
        <w:t xml:space="preserve"> adequate notice of the nature and purpose of the proposed administrative action and </w:t>
      </w:r>
      <w:r w:rsidR="00543088">
        <w:rPr>
          <w:rFonts w:ascii="Arial" w:hAnsi="Arial" w:cs="Arial"/>
        </w:rPr>
        <w:t xml:space="preserve">the </w:t>
      </w:r>
      <w:r w:rsidR="00A006C9">
        <w:rPr>
          <w:rFonts w:ascii="Arial" w:hAnsi="Arial" w:cs="Arial"/>
        </w:rPr>
        <w:t>reasonable opportunity to make representations. The respondent</w:t>
      </w:r>
      <w:r w:rsidR="00543088">
        <w:rPr>
          <w:rFonts w:ascii="Arial" w:hAnsi="Arial" w:cs="Arial"/>
        </w:rPr>
        <w:t>,</w:t>
      </w:r>
      <w:r w:rsidR="00A006C9">
        <w:rPr>
          <w:rFonts w:ascii="Arial" w:hAnsi="Arial" w:cs="Arial"/>
        </w:rPr>
        <w:t xml:space="preserve"> </w:t>
      </w:r>
      <w:r w:rsidR="00A006C9">
        <w:rPr>
          <w:rFonts w:ascii="Arial" w:hAnsi="Arial" w:cs="Arial"/>
          <w:i/>
        </w:rPr>
        <w:t xml:space="preserve">in </w:t>
      </w:r>
      <w:proofErr w:type="spellStart"/>
      <w:r w:rsidR="00A006C9">
        <w:rPr>
          <w:rFonts w:ascii="Arial" w:hAnsi="Arial" w:cs="Arial"/>
          <w:i/>
        </w:rPr>
        <w:t>casu</w:t>
      </w:r>
      <w:proofErr w:type="spellEnd"/>
      <w:r w:rsidR="00543088">
        <w:rPr>
          <w:rFonts w:ascii="Arial" w:hAnsi="Arial" w:cs="Arial"/>
          <w:i/>
        </w:rPr>
        <w:t>,</w:t>
      </w:r>
      <w:r w:rsidR="00A006C9">
        <w:rPr>
          <w:rFonts w:ascii="Arial" w:hAnsi="Arial" w:cs="Arial"/>
          <w:i/>
        </w:rPr>
        <w:t xml:space="preserve"> </w:t>
      </w:r>
      <w:r w:rsidR="00A006C9">
        <w:rPr>
          <w:rFonts w:ascii="Arial" w:hAnsi="Arial" w:cs="Arial"/>
        </w:rPr>
        <w:t xml:space="preserve">failed to give adequate notice for the electricity disconnection of 13 </w:t>
      </w:r>
      <w:r w:rsidR="00A006C9">
        <w:rPr>
          <w:rFonts w:ascii="Arial" w:hAnsi="Arial" w:cs="Arial"/>
        </w:rPr>
        <w:lastRenderedPageBreak/>
        <w:t>February 2023 as the one issued in December 2022 had</w:t>
      </w:r>
      <w:r w:rsidR="00543088">
        <w:rPr>
          <w:rFonts w:ascii="Arial" w:hAnsi="Arial" w:cs="Arial"/>
        </w:rPr>
        <w:t>, even e</w:t>
      </w:r>
      <w:r w:rsidR="00543088" w:rsidRPr="00543088">
        <w:rPr>
          <w:rFonts w:ascii="Arial" w:hAnsi="Arial" w:cs="Arial"/>
          <w:i/>
        </w:rPr>
        <w:t>x facie</w:t>
      </w:r>
      <w:r w:rsidR="00543088">
        <w:rPr>
          <w:rFonts w:ascii="Arial" w:hAnsi="Arial" w:cs="Arial"/>
          <w:i/>
        </w:rPr>
        <w:t xml:space="preserve"> </w:t>
      </w:r>
      <w:r w:rsidR="00543088">
        <w:rPr>
          <w:rFonts w:ascii="Arial" w:hAnsi="Arial" w:cs="Arial"/>
        </w:rPr>
        <w:t>the document,</w:t>
      </w:r>
      <w:r w:rsidR="00A006C9">
        <w:rPr>
          <w:rFonts w:ascii="Arial" w:hAnsi="Arial" w:cs="Arial"/>
        </w:rPr>
        <w:t xml:space="preserve"> become invalid. </w:t>
      </w:r>
    </w:p>
    <w:p w14:paraId="78E60ABC" w14:textId="77777777" w:rsidR="00025891" w:rsidRDefault="00565ECC" w:rsidP="00E52E9E">
      <w:pPr>
        <w:spacing w:before="240" w:after="240" w:line="360" w:lineRule="auto"/>
        <w:ind w:left="567" w:hanging="567"/>
        <w:jc w:val="both"/>
        <w:rPr>
          <w:rFonts w:ascii="Arial" w:hAnsi="Arial" w:cs="Arial"/>
        </w:rPr>
      </w:pPr>
      <w:r>
        <w:rPr>
          <w:rFonts w:ascii="Arial" w:hAnsi="Arial" w:cs="Arial"/>
        </w:rPr>
        <w:t>[10</w:t>
      </w:r>
      <w:r w:rsidR="00A006C9">
        <w:rPr>
          <w:rFonts w:ascii="Arial" w:hAnsi="Arial" w:cs="Arial"/>
        </w:rPr>
        <w:t>]</w:t>
      </w:r>
      <w:r w:rsidR="00A006C9">
        <w:rPr>
          <w:rFonts w:ascii="Arial" w:hAnsi="Arial" w:cs="Arial"/>
        </w:rPr>
        <w:tab/>
        <w:t xml:space="preserve">The </w:t>
      </w:r>
      <w:r w:rsidR="00526D41">
        <w:rPr>
          <w:rFonts w:ascii="Arial" w:hAnsi="Arial" w:cs="Arial"/>
        </w:rPr>
        <w:t>applicant contended furthermore that</w:t>
      </w:r>
      <w:r w:rsidR="00C7331C">
        <w:rPr>
          <w:rFonts w:ascii="Arial" w:hAnsi="Arial" w:cs="Arial"/>
        </w:rPr>
        <w:t xml:space="preserve"> a new property owner should not be held liable for the historical debt of the previous owner</w:t>
      </w:r>
      <w:r w:rsidR="00C7331C">
        <w:rPr>
          <w:rStyle w:val="FootnoteReference"/>
          <w:rFonts w:ascii="Arial" w:hAnsi="Arial" w:cs="Arial"/>
        </w:rPr>
        <w:footnoteReference w:id="4"/>
      </w:r>
      <w:r w:rsidR="00C7331C">
        <w:rPr>
          <w:rFonts w:ascii="Arial" w:hAnsi="Arial" w:cs="Arial"/>
        </w:rPr>
        <w:t xml:space="preserve">. The supply of electricity and water are basic </w:t>
      </w:r>
      <w:r w:rsidR="009A08C0">
        <w:rPr>
          <w:rFonts w:ascii="Arial" w:hAnsi="Arial" w:cs="Arial"/>
        </w:rPr>
        <w:t>municipal services whose termination adversely affects the rights to such services.</w:t>
      </w:r>
      <w:r w:rsidR="009A08C0">
        <w:rPr>
          <w:rStyle w:val="FootnoteReference"/>
          <w:rFonts w:ascii="Arial" w:hAnsi="Arial" w:cs="Arial"/>
        </w:rPr>
        <w:footnoteReference w:id="5"/>
      </w:r>
      <w:r w:rsidR="00025891">
        <w:rPr>
          <w:rFonts w:ascii="Arial" w:hAnsi="Arial" w:cs="Arial"/>
        </w:rPr>
        <w:t xml:space="preserve"> </w:t>
      </w:r>
    </w:p>
    <w:p w14:paraId="2C36D16A" w14:textId="77777777" w:rsidR="00025891" w:rsidRPr="00025891" w:rsidRDefault="00565ECC" w:rsidP="00025891">
      <w:pPr>
        <w:spacing w:before="240" w:after="240" w:line="360" w:lineRule="auto"/>
        <w:ind w:left="567" w:hanging="567"/>
        <w:jc w:val="both"/>
        <w:rPr>
          <w:rFonts w:ascii="Arial" w:hAnsi="Arial" w:cs="Arial"/>
        </w:rPr>
      </w:pPr>
      <w:r>
        <w:rPr>
          <w:rFonts w:ascii="Arial" w:hAnsi="Arial" w:cs="Arial"/>
        </w:rPr>
        <w:t xml:space="preserve">[11] </w:t>
      </w:r>
      <w:r w:rsidR="006E1673">
        <w:rPr>
          <w:rFonts w:ascii="Arial" w:hAnsi="Arial" w:cs="Arial"/>
        </w:rPr>
        <w:tab/>
      </w:r>
      <w:r>
        <w:rPr>
          <w:rFonts w:ascii="Arial" w:hAnsi="Arial" w:cs="Arial"/>
        </w:rPr>
        <w:t>It is evident from the contents of the answering affidavit that the respondent was, for a considerable period, aware of the circumstances surrounding the premises: that the applicant held the property as an investment property that it leased to the current lessee.</w:t>
      </w:r>
      <w:r>
        <w:rPr>
          <w:rStyle w:val="FootnoteReference"/>
          <w:rFonts w:ascii="Arial" w:hAnsi="Arial" w:cs="Arial"/>
        </w:rPr>
        <w:footnoteReference w:id="6"/>
      </w:r>
      <w:r w:rsidR="003948BE">
        <w:rPr>
          <w:rFonts w:ascii="Arial" w:hAnsi="Arial" w:cs="Arial"/>
        </w:rPr>
        <w:t xml:space="preserve"> The applicant paid the rates and taxes, refuse and water supply to the property.</w:t>
      </w:r>
      <w:r w:rsidR="003948BE">
        <w:rPr>
          <w:rStyle w:val="FootnoteReference"/>
          <w:rFonts w:ascii="Arial" w:hAnsi="Arial" w:cs="Arial"/>
        </w:rPr>
        <w:footnoteReference w:id="7"/>
      </w:r>
      <w:r w:rsidR="00025891">
        <w:rPr>
          <w:rFonts w:ascii="Arial" w:hAnsi="Arial" w:cs="Arial"/>
        </w:rPr>
        <w:t xml:space="preserve"> </w:t>
      </w:r>
      <w:r w:rsidR="00025891" w:rsidRPr="00025891">
        <w:rPr>
          <w:rFonts w:ascii="Arial" w:hAnsi="Arial" w:cs="Arial"/>
        </w:rPr>
        <w:t>Despite the transfer of the property from the previous owner, Bluedust (Pty) Ltd.</w:t>
      </w:r>
      <w:r w:rsidR="00025891">
        <w:rPr>
          <w:rFonts w:ascii="Arial" w:hAnsi="Arial" w:cs="Arial"/>
        </w:rPr>
        <w:t>, to the applicant in 2005, the respondent continued to supply electricity to the property in the name of the previous owner who for all intents and purposes, was no longer in charge of the premises.</w:t>
      </w:r>
      <w:r w:rsidR="00957D90">
        <w:rPr>
          <w:rFonts w:ascii="Arial" w:hAnsi="Arial" w:cs="Arial"/>
        </w:rPr>
        <w:t xml:space="preserve"> This led to the large amount demanded in the pre-termination notice. This is mindboggling as the provisions of the respondent’s credit control and debt control policy</w:t>
      </w:r>
      <w:r w:rsidR="00757C8A">
        <w:rPr>
          <w:rStyle w:val="FootnoteReference"/>
          <w:rFonts w:ascii="Arial" w:hAnsi="Arial" w:cs="Arial"/>
        </w:rPr>
        <w:footnoteReference w:id="8"/>
      </w:r>
      <w:r w:rsidR="00957D90">
        <w:rPr>
          <w:rFonts w:ascii="Arial" w:hAnsi="Arial" w:cs="Arial"/>
        </w:rPr>
        <w:t xml:space="preserve"> determines that should any account in respect of services not be paid by due date, a final demand for payment </w:t>
      </w:r>
      <w:r w:rsidR="00757C8A">
        <w:rPr>
          <w:rFonts w:ascii="Arial" w:hAnsi="Arial" w:cs="Arial"/>
        </w:rPr>
        <w:t xml:space="preserve">within 7 days </w:t>
      </w:r>
      <w:r w:rsidR="00957D90">
        <w:rPr>
          <w:rFonts w:ascii="Arial" w:hAnsi="Arial" w:cs="Arial"/>
        </w:rPr>
        <w:t>should be issued</w:t>
      </w:r>
      <w:r w:rsidR="00757C8A">
        <w:rPr>
          <w:rFonts w:ascii="Arial" w:hAnsi="Arial" w:cs="Arial"/>
        </w:rPr>
        <w:t xml:space="preserve">. Failure to respond to the demand would entitle the respondent’s officials to discontinue or reduce the level of service rendered. </w:t>
      </w:r>
    </w:p>
    <w:p w14:paraId="4E0C9544" w14:textId="77777777" w:rsidR="00565ECC" w:rsidRDefault="0066381B" w:rsidP="00E52E9E">
      <w:pPr>
        <w:spacing w:before="240" w:after="240" w:line="360" w:lineRule="auto"/>
        <w:ind w:left="567" w:hanging="567"/>
        <w:jc w:val="both"/>
        <w:rPr>
          <w:rFonts w:ascii="Arial" w:hAnsi="Arial" w:cs="Arial"/>
        </w:rPr>
      </w:pPr>
      <w:r>
        <w:rPr>
          <w:rFonts w:ascii="Arial" w:hAnsi="Arial" w:cs="Arial"/>
        </w:rPr>
        <w:t xml:space="preserve">[12] </w:t>
      </w:r>
      <w:r w:rsidR="006E1673">
        <w:rPr>
          <w:rFonts w:ascii="Arial" w:hAnsi="Arial" w:cs="Arial"/>
        </w:rPr>
        <w:tab/>
      </w:r>
      <w:r>
        <w:rPr>
          <w:rFonts w:ascii="Arial" w:hAnsi="Arial" w:cs="Arial"/>
        </w:rPr>
        <w:t>The respondent’s policy is based on human dignity which must always be upheld</w:t>
      </w:r>
      <w:r>
        <w:rPr>
          <w:rStyle w:val="FootnoteReference"/>
          <w:rFonts w:ascii="Arial" w:hAnsi="Arial" w:cs="Arial"/>
        </w:rPr>
        <w:footnoteReference w:id="9"/>
      </w:r>
      <w:r w:rsidR="00D501FE">
        <w:rPr>
          <w:rFonts w:ascii="Arial" w:hAnsi="Arial" w:cs="Arial"/>
        </w:rPr>
        <w:t xml:space="preserve"> and implemented</w:t>
      </w:r>
      <w:r w:rsidR="00C95785">
        <w:rPr>
          <w:rFonts w:ascii="Arial" w:hAnsi="Arial" w:cs="Arial"/>
        </w:rPr>
        <w:t xml:space="preserve"> with equity, fairness and consistency.</w:t>
      </w:r>
      <w:r w:rsidR="00C95785">
        <w:rPr>
          <w:rStyle w:val="FootnoteReference"/>
          <w:rFonts w:ascii="Arial" w:hAnsi="Arial" w:cs="Arial"/>
        </w:rPr>
        <w:footnoteReference w:id="10"/>
      </w:r>
      <w:r w:rsidR="00BF3000">
        <w:rPr>
          <w:rFonts w:ascii="Arial" w:hAnsi="Arial" w:cs="Arial"/>
        </w:rPr>
        <w:t xml:space="preserve"> Why was this debt allowed to escalate for so long? Paragraph 4.2.7 of the policy provides that if there is an outstanding debt on the property, this debt must be settled in full, or suitable payment arrangements must be made by the owner of the property, before any customer/owner is registered for services. Does this explain why the </w:t>
      </w:r>
      <w:r w:rsidR="00BF3000">
        <w:rPr>
          <w:rFonts w:ascii="Arial" w:hAnsi="Arial" w:cs="Arial"/>
        </w:rPr>
        <w:lastRenderedPageBreak/>
        <w:t>applicant was unable to register for the electricity services as the previous owner’s debt had not been settled in full.</w:t>
      </w:r>
    </w:p>
    <w:p w14:paraId="53C72FAA" w14:textId="77777777" w:rsidR="00E52E9E" w:rsidRDefault="00C66BB1" w:rsidP="00E52E9E">
      <w:pPr>
        <w:spacing w:before="240" w:after="240" w:line="360" w:lineRule="auto"/>
        <w:ind w:left="567" w:hanging="567"/>
        <w:jc w:val="both"/>
        <w:rPr>
          <w:rFonts w:ascii="Arial" w:hAnsi="Arial" w:cs="Arial"/>
        </w:rPr>
      </w:pPr>
      <w:r>
        <w:rPr>
          <w:rFonts w:ascii="Arial" w:hAnsi="Arial" w:cs="Arial"/>
        </w:rPr>
        <w:t>[13</w:t>
      </w:r>
      <w:r w:rsidR="00565ECC">
        <w:rPr>
          <w:rFonts w:ascii="Arial" w:hAnsi="Arial" w:cs="Arial"/>
        </w:rPr>
        <w:t>]</w:t>
      </w:r>
      <w:r w:rsidR="0002653A">
        <w:rPr>
          <w:rFonts w:ascii="Arial" w:hAnsi="Arial" w:cs="Arial"/>
        </w:rPr>
        <w:t xml:space="preserve"> The applicant has</w:t>
      </w:r>
      <w:r>
        <w:rPr>
          <w:rFonts w:ascii="Arial" w:hAnsi="Arial" w:cs="Arial"/>
        </w:rPr>
        <w:t>, in my view,</w:t>
      </w:r>
      <w:r w:rsidR="0002653A">
        <w:rPr>
          <w:rFonts w:ascii="Arial" w:hAnsi="Arial" w:cs="Arial"/>
        </w:rPr>
        <w:t xml:space="preserve"> sufficiently demonstrated that he has sufficient interest to launch this application. The crucial question that is dispositive of this controversy is whether proper notice was given by the respondent. The answer is no. It was emphatically recorded in the pre-termination notice that </w:t>
      </w:r>
      <w:r w:rsidR="00166401">
        <w:rPr>
          <w:rFonts w:ascii="Arial" w:hAnsi="Arial" w:cs="Arial"/>
        </w:rPr>
        <w:t>“</w:t>
      </w:r>
      <w:r w:rsidR="00166401" w:rsidRPr="00166401">
        <w:rPr>
          <w:rFonts w:ascii="Arial" w:hAnsi="Arial" w:cs="Arial"/>
          <w:i/>
        </w:rPr>
        <w:t>Notice is valid for 14 days!!!!”</w:t>
      </w:r>
      <w:r w:rsidR="00166401">
        <w:rPr>
          <w:rStyle w:val="FootnoteReference"/>
          <w:rFonts w:ascii="Arial" w:hAnsi="Arial" w:cs="Arial"/>
          <w:i/>
        </w:rPr>
        <w:footnoteReference w:id="11"/>
      </w:r>
      <w:r w:rsidR="00490573">
        <w:rPr>
          <w:rFonts w:ascii="Arial" w:hAnsi="Arial" w:cs="Arial"/>
          <w:i/>
        </w:rPr>
        <w:t xml:space="preserve"> </w:t>
      </w:r>
      <w:r w:rsidR="00490573">
        <w:rPr>
          <w:rFonts w:ascii="Arial" w:hAnsi="Arial" w:cs="Arial"/>
        </w:rPr>
        <w:t>and the disconnection would be effected on 13 January 2023.</w:t>
      </w:r>
      <w:r w:rsidR="00445A3F">
        <w:rPr>
          <w:rFonts w:ascii="Arial" w:hAnsi="Arial" w:cs="Arial"/>
          <w:i/>
        </w:rPr>
        <w:t xml:space="preserve"> </w:t>
      </w:r>
    </w:p>
    <w:p w14:paraId="1B7C5E0F" w14:textId="77777777" w:rsidR="00813651" w:rsidRDefault="00565ECC" w:rsidP="00E52E9E">
      <w:pPr>
        <w:spacing w:before="240" w:after="240" w:line="360" w:lineRule="auto"/>
        <w:ind w:left="567" w:hanging="567"/>
        <w:jc w:val="both"/>
        <w:rPr>
          <w:rFonts w:ascii="Arial" w:hAnsi="Arial" w:cs="Arial"/>
        </w:rPr>
      </w:pPr>
      <w:r>
        <w:rPr>
          <w:rFonts w:ascii="Arial" w:hAnsi="Arial" w:cs="Arial"/>
        </w:rPr>
        <w:t>[1</w:t>
      </w:r>
      <w:r w:rsidR="006E1673">
        <w:rPr>
          <w:rFonts w:ascii="Arial" w:hAnsi="Arial" w:cs="Arial"/>
        </w:rPr>
        <w:t>4</w:t>
      </w:r>
      <w:r w:rsidR="00445A3F">
        <w:rPr>
          <w:rFonts w:ascii="Arial" w:hAnsi="Arial" w:cs="Arial"/>
        </w:rPr>
        <w:t xml:space="preserve">] </w:t>
      </w:r>
      <w:r w:rsidR="006E1673">
        <w:rPr>
          <w:rFonts w:ascii="Arial" w:hAnsi="Arial" w:cs="Arial"/>
        </w:rPr>
        <w:tab/>
      </w:r>
      <w:r w:rsidR="004076A7">
        <w:rPr>
          <w:rFonts w:ascii="Arial" w:hAnsi="Arial" w:cs="Arial"/>
        </w:rPr>
        <w:t xml:space="preserve">In the founding affidavit, the following was said: </w:t>
      </w:r>
      <w:r w:rsidR="004076A7" w:rsidRPr="006E1673">
        <w:rPr>
          <w:rFonts w:ascii="Arial" w:hAnsi="Arial" w:cs="Arial"/>
          <w:sz w:val="20"/>
          <w:szCs w:val="20"/>
        </w:rPr>
        <w:t>“</w:t>
      </w:r>
      <w:r w:rsidR="004076A7" w:rsidRPr="006E1673">
        <w:rPr>
          <w:rFonts w:ascii="Arial" w:hAnsi="Arial" w:cs="Arial"/>
          <w:i/>
          <w:sz w:val="20"/>
          <w:szCs w:val="20"/>
        </w:rPr>
        <w:t>Just to iterate, the electricity supply to the property was disconnected after due notice was given because of the failure to pay for the electricity consumed on the property.”</w:t>
      </w:r>
      <w:r w:rsidR="004076A7" w:rsidRPr="006E1673">
        <w:rPr>
          <w:rStyle w:val="FootnoteReference"/>
          <w:rFonts w:ascii="Arial" w:hAnsi="Arial" w:cs="Arial"/>
          <w:i/>
          <w:sz w:val="20"/>
          <w:szCs w:val="20"/>
        </w:rPr>
        <w:footnoteReference w:id="12"/>
      </w:r>
      <w:r w:rsidR="00D13684" w:rsidRPr="006E1673">
        <w:rPr>
          <w:rFonts w:ascii="Arial" w:hAnsi="Arial" w:cs="Arial"/>
          <w:i/>
          <w:sz w:val="20"/>
          <w:szCs w:val="20"/>
        </w:rPr>
        <w:t xml:space="preserve"> </w:t>
      </w:r>
      <w:r w:rsidR="00490573">
        <w:rPr>
          <w:rFonts w:ascii="Arial" w:hAnsi="Arial" w:cs="Arial"/>
        </w:rPr>
        <w:t>In the written heads of argument, it is conceded that 46(forty-six) calendar days lapsed since the delivery of the aforesaid disconnection notice. It is therefore</w:t>
      </w:r>
      <w:r w:rsidR="006D3165">
        <w:rPr>
          <w:rFonts w:ascii="Arial" w:hAnsi="Arial" w:cs="Arial"/>
        </w:rPr>
        <w:t xml:space="preserve"> crystal clear that</w:t>
      </w:r>
      <w:r w:rsidR="00490573">
        <w:rPr>
          <w:rFonts w:ascii="Arial" w:hAnsi="Arial" w:cs="Arial"/>
        </w:rPr>
        <w:t xml:space="preserve"> no pre-termination notice was given</w:t>
      </w:r>
      <w:r w:rsidR="00381160">
        <w:rPr>
          <w:rFonts w:ascii="Arial" w:hAnsi="Arial" w:cs="Arial"/>
        </w:rPr>
        <w:t xml:space="preserve"> and addressed to the applicant </w:t>
      </w:r>
      <w:r w:rsidR="00490573">
        <w:rPr>
          <w:rFonts w:ascii="Arial" w:hAnsi="Arial" w:cs="Arial"/>
        </w:rPr>
        <w:t>prior to the disconnection of</w:t>
      </w:r>
      <w:r w:rsidR="006D3165">
        <w:rPr>
          <w:rFonts w:ascii="Arial" w:hAnsi="Arial" w:cs="Arial"/>
        </w:rPr>
        <w:t xml:space="preserve"> the electricity supply on 13 February 2023. This failure to give the applicant the requisite proper notice was fatal to the respondent’s case. It would not be correct to allow the respondent to apply self-help to enforce its rights. The applicant must succeed in its application.</w:t>
      </w:r>
    </w:p>
    <w:p w14:paraId="0D311C00" w14:textId="77777777" w:rsidR="00C66BB1" w:rsidRDefault="006E1673" w:rsidP="00E52E9E">
      <w:pPr>
        <w:spacing w:before="240" w:after="240" w:line="360" w:lineRule="auto"/>
        <w:ind w:left="567" w:hanging="567"/>
        <w:jc w:val="both"/>
        <w:rPr>
          <w:rFonts w:ascii="Arial" w:hAnsi="Arial" w:cs="Arial"/>
        </w:rPr>
      </w:pPr>
      <w:r>
        <w:rPr>
          <w:rFonts w:ascii="Arial" w:hAnsi="Arial" w:cs="Arial"/>
        </w:rPr>
        <w:t>[15</w:t>
      </w:r>
      <w:r w:rsidR="00C66BB1">
        <w:rPr>
          <w:rFonts w:ascii="Arial" w:hAnsi="Arial" w:cs="Arial"/>
        </w:rPr>
        <w:t>] The costs must follow the event.</w:t>
      </w:r>
    </w:p>
    <w:p w14:paraId="300BE878" w14:textId="77777777" w:rsidR="00E6309F" w:rsidRDefault="006E1673" w:rsidP="00E52E9E">
      <w:pPr>
        <w:spacing w:before="240" w:after="240" w:line="360" w:lineRule="auto"/>
        <w:ind w:left="567" w:hanging="567"/>
        <w:jc w:val="both"/>
        <w:rPr>
          <w:rFonts w:ascii="Arial" w:hAnsi="Arial" w:cs="Arial"/>
        </w:rPr>
      </w:pPr>
      <w:r>
        <w:rPr>
          <w:rFonts w:ascii="Arial" w:hAnsi="Arial" w:cs="Arial"/>
        </w:rPr>
        <w:t>[16</w:t>
      </w:r>
      <w:r w:rsidR="00813651">
        <w:rPr>
          <w:rFonts w:ascii="Arial" w:hAnsi="Arial" w:cs="Arial"/>
        </w:rPr>
        <w:t xml:space="preserve">] </w:t>
      </w:r>
      <w:r>
        <w:rPr>
          <w:rFonts w:ascii="Arial" w:hAnsi="Arial" w:cs="Arial"/>
        </w:rPr>
        <w:tab/>
      </w:r>
      <w:r w:rsidR="00813651">
        <w:rPr>
          <w:rFonts w:ascii="Arial" w:hAnsi="Arial" w:cs="Arial"/>
        </w:rPr>
        <w:t>In the circumstances, I make the following order:</w:t>
      </w:r>
    </w:p>
    <w:p w14:paraId="53E20D79" w14:textId="77777777" w:rsidR="006E1673" w:rsidRPr="006E1673" w:rsidRDefault="006E1673" w:rsidP="00E52E9E">
      <w:pPr>
        <w:spacing w:before="240" w:after="240" w:line="360" w:lineRule="auto"/>
        <w:ind w:left="567" w:hanging="567"/>
        <w:jc w:val="both"/>
        <w:rPr>
          <w:rFonts w:ascii="Arial" w:hAnsi="Arial" w:cs="Arial"/>
          <w:b/>
          <w:u w:val="single"/>
        </w:rPr>
      </w:pPr>
      <w:r>
        <w:rPr>
          <w:rFonts w:ascii="Arial" w:hAnsi="Arial" w:cs="Arial"/>
          <w:b/>
          <w:u w:val="single"/>
        </w:rPr>
        <w:t>Order:</w:t>
      </w:r>
    </w:p>
    <w:p w14:paraId="222BB88B" w14:textId="77777777" w:rsidR="00491045" w:rsidRPr="006E1673" w:rsidRDefault="00E6309F" w:rsidP="006E1673">
      <w:pPr>
        <w:spacing w:before="240" w:after="240" w:line="360" w:lineRule="auto"/>
        <w:jc w:val="both"/>
        <w:rPr>
          <w:rFonts w:ascii="Verdana" w:hAnsi="Verdana"/>
          <w:color w:val="000000"/>
          <w:lang w:val="en-ZA" w:eastAsia="en-ZA"/>
        </w:rPr>
      </w:pPr>
      <w:r>
        <w:rPr>
          <w:rFonts w:ascii="Arial" w:hAnsi="Arial" w:cs="Arial"/>
        </w:rPr>
        <w:t>The rule nisi is confirmed with costs which shall include the</w:t>
      </w:r>
      <w:r w:rsidR="009E0D1B">
        <w:rPr>
          <w:rFonts w:ascii="Arial" w:hAnsi="Arial" w:cs="Arial"/>
        </w:rPr>
        <w:t xml:space="preserve"> reserved</w:t>
      </w:r>
      <w:r>
        <w:rPr>
          <w:rFonts w:ascii="Arial" w:hAnsi="Arial" w:cs="Arial"/>
        </w:rPr>
        <w:t xml:space="preserve"> costs of the drafting of the affidavits in the interlocutory application.</w:t>
      </w:r>
      <w:r w:rsidR="00490573">
        <w:rPr>
          <w:rFonts w:ascii="Arial" w:hAnsi="Arial" w:cs="Arial"/>
        </w:rPr>
        <w:t xml:space="preserve"> </w:t>
      </w:r>
    </w:p>
    <w:p w14:paraId="02538152" w14:textId="77777777" w:rsidR="00251A7C" w:rsidRDefault="00251A7C" w:rsidP="0035047C">
      <w:pPr>
        <w:pStyle w:val="ListParagraph"/>
        <w:ind w:left="5761"/>
        <w:jc w:val="right"/>
        <w:rPr>
          <w:rFonts w:ascii="Arial" w:hAnsi="Arial" w:cs="Arial"/>
          <w:sz w:val="28"/>
          <w:szCs w:val="28"/>
        </w:rPr>
      </w:pPr>
    </w:p>
    <w:p w14:paraId="5894CB94" w14:textId="77777777" w:rsidR="005835FE" w:rsidRDefault="002D3664" w:rsidP="0035047C">
      <w:pPr>
        <w:pStyle w:val="ListParagraph"/>
        <w:ind w:left="5761"/>
        <w:jc w:val="right"/>
        <w:rPr>
          <w:rFonts w:ascii="Arial" w:hAnsi="Arial" w:cs="Arial"/>
          <w:sz w:val="28"/>
          <w:szCs w:val="28"/>
        </w:rPr>
      </w:pPr>
      <w:r>
        <w:rPr>
          <w:rFonts w:ascii="Arial" w:hAnsi="Arial" w:cs="Arial"/>
          <w:sz w:val="28"/>
          <w:szCs w:val="28"/>
        </w:rPr>
        <w:t>___</w:t>
      </w:r>
      <w:r w:rsidR="005835FE">
        <w:rPr>
          <w:rFonts w:ascii="Arial" w:hAnsi="Arial" w:cs="Arial"/>
          <w:sz w:val="28"/>
          <w:szCs w:val="28"/>
        </w:rPr>
        <w:t>______________</w:t>
      </w:r>
    </w:p>
    <w:p w14:paraId="5F52CDB9" w14:textId="77777777" w:rsidR="005835FE" w:rsidRPr="002B369A" w:rsidRDefault="002B369A" w:rsidP="0035047C">
      <w:pPr>
        <w:jc w:val="right"/>
        <w:rPr>
          <w:rFonts w:ascii="Arial" w:hAnsi="Arial" w:cs="Arial"/>
          <w:b/>
          <w:bCs/>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2B369A">
        <w:rPr>
          <w:rFonts w:ascii="Arial" w:hAnsi="Arial" w:cs="Arial"/>
          <w:b/>
          <w:bCs/>
        </w:rPr>
        <w:t>MHLAMBI</w:t>
      </w:r>
      <w:r w:rsidR="0035047C">
        <w:rPr>
          <w:rFonts w:ascii="Arial" w:hAnsi="Arial" w:cs="Arial"/>
          <w:b/>
          <w:bCs/>
        </w:rPr>
        <w:t>,</w:t>
      </w:r>
      <w:r w:rsidRPr="002B369A">
        <w:rPr>
          <w:rFonts w:ascii="Arial" w:hAnsi="Arial" w:cs="Arial"/>
          <w:b/>
          <w:bCs/>
        </w:rPr>
        <w:t xml:space="preserve"> J</w:t>
      </w:r>
    </w:p>
    <w:p w14:paraId="06AB24B4" w14:textId="77777777" w:rsidR="005835FE" w:rsidRPr="00C20DEE" w:rsidRDefault="005835FE" w:rsidP="0035047C">
      <w:pPr>
        <w:jc w:val="right"/>
        <w:rPr>
          <w:rFonts w:ascii="Arial" w:hAnsi="Arial" w:cs="Arial"/>
        </w:rPr>
      </w:pPr>
    </w:p>
    <w:p w14:paraId="6EABAF7B" w14:textId="77777777" w:rsidR="005835FE" w:rsidRPr="00C20DEE" w:rsidRDefault="005835FE" w:rsidP="005B271F">
      <w:pPr>
        <w:spacing w:line="360" w:lineRule="auto"/>
        <w:jc w:val="both"/>
        <w:rPr>
          <w:rFonts w:ascii="Arial" w:hAnsi="Arial" w:cs="Arial"/>
        </w:rPr>
      </w:pPr>
    </w:p>
    <w:p w14:paraId="4B77F453" w14:textId="77777777" w:rsidR="00E5549C" w:rsidRPr="00C20DEE" w:rsidRDefault="005960F0" w:rsidP="00E5549C">
      <w:pPr>
        <w:spacing w:line="360" w:lineRule="auto"/>
        <w:ind w:left="851" w:hanging="851"/>
        <w:rPr>
          <w:rFonts w:ascii="Arial" w:hAnsi="Arial" w:cs="Arial"/>
          <w:color w:val="000000" w:themeColor="text1"/>
        </w:rPr>
      </w:pPr>
      <w:r w:rsidRPr="00C20DEE">
        <w:rPr>
          <w:rFonts w:ascii="Arial" w:hAnsi="Arial" w:cs="Arial"/>
          <w:color w:val="000000" w:themeColor="text1"/>
        </w:rPr>
        <w:lastRenderedPageBreak/>
        <w:t xml:space="preserve">On behalf of </w:t>
      </w:r>
      <w:r w:rsidR="00BA7A5E">
        <w:rPr>
          <w:rFonts w:ascii="Arial" w:hAnsi="Arial" w:cs="Arial"/>
          <w:color w:val="000000" w:themeColor="text1"/>
        </w:rPr>
        <w:t xml:space="preserve">the </w:t>
      </w:r>
      <w:r w:rsidR="00CC139A">
        <w:rPr>
          <w:rFonts w:ascii="Arial" w:hAnsi="Arial" w:cs="Arial"/>
          <w:color w:val="000000" w:themeColor="text1"/>
        </w:rPr>
        <w:t>applicant</w:t>
      </w:r>
      <w:r w:rsidRPr="00C20DEE">
        <w:rPr>
          <w:rFonts w:ascii="Arial" w:hAnsi="Arial" w:cs="Arial"/>
          <w:color w:val="000000" w:themeColor="text1"/>
        </w:rPr>
        <w:t>:</w:t>
      </w:r>
      <w:r w:rsidR="00F24BE3" w:rsidRPr="00C20DEE">
        <w:rPr>
          <w:rFonts w:ascii="Arial" w:hAnsi="Arial" w:cs="Arial"/>
          <w:color w:val="000000" w:themeColor="text1"/>
        </w:rPr>
        <w:t xml:space="preserve">  </w:t>
      </w:r>
      <w:r w:rsidR="008E7D74">
        <w:rPr>
          <w:rFonts w:ascii="Arial" w:hAnsi="Arial" w:cs="Arial"/>
          <w:color w:val="000000" w:themeColor="text1"/>
        </w:rPr>
        <w:t xml:space="preserve">Adv. </w:t>
      </w:r>
      <w:r w:rsidR="00381160">
        <w:rPr>
          <w:rFonts w:ascii="Arial" w:hAnsi="Arial" w:cs="Arial"/>
          <w:color w:val="000000" w:themeColor="text1"/>
        </w:rPr>
        <w:t xml:space="preserve">P.C </w:t>
      </w:r>
      <w:proofErr w:type="spellStart"/>
      <w:r w:rsidR="008E7D74">
        <w:rPr>
          <w:rFonts w:ascii="Arial" w:hAnsi="Arial" w:cs="Arial"/>
          <w:color w:val="000000" w:themeColor="text1"/>
        </w:rPr>
        <w:t>Ploos</w:t>
      </w:r>
      <w:proofErr w:type="spellEnd"/>
      <w:r w:rsidR="008E7D74">
        <w:rPr>
          <w:rFonts w:ascii="Arial" w:hAnsi="Arial" w:cs="Arial"/>
          <w:color w:val="000000" w:themeColor="text1"/>
        </w:rPr>
        <w:t xml:space="preserve"> van Amstel</w:t>
      </w:r>
    </w:p>
    <w:p w14:paraId="53E4EAB2" w14:textId="77777777" w:rsidR="00E5549C" w:rsidRDefault="005960F0" w:rsidP="002F71C5">
      <w:pPr>
        <w:tabs>
          <w:tab w:val="left" w:pos="2977"/>
        </w:tabs>
        <w:spacing w:line="360" w:lineRule="auto"/>
        <w:ind w:left="851" w:hanging="851"/>
        <w:rPr>
          <w:rFonts w:ascii="Arial" w:hAnsi="Arial" w:cs="Arial"/>
          <w:color w:val="000000" w:themeColor="text1"/>
        </w:rPr>
      </w:pPr>
      <w:r w:rsidRPr="00C20DEE">
        <w:rPr>
          <w:rFonts w:ascii="Arial" w:hAnsi="Arial" w:cs="Arial"/>
          <w:color w:val="000000" w:themeColor="text1"/>
        </w:rPr>
        <w:t>Instructed by:</w:t>
      </w:r>
      <w:r w:rsidR="00F24BE3" w:rsidRPr="00C20DEE">
        <w:rPr>
          <w:rFonts w:ascii="Arial" w:hAnsi="Arial" w:cs="Arial"/>
          <w:color w:val="000000" w:themeColor="text1"/>
        </w:rPr>
        <w:t xml:space="preserve">                </w:t>
      </w:r>
      <w:r w:rsidR="003F410D" w:rsidRPr="00C20DEE">
        <w:rPr>
          <w:rFonts w:ascii="Arial" w:hAnsi="Arial" w:cs="Arial"/>
          <w:color w:val="000000" w:themeColor="text1"/>
        </w:rPr>
        <w:t xml:space="preserve">  </w:t>
      </w:r>
      <w:r w:rsidR="005B56EE">
        <w:rPr>
          <w:rFonts w:ascii="Arial" w:hAnsi="Arial" w:cs="Arial"/>
          <w:color w:val="000000" w:themeColor="text1"/>
        </w:rPr>
        <w:t xml:space="preserve"> </w:t>
      </w:r>
      <w:r w:rsidR="009E06E4">
        <w:rPr>
          <w:rFonts w:ascii="Arial" w:hAnsi="Arial" w:cs="Arial"/>
          <w:color w:val="000000" w:themeColor="text1"/>
        </w:rPr>
        <w:t xml:space="preserve">   </w:t>
      </w:r>
      <w:r w:rsidR="00381160">
        <w:rPr>
          <w:rFonts w:ascii="Arial" w:hAnsi="Arial" w:cs="Arial"/>
          <w:color w:val="000000" w:themeColor="text1"/>
        </w:rPr>
        <w:t>Honey Attorneys</w:t>
      </w:r>
    </w:p>
    <w:p w14:paraId="100C80A4" w14:textId="77777777" w:rsidR="005960F0" w:rsidRPr="00C20DEE" w:rsidRDefault="00E5549C" w:rsidP="002F71C5">
      <w:pPr>
        <w:tabs>
          <w:tab w:val="left" w:pos="2977"/>
        </w:tabs>
        <w:spacing w:line="360" w:lineRule="auto"/>
        <w:ind w:left="851" w:hanging="851"/>
        <w:rPr>
          <w:rFonts w:ascii="Arial" w:hAnsi="Arial" w:cs="Arial"/>
          <w:color w:val="000000" w:themeColor="text1"/>
        </w:rPr>
      </w:pPr>
      <w:r>
        <w:rPr>
          <w:rFonts w:ascii="Arial" w:hAnsi="Arial" w:cs="Arial"/>
          <w:color w:val="000000" w:themeColor="text1"/>
        </w:rPr>
        <w:tab/>
        <w:t xml:space="preserve">                           </w:t>
      </w:r>
      <w:r w:rsidR="005B56EE">
        <w:rPr>
          <w:rFonts w:ascii="Arial" w:hAnsi="Arial" w:cs="Arial"/>
          <w:color w:val="000000" w:themeColor="text1"/>
        </w:rPr>
        <w:t xml:space="preserve"> </w:t>
      </w:r>
      <w:r w:rsidR="009E06E4">
        <w:rPr>
          <w:rFonts w:ascii="Arial" w:hAnsi="Arial" w:cs="Arial"/>
          <w:color w:val="000000" w:themeColor="text1"/>
        </w:rPr>
        <w:t xml:space="preserve">  </w:t>
      </w:r>
      <w:r w:rsidR="00381160">
        <w:rPr>
          <w:rFonts w:ascii="Arial" w:hAnsi="Arial" w:cs="Arial"/>
          <w:color w:val="000000" w:themeColor="text1"/>
        </w:rPr>
        <w:t xml:space="preserve"> Helicon Heights </w:t>
      </w:r>
    </w:p>
    <w:p w14:paraId="4AAFBC1D" w14:textId="77777777" w:rsidR="00E5481E" w:rsidRPr="00C20DEE" w:rsidRDefault="00C20DEE" w:rsidP="00381160">
      <w:pPr>
        <w:tabs>
          <w:tab w:val="left" w:pos="2977"/>
        </w:tabs>
        <w:spacing w:line="360" w:lineRule="auto"/>
        <w:ind w:left="851" w:hanging="851"/>
        <w:rPr>
          <w:rFonts w:ascii="Arial" w:hAnsi="Arial" w:cs="Arial"/>
          <w:color w:val="000000" w:themeColor="text1"/>
        </w:rPr>
      </w:pPr>
      <w:r>
        <w:rPr>
          <w:rFonts w:ascii="Arial" w:hAnsi="Arial" w:cs="Arial"/>
          <w:color w:val="000000" w:themeColor="text1"/>
        </w:rPr>
        <w:tab/>
        <w:t xml:space="preserve">                           </w:t>
      </w:r>
      <w:r w:rsidR="009E06E4">
        <w:rPr>
          <w:rFonts w:ascii="Arial" w:hAnsi="Arial" w:cs="Arial"/>
          <w:color w:val="000000" w:themeColor="text1"/>
        </w:rPr>
        <w:t xml:space="preserve">   </w:t>
      </w:r>
      <w:r w:rsidR="00381160">
        <w:rPr>
          <w:rFonts w:ascii="Arial" w:hAnsi="Arial" w:cs="Arial"/>
          <w:color w:val="000000" w:themeColor="text1"/>
        </w:rPr>
        <w:t xml:space="preserve"> </w:t>
      </w:r>
      <w:r w:rsidR="00F24BE3" w:rsidRPr="00C20DEE">
        <w:rPr>
          <w:rFonts w:ascii="Arial" w:hAnsi="Arial" w:cs="Arial"/>
          <w:color w:val="000000" w:themeColor="text1"/>
        </w:rPr>
        <w:t>Bloemfontein</w:t>
      </w:r>
    </w:p>
    <w:p w14:paraId="52D088A3" w14:textId="77777777" w:rsidR="00E5481E" w:rsidRPr="00C20DEE" w:rsidRDefault="00E5481E" w:rsidP="007C2356">
      <w:pPr>
        <w:ind w:left="851" w:hanging="851"/>
        <w:rPr>
          <w:rFonts w:ascii="Arial" w:hAnsi="Arial" w:cs="Arial"/>
          <w:color w:val="000000" w:themeColor="text1"/>
        </w:rPr>
      </w:pPr>
    </w:p>
    <w:p w14:paraId="2516C8D5" w14:textId="77777777" w:rsidR="00E5481E" w:rsidRPr="00C20DEE" w:rsidRDefault="00E5481E" w:rsidP="007C2356">
      <w:pPr>
        <w:ind w:left="851" w:hanging="851"/>
        <w:rPr>
          <w:rFonts w:ascii="Arial" w:hAnsi="Arial" w:cs="Arial"/>
          <w:color w:val="000000" w:themeColor="text1"/>
        </w:rPr>
      </w:pPr>
    </w:p>
    <w:p w14:paraId="76235144" w14:textId="77777777" w:rsidR="005960F0" w:rsidRPr="00C20DEE" w:rsidRDefault="005960F0" w:rsidP="002F71C5">
      <w:pPr>
        <w:spacing w:line="360" w:lineRule="auto"/>
        <w:ind w:left="851" w:hanging="851"/>
        <w:rPr>
          <w:rFonts w:ascii="Arial" w:hAnsi="Arial" w:cs="Arial"/>
          <w:color w:val="000000" w:themeColor="text1"/>
        </w:rPr>
      </w:pPr>
      <w:r w:rsidRPr="00C20DEE">
        <w:rPr>
          <w:rFonts w:ascii="Arial" w:hAnsi="Arial" w:cs="Arial"/>
          <w:color w:val="000000" w:themeColor="text1"/>
        </w:rPr>
        <w:t xml:space="preserve">On behalf of </w:t>
      </w:r>
      <w:r w:rsidR="00BA7A5E">
        <w:rPr>
          <w:rFonts w:ascii="Arial" w:hAnsi="Arial" w:cs="Arial"/>
          <w:color w:val="000000" w:themeColor="text1"/>
        </w:rPr>
        <w:t xml:space="preserve">the </w:t>
      </w:r>
      <w:r w:rsidRPr="00C20DEE">
        <w:rPr>
          <w:rFonts w:ascii="Arial" w:hAnsi="Arial" w:cs="Arial"/>
          <w:color w:val="000000" w:themeColor="text1"/>
        </w:rPr>
        <w:t>respondent:</w:t>
      </w:r>
      <w:r w:rsidR="00F24BE3" w:rsidRPr="00C20DEE">
        <w:rPr>
          <w:rFonts w:ascii="Arial" w:hAnsi="Arial" w:cs="Arial"/>
          <w:color w:val="000000" w:themeColor="text1"/>
        </w:rPr>
        <w:t xml:space="preserve"> </w:t>
      </w:r>
      <w:r w:rsidR="003F410D" w:rsidRPr="00C20DEE">
        <w:rPr>
          <w:rFonts w:ascii="Arial" w:hAnsi="Arial" w:cs="Arial"/>
          <w:color w:val="000000" w:themeColor="text1"/>
        </w:rPr>
        <w:t xml:space="preserve"> </w:t>
      </w:r>
      <w:r w:rsidR="008E7D74">
        <w:rPr>
          <w:rFonts w:ascii="Arial" w:hAnsi="Arial" w:cs="Arial"/>
          <w:color w:val="000000" w:themeColor="text1"/>
        </w:rPr>
        <w:t xml:space="preserve">Adv. </w:t>
      </w:r>
      <w:r w:rsidR="00381160">
        <w:rPr>
          <w:rFonts w:ascii="Arial" w:hAnsi="Arial" w:cs="Arial"/>
          <w:color w:val="000000" w:themeColor="text1"/>
        </w:rPr>
        <w:t xml:space="preserve">D.R </w:t>
      </w:r>
      <w:r w:rsidR="008E7D74">
        <w:rPr>
          <w:rFonts w:ascii="Arial" w:hAnsi="Arial" w:cs="Arial"/>
          <w:color w:val="000000" w:themeColor="text1"/>
        </w:rPr>
        <w:t>Thompson</w:t>
      </w:r>
      <w:r w:rsidR="005B56EE">
        <w:rPr>
          <w:rFonts w:ascii="Arial" w:hAnsi="Arial" w:cs="Arial"/>
          <w:color w:val="000000" w:themeColor="text1"/>
        </w:rPr>
        <w:t xml:space="preserve"> </w:t>
      </w:r>
    </w:p>
    <w:p w14:paraId="43F19F41" w14:textId="77777777" w:rsidR="00D82B1F" w:rsidRPr="00C20DEE" w:rsidRDefault="005960F0" w:rsidP="002F71C5">
      <w:pPr>
        <w:spacing w:line="360" w:lineRule="auto"/>
        <w:rPr>
          <w:rFonts w:ascii="Arial" w:hAnsi="Arial" w:cs="Arial"/>
          <w:color w:val="000000" w:themeColor="text1"/>
        </w:rPr>
      </w:pPr>
      <w:r w:rsidRPr="00C20DEE">
        <w:rPr>
          <w:rFonts w:ascii="Arial" w:hAnsi="Arial" w:cs="Arial"/>
          <w:color w:val="000000" w:themeColor="text1"/>
        </w:rPr>
        <w:t>Instructed by:</w:t>
      </w:r>
      <w:r w:rsidRPr="00C20DEE">
        <w:rPr>
          <w:rFonts w:ascii="Arial" w:hAnsi="Arial" w:cs="Arial"/>
          <w:color w:val="000000" w:themeColor="text1"/>
        </w:rPr>
        <w:tab/>
      </w:r>
      <w:r w:rsidRPr="00C20DEE">
        <w:rPr>
          <w:rFonts w:ascii="Arial" w:hAnsi="Arial" w:cs="Arial"/>
          <w:color w:val="000000" w:themeColor="text1"/>
        </w:rPr>
        <w:tab/>
      </w:r>
      <w:r w:rsidR="006751B4">
        <w:rPr>
          <w:rFonts w:ascii="Arial" w:hAnsi="Arial" w:cs="Arial"/>
          <w:color w:val="000000" w:themeColor="text1"/>
        </w:rPr>
        <w:t xml:space="preserve">    </w:t>
      </w:r>
      <w:proofErr w:type="spellStart"/>
      <w:r w:rsidR="00381160">
        <w:rPr>
          <w:rFonts w:ascii="Arial" w:hAnsi="Arial" w:cs="Arial"/>
          <w:color w:val="000000" w:themeColor="text1"/>
        </w:rPr>
        <w:t>Tshangana</w:t>
      </w:r>
      <w:proofErr w:type="spellEnd"/>
      <w:r w:rsidR="00381160">
        <w:rPr>
          <w:rFonts w:ascii="Arial" w:hAnsi="Arial" w:cs="Arial"/>
          <w:color w:val="000000" w:themeColor="text1"/>
        </w:rPr>
        <w:t xml:space="preserve"> Associates Inc</w:t>
      </w:r>
    </w:p>
    <w:p w14:paraId="27775CB4" w14:textId="77777777" w:rsidR="00D82B1F" w:rsidRDefault="00F24BE3" w:rsidP="002F71C5">
      <w:pPr>
        <w:spacing w:line="360" w:lineRule="auto"/>
        <w:rPr>
          <w:rFonts w:ascii="Arial" w:hAnsi="Arial" w:cs="Arial"/>
          <w:color w:val="000000" w:themeColor="text1"/>
        </w:rPr>
      </w:pPr>
      <w:r w:rsidRPr="00C20DEE">
        <w:rPr>
          <w:rFonts w:ascii="Arial" w:hAnsi="Arial" w:cs="Arial"/>
          <w:color w:val="000000" w:themeColor="text1"/>
        </w:rPr>
        <w:t xml:space="preserve">                                           </w:t>
      </w:r>
      <w:r w:rsidR="006751B4">
        <w:rPr>
          <w:rFonts w:ascii="Arial" w:hAnsi="Arial" w:cs="Arial"/>
          <w:color w:val="000000" w:themeColor="text1"/>
        </w:rPr>
        <w:t xml:space="preserve">    </w:t>
      </w:r>
      <w:r w:rsidR="00381160">
        <w:rPr>
          <w:rFonts w:ascii="Arial" w:hAnsi="Arial" w:cs="Arial"/>
          <w:color w:val="000000" w:themeColor="text1"/>
        </w:rPr>
        <w:t xml:space="preserve">107 Kellner Street </w:t>
      </w:r>
    </w:p>
    <w:p w14:paraId="292C21EF" w14:textId="77777777" w:rsidR="00D82B1F" w:rsidRDefault="00D82B1F" w:rsidP="002F71C5">
      <w:pPr>
        <w:spacing w:line="360" w:lineRule="auto"/>
        <w:rPr>
          <w:rFonts w:ascii="Arial" w:hAnsi="Arial" w:cs="Arial"/>
          <w:color w:val="000000" w:themeColor="text1"/>
        </w:rPr>
      </w:pPr>
      <w:r>
        <w:rPr>
          <w:rFonts w:ascii="Arial" w:hAnsi="Arial" w:cs="Arial"/>
          <w:color w:val="000000" w:themeColor="text1"/>
        </w:rPr>
        <w:t xml:space="preserve">                                            </w:t>
      </w:r>
      <w:r w:rsidR="006751B4">
        <w:rPr>
          <w:rFonts w:ascii="Arial" w:hAnsi="Arial" w:cs="Arial"/>
          <w:color w:val="000000" w:themeColor="text1"/>
        </w:rPr>
        <w:t xml:space="preserve">   </w:t>
      </w:r>
      <w:proofErr w:type="spellStart"/>
      <w:r>
        <w:rPr>
          <w:rFonts w:ascii="Arial" w:hAnsi="Arial" w:cs="Arial"/>
          <w:color w:val="000000" w:themeColor="text1"/>
        </w:rPr>
        <w:t>Westdene</w:t>
      </w:r>
      <w:proofErr w:type="spellEnd"/>
    </w:p>
    <w:p w14:paraId="1D1E9EAD" w14:textId="77777777" w:rsidR="005960F0" w:rsidRPr="00C20DEE" w:rsidRDefault="00D82B1F" w:rsidP="002F71C5">
      <w:pPr>
        <w:spacing w:line="360" w:lineRule="auto"/>
        <w:rPr>
          <w:rFonts w:ascii="Arial" w:hAnsi="Arial" w:cs="Arial"/>
          <w:color w:val="000000" w:themeColor="text1"/>
        </w:rPr>
      </w:pPr>
      <w:r>
        <w:rPr>
          <w:rFonts w:ascii="Arial" w:hAnsi="Arial" w:cs="Arial"/>
          <w:color w:val="000000" w:themeColor="text1"/>
        </w:rPr>
        <w:t xml:space="preserve">                                            </w:t>
      </w:r>
      <w:r w:rsidR="006751B4">
        <w:rPr>
          <w:rFonts w:ascii="Arial" w:hAnsi="Arial" w:cs="Arial"/>
          <w:color w:val="000000" w:themeColor="text1"/>
        </w:rPr>
        <w:t xml:space="preserve">   </w:t>
      </w:r>
      <w:r w:rsidR="00F24BE3" w:rsidRPr="00C20DEE">
        <w:rPr>
          <w:rFonts w:ascii="Arial" w:hAnsi="Arial" w:cs="Arial"/>
          <w:color w:val="000000" w:themeColor="text1"/>
        </w:rPr>
        <w:t>BLOEMFONTEIN</w:t>
      </w:r>
      <w:r w:rsidR="005960F0" w:rsidRPr="00C20DEE">
        <w:rPr>
          <w:rFonts w:ascii="Arial" w:hAnsi="Arial" w:cs="Arial"/>
          <w:color w:val="000000" w:themeColor="text1"/>
        </w:rPr>
        <w:tab/>
      </w:r>
      <w:r w:rsidR="005960F0" w:rsidRPr="00C20DEE">
        <w:rPr>
          <w:rFonts w:ascii="Arial" w:hAnsi="Arial" w:cs="Arial"/>
          <w:color w:val="000000" w:themeColor="text1"/>
        </w:rPr>
        <w:tab/>
      </w:r>
      <w:r w:rsidR="005960F0" w:rsidRPr="00C20DEE">
        <w:rPr>
          <w:rFonts w:ascii="Arial" w:hAnsi="Arial" w:cs="Arial"/>
          <w:color w:val="000000" w:themeColor="text1"/>
        </w:rPr>
        <w:tab/>
      </w:r>
    </w:p>
    <w:p w14:paraId="3ABA05F3" w14:textId="77777777" w:rsidR="005960F0" w:rsidRPr="00AE0369" w:rsidRDefault="005960F0" w:rsidP="003F2617">
      <w:pPr>
        <w:spacing w:line="360" w:lineRule="auto"/>
        <w:ind w:left="851" w:hanging="851"/>
        <w:jc w:val="both"/>
        <w:rPr>
          <w:rFonts w:ascii="Arial" w:hAnsi="Arial" w:cs="Arial"/>
          <w:sz w:val="28"/>
          <w:szCs w:val="28"/>
        </w:rPr>
      </w:pPr>
    </w:p>
    <w:sectPr w:rsidR="005960F0" w:rsidRPr="00AE0369" w:rsidSect="00CA6CD3">
      <w:headerReference w:type="default" r:id="rId10"/>
      <w:pgSz w:w="11906" w:h="16838"/>
      <w:pgMar w:top="1440" w:right="1440" w:bottom="164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6A5AC" w14:textId="77777777" w:rsidR="00791E06" w:rsidRDefault="00791E06" w:rsidP="00DA5395">
      <w:r>
        <w:separator/>
      </w:r>
    </w:p>
  </w:endnote>
  <w:endnote w:type="continuationSeparator" w:id="0">
    <w:p w14:paraId="55AE0DEB" w14:textId="77777777" w:rsidR="00791E06" w:rsidRDefault="00791E06" w:rsidP="00DA5395">
      <w:r>
        <w:continuationSeparator/>
      </w:r>
    </w:p>
  </w:endnote>
  <w:endnote w:type="continuationNotice" w:id="1">
    <w:p w14:paraId="17AE1BA5" w14:textId="77777777" w:rsidR="00791E06" w:rsidRDefault="00791E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CDA93" w14:textId="77777777" w:rsidR="00791E06" w:rsidRDefault="00791E06" w:rsidP="00DA5395">
      <w:r>
        <w:separator/>
      </w:r>
    </w:p>
  </w:footnote>
  <w:footnote w:type="continuationSeparator" w:id="0">
    <w:p w14:paraId="3AF5C407" w14:textId="77777777" w:rsidR="00791E06" w:rsidRDefault="00791E06" w:rsidP="00DA5395">
      <w:r>
        <w:continuationSeparator/>
      </w:r>
    </w:p>
  </w:footnote>
  <w:footnote w:type="continuationNotice" w:id="1">
    <w:p w14:paraId="788C6C8C" w14:textId="77777777" w:rsidR="00791E06" w:rsidRDefault="00791E06"/>
  </w:footnote>
  <w:footnote w:id="2">
    <w:p w14:paraId="2F792025" w14:textId="77777777" w:rsidR="00957D90" w:rsidRPr="00536F23" w:rsidRDefault="00957D90">
      <w:pPr>
        <w:pStyle w:val="FootnoteText"/>
        <w:rPr>
          <w:lang w:val="en-ZA"/>
        </w:rPr>
      </w:pPr>
      <w:r>
        <w:rPr>
          <w:rStyle w:val="FootnoteReference"/>
        </w:rPr>
        <w:footnoteRef/>
      </w:r>
      <w:r>
        <w:t xml:space="preserve"> </w:t>
      </w:r>
      <w:r>
        <w:rPr>
          <w:lang w:val="en-ZA"/>
        </w:rPr>
        <w:t xml:space="preserve">Annexure “OP1” to the replying affidavit. </w:t>
      </w:r>
    </w:p>
  </w:footnote>
  <w:footnote w:id="3">
    <w:p w14:paraId="54D30129" w14:textId="77777777" w:rsidR="00957D90" w:rsidRPr="00E52E9E" w:rsidRDefault="00957D90">
      <w:pPr>
        <w:pStyle w:val="FootnoteText"/>
        <w:rPr>
          <w:lang w:val="en-ZA"/>
        </w:rPr>
      </w:pPr>
      <w:r>
        <w:rPr>
          <w:rStyle w:val="FootnoteReference"/>
        </w:rPr>
        <w:footnoteRef/>
      </w:r>
      <w:r>
        <w:t xml:space="preserve"> </w:t>
      </w:r>
      <w:r>
        <w:rPr>
          <w:lang w:val="en-ZA"/>
        </w:rPr>
        <w:t xml:space="preserve">2010 (4) SA 55 (CC). </w:t>
      </w:r>
    </w:p>
  </w:footnote>
  <w:footnote w:id="4">
    <w:p w14:paraId="3DE053F1" w14:textId="77777777" w:rsidR="00957D90" w:rsidRPr="00C7331C" w:rsidRDefault="00957D90">
      <w:pPr>
        <w:pStyle w:val="FootnoteText"/>
        <w:rPr>
          <w:lang w:val="en-US"/>
        </w:rPr>
      </w:pPr>
      <w:r>
        <w:rPr>
          <w:rStyle w:val="FootnoteReference"/>
        </w:rPr>
        <w:footnoteRef/>
      </w:r>
      <w:r>
        <w:t xml:space="preserve"> </w:t>
      </w:r>
      <w:r>
        <w:rPr>
          <w:lang w:val="en-US"/>
        </w:rPr>
        <w:t xml:space="preserve">Jordaan and Others </w:t>
      </w:r>
      <w:r>
        <w:rPr>
          <w:lang w:val="en-US"/>
        </w:rPr>
        <w:t>v City of Tshwane Metropolitan Municipality and Others [2017] ZACC 31.</w:t>
      </w:r>
    </w:p>
  </w:footnote>
  <w:footnote w:id="5">
    <w:p w14:paraId="62011A6B" w14:textId="77777777" w:rsidR="00957D90" w:rsidRPr="009A08C0" w:rsidRDefault="00957D90">
      <w:pPr>
        <w:pStyle w:val="FootnoteText"/>
        <w:rPr>
          <w:lang w:val="en-US"/>
        </w:rPr>
      </w:pPr>
      <w:r>
        <w:rPr>
          <w:rStyle w:val="FootnoteReference"/>
        </w:rPr>
        <w:footnoteRef/>
      </w:r>
      <w:r>
        <w:t xml:space="preserve"> </w:t>
      </w:r>
      <w:r>
        <w:rPr>
          <w:lang w:val="en-US"/>
        </w:rPr>
        <w:t>Joseph and Others, supra.</w:t>
      </w:r>
    </w:p>
  </w:footnote>
  <w:footnote w:id="6">
    <w:p w14:paraId="5F5F5ADA" w14:textId="77777777" w:rsidR="00957D90" w:rsidRPr="00565ECC" w:rsidRDefault="00957D90">
      <w:pPr>
        <w:pStyle w:val="FootnoteText"/>
        <w:rPr>
          <w:lang w:val="en-US"/>
        </w:rPr>
      </w:pPr>
      <w:r>
        <w:rPr>
          <w:rStyle w:val="FootnoteReference"/>
        </w:rPr>
        <w:footnoteRef/>
      </w:r>
      <w:r>
        <w:t xml:space="preserve"> </w:t>
      </w:r>
      <w:r>
        <w:rPr>
          <w:lang w:val="en-US"/>
        </w:rPr>
        <w:t>Paras 10-19 of the AA.</w:t>
      </w:r>
    </w:p>
  </w:footnote>
  <w:footnote w:id="7">
    <w:p w14:paraId="682D512F" w14:textId="77777777" w:rsidR="00957D90" w:rsidRPr="003948BE" w:rsidRDefault="00957D90">
      <w:pPr>
        <w:pStyle w:val="FootnoteText"/>
        <w:rPr>
          <w:lang w:val="en-US"/>
        </w:rPr>
      </w:pPr>
      <w:r>
        <w:rPr>
          <w:rStyle w:val="FootnoteReference"/>
        </w:rPr>
        <w:footnoteRef/>
      </w:r>
      <w:r>
        <w:t xml:space="preserve"> </w:t>
      </w:r>
      <w:r>
        <w:rPr>
          <w:lang w:val="en-US"/>
        </w:rPr>
        <w:t>Para 20 of the AA.</w:t>
      </w:r>
    </w:p>
  </w:footnote>
  <w:footnote w:id="8">
    <w:p w14:paraId="2D9058CF" w14:textId="77777777" w:rsidR="00757C8A" w:rsidRPr="00757C8A" w:rsidRDefault="00757C8A">
      <w:pPr>
        <w:pStyle w:val="FootnoteText"/>
        <w:rPr>
          <w:lang w:val="en-US"/>
        </w:rPr>
      </w:pPr>
      <w:r>
        <w:rPr>
          <w:rStyle w:val="FootnoteReference"/>
        </w:rPr>
        <w:footnoteRef/>
      </w:r>
      <w:r>
        <w:t xml:space="preserve"> </w:t>
      </w:r>
      <w:r>
        <w:rPr>
          <w:lang w:val="en-US"/>
        </w:rPr>
        <w:t>2020/2021; paras 7.1.2 and 7.1.3.</w:t>
      </w:r>
    </w:p>
  </w:footnote>
  <w:footnote w:id="9">
    <w:p w14:paraId="15ABC3C9" w14:textId="77777777" w:rsidR="0066381B" w:rsidRPr="0066381B" w:rsidRDefault="0066381B">
      <w:pPr>
        <w:pStyle w:val="FootnoteText"/>
        <w:rPr>
          <w:lang w:val="en-US"/>
        </w:rPr>
      </w:pPr>
      <w:r>
        <w:rPr>
          <w:rStyle w:val="FootnoteReference"/>
        </w:rPr>
        <w:footnoteRef/>
      </w:r>
      <w:r>
        <w:t xml:space="preserve"> </w:t>
      </w:r>
      <w:r>
        <w:rPr>
          <w:lang w:val="en-US"/>
        </w:rPr>
        <w:t>Para 4.1.</w:t>
      </w:r>
    </w:p>
  </w:footnote>
  <w:footnote w:id="10">
    <w:p w14:paraId="7982AD8A" w14:textId="77777777" w:rsidR="00C95785" w:rsidRPr="00C95785" w:rsidRDefault="00C95785">
      <w:pPr>
        <w:pStyle w:val="FootnoteText"/>
        <w:rPr>
          <w:lang w:val="en-US"/>
        </w:rPr>
      </w:pPr>
      <w:r>
        <w:rPr>
          <w:rStyle w:val="FootnoteReference"/>
        </w:rPr>
        <w:footnoteRef/>
      </w:r>
      <w:r>
        <w:t xml:space="preserve"> </w:t>
      </w:r>
      <w:r>
        <w:rPr>
          <w:lang w:val="en-US"/>
        </w:rPr>
        <w:t>Para 4.3.</w:t>
      </w:r>
    </w:p>
  </w:footnote>
  <w:footnote w:id="11">
    <w:p w14:paraId="254877D4" w14:textId="77777777" w:rsidR="00957D90" w:rsidRPr="00166401" w:rsidRDefault="00957D90">
      <w:pPr>
        <w:pStyle w:val="FootnoteText"/>
        <w:rPr>
          <w:lang w:val="en-US"/>
        </w:rPr>
      </w:pPr>
      <w:r>
        <w:rPr>
          <w:rStyle w:val="FootnoteReference"/>
        </w:rPr>
        <w:footnoteRef/>
      </w:r>
      <w:r>
        <w:t xml:space="preserve"> </w:t>
      </w:r>
      <w:r>
        <w:rPr>
          <w:lang w:val="en-US"/>
        </w:rPr>
        <w:t>Annexure “OP1” on page 62 of the Indexed papers.</w:t>
      </w:r>
    </w:p>
  </w:footnote>
  <w:footnote w:id="12">
    <w:p w14:paraId="6829BAAF" w14:textId="77777777" w:rsidR="00957D90" w:rsidRPr="004076A7" w:rsidRDefault="00957D90">
      <w:pPr>
        <w:pStyle w:val="FootnoteText"/>
        <w:rPr>
          <w:lang w:val="en-US"/>
        </w:rPr>
      </w:pPr>
      <w:r>
        <w:rPr>
          <w:rStyle w:val="FootnoteReference"/>
        </w:rPr>
        <w:footnoteRef/>
      </w:r>
      <w:r>
        <w:t xml:space="preserve"> </w:t>
      </w:r>
      <w:r>
        <w:rPr>
          <w:lang w:val="en-US"/>
        </w:rPr>
        <w:t>Para 42.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90070" w14:textId="77777777" w:rsidR="00957D90" w:rsidRDefault="00000000">
    <w:pPr>
      <w:pStyle w:val="Header"/>
      <w:jc w:val="right"/>
    </w:pPr>
    <w:sdt>
      <w:sdtPr>
        <w:id w:val="1641074034"/>
        <w:docPartObj>
          <w:docPartGallery w:val="Page Numbers (Top of Page)"/>
          <w:docPartUnique/>
        </w:docPartObj>
      </w:sdtPr>
      <w:sdtEndPr>
        <w:rPr>
          <w:noProof/>
        </w:rPr>
      </w:sdtEndPr>
      <w:sdtContent>
        <w:r w:rsidR="00957D90">
          <w:fldChar w:fldCharType="begin"/>
        </w:r>
        <w:r w:rsidR="00957D90">
          <w:instrText xml:space="preserve"> PAGE   \* MERGEFORMAT </w:instrText>
        </w:r>
        <w:r w:rsidR="00957D90">
          <w:fldChar w:fldCharType="separate"/>
        </w:r>
        <w:r w:rsidR="001A028D">
          <w:rPr>
            <w:noProof/>
          </w:rPr>
          <w:t>7</w:t>
        </w:r>
        <w:r w:rsidR="00957D90">
          <w:rPr>
            <w:noProof/>
          </w:rPr>
          <w:fldChar w:fldCharType="end"/>
        </w:r>
      </w:sdtContent>
    </w:sdt>
  </w:p>
  <w:p w14:paraId="04C284EF" w14:textId="77777777" w:rsidR="00957D90" w:rsidRDefault="00957D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36233"/>
    <w:multiLevelType w:val="hybridMultilevel"/>
    <w:tmpl w:val="3FAE639E"/>
    <w:lvl w:ilvl="0" w:tplc="0F8478AC">
      <w:start w:val="1"/>
      <w:numFmt w:val="decimal"/>
      <w:lvlText w:val="[%1]"/>
      <w:lvlJc w:val="left"/>
      <w:pPr>
        <w:ind w:left="720" w:hanging="360"/>
      </w:pPr>
      <w:rPr>
        <w:rFonts w:hint="default"/>
        <w:strike w:val="0"/>
        <w:color w:val="auto"/>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99820F1"/>
    <w:multiLevelType w:val="multilevel"/>
    <w:tmpl w:val="F26A4DA0"/>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AC35F5B"/>
    <w:multiLevelType w:val="hybridMultilevel"/>
    <w:tmpl w:val="04BCFFB0"/>
    <w:lvl w:ilvl="0" w:tplc="CF1AD304">
      <w:start w:val="89"/>
      <w:numFmt w:val="decimal"/>
      <w:lvlText w:val="%1"/>
      <w:lvlJc w:val="left"/>
      <w:pPr>
        <w:ind w:left="309"/>
      </w:pPr>
      <w:rPr>
        <w:rFonts w:ascii="Verdana" w:eastAsia="Verdana" w:hAnsi="Verdana" w:cs="Verdana"/>
        <w:b/>
        <w:bCs/>
        <w:i w:val="0"/>
        <w:strike w:val="0"/>
        <w:dstrike w:val="0"/>
        <w:color w:val="000000"/>
        <w:sz w:val="15"/>
        <w:szCs w:val="15"/>
        <w:u w:val="none" w:color="000000"/>
        <w:bdr w:val="none" w:sz="0" w:space="0" w:color="auto"/>
        <w:shd w:val="clear" w:color="auto" w:fill="auto"/>
        <w:vertAlign w:val="baseline"/>
      </w:rPr>
    </w:lvl>
    <w:lvl w:ilvl="1" w:tplc="DAA452BA">
      <w:start w:val="1"/>
      <w:numFmt w:val="decimal"/>
      <w:lvlText w:val="(%2)"/>
      <w:lvlJc w:val="left"/>
      <w:pPr>
        <w:ind w:left="72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2" w:tplc="43AEDF7C">
      <w:start w:val="1"/>
      <w:numFmt w:val="lowerLetter"/>
      <w:lvlText w:val="(%3)"/>
      <w:lvlJc w:val="left"/>
      <w:pPr>
        <w:ind w:left="1824"/>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3" w:tplc="5288A39C">
      <w:start w:val="1"/>
      <w:numFmt w:val="decimal"/>
      <w:lvlText w:val="%4"/>
      <w:lvlJc w:val="left"/>
      <w:pPr>
        <w:ind w:left="1552"/>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4" w:tplc="11B4914C">
      <w:start w:val="1"/>
      <w:numFmt w:val="lowerLetter"/>
      <w:lvlText w:val="%5"/>
      <w:lvlJc w:val="left"/>
      <w:pPr>
        <w:ind w:left="2272"/>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5" w:tplc="81D43A5C">
      <w:start w:val="1"/>
      <w:numFmt w:val="lowerRoman"/>
      <w:lvlText w:val="%6"/>
      <w:lvlJc w:val="left"/>
      <w:pPr>
        <w:ind w:left="2992"/>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6" w:tplc="31D87456">
      <w:start w:val="1"/>
      <w:numFmt w:val="decimal"/>
      <w:lvlText w:val="%7"/>
      <w:lvlJc w:val="left"/>
      <w:pPr>
        <w:ind w:left="3712"/>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7" w:tplc="937EE536">
      <w:start w:val="1"/>
      <w:numFmt w:val="lowerLetter"/>
      <w:lvlText w:val="%8"/>
      <w:lvlJc w:val="left"/>
      <w:pPr>
        <w:ind w:left="4432"/>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8" w:tplc="0F5A62E8">
      <w:start w:val="1"/>
      <w:numFmt w:val="lowerRoman"/>
      <w:lvlText w:val="%9"/>
      <w:lvlJc w:val="left"/>
      <w:pPr>
        <w:ind w:left="5152"/>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abstractNum>
  <w:abstractNum w:abstractNumId="3" w15:restartNumberingAfterBreak="0">
    <w:nsid w:val="280322DE"/>
    <w:multiLevelType w:val="hybridMultilevel"/>
    <w:tmpl w:val="466642E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AFD5810"/>
    <w:multiLevelType w:val="hybridMultilevel"/>
    <w:tmpl w:val="8668C52A"/>
    <w:lvl w:ilvl="0" w:tplc="1C09000F">
      <w:start w:val="1"/>
      <w:numFmt w:val="decimal"/>
      <w:lvlText w:val="%1."/>
      <w:lvlJc w:val="left"/>
      <w:pPr>
        <w:ind w:left="720" w:hanging="360"/>
      </w:pPr>
      <w:rPr>
        <w:rFonts w:hint="default"/>
        <w:b w:val="0"/>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E3A2127"/>
    <w:multiLevelType w:val="hybridMultilevel"/>
    <w:tmpl w:val="DB00352C"/>
    <w:lvl w:ilvl="0" w:tplc="B15A36D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305F77F1"/>
    <w:multiLevelType w:val="hybridMultilevel"/>
    <w:tmpl w:val="78329DF2"/>
    <w:lvl w:ilvl="0" w:tplc="3F60C0EA">
      <w:start w:val="1"/>
      <w:numFmt w:val="decimal"/>
      <w:lvlText w:val="%1."/>
      <w:lvlJc w:val="left"/>
      <w:pPr>
        <w:ind w:left="644" w:hanging="360"/>
      </w:pPr>
      <w:rPr>
        <w:rFonts w:hint="default"/>
        <w:i w:val="0"/>
      </w:rPr>
    </w:lvl>
    <w:lvl w:ilvl="1" w:tplc="CC0A19C6">
      <w:start w:val="1"/>
      <w:numFmt w:val="lowerLetter"/>
      <w:lvlText w:val="%2."/>
      <w:lvlJc w:val="left"/>
      <w:pPr>
        <w:ind w:left="1440" w:hanging="360"/>
      </w:pPr>
      <w:rPr>
        <w:sz w:val="20"/>
        <w:szCs w:val="20"/>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31F24E39"/>
    <w:multiLevelType w:val="hybridMultilevel"/>
    <w:tmpl w:val="EB88530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61442E51"/>
    <w:multiLevelType w:val="hybridMultilevel"/>
    <w:tmpl w:val="C0B205E6"/>
    <w:lvl w:ilvl="0" w:tplc="B5D2CCC6">
      <w:start w:val="1"/>
      <w:numFmt w:val="decimal"/>
      <w:lvlText w:val="%1."/>
      <w:lvlJc w:val="left"/>
      <w:pPr>
        <w:ind w:left="554" w:hanging="360"/>
      </w:pPr>
      <w:rPr>
        <w:rFonts w:ascii="Arial" w:eastAsia="Times New Roman" w:hAnsi="Arial" w:cs="Arial"/>
      </w:rPr>
    </w:lvl>
    <w:lvl w:ilvl="1" w:tplc="1C090019" w:tentative="1">
      <w:start w:val="1"/>
      <w:numFmt w:val="lowerLetter"/>
      <w:lvlText w:val="%2."/>
      <w:lvlJc w:val="left"/>
      <w:pPr>
        <w:ind w:left="1274" w:hanging="360"/>
      </w:pPr>
    </w:lvl>
    <w:lvl w:ilvl="2" w:tplc="1C09001B" w:tentative="1">
      <w:start w:val="1"/>
      <w:numFmt w:val="lowerRoman"/>
      <w:lvlText w:val="%3."/>
      <w:lvlJc w:val="right"/>
      <w:pPr>
        <w:ind w:left="1994" w:hanging="180"/>
      </w:pPr>
    </w:lvl>
    <w:lvl w:ilvl="3" w:tplc="1C09000F" w:tentative="1">
      <w:start w:val="1"/>
      <w:numFmt w:val="decimal"/>
      <w:lvlText w:val="%4."/>
      <w:lvlJc w:val="left"/>
      <w:pPr>
        <w:ind w:left="2714" w:hanging="360"/>
      </w:pPr>
    </w:lvl>
    <w:lvl w:ilvl="4" w:tplc="1C090019" w:tentative="1">
      <w:start w:val="1"/>
      <w:numFmt w:val="lowerLetter"/>
      <w:lvlText w:val="%5."/>
      <w:lvlJc w:val="left"/>
      <w:pPr>
        <w:ind w:left="3434" w:hanging="360"/>
      </w:pPr>
    </w:lvl>
    <w:lvl w:ilvl="5" w:tplc="1C09001B" w:tentative="1">
      <w:start w:val="1"/>
      <w:numFmt w:val="lowerRoman"/>
      <w:lvlText w:val="%6."/>
      <w:lvlJc w:val="right"/>
      <w:pPr>
        <w:ind w:left="4154" w:hanging="180"/>
      </w:pPr>
    </w:lvl>
    <w:lvl w:ilvl="6" w:tplc="1C09000F" w:tentative="1">
      <w:start w:val="1"/>
      <w:numFmt w:val="decimal"/>
      <w:lvlText w:val="%7."/>
      <w:lvlJc w:val="left"/>
      <w:pPr>
        <w:ind w:left="4874" w:hanging="360"/>
      </w:pPr>
    </w:lvl>
    <w:lvl w:ilvl="7" w:tplc="1C090019" w:tentative="1">
      <w:start w:val="1"/>
      <w:numFmt w:val="lowerLetter"/>
      <w:lvlText w:val="%8."/>
      <w:lvlJc w:val="left"/>
      <w:pPr>
        <w:ind w:left="5594" w:hanging="360"/>
      </w:pPr>
    </w:lvl>
    <w:lvl w:ilvl="8" w:tplc="1C09001B" w:tentative="1">
      <w:start w:val="1"/>
      <w:numFmt w:val="lowerRoman"/>
      <w:lvlText w:val="%9."/>
      <w:lvlJc w:val="right"/>
      <w:pPr>
        <w:ind w:left="6314" w:hanging="180"/>
      </w:pPr>
    </w:lvl>
  </w:abstractNum>
  <w:abstractNum w:abstractNumId="9" w15:restartNumberingAfterBreak="0">
    <w:nsid w:val="62EE1C90"/>
    <w:multiLevelType w:val="hybridMultilevel"/>
    <w:tmpl w:val="8E38600E"/>
    <w:lvl w:ilvl="0" w:tplc="FB6ACB08">
      <w:start w:val="1"/>
      <w:numFmt w:val="decimal"/>
      <w:lvlText w:val="%1."/>
      <w:lvlJc w:val="left"/>
      <w:pPr>
        <w:ind w:left="927" w:hanging="360"/>
      </w:pPr>
      <w:rPr>
        <w:rFonts w:hint="default"/>
        <w:sz w:val="20"/>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0" w15:restartNumberingAfterBreak="0">
    <w:nsid w:val="6A423919"/>
    <w:multiLevelType w:val="hybridMultilevel"/>
    <w:tmpl w:val="81F40AC8"/>
    <w:lvl w:ilvl="0" w:tplc="888CEBCC">
      <w:start w:val="1"/>
      <w:numFmt w:val="decimal"/>
      <w:lvlText w:val="%1."/>
      <w:lvlJc w:val="left"/>
      <w:pPr>
        <w:ind w:left="1004" w:hanging="360"/>
      </w:pPr>
      <w:rPr>
        <w:rFonts w:hint="default"/>
      </w:rPr>
    </w:lvl>
    <w:lvl w:ilvl="1" w:tplc="1C090019" w:tentative="1">
      <w:start w:val="1"/>
      <w:numFmt w:val="lowerLetter"/>
      <w:lvlText w:val="%2."/>
      <w:lvlJc w:val="left"/>
      <w:pPr>
        <w:ind w:left="1724" w:hanging="360"/>
      </w:p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11" w15:restartNumberingAfterBreak="0">
    <w:nsid w:val="6BE03973"/>
    <w:multiLevelType w:val="hybridMultilevel"/>
    <w:tmpl w:val="64DEFACA"/>
    <w:lvl w:ilvl="0" w:tplc="61EE402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6E0C21EF"/>
    <w:multiLevelType w:val="multilevel"/>
    <w:tmpl w:val="206C2698"/>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1514683758">
    <w:abstractNumId w:val="11"/>
  </w:num>
  <w:num w:numId="2" w16cid:durableId="534122668">
    <w:abstractNumId w:val="5"/>
  </w:num>
  <w:num w:numId="3" w16cid:durableId="1366708611">
    <w:abstractNumId w:val="8"/>
  </w:num>
  <w:num w:numId="4" w16cid:durableId="2027319624">
    <w:abstractNumId w:val="0"/>
  </w:num>
  <w:num w:numId="5" w16cid:durableId="1332872609">
    <w:abstractNumId w:val="1"/>
  </w:num>
  <w:num w:numId="6" w16cid:durableId="387194607">
    <w:abstractNumId w:val="12"/>
  </w:num>
  <w:num w:numId="7" w16cid:durableId="123081288">
    <w:abstractNumId w:val="6"/>
  </w:num>
  <w:num w:numId="8" w16cid:durableId="554008321">
    <w:abstractNumId w:val="10"/>
  </w:num>
  <w:num w:numId="9" w16cid:durableId="378633635">
    <w:abstractNumId w:val="2"/>
  </w:num>
  <w:num w:numId="10" w16cid:durableId="664433130">
    <w:abstractNumId w:val="3"/>
  </w:num>
  <w:num w:numId="11" w16cid:durableId="411632746">
    <w:abstractNumId w:val="7"/>
  </w:num>
  <w:num w:numId="12" w16cid:durableId="106969259">
    <w:abstractNumId w:val="4"/>
  </w:num>
  <w:num w:numId="13" w16cid:durableId="70649177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GyMLcwMjIxNzQzNzZQ0lEKTi0uzszPAykwNKsFAElR+I0tAAAA"/>
  </w:docVars>
  <w:rsids>
    <w:rsidRoot w:val="007C348D"/>
    <w:rsid w:val="00010380"/>
    <w:rsid w:val="000111F4"/>
    <w:rsid w:val="00013A3F"/>
    <w:rsid w:val="00017C1A"/>
    <w:rsid w:val="0002217F"/>
    <w:rsid w:val="000237D5"/>
    <w:rsid w:val="00024AE7"/>
    <w:rsid w:val="00025891"/>
    <w:rsid w:val="0002653A"/>
    <w:rsid w:val="000312FA"/>
    <w:rsid w:val="00036093"/>
    <w:rsid w:val="00037432"/>
    <w:rsid w:val="00041CD0"/>
    <w:rsid w:val="00042CA6"/>
    <w:rsid w:val="00047074"/>
    <w:rsid w:val="000537F0"/>
    <w:rsid w:val="00056043"/>
    <w:rsid w:val="00056E59"/>
    <w:rsid w:val="00056F05"/>
    <w:rsid w:val="00063844"/>
    <w:rsid w:val="00065F40"/>
    <w:rsid w:val="00067989"/>
    <w:rsid w:val="000712B0"/>
    <w:rsid w:val="00075F25"/>
    <w:rsid w:val="000769AB"/>
    <w:rsid w:val="00076CB8"/>
    <w:rsid w:val="00077E52"/>
    <w:rsid w:val="00080924"/>
    <w:rsid w:val="00080ACE"/>
    <w:rsid w:val="00082A3D"/>
    <w:rsid w:val="00085FA9"/>
    <w:rsid w:val="000A016A"/>
    <w:rsid w:val="000A4558"/>
    <w:rsid w:val="000A52BA"/>
    <w:rsid w:val="000A647C"/>
    <w:rsid w:val="000A7424"/>
    <w:rsid w:val="000B7255"/>
    <w:rsid w:val="000B7705"/>
    <w:rsid w:val="000C66EC"/>
    <w:rsid w:val="000C72FC"/>
    <w:rsid w:val="000C747A"/>
    <w:rsid w:val="000C77F8"/>
    <w:rsid w:val="000C7CAF"/>
    <w:rsid w:val="000D68EE"/>
    <w:rsid w:val="000E4D4E"/>
    <w:rsid w:val="000E5025"/>
    <w:rsid w:val="000E681F"/>
    <w:rsid w:val="000E7BB3"/>
    <w:rsid w:val="000F0D5A"/>
    <w:rsid w:val="000F200E"/>
    <w:rsid w:val="000F2881"/>
    <w:rsid w:val="000F713E"/>
    <w:rsid w:val="00101B7F"/>
    <w:rsid w:val="00101FFF"/>
    <w:rsid w:val="00102312"/>
    <w:rsid w:val="001030E7"/>
    <w:rsid w:val="0010369D"/>
    <w:rsid w:val="001036C0"/>
    <w:rsid w:val="0011692D"/>
    <w:rsid w:val="001202C6"/>
    <w:rsid w:val="00122559"/>
    <w:rsid w:val="00131CF1"/>
    <w:rsid w:val="00133DE4"/>
    <w:rsid w:val="00134B44"/>
    <w:rsid w:val="00136A1F"/>
    <w:rsid w:val="00141DCC"/>
    <w:rsid w:val="00143633"/>
    <w:rsid w:val="00143AAA"/>
    <w:rsid w:val="00147796"/>
    <w:rsid w:val="001479EF"/>
    <w:rsid w:val="00153BD2"/>
    <w:rsid w:val="001575AF"/>
    <w:rsid w:val="0016393F"/>
    <w:rsid w:val="00166401"/>
    <w:rsid w:val="00177377"/>
    <w:rsid w:val="001842DC"/>
    <w:rsid w:val="00187391"/>
    <w:rsid w:val="00196B60"/>
    <w:rsid w:val="001A028D"/>
    <w:rsid w:val="001A0324"/>
    <w:rsid w:val="001A1404"/>
    <w:rsid w:val="001B13B1"/>
    <w:rsid w:val="001B34F4"/>
    <w:rsid w:val="001B4208"/>
    <w:rsid w:val="001B7DC9"/>
    <w:rsid w:val="001C6B3D"/>
    <w:rsid w:val="001C6D91"/>
    <w:rsid w:val="001D0A19"/>
    <w:rsid w:val="001D15CD"/>
    <w:rsid w:val="001D54AE"/>
    <w:rsid w:val="001E1399"/>
    <w:rsid w:val="001E2FDC"/>
    <w:rsid w:val="001F6CEC"/>
    <w:rsid w:val="001F70BD"/>
    <w:rsid w:val="00201579"/>
    <w:rsid w:val="0020396B"/>
    <w:rsid w:val="002060ED"/>
    <w:rsid w:val="00212A94"/>
    <w:rsid w:val="00217700"/>
    <w:rsid w:val="002274E2"/>
    <w:rsid w:val="00234018"/>
    <w:rsid w:val="002372E5"/>
    <w:rsid w:val="00240AC1"/>
    <w:rsid w:val="00240D77"/>
    <w:rsid w:val="00241308"/>
    <w:rsid w:val="002454E6"/>
    <w:rsid w:val="00251520"/>
    <w:rsid w:val="00251A7C"/>
    <w:rsid w:val="00261FF7"/>
    <w:rsid w:val="002627AF"/>
    <w:rsid w:val="002734F8"/>
    <w:rsid w:val="00274A57"/>
    <w:rsid w:val="00274F66"/>
    <w:rsid w:val="00275063"/>
    <w:rsid w:val="00277577"/>
    <w:rsid w:val="0027763B"/>
    <w:rsid w:val="00285F92"/>
    <w:rsid w:val="00286EB0"/>
    <w:rsid w:val="00286F23"/>
    <w:rsid w:val="0029022F"/>
    <w:rsid w:val="00293159"/>
    <w:rsid w:val="002938AA"/>
    <w:rsid w:val="00296BCB"/>
    <w:rsid w:val="002A1AA4"/>
    <w:rsid w:val="002A46BB"/>
    <w:rsid w:val="002A5617"/>
    <w:rsid w:val="002A60B8"/>
    <w:rsid w:val="002A61D2"/>
    <w:rsid w:val="002A62A7"/>
    <w:rsid w:val="002A631E"/>
    <w:rsid w:val="002A7CB0"/>
    <w:rsid w:val="002A7D4B"/>
    <w:rsid w:val="002B27AB"/>
    <w:rsid w:val="002B369A"/>
    <w:rsid w:val="002B48A4"/>
    <w:rsid w:val="002C0225"/>
    <w:rsid w:val="002C4ECE"/>
    <w:rsid w:val="002C5414"/>
    <w:rsid w:val="002D31EA"/>
    <w:rsid w:val="002D3664"/>
    <w:rsid w:val="002D5E30"/>
    <w:rsid w:val="002E15CB"/>
    <w:rsid w:val="002E2905"/>
    <w:rsid w:val="002E2E53"/>
    <w:rsid w:val="002F4685"/>
    <w:rsid w:val="002F71C5"/>
    <w:rsid w:val="002F7966"/>
    <w:rsid w:val="00302D2B"/>
    <w:rsid w:val="003036C9"/>
    <w:rsid w:val="0030603E"/>
    <w:rsid w:val="003065ED"/>
    <w:rsid w:val="00310B0A"/>
    <w:rsid w:val="00313061"/>
    <w:rsid w:val="00313D1F"/>
    <w:rsid w:val="00315B14"/>
    <w:rsid w:val="00316479"/>
    <w:rsid w:val="00317078"/>
    <w:rsid w:val="00326787"/>
    <w:rsid w:val="00327340"/>
    <w:rsid w:val="003300FF"/>
    <w:rsid w:val="00331CAF"/>
    <w:rsid w:val="00343972"/>
    <w:rsid w:val="003448E3"/>
    <w:rsid w:val="003460C5"/>
    <w:rsid w:val="0035047C"/>
    <w:rsid w:val="00351967"/>
    <w:rsid w:val="00352BB3"/>
    <w:rsid w:val="00356771"/>
    <w:rsid w:val="00356D48"/>
    <w:rsid w:val="00366E58"/>
    <w:rsid w:val="003704AE"/>
    <w:rsid w:val="00372841"/>
    <w:rsid w:val="00374D49"/>
    <w:rsid w:val="003778B7"/>
    <w:rsid w:val="003805E1"/>
    <w:rsid w:val="00381160"/>
    <w:rsid w:val="00381834"/>
    <w:rsid w:val="0038239E"/>
    <w:rsid w:val="00383432"/>
    <w:rsid w:val="00385141"/>
    <w:rsid w:val="003878BB"/>
    <w:rsid w:val="003948BE"/>
    <w:rsid w:val="003B15D1"/>
    <w:rsid w:val="003B1CBE"/>
    <w:rsid w:val="003B22A4"/>
    <w:rsid w:val="003B3C7C"/>
    <w:rsid w:val="003B4BB1"/>
    <w:rsid w:val="003B6922"/>
    <w:rsid w:val="003D4E96"/>
    <w:rsid w:val="003E07F9"/>
    <w:rsid w:val="003E7FE1"/>
    <w:rsid w:val="003F2617"/>
    <w:rsid w:val="003F2D1B"/>
    <w:rsid w:val="003F30B5"/>
    <w:rsid w:val="003F410D"/>
    <w:rsid w:val="003F49BA"/>
    <w:rsid w:val="004041CC"/>
    <w:rsid w:val="00404459"/>
    <w:rsid w:val="004076A7"/>
    <w:rsid w:val="00415848"/>
    <w:rsid w:val="00416341"/>
    <w:rsid w:val="0041714C"/>
    <w:rsid w:val="0042055E"/>
    <w:rsid w:val="0042280C"/>
    <w:rsid w:val="0043416E"/>
    <w:rsid w:val="0043720B"/>
    <w:rsid w:val="00441D7B"/>
    <w:rsid w:val="00445A3F"/>
    <w:rsid w:val="0044778C"/>
    <w:rsid w:val="00447C28"/>
    <w:rsid w:val="004537CD"/>
    <w:rsid w:val="00457BF2"/>
    <w:rsid w:val="0046120C"/>
    <w:rsid w:val="0046504C"/>
    <w:rsid w:val="00467392"/>
    <w:rsid w:val="00470E1F"/>
    <w:rsid w:val="004749DA"/>
    <w:rsid w:val="00482AAD"/>
    <w:rsid w:val="00490573"/>
    <w:rsid w:val="00491045"/>
    <w:rsid w:val="004919CD"/>
    <w:rsid w:val="00491E65"/>
    <w:rsid w:val="0049477D"/>
    <w:rsid w:val="004A20A8"/>
    <w:rsid w:val="004A3257"/>
    <w:rsid w:val="004A56AE"/>
    <w:rsid w:val="004C20DC"/>
    <w:rsid w:val="004C368F"/>
    <w:rsid w:val="004D63AD"/>
    <w:rsid w:val="004E0B29"/>
    <w:rsid w:val="004E2339"/>
    <w:rsid w:val="004E243D"/>
    <w:rsid w:val="004E3022"/>
    <w:rsid w:val="004E54EB"/>
    <w:rsid w:val="004F2723"/>
    <w:rsid w:val="004F3F06"/>
    <w:rsid w:val="004F5E70"/>
    <w:rsid w:val="004F793E"/>
    <w:rsid w:val="0050073B"/>
    <w:rsid w:val="005013E3"/>
    <w:rsid w:val="0050544E"/>
    <w:rsid w:val="005054CC"/>
    <w:rsid w:val="0051095E"/>
    <w:rsid w:val="00526D41"/>
    <w:rsid w:val="00533A9E"/>
    <w:rsid w:val="00536F23"/>
    <w:rsid w:val="0054066D"/>
    <w:rsid w:val="00543088"/>
    <w:rsid w:val="005459C8"/>
    <w:rsid w:val="00554B8B"/>
    <w:rsid w:val="00557008"/>
    <w:rsid w:val="0056286B"/>
    <w:rsid w:val="0056474A"/>
    <w:rsid w:val="00565ECC"/>
    <w:rsid w:val="005835FE"/>
    <w:rsid w:val="00584EC5"/>
    <w:rsid w:val="005851C9"/>
    <w:rsid w:val="00586501"/>
    <w:rsid w:val="00591CD2"/>
    <w:rsid w:val="0059404A"/>
    <w:rsid w:val="00594EE7"/>
    <w:rsid w:val="005960F0"/>
    <w:rsid w:val="00597EFA"/>
    <w:rsid w:val="005A09B6"/>
    <w:rsid w:val="005A6F9D"/>
    <w:rsid w:val="005B1D73"/>
    <w:rsid w:val="005B271F"/>
    <w:rsid w:val="005B56EE"/>
    <w:rsid w:val="005B5C14"/>
    <w:rsid w:val="005C5FA7"/>
    <w:rsid w:val="005D0070"/>
    <w:rsid w:val="005D0D19"/>
    <w:rsid w:val="005D6CBF"/>
    <w:rsid w:val="005E0068"/>
    <w:rsid w:val="005E18AD"/>
    <w:rsid w:val="005E3597"/>
    <w:rsid w:val="005E61AB"/>
    <w:rsid w:val="005F349B"/>
    <w:rsid w:val="005F65D4"/>
    <w:rsid w:val="00601B1A"/>
    <w:rsid w:val="006057B5"/>
    <w:rsid w:val="00620500"/>
    <w:rsid w:val="0062222E"/>
    <w:rsid w:val="006231E0"/>
    <w:rsid w:val="00623854"/>
    <w:rsid w:val="00625250"/>
    <w:rsid w:val="00626E98"/>
    <w:rsid w:val="00626FFB"/>
    <w:rsid w:val="00640D44"/>
    <w:rsid w:val="00645452"/>
    <w:rsid w:val="0064795D"/>
    <w:rsid w:val="0065472D"/>
    <w:rsid w:val="00656276"/>
    <w:rsid w:val="0065643B"/>
    <w:rsid w:val="006614CC"/>
    <w:rsid w:val="00662E73"/>
    <w:rsid w:val="00663516"/>
    <w:rsid w:val="0066381B"/>
    <w:rsid w:val="00666EAC"/>
    <w:rsid w:val="00667E39"/>
    <w:rsid w:val="00671A61"/>
    <w:rsid w:val="0067316B"/>
    <w:rsid w:val="006751B4"/>
    <w:rsid w:val="0067768F"/>
    <w:rsid w:val="006823FB"/>
    <w:rsid w:val="00682AD5"/>
    <w:rsid w:val="00684F83"/>
    <w:rsid w:val="00686BC3"/>
    <w:rsid w:val="006A035D"/>
    <w:rsid w:val="006A1F93"/>
    <w:rsid w:val="006A22A9"/>
    <w:rsid w:val="006A4076"/>
    <w:rsid w:val="006A47FB"/>
    <w:rsid w:val="006B44D4"/>
    <w:rsid w:val="006C0F71"/>
    <w:rsid w:val="006C3953"/>
    <w:rsid w:val="006C7746"/>
    <w:rsid w:val="006D055C"/>
    <w:rsid w:val="006D0CAB"/>
    <w:rsid w:val="006D3165"/>
    <w:rsid w:val="006D6CC4"/>
    <w:rsid w:val="006D6F69"/>
    <w:rsid w:val="006E0733"/>
    <w:rsid w:val="006E0CE0"/>
    <w:rsid w:val="006E1673"/>
    <w:rsid w:val="006F3811"/>
    <w:rsid w:val="006F48A0"/>
    <w:rsid w:val="006F4BE7"/>
    <w:rsid w:val="007013A6"/>
    <w:rsid w:val="007033AB"/>
    <w:rsid w:val="00707BA7"/>
    <w:rsid w:val="00713FEB"/>
    <w:rsid w:val="00716CD0"/>
    <w:rsid w:val="00721246"/>
    <w:rsid w:val="00724EA2"/>
    <w:rsid w:val="0072655E"/>
    <w:rsid w:val="007270BC"/>
    <w:rsid w:val="00731AE7"/>
    <w:rsid w:val="00732E4B"/>
    <w:rsid w:val="00733379"/>
    <w:rsid w:val="00733717"/>
    <w:rsid w:val="00740049"/>
    <w:rsid w:val="0074371E"/>
    <w:rsid w:val="00744550"/>
    <w:rsid w:val="00750200"/>
    <w:rsid w:val="00751FB3"/>
    <w:rsid w:val="00752379"/>
    <w:rsid w:val="00754E32"/>
    <w:rsid w:val="00757C8A"/>
    <w:rsid w:val="0077094C"/>
    <w:rsid w:val="00774C0A"/>
    <w:rsid w:val="00781F07"/>
    <w:rsid w:val="0078679D"/>
    <w:rsid w:val="00786C0C"/>
    <w:rsid w:val="00791E06"/>
    <w:rsid w:val="0079284C"/>
    <w:rsid w:val="007937AC"/>
    <w:rsid w:val="00797293"/>
    <w:rsid w:val="007A0ECC"/>
    <w:rsid w:val="007A178E"/>
    <w:rsid w:val="007A2DC1"/>
    <w:rsid w:val="007C0CAC"/>
    <w:rsid w:val="007C2356"/>
    <w:rsid w:val="007C348D"/>
    <w:rsid w:val="007C7112"/>
    <w:rsid w:val="007C7494"/>
    <w:rsid w:val="007C77B3"/>
    <w:rsid w:val="007D1CFA"/>
    <w:rsid w:val="007D4A7C"/>
    <w:rsid w:val="007D7EEE"/>
    <w:rsid w:val="007E14F4"/>
    <w:rsid w:val="007E3399"/>
    <w:rsid w:val="007E61BB"/>
    <w:rsid w:val="007F2630"/>
    <w:rsid w:val="007F4300"/>
    <w:rsid w:val="007F4F13"/>
    <w:rsid w:val="007F6B5A"/>
    <w:rsid w:val="00800164"/>
    <w:rsid w:val="00800C08"/>
    <w:rsid w:val="008014A3"/>
    <w:rsid w:val="00804DDE"/>
    <w:rsid w:val="00810079"/>
    <w:rsid w:val="00812151"/>
    <w:rsid w:val="0081218C"/>
    <w:rsid w:val="00813651"/>
    <w:rsid w:val="0081372D"/>
    <w:rsid w:val="00813D19"/>
    <w:rsid w:val="00816F15"/>
    <w:rsid w:val="00820441"/>
    <w:rsid w:val="008234CB"/>
    <w:rsid w:val="008318BF"/>
    <w:rsid w:val="00831EAA"/>
    <w:rsid w:val="00832EED"/>
    <w:rsid w:val="00836CB3"/>
    <w:rsid w:val="00843543"/>
    <w:rsid w:val="0084509E"/>
    <w:rsid w:val="00845D99"/>
    <w:rsid w:val="00852739"/>
    <w:rsid w:val="00852C7F"/>
    <w:rsid w:val="00854466"/>
    <w:rsid w:val="00854D9F"/>
    <w:rsid w:val="00855B02"/>
    <w:rsid w:val="008632D0"/>
    <w:rsid w:val="00867AE3"/>
    <w:rsid w:val="00873B81"/>
    <w:rsid w:val="0087534B"/>
    <w:rsid w:val="00875729"/>
    <w:rsid w:val="00876CD8"/>
    <w:rsid w:val="008803C0"/>
    <w:rsid w:val="00880BB3"/>
    <w:rsid w:val="008826B9"/>
    <w:rsid w:val="00882721"/>
    <w:rsid w:val="008856D0"/>
    <w:rsid w:val="00886572"/>
    <w:rsid w:val="00891F14"/>
    <w:rsid w:val="00894EEF"/>
    <w:rsid w:val="00894F58"/>
    <w:rsid w:val="008957B5"/>
    <w:rsid w:val="008A4A0D"/>
    <w:rsid w:val="008A5D23"/>
    <w:rsid w:val="008B010A"/>
    <w:rsid w:val="008B03C5"/>
    <w:rsid w:val="008B0433"/>
    <w:rsid w:val="008B1A3F"/>
    <w:rsid w:val="008B68F7"/>
    <w:rsid w:val="008B6B38"/>
    <w:rsid w:val="008C0F83"/>
    <w:rsid w:val="008D09E3"/>
    <w:rsid w:val="008D11BE"/>
    <w:rsid w:val="008D65B7"/>
    <w:rsid w:val="008E2214"/>
    <w:rsid w:val="008E57BF"/>
    <w:rsid w:val="008E7D74"/>
    <w:rsid w:val="008F568D"/>
    <w:rsid w:val="00902522"/>
    <w:rsid w:val="00902E43"/>
    <w:rsid w:val="00905A58"/>
    <w:rsid w:val="00914772"/>
    <w:rsid w:val="00920087"/>
    <w:rsid w:val="0092232E"/>
    <w:rsid w:val="00931298"/>
    <w:rsid w:val="00933041"/>
    <w:rsid w:val="009346A8"/>
    <w:rsid w:val="00935CE2"/>
    <w:rsid w:val="00940F60"/>
    <w:rsid w:val="009418B5"/>
    <w:rsid w:val="00942E10"/>
    <w:rsid w:val="0094409C"/>
    <w:rsid w:val="0094642F"/>
    <w:rsid w:val="00947102"/>
    <w:rsid w:val="00947956"/>
    <w:rsid w:val="00947981"/>
    <w:rsid w:val="00951E22"/>
    <w:rsid w:val="0095267C"/>
    <w:rsid w:val="00952DC9"/>
    <w:rsid w:val="009561EF"/>
    <w:rsid w:val="00957D90"/>
    <w:rsid w:val="009638BA"/>
    <w:rsid w:val="00966A5D"/>
    <w:rsid w:val="009674B3"/>
    <w:rsid w:val="0097522B"/>
    <w:rsid w:val="0097658B"/>
    <w:rsid w:val="00976C0D"/>
    <w:rsid w:val="00980EB4"/>
    <w:rsid w:val="00981B3F"/>
    <w:rsid w:val="009827EF"/>
    <w:rsid w:val="00982D0A"/>
    <w:rsid w:val="0098467C"/>
    <w:rsid w:val="009866DB"/>
    <w:rsid w:val="00991A24"/>
    <w:rsid w:val="00991BA9"/>
    <w:rsid w:val="00994B47"/>
    <w:rsid w:val="00997379"/>
    <w:rsid w:val="00997718"/>
    <w:rsid w:val="009A08C0"/>
    <w:rsid w:val="009A44AB"/>
    <w:rsid w:val="009A4CAC"/>
    <w:rsid w:val="009A69BA"/>
    <w:rsid w:val="009B26F3"/>
    <w:rsid w:val="009B2E71"/>
    <w:rsid w:val="009B3A90"/>
    <w:rsid w:val="009B3CCA"/>
    <w:rsid w:val="009C0EC9"/>
    <w:rsid w:val="009C0F11"/>
    <w:rsid w:val="009C219E"/>
    <w:rsid w:val="009C6212"/>
    <w:rsid w:val="009C6ADB"/>
    <w:rsid w:val="009D1327"/>
    <w:rsid w:val="009D3A09"/>
    <w:rsid w:val="009E06E4"/>
    <w:rsid w:val="009E0D1B"/>
    <w:rsid w:val="009E1BC0"/>
    <w:rsid w:val="009E2C4D"/>
    <w:rsid w:val="009E40F8"/>
    <w:rsid w:val="009E469A"/>
    <w:rsid w:val="009E47FD"/>
    <w:rsid w:val="009F6077"/>
    <w:rsid w:val="00A00249"/>
    <w:rsid w:val="00A006C9"/>
    <w:rsid w:val="00A00820"/>
    <w:rsid w:val="00A01419"/>
    <w:rsid w:val="00A0200E"/>
    <w:rsid w:val="00A052C7"/>
    <w:rsid w:val="00A103A2"/>
    <w:rsid w:val="00A1097F"/>
    <w:rsid w:val="00A10ECE"/>
    <w:rsid w:val="00A128AC"/>
    <w:rsid w:val="00A13C97"/>
    <w:rsid w:val="00A171A6"/>
    <w:rsid w:val="00A2266C"/>
    <w:rsid w:val="00A23389"/>
    <w:rsid w:val="00A24A88"/>
    <w:rsid w:val="00A255B0"/>
    <w:rsid w:val="00A25C46"/>
    <w:rsid w:val="00A3090B"/>
    <w:rsid w:val="00A353EF"/>
    <w:rsid w:val="00A35B69"/>
    <w:rsid w:val="00A411FF"/>
    <w:rsid w:val="00A5283F"/>
    <w:rsid w:val="00A556CC"/>
    <w:rsid w:val="00A57B95"/>
    <w:rsid w:val="00A74B52"/>
    <w:rsid w:val="00A75D65"/>
    <w:rsid w:val="00A80708"/>
    <w:rsid w:val="00A816FD"/>
    <w:rsid w:val="00A81C7A"/>
    <w:rsid w:val="00A8530D"/>
    <w:rsid w:val="00A8690C"/>
    <w:rsid w:val="00A90D5C"/>
    <w:rsid w:val="00A9657C"/>
    <w:rsid w:val="00A96D6D"/>
    <w:rsid w:val="00A9771A"/>
    <w:rsid w:val="00AA11ED"/>
    <w:rsid w:val="00AA22AB"/>
    <w:rsid w:val="00AA415F"/>
    <w:rsid w:val="00AA79C2"/>
    <w:rsid w:val="00AC3902"/>
    <w:rsid w:val="00AC5040"/>
    <w:rsid w:val="00AC585D"/>
    <w:rsid w:val="00AC5AA4"/>
    <w:rsid w:val="00AC6203"/>
    <w:rsid w:val="00AC7F04"/>
    <w:rsid w:val="00AD516D"/>
    <w:rsid w:val="00AD5191"/>
    <w:rsid w:val="00AD6579"/>
    <w:rsid w:val="00AE0369"/>
    <w:rsid w:val="00AE1391"/>
    <w:rsid w:val="00AE29A3"/>
    <w:rsid w:val="00AE31F1"/>
    <w:rsid w:val="00AE3AEB"/>
    <w:rsid w:val="00AE4F41"/>
    <w:rsid w:val="00AF43A4"/>
    <w:rsid w:val="00AF514C"/>
    <w:rsid w:val="00AF594D"/>
    <w:rsid w:val="00AF61C4"/>
    <w:rsid w:val="00B0296B"/>
    <w:rsid w:val="00B06CFE"/>
    <w:rsid w:val="00B11417"/>
    <w:rsid w:val="00B20C6E"/>
    <w:rsid w:val="00B225BE"/>
    <w:rsid w:val="00B23609"/>
    <w:rsid w:val="00B238A8"/>
    <w:rsid w:val="00B307E3"/>
    <w:rsid w:val="00B30B07"/>
    <w:rsid w:val="00B315B9"/>
    <w:rsid w:val="00B32C75"/>
    <w:rsid w:val="00B405D0"/>
    <w:rsid w:val="00B4643E"/>
    <w:rsid w:val="00B465B1"/>
    <w:rsid w:val="00B50934"/>
    <w:rsid w:val="00B50972"/>
    <w:rsid w:val="00B50C73"/>
    <w:rsid w:val="00B514DA"/>
    <w:rsid w:val="00B60E9F"/>
    <w:rsid w:val="00B74A9D"/>
    <w:rsid w:val="00B77442"/>
    <w:rsid w:val="00B847F0"/>
    <w:rsid w:val="00B9108C"/>
    <w:rsid w:val="00B95D54"/>
    <w:rsid w:val="00BA06F5"/>
    <w:rsid w:val="00BA16DE"/>
    <w:rsid w:val="00BA5977"/>
    <w:rsid w:val="00BA5A85"/>
    <w:rsid w:val="00BA7A5E"/>
    <w:rsid w:val="00BB18DB"/>
    <w:rsid w:val="00BB1932"/>
    <w:rsid w:val="00BB3644"/>
    <w:rsid w:val="00BB48A3"/>
    <w:rsid w:val="00BC07EE"/>
    <w:rsid w:val="00BC3C7C"/>
    <w:rsid w:val="00BC40A8"/>
    <w:rsid w:val="00BC59FD"/>
    <w:rsid w:val="00BC6D21"/>
    <w:rsid w:val="00BD1084"/>
    <w:rsid w:val="00BD6072"/>
    <w:rsid w:val="00BD667B"/>
    <w:rsid w:val="00BD6800"/>
    <w:rsid w:val="00BE036F"/>
    <w:rsid w:val="00BE1A6F"/>
    <w:rsid w:val="00BE1B9D"/>
    <w:rsid w:val="00BE2CEF"/>
    <w:rsid w:val="00BE4C43"/>
    <w:rsid w:val="00BE4C88"/>
    <w:rsid w:val="00BF2C8F"/>
    <w:rsid w:val="00BF3000"/>
    <w:rsid w:val="00C018D6"/>
    <w:rsid w:val="00C01D44"/>
    <w:rsid w:val="00C02899"/>
    <w:rsid w:val="00C104C3"/>
    <w:rsid w:val="00C12C90"/>
    <w:rsid w:val="00C140A6"/>
    <w:rsid w:val="00C14FD9"/>
    <w:rsid w:val="00C15163"/>
    <w:rsid w:val="00C15C47"/>
    <w:rsid w:val="00C16854"/>
    <w:rsid w:val="00C17082"/>
    <w:rsid w:val="00C20DEE"/>
    <w:rsid w:val="00C268C9"/>
    <w:rsid w:val="00C26DB3"/>
    <w:rsid w:val="00C2712C"/>
    <w:rsid w:val="00C31C9E"/>
    <w:rsid w:val="00C36503"/>
    <w:rsid w:val="00C4637A"/>
    <w:rsid w:val="00C50575"/>
    <w:rsid w:val="00C5125B"/>
    <w:rsid w:val="00C530E4"/>
    <w:rsid w:val="00C563B8"/>
    <w:rsid w:val="00C6681F"/>
    <w:rsid w:val="00C66BB1"/>
    <w:rsid w:val="00C718A1"/>
    <w:rsid w:val="00C7331C"/>
    <w:rsid w:val="00C733DD"/>
    <w:rsid w:val="00C820F3"/>
    <w:rsid w:val="00C8299A"/>
    <w:rsid w:val="00C909A0"/>
    <w:rsid w:val="00C945EA"/>
    <w:rsid w:val="00C95785"/>
    <w:rsid w:val="00CA3518"/>
    <w:rsid w:val="00CA388F"/>
    <w:rsid w:val="00CA59F8"/>
    <w:rsid w:val="00CA6CD3"/>
    <w:rsid w:val="00CC139A"/>
    <w:rsid w:val="00CC4C4D"/>
    <w:rsid w:val="00CD152C"/>
    <w:rsid w:val="00CD1750"/>
    <w:rsid w:val="00CD19F3"/>
    <w:rsid w:val="00CD37C7"/>
    <w:rsid w:val="00CD509B"/>
    <w:rsid w:val="00CD5827"/>
    <w:rsid w:val="00CD6A8C"/>
    <w:rsid w:val="00CE04B1"/>
    <w:rsid w:val="00CE0B31"/>
    <w:rsid w:val="00CE39C4"/>
    <w:rsid w:val="00CE3C75"/>
    <w:rsid w:val="00CE7811"/>
    <w:rsid w:val="00CF3D71"/>
    <w:rsid w:val="00CF5AD2"/>
    <w:rsid w:val="00D040DC"/>
    <w:rsid w:val="00D066D6"/>
    <w:rsid w:val="00D07643"/>
    <w:rsid w:val="00D13684"/>
    <w:rsid w:val="00D151B9"/>
    <w:rsid w:val="00D15916"/>
    <w:rsid w:val="00D15D77"/>
    <w:rsid w:val="00D21ED6"/>
    <w:rsid w:val="00D221EC"/>
    <w:rsid w:val="00D233B3"/>
    <w:rsid w:val="00D26E04"/>
    <w:rsid w:val="00D31E63"/>
    <w:rsid w:val="00D320F8"/>
    <w:rsid w:val="00D37069"/>
    <w:rsid w:val="00D41D5B"/>
    <w:rsid w:val="00D427B2"/>
    <w:rsid w:val="00D501FE"/>
    <w:rsid w:val="00D55F80"/>
    <w:rsid w:val="00D63971"/>
    <w:rsid w:val="00D63F82"/>
    <w:rsid w:val="00D7041D"/>
    <w:rsid w:val="00D73923"/>
    <w:rsid w:val="00D74600"/>
    <w:rsid w:val="00D75B83"/>
    <w:rsid w:val="00D77923"/>
    <w:rsid w:val="00D82B1F"/>
    <w:rsid w:val="00D84A09"/>
    <w:rsid w:val="00D918E8"/>
    <w:rsid w:val="00D9526F"/>
    <w:rsid w:val="00DA5395"/>
    <w:rsid w:val="00DA7C86"/>
    <w:rsid w:val="00DB4713"/>
    <w:rsid w:val="00DB5D24"/>
    <w:rsid w:val="00DB7619"/>
    <w:rsid w:val="00DC5A12"/>
    <w:rsid w:val="00DC6873"/>
    <w:rsid w:val="00DC6A5A"/>
    <w:rsid w:val="00DE0ED3"/>
    <w:rsid w:val="00DE3FA7"/>
    <w:rsid w:val="00DE5AA8"/>
    <w:rsid w:val="00DF09A3"/>
    <w:rsid w:val="00DF15E9"/>
    <w:rsid w:val="00DF20C2"/>
    <w:rsid w:val="00E011A2"/>
    <w:rsid w:val="00E03FBA"/>
    <w:rsid w:val="00E050C1"/>
    <w:rsid w:val="00E058D4"/>
    <w:rsid w:val="00E0713E"/>
    <w:rsid w:val="00E07B48"/>
    <w:rsid w:val="00E07E9A"/>
    <w:rsid w:val="00E12897"/>
    <w:rsid w:val="00E13F80"/>
    <w:rsid w:val="00E14C16"/>
    <w:rsid w:val="00E176D6"/>
    <w:rsid w:val="00E20CC4"/>
    <w:rsid w:val="00E23295"/>
    <w:rsid w:val="00E25A71"/>
    <w:rsid w:val="00E31301"/>
    <w:rsid w:val="00E31B13"/>
    <w:rsid w:val="00E321F0"/>
    <w:rsid w:val="00E35BBD"/>
    <w:rsid w:val="00E37486"/>
    <w:rsid w:val="00E3784E"/>
    <w:rsid w:val="00E42996"/>
    <w:rsid w:val="00E437F5"/>
    <w:rsid w:val="00E46434"/>
    <w:rsid w:val="00E47C4A"/>
    <w:rsid w:val="00E51053"/>
    <w:rsid w:val="00E51FE8"/>
    <w:rsid w:val="00E52E9E"/>
    <w:rsid w:val="00E5481E"/>
    <w:rsid w:val="00E5549C"/>
    <w:rsid w:val="00E6309F"/>
    <w:rsid w:val="00E64F07"/>
    <w:rsid w:val="00E6513F"/>
    <w:rsid w:val="00E660B0"/>
    <w:rsid w:val="00E661CA"/>
    <w:rsid w:val="00E71D96"/>
    <w:rsid w:val="00E72866"/>
    <w:rsid w:val="00E74E84"/>
    <w:rsid w:val="00E75816"/>
    <w:rsid w:val="00E9198F"/>
    <w:rsid w:val="00E9554F"/>
    <w:rsid w:val="00E97B54"/>
    <w:rsid w:val="00EA0BBA"/>
    <w:rsid w:val="00EA117F"/>
    <w:rsid w:val="00EA1EE4"/>
    <w:rsid w:val="00EA291E"/>
    <w:rsid w:val="00EA5959"/>
    <w:rsid w:val="00EA598D"/>
    <w:rsid w:val="00EA5C86"/>
    <w:rsid w:val="00EA618C"/>
    <w:rsid w:val="00EA6982"/>
    <w:rsid w:val="00EA6A77"/>
    <w:rsid w:val="00EC40DB"/>
    <w:rsid w:val="00EC41C6"/>
    <w:rsid w:val="00EC5A17"/>
    <w:rsid w:val="00ED5BEE"/>
    <w:rsid w:val="00EE4AE3"/>
    <w:rsid w:val="00EF11A8"/>
    <w:rsid w:val="00EF204E"/>
    <w:rsid w:val="00EF412E"/>
    <w:rsid w:val="00EF5058"/>
    <w:rsid w:val="00EF5325"/>
    <w:rsid w:val="00EF5A67"/>
    <w:rsid w:val="00EF7ECB"/>
    <w:rsid w:val="00F00701"/>
    <w:rsid w:val="00F0291B"/>
    <w:rsid w:val="00F03E1C"/>
    <w:rsid w:val="00F05BCA"/>
    <w:rsid w:val="00F12570"/>
    <w:rsid w:val="00F14654"/>
    <w:rsid w:val="00F15380"/>
    <w:rsid w:val="00F154B3"/>
    <w:rsid w:val="00F15DB4"/>
    <w:rsid w:val="00F16639"/>
    <w:rsid w:val="00F172AD"/>
    <w:rsid w:val="00F23A49"/>
    <w:rsid w:val="00F23F8A"/>
    <w:rsid w:val="00F24BE3"/>
    <w:rsid w:val="00F2676D"/>
    <w:rsid w:val="00F308D2"/>
    <w:rsid w:val="00F34933"/>
    <w:rsid w:val="00F36C5E"/>
    <w:rsid w:val="00F3703A"/>
    <w:rsid w:val="00F424AC"/>
    <w:rsid w:val="00F445DD"/>
    <w:rsid w:val="00F45C1C"/>
    <w:rsid w:val="00F479DC"/>
    <w:rsid w:val="00F527A2"/>
    <w:rsid w:val="00F53D4E"/>
    <w:rsid w:val="00F614AA"/>
    <w:rsid w:val="00F615A3"/>
    <w:rsid w:val="00F62A42"/>
    <w:rsid w:val="00F66242"/>
    <w:rsid w:val="00F7034E"/>
    <w:rsid w:val="00F70604"/>
    <w:rsid w:val="00F7253E"/>
    <w:rsid w:val="00F72FA7"/>
    <w:rsid w:val="00F75C21"/>
    <w:rsid w:val="00F76873"/>
    <w:rsid w:val="00F80F0B"/>
    <w:rsid w:val="00F81A66"/>
    <w:rsid w:val="00F81C76"/>
    <w:rsid w:val="00F8208F"/>
    <w:rsid w:val="00F87E7C"/>
    <w:rsid w:val="00F90B4F"/>
    <w:rsid w:val="00F934F6"/>
    <w:rsid w:val="00F940D0"/>
    <w:rsid w:val="00F96DA9"/>
    <w:rsid w:val="00F96F3C"/>
    <w:rsid w:val="00F97D2D"/>
    <w:rsid w:val="00FA05B4"/>
    <w:rsid w:val="00FA2ED1"/>
    <w:rsid w:val="00FA70CA"/>
    <w:rsid w:val="00FA7405"/>
    <w:rsid w:val="00FA7912"/>
    <w:rsid w:val="00FB4682"/>
    <w:rsid w:val="00FB7BB4"/>
    <w:rsid w:val="00FC135C"/>
    <w:rsid w:val="00FD19ED"/>
    <w:rsid w:val="00FD494F"/>
    <w:rsid w:val="00FE0EE1"/>
    <w:rsid w:val="00FE4E83"/>
    <w:rsid w:val="00FE6302"/>
    <w:rsid w:val="00FE7C5A"/>
    <w:rsid w:val="00FF49A1"/>
  </w:rsids>
  <m:mathPr>
    <m:mathFont m:val="Cambria Math"/>
    <m:brkBin m:val="before"/>
    <m:brkBinSub m:val="--"/>
    <m:smallFrac m:val="0"/>
    <m:dispDef/>
    <m:lMargin m:val="0"/>
    <m:rMargin m:val="0"/>
    <m:defJc m:val="centerGroup"/>
    <m:wrapIndent m:val="1440"/>
    <m:intLim m:val="subSup"/>
    <m:naryLim m:val="undOvr"/>
  </m:mathPr>
  <w:themeFontLang w:val="en-ZA"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B04088"/>
  <w15:docId w15:val="{FF832498-575D-4D52-AAC5-0C330C242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48D"/>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5395"/>
    <w:pPr>
      <w:tabs>
        <w:tab w:val="center" w:pos="4513"/>
        <w:tab w:val="right" w:pos="9026"/>
      </w:tabs>
    </w:pPr>
  </w:style>
  <w:style w:type="character" w:customStyle="1" w:styleId="HeaderChar">
    <w:name w:val="Header Char"/>
    <w:basedOn w:val="DefaultParagraphFont"/>
    <w:link w:val="Header"/>
    <w:uiPriority w:val="99"/>
    <w:rsid w:val="00DA5395"/>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DA5395"/>
    <w:pPr>
      <w:tabs>
        <w:tab w:val="center" w:pos="4513"/>
        <w:tab w:val="right" w:pos="9026"/>
      </w:tabs>
    </w:pPr>
  </w:style>
  <w:style w:type="character" w:customStyle="1" w:styleId="FooterChar">
    <w:name w:val="Footer Char"/>
    <w:basedOn w:val="DefaultParagraphFont"/>
    <w:link w:val="Footer"/>
    <w:uiPriority w:val="99"/>
    <w:rsid w:val="00DA5395"/>
    <w:rPr>
      <w:rFonts w:ascii="Times New Roman" w:eastAsia="Times New Roman" w:hAnsi="Times New Roman" w:cs="Times New Roman"/>
      <w:sz w:val="24"/>
      <w:szCs w:val="24"/>
      <w:lang w:val="en-GB" w:eastAsia="en-GB"/>
    </w:rPr>
  </w:style>
  <w:style w:type="table" w:styleId="TableGrid">
    <w:name w:val="Table Grid"/>
    <w:basedOn w:val="TableNormal"/>
    <w:uiPriority w:val="59"/>
    <w:rsid w:val="00EF1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681F"/>
    <w:rPr>
      <w:rFonts w:ascii="Tahoma" w:hAnsi="Tahoma" w:cs="Tahoma"/>
      <w:sz w:val="16"/>
      <w:szCs w:val="16"/>
    </w:rPr>
  </w:style>
  <w:style w:type="character" w:customStyle="1" w:styleId="BalloonTextChar">
    <w:name w:val="Balloon Text Char"/>
    <w:basedOn w:val="DefaultParagraphFont"/>
    <w:link w:val="BalloonText"/>
    <w:uiPriority w:val="99"/>
    <w:semiHidden/>
    <w:rsid w:val="00C6681F"/>
    <w:rPr>
      <w:rFonts w:ascii="Tahoma" w:eastAsia="Times New Roman" w:hAnsi="Tahoma" w:cs="Tahoma"/>
      <w:sz w:val="16"/>
      <w:szCs w:val="16"/>
      <w:lang w:val="en-GB" w:eastAsia="en-GB"/>
    </w:rPr>
  </w:style>
  <w:style w:type="paragraph" w:styleId="ListParagraph">
    <w:name w:val="List Paragraph"/>
    <w:basedOn w:val="Normal"/>
    <w:uiPriority w:val="34"/>
    <w:qFormat/>
    <w:rsid w:val="00781F07"/>
    <w:pPr>
      <w:ind w:left="720"/>
      <w:contextualSpacing/>
    </w:pPr>
  </w:style>
  <w:style w:type="paragraph" w:styleId="FootnoteText">
    <w:name w:val="footnote text"/>
    <w:basedOn w:val="Normal"/>
    <w:link w:val="FootnoteTextChar"/>
    <w:uiPriority w:val="99"/>
    <w:unhideWhenUsed/>
    <w:qFormat/>
    <w:rsid w:val="00781F07"/>
    <w:rPr>
      <w:sz w:val="20"/>
      <w:szCs w:val="20"/>
    </w:rPr>
  </w:style>
  <w:style w:type="character" w:customStyle="1" w:styleId="FootnoteTextChar">
    <w:name w:val="Footnote Text Char"/>
    <w:basedOn w:val="DefaultParagraphFont"/>
    <w:link w:val="FootnoteText"/>
    <w:uiPriority w:val="99"/>
    <w:rsid w:val="00781F07"/>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semiHidden/>
    <w:unhideWhenUsed/>
    <w:rsid w:val="00781F07"/>
    <w:rPr>
      <w:vertAlign w:val="superscript"/>
    </w:rPr>
  </w:style>
  <w:style w:type="character" w:customStyle="1" w:styleId="mc">
    <w:name w:val="mc"/>
    <w:basedOn w:val="DefaultParagraphFont"/>
    <w:rsid w:val="00E46434"/>
  </w:style>
  <w:style w:type="character" w:styleId="Hyperlink">
    <w:name w:val="Hyperlink"/>
    <w:basedOn w:val="DefaultParagraphFont"/>
    <w:uiPriority w:val="99"/>
    <w:semiHidden/>
    <w:unhideWhenUsed/>
    <w:rsid w:val="00331CAF"/>
    <w:rPr>
      <w:color w:val="0000FF"/>
      <w:u w:val="single"/>
    </w:rPr>
  </w:style>
  <w:style w:type="paragraph" w:customStyle="1" w:styleId="casehead1">
    <w:name w:val="casehead1"/>
    <w:basedOn w:val="Normal"/>
    <w:rsid w:val="00C909A0"/>
    <w:pPr>
      <w:spacing w:before="100" w:beforeAutospacing="1" w:after="100" w:afterAutospacing="1"/>
    </w:pPr>
    <w:rPr>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497805">
      <w:bodyDiv w:val="1"/>
      <w:marLeft w:val="0"/>
      <w:marRight w:val="0"/>
      <w:marTop w:val="0"/>
      <w:marBottom w:val="0"/>
      <w:divBdr>
        <w:top w:val="none" w:sz="0" w:space="0" w:color="auto"/>
        <w:left w:val="none" w:sz="0" w:space="0" w:color="auto"/>
        <w:bottom w:val="none" w:sz="0" w:space="0" w:color="auto"/>
        <w:right w:val="none" w:sz="0" w:space="0" w:color="auto"/>
      </w:divBdr>
      <w:divsChild>
        <w:div w:id="2097089434">
          <w:marLeft w:val="0"/>
          <w:marRight w:val="0"/>
          <w:marTop w:val="120"/>
          <w:marBottom w:val="0"/>
          <w:divBdr>
            <w:top w:val="none" w:sz="0" w:space="0" w:color="auto"/>
            <w:left w:val="none" w:sz="0" w:space="0" w:color="auto"/>
            <w:bottom w:val="none" w:sz="0" w:space="0" w:color="auto"/>
            <w:right w:val="none" w:sz="0" w:space="0" w:color="auto"/>
          </w:divBdr>
        </w:div>
      </w:divsChild>
    </w:div>
    <w:div w:id="805244533">
      <w:bodyDiv w:val="1"/>
      <w:marLeft w:val="0"/>
      <w:marRight w:val="0"/>
      <w:marTop w:val="0"/>
      <w:marBottom w:val="0"/>
      <w:divBdr>
        <w:top w:val="none" w:sz="0" w:space="0" w:color="auto"/>
        <w:left w:val="none" w:sz="0" w:space="0" w:color="auto"/>
        <w:bottom w:val="none" w:sz="0" w:space="0" w:color="auto"/>
        <w:right w:val="none" w:sz="0" w:space="0" w:color="auto"/>
      </w:divBdr>
      <w:divsChild>
        <w:div w:id="1907764798">
          <w:marLeft w:val="0"/>
          <w:marRight w:val="0"/>
          <w:marTop w:val="120"/>
          <w:marBottom w:val="0"/>
          <w:divBdr>
            <w:top w:val="none" w:sz="0" w:space="0" w:color="auto"/>
            <w:left w:val="none" w:sz="0" w:space="0" w:color="auto"/>
            <w:bottom w:val="none" w:sz="0" w:space="0" w:color="auto"/>
            <w:right w:val="none" w:sz="0" w:space="0" w:color="auto"/>
          </w:divBdr>
        </w:div>
        <w:div w:id="332806303">
          <w:marLeft w:val="284"/>
          <w:marRight w:val="0"/>
          <w:marTop w:val="80"/>
          <w:marBottom w:val="0"/>
          <w:divBdr>
            <w:top w:val="none" w:sz="0" w:space="0" w:color="auto"/>
            <w:left w:val="none" w:sz="0" w:space="0" w:color="auto"/>
            <w:bottom w:val="none" w:sz="0" w:space="0" w:color="auto"/>
            <w:right w:val="none" w:sz="0" w:space="0" w:color="auto"/>
          </w:divBdr>
        </w:div>
        <w:div w:id="1286234705">
          <w:marLeft w:val="284"/>
          <w:marRight w:val="0"/>
          <w:marTop w:val="80"/>
          <w:marBottom w:val="0"/>
          <w:divBdr>
            <w:top w:val="none" w:sz="0" w:space="0" w:color="auto"/>
            <w:left w:val="none" w:sz="0" w:space="0" w:color="auto"/>
            <w:bottom w:val="none" w:sz="0" w:space="0" w:color="auto"/>
            <w:right w:val="none" w:sz="0" w:space="0" w:color="auto"/>
          </w:divBdr>
        </w:div>
        <w:div w:id="1866869912">
          <w:marLeft w:val="284"/>
          <w:marRight w:val="0"/>
          <w:marTop w:val="80"/>
          <w:marBottom w:val="0"/>
          <w:divBdr>
            <w:top w:val="none" w:sz="0" w:space="0" w:color="auto"/>
            <w:left w:val="none" w:sz="0" w:space="0" w:color="auto"/>
            <w:bottom w:val="none" w:sz="0" w:space="0" w:color="auto"/>
            <w:right w:val="none" w:sz="0" w:space="0" w:color="auto"/>
          </w:divBdr>
        </w:div>
        <w:div w:id="1758288579">
          <w:marLeft w:val="1134"/>
          <w:marRight w:val="0"/>
          <w:marTop w:val="60"/>
          <w:marBottom w:val="0"/>
          <w:divBdr>
            <w:top w:val="none" w:sz="0" w:space="0" w:color="auto"/>
            <w:left w:val="none" w:sz="0" w:space="0" w:color="auto"/>
            <w:bottom w:val="none" w:sz="0" w:space="0" w:color="auto"/>
            <w:right w:val="none" w:sz="0" w:space="0" w:color="auto"/>
          </w:divBdr>
        </w:div>
        <w:div w:id="410540228">
          <w:marLeft w:val="1985"/>
          <w:marRight w:val="0"/>
          <w:marTop w:val="60"/>
          <w:marBottom w:val="0"/>
          <w:divBdr>
            <w:top w:val="none" w:sz="0" w:space="0" w:color="auto"/>
            <w:left w:val="none" w:sz="0" w:space="0" w:color="auto"/>
            <w:bottom w:val="none" w:sz="0" w:space="0" w:color="auto"/>
            <w:right w:val="none" w:sz="0" w:space="0" w:color="auto"/>
          </w:divBdr>
        </w:div>
        <w:div w:id="1964269728">
          <w:marLeft w:val="1985"/>
          <w:marRight w:val="0"/>
          <w:marTop w:val="60"/>
          <w:marBottom w:val="0"/>
          <w:divBdr>
            <w:top w:val="none" w:sz="0" w:space="0" w:color="auto"/>
            <w:left w:val="none" w:sz="0" w:space="0" w:color="auto"/>
            <w:bottom w:val="none" w:sz="0" w:space="0" w:color="auto"/>
            <w:right w:val="none" w:sz="0" w:space="0" w:color="auto"/>
          </w:divBdr>
        </w:div>
        <w:div w:id="2030177281">
          <w:marLeft w:val="1134"/>
          <w:marRight w:val="0"/>
          <w:marTop w:val="60"/>
          <w:marBottom w:val="0"/>
          <w:divBdr>
            <w:top w:val="none" w:sz="0" w:space="0" w:color="auto"/>
            <w:left w:val="none" w:sz="0" w:space="0" w:color="auto"/>
            <w:bottom w:val="none" w:sz="0" w:space="0" w:color="auto"/>
            <w:right w:val="none" w:sz="0" w:space="0" w:color="auto"/>
          </w:divBdr>
        </w:div>
        <w:div w:id="34501957">
          <w:marLeft w:val="284"/>
          <w:marRight w:val="0"/>
          <w:marTop w:val="40"/>
          <w:marBottom w:val="0"/>
          <w:divBdr>
            <w:top w:val="none" w:sz="0" w:space="0" w:color="auto"/>
            <w:left w:val="none" w:sz="0" w:space="0" w:color="auto"/>
            <w:bottom w:val="none" w:sz="0" w:space="0" w:color="auto"/>
            <w:right w:val="none" w:sz="0" w:space="0" w:color="auto"/>
          </w:divBdr>
        </w:div>
        <w:div w:id="210582476">
          <w:marLeft w:val="284"/>
          <w:marRight w:val="0"/>
          <w:marTop w:val="80"/>
          <w:marBottom w:val="0"/>
          <w:divBdr>
            <w:top w:val="none" w:sz="0" w:space="0" w:color="auto"/>
            <w:left w:val="none" w:sz="0" w:space="0" w:color="auto"/>
            <w:bottom w:val="none" w:sz="0" w:space="0" w:color="auto"/>
            <w:right w:val="none" w:sz="0" w:space="0" w:color="auto"/>
          </w:divBdr>
        </w:div>
        <w:div w:id="729159637">
          <w:marLeft w:val="284"/>
          <w:marRight w:val="0"/>
          <w:marTop w:val="80"/>
          <w:marBottom w:val="0"/>
          <w:divBdr>
            <w:top w:val="none" w:sz="0" w:space="0" w:color="auto"/>
            <w:left w:val="none" w:sz="0" w:space="0" w:color="auto"/>
            <w:bottom w:val="none" w:sz="0" w:space="0" w:color="auto"/>
            <w:right w:val="none" w:sz="0" w:space="0" w:color="auto"/>
          </w:divBdr>
        </w:div>
        <w:div w:id="1572496203">
          <w:marLeft w:val="1134"/>
          <w:marRight w:val="0"/>
          <w:marTop w:val="60"/>
          <w:marBottom w:val="0"/>
          <w:divBdr>
            <w:top w:val="none" w:sz="0" w:space="0" w:color="auto"/>
            <w:left w:val="none" w:sz="0" w:space="0" w:color="auto"/>
            <w:bottom w:val="none" w:sz="0" w:space="0" w:color="auto"/>
            <w:right w:val="none" w:sz="0" w:space="0" w:color="auto"/>
          </w:divBdr>
        </w:div>
        <w:div w:id="1527593002">
          <w:marLeft w:val="1134"/>
          <w:marRight w:val="0"/>
          <w:marTop w:val="60"/>
          <w:marBottom w:val="0"/>
          <w:divBdr>
            <w:top w:val="none" w:sz="0" w:space="0" w:color="auto"/>
            <w:left w:val="none" w:sz="0" w:space="0" w:color="auto"/>
            <w:bottom w:val="none" w:sz="0" w:space="0" w:color="auto"/>
            <w:right w:val="none" w:sz="0" w:space="0" w:color="auto"/>
          </w:divBdr>
        </w:div>
        <w:div w:id="714350780">
          <w:marLeft w:val="284"/>
          <w:marRight w:val="0"/>
          <w:marTop w:val="80"/>
          <w:marBottom w:val="0"/>
          <w:divBdr>
            <w:top w:val="none" w:sz="0" w:space="0" w:color="auto"/>
            <w:left w:val="none" w:sz="0" w:space="0" w:color="auto"/>
            <w:bottom w:val="none" w:sz="0" w:space="0" w:color="auto"/>
            <w:right w:val="none" w:sz="0" w:space="0" w:color="auto"/>
          </w:divBdr>
        </w:div>
        <w:div w:id="1736470492">
          <w:marLeft w:val="284"/>
          <w:marRight w:val="0"/>
          <w:marTop w:val="80"/>
          <w:marBottom w:val="0"/>
          <w:divBdr>
            <w:top w:val="none" w:sz="0" w:space="0" w:color="auto"/>
            <w:left w:val="none" w:sz="0" w:space="0" w:color="auto"/>
            <w:bottom w:val="none" w:sz="0" w:space="0" w:color="auto"/>
            <w:right w:val="none" w:sz="0" w:space="0" w:color="auto"/>
          </w:divBdr>
        </w:div>
        <w:div w:id="49621418">
          <w:marLeft w:val="1134"/>
          <w:marRight w:val="0"/>
          <w:marTop w:val="60"/>
          <w:marBottom w:val="0"/>
          <w:divBdr>
            <w:top w:val="none" w:sz="0" w:space="0" w:color="auto"/>
            <w:left w:val="none" w:sz="0" w:space="0" w:color="auto"/>
            <w:bottom w:val="none" w:sz="0" w:space="0" w:color="auto"/>
            <w:right w:val="none" w:sz="0" w:space="0" w:color="auto"/>
          </w:divBdr>
        </w:div>
        <w:div w:id="70196742">
          <w:marLeft w:val="1134"/>
          <w:marRight w:val="0"/>
          <w:marTop w:val="60"/>
          <w:marBottom w:val="0"/>
          <w:divBdr>
            <w:top w:val="none" w:sz="0" w:space="0" w:color="auto"/>
            <w:left w:val="none" w:sz="0" w:space="0" w:color="auto"/>
            <w:bottom w:val="none" w:sz="0" w:space="0" w:color="auto"/>
            <w:right w:val="none" w:sz="0" w:space="0" w:color="auto"/>
          </w:divBdr>
        </w:div>
        <w:div w:id="1673146132">
          <w:marLeft w:val="1134"/>
          <w:marRight w:val="0"/>
          <w:marTop w:val="60"/>
          <w:marBottom w:val="0"/>
          <w:divBdr>
            <w:top w:val="none" w:sz="0" w:space="0" w:color="auto"/>
            <w:left w:val="none" w:sz="0" w:space="0" w:color="auto"/>
            <w:bottom w:val="none" w:sz="0" w:space="0" w:color="auto"/>
            <w:right w:val="none" w:sz="0" w:space="0" w:color="auto"/>
          </w:divBdr>
        </w:div>
        <w:div w:id="480773004">
          <w:marLeft w:val="1134"/>
          <w:marRight w:val="0"/>
          <w:marTop w:val="60"/>
          <w:marBottom w:val="0"/>
          <w:divBdr>
            <w:top w:val="none" w:sz="0" w:space="0" w:color="auto"/>
            <w:left w:val="none" w:sz="0" w:space="0" w:color="auto"/>
            <w:bottom w:val="none" w:sz="0" w:space="0" w:color="auto"/>
            <w:right w:val="none" w:sz="0" w:space="0" w:color="auto"/>
          </w:divBdr>
        </w:div>
        <w:div w:id="455568208">
          <w:marLeft w:val="1134"/>
          <w:marRight w:val="0"/>
          <w:marTop w:val="60"/>
          <w:marBottom w:val="0"/>
          <w:divBdr>
            <w:top w:val="none" w:sz="0" w:space="0" w:color="auto"/>
            <w:left w:val="none" w:sz="0" w:space="0" w:color="auto"/>
            <w:bottom w:val="none" w:sz="0" w:space="0" w:color="auto"/>
            <w:right w:val="none" w:sz="0" w:space="0" w:color="auto"/>
          </w:divBdr>
        </w:div>
        <w:div w:id="2087607710">
          <w:marLeft w:val="1134"/>
          <w:marRight w:val="0"/>
          <w:marTop w:val="60"/>
          <w:marBottom w:val="0"/>
          <w:divBdr>
            <w:top w:val="none" w:sz="0" w:space="0" w:color="auto"/>
            <w:left w:val="none" w:sz="0" w:space="0" w:color="auto"/>
            <w:bottom w:val="none" w:sz="0" w:space="0" w:color="auto"/>
            <w:right w:val="none" w:sz="0" w:space="0" w:color="auto"/>
          </w:divBdr>
        </w:div>
        <w:div w:id="708991372">
          <w:marLeft w:val="567"/>
          <w:marRight w:val="567"/>
          <w:marTop w:val="20"/>
          <w:marBottom w:val="20"/>
          <w:divBdr>
            <w:top w:val="none" w:sz="0" w:space="0" w:color="auto"/>
            <w:left w:val="none" w:sz="0" w:space="0" w:color="auto"/>
            <w:bottom w:val="none" w:sz="0" w:space="0" w:color="auto"/>
            <w:right w:val="none" w:sz="0" w:space="0" w:color="auto"/>
          </w:divBdr>
        </w:div>
        <w:div w:id="2091846507">
          <w:marLeft w:val="1134"/>
          <w:marRight w:val="0"/>
          <w:marTop w:val="60"/>
          <w:marBottom w:val="0"/>
          <w:divBdr>
            <w:top w:val="none" w:sz="0" w:space="0" w:color="auto"/>
            <w:left w:val="none" w:sz="0" w:space="0" w:color="auto"/>
            <w:bottom w:val="none" w:sz="0" w:space="0" w:color="auto"/>
            <w:right w:val="none" w:sz="0" w:space="0" w:color="auto"/>
          </w:divBdr>
        </w:div>
        <w:div w:id="527256401">
          <w:marLeft w:val="567"/>
          <w:marRight w:val="567"/>
          <w:marTop w:val="20"/>
          <w:marBottom w:val="20"/>
          <w:divBdr>
            <w:top w:val="none" w:sz="0" w:space="0" w:color="auto"/>
            <w:left w:val="none" w:sz="0" w:space="0" w:color="auto"/>
            <w:bottom w:val="none" w:sz="0" w:space="0" w:color="auto"/>
            <w:right w:val="none" w:sz="0" w:space="0" w:color="auto"/>
          </w:divBdr>
        </w:div>
        <w:div w:id="159589327">
          <w:marLeft w:val="284"/>
          <w:marRight w:val="0"/>
          <w:marTop w:val="80"/>
          <w:marBottom w:val="0"/>
          <w:divBdr>
            <w:top w:val="none" w:sz="0" w:space="0" w:color="auto"/>
            <w:left w:val="none" w:sz="0" w:space="0" w:color="auto"/>
            <w:bottom w:val="none" w:sz="0" w:space="0" w:color="auto"/>
            <w:right w:val="none" w:sz="0" w:space="0" w:color="auto"/>
          </w:divBdr>
        </w:div>
        <w:div w:id="1485665151">
          <w:marLeft w:val="1134"/>
          <w:marRight w:val="0"/>
          <w:marTop w:val="60"/>
          <w:marBottom w:val="0"/>
          <w:divBdr>
            <w:top w:val="none" w:sz="0" w:space="0" w:color="auto"/>
            <w:left w:val="none" w:sz="0" w:space="0" w:color="auto"/>
            <w:bottom w:val="none" w:sz="0" w:space="0" w:color="auto"/>
            <w:right w:val="none" w:sz="0" w:space="0" w:color="auto"/>
          </w:divBdr>
        </w:div>
        <w:div w:id="2110929534">
          <w:marLeft w:val="1134"/>
          <w:marRight w:val="0"/>
          <w:marTop w:val="60"/>
          <w:marBottom w:val="0"/>
          <w:divBdr>
            <w:top w:val="none" w:sz="0" w:space="0" w:color="auto"/>
            <w:left w:val="none" w:sz="0" w:space="0" w:color="auto"/>
            <w:bottom w:val="none" w:sz="0" w:space="0" w:color="auto"/>
            <w:right w:val="none" w:sz="0" w:space="0" w:color="auto"/>
          </w:divBdr>
        </w:div>
        <w:div w:id="386686095">
          <w:marLeft w:val="0"/>
          <w:marRight w:val="0"/>
          <w:marTop w:val="120"/>
          <w:marBottom w:val="0"/>
          <w:divBdr>
            <w:top w:val="none" w:sz="0" w:space="0" w:color="auto"/>
            <w:left w:val="none" w:sz="0" w:space="0" w:color="auto"/>
            <w:bottom w:val="none" w:sz="0" w:space="0" w:color="auto"/>
            <w:right w:val="none" w:sz="0" w:space="0" w:color="auto"/>
          </w:divBdr>
        </w:div>
        <w:div w:id="115493004">
          <w:marLeft w:val="1134"/>
          <w:marRight w:val="0"/>
          <w:marTop w:val="60"/>
          <w:marBottom w:val="0"/>
          <w:divBdr>
            <w:top w:val="none" w:sz="0" w:space="0" w:color="auto"/>
            <w:left w:val="none" w:sz="0" w:space="0" w:color="auto"/>
            <w:bottom w:val="none" w:sz="0" w:space="0" w:color="auto"/>
            <w:right w:val="none" w:sz="0" w:space="0" w:color="auto"/>
          </w:divBdr>
        </w:div>
        <w:div w:id="1362896348">
          <w:marLeft w:val="1134"/>
          <w:marRight w:val="0"/>
          <w:marTop w:val="60"/>
          <w:marBottom w:val="0"/>
          <w:divBdr>
            <w:top w:val="none" w:sz="0" w:space="0" w:color="auto"/>
            <w:left w:val="none" w:sz="0" w:space="0" w:color="auto"/>
            <w:bottom w:val="none" w:sz="0" w:space="0" w:color="auto"/>
            <w:right w:val="none" w:sz="0" w:space="0" w:color="auto"/>
          </w:divBdr>
        </w:div>
        <w:div w:id="1843277913">
          <w:marLeft w:val="0"/>
          <w:marRight w:val="0"/>
          <w:marTop w:val="120"/>
          <w:marBottom w:val="0"/>
          <w:divBdr>
            <w:top w:val="none" w:sz="0" w:space="0" w:color="auto"/>
            <w:left w:val="none" w:sz="0" w:space="0" w:color="auto"/>
            <w:bottom w:val="none" w:sz="0" w:space="0" w:color="auto"/>
            <w:right w:val="none" w:sz="0" w:space="0" w:color="auto"/>
          </w:divBdr>
        </w:div>
        <w:div w:id="1644503590">
          <w:marLeft w:val="0"/>
          <w:marRight w:val="0"/>
          <w:marTop w:val="120"/>
          <w:marBottom w:val="0"/>
          <w:divBdr>
            <w:top w:val="none" w:sz="0" w:space="0" w:color="auto"/>
            <w:left w:val="none" w:sz="0" w:space="0" w:color="auto"/>
            <w:bottom w:val="none" w:sz="0" w:space="0" w:color="auto"/>
            <w:right w:val="none" w:sz="0" w:space="0" w:color="auto"/>
          </w:divBdr>
        </w:div>
      </w:divsChild>
    </w:div>
    <w:div w:id="1051199123">
      <w:bodyDiv w:val="1"/>
      <w:marLeft w:val="0"/>
      <w:marRight w:val="0"/>
      <w:marTop w:val="0"/>
      <w:marBottom w:val="0"/>
      <w:divBdr>
        <w:top w:val="none" w:sz="0" w:space="0" w:color="auto"/>
        <w:left w:val="none" w:sz="0" w:space="0" w:color="auto"/>
        <w:bottom w:val="none" w:sz="0" w:space="0" w:color="auto"/>
        <w:right w:val="none" w:sz="0" w:space="0" w:color="auto"/>
      </w:divBdr>
      <w:divsChild>
        <w:div w:id="1420834934">
          <w:marLeft w:val="0"/>
          <w:marRight w:val="0"/>
          <w:marTop w:val="120"/>
          <w:marBottom w:val="0"/>
          <w:divBdr>
            <w:top w:val="none" w:sz="0" w:space="0" w:color="auto"/>
            <w:left w:val="none" w:sz="0" w:space="0" w:color="auto"/>
            <w:bottom w:val="none" w:sz="0" w:space="0" w:color="auto"/>
            <w:right w:val="none" w:sz="0" w:space="0" w:color="auto"/>
          </w:divBdr>
        </w:div>
        <w:div w:id="844172336">
          <w:marLeft w:val="0"/>
          <w:marRight w:val="0"/>
          <w:marTop w:val="240"/>
          <w:marBottom w:val="24"/>
          <w:divBdr>
            <w:top w:val="single" w:sz="8" w:space="2" w:color="808080"/>
            <w:left w:val="none" w:sz="0" w:space="0" w:color="auto"/>
            <w:bottom w:val="none" w:sz="0" w:space="0" w:color="auto"/>
            <w:right w:val="none" w:sz="0" w:space="0" w:color="auto"/>
          </w:divBdr>
        </w:div>
        <w:div w:id="697199053">
          <w:marLeft w:val="0"/>
          <w:marRight w:val="0"/>
          <w:marTop w:val="120"/>
          <w:marBottom w:val="0"/>
          <w:divBdr>
            <w:top w:val="none" w:sz="0" w:space="0" w:color="auto"/>
            <w:left w:val="none" w:sz="0" w:space="0" w:color="auto"/>
            <w:bottom w:val="none" w:sz="0" w:space="0" w:color="auto"/>
            <w:right w:val="none" w:sz="0" w:space="0" w:color="auto"/>
          </w:divBdr>
        </w:div>
        <w:div w:id="118497317">
          <w:marLeft w:val="0"/>
          <w:marRight w:val="0"/>
          <w:marTop w:val="120"/>
          <w:marBottom w:val="0"/>
          <w:divBdr>
            <w:top w:val="none" w:sz="0" w:space="0" w:color="auto"/>
            <w:left w:val="none" w:sz="0" w:space="0" w:color="auto"/>
            <w:bottom w:val="none" w:sz="0" w:space="0" w:color="auto"/>
            <w:right w:val="none" w:sz="0" w:space="0" w:color="auto"/>
          </w:divBdr>
        </w:div>
      </w:divsChild>
    </w:div>
    <w:div w:id="1073313488">
      <w:bodyDiv w:val="1"/>
      <w:marLeft w:val="0"/>
      <w:marRight w:val="0"/>
      <w:marTop w:val="0"/>
      <w:marBottom w:val="0"/>
      <w:divBdr>
        <w:top w:val="none" w:sz="0" w:space="0" w:color="auto"/>
        <w:left w:val="none" w:sz="0" w:space="0" w:color="auto"/>
        <w:bottom w:val="none" w:sz="0" w:space="0" w:color="auto"/>
        <w:right w:val="none" w:sz="0" w:space="0" w:color="auto"/>
      </w:divBdr>
      <w:divsChild>
        <w:div w:id="1481850162">
          <w:marLeft w:val="0"/>
          <w:marRight w:val="0"/>
          <w:marTop w:val="120"/>
          <w:marBottom w:val="0"/>
          <w:divBdr>
            <w:top w:val="none" w:sz="0" w:space="0" w:color="auto"/>
            <w:left w:val="none" w:sz="0" w:space="0" w:color="auto"/>
            <w:bottom w:val="none" w:sz="0" w:space="0" w:color="auto"/>
            <w:right w:val="none" w:sz="0" w:space="0" w:color="auto"/>
          </w:divBdr>
        </w:div>
        <w:div w:id="1310132206">
          <w:marLeft w:val="0"/>
          <w:marRight w:val="0"/>
          <w:marTop w:val="120"/>
          <w:marBottom w:val="0"/>
          <w:divBdr>
            <w:top w:val="none" w:sz="0" w:space="0" w:color="auto"/>
            <w:left w:val="none" w:sz="0" w:space="0" w:color="auto"/>
            <w:bottom w:val="none" w:sz="0" w:space="0" w:color="auto"/>
            <w:right w:val="none" w:sz="0" w:space="0" w:color="auto"/>
          </w:divBdr>
        </w:div>
      </w:divsChild>
    </w:div>
    <w:div w:id="1101803837">
      <w:bodyDiv w:val="1"/>
      <w:marLeft w:val="0"/>
      <w:marRight w:val="0"/>
      <w:marTop w:val="0"/>
      <w:marBottom w:val="0"/>
      <w:divBdr>
        <w:top w:val="none" w:sz="0" w:space="0" w:color="auto"/>
        <w:left w:val="none" w:sz="0" w:space="0" w:color="auto"/>
        <w:bottom w:val="none" w:sz="0" w:space="0" w:color="auto"/>
        <w:right w:val="none" w:sz="0" w:space="0" w:color="auto"/>
      </w:divBdr>
      <w:divsChild>
        <w:div w:id="2072387948">
          <w:marLeft w:val="0"/>
          <w:marRight w:val="0"/>
          <w:marTop w:val="120"/>
          <w:marBottom w:val="0"/>
          <w:divBdr>
            <w:top w:val="none" w:sz="0" w:space="0" w:color="auto"/>
            <w:left w:val="none" w:sz="0" w:space="0" w:color="auto"/>
            <w:bottom w:val="none" w:sz="0" w:space="0" w:color="auto"/>
            <w:right w:val="none" w:sz="0" w:space="0" w:color="auto"/>
          </w:divBdr>
        </w:div>
        <w:div w:id="785587353">
          <w:marLeft w:val="0"/>
          <w:marRight w:val="0"/>
          <w:marTop w:val="240"/>
          <w:marBottom w:val="24"/>
          <w:divBdr>
            <w:top w:val="single" w:sz="8" w:space="2" w:color="808080"/>
            <w:left w:val="none" w:sz="0" w:space="0" w:color="auto"/>
            <w:bottom w:val="none" w:sz="0" w:space="0" w:color="auto"/>
            <w:right w:val="none" w:sz="0" w:space="0" w:color="auto"/>
          </w:divBdr>
        </w:div>
        <w:div w:id="416875261">
          <w:marLeft w:val="0"/>
          <w:marRight w:val="0"/>
          <w:marTop w:val="120"/>
          <w:marBottom w:val="0"/>
          <w:divBdr>
            <w:top w:val="none" w:sz="0" w:space="0" w:color="auto"/>
            <w:left w:val="none" w:sz="0" w:space="0" w:color="auto"/>
            <w:bottom w:val="none" w:sz="0" w:space="0" w:color="auto"/>
            <w:right w:val="none" w:sz="0" w:space="0" w:color="auto"/>
          </w:divBdr>
        </w:div>
        <w:div w:id="1010065927">
          <w:marLeft w:val="0"/>
          <w:marRight w:val="0"/>
          <w:marTop w:val="120"/>
          <w:marBottom w:val="0"/>
          <w:divBdr>
            <w:top w:val="none" w:sz="0" w:space="0" w:color="auto"/>
            <w:left w:val="none" w:sz="0" w:space="0" w:color="auto"/>
            <w:bottom w:val="none" w:sz="0" w:space="0" w:color="auto"/>
            <w:right w:val="none" w:sz="0" w:space="0" w:color="auto"/>
          </w:divBdr>
        </w:div>
      </w:divsChild>
    </w:div>
    <w:div w:id="1353143177">
      <w:bodyDiv w:val="1"/>
      <w:marLeft w:val="0"/>
      <w:marRight w:val="0"/>
      <w:marTop w:val="0"/>
      <w:marBottom w:val="0"/>
      <w:divBdr>
        <w:top w:val="none" w:sz="0" w:space="0" w:color="auto"/>
        <w:left w:val="none" w:sz="0" w:space="0" w:color="auto"/>
        <w:bottom w:val="none" w:sz="0" w:space="0" w:color="auto"/>
        <w:right w:val="none" w:sz="0" w:space="0" w:color="auto"/>
      </w:divBdr>
      <w:divsChild>
        <w:div w:id="824011088">
          <w:marLeft w:val="0"/>
          <w:marRight w:val="0"/>
          <w:marTop w:val="120"/>
          <w:marBottom w:val="0"/>
          <w:divBdr>
            <w:top w:val="none" w:sz="0" w:space="0" w:color="auto"/>
            <w:left w:val="none" w:sz="0" w:space="0" w:color="auto"/>
            <w:bottom w:val="none" w:sz="0" w:space="0" w:color="auto"/>
            <w:right w:val="none" w:sz="0" w:space="0" w:color="auto"/>
          </w:divBdr>
        </w:div>
      </w:divsChild>
    </w:div>
    <w:div w:id="1657107118">
      <w:bodyDiv w:val="1"/>
      <w:marLeft w:val="0"/>
      <w:marRight w:val="0"/>
      <w:marTop w:val="0"/>
      <w:marBottom w:val="0"/>
      <w:divBdr>
        <w:top w:val="none" w:sz="0" w:space="0" w:color="auto"/>
        <w:left w:val="none" w:sz="0" w:space="0" w:color="auto"/>
        <w:bottom w:val="none" w:sz="0" w:space="0" w:color="auto"/>
        <w:right w:val="none" w:sz="0" w:space="0" w:color="auto"/>
      </w:divBdr>
      <w:divsChild>
        <w:div w:id="284580602">
          <w:marLeft w:val="284"/>
          <w:marRight w:val="0"/>
          <w:marTop w:val="80"/>
          <w:marBottom w:val="0"/>
          <w:divBdr>
            <w:top w:val="none" w:sz="0" w:space="0" w:color="auto"/>
            <w:left w:val="none" w:sz="0" w:space="0" w:color="auto"/>
            <w:bottom w:val="none" w:sz="0" w:space="0" w:color="auto"/>
            <w:right w:val="none" w:sz="0" w:space="0" w:color="auto"/>
          </w:divBdr>
        </w:div>
        <w:div w:id="1553536676">
          <w:marLeft w:val="1134"/>
          <w:marRight w:val="0"/>
          <w:marTop w:val="60"/>
          <w:marBottom w:val="0"/>
          <w:divBdr>
            <w:top w:val="none" w:sz="0" w:space="0" w:color="auto"/>
            <w:left w:val="none" w:sz="0" w:space="0" w:color="auto"/>
            <w:bottom w:val="none" w:sz="0" w:space="0" w:color="auto"/>
            <w:right w:val="none" w:sz="0" w:space="0" w:color="auto"/>
          </w:divBdr>
        </w:div>
        <w:div w:id="287010593">
          <w:marLeft w:val="1985"/>
          <w:marRight w:val="0"/>
          <w:marTop w:val="60"/>
          <w:marBottom w:val="0"/>
          <w:divBdr>
            <w:top w:val="none" w:sz="0" w:space="0" w:color="auto"/>
            <w:left w:val="none" w:sz="0" w:space="0" w:color="auto"/>
            <w:bottom w:val="none" w:sz="0" w:space="0" w:color="auto"/>
            <w:right w:val="none" w:sz="0" w:space="0" w:color="auto"/>
          </w:divBdr>
        </w:div>
        <w:div w:id="1771464212">
          <w:marLeft w:val="1985"/>
          <w:marRight w:val="0"/>
          <w:marTop w:val="60"/>
          <w:marBottom w:val="0"/>
          <w:divBdr>
            <w:top w:val="none" w:sz="0" w:space="0" w:color="auto"/>
            <w:left w:val="none" w:sz="0" w:space="0" w:color="auto"/>
            <w:bottom w:val="none" w:sz="0" w:space="0" w:color="auto"/>
            <w:right w:val="none" w:sz="0" w:space="0" w:color="auto"/>
          </w:divBdr>
        </w:div>
        <w:div w:id="1044407482">
          <w:marLeft w:val="1134"/>
          <w:marRight w:val="0"/>
          <w:marTop w:val="60"/>
          <w:marBottom w:val="0"/>
          <w:divBdr>
            <w:top w:val="none" w:sz="0" w:space="0" w:color="auto"/>
            <w:left w:val="none" w:sz="0" w:space="0" w:color="auto"/>
            <w:bottom w:val="none" w:sz="0" w:space="0" w:color="auto"/>
            <w:right w:val="none" w:sz="0" w:space="0" w:color="auto"/>
          </w:divBdr>
        </w:div>
      </w:divsChild>
    </w:div>
    <w:div w:id="1760176658">
      <w:bodyDiv w:val="1"/>
      <w:marLeft w:val="0"/>
      <w:marRight w:val="0"/>
      <w:marTop w:val="0"/>
      <w:marBottom w:val="0"/>
      <w:divBdr>
        <w:top w:val="none" w:sz="0" w:space="0" w:color="auto"/>
        <w:left w:val="none" w:sz="0" w:space="0" w:color="auto"/>
        <w:bottom w:val="none" w:sz="0" w:space="0" w:color="auto"/>
        <w:right w:val="none" w:sz="0" w:space="0" w:color="auto"/>
      </w:divBdr>
    </w:div>
    <w:div w:id="1815177631">
      <w:bodyDiv w:val="1"/>
      <w:marLeft w:val="0"/>
      <w:marRight w:val="0"/>
      <w:marTop w:val="0"/>
      <w:marBottom w:val="0"/>
      <w:divBdr>
        <w:top w:val="none" w:sz="0" w:space="0" w:color="auto"/>
        <w:left w:val="none" w:sz="0" w:space="0" w:color="auto"/>
        <w:bottom w:val="none" w:sz="0" w:space="0" w:color="auto"/>
        <w:right w:val="none" w:sz="0" w:space="0" w:color="auto"/>
      </w:divBdr>
      <w:divsChild>
        <w:div w:id="1300379227">
          <w:marLeft w:val="0"/>
          <w:marRight w:val="0"/>
          <w:marTop w:val="144"/>
          <w:marBottom w:val="24"/>
          <w:divBdr>
            <w:top w:val="none" w:sz="0" w:space="0" w:color="auto"/>
            <w:left w:val="none" w:sz="0" w:space="0" w:color="auto"/>
            <w:bottom w:val="none" w:sz="0" w:space="0" w:color="auto"/>
            <w:right w:val="none" w:sz="0" w:space="0" w:color="auto"/>
          </w:divBdr>
        </w:div>
      </w:divsChild>
    </w:div>
    <w:div w:id="2078555941">
      <w:bodyDiv w:val="1"/>
      <w:marLeft w:val="0"/>
      <w:marRight w:val="0"/>
      <w:marTop w:val="0"/>
      <w:marBottom w:val="0"/>
      <w:divBdr>
        <w:top w:val="none" w:sz="0" w:space="0" w:color="auto"/>
        <w:left w:val="none" w:sz="0" w:space="0" w:color="auto"/>
        <w:bottom w:val="none" w:sz="0" w:space="0" w:color="auto"/>
        <w:right w:val="none" w:sz="0" w:space="0" w:color="auto"/>
      </w:divBdr>
      <w:divsChild>
        <w:div w:id="182059558">
          <w:marLeft w:val="0"/>
          <w:marRight w:val="0"/>
          <w:marTop w:val="120"/>
          <w:marBottom w:val="0"/>
          <w:divBdr>
            <w:top w:val="none" w:sz="0" w:space="0" w:color="auto"/>
            <w:left w:val="none" w:sz="0" w:space="0" w:color="auto"/>
            <w:bottom w:val="none" w:sz="0" w:space="0" w:color="auto"/>
            <w:right w:val="none" w:sz="0" w:space="0" w:color="auto"/>
          </w:divBdr>
        </w:div>
        <w:div w:id="1952666396">
          <w:marLeft w:val="567"/>
          <w:marRight w:val="0"/>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3.png@01D32573.78E90440"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20202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1F173-75A6-408F-A904-5F379B13D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7</Pages>
  <Words>1748</Words>
  <Characters>9965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Judge-Johannes Daffue</dc:creator>
  <cp:keywords/>
  <dc:description/>
  <cp:lastModifiedBy>Lilitha Mdleleni</cp:lastModifiedBy>
  <cp:revision>39</cp:revision>
  <cp:lastPrinted>2023-11-16T07:17:00Z</cp:lastPrinted>
  <dcterms:created xsi:type="dcterms:W3CDTF">2023-11-13T13:44:00Z</dcterms:created>
  <dcterms:modified xsi:type="dcterms:W3CDTF">2023-11-20T14:57:00Z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57b65fd134b5309cb1ba602393baf3e320b135b864d1ba55b140df27cee3b594</vt:lpwstr>
  </property>
</Properties>
</file>