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EE2A" w14:textId="77777777" w:rsidR="00A6205E" w:rsidRPr="00A6205E" w:rsidRDefault="00A6205E" w:rsidP="00A6205E">
      <w:pPr>
        <w:spacing w:after="0" w:line="360" w:lineRule="auto"/>
        <w:ind w:left="299" w:hangingChars="127" w:hanging="299"/>
        <w:jc w:val="center"/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</w:pPr>
      <w:r w:rsidRPr="00A6205E"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  <w:t>REPUBLIC OF SOUTH AFRICA</w:t>
      </w:r>
    </w:p>
    <w:p w14:paraId="5BBFBE16" w14:textId="77777777" w:rsidR="00A6205E" w:rsidRPr="00A6205E" w:rsidRDefault="00A6205E" w:rsidP="00A6205E">
      <w:pPr>
        <w:spacing w:after="0" w:line="360" w:lineRule="auto"/>
        <w:ind w:left="306" w:hangingChars="127" w:hanging="306"/>
        <w:jc w:val="center"/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</w:pPr>
      <w:r w:rsidRPr="00A6205E">
        <w:rPr>
          <w:rFonts w:ascii="Arial" w:eastAsia="MS Mincho" w:hAnsi="Arial" w:cs="Arial"/>
          <w:b/>
          <w:noProof/>
          <w:sz w:val="24"/>
          <w:szCs w:val="24"/>
          <w:lang w:val="en-ZA" w:eastAsia="en-ZA"/>
          <w14:ligatures w14:val="none"/>
        </w:rPr>
        <w:drawing>
          <wp:inline distT="0" distB="0" distL="0" distR="0" wp14:anchorId="04F65225" wp14:editId="78BA0864">
            <wp:extent cx="147320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C4382" w14:textId="77777777" w:rsidR="00A6205E" w:rsidRPr="00A6205E" w:rsidRDefault="00A6205E" w:rsidP="00A6205E">
      <w:pPr>
        <w:spacing w:after="0" w:line="360" w:lineRule="auto"/>
        <w:ind w:left="299" w:hangingChars="127" w:hanging="299"/>
        <w:jc w:val="center"/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</w:pPr>
      <w:r w:rsidRPr="00A6205E"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  <w:t>IN THE HIGH COURT OF SOUTH AFRICA</w:t>
      </w:r>
    </w:p>
    <w:p w14:paraId="33E6B32F" w14:textId="77777777" w:rsidR="00A6205E" w:rsidRPr="00A6205E" w:rsidRDefault="00A6205E" w:rsidP="00A6205E">
      <w:pPr>
        <w:spacing w:after="0" w:line="360" w:lineRule="auto"/>
        <w:ind w:left="299" w:hangingChars="127" w:hanging="299"/>
        <w:jc w:val="center"/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</w:pPr>
      <w:r w:rsidRPr="00A6205E"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  <w:t>GAUTENG LOCAL DIVISION, JOHANNESBURG</w:t>
      </w:r>
    </w:p>
    <w:p w14:paraId="3474ED90" w14:textId="77777777" w:rsidR="00A6205E" w:rsidRPr="00A6205E" w:rsidRDefault="00A6205E" w:rsidP="00A6205E">
      <w:pPr>
        <w:spacing w:after="0" w:line="360" w:lineRule="auto"/>
        <w:ind w:left="299" w:hangingChars="127" w:hanging="299"/>
        <w:jc w:val="center"/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</w:pPr>
    </w:p>
    <w:p w14:paraId="04CA7ED7" w14:textId="1B7FDDFB" w:rsidR="00A6205E" w:rsidRPr="00A6205E" w:rsidRDefault="00A6205E" w:rsidP="00A6205E">
      <w:pPr>
        <w:spacing w:after="0" w:line="360" w:lineRule="auto"/>
        <w:ind w:left="299" w:hangingChars="127" w:hanging="299"/>
        <w:jc w:val="right"/>
        <w:rPr>
          <w:rFonts w:ascii="Arial" w:eastAsia="Times New Roman" w:hAnsi="Arial" w:cs="Arial"/>
          <w:b/>
          <w:kern w:val="25"/>
          <w:sz w:val="24"/>
          <w:szCs w:val="24"/>
          <w:lang w:eastAsia="en-GB"/>
          <w14:ligatures w14:val="none"/>
        </w:rPr>
      </w:pPr>
      <w:r w:rsidRPr="00A6205E"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  <w:tab/>
      </w:r>
      <w:r w:rsidRPr="00A6205E"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  <w:tab/>
      </w:r>
      <w:r w:rsidRPr="00A6205E"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  <w:tab/>
      </w:r>
      <w:r w:rsidRPr="00A6205E"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  <w:tab/>
      </w:r>
      <w:r w:rsidRPr="00A6205E"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  <w:tab/>
        <w:t>CASE NO:</w:t>
      </w:r>
      <w:r w:rsidRPr="00A6205E">
        <w:rPr>
          <w:rFonts w:ascii="Arial" w:eastAsia="Times New Roman" w:hAnsi="Arial" w:cs="Arial"/>
          <w:b/>
          <w:kern w:val="25"/>
          <w:sz w:val="24"/>
          <w:szCs w:val="24"/>
          <w:lang w:eastAsia="en-GB"/>
          <w14:ligatures w14:val="none"/>
        </w:rPr>
        <w:t xml:space="preserve"> </w:t>
      </w:r>
      <w:r w:rsidR="00A40400" w:rsidRPr="00A40400">
        <w:rPr>
          <w:rFonts w:ascii="Arial" w:eastAsia="Times New Roman" w:hAnsi="Arial" w:cs="Arial"/>
          <w:b/>
          <w:bCs/>
          <w:kern w:val="25"/>
          <w:sz w:val="24"/>
          <w:szCs w:val="24"/>
          <w:lang w:eastAsia="en-GB"/>
          <w14:ligatures w14:val="none"/>
        </w:rPr>
        <w:t>2019/24387</w:t>
      </w:r>
    </w:p>
    <w:p w14:paraId="6770A331" w14:textId="5C0F8159" w:rsidR="00A6205E" w:rsidRPr="00A6205E" w:rsidRDefault="00AB1346" w:rsidP="00A6205E">
      <w:pPr>
        <w:spacing w:after="0" w:line="360" w:lineRule="auto"/>
        <w:ind w:left="305" w:hangingChars="127" w:hanging="305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  <w14:ligatures w14:val="none"/>
        </w:rPr>
      </w:pPr>
      <w:r w:rsidRPr="00A6205E">
        <w:rPr>
          <w:rFonts w:ascii="Arial" w:eastAsia="MS Mincho" w:hAnsi="Arial" w:cs="Arial"/>
          <w:noProof/>
          <w:sz w:val="24"/>
          <w:szCs w:val="24"/>
          <w:lang w:val="en-ZA" w:eastAsia="en-ZA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0D1F4" wp14:editId="08B0A2FD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3314700" cy="12382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BF603" w14:textId="77777777" w:rsidR="00A6205E" w:rsidRPr="004120A8" w:rsidRDefault="00A6205E" w:rsidP="00A620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  <w:szCs w:val="18"/>
                              </w:rPr>
                            </w:pPr>
                          </w:p>
                          <w:p w14:paraId="3DB98E4F" w14:textId="3CF4F066" w:rsidR="00A6205E" w:rsidRPr="004120A8" w:rsidRDefault="00E85584" w:rsidP="00E85584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(1)</w:t>
                            </w:r>
                            <w:r w:rsidRPr="004120A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A6205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REPORTABLE: NO</w:t>
                            </w:r>
                          </w:p>
                          <w:p w14:paraId="12952F8A" w14:textId="2E242D91" w:rsidR="00A6205E" w:rsidRPr="004120A8" w:rsidRDefault="00E85584" w:rsidP="00E85584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(2)</w:t>
                            </w:r>
                            <w:r w:rsidRPr="004120A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A6205E" w:rsidRPr="004120A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</w:t>
                            </w:r>
                            <w:r w:rsidR="00A6205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F INTEREST TO OTHER JUDGES: </w:t>
                            </w:r>
                            <w:r w:rsidR="00A4040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004D7583" w14:textId="0FBF04B4" w:rsidR="00A6205E" w:rsidRDefault="00E85584" w:rsidP="00E85584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(3)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A6205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REVISED: NO</w:t>
                            </w:r>
                          </w:p>
                          <w:p w14:paraId="36A1D4CB" w14:textId="77777777" w:rsidR="00A6205E" w:rsidRDefault="00A6205E" w:rsidP="00A6205E">
                            <w:pPr>
                              <w:spacing w:after="0"/>
                              <w:ind w:left="90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96D3E0B" w14:textId="77777777" w:rsidR="00A6205E" w:rsidRPr="00CE3BCB" w:rsidRDefault="00A6205E" w:rsidP="00A6205E">
                            <w:pPr>
                              <w:spacing w:after="0"/>
                              <w:ind w:left="90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EF23377" w14:textId="68CECC45" w:rsidR="00A6205E" w:rsidRPr="004120A8" w:rsidRDefault="00A6205E" w:rsidP="00A6205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…………..………….............</w:t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</w:t>
                            </w:r>
                            <w:r w:rsidR="00D6295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D6295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/2023…</w:t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5CAD45A7" w14:textId="77777777" w:rsidR="00A6205E" w:rsidRPr="004120A8" w:rsidRDefault="00A6205E" w:rsidP="00A6205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  <w:p w14:paraId="7E560762" w14:textId="77777777" w:rsidR="00A6205E" w:rsidRPr="004120A8" w:rsidRDefault="00A6205E" w:rsidP="00A6205E">
                            <w:pPr>
                              <w:rPr>
                                <w:rFonts w:ascii="Century Gothic" w:hAnsi="Century Gothic"/>
                                <w:b/>
                                <w:sz w:val="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0D1F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4.6pt;width:261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zOFwIAACwEAAAOAAAAZHJzL2Uyb0RvYy54bWysU9tu2zAMfR+wfxD0vviSZE2NOEWXLsOA&#10;7gJ0+wBZlm1hsqhJSuzs60vJaRp028swPQiiSB2Rh4frm7FX5CCsk6BLms1SSoTmUEvdlvT7t92b&#10;FSXOM10zBVqU9Cgcvdm8frUeTCFy6EDVwhIE0a4YTEk7702RJI53omduBkZodDZge+bRtG1SWzYg&#10;eq+SPE3fJgPY2ljgwjm8vZucdBPxm0Zw/6VpnPBElRRz83G3ca/CnmzWrGgtM53kpzTYP2TRM6nx&#10;0zPUHfOM7K38DaqX3IKDxs849Ak0jeQi1oDVZOmLah46ZkSsBclx5kyT+3+w/PPhwXy1xI/vYMQG&#10;xiKcuQf+wxEN247pVtxaC0MnWI0fZ4GyZDCuOD0NVLvCBZBq+AQ1NpntPUSgsbF9YAXrJIiODTie&#10;SRejJxwv5/NscZWii6Mvy+erfBnbkrDi6bmxzn8Q0JNwKKnFrkZ4drh3PqTDiqeQ8JsDJeudVCoa&#10;tq22ypIDQwXs4ooVvAhTmgwlvV7my4mBv0Kkcf0JopcepaxkX9LVOYgVgbf3uo5C80yq6YwpK30i&#10;MnA3sejHasTAQGgF9REptTBJFkcMDx3YX5QMKNeSup97ZgUl6qPGtlxni0XQdzQWy6scDXvpqS49&#10;THOEKqmnZDpu/TQTe2Nl2+FPkxA03GIrGxlJfs7qlDdKMnJ/Gp+g+Us7Rj0P+eYRAAD//wMAUEsD&#10;BBQABgAIAAAAIQCrlqci3AAAAAYBAAAPAAAAZHJzL2Rvd25yZXYueG1sTI/BTsMwEETvSPyDtUhc&#10;EHUwpbQhToWQQHCDguDqxtskwl4H203D37Oc4Dia0cybaj15J0aMqQ+k4WJWgEBqgu2p1fD2en++&#10;BJGyIWtcINTwjQnW9fFRZUobDvSC4ya3gksolUZDl/NQSpmaDr1JszAgsbcL0ZvMMrbSRnPgcu+k&#10;KoqF9KYnXujMgHcdNp+bvdewnD+OH+np8vm9WezcKp9djw9fUevTk+n2BkTGKf+F4Ref0aFmpm3Y&#10;k03CaeAjWcNKgWDzSinWWw2qmCuQdSX/49c/AAAA//8DAFBLAQItABQABgAIAAAAIQC2gziS/gAA&#10;AOEBAAATAAAAAAAAAAAAAAAAAAAAAABbQ29udGVudF9UeXBlc10ueG1sUEsBAi0AFAAGAAgAAAAh&#10;ADj9If/WAAAAlAEAAAsAAAAAAAAAAAAAAAAALwEAAF9yZWxzLy5yZWxzUEsBAi0AFAAGAAgAAAAh&#10;AOS6PM4XAgAALAQAAA4AAAAAAAAAAAAAAAAALgIAAGRycy9lMm9Eb2MueG1sUEsBAi0AFAAGAAgA&#10;AAAhAKuWpyLcAAAABgEAAA8AAAAAAAAAAAAAAAAAcQQAAGRycy9kb3ducmV2LnhtbFBLBQYAAAAA&#10;BAAEAPMAAAB6BQAAAAA=&#10;">
                <v:textbox>
                  <w:txbxContent>
                    <w:p w14:paraId="1A1BF603" w14:textId="77777777" w:rsidR="00A6205E" w:rsidRPr="004120A8" w:rsidRDefault="00A6205E" w:rsidP="00A6205E">
                      <w:pPr>
                        <w:jc w:val="center"/>
                        <w:rPr>
                          <w:rFonts w:ascii="Century Gothic" w:hAnsi="Century Gothic"/>
                          <w:b/>
                          <w:sz w:val="2"/>
                          <w:szCs w:val="18"/>
                        </w:rPr>
                      </w:pPr>
                    </w:p>
                    <w:p w14:paraId="3DB98E4F" w14:textId="3CF4F066" w:rsidR="00A6205E" w:rsidRPr="004120A8" w:rsidRDefault="00E85584" w:rsidP="00E85584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sz w:val="18"/>
                          <w:szCs w:val="18"/>
                        </w:rPr>
                        <w:t>(1)</w:t>
                      </w:r>
                      <w:r w:rsidRPr="004120A8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A6205E">
                        <w:rPr>
                          <w:rFonts w:ascii="Century Gothic" w:hAnsi="Century Gothic"/>
                          <w:sz w:val="18"/>
                          <w:szCs w:val="18"/>
                        </w:rPr>
                        <w:t>REPORTABLE: NO</w:t>
                      </w:r>
                    </w:p>
                    <w:p w14:paraId="12952F8A" w14:textId="2E242D91" w:rsidR="00A6205E" w:rsidRPr="004120A8" w:rsidRDefault="00E85584" w:rsidP="00E85584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sz w:val="18"/>
                          <w:szCs w:val="18"/>
                        </w:rPr>
                        <w:t>(2)</w:t>
                      </w:r>
                      <w:r w:rsidRPr="004120A8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A6205E" w:rsidRPr="004120A8">
                        <w:rPr>
                          <w:rFonts w:ascii="Century Gothic" w:hAnsi="Century Gothic"/>
                          <w:sz w:val="18"/>
                          <w:szCs w:val="18"/>
                        </w:rPr>
                        <w:t>O</w:t>
                      </w:r>
                      <w:r w:rsidR="00A6205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F INTEREST TO OTHER JUDGES: </w:t>
                      </w:r>
                      <w:r w:rsidR="00A40400">
                        <w:rPr>
                          <w:rFonts w:ascii="Century Gothic" w:hAnsi="Century Gothic"/>
                          <w:sz w:val="18"/>
                          <w:szCs w:val="18"/>
                        </w:rPr>
                        <w:t>YES</w:t>
                      </w:r>
                    </w:p>
                    <w:p w14:paraId="004D7583" w14:textId="0FBF04B4" w:rsidR="00A6205E" w:rsidRDefault="00E85584" w:rsidP="00E85584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(3)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A6205E">
                        <w:rPr>
                          <w:rFonts w:ascii="Century Gothic" w:hAnsi="Century Gothic"/>
                          <w:sz w:val="18"/>
                          <w:szCs w:val="18"/>
                        </w:rPr>
                        <w:t>REVISED: NO</w:t>
                      </w:r>
                    </w:p>
                    <w:p w14:paraId="36A1D4CB" w14:textId="77777777" w:rsidR="00A6205E" w:rsidRDefault="00A6205E" w:rsidP="00A6205E">
                      <w:pPr>
                        <w:spacing w:after="0"/>
                        <w:ind w:left="90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96D3E0B" w14:textId="77777777" w:rsidR="00A6205E" w:rsidRPr="00CE3BCB" w:rsidRDefault="00A6205E" w:rsidP="00A6205E">
                      <w:pPr>
                        <w:spacing w:after="0"/>
                        <w:ind w:left="90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EF23377" w14:textId="68CECC45" w:rsidR="00A6205E" w:rsidRPr="004120A8" w:rsidRDefault="00A6205E" w:rsidP="00A6205E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…………..………….............</w:t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</w:t>
                      </w:r>
                      <w:r w:rsidR="00D6295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/</w:t>
                      </w:r>
                      <w:r w:rsidR="00D6295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/2023…</w:t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…</w:t>
                      </w:r>
                    </w:p>
                    <w:p w14:paraId="5CAD45A7" w14:textId="77777777" w:rsidR="00A6205E" w:rsidRPr="004120A8" w:rsidRDefault="00A6205E" w:rsidP="00A6205E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SIGNATURE</w:t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DATE</w:t>
                      </w:r>
                    </w:p>
                    <w:p w14:paraId="7E560762" w14:textId="77777777" w:rsidR="00A6205E" w:rsidRPr="004120A8" w:rsidRDefault="00A6205E" w:rsidP="00A6205E">
                      <w:pPr>
                        <w:rPr>
                          <w:rFonts w:ascii="Century Gothic" w:hAnsi="Century Gothic"/>
                          <w:b/>
                          <w:sz w:val="2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318BA1" w14:textId="0B411D58" w:rsidR="00A6205E" w:rsidRPr="00A6205E" w:rsidRDefault="00A6205E" w:rsidP="00A6205E">
      <w:pPr>
        <w:spacing w:after="0" w:line="360" w:lineRule="auto"/>
        <w:ind w:left="305" w:hangingChars="127" w:hanging="305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  <w14:ligatures w14:val="none"/>
        </w:rPr>
      </w:pPr>
    </w:p>
    <w:p w14:paraId="72C690DA" w14:textId="77777777" w:rsidR="00A6205E" w:rsidRPr="00A6205E" w:rsidRDefault="00A6205E" w:rsidP="00A6205E">
      <w:pPr>
        <w:spacing w:after="0" w:line="360" w:lineRule="auto"/>
        <w:ind w:left="305" w:hangingChars="127" w:hanging="305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  <w14:ligatures w14:val="none"/>
        </w:rPr>
      </w:pPr>
    </w:p>
    <w:p w14:paraId="46AFF494" w14:textId="77777777" w:rsidR="00A6205E" w:rsidRPr="00A6205E" w:rsidRDefault="00A6205E" w:rsidP="00A6205E">
      <w:pPr>
        <w:spacing w:after="0" w:line="360" w:lineRule="auto"/>
        <w:ind w:left="305" w:hangingChars="127" w:hanging="305"/>
        <w:jc w:val="both"/>
        <w:rPr>
          <w:rFonts w:ascii="Arial" w:eastAsia="Calibri" w:hAnsi="Arial" w:cs="Arial"/>
          <w:sz w:val="24"/>
          <w:szCs w:val="24"/>
          <w:lang w:val="en-ZA"/>
          <w14:ligatures w14:val="none"/>
        </w:rPr>
      </w:pPr>
    </w:p>
    <w:p w14:paraId="6746B57E" w14:textId="77777777" w:rsidR="00A6205E" w:rsidRPr="00A6205E" w:rsidRDefault="00A6205E" w:rsidP="00A620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1B1919"/>
          <w:sz w:val="24"/>
          <w:szCs w:val="24"/>
          <w:lang w:eastAsia="ja-JP"/>
          <w14:ligatures w14:val="none"/>
        </w:rPr>
      </w:pPr>
    </w:p>
    <w:p w14:paraId="3191572E" w14:textId="77777777" w:rsidR="00A31D56" w:rsidRDefault="00A31D56" w:rsidP="00AB1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1B1919"/>
          <w:sz w:val="24"/>
          <w:szCs w:val="24"/>
          <w:lang w:eastAsia="ja-JP"/>
          <w14:ligatures w14:val="none"/>
        </w:rPr>
      </w:pPr>
    </w:p>
    <w:p w14:paraId="1EAD99E9" w14:textId="178DAF23" w:rsidR="00A6205E" w:rsidRPr="00A6205E" w:rsidRDefault="00A6205E" w:rsidP="00AB1346">
      <w:pPr>
        <w:widowControl w:val="0"/>
        <w:autoSpaceDE w:val="0"/>
        <w:autoSpaceDN w:val="0"/>
        <w:adjustRightInd w:val="0"/>
        <w:spacing w:after="0" w:line="480" w:lineRule="auto"/>
        <w:ind w:left="305" w:hangingChars="127" w:hanging="305"/>
        <w:jc w:val="both"/>
        <w:rPr>
          <w:rFonts w:ascii="Arial" w:eastAsia="MS Mincho" w:hAnsi="Arial" w:cs="Arial"/>
          <w:color w:val="1B1919"/>
          <w:sz w:val="24"/>
          <w:szCs w:val="24"/>
          <w:lang w:eastAsia="ja-JP"/>
          <w14:ligatures w14:val="none"/>
        </w:rPr>
      </w:pPr>
      <w:r w:rsidRPr="00A6205E">
        <w:rPr>
          <w:rFonts w:ascii="Arial" w:eastAsia="MS Mincho" w:hAnsi="Arial" w:cs="Arial"/>
          <w:color w:val="1B1919"/>
          <w:sz w:val="24"/>
          <w:szCs w:val="24"/>
          <w:lang w:eastAsia="ja-JP"/>
          <w14:ligatures w14:val="none"/>
        </w:rPr>
        <w:t>In the matter between:</w:t>
      </w:r>
      <w:r w:rsidR="00AB1346">
        <w:rPr>
          <w:rFonts w:ascii="Arial" w:eastAsia="MS Mincho" w:hAnsi="Arial" w:cs="Arial"/>
          <w:color w:val="1B1919"/>
          <w:sz w:val="24"/>
          <w:szCs w:val="24"/>
          <w:lang w:eastAsia="ja-JP"/>
          <w14:ligatures w14:val="none"/>
        </w:rPr>
        <w:t xml:space="preserve"> </w:t>
      </w:r>
    </w:p>
    <w:p w14:paraId="18C309F8" w14:textId="4E9B361E" w:rsidR="008A2CB4" w:rsidRDefault="008A2CB4" w:rsidP="008A2CB4">
      <w:pPr>
        <w:pStyle w:val="PARTYLINE"/>
      </w:pPr>
      <w:r>
        <w:rPr>
          <w:b/>
          <w:bCs/>
          <w:lang w:val="de-DE"/>
        </w:rPr>
        <w:t>CROWD TECH LIMI</w:t>
      </w:r>
      <w:r>
        <w:rPr>
          <w:b/>
          <w:bCs/>
        </w:rPr>
        <w:t>T</w:t>
      </w:r>
      <w:r>
        <w:rPr>
          <w:b/>
          <w:bCs/>
          <w:lang w:val="da-DK"/>
        </w:rPr>
        <w:t>ED</w:t>
      </w:r>
      <w:r>
        <w:rPr>
          <w:lang w:val="fr-FR"/>
        </w:rPr>
        <w:tab/>
      </w:r>
      <w:r w:rsidR="00E45AC9" w:rsidRPr="00E45AC9">
        <w:rPr>
          <w:b/>
          <w:lang w:val="en-GB"/>
        </w:rPr>
        <w:t>Applicant</w:t>
      </w:r>
    </w:p>
    <w:p w14:paraId="0D62214D" w14:textId="77777777" w:rsidR="008A2CB4" w:rsidRDefault="008A2CB4" w:rsidP="008A2CB4">
      <w:pPr>
        <w:pStyle w:val="PARTYLINE"/>
      </w:pPr>
      <w:r>
        <w:t>and</w:t>
      </w:r>
    </w:p>
    <w:p w14:paraId="08A42EEA" w14:textId="77777777" w:rsidR="008A2CB4" w:rsidRDefault="008A2CB4" w:rsidP="008A2CB4">
      <w:pPr>
        <w:pStyle w:val="PARTYLINE"/>
      </w:pPr>
      <w:r>
        <w:rPr>
          <w:b/>
          <w:bCs/>
          <w:lang w:val="de-DE"/>
        </w:rPr>
        <w:t>GEORGE PROKAS</w:t>
      </w:r>
      <w:r>
        <w:tab/>
        <w:t xml:space="preserve"> </w:t>
      </w:r>
      <w:r w:rsidRPr="007568EB">
        <w:rPr>
          <w:b/>
          <w:bCs/>
        </w:rPr>
        <w:t>First Respondent</w:t>
      </w:r>
    </w:p>
    <w:p w14:paraId="1DA8735E" w14:textId="77777777" w:rsidR="008A2CB4" w:rsidRDefault="008A2CB4" w:rsidP="008A2CB4">
      <w:pPr>
        <w:pStyle w:val="PARTYLINE"/>
      </w:pPr>
      <w:r>
        <w:rPr>
          <w:b/>
          <w:bCs/>
          <w:lang w:val="de-DE"/>
        </w:rPr>
        <w:t>CYBER-FX (PTY) LIMITED</w:t>
      </w:r>
      <w:r>
        <w:tab/>
      </w:r>
      <w:r w:rsidRPr="007568EB">
        <w:rPr>
          <w:b/>
          <w:bCs/>
        </w:rPr>
        <w:t>Second Respondent</w:t>
      </w:r>
    </w:p>
    <w:p w14:paraId="744E131A" w14:textId="12E617AF" w:rsidR="00D25A2C" w:rsidRPr="00D25A2C" w:rsidRDefault="00D25A2C" w:rsidP="00AB1346">
      <w:pPr>
        <w:pStyle w:val="PARTYLINE"/>
        <w:spacing w:after="0"/>
        <w:rPr>
          <w:b/>
          <w:bCs/>
        </w:rPr>
      </w:pPr>
      <w:r w:rsidRPr="00D25A2C">
        <w:rPr>
          <w:b/>
          <w:bCs/>
        </w:rPr>
        <w:t>ABSA BANK LIMITED</w:t>
      </w:r>
      <w:r>
        <w:rPr>
          <w:b/>
          <w:bCs/>
        </w:rPr>
        <w:t xml:space="preserve">                                                              </w:t>
      </w:r>
      <w:r w:rsidRPr="007568EB">
        <w:rPr>
          <w:b/>
          <w:bCs/>
        </w:rPr>
        <w:t xml:space="preserve">Third </w:t>
      </w:r>
      <w:r w:rsidR="00AB1346">
        <w:rPr>
          <w:b/>
          <w:bCs/>
        </w:rPr>
        <w:t>R</w:t>
      </w:r>
      <w:r w:rsidRPr="007568EB">
        <w:rPr>
          <w:b/>
          <w:bCs/>
        </w:rPr>
        <w:t>espondent</w:t>
      </w:r>
      <w:r w:rsidRPr="00D25A2C">
        <w:t xml:space="preserve"> </w:t>
      </w:r>
    </w:p>
    <w:p w14:paraId="259F146E" w14:textId="77777777" w:rsidR="003659D0" w:rsidRPr="003659D0" w:rsidRDefault="003659D0" w:rsidP="003659D0">
      <w:pPr>
        <w:tabs>
          <w:tab w:val="left" w:pos="0"/>
        </w:tabs>
        <w:spacing w:after="0" w:line="480" w:lineRule="auto"/>
        <w:ind w:left="-709"/>
        <w:jc w:val="center"/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</w:pP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</w:p>
    <w:p w14:paraId="62DF7768" w14:textId="77777777" w:rsidR="003659D0" w:rsidRPr="003659D0" w:rsidRDefault="003659D0" w:rsidP="003659D0">
      <w:pPr>
        <w:tabs>
          <w:tab w:val="left" w:pos="0"/>
        </w:tabs>
        <w:spacing w:after="0" w:line="240" w:lineRule="auto"/>
        <w:ind w:left="-709"/>
        <w:jc w:val="center"/>
        <w:rPr>
          <w:rFonts w:ascii="Arial" w:eastAsia="Times New Roman" w:hAnsi="Arial" w:cs="Arial"/>
          <w:b/>
          <w:color w:val="0E101A"/>
          <w:sz w:val="24"/>
          <w:szCs w:val="24"/>
          <w:lang w:val="en-ZA" w:eastAsia="en-ZA"/>
          <w14:ligatures w14:val="none"/>
        </w:rPr>
      </w:pPr>
      <w:r w:rsidRPr="003659D0">
        <w:rPr>
          <w:rFonts w:ascii="Arial" w:eastAsia="Times New Roman" w:hAnsi="Arial" w:cs="Arial"/>
          <w:b/>
          <w:color w:val="0E101A"/>
          <w:sz w:val="24"/>
          <w:szCs w:val="24"/>
          <w:lang w:val="en-ZA" w:eastAsia="en-ZA"/>
          <w14:ligatures w14:val="none"/>
        </w:rPr>
        <w:t xml:space="preserve">JUDGMENT </w:t>
      </w:r>
    </w:p>
    <w:p w14:paraId="084F4949" w14:textId="299D3F7E" w:rsidR="00CA69BE" w:rsidRPr="003659D0" w:rsidRDefault="003659D0" w:rsidP="003659D0">
      <w:pPr>
        <w:tabs>
          <w:tab w:val="left" w:pos="0"/>
        </w:tabs>
        <w:spacing w:after="0" w:line="480" w:lineRule="auto"/>
        <w:ind w:left="-709"/>
        <w:jc w:val="center"/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</w:pP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3659D0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</w:p>
    <w:p w14:paraId="62945B67" w14:textId="6FF9839E" w:rsidR="0006167A" w:rsidRDefault="000A55B6" w:rsidP="00AB1346">
      <w:pPr>
        <w:spacing w:after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Manoim J</w:t>
      </w:r>
    </w:p>
    <w:p w14:paraId="5B597587" w14:textId="7889B121" w:rsidR="00FA0119" w:rsidRPr="00CA69BE" w:rsidRDefault="0006167A" w:rsidP="00CA69BE">
      <w:pPr>
        <w:spacing w:after="360"/>
        <w:ind w:firstLine="71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Introduction</w:t>
      </w:r>
      <w:r w:rsidR="00CA69B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518A26" w14:textId="30697965" w:rsidR="008B7382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</w:r>
      <w:r w:rsidR="00CE6D8F" w:rsidRPr="00CA69BE">
        <w:rPr>
          <w:rFonts w:ascii="Arial" w:hAnsi="Arial" w:cs="Arial"/>
          <w:sz w:val="24"/>
          <w:szCs w:val="24"/>
        </w:rPr>
        <w:t xml:space="preserve">The </w:t>
      </w:r>
      <w:r w:rsidR="00952A56" w:rsidRPr="00CA69BE">
        <w:rPr>
          <w:rFonts w:ascii="Arial" w:hAnsi="Arial" w:cs="Arial"/>
          <w:sz w:val="24"/>
          <w:szCs w:val="24"/>
        </w:rPr>
        <w:t xml:space="preserve">sole issue in this case is whether </w:t>
      </w:r>
      <w:r w:rsidR="00526B29" w:rsidRPr="00CA69BE">
        <w:rPr>
          <w:rFonts w:ascii="Arial" w:hAnsi="Arial" w:cs="Arial"/>
          <w:sz w:val="24"/>
          <w:szCs w:val="24"/>
        </w:rPr>
        <w:t>the applicant,</w:t>
      </w:r>
      <w:r w:rsidR="00157FF1" w:rsidRPr="00CA69BE">
        <w:rPr>
          <w:rFonts w:ascii="Arial" w:hAnsi="Arial" w:cs="Arial"/>
          <w:sz w:val="24"/>
          <w:szCs w:val="24"/>
        </w:rPr>
        <w:t xml:space="preserve"> which had</w:t>
      </w:r>
      <w:r w:rsidR="00952A56" w:rsidRPr="00CA69BE">
        <w:rPr>
          <w:rFonts w:ascii="Arial" w:hAnsi="Arial" w:cs="Arial"/>
          <w:sz w:val="24"/>
          <w:szCs w:val="24"/>
        </w:rPr>
        <w:t xml:space="preserve"> abandoned </w:t>
      </w:r>
      <w:r w:rsidR="002905F5" w:rsidRPr="00CA69BE">
        <w:rPr>
          <w:rFonts w:ascii="Arial" w:hAnsi="Arial" w:cs="Arial"/>
          <w:sz w:val="24"/>
          <w:szCs w:val="24"/>
        </w:rPr>
        <w:t xml:space="preserve">an </w:t>
      </w:r>
      <w:r w:rsidR="00DA6099" w:rsidRPr="00CA69BE">
        <w:rPr>
          <w:rFonts w:ascii="Arial" w:hAnsi="Arial" w:cs="Arial"/>
          <w:sz w:val="24"/>
          <w:szCs w:val="24"/>
        </w:rPr>
        <w:t xml:space="preserve">interim </w:t>
      </w:r>
      <w:r w:rsidR="00952A56" w:rsidRPr="00CA69BE">
        <w:rPr>
          <w:rFonts w:ascii="Arial" w:hAnsi="Arial" w:cs="Arial"/>
          <w:sz w:val="24"/>
          <w:szCs w:val="24"/>
        </w:rPr>
        <w:t xml:space="preserve">order </w:t>
      </w:r>
      <w:r w:rsidR="002905F5" w:rsidRPr="00CA69BE">
        <w:rPr>
          <w:rFonts w:ascii="Arial" w:hAnsi="Arial" w:cs="Arial"/>
          <w:sz w:val="24"/>
          <w:szCs w:val="24"/>
        </w:rPr>
        <w:t xml:space="preserve">obtained </w:t>
      </w:r>
      <w:r w:rsidR="00952A56" w:rsidRPr="00CA69BE">
        <w:rPr>
          <w:rFonts w:ascii="Arial" w:hAnsi="Arial" w:cs="Arial"/>
          <w:i/>
          <w:iCs/>
          <w:sz w:val="24"/>
          <w:szCs w:val="24"/>
        </w:rPr>
        <w:t>ex parte</w:t>
      </w:r>
      <w:r w:rsidR="002905F5" w:rsidRPr="00CA69BE">
        <w:rPr>
          <w:rFonts w:ascii="Arial" w:hAnsi="Arial" w:cs="Arial"/>
          <w:i/>
          <w:iCs/>
          <w:sz w:val="24"/>
          <w:szCs w:val="24"/>
        </w:rPr>
        <w:t xml:space="preserve"> </w:t>
      </w:r>
      <w:r w:rsidR="002905F5" w:rsidRPr="00CA69BE">
        <w:rPr>
          <w:rFonts w:ascii="Arial" w:hAnsi="Arial" w:cs="Arial"/>
          <w:sz w:val="24"/>
          <w:szCs w:val="24"/>
        </w:rPr>
        <w:t>against the first respondent</w:t>
      </w:r>
      <w:r w:rsidR="00410220" w:rsidRPr="00CA69BE">
        <w:rPr>
          <w:rFonts w:ascii="Arial" w:hAnsi="Arial" w:cs="Arial"/>
          <w:sz w:val="24"/>
          <w:szCs w:val="24"/>
        </w:rPr>
        <w:t>,</w:t>
      </w:r>
      <w:r w:rsidR="002905F5" w:rsidRPr="00CA69BE">
        <w:rPr>
          <w:rFonts w:ascii="Arial" w:hAnsi="Arial" w:cs="Arial"/>
          <w:sz w:val="24"/>
          <w:szCs w:val="24"/>
        </w:rPr>
        <w:t xml:space="preserve"> </w:t>
      </w:r>
      <w:r w:rsidR="00410220" w:rsidRPr="00CA69BE">
        <w:rPr>
          <w:rFonts w:ascii="Arial" w:hAnsi="Arial" w:cs="Arial"/>
          <w:sz w:val="24"/>
          <w:szCs w:val="24"/>
        </w:rPr>
        <w:t>should pay the latter’s costs</w:t>
      </w:r>
      <w:r w:rsidR="00526B29" w:rsidRPr="00CA69BE">
        <w:rPr>
          <w:rFonts w:ascii="Arial" w:hAnsi="Arial" w:cs="Arial"/>
          <w:sz w:val="24"/>
          <w:szCs w:val="24"/>
        </w:rPr>
        <w:t xml:space="preserve"> </w:t>
      </w:r>
      <w:r w:rsidR="007D6B28" w:rsidRPr="00CA69BE">
        <w:rPr>
          <w:rFonts w:ascii="Arial" w:hAnsi="Arial" w:cs="Arial"/>
          <w:sz w:val="24"/>
          <w:szCs w:val="24"/>
        </w:rPr>
        <w:t xml:space="preserve">on </w:t>
      </w:r>
      <w:r w:rsidR="00952A56" w:rsidRPr="00CA69BE">
        <w:rPr>
          <w:rFonts w:ascii="Arial" w:hAnsi="Arial" w:cs="Arial"/>
          <w:sz w:val="24"/>
          <w:szCs w:val="24"/>
        </w:rPr>
        <w:t>an attorney client s</w:t>
      </w:r>
      <w:r w:rsidR="007D6B28" w:rsidRPr="00CA69BE">
        <w:rPr>
          <w:rFonts w:ascii="Arial" w:hAnsi="Arial" w:cs="Arial"/>
          <w:sz w:val="24"/>
          <w:szCs w:val="24"/>
        </w:rPr>
        <w:t>cale</w:t>
      </w:r>
      <w:r w:rsidR="00952A56" w:rsidRPr="00CA69BE">
        <w:rPr>
          <w:rFonts w:ascii="Arial" w:hAnsi="Arial" w:cs="Arial"/>
          <w:sz w:val="24"/>
          <w:szCs w:val="24"/>
        </w:rPr>
        <w:t xml:space="preserve">. </w:t>
      </w:r>
      <w:r w:rsidR="007A5090" w:rsidRPr="00CA69BE">
        <w:rPr>
          <w:rFonts w:ascii="Arial" w:hAnsi="Arial" w:cs="Arial"/>
          <w:sz w:val="24"/>
          <w:szCs w:val="24"/>
        </w:rPr>
        <w:t>The applicant</w:t>
      </w:r>
      <w:r w:rsidR="00952A56" w:rsidRPr="00CA69BE">
        <w:rPr>
          <w:rFonts w:ascii="Arial" w:hAnsi="Arial" w:cs="Arial"/>
          <w:sz w:val="24"/>
          <w:szCs w:val="24"/>
        </w:rPr>
        <w:t xml:space="preserve"> has already tendered party and party </w:t>
      </w:r>
      <w:r w:rsidR="001B032F" w:rsidRPr="00CA69BE">
        <w:rPr>
          <w:rFonts w:ascii="Arial" w:hAnsi="Arial" w:cs="Arial"/>
          <w:sz w:val="24"/>
          <w:szCs w:val="24"/>
        </w:rPr>
        <w:t>costs,</w:t>
      </w:r>
      <w:r w:rsidR="00952A56" w:rsidRPr="00CA69BE">
        <w:rPr>
          <w:rFonts w:ascii="Arial" w:hAnsi="Arial" w:cs="Arial"/>
          <w:sz w:val="24"/>
          <w:szCs w:val="24"/>
        </w:rPr>
        <w:t xml:space="preserve"> but this has not satisfied the</w:t>
      </w:r>
      <w:r w:rsidR="007A5090" w:rsidRPr="00CA69BE">
        <w:rPr>
          <w:rFonts w:ascii="Arial" w:hAnsi="Arial" w:cs="Arial"/>
          <w:sz w:val="24"/>
          <w:szCs w:val="24"/>
        </w:rPr>
        <w:t xml:space="preserve"> first respondent against whom the original </w:t>
      </w:r>
      <w:r w:rsidR="006351FB" w:rsidRPr="00CA69BE">
        <w:rPr>
          <w:rFonts w:ascii="Arial" w:hAnsi="Arial" w:cs="Arial"/>
          <w:sz w:val="24"/>
          <w:szCs w:val="24"/>
        </w:rPr>
        <w:t xml:space="preserve">interim </w:t>
      </w:r>
      <w:r w:rsidR="007A5090" w:rsidRPr="00CA69BE">
        <w:rPr>
          <w:rFonts w:ascii="Arial" w:hAnsi="Arial" w:cs="Arial"/>
          <w:sz w:val="24"/>
          <w:szCs w:val="24"/>
        </w:rPr>
        <w:t>order was awarded</w:t>
      </w:r>
      <w:r w:rsidR="00011F63" w:rsidRPr="00CA69BE">
        <w:rPr>
          <w:rFonts w:ascii="Arial" w:hAnsi="Arial" w:cs="Arial"/>
          <w:sz w:val="24"/>
          <w:szCs w:val="24"/>
        </w:rPr>
        <w:t>.</w:t>
      </w:r>
      <w:r w:rsidR="00F14E0D" w:rsidRPr="00CA69BE">
        <w:rPr>
          <w:rFonts w:ascii="Arial" w:hAnsi="Arial" w:cs="Arial"/>
          <w:sz w:val="24"/>
          <w:szCs w:val="24"/>
        </w:rPr>
        <w:t xml:space="preserve"> </w:t>
      </w:r>
      <w:r w:rsidR="00554079" w:rsidRPr="00CA69BE">
        <w:rPr>
          <w:rFonts w:ascii="Arial" w:hAnsi="Arial" w:cs="Arial"/>
          <w:sz w:val="24"/>
          <w:szCs w:val="24"/>
        </w:rPr>
        <w:t>The second and third respondents are not involved in the present litigation.</w:t>
      </w:r>
    </w:p>
    <w:p w14:paraId="569E12AE" w14:textId="3E06245C" w:rsidR="008A60AF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 w:rsidR="00F14E0D" w:rsidRPr="00CA69BE">
        <w:rPr>
          <w:rFonts w:ascii="Arial" w:hAnsi="Arial" w:cs="Arial"/>
          <w:sz w:val="24"/>
          <w:szCs w:val="24"/>
        </w:rPr>
        <w:t xml:space="preserve">The matter has been brought to the court by the first respondent in terms of Rule </w:t>
      </w:r>
      <w:r w:rsidR="009849F4" w:rsidRPr="00CA69BE">
        <w:rPr>
          <w:rFonts w:ascii="Arial" w:hAnsi="Arial" w:cs="Arial"/>
          <w:sz w:val="24"/>
          <w:szCs w:val="24"/>
        </w:rPr>
        <w:t>41(1)</w:t>
      </w:r>
      <w:r w:rsidR="00081229" w:rsidRPr="00CA69BE">
        <w:rPr>
          <w:rFonts w:ascii="Arial" w:hAnsi="Arial" w:cs="Arial"/>
          <w:sz w:val="24"/>
          <w:szCs w:val="24"/>
        </w:rPr>
        <w:t>(c) of the Uniform Rules of court.</w:t>
      </w:r>
      <w:r w:rsidR="006029EA" w:rsidRPr="00CA69BE">
        <w:rPr>
          <w:rFonts w:ascii="Arial" w:hAnsi="Arial" w:cs="Arial"/>
          <w:sz w:val="24"/>
          <w:szCs w:val="24"/>
        </w:rPr>
        <w:t xml:space="preserve"> This rule states that if a party withdraws a</w:t>
      </w:r>
      <w:r w:rsidR="002C5DC3" w:rsidRPr="00CA69BE">
        <w:rPr>
          <w:rFonts w:ascii="Arial" w:hAnsi="Arial" w:cs="Arial"/>
          <w:sz w:val="24"/>
          <w:szCs w:val="24"/>
        </w:rPr>
        <w:t xml:space="preserve"> matter without tendering costs the other party can apply to court on notice for an order of costs. </w:t>
      </w:r>
      <w:r w:rsidR="005133B9" w:rsidRPr="00CA69BE">
        <w:rPr>
          <w:rFonts w:ascii="Arial" w:hAnsi="Arial" w:cs="Arial"/>
          <w:sz w:val="24"/>
          <w:szCs w:val="24"/>
        </w:rPr>
        <w:t xml:space="preserve">This rule also applies when </w:t>
      </w:r>
      <w:r w:rsidR="0036128C" w:rsidRPr="00CA69BE">
        <w:rPr>
          <w:rFonts w:ascii="Arial" w:hAnsi="Arial" w:cs="Arial"/>
          <w:sz w:val="24"/>
          <w:szCs w:val="24"/>
        </w:rPr>
        <w:t xml:space="preserve">the party in whose favour a judgment has been granted abandons the judgment. This is in terms of Rule 41(2) which </w:t>
      </w:r>
      <w:r w:rsidR="00C0313E" w:rsidRPr="00CA69BE">
        <w:rPr>
          <w:rFonts w:ascii="Arial" w:hAnsi="Arial" w:cs="Arial"/>
          <w:sz w:val="24"/>
          <w:szCs w:val="24"/>
        </w:rPr>
        <w:t>deals with the consequences of abandonment.</w:t>
      </w:r>
    </w:p>
    <w:p w14:paraId="5B799F2C" w14:textId="34A71DB4" w:rsidR="0006167A" w:rsidRPr="0006167A" w:rsidRDefault="0006167A" w:rsidP="00DE4BD7">
      <w:pPr>
        <w:pStyle w:val="ListParagraph"/>
        <w:spacing w:after="360" w:line="480" w:lineRule="auto"/>
        <w:ind w:left="360" w:firstLine="357"/>
        <w:jc w:val="both"/>
        <w:rPr>
          <w:rFonts w:ascii="Arial" w:hAnsi="Arial" w:cs="Arial"/>
          <w:b/>
          <w:bCs/>
          <w:sz w:val="24"/>
          <w:szCs w:val="24"/>
        </w:rPr>
      </w:pPr>
      <w:r w:rsidRPr="0006167A">
        <w:rPr>
          <w:rFonts w:ascii="Arial" w:hAnsi="Arial" w:cs="Arial"/>
          <w:b/>
          <w:bCs/>
          <w:sz w:val="24"/>
          <w:szCs w:val="24"/>
        </w:rPr>
        <w:t>Background</w:t>
      </w:r>
    </w:p>
    <w:p w14:paraId="176F70FE" w14:textId="656827FC" w:rsidR="00FA0119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269F" w:rsidRPr="00CA69BE">
        <w:rPr>
          <w:rFonts w:ascii="Arial" w:hAnsi="Arial" w:cs="Arial"/>
          <w:sz w:val="24"/>
          <w:szCs w:val="24"/>
        </w:rPr>
        <w:t xml:space="preserve">In one week of urgent court hearings in July 2019, three of the </w:t>
      </w:r>
      <w:r w:rsidR="00F9269F" w:rsidRPr="00CA69BE">
        <w:rPr>
          <w:rFonts w:ascii="Arial" w:hAnsi="Arial" w:cs="Arial"/>
          <w:i/>
          <w:iCs/>
          <w:sz w:val="24"/>
          <w:szCs w:val="24"/>
        </w:rPr>
        <w:t>dramatis personae</w:t>
      </w:r>
      <w:r w:rsidR="00F9269F" w:rsidRPr="00CA69BE">
        <w:rPr>
          <w:rFonts w:ascii="Arial" w:hAnsi="Arial" w:cs="Arial"/>
          <w:sz w:val="24"/>
          <w:szCs w:val="24"/>
        </w:rPr>
        <w:t xml:space="preserve"> in the present matter were involved in three separate applications, albeit in different guises.</w:t>
      </w:r>
      <w:r w:rsidR="00F9269F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F9269F" w:rsidRPr="00CA69BE">
        <w:rPr>
          <w:rFonts w:ascii="Arial" w:hAnsi="Arial" w:cs="Arial"/>
          <w:sz w:val="24"/>
          <w:szCs w:val="24"/>
        </w:rPr>
        <w:t xml:space="preserve"> </w:t>
      </w:r>
      <w:r w:rsidR="00186E08" w:rsidRPr="00CA69BE">
        <w:rPr>
          <w:rFonts w:ascii="Arial" w:hAnsi="Arial" w:cs="Arial"/>
          <w:sz w:val="24"/>
          <w:szCs w:val="24"/>
        </w:rPr>
        <w:t xml:space="preserve">The issue in this case relates to one of those applications; an </w:t>
      </w:r>
      <w:r w:rsidR="00186E08" w:rsidRPr="00DE4BD7">
        <w:rPr>
          <w:rFonts w:ascii="Arial" w:hAnsi="Arial" w:cs="Arial"/>
          <w:i/>
          <w:iCs/>
          <w:sz w:val="24"/>
          <w:szCs w:val="24"/>
        </w:rPr>
        <w:t>ex parte</w:t>
      </w:r>
      <w:r w:rsidR="00186E08" w:rsidRPr="00CA69BE">
        <w:rPr>
          <w:rFonts w:ascii="Arial" w:hAnsi="Arial" w:cs="Arial"/>
          <w:sz w:val="24"/>
          <w:szCs w:val="24"/>
        </w:rPr>
        <w:t xml:space="preserve"> application in which </w:t>
      </w:r>
      <w:r w:rsidR="002C04A7" w:rsidRPr="00CA69BE">
        <w:rPr>
          <w:rFonts w:ascii="Arial" w:hAnsi="Arial" w:cs="Arial"/>
          <w:sz w:val="24"/>
          <w:szCs w:val="24"/>
        </w:rPr>
        <w:t xml:space="preserve">the applicant, </w:t>
      </w:r>
      <w:r w:rsidR="00186E08" w:rsidRPr="00CA69BE">
        <w:rPr>
          <w:rFonts w:ascii="Arial" w:hAnsi="Arial" w:cs="Arial"/>
          <w:sz w:val="24"/>
          <w:szCs w:val="24"/>
        </w:rPr>
        <w:t>Crowd Tech</w:t>
      </w:r>
      <w:r w:rsidR="00817E5D" w:rsidRPr="00CA69BE">
        <w:rPr>
          <w:rFonts w:ascii="Arial" w:hAnsi="Arial" w:cs="Arial"/>
          <w:sz w:val="24"/>
          <w:szCs w:val="24"/>
        </w:rPr>
        <w:t xml:space="preserve"> Limited (</w:t>
      </w:r>
      <w:r w:rsidR="00DE4BD7">
        <w:rPr>
          <w:rFonts w:ascii="Arial" w:hAnsi="Arial" w:cs="Arial"/>
          <w:sz w:val="24"/>
          <w:szCs w:val="24"/>
        </w:rPr>
        <w:t>“</w:t>
      </w:r>
      <w:r w:rsidR="00817E5D" w:rsidRPr="00CA69BE">
        <w:rPr>
          <w:rFonts w:ascii="Arial" w:hAnsi="Arial" w:cs="Arial"/>
          <w:sz w:val="24"/>
          <w:szCs w:val="24"/>
        </w:rPr>
        <w:t>Crowd Tech</w:t>
      </w:r>
      <w:r w:rsidR="00DE4BD7">
        <w:rPr>
          <w:rFonts w:ascii="Arial" w:hAnsi="Arial" w:cs="Arial"/>
          <w:sz w:val="24"/>
          <w:szCs w:val="24"/>
        </w:rPr>
        <w:t>”</w:t>
      </w:r>
      <w:r w:rsidR="00817E5D" w:rsidRPr="00CA69BE">
        <w:rPr>
          <w:rFonts w:ascii="Arial" w:hAnsi="Arial" w:cs="Arial"/>
          <w:sz w:val="24"/>
          <w:szCs w:val="24"/>
        </w:rPr>
        <w:t>)</w:t>
      </w:r>
      <w:r w:rsidR="00186E08" w:rsidRPr="00CA69BE">
        <w:rPr>
          <w:rFonts w:ascii="Arial" w:hAnsi="Arial" w:cs="Arial"/>
          <w:sz w:val="24"/>
          <w:szCs w:val="24"/>
        </w:rPr>
        <w:t xml:space="preserve"> sought to </w:t>
      </w:r>
      <w:r w:rsidR="00D432EA" w:rsidRPr="00CA69BE">
        <w:rPr>
          <w:rFonts w:ascii="Arial" w:hAnsi="Arial" w:cs="Arial"/>
          <w:sz w:val="24"/>
          <w:szCs w:val="24"/>
        </w:rPr>
        <w:t xml:space="preserve">partially </w:t>
      </w:r>
      <w:r w:rsidR="00186E08" w:rsidRPr="00CA69BE">
        <w:rPr>
          <w:rFonts w:ascii="Arial" w:hAnsi="Arial" w:cs="Arial"/>
          <w:sz w:val="24"/>
          <w:szCs w:val="24"/>
        </w:rPr>
        <w:t xml:space="preserve">freeze </w:t>
      </w:r>
      <w:r w:rsidR="00B6009D" w:rsidRPr="00CA69BE">
        <w:rPr>
          <w:rFonts w:ascii="Arial" w:hAnsi="Arial" w:cs="Arial"/>
          <w:sz w:val="24"/>
          <w:szCs w:val="24"/>
        </w:rPr>
        <w:t xml:space="preserve">a bank account belonging to the first respondent, </w:t>
      </w:r>
      <w:r w:rsidR="002C04A7" w:rsidRPr="00CA69BE">
        <w:rPr>
          <w:rFonts w:ascii="Arial" w:hAnsi="Arial" w:cs="Arial"/>
          <w:sz w:val="24"/>
          <w:szCs w:val="24"/>
        </w:rPr>
        <w:t xml:space="preserve">George </w:t>
      </w:r>
      <w:proofErr w:type="spellStart"/>
      <w:r w:rsidR="002C04A7" w:rsidRPr="00CA69BE">
        <w:rPr>
          <w:rFonts w:ascii="Arial" w:hAnsi="Arial" w:cs="Arial"/>
          <w:sz w:val="24"/>
          <w:szCs w:val="24"/>
        </w:rPr>
        <w:t>Proka</w:t>
      </w:r>
      <w:r w:rsidR="00B6009D" w:rsidRPr="00CA69BE">
        <w:rPr>
          <w:rFonts w:ascii="Arial" w:hAnsi="Arial" w:cs="Arial"/>
          <w:sz w:val="24"/>
          <w:szCs w:val="24"/>
        </w:rPr>
        <w:t>s</w:t>
      </w:r>
      <w:proofErr w:type="spellEnd"/>
      <w:r w:rsidR="00817E5D" w:rsidRPr="00CA69BE">
        <w:rPr>
          <w:rFonts w:ascii="Arial" w:hAnsi="Arial" w:cs="Arial"/>
          <w:sz w:val="24"/>
          <w:szCs w:val="24"/>
        </w:rPr>
        <w:t xml:space="preserve"> </w:t>
      </w:r>
      <w:r w:rsidR="00817E5D" w:rsidRPr="00CA69BE">
        <w:rPr>
          <w:rFonts w:ascii="Arial" w:hAnsi="Arial" w:cs="Arial"/>
          <w:sz w:val="24"/>
          <w:szCs w:val="24"/>
        </w:rPr>
        <w:lastRenderedPageBreak/>
        <w:t>(</w:t>
      </w:r>
      <w:r w:rsidR="00DE4BD7">
        <w:rPr>
          <w:rFonts w:ascii="Arial" w:hAnsi="Arial" w:cs="Arial"/>
          <w:sz w:val="24"/>
          <w:szCs w:val="24"/>
        </w:rPr>
        <w:t>“</w:t>
      </w:r>
      <w:proofErr w:type="spellStart"/>
      <w:r w:rsidR="00817E5D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DE4BD7">
        <w:rPr>
          <w:rFonts w:ascii="Arial" w:hAnsi="Arial" w:cs="Arial"/>
          <w:sz w:val="24"/>
          <w:szCs w:val="24"/>
        </w:rPr>
        <w:t>”</w:t>
      </w:r>
      <w:r w:rsidR="00817E5D" w:rsidRPr="00CA69BE">
        <w:rPr>
          <w:rFonts w:ascii="Arial" w:hAnsi="Arial" w:cs="Arial"/>
          <w:sz w:val="24"/>
          <w:szCs w:val="24"/>
        </w:rPr>
        <w:t>)</w:t>
      </w:r>
      <w:r w:rsidR="00186E08" w:rsidRPr="00CA69BE">
        <w:rPr>
          <w:rFonts w:ascii="Arial" w:hAnsi="Arial" w:cs="Arial"/>
          <w:sz w:val="24"/>
          <w:szCs w:val="24"/>
        </w:rPr>
        <w:t xml:space="preserve"> which he holds with ABSA</w:t>
      </w:r>
      <w:r w:rsidR="000867FF" w:rsidRPr="00CA69BE">
        <w:rPr>
          <w:rFonts w:ascii="Arial" w:hAnsi="Arial" w:cs="Arial"/>
          <w:sz w:val="24"/>
          <w:szCs w:val="24"/>
        </w:rPr>
        <w:t xml:space="preserve"> Bank Limited</w:t>
      </w:r>
      <w:r w:rsidR="0018205C" w:rsidRPr="00CA69BE">
        <w:rPr>
          <w:rFonts w:ascii="Arial" w:hAnsi="Arial" w:cs="Arial"/>
          <w:sz w:val="24"/>
          <w:szCs w:val="24"/>
        </w:rPr>
        <w:t>, (</w:t>
      </w:r>
      <w:r w:rsidR="00DE4BD7">
        <w:rPr>
          <w:rFonts w:ascii="Arial" w:hAnsi="Arial" w:cs="Arial"/>
          <w:sz w:val="24"/>
          <w:szCs w:val="24"/>
        </w:rPr>
        <w:t>“</w:t>
      </w:r>
      <w:r w:rsidR="0018205C" w:rsidRPr="00CA69BE">
        <w:rPr>
          <w:rFonts w:ascii="Arial" w:hAnsi="Arial" w:cs="Arial"/>
          <w:sz w:val="24"/>
          <w:szCs w:val="24"/>
        </w:rPr>
        <w:t>ABSA</w:t>
      </w:r>
      <w:r w:rsidR="00DE4BD7">
        <w:rPr>
          <w:rFonts w:ascii="Arial" w:hAnsi="Arial" w:cs="Arial"/>
          <w:sz w:val="24"/>
          <w:szCs w:val="24"/>
        </w:rPr>
        <w:t>”</w:t>
      </w:r>
      <w:r w:rsidR="0018205C" w:rsidRPr="00CA69BE">
        <w:rPr>
          <w:rFonts w:ascii="Arial" w:hAnsi="Arial" w:cs="Arial"/>
          <w:sz w:val="24"/>
          <w:szCs w:val="24"/>
        </w:rPr>
        <w:t>) the third respondent</w:t>
      </w:r>
      <w:r w:rsidR="00186E08" w:rsidRPr="00CA69BE">
        <w:rPr>
          <w:rFonts w:ascii="Arial" w:hAnsi="Arial" w:cs="Arial"/>
          <w:sz w:val="24"/>
          <w:szCs w:val="24"/>
        </w:rPr>
        <w:t>.</w:t>
      </w:r>
      <w:r w:rsidR="00694513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3423B8" w:rsidRPr="00CA69BE">
        <w:rPr>
          <w:rFonts w:ascii="Arial" w:hAnsi="Arial" w:cs="Arial"/>
          <w:sz w:val="24"/>
          <w:szCs w:val="24"/>
        </w:rPr>
        <w:t xml:space="preserve"> I will refer to this as the freezing application</w:t>
      </w:r>
      <w:r w:rsidR="00DE4BD7">
        <w:rPr>
          <w:rFonts w:ascii="Arial" w:hAnsi="Arial" w:cs="Arial"/>
          <w:sz w:val="24"/>
          <w:szCs w:val="24"/>
        </w:rPr>
        <w:t>.</w:t>
      </w:r>
    </w:p>
    <w:p w14:paraId="550E3406" w14:textId="2608B8CC" w:rsidR="003F50DC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</w:r>
      <w:r w:rsidR="00817E5D" w:rsidRPr="00CA69BE">
        <w:rPr>
          <w:rFonts w:ascii="Arial" w:hAnsi="Arial" w:cs="Arial"/>
          <w:sz w:val="24"/>
          <w:szCs w:val="24"/>
        </w:rPr>
        <w:t>Crowd Tec</w:t>
      </w:r>
      <w:r w:rsidR="00A62ACD" w:rsidRPr="00CA69BE">
        <w:rPr>
          <w:rFonts w:ascii="Arial" w:hAnsi="Arial" w:cs="Arial"/>
          <w:sz w:val="24"/>
          <w:szCs w:val="24"/>
        </w:rPr>
        <w:t xml:space="preserve">h succeeded in getting an interim order to </w:t>
      </w:r>
      <w:r w:rsidR="00D432EA" w:rsidRPr="00CA69BE">
        <w:rPr>
          <w:rFonts w:ascii="Arial" w:hAnsi="Arial" w:cs="Arial"/>
          <w:sz w:val="24"/>
          <w:szCs w:val="24"/>
        </w:rPr>
        <w:t xml:space="preserve">partially </w:t>
      </w:r>
      <w:r w:rsidR="00A62ACD" w:rsidRPr="00CA69BE">
        <w:rPr>
          <w:rFonts w:ascii="Arial" w:hAnsi="Arial" w:cs="Arial"/>
          <w:sz w:val="24"/>
          <w:szCs w:val="24"/>
        </w:rPr>
        <w:t>free</w:t>
      </w:r>
      <w:r w:rsidR="002A7792" w:rsidRPr="00CA69BE">
        <w:rPr>
          <w:rFonts w:ascii="Arial" w:hAnsi="Arial" w:cs="Arial"/>
          <w:sz w:val="24"/>
          <w:szCs w:val="24"/>
        </w:rPr>
        <w:t xml:space="preserve">ze the Absa </w:t>
      </w:r>
      <w:r w:rsidR="008B01F2" w:rsidRPr="00CA69BE">
        <w:rPr>
          <w:rFonts w:ascii="Arial" w:hAnsi="Arial" w:cs="Arial"/>
          <w:sz w:val="24"/>
          <w:szCs w:val="24"/>
        </w:rPr>
        <w:t>account but</w:t>
      </w:r>
      <w:r w:rsidR="002A7792" w:rsidRPr="00CA69BE">
        <w:rPr>
          <w:rFonts w:ascii="Arial" w:hAnsi="Arial" w:cs="Arial"/>
          <w:sz w:val="24"/>
          <w:szCs w:val="24"/>
        </w:rPr>
        <w:t xml:space="preserve"> has</w:t>
      </w:r>
      <w:r w:rsidR="008B01F2" w:rsidRPr="00CA69BE">
        <w:rPr>
          <w:rFonts w:ascii="Arial" w:hAnsi="Arial" w:cs="Arial"/>
          <w:sz w:val="24"/>
          <w:szCs w:val="24"/>
        </w:rPr>
        <w:t>,</w:t>
      </w:r>
      <w:r w:rsidR="002A7792" w:rsidRPr="00CA69BE">
        <w:rPr>
          <w:rFonts w:ascii="Arial" w:hAnsi="Arial" w:cs="Arial"/>
          <w:sz w:val="24"/>
          <w:szCs w:val="24"/>
        </w:rPr>
        <w:t xml:space="preserve"> in subsequent litigation</w:t>
      </w:r>
      <w:r w:rsidR="008B01F2" w:rsidRPr="00CA69BE">
        <w:rPr>
          <w:rFonts w:ascii="Arial" w:hAnsi="Arial" w:cs="Arial"/>
          <w:sz w:val="24"/>
          <w:szCs w:val="24"/>
        </w:rPr>
        <w:t>,</w:t>
      </w:r>
      <w:r w:rsidR="002A7792" w:rsidRPr="00CA69BE">
        <w:rPr>
          <w:rFonts w:ascii="Arial" w:hAnsi="Arial" w:cs="Arial"/>
          <w:sz w:val="24"/>
          <w:szCs w:val="24"/>
        </w:rPr>
        <w:t xml:space="preserve"> abandoned that relief. </w:t>
      </w:r>
      <w:r w:rsidR="00497BE9" w:rsidRPr="00CA69BE">
        <w:rPr>
          <w:rFonts w:ascii="Arial" w:hAnsi="Arial" w:cs="Arial"/>
          <w:sz w:val="24"/>
          <w:szCs w:val="24"/>
        </w:rPr>
        <w:t xml:space="preserve">Although it </w:t>
      </w:r>
      <w:r w:rsidR="003F50DC" w:rsidRPr="00CA69BE">
        <w:rPr>
          <w:rFonts w:ascii="Arial" w:hAnsi="Arial" w:cs="Arial"/>
          <w:sz w:val="24"/>
          <w:szCs w:val="24"/>
        </w:rPr>
        <w:t>eventually</w:t>
      </w:r>
      <w:r w:rsidR="00CF0F70" w:rsidRPr="00CA69BE">
        <w:rPr>
          <w:rFonts w:ascii="Arial" w:hAnsi="Arial" w:cs="Arial"/>
          <w:sz w:val="24"/>
          <w:szCs w:val="24"/>
        </w:rPr>
        <w:t xml:space="preserve"> tendered costs on a party an</w:t>
      </w:r>
      <w:r w:rsidR="003423B8" w:rsidRPr="00CA69BE">
        <w:rPr>
          <w:rFonts w:ascii="Arial" w:hAnsi="Arial" w:cs="Arial"/>
          <w:sz w:val="24"/>
          <w:szCs w:val="24"/>
        </w:rPr>
        <w:t>d</w:t>
      </w:r>
      <w:r w:rsidR="00CF0F70" w:rsidRPr="00CA69BE">
        <w:rPr>
          <w:rFonts w:ascii="Arial" w:hAnsi="Arial" w:cs="Arial"/>
          <w:sz w:val="24"/>
          <w:szCs w:val="24"/>
        </w:rPr>
        <w:t xml:space="preserve"> party scale</w:t>
      </w:r>
      <w:r w:rsidR="00212009" w:rsidRPr="00CA69BE">
        <w:rPr>
          <w:rFonts w:ascii="Arial" w:hAnsi="Arial" w:cs="Arial"/>
          <w:sz w:val="24"/>
          <w:szCs w:val="24"/>
        </w:rPr>
        <w:t>,</w:t>
      </w:r>
      <w:r w:rsidR="00CF0F70" w:rsidRPr="00CA69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F70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CF0F70" w:rsidRPr="00CA69BE">
        <w:rPr>
          <w:rFonts w:ascii="Arial" w:hAnsi="Arial" w:cs="Arial"/>
          <w:sz w:val="24"/>
          <w:szCs w:val="24"/>
        </w:rPr>
        <w:t xml:space="preserve"> is not satisfied and believes he is entitled to attorney client co</w:t>
      </w:r>
      <w:r w:rsidR="008E593D" w:rsidRPr="00CA69BE">
        <w:rPr>
          <w:rFonts w:ascii="Arial" w:hAnsi="Arial" w:cs="Arial"/>
          <w:sz w:val="24"/>
          <w:szCs w:val="24"/>
        </w:rPr>
        <w:t>st</w:t>
      </w:r>
      <w:r w:rsidR="00EC20AA" w:rsidRPr="00CA69BE">
        <w:rPr>
          <w:rFonts w:ascii="Arial" w:hAnsi="Arial" w:cs="Arial"/>
          <w:sz w:val="24"/>
          <w:szCs w:val="24"/>
        </w:rPr>
        <w:t xml:space="preserve"> hence the present application</w:t>
      </w:r>
      <w:r w:rsidR="00212009" w:rsidRPr="00CA69BE">
        <w:rPr>
          <w:rFonts w:ascii="Arial" w:hAnsi="Arial" w:cs="Arial"/>
          <w:sz w:val="24"/>
          <w:szCs w:val="24"/>
        </w:rPr>
        <w:t>.</w:t>
      </w:r>
      <w:r w:rsidR="00F62CA0" w:rsidRPr="00CA69BE">
        <w:rPr>
          <w:rFonts w:ascii="Arial" w:hAnsi="Arial" w:cs="Arial"/>
          <w:sz w:val="24"/>
          <w:szCs w:val="24"/>
        </w:rPr>
        <w:t xml:space="preserve"> I turn first to the background that led to the freezing application.</w:t>
      </w:r>
      <w:r w:rsidR="008E593D" w:rsidRPr="00CA69BE">
        <w:rPr>
          <w:rFonts w:ascii="Arial" w:hAnsi="Arial" w:cs="Arial"/>
          <w:sz w:val="24"/>
          <w:szCs w:val="24"/>
        </w:rPr>
        <w:t xml:space="preserve"> </w:t>
      </w:r>
    </w:p>
    <w:p w14:paraId="7156094E" w14:textId="4983143D" w:rsidR="003E2B80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</w:r>
      <w:r w:rsidR="00EE4A47" w:rsidRPr="00CA69BE">
        <w:rPr>
          <w:rFonts w:ascii="Arial" w:hAnsi="Arial" w:cs="Arial"/>
          <w:sz w:val="24"/>
          <w:szCs w:val="24"/>
        </w:rPr>
        <w:t xml:space="preserve">The second respondent in this case is </w:t>
      </w:r>
      <w:r w:rsidR="00C8792E" w:rsidRPr="00CA69BE">
        <w:rPr>
          <w:rFonts w:ascii="Arial" w:hAnsi="Arial" w:cs="Arial"/>
          <w:sz w:val="24"/>
          <w:szCs w:val="24"/>
        </w:rPr>
        <w:t>Cyber</w:t>
      </w:r>
      <w:r w:rsidR="001A1E05" w:rsidRPr="00CA69BE">
        <w:rPr>
          <w:rFonts w:ascii="Arial" w:hAnsi="Arial" w:cs="Arial"/>
          <w:sz w:val="24"/>
          <w:szCs w:val="24"/>
        </w:rPr>
        <w:t xml:space="preserve"> FX (Pty) Ltd (</w:t>
      </w:r>
      <w:r w:rsidR="00DE4BD7">
        <w:rPr>
          <w:rFonts w:ascii="Arial" w:hAnsi="Arial" w:cs="Arial"/>
          <w:sz w:val="24"/>
          <w:szCs w:val="24"/>
        </w:rPr>
        <w:t>“</w:t>
      </w:r>
      <w:r w:rsidR="001A1E05" w:rsidRPr="00CA69BE">
        <w:rPr>
          <w:rFonts w:ascii="Arial" w:hAnsi="Arial" w:cs="Arial"/>
          <w:sz w:val="24"/>
          <w:szCs w:val="24"/>
        </w:rPr>
        <w:t>Cyber</w:t>
      </w:r>
      <w:r w:rsidR="00DE4BD7">
        <w:rPr>
          <w:rFonts w:ascii="Arial" w:hAnsi="Arial" w:cs="Arial"/>
          <w:sz w:val="24"/>
          <w:szCs w:val="24"/>
        </w:rPr>
        <w:t>”</w:t>
      </w:r>
      <w:r w:rsidR="001A1E05" w:rsidRPr="00CA69BE">
        <w:rPr>
          <w:rFonts w:ascii="Arial" w:hAnsi="Arial" w:cs="Arial"/>
          <w:sz w:val="24"/>
          <w:szCs w:val="24"/>
        </w:rPr>
        <w:t>)</w:t>
      </w:r>
      <w:r w:rsidR="005E7933" w:rsidRPr="00CA69BE">
        <w:rPr>
          <w:rFonts w:ascii="Arial" w:hAnsi="Arial" w:cs="Arial"/>
          <w:sz w:val="24"/>
          <w:szCs w:val="24"/>
        </w:rPr>
        <w:t xml:space="preserve">. Cyber </w:t>
      </w:r>
      <w:r w:rsidR="00C8792E" w:rsidRPr="00CA69BE">
        <w:rPr>
          <w:rFonts w:ascii="Arial" w:hAnsi="Arial" w:cs="Arial"/>
          <w:sz w:val="24"/>
          <w:szCs w:val="24"/>
        </w:rPr>
        <w:t>has two shareholders</w:t>
      </w:r>
      <w:r w:rsidR="008E6C79" w:rsidRPr="00CA69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E6C79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8E6C79" w:rsidRPr="00CA69BE">
        <w:rPr>
          <w:rFonts w:ascii="Arial" w:hAnsi="Arial" w:cs="Arial"/>
          <w:sz w:val="24"/>
          <w:szCs w:val="24"/>
        </w:rPr>
        <w:t xml:space="preserve"> and</w:t>
      </w:r>
      <w:r w:rsidR="004F60B1" w:rsidRPr="00CA69BE">
        <w:rPr>
          <w:rFonts w:ascii="Arial" w:hAnsi="Arial" w:cs="Arial"/>
          <w:sz w:val="24"/>
          <w:szCs w:val="24"/>
        </w:rPr>
        <w:t xml:space="preserve"> Kevin </w:t>
      </w:r>
      <w:r w:rsidR="008E6C79" w:rsidRPr="00CA69BE">
        <w:rPr>
          <w:rFonts w:ascii="Arial" w:hAnsi="Arial" w:cs="Arial"/>
          <w:sz w:val="24"/>
          <w:szCs w:val="24"/>
        </w:rPr>
        <w:t>R</w:t>
      </w:r>
      <w:r w:rsidR="004F60B1" w:rsidRPr="00CA69BE">
        <w:rPr>
          <w:rFonts w:ascii="Arial" w:hAnsi="Arial" w:cs="Arial"/>
          <w:sz w:val="24"/>
          <w:szCs w:val="24"/>
        </w:rPr>
        <w:t>einstein</w:t>
      </w:r>
      <w:r w:rsidR="008B01F2" w:rsidRPr="00CA69BE">
        <w:rPr>
          <w:rFonts w:ascii="Arial" w:hAnsi="Arial" w:cs="Arial"/>
          <w:sz w:val="24"/>
          <w:szCs w:val="24"/>
        </w:rPr>
        <w:t>.</w:t>
      </w:r>
      <w:r w:rsidR="008E6C79" w:rsidRPr="00CA69B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E6C79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8E6C79" w:rsidRPr="00CA69BE">
        <w:rPr>
          <w:rFonts w:ascii="Arial" w:hAnsi="Arial" w:cs="Arial"/>
          <w:sz w:val="24"/>
          <w:szCs w:val="24"/>
        </w:rPr>
        <w:t xml:space="preserve"> was also a director but resigned </w:t>
      </w:r>
      <w:r w:rsidR="00E952BB" w:rsidRPr="00CA69BE">
        <w:rPr>
          <w:rFonts w:ascii="Arial" w:hAnsi="Arial" w:cs="Arial"/>
          <w:sz w:val="24"/>
          <w:szCs w:val="24"/>
        </w:rPr>
        <w:t xml:space="preserve">on </w:t>
      </w:r>
      <w:r w:rsidR="00A47695" w:rsidRPr="00CA69BE">
        <w:rPr>
          <w:rFonts w:ascii="Arial" w:hAnsi="Arial" w:cs="Arial"/>
          <w:sz w:val="24"/>
          <w:szCs w:val="24"/>
        </w:rPr>
        <w:t>6 June 2019.</w:t>
      </w:r>
      <w:r w:rsidR="00E676F2" w:rsidRPr="00CA69BE">
        <w:rPr>
          <w:rFonts w:ascii="Arial" w:hAnsi="Arial" w:cs="Arial"/>
          <w:sz w:val="24"/>
          <w:szCs w:val="24"/>
        </w:rPr>
        <w:t xml:space="preserve"> </w:t>
      </w:r>
    </w:p>
    <w:p w14:paraId="54517F54" w14:textId="4985436D" w:rsidR="00E26F45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</w:r>
      <w:r w:rsidR="009E489E" w:rsidRPr="00CA69BE">
        <w:rPr>
          <w:rFonts w:ascii="Arial" w:hAnsi="Arial" w:cs="Arial"/>
          <w:sz w:val="24"/>
          <w:szCs w:val="24"/>
        </w:rPr>
        <w:t xml:space="preserve">Crowd Tech is an investment firm based in Cyprus. </w:t>
      </w:r>
      <w:r w:rsidR="00DF3132" w:rsidRPr="00CA69BE">
        <w:rPr>
          <w:rFonts w:ascii="Arial" w:hAnsi="Arial" w:cs="Arial"/>
          <w:sz w:val="24"/>
          <w:szCs w:val="24"/>
        </w:rPr>
        <w:t>It has clients wh</w:t>
      </w:r>
      <w:r w:rsidR="00C03525" w:rsidRPr="00CA69BE">
        <w:rPr>
          <w:rFonts w:ascii="Arial" w:hAnsi="Arial" w:cs="Arial"/>
          <w:sz w:val="24"/>
          <w:szCs w:val="24"/>
        </w:rPr>
        <w:t>o</w:t>
      </w:r>
      <w:r w:rsidR="00DF3132" w:rsidRPr="00CA69BE">
        <w:rPr>
          <w:rFonts w:ascii="Arial" w:hAnsi="Arial" w:cs="Arial"/>
          <w:sz w:val="24"/>
          <w:szCs w:val="24"/>
        </w:rPr>
        <w:t xml:space="preserve"> seek opportunities</w:t>
      </w:r>
      <w:r w:rsidR="00DE78EF" w:rsidRPr="00CA69BE">
        <w:rPr>
          <w:rFonts w:ascii="Arial" w:hAnsi="Arial" w:cs="Arial"/>
          <w:sz w:val="24"/>
          <w:szCs w:val="24"/>
        </w:rPr>
        <w:t xml:space="preserve"> internationally </w:t>
      </w:r>
      <w:r w:rsidR="00DF3132" w:rsidRPr="00CA69BE">
        <w:rPr>
          <w:rFonts w:ascii="Arial" w:hAnsi="Arial" w:cs="Arial"/>
          <w:sz w:val="24"/>
          <w:szCs w:val="24"/>
        </w:rPr>
        <w:t xml:space="preserve">to trade in derivatives. </w:t>
      </w:r>
      <w:r w:rsidR="009E489E" w:rsidRPr="00CA69BE">
        <w:rPr>
          <w:rFonts w:ascii="Arial" w:hAnsi="Arial" w:cs="Arial"/>
          <w:sz w:val="24"/>
          <w:szCs w:val="24"/>
        </w:rPr>
        <w:t xml:space="preserve">In 2018 it took a decision to invest in South Africa and </w:t>
      </w:r>
      <w:r w:rsidR="00DF3132" w:rsidRPr="00CA69BE">
        <w:rPr>
          <w:rFonts w:ascii="Arial" w:hAnsi="Arial" w:cs="Arial"/>
          <w:sz w:val="24"/>
          <w:szCs w:val="24"/>
        </w:rPr>
        <w:t xml:space="preserve">was </w:t>
      </w:r>
      <w:r w:rsidR="00CB6141" w:rsidRPr="00CA69BE">
        <w:rPr>
          <w:rFonts w:ascii="Arial" w:hAnsi="Arial" w:cs="Arial"/>
          <w:sz w:val="24"/>
          <w:szCs w:val="24"/>
        </w:rPr>
        <w:t xml:space="preserve">referred to </w:t>
      </w:r>
      <w:r w:rsidR="00511C68" w:rsidRPr="00CA69BE">
        <w:rPr>
          <w:rFonts w:ascii="Arial" w:hAnsi="Arial" w:cs="Arial"/>
          <w:sz w:val="24"/>
          <w:szCs w:val="24"/>
        </w:rPr>
        <w:t>Cyber</w:t>
      </w:r>
      <w:r w:rsidR="00162089" w:rsidRPr="00CA69BE">
        <w:rPr>
          <w:rFonts w:ascii="Arial" w:hAnsi="Arial" w:cs="Arial"/>
          <w:sz w:val="24"/>
          <w:szCs w:val="24"/>
        </w:rPr>
        <w:t xml:space="preserve">. The attraction of </w:t>
      </w:r>
      <w:r w:rsidR="00511C68" w:rsidRPr="00CA69BE">
        <w:rPr>
          <w:rFonts w:ascii="Arial" w:hAnsi="Arial" w:cs="Arial"/>
          <w:sz w:val="24"/>
          <w:szCs w:val="24"/>
        </w:rPr>
        <w:t>Cyber</w:t>
      </w:r>
      <w:r w:rsidR="00162089" w:rsidRPr="00CA69BE">
        <w:rPr>
          <w:rFonts w:ascii="Arial" w:hAnsi="Arial" w:cs="Arial"/>
          <w:sz w:val="24"/>
          <w:szCs w:val="24"/>
        </w:rPr>
        <w:t xml:space="preserve"> was that it had a licence to trade derivatives</w:t>
      </w:r>
      <w:r w:rsidR="00DF3132" w:rsidRPr="00CA69BE">
        <w:rPr>
          <w:rFonts w:ascii="Arial" w:hAnsi="Arial" w:cs="Arial"/>
          <w:sz w:val="24"/>
          <w:szCs w:val="24"/>
        </w:rPr>
        <w:t xml:space="preserve"> on an online platform</w:t>
      </w:r>
      <w:r w:rsidR="00162089" w:rsidRPr="00CA69BE">
        <w:rPr>
          <w:rFonts w:ascii="Arial" w:hAnsi="Arial" w:cs="Arial"/>
          <w:sz w:val="24"/>
          <w:szCs w:val="24"/>
        </w:rPr>
        <w:t xml:space="preserve"> in what is known as the over the counter </w:t>
      </w:r>
      <w:r w:rsidR="00612CD7" w:rsidRPr="00CA69BE">
        <w:rPr>
          <w:rFonts w:ascii="Arial" w:hAnsi="Arial" w:cs="Arial"/>
          <w:sz w:val="24"/>
          <w:szCs w:val="24"/>
        </w:rPr>
        <w:t xml:space="preserve">derivative </w:t>
      </w:r>
      <w:r w:rsidR="00162089" w:rsidRPr="00CA69BE">
        <w:rPr>
          <w:rFonts w:ascii="Arial" w:hAnsi="Arial" w:cs="Arial"/>
          <w:sz w:val="24"/>
          <w:szCs w:val="24"/>
        </w:rPr>
        <w:t>market</w:t>
      </w:r>
      <w:r w:rsidR="00DB13C7" w:rsidRPr="00CA69BE">
        <w:rPr>
          <w:rFonts w:ascii="Arial" w:hAnsi="Arial" w:cs="Arial"/>
          <w:sz w:val="24"/>
          <w:szCs w:val="24"/>
        </w:rPr>
        <w:t xml:space="preserve">. In November 2018 the two companies entered into an agreement known as </w:t>
      </w:r>
      <w:r w:rsidR="00130EA4" w:rsidRPr="00CA69BE">
        <w:rPr>
          <w:rFonts w:ascii="Arial" w:hAnsi="Arial" w:cs="Arial"/>
          <w:sz w:val="24"/>
          <w:szCs w:val="24"/>
        </w:rPr>
        <w:t xml:space="preserve">a </w:t>
      </w:r>
      <w:r w:rsidR="00DB13C7" w:rsidRPr="00CA69BE">
        <w:rPr>
          <w:rFonts w:ascii="Arial" w:hAnsi="Arial" w:cs="Arial"/>
          <w:sz w:val="24"/>
          <w:szCs w:val="24"/>
        </w:rPr>
        <w:t>White Label agreement.</w:t>
      </w:r>
      <w:r w:rsidR="000B4D5D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B850B0" w:rsidRPr="00CA69BE">
        <w:rPr>
          <w:rFonts w:ascii="Arial" w:hAnsi="Arial" w:cs="Arial"/>
          <w:sz w:val="24"/>
          <w:szCs w:val="24"/>
        </w:rPr>
        <w:t xml:space="preserve"> </w:t>
      </w:r>
      <w:r w:rsidR="00C90BBE" w:rsidRPr="00CA69BE">
        <w:rPr>
          <w:rFonts w:ascii="Arial" w:hAnsi="Arial" w:cs="Arial"/>
          <w:sz w:val="24"/>
          <w:szCs w:val="24"/>
        </w:rPr>
        <w:t xml:space="preserve">In </w:t>
      </w:r>
      <w:r w:rsidR="00B850B0" w:rsidRPr="00CA69BE">
        <w:rPr>
          <w:rFonts w:ascii="Arial" w:hAnsi="Arial" w:cs="Arial"/>
          <w:sz w:val="24"/>
          <w:szCs w:val="24"/>
        </w:rPr>
        <w:t xml:space="preserve">terms of the agreement Crowd Tech deposited funds from its clients into an account controlled by </w:t>
      </w:r>
      <w:r w:rsidR="00511C68" w:rsidRPr="00CA69BE">
        <w:rPr>
          <w:rFonts w:ascii="Arial" w:hAnsi="Arial" w:cs="Arial"/>
          <w:sz w:val="24"/>
          <w:szCs w:val="24"/>
        </w:rPr>
        <w:t>Cyber</w:t>
      </w:r>
      <w:r w:rsidR="00B850B0" w:rsidRPr="00CA69BE">
        <w:rPr>
          <w:rFonts w:ascii="Arial" w:hAnsi="Arial" w:cs="Arial"/>
          <w:sz w:val="24"/>
          <w:szCs w:val="24"/>
        </w:rPr>
        <w:t xml:space="preserve"> which was necessary for the clients to</w:t>
      </w:r>
      <w:r w:rsidR="00AA2A6A" w:rsidRPr="00CA69BE">
        <w:rPr>
          <w:rFonts w:ascii="Arial" w:hAnsi="Arial" w:cs="Arial"/>
          <w:sz w:val="24"/>
          <w:szCs w:val="24"/>
        </w:rPr>
        <w:t xml:space="preserve"> enable them to</w:t>
      </w:r>
      <w:r w:rsidR="00B850B0" w:rsidRPr="00CA69BE">
        <w:rPr>
          <w:rFonts w:ascii="Arial" w:hAnsi="Arial" w:cs="Arial"/>
          <w:sz w:val="24"/>
          <w:szCs w:val="24"/>
        </w:rPr>
        <w:t xml:space="preserve"> trade</w:t>
      </w:r>
      <w:r w:rsidR="002A56F2" w:rsidRPr="00CA69BE">
        <w:rPr>
          <w:rFonts w:ascii="Arial" w:hAnsi="Arial" w:cs="Arial"/>
          <w:sz w:val="24"/>
          <w:szCs w:val="24"/>
        </w:rPr>
        <w:t xml:space="preserve">. These accounts are </w:t>
      </w:r>
      <w:r w:rsidR="002A56F2" w:rsidRPr="00CA69BE">
        <w:rPr>
          <w:rFonts w:ascii="Arial" w:hAnsi="Arial" w:cs="Arial"/>
          <w:sz w:val="24"/>
          <w:szCs w:val="24"/>
        </w:rPr>
        <w:lastRenderedPageBreak/>
        <w:t>known as margin accounts.</w:t>
      </w:r>
      <w:r w:rsidR="002802A2" w:rsidRPr="00CA69BE">
        <w:rPr>
          <w:rFonts w:ascii="Arial" w:hAnsi="Arial" w:cs="Arial"/>
          <w:sz w:val="24"/>
          <w:szCs w:val="24"/>
        </w:rPr>
        <w:t xml:space="preserve"> The significance of these accounts is that they held the clients funds.</w:t>
      </w:r>
    </w:p>
    <w:p w14:paraId="4F3F1861" w14:textId="5962DCED" w:rsidR="00A87F66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[7]</w:t>
      </w:r>
      <w:r>
        <w:rPr>
          <w:rFonts w:ascii="Arial" w:hAnsi="Arial" w:cs="Arial"/>
          <w:sz w:val="24"/>
          <w:szCs w:val="24"/>
        </w:rPr>
        <w:tab/>
      </w:r>
      <w:r w:rsidR="00E26F45" w:rsidRPr="00CA69BE">
        <w:rPr>
          <w:rFonts w:ascii="Arial" w:hAnsi="Arial" w:cs="Arial"/>
          <w:sz w:val="24"/>
          <w:szCs w:val="24"/>
        </w:rPr>
        <w:t xml:space="preserve">On </w:t>
      </w:r>
      <w:r w:rsidR="0030590B" w:rsidRPr="00CA69BE">
        <w:rPr>
          <w:rFonts w:ascii="Arial" w:hAnsi="Arial" w:cs="Arial"/>
          <w:sz w:val="24"/>
          <w:szCs w:val="24"/>
        </w:rPr>
        <w:t>7 May 2019 Crowd Tech transferred</w:t>
      </w:r>
      <w:r w:rsidR="005A0E21" w:rsidRPr="00CA69BE">
        <w:rPr>
          <w:rFonts w:ascii="Arial" w:hAnsi="Arial" w:cs="Arial"/>
          <w:sz w:val="24"/>
          <w:szCs w:val="24"/>
        </w:rPr>
        <w:t xml:space="preserve"> €</w:t>
      </w:r>
      <w:r w:rsidR="0030590B" w:rsidRPr="00CA69BE">
        <w:rPr>
          <w:rFonts w:ascii="Arial" w:hAnsi="Arial" w:cs="Arial"/>
          <w:sz w:val="24"/>
          <w:szCs w:val="24"/>
        </w:rPr>
        <w:t xml:space="preserve"> </w:t>
      </w:r>
      <w:r w:rsidR="00453445" w:rsidRPr="00CA69BE">
        <w:rPr>
          <w:rFonts w:ascii="Arial" w:hAnsi="Arial" w:cs="Arial"/>
          <w:sz w:val="24"/>
          <w:szCs w:val="24"/>
        </w:rPr>
        <w:t>271</w:t>
      </w:r>
      <w:r w:rsidR="00FA3674" w:rsidRPr="00CA69BE">
        <w:rPr>
          <w:rFonts w:ascii="Arial" w:hAnsi="Arial" w:cs="Arial"/>
          <w:sz w:val="24"/>
          <w:szCs w:val="24"/>
        </w:rPr>
        <w:t xml:space="preserve"> </w:t>
      </w:r>
      <w:r w:rsidR="00453445" w:rsidRPr="00CA69BE">
        <w:rPr>
          <w:rFonts w:ascii="Arial" w:hAnsi="Arial" w:cs="Arial"/>
          <w:sz w:val="24"/>
          <w:szCs w:val="24"/>
        </w:rPr>
        <w:t>985.36</w:t>
      </w:r>
      <w:r w:rsidR="008344FE" w:rsidRPr="00CA69BE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8344FE" w:rsidRPr="00CA69BE">
        <w:rPr>
          <w:rFonts w:ascii="Arial" w:hAnsi="Arial" w:cs="Arial"/>
          <w:sz w:val="24"/>
          <w:szCs w:val="24"/>
        </w:rPr>
        <w:t>Cyber’s</w:t>
      </w:r>
      <w:proofErr w:type="spellEnd"/>
      <w:r w:rsidR="008344FE" w:rsidRPr="00CA69BE">
        <w:rPr>
          <w:rFonts w:ascii="Arial" w:hAnsi="Arial" w:cs="Arial"/>
          <w:sz w:val="24"/>
          <w:szCs w:val="24"/>
        </w:rPr>
        <w:t xml:space="preserve"> account.</w:t>
      </w:r>
      <w:r w:rsidR="00042619" w:rsidRPr="00CA69BE">
        <w:rPr>
          <w:rFonts w:ascii="Arial" w:hAnsi="Arial" w:cs="Arial"/>
          <w:sz w:val="24"/>
          <w:szCs w:val="24"/>
        </w:rPr>
        <w:t xml:space="preserve"> </w:t>
      </w:r>
      <w:r w:rsidR="00B40C51" w:rsidRPr="00CA69BE">
        <w:rPr>
          <w:rFonts w:ascii="Arial" w:hAnsi="Arial" w:cs="Arial"/>
          <w:sz w:val="24"/>
          <w:szCs w:val="24"/>
        </w:rPr>
        <w:t>This amount represented money from its clients for the purpose of Cyber using it to conduct trades on its platform</w:t>
      </w:r>
      <w:r w:rsidR="00782C0C" w:rsidRPr="00CA69BE">
        <w:rPr>
          <w:rFonts w:ascii="Arial" w:hAnsi="Arial" w:cs="Arial"/>
          <w:sz w:val="24"/>
          <w:szCs w:val="24"/>
        </w:rPr>
        <w:t xml:space="preserve"> on behalf of these clients</w:t>
      </w:r>
      <w:r w:rsidR="00B40C51" w:rsidRPr="00CA69BE">
        <w:rPr>
          <w:rFonts w:ascii="Arial" w:hAnsi="Arial" w:cs="Arial"/>
          <w:sz w:val="24"/>
          <w:szCs w:val="24"/>
        </w:rPr>
        <w:t xml:space="preserve">. </w:t>
      </w:r>
      <w:r w:rsidR="00042619" w:rsidRPr="00CA69BE">
        <w:rPr>
          <w:rFonts w:ascii="Arial" w:hAnsi="Arial" w:cs="Arial"/>
          <w:sz w:val="24"/>
          <w:szCs w:val="24"/>
        </w:rPr>
        <w:t>But</w:t>
      </w:r>
      <w:r w:rsidR="00495919">
        <w:rPr>
          <w:rFonts w:ascii="Arial" w:hAnsi="Arial" w:cs="Arial"/>
          <w:sz w:val="24"/>
          <w:szCs w:val="24"/>
        </w:rPr>
        <w:t>,</w:t>
      </w:r>
      <w:r w:rsidR="00042619" w:rsidRPr="00CA69BE">
        <w:rPr>
          <w:rFonts w:ascii="Arial" w:hAnsi="Arial" w:cs="Arial"/>
          <w:sz w:val="24"/>
          <w:szCs w:val="24"/>
        </w:rPr>
        <w:t xml:space="preserve"> Crowd Tech</w:t>
      </w:r>
      <w:r w:rsidR="00201FA0" w:rsidRPr="00CA69BE">
        <w:rPr>
          <w:rFonts w:ascii="Arial" w:hAnsi="Arial" w:cs="Arial"/>
          <w:sz w:val="24"/>
          <w:szCs w:val="24"/>
        </w:rPr>
        <w:t xml:space="preserve"> claimed</w:t>
      </w:r>
      <w:r w:rsidR="00241A98" w:rsidRPr="00CA69BE">
        <w:rPr>
          <w:rFonts w:ascii="Arial" w:hAnsi="Arial" w:cs="Arial"/>
          <w:sz w:val="24"/>
          <w:szCs w:val="24"/>
        </w:rPr>
        <w:t>,</w:t>
      </w:r>
      <w:r w:rsidR="0038339C" w:rsidRPr="00CA69BE">
        <w:rPr>
          <w:rFonts w:ascii="Arial" w:hAnsi="Arial" w:cs="Arial"/>
          <w:sz w:val="24"/>
          <w:szCs w:val="24"/>
        </w:rPr>
        <w:t xml:space="preserve"> it later learnt that</w:t>
      </w:r>
      <w:r w:rsidR="00042619" w:rsidRPr="00CA69BE">
        <w:rPr>
          <w:rFonts w:ascii="Arial" w:hAnsi="Arial" w:cs="Arial"/>
          <w:sz w:val="24"/>
          <w:szCs w:val="24"/>
        </w:rPr>
        <w:t xml:space="preserve"> Cyber did not transfer the</w:t>
      </w:r>
      <w:r w:rsidR="00201FA0" w:rsidRPr="00CA69BE">
        <w:rPr>
          <w:rFonts w:ascii="Arial" w:hAnsi="Arial" w:cs="Arial"/>
          <w:sz w:val="24"/>
          <w:szCs w:val="24"/>
        </w:rPr>
        <w:t>se</w:t>
      </w:r>
      <w:r w:rsidR="00042619" w:rsidRPr="00CA69BE">
        <w:rPr>
          <w:rFonts w:ascii="Arial" w:hAnsi="Arial" w:cs="Arial"/>
          <w:sz w:val="24"/>
          <w:szCs w:val="24"/>
        </w:rPr>
        <w:t xml:space="preserve"> funds into end user</w:t>
      </w:r>
      <w:r w:rsidR="00241A98" w:rsidRPr="00CA69BE">
        <w:rPr>
          <w:rFonts w:ascii="Arial" w:hAnsi="Arial" w:cs="Arial"/>
          <w:sz w:val="24"/>
          <w:szCs w:val="24"/>
        </w:rPr>
        <w:t>s</w:t>
      </w:r>
      <w:r w:rsidR="00042619" w:rsidRPr="00CA69BE">
        <w:rPr>
          <w:rFonts w:ascii="Arial" w:hAnsi="Arial" w:cs="Arial"/>
          <w:sz w:val="24"/>
          <w:szCs w:val="24"/>
        </w:rPr>
        <w:t xml:space="preserve"> </w:t>
      </w:r>
      <w:r w:rsidR="00331CA2" w:rsidRPr="00CA69BE">
        <w:rPr>
          <w:rFonts w:ascii="Arial" w:hAnsi="Arial" w:cs="Arial"/>
          <w:sz w:val="24"/>
          <w:szCs w:val="24"/>
        </w:rPr>
        <w:t xml:space="preserve">margin </w:t>
      </w:r>
      <w:r w:rsidR="00042619" w:rsidRPr="00CA69BE">
        <w:rPr>
          <w:rFonts w:ascii="Arial" w:hAnsi="Arial" w:cs="Arial"/>
          <w:sz w:val="24"/>
          <w:szCs w:val="24"/>
        </w:rPr>
        <w:t xml:space="preserve">accounts as it was </w:t>
      </w:r>
      <w:r w:rsidR="00241A98" w:rsidRPr="00CA69BE">
        <w:rPr>
          <w:rFonts w:ascii="Arial" w:hAnsi="Arial" w:cs="Arial"/>
          <w:sz w:val="24"/>
          <w:szCs w:val="24"/>
        </w:rPr>
        <w:t xml:space="preserve">required </w:t>
      </w:r>
      <w:r w:rsidR="00042619" w:rsidRPr="00CA69BE">
        <w:rPr>
          <w:rFonts w:ascii="Arial" w:hAnsi="Arial" w:cs="Arial"/>
          <w:sz w:val="24"/>
          <w:szCs w:val="24"/>
        </w:rPr>
        <w:t>to in terms of the White Label agreement.</w:t>
      </w:r>
      <w:r w:rsidR="0097532C" w:rsidRPr="00CA69BE">
        <w:rPr>
          <w:rFonts w:ascii="Arial" w:hAnsi="Arial" w:cs="Arial"/>
          <w:sz w:val="24"/>
          <w:szCs w:val="24"/>
        </w:rPr>
        <w:t xml:space="preserve"> </w:t>
      </w:r>
      <w:r w:rsidR="00C43A32" w:rsidRPr="00CA69BE">
        <w:rPr>
          <w:rFonts w:ascii="Arial" w:hAnsi="Arial" w:cs="Arial"/>
          <w:sz w:val="24"/>
          <w:szCs w:val="24"/>
        </w:rPr>
        <w:t>It got to find this out because i</w:t>
      </w:r>
      <w:r w:rsidR="0097532C" w:rsidRPr="00CA69BE">
        <w:rPr>
          <w:rFonts w:ascii="Arial" w:hAnsi="Arial" w:cs="Arial"/>
          <w:sz w:val="24"/>
          <w:szCs w:val="24"/>
        </w:rPr>
        <w:t>n June</w:t>
      </w:r>
      <w:r w:rsidR="00331CA2" w:rsidRPr="00CA69BE">
        <w:rPr>
          <w:rFonts w:ascii="Arial" w:hAnsi="Arial" w:cs="Arial"/>
          <w:sz w:val="24"/>
          <w:szCs w:val="24"/>
        </w:rPr>
        <w:t>,</w:t>
      </w:r>
      <w:r w:rsidR="0097532C" w:rsidRPr="00CA69BE">
        <w:rPr>
          <w:rFonts w:ascii="Arial" w:hAnsi="Arial" w:cs="Arial"/>
          <w:sz w:val="24"/>
          <w:szCs w:val="24"/>
        </w:rPr>
        <w:t xml:space="preserve"> one of Crowd Tech clients complained to it that its funds had not been transferred to its margin account. </w:t>
      </w:r>
      <w:r w:rsidR="00E158DF" w:rsidRPr="00CA69BE">
        <w:rPr>
          <w:rFonts w:ascii="Arial" w:hAnsi="Arial" w:cs="Arial"/>
          <w:sz w:val="24"/>
          <w:szCs w:val="24"/>
        </w:rPr>
        <w:t xml:space="preserve">Then </w:t>
      </w:r>
      <w:r w:rsidR="008F7942" w:rsidRPr="00CA69BE">
        <w:rPr>
          <w:rFonts w:ascii="Arial" w:hAnsi="Arial" w:cs="Arial"/>
          <w:sz w:val="24"/>
          <w:szCs w:val="24"/>
        </w:rPr>
        <w:t>On 3 July</w:t>
      </w:r>
      <w:r w:rsidR="00E158DF" w:rsidRPr="00CA69BE">
        <w:rPr>
          <w:rFonts w:ascii="Arial" w:hAnsi="Arial" w:cs="Arial"/>
          <w:sz w:val="24"/>
          <w:szCs w:val="24"/>
        </w:rPr>
        <w:t xml:space="preserve"> 2019,</w:t>
      </w:r>
      <w:r w:rsidR="008F7942" w:rsidRPr="00CA69BE">
        <w:rPr>
          <w:rFonts w:ascii="Arial" w:hAnsi="Arial" w:cs="Arial"/>
          <w:sz w:val="24"/>
          <w:szCs w:val="24"/>
        </w:rPr>
        <w:t xml:space="preserve"> </w:t>
      </w:r>
      <w:r w:rsidR="0097532C" w:rsidRPr="00CA69BE">
        <w:rPr>
          <w:rFonts w:ascii="Arial" w:hAnsi="Arial" w:cs="Arial"/>
          <w:sz w:val="24"/>
          <w:szCs w:val="24"/>
        </w:rPr>
        <w:t>C</w:t>
      </w:r>
      <w:r w:rsidR="005E1B2B" w:rsidRPr="00CA69BE">
        <w:rPr>
          <w:rFonts w:ascii="Arial" w:hAnsi="Arial" w:cs="Arial"/>
          <w:sz w:val="24"/>
          <w:szCs w:val="24"/>
        </w:rPr>
        <w:t>rowd Tech says</w:t>
      </w:r>
      <w:r w:rsidR="00A87F66" w:rsidRPr="00CA69BE">
        <w:rPr>
          <w:rFonts w:ascii="Arial" w:hAnsi="Arial" w:cs="Arial"/>
          <w:sz w:val="24"/>
          <w:szCs w:val="24"/>
        </w:rPr>
        <w:t xml:space="preserve"> it got information that </w:t>
      </w:r>
      <w:proofErr w:type="spellStart"/>
      <w:r w:rsidR="00A87F66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A87F66" w:rsidRPr="00CA69BE">
        <w:rPr>
          <w:rFonts w:ascii="Arial" w:hAnsi="Arial" w:cs="Arial"/>
          <w:sz w:val="24"/>
          <w:szCs w:val="24"/>
        </w:rPr>
        <w:t xml:space="preserve"> had transferred </w:t>
      </w:r>
      <w:r w:rsidR="005A0E21" w:rsidRPr="00CA69BE">
        <w:rPr>
          <w:rFonts w:ascii="Arial" w:hAnsi="Arial" w:cs="Arial"/>
          <w:sz w:val="24"/>
          <w:szCs w:val="24"/>
        </w:rPr>
        <w:t xml:space="preserve">€ </w:t>
      </w:r>
      <w:r w:rsidR="00945014" w:rsidRPr="00CA69BE">
        <w:rPr>
          <w:rFonts w:ascii="Arial" w:hAnsi="Arial" w:cs="Arial"/>
          <w:sz w:val="24"/>
          <w:szCs w:val="24"/>
        </w:rPr>
        <w:t>69 837</w:t>
      </w:r>
      <w:r w:rsidR="00A87F66" w:rsidRPr="00CA69BE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="00A87F66" w:rsidRPr="00CA69BE">
        <w:rPr>
          <w:rFonts w:ascii="Arial" w:hAnsi="Arial" w:cs="Arial"/>
          <w:sz w:val="24"/>
          <w:szCs w:val="24"/>
        </w:rPr>
        <w:t>Cyber</w:t>
      </w:r>
      <w:r w:rsidR="00A01C4F" w:rsidRPr="00CA69BE">
        <w:rPr>
          <w:rFonts w:ascii="Arial" w:hAnsi="Arial" w:cs="Arial"/>
          <w:sz w:val="24"/>
          <w:szCs w:val="24"/>
        </w:rPr>
        <w:t>’</w:t>
      </w:r>
      <w:r w:rsidR="00A87F66" w:rsidRPr="00CA69BE">
        <w:rPr>
          <w:rFonts w:ascii="Arial" w:hAnsi="Arial" w:cs="Arial"/>
          <w:sz w:val="24"/>
          <w:szCs w:val="24"/>
        </w:rPr>
        <w:t>s</w:t>
      </w:r>
      <w:proofErr w:type="spellEnd"/>
      <w:r w:rsidR="00A87F66" w:rsidRPr="00CA69BE">
        <w:rPr>
          <w:rFonts w:ascii="Arial" w:hAnsi="Arial" w:cs="Arial"/>
          <w:sz w:val="24"/>
          <w:szCs w:val="24"/>
        </w:rPr>
        <w:t xml:space="preserve"> </w:t>
      </w:r>
      <w:r w:rsidR="00524517" w:rsidRPr="00CA69BE">
        <w:rPr>
          <w:rFonts w:ascii="Arial" w:hAnsi="Arial" w:cs="Arial"/>
          <w:sz w:val="24"/>
          <w:szCs w:val="24"/>
        </w:rPr>
        <w:t>account with a Portugues</w:t>
      </w:r>
      <w:r w:rsidR="00A01C4F" w:rsidRPr="00CA69BE">
        <w:rPr>
          <w:rFonts w:ascii="Arial" w:hAnsi="Arial" w:cs="Arial"/>
          <w:sz w:val="24"/>
          <w:szCs w:val="24"/>
        </w:rPr>
        <w:t>e</w:t>
      </w:r>
      <w:r w:rsidR="00524517" w:rsidRPr="00CA69BE">
        <w:rPr>
          <w:rFonts w:ascii="Arial" w:hAnsi="Arial" w:cs="Arial"/>
          <w:sz w:val="24"/>
          <w:szCs w:val="24"/>
        </w:rPr>
        <w:t xml:space="preserve"> bank to his </w:t>
      </w:r>
      <w:r w:rsidR="004C3BFA" w:rsidRPr="00CA69BE">
        <w:rPr>
          <w:rFonts w:ascii="Arial" w:hAnsi="Arial" w:cs="Arial"/>
          <w:sz w:val="24"/>
          <w:szCs w:val="24"/>
        </w:rPr>
        <w:t xml:space="preserve">personal </w:t>
      </w:r>
      <w:r w:rsidR="00524517" w:rsidRPr="00CA69BE">
        <w:rPr>
          <w:rFonts w:ascii="Arial" w:hAnsi="Arial" w:cs="Arial"/>
          <w:sz w:val="24"/>
          <w:szCs w:val="24"/>
        </w:rPr>
        <w:t xml:space="preserve">account </w:t>
      </w:r>
      <w:r w:rsidR="004C3BFA" w:rsidRPr="00CA69BE">
        <w:rPr>
          <w:rFonts w:ascii="Arial" w:hAnsi="Arial" w:cs="Arial"/>
          <w:sz w:val="24"/>
          <w:szCs w:val="24"/>
        </w:rPr>
        <w:t>in South Africa</w:t>
      </w:r>
      <w:r w:rsidR="00831143" w:rsidRPr="00CA69BE">
        <w:rPr>
          <w:rFonts w:ascii="Arial" w:hAnsi="Arial" w:cs="Arial"/>
          <w:sz w:val="24"/>
          <w:szCs w:val="24"/>
        </w:rPr>
        <w:t>,</w:t>
      </w:r>
      <w:r w:rsidR="004C3BFA" w:rsidRPr="00CA69BE">
        <w:rPr>
          <w:rFonts w:ascii="Arial" w:hAnsi="Arial" w:cs="Arial"/>
          <w:sz w:val="24"/>
          <w:szCs w:val="24"/>
        </w:rPr>
        <w:t xml:space="preserve"> held </w:t>
      </w:r>
      <w:r w:rsidR="00524517" w:rsidRPr="00CA69BE">
        <w:rPr>
          <w:rFonts w:ascii="Arial" w:hAnsi="Arial" w:cs="Arial"/>
          <w:sz w:val="24"/>
          <w:szCs w:val="24"/>
        </w:rPr>
        <w:t xml:space="preserve">with ABSA. </w:t>
      </w:r>
      <w:r w:rsidR="00006F3A" w:rsidRPr="00CA69BE">
        <w:rPr>
          <w:rFonts w:ascii="Arial" w:hAnsi="Arial" w:cs="Arial"/>
          <w:sz w:val="24"/>
          <w:szCs w:val="24"/>
        </w:rPr>
        <w:t xml:space="preserve">This transfer was alleged to have taken place on 17 May </w:t>
      </w:r>
      <w:r w:rsidR="00594E4B" w:rsidRPr="00CA69BE">
        <w:rPr>
          <w:rFonts w:ascii="Arial" w:hAnsi="Arial" w:cs="Arial"/>
          <w:sz w:val="24"/>
          <w:szCs w:val="24"/>
        </w:rPr>
        <w:t>2019.</w:t>
      </w:r>
      <w:r w:rsidR="004C3BFA" w:rsidRPr="00CA69BE">
        <w:rPr>
          <w:rFonts w:ascii="Arial" w:hAnsi="Arial" w:cs="Arial"/>
          <w:sz w:val="24"/>
          <w:szCs w:val="24"/>
        </w:rPr>
        <w:t>i.e.,</w:t>
      </w:r>
      <w:r w:rsidR="00594E4B" w:rsidRPr="00CA69BE">
        <w:rPr>
          <w:rFonts w:ascii="Arial" w:hAnsi="Arial" w:cs="Arial"/>
          <w:sz w:val="24"/>
          <w:szCs w:val="24"/>
        </w:rPr>
        <w:t xml:space="preserve"> ten days after the date that Crowd Tech had transferred</w:t>
      </w:r>
      <w:r w:rsidR="003F61E8" w:rsidRPr="00CA69BE">
        <w:rPr>
          <w:rFonts w:ascii="Arial" w:hAnsi="Arial" w:cs="Arial"/>
          <w:sz w:val="24"/>
          <w:szCs w:val="24"/>
        </w:rPr>
        <w:t xml:space="preserve"> the € 271 985.36</w:t>
      </w:r>
      <w:r w:rsidR="001B032F" w:rsidRPr="00CA69BE">
        <w:rPr>
          <w:rFonts w:ascii="Arial" w:hAnsi="Arial" w:cs="Arial"/>
          <w:sz w:val="24"/>
          <w:szCs w:val="24"/>
        </w:rPr>
        <w:t>, to</w:t>
      </w:r>
      <w:r w:rsidR="00594E4B" w:rsidRPr="00CA69BE">
        <w:rPr>
          <w:rFonts w:ascii="Arial" w:hAnsi="Arial" w:cs="Arial"/>
          <w:sz w:val="24"/>
          <w:szCs w:val="24"/>
        </w:rPr>
        <w:t xml:space="preserve"> the Cyber account. </w:t>
      </w:r>
      <w:r w:rsidR="00524517" w:rsidRPr="00CA69BE">
        <w:rPr>
          <w:rFonts w:ascii="Arial" w:hAnsi="Arial" w:cs="Arial"/>
          <w:sz w:val="24"/>
          <w:szCs w:val="24"/>
        </w:rPr>
        <w:t xml:space="preserve">As proof of this </w:t>
      </w:r>
      <w:r w:rsidR="00480AB0" w:rsidRPr="00CA69BE">
        <w:rPr>
          <w:rFonts w:ascii="Arial" w:hAnsi="Arial" w:cs="Arial"/>
          <w:sz w:val="24"/>
          <w:szCs w:val="24"/>
        </w:rPr>
        <w:t>transfer</w:t>
      </w:r>
      <w:r w:rsidR="003B0CDD" w:rsidRPr="00CA69BE">
        <w:rPr>
          <w:rFonts w:ascii="Arial" w:hAnsi="Arial" w:cs="Arial"/>
          <w:sz w:val="24"/>
          <w:szCs w:val="24"/>
        </w:rPr>
        <w:t>,</w:t>
      </w:r>
      <w:r w:rsidR="00594E4B" w:rsidRPr="00CA69BE">
        <w:rPr>
          <w:rFonts w:ascii="Arial" w:hAnsi="Arial" w:cs="Arial"/>
          <w:sz w:val="24"/>
          <w:szCs w:val="24"/>
        </w:rPr>
        <w:t xml:space="preserve"> Crowd Tech attached a document from a </w:t>
      </w:r>
      <w:r w:rsidR="0022179F" w:rsidRPr="00CA69BE">
        <w:rPr>
          <w:rFonts w:ascii="Arial" w:hAnsi="Arial" w:cs="Arial"/>
          <w:sz w:val="24"/>
          <w:szCs w:val="24"/>
        </w:rPr>
        <w:t>foreign exchange agent called Fidelis. The document is headed</w:t>
      </w:r>
      <w:r w:rsidR="00D51D68" w:rsidRPr="00CA69BE">
        <w:rPr>
          <w:rFonts w:ascii="Arial" w:hAnsi="Arial" w:cs="Arial"/>
          <w:sz w:val="24"/>
          <w:szCs w:val="24"/>
        </w:rPr>
        <w:t xml:space="preserve"> </w:t>
      </w:r>
      <w:r w:rsidR="00EE22E8">
        <w:rPr>
          <w:rFonts w:ascii="Arial" w:hAnsi="Arial" w:cs="Arial"/>
          <w:sz w:val="24"/>
          <w:szCs w:val="24"/>
        </w:rPr>
        <w:t>“</w:t>
      </w:r>
      <w:r w:rsidR="00D51D68" w:rsidRPr="00CA69BE">
        <w:rPr>
          <w:rFonts w:ascii="Arial" w:hAnsi="Arial" w:cs="Arial"/>
          <w:sz w:val="24"/>
          <w:szCs w:val="24"/>
        </w:rPr>
        <w:t>T</w:t>
      </w:r>
      <w:r w:rsidR="0022179F" w:rsidRPr="00CA69BE">
        <w:rPr>
          <w:rFonts w:ascii="Arial" w:hAnsi="Arial" w:cs="Arial"/>
          <w:sz w:val="24"/>
          <w:szCs w:val="24"/>
        </w:rPr>
        <w:t xml:space="preserve">rade </w:t>
      </w:r>
      <w:r w:rsidR="00D51D68" w:rsidRPr="00CA69BE">
        <w:rPr>
          <w:rFonts w:ascii="Arial" w:hAnsi="Arial" w:cs="Arial"/>
          <w:sz w:val="24"/>
          <w:szCs w:val="24"/>
        </w:rPr>
        <w:t>C</w:t>
      </w:r>
      <w:r w:rsidR="0022179F" w:rsidRPr="00CA69BE">
        <w:rPr>
          <w:rFonts w:ascii="Arial" w:hAnsi="Arial" w:cs="Arial"/>
          <w:sz w:val="24"/>
          <w:szCs w:val="24"/>
        </w:rPr>
        <w:t>onfirmation</w:t>
      </w:r>
      <w:r w:rsidR="00EE22E8">
        <w:rPr>
          <w:rFonts w:ascii="Arial" w:hAnsi="Arial" w:cs="Arial"/>
          <w:sz w:val="24"/>
          <w:szCs w:val="24"/>
        </w:rPr>
        <w:t>”</w:t>
      </w:r>
      <w:r w:rsidR="0022179F" w:rsidRPr="00CA69BE">
        <w:rPr>
          <w:rFonts w:ascii="Arial" w:hAnsi="Arial" w:cs="Arial"/>
          <w:sz w:val="24"/>
          <w:szCs w:val="24"/>
        </w:rPr>
        <w:t xml:space="preserve"> and </w:t>
      </w:r>
      <w:r w:rsidR="00B91232" w:rsidRPr="00CA69BE">
        <w:rPr>
          <w:rFonts w:ascii="Arial" w:hAnsi="Arial" w:cs="Arial"/>
          <w:sz w:val="24"/>
          <w:szCs w:val="24"/>
        </w:rPr>
        <w:t xml:space="preserve">evidences an instruction from </w:t>
      </w:r>
      <w:proofErr w:type="spellStart"/>
      <w:r w:rsidR="00B91232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B91232" w:rsidRPr="00CA69BE">
        <w:rPr>
          <w:rFonts w:ascii="Arial" w:hAnsi="Arial" w:cs="Arial"/>
          <w:sz w:val="24"/>
          <w:szCs w:val="24"/>
        </w:rPr>
        <w:t xml:space="preserve"> to pay the amount to an ABSA account.</w:t>
      </w:r>
      <w:r w:rsidR="00E8257C" w:rsidRPr="00CA69BE">
        <w:rPr>
          <w:rFonts w:ascii="Arial" w:hAnsi="Arial" w:cs="Arial"/>
          <w:sz w:val="24"/>
          <w:szCs w:val="24"/>
        </w:rPr>
        <w:t xml:space="preserve"> The reference is</w:t>
      </w:r>
      <w:r w:rsidR="00AB0518" w:rsidRPr="00CA69BE">
        <w:rPr>
          <w:rFonts w:ascii="Arial" w:hAnsi="Arial" w:cs="Arial"/>
          <w:sz w:val="24"/>
          <w:szCs w:val="24"/>
        </w:rPr>
        <w:t xml:space="preserve"> </w:t>
      </w:r>
      <w:r w:rsidR="00B43982" w:rsidRPr="00CA69BE">
        <w:rPr>
          <w:rFonts w:ascii="Arial" w:hAnsi="Arial" w:cs="Arial"/>
          <w:sz w:val="24"/>
          <w:szCs w:val="24"/>
        </w:rPr>
        <w:t>for:</w:t>
      </w:r>
      <w:r w:rsidR="00E8257C" w:rsidRPr="00CA69BE">
        <w:rPr>
          <w:rFonts w:ascii="Arial" w:hAnsi="Arial" w:cs="Arial"/>
          <w:sz w:val="24"/>
          <w:szCs w:val="24"/>
        </w:rPr>
        <w:t xml:space="preserve"> “</w:t>
      </w:r>
      <w:r w:rsidR="00E8257C" w:rsidRPr="00CA69BE">
        <w:rPr>
          <w:rFonts w:ascii="Arial" w:hAnsi="Arial" w:cs="Arial"/>
          <w:i/>
          <w:iCs/>
          <w:sz w:val="24"/>
          <w:szCs w:val="24"/>
        </w:rPr>
        <w:t>consulting fees and disbursements</w:t>
      </w:r>
      <w:r w:rsidR="00AB0518" w:rsidRPr="00CA69BE">
        <w:rPr>
          <w:rFonts w:ascii="Arial" w:hAnsi="Arial" w:cs="Arial"/>
          <w:i/>
          <w:iCs/>
          <w:sz w:val="24"/>
          <w:szCs w:val="24"/>
        </w:rPr>
        <w:t>”</w:t>
      </w:r>
      <w:r w:rsidR="00E8257C" w:rsidRPr="00CA69BE">
        <w:rPr>
          <w:rFonts w:ascii="Arial" w:hAnsi="Arial" w:cs="Arial"/>
          <w:i/>
          <w:iCs/>
          <w:sz w:val="24"/>
          <w:szCs w:val="24"/>
        </w:rPr>
        <w:t>.</w:t>
      </w:r>
    </w:p>
    <w:p w14:paraId="1657AD7D" w14:textId="1E240611" w:rsidR="000B3036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[8]</w:t>
      </w:r>
      <w:r>
        <w:rPr>
          <w:rFonts w:ascii="Arial" w:hAnsi="Arial" w:cs="Arial"/>
          <w:sz w:val="24"/>
          <w:szCs w:val="24"/>
        </w:rPr>
        <w:tab/>
      </w:r>
      <w:r w:rsidR="00AB0518" w:rsidRPr="00CA69BE">
        <w:rPr>
          <w:rFonts w:ascii="Arial" w:hAnsi="Arial" w:cs="Arial"/>
          <w:sz w:val="24"/>
          <w:szCs w:val="24"/>
        </w:rPr>
        <w:t>Crowd Tech claims that after it learnt of this transfer on 3 July</w:t>
      </w:r>
      <w:r w:rsidR="00B43982" w:rsidRPr="00CA69BE">
        <w:rPr>
          <w:rFonts w:ascii="Arial" w:hAnsi="Arial" w:cs="Arial"/>
          <w:sz w:val="24"/>
          <w:szCs w:val="24"/>
        </w:rPr>
        <w:t>,</w:t>
      </w:r>
      <w:r w:rsidR="00AB0518" w:rsidRPr="00CA69BE">
        <w:rPr>
          <w:rFonts w:ascii="Arial" w:hAnsi="Arial" w:cs="Arial"/>
          <w:sz w:val="24"/>
          <w:szCs w:val="24"/>
        </w:rPr>
        <w:t xml:space="preserve"> it </w:t>
      </w:r>
      <w:r w:rsidR="005E1B2B" w:rsidRPr="00CA69BE">
        <w:rPr>
          <w:rFonts w:ascii="Arial" w:hAnsi="Arial" w:cs="Arial"/>
          <w:sz w:val="24"/>
          <w:szCs w:val="24"/>
        </w:rPr>
        <w:t xml:space="preserve">attempted to contact </w:t>
      </w:r>
      <w:proofErr w:type="spellStart"/>
      <w:r w:rsidR="005E1B2B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5E1B2B" w:rsidRPr="00CA69BE">
        <w:rPr>
          <w:rFonts w:ascii="Arial" w:hAnsi="Arial" w:cs="Arial"/>
          <w:sz w:val="24"/>
          <w:szCs w:val="24"/>
        </w:rPr>
        <w:t xml:space="preserve"> but was unable to get ho</w:t>
      </w:r>
      <w:r w:rsidR="003A7EF0" w:rsidRPr="00CA69BE">
        <w:rPr>
          <w:rFonts w:ascii="Arial" w:hAnsi="Arial" w:cs="Arial"/>
          <w:sz w:val="24"/>
          <w:szCs w:val="24"/>
        </w:rPr>
        <w:t>l</w:t>
      </w:r>
      <w:r w:rsidR="005E1B2B" w:rsidRPr="00CA69BE">
        <w:rPr>
          <w:rFonts w:ascii="Arial" w:hAnsi="Arial" w:cs="Arial"/>
          <w:sz w:val="24"/>
          <w:szCs w:val="24"/>
        </w:rPr>
        <w:t xml:space="preserve">d of him. </w:t>
      </w:r>
      <w:r w:rsidR="008F0025" w:rsidRPr="00CA69BE">
        <w:rPr>
          <w:rFonts w:ascii="Arial" w:hAnsi="Arial" w:cs="Arial"/>
          <w:sz w:val="24"/>
          <w:szCs w:val="24"/>
        </w:rPr>
        <w:t xml:space="preserve">On 18 June it </w:t>
      </w:r>
      <w:r w:rsidR="005E1B2B" w:rsidRPr="00CA69BE">
        <w:rPr>
          <w:rFonts w:ascii="Arial" w:hAnsi="Arial" w:cs="Arial"/>
          <w:sz w:val="24"/>
          <w:szCs w:val="24"/>
        </w:rPr>
        <w:t xml:space="preserve">got its attorneys to send </w:t>
      </w:r>
      <w:r w:rsidR="008F0025" w:rsidRPr="00CA69BE">
        <w:rPr>
          <w:rFonts w:ascii="Arial" w:hAnsi="Arial" w:cs="Arial"/>
          <w:sz w:val="24"/>
          <w:szCs w:val="24"/>
        </w:rPr>
        <w:t xml:space="preserve">a letter of demand to </w:t>
      </w:r>
      <w:proofErr w:type="spellStart"/>
      <w:r w:rsidR="008A6189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8A6189" w:rsidRPr="00CA69BE">
        <w:rPr>
          <w:rFonts w:ascii="Arial" w:hAnsi="Arial" w:cs="Arial"/>
          <w:sz w:val="24"/>
          <w:szCs w:val="24"/>
        </w:rPr>
        <w:t xml:space="preserve"> calling upon him to remedy what it considered was a breach of the White Label agreement</w:t>
      </w:r>
      <w:r w:rsidR="00B76858" w:rsidRPr="00CA69BE">
        <w:rPr>
          <w:rFonts w:ascii="Arial" w:hAnsi="Arial" w:cs="Arial"/>
          <w:sz w:val="24"/>
          <w:szCs w:val="24"/>
        </w:rPr>
        <w:t xml:space="preserve">. It set a deadline for this to be done </w:t>
      </w:r>
      <w:r w:rsidR="00383567" w:rsidRPr="00CA69BE">
        <w:rPr>
          <w:rFonts w:ascii="Arial" w:hAnsi="Arial" w:cs="Arial"/>
          <w:sz w:val="24"/>
          <w:szCs w:val="24"/>
        </w:rPr>
        <w:t>by</w:t>
      </w:r>
      <w:r w:rsidR="004346C4" w:rsidRPr="00CA69BE">
        <w:rPr>
          <w:rFonts w:ascii="Arial" w:hAnsi="Arial" w:cs="Arial"/>
          <w:sz w:val="24"/>
          <w:szCs w:val="24"/>
        </w:rPr>
        <w:t xml:space="preserve"> 2 July</w:t>
      </w:r>
      <w:r w:rsidR="004137B8" w:rsidRPr="00CA69BE">
        <w:rPr>
          <w:rFonts w:ascii="Arial" w:hAnsi="Arial" w:cs="Arial"/>
          <w:sz w:val="24"/>
          <w:szCs w:val="24"/>
        </w:rPr>
        <w:t xml:space="preserve"> 2019</w:t>
      </w:r>
      <w:r w:rsidR="00886337" w:rsidRPr="00CA69B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86337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886337" w:rsidRPr="00CA69BE">
        <w:rPr>
          <w:rFonts w:ascii="Arial" w:hAnsi="Arial" w:cs="Arial"/>
          <w:sz w:val="24"/>
          <w:szCs w:val="24"/>
        </w:rPr>
        <w:t xml:space="preserve"> never responded </w:t>
      </w:r>
      <w:r w:rsidR="00766FF5" w:rsidRPr="00CA69BE">
        <w:rPr>
          <w:rFonts w:ascii="Arial" w:hAnsi="Arial" w:cs="Arial"/>
          <w:sz w:val="24"/>
          <w:szCs w:val="24"/>
        </w:rPr>
        <w:t xml:space="preserve">by the deadline given to him. </w:t>
      </w:r>
    </w:p>
    <w:p w14:paraId="4440C0D6" w14:textId="4330DBB2" w:rsidR="002A56F2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[9]</w:t>
      </w:r>
      <w:r>
        <w:rPr>
          <w:rFonts w:ascii="Arial" w:hAnsi="Arial" w:cs="Arial"/>
          <w:sz w:val="24"/>
          <w:szCs w:val="24"/>
        </w:rPr>
        <w:tab/>
      </w:r>
      <w:r w:rsidR="000B3036" w:rsidRPr="00CA69BE">
        <w:rPr>
          <w:rFonts w:ascii="Arial" w:hAnsi="Arial" w:cs="Arial"/>
          <w:sz w:val="24"/>
          <w:szCs w:val="24"/>
        </w:rPr>
        <w:t xml:space="preserve">Based on these facts </w:t>
      </w:r>
      <w:r w:rsidR="00AF1F4C" w:rsidRPr="00CA69BE">
        <w:rPr>
          <w:rFonts w:ascii="Arial" w:hAnsi="Arial" w:cs="Arial"/>
          <w:sz w:val="24"/>
          <w:szCs w:val="24"/>
        </w:rPr>
        <w:t xml:space="preserve">Crowd Tech sought </w:t>
      </w:r>
      <w:r w:rsidR="00CB247E" w:rsidRPr="00CA69BE">
        <w:rPr>
          <w:rFonts w:ascii="Arial" w:hAnsi="Arial" w:cs="Arial"/>
          <w:sz w:val="24"/>
          <w:szCs w:val="24"/>
        </w:rPr>
        <w:t>an interim</w:t>
      </w:r>
      <w:r w:rsidR="00CF559A" w:rsidRPr="00CA69BE">
        <w:rPr>
          <w:rFonts w:ascii="Arial" w:hAnsi="Arial" w:cs="Arial"/>
          <w:sz w:val="24"/>
          <w:szCs w:val="24"/>
        </w:rPr>
        <w:t xml:space="preserve"> interdi</w:t>
      </w:r>
      <w:r w:rsidR="00C15C3D" w:rsidRPr="00CA69BE">
        <w:rPr>
          <w:rFonts w:ascii="Arial" w:hAnsi="Arial" w:cs="Arial"/>
          <w:sz w:val="24"/>
          <w:szCs w:val="24"/>
        </w:rPr>
        <w:t>ct t</w:t>
      </w:r>
      <w:r w:rsidR="00AF1F4C" w:rsidRPr="00CA69BE">
        <w:rPr>
          <w:rFonts w:ascii="Arial" w:hAnsi="Arial" w:cs="Arial"/>
          <w:sz w:val="24"/>
          <w:szCs w:val="24"/>
        </w:rPr>
        <w:t xml:space="preserve">o </w:t>
      </w:r>
      <w:r w:rsidR="00480AB0" w:rsidRPr="00CA69BE">
        <w:rPr>
          <w:rFonts w:ascii="Arial" w:hAnsi="Arial" w:cs="Arial"/>
          <w:sz w:val="24"/>
          <w:szCs w:val="24"/>
        </w:rPr>
        <w:t xml:space="preserve">prohibit </w:t>
      </w:r>
      <w:proofErr w:type="spellStart"/>
      <w:r w:rsidR="00480AB0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AF1F4C" w:rsidRPr="00CA69BE">
        <w:rPr>
          <w:rFonts w:ascii="Arial" w:hAnsi="Arial" w:cs="Arial"/>
          <w:sz w:val="24"/>
          <w:szCs w:val="24"/>
        </w:rPr>
        <w:t xml:space="preserve"> </w:t>
      </w:r>
      <w:r w:rsidR="0007289F" w:rsidRPr="00CA69BE">
        <w:rPr>
          <w:rFonts w:ascii="Arial" w:hAnsi="Arial" w:cs="Arial"/>
          <w:sz w:val="24"/>
          <w:szCs w:val="24"/>
        </w:rPr>
        <w:t xml:space="preserve">from withdrawing </w:t>
      </w:r>
      <w:r w:rsidR="001732F4" w:rsidRPr="00CA69BE">
        <w:rPr>
          <w:rFonts w:ascii="Arial" w:hAnsi="Arial" w:cs="Arial"/>
          <w:sz w:val="24"/>
          <w:szCs w:val="24"/>
        </w:rPr>
        <w:t xml:space="preserve">or transferring an amount of € 271 </w:t>
      </w:r>
      <w:r w:rsidR="001B032F" w:rsidRPr="00CA69BE">
        <w:rPr>
          <w:rFonts w:ascii="Arial" w:hAnsi="Arial" w:cs="Arial"/>
          <w:sz w:val="24"/>
          <w:szCs w:val="24"/>
        </w:rPr>
        <w:t>985.36 from</w:t>
      </w:r>
      <w:r w:rsidR="001732F4" w:rsidRPr="00CA69BE">
        <w:rPr>
          <w:rFonts w:ascii="Arial" w:hAnsi="Arial" w:cs="Arial"/>
          <w:sz w:val="24"/>
          <w:szCs w:val="24"/>
        </w:rPr>
        <w:t xml:space="preserve"> his </w:t>
      </w:r>
      <w:r w:rsidR="00AF1F4C" w:rsidRPr="00CA69BE">
        <w:rPr>
          <w:rFonts w:ascii="Arial" w:hAnsi="Arial" w:cs="Arial"/>
          <w:sz w:val="24"/>
          <w:szCs w:val="24"/>
        </w:rPr>
        <w:t xml:space="preserve">Absa bank </w:t>
      </w:r>
      <w:r w:rsidR="007F55A6" w:rsidRPr="00CA69BE">
        <w:rPr>
          <w:rFonts w:ascii="Arial" w:hAnsi="Arial" w:cs="Arial"/>
          <w:sz w:val="24"/>
          <w:szCs w:val="24"/>
        </w:rPr>
        <w:t>account</w:t>
      </w:r>
      <w:r w:rsidR="00A76267" w:rsidRPr="00CA69BE">
        <w:rPr>
          <w:rFonts w:ascii="Arial" w:hAnsi="Arial" w:cs="Arial"/>
          <w:sz w:val="24"/>
          <w:szCs w:val="24"/>
        </w:rPr>
        <w:t>,</w:t>
      </w:r>
      <w:r w:rsidR="007F55A6" w:rsidRPr="00CA69BE">
        <w:rPr>
          <w:rFonts w:ascii="Arial" w:hAnsi="Arial" w:cs="Arial"/>
          <w:sz w:val="24"/>
          <w:szCs w:val="24"/>
        </w:rPr>
        <w:t xml:space="preserve"> </w:t>
      </w:r>
      <w:r w:rsidR="00611D10" w:rsidRPr="00CA69BE">
        <w:rPr>
          <w:rFonts w:ascii="Arial" w:hAnsi="Arial" w:cs="Arial"/>
          <w:sz w:val="24"/>
          <w:szCs w:val="24"/>
        </w:rPr>
        <w:t xml:space="preserve">pending </w:t>
      </w:r>
      <w:r w:rsidR="00C15C3D" w:rsidRPr="00CA69BE">
        <w:rPr>
          <w:rFonts w:ascii="Arial" w:hAnsi="Arial" w:cs="Arial"/>
          <w:sz w:val="24"/>
          <w:szCs w:val="24"/>
        </w:rPr>
        <w:t>an action to be instituted against him to recover th</w:t>
      </w:r>
      <w:r w:rsidR="00A76267" w:rsidRPr="00CA69BE">
        <w:rPr>
          <w:rFonts w:ascii="Arial" w:hAnsi="Arial" w:cs="Arial"/>
          <w:sz w:val="24"/>
          <w:szCs w:val="24"/>
        </w:rPr>
        <w:t>is amount from him</w:t>
      </w:r>
      <w:r w:rsidR="00956752" w:rsidRPr="00CA69BE">
        <w:rPr>
          <w:rFonts w:ascii="Arial" w:hAnsi="Arial" w:cs="Arial"/>
          <w:sz w:val="24"/>
          <w:szCs w:val="24"/>
        </w:rPr>
        <w:t>.</w:t>
      </w:r>
      <w:r w:rsidR="00102D31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DA52DB" w:rsidRPr="00CA69BE">
        <w:rPr>
          <w:rFonts w:ascii="Arial" w:hAnsi="Arial" w:cs="Arial"/>
          <w:sz w:val="24"/>
          <w:szCs w:val="24"/>
        </w:rPr>
        <w:t xml:space="preserve"> The justification for doing so i</w:t>
      </w:r>
      <w:r w:rsidR="00AD668E" w:rsidRPr="00CA69BE">
        <w:rPr>
          <w:rFonts w:ascii="Arial" w:hAnsi="Arial" w:cs="Arial"/>
          <w:sz w:val="24"/>
          <w:szCs w:val="24"/>
        </w:rPr>
        <w:t>s</w:t>
      </w:r>
      <w:r w:rsidR="00DA52DB" w:rsidRPr="00CA69BE">
        <w:rPr>
          <w:rFonts w:ascii="Arial" w:hAnsi="Arial" w:cs="Arial"/>
          <w:sz w:val="24"/>
          <w:szCs w:val="24"/>
        </w:rPr>
        <w:t xml:space="preserve"> set out in the following paragraph of the founding affidavit:</w:t>
      </w:r>
    </w:p>
    <w:p w14:paraId="2E5BDEE4" w14:textId="0CA1B4F2" w:rsidR="00DA52DB" w:rsidRDefault="005E1A6F" w:rsidP="00DE4BD7">
      <w:pPr>
        <w:pStyle w:val="ListParagraph"/>
        <w:spacing w:after="360" w:line="480" w:lineRule="auto"/>
        <w:ind w:left="216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“</w:t>
      </w:r>
      <w:r w:rsidR="00DA52DB" w:rsidRPr="005E1A6F">
        <w:rPr>
          <w:rFonts w:ascii="Arial" w:hAnsi="Arial" w:cs="Arial"/>
          <w:i/>
          <w:iCs/>
          <w:sz w:val="24"/>
          <w:szCs w:val="24"/>
        </w:rPr>
        <w:t xml:space="preserve">A letter of demand was sent to </w:t>
      </w:r>
      <w:proofErr w:type="spellStart"/>
      <w:r w:rsidR="00DA52DB" w:rsidRPr="005E1A6F">
        <w:rPr>
          <w:rFonts w:ascii="Arial" w:hAnsi="Arial" w:cs="Arial"/>
          <w:i/>
          <w:iCs/>
          <w:sz w:val="24"/>
          <w:szCs w:val="24"/>
        </w:rPr>
        <w:t>Prokas</w:t>
      </w:r>
      <w:proofErr w:type="spellEnd"/>
      <w:r w:rsidR="00DA52DB" w:rsidRPr="005E1A6F">
        <w:rPr>
          <w:rFonts w:ascii="Arial" w:hAnsi="Arial" w:cs="Arial"/>
          <w:i/>
          <w:iCs/>
          <w:sz w:val="24"/>
          <w:szCs w:val="24"/>
        </w:rPr>
        <w:t xml:space="preserve"> on 18 June 2019 setting out the breach and requesting a remedy of the breach. There has been no response. The silence of </w:t>
      </w:r>
      <w:proofErr w:type="spellStart"/>
      <w:r w:rsidR="00DA52DB" w:rsidRPr="005E1A6F">
        <w:rPr>
          <w:rFonts w:ascii="Arial" w:hAnsi="Arial" w:cs="Arial"/>
          <w:i/>
          <w:iCs/>
          <w:sz w:val="24"/>
          <w:szCs w:val="24"/>
        </w:rPr>
        <w:t>Prokas</w:t>
      </w:r>
      <w:proofErr w:type="spellEnd"/>
      <w:r w:rsidR="00DA52DB" w:rsidRPr="005E1A6F">
        <w:rPr>
          <w:rFonts w:ascii="Arial" w:hAnsi="Arial" w:cs="Arial"/>
          <w:i/>
          <w:iCs/>
          <w:sz w:val="24"/>
          <w:szCs w:val="24"/>
        </w:rPr>
        <w:t xml:space="preserve"> is in itself telling and reasonably gives rise to the inference that </w:t>
      </w:r>
      <w:proofErr w:type="spellStart"/>
      <w:r w:rsidR="00DA52DB" w:rsidRPr="005E1A6F">
        <w:rPr>
          <w:rFonts w:ascii="Arial" w:hAnsi="Arial" w:cs="Arial"/>
          <w:i/>
          <w:iCs/>
          <w:sz w:val="24"/>
          <w:szCs w:val="24"/>
        </w:rPr>
        <w:t>Prokas</w:t>
      </w:r>
      <w:proofErr w:type="spellEnd"/>
      <w:r w:rsidR="00DA52DB" w:rsidRPr="005E1A6F">
        <w:rPr>
          <w:rFonts w:ascii="Arial" w:hAnsi="Arial" w:cs="Arial"/>
          <w:i/>
          <w:iCs/>
          <w:sz w:val="24"/>
          <w:szCs w:val="24"/>
        </w:rPr>
        <w:t xml:space="preserve"> has misappropriated the funds.</w:t>
      </w:r>
      <w:r>
        <w:rPr>
          <w:rFonts w:ascii="Arial" w:hAnsi="Arial" w:cs="Arial"/>
          <w:i/>
          <w:iCs/>
          <w:sz w:val="24"/>
          <w:szCs w:val="24"/>
        </w:rPr>
        <w:t>”</w:t>
      </w:r>
    </w:p>
    <w:p w14:paraId="17650938" w14:textId="6C2D67EB" w:rsidR="009F44F7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[10]</w:t>
      </w:r>
      <w:r>
        <w:rPr>
          <w:rFonts w:ascii="Arial" w:hAnsi="Arial" w:cs="Arial"/>
          <w:sz w:val="24"/>
          <w:szCs w:val="24"/>
        </w:rPr>
        <w:tab/>
      </w:r>
      <w:r w:rsidR="00B80698" w:rsidRPr="00CA69BE">
        <w:rPr>
          <w:rFonts w:ascii="Arial" w:hAnsi="Arial" w:cs="Arial"/>
          <w:sz w:val="24"/>
          <w:szCs w:val="24"/>
        </w:rPr>
        <w:t xml:space="preserve">On </w:t>
      </w:r>
      <w:r w:rsidR="004D4869" w:rsidRPr="00CA69BE">
        <w:rPr>
          <w:rFonts w:ascii="Arial" w:hAnsi="Arial" w:cs="Arial"/>
          <w:sz w:val="24"/>
          <w:szCs w:val="24"/>
        </w:rPr>
        <w:t xml:space="preserve">12 July </w:t>
      </w:r>
      <w:r w:rsidR="006C431C" w:rsidRPr="00CA69BE">
        <w:rPr>
          <w:rFonts w:ascii="Arial" w:hAnsi="Arial" w:cs="Arial"/>
          <w:sz w:val="24"/>
          <w:szCs w:val="24"/>
        </w:rPr>
        <w:t>Matojane J</w:t>
      </w:r>
      <w:r w:rsidR="004D4869" w:rsidRPr="00CA69BE">
        <w:rPr>
          <w:rFonts w:ascii="Arial" w:hAnsi="Arial" w:cs="Arial"/>
          <w:sz w:val="24"/>
          <w:szCs w:val="24"/>
        </w:rPr>
        <w:t>,</w:t>
      </w:r>
      <w:r w:rsidR="006C431C" w:rsidRPr="00CA69BE">
        <w:rPr>
          <w:rFonts w:ascii="Arial" w:hAnsi="Arial" w:cs="Arial"/>
          <w:sz w:val="24"/>
          <w:szCs w:val="24"/>
        </w:rPr>
        <w:t xml:space="preserve"> who was in the urgent court that week</w:t>
      </w:r>
      <w:r w:rsidR="004D4869" w:rsidRPr="00CA69BE">
        <w:rPr>
          <w:rFonts w:ascii="Arial" w:hAnsi="Arial" w:cs="Arial"/>
          <w:sz w:val="24"/>
          <w:szCs w:val="24"/>
        </w:rPr>
        <w:t>,</w:t>
      </w:r>
      <w:r w:rsidR="006C431C" w:rsidRPr="00CA69BE">
        <w:rPr>
          <w:rFonts w:ascii="Arial" w:hAnsi="Arial" w:cs="Arial"/>
          <w:sz w:val="24"/>
          <w:szCs w:val="24"/>
        </w:rPr>
        <w:t xml:space="preserve"> granted the</w:t>
      </w:r>
      <w:r w:rsidR="00495919">
        <w:rPr>
          <w:rFonts w:ascii="Arial" w:hAnsi="Arial" w:cs="Arial"/>
          <w:sz w:val="24"/>
          <w:szCs w:val="24"/>
        </w:rPr>
        <w:t xml:space="preserve"> interim</w:t>
      </w:r>
      <w:r w:rsidR="006C431C" w:rsidRPr="00CA69BE">
        <w:rPr>
          <w:rFonts w:ascii="Arial" w:hAnsi="Arial" w:cs="Arial"/>
          <w:sz w:val="24"/>
          <w:szCs w:val="24"/>
        </w:rPr>
        <w:t xml:space="preserve"> order </w:t>
      </w:r>
      <w:r w:rsidR="006C431C" w:rsidRPr="00CA69BE">
        <w:rPr>
          <w:rFonts w:ascii="Arial" w:hAnsi="Arial" w:cs="Arial"/>
          <w:i/>
          <w:iCs/>
          <w:sz w:val="24"/>
          <w:szCs w:val="24"/>
        </w:rPr>
        <w:t>ex parte</w:t>
      </w:r>
      <w:r w:rsidR="006C431C" w:rsidRPr="00CA69BE">
        <w:rPr>
          <w:rFonts w:ascii="Arial" w:hAnsi="Arial" w:cs="Arial"/>
          <w:sz w:val="24"/>
          <w:szCs w:val="24"/>
        </w:rPr>
        <w:t>.</w:t>
      </w:r>
      <w:r w:rsidR="00F94158" w:rsidRPr="00CA69BE">
        <w:rPr>
          <w:rFonts w:ascii="Arial" w:hAnsi="Arial" w:cs="Arial"/>
          <w:sz w:val="24"/>
          <w:szCs w:val="24"/>
        </w:rPr>
        <w:t xml:space="preserve"> This was on a Friday. But in that same week Crowd Tech</w:t>
      </w:r>
      <w:r w:rsidR="00425ADC" w:rsidRPr="00CA69BE">
        <w:rPr>
          <w:rFonts w:ascii="Arial" w:hAnsi="Arial" w:cs="Arial"/>
          <w:sz w:val="24"/>
          <w:szCs w:val="24"/>
        </w:rPr>
        <w:t>,</w:t>
      </w:r>
      <w:r w:rsidR="00F94158" w:rsidRPr="00CA69BE">
        <w:rPr>
          <w:rFonts w:ascii="Arial" w:hAnsi="Arial" w:cs="Arial"/>
          <w:sz w:val="24"/>
          <w:szCs w:val="24"/>
        </w:rPr>
        <w:t xml:space="preserve"> </w:t>
      </w:r>
      <w:r w:rsidR="00C36B86" w:rsidRPr="00CA69BE">
        <w:rPr>
          <w:rFonts w:ascii="Arial" w:hAnsi="Arial" w:cs="Arial"/>
          <w:sz w:val="24"/>
          <w:szCs w:val="24"/>
        </w:rPr>
        <w:t xml:space="preserve">on the </w:t>
      </w:r>
      <w:r w:rsidR="005A5615" w:rsidRPr="00CA69BE">
        <w:rPr>
          <w:rFonts w:ascii="Arial" w:hAnsi="Arial" w:cs="Arial"/>
          <w:sz w:val="24"/>
          <w:szCs w:val="24"/>
        </w:rPr>
        <w:t>Tuesday</w:t>
      </w:r>
      <w:r w:rsidR="00425ADC" w:rsidRPr="00CA69BE">
        <w:rPr>
          <w:rFonts w:ascii="Arial" w:hAnsi="Arial" w:cs="Arial"/>
          <w:sz w:val="24"/>
          <w:szCs w:val="24"/>
        </w:rPr>
        <w:t>,</w:t>
      </w:r>
      <w:r w:rsidR="00C36B86" w:rsidRPr="00CA69BE">
        <w:rPr>
          <w:rFonts w:ascii="Arial" w:hAnsi="Arial" w:cs="Arial"/>
          <w:sz w:val="24"/>
          <w:szCs w:val="24"/>
        </w:rPr>
        <w:t xml:space="preserve"> </w:t>
      </w:r>
      <w:r w:rsidR="00F94158" w:rsidRPr="00CA69BE">
        <w:rPr>
          <w:rFonts w:ascii="Arial" w:hAnsi="Arial" w:cs="Arial"/>
          <w:sz w:val="24"/>
          <w:szCs w:val="24"/>
        </w:rPr>
        <w:t xml:space="preserve">had applied for an </w:t>
      </w:r>
      <w:r w:rsidR="00F94158" w:rsidRPr="00CA69BE">
        <w:rPr>
          <w:rFonts w:ascii="Arial" w:hAnsi="Arial" w:cs="Arial"/>
          <w:i/>
          <w:iCs/>
          <w:sz w:val="24"/>
          <w:szCs w:val="24"/>
        </w:rPr>
        <w:t>ex parte</w:t>
      </w:r>
      <w:r w:rsidR="00F94158" w:rsidRPr="00CA69BE">
        <w:rPr>
          <w:rFonts w:ascii="Arial" w:hAnsi="Arial" w:cs="Arial"/>
          <w:sz w:val="24"/>
          <w:szCs w:val="24"/>
        </w:rPr>
        <w:t xml:space="preserve"> order to freeze </w:t>
      </w:r>
      <w:r w:rsidR="00A0157D" w:rsidRPr="00CA69BE">
        <w:rPr>
          <w:rFonts w:ascii="Arial" w:hAnsi="Arial" w:cs="Arial"/>
          <w:sz w:val="24"/>
          <w:szCs w:val="24"/>
        </w:rPr>
        <w:t>the Cyber account</w:t>
      </w:r>
      <w:r w:rsidR="00AC7022" w:rsidRPr="00CA69BE">
        <w:rPr>
          <w:rFonts w:ascii="Arial" w:hAnsi="Arial" w:cs="Arial"/>
          <w:sz w:val="24"/>
          <w:szCs w:val="24"/>
        </w:rPr>
        <w:t>,</w:t>
      </w:r>
      <w:r w:rsidR="00C36B86" w:rsidRPr="00CA69BE">
        <w:rPr>
          <w:rFonts w:ascii="Arial" w:hAnsi="Arial" w:cs="Arial"/>
          <w:sz w:val="24"/>
          <w:szCs w:val="24"/>
        </w:rPr>
        <w:t xml:space="preserve"> which was granted unopposed.</w:t>
      </w:r>
      <w:r w:rsidR="00A0157D" w:rsidRPr="00CA69BE">
        <w:rPr>
          <w:rFonts w:ascii="Arial" w:hAnsi="Arial" w:cs="Arial"/>
          <w:sz w:val="24"/>
          <w:szCs w:val="24"/>
        </w:rPr>
        <w:t xml:space="preserve"> </w:t>
      </w:r>
      <w:r w:rsidR="00B354CF" w:rsidRPr="00CA69BE">
        <w:rPr>
          <w:rFonts w:ascii="Arial" w:hAnsi="Arial" w:cs="Arial"/>
          <w:sz w:val="24"/>
          <w:szCs w:val="24"/>
        </w:rPr>
        <w:t xml:space="preserve">This account was also with ABSA and the freeze was limited to </w:t>
      </w:r>
      <w:r w:rsidR="005F4A40" w:rsidRPr="00CA69BE">
        <w:rPr>
          <w:rFonts w:ascii="Arial" w:hAnsi="Arial" w:cs="Arial"/>
          <w:sz w:val="24"/>
          <w:szCs w:val="24"/>
        </w:rPr>
        <w:t xml:space="preserve">€ 271 985.36; </w:t>
      </w:r>
      <w:r w:rsidR="00B354CF" w:rsidRPr="00CA69BE">
        <w:rPr>
          <w:rFonts w:ascii="Arial" w:hAnsi="Arial" w:cs="Arial"/>
          <w:sz w:val="24"/>
          <w:szCs w:val="24"/>
        </w:rPr>
        <w:t xml:space="preserve">the same amount in the freeze </w:t>
      </w:r>
      <w:r w:rsidR="005D5DB3" w:rsidRPr="00CA69BE">
        <w:rPr>
          <w:rFonts w:ascii="Arial" w:hAnsi="Arial" w:cs="Arial"/>
          <w:sz w:val="24"/>
          <w:szCs w:val="24"/>
        </w:rPr>
        <w:t xml:space="preserve">sought later that week to be imposed on </w:t>
      </w:r>
      <w:proofErr w:type="spellStart"/>
      <w:r w:rsidR="005D5DB3" w:rsidRPr="00CA69BE">
        <w:rPr>
          <w:rFonts w:ascii="Arial" w:hAnsi="Arial" w:cs="Arial"/>
          <w:sz w:val="24"/>
          <w:szCs w:val="24"/>
        </w:rPr>
        <w:t>Proka</w:t>
      </w:r>
      <w:r w:rsidR="005C4FE5" w:rsidRPr="00CA69BE">
        <w:rPr>
          <w:rFonts w:ascii="Arial" w:hAnsi="Arial" w:cs="Arial"/>
          <w:sz w:val="24"/>
          <w:szCs w:val="24"/>
        </w:rPr>
        <w:t>s</w:t>
      </w:r>
      <w:proofErr w:type="spellEnd"/>
      <w:r w:rsidR="005C4FE5" w:rsidRPr="00CA69BE">
        <w:rPr>
          <w:rFonts w:ascii="Arial" w:hAnsi="Arial" w:cs="Arial"/>
          <w:sz w:val="24"/>
          <w:szCs w:val="24"/>
        </w:rPr>
        <w:t>.</w:t>
      </w:r>
      <w:r w:rsidR="00F97624" w:rsidRPr="00CA69BE">
        <w:rPr>
          <w:rFonts w:ascii="Arial" w:hAnsi="Arial" w:cs="Arial"/>
          <w:sz w:val="24"/>
          <w:szCs w:val="24"/>
        </w:rPr>
        <w:t xml:space="preserve"> </w:t>
      </w:r>
      <w:r w:rsidR="00A0157D" w:rsidRPr="00CA69BE">
        <w:rPr>
          <w:rFonts w:ascii="Arial" w:hAnsi="Arial" w:cs="Arial"/>
          <w:sz w:val="24"/>
          <w:szCs w:val="24"/>
        </w:rPr>
        <w:t xml:space="preserve">On the </w:t>
      </w:r>
      <w:r w:rsidR="0001147C" w:rsidRPr="00CA69BE">
        <w:rPr>
          <w:rFonts w:ascii="Arial" w:hAnsi="Arial" w:cs="Arial"/>
          <w:sz w:val="24"/>
          <w:szCs w:val="24"/>
        </w:rPr>
        <w:t>Tuesday</w:t>
      </w:r>
      <w:r w:rsidR="007F38C9" w:rsidRPr="00CA69BE">
        <w:rPr>
          <w:rFonts w:ascii="Arial" w:hAnsi="Arial" w:cs="Arial"/>
          <w:sz w:val="24"/>
          <w:szCs w:val="24"/>
        </w:rPr>
        <w:t xml:space="preserve"> as well,</w:t>
      </w:r>
      <w:r w:rsidR="0001147C" w:rsidRPr="00CA69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57D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A0157D" w:rsidRPr="00CA69BE">
        <w:rPr>
          <w:rFonts w:ascii="Arial" w:hAnsi="Arial" w:cs="Arial"/>
          <w:sz w:val="24"/>
          <w:szCs w:val="24"/>
        </w:rPr>
        <w:t xml:space="preserve"> brought an application to place Cyber in provisional liquidation. In the application </w:t>
      </w:r>
      <w:proofErr w:type="spellStart"/>
      <w:r w:rsidR="00A0157D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A0157D" w:rsidRPr="00CA69BE">
        <w:rPr>
          <w:rFonts w:ascii="Arial" w:hAnsi="Arial" w:cs="Arial"/>
          <w:sz w:val="24"/>
          <w:szCs w:val="24"/>
        </w:rPr>
        <w:t xml:space="preserve"> alleged that his </w:t>
      </w:r>
      <w:r w:rsidR="00760E57" w:rsidRPr="00CA69BE">
        <w:rPr>
          <w:rFonts w:ascii="Arial" w:hAnsi="Arial" w:cs="Arial"/>
          <w:sz w:val="24"/>
          <w:szCs w:val="24"/>
        </w:rPr>
        <w:t>co-shareholder</w:t>
      </w:r>
      <w:r w:rsidR="003635E6" w:rsidRPr="00CA69BE">
        <w:rPr>
          <w:rFonts w:ascii="Arial" w:hAnsi="Arial" w:cs="Arial"/>
          <w:sz w:val="24"/>
          <w:szCs w:val="24"/>
        </w:rPr>
        <w:t>,</w:t>
      </w:r>
      <w:r w:rsidR="00760E57" w:rsidRPr="00CA69BE">
        <w:rPr>
          <w:rFonts w:ascii="Arial" w:hAnsi="Arial" w:cs="Arial"/>
          <w:sz w:val="24"/>
          <w:szCs w:val="24"/>
        </w:rPr>
        <w:t xml:space="preserve"> R</w:t>
      </w:r>
      <w:r w:rsidR="007F38C9" w:rsidRPr="00CA69BE">
        <w:rPr>
          <w:rFonts w:ascii="Arial" w:hAnsi="Arial" w:cs="Arial"/>
          <w:sz w:val="24"/>
          <w:szCs w:val="24"/>
        </w:rPr>
        <w:t>einstein</w:t>
      </w:r>
      <w:r w:rsidR="00AC7022" w:rsidRPr="00CA69BE">
        <w:rPr>
          <w:rFonts w:ascii="Arial" w:hAnsi="Arial" w:cs="Arial"/>
          <w:sz w:val="24"/>
          <w:szCs w:val="24"/>
        </w:rPr>
        <w:t>,</w:t>
      </w:r>
      <w:r w:rsidR="00760E57" w:rsidRPr="00CA69BE">
        <w:rPr>
          <w:rFonts w:ascii="Arial" w:hAnsi="Arial" w:cs="Arial"/>
          <w:sz w:val="24"/>
          <w:szCs w:val="24"/>
        </w:rPr>
        <w:t xml:space="preserve"> had </w:t>
      </w:r>
      <w:r w:rsidR="007F38C9" w:rsidRPr="00CA69BE">
        <w:rPr>
          <w:rFonts w:ascii="Arial" w:hAnsi="Arial" w:cs="Arial"/>
          <w:sz w:val="24"/>
          <w:szCs w:val="24"/>
        </w:rPr>
        <w:t>misappropriated</w:t>
      </w:r>
      <w:r w:rsidR="00760E57" w:rsidRPr="00CA69BE">
        <w:rPr>
          <w:rFonts w:ascii="Arial" w:hAnsi="Arial" w:cs="Arial"/>
          <w:sz w:val="24"/>
          <w:szCs w:val="24"/>
        </w:rPr>
        <w:t xml:space="preserve"> money from the company. The </w:t>
      </w:r>
      <w:r w:rsidR="000701D1" w:rsidRPr="00CA69BE">
        <w:rPr>
          <w:rFonts w:ascii="Arial" w:hAnsi="Arial" w:cs="Arial"/>
          <w:sz w:val="24"/>
          <w:szCs w:val="24"/>
        </w:rPr>
        <w:t xml:space="preserve">application was unsuccessful. It is not clear why. </w:t>
      </w:r>
      <w:r w:rsidR="005E6522" w:rsidRPr="00CA69BE">
        <w:rPr>
          <w:rFonts w:ascii="Arial" w:hAnsi="Arial" w:cs="Arial"/>
          <w:sz w:val="24"/>
          <w:szCs w:val="24"/>
        </w:rPr>
        <w:t>According</w:t>
      </w:r>
      <w:r w:rsidR="000701D1" w:rsidRPr="00CA69BE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0701D1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0701D1" w:rsidRPr="00CA69BE">
        <w:rPr>
          <w:rFonts w:ascii="Arial" w:hAnsi="Arial" w:cs="Arial"/>
          <w:sz w:val="24"/>
          <w:szCs w:val="24"/>
        </w:rPr>
        <w:t xml:space="preserve"> it was </w:t>
      </w:r>
      <w:r w:rsidR="008C5DB5" w:rsidRPr="00CA69BE">
        <w:rPr>
          <w:rFonts w:ascii="Arial" w:hAnsi="Arial" w:cs="Arial"/>
          <w:sz w:val="24"/>
          <w:szCs w:val="24"/>
        </w:rPr>
        <w:t xml:space="preserve">dismissed on the grounds of </w:t>
      </w:r>
      <w:r w:rsidR="005E6522" w:rsidRPr="00CA69BE">
        <w:rPr>
          <w:rFonts w:ascii="Arial" w:hAnsi="Arial" w:cs="Arial"/>
          <w:sz w:val="24"/>
          <w:szCs w:val="24"/>
        </w:rPr>
        <w:t>urgency</w:t>
      </w:r>
      <w:r w:rsidR="005C306A" w:rsidRPr="00CA69BE">
        <w:rPr>
          <w:rFonts w:ascii="Arial" w:hAnsi="Arial" w:cs="Arial"/>
          <w:sz w:val="24"/>
          <w:szCs w:val="24"/>
        </w:rPr>
        <w:t>. But as Ms Cooke for Crowd Tech points out</w:t>
      </w:r>
      <w:r w:rsidR="003635E6" w:rsidRPr="00CA69BE">
        <w:rPr>
          <w:rFonts w:ascii="Arial" w:hAnsi="Arial" w:cs="Arial"/>
          <w:sz w:val="24"/>
          <w:szCs w:val="24"/>
        </w:rPr>
        <w:t>,</w:t>
      </w:r>
      <w:r w:rsidR="005C306A" w:rsidRPr="00CA69BE">
        <w:rPr>
          <w:rFonts w:ascii="Arial" w:hAnsi="Arial" w:cs="Arial"/>
          <w:sz w:val="24"/>
          <w:szCs w:val="24"/>
        </w:rPr>
        <w:t xml:space="preserve"> the order does not state this – </w:t>
      </w:r>
      <w:r w:rsidR="00500D1B" w:rsidRPr="00CA69BE">
        <w:rPr>
          <w:rFonts w:ascii="Arial" w:hAnsi="Arial" w:cs="Arial"/>
          <w:sz w:val="24"/>
          <w:szCs w:val="24"/>
        </w:rPr>
        <w:t>it says the application was dismissed</w:t>
      </w:r>
      <w:r w:rsidR="0064304B" w:rsidRPr="00CA69BE">
        <w:rPr>
          <w:rFonts w:ascii="Arial" w:hAnsi="Arial" w:cs="Arial"/>
          <w:sz w:val="24"/>
          <w:szCs w:val="24"/>
        </w:rPr>
        <w:t>, but</w:t>
      </w:r>
      <w:r w:rsidR="00500D1B" w:rsidRPr="00CA69BE">
        <w:rPr>
          <w:rFonts w:ascii="Arial" w:hAnsi="Arial" w:cs="Arial"/>
          <w:sz w:val="24"/>
          <w:szCs w:val="24"/>
        </w:rPr>
        <w:t xml:space="preserve"> not in the </w:t>
      </w:r>
      <w:r w:rsidR="00500D1B" w:rsidRPr="00CA69BE">
        <w:rPr>
          <w:rFonts w:ascii="Arial" w:hAnsi="Arial" w:cs="Arial"/>
          <w:sz w:val="24"/>
          <w:szCs w:val="24"/>
        </w:rPr>
        <w:lastRenderedPageBreak/>
        <w:t xml:space="preserve">customary terms that this was because of lack of urgency. </w:t>
      </w:r>
      <w:r w:rsidR="001C30F8" w:rsidRPr="00CA69BE">
        <w:rPr>
          <w:rFonts w:ascii="Arial" w:hAnsi="Arial" w:cs="Arial"/>
          <w:sz w:val="24"/>
          <w:szCs w:val="24"/>
        </w:rPr>
        <w:t xml:space="preserve">What is common cause is that Matojane J who had heard the liquidation application on the </w:t>
      </w:r>
      <w:r w:rsidR="00D5313D" w:rsidRPr="00CA69BE">
        <w:rPr>
          <w:rFonts w:ascii="Arial" w:hAnsi="Arial" w:cs="Arial"/>
          <w:sz w:val="24"/>
          <w:szCs w:val="24"/>
        </w:rPr>
        <w:t>Tuesday</w:t>
      </w:r>
      <w:r w:rsidR="0083207B" w:rsidRPr="00CA69BE">
        <w:rPr>
          <w:rFonts w:ascii="Arial" w:hAnsi="Arial" w:cs="Arial"/>
          <w:sz w:val="24"/>
          <w:szCs w:val="24"/>
        </w:rPr>
        <w:t xml:space="preserve"> also heard the present </w:t>
      </w:r>
      <w:r w:rsidR="0083207B" w:rsidRPr="00CA69BE">
        <w:rPr>
          <w:rFonts w:ascii="Arial" w:hAnsi="Arial" w:cs="Arial"/>
          <w:i/>
          <w:iCs/>
          <w:sz w:val="24"/>
          <w:szCs w:val="24"/>
        </w:rPr>
        <w:t>ex parte</w:t>
      </w:r>
      <w:r w:rsidR="0083207B" w:rsidRPr="00CA69BE">
        <w:rPr>
          <w:rFonts w:ascii="Arial" w:hAnsi="Arial" w:cs="Arial"/>
          <w:sz w:val="24"/>
          <w:szCs w:val="24"/>
        </w:rPr>
        <w:t xml:space="preserve"> application on the Friday of that s</w:t>
      </w:r>
      <w:r w:rsidR="00E658E3" w:rsidRPr="00CA69BE">
        <w:rPr>
          <w:rFonts w:ascii="Arial" w:hAnsi="Arial" w:cs="Arial"/>
          <w:sz w:val="24"/>
          <w:szCs w:val="24"/>
        </w:rPr>
        <w:t>ame week.</w:t>
      </w:r>
    </w:p>
    <w:p w14:paraId="7AF7C59B" w14:textId="1A0324C7" w:rsidR="00B80698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[11]</w:t>
      </w:r>
      <w:r>
        <w:rPr>
          <w:rFonts w:ascii="Arial" w:hAnsi="Arial" w:cs="Arial"/>
          <w:sz w:val="24"/>
          <w:szCs w:val="24"/>
        </w:rPr>
        <w:tab/>
      </w:r>
      <w:r w:rsidR="002E71E1" w:rsidRPr="00CA69BE">
        <w:rPr>
          <w:rFonts w:ascii="Arial" w:hAnsi="Arial" w:cs="Arial"/>
          <w:sz w:val="24"/>
          <w:szCs w:val="24"/>
        </w:rPr>
        <w:t xml:space="preserve">Once the order was granted it was not served on </w:t>
      </w:r>
      <w:proofErr w:type="spellStart"/>
      <w:r w:rsidR="002E71E1" w:rsidRPr="00CA69BE">
        <w:rPr>
          <w:rFonts w:ascii="Arial" w:hAnsi="Arial" w:cs="Arial"/>
          <w:sz w:val="24"/>
          <w:szCs w:val="24"/>
        </w:rPr>
        <w:t>P</w:t>
      </w:r>
      <w:r w:rsidR="00D5313D" w:rsidRPr="00CA69BE">
        <w:rPr>
          <w:rFonts w:ascii="Arial" w:hAnsi="Arial" w:cs="Arial"/>
          <w:sz w:val="24"/>
          <w:szCs w:val="24"/>
        </w:rPr>
        <w:t>rokas</w:t>
      </w:r>
      <w:proofErr w:type="spellEnd"/>
      <w:r w:rsidR="002E71E1" w:rsidRPr="00CA69BE">
        <w:rPr>
          <w:rFonts w:ascii="Arial" w:hAnsi="Arial" w:cs="Arial"/>
          <w:sz w:val="24"/>
          <w:szCs w:val="24"/>
        </w:rPr>
        <w:t xml:space="preserve"> </w:t>
      </w:r>
      <w:r w:rsidR="00A7685E" w:rsidRPr="00CA69BE">
        <w:rPr>
          <w:rFonts w:ascii="Arial" w:hAnsi="Arial" w:cs="Arial"/>
          <w:sz w:val="24"/>
          <w:szCs w:val="24"/>
        </w:rPr>
        <w:t>until</w:t>
      </w:r>
      <w:r w:rsidR="002E71E1" w:rsidRPr="00CA69BE">
        <w:rPr>
          <w:rFonts w:ascii="Arial" w:hAnsi="Arial" w:cs="Arial"/>
          <w:sz w:val="24"/>
          <w:szCs w:val="24"/>
        </w:rPr>
        <w:t xml:space="preserve"> five days later. He then proceeded to anticipate the </w:t>
      </w:r>
      <w:r w:rsidR="00A66EF6" w:rsidRPr="00CA69BE">
        <w:rPr>
          <w:rFonts w:ascii="Arial" w:hAnsi="Arial" w:cs="Arial"/>
          <w:sz w:val="24"/>
          <w:szCs w:val="24"/>
        </w:rPr>
        <w:t xml:space="preserve">order. </w:t>
      </w:r>
      <w:r w:rsidR="00854206" w:rsidRPr="00CA69BE">
        <w:rPr>
          <w:rFonts w:ascii="Arial" w:hAnsi="Arial" w:cs="Arial"/>
          <w:sz w:val="24"/>
          <w:szCs w:val="24"/>
        </w:rPr>
        <w:t xml:space="preserve">Crowd Tech then </w:t>
      </w:r>
      <w:r w:rsidR="00A7685E" w:rsidRPr="00CA69BE">
        <w:rPr>
          <w:rFonts w:ascii="Arial" w:hAnsi="Arial" w:cs="Arial"/>
          <w:sz w:val="24"/>
          <w:szCs w:val="24"/>
        </w:rPr>
        <w:t xml:space="preserve">abandoned </w:t>
      </w:r>
      <w:r w:rsidR="00854206" w:rsidRPr="00CA69BE">
        <w:rPr>
          <w:rFonts w:ascii="Arial" w:hAnsi="Arial" w:cs="Arial"/>
          <w:sz w:val="24"/>
          <w:szCs w:val="24"/>
        </w:rPr>
        <w:t xml:space="preserve">the </w:t>
      </w:r>
      <w:r w:rsidR="005119A3" w:rsidRPr="00CA69BE">
        <w:rPr>
          <w:rFonts w:ascii="Arial" w:hAnsi="Arial" w:cs="Arial"/>
          <w:sz w:val="24"/>
          <w:szCs w:val="24"/>
        </w:rPr>
        <w:t>order on 20 November 2019</w:t>
      </w:r>
      <w:r w:rsidR="00854206" w:rsidRPr="00CA69BE">
        <w:rPr>
          <w:rFonts w:ascii="Arial" w:hAnsi="Arial" w:cs="Arial"/>
          <w:sz w:val="24"/>
          <w:szCs w:val="24"/>
        </w:rPr>
        <w:t>. It did not however tender costs</w:t>
      </w:r>
      <w:r w:rsidR="00C537C7" w:rsidRPr="00CA69BE">
        <w:rPr>
          <w:rFonts w:ascii="Arial" w:hAnsi="Arial" w:cs="Arial"/>
          <w:sz w:val="24"/>
          <w:szCs w:val="24"/>
        </w:rPr>
        <w:t xml:space="preserve"> at the time it served its notice of abandonment</w:t>
      </w:r>
      <w:r w:rsidR="00854206" w:rsidRPr="00CA69BE">
        <w:rPr>
          <w:rFonts w:ascii="Arial" w:hAnsi="Arial" w:cs="Arial"/>
          <w:sz w:val="24"/>
          <w:szCs w:val="24"/>
        </w:rPr>
        <w:t xml:space="preserve">. Hence </w:t>
      </w:r>
      <w:proofErr w:type="spellStart"/>
      <w:r w:rsidR="00854206" w:rsidRPr="00CA69BE">
        <w:rPr>
          <w:rFonts w:ascii="Arial" w:hAnsi="Arial" w:cs="Arial"/>
          <w:sz w:val="24"/>
          <w:szCs w:val="24"/>
        </w:rPr>
        <w:t>P</w:t>
      </w:r>
      <w:r w:rsidR="00166FC0" w:rsidRPr="00CA69BE">
        <w:rPr>
          <w:rFonts w:ascii="Arial" w:hAnsi="Arial" w:cs="Arial"/>
          <w:sz w:val="24"/>
          <w:szCs w:val="24"/>
        </w:rPr>
        <w:t>rokas</w:t>
      </w:r>
      <w:proofErr w:type="spellEnd"/>
      <w:r w:rsidR="00854206" w:rsidRPr="00CA69BE">
        <w:rPr>
          <w:rFonts w:ascii="Arial" w:hAnsi="Arial" w:cs="Arial"/>
          <w:sz w:val="24"/>
          <w:szCs w:val="24"/>
        </w:rPr>
        <w:t xml:space="preserve"> brought </w:t>
      </w:r>
      <w:r w:rsidR="003700AB" w:rsidRPr="00CA69BE">
        <w:rPr>
          <w:rFonts w:ascii="Arial" w:hAnsi="Arial" w:cs="Arial"/>
          <w:sz w:val="24"/>
          <w:szCs w:val="24"/>
        </w:rPr>
        <w:t>the</w:t>
      </w:r>
      <w:r w:rsidR="00854206" w:rsidRPr="00CA69BE">
        <w:rPr>
          <w:rFonts w:ascii="Arial" w:hAnsi="Arial" w:cs="Arial"/>
          <w:sz w:val="24"/>
          <w:szCs w:val="24"/>
        </w:rPr>
        <w:t xml:space="preserve"> present application in terms of Rule 41</w:t>
      </w:r>
      <w:r w:rsidR="00495919">
        <w:rPr>
          <w:rFonts w:ascii="Arial" w:hAnsi="Arial" w:cs="Arial"/>
          <w:sz w:val="24"/>
          <w:szCs w:val="24"/>
        </w:rPr>
        <w:t>(1)</w:t>
      </w:r>
      <w:r w:rsidR="00854206" w:rsidRPr="00CA69BE">
        <w:rPr>
          <w:rFonts w:ascii="Arial" w:hAnsi="Arial" w:cs="Arial"/>
          <w:sz w:val="24"/>
          <w:szCs w:val="24"/>
        </w:rPr>
        <w:t>(c)</w:t>
      </w:r>
      <w:r w:rsidR="009D00F7" w:rsidRPr="00CA69BE">
        <w:rPr>
          <w:rFonts w:ascii="Arial" w:hAnsi="Arial" w:cs="Arial"/>
          <w:sz w:val="24"/>
          <w:szCs w:val="24"/>
        </w:rPr>
        <w:t xml:space="preserve"> but only in January 2022.</w:t>
      </w:r>
      <w:r w:rsidR="003700AB" w:rsidRPr="00CA69BE">
        <w:rPr>
          <w:rFonts w:ascii="Arial" w:hAnsi="Arial" w:cs="Arial"/>
          <w:sz w:val="24"/>
          <w:szCs w:val="24"/>
        </w:rPr>
        <w:t xml:space="preserve"> It was only </w:t>
      </w:r>
      <w:r w:rsidR="001A0121" w:rsidRPr="00CA69BE">
        <w:rPr>
          <w:rFonts w:ascii="Arial" w:hAnsi="Arial" w:cs="Arial"/>
          <w:sz w:val="24"/>
          <w:szCs w:val="24"/>
        </w:rPr>
        <w:t xml:space="preserve">after </w:t>
      </w:r>
      <w:proofErr w:type="spellStart"/>
      <w:r w:rsidR="001A0121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1A0121" w:rsidRPr="00CA69BE">
        <w:rPr>
          <w:rFonts w:ascii="Arial" w:hAnsi="Arial" w:cs="Arial"/>
          <w:sz w:val="24"/>
          <w:szCs w:val="24"/>
        </w:rPr>
        <w:t xml:space="preserve"> brought the present </w:t>
      </w:r>
      <w:r w:rsidR="009F1044" w:rsidRPr="00CA69BE">
        <w:rPr>
          <w:rFonts w:ascii="Arial" w:hAnsi="Arial" w:cs="Arial"/>
          <w:sz w:val="24"/>
          <w:szCs w:val="24"/>
        </w:rPr>
        <w:t>Rule 41</w:t>
      </w:r>
      <w:r w:rsidR="00495919">
        <w:rPr>
          <w:rFonts w:ascii="Arial" w:hAnsi="Arial" w:cs="Arial"/>
          <w:sz w:val="24"/>
          <w:szCs w:val="24"/>
        </w:rPr>
        <w:t>(1)</w:t>
      </w:r>
      <w:r w:rsidR="009F1044" w:rsidRPr="00CA69BE">
        <w:rPr>
          <w:rFonts w:ascii="Arial" w:hAnsi="Arial" w:cs="Arial"/>
          <w:sz w:val="24"/>
          <w:szCs w:val="24"/>
        </w:rPr>
        <w:t xml:space="preserve">(c) </w:t>
      </w:r>
      <w:r w:rsidR="001A0121" w:rsidRPr="00CA69BE">
        <w:rPr>
          <w:rFonts w:ascii="Arial" w:hAnsi="Arial" w:cs="Arial"/>
          <w:sz w:val="24"/>
          <w:szCs w:val="24"/>
        </w:rPr>
        <w:t xml:space="preserve">application </w:t>
      </w:r>
      <w:r w:rsidR="003700AB" w:rsidRPr="00CA69BE">
        <w:rPr>
          <w:rFonts w:ascii="Arial" w:hAnsi="Arial" w:cs="Arial"/>
          <w:sz w:val="24"/>
          <w:szCs w:val="24"/>
        </w:rPr>
        <w:t>that Crowd Tech tendered costs</w:t>
      </w:r>
      <w:r w:rsidR="009F1044" w:rsidRPr="00CA69BE">
        <w:rPr>
          <w:rFonts w:ascii="Arial" w:hAnsi="Arial" w:cs="Arial"/>
          <w:sz w:val="24"/>
          <w:szCs w:val="24"/>
        </w:rPr>
        <w:t>,</w:t>
      </w:r>
      <w:r w:rsidR="003700AB" w:rsidRPr="00CA69BE">
        <w:rPr>
          <w:rFonts w:ascii="Arial" w:hAnsi="Arial" w:cs="Arial"/>
          <w:sz w:val="24"/>
          <w:szCs w:val="24"/>
        </w:rPr>
        <w:t xml:space="preserve"> </w:t>
      </w:r>
      <w:r w:rsidR="00D8398D" w:rsidRPr="00CA69BE">
        <w:rPr>
          <w:rFonts w:ascii="Arial" w:hAnsi="Arial" w:cs="Arial"/>
          <w:sz w:val="24"/>
          <w:szCs w:val="24"/>
        </w:rPr>
        <w:t xml:space="preserve">but </w:t>
      </w:r>
      <w:r w:rsidR="00E972F2" w:rsidRPr="00CA69BE">
        <w:rPr>
          <w:rFonts w:ascii="Arial" w:hAnsi="Arial" w:cs="Arial"/>
          <w:sz w:val="24"/>
          <w:szCs w:val="24"/>
        </w:rPr>
        <w:t xml:space="preserve">then </w:t>
      </w:r>
      <w:r w:rsidR="00D8398D" w:rsidRPr="00CA69BE">
        <w:rPr>
          <w:rFonts w:ascii="Arial" w:hAnsi="Arial" w:cs="Arial"/>
          <w:sz w:val="24"/>
          <w:szCs w:val="24"/>
        </w:rPr>
        <w:t xml:space="preserve">only on a party and party scale. </w:t>
      </w:r>
    </w:p>
    <w:p w14:paraId="2C7730D3" w14:textId="7A57B22A" w:rsidR="00D8398D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[12]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8398D" w:rsidRPr="00CA69BE">
        <w:rPr>
          <w:rFonts w:ascii="Arial" w:hAnsi="Arial" w:cs="Arial"/>
          <w:sz w:val="24"/>
          <w:szCs w:val="24"/>
        </w:rPr>
        <w:t>P</w:t>
      </w:r>
      <w:r w:rsidR="00CF6393" w:rsidRPr="00CA69BE">
        <w:rPr>
          <w:rFonts w:ascii="Arial" w:hAnsi="Arial" w:cs="Arial"/>
          <w:sz w:val="24"/>
          <w:szCs w:val="24"/>
        </w:rPr>
        <w:t>rokas</w:t>
      </w:r>
      <w:proofErr w:type="spellEnd"/>
      <w:r w:rsidR="00D8398D" w:rsidRPr="00CA69BE">
        <w:rPr>
          <w:rFonts w:ascii="Arial" w:hAnsi="Arial" w:cs="Arial"/>
          <w:sz w:val="24"/>
          <w:szCs w:val="24"/>
        </w:rPr>
        <w:t xml:space="preserve"> contends that he is entitled to attorney client costs because Crowd Tech had brought the </w:t>
      </w:r>
      <w:r w:rsidR="00D8398D" w:rsidRPr="00CA69BE">
        <w:rPr>
          <w:rFonts w:ascii="Arial" w:hAnsi="Arial" w:cs="Arial"/>
          <w:i/>
          <w:iCs/>
          <w:sz w:val="24"/>
          <w:szCs w:val="24"/>
        </w:rPr>
        <w:t>ex parte</w:t>
      </w:r>
      <w:r w:rsidR="00D8398D" w:rsidRPr="00CA69BE">
        <w:rPr>
          <w:rFonts w:ascii="Arial" w:hAnsi="Arial" w:cs="Arial"/>
          <w:sz w:val="24"/>
          <w:szCs w:val="24"/>
        </w:rPr>
        <w:t xml:space="preserve"> application in bad faith. Three reasons were advanced for this contention</w:t>
      </w:r>
      <w:r w:rsidR="000A5407" w:rsidRPr="00CA69BE">
        <w:rPr>
          <w:rFonts w:ascii="Arial" w:hAnsi="Arial" w:cs="Arial"/>
          <w:sz w:val="24"/>
          <w:szCs w:val="24"/>
        </w:rPr>
        <w:t>. First</w:t>
      </w:r>
      <w:r w:rsidR="006E3C4A" w:rsidRPr="00CA69BE">
        <w:rPr>
          <w:rFonts w:ascii="Arial" w:hAnsi="Arial" w:cs="Arial"/>
          <w:sz w:val="24"/>
          <w:szCs w:val="24"/>
        </w:rPr>
        <w:t>,</w:t>
      </w:r>
      <w:r w:rsidR="000A5407" w:rsidRPr="00CA69BE">
        <w:rPr>
          <w:rFonts w:ascii="Arial" w:hAnsi="Arial" w:cs="Arial"/>
          <w:sz w:val="24"/>
          <w:szCs w:val="24"/>
        </w:rPr>
        <w:t xml:space="preserve"> that Crowd Tech had failed to disclose material facts</w:t>
      </w:r>
      <w:r w:rsidR="006432B2" w:rsidRPr="00CA69BE">
        <w:rPr>
          <w:rFonts w:ascii="Arial" w:hAnsi="Arial" w:cs="Arial"/>
          <w:sz w:val="24"/>
          <w:szCs w:val="24"/>
        </w:rPr>
        <w:t>. Second</w:t>
      </w:r>
      <w:r w:rsidR="006E3C4A" w:rsidRPr="00CA69BE">
        <w:rPr>
          <w:rFonts w:ascii="Arial" w:hAnsi="Arial" w:cs="Arial"/>
          <w:sz w:val="24"/>
          <w:szCs w:val="24"/>
        </w:rPr>
        <w:t>,</w:t>
      </w:r>
      <w:r w:rsidR="006432B2" w:rsidRPr="00CA69BE">
        <w:rPr>
          <w:rFonts w:ascii="Arial" w:hAnsi="Arial" w:cs="Arial"/>
          <w:sz w:val="24"/>
          <w:szCs w:val="24"/>
        </w:rPr>
        <w:t xml:space="preserve"> that the application relied on hearsay </w:t>
      </w:r>
      <w:r w:rsidR="006E3C4A" w:rsidRPr="00CA69BE">
        <w:rPr>
          <w:rFonts w:ascii="Arial" w:hAnsi="Arial" w:cs="Arial"/>
          <w:sz w:val="24"/>
          <w:szCs w:val="24"/>
        </w:rPr>
        <w:t>evidence</w:t>
      </w:r>
      <w:r w:rsidR="006432B2" w:rsidRPr="00CA69BE">
        <w:rPr>
          <w:rFonts w:ascii="Arial" w:hAnsi="Arial" w:cs="Arial"/>
          <w:sz w:val="24"/>
          <w:szCs w:val="24"/>
        </w:rPr>
        <w:t xml:space="preserve"> and third</w:t>
      </w:r>
      <w:r w:rsidR="006E3C4A" w:rsidRPr="00CA69BE">
        <w:rPr>
          <w:rFonts w:ascii="Arial" w:hAnsi="Arial" w:cs="Arial"/>
          <w:sz w:val="24"/>
          <w:szCs w:val="24"/>
        </w:rPr>
        <w:t>,</w:t>
      </w:r>
      <w:r w:rsidR="006432B2" w:rsidRPr="00CA69BE">
        <w:rPr>
          <w:rFonts w:ascii="Arial" w:hAnsi="Arial" w:cs="Arial"/>
          <w:sz w:val="24"/>
          <w:szCs w:val="24"/>
        </w:rPr>
        <w:t xml:space="preserve"> on illegally obtained evidence.</w:t>
      </w:r>
    </w:p>
    <w:p w14:paraId="1943DFCC" w14:textId="0EAD40EE" w:rsidR="00663DAE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[13]</w:t>
      </w:r>
      <w:r>
        <w:rPr>
          <w:rFonts w:ascii="Arial" w:hAnsi="Arial" w:cs="Arial"/>
          <w:sz w:val="24"/>
          <w:szCs w:val="24"/>
        </w:rPr>
        <w:tab/>
      </w:r>
      <w:r w:rsidR="00B31EAB" w:rsidRPr="00CA69BE">
        <w:rPr>
          <w:rFonts w:ascii="Arial" w:hAnsi="Arial" w:cs="Arial"/>
          <w:sz w:val="24"/>
          <w:szCs w:val="24"/>
        </w:rPr>
        <w:t>However, t</w:t>
      </w:r>
      <w:r w:rsidR="006432B2" w:rsidRPr="00CA69BE">
        <w:rPr>
          <w:rFonts w:ascii="Arial" w:hAnsi="Arial" w:cs="Arial"/>
          <w:sz w:val="24"/>
          <w:szCs w:val="24"/>
        </w:rPr>
        <w:t>he</w:t>
      </w:r>
      <w:r w:rsidR="00083907" w:rsidRPr="00CA69BE">
        <w:rPr>
          <w:rFonts w:ascii="Arial" w:hAnsi="Arial" w:cs="Arial"/>
          <w:sz w:val="24"/>
          <w:szCs w:val="24"/>
        </w:rPr>
        <w:t xml:space="preserve"> three points are </w:t>
      </w:r>
      <w:r w:rsidR="00B31EAB" w:rsidRPr="00CA69BE">
        <w:rPr>
          <w:rFonts w:ascii="Arial" w:hAnsi="Arial" w:cs="Arial"/>
          <w:sz w:val="24"/>
          <w:szCs w:val="24"/>
        </w:rPr>
        <w:t>interrelated</w:t>
      </w:r>
      <w:r w:rsidR="00083907" w:rsidRPr="00CA69BE">
        <w:rPr>
          <w:rFonts w:ascii="Arial" w:hAnsi="Arial" w:cs="Arial"/>
          <w:sz w:val="24"/>
          <w:szCs w:val="24"/>
        </w:rPr>
        <w:t xml:space="preserve">. </w:t>
      </w:r>
      <w:r w:rsidR="00E6010A" w:rsidRPr="00CA69BE">
        <w:rPr>
          <w:rFonts w:ascii="Arial" w:hAnsi="Arial" w:cs="Arial"/>
          <w:sz w:val="24"/>
          <w:szCs w:val="24"/>
        </w:rPr>
        <w:t xml:space="preserve">The first relates to the </w:t>
      </w:r>
      <w:r w:rsidR="00D51D68" w:rsidRPr="00CA69BE">
        <w:rPr>
          <w:rFonts w:ascii="Arial" w:hAnsi="Arial" w:cs="Arial"/>
          <w:sz w:val="24"/>
          <w:szCs w:val="24"/>
        </w:rPr>
        <w:t>Trade Confirmation</w:t>
      </w:r>
      <w:r w:rsidR="008D6A37" w:rsidRPr="00CA69BE">
        <w:rPr>
          <w:rFonts w:ascii="Arial" w:hAnsi="Arial" w:cs="Arial"/>
          <w:sz w:val="24"/>
          <w:szCs w:val="24"/>
        </w:rPr>
        <w:t xml:space="preserve">. </w:t>
      </w:r>
      <w:r w:rsidR="00E22463" w:rsidRPr="00CA69BE">
        <w:rPr>
          <w:rFonts w:ascii="Arial" w:hAnsi="Arial" w:cs="Arial"/>
          <w:sz w:val="24"/>
          <w:szCs w:val="24"/>
        </w:rPr>
        <w:t xml:space="preserve">Recall that this was attached to the founding affidavit in the </w:t>
      </w:r>
      <w:r w:rsidR="00E22463" w:rsidRPr="00CA69BE">
        <w:rPr>
          <w:rFonts w:ascii="Arial" w:hAnsi="Arial" w:cs="Arial"/>
          <w:i/>
          <w:iCs/>
          <w:sz w:val="24"/>
          <w:szCs w:val="24"/>
        </w:rPr>
        <w:t>ex parte</w:t>
      </w:r>
      <w:r w:rsidR="00E22463" w:rsidRPr="00CA69BE">
        <w:rPr>
          <w:rFonts w:ascii="Arial" w:hAnsi="Arial" w:cs="Arial"/>
          <w:sz w:val="24"/>
          <w:szCs w:val="24"/>
        </w:rPr>
        <w:t xml:space="preserve"> application.</w:t>
      </w:r>
      <w:r w:rsidR="00385A20" w:rsidRPr="00CA69BE">
        <w:rPr>
          <w:rFonts w:ascii="Arial" w:hAnsi="Arial" w:cs="Arial"/>
          <w:sz w:val="24"/>
          <w:szCs w:val="24"/>
        </w:rPr>
        <w:t xml:space="preserve"> </w:t>
      </w:r>
      <w:r w:rsidR="008D6A37" w:rsidRPr="00CA69BE">
        <w:rPr>
          <w:rFonts w:ascii="Arial" w:hAnsi="Arial" w:cs="Arial"/>
          <w:sz w:val="24"/>
          <w:szCs w:val="24"/>
        </w:rPr>
        <w:t>Crow</w:t>
      </w:r>
      <w:r w:rsidR="0005652A" w:rsidRPr="00CA69BE">
        <w:rPr>
          <w:rFonts w:ascii="Arial" w:hAnsi="Arial" w:cs="Arial"/>
          <w:sz w:val="24"/>
          <w:szCs w:val="24"/>
        </w:rPr>
        <w:t>d</w:t>
      </w:r>
      <w:r w:rsidR="008D6A37" w:rsidRPr="00CA69BE">
        <w:rPr>
          <w:rFonts w:ascii="Arial" w:hAnsi="Arial" w:cs="Arial"/>
          <w:sz w:val="24"/>
          <w:szCs w:val="24"/>
        </w:rPr>
        <w:t xml:space="preserve"> Tech never disclosed to the court how it had obtained the document or verified it. </w:t>
      </w:r>
      <w:r w:rsidR="00644EB1" w:rsidRPr="00CA69BE">
        <w:rPr>
          <w:rFonts w:ascii="Arial" w:hAnsi="Arial" w:cs="Arial"/>
          <w:sz w:val="24"/>
          <w:szCs w:val="24"/>
        </w:rPr>
        <w:t xml:space="preserve">According to </w:t>
      </w:r>
      <w:proofErr w:type="spellStart"/>
      <w:r w:rsidR="00644EB1" w:rsidRPr="00CA69BE">
        <w:rPr>
          <w:rFonts w:ascii="Arial" w:hAnsi="Arial" w:cs="Arial"/>
          <w:sz w:val="24"/>
          <w:szCs w:val="24"/>
        </w:rPr>
        <w:t>P</w:t>
      </w:r>
      <w:r w:rsidR="00385A20" w:rsidRPr="00CA69BE">
        <w:rPr>
          <w:rFonts w:ascii="Arial" w:hAnsi="Arial" w:cs="Arial"/>
          <w:sz w:val="24"/>
          <w:szCs w:val="24"/>
        </w:rPr>
        <w:t>rokas</w:t>
      </w:r>
      <w:proofErr w:type="spellEnd"/>
      <w:r w:rsidR="00644EB1" w:rsidRPr="00CA69BE">
        <w:rPr>
          <w:rFonts w:ascii="Arial" w:hAnsi="Arial" w:cs="Arial"/>
          <w:sz w:val="24"/>
          <w:szCs w:val="24"/>
        </w:rPr>
        <w:t xml:space="preserve"> the document was password protected and only he knew the password.</w:t>
      </w:r>
      <w:r w:rsidR="00385A20" w:rsidRPr="00CA69BE">
        <w:rPr>
          <w:rFonts w:ascii="Arial" w:hAnsi="Arial" w:cs="Arial"/>
          <w:sz w:val="24"/>
          <w:szCs w:val="24"/>
        </w:rPr>
        <w:t xml:space="preserve"> </w:t>
      </w:r>
      <w:r w:rsidR="00CF430F" w:rsidRPr="00CA69BE">
        <w:rPr>
          <w:rFonts w:ascii="Arial" w:hAnsi="Arial" w:cs="Arial"/>
          <w:sz w:val="24"/>
          <w:szCs w:val="24"/>
        </w:rPr>
        <w:t>Therefore</w:t>
      </w:r>
      <w:r w:rsidR="00A26366" w:rsidRPr="00CA69BE">
        <w:rPr>
          <w:rFonts w:ascii="Arial" w:hAnsi="Arial" w:cs="Arial"/>
          <w:sz w:val="24"/>
          <w:szCs w:val="24"/>
        </w:rPr>
        <w:t>,</w:t>
      </w:r>
      <w:r w:rsidR="00CF430F" w:rsidRPr="00CA69BE">
        <w:rPr>
          <w:rFonts w:ascii="Arial" w:hAnsi="Arial" w:cs="Arial"/>
          <w:sz w:val="24"/>
          <w:szCs w:val="24"/>
        </w:rPr>
        <w:t xml:space="preserve"> h</w:t>
      </w:r>
      <w:r w:rsidR="00385A20" w:rsidRPr="00CA69BE">
        <w:rPr>
          <w:rFonts w:ascii="Arial" w:hAnsi="Arial" w:cs="Arial"/>
          <w:sz w:val="24"/>
          <w:szCs w:val="24"/>
        </w:rPr>
        <w:t xml:space="preserve">e assumes </w:t>
      </w:r>
      <w:r w:rsidR="009D03E4" w:rsidRPr="00CA69BE">
        <w:rPr>
          <w:rFonts w:ascii="Arial" w:hAnsi="Arial" w:cs="Arial"/>
          <w:sz w:val="24"/>
          <w:szCs w:val="24"/>
        </w:rPr>
        <w:t>it</w:t>
      </w:r>
      <w:r w:rsidR="00644EB1" w:rsidRPr="00CA69BE">
        <w:rPr>
          <w:rFonts w:ascii="Arial" w:hAnsi="Arial" w:cs="Arial"/>
          <w:sz w:val="24"/>
          <w:szCs w:val="24"/>
        </w:rPr>
        <w:t xml:space="preserve"> </w:t>
      </w:r>
      <w:r w:rsidR="009D03E4" w:rsidRPr="00CA69BE">
        <w:rPr>
          <w:rFonts w:ascii="Arial" w:hAnsi="Arial" w:cs="Arial"/>
          <w:sz w:val="24"/>
          <w:szCs w:val="24"/>
        </w:rPr>
        <w:t xml:space="preserve">must </w:t>
      </w:r>
      <w:r w:rsidR="00644EB1" w:rsidRPr="00CA69BE">
        <w:rPr>
          <w:rFonts w:ascii="Arial" w:hAnsi="Arial" w:cs="Arial"/>
          <w:sz w:val="24"/>
          <w:szCs w:val="24"/>
        </w:rPr>
        <w:t>have been</w:t>
      </w:r>
      <w:r w:rsidR="009D03E4" w:rsidRPr="00CA69BE">
        <w:rPr>
          <w:rFonts w:ascii="Arial" w:hAnsi="Arial" w:cs="Arial"/>
          <w:sz w:val="24"/>
          <w:szCs w:val="24"/>
        </w:rPr>
        <w:t xml:space="preserve"> obtained</w:t>
      </w:r>
      <w:r w:rsidR="00644EB1" w:rsidRPr="00CA69BE">
        <w:rPr>
          <w:rFonts w:ascii="Arial" w:hAnsi="Arial" w:cs="Arial"/>
          <w:sz w:val="24"/>
          <w:szCs w:val="24"/>
        </w:rPr>
        <w:t xml:space="preserve"> illegally. Crowd Tech has despite filing further </w:t>
      </w:r>
      <w:r w:rsidR="00CF430F" w:rsidRPr="00CA69BE">
        <w:rPr>
          <w:rFonts w:ascii="Arial" w:hAnsi="Arial" w:cs="Arial"/>
          <w:sz w:val="24"/>
          <w:szCs w:val="24"/>
        </w:rPr>
        <w:t>affidavits</w:t>
      </w:r>
      <w:r w:rsidR="00644EB1" w:rsidRPr="00CA69BE">
        <w:rPr>
          <w:rFonts w:ascii="Arial" w:hAnsi="Arial" w:cs="Arial"/>
          <w:sz w:val="24"/>
          <w:szCs w:val="24"/>
        </w:rPr>
        <w:t xml:space="preserve"> remained silent on this point. I can assume </w:t>
      </w:r>
      <w:r w:rsidR="0018426C" w:rsidRPr="00CA69BE">
        <w:rPr>
          <w:rFonts w:ascii="Arial" w:hAnsi="Arial" w:cs="Arial"/>
          <w:sz w:val="24"/>
          <w:szCs w:val="24"/>
        </w:rPr>
        <w:t>it is</w:t>
      </w:r>
      <w:r w:rsidR="00644EB1" w:rsidRPr="00CA69BE">
        <w:rPr>
          <w:rFonts w:ascii="Arial" w:hAnsi="Arial" w:cs="Arial"/>
          <w:sz w:val="24"/>
          <w:szCs w:val="24"/>
        </w:rPr>
        <w:t xml:space="preserve"> reluctant to disclose th</w:t>
      </w:r>
      <w:r w:rsidR="0018426C" w:rsidRPr="00CA69BE">
        <w:rPr>
          <w:rFonts w:ascii="Arial" w:hAnsi="Arial" w:cs="Arial"/>
          <w:sz w:val="24"/>
          <w:szCs w:val="24"/>
        </w:rPr>
        <w:t>ese</w:t>
      </w:r>
      <w:r w:rsidR="00644EB1" w:rsidRPr="00CA69BE">
        <w:rPr>
          <w:rFonts w:ascii="Arial" w:hAnsi="Arial" w:cs="Arial"/>
          <w:sz w:val="24"/>
          <w:szCs w:val="24"/>
        </w:rPr>
        <w:t xml:space="preserve"> facts. However, there is </w:t>
      </w:r>
      <w:r w:rsidR="00644EB1" w:rsidRPr="00CA69BE">
        <w:rPr>
          <w:rFonts w:ascii="Arial" w:hAnsi="Arial" w:cs="Arial"/>
          <w:sz w:val="24"/>
          <w:szCs w:val="24"/>
        </w:rPr>
        <w:lastRenderedPageBreak/>
        <w:t>no dispute about its authenticity.</w:t>
      </w:r>
      <w:r w:rsidR="00A80057" w:rsidRPr="00CA69BE">
        <w:rPr>
          <w:rFonts w:ascii="Arial" w:hAnsi="Arial" w:cs="Arial"/>
          <w:sz w:val="24"/>
          <w:szCs w:val="24"/>
        </w:rPr>
        <w:t xml:space="preserve"> Crowd Tech argues even it was illegally obtained</w:t>
      </w:r>
      <w:r w:rsidR="00A26366" w:rsidRPr="00CA69BE">
        <w:rPr>
          <w:rFonts w:ascii="Arial" w:hAnsi="Arial" w:cs="Arial"/>
          <w:sz w:val="24"/>
          <w:szCs w:val="24"/>
        </w:rPr>
        <w:t xml:space="preserve">, something it does not concede, </w:t>
      </w:r>
      <w:r w:rsidR="00A80057" w:rsidRPr="00CA69BE">
        <w:rPr>
          <w:rFonts w:ascii="Arial" w:hAnsi="Arial" w:cs="Arial"/>
          <w:sz w:val="24"/>
          <w:szCs w:val="24"/>
        </w:rPr>
        <w:t xml:space="preserve">there are circumstances where courts </w:t>
      </w:r>
      <w:r w:rsidR="005D2152" w:rsidRPr="00CA69BE">
        <w:rPr>
          <w:rFonts w:ascii="Arial" w:hAnsi="Arial" w:cs="Arial"/>
          <w:sz w:val="24"/>
          <w:szCs w:val="24"/>
        </w:rPr>
        <w:t xml:space="preserve">can still rely on this evidence. </w:t>
      </w:r>
    </w:p>
    <w:p w14:paraId="4712580A" w14:textId="2455A491" w:rsidR="00CB01FC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[14]</w:t>
      </w:r>
      <w:r>
        <w:rPr>
          <w:rFonts w:ascii="Arial" w:hAnsi="Arial" w:cs="Arial"/>
          <w:sz w:val="24"/>
          <w:szCs w:val="24"/>
        </w:rPr>
        <w:tab/>
      </w:r>
      <w:r w:rsidR="005D2152" w:rsidRPr="00CA69BE">
        <w:rPr>
          <w:rFonts w:ascii="Arial" w:hAnsi="Arial" w:cs="Arial"/>
          <w:sz w:val="24"/>
          <w:szCs w:val="24"/>
        </w:rPr>
        <w:t>Moreover</w:t>
      </w:r>
      <w:r w:rsidR="0018426C" w:rsidRPr="00CA69BE">
        <w:rPr>
          <w:rFonts w:ascii="Arial" w:hAnsi="Arial" w:cs="Arial"/>
          <w:sz w:val="24"/>
          <w:szCs w:val="24"/>
        </w:rPr>
        <w:t>,</w:t>
      </w:r>
      <w:r w:rsidR="005D2152" w:rsidRPr="00CA69BE">
        <w:rPr>
          <w:rFonts w:ascii="Arial" w:hAnsi="Arial" w:cs="Arial"/>
          <w:sz w:val="24"/>
          <w:szCs w:val="24"/>
        </w:rPr>
        <w:t xml:space="preserve"> </w:t>
      </w:r>
      <w:r w:rsidR="00663DAE" w:rsidRPr="00CA69BE">
        <w:rPr>
          <w:rFonts w:ascii="Arial" w:hAnsi="Arial" w:cs="Arial"/>
          <w:sz w:val="24"/>
          <w:szCs w:val="24"/>
        </w:rPr>
        <w:t xml:space="preserve">it argues </w:t>
      </w:r>
      <w:r w:rsidR="005D2152" w:rsidRPr="00CA69BE">
        <w:rPr>
          <w:rFonts w:ascii="Arial" w:hAnsi="Arial" w:cs="Arial"/>
          <w:sz w:val="24"/>
          <w:szCs w:val="24"/>
        </w:rPr>
        <w:t>even if</w:t>
      </w:r>
      <w:r w:rsidR="00663DAE" w:rsidRPr="00CA69BE">
        <w:rPr>
          <w:rFonts w:ascii="Arial" w:hAnsi="Arial" w:cs="Arial"/>
          <w:sz w:val="24"/>
          <w:szCs w:val="24"/>
        </w:rPr>
        <w:t xml:space="preserve"> the document is considered </w:t>
      </w:r>
      <w:r w:rsidR="005D2152" w:rsidRPr="00CA69BE">
        <w:rPr>
          <w:rFonts w:ascii="Arial" w:hAnsi="Arial" w:cs="Arial"/>
          <w:sz w:val="24"/>
          <w:szCs w:val="24"/>
        </w:rPr>
        <w:t>hearsay</w:t>
      </w:r>
      <w:r w:rsidR="00C25B44" w:rsidRPr="00CA69BE">
        <w:rPr>
          <w:rFonts w:ascii="Arial" w:hAnsi="Arial" w:cs="Arial"/>
          <w:sz w:val="24"/>
          <w:szCs w:val="24"/>
        </w:rPr>
        <w:t>,</w:t>
      </w:r>
      <w:r w:rsidR="005D2152" w:rsidRPr="00CA69BE">
        <w:rPr>
          <w:rFonts w:ascii="Arial" w:hAnsi="Arial" w:cs="Arial"/>
          <w:sz w:val="24"/>
          <w:szCs w:val="24"/>
        </w:rPr>
        <w:t xml:space="preserve"> a court can still accept</w:t>
      </w:r>
      <w:r w:rsidR="00436F91" w:rsidRPr="00CA69BE">
        <w:rPr>
          <w:rFonts w:ascii="Arial" w:hAnsi="Arial" w:cs="Arial"/>
          <w:sz w:val="24"/>
          <w:szCs w:val="24"/>
        </w:rPr>
        <w:t xml:space="preserve"> it as evidence</w:t>
      </w:r>
      <w:r w:rsidR="005D2152" w:rsidRPr="00CA69BE">
        <w:rPr>
          <w:rFonts w:ascii="Arial" w:hAnsi="Arial" w:cs="Arial"/>
          <w:sz w:val="24"/>
          <w:szCs w:val="24"/>
        </w:rPr>
        <w:t>. I do not need to go into this</w:t>
      </w:r>
      <w:r w:rsidR="003E0142" w:rsidRPr="00CA69BE">
        <w:rPr>
          <w:rFonts w:ascii="Arial" w:hAnsi="Arial" w:cs="Arial"/>
          <w:sz w:val="24"/>
          <w:szCs w:val="24"/>
        </w:rPr>
        <w:t xml:space="preserve">. This is because it is common cause the document was historical. </w:t>
      </w:r>
      <w:proofErr w:type="spellStart"/>
      <w:r w:rsidR="003E0142" w:rsidRPr="00CA69BE">
        <w:rPr>
          <w:rFonts w:ascii="Arial" w:hAnsi="Arial" w:cs="Arial"/>
          <w:sz w:val="24"/>
          <w:szCs w:val="24"/>
        </w:rPr>
        <w:t>P</w:t>
      </w:r>
      <w:r w:rsidR="00C25B44" w:rsidRPr="00CA69BE">
        <w:rPr>
          <w:rFonts w:ascii="Arial" w:hAnsi="Arial" w:cs="Arial"/>
          <w:sz w:val="24"/>
          <w:szCs w:val="24"/>
        </w:rPr>
        <w:t>rokas</w:t>
      </w:r>
      <w:proofErr w:type="spellEnd"/>
      <w:r w:rsidR="003E0142" w:rsidRPr="00CA69BE">
        <w:rPr>
          <w:rFonts w:ascii="Arial" w:hAnsi="Arial" w:cs="Arial"/>
          <w:sz w:val="24"/>
          <w:szCs w:val="24"/>
        </w:rPr>
        <w:t xml:space="preserve"> had on </w:t>
      </w:r>
      <w:r w:rsidR="00E27024" w:rsidRPr="00CA69BE">
        <w:rPr>
          <w:rFonts w:ascii="Arial" w:hAnsi="Arial" w:cs="Arial"/>
          <w:sz w:val="24"/>
          <w:szCs w:val="24"/>
        </w:rPr>
        <w:t xml:space="preserve">20 May 2019 </w:t>
      </w:r>
      <w:r w:rsidR="00D9727C" w:rsidRPr="00CA69BE">
        <w:rPr>
          <w:rFonts w:ascii="Arial" w:hAnsi="Arial" w:cs="Arial"/>
          <w:sz w:val="24"/>
          <w:szCs w:val="24"/>
        </w:rPr>
        <w:t>(i.e.</w:t>
      </w:r>
      <w:r w:rsidR="00E27024" w:rsidRPr="00CA69BE">
        <w:rPr>
          <w:rFonts w:ascii="Arial" w:hAnsi="Arial" w:cs="Arial"/>
          <w:sz w:val="24"/>
          <w:szCs w:val="24"/>
        </w:rPr>
        <w:t xml:space="preserve">, three days later) </w:t>
      </w:r>
      <w:r w:rsidR="009E3255" w:rsidRPr="00CA69BE">
        <w:rPr>
          <w:rFonts w:ascii="Arial" w:hAnsi="Arial" w:cs="Arial"/>
          <w:sz w:val="24"/>
          <w:szCs w:val="24"/>
        </w:rPr>
        <w:t xml:space="preserve">cancelled </w:t>
      </w:r>
      <w:r w:rsidR="003E0142" w:rsidRPr="00CA69BE">
        <w:rPr>
          <w:rFonts w:ascii="Arial" w:hAnsi="Arial" w:cs="Arial"/>
          <w:sz w:val="24"/>
          <w:szCs w:val="24"/>
        </w:rPr>
        <w:t>the instruction</w:t>
      </w:r>
      <w:r w:rsidR="009E3255" w:rsidRPr="00CA69BE">
        <w:rPr>
          <w:rFonts w:ascii="Arial" w:hAnsi="Arial" w:cs="Arial"/>
          <w:sz w:val="24"/>
          <w:szCs w:val="24"/>
        </w:rPr>
        <w:t>,</w:t>
      </w:r>
      <w:r w:rsidR="003E0142" w:rsidRPr="00CA69BE">
        <w:rPr>
          <w:rFonts w:ascii="Arial" w:hAnsi="Arial" w:cs="Arial"/>
          <w:sz w:val="24"/>
          <w:szCs w:val="24"/>
        </w:rPr>
        <w:t xml:space="preserve"> and so</w:t>
      </w:r>
      <w:r w:rsidR="009E3255" w:rsidRPr="00CA69BE">
        <w:rPr>
          <w:rFonts w:ascii="Arial" w:hAnsi="Arial" w:cs="Arial"/>
          <w:sz w:val="24"/>
          <w:szCs w:val="24"/>
        </w:rPr>
        <w:t xml:space="preserve"> he</w:t>
      </w:r>
      <w:r w:rsidR="003E0142" w:rsidRPr="00CA69BE">
        <w:rPr>
          <w:rFonts w:ascii="Arial" w:hAnsi="Arial" w:cs="Arial"/>
          <w:sz w:val="24"/>
          <w:szCs w:val="24"/>
        </w:rPr>
        <w:t xml:space="preserve"> never withdrew the money from the Fidelis account to his ABSA account. </w:t>
      </w:r>
      <w:r w:rsidR="00CB01FC" w:rsidRPr="00CA69BE">
        <w:rPr>
          <w:rFonts w:ascii="Arial" w:hAnsi="Arial" w:cs="Arial"/>
          <w:sz w:val="24"/>
          <w:szCs w:val="24"/>
        </w:rPr>
        <w:t xml:space="preserve">He says he did so </w:t>
      </w:r>
      <w:r w:rsidR="008B13AE" w:rsidRPr="00CA69BE">
        <w:rPr>
          <w:rFonts w:ascii="Arial" w:hAnsi="Arial" w:cs="Arial"/>
          <w:sz w:val="24"/>
          <w:szCs w:val="24"/>
        </w:rPr>
        <w:t xml:space="preserve">because Cyber was then in </w:t>
      </w:r>
      <w:r w:rsidR="008B13AE" w:rsidRPr="00CA69BE">
        <w:rPr>
          <w:rFonts w:ascii="Arial" w:hAnsi="Arial" w:cs="Arial"/>
          <w:i/>
          <w:iCs/>
          <w:sz w:val="24"/>
          <w:szCs w:val="24"/>
        </w:rPr>
        <w:t>“parlous financial circumstances</w:t>
      </w:r>
      <w:r w:rsidR="00D9727C" w:rsidRPr="00CA69BE">
        <w:rPr>
          <w:rFonts w:ascii="Arial" w:hAnsi="Arial" w:cs="Arial"/>
          <w:i/>
          <w:iCs/>
          <w:sz w:val="24"/>
          <w:szCs w:val="24"/>
        </w:rPr>
        <w:t>”</w:t>
      </w:r>
      <w:r w:rsidR="009B7859" w:rsidRPr="00CA69BE">
        <w:rPr>
          <w:rFonts w:ascii="Arial" w:hAnsi="Arial" w:cs="Arial"/>
          <w:sz w:val="24"/>
          <w:szCs w:val="24"/>
        </w:rPr>
        <w:t xml:space="preserve"> and his action was </w:t>
      </w:r>
      <w:r w:rsidR="0088386C" w:rsidRPr="00CA69BE">
        <w:rPr>
          <w:rFonts w:ascii="Arial" w:hAnsi="Arial" w:cs="Arial"/>
          <w:sz w:val="24"/>
          <w:szCs w:val="24"/>
        </w:rPr>
        <w:t xml:space="preserve">taken </w:t>
      </w:r>
      <w:r w:rsidR="009B7859" w:rsidRPr="00CA69BE">
        <w:rPr>
          <w:rFonts w:ascii="Arial" w:hAnsi="Arial" w:cs="Arial"/>
          <w:sz w:val="24"/>
          <w:szCs w:val="24"/>
        </w:rPr>
        <w:t xml:space="preserve">to </w:t>
      </w:r>
      <w:r w:rsidR="00473EBA" w:rsidRPr="00CA69BE">
        <w:rPr>
          <w:rFonts w:ascii="Arial" w:hAnsi="Arial" w:cs="Arial"/>
          <w:sz w:val="24"/>
          <w:szCs w:val="24"/>
        </w:rPr>
        <w:t xml:space="preserve">ensure it had the </w:t>
      </w:r>
      <w:r w:rsidR="009B7859" w:rsidRPr="00CA69BE">
        <w:rPr>
          <w:rFonts w:ascii="Arial" w:hAnsi="Arial" w:cs="Arial"/>
          <w:sz w:val="24"/>
          <w:szCs w:val="24"/>
        </w:rPr>
        <w:t xml:space="preserve">funds </w:t>
      </w:r>
      <w:r w:rsidR="00645FBC" w:rsidRPr="00CA69BE">
        <w:rPr>
          <w:rFonts w:ascii="Arial" w:hAnsi="Arial" w:cs="Arial"/>
          <w:sz w:val="24"/>
          <w:szCs w:val="24"/>
        </w:rPr>
        <w:t xml:space="preserve">to </w:t>
      </w:r>
      <w:r w:rsidR="009B7859" w:rsidRPr="00CA69BE">
        <w:rPr>
          <w:rFonts w:ascii="Arial" w:hAnsi="Arial" w:cs="Arial"/>
          <w:sz w:val="24"/>
          <w:szCs w:val="24"/>
        </w:rPr>
        <w:t>meet some of its immediate debts.</w:t>
      </w:r>
    </w:p>
    <w:p w14:paraId="30825992" w14:textId="12DA40DC" w:rsidR="006A031C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[15]</w:t>
      </w:r>
      <w:r>
        <w:rPr>
          <w:rFonts w:ascii="Arial" w:hAnsi="Arial" w:cs="Arial"/>
          <w:sz w:val="24"/>
          <w:szCs w:val="24"/>
        </w:rPr>
        <w:tab/>
      </w:r>
      <w:r w:rsidR="003E0142" w:rsidRPr="00CA69BE">
        <w:rPr>
          <w:rFonts w:ascii="Arial" w:hAnsi="Arial" w:cs="Arial"/>
          <w:sz w:val="24"/>
          <w:szCs w:val="24"/>
        </w:rPr>
        <w:t xml:space="preserve">The </w:t>
      </w:r>
      <w:r w:rsidR="009B7859" w:rsidRPr="00CA69BE">
        <w:rPr>
          <w:rFonts w:ascii="Arial" w:hAnsi="Arial" w:cs="Arial"/>
          <w:sz w:val="24"/>
          <w:szCs w:val="24"/>
        </w:rPr>
        <w:t xml:space="preserve">cancellation instruction </w:t>
      </w:r>
      <w:r w:rsidR="003E0142" w:rsidRPr="00CA69BE">
        <w:rPr>
          <w:rFonts w:ascii="Arial" w:hAnsi="Arial" w:cs="Arial"/>
          <w:sz w:val="24"/>
          <w:szCs w:val="24"/>
        </w:rPr>
        <w:t xml:space="preserve">had been issued </w:t>
      </w:r>
      <w:r w:rsidR="0054311A" w:rsidRPr="00CA69BE">
        <w:rPr>
          <w:rFonts w:ascii="Arial" w:hAnsi="Arial" w:cs="Arial"/>
          <w:sz w:val="24"/>
          <w:szCs w:val="24"/>
        </w:rPr>
        <w:t>prior to the date that the</w:t>
      </w:r>
      <w:r w:rsidR="009109FC" w:rsidRPr="00CA69BE">
        <w:rPr>
          <w:rFonts w:ascii="Arial" w:hAnsi="Arial" w:cs="Arial"/>
          <w:sz w:val="24"/>
          <w:szCs w:val="24"/>
        </w:rPr>
        <w:t xml:space="preserve"> </w:t>
      </w:r>
      <w:r w:rsidR="009109FC" w:rsidRPr="00CA69BE">
        <w:rPr>
          <w:rFonts w:ascii="Arial" w:hAnsi="Arial" w:cs="Arial"/>
          <w:i/>
          <w:iCs/>
          <w:sz w:val="24"/>
          <w:szCs w:val="24"/>
        </w:rPr>
        <w:t>ex</w:t>
      </w:r>
      <w:r w:rsidR="00024725" w:rsidRPr="00CA69BE">
        <w:rPr>
          <w:rFonts w:ascii="Arial" w:hAnsi="Arial" w:cs="Arial"/>
          <w:i/>
          <w:iCs/>
          <w:sz w:val="24"/>
          <w:szCs w:val="24"/>
        </w:rPr>
        <w:t xml:space="preserve"> parte</w:t>
      </w:r>
      <w:r w:rsidR="0054311A" w:rsidRPr="00CA69BE">
        <w:rPr>
          <w:rFonts w:ascii="Arial" w:hAnsi="Arial" w:cs="Arial"/>
          <w:i/>
          <w:iCs/>
          <w:sz w:val="24"/>
          <w:szCs w:val="24"/>
        </w:rPr>
        <w:t xml:space="preserve"> </w:t>
      </w:r>
      <w:r w:rsidR="0054311A" w:rsidRPr="00CA69BE">
        <w:rPr>
          <w:rFonts w:ascii="Arial" w:hAnsi="Arial" w:cs="Arial"/>
          <w:sz w:val="24"/>
          <w:szCs w:val="24"/>
        </w:rPr>
        <w:t xml:space="preserve">application had been sought. To put it plainly had the application not been brought </w:t>
      </w:r>
      <w:r w:rsidR="0054311A" w:rsidRPr="00CA69BE">
        <w:rPr>
          <w:rFonts w:ascii="Arial" w:hAnsi="Arial" w:cs="Arial"/>
          <w:i/>
          <w:iCs/>
          <w:sz w:val="24"/>
          <w:szCs w:val="24"/>
        </w:rPr>
        <w:t>ex parte</w:t>
      </w:r>
      <w:r w:rsidR="0054311A" w:rsidRPr="00CA69BE">
        <w:rPr>
          <w:rFonts w:ascii="Arial" w:hAnsi="Arial" w:cs="Arial"/>
          <w:sz w:val="24"/>
          <w:szCs w:val="24"/>
        </w:rPr>
        <w:t xml:space="preserve"> </w:t>
      </w:r>
      <w:r w:rsidR="00CA1887" w:rsidRPr="00CA69BE">
        <w:rPr>
          <w:rFonts w:ascii="Arial" w:hAnsi="Arial" w:cs="Arial"/>
          <w:sz w:val="24"/>
          <w:szCs w:val="24"/>
        </w:rPr>
        <w:t xml:space="preserve">this fact would have been revealed to the court and an important factual plank </w:t>
      </w:r>
      <w:r w:rsidR="00E066C5" w:rsidRPr="00CA69BE">
        <w:rPr>
          <w:rFonts w:ascii="Arial" w:hAnsi="Arial" w:cs="Arial"/>
          <w:sz w:val="24"/>
          <w:szCs w:val="24"/>
        </w:rPr>
        <w:t xml:space="preserve">underpinning </w:t>
      </w:r>
      <w:r w:rsidR="00CA1887" w:rsidRPr="00CA69BE">
        <w:rPr>
          <w:rFonts w:ascii="Arial" w:hAnsi="Arial" w:cs="Arial"/>
          <w:sz w:val="24"/>
          <w:szCs w:val="24"/>
        </w:rPr>
        <w:t xml:space="preserve">the </w:t>
      </w:r>
      <w:r w:rsidR="00CA1887" w:rsidRPr="00CA69BE">
        <w:rPr>
          <w:rFonts w:ascii="Arial" w:hAnsi="Arial" w:cs="Arial"/>
          <w:i/>
          <w:iCs/>
          <w:sz w:val="24"/>
          <w:szCs w:val="24"/>
        </w:rPr>
        <w:t>ex parte</w:t>
      </w:r>
      <w:r w:rsidR="00CA1887" w:rsidRPr="00CA69BE">
        <w:rPr>
          <w:rFonts w:ascii="Arial" w:hAnsi="Arial" w:cs="Arial"/>
          <w:sz w:val="24"/>
          <w:szCs w:val="24"/>
        </w:rPr>
        <w:t xml:space="preserve"> application would have be</w:t>
      </w:r>
      <w:r w:rsidR="00DC455A" w:rsidRPr="00CA69BE">
        <w:rPr>
          <w:rFonts w:ascii="Arial" w:hAnsi="Arial" w:cs="Arial"/>
          <w:sz w:val="24"/>
          <w:szCs w:val="24"/>
        </w:rPr>
        <w:t>en dismantled.  This is the real objection to Crowd Tech</w:t>
      </w:r>
      <w:r w:rsidR="00AC05A1" w:rsidRPr="00CA69BE">
        <w:rPr>
          <w:rFonts w:ascii="Arial" w:hAnsi="Arial" w:cs="Arial"/>
          <w:sz w:val="24"/>
          <w:szCs w:val="24"/>
        </w:rPr>
        <w:t>’s</w:t>
      </w:r>
      <w:r w:rsidR="00DC455A" w:rsidRPr="00CA69BE">
        <w:rPr>
          <w:rFonts w:ascii="Arial" w:hAnsi="Arial" w:cs="Arial"/>
          <w:sz w:val="24"/>
          <w:szCs w:val="24"/>
        </w:rPr>
        <w:t xml:space="preserve"> reliance on the</w:t>
      </w:r>
      <w:r w:rsidR="00CD7855" w:rsidRPr="00CA69BE">
        <w:rPr>
          <w:rFonts w:ascii="Arial" w:hAnsi="Arial" w:cs="Arial"/>
          <w:sz w:val="24"/>
          <w:szCs w:val="24"/>
        </w:rPr>
        <w:t xml:space="preserve"> Trade Confirmation</w:t>
      </w:r>
      <w:r w:rsidR="000360F0" w:rsidRPr="00CA69BE">
        <w:rPr>
          <w:rFonts w:ascii="Arial" w:hAnsi="Arial" w:cs="Arial"/>
          <w:sz w:val="24"/>
          <w:szCs w:val="24"/>
        </w:rPr>
        <w:t xml:space="preserve">. Less because it was illegally obtained or </w:t>
      </w:r>
      <w:r w:rsidR="003F6284" w:rsidRPr="00CA69BE">
        <w:rPr>
          <w:rFonts w:ascii="Arial" w:hAnsi="Arial" w:cs="Arial"/>
          <w:sz w:val="24"/>
          <w:szCs w:val="24"/>
        </w:rPr>
        <w:t xml:space="preserve">constituted </w:t>
      </w:r>
      <w:r w:rsidR="000360F0" w:rsidRPr="00CA69BE">
        <w:rPr>
          <w:rFonts w:ascii="Arial" w:hAnsi="Arial" w:cs="Arial"/>
          <w:sz w:val="24"/>
          <w:szCs w:val="24"/>
        </w:rPr>
        <w:t>hearsay</w:t>
      </w:r>
      <w:r w:rsidR="003F6284" w:rsidRPr="00CA69BE">
        <w:rPr>
          <w:rFonts w:ascii="Arial" w:hAnsi="Arial" w:cs="Arial"/>
          <w:sz w:val="24"/>
          <w:szCs w:val="24"/>
        </w:rPr>
        <w:t>,</w:t>
      </w:r>
      <w:r w:rsidR="000360F0" w:rsidRPr="00CA69BE">
        <w:rPr>
          <w:rFonts w:ascii="Arial" w:hAnsi="Arial" w:cs="Arial"/>
          <w:sz w:val="24"/>
          <w:szCs w:val="24"/>
        </w:rPr>
        <w:t xml:space="preserve"> but because it was unreliable </w:t>
      </w:r>
      <w:r w:rsidR="00611DC8" w:rsidRPr="00CA69BE">
        <w:rPr>
          <w:rFonts w:ascii="Arial" w:hAnsi="Arial" w:cs="Arial"/>
          <w:sz w:val="24"/>
          <w:szCs w:val="24"/>
        </w:rPr>
        <w:t xml:space="preserve">and hence </w:t>
      </w:r>
      <w:r w:rsidR="00B7099A" w:rsidRPr="00CA69BE">
        <w:rPr>
          <w:rFonts w:ascii="Arial" w:hAnsi="Arial" w:cs="Arial"/>
          <w:sz w:val="24"/>
          <w:szCs w:val="24"/>
        </w:rPr>
        <w:t xml:space="preserve">tempting as it was for </w:t>
      </w:r>
      <w:r w:rsidR="00AE5AB7" w:rsidRPr="00CA69BE">
        <w:rPr>
          <w:rFonts w:ascii="Arial" w:hAnsi="Arial" w:cs="Arial"/>
          <w:sz w:val="24"/>
          <w:szCs w:val="24"/>
        </w:rPr>
        <w:t xml:space="preserve">an applicant in a freezing </w:t>
      </w:r>
      <w:r w:rsidR="003F6284" w:rsidRPr="00CA69BE">
        <w:rPr>
          <w:rFonts w:ascii="Arial" w:hAnsi="Arial" w:cs="Arial"/>
          <w:sz w:val="24"/>
          <w:szCs w:val="24"/>
        </w:rPr>
        <w:t>application</w:t>
      </w:r>
      <w:r w:rsidR="00AE5AB7" w:rsidRPr="00CA69BE">
        <w:rPr>
          <w:rFonts w:ascii="Arial" w:hAnsi="Arial" w:cs="Arial"/>
          <w:sz w:val="24"/>
          <w:szCs w:val="24"/>
        </w:rPr>
        <w:t xml:space="preserve"> to rely on it – it was reckless to do so</w:t>
      </w:r>
      <w:r w:rsidR="00CA0D5B" w:rsidRPr="00CA69BE">
        <w:rPr>
          <w:rFonts w:ascii="Arial" w:hAnsi="Arial" w:cs="Arial"/>
          <w:sz w:val="24"/>
          <w:szCs w:val="24"/>
        </w:rPr>
        <w:t>,</w:t>
      </w:r>
      <w:r w:rsidR="00AE5AB7" w:rsidRPr="00CA69BE">
        <w:rPr>
          <w:rFonts w:ascii="Arial" w:hAnsi="Arial" w:cs="Arial"/>
          <w:sz w:val="24"/>
          <w:szCs w:val="24"/>
        </w:rPr>
        <w:t xml:space="preserve"> </w:t>
      </w:r>
      <w:r w:rsidR="00A12B59" w:rsidRPr="00CA69BE">
        <w:rPr>
          <w:rFonts w:ascii="Arial" w:hAnsi="Arial" w:cs="Arial"/>
          <w:sz w:val="24"/>
          <w:szCs w:val="24"/>
        </w:rPr>
        <w:t>when either it did not have the full context</w:t>
      </w:r>
      <w:r w:rsidR="00B430D0" w:rsidRPr="00CA69BE">
        <w:rPr>
          <w:rFonts w:ascii="Arial" w:hAnsi="Arial" w:cs="Arial"/>
          <w:sz w:val="24"/>
          <w:szCs w:val="24"/>
        </w:rPr>
        <w:t>,</w:t>
      </w:r>
      <w:r w:rsidR="00A12B59" w:rsidRPr="00CA69BE">
        <w:rPr>
          <w:rFonts w:ascii="Arial" w:hAnsi="Arial" w:cs="Arial"/>
          <w:sz w:val="24"/>
          <w:szCs w:val="24"/>
        </w:rPr>
        <w:t xml:space="preserve"> or if it did not</w:t>
      </w:r>
      <w:r w:rsidR="002F0DAE" w:rsidRPr="00CA69BE">
        <w:rPr>
          <w:rFonts w:ascii="Arial" w:hAnsi="Arial" w:cs="Arial"/>
          <w:sz w:val="24"/>
          <w:szCs w:val="24"/>
        </w:rPr>
        <w:t>,</w:t>
      </w:r>
      <w:r w:rsidR="00A12B59" w:rsidRPr="00CA69BE">
        <w:rPr>
          <w:rFonts w:ascii="Arial" w:hAnsi="Arial" w:cs="Arial"/>
          <w:sz w:val="24"/>
          <w:szCs w:val="24"/>
        </w:rPr>
        <w:t xml:space="preserve"> </w:t>
      </w:r>
      <w:r w:rsidR="001C10F7" w:rsidRPr="00CA69BE">
        <w:rPr>
          <w:rFonts w:ascii="Arial" w:hAnsi="Arial" w:cs="Arial"/>
          <w:sz w:val="24"/>
          <w:szCs w:val="24"/>
        </w:rPr>
        <w:t xml:space="preserve">by denying </w:t>
      </w:r>
      <w:proofErr w:type="spellStart"/>
      <w:r w:rsidR="00B430D0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B430D0" w:rsidRPr="00CA69BE">
        <w:rPr>
          <w:rFonts w:ascii="Arial" w:hAnsi="Arial" w:cs="Arial"/>
          <w:sz w:val="24"/>
          <w:szCs w:val="24"/>
        </w:rPr>
        <w:t xml:space="preserve"> </w:t>
      </w:r>
      <w:r w:rsidR="00A12B59" w:rsidRPr="00CA69BE">
        <w:rPr>
          <w:rFonts w:ascii="Arial" w:hAnsi="Arial" w:cs="Arial"/>
          <w:sz w:val="24"/>
          <w:szCs w:val="24"/>
        </w:rPr>
        <w:t xml:space="preserve">an </w:t>
      </w:r>
      <w:r w:rsidR="004454E7" w:rsidRPr="00CA69BE">
        <w:rPr>
          <w:rFonts w:ascii="Arial" w:hAnsi="Arial" w:cs="Arial"/>
          <w:sz w:val="24"/>
          <w:szCs w:val="24"/>
        </w:rPr>
        <w:t>opportunity</w:t>
      </w:r>
      <w:r w:rsidR="001C10F7" w:rsidRPr="00CA69BE">
        <w:rPr>
          <w:rFonts w:ascii="Arial" w:hAnsi="Arial" w:cs="Arial"/>
          <w:sz w:val="24"/>
          <w:szCs w:val="24"/>
        </w:rPr>
        <w:t xml:space="preserve"> to offer an</w:t>
      </w:r>
      <w:r w:rsidR="00A12B59" w:rsidRPr="00CA69BE">
        <w:rPr>
          <w:rFonts w:ascii="Arial" w:hAnsi="Arial" w:cs="Arial"/>
          <w:sz w:val="24"/>
          <w:szCs w:val="24"/>
        </w:rPr>
        <w:t xml:space="preserve"> explanation. </w:t>
      </w:r>
      <w:r w:rsidR="00BE722E" w:rsidRPr="00CA69BE">
        <w:rPr>
          <w:rFonts w:ascii="Arial" w:hAnsi="Arial" w:cs="Arial"/>
          <w:sz w:val="24"/>
          <w:szCs w:val="24"/>
        </w:rPr>
        <w:t>If he</w:t>
      </w:r>
      <w:r w:rsidR="009C7D8D" w:rsidRPr="00CA69BE">
        <w:rPr>
          <w:rFonts w:ascii="Arial" w:hAnsi="Arial" w:cs="Arial"/>
          <w:sz w:val="24"/>
          <w:szCs w:val="24"/>
        </w:rPr>
        <w:t xml:space="preserve"> had </w:t>
      </w:r>
      <w:r w:rsidR="00140CF0" w:rsidRPr="00CA69BE">
        <w:rPr>
          <w:rFonts w:ascii="Arial" w:hAnsi="Arial" w:cs="Arial"/>
          <w:sz w:val="24"/>
          <w:szCs w:val="24"/>
        </w:rPr>
        <w:t xml:space="preserve">been able to file an answer undoubtedly this fact would have been brought to the court’s attention and </w:t>
      </w:r>
      <w:r w:rsidR="00E14F16" w:rsidRPr="00CA69BE">
        <w:rPr>
          <w:rFonts w:ascii="Arial" w:hAnsi="Arial" w:cs="Arial"/>
          <w:sz w:val="24"/>
          <w:szCs w:val="24"/>
        </w:rPr>
        <w:t xml:space="preserve">so </w:t>
      </w:r>
      <w:r w:rsidR="007836DC" w:rsidRPr="00CA69BE">
        <w:rPr>
          <w:rFonts w:ascii="Arial" w:hAnsi="Arial" w:cs="Arial"/>
          <w:sz w:val="24"/>
          <w:szCs w:val="24"/>
        </w:rPr>
        <w:t xml:space="preserve">the most important </w:t>
      </w:r>
      <w:r w:rsidR="00E1071D" w:rsidRPr="00CA69BE">
        <w:rPr>
          <w:rFonts w:ascii="Arial" w:hAnsi="Arial" w:cs="Arial"/>
          <w:sz w:val="24"/>
          <w:szCs w:val="24"/>
        </w:rPr>
        <w:t xml:space="preserve">piece of evidence suggesting </w:t>
      </w:r>
      <w:proofErr w:type="spellStart"/>
      <w:r w:rsidR="00E1071D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E1071D" w:rsidRPr="00CA69BE">
        <w:rPr>
          <w:rFonts w:ascii="Arial" w:hAnsi="Arial" w:cs="Arial"/>
          <w:sz w:val="24"/>
          <w:szCs w:val="24"/>
        </w:rPr>
        <w:t xml:space="preserve"> </w:t>
      </w:r>
      <w:r w:rsidR="00E1071D" w:rsidRPr="00CA69BE">
        <w:rPr>
          <w:rFonts w:ascii="Arial" w:hAnsi="Arial" w:cs="Arial"/>
          <w:sz w:val="24"/>
          <w:szCs w:val="24"/>
        </w:rPr>
        <w:lastRenderedPageBreak/>
        <w:t xml:space="preserve">was guilty of </w:t>
      </w:r>
      <w:r w:rsidR="004454E7" w:rsidRPr="00CA69BE">
        <w:rPr>
          <w:rFonts w:ascii="Arial" w:hAnsi="Arial" w:cs="Arial"/>
          <w:sz w:val="24"/>
          <w:szCs w:val="24"/>
        </w:rPr>
        <w:t>misappropriation</w:t>
      </w:r>
      <w:r w:rsidR="00E14F16" w:rsidRPr="00CA69BE">
        <w:rPr>
          <w:rFonts w:ascii="Arial" w:hAnsi="Arial" w:cs="Arial"/>
          <w:sz w:val="24"/>
          <w:szCs w:val="24"/>
        </w:rPr>
        <w:t>,</w:t>
      </w:r>
      <w:r w:rsidR="00E1071D" w:rsidRPr="00CA69BE">
        <w:rPr>
          <w:rFonts w:ascii="Arial" w:hAnsi="Arial" w:cs="Arial"/>
          <w:sz w:val="24"/>
          <w:szCs w:val="24"/>
        </w:rPr>
        <w:t xml:space="preserve"> would have been negated</w:t>
      </w:r>
      <w:r w:rsidR="00E14F16" w:rsidRPr="00CA69BE">
        <w:rPr>
          <w:rFonts w:ascii="Arial" w:hAnsi="Arial" w:cs="Arial"/>
          <w:sz w:val="24"/>
          <w:szCs w:val="24"/>
        </w:rPr>
        <w:t>,</w:t>
      </w:r>
      <w:r w:rsidR="00E1071D" w:rsidRPr="00CA69BE">
        <w:rPr>
          <w:rFonts w:ascii="Arial" w:hAnsi="Arial" w:cs="Arial"/>
          <w:sz w:val="24"/>
          <w:szCs w:val="24"/>
        </w:rPr>
        <w:t xml:space="preserve"> and </w:t>
      </w:r>
      <w:r w:rsidR="004172E6" w:rsidRPr="00CA69BE">
        <w:rPr>
          <w:rFonts w:ascii="Arial" w:hAnsi="Arial" w:cs="Arial"/>
          <w:sz w:val="24"/>
          <w:szCs w:val="24"/>
        </w:rPr>
        <w:t xml:space="preserve">hence </w:t>
      </w:r>
      <w:r w:rsidR="00E1071D" w:rsidRPr="00CA69BE">
        <w:rPr>
          <w:rFonts w:ascii="Arial" w:hAnsi="Arial" w:cs="Arial"/>
          <w:sz w:val="24"/>
          <w:szCs w:val="24"/>
        </w:rPr>
        <w:t>it is unlikely that the freezing order would have been granted.</w:t>
      </w:r>
    </w:p>
    <w:p w14:paraId="21C77C1C" w14:textId="651804F0" w:rsidR="005C5004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[16]</w:t>
      </w:r>
      <w:r>
        <w:rPr>
          <w:rFonts w:ascii="Arial" w:hAnsi="Arial" w:cs="Arial"/>
          <w:sz w:val="24"/>
          <w:szCs w:val="24"/>
        </w:rPr>
        <w:tab/>
      </w:r>
      <w:r w:rsidR="004B2B4C" w:rsidRPr="00CA69BE">
        <w:rPr>
          <w:rFonts w:ascii="Arial" w:hAnsi="Arial" w:cs="Arial"/>
          <w:sz w:val="24"/>
          <w:szCs w:val="24"/>
        </w:rPr>
        <w:t xml:space="preserve">But this was not the only problem with the application. </w:t>
      </w:r>
      <w:r w:rsidR="00897CEF" w:rsidRPr="00CA69BE">
        <w:rPr>
          <w:rFonts w:ascii="Arial" w:hAnsi="Arial" w:cs="Arial"/>
          <w:sz w:val="24"/>
          <w:szCs w:val="24"/>
        </w:rPr>
        <w:t xml:space="preserve">The </w:t>
      </w:r>
      <w:r w:rsidR="001B6CA3" w:rsidRPr="00CA69BE">
        <w:rPr>
          <w:rFonts w:ascii="Arial" w:hAnsi="Arial" w:cs="Arial"/>
          <w:sz w:val="24"/>
          <w:szCs w:val="24"/>
        </w:rPr>
        <w:t xml:space="preserve">most egregious </w:t>
      </w:r>
      <w:r w:rsidR="0063377E" w:rsidRPr="00CA69BE">
        <w:rPr>
          <w:rFonts w:ascii="Arial" w:hAnsi="Arial" w:cs="Arial"/>
          <w:sz w:val="24"/>
          <w:szCs w:val="24"/>
        </w:rPr>
        <w:t xml:space="preserve">non-disclosure concerned </w:t>
      </w:r>
      <w:r w:rsidR="001E014A" w:rsidRPr="00CA69BE">
        <w:rPr>
          <w:rFonts w:ascii="Arial" w:hAnsi="Arial" w:cs="Arial"/>
          <w:sz w:val="24"/>
          <w:szCs w:val="24"/>
        </w:rPr>
        <w:t xml:space="preserve">the </w:t>
      </w:r>
      <w:r w:rsidR="00B25EDB" w:rsidRPr="00CA69BE">
        <w:rPr>
          <w:rFonts w:ascii="Arial" w:hAnsi="Arial" w:cs="Arial"/>
          <w:sz w:val="24"/>
          <w:szCs w:val="24"/>
        </w:rPr>
        <w:t>allegation</w:t>
      </w:r>
      <w:r w:rsidR="001E014A" w:rsidRPr="00CA69BE">
        <w:rPr>
          <w:rFonts w:ascii="Arial" w:hAnsi="Arial" w:cs="Arial"/>
          <w:sz w:val="24"/>
          <w:szCs w:val="24"/>
        </w:rPr>
        <w:t xml:space="preserve"> that </w:t>
      </w:r>
      <w:proofErr w:type="spellStart"/>
      <w:r w:rsidR="001E014A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1E014A" w:rsidRPr="00CA69BE">
        <w:rPr>
          <w:rFonts w:ascii="Arial" w:hAnsi="Arial" w:cs="Arial"/>
          <w:sz w:val="24"/>
          <w:szCs w:val="24"/>
        </w:rPr>
        <w:t xml:space="preserve"> had not paid the moneys over to the </w:t>
      </w:r>
      <w:r w:rsidR="00E7530B" w:rsidRPr="00CA69BE">
        <w:rPr>
          <w:rFonts w:ascii="Arial" w:hAnsi="Arial" w:cs="Arial"/>
          <w:sz w:val="24"/>
          <w:szCs w:val="24"/>
        </w:rPr>
        <w:t>investors and when called u</w:t>
      </w:r>
      <w:r w:rsidR="0063377E" w:rsidRPr="00CA69BE">
        <w:rPr>
          <w:rFonts w:ascii="Arial" w:hAnsi="Arial" w:cs="Arial"/>
          <w:sz w:val="24"/>
          <w:szCs w:val="24"/>
        </w:rPr>
        <w:t>pon to explain why he had not done so</w:t>
      </w:r>
      <w:r w:rsidR="002271E1" w:rsidRPr="00CA69BE">
        <w:rPr>
          <w:rFonts w:ascii="Arial" w:hAnsi="Arial" w:cs="Arial"/>
          <w:sz w:val="24"/>
          <w:szCs w:val="24"/>
        </w:rPr>
        <w:t>;</w:t>
      </w:r>
      <w:r w:rsidR="0063377E" w:rsidRPr="00CA69BE">
        <w:rPr>
          <w:rFonts w:ascii="Arial" w:hAnsi="Arial" w:cs="Arial"/>
          <w:sz w:val="24"/>
          <w:szCs w:val="24"/>
        </w:rPr>
        <w:t xml:space="preserve"> he had remained silent. </w:t>
      </w:r>
      <w:r w:rsidR="00295612" w:rsidRPr="00CA69BE">
        <w:rPr>
          <w:rFonts w:ascii="Arial" w:hAnsi="Arial" w:cs="Arial"/>
          <w:sz w:val="24"/>
          <w:szCs w:val="24"/>
        </w:rPr>
        <w:t xml:space="preserve">But </w:t>
      </w:r>
      <w:proofErr w:type="spellStart"/>
      <w:r w:rsidR="00295612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295612" w:rsidRPr="00CA69BE">
        <w:rPr>
          <w:rFonts w:ascii="Arial" w:hAnsi="Arial" w:cs="Arial"/>
          <w:sz w:val="24"/>
          <w:szCs w:val="24"/>
        </w:rPr>
        <w:t xml:space="preserve"> </w:t>
      </w:r>
      <w:r w:rsidR="002271E1" w:rsidRPr="00CA69BE">
        <w:rPr>
          <w:rFonts w:ascii="Arial" w:hAnsi="Arial" w:cs="Arial"/>
          <w:sz w:val="24"/>
          <w:szCs w:val="24"/>
        </w:rPr>
        <w:t>had not been silent. In fact</w:t>
      </w:r>
      <w:r w:rsidR="009B366E" w:rsidRPr="00CA69BE">
        <w:rPr>
          <w:rFonts w:ascii="Arial" w:hAnsi="Arial" w:cs="Arial"/>
          <w:sz w:val="24"/>
          <w:szCs w:val="24"/>
        </w:rPr>
        <w:t>,</w:t>
      </w:r>
      <w:r w:rsidR="002271E1" w:rsidRPr="00CA69BE">
        <w:rPr>
          <w:rFonts w:ascii="Arial" w:hAnsi="Arial" w:cs="Arial"/>
          <w:sz w:val="24"/>
          <w:szCs w:val="24"/>
        </w:rPr>
        <w:t xml:space="preserve"> he </w:t>
      </w:r>
      <w:r w:rsidR="00975815" w:rsidRPr="00CA69BE">
        <w:rPr>
          <w:rFonts w:ascii="Arial" w:hAnsi="Arial" w:cs="Arial"/>
          <w:sz w:val="24"/>
          <w:szCs w:val="24"/>
        </w:rPr>
        <w:t xml:space="preserve">had been in contact with an </w:t>
      </w:r>
      <w:r w:rsidR="009B366E" w:rsidRPr="00CA69BE">
        <w:rPr>
          <w:rFonts w:ascii="Arial" w:hAnsi="Arial" w:cs="Arial"/>
          <w:sz w:val="24"/>
          <w:szCs w:val="24"/>
        </w:rPr>
        <w:t xml:space="preserve">internal </w:t>
      </w:r>
      <w:r w:rsidR="00975815" w:rsidRPr="00CA69BE">
        <w:rPr>
          <w:rFonts w:ascii="Arial" w:hAnsi="Arial" w:cs="Arial"/>
          <w:sz w:val="24"/>
          <w:szCs w:val="24"/>
        </w:rPr>
        <w:t xml:space="preserve">auditor for Crowd Tech and had explained to him that he needed to know who the owners of the funds were in order to pay </w:t>
      </w:r>
      <w:r w:rsidR="00BD712B" w:rsidRPr="00CA69BE">
        <w:rPr>
          <w:rFonts w:ascii="Arial" w:hAnsi="Arial" w:cs="Arial"/>
          <w:sz w:val="24"/>
          <w:szCs w:val="24"/>
        </w:rPr>
        <w:t xml:space="preserve">the moneys out as part of compliance with FICA regulations. He had made it clear that because </w:t>
      </w:r>
      <w:r w:rsidR="00B3683E" w:rsidRPr="00CA69BE">
        <w:rPr>
          <w:rFonts w:ascii="Arial" w:hAnsi="Arial" w:cs="Arial"/>
          <w:sz w:val="24"/>
          <w:szCs w:val="24"/>
        </w:rPr>
        <w:t xml:space="preserve">of regulatory requirements he could not </w:t>
      </w:r>
      <w:r w:rsidR="00486E86" w:rsidRPr="00CA69BE">
        <w:rPr>
          <w:rFonts w:ascii="Arial" w:hAnsi="Arial" w:cs="Arial"/>
          <w:sz w:val="24"/>
          <w:szCs w:val="24"/>
        </w:rPr>
        <w:t xml:space="preserve">pay out the monies until he had this information. </w:t>
      </w:r>
      <w:proofErr w:type="spellStart"/>
      <w:r w:rsidR="00486E86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486E86" w:rsidRPr="00CA69BE">
        <w:rPr>
          <w:rFonts w:ascii="Arial" w:hAnsi="Arial" w:cs="Arial"/>
          <w:sz w:val="24"/>
          <w:szCs w:val="24"/>
        </w:rPr>
        <w:t xml:space="preserve"> had corresponded with the</w:t>
      </w:r>
      <w:r w:rsidR="00293863" w:rsidRPr="00CA69BE">
        <w:rPr>
          <w:rFonts w:ascii="Arial" w:hAnsi="Arial" w:cs="Arial"/>
          <w:sz w:val="24"/>
          <w:szCs w:val="24"/>
        </w:rPr>
        <w:t xml:space="preserve"> internal</w:t>
      </w:r>
      <w:r w:rsidR="00486E86" w:rsidRPr="00CA69BE">
        <w:rPr>
          <w:rFonts w:ascii="Arial" w:hAnsi="Arial" w:cs="Arial"/>
          <w:sz w:val="24"/>
          <w:szCs w:val="24"/>
        </w:rPr>
        <w:t xml:space="preserve"> aud</w:t>
      </w:r>
      <w:r w:rsidR="00220B31" w:rsidRPr="00CA69BE">
        <w:rPr>
          <w:rFonts w:ascii="Arial" w:hAnsi="Arial" w:cs="Arial"/>
          <w:sz w:val="24"/>
          <w:szCs w:val="24"/>
        </w:rPr>
        <w:t>i</w:t>
      </w:r>
      <w:r w:rsidR="00486E86" w:rsidRPr="00CA69BE">
        <w:rPr>
          <w:rFonts w:ascii="Arial" w:hAnsi="Arial" w:cs="Arial"/>
          <w:sz w:val="24"/>
          <w:szCs w:val="24"/>
        </w:rPr>
        <w:t xml:space="preserve">tor </w:t>
      </w:r>
      <w:r w:rsidR="00E55492" w:rsidRPr="00CA69BE">
        <w:rPr>
          <w:rFonts w:ascii="Arial" w:hAnsi="Arial" w:cs="Arial"/>
          <w:sz w:val="24"/>
          <w:szCs w:val="24"/>
        </w:rPr>
        <w:t>using another email</w:t>
      </w:r>
      <w:r w:rsidR="00293863" w:rsidRPr="00CA69BE">
        <w:rPr>
          <w:rFonts w:ascii="Arial" w:hAnsi="Arial" w:cs="Arial"/>
          <w:sz w:val="24"/>
          <w:szCs w:val="24"/>
        </w:rPr>
        <w:t>,</w:t>
      </w:r>
      <w:r w:rsidR="00E55492" w:rsidRPr="00CA69BE">
        <w:rPr>
          <w:rFonts w:ascii="Arial" w:hAnsi="Arial" w:cs="Arial"/>
          <w:sz w:val="24"/>
          <w:szCs w:val="24"/>
        </w:rPr>
        <w:t xml:space="preserve"> not his </w:t>
      </w:r>
      <w:r w:rsidR="00BC2AE2" w:rsidRPr="00CA69BE">
        <w:rPr>
          <w:rFonts w:ascii="Arial" w:hAnsi="Arial" w:cs="Arial"/>
          <w:sz w:val="24"/>
          <w:szCs w:val="24"/>
        </w:rPr>
        <w:t>Cyber</w:t>
      </w:r>
      <w:r w:rsidR="00C83A82" w:rsidRPr="00CA69BE">
        <w:rPr>
          <w:rFonts w:ascii="Arial" w:hAnsi="Arial" w:cs="Arial"/>
          <w:sz w:val="24"/>
          <w:szCs w:val="24"/>
        </w:rPr>
        <w:t xml:space="preserve"> </w:t>
      </w:r>
      <w:r w:rsidR="00BC2AE2" w:rsidRPr="00CA69BE">
        <w:rPr>
          <w:rFonts w:ascii="Arial" w:hAnsi="Arial" w:cs="Arial"/>
          <w:sz w:val="24"/>
          <w:szCs w:val="24"/>
        </w:rPr>
        <w:t>email address</w:t>
      </w:r>
      <w:r w:rsidR="00293863" w:rsidRPr="00CA69BE">
        <w:rPr>
          <w:rFonts w:ascii="Arial" w:hAnsi="Arial" w:cs="Arial"/>
          <w:sz w:val="24"/>
          <w:szCs w:val="24"/>
        </w:rPr>
        <w:t>,</w:t>
      </w:r>
      <w:r w:rsidR="00BC2AE2" w:rsidRPr="00CA69BE">
        <w:rPr>
          <w:rFonts w:ascii="Arial" w:hAnsi="Arial" w:cs="Arial"/>
          <w:sz w:val="24"/>
          <w:szCs w:val="24"/>
        </w:rPr>
        <w:t xml:space="preserve"> which is the one Crowd Tech’s attorneys had used </w:t>
      </w:r>
      <w:r w:rsidR="002B3C88" w:rsidRPr="00CA69BE">
        <w:rPr>
          <w:rFonts w:ascii="Arial" w:hAnsi="Arial" w:cs="Arial"/>
          <w:sz w:val="24"/>
          <w:szCs w:val="24"/>
        </w:rPr>
        <w:t xml:space="preserve">to send their letter of demand. </w:t>
      </w:r>
    </w:p>
    <w:p w14:paraId="59AED9E5" w14:textId="3AF1DA45" w:rsidR="005E1A6F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[17]</w:t>
      </w:r>
      <w:r>
        <w:rPr>
          <w:rFonts w:ascii="Arial" w:hAnsi="Arial" w:cs="Arial"/>
          <w:sz w:val="24"/>
          <w:szCs w:val="24"/>
        </w:rPr>
        <w:tab/>
      </w:r>
      <w:r w:rsidR="002B3C88" w:rsidRPr="00CA69BE">
        <w:rPr>
          <w:rFonts w:ascii="Arial" w:hAnsi="Arial" w:cs="Arial"/>
          <w:sz w:val="24"/>
          <w:szCs w:val="24"/>
        </w:rPr>
        <w:t>Crowd Tech says it was entitled to</w:t>
      </w:r>
      <w:r w:rsidR="00D560B6" w:rsidRPr="00CA69BE">
        <w:rPr>
          <w:rFonts w:ascii="Arial" w:hAnsi="Arial" w:cs="Arial"/>
          <w:sz w:val="24"/>
          <w:szCs w:val="24"/>
        </w:rPr>
        <w:t xml:space="preserve"> use his Cyber email </w:t>
      </w:r>
      <w:r w:rsidR="002B3C88" w:rsidRPr="00CA69BE">
        <w:rPr>
          <w:rFonts w:ascii="Arial" w:hAnsi="Arial" w:cs="Arial"/>
          <w:sz w:val="24"/>
          <w:szCs w:val="24"/>
        </w:rPr>
        <w:t xml:space="preserve">because this was the email given by </w:t>
      </w:r>
      <w:proofErr w:type="spellStart"/>
      <w:r w:rsidR="002B3C88" w:rsidRPr="00CA69BE">
        <w:rPr>
          <w:rFonts w:ascii="Arial" w:hAnsi="Arial" w:cs="Arial"/>
          <w:sz w:val="24"/>
          <w:szCs w:val="24"/>
        </w:rPr>
        <w:t>Pr</w:t>
      </w:r>
      <w:r w:rsidR="0078020D" w:rsidRPr="00CA69BE">
        <w:rPr>
          <w:rFonts w:ascii="Arial" w:hAnsi="Arial" w:cs="Arial"/>
          <w:sz w:val="24"/>
          <w:szCs w:val="24"/>
        </w:rPr>
        <w:t>okas</w:t>
      </w:r>
      <w:proofErr w:type="spellEnd"/>
      <w:r w:rsidR="0078020D" w:rsidRPr="00CA69BE">
        <w:rPr>
          <w:rFonts w:ascii="Arial" w:hAnsi="Arial" w:cs="Arial"/>
          <w:sz w:val="24"/>
          <w:szCs w:val="24"/>
        </w:rPr>
        <w:t xml:space="preserve"> for all communications with the company in terms of the White Label agreement. This is correct</w:t>
      </w:r>
      <w:r w:rsidR="00A8015B" w:rsidRPr="00CA69BE">
        <w:rPr>
          <w:rFonts w:ascii="Arial" w:hAnsi="Arial" w:cs="Arial"/>
          <w:sz w:val="24"/>
          <w:szCs w:val="24"/>
        </w:rPr>
        <w:t>,</w:t>
      </w:r>
      <w:r w:rsidR="0078020D" w:rsidRPr="00CA69BE">
        <w:rPr>
          <w:rFonts w:ascii="Arial" w:hAnsi="Arial" w:cs="Arial"/>
          <w:sz w:val="24"/>
          <w:szCs w:val="24"/>
        </w:rPr>
        <w:t xml:space="preserve"> but if</w:t>
      </w:r>
      <w:r w:rsidR="00D560B6" w:rsidRPr="00CA69BE">
        <w:rPr>
          <w:rFonts w:ascii="Arial" w:hAnsi="Arial" w:cs="Arial"/>
          <w:sz w:val="24"/>
          <w:szCs w:val="24"/>
        </w:rPr>
        <w:t xml:space="preserve"> a representative of</w:t>
      </w:r>
      <w:r w:rsidR="0078020D" w:rsidRPr="00CA69BE">
        <w:rPr>
          <w:rFonts w:ascii="Arial" w:hAnsi="Arial" w:cs="Arial"/>
          <w:sz w:val="24"/>
          <w:szCs w:val="24"/>
        </w:rPr>
        <w:t xml:space="preserve"> Crowd Tech was in active communication with </w:t>
      </w:r>
      <w:proofErr w:type="spellStart"/>
      <w:r w:rsidR="008B60B9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8B60B9" w:rsidRPr="00CA69BE">
        <w:rPr>
          <w:rFonts w:ascii="Arial" w:hAnsi="Arial" w:cs="Arial"/>
          <w:sz w:val="24"/>
          <w:szCs w:val="24"/>
        </w:rPr>
        <w:t xml:space="preserve"> on his personal email why did they not make use of that</w:t>
      </w:r>
      <w:r w:rsidR="002564FF" w:rsidRPr="00CA69BE">
        <w:rPr>
          <w:rFonts w:ascii="Arial" w:hAnsi="Arial" w:cs="Arial"/>
          <w:sz w:val="24"/>
          <w:szCs w:val="24"/>
        </w:rPr>
        <w:t xml:space="preserve"> as well</w:t>
      </w:r>
      <w:r w:rsidR="008B60B9" w:rsidRPr="00CA69BE">
        <w:rPr>
          <w:rFonts w:ascii="Arial" w:hAnsi="Arial" w:cs="Arial"/>
          <w:sz w:val="24"/>
          <w:szCs w:val="24"/>
        </w:rPr>
        <w:t>.</w:t>
      </w:r>
    </w:p>
    <w:p w14:paraId="1F66DB9B" w14:textId="3231F332" w:rsidR="008B60B9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[18]</w:t>
      </w:r>
      <w:r>
        <w:rPr>
          <w:rFonts w:ascii="Arial" w:hAnsi="Arial" w:cs="Arial"/>
          <w:sz w:val="24"/>
          <w:szCs w:val="24"/>
        </w:rPr>
        <w:tab/>
      </w:r>
      <w:r w:rsidR="008B60B9" w:rsidRPr="00CA69BE">
        <w:rPr>
          <w:rFonts w:ascii="Arial" w:hAnsi="Arial" w:cs="Arial"/>
          <w:sz w:val="24"/>
          <w:szCs w:val="24"/>
        </w:rPr>
        <w:t xml:space="preserve">The only possible explanation </w:t>
      </w:r>
      <w:r w:rsidR="004E2572" w:rsidRPr="00CA69BE">
        <w:rPr>
          <w:rFonts w:ascii="Arial" w:hAnsi="Arial" w:cs="Arial"/>
          <w:sz w:val="24"/>
          <w:szCs w:val="24"/>
        </w:rPr>
        <w:t>for these failures is that</w:t>
      </w:r>
      <w:r w:rsidR="00DE15B9" w:rsidRPr="00CA69BE">
        <w:rPr>
          <w:rFonts w:ascii="Arial" w:hAnsi="Arial" w:cs="Arial"/>
          <w:sz w:val="24"/>
          <w:szCs w:val="24"/>
        </w:rPr>
        <w:t xml:space="preserve"> Mr</w:t>
      </w:r>
      <w:r w:rsidR="006C2B32" w:rsidRPr="00CA69BE">
        <w:rPr>
          <w:rFonts w:ascii="Arial" w:hAnsi="Arial" w:cs="Arial"/>
          <w:sz w:val="24"/>
          <w:szCs w:val="24"/>
        </w:rPr>
        <w:t>.</w:t>
      </w:r>
      <w:r w:rsidR="00DE15B9" w:rsidRPr="00CA69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5B9" w:rsidRPr="00CA69BE">
        <w:rPr>
          <w:rFonts w:ascii="Arial" w:hAnsi="Arial" w:cs="Arial"/>
          <w:sz w:val="24"/>
          <w:szCs w:val="24"/>
        </w:rPr>
        <w:t>Ag</w:t>
      </w:r>
      <w:r w:rsidR="00B24D8A" w:rsidRPr="00CA69BE">
        <w:rPr>
          <w:rFonts w:ascii="Arial" w:hAnsi="Arial" w:cs="Arial"/>
          <w:sz w:val="24"/>
          <w:szCs w:val="24"/>
        </w:rPr>
        <w:t>athocle</w:t>
      </w:r>
      <w:r w:rsidR="006C2B32" w:rsidRPr="00CA69BE">
        <w:rPr>
          <w:rFonts w:ascii="Arial" w:hAnsi="Arial" w:cs="Arial"/>
          <w:sz w:val="24"/>
          <w:szCs w:val="24"/>
        </w:rPr>
        <w:t>o</w:t>
      </w:r>
      <w:r w:rsidR="00B24D8A" w:rsidRPr="00CA69BE">
        <w:rPr>
          <w:rFonts w:ascii="Arial" w:hAnsi="Arial" w:cs="Arial"/>
          <w:sz w:val="24"/>
          <w:szCs w:val="24"/>
        </w:rPr>
        <w:t>us</w:t>
      </w:r>
      <w:proofErr w:type="spellEnd"/>
      <w:r w:rsidR="006C2B32" w:rsidRPr="00CA69BE">
        <w:rPr>
          <w:rFonts w:ascii="Arial" w:hAnsi="Arial" w:cs="Arial"/>
          <w:sz w:val="24"/>
          <w:szCs w:val="24"/>
        </w:rPr>
        <w:t>,</w:t>
      </w:r>
      <w:r w:rsidR="004E2572" w:rsidRPr="00CA69BE">
        <w:rPr>
          <w:rFonts w:ascii="Arial" w:hAnsi="Arial" w:cs="Arial"/>
          <w:sz w:val="24"/>
          <w:szCs w:val="24"/>
        </w:rPr>
        <w:t xml:space="preserve"> Crowd Tech</w:t>
      </w:r>
      <w:r w:rsidR="002564FF" w:rsidRPr="00CA69BE">
        <w:rPr>
          <w:rFonts w:ascii="Arial" w:hAnsi="Arial" w:cs="Arial"/>
          <w:sz w:val="24"/>
          <w:szCs w:val="24"/>
        </w:rPr>
        <w:t>’s</w:t>
      </w:r>
      <w:r w:rsidR="004E2572" w:rsidRPr="00CA69BE">
        <w:rPr>
          <w:rFonts w:ascii="Arial" w:hAnsi="Arial" w:cs="Arial"/>
          <w:sz w:val="24"/>
          <w:szCs w:val="24"/>
        </w:rPr>
        <w:t xml:space="preserve"> deponent to the founding affidavit</w:t>
      </w:r>
      <w:r w:rsidR="006C2B32" w:rsidRPr="00CA69BE">
        <w:rPr>
          <w:rFonts w:ascii="Arial" w:hAnsi="Arial" w:cs="Arial"/>
          <w:sz w:val="24"/>
          <w:szCs w:val="24"/>
        </w:rPr>
        <w:t>,</w:t>
      </w:r>
      <w:r w:rsidR="004E2572" w:rsidRPr="00CA69BE">
        <w:rPr>
          <w:rFonts w:ascii="Arial" w:hAnsi="Arial" w:cs="Arial"/>
          <w:sz w:val="24"/>
          <w:szCs w:val="24"/>
        </w:rPr>
        <w:t xml:space="preserve"> </w:t>
      </w:r>
      <w:r w:rsidR="00680455" w:rsidRPr="00CA69BE">
        <w:rPr>
          <w:rFonts w:ascii="Arial" w:hAnsi="Arial" w:cs="Arial"/>
          <w:sz w:val="24"/>
          <w:szCs w:val="24"/>
        </w:rPr>
        <w:t xml:space="preserve">was not aware of the communications with the </w:t>
      </w:r>
      <w:r w:rsidR="007448AC" w:rsidRPr="00CA69BE">
        <w:rPr>
          <w:rFonts w:ascii="Arial" w:hAnsi="Arial" w:cs="Arial"/>
          <w:sz w:val="24"/>
          <w:szCs w:val="24"/>
        </w:rPr>
        <w:t xml:space="preserve">internal </w:t>
      </w:r>
      <w:r w:rsidR="00680455" w:rsidRPr="00CA69BE">
        <w:rPr>
          <w:rFonts w:ascii="Arial" w:hAnsi="Arial" w:cs="Arial"/>
          <w:sz w:val="24"/>
          <w:szCs w:val="24"/>
        </w:rPr>
        <w:t>auditor and has only found out that now in the present application. But Crowd Tech does not say so.</w:t>
      </w:r>
      <w:r w:rsidR="00E87DD3" w:rsidRPr="00CA69BE">
        <w:rPr>
          <w:rFonts w:ascii="Arial" w:hAnsi="Arial" w:cs="Arial"/>
          <w:sz w:val="24"/>
          <w:szCs w:val="24"/>
        </w:rPr>
        <w:t xml:space="preserve"> I thus cannot rely on speculation when the </w:t>
      </w:r>
      <w:r w:rsidR="00254071" w:rsidRPr="00CA69BE">
        <w:rPr>
          <w:rFonts w:ascii="Arial" w:hAnsi="Arial" w:cs="Arial"/>
          <w:sz w:val="24"/>
          <w:szCs w:val="24"/>
        </w:rPr>
        <w:lastRenderedPageBreak/>
        <w:t>opportunity to explain has been given and not taken.</w:t>
      </w:r>
      <w:r w:rsidR="00AF0C53" w:rsidRPr="00CA69BE">
        <w:rPr>
          <w:rFonts w:ascii="Arial" w:hAnsi="Arial" w:cs="Arial"/>
          <w:sz w:val="24"/>
          <w:szCs w:val="24"/>
        </w:rPr>
        <w:t xml:space="preserve"> Thus if the full facts had been made know</w:t>
      </w:r>
      <w:r w:rsidR="00B04B8E" w:rsidRPr="00CA69BE">
        <w:rPr>
          <w:rFonts w:ascii="Arial" w:hAnsi="Arial" w:cs="Arial"/>
          <w:sz w:val="24"/>
          <w:szCs w:val="24"/>
        </w:rPr>
        <w:t>n,</w:t>
      </w:r>
      <w:r w:rsidR="00835257" w:rsidRPr="00CA69BE">
        <w:rPr>
          <w:rFonts w:ascii="Arial" w:hAnsi="Arial" w:cs="Arial"/>
          <w:sz w:val="24"/>
          <w:szCs w:val="24"/>
        </w:rPr>
        <w:t xml:space="preserve"> negative inferences which might</w:t>
      </w:r>
      <w:r w:rsidR="007527AE" w:rsidRPr="00CA69BE">
        <w:rPr>
          <w:rFonts w:ascii="Arial" w:hAnsi="Arial" w:cs="Arial"/>
          <w:sz w:val="24"/>
          <w:szCs w:val="24"/>
        </w:rPr>
        <w:t xml:space="preserve"> otherwise</w:t>
      </w:r>
      <w:r w:rsidR="00835257" w:rsidRPr="00CA69BE">
        <w:rPr>
          <w:rFonts w:ascii="Arial" w:hAnsi="Arial" w:cs="Arial"/>
          <w:sz w:val="24"/>
          <w:szCs w:val="24"/>
        </w:rPr>
        <w:t xml:space="preserve"> have </w:t>
      </w:r>
      <w:r w:rsidR="00AF0C53" w:rsidRPr="00CA69BE">
        <w:rPr>
          <w:rFonts w:ascii="Arial" w:hAnsi="Arial" w:cs="Arial"/>
          <w:sz w:val="24"/>
          <w:szCs w:val="24"/>
        </w:rPr>
        <w:t xml:space="preserve">been </w:t>
      </w:r>
      <w:r w:rsidR="00835257" w:rsidRPr="00CA69BE">
        <w:rPr>
          <w:rFonts w:ascii="Arial" w:hAnsi="Arial" w:cs="Arial"/>
          <w:sz w:val="24"/>
          <w:szCs w:val="24"/>
        </w:rPr>
        <w:t>drawn</w:t>
      </w:r>
      <w:r w:rsidR="00AF0C53" w:rsidRPr="00CA69BE">
        <w:rPr>
          <w:rFonts w:ascii="Arial" w:hAnsi="Arial" w:cs="Arial"/>
          <w:sz w:val="24"/>
          <w:szCs w:val="24"/>
        </w:rPr>
        <w:t xml:space="preserve"> by</w:t>
      </w:r>
      <w:r w:rsidR="00A27906" w:rsidRPr="00CA69BE">
        <w:rPr>
          <w:rFonts w:ascii="Arial" w:hAnsi="Arial" w:cs="Arial"/>
          <w:sz w:val="24"/>
          <w:szCs w:val="24"/>
        </w:rPr>
        <w:t xml:space="preserve"> the </w:t>
      </w:r>
      <w:r w:rsidR="007527AE" w:rsidRPr="00CA69BE">
        <w:rPr>
          <w:rFonts w:ascii="Arial" w:hAnsi="Arial" w:cs="Arial"/>
          <w:sz w:val="24"/>
          <w:szCs w:val="24"/>
        </w:rPr>
        <w:t xml:space="preserve">urgent </w:t>
      </w:r>
      <w:r w:rsidR="00A27906" w:rsidRPr="00CA69BE">
        <w:rPr>
          <w:rFonts w:ascii="Arial" w:hAnsi="Arial" w:cs="Arial"/>
          <w:sz w:val="24"/>
          <w:szCs w:val="24"/>
        </w:rPr>
        <w:t>court about</w:t>
      </w:r>
      <w:r w:rsidR="00AF0C53" w:rsidRPr="00CA69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0C53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AF0C53" w:rsidRPr="00CA69BE">
        <w:rPr>
          <w:rFonts w:ascii="Arial" w:hAnsi="Arial" w:cs="Arial"/>
          <w:sz w:val="24"/>
          <w:szCs w:val="24"/>
        </w:rPr>
        <w:t xml:space="preserve">’ </w:t>
      </w:r>
      <w:r w:rsidR="00A27906" w:rsidRPr="00CA69BE">
        <w:rPr>
          <w:rFonts w:ascii="Arial" w:hAnsi="Arial" w:cs="Arial"/>
          <w:sz w:val="24"/>
          <w:szCs w:val="24"/>
        </w:rPr>
        <w:t xml:space="preserve">apparent </w:t>
      </w:r>
      <w:r w:rsidR="00DD15F1" w:rsidRPr="00CA69BE">
        <w:rPr>
          <w:rFonts w:ascii="Arial" w:hAnsi="Arial" w:cs="Arial"/>
          <w:sz w:val="24"/>
          <w:szCs w:val="24"/>
        </w:rPr>
        <w:t xml:space="preserve">unexplained </w:t>
      </w:r>
      <w:r w:rsidR="00AF0C53" w:rsidRPr="00CA69BE">
        <w:rPr>
          <w:rFonts w:ascii="Arial" w:hAnsi="Arial" w:cs="Arial"/>
          <w:sz w:val="24"/>
          <w:szCs w:val="24"/>
        </w:rPr>
        <w:t>failure to pay monies out to the</w:t>
      </w:r>
      <w:r w:rsidR="00DD15F1" w:rsidRPr="00CA69BE">
        <w:rPr>
          <w:rFonts w:ascii="Arial" w:hAnsi="Arial" w:cs="Arial"/>
          <w:sz w:val="24"/>
          <w:szCs w:val="24"/>
        </w:rPr>
        <w:t xml:space="preserve"> client’s</w:t>
      </w:r>
      <w:r w:rsidR="00AF0C53" w:rsidRPr="00CA69BE">
        <w:rPr>
          <w:rFonts w:ascii="Arial" w:hAnsi="Arial" w:cs="Arial"/>
          <w:sz w:val="24"/>
          <w:szCs w:val="24"/>
        </w:rPr>
        <w:t xml:space="preserve"> margin account</w:t>
      </w:r>
      <w:r w:rsidR="00DD15F1" w:rsidRPr="00CA69BE">
        <w:rPr>
          <w:rFonts w:ascii="Arial" w:hAnsi="Arial" w:cs="Arial"/>
          <w:sz w:val="24"/>
          <w:szCs w:val="24"/>
        </w:rPr>
        <w:t>,</w:t>
      </w:r>
      <w:r w:rsidR="00AF0C53" w:rsidRPr="00CA69BE">
        <w:rPr>
          <w:rFonts w:ascii="Arial" w:hAnsi="Arial" w:cs="Arial"/>
          <w:sz w:val="24"/>
          <w:szCs w:val="24"/>
        </w:rPr>
        <w:t xml:space="preserve"> </w:t>
      </w:r>
      <w:r w:rsidR="00A74093" w:rsidRPr="00CA69BE">
        <w:rPr>
          <w:rFonts w:ascii="Arial" w:hAnsi="Arial" w:cs="Arial"/>
          <w:sz w:val="24"/>
          <w:szCs w:val="24"/>
        </w:rPr>
        <w:t>or by his alleged failure to respond to Crowd Tech</w:t>
      </w:r>
      <w:r w:rsidR="00B04B8E" w:rsidRPr="00CA69BE">
        <w:rPr>
          <w:rFonts w:ascii="Arial" w:hAnsi="Arial" w:cs="Arial"/>
          <w:sz w:val="24"/>
          <w:szCs w:val="24"/>
        </w:rPr>
        <w:t>’s</w:t>
      </w:r>
      <w:r w:rsidR="00A74093" w:rsidRPr="00CA69BE">
        <w:rPr>
          <w:rFonts w:ascii="Arial" w:hAnsi="Arial" w:cs="Arial"/>
          <w:sz w:val="24"/>
          <w:szCs w:val="24"/>
        </w:rPr>
        <w:t xml:space="preserve"> attorneys letter of demand</w:t>
      </w:r>
      <w:r w:rsidR="00B45BF5" w:rsidRPr="00CA69BE">
        <w:rPr>
          <w:rFonts w:ascii="Arial" w:hAnsi="Arial" w:cs="Arial"/>
          <w:sz w:val="24"/>
          <w:szCs w:val="24"/>
        </w:rPr>
        <w:t>,</w:t>
      </w:r>
      <w:r w:rsidR="00772B26" w:rsidRPr="00CA69BE">
        <w:rPr>
          <w:rFonts w:ascii="Arial" w:hAnsi="Arial" w:cs="Arial"/>
          <w:sz w:val="24"/>
          <w:szCs w:val="24"/>
        </w:rPr>
        <w:t xml:space="preserve"> would have been seen in a different light.</w:t>
      </w:r>
    </w:p>
    <w:p w14:paraId="51478DF2" w14:textId="2DB21BAA" w:rsidR="00254071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[19]</w:t>
      </w:r>
      <w:r>
        <w:rPr>
          <w:rFonts w:ascii="Arial" w:hAnsi="Arial" w:cs="Arial"/>
          <w:sz w:val="24"/>
          <w:szCs w:val="24"/>
        </w:rPr>
        <w:tab/>
      </w:r>
      <w:r w:rsidR="00254071" w:rsidRPr="00CA69BE">
        <w:rPr>
          <w:rFonts w:ascii="Arial" w:hAnsi="Arial" w:cs="Arial"/>
          <w:sz w:val="24"/>
          <w:szCs w:val="24"/>
        </w:rPr>
        <w:t xml:space="preserve">Much was made by counsel for </w:t>
      </w:r>
      <w:proofErr w:type="spellStart"/>
      <w:r w:rsidR="00164BBA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164BBA" w:rsidRPr="00CA69BE">
        <w:rPr>
          <w:rFonts w:ascii="Arial" w:hAnsi="Arial" w:cs="Arial"/>
          <w:sz w:val="24"/>
          <w:szCs w:val="24"/>
        </w:rPr>
        <w:t xml:space="preserve"> of </w:t>
      </w:r>
      <w:r w:rsidR="001C40DD" w:rsidRPr="00CA69BE">
        <w:rPr>
          <w:rFonts w:ascii="Arial" w:hAnsi="Arial" w:cs="Arial"/>
          <w:sz w:val="24"/>
          <w:szCs w:val="24"/>
        </w:rPr>
        <w:t>Crowd Tech’s</w:t>
      </w:r>
      <w:r w:rsidR="00164BBA" w:rsidRPr="00CA69BE">
        <w:rPr>
          <w:rFonts w:ascii="Arial" w:hAnsi="Arial" w:cs="Arial"/>
          <w:sz w:val="24"/>
          <w:szCs w:val="24"/>
        </w:rPr>
        <w:t xml:space="preserve"> failure to disclose </w:t>
      </w:r>
      <w:r w:rsidR="00CD0539" w:rsidRPr="00CA69BE">
        <w:rPr>
          <w:rFonts w:ascii="Arial" w:hAnsi="Arial" w:cs="Arial"/>
          <w:sz w:val="24"/>
          <w:szCs w:val="24"/>
        </w:rPr>
        <w:t xml:space="preserve">in the </w:t>
      </w:r>
      <w:r w:rsidR="00CD0539" w:rsidRPr="00CA69BE">
        <w:rPr>
          <w:rFonts w:ascii="Arial" w:hAnsi="Arial" w:cs="Arial"/>
          <w:i/>
          <w:iCs/>
          <w:sz w:val="24"/>
          <w:szCs w:val="24"/>
        </w:rPr>
        <w:t xml:space="preserve">ex </w:t>
      </w:r>
      <w:proofErr w:type="spellStart"/>
      <w:r w:rsidR="00CD0539" w:rsidRPr="00CA69BE">
        <w:rPr>
          <w:rFonts w:ascii="Arial" w:hAnsi="Arial" w:cs="Arial"/>
          <w:i/>
          <w:iCs/>
          <w:sz w:val="24"/>
          <w:szCs w:val="24"/>
        </w:rPr>
        <w:t>parte</w:t>
      </w:r>
      <w:proofErr w:type="spellEnd"/>
      <w:r w:rsidR="00CD0539" w:rsidRPr="00CA69BE">
        <w:rPr>
          <w:rFonts w:ascii="Arial" w:hAnsi="Arial" w:cs="Arial"/>
          <w:sz w:val="24"/>
          <w:szCs w:val="24"/>
        </w:rPr>
        <w:t xml:space="preserve"> application </w:t>
      </w:r>
      <w:r w:rsidR="00D466F7" w:rsidRPr="00CA69BE">
        <w:rPr>
          <w:rFonts w:ascii="Arial" w:hAnsi="Arial" w:cs="Arial"/>
          <w:sz w:val="24"/>
          <w:szCs w:val="24"/>
        </w:rPr>
        <w:t xml:space="preserve">that </w:t>
      </w:r>
      <w:proofErr w:type="spellStart"/>
      <w:r w:rsidR="00D466F7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D466F7" w:rsidRPr="00CA69BE">
        <w:rPr>
          <w:rFonts w:ascii="Arial" w:hAnsi="Arial" w:cs="Arial"/>
          <w:sz w:val="24"/>
          <w:szCs w:val="24"/>
        </w:rPr>
        <w:t xml:space="preserve"> had brought an application for the liquidation of </w:t>
      </w:r>
      <w:r w:rsidR="00511C68" w:rsidRPr="00CA69BE">
        <w:rPr>
          <w:rFonts w:ascii="Arial" w:hAnsi="Arial" w:cs="Arial"/>
          <w:sz w:val="24"/>
          <w:szCs w:val="24"/>
        </w:rPr>
        <w:t>Cyber</w:t>
      </w:r>
      <w:r w:rsidR="00D466F7" w:rsidRPr="00CA69BE">
        <w:rPr>
          <w:rFonts w:ascii="Arial" w:hAnsi="Arial" w:cs="Arial"/>
          <w:sz w:val="24"/>
          <w:szCs w:val="24"/>
        </w:rPr>
        <w:t xml:space="preserve"> on the </w:t>
      </w:r>
      <w:r w:rsidR="00096290">
        <w:rPr>
          <w:rFonts w:ascii="Arial" w:hAnsi="Arial" w:cs="Arial"/>
          <w:sz w:val="24"/>
          <w:szCs w:val="24"/>
        </w:rPr>
        <w:t>Tues</w:t>
      </w:r>
      <w:r w:rsidR="00D466F7" w:rsidRPr="00CA69BE">
        <w:rPr>
          <w:rFonts w:ascii="Arial" w:hAnsi="Arial" w:cs="Arial"/>
          <w:sz w:val="24"/>
          <w:szCs w:val="24"/>
        </w:rPr>
        <w:t xml:space="preserve">day of the same week. </w:t>
      </w:r>
      <w:r w:rsidR="008576AF" w:rsidRPr="00CA69BE">
        <w:rPr>
          <w:rFonts w:ascii="Arial" w:hAnsi="Arial" w:cs="Arial"/>
          <w:sz w:val="24"/>
          <w:szCs w:val="24"/>
        </w:rPr>
        <w:t>Unlike with the other points of complaint raised</w:t>
      </w:r>
      <w:r w:rsidR="00632DE7" w:rsidRPr="00CA69BE">
        <w:rPr>
          <w:rFonts w:ascii="Arial" w:hAnsi="Arial" w:cs="Arial"/>
          <w:sz w:val="24"/>
          <w:szCs w:val="24"/>
        </w:rPr>
        <w:t>,</w:t>
      </w:r>
      <w:r w:rsidR="008576AF" w:rsidRPr="00CA69BE">
        <w:rPr>
          <w:rFonts w:ascii="Arial" w:hAnsi="Arial" w:cs="Arial"/>
          <w:sz w:val="24"/>
          <w:szCs w:val="24"/>
        </w:rPr>
        <w:t xml:space="preserve"> I do not consider this </w:t>
      </w:r>
      <w:r w:rsidR="003F21BF" w:rsidRPr="00CA69BE">
        <w:rPr>
          <w:rFonts w:ascii="Arial" w:hAnsi="Arial" w:cs="Arial"/>
          <w:sz w:val="24"/>
          <w:szCs w:val="24"/>
        </w:rPr>
        <w:t>criticism has substance.</w:t>
      </w:r>
      <w:r w:rsidR="003348B1" w:rsidRPr="00CA69BE">
        <w:rPr>
          <w:rFonts w:ascii="Arial" w:hAnsi="Arial" w:cs="Arial"/>
          <w:sz w:val="24"/>
          <w:szCs w:val="24"/>
        </w:rPr>
        <w:t xml:space="preserve"> The allegation was that when the liquidation application was heard </w:t>
      </w:r>
      <w:r w:rsidR="003166BF" w:rsidRPr="00CA69BE">
        <w:rPr>
          <w:rFonts w:ascii="Arial" w:hAnsi="Arial" w:cs="Arial"/>
          <w:sz w:val="24"/>
          <w:szCs w:val="24"/>
        </w:rPr>
        <w:t xml:space="preserve">during the course of that week, </w:t>
      </w:r>
      <w:r w:rsidR="003348B1" w:rsidRPr="00CA69BE">
        <w:rPr>
          <w:rFonts w:ascii="Arial" w:hAnsi="Arial" w:cs="Arial"/>
          <w:sz w:val="24"/>
          <w:szCs w:val="24"/>
        </w:rPr>
        <w:t xml:space="preserve">Crowd Tech had an attorney on </w:t>
      </w:r>
      <w:r w:rsidR="000B439D" w:rsidRPr="00CA69BE">
        <w:rPr>
          <w:rFonts w:ascii="Arial" w:hAnsi="Arial" w:cs="Arial"/>
          <w:sz w:val="24"/>
          <w:szCs w:val="24"/>
        </w:rPr>
        <w:t xml:space="preserve">a watching brief during the hearing. However, </w:t>
      </w:r>
      <w:r w:rsidR="003F21BF" w:rsidRPr="00CA69BE">
        <w:rPr>
          <w:rFonts w:ascii="Arial" w:hAnsi="Arial" w:cs="Arial"/>
          <w:sz w:val="24"/>
          <w:szCs w:val="24"/>
        </w:rPr>
        <w:t xml:space="preserve">it is not clear that </w:t>
      </w:r>
      <w:proofErr w:type="spellStart"/>
      <w:r w:rsidR="00087EC0" w:rsidRPr="00CA69BE">
        <w:rPr>
          <w:rFonts w:ascii="Arial" w:hAnsi="Arial" w:cs="Arial"/>
          <w:sz w:val="24"/>
          <w:szCs w:val="24"/>
        </w:rPr>
        <w:t>Agathocleous</w:t>
      </w:r>
      <w:proofErr w:type="spellEnd"/>
      <w:r w:rsidR="003F21BF" w:rsidRPr="00CA69BE">
        <w:rPr>
          <w:rFonts w:ascii="Arial" w:hAnsi="Arial" w:cs="Arial"/>
          <w:sz w:val="24"/>
          <w:szCs w:val="24"/>
        </w:rPr>
        <w:t xml:space="preserve"> was aware of the liquidation application. His affidavit </w:t>
      </w:r>
      <w:r w:rsidR="00B45BF5" w:rsidRPr="00CA69BE">
        <w:rPr>
          <w:rFonts w:ascii="Arial" w:hAnsi="Arial" w:cs="Arial"/>
          <w:sz w:val="24"/>
          <w:szCs w:val="24"/>
        </w:rPr>
        <w:t xml:space="preserve">was </w:t>
      </w:r>
      <w:r w:rsidR="003F21BF" w:rsidRPr="00CA69BE">
        <w:rPr>
          <w:rFonts w:ascii="Arial" w:hAnsi="Arial" w:cs="Arial"/>
          <w:sz w:val="24"/>
          <w:szCs w:val="24"/>
        </w:rPr>
        <w:t>deposed to in Cyprus</w:t>
      </w:r>
      <w:r w:rsidR="00BD7C18" w:rsidRPr="00CA69BE">
        <w:rPr>
          <w:rFonts w:ascii="Arial" w:hAnsi="Arial" w:cs="Arial"/>
          <w:sz w:val="24"/>
          <w:szCs w:val="24"/>
        </w:rPr>
        <w:t xml:space="preserve"> on 9 July</w:t>
      </w:r>
      <w:r w:rsidR="008431EB" w:rsidRPr="00CA69BE">
        <w:rPr>
          <w:rFonts w:ascii="Arial" w:hAnsi="Arial" w:cs="Arial"/>
          <w:sz w:val="24"/>
          <w:szCs w:val="24"/>
        </w:rPr>
        <w:t>,</w:t>
      </w:r>
      <w:r w:rsidR="00BD7C18" w:rsidRPr="00CA69BE">
        <w:rPr>
          <w:rFonts w:ascii="Arial" w:hAnsi="Arial" w:cs="Arial"/>
          <w:sz w:val="24"/>
          <w:szCs w:val="24"/>
        </w:rPr>
        <w:t xml:space="preserve"> presumably </w:t>
      </w:r>
      <w:r w:rsidR="003F21BF" w:rsidRPr="00CA69BE">
        <w:rPr>
          <w:rFonts w:ascii="Arial" w:hAnsi="Arial" w:cs="Arial"/>
          <w:sz w:val="24"/>
          <w:szCs w:val="24"/>
        </w:rPr>
        <w:t xml:space="preserve">prior to the </w:t>
      </w:r>
      <w:r w:rsidR="003D61EB" w:rsidRPr="00CA69BE">
        <w:rPr>
          <w:rFonts w:ascii="Arial" w:hAnsi="Arial" w:cs="Arial"/>
          <w:sz w:val="24"/>
          <w:szCs w:val="24"/>
        </w:rPr>
        <w:t xml:space="preserve">liquidation hearing. Whilst no mention was made of the </w:t>
      </w:r>
      <w:r w:rsidR="000254F8" w:rsidRPr="00CA69BE">
        <w:rPr>
          <w:rFonts w:ascii="Arial" w:hAnsi="Arial" w:cs="Arial"/>
          <w:sz w:val="24"/>
          <w:szCs w:val="24"/>
        </w:rPr>
        <w:t>liquidation</w:t>
      </w:r>
      <w:r w:rsidR="003D61EB" w:rsidRPr="00CA69BE">
        <w:rPr>
          <w:rFonts w:ascii="Arial" w:hAnsi="Arial" w:cs="Arial"/>
          <w:sz w:val="24"/>
          <w:szCs w:val="24"/>
        </w:rPr>
        <w:t xml:space="preserve"> application in his affidavit it does not follow that this may not have been mentioned by counsel during the </w:t>
      </w:r>
      <w:r w:rsidR="003D61EB" w:rsidRPr="00CA69BE">
        <w:rPr>
          <w:rFonts w:ascii="Arial" w:hAnsi="Arial" w:cs="Arial"/>
          <w:i/>
          <w:iCs/>
          <w:sz w:val="24"/>
          <w:szCs w:val="24"/>
        </w:rPr>
        <w:t>ex parte</w:t>
      </w:r>
      <w:r w:rsidR="003D61EB" w:rsidRPr="00CA69BE">
        <w:rPr>
          <w:rFonts w:ascii="Arial" w:hAnsi="Arial" w:cs="Arial"/>
          <w:sz w:val="24"/>
          <w:szCs w:val="24"/>
        </w:rPr>
        <w:t xml:space="preserve"> application on the Friday. </w:t>
      </w:r>
      <w:r w:rsidR="0080774E" w:rsidRPr="00CA69BE">
        <w:rPr>
          <w:rFonts w:ascii="Arial" w:hAnsi="Arial" w:cs="Arial"/>
          <w:sz w:val="24"/>
          <w:szCs w:val="24"/>
        </w:rPr>
        <w:t>There is no record of this proceeding.</w:t>
      </w:r>
      <w:r w:rsidR="0070028F" w:rsidRPr="00CA69BE">
        <w:rPr>
          <w:rFonts w:ascii="Arial" w:hAnsi="Arial" w:cs="Arial"/>
          <w:sz w:val="24"/>
          <w:szCs w:val="24"/>
        </w:rPr>
        <w:t xml:space="preserve"> </w:t>
      </w:r>
      <w:r w:rsidR="00924A4A" w:rsidRPr="00CA69BE">
        <w:rPr>
          <w:rFonts w:ascii="Arial" w:hAnsi="Arial" w:cs="Arial"/>
          <w:sz w:val="24"/>
          <w:szCs w:val="24"/>
        </w:rPr>
        <w:t>But i</w:t>
      </w:r>
      <w:r w:rsidR="0070028F" w:rsidRPr="00CA69BE">
        <w:rPr>
          <w:rFonts w:ascii="Arial" w:hAnsi="Arial" w:cs="Arial"/>
          <w:sz w:val="24"/>
          <w:szCs w:val="24"/>
        </w:rPr>
        <w:t xml:space="preserve">t is common cause </w:t>
      </w:r>
      <w:r w:rsidR="00C75226" w:rsidRPr="00CA69BE">
        <w:rPr>
          <w:rFonts w:ascii="Arial" w:hAnsi="Arial" w:cs="Arial"/>
          <w:sz w:val="24"/>
          <w:szCs w:val="24"/>
        </w:rPr>
        <w:t xml:space="preserve">that Matojane J who heard the </w:t>
      </w:r>
      <w:r w:rsidR="00C75226" w:rsidRPr="00914E39">
        <w:rPr>
          <w:rFonts w:ascii="Arial" w:hAnsi="Arial" w:cs="Arial"/>
          <w:i/>
          <w:iCs/>
          <w:sz w:val="24"/>
          <w:szCs w:val="24"/>
        </w:rPr>
        <w:t>ex parte</w:t>
      </w:r>
      <w:r w:rsidR="00C75226" w:rsidRPr="00CA69BE">
        <w:rPr>
          <w:rFonts w:ascii="Arial" w:hAnsi="Arial" w:cs="Arial"/>
          <w:sz w:val="24"/>
          <w:szCs w:val="24"/>
        </w:rPr>
        <w:t xml:space="preserve"> application had also heard the liquidation application so he may</w:t>
      </w:r>
      <w:r w:rsidR="00D2462C" w:rsidRPr="00CA69BE">
        <w:rPr>
          <w:rFonts w:ascii="Arial" w:hAnsi="Arial" w:cs="Arial"/>
          <w:sz w:val="24"/>
          <w:szCs w:val="24"/>
        </w:rPr>
        <w:t xml:space="preserve"> </w:t>
      </w:r>
      <w:r w:rsidR="00A97522" w:rsidRPr="00CA69BE">
        <w:rPr>
          <w:rFonts w:ascii="Arial" w:hAnsi="Arial" w:cs="Arial"/>
          <w:sz w:val="24"/>
          <w:szCs w:val="24"/>
        </w:rPr>
        <w:t>well have</w:t>
      </w:r>
      <w:r w:rsidR="00C75226" w:rsidRPr="00CA69BE">
        <w:rPr>
          <w:rFonts w:ascii="Arial" w:hAnsi="Arial" w:cs="Arial"/>
          <w:sz w:val="24"/>
          <w:szCs w:val="24"/>
        </w:rPr>
        <w:t xml:space="preserve"> been aware of it</w:t>
      </w:r>
      <w:r w:rsidR="00165D8F" w:rsidRPr="00CA69BE">
        <w:rPr>
          <w:rFonts w:ascii="Arial" w:hAnsi="Arial" w:cs="Arial"/>
          <w:sz w:val="24"/>
          <w:szCs w:val="24"/>
        </w:rPr>
        <w:t>.</w:t>
      </w:r>
      <w:r w:rsidR="00CE104B" w:rsidRPr="00CA69BE">
        <w:rPr>
          <w:rFonts w:ascii="Arial" w:hAnsi="Arial" w:cs="Arial"/>
          <w:sz w:val="24"/>
          <w:szCs w:val="24"/>
        </w:rPr>
        <w:t xml:space="preserve"> Matojane J had also granted the freezing order in respect of the Cyber FX account. </w:t>
      </w:r>
    </w:p>
    <w:p w14:paraId="260B9189" w14:textId="7B37844D" w:rsidR="0080774E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[20]</w:t>
      </w:r>
      <w:r>
        <w:rPr>
          <w:rFonts w:ascii="Arial" w:hAnsi="Arial" w:cs="Arial"/>
          <w:sz w:val="24"/>
          <w:szCs w:val="24"/>
        </w:rPr>
        <w:tab/>
      </w:r>
      <w:r w:rsidR="0080774E" w:rsidRPr="00CA69BE">
        <w:rPr>
          <w:rFonts w:ascii="Arial" w:hAnsi="Arial" w:cs="Arial"/>
          <w:sz w:val="24"/>
          <w:szCs w:val="24"/>
        </w:rPr>
        <w:t>Moreover</w:t>
      </w:r>
      <w:r w:rsidR="00BC6353" w:rsidRPr="00CA69BE">
        <w:rPr>
          <w:rFonts w:ascii="Arial" w:hAnsi="Arial" w:cs="Arial"/>
          <w:sz w:val="24"/>
          <w:szCs w:val="24"/>
        </w:rPr>
        <w:t>,</w:t>
      </w:r>
      <w:r w:rsidR="0080774E" w:rsidRPr="00CA69BE">
        <w:rPr>
          <w:rFonts w:ascii="Arial" w:hAnsi="Arial" w:cs="Arial"/>
          <w:sz w:val="24"/>
          <w:szCs w:val="24"/>
        </w:rPr>
        <w:t xml:space="preserve"> even if it had been mentioned</w:t>
      </w:r>
      <w:r w:rsidR="00EC35CA" w:rsidRPr="00CA69BE">
        <w:rPr>
          <w:rFonts w:ascii="Arial" w:hAnsi="Arial" w:cs="Arial"/>
          <w:sz w:val="24"/>
          <w:szCs w:val="24"/>
        </w:rPr>
        <w:t>, it is not clear that this disclosure wou</w:t>
      </w:r>
      <w:r w:rsidR="00591703" w:rsidRPr="00CA69BE">
        <w:rPr>
          <w:rFonts w:ascii="Arial" w:hAnsi="Arial" w:cs="Arial"/>
          <w:sz w:val="24"/>
          <w:szCs w:val="24"/>
        </w:rPr>
        <w:t>l</w:t>
      </w:r>
      <w:r w:rsidR="00EC35CA" w:rsidRPr="00CA69BE">
        <w:rPr>
          <w:rFonts w:ascii="Arial" w:hAnsi="Arial" w:cs="Arial"/>
          <w:sz w:val="24"/>
          <w:szCs w:val="24"/>
        </w:rPr>
        <w:t xml:space="preserve">d have led to </w:t>
      </w:r>
      <w:r w:rsidR="0070028F" w:rsidRPr="00CA69BE">
        <w:rPr>
          <w:rFonts w:ascii="Arial" w:hAnsi="Arial" w:cs="Arial"/>
          <w:sz w:val="24"/>
          <w:szCs w:val="24"/>
        </w:rPr>
        <w:t xml:space="preserve">the court </w:t>
      </w:r>
      <w:r w:rsidR="00165D8F" w:rsidRPr="00CA69BE">
        <w:rPr>
          <w:rFonts w:ascii="Arial" w:hAnsi="Arial" w:cs="Arial"/>
          <w:sz w:val="24"/>
          <w:szCs w:val="24"/>
        </w:rPr>
        <w:t xml:space="preserve">to come to a different conclusion. Counsel for </w:t>
      </w:r>
      <w:proofErr w:type="spellStart"/>
      <w:r w:rsidR="00165D8F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165D8F" w:rsidRPr="00CA69BE">
        <w:rPr>
          <w:rFonts w:ascii="Arial" w:hAnsi="Arial" w:cs="Arial"/>
          <w:sz w:val="24"/>
          <w:szCs w:val="24"/>
        </w:rPr>
        <w:t xml:space="preserve"> suggests </w:t>
      </w:r>
      <w:r w:rsidR="00441612" w:rsidRPr="00CA69BE">
        <w:rPr>
          <w:rFonts w:ascii="Arial" w:hAnsi="Arial" w:cs="Arial"/>
          <w:sz w:val="24"/>
          <w:szCs w:val="24"/>
        </w:rPr>
        <w:t xml:space="preserve">that it was a material fact in the liquidation application that </w:t>
      </w:r>
      <w:proofErr w:type="spellStart"/>
      <w:r w:rsidR="00441612" w:rsidRPr="00CA69BE">
        <w:rPr>
          <w:rFonts w:ascii="Arial" w:hAnsi="Arial" w:cs="Arial"/>
          <w:sz w:val="24"/>
          <w:szCs w:val="24"/>
        </w:rPr>
        <w:t>P</w:t>
      </w:r>
      <w:r w:rsidR="00924A4A" w:rsidRPr="00CA69BE">
        <w:rPr>
          <w:rFonts w:ascii="Arial" w:hAnsi="Arial" w:cs="Arial"/>
          <w:sz w:val="24"/>
          <w:szCs w:val="24"/>
        </w:rPr>
        <w:t>rokas</w:t>
      </w:r>
      <w:proofErr w:type="spellEnd"/>
      <w:r w:rsidR="00441612" w:rsidRPr="00CA69BE">
        <w:rPr>
          <w:rFonts w:ascii="Arial" w:hAnsi="Arial" w:cs="Arial"/>
          <w:sz w:val="24"/>
          <w:szCs w:val="24"/>
        </w:rPr>
        <w:t xml:space="preserve"> had </w:t>
      </w:r>
      <w:r w:rsidR="00441612" w:rsidRPr="00CA69BE">
        <w:rPr>
          <w:rFonts w:ascii="Arial" w:hAnsi="Arial" w:cs="Arial"/>
          <w:sz w:val="24"/>
          <w:szCs w:val="24"/>
        </w:rPr>
        <w:lastRenderedPageBreak/>
        <w:t xml:space="preserve">accused his </w:t>
      </w:r>
      <w:r w:rsidR="00AA3F84" w:rsidRPr="00CA69BE">
        <w:rPr>
          <w:rFonts w:ascii="Arial" w:hAnsi="Arial" w:cs="Arial"/>
          <w:sz w:val="24"/>
          <w:szCs w:val="24"/>
        </w:rPr>
        <w:t xml:space="preserve">erstwhile partner in the business of </w:t>
      </w:r>
      <w:r w:rsidR="00AC6EA4" w:rsidRPr="00CA69BE">
        <w:rPr>
          <w:rFonts w:ascii="Arial" w:hAnsi="Arial" w:cs="Arial"/>
          <w:sz w:val="24"/>
          <w:szCs w:val="24"/>
        </w:rPr>
        <w:t>misappropriation,</w:t>
      </w:r>
      <w:r w:rsidR="00AA3F84" w:rsidRPr="00CA69BE">
        <w:rPr>
          <w:rFonts w:ascii="Arial" w:hAnsi="Arial" w:cs="Arial"/>
          <w:sz w:val="24"/>
          <w:szCs w:val="24"/>
        </w:rPr>
        <w:t xml:space="preserve"> but the partner had desp</w:t>
      </w:r>
      <w:r w:rsidR="00706B6F" w:rsidRPr="00CA69BE">
        <w:rPr>
          <w:rFonts w:ascii="Arial" w:hAnsi="Arial" w:cs="Arial"/>
          <w:sz w:val="24"/>
          <w:szCs w:val="24"/>
        </w:rPr>
        <w:t>i</w:t>
      </w:r>
      <w:r w:rsidR="00AA3F84" w:rsidRPr="00CA69BE">
        <w:rPr>
          <w:rFonts w:ascii="Arial" w:hAnsi="Arial" w:cs="Arial"/>
          <w:sz w:val="24"/>
          <w:szCs w:val="24"/>
        </w:rPr>
        <w:t xml:space="preserve">te opposing the application not made similar accusations against </w:t>
      </w:r>
      <w:proofErr w:type="spellStart"/>
      <w:r w:rsidR="00AA3F84" w:rsidRPr="00CA69BE">
        <w:rPr>
          <w:rFonts w:ascii="Arial" w:hAnsi="Arial" w:cs="Arial"/>
          <w:sz w:val="24"/>
          <w:szCs w:val="24"/>
        </w:rPr>
        <w:t>P</w:t>
      </w:r>
      <w:r w:rsidR="00AC6EA4" w:rsidRPr="00CA69BE">
        <w:rPr>
          <w:rFonts w:ascii="Arial" w:hAnsi="Arial" w:cs="Arial"/>
          <w:sz w:val="24"/>
          <w:szCs w:val="24"/>
        </w:rPr>
        <w:t>rokas</w:t>
      </w:r>
      <w:proofErr w:type="spellEnd"/>
      <w:r w:rsidR="00AA3F84" w:rsidRPr="00CA69BE">
        <w:rPr>
          <w:rFonts w:ascii="Arial" w:hAnsi="Arial" w:cs="Arial"/>
          <w:sz w:val="24"/>
          <w:szCs w:val="24"/>
        </w:rPr>
        <w:t>.</w:t>
      </w:r>
      <w:r w:rsidR="00706B6F" w:rsidRPr="00CA69BE">
        <w:rPr>
          <w:rFonts w:ascii="Arial" w:hAnsi="Arial" w:cs="Arial"/>
          <w:sz w:val="24"/>
          <w:szCs w:val="24"/>
        </w:rPr>
        <w:t xml:space="preserve"> This would suggest that </w:t>
      </w:r>
      <w:proofErr w:type="spellStart"/>
      <w:r w:rsidR="00706B6F" w:rsidRPr="00CA69BE">
        <w:rPr>
          <w:rFonts w:ascii="Arial" w:hAnsi="Arial" w:cs="Arial"/>
          <w:sz w:val="24"/>
          <w:szCs w:val="24"/>
        </w:rPr>
        <w:t>P</w:t>
      </w:r>
      <w:r w:rsidR="00AC6EA4" w:rsidRPr="00CA69BE">
        <w:rPr>
          <w:rFonts w:ascii="Arial" w:hAnsi="Arial" w:cs="Arial"/>
          <w:sz w:val="24"/>
          <w:szCs w:val="24"/>
        </w:rPr>
        <w:t>rokas</w:t>
      </w:r>
      <w:proofErr w:type="spellEnd"/>
      <w:r w:rsidR="00706B6F" w:rsidRPr="00CA69BE">
        <w:rPr>
          <w:rFonts w:ascii="Arial" w:hAnsi="Arial" w:cs="Arial"/>
          <w:sz w:val="24"/>
          <w:szCs w:val="24"/>
        </w:rPr>
        <w:t xml:space="preserve"> was attempting to preserve the company’s assets not dissipate them </w:t>
      </w:r>
      <w:r w:rsidR="00011605" w:rsidRPr="00CA69BE">
        <w:rPr>
          <w:rFonts w:ascii="Arial" w:hAnsi="Arial" w:cs="Arial"/>
          <w:sz w:val="24"/>
          <w:szCs w:val="24"/>
        </w:rPr>
        <w:t xml:space="preserve">by lining </w:t>
      </w:r>
      <w:r w:rsidR="00E14518" w:rsidRPr="00CA69BE">
        <w:rPr>
          <w:rFonts w:ascii="Arial" w:hAnsi="Arial" w:cs="Arial"/>
          <w:sz w:val="24"/>
          <w:szCs w:val="24"/>
        </w:rPr>
        <w:t>his own pocket</w:t>
      </w:r>
      <w:r w:rsidR="00011605" w:rsidRPr="00CA69BE">
        <w:rPr>
          <w:rFonts w:ascii="Arial" w:hAnsi="Arial" w:cs="Arial"/>
          <w:sz w:val="24"/>
          <w:szCs w:val="24"/>
        </w:rPr>
        <w:t>,</w:t>
      </w:r>
      <w:r w:rsidR="00E14518" w:rsidRPr="00CA69BE">
        <w:rPr>
          <w:rFonts w:ascii="Arial" w:hAnsi="Arial" w:cs="Arial"/>
          <w:sz w:val="24"/>
          <w:szCs w:val="24"/>
        </w:rPr>
        <w:t xml:space="preserve"> as the </w:t>
      </w:r>
      <w:r w:rsidR="00E14518" w:rsidRPr="00CA69BE">
        <w:rPr>
          <w:rFonts w:ascii="Arial" w:hAnsi="Arial" w:cs="Arial"/>
          <w:i/>
          <w:iCs/>
          <w:sz w:val="24"/>
          <w:szCs w:val="24"/>
        </w:rPr>
        <w:t>ex parte</w:t>
      </w:r>
      <w:r w:rsidR="00E14518" w:rsidRPr="00CA69BE">
        <w:rPr>
          <w:rFonts w:ascii="Arial" w:hAnsi="Arial" w:cs="Arial"/>
          <w:sz w:val="24"/>
          <w:szCs w:val="24"/>
        </w:rPr>
        <w:t xml:space="preserve"> application implied. Whilst this is one reading of the im</w:t>
      </w:r>
      <w:r w:rsidR="00B228A1" w:rsidRPr="00CA69BE">
        <w:rPr>
          <w:rFonts w:ascii="Arial" w:hAnsi="Arial" w:cs="Arial"/>
          <w:sz w:val="24"/>
          <w:szCs w:val="24"/>
        </w:rPr>
        <w:t xml:space="preserve">plications of the </w:t>
      </w:r>
      <w:r w:rsidR="00E51562" w:rsidRPr="00CA69BE">
        <w:rPr>
          <w:rFonts w:ascii="Arial" w:hAnsi="Arial" w:cs="Arial"/>
          <w:sz w:val="24"/>
          <w:szCs w:val="24"/>
        </w:rPr>
        <w:t>liquidation application it is not the only one. The court might well have considered that conflict between t</w:t>
      </w:r>
      <w:r w:rsidR="0071653B" w:rsidRPr="00CA69BE">
        <w:rPr>
          <w:rFonts w:ascii="Arial" w:hAnsi="Arial" w:cs="Arial"/>
          <w:sz w:val="24"/>
          <w:szCs w:val="24"/>
        </w:rPr>
        <w:t xml:space="preserve">he two joint shareholders was </w:t>
      </w:r>
      <w:r w:rsidR="0037005A" w:rsidRPr="00CA69BE">
        <w:rPr>
          <w:rFonts w:ascii="Arial" w:hAnsi="Arial" w:cs="Arial"/>
          <w:sz w:val="24"/>
          <w:szCs w:val="24"/>
        </w:rPr>
        <w:t xml:space="preserve">a </w:t>
      </w:r>
      <w:r w:rsidR="0071653B" w:rsidRPr="00CA69BE">
        <w:rPr>
          <w:rFonts w:ascii="Arial" w:hAnsi="Arial" w:cs="Arial"/>
          <w:sz w:val="24"/>
          <w:szCs w:val="24"/>
        </w:rPr>
        <w:t xml:space="preserve">sufficiently alarming development that might lead credence to a third party’s concerns about its money being </w:t>
      </w:r>
      <w:r w:rsidR="00912340" w:rsidRPr="00CA69BE">
        <w:rPr>
          <w:rFonts w:ascii="Arial" w:hAnsi="Arial" w:cs="Arial"/>
          <w:sz w:val="24"/>
          <w:szCs w:val="24"/>
        </w:rPr>
        <w:t xml:space="preserve">dissipated. </w:t>
      </w:r>
    </w:p>
    <w:p w14:paraId="626E72BE" w14:textId="4416D877" w:rsidR="00AD0B5B" w:rsidRPr="00AD0B5B" w:rsidRDefault="00AD0B5B" w:rsidP="00DE4BD7">
      <w:pPr>
        <w:pStyle w:val="ListParagraph"/>
        <w:spacing w:after="360" w:line="480" w:lineRule="auto"/>
        <w:ind w:left="360" w:firstLine="35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D0B5B">
        <w:rPr>
          <w:rFonts w:ascii="Arial" w:hAnsi="Arial" w:cs="Arial"/>
          <w:b/>
          <w:bCs/>
          <w:sz w:val="24"/>
          <w:szCs w:val="24"/>
        </w:rPr>
        <w:t>Scale of costs</w:t>
      </w:r>
    </w:p>
    <w:p w14:paraId="02B09EED" w14:textId="48BC8798" w:rsidR="002F4442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[21]</w:t>
      </w:r>
      <w:r>
        <w:rPr>
          <w:rFonts w:ascii="Arial" w:hAnsi="Arial" w:cs="Arial"/>
          <w:sz w:val="24"/>
          <w:szCs w:val="24"/>
        </w:rPr>
        <w:tab/>
      </w:r>
      <w:r w:rsidR="002F4442" w:rsidRPr="00CA69BE">
        <w:rPr>
          <w:rFonts w:ascii="Arial" w:hAnsi="Arial" w:cs="Arial"/>
          <w:sz w:val="24"/>
          <w:szCs w:val="24"/>
        </w:rPr>
        <w:t xml:space="preserve">I now consider </w:t>
      </w:r>
      <w:r w:rsidR="00B248F2" w:rsidRPr="00CA69BE">
        <w:rPr>
          <w:rFonts w:ascii="Arial" w:hAnsi="Arial" w:cs="Arial"/>
          <w:sz w:val="24"/>
          <w:szCs w:val="24"/>
        </w:rPr>
        <w:t>w</w:t>
      </w:r>
      <w:r w:rsidR="002F4442" w:rsidRPr="00CA69BE">
        <w:rPr>
          <w:rFonts w:ascii="Arial" w:hAnsi="Arial" w:cs="Arial"/>
          <w:sz w:val="24"/>
          <w:szCs w:val="24"/>
        </w:rPr>
        <w:t xml:space="preserve">hat the implications </w:t>
      </w:r>
      <w:r w:rsidR="00B248F2" w:rsidRPr="00CA69BE">
        <w:rPr>
          <w:rFonts w:ascii="Arial" w:hAnsi="Arial" w:cs="Arial"/>
          <w:sz w:val="24"/>
          <w:szCs w:val="24"/>
        </w:rPr>
        <w:t xml:space="preserve">of these background facts </w:t>
      </w:r>
      <w:r w:rsidR="002F4442" w:rsidRPr="00CA69BE">
        <w:rPr>
          <w:rFonts w:ascii="Arial" w:hAnsi="Arial" w:cs="Arial"/>
          <w:sz w:val="24"/>
          <w:szCs w:val="24"/>
        </w:rPr>
        <w:t>should be for the scale of costs</w:t>
      </w:r>
      <w:r w:rsidR="00A00DD2" w:rsidRPr="00CA69BE">
        <w:rPr>
          <w:rFonts w:ascii="Arial" w:hAnsi="Arial" w:cs="Arial"/>
          <w:sz w:val="24"/>
          <w:szCs w:val="24"/>
        </w:rPr>
        <w:t>.</w:t>
      </w:r>
      <w:r w:rsidR="00096290">
        <w:rPr>
          <w:rFonts w:ascii="Arial" w:hAnsi="Arial" w:cs="Arial"/>
          <w:sz w:val="24"/>
          <w:szCs w:val="24"/>
        </w:rPr>
        <w:t xml:space="preserve"> The question is whether Crowd Tech’s conduct in the ex parte litigation merits the sanction of </w:t>
      </w:r>
    </w:p>
    <w:p w14:paraId="2E873521" w14:textId="4EB6E1FC" w:rsidR="00A00DD2" w:rsidRPr="00CA69BE" w:rsidRDefault="00CA69BE" w:rsidP="00DE4BD7">
      <w:pPr>
        <w:spacing w:after="360" w:line="48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[22]</w:t>
      </w:r>
      <w:r>
        <w:rPr>
          <w:rFonts w:ascii="Arial" w:hAnsi="Arial" w:cs="Arial"/>
          <w:sz w:val="24"/>
          <w:szCs w:val="24"/>
        </w:rPr>
        <w:tab/>
      </w:r>
      <w:r w:rsidR="00A00DD2" w:rsidRPr="00CA69BE">
        <w:rPr>
          <w:rFonts w:ascii="Arial" w:hAnsi="Arial" w:cs="Arial"/>
          <w:sz w:val="24"/>
          <w:szCs w:val="24"/>
        </w:rPr>
        <w:t xml:space="preserve">It is as well to commence by considering what is not objectionable. </w:t>
      </w:r>
      <w:r w:rsidR="004446AE" w:rsidRPr="00CA69BE">
        <w:rPr>
          <w:rFonts w:ascii="Arial" w:hAnsi="Arial" w:cs="Arial"/>
          <w:sz w:val="24"/>
          <w:szCs w:val="24"/>
        </w:rPr>
        <w:t xml:space="preserve">The general caution about courts granting orders pursuant to an </w:t>
      </w:r>
      <w:r w:rsidR="00A00DD2" w:rsidRPr="00CA69BE">
        <w:rPr>
          <w:rFonts w:ascii="Arial" w:hAnsi="Arial" w:cs="Arial"/>
          <w:i/>
          <w:iCs/>
          <w:sz w:val="24"/>
          <w:szCs w:val="24"/>
        </w:rPr>
        <w:t>ex parte</w:t>
      </w:r>
      <w:r w:rsidR="00A00DD2" w:rsidRPr="00CA69BE">
        <w:rPr>
          <w:rFonts w:ascii="Arial" w:hAnsi="Arial" w:cs="Arial"/>
          <w:sz w:val="24"/>
          <w:szCs w:val="24"/>
        </w:rPr>
        <w:t xml:space="preserve"> application</w:t>
      </w:r>
      <w:r w:rsidR="004446AE" w:rsidRPr="00CA69BE">
        <w:rPr>
          <w:rFonts w:ascii="Arial" w:hAnsi="Arial" w:cs="Arial"/>
          <w:sz w:val="24"/>
          <w:szCs w:val="24"/>
        </w:rPr>
        <w:t xml:space="preserve"> is that the </w:t>
      </w:r>
      <w:r w:rsidR="00C0512D" w:rsidRPr="00CA69BE">
        <w:rPr>
          <w:rFonts w:ascii="Arial" w:hAnsi="Arial" w:cs="Arial"/>
          <w:sz w:val="24"/>
          <w:szCs w:val="24"/>
        </w:rPr>
        <w:t>respondent is denied its fundamental right to be heard. Nevertheless</w:t>
      </w:r>
      <w:r w:rsidR="00BD149C" w:rsidRPr="00CA69BE">
        <w:rPr>
          <w:rFonts w:ascii="Arial" w:hAnsi="Arial" w:cs="Arial"/>
          <w:sz w:val="24"/>
          <w:szCs w:val="24"/>
        </w:rPr>
        <w:t>,</w:t>
      </w:r>
      <w:r w:rsidR="00C0512D" w:rsidRPr="00CA69BE">
        <w:rPr>
          <w:rFonts w:ascii="Arial" w:hAnsi="Arial" w:cs="Arial"/>
          <w:sz w:val="24"/>
          <w:szCs w:val="24"/>
        </w:rPr>
        <w:t xml:space="preserve"> </w:t>
      </w:r>
      <w:r w:rsidR="003652C1" w:rsidRPr="00CA69BE">
        <w:rPr>
          <w:rFonts w:ascii="Arial" w:hAnsi="Arial" w:cs="Arial"/>
          <w:sz w:val="24"/>
          <w:szCs w:val="24"/>
        </w:rPr>
        <w:t>our courts have recognised</w:t>
      </w:r>
      <w:r w:rsidR="00CF4E4D" w:rsidRPr="00CA69BE">
        <w:rPr>
          <w:rFonts w:ascii="Arial" w:hAnsi="Arial" w:cs="Arial"/>
          <w:sz w:val="24"/>
          <w:szCs w:val="24"/>
        </w:rPr>
        <w:t>,</w:t>
      </w:r>
      <w:r w:rsidR="003652C1" w:rsidRPr="00CA69BE">
        <w:rPr>
          <w:rFonts w:ascii="Arial" w:hAnsi="Arial" w:cs="Arial"/>
          <w:sz w:val="24"/>
          <w:szCs w:val="24"/>
        </w:rPr>
        <w:t xml:space="preserve"> based on pragmatism</w:t>
      </w:r>
      <w:r w:rsidR="00CF4E4D" w:rsidRPr="00CA69BE">
        <w:rPr>
          <w:rFonts w:ascii="Arial" w:hAnsi="Arial" w:cs="Arial"/>
          <w:sz w:val="24"/>
          <w:szCs w:val="24"/>
        </w:rPr>
        <w:t>,</w:t>
      </w:r>
      <w:r w:rsidR="003652C1" w:rsidRPr="00CA69BE">
        <w:rPr>
          <w:rFonts w:ascii="Arial" w:hAnsi="Arial" w:cs="Arial"/>
          <w:sz w:val="24"/>
          <w:szCs w:val="24"/>
        </w:rPr>
        <w:t xml:space="preserve"> </w:t>
      </w:r>
      <w:r w:rsidR="00BD149C" w:rsidRPr="00CA69BE">
        <w:rPr>
          <w:rFonts w:ascii="Arial" w:hAnsi="Arial" w:cs="Arial"/>
          <w:sz w:val="24"/>
          <w:szCs w:val="24"/>
        </w:rPr>
        <w:t xml:space="preserve">that sometimes </w:t>
      </w:r>
      <w:r w:rsidR="00CF4E4D" w:rsidRPr="00CA69BE">
        <w:rPr>
          <w:rFonts w:ascii="Arial" w:hAnsi="Arial" w:cs="Arial"/>
          <w:sz w:val="24"/>
          <w:szCs w:val="24"/>
        </w:rPr>
        <w:t xml:space="preserve">orders obtained pursuant to </w:t>
      </w:r>
      <w:r w:rsidR="00BD149C" w:rsidRPr="00CA69BE">
        <w:rPr>
          <w:rFonts w:ascii="Arial" w:hAnsi="Arial" w:cs="Arial"/>
          <w:i/>
          <w:iCs/>
          <w:sz w:val="24"/>
          <w:szCs w:val="24"/>
        </w:rPr>
        <w:t>ex parte</w:t>
      </w:r>
      <w:r w:rsidR="00BD149C" w:rsidRPr="00CA69BE">
        <w:rPr>
          <w:rFonts w:ascii="Arial" w:hAnsi="Arial" w:cs="Arial"/>
          <w:sz w:val="24"/>
          <w:szCs w:val="24"/>
        </w:rPr>
        <w:t xml:space="preserve"> applications </w:t>
      </w:r>
      <w:r w:rsidR="00CF4E4D" w:rsidRPr="00CA69BE">
        <w:rPr>
          <w:rFonts w:ascii="Arial" w:hAnsi="Arial" w:cs="Arial"/>
          <w:sz w:val="24"/>
          <w:szCs w:val="24"/>
        </w:rPr>
        <w:t xml:space="preserve">are necessary, </w:t>
      </w:r>
      <w:r w:rsidR="003652C1" w:rsidRPr="00CA69BE">
        <w:rPr>
          <w:rFonts w:ascii="Arial" w:hAnsi="Arial" w:cs="Arial"/>
          <w:sz w:val="24"/>
          <w:szCs w:val="24"/>
        </w:rPr>
        <w:t>to avoid</w:t>
      </w:r>
      <w:r w:rsidR="002604A9" w:rsidRPr="00CA69BE">
        <w:rPr>
          <w:rFonts w:ascii="Arial" w:hAnsi="Arial" w:cs="Arial"/>
          <w:sz w:val="24"/>
          <w:szCs w:val="24"/>
        </w:rPr>
        <w:t xml:space="preserve"> negating </w:t>
      </w:r>
      <w:r w:rsidR="003652C1" w:rsidRPr="00CA69BE">
        <w:rPr>
          <w:rFonts w:ascii="Arial" w:hAnsi="Arial" w:cs="Arial"/>
          <w:sz w:val="24"/>
          <w:szCs w:val="24"/>
        </w:rPr>
        <w:t xml:space="preserve">the relief being sought. </w:t>
      </w:r>
      <w:r w:rsidR="00F365AB" w:rsidRPr="00CA69BE">
        <w:rPr>
          <w:rFonts w:ascii="Arial" w:hAnsi="Arial" w:cs="Arial"/>
          <w:sz w:val="24"/>
          <w:szCs w:val="24"/>
        </w:rPr>
        <w:t>Over time a number of instances where courts will do so has em</w:t>
      </w:r>
      <w:r w:rsidR="006121EF" w:rsidRPr="00CA69BE">
        <w:rPr>
          <w:rFonts w:ascii="Arial" w:hAnsi="Arial" w:cs="Arial"/>
          <w:sz w:val="24"/>
          <w:szCs w:val="24"/>
        </w:rPr>
        <w:t>e</w:t>
      </w:r>
      <w:r w:rsidR="00F365AB" w:rsidRPr="00CA69BE">
        <w:rPr>
          <w:rFonts w:ascii="Arial" w:hAnsi="Arial" w:cs="Arial"/>
          <w:sz w:val="24"/>
          <w:szCs w:val="24"/>
        </w:rPr>
        <w:t>rged.</w:t>
      </w:r>
      <w:r w:rsidR="006121EF" w:rsidRPr="00CA69BE">
        <w:rPr>
          <w:rFonts w:ascii="Arial" w:hAnsi="Arial" w:cs="Arial"/>
          <w:sz w:val="24"/>
          <w:szCs w:val="24"/>
        </w:rPr>
        <w:t xml:space="preserve"> </w:t>
      </w:r>
      <w:r w:rsidR="003652C1" w:rsidRPr="00CA69BE">
        <w:rPr>
          <w:rFonts w:ascii="Arial" w:hAnsi="Arial" w:cs="Arial"/>
          <w:sz w:val="24"/>
          <w:szCs w:val="24"/>
        </w:rPr>
        <w:t xml:space="preserve">One of those </w:t>
      </w:r>
      <w:r w:rsidR="006121EF" w:rsidRPr="00CA69BE">
        <w:rPr>
          <w:rFonts w:ascii="Arial" w:hAnsi="Arial" w:cs="Arial"/>
          <w:sz w:val="24"/>
          <w:szCs w:val="24"/>
        </w:rPr>
        <w:t>in</w:t>
      </w:r>
      <w:r w:rsidR="006A5A6B" w:rsidRPr="00CA69BE">
        <w:rPr>
          <w:rFonts w:ascii="Arial" w:hAnsi="Arial" w:cs="Arial"/>
          <w:sz w:val="24"/>
          <w:szCs w:val="24"/>
        </w:rPr>
        <w:t>s</w:t>
      </w:r>
      <w:r w:rsidR="006121EF" w:rsidRPr="00CA69BE">
        <w:rPr>
          <w:rFonts w:ascii="Arial" w:hAnsi="Arial" w:cs="Arial"/>
          <w:sz w:val="24"/>
          <w:szCs w:val="24"/>
        </w:rPr>
        <w:t>tances,</w:t>
      </w:r>
      <w:r w:rsidR="003652C1" w:rsidRPr="00CA69BE">
        <w:rPr>
          <w:rFonts w:ascii="Arial" w:hAnsi="Arial" w:cs="Arial"/>
          <w:sz w:val="24"/>
          <w:szCs w:val="24"/>
        </w:rPr>
        <w:t xml:space="preserve"> as recently recognised </w:t>
      </w:r>
      <w:r w:rsidR="00902108" w:rsidRPr="00CA69BE">
        <w:rPr>
          <w:rFonts w:ascii="Arial" w:hAnsi="Arial" w:cs="Arial"/>
          <w:sz w:val="24"/>
          <w:szCs w:val="24"/>
        </w:rPr>
        <w:t>in</w:t>
      </w:r>
      <w:r w:rsidR="006A5A6B" w:rsidRPr="00CA69BE">
        <w:rPr>
          <w:rFonts w:ascii="Arial" w:hAnsi="Arial" w:cs="Arial"/>
          <w:sz w:val="24"/>
          <w:szCs w:val="24"/>
        </w:rPr>
        <w:t xml:space="preserve"> this division in</w:t>
      </w:r>
      <w:r w:rsidR="00902108" w:rsidRPr="00CA69BE">
        <w:rPr>
          <w:rFonts w:ascii="Arial" w:hAnsi="Arial" w:cs="Arial"/>
          <w:sz w:val="24"/>
          <w:szCs w:val="24"/>
        </w:rPr>
        <w:t xml:space="preserve"> the </w:t>
      </w:r>
      <w:r w:rsidR="00902108" w:rsidRPr="00CA69BE">
        <w:rPr>
          <w:rFonts w:ascii="Arial" w:hAnsi="Arial" w:cs="Arial"/>
          <w:i/>
          <w:iCs/>
          <w:sz w:val="24"/>
          <w:szCs w:val="24"/>
        </w:rPr>
        <w:t>Mazetti</w:t>
      </w:r>
      <w:r w:rsidR="00902108" w:rsidRPr="00CA69BE">
        <w:rPr>
          <w:rFonts w:ascii="Arial" w:hAnsi="Arial" w:cs="Arial"/>
          <w:sz w:val="24"/>
          <w:szCs w:val="24"/>
        </w:rPr>
        <w:t xml:space="preserve"> case </w:t>
      </w:r>
      <w:r w:rsidR="004C0C9B" w:rsidRPr="00CA69BE">
        <w:rPr>
          <w:rFonts w:ascii="Arial" w:hAnsi="Arial" w:cs="Arial"/>
          <w:sz w:val="24"/>
          <w:szCs w:val="24"/>
        </w:rPr>
        <w:t>was</w:t>
      </w:r>
      <w:r w:rsidR="002A6E04" w:rsidRPr="00CA69BE">
        <w:rPr>
          <w:rFonts w:ascii="Arial" w:hAnsi="Arial" w:cs="Arial"/>
          <w:sz w:val="24"/>
          <w:szCs w:val="24"/>
        </w:rPr>
        <w:t xml:space="preserve"> that </w:t>
      </w:r>
      <w:r w:rsidR="002A6E04" w:rsidRPr="00CA69BE">
        <w:rPr>
          <w:rFonts w:ascii="Arial" w:hAnsi="Arial" w:cs="Arial"/>
          <w:sz w:val="24"/>
          <w:szCs w:val="24"/>
        </w:rPr>
        <w:lastRenderedPageBreak/>
        <w:t>of</w:t>
      </w:r>
      <w:r w:rsidR="004C0C9B" w:rsidRPr="00CA69BE">
        <w:rPr>
          <w:rFonts w:ascii="Arial" w:hAnsi="Arial" w:cs="Arial"/>
          <w:sz w:val="24"/>
          <w:szCs w:val="24"/>
        </w:rPr>
        <w:t xml:space="preserve">: </w:t>
      </w:r>
      <w:r w:rsidR="004C0C9B" w:rsidRPr="00CA69BE">
        <w:rPr>
          <w:rFonts w:ascii="Arial" w:hAnsi="Arial" w:cs="Arial"/>
          <w:i/>
          <w:iCs/>
          <w:sz w:val="24"/>
          <w:szCs w:val="24"/>
        </w:rPr>
        <w:t>“</w:t>
      </w:r>
      <w:r w:rsidR="007A46C2" w:rsidRPr="00CA69BE">
        <w:rPr>
          <w:rFonts w:ascii="Arial" w:hAnsi="Arial" w:cs="Arial"/>
          <w:i/>
          <w:iCs/>
          <w:sz w:val="24"/>
          <w:szCs w:val="24"/>
        </w:rPr>
        <w:t>…</w:t>
      </w:r>
      <w:r w:rsidR="004C0C9B" w:rsidRPr="00CA69BE">
        <w:rPr>
          <w:rFonts w:ascii="Arial" w:hAnsi="Arial" w:cs="Arial"/>
          <w:i/>
          <w:iCs/>
          <w:sz w:val="24"/>
          <w:szCs w:val="24"/>
        </w:rPr>
        <w:t xml:space="preserve"> </w:t>
      </w:r>
      <w:r w:rsidR="00B46F0D" w:rsidRPr="00CA69BE">
        <w:rPr>
          <w:rFonts w:ascii="Arial" w:hAnsi="Arial" w:cs="Arial"/>
          <w:i/>
          <w:iCs/>
          <w:sz w:val="24"/>
          <w:szCs w:val="24"/>
        </w:rPr>
        <w:t xml:space="preserve"> a creditor who seeks to freeze the bank account of a debtor </w:t>
      </w:r>
      <w:r w:rsidR="00E57CDE" w:rsidRPr="00CA69BE">
        <w:rPr>
          <w:rFonts w:ascii="Arial" w:hAnsi="Arial" w:cs="Arial"/>
          <w:i/>
          <w:iCs/>
          <w:sz w:val="24"/>
          <w:szCs w:val="24"/>
        </w:rPr>
        <w:t>when grounds exist to fear illegitimate dissipation especially in insolvency proceedings.”</w:t>
      </w:r>
      <w:r w:rsidR="00A95327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5"/>
      </w:r>
    </w:p>
    <w:p w14:paraId="311F8ECB" w14:textId="2ABE085A" w:rsidR="00903011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[23]</w:t>
      </w:r>
      <w:r>
        <w:rPr>
          <w:rFonts w:ascii="Arial" w:hAnsi="Arial" w:cs="Arial"/>
          <w:sz w:val="24"/>
          <w:szCs w:val="24"/>
        </w:rPr>
        <w:tab/>
      </w:r>
      <w:r w:rsidR="008F4676" w:rsidRPr="00CA69BE">
        <w:rPr>
          <w:rFonts w:ascii="Arial" w:hAnsi="Arial" w:cs="Arial"/>
          <w:sz w:val="24"/>
          <w:szCs w:val="24"/>
        </w:rPr>
        <w:t xml:space="preserve">Crowd Tech’s choice to institute proceedings </w:t>
      </w:r>
      <w:r w:rsidR="00903011" w:rsidRPr="00CA69BE">
        <w:rPr>
          <w:rFonts w:ascii="Arial" w:hAnsi="Arial" w:cs="Arial"/>
          <w:i/>
          <w:iCs/>
          <w:sz w:val="24"/>
          <w:szCs w:val="24"/>
        </w:rPr>
        <w:t>ex parte</w:t>
      </w:r>
      <w:r w:rsidR="00297D05" w:rsidRPr="00CA69BE">
        <w:rPr>
          <w:rFonts w:ascii="Arial" w:hAnsi="Arial" w:cs="Arial"/>
          <w:i/>
          <w:iCs/>
          <w:sz w:val="24"/>
          <w:szCs w:val="24"/>
        </w:rPr>
        <w:t>,</w:t>
      </w:r>
      <w:r w:rsidR="00903011" w:rsidRPr="00CA69BE">
        <w:rPr>
          <w:rFonts w:ascii="Arial" w:hAnsi="Arial" w:cs="Arial"/>
          <w:sz w:val="24"/>
          <w:szCs w:val="24"/>
        </w:rPr>
        <w:t xml:space="preserve"> was not </w:t>
      </w:r>
      <w:r w:rsidR="00297D05" w:rsidRPr="00CA69BE">
        <w:rPr>
          <w:rFonts w:ascii="Arial" w:hAnsi="Arial" w:cs="Arial"/>
          <w:sz w:val="24"/>
          <w:szCs w:val="24"/>
        </w:rPr>
        <w:t xml:space="preserve">on its own, </w:t>
      </w:r>
      <w:r w:rsidR="00903011" w:rsidRPr="00CA69BE">
        <w:rPr>
          <w:rFonts w:ascii="Arial" w:hAnsi="Arial" w:cs="Arial"/>
          <w:sz w:val="24"/>
          <w:szCs w:val="24"/>
        </w:rPr>
        <w:t>objectionable</w:t>
      </w:r>
      <w:r w:rsidR="00B21EC1">
        <w:rPr>
          <w:rFonts w:ascii="Arial" w:hAnsi="Arial" w:cs="Arial"/>
          <w:sz w:val="24"/>
          <w:szCs w:val="24"/>
        </w:rPr>
        <w:t>,</w:t>
      </w:r>
      <w:r w:rsidR="00903011" w:rsidRPr="00CA69BE">
        <w:rPr>
          <w:rFonts w:ascii="Arial" w:hAnsi="Arial" w:cs="Arial"/>
          <w:sz w:val="24"/>
          <w:szCs w:val="24"/>
        </w:rPr>
        <w:t xml:space="preserve"> as if the facts before the court were correct</w:t>
      </w:r>
      <w:r w:rsidR="00476E80" w:rsidRPr="00CA69BE">
        <w:rPr>
          <w:rFonts w:ascii="Arial" w:hAnsi="Arial" w:cs="Arial"/>
          <w:sz w:val="24"/>
          <w:szCs w:val="24"/>
        </w:rPr>
        <w:t>,</w:t>
      </w:r>
      <w:r w:rsidR="00903011" w:rsidRPr="00CA69BE">
        <w:rPr>
          <w:rFonts w:ascii="Arial" w:hAnsi="Arial" w:cs="Arial"/>
          <w:sz w:val="24"/>
          <w:szCs w:val="24"/>
        </w:rPr>
        <w:t xml:space="preserve"> it fell into one of the classic cases justifying its use.</w:t>
      </w:r>
    </w:p>
    <w:p w14:paraId="4AEFE87D" w14:textId="2AA7D816" w:rsidR="00531EC6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[24]</w:t>
      </w:r>
      <w:r>
        <w:rPr>
          <w:rFonts w:ascii="Arial" w:hAnsi="Arial" w:cs="Arial"/>
          <w:sz w:val="24"/>
          <w:szCs w:val="24"/>
        </w:rPr>
        <w:tab/>
      </w:r>
      <w:r w:rsidR="00903011" w:rsidRPr="00CA69BE">
        <w:rPr>
          <w:rFonts w:ascii="Arial" w:hAnsi="Arial" w:cs="Arial"/>
          <w:sz w:val="24"/>
          <w:szCs w:val="24"/>
        </w:rPr>
        <w:t xml:space="preserve">The next question is whether </w:t>
      </w:r>
      <w:r w:rsidR="009611F0" w:rsidRPr="00CA69BE">
        <w:rPr>
          <w:rFonts w:ascii="Arial" w:hAnsi="Arial" w:cs="Arial"/>
          <w:sz w:val="24"/>
          <w:szCs w:val="24"/>
        </w:rPr>
        <w:t>Crowd Tech’s</w:t>
      </w:r>
      <w:r w:rsidR="0056790E" w:rsidRPr="00CA69BE">
        <w:rPr>
          <w:rFonts w:ascii="Arial" w:hAnsi="Arial" w:cs="Arial"/>
          <w:sz w:val="24"/>
          <w:szCs w:val="24"/>
        </w:rPr>
        <w:t xml:space="preserve"> </w:t>
      </w:r>
      <w:r w:rsidR="00421EEA" w:rsidRPr="00CA69BE">
        <w:rPr>
          <w:rFonts w:ascii="Arial" w:hAnsi="Arial" w:cs="Arial"/>
          <w:sz w:val="24"/>
          <w:szCs w:val="24"/>
        </w:rPr>
        <w:t xml:space="preserve">use of the withdrawal instruction was </w:t>
      </w:r>
      <w:r w:rsidR="006D7B81" w:rsidRPr="00CA69BE">
        <w:rPr>
          <w:rFonts w:ascii="Arial" w:hAnsi="Arial" w:cs="Arial"/>
          <w:sz w:val="24"/>
          <w:szCs w:val="24"/>
        </w:rPr>
        <w:t>use of illegally obtained evidence</w:t>
      </w:r>
      <w:r w:rsidR="002B4C33" w:rsidRPr="00CA69BE">
        <w:rPr>
          <w:rFonts w:ascii="Arial" w:hAnsi="Arial" w:cs="Arial"/>
          <w:sz w:val="24"/>
          <w:szCs w:val="24"/>
        </w:rPr>
        <w:t xml:space="preserve"> which should not have been </w:t>
      </w:r>
      <w:r w:rsidR="00ED7B3A" w:rsidRPr="00CA69BE">
        <w:rPr>
          <w:rFonts w:ascii="Arial" w:hAnsi="Arial" w:cs="Arial"/>
          <w:sz w:val="24"/>
          <w:szCs w:val="24"/>
        </w:rPr>
        <w:t>placed before the court</w:t>
      </w:r>
      <w:r w:rsidR="002942B9" w:rsidRPr="00CA69B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942B9" w:rsidRPr="00CA69BE">
        <w:rPr>
          <w:rFonts w:ascii="Arial" w:hAnsi="Arial" w:cs="Arial"/>
          <w:sz w:val="24"/>
          <w:szCs w:val="24"/>
        </w:rPr>
        <w:t>Prokas</w:t>
      </w:r>
      <w:proofErr w:type="spellEnd"/>
      <w:r w:rsidR="002942B9" w:rsidRPr="00CA69BE">
        <w:rPr>
          <w:rFonts w:ascii="Arial" w:hAnsi="Arial" w:cs="Arial"/>
          <w:sz w:val="24"/>
          <w:szCs w:val="24"/>
        </w:rPr>
        <w:t xml:space="preserve"> alleges that the document could only have been accessed using a code know</w:t>
      </w:r>
      <w:r w:rsidR="00E5132E" w:rsidRPr="00CA69BE">
        <w:rPr>
          <w:rFonts w:ascii="Arial" w:hAnsi="Arial" w:cs="Arial"/>
          <w:sz w:val="24"/>
          <w:szCs w:val="24"/>
        </w:rPr>
        <w:t>n</w:t>
      </w:r>
      <w:r w:rsidR="002942B9" w:rsidRPr="00CA69BE">
        <w:rPr>
          <w:rFonts w:ascii="Arial" w:hAnsi="Arial" w:cs="Arial"/>
          <w:sz w:val="24"/>
          <w:szCs w:val="24"/>
        </w:rPr>
        <w:t xml:space="preserve"> to him. Crowd Tech denies i</w:t>
      </w:r>
      <w:r w:rsidR="00E857A5" w:rsidRPr="00CA69BE">
        <w:rPr>
          <w:rFonts w:ascii="Arial" w:hAnsi="Arial" w:cs="Arial"/>
          <w:sz w:val="24"/>
          <w:szCs w:val="24"/>
        </w:rPr>
        <w:t>t</w:t>
      </w:r>
      <w:r w:rsidR="002942B9" w:rsidRPr="00CA69BE">
        <w:rPr>
          <w:rFonts w:ascii="Arial" w:hAnsi="Arial" w:cs="Arial"/>
          <w:sz w:val="24"/>
          <w:szCs w:val="24"/>
        </w:rPr>
        <w:t xml:space="preserve"> was illegally obtained but offers no explanation of how it obtained the document. I will assume for the present purposes that it was illegally obtained. Whilst our law on the use of illegally obtained evidence</w:t>
      </w:r>
      <w:r w:rsidR="00002341" w:rsidRPr="00CA69BE">
        <w:rPr>
          <w:rFonts w:ascii="Arial" w:hAnsi="Arial" w:cs="Arial"/>
          <w:sz w:val="24"/>
          <w:szCs w:val="24"/>
        </w:rPr>
        <w:t xml:space="preserve"> in civil proceedings</w:t>
      </w:r>
      <w:r w:rsidR="002942B9" w:rsidRPr="00CA69BE">
        <w:rPr>
          <w:rFonts w:ascii="Arial" w:hAnsi="Arial" w:cs="Arial"/>
          <w:sz w:val="24"/>
          <w:szCs w:val="24"/>
        </w:rPr>
        <w:t xml:space="preserve"> is evolving</w:t>
      </w:r>
      <w:r w:rsidR="00213CCA" w:rsidRPr="00CA69BE">
        <w:rPr>
          <w:rFonts w:ascii="Arial" w:hAnsi="Arial" w:cs="Arial"/>
          <w:sz w:val="24"/>
          <w:szCs w:val="24"/>
        </w:rPr>
        <w:t>,</w:t>
      </w:r>
      <w:r w:rsidR="002942B9" w:rsidRPr="00CA69BE">
        <w:rPr>
          <w:rFonts w:ascii="Arial" w:hAnsi="Arial" w:cs="Arial"/>
          <w:sz w:val="24"/>
          <w:szCs w:val="24"/>
        </w:rPr>
        <w:t xml:space="preserve"> sin</w:t>
      </w:r>
      <w:r w:rsidR="005642C6" w:rsidRPr="00CA69BE">
        <w:rPr>
          <w:rFonts w:ascii="Arial" w:hAnsi="Arial" w:cs="Arial"/>
          <w:sz w:val="24"/>
          <w:szCs w:val="24"/>
        </w:rPr>
        <w:t xml:space="preserve">ce the adoption of our </w:t>
      </w:r>
      <w:r w:rsidR="00B21EC1">
        <w:rPr>
          <w:rFonts w:ascii="Arial" w:hAnsi="Arial" w:cs="Arial"/>
          <w:sz w:val="24"/>
          <w:szCs w:val="24"/>
        </w:rPr>
        <w:t>C</w:t>
      </w:r>
      <w:r w:rsidR="00002341" w:rsidRPr="00CA69BE">
        <w:rPr>
          <w:rFonts w:ascii="Arial" w:hAnsi="Arial" w:cs="Arial"/>
          <w:sz w:val="24"/>
          <w:szCs w:val="24"/>
        </w:rPr>
        <w:t>onstitution</w:t>
      </w:r>
      <w:r w:rsidR="006A1F32" w:rsidRPr="00CA69BE">
        <w:rPr>
          <w:rFonts w:ascii="Arial" w:hAnsi="Arial" w:cs="Arial"/>
          <w:sz w:val="24"/>
          <w:szCs w:val="24"/>
        </w:rPr>
        <w:t>,</w:t>
      </w:r>
      <w:r w:rsidR="005642C6" w:rsidRPr="00CA69BE">
        <w:rPr>
          <w:rFonts w:ascii="Arial" w:hAnsi="Arial" w:cs="Arial"/>
          <w:sz w:val="24"/>
          <w:szCs w:val="24"/>
        </w:rPr>
        <w:t xml:space="preserve"> from a common law rule to </w:t>
      </w:r>
      <w:r w:rsidR="00A05CC1" w:rsidRPr="00CA69BE">
        <w:rPr>
          <w:rFonts w:ascii="Arial" w:hAnsi="Arial" w:cs="Arial"/>
          <w:sz w:val="24"/>
          <w:szCs w:val="24"/>
        </w:rPr>
        <w:t xml:space="preserve">always </w:t>
      </w:r>
      <w:r w:rsidR="005642C6" w:rsidRPr="00CA69BE">
        <w:rPr>
          <w:rFonts w:ascii="Arial" w:hAnsi="Arial" w:cs="Arial"/>
          <w:sz w:val="24"/>
          <w:szCs w:val="24"/>
        </w:rPr>
        <w:t xml:space="preserve">admit </w:t>
      </w:r>
      <w:r w:rsidR="00002341" w:rsidRPr="00CA69BE">
        <w:rPr>
          <w:rFonts w:ascii="Arial" w:hAnsi="Arial" w:cs="Arial"/>
          <w:sz w:val="24"/>
          <w:szCs w:val="24"/>
        </w:rPr>
        <w:t>this evidence</w:t>
      </w:r>
      <w:r w:rsidR="006A1F32" w:rsidRPr="00CA69BE">
        <w:rPr>
          <w:rFonts w:ascii="Arial" w:hAnsi="Arial" w:cs="Arial"/>
          <w:sz w:val="24"/>
          <w:szCs w:val="24"/>
        </w:rPr>
        <w:t>,</w:t>
      </w:r>
      <w:r w:rsidR="00002341" w:rsidRPr="00CA69BE">
        <w:rPr>
          <w:rFonts w:ascii="Arial" w:hAnsi="Arial" w:cs="Arial"/>
          <w:sz w:val="24"/>
          <w:szCs w:val="24"/>
        </w:rPr>
        <w:t xml:space="preserve"> </w:t>
      </w:r>
      <w:r w:rsidR="005642C6" w:rsidRPr="00CA69BE">
        <w:rPr>
          <w:rFonts w:ascii="Arial" w:hAnsi="Arial" w:cs="Arial"/>
          <w:sz w:val="24"/>
          <w:szCs w:val="24"/>
        </w:rPr>
        <w:t>to</w:t>
      </w:r>
      <w:r w:rsidR="0048414B" w:rsidRPr="00CA69BE">
        <w:rPr>
          <w:rFonts w:ascii="Arial" w:hAnsi="Arial" w:cs="Arial"/>
          <w:sz w:val="24"/>
          <w:szCs w:val="24"/>
        </w:rPr>
        <w:t xml:space="preserve"> now</w:t>
      </w:r>
      <w:r w:rsidR="005642C6" w:rsidRPr="00CA69BE">
        <w:rPr>
          <w:rFonts w:ascii="Arial" w:hAnsi="Arial" w:cs="Arial"/>
          <w:sz w:val="24"/>
          <w:szCs w:val="24"/>
        </w:rPr>
        <w:t xml:space="preserve"> a </w:t>
      </w:r>
      <w:r w:rsidR="008B0B1A" w:rsidRPr="00CA69BE">
        <w:rPr>
          <w:rFonts w:ascii="Arial" w:hAnsi="Arial" w:cs="Arial"/>
          <w:sz w:val="24"/>
          <w:szCs w:val="24"/>
        </w:rPr>
        <w:t>more nuanced approach to give courts a discretion</w:t>
      </w:r>
      <w:r w:rsidR="000142B8" w:rsidRPr="00CA69BE">
        <w:rPr>
          <w:rFonts w:ascii="Arial" w:hAnsi="Arial" w:cs="Arial"/>
          <w:sz w:val="24"/>
          <w:szCs w:val="24"/>
        </w:rPr>
        <w:t>,</w:t>
      </w:r>
      <w:r w:rsidR="008B0B1A" w:rsidRPr="00CA69BE">
        <w:rPr>
          <w:rFonts w:ascii="Arial" w:hAnsi="Arial" w:cs="Arial"/>
          <w:sz w:val="24"/>
          <w:szCs w:val="24"/>
        </w:rPr>
        <w:t xml:space="preserve"> I do not consider this a case where the point has to be decided more </w:t>
      </w:r>
      <w:r w:rsidR="00566781" w:rsidRPr="00CA69BE">
        <w:rPr>
          <w:rFonts w:ascii="Arial" w:hAnsi="Arial" w:cs="Arial"/>
          <w:sz w:val="24"/>
          <w:szCs w:val="24"/>
        </w:rPr>
        <w:t>definitively</w:t>
      </w:r>
      <w:r w:rsidR="008B0B1A" w:rsidRPr="00CA69BE">
        <w:rPr>
          <w:rFonts w:ascii="Arial" w:hAnsi="Arial" w:cs="Arial"/>
          <w:sz w:val="24"/>
          <w:szCs w:val="24"/>
        </w:rPr>
        <w:t xml:space="preserve"> </w:t>
      </w:r>
      <w:r w:rsidR="00566781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8B0B1A" w:rsidRPr="00CA69BE">
        <w:rPr>
          <w:rFonts w:ascii="Arial" w:hAnsi="Arial" w:cs="Arial"/>
          <w:sz w:val="24"/>
          <w:szCs w:val="24"/>
        </w:rPr>
        <w:t xml:space="preserve">. I will accept for present purposes that where an illegally obtained document </w:t>
      </w:r>
      <w:r w:rsidR="00F47676" w:rsidRPr="00CA69BE">
        <w:rPr>
          <w:rFonts w:ascii="Arial" w:hAnsi="Arial" w:cs="Arial"/>
          <w:sz w:val="24"/>
          <w:szCs w:val="24"/>
        </w:rPr>
        <w:t>in a freezin</w:t>
      </w:r>
      <w:r w:rsidR="00531EC6" w:rsidRPr="00CA69BE">
        <w:rPr>
          <w:rFonts w:ascii="Arial" w:hAnsi="Arial" w:cs="Arial"/>
          <w:sz w:val="24"/>
          <w:szCs w:val="24"/>
        </w:rPr>
        <w:t>g</w:t>
      </w:r>
      <w:r w:rsidR="00F47676" w:rsidRPr="00CA69BE">
        <w:rPr>
          <w:rFonts w:ascii="Arial" w:hAnsi="Arial" w:cs="Arial"/>
          <w:sz w:val="24"/>
          <w:szCs w:val="24"/>
        </w:rPr>
        <w:t xml:space="preserve"> application serves as evidence of </w:t>
      </w:r>
      <w:r w:rsidR="006D1E03" w:rsidRPr="00CA69BE">
        <w:rPr>
          <w:rFonts w:ascii="Arial" w:hAnsi="Arial" w:cs="Arial"/>
          <w:sz w:val="24"/>
          <w:szCs w:val="24"/>
        </w:rPr>
        <w:t>an act of alleged dissipation</w:t>
      </w:r>
      <w:r w:rsidR="000142B8" w:rsidRPr="00CA69BE">
        <w:rPr>
          <w:rFonts w:ascii="Arial" w:hAnsi="Arial" w:cs="Arial"/>
          <w:sz w:val="24"/>
          <w:szCs w:val="24"/>
        </w:rPr>
        <w:t>,</w:t>
      </w:r>
      <w:r w:rsidR="006D1E03" w:rsidRPr="00CA69BE">
        <w:rPr>
          <w:rFonts w:ascii="Arial" w:hAnsi="Arial" w:cs="Arial"/>
          <w:sz w:val="24"/>
          <w:szCs w:val="24"/>
        </w:rPr>
        <w:t xml:space="preserve"> based on a</w:t>
      </w:r>
      <w:r w:rsidR="000142B8" w:rsidRPr="00CA69BE">
        <w:rPr>
          <w:rFonts w:ascii="Arial" w:hAnsi="Arial" w:cs="Arial"/>
          <w:sz w:val="24"/>
          <w:szCs w:val="24"/>
        </w:rPr>
        <w:t xml:space="preserve">n authentic </w:t>
      </w:r>
      <w:r w:rsidR="00245119" w:rsidRPr="00CA69BE">
        <w:rPr>
          <w:rFonts w:ascii="Arial" w:hAnsi="Arial" w:cs="Arial"/>
          <w:sz w:val="24"/>
          <w:szCs w:val="24"/>
        </w:rPr>
        <w:t xml:space="preserve">instruction to a </w:t>
      </w:r>
      <w:r w:rsidR="006D1E03" w:rsidRPr="00CA69BE">
        <w:rPr>
          <w:rFonts w:ascii="Arial" w:hAnsi="Arial" w:cs="Arial"/>
          <w:sz w:val="24"/>
          <w:szCs w:val="24"/>
        </w:rPr>
        <w:t>bank</w:t>
      </w:r>
      <w:r w:rsidR="00E134A2" w:rsidRPr="00CA69BE">
        <w:rPr>
          <w:rFonts w:ascii="Arial" w:hAnsi="Arial" w:cs="Arial"/>
          <w:sz w:val="24"/>
          <w:szCs w:val="24"/>
        </w:rPr>
        <w:t>,</w:t>
      </w:r>
      <w:r w:rsidR="006D1E03" w:rsidRPr="00CA69BE">
        <w:rPr>
          <w:rFonts w:ascii="Arial" w:hAnsi="Arial" w:cs="Arial"/>
          <w:sz w:val="24"/>
          <w:szCs w:val="24"/>
        </w:rPr>
        <w:t xml:space="preserve"> such evidence could be accepted </w:t>
      </w:r>
      <w:r w:rsidR="00531EC6" w:rsidRPr="00CA69BE">
        <w:rPr>
          <w:rFonts w:ascii="Arial" w:hAnsi="Arial" w:cs="Arial"/>
          <w:sz w:val="24"/>
          <w:szCs w:val="24"/>
        </w:rPr>
        <w:t>in the interests of justice.</w:t>
      </w:r>
    </w:p>
    <w:p w14:paraId="0E664F9F" w14:textId="4CDEC594" w:rsidR="00BD2E70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[25]</w:t>
      </w:r>
      <w:r>
        <w:rPr>
          <w:rFonts w:ascii="Arial" w:hAnsi="Arial" w:cs="Arial"/>
          <w:sz w:val="24"/>
          <w:szCs w:val="24"/>
        </w:rPr>
        <w:tab/>
      </w:r>
      <w:r w:rsidR="00BD2E70" w:rsidRPr="00CA69BE">
        <w:rPr>
          <w:rFonts w:ascii="Arial" w:hAnsi="Arial" w:cs="Arial"/>
          <w:sz w:val="24"/>
          <w:szCs w:val="24"/>
        </w:rPr>
        <w:t xml:space="preserve">I now turn to the question of whether Crowd Tech acted in good </w:t>
      </w:r>
      <w:r w:rsidR="009A5BD2" w:rsidRPr="00CA69BE">
        <w:rPr>
          <w:rFonts w:ascii="Arial" w:hAnsi="Arial" w:cs="Arial"/>
          <w:sz w:val="24"/>
          <w:szCs w:val="24"/>
        </w:rPr>
        <w:t xml:space="preserve">faith given this was an </w:t>
      </w:r>
      <w:r w:rsidR="009A5BD2" w:rsidRPr="00CA69BE">
        <w:rPr>
          <w:rFonts w:ascii="Arial" w:hAnsi="Arial" w:cs="Arial"/>
          <w:i/>
          <w:iCs/>
          <w:sz w:val="24"/>
          <w:szCs w:val="24"/>
        </w:rPr>
        <w:t>ex parte</w:t>
      </w:r>
      <w:r w:rsidR="009A5BD2" w:rsidRPr="00CA69BE">
        <w:rPr>
          <w:rFonts w:ascii="Arial" w:hAnsi="Arial" w:cs="Arial"/>
          <w:sz w:val="24"/>
          <w:szCs w:val="24"/>
        </w:rPr>
        <w:t xml:space="preserve"> application.</w:t>
      </w:r>
    </w:p>
    <w:p w14:paraId="48CF9628" w14:textId="31257548" w:rsidR="00E769C3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[26]</w:t>
      </w:r>
      <w:r>
        <w:rPr>
          <w:rFonts w:ascii="Arial" w:hAnsi="Arial" w:cs="Arial"/>
          <w:sz w:val="24"/>
          <w:szCs w:val="24"/>
        </w:rPr>
        <w:tab/>
      </w:r>
      <w:r w:rsidR="00F854E1" w:rsidRPr="00CA69BE">
        <w:rPr>
          <w:rFonts w:ascii="Arial" w:hAnsi="Arial" w:cs="Arial"/>
          <w:sz w:val="24"/>
          <w:szCs w:val="24"/>
        </w:rPr>
        <w:t xml:space="preserve">It is a trite principle of law that </w:t>
      </w:r>
      <w:r w:rsidR="00B7137D" w:rsidRPr="00CA69BE">
        <w:rPr>
          <w:rFonts w:ascii="Arial" w:hAnsi="Arial" w:cs="Arial"/>
          <w:sz w:val="24"/>
          <w:szCs w:val="24"/>
        </w:rPr>
        <w:t>good faith is a “</w:t>
      </w:r>
      <w:r w:rsidR="00B7137D" w:rsidRPr="00CA69BE">
        <w:rPr>
          <w:rFonts w:ascii="Arial" w:hAnsi="Arial" w:cs="Arial"/>
          <w:i/>
          <w:iCs/>
          <w:sz w:val="24"/>
          <w:szCs w:val="24"/>
        </w:rPr>
        <w:t xml:space="preserve">sine qua non in an ex parte </w:t>
      </w:r>
      <w:r w:rsidR="00B7137D" w:rsidRPr="00CA69BE">
        <w:rPr>
          <w:rFonts w:ascii="Arial" w:hAnsi="Arial" w:cs="Arial"/>
          <w:sz w:val="24"/>
          <w:szCs w:val="24"/>
        </w:rPr>
        <w:t>application</w:t>
      </w:r>
      <w:r w:rsidR="00B7137D" w:rsidRPr="00CA69BE">
        <w:rPr>
          <w:rFonts w:ascii="Arial" w:hAnsi="Arial" w:cs="Arial"/>
          <w:i/>
          <w:iCs/>
          <w:sz w:val="24"/>
          <w:szCs w:val="24"/>
        </w:rPr>
        <w:t>.”</w:t>
      </w:r>
      <w:r w:rsidR="00B7137D"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596692" w:rsidRPr="00CA69BE">
        <w:rPr>
          <w:rFonts w:ascii="Arial" w:hAnsi="Arial" w:cs="Arial"/>
          <w:sz w:val="24"/>
          <w:szCs w:val="24"/>
        </w:rPr>
        <w:t xml:space="preserve"> But </w:t>
      </w:r>
      <w:r w:rsidR="00AA7C13" w:rsidRPr="00CA69BE">
        <w:rPr>
          <w:rFonts w:ascii="Arial" w:hAnsi="Arial" w:cs="Arial"/>
          <w:sz w:val="24"/>
          <w:szCs w:val="24"/>
        </w:rPr>
        <w:t>th</w:t>
      </w:r>
      <w:r w:rsidR="0059693D" w:rsidRPr="00CA69BE">
        <w:rPr>
          <w:rFonts w:ascii="Arial" w:hAnsi="Arial" w:cs="Arial"/>
          <w:sz w:val="24"/>
          <w:szCs w:val="24"/>
        </w:rPr>
        <w:t xml:space="preserve">e duty to disclose goes further than </w:t>
      </w:r>
      <w:r w:rsidR="009A5BD2" w:rsidRPr="00CA69BE">
        <w:rPr>
          <w:rFonts w:ascii="Arial" w:hAnsi="Arial" w:cs="Arial"/>
          <w:sz w:val="24"/>
          <w:szCs w:val="24"/>
        </w:rPr>
        <w:t>merely acting in good faith</w:t>
      </w:r>
      <w:r w:rsidR="0059693D" w:rsidRPr="00CA69BE">
        <w:rPr>
          <w:rFonts w:ascii="Arial" w:hAnsi="Arial" w:cs="Arial"/>
          <w:sz w:val="24"/>
          <w:szCs w:val="24"/>
        </w:rPr>
        <w:t>. Even where it is not show</w:t>
      </w:r>
      <w:r w:rsidR="00496589" w:rsidRPr="00CA69BE">
        <w:rPr>
          <w:rFonts w:ascii="Arial" w:hAnsi="Arial" w:cs="Arial"/>
          <w:sz w:val="24"/>
          <w:szCs w:val="24"/>
        </w:rPr>
        <w:t>n</w:t>
      </w:r>
      <w:r w:rsidR="0059693D" w:rsidRPr="00CA69BE">
        <w:rPr>
          <w:rFonts w:ascii="Arial" w:hAnsi="Arial" w:cs="Arial"/>
          <w:sz w:val="24"/>
          <w:szCs w:val="24"/>
        </w:rPr>
        <w:t xml:space="preserve"> that a party has acted </w:t>
      </w:r>
      <w:r w:rsidR="0059693D" w:rsidRPr="00CA69BE">
        <w:rPr>
          <w:rFonts w:ascii="Arial" w:hAnsi="Arial" w:cs="Arial"/>
          <w:i/>
          <w:iCs/>
          <w:sz w:val="24"/>
          <w:szCs w:val="24"/>
        </w:rPr>
        <w:t>mala fide</w:t>
      </w:r>
      <w:r w:rsidR="00AA7C13" w:rsidRPr="00CA69BE">
        <w:rPr>
          <w:rFonts w:ascii="Arial" w:hAnsi="Arial" w:cs="Arial"/>
          <w:sz w:val="24"/>
          <w:szCs w:val="24"/>
        </w:rPr>
        <w:t xml:space="preserve"> </w:t>
      </w:r>
      <w:r w:rsidR="00B31A65" w:rsidRPr="00CA69BE">
        <w:rPr>
          <w:rFonts w:ascii="Arial" w:hAnsi="Arial" w:cs="Arial"/>
          <w:sz w:val="24"/>
          <w:szCs w:val="24"/>
        </w:rPr>
        <w:t xml:space="preserve">the court can take into account whether the applicant </w:t>
      </w:r>
      <w:r w:rsidR="00422499" w:rsidRPr="00CA69BE">
        <w:rPr>
          <w:rFonts w:ascii="Arial" w:hAnsi="Arial" w:cs="Arial"/>
          <w:sz w:val="24"/>
          <w:szCs w:val="24"/>
        </w:rPr>
        <w:t>acted recklessly in the sense that it failed to disclose facts</w:t>
      </w:r>
      <w:r w:rsidR="003173FD" w:rsidRPr="00CA69BE">
        <w:rPr>
          <w:rFonts w:ascii="Arial" w:hAnsi="Arial" w:cs="Arial"/>
          <w:sz w:val="24"/>
          <w:szCs w:val="24"/>
        </w:rPr>
        <w:t xml:space="preserve">. In </w:t>
      </w:r>
      <w:r w:rsidR="003173FD" w:rsidRPr="00CA69BE">
        <w:rPr>
          <w:rFonts w:ascii="Arial" w:hAnsi="Arial" w:cs="Arial"/>
          <w:i/>
          <w:iCs/>
          <w:sz w:val="24"/>
          <w:szCs w:val="24"/>
        </w:rPr>
        <w:t xml:space="preserve">Schlesinger </w:t>
      </w:r>
      <w:r w:rsidR="00E769C3" w:rsidRPr="00CA69BE">
        <w:rPr>
          <w:rFonts w:ascii="Arial" w:hAnsi="Arial" w:cs="Arial"/>
          <w:i/>
          <w:iCs/>
          <w:sz w:val="24"/>
          <w:szCs w:val="24"/>
        </w:rPr>
        <w:t>v Schlesinger</w:t>
      </w:r>
      <w:r w:rsidR="00E769C3" w:rsidRPr="00CA69BE">
        <w:rPr>
          <w:rFonts w:ascii="Arial" w:hAnsi="Arial" w:cs="Arial"/>
          <w:sz w:val="24"/>
          <w:szCs w:val="24"/>
        </w:rPr>
        <w:t xml:space="preserve"> the court acknowledged the distinction </w:t>
      </w:r>
      <w:r w:rsidR="001D62AB" w:rsidRPr="00CA69BE">
        <w:rPr>
          <w:rFonts w:ascii="Arial" w:hAnsi="Arial" w:cs="Arial"/>
          <w:sz w:val="24"/>
          <w:szCs w:val="24"/>
        </w:rPr>
        <w:t xml:space="preserve">but nevertheless granted an award of </w:t>
      </w:r>
      <w:r w:rsidR="001B42B4" w:rsidRPr="00CA69BE">
        <w:rPr>
          <w:rFonts w:ascii="Arial" w:hAnsi="Arial" w:cs="Arial"/>
          <w:sz w:val="24"/>
          <w:szCs w:val="24"/>
        </w:rPr>
        <w:t>attorney</w:t>
      </w:r>
      <w:r w:rsidR="001D62AB" w:rsidRPr="00CA69BE">
        <w:rPr>
          <w:rFonts w:ascii="Arial" w:hAnsi="Arial" w:cs="Arial"/>
          <w:sz w:val="24"/>
          <w:szCs w:val="24"/>
        </w:rPr>
        <w:t xml:space="preserve"> client costs against the party who had brought the ex parte application holding that</w:t>
      </w:r>
      <w:r w:rsidR="008D38E8" w:rsidRPr="00CA69BE">
        <w:rPr>
          <w:rFonts w:ascii="Arial" w:hAnsi="Arial" w:cs="Arial"/>
          <w:sz w:val="24"/>
          <w:szCs w:val="24"/>
        </w:rPr>
        <w:t>:</w:t>
      </w:r>
    </w:p>
    <w:p w14:paraId="70FF0FFD" w14:textId="50CF0454" w:rsidR="00F854E1" w:rsidRDefault="00F452B5" w:rsidP="00DE4BD7">
      <w:pPr>
        <w:pStyle w:val="ListParagraph"/>
        <w:spacing w:after="360" w:line="480" w:lineRule="auto"/>
        <w:ind w:left="216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“</w:t>
      </w:r>
      <w:r w:rsidR="00E769C3" w:rsidRPr="00E769C3">
        <w:rPr>
          <w:rFonts w:ascii="Arial" w:hAnsi="Arial" w:cs="Arial"/>
          <w:i/>
          <w:iCs/>
          <w:sz w:val="24"/>
          <w:szCs w:val="24"/>
        </w:rPr>
        <w:t xml:space="preserve">The respondent </w:t>
      </w:r>
      <w:r w:rsidR="00D26348" w:rsidRPr="00E769C3">
        <w:rPr>
          <w:rFonts w:ascii="Arial" w:hAnsi="Arial" w:cs="Arial"/>
          <w:i/>
          <w:iCs/>
          <w:sz w:val="24"/>
          <w:szCs w:val="24"/>
        </w:rPr>
        <w:t>and her</w:t>
      </w:r>
      <w:r w:rsidR="00E769C3" w:rsidRPr="00E769C3">
        <w:rPr>
          <w:rFonts w:ascii="Arial" w:hAnsi="Arial" w:cs="Arial"/>
          <w:i/>
          <w:iCs/>
          <w:sz w:val="24"/>
          <w:szCs w:val="24"/>
        </w:rPr>
        <w:t xml:space="preserve"> legal advisers, in my opinion, brought the original application with a reckless disregard for the full and true facts in an effort to obtain some tactical advantage over the applicant or to use the pending action in South Africa </w:t>
      </w:r>
      <w:r w:rsidR="00E32776" w:rsidRPr="00E769C3">
        <w:rPr>
          <w:rFonts w:ascii="Arial" w:hAnsi="Arial" w:cs="Arial"/>
          <w:i/>
          <w:iCs/>
          <w:sz w:val="24"/>
          <w:szCs w:val="24"/>
        </w:rPr>
        <w:t>against</w:t>
      </w:r>
      <w:r w:rsidR="00E769C3" w:rsidRPr="00E769C3">
        <w:rPr>
          <w:rFonts w:ascii="Arial" w:hAnsi="Arial" w:cs="Arial"/>
          <w:i/>
          <w:iCs/>
          <w:sz w:val="24"/>
          <w:szCs w:val="24"/>
        </w:rPr>
        <w:t xml:space="preserve"> him in the matrimonial proceedings in Switzerland. I am not, however, imputing fraudulent conduct to either the respondent or her attorney, but a reckless disregard of a litigant's duty to a Court in making a full and frank disclosure of all known facts which might influence the Court in reaching a just conclusion.</w:t>
      </w:r>
      <w:r w:rsidR="00422499" w:rsidRPr="00E769C3">
        <w:rPr>
          <w:rFonts w:ascii="Arial" w:hAnsi="Arial" w:cs="Arial"/>
          <w:i/>
          <w:iCs/>
          <w:sz w:val="24"/>
          <w:szCs w:val="24"/>
        </w:rPr>
        <w:t xml:space="preserve"> </w:t>
      </w:r>
      <w:r w:rsidR="00F35745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8"/>
      </w:r>
    </w:p>
    <w:p w14:paraId="5B5833D1" w14:textId="6C8EC7F1" w:rsidR="001B42B4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[27]</w:t>
      </w:r>
      <w:r>
        <w:rPr>
          <w:rFonts w:ascii="Arial" w:hAnsi="Arial" w:cs="Arial"/>
          <w:sz w:val="24"/>
          <w:szCs w:val="24"/>
        </w:rPr>
        <w:tab/>
      </w:r>
      <w:r w:rsidR="0064713E" w:rsidRPr="00CA69BE">
        <w:rPr>
          <w:rFonts w:ascii="Arial" w:hAnsi="Arial" w:cs="Arial"/>
          <w:sz w:val="24"/>
          <w:szCs w:val="24"/>
        </w:rPr>
        <w:t>In this case I do not consider there is sufficient evidence to suggest that Crowd Tech and its attorneys acted in bad faith. Rather t</w:t>
      </w:r>
      <w:r w:rsidR="001B42B4" w:rsidRPr="00CA69BE">
        <w:rPr>
          <w:rFonts w:ascii="Arial" w:hAnsi="Arial" w:cs="Arial"/>
          <w:sz w:val="24"/>
          <w:szCs w:val="24"/>
        </w:rPr>
        <w:t xml:space="preserve">he question in this case is </w:t>
      </w:r>
      <w:r w:rsidR="001B42B4" w:rsidRPr="00CA69BE">
        <w:rPr>
          <w:rFonts w:ascii="Arial" w:hAnsi="Arial" w:cs="Arial"/>
          <w:sz w:val="24"/>
          <w:szCs w:val="24"/>
        </w:rPr>
        <w:lastRenderedPageBreak/>
        <w:t>whether there was a reckless dis</w:t>
      </w:r>
      <w:r w:rsidR="00447893" w:rsidRPr="00CA69BE">
        <w:rPr>
          <w:rFonts w:ascii="Arial" w:hAnsi="Arial" w:cs="Arial"/>
          <w:sz w:val="24"/>
          <w:szCs w:val="24"/>
        </w:rPr>
        <w:t xml:space="preserve">regard </w:t>
      </w:r>
      <w:r w:rsidR="00A520A0" w:rsidRPr="00CA69BE">
        <w:rPr>
          <w:rFonts w:ascii="Arial" w:hAnsi="Arial" w:cs="Arial"/>
          <w:sz w:val="24"/>
          <w:szCs w:val="24"/>
        </w:rPr>
        <w:t xml:space="preserve">of their duty to the court in disclosing certain facts given that this was an </w:t>
      </w:r>
      <w:r w:rsidR="00A520A0" w:rsidRPr="00CA69BE">
        <w:rPr>
          <w:rFonts w:ascii="Arial" w:hAnsi="Arial" w:cs="Arial"/>
          <w:i/>
          <w:iCs/>
          <w:sz w:val="24"/>
          <w:szCs w:val="24"/>
        </w:rPr>
        <w:t>ex parte</w:t>
      </w:r>
      <w:r w:rsidR="00A520A0" w:rsidRPr="00CA69BE">
        <w:rPr>
          <w:rFonts w:ascii="Arial" w:hAnsi="Arial" w:cs="Arial"/>
          <w:sz w:val="24"/>
          <w:szCs w:val="24"/>
        </w:rPr>
        <w:t xml:space="preserve"> application.</w:t>
      </w:r>
    </w:p>
    <w:p w14:paraId="52F77692" w14:textId="6D2498F9" w:rsidR="003B3624" w:rsidRPr="00CA69BE" w:rsidRDefault="00CA69BE" w:rsidP="00DE4BD7">
      <w:pPr>
        <w:spacing w:after="360" w:line="480" w:lineRule="auto"/>
        <w:ind w:left="717" w:hanging="71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[28]</w:t>
      </w:r>
      <w:r>
        <w:rPr>
          <w:rFonts w:ascii="Arial" w:hAnsi="Arial" w:cs="Arial"/>
          <w:sz w:val="24"/>
          <w:szCs w:val="24"/>
        </w:rPr>
        <w:tab/>
      </w:r>
      <w:r w:rsidR="00A520A0" w:rsidRPr="00CA69BE">
        <w:rPr>
          <w:rFonts w:ascii="Arial" w:hAnsi="Arial" w:cs="Arial"/>
          <w:sz w:val="24"/>
          <w:szCs w:val="24"/>
        </w:rPr>
        <w:t>I consider that there was. The failu</w:t>
      </w:r>
      <w:r w:rsidR="00EC7781" w:rsidRPr="00CA69BE">
        <w:rPr>
          <w:rFonts w:ascii="Arial" w:hAnsi="Arial" w:cs="Arial"/>
          <w:sz w:val="24"/>
          <w:szCs w:val="24"/>
        </w:rPr>
        <w:t>r</w:t>
      </w:r>
      <w:r w:rsidR="00A520A0" w:rsidRPr="00CA69BE">
        <w:rPr>
          <w:rFonts w:ascii="Arial" w:hAnsi="Arial" w:cs="Arial"/>
          <w:sz w:val="24"/>
          <w:szCs w:val="24"/>
        </w:rPr>
        <w:t xml:space="preserve">e </w:t>
      </w:r>
      <w:r w:rsidR="00EC7781" w:rsidRPr="00CA69BE">
        <w:rPr>
          <w:rFonts w:ascii="Arial" w:hAnsi="Arial" w:cs="Arial"/>
          <w:sz w:val="24"/>
          <w:szCs w:val="24"/>
        </w:rPr>
        <w:t xml:space="preserve">to disclose the </w:t>
      </w:r>
      <w:r w:rsidR="0057596C" w:rsidRPr="00CA69BE">
        <w:rPr>
          <w:rFonts w:ascii="Arial" w:hAnsi="Arial" w:cs="Arial"/>
          <w:sz w:val="24"/>
          <w:szCs w:val="24"/>
        </w:rPr>
        <w:t xml:space="preserve">discussions between the </w:t>
      </w:r>
      <w:r w:rsidR="00832E47" w:rsidRPr="00CA69BE">
        <w:rPr>
          <w:rFonts w:ascii="Arial" w:hAnsi="Arial" w:cs="Arial"/>
          <w:sz w:val="24"/>
          <w:szCs w:val="24"/>
        </w:rPr>
        <w:t xml:space="preserve">internal </w:t>
      </w:r>
      <w:r w:rsidR="0057596C" w:rsidRPr="00CA69BE">
        <w:rPr>
          <w:rFonts w:ascii="Arial" w:hAnsi="Arial" w:cs="Arial"/>
          <w:sz w:val="24"/>
          <w:szCs w:val="24"/>
        </w:rPr>
        <w:t xml:space="preserve">auditor and </w:t>
      </w:r>
      <w:proofErr w:type="spellStart"/>
      <w:r w:rsidR="0057596C" w:rsidRPr="00CA69BE">
        <w:rPr>
          <w:rFonts w:ascii="Arial" w:hAnsi="Arial" w:cs="Arial"/>
          <w:sz w:val="24"/>
          <w:szCs w:val="24"/>
        </w:rPr>
        <w:t>P</w:t>
      </w:r>
      <w:r w:rsidR="00832E47" w:rsidRPr="00CA69BE">
        <w:rPr>
          <w:rFonts w:ascii="Arial" w:hAnsi="Arial" w:cs="Arial"/>
          <w:sz w:val="24"/>
          <w:szCs w:val="24"/>
        </w:rPr>
        <w:t>rokas</w:t>
      </w:r>
      <w:proofErr w:type="spellEnd"/>
      <w:r w:rsidR="0057596C" w:rsidRPr="00CA69BE">
        <w:rPr>
          <w:rFonts w:ascii="Arial" w:hAnsi="Arial" w:cs="Arial"/>
          <w:sz w:val="24"/>
          <w:szCs w:val="24"/>
        </w:rPr>
        <w:t xml:space="preserve"> regarding the reasons he was not making the payments to the </w:t>
      </w:r>
      <w:r w:rsidR="00F67AF5" w:rsidRPr="00CA69BE">
        <w:rPr>
          <w:rFonts w:ascii="Arial" w:hAnsi="Arial" w:cs="Arial"/>
          <w:sz w:val="24"/>
          <w:szCs w:val="24"/>
        </w:rPr>
        <w:t xml:space="preserve">clients was material. It may well be that </w:t>
      </w:r>
      <w:proofErr w:type="spellStart"/>
      <w:r w:rsidR="00BE6C21" w:rsidRPr="00CA69BE">
        <w:rPr>
          <w:rFonts w:ascii="Arial" w:hAnsi="Arial" w:cs="Arial"/>
          <w:sz w:val="24"/>
          <w:szCs w:val="24"/>
        </w:rPr>
        <w:t>Agath</w:t>
      </w:r>
      <w:r w:rsidR="00E542A8" w:rsidRPr="00CA69BE">
        <w:rPr>
          <w:rFonts w:ascii="Arial" w:hAnsi="Arial" w:cs="Arial"/>
          <w:sz w:val="24"/>
          <w:szCs w:val="24"/>
        </w:rPr>
        <w:t>ocleous</w:t>
      </w:r>
      <w:proofErr w:type="spellEnd"/>
      <w:r w:rsidR="00E542A8" w:rsidRPr="00CA69BE">
        <w:rPr>
          <w:rFonts w:ascii="Arial" w:hAnsi="Arial" w:cs="Arial"/>
          <w:sz w:val="24"/>
          <w:szCs w:val="24"/>
        </w:rPr>
        <w:t xml:space="preserve"> was unaware of this interaction. But he has had an opportunity to </w:t>
      </w:r>
      <w:r w:rsidR="00E10C3E" w:rsidRPr="00CA69BE">
        <w:rPr>
          <w:rFonts w:ascii="Arial" w:hAnsi="Arial" w:cs="Arial"/>
          <w:sz w:val="24"/>
          <w:szCs w:val="24"/>
        </w:rPr>
        <w:t>explain this and has failed to do so.  The failure to get all the necessary facts from his subo</w:t>
      </w:r>
      <w:r w:rsidR="00DE4258" w:rsidRPr="00CA69BE">
        <w:rPr>
          <w:rFonts w:ascii="Arial" w:hAnsi="Arial" w:cs="Arial"/>
          <w:sz w:val="24"/>
          <w:szCs w:val="24"/>
        </w:rPr>
        <w:t>r</w:t>
      </w:r>
      <w:r w:rsidR="00E10C3E" w:rsidRPr="00CA69BE">
        <w:rPr>
          <w:rFonts w:ascii="Arial" w:hAnsi="Arial" w:cs="Arial"/>
          <w:sz w:val="24"/>
          <w:szCs w:val="24"/>
        </w:rPr>
        <w:t>dinates or agents before taking these drastic steps was reck</w:t>
      </w:r>
      <w:r w:rsidR="00BD704B" w:rsidRPr="00CA69BE">
        <w:rPr>
          <w:rFonts w:ascii="Arial" w:hAnsi="Arial" w:cs="Arial"/>
          <w:sz w:val="24"/>
          <w:szCs w:val="24"/>
        </w:rPr>
        <w:t xml:space="preserve">less. </w:t>
      </w:r>
      <w:r w:rsidR="00A80E6C" w:rsidRPr="00CA69BE">
        <w:rPr>
          <w:rFonts w:ascii="Arial" w:hAnsi="Arial" w:cs="Arial"/>
          <w:sz w:val="24"/>
          <w:szCs w:val="24"/>
        </w:rPr>
        <w:t xml:space="preserve">One would have expected him to consult with these people before taking action. </w:t>
      </w:r>
      <w:r w:rsidR="00BD704B" w:rsidRPr="00CA69BE">
        <w:rPr>
          <w:rFonts w:ascii="Arial" w:hAnsi="Arial" w:cs="Arial"/>
          <w:sz w:val="24"/>
          <w:szCs w:val="24"/>
        </w:rPr>
        <w:t>Secondly</w:t>
      </w:r>
      <w:r w:rsidR="00AF1F6F" w:rsidRPr="00CA69BE">
        <w:rPr>
          <w:rFonts w:ascii="Arial" w:hAnsi="Arial" w:cs="Arial"/>
          <w:sz w:val="24"/>
          <w:szCs w:val="24"/>
        </w:rPr>
        <w:t>,</w:t>
      </w:r>
      <w:r w:rsidR="00BD704B" w:rsidRPr="00CA69BE">
        <w:rPr>
          <w:rFonts w:ascii="Arial" w:hAnsi="Arial" w:cs="Arial"/>
          <w:sz w:val="24"/>
          <w:szCs w:val="24"/>
        </w:rPr>
        <w:t xml:space="preserve"> whilst he could bring the court’s attention to the </w:t>
      </w:r>
      <w:r w:rsidR="009369B5" w:rsidRPr="00CA69BE">
        <w:rPr>
          <w:rFonts w:ascii="Arial" w:hAnsi="Arial" w:cs="Arial"/>
          <w:sz w:val="24"/>
          <w:szCs w:val="24"/>
        </w:rPr>
        <w:t xml:space="preserve">Trade Confirmation </w:t>
      </w:r>
      <w:r w:rsidR="00BD704B" w:rsidRPr="00CA69BE">
        <w:rPr>
          <w:rFonts w:ascii="Arial" w:hAnsi="Arial" w:cs="Arial"/>
          <w:sz w:val="24"/>
          <w:szCs w:val="24"/>
        </w:rPr>
        <w:t>instruction</w:t>
      </w:r>
      <w:r w:rsidR="00DA17E4" w:rsidRPr="00CA69BE">
        <w:rPr>
          <w:rFonts w:ascii="Arial" w:hAnsi="Arial" w:cs="Arial"/>
          <w:sz w:val="24"/>
          <w:szCs w:val="24"/>
        </w:rPr>
        <w:t>,</w:t>
      </w:r>
      <w:r w:rsidR="00BD704B" w:rsidRPr="00CA69BE">
        <w:rPr>
          <w:rFonts w:ascii="Arial" w:hAnsi="Arial" w:cs="Arial"/>
          <w:sz w:val="24"/>
          <w:szCs w:val="24"/>
        </w:rPr>
        <w:t xml:space="preserve"> doing so without context as to how and when it had been </w:t>
      </w:r>
      <w:r w:rsidR="006F3C34" w:rsidRPr="00CA69BE">
        <w:rPr>
          <w:rFonts w:ascii="Arial" w:hAnsi="Arial" w:cs="Arial"/>
          <w:sz w:val="24"/>
          <w:szCs w:val="24"/>
        </w:rPr>
        <w:t>obtained</w:t>
      </w:r>
      <w:r w:rsidR="00BD704B" w:rsidRPr="00CA69BE">
        <w:rPr>
          <w:rFonts w:ascii="Arial" w:hAnsi="Arial" w:cs="Arial"/>
          <w:sz w:val="24"/>
          <w:szCs w:val="24"/>
        </w:rPr>
        <w:t xml:space="preserve"> was reckless</w:t>
      </w:r>
      <w:r w:rsidR="006F3C34" w:rsidRPr="00CA69BE">
        <w:rPr>
          <w:rFonts w:ascii="Arial" w:hAnsi="Arial" w:cs="Arial"/>
          <w:sz w:val="24"/>
          <w:szCs w:val="24"/>
        </w:rPr>
        <w:t>,</w:t>
      </w:r>
      <w:r w:rsidR="00BD704B" w:rsidRPr="00CA69BE">
        <w:rPr>
          <w:rFonts w:ascii="Arial" w:hAnsi="Arial" w:cs="Arial"/>
          <w:sz w:val="24"/>
          <w:szCs w:val="24"/>
        </w:rPr>
        <w:t xml:space="preserve"> because it risked reliance on </w:t>
      </w:r>
      <w:r w:rsidR="0033452A" w:rsidRPr="00CA69BE">
        <w:rPr>
          <w:rFonts w:ascii="Arial" w:hAnsi="Arial" w:cs="Arial"/>
          <w:sz w:val="24"/>
          <w:szCs w:val="24"/>
        </w:rPr>
        <w:t>an incomplete picture</w:t>
      </w:r>
      <w:r w:rsidR="001F12F5" w:rsidRPr="00CA69BE">
        <w:rPr>
          <w:rFonts w:ascii="Arial" w:hAnsi="Arial" w:cs="Arial"/>
          <w:sz w:val="24"/>
          <w:szCs w:val="24"/>
        </w:rPr>
        <w:t xml:space="preserve">, as has become now </w:t>
      </w:r>
      <w:r w:rsidR="0033452A" w:rsidRPr="00CA69BE">
        <w:rPr>
          <w:rFonts w:ascii="Arial" w:hAnsi="Arial" w:cs="Arial"/>
          <w:sz w:val="24"/>
          <w:szCs w:val="24"/>
        </w:rPr>
        <w:t xml:space="preserve">evident in this case. Unknown to the court was that at </w:t>
      </w:r>
      <w:r w:rsidR="00626BD9" w:rsidRPr="00CA69BE">
        <w:rPr>
          <w:rFonts w:ascii="Arial" w:hAnsi="Arial" w:cs="Arial"/>
          <w:sz w:val="24"/>
          <w:szCs w:val="24"/>
        </w:rPr>
        <w:t>time</w:t>
      </w:r>
      <w:r w:rsidR="0033452A" w:rsidRPr="00CA69BE">
        <w:rPr>
          <w:rFonts w:ascii="Arial" w:hAnsi="Arial" w:cs="Arial"/>
          <w:sz w:val="24"/>
          <w:szCs w:val="24"/>
        </w:rPr>
        <w:t xml:space="preserve"> of the hearing</w:t>
      </w:r>
      <w:r w:rsidR="00EE5EF1" w:rsidRPr="00CA69BE">
        <w:rPr>
          <w:rFonts w:ascii="Arial" w:hAnsi="Arial" w:cs="Arial"/>
          <w:sz w:val="24"/>
          <w:szCs w:val="24"/>
        </w:rPr>
        <w:t>,</w:t>
      </w:r>
      <w:r w:rsidR="0033452A" w:rsidRPr="00CA69BE">
        <w:rPr>
          <w:rFonts w:ascii="Arial" w:hAnsi="Arial" w:cs="Arial"/>
          <w:sz w:val="24"/>
          <w:szCs w:val="24"/>
        </w:rPr>
        <w:t xml:space="preserve"> this very document on which presumably much reliance was placed had been </w:t>
      </w:r>
      <w:r w:rsidR="008878FB" w:rsidRPr="00CA69BE">
        <w:rPr>
          <w:rFonts w:ascii="Arial" w:hAnsi="Arial" w:cs="Arial"/>
          <w:sz w:val="24"/>
          <w:szCs w:val="24"/>
        </w:rPr>
        <w:t xml:space="preserve">countermanded </w:t>
      </w:r>
      <w:r w:rsidR="0033452A" w:rsidRPr="00CA69BE">
        <w:rPr>
          <w:rFonts w:ascii="Arial" w:hAnsi="Arial" w:cs="Arial"/>
          <w:sz w:val="24"/>
          <w:szCs w:val="24"/>
        </w:rPr>
        <w:t>and there had been no withdrawal</w:t>
      </w:r>
      <w:r w:rsidR="008878FB" w:rsidRPr="00CA69BE">
        <w:rPr>
          <w:rFonts w:ascii="Arial" w:hAnsi="Arial" w:cs="Arial"/>
          <w:sz w:val="24"/>
          <w:szCs w:val="24"/>
        </w:rPr>
        <w:t xml:space="preserve"> of funds</w:t>
      </w:r>
      <w:r w:rsidR="002E7070" w:rsidRPr="00CA69BE">
        <w:rPr>
          <w:rFonts w:ascii="Arial" w:hAnsi="Arial" w:cs="Arial"/>
          <w:sz w:val="24"/>
          <w:szCs w:val="24"/>
        </w:rPr>
        <w:t>.</w:t>
      </w:r>
    </w:p>
    <w:p w14:paraId="1582B8C7" w14:textId="69137F0F" w:rsidR="003B3624" w:rsidRPr="00DE4BD7" w:rsidRDefault="00DE4BD7" w:rsidP="00DE4BD7">
      <w:pPr>
        <w:spacing w:after="360" w:line="480" w:lineRule="auto"/>
        <w:ind w:left="717" w:hanging="71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[29]</w:t>
      </w:r>
      <w:r>
        <w:rPr>
          <w:rFonts w:ascii="Arial" w:hAnsi="Arial" w:cs="Arial"/>
          <w:sz w:val="24"/>
          <w:szCs w:val="24"/>
        </w:rPr>
        <w:tab/>
      </w:r>
      <w:r w:rsidR="003E0153" w:rsidRPr="00DE4BD7">
        <w:rPr>
          <w:rFonts w:ascii="Arial" w:hAnsi="Arial" w:cs="Arial"/>
          <w:sz w:val="24"/>
          <w:szCs w:val="24"/>
        </w:rPr>
        <w:t>This is not the end of the sag</w:t>
      </w:r>
      <w:r w:rsidR="006F4354" w:rsidRPr="00DE4BD7">
        <w:rPr>
          <w:rFonts w:ascii="Arial" w:hAnsi="Arial" w:cs="Arial"/>
          <w:sz w:val="24"/>
          <w:szCs w:val="24"/>
        </w:rPr>
        <w:t>a</w:t>
      </w:r>
      <w:r w:rsidR="003E0153" w:rsidRPr="00DE4BD7">
        <w:rPr>
          <w:rFonts w:ascii="Arial" w:hAnsi="Arial" w:cs="Arial"/>
          <w:sz w:val="24"/>
          <w:szCs w:val="24"/>
        </w:rPr>
        <w:t xml:space="preserve">. Several further affidavits were filed including two by </w:t>
      </w:r>
      <w:r w:rsidR="003F15E2" w:rsidRPr="00DE4BD7">
        <w:rPr>
          <w:rFonts w:ascii="Arial" w:hAnsi="Arial" w:cs="Arial"/>
          <w:sz w:val="24"/>
          <w:szCs w:val="24"/>
        </w:rPr>
        <w:t>Crowd Tech. In the first</w:t>
      </w:r>
      <w:r w:rsidR="001434A8" w:rsidRPr="00DE4BD7">
        <w:rPr>
          <w:rFonts w:ascii="Arial" w:hAnsi="Arial" w:cs="Arial"/>
          <w:sz w:val="24"/>
          <w:szCs w:val="24"/>
        </w:rPr>
        <w:t>,</w:t>
      </w:r>
      <w:r w:rsidR="003F15E2" w:rsidRPr="00DE4BD7">
        <w:rPr>
          <w:rFonts w:ascii="Arial" w:hAnsi="Arial" w:cs="Arial"/>
          <w:sz w:val="24"/>
          <w:szCs w:val="24"/>
        </w:rPr>
        <w:t xml:space="preserve"> Crowd Tech whilst accepting that </w:t>
      </w:r>
      <w:proofErr w:type="spellStart"/>
      <w:r w:rsidR="003F15E2" w:rsidRPr="00DE4BD7">
        <w:rPr>
          <w:rFonts w:ascii="Arial" w:hAnsi="Arial" w:cs="Arial"/>
          <w:sz w:val="24"/>
          <w:szCs w:val="24"/>
        </w:rPr>
        <w:t>P</w:t>
      </w:r>
      <w:r w:rsidR="00EE5EF1" w:rsidRPr="00DE4BD7">
        <w:rPr>
          <w:rFonts w:ascii="Arial" w:hAnsi="Arial" w:cs="Arial"/>
          <w:sz w:val="24"/>
          <w:szCs w:val="24"/>
        </w:rPr>
        <w:t>rokas</w:t>
      </w:r>
      <w:proofErr w:type="spellEnd"/>
      <w:r w:rsidR="003F15E2" w:rsidRPr="00DE4BD7">
        <w:rPr>
          <w:rFonts w:ascii="Arial" w:hAnsi="Arial" w:cs="Arial"/>
          <w:sz w:val="24"/>
          <w:szCs w:val="24"/>
        </w:rPr>
        <w:t xml:space="preserve"> had not withdrawn monies pu</w:t>
      </w:r>
      <w:r w:rsidR="00617A19" w:rsidRPr="00DE4BD7">
        <w:rPr>
          <w:rFonts w:ascii="Arial" w:hAnsi="Arial" w:cs="Arial"/>
          <w:sz w:val="24"/>
          <w:szCs w:val="24"/>
        </w:rPr>
        <w:t>rsuant to the withdrawal letter</w:t>
      </w:r>
      <w:r w:rsidR="00AF7913" w:rsidRPr="00DE4BD7">
        <w:rPr>
          <w:rFonts w:ascii="Arial" w:hAnsi="Arial" w:cs="Arial"/>
          <w:sz w:val="24"/>
          <w:szCs w:val="24"/>
        </w:rPr>
        <w:t>,</w:t>
      </w:r>
      <w:r w:rsidR="00617A19" w:rsidRPr="00DE4BD7">
        <w:rPr>
          <w:rFonts w:ascii="Arial" w:hAnsi="Arial" w:cs="Arial"/>
          <w:sz w:val="24"/>
          <w:szCs w:val="24"/>
        </w:rPr>
        <w:t xml:space="preserve"> maintained adamantly that having scrutinised the </w:t>
      </w:r>
      <w:r w:rsidR="0069209E" w:rsidRPr="00DE4BD7">
        <w:rPr>
          <w:rFonts w:ascii="Arial" w:hAnsi="Arial" w:cs="Arial"/>
          <w:sz w:val="24"/>
          <w:szCs w:val="24"/>
        </w:rPr>
        <w:t xml:space="preserve">accounts of Crowd Tech </w:t>
      </w:r>
      <w:r w:rsidR="00FF7D46" w:rsidRPr="00DE4BD7">
        <w:rPr>
          <w:rFonts w:ascii="Arial" w:hAnsi="Arial" w:cs="Arial"/>
          <w:sz w:val="24"/>
          <w:szCs w:val="24"/>
        </w:rPr>
        <w:t>its</w:t>
      </w:r>
      <w:r w:rsidR="0069209E" w:rsidRPr="00DE4BD7">
        <w:rPr>
          <w:rFonts w:ascii="Arial" w:hAnsi="Arial" w:cs="Arial"/>
          <w:sz w:val="24"/>
          <w:szCs w:val="24"/>
        </w:rPr>
        <w:t xml:space="preserve"> suspicions were justified.</w:t>
      </w:r>
      <w:r w:rsidR="00FF7D46" w:rsidRPr="00DE4BD7">
        <w:rPr>
          <w:rFonts w:ascii="Arial" w:hAnsi="Arial" w:cs="Arial"/>
          <w:sz w:val="24"/>
          <w:szCs w:val="24"/>
        </w:rPr>
        <w:t xml:space="preserve"> </w:t>
      </w:r>
      <w:r w:rsidR="0069209E" w:rsidRPr="00DE4BD7">
        <w:rPr>
          <w:rFonts w:ascii="Arial" w:hAnsi="Arial" w:cs="Arial"/>
          <w:sz w:val="24"/>
          <w:szCs w:val="24"/>
        </w:rPr>
        <w:t xml:space="preserve">But </w:t>
      </w:r>
      <w:r w:rsidR="00FC385F" w:rsidRPr="00DE4BD7">
        <w:rPr>
          <w:rFonts w:ascii="Arial" w:hAnsi="Arial" w:cs="Arial"/>
          <w:sz w:val="24"/>
          <w:szCs w:val="24"/>
        </w:rPr>
        <w:t xml:space="preserve">a litigant who has brought an ex parte application on </w:t>
      </w:r>
      <w:r w:rsidR="00272BC7" w:rsidRPr="00DE4BD7">
        <w:rPr>
          <w:rFonts w:ascii="Arial" w:hAnsi="Arial" w:cs="Arial"/>
          <w:sz w:val="24"/>
          <w:szCs w:val="24"/>
        </w:rPr>
        <w:t xml:space="preserve">incomplete and erroneous </w:t>
      </w:r>
      <w:r w:rsidR="00FC385F" w:rsidRPr="00DE4BD7">
        <w:rPr>
          <w:rFonts w:ascii="Arial" w:hAnsi="Arial" w:cs="Arial"/>
          <w:sz w:val="24"/>
          <w:szCs w:val="24"/>
        </w:rPr>
        <w:t>allegations cannot look to subsequent facts to justify why it to</w:t>
      </w:r>
      <w:r w:rsidR="00ED69FE" w:rsidRPr="00DE4BD7">
        <w:rPr>
          <w:rFonts w:ascii="Arial" w:hAnsi="Arial" w:cs="Arial"/>
          <w:sz w:val="24"/>
          <w:szCs w:val="24"/>
        </w:rPr>
        <w:t>ok the action it did.</w:t>
      </w:r>
      <w:r w:rsidR="001671E1">
        <w:rPr>
          <w:rStyle w:val="FootnoteReference"/>
          <w:rFonts w:ascii="Arial" w:hAnsi="Arial" w:cs="Arial"/>
          <w:sz w:val="24"/>
          <w:szCs w:val="24"/>
        </w:rPr>
        <w:footnoteReference w:id="9"/>
      </w:r>
      <w:r w:rsidR="00ED69FE" w:rsidRPr="00DE4BD7">
        <w:rPr>
          <w:rFonts w:ascii="Arial" w:hAnsi="Arial" w:cs="Arial"/>
          <w:sz w:val="24"/>
          <w:szCs w:val="24"/>
        </w:rPr>
        <w:t xml:space="preserve"> </w:t>
      </w:r>
      <w:r w:rsidR="00ED69FE" w:rsidRPr="00DE4BD7">
        <w:rPr>
          <w:rFonts w:ascii="Arial" w:hAnsi="Arial" w:cs="Arial"/>
          <w:sz w:val="24"/>
          <w:szCs w:val="24"/>
        </w:rPr>
        <w:lastRenderedPageBreak/>
        <w:t>Nor</w:t>
      </w:r>
      <w:r w:rsidR="00397E7B" w:rsidRPr="00DE4BD7">
        <w:rPr>
          <w:rFonts w:ascii="Arial" w:hAnsi="Arial" w:cs="Arial"/>
          <w:sz w:val="24"/>
          <w:szCs w:val="24"/>
        </w:rPr>
        <w:t xml:space="preserve"> in any event </w:t>
      </w:r>
      <w:r w:rsidR="00ED69FE" w:rsidRPr="00DE4BD7">
        <w:rPr>
          <w:rFonts w:ascii="Arial" w:hAnsi="Arial" w:cs="Arial"/>
          <w:sz w:val="24"/>
          <w:szCs w:val="24"/>
        </w:rPr>
        <w:t xml:space="preserve">is the post hoc reconstruction </w:t>
      </w:r>
      <w:r w:rsidR="006B7C3A" w:rsidRPr="00DE4BD7">
        <w:rPr>
          <w:rFonts w:ascii="Arial" w:hAnsi="Arial" w:cs="Arial"/>
          <w:sz w:val="24"/>
          <w:szCs w:val="24"/>
        </w:rPr>
        <w:t xml:space="preserve">dispositive of the need to have frozen the account. </w:t>
      </w:r>
      <w:r w:rsidR="005E4AC2" w:rsidRPr="00DE4BD7">
        <w:rPr>
          <w:rFonts w:ascii="Arial" w:hAnsi="Arial" w:cs="Arial"/>
          <w:sz w:val="24"/>
          <w:szCs w:val="24"/>
        </w:rPr>
        <w:t>The disputes of facts on the papers are inconclusive and will only be clarified during the subsequent action proceedings.</w:t>
      </w:r>
      <w:r w:rsidR="00B30BEB">
        <w:rPr>
          <w:rStyle w:val="FootnoteReference"/>
          <w:rFonts w:ascii="Arial" w:hAnsi="Arial" w:cs="Arial"/>
          <w:sz w:val="24"/>
          <w:szCs w:val="24"/>
        </w:rPr>
        <w:footnoteReference w:id="10"/>
      </w:r>
    </w:p>
    <w:p w14:paraId="7BC394CD" w14:textId="58CFE22A" w:rsidR="00815EE6" w:rsidRPr="00DE4BD7" w:rsidRDefault="00DE4BD7" w:rsidP="00DE4BD7">
      <w:pPr>
        <w:spacing w:after="360" w:line="480" w:lineRule="auto"/>
        <w:ind w:left="717" w:hanging="71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[30]</w:t>
      </w:r>
      <w:r>
        <w:rPr>
          <w:rFonts w:ascii="Arial" w:hAnsi="Arial" w:cs="Arial"/>
          <w:sz w:val="24"/>
          <w:szCs w:val="24"/>
        </w:rPr>
        <w:tab/>
      </w:r>
      <w:r w:rsidR="00815EE6" w:rsidRPr="00DE4BD7">
        <w:rPr>
          <w:rFonts w:ascii="Arial" w:hAnsi="Arial" w:cs="Arial"/>
          <w:sz w:val="24"/>
          <w:szCs w:val="24"/>
        </w:rPr>
        <w:t xml:space="preserve">Crowd Tech has never acknowledged that it was incorrect to have attempted to have applied to freeze </w:t>
      </w:r>
      <w:proofErr w:type="spellStart"/>
      <w:r w:rsidR="00815EE6" w:rsidRPr="00DE4BD7">
        <w:rPr>
          <w:rFonts w:ascii="Arial" w:hAnsi="Arial" w:cs="Arial"/>
          <w:sz w:val="24"/>
          <w:szCs w:val="24"/>
        </w:rPr>
        <w:t>P</w:t>
      </w:r>
      <w:r w:rsidR="00C643D9" w:rsidRPr="00DE4BD7">
        <w:rPr>
          <w:rFonts w:ascii="Arial" w:hAnsi="Arial" w:cs="Arial"/>
          <w:sz w:val="24"/>
          <w:szCs w:val="24"/>
        </w:rPr>
        <w:t>roka</w:t>
      </w:r>
      <w:r w:rsidR="00815EE6" w:rsidRPr="00DE4BD7">
        <w:rPr>
          <w:rFonts w:ascii="Arial" w:hAnsi="Arial" w:cs="Arial"/>
          <w:sz w:val="24"/>
          <w:szCs w:val="24"/>
        </w:rPr>
        <w:t>s</w:t>
      </w:r>
      <w:proofErr w:type="spellEnd"/>
      <w:r w:rsidR="00815EE6" w:rsidRPr="00DE4BD7">
        <w:rPr>
          <w:rFonts w:ascii="Arial" w:hAnsi="Arial" w:cs="Arial"/>
          <w:sz w:val="24"/>
          <w:szCs w:val="24"/>
        </w:rPr>
        <w:t xml:space="preserve">’ </w:t>
      </w:r>
      <w:r w:rsidR="001925A8" w:rsidRPr="00DE4BD7">
        <w:rPr>
          <w:rFonts w:ascii="Arial" w:hAnsi="Arial" w:cs="Arial"/>
          <w:sz w:val="24"/>
          <w:szCs w:val="24"/>
        </w:rPr>
        <w:t>ABSA</w:t>
      </w:r>
      <w:r w:rsidR="00A97522" w:rsidRPr="00DE4BD7">
        <w:rPr>
          <w:rFonts w:ascii="Arial" w:hAnsi="Arial" w:cs="Arial"/>
          <w:sz w:val="24"/>
          <w:szCs w:val="24"/>
        </w:rPr>
        <w:t xml:space="preserve"> </w:t>
      </w:r>
      <w:r w:rsidR="00815EE6" w:rsidRPr="00DE4BD7">
        <w:rPr>
          <w:rFonts w:ascii="Arial" w:hAnsi="Arial" w:cs="Arial"/>
          <w:sz w:val="24"/>
          <w:szCs w:val="24"/>
        </w:rPr>
        <w:t>account.</w:t>
      </w:r>
      <w:r w:rsidR="00CF4BB5" w:rsidRPr="00DE4BD7">
        <w:rPr>
          <w:rFonts w:ascii="Arial" w:hAnsi="Arial" w:cs="Arial"/>
          <w:sz w:val="24"/>
          <w:szCs w:val="24"/>
        </w:rPr>
        <w:t xml:space="preserve"> It did however </w:t>
      </w:r>
      <w:r w:rsidR="00815EE6" w:rsidRPr="00DE4BD7">
        <w:rPr>
          <w:rFonts w:ascii="Arial" w:hAnsi="Arial" w:cs="Arial"/>
          <w:sz w:val="24"/>
          <w:szCs w:val="24"/>
        </w:rPr>
        <w:t xml:space="preserve">abandon the order once it was opposed. Crowd Tech </w:t>
      </w:r>
      <w:r w:rsidR="00F731C4" w:rsidRPr="00DE4BD7">
        <w:rPr>
          <w:rFonts w:ascii="Arial" w:hAnsi="Arial" w:cs="Arial"/>
          <w:sz w:val="24"/>
          <w:szCs w:val="24"/>
        </w:rPr>
        <w:t xml:space="preserve">contends that this was done because it had now become evident that there was </w:t>
      </w:r>
      <w:r w:rsidR="00766CA1" w:rsidRPr="00DE4BD7">
        <w:rPr>
          <w:rFonts w:ascii="Arial" w:hAnsi="Arial" w:cs="Arial"/>
          <w:sz w:val="24"/>
          <w:szCs w:val="24"/>
        </w:rPr>
        <w:t xml:space="preserve">a negligible amount left in </w:t>
      </w:r>
      <w:proofErr w:type="spellStart"/>
      <w:r w:rsidR="00766CA1" w:rsidRPr="00DE4BD7">
        <w:rPr>
          <w:rFonts w:ascii="Arial" w:hAnsi="Arial" w:cs="Arial"/>
          <w:sz w:val="24"/>
          <w:szCs w:val="24"/>
        </w:rPr>
        <w:t>Prokas</w:t>
      </w:r>
      <w:proofErr w:type="spellEnd"/>
      <w:r w:rsidR="00766CA1" w:rsidRPr="00DE4BD7">
        <w:rPr>
          <w:rFonts w:ascii="Arial" w:hAnsi="Arial" w:cs="Arial"/>
          <w:sz w:val="24"/>
          <w:szCs w:val="24"/>
        </w:rPr>
        <w:t>’</w:t>
      </w:r>
      <w:r w:rsidR="00F731C4" w:rsidRPr="00DE4BD7">
        <w:rPr>
          <w:rFonts w:ascii="Arial" w:hAnsi="Arial" w:cs="Arial"/>
          <w:sz w:val="24"/>
          <w:szCs w:val="24"/>
        </w:rPr>
        <w:t xml:space="preserve"> ABSA account</w:t>
      </w:r>
      <w:r w:rsidR="00766CA1" w:rsidRPr="00DE4BD7">
        <w:rPr>
          <w:rFonts w:ascii="Arial" w:hAnsi="Arial" w:cs="Arial"/>
          <w:sz w:val="24"/>
          <w:szCs w:val="24"/>
        </w:rPr>
        <w:t>,</w:t>
      </w:r>
      <w:r w:rsidR="00F731C4" w:rsidRPr="00DE4BD7">
        <w:rPr>
          <w:rFonts w:ascii="Arial" w:hAnsi="Arial" w:cs="Arial"/>
          <w:sz w:val="24"/>
          <w:szCs w:val="24"/>
        </w:rPr>
        <w:t xml:space="preserve"> and hence pursuing the application was pointless. </w:t>
      </w:r>
      <w:r w:rsidR="00F620E8" w:rsidRPr="00DE4BD7">
        <w:rPr>
          <w:rFonts w:ascii="Arial" w:hAnsi="Arial" w:cs="Arial"/>
          <w:sz w:val="24"/>
          <w:szCs w:val="24"/>
        </w:rPr>
        <w:t xml:space="preserve">But Crowd Tech has also elected not to leave the costs decision to the </w:t>
      </w:r>
      <w:r w:rsidR="00A7218A" w:rsidRPr="00DE4BD7">
        <w:rPr>
          <w:rFonts w:ascii="Arial" w:hAnsi="Arial" w:cs="Arial"/>
          <w:sz w:val="24"/>
          <w:szCs w:val="24"/>
        </w:rPr>
        <w:t xml:space="preserve">trial court as suggested initially by its counsel in the written heads of argument. </w:t>
      </w:r>
      <w:r w:rsidR="008217F8">
        <w:rPr>
          <w:rFonts w:ascii="Arial" w:hAnsi="Arial" w:cs="Arial"/>
          <w:sz w:val="24"/>
          <w:szCs w:val="24"/>
        </w:rPr>
        <w:t xml:space="preserve">This means </w:t>
      </w:r>
      <w:r w:rsidR="00402E40" w:rsidRPr="00DE4BD7">
        <w:rPr>
          <w:rFonts w:ascii="Arial" w:hAnsi="Arial" w:cs="Arial"/>
          <w:sz w:val="24"/>
          <w:szCs w:val="24"/>
        </w:rPr>
        <w:t xml:space="preserve">I must decide the case on what facts I have before </w:t>
      </w:r>
      <w:r w:rsidR="008217F8">
        <w:rPr>
          <w:rFonts w:ascii="Arial" w:hAnsi="Arial" w:cs="Arial"/>
          <w:sz w:val="24"/>
          <w:szCs w:val="24"/>
        </w:rPr>
        <w:t xml:space="preserve">me </w:t>
      </w:r>
      <w:r w:rsidR="00402E40" w:rsidRPr="00DE4BD7">
        <w:rPr>
          <w:rFonts w:ascii="Arial" w:hAnsi="Arial" w:cs="Arial"/>
          <w:sz w:val="24"/>
          <w:szCs w:val="24"/>
        </w:rPr>
        <w:t>now</w:t>
      </w:r>
      <w:r w:rsidR="00330F53" w:rsidRPr="00DE4BD7">
        <w:rPr>
          <w:rFonts w:ascii="Arial" w:hAnsi="Arial" w:cs="Arial"/>
          <w:sz w:val="24"/>
          <w:szCs w:val="24"/>
        </w:rPr>
        <w:t xml:space="preserve"> that are uncontested. </w:t>
      </w:r>
    </w:p>
    <w:p w14:paraId="50FD8549" w14:textId="03F69844" w:rsidR="006F4354" w:rsidRPr="00DE4BD7" w:rsidRDefault="00DE4BD7" w:rsidP="00DE4BD7">
      <w:pPr>
        <w:spacing w:after="360" w:line="480" w:lineRule="auto"/>
        <w:ind w:left="717" w:hanging="71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[31]</w:t>
      </w:r>
      <w:r>
        <w:rPr>
          <w:rFonts w:ascii="Arial" w:hAnsi="Arial" w:cs="Arial"/>
          <w:sz w:val="24"/>
          <w:szCs w:val="24"/>
        </w:rPr>
        <w:tab/>
      </w:r>
      <w:r w:rsidR="006F4354" w:rsidRPr="00DE4BD7">
        <w:rPr>
          <w:rFonts w:ascii="Arial" w:hAnsi="Arial" w:cs="Arial"/>
          <w:sz w:val="24"/>
          <w:szCs w:val="24"/>
        </w:rPr>
        <w:t xml:space="preserve">A proper case has been made that the </w:t>
      </w:r>
      <w:r w:rsidR="006F4354" w:rsidRPr="00DE4BD7">
        <w:rPr>
          <w:rFonts w:ascii="Arial" w:hAnsi="Arial" w:cs="Arial"/>
          <w:i/>
          <w:iCs/>
          <w:sz w:val="24"/>
          <w:szCs w:val="24"/>
        </w:rPr>
        <w:t>ex parte</w:t>
      </w:r>
      <w:r w:rsidR="006F4354" w:rsidRPr="00DE4BD7">
        <w:rPr>
          <w:rFonts w:ascii="Arial" w:hAnsi="Arial" w:cs="Arial"/>
          <w:sz w:val="24"/>
          <w:szCs w:val="24"/>
        </w:rPr>
        <w:t xml:space="preserve"> application was made without disclosing </w:t>
      </w:r>
      <w:r w:rsidR="00B21988" w:rsidRPr="00DE4BD7">
        <w:rPr>
          <w:rFonts w:ascii="Arial" w:hAnsi="Arial" w:cs="Arial"/>
          <w:sz w:val="24"/>
          <w:szCs w:val="24"/>
        </w:rPr>
        <w:t>all the information to the court and this omission was reckless. I am s</w:t>
      </w:r>
      <w:r w:rsidR="00AE38CB" w:rsidRPr="00DE4BD7">
        <w:rPr>
          <w:rFonts w:ascii="Arial" w:hAnsi="Arial" w:cs="Arial"/>
          <w:sz w:val="24"/>
          <w:szCs w:val="24"/>
        </w:rPr>
        <w:t xml:space="preserve">atisfied that an attorney client costs </w:t>
      </w:r>
      <w:r w:rsidR="00943800" w:rsidRPr="00DE4BD7">
        <w:rPr>
          <w:rFonts w:ascii="Arial" w:hAnsi="Arial" w:cs="Arial"/>
          <w:sz w:val="24"/>
          <w:szCs w:val="24"/>
        </w:rPr>
        <w:t>award is justified.</w:t>
      </w:r>
      <w:r w:rsidR="0099282A" w:rsidRPr="00DE4BD7">
        <w:rPr>
          <w:rFonts w:ascii="Arial" w:hAnsi="Arial" w:cs="Arial"/>
          <w:sz w:val="24"/>
          <w:szCs w:val="24"/>
        </w:rPr>
        <w:t xml:space="preserve"> Although Crowd Tech complains that the present application was brought months after the</w:t>
      </w:r>
      <w:r w:rsidR="006B10E2" w:rsidRPr="00DE4BD7">
        <w:rPr>
          <w:rFonts w:ascii="Arial" w:hAnsi="Arial" w:cs="Arial"/>
          <w:sz w:val="24"/>
          <w:szCs w:val="24"/>
        </w:rPr>
        <w:t xml:space="preserve"> abandonment</w:t>
      </w:r>
      <w:r w:rsidR="006C2D3D" w:rsidRPr="00DE4BD7">
        <w:rPr>
          <w:rFonts w:ascii="Arial" w:hAnsi="Arial" w:cs="Arial"/>
          <w:sz w:val="24"/>
          <w:szCs w:val="24"/>
        </w:rPr>
        <w:t xml:space="preserve"> of the </w:t>
      </w:r>
      <w:r w:rsidR="006C2D3D" w:rsidRPr="008217F8">
        <w:rPr>
          <w:rFonts w:ascii="Arial" w:hAnsi="Arial" w:cs="Arial"/>
          <w:i/>
          <w:iCs/>
          <w:sz w:val="24"/>
          <w:szCs w:val="24"/>
        </w:rPr>
        <w:t>ex parte</w:t>
      </w:r>
      <w:r w:rsidR="006C2D3D" w:rsidRPr="00DE4BD7">
        <w:rPr>
          <w:rFonts w:ascii="Arial" w:hAnsi="Arial" w:cs="Arial"/>
          <w:sz w:val="24"/>
          <w:szCs w:val="24"/>
        </w:rPr>
        <w:t xml:space="preserve"> application</w:t>
      </w:r>
      <w:r w:rsidR="00F24A97" w:rsidRPr="00DE4BD7">
        <w:rPr>
          <w:rFonts w:ascii="Arial" w:hAnsi="Arial" w:cs="Arial"/>
          <w:sz w:val="24"/>
          <w:szCs w:val="24"/>
        </w:rPr>
        <w:t>,</w:t>
      </w:r>
      <w:r w:rsidR="006C2D3D" w:rsidRPr="00DE4BD7">
        <w:rPr>
          <w:rFonts w:ascii="Arial" w:hAnsi="Arial" w:cs="Arial"/>
          <w:sz w:val="24"/>
          <w:szCs w:val="24"/>
        </w:rPr>
        <w:t xml:space="preserve"> </w:t>
      </w:r>
      <w:r w:rsidR="00A70362" w:rsidRPr="00DE4BD7">
        <w:rPr>
          <w:rFonts w:ascii="Arial" w:hAnsi="Arial" w:cs="Arial"/>
          <w:sz w:val="24"/>
          <w:szCs w:val="24"/>
        </w:rPr>
        <w:t xml:space="preserve">I do not consider this a relevant consideration. Proper compliance with the duty to disclose in an </w:t>
      </w:r>
      <w:r w:rsidR="00A70362" w:rsidRPr="00DE4BD7">
        <w:rPr>
          <w:rFonts w:ascii="Arial" w:hAnsi="Arial" w:cs="Arial"/>
          <w:i/>
          <w:iCs/>
          <w:sz w:val="24"/>
          <w:szCs w:val="24"/>
        </w:rPr>
        <w:t>ex parte</w:t>
      </w:r>
      <w:r w:rsidR="00A70362" w:rsidRPr="00DE4BD7">
        <w:rPr>
          <w:rFonts w:ascii="Arial" w:hAnsi="Arial" w:cs="Arial"/>
          <w:sz w:val="24"/>
          <w:szCs w:val="24"/>
        </w:rPr>
        <w:t xml:space="preserve"> application is </w:t>
      </w:r>
      <w:r w:rsidR="00B2474D" w:rsidRPr="00DE4BD7">
        <w:rPr>
          <w:rFonts w:ascii="Arial" w:hAnsi="Arial" w:cs="Arial"/>
          <w:sz w:val="24"/>
          <w:szCs w:val="24"/>
        </w:rPr>
        <w:t>a concern to the court</w:t>
      </w:r>
      <w:r w:rsidR="00F24A97" w:rsidRPr="00DE4BD7">
        <w:rPr>
          <w:rFonts w:ascii="Arial" w:hAnsi="Arial" w:cs="Arial"/>
          <w:sz w:val="24"/>
          <w:szCs w:val="24"/>
        </w:rPr>
        <w:t>s</w:t>
      </w:r>
      <w:r w:rsidR="00B2474D" w:rsidRPr="00DE4BD7">
        <w:rPr>
          <w:rFonts w:ascii="Arial" w:hAnsi="Arial" w:cs="Arial"/>
          <w:sz w:val="24"/>
          <w:szCs w:val="24"/>
        </w:rPr>
        <w:t xml:space="preserve"> </w:t>
      </w:r>
      <w:r w:rsidR="00A734A3" w:rsidRPr="00DE4BD7">
        <w:rPr>
          <w:rFonts w:ascii="Arial" w:hAnsi="Arial" w:cs="Arial"/>
          <w:sz w:val="24"/>
          <w:szCs w:val="24"/>
        </w:rPr>
        <w:t>generally</w:t>
      </w:r>
      <w:r w:rsidR="00D4035B" w:rsidRPr="00DE4BD7">
        <w:rPr>
          <w:rFonts w:ascii="Arial" w:hAnsi="Arial" w:cs="Arial"/>
          <w:sz w:val="24"/>
          <w:szCs w:val="24"/>
        </w:rPr>
        <w:t>.</w:t>
      </w:r>
      <w:r w:rsidR="00B21EC1">
        <w:rPr>
          <w:rStyle w:val="FootnoteReference"/>
          <w:rFonts w:ascii="Arial" w:hAnsi="Arial" w:cs="Arial"/>
          <w:sz w:val="24"/>
          <w:szCs w:val="24"/>
        </w:rPr>
        <w:footnoteReference w:id="11"/>
      </w:r>
      <w:r w:rsidR="00D4035B" w:rsidRPr="00DE4BD7">
        <w:rPr>
          <w:rFonts w:ascii="Arial" w:hAnsi="Arial" w:cs="Arial"/>
          <w:sz w:val="24"/>
          <w:szCs w:val="24"/>
        </w:rPr>
        <w:t xml:space="preserve"> </w:t>
      </w:r>
      <w:r w:rsidR="0058691B" w:rsidRPr="00DE4BD7">
        <w:rPr>
          <w:rFonts w:ascii="Arial" w:hAnsi="Arial" w:cs="Arial"/>
          <w:sz w:val="24"/>
          <w:szCs w:val="24"/>
        </w:rPr>
        <w:t>I</w:t>
      </w:r>
      <w:r w:rsidR="0079343F" w:rsidRPr="00DE4BD7">
        <w:rPr>
          <w:rFonts w:ascii="Arial" w:hAnsi="Arial" w:cs="Arial"/>
          <w:sz w:val="24"/>
          <w:szCs w:val="24"/>
        </w:rPr>
        <w:t>mpos</w:t>
      </w:r>
      <w:r w:rsidR="0058691B" w:rsidRPr="00DE4BD7">
        <w:rPr>
          <w:rFonts w:ascii="Arial" w:hAnsi="Arial" w:cs="Arial"/>
          <w:sz w:val="24"/>
          <w:szCs w:val="24"/>
        </w:rPr>
        <w:t>ing</w:t>
      </w:r>
      <w:r w:rsidR="0079343F" w:rsidRPr="00DE4BD7">
        <w:rPr>
          <w:rFonts w:ascii="Arial" w:hAnsi="Arial" w:cs="Arial"/>
          <w:sz w:val="24"/>
          <w:szCs w:val="24"/>
        </w:rPr>
        <w:t xml:space="preserve"> a punitive costs order for non-compliance </w:t>
      </w:r>
      <w:r w:rsidR="00F94AF1" w:rsidRPr="00DE4BD7">
        <w:rPr>
          <w:rFonts w:ascii="Arial" w:hAnsi="Arial" w:cs="Arial"/>
          <w:sz w:val="24"/>
          <w:szCs w:val="24"/>
        </w:rPr>
        <w:t xml:space="preserve">is </w:t>
      </w:r>
      <w:r w:rsidR="00F94AF1" w:rsidRPr="00DE4BD7">
        <w:rPr>
          <w:rFonts w:ascii="Arial" w:hAnsi="Arial" w:cs="Arial"/>
          <w:sz w:val="24"/>
          <w:szCs w:val="24"/>
        </w:rPr>
        <w:lastRenderedPageBreak/>
        <w:t xml:space="preserve">appropriate </w:t>
      </w:r>
      <w:r w:rsidR="0079343F" w:rsidRPr="00DE4BD7">
        <w:rPr>
          <w:rFonts w:ascii="Arial" w:hAnsi="Arial" w:cs="Arial"/>
          <w:sz w:val="24"/>
          <w:szCs w:val="24"/>
        </w:rPr>
        <w:t>not only as a solatium to the disaffected part</w:t>
      </w:r>
      <w:r w:rsidR="003B33A3" w:rsidRPr="00DE4BD7">
        <w:rPr>
          <w:rFonts w:ascii="Arial" w:hAnsi="Arial" w:cs="Arial"/>
          <w:sz w:val="24"/>
          <w:szCs w:val="24"/>
        </w:rPr>
        <w:t xml:space="preserve">y </w:t>
      </w:r>
      <w:r w:rsidR="007F1F6F" w:rsidRPr="00DE4BD7">
        <w:rPr>
          <w:rFonts w:ascii="Arial" w:hAnsi="Arial" w:cs="Arial"/>
          <w:sz w:val="24"/>
          <w:szCs w:val="24"/>
        </w:rPr>
        <w:t xml:space="preserve">but also </w:t>
      </w:r>
      <w:r w:rsidR="00816438" w:rsidRPr="00DE4BD7">
        <w:rPr>
          <w:rFonts w:ascii="Arial" w:hAnsi="Arial" w:cs="Arial"/>
          <w:sz w:val="24"/>
          <w:szCs w:val="24"/>
        </w:rPr>
        <w:t xml:space="preserve">as an independent consideration </w:t>
      </w:r>
      <w:r w:rsidR="00B2474D" w:rsidRPr="00DE4BD7">
        <w:rPr>
          <w:rFonts w:ascii="Arial" w:hAnsi="Arial" w:cs="Arial"/>
          <w:sz w:val="24"/>
          <w:szCs w:val="24"/>
        </w:rPr>
        <w:t xml:space="preserve">as a </w:t>
      </w:r>
      <w:r w:rsidR="00336751" w:rsidRPr="00DE4BD7">
        <w:rPr>
          <w:rFonts w:ascii="Arial" w:hAnsi="Arial" w:cs="Arial"/>
          <w:sz w:val="24"/>
          <w:szCs w:val="24"/>
        </w:rPr>
        <w:t xml:space="preserve">corrective </w:t>
      </w:r>
      <w:r w:rsidR="00B2474D" w:rsidRPr="00DE4BD7">
        <w:rPr>
          <w:rFonts w:ascii="Arial" w:hAnsi="Arial" w:cs="Arial"/>
          <w:sz w:val="24"/>
          <w:szCs w:val="24"/>
        </w:rPr>
        <w:t>discipline on litigants</w:t>
      </w:r>
      <w:r w:rsidR="004851FE" w:rsidRPr="00DE4BD7">
        <w:rPr>
          <w:rFonts w:ascii="Arial" w:hAnsi="Arial" w:cs="Arial"/>
          <w:sz w:val="24"/>
          <w:szCs w:val="24"/>
        </w:rPr>
        <w:t>.</w:t>
      </w:r>
    </w:p>
    <w:p w14:paraId="3D8B2A3D" w14:textId="77777777" w:rsidR="0090557B" w:rsidRPr="0090557B" w:rsidRDefault="0090557B" w:rsidP="0090557B">
      <w:pPr>
        <w:spacing w:after="200" w:line="480" w:lineRule="auto"/>
        <w:ind w:firstLine="720"/>
        <w:jc w:val="both"/>
        <w:rPr>
          <w:rFonts w:ascii="Arial" w:eastAsia="MS Mincho" w:hAnsi="Arial" w:cs="Arial"/>
          <w:b/>
          <w:sz w:val="24"/>
          <w:szCs w:val="24"/>
          <w:u w:val="single"/>
          <w:lang w:eastAsia="ja-JP"/>
          <w14:ligatures w14:val="none"/>
        </w:rPr>
      </w:pPr>
      <w:r w:rsidRPr="0090557B">
        <w:rPr>
          <w:rFonts w:ascii="Arial" w:eastAsia="MS Mincho" w:hAnsi="Arial" w:cs="Arial"/>
          <w:b/>
          <w:sz w:val="24"/>
          <w:szCs w:val="24"/>
          <w:u w:val="single"/>
          <w:lang w:eastAsia="ja-JP"/>
          <w14:ligatures w14:val="none"/>
        </w:rPr>
        <w:t>ORDER:-</w:t>
      </w:r>
    </w:p>
    <w:p w14:paraId="72B4C73C" w14:textId="1C36D11A" w:rsidR="00610007" w:rsidRPr="0090557B" w:rsidRDefault="0090557B" w:rsidP="0090557B">
      <w:pPr>
        <w:spacing w:after="200" w:line="480" w:lineRule="auto"/>
        <w:jc w:val="both"/>
        <w:rPr>
          <w:rFonts w:ascii="Arial" w:eastAsia="MS Mincho" w:hAnsi="Arial" w:cs="Arial"/>
          <w:sz w:val="24"/>
          <w:szCs w:val="24"/>
          <w:lang w:eastAsia="ja-JP"/>
          <w14:ligatures w14:val="none"/>
        </w:rPr>
      </w:pPr>
      <w:r w:rsidRPr="0090557B">
        <w:rPr>
          <w:rFonts w:ascii="Arial" w:eastAsia="MS Mincho" w:hAnsi="Arial" w:cs="Arial"/>
          <w:sz w:val="24"/>
          <w:szCs w:val="24"/>
          <w:lang w:eastAsia="ja-JP"/>
          <w14:ligatures w14:val="none"/>
        </w:rPr>
        <w:t>[</w:t>
      </w:r>
      <w:r>
        <w:rPr>
          <w:rFonts w:ascii="Arial" w:eastAsia="MS Mincho" w:hAnsi="Arial" w:cs="Arial"/>
          <w:sz w:val="24"/>
          <w:szCs w:val="24"/>
          <w:lang w:eastAsia="ja-JP"/>
          <w14:ligatures w14:val="none"/>
        </w:rPr>
        <w:t>32</w:t>
      </w:r>
      <w:r w:rsidRPr="0090557B">
        <w:rPr>
          <w:rFonts w:ascii="Arial" w:eastAsia="MS Mincho" w:hAnsi="Arial" w:cs="Arial"/>
          <w:sz w:val="24"/>
          <w:szCs w:val="24"/>
          <w:lang w:eastAsia="ja-JP"/>
          <w14:ligatures w14:val="none"/>
        </w:rPr>
        <w:t xml:space="preserve">] </w:t>
      </w:r>
      <w:r w:rsidRPr="0090557B">
        <w:rPr>
          <w:rFonts w:ascii="Arial" w:eastAsia="MS Mincho" w:hAnsi="Arial" w:cs="Arial"/>
          <w:sz w:val="24"/>
          <w:szCs w:val="24"/>
          <w:lang w:eastAsia="ja-JP"/>
          <w14:ligatures w14:val="none"/>
        </w:rPr>
        <w:tab/>
        <w:t>In the result the following order is made:</w:t>
      </w:r>
    </w:p>
    <w:p w14:paraId="7E96ACF3" w14:textId="2859953D" w:rsidR="005D38BC" w:rsidRDefault="00E85584" w:rsidP="00E85584">
      <w:pPr>
        <w:pStyle w:val="BaseParagraph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ind w:left="1069" w:hanging="360"/>
        <w:jc w:val="left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5D38BC">
        <w:rPr>
          <w:lang w:val="en-US"/>
        </w:rPr>
        <w:t>The applicant</w:t>
      </w:r>
      <w:r w:rsidR="00B75FFF">
        <w:rPr>
          <w:lang w:val="en-US"/>
        </w:rPr>
        <w:t xml:space="preserve"> (</w:t>
      </w:r>
      <w:r w:rsidR="00856071">
        <w:rPr>
          <w:lang w:val="en-US"/>
        </w:rPr>
        <w:t>“</w:t>
      </w:r>
      <w:r w:rsidR="00B75FFF">
        <w:rPr>
          <w:lang w:val="en-US"/>
        </w:rPr>
        <w:t>Crowd Tech</w:t>
      </w:r>
      <w:r w:rsidR="00856071">
        <w:rPr>
          <w:lang w:val="en-US"/>
        </w:rPr>
        <w:t>”</w:t>
      </w:r>
      <w:r w:rsidR="00B75FFF">
        <w:rPr>
          <w:lang w:val="en-US"/>
        </w:rPr>
        <w:t xml:space="preserve">) </w:t>
      </w:r>
      <w:r w:rsidR="005D38BC">
        <w:rPr>
          <w:lang w:val="en-US"/>
        </w:rPr>
        <w:t xml:space="preserve">is ordered to pay </w:t>
      </w:r>
      <w:r w:rsidR="003E7962">
        <w:rPr>
          <w:lang w:val="en-US"/>
        </w:rPr>
        <w:t xml:space="preserve">the first respondent </w:t>
      </w:r>
      <w:r w:rsidR="005D38BC">
        <w:rPr>
          <w:lang w:val="en-US"/>
        </w:rPr>
        <w:t>the costs of this application including th</w:t>
      </w:r>
      <w:r w:rsidR="00B75FFF">
        <w:rPr>
          <w:lang w:val="en-US"/>
        </w:rPr>
        <w:t>e</w:t>
      </w:r>
      <w:r w:rsidR="005D38BC">
        <w:rPr>
          <w:lang w:val="en-US"/>
        </w:rPr>
        <w:t xml:space="preserve"> application in terms of Rule 41(1)(c) on the scale as between attorney and client. </w:t>
      </w:r>
    </w:p>
    <w:p w14:paraId="0C16523D" w14:textId="77777777" w:rsidR="001B716C" w:rsidRDefault="001B716C" w:rsidP="001B716C">
      <w:pPr>
        <w:pStyle w:val="BaseParagraph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jc w:val="left"/>
        <w:rPr>
          <w:lang w:val="en-US"/>
        </w:rPr>
      </w:pPr>
    </w:p>
    <w:p w14:paraId="58ED4ADA" w14:textId="77777777" w:rsidR="00D21D87" w:rsidRDefault="00D21D87" w:rsidP="001B716C">
      <w:pPr>
        <w:pStyle w:val="BaseParagraph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jc w:val="left"/>
        <w:rPr>
          <w:lang w:val="en-US"/>
        </w:rPr>
      </w:pPr>
    </w:p>
    <w:p w14:paraId="1E5CE4B1" w14:textId="77777777" w:rsidR="00B72748" w:rsidRPr="00B72748" w:rsidRDefault="00B72748" w:rsidP="00B72748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0" w:after="0" w:line="360" w:lineRule="auto"/>
        <w:jc w:val="right"/>
        <w:rPr>
          <w:b/>
          <w:lang w:val="en-GB"/>
        </w:rPr>
      </w:pPr>
      <w:r w:rsidRPr="00B72748">
        <w:rPr>
          <w:b/>
          <w:lang w:val="en-GB"/>
        </w:rPr>
        <w:t>_____________________________</w:t>
      </w:r>
    </w:p>
    <w:p w14:paraId="6CBE11AC" w14:textId="77777777" w:rsidR="00B72748" w:rsidRPr="00B72748" w:rsidRDefault="00B72748" w:rsidP="00B72748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0" w:after="0" w:line="360" w:lineRule="auto"/>
        <w:jc w:val="right"/>
        <w:rPr>
          <w:b/>
          <w:lang w:val="en-GB"/>
        </w:rPr>
      </w:pPr>
      <w:r w:rsidRPr="00B72748">
        <w:rPr>
          <w:b/>
          <w:lang w:val="en-GB"/>
        </w:rPr>
        <w:t>N.  MANOIM</w:t>
      </w:r>
    </w:p>
    <w:p w14:paraId="52B8D63D" w14:textId="77777777" w:rsidR="00B72748" w:rsidRPr="00B72748" w:rsidRDefault="00B72748" w:rsidP="00B72748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0" w:after="0" w:line="360" w:lineRule="auto"/>
        <w:jc w:val="right"/>
        <w:rPr>
          <w:b/>
          <w:lang w:val="en-GB"/>
        </w:rPr>
      </w:pPr>
      <w:r w:rsidRPr="00B72748">
        <w:rPr>
          <w:b/>
          <w:lang w:val="en-GB"/>
        </w:rPr>
        <w:t>JUDGE OF THE HIGH COURT</w:t>
      </w:r>
    </w:p>
    <w:p w14:paraId="17FFCB96" w14:textId="77777777" w:rsidR="00B72748" w:rsidRPr="00B72748" w:rsidRDefault="00B72748" w:rsidP="00B72748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0" w:after="0" w:line="360" w:lineRule="auto"/>
        <w:jc w:val="right"/>
        <w:rPr>
          <w:b/>
          <w:lang w:val="en-GB"/>
        </w:rPr>
      </w:pPr>
      <w:r w:rsidRPr="00B72748">
        <w:rPr>
          <w:b/>
          <w:lang w:val="en-GB"/>
        </w:rPr>
        <w:t xml:space="preserve">GAUTENG DIVISION </w:t>
      </w:r>
    </w:p>
    <w:p w14:paraId="7575D47E" w14:textId="4B3202C6" w:rsidR="005D38BC" w:rsidRDefault="00B72748" w:rsidP="00B72748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0" w:after="0" w:line="360" w:lineRule="auto"/>
        <w:jc w:val="right"/>
        <w:rPr>
          <w:b/>
          <w:lang w:val="en-GB"/>
        </w:rPr>
      </w:pPr>
      <w:r w:rsidRPr="00B72748">
        <w:rPr>
          <w:b/>
          <w:lang w:val="en-GB"/>
        </w:rPr>
        <w:t>JOHNANNESBURG</w:t>
      </w:r>
    </w:p>
    <w:p w14:paraId="0E3D6982" w14:textId="77777777" w:rsidR="003820A2" w:rsidRDefault="003820A2" w:rsidP="00B72748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0" w:after="0" w:line="360" w:lineRule="auto"/>
        <w:jc w:val="right"/>
        <w:rPr>
          <w:b/>
          <w:lang w:val="en-GB"/>
        </w:rPr>
      </w:pPr>
    </w:p>
    <w:p w14:paraId="442EB5EC" w14:textId="77777777" w:rsidR="00D21D87" w:rsidRDefault="00D21D87" w:rsidP="00B72748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0" w:after="0" w:line="360" w:lineRule="auto"/>
        <w:jc w:val="right"/>
        <w:rPr>
          <w:b/>
          <w:lang w:val="en-GB"/>
        </w:rPr>
      </w:pPr>
    </w:p>
    <w:p w14:paraId="622F2412" w14:textId="77777777" w:rsidR="00D21D87" w:rsidRDefault="00D21D87" w:rsidP="00D21D87">
      <w:pPr>
        <w:spacing w:after="200" w:line="240" w:lineRule="auto"/>
        <w:jc w:val="both"/>
        <w:rPr>
          <w:rFonts w:ascii="Arial" w:eastAsia="MS Mincho" w:hAnsi="Arial" w:cs="Arial"/>
          <w:kern w:val="2"/>
          <w:sz w:val="24"/>
          <w:szCs w:val="24"/>
          <w:lang w:eastAsia="ja-JP"/>
        </w:rPr>
      </w:pPr>
    </w:p>
    <w:p w14:paraId="7B27A2AC" w14:textId="78E959EA" w:rsidR="00D21D87" w:rsidRPr="00D21D87" w:rsidRDefault="00D21D87" w:rsidP="00D21D87">
      <w:pPr>
        <w:spacing w:after="200" w:line="240" w:lineRule="auto"/>
        <w:jc w:val="both"/>
        <w:rPr>
          <w:rFonts w:ascii="Arial" w:eastAsia="MS Mincho" w:hAnsi="Arial" w:cs="Arial"/>
          <w:kern w:val="2"/>
          <w:sz w:val="24"/>
          <w:szCs w:val="24"/>
          <w:lang w:eastAsia="ja-JP"/>
        </w:rPr>
      </w:pPr>
      <w:r w:rsidRPr="00D21D87">
        <w:rPr>
          <w:rFonts w:ascii="Arial" w:eastAsia="MS Mincho" w:hAnsi="Arial" w:cs="Arial"/>
          <w:kern w:val="2"/>
          <w:sz w:val="24"/>
          <w:szCs w:val="24"/>
          <w:lang w:eastAsia="ja-JP"/>
        </w:rPr>
        <w:t xml:space="preserve">Date of hearing: </w:t>
      </w:r>
      <w:r w:rsidR="00AC4710">
        <w:rPr>
          <w:rFonts w:ascii="Arial" w:eastAsia="MS Mincho" w:hAnsi="Arial" w:cs="Arial"/>
          <w:kern w:val="2"/>
          <w:sz w:val="24"/>
          <w:szCs w:val="24"/>
          <w:lang w:eastAsia="ja-JP"/>
        </w:rPr>
        <w:t>31</w:t>
      </w:r>
      <w:r>
        <w:rPr>
          <w:rFonts w:ascii="Arial" w:eastAsia="MS Mincho" w:hAnsi="Arial" w:cs="Arial"/>
          <w:kern w:val="2"/>
          <w:sz w:val="24"/>
          <w:szCs w:val="24"/>
          <w:lang w:eastAsia="ja-JP"/>
        </w:rPr>
        <w:t xml:space="preserve"> October</w:t>
      </w:r>
      <w:r w:rsidRPr="00D21D87">
        <w:rPr>
          <w:rFonts w:ascii="Arial" w:eastAsia="MS Mincho" w:hAnsi="Arial" w:cs="Arial"/>
          <w:kern w:val="2"/>
          <w:sz w:val="24"/>
          <w:szCs w:val="24"/>
          <w:lang w:eastAsia="ja-JP"/>
        </w:rPr>
        <w:t xml:space="preserve"> 2023</w:t>
      </w:r>
    </w:p>
    <w:p w14:paraId="0CEECAF6" w14:textId="678958EF" w:rsidR="00D21D87" w:rsidRPr="00D21D87" w:rsidRDefault="00D21D87" w:rsidP="00D21D87">
      <w:pPr>
        <w:spacing w:after="200" w:line="480" w:lineRule="auto"/>
        <w:jc w:val="both"/>
        <w:rPr>
          <w:rFonts w:ascii="Arial" w:eastAsia="MS Mincho" w:hAnsi="Arial" w:cs="Arial"/>
          <w:kern w:val="2"/>
          <w:sz w:val="24"/>
          <w:szCs w:val="24"/>
          <w:lang w:eastAsia="ja-JP"/>
        </w:rPr>
      </w:pPr>
      <w:r w:rsidRPr="00D21D87">
        <w:rPr>
          <w:rFonts w:ascii="Arial" w:eastAsia="MS Mincho" w:hAnsi="Arial" w:cs="Arial"/>
          <w:kern w:val="2"/>
          <w:sz w:val="24"/>
          <w:szCs w:val="24"/>
          <w:lang w:eastAsia="ja-JP"/>
        </w:rPr>
        <w:t>Date of judgment: 1</w:t>
      </w:r>
      <w:r>
        <w:rPr>
          <w:rFonts w:ascii="Arial" w:eastAsia="MS Mincho" w:hAnsi="Arial" w:cs="Arial"/>
          <w:kern w:val="2"/>
          <w:sz w:val="24"/>
          <w:szCs w:val="24"/>
          <w:lang w:eastAsia="ja-JP"/>
        </w:rPr>
        <w:t>5</w:t>
      </w:r>
      <w:r w:rsidRPr="00D21D87">
        <w:rPr>
          <w:rFonts w:ascii="Arial" w:eastAsia="MS Mincho" w:hAnsi="Arial" w:cs="Arial"/>
          <w:kern w:val="2"/>
          <w:sz w:val="24"/>
          <w:szCs w:val="24"/>
          <w:lang w:eastAsia="ja-JP"/>
        </w:rPr>
        <w:t xml:space="preserve"> </w:t>
      </w:r>
      <w:r>
        <w:rPr>
          <w:rFonts w:ascii="Arial" w:eastAsia="MS Mincho" w:hAnsi="Arial" w:cs="Arial"/>
          <w:kern w:val="2"/>
          <w:sz w:val="24"/>
          <w:szCs w:val="24"/>
          <w:lang w:eastAsia="ja-JP"/>
        </w:rPr>
        <w:t>November</w:t>
      </w:r>
      <w:r w:rsidRPr="00D21D87">
        <w:rPr>
          <w:rFonts w:ascii="Arial" w:eastAsia="MS Mincho" w:hAnsi="Arial" w:cs="Arial"/>
          <w:kern w:val="2"/>
          <w:sz w:val="24"/>
          <w:szCs w:val="24"/>
          <w:lang w:eastAsia="ja-JP"/>
        </w:rPr>
        <w:t xml:space="preserve"> 2023</w:t>
      </w:r>
    </w:p>
    <w:p w14:paraId="3D6D16E7" w14:textId="3A95760F" w:rsidR="005D38BC" w:rsidRDefault="00D21D87" w:rsidP="003820A2">
      <w:pPr>
        <w:spacing w:after="200" w:line="480" w:lineRule="auto"/>
        <w:jc w:val="both"/>
        <w:rPr>
          <w:rFonts w:ascii="Arial" w:eastAsia="MS Mincho" w:hAnsi="Arial" w:cs="Arial"/>
          <w:kern w:val="2"/>
          <w:sz w:val="24"/>
          <w:szCs w:val="24"/>
          <w:lang w:eastAsia="ja-JP"/>
        </w:rPr>
      </w:pPr>
      <w:r w:rsidRPr="00D21D87">
        <w:rPr>
          <w:rFonts w:ascii="Arial" w:eastAsia="MS Mincho" w:hAnsi="Arial" w:cs="Arial"/>
          <w:kern w:val="2"/>
          <w:sz w:val="24"/>
          <w:szCs w:val="24"/>
          <w:lang w:eastAsia="ja-JP"/>
        </w:rPr>
        <w:t>Appearances:</w:t>
      </w:r>
    </w:p>
    <w:p w14:paraId="52B359C6" w14:textId="1B3AE055" w:rsidR="008C54CB" w:rsidRDefault="008C54CB" w:rsidP="008C54CB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jc w:val="left"/>
        <w:rPr>
          <w:lang w:val="de-DE"/>
        </w:rPr>
      </w:pPr>
      <w:r>
        <w:rPr>
          <w:lang w:val="en-US"/>
        </w:rPr>
        <w:lastRenderedPageBreak/>
        <w:t>First Respondent’s Counsel:</w:t>
      </w:r>
      <w:r>
        <w:rPr>
          <w:lang w:val="en-US"/>
        </w:rPr>
        <w:tab/>
      </w:r>
      <w:r w:rsidR="00CC798E">
        <w:rPr>
          <w:lang w:val="en-US"/>
        </w:rPr>
        <w:tab/>
      </w:r>
      <w:r>
        <w:rPr>
          <w:lang w:val="de-DE"/>
        </w:rPr>
        <w:t>JM Heher</w:t>
      </w:r>
    </w:p>
    <w:p w14:paraId="4587E14A" w14:textId="77777777" w:rsidR="008C54CB" w:rsidRDefault="008C54CB" w:rsidP="008C54CB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jc w:val="left"/>
        <w:rPr>
          <w:lang w:val="de-DE"/>
        </w:rPr>
      </w:pPr>
    </w:p>
    <w:p w14:paraId="08DA9DFE" w14:textId="3CBCD440" w:rsidR="008C54CB" w:rsidRDefault="008C54CB" w:rsidP="008C54CB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jc w:val="left"/>
      </w:pPr>
      <w:r>
        <w:rPr>
          <w:rFonts w:eastAsia="MS Mincho"/>
          <w:lang w:val="en-GB" w:eastAsia="ja-JP"/>
        </w:rPr>
        <w:t>Instructed by:</w:t>
      </w:r>
      <w:r>
        <w:rPr>
          <w:rFonts w:eastAsia="MS Mincho"/>
          <w:lang w:val="en-GB" w:eastAsia="ja-JP"/>
        </w:rPr>
        <w:tab/>
      </w:r>
      <w:r>
        <w:rPr>
          <w:rFonts w:eastAsia="MS Mincho"/>
          <w:lang w:val="en-GB" w:eastAsia="ja-JP"/>
        </w:rPr>
        <w:tab/>
      </w:r>
      <w:r>
        <w:rPr>
          <w:rFonts w:eastAsia="MS Mincho"/>
          <w:lang w:val="en-GB" w:eastAsia="ja-JP"/>
        </w:rPr>
        <w:tab/>
      </w:r>
      <w:r w:rsidR="00CC798E">
        <w:rPr>
          <w:rFonts w:eastAsia="MS Mincho"/>
          <w:lang w:val="en-GB" w:eastAsia="ja-JP"/>
        </w:rPr>
        <w:tab/>
      </w:r>
      <w:r>
        <w:rPr>
          <w:rFonts w:eastAsia="MS Mincho"/>
          <w:lang w:val="en-GB" w:eastAsia="ja-JP"/>
        </w:rPr>
        <w:t>Raymond Druker Attorneys/ Raymond Druker</w:t>
      </w:r>
    </w:p>
    <w:p w14:paraId="5AD1B1E7" w14:textId="77777777" w:rsidR="008C54CB" w:rsidRPr="003820A2" w:rsidRDefault="008C54CB" w:rsidP="003820A2">
      <w:pPr>
        <w:spacing w:after="200" w:line="480" w:lineRule="auto"/>
        <w:jc w:val="both"/>
        <w:rPr>
          <w:rFonts w:ascii="Arial" w:eastAsia="MS Mincho" w:hAnsi="Arial" w:cs="Arial"/>
          <w:kern w:val="2"/>
          <w:sz w:val="24"/>
          <w:szCs w:val="24"/>
          <w:lang w:eastAsia="ja-JP"/>
        </w:rPr>
      </w:pPr>
    </w:p>
    <w:p w14:paraId="0A765948" w14:textId="77777777" w:rsidR="002B6CA4" w:rsidRDefault="002B6CA4" w:rsidP="002B6CA4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ind w:firstLine="3969"/>
        <w:jc w:val="left"/>
      </w:pPr>
    </w:p>
    <w:p w14:paraId="41258B1B" w14:textId="33277E02" w:rsidR="003820A2" w:rsidRDefault="002B6CA4" w:rsidP="002B6CA4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jc w:val="left"/>
        <w:rPr>
          <w:lang w:val="en-US"/>
        </w:rPr>
      </w:pPr>
      <w:r>
        <w:rPr>
          <w:lang w:val="en-US"/>
        </w:rPr>
        <w:t xml:space="preserve">Applicant’s Counsel: </w:t>
      </w:r>
      <w:r>
        <w:rPr>
          <w:lang w:val="en-US"/>
        </w:rPr>
        <w:tab/>
      </w:r>
      <w:r>
        <w:rPr>
          <w:lang w:val="en-US"/>
        </w:rPr>
        <w:tab/>
      </w:r>
      <w:r w:rsidR="00CC798E">
        <w:rPr>
          <w:lang w:val="en-US"/>
        </w:rPr>
        <w:tab/>
      </w:r>
      <w:r>
        <w:rPr>
          <w:lang w:val="en-US"/>
        </w:rPr>
        <w:t>A Cooke (</w:t>
      </w:r>
      <w:r w:rsidR="00856071">
        <w:rPr>
          <w:lang w:val="en-US"/>
        </w:rPr>
        <w:t>H</w:t>
      </w:r>
      <w:r>
        <w:rPr>
          <w:lang w:val="en-US"/>
        </w:rPr>
        <w:t>eads</w:t>
      </w:r>
      <w:r w:rsidR="003820A2">
        <w:rPr>
          <w:lang w:val="en-US"/>
        </w:rPr>
        <w:t xml:space="preserve"> of Arguments</w:t>
      </w:r>
      <w:r>
        <w:rPr>
          <w:lang w:val="en-US"/>
        </w:rPr>
        <w:t xml:space="preserve"> drafted by </w:t>
      </w:r>
    </w:p>
    <w:p w14:paraId="794BCCDC" w14:textId="0D19D5A4" w:rsidR="002B6CA4" w:rsidRDefault="003820A2" w:rsidP="002B6CA4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C798E">
        <w:rPr>
          <w:lang w:val="en-US"/>
        </w:rPr>
        <w:tab/>
      </w:r>
      <w:r w:rsidR="002B6CA4">
        <w:rPr>
          <w:lang w:val="en-US"/>
        </w:rPr>
        <w:t>C. Van der Linde)</w:t>
      </w:r>
    </w:p>
    <w:p w14:paraId="2C3FBC26" w14:textId="77777777" w:rsidR="003820A2" w:rsidRDefault="003820A2" w:rsidP="002B6CA4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jc w:val="left"/>
        <w:rPr>
          <w:lang w:val="en-US"/>
        </w:rPr>
      </w:pPr>
    </w:p>
    <w:p w14:paraId="3CCE7AFE" w14:textId="3951357B" w:rsidR="003820A2" w:rsidRDefault="003820A2" w:rsidP="00CC798E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ind w:left="2160" w:hanging="2160"/>
        <w:jc w:val="left"/>
        <w:rPr>
          <w:rFonts w:eastAsia="MS Mincho"/>
          <w:lang w:val="en-GB" w:eastAsia="ja-JP"/>
        </w:rPr>
      </w:pPr>
      <w:r>
        <w:rPr>
          <w:rFonts w:eastAsia="MS Mincho"/>
          <w:lang w:val="en-GB" w:eastAsia="ja-JP"/>
        </w:rPr>
        <w:t>Instructed by:</w:t>
      </w:r>
      <w:r w:rsidR="0054069D">
        <w:rPr>
          <w:rFonts w:eastAsia="MS Mincho"/>
          <w:lang w:val="en-GB" w:eastAsia="ja-JP"/>
        </w:rPr>
        <w:tab/>
      </w:r>
      <w:r w:rsidR="0054069D">
        <w:rPr>
          <w:rFonts w:eastAsia="MS Mincho"/>
          <w:lang w:val="en-GB" w:eastAsia="ja-JP"/>
        </w:rPr>
        <w:tab/>
      </w:r>
      <w:r w:rsidR="0054069D">
        <w:rPr>
          <w:rFonts w:eastAsia="MS Mincho"/>
          <w:lang w:val="en-GB" w:eastAsia="ja-JP"/>
        </w:rPr>
        <w:tab/>
      </w:r>
      <w:r w:rsidR="00CC798E">
        <w:rPr>
          <w:rFonts w:eastAsia="MS Mincho"/>
          <w:lang w:val="en-GB" w:eastAsia="ja-JP"/>
        </w:rPr>
        <w:tab/>
      </w:r>
      <w:r w:rsidR="00CC798E">
        <w:rPr>
          <w:rFonts w:eastAsia="MS Mincho"/>
          <w:lang w:val="en-GB" w:eastAsia="ja-JP"/>
        </w:rPr>
        <w:tab/>
      </w:r>
      <w:r w:rsidR="00F927E0">
        <w:rPr>
          <w:rFonts w:eastAsia="MS Mincho"/>
          <w:lang w:val="en-GB" w:eastAsia="ja-JP"/>
        </w:rPr>
        <w:t xml:space="preserve">Norton Rose Fulbright South </w:t>
      </w:r>
      <w:r w:rsidR="008C54CB">
        <w:rPr>
          <w:rFonts w:eastAsia="MS Mincho"/>
          <w:lang w:val="en-GB" w:eastAsia="ja-JP"/>
        </w:rPr>
        <w:t>Africa</w:t>
      </w:r>
      <w:r w:rsidR="00F927E0">
        <w:rPr>
          <w:rFonts w:eastAsia="MS Mincho"/>
          <w:lang w:val="en-GB" w:eastAsia="ja-JP"/>
        </w:rPr>
        <w:t xml:space="preserve"> Inc/G. </w:t>
      </w:r>
    </w:p>
    <w:p w14:paraId="71C99F85" w14:textId="3FCEBA39" w:rsidR="003820A2" w:rsidRDefault="00CC798E" w:rsidP="002B6CA4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jc w:val="left"/>
        <w:rPr>
          <w:rFonts w:eastAsia="MS Mincho"/>
          <w:lang w:val="en-GB" w:eastAsia="ja-JP"/>
        </w:rPr>
      </w:pPr>
      <w:r>
        <w:rPr>
          <w:rFonts w:eastAsia="MS Mincho"/>
          <w:lang w:val="en-GB" w:eastAsia="ja-JP"/>
        </w:rPr>
        <w:tab/>
      </w:r>
      <w:r>
        <w:rPr>
          <w:rFonts w:eastAsia="MS Mincho"/>
          <w:lang w:val="en-GB" w:eastAsia="ja-JP"/>
        </w:rPr>
        <w:tab/>
      </w:r>
      <w:r>
        <w:rPr>
          <w:rFonts w:eastAsia="MS Mincho"/>
          <w:lang w:val="en-GB" w:eastAsia="ja-JP"/>
        </w:rPr>
        <w:tab/>
      </w:r>
      <w:r>
        <w:rPr>
          <w:rFonts w:eastAsia="MS Mincho"/>
          <w:lang w:val="en-GB" w:eastAsia="ja-JP"/>
        </w:rPr>
        <w:tab/>
      </w:r>
      <w:r>
        <w:rPr>
          <w:rFonts w:eastAsia="MS Mincho"/>
          <w:lang w:val="en-GB" w:eastAsia="ja-JP"/>
        </w:rPr>
        <w:tab/>
      </w:r>
      <w:r>
        <w:rPr>
          <w:rFonts w:eastAsia="MS Mincho"/>
          <w:lang w:val="en-GB" w:eastAsia="ja-JP"/>
        </w:rPr>
        <w:tab/>
        <w:t>Bouwer</w:t>
      </w:r>
    </w:p>
    <w:p w14:paraId="2A86BF60" w14:textId="77777777" w:rsidR="003820A2" w:rsidRDefault="003820A2" w:rsidP="002B6CA4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jc w:val="left"/>
        <w:rPr>
          <w:lang w:val="en-US"/>
        </w:rPr>
      </w:pPr>
    </w:p>
    <w:p w14:paraId="0C832850" w14:textId="77777777" w:rsidR="00976DA5" w:rsidRDefault="00976DA5" w:rsidP="002B6CA4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jc w:val="left"/>
        <w:rPr>
          <w:lang w:val="en-US"/>
        </w:rPr>
      </w:pPr>
    </w:p>
    <w:p w14:paraId="6BDA3A97" w14:textId="77777777" w:rsidR="00976DA5" w:rsidRDefault="00976DA5" w:rsidP="00976DA5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ind w:firstLine="3969"/>
        <w:jc w:val="left"/>
      </w:pPr>
    </w:p>
    <w:p w14:paraId="1EBE60A8" w14:textId="77777777" w:rsidR="00976DA5" w:rsidRDefault="00976DA5" w:rsidP="002B6CA4">
      <w:pPr>
        <w:pStyle w:val="BaseParagraph"/>
        <w:keepNext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jc w:val="left"/>
      </w:pPr>
    </w:p>
    <w:p w14:paraId="6CD9E798" w14:textId="77777777" w:rsidR="005D38BC" w:rsidRPr="005D38BC" w:rsidRDefault="005D38BC" w:rsidP="0061000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D38BC" w:rsidRPr="005D38BC" w:rsidSect="00CA69BE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C325" w14:textId="77777777" w:rsidR="00FC7736" w:rsidRDefault="00FC7736" w:rsidP="00186E08">
      <w:pPr>
        <w:spacing w:after="0" w:line="240" w:lineRule="auto"/>
      </w:pPr>
      <w:r>
        <w:separator/>
      </w:r>
    </w:p>
  </w:endnote>
  <w:endnote w:type="continuationSeparator" w:id="0">
    <w:p w14:paraId="67E51E55" w14:textId="77777777" w:rsidR="00FC7736" w:rsidRDefault="00FC7736" w:rsidP="0018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8965" w14:textId="77777777" w:rsidR="00FC7736" w:rsidRDefault="00FC7736" w:rsidP="00186E08">
      <w:pPr>
        <w:spacing w:after="0" w:line="240" w:lineRule="auto"/>
      </w:pPr>
      <w:r>
        <w:separator/>
      </w:r>
    </w:p>
  </w:footnote>
  <w:footnote w:type="continuationSeparator" w:id="0">
    <w:p w14:paraId="64F8CD60" w14:textId="77777777" w:rsidR="00FC7736" w:rsidRDefault="00FC7736" w:rsidP="00186E08">
      <w:pPr>
        <w:spacing w:after="0" w:line="240" w:lineRule="auto"/>
      </w:pPr>
      <w:r>
        <w:continuationSeparator/>
      </w:r>
    </w:p>
  </w:footnote>
  <w:footnote w:id="1">
    <w:p w14:paraId="538E32F9" w14:textId="77777777" w:rsidR="00F9269F" w:rsidRPr="00CA69BE" w:rsidRDefault="00F9269F" w:rsidP="00CA69BE">
      <w:pPr>
        <w:pStyle w:val="FootnoteText"/>
        <w:jc w:val="both"/>
        <w:rPr>
          <w:rFonts w:ascii="Arial" w:hAnsi="Arial" w:cs="Arial"/>
          <w:lang w:val="en-US"/>
        </w:rPr>
      </w:pPr>
      <w:r w:rsidRPr="00CA69BE">
        <w:rPr>
          <w:rStyle w:val="FootnoteReference"/>
          <w:rFonts w:ascii="Arial" w:hAnsi="Arial" w:cs="Arial"/>
        </w:rPr>
        <w:footnoteRef/>
      </w:r>
      <w:r w:rsidRPr="00CA69BE">
        <w:rPr>
          <w:rFonts w:ascii="Arial" w:hAnsi="Arial" w:cs="Arial"/>
        </w:rPr>
        <w:t xml:space="preserve"> </w:t>
      </w:r>
      <w:r w:rsidRPr="00CA69BE">
        <w:rPr>
          <w:rFonts w:ascii="Arial" w:hAnsi="Arial" w:cs="Arial"/>
          <w:lang w:val="en-US"/>
        </w:rPr>
        <w:t>The dramatis personae are the applicant and the first and second respondent. The third respondent, ABSA has not involved itself in this litigation.</w:t>
      </w:r>
    </w:p>
  </w:footnote>
  <w:footnote w:id="2">
    <w:p w14:paraId="43CE6B87" w14:textId="47F7E46A" w:rsidR="00694513" w:rsidRPr="00CA69BE" w:rsidRDefault="00694513" w:rsidP="00CA69BE">
      <w:pPr>
        <w:pStyle w:val="FootnoteText"/>
        <w:jc w:val="both"/>
        <w:rPr>
          <w:rFonts w:ascii="Arial" w:hAnsi="Arial" w:cs="Arial"/>
          <w:lang w:val="en-US"/>
        </w:rPr>
      </w:pPr>
      <w:r w:rsidRPr="00CA69BE">
        <w:rPr>
          <w:rStyle w:val="FootnoteReference"/>
          <w:rFonts w:ascii="Arial" w:hAnsi="Arial" w:cs="Arial"/>
        </w:rPr>
        <w:footnoteRef/>
      </w:r>
      <w:r w:rsidRPr="00CA69BE">
        <w:rPr>
          <w:rFonts w:ascii="Arial" w:hAnsi="Arial" w:cs="Arial"/>
        </w:rPr>
        <w:t xml:space="preserve"> I will refer to the parties by name</w:t>
      </w:r>
      <w:r w:rsidR="006D7A21" w:rsidRPr="00CA69BE">
        <w:rPr>
          <w:rFonts w:ascii="Arial" w:hAnsi="Arial" w:cs="Arial"/>
        </w:rPr>
        <w:t xml:space="preserve"> and not their designations</w:t>
      </w:r>
      <w:r w:rsidR="00C9459D" w:rsidRPr="00CA69BE">
        <w:rPr>
          <w:rFonts w:ascii="Arial" w:hAnsi="Arial" w:cs="Arial"/>
        </w:rPr>
        <w:t xml:space="preserve">.  </w:t>
      </w:r>
      <w:r w:rsidR="00BC5546" w:rsidRPr="00CA69BE">
        <w:rPr>
          <w:rFonts w:ascii="Arial" w:hAnsi="Arial" w:cs="Arial"/>
        </w:rPr>
        <w:t>Although they</w:t>
      </w:r>
      <w:r w:rsidRPr="00CA69BE">
        <w:rPr>
          <w:rFonts w:ascii="Arial" w:hAnsi="Arial" w:cs="Arial"/>
        </w:rPr>
        <w:t xml:space="preserve"> have reversed </w:t>
      </w:r>
      <w:r w:rsidR="00844ACB" w:rsidRPr="00CA69BE">
        <w:rPr>
          <w:rFonts w:ascii="Arial" w:hAnsi="Arial" w:cs="Arial"/>
        </w:rPr>
        <w:t>their respective designations</w:t>
      </w:r>
      <w:r w:rsidRPr="00CA69BE">
        <w:rPr>
          <w:rFonts w:ascii="Arial" w:hAnsi="Arial" w:cs="Arial"/>
        </w:rPr>
        <w:t xml:space="preserve"> in the present costs </w:t>
      </w:r>
      <w:r w:rsidR="00626CDA" w:rsidRPr="00CA69BE">
        <w:rPr>
          <w:rFonts w:ascii="Arial" w:hAnsi="Arial" w:cs="Arial"/>
        </w:rPr>
        <w:t>application</w:t>
      </w:r>
      <w:r w:rsidR="002D7776" w:rsidRPr="00CA69BE">
        <w:rPr>
          <w:rFonts w:ascii="Arial" w:hAnsi="Arial" w:cs="Arial"/>
        </w:rPr>
        <w:t>,</w:t>
      </w:r>
      <w:r w:rsidR="00626CDA" w:rsidRPr="00CA69BE">
        <w:rPr>
          <w:rFonts w:ascii="Arial" w:hAnsi="Arial" w:cs="Arial"/>
        </w:rPr>
        <w:t xml:space="preserve"> t</w:t>
      </w:r>
      <w:r w:rsidRPr="00CA69BE">
        <w:rPr>
          <w:rFonts w:ascii="Arial" w:hAnsi="Arial" w:cs="Arial"/>
        </w:rPr>
        <w:t>he</w:t>
      </w:r>
      <w:r w:rsidR="002D7776" w:rsidRPr="00CA69BE">
        <w:rPr>
          <w:rFonts w:ascii="Arial" w:hAnsi="Arial" w:cs="Arial"/>
        </w:rPr>
        <w:t>y</w:t>
      </w:r>
      <w:r w:rsidRPr="00CA69BE">
        <w:rPr>
          <w:rFonts w:ascii="Arial" w:hAnsi="Arial" w:cs="Arial"/>
        </w:rPr>
        <w:t xml:space="preserve"> have</w:t>
      </w:r>
      <w:r w:rsidR="005D5D36" w:rsidRPr="00CA69BE">
        <w:rPr>
          <w:rFonts w:ascii="Arial" w:hAnsi="Arial" w:cs="Arial"/>
        </w:rPr>
        <w:t xml:space="preserve"> continued to use their designations as they were in the main mater</w:t>
      </w:r>
      <w:r w:rsidR="0001508B" w:rsidRPr="00CA69BE">
        <w:rPr>
          <w:rFonts w:ascii="Arial" w:hAnsi="Arial" w:cs="Arial"/>
        </w:rPr>
        <w:t xml:space="preserve">. These designations </w:t>
      </w:r>
      <w:r w:rsidR="005D5D36" w:rsidRPr="00CA69BE">
        <w:rPr>
          <w:rFonts w:ascii="Arial" w:hAnsi="Arial" w:cs="Arial"/>
        </w:rPr>
        <w:t xml:space="preserve">are </w:t>
      </w:r>
      <w:r w:rsidRPr="00CA69BE">
        <w:rPr>
          <w:rFonts w:ascii="Arial" w:hAnsi="Arial" w:cs="Arial"/>
        </w:rPr>
        <w:t>reflected in the heading of this judgment.</w:t>
      </w:r>
    </w:p>
  </w:footnote>
  <w:footnote w:id="3">
    <w:p w14:paraId="29042176" w14:textId="138221CD" w:rsidR="000B4D5D" w:rsidRPr="00CA69BE" w:rsidRDefault="000B4D5D" w:rsidP="00CA69BE">
      <w:pPr>
        <w:pStyle w:val="FootnoteText"/>
        <w:jc w:val="both"/>
        <w:rPr>
          <w:rFonts w:ascii="Arial" w:hAnsi="Arial" w:cs="Arial"/>
          <w:lang w:val="en-US"/>
        </w:rPr>
      </w:pPr>
      <w:r w:rsidRPr="00CA69BE">
        <w:rPr>
          <w:rStyle w:val="FootnoteReference"/>
          <w:rFonts w:ascii="Arial" w:hAnsi="Arial" w:cs="Arial"/>
        </w:rPr>
        <w:footnoteRef/>
      </w:r>
      <w:r w:rsidRPr="00CA69BE">
        <w:rPr>
          <w:rFonts w:ascii="Arial" w:hAnsi="Arial" w:cs="Arial"/>
        </w:rPr>
        <w:t xml:space="preserve"> </w:t>
      </w:r>
      <w:r w:rsidRPr="00CA69BE">
        <w:rPr>
          <w:rFonts w:ascii="Arial" w:hAnsi="Arial" w:cs="Arial"/>
          <w:lang w:val="en-US"/>
        </w:rPr>
        <w:t xml:space="preserve">A white label agreement is </w:t>
      </w:r>
      <w:r w:rsidR="008F66D3" w:rsidRPr="00CA69BE">
        <w:rPr>
          <w:rFonts w:ascii="Arial" w:hAnsi="Arial" w:cs="Arial"/>
          <w:lang w:val="en-US"/>
        </w:rPr>
        <w:t xml:space="preserve">a contract that allows a party to rebrand and sell a product or service developed by another </w:t>
      </w:r>
      <w:r w:rsidR="00EF2D28" w:rsidRPr="00CA69BE">
        <w:rPr>
          <w:rFonts w:ascii="Arial" w:hAnsi="Arial" w:cs="Arial"/>
          <w:lang w:val="en-US"/>
        </w:rPr>
        <w:t>as their own.</w:t>
      </w:r>
      <w:r w:rsidR="00E63C38" w:rsidRPr="00CA69BE">
        <w:rPr>
          <w:rFonts w:ascii="Arial" w:hAnsi="Arial" w:cs="Arial"/>
          <w:lang w:val="en-US"/>
        </w:rPr>
        <w:t xml:space="preserve"> See </w:t>
      </w:r>
      <w:r w:rsidR="00EF2D28" w:rsidRPr="00CA69BE">
        <w:rPr>
          <w:rFonts w:ascii="Arial" w:hAnsi="Arial" w:cs="Arial"/>
          <w:lang w:val="en-US"/>
        </w:rPr>
        <w:t xml:space="preserve"> </w:t>
      </w:r>
      <w:r w:rsidR="001E7DFA" w:rsidRPr="00CA69BE">
        <w:rPr>
          <w:rFonts w:ascii="Arial" w:hAnsi="Arial" w:cs="Arial"/>
          <w:lang w:val="en-US"/>
        </w:rPr>
        <w:t>https://</w:t>
      </w:r>
      <w:r w:rsidR="00EF2D28" w:rsidRPr="00CA69BE">
        <w:rPr>
          <w:rFonts w:ascii="Arial" w:hAnsi="Arial" w:cs="Arial"/>
          <w:lang w:val="en-US"/>
        </w:rPr>
        <w:t>www.contracts</w:t>
      </w:r>
      <w:r w:rsidR="00A30223" w:rsidRPr="00CA69BE">
        <w:rPr>
          <w:rFonts w:ascii="Arial" w:hAnsi="Arial" w:cs="Arial"/>
          <w:lang w:val="en-US"/>
        </w:rPr>
        <w:t xml:space="preserve">counsel.com. </w:t>
      </w:r>
    </w:p>
  </w:footnote>
  <w:footnote w:id="4">
    <w:p w14:paraId="0F672550" w14:textId="59D4750D" w:rsidR="00102D31" w:rsidRPr="00CA69BE" w:rsidRDefault="00102D31" w:rsidP="00CA69BE">
      <w:pPr>
        <w:pStyle w:val="FootnoteText"/>
        <w:jc w:val="both"/>
        <w:rPr>
          <w:rFonts w:ascii="Arial" w:hAnsi="Arial" w:cs="Arial"/>
          <w:lang w:val="en-US"/>
        </w:rPr>
      </w:pPr>
      <w:r w:rsidRPr="00CA69BE">
        <w:rPr>
          <w:rStyle w:val="FootnoteReference"/>
          <w:rFonts w:ascii="Arial" w:hAnsi="Arial" w:cs="Arial"/>
        </w:rPr>
        <w:footnoteRef/>
      </w:r>
      <w:r w:rsidRPr="00CA69BE">
        <w:rPr>
          <w:rFonts w:ascii="Arial" w:hAnsi="Arial" w:cs="Arial"/>
        </w:rPr>
        <w:t xml:space="preserve"> </w:t>
      </w:r>
      <w:r w:rsidRPr="00CA69BE">
        <w:rPr>
          <w:rFonts w:ascii="Arial" w:hAnsi="Arial" w:cs="Arial"/>
          <w:lang w:val="en-US"/>
        </w:rPr>
        <w:t>This action is still pending at the time of this decision I was informed by counsel.</w:t>
      </w:r>
    </w:p>
  </w:footnote>
  <w:footnote w:id="5">
    <w:p w14:paraId="722F3EB5" w14:textId="6B231C0B" w:rsidR="00A95327" w:rsidRPr="00CA69BE" w:rsidRDefault="00A95327" w:rsidP="00CA69BE">
      <w:pPr>
        <w:pStyle w:val="FootnoteText"/>
        <w:jc w:val="both"/>
        <w:rPr>
          <w:rFonts w:ascii="Arial" w:hAnsi="Arial" w:cs="Arial"/>
          <w:lang w:val="en-US"/>
        </w:rPr>
      </w:pPr>
      <w:r w:rsidRPr="00CA69BE">
        <w:rPr>
          <w:rStyle w:val="FootnoteReference"/>
          <w:rFonts w:ascii="Arial" w:hAnsi="Arial" w:cs="Arial"/>
        </w:rPr>
        <w:footnoteRef/>
      </w:r>
      <w:r w:rsidRPr="00CA69BE">
        <w:rPr>
          <w:rFonts w:ascii="Arial" w:hAnsi="Arial" w:cs="Arial"/>
        </w:rPr>
        <w:t xml:space="preserve"> </w:t>
      </w:r>
      <w:r w:rsidR="00D73869" w:rsidRPr="00CA69BE">
        <w:rPr>
          <w:rFonts w:ascii="Arial" w:hAnsi="Arial" w:cs="Arial"/>
          <w:i/>
          <w:iCs/>
          <w:lang w:val="en-US"/>
        </w:rPr>
        <w:t xml:space="preserve">Mazzetti </w:t>
      </w:r>
      <w:r w:rsidR="00BD4DC6" w:rsidRPr="00CA69BE">
        <w:rPr>
          <w:rFonts w:ascii="Arial" w:hAnsi="Arial" w:cs="Arial"/>
          <w:i/>
          <w:iCs/>
          <w:lang w:val="en-US"/>
        </w:rPr>
        <w:t>Management Services (Pty) Ltd an</w:t>
      </w:r>
      <w:r w:rsidR="00796BC3" w:rsidRPr="00CA69BE">
        <w:rPr>
          <w:rFonts w:ascii="Arial" w:hAnsi="Arial" w:cs="Arial"/>
          <w:i/>
          <w:iCs/>
          <w:lang w:val="en-US"/>
        </w:rPr>
        <w:t>d</w:t>
      </w:r>
      <w:r w:rsidR="00BD4DC6" w:rsidRPr="00CA69BE">
        <w:rPr>
          <w:rFonts w:ascii="Arial" w:hAnsi="Arial" w:cs="Arial"/>
          <w:i/>
          <w:iCs/>
          <w:lang w:val="en-US"/>
        </w:rPr>
        <w:t xml:space="preserve"> </w:t>
      </w:r>
      <w:r w:rsidR="00837A45" w:rsidRPr="00CA69BE">
        <w:rPr>
          <w:rFonts w:ascii="Arial" w:hAnsi="Arial" w:cs="Arial"/>
          <w:i/>
          <w:iCs/>
          <w:lang w:val="en-US"/>
        </w:rPr>
        <w:t>an</w:t>
      </w:r>
      <w:r w:rsidR="00BD4DC6" w:rsidRPr="00CA69BE">
        <w:rPr>
          <w:rFonts w:ascii="Arial" w:hAnsi="Arial" w:cs="Arial"/>
          <w:i/>
          <w:iCs/>
          <w:lang w:val="en-US"/>
        </w:rPr>
        <w:t xml:space="preserve">other v </w:t>
      </w:r>
      <w:proofErr w:type="spellStart"/>
      <w:r w:rsidR="00BD4DC6" w:rsidRPr="00CA69BE">
        <w:rPr>
          <w:rFonts w:ascii="Arial" w:hAnsi="Arial" w:cs="Arial"/>
          <w:i/>
          <w:iCs/>
          <w:lang w:val="en-US"/>
        </w:rPr>
        <w:t>Ama</w:t>
      </w:r>
      <w:r w:rsidR="00837A45" w:rsidRPr="00CA69BE">
        <w:rPr>
          <w:rFonts w:ascii="Arial" w:hAnsi="Arial" w:cs="Arial"/>
          <w:i/>
          <w:iCs/>
          <w:lang w:val="en-US"/>
        </w:rPr>
        <w:t>bhungane</w:t>
      </w:r>
      <w:proofErr w:type="spellEnd"/>
      <w:r w:rsidR="00837A45" w:rsidRPr="00CA69BE">
        <w:rPr>
          <w:rFonts w:ascii="Arial" w:hAnsi="Arial" w:cs="Arial"/>
          <w:i/>
          <w:iCs/>
          <w:lang w:val="en-US"/>
        </w:rPr>
        <w:t xml:space="preserve"> Centre for Journalism NPC and others</w:t>
      </w:r>
      <w:r w:rsidR="00837A45" w:rsidRPr="00CA69BE">
        <w:rPr>
          <w:rFonts w:ascii="Arial" w:hAnsi="Arial" w:cs="Arial"/>
          <w:lang w:val="en-US"/>
        </w:rPr>
        <w:t xml:space="preserve"> </w:t>
      </w:r>
      <w:r w:rsidR="00043AF4" w:rsidRPr="00CA69BE">
        <w:rPr>
          <w:rFonts w:ascii="Arial" w:hAnsi="Arial" w:cs="Arial"/>
          <w:lang w:val="en-US"/>
        </w:rPr>
        <w:t>Case number 050131</w:t>
      </w:r>
      <w:r w:rsidR="0063075D" w:rsidRPr="00CA69BE">
        <w:rPr>
          <w:rFonts w:ascii="Arial" w:hAnsi="Arial" w:cs="Arial"/>
          <w:lang w:val="en-US"/>
        </w:rPr>
        <w:t>- 2023.</w:t>
      </w:r>
    </w:p>
  </w:footnote>
  <w:footnote w:id="6">
    <w:p w14:paraId="43718991" w14:textId="41D958EC" w:rsidR="00566781" w:rsidRPr="00CA69BE" w:rsidRDefault="00566781" w:rsidP="00CA69BE">
      <w:pPr>
        <w:pStyle w:val="FootnoteText"/>
        <w:jc w:val="both"/>
        <w:rPr>
          <w:rFonts w:ascii="Arial" w:hAnsi="Arial" w:cs="Arial"/>
          <w:lang w:val="en-US"/>
        </w:rPr>
      </w:pPr>
      <w:r w:rsidRPr="00CA69BE">
        <w:rPr>
          <w:rStyle w:val="FootnoteReference"/>
          <w:rFonts w:ascii="Arial" w:hAnsi="Arial" w:cs="Arial"/>
          <w:i/>
          <w:iCs/>
        </w:rPr>
        <w:footnoteRef/>
      </w:r>
      <w:r w:rsidRPr="00CA69BE">
        <w:rPr>
          <w:rFonts w:ascii="Arial" w:hAnsi="Arial" w:cs="Arial"/>
          <w:i/>
          <w:iCs/>
        </w:rPr>
        <w:t xml:space="preserve"> </w:t>
      </w:r>
      <w:r w:rsidR="006A1F32" w:rsidRPr="00CA69BE">
        <w:rPr>
          <w:rFonts w:ascii="Arial" w:hAnsi="Arial" w:cs="Arial"/>
        </w:rPr>
        <w:t xml:space="preserve">See for instance the useful discussion in </w:t>
      </w:r>
      <w:r w:rsidR="00170807" w:rsidRPr="00CA69BE">
        <w:rPr>
          <w:rFonts w:ascii="Arial" w:hAnsi="Arial" w:cs="Arial"/>
          <w:i/>
          <w:iCs/>
          <w:lang w:val="en-US"/>
        </w:rPr>
        <w:t xml:space="preserve">Protea Technology </w:t>
      </w:r>
      <w:r w:rsidR="00646FAB" w:rsidRPr="00CA69BE">
        <w:rPr>
          <w:rFonts w:ascii="Arial" w:hAnsi="Arial" w:cs="Arial"/>
          <w:i/>
          <w:iCs/>
          <w:lang w:val="en-US"/>
        </w:rPr>
        <w:t>and Another v Wainer and Others</w:t>
      </w:r>
      <w:r w:rsidR="00646FAB" w:rsidRPr="00CA69BE">
        <w:rPr>
          <w:rFonts w:ascii="Arial" w:hAnsi="Arial" w:cs="Arial"/>
          <w:lang w:val="en-US"/>
        </w:rPr>
        <w:t xml:space="preserve"> </w:t>
      </w:r>
      <w:r w:rsidR="00540592" w:rsidRPr="00CA69BE">
        <w:rPr>
          <w:rFonts w:ascii="Arial" w:hAnsi="Arial" w:cs="Arial"/>
          <w:lang w:val="en-US"/>
        </w:rPr>
        <w:t>1997 (3) All</w:t>
      </w:r>
      <w:r w:rsidR="00E10C46" w:rsidRPr="00CA69BE">
        <w:rPr>
          <w:rFonts w:ascii="Arial" w:hAnsi="Arial" w:cs="Arial"/>
          <w:lang w:val="en-US"/>
        </w:rPr>
        <w:t xml:space="preserve"> SA 594 (W)</w:t>
      </w:r>
    </w:p>
  </w:footnote>
  <w:footnote w:id="7">
    <w:p w14:paraId="3F5C2859" w14:textId="3DCBC554" w:rsidR="00B7137D" w:rsidRPr="00CA69BE" w:rsidRDefault="00B7137D" w:rsidP="00CA69BE">
      <w:pPr>
        <w:pStyle w:val="FootnoteText"/>
        <w:jc w:val="both"/>
        <w:rPr>
          <w:rFonts w:ascii="Arial" w:hAnsi="Arial" w:cs="Arial"/>
          <w:lang w:val="en-US"/>
        </w:rPr>
      </w:pPr>
      <w:r w:rsidRPr="00CA69BE">
        <w:rPr>
          <w:rStyle w:val="FootnoteReference"/>
          <w:rFonts w:ascii="Arial" w:hAnsi="Arial" w:cs="Arial"/>
        </w:rPr>
        <w:footnoteRef/>
      </w:r>
      <w:r w:rsidRPr="00CA69BE">
        <w:rPr>
          <w:rFonts w:ascii="Arial" w:hAnsi="Arial" w:cs="Arial"/>
        </w:rPr>
        <w:t xml:space="preserve"> </w:t>
      </w:r>
      <w:r w:rsidR="00086EFE" w:rsidRPr="00CA69BE">
        <w:rPr>
          <w:rFonts w:ascii="Arial" w:hAnsi="Arial" w:cs="Arial"/>
        </w:rPr>
        <w:t xml:space="preserve"> See </w:t>
      </w:r>
      <w:r w:rsidRPr="00CA69BE">
        <w:rPr>
          <w:rFonts w:ascii="Arial" w:hAnsi="Arial" w:cs="Arial"/>
          <w:lang w:val="en-US"/>
        </w:rPr>
        <w:t xml:space="preserve">Erasmus </w:t>
      </w:r>
      <w:r w:rsidR="00211507" w:rsidRPr="00CA69BE">
        <w:rPr>
          <w:rFonts w:ascii="Arial" w:hAnsi="Arial" w:cs="Arial"/>
          <w:lang w:val="en-US"/>
        </w:rPr>
        <w:t xml:space="preserve">Superior Court Practice volume 2, </w:t>
      </w:r>
      <w:r w:rsidRPr="00CA69BE">
        <w:rPr>
          <w:rFonts w:ascii="Arial" w:hAnsi="Arial" w:cs="Arial"/>
          <w:lang w:val="en-US"/>
        </w:rPr>
        <w:t xml:space="preserve">D1-61 </w:t>
      </w:r>
    </w:p>
  </w:footnote>
  <w:footnote w:id="8">
    <w:p w14:paraId="0D2D8D6F" w14:textId="391FFE04" w:rsidR="00F35745" w:rsidRPr="00DE4BD7" w:rsidRDefault="00F35745" w:rsidP="00DE4BD7">
      <w:pPr>
        <w:pStyle w:val="FootnoteText"/>
        <w:jc w:val="both"/>
        <w:rPr>
          <w:rFonts w:ascii="Arial" w:hAnsi="Arial" w:cs="Arial"/>
          <w:lang w:val="en-US"/>
        </w:rPr>
      </w:pPr>
      <w:r w:rsidRPr="00DE4BD7">
        <w:rPr>
          <w:rStyle w:val="FootnoteReference"/>
          <w:rFonts w:ascii="Arial" w:hAnsi="Arial" w:cs="Arial"/>
        </w:rPr>
        <w:footnoteRef/>
      </w:r>
      <w:r w:rsidRPr="00DE4BD7">
        <w:rPr>
          <w:rFonts w:ascii="Arial" w:hAnsi="Arial" w:cs="Arial"/>
        </w:rPr>
        <w:t xml:space="preserve"> </w:t>
      </w:r>
      <w:r w:rsidR="00687CE5" w:rsidRPr="00DE4BD7">
        <w:rPr>
          <w:rFonts w:ascii="Arial" w:hAnsi="Arial" w:cs="Arial"/>
          <w:i/>
          <w:iCs/>
        </w:rPr>
        <w:t>Schlesinger v Schlesinger</w:t>
      </w:r>
      <w:r w:rsidRPr="00DE4BD7">
        <w:rPr>
          <w:rFonts w:ascii="Arial" w:hAnsi="Arial" w:cs="Arial"/>
        </w:rPr>
        <w:t xml:space="preserve"> 1979 (4) SA 342 (W) at 354.</w:t>
      </w:r>
    </w:p>
  </w:footnote>
  <w:footnote w:id="9">
    <w:p w14:paraId="6D2C5177" w14:textId="7BBC36CD" w:rsidR="001671E1" w:rsidRPr="00DE4BD7" w:rsidRDefault="001671E1" w:rsidP="00DE4BD7">
      <w:pPr>
        <w:pStyle w:val="FootnoteText"/>
        <w:jc w:val="both"/>
        <w:rPr>
          <w:rFonts w:ascii="Arial" w:hAnsi="Arial" w:cs="Arial"/>
          <w:lang w:val="en-US"/>
        </w:rPr>
      </w:pPr>
      <w:r w:rsidRPr="00DE4BD7">
        <w:rPr>
          <w:rStyle w:val="FootnoteReference"/>
          <w:rFonts w:ascii="Arial" w:hAnsi="Arial" w:cs="Arial"/>
        </w:rPr>
        <w:footnoteRef/>
      </w:r>
      <w:r w:rsidRPr="00DE4BD7">
        <w:rPr>
          <w:rFonts w:ascii="Arial" w:hAnsi="Arial" w:cs="Arial"/>
        </w:rPr>
        <w:t xml:space="preserve"> </w:t>
      </w:r>
      <w:r w:rsidRPr="00DE4BD7">
        <w:rPr>
          <w:rFonts w:ascii="Arial" w:hAnsi="Arial" w:cs="Arial"/>
          <w:lang w:val="en-US"/>
        </w:rPr>
        <w:t xml:space="preserve">See </w:t>
      </w:r>
      <w:r w:rsidRPr="00DE4BD7">
        <w:rPr>
          <w:rFonts w:ascii="Arial" w:hAnsi="Arial" w:cs="Arial"/>
          <w:i/>
          <w:iCs/>
          <w:lang w:val="en-US"/>
        </w:rPr>
        <w:t>Mazetti</w:t>
      </w:r>
      <w:r w:rsidRPr="00DE4BD7">
        <w:rPr>
          <w:rFonts w:ascii="Arial" w:hAnsi="Arial" w:cs="Arial"/>
          <w:lang w:val="en-US"/>
        </w:rPr>
        <w:t xml:space="preserve"> </w:t>
      </w:r>
      <w:r w:rsidR="00BC676F" w:rsidRPr="00DE4BD7">
        <w:rPr>
          <w:rFonts w:ascii="Arial" w:hAnsi="Arial" w:cs="Arial"/>
          <w:lang w:val="en-US"/>
        </w:rPr>
        <w:t>supra.</w:t>
      </w:r>
    </w:p>
  </w:footnote>
  <w:footnote w:id="10">
    <w:p w14:paraId="71654995" w14:textId="3FDA6984" w:rsidR="00B30BEB" w:rsidRPr="00DE4BD7" w:rsidRDefault="00B30BEB" w:rsidP="00DE4BD7">
      <w:pPr>
        <w:pStyle w:val="FootnoteText"/>
        <w:jc w:val="both"/>
        <w:rPr>
          <w:rFonts w:ascii="Arial" w:hAnsi="Arial" w:cs="Arial"/>
          <w:lang w:val="en-US"/>
        </w:rPr>
      </w:pPr>
      <w:r w:rsidRPr="00DE4BD7">
        <w:rPr>
          <w:rStyle w:val="FootnoteReference"/>
          <w:rFonts w:ascii="Arial" w:hAnsi="Arial" w:cs="Arial"/>
        </w:rPr>
        <w:footnoteRef/>
      </w:r>
      <w:r w:rsidRPr="00DE4BD7">
        <w:rPr>
          <w:rFonts w:ascii="Arial" w:hAnsi="Arial" w:cs="Arial"/>
        </w:rPr>
        <w:t xml:space="preserve"> </w:t>
      </w:r>
      <w:r w:rsidRPr="00DE4BD7">
        <w:rPr>
          <w:rFonts w:ascii="Arial" w:hAnsi="Arial" w:cs="Arial"/>
          <w:lang w:val="en-US"/>
        </w:rPr>
        <w:t>By way of example</w:t>
      </w:r>
      <w:r w:rsidR="001676BE" w:rsidRPr="00DE4BD7">
        <w:rPr>
          <w:rFonts w:ascii="Arial" w:hAnsi="Arial" w:cs="Arial"/>
          <w:lang w:val="en-US"/>
        </w:rPr>
        <w:t>,</w:t>
      </w:r>
      <w:r w:rsidRPr="00DE4BD7">
        <w:rPr>
          <w:rFonts w:ascii="Arial" w:hAnsi="Arial" w:cs="Arial"/>
          <w:lang w:val="en-US"/>
        </w:rPr>
        <w:t xml:space="preserve"> the disputes of facts concerning what Reinstein is alleged to have </w:t>
      </w:r>
      <w:r w:rsidR="00E42C1A" w:rsidRPr="00DE4BD7">
        <w:rPr>
          <w:rFonts w:ascii="Arial" w:hAnsi="Arial" w:cs="Arial"/>
          <w:lang w:val="en-US"/>
        </w:rPr>
        <w:t xml:space="preserve">stated </w:t>
      </w:r>
      <w:r w:rsidR="001676BE" w:rsidRPr="00DE4BD7">
        <w:rPr>
          <w:rFonts w:ascii="Arial" w:hAnsi="Arial" w:cs="Arial"/>
          <w:lang w:val="en-US"/>
        </w:rPr>
        <w:t xml:space="preserve">in the opposed liquidation </w:t>
      </w:r>
      <w:r w:rsidR="001434A8" w:rsidRPr="00DE4BD7">
        <w:rPr>
          <w:rFonts w:ascii="Arial" w:hAnsi="Arial" w:cs="Arial"/>
          <w:lang w:val="en-US"/>
        </w:rPr>
        <w:t xml:space="preserve">application </w:t>
      </w:r>
      <w:r w:rsidR="00E42C1A" w:rsidRPr="00DE4BD7">
        <w:rPr>
          <w:rFonts w:ascii="Arial" w:hAnsi="Arial" w:cs="Arial"/>
          <w:lang w:val="en-US"/>
        </w:rPr>
        <w:t xml:space="preserve">about </w:t>
      </w:r>
      <w:proofErr w:type="spellStart"/>
      <w:r w:rsidR="00E42C1A" w:rsidRPr="00DE4BD7">
        <w:rPr>
          <w:rFonts w:ascii="Arial" w:hAnsi="Arial" w:cs="Arial"/>
          <w:lang w:val="en-US"/>
        </w:rPr>
        <w:t>P</w:t>
      </w:r>
      <w:r w:rsidR="001434A8" w:rsidRPr="00DE4BD7">
        <w:rPr>
          <w:rFonts w:ascii="Arial" w:hAnsi="Arial" w:cs="Arial"/>
          <w:lang w:val="en-US"/>
        </w:rPr>
        <w:t>rokas</w:t>
      </w:r>
      <w:proofErr w:type="spellEnd"/>
      <w:r w:rsidR="00E42C1A" w:rsidRPr="00DE4BD7">
        <w:rPr>
          <w:rFonts w:ascii="Arial" w:hAnsi="Arial" w:cs="Arial"/>
          <w:lang w:val="en-US"/>
        </w:rPr>
        <w:t xml:space="preserve">. </w:t>
      </w:r>
    </w:p>
  </w:footnote>
  <w:footnote w:id="11">
    <w:p w14:paraId="263C0D7F" w14:textId="7FCB064F" w:rsidR="00B21EC1" w:rsidRPr="00B21EC1" w:rsidRDefault="00B21EC1">
      <w:pPr>
        <w:pStyle w:val="FootnoteText"/>
        <w:rPr>
          <w:rFonts w:ascii="Arial" w:hAnsi="Arial" w:cs="Arial"/>
          <w:lang w:val="en-US"/>
        </w:rPr>
      </w:pPr>
      <w:r w:rsidRPr="00B21EC1">
        <w:rPr>
          <w:rStyle w:val="FootnoteReference"/>
          <w:rFonts w:ascii="Arial" w:hAnsi="Arial" w:cs="Arial"/>
        </w:rPr>
        <w:footnoteRef/>
      </w:r>
      <w:r w:rsidRPr="00B21EC1">
        <w:rPr>
          <w:rFonts w:ascii="Arial" w:hAnsi="Arial" w:cs="Arial"/>
        </w:rPr>
        <w:t xml:space="preserve">  See more recently</w:t>
      </w:r>
      <w:r>
        <w:rPr>
          <w:rFonts w:ascii="Arial" w:hAnsi="Arial" w:cs="Arial"/>
        </w:rPr>
        <w:t>,</w:t>
      </w:r>
      <w:r w:rsidRPr="00B21EC1">
        <w:rPr>
          <w:i/>
          <w:iCs/>
        </w:rPr>
        <w:t xml:space="preserve"> </w:t>
      </w:r>
      <w:r w:rsidRPr="00B21EC1">
        <w:rPr>
          <w:rFonts w:ascii="Arial" w:hAnsi="Arial" w:cs="Arial"/>
          <w:i/>
          <w:iCs/>
        </w:rPr>
        <w:t xml:space="preserve">Public Protector v South African Reserve Bank 2019 </w:t>
      </w:r>
      <w:r w:rsidRPr="00B21EC1">
        <w:rPr>
          <w:rFonts w:ascii="Arial" w:hAnsi="Arial" w:cs="Arial"/>
        </w:rPr>
        <w:t>(6) SA 253 (CC)</w:t>
      </w:r>
      <w:r>
        <w:rPr>
          <w:rFonts w:ascii="Arial" w:hAnsi="Arial" w:cs="Arial"/>
        </w:rPr>
        <w:t xml:space="preserve"> where the court refers to abuse of process as one of the grounds where an attorney client costs award may be appropriate.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98345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AECFDA5" w14:textId="0746A4EA" w:rsidR="00A15DF8" w:rsidRPr="00CA69BE" w:rsidRDefault="00A15DF8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CA69BE">
          <w:rPr>
            <w:rFonts w:ascii="Arial" w:hAnsi="Arial" w:cs="Arial"/>
            <w:sz w:val="24"/>
            <w:szCs w:val="24"/>
          </w:rPr>
          <w:fldChar w:fldCharType="begin"/>
        </w:r>
        <w:r w:rsidRPr="00CA69B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A69BE">
          <w:rPr>
            <w:rFonts w:ascii="Arial" w:hAnsi="Arial" w:cs="Arial"/>
            <w:sz w:val="24"/>
            <w:szCs w:val="24"/>
          </w:rPr>
          <w:fldChar w:fldCharType="separate"/>
        </w:r>
        <w:r w:rsidR="00065640">
          <w:rPr>
            <w:rFonts w:ascii="Arial" w:hAnsi="Arial" w:cs="Arial"/>
            <w:noProof/>
            <w:sz w:val="24"/>
            <w:szCs w:val="24"/>
          </w:rPr>
          <w:t>16</w:t>
        </w:r>
        <w:r w:rsidRPr="00CA69B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D71DFB7" w14:textId="77777777" w:rsidR="00A15DF8" w:rsidRDefault="00A15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1E20E41"/>
    <w:multiLevelType w:val="multilevel"/>
    <w:tmpl w:val="343A1052"/>
    <w:styleLink w:val="Legality"/>
    <w:lvl w:ilvl="0">
      <w:start w:val="1"/>
      <w:numFmt w:val="decimal"/>
      <w:lvlText w:val="%1."/>
      <w:lvlJc w:val="left"/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ind w:left="1417" w:hanging="1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ind w:left="1417" w:hanging="1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8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D11DE3"/>
    <w:multiLevelType w:val="hybridMultilevel"/>
    <w:tmpl w:val="3BD84C34"/>
    <w:lvl w:ilvl="0" w:tplc="F88C93BE">
      <w:start w:val="1"/>
      <w:numFmt w:val="decimal"/>
      <w:lvlText w:val="[%1]"/>
      <w:lvlJc w:val="left"/>
      <w:pPr>
        <w:ind w:left="717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8452A"/>
    <w:multiLevelType w:val="multilevel"/>
    <w:tmpl w:val="343A1052"/>
    <w:numStyleLink w:val="Legality"/>
  </w:abstractNum>
  <w:abstractNum w:abstractNumId="4" w15:restartNumberingAfterBreak="0">
    <w:nsid w:val="4A444BBC"/>
    <w:multiLevelType w:val="hybridMultilevel"/>
    <w:tmpl w:val="4EB04184"/>
    <w:lvl w:ilvl="0" w:tplc="B8A4DA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77860"/>
    <w:multiLevelType w:val="hybridMultilevel"/>
    <w:tmpl w:val="8A4ACFFC"/>
    <w:lvl w:ilvl="0" w:tplc="1C09000F">
      <w:start w:val="1"/>
      <w:numFmt w:val="decimal"/>
      <w:lvlText w:val="%1."/>
      <w:lvlJc w:val="left"/>
      <w:pPr>
        <w:ind w:left="1069" w:hanging="360"/>
      </w:p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65528302">
    <w:abstractNumId w:val="2"/>
  </w:num>
  <w:num w:numId="2" w16cid:durableId="1777479004">
    <w:abstractNumId w:val="4"/>
  </w:num>
  <w:num w:numId="3" w16cid:durableId="708916434">
    <w:abstractNumId w:val="1"/>
  </w:num>
  <w:num w:numId="4" w16cid:durableId="1200238083">
    <w:abstractNumId w:val="3"/>
  </w:num>
  <w:num w:numId="5" w16cid:durableId="200018303">
    <w:abstractNumId w:val="0"/>
  </w:num>
  <w:num w:numId="6" w16cid:durableId="1042174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19"/>
    <w:rsid w:val="00000042"/>
    <w:rsid w:val="00002341"/>
    <w:rsid w:val="00006F3A"/>
    <w:rsid w:val="00010734"/>
    <w:rsid w:val="0001147C"/>
    <w:rsid w:val="00011605"/>
    <w:rsid w:val="00011F63"/>
    <w:rsid w:val="000142B8"/>
    <w:rsid w:val="0001508B"/>
    <w:rsid w:val="00021227"/>
    <w:rsid w:val="000238BB"/>
    <w:rsid w:val="00023CCD"/>
    <w:rsid w:val="00024725"/>
    <w:rsid w:val="000254F8"/>
    <w:rsid w:val="000360F0"/>
    <w:rsid w:val="000407DA"/>
    <w:rsid w:val="00042619"/>
    <w:rsid w:val="00043AF4"/>
    <w:rsid w:val="0005652A"/>
    <w:rsid w:val="0006167A"/>
    <w:rsid w:val="00064595"/>
    <w:rsid w:val="00065640"/>
    <w:rsid w:val="000701D1"/>
    <w:rsid w:val="0007289F"/>
    <w:rsid w:val="00081229"/>
    <w:rsid w:val="00083907"/>
    <w:rsid w:val="00086320"/>
    <w:rsid w:val="000867FF"/>
    <w:rsid w:val="00086EFE"/>
    <w:rsid w:val="00087EC0"/>
    <w:rsid w:val="000946D9"/>
    <w:rsid w:val="00096290"/>
    <w:rsid w:val="000A4378"/>
    <w:rsid w:val="000A5407"/>
    <w:rsid w:val="000A55B6"/>
    <w:rsid w:val="000A64BC"/>
    <w:rsid w:val="000A73BE"/>
    <w:rsid w:val="000B3036"/>
    <w:rsid w:val="000B3E55"/>
    <w:rsid w:val="000B439D"/>
    <w:rsid w:val="000B4D5D"/>
    <w:rsid w:val="000C2E7E"/>
    <w:rsid w:val="000C4A64"/>
    <w:rsid w:val="001002F6"/>
    <w:rsid w:val="00102D31"/>
    <w:rsid w:val="0012334B"/>
    <w:rsid w:val="00130EA4"/>
    <w:rsid w:val="00140CF0"/>
    <w:rsid w:val="00142E0E"/>
    <w:rsid w:val="001434A8"/>
    <w:rsid w:val="00157FF1"/>
    <w:rsid w:val="00162089"/>
    <w:rsid w:val="00164BBA"/>
    <w:rsid w:val="00165D8F"/>
    <w:rsid w:val="00166AFD"/>
    <w:rsid w:val="00166FC0"/>
    <w:rsid w:val="001671E1"/>
    <w:rsid w:val="001676BE"/>
    <w:rsid w:val="00170807"/>
    <w:rsid w:val="001732F4"/>
    <w:rsid w:val="0018205C"/>
    <w:rsid w:val="00183338"/>
    <w:rsid w:val="0018426C"/>
    <w:rsid w:val="00186E08"/>
    <w:rsid w:val="001925A8"/>
    <w:rsid w:val="00193C84"/>
    <w:rsid w:val="0019450D"/>
    <w:rsid w:val="001A0121"/>
    <w:rsid w:val="001A1E05"/>
    <w:rsid w:val="001A7443"/>
    <w:rsid w:val="001B032F"/>
    <w:rsid w:val="001B42B4"/>
    <w:rsid w:val="001B57D5"/>
    <w:rsid w:val="001B6CA3"/>
    <w:rsid w:val="001B716C"/>
    <w:rsid w:val="001C10F7"/>
    <w:rsid w:val="001C30F8"/>
    <w:rsid w:val="001C40DD"/>
    <w:rsid w:val="001D20CD"/>
    <w:rsid w:val="001D3BF1"/>
    <w:rsid w:val="001D62AB"/>
    <w:rsid w:val="001E014A"/>
    <w:rsid w:val="001E548B"/>
    <w:rsid w:val="001E7DFA"/>
    <w:rsid w:val="001F12F5"/>
    <w:rsid w:val="001F2EA0"/>
    <w:rsid w:val="001F6BA0"/>
    <w:rsid w:val="00200CD1"/>
    <w:rsid w:val="00201FA0"/>
    <w:rsid w:val="002048DB"/>
    <w:rsid w:val="00211507"/>
    <w:rsid w:val="00212009"/>
    <w:rsid w:val="00212FFE"/>
    <w:rsid w:val="00213CCA"/>
    <w:rsid w:val="00220B31"/>
    <w:rsid w:val="0022179F"/>
    <w:rsid w:val="002271E1"/>
    <w:rsid w:val="00241A98"/>
    <w:rsid w:val="00243C10"/>
    <w:rsid w:val="00245119"/>
    <w:rsid w:val="00254071"/>
    <w:rsid w:val="00254D19"/>
    <w:rsid w:val="002564FF"/>
    <w:rsid w:val="002604A9"/>
    <w:rsid w:val="00264FC5"/>
    <w:rsid w:val="00272BC7"/>
    <w:rsid w:val="00276235"/>
    <w:rsid w:val="002802A2"/>
    <w:rsid w:val="002905F5"/>
    <w:rsid w:val="00293863"/>
    <w:rsid w:val="002942B9"/>
    <w:rsid w:val="00294F9D"/>
    <w:rsid w:val="00295612"/>
    <w:rsid w:val="00297D05"/>
    <w:rsid w:val="002A56F2"/>
    <w:rsid w:val="002A6E04"/>
    <w:rsid w:val="002A7792"/>
    <w:rsid w:val="002B3C88"/>
    <w:rsid w:val="002B4C33"/>
    <w:rsid w:val="002B6CA4"/>
    <w:rsid w:val="002C04A7"/>
    <w:rsid w:val="002C5DC3"/>
    <w:rsid w:val="002D7776"/>
    <w:rsid w:val="002E7070"/>
    <w:rsid w:val="002E71E1"/>
    <w:rsid w:val="002F0DAE"/>
    <w:rsid w:val="002F4442"/>
    <w:rsid w:val="0030590B"/>
    <w:rsid w:val="003155D5"/>
    <w:rsid w:val="003166BF"/>
    <w:rsid w:val="003173FD"/>
    <w:rsid w:val="00317513"/>
    <w:rsid w:val="00326133"/>
    <w:rsid w:val="00330F53"/>
    <w:rsid w:val="00331CA2"/>
    <w:rsid w:val="003340BA"/>
    <w:rsid w:val="0033452A"/>
    <w:rsid w:val="003348B1"/>
    <w:rsid w:val="00335034"/>
    <w:rsid w:val="00336751"/>
    <w:rsid w:val="00337D45"/>
    <w:rsid w:val="00337D7D"/>
    <w:rsid w:val="003423B8"/>
    <w:rsid w:val="00344905"/>
    <w:rsid w:val="00355079"/>
    <w:rsid w:val="0036128C"/>
    <w:rsid w:val="003635E6"/>
    <w:rsid w:val="003652C1"/>
    <w:rsid w:val="003659D0"/>
    <w:rsid w:val="0037005A"/>
    <w:rsid w:val="003700AB"/>
    <w:rsid w:val="00371B91"/>
    <w:rsid w:val="003820A2"/>
    <w:rsid w:val="0038339C"/>
    <w:rsid w:val="00383567"/>
    <w:rsid w:val="003844BB"/>
    <w:rsid w:val="00385429"/>
    <w:rsid w:val="00385A20"/>
    <w:rsid w:val="00397E7B"/>
    <w:rsid w:val="003A7EF0"/>
    <w:rsid w:val="003B0CDD"/>
    <w:rsid w:val="003B33A3"/>
    <w:rsid w:val="003B3624"/>
    <w:rsid w:val="003B7859"/>
    <w:rsid w:val="003D61EB"/>
    <w:rsid w:val="003D7434"/>
    <w:rsid w:val="003E0142"/>
    <w:rsid w:val="003E0153"/>
    <w:rsid w:val="003E2B80"/>
    <w:rsid w:val="003E7962"/>
    <w:rsid w:val="003F0B6C"/>
    <w:rsid w:val="003F15E2"/>
    <w:rsid w:val="003F21BF"/>
    <w:rsid w:val="003F50DC"/>
    <w:rsid w:val="003F61E8"/>
    <w:rsid w:val="003F6284"/>
    <w:rsid w:val="004018B2"/>
    <w:rsid w:val="00402E40"/>
    <w:rsid w:val="00407C0E"/>
    <w:rsid w:val="00410220"/>
    <w:rsid w:val="004137B8"/>
    <w:rsid w:val="004172E6"/>
    <w:rsid w:val="00421EEA"/>
    <w:rsid w:val="00422499"/>
    <w:rsid w:val="00425ADC"/>
    <w:rsid w:val="004346C4"/>
    <w:rsid w:val="00436F91"/>
    <w:rsid w:val="00441612"/>
    <w:rsid w:val="004446AE"/>
    <w:rsid w:val="004454E7"/>
    <w:rsid w:val="00447893"/>
    <w:rsid w:val="00453445"/>
    <w:rsid w:val="0046360B"/>
    <w:rsid w:val="00463D19"/>
    <w:rsid w:val="004649BE"/>
    <w:rsid w:val="00473EBA"/>
    <w:rsid w:val="00476E80"/>
    <w:rsid w:val="00480AB0"/>
    <w:rsid w:val="0048414B"/>
    <w:rsid w:val="004851FE"/>
    <w:rsid w:val="00486E86"/>
    <w:rsid w:val="00487AB3"/>
    <w:rsid w:val="00490986"/>
    <w:rsid w:val="004909A9"/>
    <w:rsid w:val="00495919"/>
    <w:rsid w:val="00496589"/>
    <w:rsid w:val="00497BE9"/>
    <w:rsid w:val="004A0705"/>
    <w:rsid w:val="004B2B4C"/>
    <w:rsid w:val="004C0C9B"/>
    <w:rsid w:val="004C374B"/>
    <w:rsid w:val="004C3BFA"/>
    <w:rsid w:val="004C6C90"/>
    <w:rsid w:val="004D4869"/>
    <w:rsid w:val="004D5F9E"/>
    <w:rsid w:val="004E2572"/>
    <w:rsid w:val="004F60B1"/>
    <w:rsid w:val="00500D1B"/>
    <w:rsid w:val="005119A3"/>
    <w:rsid w:val="00511C68"/>
    <w:rsid w:val="005133B9"/>
    <w:rsid w:val="00515432"/>
    <w:rsid w:val="00524517"/>
    <w:rsid w:val="00526B29"/>
    <w:rsid w:val="00531EC6"/>
    <w:rsid w:val="00540592"/>
    <w:rsid w:val="0054069D"/>
    <w:rsid w:val="0054311A"/>
    <w:rsid w:val="005457BA"/>
    <w:rsid w:val="00554079"/>
    <w:rsid w:val="005642C6"/>
    <w:rsid w:val="00566781"/>
    <w:rsid w:val="0056790E"/>
    <w:rsid w:val="00570D84"/>
    <w:rsid w:val="0057596C"/>
    <w:rsid w:val="00583C50"/>
    <w:rsid w:val="0058635E"/>
    <w:rsid w:val="0058691B"/>
    <w:rsid w:val="00591703"/>
    <w:rsid w:val="00594E4B"/>
    <w:rsid w:val="00596692"/>
    <w:rsid w:val="0059693D"/>
    <w:rsid w:val="005A0E21"/>
    <w:rsid w:val="005A1F52"/>
    <w:rsid w:val="005A2AB8"/>
    <w:rsid w:val="005A3E75"/>
    <w:rsid w:val="005A5615"/>
    <w:rsid w:val="005B3657"/>
    <w:rsid w:val="005C306A"/>
    <w:rsid w:val="005C4FE5"/>
    <w:rsid w:val="005C5004"/>
    <w:rsid w:val="005D2152"/>
    <w:rsid w:val="005D38BC"/>
    <w:rsid w:val="005D412C"/>
    <w:rsid w:val="005D5D36"/>
    <w:rsid w:val="005D5DB3"/>
    <w:rsid w:val="005E1A6F"/>
    <w:rsid w:val="005E1B2B"/>
    <w:rsid w:val="005E4AC2"/>
    <w:rsid w:val="005E6522"/>
    <w:rsid w:val="005E7933"/>
    <w:rsid w:val="005F4A40"/>
    <w:rsid w:val="00600E5B"/>
    <w:rsid w:val="006029EA"/>
    <w:rsid w:val="00603A54"/>
    <w:rsid w:val="00610007"/>
    <w:rsid w:val="00611D10"/>
    <w:rsid w:val="00611DC8"/>
    <w:rsid w:val="006121EF"/>
    <w:rsid w:val="00612CD7"/>
    <w:rsid w:val="00617A19"/>
    <w:rsid w:val="00626BD9"/>
    <w:rsid w:val="00626CDA"/>
    <w:rsid w:val="0063075D"/>
    <w:rsid w:val="00632DE7"/>
    <w:rsid w:val="0063324E"/>
    <w:rsid w:val="0063377E"/>
    <w:rsid w:val="006351FB"/>
    <w:rsid w:val="0064240B"/>
    <w:rsid w:val="0064304B"/>
    <w:rsid w:val="006432B2"/>
    <w:rsid w:val="00644EB1"/>
    <w:rsid w:val="00645FBC"/>
    <w:rsid w:val="00646FAB"/>
    <w:rsid w:val="0064713E"/>
    <w:rsid w:val="00663DAE"/>
    <w:rsid w:val="00667F41"/>
    <w:rsid w:val="00676A23"/>
    <w:rsid w:val="00677847"/>
    <w:rsid w:val="00680455"/>
    <w:rsid w:val="00687CE5"/>
    <w:rsid w:val="0069209E"/>
    <w:rsid w:val="00694513"/>
    <w:rsid w:val="006978B7"/>
    <w:rsid w:val="006A031C"/>
    <w:rsid w:val="006A1F32"/>
    <w:rsid w:val="006A5A6B"/>
    <w:rsid w:val="006A7A27"/>
    <w:rsid w:val="006B10E2"/>
    <w:rsid w:val="006B7C3A"/>
    <w:rsid w:val="006C2B32"/>
    <w:rsid w:val="006C2D3D"/>
    <w:rsid w:val="006C431C"/>
    <w:rsid w:val="006D0F49"/>
    <w:rsid w:val="006D1E03"/>
    <w:rsid w:val="006D7A21"/>
    <w:rsid w:val="006D7B81"/>
    <w:rsid w:val="006E3C4A"/>
    <w:rsid w:val="006F3C34"/>
    <w:rsid w:val="006F4354"/>
    <w:rsid w:val="0070028F"/>
    <w:rsid w:val="00706B6F"/>
    <w:rsid w:val="0071653B"/>
    <w:rsid w:val="007172F7"/>
    <w:rsid w:val="0074037A"/>
    <w:rsid w:val="007448AC"/>
    <w:rsid w:val="00744A08"/>
    <w:rsid w:val="007527AE"/>
    <w:rsid w:val="007568EB"/>
    <w:rsid w:val="00760E57"/>
    <w:rsid w:val="00766CA1"/>
    <w:rsid w:val="00766FF5"/>
    <w:rsid w:val="00772B26"/>
    <w:rsid w:val="0078020D"/>
    <w:rsid w:val="00782C0C"/>
    <w:rsid w:val="007836DC"/>
    <w:rsid w:val="0079343F"/>
    <w:rsid w:val="00796BC3"/>
    <w:rsid w:val="007A46C2"/>
    <w:rsid w:val="007A5090"/>
    <w:rsid w:val="007A544E"/>
    <w:rsid w:val="007C4B78"/>
    <w:rsid w:val="007C62EE"/>
    <w:rsid w:val="007D0F02"/>
    <w:rsid w:val="007D6B28"/>
    <w:rsid w:val="007F1F6F"/>
    <w:rsid w:val="007F28D7"/>
    <w:rsid w:val="007F34CD"/>
    <w:rsid w:val="007F38C9"/>
    <w:rsid w:val="007F4EA6"/>
    <w:rsid w:val="007F55A6"/>
    <w:rsid w:val="007F63AF"/>
    <w:rsid w:val="00802523"/>
    <w:rsid w:val="0080774E"/>
    <w:rsid w:val="008078FC"/>
    <w:rsid w:val="008141F2"/>
    <w:rsid w:val="00815EE6"/>
    <w:rsid w:val="00816438"/>
    <w:rsid w:val="00817E5D"/>
    <w:rsid w:val="008217F8"/>
    <w:rsid w:val="008257FE"/>
    <w:rsid w:val="00831143"/>
    <w:rsid w:val="0083207B"/>
    <w:rsid w:val="00832E47"/>
    <w:rsid w:val="008344FE"/>
    <w:rsid w:val="00835257"/>
    <w:rsid w:val="00837A45"/>
    <w:rsid w:val="0084176C"/>
    <w:rsid w:val="008424BB"/>
    <w:rsid w:val="008431EB"/>
    <w:rsid w:val="00844ACB"/>
    <w:rsid w:val="00854206"/>
    <w:rsid w:val="00856071"/>
    <w:rsid w:val="008576AF"/>
    <w:rsid w:val="00871585"/>
    <w:rsid w:val="00880D0D"/>
    <w:rsid w:val="0088386C"/>
    <w:rsid w:val="00886337"/>
    <w:rsid w:val="008878FB"/>
    <w:rsid w:val="00897CEF"/>
    <w:rsid w:val="008A2CB4"/>
    <w:rsid w:val="008A60AF"/>
    <w:rsid w:val="008A6189"/>
    <w:rsid w:val="008B01F2"/>
    <w:rsid w:val="008B0B1A"/>
    <w:rsid w:val="008B13AE"/>
    <w:rsid w:val="008B60B9"/>
    <w:rsid w:val="008B7382"/>
    <w:rsid w:val="008C5303"/>
    <w:rsid w:val="008C54CB"/>
    <w:rsid w:val="008C5DB5"/>
    <w:rsid w:val="008C6D2F"/>
    <w:rsid w:val="008D32F9"/>
    <w:rsid w:val="008D38E8"/>
    <w:rsid w:val="008D6A37"/>
    <w:rsid w:val="008E593D"/>
    <w:rsid w:val="008E6C79"/>
    <w:rsid w:val="008F0025"/>
    <w:rsid w:val="008F4676"/>
    <w:rsid w:val="008F66D3"/>
    <w:rsid w:val="008F7942"/>
    <w:rsid w:val="00902108"/>
    <w:rsid w:val="00903011"/>
    <w:rsid w:val="0090557B"/>
    <w:rsid w:val="009109FC"/>
    <w:rsid w:val="00912340"/>
    <w:rsid w:val="00914E39"/>
    <w:rsid w:val="009163CF"/>
    <w:rsid w:val="00921181"/>
    <w:rsid w:val="00924A4A"/>
    <w:rsid w:val="009369B5"/>
    <w:rsid w:val="009428D7"/>
    <w:rsid w:val="00943800"/>
    <w:rsid w:val="00945014"/>
    <w:rsid w:val="00952A56"/>
    <w:rsid w:val="00956752"/>
    <w:rsid w:val="009611F0"/>
    <w:rsid w:val="0097532C"/>
    <w:rsid w:val="00975815"/>
    <w:rsid w:val="00976DA5"/>
    <w:rsid w:val="009849F4"/>
    <w:rsid w:val="00986836"/>
    <w:rsid w:val="0099282A"/>
    <w:rsid w:val="009A5BD2"/>
    <w:rsid w:val="009A697E"/>
    <w:rsid w:val="009B366E"/>
    <w:rsid w:val="009B7859"/>
    <w:rsid w:val="009C3917"/>
    <w:rsid w:val="009C7D8D"/>
    <w:rsid w:val="009D00F7"/>
    <w:rsid w:val="009D03E4"/>
    <w:rsid w:val="009D2F5B"/>
    <w:rsid w:val="009E3255"/>
    <w:rsid w:val="009E489E"/>
    <w:rsid w:val="009F1044"/>
    <w:rsid w:val="009F44F7"/>
    <w:rsid w:val="00A00DD2"/>
    <w:rsid w:val="00A0157D"/>
    <w:rsid w:val="00A01C4F"/>
    <w:rsid w:val="00A04EAA"/>
    <w:rsid w:val="00A05CC1"/>
    <w:rsid w:val="00A12B59"/>
    <w:rsid w:val="00A15DF8"/>
    <w:rsid w:val="00A26308"/>
    <w:rsid w:val="00A26366"/>
    <w:rsid w:val="00A27906"/>
    <w:rsid w:val="00A30223"/>
    <w:rsid w:val="00A31D56"/>
    <w:rsid w:val="00A40400"/>
    <w:rsid w:val="00A47695"/>
    <w:rsid w:val="00A520A0"/>
    <w:rsid w:val="00A6205E"/>
    <w:rsid w:val="00A62ACD"/>
    <w:rsid w:val="00A66EF6"/>
    <w:rsid w:val="00A70362"/>
    <w:rsid w:val="00A71C97"/>
    <w:rsid w:val="00A7218A"/>
    <w:rsid w:val="00A734A3"/>
    <w:rsid w:val="00A74093"/>
    <w:rsid w:val="00A76267"/>
    <w:rsid w:val="00A7685E"/>
    <w:rsid w:val="00A80057"/>
    <w:rsid w:val="00A8015B"/>
    <w:rsid w:val="00A80E6C"/>
    <w:rsid w:val="00A87F66"/>
    <w:rsid w:val="00A90873"/>
    <w:rsid w:val="00A95327"/>
    <w:rsid w:val="00A97522"/>
    <w:rsid w:val="00AA2A6A"/>
    <w:rsid w:val="00AA3F84"/>
    <w:rsid w:val="00AA5A92"/>
    <w:rsid w:val="00AA7C13"/>
    <w:rsid w:val="00AB03C3"/>
    <w:rsid w:val="00AB0518"/>
    <w:rsid w:val="00AB1346"/>
    <w:rsid w:val="00AC0118"/>
    <w:rsid w:val="00AC05A1"/>
    <w:rsid w:val="00AC4710"/>
    <w:rsid w:val="00AC6EA4"/>
    <w:rsid w:val="00AC7022"/>
    <w:rsid w:val="00AD0B5B"/>
    <w:rsid w:val="00AD20AE"/>
    <w:rsid w:val="00AD668E"/>
    <w:rsid w:val="00AD77F0"/>
    <w:rsid w:val="00AE38CB"/>
    <w:rsid w:val="00AE5AB7"/>
    <w:rsid w:val="00AF0C53"/>
    <w:rsid w:val="00AF1F4C"/>
    <w:rsid w:val="00AF1F6F"/>
    <w:rsid w:val="00AF7913"/>
    <w:rsid w:val="00B0397F"/>
    <w:rsid w:val="00B04B8E"/>
    <w:rsid w:val="00B21988"/>
    <w:rsid w:val="00B21EC1"/>
    <w:rsid w:val="00B228A1"/>
    <w:rsid w:val="00B2463A"/>
    <w:rsid w:val="00B2474D"/>
    <w:rsid w:val="00B248F2"/>
    <w:rsid w:val="00B24D8A"/>
    <w:rsid w:val="00B25EDB"/>
    <w:rsid w:val="00B30BEB"/>
    <w:rsid w:val="00B31A65"/>
    <w:rsid w:val="00B31EAB"/>
    <w:rsid w:val="00B354CF"/>
    <w:rsid w:val="00B3683E"/>
    <w:rsid w:val="00B40C51"/>
    <w:rsid w:val="00B430D0"/>
    <w:rsid w:val="00B43982"/>
    <w:rsid w:val="00B43EE1"/>
    <w:rsid w:val="00B45BF5"/>
    <w:rsid w:val="00B46F0D"/>
    <w:rsid w:val="00B50509"/>
    <w:rsid w:val="00B6009D"/>
    <w:rsid w:val="00B61284"/>
    <w:rsid w:val="00B6202A"/>
    <w:rsid w:val="00B7099A"/>
    <w:rsid w:val="00B7137D"/>
    <w:rsid w:val="00B72748"/>
    <w:rsid w:val="00B75FFF"/>
    <w:rsid w:val="00B76858"/>
    <w:rsid w:val="00B80698"/>
    <w:rsid w:val="00B850B0"/>
    <w:rsid w:val="00B90370"/>
    <w:rsid w:val="00B91232"/>
    <w:rsid w:val="00BC2AE2"/>
    <w:rsid w:val="00BC5546"/>
    <w:rsid w:val="00BC6353"/>
    <w:rsid w:val="00BC676F"/>
    <w:rsid w:val="00BD149C"/>
    <w:rsid w:val="00BD2E70"/>
    <w:rsid w:val="00BD4DC6"/>
    <w:rsid w:val="00BD704B"/>
    <w:rsid w:val="00BD712B"/>
    <w:rsid w:val="00BD7C18"/>
    <w:rsid w:val="00BE6C21"/>
    <w:rsid w:val="00BE722E"/>
    <w:rsid w:val="00BF7F20"/>
    <w:rsid w:val="00C0313E"/>
    <w:rsid w:val="00C03525"/>
    <w:rsid w:val="00C050C9"/>
    <w:rsid w:val="00C0512D"/>
    <w:rsid w:val="00C07773"/>
    <w:rsid w:val="00C10E0F"/>
    <w:rsid w:val="00C1419B"/>
    <w:rsid w:val="00C15C3D"/>
    <w:rsid w:val="00C2331A"/>
    <w:rsid w:val="00C25B44"/>
    <w:rsid w:val="00C36B86"/>
    <w:rsid w:val="00C4019F"/>
    <w:rsid w:val="00C43A32"/>
    <w:rsid w:val="00C537C7"/>
    <w:rsid w:val="00C643D9"/>
    <w:rsid w:val="00C66021"/>
    <w:rsid w:val="00C73F9A"/>
    <w:rsid w:val="00C75226"/>
    <w:rsid w:val="00C83A82"/>
    <w:rsid w:val="00C8792E"/>
    <w:rsid w:val="00C90BBE"/>
    <w:rsid w:val="00C9459D"/>
    <w:rsid w:val="00CA0D5B"/>
    <w:rsid w:val="00CA1887"/>
    <w:rsid w:val="00CA3E33"/>
    <w:rsid w:val="00CA69BE"/>
    <w:rsid w:val="00CB01FC"/>
    <w:rsid w:val="00CB247E"/>
    <w:rsid w:val="00CB6141"/>
    <w:rsid w:val="00CC798E"/>
    <w:rsid w:val="00CD0539"/>
    <w:rsid w:val="00CD7855"/>
    <w:rsid w:val="00CE047A"/>
    <w:rsid w:val="00CE104B"/>
    <w:rsid w:val="00CE17E0"/>
    <w:rsid w:val="00CE2B8B"/>
    <w:rsid w:val="00CE6D8F"/>
    <w:rsid w:val="00CF0F70"/>
    <w:rsid w:val="00CF430F"/>
    <w:rsid w:val="00CF4BB5"/>
    <w:rsid w:val="00CF4E4D"/>
    <w:rsid w:val="00CF559A"/>
    <w:rsid w:val="00CF6393"/>
    <w:rsid w:val="00D11B11"/>
    <w:rsid w:val="00D21D87"/>
    <w:rsid w:val="00D2462C"/>
    <w:rsid w:val="00D25A2C"/>
    <w:rsid w:val="00D26348"/>
    <w:rsid w:val="00D362CE"/>
    <w:rsid w:val="00D4035B"/>
    <w:rsid w:val="00D432EA"/>
    <w:rsid w:val="00D466F7"/>
    <w:rsid w:val="00D51D68"/>
    <w:rsid w:val="00D5313D"/>
    <w:rsid w:val="00D53349"/>
    <w:rsid w:val="00D560B6"/>
    <w:rsid w:val="00D62135"/>
    <w:rsid w:val="00D6295B"/>
    <w:rsid w:val="00D73869"/>
    <w:rsid w:val="00D80A5F"/>
    <w:rsid w:val="00D8398D"/>
    <w:rsid w:val="00D92B2D"/>
    <w:rsid w:val="00D95D1D"/>
    <w:rsid w:val="00D9727C"/>
    <w:rsid w:val="00DA17E4"/>
    <w:rsid w:val="00DA52DB"/>
    <w:rsid w:val="00DA6099"/>
    <w:rsid w:val="00DB13C7"/>
    <w:rsid w:val="00DC455A"/>
    <w:rsid w:val="00DD15F1"/>
    <w:rsid w:val="00DE15B9"/>
    <w:rsid w:val="00DE4258"/>
    <w:rsid w:val="00DE4BD7"/>
    <w:rsid w:val="00DE78EF"/>
    <w:rsid w:val="00DF3132"/>
    <w:rsid w:val="00E04A3F"/>
    <w:rsid w:val="00E066C5"/>
    <w:rsid w:val="00E1071D"/>
    <w:rsid w:val="00E10C3E"/>
    <w:rsid w:val="00E10C46"/>
    <w:rsid w:val="00E134A2"/>
    <w:rsid w:val="00E14368"/>
    <w:rsid w:val="00E14518"/>
    <w:rsid w:val="00E14F16"/>
    <w:rsid w:val="00E158DF"/>
    <w:rsid w:val="00E22463"/>
    <w:rsid w:val="00E26F45"/>
    <w:rsid w:val="00E27024"/>
    <w:rsid w:val="00E32776"/>
    <w:rsid w:val="00E32CC3"/>
    <w:rsid w:val="00E36C34"/>
    <w:rsid w:val="00E42C1A"/>
    <w:rsid w:val="00E45AC9"/>
    <w:rsid w:val="00E5132E"/>
    <w:rsid w:val="00E51562"/>
    <w:rsid w:val="00E542A8"/>
    <w:rsid w:val="00E55492"/>
    <w:rsid w:val="00E57CDE"/>
    <w:rsid w:val="00E6010A"/>
    <w:rsid w:val="00E63C38"/>
    <w:rsid w:val="00E658E3"/>
    <w:rsid w:val="00E676F2"/>
    <w:rsid w:val="00E7530B"/>
    <w:rsid w:val="00E769C3"/>
    <w:rsid w:val="00E80C22"/>
    <w:rsid w:val="00E8257C"/>
    <w:rsid w:val="00E83493"/>
    <w:rsid w:val="00E85584"/>
    <w:rsid w:val="00E857A5"/>
    <w:rsid w:val="00E87DD3"/>
    <w:rsid w:val="00E92CE8"/>
    <w:rsid w:val="00E952BB"/>
    <w:rsid w:val="00E972F2"/>
    <w:rsid w:val="00EC20AA"/>
    <w:rsid w:val="00EC35CA"/>
    <w:rsid w:val="00EC7781"/>
    <w:rsid w:val="00ED69FE"/>
    <w:rsid w:val="00ED7B3A"/>
    <w:rsid w:val="00EE22E8"/>
    <w:rsid w:val="00EE4A47"/>
    <w:rsid w:val="00EE5EF1"/>
    <w:rsid w:val="00EE751A"/>
    <w:rsid w:val="00EF2D28"/>
    <w:rsid w:val="00EF730A"/>
    <w:rsid w:val="00F14E0D"/>
    <w:rsid w:val="00F169B9"/>
    <w:rsid w:val="00F24A97"/>
    <w:rsid w:val="00F304D3"/>
    <w:rsid w:val="00F35745"/>
    <w:rsid w:val="00F365AB"/>
    <w:rsid w:val="00F452B5"/>
    <w:rsid w:val="00F47676"/>
    <w:rsid w:val="00F52136"/>
    <w:rsid w:val="00F620E8"/>
    <w:rsid w:val="00F62CA0"/>
    <w:rsid w:val="00F67AF5"/>
    <w:rsid w:val="00F731C4"/>
    <w:rsid w:val="00F736F3"/>
    <w:rsid w:val="00F854E1"/>
    <w:rsid w:val="00F9269F"/>
    <w:rsid w:val="00F927E0"/>
    <w:rsid w:val="00F92805"/>
    <w:rsid w:val="00F94158"/>
    <w:rsid w:val="00F94AF1"/>
    <w:rsid w:val="00F9532C"/>
    <w:rsid w:val="00F97624"/>
    <w:rsid w:val="00F979F7"/>
    <w:rsid w:val="00FA0119"/>
    <w:rsid w:val="00FA3674"/>
    <w:rsid w:val="00FB7681"/>
    <w:rsid w:val="00FC3541"/>
    <w:rsid w:val="00FC385F"/>
    <w:rsid w:val="00FC3985"/>
    <w:rsid w:val="00FC7736"/>
    <w:rsid w:val="00FC77E0"/>
    <w:rsid w:val="00FF34C0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E685B0"/>
  <w15:chartTrackingRefBased/>
  <w15:docId w15:val="{3C3A6663-83C0-4BF1-9A5B-40F8260F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92B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Cs/>
      <w:color w:val="000000" w:themeColor="text1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B2D"/>
    <w:rPr>
      <w:rFonts w:ascii="Times New Roman" w:eastAsia="Times New Roman" w:hAnsi="Times New Roman" w:cs="Times New Roman"/>
      <w:iCs/>
      <w:color w:val="000000" w:themeColor="text1"/>
      <w:szCs w:val="24"/>
      <w:lang w:val="en-US"/>
    </w:rPr>
  </w:style>
  <w:style w:type="paragraph" w:customStyle="1" w:styleId="Style1">
    <w:name w:val="Style1"/>
    <w:basedOn w:val="IntenseQuote"/>
    <w:link w:val="Style1Char"/>
    <w:autoRedefine/>
    <w:qFormat/>
    <w:rsid w:val="001002F6"/>
    <w:pPr>
      <w:spacing w:line="259" w:lineRule="auto"/>
    </w:pPr>
    <w:rPr>
      <w:rFonts w:cs="Arial"/>
      <w:bCs/>
      <w:iCs w:val="0"/>
    </w:rPr>
  </w:style>
  <w:style w:type="character" w:customStyle="1" w:styleId="Style1Char">
    <w:name w:val="Style1 Char"/>
    <w:basedOn w:val="IntenseQuoteChar"/>
    <w:link w:val="Style1"/>
    <w:rsid w:val="001002F6"/>
    <w:rPr>
      <w:rFonts w:ascii="Times New Roman" w:eastAsia="Times New Roman" w:hAnsi="Times New Roman" w:cs="Arial"/>
      <w:bCs/>
      <w:iCs w:val="0"/>
      <w:color w:val="000000" w:themeColor="text1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A0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6E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E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6E08"/>
    <w:rPr>
      <w:vertAlign w:val="superscript"/>
    </w:rPr>
  </w:style>
  <w:style w:type="paragraph" w:customStyle="1" w:styleId="BaseParagraph">
    <w:name w:val="Base Paragraph"/>
    <w:rsid w:val="005D38BC"/>
    <w:pPr>
      <w:pBdr>
        <w:top w:val="nil"/>
        <w:left w:val="nil"/>
        <w:bottom w:val="nil"/>
        <w:right w:val="nil"/>
        <w:between w:val="nil"/>
        <w:bar w:val="nil"/>
      </w:pBdr>
      <w:spacing w:before="320" w:after="320" w:line="480" w:lineRule="auto"/>
      <w:jc w:val="both"/>
    </w:pPr>
    <w:rPr>
      <w:rFonts w:ascii="Arial" w:eastAsia="Arial" w:hAnsi="Arial" w:cs="Arial"/>
      <w:color w:val="000000"/>
      <w:sz w:val="24"/>
      <w:szCs w:val="24"/>
      <w:bdr w:val="nil"/>
      <w:lang w:val="en-ZA" w:eastAsia="en-ZA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Legality">
    <w:name w:val="Legality"/>
    <w:rsid w:val="005D38BC"/>
    <w:pPr>
      <w:numPr>
        <w:numId w:val="3"/>
      </w:numPr>
    </w:pPr>
  </w:style>
  <w:style w:type="character" w:customStyle="1" w:styleId="Hyperlink0">
    <w:name w:val="Hyperlink.0"/>
    <w:basedOn w:val="Hyperlink"/>
    <w:rsid w:val="005D38BC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5D38BC"/>
    <w:rPr>
      <w:color w:val="0563C1" w:themeColor="hyperlink"/>
      <w:u w:val="single"/>
    </w:rPr>
  </w:style>
  <w:style w:type="paragraph" w:customStyle="1" w:styleId="PARTYLINE">
    <w:name w:val="PARTYLINE"/>
    <w:rsid w:val="008A2CB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504"/>
      </w:tabs>
      <w:spacing w:after="360" w:line="360" w:lineRule="auto"/>
    </w:pPr>
    <w:rPr>
      <w:rFonts w:ascii="Arial" w:eastAsia="Arial Unicode MS" w:hAnsi="Arial" w:cs="Arial Unicode MS"/>
      <w:color w:val="000000"/>
      <w:sz w:val="24"/>
      <w:szCs w:val="24"/>
      <w:bdr w:val="nil"/>
      <w:lang w:val="en-US" w:eastAsia="en-ZA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Trsmlines">
    <w:name w:val="Trsmlines"/>
    <w:rsid w:val="008A2CB4"/>
    <w:pPr>
      <w:pBdr>
        <w:top w:val="single" w:sz="8" w:space="11" w:color="000000"/>
        <w:left w:val="nil"/>
        <w:bottom w:val="single" w:sz="8" w:space="11" w:color="000000"/>
        <w:right w:val="nil"/>
        <w:between w:val="nil"/>
        <w:bar w:val="nil"/>
      </w:pBdr>
      <w:tabs>
        <w:tab w:val="right" w:pos="8504"/>
      </w:tabs>
      <w:spacing w:before="320" w:after="320" w:line="360" w:lineRule="auto"/>
      <w:jc w:val="center"/>
    </w:pPr>
    <w:rPr>
      <w:rFonts w:ascii="Arial" w:eastAsia="Arial Unicode MS" w:hAnsi="Arial" w:cs="Arial Unicode MS"/>
      <w:b/>
      <w:bCs/>
      <w:caps/>
      <w:color w:val="000000"/>
      <w:sz w:val="24"/>
      <w:szCs w:val="24"/>
      <w:bdr w:val="nil"/>
      <w:lang w:val="de-DE" w:eastAsia="en-ZA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15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F8"/>
  </w:style>
  <w:style w:type="paragraph" w:styleId="Footer">
    <w:name w:val="footer"/>
    <w:basedOn w:val="Normal"/>
    <w:link w:val="FooterChar"/>
    <w:uiPriority w:val="99"/>
    <w:unhideWhenUsed/>
    <w:rsid w:val="00A15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F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2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Manoim</dc:creator>
  <cp:keywords/>
  <dc:description/>
  <cp:lastModifiedBy>Lilitha Mdleleni</cp:lastModifiedBy>
  <cp:revision>3</cp:revision>
  <cp:lastPrinted>2023-11-14T12:58:00Z</cp:lastPrinted>
  <dcterms:created xsi:type="dcterms:W3CDTF">2023-11-20T10:31:00Z</dcterms:created>
  <dcterms:modified xsi:type="dcterms:W3CDTF">2023-11-20T16:00:00Z</dcterms:modified>
</cp:coreProperties>
</file>