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769C9" w14:textId="77777777" w:rsidR="0054339F" w:rsidRPr="00DB2A06" w:rsidRDefault="0054339F" w:rsidP="0054339F">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131CC7BD" w14:textId="77777777" w:rsidR="0054339F" w:rsidRDefault="0054339F" w:rsidP="006C43D7">
      <w:pPr>
        <w:spacing w:after="120" w:line="360" w:lineRule="auto"/>
        <w:jc w:val="center"/>
        <w:rPr>
          <w:rFonts w:cs="Arial"/>
          <w:b/>
          <w:bCs/>
          <w:noProof/>
          <w:lang w:val="en-US"/>
        </w:rPr>
      </w:pPr>
    </w:p>
    <w:p w14:paraId="6D981421" w14:textId="568409F3" w:rsidR="006C43D7" w:rsidRPr="006C43D7" w:rsidRDefault="006C43D7" w:rsidP="006C43D7">
      <w:pPr>
        <w:spacing w:after="120" w:line="360" w:lineRule="auto"/>
        <w:jc w:val="center"/>
        <w:rPr>
          <w:rFonts w:cs="Arial"/>
          <w:b/>
          <w:bCs/>
        </w:rPr>
      </w:pPr>
      <w:r w:rsidRPr="006C43D7">
        <w:rPr>
          <w:rFonts w:cs="Arial"/>
          <w:b/>
          <w:bCs/>
          <w:noProof/>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6C43D7" w:rsidRDefault="006C43D7" w:rsidP="006C43D7">
      <w:pPr>
        <w:jc w:val="center"/>
        <w:rPr>
          <w:b/>
        </w:rPr>
      </w:pPr>
      <w:r w:rsidRPr="006C43D7">
        <w:rPr>
          <w:b/>
        </w:rPr>
        <w:t xml:space="preserve">IN THE HIGH COURT OF SOUTH AFRICA, </w:t>
      </w:r>
    </w:p>
    <w:p w14:paraId="566C4D1B" w14:textId="77777777" w:rsidR="006C43D7" w:rsidRPr="006C43D7" w:rsidRDefault="006C43D7" w:rsidP="006C43D7">
      <w:pPr>
        <w:jc w:val="center"/>
        <w:rPr>
          <w:b/>
        </w:rPr>
      </w:pPr>
      <w:r w:rsidRPr="006C43D7">
        <w:rPr>
          <w:b/>
        </w:rPr>
        <w:t>GAUTENG DIVISION, JOHANNESBURG</w:t>
      </w:r>
    </w:p>
    <w:p w14:paraId="13D6E83E" w14:textId="77777777" w:rsidR="006C43D7" w:rsidRPr="006C43D7" w:rsidRDefault="006C43D7" w:rsidP="006C43D7">
      <w:pPr>
        <w:jc w:val="both"/>
        <w:rPr>
          <w:b/>
        </w:rPr>
      </w:pPr>
    </w:p>
    <w:p w14:paraId="3698476C" w14:textId="4ABE8801" w:rsidR="006C43D7" w:rsidRPr="006C43D7" w:rsidRDefault="006C43D7" w:rsidP="006C43D7">
      <w:pPr>
        <w:spacing w:line="360" w:lineRule="auto"/>
        <w:jc w:val="right"/>
        <w:rPr>
          <w:b/>
        </w:rPr>
      </w:pPr>
      <w:r w:rsidRPr="006C43D7">
        <w:rPr>
          <w:b/>
        </w:rPr>
        <w:t xml:space="preserve">CASE NO: </w:t>
      </w:r>
      <w:r w:rsidR="00A27A51">
        <w:rPr>
          <w:b/>
        </w:rPr>
        <w:t>20</w:t>
      </w:r>
      <w:r w:rsidR="00E906DE">
        <w:rPr>
          <w:b/>
        </w:rPr>
        <w:t>1</w:t>
      </w:r>
      <w:r w:rsidR="00A174DB">
        <w:rPr>
          <w:b/>
        </w:rPr>
        <w:t>9/43653</w:t>
      </w:r>
    </w:p>
    <w:p w14:paraId="0AF8DD38" w14:textId="77777777" w:rsidR="006C43D7" w:rsidRPr="006C43D7" w:rsidRDefault="006C43D7" w:rsidP="006C43D7">
      <w:pPr>
        <w:spacing w:line="360" w:lineRule="auto"/>
        <w:jc w:val="right"/>
      </w:pPr>
      <w:r w:rsidRPr="006C43D7">
        <w:rPr>
          <w:noProof/>
          <w:lang w:val="en-US"/>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D645C6" w:rsidRPr="00913F95" w:rsidRDefault="00D645C6" w:rsidP="006C43D7">
                            <w:pPr>
                              <w:jc w:val="center"/>
                              <w:rPr>
                                <w:rFonts w:ascii="Century Gothic" w:hAnsi="Century Gothic"/>
                                <w:b/>
                                <w:sz w:val="20"/>
                                <w:szCs w:val="20"/>
                              </w:rPr>
                            </w:pPr>
                          </w:p>
                          <w:p w14:paraId="01FDAE28" w14:textId="6C2809DB" w:rsidR="00D645C6" w:rsidRDefault="0097366B" w:rsidP="0097366B">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D645C6">
                              <w:rPr>
                                <w:rFonts w:ascii="Century Gothic" w:hAnsi="Century Gothic"/>
                                <w:sz w:val="20"/>
                                <w:szCs w:val="20"/>
                              </w:rPr>
                              <w:t>NO</w:t>
                            </w:r>
                          </w:p>
                          <w:p w14:paraId="3A4C7296" w14:textId="71EB54FB" w:rsidR="00D645C6" w:rsidRPr="001D3CC2" w:rsidRDefault="0097366B" w:rsidP="0097366B">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w:t>
                            </w:r>
                            <w:r w:rsidR="0082670C">
                              <w:rPr>
                                <w:rFonts w:ascii="Century Gothic" w:hAnsi="Century Gothic"/>
                                <w:sz w:val="20"/>
                                <w:szCs w:val="20"/>
                              </w:rPr>
                              <w:t xml:space="preserve"> </w:t>
                            </w:r>
                            <w:r w:rsidR="009804FC">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">
                <v:textbox>
                  <w:txbxContent>
                    <w:p w14:paraId="0EA4B470" w14:textId="77777777" w:rsidR="00D645C6" w:rsidRPr="00913F95" w:rsidRDefault="00D645C6" w:rsidP="006C43D7">
                      <w:pPr>
                        <w:jc w:val="center"/>
                        <w:rPr>
                          <w:rFonts w:ascii="Century Gothic" w:hAnsi="Century Gothic"/>
                          <w:b/>
                          <w:sz w:val="20"/>
                          <w:szCs w:val="20"/>
                        </w:rPr>
                      </w:pPr>
                    </w:p>
                    <w:p w14:paraId="01FDAE28" w14:textId="6C2809DB" w:rsidR="00D645C6" w:rsidRDefault="0097366B" w:rsidP="0097366B">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D645C6">
                        <w:rPr>
                          <w:rFonts w:ascii="Century Gothic" w:hAnsi="Century Gothic"/>
                          <w:sz w:val="20"/>
                          <w:szCs w:val="20"/>
                        </w:rPr>
                        <w:t>NO</w:t>
                      </w:r>
                    </w:p>
                    <w:p w14:paraId="3A4C7296" w14:textId="71EB54FB" w:rsidR="00D645C6" w:rsidRPr="001D3CC2" w:rsidRDefault="0097366B" w:rsidP="0097366B">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w:t>
                      </w:r>
                      <w:r w:rsidR="0082670C">
                        <w:rPr>
                          <w:rFonts w:ascii="Century Gothic" w:hAnsi="Century Gothic"/>
                          <w:sz w:val="20"/>
                          <w:szCs w:val="20"/>
                        </w:rPr>
                        <w:t xml:space="preserve"> </w:t>
                      </w:r>
                      <w:r w:rsidR="009804FC">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6C43D7" w:rsidRDefault="006C43D7" w:rsidP="006C43D7">
      <w:pPr>
        <w:spacing w:line="360" w:lineRule="auto"/>
        <w:jc w:val="both"/>
      </w:pPr>
    </w:p>
    <w:p w14:paraId="4E808D74" w14:textId="77777777" w:rsidR="006C43D7" w:rsidRPr="006C43D7" w:rsidRDefault="006C43D7" w:rsidP="006C43D7">
      <w:pPr>
        <w:spacing w:line="360" w:lineRule="auto"/>
        <w:jc w:val="both"/>
      </w:pPr>
    </w:p>
    <w:p w14:paraId="34BF70B6" w14:textId="77777777" w:rsidR="006C43D7" w:rsidRPr="006C43D7" w:rsidRDefault="006C43D7" w:rsidP="006C43D7">
      <w:pPr>
        <w:spacing w:line="360" w:lineRule="auto"/>
        <w:jc w:val="both"/>
      </w:pPr>
    </w:p>
    <w:p w14:paraId="2F53BA3A" w14:textId="77777777" w:rsidR="006C43D7" w:rsidRPr="006C43D7" w:rsidRDefault="006C43D7" w:rsidP="006C43D7">
      <w:pPr>
        <w:spacing w:line="480" w:lineRule="auto"/>
        <w:jc w:val="both"/>
      </w:pPr>
    </w:p>
    <w:p w14:paraId="3A1C212E" w14:textId="77777777" w:rsidR="006C43D7" w:rsidRPr="006C43D7" w:rsidRDefault="006C43D7" w:rsidP="006C43D7">
      <w:pPr>
        <w:spacing w:line="480" w:lineRule="auto"/>
        <w:jc w:val="both"/>
      </w:pPr>
    </w:p>
    <w:p w14:paraId="04919B1B" w14:textId="77777777" w:rsidR="001D3CC2" w:rsidRDefault="001D3CC2" w:rsidP="006C43D7">
      <w:pPr>
        <w:spacing w:line="480" w:lineRule="auto"/>
        <w:jc w:val="both"/>
        <w:rPr>
          <w:rFonts w:cs="Arial"/>
          <w:szCs w:val="22"/>
        </w:rPr>
      </w:pPr>
    </w:p>
    <w:p w14:paraId="65EE98C6" w14:textId="77777777" w:rsidR="00AA7A76" w:rsidRPr="006C43D7" w:rsidRDefault="00AA7A76" w:rsidP="00AA7A76">
      <w:pPr>
        <w:spacing w:line="480" w:lineRule="auto"/>
        <w:jc w:val="both"/>
        <w:rPr>
          <w:rFonts w:cs="Arial"/>
          <w:szCs w:val="22"/>
        </w:rPr>
      </w:pPr>
      <w:r w:rsidRPr="006C43D7">
        <w:rPr>
          <w:rFonts w:cs="Arial"/>
          <w:szCs w:val="22"/>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gridCol w:w="2246"/>
      </w:tblGrid>
      <w:tr w:rsidR="007A1D60" w14:paraId="4E86F7E7" w14:textId="77777777" w:rsidTr="00F4468A">
        <w:tc>
          <w:tcPr>
            <w:tcW w:w="6305" w:type="dxa"/>
          </w:tcPr>
          <w:p w14:paraId="74EE3EDE" w14:textId="217A9DA3" w:rsidR="002104BF" w:rsidRPr="0089562F" w:rsidRDefault="00A174DB" w:rsidP="00AA7A76">
            <w:pPr>
              <w:spacing w:line="480" w:lineRule="auto"/>
              <w:jc w:val="both"/>
              <w:rPr>
                <w:rFonts w:cs="Arial"/>
                <w:b/>
                <w:szCs w:val="22"/>
              </w:rPr>
            </w:pPr>
            <w:r>
              <w:rPr>
                <w:rFonts w:cs="Arial"/>
                <w:b/>
                <w:szCs w:val="22"/>
              </w:rPr>
              <w:t>VAN DER MERWE, N O, obo NSINDISO</w:t>
            </w:r>
          </w:p>
        </w:tc>
        <w:tc>
          <w:tcPr>
            <w:tcW w:w="2246" w:type="dxa"/>
          </w:tcPr>
          <w:p w14:paraId="72EECEF8" w14:textId="72FDBD97" w:rsidR="002104BF" w:rsidRDefault="00C00276" w:rsidP="00E61081">
            <w:pPr>
              <w:spacing w:line="480" w:lineRule="auto"/>
              <w:rPr>
                <w:rFonts w:cs="Arial"/>
                <w:szCs w:val="22"/>
              </w:rPr>
            </w:pPr>
            <w:r>
              <w:rPr>
                <w:rFonts w:cs="Arial"/>
                <w:szCs w:val="22"/>
              </w:rPr>
              <w:t>Plaintiff</w:t>
            </w:r>
          </w:p>
        </w:tc>
      </w:tr>
      <w:tr w:rsidR="007A1D60" w14:paraId="64E42908" w14:textId="77777777" w:rsidTr="00F4468A">
        <w:tc>
          <w:tcPr>
            <w:tcW w:w="6305" w:type="dxa"/>
          </w:tcPr>
          <w:p w14:paraId="6E1E5BEB" w14:textId="42B97C2B" w:rsidR="002104BF" w:rsidRPr="00A22A14" w:rsidRDefault="00A22A14" w:rsidP="00A22A14">
            <w:pPr>
              <w:spacing w:line="480" w:lineRule="auto"/>
              <w:jc w:val="both"/>
              <w:rPr>
                <w:szCs w:val="22"/>
              </w:rPr>
            </w:pPr>
            <w:r>
              <w:rPr>
                <w:szCs w:val="22"/>
              </w:rPr>
              <w:t>a</w:t>
            </w:r>
            <w:r w:rsidR="002104BF" w:rsidRPr="00A22A14">
              <w:rPr>
                <w:szCs w:val="22"/>
              </w:rPr>
              <w:t>nd</w:t>
            </w:r>
            <w:r>
              <w:rPr>
                <w:szCs w:val="22"/>
              </w:rPr>
              <w:t xml:space="preserve">  </w:t>
            </w:r>
          </w:p>
        </w:tc>
        <w:tc>
          <w:tcPr>
            <w:tcW w:w="2246" w:type="dxa"/>
          </w:tcPr>
          <w:p w14:paraId="1DB932F2" w14:textId="77777777" w:rsidR="002104BF" w:rsidRDefault="002104BF" w:rsidP="007237D1">
            <w:pPr>
              <w:spacing w:line="480" w:lineRule="auto"/>
              <w:jc w:val="right"/>
              <w:rPr>
                <w:rFonts w:cs="Arial"/>
                <w:szCs w:val="22"/>
              </w:rPr>
            </w:pPr>
          </w:p>
        </w:tc>
      </w:tr>
      <w:tr w:rsidR="007A1D60" w14:paraId="3BCAF70A" w14:textId="77777777" w:rsidTr="00F4468A">
        <w:tc>
          <w:tcPr>
            <w:tcW w:w="6305" w:type="dxa"/>
          </w:tcPr>
          <w:p w14:paraId="0E8BF73D" w14:textId="1D37C943" w:rsidR="002104BF" w:rsidRDefault="00E906DE" w:rsidP="00C549F4">
            <w:pPr>
              <w:spacing w:line="480" w:lineRule="auto"/>
              <w:jc w:val="both"/>
              <w:rPr>
                <w:b/>
                <w:szCs w:val="22"/>
              </w:rPr>
            </w:pPr>
            <w:r>
              <w:rPr>
                <w:b/>
                <w:szCs w:val="22"/>
              </w:rPr>
              <w:t>ROAD ACCIDENT FUND</w:t>
            </w:r>
          </w:p>
        </w:tc>
        <w:tc>
          <w:tcPr>
            <w:tcW w:w="2246" w:type="dxa"/>
          </w:tcPr>
          <w:p w14:paraId="2A989CFA" w14:textId="37DE3EED" w:rsidR="002104BF" w:rsidRDefault="007A1D60" w:rsidP="00E61081">
            <w:pPr>
              <w:spacing w:line="480" w:lineRule="auto"/>
              <w:rPr>
                <w:rFonts w:cs="Arial"/>
                <w:szCs w:val="22"/>
              </w:rPr>
            </w:pPr>
            <w:r>
              <w:rPr>
                <w:rFonts w:cs="Arial"/>
                <w:szCs w:val="22"/>
              </w:rPr>
              <w:t>Defendant</w:t>
            </w:r>
          </w:p>
        </w:tc>
      </w:tr>
    </w:tbl>
    <w:p w14:paraId="4D632D47" w14:textId="70CCEB16" w:rsidR="00F9202F" w:rsidRDefault="00F9202F" w:rsidP="006C43D7">
      <w:pPr>
        <w:pBdr>
          <w:bottom w:val="single" w:sz="4" w:space="1" w:color="auto"/>
        </w:pBdr>
        <w:spacing w:line="360" w:lineRule="auto"/>
        <w:jc w:val="both"/>
        <w:rPr>
          <w:rFonts w:cs="Arial"/>
          <w:szCs w:val="22"/>
        </w:rPr>
      </w:pPr>
    </w:p>
    <w:p w14:paraId="00639339" w14:textId="77777777" w:rsidR="00F9202F" w:rsidRDefault="00F9202F" w:rsidP="006C43D7">
      <w:pPr>
        <w:pBdr>
          <w:bottom w:val="single" w:sz="4" w:space="1" w:color="auto"/>
        </w:pBdr>
        <w:spacing w:line="360" w:lineRule="auto"/>
        <w:jc w:val="both"/>
        <w:rPr>
          <w:rFonts w:cs="Arial"/>
          <w:szCs w:val="22"/>
        </w:rPr>
      </w:pPr>
    </w:p>
    <w:p w14:paraId="64CFD117" w14:textId="77777777" w:rsidR="00CE6301" w:rsidRPr="006C43D7" w:rsidRDefault="00CE6301" w:rsidP="006C43D7">
      <w:pPr>
        <w:pBdr>
          <w:bottom w:val="single" w:sz="4" w:space="1" w:color="auto"/>
        </w:pBdr>
        <w:spacing w:line="360" w:lineRule="auto"/>
        <w:jc w:val="both"/>
        <w:rPr>
          <w:rFonts w:cs="Arial"/>
          <w:szCs w:val="22"/>
        </w:rPr>
      </w:pPr>
    </w:p>
    <w:p w14:paraId="58DE5549" w14:textId="77777777" w:rsidR="006C43D7" w:rsidRPr="006C43D7" w:rsidRDefault="006C43D7" w:rsidP="006C43D7">
      <w:pPr>
        <w:spacing w:line="276" w:lineRule="auto"/>
        <w:jc w:val="both"/>
        <w:rPr>
          <w:rFonts w:cs="Arial"/>
          <w:szCs w:val="22"/>
        </w:rPr>
      </w:pPr>
    </w:p>
    <w:p w14:paraId="647AB70C" w14:textId="77777777" w:rsidR="006C43D7" w:rsidRPr="006C43D7" w:rsidRDefault="006C43D7" w:rsidP="006C43D7">
      <w:pPr>
        <w:keepNext/>
        <w:spacing w:line="276" w:lineRule="auto"/>
        <w:jc w:val="center"/>
        <w:outlineLvl w:val="1"/>
        <w:rPr>
          <w:rFonts w:cs="Arial"/>
          <w:b/>
          <w:bCs/>
          <w:szCs w:val="22"/>
        </w:rPr>
      </w:pPr>
      <w:r w:rsidRPr="006C43D7">
        <w:rPr>
          <w:rFonts w:cs="Arial"/>
          <w:b/>
          <w:bCs/>
          <w:szCs w:val="22"/>
        </w:rPr>
        <w:t>JUDGMENT</w:t>
      </w:r>
    </w:p>
    <w:p w14:paraId="52CD25EB" w14:textId="77777777" w:rsidR="006C43D7" w:rsidRPr="006C43D7" w:rsidRDefault="006C43D7" w:rsidP="006C43D7">
      <w:pPr>
        <w:pBdr>
          <w:bottom w:val="single" w:sz="4" w:space="1" w:color="auto"/>
        </w:pBdr>
        <w:jc w:val="both"/>
        <w:rPr>
          <w:rFonts w:cs="Arial"/>
          <w:szCs w:val="22"/>
        </w:rPr>
      </w:pPr>
    </w:p>
    <w:p w14:paraId="0CA76DA1" w14:textId="77777777" w:rsidR="00DC621D" w:rsidRDefault="00DC621D" w:rsidP="00DC621D">
      <w:pPr>
        <w:spacing w:line="480" w:lineRule="auto"/>
        <w:jc w:val="both"/>
        <w:rPr>
          <w:rFonts w:cs="Arial"/>
          <w:b/>
          <w:szCs w:val="22"/>
        </w:rPr>
      </w:pPr>
    </w:p>
    <w:p w14:paraId="5BD82EFE" w14:textId="0F8FBF70" w:rsidR="00BE6AB8" w:rsidRPr="00BE6AB8" w:rsidRDefault="00C676F3" w:rsidP="00BE6AB8">
      <w:pPr>
        <w:spacing w:after="480" w:line="480" w:lineRule="auto"/>
        <w:jc w:val="both"/>
        <w:rPr>
          <w:rFonts w:cs="Arial"/>
          <w:b/>
          <w:szCs w:val="22"/>
        </w:rPr>
      </w:pPr>
      <w:r>
        <w:rPr>
          <w:rFonts w:cs="Arial"/>
          <w:b/>
          <w:szCs w:val="22"/>
        </w:rPr>
        <w:t>MOORCROFT</w:t>
      </w:r>
      <w:r w:rsidR="006C43D7" w:rsidRPr="006C43D7">
        <w:rPr>
          <w:rFonts w:cs="Arial"/>
          <w:b/>
          <w:szCs w:val="22"/>
        </w:rPr>
        <w:t xml:space="preserve"> AJ:</w:t>
      </w:r>
    </w:p>
    <w:p w14:paraId="09239A78" w14:textId="46E4158C" w:rsidR="00C460A0" w:rsidRDefault="00C460A0" w:rsidP="00653BA4">
      <w:pPr>
        <w:keepNext/>
        <w:spacing w:after="480" w:line="480" w:lineRule="auto"/>
        <w:jc w:val="both"/>
        <w:rPr>
          <w:rFonts w:cs="Arial"/>
          <w:bCs/>
          <w:i/>
          <w:iCs/>
          <w:szCs w:val="20"/>
          <w:u w:val="single"/>
        </w:rPr>
      </w:pPr>
      <w:r w:rsidRPr="003D19C3">
        <w:rPr>
          <w:rFonts w:cs="Arial"/>
          <w:bCs/>
          <w:i/>
          <w:iCs/>
          <w:szCs w:val="20"/>
          <w:u w:val="single"/>
        </w:rPr>
        <w:lastRenderedPageBreak/>
        <w:t>Summary</w:t>
      </w:r>
    </w:p>
    <w:p w14:paraId="371B6EBB" w14:textId="434BF81D" w:rsidR="00951F3B" w:rsidRPr="00951F3B" w:rsidRDefault="00951F3B" w:rsidP="00653BA4">
      <w:pPr>
        <w:keepNext/>
        <w:spacing w:after="480" w:line="480" w:lineRule="auto"/>
        <w:jc w:val="both"/>
        <w:rPr>
          <w:rFonts w:cs="Arial"/>
          <w:bCs/>
          <w:i/>
          <w:iCs/>
          <w:szCs w:val="20"/>
        </w:rPr>
      </w:pPr>
      <w:r>
        <w:rPr>
          <w:rFonts w:cs="Arial"/>
          <w:bCs/>
          <w:i/>
          <w:iCs/>
          <w:szCs w:val="20"/>
        </w:rPr>
        <w:t>Only remaining dispute is contingencies to be applied in respect of future loss of earnings – action on behalf of patient who was 24 years old when he sustained very serious injuries</w:t>
      </w:r>
    </w:p>
    <w:p w14:paraId="18AFD427" w14:textId="35E99A54" w:rsidR="00BE6AB8" w:rsidRPr="00BE6AB8" w:rsidRDefault="00BE6AB8" w:rsidP="00653BA4">
      <w:pPr>
        <w:keepNext/>
        <w:spacing w:after="480" w:line="480" w:lineRule="auto"/>
        <w:jc w:val="both"/>
        <w:rPr>
          <w:rFonts w:cs="Arial"/>
          <w:bCs/>
          <w:szCs w:val="22"/>
          <w:u w:val="single"/>
        </w:rPr>
      </w:pPr>
      <w:r>
        <w:rPr>
          <w:rFonts w:cs="Arial"/>
          <w:bCs/>
          <w:szCs w:val="22"/>
          <w:u w:val="single"/>
        </w:rPr>
        <w:t>Order</w:t>
      </w:r>
    </w:p>
    <w:p w14:paraId="25A66E53" w14:textId="4529DC0A" w:rsidR="00DC6EF8" w:rsidRPr="00B83B47" w:rsidRDefault="0097366B" w:rsidP="0097366B">
      <w:pPr>
        <w:tabs>
          <w:tab w:val="left" w:pos="567"/>
        </w:tabs>
        <w:spacing w:after="480" w:line="360" w:lineRule="auto"/>
        <w:jc w:val="both"/>
        <w:rPr>
          <w:rFonts w:cs="Arial"/>
          <w:bCs/>
          <w:i/>
          <w:iCs/>
          <w:szCs w:val="22"/>
        </w:rPr>
      </w:pPr>
      <w:r w:rsidRPr="00B83B47">
        <w:rPr>
          <w:rFonts w:cs="Arial"/>
          <w:bCs/>
          <w:iCs/>
          <w:szCs w:val="22"/>
        </w:rPr>
        <w:t>[1]</w:t>
      </w:r>
      <w:r w:rsidRPr="00B83B47">
        <w:rPr>
          <w:rFonts w:cs="Arial"/>
          <w:bCs/>
          <w:iCs/>
          <w:szCs w:val="22"/>
        </w:rPr>
        <w:tab/>
      </w:r>
      <w:r w:rsidR="003B4100">
        <w:rPr>
          <w:rFonts w:cs="Arial"/>
          <w:bCs/>
          <w:szCs w:val="22"/>
        </w:rPr>
        <w:t>In t</w:t>
      </w:r>
      <w:bookmarkStart w:id="0" w:name="_GoBack"/>
      <w:bookmarkEnd w:id="0"/>
      <w:r w:rsidR="003B4100">
        <w:rPr>
          <w:rFonts w:cs="Arial"/>
          <w:bCs/>
          <w:szCs w:val="22"/>
        </w:rPr>
        <w:t xml:space="preserve">his </w:t>
      </w:r>
      <w:r w:rsidR="00B56906">
        <w:rPr>
          <w:rFonts w:cs="Arial"/>
          <w:bCs/>
          <w:szCs w:val="22"/>
        </w:rPr>
        <w:t xml:space="preserve">matter </w:t>
      </w:r>
      <w:r w:rsidR="00C460A0">
        <w:rPr>
          <w:rFonts w:cs="Arial"/>
          <w:bCs/>
          <w:szCs w:val="22"/>
        </w:rPr>
        <w:t>I ma</w:t>
      </w:r>
      <w:r w:rsidR="00A174DB">
        <w:rPr>
          <w:rFonts w:cs="Arial"/>
          <w:bCs/>
          <w:szCs w:val="22"/>
        </w:rPr>
        <w:t>k</w:t>
      </w:r>
      <w:r w:rsidR="00DC6EF8">
        <w:rPr>
          <w:rFonts w:cs="Arial"/>
          <w:bCs/>
          <w:szCs w:val="22"/>
        </w:rPr>
        <w:t>e</w:t>
      </w:r>
      <w:r w:rsidR="00C460A0">
        <w:rPr>
          <w:rFonts w:cs="Arial"/>
          <w:bCs/>
          <w:szCs w:val="22"/>
        </w:rPr>
        <w:t xml:space="preserve"> the following order</w:t>
      </w:r>
      <w:r w:rsidR="00A174DB">
        <w:rPr>
          <w:rFonts w:cs="Arial"/>
          <w:bCs/>
          <w:szCs w:val="22"/>
        </w:rPr>
        <w:t>:</w:t>
      </w:r>
    </w:p>
    <w:p w14:paraId="6C104D73" w14:textId="384188CC" w:rsidR="007A7DA3" w:rsidRPr="0097366B" w:rsidRDefault="0097366B" w:rsidP="0097366B">
      <w:pPr>
        <w:spacing w:line="360" w:lineRule="auto"/>
        <w:ind w:left="360" w:hanging="360"/>
        <w:jc w:val="both"/>
        <w:rPr>
          <w:rFonts w:cs="Arial"/>
          <w:i/>
          <w:iCs/>
          <w:szCs w:val="22"/>
        </w:rPr>
      </w:pPr>
      <w:r>
        <w:rPr>
          <w:rFonts w:cs="Arial"/>
          <w:i/>
          <w:iCs/>
          <w:szCs w:val="22"/>
        </w:rPr>
        <w:t>1.</w:t>
      </w:r>
      <w:r>
        <w:rPr>
          <w:rFonts w:cs="Arial"/>
          <w:i/>
          <w:iCs/>
          <w:szCs w:val="22"/>
        </w:rPr>
        <w:tab/>
      </w:r>
      <w:r w:rsidR="00B566A9" w:rsidRPr="0097366B">
        <w:rPr>
          <w:rFonts w:cs="Arial"/>
          <w:i/>
          <w:iCs/>
          <w:szCs w:val="22"/>
        </w:rPr>
        <w:t xml:space="preserve">The Defendant is ordered to pay to the Plaintiff </w:t>
      </w:r>
    </w:p>
    <w:p w14:paraId="539F79CC" w14:textId="6849CC1E" w:rsidR="007A7DA3" w:rsidRPr="0097366B" w:rsidRDefault="0097366B" w:rsidP="0097366B">
      <w:pPr>
        <w:spacing w:line="360" w:lineRule="auto"/>
        <w:ind w:left="792" w:hanging="432"/>
        <w:jc w:val="both"/>
        <w:rPr>
          <w:rFonts w:cs="Arial"/>
          <w:i/>
          <w:iCs/>
          <w:szCs w:val="22"/>
        </w:rPr>
      </w:pPr>
      <w:r>
        <w:rPr>
          <w:rFonts w:cs="Arial"/>
          <w:i/>
          <w:iCs/>
          <w:szCs w:val="22"/>
        </w:rPr>
        <w:t>1.1.</w:t>
      </w:r>
      <w:r>
        <w:rPr>
          <w:rFonts w:cs="Arial"/>
          <w:i/>
          <w:iCs/>
          <w:szCs w:val="22"/>
        </w:rPr>
        <w:tab/>
      </w:r>
      <w:r w:rsidR="00B566A9" w:rsidRPr="0097366B">
        <w:rPr>
          <w:rFonts w:cs="Arial"/>
          <w:i/>
          <w:iCs/>
          <w:szCs w:val="22"/>
        </w:rPr>
        <w:t xml:space="preserve">an amount of R 900 000.00 (nine hundred thousand rand only) in full and final settlement of the Plaintiff’s claim for general damages; </w:t>
      </w:r>
    </w:p>
    <w:p w14:paraId="1A2FDBC0" w14:textId="79B64939" w:rsidR="007A7DA3" w:rsidRPr="0097366B" w:rsidRDefault="0097366B" w:rsidP="0097366B">
      <w:pPr>
        <w:spacing w:line="360" w:lineRule="auto"/>
        <w:ind w:left="792" w:hanging="432"/>
        <w:jc w:val="both"/>
        <w:rPr>
          <w:rFonts w:cs="Arial"/>
          <w:i/>
          <w:iCs/>
          <w:szCs w:val="22"/>
        </w:rPr>
      </w:pPr>
      <w:r>
        <w:rPr>
          <w:rFonts w:cs="Arial"/>
          <w:i/>
          <w:iCs/>
          <w:szCs w:val="22"/>
        </w:rPr>
        <w:t>1.2.</w:t>
      </w:r>
      <w:r>
        <w:rPr>
          <w:rFonts w:cs="Arial"/>
          <w:i/>
          <w:iCs/>
          <w:szCs w:val="22"/>
        </w:rPr>
        <w:tab/>
      </w:r>
      <w:r w:rsidR="00B566A9" w:rsidRPr="0097366B">
        <w:rPr>
          <w:rFonts w:cs="Arial"/>
          <w:i/>
          <w:iCs/>
          <w:szCs w:val="22"/>
        </w:rPr>
        <w:t xml:space="preserve">an amount of R 238 733.95 (two hundred and thirty-eight thousand, seven hundred and thirty-three rand and ninety-five cents) in full and final settlement of the Plaintiff’s claim for past loss of earnings; and R 3 856 807.71 (three million, eight hundred and fifty-six thousand, eight hundred and seven rand and seventy-one cents) in full and final settlement of the Plaintiff’s claim for future loss of earnings, with link number:  4676403. </w:t>
      </w:r>
    </w:p>
    <w:p w14:paraId="40DB8A92" w14:textId="32C7B32D" w:rsidR="00B566A9" w:rsidRPr="0097366B" w:rsidRDefault="0097366B" w:rsidP="0097366B">
      <w:pPr>
        <w:spacing w:line="360" w:lineRule="auto"/>
        <w:ind w:left="360" w:hanging="360"/>
        <w:jc w:val="both"/>
        <w:rPr>
          <w:rFonts w:cs="Arial"/>
          <w:i/>
          <w:iCs/>
          <w:szCs w:val="22"/>
        </w:rPr>
      </w:pPr>
      <w:r w:rsidRPr="00E4468F">
        <w:rPr>
          <w:rFonts w:cs="Arial"/>
          <w:i/>
          <w:iCs/>
          <w:szCs w:val="22"/>
        </w:rPr>
        <w:t>2.</w:t>
      </w:r>
      <w:r w:rsidRPr="00E4468F">
        <w:rPr>
          <w:rFonts w:cs="Arial"/>
          <w:i/>
          <w:iCs/>
          <w:szCs w:val="22"/>
        </w:rPr>
        <w:tab/>
      </w:r>
      <w:r w:rsidR="00B566A9" w:rsidRPr="0097366B">
        <w:rPr>
          <w:rFonts w:cs="Arial"/>
          <w:i/>
          <w:iCs/>
          <w:szCs w:val="22"/>
        </w:rPr>
        <w:t xml:space="preserve">Payment to be made to the Plaintiff’s Attorneys of record, by payment into their trust account, details as follows: </w:t>
      </w:r>
    </w:p>
    <w:p w14:paraId="415FCCD8" w14:textId="77777777" w:rsidR="00B566A9" w:rsidRPr="00B566A9" w:rsidRDefault="00B566A9" w:rsidP="00E4468F">
      <w:pPr>
        <w:spacing w:line="360" w:lineRule="auto"/>
        <w:jc w:val="both"/>
        <w:rPr>
          <w:rFonts w:cs="Arial"/>
          <w:i/>
          <w:iCs/>
          <w:szCs w:val="22"/>
        </w:rPr>
      </w:pPr>
    </w:p>
    <w:p w14:paraId="13425117" w14:textId="74C1C7A5" w:rsidR="00B566A9" w:rsidRPr="00E4468F" w:rsidRDefault="00B566A9" w:rsidP="007A7DA3">
      <w:pPr>
        <w:spacing w:line="360" w:lineRule="auto"/>
        <w:ind w:left="1440"/>
        <w:jc w:val="both"/>
        <w:rPr>
          <w:rFonts w:cs="Arial"/>
          <w:i/>
          <w:iCs/>
          <w:szCs w:val="22"/>
        </w:rPr>
      </w:pPr>
      <w:r w:rsidRPr="00E4468F">
        <w:rPr>
          <w:rFonts w:cs="Arial"/>
          <w:i/>
          <w:iCs/>
          <w:szCs w:val="22"/>
        </w:rPr>
        <w:t xml:space="preserve">Mokoduo Erasmus Davidson Attorneys Trust Account </w:t>
      </w:r>
    </w:p>
    <w:p w14:paraId="722D91EE" w14:textId="151A394F" w:rsidR="00B566A9" w:rsidRPr="00E4468F" w:rsidRDefault="00B566A9" w:rsidP="007A7DA3">
      <w:pPr>
        <w:spacing w:line="360" w:lineRule="auto"/>
        <w:ind w:left="1440"/>
        <w:jc w:val="both"/>
        <w:rPr>
          <w:rFonts w:cs="Arial"/>
          <w:i/>
          <w:iCs/>
          <w:szCs w:val="22"/>
        </w:rPr>
      </w:pPr>
      <w:r w:rsidRPr="00E4468F">
        <w:rPr>
          <w:rFonts w:cs="Arial"/>
          <w:i/>
          <w:iCs/>
          <w:szCs w:val="22"/>
        </w:rPr>
        <w:t xml:space="preserve">First National Bank, Rosebank Branch </w:t>
      </w:r>
    </w:p>
    <w:p w14:paraId="5944489A" w14:textId="5F8DC2A0" w:rsidR="00B566A9" w:rsidRPr="00E4468F" w:rsidRDefault="0054339F" w:rsidP="007A7DA3">
      <w:pPr>
        <w:spacing w:line="360" w:lineRule="auto"/>
        <w:ind w:left="1440"/>
        <w:jc w:val="both"/>
        <w:rPr>
          <w:rFonts w:cs="Arial"/>
          <w:i/>
          <w:iCs/>
          <w:szCs w:val="22"/>
        </w:rPr>
      </w:pPr>
      <w:r>
        <w:rPr>
          <w:rFonts w:cs="Arial"/>
          <w:i/>
          <w:iCs/>
          <w:szCs w:val="22"/>
        </w:rPr>
        <w:t>Account Number: […]</w:t>
      </w:r>
    </w:p>
    <w:p w14:paraId="2BA22093" w14:textId="3D14B994" w:rsidR="00B566A9" w:rsidRPr="00E4468F" w:rsidRDefault="00B566A9" w:rsidP="007A7DA3">
      <w:pPr>
        <w:spacing w:line="360" w:lineRule="auto"/>
        <w:ind w:left="1440"/>
        <w:jc w:val="both"/>
        <w:rPr>
          <w:rFonts w:cs="Arial"/>
          <w:i/>
          <w:iCs/>
          <w:szCs w:val="22"/>
        </w:rPr>
      </w:pPr>
      <w:r w:rsidRPr="00E4468F">
        <w:rPr>
          <w:rFonts w:cs="Arial"/>
          <w:i/>
          <w:iCs/>
          <w:szCs w:val="22"/>
        </w:rPr>
        <w:t>Branch Code: 253305.</w:t>
      </w:r>
    </w:p>
    <w:p w14:paraId="05C87F13" w14:textId="77777777" w:rsidR="00B566A9" w:rsidRPr="00B566A9" w:rsidRDefault="00B566A9" w:rsidP="007A7DA3">
      <w:pPr>
        <w:spacing w:line="360" w:lineRule="auto"/>
        <w:ind w:left="1440"/>
        <w:jc w:val="both"/>
        <w:rPr>
          <w:rFonts w:cs="Arial"/>
          <w:i/>
          <w:iCs/>
          <w:szCs w:val="22"/>
        </w:rPr>
      </w:pPr>
    </w:p>
    <w:p w14:paraId="77BF9CF1" w14:textId="7441F9EF" w:rsidR="00B566A9" w:rsidRPr="0097366B" w:rsidRDefault="0097366B" w:rsidP="0097366B">
      <w:pPr>
        <w:spacing w:line="360" w:lineRule="auto"/>
        <w:ind w:left="360" w:hanging="360"/>
        <w:jc w:val="both"/>
        <w:rPr>
          <w:rFonts w:cs="Arial"/>
          <w:i/>
          <w:iCs/>
          <w:szCs w:val="22"/>
        </w:rPr>
      </w:pPr>
      <w:r w:rsidRPr="00E4468F">
        <w:rPr>
          <w:rFonts w:cs="Arial"/>
          <w:i/>
          <w:iCs/>
          <w:szCs w:val="22"/>
        </w:rPr>
        <w:t>3.</w:t>
      </w:r>
      <w:r w:rsidRPr="00E4468F">
        <w:rPr>
          <w:rFonts w:cs="Arial"/>
          <w:i/>
          <w:iCs/>
          <w:szCs w:val="22"/>
        </w:rPr>
        <w:tab/>
      </w:r>
      <w:r w:rsidR="00B566A9" w:rsidRPr="0097366B">
        <w:rPr>
          <w:rFonts w:cs="Arial"/>
          <w:i/>
          <w:iCs/>
          <w:szCs w:val="22"/>
        </w:rPr>
        <w:t>The Defendant is ordered to furnish the Plaintiff with an Undertaking in terms of Section 17(4)(a) of the Road Accident Fund Act, 56 of 1996, for the costs of the future accommodation of LINDANI NSINDISO MBOKAZI (hereinafter referred to as “the patient”) in a hospital or nursing home or treatment of or rendering of a service or supplying of goods to him arising out of the injuries sustained by him in the motor vehicle collision of 6 March 2018, after such costs have been incurred and upon proof thereof, limited to 90%.</w:t>
      </w:r>
    </w:p>
    <w:p w14:paraId="0CF4CDBA" w14:textId="77777777" w:rsidR="00B566A9" w:rsidRPr="00B566A9" w:rsidRDefault="00B566A9" w:rsidP="00E4468F">
      <w:pPr>
        <w:spacing w:line="360" w:lineRule="auto"/>
        <w:jc w:val="both"/>
        <w:rPr>
          <w:rFonts w:cs="Arial"/>
          <w:i/>
          <w:iCs/>
          <w:szCs w:val="22"/>
        </w:rPr>
      </w:pPr>
    </w:p>
    <w:p w14:paraId="26851BEF" w14:textId="3965A017" w:rsidR="00B566A9" w:rsidRPr="0097366B" w:rsidRDefault="0097366B" w:rsidP="0097366B">
      <w:pPr>
        <w:spacing w:line="360" w:lineRule="auto"/>
        <w:ind w:left="360" w:hanging="360"/>
        <w:jc w:val="both"/>
        <w:rPr>
          <w:rFonts w:cs="Arial"/>
          <w:i/>
          <w:iCs/>
          <w:szCs w:val="22"/>
        </w:rPr>
      </w:pPr>
      <w:r w:rsidRPr="00E4468F">
        <w:rPr>
          <w:rFonts w:cs="Arial"/>
          <w:i/>
          <w:iCs/>
          <w:szCs w:val="22"/>
        </w:rPr>
        <w:lastRenderedPageBreak/>
        <w:t>4.</w:t>
      </w:r>
      <w:r w:rsidRPr="00E4468F">
        <w:rPr>
          <w:rFonts w:cs="Arial"/>
          <w:i/>
          <w:iCs/>
          <w:szCs w:val="22"/>
        </w:rPr>
        <w:tab/>
      </w:r>
      <w:r w:rsidR="00B566A9" w:rsidRPr="0097366B">
        <w:rPr>
          <w:rFonts w:cs="Arial"/>
          <w:i/>
          <w:iCs/>
          <w:szCs w:val="22"/>
        </w:rPr>
        <w:t>In terms of the statutory undertaking referred to in paragraph 2 above, the Defendant shall pay:-</w:t>
      </w:r>
    </w:p>
    <w:p w14:paraId="5B8D5E9D" w14:textId="77777777" w:rsidR="00B566A9" w:rsidRPr="00B566A9" w:rsidRDefault="00B566A9" w:rsidP="00E4468F">
      <w:pPr>
        <w:spacing w:line="360" w:lineRule="auto"/>
        <w:jc w:val="both"/>
        <w:rPr>
          <w:rFonts w:cs="Arial"/>
          <w:i/>
          <w:iCs/>
          <w:szCs w:val="22"/>
        </w:rPr>
      </w:pPr>
    </w:p>
    <w:p w14:paraId="59738F1D" w14:textId="4B008667" w:rsidR="00B566A9" w:rsidRPr="0097366B" w:rsidRDefault="0097366B" w:rsidP="0097366B">
      <w:pPr>
        <w:spacing w:line="360" w:lineRule="auto"/>
        <w:ind w:left="792" w:hanging="432"/>
        <w:jc w:val="both"/>
        <w:rPr>
          <w:rFonts w:cs="Arial"/>
          <w:i/>
          <w:iCs/>
          <w:szCs w:val="22"/>
        </w:rPr>
      </w:pPr>
      <w:r w:rsidRPr="00E4468F">
        <w:rPr>
          <w:rFonts w:cs="Arial"/>
          <w:i/>
          <w:iCs/>
          <w:szCs w:val="22"/>
        </w:rPr>
        <w:t>4.1.</w:t>
      </w:r>
      <w:r w:rsidRPr="00E4468F">
        <w:rPr>
          <w:rFonts w:cs="Arial"/>
          <w:i/>
          <w:iCs/>
          <w:szCs w:val="22"/>
        </w:rPr>
        <w:tab/>
      </w:r>
      <w:r w:rsidR="00B566A9" w:rsidRPr="0097366B">
        <w:rPr>
          <w:rFonts w:cs="Arial"/>
          <w:i/>
          <w:iCs/>
          <w:szCs w:val="22"/>
        </w:rPr>
        <w:t>the reasonable costs of the creation of the Trust referred to in paragraph 5 below and the appointment of the Trustee;</w:t>
      </w:r>
    </w:p>
    <w:p w14:paraId="414642D2" w14:textId="77777777" w:rsidR="00B566A9" w:rsidRPr="00B566A9" w:rsidRDefault="00B566A9" w:rsidP="00E4468F">
      <w:pPr>
        <w:spacing w:line="360" w:lineRule="auto"/>
        <w:jc w:val="both"/>
        <w:rPr>
          <w:rFonts w:cs="Arial"/>
          <w:i/>
          <w:iCs/>
          <w:szCs w:val="22"/>
        </w:rPr>
      </w:pPr>
    </w:p>
    <w:p w14:paraId="3F7E52B9" w14:textId="34B6D52F" w:rsidR="00B566A9" w:rsidRPr="0097366B" w:rsidRDefault="0097366B" w:rsidP="0097366B">
      <w:pPr>
        <w:spacing w:line="360" w:lineRule="auto"/>
        <w:ind w:left="792" w:hanging="432"/>
        <w:jc w:val="both"/>
        <w:rPr>
          <w:rFonts w:cs="Arial"/>
          <w:i/>
          <w:iCs/>
          <w:szCs w:val="22"/>
        </w:rPr>
      </w:pPr>
      <w:r w:rsidRPr="00E4468F">
        <w:rPr>
          <w:rFonts w:cs="Arial"/>
          <w:i/>
          <w:iCs/>
          <w:szCs w:val="22"/>
        </w:rPr>
        <w:t>4.2.</w:t>
      </w:r>
      <w:r w:rsidRPr="00E4468F">
        <w:rPr>
          <w:rFonts w:cs="Arial"/>
          <w:i/>
          <w:iCs/>
          <w:szCs w:val="22"/>
        </w:rPr>
        <w:tab/>
      </w:r>
      <w:r w:rsidR="00B566A9" w:rsidRPr="0097366B">
        <w:rPr>
          <w:rFonts w:cs="Arial"/>
          <w:i/>
          <w:iCs/>
          <w:szCs w:val="22"/>
        </w:rPr>
        <w:t>the reasonable costs of the furnishing of security by the Trustee;</w:t>
      </w:r>
    </w:p>
    <w:p w14:paraId="6C385447" w14:textId="77777777" w:rsidR="00B566A9" w:rsidRPr="00B566A9" w:rsidRDefault="00B566A9" w:rsidP="00E4468F">
      <w:pPr>
        <w:spacing w:line="360" w:lineRule="auto"/>
        <w:jc w:val="both"/>
        <w:rPr>
          <w:rFonts w:cs="Arial"/>
          <w:i/>
          <w:iCs/>
          <w:szCs w:val="22"/>
        </w:rPr>
      </w:pPr>
    </w:p>
    <w:p w14:paraId="4806162A" w14:textId="422ECBF7" w:rsidR="00B566A9" w:rsidRPr="0097366B" w:rsidRDefault="0097366B" w:rsidP="0097366B">
      <w:pPr>
        <w:spacing w:line="360" w:lineRule="auto"/>
        <w:ind w:left="792" w:hanging="432"/>
        <w:jc w:val="both"/>
        <w:rPr>
          <w:rFonts w:cs="Arial"/>
          <w:i/>
          <w:iCs/>
          <w:szCs w:val="22"/>
        </w:rPr>
      </w:pPr>
      <w:r w:rsidRPr="00E4468F">
        <w:rPr>
          <w:rFonts w:cs="Arial"/>
          <w:i/>
          <w:iCs/>
          <w:szCs w:val="22"/>
        </w:rPr>
        <w:t>4.3.</w:t>
      </w:r>
      <w:r w:rsidRPr="00E4468F">
        <w:rPr>
          <w:rFonts w:cs="Arial"/>
          <w:i/>
          <w:iCs/>
          <w:szCs w:val="22"/>
        </w:rPr>
        <w:tab/>
      </w:r>
      <w:r w:rsidR="00B566A9" w:rsidRPr="0097366B">
        <w:rPr>
          <w:rFonts w:cs="Arial"/>
          <w:i/>
          <w:iCs/>
          <w:szCs w:val="22"/>
        </w:rPr>
        <w:t>the costs of the Trustee in administering the patient’s estate, as determined by Section 84(1)(b) of the Administration of Estates Act 66 of 1965, as amended, according to the prescribed tariff applicable to curators;</w:t>
      </w:r>
    </w:p>
    <w:p w14:paraId="2C8D122A" w14:textId="77777777" w:rsidR="00B566A9" w:rsidRPr="00B566A9" w:rsidRDefault="00B566A9" w:rsidP="00E4468F">
      <w:pPr>
        <w:spacing w:line="360" w:lineRule="auto"/>
        <w:jc w:val="both"/>
        <w:rPr>
          <w:rFonts w:cs="Arial"/>
          <w:i/>
          <w:iCs/>
          <w:szCs w:val="22"/>
        </w:rPr>
      </w:pPr>
    </w:p>
    <w:p w14:paraId="3AFEA4FB" w14:textId="32F7FC52" w:rsidR="00B566A9" w:rsidRPr="0097366B" w:rsidRDefault="0097366B" w:rsidP="0097366B">
      <w:pPr>
        <w:spacing w:line="360" w:lineRule="auto"/>
        <w:ind w:left="792" w:hanging="432"/>
        <w:jc w:val="both"/>
        <w:rPr>
          <w:rFonts w:cs="Arial"/>
          <w:i/>
          <w:iCs/>
          <w:szCs w:val="22"/>
        </w:rPr>
      </w:pPr>
      <w:r w:rsidRPr="00E4468F">
        <w:rPr>
          <w:rFonts w:cs="Arial"/>
          <w:i/>
          <w:iCs/>
          <w:szCs w:val="22"/>
        </w:rPr>
        <w:t>4.4.</w:t>
      </w:r>
      <w:r w:rsidRPr="00E4468F">
        <w:rPr>
          <w:rFonts w:cs="Arial"/>
          <w:i/>
          <w:iCs/>
          <w:szCs w:val="22"/>
        </w:rPr>
        <w:tab/>
      </w:r>
      <w:r w:rsidR="00B566A9" w:rsidRPr="0097366B">
        <w:rPr>
          <w:rFonts w:cs="Arial"/>
          <w:i/>
          <w:iCs/>
          <w:szCs w:val="22"/>
        </w:rPr>
        <w:t>the costs of the Trustee in administering the patient’s Estate and the costs of administering the Statutory Undertaking in terms of Section 17(4)(a) of the Road Accident Fund Act, as determined by the Administration of Estates Act, 66 of 1965 as amended, limited to the prescribed tariff applicable to a Curator Bonis, as reflected in Government Notice R1602 of 1st July 1991, specifically paragraphs 3(A) and 3(B) of the schedule thereto.</w:t>
      </w:r>
    </w:p>
    <w:p w14:paraId="560C1536" w14:textId="77777777" w:rsidR="00B566A9" w:rsidRPr="00B566A9" w:rsidRDefault="00B566A9" w:rsidP="00E4468F">
      <w:pPr>
        <w:spacing w:line="360" w:lineRule="auto"/>
        <w:jc w:val="both"/>
        <w:rPr>
          <w:rFonts w:cs="Arial"/>
          <w:i/>
          <w:iCs/>
          <w:szCs w:val="22"/>
        </w:rPr>
      </w:pPr>
    </w:p>
    <w:p w14:paraId="2896A544" w14:textId="21E8BBCE" w:rsidR="00B566A9" w:rsidRPr="0097366B" w:rsidRDefault="0097366B" w:rsidP="0097366B">
      <w:pPr>
        <w:spacing w:line="360" w:lineRule="auto"/>
        <w:ind w:left="360" w:hanging="360"/>
        <w:jc w:val="both"/>
        <w:rPr>
          <w:rFonts w:cs="Arial"/>
          <w:i/>
          <w:iCs/>
          <w:szCs w:val="22"/>
        </w:rPr>
      </w:pPr>
      <w:r w:rsidRPr="00E4468F">
        <w:rPr>
          <w:rFonts w:cs="Arial"/>
          <w:i/>
          <w:iCs/>
          <w:szCs w:val="22"/>
        </w:rPr>
        <w:t>5.</w:t>
      </w:r>
      <w:r w:rsidRPr="00E4468F">
        <w:rPr>
          <w:rFonts w:cs="Arial"/>
          <w:i/>
          <w:iCs/>
          <w:szCs w:val="22"/>
        </w:rPr>
        <w:tab/>
      </w:r>
      <w:r w:rsidR="00B566A9" w:rsidRPr="0097366B">
        <w:rPr>
          <w:rFonts w:cs="Arial"/>
          <w:i/>
          <w:iCs/>
          <w:szCs w:val="22"/>
        </w:rPr>
        <w:t>That the Defendant will pay the agreed or taxed party and party High Court costs of the action up to and including the date on which this draft is made an order of the above Honourable Court, such costs to include:-</w:t>
      </w:r>
    </w:p>
    <w:p w14:paraId="364EE3B7" w14:textId="77777777" w:rsidR="00B566A9" w:rsidRPr="00B566A9" w:rsidRDefault="00B566A9" w:rsidP="00E4468F">
      <w:pPr>
        <w:spacing w:line="360" w:lineRule="auto"/>
        <w:jc w:val="both"/>
        <w:rPr>
          <w:rFonts w:cs="Arial"/>
          <w:i/>
          <w:iCs/>
          <w:szCs w:val="22"/>
        </w:rPr>
      </w:pPr>
    </w:p>
    <w:p w14:paraId="0B82BE4C" w14:textId="71D345CE" w:rsidR="00B566A9" w:rsidRPr="0097366B" w:rsidRDefault="0097366B" w:rsidP="0097366B">
      <w:pPr>
        <w:spacing w:line="360" w:lineRule="auto"/>
        <w:ind w:left="792" w:hanging="432"/>
        <w:jc w:val="both"/>
        <w:rPr>
          <w:rFonts w:cs="Arial"/>
          <w:i/>
          <w:iCs/>
          <w:szCs w:val="22"/>
        </w:rPr>
      </w:pPr>
      <w:r w:rsidRPr="00E4468F">
        <w:rPr>
          <w:rFonts w:cs="Arial"/>
          <w:i/>
          <w:iCs/>
          <w:szCs w:val="22"/>
        </w:rPr>
        <w:t>5.1.</w:t>
      </w:r>
      <w:r w:rsidRPr="00E4468F">
        <w:rPr>
          <w:rFonts w:cs="Arial"/>
          <w:i/>
          <w:iCs/>
          <w:szCs w:val="22"/>
        </w:rPr>
        <w:tab/>
      </w:r>
      <w:r w:rsidR="00B566A9" w:rsidRPr="0097366B">
        <w:rPr>
          <w:rFonts w:cs="Arial"/>
          <w:i/>
          <w:iCs/>
          <w:szCs w:val="22"/>
        </w:rPr>
        <w:t xml:space="preserve">the costs attendant upon the obtaining of payment of the capital amount referred to in paragraph 1 above; </w:t>
      </w:r>
    </w:p>
    <w:p w14:paraId="31CB22C8" w14:textId="77777777" w:rsidR="00B566A9" w:rsidRPr="00B566A9" w:rsidRDefault="00B566A9" w:rsidP="007A7DA3">
      <w:pPr>
        <w:spacing w:line="360" w:lineRule="auto"/>
        <w:jc w:val="both"/>
        <w:rPr>
          <w:rFonts w:cs="Arial"/>
          <w:i/>
          <w:iCs/>
          <w:szCs w:val="22"/>
        </w:rPr>
      </w:pPr>
    </w:p>
    <w:p w14:paraId="59021CD6" w14:textId="257B3B89" w:rsidR="00B566A9" w:rsidRPr="0097366B" w:rsidRDefault="0097366B" w:rsidP="0097366B">
      <w:pPr>
        <w:spacing w:line="360" w:lineRule="auto"/>
        <w:ind w:left="792" w:hanging="432"/>
        <w:jc w:val="both"/>
        <w:rPr>
          <w:rFonts w:cs="Arial"/>
          <w:i/>
          <w:iCs/>
          <w:szCs w:val="22"/>
        </w:rPr>
      </w:pPr>
      <w:r w:rsidRPr="00E4468F">
        <w:rPr>
          <w:rFonts w:cs="Arial"/>
          <w:i/>
          <w:iCs/>
          <w:szCs w:val="22"/>
        </w:rPr>
        <w:t>5.2.</w:t>
      </w:r>
      <w:r w:rsidRPr="00E4468F">
        <w:rPr>
          <w:rFonts w:cs="Arial"/>
          <w:i/>
          <w:iCs/>
          <w:szCs w:val="22"/>
        </w:rPr>
        <w:tab/>
      </w:r>
      <w:r w:rsidR="00B566A9" w:rsidRPr="0097366B">
        <w:rPr>
          <w:rFonts w:cs="Arial"/>
          <w:i/>
          <w:iCs/>
          <w:szCs w:val="22"/>
        </w:rPr>
        <w:t xml:space="preserve">the trial costs up to and including 21 and 22 February 2023; </w:t>
      </w:r>
    </w:p>
    <w:p w14:paraId="411910D7" w14:textId="77777777" w:rsidR="00B566A9" w:rsidRPr="00B566A9" w:rsidRDefault="00B566A9" w:rsidP="007A7DA3">
      <w:pPr>
        <w:spacing w:line="360" w:lineRule="auto"/>
        <w:jc w:val="both"/>
        <w:rPr>
          <w:rFonts w:cs="Arial"/>
          <w:i/>
          <w:iCs/>
          <w:szCs w:val="22"/>
        </w:rPr>
      </w:pPr>
    </w:p>
    <w:p w14:paraId="79A7CC70" w14:textId="52F060A3" w:rsidR="00B566A9" w:rsidRPr="0097366B" w:rsidRDefault="0097366B" w:rsidP="0097366B">
      <w:pPr>
        <w:spacing w:line="360" w:lineRule="auto"/>
        <w:ind w:left="792" w:hanging="432"/>
        <w:jc w:val="both"/>
        <w:rPr>
          <w:rFonts w:cs="Arial"/>
          <w:i/>
          <w:iCs/>
          <w:szCs w:val="22"/>
        </w:rPr>
      </w:pPr>
      <w:r w:rsidRPr="00E4468F">
        <w:rPr>
          <w:rFonts w:cs="Arial"/>
          <w:i/>
          <w:iCs/>
          <w:szCs w:val="22"/>
        </w:rPr>
        <w:t>5.3.</w:t>
      </w:r>
      <w:r w:rsidRPr="00E4468F">
        <w:rPr>
          <w:rFonts w:cs="Arial"/>
          <w:i/>
          <w:iCs/>
          <w:szCs w:val="22"/>
        </w:rPr>
        <w:tab/>
      </w:r>
      <w:r w:rsidR="00B566A9" w:rsidRPr="0097366B">
        <w:rPr>
          <w:rFonts w:cs="Arial"/>
          <w:i/>
          <w:iCs/>
          <w:szCs w:val="22"/>
        </w:rPr>
        <w:t xml:space="preserve">the reasonable costs of the Curatrix ad Litem, inclusive of her report;  </w:t>
      </w:r>
    </w:p>
    <w:p w14:paraId="355AD7B4" w14:textId="77777777" w:rsidR="00B566A9" w:rsidRPr="00B566A9" w:rsidRDefault="00B566A9" w:rsidP="007A7DA3">
      <w:pPr>
        <w:spacing w:line="360" w:lineRule="auto"/>
        <w:jc w:val="both"/>
        <w:rPr>
          <w:rFonts w:cs="Arial"/>
          <w:i/>
          <w:iCs/>
          <w:szCs w:val="22"/>
        </w:rPr>
      </w:pPr>
    </w:p>
    <w:p w14:paraId="7911E755" w14:textId="195A8447" w:rsidR="00B566A9" w:rsidRPr="0097366B" w:rsidRDefault="0097366B" w:rsidP="0097366B">
      <w:pPr>
        <w:spacing w:line="360" w:lineRule="auto"/>
        <w:ind w:left="792" w:hanging="432"/>
        <w:jc w:val="both"/>
        <w:rPr>
          <w:rFonts w:cs="Arial"/>
          <w:i/>
          <w:iCs/>
          <w:szCs w:val="22"/>
        </w:rPr>
      </w:pPr>
      <w:r w:rsidRPr="00E4468F">
        <w:rPr>
          <w:rFonts w:cs="Arial"/>
          <w:i/>
          <w:iCs/>
          <w:szCs w:val="22"/>
        </w:rPr>
        <w:t>5.4.</w:t>
      </w:r>
      <w:r w:rsidRPr="00E4468F">
        <w:rPr>
          <w:rFonts w:cs="Arial"/>
          <w:i/>
          <w:iCs/>
          <w:szCs w:val="22"/>
        </w:rPr>
        <w:tab/>
      </w:r>
      <w:r w:rsidR="00B566A9" w:rsidRPr="0097366B">
        <w:rPr>
          <w:rFonts w:cs="Arial"/>
          <w:i/>
          <w:iCs/>
          <w:szCs w:val="22"/>
        </w:rPr>
        <w:t>the reasonable costs of obtaining the medico-legal reports of all the Plaintiff’s experts. Such expert reports to include, but are not limited to Dr. Scher, Dr. Burger, Dr. Townsend, Dr. Makua, Ms. Da Costa, Ms. Mattheus, Ms. Fletcher, Ms. Leibowitz, and Mr. Loots, if any as may be agreed or allowed by the Taxing Master; and</w:t>
      </w:r>
    </w:p>
    <w:p w14:paraId="3EE4AB01" w14:textId="77777777" w:rsidR="00B566A9" w:rsidRPr="00B566A9" w:rsidRDefault="00B566A9" w:rsidP="007A7DA3">
      <w:pPr>
        <w:spacing w:line="360" w:lineRule="auto"/>
        <w:jc w:val="both"/>
        <w:rPr>
          <w:rFonts w:cs="Arial"/>
          <w:i/>
          <w:iCs/>
          <w:szCs w:val="22"/>
        </w:rPr>
      </w:pPr>
    </w:p>
    <w:p w14:paraId="65811A68" w14:textId="1F81B0EA" w:rsidR="00B566A9" w:rsidRPr="0097366B" w:rsidRDefault="0097366B" w:rsidP="0097366B">
      <w:pPr>
        <w:spacing w:line="360" w:lineRule="auto"/>
        <w:ind w:left="792" w:hanging="432"/>
        <w:jc w:val="both"/>
        <w:rPr>
          <w:rFonts w:cs="Arial"/>
          <w:i/>
          <w:iCs/>
          <w:szCs w:val="22"/>
        </w:rPr>
      </w:pPr>
      <w:r w:rsidRPr="00E4468F">
        <w:rPr>
          <w:rFonts w:cs="Arial"/>
          <w:i/>
          <w:iCs/>
          <w:szCs w:val="22"/>
        </w:rPr>
        <w:lastRenderedPageBreak/>
        <w:t>5.5.</w:t>
      </w:r>
      <w:r w:rsidRPr="00E4468F">
        <w:rPr>
          <w:rFonts w:cs="Arial"/>
          <w:i/>
          <w:iCs/>
          <w:szCs w:val="22"/>
        </w:rPr>
        <w:tab/>
      </w:r>
      <w:r w:rsidR="00B566A9" w:rsidRPr="0097366B">
        <w:rPr>
          <w:rFonts w:cs="Arial"/>
          <w:i/>
          <w:iCs/>
          <w:szCs w:val="22"/>
        </w:rPr>
        <w:t>the reasonable qualifying and reservation fees, if any, of the following expert witnesses of whom Notice had been given by the Plaintiff in terms of Rule 36(9)(a) and (b), namely Ms. Mattheus, Ms. Fletcher, and Ms. Leibowitz;</w:t>
      </w:r>
    </w:p>
    <w:p w14:paraId="24DEE7D7" w14:textId="77777777" w:rsidR="00B566A9" w:rsidRPr="00B566A9" w:rsidRDefault="00B566A9" w:rsidP="00E4468F">
      <w:pPr>
        <w:spacing w:line="360" w:lineRule="auto"/>
        <w:jc w:val="both"/>
        <w:rPr>
          <w:rFonts w:cs="Arial"/>
          <w:i/>
          <w:iCs/>
          <w:szCs w:val="22"/>
        </w:rPr>
      </w:pPr>
    </w:p>
    <w:p w14:paraId="1670F7B4" w14:textId="14CF3926" w:rsidR="00B566A9" w:rsidRPr="0097366B" w:rsidRDefault="0097366B" w:rsidP="0097366B">
      <w:pPr>
        <w:spacing w:line="360" w:lineRule="auto"/>
        <w:ind w:left="360" w:hanging="360"/>
        <w:jc w:val="both"/>
        <w:rPr>
          <w:rFonts w:cs="Arial"/>
          <w:i/>
          <w:iCs/>
          <w:szCs w:val="22"/>
        </w:rPr>
      </w:pPr>
      <w:r w:rsidRPr="00E4468F">
        <w:rPr>
          <w:rFonts w:cs="Arial"/>
          <w:i/>
          <w:iCs/>
          <w:szCs w:val="22"/>
        </w:rPr>
        <w:t>6.</w:t>
      </w:r>
      <w:r w:rsidRPr="00E4468F">
        <w:rPr>
          <w:rFonts w:cs="Arial"/>
          <w:i/>
          <w:iCs/>
          <w:szCs w:val="22"/>
        </w:rPr>
        <w:tab/>
      </w:r>
      <w:r w:rsidR="00B566A9" w:rsidRPr="0097366B">
        <w:rPr>
          <w:rFonts w:cs="Arial"/>
          <w:i/>
          <w:iCs/>
          <w:szCs w:val="22"/>
        </w:rPr>
        <w:t xml:space="preserve">the Plaintiff’s attorneys shall serve the notice of taxation on the Defendant’s attorneys and shall allow the Defendant 30 (THIRTY) court days within which to make payment of such costs. </w:t>
      </w:r>
    </w:p>
    <w:p w14:paraId="06DB6AA4" w14:textId="77777777" w:rsidR="00B566A9" w:rsidRPr="00B566A9" w:rsidRDefault="00B566A9" w:rsidP="00E4468F">
      <w:pPr>
        <w:spacing w:line="360" w:lineRule="auto"/>
        <w:jc w:val="both"/>
        <w:rPr>
          <w:rFonts w:cs="Arial"/>
          <w:i/>
          <w:iCs/>
          <w:szCs w:val="22"/>
        </w:rPr>
      </w:pPr>
    </w:p>
    <w:p w14:paraId="2A96DC89" w14:textId="1D0A3F8B" w:rsidR="00B566A9" w:rsidRPr="0097366B" w:rsidRDefault="0097366B" w:rsidP="0097366B">
      <w:pPr>
        <w:spacing w:line="360" w:lineRule="auto"/>
        <w:ind w:left="360" w:hanging="360"/>
        <w:jc w:val="both"/>
        <w:rPr>
          <w:rFonts w:cs="Arial"/>
          <w:i/>
          <w:iCs/>
          <w:szCs w:val="22"/>
        </w:rPr>
      </w:pPr>
      <w:r w:rsidRPr="00E4468F">
        <w:rPr>
          <w:rFonts w:cs="Arial"/>
          <w:i/>
          <w:iCs/>
          <w:szCs w:val="22"/>
        </w:rPr>
        <w:t>7.</w:t>
      </w:r>
      <w:r w:rsidRPr="00E4468F">
        <w:rPr>
          <w:rFonts w:cs="Arial"/>
          <w:i/>
          <w:iCs/>
          <w:szCs w:val="22"/>
        </w:rPr>
        <w:tab/>
      </w:r>
      <w:r w:rsidR="00B566A9" w:rsidRPr="0097366B">
        <w:rPr>
          <w:rFonts w:cs="Arial"/>
          <w:i/>
          <w:iCs/>
          <w:szCs w:val="22"/>
        </w:rPr>
        <w:t>The requisite steps shall be taken by the Plaintiff’s Attorneys with a view to forming a trust to, inter alia, administer and/or manage the financial affairs of the patient and that such trust shall be formed within 6 (SIX) months of the date of this order.</w:t>
      </w:r>
    </w:p>
    <w:p w14:paraId="78974E21" w14:textId="77777777" w:rsidR="00B566A9" w:rsidRPr="00B566A9" w:rsidRDefault="00B566A9" w:rsidP="00E4468F">
      <w:pPr>
        <w:spacing w:line="360" w:lineRule="auto"/>
        <w:jc w:val="both"/>
        <w:rPr>
          <w:rFonts w:cs="Arial"/>
          <w:i/>
          <w:iCs/>
          <w:szCs w:val="22"/>
        </w:rPr>
      </w:pPr>
    </w:p>
    <w:p w14:paraId="5F9D4A70" w14:textId="40BFE598" w:rsidR="00B566A9" w:rsidRPr="0097366B" w:rsidRDefault="0097366B" w:rsidP="0097366B">
      <w:pPr>
        <w:spacing w:line="360" w:lineRule="auto"/>
        <w:ind w:left="360" w:hanging="360"/>
        <w:jc w:val="both"/>
        <w:rPr>
          <w:rFonts w:cs="Arial"/>
          <w:i/>
          <w:iCs/>
          <w:szCs w:val="22"/>
        </w:rPr>
      </w:pPr>
      <w:r w:rsidRPr="00E4468F">
        <w:rPr>
          <w:rFonts w:cs="Arial"/>
          <w:i/>
          <w:iCs/>
          <w:szCs w:val="22"/>
        </w:rPr>
        <w:t>8.</w:t>
      </w:r>
      <w:r w:rsidRPr="00E4468F">
        <w:rPr>
          <w:rFonts w:cs="Arial"/>
          <w:i/>
          <w:iCs/>
          <w:szCs w:val="22"/>
        </w:rPr>
        <w:tab/>
      </w:r>
      <w:r w:rsidR="00B566A9" w:rsidRPr="0097366B">
        <w:rPr>
          <w:rFonts w:cs="Arial"/>
          <w:i/>
          <w:iCs/>
          <w:szCs w:val="22"/>
        </w:rPr>
        <w:t>The trust instrument shall provide for the following as a minimum:-</w:t>
      </w:r>
    </w:p>
    <w:p w14:paraId="303D8DAB" w14:textId="77777777" w:rsidR="00B566A9" w:rsidRPr="00B566A9" w:rsidRDefault="00B566A9" w:rsidP="00E4468F">
      <w:pPr>
        <w:spacing w:line="360" w:lineRule="auto"/>
        <w:jc w:val="both"/>
        <w:rPr>
          <w:rFonts w:cs="Arial"/>
          <w:i/>
          <w:iCs/>
          <w:szCs w:val="22"/>
        </w:rPr>
      </w:pPr>
    </w:p>
    <w:p w14:paraId="4470B0F0" w14:textId="7B8C7714" w:rsidR="00B566A9" w:rsidRPr="0097366B" w:rsidRDefault="0097366B" w:rsidP="0097366B">
      <w:pPr>
        <w:spacing w:line="360" w:lineRule="auto"/>
        <w:ind w:left="792" w:hanging="432"/>
        <w:jc w:val="both"/>
        <w:rPr>
          <w:rFonts w:cs="Arial"/>
          <w:i/>
          <w:iCs/>
          <w:szCs w:val="22"/>
        </w:rPr>
      </w:pPr>
      <w:r w:rsidRPr="00E4468F">
        <w:rPr>
          <w:rFonts w:cs="Arial"/>
          <w:i/>
          <w:iCs/>
          <w:szCs w:val="22"/>
        </w:rPr>
        <w:t>8.1.</w:t>
      </w:r>
      <w:r w:rsidRPr="00E4468F">
        <w:rPr>
          <w:rFonts w:cs="Arial"/>
          <w:i/>
          <w:iCs/>
          <w:szCs w:val="22"/>
        </w:rPr>
        <w:tab/>
      </w:r>
      <w:r w:rsidR="00B566A9" w:rsidRPr="0097366B">
        <w:rPr>
          <w:rFonts w:cs="Arial"/>
          <w:i/>
          <w:iCs/>
          <w:szCs w:val="22"/>
        </w:rPr>
        <w:t xml:space="preserve">there shall be a minimum of two trustees and a maximum of three, of which at least one shall be a qualified professional person; to the extent possible and practical, an adult family member of the Plaintiff, more particularly the patient’s sister, NONHLANHLA MBOKAZI shall be appointed as one of the trustees and she shall be exempt from providing security to the satisfaction of the master; </w:t>
      </w:r>
    </w:p>
    <w:p w14:paraId="3240BC88" w14:textId="77777777" w:rsidR="00B566A9" w:rsidRPr="00B566A9" w:rsidRDefault="00B566A9" w:rsidP="00E4468F">
      <w:pPr>
        <w:spacing w:line="360" w:lineRule="auto"/>
        <w:jc w:val="both"/>
        <w:rPr>
          <w:rFonts w:cs="Arial"/>
          <w:i/>
          <w:iCs/>
          <w:szCs w:val="22"/>
        </w:rPr>
      </w:pPr>
    </w:p>
    <w:p w14:paraId="788D82F9" w14:textId="3D062A67" w:rsidR="00B566A9" w:rsidRPr="0097366B" w:rsidRDefault="0097366B" w:rsidP="0097366B">
      <w:pPr>
        <w:spacing w:line="360" w:lineRule="auto"/>
        <w:ind w:left="792" w:hanging="432"/>
        <w:jc w:val="both"/>
        <w:rPr>
          <w:rFonts w:cs="Arial"/>
          <w:i/>
          <w:iCs/>
          <w:szCs w:val="22"/>
        </w:rPr>
      </w:pPr>
      <w:r w:rsidRPr="00E4468F">
        <w:rPr>
          <w:rFonts w:cs="Arial"/>
          <w:i/>
          <w:iCs/>
          <w:szCs w:val="22"/>
        </w:rPr>
        <w:t>8.2.</w:t>
      </w:r>
      <w:r w:rsidRPr="00E4468F">
        <w:rPr>
          <w:rFonts w:cs="Arial"/>
          <w:i/>
          <w:iCs/>
          <w:szCs w:val="22"/>
        </w:rPr>
        <w:tab/>
      </w:r>
      <w:r w:rsidR="00B566A9" w:rsidRPr="0097366B">
        <w:rPr>
          <w:rFonts w:cs="Arial"/>
          <w:i/>
          <w:iCs/>
          <w:szCs w:val="22"/>
        </w:rPr>
        <w:t>if the number of trustees drops below the prescribed minimum the remaining trustees are prohibited from acting other than to appoint a replacement trustee;</w:t>
      </w:r>
    </w:p>
    <w:p w14:paraId="67E674EE" w14:textId="77777777" w:rsidR="00B566A9" w:rsidRPr="00B566A9" w:rsidRDefault="00B566A9" w:rsidP="00E4468F">
      <w:pPr>
        <w:spacing w:line="360" w:lineRule="auto"/>
        <w:jc w:val="both"/>
        <w:rPr>
          <w:rFonts w:cs="Arial"/>
          <w:i/>
          <w:iCs/>
          <w:szCs w:val="22"/>
        </w:rPr>
      </w:pPr>
    </w:p>
    <w:p w14:paraId="0F20ACA6" w14:textId="4B6FF185" w:rsidR="00B566A9" w:rsidRPr="0097366B" w:rsidRDefault="0097366B" w:rsidP="0097366B">
      <w:pPr>
        <w:spacing w:line="360" w:lineRule="auto"/>
        <w:ind w:left="792" w:hanging="432"/>
        <w:jc w:val="both"/>
        <w:rPr>
          <w:rFonts w:cs="Arial"/>
          <w:i/>
          <w:iCs/>
          <w:szCs w:val="22"/>
        </w:rPr>
      </w:pPr>
      <w:r w:rsidRPr="00E4468F">
        <w:rPr>
          <w:rFonts w:cs="Arial"/>
          <w:i/>
          <w:iCs/>
          <w:szCs w:val="22"/>
        </w:rPr>
        <w:t>8.3.</w:t>
      </w:r>
      <w:r w:rsidRPr="00E4468F">
        <w:rPr>
          <w:rFonts w:cs="Arial"/>
          <w:i/>
          <w:iCs/>
          <w:szCs w:val="22"/>
        </w:rPr>
        <w:tab/>
      </w:r>
      <w:r w:rsidR="00B566A9" w:rsidRPr="0097366B">
        <w:rPr>
          <w:rFonts w:cs="Arial"/>
          <w:i/>
          <w:iCs/>
          <w:szCs w:val="22"/>
        </w:rPr>
        <w:t>the composition of the board of trustees and the voting rights shall be such that any single trustee cannot be outvoted in relation to management of trust assets by any other trustee who has a personal interest in the manner in which the trust is managed;</w:t>
      </w:r>
    </w:p>
    <w:p w14:paraId="738C1C24" w14:textId="77777777" w:rsidR="00B566A9" w:rsidRPr="00B566A9" w:rsidRDefault="00B566A9" w:rsidP="00E4468F">
      <w:pPr>
        <w:spacing w:line="360" w:lineRule="auto"/>
        <w:jc w:val="both"/>
        <w:rPr>
          <w:rFonts w:cs="Arial"/>
          <w:i/>
          <w:iCs/>
          <w:szCs w:val="22"/>
        </w:rPr>
      </w:pPr>
    </w:p>
    <w:p w14:paraId="612087FD" w14:textId="70C632E3" w:rsidR="00B566A9" w:rsidRPr="0097366B" w:rsidRDefault="0097366B" w:rsidP="0097366B">
      <w:pPr>
        <w:spacing w:line="360" w:lineRule="auto"/>
        <w:ind w:left="792" w:hanging="432"/>
        <w:jc w:val="both"/>
        <w:rPr>
          <w:rFonts w:cs="Arial"/>
          <w:i/>
          <w:iCs/>
          <w:szCs w:val="22"/>
        </w:rPr>
      </w:pPr>
      <w:r w:rsidRPr="00E4468F">
        <w:rPr>
          <w:rFonts w:cs="Arial"/>
          <w:i/>
          <w:iCs/>
          <w:szCs w:val="22"/>
        </w:rPr>
        <w:t>8.4.</w:t>
      </w:r>
      <w:r w:rsidRPr="00E4468F">
        <w:rPr>
          <w:rFonts w:cs="Arial"/>
          <w:i/>
          <w:iCs/>
          <w:szCs w:val="22"/>
        </w:rPr>
        <w:tab/>
      </w:r>
      <w:r w:rsidR="00B566A9" w:rsidRPr="0097366B">
        <w:rPr>
          <w:rFonts w:cs="Arial"/>
          <w:i/>
          <w:iCs/>
          <w:szCs w:val="22"/>
        </w:rPr>
        <w:t>the powers and authority of the trustees shall not exceed those usually granted to trustees of special trusts;</w:t>
      </w:r>
    </w:p>
    <w:p w14:paraId="380DD8F1" w14:textId="77777777" w:rsidR="00B566A9" w:rsidRPr="00B566A9" w:rsidRDefault="00B566A9" w:rsidP="00E4468F">
      <w:pPr>
        <w:spacing w:line="360" w:lineRule="auto"/>
        <w:jc w:val="both"/>
        <w:rPr>
          <w:rFonts w:cs="Arial"/>
          <w:i/>
          <w:iCs/>
          <w:szCs w:val="22"/>
        </w:rPr>
      </w:pPr>
    </w:p>
    <w:p w14:paraId="06485BD6" w14:textId="14DBA8F1" w:rsidR="00B566A9" w:rsidRPr="0097366B" w:rsidRDefault="0097366B" w:rsidP="0097366B">
      <w:pPr>
        <w:spacing w:line="360" w:lineRule="auto"/>
        <w:ind w:left="792" w:hanging="432"/>
        <w:jc w:val="both"/>
        <w:rPr>
          <w:rFonts w:cs="Arial"/>
          <w:i/>
          <w:iCs/>
          <w:szCs w:val="22"/>
        </w:rPr>
      </w:pPr>
      <w:r w:rsidRPr="00E4468F">
        <w:rPr>
          <w:rFonts w:cs="Arial"/>
          <w:i/>
          <w:iCs/>
          <w:szCs w:val="22"/>
        </w:rPr>
        <w:t>8.5.</w:t>
      </w:r>
      <w:r w:rsidRPr="00E4468F">
        <w:rPr>
          <w:rFonts w:cs="Arial"/>
          <w:i/>
          <w:iCs/>
          <w:szCs w:val="22"/>
        </w:rPr>
        <w:tab/>
      </w:r>
      <w:r w:rsidR="00B566A9" w:rsidRPr="0097366B">
        <w:rPr>
          <w:rFonts w:cs="Arial"/>
          <w:i/>
          <w:iCs/>
          <w:szCs w:val="22"/>
        </w:rPr>
        <w:t>procedures to resolve any potential disputes, subject to the review of any decision made in accordance therewith by this Honourable Court;</w:t>
      </w:r>
    </w:p>
    <w:p w14:paraId="20F7E2C2" w14:textId="77777777" w:rsidR="00B566A9" w:rsidRPr="00B566A9" w:rsidRDefault="00B566A9" w:rsidP="00E4468F">
      <w:pPr>
        <w:spacing w:line="360" w:lineRule="auto"/>
        <w:jc w:val="both"/>
        <w:rPr>
          <w:rFonts w:cs="Arial"/>
          <w:i/>
          <w:iCs/>
          <w:szCs w:val="22"/>
        </w:rPr>
      </w:pPr>
    </w:p>
    <w:p w14:paraId="60C2E0ED" w14:textId="518F7527" w:rsidR="00B566A9" w:rsidRPr="0097366B" w:rsidRDefault="0097366B" w:rsidP="0097366B">
      <w:pPr>
        <w:spacing w:line="360" w:lineRule="auto"/>
        <w:ind w:left="792" w:hanging="432"/>
        <w:jc w:val="both"/>
        <w:rPr>
          <w:rFonts w:cs="Arial"/>
          <w:i/>
          <w:iCs/>
          <w:szCs w:val="22"/>
        </w:rPr>
      </w:pPr>
      <w:r w:rsidRPr="00E4468F">
        <w:rPr>
          <w:rFonts w:cs="Arial"/>
          <w:i/>
          <w:iCs/>
          <w:szCs w:val="22"/>
        </w:rPr>
        <w:t>8.6.</w:t>
      </w:r>
      <w:r w:rsidRPr="00E4468F">
        <w:rPr>
          <w:rFonts w:cs="Arial"/>
          <w:i/>
          <w:iCs/>
          <w:szCs w:val="22"/>
        </w:rPr>
        <w:tab/>
      </w:r>
      <w:r w:rsidR="00B566A9" w:rsidRPr="0097366B">
        <w:rPr>
          <w:rFonts w:cs="Arial"/>
          <w:i/>
          <w:iCs/>
          <w:szCs w:val="22"/>
        </w:rPr>
        <w:t>the trust should be stated to have the purpose of administering the funds in a manner which best takes account of the interests of the patient;</w:t>
      </w:r>
    </w:p>
    <w:p w14:paraId="2F3BC3A2" w14:textId="77777777" w:rsidR="00B566A9" w:rsidRPr="00B566A9" w:rsidRDefault="00B566A9" w:rsidP="00E4468F">
      <w:pPr>
        <w:spacing w:line="360" w:lineRule="auto"/>
        <w:jc w:val="both"/>
        <w:rPr>
          <w:rFonts w:cs="Arial"/>
          <w:i/>
          <w:iCs/>
          <w:szCs w:val="22"/>
        </w:rPr>
      </w:pPr>
    </w:p>
    <w:p w14:paraId="22CCE808" w14:textId="24FA7ECD" w:rsidR="00B566A9" w:rsidRPr="0097366B" w:rsidRDefault="0097366B" w:rsidP="0097366B">
      <w:pPr>
        <w:spacing w:line="360" w:lineRule="auto"/>
        <w:ind w:left="792" w:hanging="432"/>
        <w:jc w:val="both"/>
        <w:rPr>
          <w:rFonts w:cs="Arial"/>
          <w:i/>
          <w:iCs/>
          <w:szCs w:val="22"/>
        </w:rPr>
      </w:pPr>
      <w:r w:rsidRPr="00E4468F">
        <w:rPr>
          <w:rFonts w:cs="Arial"/>
          <w:i/>
          <w:iCs/>
          <w:szCs w:val="22"/>
        </w:rPr>
        <w:lastRenderedPageBreak/>
        <w:t>8.7.</w:t>
      </w:r>
      <w:r w:rsidRPr="00E4468F">
        <w:rPr>
          <w:rFonts w:cs="Arial"/>
          <w:i/>
          <w:iCs/>
          <w:szCs w:val="22"/>
        </w:rPr>
        <w:tab/>
      </w:r>
      <w:r w:rsidR="00B566A9" w:rsidRPr="0097366B">
        <w:rPr>
          <w:rFonts w:cs="Arial"/>
          <w:i/>
          <w:iCs/>
          <w:szCs w:val="22"/>
        </w:rPr>
        <w:t>the separation of the property of the trustee/s from the trust property;</w:t>
      </w:r>
    </w:p>
    <w:p w14:paraId="29EE4E01" w14:textId="77777777" w:rsidR="00B566A9" w:rsidRPr="00B566A9" w:rsidRDefault="00B566A9" w:rsidP="00E4468F">
      <w:pPr>
        <w:spacing w:line="360" w:lineRule="auto"/>
        <w:jc w:val="both"/>
        <w:rPr>
          <w:rFonts w:cs="Arial"/>
          <w:i/>
          <w:iCs/>
          <w:szCs w:val="22"/>
        </w:rPr>
      </w:pPr>
    </w:p>
    <w:p w14:paraId="363340B3" w14:textId="30FBF186" w:rsidR="00B566A9" w:rsidRPr="0097366B" w:rsidRDefault="0097366B" w:rsidP="0097366B">
      <w:pPr>
        <w:spacing w:line="360" w:lineRule="auto"/>
        <w:ind w:left="792" w:hanging="432"/>
        <w:jc w:val="both"/>
        <w:rPr>
          <w:rFonts w:cs="Arial"/>
          <w:i/>
          <w:iCs/>
          <w:szCs w:val="22"/>
        </w:rPr>
      </w:pPr>
      <w:r w:rsidRPr="00E4468F">
        <w:rPr>
          <w:rFonts w:cs="Arial"/>
          <w:i/>
          <w:iCs/>
          <w:szCs w:val="22"/>
        </w:rPr>
        <w:t>8.8.</w:t>
      </w:r>
      <w:r w:rsidRPr="00E4468F">
        <w:rPr>
          <w:rFonts w:cs="Arial"/>
          <w:i/>
          <w:iCs/>
          <w:szCs w:val="22"/>
        </w:rPr>
        <w:tab/>
      </w:r>
      <w:r w:rsidR="00B566A9" w:rsidRPr="0097366B">
        <w:rPr>
          <w:rFonts w:cs="Arial"/>
          <w:i/>
          <w:iCs/>
          <w:szCs w:val="22"/>
        </w:rPr>
        <w:t>ownership of the trust property vests in the trustee/s in their capacity as trustee/s;</w:t>
      </w:r>
    </w:p>
    <w:p w14:paraId="6745DFAD" w14:textId="77777777" w:rsidR="00B566A9" w:rsidRPr="00B566A9" w:rsidRDefault="00B566A9" w:rsidP="00E4468F">
      <w:pPr>
        <w:spacing w:line="360" w:lineRule="auto"/>
        <w:jc w:val="both"/>
        <w:rPr>
          <w:rFonts w:cs="Arial"/>
          <w:i/>
          <w:iCs/>
          <w:szCs w:val="22"/>
        </w:rPr>
      </w:pPr>
    </w:p>
    <w:p w14:paraId="7EA2E914" w14:textId="2F8F08E8" w:rsidR="00B566A9" w:rsidRPr="0097366B" w:rsidRDefault="0097366B" w:rsidP="0097366B">
      <w:pPr>
        <w:spacing w:line="360" w:lineRule="auto"/>
        <w:ind w:left="792" w:hanging="432"/>
        <w:jc w:val="both"/>
        <w:rPr>
          <w:rFonts w:cs="Arial"/>
          <w:i/>
          <w:iCs/>
          <w:szCs w:val="22"/>
        </w:rPr>
      </w:pPr>
      <w:r w:rsidRPr="00E4468F">
        <w:rPr>
          <w:rFonts w:cs="Arial"/>
          <w:i/>
          <w:iCs/>
          <w:szCs w:val="22"/>
        </w:rPr>
        <w:t>8.9.</w:t>
      </w:r>
      <w:r w:rsidRPr="00E4468F">
        <w:rPr>
          <w:rFonts w:cs="Arial"/>
          <w:i/>
          <w:iCs/>
          <w:szCs w:val="22"/>
        </w:rPr>
        <w:tab/>
      </w:r>
      <w:r w:rsidR="00B566A9" w:rsidRPr="0097366B">
        <w:rPr>
          <w:rFonts w:cs="Arial"/>
          <w:i/>
          <w:iCs/>
          <w:szCs w:val="22"/>
        </w:rPr>
        <w:t>the independent trustee/s (other than the family member above) shall provide security to the satisfaction of The Master in terms of Section 6(2)(a) of the Trust Property Control Act, 57 of 1988;</w:t>
      </w:r>
    </w:p>
    <w:p w14:paraId="4AD4A06C" w14:textId="77777777" w:rsidR="00B566A9" w:rsidRPr="00B566A9" w:rsidRDefault="00B566A9" w:rsidP="00E4468F">
      <w:pPr>
        <w:spacing w:line="360" w:lineRule="auto"/>
        <w:jc w:val="both"/>
        <w:rPr>
          <w:rFonts w:cs="Arial"/>
          <w:i/>
          <w:iCs/>
          <w:szCs w:val="22"/>
        </w:rPr>
      </w:pPr>
    </w:p>
    <w:p w14:paraId="5A1B2853" w14:textId="33796739" w:rsidR="00B566A9" w:rsidRPr="0097366B" w:rsidRDefault="0097366B" w:rsidP="0097366B">
      <w:pPr>
        <w:spacing w:line="360" w:lineRule="auto"/>
        <w:ind w:left="792" w:hanging="432"/>
        <w:jc w:val="both"/>
        <w:rPr>
          <w:rFonts w:cs="Arial"/>
          <w:i/>
          <w:iCs/>
          <w:szCs w:val="22"/>
        </w:rPr>
      </w:pPr>
      <w:r w:rsidRPr="00E4468F">
        <w:rPr>
          <w:rFonts w:cs="Arial"/>
          <w:i/>
          <w:iCs/>
          <w:szCs w:val="22"/>
        </w:rPr>
        <w:t>8.10.</w:t>
      </w:r>
      <w:r w:rsidRPr="00E4468F">
        <w:rPr>
          <w:rFonts w:cs="Arial"/>
          <w:i/>
          <w:iCs/>
          <w:szCs w:val="22"/>
        </w:rPr>
        <w:tab/>
      </w:r>
      <w:r w:rsidR="00B566A9" w:rsidRPr="0097366B">
        <w:rPr>
          <w:rFonts w:cs="Arial"/>
          <w:i/>
          <w:iCs/>
          <w:szCs w:val="22"/>
        </w:rPr>
        <w:t>amendment of the trust instrument shall be subject to the leave of the above Honourable Court;</w:t>
      </w:r>
    </w:p>
    <w:p w14:paraId="5EE6D0DE" w14:textId="77777777" w:rsidR="00B566A9" w:rsidRPr="00B566A9" w:rsidRDefault="00B566A9" w:rsidP="00E4468F">
      <w:pPr>
        <w:spacing w:line="360" w:lineRule="auto"/>
        <w:jc w:val="both"/>
        <w:rPr>
          <w:rFonts w:cs="Arial"/>
          <w:i/>
          <w:iCs/>
          <w:szCs w:val="22"/>
        </w:rPr>
      </w:pPr>
    </w:p>
    <w:p w14:paraId="57E7B0E2" w14:textId="27FDC80B" w:rsidR="00B566A9" w:rsidRPr="0097366B" w:rsidRDefault="0097366B" w:rsidP="0097366B">
      <w:pPr>
        <w:spacing w:line="360" w:lineRule="auto"/>
        <w:ind w:left="792" w:hanging="432"/>
        <w:jc w:val="both"/>
        <w:rPr>
          <w:rFonts w:cs="Arial"/>
          <w:i/>
          <w:iCs/>
          <w:szCs w:val="22"/>
        </w:rPr>
      </w:pPr>
      <w:r w:rsidRPr="00E4468F">
        <w:rPr>
          <w:rFonts w:cs="Arial"/>
          <w:i/>
          <w:iCs/>
          <w:szCs w:val="22"/>
        </w:rPr>
        <w:t>8.11.</w:t>
      </w:r>
      <w:r w:rsidRPr="00E4468F">
        <w:rPr>
          <w:rFonts w:cs="Arial"/>
          <w:i/>
          <w:iCs/>
          <w:szCs w:val="22"/>
        </w:rPr>
        <w:tab/>
      </w:r>
      <w:r w:rsidR="00B566A9" w:rsidRPr="0097366B">
        <w:rPr>
          <w:rFonts w:cs="Arial"/>
          <w:i/>
          <w:iCs/>
          <w:szCs w:val="22"/>
        </w:rPr>
        <w:t>the trustee/s is authorised to recover the remuneration of and cost incurred by the trustee/s in administering the Section 17(4)(a) RAF undertaking in accordance with the undertaking;</w:t>
      </w:r>
    </w:p>
    <w:p w14:paraId="6E79BEF1" w14:textId="77777777" w:rsidR="00B566A9" w:rsidRPr="00B566A9" w:rsidRDefault="00B566A9" w:rsidP="00E4468F">
      <w:pPr>
        <w:spacing w:line="360" w:lineRule="auto"/>
        <w:jc w:val="both"/>
        <w:rPr>
          <w:rFonts w:cs="Arial"/>
          <w:i/>
          <w:iCs/>
          <w:szCs w:val="22"/>
        </w:rPr>
      </w:pPr>
    </w:p>
    <w:p w14:paraId="4F9F1285" w14:textId="7E26C830" w:rsidR="00B566A9" w:rsidRPr="0097366B" w:rsidRDefault="0097366B" w:rsidP="0097366B">
      <w:pPr>
        <w:spacing w:line="360" w:lineRule="auto"/>
        <w:ind w:left="792" w:hanging="432"/>
        <w:jc w:val="both"/>
        <w:rPr>
          <w:rFonts w:cs="Arial"/>
          <w:i/>
          <w:iCs/>
          <w:szCs w:val="22"/>
        </w:rPr>
      </w:pPr>
      <w:r w:rsidRPr="00E4468F">
        <w:rPr>
          <w:rFonts w:cs="Arial"/>
          <w:i/>
          <w:iCs/>
          <w:szCs w:val="22"/>
        </w:rPr>
        <w:t>8.12.</w:t>
      </w:r>
      <w:r w:rsidRPr="00E4468F">
        <w:rPr>
          <w:rFonts w:cs="Arial"/>
          <w:i/>
          <w:iCs/>
          <w:szCs w:val="22"/>
        </w:rPr>
        <w:tab/>
      </w:r>
      <w:r w:rsidR="00B566A9" w:rsidRPr="0097366B">
        <w:rPr>
          <w:rFonts w:cs="Arial"/>
          <w:i/>
          <w:iCs/>
          <w:szCs w:val="22"/>
        </w:rPr>
        <w:t>the patient shall be the sole income and capital beneficiary;</w:t>
      </w:r>
    </w:p>
    <w:p w14:paraId="2496529B" w14:textId="77777777" w:rsidR="00B566A9" w:rsidRPr="00B566A9" w:rsidRDefault="00B566A9" w:rsidP="00E4468F">
      <w:pPr>
        <w:spacing w:line="360" w:lineRule="auto"/>
        <w:jc w:val="both"/>
        <w:rPr>
          <w:rFonts w:cs="Arial"/>
          <w:i/>
          <w:iCs/>
          <w:szCs w:val="22"/>
        </w:rPr>
      </w:pPr>
    </w:p>
    <w:p w14:paraId="35EBD96E" w14:textId="08951B66" w:rsidR="00B566A9" w:rsidRPr="0097366B" w:rsidRDefault="0097366B" w:rsidP="0097366B">
      <w:pPr>
        <w:spacing w:line="360" w:lineRule="auto"/>
        <w:ind w:left="792" w:hanging="432"/>
        <w:jc w:val="both"/>
        <w:rPr>
          <w:rFonts w:cs="Arial"/>
          <w:i/>
          <w:iCs/>
          <w:szCs w:val="22"/>
        </w:rPr>
      </w:pPr>
      <w:r w:rsidRPr="00E4468F">
        <w:rPr>
          <w:rFonts w:cs="Arial"/>
          <w:i/>
          <w:iCs/>
          <w:szCs w:val="22"/>
        </w:rPr>
        <w:t>8.13.</w:t>
      </w:r>
      <w:r w:rsidRPr="00E4468F">
        <w:rPr>
          <w:rFonts w:cs="Arial"/>
          <w:i/>
          <w:iCs/>
          <w:szCs w:val="22"/>
        </w:rPr>
        <w:tab/>
      </w:r>
      <w:r w:rsidR="00B566A9" w:rsidRPr="0097366B">
        <w:rPr>
          <w:rFonts w:cs="Arial"/>
          <w:i/>
          <w:iCs/>
          <w:szCs w:val="22"/>
        </w:rPr>
        <w:t>the trust property is excluded from any community of property in the event of the marriage of the patient;</w:t>
      </w:r>
    </w:p>
    <w:p w14:paraId="340111A0" w14:textId="77777777" w:rsidR="00B566A9" w:rsidRPr="00B566A9" w:rsidRDefault="00B566A9" w:rsidP="00E4468F">
      <w:pPr>
        <w:spacing w:line="360" w:lineRule="auto"/>
        <w:jc w:val="both"/>
        <w:rPr>
          <w:rFonts w:cs="Arial"/>
          <w:i/>
          <w:iCs/>
          <w:szCs w:val="22"/>
        </w:rPr>
      </w:pPr>
    </w:p>
    <w:p w14:paraId="280DF79A" w14:textId="5AF51EE3" w:rsidR="00B566A9" w:rsidRPr="0097366B" w:rsidRDefault="0097366B" w:rsidP="0097366B">
      <w:pPr>
        <w:spacing w:line="360" w:lineRule="auto"/>
        <w:ind w:left="792" w:hanging="432"/>
        <w:jc w:val="both"/>
        <w:rPr>
          <w:rFonts w:cs="Arial"/>
          <w:i/>
          <w:iCs/>
          <w:szCs w:val="22"/>
        </w:rPr>
      </w:pPr>
      <w:r w:rsidRPr="00E4468F">
        <w:rPr>
          <w:rFonts w:cs="Arial"/>
          <w:i/>
          <w:iCs/>
          <w:szCs w:val="22"/>
        </w:rPr>
        <w:t>8.14.</w:t>
      </w:r>
      <w:r w:rsidRPr="00E4468F">
        <w:rPr>
          <w:rFonts w:cs="Arial"/>
          <w:i/>
          <w:iCs/>
          <w:szCs w:val="22"/>
        </w:rPr>
        <w:tab/>
      </w:r>
      <w:r w:rsidR="00B566A9" w:rsidRPr="0097366B">
        <w:rPr>
          <w:rFonts w:cs="Arial"/>
          <w:i/>
          <w:iCs/>
          <w:szCs w:val="22"/>
        </w:rPr>
        <w:t>the trust shall terminate on the death of the patient whereafter the trust assets shall devolve on the patient’s estate;</w:t>
      </w:r>
    </w:p>
    <w:p w14:paraId="3AE08592" w14:textId="77777777" w:rsidR="00B566A9" w:rsidRPr="00B566A9" w:rsidRDefault="00B566A9" w:rsidP="00E4468F">
      <w:pPr>
        <w:spacing w:line="360" w:lineRule="auto"/>
        <w:jc w:val="both"/>
        <w:rPr>
          <w:rFonts w:cs="Arial"/>
          <w:i/>
          <w:iCs/>
          <w:szCs w:val="22"/>
        </w:rPr>
      </w:pPr>
    </w:p>
    <w:p w14:paraId="5270F579" w14:textId="22DE42FC" w:rsidR="00B566A9" w:rsidRPr="0097366B" w:rsidRDefault="0097366B" w:rsidP="0097366B">
      <w:pPr>
        <w:spacing w:line="360" w:lineRule="auto"/>
        <w:ind w:left="792" w:hanging="432"/>
        <w:jc w:val="both"/>
        <w:rPr>
          <w:rFonts w:cs="Arial"/>
          <w:i/>
          <w:iCs/>
          <w:szCs w:val="22"/>
        </w:rPr>
      </w:pPr>
      <w:r w:rsidRPr="00E4468F">
        <w:rPr>
          <w:rFonts w:cs="Arial"/>
          <w:i/>
          <w:iCs/>
          <w:szCs w:val="22"/>
        </w:rPr>
        <w:t>8.15.</w:t>
      </w:r>
      <w:r w:rsidRPr="00E4468F">
        <w:rPr>
          <w:rFonts w:cs="Arial"/>
          <w:i/>
          <w:iCs/>
          <w:szCs w:val="22"/>
        </w:rPr>
        <w:tab/>
      </w:r>
      <w:r w:rsidR="00B566A9" w:rsidRPr="0097366B">
        <w:rPr>
          <w:rFonts w:cs="Arial"/>
          <w:i/>
          <w:iCs/>
          <w:szCs w:val="22"/>
        </w:rPr>
        <w:t>the trust property and administration thereof is subject to annual reporting by an accountant;</w:t>
      </w:r>
    </w:p>
    <w:p w14:paraId="52860F14" w14:textId="77777777" w:rsidR="00B566A9" w:rsidRPr="00B566A9" w:rsidRDefault="00B566A9" w:rsidP="00E4468F">
      <w:pPr>
        <w:spacing w:line="360" w:lineRule="auto"/>
        <w:jc w:val="both"/>
        <w:rPr>
          <w:rFonts w:cs="Arial"/>
          <w:i/>
          <w:iCs/>
          <w:szCs w:val="22"/>
        </w:rPr>
      </w:pPr>
    </w:p>
    <w:p w14:paraId="3FFB925E" w14:textId="7C531112" w:rsidR="00B566A9" w:rsidRPr="00B566A9" w:rsidRDefault="00B566A9" w:rsidP="00E4468F">
      <w:pPr>
        <w:spacing w:line="360" w:lineRule="auto"/>
        <w:ind w:firstLine="1440"/>
        <w:jc w:val="both"/>
        <w:rPr>
          <w:rFonts w:cs="Arial"/>
          <w:i/>
          <w:iCs/>
          <w:szCs w:val="22"/>
        </w:rPr>
      </w:pPr>
    </w:p>
    <w:p w14:paraId="312AFD23" w14:textId="1DB8D8CE" w:rsidR="00B566A9" w:rsidRPr="0097366B" w:rsidRDefault="0097366B" w:rsidP="0097366B">
      <w:pPr>
        <w:spacing w:line="360" w:lineRule="auto"/>
        <w:ind w:left="360" w:hanging="360"/>
        <w:jc w:val="both"/>
        <w:rPr>
          <w:rFonts w:cs="Arial"/>
          <w:i/>
          <w:iCs/>
          <w:szCs w:val="22"/>
        </w:rPr>
      </w:pPr>
      <w:r w:rsidRPr="00E4468F">
        <w:rPr>
          <w:rFonts w:cs="Arial"/>
          <w:i/>
          <w:iCs/>
          <w:szCs w:val="22"/>
        </w:rPr>
        <w:t>9.</w:t>
      </w:r>
      <w:r w:rsidRPr="00E4468F">
        <w:rPr>
          <w:rFonts w:cs="Arial"/>
          <w:i/>
          <w:iCs/>
          <w:szCs w:val="22"/>
        </w:rPr>
        <w:tab/>
      </w:r>
      <w:r w:rsidR="00B566A9" w:rsidRPr="0097366B">
        <w:rPr>
          <w:rFonts w:cs="Arial"/>
          <w:i/>
          <w:iCs/>
          <w:szCs w:val="22"/>
        </w:rPr>
        <w:t xml:space="preserve">The statutory undertaking referred to in paragraph </w:t>
      </w:r>
      <w:r w:rsidR="007A7DA3" w:rsidRPr="0097366B">
        <w:rPr>
          <w:rFonts w:cs="Arial"/>
          <w:i/>
          <w:iCs/>
          <w:szCs w:val="22"/>
        </w:rPr>
        <w:t>3</w:t>
      </w:r>
      <w:r w:rsidR="00B566A9" w:rsidRPr="0097366B">
        <w:rPr>
          <w:rFonts w:cs="Arial"/>
          <w:i/>
          <w:iCs/>
          <w:szCs w:val="22"/>
        </w:rPr>
        <w:t xml:space="preserve"> above shall be delivered by the Defendant to the aforesaid Mokoduo, Erasmus, Davidson Attorneys within 14 (FOURTEEN) days of the date of this Order; </w:t>
      </w:r>
    </w:p>
    <w:p w14:paraId="593DEB26" w14:textId="77777777" w:rsidR="00B566A9" w:rsidRPr="00B566A9" w:rsidRDefault="00B566A9" w:rsidP="00E4468F">
      <w:pPr>
        <w:spacing w:line="360" w:lineRule="auto"/>
        <w:jc w:val="both"/>
        <w:rPr>
          <w:rFonts w:cs="Arial"/>
          <w:i/>
          <w:iCs/>
          <w:szCs w:val="22"/>
        </w:rPr>
      </w:pPr>
    </w:p>
    <w:p w14:paraId="3772FCED" w14:textId="54ECA4D5" w:rsidR="00B566A9" w:rsidRPr="0097366B" w:rsidRDefault="0097366B" w:rsidP="0097366B">
      <w:pPr>
        <w:spacing w:line="360" w:lineRule="auto"/>
        <w:ind w:left="360" w:hanging="360"/>
        <w:jc w:val="both"/>
        <w:rPr>
          <w:rFonts w:cs="Arial"/>
          <w:i/>
          <w:iCs/>
          <w:szCs w:val="22"/>
        </w:rPr>
      </w:pPr>
      <w:r w:rsidRPr="00E4468F">
        <w:rPr>
          <w:rFonts w:cs="Arial"/>
          <w:i/>
          <w:iCs/>
          <w:szCs w:val="22"/>
        </w:rPr>
        <w:t>10.</w:t>
      </w:r>
      <w:r w:rsidRPr="00E4468F">
        <w:rPr>
          <w:rFonts w:cs="Arial"/>
          <w:i/>
          <w:iCs/>
          <w:szCs w:val="22"/>
        </w:rPr>
        <w:tab/>
      </w:r>
      <w:r w:rsidR="00B566A9" w:rsidRPr="0097366B">
        <w:rPr>
          <w:rFonts w:cs="Arial"/>
          <w:i/>
          <w:iCs/>
          <w:szCs w:val="22"/>
        </w:rPr>
        <w:t xml:space="preserve">Mokoduo, Erasmus, Davidson Attorneys will invest the capital amount less the reasonable attorney and client fees and disbursements in terms of Section 86(4) of the Legal Practice Act 28 of 2014, with First National Bank, Rosebank, for the benefit of the patient, the interest thereon, likewise accruing for the benefit of the patient which investment shall be utilized as may be directed by the trustee of the Trust, when created; </w:t>
      </w:r>
    </w:p>
    <w:p w14:paraId="515DEE0F" w14:textId="77777777" w:rsidR="00B566A9" w:rsidRPr="00B566A9" w:rsidRDefault="00B566A9" w:rsidP="00E4468F">
      <w:pPr>
        <w:spacing w:line="360" w:lineRule="auto"/>
        <w:jc w:val="both"/>
        <w:rPr>
          <w:rFonts w:cs="Arial"/>
          <w:i/>
          <w:iCs/>
          <w:szCs w:val="22"/>
        </w:rPr>
      </w:pPr>
    </w:p>
    <w:p w14:paraId="1B8286C0" w14:textId="0E250364" w:rsidR="00B566A9" w:rsidRPr="0097366B" w:rsidRDefault="0097366B" w:rsidP="0097366B">
      <w:pPr>
        <w:spacing w:line="360" w:lineRule="auto"/>
        <w:ind w:left="360" w:hanging="360"/>
        <w:jc w:val="both"/>
        <w:rPr>
          <w:rFonts w:cs="Arial"/>
          <w:i/>
          <w:iCs/>
          <w:szCs w:val="22"/>
        </w:rPr>
      </w:pPr>
      <w:r w:rsidRPr="00E4468F">
        <w:rPr>
          <w:rFonts w:cs="Arial"/>
          <w:i/>
          <w:iCs/>
          <w:szCs w:val="22"/>
        </w:rPr>
        <w:t>11.</w:t>
      </w:r>
      <w:r w:rsidRPr="00E4468F">
        <w:rPr>
          <w:rFonts w:cs="Arial"/>
          <w:i/>
          <w:iCs/>
          <w:szCs w:val="22"/>
        </w:rPr>
        <w:tab/>
      </w:r>
      <w:r w:rsidR="00B566A9" w:rsidRPr="0097366B">
        <w:rPr>
          <w:rFonts w:cs="Arial"/>
          <w:i/>
          <w:iCs/>
          <w:szCs w:val="22"/>
        </w:rPr>
        <w:t xml:space="preserve">Mokoduo, Erasmus, Davidson Attorneys shall render an attorney and client statement of account to the trustee, of the trust to be formed, in terms of the fees contract entered into between the Plaintiff and Mokoduo, Erasmus, Davidson Attorneys.  </w:t>
      </w:r>
    </w:p>
    <w:p w14:paraId="79782A4B" w14:textId="77777777" w:rsidR="00B566A9" w:rsidRPr="00B566A9" w:rsidRDefault="00B566A9" w:rsidP="00E4468F">
      <w:pPr>
        <w:spacing w:line="360" w:lineRule="auto"/>
        <w:jc w:val="both"/>
        <w:rPr>
          <w:rFonts w:cs="Arial"/>
          <w:i/>
          <w:iCs/>
          <w:szCs w:val="22"/>
        </w:rPr>
      </w:pPr>
    </w:p>
    <w:p w14:paraId="11FB8871" w14:textId="6426931A" w:rsidR="00B566A9" w:rsidRPr="0097366B" w:rsidRDefault="0097366B" w:rsidP="0097366B">
      <w:pPr>
        <w:spacing w:line="360" w:lineRule="auto"/>
        <w:ind w:left="360" w:hanging="360"/>
        <w:jc w:val="both"/>
        <w:rPr>
          <w:rFonts w:cs="Arial"/>
          <w:i/>
          <w:iCs/>
          <w:szCs w:val="22"/>
        </w:rPr>
      </w:pPr>
      <w:r>
        <w:rPr>
          <w:rFonts w:cs="Arial"/>
          <w:i/>
          <w:iCs/>
          <w:szCs w:val="22"/>
        </w:rPr>
        <w:t>12.</w:t>
      </w:r>
      <w:r>
        <w:rPr>
          <w:rFonts w:cs="Arial"/>
          <w:i/>
          <w:iCs/>
          <w:szCs w:val="22"/>
        </w:rPr>
        <w:tab/>
      </w:r>
      <w:r w:rsidR="00B566A9" w:rsidRPr="0097366B">
        <w:rPr>
          <w:rFonts w:cs="Arial"/>
          <w:i/>
          <w:iCs/>
          <w:szCs w:val="22"/>
        </w:rPr>
        <w:t xml:space="preserve">The party and party costs referred to in paragraph </w:t>
      </w:r>
      <w:r w:rsidR="006325CA" w:rsidRPr="0097366B">
        <w:rPr>
          <w:rFonts w:cs="Arial"/>
          <w:i/>
          <w:iCs/>
          <w:szCs w:val="22"/>
        </w:rPr>
        <w:t>6</w:t>
      </w:r>
      <w:r w:rsidR="00B566A9" w:rsidRPr="0097366B">
        <w:rPr>
          <w:rFonts w:cs="Arial"/>
          <w:i/>
          <w:iCs/>
          <w:szCs w:val="22"/>
        </w:rPr>
        <w:t xml:space="preserve"> (</w:t>
      </w:r>
      <w:r w:rsidR="006325CA" w:rsidRPr="0097366B">
        <w:rPr>
          <w:rFonts w:cs="Arial"/>
          <w:i/>
          <w:iCs/>
          <w:szCs w:val="22"/>
        </w:rPr>
        <w:t>SIX</w:t>
      </w:r>
      <w:r w:rsidR="00B566A9" w:rsidRPr="0097366B">
        <w:rPr>
          <w:rFonts w:cs="Arial"/>
          <w:i/>
          <w:iCs/>
          <w:szCs w:val="22"/>
        </w:rPr>
        <w:t>) above, as taxed or agreed, shall be paid by the Defendant directly into the trust account of Mokoduo, Erasmus, Davidson Attorneys for the benefit of the patient. After deduction of the legal costs consultant’s fee for drawing the bill and attending to its settlement or taxation, the balance shall be paid into the trust unless same has not yet been created, in which event, such balance shall be invested in terms of Section 86(4) of the Legal Practice Act 28 of 2014, with First National Bank, Rosebank, for the benefit of the patient, the interest thereon, likewise accruing for the benefit of the patient and shall be utilized as may be directed by the Trustee of the Trust, when created.</w:t>
      </w:r>
    </w:p>
    <w:p w14:paraId="547D08B1" w14:textId="77777777" w:rsidR="006325CA" w:rsidRPr="006325CA" w:rsidRDefault="006325CA" w:rsidP="006325CA">
      <w:pPr>
        <w:pStyle w:val="ListParagraph"/>
        <w:rPr>
          <w:rFonts w:cs="Arial"/>
          <w:i/>
          <w:iCs/>
          <w:szCs w:val="22"/>
        </w:rPr>
      </w:pPr>
    </w:p>
    <w:p w14:paraId="293E422A" w14:textId="77777777" w:rsidR="006325CA" w:rsidRPr="006325CA" w:rsidRDefault="006325CA" w:rsidP="006325CA">
      <w:pPr>
        <w:spacing w:line="360" w:lineRule="auto"/>
        <w:jc w:val="both"/>
        <w:rPr>
          <w:rFonts w:cs="Arial"/>
          <w:i/>
          <w:iCs/>
          <w:szCs w:val="22"/>
        </w:rPr>
      </w:pPr>
    </w:p>
    <w:p w14:paraId="5D3FBFDC" w14:textId="6CF804AE" w:rsidR="00B566A9" w:rsidRDefault="0097366B" w:rsidP="0097366B">
      <w:pPr>
        <w:widowControl w:val="0"/>
        <w:tabs>
          <w:tab w:val="left" w:pos="567"/>
        </w:tabs>
        <w:spacing w:before="480" w:after="480" w:line="480" w:lineRule="auto"/>
        <w:jc w:val="both"/>
        <w:rPr>
          <w:rFonts w:cs="Arial"/>
          <w:bCs/>
          <w:szCs w:val="22"/>
        </w:rPr>
      </w:pPr>
      <w:r>
        <w:rPr>
          <w:rFonts w:cs="Arial"/>
          <w:bCs/>
          <w:szCs w:val="22"/>
        </w:rPr>
        <w:t>[2]</w:t>
      </w:r>
      <w:r>
        <w:rPr>
          <w:rFonts w:cs="Arial"/>
          <w:bCs/>
          <w:szCs w:val="22"/>
        </w:rPr>
        <w:tab/>
      </w:r>
      <w:r w:rsidR="00B566A9">
        <w:rPr>
          <w:rFonts w:cs="Arial"/>
          <w:bCs/>
          <w:szCs w:val="22"/>
        </w:rPr>
        <w:t>The reasons for the order follow below.</w:t>
      </w:r>
    </w:p>
    <w:p w14:paraId="5F7844FE" w14:textId="2C55A718" w:rsidR="00A174DB" w:rsidRDefault="0097366B" w:rsidP="0097366B">
      <w:pPr>
        <w:widowControl w:val="0"/>
        <w:tabs>
          <w:tab w:val="left" w:pos="567"/>
        </w:tabs>
        <w:spacing w:before="480" w:after="480" w:line="480" w:lineRule="auto"/>
        <w:jc w:val="both"/>
        <w:rPr>
          <w:rFonts w:cs="Arial"/>
          <w:bCs/>
          <w:szCs w:val="22"/>
        </w:rPr>
      </w:pPr>
      <w:r>
        <w:rPr>
          <w:rFonts w:cs="Arial"/>
          <w:bCs/>
          <w:szCs w:val="22"/>
        </w:rPr>
        <w:t>[3]</w:t>
      </w:r>
      <w:r>
        <w:rPr>
          <w:rFonts w:cs="Arial"/>
          <w:bCs/>
          <w:szCs w:val="22"/>
        </w:rPr>
        <w:tab/>
      </w:r>
      <w:r w:rsidR="00FE5800">
        <w:rPr>
          <w:rFonts w:cs="Arial"/>
          <w:bCs/>
          <w:szCs w:val="22"/>
        </w:rPr>
        <w:t>The plaintiff is the cura</w:t>
      </w:r>
      <w:r w:rsidR="006325CA">
        <w:rPr>
          <w:rFonts w:cs="Arial"/>
          <w:bCs/>
          <w:szCs w:val="22"/>
        </w:rPr>
        <w:t>trix</w:t>
      </w:r>
      <w:r w:rsidR="00FE5800">
        <w:rPr>
          <w:rFonts w:cs="Arial"/>
          <w:bCs/>
          <w:szCs w:val="22"/>
        </w:rPr>
        <w:t xml:space="preserve"> of the </w:t>
      </w:r>
      <w:r w:rsidR="000C1324">
        <w:rPr>
          <w:rFonts w:cs="Arial"/>
          <w:bCs/>
          <w:szCs w:val="22"/>
        </w:rPr>
        <w:t>patient</w:t>
      </w:r>
      <w:r w:rsidR="00FE5800">
        <w:rPr>
          <w:rFonts w:cs="Arial"/>
          <w:bCs/>
          <w:szCs w:val="22"/>
        </w:rPr>
        <w:t xml:space="preserve"> who was born in 1994 and who was injured when he was struck by a motor vehicle on </w:t>
      </w:r>
      <w:r w:rsidR="001368CE">
        <w:rPr>
          <w:rFonts w:cs="Arial"/>
          <w:bCs/>
          <w:szCs w:val="22"/>
        </w:rPr>
        <w:t xml:space="preserve">6 March 2018. </w:t>
      </w:r>
      <w:r w:rsidR="00A2230A">
        <w:rPr>
          <w:rFonts w:cs="Arial"/>
          <w:bCs/>
          <w:szCs w:val="22"/>
        </w:rPr>
        <w:t>H</w:t>
      </w:r>
      <w:r w:rsidR="001368CE">
        <w:rPr>
          <w:rFonts w:cs="Arial"/>
          <w:bCs/>
          <w:szCs w:val="22"/>
        </w:rPr>
        <w:t xml:space="preserve">e was a pedestrian. </w:t>
      </w:r>
      <w:r w:rsidR="00A2230A">
        <w:rPr>
          <w:rFonts w:cs="Arial"/>
          <w:bCs/>
          <w:szCs w:val="22"/>
        </w:rPr>
        <w:t>H</w:t>
      </w:r>
      <w:r w:rsidR="001368CE">
        <w:rPr>
          <w:rFonts w:cs="Arial"/>
          <w:bCs/>
          <w:szCs w:val="22"/>
        </w:rPr>
        <w:t>e suffered a traumatic brain injury, blunt force abdominal trauma, and a fracture of the right tibula and fibula.</w:t>
      </w:r>
    </w:p>
    <w:p w14:paraId="25202E7B" w14:textId="7521CA2A" w:rsidR="001368CE" w:rsidRDefault="0097366B" w:rsidP="0097366B">
      <w:pPr>
        <w:widowControl w:val="0"/>
        <w:tabs>
          <w:tab w:val="left" w:pos="567"/>
        </w:tabs>
        <w:spacing w:before="480" w:after="480" w:line="480" w:lineRule="auto"/>
        <w:jc w:val="both"/>
        <w:rPr>
          <w:rFonts w:cs="Arial"/>
          <w:bCs/>
          <w:szCs w:val="22"/>
        </w:rPr>
      </w:pPr>
      <w:r>
        <w:rPr>
          <w:rFonts w:cs="Arial"/>
          <w:bCs/>
          <w:szCs w:val="22"/>
        </w:rPr>
        <w:t>[4]</w:t>
      </w:r>
      <w:r>
        <w:rPr>
          <w:rFonts w:cs="Arial"/>
          <w:bCs/>
          <w:szCs w:val="22"/>
        </w:rPr>
        <w:tab/>
      </w:r>
      <w:r w:rsidR="001368CE">
        <w:rPr>
          <w:rFonts w:cs="Arial"/>
          <w:bCs/>
          <w:szCs w:val="22"/>
        </w:rPr>
        <w:t xml:space="preserve">The parties have agreed that the defendant would be liable for 90% the </w:t>
      </w:r>
      <w:r w:rsidR="000C1324">
        <w:rPr>
          <w:rFonts w:cs="Arial"/>
          <w:bCs/>
          <w:szCs w:val="22"/>
        </w:rPr>
        <w:t>patient</w:t>
      </w:r>
      <w:r w:rsidR="001368CE">
        <w:rPr>
          <w:rFonts w:cs="Arial"/>
          <w:bCs/>
          <w:szCs w:val="22"/>
        </w:rPr>
        <w:t>’s agreed or proved damages. They also settled the general damages claim on R</w:t>
      </w:r>
      <w:r w:rsidR="00C07AF8">
        <w:rPr>
          <w:rFonts w:cs="Arial"/>
          <w:bCs/>
          <w:szCs w:val="22"/>
        </w:rPr>
        <w:t>9</w:t>
      </w:r>
      <w:r w:rsidR="00B83B47">
        <w:rPr>
          <w:rFonts w:cs="Arial"/>
          <w:bCs/>
          <w:szCs w:val="22"/>
        </w:rPr>
        <w:t>00</w:t>
      </w:r>
      <w:r w:rsidR="001368CE">
        <w:rPr>
          <w:rFonts w:cs="Arial"/>
          <w:bCs/>
          <w:szCs w:val="22"/>
        </w:rPr>
        <w:t> 000 (</w:t>
      </w:r>
      <w:r w:rsidR="00B83B47">
        <w:rPr>
          <w:rFonts w:cs="Arial"/>
          <w:bCs/>
          <w:szCs w:val="22"/>
        </w:rPr>
        <w:t xml:space="preserve">post </w:t>
      </w:r>
      <w:r w:rsidR="001368CE">
        <w:rPr>
          <w:rFonts w:cs="Arial"/>
          <w:bCs/>
          <w:szCs w:val="22"/>
        </w:rPr>
        <w:t>-</w:t>
      </w:r>
      <w:r w:rsidR="00B83B47">
        <w:rPr>
          <w:rFonts w:cs="Arial"/>
          <w:bCs/>
          <w:szCs w:val="22"/>
        </w:rPr>
        <w:t xml:space="preserve"> </w:t>
      </w:r>
      <w:r w:rsidR="001368CE">
        <w:rPr>
          <w:rFonts w:cs="Arial"/>
          <w:bCs/>
          <w:szCs w:val="22"/>
        </w:rPr>
        <w:t>apportionment) and</w:t>
      </w:r>
      <w:r w:rsidR="00B83B47">
        <w:rPr>
          <w:rFonts w:cs="Arial"/>
          <w:bCs/>
          <w:szCs w:val="22"/>
        </w:rPr>
        <w:t xml:space="preserve"> the past loss of earnings on R238 737.95 (also post-apportionment). It was furthermore </w:t>
      </w:r>
      <w:r w:rsidR="001368CE">
        <w:rPr>
          <w:rFonts w:cs="Arial"/>
          <w:bCs/>
          <w:szCs w:val="22"/>
        </w:rPr>
        <w:t xml:space="preserve"> agreed that the defendant would provide </w:t>
      </w:r>
      <w:r w:rsidR="00B566A9">
        <w:rPr>
          <w:rFonts w:cs="Arial"/>
          <w:bCs/>
          <w:szCs w:val="22"/>
        </w:rPr>
        <w:t>the usual</w:t>
      </w:r>
      <w:r w:rsidR="001368CE">
        <w:rPr>
          <w:rFonts w:cs="Arial"/>
          <w:bCs/>
          <w:szCs w:val="22"/>
        </w:rPr>
        <w:t xml:space="preserve"> certificate in terms of section</w:t>
      </w:r>
      <w:r w:rsidR="008078E2">
        <w:rPr>
          <w:rFonts w:cs="Arial"/>
          <w:bCs/>
          <w:szCs w:val="22"/>
        </w:rPr>
        <w:t xml:space="preserve"> 17(4)(a) of the Road Accident Fund Act, 56 of 1996.</w:t>
      </w:r>
      <w:r w:rsidR="00E0254C">
        <w:rPr>
          <w:rFonts w:cs="Arial"/>
          <w:bCs/>
          <w:szCs w:val="22"/>
        </w:rPr>
        <w:t xml:space="preserve"> There </w:t>
      </w:r>
      <w:r w:rsidR="00CE47B9">
        <w:rPr>
          <w:rFonts w:cs="Arial"/>
          <w:bCs/>
          <w:szCs w:val="22"/>
        </w:rPr>
        <w:t>were</w:t>
      </w:r>
      <w:r w:rsidR="00E0254C">
        <w:rPr>
          <w:rFonts w:cs="Arial"/>
          <w:bCs/>
          <w:szCs w:val="22"/>
        </w:rPr>
        <w:t xml:space="preserve"> no past medical expenses.</w:t>
      </w:r>
    </w:p>
    <w:p w14:paraId="2E2D15A3" w14:textId="0B451ACC" w:rsidR="00B83B47" w:rsidRPr="00537E3B" w:rsidRDefault="0097366B" w:rsidP="0097366B">
      <w:pPr>
        <w:widowControl w:val="0"/>
        <w:tabs>
          <w:tab w:val="left" w:pos="567"/>
        </w:tabs>
        <w:spacing w:before="480" w:after="480" w:line="480" w:lineRule="auto"/>
        <w:jc w:val="both"/>
        <w:rPr>
          <w:rFonts w:cs="Arial"/>
          <w:bCs/>
          <w:szCs w:val="22"/>
        </w:rPr>
      </w:pPr>
      <w:r w:rsidRPr="00537E3B">
        <w:rPr>
          <w:rFonts w:cs="Arial"/>
          <w:bCs/>
          <w:szCs w:val="22"/>
        </w:rPr>
        <w:t>[5]</w:t>
      </w:r>
      <w:r w:rsidRPr="00537E3B">
        <w:rPr>
          <w:rFonts w:cs="Arial"/>
          <w:bCs/>
          <w:szCs w:val="22"/>
        </w:rPr>
        <w:tab/>
      </w:r>
      <w:r w:rsidR="00B83B47">
        <w:rPr>
          <w:rFonts w:cs="Arial"/>
          <w:bCs/>
          <w:szCs w:val="22"/>
        </w:rPr>
        <w:t xml:space="preserve">The outstanding claim </w:t>
      </w:r>
      <w:r w:rsidR="00B566A9">
        <w:rPr>
          <w:rFonts w:cs="Arial"/>
          <w:bCs/>
          <w:szCs w:val="22"/>
        </w:rPr>
        <w:t>was</w:t>
      </w:r>
      <w:r w:rsidR="00B83B47">
        <w:rPr>
          <w:rFonts w:cs="Arial"/>
          <w:bCs/>
          <w:szCs w:val="22"/>
        </w:rPr>
        <w:t xml:space="preserve"> for </w:t>
      </w:r>
      <w:r w:rsidR="00C07AF8">
        <w:rPr>
          <w:rFonts w:cs="Arial"/>
          <w:bCs/>
          <w:szCs w:val="22"/>
        </w:rPr>
        <w:t>future</w:t>
      </w:r>
      <w:r w:rsidR="00B83B47">
        <w:rPr>
          <w:rFonts w:cs="Arial"/>
          <w:bCs/>
          <w:szCs w:val="22"/>
        </w:rPr>
        <w:t xml:space="preserve"> loss of earnings</w:t>
      </w:r>
      <w:r w:rsidR="00C07AF8">
        <w:rPr>
          <w:rFonts w:cs="Arial"/>
          <w:bCs/>
          <w:szCs w:val="22"/>
        </w:rPr>
        <w:t>.</w:t>
      </w:r>
      <w:r w:rsidR="006325CA">
        <w:rPr>
          <w:rFonts w:cs="Arial"/>
          <w:bCs/>
          <w:szCs w:val="22"/>
        </w:rPr>
        <w:t xml:space="preserve"> The amount of the claim was </w:t>
      </w:r>
      <w:r w:rsidR="006325CA">
        <w:rPr>
          <w:rFonts w:cs="Arial"/>
          <w:bCs/>
          <w:szCs w:val="22"/>
        </w:rPr>
        <w:lastRenderedPageBreak/>
        <w:t>not in dispute but the contingencies to be applied to the claim remained in dispute.</w:t>
      </w:r>
    </w:p>
    <w:p w14:paraId="67BF0F50" w14:textId="6B85E8E9" w:rsidR="00A2230A" w:rsidRPr="00537E3B" w:rsidRDefault="0097366B" w:rsidP="0097366B">
      <w:pPr>
        <w:widowControl w:val="0"/>
        <w:tabs>
          <w:tab w:val="left" w:pos="567"/>
        </w:tabs>
        <w:autoSpaceDE w:val="0"/>
        <w:autoSpaceDN w:val="0"/>
        <w:adjustRightInd w:val="0"/>
        <w:spacing w:before="480" w:after="480" w:line="480" w:lineRule="auto"/>
        <w:jc w:val="both"/>
        <w:rPr>
          <w:rFonts w:cs="Arial"/>
          <w:i/>
          <w:iCs/>
          <w:szCs w:val="22"/>
          <w:lang w:eastAsia="en-ZA"/>
        </w:rPr>
      </w:pPr>
      <w:r w:rsidRPr="00537E3B">
        <w:rPr>
          <w:rFonts w:cs="Arial"/>
          <w:iCs/>
          <w:szCs w:val="22"/>
          <w:lang w:eastAsia="en-ZA"/>
        </w:rPr>
        <w:t>[6]</w:t>
      </w:r>
      <w:r w:rsidRPr="00537E3B">
        <w:rPr>
          <w:rFonts w:cs="Arial"/>
          <w:iCs/>
          <w:szCs w:val="22"/>
          <w:lang w:eastAsia="en-ZA"/>
        </w:rPr>
        <w:tab/>
      </w:r>
      <w:r w:rsidR="008078E2" w:rsidRPr="00537E3B">
        <w:rPr>
          <w:rFonts w:cs="Arial"/>
          <w:bCs/>
          <w:szCs w:val="22"/>
        </w:rPr>
        <w:t xml:space="preserve">The plaintiff called three expert witness, Ms L Liebowitz (industrial psychologist), </w:t>
      </w:r>
      <w:r w:rsidR="009E2489" w:rsidRPr="00537E3B">
        <w:rPr>
          <w:rFonts w:cs="Arial"/>
          <w:bCs/>
          <w:szCs w:val="22"/>
        </w:rPr>
        <w:t xml:space="preserve">Ms A Mattheus (educational psychologist), and </w:t>
      </w:r>
      <w:r w:rsidR="00E0254C" w:rsidRPr="00537E3B">
        <w:rPr>
          <w:rFonts w:cs="Arial"/>
          <w:bCs/>
          <w:szCs w:val="22"/>
        </w:rPr>
        <w:t xml:space="preserve">Ms S Fletcher (occupational therapist). </w:t>
      </w:r>
      <w:r w:rsidR="00720ADE" w:rsidRPr="00537E3B">
        <w:rPr>
          <w:rFonts w:cs="Arial"/>
          <w:bCs/>
          <w:szCs w:val="22"/>
        </w:rPr>
        <w:t xml:space="preserve">The defendant called no witnesses. </w:t>
      </w:r>
      <w:r w:rsidR="00E0254C" w:rsidRPr="00537E3B">
        <w:rPr>
          <w:rFonts w:cs="Arial"/>
          <w:bCs/>
          <w:szCs w:val="22"/>
        </w:rPr>
        <w:t>The relevant expertise of the witnesses were</w:t>
      </w:r>
      <w:r w:rsidR="00720ADE" w:rsidRPr="00537E3B">
        <w:rPr>
          <w:rFonts w:cs="Arial"/>
          <w:bCs/>
          <w:szCs w:val="22"/>
        </w:rPr>
        <w:t xml:space="preserve"> quite rightly</w:t>
      </w:r>
      <w:r w:rsidR="00E0254C" w:rsidRPr="00537E3B">
        <w:rPr>
          <w:rFonts w:cs="Arial"/>
          <w:bCs/>
          <w:szCs w:val="22"/>
        </w:rPr>
        <w:t xml:space="preserve"> conceded and I am indebted to both counsel for the professional way they dealt with the matter.</w:t>
      </w:r>
      <w:r w:rsidR="00720ADE" w:rsidRPr="00537E3B">
        <w:rPr>
          <w:rFonts w:cs="Arial"/>
          <w:bCs/>
          <w:szCs w:val="22"/>
        </w:rPr>
        <w:t xml:space="preserve"> </w:t>
      </w:r>
    </w:p>
    <w:p w14:paraId="3717CCA3" w14:textId="4FD64E47" w:rsidR="00A174DB" w:rsidRPr="00537E3B" w:rsidRDefault="0097366B" w:rsidP="0097366B">
      <w:pPr>
        <w:widowControl w:val="0"/>
        <w:tabs>
          <w:tab w:val="left" w:pos="567"/>
        </w:tabs>
        <w:autoSpaceDE w:val="0"/>
        <w:autoSpaceDN w:val="0"/>
        <w:adjustRightInd w:val="0"/>
        <w:spacing w:before="480" w:after="480" w:line="480" w:lineRule="auto"/>
        <w:jc w:val="both"/>
        <w:rPr>
          <w:rFonts w:cs="Arial"/>
          <w:bCs/>
          <w:szCs w:val="22"/>
        </w:rPr>
      </w:pPr>
      <w:r w:rsidRPr="00537E3B">
        <w:rPr>
          <w:rFonts w:cs="Arial"/>
          <w:bCs/>
          <w:szCs w:val="22"/>
        </w:rPr>
        <w:t>[7]</w:t>
      </w:r>
      <w:r w:rsidRPr="00537E3B">
        <w:rPr>
          <w:rFonts w:cs="Arial"/>
          <w:bCs/>
          <w:szCs w:val="22"/>
        </w:rPr>
        <w:tab/>
      </w:r>
      <w:r w:rsidR="00A2230A" w:rsidRPr="00537E3B">
        <w:rPr>
          <w:rFonts w:cs="Arial"/>
          <w:bCs/>
          <w:szCs w:val="22"/>
        </w:rPr>
        <w:t xml:space="preserve">Ms Davidson who appeared for the plaintiff referred me to </w:t>
      </w:r>
      <w:r w:rsidR="00A2230A" w:rsidRPr="00537E3B">
        <w:rPr>
          <w:rFonts w:cs="Arial"/>
          <w:i/>
          <w:iCs/>
          <w:szCs w:val="22"/>
          <w:lang w:eastAsia="en-ZA"/>
        </w:rPr>
        <w:t xml:space="preserve">Goldie v City Council of Johannesburg 1948 (2) SA 913 (W) </w:t>
      </w:r>
      <w:r w:rsidR="00A2230A" w:rsidRPr="00537E3B">
        <w:rPr>
          <w:rFonts w:cs="Arial"/>
          <w:szCs w:val="22"/>
          <w:lang w:eastAsia="en-ZA"/>
        </w:rPr>
        <w:t xml:space="preserve"> 920 and </w:t>
      </w:r>
      <w:r w:rsidR="00A2230A" w:rsidRPr="00537E3B">
        <w:rPr>
          <w:rFonts w:cs="Arial"/>
          <w:i/>
          <w:iCs/>
          <w:szCs w:val="22"/>
          <w:lang w:eastAsia="en-ZA"/>
        </w:rPr>
        <w:t>Southern Insurance Association v Bailie NO 1984 (1) SA 98 (A)</w:t>
      </w:r>
      <w:r w:rsidR="00A2230A" w:rsidRPr="00537E3B">
        <w:rPr>
          <w:rFonts w:cs="Arial"/>
          <w:szCs w:val="22"/>
          <w:lang w:eastAsia="en-ZA"/>
        </w:rPr>
        <w:t xml:space="preserve"> 112E – 114F in respect of the assessment of damages.</w:t>
      </w:r>
    </w:p>
    <w:p w14:paraId="7A82E38F" w14:textId="6CFA0D1F" w:rsidR="00A2230A" w:rsidRPr="00537E3B" w:rsidRDefault="0097366B" w:rsidP="0097366B">
      <w:pPr>
        <w:widowControl w:val="0"/>
        <w:tabs>
          <w:tab w:val="left" w:pos="567"/>
        </w:tabs>
        <w:autoSpaceDE w:val="0"/>
        <w:autoSpaceDN w:val="0"/>
        <w:adjustRightInd w:val="0"/>
        <w:spacing w:before="480" w:after="480" w:line="480" w:lineRule="auto"/>
        <w:jc w:val="both"/>
        <w:rPr>
          <w:rFonts w:cs="Arial"/>
          <w:bCs/>
          <w:szCs w:val="22"/>
        </w:rPr>
      </w:pPr>
      <w:r w:rsidRPr="00537E3B">
        <w:rPr>
          <w:rFonts w:cs="Arial"/>
          <w:bCs/>
          <w:szCs w:val="22"/>
        </w:rPr>
        <w:t>[8]</w:t>
      </w:r>
      <w:r w:rsidRPr="00537E3B">
        <w:rPr>
          <w:rFonts w:cs="Arial"/>
          <w:bCs/>
          <w:szCs w:val="22"/>
        </w:rPr>
        <w:tab/>
      </w:r>
      <w:r w:rsidR="00537E3B" w:rsidRPr="00537E3B">
        <w:rPr>
          <w:rFonts w:cs="Arial"/>
          <w:szCs w:val="22"/>
          <w:lang w:eastAsia="en-ZA"/>
        </w:rPr>
        <w:t xml:space="preserve">The </w:t>
      </w:r>
      <w:r w:rsidR="000C1324">
        <w:rPr>
          <w:rFonts w:cs="Arial"/>
          <w:szCs w:val="22"/>
          <w:lang w:eastAsia="en-ZA"/>
        </w:rPr>
        <w:t>patient</w:t>
      </w:r>
      <w:r w:rsidR="00537E3B" w:rsidRPr="00537E3B">
        <w:rPr>
          <w:rFonts w:cs="Arial"/>
          <w:szCs w:val="22"/>
          <w:lang w:eastAsia="en-ZA"/>
        </w:rPr>
        <w:t xml:space="preserve"> had a </w:t>
      </w:r>
      <w:r w:rsidR="007E3771">
        <w:rPr>
          <w:rFonts w:cs="Arial"/>
          <w:szCs w:val="22"/>
          <w:lang w:eastAsia="en-ZA"/>
        </w:rPr>
        <w:t>grade</w:t>
      </w:r>
      <w:r w:rsidR="00537E3B" w:rsidRPr="00537E3B">
        <w:rPr>
          <w:rFonts w:cs="Arial"/>
          <w:szCs w:val="22"/>
          <w:lang w:eastAsia="en-ZA"/>
        </w:rPr>
        <w:t xml:space="preserve"> 12 qualification. </w:t>
      </w:r>
      <w:r w:rsidR="00A2230A" w:rsidRPr="00537E3B">
        <w:rPr>
          <w:rFonts w:cs="Arial"/>
          <w:szCs w:val="22"/>
          <w:lang w:eastAsia="en-ZA"/>
        </w:rPr>
        <w:t xml:space="preserve">Ms Mattheus described the </w:t>
      </w:r>
      <w:r w:rsidR="000C1324">
        <w:rPr>
          <w:rFonts w:cs="Arial"/>
          <w:szCs w:val="22"/>
          <w:lang w:eastAsia="en-ZA"/>
        </w:rPr>
        <w:t>patient</w:t>
      </w:r>
      <w:r w:rsidR="00A2230A" w:rsidRPr="00537E3B">
        <w:rPr>
          <w:rFonts w:cs="Arial"/>
          <w:szCs w:val="22"/>
          <w:lang w:eastAsia="en-ZA"/>
        </w:rPr>
        <w:t xml:space="preserve">’s probable career progression </w:t>
      </w:r>
      <w:r w:rsidR="007E3771">
        <w:rPr>
          <w:rFonts w:cs="Arial"/>
          <w:szCs w:val="22"/>
          <w:lang w:eastAsia="en-ZA"/>
        </w:rPr>
        <w:t>“</w:t>
      </w:r>
      <w:r w:rsidR="00A2230A" w:rsidRPr="00537E3B">
        <w:rPr>
          <w:rFonts w:cs="Arial"/>
          <w:szCs w:val="22"/>
          <w:lang w:eastAsia="en-ZA"/>
        </w:rPr>
        <w:t>but for</w:t>
      </w:r>
      <w:r w:rsidR="007E3771">
        <w:rPr>
          <w:rFonts w:cs="Arial"/>
          <w:szCs w:val="22"/>
          <w:lang w:eastAsia="en-ZA"/>
        </w:rPr>
        <w:t>”</w:t>
      </w:r>
      <w:r w:rsidR="00A2230A" w:rsidRPr="00537E3B">
        <w:rPr>
          <w:rFonts w:cs="Arial"/>
          <w:szCs w:val="22"/>
          <w:lang w:eastAsia="en-ZA"/>
        </w:rPr>
        <w:t xml:space="preserve"> the accident. She adopted a conservative approach and said he would</w:t>
      </w:r>
      <w:r w:rsidR="006B0490" w:rsidRPr="00537E3B">
        <w:rPr>
          <w:rFonts w:cs="Arial"/>
          <w:szCs w:val="22"/>
          <w:lang w:eastAsia="en-ZA"/>
        </w:rPr>
        <w:t xml:space="preserve"> complete a higher certificate at pre-accident level.</w:t>
      </w:r>
    </w:p>
    <w:p w14:paraId="121FADF0" w14:textId="7295841C" w:rsidR="004A7383" w:rsidRPr="004A7383" w:rsidRDefault="0097366B" w:rsidP="0097366B">
      <w:pPr>
        <w:widowControl w:val="0"/>
        <w:tabs>
          <w:tab w:val="left" w:pos="567"/>
        </w:tabs>
        <w:autoSpaceDE w:val="0"/>
        <w:autoSpaceDN w:val="0"/>
        <w:adjustRightInd w:val="0"/>
        <w:spacing w:before="480" w:after="480" w:line="480" w:lineRule="auto"/>
        <w:jc w:val="both"/>
        <w:rPr>
          <w:rFonts w:ascii="TimesNewRomanPS-ItalicMT" w:hAnsi="TimesNewRomanPS-ItalicMT" w:cs="TimesNewRomanPS-ItalicMT"/>
          <w:i/>
          <w:iCs/>
          <w:sz w:val="24"/>
          <w:lang w:eastAsia="en-ZA"/>
        </w:rPr>
      </w:pPr>
      <w:r w:rsidRPr="004A7383">
        <w:rPr>
          <w:rFonts w:ascii="TimesNewRomanPS-ItalicMT" w:hAnsi="TimesNewRomanPS-ItalicMT" w:cs="TimesNewRomanPS-ItalicMT"/>
          <w:iCs/>
          <w:sz w:val="24"/>
          <w:lang w:eastAsia="en-ZA"/>
        </w:rPr>
        <w:t>[9]</w:t>
      </w:r>
      <w:r w:rsidRPr="004A7383">
        <w:rPr>
          <w:rFonts w:ascii="TimesNewRomanPS-ItalicMT" w:hAnsi="TimesNewRomanPS-ItalicMT" w:cs="TimesNewRomanPS-ItalicMT"/>
          <w:iCs/>
          <w:sz w:val="24"/>
          <w:lang w:eastAsia="en-ZA"/>
        </w:rPr>
        <w:tab/>
      </w:r>
      <w:r w:rsidR="00D134FA" w:rsidRPr="004A7383">
        <w:rPr>
          <w:rFonts w:cs="Arial"/>
          <w:bCs/>
          <w:szCs w:val="22"/>
        </w:rPr>
        <w:t xml:space="preserve">Ms Liebowitz indicated that at the time of the accident the </w:t>
      </w:r>
      <w:r w:rsidR="000C1324">
        <w:rPr>
          <w:rFonts w:cs="Arial"/>
          <w:bCs/>
          <w:szCs w:val="22"/>
        </w:rPr>
        <w:t>patient</w:t>
      </w:r>
      <w:r w:rsidR="00D134FA" w:rsidRPr="004A7383">
        <w:rPr>
          <w:rFonts w:cs="Arial"/>
          <w:bCs/>
          <w:szCs w:val="22"/>
        </w:rPr>
        <w:t xml:space="preserve"> was earning R300 to R400 per week as a general worker.</w:t>
      </w:r>
      <w:r w:rsidR="00537E3B" w:rsidRPr="004A7383">
        <w:rPr>
          <w:rFonts w:cs="Arial"/>
          <w:bCs/>
          <w:szCs w:val="22"/>
        </w:rPr>
        <w:t xml:space="preserve"> The postulated that in time he would have been eligible for compensation at Paterson level A3/B1.</w:t>
      </w:r>
      <w:r w:rsidR="00E371E8" w:rsidRPr="004A7383">
        <w:rPr>
          <w:rFonts w:cs="Arial"/>
          <w:bCs/>
          <w:szCs w:val="22"/>
        </w:rPr>
        <w:t xml:space="preserve"> He would likely have had the ability to attain a </w:t>
      </w:r>
      <w:r w:rsidR="00E371E8" w:rsidRPr="004A7383">
        <w:rPr>
          <w:rFonts w:cs="Arial"/>
          <w:szCs w:val="22"/>
          <w:lang w:eastAsia="en-ZA"/>
        </w:rPr>
        <w:t>Higher Certificate (NQF level 5) and progressed to Paterson C1 level  (median total package) by age 45-50, and thereafter he would receive only inflation related increases. She also adopted a conservative approach, starting his career path at minimum wage level.</w:t>
      </w:r>
      <w:r w:rsidR="006325CA">
        <w:rPr>
          <w:rFonts w:cs="Arial"/>
          <w:szCs w:val="22"/>
          <w:lang w:eastAsia="en-ZA"/>
        </w:rPr>
        <w:t xml:space="preserve"> This is an important aspect in determining the correct contingency percentage to be applied.</w:t>
      </w:r>
    </w:p>
    <w:p w14:paraId="5AA63EB5" w14:textId="48F4CE27" w:rsidR="004A7383" w:rsidRPr="000C1324" w:rsidRDefault="0097366B" w:rsidP="0097366B">
      <w:pPr>
        <w:widowControl w:val="0"/>
        <w:tabs>
          <w:tab w:val="left" w:pos="567"/>
        </w:tabs>
        <w:autoSpaceDE w:val="0"/>
        <w:autoSpaceDN w:val="0"/>
        <w:adjustRightInd w:val="0"/>
        <w:spacing w:before="480" w:after="480" w:line="480" w:lineRule="auto"/>
        <w:jc w:val="both"/>
        <w:rPr>
          <w:rFonts w:cs="Arial"/>
          <w:i/>
          <w:iCs/>
          <w:szCs w:val="22"/>
          <w:lang w:eastAsia="en-ZA"/>
        </w:rPr>
      </w:pPr>
      <w:r w:rsidRPr="000C1324">
        <w:rPr>
          <w:rFonts w:cs="Arial"/>
          <w:iCs/>
          <w:szCs w:val="22"/>
          <w:lang w:eastAsia="en-ZA"/>
        </w:rPr>
        <w:t>[10]</w:t>
      </w:r>
      <w:r w:rsidRPr="000C1324">
        <w:rPr>
          <w:rFonts w:cs="Arial"/>
          <w:iCs/>
          <w:szCs w:val="22"/>
          <w:lang w:eastAsia="en-ZA"/>
        </w:rPr>
        <w:tab/>
      </w:r>
      <w:r w:rsidR="004A7383" w:rsidRPr="004A7383">
        <w:rPr>
          <w:rFonts w:cs="Arial"/>
          <w:szCs w:val="22"/>
          <w:lang w:eastAsia="en-ZA"/>
        </w:rPr>
        <w:t xml:space="preserve">Ms Mattheus testified that the </w:t>
      </w:r>
      <w:r w:rsidR="000C1324">
        <w:rPr>
          <w:rFonts w:cs="Arial"/>
          <w:szCs w:val="22"/>
          <w:lang w:eastAsia="en-ZA"/>
        </w:rPr>
        <w:t>patient</w:t>
      </w:r>
      <w:r w:rsidR="004A7383" w:rsidRPr="004A7383">
        <w:rPr>
          <w:rFonts w:cs="Arial"/>
          <w:szCs w:val="22"/>
          <w:lang w:eastAsia="en-ZA"/>
        </w:rPr>
        <w:t xml:space="preserve">’s </w:t>
      </w:r>
      <w:r w:rsidR="004A7383" w:rsidRPr="004A7383">
        <w:rPr>
          <w:rFonts w:cs="Arial"/>
          <w:sz w:val="24"/>
          <w:lang w:eastAsia="en-ZA"/>
        </w:rPr>
        <w:t>overall cognitive functioning or cognitive potential was borderline</w:t>
      </w:r>
      <w:r w:rsidR="004A7383">
        <w:rPr>
          <w:rFonts w:cs="Arial"/>
          <w:sz w:val="24"/>
          <w:lang w:eastAsia="en-ZA"/>
        </w:rPr>
        <w:t xml:space="preserve">. </w:t>
      </w:r>
      <w:r w:rsidR="00CD616F">
        <w:rPr>
          <w:rFonts w:cs="Arial"/>
          <w:sz w:val="24"/>
          <w:lang w:eastAsia="en-ZA"/>
        </w:rPr>
        <w:t>She concluded that he would not be able to complete any form of tertiary training</w:t>
      </w:r>
      <w:r w:rsidR="00885E71">
        <w:rPr>
          <w:rFonts w:cs="Arial"/>
          <w:sz w:val="24"/>
          <w:lang w:eastAsia="en-ZA"/>
        </w:rPr>
        <w:t xml:space="preserve">. He was a vulnerable individual in the </w:t>
      </w:r>
      <w:r w:rsidR="00885E71" w:rsidRPr="000C1324">
        <w:rPr>
          <w:rFonts w:cs="Arial"/>
          <w:szCs w:val="22"/>
          <w:lang w:eastAsia="en-ZA"/>
        </w:rPr>
        <w:t xml:space="preserve">open labour </w:t>
      </w:r>
      <w:r w:rsidR="00885E71" w:rsidRPr="000C1324">
        <w:rPr>
          <w:rFonts w:cs="Arial"/>
          <w:szCs w:val="22"/>
          <w:lang w:eastAsia="en-ZA"/>
        </w:rPr>
        <w:lastRenderedPageBreak/>
        <w:t>market.</w:t>
      </w:r>
      <w:r w:rsidR="006F189C" w:rsidRPr="000C1324">
        <w:rPr>
          <w:rFonts w:cs="Arial"/>
          <w:szCs w:val="22"/>
          <w:lang w:eastAsia="en-ZA"/>
        </w:rPr>
        <w:t xml:space="preserve"> His cognitive difficulties would not improve.</w:t>
      </w:r>
    </w:p>
    <w:p w14:paraId="44CC6020" w14:textId="2B8C85C6" w:rsidR="000C1324" w:rsidRPr="000C1324" w:rsidRDefault="0097366B" w:rsidP="0097366B">
      <w:pPr>
        <w:widowControl w:val="0"/>
        <w:tabs>
          <w:tab w:val="left" w:pos="567"/>
        </w:tabs>
        <w:autoSpaceDE w:val="0"/>
        <w:autoSpaceDN w:val="0"/>
        <w:adjustRightInd w:val="0"/>
        <w:spacing w:before="480" w:after="480" w:line="480" w:lineRule="auto"/>
        <w:jc w:val="both"/>
        <w:rPr>
          <w:rFonts w:cs="Arial"/>
          <w:bCs/>
          <w:szCs w:val="22"/>
        </w:rPr>
      </w:pPr>
      <w:r w:rsidRPr="000C1324">
        <w:rPr>
          <w:rFonts w:cs="Arial"/>
          <w:bCs/>
          <w:szCs w:val="22"/>
        </w:rPr>
        <w:t>[11]</w:t>
      </w:r>
      <w:r w:rsidRPr="000C1324">
        <w:rPr>
          <w:rFonts w:cs="Arial"/>
          <w:bCs/>
          <w:szCs w:val="22"/>
        </w:rPr>
        <w:tab/>
      </w:r>
      <w:r w:rsidR="00355931" w:rsidRPr="000C1324">
        <w:rPr>
          <w:rFonts w:cs="Arial"/>
          <w:bCs/>
          <w:szCs w:val="22"/>
        </w:rPr>
        <w:t xml:space="preserve">Ms Fletcher classified the </w:t>
      </w:r>
      <w:r w:rsidR="000C1324" w:rsidRPr="000C1324">
        <w:rPr>
          <w:rFonts w:cs="Arial"/>
          <w:bCs/>
          <w:szCs w:val="22"/>
        </w:rPr>
        <w:t>patient</w:t>
      </w:r>
      <w:r w:rsidR="00355931" w:rsidRPr="000C1324">
        <w:rPr>
          <w:rFonts w:cs="Arial"/>
          <w:bCs/>
          <w:szCs w:val="22"/>
        </w:rPr>
        <w:t xml:space="preserve"> </w:t>
      </w:r>
      <w:r w:rsidR="00D20E48" w:rsidRPr="000C1324">
        <w:rPr>
          <w:rFonts w:cs="Arial"/>
          <w:szCs w:val="22"/>
          <w:lang w:eastAsia="en-ZA"/>
        </w:rPr>
        <w:t>as a general worker and carpenter pre-accident falling in the medium category, but he he is no longer suited to either of those employment options from a physical strength perspective.</w:t>
      </w:r>
    </w:p>
    <w:p w14:paraId="1E0A90A5" w14:textId="371B40AA" w:rsidR="000C1324" w:rsidRPr="0037383C" w:rsidRDefault="0097366B" w:rsidP="0097366B">
      <w:pPr>
        <w:widowControl w:val="0"/>
        <w:tabs>
          <w:tab w:val="left" w:pos="567"/>
        </w:tabs>
        <w:autoSpaceDE w:val="0"/>
        <w:autoSpaceDN w:val="0"/>
        <w:adjustRightInd w:val="0"/>
        <w:spacing w:before="480" w:after="480" w:line="480" w:lineRule="auto"/>
        <w:jc w:val="both"/>
        <w:rPr>
          <w:rFonts w:cs="Arial"/>
          <w:bCs/>
          <w:szCs w:val="22"/>
        </w:rPr>
      </w:pPr>
      <w:r w:rsidRPr="0037383C">
        <w:rPr>
          <w:rFonts w:cs="Arial"/>
          <w:bCs/>
          <w:szCs w:val="22"/>
        </w:rPr>
        <w:t>[12]</w:t>
      </w:r>
      <w:r w:rsidRPr="0037383C">
        <w:rPr>
          <w:rFonts w:cs="Arial"/>
          <w:bCs/>
          <w:szCs w:val="22"/>
        </w:rPr>
        <w:tab/>
      </w:r>
      <w:r w:rsidR="000C1324" w:rsidRPr="000C1324">
        <w:rPr>
          <w:rFonts w:cs="Arial"/>
          <w:szCs w:val="22"/>
          <w:lang w:eastAsia="en-ZA"/>
        </w:rPr>
        <w:t>Ms. Leibowitz</w:t>
      </w:r>
      <w:r w:rsidR="006325CA">
        <w:rPr>
          <w:rFonts w:cs="Arial"/>
          <w:szCs w:val="22"/>
          <w:lang w:eastAsia="en-ZA"/>
        </w:rPr>
        <w:t xml:space="preserve"> testified</w:t>
      </w:r>
      <w:r w:rsidR="000C1324" w:rsidRPr="000C1324">
        <w:rPr>
          <w:rFonts w:cs="Arial"/>
          <w:szCs w:val="22"/>
          <w:lang w:eastAsia="en-ZA"/>
        </w:rPr>
        <w:t xml:space="preserve"> that the patient has not returned to any sort of employment or educa</w:t>
      </w:r>
      <w:r w:rsidR="000C1324" w:rsidRPr="0037383C">
        <w:rPr>
          <w:rFonts w:cs="Arial"/>
          <w:szCs w:val="22"/>
          <w:lang w:eastAsia="en-ZA"/>
        </w:rPr>
        <w:t xml:space="preserve">tional endeavours subsequent to the accident. </w:t>
      </w:r>
    </w:p>
    <w:p w14:paraId="0888514A" w14:textId="1C7B092A" w:rsidR="0037383C" w:rsidRPr="0037383C" w:rsidRDefault="0097366B" w:rsidP="0097366B">
      <w:pPr>
        <w:widowControl w:val="0"/>
        <w:tabs>
          <w:tab w:val="left" w:pos="567"/>
        </w:tabs>
        <w:autoSpaceDE w:val="0"/>
        <w:autoSpaceDN w:val="0"/>
        <w:adjustRightInd w:val="0"/>
        <w:spacing w:before="480" w:after="480" w:line="480" w:lineRule="auto"/>
        <w:jc w:val="both"/>
        <w:rPr>
          <w:rFonts w:cs="Arial"/>
          <w:szCs w:val="22"/>
          <w:lang w:eastAsia="en-ZA"/>
        </w:rPr>
      </w:pPr>
      <w:r w:rsidRPr="0037383C">
        <w:rPr>
          <w:rFonts w:cs="Arial"/>
          <w:szCs w:val="22"/>
          <w:lang w:eastAsia="en-ZA"/>
        </w:rPr>
        <w:t>[13]</w:t>
      </w:r>
      <w:r w:rsidRPr="0037383C">
        <w:rPr>
          <w:rFonts w:cs="Arial"/>
          <w:szCs w:val="22"/>
          <w:lang w:eastAsia="en-ZA"/>
        </w:rPr>
        <w:tab/>
      </w:r>
      <w:r w:rsidR="000C1324" w:rsidRPr="0037383C">
        <w:rPr>
          <w:rFonts w:cs="Arial"/>
          <w:bCs/>
          <w:szCs w:val="22"/>
        </w:rPr>
        <w:t>Ms Davidson with reference to the uncontested actuarial calculations</w:t>
      </w:r>
      <w:r w:rsidR="0037383C" w:rsidRPr="0037383C">
        <w:rPr>
          <w:rFonts w:cs="Arial"/>
          <w:bCs/>
          <w:szCs w:val="22"/>
        </w:rPr>
        <w:t xml:space="preserve"> submitted that a 30% contingency “but for” the accident was appropriate. She referred to the </w:t>
      </w:r>
      <w:r w:rsidR="0037383C" w:rsidRPr="0037383C">
        <w:rPr>
          <w:rFonts w:cs="Arial"/>
          <w:szCs w:val="22"/>
          <w:lang w:eastAsia="en-ZA"/>
        </w:rPr>
        <w:t>accepted principle that 5% be applied to the calculation of the past loss of earnings, and that every year of a person’s remaining working life represents a 0.5% contingency deduction insofar as the calculation of the future loss of</w:t>
      </w:r>
      <w:r w:rsidR="00742428">
        <w:rPr>
          <w:rFonts w:cs="Arial"/>
          <w:szCs w:val="22"/>
          <w:lang w:eastAsia="en-ZA"/>
        </w:rPr>
        <w:t xml:space="preserve"> </w:t>
      </w:r>
      <w:r w:rsidR="0037383C" w:rsidRPr="0037383C">
        <w:rPr>
          <w:rFonts w:cs="Arial"/>
          <w:szCs w:val="22"/>
          <w:lang w:eastAsia="en-ZA"/>
        </w:rPr>
        <w:t xml:space="preserve">earnings is concerned. </w:t>
      </w:r>
    </w:p>
    <w:p w14:paraId="07C86A12" w14:textId="018312F6" w:rsidR="0037383C" w:rsidRPr="0037383C" w:rsidRDefault="0097366B" w:rsidP="0097366B">
      <w:pPr>
        <w:widowControl w:val="0"/>
        <w:tabs>
          <w:tab w:val="left" w:pos="567"/>
        </w:tabs>
        <w:autoSpaceDE w:val="0"/>
        <w:autoSpaceDN w:val="0"/>
        <w:adjustRightInd w:val="0"/>
        <w:spacing w:before="480" w:after="480" w:line="480" w:lineRule="auto"/>
        <w:jc w:val="both"/>
        <w:rPr>
          <w:rFonts w:cs="Arial"/>
          <w:szCs w:val="22"/>
          <w:lang w:eastAsia="en-ZA"/>
        </w:rPr>
      </w:pPr>
      <w:r w:rsidRPr="0037383C">
        <w:rPr>
          <w:rFonts w:cs="Arial"/>
          <w:szCs w:val="22"/>
          <w:lang w:eastAsia="en-ZA"/>
        </w:rPr>
        <w:t>[14]</w:t>
      </w:r>
      <w:r w:rsidRPr="0037383C">
        <w:rPr>
          <w:rFonts w:cs="Arial"/>
          <w:szCs w:val="22"/>
          <w:lang w:eastAsia="en-ZA"/>
        </w:rPr>
        <w:tab/>
      </w:r>
      <w:r w:rsidR="0037383C" w:rsidRPr="0037383C">
        <w:rPr>
          <w:rFonts w:cs="Arial"/>
          <w:szCs w:val="22"/>
          <w:lang w:eastAsia="en-ZA"/>
        </w:rPr>
        <w:t>The patient would have continued working for 37 years from age 28 to 65, this amounts to a contingency deduction of 18.5%.</w:t>
      </w:r>
    </w:p>
    <w:p w14:paraId="56FF7A75" w14:textId="76D91838" w:rsidR="003B3C82" w:rsidRPr="003B3C82" w:rsidRDefault="0097366B" w:rsidP="0097366B">
      <w:pPr>
        <w:widowControl w:val="0"/>
        <w:tabs>
          <w:tab w:val="left" w:pos="567"/>
        </w:tabs>
        <w:autoSpaceDE w:val="0"/>
        <w:autoSpaceDN w:val="0"/>
        <w:adjustRightInd w:val="0"/>
        <w:spacing w:before="480" w:after="480" w:line="480" w:lineRule="auto"/>
        <w:jc w:val="both"/>
        <w:rPr>
          <w:rFonts w:cs="Arial"/>
          <w:bCs/>
          <w:szCs w:val="22"/>
        </w:rPr>
      </w:pPr>
      <w:r w:rsidRPr="003B3C82">
        <w:rPr>
          <w:rFonts w:cs="Arial"/>
          <w:bCs/>
          <w:szCs w:val="22"/>
        </w:rPr>
        <w:t>[15]</w:t>
      </w:r>
      <w:r w:rsidRPr="003B3C82">
        <w:rPr>
          <w:rFonts w:cs="Arial"/>
          <w:bCs/>
          <w:szCs w:val="22"/>
        </w:rPr>
        <w:tab/>
      </w:r>
      <w:r w:rsidR="008500CE">
        <w:rPr>
          <w:rFonts w:cs="Arial"/>
          <w:bCs/>
          <w:szCs w:val="22"/>
        </w:rPr>
        <w:t>She referred to</w:t>
      </w:r>
      <w:r w:rsidR="003B3C82" w:rsidRPr="003B3C82">
        <w:rPr>
          <w:rFonts w:cs="Arial"/>
          <w:bCs/>
          <w:szCs w:val="22"/>
        </w:rPr>
        <w:t xml:space="preserve"> </w:t>
      </w:r>
      <w:r w:rsidR="003B3C82" w:rsidRPr="003B3C82">
        <w:rPr>
          <w:rFonts w:cs="Arial"/>
          <w:i/>
          <w:iCs/>
          <w:szCs w:val="22"/>
          <w:lang w:eastAsia="en-ZA"/>
        </w:rPr>
        <w:t>Southern Insurance Association v Bailie NO</w:t>
      </w:r>
      <w:r w:rsidR="003B3C82" w:rsidRPr="003B3C82">
        <w:rPr>
          <w:rFonts w:cs="Arial"/>
          <w:szCs w:val="22"/>
          <w:lang w:eastAsia="en-ZA"/>
        </w:rPr>
        <w:t xml:space="preserve"> 1984 (1) SA 98 (A)</w:t>
      </w:r>
      <w:r w:rsidR="003B3C82">
        <w:rPr>
          <w:rFonts w:cs="Arial"/>
          <w:szCs w:val="22"/>
          <w:lang w:eastAsia="en-ZA"/>
        </w:rPr>
        <w:t xml:space="preserve"> </w:t>
      </w:r>
      <w:r w:rsidR="008500CE">
        <w:rPr>
          <w:rFonts w:cs="Arial"/>
          <w:szCs w:val="22"/>
          <w:lang w:eastAsia="en-ZA"/>
        </w:rPr>
        <w:t xml:space="preserve">where </w:t>
      </w:r>
      <w:r w:rsidR="003B3C82">
        <w:rPr>
          <w:rFonts w:cs="Arial"/>
          <w:szCs w:val="22"/>
          <w:lang w:eastAsia="en-ZA"/>
        </w:rPr>
        <w:t>a 25% contingency was applied. The patient was a two-year old child rendered permanently disabled.</w:t>
      </w:r>
    </w:p>
    <w:p w14:paraId="047803E7" w14:textId="2A576C0E" w:rsidR="00A174DB" w:rsidRPr="008500CE" w:rsidRDefault="0097366B" w:rsidP="0097366B">
      <w:pPr>
        <w:widowControl w:val="0"/>
        <w:tabs>
          <w:tab w:val="left" w:pos="567"/>
        </w:tabs>
        <w:autoSpaceDE w:val="0"/>
        <w:autoSpaceDN w:val="0"/>
        <w:adjustRightInd w:val="0"/>
        <w:spacing w:before="480" w:after="480" w:line="480" w:lineRule="auto"/>
        <w:jc w:val="both"/>
        <w:rPr>
          <w:rFonts w:cs="Arial"/>
          <w:bCs/>
          <w:szCs w:val="22"/>
        </w:rPr>
      </w:pPr>
      <w:r w:rsidRPr="008500CE">
        <w:rPr>
          <w:rFonts w:cs="Arial"/>
          <w:bCs/>
          <w:szCs w:val="22"/>
        </w:rPr>
        <w:t>[16]</w:t>
      </w:r>
      <w:r w:rsidRPr="008500CE">
        <w:rPr>
          <w:rFonts w:cs="Arial"/>
          <w:bCs/>
          <w:szCs w:val="22"/>
        </w:rPr>
        <w:tab/>
      </w:r>
      <w:r w:rsidR="008500CE" w:rsidRPr="008500CE">
        <w:rPr>
          <w:rFonts w:cs="Arial"/>
          <w:bCs/>
          <w:szCs w:val="22"/>
        </w:rPr>
        <w:t xml:space="preserve">Ms Davidson calculated future loss of earning at </w:t>
      </w:r>
      <w:r w:rsidR="008500CE" w:rsidRPr="008500CE">
        <w:rPr>
          <w:rFonts w:cs="Arial"/>
          <w:szCs w:val="22"/>
          <w:lang w:eastAsia="en-ZA"/>
        </w:rPr>
        <w:t>R 4</w:t>
      </w:r>
      <w:r w:rsidR="001B0FA3">
        <w:rPr>
          <w:rFonts w:cs="Arial"/>
          <w:szCs w:val="22"/>
          <w:lang w:eastAsia="en-ZA"/>
        </w:rPr>
        <w:t> </w:t>
      </w:r>
      <w:r w:rsidR="008500CE" w:rsidRPr="008500CE">
        <w:rPr>
          <w:rFonts w:cs="Arial"/>
          <w:szCs w:val="22"/>
          <w:lang w:eastAsia="en-ZA"/>
        </w:rPr>
        <w:t>550</w:t>
      </w:r>
      <w:r w:rsidR="001B0FA3">
        <w:rPr>
          <w:rFonts w:cs="Arial"/>
          <w:szCs w:val="22"/>
          <w:lang w:eastAsia="en-ZA"/>
        </w:rPr>
        <w:t> </w:t>
      </w:r>
      <w:r w:rsidR="008500CE" w:rsidRPr="008500CE">
        <w:rPr>
          <w:rFonts w:cs="Arial"/>
          <w:szCs w:val="22"/>
          <w:lang w:eastAsia="en-ZA"/>
        </w:rPr>
        <w:t>601.90 pre-apportionment</w:t>
      </w:r>
      <w:r w:rsidR="001B0FA3">
        <w:rPr>
          <w:rFonts w:cs="Arial"/>
          <w:szCs w:val="22"/>
          <w:lang w:eastAsia="en-ZA"/>
        </w:rPr>
        <w:t xml:space="preserve"> or R4 095 541.71 post apportionment</w:t>
      </w:r>
      <w:r w:rsidR="003B3C82" w:rsidRPr="008500CE">
        <w:rPr>
          <w:rFonts w:cs="Arial"/>
          <w:szCs w:val="22"/>
          <w:lang w:eastAsia="en-ZA"/>
        </w:rPr>
        <w:t>.</w:t>
      </w:r>
    </w:p>
    <w:p w14:paraId="3D9BC6CE" w14:textId="3425D489" w:rsidR="007E3771" w:rsidRPr="001A7E45" w:rsidRDefault="0097366B" w:rsidP="0097366B">
      <w:pPr>
        <w:widowControl w:val="0"/>
        <w:tabs>
          <w:tab w:val="left" w:pos="567"/>
        </w:tabs>
        <w:autoSpaceDE w:val="0"/>
        <w:autoSpaceDN w:val="0"/>
        <w:adjustRightInd w:val="0"/>
        <w:spacing w:before="480" w:after="480" w:line="480" w:lineRule="auto"/>
        <w:jc w:val="both"/>
        <w:rPr>
          <w:rFonts w:cs="Arial"/>
          <w:bCs/>
          <w:szCs w:val="22"/>
        </w:rPr>
      </w:pPr>
      <w:r w:rsidRPr="001A7E45">
        <w:rPr>
          <w:rFonts w:cs="Arial"/>
          <w:bCs/>
          <w:szCs w:val="22"/>
        </w:rPr>
        <w:t>[17]</w:t>
      </w:r>
      <w:r w:rsidRPr="001A7E45">
        <w:rPr>
          <w:rFonts w:cs="Arial"/>
          <w:bCs/>
          <w:szCs w:val="22"/>
        </w:rPr>
        <w:tab/>
      </w:r>
      <w:r w:rsidR="008500CE">
        <w:rPr>
          <w:rFonts w:cs="Arial"/>
          <w:szCs w:val="22"/>
          <w:lang w:eastAsia="en-ZA"/>
        </w:rPr>
        <w:t xml:space="preserve">Mr </w:t>
      </w:r>
      <w:r w:rsidR="008500CE">
        <w:rPr>
          <w:rFonts w:cs="Arial"/>
        </w:rPr>
        <w:t xml:space="preserve">Ngomana </w:t>
      </w:r>
      <w:r w:rsidR="00C36329">
        <w:rPr>
          <w:rFonts w:cs="Arial"/>
        </w:rPr>
        <w:t>who appeared for the defendant argued that the contingency should be 65%</w:t>
      </w:r>
      <w:r w:rsidR="00DF4A60">
        <w:rPr>
          <w:rFonts w:cs="Arial"/>
        </w:rPr>
        <w:t xml:space="preserve"> rather than 30%</w:t>
      </w:r>
      <w:r w:rsidR="00C36329">
        <w:rPr>
          <w:rFonts w:cs="Arial"/>
        </w:rPr>
        <w:t>.</w:t>
      </w:r>
      <w:r w:rsidR="007E3771">
        <w:rPr>
          <w:rFonts w:cs="Arial"/>
        </w:rPr>
        <w:t xml:space="preserve"> This was the point of </w:t>
      </w:r>
      <w:r w:rsidR="00DF4A60">
        <w:rPr>
          <w:rFonts w:cs="Arial"/>
        </w:rPr>
        <w:t>divergence</w:t>
      </w:r>
      <w:r w:rsidR="007E3771">
        <w:rPr>
          <w:rFonts w:cs="Arial"/>
        </w:rPr>
        <w:t xml:space="preserve"> between counsel.</w:t>
      </w:r>
      <w:r w:rsidR="001A7E45">
        <w:rPr>
          <w:rFonts w:cs="Arial"/>
        </w:rPr>
        <w:t xml:space="preserve"> He submitted the following calculation of future loss of earnings:</w:t>
      </w:r>
    </w:p>
    <w:p w14:paraId="305C51C0" w14:textId="0A30C6EF" w:rsidR="001A7E45" w:rsidRDefault="001A7E45" w:rsidP="001A7E45">
      <w:pPr>
        <w:widowControl w:val="0"/>
        <w:autoSpaceDE w:val="0"/>
        <w:autoSpaceDN w:val="0"/>
        <w:adjustRightInd w:val="0"/>
        <w:ind w:left="2880"/>
        <w:jc w:val="both"/>
        <w:rPr>
          <w:rFonts w:cs="Arial"/>
          <w:bCs/>
          <w:szCs w:val="22"/>
        </w:rPr>
      </w:pPr>
      <w:r>
        <w:rPr>
          <w:rFonts w:cs="Arial"/>
          <w:bCs/>
          <w:szCs w:val="22"/>
        </w:rPr>
        <w:lastRenderedPageBreak/>
        <w:t>R6 121 917</w:t>
      </w:r>
    </w:p>
    <w:p w14:paraId="08CE91B7" w14:textId="7960163B" w:rsidR="001A7E45" w:rsidRDefault="001A7E45" w:rsidP="001A7E45">
      <w:pPr>
        <w:widowControl w:val="0"/>
        <w:autoSpaceDE w:val="0"/>
        <w:autoSpaceDN w:val="0"/>
        <w:adjustRightInd w:val="0"/>
        <w:ind w:left="2880"/>
        <w:jc w:val="both"/>
        <w:rPr>
          <w:rFonts w:cs="Arial"/>
          <w:bCs/>
          <w:szCs w:val="22"/>
        </w:rPr>
      </w:pPr>
      <w:r>
        <w:rPr>
          <w:rFonts w:cs="Arial"/>
          <w:bCs/>
          <w:szCs w:val="22"/>
        </w:rPr>
        <w:t>Minus 65%</w:t>
      </w:r>
    </w:p>
    <w:p w14:paraId="7641DA5A" w14:textId="1B2509A0" w:rsidR="001A7E45" w:rsidRDefault="001A7E45" w:rsidP="001A7E45">
      <w:pPr>
        <w:widowControl w:val="0"/>
        <w:autoSpaceDE w:val="0"/>
        <w:autoSpaceDN w:val="0"/>
        <w:adjustRightInd w:val="0"/>
        <w:ind w:left="2880"/>
        <w:jc w:val="both"/>
        <w:rPr>
          <w:rFonts w:cs="Arial"/>
          <w:bCs/>
          <w:szCs w:val="22"/>
        </w:rPr>
      </w:pPr>
      <w:r>
        <w:rPr>
          <w:rFonts w:cs="Arial"/>
          <w:bCs/>
          <w:szCs w:val="22"/>
        </w:rPr>
        <w:t>= R2 142 670.95</w:t>
      </w:r>
    </w:p>
    <w:p w14:paraId="76EF1045" w14:textId="475A4A05" w:rsidR="001A7E45" w:rsidRDefault="001A7E45" w:rsidP="001A7E45">
      <w:pPr>
        <w:widowControl w:val="0"/>
        <w:autoSpaceDE w:val="0"/>
        <w:autoSpaceDN w:val="0"/>
        <w:adjustRightInd w:val="0"/>
        <w:ind w:left="2880"/>
        <w:jc w:val="both"/>
        <w:rPr>
          <w:rFonts w:cs="Arial"/>
          <w:bCs/>
          <w:szCs w:val="22"/>
        </w:rPr>
      </w:pPr>
      <w:r>
        <w:rPr>
          <w:rFonts w:cs="Arial"/>
          <w:bCs/>
          <w:szCs w:val="22"/>
        </w:rPr>
        <w:t>Less 10%</w:t>
      </w:r>
    </w:p>
    <w:p w14:paraId="6DD6840C" w14:textId="36A5AA56" w:rsidR="001A7E45" w:rsidRPr="007E3771" w:rsidRDefault="001A7E45" w:rsidP="001A7E45">
      <w:pPr>
        <w:widowControl w:val="0"/>
        <w:autoSpaceDE w:val="0"/>
        <w:autoSpaceDN w:val="0"/>
        <w:adjustRightInd w:val="0"/>
        <w:ind w:left="2880"/>
        <w:jc w:val="both"/>
        <w:rPr>
          <w:rFonts w:cs="Arial"/>
          <w:bCs/>
          <w:szCs w:val="22"/>
        </w:rPr>
      </w:pPr>
      <w:r>
        <w:rPr>
          <w:rFonts w:cs="Arial"/>
          <w:bCs/>
          <w:szCs w:val="22"/>
        </w:rPr>
        <w:t>= R1 928 403.86</w:t>
      </w:r>
    </w:p>
    <w:p w14:paraId="305AC602" w14:textId="6AB81C62" w:rsidR="00655FFB" w:rsidRDefault="0097366B" w:rsidP="0097366B">
      <w:pPr>
        <w:widowControl w:val="0"/>
        <w:tabs>
          <w:tab w:val="left" w:pos="567"/>
        </w:tabs>
        <w:autoSpaceDE w:val="0"/>
        <w:autoSpaceDN w:val="0"/>
        <w:adjustRightInd w:val="0"/>
        <w:spacing w:before="480" w:after="480" w:line="480" w:lineRule="auto"/>
        <w:jc w:val="both"/>
        <w:rPr>
          <w:rFonts w:cs="Arial"/>
          <w:bCs/>
          <w:szCs w:val="22"/>
        </w:rPr>
      </w:pPr>
      <w:r>
        <w:rPr>
          <w:rFonts w:cs="Arial"/>
          <w:bCs/>
          <w:szCs w:val="22"/>
        </w:rPr>
        <w:t>[18]</w:t>
      </w:r>
      <w:r>
        <w:rPr>
          <w:rFonts w:cs="Arial"/>
          <w:bCs/>
          <w:szCs w:val="22"/>
        </w:rPr>
        <w:tab/>
      </w:r>
      <w:r w:rsidR="00655FFB">
        <w:rPr>
          <w:rFonts w:cs="Arial"/>
          <w:bCs/>
          <w:szCs w:val="22"/>
        </w:rPr>
        <w:t>In</w:t>
      </w:r>
      <w:r w:rsidR="00655FFB" w:rsidRPr="00655FFB">
        <w:rPr>
          <w:i/>
          <w:iCs/>
        </w:rPr>
        <w:t xml:space="preserve"> </w:t>
      </w:r>
      <w:r w:rsidR="00655FFB" w:rsidRPr="00BA1E1A">
        <w:rPr>
          <w:i/>
          <w:iCs/>
        </w:rPr>
        <w:t>Mbokazi v Minister of Police and another</w:t>
      </w:r>
      <w:r w:rsidR="00655FFB">
        <w:t xml:space="preserve"> [2020] JOL 47640 (GP)</w:t>
      </w:r>
      <w:r w:rsidR="00655FFB">
        <w:rPr>
          <w:rFonts w:cs="Arial"/>
          <w:bCs/>
          <w:szCs w:val="22"/>
        </w:rPr>
        <w:t>, Bhoola AJ said:</w:t>
      </w:r>
    </w:p>
    <w:p w14:paraId="7F63DE36" w14:textId="65D45199" w:rsidR="00655FFB" w:rsidRDefault="00655FFB" w:rsidP="00526AFF">
      <w:pPr>
        <w:widowControl w:val="0"/>
        <w:autoSpaceDE w:val="0"/>
        <w:autoSpaceDN w:val="0"/>
        <w:adjustRightInd w:val="0"/>
        <w:spacing w:before="120" w:after="120" w:line="360" w:lineRule="auto"/>
        <w:ind w:left="1440"/>
        <w:jc w:val="both"/>
        <w:rPr>
          <w:i/>
          <w:iCs/>
        </w:rPr>
      </w:pPr>
      <w:r>
        <w:rPr>
          <w:rFonts w:cs="Arial"/>
          <w:bCs/>
          <w:i/>
          <w:iCs/>
          <w:szCs w:val="22"/>
        </w:rPr>
        <w:t xml:space="preserve">“[16] </w:t>
      </w:r>
      <w:r w:rsidRPr="00655FFB">
        <w:rPr>
          <w:i/>
          <w:iCs/>
        </w:rPr>
        <w:t xml:space="preserve">In this regard counsel submitted that the authorities are clear that where there is no proof of income a contingency deduction of up to 50% may be applied and also made reference in this regard to AA Mutual Insurance Association Ltd v Maqula 1978 (1) SA 805. The court also stated that the law is settled in that a trial court has a wide discretion to award what it considers to be a fair and adequate compensation to the injured party for his bodily injuries and their sequelae. </w:t>
      </w:r>
    </w:p>
    <w:p w14:paraId="7A8821EC" w14:textId="5310FC5A" w:rsidR="00655FFB" w:rsidRPr="00655FFB" w:rsidRDefault="00655FFB" w:rsidP="00526AFF">
      <w:pPr>
        <w:widowControl w:val="0"/>
        <w:autoSpaceDE w:val="0"/>
        <w:autoSpaceDN w:val="0"/>
        <w:adjustRightInd w:val="0"/>
        <w:spacing w:before="120" w:after="120" w:line="360" w:lineRule="auto"/>
        <w:ind w:left="1440"/>
        <w:jc w:val="both"/>
        <w:rPr>
          <w:rFonts w:cs="Arial"/>
          <w:bCs/>
          <w:i/>
          <w:iCs/>
          <w:szCs w:val="22"/>
        </w:rPr>
      </w:pPr>
      <w:r w:rsidRPr="00655FFB">
        <w:rPr>
          <w:i/>
          <w:iCs/>
        </w:rPr>
        <w:t>[17] Counsel submitted that since actuarial calculations were done without any proof of income whatsoever the court was required to bear this in mind when coming to a decision on how much the plaintiff should be compensated with. Hence, it was submitted that the amount should be R2</w:t>
      </w:r>
      <w:r>
        <w:rPr>
          <w:i/>
          <w:iCs/>
        </w:rPr>
        <w:t> </w:t>
      </w:r>
      <w:r w:rsidRPr="00655FFB">
        <w:rPr>
          <w:i/>
          <w:iCs/>
        </w:rPr>
        <w:t>650</w:t>
      </w:r>
      <w:r>
        <w:rPr>
          <w:i/>
          <w:iCs/>
        </w:rPr>
        <w:t> </w:t>
      </w:r>
      <w:r w:rsidRPr="00655FFB">
        <w:rPr>
          <w:i/>
          <w:iCs/>
        </w:rPr>
        <w:t>329.50 with 50% contingency</w:t>
      </w:r>
      <w:r w:rsidRPr="00655FFB">
        <w:rPr>
          <w:rFonts w:cs="Arial"/>
          <w:bCs/>
          <w:i/>
          <w:iCs/>
          <w:szCs w:val="22"/>
        </w:rPr>
        <w:t>”</w:t>
      </w:r>
    </w:p>
    <w:p w14:paraId="2EC616F7" w14:textId="1E5CD730" w:rsidR="00526AFF" w:rsidRPr="00526AFF" w:rsidRDefault="0097366B" w:rsidP="0097366B">
      <w:pPr>
        <w:widowControl w:val="0"/>
        <w:tabs>
          <w:tab w:val="left" w:pos="567"/>
        </w:tabs>
        <w:autoSpaceDE w:val="0"/>
        <w:autoSpaceDN w:val="0"/>
        <w:adjustRightInd w:val="0"/>
        <w:spacing w:before="480" w:after="480" w:line="480" w:lineRule="auto"/>
        <w:jc w:val="both"/>
        <w:rPr>
          <w:rFonts w:cs="Arial"/>
          <w:bCs/>
          <w:szCs w:val="22"/>
        </w:rPr>
      </w:pPr>
      <w:r w:rsidRPr="00526AFF">
        <w:rPr>
          <w:rFonts w:cs="Arial"/>
          <w:bCs/>
          <w:szCs w:val="22"/>
        </w:rPr>
        <w:t>[19]</w:t>
      </w:r>
      <w:r w:rsidRPr="00526AFF">
        <w:rPr>
          <w:rFonts w:cs="Arial"/>
          <w:bCs/>
          <w:szCs w:val="22"/>
        </w:rPr>
        <w:tab/>
      </w:r>
      <w:r w:rsidR="00526AFF">
        <w:rPr>
          <w:rFonts w:cs="Arial"/>
        </w:rPr>
        <w:t xml:space="preserve">The Learned Judge also referred to </w:t>
      </w:r>
      <w:r w:rsidR="00526AFF" w:rsidRPr="00526AFF">
        <w:rPr>
          <w:i/>
          <w:iCs/>
        </w:rPr>
        <w:t>Southern Insurance Association v Bailey NO</w:t>
      </w:r>
      <w:r w:rsidR="00526AFF">
        <w:t xml:space="preserve"> 1984 (1) SA 98 (A) 113 G-I where Nicholas JA said the following:</w:t>
      </w:r>
    </w:p>
    <w:p w14:paraId="2B7BA3A7" w14:textId="77777777" w:rsidR="00DF35C6" w:rsidRPr="00DF35C6" w:rsidRDefault="00DF35C6" w:rsidP="00DF35C6">
      <w:pPr>
        <w:spacing w:before="120" w:after="120" w:line="360" w:lineRule="auto"/>
        <w:ind w:left="1440"/>
        <w:jc w:val="both"/>
        <w:rPr>
          <w:i/>
          <w:iCs/>
          <w:color w:val="000000" w:themeColor="text1"/>
        </w:rPr>
      </w:pPr>
      <w:r w:rsidRPr="00DF35C6">
        <w:rPr>
          <w:i/>
          <w:iCs/>
          <w:color w:val="000000" w:themeColor="text1"/>
        </w:rPr>
        <w:t>“Any enquiry into damages for loss of earning capacity is of its nature speculative, because it involves a prediction as to the  future, without the benefit of crystal balls, soothsayers, augurs or oracles. All that the Court can do is to make an estimate, which is often a very rough estimate, of the present value of the loss.</w:t>
      </w:r>
    </w:p>
    <w:p w14:paraId="4141F796" w14:textId="77777777" w:rsidR="00DF35C6" w:rsidRPr="00DF35C6" w:rsidRDefault="00DF35C6" w:rsidP="00DF35C6">
      <w:pPr>
        <w:spacing w:before="120" w:after="120" w:line="360" w:lineRule="auto"/>
        <w:ind w:left="1440"/>
        <w:jc w:val="both"/>
        <w:rPr>
          <w:i/>
          <w:iCs/>
          <w:color w:val="000000" w:themeColor="text1"/>
        </w:rPr>
      </w:pPr>
      <w:r w:rsidRPr="00DF35C6">
        <w:rPr>
          <w:i/>
          <w:iCs/>
          <w:color w:val="000000" w:themeColor="text1"/>
        </w:rPr>
        <w:t>It has open to it two possible approaches.</w:t>
      </w:r>
    </w:p>
    <w:p w14:paraId="1AC41EFE" w14:textId="77777777" w:rsidR="00DF35C6" w:rsidRPr="00DF35C6" w:rsidRDefault="00DF35C6" w:rsidP="00DF35C6">
      <w:pPr>
        <w:spacing w:before="120" w:after="120" w:line="360" w:lineRule="auto"/>
        <w:ind w:left="1440"/>
        <w:jc w:val="both"/>
        <w:rPr>
          <w:i/>
          <w:iCs/>
          <w:color w:val="000000" w:themeColor="text1"/>
        </w:rPr>
      </w:pPr>
      <w:r w:rsidRPr="00DF35C6">
        <w:rPr>
          <w:i/>
          <w:iCs/>
          <w:color w:val="000000" w:themeColor="text1"/>
        </w:rPr>
        <w:t>One is for the Judge to make a round estimate of an amount which seems to him to be fair and reasonable. That is entirely a matter of guesswork, a blind plunge into the unknown.</w:t>
      </w:r>
    </w:p>
    <w:p w14:paraId="70E5C685" w14:textId="77777777" w:rsidR="00DF35C6" w:rsidRPr="00DF35C6" w:rsidRDefault="00DF35C6" w:rsidP="00DF35C6">
      <w:pPr>
        <w:spacing w:before="120" w:after="120" w:line="360" w:lineRule="auto"/>
        <w:ind w:left="1440"/>
        <w:jc w:val="both"/>
        <w:rPr>
          <w:i/>
          <w:iCs/>
          <w:color w:val="000000" w:themeColor="text1"/>
        </w:rPr>
      </w:pPr>
      <w:r w:rsidRPr="00DF35C6">
        <w:rPr>
          <w:i/>
          <w:iCs/>
          <w:color w:val="000000" w:themeColor="text1"/>
        </w:rPr>
        <w:lastRenderedPageBreak/>
        <w:t>The other is to try to make an assessment, by way of mathematical calculations, on the basis of assumptions resting on the evidence. The validity of this approach depends of course upon the soundness of the assumptions, and these may vary from the strongly probable to the speculative.</w:t>
      </w:r>
    </w:p>
    <w:p w14:paraId="39FDCAC3" w14:textId="77777777" w:rsidR="00DF35C6" w:rsidRPr="00DF35C6" w:rsidRDefault="00DF35C6" w:rsidP="00DF35C6">
      <w:pPr>
        <w:spacing w:before="120" w:after="120" w:line="360" w:lineRule="auto"/>
        <w:ind w:left="1440"/>
        <w:jc w:val="both"/>
        <w:rPr>
          <w:i/>
          <w:iCs/>
          <w:color w:val="000000" w:themeColor="text1"/>
        </w:rPr>
      </w:pPr>
      <w:r w:rsidRPr="00DF35C6">
        <w:rPr>
          <w:i/>
          <w:iCs/>
          <w:color w:val="000000" w:themeColor="text1"/>
        </w:rPr>
        <w:t>It is manifest that either approach involves guesswork to a greater or lesser extent. But the Court cannot for this reason adopt a non possumus attitude and make no award. See Hersman v  A  Shapiro &amp; Co 1926 TPD 367 at 379 per STRATFORD J:</w:t>
      </w:r>
    </w:p>
    <w:p w14:paraId="58586ACA" w14:textId="77777777" w:rsidR="00DF35C6" w:rsidRPr="00DF35C6" w:rsidRDefault="00DF35C6" w:rsidP="00DF35C6">
      <w:pPr>
        <w:spacing w:before="120" w:after="120" w:line="360" w:lineRule="auto"/>
        <w:ind w:left="2160"/>
        <w:jc w:val="both"/>
        <w:rPr>
          <w:i/>
          <w:iCs/>
          <w:color w:val="000000" w:themeColor="text1"/>
        </w:rPr>
      </w:pPr>
      <w:r w:rsidRPr="00DF35C6">
        <w:rPr>
          <w:i/>
          <w:iCs/>
          <w:color w:val="000000" w:themeColor="text1"/>
        </w:rPr>
        <w:t>"Monetary damage having been suffered, it is necessary for the Court to assess the amount and make the best use it can of the evidence before it. There are cases where the assessment by the Court is little more than an estimate; but even so, if it is certain that pecuniary damage has been suffered, the Court is bound to award damages."</w:t>
      </w:r>
    </w:p>
    <w:p w14:paraId="530599F4" w14:textId="77777777" w:rsidR="00DF35C6" w:rsidRPr="00DF35C6" w:rsidRDefault="00DF35C6" w:rsidP="00DF35C6">
      <w:pPr>
        <w:spacing w:before="120" w:after="120" w:line="360" w:lineRule="auto"/>
        <w:ind w:left="1440"/>
        <w:jc w:val="both"/>
        <w:rPr>
          <w:i/>
          <w:iCs/>
          <w:color w:val="000000" w:themeColor="text1"/>
        </w:rPr>
      </w:pPr>
      <w:r w:rsidRPr="00DF35C6">
        <w:rPr>
          <w:i/>
          <w:iCs/>
          <w:color w:val="000000" w:themeColor="text1"/>
        </w:rPr>
        <w:t>And in Anthony and Another v Cape Town Municipality </w:t>
      </w:r>
      <w:hyperlink r:id="rId9" w:history="1">
        <w:r w:rsidRPr="00DF35C6">
          <w:rPr>
            <w:rStyle w:val="Hyperlink"/>
            <w:i/>
            <w:iCs/>
            <w:color w:val="000000" w:themeColor="text1"/>
            <w:u w:val="none"/>
          </w:rPr>
          <w:t>1967 (4) SA 445 (A)</w:t>
        </w:r>
      </w:hyperlink>
      <w:r w:rsidRPr="00DF35C6">
        <w:rPr>
          <w:i/>
          <w:iCs/>
          <w:color w:val="000000" w:themeColor="text1"/>
        </w:rPr>
        <w:t>  B  HOLMES JA is reported as saying at 451B - C:</w:t>
      </w:r>
    </w:p>
    <w:p w14:paraId="18F005ED" w14:textId="77777777" w:rsidR="00DF35C6" w:rsidRPr="00DF35C6" w:rsidRDefault="00DF35C6" w:rsidP="00DF35C6">
      <w:pPr>
        <w:spacing w:before="120" w:after="120" w:line="360" w:lineRule="auto"/>
        <w:ind w:left="2160"/>
        <w:jc w:val="both"/>
        <w:rPr>
          <w:i/>
          <w:iCs/>
          <w:color w:val="000000" w:themeColor="text1"/>
        </w:rPr>
      </w:pPr>
      <w:r w:rsidRPr="00DF35C6">
        <w:rPr>
          <w:i/>
          <w:iCs/>
          <w:color w:val="000000" w:themeColor="text1"/>
        </w:rPr>
        <w:t>"I therefore turn to the assessment of damages. When it comes to scanning the uncertain future, the Court is virtually pondering the imponderable, but must do the best it can on the material available, even if the result may not inappropriately be described as an informed guess, for no better system has yet been devised for assessing general damages for future loss; see  C  Pitt v Economic Insurance Co Ltd </w:t>
      </w:r>
      <w:hyperlink r:id="rId10" w:history="1">
        <w:r w:rsidRPr="00DF35C6">
          <w:rPr>
            <w:rStyle w:val="Hyperlink"/>
            <w:i/>
            <w:iCs/>
            <w:color w:val="000000" w:themeColor="text1"/>
            <w:u w:val="none"/>
          </w:rPr>
          <w:t>1957 (3) SA 284 (N)</w:t>
        </w:r>
      </w:hyperlink>
      <w:r w:rsidRPr="00DF35C6">
        <w:rPr>
          <w:i/>
          <w:iCs/>
          <w:color w:val="000000" w:themeColor="text1"/>
        </w:rPr>
        <w:t> at 287 and Turkstra Ltd v Richards 1926 TPD at 282 in fin - 283."</w:t>
      </w:r>
    </w:p>
    <w:p w14:paraId="4B20183C" w14:textId="77777777" w:rsidR="00DF35C6" w:rsidRPr="00106E08" w:rsidRDefault="00DF35C6" w:rsidP="00DF35C6">
      <w:pPr>
        <w:ind w:left="1440"/>
      </w:pPr>
    </w:p>
    <w:p w14:paraId="6D28A0EA" w14:textId="16B7A5B5" w:rsidR="00526AFF" w:rsidRPr="00526AFF" w:rsidRDefault="0097366B" w:rsidP="0097366B">
      <w:pPr>
        <w:widowControl w:val="0"/>
        <w:tabs>
          <w:tab w:val="left" w:pos="567"/>
        </w:tabs>
        <w:autoSpaceDE w:val="0"/>
        <w:autoSpaceDN w:val="0"/>
        <w:adjustRightInd w:val="0"/>
        <w:spacing w:before="480" w:after="480" w:line="480" w:lineRule="auto"/>
        <w:jc w:val="both"/>
        <w:rPr>
          <w:rFonts w:cs="Arial"/>
          <w:bCs/>
          <w:szCs w:val="22"/>
        </w:rPr>
      </w:pPr>
      <w:r w:rsidRPr="00526AFF">
        <w:rPr>
          <w:rFonts w:cs="Arial"/>
          <w:bCs/>
          <w:szCs w:val="22"/>
        </w:rPr>
        <w:t>[20]</w:t>
      </w:r>
      <w:r w:rsidRPr="00526AFF">
        <w:rPr>
          <w:rFonts w:cs="Arial"/>
          <w:bCs/>
          <w:szCs w:val="22"/>
        </w:rPr>
        <w:tab/>
      </w:r>
      <w:r w:rsidR="00390F12">
        <w:rPr>
          <w:rFonts w:cs="Arial"/>
          <w:szCs w:val="22"/>
          <w:lang w:eastAsia="en-ZA"/>
        </w:rPr>
        <w:t xml:space="preserve">Mr </w:t>
      </w:r>
      <w:r w:rsidR="00390F12">
        <w:rPr>
          <w:rFonts w:cs="Arial"/>
        </w:rPr>
        <w:t xml:space="preserve">Ngomana is of course correct that a court must be wary when future loss of earnings is claimed by or on behalf of a patient unable to prove actual income prior to the accident. There is however no dispute as to the fact that he was working and </w:t>
      </w:r>
      <w:r w:rsidR="006649A7">
        <w:rPr>
          <w:rFonts w:cs="Arial"/>
          <w:bCs/>
          <w:szCs w:val="22"/>
        </w:rPr>
        <w:t xml:space="preserve">the experts </w:t>
      </w:r>
      <w:r w:rsidR="00390F12" w:rsidRPr="004A7383">
        <w:rPr>
          <w:rFonts w:cs="Arial"/>
          <w:szCs w:val="22"/>
          <w:lang w:eastAsia="en-ZA"/>
        </w:rPr>
        <w:t>adopted a conservative approach</w:t>
      </w:r>
      <w:r w:rsidR="002E5942">
        <w:rPr>
          <w:rFonts w:cs="Arial"/>
          <w:szCs w:val="22"/>
          <w:lang w:eastAsia="en-ZA"/>
        </w:rPr>
        <w:t xml:space="preserve"> by </w:t>
      </w:r>
      <w:r w:rsidR="00390F12" w:rsidRPr="004A7383">
        <w:rPr>
          <w:rFonts w:cs="Arial"/>
          <w:szCs w:val="22"/>
          <w:lang w:eastAsia="en-ZA"/>
        </w:rPr>
        <w:t>starting his career path at minimum wage level.</w:t>
      </w:r>
    </w:p>
    <w:p w14:paraId="04D67CA7" w14:textId="59FE956F" w:rsidR="008500CE" w:rsidRPr="008500CE" w:rsidRDefault="0097366B" w:rsidP="0097366B">
      <w:pPr>
        <w:widowControl w:val="0"/>
        <w:tabs>
          <w:tab w:val="left" w:pos="567"/>
        </w:tabs>
        <w:autoSpaceDE w:val="0"/>
        <w:autoSpaceDN w:val="0"/>
        <w:adjustRightInd w:val="0"/>
        <w:spacing w:before="480" w:after="480" w:line="480" w:lineRule="auto"/>
        <w:jc w:val="both"/>
        <w:rPr>
          <w:rFonts w:cs="Arial"/>
          <w:bCs/>
          <w:szCs w:val="22"/>
        </w:rPr>
      </w:pPr>
      <w:r w:rsidRPr="008500CE">
        <w:rPr>
          <w:rFonts w:cs="Arial"/>
          <w:bCs/>
          <w:szCs w:val="22"/>
        </w:rPr>
        <w:t>[21]</w:t>
      </w:r>
      <w:r w:rsidRPr="008500CE">
        <w:rPr>
          <w:rFonts w:cs="Arial"/>
          <w:bCs/>
          <w:szCs w:val="22"/>
        </w:rPr>
        <w:tab/>
      </w:r>
      <w:r w:rsidR="002E5942">
        <w:rPr>
          <w:rFonts w:cs="Arial"/>
        </w:rPr>
        <w:t xml:space="preserve">Under the circumstances I regard the 30% contingency deduction as appropriate </w:t>
      </w:r>
      <w:r w:rsidR="00742428">
        <w:rPr>
          <w:rFonts w:cs="Arial"/>
        </w:rPr>
        <w:lastRenderedPageBreak/>
        <w:t>and this is provided for in the order made above.</w:t>
      </w:r>
    </w:p>
    <w:p w14:paraId="53CD27EE" w14:textId="672559CF" w:rsidR="00AE287F" w:rsidRDefault="00A649E6" w:rsidP="006C43D7">
      <w:pPr>
        <w:tabs>
          <w:tab w:val="right" w:pos="0"/>
        </w:tabs>
        <w:spacing w:line="360" w:lineRule="auto"/>
        <w:contextualSpacing/>
        <w:jc w:val="right"/>
        <w:rPr>
          <w:rFonts w:cs="Arial"/>
          <w:b/>
        </w:rPr>
      </w:pPr>
      <w:r>
        <w:rPr>
          <w:rFonts w:cs="Arial"/>
          <w:b/>
        </w:rPr>
        <w:t>______________</w:t>
      </w:r>
    </w:p>
    <w:p w14:paraId="0CCB9BFE" w14:textId="7ABE564D" w:rsidR="006C43D7" w:rsidRPr="006C43D7" w:rsidRDefault="00C676F3" w:rsidP="006C43D7">
      <w:pPr>
        <w:tabs>
          <w:tab w:val="right" w:pos="0"/>
        </w:tabs>
        <w:spacing w:line="360" w:lineRule="auto"/>
        <w:contextualSpacing/>
        <w:jc w:val="right"/>
        <w:rPr>
          <w:rFonts w:cs="Arial"/>
          <w:b/>
        </w:rPr>
      </w:pPr>
      <w:r>
        <w:rPr>
          <w:rFonts w:cs="Arial"/>
          <w:b/>
        </w:rPr>
        <w:t>J MOORCROFT</w:t>
      </w:r>
    </w:p>
    <w:p w14:paraId="7A2C1059" w14:textId="77777777" w:rsidR="006C43D7" w:rsidRPr="006C43D7" w:rsidRDefault="006C43D7" w:rsidP="006C43D7">
      <w:pPr>
        <w:tabs>
          <w:tab w:val="right" w:pos="0"/>
        </w:tabs>
        <w:spacing w:line="360" w:lineRule="auto"/>
        <w:contextualSpacing/>
        <w:jc w:val="right"/>
        <w:rPr>
          <w:rFonts w:cs="Arial"/>
          <w:b/>
        </w:rPr>
      </w:pPr>
      <w:r w:rsidRPr="006C43D7">
        <w:rPr>
          <w:rFonts w:cs="Arial"/>
          <w:b/>
        </w:rPr>
        <w:t>ACTING JUDGE OF THE HIGH COURT OF SOUTH AFRICA</w:t>
      </w:r>
    </w:p>
    <w:p w14:paraId="077C2590" w14:textId="7452355B" w:rsidR="006C43D7" w:rsidRPr="006C43D7" w:rsidRDefault="006C43D7" w:rsidP="006C43D7">
      <w:pPr>
        <w:tabs>
          <w:tab w:val="right" w:pos="0"/>
          <w:tab w:val="left" w:pos="4253"/>
        </w:tabs>
        <w:spacing w:line="360" w:lineRule="auto"/>
        <w:contextualSpacing/>
        <w:jc w:val="right"/>
        <w:rPr>
          <w:rFonts w:cs="Arial"/>
          <w:b/>
        </w:rPr>
      </w:pPr>
      <w:r w:rsidRPr="006C43D7">
        <w:rPr>
          <w:rFonts w:cs="Arial"/>
          <w:b/>
        </w:rPr>
        <w:t>GAUTENG DIVISION</w:t>
      </w:r>
    </w:p>
    <w:p w14:paraId="40B9C946" w14:textId="77777777" w:rsidR="006C43D7" w:rsidRPr="006C43D7" w:rsidRDefault="006C43D7" w:rsidP="006C43D7">
      <w:pPr>
        <w:tabs>
          <w:tab w:val="right" w:pos="0"/>
          <w:tab w:val="left" w:pos="4253"/>
        </w:tabs>
        <w:spacing w:line="360" w:lineRule="auto"/>
        <w:contextualSpacing/>
        <w:jc w:val="right"/>
        <w:rPr>
          <w:rFonts w:cs="Arial"/>
          <w:b/>
        </w:rPr>
      </w:pPr>
      <w:r w:rsidRPr="006C43D7">
        <w:rPr>
          <w:rFonts w:cs="Arial"/>
          <w:b/>
        </w:rPr>
        <w:t>JOHANNESBURG</w:t>
      </w:r>
    </w:p>
    <w:p w14:paraId="326B529B" w14:textId="77777777" w:rsidR="006C43D7" w:rsidRPr="006C43D7" w:rsidRDefault="006C43D7" w:rsidP="006C43D7">
      <w:pPr>
        <w:tabs>
          <w:tab w:val="right" w:pos="0"/>
          <w:tab w:val="left" w:pos="4253"/>
        </w:tabs>
        <w:spacing w:line="360" w:lineRule="auto"/>
        <w:contextualSpacing/>
        <w:jc w:val="center"/>
        <w:rPr>
          <w:rFonts w:cs="Arial"/>
          <w:b/>
        </w:rPr>
      </w:pPr>
    </w:p>
    <w:p w14:paraId="5A4CC56C" w14:textId="051C4E22" w:rsidR="006C43D7" w:rsidRPr="006C43D7" w:rsidRDefault="006C43D7" w:rsidP="006C43D7">
      <w:pPr>
        <w:spacing w:after="200" w:line="480" w:lineRule="auto"/>
        <w:contextualSpacing/>
        <w:jc w:val="right"/>
        <w:rPr>
          <w:rFonts w:cs="Arial"/>
          <w:b/>
          <w:i/>
          <w:iCs/>
        </w:rPr>
      </w:pPr>
      <w:r w:rsidRPr="006C43D7">
        <w:rPr>
          <w:rFonts w:cs="Arial"/>
          <w:b/>
          <w:i/>
          <w:iCs/>
        </w:rPr>
        <w:t>Electronically submitted</w:t>
      </w:r>
    </w:p>
    <w:p w14:paraId="4E3E9427" w14:textId="77777777" w:rsidR="006C43D7" w:rsidRPr="006C43D7" w:rsidRDefault="006C43D7" w:rsidP="006C43D7">
      <w:pPr>
        <w:spacing w:after="200" w:line="360" w:lineRule="auto"/>
        <w:contextualSpacing/>
        <w:jc w:val="both"/>
        <w:rPr>
          <w:rFonts w:eastAsia="Arial Unicode MS" w:cs="Arial"/>
          <w:bCs/>
        </w:rPr>
      </w:pPr>
    </w:p>
    <w:p w14:paraId="51C686CA" w14:textId="4A3DB3BE" w:rsidR="006C43D7" w:rsidRPr="00051A2B" w:rsidRDefault="006C43D7" w:rsidP="006C43D7">
      <w:pPr>
        <w:spacing w:after="200" w:line="360" w:lineRule="auto"/>
        <w:contextualSpacing/>
        <w:jc w:val="both"/>
        <w:rPr>
          <w:rFonts w:eastAsia="Arial Unicode MS" w:cs="Arial"/>
          <w:bCs/>
        </w:rPr>
      </w:pPr>
      <w:r w:rsidRPr="006C43D7">
        <w:rPr>
          <w:rFonts w:eastAsia="Arial Unicode MS" w:cs="Arial"/>
          <w:bCs/>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Pr>
          <w:rFonts w:eastAsia="Arial Unicode MS" w:cs="Arial"/>
          <w:bCs/>
        </w:rPr>
        <w:t xml:space="preserve"> </w:t>
      </w:r>
      <w:r w:rsidR="00E2017E">
        <w:rPr>
          <w:rFonts w:eastAsia="Arial Unicode MS" w:cs="Arial"/>
          <w:b/>
        </w:rPr>
        <w:t>27</w:t>
      </w:r>
      <w:r w:rsidR="00DC6EF8" w:rsidRPr="005B696E">
        <w:rPr>
          <w:rFonts w:eastAsia="Arial Unicode MS" w:cs="Arial"/>
          <w:b/>
        </w:rPr>
        <w:t xml:space="preserve"> </w:t>
      </w:r>
      <w:r w:rsidR="00DC6EF8">
        <w:rPr>
          <w:rFonts w:eastAsia="Arial Unicode MS" w:cs="Arial"/>
          <w:b/>
          <w:bCs/>
        </w:rPr>
        <w:t>FEBRUARY</w:t>
      </w:r>
      <w:r w:rsidR="00237FF9">
        <w:rPr>
          <w:rFonts w:eastAsia="Arial Unicode MS" w:cs="Arial"/>
          <w:b/>
          <w:bCs/>
        </w:rPr>
        <w:t xml:space="preserve"> 202</w:t>
      </w:r>
      <w:r w:rsidR="00051A2B">
        <w:rPr>
          <w:rFonts w:eastAsia="Arial Unicode MS" w:cs="Arial"/>
          <w:b/>
          <w:bCs/>
        </w:rPr>
        <w:t>3</w:t>
      </w:r>
      <w:r w:rsidR="00051A2B">
        <w:rPr>
          <w:rFonts w:eastAsia="Arial Unicode MS" w:cs="Arial"/>
          <w:bCs/>
        </w:rPr>
        <w:t>.</w:t>
      </w:r>
    </w:p>
    <w:p w14:paraId="482DDF6E" w14:textId="77777777" w:rsidR="006C43D7" w:rsidRPr="006C43D7" w:rsidRDefault="006C43D7" w:rsidP="006C43D7">
      <w:pPr>
        <w:tabs>
          <w:tab w:val="right" w:pos="0"/>
          <w:tab w:val="left" w:pos="4253"/>
        </w:tabs>
        <w:spacing w:line="360" w:lineRule="auto"/>
        <w:contextualSpacing/>
        <w:jc w:val="center"/>
        <w:rPr>
          <w:rFonts w:cs="Arial"/>
          <w:b/>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651"/>
      </w:tblGrid>
      <w:tr w:rsidR="009D35B5" w14:paraId="493AF0D7" w14:textId="77777777" w:rsidTr="006E3064">
        <w:tc>
          <w:tcPr>
            <w:tcW w:w="4962" w:type="dxa"/>
          </w:tcPr>
          <w:p w14:paraId="6A05541A" w14:textId="0DD3AE55" w:rsidR="009D35B5" w:rsidRDefault="009D35B5" w:rsidP="002C2E80">
            <w:pPr>
              <w:tabs>
                <w:tab w:val="right" w:pos="0"/>
                <w:tab w:val="left" w:pos="4253"/>
              </w:tabs>
              <w:spacing w:line="360" w:lineRule="auto"/>
              <w:contextualSpacing/>
              <w:rPr>
                <w:rFonts w:cs="Arial"/>
              </w:rPr>
            </w:pPr>
            <w:r>
              <w:rPr>
                <w:rFonts w:cs="Arial"/>
              </w:rPr>
              <w:t>COUNSEL</w:t>
            </w:r>
            <w:r w:rsidRPr="006C43D7">
              <w:rPr>
                <w:rFonts w:cs="Arial"/>
              </w:rPr>
              <w:t xml:space="preserve"> FOR THE </w:t>
            </w:r>
            <w:r w:rsidR="006245EC">
              <w:rPr>
                <w:rFonts w:cs="Arial"/>
              </w:rPr>
              <w:t>PLAINTIFF</w:t>
            </w:r>
            <w:r w:rsidRPr="006C43D7">
              <w:rPr>
                <w:rFonts w:cs="Arial"/>
              </w:rPr>
              <w:t>:</w:t>
            </w:r>
          </w:p>
        </w:tc>
        <w:tc>
          <w:tcPr>
            <w:tcW w:w="3651" w:type="dxa"/>
          </w:tcPr>
          <w:p w14:paraId="69785AA9" w14:textId="48EF00BE" w:rsidR="00DC6EF8" w:rsidRDefault="00A92B61" w:rsidP="00DF5291">
            <w:pPr>
              <w:tabs>
                <w:tab w:val="right" w:pos="0"/>
                <w:tab w:val="left" w:pos="567"/>
                <w:tab w:val="right" w:pos="2727"/>
                <w:tab w:val="left" w:pos="4253"/>
              </w:tabs>
              <w:spacing w:line="360" w:lineRule="auto"/>
              <w:contextualSpacing/>
              <w:jc w:val="right"/>
              <w:rPr>
                <w:rFonts w:cs="Arial"/>
              </w:rPr>
            </w:pPr>
            <w:r>
              <w:rPr>
                <w:rFonts w:cs="Arial"/>
              </w:rPr>
              <w:t xml:space="preserve">N  </w:t>
            </w:r>
            <w:r w:rsidR="009653EF">
              <w:rPr>
                <w:rFonts w:cs="Arial"/>
              </w:rPr>
              <w:t>D</w:t>
            </w:r>
            <w:r>
              <w:rPr>
                <w:rFonts w:cs="Arial"/>
              </w:rPr>
              <w:t>AVIDSON</w:t>
            </w:r>
          </w:p>
        </w:tc>
      </w:tr>
      <w:tr w:rsidR="009D35B5" w14:paraId="183C176D" w14:textId="77777777" w:rsidTr="006E3064">
        <w:tc>
          <w:tcPr>
            <w:tcW w:w="4962" w:type="dxa"/>
          </w:tcPr>
          <w:p w14:paraId="75365413" w14:textId="481747BC" w:rsidR="009D35B5" w:rsidRDefault="009D35B5" w:rsidP="002C2E80">
            <w:pPr>
              <w:tabs>
                <w:tab w:val="right" w:pos="0"/>
                <w:tab w:val="left" w:pos="4253"/>
              </w:tabs>
              <w:spacing w:line="360" w:lineRule="auto"/>
              <w:contextualSpacing/>
              <w:rPr>
                <w:rFonts w:cs="Arial"/>
              </w:rPr>
            </w:pPr>
            <w:r w:rsidRPr="006C43D7">
              <w:rPr>
                <w:rFonts w:cs="Arial"/>
              </w:rPr>
              <w:t>INSTRUCTED BY:</w:t>
            </w:r>
          </w:p>
        </w:tc>
        <w:tc>
          <w:tcPr>
            <w:tcW w:w="3651" w:type="dxa"/>
          </w:tcPr>
          <w:p w14:paraId="4044534A" w14:textId="57018317" w:rsidR="009D35B5" w:rsidRDefault="00E906DE" w:rsidP="00424BA6">
            <w:pPr>
              <w:tabs>
                <w:tab w:val="right" w:pos="0"/>
                <w:tab w:val="left" w:pos="4253"/>
              </w:tabs>
              <w:spacing w:line="360" w:lineRule="auto"/>
              <w:contextualSpacing/>
              <w:jc w:val="right"/>
              <w:rPr>
                <w:rFonts w:cs="Arial"/>
              </w:rPr>
            </w:pPr>
            <w:r>
              <w:rPr>
                <w:rFonts w:cs="Arial"/>
              </w:rPr>
              <w:t>M</w:t>
            </w:r>
            <w:r w:rsidR="00A174DB">
              <w:rPr>
                <w:rFonts w:cs="Arial"/>
              </w:rPr>
              <w:t xml:space="preserve"> E D ATTORNEYS</w:t>
            </w:r>
          </w:p>
        </w:tc>
      </w:tr>
      <w:tr w:rsidR="009D35B5" w14:paraId="6E2BF966" w14:textId="77777777" w:rsidTr="006E3064">
        <w:tc>
          <w:tcPr>
            <w:tcW w:w="4962" w:type="dxa"/>
          </w:tcPr>
          <w:p w14:paraId="545B6665" w14:textId="0C31C439" w:rsidR="009D35B5" w:rsidRDefault="009D35B5" w:rsidP="002C2E80">
            <w:pPr>
              <w:tabs>
                <w:tab w:val="right" w:pos="0"/>
                <w:tab w:val="left" w:pos="4253"/>
              </w:tabs>
              <w:spacing w:line="360" w:lineRule="auto"/>
              <w:contextualSpacing/>
              <w:rPr>
                <w:rFonts w:cs="Arial"/>
              </w:rPr>
            </w:pPr>
            <w:r>
              <w:rPr>
                <w:rFonts w:cs="Arial"/>
              </w:rPr>
              <w:t>COUNSEL</w:t>
            </w:r>
            <w:r w:rsidRPr="006C43D7">
              <w:rPr>
                <w:rFonts w:cs="Arial"/>
              </w:rPr>
              <w:t xml:space="preserve"> FOR </w:t>
            </w:r>
            <w:r w:rsidR="006245EC">
              <w:rPr>
                <w:rFonts w:cs="Arial"/>
              </w:rPr>
              <w:t>DEFENDANT</w:t>
            </w:r>
            <w:r w:rsidRPr="006C43D7">
              <w:rPr>
                <w:rFonts w:cs="Arial"/>
              </w:rPr>
              <w:t>:</w:t>
            </w:r>
          </w:p>
        </w:tc>
        <w:tc>
          <w:tcPr>
            <w:tcW w:w="3651" w:type="dxa"/>
          </w:tcPr>
          <w:p w14:paraId="51741A90" w14:textId="60F67B54" w:rsidR="009D35B5" w:rsidRDefault="00A174DB" w:rsidP="00424BA6">
            <w:pPr>
              <w:tabs>
                <w:tab w:val="right" w:pos="0"/>
                <w:tab w:val="left" w:pos="4253"/>
              </w:tabs>
              <w:spacing w:line="360" w:lineRule="auto"/>
              <w:contextualSpacing/>
              <w:jc w:val="right"/>
              <w:rPr>
                <w:rFonts w:cs="Arial"/>
              </w:rPr>
            </w:pPr>
            <w:r>
              <w:rPr>
                <w:rFonts w:cs="Arial"/>
              </w:rPr>
              <w:t>T H NGOMANA</w:t>
            </w:r>
          </w:p>
        </w:tc>
      </w:tr>
      <w:tr w:rsidR="009D35B5" w14:paraId="1EC4105A" w14:textId="77777777" w:rsidTr="006E3064">
        <w:tc>
          <w:tcPr>
            <w:tcW w:w="4962" w:type="dxa"/>
          </w:tcPr>
          <w:p w14:paraId="184EC2ED" w14:textId="1E42F28A" w:rsidR="009D35B5" w:rsidRDefault="009D35B5" w:rsidP="002C2E80">
            <w:pPr>
              <w:tabs>
                <w:tab w:val="right" w:pos="0"/>
                <w:tab w:val="left" w:pos="4253"/>
              </w:tabs>
              <w:spacing w:line="360" w:lineRule="auto"/>
              <w:contextualSpacing/>
              <w:rPr>
                <w:rFonts w:cs="Arial"/>
              </w:rPr>
            </w:pPr>
            <w:r w:rsidRPr="006C43D7">
              <w:rPr>
                <w:rFonts w:cs="Arial"/>
              </w:rPr>
              <w:t>INSTRUCTED BY:</w:t>
            </w:r>
          </w:p>
        </w:tc>
        <w:tc>
          <w:tcPr>
            <w:tcW w:w="3651" w:type="dxa"/>
          </w:tcPr>
          <w:p w14:paraId="2098BE2A" w14:textId="2EA2615B" w:rsidR="009D35B5" w:rsidRDefault="00E906DE" w:rsidP="00424BA6">
            <w:pPr>
              <w:tabs>
                <w:tab w:val="right" w:pos="0"/>
                <w:tab w:val="left" w:pos="4253"/>
              </w:tabs>
              <w:spacing w:line="360" w:lineRule="auto"/>
              <w:contextualSpacing/>
              <w:jc w:val="right"/>
              <w:rPr>
                <w:rFonts w:cs="Arial"/>
              </w:rPr>
            </w:pPr>
            <w:r>
              <w:rPr>
                <w:rFonts w:cs="Arial"/>
              </w:rPr>
              <w:t>STATE ATTORNEY</w:t>
            </w:r>
          </w:p>
        </w:tc>
      </w:tr>
      <w:tr w:rsidR="009D35B5" w14:paraId="2A3FE2B1" w14:textId="77777777" w:rsidTr="006E3064">
        <w:tc>
          <w:tcPr>
            <w:tcW w:w="4962" w:type="dxa"/>
          </w:tcPr>
          <w:p w14:paraId="0767D0FE" w14:textId="4707CE9D" w:rsidR="009D35B5" w:rsidRPr="006C43D7" w:rsidRDefault="009D35B5" w:rsidP="002C2E80">
            <w:pPr>
              <w:tabs>
                <w:tab w:val="right" w:pos="0"/>
                <w:tab w:val="left" w:pos="4253"/>
              </w:tabs>
              <w:spacing w:line="360" w:lineRule="auto"/>
              <w:contextualSpacing/>
              <w:rPr>
                <w:rFonts w:cs="Arial"/>
              </w:rPr>
            </w:pPr>
            <w:r w:rsidRPr="006C43D7">
              <w:rPr>
                <w:rFonts w:cs="Arial"/>
              </w:rPr>
              <w:t xml:space="preserve">DATE OF THE </w:t>
            </w:r>
            <w:r w:rsidR="006245EC">
              <w:rPr>
                <w:rFonts w:cs="Arial"/>
              </w:rPr>
              <w:t>TRIAL</w:t>
            </w:r>
            <w:r w:rsidRPr="006C43D7">
              <w:rPr>
                <w:rFonts w:cs="Arial"/>
              </w:rPr>
              <w:t>:</w:t>
            </w:r>
          </w:p>
        </w:tc>
        <w:tc>
          <w:tcPr>
            <w:tcW w:w="3651" w:type="dxa"/>
          </w:tcPr>
          <w:p w14:paraId="34C95147" w14:textId="39D54319" w:rsidR="009D35B5" w:rsidRDefault="00A174DB" w:rsidP="009D35B5">
            <w:pPr>
              <w:tabs>
                <w:tab w:val="right" w:pos="0"/>
                <w:tab w:val="left" w:pos="4253"/>
              </w:tabs>
              <w:spacing w:line="360" w:lineRule="auto"/>
              <w:contextualSpacing/>
              <w:jc w:val="right"/>
              <w:rPr>
                <w:rFonts w:cs="Arial"/>
              </w:rPr>
            </w:pPr>
            <w:r>
              <w:rPr>
                <w:rFonts w:cs="Arial"/>
              </w:rPr>
              <w:t xml:space="preserve">22 </w:t>
            </w:r>
            <w:r w:rsidR="006245EC">
              <w:rPr>
                <w:rFonts w:cs="Arial"/>
              </w:rPr>
              <w:t xml:space="preserve">FEBRUARY </w:t>
            </w:r>
            <w:r w:rsidR="00051A2B">
              <w:rPr>
                <w:rFonts w:cs="Arial"/>
              </w:rPr>
              <w:t>2023</w:t>
            </w:r>
          </w:p>
        </w:tc>
      </w:tr>
      <w:tr w:rsidR="009D35B5" w14:paraId="2AC11E46" w14:textId="77777777" w:rsidTr="006E3064">
        <w:tc>
          <w:tcPr>
            <w:tcW w:w="4962" w:type="dxa"/>
          </w:tcPr>
          <w:p w14:paraId="1136CEE6" w14:textId="67FA0375" w:rsidR="009D35B5" w:rsidRPr="006C43D7" w:rsidRDefault="009D35B5" w:rsidP="002C2E80">
            <w:pPr>
              <w:tabs>
                <w:tab w:val="right" w:pos="0"/>
                <w:tab w:val="left" w:pos="4253"/>
              </w:tabs>
              <w:spacing w:line="360" w:lineRule="auto"/>
              <w:contextualSpacing/>
              <w:rPr>
                <w:rFonts w:cs="Arial"/>
              </w:rPr>
            </w:pPr>
            <w:r w:rsidRPr="006C43D7">
              <w:rPr>
                <w:rFonts w:cs="Arial"/>
              </w:rPr>
              <w:t xml:space="preserve">DATE OF </w:t>
            </w:r>
            <w:r>
              <w:rPr>
                <w:rFonts w:cs="Arial"/>
              </w:rPr>
              <w:t>ORDER</w:t>
            </w:r>
            <w:r w:rsidRPr="006C43D7">
              <w:rPr>
                <w:rFonts w:cs="Arial"/>
              </w:rPr>
              <w:t>:</w:t>
            </w:r>
          </w:p>
        </w:tc>
        <w:tc>
          <w:tcPr>
            <w:tcW w:w="3651" w:type="dxa"/>
          </w:tcPr>
          <w:p w14:paraId="7EAC157B" w14:textId="175C8CD5" w:rsidR="009D35B5" w:rsidRDefault="00653EE4" w:rsidP="009D35B5">
            <w:pPr>
              <w:tabs>
                <w:tab w:val="right" w:pos="0"/>
                <w:tab w:val="left" w:pos="4253"/>
              </w:tabs>
              <w:spacing w:line="360" w:lineRule="auto"/>
              <w:contextualSpacing/>
              <w:jc w:val="right"/>
              <w:rPr>
                <w:rFonts w:cs="Arial"/>
              </w:rPr>
            </w:pPr>
            <w:r>
              <w:rPr>
                <w:rFonts w:cs="Arial"/>
              </w:rPr>
              <w:t xml:space="preserve">27 </w:t>
            </w:r>
            <w:r w:rsidR="00DC6EF8">
              <w:rPr>
                <w:rFonts w:cs="Arial"/>
              </w:rPr>
              <w:t>FEBRUARY</w:t>
            </w:r>
            <w:r w:rsidR="00051A2B">
              <w:rPr>
                <w:rFonts w:cs="Arial"/>
              </w:rPr>
              <w:t xml:space="preserve"> 2023</w:t>
            </w:r>
          </w:p>
        </w:tc>
      </w:tr>
      <w:tr w:rsidR="009D35B5" w14:paraId="757AA656" w14:textId="77777777" w:rsidTr="006E3064">
        <w:tc>
          <w:tcPr>
            <w:tcW w:w="4962" w:type="dxa"/>
          </w:tcPr>
          <w:p w14:paraId="05387251" w14:textId="5A778948" w:rsidR="009D35B5" w:rsidRPr="006C43D7" w:rsidRDefault="009D35B5" w:rsidP="002C2E80">
            <w:pPr>
              <w:tabs>
                <w:tab w:val="right" w:pos="0"/>
                <w:tab w:val="left" w:pos="4253"/>
              </w:tabs>
              <w:spacing w:line="360" w:lineRule="auto"/>
              <w:contextualSpacing/>
              <w:rPr>
                <w:rFonts w:cs="Arial"/>
              </w:rPr>
            </w:pPr>
            <w:r w:rsidRPr="006C43D7">
              <w:rPr>
                <w:rFonts w:cs="Arial"/>
              </w:rPr>
              <w:t>DATE OF JUDGMENT:</w:t>
            </w:r>
          </w:p>
        </w:tc>
        <w:tc>
          <w:tcPr>
            <w:tcW w:w="3651" w:type="dxa"/>
          </w:tcPr>
          <w:p w14:paraId="61863A62" w14:textId="3F11AADA" w:rsidR="009D35B5" w:rsidRDefault="00653EE4" w:rsidP="009D35B5">
            <w:pPr>
              <w:tabs>
                <w:tab w:val="right" w:pos="0"/>
                <w:tab w:val="left" w:pos="4253"/>
              </w:tabs>
              <w:spacing w:line="360" w:lineRule="auto"/>
              <w:contextualSpacing/>
              <w:jc w:val="right"/>
              <w:rPr>
                <w:rFonts w:cs="Arial"/>
              </w:rPr>
            </w:pPr>
            <w:r>
              <w:rPr>
                <w:rFonts w:cs="Arial"/>
              </w:rPr>
              <w:t xml:space="preserve">27 </w:t>
            </w:r>
            <w:r w:rsidR="00DC6EF8">
              <w:rPr>
                <w:rFonts w:cs="Arial"/>
              </w:rPr>
              <w:t>FEBRUARY</w:t>
            </w:r>
            <w:r w:rsidR="00051A2B">
              <w:rPr>
                <w:rFonts w:cs="Arial"/>
              </w:rPr>
              <w:t xml:space="preserve"> 2023</w:t>
            </w:r>
          </w:p>
        </w:tc>
      </w:tr>
    </w:tbl>
    <w:p w14:paraId="1BD8F4EB" w14:textId="22F42368" w:rsidR="00A402F6" w:rsidRPr="006C43D7" w:rsidRDefault="00A402F6" w:rsidP="00112F84">
      <w:pPr>
        <w:tabs>
          <w:tab w:val="right" w:pos="8647"/>
        </w:tabs>
        <w:spacing w:line="360" w:lineRule="auto"/>
        <w:contextualSpacing/>
        <w:jc w:val="both"/>
        <w:rPr>
          <w:rFonts w:cs="Arial"/>
        </w:rPr>
      </w:pPr>
    </w:p>
    <w:sectPr w:rsidR="00A402F6" w:rsidRPr="006C43D7" w:rsidSect="009869F2">
      <w:headerReference w:type="default" r:id="rId11"/>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CB785" w14:textId="77777777" w:rsidR="00D06AE0" w:rsidRDefault="00D06AE0">
      <w:r>
        <w:separator/>
      </w:r>
    </w:p>
  </w:endnote>
  <w:endnote w:type="continuationSeparator" w:id="0">
    <w:p w14:paraId="2C1237C2" w14:textId="77777777" w:rsidR="00D06AE0" w:rsidRDefault="00D0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960BB" w14:textId="77777777" w:rsidR="00D06AE0" w:rsidRDefault="00D06AE0">
      <w:r>
        <w:separator/>
      </w:r>
    </w:p>
  </w:footnote>
  <w:footnote w:type="continuationSeparator" w:id="0">
    <w:p w14:paraId="3DDE2F75" w14:textId="77777777" w:rsidR="00D06AE0" w:rsidRDefault="00D06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0F94B3B6" w:rsidR="00D645C6" w:rsidRPr="006C43D7" w:rsidRDefault="00D645C6"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97366B">
      <w:rPr>
        <w:rFonts w:cs="Arial"/>
        <w:noProof/>
        <w:sz w:val="20"/>
        <w:szCs w:val="20"/>
        <w:lang w:val="en-GB"/>
      </w:rPr>
      <w:t>2</w:t>
    </w:r>
    <w:r w:rsidRPr="006C43D7">
      <w:rPr>
        <w:rFonts w:cs="Arial"/>
        <w:sz w:val="20"/>
        <w:szCs w:val="20"/>
        <w:lang w:val="en-GB"/>
      </w:rPr>
      <w:fldChar w:fldCharType="end"/>
    </w:r>
  </w:p>
  <w:p w14:paraId="08C008E5" w14:textId="77777777" w:rsidR="00D645C6" w:rsidRPr="006C43D7" w:rsidRDefault="00D645C6" w:rsidP="006C43D7">
    <w:pPr>
      <w:tabs>
        <w:tab w:val="center" w:pos="4153"/>
        <w:tab w:val="right" w:pos="8306"/>
      </w:tabs>
      <w:spacing w:line="276" w:lineRule="auto"/>
      <w:jc w:val="right"/>
      <w:rPr>
        <w:rFonts w:cs="Arial"/>
        <w:lang w:val="en-US"/>
      </w:rPr>
    </w:pPr>
  </w:p>
  <w:p w14:paraId="4A21EF97" w14:textId="77777777" w:rsidR="00D645C6" w:rsidRPr="006C43D7" w:rsidRDefault="00D645C6"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0D15"/>
    <w:multiLevelType w:val="hybridMultilevel"/>
    <w:tmpl w:val="C722E98E"/>
    <w:lvl w:ilvl="0" w:tplc="7FDCA4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8">
    <w:nsid w:val="3D4125D8"/>
    <w:multiLevelType w:val="hybridMultilevel"/>
    <w:tmpl w:val="FC8E942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1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779202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E4C0715"/>
    <w:multiLevelType w:val="hybridMultilevel"/>
    <w:tmpl w:val="1E10A8C0"/>
    <w:lvl w:ilvl="0" w:tplc="42D4537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5"/>
  </w:num>
  <w:num w:numId="4">
    <w:abstractNumId w:val="6"/>
  </w:num>
  <w:num w:numId="5">
    <w:abstractNumId w:val="14"/>
  </w:num>
  <w:num w:numId="6">
    <w:abstractNumId w:val="10"/>
  </w:num>
  <w:num w:numId="7">
    <w:abstractNumId w:val="1"/>
  </w:num>
  <w:num w:numId="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16"/>
  </w:num>
  <w:num w:numId="12">
    <w:abstractNumId w:val="4"/>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abstractNumId w:val="12"/>
  </w:num>
  <w:num w:numId="14">
    <w:abstractNumId w:val="0"/>
  </w:num>
  <w:num w:numId="15">
    <w:abstractNumId w:val="13"/>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1138"/>
    <w:rsid w:val="00006113"/>
    <w:rsid w:val="0001111B"/>
    <w:rsid w:val="0001140A"/>
    <w:rsid w:val="00011522"/>
    <w:rsid w:val="00013B7F"/>
    <w:rsid w:val="00015D74"/>
    <w:rsid w:val="00020F0A"/>
    <w:rsid w:val="00024A29"/>
    <w:rsid w:val="000262B3"/>
    <w:rsid w:val="00030A89"/>
    <w:rsid w:val="000325E2"/>
    <w:rsid w:val="00041B14"/>
    <w:rsid w:val="00047F26"/>
    <w:rsid w:val="00050086"/>
    <w:rsid w:val="000504F1"/>
    <w:rsid w:val="00051A2B"/>
    <w:rsid w:val="000534A0"/>
    <w:rsid w:val="0006059D"/>
    <w:rsid w:val="00063F7B"/>
    <w:rsid w:val="00064D86"/>
    <w:rsid w:val="000737E1"/>
    <w:rsid w:val="00073E30"/>
    <w:rsid w:val="00081716"/>
    <w:rsid w:val="000833BB"/>
    <w:rsid w:val="00087AE6"/>
    <w:rsid w:val="00092591"/>
    <w:rsid w:val="0009488C"/>
    <w:rsid w:val="00097968"/>
    <w:rsid w:val="000A1C9D"/>
    <w:rsid w:val="000A6AD8"/>
    <w:rsid w:val="000B21DA"/>
    <w:rsid w:val="000B5EF7"/>
    <w:rsid w:val="000C1324"/>
    <w:rsid w:val="000C1335"/>
    <w:rsid w:val="000D5760"/>
    <w:rsid w:val="000D7D6A"/>
    <w:rsid w:val="000E1EC8"/>
    <w:rsid w:val="000E5343"/>
    <w:rsid w:val="000F59F8"/>
    <w:rsid w:val="001025B5"/>
    <w:rsid w:val="00104142"/>
    <w:rsid w:val="00112F84"/>
    <w:rsid w:val="001142D1"/>
    <w:rsid w:val="00120C79"/>
    <w:rsid w:val="00120FB1"/>
    <w:rsid w:val="00123566"/>
    <w:rsid w:val="00130253"/>
    <w:rsid w:val="00133E81"/>
    <w:rsid w:val="001368CE"/>
    <w:rsid w:val="00140CED"/>
    <w:rsid w:val="00147FF5"/>
    <w:rsid w:val="00152899"/>
    <w:rsid w:val="00154961"/>
    <w:rsid w:val="00155A21"/>
    <w:rsid w:val="001671C1"/>
    <w:rsid w:val="00171182"/>
    <w:rsid w:val="0017124B"/>
    <w:rsid w:val="00171D7F"/>
    <w:rsid w:val="00172DDF"/>
    <w:rsid w:val="00185ACF"/>
    <w:rsid w:val="001879D4"/>
    <w:rsid w:val="00190579"/>
    <w:rsid w:val="001916C4"/>
    <w:rsid w:val="00192F78"/>
    <w:rsid w:val="00196E14"/>
    <w:rsid w:val="001A5145"/>
    <w:rsid w:val="001A522A"/>
    <w:rsid w:val="001A7904"/>
    <w:rsid w:val="001A7E45"/>
    <w:rsid w:val="001B0FA3"/>
    <w:rsid w:val="001B1D39"/>
    <w:rsid w:val="001B4217"/>
    <w:rsid w:val="001B5D3E"/>
    <w:rsid w:val="001B606B"/>
    <w:rsid w:val="001C0755"/>
    <w:rsid w:val="001D3CC2"/>
    <w:rsid w:val="001E2EED"/>
    <w:rsid w:val="001E518E"/>
    <w:rsid w:val="001F0970"/>
    <w:rsid w:val="001F0A29"/>
    <w:rsid w:val="001F3DBD"/>
    <w:rsid w:val="001F648A"/>
    <w:rsid w:val="00201620"/>
    <w:rsid w:val="002041FA"/>
    <w:rsid w:val="00205392"/>
    <w:rsid w:val="002104BF"/>
    <w:rsid w:val="00215824"/>
    <w:rsid w:val="00216BC8"/>
    <w:rsid w:val="0022218D"/>
    <w:rsid w:val="00226926"/>
    <w:rsid w:val="0022710A"/>
    <w:rsid w:val="00232528"/>
    <w:rsid w:val="00235D20"/>
    <w:rsid w:val="00237FF9"/>
    <w:rsid w:val="00250164"/>
    <w:rsid w:val="0025139E"/>
    <w:rsid w:val="00253F38"/>
    <w:rsid w:val="002625C5"/>
    <w:rsid w:val="00262819"/>
    <w:rsid w:val="00285040"/>
    <w:rsid w:val="00285062"/>
    <w:rsid w:val="00293351"/>
    <w:rsid w:val="0029369B"/>
    <w:rsid w:val="002976B8"/>
    <w:rsid w:val="002A030C"/>
    <w:rsid w:val="002A112D"/>
    <w:rsid w:val="002A4B7B"/>
    <w:rsid w:val="002A66F5"/>
    <w:rsid w:val="002C15AC"/>
    <w:rsid w:val="002C2E80"/>
    <w:rsid w:val="002C4687"/>
    <w:rsid w:val="002D2842"/>
    <w:rsid w:val="002D47B3"/>
    <w:rsid w:val="002D7171"/>
    <w:rsid w:val="002E5942"/>
    <w:rsid w:val="002E5B57"/>
    <w:rsid w:val="002E6CD7"/>
    <w:rsid w:val="002F1C4D"/>
    <w:rsid w:val="002F72D3"/>
    <w:rsid w:val="00302290"/>
    <w:rsid w:val="00302C31"/>
    <w:rsid w:val="00303919"/>
    <w:rsid w:val="003047C2"/>
    <w:rsid w:val="0030653F"/>
    <w:rsid w:val="003102C8"/>
    <w:rsid w:val="0031117B"/>
    <w:rsid w:val="00312EBC"/>
    <w:rsid w:val="00313056"/>
    <w:rsid w:val="003274E4"/>
    <w:rsid w:val="00337135"/>
    <w:rsid w:val="0034147B"/>
    <w:rsid w:val="00342E02"/>
    <w:rsid w:val="003463D6"/>
    <w:rsid w:val="00346D31"/>
    <w:rsid w:val="00346DE6"/>
    <w:rsid w:val="003543C5"/>
    <w:rsid w:val="00354EF2"/>
    <w:rsid w:val="00355931"/>
    <w:rsid w:val="00357081"/>
    <w:rsid w:val="00357D35"/>
    <w:rsid w:val="00363FCD"/>
    <w:rsid w:val="00364C43"/>
    <w:rsid w:val="00364E6A"/>
    <w:rsid w:val="00367720"/>
    <w:rsid w:val="00367778"/>
    <w:rsid w:val="0037029D"/>
    <w:rsid w:val="00373181"/>
    <w:rsid w:val="0037383C"/>
    <w:rsid w:val="00381213"/>
    <w:rsid w:val="003832F7"/>
    <w:rsid w:val="003840EC"/>
    <w:rsid w:val="00390C3F"/>
    <w:rsid w:val="00390F12"/>
    <w:rsid w:val="00393127"/>
    <w:rsid w:val="003A7864"/>
    <w:rsid w:val="003B3C82"/>
    <w:rsid w:val="003B4100"/>
    <w:rsid w:val="003C1A16"/>
    <w:rsid w:val="003C1E91"/>
    <w:rsid w:val="003D19C3"/>
    <w:rsid w:val="003D36F9"/>
    <w:rsid w:val="003D77F1"/>
    <w:rsid w:val="003E7A60"/>
    <w:rsid w:val="003F1F49"/>
    <w:rsid w:val="003F4E8E"/>
    <w:rsid w:val="003F7448"/>
    <w:rsid w:val="00407F28"/>
    <w:rsid w:val="0041100A"/>
    <w:rsid w:val="004131C5"/>
    <w:rsid w:val="0042423E"/>
    <w:rsid w:val="00424BA6"/>
    <w:rsid w:val="004339E6"/>
    <w:rsid w:val="0043683A"/>
    <w:rsid w:val="00437EB1"/>
    <w:rsid w:val="00441422"/>
    <w:rsid w:val="00444ED6"/>
    <w:rsid w:val="00445DCB"/>
    <w:rsid w:val="0045044C"/>
    <w:rsid w:val="00460495"/>
    <w:rsid w:val="00460EEA"/>
    <w:rsid w:val="004630B6"/>
    <w:rsid w:val="00463106"/>
    <w:rsid w:val="00466F01"/>
    <w:rsid w:val="00474607"/>
    <w:rsid w:val="00474910"/>
    <w:rsid w:val="004749AF"/>
    <w:rsid w:val="00475410"/>
    <w:rsid w:val="004804A7"/>
    <w:rsid w:val="00484116"/>
    <w:rsid w:val="0048424E"/>
    <w:rsid w:val="00486F42"/>
    <w:rsid w:val="00487D14"/>
    <w:rsid w:val="004A2C7E"/>
    <w:rsid w:val="004A6625"/>
    <w:rsid w:val="004A69D6"/>
    <w:rsid w:val="004A7383"/>
    <w:rsid w:val="004A7DFE"/>
    <w:rsid w:val="004B21D9"/>
    <w:rsid w:val="004C0CE3"/>
    <w:rsid w:val="004C368B"/>
    <w:rsid w:val="004C4511"/>
    <w:rsid w:val="004D1A31"/>
    <w:rsid w:val="004D262A"/>
    <w:rsid w:val="004D2C6F"/>
    <w:rsid w:val="004D2E01"/>
    <w:rsid w:val="004E3305"/>
    <w:rsid w:val="004E568C"/>
    <w:rsid w:val="004E5AD8"/>
    <w:rsid w:val="004F12D8"/>
    <w:rsid w:val="004F224E"/>
    <w:rsid w:val="004F22A6"/>
    <w:rsid w:val="004F4A37"/>
    <w:rsid w:val="00504B53"/>
    <w:rsid w:val="00505F61"/>
    <w:rsid w:val="0051015D"/>
    <w:rsid w:val="0051292D"/>
    <w:rsid w:val="0051442D"/>
    <w:rsid w:val="0051622D"/>
    <w:rsid w:val="005219EB"/>
    <w:rsid w:val="005259D8"/>
    <w:rsid w:val="005262C2"/>
    <w:rsid w:val="00526AFF"/>
    <w:rsid w:val="0052705A"/>
    <w:rsid w:val="00537A72"/>
    <w:rsid w:val="00537E3B"/>
    <w:rsid w:val="005405F8"/>
    <w:rsid w:val="0054339F"/>
    <w:rsid w:val="00546878"/>
    <w:rsid w:val="005509BE"/>
    <w:rsid w:val="0055236C"/>
    <w:rsid w:val="00560115"/>
    <w:rsid w:val="00560E18"/>
    <w:rsid w:val="00571E81"/>
    <w:rsid w:val="00573FF9"/>
    <w:rsid w:val="00576B16"/>
    <w:rsid w:val="005A313A"/>
    <w:rsid w:val="005A680F"/>
    <w:rsid w:val="005B07CB"/>
    <w:rsid w:val="005B2FF9"/>
    <w:rsid w:val="005B696E"/>
    <w:rsid w:val="005B6D81"/>
    <w:rsid w:val="005B7DD3"/>
    <w:rsid w:val="005C3F5D"/>
    <w:rsid w:val="005C7FC2"/>
    <w:rsid w:val="005D2408"/>
    <w:rsid w:val="005D6122"/>
    <w:rsid w:val="005D6E80"/>
    <w:rsid w:val="005E2F7B"/>
    <w:rsid w:val="005E3C94"/>
    <w:rsid w:val="005E5C01"/>
    <w:rsid w:val="005E7118"/>
    <w:rsid w:val="005F1CDA"/>
    <w:rsid w:val="005F37A4"/>
    <w:rsid w:val="00602258"/>
    <w:rsid w:val="00602403"/>
    <w:rsid w:val="006041A4"/>
    <w:rsid w:val="006109EC"/>
    <w:rsid w:val="00611D8A"/>
    <w:rsid w:val="0061430D"/>
    <w:rsid w:val="006150CE"/>
    <w:rsid w:val="006165F4"/>
    <w:rsid w:val="006245EC"/>
    <w:rsid w:val="006309D5"/>
    <w:rsid w:val="006325CA"/>
    <w:rsid w:val="00642664"/>
    <w:rsid w:val="00644BBE"/>
    <w:rsid w:val="006479F9"/>
    <w:rsid w:val="00647DDD"/>
    <w:rsid w:val="00653BA4"/>
    <w:rsid w:val="00653EE4"/>
    <w:rsid w:val="00655FFB"/>
    <w:rsid w:val="006573B4"/>
    <w:rsid w:val="00657EDA"/>
    <w:rsid w:val="006609A2"/>
    <w:rsid w:val="00660C84"/>
    <w:rsid w:val="0066194B"/>
    <w:rsid w:val="00661FC4"/>
    <w:rsid w:val="006627E6"/>
    <w:rsid w:val="006649A7"/>
    <w:rsid w:val="00666D4D"/>
    <w:rsid w:val="00672205"/>
    <w:rsid w:val="006858DA"/>
    <w:rsid w:val="006902F1"/>
    <w:rsid w:val="006918E9"/>
    <w:rsid w:val="006951CE"/>
    <w:rsid w:val="00695B2C"/>
    <w:rsid w:val="006A3B6B"/>
    <w:rsid w:val="006A438B"/>
    <w:rsid w:val="006A4F20"/>
    <w:rsid w:val="006B0490"/>
    <w:rsid w:val="006B1E87"/>
    <w:rsid w:val="006B4880"/>
    <w:rsid w:val="006B514A"/>
    <w:rsid w:val="006C31B7"/>
    <w:rsid w:val="006C4213"/>
    <w:rsid w:val="006C43D7"/>
    <w:rsid w:val="006C53ED"/>
    <w:rsid w:val="006C5694"/>
    <w:rsid w:val="006D29AA"/>
    <w:rsid w:val="006D4128"/>
    <w:rsid w:val="006D5E57"/>
    <w:rsid w:val="006E2083"/>
    <w:rsid w:val="006E3064"/>
    <w:rsid w:val="006E68E6"/>
    <w:rsid w:val="006F042A"/>
    <w:rsid w:val="006F189C"/>
    <w:rsid w:val="006F2187"/>
    <w:rsid w:val="006F25E5"/>
    <w:rsid w:val="006F2FCE"/>
    <w:rsid w:val="006F415C"/>
    <w:rsid w:val="006F66E7"/>
    <w:rsid w:val="006F6CBF"/>
    <w:rsid w:val="007112CA"/>
    <w:rsid w:val="007202BD"/>
    <w:rsid w:val="007205BF"/>
    <w:rsid w:val="00720ADE"/>
    <w:rsid w:val="007237D1"/>
    <w:rsid w:val="007241D4"/>
    <w:rsid w:val="00724D82"/>
    <w:rsid w:val="00726311"/>
    <w:rsid w:val="00730BF2"/>
    <w:rsid w:val="00731F09"/>
    <w:rsid w:val="00732A6F"/>
    <w:rsid w:val="0074214D"/>
    <w:rsid w:val="00742428"/>
    <w:rsid w:val="00742764"/>
    <w:rsid w:val="00751452"/>
    <w:rsid w:val="0075156A"/>
    <w:rsid w:val="00751F90"/>
    <w:rsid w:val="007619C5"/>
    <w:rsid w:val="00761C35"/>
    <w:rsid w:val="00762E4C"/>
    <w:rsid w:val="00766026"/>
    <w:rsid w:val="00772025"/>
    <w:rsid w:val="00781AA0"/>
    <w:rsid w:val="00781CF7"/>
    <w:rsid w:val="00782DE8"/>
    <w:rsid w:val="00792E10"/>
    <w:rsid w:val="007938AD"/>
    <w:rsid w:val="007A1D60"/>
    <w:rsid w:val="007A6A95"/>
    <w:rsid w:val="007A7DA3"/>
    <w:rsid w:val="007B165A"/>
    <w:rsid w:val="007B2DAD"/>
    <w:rsid w:val="007B3E2E"/>
    <w:rsid w:val="007B7246"/>
    <w:rsid w:val="007B78C2"/>
    <w:rsid w:val="007C23FF"/>
    <w:rsid w:val="007C5008"/>
    <w:rsid w:val="007D1E79"/>
    <w:rsid w:val="007D27CF"/>
    <w:rsid w:val="007D4DAF"/>
    <w:rsid w:val="007E1175"/>
    <w:rsid w:val="007E3771"/>
    <w:rsid w:val="007E468A"/>
    <w:rsid w:val="007E58FC"/>
    <w:rsid w:val="007F1517"/>
    <w:rsid w:val="007F1785"/>
    <w:rsid w:val="007F207F"/>
    <w:rsid w:val="007F5B91"/>
    <w:rsid w:val="00802F97"/>
    <w:rsid w:val="00803CEC"/>
    <w:rsid w:val="00805CF9"/>
    <w:rsid w:val="008076A4"/>
    <w:rsid w:val="008078E2"/>
    <w:rsid w:val="00810CA3"/>
    <w:rsid w:val="00817D45"/>
    <w:rsid w:val="00822050"/>
    <w:rsid w:val="0082670C"/>
    <w:rsid w:val="00830952"/>
    <w:rsid w:val="00830F84"/>
    <w:rsid w:val="008429CF"/>
    <w:rsid w:val="008443A9"/>
    <w:rsid w:val="008469B3"/>
    <w:rsid w:val="008500CE"/>
    <w:rsid w:val="00852EFB"/>
    <w:rsid w:val="00853E83"/>
    <w:rsid w:val="00860576"/>
    <w:rsid w:val="008674AA"/>
    <w:rsid w:val="008675CC"/>
    <w:rsid w:val="0087609B"/>
    <w:rsid w:val="0088094C"/>
    <w:rsid w:val="00881004"/>
    <w:rsid w:val="00882C40"/>
    <w:rsid w:val="00885E71"/>
    <w:rsid w:val="00892908"/>
    <w:rsid w:val="008942FC"/>
    <w:rsid w:val="0089562F"/>
    <w:rsid w:val="008A082A"/>
    <w:rsid w:val="008A4DF4"/>
    <w:rsid w:val="008B1C5A"/>
    <w:rsid w:val="008B1DA9"/>
    <w:rsid w:val="008B6162"/>
    <w:rsid w:val="008C3EBC"/>
    <w:rsid w:val="008C57F6"/>
    <w:rsid w:val="008D33A3"/>
    <w:rsid w:val="008D4715"/>
    <w:rsid w:val="008D6F1D"/>
    <w:rsid w:val="008E6D4A"/>
    <w:rsid w:val="008F11CF"/>
    <w:rsid w:val="008F14CE"/>
    <w:rsid w:val="008F189C"/>
    <w:rsid w:val="008F1FE1"/>
    <w:rsid w:val="008F32FF"/>
    <w:rsid w:val="008F4486"/>
    <w:rsid w:val="008F4FC6"/>
    <w:rsid w:val="00902179"/>
    <w:rsid w:val="00903877"/>
    <w:rsid w:val="0091544C"/>
    <w:rsid w:val="00921D03"/>
    <w:rsid w:val="00925CD2"/>
    <w:rsid w:val="00933065"/>
    <w:rsid w:val="00933569"/>
    <w:rsid w:val="009341BC"/>
    <w:rsid w:val="009365B1"/>
    <w:rsid w:val="0093799C"/>
    <w:rsid w:val="009422A1"/>
    <w:rsid w:val="00944804"/>
    <w:rsid w:val="0094634F"/>
    <w:rsid w:val="009473D8"/>
    <w:rsid w:val="00951F3B"/>
    <w:rsid w:val="00960ADF"/>
    <w:rsid w:val="00963A0C"/>
    <w:rsid w:val="009653EF"/>
    <w:rsid w:val="0097366B"/>
    <w:rsid w:val="00974A92"/>
    <w:rsid w:val="00975270"/>
    <w:rsid w:val="00975BA1"/>
    <w:rsid w:val="009804FC"/>
    <w:rsid w:val="009835E3"/>
    <w:rsid w:val="0098368A"/>
    <w:rsid w:val="009837A6"/>
    <w:rsid w:val="009869F2"/>
    <w:rsid w:val="00987CDB"/>
    <w:rsid w:val="009A2726"/>
    <w:rsid w:val="009A30E0"/>
    <w:rsid w:val="009A3619"/>
    <w:rsid w:val="009A66D0"/>
    <w:rsid w:val="009A7117"/>
    <w:rsid w:val="009B08AF"/>
    <w:rsid w:val="009B11E7"/>
    <w:rsid w:val="009B3DFC"/>
    <w:rsid w:val="009B793E"/>
    <w:rsid w:val="009C1EA6"/>
    <w:rsid w:val="009C37B9"/>
    <w:rsid w:val="009C38E7"/>
    <w:rsid w:val="009C448E"/>
    <w:rsid w:val="009D32BD"/>
    <w:rsid w:val="009D35B5"/>
    <w:rsid w:val="009D4486"/>
    <w:rsid w:val="009E2489"/>
    <w:rsid w:val="009F211E"/>
    <w:rsid w:val="009F2572"/>
    <w:rsid w:val="009F294E"/>
    <w:rsid w:val="009F30F1"/>
    <w:rsid w:val="009F37C7"/>
    <w:rsid w:val="009F50AB"/>
    <w:rsid w:val="00A005F6"/>
    <w:rsid w:val="00A0424F"/>
    <w:rsid w:val="00A06516"/>
    <w:rsid w:val="00A103FF"/>
    <w:rsid w:val="00A10E27"/>
    <w:rsid w:val="00A16C6E"/>
    <w:rsid w:val="00A174DB"/>
    <w:rsid w:val="00A17DB2"/>
    <w:rsid w:val="00A2230A"/>
    <w:rsid w:val="00A22A14"/>
    <w:rsid w:val="00A2384C"/>
    <w:rsid w:val="00A26214"/>
    <w:rsid w:val="00A27A51"/>
    <w:rsid w:val="00A37BA4"/>
    <w:rsid w:val="00A402F6"/>
    <w:rsid w:val="00A43739"/>
    <w:rsid w:val="00A4779F"/>
    <w:rsid w:val="00A47815"/>
    <w:rsid w:val="00A47A18"/>
    <w:rsid w:val="00A539CB"/>
    <w:rsid w:val="00A62A3E"/>
    <w:rsid w:val="00A63709"/>
    <w:rsid w:val="00A649E6"/>
    <w:rsid w:val="00A660AF"/>
    <w:rsid w:val="00A666CF"/>
    <w:rsid w:val="00A70A95"/>
    <w:rsid w:val="00A70BDA"/>
    <w:rsid w:val="00A73A76"/>
    <w:rsid w:val="00A740B6"/>
    <w:rsid w:val="00A7621E"/>
    <w:rsid w:val="00A817D5"/>
    <w:rsid w:val="00A92B61"/>
    <w:rsid w:val="00A93351"/>
    <w:rsid w:val="00A95538"/>
    <w:rsid w:val="00AA0013"/>
    <w:rsid w:val="00AA26FF"/>
    <w:rsid w:val="00AA6E8C"/>
    <w:rsid w:val="00AA6F19"/>
    <w:rsid w:val="00AA75E6"/>
    <w:rsid w:val="00AA79A8"/>
    <w:rsid w:val="00AA7A76"/>
    <w:rsid w:val="00AB0286"/>
    <w:rsid w:val="00AB4C6D"/>
    <w:rsid w:val="00AB55F7"/>
    <w:rsid w:val="00AB6E71"/>
    <w:rsid w:val="00AC2995"/>
    <w:rsid w:val="00AC4165"/>
    <w:rsid w:val="00AC556A"/>
    <w:rsid w:val="00AC76EA"/>
    <w:rsid w:val="00AD2631"/>
    <w:rsid w:val="00AE1220"/>
    <w:rsid w:val="00AE287F"/>
    <w:rsid w:val="00AE63BD"/>
    <w:rsid w:val="00AF0B2B"/>
    <w:rsid w:val="00AF2914"/>
    <w:rsid w:val="00AF291B"/>
    <w:rsid w:val="00AF363F"/>
    <w:rsid w:val="00AF3E4F"/>
    <w:rsid w:val="00B071FF"/>
    <w:rsid w:val="00B11505"/>
    <w:rsid w:val="00B11DC2"/>
    <w:rsid w:val="00B15142"/>
    <w:rsid w:val="00B16F69"/>
    <w:rsid w:val="00B33B5B"/>
    <w:rsid w:val="00B37181"/>
    <w:rsid w:val="00B42807"/>
    <w:rsid w:val="00B428A6"/>
    <w:rsid w:val="00B43340"/>
    <w:rsid w:val="00B4461C"/>
    <w:rsid w:val="00B53913"/>
    <w:rsid w:val="00B554D4"/>
    <w:rsid w:val="00B55F3A"/>
    <w:rsid w:val="00B566A9"/>
    <w:rsid w:val="00B56906"/>
    <w:rsid w:val="00B61667"/>
    <w:rsid w:val="00B71CB5"/>
    <w:rsid w:val="00B72922"/>
    <w:rsid w:val="00B72A13"/>
    <w:rsid w:val="00B72ADA"/>
    <w:rsid w:val="00B83B47"/>
    <w:rsid w:val="00B84042"/>
    <w:rsid w:val="00B84DD5"/>
    <w:rsid w:val="00B8522A"/>
    <w:rsid w:val="00B9487E"/>
    <w:rsid w:val="00B95910"/>
    <w:rsid w:val="00BA29E7"/>
    <w:rsid w:val="00BA3A4C"/>
    <w:rsid w:val="00BB0F20"/>
    <w:rsid w:val="00BB4C60"/>
    <w:rsid w:val="00BB7F08"/>
    <w:rsid w:val="00BC35CD"/>
    <w:rsid w:val="00BC415B"/>
    <w:rsid w:val="00BD15AD"/>
    <w:rsid w:val="00BD2CDE"/>
    <w:rsid w:val="00BD41CF"/>
    <w:rsid w:val="00BE0164"/>
    <w:rsid w:val="00BE12BD"/>
    <w:rsid w:val="00BE2ED7"/>
    <w:rsid w:val="00BE6AB8"/>
    <w:rsid w:val="00BF040B"/>
    <w:rsid w:val="00BF086D"/>
    <w:rsid w:val="00BF2167"/>
    <w:rsid w:val="00BF43BC"/>
    <w:rsid w:val="00BF4DDA"/>
    <w:rsid w:val="00BF55C7"/>
    <w:rsid w:val="00BF7ED8"/>
    <w:rsid w:val="00C00276"/>
    <w:rsid w:val="00C04139"/>
    <w:rsid w:val="00C0572E"/>
    <w:rsid w:val="00C07AF8"/>
    <w:rsid w:val="00C21B3D"/>
    <w:rsid w:val="00C24267"/>
    <w:rsid w:val="00C2639B"/>
    <w:rsid w:val="00C2788D"/>
    <w:rsid w:val="00C33398"/>
    <w:rsid w:val="00C361F6"/>
    <w:rsid w:val="00C36329"/>
    <w:rsid w:val="00C3669A"/>
    <w:rsid w:val="00C377F6"/>
    <w:rsid w:val="00C423E3"/>
    <w:rsid w:val="00C44BAC"/>
    <w:rsid w:val="00C45626"/>
    <w:rsid w:val="00C458AF"/>
    <w:rsid w:val="00C460A0"/>
    <w:rsid w:val="00C4720D"/>
    <w:rsid w:val="00C50068"/>
    <w:rsid w:val="00C549F4"/>
    <w:rsid w:val="00C610F2"/>
    <w:rsid w:val="00C676F3"/>
    <w:rsid w:val="00C71AB8"/>
    <w:rsid w:val="00C75909"/>
    <w:rsid w:val="00C767D5"/>
    <w:rsid w:val="00C77EFD"/>
    <w:rsid w:val="00C81A10"/>
    <w:rsid w:val="00C829DF"/>
    <w:rsid w:val="00C84021"/>
    <w:rsid w:val="00C84369"/>
    <w:rsid w:val="00C875AE"/>
    <w:rsid w:val="00C9310B"/>
    <w:rsid w:val="00CA696D"/>
    <w:rsid w:val="00CA6B5A"/>
    <w:rsid w:val="00CB1536"/>
    <w:rsid w:val="00CB3907"/>
    <w:rsid w:val="00CB6167"/>
    <w:rsid w:val="00CC0C54"/>
    <w:rsid w:val="00CC1016"/>
    <w:rsid w:val="00CD1721"/>
    <w:rsid w:val="00CD4DDC"/>
    <w:rsid w:val="00CD616F"/>
    <w:rsid w:val="00CE47B9"/>
    <w:rsid w:val="00CE6301"/>
    <w:rsid w:val="00CF2008"/>
    <w:rsid w:val="00CF23C5"/>
    <w:rsid w:val="00CF3649"/>
    <w:rsid w:val="00CF4188"/>
    <w:rsid w:val="00CF4E9E"/>
    <w:rsid w:val="00CF7848"/>
    <w:rsid w:val="00D058FC"/>
    <w:rsid w:val="00D06213"/>
    <w:rsid w:val="00D06AE0"/>
    <w:rsid w:val="00D10010"/>
    <w:rsid w:val="00D12BB7"/>
    <w:rsid w:val="00D134FA"/>
    <w:rsid w:val="00D20E48"/>
    <w:rsid w:val="00D21601"/>
    <w:rsid w:val="00D31882"/>
    <w:rsid w:val="00D31BAB"/>
    <w:rsid w:val="00D31D27"/>
    <w:rsid w:val="00D333F3"/>
    <w:rsid w:val="00D34AFB"/>
    <w:rsid w:val="00D35A03"/>
    <w:rsid w:val="00D37377"/>
    <w:rsid w:val="00D41830"/>
    <w:rsid w:val="00D45B8C"/>
    <w:rsid w:val="00D56058"/>
    <w:rsid w:val="00D567E0"/>
    <w:rsid w:val="00D56A09"/>
    <w:rsid w:val="00D61F2D"/>
    <w:rsid w:val="00D630DE"/>
    <w:rsid w:val="00D645C6"/>
    <w:rsid w:val="00D65905"/>
    <w:rsid w:val="00D7327A"/>
    <w:rsid w:val="00D74EC8"/>
    <w:rsid w:val="00D76E2E"/>
    <w:rsid w:val="00D81AC9"/>
    <w:rsid w:val="00D84C96"/>
    <w:rsid w:val="00D858CC"/>
    <w:rsid w:val="00D9086C"/>
    <w:rsid w:val="00D94745"/>
    <w:rsid w:val="00D95DFF"/>
    <w:rsid w:val="00D963D5"/>
    <w:rsid w:val="00DA41B2"/>
    <w:rsid w:val="00DA5D06"/>
    <w:rsid w:val="00DA7123"/>
    <w:rsid w:val="00DA7A2C"/>
    <w:rsid w:val="00DA7B20"/>
    <w:rsid w:val="00DB5727"/>
    <w:rsid w:val="00DC387D"/>
    <w:rsid w:val="00DC52BC"/>
    <w:rsid w:val="00DC621D"/>
    <w:rsid w:val="00DC6A98"/>
    <w:rsid w:val="00DC6EF8"/>
    <w:rsid w:val="00DC7245"/>
    <w:rsid w:val="00DC730A"/>
    <w:rsid w:val="00DD12FC"/>
    <w:rsid w:val="00DD6EBB"/>
    <w:rsid w:val="00DE130A"/>
    <w:rsid w:val="00DE1F21"/>
    <w:rsid w:val="00DE38B2"/>
    <w:rsid w:val="00DE799E"/>
    <w:rsid w:val="00DF260F"/>
    <w:rsid w:val="00DF2C9A"/>
    <w:rsid w:val="00DF35C6"/>
    <w:rsid w:val="00DF4A60"/>
    <w:rsid w:val="00DF5291"/>
    <w:rsid w:val="00DF6AC1"/>
    <w:rsid w:val="00E0040F"/>
    <w:rsid w:val="00E0254C"/>
    <w:rsid w:val="00E05572"/>
    <w:rsid w:val="00E16292"/>
    <w:rsid w:val="00E166FD"/>
    <w:rsid w:val="00E2017E"/>
    <w:rsid w:val="00E25706"/>
    <w:rsid w:val="00E264BB"/>
    <w:rsid w:val="00E276DF"/>
    <w:rsid w:val="00E27C6A"/>
    <w:rsid w:val="00E30596"/>
    <w:rsid w:val="00E33434"/>
    <w:rsid w:val="00E371E8"/>
    <w:rsid w:val="00E37501"/>
    <w:rsid w:val="00E43C23"/>
    <w:rsid w:val="00E4468F"/>
    <w:rsid w:val="00E45E6A"/>
    <w:rsid w:val="00E46912"/>
    <w:rsid w:val="00E50A42"/>
    <w:rsid w:val="00E54FA5"/>
    <w:rsid w:val="00E56D64"/>
    <w:rsid w:val="00E61081"/>
    <w:rsid w:val="00E635F8"/>
    <w:rsid w:val="00E65B9D"/>
    <w:rsid w:val="00E71CE6"/>
    <w:rsid w:val="00E71E16"/>
    <w:rsid w:val="00E76641"/>
    <w:rsid w:val="00E851E8"/>
    <w:rsid w:val="00E86DF2"/>
    <w:rsid w:val="00E879EC"/>
    <w:rsid w:val="00E906DE"/>
    <w:rsid w:val="00E95703"/>
    <w:rsid w:val="00EA0297"/>
    <w:rsid w:val="00EA2C29"/>
    <w:rsid w:val="00EA3F05"/>
    <w:rsid w:val="00EA5E85"/>
    <w:rsid w:val="00EB0B07"/>
    <w:rsid w:val="00EB144E"/>
    <w:rsid w:val="00EB1B82"/>
    <w:rsid w:val="00EB635D"/>
    <w:rsid w:val="00EB6AA6"/>
    <w:rsid w:val="00EC108D"/>
    <w:rsid w:val="00EC70BC"/>
    <w:rsid w:val="00ED018E"/>
    <w:rsid w:val="00ED07AD"/>
    <w:rsid w:val="00ED1BD6"/>
    <w:rsid w:val="00ED3B36"/>
    <w:rsid w:val="00EE2ECD"/>
    <w:rsid w:val="00EE55F9"/>
    <w:rsid w:val="00EE62A5"/>
    <w:rsid w:val="00EE63DE"/>
    <w:rsid w:val="00F11454"/>
    <w:rsid w:val="00F221FC"/>
    <w:rsid w:val="00F24025"/>
    <w:rsid w:val="00F33E1D"/>
    <w:rsid w:val="00F34951"/>
    <w:rsid w:val="00F35CAE"/>
    <w:rsid w:val="00F36EE7"/>
    <w:rsid w:val="00F400DE"/>
    <w:rsid w:val="00F4468A"/>
    <w:rsid w:val="00F57AFC"/>
    <w:rsid w:val="00F627E4"/>
    <w:rsid w:val="00F65DBD"/>
    <w:rsid w:val="00F669B9"/>
    <w:rsid w:val="00F773E6"/>
    <w:rsid w:val="00F80CEE"/>
    <w:rsid w:val="00F81F36"/>
    <w:rsid w:val="00F8493C"/>
    <w:rsid w:val="00F85468"/>
    <w:rsid w:val="00F86A45"/>
    <w:rsid w:val="00F86BC7"/>
    <w:rsid w:val="00F9202F"/>
    <w:rsid w:val="00F92AA4"/>
    <w:rsid w:val="00FA6B1E"/>
    <w:rsid w:val="00FB4165"/>
    <w:rsid w:val="00FB59A0"/>
    <w:rsid w:val="00FC42BD"/>
    <w:rsid w:val="00FC48F4"/>
    <w:rsid w:val="00FD2E9B"/>
    <w:rsid w:val="00FE065B"/>
    <w:rsid w:val="00FE17D2"/>
    <w:rsid w:val="00FE5800"/>
    <w:rsid w:val="00FE6A21"/>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57696"/>
  <w15:docId w15:val="{E1F9935E-2E9F-4B13-8260-886E8E0B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lrquote">
    <w:name w:val="lrquote"/>
    <w:basedOn w:val="Normal"/>
    <w:rsid w:val="00526AFF"/>
    <w:pPr>
      <w:spacing w:before="100" w:beforeAutospacing="1" w:after="100" w:afterAutospacing="1"/>
    </w:pPr>
    <w:rPr>
      <w:rFonts w:ascii="Times New Roman" w:hAnsi="Times New Roman"/>
      <w:sz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56974620">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 w:id="20805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p.jutastatevolve.co.za/y1957v3SApg284" TargetMode="External"/><Relationship Id="rId4" Type="http://schemas.openxmlformats.org/officeDocument/2006/relationships/settings" Target="settings.xml"/><Relationship Id="rId9" Type="http://schemas.openxmlformats.org/officeDocument/2006/relationships/hyperlink" Target="https://app.jutastatevolve.co.za/y1967v4SApg4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7CC2B-7E93-40CF-9978-F0EF3002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0</TotalTime>
  <Pages>11</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Mokone</cp:lastModifiedBy>
  <cp:revision>3</cp:revision>
  <cp:lastPrinted>2023-02-10T11:26:00Z</cp:lastPrinted>
  <dcterms:created xsi:type="dcterms:W3CDTF">2023-03-06T06:31:00Z</dcterms:created>
  <dcterms:modified xsi:type="dcterms:W3CDTF">2023-03-06T06:31:00Z</dcterms:modified>
</cp:coreProperties>
</file>