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1EEE8" w14:textId="77777777" w:rsidR="008906F4" w:rsidRPr="008906F4" w:rsidRDefault="008906F4" w:rsidP="009D710B">
      <w:pPr>
        <w:spacing w:after="0" w:line="240" w:lineRule="auto"/>
        <w:jc w:val="center"/>
        <w:rPr>
          <w:b/>
          <w:sz w:val="26"/>
          <w:szCs w:val="26"/>
        </w:rPr>
      </w:pPr>
      <w:r w:rsidRPr="008906F4">
        <w:rPr>
          <w:b/>
          <w:sz w:val="26"/>
          <w:szCs w:val="26"/>
        </w:rPr>
        <w:t>REPUBLIC OF SOUTH AFRICA</w:t>
      </w:r>
    </w:p>
    <w:p w14:paraId="452CDF04" w14:textId="77777777" w:rsidR="008906F4" w:rsidRDefault="008906F4" w:rsidP="009D710B">
      <w:pPr>
        <w:spacing w:after="0" w:line="240" w:lineRule="auto"/>
        <w:jc w:val="center"/>
        <w:rPr>
          <w:b/>
          <w:sz w:val="26"/>
          <w:szCs w:val="26"/>
        </w:rPr>
      </w:pPr>
    </w:p>
    <w:p w14:paraId="205715CA" w14:textId="5C070E20" w:rsidR="00BD6237" w:rsidRDefault="00BD6237" w:rsidP="00AF090B">
      <w:pPr>
        <w:spacing w:after="0" w:line="240" w:lineRule="auto"/>
        <w:jc w:val="center"/>
        <w:rPr>
          <w:b/>
          <w:sz w:val="26"/>
          <w:szCs w:val="26"/>
        </w:rPr>
      </w:pPr>
      <w:r>
        <w:rPr>
          <w:noProof/>
          <w:lang w:val="en-US"/>
        </w:rPr>
        <w:drawing>
          <wp:inline distT="0" distB="0" distL="0" distR="0" wp14:anchorId="0E109D9D" wp14:editId="2E7B51D3">
            <wp:extent cx="1352550" cy="1019175"/>
            <wp:effectExtent l="0" t="0" r="0" b="9525"/>
            <wp:docPr id="2" name="Picture 2" descr="Description: cid:image001.png@01D076AF.8E67B520"/>
            <wp:cNvGraphicFramePr/>
            <a:graphic xmlns:a="http://schemas.openxmlformats.org/drawingml/2006/main">
              <a:graphicData uri="http://schemas.openxmlformats.org/drawingml/2006/picture">
                <pic:pic xmlns:pic="http://schemas.openxmlformats.org/drawingml/2006/picture">
                  <pic:nvPicPr>
                    <pic:cNvPr id="2" name="Picture 2" descr="Description: cid:image001.png@01D076AF.8E67B52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2550" cy="1019175"/>
                    </a:xfrm>
                    <a:prstGeom prst="rect">
                      <a:avLst/>
                    </a:prstGeom>
                    <a:noFill/>
                    <a:ln>
                      <a:noFill/>
                    </a:ln>
                  </pic:spPr>
                </pic:pic>
              </a:graphicData>
            </a:graphic>
          </wp:inline>
        </w:drawing>
      </w:r>
    </w:p>
    <w:p w14:paraId="15B5C548" w14:textId="77777777" w:rsidR="008906F4" w:rsidRDefault="008906F4" w:rsidP="00AF090B">
      <w:pPr>
        <w:spacing w:after="0" w:line="240" w:lineRule="auto"/>
        <w:jc w:val="center"/>
        <w:rPr>
          <w:b/>
          <w:sz w:val="26"/>
          <w:szCs w:val="26"/>
        </w:rPr>
      </w:pPr>
    </w:p>
    <w:p w14:paraId="513BAFD3" w14:textId="4DD5DB9E" w:rsidR="00AF0019" w:rsidRDefault="00AF090B" w:rsidP="00AF090B">
      <w:pPr>
        <w:spacing w:after="0" w:line="240" w:lineRule="auto"/>
        <w:jc w:val="center"/>
        <w:rPr>
          <w:b/>
          <w:sz w:val="26"/>
          <w:szCs w:val="26"/>
        </w:rPr>
      </w:pPr>
      <w:r>
        <w:rPr>
          <w:b/>
          <w:sz w:val="26"/>
          <w:szCs w:val="26"/>
        </w:rPr>
        <w:t>IN THE HIGH COURT OF SOUTH AFRICA</w:t>
      </w:r>
    </w:p>
    <w:p w14:paraId="0247D657" w14:textId="1B1948C6" w:rsidR="00AF090B" w:rsidRDefault="00AF090B" w:rsidP="00637DE0">
      <w:pPr>
        <w:spacing w:line="240" w:lineRule="auto"/>
        <w:jc w:val="center"/>
        <w:rPr>
          <w:sz w:val="26"/>
          <w:szCs w:val="26"/>
        </w:rPr>
      </w:pPr>
      <w:r>
        <w:rPr>
          <w:b/>
          <w:sz w:val="26"/>
          <w:szCs w:val="26"/>
        </w:rPr>
        <w:t>GAUTENG DIVISION, JOHANNESBURG</w:t>
      </w:r>
    </w:p>
    <w:p w14:paraId="25F5F92F" w14:textId="496F8B80" w:rsidR="006E1088" w:rsidRPr="006E1088" w:rsidRDefault="000F7E69" w:rsidP="006E1088">
      <w:pPr>
        <w:spacing w:after="0" w:line="240" w:lineRule="auto"/>
        <w:jc w:val="right"/>
        <w:rPr>
          <w:b/>
          <w:sz w:val="26"/>
          <w:szCs w:val="26"/>
        </w:rPr>
      </w:pPr>
      <w:r>
        <w:rPr>
          <w:b/>
          <w:sz w:val="26"/>
          <w:szCs w:val="26"/>
        </w:rPr>
        <w:t>C</w:t>
      </w:r>
      <w:r w:rsidR="006E1088" w:rsidRPr="006E1088">
        <w:rPr>
          <w:b/>
          <w:sz w:val="26"/>
          <w:szCs w:val="26"/>
        </w:rPr>
        <w:t xml:space="preserve">ASE NO:  </w:t>
      </w:r>
      <w:r w:rsidR="00C303E1">
        <w:rPr>
          <w:b/>
          <w:sz w:val="26"/>
          <w:szCs w:val="26"/>
        </w:rPr>
        <w:t>2022</w:t>
      </w:r>
      <w:r w:rsidR="00CA126C">
        <w:rPr>
          <w:b/>
          <w:sz w:val="26"/>
          <w:szCs w:val="26"/>
        </w:rPr>
        <w:t>-62072</w:t>
      </w:r>
    </w:p>
    <w:p w14:paraId="1F7542A6" w14:textId="5BFF99DA" w:rsidR="00AF090B" w:rsidRDefault="00AF090B" w:rsidP="006E1088">
      <w:pPr>
        <w:spacing w:line="240" w:lineRule="auto"/>
        <w:jc w:val="right"/>
        <w:rPr>
          <w:sz w:val="26"/>
          <w:szCs w:val="26"/>
        </w:rPr>
      </w:pPr>
    </w:p>
    <w:tbl>
      <w:tblPr>
        <w:tblStyle w:val="TableGrid"/>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3685"/>
      </w:tblGrid>
      <w:tr w:rsidR="003800C4" w14:paraId="39714E44" w14:textId="77777777" w:rsidTr="00312215">
        <w:trPr>
          <w:trHeight w:val="20"/>
        </w:trPr>
        <w:tc>
          <w:tcPr>
            <w:tcW w:w="5534" w:type="dxa"/>
          </w:tcPr>
          <w:p w14:paraId="4087A5F4" w14:textId="77777777" w:rsidR="003800C4" w:rsidRDefault="003800C4" w:rsidP="00AF090B">
            <w:pPr>
              <w:rPr>
                <w:sz w:val="26"/>
                <w:szCs w:val="26"/>
              </w:rPr>
            </w:pPr>
          </w:p>
        </w:tc>
        <w:tc>
          <w:tcPr>
            <w:tcW w:w="3685" w:type="dxa"/>
          </w:tcPr>
          <w:p w14:paraId="5D94F3D3" w14:textId="77777777" w:rsidR="003800C4" w:rsidRDefault="003800C4" w:rsidP="003943A1">
            <w:pPr>
              <w:jc w:val="right"/>
              <w:rPr>
                <w:sz w:val="26"/>
                <w:szCs w:val="26"/>
              </w:rPr>
            </w:pPr>
          </w:p>
          <w:p w14:paraId="2EF64993" w14:textId="7B0A84C8" w:rsidR="00122A1A" w:rsidRDefault="00122A1A" w:rsidP="003943A1">
            <w:pPr>
              <w:jc w:val="right"/>
              <w:rPr>
                <w:sz w:val="26"/>
                <w:szCs w:val="26"/>
              </w:rPr>
            </w:pPr>
          </w:p>
        </w:tc>
      </w:tr>
      <w:tr w:rsidR="002146DE" w14:paraId="6C17C19F" w14:textId="77777777" w:rsidTr="00312215">
        <w:trPr>
          <w:trHeight w:val="826"/>
        </w:trPr>
        <w:tc>
          <w:tcPr>
            <w:tcW w:w="5534" w:type="dxa"/>
          </w:tcPr>
          <w:p w14:paraId="26903488" w14:textId="5A9121BE" w:rsidR="002146DE" w:rsidRDefault="00122A1A" w:rsidP="00AF090B">
            <w:pPr>
              <w:rPr>
                <w:sz w:val="26"/>
                <w:szCs w:val="26"/>
              </w:rPr>
            </w:pPr>
            <w:r w:rsidRPr="00B46AC7">
              <w:rPr>
                <w:noProof/>
                <w:sz w:val="26"/>
                <w:szCs w:val="26"/>
                <w:lang w:val="en-US"/>
              </w:rPr>
              <mc:AlternateContent>
                <mc:Choice Requires="wps">
                  <w:drawing>
                    <wp:anchor distT="0" distB="0" distL="114300" distR="114300" simplePos="0" relativeHeight="251658240" behindDoc="0" locked="0" layoutInCell="1" allowOverlap="1" wp14:anchorId="0CC85EDA" wp14:editId="451D6847">
                      <wp:simplePos x="0" y="0"/>
                      <wp:positionH relativeFrom="column">
                        <wp:posOffset>-1905</wp:posOffset>
                      </wp:positionH>
                      <wp:positionV relativeFrom="paragraph">
                        <wp:posOffset>-127635</wp:posOffset>
                      </wp:positionV>
                      <wp:extent cx="2809875" cy="1343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809875" cy="1343025"/>
                              </a:xfrm>
                              <a:prstGeom prst="rect">
                                <a:avLst/>
                              </a:prstGeom>
                              <a:solidFill>
                                <a:sysClr val="window" lastClr="FFFFFF"/>
                              </a:solidFill>
                              <a:ln w="12700" cap="flat" cmpd="sng" algn="ctr">
                                <a:solidFill>
                                  <a:srgbClr val="70AD47"/>
                                </a:solidFill>
                                <a:prstDash val="solid"/>
                                <a:miter lim="800000"/>
                              </a:ln>
                              <a:effectLst/>
                            </wps:spPr>
                            <wps:txbx>
                              <w:txbxContent>
                                <w:p w14:paraId="2067C656" w14:textId="063D7D9B" w:rsidR="00C23151" w:rsidRPr="00790F96" w:rsidRDefault="005873C5" w:rsidP="005873C5">
                                  <w:pPr>
                                    <w:spacing w:line="240" w:lineRule="auto"/>
                                    <w:ind w:left="567" w:hanging="567"/>
                                    <w:jc w:val="left"/>
                                  </w:pPr>
                                  <w:r w:rsidRPr="00790F96">
                                    <w:t>(1)</w:t>
                                  </w:r>
                                  <w:r w:rsidRPr="00790F96">
                                    <w:tab/>
                                  </w:r>
                                  <w:r w:rsidR="00C23151" w:rsidRPr="00790F96">
                                    <w:t>REPORTABLE:</w:t>
                                  </w:r>
                                  <w:r w:rsidR="00C23151" w:rsidRPr="005873C5">
                                    <w:rPr>
                                      <w:b/>
                                    </w:rPr>
                                    <w:t xml:space="preserve"> </w:t>
                                  </w:r>
                                  <w:r w:rsidR="00C23151" w:rsidRPr="00831C60">
                                    <w:t>NO</w:t>
                                  </w:r>
                                </w:p>
                                <w:p w14:paraId="48309B92" w14:textId="3D06B592" w:rsidR="00C23151" w:rsidRDefault="005873C5" w:rsidP="005873C5">
                                  <w:pPr>
                                    <w:spacing w:line="240" w:lineRule="auto"/>
                                    <w:ind w:left="567" w:hanging="567"/>
                                    <w:jc w:val="left"/>
                                  </w:pPr>
                                  <w:r>
                                    <w:t>(2)</w:t>
                                  </w:r>
                                  <w:r>
                                    <w:tab/>
                                  </w:r>
                                  <w:r w:rsidR="00C23151" w:rsidRPr="00790F96">
                                    <w:t>OF INTEREST TO OTHER JUDGES:</w:t>
                                  </w:r>
                                  <w:r w:rsidR="00C23151">
                                    <w:t xml:space="preserve"> </w:t>
                                  </w:r>
                                  <w:r w:rsidR="00C23151" w:rsidRPr="00831C60">
                                    <w:t>NO</w:t>
                                  </w:r>
                                </w:p>
                                <w:p w14:paraId="0BCD1113" w14:textId="7C679203" w:rsidR="00C23151" w:rsidRDefault="005873C5" w:rsidP="005873C5">
                                  <w:pPr>
                                    <w:spacing w:line="240" w:lineRule="auto"/>
                                    <w:ind w:left="567" w:hanging="567"/>
                                    <w:jc w:val="left"/>
                                  </w:pPr>
                                  <w:r>
                                    <w:t>(3)</w:t>
                                  </w:r>
                                  <w:r>
                                    <w:tab/>
                                  </w:r>
                                  <w:r w:rsidR="00C23151">
                                    <w:t>REVISED</w:t>
                                  </w:r>
                                </w:p>
                                <w:p w14:paraId="5514C1FE" w14:textId="77777777" w:rsidR="00C23151" w:rsidRDefault="00C23151" w:rsidP="00C23151">
                                  <w:pPr>
                                    <w:spacing w:after="0" w:line="240" w:lineRule="auto"/>
                                    <w:jc w:val="left"/>
                                  </w:pPr>
                                  <w:r>
                                    <w:t>…………………………</w:t>
                                  </w:r>
                                  <w:r>
                                    <w:tab/>
                                    <w:t xml:space="preserve">          ……………………………….</w:t>
                                  </w:r>
                                </w:p>
                                <w:p w14:paraId="1863210A" w14:textId="77777777" w:rsidR="00C23151" w:rsidRPr="00790F96" w:rsidRDefault="00C23151" w:rsidP="00C23151">
                                  <w:pPr>
                                    <w:spacing w:line="240" w:lineRule="auto"/>
                                    <w:jc w:val="left"/>
                                  </w:pPr>
                                  <w:r>
                                    <w:t xml:space="preserve">DATE                     </w:t>
                                  </w:r>
                                  <w:r>
                                    <w:tab/>
                                    <w:t xml:space="preserve">           SIGNATURE</w:t>
                                  </w:r>
                                </w:p>
                                <w:p w14:paraId="18F82FE4" w14:textId="30BEBD0F" w:rsidR="00122A1A" w:rsidRPr="00790F96" w:rsidRDefault="00122A1A" w:rsidP="00122A1A">
                                  <w:pPr>
                                    <w:spacing w:line="240" w:lineRule="auto"/>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85EDA" id="Rectangle 3" o:spid="_x0000_s1026" style="position:absolute;left:0;text-align:left;margin-left:-.15pt;margin-top:-10.05pt;width:221.25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" fillcolor="window" strokecolor="#70ad47" strokeweight="1pt">
                      <v:textbox>
                        <w:txbxContent>
                          <w:p w14:paraId="2067C656" w14:textId="063D7D9B" w:rsidR="00C23151" w:rsidRPr="00790F96" w:rsidRDefault="005873C5" w:rsidP="005873C5">
                            <w:pPr>
                              <w:spacing w:line="240" w:lineRule="auto"/>
                              <w:ind w:left="567" w:hanging="567"/>
                              <w:jc w:val="left"/>
                            </w:pPr>
                            <w:r w:rsidRPr="00790F96">
                              <w:t>(1)</w:t>
                            </w:r>
                            <w:r w:rsidRPr="00790F96">
                              <w:tab/>
                            </w:r>
                            <w:r w:rsidR="00C23151" w:rsidRPr="00790F96">
                              <w:t>REPORTABLE:</w:t>
                            </w:r>
                            <w:r w:rsidR="00C23151" w:rsidRPr="005873C5">
                              <w:rPr>
                                <w:b/>
                              </w:rPr>
                              <w:t xml:space="preserve"> </w:t>
                            </w:r>
                            <w:r w:rsidR="00C23151" w:rsidRPr="00831C60">
                              <w:t>NO</w:t>
                            </w:r>
                          </w:p>
                          <w:p w14:paraId="48309B92" w14:textId="3D06B592" w:rsidR="00C23151" w:rsidRDefault="005873C5" w:rsidP="005873C5">
                            <w:pPr>
                              <w:spacing w:line="240" w:lineRule="auto"/>
                              <w:ind w:left="567" w:hanging="567"/>
                              <w:jc w:val="left"/>
                            </w:pPr>
                            <w:r>
                              <w:t>(2)</w:t>
                            </w:r>
                            <w:r>
                              <w:tab/>
                            </w:r>
                            <w:r w:rsidR="00C23151" w:rsidRPr="00790F96">
                              <w:t>OF INTEREST TO OTHER JUDGES:</w:t>
                            </w:r>
                            <w:r w:rsidR="00C23151">
                              <w:t xml:space="preserve"> </w:t>
                            </w:r>
                            <w:r w:rsidR="00C23151" w:rsidRPr="00831C60">
                              <w:t>NO</w:t>
                            </w:r>
                          </w:p>
                          <w:p w14:paraId="0BCD1113" w14:textId="7C679203" w:rsidR="00C23151" w:rsidRDefault="005873C5" w:rsidP="005873C5">
                            <w:pPr>
                              <w:spacing w:line="240" w:lineRule="auto"/>
                              <w:ind w:left="567" w:hanging="567"/>
                              <w:jc w:val="left"/>
                            </w:pPr>
                            <w:r>
                              <w:t>(3)</w:t>
                            </w:r>
                            <w:r>
                              <w:tab/>
                            </w:r>
                            <w:r w:rsidR="00C23151">
                              <w:t>REVISED</w:t>
                            </w:r>
                          </w:p>
                          <w:p w14:paraId="5514C1FE" w14:textId="77777777" w:rsidR="00C23151" w:rsidRDefault="00C23151" w:rsidP="00C23151">
                            <w:pPr>
                              <w:spacing w:after="0" w:line="240" w:lineRule="auto"/>
                              <w:jc w:val="left"/>
                            </w:pPr>
                            <w:r>
                              <w:t>…………………………</w:t>
                            </w:r>
                            <w:r>
                              <w:tab/>
                              <w:t xml:space="preserve">          ……………………………….</w:t>
                            </w:r>
                          </w:p>
                          <w:p w14:paraId="1863210A" w14:textId="77777777" w:rsidR="00C23151" w:rsidRPr="00790F96" w:rsidRDefault="00C23151" w:rsidP="00C23151">
                            <w:pPr>
                              <w:spacing w:line="240" w:lineRule="auto"/>
                              <w:jc w:val="left"/>
                            </w:pPr>
                            <w:r>
                              <w:t xml:space="preserve">DATE                     </w:t>
                            </w:r>
                            <w:r>
                              <w:tab/>
                              <w:t xml:space="preserve">           SIGNATURE</w:t>
                            </w:r>
                          </w:p>
                          <w:p w14:paraId="18F82FE4" w14:textId="30BEBD0F" w:rsidR="00122A1A" w:rsidRPr="00790F96" w:rsidRDefault="00122A1A" w:rsidP="00122A1A">
                            <w:pPr>
                              <w:spacing w:line="240" w:lineRule="auto"/>
                              <w:jc w:val="left"/>
                            </w:pPr>
                          </w:p>
                        </w:txbxContent>
                      </v:textbox>
                    </v:rect>
                  </w:pict>
                </mc:Fallback>
              </mc:AlternateContent>
            </w:r>
          </w:p>
        </w:tc>
        <w:tc>
          <w:tcPr>
            <w:tcW w:w="3685" w:type="dxa"/>
          </w:tcPr>
          <w:p w14:paraId="053C0EFD" w14:textId="77777777" w:rsidR="002146DE" w:rsidRDefault="002146DE" w:rsidP="003943A1">
            <w:pPr>
              <w:jc w:val="right"/>
              <w:rPr>
                <w:sz w:val="26"/>
                <w:szCs w:val="26"/>
              </w:rPr>
            </w:pPr>
          </w:p>
        </w:tc>
      </w:tr>
      <w:tr w:rsidR="003800C4" w14:paraId="173E32E0" w14:textId="77777777" w:rsidTr="00312215">
        <w:trPr>
          <w:trHeight w:val="567"/>
        </w:trPr>
        <w:tc>
          <w:tcPr>
            <w:tcW w:w="5534" w:type="dxa"/>
          </w:tcPr>
          <w:p w14:paraId="157C5901" w14:textId="77777777" w:rsidR="00D62F57" w:rsidRDefault="00D62F57" w:rsidP="00AF090B">
            <w:pPr>
              <w:rPr>
                <w:sz w:val="26"/>
                <w:szCs w:val="26"/>
              </w:rPr>
            </w:pPr>
          </w:p>
          <w:p w14:paraId="6A1FC2E1" w14:textId="77777777" w:rsidR="00D62F57" w:rsidRDefault="00D62F57" w:rsidP="00AF090B">
            <w:pPr>
              <w:rPr>
                <w:sz w:val="26"/>
                <w:szCs w:val="26"/>
              </w:rPr>
            </w:pPr>
          </w:p>
          <w:p w14:paraId="79CF74BB" w14:textId="77777777" w:rsidR="00122A1A" w:rsidRDefault="00122A1A" w:rsidP="006E1088">
            <w:pPr>
              <w:spacing w:line="480" w:lineRule="auto"/>
              <w:rPr>
                <w:sz w:val="26"/>
                <w:szCs w:val="26"/>
              </w:rPr>
            </w:pPr>
          </w:p>
          <w:p w14:paraId="13BE833D" w14:textId="26BE2F62" w:rsidR="003800C4" w:rsidRDefault="00453A82" w:rsidP="006E1088">
            <w:pPr>
              <w:spacing w:line="480" w:lineRule="auto"/>
              <w:rPr>
                <w:sz w:val="26"/>
                <w:szCs w:val="26"/>
              </w:rPr>
            </w:pPr>
            <w:r>
              <w:rPr>
                <w:sz w:val="26"/>
                <w:szCs w:val="26"/>
              </w:rPr>
              <w:t>In the matter of:</w:t>
            </w:r>
          </w:p>
        </w:tc>
        <w:tc>
          <w:tcPr>
            <w:tcW w:w="3685" w:type="dxa"/>
          </w:tcPr>
          <w:p w14:paraId="56596970" w14:textId="77777777" w:rsidR="003800C4" w:rsidRDefault="003800C4" w:rsidP="003943A1">
            <w:pPr>
              <w:jc w:val="right"/>
              <w:rPr>
                <w:sz w:val="26"/>
                <w:szCs w:val="26"/>
              </w:rPr>
            </w:pPr>
          </w:p>
          <w:p w14:paraId="04246FA1" w14:textId="77777777" w:rsidR="00122A1A" w:rsidRDefault="00122A1A" w:rsidP="003943A1">
            <w:pPr>
              <w:jc w:val="right"/>
              <w:rPr>
                <w:sz w:val="26"/>
                <w:szCs w:val="26"/>
              </w:rPr>
            </w:pPr>
          </w:p>
          <w:p w14:paraId="0EBD8258" w14:textId="21C5E450" w:rsidR="00122A1A" w:rsidRDefault="00122A1A" w:rsidP="00122A1A">
            <w:pPr>
              <w:rPr>
                <w:sz w:val="26"/>
                <w:szCs w:val="26"/>
              </w:rPr>
            </w:pPr>
          </w:p>
        </w:tc>
      </w:tr>
      <w:tr w:rsidR="00774574" w14:paraId="173A52C6" w14:textId="77777777" w:rsidTr="00312215">
        <w:trPr>
          <w:trHeight w:val="581"/>
        </w:trPr>
        <w:tc>
          <w:tcPr>
            <w:tcW w:w="5534" w:type="dxa"/>
          </w:tcPr>
          <w:p w14:paraId="4F58773C" w14:textId="4D2B7A87" w:rsidR="00774574" w:rsidRDefault="00C303E1" w:rsidP="00DD7BF4">
            <w:pPr>
              <w:jc w:val="left"/>
              <w:rPr>
                <w:b/>
                <w:sz w:val="26"/>
                <w:szCs w:val="26"/>
              </w:rPr>
            </w:pPr>
            <w:r>
              <w:rPr>
                <w:b/>
                <w:sz w:val="26"/>
                <w:szCs w:val="26"/>
              </w:rPr>
              <w:t>JGK ENGINEERING (PTY) LTD</w:t>
            </w:r>
          </w:p>
        </w:tc>
        <w:tc>
          <w:tcPr>
            <w:tcW w:w="3685" w:type="dxa"/>
          </w:tcPr>
          <w:p w14:paraId="0FE31F74" w14:textId="0CA618E5" w:rsidR="00774574" w:rsidRDefault="007A4FE8" w:rsidP="00774574">
            <w:pPr>
              <w:jc w:val="right"/>
              <w:rPr>
                <w:sz w:val="26"/>
                <w:szCs w:val="26"/>
              </w:rPr>
            </w:pPr>
            <w:r>
              <w:rPr>
                <w:sz w:val="26"/>
                <w:szCs w:val="26"/>
              </w:rPr>
              <w:t>Applicant</w:t>
            </w:r>
            <w:r w:rsidR="00774574">
              <w:rPr>
                <w:sz w:val="26"/>
                <w:szCs w:val="26"/>
              </w:rPr>
              <w:t xml:space="preserve"> </w:t>
            </w:r>
          </w:p>
        </w:tc>
      </w:tr>
      <w:tr w:rsidR="00774574" w14:paraId="159F5576" w14:textId="77777777" w:rsidTr="00312215">
        <w:trPr>
          <w:trHeight w:val="712"/>
        </w:trPr>
        <w:tc>
          <w:tcPr>
            <w:tcW w:w="5534" w:type="dxa"/>
          </w:tcPr>
          <w:p w14:paraId="0A9BA4D0" w14:textId="3D1CE3AD" w:rsidR="00774574" w:rsidRPr="00D03C5E" w:rsidRDefault="00F47C32" w:rsidP="00DD7BF4">
            <w:pPr>
              <w:jc w:val="left"/>
              <w:rPr>
                <w:sz w:val="26"/>
                <w:szCs w:val="26"/>
              </w:rPr>
            </w:pPr>
            <w:r>
              <w:rPr>
                <w:sz w:val="26"/>
                <w:szCs w:val="26"/>
              </w:rPr>
              <w:t>A</w:t>
            </w:r>
            <w:r w:rsidR="00774574">
              <w:rPr>
                <w:sz w:val="26"/>
                <w:szCs w:val="26"/>
              </w:rPr>
              <w:t>nd</w:t>
            </w:r>
          </w:p>
        </w:tc>
        <w:tc>
          <w:tcPr>
            <w:tcW w:w="3685" w:type="dxa"/>
          </w:tcPr>
          <w:p w14:paraId="100E74B1" w14:textId="77777777" w:rsidR="00774574" w:rsidRDefault="00774574" w:rsidP="00774574">
            <w:pPr>
              <w:jc w:val="right"/>
              <w:rPr>
                <w:sz w:val="26"/>
                <w:szCs w:val="26"/>
              </w:rPr>
            </w:pPr>
          </w:p>
        </w:tc>
      </w:tr>
      <w:tr w:rsidR="00DC51FF" w14:paraId="2DCA910A" w14:textId="77777777" w:rsidTr="00312215">
        <w:trPr>
          <w:trHeight w:val="541"/>
        </w:trPr>
        <w:tc>
          <w:tcPr>
            <w:tcW w:w="5534" w:type="dxa"/>
          </w:tcPr>
          <w:p w14:paraId="622681E3" w14:textId="2A86820B" w:rsidR="00DC51FF" w:rsidRPr="00DC51FF" w:rsidRDefault="00C303E1" w:rsidP="00DD7BF4">
            <w:pPr>
              <w:jc w:val="left"/>
              <w:rPr>
                <w:b/>
                <w:sz w:val="26"/>
                <w:szCs w:val="26"/>
              </w:rPr>
            </w:pPr>
            <w:r>
              <w:rPr>
                <w:b/>
                <w:sz w:val="26"/>
                <w:szCs w:val="26"/>
              </w:rPr>
              <w:t>QUARRY</w:t>
            </w:r>
            <w:r w:rsidR="00E83791">
              <w:rPr>
                <w:b/>
                <w:sz w:val="26"/>
                <w:szCs w:val="26"/>
              </w:rPr>
              <w:t xml:space="preserve"> MASTER CC</w:t>
            </w:r>
          </w:p>
        </w:tc>
        <w:tc>
          <w:tcPr>
            <w:tcW w:w="3685" w:type="dxa"/>
          </w:tcPr>
          <w:p w14:paraId="7A51C39E" w14:textId="79A59EF1" w:rsidR="00DC51FF" w:rsidRDefault="00C303E1" w:rsidP="00DC51FF">
            <w:pPr>
              <w:jc w:val="right"/>
              <w:rPr>
                <w:sz w:val="26"/>
                <w:szCs w:val="26"/>
              </w:rPr>
            </w:pPr>
            <w:r>
              <w:rPr>
                <w:sz w:val="26"/>
                <w:szCs w:val="26"/>
              </w:rPr>
              <w:t xml:space="preserve">First </w:t>
            </w:r>
            <w:r w:rsidR="007A4FE8">
              <w:rPr>
                <w:sz w:val="26"/>
                <w:szCs w:val="26"/>
              </w:rPr>
              <w:t>Respondent</w:t>
            </w:r>
          </w:p>
        </w:tc>
      </w:tr>
      <w:tr w:rsidR="00E83791" w14:paraId="5A1244CD" w14:textId="77777777" w:rsidTr="00312215">
        <w:trPr>
          <w:trHeight w:val="541"/>
        </w:trPr>
        <w:tc>
          <w:tcPr>
            <w:tcW w:w="5534" w:type="dxa"/>
          </w:tcPr>
          <w:p w14:paraId="0511D6D2" w14:textId="2D963794" w:rsidR="00E83791" w:rsidRDefault="00E83791" w:rsidP="00DD7BF4">
            <w:pPr>
              <w:jc w:val="left"/>
              <w:rPr>
                <w:b/>
                <w:sz w:val="26"/>
                <w:szCs w:val="26"/>
              </w:rPr>
            </w:pPr>
            <w:r>
              <w:rPr>
                <w:b/>
                <w:sz w:val="26"/>
                <w:szCs w:val="26"/>
              </w:rPr>
              <w:t>ANDRIES STEFANUS DU TOIT</w:t>
            </w:r>
          </w:p>
        </w:tc>
        <w:tc>
          <w:tcPr>
            <w:tcW w:w="3685" w:type="dxa"/>
          </w:tcPr>
          <w:p w14:paraId="186AF3A8" w14:textId="0B13B4A7" w:rsidR="00E83791" w:rsidRDefault="00E83791" w:rsidP="00DC51FF">
            <w:pPr>
              <w:jc w:val="right"/>
              <w:rPr>
                <w:sz w:val="26"/>
                <w:szCs w:val="26"/>
              </w:rPr>
            </w:pPr>
            <w:r>
              <w:rPr>
                <w:sz w:val="26"/>
                <w:szCs w:val="26"/>
              </w:rPr>
              <w:t>Second Respondent</w:t>
            </w:r>
          </w:p>
        </w:tc>
      </w:tr>
      <w:tr w:rsidR="00E83791" w14:paraId="05BA30EE" w14:textId="77777777" w:rsidTr="00312215">
        <w:trPr>
          <w:trHeight w:val="541"/>
        </w:trPr>
        <w:tc>
          <w:tcPr>
            <w:tcW w:w="5534" w:type="dxa"/>
          </w:tcPr>
          <w:p w14:paraId="791A106B" w14:textId="765DF744" w:rsidR="00E83791" w:rsidRDefault="00E83791" w:rsidP="00DD7BF4">
            <w:pPr>
              <w:jc w:val="left"/>
              <w:rPr>
                <w:b/>
                <w:sz w:val="26"/>
                <w:szCs w:val="26"/>
              </w:rPr>
            </w:pPr>
            <w:r>
              <w:rPr>
                <w:b/>
                <w:sz w:val="26"/>
                <w:szCs w:val="26"/>
              </w:rPr>
              <w:t>CECILIA MARIA MAGDALENA DU TOIT</w:t>
            </w:r>
          </w:p>
        </w:tc>
        <w:tc>
          <w:tcPr>
            <w:tcW w:w="3685" w:type="dxa"/>
          </w:tcPr>
          <w:p w14:paraId="77F4CF1B" w14:textId="5F1A0E12" w:rsidR="00E83791" w:rsidRDefault="00E83791" w:rsidP="00DC51FF">
            <w:pPr>
              <w:jc w:val="right"/>
              <w:rPr>
                <w:sz w:val="26"/>
                <w:szCs w:val="26"/>
              </w:rPr>
            </w:pPr>
            <w:r>
              <w:rPr>
                <w:sz w:val="26"/>
                <w:szCs w:val="26"/>
              </w:rPr>
              <w:t>Third Respondent</w:t>
            </w:r>
          </w:p>
        </w:tc>
      </w:tr>
    </w:tbl>
    <w:p w14:paraId="22822D57" w14:textId="77123613" w:rsidR="002979D9" w:rsidRDefault="005A3D2E" w:rsidP="002979D9">
      <w:pPr>
        <w:spacing w:after="0" w:line="240" w:lineRule="auto"/>
        <w:rPr>
          <w:sz w:val="26"/>
          <w:szCs w:val="26"/>
        </w:rPr>
      </w:pPr>
      <w:r>
        <w:rPr>
          <w:sz w:val="26"/>
          <w:szCs w:val="26"/>
        </w:rPr>
        <w:pict w14:anchorId="10B15E15">
          <v:rect id="_x0000_i1025" style="width:0;height:1.5pt" o:hralign="center" o:hrstd="t" o:hr="t" fillcolor="#a0a0a0" stroked="f"/>
        </w:pict>
      </w:r>
    </w:p>
    <w:p w14:paraId="389970D2" w14:textId="7E75BBC5" w:rsidR="008348DA" w:rsidRDefault="008348DA" w:rsidP="002979D9">
      <w:pPr>
        <w:spacing w:after="0" w:line="240" w:lineRule="auto"/>
        <w:rPr>
          <w:b/>
          <w:sz w:val="26"/>
          <w:szCs w:val="26"/>
        </w:rPr>
      </w:pPr>
    </w:p>
    <w:p w14:paraId="05B1797E" w14:textId="26950B8F" w:rsidR="002979D9" w:rsidRDefault="002979D9" w:rsidP="002979D9">
      <w:pPr>
        <w:spacing w:after="0" w:line="240" w:lineRule="auto"/>
        <w:jc w:val="center"/>
        <w:rPr>
          <w:b/>
          <w:sz w:val="26"/>
          <w:szCs w:val="26"/>
        </w:rPr>
      </w:pPr>
      <w:r>
        <w:rPr>
          <w:b/>
          <w:sz w:val="26"/>
          <w:szCs w:val="26"/>
        </w:rPr>
        <w:t>JUDGMENT</w:t>
      </w:r>
    </w:p>
    <w:p w14:paraId="5B7F9BBF" w14:textId="1A48A166" w:rsidR="002979D9" w:rsidRDefault="005A3D2E" w:rsidP="002979D9">
      <w:pPr>
        <w:spacing w:after="0" w:line="240" w:lineRule="auto"/>
        <w:rPr>
          <w:sz w:val="26"/>
          <w:szCs w:val="26"/>
        </w:rPr>
      </w:pPr>
      <w:r>
        <w:rPr>
          <w:sz w:val="26"/>
          <w:szCs w:val="26"/>
        </w:rPr>
        <w:pict w14:anchorId="1483AB20">
          <v:rect id="_x0000_i1026" style="width:0;height:1.5pt" o:hralign="center" o:hrstd="t" o:hr="t" fillcolor="#a0a0a0" stroked="f"/>
        </w:pict>
      </w:r>
    </w:p>
    <w:p w14:paraId="3EE939E7" w14:textId="0112147B" w:rsidR="002979D9" w:rsidRDefault="002979D9" w:rsidP="002979D9">
      <w:pPr>
        <w:spacing w:after="0" w:line="240" w:lineRule="auto"/>
        <w:rPr>
          <w:sz w:val="26"/>
          <w:szCs w:val="26"/>
        </w:rPr>
      </w:pPr>
    </w:p>
    <w:p w14:paraId="2DA86B1B" w14:textId="2A448AF3" w:rsidR="002979D9" w:rsidRPr="007E201B" w:rsidRDefault="007E201B" w:rsidP="00271C78">
      <w:pPr>
        <w:tabs>
          <w:tab w:val="left" w:pos="851"/>
        </w:tabs>
        <w:rPr>
          <w:sz w:val="26"/>
          <w:szCs w:val="26"/>
          <w:u w:val="single"/>
        </w:rPr>
      </w:pPr>
      <w:r>
        <w:rPr>
          <w:sz w:val="26"/>
          <w:szCs w:val="26"/>
          <w:u w:val="single"/>
        </w:rPr>
        <w:t>BESTER AJ</w:t>
      </w:r>
    </w:p>
    <w:p w14:paraId="6B62039A" w14:textId="4BA581FB" w:rsidR="00FE0922" w:rsidRDefault="00FE0922" w:rsidP="00156F5E">
      <w:pPr>
        <w:pStyle w:val="Heading1"/>
      </w:pPr>
      <w:r>
        <w:lastRenderedPageBreak/>
        <w:t>Introduction</w:t>
      </w:r>
    </w:p>
    <w:p w14:paraId="533A1A3D" w14:textId="3567512F" w:rsidR="002878D2" w:rsidRPr="005873C5" w:rsidRDefault="005873C5" w:rsidP="005873C5">
      <w:pPr>
        <w:ind w:left="851" w:hanging="851"/>
        <w:rPr>
          <w:sz w:val="26"/>
          <w:szCs w:val="26"/>
        </w:rPr>
      </w:pPr>
      <w:r>
        <w:rPr>
          <w:sz w:val="26"/>
          <w:szCs w:val="26"/>
        </w:rPr>
        <w:t>[1]</w:t>
      </w:r>
      <w:r>
        <w:rPr>
          <w:sz w:val="26"/>
          <w:szCs w:val="26"/>
        </w:rPr>
        <w:tab/>
      </w:r>
      <w:r w:rsidR="008F151E" w:rsidRPr="005873C5">
        <w:rPr>
          <w:sz w:val="26"/>
          <w:szCs w:val="26"/>
        </w:rPr>
        <w:t>The applicant, a manufacturer of mining equipment, seeks the urgent stay of two warran</w:t>
      </w:r>
      <w:r w:rsidR="000B0DB5" w:rsidRPr="005873C5">
        <w:rPr>
          <w:sz w:val="26"/>
          <w:szCs w:val="26"/>
        </w:rPr>
        <w:t>t</w:t>
      </w:r>
      <w:r w:rsidR="007D7EC7" w:rsidRPr="005873C5">
        <w:rPr>
          <w:sz w:val="26"/>
          <w:szCs w:val="26"/>
        </w:rPr>
        <w:t>s</w:t>
      </w:r>
      <w:r w:rsidR="000B0DB5" w:rsidRPr="005873C5">
        <w:rPr>
          <w:sz w:val="26"/>
          <w:szCs w:val="26"/>
        </w:rPr>
        <w:t xml:space="preserve"> for its ejectment </w:t>
      </w:r>
      <w:r w:rsidR="00E83791" w:rsidRPr="005873C5">
        <w:rPr>
          <w:sz w:val="26"/>
          <w:szCs w:val="26"/>
        </w:rPr>
        <w:t>from adjoining pr</w:t>
      </w:r>
      <w:r w:rsidR="005049E0" w:rsidRPr="005873C5">
        <w:rPr>
          <w:sz w:val="26"/>
          <w:szCs w:val="26"/>
        </w:rPr>
        <w:t>operties</w:t>
      </w:r>
      <w:r w:rsidR="00531F88" w:rsidRPr="005873C5">
        <w:rPr>
          <w:sz w:val="26"/>
          <w:szCs w:val="26"/>
        </w:rPr>
        <w:t xml:space="preserve">, </w:t>
      </w:r>
      <w:r w:rsidR="00FD304A" w:rsidRPr="005873C5">
        <w:rPr>
          <w:sz w:val="26"/>
          <w:szCs w:val="26"/>
        </w:rPr>
        <w:t xml:space="preserve">which </w:t>
      </w:r>
      <w:r w:rsidR="00531F88" w:rsidRPr="005873C5">
        <w:rPr>
          <w:sz w:val="26"/>
          <w:szCs w:val="26"/>
        </w:rPr>
        <w:t>together constitut</w:t>
      </w:r>
      <w:r w:rsidR="00FD304A" w:rsidRPr="005873C5">
        <w:rPr>
          <w:sz w:val="26"/>
          <w:szCs w:val="26"/>
        </w:rPr>
        <w:t>e</w:t>
      </w:r>
      <w:r w:rsidR="00531F88" w:rsidRPr="005873C5">
        <w:rPr>
          <w:sz w:val="26"/>
          <w:szCs w:val="26"/>
        </w:rPr>
        <w:t xml:space="preserve"> the commercial premises situated at 33 Greer Street, Vulcania, Brakpan,</w:t>
      </w:r>
      <w:r w:rsidR="00E83791" w:rsidRPr="005873C5">
        <w:rPr>
          <w:sz w:val="26"/>
          <w:szCs w:val="26"/>
        </w:rPr>
        <w:t xml:space="preserve"> from which it </w:t>
      </w:r>
      <w:r w:rsidR="005049E0" w:rsidRPr="005873C5">
        <w:rPr>
          <w:sz w:val="26"/>
          <w:szCs w:val="26"/>
        </w:rPr>
        <w:t>operates</w:t>
      </w:r>
      <w:r w:rsidR="00E83791" w:rsidRPr="005873C5">
        <w:rPr>
          <w:sz w:val="26"/>
          <w:szCs w:val="26"/>
        </w:rPr>
        <w:t>.</w:t>
      </w:r>
    </w:p>
    <w:p w14:paraId="768276FF" w14:textId="15ED03A5" w:rsidR="000059C8" w:rsidRPr="005873C5" w:rsidRDefault="005873C5" w:rsidP="005873C5">
      <w:pPr>
        <w:ind w:left="851" w:hanging="851"/>
        <w:rPr>
          <w:sz w:val="26"/>
          <w:szCs w:val="26"/>
        </w:rPr>
      </w:pPr>
      <w:r>
        <w:rPr>
          <w:sz w:val="26"/>
          <w:szCs w:val="26"/>
        </w:rPr>
        <w:t>[2</w:t>
      </w:r>
      <w:bookmarkStart w:id="0" w:name="_GoBack"/>
      <w:bookmarkEnd w:id="0"/>
      <w:r>
        <w:rPr>
          <w:sz w:val="26"/>
          <w:szCs w:val="26"/>
        </w:rPr>
        <w:t>]</w:t>
      </w:r>
      <w:r>
        <w:rPr>
          <w:sz w:val="26"/>
          <w:szCs w:val="26"/>
        </w:rPr>
        <w:tab/>
      </w:r>
      <w:r w:rsidR="000059C8" w:rsidRPr="005873C5">
        <w:rPr>
          <w:sz w:val="26"/>
          <w:szCs w:val="26"/>
        </w:rPr>
        <w:t xml:space="preserve">The first respondent owns one of the properties, and the second and third respondents, a married couple, </w:t>
      </w:r>
      <w:r w:rsidR="00BB23B9" w:rsidRPr="005873C5">
        <w:rPr>
          <w:sz w:val="26"/>
          <w:szCs w:val="26"/>
        </w:rPr>
        <w:t xml:space="preserve">own the other.  </w:t>
      </w:r>
      <w:r w:rsidR="00A00652" w:rsidRPr="005873C5">
        <w:rPr>
          <w:sz w:val="26"/>
          <w:szCs w:val="26"/>
        </w:rPr>
        <w:t>They also own and control the first respondent.  The respondent</w:t>
      </w:r>
      <w:r w:rsidR="00495C47" w:rsidRPr="005873C5">
        <w:rPr>
          <w:sz w:val="26"/>
          <w:szCs w:val="26"/>
        </w:rPr>
        <w:t>s</w:t>
      </w:r>
      <w:r w:rsidR="00A00652" w:rsidRPr="005873C5">
        <w:rPr>
          <w:sz w:val="26"/>
          <w:szCs w:val="26"/>
        </w:rPr>
        <w:t xml:space="preserve"> seek the eject</w:t>
      </w:r>
      <w:r w:rsidR="00E4159E" w:rsidRPr="005873C5">
        <w:rPr>
          <w:sz w:val="26"/>
          <w:szCs w:val="26"/>
        </w:rPr>
        <w:t xml:space="preserve">ment of the applicant from the premises </w:t>
      </w:r>
      <w:r w:rsidR="00495C47" w:rsidRPr="005873C5">
        <w:rPr>
          <w:sz w:val="26"/>
          <w:szCs w:val="26"/>
        </w:rPr>
        <w:t xml:space="preserve">in a counterapplication, </w:t>
      </w:r>
      <w:r w:rsidR="00E4159E" w:rsidRPr="005873C5">
        <w:rPr>
          <w:sz w:val="26"/>
          <w:szCs w:val="26"/>
        </w:rPr>
        <w:t>on the basis that the warrants ha</w:t>
      </w:r>
      <w:r w:rsidR="002A301B" w:rsidRPr="005873C5">
        <w:rPr>
          <w:sz w:val="26"/>
          <w:szCs w:val="26"/>
        </w:rPr>
        <w:t>d</w:t>
      </w:r>
      <w:r w:rsidR="00E4159E" w:rsidRPr="005873C5">
        <w:rPr>
          <w:sz w:val="26"/>
          <w:szCs w:val="26"/>
        </w:rPr>
        <w:t xml:space="preserve"> already been lawfully executed, </w:t>
      </w:r>
      <w:r w:rsidR="00D6582B" w:rsidRPr="005873C5">
        <w:rPr>
          <w:sz w:val="26"/>
          <w:szCs w:val="26"/>
        </w:rPr>
        <w:t>whereafter</w:t>
      </w:r>
      <w:r w:rsidR="00E4159E" w:rsidRPr="005873C5">
        <w:rPr>
          <w:sz w:val="26"/>
          <w:szCs w:val="26"/>
        </w:rPr>
        <w:t xml:space="preserve"> the applicant </w:t>
      </w:r>
      <w:r w:rsidR="00720C2E" w:rsidRPr="005873C5">
        <w:rPr>
          <w:sz w:val="26"/>
          <w:szCs w:val="26"/>
        </w:rPr>
        <w:t xml:space="preserve">unlawfully </w:t>
      </w:r>
      <w:r w:rsidR="00177267" w:rsidRPr="005873C5">
        <w:rPr>
          <w:sz w:val="26"/>
          <w:szCs w:val="26"/>
        </w:rPr>
        <w:t>r</w:t>
      </w:r>
      <w:r w:rsidR="00BB48BB" w:rsidRPr="005873C5">
        <w:rPr>
          <w:sz w:val="26"/>
          <w:szCs w:val="26"/>
        </w:rPr>
        <w:t>eturned to</w:t>
      </w:r>
      <w:r w:rsidR="00720C2E" w:rsidRPr="005873C5">
        <w:rPr>
          <w:sz w:val="26"/>
          <w:szCs w:val="26"/>
        </w:rPr>
        <w:t xml:space="preserve"> the premises.  </w:t>
      </w:r>
    </w:p>
    <w:p w14:paraId="1D6A7433" w14:textId="39B6F019" w:rsidR="00F37128" w:rsidRDefault="006D2EFD" w:rsidP="00210888">
      <w:pPr>
        <w:pStyle w:val="Heading1"/>
      </w:pPr>
      <w:r>
        <w:t>The facts</w:t>
      </w:r>
    </w:p>
    <w:p w14:paraId="621527C7" w14:textId="438E407E" w:rsidR="00720C2E" w:rsidRPr="005873C5" w:rsidRDefault="005873C5" w:rsidP="005873C5">
      <w:pPr>
        <w:ind w:left="851" w:hanging="851"/>
        <w:rPr>
          <w:sz w:val="26"/>
          <w:szCs w:val="26"/>
        </w:rPr>
      </w:pPr>
      <w:r>
        <w:rPr>
          <w:sz w:val="26"/>
          <w:szCs w:val="26"/>
        </w:rPr>
        <w:t>[3]</w:t>
      </w:r>
      <w:r>
        <w:rPr>
          <w:sz w:val="26"/>
          <w:szCs w:val="26"/>
        </w:rPr>
        <w:tab/>
      </w:r>
      <w:r w:rsidR="00720C2E" w:rsidRPr="005873C5">
        <w:rPr>
          <w:sz w:val="26"/>
          <w:szCs w:val="26"/>
        </w:rPr>
        <w:t>The fact</w:t>
      </w:r>
      <w:r w:rsidR="00D6582B" w:rsidRPr="005873C5">
        <w:rPr>
          <w:sz w:val="26"/>
          <w:szCs w:val="26"/>
        </w:rPr>
        <w:t>s</w:t>
      </w:r>
      <w:r w:rsidR="00720C2E" w:rsidRPr="005873C5">
        <w:rPr>
          <w:sz w:val="26"/>
          <w:szCs w:val="26"/>
        </w:rPr>
        <w:t xml:space="preserve"> are not contentious.  The applica</w:t>
      </w:r>
      <w:r w:rsidR="00193CA0" w:rsidRPr="005873C5">
        <w:rPr>
          <w:sz w:val="26"/>
          <w:szCs w:val="26"/>
        </w:rPr>
        <w:t xml:space="preserve">nt took occupation of the premises at the end of March 2021.  </w:t>
      </w:r>
      <w:r w:rsidR="002454A4" w:rsidRPr="005873C5">
        <w:rPr>
          <w:sz w:val="26"/>
          <w:szCs w:val="26"/>
        </w:rPr>
        <w:t xml:space="preserve">On 28 May 2021 the respondents respectively sold the two properties to the applicant in terms of two separate contracts.  </w:t>
      </w:r>
      <w:r w:rsidR="00765B9E" w:rsidRPr="005873C5">
        <w:rPr>
          <w:sz w:val="26"/>
          <w:szCs w:val="26"/>
        </w:rPr>
        <w:t>In terms thereof, the applicant paid substantial non-refundable deposits</w:t>
      </w:r>
      <w:r w:rsidR="00892A54" w:rsidRPr="005873C5">
        <w:rPr>
          <w:sz w:val="26"/>
          <w:szCs w:val="26"/>
        </w:rPr>
        <w:t xml:space="preserve">, and had to </w:t>
      </w:r>
      <w:r w:rsidR="00475EC4" w:rsidRPr="005873C5">
        <w:rPr>
          <w:sz w:val="26"/>
          <w:szCs w:val="26"/>
        </w:rPr>
        <w:t>pay off the balance of the purchase prices at R20 000,00 per month</w:t>
      </w:r>
      <w:r w:rsidR="00475183" w:rsidRPr="005873C5">
        <w:rPr>
          <w:sz w:val="26"/>
          <w:szCs w:val="26"/>
        </w:rPr>
        <w:t xml:space="preserve"> each</w:t>
      </w:r>
      <w:r w:rsidR="00475EC4" w:rsidRPr="005873C5">
        <w:rPr>
          <w:sz w:val="26"/>
          <w:szCs w:val="26"/>
        </w:rPr>
        <w:t xml:space="preserve">. Since </w:t>
      </w:r>
      <w:r w:rsidR="00B55F4B" w:rsidRPr="005873C5">
        <w:rPr>
          <w:sz w:val="26"/>
          <w:szCs w:val="26"/>
        </w:rPr>
        <w:t xml:space="preserve">November 2021, the applicant has not made the monthly payments.  </w:t>
      </w:r>
    </w:p>
    <w:p w14:paraId="4A880C18" w14:textId="1A8BB403" w:rsidR="00D438AB" w:rsidRPr="005873C5" w:rsidRDefault="005873C5" w:rsidP="005873C5">
      <w:pPr>
        <w:tabs>
          <w:tab w:val="left" w:pos="1135"/>
        </w:tabs>
        <w:ind w:left="851" w:hanging="851"/>
        <w:rPr>
          <w:sz w:val="26"/>
          <w:szCs w:val="26"/>
        </w:rPr>
      </w:pPr>
      <w:r>
        <w:rPr>
          <w:sz w:val="26"/>
          <w:szCs w:val="26"/>
        </w:rPr>
        <w:lastRenderedPageBreak/>
        <w:t>[4]</w:t>
      </w:r>
      <w:r>
        <w:rPr>
          <w:sz w:val="26"/>
          <w:szCs w:val="26"/>
        </w:rPr>
        <w:tab/>
      </w:r>
      <w:r w:rsidR="00B55F4B" w:rsidRPr="005873C5">
        <w:rPr>
          <w:sz w:val="26"/>
          <w:szCs w:val="26"/>
        </w:rPr>
        <w:t>On 1 April 2022 the respondents had formal breach notices served on the applicant, and when the</w:t>
      </w:r>
      <w:r w:rsidR="000355F4" w:rsidRPr="005873C5">
        <w:rPr>
          <w:sz w:val="26"/>
          <w:szCs w:val="26"/>
        </w:rPr>
        <w:t xml:space="preserve"> notices</w:t>
      </w:r>
      <w:r w:rsidR="00B55F4B" w:rsidRPr="005873C5">
        <w:rPr>
          <w:sz w:val="26"/>
          <w:szCs w:val="26"/>
        </w:rPr>
        <w:t xml:space="preserve"> were not complied </w:t>
      </w:r>
      <w:r w:rsidR="00D81201" w:rsidRPr="005873C5">
        <w:rPr>
          <w:sz w:val="26"/>
          <w:szCs w:val="26"/>
        </w:rPr>
        <w:t>with,</w:t>
      </w:r>
      <w:r w:rsidR="00B55F4B" w:rsidRPr="005873C5">
        <w:rPr>
          <w:sz w:val="26"/>
          <w:szCs w:val="26"/>
        </w:rPr>
        <w:t xml:space="preserve"> t</w:t>
      </w:r>
      <w:r w:rsidR="000355F4" w:rsidRPr="005873C5">
        <w:rPr>
          <w:sz w:val="26"/>
          <w:szCs w:val="26"/>
        </w:rPr>
        <w:t>he respondents</w:t>
      </w:r>
      <w:r w:rsidR="00B55F4B" w:rsidRPr="005873C5">
        <w:rPr>
          <w:sz w:val="26"/>
          <w:szCs w:val="26"/>
        </w:rPr>
        <w:t xml:space="preserve"> cancelled the agreements on 11 May 2022.  </w:t>
      </w:r>
      <w:r w:rsidR="00D81201" w:rsidRPr="005873C5">
        <w:rPr>
          <w:sz w:val="26"/>
          <w:szCs w:val="26"/>
        </w:rPr>
        <w:t>In the same month they issued two summonses out of the Magistrates</w:t>
      </w:r>
      <w:r w:rsidR="006637E8" w:rsidRPr="005873C5">
        <w:rPr>
          <w:sz w:val="26"/>
          <w:szCs w:val="26"/>
        </w:rPr>
        <w:t>’</w:t>
      </w:r>
      <w:r w:rsidR="00D81201" w:rsidRPr="005873C5">
        <w:rPr>
          <w:sz w:val="26"/>
          <w:szCs w:val="26"/>
        </w:rPr>
        <w:t xml:space="preserve"> Court</w:t>
      </w:r>
      <w:r w:rsidR="00C355AB" w:rsidRPr="005873C5">
        <w:rPr>
          <w:sz w:val="26"/>
          <w:szCs w:val="26"/>
        </w:rPr>
        <w:t xml:space="preserve"> for the district of Brakpan</w:t>
      </w:r>
      <w:r w:rsidR="00D81201" w:rsidRPr="005873C5">
        <w:rPr>
          <w:sz w:val="26"/>
          <w:szCs w:val="26"/>
        </w:rPr>
        <w:t xml:space="preserve">, each for </w:t>
      </w:r>
      <w:r w:rsidR="006637E8" w:rsidRPr="005873C5">
        <w:rPr>
          <w:sz w:val="26"/>
          <w:szCs w:val="26"/>
        </w:rPr>
        <w:t xml:space="preserve">both </w:t>
      </w:r>
      <w:r w:rsidR="00D81201" w:rsidRPr="005873C5">
        <w:rPr>
          <w:sz w:val="26"/>
          <w:szCs w:val="26"/>
        </w:rPr>
        <w:t xml:space="preserve">a monetary claim and a claim for ejectment.  </w:t>
      </w:r>
      <w:r w:rsidR="004A64CE" w:rsidRPr="005873C5">
        <w:rPr>
          <w:sz w:val="26"/>
          <w:szCs w:val="26"/>
        </w:rPr>
        <w:t xml:space="preserve">The </w:t>
      </w:r>
      <w:r w:rsidR="006637E8" w:rsidRPr="005873C5">
        <w:rPr>
          <w:sz w:val="26"/>
          <w:szCs w:val="26"/>
        </w:rPr>
        <w:t>applicant</w:t>
      </w:r>
      <w:r w:rsidR="00690A87" w:rsidRPr="005873C5">
        <w:rPr>
          <w:sz w:val="26"/>
          <w:szCs w:val="26"/>
        </w:rPr>
        <w:t xml:space="preserve"> delivered notices of intention to defend </w:t>
      </w:r>
      <w:r w:rsidR="00B526EB" w:rsidRPr="005873C5">
        <w:rPr>
          <w:sz w:val="26"/>
          <w:szCs w:val="26"/>
        </w:rPr>
        <w:t>both actions</w:t>
      </w:r>
      <w:r w:rsidR="007645E6" w:rsidRPr="005873C5">
        <w:rPr>
          <w:sz w:val="26"/>
          <w:szCs w:val="26"/>
        </w:rPr>
        <w:t xml:space="preserve"> but failed to deliver its pleas, despite the delivery of notices of bar.</w:t>
      </w:r>
      <w:r w:rsidR="00B23214" w:rsidRPr="005873C5">
        <w:rPr>
          <w:sz w:val="26"/>
          <w:szCs w:val="26"/>
        </w:rPr>
        <w:t xml:space="preserve"> </w:t>
      </w:r>
      <w:r w:rsidR="007645E6" w:rsidRPr="005873C5">
        <w:rPr>
          <w:sz w:val="26"/>
          <w:szCs w:val="26"/>
        </w:rPr>
        <w:t xml:space="preserve">The </w:t>
      </w:r>
      <w:r w:rsidR="00574341" w:rsidRPr="005873C5">
        <w:rPr>
          <w:sz w:val="26"/>
          <w:szCs w:val="26"/>
        </w:rPr>
        <w:t>applicant</w:t>
      </w:r>
      <w:r w:rsidR="007645E6" w:rsidRPr="005873C5">
        <w:rPr>
          <w:sz w:val="26"/>
          <w:szCs w:val="26"/>
        </w:rPr>
        <w:t xml:space="preserve"> </w:t>
      </w:r>
      <w:r w:rsidR="00D438AB" w:rsidRPr="005873C5">
        <w:rPr>
          <w:sz w:val="26"/>
          <w:szCs w:val="26"/>
        </w:rPr>
        <w:t xml:space="preserve">purported to </w:t>
      </w:r>
      <w:r w:rsidR="007645E6" w:rsidRPr="005873C5">
        <w:rPr>
          <w:sz w:val="26"/>
          <w:szCs w:val="26"/>
        </w:rPr>
        <w:t xml:space="preserve">deliver </w:t>
      </w:r>
      <w:r w:rsidR="00C4349A" w:rsidRPr="005873C5">
        <w:rPr>
          <w:sz w:val="26"/>
          <w:szCs w:val="26"/>
        </w:rPr>
        <w:t xml:space="preserve">notices to remove cause of complaint in both </w:t>
      </w:r>
      <w:r w:rsidR="008B1300" w:rsidRPr="005873C5">
        <w:rPr>
          <w:sz w:val="26"/>
          <w:szCs w:val="26"/>
        </w:rPr>
        <w:t>actions but</w:t>
      </w:r>
      <w:r w:rsidR="003A731A" w:rsidRPr="005873C5">
        <w:rPr>
          <w:sz w:val="26"/>
          <w:szCs w:val="26"/>
        </w:rPr>
        <w:t xml:space="preserve"> did not seek </w:t>
      </w:r>
      <w:r w:rsidR="00C217AF" w:rsidRPr="005873C5">
        <w:rPr>
          <w:sz w:val="26"/>
          <w:szCs w:val="26"/>
        </w:rPr>
        <w:t xml:space="preserve">to </w:t>
      </w:r>
      <w:r w:rsidR="003A731A" w:rsidRPr="005873C5">
        <w:rPr>
          <w:sz w:val="26"/>
          <w:szCs w:val="26"/>
        </w:rPr>
        <w:t xml:space="preserve">uplift the bars.  </w:t>
      </w:r>
    </w:p>
    <w:p w14:paraId="61FFE556" w14:textId="1CBEC8F0" w:rsidR="00B55F4B" w:rsidRPr="005873C5" w:rsidRDefault="005873C5" w:rsidP="005873C5">
      <w:pPr>
        <w:tabs>
          <w:tab w:val="left" w:pos="1135"/>
        </w:tabs>
        <w:ind w:left="851" w:hanging="851"/>
        <w:rPr>
          <w:sz w:val="26"/>
          <w:szCs w:val="26"/>
        </w:rPr>
      </w:pPr>
      <w:r w:rsidRPr="00B23214">
        <w:rPr>
          <w:sz w:val="26"/>
          <w:szCs w:val="26"/>
        </w:rPr>
        <w:t>[5]</w:t>
      </w:r>
      <w:r w:rsidRPr="00B23214">
        <w:rPr>
          <w:sz w:val="26"/>
          <w:szCs w:val="26"/>
        </w:rPr>
        <w:tab/>
      </w:r>
      <w:r w:rsidR="003A731A" w:rsidRPr="005873C5">
        <w:rPr>
          <w:sz w:val="26"/>
          <w:szCs w:val="26"/>
        </w:rPr>
        <w:t xml:space="preserve">In these circumstances, default judgment was granted in favour of the </w:t>
      </w:r>
      <w:r w:rsidR="00574341" w:rsidRPr="005873C5">
        <w:rPr>
          <w:sz w:val="26"/>
          <w:szCs w:val="26"/>
        </w:rPr>
        <w:t>respondents</w:t>
      </w:r>
      <w:r w:rsidR="003A731A" w:rsidRPr="005873C5">
        <w:rPr>
          <w:sz w:val="26"/>
          <w:szCs w:val="26"/>
        </w:rPr>
        <w:t>, on 18 October 2022 and 11 November 2022 respectively, and w</w:t>
      </w:r>
      <w:r w:rsidR="006F321A" w:rsidRPr="005873C5">
        <w:rPr>
          <w:sz w:val="26"/>
          <w:szCs w:val="26"/>
        </w:rPr>
        <w:t>arrants</w:t>
      </w:r>
      <w:r w:rsidR="00A665F2" w:rsidRPr="005873C5">
        <w:rPr>
          <w:sz w:val="26"/>
          <w:szCs w:val="26"/>
        </w:rPr>
        <w:t xml:space="preserve"> of execution against movable property and warrants</w:t>
      </w:r>
      <w:r w:rsidR="003A731A" w:rsidRPr="005873C5">
        <w:rPr>
          <w:sz w:val="26"/>
          <w:szCs w:val="26"/>
        </w:rPr>
        <w:t xml:space="preserve"> of ejectment were issued pursuant thereto.  </w:t>
      </w:r>
    </w:p>
    <w:p w14:paraId="0A9DB604" w14:textId="2EE985BC" w:rsidR="003A731A" w:rsidRPr="005873C5" w:rsidRDefault="005873C5" w:rsidP="005873C5">
      <w:pPr>
        <w:tabs>
          <w:tab w:val="left" w:pos="1135"/>
        </w:tabs>
        <w:ind w:left="851" w:hanging="851"/>
        <w:rPr>
          <w:sz w:val="26"/>
          <w:szCs w:val="26"/>
        </w:rPr>
      </w:pPr>
      <w:r>
        <w:rPr>
          <w:sz w:val="26"/>
          <w:szCs w:val="26"/>
        </w:rPr>
        <w:t>[6]</w:t>
      </w:r>
      <w:r>
        <w:rPr>
          <w:sz w:val="26"/>
          <w:szCs w:val="26"/>
        </w:rPr>
        <w:tab/>
      </w:r>
      <w:r w:rsidR="00421C36" w:rsidRPr="005873C5">
        <w:rPr>
          <w:sz w:val="26"/>
          <w:szCs w:val="26"/>
        </w:rPr>
        <w:t xml:space="preserve">On 7 December 2022 the Sheriff evicted the </w:t>
      </w:r>
      <w:r w:rsidR="00F5675D" w:rsidRPr="005873C5">
        <w:rPr>
          <w:sz w:val="26"/>
          <w:szCs w:val="26"/>
        </w:rPr>
        <w:t>applicant</w:t>
      </w:r>
      <w:r w:rsidR="00421C36" w:rsidRPr="005873C5">
        <w:rPr>
          <w:sz w:val="26"/>
          <w:szCs w:val="26"/>
        </w:rPr>
        <w:t xml:space="preserve"> from</w:t>
      </w:r>
      <w:r w:rsidR="00F5675D" w:rsidRPr="005873C5">
        <w:rPr>
          <w:sz w:val="26"/>
          <w:szCs w:val="26"/>
        </w:rPr>
        <w:t xml:space="preserve"> the</w:t>
      </w:r>
      <w:r w:rsidR="00421C36" w:rsidRPr="005873C5">
        <w:rPr>
          <w:sz w:val="26"/>
          <w:szCs w:val="26"/>
        </w:rPr>
        <w:t xml:space="preserve"> premises under these </w:t>
      </w:r>
      <w:r w:rsidR="008B1300" w:rsidRPr="005873C5">
        <w:rPr>
          <w:sz w:val="26"/>
          <w:szCs w:val="26"/>
        </w:rPr>
        <w:t>w</w:t>
      </w:r>
      <w:r w:rsidR="005C2AAE" w:rsidRPr="005873C5">
        <w:rPr>
          <w:sz w:val="26"/>
          <w:szCs w:val="26"/>
        </w:rPr>
        <w:t>arrants</w:t>
      </w:r>
      <w:r w:rsidR="00F5675D" w:rsidRPr="005873C5">
        <w:rPr>
          <w:sz w:val="26"/>
          <w:szCs w:val="26"/>
        </w:rPr>
        <w:t>, attached the movables</w:t>
      </w:r>
      <w:r w:rsidR="00CF3D97" w:rsidRPr="005873C5">
        <w:rPr>
          <w:sz w:val="26"/>
          <w:szCs w:val="26"/>
        </w:rPr>
        <w:t xml:space="preserve">, </w:t>
      </w:r>
      <w:r w:rsidR="00421C36" w:rsidRPr="005873C5">
        <w:rPr>
          <w:sz w:val="26"/>
          <w:szCs w:val="26"/>
        </w:rPr>
        <w:t xml:space="preserve">locked the premises and handed the keys to the </w:t>
      </w:r>
      <w:r w:rsidR="00F5675D" w:rsidRPr="005873C5">
        <w:rPr>
          <w:sz w:val="26"/>
          <w:szCs w:val="26"/>
        </w:rPr>
        <w:t>respondents</w:t>
      </w:r>
      <w:r w:rsidR="00421C36" w:rsidRPr="005873C5">
        <w:rPr>
          <w:sz w:val="26"/>
          <w:szCs w:val="26"/>
        </w:rPr>
        <w:t xml:space="preserve">.  </w:t>
      </w:r>
    </w:p>
    <w:p w14:paraId="160ED27F" w14:textId="660C86B6" w:rsidR="00CF3D97" w:rsidRPr="005873C5" w:rsidRDefault="005873C5" w:rsidP="005873C5">
      <w:pPr>
        <w:tabs>
          <w:tab w:val="left" w:pos="1135"/>
        </w:tabs>
        <w:ind w:left="851" w:hanging="851"/>
        <w:rPr>
          <w:sz w:val="26"/>
          <w:szCs w:val="26"/>
        </w:rPr>
      </w:pPr>
      <w:r>
        <w:rPr>
          <w:sz w:val="26"/>
          <w:szCs w:val="26"/>
        </w:rPr>
        <w:t>[7]</w:t>
      </w:r>
      <w:r>
        <w:rPr>
          <w:sz w:val="26"/>
          <w:szCs w:val="26"/>
        </w:rPr>
        <w:tab/>
      </w:r>
      <w:r w:rsidR="00434FCA" w:rsidRPr="005873C5">
        <w:rPr>
          <w:sz w:val="26"/>
          <w:szCs w:val="26"/>
        </w:rPr>
        <w:t xml:space="preserve">On 12 December 2022 the </w:t>
      </w:r>
      <w:r w:rsidR="00F5675D" w:rsidRPr="005873C5">
        <w:rPr>
          <w:sz w:val="26"/>
          <w:szCs w:val="26"/>
        </w:rPr>
        <w:t>applicant</w:t>
      </w:r>
      <w:r w:rsidR="00434FCA" w:rsidRPr="005873C5">
        <w:rPr>
          <w:sz w:val="26"/>
          <w:szCs w:val="26"/>
        </w:rPr>
        <w:t xml:space="preserve"> launched applications for the rescission of the default judgments, and the next day it brought applications to stay </w:t>
      </w:r>
      <w:r w:rsidR="000923B2" w:rsidRPr="005873C5">
        <w:rPr>
          <w:sz w:val="26"/>
          <w:szCs w:val="26"/>
        </w:rPr>
        <w:t xml:space="preserve">execution </w:t>
      </w:r>
      <w:r w:rsidR="00434FCA" w:rsidRPr="005873C5">
        <w:rPr>
          <w:sz w:val="26"/>
          <w:szCs w:val="26"/>
        </w:rPr>
        <w:t xml:space="preserve">pending the </w:t>
      </w:r>
      <w:r w:rsidR="00F81D8B" w:rsidRPr="005873C5">
        <w:rPr>
          <w:sz w:val="26"/>
          <w:szCs w:val="26"/>
        </w:rPr>
        <w:t xml:space="preserve">outcome of the </w:t>
      </w:r>
      <w:r w:rsidR="00434FCA" w:rsidRPr="005873C5">
        <w:rPr>
          <w:sz w:val="26"/>
          <w:szCs w:val="26"/>
        </w:rPr>
        <w:t>applications for rescission</w:t>
      </w:r>
      <w:r w:rsidR="00AE77EB" w:rsidRPr="005873C5">
        <w:rPr>
          <w:sz w:val="26"/>
          <w:szCs w:val="26"/>
        </w:rPr>
        <w:t>,</w:t>
      </w:r>
      <w:r w:rsidR="0037215E" w:rsidRPr="005873C5">
        <w:rPr>
          <w:sz w:val="26"/>
          <w:szCs w:val="26"/>
        </w:rPr>
        <w:t xml:space="preserve"> in terms of</w:t>
      </w:r>
      <w:r w:rsidR="00434FCA" w:rsidRPr="005873C5">
        <w:rPr>
          <w:sz w:val="26"/>
          <w:szCs w:val="26"/>
        </w:rPr>
        <w:t xml:space="preserve"> </w:t>
      </w:r>
      <w:r w:rsidR="00434FCA" w:rsidRPr="005873C5">
        <w:rPr>
          <w:sz w:val="26"/>
          <w:szCs w:val="26"/>
        </w:rPr>
        <w:lastRenderedPageBreak/>
        <w:t xml:space="preserve">section 78 of the Magistrates Court Act, 32 of </w:t>
      </w:r>
      <w:r w:rsidR="00841EDD" w:rsidRPr="005873C5">
        <w:rPr>
          <w:sz w:val="26"/>
          <w:szCs w:val="26"/>
        </w:rPr>
        <w:t xml:space="preserve">1944.  These applications were brought </w:t>
      </w:r>
      <w:r w:rsidR="00F5675D" w:rsidRPr="005873C5">
        <w:rPr>
          <w:i/>
          <w:iCs/>
          <w:sz w:val="26"/>
          <w:szCs w:val="26"/>
        </w:rPr>
        <w:t>ex parte</w:t>
      </w:r>
      <w:r w:rsidR="00F5675D" w:rsidRPr="005873C5">
        <w:rPr>
          <w:sz w:val="26"/>
          <w:szCs w:val="26"/>
        </w:rPr>
        <w:t xml:space="preserve"> and</w:t>
      </w:r>
      <w:r w:rsidR="00841EDD" w:rsidRPr="005873C5">
        <w:rPr>
          <w:sz w:val="26"/>
          <w:szCs w:val="26"/>
        </w:rPr>
        <w:t xml:space="preserve"> were granted on the same day</w:t>
      </w:r>
      <w:r w:rsidR="00CF3D97" w:rsidRPr="005873C5">
        <w:rPr>
          <w:sz w:val="26"/>
          <w:szCs w:val="26"/>
        </w:rPr>
        <w:t>.</w:t>
      </w:r>
    </w:p>
    <w:p w14:paraId="199A2CCE" w14:textId="7EA29D94" w:rsidR="00434FCA" w:rsidRPr="005873C5" w:rsidRDefault="005873C5" w:rsidP="005873C5">
      <w:pPr>
        <w:tabs>
          <w:tab w:val="left" w:pos="1135"/>
        </w:tabs>
        <w:ind w:left="851" w:hanging="851"/>
        <w:rPr>
          <w:sz w:val="26"/>
          <w:szCs w:val="26"/>
        </w:rPr>
      </w:pPr>
      <w:r>
        <w:rPr>
          <w:sz w:val="26"/>
          <w:szCs w:val="26"/>
        </w:rPr>
        <w:t>[8]</w:t>
      </w:r>
      <w:r>
        <w:rPr>
          <w:sz w:val="26"/>
          <w:szCs w:val="26"/>
        </w:rPr>
        <w:tab/>
      </w:r>
      <w:r w:rsidR="002D675A" w:rsidRPr="005873C5">
        <w:rPr>
          <w:sz w:val="26"/>
          <w:szCs w:val="26"/>
        </w:rPr>
        <w:t xml:space="preserve">Although the two orders stipulate that they were rules </w:t>
      </w:r>
      <w:r w:rsidR="002D675A" w:rsidRPr="005873C5">
        <w:rPr>
          <w:i/>
          <w:iCs/>
          <w:sz w:val="26"/>
          <w:szCs w:val="26"/>
        </w:rPr>
        <w:t>nisi</w:t>
      </w:r>
      <w:r w:rsidR="002D675A" w:rsidRPr="005873C5">
        <w:rPr>
          <w:sz w:val="26"/>
          <w:szCs w:val="26"/>
        </w:rPr>
        <w:t xml:space="preserve">, neither contained a return date.  The respondents anticipated the </w:t>
      </w:r>
      <w:r w:rsidR="007A1232" w:rsidRPr="005873C5">
        <w:rPr>
          <w:sz w:val="26"/>
          <w:szCs w:val="26"/>
        </w:rPr>
        <w:t>notional return date on 19 December 2022</w:t>
      </w:r>
      <w:r w:rsidR="00AC4B14" w:rsidRPr="005873C5">
        <w:rPr>
          <w:sz w:val="26"/>
          <w:szCs w:val="26"/>
        </w:rPr>
        <w:t>,</w:t>
      </w:r>
      <w:r w:rsidR="00CF3D97" w:rsidRPr="005873C5">
        <w:rPr>
          <w:sz w:val="26"/>
          <w:szCs w:val="26"/>
        </w:rPr>
        <w:t xml:space="preserve"> when the interim orders were discharged.</w:t>
      </w:r>
    </w:p>
    <w:p w14:paraId="45043CFD" w14:textId="5666B36B" w:rsidR="004874D6" w:rsidRPr="005873C5" w:rsidRDefault="005873C5" w:rsidP="005873C5">
      <w:pPr>
        <w:tabs>
          <w:tab w:val="left" w:pos="1135"/>
        </w:tabs>
        <w:ind w:left="851" w:hanging="851"/>
        <w:rPr>
          <w:sz w:val="26"/>
          <w:szCs w:val="26"/>
        </w:rPr>
      </w:pPr>
      <w:r>
        <w:rPr>
          <w:sz w:val="26"/>
          <w:szCs w:val="26"/>
        </w:rPr>
        <w:t>[9]</w:t>
      </w:r>
      <w:r>
        <w:rPr>
          <w:sz w:val="26"/>
          <w:szCs w:val="26"/>
        </w:rPr>
        <w:tab/>
      </w:r>
      <w:r w:rsidR="00841EDD" w:rsidRPr="005873C5">
        <w:rPr>
          <w:sz w:val="26"/>
          <w:szCs w:val="26"/>
        </w:rPr>
        <w:t>On 27 December 2022</w:t>
      </w:r>
      <w:r w:rsidR="006C697A" w:rsidRPr="005873C5">
        <w:rPr>
          <w:sz w:val="26"/>
          <w:szCs w:val="26"/>
        </w:rPr>
        <w:t xml:space="preserve"> the applicant delivered notices of appeal against the discharge of the interim rules, and on 29 December 2022, this application was launched.  </w:t>
      </w:r>
    </w:p>
    <w:p w14:paraId="1FAED9BF" w14:textId="040ABB2A" w:rsidR="00841EDD" w:rsidRPr="005873C5" w:rsidRDefault="005873C5" w:rsidP="005873C5">
      <w:pPr>
        <w:tabs>
          <w:tab w:val="left" w:pos="1135"/>
        </w:tabs>
        <w:ind w:left="851" w:hanging="851"/>
        <w:rPr>
          <w:sz w:val="26"/>
          <w:szCs w:val="26"/>
        </w:rPr>
      </w:pPr>
      <w:r>
        <w:rPr>
          <w:sz w:val="26"/>
          <w:szCs w:val="26"/>
        </w:rPr>
        <w:t>[10]</w:t>
      </w:r>
      <w:r>
        <w:rPr>
          <w:sz w:val="26"/>
          <w:szCs w:val="26"/>
        </w:rPr>
        <w:tab/>
      </w:r>
      <w:r w:rsidR="006C697A" w:rsidRPr="005873C5">
        <w:rPr>
          <w:sz w:val="26"/>
          <w:szCs w:val="26"/>
        </w:rPr>
        <w:t xml:space="preserve">The </w:t>
      </w:r>
      <w:r w:rsidR="005140CC" w:rsidRPr="005873C5">
        <w:rPr>
          <w:sz w:val="26"/>
          <w:szCs w:val="26"/>
        </w:rPr>
        <w:t>applications for rescission are enrolled for hearing on 24 January 2023, although the respondents still have to deliver their answering affidavits.</w:t>
      </w:r>
    </w:p>
    <w:p w14:paraId="1D50009B" w14:textId="1051B6D3" w:rsidR="006D2EFD" w:rsidRDefault="006D2EFD" w:rsidP="00210888">
      <w:pPr>
        <w:pStyle w:val="Heading1"/>
        <w:ind w:left="851" w:hanging="851"/>
      </w:pPr>
      <w:r>
        <w:t>Analysis</w:t>
      </w:r>
    </w:p>
    <w:p w14:paraId="7EF715A1" w14:textId="77777777" w:rsidR="00E15E44" w:rsidRPr="00CF3FE3" w:rsidRDefault="00E15E44" w:rsidP="00831FD8">
      <w:pPr>
        <w:pStyle w:val="Heading2"/>
        <w:spacing w:after="360"/>
        <w:rPr>
          <w:rFonts w:asciiTheme="minorHAnsi" w:hAnsiTheme="minorHAnsi" w:cstheme="minorHAnsi"/>
          <w:i/>
          <w:iCs/>
          <w:color w:val="auto"/>
        </w:rPr>
      </w:pPr>
      <w:r w:rsidRPr="00CF3FE3">
        <w:rPr>
          <w:rFonts w:asciiTheme="minorHAnsi" w:hAnsiTheme="minorHAnsi" w:cstheme="minorHAnsi"/>
          <w:i/>
          <w:iCs/>
          <w:color w:val="auto"/>
        </w:rPr>
        <w:t>The warrants have already been executed</w:t>
      </w:r>
    </w:p>
    <w:p w14:paraId="6C3CA151" w14:textId="43F0FF0F" w:rsidR="00177148" w:rsidRPr="005873C5" w:rsidRDefault="005873C5" w:rsidP="005873C5">
      <w:pPr>
        <w:tabs>
          <w:tab w:val="left" w:pos="1135"/>
        </w:tabs>
        <w:ind w:left="851" w:hanging="851"/>
        <w:rPr>
          <w:sz w:val="26"/>
          <w:szCs w:val="26"/>
        </w:rPr>
      </w:pPr>
      <w:r w:rsidRPr="00EA3942">
        <w:rPr>
          <w:sz w:val="26"/>
          <w:szCs w:val="26"/>
        </w:rPr>
        <w:t>[11]</w:t>
      </w:r>
      <w:r w:rsidRPr="00EA3942">
        <w:rPr>
          <w:sz w:val="26"/>
          <w:szCs w:val="26"/>
        </w:rPr>
        <w:tab/>
      </w:r>
      <w:r w:rsidR="00F440E5" w:rsidRPr="005873C5">
        <w:rPr>
          <w:sz w:val="26"/>
          <w:szCs w:val="26"/>
        </w:rPr>
        <w:t xml:space="preserve">The </w:t>
      </w:r>
      <w:r w:rsidR="00E2693C" w:rsidRPr="005873C5">
        <w:rPr>
          <w:sz w:val="26"/>
          <w:szCs w:val="26"/>
        </w:rPr>
        <w:t xml:space="preserve">eviction </w:t>
      </w:r>
      <w:r w:rsidR="00F440E5" w:rsidRPr="005873C5">
        <w:rPr>
          <w:sz w:val="26"/>
          <w:szCs w:val="26"/>
        </w:rPr>
        <w:t>warrant</w:t>
      </w:r>
      <w:r w:rsidR="001E6514" w:rsidRPr="005873C5">
        <w:rPr>
          <w:sz w:val="26"/>
          <w:szCs w:val="26"/>
        </w:rPr>
        <w:t xml:space="preserve">s </w:t>
      </w:r>
      <w:r w:rsidR="00F47C32" w:rsidRPr="005873C5">
        <w:rPr>
          <w:sz w:val="26"/>
          <w:szCs w:val="26"/>
        </w:rPr>
        <w:t xml:space="preserve">were </w:t>
      </w:r>
      <w:r w:rsidR="00F440E5" w:rsidRPr="005873C5">
        <w:rPr>
          <w:sz w:val="26"/>
          <w:szCs w:val="26"/>
        </w:rPr>
        <w:t>executed on 7 December 2022</w:t>
      </w:r>
      <w:r w:rsidR="00E2693C" w:rsidRPr="005873C5">
        <w:rPr>
          <w:sz w:val="26"/>
          <w:szCs w:val="26"/>
        </w:rPr>
        <w:t xml:space="preserve">. </w:t>
      </w:r>
      <w:r w:rsidR="007F6B9E" w:rsidRPr="005873C5">
        <w:rPr>
          <w:sz w:val="26"/>
          <w:szCs w:val="26"/>
        </w:rPr>
        <w:t xml:space="preserve">The applicant </w:t>
      </w:r>
      <w:r w:rsidR="00422F8B" w:rsidRPr="005873C5">
        <w:rPr>
          <w:sz w:val="26"/>
          <w:szCs w:val="26"/>
        </w:rPr>
        <w:t xml:space="preserve">states as much in its papers. </w:t>
      </w:r>
      <w:r w:rsidR="00EA3942" w:rsidRPr="005873C5">
        <w:rPr>
          <w:sz w:val="26"/>
          <w:szCs w:val="26"/>
        </w:rPr>
        <w:t>The Sheriff had completed the eviction when he handed the keys to the premises to the respondents.</w:t>
      </w:r>
      <w:r w:rsidR="00EA3942">
        <w:rPr>
          <w:rStyle w:val="FootnoteReference"/>
          <w:sz w:val="26"/>
          <w:szCs w:val="26"/>
        </w:rPr>
        <w:footnoteReference w:id="2"/>
      </w:r>
      <w:r w:rsidR="00AF06F2" w:rsidRPr="005873C5">
        <w:rPr>
          <w:sz w:val="26"/>
          <w:szCs w:val="26"/>
        </w:rPr>
        <w:t xml:space="preserve">  </w:t>
      </w:r>
      <w:r w:rsidR="00422F8B" w:rsidRPr="005873C5">
        <w:rPr>
          <w:sz w:val="26"/>
          <w:szCs w:val="26"/>
        </w:rPr>
        <w:t xml:space="preserve">After 7 December 2022 </w:t>
      </w:r>
      <w:r w:rsidR="00422F8B" w:rsidRPr="005873C5">
        <w:rPr>
          <w:sz w:val="26"/>
          <w:szCs w:val="26"/>
        </w:rPr>
        <w:lastRenderedPageBreak/>
        <w:t>t</w:t>
      </w:r>
      <w:r w:rsidR="00FE39BF" w:rsidRPr="005873C5">
        <w:rPr>
          <w:sz w:val="26"/>
          <w:szCs w:val="26"/>
        </w:rPr>
        <w:t xml:space="preserve">here was thus no longer any </w:t>
      </w:r>
      <w:r w:rsidR="00422F8B" w:rsidRPr="005873C5">
        <w:rPr>
          <w:sz w:val="26"/>
          <w:szCs w:val="26"/>
        </w:rPr>
        <w:t>possibility</w:t>
      </w:r>
      <w:r w:rsidR="00FE39BF" w:rsidRPr="005873C5">
        <w:rPr>
          <w:sz w:val="26"/>
          <w:szCs w:val="26"/>
        </w:rPr>
        <w:t xml:space="preserve"> of a </w:t>
      </w:r>
      <w:r w:rsidR="00A21AF5" w:rsidRPr="005873C5">
        <w:rPr>
          <w:sz w:val="26"/>
          <w:szCs w:val="26"/>
        </w:rPr>
        <w:t xml:space="preserve">stay of execution, as it </w:t>
      </w:r>
      <w:r w:rsidR="007B0FDE" w:rsidRPr="005873C5">
        <w:rPr>
          <w:sz w:val="26"/>
          <w:szCs w:val="26"/>
        </w:rPr>
        <w:t>had already taken place.</w:t>
      </w:r>
      <w:r w:rsidR="007B0FDE">
        <w:rPr>
          <w:rStyle w:val="FootnoteReference"/>
          <w:sz w:val="26"/>
          <w:szCs w:val="26"/>
        </w:rPr>
        <w:footnoteReference w:id="3"/>
      </w:r>
    </w:p>
    <w:p w14:paraId="2F002795" w14:textId="79D52F6B" w:rsidR="00F440E5" w:rsidRPr="005873C5" w:rsidRDefault="005873C5" w:rsidP="005873C5">
      <w:pPr>
        <w:tabs>
          <w:tab w:val="left" w:pos="1135"/>
        </w:tabs>
        <w:ind w:left="851" w:hanging="851"/>
        <w:rPr>
          <w:sz w:val="26"/>
          <w:szCs w:val="26"/>
        </w:rPr>
      </w:pPr>
      <w:r>
        <w:rPr>
          <w:sz w:val="26"/>
          <w:szCs w:val="26"/>
        </w:rPr>
        <w:t>[12]</w:t>
      </w:r>
      <w:r>
        <w:rPr>
          <w:sz w:val="26"/>
          <w:szCs w:val="26"/>
        </w:rPr>
        <w:tab/>
      </w:r>
      <w:r w:rsidR="009A4763" w:rsidRPr="005873C5">
        <w:rPr>
          <w:sz w:val="26"/>
          <w:szCs w:val="26"/>
        </w:rPr>
        <w:t xml:space="preserve">This </w:t>
      </w:r>
      <w:r w:rsidR="00F70F78" w:rsidRPr="005873C5">
        <w:rPr>
          <w:sz w:val="26"/>
          <w:szCs w:val="26"/>
        </w:rPr>
        <w:t xml:space="preserve">position </w:t>
      </w:r>
      <w:r w:rsidR="009A4763" w:rsidRPr="005873C5">
        <w:rPr>
          <w:sz w:val="26"/>
          <w:szCs w:val="26"/>
        </w:rPr>
        <w:t xml:space="preserve">is not affected by the fact that the applicant is currently again in occupation of the premises.  It </w:t>
      </w:r>
      <w:r w:rsidR="00C90018" w:rsidRPr="005873C5">
        <w:rPr>
          <w:sz w:val="26"/>
          <w:szCs w:val="26"/>
        </w:rPr>
        <w:t>now</w:t>
      </w:r>
      <w:r w:rsidR="00F440E5" w:rsidRPr="005873C5">
        <w:rPr>
          <w:sz w:val="26"/>
          <w:szCs w:val="26"/>
        </w:rPr>
        <w:t xml:space="preserve"> occupies the premises</w:t>
      </w:r>
      <w:r w:rsidR="00F47C32" w:rsidRPr="005873C5">
        <w:rPr>
          <w:sz w:val="26"/>
          <w:szCs w:val="26"/>
        </w:rPr>
        <w:t>,</w:t>
      </w:r>
      <w:r w:rsidR="00F440E5" w:rsidRPr="005873C5">
        <w:rPr>
          <w:sz w:val="26"/>
          <w:szCs w:val="26"/>
        </w:rPr>
        <w:t xml:space="preserve"> not because the warrant</w:t>
      </w:r>
      <w:r w:rsidR="009A4763" w:rsidRPr="005873C5">
        <w:rPr>
          <w:sz w:val="26"/>
          <w:szCs w:val="26"/>
        </w:rPr>
        <w:t>s</w:t>
      </w:r>
      <w:r w:rsidR="00F440E5" w:rsidRPr="005873C5">
        <w:rPr>
          <w:sz w:val="26"/>
          <w:szCs w:val="26"/>
        </w:rPr>
        <w:t xml:space="preserve"> ha</w:t>
      </w:r>
      <w:r w:rsidR="00255621" w:rsidRPr="005873C5">
        <w:rPr>
          <w:sz w:val="26"/>
          <w:szCs w:val="26"/>
        </w:rPr>
        <w:t>ve</w:t>
      </w:r>
      <w:r w:rsidR="00F440E5" w:rsidRPr="005873C5">
        <w:rPr>
          <w:sz w:val="26"/>
          <w:szCs w:val="26"/>
        </w:rPr>
        <w:t xml:space="preserve"> not</w:t>
      </w:r>
      <w:r w:rsidR="00EB027B" w:rsidRPr="005873C5">
        <w:rPr>
          <w:sz w:val="26"/>
          <w:szCs w:val="26"/>
        </w:rPr>
        <w:t xml:space="preserve"> yet</w:t>
      </w:r>
      <w:r w:rsidR="00F440E5" w:rsidRPr="005873C5">
        <w:rPr>
          <w:sz w:val="26"/>
          <w:szCs w:val="26"/>
        </w:rPr>
        <w:t xml:space="preserve"> been executed, but</w:t>
      </w:r>
      <w:r w:rsidR="009A4763" w:rsidRPr="005873C5">
        <w:rPr>
          <w:sz w:val="26"/>
          <w:szCs w:val="26"/>
        </w:rPr>
        <w:t xml:space="preserve"> </w:t>
      </w:r>
      <w:r w:rsidR="00F440E5" w:rsidRPr="005873C5">
        <w:rPr>
          <w:sz w:val="26"/>
          <w:szCs w:val="26"/>
        </w:rPr>
        <w:t>because</w:t>
      </w:r>
      <w:r w:rsidR="009A4763" w:rsidRPr="005873C5">
        <w:rPr>
          <w:sz w:val="26"/>
          <w:szCs w:val="26"/>
        </w:rPr>
        <w:t xml:space="preserve"> </w:t>
      </w:r>
      <w:r w:rsidR="004B53DC" w:rsidRPr="005873C5">
        <w:rPr>
          <w:sz w:val="26"/>
          <w:szCs w:val="26"/>
        </w:rPr>
        <w:t>the applicant</w:t>
      </w:r>
      <w:r w:rsidR="009A4763" w:rsidRPr="005873C5">
        <w:rPr>
          <w:sz w:val="26"/>
          <w:szCs w:val="26"/>
        </w:rPr>
        <w:t xml:space="preserve"> had </w:t>
      </w:r>
      <w:r w:rsidR="004B045F" w:rsidRPr="005873C5">
        <w:rPr>
          <w:sz w:val="26"/>
          <w:szCs w:val="26"/>
        </w:rPr>
        <w:t xml:space="preserve">retaken possession of the premises </w:t>
      </w:r>
      <w:r w:rsidR="00DD5782" w:rsidRPr="005873C5">
        <w:rPr>
          <w:sz w:val="26"/>
          <w:szCs w:val="26"/>
        </w:rPr>
        <w:t xml:space="preserve">through self-help.  </w:t>
      </w:r>
      <w:r w:rsidR="00146D2F" w:rsidRPr="005873C5">
        <w:rPr>
          <w:sz w:val="26"/>
          <w:szCs w:val="26"/>
        </w:rPr>
        <w:t>I will return to this issue below.</w:t>
      </w:r>
    </w:p>
    <w:p w14:paraId="4C5E9942" w14:textId="347FBF2B" w:rsidR="00146D2F" w:rsidRPr="005873C5" w:rsidRDefault="005873C5" w:rsidP="005873C5">
      <w:pPr>
        <w:tabs>
          <w:tab w:val="left" w:pos="1135"/>
        </w:tabs>
        <w:ind w:left="851" w:hanging="851"/>
        <w:rPr>
          <w:sz w:val="26"/>
          <w:szCs w:val="26"/>
        </w:rPr>
      </w:pPr>
      <w:r>
        <w:rPr>
          <w:sz w:val="26"/>
          <w:szCs w:val="26"/>
        </w:rPr>
        <w:t>[13]</w:t>
      </w:r>
      <w:r>
        <w:rPr>
          <w:sz w:val="26"/>
          <w:szCs w:val="26"/>
        </w:rPr>
        <w:tab/>
      </w:r>
      <w:r w:rsidR="00B93D5F" w:rsidRPr="005873C5">
        <w:rPr>
          <w:sz w:val="26"/>
          <w:szCs w:val="26"/>
        </w:rPr>
        <w:t xml:space="preserve">For this reason alone, the application must fail.  However, </w:t>
      </w:r>
      <w:r w:rsidR="00B125D8" w:rsidRPr="005873C5">
        <w:rPr>
          <w:sz w:val="26"/>
          <w:szCs w:val="26"/>
        </w:rPr>
        <w:t xml:space="preserve">I briefly consider two further </w:t>
      </w:r>
      <w:r w:rsidR="006E44F4" w:rsidRPr="005873C5">
        <w:rPr>
          <w:sz w:val="26"/>
          <w:szCs w:val="26"/>
        </w:rPr>
        <w:t xml:space="preserve">grounds upon which the application in my view </w:t>
      </w:r>
      <w:r w:rsidR="00113D83" w:rsidRPr="005873C5">
        <w:rPr>
          <w:sz w:val="26"/>
          <w:szCs w:val="26"/>
        </w:rPr>
        <w:t>also would have</w:t>
      </w:r>
      <w:r w:rsidR="006E44F4" w:rsidRPr="005873C5">
        <w:rPr>
          <w:sz w:val="26"/>
          <w:szCs w:val="26"/>
        </w:rPr>
        <w:t xml:space="preserve"> fail</w:t>
      </w:r>
      <w:r w:rsidR="004D0B3D" w:rsidRPr="005873C5">
        <w:rPr>
          <w:sz w:val="26"/>
          <w:szCs w:val="26"/>
        </w:rPr>
        <w:t>ed</w:t>
      </w:r>
      <w:r w:rsidR="006E44F4" w:rsidRPr="005873C5">
        <w:rPr>
          <w:sz w:val="26"/>
          <w:szCs w:val="26"/>
        </w:rPr>
        <w:t xml:space="preserve">.  </w:t>
      </w:r>
    </w:p>
    <w:p w14:paraId="325B3FCB" w14:textId="7840E856" w:rsidR="00585C63" w:rsidRPr="00CF3FE3" w:rsidRDefault="00585C63" w:rsidP="00831FD8">
      <w:pPr>
        <w:pStyle w:val="Heading2"/>
        <w:spacing w:after="360"/>
        <w:rPr>
          <w:rFonts w:ascii="Calibri" w:hAnsi="Calibri" w:cs="Calibri"/>
          <w:i/>
          <w:iCs/>
          <w:color w:val="auto"/>
        </w:rPr>
      </w:pPr>
      <w:r w:rsidRPr="00CF3FE3">
        <w:rPr>
          <w:rFonts w:ascii="Calibri" w:hAnsi="Calibri" w:cs="Calibri"/>
          <w:i/>
          <w:iCs/>
          <w:color w:val="auto"/>
        </w:rPr>
        <w:t>The issue has already been decided</w:t>
      </w:r>
    </w:p>
    <w:p w14:paraId="25DC81E0" w14:textId="3E74C25B" w:rsidR="000A4613" w:rsidRPr="005873C5" w:rsidRDefault="005873C5" w:rsidP="005873C5">
      <w:pPr>
        <w:tabs>
          <w:tab w:val="left" w:pos="1135"/>
        </w:tabs>
        <w:ind w:left="851" w:hanging="851"/>
        <w:rPr>
          <w:sz w:val="26"/>
          <w:szCs w:val="26"/>
        </w:rPr>
      </w:pPr>
      <w:r w:rsidRPr="00B010B9">
        <w:rPr>
          <w:sz w:val="26"/>
          <w:szCs w:val="26"/>
        </w:rPr>
        <w:t>[14]</w:t>
      </w:r>
      <w:r w:rsidRPr="00B010B9">
        <w:rPr>
          <w:sz w:val="26"/>
          <w:szCs w:val="26"/>
        </w:rPr>
        <w:tab/>
      </w:r>
      <w:r w:rsidR="00443CA8" w:rsidRPr="005873C5">
        <w:rPr>
          <w:sz w:val="26"/>
          <w:szCs w:val="26"/>
        </w:rPr>
        <w:t>T</w:t>
      </w:r>
      <w:r w:rsidR="00F15B48" w:rsidRPr="005873C5">
        <w:rPr>
          <w:sz w:val="26"/>
          <w:szCs w:val="26"/>
        </w:rPr>
        <w:t>his application is a second, separate attempt to stay the warrants after the same application had failed in the Magistrates</w:t>
      </w:r>
      <w:r w:rsidR="000A4613" w:rsidRPr="005873C5">
        <w:rPr>
          <w:sz w:val="26"/>
          <w:szCs w:val="26"/>
        </w:rPr>
        <w:t>’</w:t>
      </w:r>
      <w:r w:rsidR="00F15B48" w:rsidRPr="005873C5">
        <w:rPr>
          <w:sz w:val="26"/>
          <w:szCs w:val="26"/>
        </w:rPr>
        <w:t xml:space="preserve"> Court.  </w:t>
      </w:r>
      <w:r w:rsidR="00555B30" w:rsidRPr="005873C5">
        <w:rPr>
          <w:sz w:val="26"/>
          <w:szCs w:val="26"/>
        </w:rPr>
        <w:t>The applicant moved for the same relief</w:t>
      </w:r>
      <w:r w:rsidR="00F47C32" w:rsidRPr="005873C5">
        <w:rPr>
          <w:sz w:val="26"/>
          <w:szCs w:val="26"/>
        </w:rPr>
        <w:t>,</w:t>
      </w:r>
      <w:r w:rsidR="00555B30" w:rsidRPr="005873C5">
        <w:rPr>
          <w:sz w:val="26"/>
          <w:szCs w:val="26"/>
        </w:rPr>
        <w:t xml:space="preserve"> on the same cause</w:t>
      </w:r>
      <w:r w:rsidR="00F47C32" w:rsidRPr="005873C5">
        <w:rPr>
          <w:sz w:val="26"/>
          <w:szCs w:val="26"/>
        </w:rPr>
        <w:t>,</w:t>
      </w:r>
      <w:r w:rsidR="00555B30" w:rsidRPr="005873C5">
        <w:rPr>
          <w:sz w:val="26"/>
          <w:szCs w:val="26"/>
        </w:rPr>
        <w:t xml:space="preserve"> in respect of </w:t>
      </w:r>
      <w:r w:rsidR="00371B3F" w:rsidRPr="005873C5">
        <w:rPr>
          <w:sz w:val="26"/>
          <w:szCs w:val="26"/>
        </w:rPr>
        <w:t>the same subject matter</w:t>
      </w:r>
      <w:r w:rsidR="00EF4F5F" w:rsidRPr="005873C5">
        <w:rPr>
          <w:sz w:val="26"/>
          <w:szCs w:val="26"/>
        </w:rPr>
        <w:t xml:space="preserve"> and between the same parties.  </w:t>
      </w:r>
      <w:r w:rsidR="008C0F7A" w:rsidRPr="005873C5">
        <w:rPr>
          <w:sz w:val="26"/>
          <w:szCs w:val="26"/>
        </w:rPr>
        <w:t xml:space="preserve">The issue is thus </w:t>
      </w:r>
      <w:r w:rsidR="008C0F7A" w:rsidRPr="005873C5">
        <w:rPr>
          <w:i/>
          <w:iCs/>
          <w:sz w:val="26"/>
          <w:szCs w:val="26"/>
        </w:rPr>
        <w:t>res judicata</w:t>
      </w:r>
      <w:r w:rsidR="001642CF" w:rsidRPr="005873C5">
        <w:rPr>
          <w:sz w:val="26"/>
          <w:szCs w:val="26"/>
        </w:rPr>
        <w:t>.</w:t>
      </w:r>
      <w:r w:rsidR="001642CF">
        <w:rPr>
          <w:rStyle w:val="FootnoteReference"/>
          <w:sz w:val="26"/>
          <w:szCs w:val="26"/>
        </w:rPr>
        <w:footnoteReference w:id="4"/>
      </w:r>
      <w:r w:rsidR="004E5A70" w:rsidRPr="005873C5">
        <w:rPr>
          <w:sz w:val="26"/>
          <w:szCs w:val="26"/>
        </w:rPr>
        <w:t xml:space="preserve">  As mentioned above, the dismissal of the applications in the Magistrate’s Court is the subject </w:t>
      </w:r>
      <w:r w:rsidR="004E5A70" w:rsidRPr="005873C5">
        <w:rPr>
          <w:sz w:val="26"/>
          <w:szCs w:val="26"/>
        </w:rPr>
        <w:lastRenderedPageBreak/>
        <w:t>matter of pending appeals.  Assuming, without deciding</w:t>
      </w:r>
      <w:r w:rsidR="00203E7C" w:rsidRPr="005873C5">
        <w:rPr>
          <w:sz w:val="26"/>
          <w:szCs w:val="26"/>
        </w:rPr>
        <w:t xml:space="preserve">, that the order </w:t>
      </w:r>
      <w:r w:rsidR="00E22F51" w:rsidRPr="005873C5">
        <w:rPr>
          <w:sz w:val="26"/>
          <w:szCs w:val="26"/>
        </w:rPr>
        <w:t xml:space="preserve">is </w:t>
      </w:r>
      <w:r w:rsidR="00B4761F" w:rsidRPr="005873C5">
        <w:rPr>
          <w:sz w:val="26"/>
          <w:szCs w:val="26"/>
        </w:rPr>
        <w:t xml:space="preserve">appealable, the matter is </w:t>
      </w:r>
      <w:r w:rsidR="00B4761F" w:rsidRPr="005873C5">
        <w:rPr>
          <w:i/>
          <w:iCs/>
          <w:sz w:val="26"/>
          <w:szCs w:val="26"/>
        </w:rPr>
        <w:t>lis pendens</w:t>
      </w:r>
      <w:r w:rsidR="00B4761F" w:rsidRPr="005873C5">
        <w:rPr>
          <w:sz w:val="26"/>
          <w:szCs w:val="26"/>
        </w:rPr>
        <w:t>.</w:t>
      </w:r>
      <w:r w:rsidR="00B4761F">
        <w:rPr>
          <w:rStyle w:val="FootnoteReference"/>
          <w:sz w:val="26"/>
          <w:szCs w:val="26"/>
        </w:rPr>
        <w:footnoteReference w:id="5"/>
      </w:r>
      <w:r w:rsidR="00F06753" w:rsidRPr="005873C5">
        <w:rPr>
          <w:sz w:val="26"/>
          <w:szCs w:val="26"/>
        </w:rPr>
        <w:t xml:space="preserve">  </w:t>
      </w:r>
    </w:p>
    <w:p w14:paraId="451D42D6" w14:textId="20E8824D" w:rsidR="00572042" w:rsidRPr="005873C5" w:rsidRDefault="005873C5" w:rsidP="005873C5">
      <w:pPr>
        <w:tabs>
          <w:tab w:val="left" w:pos="1135"/>
        </w:tabs>
        <w:ind w:left="851" w:hanging="851"/>
        <w:rPr>
          <w:sz w:val="26"/>
          <w:szCs w:val="26"/>
        </w:rPr>
      </w:pPr>
      <w:r>
        <w:rPr>
          <w:sz w:val="26"/>
          <w:szCs w:val="26"/>
        </w:rPr>
        <w:t>[15]</w:t>
      </w:r>
      <w:r>
        <w:rPr>
          <w:sz w:val="26"/>
          <w:szCs w:val="26"/>
        </w:rPr>
        <w:tab/>
      </w:r>
      <w:r w:rsidR="00F15B48" w:rsidRPr="005873C5">
        <w:rPr>
          <w:sz w:val="26"/>
          <w:szCs w:val="26"/>
        </w:rPr>
        <w:t>Mr Van Nieuwenhuizen</w:t>
      </w:r>
      <w:r w:rsidR="00BC18E9" w:rsidRPr="005873C5">
        <w:rPr>
          <w:sz w:val="26"/>
          <w:szCs w:val="26"/>
        </w:rPr>
        <w:t>,</w:t>
      </w:r>
      <w:r w:rsidR="00F15B48" w:rsidRPr="005873C5">
        <w:rPr>
          <w:sz w:val="26"/>
          <w:szCs w:val="26"/>
        </w:rPr>
        <w:t xml:space="preserve"> </w:t>
      </w:r>
      <w:r w:rsidR="00F47C32" w:rsidRPr="005873C5">
        <w:rPr>
          <w:sz w:val="26"/>
          <w:szCs w:val="26"/>
        </w:rPr>
        <w:t>on behalf of the applicant</w:t>
      </w:r>
      <w:r w:rsidR="00BC18E9" w:rsidRPr="005873C5">
        <w:rPr>
          <w:sz w:val="26"/>
          <w:szCs w:val="26"/>
        </w:rPr>
        <w:t>,</w:t>
      </w:r>
      <w:r w:rsidR="00F47C32" w:rsidRPr="005873C5">
        <w:rPr>
          <w:sz w:val="26"/>
          <w:szCs w:val="26"/>
        </w:rPr>
        <w:t xml:space="preserve"> </w:t>
      </w:r>
      <w:r w:rsidR="00F15B48" w:rsidRPr="005873C5">
        <w:rPr>
          <w:sz w:val="26"/>
          <w:szCs w:val="26"/>
        </w:rPr>
        <w:t xml:space="preserve">sought to overcome this hurdle </w:t>
      </w:r>
      <w:r w:rsidR="00FF458F" w:rsidRPr="005873C5">
        <w:rPr>
          <w:sz w:val="26"/>
          <w:szCs w:val="26"/>
        </w:rPr>
        <w:t>on the basis that</w:t>
      </w:r>
      <w:r w:rsidR="00F15B48" w:rsidRPr="005873C5">
        <w:rPr>
          <w:sz w:val="26"/>
          <w:szCs w:val="26"/>
        </w:rPr>
        <w:t xml:space="preserve"> interim relief</w:t>
      </w:r>
      <w:r w:rsidR="00FF458F" w:rsidRPr="005873C5">
        <w:rPr>
          <w:sz w:val="26"/>
          <w:szCs w:val="26"/>
        </w:rPr>
        <w:t xml:space="preserve"> </w:t>
      </w:r>
      <w:r w:rsidR="00F15B48" w:rsidRPr="005873C5">
        <w:rPr>
          <w:sz w:val="26"/>
          <w:szCs w:val="26"/>
        </w:rPr>
        <w:t>may be revisited if there are new facts requiring it.</w:t>
      </w:r>
      <w:r w:rsidR="009A4C84" w:rsidRPr="005873C5">
        <w:rPr>
          <w:sz w:val="26"/>
          <w:szCs w:val="26"/>
        </w:rPr>
        <w:t xml:space="preserve"> </w:t>
      </w:r>
      <w:r w:rsidR="009B6FB7" w:rsidRPr="005873C5">
        <w:rPr>
          <w:sz w:val="26"/>
          <w:szCs w:val="26"/>
        </w:rPr>
        <w:t>T</w:t>
      </w:r>
      <w:r w:rsidR="00BA6FC2" w:rsidRPr="005873C5">
        <w:rPr>
          <w:sz w:val="26"/>
          <w:szCs w:val="26"/>
        </w:rPr>
        <w:t xml:space="preserve">he applicant </w:t>
      </w:r>
      <w:r w:rsidR="00A851AC" w:rsidRPr="005873C5">
        <w:rPr>
          <w:sz w:val="26"/>
          <w:szCs w:val="26"/>
        </w:rPr>
        <w:t xml:space="preserve">argues that </w:t>
      </w:r>
      <w:r w:rsidR="00F15B48" w:rsidRPr="005873C5">
        <w:rPr>
          <w:sz w:val="26"/>
          <w:szCs w:val="26"/>
        </w:rPr>
        <w:t>the new information allow</w:t>
      </w:r>
      <w:r w:rsidR="0081629A" w:rsidRPr="005873C5">
        <w:rPr>
          <w:sz w:val="26"/>
          <w:szCs w:val="26"/>
        </w:rPr>
        <w:t>ing</w:t>
      </w:r>
      <w:r w:rsidR="00F15B48" w:rsidRPr="005873C5">
        <w:rPr>
          <w:sz w:val="26"/>
          <w:szCs w:val="26"/>
        </w:rPr>
        <w:t xml:space="preserve"> for the proverbial second bite at the cherry is the dichotomous outcome in the Magistrates</w:t>
      </w:r>
      <w:r w:rsidR="000474BF" w:rsidRPr="005873C5">
        <w:rPr>
          <w:sz w:val="26"/>
          <w:szCs w:val="26"/>
        </w:rPr>
        <w:t>’</w:t>
      </w:r>
      <w:r w:rsidR="00F15B48" w:rsidRPr="005873C5">
        <w:rPr>
          <w:sz w:val="26"/>
          <w:szCs w:val="26"/>
        </w:rPr>
        <w:t xml:space="preserve"> Court application</w:t>
      </w:r>
      <w:r w:rsidR="00F836B4" w:rsidRPr="005873C5">
        <w:rPr>
          <w:sz w:val="26"/>
          <w:szCs w:val="26"/>
        </w:rPr>
        <w:t>s</w:t>
      </w:r>
      <w:r w:rsidR="00F15B48" w:rsidRPr="005873C5">
        <w:rPr>
          <w:sz w:val="26"/>
          <w:szCs w:val="26"/>
        </w:rPr>
        <w:t>, where the warrants of execution against the moveable property was stayed, but the warrant</w:t>
      </w:r>
      <w:r w:rsidR="000474BF" w:rsidRPr="005873C5">
        <w:rPr>
          <w:sz w:val="26"/>
          <w:szCs w:val="26"/>
        </w:rPr>
        <w:t>s</w:t>
      </w:r>
      <w:r w:rsidR="00F15B48" w:rsidRPr="005873C5">
        <w:rPr>
          <w:sz w:val="26"/>
          <w:szCs w:val="26"/>
        </w:rPr>
        <w:t xml:space="preserve"> for eviction not.  </w:t>
      </w:r>
    </w:p>
    <w:p w14:paraId="191EB8E7" w14:textId="519C182D" w:rsidR="002C1D74" w:rsidRPr="005873C5" w:rsidRDefault="005873C5" w:rsidP="005873C5">
      <w:pPr>
        <w:tabs>
          <w:tab w:val="left" w:pos="1135"/>
          <w:tab w:val="left" w:pos="2694"/>
        </w:tabs>
        <w:ind w:left="851" w:hanging="851"/>
        <w:rPr>
          <w:sz w:val="26"/>
          <w:szCs w:val="26"/>
        </w:rPr>
      </w:pPr>
      <w:r>
        <w:rPr>
          <w:sz w:val="26"/>
          <w:szCs w:val="26"/>
        </w:rPr>
        <w:t>[16]</w:t>
      </w:r>
      <w:r>
        <w:rPr>
          <w:sz w:val="26"/>
          <w:szCs w:val="26"/>
        </w:rPr>
        <w:tab/>
      </w:r>
      <w:r w:rsidR="001339F0" w:rsidRPr="005873C5">
        <w:rPr>
          <w:sz w:val="26"/>
          <w:szCs w:val="26"/>
        </w:rPr>
        <w:t>T</w:t>
      </w:r>
      <w:r w:rsidR="00F836B4" w:rsidRPr="005873C5">
        <w:rPr>
          <w:sz w:val="26"/>
          <w:szCs w:val="26"/>
        </w:rPr>
        <w:t>he ‘new information’</w:t>
      </w:r>
      <w:r w:rsidR="00A052F4" w:rsidRPr="005873C5">
        <w:rPr>
          <w:sz w:val="26"/>
          <w:szCs w:val="26"/>
        </w:rPr>
        <w:t xml:space="preserve"> </w:t>
      </w:r>
      <w:r w:rsidR="008B388E" w:rsidRPr="005873C5">
        <w:rPr>
          <w:sz w:val="26"/>
          <w:szCs w:val="26"/>
        </w:rPr>
        <w:t>is not a reason to revisit the issue</w:t>
      </w:r>
      <w:r w:rsidR="00DC0AF0" w:rsidRPr="005873C5">
        <w:rPr>
          <w:sz w:val="26"/>
          <w:szCs w:val="26"/>
        </w:rPr>
        <w:t>, even if this option was available to the applicant, whic</w:t>
      </w:r>
      <w:r w:rsidR="002D6351" w:rsidRPr="005873C5">
        <w:rPr>
          <w:sz w:val="26"/>
          <w:szCs w:val="26"/>
        </w:rPr>
        <w:t>h I am not convinced of</w:t>
      </w:r>
      <w:r w:rsidR="00F15B48" w:rsidRPr="005873C5">
        <w:rPr>
          <w:sz w:val="26"/>
          <w:szCs w:val="26"/>
        </w:rPr>
        <w:t xml:space="preserve">.  </w:t>
      </w:r>
      <w:r w:rsidR="001339F0" w:rsidRPr="005873C5">
        <w:rPr>
          <w:sz w:val="26"/>
          <w:szCs w:val="26"/>
        </w:rPr>
        <w:t>It does not speak to the facts underpinning the outcome of the previous attempt</w:t>
      </w:r>
      <w:r w:rsidR="00F50298" w:rsidRPr="005873C5">
        <w:rPr>
          <w:sz w:val="26"/>
          <w:szCs w:val="26"/>
        </w:rPr>
        <w:t xml:space="preserve"> but to the previous outcome itself. </w:t>
      </w:r>
    </w:p>
    <w:p w14:paraId="3601A3C3" w14:textId="5984BE61" w:rsidR="00C713C6" w:rsidRPr="005873C5" w:rsidRDefault="005873C5" w:rsidP="005873C5">
      <w:pPr>
        <w:tabs>
          <w:tab w:val="left" w:pos="1135"/>
        </w:tabs>
        <w:ind w:left="851" w:hanging="851"/>
        <w:rPr>
          <w:sz w:val="26"/>
          <w:szCs w:val="26"/>
        </w:rPr>
      </w:pPr>
      <w:r>
        <w:rPr>
          <w:sz w:val="26"/>
          <w:szCs w:val="26"/>
        </w:rPr>
        <w:t>[17]</w:t>
      </w:r>
      <w:r>
        <w:rPr>
          <w:sz w:val="26"/>
          <w:szCs w:val="26"/>
        </w:rPr>
        <w:tab/>
      </w:r>
      <w:r w:rsidR="00804077" w:rsidRPr="005873C5">
        <w:rPr>
          <w:sz w:val="26"/>
          <w:szCs w:val="26"/>
        </w:rPr>
        <w:t>T</w:t>
      </w:r>
      <w:r w:rsidR="00C713C6" w:rsidRPr="005873C5">
        <w:rPr>
          <w:sz w:val="26"/>
          <w:szCs w:val="26"/>
        </w:rPr>
        <w:t xml:space="preserve">he </w:t>
      </w:r>
      <w:r w:rsidR="00D47EDD" w:rsidRPr="005873C5">
        <w:rPr>
          <w:sz w:val="26"/>
          <w:szCs w:val="26"/>
        </w:rPr>
        <w:t>M</w:t>
      </w:r>
      <w:r w:rsidR="00C713C6" w:rsidRPr="005873C5">
        <w:rPr>
          <w:sz w:val="26"/>
          <w:szCs w:val="26"/>
        </w:rPr>
        <w:t>agistrate, in discharging the interim order for the stay of the warrants of ejectment</w:t>
      </w:r>
      <w:r w:rsidR="00804077" w:rsidRPr="005873C5">
        <w:rPr>
          <w:sz w:val="26"/>
          <w:szCs w:val="26"/>
        </w:rPr>
        <w:t>,</w:t>
      </w:r>
      <w:r w:rsidR="00C713C6" w:rsidRPr="005873C5">
        <w:rPr>
          <w:sz w:val="26"/>
          <w:szCs w:val="26"/>
        </w:rPr>
        <w:t xml:space="preserve"> concluded:</w:t>
      </w:r>
    </w:p>
    <w:p w14:paraId="77F4507F" w14:textId="77777777" w:rsidR="00C713C6" w:rsidRPr="003C2559" w:rsidRDefault="00C713C6" w:rsidP="00C713C6">
      <w:pPr>
        <w:pStyle w:val="ListParagraph"/>
        <w:spacing w:line="360" w:lineRule="auto"/>
        <w:ind w:left="1701" w:right="545"/>
        <w:contextualSpacing w:val="0"/>
      </w:pPr>
      <w:r>
        <w:t>“The warrant of ejectment has already been executed by the Sheriff on the 7</w:t>
      </w:r>
      <w:r w:rsidRPr="00A96290">
        <w:rPr>
          <w:vertAlign w:val="superscript"/>
        </w:rPr>
        <w:t>th</w:t>
      </w:r>
      <w:r>
        <w:t xml:space="preserve"> December 2022.  This court has no jurisdiction to overturn that ejectment.  This fact was not disclosed in the Applicant’s founding affidavit.  The court can stay/suspend the warrant of execution against the movables which were </w:t>
      </w:r>
      <w:r>
        <w:lastRenderedPageBreak/>
        <w:t>attached by the Sheriff, nothing more.  What the Applicant is asking for is an order for specific performance which this court cannot grant.”</w:t>
      </w:r>
    </w:p>
    <w:p w14:paraId="52F63724" w14:textId="27BB2A77" w:rsidR="00E57862" w:rsidRPr="005873C5" w:rsidRDefault="005873C5" w:rsidP="005873C5">
      <w:pPr>
        <w:tabs>
          <w:tab w:val="left" w:pos="1135"/>
        </w:tabs>
        <w:ind w:left="851" w:hanging="851"/>
        <w:rPr>
          <w:sz w:val="26"/>
          <w:szCs w:val="26"/>
        </w:rPr>
      </w:pPr>
      <w:r>
        <w:rPr>
          <w:sz w:val="26"/>
          <w:szCs w:val="26"/>
        </w:rPr>
        <w:t>[18]</w:t>
      </w:r>
      <w:r>
        <w:rPr>
          <w:sz w:val="26"/>
          <w:szCs w:val="26"/>
        </w:rPr>
        <w:tab/>
      </w:r>
      <w:r w:rsidR="00EC4D1E" w:rsidRPr="005873C5">
        <w:rPr>
          <w:sz w:val="26"/>
          <w:szCs w:val="26"/>
        </w:rPr>
        <w:t xml:space="preserve">The Magistrate, quite correctly in my view, appreciated that once the warrant had been executed, there was no execution to stay, as </w:t>
      </w:r>
      <w:r w:rsidR="00D357C2" w:rsidRPr="005873C5">
        <w:rPr>
          <w:sz w:val="26"/>
          <w:szCs w:val="26"/>
        </w:rPr>
        <w:t xml:space="preserve">already dealt with above.  </w:t>
      </w:r>
      <w:r w:rsidR="002D6351" w:rsidRPr="005873C5">
        <w:rPr>
          <w:sz w:val="26"/>
          <w:szCs w:val="26"/>
        </w:rPr>
        <w:t xml:space="preserve">The warrants </w:t>
      </w:r>
      <w:r w:rsidR="00997EAB" w:rsidRPr="005873C5">
        <w:rPr>
          <w:sz w:val="26"/>
          <w:szCs w:val="26"/>
        </w:rPr>
        <w:t xml:space="preserve">against movable property were not yet fully executed, because there had only been an attachment. </w:t>
      </w:r>
      <w:r w:rsidR="00D357C2" w:rsidRPr="005873C5">
        <w:rPr>
          <w:sz w:val="26"/>
          <w:szCs w:val="26"/>
        </w:rPr>
        <w:t xml:space="preserve">There is thus no disjunct in the treatment of the two types of warrants that justifies a ‘reconsideration’.  </w:t>
      </w:r>
    </w:p>
    <w:p w14:paraId="67113CD9" w14:textId="2DE99F28" w:rsidR="00F15B48" w:rsidRPr="005873C5" w:rsidRDefault="005873C5" w:rsidP="005873C5">
      <w:pPr>
        <w:tabs>
          <w:tab w:val="left" w:pos="1135"/>
        </w:tabs>
        <w:ind w:left="851" w:hanging="851"/>
        <w:rPr>
          <w:sz w:val="26"/>
          <w:szCs w:val="26"/>
        </w:rPr>
      </w:pPr>
      <w:r>
        <w:rPr>
          <w:sz w:val="26"/>
          <w:szCs w:val="26"/>
        </w:rPr>
        <w:t>[19]</w:t>
      </w:r>
      <w:r>
        <w:rPr>
          <w:sz w:val="26"/>
          <w:szCs w:val="26"/>
        </w:rPr>
        <w:tab/>
      </w:r>
      <w:r w:rsidR="00D357C2" w:rsidRPr="005873C5">
        <w:rPr>
          <w:sz w:val="26"/>
          <w:szCs w:val="26"/>
        </w:rPr>
        <w:t xml:space="preserve">In any event, </w:t>
      </w:r>
      <w:r w:rsidR="00E57862" w:rsidRPr="005873C5">
        <w:rPr>
          <w:sz w:val="26"/>
          <w:szCs w:val="26"/>
        </w:rPr>
        <w:t xml:space="preserve">the applicant has </w:t>
      </w:r>
      <w:r w:rsidR="00D357C2" w:rsidRPr="005873C5">
        <w:rPr>
          <w:sz w:val="26"/>
          <w:szCs w:val="26"/>
        </w:rPr>
        <w:t>already raise</w:t>
      </w:r>
      <w:r w:rsidR="00E57862" w:rsidRPr="005873C5">
        <w:rPr>
          <w:sz w:val="26"/>
          <w:szCs w:val="26"/>
        </w:rPr>
        <w:t>d</w:t>
      </w:r>
      <w:r w:rsidR="00D357C2" w:rsidRPr="005873C5">
        <w:rPr>
          <w:sz w:val="26"/>
          <w:szCs w:val="26"/>
        </w:rPr>
        <w:t xml:space="preserve"> this issue for determination on appeal</w:t>
      </w:r>
      <w:r w:rsidR="00E57862" w:rsidRPr="005873C5">
        <w:rPr>
          <w:sz w:val="26"/>
          <w:szCs w:val="26"/>
        </w:rPr>
        <w:t>. In its notice</w:t>
      </w:r>
      <w:r w:rsidR="00AB6751" w:rsidRPr="005873C5">
        <w:rPr>
          <w:sz w:val="26"/>
          <w:szCs w:val="26"/>
        </w:rPr>
        <w:t xml:space="preserve">s of appeal it contends that </w:t>
      </w:r>
      <w:r w:rsidR="00A03A61" w:rsidRPr="005873C5">
        <w:rPr>
          <w:sz w:val="26"/>
          <w:szCs w:val="26"/>
        </w:rPr>
        <w:t>on</w:t>
      </w:r>
      <w:r w:rsidR="00AB6751" w:rsidRPr="005873C5">
        <w:rPr>
          <w:sz w:val="26"/>
          <w:szCs w:val="26"/>
        </w:rPr>
        <w:t>e</w:t>
      </w:r>
      <w:r w:rsidR="00A03A61" w:rsidRPr="005873C5">
        <w:rPr>
          <w:sz w:val="26"/>
          <w:szCs w:val="26"/>
        </w:rPr>
        <w:t xml:space="preserve"> of the </w:t>
      </w:r>
      <w:r w:rsidR="008F01D2" w:rsidRPr="005873C5">
        <w:rPr>
          <w:sz w:val="26"/>
          <w:szCs w:val="26"/>
        </w:rPr>
        <w:t>Magistrate</w:t>
      </w:r>
      <w:r w:rsidR="00E2688B" w:rsidRPr="005873C5">
        <w:rPr>
          <w:sz w:val="26"/>
          <w:szCs w:val="26"/>
        </w:rPr>
        <w:t>’s</w:t>
      </w:r>
      <w:r w:rsidR="008F01D2" w:rsidRPr="005873C5">
        <w:rPr>
          <w:sz w:val="26"/>
          <w:szCs w:val="26"/>
        </w:rPr>
        <w:t xml:space="preserve"> err</w:t>
      </w:r>
      <w:r w:rsidR="00E2688B" w:rsidRPr="005873C5">
        <w:rPr>
          <w:sz w:val="26"/>
          <w:szCs w:val="26"/>
        </w:rPr>
        <w:t xml:space="preserve">ors </w:t>
      </w:r>
      <w:r w:rsidR="00AB6751" w:rsidRPr="005873C5">
        <w:rPr>
          <w:sz w:val="26"/>
          <w:szCs w:val="26"/>
        </w:rPr>
        <w:t>w</w:t>
      </w:r>
      <w:r w:rsidR="008F01D2" w:rsidRPr="005873C5">
        <w:rPr>
          <w:sz w:val="26"/>
          <w:szCs w:val="26"/>
        </w:rPr>
        <w:t>as</w:t>
      </w:r>
      <w:r w:rsidR="00E2688B" w:rsidRPr="005873C5">
        <w:rPr>
          <w:sz w:val="26"/>
          <w:szCs w:val="26"/>
        </w:rPr>
        <w:t xml:space="preserve"> the conclusion that</w:t>
      </w:r>
      <w:r w:rsidR="008F01D2" w:rsidRPr="005873C5">
        <w:rPr>
          <w:sz w:val="26"/>
          <w:szCs w:val="26"/>
        </w:rPr>
        <w:t>:</w:t>
      </w:r>
      <w:r w:rsidR="00D75BCD" w:rsidRPr="005873C5">
        <w:rPr>
          <w:sz w:val="26"/>
          <w:szCs w:val="26"/>
        </w:rPr>
        <w:t>-</w:t>
      </w:r>
    </w:p>
    <w:p w14:paraId="1E62B91D" w14:textId="2DE163E8" w:rsidR="008F01D2" w:rsidRDefault="008F01D2" w:rsidP="000E2B37">
      <w:pPr>
        <w:pStyle w:val="ListParagraph"/>
        <w:spacing w:line="360" w:lineRule="auto"/>
        <w:ind w:left="2268" w:right="545" w:hanging="567"/>
        <w:contextualSpacing w:val="0"/>
      </w:pPr>
      <w:r w:rsidRPr="008F01D2">
        <w:t>“</w:t>
      </w:r>
      <w:r w:rsidR="000E2B37">
        <w:t xml:space="preserve">2. </w:t>
      </w:r>
      <w:r w:rsidR="000E2B37">
        <w:tab/>
      </w:r>
      <w:r w:rsidRPr="008F01D2">
        <w:t xml:space="preserve">The </w:t>
      </w:r>
      <w:r>
        <w:t>Court can stay the attachment of movables that has already been attached by the Sheriff but cannot stay the ejectment that has already taken place.”</w:t>
      </w:r>
    </w:p>
    <w:p w14:paraId="3A87BA39" w14:textId="71413ECE" w:rsidR="000E2B37" w:rsidRPr="005873C5" w:rsidRDefault="005873C5" w:rsidP="005873C5">
      <w:pPr>
        <w:ind w:left="851" w:hanging="851"/>
        <w:rPr>
          <w:sz w:val="26"/>
          <w:szCs w:val="26"/>
        </w:rPr>
      </w:pPr>
      <w:r>
        <w:rPr>
          <w:sz w:val="26"/>
          <w:szCs w:val="26"/>
        </w:rPr>
        <w:t>[20]</w:t>
      </w:r>
      <w:r>
        <w:rPr>
          <w:sz w:val="26"/>
          <w:szCs w:val="26"/>
        </w:rPr>
        <w:tab/>
      </w:r>
      <w:r w:rsidR="000E2B37" w:rsidRPr="005873C5">
        <w:rPr>
          <w:sz w:val="26"/>
          <w:szCs w:val="26"/>
        </w:rPr>
        <w:t xml:space="preserve">This then brings us back full circle to </w:t>
      </w:r>
      <w:r w:rsidR="000E2B37" w:rsidRPr="005873C5">
        <w:rPr>
          <w:i/>
          <w:iCs/>
          <w:sz w:val="26"/>
          <w:szCs w:val="26"/>
        </w:rPr>
        <w:t>lis pendens.</w:t>
      </w:r>
    </w:p>
    <w:p w14:paraId="7F49EB7B" w14:textId="2FE9141C" w:rsidR="00A84082" w:rsidRPr="00FE1C93" w:rsidRDefault="00802ACA" w:rsidP="00A84082">
      <w:pPr>
        <w:pStyle w:val="Heading2"/>
        <w:spacing w:after="360"/>
        <w:rPr>
          <w:rFonts w:ascii="Calibri" w:hAnsi="Calibri" w:cs="Calibri"/>
          <w:i/>
          <w:iCs/>
          <w:color w:val="auto"/>
        </w:rPr>
      </w:pPr>
      <w:r w:rsidRPr="00FE1C93">
        <w:rPr>
          <w:rFonts w:ascii="Calibri" w:hAnsi="Calibri" w:cs="Calibri"/>
          <w:i/>
          <w:iCs/>
          <w:color w:val="auto"/>
        </w:rPr>
        <w:t xml:space="preserve">It will not be just to grant </w:t>
      </w:r>
      <w:r w:rsidR="00E45DF8">
        <w:rPr>
          <w:rFonts w:ascii="Calibri" w:hAnsi="Calibri" w:cs="Calibri"/>
          <w:i/>
          <w:iCs/>
          <w:color w:val="auto"/>
        </w:rPr>
        <w:t>a stay</w:t>
      </w:r>
    </w:p>
    <w:p w14:paraId="31BF3D53" w14:textId="29A1BD3B" w:rsidR="0059357F" w:rsidRPr="005873C5" w:rsidRDefault="005873C5" w:rsidP="005873C5">
      <w:pPr>
        <w:ind w:left="851" w:hanging="851"/>
        <w:rPr>
          <w:sz w:val="26"/>
          <w:szCs w:val="26"/>
        </w:rPr>
      </w:pPr>
      <w:r w:rsidRPr="00E45DF8">
        <w:rPr>
          <w:sz w:val="26"/>
          <w:szCs w:val="26"/>
        </w:rPr>
        <w:t>[21]</w:t>
      </w:r>
      <w:r w:rsidRPr="00E45DF8">
        <w:rPr>
          <w:sz w:val="26"/>
          <w:szCs w:val="26"/>
        </w:rPr>
        <w:tab/>
      </w:r>
      <w:r w:rsidR="00DE5ADC" w:rsidRPr="005873C5">
        <w:rPr>
          <w:sz w:val="26"/>
          <w:szCs w:val="26"/>
        </w:rPr>
        <w:t xml:space="preserve">This Court may stay the execution of a </w:t>
      </w:r>
      <w:r w:rsidR="00665173" w:rsidRPr="005873C5">
        <w:rPr>
          <w:sz w:val="26"/>
          <w:szCs w:val="26"/>
        </w:rPr>
        <w:t>warrant</w:t>
      </w:r>
      <w:r w:rsidR="00DE5ADC" w:rsidRPr="005873C5">
        <w:rPr>
          <w:sz w:val="26"/>
          <w:szCs w:val="26"/>
        </w:rPr>
        <w:t xml:space="preserve"> when real and substantial justice requires it, or put differently, where injustice </w:t>
      </w:r>
      <w:bookmarkStart w:id="1" w:name="_Hlk124523835"/>
      <w:r w:rsidR="00DE5ADC" w:rsidRPr="005873C5">
        <w:rPr>
          <w:sz w:val="26"/>
          <w:szCs w:val="26"/>
        </w:rPr>
        <w:t>would otherwise result.</w:t>
      </w:r>
      <w:r w:rsidR="00DE5ADC">
        <w:rPr>
          <w:rStyle w:val="FootnoteReference"/>
          <w:sz w:val="26"/>
          <w:szCs w:val="26"/>
        </w:rPr>
        <w:footnoteReference w:id="6"/>
      </w:r>
      <w:r w:rsidR="00E1467F" w:rsidRPr="005873C5">
        <w:rPr>
          <w:sz w:val="26"/>
          <w:szCs w:val="26"/>
        </w:rPr>
        <w:t xml:space="preserve"> </w:t>
      </w:r>
      <w:bookmarkEnd w:id="1"/>
      <w:r w:rsidR="00E963BF" w:rsidRPr="005873C5">
        <w:rPr>
          <w:sz w:val="26"/>
          <w:szCs w:val="26"/>
        </w:rPr>
        <w:lastRenderedPageBreak/>
        <w:t xml:space="preserve">The Court exercises its discretion </w:t>
      </w:r>
      <w:r w:rsidR="00782150" w:rsidRPr="005873C5">
        <w:rPr>
          <w:sz w:val="26"/>
          <w:szCs w:val="26"/>
        </w:rPr>
        <w:t>when considering whether to stay the execution of a warrant.</w:t>
      </w:r>
      <w:r w:rsidR="00782150">
        <w:rPr>
          <w:rStyle w:val="FootnoteReference"/>
          <w:sz w:val="26"/>
          <w:szCs w:val="26"/>
        </w:rPr>
        <w:footnoteReference w:id="7"/>
      </w:r>
    </w:p>
    <w:p w14:paraId="5DE0E0F4" w14:textId="2680B4E0" w:rsidR="00171B7A" w:rsidRPr="005873C5" w:rsidRDefault="005873C5" w:rsidP="005873C5">
      <w:pPr>
        <w:tabs>
          <w:tab w:val="left" w:pos="1135"/>
        </w:tabs>
        <w:ind w:left="851" w:hanging="851"/>
        <w:rPr>
          <w:sz w:val="26"/>
          <w:szCs w:val="26"/>
        </w:rPr>
      </w:pPr>
      <w:r w:rsidRPr="008A6D9A">
        <w:rPr>
          <w:sz w:val="26"/>
          <w:szCs w:val="26"/>
        </w:rPr>
        <w:t>[22]</w:t>
      </w:r>
      <w:r w:rsidRPr="008A6D9A">
        <w:rPr>
          <w:sz w:val="26"/>
          <w:szCs w:val="26"/>
        </w:rPr>
        <w:tab/>
      </w:r>
      <w:r w:rsidR="0079635F" w:rsidRPr="005873C5">
        <w:rPr>
          <w:sz w:val="26"/>
          <w:szCs w:val="26"/>
        </w:rPr>
        <w:t>T</w:t>
      </w:r>
      <w:r w:rsidR="00CD10E6" w:rsidRPr="005873C5">
        <w:rPr>
          <w:sz w:val="26"/>
          <w:szCs w:val="26"/>
        </w:rPr>
        <w:t>he app</w:t>
      </w:r>
      <w:r w:rsidR="001A3E8A" w:rsidRPr="005873C5">
        <w:rPr>
          <w:sz w:val="26"/>
          <w:szCs w:val="26"/>
        </w:rPr>
        <w:t>licant</w:t>
      </w:r>
      <w:r w:rsidR="00923835" w:rsidRPr="005873C5">
        <w:rPr>
          <w:sz w:val="26"/>
          <w:szCs w:val="26"/>
        </w:rPr>
        <w:t xml:space="preserve"> did not </w:t>
      </w:r>
      <w:r w:rsidR="001A3E8A" w:rsidRPr="005873C5">
        <w:rPr>
          <w:sz w:val="26"/>
          <w:szCs w:val="26"/>
        </w:rPr>
        <w:t xml:space="preserve">disclose to the </w:t>
      </w:r>
      <w:r w:rsidR="00B35735" w:rsidRPr="005873C5">
        <w:rPr>
          <w:sz w:val="26"/>
          <w:szCs w:val="26"/>
        </w:rPr>
        <w:t>Magistrate</w:t>
      </w:r>
      <w:r w:rsidR="003362D5" w:rsidRPr="005873C5">
        <w:rPr>
          <w:sz w:val="26"/>
          <w:szCs w:val="26"/>
        </w:rPr>
        <w:t xml:space="preserve"> that it had in fact already been evicted from the premises</w:t>
      </w:r>
      <w:r w:rsidR="00B35735" w:rsidRPr="005873C5">
        <w:rPr>
          <w:sz w:val="26"/>
          <w:szCs w:val="26"/>
        </w:rPr>
        <w:t xml:space="preserve">. </w:t>
      </w:r>
      <w:r w:rsidR="00171B7A" w:rsidRPr="005873C5">
        <w:rPr>
          <w:sz w:val="26"/>
          <w:szCs w:val="26"/>
        </w:rPr>
        <w:t xml:space="preserve">In the founding affidavits in support of the </w:t>
      </w:r>
      <w:r w:rsidR="00171B7A" w:rsidRPr="005873C5">
        <w:rPr>
          <w:i/>
          <w:iCs/>
          <w:sz w:val="26"/>
          <w:szCs w:val="26"/>
        </w:rPr>
        <w:t>ex parte</w:t>
      </w:r>
      <w:r w:rsidR="00171B7A" w:rsidRPr="005873C5">
        <w:rPr>
          <w:sz w:val="26"/>
          <w:szCs w:val="26"/>
        </w:rPr>
        <w:t xml:space="preserve"> applications, which are similar in content, Mr Kaushal, a director of the applicant, stated that –</w:t>
      </w:r>
    </w:p>
    <w:p w14:paraId="1722C756" w14:textId="77777777" w:rsidR="00171B7A" w:rsidRDefault="00171B7A" w:rsidP="00171B7A">
      <w:pPr>
        <w:pStyle w:val="ListParagraph"/>
        <w:spacing w:line="360" w:lineRule="auto"/>
        <w:ind w:left="2268" w:right="545" w:hanging="567"/>
        <w:contextualSpacing w:val="0"/>
      </w:pPr>
      <w:r>
        <w:t>“23.</w:t>
      </w:r>
      <w:r>
        <w:tab/>
        <w:t xml:space="preserve">The Sheriff served me with the warrant of ejectment and a warrant of execution against moveable property on 7 DECEMBER 2022, I have been unable to operate my business in part and/or at all since then.  </w:t>
      </w:r>
    </w:p>
    <w:p w14:paraId="2C45E7CA" w14:textId="77777777" w:rsidR="00171B7A" w:rsidRDefault="00171B7A" w:rsidP="00171B7A">
      <w:pPr>
        <w:pStyle w:val="ListParagraph"/>
        <w:spacing w:line="360" w:lineRule="auto"/>
        <w:ind w:left="2268" w:right="545" w:hanging="567"/>
        <w:contextualSpacing w:val="0"/>
      </w:pPr>
      <w:r>
        <w:t>...</w:t>
      </w:r>
    </w:p>
    <w:p w14:paraId="10D9F70B" w14:textId="77777777" w:rsidR="00171B7A" w:rsidRDefault="00171B7A" w:rsidP="00171B7A">
      <w:pPr>
        <w:pStyle w:val="ListParagraph"/>
        <w:spacing w:line="360" w:lineRule="auto"/>
        <w:ind w:left="2268" w:right="545" w:hanging="567"/>
        <w:contextualSpacing w:val="0"/>
      </w:pPr>
      <w:r>
        <w:t>27.</w:t>
      </w:r>
      <w:r>
        <w:tab/>
        <w:t xml:space="preserve">In light that my business has been severely interrupted and that </w:t>
      </w:r>
      <w:r w:rsidRPr="00127641">
        <w:rPr>
          <w:b/>
          <w:u w:val="single"/>
        </w:rPr>
        <w:t>our ejectment and execution is imminent</w:t>
      </w:r>
      <w:r>
        <w:t>, and I have no alternative but to approach this court on an urgent basis.”</w:t>
      </w:r>
    </w:p>
    <w:p w14:paraId="0A645655" w14:textId="5B8F1AE3" w:rsidR="00FD5857" w:rsidRPr="00DF4C2F" w:rsidRDefault="00DF4C2F" w:rsidP="00171B7A">
      <w:pPr>
        <w:pStyle w:val="ListParagraph"/>
        <w:spacing w:line="360" w:lineRule="auto"/>
        <w:ind w:left="2268" w:right="545" w:hanging="567"/>
        <w:contextualSpacing w:val="0"/>
        <w:rPr>
          <w:sz w:val="26"/>
          <w:szCs w:val="26"/>
        </w:rPr>
      </w:pPr>
      <w:r>
        <w:rPr>
          <w:sz w:val="26"/>
          <w:szCs w:val="26"/>
        </w:rPr>
        <w:t>(emphasis added)</w:t>
      </w:r>
    </w:p>
    <w:p w14:paraId="1F9F87C9" w14:textId="2AF74B2E" w:rsidR="00061F77" w:rsidRPr="005873C5" w:rsidRDefault="005873C5" w:rsidP="005873C5">
      <w:pPr>
        <w:tabs>
          <w:tab w:val="left" w:pos="1135"/>
        </w:tabs>
        <w:ind w:left="851" w:hanging="851"/>
        <w:rPr>
          <w:sz w:val="26"/>
          <w:szCs w:val="26"/>
        </w:rPr>
      </w:pPr>
      <w:r>
        <w:rPr>
          <w:sz w:val="26"/>
          <w:szCs w:val="26"/>
        </w:rPr>
        <w:t>[23]</w:t>
      </w:r>
      <w:r>
        <w:rPr>
          <w:sz w:val="26"/>
          <w:szCs w:val="26"/>
        </w:rPr>
        <w:tab/>
      </w:r>
      <w:r w:rsidR="00B80F0C" w:rsidRPr="005873C5">
        <w:rPr>
          <w:sz w:val="26"/>
          <w:szCs w:val="26"/>
        </w:rPr>
        <w:t xml:space="preserve">The </w:t>
      </w:r>
      <w:r w:rsidR="002E1D50" w:rsidRPr="005873C5">
        <w:rPr>
          <w:sz w:val="26"/>
          <w:szCs w:val="26"/>
        </w:rPr>
        <w:t>applicant thus</w:t>
      </w:r>
      <w:r w:rsidR="005907D8" w:rsidRPr="005873C5">
        <w:rPr>
          <w:sz w:val="26"/>
          <w:szCs w:val="26"/>
        </w:rPr>
        <w:t xml:space="preserve"> expressly </w:t>
      </w:r>
      <w:r w:rsidR="002E1D50" w:rsidRPr="005873C5">
        <w:rPr>
          <w:sz w:val="26"/>
          <w:szCs w:val="26"/>
        </w:rPr>
        <w:t>presented to</w:t>
      </w:r>
      <w:r w:rsidR="005907D8" w:rsidRPr="005873C5">
        <w:rPr>
          <w:sz w:val="26"/>
          <w:szCs w:val="26"/>
        </w:rPr>
        <w:t xml:space="preserve"> the </w:t>
      </w:r>
      <w:r w:rsidR="00D47EDD" w:rsidRPr="005873C5">
        <w:rPr>
          <w:sz w:val="26"/>
          <w:szCs w:val="26"/>
        </w:rPr>
        <w:t>C</w:t>
      </w:r>
      <w:r w:rsidR="005907D8" w:rsidRPr="005873C5">
        <w:rPr>
          <w:sz w:val="26"/>
          <w:szCs w:val="26"/>
        </w:rPr>
        <w:t>ourt that it had not yet been evicted – a position that is untenable on the facts</w:t>
      </w:r>
      <w:r w:rsidR="0079635F" w:rsidRPr="005873C5">
        <w:rPr>
          <w:sz w:val="26"/>
          <w:szCs w:val="26"/>
        </w:rPr>
        <w:t xml:space="preserve">. </w:t>
      </w:r>
    </w:p>
    <w:p w14:paraId="744337CD" w14:textId="2866DFA1" w:rsidR="00340921" w:rsidRPr="005873C5" w:rsidRDefault="005873C5" w:rsidP="005873C5">
      <w:pPr>
        <w:tabs>
          <w:tab w:val="left" w:pos="1135"/>
        </w:tabs>
        <w:ind w:left="851" w:hanging="851"/>
        <w:rPr>
          <w:sz w:val="26"/>
          <w:szCs w:val="26"/>
        </w:rPr>
      </w:pPr>
      <w:bookmarkStart w:id="2" w:name="_Hlk124591550"/>
      <w:r w:rsidRPr="00FB2329">
        <w:rPr>
          <w:sz w:val="26"/>
          <w:szCs w:val="26"/>
        </w:rPr>
        <w:t>[24]</w:t>
      </w:r>
      <w:r w:rsidRPr="00FB2329">
        <w:rPr>
          <w:sz w:val="26"/>
          <w:szCs w:val="26"/>
        </w:rPr>
        <w:tab/>
      </w:r>
      <w:r w:rsidR="00340921" w:rsidRPr="005873C5">
        <w:rPr>
          <w:sz w:val="26"/>
          <w:szCs w:val="26"/>
        </w:rPr>
        <w:t xml:space="preserve">The withholding or suppression of material facts </w:t>
      </w:r>
      <w:r w:rsidR="00C84132" w:rsidRPr="005873C5">
        <w:rPr>
          <w:sz w:val="26"/>
          <w:szCs w:val="26"/>
        </w:rPr>
        <w:t xml:space="preserve">in an </w:t>
      </w:r>
      <w:r w:rsidR="00C84132" w:rsidRPr="005873C5">
        <w:rPr>
          <w:i/>
          <w:iCs/>
          <w:sz w:val="26"/>
          <w:szCs w:val="26"/>
        </w:rPr>
        <w:t>ex parte</w:t>
      </w:r>
      <w:r w:rsidR="00C84132" w:rsidRPr="005873C5">
        <w:rPr>
          <w:sz w:val="26"/>
          <w:szCs w:val="26"/>
        </w:rPr>
        <w:t xml:space="preserve"> application </w:t>
      </w:r>
      <w:r w:rsidR="00340921" w:rsidRPr="005873C5">
        <w:rPr>
          <w:sz w:val="26"/>
          <w:szCs w:val="26"/>
        </w:rPr>
        <w:t xml:space="preserve">by itself entitles a </w:t>
      </w:r>
      <w:r w:rsidR="00D47EDD" w:rsidRPr="005873C5">
        <w:rPr>
          <w:sz w:val="26"/>
          <w:szCs w:val="26"/>
        </w:rPr>
        <w:t>C</w:t>
      </w:r>
      <w:r w:rsidR="00340921" w:rsidRPr="005873C5">
        <w:rPr>
          <w:sz w:val="26"/>
          <w:szCs w:val="26"/>
        </w:rPr>
        <w:t xml:space="preserve">ourt to set aside an order, even if the nondisclosure was not </w:t>
      </w:r>
      <w:r w:rsidR="005E56A0" w:rsidRPr="005873C5">
        <w:rPr>
          <w:sz w:val="26"/>
          <w:szCs w:val="26"/>
        </w:rPr>
        <w:lastRenderedPageBreak/>
        <w:t>wilful</w:t>
      </w:r>
      <w:r w:rsidR="00340921" w:rsidRPr="005873C5">
        <w:rPr>
          <w:sz w:val="26"/>
          <w:szCs w:val="26"/>
        </w:rPr>
        <w:t xml:space="preserve"> or </w:t>
      </w:r>
      <w:r w:rsidR="00340921" w:rsidRPr="005873C5">
        <w:rPr>
          <w:i/>
          <w:iCs/>
          <w:sz w:val="26"/>
          <w:szCs w:val="26"/>
        </w:rPr>
        <w:t>mala fide</w:t>
      </w:r>
      <w:r w:rsidR="00340921" w:rsidRPr="005873C5">
        <w:rPr>
          <w:sz w:val="26"/>
          <w:szCs w:val="26"/>
        </w:rPr>
        <w:t>.</w:t>
      </w:r>
      <w:r w:rsidR="00340921">
        <w:rPr>
          <w:rStyle w:val="FootnoteReference"/>
          <w:sz w:val="26"/>
          <w:szCs w:val="26"/>
        </w:rPr>
        <w:footnoteReference w:id="8"/>
      </w:r>
      <w:r w:rsidR="00340921" w:rsidRPr="005873C5">
        <w:rPr>
          <w:sz w:val="26"/>
          <w:szCs w:val="26"/>
        </w:rPr>
        <w:t xml:space="preserve">  The Court exercises its discretion in such circumstances and will have regard to factors such as</w:t>
      </w:r>
      <w:r w:rsidR="00340921">
        <w:rPr>
          <w:rStyle w:val="FootnoteReference"/>
          <w:sz w:val="26"/>
          <w:szCs w:val="26"/>
        </w:rPr>
        <w:footnoteReference w:id="9"/>
      </w:r>
      <w:r w:rsidR="00340921" w:rsidRPr="005873C5">
        <w:rPr>
          <w:sz w:val="26"/>
          <w:szCs w:val="26"/>
        </w:rPr>
        <w:t xml:space="preserve"> (i) the extent of the nondisclosure</w:t>
      </w:r>
      <w:r w:rsidR="00B85625" w:rsidRPr="005873C5">
        <w:rPr>
          <w:sz w:val="26"/>
          <w:szCs w:val="26"/>
        </w:rPr>
        <w:t>;</w:t>
      </w:r>
      <w:r w:rsidR="00340921" w:rsidRPr="005873C5">
        <w:rPr>
          <w:sz w:val="26"/>
          <w:szCs w:val="26"/>
        </w:rPr>
        <w:t xml:space="preserve"> (ii) whether the Court might have been influenced by proper disclosure; (iii) the reasons for </w:t>
      </w:r>
      <w:r w:rsidR="00A87854" w:rsidRPr="005873C5">
        <w:rPr>
          <w:sz w:val="26"/>
          <w:szCs w:val="26"/>
        </w:rPr>
        <w:t xml:space="preserve">the </w:t>
      </w:r>
      <w:r w:rsidR="00340921" w:rsidRPr="005873C5">
        <w:rPr>
          <w:sz w:val="26"/>
          <w:szCs w:val="26"/>
        </w:rPr>
        <w:t>nondisclosure and (iv) the consequences of setting the provisional order aside.</w:t>
      </w:r>
    </w:p>
    <w:bookmarkEnd w:id="2"/>
    <w:p w14:paraId="3F48D822" w14:textId="694F929D" w:rsidR="00061F77" w:rsidRPr="005873C5" w:rsidRDefault="005873C5" w:rsidP="005873C5">
      <w:pPr>
        <w:tabs>
          <w:tab w:val="left" w:pos="1135"/>
        </w:tabs>
        <w:ind w:left="851" w:hanging="851"/>
        <w:rPr>
          <w:sz w:val="26"/>
          <w:szCs w:val="26"/>
        </w:rPr>
      </w:pPr>
      <w:r>
        <w:rPr>
          <w:sz w:val="26"/>
          <w:szCs w:val="26"/>
        </w:rPr>
        <w:t>[25]</w:t>
      </w:r>
      <w:r>
        <w:rPr>
          <w:sz w:val="26"/>
          <w:szCs w:val="26"/>
        </w:rPr>
        <w:tab/>
      </w:r>
      <w:r w:rsidR="002A7689" w:rsidRPr="005873C5">
        <w:rPr>
          <w:sz w:val="26"/>
          <w:szCs w:val="26"/>
        </w:rPr>
        <w:t xml:space="preserve">It is clear that </w:t>
      </w:r>
      <w:r w:rsidR="00B144CB" w:rsidRPr="005873C5">
        <w:rPr>
          <w:sz w:val="26"/>
          <w:szCs w:val="26"/>
        </w:rPr>
        <w:t>the applicant misled the Magistrate.  It knew that it had been evicted, yet it presented the opposite to the Magistrate</w:t>
      </w:r>
      <w:r w:rsidR="00061F77" w:rsidRPr="005873C5">
        <w:rPr>
          <w:sz w:val="26"/>
          <w:szCs w:val="26"/>
        </w:rPr>
        <w:t>.</w:t>
      </w:r>
      <w:r w:rsidR="00B144CB" w:rsidRPr="005873C5">
        <w:rPr>
          <w:sz w:val="26"/>
          <w:szCs w:val="26"/>
        </w:rPr>
        <w:t xml:space="preserve">  A</w:t>
      </w:r>
      <w:r w:rsidR="00035291" w:rsidRPr="005873C5">
        <w:rPr>
          <w:sz w:val="26"/>
          <w:szCs w:val="26"/>
        </w:rPr>
        <w:t>s</w:t>
      </w:r>
      <w:r w:rsidR="00B144CB" w:rsidRPr="005873C5">
        <w:rPr>
          <w:sz w:val="26"/>
          <w:szCs w:val="26"/>
        </w:rPr>
        <w:t xml:space="preserve"> can be seen from the </w:t>
      </w:r>
      <w:r w:rsidR="00A62809" w:rsidRPr="005873C5">
        <w:rPr>
          <w:sz w:val="26"/>
          <w:szCs w:val="26"/>
        </w:rPr>
        <w:t>Magistrate’s judgment on the return day, that</w:t>
      </w:r>
      <w:r w:rsidR="00FB7D80" w:rsidRPr="005873C5">
        <w:rPr>
          <w:sz w:val="26"/>
          <w:szCs w:val="26"/>
        </w:rPr>
        <w:t xml:space="preserve"> omission</w:t>
      </w:r>
      <w:r w:rsidR="00A62809" w:rsidRPr="005873C5">
        <w:rPr>
          <w:sz w:val="26"/>
          <w:szCs w:val="26"/>
        </w:rPr>
        <w:t xml:space="preserve"> was material to the granting of the </w:t>
      </w:r>
      <w:r w:rsidR="00A62809" w:rsidRPr="005873C5">
        <w:rPr>
          <w:i/>
          <w:iCs/>
          <w:sz w:val="26"/>
          <w:szCs w:val="26"/>
        </w:rPr>
        <w:t xml:space="preserve">ex parte </w:t>
      </w:r>
      <w:r w:rsidR="00A62809" w:rsidRPr="005873C5">
        <w:rPr>
          <w:sz w:val="26"/>
          <w:szCs w:val="26"/>
        </w:rPr>
        <w:t>order</w:t>
      </w:r>
      <w:r w:rsidR="00206D65" w:rsidRPr="005873C5">
        <w:rPr>
          <w:sz w:val="26"/>
          <w:szCs w:val="26"/>
        </w:rPr>
        <w:t>s</w:t>
      </w:r>
      <w:r w:rsidR="00A62809" w:rsidRPr="005873C5">
        <w:rPr>
          <w:sz w:val="26"/>
          <w:szCs w:val="26"/>
        </w:rPr>
        <w:t>.  If th</w:t>
      </w:r>
      <w:r w:rsidR="00206D65" w:rsidRPr="005873C5">
        <w:rPr>
          <w:sz w:val="26"/>
          <w:szCs w:val="26"/>
        </w:rPr>
        <w:t>e</w:t>
      </w:r>
      <w:r w:rsidR="00A62809" w:rsidRPr="005873C5">
        <w:rPr>
          <w:sz w:val="26"/>
          <w:szCs w:val="26"/>
        </w:rPr>
        <w:t xml:space="preserve"> fact</w:t>
      </w:r>
      <w:r w:rsidR="00206D65" w:rsidRPr="005873C5">
        <w:rPr>
          <w:sz w:val="26"/>
          <w:szCs w:val="26"/>
        </w:rPr>
        <w:t xml:space="preserve"> of the eviction</w:t>
      </w:r>
      <w:r w:rsidR="00A62809" w:rsidRPr="005873C5">
        <w:rPr>
          <w:sz w:val="26"/>
          <w:szCs w:val="26"/>
        </w:rPr>
        <w:t xml:space="preserve"> had been disclosed, the order</w:t>
      </w:r>
      <w:r w:rsidR="00206D65" w:rsidRPr="005873C5">
        <w:rPr>
          <w:sz w:val="26"/>
          <w:szCs w:val="26"/>
        </w:rPr>
        <w:t>s</w:t>
      </w:r>
      <w:r w:rsidR="00A62809" w:rsidRPr="005873C5">
        <w:rPr>
          <w:sz w:val="26"/>
          <w:szCs w:val="26"/>
        </w:rPr>
        <w:t xml:space="preserve"> would not have been made.  </w:t>
      </w:r>
      <w:r w:rsidR="00043591" w:rsidRPr="005873C5">
        <w:rPr>
          <w:sz w:val="26"/>
          <w:szCs w:val="26"/>
        </w:rPr>
        <w:t>T</w:t>
      </w:r>
      <w:r w:rsidR="00A62809" w:rsidRPr="005873C5">
        <w:rPr>
          <w:sz w:val="26"/>
          <w:szCs w:val="26"/>
        </w:rPr>
        <w:t xml:space="preserve">he applicant thereafter forced its way back </w:t>
      </w:r>
      <w:r w:rsidR="00043591" w:rsidRPr="005873C5">
        <w:rPr>
          <w:sz w:val="26"/>
          <w:szCs w:val="26"/>
        </w:rPr>
        <w:t>o</w:t>
      </w:r>
      <w:r w:rsidR="00A62809" w:rsidRPr="005873C5">
        <w:rPr>
          <w:sz w:val="26"/>
          <w:szCs w:val="26"/>
        </w:rPr>
        <w:t>nto the premises</w:t>
      </w:r>
      <w:r w:rsidR="00043591" w:rsidRPr="005873C5">
        <w:rPr>
          <w:sz w:val="26"/>
          <w:szCs w:val="26"/>
        </w:rPr>
        <w:t>. T</w:t>
      </w:r>
      <w:r w:rsidR="00A62809" w:rsidRPr="005873C5">
        <w:rPr>
          <w:sz w:val="26"/>
          <w:szCs w:val="26"/>
        </w:rPr>
        <w:t>o my mind</w:t>
      </w:r>
      <w:r w:rsidR="00D47EDD" w:rsidRPr="005873C5">
        <w:rPr>
          <w:sz w:val="26"/>
          <w:szCs w:val="26"/>
        </w:rPr>
        <w:t>,</w:t>
      </w:r>
      <w:r w:rsidR="00A62809" w:rsidRPr="005873C5">
        <w:rPr>
          <w:sz w:val="26"/>
          <w:szCs w:val="26"/>
        </w:rPr>
        <w:t xml:space="preserve"> </w:t>
      </w:r>
      <w:r w:rsidR="00043591" w:rsidRPr="005873C5">
        <w:rPr>
          <w:sz w:val="26"/>
          <w:szCs w:val="26"/>
        </w:rPr>
        <w:t xml:space="preserve">this </w:t>
      </w:r>
      <w:r w:rsidR="00A62809" w:rsidRPr="005873C5">
        <w:rPr>
          <w:sz w:val="26"/>
          <w:szCs w:val="26"/>
        </w:rPr>
        <w:t>reveals</w:t>
      </w:r>
      <w:r w:rsidR="00043591" w:rsidRPr="005873C5">
        <w:rPr>
          <w:sz w:val="26"/>
          <w:szCs w:val="26"/>
        </w:rPr>
        <w:t xml:space="preserve"> a</w:t>
      </w:r>
      <w:r w:rsidR="00A62809" w:rsidRPr="005873C5">
        <w:rPr>
          <w:sz w:val="26"/>
          <w:szCs w:val="26"/>
        </w:rPr>
        <w:t xml:space="preserve"> </w:t>
      </w:r>
      <w:r w:rsidR="00095A89" w:rsidRPr="005873C5">
        <w:rPr>
          <w:sz w:val="26"/>
          <w:szCs w:val="26"/>
        </w:rPr>
        <w:t xml:space="preserve">wilful abuse </w:t>
      </w:r>
      <w:r w:rsidR="00D47EDD" w:rsidRPr="005873C5">
        <w:rPr>
          <w:sz w:val="26"/>
          <w:szCs w:val="26"/>
        </w:rPr>
        <w:t xml:space="preserve">of </w:t>
      </w:r>
      <w:r w:rsidR="00095A89" w:rsidRPr="005873C5">
        <w:rPr>
          <w:sz w:val="26"/>
          <w:szCs w:val="26"/>
        </w:rPr>
        <w:t xml:space="preserve">the process of court </w:t>
      </w:r>
      <w:r w:rsidR="00043591" w:rsidRPr="005873C5">
        <w:rPr>
          <w:sz w:val="26"/>
          <w:szCs w:val="26"/>
        </w:rPr>
        <w:t>to</w:t>
      </w:r>
      <w:r w:rsidR="00095A89" w:rsidRPr="005873C5">
        <w:rPr>
          <w:sz w:val="26"/>
          <w:szCs w:val="26"/>
        </w:rPr>
        <w:t xml:space="preserve"> obtain an ostensible basis for its return to the property.</w:t>
      </w:r>
      <w:r w:rsidR="00061F77" w:rsidRPr="005873C5">
        <w:rPr>
          <w:sz w:val="26"/>
          <w:szCs w:val="26"/>
        </w:rPr>
        <w:t xml:space="preserve">  </w:t>
      </w:r>
    </w:p>
    <w:p w14:paraId="1E3219BA" w14:textId="7BDD8433" w:rsidR="00F930FA" w:rsidRPr="005873C5" w:rsidRDefault="005873C5" w:rsidP="005873C5">
      <w:pPr>
        <w:tabs>
          <w:tab w:val="left" w:pos="1135"/>
        </w:tabs>
        <w:ind w:left="851" w:hanging="851"/>
        <w:rPr>
          <w:sz w:val="26"/>
          <w:szCs w:val="26"/>
        </w:rPr>
      </w:pPr>
      <w:r>
        <w:rPr>
          <w:sz w:val="26"/>
          <w:szCs w:val="26"/>
        </w:rPr>
        <w:t>[26]</w:t>
      </w:r>
      <w:r>
        <w:rPr>
          <w:sz w:val="26"/>
          <w:szCs w:val="26"/>
        </w:rPr>
        <w:tab/>
      </w:r>
      <w:r w:rsidR="008F2D1B" w:rsidRPr="005873C5">
        <w:rPr>
          <w:sz w:val="26"/>
          <w:szCs w:val="26"/>
        </w:rPr>
        <w:t>Justice requires that the applicant should not be rewarded for its improper conduct</w:t>
      </w:r>
      <w:r w:rsidR="008918FA" w:rsidRPr="005873C5">
        <w:rPr>
          <w:sz w:val="26"/>
          <w:szCs w:val="26"/>
        </w:rPr>
        <w:t>.  This is so</w:t>
      </w:r>
      <w:r w:rsidR="008F2D1B" w:rsidRPr="005873C5">
        <w:rPr>
          <w:sz w:val="26"/>
          <w:szCs w:val="26"/>
        </w:rPr>
        <w:t xml:space="preserve"> even though there is the potential that </w:t>
      </w:r>
      <w:r w:rsidR="008918FA" w:rsidRPr="005873C5">
        <w:rPr>
          <w:sz w:val="26"/>
          <w:szCs w:val="26"/>
        </w:rPr>
        <w:t>the judgments underlying the warrants may be upset in the rescission applications</w:t>
      </w:r>
      <w:r w:rsidR="008F2D1B" w:rsidRPr="005873C5">
        <w:rPr>
          <w:sz w:val="26"/>
          <w:szCs w:val="26"/>
        </w:rPr>
        <w:t>.  A court cannot countenance conduct whereby a party obtain</w:t>
      </w:r>
      <w:r w:rsidR="00A37D03" w:rsidRPr="005873C5">
        <w:rPr>
          <w:sz w:val="26"/>
          <w:szCs w:val="26"/>
        </w:rPr>
        <w:t>s</w:t>
      </w:r>
      <w:r w:rsidR="008F2D1B" w:rsidRPr="005873C5">
        <w:rPr>
          <w:sz w:val="26"/>
          <w:szCs w:val="26"/>
        </w:rPr>
        <w:t xml:space="preserve"> an order through </w:t>
      </w:r>
      <w:r w:rsidR="008F2D1B" w:rsidRPr="005873C5">
        <w:rPr>
          <w:sz w:val="26"/>
          <w:szCs w:val="26"/>
        </w:rPr>
        <w:lastRenderedPageBreak/>
        <w:t>misrepresentation and then</w:t>
      </w:r>
      <w:r w:rsidR="0089574B" w:rsidRPr="005873C5">
        <w:rPr>
          <w:sz w:val="26"/>
          <w:szCs w:val="26"/>
        </w:rPr>
        <w:t>, on the back of that order, assert</w:t>
      </w:r>
      <w:r w:rsidR="00A37D03" w:rsidRPr="005873C5">
        <w:rPr>
          <w:sz w:val="26"/>
          <w:szCs w:val="26"/>
        </w:rPr>
        <w:t>s</w:t>
      </w:r>
      <w:r w:rsidR="0089574B" w:rsidRPr="005873C5">
        <w:rPr>
          <w:sz w:val="26"/>
          <w:szCs w:val="26"/>
        </w:rPr>
        <w:t xml:space="preserve"> non-existent rights through self-help </w:t>
      </w:r>
      <w:r w:rsidR="006A6F64" w:rsidRPr="005873C5">
        <w:rPr>
          <w:sz w:val="26"/>
          <w:szCs w:val="26"/>
        </w:rPr>
        <w:t xml:space="preserve">to </w:t>
      </w:r>
      <w:r w:rsidR="0089574B" w:rsidRPr="005873C5">
        <w:rPr>
          <w:sz w:val="26"/>
          <w:szCs w:val="26"/>
        </w:rPr>
        <w:t xml:space="preserve">obtain possession of property.  </w:t>
      </w:r>
    </w:p>
    <w:p w14:paraId="49702E91" w14:textId="69F137D7" w:rsidR="0089574B" w:rsidRPr="005873C5" w:rsidRDefault="005873C5" w:rsidP="005873C5">
      <w:pPr>
        <w:tabs>
          <w:tab w:val="left" w:pos="1135"/>
        </w:tabs>
        <w:ind w:left="851" w:hanging="851"/>
        <w:rPr>
          <w:sz w:val="26"/>
          <w:szCs w:val="26"/>
        </w:rPr>
      </w:pPr>
      <w:r w:rsidRPr="00F930FA">
        <w:rPr>
          <w:sz w:val="26"/>
          <w:szCs w:val="26"/>
        </w:rPr>
        <w:t>[27]</w:t>
      </w:r>
      <w:r w:rsidRPr="00F930FA">
        <w:rPr>
          <w:sz w:val="26"/>
          <w:szCs w:val="26"/>
        </w:rPr>
        <w:tab/>
      </w:r>
      <w:r w:rsidR="00BF7976" w:rsidRPr="005873C5">
        <w:rPr>
          <w:sz w:val="26"/>
          <w:szCs w:val="26"/>
        </w:rPr>
        <w:t xml:space="preserve">In the result the application must fail.  </w:t>
      </w:r>
    </w:p>
    <w:p w14:paraId="65BC0131" w14:textId="108AD999" w:rsidR="00802ACA" w:rsidRPr="00FE1C93" w:rsidRDefault="00802ACA" w:rsidP="00A44790">
      <w:pPr>
        <w:pStyle w:val="Heading2"/>
        <w:spacing w:after="360"/>
        <w:rPr>
          <w:rFonts w:ascii="Calibri" w:hAnsi="Calibri" w:cs="Calibri"/>
          <w:i/>
          <w:iCs/>
          <w:color w:val="auto"/>
        </w:rPr>
      </w:pPr>
      <w:r w:rsidRPr="00FE1C93">
        <w:rPr>
          <w:rFonts w:ascii="Calibri" w:hAnsi="Calibri" w:cs="Calibri"/>
          <w:i/>
          <w:iCs/>
          <w:color w:val="auto"/>
        </w:rPr>
        <w:t>The counterapplication</w:t>
      </w:r>
    </w:p>
    <w:p w14:paraId="19FCFFAC" w14:textId="6F180906" w:rsidR="00AA6AA7" w:rsidRPr="005873C5" w:rsidRDefault="005873C5" w:rsidP="005873C5">
      <w:pPr>
        <w:ind w:left="851" w:hanging="851"/>
        <w:rPr>
          <w:sz w:val="26"/>
          <w:szCs w:val="26"/>
        </w:rPr>
      </w:pPr>
      <w:r>
        <w:rPr>
          <w:sz w:val="26"/>
          <w:szCs w:val="26"/>
        </w:rPr>
        <w:t>[28]</w:t>
      </w:r>
      <w:r>
        <w:rPr>
          <w:sz w:val="26"/>
          <w:szCs w:val="26"/>
        </w:rPr>
        <w:tab/>
      </w:r>
      <w:r w:rsidR="00BF7976" w:rsidRPr="005873C5">
        <w:rPr>
          <w:sz w:val="26"/>
          <w:szCs w:val="26"/>
        </w:rPr>
        <w:t xml:space="preserve">The respondents brought a counterapplication for the </w:t>
      </w:r>
      <w:r w:rsidR="00795144" w:rsidRPr="005873C5">
        <w:rPr>
          <w:sz w:val="26"/>
          <w:szCs w:val="26"/>
        </w:rPr>
        <w:t xml:space="preserve">ejectment of the applicant from the premises.  As already shown, the applicant had been evicted from the premises, and thereafter, without the </w:t>
      </w:r>
      <w:r w:rsidR="0039719C" w:rsidRPr="005873C5">
        <w:rPr>
          <w:sz w:val="26"/>
          <w:szCs w:val="26"/>
        </w:rPr>
        <w:t>imprimatur of a court order</w:t>
      </w:r>
      <w:r w:rsidR="00092E56" w:rsidRPr="005873C5">
        <w:rPr>
          <w:sz w:val="26"/>
          <w:szCs w:val="26"/>
        </w:rPr>
        <w:t xml:space="preserve"> or the owners’ consent</w:t>
      </w:r>
      <w:r w:rsidR="0039719C" w:rsidRPr="005873C5">
        <w:rPr>
          <w:sz w:val="26"/>
          <w:szCs w:val="26"/>
        </w:rPr>
        <w:t xml:space="preserve">, </w:t>
      </w:r>
      <w:r w:rsidR="002074FF" w:rsidRPr="005873C5">
        <w:rPr>
          <w:sz w:val="26"/>
          <w:szCs w:val="26"/>
        </w:rPr>
        <w:t>forcefully regained</w:t>
      </w:r>
      <w:r w:rsidR="0039719C" w:rsidRPr="005873C5">
        <w:rPr>
          <w:sz w:val="26"/>
          <w:szCs w:val="26"/>
        </w:rPr>
        <w:t xml:space="preserve"> possession</w:t>
      </w:r>
      <w:r w:rsidR="001E6E26" w:rsidRPr="005873C5">
        <w:rPr>
          <w:sz w:val="26"/>
          <w:szCs w:val="26"/>
        </w:rPr>
        <w:t xml:space="preserve"> (by changing the locks to the property)</w:t>
      </w:r>
      <w:r w:rsidR="0039719C" w:rsidRPr="005873C5">
        <w:rPr>
          <w:sz w:val="26"/>
          <w:szCs w:val="26"/>
        </w:rPr>
        <w:t xml:space="preserve">.  </w:t>
      </w:r>
    </w:p>
    <w:p w14:paraId="25EE05F3" w14:textId="33CF9ADF" w:rsidR="00AA6AA7" w:rsidRPr="005873C5" w:rsidRDefault="005873C5" w:rsidP="005873C5">
      <w:pPr>
        <w:tabs>
          <w:tab w:val="left" w:pos="1135"/>
        </w:tabs>
        <w:ind w:left="851" w:hanging="851"/>
        <w:rPr>
          <w:sz w:val="26"/>
          <w:szCs w:val="26"/>
        </w:rPr>
      </w:pPr>
      <w:r>
        <w:rPr>
          <w:sz w:val="26"/>
          <w:szCs w:val="26"/>
        </w:rPr>
        <w:t>[29]</w:t>
      </w:r>
      <w:r>
        <w:rPr>
          <w:sz w:val="26"/>
          <w:szCs w:val="26"/>
        </w:rPr>
        <w:tab/>
      </w:r>
      <w:r w:rsidR="00AA6AA7" w:rsidRPr="005873C5">
        <w:rPr>
          <w:sz w:val="26"/>
          <w:szCs w:val="26"/>
        </w:rPr>
        <w:t xml:space="preserve">A party cannot unilaterally undo the consequences of execution and then, on the pretence that execution had not yet taken place but is imminent, seek to </w:t>
      </w:r>
      <w:r w:rsidR="00A2241D" w:rsidRPr="005873C5">
        <w:rPr>
          <w:sz w:val="26"/>
          <w:szCs w:val="26"/>
        </w:rPr>
        <w:t>prevent a further eviction</w:t>
      </w:r>
      <w:r w:rsidR="00AA6AA7" w:rsidRPr="005873C5">
        <w:rPr>
          <w:sz w:val="26"/>
          <w:szCs w:val="26"/>
        </w:rPr>
        <w:t xml:space="preserve">.  The Court will not allow its process to be abused in this manner.  </w:t>
      </w:r>
    </w:p>
    <w:p w14:paraId="3766F400" w14:textId="55E27BCB" w:rsidR="00AA6AA7" w:rsidRPr="005873C5" w:rsidRDefault="005873C5" w:rsidP="005873C5">
      <w:pPr>
        <w:tabs>
          <w:tab w:val="left" w:pos="1135"/>
        </w:tabs>
        <w:ind w:left="851" w:hanging="851"/>
        <w:rPr>
          <w:sz w:val="26"/>
          <w:szCs w:val="26"/>
        </w:rPr>
      </w:pPr>
      <w:r>
        <w:rPr>
          <w:sz w:val="26"/>
          <w:szCs w:val="26"/>
        </w:rPr>
        <w:t>[30]</w:t>
      </w:r>
      <w:r>
        <w:rPr>
          <w:sz w:val="26"/>
          <w:szCs w:val="26"/>
        </w:rPr>
        <w:tab/>
      </w:r>
      <w:r w:rsidR="00AA6AA7" w:rsidRPr="005873C5">
        <w:rPr>
          <w:sz w:val="26"/>
          <w:szCs w:val="26"/>
        </w:rPr>
        <w:t>The statement that the applicant regained entry onto the premises “due to the interim order”, is obviously wrong.  The applicant obtained an interim order staying execution of the warrants of ejectment, not that it may re-enter the premises.  It could not</w:t>
      </w:r>
      <w:r w:rsidR="00D47EDD" w:rsidRPr="005873C5">
        <w:rPr>
          <w:sz w:val="26"/>
          <w:szCs w:val="26"/>
        </w:rPr>
        <w:t xml:space="preserve"> have obtained such an order</w:t>
      </w:r>
      <w:r w:rsidR="00AA6AA7" w:rsidRPr="005873C5">
        <w:rPr>
          <w:sz w:val="26"/>
          <w:szCs w:val="26"/>
        </w:rPr>
        <w:t xml:space="preserve">, because the case that it presented to the Magistrate, on oath, was that it had not yet been evicted from the premises.  </w:t>
      </w:r>
    </w:p>
    <w:p w14:paraId="272E7A46" w14:textId="1F37BB1B" w:rsidR="00C32E61" w:rsidRPr="005873C5" w:rsidRDefault="005873C5" w:rsidP="005873C5">
      <w:pPr>
        <w:ind w:left="851" w:hanging="851"/>
        <w:rPr>
          <w:sz w:val="26"/>
          <w:szCs w:val="26"/>
        </w:rPr>
      </w:pPr>
      <w:r>
        <w:rPr>
          <w:sz w:val="26"/>
          <w:szCs w:val="26"/>
        </w:rPr>
        <w:lastRenderedPageBreak/>
        <w:t>[31]</w:t>
      </w:r>
      <w:r>
        <w:rPr>
          <w:sz w:val="26"/>
          <w:szCs w:val="26"/>
        </w:rPr>
        <w:tab/>
      </w:r>
      <w:r w:rsidR="0039719C" w:rsidRPr="005873C5">
        <w:rPr>
          <w:sz w:val="26"/>
          <w:szCs w:val="26"/>
        </w:rPr>
        <w:t>The applicant had no entitlement to dispossess the respondents of their property in this fashion</w:t>
      </w:r>
      <w:r w:rsidR="00113E1B" w:rsidRPr="005873C5">
        <w:rPr>
          <w:sz w:val="26"/>
          <w:szCs w:val="26"/>
        </w:rPr>
        <w:t>, and its possession of the property i</w:t>
      </w:r>
      <w:r w:rsidR="00D47EDD" w:rsidRPr="005873C5">
        <w:rPr>
          <w:sz w:val="26"/>
          <w:szCs w:val="26"/>
        </w:rPr>
        <w:t>s</w:t>
      </w:r>
      <w:r w:rsidR="00113E1B" w:rsidRPr="005873C5">
        <w:rPr>
          <w:sz w:val="26"/>
          <w:szCs w:val="26"/>
        </w:rPr>
        <w:t xml:space="preserve"> unlawful</w:t>
      </w:r>
      <w:r w:rsidR="00951FE7" w:rsidRPr="005873C5">
        <w:rPr>
          <w:sz w:val="26"/>
          <w:szCs w:val="26"/>
        </w:rPr>
        <w:t xml:space="preserve">. </w:t>
      </w:r>
    </w:p>
    <w:p w14:paraId="013FA26F" w14:textId="3EFA503E" w:rsidR="00C32E61" w:rsidRPr="005873C5" w:rsidRDefault="005873C5" w:rsidP="005873C5">
      <w:pPr>
        <w:ind w:left="851" w:hanging="851"/>
        <w:rPr>
          <w:sz w:val="26"/>
          <w:szCs w:val="26"/>
        </w:rPr>
      </w:pPr>
      <w:r w:rsidRPr="00A44790">
        <w:rPr>
          <w:sz w:val="26"/>
          <w:szCs w:val="26"/>
        </w:rPr>
        <w:t>[32]</w:t>
      </w:r>
      <w:r w:rsidRPr="00A44790">
        <w:rPr>
          <w:sz w:val="26"/>
          <w:szCs w:val="26"/>
        </w:rPr>
        <w:tab/>
      </w:r>
      <w:r w:rsidR="00C62BB6" w:rsidRPr="005873C5">
        <w:rPr>
          <w:sz w:val="26"/>
          <w:szCs w:val="26"/>
        </w:rPr>
        <w:t>Although the respondents framed their application along the lines of an interdict, their case</w:t>
      </w:r>
      <w:r w:rsidR="00052CCC" w:rsidRPr="005873C5">
        <w:rPr>
          <w:sz w:val="26"/>
          <w:szCs w:val="26"/>
        </w:rPr>
        <w:t>, as set out in their papers,</w:t>
      </w:r>
      <w:r w:rsidR="00C62BB6" w:rsidRPr="005873C5">
        <w:rPr>
          <w:sz w:val="26"/>
          <w:szCs w:val="26"/>
        </w:rPr>
        <w:t xml:space="preserve"> is in reality vindicatory in nature.  It is common cause that they are the owners of the properties, and that the applicant does not have their permission to </w:t>
      </w:r>
      <w:r w:rsidR="00052CCC" w:rsidRPr="005873C5">
        <w:rPr>
          <w:sz w:val="26"/>
          <w:szCs w:val="26"/>
        </w:rPr>
        <w:t>occupy the premises</w:t>
      </w:r>
      <w:r w:rsidR="00C62BB6" w:rsidRPr="005873C5">
        <w:rPr>
          <w:sz w:val="26"/>
          <w:szCs w:val="26"/>
        </w:rPr>
        <w:t xml:space="preserve">.  As has been shown above, there is no superior right which the applicant may lay claim to </w:t>
      </w:r>
      <w:r w:rsidR="00052CCC" w:rsidRPr="005873C5">
        <w:rPr>
          <w:sz w:val="26"/>
          <w:szCs w:val="26"/>
        </w:rPr>
        <w:t xml:space="preserve">for its </w:t>
      </w:r>
      <w:r w:rsidR="00C62BB6" w:rsidRPr="005873C5">
        <w:rPr>
          <w:sz w:val="26"/>
          <w:szCs w:val="26"/>
        </w:rPr>
        <w:t>possess</w:t>
      </w:r>
      <w:r w:rsidR="00052CCC" w:rsidRPr="005873C5">
        <w:rPr>
          <w:sz w:val="26"/>
          <w:szCs w:val="26"/>
        </w:rPr>
        <w:t>ion of</w:t>
      </w:r>
      <w:r w:rsidR="00C62BB6" w:rsidRPr="005873C5">
        <w:rPr>
          <w:sz w:val="26"/>
          <w:szCs w:val="26"/>
        </w:rPr>
        <w:t xml:space="preserve"> the premises.  In the result, the </w:t>
      </w:r>
      <w:r w:rsidR="00EF712A" w:rsidRPr="005873C5">
        <w:rPr>
          <w:sz w:val="26"/>
          <w:szCs w:val="26"/>
        </w:rPr>
        <w:t xml:space="preserve">respondents are entitled to </w:t>
      </w:r>
      <w:r w:rsidR="00A91B33" w:rsidRPr="005873C5">
        <w:rPr>
          <w:sz w:val="26"/>
          <w:szCs w:val="26"/>
        </w:rPr>
        <w:t>vindicate their property.</w:t>
      </w:r>
      <w:r w:rsidR="00A91B33">
        <w:rPr>
          <w:rStyle w:val="FootnoteReference"/>
          <w:sz w:val="26"/>
          <w:szCs w:val="26"/>
        </w:rPr>
        <w:footnoteReference w:id="10"/>
      </w:r>
    </w:p>
    <w:p w14:paraId="58E0CE2E" w14:textId="2470F9B7" w:rsidR="00BF7976" w:rsidRPr="005873C5" w:rsidRDefault="005873C5" w:rsidP="005873C5">
      <w:pPr>
        <w:ind w:left="851" w:hanging="851"/>
        <w:rPr>
          <w:sz w:val="26"/>
          <w:szCs w:val="26"/>
        </w:rPr>
      </w:pPr>
      <w:r>
        <w:rPr>
          <w:sz w:val="26"/>
          <w:szCs w:val="26"/>
        </w:rPr>
        <w:t>[33]</w:t>
      </w:r>
      <w:r>
        <w:rPr>
          <w:sz w:val="26"/>
          <w:szCs w:val="26"/>
        </w:rPr>
        <w:tab/>
      </w:r>
      <w:r w:rsidR="00951FE7" w:rsidRPr="005873C5">
        <w:rPr>
          <w:sz w:val="26"/>
          <w:szCs w:val="26"/>
        </w:rPr>
        <w:t>In the result</w:t>
      </w:r>
      <w:r w:rsidR="0039719C" w:rsidRPr="005873C5">
        <w:rPr>
          <w:sz w:val="26"/>
          <w:szCs w:val="26"/>
        </w:rPr>
        <w:t xml:space="preserve"> the respondents are entitled to an order for ejectment.</w:t>
      </w:r>
    </w:p>
    <w:p w14:paraId="25761ABB" w14:textId="0A741AE7" w:rsidR="0039719C" w:rsidRPr="00E36FAB" w:rsidRDefault="0039719C" w:rsidP="00210888">
      <w:pPr>
        <w:pStyle w:val="Heading1"/>
        <w:ind w:left="851" w:hanging="851"/>
      </w:pPr>
      <w:r>
        <w:t>Conclusion</w:t>
      </w:r>
    </w:p>
    <w:p w14:paraId="5B4C6DAE" w14:textId="5C2F4206" w:rsidR="00F30AC4" w:rsidRPr="005873C5" w:rsidRDefault="005873C5" w:rsidP="005873C5">
      <w:pPr>
        <w:tabs>
          <w:tab w:val="left" w:pos="1135"/>
        </w:tabs>
        <w:ind w:left="851" w:hanging="851"/>
        <w:rPr>
          <w:sz w:val="26"/>
          <w:szCs w:val="26"/>
        </w:rPr>
      </w:pPr>
      <w:r>
        <w:rPr>
          <w:sz w:val="26"/>
          <w:szCs w:val="26"/>
        </w:rPr>
        <w:t>[34]</w:t>
      </w:r>
      <w:r>
        <w:rPr>
          <w:sz w:val="26"/>
          <w:szCs w:val="26"/>
        </w:rPr>
        <w:tab/>
      </w:r>
      <w:r w:rsidR="00F30AC4" w:rsidRPr="005873C5">
        <w:rPr>
          <w:sz w:val="26"/>
          <w:szCs w:val="26"/>
        </w:rPr>
        <w:t>In my view there is no reason why the costs should not follow the result.</w:t>
      </w:r>
    </w:p>
    <w:p w14:paraId="7B5F481B" w14:textId="16A849C5" w:rsidR="00CB08F4" w:rsidRPr="005873C5" w:rsidRDefault="005873C5" w:rsidP="005873C5">
      <w:pPr>
        <w:tabs>
          <w:tab w:val="left" w:pos="1135"/>
        </w:tabs>
        <w:ind w:left="851" w:hanging="851"/>
        <w:rPr>
          <w:sz w:val="26"/>
          <w:szCs w:val="26"/>
        </w:rPr>
      </w:pPr>
      <w:r>
        <w:rPr>
          <w:sz w:val="26"/>
          <w:szCs w:val="26"/>
        </w:rPr>
        <w:t>[35]</w:t>
      </w:r>
      <w:r>
        <w:rPr>
          <w:sz w:val="26"/>
          <w:szCs w:val="26"/>
        </w:rPr>
        <w:tab/>
      </w:r>
      <w:r w:rsidR="0039719C" w:rsidRPr="005873C5">
        <w:rPr>
          <w:sz w:val="26"/>
          <w:szCs w:val="26"/>
        </w:rPr>
        <w:t>In the result I make the following order:</w:t>
      </w:r>
    </w:p>
    <w:p w14:paraId="2C103E62" w14:textId="577BF0B1" w:rsidR="0039719C" w:rsidRPr="005873C5" w:rsidRDefault="005873C5" w:rsidP="005873C5">
      <w:pPr>
        <w:ind w:left="1701" w:hanging="850"/>
        <w:rPr>
          <w:sz w:val="26"/>
          <w:szCs w:val="26"/>
        </w:rPr>
      </w:pPr>
      <w:r>
        <w:rPr>
          <w:sz w:val="26"/>
          <w:szCs w:val="26"/>
        </w:rPr>
        <w:t>(1)</w:t>
      </w:r>
      <w:r>
        <w:rPr>
          <w:sz w:val="26"/>
          <w:szCs w:val="26"/>
        </w:rPr>
        <w:tab/>
      </w:r>
      <w:r w:rsidR="004323FB" w:rsidRPr="005873C5">
        <w:rPr>
          <w:sz w:val="26"/>
          <w:szCs w:val="26"/>
        </w:rPr>
        <w:t xml:space="preserve">The application for a stay of </w:t>
      </w:r>
      <w:r w:rsidR="006D6F08" w:rsidRPr="005873C5">
        <w:rPr>
          <w:sz w:val="26"/>
          <w:szCs w:val="26"/>
        </w:rPr>
        <w:t>eviction</w:t>
      </w:r>
      <w:r w:rsidR="004323FB" w:rsidRPr="005873C5">
        <w:rPr>
          <w:sz w:val="26"/>
          <w:szCs w:val="26"/>
        </w:rPr>
        <w:t xml:space="preserve"> under case number</w:t>
      </w:r>
      <w:r w:rsidR="00D32F69" w:rsidRPr="005873C5">
        <w:rPr>
          <w:sz w:val="26"/>
          <w:szCs w:val="26"/>
        </w:rPr>
        <w:t>s</w:t>
      </w:r>
      <w:r w:rsidR="004323FB" w:rsidRPr="005873C5">
        <w:rPr>
          <w:sz w:val="26"/>
          <w:szCs w:val="26"/>
        </w:rPr>
        <w:t xml:space="preserve"> 1002/2022 and 1003/2022 in the Magistrates</w:t>
      </w:r>
      <w:r w:rsidR="00C92CE3" w:rsidRPr="005873C5">
        <w:rPr>
          <w:sz w:val="26"/>
          <w:szCs w:val="26"/>
        </w:rPr>
        <w:t>’</w:t>
      </w:r>
      <w:r w:rsidR="004323FB" w:rsidRPr="005873C5">
        <w:rPr>
          <w:sz w:val="26"/>
          <w:szCs w:val="26"/>
        </w:rPr>
        <w:t xml:space="preserve"> Court</w:t>
      </w:r>
      <w:r w:rsidR="004A3D1B" w:rsidRPr="005873C5">
        <w:rPr>
          <w:sz w:val="26"/>
          <w:szCs w:val="26"/>
        </w:rPr>
        <w:t xml:space="preserve"> for the District of Brakpan</w:t>
      </w:r>
      <w:r w:rsidR="004323FB" w:rsidRPr="005873C5">
        <w:rPr>
          <w:sz w:val="26"/>
          <w:szCs w:val="26"/>
        </w:rPr>
        <w:t xml:space="preserve"> is </w:t>
      </w:r>
      <w:r w:rsidR="006160E6" w:rsidRPr="005873C5">
        <w:rPr>
          <w:sz w:val="26"/>
          <w:szCs w:val="26"/>
        </w:rPr>
        <w:t>dismissed.</w:t>
      </w:r>
    </w:p>
    <w:p w14:paraId="7DC63764" w14:textId="41D3D41D" w:rsidR="006160E6" w:rsidRPr="005873C5" w:rsidRDefault="005873C5" w:rsidP="005873C5">
      <w:pPr>
        <w:ind w:left="1701" w:hanging="850"/>
        <w:rPr>
          <w:sz w:val="26"/>
          <w:szCs w:val="26"/>
        </w:rPr>
      </w:pPr>
      <w:r>
        <w:rPr>
          <w:sz w:val="26"/>
          <w:szCs w:val="26"/>
        </w:rPr>
        <w:lastRenderedPageBreak/>
        <w:t>(2)</w:t>
      </w:r>
      <w:r>
        <w:rPr>
          <w:sz w:val="26"/>
          <w:szCs w:val="26"/>
        </w:rPr>
        <w:tab/>
      </w:r>
      <w:r w:rsidR="006160E6" w:rsidRPr="005873C5">
        <w:rPr>
          <w:sz w:val="26"/>
          <w:szCs w:val="26"/>
        </w:rPr>
        <w:t xml:space="preserve">The Sheriff of this Court is authorised and directed to evict the applicant from the properties known as Erven 64 and 65 Maryvlei Township Extension 12, situated at 33 Greer Street, Vulcania, Brakpan as well as all persons claiming occupations through or under the applicant.  </w:t>
      </w:r>
    </w:p>
    <w:p w14:paraId="2B6B70F1" w14:textId="11FA7DB5" w:rsidR="006160E6" w:rsidRPr="005873C5" w:rsidRDefault="005873C5" w:rsidP="005873C5">
      <w:pPr>
        <w:ind w:left="1701" w:hanging="850"/>
        <w:rPr>
          <w:sz w:val="26"/>
          <w:szCs w:val="26"/>
        </w:rPr>
      </w:pPr>
      <w:r w:rsidRPr="006869A8">
        <w:rPr>
          <w:sz w:val="26"/>
          <w:szCs w:val="26"/>
        </w:rPr>
        <w:t>(3)</w:t>
      </w:r>
      <w:r w:rsidRPr="006869A8">
        <w:rPr>
          <w:sz w:val="26"/>
          <w:szCs w:val="26"/>
        </w:rPr>
        <w:tab/>
      </w:r>
      <w:r w:rsidR="007F2FDA" w:rsidRPr="005873C5">
        <w:rPr>
          <w:sz w:val="26"/>
          <w:szCs w:val="26"/>
        </w:rPr>
        <w:t>The applicant shall pay the respondents’ costs in respect of both the application and the counterapplication.</w:t>
      </w:r>
    </w:p>
    <w:p w14:paraId="43A3F269" w14:textId="77777777" w:rsidR="00D32F69" w:rsidRDefault="00D32F69" w:rsidP="000B48F5">
      <w:pPr>
        <w:spacing w:after="0" w:line="240" w:lineRule="auto"/>
        <w:rPr>
          <w:sz w:val="26"/>
          <w:szCs w:val="26"/>
        </w:rPr>
      </w:pPr>
    </w:p>
    <w:p w14:paraId="67B0C5B9" w14:textId="77777777" w:rsidR="00D32F69" w:rsidRDefault="00D32F69" w:rsidP="000B48F5">
      <w:pPr>
        <w:spacing w:after="0" w:line="240" w:lineRule="auto"/>
        <w:rPr>
          <w:sz w:val="26"/>
          <w:szCs w:val="26"/>
        </w:rPr>
      </w:pPr>
    </w:p>
    <w:p w14:paraId="68746884" w14:textId="77777777" w:rsidR="00D32F69" w:rsidRDefault="00D32F69" w:rsidP="000B48F5">
      <w:pPr>
        <w:spacing w:after="0" w:line="240" w:lineRule="auto"/>
        <w:rPr>
          <w:sz w:val="26"/>
          <w:szCs w:val="26"/>
        </w:rPr>
      </w:pPr>
    </w:p>
    <w:p w14:paraId="778C9F38" w14:textId="039E3C1A" w:rsidR="000B48F5" w:rsidRDefault="000B48F5" w:rsidP="000B48F5">
      <w:pPr>
        <w:spacing w:after="0" w:line="240" w:lineRule="auto"/>
        <w:rPr>
          <w:sz w:val="26"/>
          <w:szCs w:val="26"/>
        </w:rPr>
      </w:pPr>
      <w:r>
        <w:rPr>
          <w:sz w:val="26"/>
          <w:szCs w:val="26"/>
        </w:rPr>
        <w:t>______________________________________</w:t>
      </w:r>
    </w:p>
    <w:p w14:paraId="68C51962" w14:textId="77777777" w:rsidR="000B48F5" w:rsidRPr="002653D6" w:rsidRDefault="000B48F5" w:rsidP="000B48F5">
      <w:pPr>
        <w:spacing w:after="0" w:line="240" w:lineRule="auto"/>
        <w:rPr>
          <w:b/>
          <w:sz w:val="26"/>
          <w:szCs w:val="26"/>
        </w:rPr>
      </w:pPr>
      <w:r>
        <w:rPr>
          <w:b/>
          <w:sz w:val="26"/>
          <w:szCs w:val="26"/>
        </w:rPr>
        <w:t>A Bester</w:t>
      </w:r>
    </w:p>
    <w:p w14:paraId="6C6BB01F" w14:textId="77777777" w:rsidR="000B48F5" w:rsidRDefault="000B48F5" w:rsidP="000B48F5">
      <w:pPr>
        <w:spacing w:after="0" w:line="240" w:lineRule="auto"/>
        <w:rPr>
          <w:b/>
          <w:sz w:val="26"/>
          <w:szCs w:val="26"/>
        </w:rPr>
      </w:pPr>
      <w:r w:rsidRPr="006B2625">
        <w:rPr>
          <w:b/>
          <w:sz w:val="26"/>
          <w:szCs w:val="26"/>
        </w:rPr>
        <w:t xml:space="preserve">Acting Judge </w:t>
      </w:r>
      <w:r>
        <w:rPr>
          <w:b/>
          <w:sz w:val="26"/>
          <w:szCs w:val="26"/>
        </w:rPr>
        <w:t>o</w:t>
      </w:r>
      <w:r w:rsidRPr="006B2625">
        <w:rPr>
          <w:b/>
          <w:sz w:val="26"/>
          <w:szCs w:val="26"/>
        </w:rPr>
        <w:t xml:space="preserve">f </w:t>
      </w:r>
      <w:r>
        <w:rPr>
          <w:b/>
          <w:sz w:val="26"/>
          <w:szCs w:val="26"/>
        </w:rPr>
        <w:t>t</w:t>
      </w:r>
      <w:r w:rsidRPr="006B2625">
        <w:rPr>
          <w:b/>
          <w:sz w:val="26"/>
          <w:szCs w:val="26"/>
        </w:rPr>
        <w:t>he High Court</w:t>
      </w:r>
      <w:r>
        <w:rPr>
          <w:b/>
          <w:sz w:val="26"/>
          <w:szCs w:val="26"/>
        </w:rPr>
        <w:t xml:space="preserve"> of South Africa</w:t>
      </w:r>
    </w:p>
    <w:p w14:paraId="7A508833" w14:textId="12DDA958" w:rsidR="000B48F5" w:rsidRDefault="000B48F5" w:rsidP="000B48F5">
      <w:pPr>
        <w:spacing w:after="0" w:line="240" w:lineRule="auto"/>
        <w:rPr>
          <w:b/>
          <w:sz w:val="26"/>
          <w:szCs w:val="26"/>
        </w:rPr>
      </w:pPr>
      <w:r>
        <w:rPr>
          <w:b/>
          <w:sz w:val="26"/>
          <w:szCs w:val="26"/>
        </w:rPr>
        <w:t>Gauteng Division, Johannesburg</w:t>
      </w:r>
    </w:p>
    <w:p w14:paraId="7E85FEF0" w14:textId="77777777" w:rsidR="000B48F5" w:rsidRDefault="000B48F5" w:rsidP="000B48F5">
      <w:pPr>
        <w:spacing w:after="0" w:line="240" w:lineRule="auto"/>
        <w:rPr>
          <w:sz w:val="26"/>
          <w:szCs w:val="26"/>
        </w:rPr>
      </w:pPr>
    </w:p>
    <w:p w14:paraId="75924B79" w14:textId="77777777" w:rsidR="000B48F5" w:rsidRDefault="000B48F5" w:rsidP="000B48F5">
      <w:pPr>
        <w:spacing w:after="0" w:line="240" w:lineRule="auto"/>
        <w:rPr>
          <w:sz w:val="26"/>
          <w:szCs w:val="26"/>
        </w:rPr>
      </w:pPr>
    </w:p>
    <w:p w14:paraId="5F9C96A2" w14:textId="77777777" w:rsidR="000B48F5" w:rsidRDefault="000B48F5" w:rsidP="000B48F5">
      <w:pPr>
        <w:spacing w:after="0" w:line="240" w:lineRule="auto"/>
        <w:rPr>
          <w:sz w:val="26"/>
          <w:szCs w:val="26"/>
        </w:rPr>
      </w:pPr>
    </w:p>
    <w:p w14:paraId="154B9E05" w14:textId="77777777" w:rsidR="000B48F5" w:rsidRPr="00770055" w:rsidRDefault="000B48F5" w:rsidP="000B48F5">
      <w:pPr>
        <w:spacing w:after="0" w:line="240" w:lineRule="auto"/>
        <w:rPr>
          <w:sz w:val="26"/>
          <w:szCs w:val="26"/>
        </w:rPr>
      </w:pPr>
    </w:p>
    <w:p w14:paraId="3CA0200B" w14:textId="726AD722" w:rsidR="00930A00" w:rsidRPr="00C227ED" w:rsidRDefault="000B48F5" w:rsidP="00930A00">
      <w:pPr>
        <w:spacing w:after="0" w:line="240" w:lineRule="auto"/>
        <w:rPr>
          <w:sz w:val="26"/>
          <w:szCs w:val="26"/>
        </w:rPr>
      </w:pPr>
      <w:r w:rsidRPr="00C227ED">
        <w:rPr>
          <w:sz w:val="26"/>
          <w:szCs w:val="26"/>
        </w:rPr>
        <w:t>Heard:</w:t>
      </w:r>
      <w:r w:rsidRPr="00C227ED">
        <w:rPr>
          <w:sz w:val="26"/>
          <w:szCs w:val="26"/>
        </w:rPr>
        <w:tab/>
      </w:r>
      <w:r w:rsidRPr="00C227ED">
        <w:rPr>
          <w:sz w:val="26"/>
          <w:szCs w:val="26"/>
        </w:rPr>
        <w:tab/>
      </w:r>
      <w:r w:rsidRPr="00C227ED">
        <w:rPr>
          <w:sz w:val="26"/>
          <w:szCs w:val="26"/>
        </w:rPr>
        <w:tab/>
      </w:r>
      <w:r w:rsidRPr="00C227ED">
        <w:rPr>
          <w:sz w:val="26"/>
          <w:szCs w:val="26"/>
        </w:rPr>
        <w:tab/>
      </w:r>
      <w:r w:rsidRPr="00C227ED">
        <w:rPr>
          <w:sz w:val="26"/>
          <w:szCs w:val="26"/>
        </w:rPr>
        <w:tab/>
      </w:r>
      <w:r w:rsidRPr="00C227ED">
        <w:rPr>
          <w:sz w:val="26"/>
          <w:szCs w:val="26"/>
        </w:rPr>
        <w:tab/>
      </w:r>
      <w:r w:rsidR="0026157E">
        <w:rPr>
          <w:sz w:val="26"/>
          <w:szCs w:val="26"/>
        </w:rPr>
        <w:t>10 January 2023</w:t>
      </w:r>
    </w:p>
    <w:p w14:paraId="5CF219D4" w14:textId="4E114F12" w:rsidR="000B48F5" w:rsidRPr="00C227ED" w:rsidRDefault="000B48F5" w:rsidP="00930A00">
      <w:pPr>
        <w:spacing w:after="0" w:line="240" w:lineRule="auto"/>
        <w:rPr>
          <w:sz w:val="26"/>
          <w:szCs w:val="26"/>
        </w:rPr>
      </w:pPr>
      <w:r w:rsidRPr="00C227ED">
        <w:rPr>
          <w:sz w:val="26"/>
          <w:szCs w:val="26"/>
        </w:rPr>
        <w:t>Judgment:</w:t>
      </w:r>
      <w:r w:rsidRPr="00C227ED">
        <w:rPr>
          <w:sz w:val="26"/>
          <w:szCs w:val="26"/>
        </w:rPr>
        <w:tab/>
      </w:r>
      <w:r w:rsidRPr="00C227ED">
        <w:rPr>
          <w:sz w:val="26"/>
          <w:szCs w:val="26"/>
        </w:rPr>
        <w:tab/>
      </w:r>
      <w:r w:rsidRPr="00C227ED">
        <w:rPr>
          <w:sz w:val="26"/>
          <w:szCs w:val="26"/>
        </w:rPr>
        <w:tab/>
      </w:r>
      <w:r w:rsidRPr="00C227ED">
        <w:rPr>
          <w:sz w:val="26"/>
          <w:szCs w:val="26"/>
        </w:rPr>
        <w:tab/>
      </w:r>
      <w:r w:rsidRPr="00C227ED">
        <w:rPr>
          <w:sz w:val="26"/>
          <w:szCs w:val="26"/>
        </w:rPr>
        <w:tab/>
      </w:r>
      <w:r w:rsidR="00B52BA5">
        <w:rPr>
          <w:sz w:val="26"/>
          <w:szCs w:val="26"/>
        </w:rPr>
        <w:t>1</w:t>
      </w:r>
      <w:r w:rsidR="000818A1">
        <w:rPr>
          <w:sz w:val="26"/>
          <w:szCs w:val="26"/>
        </w:rPr>
        <w:t>6</w:t>
      </w:r>
      <w:r w:rsidR="00B52BA5">
        <w:rPr>
          <w:sz w:val="26"/>
          <w:szCs w:val="26"/>
        </w:rPr>
        <w:t xml:space="preserve"> January 2023</w:t>
      </w:r>
    </w:p>
    <w:p w14:paraId="4ED5CB3B" w14:textId="77777777" w:rsidR="000B48F5" w:rsidRDefault="000B48F5" w:rsidP="000B48F5">
      <w:pPr>
        <w:spacing w:after="0" w:line="240" w:lineRule="auto"/>
        <w:rPr>
          <w:sz w:val="26"/>
          <w:szCs w:val="26"/>
        </w:rPr>
      </w:pPr>
    </w:p>
    <w:p w14:paraId="7AE281E1" w14:textId="77777777" w:rsidR="000B48F5" w:rsidRDefault="000B48F5" w:rsidP="000B48F5">
      <w:pPr>
        <w:spacing w:after="0" w:line="240" w:lineRule="auto"/>
        <w:rPr>
          <w:sz w:val="26"/>
          <w:szCs w:val="26"/>
        </w:rPr>
      </w:pPr>
    </w:p>
    <w:p w14:paraId="5E9D80B5" w14:textId="77777777" w:rsidR="000B48F5" w:rsidRPr="00770055" w:rsidRDefault="000B48F5" w:rsidP="000B48F5">
      <w:pPr>
        <w:spacing w:after="0" w:line="240" w:lineRule="auto"/>
        <w:rPr>
          <w:sz w:val="26"/>
          <w:szCs w:val="26"/>
        </w:rPr>
      </w:pPr>
    </w:p>
    <w:p w14:paraId="23D1A417" w14:textId="77777777" w:rsidR="00D32F69" w:rsidRDefault="000B48F5" w:rsidP="000B48F5">
      <w:pPr>
        <w:spacing w:after="0" w:line="240" w:lineRule="auto"/>
        <w:rPr>
          <w:sz w:val="26"/>
          <w:szCs w:val="26"/>
        </w:rPr>
      </w:pPr>
      <w:r>
        <w:rPr>
          <w:sz w:val="26"/>
          <w:szCs w:val="26"/>
        </w:rPr>
        <w:t>Counsel f</w:t>
      </w:r>
      <w:r w:rsidRPr="00770055">
        <w:rPr>
          <w:sz w:val="26"/>
          <w:szCs w:val="26"/>
        </w:rPr>
        <w:t xml:space="preserve">or the </w:t>
      </w:r>
      <w:r w:rsidR="00A9049E">
        <w:rPr>
          <w:sz w:val="26"/>
          <w:szCs w:val="26"/>
        </w:rPr>
        <w:t>Applicant</w:t>
      </w:r>
      <w:r>
        <w:rPr>
          <w:sz w:val="26"/>
          <w:szCs w:val="26"/>
        </w:rPr>
        <w:t>:</w:t>
      </w:r>
      <w:r>
        <w:rPr>
          <w:sz w:val="26"/>
          <w:szCs w:val="26"/>
        </w:rPr>
        <w:tab/>
      </w:r>
      <w:r>
        <w:rPr>
          <w:sz w:val="26"/>
          <w:szCs w:val="26"/>
        </w:rPr>
        <w:tab/>
      </w:r>
      <w:r>
        <w:rPr>
          <w:sz w:val="26"/>
          <w:szCs w:val="26"/>
        </w:rPr>
        <w:tab/>
      </w:r>
      <w:r w:rsidR="00836583">
        <w:rPr>
          <w:sz w:val="26"/>
          <w:szCs w:val="26"/>
        </w:rPr>
        <w:t>Adv</w:t>
      </w:r>
      <w:r w:rsidR="00D32F69">
        <w:rPr>
          <w:sz w:val="26"/>
          <w:szCs w:val="26"/>
        </w:rPr>
        <w:t xml:space="preserve">ocates </w:t>
      </w:r>
      <w:r w:rsidR="008531D1">
        <w:rPr>
          <w:sz w:val="26"/>
          <w:szCs w:val="26"/>
        </w:rPr>
        <w:t>H</w:t>
      </w:r>
      <w:r w:rsidR="00D32F69">
        <w:rPr>
          <w:sz w:val="26"/>
          <w:szCs w:val="26"/>
        </w:rPr>
        <w:t>P</w:t>
      </w:r>
      <w:r w:rsidR="008531D1">
        <w:rPr>
          <w:sz w:val="26"/>
          <w:szCs w:val="26"/>
        </w:rPr>
        <w:t xml:space="preserve"> </w:t>
      </w:r>
      <w:r w:rsidR="009220AB">
        <w:rPr>
          <w:sz w:val="26"/>
          <w:szCs w:val="26"/>
        </w:rPr>
        <w:t>V</w:t>
      </w:r>
      <w:r w:rsidR="008531D1">
        <w:rPr>
          <w:sz w:val="26"/>
          <w:szCs w:val="26"/>
        </w:rPr>
        <w:t>an Nieuwenhuizen</w:t>
      </w:r>
      <w:r w:rsidR="00B30ED6">
        <w:rPr>
          <w:sz w:val="26"/>
          <w:szCs w:val="26"/>
        </w:rPr>
        <w:t xml:space="preserve"> </w:t>
      </w:r>
    </w:p>
    <w:p w14:paraId="08C91887" w14:textId="6B52C07C" w:rsidR="00B30ED6" w:rsidRDefault="00D32F69" w:rsidP="00D32F69">
      <w:pPr>
        <w:spacing w:after="0" w:line="240" w:lineRule="auto"/>
        <w:ind w:left="4255" w:firstLine="851"/>
        <w:rPr>
          <w:sz w:val="26"/>
          <w:szCs w:val="26"/>
        </w:rPr>
      </w:pPr>
      <w:r>
        <w:rPr>
          <w:sz w:val="26"/>
          <w:szCs w:val="26"/>
        </w:rPr>
        <w:t>and</w:t>
      </w:r>
      <w:r w:rsidR="00B30ED6">
        <w:rPr>
          <w:sz w:val="26"/>
          <w:szCs w:val="26"/>
        </w:rPr>
        <w:t xml:space="preserve"> A Nadasen</w:t>
      </w:r>
    </w:p>
    <w:p w14:paraId="7D129C7C" w14:textId="709D15C1" w:rsidR="000B48F5" w:rsidRPr="00FF6F9E" w:rsidRDefault="000B48F5" w:rsidP="000B48F5">
      <w:pPr>
        <w:spacing w:after="0" w:line="240" w:lineRule="auto"/>
        <w:rPr>
          <w:sz w:val="26"/>
          <w:szCs w:val="26"/>
        </w:rPr>
      </w:pPr>
      <w:r>
        <w:rPr>
          <w:sz w:val="26"/>
          <w:szCs w:val="26"/>
        </w:rPr>
        <w:t>I</w:t>
      </w:r>
      <w:r w:rsidRPr="00770055">
        <w:rPr>
          <w:sz w:val="26"/>
          <w:szCs w:val="26"/>
        </w:rPr>
        <w:t>nstructed by</w:t>
      </w:r>
      <w:r>
        <w:rPr>
          <w:sz w:val="26"/>
          <w:szCs w:val="26"/>
        </w:rPr>
        <w:t>:</w:t>
      </w:r>
      <w:r>
        <w:rPr>
          <w:sz w:val="26"/>
          <w:szCs w:val="26"/>
        </w:rPr>
        <w:tab/>
      </w:r>
      <w:r>
        <w:rPr>
          <w:sz w:val="26"/>
          <w:szCs w:val="26"/>
        </w:rPr>
        <w:tab/>
      </w:r>
      <w:r>
        <w:rPr>
          <w:sz w:val="26"/>
          <w:szCs w:val="26"/>
        </w:rPr>
        <w:tab/>
      </w:r>
      <w:r>
        <w:rPr>
          <w:sz w:val="26"/>
          <w:szCs w:val="26"/>
        </w:rPr>
        <w:tab/>
      </w:r>
      <w:r>
        <w:rPr>
          <w:sz w:val="26"/>
          <w:szCs w:val="26"/>
        </w:rPr>
        <w:tab/>
      </w:r>
      <w:r w:rsidR="00B30ED6">
        <w:rPr>
          <w:sz w:val="26"/>
          <w:szCs w:val="26"/>
        </w:rPr>
        <w:t>Pisanti Attorneys Inc</w:t>
      </w:r>
    </w:p>
    <w:p w14:paraId="4E0A3F73" w14:textId="77777777" w:rsidR="000B48F5" w:rsidRDefault="000B48F5" w:rsidP="000B48F5">
      <w:pPr>
        <w:spacing w:after="0" w:line="240" w:lineRule="auto"/>
        <w:rPr>
          <w:sz w:val="26"/>
          <w:szCs w:val="26"/>
        </w:rPr>
      </w:pPr>
    </w:p>
    <w:p w14:paraId="7A310919" w14:textId="77777777" w:rsidR="000B48F5" w:rsidRDefault="000B48F5" w:rsidP="000B48F5">
      <w:pPr>
        <w:spacing w:after="0" w:line="240" w:lineRule="auto"/>
        <w:rPr>
          <w:sz w:val="26"/>
          <w:szCs w:val="26"/>
        </w:rPr>
      </w:pPr>
    </w:p>
    <w:p w14:paraId="4636FA9E" w14:textId="77777777" w:rsidR="000B48F5" w:rsidRPr="00770055" w:rsidRDefault="000B48F5" w:rsidP="000B48F5">
      <w:pPr>
        <w:spacing w:after="0" w:line="240" w:lineRule="auto"/>
        <w:rPr>
          <w:sz w:val="26"/>
          <w:szCs w:val="26"/>
        </w:rPr>
      </w:pPr>
    </w:p>
    <w:p w14:paraId="46396706" w14:textId="4B6DF563" w:rsidR="000B48F5" w:rsidRPr="00770055" w:rsidRDefault="000B48F5" w:rsidP="000B48F5">
      <w:pPr>
        <w:spacing w:after="0" w:line="240" w:lineRule="auto"/>
        <w:rPr>
          <w:sz w:val="26"/>
          <w:szCs w:val="26"/>
        </w:rPr>
      </w:pPr>
      <w:r>
        <w:rPr>
          <w:sz w:val="26"/>
          <w:szCs w:val="26"/>
        </w:rPr>
        <w:t>Counsel f</w:t>
      </w:r>
      <w:r w:rsidRPr="00770055">
        <w:rPr>
          <w:sz w:val="26"/>
          <w:szCs w:val="26"/>
        </w:rPr>
        <w:t>or the</w:t>
      </w:r>
      <w:r w:rsidR="00BE57DE">
        <w:rPr>
          <w:sz w:val="26"/>
          <w:szCs w:val="26"/>
        </w:rPr>
        <w:t xml:space="preserve"> </w:t>
      </w:r>
      <w:r w:rsidR="00400DA3">
        <w:rPr>
          <w:sz w:val="26"/>
          <w:szCs w:val="26"/>
        </w:rPr>
        <w:t>Respondent</w:t>
      </w:r>
      <w:r w:rsidRPr="00770055">
        <w:rPr>
          <w:sz w:val="26"/>
          <w:szCs w:val="26"/>
        </w:rPr>
        <w:t>:</w:t>
      </w:r>
      <w:r w:rsidR="002E1D27">
        <w:rPr>
          <w:sz w:val="26"/>
          <w:szCs w:val="26"/>
        </w:rPr>
        <w:tab/>
      </w:r>
      <w:r w:rsidR="002E1D27">
        <w:rPr>
          <w:sz w:val="26"/>
          <w:szCs w:val="26"/>
        </w:rPr>
        <w:tab/>
      </w:r>
      <w:r w:rsidR="002E1D27">
        <w:rPr>
          <w:sz w:val="26"/>
          <w:szCs w:val="26"/>
        </w:rPr>
        <w:tab/>
      </w:r>
      <w:r w:rsidR="00D32F69">
        <w:rPr>
          <w:sz w:val="26"/>
          <w:szCs w:val="26"/>
        </w:rPr>
        <w:t xml:space="preserve">Advocate </w:t>
      </w:r>
      <w:r w:rsidR="0026157E">
        <w:rPr>
          <w:sz w:val="26"/>
          <w:szCs w:val="26"/>
        </w:rPr>
        <w:t>G Botha</w:t>
      </w:r>
      <w:r w:rsidR="007D6053">
        <w:rPr>
          <w:sz w:val="26"/>
          <w:szCs w:val="26"/>
        </w:rPr>
        <w:t xml:space="preserve"> </w:t>
      </w:r>
    </w:p>
    <w:p w14:paraId="57DCC2A6" w14:textId="778EE83E" w:rsidR="000B48F5" w:rsidRPr="006B2625" w:rsidRDefault="000B48F5" w:rsidP="00FF6F9E">
      <w:pPr>
        <w:spacing w:after="0" w:line="240" w:lineRule="auto"/>
        <w:rPr>
          <w:b/>
          <w:sz w:val="26"/>
          <w:szCs w:val="26"/>
        </w:rPr>
      </w:pPr>
      <w:r>
        <w:rPr>
          <w:sz w:val="26"/>
          <w:szCs w:val="26"/>
        </w:rPr>
        <w:t>I</w:t>
      </w:r>
      <w:r w:rsidRPr="00770055">
        <w:rPr>
          <w:sz w:val="26"/>
          <w:szCs w:val="26"/>
        </w:rPr>
        <w:t>nstructed by</w:t>
      </w:r>
      <w:r>
        <w:rPr>
          <w:sz w:val="26"/>
          <w:szCs w:val="26"/>
        </w:rPr>
        <w:t>:</w:t>
      </w:r>
      <w:r>
        <w:rPr>
          <w:sz w:val="26"/>
          <w:szCs w:val="26"/>
        </w:rPr>
        <w:tab/>
      </w:r>
      <w:r>
        <w:rPr>
          <w:sz w:val="26"/>
          <w:szCs w:val="26"/>
        </w:rPr>
        <w:tab/>
      </w:r>
      <w:r>
        <w:rPr>
          <w:sz w:val="26"/>
          <w:szCs w:val="26"/>
        </w:rPr>
        <w:tab/>
      </w:r>
      <w:r>
        <w:rPr>
          <w:sz w:val="26"/>
          <w:szCs w:val="26"/>
        </w:rPr>
        <w:tab/>
      </w:r>
      <w:r>
        <w:rPr>
          <w:sz w:val="26"/>
          <w:szCs w:val="26"/>
        </w:rPr>
        <w:tab/>
      </w:r>
      <w:r w:rsidR="0026157E">
        <w:rPr>
          <w:sz w:val="26"/>
          <w:szCs w:val="26"/>
        </w:rPr>
        <w:t>ODBB Inc Attorneys</w:t>
      </w:r>
    </w:p>
    <w:p w14:paraId="6C5A6F2B" w14:textId="21ED399D" w:rsidR="006B2625" w:rsidRDefault="006B2625" w:rsidP="000B48F5">
      <w:pPr>
        <w:rPr>
          <w:b/>
          <w:sz w:val="26"/>
          <w:szCs w:val="26"/>
        </w:rPr>
      </w:pPr>
    </w:p>
    <w:sectPr w:rsidR="006B2625" w:rsidSect="00E555DA">
      <w:headerReference w:type="default" r:id="rId10"/>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C7F7C" w14:textId="77777777" w:rsidR="005A3D2E" w:rsidRDefault="005A3D2E" w:rsidP="00A47B82">
      <w:pPr>
        <w:spacing w:after="0" w:line="240" w:lineRule="auto"/>
      </w:pPr>
      <w:r>
        <w:separator/>
      </w:r>
    </w:p>
  </w:endnote>
  <w:endnote w:type="continuationSeparator" w:id="0">
    <w:p w14:paraId="1FF7C892" w14:textId="77777777" w:rsidR="005A3D2E" w:rsidRDefault="005A3D2E" w:rsidP="00A47B82">
      <w:pPr>
        <w:spacing w:after="0" w:line="240" w:lineRule="auto"/>
      </w:pPr>
      <w:r>
        <w:continuationSeparator/>
      </w:r>
    </w:p>
  </w:endnote>
  <w:endnote w:type="continuationNotice" w:id="1">
    <w:p w14:paraId="5BBC4484" w14:textId="77777777" w:rsidR="005A3D2E" w:rsidRDefault="005A3D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4F46F" w14:textId="77777777" w:rsidR="005A3D2E" w:rsidRDefault="005A3D2E" w:rsidP="00A47B82">
      <w:pPr>
        <w:spacing w:after="0" w:line="240" w:lineRule="auto"/>
      </w:pPr>
      <w:r>
        <w:separator/>
      </w:r>
    </w:p>
  </w:footnote>
  <w:footnote w:type="continuationSeparator" w:id="0">
    <w:p w14:paraId="3DC3DAFD" w14:textId="77777777" w:rsidR="005A3D2E" w:rsidRDefault="005A3D2E" w:rsidP="00A47B82">
      <w:pPr>
        <w:spacing w:after="0" w:line="240" w:lineRule="auto"/>
      </w:pPr>
      <w:r>
        <w:continuationSeparator/>
      </w:r>
    </w:p>
  </w:footnote>
  <w:footnote w:type="continuationNotice" w:id="1">
    <w:p w14:paraId="446F5F76" w14:textId="77777777" w:rsidR="005A3D2E" w:rsidRDefault="005A3D2E">
      <w:pPr>
        <w:spacing w:after="0" w:line="240" w:lineRule="auto"/>
      </w:pPr>
    </w:p>
  </w:footnote>
  <w:footnote w:id="2">
    <w:p w14:paraId="0DB3383E" w14:textId="5838A403" w:rsidR="00AF06F2" w:rsidRPr="003362D5" w:rsidRDefault="00EA3942" w:rsidP="006B166E">
      <w:pPr>
        <w:pStyle w:val="FootnoteText"/>
        <w:spacing w:before="120" w:after="120"/>
        <w:ind w:left="284" w:hanging="284"/>
      </w:pPr>
      <w:r>
        <w:rPr>
          <w:rStyle w:val="FootnoteReference"/>
        </w:rPr>
        <w:footnoteRef/>
      </w:r>
      <w:r>
        <w:t xml:space="preserve"> </w:t>
      </w:r>
      <w:r>
        <w:tab/>
      </w:r>
      <w:r>
        <w:rPr>
          <w:i/>
          <w:iCs/>
        </w:rPr>
        <w:t xml:space="preserve">O’Sullivan v </w:t>
      </w:r>
      <w:r w:rsidR="008234DF">
        <w:rPr>
          <w:i/>
          <w:iCs/>
        </w:rPr>
        <w:t>Mantel an Another</w:t>
      </w:r>
      <w:r w:rsidR="008234DF">
        <w:rPr>
          <w:b/>
          <w:bCs/>
          <w:i/>
          <w:iCs/>
        </w:rPr>
        <w:t xml:space="preserve"> </w:t>
      </w:r>
      <w:r w:rsidR="008234DF" w:rsidRPr="003362D5">
        <w:t>1981 (1) SA 664 (W) at 669</w:t>
      </w:r>
      <w:r w:rsidR="00AF06F2" w:rsidRPr="003362D5">
        <w:t xml:space="preserve"> B – C.</w:t>
      </w:r>
    </w:p>
  </w:footnote>
  <w:footnote w:id="3">
    <w:p w14:paraId="36BB59C0" w14:textId="60D6056A" w:rsidR="007B0FDE" w:rsidRPr="00D158E8" w:rsidRDefault="007B0FDE" w:rsidP="006B166E">
      <w:pPr>
        <w:pStyle w:val="FootnoteText"/>
        <w:spacing w:before="120" w:after="120"/>
        <w:ind w:left="284" w:hanging="284"/>
      </w:pPr>
      <w:r>
        <w:rPr>
          <w:rStyle w:val="FootnoteReference"/>
        </w:rPr>
        <w:footnoteRef/>
      </w:r>
      <w:r>
        <w:tab/>
      </w:r>
      <w:r>
        <w:rPr>
          <w:i/>
          <w:iCs/>
        </w:rPr>
        <w:t xml:space="preserve">O’Sullivan </w:t>
      </w:r>
      <w:r>
        <w:rPr>
          <w:i/>
          <w:iCs/>
          <w:u w:val="single"/>
        </w:rPr>
        <w:t>supra</w:t>
      </w:r>
      <w:r>
        <w:t xml:space="preserve">; </w:t>
      </w:r>
      <w:r>
        <w:rPr>
          <w:i/>
          <w:iCs/>
        </w:rPr>
        <w:t>Mak</w:t>
      </w:r>
      <w:r w:rsidR="00A2298E">
        <w:rPr>
          <w:i/>
          <w:iCs/>
        </w:rPr>
        <w:t xml:space="preserve">hubedu and </w:t>
      </w:r>
      <w:r w:rsidR="00B40D1C">
        <w:rPr>
          <w:i/>
          <w:iCs/>
        </w:rPr>
        <w:t>Another v Ebrahim</w:t>
      </w:r>
      <w:r w:rsidR="00B40D1C">
        <w:t xml:space="preserve"> 1947 (3) SA 155</w:t>
      </w:r>
      <w:r w:rsidR="003072BA">
        <w:t>(T)</w:t>
      </w:r>
      <w:r w:rsidR="00846DD8">
        <w:t xml:space="preserve">.  See especially the comments </w:t>
      </w:r>
      <w:r w:rsidR="00D158E8">
        <w:t xml:space="preserve">of </w:t>
      </w:r>
      <w:r w:rsidR="00D158E8" w:rsidRPr="00D158E8">
        <w:t>Blackwell J in</w:t>
      </w:r>
      <w:r w:rsidR="00D158E8">
        <w:t xml:space="preserve"> the dissenting judgment in </w:t>
      </w:r>
      <w:r w:rsidR="00D158E8">
        <w:rPr>
          <w:i/>
          <w:iCs/>
        </w:rPr>
        <w:t xml:space="preserve">Makhubedu </w:t>
      </w:r>
      <w:r w:rsidR="00D158E8">
        <w:t>at p 163.</w:t>
      </w:r>
    </w:p>
  </w:footnote>
  <w:footnote w:id="4">
    <w:p w14:paraId="3684BF69" w14:textId="2F14B3D7" w:rsidR="001642CF" w:rsidRPr="004E5A70" w:rsidRDefault="001642CF" w:rsidP="006B166E">
      <w:pPr>
        <w:pStyle w:val="FootnoteText"/>
        <w:spacing w:before="120" w:after="120"/>
        <w:ind w:left="284" w:hanging="284"/>
      </w:pPr>
      <w:r>
        <w:rPr>
          <w:rStyle w:val="FootnoteReference"/>
        </w:rPr>
        <w:footnoteRef/>
      </w:r>
      <w:r>
        <w:t xml:space="preserve"> </w:t>
      </w:r>
      <w:r w:rsidR="00103386">
        <w:tab/>
        <w:t xml:space="preserve">See for instance </w:t>
      </w:r>
      <w:r w:rsidR="00103386">
        <w:rPr>
          <w:i/>
          <w:iCs/>
        </w:rPr>
        <w:t xml:space="preserve">National </w:t>
      </w:r>
      <w:r w:rsidR="0003201E">
        <w:rPr>
          <w:i/>
          <w:iCs/>
        </w:rPr>
        <w:t>Sorghum</w:t>
      </w:r>
      <w:r w:rsidR="00E43C46">
        <w:rPr>
          <w:i/>
          <w:iCs/>
        </w:rPr>
        <w:t xml:space="preserve"> Breweries Limited (t/a </w:t>
      </w:r>
      <w:r w:rsidR="00552C31">
        <w:rPr>
          <w:i/>
          <w:iCs/>
        </w:rPr>
        <w:t xml:space="preserve">Vivo African Breweries) v International Liquor Distributors </w:t>
      </w:r>
      <w:r w:rsidR="00F9046A">
        <w:rPr>
          <w:i/>
          <w:iCs/>
        </w:rPr>
        <w:t xml:space="preserve">(Pty) Ltd </w:t>
      </w:r>
      <w:r w:rsidR="00F9046A">
        <w:t>2001 (2) SA 232 (SCA)</w:t>
      </w:r>
      <w:r w:rsidR="004E5A70">
        <w:t xml:space="preserve"> in [2]; </w:t>
      </w:r>
      <w:r w:rsidR="004E5A70">
        <w:rPr>
          <w:i/>
          <w:iCs/>
        </w:rPr>
        <w:t>Aon v Van den Heever</w:t>
      </w:r>
      <w:r w:rsidR="004E5A70">
        <w:t xml:space="preserve"> 2018 (6) SA 38 in [22].</w:t>
      </w:r>
    </w:p>
  </w:footnote>
  <w:footnote w:id="5">
    <w:p w14:paraId="5E60C1BC" w14:textId="6EFFEB05" w:rsidR="00B4761F" w:rsidRPr="00F06753" w:rsidRDefault="00B4761F" w:rsidP="006B166E">
      <w:pPr>
        <w:pStyle w:val="FootnoteText"/>
        <w:spacing w:before="120" w:after="120"/>
        <w:ind w:left="284" w:hanging="284"/>
      </w:pPr>
      <w:r>
        <w:rPr>
          <w:rStyle w:val="FootnoteReference"/>
        </w:rPr>
        <w:footnoteRef/>
      </w:r>
      <w:r>
        <w:t xml:space="preserve"> </w:t>
      </w:r>
      <w:r>
        <w:tab/>
        <w:t xml:space="preserve">See also the statements by Lord Hoffman in </w:t>
      </w:r>
      <w:r>
        <w:rPr>
          <w:i/>
          <w:iCs/>
        </w:rPr>
        <w:t xml:space="preserve">Arthur JS Hall &amp; CO </w:t>
      </w:r>
      <w:r>
        <w:t>(</w:t>
      </w:r>
      <w:r w:rsidRPr="00D67711">
        <w:rPr>
          <w:i/>
          <w:iCs/>
        </w:rPr>
        <w:t>a firm)</w:t>
      </w:r>
      <w:r>
        <w:rPr>
          <w:i/>
          <w:iCs/>
        </w:rPr>
        <w:t xml:space="preserve"> v Simons; Barratt v Ansel</w:t>
      </w:r>
      <w:r w:rsidR="003362F1">
        <w:rPr>
          <w:i/>
          <w:iCs/>
        </w:rPr>
        <w:t>l &amp; Others (t/a Woolf Seddon (a firm)); Harris v Scholfield Roberts &amp; Hill (a firm) and Another</w:t>
      </w:r>
      <w:r w:rsidR="003362F1">
        <w:t xml:space="preserve"> [2000] 3 All ER </w:t>
      </w:r>
      <w:r w:rsidR="00C30C35">
        <w:t xml:space="preserve">673 (HL) at 701 c – e, cited in </w:t>
      </w:r>
      <w:r w:rsidR="00C30C35">
        <w:rPr>
          <w:i/>
          <w:iCs/>
        </w:rPr>
        <w:t>CSARS v Hawker</w:t>
      </w:r>
      <w:r w:rsidR="00B86277">
        <w:rPr>
          <w:i/>
          <w:iCs/>
        </w:rPr>
        <w:t xml:space="preserve"> Aviation Services Partnership &amp; Others </w:t>
      </w:r>
      <w:r w:rsidR="00B86277">
        <w:t>2005 (5) SA 283 (T) in [46]</w:t>
      </w:r>
      <w:r w:rsidR="00F06753">
        <w:t xml:space="preserve">.  </w:t>
      </w:r>
      <w:r w:rsidR="00F06753" w:rsidRPr="00F06753">
        <w:t>The matter was overturned on appeal in</w:t>
      </w:r>
      <w:r w:rsidR="00F06753">
        <w:t xml:space="preserve"> </w:t>
      </w:r>
      <w:r w:rsidR="00F06753">
        <w:rPr>
          <w:i/>
          <w:iCs/>
        </w:rPr>
        <w:t xml:space="preserve">CSARS v Hawker Air Services (Pty) Ltd </w:t>
      </w:r>
      <w:r w:rsidR="00F06753">
        <w:t>2006 (4) SA 292 (SCA), but the statements of the principles were not criticised – see para 24 of the SCA Judgment.</w:t>
      </w:r>
    </w:p>
  </w:footnote>
  <w:footnote w:id="6">
    <w:p w14:paraId="28339DA6" w14:textId="17552CEA" w:rsidR="00DE5ADC" w:rsidRPr="005256F4" w:rsidRDefault="00DE5ADC" w:rsidP="006B166E">
      <w:pPr>
        <w:pStyle w:val="FootnoteText"/>
        <w:spacing w:before="120" w:after="120"/>
        <w:ind w:left="284" w:hanging="284"/>
      </w:pPr>
      <w:r>
        <w:rPr>
          <w:rStyle w:val="FootnoteReference"/>
        </w:rPr>
        <w:footnoteRef/>
      </w:r>
      <w:r>
        <w:t xml:space="preserve"> </w:t>
      </w:r>
      <w:r>
        <w:tab/>
      </w:r>
      <w:r w:rsidR="00A52B4B">
        <w:t>G</w:t>
      </w:r>
      <w:r w:rsidRPr="00E31BC0">
        <w:rPr>
          <w:i/>
          <w:iCs/>
        </w:rPr>
        <w:t>o</w:t>
      </w:r>
      <w:r w:rsidR="00E31BC0" w:rsidRPr="00E31BC0">
        <w:rPr>
          <w:i/>
          <w:iCs/>
        </w:rPr>
        <w:t>is t/a Shakespeare’s Pub v Van Zyl</w:t>
      </w:r>
      <w:r w:rsidR="00E31BC0">
        <w:t xml:space="preserve"> 2011 (1) SA 148 (LC) in [32]</w:t>
      </w:r>
      <w:r w:rsidR="005256F4">
        <w:t xml:space="preserve">; </w:t>
      </w:r>
      <w:r w:rsidR="005256F4">
        <w:rPr>
          <w:i/>
          <w:iCs/>
        </w:rPr>
        <w:t>Road Accident Fund v Strydom</w:t>
      </w:r>
      <w:r w:rsidR="005256F4">
        <w:t xml:space="preserve"> 2001 (1) SA 292 (C) at 304 G.</w:t>
      </w:r>
    </w:p>
  </w:footnote>
  <w:footnote w:id="7">
    <w:p w14:paraId="75C1C33B" w14:textId="433BFA2D" w:rsidR="00782150" w:rsidRPr="00782150" w:rsidRDefault="00782150" w:rsidP="006B166E">
      <w:pPr>
        <w:pStyle w:val="FootnoteText"/>
        <w:spacing w:before="120" w:after="120"/>
        <w:ind w:left="284" w:hanging="284"/>
      </w:pPr>
      <w:r>
        <w:rPr>
          <w:rStyle w:val="FootnoteReference"/>
        </w:rPr>
        <w:footnoteRef/>
      </w:r>
      <w:r>
        <w:t xml:space="preserve"> </w:t>
      </w:r>
      <w:r>
        <w:tab/>
      </w:r>
      <w:r>
        <w:rPr>
          <w:i/>
          <w:iCs/>
        </w:rPr>
        <w:t>Reynders v Rand Bank Bpk</w:t>
      </w:r>
      <w:r>
        <w:t xml:space="preserve"> 1978 (2) SA 630 (T) at 639 F.</w:t>
      </w:r>
    </w:p>
  </w:footnote>
  <w:footnote w:id="8">
    <w:p w14:paraId="51C09C99" w14:textId="77777777" w:rsidR="00340921" w:rsidRPr="00615089" w:rsidRDefault="00340921" w:rsidP="006B166E">
      <w:pPr>
        <w:pStyle w:val="FootnoteText"/>
        <w:spacing w:before="120" w:after="120"/>
        <w:ind w:left="284" w:hanging="284"/>
      </w:pPr>
      <w:r>
        <w:rPr>
          <w:rStyle w:val="FootnoteReference"/>
        </w:rPr>
        <w:footnoteRef/>
      </w:r>
      <w:r>
        <w:t xml:space="preserve"> </w:t>
      </w:r>
      <w:r>
        <w:tab/>
      </w:r>
      <w:r>
        <w:rPr>
          <w:i/>
          <w:iCs/>
        </w:rPr>
        <w:t>National Director of Prosecutions v Basson</w:t>
      </w:r>
      <w:r>
        <w:t xml:space="preserve"> [2002] 2 All SA 225 (SCA) in [21].</w:t>
      </w:r>
    </w:p>
  </w:footnote>
  <w:footnote w:id="9">
    <w:p w14:paraId="65446D6D" w14:textId="77777777" w:rsidR="00340921" w:rsidRPr="00667579" w:rsidRDefault="00340921" w:rsidP="006B166E">
      <w:pPr>
        <w:pStyle w:val="FootnoteText"/>
        <w:spacing w:before="120" w:after="120"/>
        <w:ind w:left="284" w:hanging="284"/>
      </w:pPr>
      <w:r>
        <w:rPr>
          <w:rStyle w:val="FootnoteReference"/>
        </w:rPr>
        <w:footnoteRef/>
      </w:r>
      <w:r>
        <w:t xml:space="preserve"> </w:t>
      </w:r>
      <w:r>
        <w:tab/>
      </w:r>
      <w:r>
        <w:rPr>
          <w:i/>
          <w:iCs/>
        </w:rPr>
        <w:t>Phillips and Others v National Director of Public Prosecutions</w:t>
      </w:r>
      <w:r>
        <w:t xml:space="preserve"> 2003 (6) SA 447 (SCA) in [29]; </w:t>
      </w:r>
      <w:r>
        <w:rPr>
          <w:i/>
          <w:iCs/>
        </w:rPr>
        <w:t xml:space="preserve">Recycling and Economic Development Initiative of South African NPC v Minister of Environmental Affairs </w:t>
      </w:r>
      <w:r>
        <w:t>2019 (2) 251 (SCA) in [52].</w:t>
      </w:r>
    </w:p>
  </w:footnote>
  <w:footnote w:id="10">
    <w:p w14:paraId="238214BA" w14:textId="638961D9" w:rsidR="00A91B33" w:rsidRPr="006B166E" w:rsidRDefault="00A91B33" w:rsidP="006B166E">
      <w:pPr>
        <w:pStyle w:val="FootnoteText"/>
        <w:spacing w:before="120" w:after="120"/>
        <w:ind w:left="284" w:hanging="284"/>
      </w:pPr>
      <w:r>
        <w:rPr>
          <w:rStyle w:val="FootnoteReference"/>
        </w:rPr>
        <w:footnoteRef/>
      </w:r>
      <w:r>
        <w:t xml:space="preserve"> </w:t>
      </w:r>
      <w:r>
        <w:tab/>
      </w:r>
      <w:r>
        <w:rPr>
          <w:i/>
          <w:iCs/>
        </w:rPr>
        <w:t xml:space="preserve">Goudini Chrome (Pty) Ltd v </w:t>
      </w:r>
      <w:r w:rsidR="00FD1E4A">
        <w:rPr>
          <w:i/>
          <w:iCs/>
        </w:rPr>
        <w:t>NCC Contracts (Pty) Ltd</w:t>
      </w:r>
      <w:r w:rsidR="00FD1E4A">
        <w:t xml:space="preserve"> 1993 (</w:t>
      </w:r>
      <w:r w:rsidR="006B166E">
        <w:t xml:space="preserve">1) SA 77 (A); </w:t>
      </w:r>
      <w:r w:rsidR="006B166E">
        <w:rPr>
          <w:i/>
          <w:iCs/>
        </w:rPr>
        <w:t>Chetty v Naidoo</w:t>
      </w:r>
      <w:r w:rsidR="006B166E">
        <w:t xml:space="preserve"> 1974 (3) SA 13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330000"/>
      <w:docPartObj>
        <w:docPartGallery w:val="Page Numbers (Top of Page)"/>
        <w:docPartUnique/>
      </w:docPartObj>
    </w:sdtPr>
    <w:sdtEndPr>
      <w:rPr>
        <w:noProof/>
      </w:rPr>
    </w:sdtEndPr>
    <w:sdtContent>
      <w:p w14:paraId="5182714B" w14:textId="108FA7C7" w:rsidR="00A46E1C" w:rsidRDefault="00A46E1C">
        <w:pPr>
          <w:pStyle w:val="Header"/>
          <w:jc w:val="center"/>
        </w:pPr>
        <w:r>
          <w:fldChar w:fldCharType="begin"/>
        </w:r>
        <w:r>
          <w:instrText xml:space="preserve"> PAGE   \* MERGEFORMAT </w:instrText>
        </w:r>
        <w:r>
          <w:fldChar w:fldCharType="separate"/>
        </w:r>
        <w:r w:rsidR="005873C5">
          <w:rPr>
            <w:noProof/>
          </w:rPr>
          <w:t>2</w:t>
        </w:r>
        <w:r>
          <w:rPr>
            <w:noProof/>
          </w:rPr>
          <w:fldChar w:fldCharType="end"/>
        </w:r>
      </w:p>
    </w:sdtContent>
  </w:sdt>
  <w:p w14:paraId="71AF23D4" w14:textId="77777777" w:rsidR="00453AE9" w:rsidRDefault="00453A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83405"/>
    <w:multiLevelType w:val="multilevel"/>
    <w:tmpl w:val="1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0E43DA9"/>
    <w:multiLevelType w:val="hybridMultilevel"/>
    <w:tmpl w:val="949EF7BC"/>
    <w:lvl w:ilvl="0" w:tplc="21087A4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1406694"/>
    <w:multiLevelType w:val="multilevel"/>
    <w:tmpl w:val="48125944"/>
    <w:lvl w:ilvl="0">
      <w:start w:val="1"/>
      <w:numFmt w:val="decimal"/>
      <w:lvlText w:val="[%1]"/>
      <w:lvlJc w:val="left"/>
      <w:pPr>
        <w:tabs>
          <w:tab w:val="num" w:pos="1135"/>
        </w:tabs>
        <w:ind w:left="851" w:hanging="851"/>
      </w:pPr>
      <w:rPr>
        <w:rFonts w:hint="default"/>
      </w:rPr>
    </w:lvl>
    <w:lvl w:ilvl="1">
      <w:start w:val="1"/>
      <w:numFmt w:val="lowerLetter"/>
      <w:lvlText w:val="%2)"/>
      <w:lvlJc w:val="left"/>
      <w:pPr>
        <w:tabs>
          <w:tab w:val="num" w:pos="1418"/>
        </w:tabs>
        <w:ind w:left="1701" w:hanging="850"/>
      </w:pPr>
      <w:rPr>
        <w:rFonts w:hint="default"/>
      </w:rPr>
    </w:lvl>
    <w:lvl w:ilvl="2">
      <w:start w:val="1"/>
      <w:numFmt w:val="lowerRoman"/>
      <w:lvlText w:val="%3)"/>
      <w:lvlJc w:val="left"/>
      <w:pPr>
        <w:tabs>
          <w:tab w:val="num" w:pos="1985"/>
        </w:tabs>
        <w:ind w:left="2835"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97B59D9"/>
    <w:multiLevelType w:val="multilevel"/>
    <w:tmpl w:val="1C09001D"/>
    <w:numStyleLink w:val="Style1"/>
  </w:abstractNum>
  <w:abstractNum w:abstractNumId="4">
    <w:nsid w:val="6EE750B5"/>
    <w:multiLevelType w:val="multilevel"/>
    <w:tmpl w:val="1C2E5DE2"/>
    <w:lvl w:ilvl="0">
      <w:start w:val="1"/>
      <w:numFmt w:val="decimal"/>
      <w:lvlText w:val="[%1]"/>
      <w:lvlJc w:val="left"/>
      <w:pPr>
        <w:tabs>
          <w:tab w:val="num" w:pos="1135"/>
        </w:tabs>
        <w:ind w:left="1135"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A567668"/>
    <w:multiLevelType w:val="multilevel"/>
    <w:tmpl w:val="1C2E5DE2"/>
    <w:lvl w:ilvl="0">
      <w:start w:val="1"/>
      <w:numFmt w:val="decimal"/>
      <w:lvlText w:val="[%1]"/>
      <w:lvlJc w:val="left"/>
      <w:pPr>
        <w:tabs>
          <w:tab w:val="num" w:pos="1135"/>
        </w:tabs>
        <w:ind w:left="1135"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3"/>
  </w:num>
  <w:num w:numId="3">
    <w:abstractNumId w:val="2"/>
  </w:num>
  <w:num w:numId="4">
    <w:abstractNumId w:val="1"/>
  </w:num>
  <w:num w:numId="5">
    <w:abstractNumId w:val="5"/>
  </w:num>
  <w:num w:numId="6">
    <w:abstractNumId w:val="4"/>
  </w:num>
  <w:num w:numId="7">
    <w:abstractNumId w:val="2"/>
    <w:lvlOverride w:ilvl="0">
      <w:lvl w:ilvl="0">
        <w:start w:val="1"/>
        <w:numFmt w:val="decimal"/>
        <w:lvlText w:val="[%1]"/>
        <w:lvlJc w:val="left"/>
        <w:pPr>
          <w:tabs>
            <w:tab w:val="num" w:pos="1135"/>
          </w:tabs>
          <w:ind w:left="851" w:hanging="851"/>
        </w:pPr>
        <w:rPr>
          <w:rFonts w:hint="default"/>
        </w:rPr>
      </w:lvl>
    </w:lvlOverride>
    <w:lvlOverride w:ilvl="1">
      <w:lvl w:ilvl="1">
        <w:start w:val="1"/>
        <w:numFmt w:val="lowerLetter"/>
        <w:lvlText w:val="%2)"/>
        <w:lvlJc w:val="left"/>
        <w:pPr>
          <w:tabs>
            <w:tab w:val="num" w:pos="1418"/>
          </w:tabs>
          <w:ind w:left="1701" w:hanging="850"/>
        </w:pPr>
        <w:rPr>
          <w:rFonts w:hint="default"/>
        </w:rPr>
      </w:lvl>
    </w:lvlOverride>
    <w:lvlOverride w:ilvl="2">
      <w:lvl w:ilvl="2">
        <w:start w:val="1"/>
        <w:numFmt w:val="lowerRoman"/>
        <w:lvlText w:val="%3)"/>
        <w:lvlJc w:val="left"/>
        <w:pPr>
          <w:tabs>
            <w:tab w:val="num" w:pos="1985"/>
          </w:tabs>
          <w:ind w:left="2835" w:hanging="113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2"/>
    <w:lvlOverride w:ilvl="0">
      <w:lvl w:ilvl="0">
        <w:start w:val="1"/>
        <w:numFmt w:val="decimal"/>
        <w:lvlText w:val="[%1]"/>
        <w:lvlJc w:val="left"/>
        <w:pPr>
          <w:tabs>
            <w:tab w:val="num" w:pos="1135"/>
          </w:tabs>
          <w:ind w:left="851" w:hanging="851"/>
        </w:pPr>
        <w:rPr>
          <w:rFonts w:hint="default"/>
        </w:rPr>
      </w:lvl>
    </w:lvlOverride>
    <w:lvlOverride w:ilvl="1">
      <w:lvl w:ilvl="1">
        <w:start w:val="1"/>
        <w:numFmt w:val="lowerLetter"/>
        <w:lvlText w:val="%2)"/>
        <w:lvlJc w:val="left"/>
        <w:pPr>
          <w:tabs>
            <w:tab w:val="num" w:pos="1418"/>
          </w:tabs>
          <w:ind w:left="1701" w:hanging="850"/>
        </w:pPr>
        <w:rPr>
          <w:rFonts w:hint="default"/>
        </w:rPr>
      </w:lvl>
    </w:lvlOverride>
    <w:lvlOverride w:ilvl="2">
      <w:lvl w:ilvl="2">
        <w:start w:val="1"/>
        <w:numFmt w:val="lowerRoman"/>
        <w:lvlText w:val="%3)"/>
        <w:lvlJc w:val="left"/>
        <w:pPr>
          <w:tabs>
            <w:tab w:val="num" w:pos="1985"/>
          </w:tabs>
          <w:ind w:left="2835" w:hanging="113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51"/>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6B9372E-1718-4C6D-8396-DC9E938A3132}"/>
    <w:docVar w:name="dgnword-eventsink" w:val="2813865810880"/>
  </w:docVars>
  <w:rsids>
    <w:rsidRoot w:val="00D47BAD"/>
    <w:rsid w:val="00003108"/>
    <w:rsid w:val="00003389"/>
    <w:rsid w:val="0000536F"/>
    <w:rsid w:val="000059C8"/>
    <w:rsid w:val="00010AD9"/>
    <w:rsid w:val="00021DFD"/>
    <w:rsid w:val="00021E58"/>
    <w:rsid w:val="00026681"/>
    <w:rsid w:val="0002671C"/>
    <w:rsid w:val="00026EC8"/>
    <w:rsid w:val="00027376"/>
    <w:rsid w:val="000275C3"/>
    <w:rsid w:val="0003201E"/>
    <w:rsid w:val="000351DB"/>
    <w:rsid w:val="00035291"/>
    <w:rsid w:val="000355F4"/>
    <w:rsid w:val="00037160"/>
    <w:rsid w:val="00037824"/>
    <w:rsid w:val="000420F3"/>
    <w:rsid w:val="00042CE4"/>
    <w:rsid w:val="00042DEF"/>
    <w:rsid w:val="00043591"/>
    <w:rsid w:val="00046B3C"/>
    <w:rsid w:val="000474BF"/>
    <w:rsid w:val="00047F98"/>
    <w:rsid w:val="00052A03"/>
    <w:rsid w:val="00052CCC"/>
    <w:rsid w:val="00053431"/>
    <w:rsid w:val="00054486"/>
    <w:rsid w:val="00056574"/>
    <w:rsid w:val="00061F77"/>
    <w:rsid w:val="00063D88"/>
    <w:rsid w:val="00063EB3"/>
    <w:rsid w:val="00070A9F"/>
    <w:rsid w:val="00071C85"/>
    <w:rsid w:val="00071EF7"/>
    <w:rsid w:val="0007650E"/>
    <w:rsid w:val="000818A1"/>
    <w:rsid w:val="000909FF"/>
    <w:rsid w:val="000923B2"/>
    <w:rsid w:val="00092E56"/>
    <w:rsid w:val="00094B4C"/>
    <w:rsid w:val="00095A89"/>
    <w:rsid w:val="00096324"/>
    <w:rsid w:val="000A413C"/>
    <w:rsid w:val="000A4613"/>
    <w:rsid w:val="000A7F0B"/>
    <w:rsid w:val="000B0DB5"/>
    <w:rsid w:val="000B1FC7"/>
    <w:rsid w:val="000B34B9"/>
    <w:rsid w:val="000B34BF"/>
    <w:rsid w:val="000B47EF"/>
    <w:rsid w:val="000B48F5"/>
    <w:rsid w:val="000B5275"/>
    <w:rsid w:val="000B7FDD"/>
    <w:rsid w:val="000C01B4"/>
    <w:rsid w:val="000C080D"/>
    <w:rsid w:val="000C168B"/>
    <w:rsid w:val="000C1C17"/>
    <w:rsid w:val="000C3B71"/>
    <w:rsid w:val="000C456A"/>
    <w:rsid w:val="000C64D0"/>
    <w:rsid w:val="000D0CC8"/>
    <w:rsid w:val="000D0DFE"/>
    <w:rsid w:val="000D2D40"/>
    <w:rsid w:val="000D68E9"/>
    <w:rsid w:val="000D6A99"/>
    <w:rsid w:val="000E0D9F"/>
    <w:rsid w:val="000E16DB"/>
    <w:rsid w:val="000E2B37"/>
    <w:rsid w:val="000E4893"/>
    <w:rsid w:val="000E4A53"/>
    <w:rsid w:val="000E7263"/>
    <w:rsid w:val="000F0CC4"/>
    <w:rsid w:val="000F24D8"/>
    <w:rsid w:val="000F30D5"/>
    <w:rsid w:val="000F3C4D"/>
    <w:rsid w:val="000F7E69"/>
    <w:rsid w:val="00101A58"/>
    <w:rsid w:val="00103386"/>
    <w:rsid w:val="00106FA6"/>
    <w:rsid w:val="00110EFF"/>
    <w:rsid w:val="00113D83"/>
    <w:rsid w:val="00113E1B"/>
    <w:rsid w:val="0011437D"/>
    <w:rsid w:val="001176B2"/>
    <w:rsid w:val="00122A1A"/>
    <w:rsid w:val="0012361C"/>
    <w:rsid w:val="0012617F"/>
    <w:rsid w:val="00127641"/>
    <w:rsid w:val="00130A0F"/>
    <w:rsid w:val="00130B9E"/>
    <w:rsid w:val="00132BA8"/>
    <w:rsid w:val="001332FB"/>
    <w:rsid w:val="001339F0"/>
    <w:rsid w:val="00136450"/>
    <w:rsid w:val="00137A44"/>
    <w:rsid w:val="00144B98"/>
    <w:rsid w:val="00146A41"/>
    <w:rsid w:val="00146D2F"/>
    <w:rsid w:val="00153E62"/>
    <w:rsid w:val="00156F5E"/>
    <w:rsid w:val="001642CF"/>
    <w:rsid w:val="001654AC"/>
    <w:rsid w:val="00165F99"/>
    <w:rsid w:val="001660A8"/>
    <w:rsid w:val="00170057"/>
    <w:rsid w:val="00170D2B"/>
    <w:rsid w:val="00171171"/>
    <w:rsid w:val="00171B7A"/>
    <w:rsid w:val="00173DBC"/>
    <w:rsid w:val="00177148"/>
    <w:rsid w:val="00177267"/>
    <w:rsid w:val="00184F22"/>
    <w:rsid w:val="00187C3E"/>
    <w:rsid w:val="001910E5"/>
    <w:rsid w:val="001914D1"/>
    <w:rsid w:val="00193CA0"/>
    <w:rsid w:val="00194F62"/>
    <w:rsid w:val="0019739B"/>
    <w:rsid w:val="001A1EB4"/>
    <w:rsid w:val="001A2C0A"/>
    <w:rsid w:val="001A3E8A"/>
    <w:rsid w:val="001B441E"/>
    <w:rsid w:val="001B5190"/>
    <w:rsid w:val="001C1361"/>
    <w:rsid w:val="001C1CF8"/>
    <w:rsid w:val="001C1F69"/>
    <w:rsid w:val="001C7E4D"/>
    <w:rsid w:val="001D0FE5"/>
    <w:rsid w:val="001D25D6"/>
    <w:rsid w:val="001D40EC"/>
    <w:rsid w:val="001D4791"/>
    <w:rsid w:val="001E5FE0"/>
    <w:rsid w:val="001E6514"/>
    <w:rsid w:val="001E6E26"/>
    <w:rsid w:val="001E7990"/>
    <w:rsid w:val="001F15A8"/>
    <w:rsid w:val="001F1666"/>
    <w:rsid w:val="001F1F08"/>
    <w:rsid w:val="001F327D"/>
    <w:rsid w:val="001F7901"/>
    <w:rsid w:val="00200E0F"/>
    <w:rsid w:val="00203E7C"/>
    <w:rsid w:val="00206D65"/>
    <w:rsid w:val="002074FF"/>
    <w:rsid w:val="002105B3"/>
    <w:rsid w:val="00210888"/>
    <w:rsid w:val="002146DE"/>
    <w:rsid w:val="002156FF"/>
    <w:rsid w:val="00217B2C"/>
    <w:rsid w:val="002209E3"/>
    <w:rsid w:val="00225B26"/>
    <w:rsid w:val="00227D8D"/>
    <w:rsid w:val="00227E7B"/>
    <w:rsid w:val="002301EC"/>
    <w:rsid w:val="00235CC8"/>
    <w:rsid w:val="00237419"/>
    <w:rsid w:val="00237BA7"/>
    <w:rsid w:val="002454A4"/>
    <w:rsid w:val="002467CC"/>
    <w:rsid w:val="00253149"/>
    <w:rsid w:val="00253969"/>
    <w:rsid w:val="00255621"/>
    <w:rsid w:val="0026157E"/>
    <w:rsid w:val="002625BC"/>
    <w:rsid w:val="002653D6"/>
    <w:rsid w:val="00271C78"/>
    <w:rsid w:val="002737DB"/>
    <w:rsid w:val="00273B33"/>
    <w:rsid w:val="00284D39"/>
    <w:rsid w:val="00285261"/>
    <w:rsid w:val="00286C16"/>
    <w:rsid w:val="002878D2"/>
    <w:rsid w:val="002914A9"/>
    <w:rsid w:val="00292207"/>
    <w:rsid w:val="002927D7"/>
    <w:rsid w:val="002935EC"/>
    <w:rsid w:val="00293872"/>
    <w:rsid w:val="0029607C"/>
    <w:rsid w:val="002979D9"/>
    <w:rsid w:val="002A297A"/>
    <w:rsid w:val="002A301B"/>
    <w:rsid w:val="002A3DA3"/>
    <w:rsid w:val="002A654E"/>
    <w:rsid w:val="002A658E"/>
    <w:rsid w:val="002A691A"/>
    <w:rsid w:val="002A7689"/>
    <w:rsid w:val="002A79BA"/>
    <w:rsid w:val="002B6315"/>
    <w:rsid w:val="002C1D74"/>
    <w:rsid w:val="002C2A0C"/>
    <w:rsid w:val="002C3A0A"/>
    <w:rsid w:val="002C40C1"/>
    <w:rsid w:val="002C5D57"/>
    <w:rsid w:val="002C6AE1"/>
    <w:rsid w:val="002C6DAC"/>
    <w:rsid w:val="002D54B8"/>
    <w:rsid w:val="002D585E"/>
    <w:rsid w:val="002D6351"/>
    <w:rsid w:val="002D675A"/>
    <w:rsid w:val="002D7248"/>
    <w:rsid w:val="002E1D27"/>
    <w:rsid w:val="002E1D50"/>
    <w:rsid w:val="002E384D"/>
    <w:rsid w:val="002F0298"/>
    <w:rsid w:val="002F46A9"/>
    <w:rsid w:val="002F7ADB"/>
    <w:rsid w:val="003023A3"/>
    <w:rsid w:val="003029C3"/>
    <w:rsid w:val="00304CD1"/>
    <w:rsid w:val="0030627A"/>
    <w:rsid w:val="003062B2"/>
    <w:rsid w:val="00306738"/>
    <w:rsid w:val="003072BA"/>
    <w:rsid w:val="00307EA8"/>
    <w:rsid w:val="00310910"/>
    <w:rsid w:val="00312215"/>
    <w:rsid w:val="00312B02"/>
    <w:rsid w:val="00315EEA"/>
    <w:rsid w:val="00317680"/>
    <w:rsid w:val="003223A5"/>
    <w:rsid w:val="0032596C"/>
    <w:rsid w:val="003260DF"/>
    <w:rsid w:val="00326BDB"/>
    <w:rsid w:val="00326C3A"/>
    <w:rsid w:val="00327FC6"/>
    <w:rsid w:val="00331200"/>
    <w:rsid w:val="003362D5"/>
    <w:rsid w:val="003362F1"/>
    <w:rsid w:val="00340921"/>
    <w:rsid w:val="00340D0B"/>
    <w:rsid w:val="00340E66"/>
    <w:rsid w:val="00343C2D"/>
    <w:rsid w:val="003447CA"/>
    <w:rsid w:val="00345792"/>
    <w:rsid w:val="00346245"/>
    <w:rsid w:val="00352AF2"/>
    <w:rsid w:val="00353F37"/>
    <w:rsid w:val="00356A0D"/>
    <w:rsid w:val="003612F4"/>
    <w:rsid w:val="0036166E"/>
    <w:rsid w:val="00361FA1"/>
    <w:rsid w:val="003703BA"/>
    <w:rsid w:val="00371098"/>
    <w:rsid w:val="00371B3F"/>
    <w:rsid w:val="0037215E"/>
    <w:rsid w:val="00373E4A"/>
    <w:rsid w:val="003765FC"/>
    <w:rsid w:val="003800C4"/>
    <w:rsid w:val="003809E3"/>
    <w:rsid w:val="00382380"/>
    <w:rsid w:val="00384DDA"/>
    <w:rsid w:val="00387C72"/>
    <w:rsid w:val="003907DC"/>
    <w:rsid w:val="003916CB"/>
    <w:rsid w:val="00392C25"/>
    <w:rsid w:val="00394064"/>
    <w:rsid w:val="003943A1"/>
    <w:rsid w:val="0039719C"/>
    <w:rsid w:val="003A731A"/>
    <w:rsid w:val="003A7709"/>
    <w:rsid w:val="003B1BBF"/>
    <w:rsid w:val="003B4017"/>
    <w:rsid w:val="003B4391"/>
    <w:rsid w:val="003B64EC"/>
    <w:rsid w:val="003B7BCE"/>
    <w:rsid w:val="003C07C2"/>
    <w:rsid w:val="003C1B49"/>
    <w:rsid w:val="003C2559"/>
    <w:rsid w:val="003C29A7"/>
    <w:rsid w:val="003C7E11"/>
    <w:rsid w:val="003D53EB"/>
    <w:rsid w:val="003E24DD"/>
    <w:rsid w:val="003E6908"/>
    <w:rsid w:val="003F144E"/>
    <w:rsid w:val="003F3EC8"/>
    <w:rsid w:val="003F5BC3"/>
    <w:rsid w:val="003F6233"/>
    <w:rsid w:val="00400959"/>
    <w:rsid w:val="00400DA3"/>
    <w:rsid w:val="00401ED3"/>
    <w:rsid w:val="00417467"/>
    <w:rsid w:val="004200F2"/>
    <w:rsid w:val="00420372"/>
    <w:rsid w:val="00421C36"/>
    <w:rsid w:val="004220EA"/>
    <w:rsid w:val="0042224A"/>
    <w:rsid w:val="00422A5D"/>
    <w:rsid w:val="00422F8B"/>
    <w:rsid w:val="00425B82"/>
    <w:rsid w:val="00426267"/>
    <w:rsid w:val="004273EE"/>
    <w:rsid w:val="004323FB"/>
    <w:rsid w:val="00432B32"/>
    <w:rsid w:val="00434FCA"/>
    <w:rsid w:val="0044110A"/>
    <w:rsid w:val="00441A70"/>
    <w:rsid w:val="00442FAD"/>
    <w:rsid w:val="004430F8"/>
    <w:rsid w:val="00443CA8"/>
    <w:rsid w:val="004520ED"/>
    <w:rsid w:val="00453A82"/>
    <w:rsid w:val="00453AE9"/>
    <w:rsid w:val="00456A70"/>
    <w:rsid w:val="00460D3C"/>
    <w:rsid w:val="00460F28"/>
    <w:rsid w:val="00466235"/>
    <w:rsid w:val="0046663B"/>
    <w:rsid w:val="00466CFC"/>
    <w:rsid w:val="00472E72"/>
    <w:rsid w:val="00473942"/>
    <w:rsid w:val="00475183"/>
    <w:rsid w:val="00475B80"/>
    <w:rsid w:val="00475EC4"/>
    <w:rsid w:val="00483430"/>
    <w:rsid w:val="00484F70"/>
    <w:rsid w:val="004874D6"/>
    <w:rsid w:val="004874EA"/>
    <w:rsid w:val="00493C86"/>
    <w:rsid w:val="004954E9"/>
    <w:rsid w:val="00495C47"/>
    <w:rsid w:val="004A064F"/>
    <w:rsid w:val="004A0A99"/>
    <w:rsid w:val="004A22DA"/>
    <w:rsid w:val="004A3D1B"/>
    <w:rsid w:val="004A405F"/>
    <w:rsid w:val="004A64CE"/>
    <w:rsid w:val="004B045F"/>
    <w:rsid w:val="004B53DC"/>
    <w:rsid w:val="004B59FB"/>
    <w:rsid w:val="004B7BFC"/>
    <w:rsid w:val="004C0F18"/>
    <w:rsid w:val="004C46EA"/>
    <w:rsid w:val="004C4E27"/>
    <w:rsid w:val="004C60FB"/>
    <w:rsid w:val="004D0B3D"/>
    <w:rsid w:val="004D58AC"/>
    <w:rsid w:val="004D5B35"/>
    <w:rsid w:val="004E168C"/>
    <w:rsid w:val="004E5A70"/>
    <w:rsid w:val="004E704A"/>
    <w:rsid w:val="004E70EE"/>
    <w:rsid w:val="004E7910"/>
    <w:rsid w:val="004F0A7F"/>
    <w:rsid w:val="004F5171"/>
    <w:rsid w:val="004F59AB"/>
    <w:rsid w:val="004F5A51"/>
    <w:rsid w:val="004F625C"/>
    <w:rsid w:val="00503CEB"/>
    <w:rsid w:val="005049E0"/>
    <w:rsid w:val="00513197"/>
    <w:rsid w:val="005140CC"/>
    <w:rsid w:val="005158B4"/>
    <w:rsid w:val="005165D3"/>
    <w:rsid w:val="00520211"/>
    <w:rsid w:val="0052347C"/>
    <w:rsid w:val="005256F4"/>
    <w:rsid w:val="00527DEB"/>
    <w:rsid w:val="00531F88"/>
    <w:rsid w:val="0053217C"/>
    <w:rsid w:val="0054064C"/>
    <w:rsid w:val="00540B9F"/>
    <w:rsid w:val="00543854"/>
    <w:rsid w:val="005452EC"/>
    <w:rsid w:val="00547690"/>
    <w:rsid w:val="00552C31"/>
    <w:rsid w:val="00555B30"/>
    <w:rsid w:val="00557117"/>
    <w:rsid w:val="00564CC9"/>
    <w:rsid w:val="00565003"/>
    <w:rsid w:val="005653C5"/>
    <w:rsid w:val="00572042"/>
    <w:rsid w:val="005720DC"/>
    <w:rsid w:val="00573317"/>
    <w:rsid w:val="00573427"/>
    <w:rsid w:val="00574341"/>
    <w:rsid w:val="00584194"/>
    <w:rsid w:val="00585C63"/>
    <w:rsid w:val="005873C5"/>
    <w:rsid w:val="0059029D"/>
    <w:rsid w:val="005907D8"/>
    <w:rsid w:val="005911AB"/>
    <w:rsid w:val="005925EA"/>
    <w:rsid w:val="0059357F"/>
    <w:rsid w:val="005968A5"/>
    <w:rsid w:val="00597F78"/>
    <w:rsid w:val="005A20D3"/>
    <w:rsid w:val="005A3D2E"/>
    <w:rsid w:val="005A4CA9"/>
    <w:rsid w:val="005A51C2"/>
    <w:rsid w:val="005B2A08"/>
    <w:rsid w:val="005B2BF6"/>
    <w:rsid w:val="005B58A2"/>
    <w:rsid w:val="005B5C35"/>
    <w:rsid w:val="005C24CB"/>
    <w:rsid w:val="005C2AAE"/>
    <w:rsid w:val="005D0330"/>
    <w:rsid w:val="005D07C6"/>
    <w:rsid w:val="005D13CE"/>
    <w:rsid w:val="005D1A1F"/>
    <w:rsid w:val="005D4B89"/>
    <w:rsid w:val="005D4D20"/>
    <w:rsid w:val="005D5258"/>
    <w:rsid w:val="005D53B7"/>
    <w:rsid w:val="005D5F21"/>
    <w:rsid w:val="005E1494"/>
    <w:rsid w:val="005E241D"/>
    <w:rsid w:val="005E56A0"/>
    <w:rsid w:val="005F12E0"/>
    <w:rsid w:val="00607A14"/>
    <w:rsid w:val="0061090B"/>
    <w:rsid w:val="006130CF"/>
    <w:rsid w:val="00615089"/>
    <w:rsid w:val="006160E6"/>
    <w:rsid w:val="00620D08"/>
    <w:rsid w:val="0062485B"/>
    <w:rsid w:val="00624A5A"/>
    <w:rsid w:val="0062760D"/>
    <w:rsid w:val="0063130B"/>
    <w:rsid w:val="006345D4"/>
    <w:rsid w:val="00634BF6"/>
    <w:rsid w:val="00634C41"/>
    <w:rsid w:val="00634E5A"/>
    <w:rsid w:val="00635A0E"/>
    <w:rsid w:val="00637DE0"/>
    <w:rsid w:val="006416DE"/>
    <w:rsid w:val="00643CA5"/>
    <w:rsid w:val="00643D20"/>
    <w:rsid w:val="00646FAB"/>
    <w:rsid w:val="00652C33"/>
    <w:rsid w:val="006540F0"/>
    <w:rsid w:val="00656480"/>
    <w:rsid w:val="0065682C"/>
    <w:rsid w:val="00656E40"/>
    <w:rsid w:val="006637E8"/>
    <w:rsid w:val="00665173"/>
    <w:rsid w:val="006656F8"/>
    <w:rsid w:val="00666EB5"/>
    <w:rsid w:val="00667579"/>
    <w:rsid w:val="0067528F"/>
    <w:rsid w:val="00682DF8"/>
    <w:rsid w:val="00683419"/>
    <w:rsid w:val="00685606"/>
    <w:rsid w:val="006869A8"/>
    <w:rsid w:val="00687810"/>
    <w:rsid w:val="00690A87"/>
    <w:rsid w:val="00691319"/>
    <w:rsid w:val="00696A88"/>
    <w:rsid w:val="00697703"/>
    <w:rsid w:val="006A13F7"/>
    <w:rsid w:val="006A1E84"/>
    <w:rsid w:val="006A4D4B"/>
    <w:rsid w:val="006A5118"/>
    <w:rsid w:val="006A6F64"/>
    <w:rsid w:val="006A78A6"/>
    <w:rsid w:val="006B166E"/>
    <w:rsid w:val="006B2625"/>
    <w:rsid w:val="006C272A"/>
    <w:rsid w:val="006C697A"/>
    <w:rsid w:val="006D0016"/>
    <w:rsid w:val="006D2EFD"/>
    <w:rsid w:val="006D6F08"/>
    <w:rsid w:val="006E00F2"/>
    <w:rsid w:val="006E1088"/>
    <w:rsid w:val="006E44F4"/>
    <w:rsid w:val="006E6D05"/>
    <w:rsid w:val="006F17B7"/>
    <w:rsid w:val="006F321A"/>
    <w:rsid w:val="006F3723"/>
    <w:rsid w:val="006F63BF"/>
    <w:rsid w:val="006F7CFE"/>
    <w:rsid w:val="007000A5"/>
    <w:rsid w:val="00702BCB"/>
    <w:rsid w:val="007069C8"/>
    <w:rsid w:val="007105D1"/>
    <w:rsid w:val="0071190D"/>
    <w:rsid w:val="0071488E"/>
    <w:rsid w:val="00720C2E"/>
    <w:rsid w:val="00727F72"/>
    <w:rsid w:val="007352F0"/>
    <w:rsid w:val="00735351"/>
    <w:rsid w:val="00742DDA"/>
    <w:rsid w:val="00745BFE"/>
    <w:rsid w:val="0074751D"/>
    <w:rsid w:val="00750633"/>
    <w:rsid w:val="00756761"/>
    <w:rsid w:val="0075799C"/>
    <w:rsid w:val="007645E6"/>
    <w:rsid w:val="00765B9E"/>
    <w:rsid w:val="00765E88"/>
    <w:rsid w:val="00770055"/>
    <w:rsid w:val="00774574"/>
    <w:rsid w:val="007749B2"/>
    <w:rsid w:val="007810D3"/>
    <w:rsid w:val="00782150"/>
    <w:rsid w:val="0078352E"/>
    <w:rsid w:val="007844B2"/>
    <w:rsid w:val="00786F82"/>
    <w:rsid w:val="00787509"/>
    <w:rsid w:val="00792984"/>
    <w:rsid w:val="0079418F"/>
    <w:rsid w:val="00795144"/>
    <w:rsid w:val="0079635F"/>
    <w:rsid w:val="007A1232"/>
    <w:rsid w:val="007A1925"/>
    <w:rsid w:val="007A3C5D"/>
    <w:rsid w:val="007A4DD0"/>
    <w:rsid w:val="007A4FE8"/>
    <w:rsid w:val="007A584F"/>
    <w:rsid w:val="007A6DE6"/>
    <w:rsid w:val="007B0FDE"/>
    <w:rsid w:val="007B111E"/>
    <w:rsid w:val="007B2A7B"/>
    <w:rsid w:val="007B3904"/>
    <w:rsid w:val="007B3BB9"/>
    <w:rsid w:val="007B3F9D"/>
    <w:rsid w:val="007C0DC6"/>
    <w:rsid w:val="007C0F0D"/>
    <w:rsid w:val="007C2758"/>
    <w:rsid w:val="007C4172"/>
    <w:rsid w:val="007C49BF"/>
    <w:rsid w:val="007C5CD2"/>
    <w:rsid w:val="007C5DEB"/>
    <w:rsid w:val="007C6A25"/>
    <w:rsid w:val="007C799F"/>
    <w:rsid w:val="007C7D72"/>
    <w:rsid w:val="007D1552"/>
    <w:rsid w:val="007D4249"/>
    <w:rsid w:val="007D49FE"/>
    <w:rsid w:val="007D4E41"/>
    <w:rsid w:val="007D547D"/>
    <w:rsid w:val="007D6053"/>
    <w:rsid w:val="007D7EC7"/>
    <w:rsid w:val="007E201B"/>
    <w:rsid w:val="007E4330"/>
    <w:rsid w:val="007E502E"/>
    <w:rsid w:val="007E51D7"/>
    <w:rsid w:val="007E5C26"/>
    <w:rsid w:val="007F0FE7"/>
    <w:rsid w:val="007F2AEA"/>
    <w:rsid w:val="007F2FDA"/>
    <w:rsid w:val="007F6B9E"/>
    <w:rsid w:val="00802ACA"/>
    <w:rsid w:val="00802F27"/>
    <w:rsid w:val="00803A38"/>
    <w:rsid w:val="00803F43"/>
    <w:rsid w:val="00804077"/>
    <w:rsid w:val="00805074"/>
    <w:rsid w:val="00805F34"/>
    <w:rsid w:val="0080634E"/>
    <w:rsid w:val="008112AC"/>
    <w:rsid w:val="00811C92"/>
    <w:rsid w:val="008122D9"/>
    <w:rsid w:val="0081257A"/>
    <w:rsid w:val="008140B8"/>
    <w:rsid w:val="00815EE1"/>
    <w:rsid w:val="0081629A"/>
    <w:rsid w:val="00822867"/>
    <w:rsid w:val="008234DF"/>
    <w:rsid w:val="00830888"/>
    <w:rsid w:val="00830F98"/>
    <w:rsid w:val="00831FD8"/>
    <w:rsid w:val="008332EB"/>
    <w:rsid w:val="008348DA"/>
    <w:rsid w:val="00834A74"/>
    <w:rsid w:val="00835497"/>
    <w:rsid w:val="008354D5"/>
    <w:rsid w:val="00836583"/>
    <w:rsid w:val="00837048"/>
    <w:rsid w:val="00840298"/>
    <w:rsid w:val="00841EDD"/>
    <w:rsid w:val="00844CCD"/>
    <w:rsid w:val="00845F22"/>
    <w:rsid w:val="008467C2"/>
    <w:rsid w:val="00846DD8"/>
    <w:rsid w:val="00847285"/>
    <w:rsid w:val="00850197"/>
    <w:rsid w:val="008531D1"/>
    <w:rsid w:val="0085645D"/>
    <w:rsid w:val="00857594"/>
    <w:rsid w:val="00860220"/>
    <w:rsid w:val="00862071"/>
    <w:rsid w:val="008675F3"/>
    <w:rsid w:val="00867A57"/>
    <w:rsid w:val="00871623"/>
    <w:rsid w:val="008726F7"/>
    <w:rsid w:val="008750B7"/>
    <w:rsid w:val="0088623A"/>
    <w:rsid w:val="008873E5"/>
    <w:rsid w:val="008906F4"/>
    <w:rsid w:val="008918FA"/>
    <w:rsid w:val="00892A54"/>
    <w:rsid w:val="00892FBD"/>
    <w:rsid w:val="008948A7"/>
    <w:rsid w:val="0089574B"/>
    <w:rsid w:val="0089585B"/>
    <w:rsid w:val="008A076B"/>
    <w:rsid w:val="008A31F6"/>
    <w:rsid w:val="008A4066"/>
    <w:rsid w:val="008A4B1B"/>
    <w:rsid w:val="008A4FB7"/>
    <w:rsid w:val="008A6D9A"/>
    <w:rsid w:val="008B1300"/>
    <w:rsid w:val="008B3046"/>
    <w:rsid w:val="008B3640"/>
    <w:rsid w:val="008B388E"/>
    <w:rsid w:val="008C0897"/>
    <w:rsid w:val="008C0F7A"/>
    <w:rsid w:val="008D0A95"/>
    <w:rsid w:val="008D128C"/>
    <w:rsid w:val="008D1B03"/>
    <w:rsid w:val="008D2AC2"/>
    <w:rsid w:val="008D2FE7"/>
    <w:rsid w:val="008D314A"/>
    <w:rsid w:val="008D52A7"/>
    <w:rsid w:val="008D7B0C"/>
    <w:rsid w:val="008E64EC"/>
    <w:rsid w:val="008E6715"/>
    <w:rsid w:val="008E71C6"/>
    <w:rsid w:val="008F01D2"/>
    <w:rsid w:val="008F151E"/>
    <w:rsid w:val="008F1877"/>
    <w:rsid w:val="008F2D1B"/>
    <w:rsid w:val="008F3250"/>
    <w:rsid w:val="008F33FC"/>
    <w:rsid w:val="008F5920"/>
    <w:rsid w:val="008F66E3"/>
    <w:rsid w:val="009011B1"/>
    <w:rsid w:val="009033F2"/>
    <w:rsid w:val="009127F7"/>
    <w:rsid w:val="00913BDB"/>
    <w:rsid w:val="009220AB"/>
    <w:rsid w:val="00923342"/>
    <w:rsid w:val="00923835"/>
    <w:rsid w:val="00925006"/>
    <w:rsid w:val="00930A00"/>
    <w:rsid w:val="00932095"/>
    <w:rsid w:val="00933E3A"/>
    <w:rsid w:val="0093446E"/>
    <w:rsid w:val="0093459D"/>
    <w:rsid w:val="009362BB"/>
    <w:rsid w:val="00940175"/>
    <w:rsid w:val="0094695D"/>
    <w:rsid w:val="00946B1E"/>
    <w:rsid w:val="00947819"/>
    <w:rsid w:val="00951FE7"/>
    <w:rsid w:val="0096549D"/>
    <w:rsid w:val="0096627B"/>
    <w:rsid w:val="009663B0"/>
    <w:rsid w:val="009731F7"/>
    <w:rsid w:val="00974681"/>
    <w:rsid w:val="00974696"/>
    <w:rsid w:val="0097583F"/>
    <w:rsid w:val="0097685C"/>
    <w:rsid w:val="00977C8E"/>
    <w:rsid w:val="009836F0"/>
    <w:rsid w:val="00992DDD"/>
    <w:rsid w:val="009933FF"/>
    <w:rsid w:val="0099572A"/>
    <w:rsid w:val="00997EAB"/>
    <w:rsid w:val="009A4763"/>
    <w:rsid w:val="009A4C84"/>
    <w:rsid w:val="009A4FF0"/>
    <w:rsid w:val="009A5096"/>
    <w:rsid w:val="009B003B"/>
    <w:rsid w:val="009B06D4"/>
    <w:rsid w:val="009B30C8"/>
    <w:rsid w:val="009B4CE3"/>
    <w:rsid w:val="009B6FB7"/>
    <w:rsid w:val="009B7528"/>
    <w:rsid w:val="009C0AA8"/>
    <w:rsid w:val="009C3754"/>
    <w:rsid w:val="009C3E93"/>
    <w:rsid w:val="009C7B17"/>
    <w:rsid w:val="009D1AD8"/>
    <w:rsid w:val="009D2FA3"/>
    <w:rsid w:val="009D4ACD"/>
    <w:rsid w:val="009D4E10"/>
    <w:rsid w:val="009D710B"/>
    <w:rsid w:val="009E5A21"/>
    <w:rsid w:val="009E625E"/>
    <w:rsid w:val="009F1204"/>
    <w:rsid w:val="00A00652"/>
    <w:rsid w:val="00A01E9E"/>
    <w:rsid w:val="00A02B3D"/>
    <w:rsid w:val="00A03A61"/>
    <w:rsid w:val="00A052F4"/>
    <w:rsid w:val="00A07B3A"/>
    <w:rsid w:val="00A21AF5"/>
    <w:rsid w:val="00A221E6"/>
    <w:rsid w:val="00A2241D"/>
    <w:rsid w:val="00A2298E"/>
    <w:rsid w:val="00A24196"/>
    <w:rsid w:val="00A26A5C"/>
    <w:rsid w:val="00A270F6"/>
    <w:rsid w:val="00A307C6"/>
    <w:rsid w:val="00A30D0A"/>
    <w:rsid w:val="00A335DB"/>
    <w:rsid w:val="00A37D03"/>
    <w:rsid w:val="00A400BB"/>
    <w:rsid w:val="00A42426"/>
    <w:rsid w:val="00A44567"/>
    <w:rsid w:val="00A44790"/>
    <w:rsid w:val="00A46337"/>
    <w:rsid w:val="00A46E1C"/>
    <w:rsid w:val="00A474AA"/>
    <w:rsid w:val="00A477BF"/>
    <w:rsid w:val="00A47B82"/>
    <w:rsid w:val="00A47DE2"/>
    <w:rsid w:val="00A52B4B"/>
    <w:rsid w:val="00A53CAC"/>
    <w:rsid w:val="00A62809"/>
    <w:rsid w:val="00A62ACD"/>
    <w:rsid w:val="00A65304"/>
    <w:rsid w:val="00A665F2"/>
    <w:rsid w:val="00A701AD"/>
    <w:rsid w:val="00A7327D"/>
    <w:rsid w:val="00A76731"/>
    <w:rsid w:val="00A81691"/>
    <w:rsid w:val="00A818B5"/>
    <w:rsid w:val="00A84082"/>
    <w:rsid w:val="00A8424C"/>
    <w:rsid w:val="00A851AC"/>
    <w:rsid w:val="00A862DC"/>
    <w:rsid w:val="00A871CC"/>
    <w:rsid w:val="00A87854"/>
    <w:rsid w:val="00A9049E"/>
    <w:rsid w:val="00A9151A"/>
    <w:rsid w:val="00A91B33"/>
    <w:rsid w:val="00A92E34"/>
    <w:rsid w:val="00A96290"/>
    <w:rsid w:val="00AA1599"/>
    <w:rsid w:val="00AA6AA7"/>
    <w:rsid w:val="00AA7E6B"/>
    <w:rsid w:val="00AB3FBC"/>
    <w:rsid w:val="00AB649E"/>
    <w:rsid w:val="00AB6751"/>
    <w:rsid w:val="00AB6BE2"/>
    <w:rsid w:val="00AC229F"/>
    <w:rsid w:val="00AC2958"/>
    <w:rsid w:val="00AC33BD"/>
    <w:rsid w:val="00AC4B14"/>
    <w:rsid w:val="00AC5A48"/>
    <w:rsid w:val="00AC7AB4"/>
    <w:rsid w:val="00AD25CE"/>
    <w:rsid w:val="00AD2CBB"/>
    <w:rsid w:val="00AD68AE"/>
    <w:rsid w:val="00AE0C71"/>
    <w:rsid w:val="00AE1A66"/>
    <w:rsid w:val="00AE6D02"/>
    <w:rsid w:val="00AE77EB"/>
    <w:rsid w:val="00AF0019"/>
    <w:rsid w:val="00AF06F2"/>
    <w:rsid w:val="00AF090B"/>
    <w:rsid w:val="00AF29ED"/>
    <w:rsid w:val="00AF381E"/>
    <w:rsid w:val="00B010B9"/>
    <w:rsid w:val="00B01617"/>
    <w:rsid w:val="00B0273D"/>
    <w:rsid w:val="00B050E0"/>
    <w:rsid w:val="00B125D8"/>
    <w:rsid w:val="00B12A82"/>
    <w:rsid w:val="00B12B39"/>
    <w:rsid w:val="00B13379"/>
    <w:rsid w:val="00B144CB"/>
    <w:rsid w:val="00B152A0"/>
    <w:rsid w:val="00B15C56"/>
    <w:rsid w:val="00B1697B"/>
    <w:rsid w:val="00B16B0A"/>
    <w:rsid w:val="00B17A80"/>
    <w:rsid w:val="00B23214"/>
    <w:rsid w:val="00B26602"/>
    <w:rsid w:val="00B305C9"/>
    <w:rsid w:val="00B30619"/>
    <w:rsid w:val="00B30ED6"/>
    <w:rsid w:val="00B3272B"/>
    <w:rsid w:val="00B33D9A"/>
    <w:rsid w:val="00B356AD"/>
    <w:rsid w:val="00B35735"/>
    <w:rsid w:val="00B36629"/>
    <w:rsid w:val="00B367BC"/>
    <w:rsid w:val="00B401CD"/>
    <w:rsid w:val="00B40481"/>
    <w:rsid w:val="00B40D1C"/>
    <w:rsid w:val="00B428B0"/>
    <w:rsid w:val="00B43F61"/>
    <w:rsid w:val="00B4761F"/>
    <w:rsid w:val="00B526EB"/>
    <w:rsid w:val="00B52BA5"/>
    <w:rsid w:val="00B52C1F"/>
    <w:rsid w:val="00B55BE6"/>
    <w:rsid w:val="00B55F4B"/>
    <w:rsid w:val="00B649AB"/>
    <w:rsid w:val="00B71165"/>
    <w:rsid w:val="00B72A97"/>
    <w:rsid w:val="00B73437"/>
    <w:rsid w:val="00B80F0C"/>
    <w:rsid w:val="00B83161"/>
    <w:rsid w:val="00B84E66"/>
    <w:rsid w:val="00B85445"/>
    <w:rsid w:val="00B85625"/>
    <w:rsid w:val="00B86277"/>
    <w:rsid w:val="00B878B2"/>
    <w:rsid w:val="00B87F61"/>
    <w:rsid w:val="00B925C6"/>
    <w:rsid w:val="00B93D5F"/>
    <w:rsid w:val="00B950FB"/>
    <w:rsid w:val="00BA163A"/>
    <w:rsid w:val="00BA174D"/>
    <w:rsid w:val="00BA6FC2"/>
    <w:rsid w:val="00BB23B9"/>
    <w:rsid w:val="00BB2E53"/>
    <w:rsid w:val="00BB3664"/>
    <w:rsid w:val="00BB3A0D"/>
    <w:rsid w:val="00BB48BB"/>
    <w:rsid w:val="00BC0F15"/>
    <w:rsid w:val="00BC18E9"/>
    <w:rsid w:val="00BC7705"/>
    <w:rsid w:val="00BD04A6"/>
    <w:rsid w:val="00BD26A7"/>
    <w:rsid w:val="00BD6237"/>
    <w:rsid w:val="00BD693B"/>
    <w:rsid w:val="00BE3CF2"/>
    <w:rsid w:val="00BE57DE"/>
    <w:rsid w:val="00BE6B1E"/>
    <w:rsid w:val="00BE7DA2"/>
    <w:rsid w:val="00BF048D"/>
    <w:rsid w:val="00BF0A00"/>
    <w:rsid w:val="00BF293D"/>
    <w:rsid w:val="00BF5430"/>
    <w:rsid w:val="00BF7976"/>
    <w:rsid w:val="00C014DF"/>
    <w:rsid w:val="00C05C10"/>
    <w:rsid w:val="00C11CFA"/>
    <w:rsid w:val="00C125F3"/>
    <w:rsid w:val="00C14DE5"/>
    <w:rsid w:val="00C15007"/>
    <w:rsid w:val="00C15FD5"/>
    <w:rsid w:val="00C217AF"/>
    <w:rsid w:val="00C2238E"/>
    <w:rsid w:val="00C226F4"/>
    <w:rsid w:val="00C227ED"/>
    <w:rsid w:val="00C23151"/>
    <w:rsid w:val="00C23C4B"/>
    <w:rsid w:val="00C23CCF"/>
    <w:rsid w:val="00C303E1"/>
    <w:rsid w:val="00C30C35"/>
    <w:rsid w:val="00C32B87"/>
    <w:rsid w:val="00C32E61"/>
    <w:rsid w:val="00C355AB"/>
    <w:rsid w:val="00C36393"/>
    <w:rsid w:val="00C3765A"/>
    <w:rsid w:val="00C37A76"/>
    <w:rsid w:val="00C43110"/>
    <w:rsid w:val="00C4349A"/>
    <w:rsid w:val="00C437B1"/>
    <w:rsid w:val="00C462EF"/>
    <w:rsid w:val="00C62BB6"/>
    <w:rsid w:val="00C648BE"/>
    <w:rsid w:val="00C70188"/>
    <w:rsid w:val="00C713C6"/>
    <w:rsid w:val="00C76BBC"/>
    <w:rsid w:val="00C76F03"/>
    <w:rsid w:val="00C81057"/>
    <w:rsid w:val="00C81BD7"/>
    <w:rsid w:val="00C82E3D"/>
    <w:rsid w:val="00C84132"/>
    <w:rsid w:val="00C84724"/>
    <w:rsid w:val="00C86BE9"/>
    <w:rsid w:val="00C87724"/>
    <w:rsid w:val="00C90018"/>
    <w:rsid w:val="00C916F5"/>
    <w:rsid w:val="00C92CE3"/>
    <w:rsid w:val="00C9364E"/>
    <w:rsid w:val="00C969A3"/>
    <w:rsid w:val="00CA0EF1"/>
    <w:rsid w:val="00CA1164"/>
    <w:rsid w:val="00CA126C"/>
    <w:rsid w:val="00CA1CC0"/>
    <w:rsid w:val="00CA76A4"/>
    <w:rsid w:val="00CA7C32"/>
    <w:rsid w:val="00CB08F4"/>
    <w:rsid w:val="00CB09F5"/>
    <w:rsid w:val="00CB2545"/>
    <w:rsid w:val="00CB3DD9"/>
    <w:rsid w:val="00CB3E6F"/>
    <w:rsid w:val="00CB69B9"/>
    <w:rsid w:val="00CB75D4"/>
    <w:rsid w:val="00CC13D2"/>
    <w:rsid w:val="00CC1B9D"/>
    <w:rsid w:val="00CC4029"/>
    <w:rsid w:val="00CC4A3F"/>
    <w:rsid w:val="00CC6874"/>
    <w:rsid w:val="00CD045E"/>
    <w:rsid w:val="00CD10E6"/>
    <w:rsid w:val="00CD13ED"/>
    <w:rsid w:val="00CD5DD0"/>
    <w:rsid w:val="00CE19ED"/>
    <w:rsid w:val="00CE5359"/>
    <w:rsid w:val="00CE57C0"/>
    <w:rsid w:val="00CE67EF"/>
    <w:rsid w:val="00CF1587"/>
    <w:rsid w:val="00CF24D8"/>
    <w:rsid w:val="00CF3D97"/>
    <w:rsid w:val="00CF3FE3"/>
    <w:rsid w:val="00CF4CBE"/>
    <w:rsid w:val="00CF72F6"/>
    <w:rsid w:val="00CF7DBA"/>
    <w:rsid w:val="00D0031F"/>
    <w:rsid w:val="00D009E6"/>
    <w:rsid w:val="00D03A71"/>
    <w:rsid w:val="00D03C5E"/>
    <w:rsid w:val="00D046F3"/>
    <w:rsid w:val="00D1104B"/>
    <w:rsid w:val="00D158E8"/>
    <w:rsid w:val="00D17877"/>
    <w:rsid w:val="00D20EC0"/>
    <w:rsid w:val="00D21ABF"/>
    <w:rsid w:val="00D243E3"/>
    <w:rsid w:val="00D27819"/>
    <w:rsid w:val="00D3076F"/>
    <w:rsid w:val="00D30F45"/>
    <w:rsid w:val="00D325F2"/>
    <w:rsid w:val="00D32F69"/>
    <w:rsid w:val="00D35436"/>
    <w:rsid w:val="00D357C2"/>
    <w:rsid w:val="00D3672B"/>
    <w:rsid w:val="00D41E20"/>
    <w:rsid w:val="00D438AB"/>
    <w:rsid w:val="00D4543A"/>
    <w:rsid w:val="00D4555F"/>
    <w:rsid w:val="00D460DA"/>
    <w:rsid w:val="00D47BAD"/>
    <w:rsid w:val="00D47EDD"/>
    <w:rsid w:val="00D51CB9"/>
    <w:rsid w:val="00D57863"/>
    <w:rsid w:val="00D62F57"/>
    <w:rsid w:val="00D655FD"/>
    <w:rsid w:val="00D6582B"/>
    <w:rsid w:val="00D6666D"/>
    <w:rsid w:val="00D67711"/>
    <w:rsid w:val="00D75BCD"/>
    <w:rsid w:val="00D76E24"/>
    <w:rsid w:val="00D81201"/>
    <w:rsid w:val="00D81329"/>
    <w:rsid w:val="00D846B4"/>
    <w:rsid w:val="00D90AE2"/>
    <w:rsid w:val="00D91382"/>
    <w:rsid w:val="00D928B0"/>
    <w:rsid w:val="00DA2941"/>
    <w:rsid w:val="00DA556A"/>
    <w:rsid w:val="00DA5FE4"/>
    <w:rsid w:val="00DB3260"/>
    <w:rsid w:val="00DB3648"/>
    <w:rsid w:val="00DB5B38"/>
    <w:rsid w:val="00DB704E"/>
    <w:rsid w:val="00DB749A"/>
    <w:rsid w:val="00DC05BB"/>
    <w:rsid w:val="00DC0AF0"/>
    <w:rsid w:val="00DC3DA6"/>
    <w:rsid w:val="00DC51FF"/>
    <w:rsid w:val="00DD0A7C"/>
    <w:rsid w:val="00DD46EB"/>
    <w:rsid w:val="00DD5782"/>
    <w:rsid w:val="00DD7BF4"/>
    <w:rsid w:val="00DE0CF1"/>
    <w:rsid w:val="00DE5ADC"/>
    <w:rsid w:val="00DE6060"/>
    <w:rsid w:val="00DE72F6"/>
    <w:rsid w:val="00DF0AA3"/>
    <w:rsid w:val="00DF4C2F"/>
    <w:rsid w:val="00DF51B5"/>
    <w:rsid w:val="00E02085"/>
    <w:rsid w:val="00E03871"/>
    <w:rsid w:val="00E1407D"/>
    <w:rsid w:val="00E1467F"/>
    <w:rsid w:val="00E15E44"/>
    <w:rsid w:val="00E171E8"/>
    <w:rsid w:val="00E2180F"/>
    <w:rsid w:val="00E22382"/>
    <w:rsid w:val="00E22F51"/>
    <w:rsid w:val="00E2688B"/>
    <w:rsid w:val="00E2693C"/>
    <w:rsid w:val="00E270D9"/>
    <w:rsid w:val="00E2735F"/>
    <w:rsid w:val="00E31BC0"/>
    <w:rsid w:val="00E335ED"/>
    <w:rsid w:val="00E36FAB"/>
    <w:rsid w:val="00E3703D"/>
    <w:rsid w:val="00E4159E"/>
    <w:rsid w:val="00E43C46"/>
    <w:rsid w:val="00E45411"/>
    <w:rsid w:val="00E45DF8"/>
    <w:rsid w:val="00E4651E"/>
    <w:rsid w:val="00E47FCC"/>
    <w:rsid w:val="00E47FD5"/>
    <w:rsid w:val="00E5055D"/>
    <w:rsid w:val="00E51CF7"/>
    <w:rsid w:val="00E532EB"/>
    <w:rsid w:val="00E555DA"/>
    <w:rsid w:val="00E565C8"/>
    <w:rsid w:val="00E56C6F"/>
    <w:rsid w:val="00E57862"/>
    <w:rsid w:val="00E60117"/>
    <w:rsid w:val="00E655A6"/>
    <w:rsid w:val="00E72DB9"/>
    <w:rsid w:val="00E73792"/>
    <w:rsid w:val="00E83791"/>
    <w:rsid w:val="00E86173"/>
    <w:rsid w:val="00E87DF5"/>
    <w:rsid w:val="00E90FAE"/>
    <w:rsid w:val="00E94014"/>
    <w:rsid w:val="00E94A73"/>
    <w:rsid w:val="00E963BF"/>
    <w:rsid w:val="00EA3942"/>
    <w:rsid w:val="00EA4ADA"/>
    <w:rsid w:val="00EB027B"/>
    <w:rsid w:val="00EB4152"/>
    <w:rsid w:val="00EB4E2F"/>
    <w:rsid w:val="00EC4D1E"/>
    <w:rsid w:val="00EC5440"/>
    <w:rsid w:val="00EC6324"/>
    <w:rsid w:val="00EC6B6F"/>
    <w:rsid w:val="00ED085D"/>
    <w:rsid w:val="00ED2B49"/>
    <w:rsid w:val="00ED45F1"/>
    <w:rsid w:val="00ED6A9A"/>
    <w:rsid w:val="00ED7F0F"/>
    <w:rsid w:val="00EE1888"/>
    <w:rsid w:val="00EE2E1B"/>
    <w:rsid w:val="00EE4971"/>
    <w:rsid w:val="00EE52D1"/>
    <w:rsid w:val="00EE58E2"/>
    <w:rsid w:val="00EE6068"/>
    <w:rsid w:val="00EE62E3"/>
    <w:rsid w:val="00EF05FB"/>
    <w:rsid w:val="00EF06C9"/>
    <w:rsid w:val="00EF4F5F"/>
    <w:rsid w:val="00EF712A"/>
    <w:rsid w:val="00F034E1"/>
    <w:rsid w:val="00F064A6"/>
    <w:rsid w:val="00F06753"/>
    <w:rsid w:val="00F06C92"/>
    <w:rsid w:val="00F1024C"/>
    <w:rsid w:val="00F121A8"/>
    <w:rsid w:val="00F12411"/>
    <w:rsid w:val="00F13D75"/>
    <w:rsid w:val="00F14928"/>
    <w:rsid w:val="00F15A44"/>
    <w:rsid w:val="00F15B48"/>
    <w:rsid w:val="00F20EFC"/>
    <w:rsid w:val="00F2370B"/>
    <w:rsid w:val="00F25F93"/>
    <w:rsid w:val="00F26C0E"/>
    <w:rsid w:val="00F27EF0"/>
    <w:rsid w:val="00F30AC4"/>
    <w:rsid w:val="00F31425"/>
    <w:rsid w:val="00F31AAD"/>
    <w:rsid w:val="00F3264D"/>
    <w:rsid w:val="00F32D73"/>
    <w:rsid w:val="00F37128"/>
    <w:rsid w:val="00F37565"/>
    <w:rsid w:val="00F440E5"/>
    <w:rsid w:val="00F47C32"/>
    <w:rsid w:val="00F50298"/>
    <w:rsid w:val="00F51A7F"/>
    <w:rsid w:val="00F5675D"/>
    <w:rsid w:val="00F57CA2"/>
    <w:rsid w:val="00F621CC"/>
    <w:rsid w:val="00F62A16"/>
    <w:rsid w:val="00F62EA4"/>
    <w:rsid w:val="00F70F78"/>
    <w:rsid w:val="00F7226A"/>
    <w:rsid w:val="00F73D2A"/>
    <w:rsid w:val="00F75A50"/>
    <w:rsid w:val="00F76280"/>
    <w:rsid w:val="00F7674C"/>
    <w:rsid w:val="00F7772F"/>
    <w:rsid w:val="00F77DD1"/>
    <w:rsid w:val="00F81D8B"/>
    <w:rsid w:val="00F83077"/>
    <w:rsid w:val="00F836B4"/>
    <w:rsid w:val="00F8712D"/>
    <w:rsid w:val="00F9046A"/>
    <w:rsid w:val="00F91285"/>
    <w:rsid w:val="00F930FA"/>
    <w:rsid w:val="00F95742"/>
    <w:rsid w:val="00FA07D5"/>
    <w:rsid w:val="00FA3981"/>
    <w:rsid w:val="00FA4499"/>
    <w:rsid w:val="00FA7728"/>
    <w:rsid w:val="00FA7D06"/>
    <w:rsid w:val="00FB1E5F"/>
    <w:rsid w:val="00FB2329"/>
    <w:rsid w:val="00FB52DE"/>
    <w:rsid w:val="00FB66B6"/>
    <w:rsid w:val="00FB7D80"/>
    <w:rsid w:val="00FC1B17"/>
    <w:rsid w:val="00FC2691"/>
    <w:rsid w:val="00FC328F"/>
    <w:rsid w:val="00FC4137"/>
    <w:rsid w:val="00FC48E3"/>
    <w:rsid w:val="00FC4B0D"/>
    <w:rsid w:val="00FD1E4A"/>
    <w:rsid w:val="00FD20FA"/>
    <w:rsid w:val="00FD21C4"/>
    <w:rsid w:val="00FD304A"/>
    <w:rsid w:val="00FD3804"/>
    <w:rsid w:val="00FD38AC"/>
    <w:rsid w:val="00FD5857"/>
    <w:rsid w:val="00FD5935"/>
    <w:rsid w:val="00FD6311"/>
    <w:rsid w:val="00FE0922"/>
    <w:rsid w:val="00FE0DBF"/>
    <w:rsid w:val="00FE1C93"/>
    <w:rsid w:val="00FE39BF"/>
    <w:rsid w:val="00FE53AE"/>
    <w:rsid w:val="00FF3E22"/>
    <w:rsid w:val="00FF458F"/>
    <w:rsid w:val="00FF49D6"/>
    <w:rsid w:val="00FF6F9E"/>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76FD"/>
  <w15:chartTrackingRefBased/>
  <w15:docId w15:val="{880F226F-4D1C-476A-9FDC-75BD0863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360"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2BA8"/>
    <w:pPr>
      <w:keepNext/>
      <w:keepLines/>
      <w:spacing w:before="360"/>
      <w:outlineLvl w:val="0"/>
    </w:pPr>
    <w:rPr>
      <w:rFonts w:ascii="Calibri" w:eastAsiaTheme="majorEastAsia" w:hAnsi="Calibri" w:cstheme="majorBidi"/>
      <w:b/>
      <w:color w:val="000000" w:themeColor="text1"/>
      <w:sz w:val="26"/>
      <w:szCs w:val="32"/>
    </w:rPr>
  </w:style>
  <w:style w:type="paragraph" w:styleId="Heading2">
    <w:name w:val="heading 2"/>
    <w:basedOn w:val="Normal"/>
    <w:next w:val="Normal"/>
    <w:link w:val="Heading2Char"/>
    <w:uiPriority w:val="9"/>
    <w:unhideWhenUsed/>
    <w:qFormat/>
    <w:rsid w:val="00353F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0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475B80"/>
    <w:pPr>
      <w:numPr>
        <w:numId w:val="1"/>
      </w:numPr>
    </w:pPr>
  </w:style>
  <w:style w:type="paragraph" w:styleId="ListParagraph">
    <w:name w:val="List Paragraph"/>
    <w:basedOn w:val="Normal"/>
    <w:uiPriority w:val="34"/>
    <w:qFormat/>
    <w:rsid w:val="00475B80"/>
    <w:pPr>
      <w:ind w:left="720"/>
      <w:contextualSpacing/>
    </w:pPr>
  </w:style>
  <w:style w:type="paragraph" w:styleId="FootnoteText">
    <w:name w:val="footnote text"/>
    <w:basedOn w:val="Normal"/>
    <w:link w:val="FootnoteTextChar"/>
    <w:uiPriority w:val="99"/>
    <w:semiHidden/>
    <w:unhideWhenUsed/>
    <w:rsid w:val="00A47B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7B82"/>
    <w:rPr>
      <w:sz w:val="20"/>
      <w:szCs w:val="20"/>
    </w:rPr>
  </w:style>
  <w:style w:type="character" w:styleId="FootnoteReference">
    <w:name w:val="footnote reference"/>
    <w:basedOn w:val="DefaultParagraphFont"/>
    <w:uiPriority w:val="99"/>
    <w:semiHidden/>
    <w:unhideWhenUsed/>
    <w:rsid w:val="00A47B82"/>
    <w:rPr>
      <w:vertAlign w:val="superscript"/>
    </w:rPr>
  </w:style>
  <w:style w:type="paragraph" w:styleId="Header">
    <w:name w:val="header"/>
    <w:basedOn w:val="Normal"/>
    <w:link w:val="HeaderChar"/>
    <w:uiPriority w:val="99"/>
    <w:unhideWhenUsed/>
    <w:rsid w:val="00453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AE9"/>
  </w:style>
  <w:style w:type="paragraph" w:styleId="Footer">
    <w:name w:val="footer"/>
    <w:basedOn w:val="Normal"/>
    <w:link w:val="FooterChar"/>
    <w:uiPriority w:val="99"/>
    <w:unhideWhenUsed/>
    <w:rsid w:val="00453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AE9"/>
  </w:style>
  <w:style w:type="character" w:customStyle="1" w:styleId="Heading1Char">
    <w:name w:val="Heading 1 Char"/>
    <w:basedOn w:val="DefaultParagraphFont"/>
    <w:link w:val="Heading1"/>
    <w:uiPriority w:val="9"/>
    <w:rsid w:val="00132BA8"/>
    <w:rPr>
      <w:rFonts w:ascii="Calibri" w:eastAsiaTheme="majorEastAsia" w:hAnsi="Calibri" w:cstheme="majorBidi"/>
      <w:b/>
      <w:color w:val="000000" w:themeColor="text1"/>
      <w:sz w:val="26"/>
      <w:szCs w:val="32"/>
    </w:rPr>
  </w:style>
  <w:style w:type="character" w:customStyle="1" w:styleId="Heading2Char">
    <w:name w:val="Heading 2 Char"/>
    <w:basedOn w:val="DefaultParagraphFont"/>
    <w:link w:val="Heading2"/>
    <w:uiPriority w:val="9"/>
    <w:rsid w:val="00353F37"/>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F47C32"/>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72B64-7A47-42CD-B17A-FAE3A176A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Nell</dc:creator>
  <cp:keywords/>
  <dc:description/>
  <cp:lastModifiedBy>Mokone</cp:lastModifiedBy>
  <cp:revision>3</cp:revision>
  <cp:lastPrinted>2023-01-13T16:26:00Z</cp:lastPrinted>
  <dcterms:created xsi:type="dcterms:W3CDTF">2023-01-18T06:46:00Z</dcterms:created>
  <dcterms:modified xsi:type="dcterms:W3CDTF">2023-01-18T06:47:00Z</dcterms:modified>
</cp:coreProperties>
</file>