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7E7A" w14:textId="77777777" w:rsidR="0012023A" w:rsidRPr="00DB2A06" w:rsidRDefault="0012023A" w:rsidP="0012023A">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B46CDD0" w14:textId="77777777" w:rsidR="0012023A" w:rsidRDefault="0012023A" w:rsidP="006C43D7">
      <w:pPr>
        <w:spacing w:after="120" w:line="360" w:lineRule="auto"/>
        <w:jc w:val="center"/>
        <w:rPr>
          <w:rFonts w:cs="Arial"/>
          <w:b/>
          <w:bCs/>
          <w:noProof/>
          <w:lang w:val="en-US"/>
        </w:rPr>
      </w:pPr>
    </w:p>
    <w:p w14:paraId="6D981421" w14:textId="568409F3" w:rsidR="006C43D7" w:rsidRPr="006C43D7" w:rsidRDefault="006C43D7" w:rsidP="006C43D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35BD3591" w:rsidR="006C43D7" w:rsidRPr="006C43D7" w:rsidRDefault="006C43D7" w:rsidP="006C43D7">
      <w:pPr>
        <w:spacing w:line="360" w:lineRule="auto"/>
        <w:jc w:val="right"/>
        <w:rPr>
          <w:b/>
        </w:rPr>
      </w:pPr>
      <w:r w:rsidRPr="006C43D7">
        <w:rPr>
          <w:b/>
        </w:rPr>
        <w:t xml:space="preserve">CASE NO: </w:t>
      </w:r>
      <w:r w:rsidR="00A27A51">
        <w:rPr>
          <w:b/>
        </w:rPr>
        <w:t>20</w:t>
      </w:r>
      <w:r w:rsidR="00E906DE">
        <w:rPr>
          <w:b/>
        </w:rPr>
        <w:t>16</w:t>
      </w:r>
      <w:r w:rsidR="00A27A51">
        <w:rPr>
          <w:b/>
        </w:rPr>
        <w:t>/</w:t>
      </w:r>
      <w:r w:rsidR="00E906DE">
        <w:rPr>
          <w:b/>
        </w:rPr>
        <w:t>32552</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7978650E" w:rsidR="00D645C6" w:rsidRDefault="003D2AC6" w:rsidP="003D2AC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573DD099" w:rsidR="00D645C6" w:rsidRPr="001D3CC2" w:rsidRDefault="003D2AC6" w:rsidP="003D2AC6">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w:t>
                            </w:r>
                            <w:r w:rsidR="0082670C">
                              <w:rPr>
                                <w:rFonts w:ascii="Century Gothic" w:hAnsi="Century Gothic"/>
                                <w:sz w:val="20"/>
                                <w:szCs w:val="20"/>
                              </w:rPr>
                              <w:t xml:space="preserve"> </w:t>
                            </w:r>
                            <w:r w:rsidR="009804FC">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7978650E" w:rsidR="00D645C6" w:rsidRDefault="003D2AC6" w:rsidP="003D2AC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573DD099" w:rsidR="00D645C6" w:rsidRPr="001D3CC2" w:rsidRDefault="003D2AC6" w:rsidP="003D2AC6">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w:t>
                      </w:r>
                      <w:r w:rsidR="0082670C">
                        <w:rPr>
                          <w:rFonts w:ascii="Century Gothic" w:hAnsi="Century Gothic"/>
                          <w:sz w:val="20"/>
                          <w:szCs w:val="20"/>
                        </w:rPr>
                        <w:t xml:space="preserve"> </w:t>
                      </w:r>
                      <w:r w:rsidR="009804FC">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7A1D60" w14:paraId="4E86F7E7" w14:textId="77777777" w:rsidTr="00F4468A">
        <w:tc>
          <w:tcPr>
            <w:tcW w:w="6305" w:type="dxa"/>
          </w:tcPr>
          <w:p w14:paraId="74EE3EDE" w14:textId="00EC9095" w:rsidR="002104BF" w:rsidRPr="0089562F" w:rsidRDefault="00E906DE" w:rsidP="00AA7A76">
            <w:pPr>
              <w:spacing w:line="480" w:lineRule="auto"/>
              <w:jc w:val="both"/>
              <w:rPr>
                <w:rFonts w:cs="Arial"/>
                <w:b/>
                <w:szCs w:val="22"/>
              </w:rPr>
            </w:pPr>
            <w:r>
              <w:rPr>
                <w:rFonts w:cs="Arial"/>
                <w:b/>
                <w:szCs w:val="22"/>
              </w:rPr>
              <w:t>MAHLO, NONTSISI LYDIA</w:t>
            </w:r>
          </w:p>
        </w:tc>
        <w:tc>
          <w:tcPr>
            <w:tcW w:w="2246" w:type="dxa"/>
          </w:tcPr>
          <w:p w14:paraId="72EECEF8" w14:textId="72FDBD97" w:rsidR="002104BF" w:rsidRDefault="00C00276" w:rsidP="00E61081">
            <w:pPr>
              <w:spacing w:line="480" w:lineRule="auto"/>
              <w:rPr>
                <w:rFonts w:cs="Arial"/>
                <w:szCs w:val="22"/>
              </w:rPr>
            </w:pPr>
            <w:r>
              <w:rPr>
                <w:rFonts w:cs="Arial"/>
                <w:szCs w:val="22"/>
              </w:rPr>
              <w:t>Plaintiff</w:t>
            </w:r>
          </w:p>
        </w:tc>
      </w:tr>
      <w:tr w:rsidR="007A1D60" w14:paraId="64E42908" w14:textId="77777777" w:rsidTr="00F4468A">
        <w:tc>
          <w:tcPr>
            <w:tcW w:w="6305" w:type="dxa"/>
          </w:tcPr>
          <w:p w14:paraId="6E1E5BEB" w14:textId="42B97C2B" w:rsidR="002104BF" w:rsidRPr="00A22A14" w:rsidRDefault="00A22A14" w:rsidP="00A22A14">
            <w:pPr>
              <w:spacing w:line="480" w:lineRule="auto"/>
              <w:jc w:val="both"/>
              <w:rPr>
                <w:szCs w:val="22"/>
              </w:rPr>
            </w:pPr>
            <w:r>
              <w:rPr>
                <w:szCs w:val="22"/>
              </w:rPr>
              <w:t>a</w:t>
            </w:r>
            <w:r w:rsidR="002104BF" w:rsidRPr="00A22A14">
              <w:rPr>
                <w:szCs w:val="22"/>
              </w:rPr>
              <w:t>nd</w:t>
            </w:r>
            <w:r>
              <w:rPr>
                <w:szCs w:val="22"/>
              </w:rPr>
              <w:t xml:space="preserve">  </w:t>
            </w:r>
          </w:p>
        </w:tc>
        <w:tc>
          <w:tcPr>
            <w:tcW w:w="2246" w:type="dxa"/>
          </w:tcPr>
          <w:p w14:paraId="1DB932F2" w14:textId="77777777" w:rsidR="002104BF" w:rsidRDefault="002104BF" w:rsidP="007237D1">
            <w:pPr>
              <w:spacing w:line="480" w:lineRule="auto"/>
              <w:jc w:val="right"/>
              <w:rPr>
                <w:rFonts w:cs="Arial"/>
                <w:szCs w:val="22"/>
              </w:rPr>
            </w:pPr>
          </w:p>
        </w:tc>
      </w:tr>
      <w:tr w:rsidR="007A1D60" w14:paraId="3BCAF70A" w14:textId="77777777" w:rsidTr="00F4468A">
        <w:tc>
          <w:tcPr>
            <w:tcW w:w="6305" w:type="dxa"/>
          </w:tcPr>
          <w:p w14:paraId="0E8BF73D" w14:textId="1D37C943" w:rsidR="002104BF" w:rsidRDefault="00E906DE" w:rsidP="00C549F4">
            <w:pPr>
              <w:spacing w:line="480" w:lineRule="auto"/>
              <w:jc w:val="both"/>
              <w:rPr>
                <w:b/>
                <w:szCs w:val="22"/>
              </w:rPr>
            </w:pPr>
            <w:r>
              <w:rPr>
                <w:b/>
                <w:szCs w:val="22"/>
              </w:rPr>
              <w:t>ROAD ACCIDENT FUND</w:t>
            </w:r>
          </w:p>
        </w:tc>
        <w:tc>
          <w:tcPr>
            <w:tcW w:w="2246" w:type="dxa"/>
          </w:tcPr>
          <w:p w14:paraId="2A989CFA" w14:textId="37DE3EED" w:rsidR="002104BF" w:rsidRDefault="007A1D60" w:rsidP="00E61081">
            <w:pPr>
              <w:spacing w:line="480" w:lineRule="auto"/>
              <w:rPr>
                <w:rFonts w:cs="Arial"/>
                <w:szCs w:val="22"/>
              </w:rPr>
            </w:pPr>
            <w:r>
              <w:rPr>
                <w:rFonts w:cs="Arial"/>
                <w:szCs w:val="22"/>
              </w:rPr>
              <w:t>Defendant</w:t>
            </w:r>
          </w:p>
        </w:tc>
      </w:tr>
    </w:tbl>
    <w:p w14:paraId="4D632D47" w14:textId="70CCEB16" w:rsidR="00F9202F" w:rsidRDefault="00F9202F" w:rsidP="006C43D7">
      <w:pPr>
        <w:pBdr>
          <w:bottom w:val="single" w:sz="4" w:space="1" w:color="auto"/>
        </w:pBdr>
        <w:spacing w:line="360" w:lineRule="auto"/>
        <w:jc w:val="both"/>
        <w:rPr>
          <w:rFonts w:cs="Arial"/>
          <w:szCs w:val="22"/>
        </w:rPr>
      </w:pPr>
    </w:p>
    <w:p w14:paraId="00639339" w14:textId="77777777" w:rsidR="00F9202F" w:rsidRDefault="00F9202F" w:rsidP="006C43D7">
      <w:pPr>
        <w:pBdr>
          <w:bottom w:val="single" w:sz="4" w:space="1" w:color="auto"/>
        </w:pBdr>
        <w:spacing w:line="360" w:lineRule="auto"/>
        <w:jc w:val="both"/>
        <w:rPr>
          <w:rFonts w:cs="Arial"/>
          <w:szCs w:val="22"/>
        </w:rPr>
      </w:pPr>
    </w:p>
    <w:p w14:paraId="64CFD117" w14:textId="77777777" w:rsidR="00CE6301" w:rsidRPr="006C43D7" w:rsidRDefault="00CE6301"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0B0FA989" w:rsidR="00C460A0" w:rsidRDefault="00C460A0" w:rsidP="00653BA4">
      <w:pPr>
        <w:keepNext/>
        <w:spacing w:after="480" w:line="480" w:lineRule="auto"/>
        <w:jc w:val="both"/>
        <w:rPr>
          <w:rFonts w:cs="Arial"/>
          <w:bCs/>
          <w:i/>
          <w:iCs/>
          <w:szCs w:val="20"/>
          <w:u w:val="single"/>
        </w:rPr>
      </w:pPr>
      <w:r w:rsidRPr="003D19C3">
        <w:rPr>
          <w:rFonts w:cs="Arial"/>
          <w:bCs/>
          <w:i/>
          <w:iCs/>
          <w:szCs w:val="20"/>
          <w:u w:val="single"/>
        </w:rPr>
        <w:lastRenderedPageBreak/>
        <w:t>Summary</w:t>
      </w:r>
    </w:p>
    <w:p w14:paraId="72E791A2" w14:textId="712FBE4D" w:rsidR="00123566" w:rsidRPr="00123566" w:rsidRDefault="009804FC" w:rsidP="00653BA4">
      <w:pPr>
        <w:keepNext/>
        <w:spacing w:after="480" w:line="480" w:lineRule="auto"/>
        <w:jc w:val="both"/>
        <w:rPr>
          <w:rFonts w:cs="Arial"/>
          <w:bCs/>
          <w:i/>
          <w:iCs/>
          <w:szCs w:val="20"/>
        </w:rPr>
      </w:pPr>
      <w:r>
        <w:rPr>
          <w:rFonts w:cs="Arial"/>
          <w:bCs/>
          <w:i/>
          <w:iCs/>
          <w:szCs w:val="20"/>
        </w:rPr>
        <w:t xml:space="preserve">Mora interest – rate 9.75% in February 2023 – Where defendant is liable to make payment 180 days after order mora interest is ordered to run </w:t>
      </w:r>
      <w:r w:rsidR="00E906DE">
        <w:rPr>
          <w:rFonts w:cs="Arial"/>
          <w:bCs/>
          <w:i/>
          <w:iCs/>
          <w:szCs w:val="20"/>
        </w:rPr>
        <w:t>from the expiry of the 180 day period</w:t>
      </w:r>
    </w:p>
    <w:p w14:paraId="441492A8" w14:textId="3373CCC2" w:rsidR="00C9310B" w:rsidRPr="003D19C3" w:rsidRDefault="00C9310B" w:rsidP="009869F2">
      <w:pPr>
        <w:spacing w:after="480" w:line="480" w:lineRule="auto"/>
        <w:jc w:val="both"/>
        <w:rPr>
          <w:rFonts w:cs="Arial"/>
          <w:bCs/>
          <w:i/>
          <w:iCs/>
          <w:szCs w:val="20"/>
        </w:rPr>
      </w:pPr>
    </w:p>
    <w:p w14:paraId="18AFD427" w14:textId="35E99A54"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25A66E53" w14:textId="7BE69061" w:rsidR="00DC6EF8" w:rsidRPr="009804FC" w:rsidRDefault="003D2AC6" w:rsidP="003D2AC6">
      <w:pPr>
        <w:tabs>
          <w:tab w:val="left" w:pos="567"/>
        </w:tabs>
        <w:spacing w:after="480" w:line="480" w:lineRule="auto"/>
        <w:jc w:val="both"/>
        <w:rPr>
          <w:rFonts w:cs="Arial"/>
          <w:bCs/>
          <w:i/>
          <w:iCs/>
          <w:szCs w:val="22"/>
        </w:rPr>
      </w:pPr>
      <w:r w:rsidRPr="009804FC">
        <w:rPr>
          <w:rFonts w:cs="Arial"/>
          <w:bCs/>
          <w:iCs/>
          <w:szCs w:val="22"/>
        </w:rPr>
        <w:t>[1]</w:t>
      </w:r>
      <w:r w:rsidRPr="009804FC">
        <w:rPr>
          <w:rFonts w:cs="Arial"/>
          <w:bCs/>
          <w:iCs/>
          <w:szCs w:val="22"/>
        </w:rPr>
        <w:tab/>
      </w:r>
      <w:r w:rsidR="003B4100">
        <w:rPr>
          <w:rFonts w:cs="Arial"/>
          <w:bCs/>
          <w:szCs w:val="22"/>
        </w:rPr>
        <w:t xml:space="preserve">In this </w:t>
      </w:r>
      <w:r w:rsidR="00B56906">
        <w:rPr>
          <w:rFonts w:cs="Arial"/>
          <w:bCs/>
          <w:szCs w:val="22"/>
        </w:rPr>
        <w:t xml:space="preserve">matter </w:t>
      </w:r>
      <w:r w:rsidR="00C460A0">
        <w:rPr>
          <w:rFonts w:cs="Arial"/>
          <w:bCs/>
          <w:szCs w:val="22"/>
        </w:rPr>
        <w:t>I ma</w:t>
      </w:r>
      <w:r w:rsidR="009804FC">
        <w:rPr>
          <w:rFonts w:cs="Arial"/>
          <w:bCs/>
          <w:szCs w:val="22"/>
        </w:rPr>
        <w:t>d</w:t>
      </w:r>
      <w:r w:rsidR="00DC6EF8">
        <w:rPr>
          <w:rFonts w:cs="Arial"/>
          <w:bCs/>
          <w:szCs w:val="22"/>
        </w:rPr>
        <w:t>e</w:t>
      </w:r>
      <w:r w:rsidR="00C460A0">
        <w:rPr>
          <w:rFonts w:cs="Arial"/>
          <w:bCs/>
          <w:szCs w:val="22"/>
        </w:rPr>
        <w:t xml:space="preserve"> the following order</w:t>
      </w:r>
      <w:r w:rsidR="009804FC">
        <w:rPr>
          <w:rFonts w:cs="Arial"/>
          <w:bCs/>
          <w:szCs w:val="22"/>
        </w:rPr>
        <w:t xml:space="preserve"> after hearing argument on 24 February 2023</w:t>
      </w:r>
      <w:r w:rsidR="00C460A0">
        <w:rPr>
          <w:rFonts w:cs="Arial"/>
          <w:bCs/>
          <w:szCs w:val="22"/>
        </w:rPr>
        <w:t>:</w:t>
      </w:r>
    </w:p>
    <w:p w14:paraId="6694CECF" w14:textId="77777777" w:rsidR="009804FC" w:rsidRPr="009804FC" w:rsidRDefault="009804FC" w:rsidP="009804FC">
      <w:pPr>
        <w:rPr>
          <w:i/>
          <w:iCs/>
        </w:rPr>
      </w:pPr>
      <w:r w:rsidRPr="009804FC">
        <w:rPr>
          <w:i/>
          <w:iCs/>
        </w:rPr>
        <w:t>1</w:t>
      </w:r>
      <w:r w:rsidRPr="009804FC">
        <w:rPr>
          <w:i/>
          <w:iCs/>
        </w:rPr>
        <w:tab/>
        <w:t>The Defendant is liable to compensate the Plaintiff for 100% (One Hundred Percent) of the proven delictual damages suffered as a result of the motor vehicle collision which occurred on 12 September 2015.</w:t>
      </w:r>
    </w:p>
    <w:p w14:paraId="75CEDA80" w14:textId="77777777" w:rsidR="009804FC" w:rsidRPr="009804FC" w:rsidRDefault="009804FC" w:rsidP="009804FC">
      <w:pPr>
        <w:rPr>
          <w:i/>
          <w:iCs/>
        </w:rPr>
      </w:pPr>
    </w:p>
    <w:p w14:paraId="1BA151A5" w14:textId="77777777" w:rsidR="009804FC" w:rsidRPr="009804FC" w:rsidRDefault="009804FC" w:rsidP="009804FC">
      <w:pPr>
        <w:rPr>
          <w:i/>
          <w:iCs/>
        </w:rPr>
      </w:pPr>
      <w:r w:rsidRPr="009804FC">
        <w:rPr>
          <w:i/>
          <w:iCs/>
        </w:rPr>
        <w:t>2.</w:t>
      </w:r>
      <w:r w:rsidRPr="009804FC">
        <w:rPr>
          <w:i/>
          <w:iCs/>
        </w:rPr>
        <w:tab/>
        <w:t xml:space="preserve">The issue pertaining to Past Hospital &amp; Medical Expenses is separated in terms of Rule 33(4) from all the other heads of damages and is postponed sine die. </w:t>
      </w:r>
    </w:p>
    <w:p w14:paraId="16C5E536" w14:textId="77777777" w:rsidR="009804FC" w:rsidRPr="009804FC" w:rsidRDefault="009804FC" w:rsidP="009804FC">
      <w:pPr>
        <w:rPr>
          <w:i/>
          <w:iCs/>
        </w:rPr>
      </w:pPr>
    </w:p>
    <w:p w14:paraId="40F6F9EC" w14:textId="77777777" w:rsidR="009804FC" w:rsidRPr="009804FC" w:rsidRDefault="009804FC" w:rsidP="009804FC">
      <w:pPr>
        <w:rPr>
          <w:i/>
          <w:iCs/>
        </w:rPr>
      </w:pPr>
      <w:r w:rsidRPr="009804FC">
        <w:rPr>
          <w:i/>
          <w:iCs/>
        </w:rPr>
        <w:t>3</w:t>
      </w:r>
      <w:bookmarkStart w:id="0" w:name="_GoBack"/>
      <w:bookmarkEnd w:id="0"/>
      <w:r w:rsidRPr="009804FC">
        <w:rPr>
          <w:i/>
          <w:iCs/>
        </w:rPr>
        <w:t xml:space="preserve">. </w:t>
      </w:r>
      <w:r w:rsidRPr="009804FC">
        <w:rPr>
          <w:i/>
          <w:iCs/>
        </w:rPr>
        <w:tab/>
        <w:t xml:space="preserve">The Defendant shall pay the capital amount of R776 940.00 (Seven Hundred and Seventy Six Thousand, Nine Hundred and Forty Rand) in full and final payment of the issues of Loss of Earnings and General Damages, which amount is calculated as follows: </w:t>
      </w:r>
    </w:p>
    <w:p w14:paraId="5DDE9A24" w14:textId="77777777" w:rsidR="009804FC" w:rsidRPr="009804FC" w:rsidRDefault="009804FC" w:rsidP="009804FC">
      <w:pPr>
        <w:rPr>
          <w:i/>
          <w:iCs/>
        </w:rPr>
      </w:pPr>
      <w:r w:rsidRPr="009804FC">
        <w:rPr>
          <w:i/>
          <w:iCs/>
        </w:rPr>
        <w:t xml:space="preserve"> </w:t>
      </w:r>
      <w:r w:rsidRPr="009804FC">
        <w:rPr>
          <w:i/>
          <w:iCs/>
        </w:rPr>
        <w:tab/>
      </w:r>
    </w:p>
    <w:p w14:paraId="3FCC34E4" w14:textId="77777777" w:rsidR="009804FC" w:rsidRPr="009804FC" w:rsidRDefault="009804FC" w:rsidP="009804FC">
      <w:pPr>
        <w:rPr>
          <w:i/>
          <w:iCs/>
        </w:rPr>
      </w:pPr>
      <w:r w:rsidRPr="009804FC">
        <w:rPr>
          <w:i/>
          <w:iCs/>
        </w:rPr>
        <w:tab/>
        <w:t>3.1</w:t>
      </w:r>
      <w:r w:rsidRPr="009804FC">
        <w:rPr>
          <w:i/>
          <w:iCs/>
        </w:rPr>
        <w:tab/>
        <w:t>Past Loss of Earnings:</w:t>
      </w:r>
      <w:r w:rsidRPr="009804FC">
        <w:rPr>
          <w:i/>
          <w:iCs/>
        </w:rPr>
        <w:tab/>
      </w:r>
      <w:r w:rsidRPr="009804FC">
        <w:rPr>
          <w:i/>
          <w:iCs/>
        </w:rPr>
        <w:tab/>
      </w:r>
      <w:r w:rsidRPr="009804FC">
        <w:rPr>
          <w:i/>
          <w:iCs/>
        </w:rPr>
        <w:tab/>
      </w:r>
      <w:r w:rsidRPr="009804FC">
        <w:rPr>
          <w:i/>
          <w:iCs/>
        </w:rPr>
        <w:tab/>
        <w:t>R  79 400.00</w:t>
      </w:r>
    </w:p>
    <w:p w14:paraId="1815D231" w14:textId="77777777" w:rsidR="009804FC" w:rsidRPr="009804FC" w:rsidRDefault="009804FC" w:rsidP="009804FC">
      <w:pPr>
        <w:rPr>
          <w:i/>
          <w:iCs/>
        </w:rPr>
      </w:pPr>
      <w:r w:rsidRPr="009804FC">
        <w:rPr>
          <w:i/>
          <w:iCs/>
        </w:rPr>
        <w:tab/>
        <w:t>3.2</w:t>
      </w:r>
      <w:r w:rsidRPr="009804FC">
        <w:rPr>
          <w:i/>
          <w:iCs/>
        </w:rPr>
        <w:tab/>
        <w:t>Future Loss of Earnings:</w:t>
      </w:r>
      <w:r w:rsidRPr="009804FC">
        <w:rPr>
          <w:i/>
          <w:iCs/>
        </w:rPr>
        <w:tab/>
      </w:r>
      <w:r w:rsidRPr="009804FC">
        <w:rPr>
          <w:i/>
          <w:iCs/>
        </w:rPr>
        <w:tab/>
      </w:r>
      <w:r w:rsidRPr="009804FC">
        <w:rPr>
          <w:i/>
          <w:iCs/>
        </w:rPr>
        <w:tab/>
      </w:r>
      <w:r w:rsidRPr="009804FC">
        <w:rPr>
          <w:i/>
          <w:iCs/>
        </w:rPr>
        <w:tab/>
        <w:t>R197 540.00</w:t>
      </w:r>
    </w:p>
    <w:p w14:paraId="182D6098" w14:textId="77777777" w:rsidR="009804FC" w:rsidRPr="009804FC" w:rsidRDefault="009804FC" w:rsidP="009804FC">
      <w:pPr>
        <w:rPr>
          <w:i/>
          <w:iCs/>
        </w:rPr>
      </w:pPr>
      <w:r w:rsidRPr="009804FC">
        <w:rPr>
          <w:i/>
          <w:iCs/>
        </w:rPr>
        <w:tab/>
        <w:t>3.3</w:t>
      </w:r>
      <w:r w:rsidRPr="009804FC">
        <w:rPr>
          <w:i/>
          <w:iCs/>
        </w:rPr>
        <w:tab/>
        <w:t>General Damages:</w:t>
      </w:r>
      <w:r w:rsidRPr="009804FC">
        <w:rPr>
          <w:i/>
          <w:iCs/>
        </w:rPr>
        <w:tab/>
      </w:r>
      <w:r w:rsidRPr="009804FC">
        <w:rPr>
          <w:i/>
          <w:iCs/>
        </w:rPr>
        <w:tab/>
      </w:r>
      <w:r w:rsidRPr="009804FC">
        <w:rPr>
          <w:i/>
          <w:iCs/>
        </w:rPr>
        <w:tab/>
      </w:r>
      <w:r w:rsidRPr="009804FC">
        <w:rPr>
          <w:i/>
          <w:iCs/>
        </w:rPr>
        <w:tab/>
      </w:r>
      <w:r w:rsidRPr="009804FC">
        <w:rPr>
          <w:i/>
          <w:iCs/>
        </w:rPr>
        <w:tab/>
        <w:t>R500 000.00</w:t>
      </w:r>
    </w:p>
    <w:p w14:paraId="1FDF62F0" w14:textId="77777777" w:rsidR="009804FC" w:rsidRPr="009804FC" w:rsidRDefault="009804FC" w:rsidP="009804FC">
      <w:pPr>
        <w:rPr>
          <w:i/>
          <w:iCs/>
        </w:rPr>
      </w:pPr>
      <w:r w:rsidRPr="009804FC">
        <w:rPr>
          <w:i/>
          <w:iCs/>
        </w:rPr>
        <w:tab/>
        <w:t>3.4</w:t>
      </w:r>
      <w:r w:rsidRPr="009804FC">
        <w:rPr>
          <w:i/>
          <w:iCs/>
        </w:rPr>
        <w:tab/>
        <w:t>Total:</w:t>
      </w:r>
      <w:r w:rsidRPr="009804FC">
        <w:rPr>
          <w:i/>
          <w:iCs/>
        </w:rPr>
        <w:tab/>
      </w:r>
      <w:r w:rsidRPr="009804FC">
        <w:rPr>
          <w:i/>
          <w:iCs/>
        </w:rPr>
        <w:tab/>
      </w:r>
      <w:r w:rsidRPr="009804FC">
        <w:rPr>
          <w:i/>
          <w:iCs/>
        </w:rPr>
        <w:tab/>
      </w:r>
      <w:r w:rsidRPr="009804FC">
        <w:rPr>
          <w:i/>
          <w:iCs/>
        </w:rPr>
        <w:tab/>
      </w:r>
      <w:r w:rsidRPr="009804FC">
        <w:rPr>
          <w:i/>
          <w:iCs/>
        </w:rPr>
        <w:tab/>
      </w:r>
      <w:r w:rsidRPr="009804FC">
        <w:rPr>
          <w:i/>
          <w:iCs/>
        </w:rPr>
        <w:tab/>
      </w:r>
      <w:r w:rsidRPr="009804FC">
        <w:rPr>
          <w:i/>
          <w:iCs/>
        </w:rPr>
        <w:tab/>
        <w:t>R776 940.00</w:t>
      </w:r>
    </w:p>
    <w:p w14:paraId="57E3621C" w14:textId="77777777" w:rsidR="009804FC" w:rsidRPr="009804FC" w:rsidRDefault="009804FC" w:rsidP="009804FC">
      <w:pPr>
        <w:rPr>
          <w:i/>
          <w:iCs/>
        </w:rPr>
      </w:pPr>
    </w:p>
    <w:p w14:paraId="4937AC9B" w14:textId="77777777" w:rsidR="009804FC" w:rsidRPr="009804FC" w:rsidRDefault="009804FC" w:rsidP="009804FC">
      <w:pPr>
        <w:rPr>
          <w:i/>
          <w:iCs/>
        </w:rPr>
      </w:pPr>
    </w:p>
    <w:p w14:paraId="77E58761" w14:textId="45F6E144" w:rsidR="009804FC" w:rsidRPr="009804FC" w:rsidRDefault="009804FC" w:rsidP="009804FC">
      <w:pPr>
        <w:rPr>
          <w:i/>
          <w:iCs/>
        </w:rPr>
      </w:pPr>
      <w:r w:rsidRPr="009804FC">
        <w:rPr>
          <w:i/>
          <w:iCs/>
        </w:rPr>
        <w:t>4.</w:t>
      </w:r>
      <w:r w:rsidRPr="009804FC">
        <w:rPr>
          <w:i/>
          <w:iCs/>
        </w:rPr>
        <w:tab/>
        <w:t>The capital amount is payable by means of direct fund transfer by no later than 180 (one hundred and eighty) days from the date hereof into the trust bank account of the Plaintiff’s attorneys; Mills &amp; Groenewald Trust Cheque Account, Absa Bank, Ver</w:t>
      </w:r>
      <w:r w:rsidR="0012023A">
        <w:rPr>
          <w:i/>
          <w:iCs/>
        </w:rPr>
        <w:t>eeniging, Account no: […]</w:t>
      </w:r>
      <w:r w:rsidRPr="009804FC">
        <w:rPr>
          <w:i/>
          <w:iCs/>
        </w:rPr>
        <w:t>, Branch code: 630 137, reference: A VAN ZYL / DK / M24638.</w:t>
      </w:r>
    </w:p>
    <w:p w14:paraId="3B87829C" w14:textId="77777777" w:rsidR="009804FC" w:rsidRPr="009804FC" w:rsidRDefault="009804FC" w:rsidP="009804FC">
      <w:pPr>
        <w:rPr>
          <w:i/>
          <w:iCs/>
        </w:rPr>
      </w:pPr>
    </w:p>
    <w:p w14:paraId="58AA6393" w14:textId="77777777" w:rsidR="009804FC" w:rsidRPr="009804FC" w:rsidRDefault="009804FC" w:rsidP="009804FC">
      <w:pPr>
        <w:rPr>
          <w:i/>
          <w:iCs/>
        </w:rPr>
      </w:pPr>
      <w:r w:rsidRPr="009804FC">
        <w:rPr>
          <w:i/>
          <w:iCs/>
        </w:rPr>
        <w:t>5.</w:t>
      </w:r>
      <w:r w:rsidRPr="009804FC">
        <w:rPr>
          <w:i/>
          <w:iCs/>
        </w:rPr>
        <w:tab/>
        <w:t>Mora interest calculated on the capital amount referred to in paragraph 3 supra, will be payable at the rate of 9.75% after a period of 180 (one hundred and eighty) days from the date hereof.</w:t>
      </w:r>
    </w:p>
    <w:p w14:paraId="1BBAF47E" w14:textId="77777777" w:rsidR="009804FC" w:rsidRPr="009804FC" w:rsidRDefault="009804FC" w:rsidP="009804FC">
      <w:pPr>
        <w:rPr>
          <w:i/>
          <w:iCs/>
        </w:rPr>
      </w:pPr>
    </w:p>
    <w:p w14:paraId="6E424370" w14:textId="77777777" w:rsidR="009804FC" w:rsidRPr="009804FC" w:rsidRDefault="009804FC" w:rsidP="009804FC">
      <w:pPr>
        <w:rPr>
          <w:i/>
          <w:iCs/>
        </w:rPr>
      </w:pPr>
      <w:r w:rsidRPr="009804FC">
        <w:rPr>
          <w:i/>
          <w:iCs/>
        </w:rPr>
        <w:t>6.</w:t>
      </w:r>
      <w:r w:rsidRPr="009804FC">
        <w:rPr>
          <w:i/>
          <w:iCs/>
        </w:rPr>
        <w:tab/>
        <w:t xml:space="preserve">The Defendant shall furnish the Plaintiff with an unlimited Undertaking in terms of Section 17(4)(a) of the Road Accident Fund Act, 56 of 1996 for the costs of the future </w:t>
      </w:r>
      <w:r w:rsidRPr="009804FC">
        <w:rPr>
          <w:i/>
          <w:iCs/>
        </w:rPr>
        <w:lastRenderedPageBreak/>
        <w:t>accommodation of the Plaintiff in a hospital and nursing home and treatment of and rendering of a service to the Plaintiff and the supplying of goods to the Plaintiff arising out of the injuries sustained by the Plaintiff in the motor vehicle collision of 12 September 2015 after such costs have been incurred and upon proof thereof.</w:t>
      </w:r>
    </w:p>
    <w:p w14:paraId="7F220C54" w14:textId="77777777" w:rsidR="009804FC" w:rsidRPr="009804FC" w:rsidRDefault="009804FC" w:rsidP="009804FC">
      <w:pPr>
        <w:rPr>
          <w:i/>
          <w:iCs/>
        </w:rPr>
      </w:pPr>
    </w:p>
    <w:p w14:paraId="58400167" w14:textId="77777777" w:rsidR="009804FC" w:rsidRPr="009804FC" w:rsidRDefault="009804FC" w:rsidP="009804FC">
      <w:pPr>
        <w:rPr>
          <w:i/>
          <w:iCs/>
        </w:rPr>
      </w:pPr>
      <w:r w:rsidRPr="009804FC">
        <w:rPr>
          <w:i/>
          <w:iCs/>
        </w:rPr>
        <w:t>7.</w:t>
      </w:r>
      <w:r w:rsidRPr="009804FC">
        <w:rPr>
          <w:i/>
          <w:iCs/>
        </w:rPr>
        <w:tab/>
        <w:t>The Defendant shall pay the Plaintiff’s taxed or agreed party and party costs up to date on the High Court scale, which party and party costs shall include, but not be limited to:</w:t>
      </w:r>
    </w:p>
    <w:p w14:paraId="2A82B53F" w14:textId="77777777" w:rsidR="009804FC" w:rsidRPr="009804FC" w:rsidRDefault="009804FC" w:rsidP="009804FC">
      <w:pPr>
        <w:rPr>
          <w:i/>
          <w:iCs/>
        </w:rPr>
      </w:pPr>
    </w:p>
    <w:p w14:paraId="736FE9C8" w14:textId="77777777" w:rsidR="009804FC" w:rsidRPr="009804FC" w:rsidRDefault="009804FC" w:rsidP="009804FC">
      <w:pPr>
        <w:rPr>
          <w:i/>
          <w:iCs/>
        </w:rPr>
      </w:pPr>
      <w:r w:rsidRPr="009804FC">
        <w:rPr>
          <w:i/>
          <w:iCs/>
        </w:rPr>
        <w:t>7.1</w:t>
      </w:r>
      <w:r w:rsidRPr="009804FC">
        <w:rPr>
          <w:i/>
          <w:iCs/>
        </w:rPr>
        <w:tab/>
        <w:t>The reasonable costs in respect of the preparation of the actuarial calculations, medico legal and addendum reports of the experts as per paragraph 7.4 below;</w:t>
      </w:r>
    </w:p>
    <w:p w14:paraId="27688AD4" w14:textId="77777777" w:rsidR="009804FC" w:rsidRPr="009804FC" w:rsidRDefault="009804FC" w:rsidP="009804FC">
      <w:pPr>
        <w:rPr>
          <w:i/>
          <w:iCs/>
        </w:rPr>
      </w:pPr>
    </w:p>
    <w:p w14:paraId="70A2B384" w14:textId="77777777" w:rsidR="009804FC" w:rsidRPr="009804FC" w:rsidRDefault="009804FC" w:rsidP="009804FC">
      <w:pPr>
        <w:rPr>
          <w:i/>
          <w:iCs/>
        </w:rPr>
      </w:pPr>
      <w:r w:rsidRPr="009804FC">
        <w:rPr>
          <w:i/>
          <w:iCs/>
        </w:rPr>
        <w:t>7.2</w:t>
      </w:r>
      <w:r w:rsidRPr="009804FC">
        <w:rPr>
          <w:i/>
          <w:iCs/>
        </w:rPr>
        <w:tab/>
        <w:t xml:space="preserve">Costs of counsel to date hereof, including the preparation for and trial appearances on 23 February 2023 and 24 February 2023 as well as the preparation and drafting of the written Heads of Argument and annexures; </w:t>
      </w:r>
    </w:p>
    <w:p w14:paraId="2CCDBA40" w14:textId="77777777" w:rsidR="009804FC" w:rsidRPr="009804FC" w:rsidRDefault="009804FC" w:rsidP="009804FC">
      <w:pPr>
        <w:rPr>
          <w:i/>
          <w:iCs/>
        </w:rPr>
      </w:pPr>
    </w:p>
    <w:p w14:paraId="6B6F0748" w14:textId="77777777" w:rsidR="009804FC" w:rsidRPr="009804FC" w:rsidRDefault="009804FC" w:rsidP="009804FC">
      <w:pPr>
        <w:rPr>
          <w:i/>
          <w:iCs/>
        </w:rPr>
      </w:pPr>
      <w:r w:rsidRPr="009804FC">
        <w:rPr>
          <w:i/>
          <w:iCs/>
        </w:rPr>
        <w:t>7.3</w:t>
      </w:r>
      <w:r w:rsidRPr="009804FC">
        <w:rPr>
          <w:i/>
          <w:iCs/>
        </w:rPr>
        <w:tab/>
        <w:t>The travelling costs of the Plaintiff to and from all medico-legal appointments and consultations;</w:t>
      </w:r>
    </w:p>
    <w:p w14:paraId="1D7753CA" w14:textId="77777777" w:rsidR="009804FC" w:rsidRPr="009804FC" w:rsidRDefault="009804FC" w:rsidP="009804FC">
      <w:pPr>
        <w:rPr>
          <w:i/>
          <w:iCs/>
        </w:rPr>
      </w:pPr>
    </w:p>
    <w:p w14:paraId="05D61EF7" w14:textId="77777777" w:rsidR="009804FC" w:rsidRPr="009804FC" w:rsidRDefault="009804FC" w:rsidP="009804FC">
      <w:pPr>
        <w:rPr>
          <w:i/>
          <w:iCs/>
        </w:rPr>
      </w:pPr>
      <w:r w:rsidRPr="009804FC">
        <w:rPr>
          <w:i/>
          <w:iCs/>
        </w:rPr>
        <w:t>7.4</w:t>
      </w:r>
      <w:r w:rsidRPr="009804FC">
        <w:rPr>
          <w:i/>
          <w:iCs/>
        </w:rPr>
        <w:tab/>
        <w:t xml:space="preserve">Qualifying and preparation fees for the drafting of the following medico legal reports: </w:t>
      </w:r>
    </w:p>
    <w:p w14:paraId="026E8E26" w14:textId="77777777" w:rsidR="009804FC" w:rsidRPr="009804FC" w:rsidRDefault="009804FC" w:rsidP="009804FC">
      <w:pPr>
        <w:rPr>
          <w:i/>
          <w:iCs/>
        </w:rPr>
      </w:pPr>
    </w:p>
    <w:p w14:paraId="665005EB" w14:textId="77777777" w:rsidR="009804FC" w:rsidRPr="009804FC" w:rsidRDefault="009804FC" w:rsidP="009804FC">
      <w:pPr>
        <w:rPr>
          <w:i/>
          <w:iCs/>
        </w:rPr>
      </w:pPr>
      <w:r w:rsidRPr="009804FC">
        <w:rPr>
          <w:i/>
          <w:iCs/>
        </w:rPr>
        <w:t>7.4.1</w:t>
      </w:r>
      <w:r w:rsidRPr="009804FC">
        <w:rPr>
          <w:i/>
          <w:iCs/>
        </w:rPr>
        <w:tab/>
        <w:t>Dr G A Versfeld (Orthopaedic Surgeon) – Report and RAF4 Serious Injury Assessment Form;</w:t>
      </w:r>
    </w:p>
    <w:p w14:paraId="26FFF878" w14:textId="77777777" w:rsidR="009804FC" w:rsidRPr="009804FC" w:rsidRDefault="009804FC" w:rsidP="009804FC">
      <w:pPr>
        <w:rPr>
          <w:i/>
          <w:iCs/>
        </w:rPr>
      </w:pPr>
      <w:r w:rsidRPr="009804FC">
        <w:rPr>
          <w:i/>
          <w:iCs/>
        </w:rPr>
        <w:t>7.4.2</w:t>
      </w:r>
      <w:r w:rsidRPr="009804FC">
        <w:rPr>
          <w:i/>
          <w:iCs/>
        </w:rPr>
        <w:tab/>
        <w:t xml:space="preserve">Sunninghill Radiology; </w:t>
      </w:r>
    </w:p>
    <w:p w14:paraId="44EBD3E2" w14:textId="77777777" w:rsidR="009804FC" w:rsidRPr="009804FC" w:rsidRDefault="009804FC" w:rsidP="009804FC">
      <w:pPr>
        <w:rPr>
          <w:i/>
          <w:iCs/>
        </w:rPr>
      </w:pPr>
      <w:r w:rsidRPr="009804FC">
        <w:rPr>
          <w:i/>
          <w:iCs/>
        </w:rPr>
        <w:t>7.4.3</w:t>
      </w:r>
      <w:r w:rsidRPr="009804FC">
        <w:rPr>
          <w:i/>
          <w:iCs/>
        </w:rPr>
        <w:tab/>
        <w:t xml:space="preserve">Mrs C Rice (Occupational Therapist); </w:t>
      </w:r>
    </w:p>
    <w:p w14:paraId="262C5919" w14:textId="77777777" w:rsidR="009804FC" w:rsidRPr="009804FC" w:rsidRDefault="009804FC" w:rsidP="009804FC">
      <w:pPr>
        <w:rPr>
          <w:i/>
          <w:iCs/>
        </w:rPr>
      </w:pPr>
      <w:r w:rsidRPr="009804FC">
        <w:rPr>
          <w:i/>
          <w:iCs/>
        </w:rPr>
        <w:t>7.4.4</w:t>
      </w:r>
      <w:r w:rsidRPr="009804FC">
        <w:rPr>
          <w:i/>
          <w:iCs/>
        </w:rPr>
        <w:tab/>
        <w:t xml:space="preserve">Dr W Pretorius (Industrial Psychologist) - Report and Addendum Report; </w:t>
      </w:r>
    </w:p>
    <w:p w14:paraId="0E62DF50" w14:textId="77777777" w:rsidR="009804FC" w:rsidRPr="009804FC" w:rsidRDefault="009804FC" w:rsidP="009804FC">
      <w:pPr>
        <w:rPr>
          <w:i/>
          <w:iCs/>
        </w:rPr>
      </w:pPr>
      <w:r w:rsidRPr="009804FC">
        <w:rPr>
          <w:i/>
          <w:iCs/>
        </w:rPr>
        <w:t>7.4.5</w:t>
      </w:r>
      <w:r w:rsidRPr="009804FC">
        <w:rPr>
          <w:i/>
          <w:iCs/>
        </w:rPr>
        <w:tab/>
        <w:t>Munro Actuary reports.</w:t>
      </w:r>
    </w:p>
    <w:p w14:paraId="021DC1A1" w14:textId="77777777" w:rsidR="009804FC" w:rsidRPr="009804FC" w:rsidRDefault="009804FC" w:rsidP="009804FC">
      <w:pPr>
        <w:rPr>
          <w:i/>
          <w:iCs/>
        </w:rPr>
      </w:pPr>
    </w:p>
    <w:p w14:paraId="4A99EE7E" w14:textId="77777777" w:rsidR="009804FC" w:rsidRPr="009804FC" w:rsidRDefault="009804FC" w:rsidP="009804FC">
      <w:pPr>
        <w:rPr>
          <w:i/>
          <w:iCs/>
        </w:rPr>
      </w:pPr>
      <w:r w:rsidRPr="009804FC">
        <w:rPr>
          <w:i/>
          <w:iCs/>
        </w:rPr>
        <w:t xml:space="preserve">8. </w:t>
      </w:r>
      <w:r w:rsidRPr="009804FC">
        <w:rPr>
          <w:i/>
          <w:iCs/>
        </w:rPr>
        <w:tab/>
        <w:t>The preparation and qualifying fees of the Plaintiff’s experts for attending to the expert affidavits pertaining to evidence as to the content of their medico legal reports which will include the costs pertaining to the affidavit and assessment of Dr. GA Versfeld in respect of the evaluation of the Past Hospital and Medical Expenses vouchers.</w:t>
      </w:r>
    </w:p>
    <w:p w14:paraId="0E5F29AD" w14:textId="77777777" w:rsidR="009804FC" w:rsidRPr="009804FC" w:rsidRDefault="009804FC" w:rsidP="009804FC">
      <w:pPr>
        <w:rPr>
          <w:i/>
          <w:iCs/>
        </w:rPr>
      </w:pPr>
    </w:p>
    <w:p w14:paraId="73CE8A6A" w14:textId="77777777" w:rsidR="009804FC" w:rsidRPr="009804FC" w:rsidRDefault="009804FC" w:rsidP="009804FC">
      <w:pPr>
        <w:rPr>
          <w:i/>
          <w:iCs/>
        </w:rPr>
      </w:pPr>
      <w:r w:rsidRPr="009804FC">
        <w:rPr>
          <w:i/>
          <w:iCs/>
        </w:rPr>
        <w:t>9.</w:t>
      </w:r>
      <w:r w:rsidRPr="009804FC">
        <w:rPr>
          <w:i/>
          <w:iCs/>
        </w:rPr>
        <w:tab/>
        <w:t>Subject to the following conditions:</w:t>
      </w:r>
    </w:p>
    <w:p w14:paraId="55A10A07" w14:textId="77777777" w:rsidR="009804FC" w:rsidRPr="009804FC" w:rsidRDefault="009804FC" w:rsidP="009804FC">
      <w:pPr>
        <w:rPr>
          <w:i/>
          <w:iCs/>
        </w:rPr>
      </w:pPr>
    </w:p>
    <w:p w14:paraId="1E0AA2C2" w14:textId="77777777" w:rsidR="009804FC" w:rsidRPr="009804FC" w:rsidRDefault="009804FC" w:rsidP="009804FC">
      <w:pPr>
        <w:rPr>
          <w:i/>
          <w:iCs/>
        </w:rPr>
      </w:pPr>
      <w:r w:rsidRPr="009804FC">
        <w:rPr>
          <w:i/>
          <w:iCs/>
        </w:rPr>
        <w:t>9.1</w:t>
      </w:r>
      <w:r w:rsidRPr="009804FC">
        <w:rPr>
          <w:i/>
          <w:iCs/>
        </w:rPr>
        <w:tab/>
        <w:t>The Plaintiff shall, in the event that costs are not agreed, serve the notice of taxation on the Defendant’s attorney of record; and</w:t>
      </w:r>
    </w:p>
    <w:p w14:paraId="1912BBC1" w14:textId="77777777" w:rsidR="009804FC" w:rsidRPr="009804FC" w:rsidRDefault="009804FC" w:rsidP="009804FC">
      <w:pPr>
        <w:rPr>
          <w:i/>
          <w:iCs/>
        </w:rPr>
      </w:pPr>
    </w:p>
    <w:p w14:paraId="7EB99554" w14:textId="77777777" w:rsidR="009804FC" w:rsidRPr="009804FC" w:rsidRDefault="009804FC" w:rsidP="009804FC">
      <w:pPr>
        <w:rPr>
          <w:i/>
          <w:iCs/>
        </w:rPr>
      </w:pPr>
      <w:r w:rsidRPr="009804FC">
        <w:rPr>
          <w:i/>
          <w:iCs/>
        </w:rPr>
        <w:t>9.2</w:t>
      </w:r>
      <w:r w:rsidRPr="009804FC">
        <w:rPr>
          <w:i/>
          <w:iCs/>
        </w:rPr>
        <w:tab/>
        <w:t>The Plaintiff shall allow the Defendant 180 (one hundred and eighty) days  to make payment of the taxed or agreed costs after the date of taxation/settlement.</w:t>
      </w:r>
    </w:p>
    <w:p w14:paraId="30A2BCE4" w14:textId="77777777" w:rsidR="009804FC" w:rsidRPr="009804FC" w:rsidRDefault="009804FC" w:rsidP="009804FC">
      <w:pPr>
        <w:rPr>
          <w:i/>
          <w:iCs/>
        </w:rPr>
      </w:pPr>
    </w:p>
    <w:p w14:paraId="6E353697" w14:textId="77777777" w:rsidR="009804FC" w:rsidRPr="009804FC" w:rsidRDefault="009804FC" w:rsidP="009804FC">
      <w:pPr>
        <w:rPr>
          <w:i/>
          <w:iCs/>
        </w:rPr>
      </w:pPr>
      <w:r w:rsidRPr="009804FC">
        <w:rPr>
          <w:i/>
          <w:iCs/>
        </w:rPr>
        <w:t>9.2.1</w:t>
      </w:r>
      <w:r w:rsidRPr="009804FC">
        <w:rPr>
          <w:i/>
          <w:iCs/>
        </w:rPr>
        <w:tab/>
        <w:t xml:space="preserve">No interest will be payable, except in the event of default of payment of such costs, in which case interest will be payable at the rate of 9.75% from date of taxation. </w:t>
      </w:r>
    </w:p>
    <w:p w14:paraId="0455B1DB" w14:textId="77777777" w:rsidR="009804FC" w:rsidRPr="005B696E" w:rsidRDefault="009804FC" w:rsidP="009804FC">
      <w:pPr>
        <w:spacing w:after="480" w:line="480" w:lineRule="auto"/>
        <w:jc w:val="both"/>
        <w:rPr>
          <w:rFonts w:cs="Arial"/>
          <w:bCs/>
          <w:szCs w:val="22"/>
        </w:rPr>
      </w:pPr>
    </w:p>
    <w:p w14:paraId="62D1D2FE" w14:textId="67A339A0" w:rsidR="009804FC" w:rsidRPr="00E906DE" w:rsidRDefault="003D2AC6" w:rsidP="003D2AC6">
      <w:pPr>
        <w:widowControl w:val="0"/>
        <w:tabs>
          <w:tab w:val="left" w:pos="567"/>
        </w:tabs>
        <w:spacing w:before="480" w:after="480" w:line="480" w:lineRule="auto"/>
        <w:jc w:val="both"/>
        <w:rPr>
          <w:rFonts w:cs="Arial"/>
          <w:bCs/>
          <w:szCs w:val="22"/>
        </w:rPr>
      </w:pPr>
      <w:r w:rsidRPr="00E906DE">
        <w:rPr>
          <w:rFonts w:cs="Arial"/>
          <w:bCs/>
          <w:szCs w:val="22"/>
        </w:rPr>
        <w:t>[2]</w:t>
      </w:r>
      <w:r w:rsidRPr="00E906DE">
        <w:rPr>
          <w:rFonts w:cs="Arial"/>
          <w:bCs/>
          <w:szCs w:val="22"/>
        </w:rPr>
        <w:tab/>
      </w:r>
      <w:r w:rsidR="009804FC">
        <w:rPr>
          <w:rFonts w:cs="Arial"/>
          <w:bCs/>
          <w:szCs w:val="22"/>
        </w:rPr>
        <w:t xml:space="preserve">The parties, both represented by attorneys and counsel and after negotiations settled all the disputes save for one: Whether the interest referred to in paragraph 5 of the order </w:t>
      </w:r>
      <w:r w:rsidR="00BD15AD">
        <w:rPr>
          <w:rFonts w:cs="Arial"/>
          <w:bCs/>
          <w:szCs w:val="22"/>
        </w:rPr>
        <w:t>should commence running after 14 days or after 180 days</w:t>
      </w:r>
      <w:r w:rsidR="00E906DE" w:rsidRPr="00E906DE">
        <w:rPr>
          <w:rFonts w:cs="Arial"/>
          <w:bCs/>
          <w:szCs w:val="22"/>
        </w:rPr>
        <w:t>.</w:t>
      </w:r>
    </w:p>
    <w:p w14:paraId="41487B6E" w14:textId="0956F289" w:rsidR="00BD15AD" w:rsidRPr="009B11E7" w:rsidRDefault="003D2AC6" w:rsidP="003D2AC6">
      <w:pPr>
        <w:widowControl w:val="0"/>
        <w:tabs>
          <w:tab w:val="left" w:pos="567"/>
        </w:tabs>
        <w:spacing w:before="480" w:after="480" w:line="480" w:lineRule="auto"/>
        <w:jc w:val="both"/>
        <w:rPr>
          <w:rFonts w:cs="Arial"/>
          <w:bCs/>
          <w:szCs w:val="22"/>
        </w:rPr>
      </w:pPr>
      <w:r w:rsidRPr="009B11E7">
        <w:rPr>
          <w:rFonts w:cs="Arial"/>
          <w:bCs/>
          <w:szCs w:val="22"/>
        </w:rPr>
        <w:lastRenderedPageBreak/>
        <w:t>[3]</w:t>
      </w:r>
      <w:r w:rsidRPr="009B11E7">
        <w:rPr>
          <w:rFonts w:cs="Arial"/>
          <w:bCs/>
          <w:szCs w:val="22"/>
        </w:rPr>
        <w:tab/>
      </w:r>
      <w:r w:rsidR="00BD15AD">
        <w:rPr>
          <w:rFonts w:cs="Arial"/>
          <w:bCs/>
          <w:szCs w:val="22"/>
        </w:rPr>
        <w:t>The payment is due 180 days after the order and Ms Ameersingh who appeared for the defendant argued that the defendant will then be in mora after the expiry of 180 days, and that interest should run from that date.</w:t>
      </w:r>
      <w:r w:rsidR="00E906DE">
        <w:rPr>
          <w:rFonts w:cs="Arial"/>
          <w:bCs/>
          <w:szCs w:val="22"/>
        </w:rPr>
        <w:t xml:space="preserve"> She referred me </w:t>
      </w:r>
      <w:r w:rsidR="00E906DE" w:rsidRPr="00157627">
        <w:rPr>
          <w:i/>
          <w:iCs/>
          <w:lang w:eastAsia="en-ZA"/>
        </w:rPr>
        <w:t>Dunn vs RAF</w:t>
      </w:r>
      <w:r w:rsidR="00E906DE">
        <w:rPr>
          <w:lang w:eastAsia="en-ZA"/>
        </w:rPr>
        <w:t xml:space="preserve"> </w:t>
      </w:r>
      <w:r w:rsidR="00E906DE" w:rsidRPr="00157627">
        <w:rPr>
          <w:lang w:eastAsia="en-ZA"/>
        </w:rPr>
        <w:t>[2018] ZAKZDHC 45</w:t>
      </w:r>
      <w:r w:rsidR="00E906DE">
        <w:rPr>
          <w:lang w:eastAsia="en-ZA"/>
        </w:rPr>
        <w:t>.</w:t>
      </w:r>
    </w:p>
    <w:p w14:paraId="3AE93D11" w14:textId="7037020F" w:rsidR="009B11E7" w:rsidRPr="00852EFB" w:rsidRDefault="003D2AC6" w:rsidP="003D2AC6">
      <w:pPr>
        <w:widowControl w:val="0"/>
        <w:tabs>
          <w:tab w:val="left" w:pos="567"/>
        </w:tabs>
        <w:spacing w:before="480" w:after="480" w:line="480" w:lineRule="auto"/>
        <w:jc w:val="both"/>
        <w:rPr>
          <w:rFonts w:cs="Arial"/>
          <w:color w:val="000000" w:themeColor="text1"/>
          <w:szCs w:val="22"/>
        </w:rPr>
      </w:pPr>
      <w:r w:rsidRPr="00852EFB">
        <w:rPr>
          <w:rFonts w:cs="Arial"/>
          <w:szCs w:val="22"/>
        </w:rPr>
        <w:t>[4]</w:t>
      </w:r>
      <w:r w:rsidRPr="00852EFB">
        <w:rPr>
          <w:rFonts w:cs="Arial"/>
          <w:szCs w:val="22"/>
        </w:rPr>
        <w:tab/>
      </w:r>
      <w:r w:rsidR="009B11E7">
        <w:rPr>
          <w:lang w:eastAsia="en-ZA"/>
        </w:rPr>
        <w:t>In this matter the Court was interpreting an order for payment that did not refer to interest at all, and the learned Judge pointed out in paragraph 21 t</w:t>
      </w:r>
      <w:r w:rsidR="009B11E7" w:rsidRPr="009B11E7">
        <w:rPr>
          <w:szCs w:val="22"/>
          <w:lang w:eastAsia="en-ZA"/>
        </w:rPr>
        <w:t xml:space="preserve">hat </w:t>
      </w:r>
      <w:r w:rsidR="009B11E7" w:rsidRPr="009B11E7">
        <w:rPr>
          <w:i/>
          <w:iCs/>
          <w:szCs w:val="22"/>
          <w:lang w:eastAsia="en-ZA"/>
        </w:rPr>
        <w:t>“</w:t>
      </w:r>
      <w:r w:rsidR="009B11E7" w:rsidRPr="009B11E7">
        <w:rPr>
          <w:rFonts w:cs="Arial"/>
          <w:i/>
          <w:iCs/>
          <w:color w:val="242121"/>
          <w:szCs w:val="22"/>
          <w:shd w:val="clear" w:color="auto" w:fill="FFFFFF"/>
        </w:rPr>
        <w:t>the respondent was not in mora from the date of judgment but only when it failed to perform on the date agreed upon</w:t>
      </w:r>
      <w:r w:rsidR="009B11E7">
        <w:rPr>
          <w:rFonts w:cs="Arial"/>
          <w:i/>
          <w:iCs/>
          <w:color w:val="242121"/>
          <w:szCs w:val="22"/>
          <w:shd w:val="clear" w:color="auto" w:fill="FFFFFF"/>
        </w:rPr>
        <w:t>.</w:t>
      </w:r>
      <w:r w:rsidR="009B11E7" w:rsidRPr="009B11E7">
        <w:rPr>
          <w:i/>
          <w:iCs/>
          <w:szCs w:val="22"/>
          <w:lang w:eastAsia="en-ZA"/>
        </w:rPr>
        <w:t>”</w:t>
      </w:r>
      <w:r w:rsidR="00852EFB">
        <w:rPr>
          <w:i/>
          <w:iCs/>
          <w:szCs w:val="22"/>
          <w:lang w:eastAsia="en-ZA"/>
        </w:rPr>
        <w:t xml:space="preserve"> </w:t>
      </w:r>
      <w:r w:rsidR="00852EFB">
        <w:rPr>
          <w:szCs w:val="22"/>
          <w:lang w:eastAsia="en-ZA"/>
        </w:rPr>
        <w:t>Se</w:t>
      </w:r>
      <w:r w:rsidR="00852EFB" w:rsidRPr="00852EFB">
        <w:rPr>
          <w:szCs w:val="22"/>
          <w:lang w:eastAsia="en-ZA"/>
        </w:rPr>
        <w:t xml:space="preserve">e also </w:t>
      </w:r>
      <w:r w:rsidR="00852EFB" w:rsidRPr="00852EFB">
        <w:rPr>
          <w:rFonts w:cs="Arial"/>
          <w:i/>
          <w:iCs/>
          <w:color w:val="242121"/>
          <w:szCs w:val="22"/>
          <w:shd w:val="clear" w:color="auto" w:fill="FFFFFF"/>
        </w:rPr>
        <w:t xml:space="preserve">General Accident Versekeringsmaatskappy Suid-Afrika Bpk v </w:t>
      </w:r>
      <w:r w:rsidR="00852EFB" w:rsidRPr="00852EFB">
        <w:rPr>
          <w:rFonts w:cs="Arial"/>
          <w:i/>
          <w:iCs/>
          <w:color w:val="000000" w:themeColor="text1"/>
          <w:szCs w:val="22"/>
          <w:shd w:val="clear" w:color="auto" w:fill="FFFFFF"/>
        </w:rPr>
        <w:t xml:space="preserve">Bailey NO </w:t>
      </w:r>
      <w:hyperlink r:id="rId9" w:tooltip="View LawCiteRecord" w:history="1">
        <w:r w:rsidR="00852EFB" w:rsidRPr="00852EFB">
          <w:rPr>
            <w:rStyle w:val="Hyperlink"/>
            <w:rFonts w:cs="Arial"/>
            <w:color w:val="000000" w:themeColor="text1"/>
            <w:szCs w:val="22"/>
            <w:u w:val="none"/>
            <w:shd w:val="clear" w:color="auto" w:fill="FFFFFF"/>
          </w:rPr>
          <w:t>1988 (4) SA 353</w:t>
        </w:r>
      </w:hyperlink>
      <w:r w:rsidR="00852EFB" w:rsidRPr="00852EFB">
        <w:rPr>
          <w:rFonts w:cs="Arial"/>
          <w:color w:val="000000" w:themeColor="text1"/>
          <w:szCs w:val="22"/>
          <w:shd w:val="clear" w:color="auto" w:fill="FFFFFF"/>
        </w:rPr>
        <w:t> (A).</w:t>
      </w:r>
    </w:p>
    <w:p w14:paraId="3E6BA7DA" w14:textId="2775E09F" w:rsidR="00AE287F" w:rsidRDefault="003D2AC6" w:rsidP="003D2AC6">
      <w:pPr>
        <w:widowControl w:val="0"/>
        <w:tabs>
          <w:tab w:val="left" w:pos="567"/>
        </w:tabs>
        <w:spacing w:before="480" w:after="480" w:line="480" w:lineRule="auto"/>
        <w:jc w:val="both"/>
        <w:rPr>
          <w:rFonts w:cs="Arial"/>
          <w:b/>
        </w:rPr>
      </w:pPr>
      <w:r>
        <w:rPr>
          <w:rFonts w:cs="Arial"/>
        </w:rPr>
        <w:t>[5]</w:t>
      </w:r>
      <w:r>
        <w:rPr>
          <w:rFonts w:cs="Arial"/>
        </w:rPr>
        <w:tab/>
      </w:r>
      <w:r w:rsidR="00852EFB">
        <w:rPr>
          <w:rFonts w:cs="Arial"/>
          <w:bCs/>
          <w:szCs w:val="22"/>
        </w:rPr>
        <w:t>I conclude therefore that the defendant will be in mora if payment is not made within 180 days, and that interest will be due after that date.</w:t>
      </w:r>
    </w:p>
    <w:p w14:paraId="53CD27EE" w14:textId="672559CF" w:rsidR="00AE287F" w:rsidRDefault="00A649E6" w:rsidP="006C43D7">
      <w:pPr>
        <w:tabs>
          <w:tab w:val="right" w:pos="0"/>
        </w:tabs>
        <w:spacing w:line="360" w:lineRule="auto"/>
        <w:contextualSpacing/>
        <w:jc w:val="right"/>
        <w:rPr>
          <w:rFonts w:cs="Arial"/>
          <w:b/>
        </w:rPr>
      </w:pPr>
      <w:r>
        <w:rPr>
          <w:rFonts w:cs="Arial"/>
          <w:b/>
        </w:rPr>
        <w:t>______________</w:t>
      </w: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2A8D9154" w:rsidR="006C43D7" w:rsidRPr="00051A2B" w:rsidRDefault="006C43D7" w:rsidP="006C43D7">
      <w:pPr>
        <w:spacing w:after="200" w:line="360" w:lineRule="auto"/>
        <w:contextualSpacing/>
        <w:jc w:val="both"/>
        <w:rPr>
          <w:rFonts w:eastAsia="Arial Unicode MS" w:cs="Arial"/>
          <w:bCs/>
        </w:rPr>
      </w:pPr>
      <w:r w:rsidRPr="006C43D7">
        <w:rPr>
          <w:rFonts w:eastAsia="Arial Unicode MS" w:cs="Arial"/>
          <w:bCs/>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Pr>
          <w:rFonts w:eastAsia="Arial Unicode MS" w:cs="Arial"/>
          <w:bCs/>
        </w:rPr>
        <w:t xml:space="preserve"> </w:t>
      </w:r>
      <w:r w:rsidR="00E906DE">
        <w:rPr>
          <w:rFonts w:eastAsia="Arial Unicode MS" w:cs="Arial"/>
          <w:b/>
        </w:rPr>
        <w:t>2</w:t>
      </w:r>
      <w:r w:rsidR="00852EFB">
        <w:rPr>
          <w:rFonts w:eastAsia="Arial Unicode MS" w:cs="Arial"/>
          <w:b/>
        </w:rPr>
        <w:t>7</w:t>
      </w:r>
      <w:r w:rsidR="00DC6EF8" w:rsidRPr="005B696E">
        <w:rPr>
          <w:rFonts w:eastAsia="Arial Unicode MS" w:cs="Arial"/>
          <w:b/>
        </w:rPr>
        <w:t xml:space="preserve"> </w:t>
      </w:r>
      <w:r w:rsidR="00DC6EF8">
        <w:rPr>
          <w:rFonts w:eastAsia="Arial Unicode MS" w:cs="Arial"/>
          <w:b/>
          <w:bCs/>
        </w:rPr>
        <w:t>FEBRUARY</w:t>
      </w:r>
      <w:r w:rsidR="00237FF9">
        <w:rPr>
          <w:rFonts w:eastAsia="Arial Unicode MS" w:cs="Arial"/>
          <w:b/>
          <w:bCs/>
        </w:rPr>
        <w:t xml:space="preserve"> 202</w:t>
      </w:r>
      <w:r w:rsidR="00051A2B">
        <w:rPr>
          <w:rFonts w:eastAsia="Arial Unicode MS" w:cs="Arial"/>
          <w:b/>
          <w:bCs/>
        </w:rPr>
        <w:t>3</w:t>
      </w:r>
      <w:r w:rsidR="00051A2B">
        <w:rPr>
          <w:rFonts w:eastAsia="Arial Unicode MS" w:cs="Arial"/>
          <w:bCs/>
        </w:rPr>
        <w:t>.</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51"/>
      </w:tblGrid>
      <w:tr w:rsidR="009D35B5" w14:paraId="493AF0D7" w14:textId="77777777" w:rsidTr="006E3064">
        <w:tc>
          <w:tcPr>
            <w:tcW w:w="4962" w:type="dxa"/>
          </w:tcPr>
          <w:p w14:paraId="6A05541A" w14:textId="0DD3AE55"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THE </w:t>
            </w:r>
            <w:r w:rsidR="006245EC">
              <w:rPr>
                <w:rFonts w:cs="Arial"/>
              </w:rPr>
              <w:t>PLAINTIFF</w:t>
            </w:r>
            <w:r w:rsidRPr="006C43D7">
              <w:rPr>
                <w:rFonts w:cs="Arial"/>
              </w:rPr>
              <w:t>:</w:t>
            </w:r>
          </w:p>
        </w:tc>
        <w:tc>
          <w:tcPr>
            <w:tcW w:w="3651" w:type="dxa"/>
          </w:tcPr>
          <w:p w14:paraId="69785AA9" w14:textId="5140F158" w:rsidR="00DC6EF8" w:rsidRDefault="00E906DE" w:rsidP="00DF5291">
            <w:pPr>
              <w:tabs>
                <w:tab w:val="right" w:pos="0"/>
                <w:tab w:val="left" w:pos="567"/>
                <w:tab w:val="right" w:pos="2727"/>
                <w:tab w:val="left" w:pos="4253"/>
              </w:tabs>
              <w:spacing w:line="360" w:lineRule="auto"/>
              <w:contextualSpacing/>
              <w:jc w:val="right"/>
              <w:rPr>
                <w:rFonts w:cs="Arial"/>
              </w:rPr>
            </w:pPr>
            <w:r>
              <w:rPr>
                <w:rFonts w:cs="Arial"/>
              </w:rPr>
              <w:t>MR GROBBELAAR</w:t>
            </w:r>
          </w:p>
        </w:tc>
      </w:tr>
      <w:tr w:rsidR="009D35B5" w14:paraId="183C176D" w14:textId="77777777" w:rsidTr="006E3064">
        <w:tc>
          <w:tcPr>
            <w:tcW w:w="4962" w:type="dxa"/>
          </w:tcPr>
          <w:p w14:paraId="75365413" w14:textId="481747BC"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3651" w:type="dxa"/>
          </w:tcPr>
          <w:p w14:paraId="4044534A" w14:textId="3AA92CF4" w:rsidR="009D35B5" w:rsidRDefault="00E906DE" w:rsidP="00424BA6">
            <w:pPr>
              <w:tabs>
                <w:tab w:val="right" w:pos="0"/>
                <w:tab w:val="left" w:pos="4253"/>
              </w:tabs>
              <w:spacing w:line="360" w:lineRule="auto"/>
              <w:contextualSpacing/>
              <w:jc w:val="right"/>
              <w:rPr>
                <w:rFonts w:cs="Arial"/>
              </w:rPr>
            </w:pPr>
            <w:r>
              <w:rPr>
                <w:rFonts w:cs="Arial"/>
              </w:rPr>
              <w:t>MILLS &amp; GROENEWALD</w:t>
            </w:r>
          </w:p>
        </w:tc>
      </w:tr>
      <w:tr w:rsidR="009D35B5" w14:paraId="6E2BF966" w14:textId="77777777" w:rsidTr="006E3064">
        <w:tc>
          <w:tcPr>
            <w:tcW w:w="4962" w:type="dxa"/>
          </w:tcPr>
          <w:p w14:paraId="545B6665" w14:textId="0C31C439"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w:t>
            </w:r>
            <w:r w:rsidR="006245EC">
              <w:rPr>
                <w:rFonts w:cs="Arial"/>
              </w:rPr>
              <w:t>DEFENDANT</w:t>
            </w:r>
            <w:r w:rsidRPr="006C43D7">
              <w:rPr>
                <w:rFonts w:cs="Arial"/>
              </w:rPr>
              <w:t>:</w:t>
            </w:r>
          </w:p>
        </w:tc>
        <w:tc>
          <w:tcPr>
            <w:tcW w:w="3651" w:type="dxa"/>
          </w:tcPr>
          <w:p w14:paraId="51741A90" w14:textId="049A55E3" w:rsidR="009D35B5" w:rsidRDefault="00E906DE" w:rsidP="00424BA6">
            <w:pPr>
              <w:tabs>
                <w:tab w:val="right" w:pos="0"/>
                <w:tab w:val="left" w:pos="4253"/>
              </w:tabs>
              <w:spacing w:line="360" w:lineRule="auto"/>
              <w:contextualSpacing/>
              <w:jc w:val="right"/>
              <w:rPr>
                <w:rFonts w:cs="Arial"/>
              </w:rPr>
            </w:pPr>
            <w:r>
              <w:rPr>
                <w:rFonts w:cs="Arial"/>
              </w:rPr>
              <w:t>MS AMEERSINGH</w:t>
            </w:r>
          </w:p>
        </w:tc>
      </w:tr>
      <w:tr w:rsidR="009D35B5" w14:paraId="1EC4105A" w14:textId="77777777" w:rsidTr="006E3064">
        <w:tc>
          <w:tcPr>
            <w:tcW w:w="4962" w:type="dxa"/>
          </w:tcPr>
          <w:p w14:paraId="184EC2ED" w14:textId="1E42F28A"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3651" w:type="dxa"/>
          </w:tcPr>
          <w:p w14:paraId="2098BE2A" w14:textId="2EA2615B" w:rsidR="009D35B5" w:rsidRDefault="00E906DE" w:rsidP="00424BA6">
            <w:pPr>
              <w:tabs>
                <w:tab w:val="right" w:pos="0"/>
                <w:tab w:val="left" w:pos="4253"/>
              </w:tabs>
              <w:spacing w:line="360" w:lineRule="auto"/>
              <w:contextualSpacing/>
              <w:jc w:val="right"/>
              <w:rPr>
                <w:rFonts w:cs="Arial"/>
              </w:rPr>
            </w:pPr>
            <w:r>
              <w:rPr>
                <w:rFonts w:cs="Arial"/>
              </w:rPr>
              <w:t>STATE ATTORNEY</w:t>
            </w:r>
          </w:p>
        </w:tc>
      </w:tr>
      <w:tr w:rsidR="009D35B5" w14:paraId="2A3FE2B1" w14:textId="77777777" w:rsidTr="006E3064">
        <w:tc>
          <w:tcPr>
            <w:tcW w:w="4962" w:type="dxa"/>
          </w:tcPr>
          <w:p w14:paraId="0767D0FE" w14:textId="4707CE9D" w:rsidR="009D35B5" w:rsidRPr="006C43D7" w:rsidRDefault="009D35B5" w:rsidP="002C2E80">
            <w:pPr>
              <w:tabs>
                <w:tab w:val="right" w:pos="0"/>
                <w:tab w:val="left" w:pos="4253"/>
              </w:tabs>
              <w:spacing w:line="360" w:lineRule="auto"/>
              <w:contextualSpacing/>
              <w:rPr>
                <w:rFonts w:cs="Arial"/>
              </w:rPr>
            </w:pPr>
            <w:r w:rsidRPr="006C43D7">
              <w:rPr>
                <w:rFonts w:cs="Arial"/>
              </w:rPr>
              <w:t xml:space="preserve">DATE OF THE </w:t>
            </w:r>
            <w:r w:rsidR="006245EC">
              <w:rPr>
                <w:rFonts w:cs="Arial"/>
              </w:rPr>
              <w:t>TRIAL</w:t>
            </w:r>
            <w:r w:rsidRPr="006C43D7">
              <w:rPr>
                <w:rFonts w:cs="Arial"/>
              </w:rPr>
              <w:t>:</w:t>
            </w:r>
          </w:p>
        </w:tc>
        <w:tc>
          <w:tcPr>
            <w:tcW w:w="3651" w:type="dxa"/>
          </w:tcPr>
          <w:p w14:paraId="34C95147" w14:textId="56FF565E" w:rsidR="009D35B5" w:rsidRDefault="00E906DE" w:rsidP="009D35B5">
            <w:pPr>
              <w:tabs>
                <w:tab w:val="right" w:pos="0"/>
                <w:tab w:val="left" w:pos="4253"/>
              </w:tabs>
              <w:spacing w:line="360" w:lineRule="auto"/>
              <w:contextualSpacing/>
              <w:jc w:val="right"/>
              <w:rPr>
                <w:rFonts w:cs="Arial"/>
              </w:rPr>
            </w:pPr>
            <w:r>
              <w:rPr>
                <w:rFonts w:cs="Arial"/>
              </w:rPr>
              <w:t>24</w:t>
            </w:r>
            <w:r w:rsidR="006245EC">
              <w:rPr>
                <w:rFonts w:cs="Arial"/>
              </w:rPr>
              <w:t xml:space="preserve"> FEBRUARY </w:t>
            </w:r>
            <w:r w:rsidR="00051A2B">
              <w:rPr>
                <w:rFonts w:cs="Arial"/>
              </w:rPr>
              <w:t>2023</w:t>
            </w:r>
          </w:p>
        </w:tc>
      </w:tr>
      <w:tr w:rsidR="009D35B5" w14:paraId="2AC11E46" w14:textId="77777777" w:rsidTr="006E3064">
        <w:tc>
          <w:tcPr>
            <w:tcW w:w="4962" w:type="dxa"/>
          </w:tcPr>
          <w:p w14:paraId="1136CEE6" w14:textId="67FA0375" w:rsidR="009D35B5" w:rsidRPr="006C43D7" w:rsidRDefault="009D35B5" w:rsidP="002C2E80">
            <w:pPr>
              <w:tabs>
                <w:tab w:val="right" w:pos="0"/>
                <w:tab w:val="left" w:pos="4253"/>
              </w:tabs>
              <w:spacing w:line="360" w:lineRule="auto"/>
              <w:contextualSpacing/>
              <w:rPr>
                <w:rFonts w:cs="Arial"/>
              </w:rPr>
            </w:pPr>
            <w:r w:rsidRPr="006C43D7">
              <w:rPr>
                <w:rFonts w:cs="Arial"/>
              </w:rPr>
              <w:lastRenderedPageBreak/>
              <w:t xml:space="preserve">DATE OF </w:t>
            </w:r>
            <w:r>
              <w:rPr>
                <w:rFonts w:cs="Arial"/>
              </w:rPr>
              <w:t>ORDER</w:t>
            </w:r>
            <w:r w:rsidRPr="006C43D7">
              <w:rPr>
                <w:rFonts w:cs="Arial"/>
              </w:rPr>
              <w:t>:</w:t>
            </w:r>
          </w:p>
        </w:tc>
        <w:tc>
          <w:tcPr>
            <w:tcW w:w="3651" w:type="dxa"/>
          </w:tcPr>
          <w:p w14:paraId="7EAC157B" w14:textId="5ACC9215" w:rsidR="009D35B5" w:rsidRDefault="00E906DE" w:rsidP="009D35B5">
            <w:pPr>
              <w:tabs>
                <w:tab w:val="right" w:pos="0"/>
                <w:tab w:val="left" w:pos="4253"/>
              </w:tabs>
              <w:spacing w:line="360" w:lineRule="auto"/>
              <w:contextualSpacing/>
              <w:jc w:val="right"/>
              <w:rPr>
                <w:rFonts w:cs="Arial"/>
              </w:rPr>
            </w:pPr>
            <w:r>
              <w:rPr>
                <w:rFonts w:cs="Arial"/>
              </w:rPr>
              <w:t>24</w:t>
            </w:r>
            <w:r w:rsidR="00DC6EF8">
              <w:rPr>
                <w:rFonts w:cs="Arial"/>
              </w:rPr>
              <w:t xml:space="preserve"> FEBRUARY</w:t>
            </w:r>
            <w:r w:rsidR="00051A2B">
              <w:rPr>
                <w:rFonts w:cs="Arial"/>
              </w:rPr>
              <w:t xml:space="preserve"> 2023</w:t>
            </w:r>
          </w:p>
        </w:tc>
      </w:tr>
      <w:tr w:rsidR="009D35B5" w14:paraId="757AA656" w14:textId="77777777" w:rsidTr="006E3064">
        <w:tc>
          <w:tcPr>
            <w:tcW w:w="4962" w:type="dxa"/>
          </w:tcPr>
          <w:p w14:paraId="05387251" w14:textId="5A778948" w:rsidR="009D35B5" w:rsidRPr="006C43D7" w:rsidRDefault="009D35B5" w:rsidP="002C2E80">
            <w:pPr>
              <w:tabs>
                <w:tab w:val="right" w:pos="0"/>
                <w:tab w:val="left" w:pos="4253"/>
              </w:tabs>
              <w:spacing w:line="360" w:lineRule="auto"/>
              <w:contextualSpacing/>
              <w:rPr>
                <w:rFonts w:cs="Arial"/>
              </w:rPr>
            </w:pPr>
            <w:r w:rsidRPr="006C43D7">
              <w:rPr>
                <w:rFonts w:cs="Arial"/>
              </w:rPr>
              <w:t>DATE OF JUDGMENT:</w:t>
            </w:r>
          </w:p>
        </w:tc>
        <w:tc>
          <w:tcPr>
            <w:tcW w:w="3651" w:type="dxa"/>
          </w:tcPr>
          <w:p w14:paraId="61863A62" w14:textId="178322E7" w:rsidR="009D35B5" w:rsidRDefault="00E906DE" w:rsidP="009D35B5">
            <w:pPr>
              <w:tabs>
                <w:tab w:val="right" w:pos="0"/>
                <w:tab w:val="left" w:pos="4253"/>
              </w:tabs>
              <w:spacing w:line="360" w:lineRule="auto"/>
              <w:contextualSpacing/>
              <w:jc w:val="right"/>
              <w:rPr>
                <w:rFonts w:cs="Arial"/>
              </w:rPr>
            </w:pPr>
            <w:r>
              <w:rPr>
                <w:rFonts w:cs="Arial"/>
              </w:rPr>
              <w:t>2</w:t>
            </w:r>
            <w:r w:rsidR="00A666CF">
              <w:rPr>
                <w:rFonts w:cs="Arial"/>
              </w:rPr>
              <w:t>7</w:t>
            </w:r>
            <w:r w:rsidR="005B696E">
              <w:rPr>
                <w:rFonts w:cs="Arial"/>
              </w:rPr>
              <w:t xml:space="preserve"> </w:t>
            </w:r>
            <w:r w:rsidR="00DC6EF8">
              <w:rPr>
                <w:rFonts w:cs="Arial"/>
              </w:rPr>
              <w:t>FEBRUARY</w:t>
            </w:r>
            <w:r w:rsidR="00051A2B">
              <w:rPr>
                <w:rFonts w:cs="Arial"/>
              </w:rPr>
              <w:t xml:space="preserve"> 2023</w:t>
            </w:r>
          </w:p>
        </w:tc>
      </w:tr>
    </w:tbl>
    <w:p w14:paraId="1BD8F4EB" w14:textId="22F42368" w:rsidR="00A402F6" w:rsidRPr="006C43D7" w:rsidRDefault="00A402F6" w:rsidP="00112F84">
      <w:pPr>
        <w:tabs>
          <w:tab w:val="right" w:pos="8647"/>
        </w:tabs>
        <w:spacing w:line="360" w:lineRule="auto"/>
        <w:contextualSpacing/>
        <w:jc w:val="both"/>
        <w:rPr>
          <w:rFonts w:cs="Arial"/>
        </w:rPr>
      </w:pPr>
    </w:p>
    <w:sectPr w:rsidR="00A402F6" w:rsidRPr="006C43D7" w:rsidSect="009869F2">
      <w:headerReference w:type="default" r:id="rId10"/>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737F4" w14:textId="77777777" w:rsidR="00134B77" w:rsidRDefault="00134B77">
      <w:r>
        <w:separator/>
      </w:r>
    </w:p>
  </w:endnote>
  <w:endnote w:type="continuationSeparator" w:id="0">
    <w:p w14:paraId="04B26144" w14:textId="77777777" w:rsidR="00134B77" w:rsidRDefault="0013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9D46" w14:textId="77777777" w:rsidR="00134B77" w:rsidRDefault="00134B77">
      <w:r>
        <w:separator/>
      </w:r>
    </w:p>
  </w:footnote>
  <w:footnote w:type="continuationSeparator" w:id="0">
    <w:p w14:paraId="5222FB3B" w14:textId="77777777" w:rsidR="00134B77" w:rsidRDefault="0013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18D8A508"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3D2AC6">
      <w:rPr>
        <w:rFonts w:cs="Arial"/>
        <w:noProof/>
        <w:sz w:val="20"/>
        <w:szCs w:val="20"/>
        <w:lang w:val="en-GB"/>
      </w:rPr>
      <w:t>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D15"/>
    <w:multiLevelType w:val="hybridMultilevel"/>
    <w:tmpl w:val="C722E98E"/>
    <w:lvl w:ilvl="0" w:tplc="7FDCA4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9">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4C0715"/>
    <w:multiLevelType w:val="hybridMultilevel"/>
    <w:tmpl w:val="1E10A8C0"/>
    <w:lvl w:ilvl="0" w:tplc="42D4537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3"/>
  </w:num>
  <w:num w:numId="4">
    <w:abstractNumId w:val="6"/>
  </w:num>
  <w:num w:numId="5">
    <w:abstractNumId w:val="12"/>
  </w:num>
  <w:num w:numId="6">
    <w:abstractNumId w:val="9"/>
  </w:num>
  <w:num w:numId="7">
    <w:abstractNumId w:val="1"/>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4"/>
  </w:num>
  <w:num w:numId="12">
    <w:abstractNumId w:val="4"/>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1138"/>
    <w:rsid w:val="00006113"/>
    <w:rsid w:val="0001111B"/>
    <w:rsid w:val="0001140A"/>
    <w:rsid w:val="00011522"/>
    <w:rsid w:val="00013B7F"/>
    <w:rsid w:val="00015D74"/>
    <w:rsid w:val="00020F0A"/>
    <w:rsid w:val="00024A29"/>
    <w:rsid w:val="000262B3"/>
    <w:rsid w:val="00030A89"/>
    <w:rsid w:val="000325E2"/>
    <w:rsid w:val="00041B14"/>
    <w:rsid w:val="00047F26"/>
    <w:rsid w:val="00050086"/>
    <w:rsid w:val="000504F1"/>
    <w:rsid w:val="00051A2B"/>
    <w:rsid w:val="000534A0"/>
    <w:rsid w:val="0006059D"/>
    <w:rsid w:val="00063F7B"/>
    <w:rsid w:val="00064D86"/>
    <w:rsid w:val="000737E1"/>
    <w:rsid w:val="00073E30"/>
    <w:rsid w:val="00081716"/>
    <w:rsid w:val="000833BB"/>
    <w:rsid w:val="00087AE6"/>
    <w:rsid w:val="00092591"/>
    <w:rsid w:val="0009488C"/>
    <w:rsid w:val="00097968"/>
    <w:rsid w:val="000A1C9D"/>
    <w:rsid w:val="000A6AD8"/>
    <w:rsid w:val="000B21DA"/>
    <w:rsid w:val="000B5EF7"/>
    <w:rsid w:val="000C1335"/>
    <w:rsid w:val="000D5760"/>
    <w:rsid w:val="000D7D6A"/>
    <w:rsid w:val="000E1EC8"/>
    <w:rsid w:val="000E5343"/>
    <w:rsid w:val="000F59F8"/>
    <w:rsid w:val="001025B5"/>
    <w:rsid w:val="00104142"/>
    <w:rsid w:val="00112F84"/>
    <w:rsid w:val="001142D1"/>
    <w:rsid w:val="0012023A"/>
    <w:rsid w:val="00120C79"/>
    <w:rsid w:val="00120FB1"/>
    <w:rsid w:val="00123566"/>
    <w:rsid w:val="00130253"/>
    <w:rsid w:val="00133E81"/>
    <w:rsid w:val="00134B77"/>
    <w:rsid w:val="00140CED"/>
    <w:rsid w:val="00147FF5"/>
    <w:rsid w:val="00152899"/>
    <w:rsid w:val="00154961"/>
    <w:rsid w:val="00155A21"/>
    <w:rsid w:val="001671C1"/>
    <w:rsid w:val="00171182"/>
    <w:rsid w:val="0017124B"/>
    <w:rsid w:val="00171D7F"/>
    <w:rsid w:val="00172DDF"/>
    <w:rsid w:val="00185ACF"/>
    <w:rsid w:val="001879D4"/>
    <w:rsid w:val="00190579"/>
    <w:rsid w:val="001916C4"/>
    <w:rsid w:val="00192F78"/>
    <w:rsid w:val="00196E14"/>
    <w:rsid w:val="001A5145"/>
    <w:rsid w:val="001A522A"/>
    <w:rsid w:val="001A7904"/>
    <w:rsid w:val="001B1D39"/>
    <w:rsid w:val="001B4217"/>
    <w:rsid w:val="001B5D3E"/>
    <w:rsid w:val="001B606B"/>
    <w:rsid w:val="001C0755"/>
    <w:rsid w:val="001D3CC2"/>
    <w:rsid w:val="001E2EED"/>
    <w:rsid w:val="001E518E"/>
    <w:rsid w:val="001F0970"/>
    <w:rsid w:val="001F0A29"/>
    <w:rsid w:val="001F3DBD"/>
    <w:rsid w:val="001F648A"/>
    <w:rsid w:val="00201620"/>
    <w:rsid w:val="002041FA"/>
    <w:rsid w:val="00205392"/>
    <w:rsid w:val="002104BF"/>
    <w:rsid w:val="00215824"/>
    <w:rsid w:val="00216BC8"/>
    <w:rsid w:val="0022218D"/>
    <w:rsid w:val="00226926"/>
    <w:rsid w:val="0022710A"/>
    <w:rsid w:val="00232528"/>
    <w:rsid w:val="00235D20"/>
    <w:rsid w:val="00237FF9"/>
    <w:rsid w:val="00250164"/>
    <w:rsid w:val="00253F38"/>
    <w:rsid w:val="002625C5"/>
    <w:rsid w:val="00262819"/>
    <w:rsid w:val="00285040"/>
    <w:rsid w:val="00285062"/>
    <w:rsid w:val="00293351"/>
    <w:rsid w:val="0029369B"/>
    <w:rsid w:val="002976B8"/>
    <w:rsid w:val="002A030C"/>
    <w:rsid w:val="002A112D"/>
    <w:rsid w:val="002A4B7B"/>
    <w:rsid w:val="002A66F5"/>
    <w:rsid w:val="002C15AC"/>
    <w:rsid w:val="002C2E80"/>
    <w:rsid w:val="002C4687"/>
    <w:rsid w:val="002D2842"/>
    <w:rsid w:val="002D47B3"/>
    <w:rsid w:val="002D7171"/>
    <w:rsid w:val="002E5B57"/>
    <w:rsid w:val="002E6CD7"/>
    <w:rsid w:val="002F1C4D"/>
    <w:rsid w:val="002F72D3"/>
    <w:rsid w:val="00302290"/>
    <w:rsid w:val="00302C31"/>
    <w:rsid w:val="00303919"/>
    <w:rsid w:val="003047C2"/>
    <w:rsid w:val="0030653F"/>
    <w:rsid w:val="003102C8"/>
    <w:rsid w:val="0031117B"/>
    <w:rsid w:val="00312EBC"/>
    <w:rsid w:val="00313056"/>
    <w:rsid w:val="003274E4"/>
    <w:rsid w:val="00337135"/>
    <w:rsid w:val="0034147B"/>
    <w:rsid w:val="00342E02"/>
    <w:rsid w:val="003463D6"/>
    <w:rsid w:val="00346D31"/>
    <w:rsid w:val="00346DE6"/>
    <w:rsid w:val="003543C5"/>
    <w:rsid w:val="00354EF2"/>
    <w:rsid w:val="00357081"/>
    <w:rsid w:val="00357D35"/>
    <w:rsid w:val="00363FCD"/>
    <w:rsid w:val="00364C43"/>
    <w:rsid w:val="00364E6A"/>
    <w:rsid w:val="00367720"/>
    <w:rsid w:val="00367778"/>
    <w:rsid w:val="0037029D"/>
    <w:rsid w:val="00373181"/>
    <w:rsid w:val="00381213"/>
    <w:rsid w:val="003832F7"/>
    <w:rsid w:val="003840EC"/>
    <w:rsid w:val="00390C3F"/>
    <w:rsid w:val="00393127"/>
    <w:rsid w:val="003A7864"/>
    <w:rsid w:val="003B4100"/>
    <w:rsid w:val="003C1A16"/>
    <w:rsid w:val="003C1E91"/>
    <w:rsid w:val="003D19C3"/>
    <w:rsid w:val="003D2AC6"/>
    <w:rsid w:val="003D36F9"/>
    <w:rsid w:val="003D77F1"/>
    <w:rsid w:val="003E7A60"/>
    <w:rsid w:val="003F1F49"/>
    <w:rsid w:val="003F4E8E"/>
    <w:rsid w:val="003F7448"/>
    <w:rsid w:val="00407F28"/>
    <w:rsid w:val="0041100A"/>
    <w:rsid w:val="004131C5"/>
    <w:rsid w:val="0042423E"/>
    <w:rsid w:val="00424BA6"/>
    <w:rsid w:val="004339E6"/>
    <w:rsid w:val="0043683A"/>
    <w:rsid w:val="00437EB1"/>
    <w:rsid w:val="00441422"/>
    <w:rsid w:val="00444ED6"/>
    <w:rsid w:val="00445DCB"/>
    <w:rsid w:val="0045044C"/>
    <w:rsid w:val="00460495"/>
    <w:rsid w:val="00460EEA"/>
    <w:rsid w:val="004630B6"/>
    <w:rsid w:val="00463106"/>
    <w:rsid w:val="00474607"/>
    <w:rsid w:val="00474910"/>
    <w:rsid w:val="004749AF"/>
    <w:rsid w:val="00475410"/>
    <w:rsid w:val="004804A7"/>
    <w:rsid w:val="00484116"/>
    <w:rsid w:val="0048424E"/>
    <w:rsid w:val="00486F42"/>
    <w:rsid w:val="00487D14"/>
    <w:rsid w:val="004A2C7E"/>
    <w:rsid w:val="004A2DC5"/>
    <w:rsid w:val="004A6625"/>
    <w:rsid w:val="004A69D6"/>
    <w:rsid w:val="004A7DFE"/>
    <w:rsid w:val="004B21D9"/>
    <w:rsid w:val="004C0CE3"/>
    <w:rsid w:val="004C368B"/>
    <w:rsid w:val="004C4511"/>
    <w:rsid w:val="004D1A31"/>
    <w:rsid w:val="004D262A"/>
    <w:rsid w:val="004D2C6F"/>
    <w:rsid w:val="004D2E01"/>
    <w:rsid w:val="004E3305"/>
    <w:rsid w:val="004E568C"/>
    <w:rsid w:val="004E5AD8"/>
    <w:rsid w:val="004F12D8"/>
    <w:rsid w:val="004F224E"/>
    <w:rsid w:val="004F22A6"/>
    <w:rsid w:val="004F4A37"/>
    <w:rsid w:val="00504B53"/>
    <w:rsid w:val="00505F61"/>
    <w:rsid w:val="0051015D"/>
    <w:rsid w:val="0051292D"/>
    <w:rsid w:val="0051442D"/>
    <w:rsid w:val="0051622D"/>
    <w:rsid w:val="005219EB"/>
    <w:rsid w:val="005259D8"/>
    <w:rsid w:val="005262C2"/>
    <w:rsid w:val="0052705A"/>
    <w:rsid w:val="00532A63"/>
    <w:rsid w:val="00537A72"/>
    <w:rsid w:val="005405F8"/>
    <w:rsid w:val="00546878"/>
    <w:rsid w:val="005509BE"/>
    <w:rsid w:val="0055236C"/>
    <w:rsid w:val="00560115"/>
    <w:rsid w:val="00560E18"/>
    <w:rsid w:val="00571E81"/>
    <w:rsid w:val="00573FF9"/>
    <w:rsid w:val="00576B16"/>
    <w:rsid w:val="005A313A"/>
    <w:rsid w:val="005A680F"/>
    <w:rsid w:val="005B07CB"/>
    <w:rsid w:val="005B2FF9"/>
    <w:rsid w:val="005B696E"/>
    <w:rsid w:val="005B6D81"/>
    <w:rsid w:val="005B7DD3"/>
    <w:rsid w:val="005C3F5D"/>
    <w:rsid w:val="005C7FC2"/>
    <w:rsid w:val="005D2408"/>
    <w:rsid w:val="005D6122"/>
    <w:rsid w:val="005D6E80"/>
    <w:rsid w:val="005D76EB"/>
    <w:rsid w:val="005E2F7B"/>
    <w:rsid w:val="005E3C94"/>
    <w:rsid w:val="005E5C01"/>
    <w:rsid w:val="005E7118"/>
    <w:rsid w:val="005F1CDA"/>
    <w:rsid w:val="005F37A4"/>
    <w:rsid w:val="00602258"/>
    <w:rsid w:val="00602403"/>
    <w:rsid w:val="006041A4"/>
    <w:rsid w:val="006109EC"/>
    <w:rsid w:val="00611D8A"/>
    <w:rsid w:val="0061430D"/>
    <w:rsid w:val="006150CE"/>
    <w:rsid w:val="006165F4"/>
    <w:rsid w:val="006245EC"/>
    <w:rsid w:val="006309D5"/>
    <w:rsid w:val="00642664"/>
    <w:rsid w:val="00644BBE"/>
    <w:rsid w:val="006479F9"/>
    <w:rsid w:val="00647DDD"/>
    <w:rsid w:val="00653BA4"/>
    <w:rsid w:val="006573B4"/>
    <w:rsid w:val="00657EDA"/>
    <w:rsid w:val="006609A2"/>
    <w:rsid w:val="00660C84"/>
    <w:rsid w:val="0066194B"/>
    <w:rsid w:val="00661FC4"/>
    <w:rsid w:val="006627E6"/>
    <w:rsid w:val="00666D4D"/>
    <w:rsid w:val="00672205"/>
    <w:rsid w:val="006858DA"/>
    <w:rsid w:val="006902F1"/>
    <w:rsid w:val="006918E9"/>
    <w:rsid w:val="006951CE"/>
    <w:rsid w:val="00695B2C"/>
    <w:rsid w:val="006A3B6B"/>
    <w:rsid w:val="006A438B"/>
    <w:rsid w:val="006A4F20"/>
    <w:rsid w:val="006B1E87"/>
    <w:rsid w:val="006B4880"/>
    <w:rsid w:val="006B514A"/>
    <w:rsid w:val="006C31B7"/>
    <w:rsid w:val="006C4213"/>
    <w:rsid w:val="006C43D7"/>
    <w:rsid w:val="006C53ED"/>
    <w:rsid w:val="006C5694"/>
    <w:rsid w:val="006D29AA"/>
    <w:rsid w:val="006D4128"/>
    <w:rsid w:val="006D5E57"/>
    <w:rsid w:val="006E2083"/>
    <w:rsid w:val="006E3064"/>
    <w:rsid w:val="006E68E6"/>
    <w:rsid w:val="006F042A"/>
    <w:rsid w:val="006F2187"/>
    <w:rsid w:val="006F25E5"/>
    <w:rsid w:val="006F2FCE"/>
    <w:rsid w:val="006F415C"/>
    <w:rsid w:val="006F66E7"/>
    <w:rsid w:val="007112CA"/>
    <w:rsid w:val="007202BD"/>
    <w:rsid w:val="007205BF"/>
    <w:rsid w:val="007237D1"/>
    <w:rsid w:val="007241D4"/>
    <w:rsid w:val="00724D82"/>
    <w:rsid w:val="00726311"/>
    <w:rsid w:val="00730BF2"/>
    <w:rsid w:val="00731F09"/>
    <w:rsid w:val="00732A6F"/>
    <w:rsid w:val="0074214D"/>
    <w:rsid w:val="00742764"/>
    <w:rsid w:val="00751452"/>
    <w:rsid w:val="0075156A"/>
    <w:rsid w:val="00751F90"/>
    <w:rsid w:val="007619C5"/>
    <w:rsid w:val="00761C35"/>
    <w:rsid w:val="00762E4C"/>
    <w:rsid w:val="00766026"/>
    <w:rsid w:val="00772025"/>
    <w:rsid w:val="00781AA0"/>
    <w:rsid w:val="00781CF7"/>
    <w:rsid w:val="00782DE8"/>
    <w:rsid w:val="00792E10"/>
    <w:rsid w:val="007938AD"/>
    <w:rsid w:val="007A1D60"/>
    <w:rsid w:val="007A6A95"/>
    <w:rsid w:val="007B165A"/>
    <w:rsid w:val="007B2DAD"/>
    <w:rsid w:val="007B3E2E"/>
    <w:rsid w:val="007B7246"/>
    <w:rsid w:val="007B78C2"/>
    <w:rsid w:val="007C23FF"/>
    <w:rsid w:val="007C5008"/>
    <w:rsid w:val="007D1E79"/>
    <w:rsid w:val="007D27CF"/>
    <w:rsid w:val="007D4DAF"/>
    <w:rsid w:val="007E1175"/>
    <w:rsid w:val="007E468A"/>
    <w:rsid w:val="007E58FC"/>
    <w:rsid w:val="007F1517"/>
    <w:rsid w:val="007F1785"/>
    <w:rsid w:val="007F207F"/>
    <w:rsid w:val="007F5B91"/>
    <w:rsid w:val="00803CEC"/>
    <w:rsid w:val="00805CF9"/>
    <w:rsid w:val="008076A4"/>
    <w:rsid w:val="00810CA3"/>
    <w:rsid w:val="00817D45"/>
    <w:rsid w:val="00822050"/>
    <w:rsid w:val="0082670C"/>
    <w:rsid w:val="00830952"/>
    <w:rsid w:val="00830F84"/>
    <w:rsid w:val="008429CF"/>
    <w:rsid w:val="008443A9"/>
    <w:rsid w:val="008469B3"/>
    <w:rsid w:val="00852EFB"/>
    <w:rsid w:val="00853E83"/>
    <w:rsid w:val="00860576"/>
    <w:rsid w:val="008674AA"/>
    <w:rsid w:val="008675CC"/>
    <w:rsid w:val="0087609B"/>
    <w:rsid w:val="0088094C"/>
    <w:rsid w:val="00881004"/>
    <w:rsid w:val="00882C40"/>
    <w:rsid w:val="00892908"/>
    <w:rsid w:val="008942FC"/>
    <w:rsid w:val="0089562F"/>
    <w:rsid w:val="008A082A"/>
    <w:rsid w:val="008A4DF4"/>
    <w:rsid w:val="008B1C5A"/>
    <w:rsid w:val="008B1DA9"/>
    <w:rsid w:val="008B6162"/>
    <w:rsid w:val="008C3EBC"/>
    <w:rsid w:val="008C57F6"/>
    <w:rsid w:val="008D33A3"/>
    <w:rsid w:val="008D4715"/>
    <w:rsid w:val="008D6F1D"/>
    <w:rsid w:val="008E6D4A"/>
    <w:rsid w:val="008F11CF"/>
    <w:rsid w:val="008F14CE"/>
    <w:rsid w:val="008F189C"/>
    <w:rsid w:val="008F1FE1"/>
    <w:rsid w:val="008F32FF"/>
    <w:rsid w:val="008F4486"/>
    <w:rsid w:val="008F4FC6"/>
    <w:rsid w:val="00902179"/>
    <w:rsid w:val="00903877"/>
    <w:rsid w:val="0091544C"/>
    <w:rsid w:val="00921D03"/>
    <w:rsid w:val="00925CD2"/>
    <w:rsid w:val="00933065"/>
    <w:rsid w:val="00933569"/>
    <w:rsid w:val="009341BC"/>
    <w:rsid w:val="009365B1"/>
    <w:rsid w:val="0093799C"/>
    <w:rsid w:val="009422A1"/>
    <w:rsid w:val="00944804"/>
    <w:rsid w:val="0094634F"/>
    <w:rsid w:val="009473D8"/>
    <w:rsid w:val="00960ADF"/>
    <w:rsid w:val="00963A0C"/>
    <w:rsid w:val="00974A92"/>
    <w:rsid w:val="00975270"/>
    <w:rsid w:val="00975BA1"/>
    <w:rsid w:val="009804FC"/>
    <w:rsid w:val="009835E3"/>
    <w:rsid w:val="009837A6"/>
    <w:rsid w:val="009869F2"/>
    <w:rsid w:val="00987CDB"/>
    <w:rsid w:val="009A2726"/>
    <w:rsid w:val="009A30E0"/>
    <w:rsid w:val="009A3619"/>
    <w:rsid w:val="009A66D0"/>
    <w:rsid w:val="009A7117"/>
    <w:rsid w:val="009B08AF"/>
    <w:rsid w:val="009B11E7"/>
    <w:rsid w:val="009B3DFC"/>
    <w:rsid w:val="009B793E"/>
    <w:rsid w:val="009C1EA6"/>
    <w:rsid w:val="009C37B9"/>
    <w:rsid w:val="009C38E7"/>
    <w:rsid w:val="009C448E"/>
    <w:rsid w:val="009D32BD"/>
    <w:rsid w:val="009D35B5"/>
    <w:rsid w:val="009D4486"/>
    <w:rsid w:val="009F211E"/>
    <w:rsid w:val="009F2572"/>
    <w:rsid w:val="009F294E"/>
    <w:rsid w:val="009F30F1"/>
    <w:rsid w:val="009F37C7"/>
    <w:rsid w:val="009F50AB"/>
    <w:rsid w:val="00A005F6"/>
    <w:rsid w:val="00A0424F"/>
    <w:rsid w:val="00A06516"/>
    <w:rsid w:val="00A103FF"/>
    <w:rsid w:val="00A10E27"/>
    <w:rsid w:val="00A16C6E"/>
    <w:rsid w:val="00A17DB2"/>
    <w:rsid w:val="00A22A14"/>
    <w:rsid w:val="00A26214"/>
    <w:rsid w:val="00A27A51"/>
    <w:rsid w:val="00A37BA4"/>
    <w:rsid w:val="00A402F6"/>
    <w:rsid w:val="00A43739"/>
    <w:rsid w:val="00A4779F"/>
    <w:rsid w:val="00A47815"/>
    <w:rsid w:val="00A47A18"/>
    <w:rsid w:val="00A539CB"/>
    <w:rsid w:val="00A62A3E"/>
    <w:rsid w:val="00A63709"/>
    <w:rsid w:val="00A649E6"/>
    <w:rsid w:val="00A660AF"/>
    <w:rsid w:val="00A666CF"/>
    <w:rsid w:val="00A70A95"/>
    <w:rsid w:val="00A70BDA"/>
    <w:rsid w:val="00A73A76"/>
    <w:rsid w:val="00A740B6"/>
    <w:rsid w:val="00A7621E"/>
    <w:rsid w:val="00A817D5"/>
    <w:rsid w:val="00A93351"/>
    <w:rsid w:val="00A95538"/>
    <w:rsid w:val="00AA0013"/>
    <w:rsid w:val="00AA26FF"/>
    <w:rsid w:val="00AA6E8C"/>
    <w:rsid w:val="00AA6F19"/>
    <w:rsid w:val="00AA75E6"/>
    <w:rsid w:val="00AA79A8"/>
    <w:rsid w:val="00AA7A76"/>
    <w:rsid w:val="00AB0286"/>
    <w:rsid w:val="00AB4C6D"/>
    <w:rsid w:val="00AB55F7"/>
    <w:rsid w:val="00AC2995"/>
    <w:rsid w:val="00AC4165"/>
    <w:rsid w:val="00AC556A"/>
    <w:rsid w:val="00AC76EA"/>
    <w:rsid w:val="00AD2631"/>
    <w:rsid w:val="00AE1220"/>
    <w:rsid w:val="00AE287F"/>
    <w:rsid w:val="00AE63BD"/>
    <w:rsid w:val="00AF0B2B"/>
    <w:rsid w:val="00AF2914"/>
    <w:rsid w:val="00AF291B"/>
    <w:rsid w:val="00AF363F"/>
    <w:rsid w:val="00AF3E4F"/>
    <w:rsid w:val="00B071FF"/>
    <w:rsid w:val="00B11505"/>
    <w:rsid w:val="00B11DC2"/>
    <w:rsid w:val="00B15142"/>
    <w:rsid w:val="00B16F69"/>
    <w:rsid w:val="00B33B5B"/>
    <w:rsid w:val="00B37181"/>
    <w:rsid w:val="00B42807"/>
    <w:rsid w:val="00B428A6"/>
    <w:rsid w:val="00B43340"/>
    <w:rsid w:val="00B4461C"/>
    <w:rsid w:val="00B53913"/>
    <w:rsid w:val="00B554D4"/>
    <w:rsid w:val="00B55F3A"/>
    <w:rsid w:val="00B56906"/>
    <w:rsid w:val="00B61667"/>
    <w:rsid w:val="00B71CB5"/>
    <w:rsid w:val="00B72922"/>
    <w:rsid w:val="00B72A13"/>
    <w:rsid w:val="00B72ADA"/>
    <w:rsid w:val="00B84042"/>
    <w:rsid w:val="00B84DD5"/>
    <w:rsid w:val="00B8522A"/>
    <w:rsid w:val="00B9487E"/>
    <w:rsid w:val="00B95910"/>
    <w:rsid w:val="00BA29E7"/>
    <w:rsid w:val="00BA3A4C"/>
    <w:rsid w:val="00BB0F20"/>
    <w:rsid w:val="00BB4C60"/>
    <w:rsid w:val="00BB7F08"/>
    <w:rsid w:val="00BC35CD"/>
    <w:rsid w:val="00BC415B"/>
    <w:rsid w:val="00BD15AD"/>
    <w:rsid w:val="00BD2CDE"/>
    <w:rsid w:val="00BD41CF"/>
    <w:rsid w:val="00BE0164"/>
    <w:rsid w:val="00BE12BD"/>
    <w:rsid w:val="00BE2ED7"/>
    <w:rsid w:val="00BE6AB8"/>
    <w:rsid w:val="00BF040B"/>
    <w:rsid w:val="00BF086D"/>
    <w:rsid w:val="00BF2167"/>
    <w:rsid w:val="00BF43BC"/>
    <w:rsid w:val="00BF4DDA"/>
    <w:rsid w:val="00BF55C7"/>
    <w:rsid w:val="00BF7ED8"/>
    <w:rsid w:val="00C00276"/>
    <w:rsid w:val="00C04139"/>
    <w:rsid w:val="00C0572E"/>
    <w:rsid w:val="00C21B3D"/>
    <w:rsid w:val="00C24267"/>
    <w:rsid w:val="00C2639B"/>
    <w:rsid w:val="00C2788D"/>
    <w:rsid w:val="00C33398"/>
    <w:rsid w:val="00C361F6"/>
    <w:rsid w:val="00C3669A"/>
    <w:rsid w:val="00C377F6"/>
    <w:rsid w:val="00C423E3"/>
    <w:rsid w:val="00C44BAC"/>
    <w:rsid w:val="00C45626"/>
    <w:rsid w:val="00C458AF"/>
    <w:rsid w:val="00C460A0"/>
    <w:rsid w:val="00C4720D"/>
    <w:rsid w:val="00C50068"/>
    <w:rsid w:val="00C549F4"/>
    <w:rsid w:val="00C610F2"/>
    <w:rsid w:val="00C676F3"/>
    <w:rsid w:val="00C71AB8"/>
    <w:rsid w:val="00C75909"/>
    <w:rsid w:val="00C767D5"/>
    <w:rsid w:val="00C77EFD"/>
    <w:rsid w:val="00C81A10"/>
    <w:rsid w:val="00C829DF"/>
    <w:rsid w:val="00C84021"/>
    <w:rsid w:val="00C84369"/>
    <w:rsid w:val="00C875AE"/>
    <w:rsid w:val="00C9310B"/>
    <w:rsid w:val="00CA696D"/>
    <w:rsid w:val="00CA6B5A"/>
    <w:rsid w:val="00CB1536"/>
    <w:rsid w:val="00CB3907"/>
    <w:rsid w:val="00CB6167"/>
    <w:rsid w:val="00CC0C54"/>
    <w:rsid w:val="00CC1016"/>
    <w:rsid w:val="00CD1721"/>
    <w:rsid w:val="00CD4DDC"/>
    <w:rsid w:val="00CE6301"/>
    <w:rsid w:val="00CF2008"/>
    <w:rsid w:val="00CF23C5"/>
    <w:rsid w:val="00CF3649"/>
    <w:rsid w:val="00CF4188"/>
    <w:rsid w:val="00CF4E9E"/>
    <w:rsid w:val="00CF7848"/>
    <w:rsid w:val="00D058FC"/>
    <w:rsid w:val="00D06213"/>
    <w:rsid w:val="00D10010"/>
    <w:rsid w:val="00D12BB7"/>
    <w:rsid w:val="00D21601"/>
    <w:rsid w:val="00D31882"/>
    <w:rsid w:val="00D31BAB"/>
    <w:rsid w:val="00D31D27"/>
    <w:rsid w:val="00D333F3"/>
    <w:rsid w:val="00D34AFB"/>
    <w:rsid w:val="00D35A03"/>
    <w:rsid w:val="00D37377"/>
    <w:rsid w:val="00D41830"/>
    <w:rsid w:val="00D45B8C"/>
    <w:rsid w:val="00D53A45"/>
    <w:rsid w:val="00D56058"/>
    <w:rsid w:val="00D567E0"/>
    <w:rsid w:val="00D56A09"/>
    <w:rsid w:val="00D61F2D"/>
    <w:rsid w:val="00D630DE"/>
    <w:rsid w:val="00D645C6"/>
    <w:rsid w:val="00D65905"/>
    <w:rsid w:val="00D7327A"/>
    <w:rsid w:val="00D74EC8"/>
    <w:rsid w:val="00D76E2E"/>
    <w:rsid w:val="00D81AC9"/>
    <w:rsid w:val="00D858CC"/>
    <w:rsid w:val="00D9086C"/>
    <w:rsid w:val="00D94745"/>
    <w:rsid w:val="00D95DFF"/>
    <w:rsid w:val="00D963D5"/>
    <w:rsid w:val="00DA41B2"/>
    <w:rsid w:val="00DA5D06"/>
    <w:rsid w:val="00DA7123"/>
    <w:rsid w:val="00DA7B20"/>
    <w:rsid w:val="00DB5727"/>
    <w:rsid w:val="00DC387D"/>
    <w:rsid w:val="00DC52BC"/>
    <w:rsid w:val="00DC621D"/>
    <w:rsid w:val="00DC6A98"/>
    <w:rsid w:val="00DC6EF8"/>
    <w:rsid w:val="00DC7245"/>
    <w:rsid w:val="00DC730A"/>
    <w:rsid w:val="00DD12FC"/>
    <w:rsid w:val="00DD6EBB"/>
    <w:rsid w:val="00DE130A"/>
    <w:rsid w:val="00DE1F21"/>
    <w:rsid w:val="00DE38B2"/>
    <w:rsid w:val="00DE799E"/>
    <w:rsid w:val="00DF260F"/>
    <w:rsid w:val="00DF2C9A"/>
    <w:rsid w:val="00DF5291"/>
    <w:rsid w:val="00DF6AC1"/>
    <w:rsid w:val="00E0040F"/>
    <w:rsid w:val="00E05572"/>
    <w:rsid w:val="00E16292"/>
    <w:rsid w:val="00E166FD"/>
    <w:rsid w:val="00E25706"/>
    <w:rsid w:val="00E264BB"/>
    <w:rsid w:val="00E276DF"/>
    <w:rsid w:val="00E27C6A"/>
    <w:rsid w:val="00E30596"/>
    <w:rsid w:val="00E33434"/>
    <w:rsid w:val="00E37501"/>
    <w:rsid w:val="00E43C23"/>
    <w:rsid w:val="00E45E6A"/>
    <w:rsid w:val="00E46912"/>
    <w:rsid w:val="00E50A42"/>
    <w:rsid w:val="00E54FA5"/>
    <w:rsid w:val="00E56D64"/>
    <w:rsid w:val="00E61081"/>
    <w:rsid w:val="00E635F8"/>
    <w:rsid w:val="00E65B9D"/>
    <w:rsid w:val="00E71CE6"/>
    <w:rsid w:val="00E71E16"/>
    <w:rsid w:val="00E76641"/>
    <w:rsid w:val="00E851E8"/>
    <w:rsid w:val="00E86DF2"/>
    <w:rsid w:val="00E879EC"/>
    <w:rsid w:val="00E906DE"/>
    <w:rsid w:val="00E95703"/>
    <w:rsid w:val="00EA0297"/>
    <w:rsid w:val="00EA2C29"/>
    <w:rsid w:val="00EA3F05"/>
    <w:rsid w:val="00EA5E85"/>
    <w:rsid w:val="00EB0B07"/>
    <w:rsid w:val="00EB144E"/>
    <w:rsid w:val="00EB1B82"/>
    <w:rsid w:val="00EB635D"/>
    <w:rsid w:val="00EB6AA6"/>
    <w:rsid w:val="00EC108D"/>
    <w:rsid w:val="00EC70BC"/>
    <w:rsid w:val="00ED018E"/>
    <w:rsid w:val="00ED07AD"/>
    <w:rsid w:val="00ED1BD6"/>
    <w:rsid w:val="00ED3B36"/>
    <w:rsid w:val="00EE55F9"/>
    <w:rsid w:val="00EE62A5"/>
    <w:rsid w:val="00EE63DE"/>
    <w:rsid w:val="00F11454"/>
    <w:rsid w:val="00F221FC"/>
    <w:rsid w:val="00F24025"/>
    <w:rsid w:val="00F33E1D"/>
    <w:rsid w:val="00F34951"/>
    <w:rsid w:val="00F35CAE"/>
    <w:rsid w:val="00F36EE7"/>
    <w:rsid w:val="00F4468A"/>
    <w:rsid w:val="00F57AFC"/>
    <w:rsid w:val="00F627E4"/>
    <w:rsid w:val="00F65DBD"/>
    <w:rsid w:val="00F669B9"/>
    <w:rsid w:val="00F773E6"/>
    <w:rsid w:val="00F80CEE"/>
    <w:rsid w:val="00F81F36"/>
    <w:rsid w:val="00F8493C"/>
    <w:rsid w:val="00F85468"/>
    <w:rsid w:val="00F86A45"/>
    <w:rsid w:val="00F86BC7"/>
    <w:rsid w:val="00F9202F"/>
    <w:rsid w:val="00F92AA4"/>
    <w:rsid w:val="00FA6B1E"/>
    <w:rsid w:val="00FB4165"/>
    <w:rsid w:val="00FB59A0"/>
    <w:rsid w:val="00FC42BD"/>
    <w:rsid w:val="00FC48F4"/>
    <w:rsid w:val="00FD2E9B"/>
    <w:rsid w:val="00FE065B"/>
    <w:rsid w:val="00FE17D2"/>
    <w:rsid w:val="00FE6A21"/>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080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cgi-bin/LawCite?cit=1988%20%284%29%20SA%203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F50D-B7FB-4E62-A892-363AA81C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2023-02-10T11:26:00Z</cp:lastPrinted>
  <dcterms:created xsi:type="dcterms:W3CDTF">2023-03-06T06:36:00Z</dcterms:created>
  <dcterms:modified xsi:type="dcterms:W3CDTF">2023-03-06T06:37:00Z</dcterms:modified>
</cp:coreProperties>
</file>