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D6477" w14:textId="59DEA047" w:rsidR="002F0996" w:rsidRPr="00AB52EE" w:rsidRDefault="002F0996" w:rsidP="00D22617">
      <w:pPr>
        <w:autoSpaceDE w:val="0"/>
        <w:autoSpaceDN w:val="0"/>
        <w:adjustRightInd w:val="0"/>
        <w:spacing w:line="360" w:lineRule="auto"/>
        <w:jc w:val="center"/>
        <w:rPr>
          <w:rFonts w:ascii="Arial" w:hAnsi="Arial" w:cs="Arial"/>
          <w:b/>
          <w:bCs/>
          <w:sz w:val="24"/>
          <w:szCs w:val="24"/>
        </w:rPr>
      </w:pPr>
      <w:bookmarkStart w:id="0" w:name="_GoBack"/>
      <w:bookmarkEnd w:id="0"/>
      <w:r w:rsidRPr="00AB52EE">
        <w:rPr>
          <w:rFonts w:ascii="Arial" w:hAnsi="Arial" w:cs="Arial"/>
          <w:b/>
          <w:bCs/>
          <w:noProof/>
          <w:sz w:val="24"/>
          <w:szCs w:val="24"/>
          <w:lang w:eastAsia="en-ZA"/>
        </w:rPr>
        <w:drawing>
          <wp:inline distT="0" distB="0" distL="0" distR="0" wp14:anchorId="4CB7A0EE" wp14:editId="5B581E42">
            <wp:extent cx="1296848" cy="1147212"/>
            <wp:effectExtent l="0" t="0" r="0" b="0"/>
            <wp:docPr id="369414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14636" name="Picture 369414636"/>
                    <pic:cNvPicPr/>
                  </pic:nvPicPr>
                  <pic:blipFill>
                    <a:blip r:embed="rId9">
                      <a:extLst>
                        <a:ext uri="{28A0092B-C50C-407E-A947-70E740481C1C}">
                          <a14:useLocalDpi xmlns:a14="http://schemas.microsoft.com/office/drawing/2010/main" val="0"/>
                        </a:ext>
                      </a:extLst>
                    </a:blip>
                    <a:stretch>
                      <a:fillRect/>
                    </a:stretch>
                  </pic:blipFill>
                  <pic:spPr>
                    <a:xfrm>
                      <a:off x="0" y="0"/>
                      <a:ext cx="1296848" cy="1147212"/>
                    </a:xfrm>
                    <a:prstGeom prst="rect">
                      <a:avLst/>
                    </a:prstGeom>
                  </pic:spPr>
                </pic:pic>
              </a:graphicData>
            </a:graphic>
          </wp:inline>
        </w:drawing>
      </w:r>
    </w:p>
    <w:p w14:paraId="3954D95A" w14:textId="7128E9C7" w:rsidR="000D0102" w:rsidRPr="00AB52EE" w:rsidRDefault="00D202C2" w:rsidP="00D22617">
      <w:pPr>
        <w:autoSpaceDE w:val="0"/>
        <w:autoSpaceDN w:val="0"/>
        <w:adjustRightInd w:val="0"/>
        <w:spacing w:line="360" w:lineRule="auto"/>
        <w:jc w:val="center"/>
        <w:rPr>
          <w:rFonts w:ascii="Arial" w:hAnsi="Arial" w:cs="Arial"/>
          <w:b/>
          <w:bCs/>
          <w:sz w:val="24"/>
          <w:szCs w:val="24"/>
        </w:rPr>
      </w:pPr>
      <w:r w:rsidRPr="00AB52EE">
        <w:rPr>
          <w:rFonts w:ascii="Arial" w:hAnsi="Arial" w:cs="Arial"/>
          <w:b/>
          <w:bCs/>
          <w:sz w:val="24"/>
          <w:szCs w:val="24"/>
        </w:rPr>
        <w:t xml:space="preserve">IN THE </w:t>
      </w:r>
      <w:r w:rsidR="000D0102" w:rsidRPr="00AB52EE">
        <w:rPr>
          <w:rFonts w:ascii="Arial" w:hAnsi="Arial" w:cs="Arial"/>
          <w:b/>
          <w:bCs/>
          <w:sz w:val="24"/>
          <w:szCs w:val="24"/>
        </w:rPr>
        <w:t xml:space="preserve">HIGH </w:t>
      </w:r>
      <w:r w:rsidRPr="00AB52EE">
        <w:rPr>
          <w:rFonts w:ascii="Arial" w:hAnsi="Arial" w:cs="Arial"/>
          <w:b/>
          <w:bCs/>
          <w:sz w:val="24"/>
          <w:szCs w:val="24"/>
        </w:rPr>
        <w:t>COURT OF SOUTH AFRICA</w:t>
      </w:r>
    </w:p>
    <w:p w14:paraId="072336A1" w14:textId="605FDDC8" w:rsidR="00D202C2" w:rsidRPr="00AB52EE" w:rsidRDefault="000D0102" w:rsidP="00D22617">
      <w:pPr>
        <w:autoSpaceDE w:val="0"/>
        <w:autoSpaceDN w:val="0"/>
        <w:adjustRightInd w:val="0"/>
        <w:spacing w:after="120" w:line="360" w:lineRule="auto"/>
        <w:jc w:val="center"/>
        <w:rPr>
          <w:rFonts w:ascii="Arial" w:hAnsi="Arial" w:cs="Arial"/>
          <w:b/>
          <w:bCs/>
          <w:sz w:val="24"/>
          <w:szCs w:val="24"/>
        </w:rPr>
      </w:pPr>
      <w:r w:rsidRPr="00AB52EE">
        <w:rPr>
          <w:rFonts w:ascii="Arial" w:hAnsi="Arial" w:cs="Arial"/>
          <w:b/>
          <w:bCs/>
          <w:sz w:val="24"/>
          <w:szCs w:val="24"/>
        </w:rPr>
        <w:t>(GAUTENG DIVISION</w:t>
      </w:r>
      <w:r w:rsidR="00D202C2" w:rsidRPr="00AB52EE">
        <w:rPr>
          <w:rFonts w:ascii="Arial" w:hAnsi="Arial" w:cs="Arial"/>
          <w:b/>
          <w:bCs/>
          <w:sz w:val="24"/>
          <w:szCs w:val="24"/>
        </w:rPr>
        <w:t xml:space="preserve">, </w:t>
      </w:r>
      <w:r w:rsidR="004071E9" w:rsidRPr="00AB52EE">
        <w:rPr>
          <w:rFonts w:ascii="Arial" w:hAnsi="Arial" w:cs="Arial"/>
          <w:b/>
          <w:bCs/>
          <w:sz w:val="24"/>
          <w:szCs w:val="24"/>
        </w:rPr>
        <w:t>JOHANNESBURG</w:t>
      </w:r>
      <w:r w:rsidRPr="00AB52EE">
        <w:rPr>
          <w:rFonts w:ascii="Arial" w:hAnsi="Arial" w:cs="Arial"/>
          <w:b/>
          <w:bCs/>
          <w:sz w:val="24"/>
          <w:szCs w:val="24"/>
        </w:rPr>
        <w:t>)</w:t>
      </w:r>
    </w:p>
    <w:p w14:paraId="6CF3654C" w14:textId="7961DE67" w:rsidR="00D202C2" w:rsidRPr="00AB52EE" w:rsidRDefault="00D202C2" w:rsidP="00B928FE">
      <w:pPr>
        <w:autoSpaceDE w:val="0"/>
        <w:autoSpaceDN w:val="0"/>
        <w:adjustRightInd w:val="0"/>
        <w:spacing w:before="240" w:after="120" w:line="360" w:lineRule="auto"/>
        <w:ind w:left="720"/>
        <w:jc w:val="right"/>
        <w:rPr>
          <w:rFonts w:ascii="Arial" w:hAnsi="Arial" w:cs="Arial"/>
          <w:sz w:val="24"/>
          <w:szCs w:val="24"/>
        </w:rPr>
      </w:pPr>
      <w:r w:rsidRPr="00AB52EE">
        <w:rPr>
          <w:rFonts w:ascii="Arial" w:hAnsi="Arial" w:cs="Arial"/>
          <w:sz w:val="24"/>
          <w:szCs w:val="24"/>
        </w:rPr>
        <w:t xml:space="preserve">Case no: </w:t>
      </w:r>
      <w:r w:rsidR="002A5F1F" w:rsidRPr="00AB52EE">
        <w:rPr>
          <w:rFonts w:ascii="Arial" w:hAnsi="Arial" w:cs="Arial"/>
          <w:sz w:val="24"/>
          <w:szCs w:val="24"/>
        </w:rPr>
        <w:t>20</w:t>
      </w:r>
      <w:r w:rsidR="00FE6761" w:rsidRPr="00AB52EE">
        <w:rPr>
          <w:rFonts w:ascii="Arial" w:hAnsi="Arial" w:cs="Arial"/>
          <w:sz w:val="24"/>
          <w:szCs w:val="24"/>
        </w:rPr>
        <w:t>21</w:t>
      </w:r>
      <w:r w:rsidR="00F95AEC" w:rsidRPr="00AB52EE">
        <w:rPr>
          <w:rFonts w:ascii="Arial" w:hAnsi="Arial" w:cs="Arial"/>
          <w:sz w:val="24"/>
          <w:szCs w:val="24"/>
        </w:rPr>
        <w:t>/</w:t>
      </w:r>
      <w:r w:rsidR="00560E1C" w:rsidRPr="00AB52EE">
        <w:rPr>
          <w:rFonts w:ascii="Arial" w:hAnsi="Arial" w:cs="Arial"/>
          <w:sz w:val="24"/>
          <w:szCs w:val="24"/>
        </w:rPr>
        <w:t>50184</w:t>
      </w:r>
    </w:p>
    <w:p w14:paraId="50821842" w14:textId="77777777" w:rsidR="007D51E5" w:rsidRPr="00AB52EE" w:rsidRDefault="007D51E5" w:rsidP="00B928FE">
      <w:pPr>
        <w:autoSpaceDE w:val="0"/>
        <w:autoSpaceDN w:val="0"/>
        <w:adjustRightInd w:val="0"/>
        <w:spacing w:before="240" w:after="120" w:line="360" w:lineRule="auto"/>
        <w:rPr>
          <w:rFonts w:ascii="Arial" w:hAnsi="Arial" w:cs="Arial"/>
          <w:sz w:val="24"/>
          <w:szCs w:val="24"/>
        </w:rPr>
      </w:pPr>
      <w:r w:rsidRPr="00AB52EE">
        <w:rPr>
          <w:rFonts w:ascii="Arial" w:hAnsi="Arial" w:cs="Arial"/>
          <w:noProof/>
          <w:sz w:val="24"/>
          <w:szCs w:val="24"/>
          <w:lang w:eastAsia="en-ZA"/>
        </w:rPr>
        <mc:AlternateContent>
          <mc:Choice Requires="wps">
            <w:drawing>
              <wp:inline distT="0" distB="0" distL="0" distR="0" wp14:anchorId="354FFED0" wp14:editId="58EF5345">
                <wp:extent cx="3314700" cy="1371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016463" w14:textId="77777777" w:rsidR="00FC0780" w:rsidRDefault="00FC0780" w:rsidP="007D51E5">
                            <w:pPr>
                              <w:jc w:val="center"/>
                              <w:rPr>
                                <w:rFonts w:ascii="Century Gothic" w:hAnsi="Century Gothic"/>
                                <w:b/>
                                <w:sz w:val="20"/>
                                <w:szCs w:val="20"/>
                              </w:rPr>
                            </w:pPr>
                          </w:p>
                          <w:p w14:paraId="0E750DD9" w14:textId="1EB40F84" w:rsidR="00FC0780" w:rsidRDefault="00FC0780">
                            <w:pPr>
                              <w:numPr>
                                <w:ilvl w:val="0"/>
                                <w:numId w:val="4"/>
                              </w:numPr>
                              <w:spacing w:line="240" w:lineRule="auto"/>
                              <w:jc w:val="left"/>
                              <w:rPr>
                                <w:rFonts w:ascii="Century Gothic" w:hAnsi="Century Gothic"/>
                                <w:sz w:val="20"/>
                                <w:szCs w:val="20"/>
                              </w:rPr>
                            </w:pPr>
                            <w:r>
                              <w:rPr>
                                <w:rFonts w:ascii="Century Gothic" w:hAnsi="Century Gothic"/>
                                <w:sz w:val="20"/>
                                <w:szCs w:val="20"/>
                              </w:rPr>
                              <w:t xml:space="preserve">REPORTABLE:  </w:t>
                            </w:r>
                            <w:r w:rsidR="00A97819">
                              <w:rPr>
                                <w:rFonts w:ascii="Century Gothic" w:hAnsi="Century Gothic"/>
                                <w:sz w:val="20"/>
                                <w:szCs w:val="20"/>
                              </w:rPr>
                              <w:t>YES</w:t>
                            </w:r>
                          </w:p>
                          <w:p w14:paraId="3BA0F62E" w14:textId="1A9E3C90" w:rsidR="00FC0780" w:rsidRDefault="00FC0780">
                            <w:pPr>
                              <w:numPr>
                                <w:ilvl w:val="0"/>
                                <w:numId w:val="4"/>
                              </w:numPr>
                              <w:spacing w:line="240" w:lineRule="auto"/>
                              <w:jc w:val="left"/>
                              <w:rPr>
                                <w:rFonts w:ascii="Century Gothic" w:hAnsi="Century Gothic"/>
                                <w:sz w:val="20"/>
                                <w:szCs w:val="20"/>
                              </w:rPr>
                            </w:pPr>
                            <w:r>
                              <w:rPr>
                                <w:rFonts w:ascii="Century Gothic" w:hAnsi="Century Gothic"/>
                                <w:sz w:val="20"/>
                                <w:szCs w:val="20"/>
                              </w:rPr>
                              <w:t xml:space="preserve">OF INTEREST TO OTHER JUDGES: </w:t>
                            </w:r>
                            <w:r w:rsidR="00A97819">
                              <w:rPr>
                                <w:rFonts w:ascii="Century Gothic" w:hAnsi="Century Gothic"/>
                                <w:sz w:val="20"/>
                                <w:szCs w:val="20"/>
                              </w:rPr>
                              <w:t>YES</w:t>
                            </w:r>
                          </w:p>
                          <w:p w14:paraId="29110CF7" w14:textId="2DFA0AEA" w:rsidR="00FC0780" w:rsidRDefault="00FC0780">
                            <w:pPr>
                              <w:numPr>
                                <w:ilvl w:val="0"/>
                                <w:numId w:val="4"/>
                              </w:numPr>
                              <w:spacing w:line="240" w:lineRule="auto"/>
                              <w:jc w:val="left"/>
                              <w:rPr>
                                <w:rFonts w:ascii="Century Gothic" w:hAnsi="Century Gothic"/>
                                <w:sz w:val="20"/>
                                <w:szCs w:val="20"/>
                              </w:rPr>
                            </w:pPr>
                            <w:r>
                              <w:rPr>
                                <w:rFonts w:ascii="Century Gothic" w:hAnsi="Century Gothic"/>
                                <w:sz w:val="20"/>
                                <w:szCs w:val="20"/>
                              </w:rPr>
                              <w:t>REVISED</w:t>
                            </w:r>
                            <w:r w:rsidR="00EF21BD">
                              <w:rPr>
                                <w:rFonts w:ascii="Century Gothic" w:hAnsi="Century Gothic"/>
                                <w:sz w:val="20"/>
                                <w:szCs w:val="20"/>
                              </w:rPr>
                              <w:t xml:space="preserve">: </w:t>
                            </w:r>
                            <w:r w:rsidR="00692D17">
                              <w:rPr>
                                <w:rFonts w:ascii="Century Gothic" w:hAnsi="Century Gothic"/>
                                <w:sz w:val="20"/>
                                <w:szCs w:val="20"/>
                              </w:rPr>
                              <w:t xml:space="preserve">YES </w:t>
                            </w:r>
                          </w:p>
                          <w:p w14:paraId="0E2B39CC" w14:textId="77777777" w:rsidR="00FC0780" w:rsidRDefault="00FC0780" w:rsidP="007D51E5">
                            <w:pPr>
                              <w:rPr>
                                <w:rFonts w:ascii="Century Gothic" w:hAnsi="Century Gothic"/>
                                <w:b/>
                                <w:sz w:val="18"/>
                                <w:szCs w:val="18"/>
                              </w:rPr>
                            </w:pPr>
                          </w:p>
                          <w:p w14:paraId="2B550753" w14:textId="6C818128" w:rsidR="00FC0780" w:rsidRDefault="00FC0780" w:rsidP="007D51E5">
                            <w:pPr>
                              <w:rPr>
                                <w:rFonts w:ascii="Century Gothic" w:hAnsi="Century Gothic"/>
                                <w:b/>
                                <w:sz w:val="18"/>
                                <w:szCs w:val="18"/>
                              </w:rPr>
                            </w:pPr>
                            <w:r>
                              <w:rPr>
                                <w:rFonts w:ascii="Century Gothic" w:hAnsi="Century Gothic"/>
                                <w:b/>
                                <w:sz w:val="18"/>
                                <w:szCs w:val="18"/>
                              </w:rPr>
                              <w:t xml:space="preserve"> </w:t>
                            </w:r>
                            <w:r w:rsidR="00BD1B12">
                              <w:rPr>
                                <w:rFonts w:ascii="Century Gothic" w:hAnsi="Century Gothic"/>
                                <w:b/>
                                <w:sz w:val="18"/>
                                <w:szCs w:val="18"/>
                              </w:rPr>
                              <w:t xml:space="preserve"> </w:t>
                            </w:r>
                            <w:r w:rsidR="00BD1B12" w:rsidRPr="00FE508D">
                              <w:rPr>
                                <w:rFonts w:ascii="Century Gothic" w:hAnsi="Century Gothic"/>
                                <w:b/>
                                <w:sz w:val="18"/>
                                <w:szCs w:val="18"/>
                              </w:rPr>
                              <w:t>Signed: …………………</w:t>
                            </w:r>
                            <w:r w:rsidR="00BD1B12">
                              <w:rPr>
                                <w:rFonts w:ascii="Century Gothic" w:hAnsi="Century Gothic"/>
                                <w:b/>
                                <w:sz w:val="18"/>
                                <w:szCs w:val="18"/>
                              </w:rPr>
                              <w:t xml:space="preserve">…..     </w:t>
                            </w:r>
                            <w:r w:rsidR="00BD1B12" w:rsidRPr="00FE508D">
                              <w:rPr>
                                <w:rFonts w:ascii="Century Gothic" w:hAnsi="Century Gothic"/>
                                <w:b/>
                                <w:sz w:val="18"/>
                                <w:szCs w:val="18"/>
                              </w:rPr>
                              <w:t xml:space="preserve">Date: </w:t>
                            </w:r>
                            <w:r w:rsidR="00B45B44">
                              <w:rPr>
                                <w:rFonts w:ascii="Century Gothic" w:hAnsi="Century Gothic"/>
                                <w:b/>
                                <w:sz w:val="18"/>
                                <w:szCs w:val="18"/>
                              </w:rPr>
                              <w:t>2</w:t>
                            </w:r>
                            <w:r w:rsidR="00692D17">
                              <w:rPr>
                                <w:rFonts w:ascii="Century Gothic" w:hAnsi="Century Gothic"/>
                                <w:b/>
                                <w:sz w:val="18"/>
                                <w:szCs w:val="18"/>
                              </w:rPr>
                              <w:t>6</w:t>
                            </w:r>
                            <w:r w:rsidR="0012530E">
                              <w:rPr>
                                <w:rFonts w:ascii="Century Gothic" w:hAnsi="Century Gothic"/>
                                <w:b/>
                                <w:sz w:val="18"/>
                                <w:szCs w:val="18"/>
                              </w:rPr>
                              <w:t xml:space="preserve"> </w:t>
                            </w:r>
                            <w:r w:rsidR="00EF21BD">
                              <w:rPr>
                                <w:rFonts w:ascii="Century Gothic" w:hAnsi="Century Gothic"/>
                                <w:b/>
                                <w:sz w:val="18"/>
                                <w:szCs w:val="18"/>
                              </w:rPr>
                              <w:t>November 20</w:t>
                            </w:r>
                            <w:r w:rsidR="00E6611A">
                              <w:rPr>
                                <w:rFonts w:ascii="Century Gothic" w:hAnsi="Century Gothic"/>
                                <w:b/>
                                <w:sz w:val="18"/>
                                <w:szCs w:val="18"/>
                              </w:rPr>
                              <w:t>23</w:t>
                            </w:r>
                          </w:p>
                          <w:p w14:paraId="7806C82D" w14:textId="77777777" w:rsidR="00FC0780" w:rsidRDefault="00FC0780" w:rsidP="007D51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54FFED0" id="_x0000_t202" coordsize="21600,21600" o:spt="202" path="m,l,21600r21600,l21600,xe">
                <v:stroke joinstyle="miter"/>
                <v:path gradientshapeok="t" o:connecttype="rect"/>
              </v:shapetype>
              <v:shape id="Text Box 1" o:spid="_x0000_s1026" type="#_x0000_t202" style="width:261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">
                <v:textbox>
                  <w:txbxContent>
                    <w:p w14:paraId="56016463" w14:textId="77777777" w:rsidR="00FC0780" w:rsidRDefault="00FC0780" w:rsidP="007D51E5">
                      <w:pPr>
                        <w:jc w:val="center"/>
                        <w:rPr>
                          <w:rFonts w:ascii="Century Gothic" w:hAnsi="Century Gothic"/>
                          <w:b/>
                          <w:sz w:val="20"/>
                          <w:szCs w:val="20"/>
                        </w:rPr>
                      </w:pPr>
                    </w:p>
                    <w:p w14:paraId="0E750DD9" w14:textId="1EB40F84" w:rsidR="00FC0780" w:rsidRDefault="00FC0780">
                      <w:pPr>
                        <w:numPr>
                          <w:ilvl w:val="0"/>
                          <w:numId w:val="4"/>
                        </w:numPr>
                        <w:spacing w:line="240" w:lineRule="auto"/>
                        <w:jc w:val="left"/>
                        <w:rPr>
                          <w:rFonts w:ascii="Century Gothic" w:hAnsi="Century Gothic"/>
                          <w:sz w:val="20"/>
                          <w:szCs w:val="20"/>
                        </w:rPr>
                      </w:pPr>
                      <w:r>
                        <w:rPr>
                          <w:rFonts w:ascii="Century Gothic" w:hAnsi="Century Gothic"/>
                          <w:sz w:val="20"/>
                          <w:szCs w:val="20"/>
                        </w:rPr>
                        <w:t xml:space="preserve">REPORTABLE:  </w:t>
                      </w:r>
                      <w:r w:rsidR="00A97819">
                        <w:rPr>
                          <w:rFonts w:ascii="Century Gothic" w:hAnsi="Century Gothic"/>
                          <w:sz w:val="20"/>
                          <w:szCs w:val="20"/>
                        </w:rPr>
                        <w:t>YES</w:t>
                      </w:r>
                    </w:p>
                    <w:p w14:paraId="3BA0F62E" w14:textId="1A9E3C90" w:rsidR="00FC0780" w:rsidRDefault="00FC0780">
                      <w:pPr>
                        <w:numPr>
                          <w:ilvl w:val="0"/>
                          <w:numId w:val="4"/>
                        </w:numPr>
                        <w:spacing w:line="240" w:lineRule="auto"/>
                        <w:jc w:val="left"/>
                        <w:rPr>
                          <w:rFonts w:ascii="Century Gothic" w:hAnsi="Century Gothic"/>
                          <w:sz w:val="20"/>
                          <w:szCs w:val="20"/>
                        </w:rPr>
                      </w:pPr>
                      <w:r>
                        <w:rPr>
                          <w:rFonts w:ascii="Century Gothic" w:hAnsi="Century Gothic"/>
                          <w:sz w:val="20"/>
                          <w:szCs w:val="20"/>
                        </w:rPr>
                        <w:t xml:space="preserve">OF INTEREST TO OTHER JUDGES: </w:t>
                      </w:r>
                      <w:r w:rsidR="00A97819">
                        <w:rPr>
                          <w:rFonts w:ascii="Century Gothic" w:hAnsi="Century Gothic"/>
                          <w:sz w:val="20"/>
                          <w:szCs w:val="20"/>
                        </w:rPr>
                        <w:t>YES</w:t>
                      </w:r>
                    </w:p>
                    <w:p w14:paraId="29110CF7" w14:textId="2DFA0AEA" w:rsidR="00FC0780" w:rsidRDefault="00FC0780">
                      <w:pPr>
                        <w:numPr>
                          <w:ilvl w:val="0"/>
                          <w:numId w:val="4"/>
                        </w:numPr>
                        <w:spacing w:line="240" w:lineRule="auto"/>
                        <w:jc w:val="left"/>
                        <w:rPr>
                          <w:rFonts w:ascii="Century Gothic" w:hAnsi="Century Gothic"/>
                          <w:sz w:val="20"/>
                          <w:szCs w:val="20"/>
                        </w:rPr>
                      </w:pPr>
                      <w:r>
                        <w:rPr>
                          <w:rFonts w:ascii="Century Gothic" w:hAnsi="Century Gothic"/>
                          <w:sz w:val="20"/>
                          <w:szCs w:val="20"/>
                        </w:rPr>
                        <w:t>REVISED</w:t>
                      </w:r>
                      <w:r w:rsidR="00EF21BD">
                        <w:rPr>
                          <w:rFonts w:ascii="Century Gothic" w:hAnsi="Century Gothic"/>
                          <w:sz w:val="20"/>
                          <w:szCs w:val="20"/>
                        </w:rPr>
                        <w:t xml:space="preserve">: </w:t>
                      </w:r>
                      <w:r w:rsidR="00692D17">
                        <w:rPr>
                          <w:rFonts w:ascii="Century Gothic" w:hAnsi="Century Gothic"/>
                          <w:sz w:val="20"/>
                          <w:szCs w:val="20"/>
                        </w:rPr>
                        <w:t>YES</w:t>
                      </w:r>
                      <w:r w:rsidR="00692D17">
                        <w:rPr>
                          <w:rFonts w:ascii="Century Gothic" w:hAnsi="Century Gothic"/>
                          <w:sz w:val="20"/>
                          <w:szCs w:val="20"/>
                        </w:rPr>
                        <w:t xml:space="preserve"> </w:t>
                      </w:r>
                    </w:p>
                    <w:p w14:paraId="0E2B39CC" w14:textId="77777777" w:rsidR="00FC0780" w:rsidRDefault="00FC0780" w:rsidP="007D51E5">
                      <w:pPr>
                        <w:rPr>
                          <w:rFonts w:ascii="Century Gothic" w:hAnsi="Century Gothic"/>
                          <w:b/>
                          <w:sz w:val="18"/>
                          <w:szCs w:val="18"/>
                        </w:rPr>
                      </w:pPr>
                    </w:p>
                    <w:p w14:paraId="2B550753" w14:textId="6C818128" w:rsidR="00FC0780" w:rsidRDefault="00FC0780" w:rsidP="007D51E5">
                      <w:pPr>
                        <w:rPr>
                          <w:rFonts w:ascii="Century Gothic" w:hAnsi="Century Gothic"/>
                          <w:b/>
                          <w:sz w:val="18"/>
                          <w:szCs w:val="18"/>
                        </w:rPr>
                      </w:pPr>
                      <w:r>
                        <w:rPr>
                          <w:rFonts w:ascii="Century Gothic" w:hAnsi="Century Gothic"/>
                          <w:b/>
                          <w:sz w:val="18"/>
                          <w:szCs w:val="18"/>
                        </w:rPr>
                        <w:t xml:space="preserve"> </w:t>
                      </w:r>
                      <w:r w:rsidR="00BD1B12">
                        <w:rPr>
                          <w:rFonts w:ascii="Century Gothic" w:hAnsi="Century Gothic"/>
                          <w:b/>
                          <w:sz w:val="18"/>
                          <w:szCs w:val="18"/>
                        </w:rPr>
                        <w:t xml:space="preserve"> </w:t>
                      </w:r>
                      <w:r w:rsidR="00BD1B12" w:rsidRPr="00FE508D">
                        <w:rPr>
                          <w:rFonts w:ascii="Century Gothic" w:hAnsi="Century Gothic"/>
                          <w:b/>
                          <w:sz w:val="18"/>
                          <w:szCs w:val="18"/>
                        </w:rPr>
                        <w:t>Signed: …………………</w:t>
                      </w:r>
                      <w:r w:rsidR="00BD1B12">
                        <w:rPr>
                          <w:rFonts w:ascii="Century Gothic" w:hAnsi="Century Gothic"/>
                          <w:b/>
                          <w:sz w:val="18"/>
                          <w:szCs w:val="18"/>
                        </w:rPr>
                        <w:t xml:space="preserve">…..     </w:t>
                      </w:r>
                      <w:r w:rsidR="00BD1B12" w:rsidRPr="00FE508D">
                        <w:rPr>
                          <w:rFonts w:ascii="Century Gothic" w:hAnsi="Century Gothic"/>
                          <w:b/>
                          <w:sz w:val="18"/>
                          <w:szCs w:val="18"/>
                        </w:rPr>
                        <w:t xml:space="preserve">Date: </w:t>
                      </w:r>
                      <w:r w:rsidR="00B45B44">
                        <w:rPr>
                          <w:rFonts w:ascii="Century Gothic" w:hAnsi="Century Gothic"/>
                          <w:b/>
                          <w:sz w:val="18"/>
                          <w:szCs w:val="18"/>
                        </w:rPr>
                        <w:t>2</w:t>
                      </w:r>
                      <w:r w:rsidR="00692D17">
                        <w:rPr>
                          <w:rFonts w:ascii="Century Gothic" w:hAnsi="Century Gothic"/>
                          <w:b/>
                          <w:sz w:val="18"/>
                          <w:szCs w:val="18"/>
                        </w:rPr>
                        <w:t>6</w:t>
                      </w:r>
                      <w:r w:rsidR="0012530E">
                        <w:rPr>
                          <w:rFonts w:ascii="Century Gothic" w:hAnsi="Century Gothic"/>
                          <w:b/>
                          <w:sz w:val="18"/>
                          <w:szCs w:val="18"/>
                        </w:rPr>
                        <w:t xml:space="preserve"> </w:t>
                      </w:r>
                      <w:r w:rsidR="00EF21BD">
                        <w:rPr>
                          <w:rFonts w:ascii="Century Gothic" w:hAnsi="Century Gothic"/>
                          <w:b/>
                          <w:sz w:val="18"/>
                          <w:szCs w:val="18"/>
                        </w:rPr>
                        <w:t>November 20</w:t>
                      </w:r>
                      <w:r w:rsidR="00E6611A">
                        <w:rPr>
                          <w:rFonts w:ascii="Century Gothic" w:hAnsi="Century Gothic"/>
                          <w:b/>
                          <w:sz w:val="18"/>
                          <w:szCs w:val="18"/>
                        </w:rPr>
                        <w:t>23</w:t>
                      </w:r>
                    </w:p>
                    <w:p w14:paraId="7806C82D" w14:textId="77777777" w:rsidR="00FC0780" w:rsidRDefault="00FC0780" w:rsidP="007D51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w10:anchorlock/>
              </v:shape>
            </w:pict>
          </mc:Fallback>
        </mc:AlternateContent>
      </w:r>
    </w:p>
    <w:p w14:paraId="118BBB4F" w14:textId="7ACB67D8" w:rsidR="00FE6761" w:rsidRPr="00AB52EE" w:rsidRDefault="00FE6761" w:rsidP="00FE6761">
      <w:pPr>
        <w:spacing w:line="360" w:lineRule="auto"/>
        <w:rPr>
          <w:rFonts w:ascii="Arial" w:hAnsi="Arial" w:cs="Arial"/>
          <w:b/>
          <w:sz w:val="24"/>
          <w:szCs w:val="24"/>
          <w:lang w:val="en-US" w:eastAsia="en-ZA"/>
        </w:rPr>
      </w:pPr>
    </w:p>
    <w:p w14:paraId="685BC0D4" w14:textId="3CCBBAB5" w:rsidR="00F95AEC" w:rsidRPr="00AB52EE" w:rsidRDefault="00F95AEC" w:rsidP="00FE6761">
      <w:pPr>
        <w:spacing w:line="360" w:lineRule="auto"/>
        <w:rPr>
          <w:rFonts w:ascii="Arial" w:hAnsi="Arial" w:cs="Arial"/>
          <w:bCs/>
          <w:i/>
          <w:iCs/>
          <w:sz w:val="24"/>
          <w:szCs w:val="24"/>
          <w:lang w:val="en-US" w:eastAsia="en-ZA"/>
        </w:rPr>
      </w:pPr>
      <w:r w:rsidRPr="00AB52EE">
        <w:rPr>
          <w:rFonts w:ascii="Arial" w:hAnsi="Arial" w:cs="Arial"/>
          <w:bCs/>
          <w:sz w:val="24"/>
          <w:szCs w:val="24"/>
          <w:lang w:val="en-US" w:eastAsia="en-ZA"/>
        </w:rPr>
        <w:t xml:space="preserve">In </w:t>
      </w:r>
      <w:r w:rsidR="00752526" w:rsidRPr="00AB52EE">
        <w:rPr>
          <w:rFonts w:ascii="Arial" w:hAnsi="Arial" w:cs="Arial"/>
          <w:bCs/>
          <w:sz w:val="24"/>
          <w:szCs w:val="24"/>
          <w:lang w:val="en-US" w:eastAsia="en-ZA"/>
        </w:rPr>
        <w:t xml:space="preserve">the reconsideration of </w:t>
      </w:r>
      <w:r w:rsidRPr="00AB52EE">
        <w:rPr>
          <w:rFonts w:ascii="Arial" w:hAnsi="Arial" w:cs="Arial"/>
          <w:bCs/>
          <w:sz w:val="24"/>
          <w:szCs w:val="24"/>
          <w:lang w:val="en-US" w:eastAsia="en-ZA"/>
        </w:rPr>
        <w:t>the</w:t>
      </w:r>
      <w:r w:rsidRPr="00AB52EE">
        <w:rPr>
          <w:rFonts w:ascii="Arial" w:hAnsi="Arial" w:cs="Arial"/>
          <w:bCs/>
          <w:i/>
          <w:iCs/>
          <w:sz w:val="24"/>
          <w:szCs w:val="24"/>
          <w:lang w:val="en-US" w:eastAsia="en-ZA"/>
        </w:rPr>
        <w:t xml:space="preserve"> ex parte </w:t>
      </w:r>
      <w:r w:rsidRPr="00AB52EE">
        <w:rPr>
          <w:rFonts w:ascii="Arial" w:hAnsi="Arial" w:cs="Arial"/>
          <w:bCs/>
          <w:sz w:val="24"/>
          <w:szCs w:val="24"/>
          <w:lang w:val="en-US" w:eastAsia="en-ZA"/>
        </w:rPr>
        <w:t xml:space="preserve">application </w:t>
      </w:r>
      <w:r w:rsidR="00752526" w:rsidRPr="00AB52EE">
        <w:rPr>
          <w:rFonts w:ascii="Arial" w:hAnsi="Arial" w:cs="Arial"/>
          <w:bCs/>
          <w:sz w:val="24"/>
          <w:szCs w:val="24"/>
          <w:lang w:val="en-US" w:eastAsia="en-ZA"/>
        </w:rPr>
        <w:t>brought by</w:t>
      </w:r>
      <w:r w:rsidRPr="00AB52EE">
        <w:rPr>
          <w:rFonts w:ascii="Arial" w:hAnsi="Arial" w:cs="Arial"/>
          <w:bCs/>
          <w:sz w:val="24"/>
          <w:szCs w:val="24"/>
          <w:lang w:val="en-US" w:eastAsia="en-ZA"/>
        </w:rPr>
        <w:t>:</w:t>
      </w:r>
      <w:r w:rsidRPr="00AB52EE">
        <w:rPr>
          <w:rFonts w:ascii="Arial" w:hAnsi="Arial" w:cs="Arial"/>
          <w:bCs/>
          <w:i/>
          <w:iCs/>
          <w:sz w:val="24"/>
          <w:szCs w:val="24"/>
          <w:lang w:val="en-US" w:eastAsia="en-ZA"/>
        </w:rPr>
        <w:t xml:space="preserve"> </w:t>
      </w:r>
    </w:p>
    <w:p w14:paraId="4DB950C7" w14:textId="5E29DB1A" w:rsidR="00F95AEC" w:rsidRPr="00AB52EE" w:rsidRDefault="00F95AEC" w:rsidP="00FE6761">
      <w:pPr>
        <w:spacing w:line="360" w:lineRule="auto"/>
        <w:rPr>
          <w:rFonts w:ascii="Arial" w:hAnsi="Arial" w:cs="Arial"/>
          <w:b/>
          <w:sz w:val="24"/>
          <w:szCs w:val="24"/>
          <w:lang w:val="en-US" w:eastAsia="en-ZA"/>
        </w:rPr>
      </w:pPr>
    </w:p>
    <w:p w14:paraId="2912C12C" w14:textId="03BCBB14" w:rsidR="00F95AEC" w:rsidRPr="00AB52EE" w:rsidRDefault="00F95AEC" w:rsidP="00F95AEC">
      <w:pPr>
        <w:tabs>
          <w:tab w:val="right" w:pos="9356"/>
        </w:tabs>
        <w:spacing w:line="360" w:lineRule="auto"/>
        <w:rPr>
          <w:rFonts w:ascii="Arial" w:hAnsi="Arial" w:cs="Arial"/>
          <w:b/>
          <w:sz w:val="24"/>
          <w:szCs w:val="24"/>
          <w:lang w:val="en-US" w:eastAsia="en-ZA"/>
        </w:rPr>
      </w:pPr>
      <w:r w:rsidRPr="00AB52EE">
        <w:rPr>
          <w:rFonts w:ascii="Arial" w:hAnsi="Arial" w:cs="Arial"/>
          <w:b/>
          <w:sz w:val="24"/>
          <w:szCs w:val="24"/>
          <w:lang w:val="en-US" w:eastAsia="en-ZA"/>
        </w:rPr>
        <w:t>SUPERCART SOUTH AFRICA (PTY) LTD</w:t>
      </w:r>
      <w:r w:rsidRPr="00AB52EE">
        <w:rPr>
          <w:rFonts w:ascii="Arial" w:hAnsi="Arial" w:cs="Arial"/>
          <w:b/>
          <w:sz w:val="24"/>
          <w:szCs w:val="24"/>
          <w:lang w:val="en-US" w:eastAsia="en-ZA"/>
        </w:rPr>
        <w:tab/>
      </w:r>
      <w:r w:rsidRPr="00AB52EE">
        <w:rPr>
          <w:rFonts w:ascii="Arial" w:hAnsi="Arial" w:cs="Arial"/>
          <w:bCs/>
          <w:sz w:val="24"/>
          <w:szCs w:val="24"/>
          <w:lang w:val="en-US" w:eastAsia="en-ZA"/>
        </w:rPr>
        <w:t>Applicant</w:t>
      </w:r>
    </w:p>
    <w:p w14:paraId="06C75BA0" w14:textId="7A6192FA" w:rsidR="00F95AEC" w:rsidRPr="00AB52EE" w:rsidRDefault="00F95AEC" w:rsidP="00FE6761">
      <w:pPr>
        <w:spacing w:line="360" w:lineRule="auto"/>
        <w:rPr>
          <w:rFonts w:ascii="Arial" w:hAnsi="Arial" w:cs="Arial"/>
          <w:b/>
          <w:sz w:val="24"/>
          <w:szCs w:val="24"/>
          <w:lang w:val="en-US" w:eastAsia="en-ZA"/>
        </w:rPr>
      </w:pPr>
    </w:p>
    <w:p w14:paraId="02D57254" w14:textId="2587B6D1" w:rsidR="00752526" w:rsidRPr="00AB52EE" w:rsidRDefault="00752526" w:rsidP="00FE6761">
      <w:pPr>
        <w:spacing w:line="360" w:lineRule="auto"/>
        <w:rPr>
          <w:rFonts w:ascii="Arial" w:hAnsi="Arial" w:cs="Arial"/>
          <w:bCs/>
          <w:sz w:val="24"/>
          <w:szCs w:val="24"/>
          <w:lang w:val="en-US" w:eastAsia="en-ZA"/>
        </w:rPr>
      </w:pPr>
      <w:r w:rsidRPr="00AB52EE">
        <w:rPr>
          <w:rFonts w:ascii="Arial" w:hAnsi="Arial" w:cs="Arial"/>
          <w:bCs/>
          <w:sz w:val="24"/>
          <w:szCs w:val="24"/>
          <w:lang w:val="en-US" w:eastAsia="en-ZA"/>
        </w:rPr>
        <w:t>against</w:t>
      </w:r>
    </w:p>
    <w:p w14:paraId="10664F8C" w14:textId="77777777" w:rsidR="00752526" w:rsidRPr="00AB52EE" w:rsidRDefault="00752526" w:rsidP="00FE6761">
      <w:pPr>
        <w:spacing w:line="360" w:lineRule="auto"/>
        <w:rPr>
          <w:rFonts w:ascii="Arial" w:hAnsi="Arial" w:cs="Arial"/>
          <w:b/>
          <w:sz w:val="24"/>
          <w:szCs w:val="24"/>
          <w:lang w:val="en-US" w:eastAsia="en-ZA"/>
        </w:rPr>
      </w:pPr>
    </w:p>
    <w:p w14:paraId="212A0A7B" w14:textId="439CB98B" w:rsidR="00752526" w:rsidRPr="00AB52EE" w:rsidRDefault="00752526" w:rsidP="00752526">
      <w:pPr>
        <w:pStyle w:val="NoSpacing"/>
        <w:tabs>
          <w:tab w:val="left" w:pos="720"/>
          <w:tab w:val="left" w:pos="1440"/>
          <w:tab w:val="left" w:pos="2160"/>
          <w:tab w:val="right" w:pos="9356"/>
        </w:tabs>
        <w:spacing w:line="360" w:lineRule="auto"/>
        <w:rPr>
          <w:rFonts w:ascii="Arial" w:hAnsi="Arial"/>
          <w:b/>
          <w:sz w:val="24"/>
          <w:szCs w:val="24"/>
        </w:rPr>
      </w:pPr>
      <w:r w:rsidRPr="00AB52EE">
        <w:rPr>
          <w:rFonts w:ascii="Arial" w:eastAsia="Times New Roman" w:hAnsi="Arial"/>
          <w:b/>
          <w:sz w:val="24"/>
          <w:szCs w:val="24"/>
          <w:lang w:val="en-GB" w:eastAsia="en-GB"/>
        </w:rPr>
        <w:t>VANESCO (PTY) LTD</w:t>
      </w:r>
      <w:r w:rsidRPr="00AB52EE">
        <w:rPr>
          <w:rFonts w:ascii="Arial" w:hAnsi="Arial"/>
          <w:b/>
          <w:sz w:val="24"/>
          <w:szCs w:val="24"/>
        </w:rPr>
        <w:tab/>
      </w:r>
      <w:r w:rsidRPr="00AB52EE">
        <w:rPr>
          <w:rFonts w:ascii="Arial" w:hAnsi="Arial"/>
          <w:bCs/>
          <w:sz w:val="24"/>
          <w:szCs w:val="24"/>
        </w:rPr>
        <w:t>First</w:t>
      </w:r>
      <w:r w:rsidRPr="00AB52EE">
        <w:rPr>
          <w:rFonts w:ascii="Arial" w:hAnsi="Arial"/>
          <w:b/>
          <w:sz w:val="24"/>
          <w:szCs w:val="24"/>
        </w:rPr>
        <w:t xml:space="preserve"> </w:t>
      </w:r>
      <w:r w:rsidRPr="00AB52EE">
        <w:rPr>
          <w:rFonts w:ascii="Arial" w:hAnsi="Arial"/>
          <w:bCs/>
          <w:sz w:val="24"/>
          <w:szCs w:val="24"/>
        </w:rPr>
        <w:t>Respondent</w:t>
      </w:r>
    </w:p>
    <w:p w14:paraId="64E0D278" w14:textId="77777777" w:rsidR="00752526" w:rsidRPr="00AB52EE" w:rsidRDefault="00752526" w:rsidP="00752526">
      <w:pPr>
        <w:pStyle w:val="NoSpacing"/>
        <w:tabs>
          <w:tab w:val="left" w:pos="720"/>
          <w:tab w:val="left" w:pos="1440"/>
          <w:tab w:val="left" w:pos="2160"/>
          <w:tab w:val="right" w:pos="9356"/>
        </w:tabs>
        <w:spacing w:line="360" w:lineRule="auto"/>
        <w:rPr>
          <w:rFonts w:ascii="Arial" w:eastAsia="Times New Roman" w:hAnsi="Arial"/>
          <w:b/>
          <w:sz w:val="24"/>
          <w:szCs w:val="24"/>
          <w:lang w:val="en-GB" w:eastAsia="en-GB"/>
        </w:rPr>
      </w:pPr>
    </w:p>
    <w:p w14:paraId="1FF731DE" w14:textId="5A07715C" w:rsidR="00752526" w:rsidRPr="00AB52EE" w:rsidRDefault="00752526" w:rsidP="00752526">
      <w:pPr>
        <w:pStyle w:val="NoSpacing"/>
        <w:tabs>
          <w:tab w:val="left" w:pos="720"/>
          <w:tab w:val="left" w:pos="1440"/>
          <w:tab w:val="left" w:pos="2160"/>
          <w:tab w:val="right" w:pos="9356"/>
        </w:tabs>
        <w:spacing w:line="360" w:lineRule="auto"/>
        <w:rPr>
          <w:rFonts w:ascii="Arial" w:hAnsi="Arial"/>
          <w:b/>
          <w:sz w:val="24"/>
          <w:szCs w:val="24"/>
        </w:rPr>
      </w:pPr>
      <w:r w:rsidRPr="00AB52EE">
        <w:rPr>
          <w:rFonts w:ascii="Arial" w:eastAsia="Times New Roman" w:hAnsi="Arial"/>
          <w:b/>
          <w:sz w:val="24"/>
          <w:szCs w:val="24"/>
          <w:u w:val="single"/>
          <w:lang w:val="en-GB" w:eastAsia="en-GB"/>
        </w:rPr>
        <w:t>CASE</w:t>
      </w:r>
      <w:r w:rsidRPr="00AB52EE">
        <w:rPr>
          <w:rFonts w:ascii="Arial" w:eastAsia="Times New Roman" w:hAnsi="Arial"/>
          <w:b/>
          <w:sz w:val="24"/>
          <w:szCs w:val="24"/>
          <w:lang w:val="en-GB" w:eastAsia="en-GB"/>
        </w:rPr>
        <w:t>, KENNETH MARK</w:t>
      </w:r>
      <w:r w:rsidRPr="00AB52EE">
        <w:rPr>
          <w:rFonts w:ascii="Arial" w:hAnsi="Arial"/>
          <w:b/>
          <w:sz w:val="24"/>
          <w:szCs w:val="24"/>
        </w:rPr>
        <w:tab/>
      </w:r>
      <w:r w:rsidRPr="00AB52EE">
        <w:rPr>
          <w:rFonts w:ascii="Arial" w:hAnsi="Arial"/>
          <w:bCs/>
          <w:sz w:val="24"/>
          <w:szCs w:val="24"/>
        </w:rPr>
        <w:t>Second</w:t>
      </w:r>
      <w:r w:rsidRPr="00AB52EE">
        <w:rPr>
          <w:rFonts w:ascii="Arial" w:hAnsi="Arial"/>
          <w:b/>
          <w:sz w:val="24"/>
          <w:szCs w:val="24"/>
        </w:rPr>
        <w:t xml:space="preserve"> </w:t>
      </w:r>
      <w:r w:rsidRPr="00AB52EE">
        <w:rPr>
          <w:rFonts w:ascii="Arial" w:hAnsi="Arial"/>
          <w:bCs/>
          <w:sz w:val="24"/>
          <w:szCs w:val="24"/>
        </w:rPr>
        <w:t>Respondent</w:t>
      </w:r>
    </w:p>
    <w:p w14:paraId="6B75B693" w14:textId="007E5282" w:rsidR="00B928FE" w:rsidRPr="00AB52EE" w:rsidRDefault="00B928FE" w:rsidP="00B928FE">
      <w:pPr>
        <w:autoSpaceDE w:val="0"/>
        <w:autoSpaceDN w:val="0"/>
        <w:adjustRightInd w:val="0"/>
        <w:spacing w:before="240" w:after="120" w:line="360" w:lineRule="auto"/>
        <w:rPr>
          <w:rFonts w:ascii="Arial" w:hAnsi="Arial" w:cs="Arial"/>
          <w:b/>
          <w:bCs/>
          <w:sz w:val="24"/>
          <w:szCs w:val="24"/>
        </w:rPr>
      </w:pPr>
      <w:r w:rsidRPr="00AB52EE">
        <w:rPr>
          <w:rFonts w:ascii="Arial" w:hAnsi="Arial" w:cs="Arial"/>
          <w:b/>
          <w:bCs/>
          <w:sz w:val="24"/>
          <w:szCs w:val="24"/>
        </w:rPr>
        <w:t>________________________________________________________________</w:t>
      </w:r>
      <w:r w:rsidR="00A81979" w:rsidRPr="00AB52EE">
        <w:rPr>
          <w:rFonts w:ascii="Arial" w:hAnsi="Arial" w:cs="Arial"/>
          <w:b/>
          <w:bCs/>
          <w:sz w:val="24"/>
          <w:szCs w:val="24"/>
        </w:rPr>
        <w:t>___</w:t>
      </w:r>
    </w:p>
    <w:p w14:paraId="1DEA2455" w14:textId="618E33A6" w:rsidR="00D202C2" w:rsidRPr="00AB52EE" w:rsidRDefault="00F95AEC" w:rsidP="00B928FE">
      <w:pPr>
        <w:autoSpaceDE w:val="0"/>
        <w:autoSpaceDN w:val="0"/>
        <w:adjustRightInd w:val="0"/>
        <w:spacing w:before="240" w:after="120" w:line="360" w:lineRule="auto"/>
        <w:jc w:val="center"/>
        <w:rPr>
          <w:rFonts w:ascii="Arial" w:hAnsi="Arial" w:cs="Arial"/>
          <w:b/>
          <w:bCs/>
          <w:sz w:val="24"/>
          <w:szCs w:val="24"/>
        </w:rPr>
      </w:pPr>
      <w:r w:rsidRPr="00AB52EE">
        <w:rPr>
          <w:rFonts w:ascii="Arial" w:hAnsi="Arial" w:cs="Arial"/>
          <w:b/>
          <w:bCs/>
          <w:sz w:val="24"/>
          <w:szCs w:val="24"/>
        </w:rPr>
        <w:t>JUDGMENT</w:t>
      </w:r>
    </w:p>
    <w:p w14:paraId="3A809F54" w14:textId="7C178541" w:rsidR="00B928FE" w:rsidRPr="00AB52EE" w:rsidRDefault="00B928FE" w:rsidP="00001F4A">
      <w:pPr>
        <w:autoSpaceDE w:val="0"/>
        <w:autoSpaceDN w:val="0"/>
        <w:adjustRightInd w:val="0"/>
        <w:spacing w:after="120" w:line="360" w:lineRule="auto"/>
        <w:rPr>
          <w:rFonts w:ascii="Arial" w:hAnsi="Arial" w:cs="Arial"/>
          <w:b/>
          <w:bCs/>
          <w:sz w:val="24"/>
          <w:szCs w:val="24"/>
        </w:rPr>
      </w:pPr>
      <w:r w:rsidRPr="00AB52EE">
        <w:rPr>
          <w:rFonts w:ascii="Arial" w:hAnsi="Arial" w:cs="Arial"/>
          <w:b/>
          <w:bCs/>
          <w:sz w:val="24"/>
          <w:szCs w:val="24"/>
        </w:rPr>
        <w:t>________________________________________________________________</w:t>
      </w:r>
      <w:r w:rsidR="00A81979" w:rsidRPr="00AB52EE">
        <w:rPr>
          <w:rFonts w:ascii="Arial" w:hAnsi="Arial" w:cs="Arial"/>
          <w:b/>
          <w:bCs/>
          <w:sz w:val="24"/>
          <w:szCs w:val="24"/>
        </w:rPr>
        <w:t>___</w:t>
      </w:r>
    </w:p>
    <w:p w14:paraId="0355D1AE" w14:textId="3A8677A5" w:rsidR="00EF21BD" w:rsidRPr="00B21782" w:rsidRDefault="00EF21BD" w:rsidP="00B928FE">
      <w:pPr>
        <w:tabs>
          <w:tab w:val="left" w:pos="0"/>
          <w:tab w:val="right" w:pos="9070"/>
        </w:tabs>
        <w:autoSpaceDE w:val="0"/>
        <w:autoSpaceDN w:val="0"/>
        <w:adjustRightInd w:val="0"/>
        <w:spacing w:before="240" w:after="120" w:line="360" w:lineRule="auto"/>
        <w:rPr>
          <w:rFonts w:ascii="Arial" w:hAnsi="Arial" w:cs="Arial"/>
          <w:b/>
          <w:sz w:val="24"/>
          <w:szCs w:val="24"/>
        </w:rPr>
      </w:pPr>
      <w:r w:rsidRPr="00B21782">
        <w:rPr>
          <w:rFonts w:ascii="Arial" w:hAnsi="Arial" w:cs="Arial"/>
          <w:b/>
          <w:sz w:val="24"/>
          <w:szCs w:val="24"/>
        </w:rPr>
        <w:t xml:space="preserve">This judgment </w:t>
      </w:r>
      <w:r w:rsidR="00B21782" w:rsidRPr="00B21782">
        <w:rPr>
          <w:rFonts w:ascii="Arial" w:hAnsi="Arial" w:cs="Arial"/>
          <w:b/>
          <w:sz w:val="24"/>
          <w:szCs w:val="24"/>
        </w:rPr>
        <w:t xml:space="preserve">is </w:t>
      </w:r>
      <w:r w:rsidRPr="00B21782">
        <w:rPr>
          <w:rFonts w:ascii="Arial" w:hAnsi="Arial" w:cs="Arial"/>
          <w:b/>
          <w:sz w:val="24"/>
          <w:szCs w:val="24"/>
        </w:rPr>
        <w:t xml:space="preserve">handed down electronically by circulation to the parties’ legal representatives by e-mail and publication on CaseLines. </w:t>
      </w:r>
    </w:p>
    <w:p w14:paraId="1700BDCC" w14:textId="07106386" w:rsidR="00EF21BD" w:rsidRPr="005168CF" w:rsidRDefault="00EF21BD" w:rsidP="00EF21BD">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lastRenderedPageBreak/>
        <w:t>Discovery and inspection — Anton Piller</w:t>
      </w:r>
      <w:r w:rsidR="00B84E72" w:rsidRPr="005168CF">
        <w:rPr>
          <w:rFonts w:ascii="Arial" w:hAnsi="Arial" w:cs="Arial"/>
          <w:bCs/>
          <w:sz w:val="24"/>
          <w:szCs w:val="24"/>
        </w:rPr>
        <w:t>-type</w:t>
      </w:r>
      <w:r w:rsidRPr="005168CF">
        <w:rPr>
          <w:rFonts w:ascii="Arial" w:hAnsi="Arial" w:cs="Arial"/>
          <w:bCs/>
          <w:sz w:val="24"/>
          <w:szCs w:val="24"/>
        </w:rPr>
        <w:t xml:space="preserve"> orders — Requirements — Principles restated.</w:t>
      </w:r>
    </w:p>
    <w:p w14:paraId="2D1C6F84" w14:textId="6DD0DE15" w:rsidR="007F69B0" w:rsidRPr="005168CF" w:rsidRDefault="00096471" w:rsidP="007F69B0">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 xml:space="preserve">Discovery and inspection — Anton Piller orders — “Ordinary” Anton Piller order directed at preserving evidence that would otherwise be lost or destroyed where applicant not claiming real or personal right to possess or view </w:t>
      </w:r>
      <w:r w:rsidR="00082D42" w:rsidRPr="005168CF">
        <w:rPr>
          <w:rFonts w:ascii="Arial" w:hAnsi="Arial" w:cs="Arial"/>
          <w:bCs/>
          <w:sz w:val="24"/>
          <w:szCs w:val="24"/>
        </w:rPr>
        <w:t>attached</w:t>
      </w:r>
      <w:r w:rsidRPr="005168CF">
        <w:rPr>
          <w:rFonts w:ascii="Arial" w:hAnsi="Arial" w:cs="Arial"/>
          <w:bCs/>
          <w:sz w:val="24"/>
          <w:szCs w:val="24"/>
        </w:rPr>
        <w:t xml:space="preserve"> </w:t>
      </w:r>
      <w:r w:rsidR="00C12737" w:rsidRPr="005168CF">
        <w:rPr>
          <w:rFonts w:ascii="Arial" w:hAnsi="Arial" w:cs="Arial"/>
          <w:bCs/>
          <w:sz w:val="24"/>
          <w:szCs w:val="24"/>
        </w:rPr>
        <w:t>items</w:t>
      </w:r>
      <w:r w:rsidRPr="005168CF">
        <w:rPr>
          <w:rFonts w:ascii="Arial" w:hAnsi="Arial" w:cs="Arial"/>
          <w:bCs/>
          <w:sz w:val="24"/>
          <w:szCs w:val="24"/>
        </w:rPr>
        <w:t xml:space="preserve"> — </w:t>
      </w:r>
      <w:r w:rsidR="007F69B0" w:rsidRPr="005168CF">
        <w:rPr>
          <w:rFonts w:ascii="Arial" w:hAnsi="Arial" w:cs="Arial"/>
          <w:bCs/>
          <w:sz w:val="24"/>
          <w:szCs w:val="24"/>
        </w:rPr>
        <w:t>Requirements</w:t>
      </w:r>
      <w:r w:rsidRPr="005168CF">
        <w:rPr>
          <w:rFonts w:ascii="Arial" w:hAnsi="Arial" w:cs="Arial"/>
          <w:bCs/>
          <w:sz w:val="24"/>
          <w:szCs w:val="24"/>
        </w:rPr>
        <w:t xml:space="preserve"> — May not incorporate order entitling applicant to inspection and copying of </w:t>
      </w:r>
      <w:r w:rsidR="00082D42" w:rsidRPr="005168CF">
        <w:rPr>
          <w:rFonts w:ascii="Arial" w:hAnsi="Arial" w:cs="Arial"/>
          <w:bCs/>
          <w:sz w:val="24"/>
          <w:szCs w:val="24"/>
        </w:rPr>
        <w:t>attached items</w:t>
      </w:r>
      <w:r w:rsidR="007F69B0" w:rsidRPr="005168CF">
        <w:rPr>
          <w:rFonts w:ascii="Arial" w:hAnsi="Arial" w:cs="Arial"/>
          <w:bCs/>
          <w:sz w:val="24"/>
          <w:szCs w:val="24"/>
        </w:rPr>
        <w:t xml:space="preserve"> — Reconsideration.</w:t>
      </w:r>
    </w:p>
    <w:p w14:paraId="22B6465A" w14:textId="245AF179" w:rsidR="007F69B0" w:rsidRPr="005168CF" w:rsidRDefault="007F69B0" w:rsidP="007F69B0">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 xml:space="preserve">Discovery and inspection — Anton Piller orders — “Ordinary” Anton Piller order directed at preserving evidence that would otherwise be lost or destroyed where applicant not claiming real or personal right to possess or view </w:t>
      </w:r>
      <w:r w:rsidR="00082D42" w:rsidRPr="005168CF">
        <w:rPr>
          <w:rFonts w:ascii="Arial" w:hAnsi="Arial" w:cs="Arial"/>
          <w:bCs/>
          <w:sz w:val="24"/>
          <w:szCs w:val="24"/>
        </w:rPr>
        <w:t>attached</w:t>
      </w:r>
      <w:r w:rsidR="00C12737" w:rsidRPr="005168CF">
        <w:rPr>
          <w:rFonts w:ascii="Arial" w:hAnsi="Arial" w:cs="Arial"/>
          <w:bCs/>
          <w:sz w:val="24"/>
          <w:szCs w:val="24"/>
        </w:rPr>
        <w:t xml:space="preserve"> items</w:t>
      </w:r>
      <w:r w:rsidRPr="005168CF">
        <w:rPr>
          <w:rFonts w:ascii="Arial" w:hAnsi="Arial" w:cs="Arial"/>
          <w:bCs/>
          <w:sz w:val="24"/>
          <w:szCs w:val="24"/>
        </w:rPr>
        <w:t xml:space="preserve"> — Requirements — Unexecuted order entitling applicant to inspection and copying of </w:t>
      </w:r>
      <w:r w:rsidR="00082D42" w:rsidRPr="005168CF">
        <w:rPr>
          <w:rFonts w:ascii="Arial" w:hAnsi="Arial" w:cs="Arial"/>
          <w:bCs/>
          <w:sz w:val="24"/>
          <w:szCs w:val="24"/>
        </w:rPr>
        <w:t>attached items</w:t>
      </w:r>
      <w:r w:rsidRPr="005168CF">
        <w:rPr>
          <w:rFonts w:ascii="Arial" w:hAnsi="Arial" w:cs="Arial"/>
          <w:bCs/>
          <w:sz w:val="24"/>
          <w:szCs w:val="24"/>
        </w:rPr>
        <w:t xml:space="preserve"> — Variation upon reconsideration.</w:t>
      </w:r>
    </w:p>
    <w:p w14:paraId="34A9277E" w14:textId="7E7E439B" w:rsidR="00EF21BD" w:rsidRPr="005168CF" w:rsidRDefault="00EF21BD" w:rsidP="00EF21BD">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Discovery and inspection — Anton Piller</w:t>
      </w:r>
      <w:r w:rsidR="00B84E72" w:rsidRPr="005168CF">
        <w:rPr>
          <w:rFonts w:ascii="Arial" w:hAnsi="Arial" w:cs="Arial"/>
          <w:bCs/>
          <w:sz w:val="24"/>
          <w:szCs w:val="24"/>
        </w:rPr>
        <w:t>-type</w:t>
      </w:r>
      <w:r w:rsidRPr="005168CF">
        <w:rPr>
          <w:rFonts w:ascii="Arial" w:hAnsi="Arial" w:cs="Arial"/>
          <w:bCs/>
          <w:sz w:val="24"/>
          <w:szCs w:val="24"/>
        </w:rPr>
        <w:t xml:space="preserve"> orders — </w:t>
      </w:r>
      <w:r w:rsidR="00B84E72" w:rsidRPr="005168CF">
        <w:rPr>
          <w:rFonts w:ascii="Arial" w:hAnsi="Arial" w:cs="Arial"/>
          <w:bCs/>
          <w:sz w:val="24"/>
          <w:szCs w:val="24"/>
        </w:rPr>
        <w:t xml:space="preserve">“Ordinary” </w:t>
      </w:r>
      <w:r w:rsidRPr="005168CF">
        <w:rPr>
          <w:rFonts w:ascii="Arial" w:hAnsi="Arial" w:cs="Arial"/>
          <w:bCs/>
          <w:sz w:val="24"/>
          <w:szCs w:val="24"/>
        </w:rPr>
        <w:t>Anton Piller order directed at preserving evidence that would otherwise be lost or destroyed</w:t>
      </w:r>
      <w:r w:rsidR="00FA0787" w:rsidRPr="005168CF">
        <w:rPr>
          <w:rFonts w:ascii="Arial" w:hAnsi="Arial" w:cs="Arial"/>
          <w:bCs/>
          <w:sz w:val="24"/>
          <w:szCs w:val="24"/>
        </w:rPr>
        <w:t xml:space="preserve"> </w:t>
      </w:r>
      <w:r w:rsidR="00B84E72" w:rsidRPr="005168CF">
        <w:rPr>
          <w:rFonts w:ascii="Arial" w:hAnsi="Arial" w:cs="Arial"/>
          <w:bCs/>
          <w:sz w:val="24"/>
          <w:szCs w:val="24"/>
        </w:rPr>
        <w:t xml:space="preserve">where applicant not claiming real or personal right to possess or view </w:t>
      </w:r>
      <w:r w:rsidR="00082D42" w:rsidRPr="005168CF">
        <w:rPr>
          <w:rFonts w:ascii="Arial" w:hAnsi="Arial" w:cs="Arial"/>
          <w:bCs/>
          <w:sz w:val="24"/>
          <w:szCs w:val="24"/>
        </w:rPr>
        <w:t xml:space="preserve">attached </w:t>
      </w:r>
      <w:r w:rsidR="00C12737" w:rsidRPr="005168CF">
        <w:rPr>
          <w:rFonts w:ascii="Arial" w:hAnsi="Arial" w:cs="Arial"/>
          <w:bCs/>
          <w:sz w:val="24"/>
          <w:szCs w:val="24"/>
        </w:rPr>
        <w:t>items</w:t>
      </w:r>
      <w:r w:rsidR="00B84E72" w:rsidRPr="005168CF">
        <w:rPr>
          <w:rFonts w:ascii="Arial" w:hAnsi="Arial" w:cs="Arial"/>
          <w:bCs/>
          <w:sz w:val="24"/>
          <w:szCs w:val="24"/>
        </w:rPr>
        <w:t xml:space="preserve"> </w:t>
      </w:r>
      <w:r w:rsidRPr="005168CF">
        <w:rPr>
          <w:rFonts w:ascii="Arial" w:hAnsi="Arial" w:cs="Arial"/>
          <w:bCs/>
          <w:sz w:val="24"/>
          <w:szCs w:val="24"/>
        </w:rPr>
        <w:t xml:space="preserve">— Requirements — May be granted in the course of already-instituted </w:t>
      </w:r>
      <w:r w:rsidR="00B45B44" w:rsidRPr="005168CF">
        <w:rPr>
          <w:rFonts w:ascii="Arial" w:hAnsi="Arial" w:cs="Arial"/>
          <w:bCs/>
          <w:sz w:val="24"/>
          <w:szCs w:val="24"/>
        </w:rPr>
        <w:t xml:space="preserve">contempt of court </w:t>
      </w:r>
      <w:r w:rsidRPr="005168CF">
        <w:rPr>
          <w:rFonts w:ascii="Arial" w:hAnsi="Arial" w:cs="Arial"/>
          <w:bCs/>
          <w:sz w:val="24"/>
          <w:szCs w:val="24"/>
        </w:rPr>
        <w:t>proceedings</w:t>
      </w:r>
      <w:r w:rsidR="0038375C" w:rsidRPr="005168CF">
        <w:rPr>
          <w:rFonts w:ascii="Arial" w:hAnsi="Arial" w:cs="Arial"/>
          <w:bCs/>
          <w:sz w:val="24"/>
          <w:szCs w:val="24"/>
        </w:rPr>
        <w:t xml:space="preserve"> on motion prior to direction under Rule 35(13)</w:t>
      </w:r>
      <w:r w:rsidRPr="005168CF">
        <w:rPr>
          <w:rFonts w:ascii="Arial" w:hAnsi="Arial" w:cs="Arial"/>
          <w:bCs/>
          <w:sz w:val="24"/>
          <w:szCs w:val="24"/>
        </w:rPr>
        <w:t>.</w:t>
      </w:r>
    </w:p>
    <w:p w14:paraId="7A6519C9" w14:textId="15761F05" w:rsidR="00096471" w:rsidRPr="005168CF" w:rsidRDefault="00096471" w:rsidP="00096471">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 xml:space="preserve">Discovery and inspection — Anton Piller-type orders — Material non-disclosure by applicant in </w:t>
      </w:r>
      <w:r w:rsidRPr="005168CF">
        <w:rPr>
          <w:rFonts w:ascii="Arial" w:hAnsi="Arial" w:cs="Arial"/>
          <w:bCs/>
          <w:i/>
          <w:iCs/>
          <w:sz w:val="24"/>
          <w:szCs w:val="24"/>
        </w:rPr>
        <w:t>ex parte</w:t>
      </w:r>
      <w:r w:rsidRPr="005168CF">
        <w:rPr>
          <w:rFonts w:ascii="Arial" w:hAnsi="Arial" w:cs="Arial"/>
          <w:bCs/>
          <w:sz w:val="24"/>
          <w:szCs w:val="24"/>
        </w:rPr>
        <w:t xml:space="preserve"> application — Burden of proof upon reconsideration — Respondent to </w:t>
      </w:r>
      <w:r w:rsidR="001A268D" w:rsidRPr="005168CF">
        <w:rPr>
          <w:rFonts w:ascii="Arial" w:hAnsi="Arial" w:cs="Arial"/>
          <w:bCs/>
          <w:sz w:val="24"/>
          <w:szCs w:val="24"/>
        </w:rPr>
        <w:t xml:space="preserve">establish </w:t>
      </w:r>
      <w:r w:rsidRPr="005168CF">
        <w:rPr>
          <w:rFonts w:ascii="Arial" w:hAnsi="Arial" w:cs="Arial"/>
          <w:bCs/>
          <w:sz w:val="24"/>
          <w:szCs w:val="24"/>
        </w:rPr>
        <w:t>that applicant failed to disclose material facts</w:t>
      </w:r>
      <w:r w:rsidR="00B45B44" w:rsidRPr="005168CF">
        <w:rPr>
          <w:rFonts w:ascii="Arial" w:hAnsi="Arial" w:cs="Arial"/>
          <w:bCs/>
          <w:sz w:val="24"/>
          <w:szCs w:val="24"/>
        </w:rPr>
        <w:t xml:space="preserve"> on preponderance of probabilities</w:t>
      </w:r>
      <w:r w:rsidRPr="005168CF">
        <w:rPr>
          <w:rFonts w:ascii="Arial" w:hAnsi="Arial" w:cs="Arial"/>
          <w:bCs/>
          <w:sz w:val="24"/>
          <w:szCs w:val="24"/>
        </w:rPr>
        <w:t>.</w:t>
      </w:r>
    </w:p>
    <w:p w14:paraId="3FDBB2D1" w14:textId="6A1EE48E" w:rsidR="002C1DA5" w:rsidRPr="005168CF" w:rsidRDefault="002C1DA5" w:rsidP="002C1DA5">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 xml:space="preserve">Discovery and inspection — Anton Piller-type orders — “Ordinary” Anton Piller order directed at preserving evidence that would otherwise be lost or destroyed — Requirements — </w:t>
      </w:r>
      <w:r w:rsidR="005B095A" w:rsidRPr="005168CF">
        <w:rPr>
          <w:rFonts w:ascii="Arial" w:hAnsi="Arial" w:cs="Arial"/>
          <w:bCs/>
          <w:sz w:val="24"/>
          <w:szCs w:val="24"/>
        </w:rPr>
        <w:t>Onus and b</w:t>
      </w:r>
      <w:r w:rsidRPr="005168CF">
        <w:rPr>
          <w:rFonts w:ascii="Arial" w:hAnsi="Arial" w:cs="Arial"/>
          <w:bCs/>
          <w:sz w:val="24"/>
          <w:szCs w:val="24"/>
        </w:rPr>
        <w:t xml:space="preserve">urden of proof upon reconsideration — Onus on applicant to establish cause of action against the respondent which it intends to pursue on </w:t>
      </w:r>
      <w:r w:rsidRPr="005168CF">
        <w:rPr>
          <w:rFonts w:ascii="Arial" w:hAnsi="Arial" w:cs="Arial"/>
          <w:bCs/>
          <w:i/>
          <w:iCs/>
          <w:sz w:val="24"/>
          <w:szCs w:val="24"/>
        </w:rPr>
        <w:t>prima facie</w:t>
      </w:r>
      <w:r w:rsidRPr="005168CF">
        <w:rPr>
          <w:rFonts w:ascii="Arial" w:hAnsi="Arial" w:cs="Arial"/>
          <w:bCs/>
          <w:sz w:val="24"/>
          <w:szCs w:val="24"/>
        </w:rPr>
        <w:t xml:space="preserve"> basis.</w:t>
      </w:r>
    </w:p>
    <w:p w14:paraId="7ADD34EA" w14:textId="34E6FDAC" w:rsidR="002C1DA5" w:rsidRPr="005168CF" w:rsidRDefault="002C1DA5" w:rsidP="002C1DA5">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 xml:space="preserve">Discovery and inspection — Anton Piller-type orders — “Ordinary” Anton Piller order directed at preserving evidence that would otherwise be lost or destroyed — Requirements — </w:t>
      </w:r>
      <w:r w:rsidR="005B095A" w:rsidRPr="005168CF">
        <w:rPr>
          <w:rFonts w:ascii="Arial" w:hAnsi="Arial" w:cs="Arial"/>
          <w:bCs/>
          <w:sz w:val="24"/>
          <w:szCs w:val="24"/>
        </w:rPr>
        <w:t>Onus and b</w:t>
      </w:r>
      <w:r w:rsidRPr="005168CF">
        <w:rPr>
          <w:rFonts w:ascii="Arial" w:hAnsi="Arial" w:cs="Arial"/>
          <w:bCs/>
          <w:sz w:val="24"/>
          <w:szCs w:val="24"/>
        </w:rPr>
        <w:t xml:space="preserve">urden of proof upon reconsideration — Onus on applicant </w:t>
      </w:r>
      <w:r w:rsidR="005B095A" w:rsidRPr="005168CF">
        <w:rPr>
          <w:rFonts w:ascii="Arial" w:hAnsi="Arial" w:cs="Arial"/>
          <w:bCs/>
          <w:sz w:val="24"/>
          <w:szCs w:val="24"/>
        </w:rPr>
        <w:t xml:space="preserve">to establish </w:t>
      </w:r>
      <w:r w:rsidRPr="005168CF">
        <w:rPr>
          <w:rFonts w:ascii="Arial" w:hAnsi="Arial" w:cs="Arial"/>
          <w:bCs/>
          <w:sz w:val="24"/>
          <w:szCs w:val="24"/>
        </w:rPr>
        <w:t xml:space="preserve">respondent has in its possession specific </w:t>
      </w:r>
      <w:r w:rsidR="005B095A" w:rsidRPr="005168CF">
        <w:rPr>
          <w:rFonts w:ascii="Arial" w:hAnsi="Arial" w:cs="Arial"/>
          <w:bCs/>
          <w:sz w:val="24"/>
          <w:szCs w:val="24"/>
        </w:rPr>
        <w:t xml:space="preserve">or specified classes of </w:t>
      </w:r>
      <w:r w:rsidRPr="005168CF">
        <w:rPr>
          <w:rFonts w:ascii="Arial" w:hAnsi="Arial" w:cs="Arial"/>
          <w:bCs/>
          <w:sz w:val="24"/>
          <w:szCs w:val="24"/>
        </w:rPr>
        <w:lastRenderedPageBreak/>
        <w:t xml:space="preserve">documents or things which constitute vital evidence in substantiation of applicant’s cause of action on preponderance of probabilities </w:t>
      </w:r>
      <w:r w:rsidR="005B095A" w:rsidRPr="005168CF">
        <w:rPr>
          <w:rFonts w:ascii="Arial" w:hAnsi="Arial" w:cs="Arial"/>
          <w:bCs/>
          <w:sz w:val="24"/>
          <w:szCs w:val="24"/>
        </w:rPr>
        <w:t xml:space="preserve">— Factual disputes — Court required to weigh balance of probabilities </w:t>
      </w:r>
      <w:r w:rsidRPr="005168CF">
        <w:rPr>
          <w:rFonts w:ascii="Arial" w:hAnsi="Arial" w:cs="Arial"/>
          <w:bCs/>
          <w:sz w:val="24"/>
          <w:szCs w:val="24"/>
        </w:rPr>
        <w:t xml:space="preserve">on </w:t>
      </w:r>
      <w:r w:rsidR="005B095A" w:rsidRPr="005168CF">
        <w:rPr>
          <w:rFonts w:ascii="Arial" w:hAnsi="Arial" w:cs="Arial"/>
          <w:bCs/>
          <w:sz w:val="24"/>
          <w:szCs w:val="24"/>
        </w:rPr>
        <w:t xml:space="preserve">basis of </w:t>
      </w:r>
      <w:r w:rsidR="001A268D" w:rsidRPr="005168CF">
        <w:rPr>
          <w:rFonts w:ascii="Arial" w:hAnsi="Arial" w:cs="Arial"/>
          <w:bCs/>
          <w:sz w:val="24"/>
          <w:szCs w:val="24"/>
        </w:rPr>
        <w:t xml:space="preserve">facts established </w:t>
      </w:r>
      <w:r w:rsidRPr="005168CF">
        <w:rPr>
          <w:rFonts w:ascii="Arial" w:hAnsi="Arial" w:cs="Arial"/>
          <w:bCs/>
          <w:sz w:val="24"/>
          <w:szCs w:val="24"/>
        </w:rPr>
        <w:t xml:space="preserve">pursuant </w:t>
      </w:r>
      <w:r w:rsidR="00B45B44" w:rsidRPr="005168CF">
        <w:rPr>
          <w:rFonts w:ascii="Arial" w:hAnsi="Arial" w:cs="Arial"/>
          <w:bCs/>
          <w:sz w:val="24"/>
          <w:szCs w:val="24"/>
        </w:rPr>
        <w:t xml:space="preserve">to </w:t>
      </w:r>
      <w:r w:rsidR="001A268D" w:rsidRPr="005168CF">
        <w:rPr>
          <w:rFonts w:ascii="Arial" w:hAnsi="Arial" w:cs="Arial"/>
          <w:bCs/>
          <w:sz w:val="24"/>
          <w:szCs w:val="24"/>
        </w:rPr>
        <w:t xml:space="preserve">and subsequent </w:t>
      </w:r>
      <w:r w:rsidRPr="005168CF">
        <w:rPr>
          <w:rFonts w:ascii="Arial" w:hAnsi="Arial" w:cs="Arial"/>
          <w:bCs/>
          <w:sz w:val="24"/>
          <w:szCs w:val="24"/>
        </w:rPr>
        <w:t>to execution of Anton Piller order.</w:t>
      </w:r>
    </w:p>
    <w:p w14:paraId="3D077083" w14:textId="2DDF12E0" w:rsidR="002C1DA5" w:rsidRPr="005168CF" w:rsidRDefault="002C1DA5" w:rsidP="002C1DA5">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 xml:space="preserve">Discovery and inspection — Anton Piller-type orders — “Ordinary” Anton Piller order directed at preserving evidence that would otherwise be lost or destroyed — Requirements — </w:t>
      </w:r>
      <w:r w:rsidR="005B095A" w:rsidRPr="005168CF">
        <w:rPr>
          <w:rFonts w:ascii="Arial" w:hAnsi="Arial" w:cs="Arial"/>
          <w:bCs/>
          <w:sz w:val="24"/>
          <w:szCs w:val="24"/>
        </w:rPr>
        <w:t>Onus and b</w:t>
      </w:r>
      <w:r w:rsidRPr="005168CF">
        <w:rPr>
          <w:rFonts w:ascii="Arial" w:hAnsi="Arial" w:cs="Arial"/>
          <w:bCs/>
          <w:sz w:val="24"/>
          <w:szCs w:val="24"/>
        </w:rPr>
        <w:t xml:space="preserve">urden of proof upon reconsideration — </w:t>
      </w:r>
      <w:r w:rsidR="005B095A" w:rsidRPr="005168CF">
        <w:rPr>
          <w:rFonts w:ascii="Arial" w:hAnsi="Arial" w:cs="Arial"/>
          <w:bCs/>
          <w:sz w:val="24"/>
          <w:szCs w:val="24"/>
        </w:rPr>
        <w:t>Onus on a</w:t>
      </w:r>
      <w:r w:rsidRPr="005168CF">
        <w:rPr>
          <w:rFonts w:ascii="Arial" w:hAnsi="Arial" w:cs="Arial"/>
          <w:bCs/>
          <w:sz w:val="24"/>
          <w:szCs w:val="24"/>
        </w:rPr>
        <w:t xml:space="preserve">pplicant to satisfy court of real and well-founded </w:t>
      </w:r>
      <w:r w:rsidR="00B45B44" w:rsidRPr="005168CF">
        <w:rPr>
          <w:rFonts w:ascii="Arial" w:hAnsi="Arial" w:cs="Arial"/>
          <w:bCs/>
          <w:sz w:val="24"/>
          <w:szCs w:val="24"/>
        </w:rPr>
        <w:t xml:space="preserve">objective </w:t>
      </w:r>
      <w:r w:rsidRPr="005168CF">
        <w:rPr>
          <w:rFonts w:ascii="Arial" w:hAnsi="Arial" w:cs="Arial"/>
          <w:bCs/>
          <w:sz w:val="24"/>
          <w:szCs w:val="24"/>
        </w:rPr>
        <w:t>apprehension that evidence may lost or destroyed — Factual disputes — Court required to weigh balance of probabilities</w:t>
      </w:r>
      <w:r w:rsidR="001A268D" w:rsidRPr="005168CF">
        <w:rPr>
          <w:rFonts w:ascii="Arial" w:hAnsi="Arial" w:cs="Arial"/>
          <w:bCs/>
          <w:sz w:val="24"/>
          <w:szCs w:val="24"/>
        </w:rPr>
        <w:t xml:space="preserve"> on basis of facts established pursuant </w:t>
      </w:r>
      <w:r w:rsidR="00B45B44" w:rsidRPr="005168CF">
        <w:rPr>
          <w:rFonts w:ascii="Arial" w:hAnsi="Arial" w:cs="Arial"/>
          <w:bCs/>
          <w:sz w:val="24"/>
          <w:szCs w:val="24"/>
        </w:rPr>
        <w:t xml:space="preserve">to </w:t>
      </w:r>
      <w:r w:rsidR="001A268D" w:rsidRPr="005168CF">
        <w:rPr>
          <w:rFonts w:ascii="Arial" w:hAnsi="Arial" w:cs="Arial"/>
          <w:bCs/>
          <w:sz w:val="24"/>
          <w:szCs w:val="24"/>
        </w:rPr>
        <w:t>and subsequent to execution of Anton Piller order</w:t>
      </w:r>
      <w:r w:rsidRPr="005168CF">
        <w:rPr>
          <w:rFonts w:ascii="Arial" w:hAnsi="Arial" w:cs="Arial"/>
          <w:bCs/>
          <w:sz w:val="24"/>
          <w:szCs w:val="24"/>
        </w:rPr>
        <w:t>.</w:t>
      </w:r>
    </w:p>
    <w:p w14:paraId="2E6A7BA9" w14:textId="77777777" w:rsidR="005B095A" w:rsidRPr="005168CF" w:rsidRDefault="005B095A" w:rsidP="005B095A">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Discovery and inspection — Anton Piller-type orders — “Ordinary” Anton Piller order directed at preserving evidence that would otherwise be lost or destroyed — Safeguards — Appointment of “independent assisting attorneys”.</w:t>
      </w:r>
    </w:p>
    <w:p w14:paraId="4616DB56" w14:textId="77777777" w:rsidR="005B095A" w:rsidRPr="005168CF" w:rsidRDefault="005B095A" w:rsidP="005B095A">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Discovery and inspection — Anton Piller-type orders — “Ordinary” Anton Piller order directed at preserving evidence that would otherwise be lost or destroyed — Safeguards — Authorisation of Police Service to assist.</w:t>
      </w:r>
    </w:p>
    <w:p w14:paraId="46A1BDE6" w14:textId="6B88BF63" w:rsidR="002C611F" w:rsidRPr="005168CF" w:rsidRDefault="002C611F" w:rsidP="002C611F">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Discovery and inspection — Anton Piller</w:t>
      </w:r>
      <w:r w:rsidR="00096471" w:rsidRPr="005168CF">
        <w:rPr>
          <w:rFonts w:ascii="Arial" w:hAnsi="Arial" w:cs="Arial"/>
          <w:bCs/>
          <w:sz w:val="24"/>
          <w:szCs w:val="24"/>
        </w:rPr>
        <w:t>-type</w:t>
      </w:r>
      <w:r w:rsidRPr="005168CF">
        <w:rPr>
          <w:rFonts w:ascii="Arial" w:hAnsi="Arial" w:cs="Arial"/>
          <w:bCs/>
          <w:sz w:val="24"/>
          <w:szCs w:val="24"/>
        </w:rPr>
        <w:t xml:space="preserve"> orders —</w:t>
      </w:r>
      <w:r w:rsidR="001321FD" w:rsidRPr="005168CF">
        <w:rPr>
          <w:rFonts w:ascii="Arial" w:hAnsi="Arial" w:cs="Arial"/>
          <w:bCs/>
          <w:sz w:val="24"/>
          <w:szCs w:val="24"/>
        </w:rPr>
        <w:t xml:space="preserve"> </w:t>
      </w:r>
      <w:r w:rsidRPr="005168CF">
        <w:rPr>
          <w:rFonts w:ascii="Arial" w:hAnsi="Arial" w:cs="Arial"/>
          <w:bCs/>
          <w:sz w:val="24"/>
          <w:szCs w:val="24"/>
        </w:rPr>
        <w:t>Execution —</w:t>
      </w:r>
      <w:r w:rsidR="00096471" w:rsidRPr="005168CF">
        <w:rPr>
          <w:rFonts w:ascii="Arial" w:hAnsi="Arial" w:cs="Arial"/>
          <w:bCs/>
          <w:sz w:val="24"/>
          <w:szCs w:val="24"/>
        </w:rPr>
        <w:t xml:space="preserve"> </w:t>
      </w:r>
      <w:r w:rsidRPr="005168CF">
        <w:rPr>
          <w:rFonts w:ascii="Arial" w:hAnsi="Arial" w:cs="Arial"/>
          <w:bCs/>
          <w:sz w:val="24"/>
          <w:szCs w:val="24"/>
        </w:rPr>
        <w:t xml:space="preserve">Burden of proof upon reconsideration — Respondent to show </w:t>
      </w:r>
      <w:r w:rsidR="00650E84" w:rsidRPr="005168CF">
        <w:rPr>
          <w:rFonts w:ascii="Arial" w:hAnsi="Arial" w:cs="Arial"/>
          <w:bCs/>
          <w:sz w:val="24"/>
          <w:szCs w:val="24"/>
        </w:rPr>
        <w:t xml:space="preserve">on </w:t>
      </w:r>
      <w:r w:rsidR="00D1798F" w:rsidRPr="005168CF">
        <w:rPr>
          <w:rFonts w:ascii="Arial" w:hAnsi="Arial" w:cs="Arial"/>
          <w:bCs/>
          <w:sz w:val="24"/>
          <w:szCs w:val="24"/>
        </w:rPr>
        <w:t xml:space="preserve">preponderance </w:t>
      </w:r>
      <w:r w:rsidR="00650E84" w:rsidRPr="005168CF">
        <w:rPr>
          <w:rFonts w:ascii="Arial" w:hAnsi="Arial" w:cs="Arial"/>
          <w:bCs/>
          <w:sz w:val="24"/>
          <w:szCs w:val="24"/>
        </w:rPr>
        <w:t xml:space="preserve">of probabilities that </w:t>
      </w:r>
      <w:r w:rsidRPr="005168CF">
        <w:rPr>
          <w:rFonts w:ascii="Arial" w:hAnsi="Arial" w:cs="Arial"/>
          <w:bCs/>
          <w:sz w:val="24"/>
          <w:szCs w:val="24"/>
        </w:rPr>
        <w:t xml:space="preserve">execution not in compliance with </w:t>
      </w:r>
      <w:r w:rsidR="00650E84" w:rsidRPr="005168CF">
        <w:rPr>
          <w:rFonts w:ascii="Arial" w:hAnsi="Arial" w:cs="Arial"/>
          <w:bCs/>
          <w:sz w:val="24"/>
          <w:szCs w:val="24"/>
        </w:rPr>
        <w:t>order</w:t>
      </w:r>
      <w:r w:rsidR="001A268D" w:rsidRPr="005168CF">
        <w:rPr>
          <w:rFonts w:ascii="Arial" w:hAnsi="Arial" w:cs="Arial"/>
          <w:bCs/>
          <w:sz w:val="24"/>
          <w:szCs w:val="24"/>
        </w:rPr>
        <w:t xml:space="preserve"> so serious as to justify setting aside — Conduct of assisting attorneys</w:t>
      </w:r>
      <w:r w:rsidRPr="005168CF">
        <w:rPr>
          <w:rFonts w:ascii="Arial" w:hAnsi="Arial" w:cs="Arial"/>
          <w:bCs/>
          <w:sz w:val="24"/>
          <w:szCs w:val="24"/>
        </w:rPr>
        <w:t>.</w:t>
      </w:r>
    </w:p>
    <w:p w14:paraId="0FD6CD4C" w14:textId="51504B93" w:rsidR="005B095A" w:rsidRPr="005168CF" w:rsidRDefault="005B095A" w:rsidP="005B095A">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 xml:space="preserve">Discovery and inspection — Anton Piller-type orders — Execution — Burden of proof upon reconsideration — Respondent to show on preponderance of probabilities that execution not in compliance with order </w:t>
      </w:r>
      <w:r w:rsidR="001A268D" w:rsidRPr="005168CF">
        <w:rPr>
          <w:rFonts w:ascii="Arial" w:hAnsi="Arial" w:cs="Arial"/>
          <w:bCs/>
          <w:sz w:val="24"/>
          <w:szCs w:val="24"/>
        </w:rPr>
        <w:t>so serious as to justify setting aside — Forensic Imaging and subsequent searching of electronic devices</w:t>
      </w:r>
      <w:r w:rsidRPr="005168CF">
        <w:rPr>
          <w:rFonts w:ascii="Arial" w:hAnsi="Arial" w:cs="Arial"/>
          <w:bCs/>
          <w:sz w:val="24"/>
          <w:szCs w:val="24"/>
        </w:rPr>
        <w:t>.</w:t>
      </w:r>
    </w:p>
    <w:p w14:paraId="29248DCA" w14:textId="77777777" w:rsidR="005168CF" w:rsidRDefault="005168CF">
      <w:pPr>
        <w:spacing w:after="160" w:line="259" w:lineRule="auto"/>
        <w:jc w:val="left"/>
        <w:rPr>
          <w:rFonts w:ascii="Arial" w:hAnsi="Arial" w:cs="Arial"/>
          <w:b/>
          <w:sz w:val="24"/>
          <w:szCs w:val="24"/>
        </w:rPr>
      </w:pPr>
      <w:r>
        <w:rPr>
          <w:rFonts w:ascii="Arial" w:hAnsi="Arial" w:cs="Arial"/>
          <w:b/>
          <w:sz w:val="24"/>
          <w:szCs w:val="24"/>
        </w:rPr>
        <w:br w:type="page"/>
      </w:r>
    </w:p>
    <w:p w14:paraId="1F44E0BD" w14:textId="0258F10F" w:rsidR="00EF21BD" w:rsidRPr="00AB52EE" w:rsidRDefault="005168CF" w:rsidP="00EF21BD">
      <w:pPr>
        <w:tabs>
          <w:tab w:val="left" w:pos="0"/>
          <w:tab w:val="right" w:pos="9070"/>
        </w:tabs>
        <w:autoSpaceDE w:val="0"/>
        <w:autoSpaceDN w:val="0"/>
        <w:adjustRightInd w:val="0"/>
        <w:spacing w:before="240" w:after="120" w:line="360" w:lineRule="auto"/>
        <w:rPr>
          <w:rFonts w:ascii="Arial" w:hAnsi="Arial" w:cs="Arial"/>
          <w:b/>
          <w:sz w:val="24"/>
          <w:szCs w:val="24"/>
        </w:rPr>
      </w:pPr>
      <w:r>
        <w:rPr>
          <w:rFonts w:ascii="Arial" w:hAnsi="Arial" w:cs="Arial"/>
          <w:b/>
          <w:sz w:val="24"/>
          <w:szCs w:val="24"/>
        </w:rPr>
        <w:lastRenderedPageBreak/>
        <w:t>MOULTRIE AJ</w:t>
      </w:r>
    </w:p>
    <w:p w14:paraId="2546C6C9" w14:textId="34B17B3C" w:rsidR="00AD5993" w:rsidRPr="00AB52EE" w:rsidRDefault="0002788F" w:rsidP="007A27ED">
      <w:pPr>
        <w:pStyle w:val="LC1"/>
        <w:rPr>
          <w:rFonts w:cs="Arial"/>
          <w:szCs w:val="24"/>
        </w:rPr>
      </w:pPr>
      <w:r w:rsidRPr="00AB52EE">
        <w:rPr>
          <w:rFonts w:cs="Arial"/>
          <w:szCs w:val="24"/>
        </w:rPr>
        <w:t>Vanesco</w:t>
      </w:r>
      <w:r w:rsidR="00212E42" w:rsidRPr="00AB52EE">
        <w:rPr>
          <w:rFonts w:cs="Arial"/>
          <w:szCs w:val="24"/>
        </w:rPr>
        <w:t xml:space="preserve"> </w:t>
      </w:r>
      <w:r w:rsidRPr="00AB52EE">
        <w:rPr>
          <w:rFonts w:cs="Arial"/>
          <w:szCs w:val="24"/>
        </w:rPr>
        <w:t>and Supercart</w:t>
      </w:r>
      <w:r w:rsidR="00752526" w:rsidRPr="00AB52EE">
        <w:rPr>
          <w:rFonts w:cs="Arial"/>
          <w:szCs w:val="24"/>
        </w:rPr>
        <w:t xml:space="preserve"> </w:t>
      </w:r>
      <w:r w:rsidRPr="00AB52EE">
        <w:rPr>
          <w:rFonts w:cs="Arial"/>
          <w:szCs w:val="24"/>
        </w:rPr>
        <w:t xml:space="preserve">are commercial competitors in the </w:t>
      </w:r>
      <w:r w:rsidR="00AA5CB0" w:rsidRPr="00AB52EE">
        <w:rPr>
          <w:rFonts w:cs="Arial"/>
          <w:szCs w:val="24"/>
        </w:rPr>
        <w:t xml:space="preserve">design, </w:t>
      </w:r>
      <w:r w:rsidRPr="00AB52EE">
        <w:rPr>
          <w:rFonts w:cs="Arial"/>
          <w:szCs w:val="24"/>
        </w:rPr>
        <w:t>manufacture</w:t>
      </w:r>
      <w:r w:rsidR="00F5069B" w:rsidRPr="00AB52EE">
        <w:rPr>
          <w:rFonts w:cs="Arial"/>
          <w:szCs w:val="24"/>
        </w:rPr>
        <w:t>,</w:t>
      </w:r>
      <w:r w:rsidRPr="00AB52EE">
        <w:rPr>
          <w:rFonts w:cs="Arial"/>
          <w:szCs w:val="24"/>
        </w:rPr>
        <w:t xml:space="preserve"> and supply of a variety of </w:t>
      </w:r>
      <w:r w:rsidR="00212E42" w:rsidRPr="00AB52EE">
        <w:rPr>
          <w:rFonts w:cs="Arial"/>
          <w:szCs w:val="24"/>
        </w:rPr>
        <w:t xml:space="preserve">different </w:t>
      </w:r>
      <w:r w:rsidRPr="00AB52EE">
        <w:rPr>
          <w:rFonts w:cs="Arial"/>
          <w:szCs w:val="24"/>
        </w:rPr>
        <w:t xml:space="preserve">trolleys used by supermarkets and retailers. </w:t>
      </w:r>
      <w:r w:rsidR="008006CF" w:rsidRPr="00AB52EE">
        <w:rPr>
          <w:rFonts w:cs="Arial"/>
          <w:szCs w:val="24"/>
        </w:rPr>
        <w:t xml:space="preserve">Mr Kenneth </w:t>
      </w:r>
      <w:r w:rsidR="00A97819" w:rsidRPr="00AB52EE">
        <w:rPr>
          <w:rFonts w:cs="Arial"/>
          <w:szCs w:val="24"/>
        </w:rPr>
        <w:t xml:space="preserve">Case </w:t>
      </w:r>
      <w:r w:rsidR="00212E42" w:rsidRPr="00AB52EE">
        <w:rPr>
          <w:rFonts w:cs="Arial"/>
          <w:szCs w:val="24"/>
        </w:rPr>
        <w:t xml:space="preserve">is </w:t>
      </w:r>
      <w:r w:rsidR="003911A7" w:rsidRPr="00AB52EE">
        <w:rPr>
          <w:rFonts w:cs="Arial"/>
          <w:szCs w:val="24"/>
        </w:rPr>
        <w:t xml:space="preserve">Vanesco’s </w:t>
      </w:r>
      <w:r w:rsidR="00212E42" w:rsidRPr="00AB52EE">
        <w:rPr>
          <w:rFonts w:cs="Arial"/>
          <w:szCs w:val="24"/>
        </w:rPr>
        <w:t>sole shareholder and director</w:t>
      </w:r>
      <w:r w:rsidR="008006CF" w:rsidRPr="00AB52EE">
        <w:rPr>
          <w:rFonts w:cs="Arial"/>
          <w:szCs w:val="24"/>
        </w:rPr>
        <w:t>, whereas Supercart is led by its founder Mr Michael Wolfe</w:t>
      </w:r>
      <w:r w:rsidR="0025656C" w:rsidRPr="00AB52EE">
        <w:rPr>
          <w:rFonts w:cs="Arial"/>
          <w:szCs w:val="24"/>
        </w:rPr>
        <w:t>.</w:t>
      </w:r>
      <w:r w:rsidR="00CA0D4C" w:rsidRPr="00AB52EE">
        <w:rPr>
          <w:rStyle w:val="FootnoteReference"/>
          <w:szCs w:val="24"/>
        </w:rPr>
        <w:footnoteReference w:id="1"/>
      </w:r>
      <w:r w:rsidR="008006CF" w:rsidRPr="00AB52EE">
        <w:rPr>
          <w:rFonts w:cs="Arial"/>
          <w:szCs w:val="24"/>
        </w:rPr>
        <w:t xml:space="preserve"> </w:t>
      </w:r>
      <w:r w:rsidR="00AD5993" w:rsidRPr="00AB52EE">
        <w:rPr>
          <w:rFonts w:cs="Arial"/>
          <w:szCs w:val="24"/>
        </w:rPr>
        <w:t xml:space="preserve">The </w:t>
      </w:r>
      <w:r w:rsidR="00F5069B" w:rsidRPr="00AB52EE">
        <w:rPr>
          <w:rFonts w:cs="Arial"/>
          <w:szCs w:val="24"/>
        </w:rPr>
        <w:t xml:space="preserve">specific </w:t>
      </w:r>
      <w:r w:rsidR="00AD5993" w:rsidRPr="00AB52EE">
        <w:rPr>
          <w:rFonts w:cs="Arial"/>
          <w:szCs w:val="24"/>
        </w:rPr>
        <w:t xml:space="preserve">trolley to which this matter relates is a product manufactured and distributed by Vanesco </w:t>
      </w:r>
      <w:r w:rsidR="00047515" w:rsidRPr="00AB52EE">
        <w:rPr>
          <w:rFonts w:cs="Arial"/>
          <w:szCs w:val="24"/>
        </w:rPr>
        <w:t xml:space="preserve">that </w:t>
      </w:r>
      <w:r w:rsidR="00D459DA" w:rsidRPr="00AB52EE">
        <w:rPr>
          <w:rFonts w:cs="Arial"/>
          <w:szCs w:val="24"/>
        </w:rPr>
        <w:t xml:space="preserve">this judgment </w:t>
      </w:r>
      <w:r w:rsidR="00AD5993" w:rsidRPr="00AB52EE">
        <w:rPr>
          <w:rFonts w:cs="Arial"/>
          <w:szCs w:val="24"/>
        </w:rPr>
        <w:t>shall</w:t>
      </w:r>
      <w:r w:rsidR="00607DAF" w:rsidRPr="00AB52EE">
        <w:rPr>
          <w:rFonts w:cs="Arial"/>
          <w:szCs w:val="24"/>
        </w:rPr>
        <w:t xml:space="preserve"> refer to as the Hybrid 90</w:t>
      </w:r>
      <w:r w:rsidR="00B91EE3" w:rsidRPr="00AB52EE">
        <w:rPr>
          <w:rFonts w:cs="Arial"/>
          <w:szCs w:val="24"/>
        </w:rPr>
        <w:t xml:space="preserve"> litre </w:t>
      </w:r>
      <w:r w:rsidR="00607DAF" w:rsidRPr="00AB52EE">
        <w:rPr>
          <w:rFonts w:cs="Arial"/>
          <w:szCs w:val="24"/>
        </w:rPr>
        <w:t>trolley</w:t>
      </w:r>
      <w:r w:rsidR="00AD5993" w:rsidRPr="00AB52EE">
        <w:rPr>
          <w:rFonts w:cs="Arial"/>
          <w:szCs w:val="24"/>
        </w:rPr>
        <w:t xml:space="preserve">. Supercart alleges that </w:t>
      </w:r>
      <w:r w:rsidR="002D15DF" w:rsidRPr="00AB52EE">
        <w:rPr>
          <w:rFonts w:cs="Arial"/>
          <w:szCs w:val="24"/>
        </w:rPr>
        <w:t xml:space="preserve">Vanesco’s </w:t>
      </w:r>
      <w:r w:rsidR="00AD5993" w:rsidRPr="00AB52EE">
        <w:rPr>
          <w:rFonts w:cs="Arial"/>
          <w:szCs w:val="24"/>
        </w:rPr>
        <w:t xml:space="preserve">conduct infringes its rights pursuant to a design </w:t>
      </w:r>
      <w:r w:rsidR="00434A43" w:rsidRPr="00AB52EE">
        <w:rPr>
          <w:rFonts w:cs="Arial"/>
          <w:szCs w:val="24"/>
        </w:rPr>
        <w:t xml:space="preserve">it has </w:t>
      </w:r>
      <w:r w:rsidR="005714E1" w:rsidRPr="00AB52EE">
        <w:rPr>
          <w:rFonts w:cs="Arial"/>
          <w:szCs w:val="24"/>
        </w:rPr>
        <w:t xml:space="preserve">registered </w:t>
      </w:r>
      <w:r w:rsidR="00AD5993" w:rsidRPr="00AB52EE">
        <w:rPr>
          <w:rFonts w:cs="Arial"/>
          <w:szCs w:val="24"/>
        </w:rPr>
        <w:t>under the Designs Act, 195 of 1993</w:t>
      </w:r>
      <w:r w:rsidR="00222662" w:rsidRPr="00AB52EE">
        <w:rPr>
          <w:rFonts w:cs="Arial"/>
          <w:szCs w:val="24"/>
        </w:rPr>
        <w:t xml:space="preserve">. This is hotly contested by </w:t>
      </w:r>
      <w:r w:rsidR="00607DAF" w:rsidRPr="00AB52EE">
        <w:rPr>
          <w:rFonts w:cs="Arial"/>
          <w:szCs w:val="24"/>
        </w:rPr>
        <w:t>Vanesco</w:t>
      </w:r>
      <w:r w:rsidR="00222662" w:rsidRPr="00AB52EE">
        <w:rPr>
          <w:rFonts w:cs="Arial"/>
          <w:szCs w:val="24"/>
        </w:rPr>
        <w:t xml:space="preserve">, which </w:t>
      </w:r>
      <w:r w:rsidR="00434A43" w:rsidRPr="00AB52EE">
        <w:rPr>
          <w:rFonts w:cs="Arial"/>
          <w:szCs w:val="24"/>
        </w:rPr>
        <w:t xml:space="preserve">contends </w:t>
      </w:r>
      <w:r w:rsidR="00047515" w:rsidRPr="00AB52EE">
        <w:rPr>
          <w:rFonts w:cs="Arial"/>
          <w:szCs w:val="24"/>
        </w:rPr>
        <w:t xml:space="preserve">that the </w:t>
      </w:r>
      <w:r w:rsidR="00222662" w:rsidRPr="00AB52EE">
        <w:rPr>
          <w:rFonts w:cs="Arial"/>
          <w:szCs w:val="24"/>
        </w:rPr>
        <w:t xml:space="preserve">design was not novel or original as at the date </w:t>
      </w:r>
      <w:r w:rsidR="00047515" w:rsidRPr="00AB52EE">
        <w:rPr>
          <w:rFonts w:cs="Arial"/>
          <w:szCs w:val="24"/>
        </w:rPr>
        <w:t xml:space="preserve">of </w:t>
      </w:r>
      <w:r w:rsidR="00222662" w:rsidRPr="00AB52EE">
        <w:rPr>
          <w:rFonts w:cs="Arial"/>
          <w:szCs w:val="24"/>
        </w:rPr>
        <w:t>its registration, and that it had therefore not been validly registered</w:t>
      </w:r>
      <w:r w:rsidR="00047515" w:rsidRPr="00AB52EE">
        <w:rPr>
          <w:rFonts w:cs="Arial"/>
          <w:szCs w:val="24"/>
        </w:rPr>
        <w:t>.</w:t>
      </w:r>
      <w:r w:rsidR="00762AE2" w:rsidRPr="00AB52EE">
        <w:rPr>
          <w:rFonts w:cs="Arial"/>
          <w:szCs w:val="24"/>
        </w:rPr>
        <w:t xml:space="preserve"> </w:t>
      </w:r>
    </w:p>
    <w:p w14:paraId="2FD1DF0C" w14:textId="0AADADEB" w:rsidR="00762AE2" w:rsidRPr="00AB52EE" w:rsidRDefault="00BD4E4B" w:rsidP="007A27ED">
      <w:pPr>
        <w:pStyle w:val="LC1"/>
        <w:rPr>
          <w:rFonts w:cs="Arial"/>
          <w:szCs w:val="24"/>
        </w:rPr>
      </w:pPr>
      <w:r w:rsidRPr="00AB52EE">
        <w:rPr>
          <w:rFonts w:cs="Arial"/>
          <w:szCs w:val="24"/>
        </w:rPr>
        <w:t xml:space="preserve">In this application, </w:t>
      </w:r>
      <w:r w:rsidR="00636C6A" w:rsidRPr="00AB52EE">
        <w:rPr>
          <w:rFonts w:cs="Arial"/>
          <w:szCs w:val="24"/>
        </w:rPr>
        <w:t xml:space="preserve">the respondents </w:t>
      </w:r>
      <w:r w:rsidRPr="00AB52EE">
        <w:rPr>
          <w:rFonts w:cs="Arial"/>
          <w:szCs w:val="24"/>
        </w:rPr>
        <w:t xml:space="preserve">seek the reconsideration </w:t>
      </w:r>
      <w:r w:rsidR="006F4575" w:rsidRPr="00AB52EE">
        <w:rPr>
          <w:rFonts w:cs="Arial"/>
          <w:szCs w:val="24"/>
        </w:rPr>
        <w:t xml:space="preserve">and setting aside </w:t>
      </w:r>
      <w:r w:rsidRPr="00AB52EE">
        <w:rPr>
          <w:rFonts w:cs="Arial"/>
          <w:szCs w:val="24"/>
        </w:rPr>
        <w:t xml:space="preserve">under Rule 6(12)(c) </w:t>
      </w:r>
      <w:r w:rsidR="0062043B" w:rsidRPr="00AB52EE">
        <w:rPr>
          <w:rFonts w:cs="Arial"/>
          <w:szCs w:val="24"/>
        </w:rPr>
        <w:t xml:space="preserve">of the Uniform Rules </w:t>
      </w:r>
      <w:r w:rsidRPr="00AB52EE">
        <w:rPr>
          <w:rFonts w:cs="Arial"/>
          <w:szCs w:val="24"/>
        </w:rPr>
        <w:t xml:space="preserve">of </w:t>
      </w:r>
      <w:r w:rsidR="00B51268" w:rsidRPr="00AB52EE">
        <w:rPr>
          <w:rFonts w:cs="Arial"/>
          <w:szCs w:val="24"/>
        </w:rPr>
        <w:t xml:space="preserve">what both parties refer to as </w:t>
      </w:r>
      <w:r w:rsidRPr="00AB52EE">
        <w:rPr>
          <w:rFonts w:cs="Arial"/>
          <w:szCs w:val="24"/>
        </w:rPr>
        <w:t xml:space="preserve">an </w:t>
      </w:r>
      <w:r w:rsidR="00B51268" w:rsidRPr="00AB52EE">
        <w:rPr>
          <w:rFonts w:cs="Arial"/>
          <w:szCs w:val="24"/>
        </w:rPr>
        <w:t>“</w:t>
      </w:r>
      <w:r w:rsidRPr="00AB52EE">
        <w:rPr>
          <w:rFonts w:cs="Arial"/>
          <w:szCs w:val="24"/>
        </w:rPr>
        <w:t>Anton Piller</w:t>
      </w:r>
      <w:r w:rsidR="00B51268" w:rsidRPr="00AB52EE">
        <w:rPr>
          <w:rFonts w:cs="Arial"/>
          <w:szCs w:val="24"/>
        </w:rPr>
        <w:t xml:space="preserve"> </w:t>
      </w:r>
      <w:r w:rsidRPr="00AB52EE">
        <w:rPr>
          <w:rFonts w:cs="Arial"/>
          <w:szCs w:val="24"/>
        </w:rPr>
        <w:t>order</w:t>
      </w:r>
      <w:r w:rsidR="00B51268" w:rsidRPr="00AB52EE">
        <w:rPr>
          <w:rFonts w:cs="Arial"/>
          <w:szCs w:val="24"/>
        </w:rPr>
        <w:t>”</w:t>
      </w:r>
      <w:r w:rsidRPr="00AB52EE">
        <w:rPr>
          <w:rFonts w:cs="Arial"/>
          <w:szCs w:val="24"/>
        </w:rPr>
        <w:t xml:space="preserve"> that Supercart sought on an </w:t>
      </w:r>
      <w:r w:rsidRPr="00AB52EE">
        <w:rPr>
          <w:rFonts w:cs="Arial"/>
          <w:i/>
          <w:iCs/>
          <w:szCs w:val="24"/>
        </w:rPr>
        <w:t>ex parte</w:t>
      </w:r>
      <w:r w:rsidRPr="00AB52EE">
        <w:rPr>
          <w:rFonts w:cs="Arial"/>
          <w:szCs w:val="24"/>
        </w:rPr>
        <w:t xml:space="preserve"> basis and </w:t>
      </w:r>
      <w:r w:rsidRPr="00AB52EE">
        <w:rPr>
          <w:rFonts w:cs="Arial"/>
          <w:i/>
          <w:iCs/>
          <w:szCs w:val="24"/>
        </w:rPr>
        <w:t xml:space="preserve">in camera </w:t>
      </w:r>
      <w:r w:rsidRPr="00AB52EE">
        <w:rPr>
          <w:rFonts w:cs="Arial"/>
          <w:szCs w:val="24"/>
        </w:rPr>
        <w:t xml:space="preserve">and </w:t>
      </w:r>
      <w:r w:rsidR="00B51268" w:rsidRPr="00AB52EE">
        <w:rPr>
          <w:rFonts w:cs="Arial"/>
          <w:szCs w:val="24"/>
        </w:rPr>
        <w:t xml:space="preserve">which </w:t>
      </w:r>
      <w:r w:rsidRPr="00AB52EE">
        <w:rPr>
          <w:rFonts w:cs="Arial"/>
          <w:szCs w:val="24"/>
        </w:rPr>
        <w:t>was initially granted on 21 October 2021</w:t>
      </w:r>
      <w:r w:rsidR="00D65B2E" w:rsidRPr="00AB52EE">
        <w:rPr>
          <w:rFonts w:cs="Arial"/>
          <w:szCs w:val="24"/>
        </w:rPr>
        <w:t>,</w:t>
      </w:r>
      <w:r w:rsidR="00D066B9" w:rsidRPr="00AB52EE">
        <w:rPr>
          <w:rFonts w:cs="Arial"/>
          <w:szCs w:val="24"/>
        </w:rPr>
        <w:t xml:space="preserve"> </w:t>
      </w:r>
      <w:r w:rsidR="00434A43" w:rsidRPr="00AB52EE">
        <w:rPr>
          <w:rFonts w:cs="Arial"/>
          <w:szCs w:val="24"/>
        </w:rPr>
        <w:t xml:space="preserve">but </w:t>
      </w:r>
      <w:r w:rsidR="00D066B9" w:rsidRPr="00AB52EE">
        <w:rPr>
          <w:rFonts w:cs="Arial"/>
          <w:szCs w:val="24"/>
        </w:rPr>
        <w:t xml:space="preserve">amended in a minor respect </w:t>
      </w:r>
      <w:r w:rsidRPr="00AB52EE">
        <w:rPr>
          <w:rFonts w:cs="Arial"/>
          <w:szCs w:val="24"/>
        </w:rPr>
        <w:t>the following day.</w:t>
      </w:r>
      <w:r w:rsidR="00D066B9" w:rsidRPr="00AB52EE">
        <w:rPr>
          <w:rStyle w:val="FootnoteReference"/>
          <w:szCs w:val="24"/>
        </w:rPr>
        <w:footnoteReference w:id="2"/>
      </w:r>
      <w:r w:rsidR="00D066B9" w:rsidRPr="00AB52EE">
        <w:rPr>
          <w:rFonts w:cs="Arial"/>
          <w:szCs w:val="24"/>
        </w:rPr>
        <w:t xml:space="preserve"> </w:t>
      </w:r>
      <w:r w:rsidR="00F1092D" w:rsidRPr="00AB52EE">
        <w:rPr>
          <w:rFonts w:cs="Arial"/>
          <w:szCs w:val="24"/>
        </w:rPr>
        <w:t xml:space="preserve">The searches authorised by the </w:t>
      </w:r>
      <w:r w:rsidR="00F5069B" w:rsidRPr="00AB52EE">
        <w:rPr>
          <w:rFonts w:cs="Arial"/>
          <w:szCs w:val="24"/>
          <w:lang w:eastAsia="en-ZA"/>
        </w:rPr>
        <w:t xml:space="preserve">Anton Piller </w:t>
      </w:r>
      <w:r w:rsidR="00F1092D" w:rsidRPr="00AB52EE">
        <w:rPr>
          <w:rFonts w:cs="Arial"/>
          <w:szCs w:val="24"/>
        </w:rPr>
        <w:t xml:space="preserve">order were conducted </w:t>
      </w:r>
      <w:r w:rsidR="00F02171" w:rsidRPr="00AB52EE">
        <w:rPr>
          <w:rFonts w:cs="Arial"/>
          <w:szCs w:val="24"/>
        </w:rPr>
        <w:t xml:space="preserve">by </w:t>
      </w:r>
      <w:r w:rsidR="00981B92" w:rsidRPr="00AB52EE">
        <w:rPr>
          <w:rFonts w:cs="Arial"/>
          <w:szCs w:val="24"/>
        </w:rPr>
        <w:t xml:space="preserve">ostensibly </w:t>
      </w:r>
      <w:r w:rsidR="005279F3" w:rsidRPr="00AB52EE">
        <w:rPr>
          <w:rFonts w:cs="Arial"/>
          <w:szCs w:val="24"/>
        </w:rPr>
        <w:t>independent search parties</w:t>
      </w:r>
      <w:r w:rsidR="000E14D0" w:rsidRPr="00AB52EE">
        <w:rPr>
          <w:rStyle w:val="FootnoteReference"/>
          <w:szCs w:val="24"/>
        </w:rPr>
        <w:footnoteReference w:id="3"/>
      </w:r>
      <w:r w:rsidR="005279F3" w:rsidRPr="00AB52EE">
        <w:rPr>
          <w:rFonts w:cs="Arial"/>
          <w:szCs w:val="24"/>
        </w:rPr>
        <w:t xml:space="preserve"> </w:t>
      </w:r>
      <w:r w:rsidR="0050312D" w:rsidRPr="00AB52EE">
        <w:rPr>
          <w:rFonts w:cs="Arial"/>
          <w:szCs w:val="24"/>
        </w:rPr>
        <w:t xml:space="preserve">under the </w:t>
      </w:r>
      <w:r w:rsidR="0050312D" w:rsidRPr="00AB52EE">
        <w:rPr>
          <w:rFonts w:cs="Arial"/>
          <w:szCs w:val="24"/>
        </w:rPr>
        <w:lastRenderedPageBreak/>
        <w:t xml:space="preserve">supervision of independent attorneys </w:t>
      </w:r>
      <w:r w:rsidR="000E14D0" w:rsidRPr="00AB52EE">
        <w:rPr>
          <w:rFonts w:cs="Arial"/>
          <w:szCs w:val="24"/>
        </w:rPr>
        <w:t xml:space="preserve">at Vanesco’s </w:t>
      </w:r>
      <w:r w:rsidR="00A02BC7" w:rsidRPr="00AB52EE">
        <w:rPr>
          <w:rFonts w:cs="Arial"/>
          <w:szCs w:val="24"/>
        </w:rPr>
        <w:t xml:space="preserve">business </w:t>
      </w:r>
      <w:r w:rsidR="000E14D0" w:rsidRPr="00AB52EE">
        <w:rPr>
          <w:rFonts w:cs="Arial"/>
          <w:szCs w:val="24"/>
        </w:rPr>
        <w:t xml:space="preserve">premises in Roodepoort and Mr Case’s residence in Linksfield </w:t>
      </w:r>
      <w:r w:rsidR="00F1092D" w:rsidRPr="00AB52EE">
        <w:rPr>
          <w:rFonts w:cs="Arial"/>
          <w:szCs w:val="24"/>
        </w:rPr>
        <w:t>on 22 and 25</w:t>
      </w:r>
      <w:r w:rsidR="00F02171" w:rsidRPr="00AB52EE">
        <w:rPr>
          <w:rFonts w:cs="Arial"/>
          <w:szCs w:val="24"/>
        </w:rPr>
        <w:t xml:space="preserve"> to 27</w:t>
      </w:r>
      <w:r w:rsidR="00F1092D" w:rsidRPr="00AB52EE">
        <w:rPr>
          <w:rFonts w:cs="Arial"/>
          <w:szCs w:val="24"/>
        </w:rPr>
        <w:t xml:space="preserve"> October 2021</w:t>
      </w:r>
      <w:r w:rsidR="00434A43" w:rsidRPr="00AB52EE">
        <w:rPr>
          <w:rFonts w:cs="Arial"/>
          <w:szCs w:val="24"/>
        </w:rPr>
        <w:t xml:space="preserve">. </w:t>
      </w:r>
      <w:r w:rsidR="000E14D0" w:rsidRPr="00AB52EE">
        <w:rPr>
          <w:rFonts w:cs="Arial"/>
          <w:szCs w:val="24"/>
        </w:rPr>
        <w:t>D</w:t>
      </w:r>
      <w:r w:rsidR="002000EA" w:rsidRPr="00AB52EE">
        <w:rPr>
          <w:rFonts w:cs="Arial"/>
          <w:szCs w:val="24"/>
        </w:rPr>
        <w:t xml:space="preserve">ocuments </w:t>
      </w:r>
      <w:r w:rsidR="00D32FED" w:rsidRPr="00AB52EE">
        <w:rPr>
          <w:rFonts w:cs="Arial"/>
          <w:szCs w:val="24"/>
        </w:rPr>
        <w:t xml:space="preserve">were seized </w:t>
      </w:r>
      <w:r w:rsidR="00D65B2E" w:rsidRPr="00AB52EE">
        <w:rPr>
          <w:rFonts w:cs="Arial"/>
          <w:szCs w:val="24"/>
        </w:rPr>
        <w:t xml:space="preserve">and </w:t>
      </w:r>
      <w:r w:rsidR="005142F1" w:rsidRPr="00AB52EE">
        <w:rPr>
          <w:rFonts w:cs="Arial"/>
          <w:szCs w:val="24"/>
        </w:rPr>
        <w:t xml:space="preserve">mirror images </w:t>
      </w:r>
      <w:r w:rsidR="00D32FED" w:rsidRPr="00AB52EE">
        <w:rPr>
          <w:rFonts w:cs="Arial"/>
          <w:szCs w:val="24"/>
        </w:rPr>
        <w:t xml:space="preserve">that were made </w:t>
      </w:r>
      <w:r w:rsidR="005142F1" w:rsidRPr="00AB52EE">
        <w:rPr>
          <w:rFonts w:cs="Arial"/>
          <w:szCs w:val="24"/>
        </w:rPr>
        <w:t xml:space="preserve">of electronic devices </w:t>
      </w:r>
      <w:r w:rsidR="00D32FED" w:rsidRPr="00AB52EE">
        <w:rPr>
          <w:rFonts w:cs="Arial"/>
          <w:szCs w:val="24"/>
        </w:rPr>
        <w:t>during the search were attached by the Sheriffs</w:t>
      </w:r>
      <w:r w:rsidR="00434A43" w:rsidRPr="00AB52EE">
        <w:rPr>
          <w:rFonts w:cs="Arial"/>
          <w:szCs w:val="24"/>
        </w:rPr>
        <w:t>.</w:t>
      </w:r>
      <w:r w:rsidR="00F02171" w:rsidRPr="00AB52EE">
        <w:rPr>
          <w:rFonts w:cs="Arial"/>
          <w:szCs w:val="24"/>
        </w:rPr>
        <w:t xml:space="preserve"> </w:t>
      </w:r>
      <w:r w:rsidR="00D32FED" w:rsidRPr="00AB52EE">
        <w:rPr>
          <w:rFonts w:cs="Arial"/>
          <w:szCs w:val="24"/>
        </w:rPr>
        <w:t>During the search and in the days that followed, t</w:t>
      </w:r>
      <w:r w:rsidR="00F02171" w:rsidRPr="00AB52EE">
        <w:rPr>
          <w:rFonts w:cs="Arial"/>
          <w:szCs w:val="24"/>
        </w:rPr>
        <w:t xml:space="preserve">he </w:t>
      </w:r>
      <w:r w:rsidR="00D32FED" w:rsidRPr="00AB52EE">
        <w:rPr>
          <w:rFonts w:cs="Arial"/>
          <w:szCs w:val="24"/>
        </w:rPr>
        <w:t xml:space="preserve">seized </w:t>
      </w:r>
      <w:r w:rsidR="00F02171" w:rsidRPr="00AB52EE">
        <w:rPr>
          <w:rFonts w:cs="Arial"/>
          <w:szCs w:val="24"/>
        </w:rPr>
        <w:t xml:space="preserve">documents </w:t>
      </w:r>
      <w:r w:rsidR="005142F1" w:rsidRPr="00AB52EE">
        <w:rPr>
          <w:rFonts w:cs="Arial"/>
          <w:szCs w:val="24"/>
        </w:rPr>
        <w:t>were analysed by the search parties</w:t>
      </w:r>
      <w:r w:rsidR="0050312D" w:rsidRPr="00AB52EE">
        <w:rPr>
          <w:rFonts w:cs="Arial"/>
          <w:szCs w:val="24"/>
        </w:rPr>
        <w:t>,</w:t>
      </w:r>
      <w:r w:rsidR="005142F1" w:rsidRPr="00AB52EE">
        <w:rPr>
          <w:rFonts w:cs="Arial"/>
          <w:szCs w:val="24"/>
        </w:rPr>
        <w:t xml:space="preserve"> and </w:t>
      </w:r>
      <w:r w:rsidR="00D32FED" w:rsidRPr="00AB52EE">
        <w:rPr>
          <w:rFonts w:cs="Arial"/>
          <w:szCs w:val="24"/>
        </w:rPr>
        <w:t xml:space="preserve">copies of </w:t>
      </w:r>
      <w:r w:rsidR="000E14D0" w:rsidRPr="00AB52EE">
        <w:rPr>
          <w:rFonts w:cs="Arial"/>
          <w:szCs w:val="24"/>
        </w:rPr>
        <w:t xml:space="preserve">items </w:t>
      </w:r>
      <w:r w:rsidR="005142F1" w:rsidRPr="00AB52EE">
        <w:rPr>
          <w:rFonts w:cs="Arial"/>
          <w:szCs w:val="24"/>
        </w:rPr>
        <w:t xml:space="preserve">considered to </w:t>
      </w:r>
      <w:r w:rsidR="000E14D0" w:rsidRPr="00AB52EE">
        <w:rPr>
          <w:rFonts w:cs="Arial"/>
          <w:szCs w:val="24"/>
        </w:rPr>
        <w:t>contain the information falling within the scope of the Anton Pille</w:t>
      </w:r>
      <w:r w:rsidR="0050312D" w:rsidRPr="00AB52EE">
        <w:rPr>
          <w:rFonts w:cs="Arial"/>
          <w:szCs w:val="24"/>
        </w:rPr>
        <w:t>r</w:t>
      </w:r>
      <w:r w:rsidR="000E14D0" w:rsidRPr="00AB52EE">
        <w:rPr>
          <w:rFonts w:cs="Arial"/>
          <w:szCs w:val="24"/>
        </w:rPr>
        <w:t xml:space="preserve"> order </w:t>
      </w:r>
      <w:r w:rsidR="00F02171" w:rsidRPr="00AB52EE">
        <w:rPr>
          <w:rFonts w:cs="Arial"/>
          <w:szCs w:val="24"/>
        </w:rPr>
        <w:t xml:space="preserve">were </w:t>
      </w:r>
      <w:r w:rsidR="00D32FED" w:rsidRPr="00AB52EE">
        <w:rPr>
          <w:rFonts w:cs="Arial"/>
          <w:szCs w:val="24"/>
        </w:rPr>
        <w:t>attached and inventorised</w:t>
      </w:r>
      <w:r w:rsidR="000E14D0" w:rsidRPr="00AB52EE">
        <w:rPr>
          <w:rFonts w:cs="Arial"/>
          <w:szCs w:val="24"/>
        </w:rPr>
        <w:t xml:space="preserve">. </w:t>
      </w:r>
      <w:r w:rsidR="00D32FED" w:rsidRPr="00AB52EE">
        <w:rPr>
          <w:rFonts w:cs="Arial"/>
          <w:szCs w:val="24"/>
        </w:rPr>
        <w:t xml:space="preserve">Copies </w:t>
      </w:r>
      <w:r w:rsidR="003B44DD" w:rsidRPr="00AB52EE">
        <w:rPr>
          <w:rFonts w:cs="Arial"/>
          <w:szCs w:val="24"/>
        </w:rPr>
        <w:t xml:space="preserve">that had been made </w:t>
      </w:r>
      <w:r w:rsidR="00D32FED" w:rsidRPr="00AB52EE">
        <w:rPr>
          <w:rFonts w:cs="Arial"/>
          <w:szCs w:val="24"/>
        </w:rPr>
        <w:t xml:space="preserve">of </w:t>
      </w:r>
      <w:r w:rsidR="00CD49AB" w:rsidRPr="00AB52EE">
        <w:rPr>
          <w:rFonts w:cs="Arial"/>
          <w:szCs w:val="24"/>
        </w:rPr>
        <w:t xml:space="preserve">attached items considered </w:t>
      </w:r>
      <w:r w:rsidR="00D32FED" w:rsidRPr="00AB52EE">
        <w:rPr>
          <w:rFonts w:cs="Arial"/>
          <w:szCs w:val="24"/>
        </w:rPr>
        <w:t>by the search parties to fall outside of the scope of the order were destroyed.</w:t>
      </w:r>
      <w:r w:rsidR="000E14D0" w:rsidRPr="00AB52EE">
        <w:rPr>
          <w:rFonts w:cs="Arial"/>
          <w:szCs w:val="24"/>
        </w:rPr>
        <w:t xml:space="preserve"> </w:t>
      </w:r>
      <w:r w:rsidR="003B44DD" w:rsidRPr="00AB52EE">
        <w:rPr>
          <w:rFonts w:cs="Arial"/>
          <w:szCs w:val="24"/>
        </w:rPr>
        <w:t>T</w:t>
      </w:r>
      <w:r w:rsidR="000E14D0" w:rsidRPr="00AB52EE">
        <w:rPr>
          <w:rFonts w:cs="Arial"/>
          <w:szCs w:val="24"/>
        </w:rPr>
        <w:t xml:space="preserve">he search parties searched the </w:t>
      </w:r>
      <w:r w:rsidR="00D32FED" w:rsidRPr="00AB52EE">
        <w:rPr>
          <w:rFonts w:cs="Arial"/>
          <w:szCs w:val="24"/>
        </w:rPr>
        <w:t xml:space="preserve">attached </w:t>
      </w:r>
      <w:r w:rsidR="000E14D0" w:rsidRPr="00AB52EE">
        <w:rPr>
          <w:rFonts w:cs="Arial"/>
          <w:szCs w:val="24"/>
        </w:rPr>
        <w:t xml:space="preserve">mirror images using a variety of keywords, and electronic </w:t>
      </w:r>
      <w:r w:rsidR="000D78E1" w:rsidRPr="00AB52EE">
        <w:rPr>
          <w:rFonts w:cs="Arial"/>
          <w:szCs w:val="24"/>
        </w:rPr>
        <w:t xml:space="preserve">documents </w:t>
      </w:r>
      <w:r w:rsidR="00CA0D4C" w:rsidRPr="00AB52EE">
        <w:rPr>
          <w:rFonts w:cs="Arial"/>
          <w:szCs w:val="24"/>
        </w:rPr>
        <w:t xml:space="preserve">considered </w:t>
      </w:r>
      <w:r w:rsidR="000E14D0" w:rsidRPr="00AB52EE">
        <w:rPr>
          <w:rFonts w:cs="Arial"/>
          <w:szCs w:val="24"/>
        </w:rPr>
        <w:t xml:space="preserve">to </w:t>
      </w:r>
      <w:r w:rsidR="00B21782">
        <w:rPr>
          <w:rFonts w:cs="Arial"/>
          <w:szCs w:val="24"/>
        </w:rPr>
        <w:t xml:space="preserve">fall </w:t>
      </w:r>
      <w:r w:rsidR="0050312D" w:rsidRPr="00AB52EE">
        <w:rPr>
          <w:rFonts w:cs="Arial"/>
          <w:szCs w:val="24"/>
        </w:rPr>
        <w:t xml:space="preserve">within the scope of </w:t>
      </w:r>
      <w:r w:rsidR="000E14D0" w:rsidRPr="00AB52EE">
        <w:rPr>
          <w:rFonts w:cs="Arial"/>
          <w:szCs w:val="24"/>
        </w:rPr>
        <w:t xml:space="preserve">the order </w:t>
      </w:r>
      <w:r w:rsidR="00CA0D4C" w:rsidRPr="00AB52EE">
        <w:rPr>
          <w:rFonts w:cs="Arial"/>
          <w:szCs w:val="24"/>
        </w:rPr>
        <w:t xml:space="preserve">were </w:t>
      </w:r>
      <w:r w:rsidR="000E14D0" w:rsidRPr="00AB52EE">
        <w:rPr>
          <w:rFonts w:cs="Arial"/>
          <w:szCs w:val="24"/>
        </w:rPr>
        <w:t>duplicated</w:t>
      </w:r>
      <w:r w:rsidR="0050312D" w:rsidRPr="00AB52EE">
        <w:rPr>
          <w:rFonts w:cs="Arial"/>
          <w:szCs w:val="24"/>
        </w:rPr>
        <w:t xml:space="preserve">, </w:t>
      </w:r>
      <w:r w:rsidR="000E14D0" w:rsidRPr="00AB52EE">
        <w:rPr>
          <w:rFonts w:cs="Arial"/>
          <w:szCs w:val="24"/>
        </w:rPr>
        <w:t>stored</w:t>
      </w:r>
      <w:r w:rsidR="00D32FED" w:rsidRPr="00AB52EE">
        <w:rPr>
          <w:rFonts w:cs="Arial"/>
          <w:szCs w:val="24"/>
        </w:rPr>
        <w:t xml:space="preserve"> and inventorised</w:t>
      </w:r>
      <w:r w:rsidR="005279F3" w:rsidRPr="00AB52EE">
        <w:rPr>
          <w:rFonts w:cs="Arial"/>
          <w:szCs w:val="24"/>
        </w:rPr>
        <w:t>.</w:t>
      </w:r>
      <w:r w:rsidR="00434A43" w:rsidRPr="00AB52EE">
        <w:rPr>
          <w:rFonts w:cs="Arial"/>
          <w:szCs w:val="24"/>
        </w:rPr>
        <w:t xml:space="preserve"> </w:t>
      </w:r>
      <w:r w:rsidR="0050312D" w:rsidRPr="00AB52EE">
        <w:rPr>
          <w:rFonts w:cs="Arial"/>
          <w:szCs w:val="24"/>
        </w:rPr>
        <w:t>The original documents and devi</w:t>
      </w:r>
      <w:r w:rsidR="00560E1C" w:rsidRPr="00AB52EE">
        <w:rPr>
          <w:rFonts w:cs="Arial"/>
          <w:szCs w:val="24"/>
        </w:rPr>
        <w:t>c</w:t>
      </w:r>
      <w:r w:rsidR="0050312D" w:rsidRPr="00AB52EE">
        <w:rPr>
          <w:rFonts w:cs="Arial"/>
          <w:szCs w:val="24"/>
        </w:rPr>
        <w:t>e</w:t>
      </w:r>
      <w:r w:rsidR="00560E1C" w:rsidRPr="00AB52EE">
        <w:rPr>
          <w:rFonts w:cs="Arial"/>
          <w:szCs w:val="24"/>
        </w:rPr>
        <w:t>s</w:t>
      </w:r>
      <w:r w:rsidR="0050312D" w:rsidRPr="00AB52EE">
        <w:rPr>
          <w:rFonts w:cs="Arial"/>
          <w:szCs w:val="24"/>
        </w:rPr>
        <w:t xml:space="preserve"> were returned to the respondents. The inventories were filed</w:t>
      </w:r>
      <w:r w:rsidR="003B44DD" w:rsidRPr="00AB52EE">
        <w:rPr>
          <w:rFonts w:cs="Arial"/>
          <w:szCs w:val="24"/>
        </w:rPr>
        <w:t xml:space="preserve"> with the Court</w:t>
      </w:r>
      <w:r w:rsidR="0050312D" w:rsidRPr="00AB52EE">
        <w:rPr>
          <w:rFonts w:cs="Arial"/>
          <w:szCs w:val="24"/>
        </w:rPr>
        <w:t>, as were affidavits containing the reports of the independent supervising attorneys.</w:t>
      </w:r>
      <w:r w:rsidR="003B44DD" w:rsidRPr="00AB52EE">
        <w:rPr>
          <w:rFonts w:cs="Arial"/>
          <w:szCs w:val="24"/>
        </w:rPr>
        <w:t xml:space="preserve"> The attached documents and mirror images remain under attachment and in the </w:t>
      </w:r>
      <w:r w:rsidR="005A3DF9" w:rsidRPr="00AB52EE">
        <w:rPr>
          <w:rFonts w:cs="Arial"/>
          <w:szCs w:val="24"/>
        </w:rPr>
        <w:t xml:space="preserve">custody </w:t>
      </w:r>
      <w:r w:rsidR="003B44DD" w:rsidRPr="00AB52EE">
        <w:rPr>
          <w:rFonts w:cs="Arial"/>
          <w:szCs w:val="24"/>
        </w:rPr>
        <w:t xml:space="preserve">of the Sheriff for Roodepoort. Although the Anton Piller order obtained by Supercart entitled it to inspect and make copies of the attached items immediately upon service of the Sheriffs’ inventories, that part of the order has not yet been executed. </w:t>
      </w:r>
    </w:p>
    <w:p w14:paraId="5A240537" w14:textId="580BB919" w:rsidR="00246A22" w:rsidRPr="00AB52EE" w:rsidRDefault="0050312D" w:rsidP="007A27ED">
      <w:pPr>
        <w:pStyle w:val="LC1"/>
        <w:rPr>
          <w:rFonts w:cs="Arial"/>
          <w:szCs w:val="24"/>
        </w:rPr>
      </w:pPr>
      <w:r w:rsidRPr="00AB52EE">
        <w:rPr>
          <w:rFonts w:cs="Arial"/>
          <w:szCs w:val="24"/>
          <w:lang w:eastAsia="en-ZA"/>
        </w:rPr>
        <w:t>T</w:t>
      </w:r>
      <w:r w:rsidR="00762AE2" w:rsidRPr="00AB52EE">
        <w:rPr>
          <w:rFonts w:cs="Arial"/>
          <w:szCs w:val="24"/>
          <w:lang w:eastAsia="en-ZA"/>
        </w:rPr>
        <w:t xml:space="preserve">he </w:t>
      </w:r>
      <w:r w:rsidR="00F5069B" w:rsidRPr="00AB52EE">
        <w:rPr>
          <w:rFonts w:cs="Arial"/>
          <w:szCs w:val="24"/>
          <w:lang w:eastAsia="en-ZA"/>
        </w:rPr>
        <w:t xml:space="preserve">Anton Piller </w:t>
      </w:r>
      <w:r w:rsidR="00762AE2" w:rsidRPr="00AB52EE">
        <w:rPr>
          <w:rFonts w:cs="Arial"/>
          <w:szCs w:val="24"/>
          <w:lang w:eastAsia="en-ZA"/>
        </w:rPr>
        <w:t>order was not</w:t>
      </w:r>
      <w:r w:rsidR="00560E1C" w:rsidRPr="00AB52EE">
        <w:rPr>
          <w:rFonts w:cs="Arial"/>
          <w:szCs w:val="24"/>
          <w:lang w:eastAsia="en-ZA"/>
        </w:rPr>
        <w:t>,</w:t>
      </w:r>
      <w:r w:rsidR="00762AE2" w:rsidRPr="00AB52EE">
        <w:rPr>
          <w:rFonts w:cs="Arial"/>
          <w:szCs w:val="24"/>
          <w:lang w:eastAsia="en-ZA"/>
        </w:rPr>
        <w:t xml:space="preserve"> </w:t>
      </w:r>
      <w:r w:rsidR="00560E1C" w:rsidRPr="00AB52EE">
        <w:rPr>
          <w:rFonts w:cs="Arial"/>
          <w:szCs w:val="24"/>
          <w:lang w:eastAsia="en-ZA"/>
        </w:rPr>
        <w:t xml:space="preserve">as is ordinarily the case with such orders, </w:t>
      </w:r>
      <w:r w:rsidR="00762AE2" w:rsidRPr="00AB52EE">
        <w:rPr>
          <w:rFonts w:cs="Arial"/>
          <w:szCs w:val="24"/>
          <w:lang w:eastAsia="en-ZA"/>
        </w:rPr>
        <w:t xml:space="preserve">sought and granted in </w:t>
      </w:r>
      <w:r w:rsidR="00560E1C" w:rsidRPr="00AB52EE">
        <w:rPr>
          <w:rFonts w:cs="Arial"/>
          <w:szCs w:val="24"/>
          <w:lang w:eastAsia="en-ZA"/>
        </w:rPr>
        <w:t xml:space="preserve">anticipation </w:t>
      </w:r>
      <w:r w:rsidR="00762AE2" w:rsidRPr="00AB52EE">
        <w:rPr>
          <w:rFonts w:cs="Arial"/>
          <w:szCs w:val="24"/>
          <w:lang w:eastAsia="en-ZA"/>
        </w:rPr>
        <w:t xml:space="preserve">of </w:t>
      </w:r>
      <w:r w:rsidR="00F1092D" w:rsidRPr="00AB52EE">
        <w:rPr>
          <w:rFonts w:cs="Arial"/>
          <w:szCs w:val="24"/>
          <w:lang w:eastAsia="en-ZA"/>
        </w:rPr>
        <w:t>proceedings by Supercart to enforce its registered design</w:t>
      </w:r>
      <w:r w:rsidR="00762AE2" w:rsidRPr="00AB52EE">
        <w:rPr>
          <w:rFonts w:cs="Arial"/>
          <w:szCs w:val="24"/>
          <w:lang w:eastAsia="en-ZA"/>
        </w:rPr>
        <w:t xml:space="preserve">. Instead, </w:t>
      </w:r>
      <w:r w:rsidR="00434A43" w:rsidRPr="00AB52EE">
        <w:rPr>
          <w:rFonts w:cs="Arial"/>
          <w:szCs w:val="24"/>
          <w:lang w:eastAsia="en-ZA"/>
        </w:rPr>
        <w:t xml:space="preserve">it was launched </w:t>
      </w:r>
      <w:r w:rsidR="00560E1C" w:rsidRPr="00AB52EE">
        <w:rPr>
          <w:rFonts w:cs="Arial"/>
          <w:szCs w:val="24"/>
          <w:lang w:eastAsia="en-ZA"/>
        </w:rPr>
        <w:t xml:space="preserve">(albeit under a different case number) </w:t>
      </w:r>
      <w:r w:rsidR="00434A43" w:rsidRPr="00AB52EE">
        <w:rPr>
          <w:rFonts w:cs="Arial"/>
          <w:szCs w:val="24"/>
          <w:lang w:eastAsia="en-ZA"/>
        </w:rPr>
        <w:t xml:space="preserve">as an interlocutory application in an </w:t>
      </w:r>
      <w:r w:rsidR="004E61AC" w:rsidRPr="00AB52EE">
        <w:rPr>
          <w:rFonts w:cs="Arial"/>
          <w:szCs w:val="24"/>
          <w:lang w:eastAsia="en-ZA"/>
        </w:rPr>
        <w:t>already-</w:t>
      </w:r>
      <w:r w:rsidR="003B44DD" w:rsidRPr="00AB52EE">
        <w:rPr>
          <w:rFonts w:cs="Arial"/>
          <w:szCs w:val="24"/>
          <w:lang w:eastAsia="en-ZA"/>
        </w:rPr>
        <w:t>instituted</w:t>
      </w:r>
      <w:r w:rsidR="00D64230" w:rsidRPr="00AB52EE">
        <w:rPr>
          <w:rFonts w:cs="Arial"/>
          <w:szCs w:val="24"/>
          <w:lang w:eastAsia="en-ZA"/>
        </w:rPr>
        <w:t>, initially-urgent</w:t>
      </w:r>
      <w:r w:rsidR="004E61AC" w:rsidRPr="00AB52EE">
        <w:rPr>
          <w:rFonts w:cs="Arial"/>
          <w:szCs w:val="24"/>
          <w:lang w:eastAsia="en-ZA"/>
        </w:rPr>
        <w:t xml:space="preserve"> and still-pending </w:t>
      </w:r>
      <w:r w:rsidR="00434A43" w:rsidRPr="00AB52EE">
        <w:rPr>
          <w:rFonts w:cs="Arial"/>
          <w:szCs w:val="24"/>
          <w:lang w:eastAsia="en-ZA"/>
        </w:rPr>
        <w:t>motion for final relief</w:t>
      </w:r>
      <w:r w:rsidR="00D64230" w:rsidRPr="00AB52EE">
        <w:rPr>
          <w:rFonts w:cs="Arial"/>
          <w:szCs w:val="24"/>
          <w:lang w:eastAsia="en-ZA"/>
        </w:rPr>
        <w:t xml:space="preserve"> </w:t>
      </w:r>
      <w:r w:rsidR="002A4BA5" w:rsidRPr="00AB52EE">
        <w:rPr>
          <w:rFonts w:cs="Arial"/>
          <w:szCs w:val="24"/>
          <w:lang w:eastAsia="en-ZA"/>
        </w:rPr>
        <w:t>in which Supercart seeks declar</w:t>
      </w:r>
      <w:r w:rsidR="00434A43" w:rsidRPr="00AB52EE">
        <w:rPr>
          <w:rFonts w:cs="Arial"/>
          <w:szCs w:val="24"/>
          <w:lang w:eastAsia="en-ZA"/>
        </w:rPr>
        <w:t>ations that</w:t>
      </w:r>
      <w:r w:rsidR="002A4BA5" w:rsidRPr="00AB52EE">
        <w:rPr>
          <w:rFonts w:cs="Arial"/>
          <w:szCs w:val="24"/>
          <w:lang w:eastAsia="en-ZA"/>
        </w:rPr>
        <w:t xml:space="preserve"> Vanesco and Mr Case </w:t>
      </w:r>
      <w:r w:rsidR="00434A43" w:rsidRPr="00AB52EE">
        <w:rPr>
          <w:rFonts w:cs="Arial"/>
          <w:szCs w:val="24"/>
          <w:lang w:eastAsia="en-ZA"/>
        </w:rPr>
        <w:t xml:space="preserve">are </w:t>
      </w:r>
      <w:r w:rsidR="002A4BA5" w:rsidRPr="00AB52EE">
        <w:rPr>
          <w:rFonts w:cs="Arial"/>
          <w:szCs w:val="24"/>
          <w:lang w:eastAsia="en-ZA"/>
        </w:rPr>
        <w:t>in contempt of court</w:t>
      </w:r>
      <w:r w:rsidR="00CA0D4C" w:rsidRPr="00AB52EE">
        <w:rPr>
          <w:rFonts w:cs="Arial"/>
          <w:szCs w:val="24"/>
          <w:lang w:eastAsia="en-ZA"/>
        </w:rPr>
        <w:t>,</w:t>
      </w:r>
      <w:r w:rsidR="002A4BA5" w:rsidRPr="00AB52EE">
        <w:rPr>
          <w:rFonts w:cs="Arial"/>
          <w:szCs w:val="24"/>
          <w:lang w:eastAsia="en-ZA"/>
        </w:rPr>
        <w:t xml:space="preserve"> </w:t>
      </w:r>
      <w:r w:rsidR="00D64230" w:rsidRPr="00AB52EE">
        <w:rPr>
          <w:rFonts w:cs="Arial"/>
          <w:szCs w:val="24"/>
          <w:lang w:eastAsia="en-ZA"/>
        </w:rPr>
        <w:t xml:space="preserve">together with </w:t>
      </w:r>
      <w:r w:rsidR="00434A43" w:rsidRPr="00AB52EE">
        <w:rPr>
          <w:rFonts w:cs="Arial"/>
          <w:szCs w:val="24"/>
          <w:lang w:eastAsia="en-ZA"/>
        </w:rPr>
        <w:t>order</w:t>
      </w:r>
      <w:r w:rsidR="0095025A" w:rsidRPr="00AB52EE">
        <w:rPr>
          <w:rFonts w:cs="Arial"/>
          <w:szCs w:val="24"/>
          <w:lang w:eastAsia="en-ZA"/>
        </w:rPr>
        <w:t>s</w:t>
      </w:r>
      <w:r w:rsidR="00434A43" w:rsidRPr="00AB52EE">
        <w:rPr>
          <w:rFonts w:cs="Arial"/>
          <w:szCs w:val="24"/>
          <w:lang w:eastAsia="en-ZA"/>
        </w:rPr>
        <w:t xml:space="preserve"> </w:t>
      </w:r>
      <w:r w:rsidR="0095025A" w:rsidRPr="00AB52EE">
        <w:rPr>
          <w:rFonts w:cs="Arial"/>
          <w:szCs w:val="24"/>
          <w:lang w:eastAsia="en-ZA"/>
        </w:rPr>
        <w:t xml:space="preserve">imposing </w:t>
      </w:r>
      <w:r w:rsidR="0095025A" w:rsidRPr="00AB52EE">
        <w:rPr>
          <w:rFonts w:cs="Arial"/>
          <w:szCs w:val="24"/>
          <w:lang w:eastAsia="en-ZA"/>
        </w:rPr>
        <w:lastRenderedPageBreak/>
        <w:t>criminal sanctions</w:t>
      </w:r>
      <w:r w:rsidR="00D64230" w:rsidRPr="00AB52EE">
        <w:rPr>
          <w:rFonts w:cs="Arial"/>
          <w:szCs w:val="24"/>
          <w:lang w:eastAsia="en-ZA"/>
        </w:rPr>
        <w:t xml:space="preserve"> – </w:t>
      </w:r>
      <w:r w:rsidR="0095025A" w:rsidRPr="00AB52EE">
        <w:rPr>
          <w:rFonts w:cs="Arial"/>
          <w:szCs w:val="24"/>
          <w:lang w:eastAsia="en-ZA"/>
        </w:rPr>
        <w:t>including</w:t>
      </w:r>
      <w:r w:rsidR="00D64230" w:rsidRPr="00AB52EE">
        <w:rPr>
          <w:rFonts w:cs="Arial"/>
          <w:szCs w:val="24"/>
          <w:lang w:eastAsia="en-ZA"/>
        </w:rPr>
        <w:t xml:space="preserve"> </w:t>
      </w:r>
      <w:r w:rsidR="002A4BA5" w:rsidRPr="00AB52EE">
        <w:rPr>
          <w:rFonts w:cs="Arial"/>
          <w:szCs w:val="24"/>
          <w:lang w:eastAsia="en-ZA"/>
        </w:rPr>
        <w:t>sentencing Mr Case to a term of imprisonment</w:t>
      </w:r>
      <w:r w:rsidR="00CA0D4C" w:rsidRPr="00AB52EE">
        <w:rPr>
          <w:rFonts w:cs="Arial"/>
          <w:szCs w:val="24"/>
          <w:lang w:eastAsia="en-ZA"/>
        </w:rPr>
        <w:t xml:space="preserve"> and the respondents to a fine calculated on a per-trolley basis</w:t>
      </w:r>
      <w:r w:rsidR="00246A22" w:rsidRPr="00AB52EE">
        <w:rPr>
          <w:rFonts w:cs="Arial"/>
          <w:szCs w:val="24"/>
          <w:lang w:eastAsia="en-ZA"/>
        </w:rPr>
        <w:t>.</w:t>
      </w:r>
      <w:r w:rsidR="003B44DD" w:rsidRPr="00AB52EE">
        <w:rPr>
          <w:rFonts w:cs="Arial"/>
          <w:szCs w:val="24"/>
          <w:lang w:eastAsia="en-ZA"/>
        </w:rPr>
        <w:t xml:space="preserve"> No direction has been sought or given regarding discovery in the contempt application. </w:t>
      </w:r>
      <w:r w:rsidR="00246A22" w:rsidRPr="00AB52EE">
        <w:rPr>
          <w:rFonts w:cs="Arial"/>
          <w:szCs w:val="24"/>
          <w:lang w:eastAsia="en-ZA"/>
        </w:rPr>
        <w:t xml:space="preserve">The contempt </w:t>
      </w:r>
      <w:r w:rsidR="003B44DD" w:rsidRPr="00AB52EE">
        <w:rPr>
          <w:rFonts w:cs="Arial"/>
          <w:szCs w:val="24"/>
          <w:lang w:eastAsia="en-ZA"/>
        </w:rPr>
        <w:t xml:space="preserve">application </w:t>
      </w:r>
      <w:r w:rsidR="00246A22" w:rsidRPr="00AB52EE">
        <w:rPr>
          <w:rFonts w:cs="Arial"/>
          <w:szCs w:val="24"/>
          <w:lang w:eastAsia="en-ZA"/>
        </w:rPr>
        <w:t xml:space="preserve">in turn </w:t>
      </w:r>
      <w:r w:rsidR="001F44B3" w:rsidRPr="00AB52EE">
        <w:rPr>
          <w:rFonts w:cs="Arial"/>
          <w:szCs w:val="24"/>
          <w:lang w:eastAsia="en-ZA"/>
        </w:rPr>
        <w:t xml:space="preserve">arises </w:t>
      </w:r>
      <w:r w:rsidR="00762AE2" w:rsidRPr="00AB52EE">
        <w:rPr>
          <w:rFonts w:cs="Arial"/>
          <w:szCs w:val="24"/>
          <w:lang w:eastAsia="en-ZA"/>
        </w:rPr>
        <w:t xml:space="preserve">from </w:t>
      </w:r>
      <w:r w:rsidR="004E61AC" w:rsidRPr="00AB52EE">
        <w:rPr>
          <w:rFonts w:cs="Arial"/>
          <w:szCs w:val="24"/>
          <w:lang w:eastAsia="en-ZA"/>
        </w:rPr>
        <w:t xml:space="preserve">Vanesco’s </w:t>
      </w:r>
      <w:r w:rsidR="00246A22" w:rsidRPr="00AB52EE">
        <w:rPr>
          <w:rFonts w:cs="Arial"/>
          <w:szCs w:val="24"/>
          <w:lang w:eastAsia="en-ZA"/>
        </w:rPr>
        <w:t>(admitted</w:t>
      </w:r>
      <w:r w:rsidR="00560E1C" w:rsidRPr="00AB52EE">
        <w:rPr>
          <w:rFonts w:cs="Arial"/>
          <w:szCs w:val="24"/>
          <w:lang w:eastAsia="en-ZA"/>
        </w:rPr>
        <w:t>)</w:t>
      </w:r>
      <w:r w:rsidR="00246A22" w:rsidRPr="00AB52EE">
        <w:rPr>
          <w:rFonts w:cs="Arial"/>
          <w:szCs w:val="24"/>
          <w:lang w:eastAsia="en-ZA"/>
        </w:rPr>
        <w:t xml:space="preserve"> </w:t>
      </w:r>
      <w:r w:rsidR="00762AE2" w:rsidRPr="00AB52EE">
        <w:rPr>
          <w:rFonts w:cs="Arial"/>
          <w:szCs w:val="24"/>
          <w:lang w:eastAsia="en-ZA"/>
        </w:rPr>
        <w:t xml:space="preserve">breach of an interim interdict </w:t>
      </w:r>
      <w:r w:rsidR="00773793" w:rsidRPr="00AB52EE">
        <w:rPr>
          <w:rFonts w:cs="Arial"/>
          <w:szCs w:val="24"/>
          <w:lang w:eastAsia="en-ZA"/>
        </w:rPr>
        <w:t xml:space="preserve">that </w:t>
      </w:r>
      <w:r w:rsidR="00F1092D" w:rsidRPr="00AB52EE">
        <w:rPr>
          <w:rFonts w:cs="Arial"/>
          <w:szCs w:val="24"/>
          <w:lang w:eastAsia="en-ZA"/>
        </w:rPr>
        <w:t xml:space="preserve">Supercart obtained after it had already </w:t>
      </w:r>
      <w:r w:rsidR="00773793" w:rsidRPr="00AB52EE">
        <w:rPr>
          <w:rFonts w:cs="Arial"/>
          <w:szCs w:val="24"/>
          <w:lang w:eastAsia="en-ZA"/>
        </w:rPr>
        <w:t>instituted design enforcement proceedings</w:t>
      </w:r>
      <w:r w:rsidR="002000EA" w:rsidRPr="00AB52EE">
        <w:rPr>
          <w:rFonts w:cs="Arial"/>
          <w:szCs w:val="24"/>
          <w:lang w:eastAsia="en-ZA"/>
        </w:rPr>
        <w:t xml:space="preserve"> </w:t>
      </w:r>
      <w:r w:rsidR="00246A22" w:rsidRPr="00AB52EE">
        <w:rPr>
          <w:rFonts w:cs="Arial"/>
          <w:szCs w:val="24"/>
          <w:lang w:eastAsia="en-ZA"/>
        </w:rPr>
        <w:t>(</w:t>
      </w:r>
      <w:r w:rsidR="002000EA" w:rsidRPr="00AB52EE">
        <w:rPr>
          <w:rFonts w:cs="Arial"/>
          <w:szCs w:val="24"/>
          <w:lang w:eastAsia="en-ZA"/>
        </w:rPr>
        <w:t>on motion</w:t>
      </w:r>
      <w:r w:rsidR="00246A22" w:rsidRPr="00AB52EE">
        <w:rPr>
          <w:rFonts w:cs="Arial"/>
          <w:szCs w:val="24"/>
          <w:lang w:eastAsia="en-ZA"/>
        </w:rPr>
        <w:t>,</w:t>
      </w:r>
      <w:r w:rsidR="002000EA" w:rsidRPr="00AB52EE">
        <w:rPr>
          <w:rFonts w:cs="Arial"/>
          <w:szCs w:val="24"/>
          <w:lang w:eastAsia="en-ZA"/>
        </w:rPr>
        <w:t xml:space="preserve"> but which were referred to a trial that </w:t>
      </w:r>
      <w:r w:rsidR="004E61AC" w:rsidRPr="00AB52EE">
        <w:rPr>
          <w:rFonts w:cs="Arial"/>
          <w:szCs w:val="24"/>
          <w:lang w:eastAsia="en-ZA"/>
        </w:rPr>
        <w:t>remain</w:t>
      </w:r>
      <w:r w:rsidR="002000EA" w:rsidRPr="00AB52EE">
        <w:rPr>
          <w:rFonts w:cs="Arial"/>
          <w:szCs w:val="24"/>
          <w:lang w:eastAsia="en-ZA"/>
        </w:rPr>
        <w:t>s</w:t>
      </w:r>
      <w:r w:rsidR="004E61AC" w:rsidRPr="00AB52EE">
        <w:rPr>
          <w:rFonts w:cs="Arial"/>
          <w:szCs w:val="24"/>
          <w:lang w:eastAsia="en-ZA"/>
        </w:rPr>
        <w:t xml:space="preserve"> pending</w:t>
      </w:r>
      <w:r w:rsidR="002000EA" w:rsidRPr="00AB52EE">
        <w:rPr>
          <w:rFonts w:cs="Arial"/>
          <w:szCs w:val="24"/>
          <w:lang w:eastAsia="en-ZA"/>
        </w:rPr>
        <w:t>)</w:t>
      </w:r>
      <w:r w:rsidR="004E61AC" w:rsidRPr="00AB52EE">
        <w:rPr>
          <w:rFonts w:cs="Arial"/>
          <w:szCs w:val="24"/>
          <w:lang w:eastAsia="en-ZA"/>
        </w:rPr>
        <w:t>, and to which the interim interdict is interlocutory</w:t>
      </w:r>
      <w:r w:rsidR="00773793" w:rsidRPr="00AB52EE">
        <w:rPr>
          <w:rFonts w:cs="Arial"/>
          <w:szCs w:val="24"/>
          <w:lang w:eastAsia="en-ZA"/>
        </w:rPr>
        <w:t xml:space="preserve">. </w:t>
      </w:r>
      <w:r w:rsidR="00D64230" w:rsidRPr="00AB52EE">
        <w:rPr>
          <w:rFonts w:cs="Arial"/>
          <w:szCs w:val="24"/>
          <w:lang w:eastAsia="en-ZA"/>
        </w:rPr>
        <w:t>Given that there has as</w:t>
      </w:r>
      <w:r w:rsidR="003B44DD" w:rsidRPr="00AB52EE">
        <w:rPr>
          <w:rFonts w:cs="Arial"/>
          <w:szCs w:val="24"/>
          <w:lang w:eastAsia="en-ZA"/>
        </w:rPr>
        <w:t>-</w:t>
      </w:r>
      <w:r w:rsidR="00D64230" w:rsidRPr="00AB52EE">
        <w:rPr>
          <w:rFonts w:cs="Arial"/>
          <w:szCs w:val="24"/>
          <w:lang w:eastAsia="en-ZA"/>
        </w:rPr>
        <w:t xml:space="preserve">yet been no opportunity to test the veracity of the parties’ conflicting factual allegations in any of these proceedings by means of oral evidence, </w:t>
      </w:r>
      <w:r w:rsidR="00036367" w:rsidRPr="00AB52EE">
        <w:rPr>
          <w:rFonts w:cs="Arial"/>
          <w:szCs w:val="24"/>
          <w:lang w:eastAsia="en-ZA"/>
        </w:rPr>
        <w:t xml:space="preserve">this application </w:t>
      </w:r>
      <w:r w:rsidR="00D459DA" w:rsidRPr="00AB52EE">
        <w:rPr>
          <w:rFonts w:cs="Arial"/>
          <w:szCs w:val="24"/>
          <w:lang w:eastAsia="en-ZA"/>
        </w:rPr>
        <w:t xml:space="preserve">is </w:t>
      </w:r>
      <w:r w:rsidR="00036367" w:rsidRPr="00AB52EE">
        <w:rPr>
          <w:rFonts w:cs="Arial"/>
          <w:szCs w:val="24"/>
          <w:lang w:eastAsia="en-ZA"/>
        </w:rPr>
        <w:t xml:space="preserve">a </w:t>
      </w:r>
      <w:r w:rsidR="00246A22" w:rsidRPr="00AB52EE">
        <w:rPr>
          <w:rFonts w:cs="Arial"/>
          <w:szCs w:val="24"/>
          <w:lang w:eastAsia="en-GB"/>
        </w:rPr>
        <w:t>“riddle wrapped in a mystery, inside an enigma”</w:t>
      </w:r>
      <w:r w:rsidR="00036367" w:rsidRPr="00AB52EE">
        <w:rPr>
          <w:rFonts w:cs="Arial"/>
          <w:szCs w:val="24"/>
          <w:lang w:eastAsia="en-GB"/>
        </w:rPr>
        <w:t>.</w:t>
      </w:r>
      <w:r w:rsidR="00246A22" w:rsidRPr="00AB52EE">
        <w:rPr>
          <w:rStyle w:val="FootnoteReference"/>
          <w:szCs w:val="24"/>
          <w:lang w:eastAsia="en-GB"/>
        </w:rPr>
        <w:footnoteReference w:id="4"/>
      </w:r>
      <w:r w:rsidR="00097DED" w:rsidRPr="00AB52EE">
        <w:rPr>
          <w:rFonts w:cs="Arial"/>
          <w:szCs w:val="24"/>
          <w:lang w:eastAsia="en-GB"/>
        </w:rPr>
        <w:t xml:space="preserve"> </w:t>
      </w:r>
    </w:p>
    <w:p w14:paraId="3BAC3364" w14:textId="3829BEF1" w:rsidR="00DE1333" w:rsidRPr="00AB52EE" w:rsidRDefault="00DE1333" w:rsidP="007A27ED">
      <w:pPr>
        <w:pStyle w:val="LC1"/>
        <w:rPr>
          <w:rFonts w:cs="Arial"/>
          <w:szCs w:val="24"/>
        </w:rPr>
      </w:pPr>
      <w:r w:rsidRPr="00AB52EE">
        <w:rPr>
          <w:rFonts w:cs="Arial"/>
          <w:szCs w:val="24"/>
        </w:rPr>
        <w:t xml:space="preserve">In </w:t>
      </w:r>
      <w:r w:rsidR="00CA0D4C" w:rsidRPr="00AB52EE">
        <w:rPr>
          <w:rFonts w:cs="Arial"/>
          <w:szCs w:val="24"/>
        </w:rPr>
        <w:t xml:space="preserve">seeking </w:t>
      </w:r>
      <w:r w:rsidR="00560E1C" w:rsidRPr="00AB52EE">
        <w:rPr>
          <w:rFonts w:cs="Arial"/>
          <w:szCs w:val="24"/>
        </w:rPr>
        <w:t xml:space="preserve">the reconsideration of </w:t>
      </w:r>
      <w:r w:rsidR="00CA0D4C" w:rsidRPr="00AB52EE">
        <w:rPr>
          <w:rFonts w:cs="Arial"/>
          <w:szCs w:val="24"/>
        </w:rPr>
        <w:t xml:space="preserve">the Anton Piller order and </w:t>
      </w:r>
      <w:r w:rsidR="00560E1C" w:rsidRPr="00AB52EE">
        <w:rPr>
          <w:rFonts w:cs="Arial"/>
          <w:szCs w:val="24"/>
        </w:rPr>
        <w:t xml:space="preserve">to have it </w:t>
      </w:r>
      <w:r w:rsidR="00CA0D4C" w:rsidRPr="00AB52EE">
        <w:rPr>
          <w:rFonts w:cs="Arial"/>
          <w:szCs w:val="24"/>
        </w:rPr>
        <w:t xml:space="preserve">set </w:t>
      </w:r>
      <w:r w:rsidRPr="00AB52EE">
        <w:rPr>
          <w:rFonts w:cs="Arial"/>
          <w:szCs w:val="24"/>
        </w:rPr>
        <w:t xml:space="preserve">aside, </w:t>
      </w:r>
      <w:r w:rsidR="00636C6A" w:rsidRPr="00AB52EE">
        <w:rPr>
          <w:rFonts w:cs="Arial"/>
          <w:szCs w:val="24"/>
        </w:rPr>
        <w:t xml:space="preserve">the respondents </w:t>
      </w:r>
      <w:r w:rsidRPr="00AB52EE">
        <w:rPr>
          <w:rFonts w:cs="Arial"/>
          <w:szCs w:val="24"/>
        </w:rPr>
        <w:t xml:space="preserve">mount </w:t>
      </w:r>
      <w:r w:rsidRPr="00AB52EE">
        <w:rPr>
          <w:rFonts w:cs="Arial"/>
          <w:szCs w:val="24"/>
          <w:lang w:eastAsia="en-ZA"/>
        </w:rPr>
        <w:t xml:space="preserve">a wide-ranging challenge that starts by impugning the application as an abuse of process in its very conception, proceeds to question the completeness of the information that was placed before the </w:t>
      </w:r>
      <w:r w:rsidR="00A01AA1" w:rsidRPr="00AB52EE">
        <w:rPr>
          <w:rFonts w:cs="Arial"/>
          <w:szCs w:val="24"/>
          <w:lang w:eastAsia="en-ZA"/>
        </w:rPr>
        <w:t>C</w:t>
      </w:r>
      <w:r w:rsidRPr="00AB52EE">
        <w:rPr>
          <w:rFonts w:cs="Arial"/>
          <w:szCs w:val="24"/>
          <w:lang w:eastAsia="en-ZA"/>
        </w:rPr>
        <w:t xml:space="preserve">ourt on an </w:t>
      </w:r>
      <w:r w:rsidRPr="00AB52EE">
        <w:rPr>
          <w:rFonts w:cs="Arial"/>
          <w:i/>
          <w:iCs/>
          <w:szCs w:val="24"/>
          <w:lang w:eastAsia="en-ZA"/>
        </w:rPr>
        <w:t>ex parte</w:t>
      </w:r>
      <w:r w:rsidRPr="00AB52EE">
        <w:rPr>
          <w:rFonts w:cs="Arial"/>
          <w:szCs w:val="24"/>
          <w:lang w:eastAsia="en-ZA"/>
        </w:rPr>
        <w:t xml:space="preserve"> basis, continues by alleging a lack of justification for a number of the substantive and procedural features of the order as sought and granted, and finally extends to the manner in which it was executed. The specific challenges </w:t>
      </w:r>
      <w:r w:rsidR="00D00DF6" w:rsidRPr="00AB52EE">
        <w:rPr>
          <w:rFonts w:cs="Arial"/>
          <w:szCs w:val="24"/>
          <w:lang w:eastAsia="en-ZA"/>
        </w:rPr>
        <w:t xml:space="preserve">that </w:t>
      </w:r>
      <w:r w:rsidR="00560E1C" w:rsidRPr="00AB52EE">
        <w:rPr>
          <w:rFonts w:cs="Arial"/>
          <w:szCs w:val="24"/>
          <w:lang w:eastAsia="en-ZA"/>
        </w:rPr>
        <w:t xml:space="preserve">they </w:t>
      </w:r>
      <w:r w:rsidR="00D00DF6" w:rsidRPr="00AB52EE">
        <w:rPr>
          <w:rFonts w:cs="Arial"/>
          <w:szCs w:val="24"/>
          <w:lang w:eastAsia="en-ZA"/>
        </w:rPr>
        <w:t xml:space="preserve">pursue before me </w:t>
      </w:r>
      <w:r w:rsidRPr="00AB52EE">
        <w:rPr>
          <w:rFonts w:cs="Arial"/>
          <w:szCs w:val="24"/>
          <w:lang w:eastAsia="en-ZA"/>
        </w:rPr>
        <w:t xml:space="preserve">are identified below. </w:t>
      </w:r>
    </w:p>
    <w:p w14:paraId="45ABD681" w14:textId="6D6062B6" w:rsidR="00245AA0" w:rsidRPr="00AB52EE" w:rsidRDefault="00246A22" w:rsidP="007A27ED">
      <w:pPr>
        <w:pStyle w:val="LC1"/>
        <w:rPr>
          <w:rFonts w:cs="Arial"/>
          <w:szCs w:val="24"/>
        </w:rPr>
      </w:pPr>
      <w:r w:rsidRPr="00AB52EE">
        <w:rPr>
          <w:rFonts w:cs="Arial"/>
          <w:szCs w:val="24"/>
          <w:lang w:eastAsia="en-ZA"/>
        </w:rPr>
        <w:t xml:space="preserve">The differing onuses and evidentiary burdens borne by the parties in </w:t>
      </w:r>
      <w:r w:rsidR="00A80CF7" w:rsidRPr="00AB52EE">
        <w:rPr>
          <w:rFonts w:cs="Arial"/>
          <w:szCs w:val="24"/>
          <w:lang w:eastAsia="en-ZA"/>
        </w:rPr>
        <w:t xml:space="preserve">relation to the various elements of </w:t>
      </w:r>
      <w:r w:rsidR="003B44DD" w:rsidRPr="00AB52EE">
        <w:rPr>
          <w:rFonts w:cs="Arial"/>
          <w:szCs w:val="24"/>
          <w:lang w:eastAsia="en-ZA"/>
        </w:rPr>
        <w:t xml:space="preserve">the respondents’ challenge to </w:t>
      </w:r>
      <w:r w:rsidR="00A80CF7" w:rsidRPr="00AB52EE">
        <w:rPr>
          <w:rFonts w:cs="Arial"/>
          <w:szCs w:val="24"/>
          <w:lang w:eastAsia="en-ZA"/>
        </w:rPr>
        <w:t xml:space="preserve">Anton Piller </w:t>
      </w:r>
      <w:r w:rsidR="003B44DD" w:rsidRPr="00AB52EE">
        <w:rPr>
          <w:rFonts w:cs="Arial"/>
          <w:szCs w:val="24"/>
          <w:lang w:eastAsia="en-ZA"/>
        </w:rPr>
        <w:t xml:space="preserve">order </w:t>
      </w:r>
      <w:r w:rsidR="00682C1D" w:rsidRPr="00AB52EE">
        <w:rPr>
          <w:rFonts w:cs="Arial"/>
          <w:szCs w:val="24"/>
          <w:lang w:eastAsia="en-ZA"/>
        </w:rPr>
        <w:t>has made the establishment</w:t>
      </w:r>
      <w:r w:rsidR="00434A43" w:rsidRPr="00AB52EE">
        <w:rPr>
          <w:rFonts w:cs="Arial"/>
          <w:szCs w:val="24"/>
          <w:lang w:eastAsia="en-ZA"/>
        </w:rPr>
        <w:t>,</w:t>
      </w:r>
      <w:r w:rsidR="00682C1D" w:rsidRPr="00AB52EE">
        <w:rPr>
          <w:rFonts w:cs="Arial"/>
          <w:szCs w:val="24"/>
          <w:lang w:eastAsia="en-ZA"/>
        </w:rPr>
        <w:t xml:space="preserve"> </w:t>
      </w:r>
      <w:r w:rsidR="00434A43" w:rsidRPr="00AB52EE">
        <w:rPr>
          <w:rFonts w:cs="Arial"/>
          <w:szCs w:val="24"/>
          <w:lang w:eastAsia="en-ZA"/>
        </w:rPr>
        <w:t xml:space="preserve">on paper, </w:t>
      </w:r>
      <w:r w:rsidR="00682C1D" w:rsidRPr="00AB52EE">
        <w:rPr>
          <w:rFonts w:cs="Arial"/>
          <w:szCs w:val="24"/>
          <w:lang w:eastAsia="en-ZA"/>
        </w:rPr>
        <w:t>of the facts (or assumed facts) to which I am required to apply the law relating to Anton Piller</w:t>
      </w:r>
      <w:r w:rsidR="00B51268" w:rsidRPr="00AB52EE">
        <w:rPr>
          <w:rFonts w:cs="Arial"/>
          <w:szCs w:val="24"/>
          <w:lang w:eastAsia="en-ZA"/>
        </w:rPr>
        <w:t xml:space="preserve"> </w:t>
      </w:r>
      <w:r w:rsidR="00682C1D" w:rsidRPr="00AB52EE">
        <w:rPr>
          <w:rFonts w:cs="Arial"/>
          <w:szCs w:val="24"/>
          <w:lang w:eastAsia="en-ZA"/>
        </w:rPr>
        <w:t xml:space="preserve">orders an especially </w:t>
      </w:r>
      <w:r w:rsidR="00682C1D" w:rsidRPr="00AB52EE">
        <w:rPr>
          <w:rFonts w:cs="Arial"/>
          <w:szCs w:val="24"/>
          <w:lang w:eastAsia="en-ZA"/>
        </w:rPr>
        <w:lastRenderedPageBreak/>
        <w:t>onerous task. I</w:t>
      </w:r>
      <w:r w:rsidR="001F44B3" w:rsidRPr="00AB52EE">
        <w:rPr>
          <w:rFonts w:cs="Arial"/>
          <w:szCs w:val="24"/>
          <w:lang w:eastAsia="en-ZA"/>
        </w:rPr>
        <w:t>n seeking to apply the correct onuses, standards of proof and legal presumptions, I</w:t>
      </w:r>
      <w:r w:rsidR="00682C1D" w:rsidRPr="00AB52EE">
        <w:rPr>
          <w:rFonts w:cs="Arial"/>
          <w:szCs w:val="24"/>
          <w:lang w:eastAsia="en-ZA"/>
        </w:rPr>
        <w:t xml:space="preserve"> have sift</w:t>
      </w:r>
      <w:r w:rsidR="00434A43" w:rsidRPr="00AB52EE">
        <w:rPr>
          <w:rFonts w:cs="Arial"/>
          <w:szCs w:val="24"/>
          <w:lang w:eastAsia="en-ZA"/>
        </w:rPr>
        <w:t>ed</w:t>
      </w:r>
      <w:r w:rsidR="00682C1D" w:rsidRPr="00AB52EE">
        <w:rPr>
          <w:rFonts w:cs="Arial"/>
          <w:szCs w:val="24"/>
          <w:lang w:eastAsia="en-ZA"/>
        </w:rPr>
        <w:t xml:space="preserve"> the allegations and counter-allegations contained </w:t>
      </w:r>
      <w:r w:rsidR="00520264" w:rsidRPr="00AB52EE">
        <w:rPr>
          <w:rFonts w:cs="Arial"/>
          <w:szCs w:val="24"/>
          <w:lang w:eastAsia="en-ZA"/>
        </w:rPr>
        <w:t xml:space="preserve">in a multitude of affidavits </w:t>
      </w:r>
      <w:r w:rsidR="001F44B3" w:rsidRPr="00AB52EE">
        <w:rPr>
          <w:rFonts w:cs="Arial"/>
          <w:szCs w:val="24"/>
          <w:lang w:eastAsia="en-ZA"/>
        </w:rPr>
        <w:t xml:space="preserve">deposed Messrs Wolfe and Case in </w:t>
      </w:r>
      <w:r w:rsidR="0083275B" w:rsidRPr="00AB52EE">
        <w:rPr>
          <w:rFonts w:cs="Arial"/>
          <w:szCs w:val="24"/>
          <w:lang w:eastAsia="en-ZA"/>
        </w:rPr>
        <w:t xml:space="preserve">four </w:t>
      </w:r>
      <w:r w:rsidR="001F44B3" w:rsidRPr="00AB52EE">
        <w:rPr>
          <w:rFonts w:cs="Arial"/>
          <w:szCs w:val="24"/>
          <w:lang w:eastAsia="en-ZA"/>
        </w:rPr>
        <w:t xml:space="preserve">separate applications. </w:t>
      </w:r>
      <w:r w:rsidR="00435736" w:rsidRPr="00AB52EE">
        <w:rPr>
          <w:rFonts w:cs="Arial"/>
          <w:szCs w:val="24"/>
        </w:rPr>
        <w:t xml:space="preserve">My task has been bedevilled by the </w:t>
      </w:r>
      <w:r w:rsidR="00B32CEE" w:rsidRPr="00AB52EE">
        <w:rPr>
          <w:rFonts w:cs="Arial"/>
          <w:szCs w:val="24"/>
        </w:rPr>
        <w:t xml:space="preserve">palpable </w:t>
      </w:r>
      <w:r w:rsidR="001F44B3" w:rsidRPr="00AB52EE">
        <w:rPr>
          <w:rFonts w:cs="Arial"/>
          <w:szCs w:val="24"/>
        </w:rPr>
        <w:t>animosity between these two leaders of industry</w:t>
      </w:r>
      <w:r w:rsidR="00B32CEE" w:rsidRPr="00AB52EE">
        <w:rPr>
          <w:rFonts w:cs="Arial"/>
          <w:szCs w:val="24"/>
        </w:rPr>
        <w:t>:</w:t>
      </w:r>
      <w:r w:rsidR="00D64230" w:rsidRPr="00AB52EE">
        <w:rPr>
          <w:rFonts w:cs="Arial"/>
          <w:szCs w:val="24"/>
        </w:rPr>
        <w:t xml:space="preserve"> t</w:t>
      </w:r>
      <w:r w:rsidR="001F44B3" w:rsidRPr="00AB52EE">
        <w:rPr>
          <w:rFonts w:cs="Arial"/>
          <w:szCs w:val="24"/>
        </w:rPr>
        <w:t>he affidavits put before me are replete with emotive language, dramatic descriptions and inadmissible conclusory inferences.</w:t>
      </w:r>
      <w:r w:rsidR="001F44B3" w:rsidRPr="00AB52EE">
        <w:rPr>
          <w:rStyle w:val="FootnoteReference"/>
          <w:szCs w:val="24"/>
        </w:rPr>
        <w:footnoteReference w:id="5"/>
      </w:r>
      <w:r w:rsidR="001F44B3" w:rsidRPr="00AB52EE">
        <w:rPr>
          <w:rFonts w:cs="Arial"/>
          <w:szCs w:val="24"/>
        </w:rPr>
        <w:t xml:space="preserve"> </w:t>
      </w:r>
    </w:p>
    <w:p w14:paraId="4D7AB34F" w14:textId="32D8349B" w:rsidR="00762AE2" w:rsidRPr="00AB52EE" w:rsidRDefault="00434A43" w:rsidP="007A27ED">
      <w:pPr>
        <w:pStyle w:val="LC1"/>
        <w:rPr>
          <w:rFonts w:cs="Arial"/>
          <w:szCs w:val="24"/>
        </w:rPr>
      </w:pPr>
      <w:r w:rsidRPr="00AB52EE">
        <w:rPr>
          <w:rFonts w:cs="Arial"/>
          <w:szCs w:val="24"/>
          <w:lang w:eastAsia="en-ZA"/>
        </w:rPr>
        <w:t xml:space="preserve">The matter </w:t>
      </w:r>
      <w:r w:rsidR="00762AE2" w:rsidRPr="00AB52EE">
        <w:rPr>
          <w:rFonts w:cs="Arial"/>
          <w:szCs w:val="24"/>
        </w:rPr>
        <w:t>was set down as a special motion.</w:t>
      </w:r>
      <w:r w:rsidR="00762AE2" w:rsidRPr="00AB52EE">
        <w:rPr>
          <w:rFonts w:cs="Arial"/>
          <w:szCs w:val="24"/>
          <w:lang w:eastAsia="en-ZA"/>
        </w:rPr>
        <w:t xml:space="preserve"> </w:t>
      </w:r>
      <w:r w:rsidR="00762AE2" w:rsidRPr="00AB52EE">
        <w:rPr>
          <w:rFonts w:cs="Arial"/>
          <w:szCs w:val="24"/>
        </w:rPr>
        <w:t xml:space="preserve">During the initial two-day </w:t>
      </w:r>
      <w:r w:rsidRPr="00AB52EE">
        <w:rPr>
          <w:rFonts w:cs="Arial"/>
          <w:szCs w:val="24"/>
        </w:rPr>
        <w:t>sitting</w:t>
      </w:r>
      <w:r w:rsidR="00762AE2" w:rsidRPr="00AB52EE">
        <w:rPr>
          <w:rFonts w:cs="Arial"/>
          <w:szCs w:val="24"/>
        </w:rPr>
        <w:t xml:space="preserve">, </w:t>
      </w:r>
      <w:r w:rsidR="00D64230" w:rsidRPr="00AB52EE">
        <w:rPr>
          <w:rFonts w:cs="Arial"/>
          <w:szCs w:val="24"/>
        </w:rPr>
        <w:t xml:space="preserve">and </w:t>
      </w:r>
      <w:r w:rsidR="007B4D40" w:rsidRPr="00AB52EE">
        <w:rPr>
          <w:rFonts w:cs="Arial"/>
          <w:szCs w:val="24"/>
        </w:rPr>
        <w:t>having come across a judgment handed down by Wilson J of this division in the week prior to the hearing,</w:t>
      </w:r>
      <w:r w:rsidR="007B4D40" w:rsidRPr="00AB52EE">
        <w:rPr>
          <w:rStyle w:val="FootnoteReference"/>
          <w:szCs w:val="24"/>
        </w:rPr>
        <w:footnoteReference w:id="6"/>
      </w:r>
      <w:r w:rsidR="007B4D40" w:rsidRPr="00AB52EE">
        <w:rPr>
          <w:rFonts w:cs="Arial"/>
          <w:szCs w:val="24"/>
        </w:rPr>
        <w:t xml:space="preserve"> </w:t>
      </w:r>
      <w:r w:rsidR="00762AE2" w:rsidRPr="00AB52EE">
        <w:rPr>
          <w:rFonts w:cs="Arial"/>
          <w:szCs w:val="24"/>
        </w:rPr>
        <w:t xml:space="preserve">I </w:t>
      </w:r>
      <w:r w:rsidR="00DB6A62" w:rsidRPr="00AB52EE">
        <w:rPr>
          <w:rFonts w:cs="Arial"/>
          <w:szCs w:val="24"/>
        </w:rPr>
        <w:t xml:space="preserve">expressed </w:t>
      </w:r>
      <w:r w:rsidR="00762AE2" w:rsidRPr="00AB52EE">
        <w:rPr>
          <w:rFonts w:cs="Arial"/>
          <w:szCs w:val="24"/>
        </w:rPr>
        <w:t xml:space="preserve">concerns regarding </w:t>
      </w:r>
      <w:r w:rsidR="00773793" w:rsidRPr="00AB52EE">
        <w:rPr>
          <w:rFonts w:cs="Arial"/>
          <w:szCs w:val="24"/>
        </w:rPr>
        <w:t xml:space="preserve">the </w:t>
      </w:r>
      <w:r w:rsidR="007B4D40" w:rsidRPr="00AB52EE">
        <w:rPr>
          <w:rFonts w:cs="Arial"/>
          <w:szCs w:val="24"/>
        </w:rPr>
        <w:t xml:space="preserve">potential </w:t>
      </w:r>
      <w:r w:rsidR="00DB6A62" w:rsidRPr="00AB52EE">
        <w:rPr>
          <w:rFonts w:cs="Arial"/>
          <w:szCs w:val="24"/>
        </w:rPr>
        <w:t xml:space="preserve">impact of the </w:t>
      </w:r>
      <w:r w:rsidR="00F5069B" w:rsidRPr="00AB52EE">
        <w:rPr>
          <w:rFonts w:cs="Arial"/>
          <w:szCs w:val="24"/>
          <w:lang w:eastAsia="en-ZA"/>
        </w:rPr>
        <w:t xml:space="preserve">Anton Piller </w:t>
      </w:r>
      <w:r w:rsidR="00DB6A62" w:rsidRPr="00AB52EE">
        <w:rPr>
          <w:rFonts w:cs="Arial"/>
          <w:szCs w:val="24"/>
        </w:rPr>
        <w:t xml:space="preserve">order on </w:t>
      </w:r>
      <w:r w:rsidR="007B4D40" w:rsidRPr="00AB52EE">
        <w:rPr>
          <w:rFonts w:cs="Arial"/>
          <w:szCs w:val="24"/>
        </w:rPr>
        <w:t xml:space="preserve">the </w:t>
      </w:r>
      <w:r w:rsidR="005B4A98">
        <w:rPr>
          <w:rFonts w:cs="Arial"/>
          <w:szCs w:val="24"/>
        </w:rPr>
        <w:t>c</w:t>
      </w:r>
      <w:r w:rsidR="00773793" w:rsidRPr="00AB52EE">
        <w:rPr>
          <w:rFonts w:cs="Arial"/>
          <w:szCs w:val="24"/>
        </w:rPr>
        <w:t xml:space="preserve">onstitutional rights of </w:t>
      </w:r>
      <w:r w:rsidR="0062043B" w:rsidRPr="00AB52EE">
        <w:rPr>
          <w:rFonts w:cs="Arial"/>
          <w:szCs w:val="24"/>
        </w:rPr>
        <w:t xml:space="preserve">the </w:t>
      </w:r>
      <w:r w:rsidR="003B44DD" w:rsidRPr="00AB52EE">
        <w:rPr>
          <w:rFonts w:cs="Arial"/>
          <w:szCs w:val="24"/>
        </w:rPr>
        <w:t>r</w:t>
      </w:r>
      <w:r w:rsidR="0062043B" w:rsidRPr="00AB52EE">
        <w:rPr>
          <w:rFonts w:cs="Arial"/>
          <w:szCs w:val="24"/>
        </w:rPr>
        <w:t xml:space="preserve">espondents </w:t>
      </w:r>
      <w:r w:rsidR="007B4D40" w:rsidRPr="00AB52EE">
        <w:rPr>
          <w:rFonts w:cs="Arial"/>
          <w:szCs w:val="24"/>
        </w:rPr>
        <w:t>not to be compelled to give self-incriminating evidence</w:t>
      </w:r>
      <w:r w:rsidRPr="00AB52EE">
        <w:rPr>
          <w:rFonts w:cs="Arial"/>
          <w:szCs w:val="24"/>
        </w:rPr>
        <w:t xml:space="preserve"> in the contempt proceedings</w:t>
      </w:r>
      <w:r w:rsidR="00560E1C" w:rsidRPr="00AB52EE">
        <w:rPr>
          <w:rFonts w:cs="Arial"/>
          <w:szCs w:val="24"/>
        </w:rPr>
        <w:t>,</w:t>
      </w:r>
      <w:r w:rsidR="0062043B" w:rsidRPr="00AB52EE">
        <w:rPr>
          <w:rFonts w:cs="Arial"/>
          <w:szCs w:val="24"/>
        </w:rPr>
        <w:t xml:space="preserve"> in which Supercart is seeking the imposition of criminal sanctions</w:t>
      </w:r>
      <w:r w:rsidR="00762AE2" w:rsidRPr="00AB52EE">
        <w:rPr>
          <w:rFonts w:cs="Arial"/>
          <w:szCs w:val="24"/>
        </w:rPr>
        <w:t xml:space="preserve">. With the parties’ agreement that </w:t>
      </w:r>
      <w:r w:rsidR="00DB6A62" w:rsidRPr="00AB52EE">
        <w:rPr>
          <w:rFonts w:cs="Arial"/>
          <w:szCs w:val="24"/>
        </w:rPr>
        <w:t xml:space="preserve">the issue </w:t>
      </w:r>
      <w:r w:rsidR="003B44DD" w:rsidRPr="00AB52EE">
        <w:rPr>
          <w:rFonts w:cs="Arial"/>
          <w:szCs w:val="24"/>
        </w:rPr>
        <w:t xml:space="preserve">merited </w:t>
      </w:r>
      <w:r w:rsidR="00D64230" w:rsidRPr="00AB52EE">
        <w:rPr>
          <w:rFonts w:cs="Arial"/>
          <w:szCs w:val="24"/>
        </w:rPr>
        <w:t>my attention</w:t>
      </w:r>
      <w:r w:rsidR="00DB6A62" w:rsidRPr="00AB52EE">
        <w:rPr>
          <w:rFonts w:cs="Arial"/>
          <w:szCs w:val="24"/>
        </w:rPr>
        <w:t xml:space="preserve">, </w:t>
      </w:r>
      <w:r w:rsidR="00762AE2" w:rsidRPr="00AB52EE">
        <w:rPr>
          <w:rFonts w:cs="Arial"/>
          <w:szCs w:val="24"/>
        </w:rPr>
        <w:t xml:space="preserve">the hearing was adjourned to allow for </w:t>
      </w:r>
      <w:r w:rsidR="00435736" w:rsidRPr="00AB52EE">
        <w:rPr>
          <w:rFonts w:cs="Arial"/>
          <w:szCs w:val="24"/>
        </w:rPr>
        <w:t xml:space="preserve">delivery of </w:t>
      </w:r>
      <w:r w:rsidR="00762AE2" w:rsidRPr="00AB52EE">
        <w:rPr>
          <w:rFonts w:cs="Arial"/>
          <w:szCs w:val="24"/>
        </w:rPr>
        <w:t>further written and oral submissions on subsequent date</w:t>
      </w:r>
      <w:r w:rsidR="002D15DF" w:rsidRPr="00AB52EE">
        <w:rPr>
          <w:rFonts w:cs="Arial"/>
          <w:szCs w:val="24"/>
        </w:rPr>
        <w:t>s</w:t>
      </w:r>
      <w:r w:rsidR="00762AE2" w:rsidRPr="00AB52EE">
        <w:rPr>
          <w:rFonts w:cs="Arial"/>
          <w:szCs w:val="24"/>
        </w:rPr>
        <w:t xml:space="preserve">. </w:t>
      </w:r>
      <w:r w:rsidR="00A20BFB" w:rsidRPr="00AB52EE">
        <w:rPr>
          <w:rFonts w:cs="Arial"/>
          <w:szCs w:val="24"/>
        </w:rPr>
        <w:t xml:space="preserve">While </w:t>
      </w:r>
      <w:r w:rsidR="00762AE2" w:rsidRPr="00AB52EE">
        <w:rPr>
          <w:rFonts w:cs="Arial"/>
          <w:szCs w:val="24"/>
        </w:rPr>
        <w:t>I am indebted to counsel and other legal representatives for their assistance</w:t>
      </w:r>
      <w:r w:rsidR="00A20BFB" w:rsidRPr="00AB52EE">
        <w:rPr>
          <w:rFonts w:cs="Arial"/>
          <w:szCs w:val="24"/>
        </w:rPr>
        <w:t xml:space="preserve"> in this regard, it has ultimately prove</w:t>
      </w:r>
      <w:r w:rsidR="0062043B" w:rsidRPr="00AB52EE">
        <w:rPr>
          <w:rFonts w:cs="Arial"/>
          <w:szCs w:val="24"/>
        </w:rPr>
        <w:t>n</w:t>
      </w:r>
      <w:r w:rsidR="00A20BFB" w:rsidRPr="00AB52EE">
        <w:rPr>
          <w:rFonts w:cs="Arial"/>
          <w:szCs w:val="24"/>
        </w:rPr>
        <w:t xml:space="preserve"> unnecessary for me to </w:t>
      </w:r>
      <w:r w:rsidR="003B44DD" w:rsidRPr="00AB52EE">
        <w:rPr>
          <w:rFonts w:cs="Arial"/>
          <w:szCs w:val="24"/>
        </w:rPr>
        <w:t xml:space="preserve">decide </w:t>
      </w:r>
      <w:r w:rsidR="00A20BFB" w:rsidRPr="00AB52EE">
        <w:rPr>
          <w:rFonts w:cs="Arial"/>
          <w:szCs w:val="24"/>
        </w:rPr>
        <w:t xml:space="preserve">the issue given the conclusion that I have reached in relation to those aspects of the </w:t>
      </w:r>
      <w:r w:rsidR="003B44DD" w:rsidRPr="00AB52EE">
        <w:rPr>
          <w:rFonts w:cs="Arial"/>
          <w:szCs w:val="24"/>
        </w:rPr>
        <w:t xml:space="preserve">Anton Piller </w:t>
      </w:r>
      <w:r w:rsidR="00A20BFB" w:rsidRPr="00AB52EE">
        <w:rPr>
          <w:rFonts w:cs="Arial"/>
          <w:szCs w:val="24"/>
        </w:rPr>
        <w:t>order that would have entitled Supercart to immediate</w:t>
      </w:r>
      <w:r w:rsidR="005B4A98">
        <w:rPr>
          <w:rFonts w:cs="Arial"/>
          <w:szCs w:val="24"/>
        </w:rPr>
        <w:t>ly</w:t>
      </w:r>
      <w:r w:rsidR="00A20BFB" w:rsidRPr="00AB52EE">
        <w:rPr>
          <w:rFonts w:cs="Arial"/>
          <w:szCs w:val="24"/>
        </w:rPr>
        <w:t xml:space="preserve"> access the </w:t>
      </w:r>
      <w:r w:rsidR="005E307C" w:rsidRPr="00AB52EE">
        <w:rPr>
          <w:rFonts w:cs="Arial"/>
          <w:szCs w:val="24"/>
        </w:rPr>
        <w:t xml:space="preserve">attached </w:t>
      </w:r>
      <w:r w:rsidR="006271A3" w:rsidRPr="00AB52EE">
        <w:rPr>
          <w:rFonts w:cs="Arial"/>
          <w:szCs w:val="24"/>
        </w:rPr>
        <w:t>items</w:t>
      </w:r>
      <w:r w:rsidR="00762AE2" w:rsidRPr="00AB52EE">
        <w:rPr>
          <w:rFonts w:cs="Arial"/>
          <w:szCs w:val="24"/>
        </w:rPr>
        <w:t>. I also wish to thank the parties for their forbearance during the time that I have taken to distil the relevant factual material, to marshal and analyse the applicable legal principles and to prepare the judgment.</w:t>
      </w:r>
      <w:r w:rsidR="00DE1333" w:rsidRPr="00AB52EE">
        <w:rPr>
          <w:rFonts w:cs="Arial"/>
          <w:szCs w:val="24"/>
        </w:rPr>
        <w:t xml:space="preserve"> </w:t>
      </w:r>
    </w:p>
    <w:p w14:paraId="567556F9" w14:textId="6E9E8D41" w:rsidR="00C5435D" w:rsidRPr="00AB52EE" w:rsidRDefault="00C5435D" w:rsidP="007A27ED">
      <w:pPr>
        <w:pStyle w:val="LC1"/>
        <w:rPr>
          <w:rFonts w:cs="Arial"/>
          <w:szCs w:val="24"/>
        </w:rPr>
      </w:pPr>
      <w:r w:rsidRPr="00AB52EE">
        <w:rPr>
          <w:rFonts w:cs="Arial"/>
          <w:szCs w:val="24"/>
        </w:rPr>
        <w:lastRenderedPageBreak/>
        <w:t xml:space="preserve">Both parties sought to prevail upon me to find a solution that would </w:t>
      </w:r>
      <w:r w:rsidR="007055B5" w:rsidRPr="00AB52EE">
        <w:rPr>
          <w:rFonts w:cs="Arial"/>
          <w:szCs w:val="24"/>
        </w:rPr>
        <w:t xml:space="preserve">make </w:t>
      </w:r>
      <w:r w:rsidRPr="00AB52EE">
        <w:rPr>
          <w:rFonts w:cs="Arial"/>
          <w:szCs w:val="24"/>
        </w:rPr>
        <w:t xml:space="preserve">a meaningful step </w:t>
      </w:r>
      <w:r w:rsidR="00427510" w:rsidRPr="00AB52EE">
        <w:rPr>
          <w:rFonts w:cs="Arial"/>
          <w:szCs w:val="24"/>
        </w:rPr>
        <w:t xml:space="preserve">in the direction of the final </w:t>
      </w:r>
      <w:r w:rsidR="005142F1" w:rsidRPr="00AB52EE">
        <w:rPr>
          <w:rFonts w:cs="Arial"/>
          <w:szCs w:val="24"/>
        </w:rPr>
        <w:t xml:space="preserve">resolution </w:t>
      </w:r>
      <w:r w:rsidR="00427510" w:rsidRPr="00AB52EE">
        <w:rPr>
          <w:rFonts w:cs="Arial"/>
          <w:szCs w:val="24"/>
        </w:rPr>
        <w:t xml:space="preserve">of </w:t>
      </w:r>
      <w:r w:rsidRPr="00AB52EE">
        <w:rPr>
          <w:rFonts w:cs="Arial"/>
          <w:szCs w:val="24"/>
        </w:rPr>
        <w:t xml:space="preserve">this </w:t>
      </w:r>
      <w:r w:rsidR="007055B5" w:rsidRPr="00AB52EE">
        <w:rPr>
          <w:rFonts w:cs="Arial"/>
          <w:szCs w:val="24"/>
        </w:rPr>
        <w:t xml:space="preserve">litigation </w:t>
      </w:r>
      <w:r w:rsidRPr="00AB52EE">
        <w:rPr>
          <w:rFonts w:cs="Arial"/>
          <w:szCs w:val="24"/>
        </w:rPr>
        <w:t xml:space="preserve">saga. </w:t>
      </w:r>
      <w:r w:rsidR="007055B5" w:rsidRPr="00AB52EE">
        <w:rPr>
          <w:rFonts w:cs="Arial"/>
          <w:szCs w:val="24"/>
        </w:rPr>
        <w:t xml:space="preserve">Supercart </w:t>
      </w:r>
      <w:r w:rsidRPr="00AB52EE">
        <w:rPr>
          <w:rFonts w:cs="Arial"/>
          <w:szCs w:val="24"/>
        </w:rPr>
        <w:t xml:space="preserve">seeks to “cut the </w:t>
      </w:r>
      <w:r w:rsidR="005E307C" w:rsidRPr="00AB52EE">
        <w:rPr>
          <w:rFonts w:cs="Arial"/>
          <w:szCs w:val="24"/>
        </w:rPr>
        <w:t>G</w:t>
      </w:r>
      <w:r w:rsidRPr="00AB52EE">
        <w:rPr>
          <w:rFonts w:cs="Arial"/>
          <w:szCs w:val="24"/>
        </w:rPr>
        <w:t xml:space="preserve">ordian </w:t>
      </w:r>
      <w:r w:rsidR="005E307C" w:rsidRPr="00AB52EE">
        <w:rPr>
          <w:rFonts w:cs="Arial"/>
          <w:szCs w:val="24"/>
        </w:rPr>
        <w:t>K</w:t>
      </w:r>
      <w:r w:rsidRPr="00AB52EE">
        <w:rPr>
          <w:rFonts w:cs="Arial"/>
          <w:szCs w:val="24"/>
        </w:rPr>
        <w:t xml:space="preserve">not” that </w:t>
      </w:r>
      <w:r w:rsidR="005B4A98">
        <w:rPr>
          <w:rFonts w:cs="Arial"/>
          <w:szCs w:val="24"/>
        </w:rPr>
        <w:t xml:space="preserve">binds </w:t>
      </w:r>
      <w:r w:rsidRPr="00AB52EE">
        <w:rPr>
          <w:rFonts w:cs="Arial"/>
          <w:szCs w:val="24"/>
        </w:rPr>
        <w:t xml:space="preserve">the parties together in </w:t>
      </w:r>
      <w:r w:rsidR="0062043B" w:rsidRPr="00AB52EE">
        <w:rPr>
          <w:rFonts w:cs="Arial"/>
          <w:szCs w:val="24"/>
        </w:rPr>
        <w:t xml:space="preserve">forensic </w:t>
      </w:r>
      <w:r w:rsidRPr="00AB52EE">
        <w:rPr>
          <w:rFonts w:cs="Arial"/>
          <w:szCs w:val="24"/>
        </w:rPr>
        <w:t xml:space="preserve">combat, </w:t>
      </w:r>
      <w:r w:rsidR="005142F1" w:rsidRPr="00AB52EE">
        <w:rPr>
          <w:rFonts w:cs="Arial"/>
          <w:szCs w:val="24"/>
        </w:rPr>
        <w:t xml:space="preserve">while </w:t>
      </w:r>
      <w:r w:rsidR="0062043B" w:rsidRPr="00AB52EE">
        <w:rPr>
          <w:rFonts w:cs="Arial"/>
          <w:szCs w:val="24"/>
        </w:rPr>
        <w:t xml:space="preserve">the respondents </w:t>
      </w:r>
      <w:r w:rsidRPr="00AB52EE">
        <w:rPr>
          <w:rFonts w:cs="Arial"/>
          <w:szCs w:val="24"/>
        </w:rPr>
        <w:t xml:space="preserve">wryly observe that the proliferation of </w:t>
      </w:r>
      <w:r w:rsidR="007055B5" w:rsidRPr="00AB52EE">
        <w:rPr>
          <w:rFonts w:cs="Arial"/>
          <w:szCs w:val="24"/>
        </w:rPr>
        <w:t xml:space="preserve">interlocutory </w:t>
      </w:r>
      <w:r w:rsidRPr="00AB52EE">
        <w:rPr>
          <w:rFonts w:cs="Arial"/>
          <w:szCs w:val="24"/>
        </w:rPr>
        <w:t xml:space="preserve">proceedings operates to Supercart’s advantage while the interim interdict remains in force. </w:t>
      </w:r>
      <w:r w:rsidR="007055B5" w:rsidRPr="00AB52EE">
        <w:rPr>
          <w:rFonts w:cs="Arial"/>
          <w:szCs w:val="24"/>
        </w:rPr>
        <w:t>These concerns are both legitimate</w:t>
      </w:r>
      <w:r w:rsidR="00560E1C" w:rsidRPr="00AB52EE">
        <w:rPr>
          <w:rFonts w:cs="Arial"/>
          <w:szCs w:val="24"/>
        </w:rPr>
        <w:t xml:space="preserve"> to some extent</w:t>
      </w:r>
      <w:r w:rsidR="007055B5" w:rsidRPr="00AB52EE">
        <w:rPr>
          <w:rFonts w:cs="Arial"/>
          <w:szCs w:val="24"/>
        </w:rPr>
        <w:t xml:space="preserve">. </w:t>
      </w:r>
      <w:r w:rsidRPr="00AB52EE">
        <w:rPr>
          <w:rFonts w:cs="Arial"/>
          <w:szCs w:val="24"/>
          <w:lang w:eastAsia="en-ZA"/>
        </w:rPr>
        <w:t xml:space="preserve">This judgment sets out my reasons for </w:t>
      </w:r>
      <w:r w:rsidR="0008377F">
        <w:rPr>
          <w:rFonts w:cs="Arial"/>
          <w:szCs w:val="24"/>
          <w:lang w:eastAsia="en-ZA"/>
        </w:rPr>
        <w:t xml:space="preserve">finding </w:t>
      </w:r>
      <w:r w:rsidRPr="00AB52EE">
        <w:rPr>
          <w:rFonts w:cs="Arial"/>
          <w:szCs w:val="24"/>
          <w:lang w:eastAsia="en-ZA"/>
        </w:rPr>
        <w:t xml:space="preserve">that </w:t>
      </w:r>
      <w:r w:rsidR="0058008A" w:rsidRPr="00AB52EE">
        <w:rPr>
          <w:rFonts w:cs="Arial"/>
          <w:szCs w:val="24"/>
          <w:lang w:eastAsia="en-ZA"/>
        </w:rPr>
        <w:t xml:space="preserve">the only conclusion that may be reached at this stage is to allow </w:t>
      </w:r>
      <w:r w:rsidRPr="00AB52EE">
        <w:rPr>
          <w:rFonts w:cs="Arial"/>
          <w:szCs w:val="24"/>
          <w:lang w:eastAsia="en-ZA"/>
        </w:rPr>
        <w:t xml:space="preserve">the </w:t>
      </w:r>
      <w:r w:rsidR="00F839A0" w:rsidRPr="00AB52EE">
        <w:rPr>
          <w:rFonts w:cs="Arial"/>
          <w:szCs w:val="24"/>
          <w:lang w:eastAsia="en-ZA"/>
        </w:rPr>
        <w:t xml:space="preserve">Anton Piller </w:t>
      </w:r>
      <w:r w:rsidRPr="00AB52EE">
        <w:rPr>
          <w:rFonts w:cs="Arial"/>
          <w:szCs w:val="24"/>
          <w:lang w:eastAsia="en-ZA"/>
        </w:rPr>
        <w:t xml:space="preserve">order </w:t>
      </w:r>
      <w:r w:rsidR="0058008A" w:rsidRPr="00AB52EE">
        <w:rPr>
          <w:rFonts w:cs="Arial"/>
          <w:szCs w:val="24"/>
          <w:lang w:eastAsia="en-ZA"/>
        </w:rPr>
        <w:t xml:space="preserve">to </w:t>
      </w:r>
      <w:r w:rsidRPr="00AB52EE">
        <w:rPr>
          <w:rFonts w:cs="Arial"/>
          <w:szCs w:val="24"/>
          <w:lang w:eastAsia="en-ZA"/>
        </w:rPr>
        <w:t>stand as granted</w:t>
      </w:r>
      <w:r w:rsidR="00560E1C" w:rsidRPr="00AB52EE">
        <w:rPr>
          <w:rFonts w:cs="Arial"/>
          <w:szCs w:val="24"/>
          <w:lang w:eastAsia="en-ZA"/>
        </w:rPr>
        <w:t>,</w:t>
      </w:r>
      <w:r w:rsidRPr="00AB52EE">
        <w:rPr>
          <w:rFonts w:cs="Arial"/>
          <w:szCs w:val="24"/>
          <w:lang w:eastAsia="en-ZA"/>
        </w:rPr>
        <w:t xml:space="preserve"> </w:t>
      </w:r>
      <w:r w:rsidR="005142F1" w:rsidRPr="00AB52EE">
        <w:rPr>
          <w:rFonts w:cs="Arial"/>
          <w:szCs w:val="24"/>
          <w:lang w:eastAsia="en-ZA"/>
        </w:rPr>
        <w:t xml:space="preserve">save in two </w:t>
      </w:r>
      <w:r w:rsidR="00A20BFB" w:rsidRPr="00AB52EE">
        <w:rPr>
          <w:rFonts w:cs="Arial"/>
          <w:szCs w:val="24"/>
          <w:lang w:eastAsia="en-ZA"/>
        </w:rPr>
        <w:t xml:space="preserve">material </w:t>
      </w:r>
      <w:r w:rsidRPr="00AB52EE">
        <w:rPr>
          <w:rFonts w:cs="Arial"/>
          <w:szCs w:val="24"/>
          <w:lang w:eastAsia="en-ZA"/>
        </w:rPr>
        <w:t xml:space="preserve">respects </w:t>
      </w:r>
      <w:r w:rsidR="005E307C" w:rsidRPr="00AB52EE">
        <w:rPr>
          <w:rFonts w:cs="Arial"/>
          <w:szCs w:val="24"/>
          <w:lang w:eastAsia="en-ZA"/>
        </w:rPr>
        <w:t xml:space="preserve">regarding </w:t>
      </w:r>
      <w:r w:rsidR="005142F1" w:rsidRPr="00AB52EE">
        <w:rPr>
          <w:rFonts w:cs="Arial"/>
          <w:szCs w:val="24"/>
          <w:lang w:eastAsia="en-ZA"/>
        </w:rPr>
        <w:t xml:space="preserve">the </w:t>
      </w:r>
      <w:r w:rsidR="005E307C" w:rsidRPr="00AB52EE">
        <w:rPr>
          <w:rFonts w:cs="Arial"/>
          <w:szCs w:val="24"/>
          <w:lang w:eastAsia="en-ZA"/>
        </w:rPr>
        <w:t xml:space="preserve">fruits of the execution of the order </w:t>
      </w:r>
      <w:r w:rsidR="005142F1" w:rsidRPr="00AB52EE">
        <w:rPr>
          <w:rFonts w:cs="Arial"/>
          <w:szCs w:val="24"/>
          <w:lang w:eastAsia="en-ZA"/>
        </w:rPr>
        <w:t>at Mr Case’s residence</w:t>
      </w:r>
      <w:r w:rsidR="0008377F">
        <w:rPr>
          <w:rFonts w:cs="Arial"/>
          <w:szCs w:val="24"/>
          <w:lang w:eastAsia="en-ZA"/>
        </w:rPr>
        <w:t>,</w:t>
      </w:r>
      <w:r w:rsidR="005142F1" w:rsidRPr="00AB52EE">
        <w:rPr>
          <w:rFonts w:cs="Arial"/>
          <w:szCs w:val="24"/>
          <w:lang w:eastAsia="en-ZA"/>
        </w:rPr>
        <w:t xml:space="preserve"> and </w:t>
      </w:r>
      <w:r w:rsidRPr="00AB52EE">
        <w:rPr>
          <w:rFonts w:cs="Arial"/>
          <w:szCs w:val="24"/>
          <w:lang w:eastAsia="en-ZA"/>
        </w:rPr>
        <w:t xml:space="preserve">the </w:t>
      </w:r>
      <w:r w:rsidR="00560E1C" w:rsidRPr="00AB52EE">
        <w:rPr>
          <w:rFonts w:cs="Arial"/>
          <w:szCs w:val="24"/>
          <w:lang w:eastAsia="en-ZA"/>
        </w:rPr>
        <w:t xml:space="preserve">ability of Supercart to immediately access </w:t>
      </w:r>
      <w:r w:rsidR="005142F1" w:rsidRPr="00AB52EE">
        <w:rPr>
          <w:rFonts w:cs="Arial"/>
          <w:szCs w:val="24"/>
          <w:lang w:eastAsia="en-ZA"/>
        </w:rPr>
        <w:t xml:space="preserve">the </w:t>
      </w:r>
      <w:r w:rsidR="005E307C" w:rsidRPr="00AB52EE">
        <w:rPr>
          <w:rFonts w:cs="Arial"/>
          <w:szCs w:val="24"/>
          <w:lang w:eastAsia="en-ZA"/>
        </w:rPr>
        <w:t xml:space="preserve">remaining attached </w:t>
      </w:r>
      <w:r w:rsidR="000D78E1" w:rsidRPr="00AB52EE">
        <w:rPr>
          <w:rFonts w:cs="Arial"/>
          <w:szCs w:val="24"/>
          <w:lang w:eastAsia="en-ZA"/>
        </w:rPr>
        <w:t xml:space="preserve">physical </w:t>
      </w:r>
      <w:r w:rsidR="00560E1C" w:rsidRPr="00AB52EE">
        <w:rPr>
          <w:rFonts w:cs="Arial"/>
          <w:szCs w:val="24"/>
          <w:lang w:eastAsia="en-ZA"/>
        </w:rPr>
        <w:t xml:space="preserve">documents and </w:t>
      </w:r>
      <w:r w:rsidR="005E307C" w:rsidRPr="00AB52EE">
        <w:rPr>
          <w:rFonts w:cs="Arial"/>
          <w:szCs w:val="24"/>
          <w:lang w:eastAsia="en-ZA"/>
        </w:rPr>
        <w:t xml:space="preserve">electronic </w:t>
      </w:r>
      <w:r w:rsidR="00560E1C" w:rsidRPr="00AB52EE">
        <w:rPr>
          <w:rFonts w:cs="Arial"/>
          <w:szCs w:val="24"/>
          <w:lang w:eastAsia="en-ZA"/>
        </w:rPr>
        <w:t xml:space="preserve">files </w:t>
      </w:r>
      <w:r w:rsidR="005A3DF9" w:rsidRPr="00AB52EE">
        <w:rPr>
          <w:rFonts w:cs="Arial"/>
          <w:szCs w:val="24"/>
          <w:lang w:eastAsia="en-ZA"/>
        </w:rPr>
        <w:t xml:space="preserve">(the attached items) </w:t>
      </w:r>
      <w:r w:rsidR="00F839A0" w:rsidRPr="00AB52EE">
        <w:rPr>
          <w:rFonts w:cs="Arial"/>
          <w:szCs w:val="24"/>
          <w:lang w:eastAsia="en-ZA"/>
        </w:rPr>
        <w:t xml:space="preserve">so as to enable it </w:t>
      </w:r>
      <w:r w:rsidR="00870F7B" w:rsidRPr="00AB52EE">
        <w:rPr>
          <w:rFonts w:cs="Arial"/>
          <w:szCs w:val="24"/>
          <w:lang w:eastAsia="en-ZA"/>
        </w:rPr>
        <w:t xml:space="preserve">to unilaterally place them </w:t>
      </w:r>
      <w:r w:rsidRPr="00AB52EE">
        <w:rPr>
          <w:rFonts w:cs="Arial"/>
          <w:szCs w:val="24"/>
          <w:lang w:eastAsia="en-ZA"/>
        </w:rPr>
        <w:t xml:space="preserve">before the </w:t>
      </w:r>
      <w:r w:rsidR="00A01AA1" w:rsidRPr="00AB52EE">
        <w:rPr>
          <w:rFonts w:cs="Arial"/>
          <w:szCs w:val="24"/>
          <w:lang w:eastAsia="en-ZA"/>
        </w:rPr>
        <w:t>C</w:t>
      </w:r>
      <w:r w:rsidRPr="00AB52EE">
        <w:rPr>
          <w:rFonts w:cs="Arial"/>
          <w:szCs w:val="24"/>
          <w:lang w:eastAsia="en-ZA"/>
        </w:rPr>
        <w:t>ourt in the contempt</w:t>
      </w:r>
      <w:r w:rsidR="00870F7B" w:rsidRPr="00AB52EE">
        <w:rPr>
          <w:rFonts w:cs="Arial"/>
          <w:szCs w:val="24"/>
          <w:lang w:eastAsia="en-ZA"/>
        </w:rPr>
        <w:t xml:space="preserve"> application</w:t>
      </w:r>
      <w:r w:rsidRPr="00AB52EE">
        <w:rPr>
          <w:rFonts w:cs="Arial"/>
          <w:szCs w:val="24"/>
          <w:lang w:eastAsia="en-ZA"/>
        </w:rPr>
        <w:t>. The question whether</w:t>
      </w:r>
      <w:r w:rsidR="0058008A" w:rsidRPr="00AB52EE">
        <w:rPr>
          <w:rFonts w:cs="Arial"/>
          <w:szCs w:val="24"/>
          <w:lang w:eastAsia="en-ZA"/>
        </w:rPr>
        <w:t xml:space="preserve"> this </w:t>
      </w:r>
      <w:r w:rsidR="005142F1" w:rsidRPr="00AB52EE">
        <w:rPr>
          <w:rFonts w:cs="Arial"/>
          <w:szCs w:val="24"/>
          <w:lang w:eastAsia="en-ZA"/>
        </w:rPr>
        <w:t>may be done</w:t>
      </w:r>
      <w:r w:rsidR="00870F7B" w:rsidRPr="00AB52EE">
        <w:rPr>
          <w:rFonts w:cs="Arial"/>
          <w:szCs w:val="24"/>
          <w:lang w:eastAsia="en-ZA"/>
        </w:rPr>
        <w:t>, and if so under what circumstances,</w:t>
      </w:r>
      <w:r w:rsidRPr="00AB52EE">
        <w:rPr>
          <w:rFonts w:cs="Arial"/>
          <w:szCs w:val="24"/>
          <w:lang w:eastAsia="en-ZA"/>
        </w:rPr>
        <w:t xml:space="preserve"> must unfortunately stand over for determination in yet further proceedings.</w:t>
      </w:r>
    </w:p>
    <w:p w14:paraId="778AA002" w14:textId="2175EF73" w:rsidR="00B9165F" w:rsidRPr="00AB52EE" w:rsidRDefault="00623E8C" w:rsidP="00D85020">
      <w:pPr>
        <w:pStyle w:val="LC1"/>
        <w:keepNext/>
        <w:numPr>
          <w:ilvl w:val="0"/>
          <w:numId w:val="0"/>
        </w:numPr>
        <w:rPr>
          <w:rFonts w:cs="Arial"/>
          <w:b/>
          <w:bCs/>
          <w:szCs w:val="24"/>
        </w:rPr>
      </w:pPr>
      <w:r w:rsidRPr="00AB52EE">
        <w:rPr>
          <w:rFonts w:cs="Arial"/>
          <w:b/>
          <w:bCs/>
          <w:szCs w:val="24"/>
        </w:rPr>
        <w:t xml:space="preserve">THE </w:t>
      </w:r>
      <w:r w:rsidR="00F40194" w:rsidRPr="00AB52EE">
        <w:rPr>
          <w:rFonts w:cs="Arial"/>
          <w:b/>
          <w:bCs/>
          <w:szCs w:val="24"/>
        </w:rPr>
        <w:t xml:space="preserve">LITIGATION </w:t>
      </w:r>
      <w:r w:rsidRPr="00AB52EE">
        <w:rPr>
          <w:rFonts w:cs="Arial"/>
          <w:b/>
          <w:bCs/>
          <w:szCs w:val="24"/>
        </w:rPr>
        <w:t>CONTEXT</w:t>
      </w:r>
      <w:r w:rsidR="00F40194" w:rsidRPr="00AB52EE">
        <w:rPr>
          <w:rFonts w:cs="Arial"/>
          <w:b/>
          <w:bCs/>
          <w:szCs w:val="24"/>
        </w:rPr>
        <w:t xml:space="preserve"> OF THE RECONSIDERATION PROCEEDINGS</w:t>
      </w:r>
    </w:p>
    <w:p w14:paraId="1C296EE1" w14:textId="2D1F9EF9" w:rsidR="00B9165F" w:rsidRPr="00AB52EE" w:rsidRDefault="002D15DF" w:rsidP="007A27ED">
      <w:pPr>
        <w:pStyle w:val="LC1"/>
        <w:rPr>
          <w:rFonts w:cs="Arial"/>
          <w:szCs w:val="24"/>
        </w:rPr>
      </w:pPr>
      <w:r w:rsidRPr="00AB52EE">
        <w:rPr>
          <w:rFonts w:cs="Arial"/>
          <w:szCs w:val="24"/>
        </w:rPr>
        <w:t>I</w:t>
      </w:r>
      <w:r w:rsidR="00B9165F" w:rsidRPr="00AB52EE">
        <w:rPr>
          <w:rFonts w:cs="Arial"/>
          <w:szCs w:val="24"/>
        </w:rPr>
        <w:t xml:space="preserve">t is necessary to explain in </w:t>
      </w:r>
      <w:r w:rsidR="00910FEA" w:rsidRPr="00AB52EE">
        <w:rPr>
          <w:rFonts w:cs="Arial"/>
          <w:szCs w:val="24"/>
        </w:rPr>
        <w:t xml:space="preserve">further </w:t>
      </w:r>
      <w:r w:rsidR="00B9165F" w:rsidRPr="00AB52EE">
        <w:rPr>
          <w:rFonts w:cs="Arial"/>
          <w:szCs w:val="24"/>
        </w:rPr>
        <w:t xml:space="preserve">detail the </w:t>
      </w:r>
      <w:r w:rsidR="00566915" w:rsidRPr="00AB52EE">
        <w:rPr>
          <w:rFonts w:cs="Arial"/>
          <w:szCs w:val="24"/>
        </w:rPr>
        <w:t xml:space="preserve">intricate </w:t>
      </w:r>
      <w:r w:rsidR="00B9165F" w:rsidRPr="00AB52EE">
        <w:rPr>
          <w:rFonts w:cs="Arial"/>
          <w:szCs w:val="24"/>
        </w:rPr>
        <w:t xml:space="preserve">factual background against which the matter falls to be </w:t>
      </w:r>
      <w:r w:rsidR="00566915" w:rsidRPr="00AB52EE">
        <w:rPr>
          <w:rFonts w:cs="Arial"/>
          <w:szCs w:val="24"/>
        </w:rPr>
        <w:t>determined</w:t>
      </w:r>
      <w:r w:rsidR="00212703" w:rsidRPr="00AB52EE">
        <w:rPr>
          <w:rFonts w:cs="Arial"/>
          <w:szCs w:val="24"/>
        </w:rPr>
        <w:t xml:space="preserve">. </w:t>
      </w:r>
      <w:r w:rsidR="00B9165F" w:rsidRPr="00AB52EE">
        <w:rPr>
          <w:rFonts w:cs="Arial"/>
          <w:szCs w:val="24"/>
        </w:rPr>
        <w:t xml:space="preserve">Where factual disputes </w:t>
      </w:r>
      <w:r w:rsidR="00910FEA" w:rsidRPr="00AB52EE">
        <w:rPr>
          <w:rFonts w:cs="Arial"/>
          <w:szCs w:val="24"/>
        </w:rPr>
        <w:t xml:space="preserve">have arisen </w:t>
      </w:r>
      <w:r w:rsidR="00B9165F" w:rsidRPr="00AB52EE">
        <w:rPr>
          <w:rFonts w:cs="Arial"/>
          <w:szCs w:val="24"/>
        </w:rPr>
        <w:t>that require resolution by me in accordance with the legal principles that I have found to apply, that exercise is undertaken in the section</w:t>
      </w:r>
      <w:r w:rsidR="00910FEA" w:rsidRPr="00AB52EE">
        <w:rPr>
          <w:rFonts w:cs="Arial"/>
          <w:szCs w:val="24"/>
        </w:rPr>
        <w:t>s</w:t>
      </w:r>
      <w:r w:rsidR="00B9165F" w:rsidRPr="00AB52EE">
        <w:rPr>
          <w:rFonts w:cs="Arial"/>
          <w:szCs w:val="24"/>
        </w:rPr>
        <w:t xml:space="preserve"> of the judgment dealing with </w:t>
      </w:r>
      <w:r w:rsidR="00910FEA" w:rsidRPr="00AB52EE">
        <w:rPr>
          <w:rFonts w:cs="Arial"/>
          <w:szCs w:val="24"/>
        </w:rPr>
        <w:t>each of Vanesco’s challenges</w:t>
      </w:r>
      <w:r w:rsidR="00B9165F" w:rsidRPr="00AB52EE">
        <w:rPr>
          <w:rFonts w:cs="Arial"/>
          <w:szCs w:val="24"/>
        </w:rPr>
        <w:t>.</w:t>
      </w:r>
      <w:r w:rsidR="00435736" w:rsidRPr="00AB52EE">
        <w:rPr>
          <w:rFonts w:cs="Arial"/>
          <w:szCs w:val="24"/>
        </w:rPr>
        <w:t xml:space="preserve"> </w:t>
      </w:r>
    </w:p>
    <w:p w14:paraId="1AA13EDA" w14:textId="18B3F21F" w:rsidR="00212703" w:rsidRPr="00AB52EE" w:rsidRDefault="00212703" w:rsidP="005E307C">
      <w:pPr>
        <w:pStyle w:val="LC1"/>
        <w:keepNext/>
        <w:numPr>
          <w:ilvl w:val="0"/>
          <w:numId w:val="0"/>
        </w:numPr>
        <w:rPr>
          <w:rFonts w:cs="Arial"/>
          <w:szCs w:val="24"/>
          <w:u w:val="single"/>
        </w:rPr>
      </w:pPr>
      <w:bookmarkStart w:id="1" w:name="_Hlk149382501"/>
      <w:r w:rsidRPr="00AB52EE">
        <w:rPr>
          <w:rFonts w:cs="Arial"/>
          <w:szCs w:val="24"/>
          <w:u w:val="single"/>
        </w:rPr>
        <w:t>The enforcement proceedings and the interim interdict</w:t>
      </w:r>
    </w:p>
    <w:p w14:paraId="7B3F2E3F" w14:textId="53301FDE" w:rsidR="008459E9" w:rsidRPr="00AB52EE" w:rsidRDefault="001407E6" w:rsidP="007A27ED">
      <w:pPr>
        <w:pStyle w:val="LC1"/>
        <w:rPr>
          <w:rFonts w:cs="Arial"/>
          <w:szCs w:val="24"/>
        </w:rPr>
      </w:pPr>
      <w:r w:rsidRPr="00AB52EE">
        <w:rPr>
          <w:rFonts w:cs="Arial"/>
          <w:szCs w:val="24"/>
        </w:rPr>
        <w:t xml:space="preserve">Supercart launched </w:t>
      </w:r>
      <w:r w:rsidR="00212E42" w:rsidRPr="00AB52EE">
        <w:rPr>
          <w:rFonts w:cs="Arial"/>
          <w:szCs w:val="24"/>
        </w:rPr>
        <w:t xml:space="preserve">enforcement proceedings </w:t>
      </w:r>
      <w:r w:rsidRPr="00AB52EE">
        <w:rPr>
          <w:rFonts w:cs="Arial"/>
          <w:szCs w:val="24"/>
        </w:rPr>
        <w:t xml:space="preserve">under section 35 of the Designs Act against Vanesco </w:t>
      </w:r>
      <w:r w:rsidR="008006CF" w:rsidRPr="00AB52EE">
        <w:rPr>
          <w:rFonts w:cs="Arial"/>
          <w:szCs w:val="24"/>
        </w:rPr>
        <w:t xml:space="preserve">on motion </w:t>
      </w:r>
      <w:r w:rsidR="00E422BE" w:rsidRPr="00AB52EE">
        <w:rPr>
          <w:rFonts w:cs="Arial"/>
          <w:szCs w:val="24"/>
        </w:rPr>
        <w:t xml:space="preserve">during </w:t>
      </w:r>
      <w:r w:rsidR="0064732B" w:rsidRPr="00AB52EE">
        <w:rPr>
          <w:rFonts w:cs="Arial"/>
          <w:szCs w:val="24"/>
        </w:rPr>
        <w:t>2018</w:t>
      </w:r>
      <w:r w:rsidR="00EE21D0" w:rsidRPr="00AB52EE">
        <w:rPr>
          <w:rFonts w:cs="Arial"/>
          <w:szCs w:val="24"/>
        </w:rPr>
        <w:t>.</w:t>
      </w:r>
      <w:r w:rsidR="00A05805" w:rsidRPr="00AB52EE">
        <w:rPr>
          <w:rFonts w:cs="Arial"/>
          <w:szCs w:val="24"/>
        </w:rPr>
        <w:t xml:space="preserve"> </w:t>
      </w:r>
      <w:r w:rsidR="008459E9" w:rsidRPr="00AB52EE">
        <w:rPr>
          <w:rFonts w:cs="Arial"/>
          <w:szCs w:val="24"/>
        </w:rPr>
        <w:t>In its notice of motion</w:t>
      </w:r>
      <w:r w:rsidR="00D24F67" w:rsidRPr="00AB52EE">
        <w:rPr>
          <w:rFonts w:cs="Arial"/>
          <w:szCs w:val="24"/>
        </w:rPr>
        <w:t xml:space="preserve">, Supercart </w:t>
      </w:r>
      <w:r w:rsidR="0008377F">
        <w:rPr>
          <w:rFonts w:cs="Arial"/>
          <w:szCs w:val="24"/>
        </w:rPr>
        <w:lastRenderedPageBreak/>
        <w:t xml:space="preserve">seeks </w:t>
      </w:r>
      <w:r w:rsidR="008459E9" w:rsidRPr="00AB52EE">
        <w:rPr>
          <w:rFonts w:cs="Arial"/>
          <w:szCs w:val="24"/>
        </w:rPr>
        <w:t xml:space="preserve">a final, alternatively interim, interdict prohibiting Vanesco from manufacturing and distributing the </w:t>
      </w:r>
      <w:r w:rsidR="00607DAF" w:rsidRPr="00AB52EE">
        <w:rPr>
          <w:rFonts w:cs="Arial"/>
          <w:szCs w:val="24"/>
        </w:rPr>
        <w:t>Hybrid 90 litre trolley</w:t>
      </w:r>
      <w:r w:rsidR="008459E9" w:rsidRPr="00AB52EE">
        <w:rPr>
          <w:rFonts w:cs="Arial"/>
          <w:szCs w:val="24"/>
        </w:rPr>
        <w:t xml:space="preserve">. Related relief </w:t>
      </w:r>
      <w:r w:rsidR="0008377F">
        <w:rPr>
          <w:rFonts w:cs="Arial"/>
          <w:szCs w:val="24"/>
        </w:rPr>
        <w:t xml:space="preserve">is </w:t>
      </w:r>
      <w:r w:rsidR="008459E9" w:rsidRPr="00AB52EE">
        <w:rPr>
          <w:rFonts w:cs="Arial"/>
          <w:szCs w:val="24"/>
        </w:rPr>
        <w:t xml:space="preserve">also sought, including orders requiring Vanesco to surrender all infringing </w:t>
      </w:r>
      <w:r w:rsidR="00607DAF" w:rsidRPr="00AB52EE">
        <w:rPr>
          <w:rFonts w:cs="Arial"/>
          <w:szCs w:val="24"/>
        </w:rPr>
        <w:t>Hybrid 90 litre trolley</w:t>
      </w:r>
      <w:r w:rsidR="008459E9" w:rsidRPr="00AB52EE">
        <w:rPr>
          <w:rFonts w:cs="Arial"/>
          <w:szCs w:val="24"/>
        </w:rPr>
        <w:t>s in its possession to Supercart pursuant to section 35(3)(b) of the Designs Act</w:t>
      </w:r>
      <w:r w:rsidR="00D24F67" w:rsidRPr="00AB52EE">
        <w:rPr>
          <w:rFonts w:cs="Arial"/>
          <w:szCs w:val="24"/>
        </w:rPr>
        <w:t>,</w:t>
      </w:r>
      <w:r w:rsidR="008459E9" w:rsidRPr="00AB52EE">
        <w:rPr>
          <w:rFonts w:cs="Arial"/>
          <w:szCs w:val="24"/>
        </w:rPr>
        <w:t xml:space="preserve"> and to pay damages or a reasonable royalty in respect of the alleged infringement as contemplated in sections 35(3)(c) and (d) thereof. Supercart further </w:t>
      </w:r>
      <w:r w:rsidR="0008377F">
        <w:rPr>
          <w:rFonts w:cs="Arial"/>
          <w:szCs w:val="24"/>
        </w:rPr>
        <w:t xml:space="preserve">seeks </w:t>
      </w:r>
      <w:r w:rsidR="008459E9" w:rsidRPr="00AB52EE">
        <w:rPr>
          <w:rFonts w:cs="Arial"/>
          <w:szCs w:val="24"/>
        </w:rPr>
        <w:t xml:space="preserve">an order directing that the amount of the damages or royalty be determined by means of an enquiry conducted in terms of section 35(4) of the Designs Act. Vanesco contests Supercart’s allegations of design infringement, contending that its conduct is not unlawful because Supercart’s registered design was not novel or original as at the date its registration, and that it had therefore not been validly registered. Vanesco counterclaims for the revocation of the registration of Supercart’s design. </w:t>
      </w:r>
    </w:p>
    <w:p w14:paraId="58243D2C" w14:textId="1956BA6C" w:rsidR="008459E9" w:rsidRPr="00AB52EE" w:rsidRDefault="008006CF" w:rsidP="007A27ED">
      <w:pPr>
        <w:pStyle w:val="LC1"/>
        <w:rPr>
          <w:rFonts w:cs="Arial"/>
          <w:szCs w:val="24"/>
        </w:rPr>
      </w:pPr>
      <w:r w:rsidRPr="00AB52EE">
        <w:rPr>
          <w:rFonts w:cs="Arial"/>
          <w:szCs w:val="24"/>
        </w:rPr>
        <w:t xml:space="preserve">The enforcement application </w:t>
      </w:r>
      <w:r w:rsidR="003318AF" w:rsidRPr="00AB52EE">
        <w:rPr>
          <w:rFonts w:cs="Arial"/>
          <w:szCs w:val="24"/>
        </w:rPr>
        <w:t xml:space="preserve">spawned </w:t>
      </w:r>
      <w:r w:rsidR="00F300F5" w:rsidRPr="00AB52EE">
        <w:rPr>
          <w:rFonts w:cs="Arial"/>
          <w:szCs w:val="24"/>
        </w:rPr>
        <w:t xml:space="preserve">at least </w:t>
      </w:r>
      <w:r w:rsidR="00D24F67" w:rsidRPr="00AB52EE">
        <w:rPr>
          <w:rFonts w:cs="Arial"/>
          <w:szCs w:val="24"/>
        </w:rPr>
        <w:t xml:space="preserve">two </w:t>
      </w:r>
      <w:r w:rsidR="003318AF" w:rsidRPr="00AB52EE">
        <w:rPr>
          <w:rFonts w:cs="Arial"/>
          <w:szCs w:val="24"/>
        </w:rPr>
        <w:t>interlocutory skirmishes and court orders</w:t>
      </w:r>
      <w:r w:rsidR="008459E9" w:rsidRPr="00AB52EE">
        <w:rPr>
          <w:rFonts w:cs="Arial"/>
          <w:szCs w:val="24"/>
        </w:rPr>
        <w:t xml:space="preserve">. </w:t>
      </w:r>
      <w:r w:rsidR="00F300F5" w:rsidRPr="00AB52EE">
        <w:rPr>
          <w:rFonts w:cs="Arial"/>
          <w:szCs w:val="24"/>
        </w:rPr>
        <w:t xml:space="preserve">The first was </w:t>
      </w:r>
      <w:r w:rsidR="008459E9" w:rsidRPr="00AB52EE">
        <w:rPr>
          <w:rFonts w:cs="Arial"/>
          <w:szCs w:val="24"/>
        </w:rPr>
        <w:t xml:space="preserve">an application by Supercart to compel discovery of documents, pursuant to which Unterhalter J granted an order requiring Vanesco to disclose </w:t>
      </w:r>
      <w:r w:rsidR="00455E30" w:rsidRPr="00AB52EE">
        <w:rPr>
          <w:rFonts w:cs="Arial"/>
          <w:szCs w:val="24"/>
        </w:rPr>
        <w:t xml:space="preserve">specified classes </w:t>
      </w:r>
      <w:r w:rsidR="00AF474E" w:rsidRPr="00AB52EE">
        <w:rPr>
          <w:rFonts w:cs="Arial"/>
          <w:szCs w:val="24"/>
        </w:rPr>
        <w:t xml:space="preserve">of </w:t>
      </w:r>
      <w:r w:rsidR="00455E30" w:rsidRPr="00AB52EE">
        <w:rPr>
          <w:rFonts w:cs="Arial"/>
          <w:szCs w:val="24"/>
        </w:rPr>
        <w:t xml:space="preserve">documents </w:t>
      </w:r>
      <w:r w:rsidR="00D24F67" w:rsidRPr="00AB52EE">
        <w:rPr>
          <w:rFonts w:cs="Arial"/>
          <w:szCs w:val="24"/>
        </w:rPr>
        <w:t xml:space="preserve">for the purposes of the delivery of Supercart’s answering affidavit to Vanesco’s counterapplication </w:t>
      </w:r>
      <w:r w:rsidR="008459E9" w:rsidRPr="00AB52EE">
        <w:rPr>
          <w:rFonts w:cs="Arial"/>
          <w:szCs w:val="24"/>
        </w:rPr>
        <w:t>in the motion proceedings.</w:t>
      </w:r>
      <w:r w:rsidR="00455E30" w:rsidRPr="00AB52EE">
        <w:rPr>
          <w:rStyle w:val="FootnoteReference"/>
          <w:szCs w:val="24"/>
        </w:rPr>
        <w:footnoteReference w:id="7"/>
      </w:r>
      <w:r w:rsidR="008459E9" w:rsidRPr="00AB52EE">
        <w:rPr>
          <w:rFonts w:cs="Arial"/>
          <w:szCs w:val="24"/>
        </w:rPr>
        <w:t xml:space="preserve"> </w:t>
      </w:r>
    </w:p>
    <w:p w14:paraId="58D78FBC" w14:textId="78437C9C" w:rsidR="00FD3BB6" w:rsidRPr="00AB52EE" w:rsidRDefault="00F43690" w:rsidP="007A27ED">
      <w:pPr>
        <w:pStyle w:val="LC1"/>
        <w:rPr>
          <w:rFonts w:cs="Arial"/>
          <w:szCs w:val="24"/>
        </w:rPr>
      </w:pPr>
      <w:r w:rsidRPr="00AB52EE">
        <w:rPr>
          <w:rFonts w:cs="Arial"/>
          <w:szCs w:val="24"/>
        </w:rPr>
        <w:t>Then</w:t>
      </w:r>
      <w:r w:rsidR="00B844F6" w:rsidRPr="00AB52EE">
        <w:rPr>
          <w:rFonts w:cs="Arial"/>
          <w:szCs w:val="24"/>
        </w:rPr>
        <w:t>,</w:t>
      </w:r>
      <w:r w:rsidRPr="00AB52EE">
        <w:rPr>
          <w:rFonts w:cs="Arial"/>
          <w:szCs w:val="24"/>
        </w:rPr>
        <w:t xml:space="preserve"> after all the remaining affidavits in the motion had been delivered</w:t>
      </w:r>
      <w:r w:rsidR="008459E9" w:rsidRPr="00AB52EE">
        <w:rPr>
          <w:rFonts w:cs="Arial"/>
          <w:szCs w:val="24"/>
        </w:rPr>
        <w:t xml:space="preserve">, </w:t>
      </w:r>
      <w:r w:rsidR="0062043B" w:rsidRPr="00AB52EE">
        <w:rPr>
          <w:rFonts w:cs="Arial"/>
          <w:szCs w:val="24"/>
        </w:rPr>
        <w:t xml:space="preserve">and </w:t>
      </w:r>
      <w:r w:rsidR="0062043B" w:rsidRPr="00AB52EE">
        <w:rPr>
          <w:rFonts w:cs="Arial"/>
          <w:szCs w:val="24"/>
        </w:rPr>
        <w:lastRenderedPageBreak/>
        <w:t xml:space="preserve">shortly before </w:t>
      </w:r>
      <w:r w:rsidR="00D24F67" w:rsidRPr="00AB52EE">
        <w:rPr>
          <w:rFonts w:cs="Arial"/>
          <w:szCs w:val="24"/>
        </w:rPr>
        <w:t xml:space="preserve">the enforcement application </w:t>
      </w:r>
      <w:r w:rsidRPr="00AB52EE">
        <w:rPr>
          <w:rFonts w:cs="Arial"/>
          <w:szCs w:val="24"/>
        </w:rPr>
        <w:t xml:space="preserve">and counterapplication </w:t>
      </w:r>
      <w:r w:rsidR="0008377F">
        <w:rPr>
          <w:rFonts w:cs="Arial"/>
          <w:szCs w:val="24"/>
        </w:rPr>
        <w:t xml:space="preserve">were </w:t>
      </w:r>
      <w:r w:rsidR="0083275B" w:rsidRPr="00AB52EE">
        <w:rPr>
          <w:rFonts w:cs="Arial"/>
          <w:szCs w:val="24"/>
        </w:rPr>
        <w:t xml:space="preserve">due to be heard, </w:t>
      </w:r>
      <w:r w:rsidR="008459E9" w:rsidRPr="00AB52EE">
        <w:rPr>
          <w:rFonts w:cs="Arial"/>
          <w:szCs w:val="24"/>
        </w:rPr>
        <w:t xml:space="preserve">Supercart launched an </w:t>
      </w:r>
      <w:r w:rsidR="0083275B" w:rsidRPr="00AB52EE">
        <w:rPr>
          <w:rFonts w:cs="Arial"/>
          <w:szCs w:val="24"/>
        </w:rPr>
        <w:t xml:space="preserve">interlocutory </w:t>
      </w:r>
      <w:r w:rsidR="008459E9" w:rsidRPr="00AB52EE">
        <w:rPr>
          <w:rFonts w:cs="Arial"/>
          <w:szCs w:val="24"/>
        </w:rPr>
        <w:t xml:space="preserve">application seeking </w:t>
      </w:r>
      <w:r w:rsidR="0083275B" w:rsidRPr="00AB52EE">
        <w:rPr>
          <w:rFonts w:cs="Arial"/>
          <w:szCs w:val="24"/>
        </w:rPr>
        <w:t xml:space="preserve">orders (i) in terms of Rule 6(5)(g) </w:t>
      </w:r>
      <w:r w:rsidR="008459E9" w:rsidRPr="00AB52EE">
        <w:rPr>
          <w:rFonts w:cs="Arial"/>
          <w:szCs w:val="24"/>
        </w:rPr>
        <w:t>that both the main application and the counterapplication be referred to trial</w:t>
      </w:r>
      <w:r w:rsidR="0083275B" w:rsidRPr="00AB52EE">
        <w:rPr>
          <w:rFonts w:cs="Arial"/>
          <w:szCs w:val="24"/>
        </w:rPr>
        <w:t xml:space="preserve"> in which the Uniform Rules of Court dealing with the conduct of trials would apply;</w:t>
      </w:r>
      <w:r w:rsidR="00D24F67" w:rsidRPr="00AB52EE">
        <w:rPr>
          <w:rFonts w:cs="Arial"/>
          <w:szCs w:val="24"/>
        </w:rPr>
        <w:t xml:space="preserve"> and </w:t>
      </w:r>
      <w:r w:rsidR="0083275B" w:rsidRPr="00AB52EE">
        <w:rPr>
          <w:rFonts w:cs="Arial"/>
          <w:szCs w:val="24"/>
        </w:rPr>
        <w:t xml:space="preserve">(ii) </w:t>
      </w:r>
      <w:r w:rsidR="00D24F67" w:rsidRPr="00AB52EE">
        <w:rPr>
          <w:rFonts w:cs="Arial"/>
          <w:szCs w:val="24"/>
        </w:rPr>
        <w:t>the grant</w:t>
      </w:r>
      <w:r w:rsidR="0083275B" w:rsidRPr="00AB52EE">
        <w:rPr>
          <w:rFonts w:cs="Arial"/>
          <w:szCs w:val="24"/>
        </w:rPr>
        <w:t xml:space="preserve"> of</w:t>
      </w:r>
      <w:r w:rsidR="00D24F67" w:rsidRPr="00AB52EE">
        <w:rPr>
          <w:rFonts w:cs="Arial"/>
          <w:szCs w:val="24"/>
        </w:rPr>
        <w:t xml:space="preserve"> an interim interdict immediately restraining Vanesco from “making and/or disposing of” the Hybrid 90 litre trolley (but only within South Africa) pending the outcome of the trial. </w:t>
      </w:r>
      <w:r w:rsidR="008459E9" w:rsidRPr="00AB52EE">
        <w:rPr>
          <w:rFonts w:cs="Arial"/>
          <w:szCs w:val="24"/>
        </w:rPr>
        <w:t xml:space="preserve">Gumbi </w:t>
      </w:r>
      <w:r w:rsidR="00A04205" w:rsidRPr="00AB52EE">
        <w:rPr>
          <w:rFonts w:cs="Arial"/>
          <w:szCs w:val="24"/>
        </w:rPr>
        <w:t>A</w:t>
      </w:r>
      <w:r w:rsidR="008459E9" w:rsidRPr="00AB52EE">
        <w:rPr>
          <w:rFonts w:cs="Arial"/>
          <w:szCs w:val="24"/>
        </w:rPr>
        <w:t xml:space="preserve">J </w:t>
      </w:r>
      <w:r w:rsidR="0083275B" w:rsidRPr="00AB52EE">
        <w:rPr>
          <w:rFonts w:cs="Arial"/>
          <w:szCs w:val="24"/>
        </w:rPr>
        <w:t xml:space="preserve">granted the </w:t>
      </w:r>
      <w:r w:rsidR="00D24F67" w:rsidRPr="00AB52EE">
        <w:rPr>
          <w:rFonts w:cs="Arial"/>
          <w:szCs w:val="24"/>
        </w:rPr>
        <w:t xml:space="preserve">order </w:t>
      </w:r>
      <w:r w:rsidR="0083275B" w:rsidRPr="00AB52EE">
        <w:rPr>
          <w:rFonts w:cs="Arial"/>
          <w:szCs w:val="24"/>
        </w:rPr>
        <w:t xml:space="preserve">as </w:t>
      </w:r>
      <w:r w:rsidR="00D24F67" w:rsidRPr="00AB52EE">
        <w:rPr>
          <w:rFonts w:cs="Arial"/>
          <w:szCs w:val="24"/>
        </w:rPr>
        <w:t>sought</w:t>
      </w:r>
      <w:r w:rsidR="00625E75" w:rsidRPr="00AB52EE">
        <w:rPr>
          <w:rFonts w:cs="Arial"/>
          <w:szCs w:val="24"/>
        </w:rPr>
        <w:t>.</w:t>
      </w:r>
      <w:r w:rsidR="00DE7F1D" w:rsidRPr="00AB52EE">
        <w:rPr>
          <w:rFonts w:cs="Arial"/>
          <w:szCs w:val="24"/>
        </w:rPr>
        <w:t xml:space="preserve"> </w:t>
      </w:r>
      <w:r w:rsidR="00D32FED" w:rsidRPr="00AB52EE">
        <w:rPr>
          <w:rFonts w:cs="Arial"/>
          <w:szCs w:val="24"/>
        </w:rPr>
        <w:t xml:space="preserve">Vanesco and Mr Case do </w:t>
      </w:r>
      <w:r w:rsidR="008459E9" w:rsidRPr="00AB52EE">
        <w:rPr>
          <w:rFonts w:cs="Arial"/>
          <w:szCs w:val="24"/>
        </w:rPr>
        <w:t xml:space="preserve">not dispute that </w:t>
      </w:r>
      <w:r w:rsidR="0083275B" w:rsidRPr="00AB52EE">
        <w:rPr>
          <w:rFonts w:cs="Arial"/>
          <w:szCs w:val="24"/>
        </w:rPr>
        <w:t>t</w:t>
      </w:r>
      <w:r w:rsidR="00A13F42" w:rsidRPr="00AB52EE">
        <w:rPr>
          <w:rFonts w:cs="Arial"/>
          <w:szCs w:val="24"/>
        </w:rPr>
        <w:t xml:space="preserve">he order containing the interim interdict was </w:t>
      </w:r>
      <w:r w:rsidR="00D7529B" w:rsidRPr="00AB52EE">
        <w:rPr>
          <w:rFonts w:cs="Arial"/>
          <w:szCs w:val="24"/>
        </w:rPr>
        <w:t xml:space="preserve">received </w:t>
      </w:r>
      <w:r w:rsidR="00A13F42" w:rsidRPr="00AB52EE">
        <w:rPr>
          <w:rFonts w:cs="Arial"/>
          <w:szCs w:val="24"/>
        </w:rPr>
        <w:t xml:space="preserve">on 24 May 2021. </w:t>
      </w:r>
    </w:p>
    <w:p w14:paraId="328F6AE4" w14:textId="641038AC" w:rsidR="00212703" w:rsidRPr="00AB52EE" w:rsidRDefault="00212703" w:rsidP="00D85020">
      <w:pPr>
        <w:pStyle w:val="LC1"/>
        <w:keepNext/>
        <w:numPr>
          <w:ilvl w:val="0"/>
          <w:numId w:val="0"/>
        </w:numPr>
        <w:rPr>
          <w:rFonts w:cs="Arial"/>
          <w:szCs w:val="24"/>
          <w:u w:val="single"/>
        </w:rPr>
      </w:pPr>
      <w:r w:rsidRPr="00AB52EE">
        <w:rPr>
          <w:rFonts w:cs="Arial"/>
          <w:szCs w:val="24"/>
          <w:u w:val="single"/>
        </w:rPr>
        <w:t>The contempt application and Mr Case’s allegedly full disclosure of breaches</w:t>
      </w:r>
    </w:p>
    <w:p w14:paraId="3432CFAE" w14:textId="741E7247" w:rsidR="00C6317F" w:rsidRPr="00AB52EE" w:rsidRDefault="005D2F27" w:rsidP="007A27ED">
      <w:pPr>
        <w:pStyle w:val="LC1"/>
        <w:rPr>
          <w:rFonts w:cs="Arial"/>
          <w:szCs w:val="24"/>
        </w:rPr>
      </w:pPr>
      <w:r w:rsidRPr="00AB52EE">
        <w:rPr>
          <w:rFonts w:cs="Arial"/>
          <w:szCs w:val="24"/>
        </w:rPr>
        <w:t>During August 2021, Supercart established that Vanesco had</w:t>
      </w:r>
      <w:r w:rsidR="00B8255A" w:rsidRPr="00AB52EE">
        <w:rPr>
          <w:rFonts w:cs="Arial"/>
          <w:szCs w:val="24"/>
        </w:rPr>
        <w:t xml:space="preserve"> disposed of </w:t>
      </w:r>
      <w:r w:rsidR="00D32FED" w:rsidRPr="00AB52EE">
        <w:rPr>
          <w:rFonts w:cs="Arial"/>
          <w:szCs w:val="24"/>
        </w:rPr>
        <w:t xml:space="preserve">approximately ninety </w:t>
      </w:r>
      <w:r w:rsidR="00607DAF" w:rsidRPr="00AB52EE">
        <w:rPr>
          <w:rFonts w:cs="Arial"/>
          <w:szCs w:val="24"/>
        </w:rPr>
        <w:t>Hybrid 90 litre trolley</w:t>
      </w:r>
      <w:r w:rsidRPr="00AB52EE">
        <w:rPr>
          <w:rFonts w:cs="Arial"/>
          <w:szCs w:val="24"/>
        </w:rPr>
        <w:t xml:space="preserve">s </w:t>
      </w:r>
      <w:r w:rsidR="00B8255A" w:rsidRPr="00AB52EE">
        <w:rPr>
          <w:rFonts w:cs="Arial"/>
          <w:szCs w:val="24"/>
        </w:rPr>
        <w:t xml:space="preserve">in South Africa </w:t>
      </w:r>
      <w:r w:rsidR="00AE3B5A">
        <w:rPr>
          <w:rFonts w:cs="Arial"/>
          <w:szCs w:val="24"/>
        </w:rPr>
        <w:t xml:space="preserve">on or </w:t>
      </w:r>
      <w:r w:rsidRPr="00AB52EE">
        <w:rPr>
          <w:rFonts w:cs="Arial"/>
          <w:szCs w:val="24"/>
        </w:rPr>
        <w:t>after 24 May 2021</w:t>
      </w:r>
      <w:r w:rsidR="00B8255A" w:rsidRPr="00AB52EE">
        <w:rPr>
          <w:rFonts w:cs="Arial"/>
          <w:szCs w:val="24"/>
        </w:rPr>
        <w:t xml:space="preserve"> in breach of the interim interdict</w:t>
      </w:r>
      <w:r w:rsidRPr="00AB52EE">
        <w:rPr>
          <w:rFonts w:cs="Arial"/>
          <w:szCs w:val="24"/>
        </w:rPr>
        <w:t xml:space="preserve">. </w:t>
      </w:r>
      <w:r w:rsidR="00A360BD" w:rsidRPr="00AB52EE">
        <w:rPr>
          <w:rFonts w:cs="Arial"/>
          <w:szCs w:val="24"/>
        </w:rPr>
        <w:t xml:space="preserve">The majority of these were deliveries to Roots Butcheries outlets. </w:t>
      </w:r>
      <w:r w:rsidR="00284A25" w:rsidRPr="00AB52EE">
        <w:rPr>
          <w:rFonts w:cs="Arial"/>
          <w:szCs w:val="24"/>
        </w:rPr>
        <w:t>T</w:t>
      </w:r>
      <w:r w:rsidR="00E422BE" w:rsidRPr="00AB52EE">
        <w:rPr>
          <w:rFonts w:cs="Arial"/>
          <w:szCs w:val="24"/>
        </w:rPr>
        <w:t xml:space="preserve">his </w:t>
      </w:r>
      <w:r w:rsidR="00A360BD" w:rsidRPr="00AB52EE">
        <w:rPr>
          <w:rFonts w:cs="Arial"/>
          <w:szCs w:val="24"/>
        </w:rPr>
        <w:t xml:space="preserve">discovery </w:t>
      </w:r>
      <w:r w:rsidR="00E422BE" w:rsidRPr="00AB52EE">
        <w:rPr>
          <w:rFonts w:cs="Arial"/>
          <w:szCs w:val="24"/>
        </w:rPr>
        <w:t xml:space="preserve">prompted Supercart to launch </w:t>
      </w:r>
      <w:r w:rsidR="0064732B" w:rsidRPr="00AB52EE">
        <w:rPr>
          <w:rFonts w:cs="Arial"/>
          <w:szCs w:val="24"/>
        </w:rPr>
        <w:t xml:space="preserve">a contempt </w:t>
      </w:r>
      <w:r w:rsidR="00E422BE" w:rsidRPr="00AB52EE">
        <w:rPr>
          <w:rFonts w:cs="Arial"/>
          <w:szCs w:val="24"/>
        </w:rPr>
        <w:t>application</w:t>
      </w:r>
      <w:r w:rsidR="0064732B" w:rsidRPr="00AB52EE">
        <w:rPr>
          <w:rFonts w:cs="Arial"/>
          <w:szCs w:val="24"/>
        </w:rPr>
        <w:t xml:space="preserve">. </w:t>
      </w:r>
      <w:r w:rsidR="00D7529B" w:rsidRPr="00AB52EE">
        <w:rPr>
          <w:rFonts w:cs="Arial"/>
          <w:szCs w:val="24"/>
        </w:rPr>
        <w:t xml:space="preserve">Apart from setting out the breaches of which Supercart was aware, </w:t>
      </w:r>
      <w:r w:rsidR="00C6317F" w:rsidRPr="00AB52EE">
        <w:rPr>
          <w:rFonts w:cs="Arial"/>
          <w:szCs w:val="24"/>
        </w:rPr>
        <w:t xml:space="preserve">Mr Wolfe </w:t>
      </w:r>
      <w:r w:rsidR="00D7529B" w:rsidRPr="00AB52EE">
        <w:rPr>
          <w:rFonts w:cs="Arial"/>
          <w:szCs w:val="24"/>
        </w:rPr>
        <w:t xml:space="preserve">stated </w:t>
      </w:r>
      <w:r w:rsidR="00C6317F" w:rsidRPr="00AB52EE">
        <w:rPr>
          <w:rFonts w:cs="Arial"/>
          <w:szCs w:val="24"/>
        </w:rPr>
        <w:t xml:space="preserve">in his founding affidavit in </w:t>
      </w:r>
      <w:r w:rsidR="00625E75" w:rsidRPr="00AB52EE">
        <w:rPr>
          <w:rFonts w:cs="Arial"/>
          <w:szCs w:val="24"/>
        </w:rPr>
        <w:t xml:space="preserve">that </w:t>
      </w:r>
      <w:r w:rsidR="00C6317F" w:rsidRPr="00AB52EE">
        <w:rPr>
          <w:rFonts w:cs="Arial"/>
          <w:szCs w:val="24"/>
        </w:rPr>
        <w:t>application that:</w:t>
      </w:r>
    </w:p>
    <w:p w14:paraId="5938700E" w14:textId="2F029070" w:rsidR="00C6317F" w:rsidRPr="00AB52EE" w:rsidRDefault="00D7529B" w:rsidP="007A27ED">
      <w:pPr>
        <w:pStyle w:val="HeadsQuote"/>
        <w:rPr>
          <w:i/>
          <w:iCs/>
        </w:rPr>
      </w:pPr>
      <w:r w:rsidRPr="00AB52EE">
        <w:t>“</w:t>
      </w:r>
      <w:r w:rsidR="00C6317F" w:rsidRPr="00AB52EE">
        <w:t>It is highly possible that further instances of breach of the interdict by Vanesco exist. If information in this regard comes to light, I will place it before the Court. In any event, the relief sought contemplates that Mr Case</w:t>
      </w:r>
      <w:r w:rsidRPr="00AB52EE">
        <w:t xml:space="preserve"> </w:t>
      </w:r>
      <w:r w:rsidR="00C6317F" w:rsidRPr="00AB52EE">
        <w:t>will make a full disclosure to the Court. That aside, I challenge him to take the Court into his confidence and make a full and candid disclosure in any answering affidavit he chooses to depose to in these proceedings.</w:t>
      </w:r>
      <w:r w:rsidR="00B9165F" w:rsidRPr="00AB52EE">
        <w:t>”</w:t>
      </w:r>
      <w:r w:rsidR="00C6317F" w:rsidRPr="00AB52EE">
        <w:t xml:space="preserve"> </w:t>
      </w:r>
    </w:p>
    <w:bookmarkEnd w:id="1"/>
    <w:p w14:paraId="26A2551B" w14:textId="34C6CDE6" w:rsidR="0064732B" w:rsidRPr="00AB52EE" w:rsidRDefault="007928D5" w:rsidP="007A27ED">
      <w:pPr>
        <w:pStyle w:val="LC1"/>
        <w:rPr>
          <w:rFonts w:cs="Arial"/>
          <w:szCs w:val="24"/>
        </w:rPr>
      </w:pPr>
      <w:r w:rsidRPr="00AB52EE">
        <w:rPr>
          <w:rFonts w:cs="Arial"/>
          <w:szCs w:val="24"/>
        </w:rPr>
        <w:t xml:space="preserve">Mr Wolfe’s challenge to Mr Case to make a full and candid disclosure, and the </w:t>
      </w:r>
      <w:r w:rsidR="00D7529B" w:rsidRPr="00AB52EE">
        <w:rPr>
          <w:rFonts w:cs="Arial"/>
          <w:szCs w:val="24"/>
        </w:rPr>
        <w:lastRenderedPageBreak/>
        <w:t xml:space="preserve">reference to relief seeking “full disclosure” of </w:t>
      </w:r>
      <w:r w:rsidRPr="00AB52EE">
        <w:rPr>
          <w:rFonts w:cs="Arial"/>
          <w:szCs w:val="24"/>
        </w:rPr>
        <w:t xml:space="preserve">Vanesco’s </w:t>
      </w:r>
      <w:r w:rsidR="00D7529B" w:rsidRPr="00AB52EE">
        <w:rPr>
          <w:rFonts w:cs="Arial"/>
          <w:szCs w:val="24"/>
        </w:rPr>
        <w:t xml:space="preserve">breaches is significant. In addition to </w:t>
      </w:r>
      <w:r w:rsidR="0025656C" w:rsidRPr="00AB52EE">
        <w:rPr>
          <w:rFonts w:cs="Arial"/>
          <w:szCs w:val="24"/>
        </w:rPr>
        <w:t xml:space="preserve">prayers seeking declarations that Vanesco and </w:t>
      </w:r>
      <w:r w:rsidR="00D7529B" w:rsidRPr="00AB52EE">
        <w:rPr>
          <w:rFonts w:cs="Arial"/>
          <w:szCs w:val="24"/>
        </w:rPr>
        <w:t xml:space="preserve">Mr </w:t>
      </w:r>
      <w:r w:rsidR="009F7CAE" w:rsidRPr="00AB52EE">
        <w:rPr>
          <w:rFonts w:cs="Arial"/>
          <w:szCs w:val="24"/>
        </w:rPr>
        <w:t xml:space="preserve">Case </w:t>
      </w:r>
      <w:r w:rsidR="0025656C" w:rsidRPr="00AB52EE">
        <w:rPr>
          <w:rFonts w:cs="Arial"/>
          <w:szCs w:val="24"/>
        </w:rPr>
        <w:t>are in contempt of the interim interdict</w:t>
      </w:r>
      <w:r w:rsidR="003B06F3" w:rsidRPr="00AB52EE">
        <w:rPr>
          <w:rFonts w:cs="Arial"/>
          <w:szCs w:val="24"/>
        </w:rPr>
        <w:t>,</w:t>
      </w:r>
      <w:r w:rsidR="0025656C" w:rsidRPr="00AB52EE">
        <w:rPr>
          <w:rFonts w:cs="Arial"/>
          <w:szCs w:val="24"/>
        </w:rPr>
        <w:t xml:space="preserve"> and an award of costs on a punitive scale, t</w:t>
      </w:r>
      <w:r w:rsidR="0064732B" w:rsidRPr="00AB52EE">
        <w:rPr>
          <w:rFonts w:cs="Arial"/>
          <w:szCs w:val="24"/>
        </w:rPr>
        <w:t xml:space="preserve">he </w:t>
      </w:r>
      <w:r w:rsidR="0025656C" w:rsidRPr="00AB52EE">
        <w:rPr>
          <w:rFonts w:cs="Arial"/>
          <w:szCs w:val="24"/>
        </w:rPr>
        <w:t xml:space="preserve">formulation of the remaining </w:t>
      </w:r>
      <w:r w:rsidR="0064732B" w:rsidRPr="00AB52EE">
        <w:rPr>
          <w:rFonts w:cs="Arial"/>
          <w:szCs w:val="24"/>
        </w:rPr>
        <w:t xml:space="preserve">relief </w:t>
      </w:r>
      <w:r w:rsidR="00D7529B" w:rsidRPr="00AB52EE">
        <w:rPr>
          <w:rFonts w:cs="Arial"/>
          <w:szCs w:val="24"/>
        </w:rPr>
        <w:t xml:space="preserve">that continues to be </w:t>
      </w:r>
      <w:r w:rsidR="0064732B" w:rsidRPr="00AB52EE">
        <w:rPr>
          <w:rFonts w:cs="Arial"/>
          <w:szCs w:val="24"/>
        </w:rPr>
        <w:t xml:space="preserve">sought </w:t>
      </w:r>
      <w:r w:rsidR="0025656C" w:rsidRPr="00AB52EE">
        <w:rPr>
          <w:rFonts w:cs="Arial"/>
          <w:szCs w:val="24"/>
        </w:rPr>
        <w:t xml:space="preserve">by Supercart </w:t>
      </w:r>
      <w:r w:rsidR="0064732B" w:rsidRPr="00AB52EE">
        <w:rPr>
          <w:rFonts w:cs="Arial"/>
          <w:szCs w:val="24"/>
        </w:rPr>
        <w:t xml:space="preserve">in </w:t>
      </w:r>
      <w:r w:rsidR="0025656C" w:rsidRPr="00AB52EE">
        <w:rPr>
          <w:rFonts w:cs="Arial"/>
          <w:szCs w:val="24"/>
        </w:rPr>
        <w:t xml:space="preserve">prayers 5 to 11 of the </w:t>
      </w:r>
      <w:r w:rsidR="0064732B" w:rsidRPr="00AB52EE">
        <w:rPr>
          <w:rFonts w:cs="Arial"/>
          <w:szCs w:val="24"/>
        </w:rPr>
        <w:t xml:space="preserve">contempt application </w:t>
      </w:r>
      <w:r w:rsidR="005B4A98">
        <w:rPr>
          <w:rFonts w:cs="Arial"/>
          <w:szCs w:val="24"/>
        </w:rPr>
        <w:t xml:space="preserve">is </w:t>
      </w:r>
      <w:r w:rsidR="005A7917" w:rsidRPr="00AB52EE">
        <w:rPr>
          <w:rFonts w:cs="Arial"/>
          <w:szCs w:val="24"/>
        </w:rPr>
        <w:t>as follows</w:t>
      </w:r>
      <w:r w:rsidR="003B06F3" w:rsidRPr="00AB52EE">
        <w:rPr>
          <w:rFonts w:cs="Arial"/>
          <w:szCs w:val="24"/>
        </w:rPr>
        <w:t>:</w:t>
      </w:r>
    </w:p>
    <w:p w14:paraId="223A18F4" w14:textId="0F6A7B15" w:rsidR="0025656C" w:rsidRPr="00AB52EE" w:rsidRDefault="0025656C" w:rsidP="00217050">
      <w:pPr>
        <w:pStyle w:val="HeadsQuote"/>
        <w:ind w:left="2160" w:hanging="720"/>
      </w:pPr>
      <w:r w:rsidRPr="00AB52EE">
        <w:t>“5.</w:t>
      </w:r>
      <w:r w:rsidRPr="00AB52EE">
        <w:tab/>
        <w:t>[</w:t>
      </w:r>
      <w:r w:rsidR="009F7CAE" w:rsidRPr="00AB52EE">
        <w:t>Mr</w:t>
      </w:r>
      <w:r w:rsidR="00B91EE3" w:rsidRPr="00AB52EE">
        <w:t>]</w:t>
      </w:r>
      <w:r w:rsidR="009F7CAE" w:rsidRPr="00AB52EE">
        <w:t xml:space="preserve"> Case</w:t>
      </w:r>
      <w:r w:rsidRPr="00AB52EE">
        <w:t xml:space="preserve"> is sentenced to imprisonment for a period of 30 days, which sentence is subject to paragraphs [8] and [9] below;</w:t>
      </w:r>
    </w:p>
    <w:p w14:paraId="29DC1D03" w14:textId="05A8E37E" w:rsidR="0025656C" w:rsidRPr="00AB52EE" w:rsidRDefault="0025656C" w:rsidP="00217050">
      <w:pPr>
        <w:pStyle w:val="HeadsQuote"/>
        <w:ind w:left="2160" w:hanging="720"/>
      </w:pPr>
      <w:r w:rsidRPr="00AB52EE">
        <w:t xml:space="preserve">6. </w:t>
      </w:r>
      <w:r w:rsidRPr="00AB52EE">
        <w:tab/>
        <w:t>[</w:t>
      </w:r>
      <w:r w:rsidR="009F7CAE" w:rsidRPr="00AB52EE">
        <w:t>Mr</w:t>
      </w:r>
      <w:r w:rsidR="00B91EE3" w:rsidRPr="00AB52EE">
        <w:t>]</w:t>
      </w:r>
      <w:r w:rsidR="009F7CAE" w:rsidRPr="00AB52EE">
        <w:t xml:space="preserve"> Case</w:t>
      </w:r>
      <w:r w:rsidRPr="00AB52EE">
        <w:t xml:space="preserve"> is ordered to lodge with the Registrar of the Court, and serve on the Sheriff and on </w:t>
      </w:r>
      <w:r w:rsidR="00752526" w:rsidRPr="00AB52EE">
        <w:t>[Supercart]</w:t>
      </w:r>
      <w:r w:rsidRPr="00AB52EE">
        <w:t>, within 5 days of this Order an affidavit:</w:t>
      </w:r>
    </w:p>
    <w:p w14:paraId="7C51C3CB" w14:textId="7132E5C8" w:rsidR="0025656C" w:rsidRPr="00AB52EE" w:rsidRDefault="0025656C" w:rsidP="00217050">
      <w:pPr>
        <w:pStyle w:val="HeadsQuote"/>
        <w:ind w:left="2880" w:hanging="720"/>
      </w:pPr>
      <w:r w:rsidRPr="00AB52EE">
        <w:t>a.</w:t>
      </w:r>
      <w:r w:rsidRPr="00AB52EE">
        <w:tab/>
        <w:t xml:space="preserve">Detailing completely and in full the quantities of </w:t>
      </w:r>
      <w:r w:rsidR="00B91EE3" w:rsidRPr="00AB52EE">
        <w:t xml:space="preserve">Smartcart Hybrid 90L </w:t>
      </w:r>
      <w:r w:rsidRPr="00AB52EE">
        <w:t>trolleys manufactured by it or on its behalf subsequent to 24 May 2021;</w:t>
      </w:r>
    </w:p>
    <w:p w14:paraId="67D13C6D" w14:textId="3F12E4F9" w:rsidR="0025656C" w:rsidRPr="00AB52EE" w:rsidRDefault="0025656C" w:rsidP="00217050">
      <w:pPr>
        <w:pStyle w:val="HeadsQuote"/>
        <w:ind w:left="2880" w:hanging="720"/>
      </w:pPr>
      <w:r w:rsidRPr="00AB52EE">
        <w:t>b.</w:t>
      </w:r>
      <w:r w:rsidRPr="00AB52EE">
        <w:tab/>
        <w:t xml:space="preserve">Detailing completely and in full the quantities of </w:t>
      </w:r>
      <w:r w:rsidR="00B91EE3" w:rsidRPr="00AB52EE">
        <w:t xml:space="preserve">Smartcart Hybrid 90 litre </w:t>
      </w:r>
      <w:r w:rsidRPr="00AB52EE">
        <w:t>trolleys disposed of in South Africa by it or on its behalf since 24 May 2021, to whom, and when;</w:t>
      </w:r>
    </w:p>
    <w:p w14:paraId="61082133" w14:textId="4213BB06" w:rsidR="0025656C" w:rsidRPr="00AB52EE" w:rsidRDefault="0025656C" w:rsidP="00217050">
      <w:pPr>
        <w:pStyle w:val="HeadsQuote"/>
        <w:ind w:left="2880" w:hanging="720"/>
      </w:pPr>
      <w:r w:rsidRPr="00AB52EE">
        <w:t xml:space="preserve">c. </w:t>
      </w:r>
      <w:r w:rsidRPr="00AB52EE">
        <w:tab/>
        <w:t>Evidencing each such disposal referenced in terms of [b</w:t>
      </w:r>
      <w:r w:rsidR="00DD3FB7" w:rsidRPr="00AB52EE">
        <w:t>]</w:t>
      </w:r>
      <w:r w:rsidRPr="00AB52EE">
        <w:t xml:space="preserve"> by way of customer order, invoice, proof of delivery, and delivery note to be annexed to such affidavit; and</w:t>
      </w:r>
    </w:p>
    <w:p w14:paraId="0FEE882F" w14:textId="28B4A583" w:rsidR="0025656C" w:rsidRPr="00AB52EE" w:rsidRDefault="0025656C" w:rsidP="00217050">
      <w:pPr>
        <w:pStyle w:val="HeadsQuote"/>
        <w:ind w:left="2880" w:hanging="720"/>
      </w:pPr>
      <w:r w:rsidRPr="00AB52EE">
        <w:t xml:space="preserve">d. </w:t>
      </w:r>
      <w:r w:rsidRPr="00AB52EE">
        <w:tab/>
        <w:t xml:space="preserve">Describing, with reference to quantities, the place or places at which the </w:t>
      </w:r>
      <w:r w:rsidR="00B91EE3" w:rsidRPr="00AB52EE">
        <w:t xml:space="preserve">Smartcart Hybrid 90L </w:t>
      </w:r>
      <w:r w:rsidRPr="00AB52EE">
        <w:t xml:space="preserve">trolleys manufactured but not disposed of are held, in order to facilitate the Sheriff's compliance with the direction in </w:t>
      </w:r>
      <w:r w:rsidRPr="00AB52EE">
        <w:lastRenderedPageBreak/>
        <w:t>paragraph [11].</w:t>
      </w:r>
    </w:p>
    <w:p w14:paraId="4CEB20B5" w14:textId="19A59F67" w:rsidR="0025656C" w:rsidRPr="00AB52EE" w:rsidRDefault="0025656C" w:rsidP="00217050">
      <w:pPr>
        <w:pStyle w:val="HeadsQuote"/>
        <w:ind w:left="2160" w:hanging="720"/>
      </w:pPr>
      <w:r w:rsidRPr="00AB52EE">
        <w:t>7.</w:t>
      </w:r>
      <w:r w:rsidRPr="00AB52EE">
        <w:tab/>
      </w:r>
      <w:r w:rsidR="009F7CAE" w:rsidRPr="00AB52EE">
        <w:t>[</w:t>
      </w:r>
      <w:r w:rsidR="00625E75" w:rsidRPr="00AB52EE">
        <w:t>The respondents</w:t>
      </w:r>
      <w:r w:rsidRPr="00AB52EE">
        <w:t>] are ordered, jointly and severally, the one paying the other to be absolved, to pay at the Registrar of the Court and by no later than 5 days after lodging of the affidavit referred to in paragraph [6] a fine of R2500,00 per trolley manufactured or disposed of as accounted for in the said affidavit;</w:t>
      </w:r>
    </w:p>
    <w:p w14:paraId="73528AFB" w14:textId="0CF5109D" w:rsidR="0025656C" w:rsidRPr="00AB52EE" w:rsidRDefault="0025656C" w:rsidP="00217050">
      <w:pPr>
        <w:pStyle w:val="HeadsQuote"/>
        <w:ind w:left="2160" w:hanging="720"/>
      </w:pPr>
      <w:r w:rsidRPr="00AB52EE">
        <w:t xml:space="preserve">8. </w:t>
      </w:r>
      <w:r w:rsidRPr="00AB52EE">
        <w:tab/>
        <w:t>In order to give effect to the sentence imposed in paragraph [5</w:t>
      </w:r>
      <w:r w:rsidR="003B06F3" w:rsidRPr="00AB52EE">
        <w:t>]</w:t>
      </w:r>
      <w:r w:rsidRPr="00AB52EE">
        <w:t xml:space="preserve"> above, the Registrar of the Court is directed to issue a warrant for the arrest of </w:t>
      </w:r>
      <w:r w:rsidR="009F7CAE" w:rsidRPr="00AB52EE">
        <w:t>[Mr Case</w:t>
      </w:r>
      <w:r w:rsidRPr="00AB52EE">
        <w:t>] which shall be effective in the event of the [</w:t>
      </w:r>
      <w:r w:rsidR="00625E75" w:rsidRPr="00AB52EE">
        <w:t>the respondents</w:t>
      </w:r>
      <w:r w:rsidRPr="00AB52EE">
        <w:t>’] failure to comply with the orders in paragraphs [6) and/or [7];</w:t>
      </w:r>
    </w:p>
    <w:p w14:paraId="40AAA71C" w14:textId="24B58F6C" w:rsidR="0025656C" w:rsidRPr="00AB52EE" w:rsidRDefault="0025656C" w:rsidP="00217050">
      <w:pPr>
        <w:pStyle w:val="HeadsQuote"/>
        <w:ind w:left="2160" w:hanging="720"/>
      </w:pPr>
      <w:r w:rsidRPr="00AB52EE">
        <w:t>9.</w:t>
      </w:r>
      <w:r w:rsidRPr="00AB52EE">
        <w:tab/>
        <w:t>The sentence in paragraph [5] and the direction in paragraph [8] above are suspended pending the [</w:t>
      </w:r>
      <w:r w:rsidR="00625E75" w:rsidRPr="00AB52EE">
        <w:t>the respondents’</w:t>
      </w:r>
      <w:r w:rsidRPr="00AB52EE">
        <w:t>] compliance with the orders in paragraphs [6] and/or [7];</w:t>
      </w:r>
    </w:p>
    <w:p w14:paraId="6DD9B49C" w14:textId="5120C170" w:rsidR="0025656C" w:rsidRPr="00AB52EE" w:rsidRDefault="0025656C" w:rsidP="00217050">
      <w:pPr>
        <w:pStyle w:val="HeadsQuote"/>
        <w:ind w:left="2160" w:hanging="720"/>
      </w:pPr>
      <w:r w:rsidRPr="00AB52EE">
        <w:t xml:space="preserve">10. </w:t>
      </w:r>
      <w:r w:rsidRPr="00AB52EE">
        <w:tab/>
        <w:t>Should [</w:t>
      </w:r>
      <w:r w:rsidR="00625E75" w:rsidRPr="00AB52EE">
        <w:t>the respondents’</w:t>
      </w:r>
      <w:r w:rsidRPr="00AB52EE">
        <w:t>] fail to comply with the orders in paragraphs [6] and/or [7], respectively as the case may be, the sentence in paragraph [5] and the direction in paragraph [8] will come into effect immediately;</w:t>
      </w:r>
    </w:p>
    <w:p w14:paraId="0B0DF4F6" w14:textId="7537977C" w:rsidR="0064732B" w:rsidRPr="00AB52EE" w:rsidRDefault="0025656C" w:rsidP="00217050">
      <w:pPr>
        <w:pStyle w:val="HeadsQuote"/>
        <w:ind w:left="2160" w:hanging="720"/>
      </w:pPr>
      <w:r w:rsidRPr="00AB52EE">
        <w:t>11.</w:t>
      </w:r>
      <w:r w:rsidRPr="00AB52EE">
        <w:tab/>
        <w:t xml:space="preserve">The Sheriff is directed forthwith to place under attachment the </w:t>
      </w:r>
      <w:r w:rsidR="00B91EE3" w:rsidRPr="00AB52EE">
        <w:t>Smartcart Hybrid 90L</w:t>
      </w:r>
      <w:r w:rsidRPr="00AB52EE">
        <w:t xml:space="preserve"> trolleys contemplated in paragraph [6]d pending the outcome of the trial action in [the enforcement proceedings].”</w:t>
      </w:r>
    </w:p>
    <w:p w14:paraId="4FF515C1" w14:textId="09DE72A7" w:rsidR="009248EF" w:rsidRPr="00AB52EE" w:rsidRDefault="00151595" w:rsidP="007A27ED">
      <w:pPr>
        <w:pStyle w:val="LC1"/>
        <w:rPr>
          <w:rFonts w:cs="Arial"/>
          <w:szCs w:val="24"/>
        </w:rPr>
      </w:pPr>
      <w:r w:rsidRPr="00AB52EE">
        <w:rPr>
          <w:rFonts w:cs="Arial"/>
          <w:szCs w:val="24"/>
        </w:rPr>
        <w:t xml:space="preserve">In </w:t>
      </w:r>
      <w:r w:rsidR="009F7CAE" w:rsidRPr="00AB52EE">
        <w:rPr>
          <w:rFonts w:cs="Arial"/>
          <w:szCs w:val="24"/>
        </w:rPr>
        <w:t xml:space="preserve">his </w:t>
      </w:r>
      <w:r w:rsidRPr="00AB52EE">
        <w:rPr>
          <w:rFonts w:cs="Arial"/>
          <w:szCs w:val="24"/>
        </w:rPr>
        <w:t>answering affidavit</w:t>
      </w:r>
      <w:r w:rsidR="00C6317F" w:rsidRPr="00AB52EE">
        <w:rPr>
          <w:rFonts w:cs="Arial"/>
          <w:szCs w:val="24"/>
        </w:rPr>
        <w:t xml:space="preserve"> in the contempt application</w:t>
      </w:r>
      <w:r w:rsidRPr="00AB52EE">
        <w:rPr>
          <w:rFonts w:cs="Arial"/>
          <w:szCs w:val="24"/>
        </w:rPr>
        <w:t xml:space="preserve">, </w:t>
      </w:r>
      <w:r w:rsidR="009F7CAE" w:rsidRPr="00AB52EE">
        <w:rPr>
          <w:rFonts w:cs="Arial"/>
          <w:szCs w:val="24"/>
        </w:rPr>
        <w:t xml:space="preserve">Mr Case </w:t>
      </w:r>
      <w:r w:rsidRPr="00AB52EE">
        <w:rPr>
          <w:rFonts w:cs="Arial"/>
          <w:szCs w:val="24"/>
        </w:rPr>
        <w:t>admit</w:t>
      </w:r>
      <w:r w:rsidR="00C6317F" w:rsidRPr="00AB52EE">
        <w:rPr>
          <w:rFonts w:cs="Arial"/>
          <w:szCs w:val="24"/>
        </w:rPr>
        <w:t>s</w:t>
      </w:r>
      <w:r w:rsidRPr="00AB52EE">
        <w:rPr>
          <w:rFonts w:cs="Arial"/>
          <w:szCs w:val="24"/>
        </w:rPr>
        <w:t xml:space="preserve"> </w:t>
      </w:r>
      <w:r w:rsidR="00B95486" w:rsidRPr="00AB52EE">
        <w:rPr>
          <w:rFonts w:cs="Arial"/>
          <w:szCs w:val="24"/>
        </w:rPr>
        <w:t xml:space="preserve">that </w:t>
      </w:r>
      <w:r w:rsidR="00B95486" w:rsidRPr="00AB52EE">
        <w:rPr>
          <w:rFonts w:cs="Arial"/>
          <w:szCs w:val="24"/>
        </w:rPr>
        <w:lastRenderedPageBreak/>
        <w:t xml:space="preserve">Vanesco breached the </w:t>
      </w:r>
      <w:r w:rsidR="000F4C5D" w:rsidRPr="00AB52EE">
        <w:rPr>
          <w:rFonts w:cs="Arial"/>
          <w:szCs w:val="24"/>
        </w:rPr>
        <w:t>interim interdict</w:t>
      </w:r>
      <w:r w:rsidR="0068720F" w:rsidRPr="00AB52EE">
        <w:rPr>
          <w:rFonts w:cs="Arial"/>
          <w:szCs w:val="24"/>
        </w:rPr>
        <w:t>,</w:t>
      </w:r>
      <w:r w:rsidR="00B95486" w:rsidRPr="00AB52EE">
        <w:rPr>
          <w:rFonts w:cs="Arial"/>
          <w:szCs w:val="24"/>
        </w:rPr>
        <w:t xml:space="preserve"> </w:t>
      </w:r>
      <w:r w:rsidR="00A13F42" w:rsidRPr="00AB52EE">
        <w:rPr>
          <w:rFonts w:cs="Arial"/>
          <w:szCs w:val="24"/>
        </w:rPr>
        <w:t xml:space="preserve">but </w:t>
      </w:r>
      <w:r w:rsidRPr="00AB52EE">
        <w:rPr>
          <w:rFonts w:cs="Arial"/>
          <w:szCs w:val="24"/>
        </w:rPr>
        <w:t>denie</w:t>
      </w:r>
      <w:r w:rsidR="00C6317F" w:rsidRPr="00AB52EE">
        <w:rPr>
          <w:rFonts w:cs="Arial"/>
          <w:szCs w:val="24"/>
        </w:rPr>
        <w:t>s</w:t>
      </w:r>
      <w:r w:rsidRPr="00AB52EE">
        <w:rPr>
          <w:rFonts w:cs="Arial"/>
          <w:szCs w:val="24"/>
        </w:rPr>
        <w:t xml:space="preserve"> that he </w:t>
      </w:r>
      <w:r w:rsidR="0008377F">
        <w:rPr>
          <w:rFonts w:cs="Arial"/>
          <w:szCs w:val="24"/>
        </w:rPr>
        <w:t xml:space="preserve">and </w:t>
      </w:r>
      <w:r w:rsidRPr="00AB52EE">
        <w:rPr>
          <w:rFonts w:cs="Arial"/>
          <w:szCs w:val="24"/>
        </w:rPr>
        <w:t xml:space="preserve">Vanesco </w:t>
      </w:r>
      <w:r w:rsidR="00C6317F" w:rsidRPr="00AB52EE">
        <w:rPr>
          <w:rFonts w:cs="Arial"/>
          <w:szCs w:val="24"/>
        </w:rPr>
        <w:t xml:space="preserve">are </w:t>
      </w:r>
      <w:r w:rsidRPr="00AB52EE">
        <w:rPr>
          <w:rFonts w:cs="Arial"/>
          <w:szCs w:val="24"/>
        </w:rPr>
        <w:t xml:space="preserve">guilty of contempt </w:t>
      </w:r>
      <w:r w:rsidR="005A7917" w:rsidRPr="00AB52EE">
        <w:rPr>
          <w:rFonts w:cs="Arial"/>
          <w:szCs w:val="24"/>
        </w:rPr>
        <w:t xml:space="preserve">of court </w:t>
      </w:r>
      <w:r w:rsidRPr="00AB52EE">
        <w:rPr>
          <w:rFonts w:cs="Arial"/>
          <w:szCs w:val="24"/>
        </w:rPr>
        <w:t xml:space="preserve">because </w:t>
      </w:r>
      <w:r w:rsidR="007835C0" w:rsidRPr="00AB52EE">
        <w:rPr>
          <w:rFonts w:cs="Arial"/>
          <w:szCs w:val="24"/>
        </w:rPr>
        <w:t>the breache</w:t>
      </w:r>
      <w:r w:rsidR="00B95486" w:rsidRPr="00AB52EE">
        <w:rPr>
          <w:rFonts w:cs="Arial"/>
          <w:szCs w:val="24"/>
        </w:rPr>
        <w:t>s</w:t>
      </w:r>
      <w:r w:rsidR="007835C0" w:rsidRPr="00AB52EE">
        <w:rPr>
          <w:rFonts w:cs="Arial"/>
          <w:szCs w:val="24"/>
        </w:rPr>
        <w:t xml:space="preserve"> </w:t>
      </w:r>
      <w:r w:rsidRPr="00AB52EE">
        <w:rPr>
          <w:rFonts w:cs="Arial"/>
          <w:szCs w:val="24"/>
        </w:rPr>
        <w:t>were not wilful</w:t>
      </w:r>
      <w:r w:rsidR="007835C0" w:rsidRPr="00AB52EE">
        <w:rPr>
          <w:rFonts w:cs="Arial"/>
          <w:szCs w:val="24"/>
        </w:rPr>
        <w:t xml:space="preserve">. He claims that </w:t>
      </w:r>
      <w:r w:rsidR="00B95486" w:rsidRPr="00AB52EE">
        <w:rPr>
          <w:rFonts w:cs="Arial"/>
          <w:szCs w:val="24"/>
        </w:rPr>
        <w:t xml:space="preserve">he </w:t>
      </w:r>
      <w:r w:rsidR="00B64B9A" w:rsidRPr="00AB52EE">
        <w:rPr>
          <w:rFonts w:cs="Arial"/>
          <w:szCs w:val="24"/>
        </w:rPr>
        <w:t xml:space="preserve">did not initiate the breaches and </w:t>
      </w:r>
      <w:r w:rsidR="00B95486" w:rsidRPr="00AB52EE">
        <w:rPr>
          <w:rFonts w:cs="Arial"/>
          <w:szCs w:val="24"/>
        </w:rPr>
        <w:t xml:space="preserve">was </w:t>
      </w:r>
      <w:r w:rsidR="00B64B9A" w:rsidRPr="00AB52EE">
        <w:rPr>
          <w:rFonts w:cs="Arial"/>
          <w:szCs w:val="24"/>
        </w:rPr>
        <w:t xml:space="preserve">initially </w:t>
      </w:r>
      <w:r w:rsidR="00B95486" w:rsidRPr="00AB52EE">
        <w:rPr>
          <w:rFonts w:cs="Arial"/>
          <w:szCs w:val="24"/>
        </w:rPr>
        <w:t xml:space="preserve">unaware of </w:t>
      </w:r>
      <w:r w:rsidR="00B64B9A" w:rsidRPr="00AB52EE">
        <w:rPr>
          <w:rFonts w:cs="Arial"/>
          <w:szCs w:val="24"/>
        </w:rPr>
        <w:t xml:space="preserve">them </w:t>
      </w:r>
      <w:r w:rsidR="00B95486" w:rsidRPr="00AB52EE">
        <w:rPr>
          <w:rFonts w:cs="Arial"/>
          <w:szCs w:val="24"/>
        </w:rPr>
        <w:t>as he is “not involved directly in every aspect of the day</w:t>
      </w:r>
      <w:r w:rsidR="00A40A87" w:rsidRPr="00AB52EE">
        <w:rPr>
          <w:rFonts w:cs="Arial"/>
          <w:szCs w:val="24"/>
        </w:rPr>
        <w:t>-</w:t>
      </w:r>
      <w:r w:rsidR="00B95486" w:rsidRPr="00AB52EE">
        <w:rPr>
          <w:rFonts w:cs="Arial"/>
          <w:szCs w:val="24"/>
        </w:rPr>
        <w:t>to</w:t>
      </w:r>
      <w:r w:rsidR="00A40A87" w:rsidRPr="00AB52EE">
        <w:rPr>
          <w:rFonts w:cs="Arial"/>
          <w:szCs w:val="24"/>
        </w:rPr>
        <w:t>-</w:t>
      </w:r>
      <w:r w:rsidR="00B95486" w:rsidRPr="00AB52EE">
        <w:rPr>
          <w:rFonts w:cs="Arial"/>
          <w:szCs w:val="24"/>
        </w:rPr>
        <w:t xml:space="preserve">day business” of Vanesco. He says </w:t>
      </w:r>
      <w:r w:rsidR="00B64B9A" w:rsidRPr="00AB52EE">
        <w:rPr>
          <w:rFonts w:cs="Arial"/>
          <w:szCs w:val="24"/>
        </w:rPr>
        <w:t xml:space="preserve">Vanesco </w:t>
      </w:r>
      <w:r w:rsidR="00B95486" w:rsidRPr="00AB52EE">
        <w:rPr>
          <w:rFonts w:cs="Arial"/>
          <w:szCs w:val="24"/>
        </w:rPr>
        <w:t>is only one of his businesses, which also include two other companies and a close corporation</w:t>
      </w:r>
      <w:r w:rsidR="00B64B9A" w:rsidRPr="00AB52EE">
        <w:rPr>
          <w:rFonts w:cs="Arial"/>
          <w:szCs w:val="24"/>
        </w:rPr>
        <w:t>,</w:t>
      </w:r>
      <w:r w:rsidR="00350AB6" w:rsidRPr="00AB52EE">
        <w:rPr>
          <w:rFonts w:cs="Arial"/>
          <w:szCs w:val="24"/>
        </w:rPr>
        <w:t xml:space="preserve"> and that </w:t>
      </w:r>
      <w:r w:rsidR="00B95486" w:rsidRPr="00AB52EE">
        <w:rPr>
          <w:rFonts w:cs="Arial"/>
          <w:szCs w:val="24"/>
        </w:rPr>
        <w:t>“[I] rely upon my managers within each business to carry out their tasks and follow the instructions that I give them”.</w:t>
      </w:r>
      <w:r w:rsidR="009248EF" w:rsidRPr="00AB52EE">
        <w:rPr>
          <w:rFonts w:cs="Arial"/>
          <w:szCs w:val="24"/>
        </w:rPr>
        <w:t xml:space="preserve"> </w:t>
      </w:r>
      <w:r w:rsidR="00350AB6" w:rsidRPr="00AB52EE">
        <w:rPr>
          <w:rFonts w:cs="Arial"/>
          <w:szCs w:val="24"/>
        </w:rPr>
        <w:t>Mr Case states that</w:t>
      </w:r>
      <w:r w:rsidR="009248EF" w:rsidRPr="00AB52EE">
        <w:rPr>
          <w:rFonts w:cs="Arial"/>
          <w:szCs w:val="24"/>
        </w:rPr>
        <w:t xml:space="preserve"> </w:t>
      </w:r>
      <w:r w:rsidR="00F5069B" w:rsidRPr="00AB52EE">
        <w:rPr>
          <w:rFonts w:cs="Arial"/>
          <w:szCs w:val="24"/>
        </w:rPr>
        <w:t xml:space="preserve">he </w:t>
      </w:r>
      <w:r w:rsidR="00B64B9A" w:rsidRPr="00AB52EE">
        <w:rPr>
          <w:rFonts w:cs="Arial"/>
          <w:szCs w:val="24"/>
        </w:rPr>
        <w:t xml:space="preserve">took steps that </w:t>
      </w:r>
      <w:r w:rsidR="00F5069B" w:rsidRPr="00AB52EE">
        <w:rPr>
          <w:rFonts w:cs="Arial"/>
          <w:szCs w:val="24"/>
        </w:rPr>
        <w:t>h</w:t>
      </w:r>
      <w:r w:rsidR="00B64B9A" w:rsidRPr="00AB52EE">
        <w:rPr>
          <w:rFonts w:cs="Arial"/>
          <w:szCs w:val="24"/>
        </w:rPr>
        <w:t xml:space="preserve">e believed were sufficient to ensure </w:t>
      </w:r>
      <w:r w:rsidR="000F4C5D" w:rsidRPr="00AB52EE">
        <w:rPr>
          <w:rFonts w:cs="Arial"/>
          <w:szCs w:val="24"/>
        </w:rPr>
        <w:t xml:space="preserve">compliance with the interim interdict </w:t>
      </w:r>
      <w:r w:rsidR="00F5069B" w:rsidRPr="00AB52EE">
        <w:rPr>
          <w:rFonts w:cs="Arial"/>
          <w:szCs w:val="24"/>
        </w:rPr>
        <w:t xml:space="preserve">and in particular that </w:t>
      </w:r>
      <w:r w:rsidR="00350AB6" w:rsidRPr="00AB52EE">
        <w:rPr>
          <w:rFonts w:cs="Arial"/>
          <w:szCs w:val="24"/>
        </w:rPr>
        <w:t xml:space="preserve">he advised </w:t>
      </w:r>
      <w:r w:rsidR="005B4A98">
        <w:rPr>
          <w:rFonts w:cs="Arial"/>
          <w:szCs w:val="24"/>
        </w:rPr>
        <w:t xml:space="preserve">Vanesco’s </w:t>
      </w:r>
      <w:r w:rsidR="007835C0" w:rsidRPr="00AB52EE">
        <w:rPr>
          <w:rFonts w:cs="Arial"/>
          <w:szCs w:val="24"/>
        </w:rPr>
        <w:t>Sales Manager, Clive Botes</w:t>
      </w:r>
      <w:r w:rsidR="0068720F" w:rsidRPr="00AB52EE">
        <w:rPr>
          <w:rFonts w:cs="Arial"/>
          <w:szCs w:val="24"/>
        </w:rPr>
        <w:t>,</w:t>
      </w:r>
      <w:r w:rsidR="007835C0" w:rsidRPr="00AB52EE">
        <w:rPr>
          <w:rFonts w:cs="Arial"/>
          <w:szCs w:val="24"/>
        </w:rPr>
        <w:t xml:space="preserve"> </w:t>
      </w:r>
      <w:r w:rsidR="00350AB6" w:rsidRPr="00AB52EE">
        <w:rPr>
          <w:rFonts w:cs="Arial"/>
          <w:szCs w:val="24"/>
        </w:rPr>
        <w:t xml:space="preserve">of “the fact and content” of the </w:t>
      </w:r>
      <w:r w:rsidR="00625E75" w:rsidRPr="00AB52EE">
        <w:rPr>
          <w:rFonts w:cs="Arial"/>
          <w:szCs w:val="24"/>
        </w:rPr>
        <w:t xml:space="preserve">court </w:t>
      </w:r>
      <w:r w:rsidR="00350AB6" w:rsidRPr="00AB52EE">
        <w:rPr>
          <w:rFonts w:cs="Arial"/>
          <w:szCs w:val="24"/>
        </w:rPr>
        <w:t>order</w:t>
      </w:r>
      <w:r w:rsidR="009248EF" w:rsidRPr="00AB52EE">
        <w:rPr>
          <w:rFonts w:cs="Arial"/>
          <w:szCs w:val="24"/>
        </w:rPr>
        <w:t xml:space="preserve"> at the time that it was issued. However,</w:t>
      </w:r>
      <w:r w:rsidR="00350AB6" w:rsidRPr="00AB52EE">
        <w:rPr>
          <w:rFonts w:cs="Arial"/>
          <w:szCs w:val="24"/>
        </w:rPr>
        <w:t xml:space="preserve"> </w:t>
      </w:r>
      <w:r w:rsidR="009248EF" w:rsidRPr="00AB52EE">
        <w:rPr>
          <w:rFonts w:cs="Arial"/>
          <w:szCs w:val="24"/>
        </w:rPr>
        <w:t xml:space="preserve">Mr </w:t>
      </w:r>
      <w:r w:rsidR="00350AB6" w:rsidRPr="00AB52EE">
        <w:rPr>
          <w:rFonts w:cs="Arial"/>
          <w:szCs w:val="24"/>
        </w:rPr>
        <w:t>Botes</w:t>
      </w:r>
      <w:r w:rsidR="00B91EE3" w:rsidRPr="00AB52EE">
        <w:rPr>
          <w:rFonts w:cs="Arial"/>
          <w:szCs w:val="24"/>
        </w:rPr>
        <w:t xml:space="preserve">, </w:t>
      </w:r>
      <w:r w:rsidR="009248EF" w:rsidRPr="00AB52EE">
        <w:rPr>
          <w:rFonts w:cs="Arial"/>
          <w:szCs w:val="24"/>
        </w:rPr>
        <w:t>who deposed to a confirmatory affidavit</w:t>
      </w:r>
      <w:r w:rsidR="00B91EE3" w:rsidRPr="00AB52EE">
        <w:rPr>
          <w:rFonts w:cs="Arial"/>
          <w:szCs w:val="24"/>
        </w:rPr>
        <w:t>,</w:t>
      </w:r>
      <w:r w:rsidR="009248EF" w:rsidRPr="00AB52EE">
        <w:rPr>
          <w:rFonts w:cs="Arial"/>
          <w:szCs w:val="24"/>
        </w:rPr>
        <w:t xml:space="preserve"> </w:t>
      </w:r>
      <w:r w:rsidR="00B91EE3" w:rsidRPr="00AB52EE">
        <w:rPr>
          <w:rFonts w:cs="Arial"/>
          <w:szCs w:val="24"/>
        </w:rPr>
        <w:t xml:space="preserve">and </w:t>
      </w:r>
      <w:r w:rsidR="009248EF" w:rsidRPr="00AB52EE">
        <w:rPr>
          <w:rFonts w:cs="Arial"/>
          <w:szCs w:val="24"/>
        </w:rPr>
        <w:t>who</w:t>
      </w:r>
      <w:r w:rsidR="005B4A98">
        <w:rPr>
          <w:rFonts w:cs="Arial"/>
          <w:szCs w:val="24"/>
        </w:rPr>
        <w:t>m</w:t>
      </w:r>
      <w:r w:rsidR="009248EF" w:rsidRPr="00AB52EE">
        <w:rPr>
          <w:rFonts w:cs="Arial"/>
          <w:szCs w:val="24"/>
        </w:rPr>
        <w:t xml:space="preserve"> Mr Case describes as “young and relatively inexperienced” had </w:t>
      </w:r>
      <w:r w:rsidR="00350AB6" w:rsidRPr="00AB52EE">
        <w:rPr>
          <w:rFonts w:cs="Arial"/>
          <w:szCs w:val="24"/>
        </w:rPr>
        <w:t xml:space="preserve">“failed to appreciate the seriousness of the matter” and </w:t>
      </w:r>
      <w:r w:rsidR="009248EF" w:rsidRPr="00AB52EE">
        <w:rPr>
          <w:rFonts w:cs="Arial"/>
          <w:szCs w:val="24"/>
        </w:rPr>
        <w:t>…</w:t>
      </w:r>
    </w:p>
    <w:p w14:paraId="59D35F5F" w14:textId="6E3050D4" w:rsidR="00350AB6" w:rsidRPr="00AB52EE" w:rsidRDefault="00A40A87" w:rsidP="007A27ED">
      <w:pPr>
        <w:pStyle w:val="HeadsQuote"/>
        <w:rPr>
          <w:i/>
          <w:iCs/>
        </w:rPr>
      </w:pPr>
      <w:r w:rsidRPr="00AB52EE">
        <w:t>“</w:t>
      </w:r>
      <w:r w:rsidR="009248EF" w:rsidRPr="00AB52EE">
        <w:t xml:space="preserve">… </w:t>
      </w:r>
      <w:r w:rsidR="00350AB6" w:rsidRPr="00AB52EE">
        <w:t xml:space="preserve">continued to fill </w:t>
      </w:r>
      <w:r w:rsidR="009248EF" w:rsidRPr="00AB52EE">
        <w:t xml:space="preserve">pre-existing </w:t>
      </w:r>
      <w:r w:rsidR="00350AB6" w:rsidRPr="00AB52EE">
        <w:t xml:space="preserve">orders </w:t>
      </w:r>
      <w:r w:rsidR="009248EF" w:rsidRPr="00AB52EE">
        <w:t>[</w:t>
      </w:r>
      <w:r w:rsidR="00350AB6" w:rsidRPr="00AB52EE">
        <w:t xml:space="preserve">of the </w:t>
      </w:r>
      <w:r w:rsidR="00607DAF" w:rsidRPr="00AB52EE">
        <w:t>Hybrid 90</w:t>
      </w:r>
      <w:r w:rsidR="00B91EE3" w:rsidRPr="00AB52EE">
        <w:t>L</w:t>
      </w:r>
      <w:r w:rsidR="00607DAF" w:rsidRPr="00AB52EE">
        <w:t xml:space="preserve"> trolley</w:t>
      </w:r>
      <w:r w:rsidR="00350AB6" w:rsidRPr="00AB52EE">
        <w:t xml:space="preserve"> that predated the interdict using stock manufactured before it was issued</w:t>
      </w:r>
      <w:r w:rsidR="009248EF" w:rsidRPr="00AB52EE">
        <w:t>]</w:t>
      </w:r>
      <w:r w:rsidR="00350AB6" w:rsidRPr="00AB52EE">
        <w:t xml:space="preserve">. </w:t>
      </w:r>
      <w:r w:rsidR="009248EF" w:rsidRPr="00AB52EE">
        <w:t xml:space="preserve">He </w:t>
      </w:r>
      <w:r w:rsidR="00350AB6" w:rsidRPr="00AB52EE">
        <w:t>thought, in his own wisdom, that these were not covered by the interdict because the orders had preceded the interdict. He did not think to ask for advice and this shows a lack of judgment on his part. This occurred during June 2021.</w:t>
      </w:r>
      <w:r w:rsidR="009248EF" w:rsidRPr="00AB52EE">
        <w:t xml:space="preserve"> </w:t>
      </w:r>
      <w:r w:rsidR="00350AB6" w:rsidRPr="00AB52EE">
        <w:t>Between 7 and 14 July 2021, a period of unrest and looting occurred in</w:t>
      </w:r>
      <w:r w:rsidR="009248EF" w:rsidRPr="00AB52EE">
        <w:t xml:space="preserve"> </w:t>
      </w:r>
      <w:r w:rsidR="00350AB6" w:rsidRPr="00AB52EE">
        <w:t>South Africa. Existing customers phoned Mr Botes and begged him to</w:t>
      </w:r>
      <w:r w:rsidR="009248EF" w:rsidRPr="00AB52EE">
        <w:t xml:space="preserve"> </w:t>
      </w:r>
      <w:r w:rsidR="00350AB6" w:rsidRPr="00AB52EE">
        <w:t xml:space="preserve">supply them with </w:t>
      </w:r>
      <w:r w:rsidR="009248EF" w:rsidRPr="00AB52EE">
        <w:t>“</w:t>
      </w:r>
      <w:r w:rsidR="00350AB6" w:rsidRPr="00AB52EE">
        <w:t>their trolleys</w:t>
      </w:r>
      <w:r w:rsidR="009248EF" w:rsidRPr="00AB52EE">
        <w:t>”</w:t>
      </w:r>
      <w:r w:rsidR="00350AB6" w:rsidRPr="00AB52EE">
        <w:t>. Mr Botes did not pause to think that</w:t>
      </w:r>
      <w:r w:rsidR="009248EF" w:rsidRPr="00AB52EE">
        <w:t xml:space="preserve"> </w:t>
      </w:r>
      <w:r w:rsidR="00350AB6" w:rsidRPr="00AB52EE">
        <w:t xml:space="preserve">this might constitute a breach of the </w:t>
      </w:r>
      <w:r w:rsidR="00A01AA1" w:rsidRPr="00AB52EE">
        <w:t>C</w:t>
      </w:r>
      <w:r w:rsidR="00350AB6" w:rsidRPr="00AB52EE">
        <w:t>ourt Order, but was more</w:t>
      </w:r>
      <w:r w:rsidR="009248EF" w:rsidRPr="00AB52EE">
        <w:t xml:space="preserve"> </w:t>
      </w:r>
      <w:r w:rsidR="00350AB6" w:rsidRPr="00AB52EE">
        <w:t>concerned with satisfying the needs of his customers and keeping them</w:t>
      </w:r>
      <w:r w:rsidR="009248EF" w:rsidRPr="00AB52EE">
        <w:t xml:space="preserve"> </w:t>
      </w:r>
      <w:r w:rsidR="00350AB6" w:rsidRPr="00AB52EE">
        <w:t xml:space="preserve">happy. Accordingly, he supplied further </w:t>
      </w:r>
      <w:r w:rsidR="00350AB6" w:rsidRPr="00AB52EE">
        <w:lastRenderedPageBreak/>
        <w:t>trolleys throughout July and</w:t>
      </w:r>
      <w:r w:rsidR="009248EF" w:rsidRPr="00AB52EE">
        <w:t xml:space="preserve"> </w:t>
      </w:r>
      <w:r w:rsidR="00350AB6" w:rsidRPr="00AB52EE">
        <w:t>into the start of August.</w:t>
      </w:r>
      <w:r w:rsidRPr="00AB52EE">
        <w:t>”</w:t>
      </w:r>
    </w:p>
    <w:p w14:paraId="7D8B14B9" w14:textId="75557854" w:rsidR="00DD3FB7" w:rsidRPr="00AB52EE" w:rsidRDefault="00DD3FB7" w:rsidP="007A27ED">
      <w:pPr>
        <w:pStyle w:val="LC1"/>
        <w:rPr>
          <w:rFonts w:cs="Arial"/>
          <w:szCs w:val="24"/>
        </w:rPr>
      </w:pPr>
      <w:r w:rsidRPr="00AB52EE">
        <w:rPr>
          <w:rFonts w:cs="Arial"/>
          <w:szCs w:val="24"/>
        </w:rPr>
        <w:t>Mr Case professe</w:t>
      </w:r>
      <w:r w:rsidR="00625E75" w:rsidRPr="00AB52EE">
        <w:rPr>
          <w:rFonts w:cs="Arial"/>
          <w:szCs w:val="24"/>
        </w:rPr>
        <w:t>s</w:t>
      </w:r>
      <w:r w:rsidRPr="00AB52EE">
        <w:rPr>
          <w:rFonts w:cs="Arial"/>
          <w:szCs w:val="24"/>
        </w:rPr>
        <w:t xml:space="preserve"> regret and apologise</w:t>
      </w:r>
      <w:r w:rsidR="00625E75" w:rsidRPr="00AB52EE">
        <w:rPr>
          <w:rFonts w:cs="Arial"/>
          <w:szCs w:val="24"/>
        </w:rPr>
        <w:t>s</w:t>
      </w:r>
      <w:r w:rsidRPr="00AB52EE">
        <w:rPr>
          <w:rFonts w:cs="Arial"/>
          <w:szCs w:val="24"/>
        </w:rPr>
        <w:t xml:space="preserve"> for Vanesco’s admitted breaches of the </w:t>
      </w:r>
      <w:r w:rsidR="00625E75" w:rsidRPr="00AB52EE">
        <w:rPr>
          <w:rFonts w:cs="Arial"/>
          <w:szCs w:val="24"/>
        </w:rPr>
        <w:t>interim interdict</w:t>
      </w:r>
      <w:r w:rsidRPr="00AB52EE">
        <w:rPr>
          <w:rFonts w:cs="Arial"/>
          <w:szCs w:val="24"/>
        </w:rPr>
        <w:t>, stating that “I should have taken a more direct role in ensuring that the terms of the order were strictly adhered to”. Mr Botes also apologise</w:t>
      </w:r>
      <w:r w:rsidR="00625E75" w:rsidRPr="00AB52EE">
        <w:rPr>
          <w:rFonts w:cs="Arial"/>
          <w:szCs w:val="24"/>
        </w:rPr>
        <w:t>s</w:t>
      </w:r>
      <w:r w:rsidRPr="00AB52EE">
        <w:rPr>
          <w:rFonts w:cs="Arial"/>
          <w:szCs w:val="24"/>
        </w:rPr>
        <w:t xml:space="preserve"> and confesse</w:t>
      </w:r>
      <w:r w:rsidR="00625E75" w:rsidRPr="00AB52EE">
        <w:rPr>
          <w:rFonts w:cs="Arial"/>
          <w:szCs w:val="24"/>
        </w:rPr>
        <w:t>s</w:t>
      </w:r>
      <w:r w:rsidRPr="00AB52EE">
        <w:rPr>
          <w:rFonts w:cs="Arial"/>
          <w:szCs w:val="24"/>
        </w:rPr>
        <w:t xml:space="preserve"> to feeling “sheepish” about his conduct.</w:t>
      </w:r>
    </w:p>
    <w:p w14:paraId="3F0B90FE" w14:textId="612FCFF3" w:rsidR="00976793" w:rsidRPr="00AB52EE" w:rsidRDefault="009F7CAE" w:rsidP="00976793">
      <w:pPr>
        <w:pStyle w:val="LC1"/>
        <w:rPr>
          <w:rFonts w:cs="Arial"/>
          <w:szCs w:val="24"/>
          <w:u w:val="single"/>
        </w:rPr>
      </w:pPr>
      <w:r w:rsidRPr="00AB52EE">
        <w:rPr>
          <w:rFonts w:cs="Arial"/>
          <w:szCs w:val="24"/>
        </w:rPr>
        <w:t xml:space="preserve">Mr Case </w:t>
      </w:r>
      <w:r w:rsidR="007272E8" w:rsidRPr="00AB52EE">
        <w:rPr>
          <w:rFonts w:cs="Arial"/>
          <w:szCs w:val="24"/>
        </w:rPr>
        <w:t xml:space="preserve">then </w:t>
      </w:r>
      <w:r w:rsidR="00625E75" w:rsidRPr="00AB52EE">
        <w:rPr>
          <w:rFonts w:cs="Arial"/>
          <w:szCs w:val="24"/>
        </w:rPr>
        <w:t xml:space="preserve">goes </w:t>
      </w:r>
      <w:r w:rsidR="007272E8" w:rsidRPr="00AB52EE">
        <w:rPr>
          <w:rFonts w:cs="Arial"/>
          <w:szCs w:val="24"/>
        </w:rPr>
        <w:t xml:space="preserve">on to </w:t>
      </w:r>
      <w:r w:rsidR="00151595" w:rsidRPr="00AB52EE">
        <w:rPr>
          <w:rFonts w:cs="Arial"/>
          <w:szCs w:val="24"/>
        </w:rPr>
        <w:t xml:space="preserve">confirm </w:t>
      </w:r>
      <w:r w:rsidR="00F46C6C" w:rsidRPr="00AB52EE">
        <w:rPr>
          <w:rFonts w:cs="Arial"/>
          <w:szCs w:val="24"/>
        </w:rPr>
        <w:t xml:space="preserve">Supercart’s suspicions regarding Vanesco’s </w:t>
      </w:r>
      <w:r w:rsidR="00280F09" w:rsidRPr="00AB52EE">
        <w:rPr>
          <w:rFonts w:cs="Arial"/>
          <w:szCs w:val="24"/>
        </w:rPr>
        <w:t xml:space="preserve">further </w:t>
      </w:r>
      <w:r w:rsidR="00F46C6C" w:rsidRPr="00AB52EE">
        <w:rPr>
          <w:rFonts w:cs="Arial"/>
          <w:szCs w:val="24"/>
        </w:rPr>
        <w:t>breach</w:t>
      </w:r>
      <w:r w:rsidR="00280F09" w:rsidRPr="00AB52EE">
        <w:rPr>
          <w:rFonts w:cs="Arial"/>
          <w:szCs w:val="24"/>
        </w:rPr>
        <w:t>es</w:t>
      </w:r>
      <w:r w:rsidR="00F46C6C" w:rsidRPr="00AB52EE">
        <w:rPr>
          <w:rFonts w:cs="Arial"/>
          <w:szCs w:val="24"/>
        </w:rPr>
        <w:t xml:space="preserve"> of the interim interdict. </w:t>
      </w:r>
      <w:r w:rsidR="00151595" w:rsidRPr="00AB52EE">
        <w:rPr>
          <w:rFonts w:cs="Arial"/>
          <w:szCs w:val="24"/>
        </w:rPr>
        <w:t xml:space="preserve">He </w:t>
      </w:r>
      <w:r w:rsidR="00F46C6C" w:rsidRPr="00AB52EE">
        <w:rPr>
          <w:rFonts w:cs="Arial"/>
          <w:szCs w:val="24"/>
        </w:rPr>
        <w:t>state</w:t>
      </w:r>
      <w:r w:rsidR="00625E75" w:rsidRPr="00AB52EE">
        <w:rPr>
          <w:rFonts w:cs="Arial"/>
          <w:szCs w:val="24"/>
        </w:rPr>
        <w:t>s</w:t>
      </w:r>
      <w:r w:rsidR="00F46C6C" w:rsidRPr="00AB52EE">
        <w:rPr>
          <w:rFonts w:cs="Arial"/>
          <w:szCs w:val="24"/>
        </w:rPr>
        <w:t xml:space="preserve"> that </w:t>
      </w:r>
      <w:r w:rsidR="00280F09" w:rsidRPr="00AB52EE">
        <w:rPr>
          <w:rFonts w:cs="Arial"/>
          <w:szCs w:val="24"/>
        </w:rPr>
        <w:t xml:space="preserve">on 6 August 2021 </w:t>
      </w:r>
      <w:r w:rsidR="00F46C6C" w:rsidRPr="00AB52EE">
        <w:rPr>
          <w:rFonts w:cs="Arial"/>
          <w:szCs w:val="24"/>
        </w:rPr>
        <w:t>he discover</w:t>
      </w:r>
      <w:r w:rsidR="007272E8" w:rsidRPr="00AB52EE">
        <w:rPr>
          <w:rFonts w:cs="Arial"/>
          <w:szCs w:val="24"/>
        </w:rPr>
        <w:t>ed by chance</w:t>
      </w:r>
      <w:r w:rsidR="00F46C6C" w:rsidRPr="00AB52EE">
        <w:rPr>
          <w:rFonts w:cs="Arial"/>
          <w:szCs w:val="24"/>
        </w:rPr>
        <w:t xml:space="preserve"> that Vanesco had </w:t>
      </w:r>
      <w:r w:rsidR="00280F09" w:rsidRPr="00AB52EE">
        <w:rPr>
          <w:rFonts w:cs="Arial"/>
          <w:szCs w:val="24"/>
        </w:rPr>
        <w:t>delivered previously</w:t>
      </w:r>
      <w:r w:rsidR="00F300F5" w:rsidRPr="00AB52EE">
        <w:rPr>
          <w:rFonts w:cs="Arial"/>
          <w:szCs w:val="24"/>
        </w:rPr>
        <w:t>-</w:t>
      </w:r>
      <w:r w:rsidR="00280F09" w:rsidRPr="00AB52EE">
        <w:rPr>
          <w:rFonts w:cs="Arial"/>
          <w:szCs w:val="24"/>
        </w:rPr>
        <w:t xml:space="preserve">manufactured </w:t>
      </w:r>
      <w:r w:rsidR="00607DAF" w:rsidRPr="00AB52EE">
        <w:rPr>
          <w:rFonts w:cs="Arial"/>
          <w:szCs w:val="24"/>
        </w:rPr>
        <w:t>Hybrid 90 litre trolley</w:t>
      </w:r>
      <w:r w:rsidR="00280F09" w:rsidRPr="00AB52EE">
        <w:rPr>
          <w:rFonts w:cs="Arial"/>
          <w:szCs w:val="24"/>
        </w:rPr>
        <w:t xml:space="preserve">s </w:t>
      </w:r>
      <w:r w:rsidR="00F300F5" w:rsidRPr="00AB52EE">
        <w:rPr>
          <w:rFonts w:cs="Arial"/>
          <w:szCs w:val="24"/>
        </w:rPr>
        <w:t xml:space="preserve">directly to </w:t>
      </w:r>
      <w:r w:rsidR="00625E75" w:rsidRPr="00AB52EE">
        <w:rPr>
          <w:rFonts w:cs="Arial"/>
          <w:szCs w:val="24"/>
        </w:rPr>
        <w:t xml:space="preserve">both </w:t>
      </w:r>
      <w:r w:rsidR="00F300F5" w:rsidRPr="00AB52EE">
        <w:rPr>
          <w:rFonts w:cs="Arial"/>
          <w:szCs w:val="24"/>
        </w:rPr>
        <w:t xml:space="preserve">customers and distributors </w:t>
      </w:r>
      <w:r w:rsidR="005A7917" w:rsidRPr="00AB52EE">
        <w:rPr>
          <w:rFonts w:cs="Arial"/>
          <w:szCs w:val="24"/>
        </w:rPr>
        <w:t xml:space="preserve">within South Africa </w:t>
      </w:r>
      <w:r w:rsidR="00280F09" w:rsidRPr="00AB52EE">
        <w:rPr>
          <w:rFonts w:cs="Arial"/>
          <w:szCs w:val="24"/>
        </w:rPr>
        <w:t xml:space="preserve">after the date upon which he became aware of </w:t>
      </w:r>
      <w:r w:rsidR="00151595" w:rsidRPr="00AB52EE">
        <w:rPr>
          <w:rFonts w:cs="Arial"/>
          <w:szCs w:val="24"/>
        </w:rPr>
        <w:t>the interim interdict</w:t>
      </w:r>
      <w:r w:rsidR="00F300F5" w:rsidRPr="00AB52EE">
        <w:rPr>
          <w:rFonts w:cs="Arial"/>
          <w:szCs w:val="24"/>
        </w:rPr>
        <w:t>.</w:t>
      </w:r>
      <w:r w:rsidR="00280F09" w:rsidRPr="00AB52EE">
        <w:rPr>
          <w:rFonts w:cs="Arial"/>
          <w:szCs w:val="24"/>
        </w:rPr>
        <w:t xml:space="preserve"> </w:t>
      </w:r>
      <w:r w:rsidR="00F300F5" w:rsidRPr="00AB52EE">
        <w:rPr>
          <w:rFonts w:cs="Arial"/>
          <w:szCs w:val="24"/>
        </w:rPr>
        <w:t>He state</w:t>
      </w:r>
      <w:r w:rsidR="00625E75" w:rsidRPr="00AB52EE">
        <w:rPr>
          <w:rFonts w:cs="Arial"/>
          <w:szCs w:val="24"/>
        </w:rPr>
        <w:t>s</w:t>
      </w:r>
      <w:r w:rsidR="00F300F5" w:rsidRPr="00AB52EE">
        <w:rPr>
          <w:rFonts w:cs="Arial"/>
          <w:szCs w:val="24"/>
        </w:rPr>
        <w:t xml:space="preserve"> that </w:t>
      </w:r>
      <w:r w:rsidR="00280F09" w:rsidRPr="00AB52EE">
        <w:rPr>
          <w:rFonts w:cs="Arial"/>
          <w:szCs w:val="24"/>
        </w:rPr>
        <w:t xml:space="preserve">he put a stop to the </w:t>
      </w:r>
      <w:r w:rsidR="007272E8" w:rsidRPr="00AB52EE">
        <w:rPr>
          <w:rFonts w:cs="Arial"/>
          <w:szCs w:val="24"/>
        </w:rPr>
        <w:t>deliveries</w:t>
      </w:r>
      <w:r w:rsidR="00DD3FB7" w:rsidRPr="00AB52EE">
        <w:rPr>
          <w:rFonts w:cs="Arial"/>
          <w:szCs w:val="24"/>
        </w:rPr>
        <w:t xml:space="preserve"> and has taken steps to ensure that breaches </w:t>
      </w:r>
      <w:r w:rsidR="005B4A98">
        <w:rPr>
          <w:rFonts w:cs="Arial"/>
          <w:szCs w:val="24"/>
        </w:rPr>
        <w:t xml:space="preserve">will </w:t>
      </w:r>
      <w:r w:rsidR="00DD3FB7" w:rsidRPr="00AB52EE">
        <w:rPr>
          <w:rFonts w:cs="Arial"/>
          <w:szCs w:val="24"/>
        </w:rPr>
        <w:t>not re-occur</w:t>
      </w:r>
      <w:r w:rsidR="00F46C6C" w:rsidRPr="00AB52EE">
        <w:rPr>
          <w:rFonts w:cs="Arial"/>
          <w:szCs w:val="24"/>
        </w:rPr>
        <w:t xml:space="preserve">. </w:t>
      </w:r>
      <w:r w:rsidR="00280F09" w:rsidRPr="00AB52EE">
        <w:rPr>
          <w:rFonts w:cs="Arial"/>
          <w:szCs w:val="24"/>
        </w:rPr>
        <w:t>He claim</w:t>
      </w:r>
      <w:r w:rsidR="00625E75" w:rsidRPr="00AB52EE">
        <w:rPr>
          <w:rFonts w:cs="Arial"/>
          <w:szCs w:val="24"/>
        </w:rPr>
        <w:t>s</w:t>
      </w:r>
      <w:r w:rsidR="00280F09" w:rsidRPr="00AB52EE">
        <w:rPr>
          <w:rFonts w:cs="Arial"/>
          <w:szCs w:val="24"/>
        </w:rPr>
        <w:t xml:space="preserve"> to have conducted an investigation </w:t>
      </w:r>
      <w:r w:rsidR="007272E8" w:rsidRPr="00AB52EE">
        <w:rPr>
          <w:rFonts w:cs="Arial"/>
          <w:szCs w:val="24"/>
        </w:rPr>
        <w:t xml:space="preserve">and to have been “appalled” when this </w:t>
      </w:r>
      <w:r w:rsidR="00280F09" w:rsidRPr="00AB52EE">
        <w:rPr>
          <w:rFonts w:cs="Arial"/>
          <w:szCs w:val="24"/>
        </w:rPr>
        <w:t xml:space="preserve">showed that 635 </w:t>
      </w:r>
      <w:r w:rsidR="00607DAF" w:rsidRPr="00AB52EE">
        <w:rPr>
          <w:rFonts w:cs="Arial"/>
          <w:szCs w:val="24"/>
        </w:rPr>
        <w:t>Hybrid 90 litre trolley</w:t>
      </w:r>
      <w:r w:rsidR="00280F09" w:rsidRPr="00AB52EE">
        <w:rPr>
          <w:rFonts w:cs="Arial"/>
          <w:szCs w:val="24"/>
        </w:rPr>
        <w:t xml:space="preserve">s had been delivered </w:t>
      </w:r>
      <w:r w:rsidR="00A70791" w:rsidRPr="00AB52EE">
        <w:rPr>
          <w:rFonts w:cs="Arial"/>
          <w:szCs w:val="24"/>
        </w:rPr>
        <w:t>with</w:t>
      </w:r>
      <w:r w:rsidR="00F300F5" w:rsidRPr="00AB52EE">
        <w:rPr>
          <w:rFonts w:cs="Arial"/>
          <w:szCs w:val="24"/>
        </w:rPr>
        <w:t>in South Africa</w:t>
      </w:r>
      <w:r w:rsidR="00A70791" w:rsidRPr="00AB52EE">
        <w:rPr>
          <w:rFonts w:cs="Arial"/>
          <w:szCs w:val="24"/>
        </w:rPr>
        <w:t xml:space="preserve"> </w:t>
      </w:r>
      <w:r w:rsidR="007272E8" w:rsidRPr="00AB52EE">
        <w:rPr>
          <w:rFonts w:cs="Arial"/>
          <w:szCs w:val="24"/>
        </w:rPr>
        <w:t xml:space="preserve">between </w:t>
      </w:r>
      <w:r w:rsidR="00280F09" w:rsidRPr="00AB52EE">
        <w:rPr>
          <w:rFonts w:cs="Arial"/>
          <w:szCs w:val="24"/>
        </w:rPr>
        <w:t>24 May 2021</w:t>
      </w:r>
      <w:r w:rsidR="007272E8" w:rsidRPr="00AB52EE">
        <w:rPr>
          <w:rFonts w:cs="Arial"/>
          <w:szCs w:val="24"/>
        </w:rPr>
        <w:t xml:space="preserve"> and 5 August 2021</w:t>
      </w:r>
      <w:r w:rsidR="00280F09" w:rsidRPr="00AB52EE">
        <w:rPr>
          <w:rFonts w:cs="Arial"/>
          <w:szCs w:val="24"/>
        </w:rPr>
        <w:t xml:space="preserve">, although </w:t>
      </w:r>
      <w:r w:rsidR="005A7917" w:rsidRPr="00AB52EE">
        <w:rPr>
          <w:rFonts w:cs="Arial"/>
          <w:szCs w:val="24"/>
        </w:rPr>
        <w:t xml:space="preserve">he states that </w:t>
      </w:r>
      <w:r w:rsidR="00280F09" w:rsidRPr="00AB52EE">
        <w:rPr>
          <w:rFonts w:cs="Arial"/>
          <w:szCs w:val="24"/>
        </w:rPr>
        <w:t>none ha</w:t>
      </w:r>
      <w:r w:rsidR="00625E75" w:rsidRPr="00AB52EE">
        <w:rPr>
          <w:rFonts w:cs="Arial"/>
          <w:szCs w:val="24"/>
        </w:rPr>
        <w:t>ve</w:t>
      </w:r>
      <w:r w:rsidR="00280F09" w:rsidRPr="00AB52EE">
        <w:rPr>
          <w:rFonts w:cs="Arial"/>
          <w:szCs w:val="24"/>
        </w:rPr>
        <w:t xml:space="preserve"> been manufactured </w:t>
      </w:r>
      <w:r w:rsidR="005A7917" w:rsidRPr="00AB52EE">
        <w:rPr>
          <w:rFonts w:cs="Arial"/>
          <w:szCs w:val="24"/>
        </w:rPr>
        <w:t xml:space="preserve">by or </w:t>
      </w:r>
      <w:r w:rsidR="00280F09" w:rsidRPr="00AB52EE">
        <w:rPr>
          <w:rFonts w:cs="Arial"/>
          <w:szCs w:val="24"/>
        </w:rPr>
        <w:t xml:space="preserve">on </w:t>
      </w:r>
      <w:r w:rsidR="005A7917" w:rsidRPr="00AB52EE">
        <w:rPr>
          <w:rFonts w:cs="Arial"/>
          <w:szCs w:val="24"/>
        </w:rPr>
        <w:t xml:space="preserve">behalf of </w:t>
      </w:r>
      <w:r w:rsidR="00280F09" w:rsidRPr="00AB52EE">
        <w:rPr>
          <w:rFonts w:cs="Arial"/>
          <w:szCs w:val="24"/>
        </w:rPr>
        <w:t>Vanesco</w:t>
      </w:r>
      <w:r w:rsidR="005A7917" w:rsidRPr="00AB52EE">
        <w:rPr>
          <w:rFonts w:cs="Arial"/>
          <w:szCs w:val="24"/>
        </w:rPr>
        <w:t xml:space="preserve"> </w:t>
      </w:r>
      <w:r w:rsidR="00280F09" w:rsidRPr="00AB52EE">
        <w:rPr>
          <w:rFonts w:cs="Arial"/>
          <w:szCs w:val="24"/>
        </w:rPr>
        <w:t xml:space="preserve">after that date. </w:t>
      </w:r>
      <w:r w:rsidR="00976793" w:rsidRPr="00AB52EE">
        <w:rPr>
          <w:rFonts w:cs="Arial"/>
          <w:szCs w:val="24"/>
        </w:rPr>
        <w:t xml:space="preserve">As evidence </w:t>
      </w:r>
      <w:r w:rsidR="007272E8" w:rsidRPr="00AB52EE">
        <w:rPr>
          <w:rFonts w:cs="Arial"/>
          <w:szCs w:val="24"/>
        </w:rPr>
        <w:t>of this, Mr Case put up a bundle of documents (annexure A3)</w:t>
      </w:r>
      <w:r w:rsidR="005A7917" w:rsidRPr="00AB52EE">
        <w:rPr>
          <w:rFonts w:cs="Arial"/>
          <w:szCs w:val="24"/>
        </w:rPr>
        <w:t xml:space="preserve"> containing a summary sheet of the 635 deliveries “with the relevant orders, delivery notes and invoices” from which the summary had been extracted</w:t>
      </w:r>
      <w:r w:rsidR="00976793" w:rsidRPr="00AB52EE">
        <w:rPr>
          <w:rFonts w:cs="Arial"/>
          <w:szCs w:val="24"/>
        </w:rPr>
        <w:t>.</w:t>
      </w:r>
      <w:r w:rsidR="007272E8" w:rsidRPr="00AB52EE">
        <w:rPr>
          <w:rFonts w:cs="Arial"/>
          <w:szCs w:val="24"/>
        </w:rPr>
        <w:t xml:space="preserve"> </w:t>
      </w:r>
    </w:p>
    <w:p w14:paraId="4D3C491B" w14:textId="7D3ED893" w:rsidR="00C03D79" w:rsidRPr="00AB52EE" w:rsidRDefault="00C03D79" w:rsidP="00C03D79">
      <w:pPr>
        <w:pStyle w:val="LC1"/>
        <w:rPr>
          <w:rFonts w:cs="Arial"/>
          <w:szCs w:val="24"/>
        </w:rPr>
      </w:pPr>
      <w:r w:rsidRPr="00AB52EE">
        <w:rPr>
          <w:rFonts w:cs="Arial"/>
          <w:szCs w:val="24"/>
        </w:rPr>
        <w:t>Mr Wolfe and Supercart do not believe Mr Case</w:t>
      </w:r>
      <w:r w:rsidR="005B4A98">
        <w:rPr>
          <w:rFonts w:cs="Arial"/>
          <w:szCs w:val="24"/>
        </w:rPr>
        <w:t xml:space="preserve"> – </w:t>
      </w:r>
      <w:r w:rsidRPr="00AB52EE">
        <w:rPr>
          <w:rFonts w:cs="Arial"/>
          <w:szCs w:val="24"/>
        </w:rPr>
        <w:t>either</w:t>
      </w:r>
      <w:r w:rsidR="005B4A98">
        <w:rPr>
          <w:rFonts w:cs="Arial"/>
          <w:szCs w:val="24"/>
        </w:rPr>
        <w:t xml:space="preserve"> </w:t>
      </w:r>
      <w:r w:rsidRPr="00AB52EE">
        <w:rPr>
          <w:rFonts w:cs="Arial"/>
          <w:szCs w:val="24"/>
        </w:rPr>
        <w:t xml:space="preserve">in relation to his professed lack of knowledge of the admitted breaches, or in relation to the number of trolleys manufactured and disposed of in South Africa </w:t>
      </w:r>
      <w:r w:rsidR="005B4A98">
        <w:rPr>
          <w:rFonts w:cs="Arial"/>
          <w:szCs w:val="24"/>
        </w:rPr>
        <w:t xml:space="preserve">by Vanesco </w:t>
      </w:r>
      <w:r w:rsidRPr="00AB52EE">
        <w:rPr>
          <w:rFonts w:cs="Arial"/>
          <w:szCs w:val="24"/>
        </w:rPr>
        <w:t xml:space="preserve">in breach of the </w:t>
      </w:r>
      <w:r w:rsidR="00B417FD">
        <w:rPr>
          <w:rFonts w:cs="Arial"/>
          <w:szCs w:val="24"/>
        </w:rPr>
        <w:t xml:space="preserve">interim </w:t>
      </w:r>
      <w:r w:rsidRPr="00AB52EE">
        <w:rPr>
          <w:rFonts w:cs="Arial"/>
          <w:szCs w:val="24"/>
        </w:rPr>
        <w:t xml:space="preserve">interdict. </w:t>
      </w:r>
    </w:p>
    <w:p w14:paraId="42918CBA" w14:textId="3A7A7ADC" w:rsidR="00212703" w:rsidRPr="00AB52EE" w:rsidRDefault="00212703" w:rsidP="00976793">
      <w:pPr>
        <w:pStyle w:val="LC1"/>
        <w:keepNext/>
        <w:numPr>
          <w:ilvl w:val="0"/>
          <w:numId w:val="0"/>
        </w:numPr>
        <w:rPr>
          <w:rFonts w:cs="Arial"/>
          <w:szCs w:val="24"/>
          <w:u w:val="single"/>
        </w:rPr>
      </w:pPr>
      <w:r w:rsidRPr="00AB52EE">
        <w:rPr>
          <w:rFonts w:cs="Arial"/>
          <w:szCs w:val="24"/>
          <w:u w:val="single"/>
        </w:rPr>
        <w:lastRenderedPageBreak/>
        <w:t xml:space="preserve">The </w:t>
      </w:r>
      <w:r w:rsidR="005E307C" w:rsidRPr="00AB52EE">
        <w:rPr>
          <w:rFonts w:cs="Arial"/>
          <w:szCs w:val="24"/>
          <w:u w:val="single"/>
        </w:rPr>
        <w:t xml:space="preserve">relevant provisions of the </w:t>
      </w:r>
      <w:r w:rsidRPr="00AB52EE">
        <w:rPr>
          <w:rFonts w:cs="Arial"/>
          <w:szCs w:val="24"/>
          <w:u w:val="single"/>
        </w:rPr>
        <w:t>Anton Piller order</w:t>
      </w:r>
    </w:p>
    <w:p w14:paraId="7089483D" w14:textId="3C52BB5A" w:rsidR="00C03D79" w:rsidRPr="00AB52EE" w:rsidRDefault="00C03D79" w:rsidP="007A27ED">
      <w:pPr>
        <w:pStyle w:val="LC1"/>
        <w:rPr>
          <w:rFonts w:cs="Arial"/>
          <w:szCs w:val="24"/>
        </w:rPr>
      </w:pPr>
      <w:bookmarkStart w:id="2" w:name="_Ref150690270"/>
      <w:r w:rsidRPr="00AB52EE">
        <w:rPr>
          <w:rFonts w:cs="Arial"/>
          <w:szCs w:val="24"/>
        </w:rPr>
        <w:t xml:space="preserve">Instead of delivering a replying affidavit in the contempt application, on about 20 October 2021 Supercart launched the </w:t>
      </w:r>
      <w:r w:rsidRPr="00AB52EE">
        <w:rPr>
          <w:rFonts w:cs="Arial"/>
          <w:i/>
          <w:iCs/>
          <w:szCs w:val="24"/>
        </w:rPr>
        <w:t>ex parte</w:t>
      </w:r>
      <w:r w:rsidRPr="00AB52EE">
        <w:rPr>
          <w:rFonts w:cs="Arial"/>
          <w:szCs w:val="24"/>
        </w:rPr>
        <w:t xml:space="preserve"> application that resulted in the grant of the </w:t>
      </w:r>
      <w:r w:rsidRPr="00AB52EE">
        <w:rPr>
          <w:rFonts w:cs="Arial"/>
          <w:szCs w:val="24"/>
          <w:lang w:eastAsia="en-ZA"/>
        </w:rPr>
        <w:t xml:space="preserve">Anton Piller </w:t>
      </w:r>
      <w:r w:rsidRPr="00AB52EE">
        <w:rPr>
          <w:rFonts w:cs="Arial"/>
          <w:szCs w:val="24"/>
        </w:rPr>
        <w:t>order that is the subject of the current reconsideration.</w:t>
      </w:r>
    </w:p>
    <w:p w14:paraId="44A6070B" w14:textId="277998B4" w:rsidR="00A47311" w:rsidRPr="00AB52EE" w:rsidRDefault="00040692" w:rsidP="007A27ED">
      <w:pPr>
        <w:pStyle w:val="LC1"/>
        <w:rPr>
          <w:rFonts w:cs="Arial"/>
          <w:szCs w:val="24"/>
        </w:rPr>
      </w:pPr>
      <w:r w:rsidRPr="00AB52EE">
        <w:rPr>
          <w:rFonts w:cs="Arial"/>
          <w:szCs w:val="24"/>
        </w:rPr>
        <w:t>Paragraphs 4.1 and 5.2 of t</w:t>
      </w:r>
      <w:r w:rsidR="00097DED" w:rsidRPr="00AB52EE">
        <w:rPr>
          <w:rFonts w:cs="Arial"/>
          <w:szCs w:val="24"/>
        </w:rPr>
        <w:t xml:space="preserve">he </w:t>
      </w:r>
      <w:r w:rsidR="00A40A87" w:rsidRPr="00AB52EE">
        <w:rPr>
          <w:rFonts w:cs="Arial"/>
          <w:szCs w:val="24"/>
        </w:rPr>
        <w:t xml:space="preserve">Anton Piller </w:t>
      </w:r>
      <w:r w:rsidR="00097DED" w:rsidRPr="00AB52EE">
        <w:rPr>
          <w:rFonts w:cs="Arial"/>
          <w:szCs w:val="24"/>
        </w:rPr>
        <w:t xml:space="preserve">order </w:t>
      </w:r>
      <w:r w:rsidR="00A66381" w:rsidRPr="00AB52EE">
        <w:rPr>
          <w:rFonts w:cs="Arial"/>
          <w:szCs w:val="24"/>
        </w:rPr>
        <w:t xml:space="preserve">as sought and granted </w:t>
      </w:r>
      <w:r w:rsidR="00097DED" w:rsidRPr="00AB52EE">
        <w:rPr>
          <w:rFonts w:cs="Arial"/>
          <w:szCs w:val="24"/>
        </w:rPr>
        <w:t xml:space="preserve">authorised </w:t>
      </w:r>
      <w:r w:rsidRPr="00AB52EE">
        <w:rPr>
          <w:rFonts w:cs="Arial"/>
          <w:szCs w:val="24"/>
        </w:rPr>
        <w:t xml:space="preserve">two </w:t>
      </w:r>
      <w:r w:rsidR="00097DED" w:rsidRPr="00AB52EE">
        <w:rPr>
          <w:rFonts w:cs="Arial"/>
          <w:szCs w:val="24"/>
        </w:rPr>
        <w:t>search part</w:t>
      </w:r>
      <w:r w:rsidRPr="00AB52EE">
        <w:rPr>
          <w:rFonts w:cs="Arial"/>
          <w:szCs w:val="24"/>
        </w:rPr>
        <w:t>ies</w:t>
      </w:r>
      <w:r w:rsidR="00097DED" w:rsidRPr="00AB52EE">
        <w:rPr>
          <w:rFonts w:cs="Arial"/>
          <w:szCs w:val="24"/>
        </w:rPr>
        <w:t xml:space="preserve"> comprising the </w:t>
      </w:r>
      <w:r w:rsidRPr="00AB52EE">
        <w:rPr>
          <w:rFonts w:cs="Arial"/>
          <w:szCs w:val="24"/>
        </w:rPr>
        <w:t xml:space="preserve">relevant </w:t>
      </w:r>
      <w:r w:rsidR="00097DED" w:rsidRPr="00AB52EE">
        <w:rPr>
          <w:rFonts w:cs="Arial"/>
          <w:szCs w:val="24"/>
        </w:rPr>
        <w:t>Sheriff</w:t>
      </w:r>
      <w:r w:rsidR="00A04F0D" w:rsidRPr="00AB52EE">
        <w:rPr>
          <w:rFonts w:cs="Arial"/>
          <w:szCs w:val="24"/>
        </w:rPr>
        <w:t>s</w:t>
      </w:r>
      <w:r w:rsidR="00C03D79" w:rsidRPr="00AB52EE">
        <w:rPr>
          <w:rFonts w:cs="Arial"/>
          <w:szCs w:val="24"/>
        </w:rPr>
        <w:t>,</w:t>
      </w:r>
      <w:r w:rsidR="00097DED" w:rsidRPr="00AB52EE">
        <w:rPr>
          <w:rFonts w:cs="Arial"/>
          <w:szCs w:val="24"/>
        </w:rPr>
        <w:t xml:space="preserve"> with the assistance of</w:t>
      </w:r>
      <w:r w:rsidR="00D54234" w:rsidRPr="00AB52EE">
        <w:rPr>
          <w:rFonts w:cs="Arial"/>
          <w:szCs w:val="24"/>
        </w:rPr>
        <w:t xml:space="preserve"> </w:t>
      </w:r>
      <w:r w:rsidR="00C03D79" w:rsidRPr="00AB52EE">
        <w:rPr>
          <w:rFonts w:cs="Arial"/>
          <w:szCs w:val="24"/>
        </w:rPr>
        <w:t xml:space="preserve">ostensibly </w:t>
      </w:r>
      <w:r w:rsidR="00D54234" w:rsidRPr="00AB52EE">
        <w:rPr>
          <w:rFonts w:cs="Arial"/>
          <w:szCs w:val="24"/>
        </w:rPr>
        <w:t>independent</w:t>
      </w:r>
      <w:r w:rsidR="00097DED" w:rsidRPr="00AB52EE">
        <w:rPr>
          <w:rFonts w:cs="Arial"/>
          <w:szCs w:val="24"/>
        </w:rPr>
        <w:t xml:space="preserve"> “assisting attorneys”</w:t>
      </w:r>
      <w:r w:rsidR="00A40A87" w:rsidRPr="00AB52EE">
        <w:rPr>
          <w:rStyle w:val="FootnoteReference"/>
          <w:szCs w:val="24"/>
        </w:rPr>
        <w:t xml:space="preserve"> </w:t>
      </w:r>
      <w:r w:rsidR="00097DED" w:rsidRPr="00AB52EE">
        <w:rPr>
          <w:rFonts w:cs="Arial"/>
          <w:szCs w:val="24"/>
        </w:rPr>
        <w:t>and digital forensic experts (IT experts)</w:t>
      </w:r>
      <w:r w:rsidR="00C03D79" w:rsidRPr="00AB52EE">
        <w:rPr>
          <w:rFonts w:cs="Arial"/>
          <w:szCs w:val="24"/>
        </w:rPr>
        <w:t>,</w:t>
      </w:r>
      <w:r w:rsidR="00097DED" w:rsidRPr="00AB52EE">
        <w:rPr>
          <w:rFonts w:cs="Arial"/>
          <w:szCs w:val="24"/>
        </w:rPr>
        <w:t xml:space="preserve"> and supervised by </w:t>
      </w:r>
      <w:r w:rsidR="00A47311" w:rsidRPr="00AB52EE">
        <w:rPr>
          <w:rFonts w:cs="Arial"/>
          <w:szCs w:val="24"/>
        </w:rPr>
        <w:t>i</w:t>
      </w:r>
      <w:r w:rsidR="00441882" w:rsidRPr="00AB52EE">
        <w:rPr>
          <w:rFonts w:cs="Arial"/>
          <w:szCs w:val="24"/>
        </w:rPr>
        <w:t xml:space="preserve">ndependent </w:t>
      </w:r>
      <w:r w:rsidR="00097DED" w:rsidRPr="00AB52EE">
        <w:rPr>
          <w:rFonts w:cs="Arial"/>
          <w:szCs w:val="24"/>
        </w:rPr>
        <w:t xml:space="preserve">supervising attorneys, to </w:t>
      </w:r>
      <w:r w:rsidR="006F7F7B" w:rsidRPr="00AB52EE">
        <w:rPr>
          <w:rFonts w:cs="Arial"/>
          <w:szCs w:val="24"/>
        </w:rPr>
        <w:t xml:space="preserve">access </w:t>
      </w:r>
      <w:r w:rsidR="00097DED" w:rsidRPr="00AB52EE">
        <w:rPr>
          <w:rFonts w:cs="Arial"/>
          <w:szCs w:val="24"/>
        </w:rPr>
        <w:t xml:space="preserve">Vanesco’s business premises and Mr Case’s </w:t>
      </w:r>
      <w:r w:rsidR="004C554E" w:rsidRPr="00AB52EE">
        <w:rPr>
          <w:rFonts w:cs="Arial"/>
          <w:szCs w:val="24"/>
        </w:rPr>
        <w:t>residence</w:t>
      </w:r>
      <w:r w:rsidR="00097DED" w:rsidRPr="00AB52EE">
        <w:rPr>
          <w:rFonts w:cs="Arial"/>
          <w:szCs w:val="24"/>
        </w:rPr>
        <w:t>,</w:t>
      </w:r>
      <w:r w:rsidR="006F7F7B" w:rsidRPr="00AB52EE">
        <w:rPr>
          <w:rFonts w:cs="Arial"/>
          <w:szCs w:val="24"/>
        </w:rPr>
        <w:t xml:space="preserve"> </w:t>
      </w:r>
      <w:r w:rsidRPr="00AB52EE">
        <w:rPr>
          <w:rFonts w:cs="Arial"/>
          <w:szCs w:val="24"/>
        </w:rPr>
        <w:t xml:space="preserve">and </w:t>
      </w:r>
      <w:r w:rsidR="006F7F7B" w:rsidRPr="00AB52EE">
        <w:rPr>
          <w:rFonts w:cs="Arial"/>
          <w:szCs w:val="24"/>
        </w:rPr>
        <w:t xml:space="preserve">to search </w:t>
      </w:r>
      <w:r w:rsidR="00D452B7" w:rsidRPr="00AB52EE">
        <w:rPr>
          <w:rFonts w:cs="Arial"/>
          <w:szCs w:val="24"/>
        </w:rPr>
        <w:t xml:space="preserve">“wherever at the premises they require in order to fulfil this Order including but not limited to all areas, places of storage, </w:t>
      </w:r>
      <w:r w:rsidR="00AE3F0E" w:rsidRPr="00AB52EE">
        <w:rPr>
          <w:rFonts w:cs="Arial"/>
          <w:szCs w:val="24"/>
        </w:rPr>
        <w:t xml:space="preserve">rooms, </w:t>
      </w:r>
      <w:r w:rsidR="00D452B7" w:rsidRPr="00AB52EE">
        <w:rPr>
          <w:rFonts w:cs="Arial"/>
          <w:szCs w:val="24"/>
        </w:rPr>
        <w:t>motor vehicles, digital storage media (howsoever constituted and based), cupboards, filing systems and files, boxes, records, archives, computers, and the laptop(s) and the mobile phone(s) used by Mr Case, Mr Stein and Mr Botes</w:t>
      </w:r>
      <w:r w:rsidRPr="00AB52EE">
        <w:rPr>
          <w:rFonts w:cs="Arial"/>
          <w:szCs w:val="24"/>
        </w:rPr>
        <w:t>”</w:t>
      </w:r>
      <w:r w:rsidR="00D452B7" w:rsidRPr="00AB52EE">
        <w:rPr>
          <w:rFonts w:cs="Arial"/>
          <w:szCs w:val="24"/>
        </w:rPr>
        <w:t xml:space="preserve"> </w:t>
      </w:r>
      <w:r w:rsidR="00097DED" w:rsidRPr="00AB52EE">
        <w:rPr>
          <w:rFonts w:cs="Arial"/>
          <w:szCs w:val="24"/>
        </w:rPr>
        <w:t xml:space="preserve">and to </w:t>
      </w:r>
      <w:r w:rsidR="00D452B7" w:rsidRPr="00AB52EE">
        <w:rPr>
          <w:rFonts w:cs="Arial"/>
          <w:szCs w:val="24"/>
        </w:rPr>
        <w:t xml:space="preserve">attach and remove </w:t>
      </w:r>
      <w:r w:rsidR="00097DED" w:rsidRPr="00AB52EE">
        <w:rPr>
          <w:rFonts w:cs="Arial"/>
          <w:szCs w:val="24"/>
        </w:rPr>
        <w:t>“relevant evidence”</w:t>
      </w:r>
      <w:r w:rsidR="00D452B7" w:rsidRPr="00AB52EE">
        <w:rPr>
          <w:rFonts w:cs="Arial"/>
          <w:szCs w:val="24"/>
        </w:rPr>
        <w:t xml:space="preserve"> for the purposes of copying</w:t>
      </w:r>
      <w:r w:rsidR="00097DED" w:rsidRPr="00AB52EE">
        <w:rPr>
          <w:rFonts w:cs="Arial"/>
          <w:szCs w:val="24"/>
        </w:rPr>
        <w:t xml:space="preserve">. </w:t>
      </w:r>
    </w:p>
    <w:p w14:paraId="73C6417E" w14:textId="46F2D03A" w:rsidR="00097DED" w:rsidRPr="00AB52EE" w:rsidRDefault="00097DED" w:rsidP="007A27ED">
      <w:pPr>
        <w:pStyle w:val="LC1"/>
        <w:rPr>
          <w:rFonts w:cs="Arial"/>
          <w:szCs w:val="24"/>
        </w:rPr>
      </w:pPr>
      <w:bookmarkStart w:id="3" w:name="_Ref151504426"/>
      <w:r w:rsidRPr="00AB52EE">
        <w:rPr>
          <w:rFonts w:cs="Arial"/>
          <w:szCs w:val="24"/>
        </w:rPr>
        <w:t>Th</w:t>
      </w:r>
      <w:r w:rsidR="00A47311" w:rsidRPr="00AB52EE">
        <w:rPr>
          <w:rFonts w:cs="Arial"/>
          <w:szCs w:val="24"/>
        </w:rPr>
        <w:t>e</w:t>
      </w:r>
      <w:r w:rsidRPr="00AB52EE">
        <w:rPr>
          <w:rFonts w:cs="Arial"/>
          <w:szCs w:val="24"/>
        </w:rPr>
        <w:t xml:space="preserve"> </w:t>
      </w:r>
      <w:r w:rsidR="00A47311" w:rsidRPr="00AB52EE">
        <w:rPr>
          <w:rFonts w:cs="Arial"/>
          <w:szCs w:val="24"/>
        </w:rPr>
        <w:t xml:space="preserve">“relevant evidence” </w:t>
      </w:r>
      <w:r w:rsidRPr="00AB52EE">
        <w:rPr>
          <w:rFonts w:cs="Arial"/>
          <w:szCs w:val="24"/>
        </w:rPr>
        <w:t xml:space="preserve">was </w:t>
      </w:r>
      <w:r w:rsidR="005236FE" w:rsidRPr="00AB52EE">
        <w:rPr>
          <w:rFonts w:cs="Arial"/>
          <w:szCs w:val="24"/>
        </w:rPr>
        <w:t xml:space="preserve">specified </w:t>
      </w:r>
      <w:r w:rsidRPr="00AB52EE">
        <w:rPr>
          <w:rFonts w:cs="Arial"/>
          <w:szCs w:val="24"/>
        </w:rPr>
        <w:t>as follows:</w:t>
      </w:r>
      <w:bookmarkEnd w:id="2"/>
      <w:bookmarkEnd w:id="3"/>
      <w:r w:rsidRPr="00AB52EE">
        <w:rPr>
          <w:rFonts w:cs="Arial"/>
          <w:szCs w:val="24"/>
        </w:rPr>
        <w:t xml:space="preserve"> </w:t>
      </w:r>
    </w:p>
    <w:p w14:paraId="17CB8738" w14:textId="77777777" w:rsidR="00097DED" w:rsidRPr="00AB52EE" w:rsidRDefault="00097DED" w:rsidP="007A27ED">
      <w:pPr>
        <w:pStyle w:val="LC2"/>
        <w:rPr>
          <w:rFonts w:cs="Arial"/>
          <w:szCs w:val="24"/>
        </w:rPr>
      </w:pPr>
      <w:bookmarkStart w:id="4" w:name="_Ref150691191"/>
      <w:r w:rsidRPr="00AB52EE">
        <w:rPr>
          <w:rFonts w:cs="Arial"/>
          <w:szCs w:val="24"/>
        </w:rPr>
        <w:t xml:space="preserve">Whether in hard copy or soft copy: quotations, purchase orders, invoices, credit notes, and delivery notes relating to, referencing or concerning the manufacture and/or disposal (excluding, self-evidently, directly to customers outside of South Africa) of the Smartcart Hybrid 90 litre trolley (howsoever it is identified; it is also known as 'Smartcart 90 litre'; 'Hybrid 90'; 'Vanesco hybrid 90 L'; '90 LT convenient shopper'; '90 Hybrid'; and 'Convenient Shopper 90') </w:t>
      </w:r>
      <w:r w:rsidRPr="00AB52EE">
        <w:rPr>
          <w:rFonts w:cs="Arial"/>
          <w:szCs w:val="24"/>
        </w:rPr>
        <w:lastRenderedPageBreak/>
        <w:t>subsequent to 23 May 2021;</w:t>
      </w:r>
      <w:bookmarkEnd w:id="4"/>
    </w:p>
    <w:p w14:paraId="760F4057" w14:textId="77777777" w:rsidR="00097DED" w:rsidRPr="00AB52EE" w:rsidRDefault="00097DED" w:rsidP="007A27ED">
      <w:pPr>
        <w:pStyle w:val="LC2"/>
        <w:rPr>
          <w:rFonts w:cs="Arial"/>
          <w:szCs w:val="24"/>
        </w:rPr>
      </w:pPr>
      <w:bookmarkStart w:id="5" w:name="_Ref150698885"/>
      <w:r w:rsidRPr="00AB52EE">
        <w:rPr>
          <w:rFonts w:cs="Arial"/>
          <w:szCs w:val="24"/>
        </w:rPr>
        <w:t>Whether in hard copy or soft copy: emails, reports, notes, letters, management accounts, WhatsApp messages, SMS messages, voice notes, minutes of meetings, memoranda, spreadsheets, charts and graphs relating to, referencing or concerning the manufacture and/or disposal (excluding, self-evidently, directly to customers outside of South Africa) of the Smartcart Hybrid 90 litre trolley as from 23 May 2021;</w:t>
      </w:r>
      <w:bookmarkEnd w:id="5"/>
    </w:p>
    <w:p w14:paraId="42243102" w14:textId="77777777" w:rsidR="00097DED" w:rsidRPr="00AB52EE" w:rsidRDefault="00097DED" w:rsidP="007A27ED">
      <w:pPr>
        <w:pStyle w:val="LC2"/>
        <w:rPr>
          <w:rFonts w:cs="Arial"/>
          <w:szCs w:val="24"/>
        </w:rPr>
      </w:pPr>
      <w:bookmarkStart w:id="6" w:name="_Ref150699049"/>
      <w:r w:rsidRPr="00AB52EE">
        <w:rPr>
          <w:rFonts w:cs="Arial"/>
          <w:szCs w:val="24"/>
        </w:rPr>
        <w:t xml:space="preserve">Any </w:t>
      </w:r>
      <w:bookmarkStart w:id="7" w:name="_Hlk150700926"/>
      <w:r w:rsidRPr="00AB52EE">
        <w:rPr>
          <w:rFonts w:cs="Arial"/>
          <w:szCs w:val="24"/>
        </w:rPr>
        <w:t>software package, program, module, platform and/or digital application</w:t>
      </w:r>
      <w:bookmarkEnd w:id="7"/>
      <w:r w:rsidRPr="00AB52EE">
        <w:rPr>
          <w:rFonts w:cs="Arial"/>
          <w:szCs w:val="24"/>
        </w:rPr>
        <w:t xml:space="preserve"> at or from which, or whereby, Mr Kenneth Mark Case, subsequent to 23 May 2021, accessed any email, report, note, letter, management account, WhatsApp message, SMS message, voice note, minutes of a meeting, memorandum, spreadsheet, chart or graph relating to, referencing or concerning the manufacture and/or disposal (excluding, self-evidently, directly to customers outside of South Africa) Smartcart Hybrid 90 litre trolley, and evidencing such access;</w:t>
      </w:r>
      <w:bookmarkEnd w:id="6"/>
    </w:p>
    <w:p w14:paraId="0178E6AF" w14:textId="77777777" w:rsidR="00097DED" w:rsidRPr="00AB52EE" w:rsidRDefault="00097DED" w:rsidP="007A27ED">
      <w:pPr>
        <w:pStyle w:val="LC2"/>
        <w:rPr>
          <w:rFonts w:cs="Arial"/>
          <w:szCs w:val="24"/>
        </w:rPr>
      </w:pPr>
      <w:bookmarkStart w:id="8" w:name="_Ref150703594"/>
      <w:r w:rsidRPr="00AB52EE">
        <w:rPr>
          <w:rFonts w:cs="Arial"/>
          <w:szCs w:val="24"/>
        </w:rPr>
        <w:t>Whether in hard copy or soft copy: entries, deposits, or other line items in statements for the Standard Bank account [redacted] covering the period 24 May 2021 to 20 September 2021 and referencing in any way the manufacture and/or disposal (excluding, self-evidently, directly to customers outside of South Africa) of the Smartcart Hybrid 90 litre trolley;</w:t>
      </w:r>
      <w:bookmarkEnd w:id="8"/>
    </w:p>
    <w:p w14:paraId="16366998" w14:textId="77777777" w:rsidR="00097DED" w:rsidRPr="00AB52EE" w:rsidRDefault="00097DED" w:rsidP="007A27ED">
      <w:pPr>
        <w:pStyle w:val="LC2"/>
        <w:rPr>
          <w:rFonts w:cs="Arial"/>
          <w:szCs w:val="24"/>
        </w:rPr>
      </w:pPr>
      <w:bookmarkStart w:id="9" w:name="_Ref150704386"/>
      <w:r w:rsidRPr="00AB52EE">
        <w:rPr>
          <w:rFonts w:cs="Arial"/>
          <w:szCs w:val="24"/>
        </w:rPr>
        <w:t xml:space="preserve">Emails to and/or from [certain specified email addresses and any </w:t>
      </w:r>
      <w:r w:rsidRPr="00AB52EE">
        <w:rPr>
          <w:rFonts w:cs="Arial"/>
          <w:szCs w:val="24"/>
        </w:rPr>
        <w:lastRenderedPageBreak/>
        <w:t>email addresses within the domains &lt;rootsgroup.co.za&gt; and &lt;trolleyquip.co.za&gt;] relating to, referencing or concerning the manufacture and/or disposal (excluding, self-evidently, directly to customers outside of South Africa) of the Smartcart Hybrid 90 litre trolley subsequent to 23 May 2021 …;</w:t>
      </w:r>
      <w:bookmarkEnd w:id="9"/>
    </w:p>
    <w:p w14:paraId="407DB187" w14:textId="77777777" w:rsidR="00097DED" w:rsidRPr="00AB52EE" w:rsidRDefault="00097DED" w:rsidP="007A27ED">
      <w:pPr>
        <w:pStyle w:val="LC2"/>
        <w:rPr>
          <w:rFonts w:cs="Arial"/>
          <w:szCs w:val="24"/>
        </w:rPr>
      </w:pPr>
      <w:bookmarkStart w:id="10" w:name="_Ref150705476"/>
      <w:r w:rsidRPr="00AB52EE">
        <w:rPr>
          <w:rFonts w:cs="Arial"/>
          <w:szCs w:val="24"/>
        </w:rPr>
        <w:t>WhatsApp and/or SMS messages (whether text, video, or voice) subsequent to 23 May 2021, sent to or from the mobile phones used by Mr Kenneth Mark Case (including number [redacted]), Clive Botes (including number [redacted]), and Mr Justin Stein (including number [redacted]) referencing, relating to or concerning the manufacture and/or disposal (excluding, self-evidently, directly to customers outside of South Africa) of the Smartcart Hybrid 90 litre trolley.</w:t>
      </w:r>
      <w:bookmarkEnd w:id="10"/>
    </w:p>
    <w:p w14:paraId="07E9EBF7" w14:textId="10208429" w:rsidR="009734A8" w:rsidRPr="00AB52EE" w:rsidRDefault="009734A8" w:rsidP="007A27ED">
      <w:pPr>
        <w:pStyle w:val="LC1"/>
        <w:rPr>
          <w:rFonts w:cs="Arial"/>
          <w:szCs w:val="24"/>
        </w:rPr>
      </w:pPr>
      <w:r w:rsidRPr="00AB52EE">
        <w:rPr>
          <w:rFonts w:cs="Arial"/>
          <w:szCs w:val="24"/>
        </w:rPr>
        <w:t xml:space="preserve">Paragraph 10 of the </w:t>
      </w:r>
      <w:r w:rsidR="00F5069B" w:rsidRPr="00AB52EE">
        <w:rPr>
          <w:rFonts w:cs="Arial"/>
          <w:szCs w:val="24"/>
          <w:lang w:eastAsia="en-ZA"/>
        </w:rPr>
        <w:t xml:space="preserve">Anton Piller </w:t>
      </w:r>
      <w:r w:rsidRPr="00AB52EE">
        <w:rPr>
          <w:rFonts w:cs="Arial"/>
          <w:szCs w:val="24"/>
        </w:rPr>
        <w:t xml:space="preserve">order required the </w:t>
      </w:r>
      <w:r w:rsidR="00A04F0D" w:rsidRPr="00AB52EE">
        <w:rPr>
          <w:rFonts w:cs="Arial"/>
          <w:szCs w:val="24"/>
        </w:rPr>
        <w:t>S</w:t>
      </w:r>
      <w:r w:rsidRPr="00AB52EE">
        <w:rPr>
          <w:rFonts w:cs="Arial"/>
          <w:szCs w:val="24"/>
        </w:rPr>
        <w:t>heriff</w:t>
      </w:r>
      <w:r w:rsidR="00A04F0D" w:rsidRPr="00AB52EE">
        <w:rPr>
          <w:rFonts w:cs="Arial"/>
          <w:szCs w:val="24"/>
        </w:rPr>
        <w:t>s</w:t>
      </w:r>
      <w:r w:rsidRPr="00AB52EE">
        <w:rPr>
          <w:rFonts w:cs="Arial"/>
          <w:szCs w:val="24"/>
        </w:rPr>
        <w:t xml:space="preserve"> (assisted by the assisting attorneys) </w:t>
      </w:r>
      <w:r w:rsidR="00A70791" w:rsidRPr="00AB52EE">
        <w:rPr>
          <w:rFonts w:cs="Arial"/>
          <w:szCs w:val="24"/>
        </w:rPr>
        <w:t xml:space="preserve">to </w:t>
      </w:r>
      <w:r w:rsidRPr="00AB52EE">
        <w:rPr>
          <w:rFonts w:cs="Arial"/>
          <w:szCs w:val="24"/>
        </w:rPr>
        <w:t xml:space="preserve">“do the following in respect of any and all items of relevant evidence coming to light” pursuant to the search: </w:t>
      </w:r>
    </w:p>
    <w:p w14:paraId="340E13BC" w14:textId="77777777" w:rsidR="009734A8" w:rsidRPr="00AB52EE" w:rsidRDefault="009734A8" w:rsidP="00217050">
      <w:pPr>
        <w:pStyle w:val="HeadsQuote"/>
        <w:rPr>
          <w:i/>
          <w:iCs/>
        </w:rPr>
      </w:pPr>
      <w:r w:rsidRPr="00AB52EE">
        <w:t>10.1</w:t>
      </w:r>
      <w:r w:rsidRPr="00AB52EE">
        <w:tab/>
        <w:t>to inventorise it comprehensively and in detail;</w:t>
      </w:r>
    </w:p>
    <w:p w14:paraId="1B17E532" w14:textId="77777777" w:rsidR="009734A8" w:rsidRPr="00AB52EE" w:rsidRDefault="009734A8" w:rsidP="00217050">
      <w:pPr>
        <w:pStyle w:val="HeadsQuote"/>
        <w:rPr>
          <w:i/>
          <w:iCs/>
        </w:rPr>
      </w:pPr>
      <w:r w:rsidRPr="00AB52EE">
        <w:t>10.2</w:t>
      </w:r>
      <w:r w:rsidRPr="00AB52EE">
        <w:tab/>
        <w:t>to attach and remove it for purposes of copying;</w:t>
      </w:r>
    </w:p>
    <w:p w14:paraId="7EC07717" w14:textId="77777777" w:rsidR="009734A8" w:rsidRPr="00AB52EE" w:rsidRDefault="009734A8" w:rsidP="00217050">
      <w:pPr>
        <w:pStyle w:val="HeadsQuote"/>
        <w:rPr>
          <w:i/>
          <w:iCs/>
        </w:rPr>
      </w:pPr>
      <w:r w:rsidRPr="00AB52EE">
        <w:t>10</w:t>
      </w:r>
      <w:r w:rsidRPr="00AB52EE">
        <w:rPr>
          <w:color w:val="6F6F6F"/>
        </w:rPr>
        <w:t>.</w:t>
      </w:r>
      <w:r w:rsidRPr="00AB52EE">
        <w:t>3</w:t>
      </w:r>
      <w:r w:rsidRPr="00AB52EE">
        <w:tab/>
        <w:t>to make copies of it;</w:t>
      </w:r>
    </w:p>
    <w:p w14:paraId="4927FFDD" w14:textId="174E2121" w:rsidR="009734A8" w:rsidRPr="00AB52EE" w:rsidRDefault="009734A8" w:rsidP="00217050">
      <w:pPr>
        <w:pStyle w:val="HeadsQuote"/>
        <w:ind w:left="2160" w:hanging="720"/>
        <w:rPr>
          <w:i/>
          <w:iCs/>
        </w:rPr>
      </w:pPr>
      <w:r w:rsidRPr="00AB52EE">
        <w:t>10.4</w:t>
      </w:r>
      <w:r w:rsidRPr="00AB52EE">
        <w:rPr>
          <w:color w:val="6F6F6F"/>
        </w:rPr>
        <w:t>.</w:t>
      </w:r>
      <w:r w:rsidRPr="00AB52EE">
        <w:rPr>
          <w:color w:val="6F6F6F"/>
        </w:rPr>
        <w:tab/>
      </w:r>
      <w:r w:rsidRPr="00AB52EE">
        <w:t>within 24 hours (or as otherwise arranged with a representative of</w:t>
      </w:r>
      <w:r w:rsidR="00217050" w:rsidRPr="00AB52EE">
        <w:t xml:space="preserve"> </w:t>
      </w:r>
      <w:r w:rsidRPr="00AB52EE">
        <w:t>Vanesco and Mr Case, respectively, as the case may be) to return the relevant evidence so removed;</w:t>
      </w:r>
    </w:p>
    <w:p w14:paraId="1E8FB008" w14:textId="77777777" w:rsidR="009734A8" w:rsidRPr="00AB52EE" w:rsidRDefault="009734A8" w:rsidP="00217050">
      <w:pPr>
        <w:pStyle w:val="HeadsQuote"/>
        <w:ind w:left="2160" w:hanging="720"/>
        <w:rPr>
          <w:i/>
          <w:iCs/>
        </w:rPr>
      </w:pPr>
      <w:r w:rsidRPr="00AB52EE">
        <w:t>10.5</w:t>
      </w:r>
      <w:r w:rsidRPr="00AB52EE">
        <w:tab/>
        <w:t xml:space="preserve">to keep the copies made of the relevant evidence, duly secured, </w:t>
      </w:r>
      <w:r w:rsidRPr="00AB52EE">
        <w:lastRenderedPageBreak/>
        <w:t>pending the operation of the further Orders referred to below or as the Court otherwise directs;</w:t>
      </w:r>
    </w:p>
    <w:p w14:paraId="0960E838" w14:textId="50E4E62E" w:rsidR="009734A8" w:rsidRPr="00AB52EE" w:rsidRDefault="009734A8" w:rsidP="00217050">
      <w:pPr>
        <w:pStyle w:val="HeadsQuote"/>
        <w:ind w:left="2160" w:hanging="720"/>
        <w:rPr>
          <w:i/>
          <w:iCs/>
        </w:rPr>
      </w:pPr>
      <w:r w:rsidRPr="00AB52EE">
        <w:t>10.6</w:t>
      </w:r>
      <w:r w:rsidRPr="00AB52EE">
        <w:tab/>
        <w:t xml:space="preserve">within 48 hours to lodge the completed inventory with the Registrar of this Court, and simultaneously to furnish a copy to </w:t>
      </w:r>
      <w:r w:rsidR="00752526" w:rsidRPr="00AB52EE">
        <w:t xml:space="preserve">[Supercart’s] </w:t>
      </w:r>
      <w:r w:rsidRPr="00AB52EE">
        <w:t>attorneys, the assisting attorneys, the independent supervising attorneys, and to an attorney who notifies the Registrar of his representation of Vanesco and/or Mr Kenneth Mark Case.</w:t>
      </w:r>
    </w:p>
    <w:p w14:paraId="5D3D3533" w14:textId="672FE1A2" w:rsidR="00040692" w:rsidRPr="00AB52EE" w:rsidRDefault="00A47311" w:rsidP="007A27ED">
      <w:pPr>
        <w:pStyle w:val="LC1"/>
        <w:rPr>
          <w:rFonts w:cs="Arial"/>
          <w:szCs w:val="24"/>
        </w:rPr>
      </w:pPr>
      <w:r w:rsidRPr="00AB52EE">
        <w:rPr>
          <w:rFonts w:cs="Arial"/>
          <w:szCs w:val="24"/>
        </w:rPr>
        <w:t>P</w:t>
      </w:r>
      <w:r w:rsidR="00040692" w:rsidRPr="00AB52EE">
        <w:rPr>
          <w:rFonts w:cs="Arial"/>
          <w:szCs w:val="24"/>
        </w:rPr>
        <w:t xml:space="preserve">aragraph 4.1.1 of the </w:t>
      </w:r>
      <w:r w:rsidR="00040692" w:rsidRPr="00AB52EE">
        <w:rPr>
          <w:rFonts w:cs="Arial"/>
          <w:szCs w:val="24"/>
          <w:lang w:eastAsia="en-ZA"/>
        </w:rPr>
        <w:t xml:space="preserve">Anton Piller </w:t>
      </w:r>
      <w:r w:rsidR="00040692" w:rsidRPr="00AB52EE">
        <w:rPr>
          <w:rFonts w:cs="Arial"/>
          <w:szCs w:val="24"/>
        </w:rPr>
        <w:t>order specif</w:t>
      </w:r>
      <w:r w:rsidR="005E307C" w:rsidRPr="00AB52EE">
        <w:rPr>
          <w:rFonts w:cs="Arial"/>
          <w:szCs w:val="24"/>
        </w:rPr>
        <w:t>ied</w:t>
      </w:r>
      <w:r w:rsidR="00040692" w:rsidRPr="00AB52EE">
        <w:rPr>
          <w:rFonts w:cs="Arial"/>
          <w:szCs w:val="24"/>
        </w:rPr>
        <w:t xml:space="preserve"> that the laptops and mobile phones </w:t>
      </w:r>
      <w:r w:rsidR="005E307C" w:rsidRPr="00AB52EE">
        <w:rPr>
          <w:rFonts w:cs="Arial"/>
          <w:szCs w:val="24"/>
        </w:rPr>
        <w:t xml:space="preserve">found at Vanesco’s </w:t>
      </w:r>
      <w:r w:rsidR="00C03D79" w:rsidRPr="00AB52EE">
        <w:rPr>
          <w:rFonts w:cs="Arial"/>
          <w:szCs w:val="24"/>
        </w:rPr>
        <w:t xml:space="preserve">business </w:t>
      </w:r>
      <w:r w:rsidR="005E307C" w:rsidRPr="00AB52EE">
        <w:rPr>
          <w:rFonts w:cs="Arial"/>
          <w:szCs w:val="24"/>
        </w:rPr>
        <w:t xml:space="preserve">premises and </w:t>
      </w:r>
      <w:r w:rsidR="00040692" w:rsidRPr="00AB52EE">
        <w:rPr>
          <w:rFonts w:cs="Arial"/>
          <w:szCs w:val="24"/>
        </w:rPr>
        <w:t xml:space="preserve">permitted to be searched for “relevant evidence” were limited to those used by </w:t>
      </w:r>
      <w:r w:rsidR="001C2F2F" w:rsidRPr="00AB52EE">
        <w:rPr>
          <w:rFonts w:cs="Arial"/>
          <w:szCs w:val="24"/>
        </w:rPr>
        <w:t>Messrs</w:t>
      </w:r>
      <w:r w:rsidR="00040692" w:rsidRPr="00AB52EE">
        <w:rPr>
          <w:rFonts w:cs="Arial"/>
          <w:szCs w:val="24"/>
        </w:rPr>
        <w:t xml:space="preserve"> Case, Stein and Botes</w:t>
      </w:r>
      <w:r w:rsidR="00A02BC7" w:rsidRPr="00AB52EE">
        <w:rPr>
          <w:rFonts w:cs="Arial"/>
          <w:szCs w:val="24"/>
        </w:rPr>
        <w:t>.</w:t>
      </w:r>
      <w:r w:rsidR="00040692" w:rsidRPr="00AB52EE">
        <w:rPr>
          <w:rFonts w:cs="Arial"/>
          <w:szCs w:val="24"/>
        </w:rPr>
        <w:t xml:space="preserve"> </w:t>
      </w:r>
      <w:r w:rsidR="00A02BC7" w:rsidRPr="00AB52EE">
        <w:rPr>
          <w:rFonts w:cs="Arial"/>
          <w:szCs w:val="24"/>
        </w:rPr>
        <w:t>P</w:t>
      </w:r>
      <w:r w:rsidR="00040692" w:rsidRPr="00AB52EE">
        <w:rPr>
          <w:rFonts w:cs="Arial"/>
          <w:szCs w:val="24"/>
        </w:rPr>
        <w:t>aragraph 5.2.1 specif</w:t>
      </w:r>
      <w:r w:rsidR="005E307C" w:rsidRPr="00AB52EE">
        <w:rPr>
          <w:rFonts w:cs="Arial"/>
          <w:szCs w:val="24"/>
        </w:rPr>
        <w:t>ied</w:t>
      </w:r>
      <w:r w:rsidR="00040692" w:rsidRPr="00AB52EE">
        <w:rPr>
          <w:rFonts w:cs="Arial"/>
          <w:szCs w:val="24"/>
        </w:rPr>
        <w:t xml:space="preserve"> </w:t>
      </w:r>
      <w:r w:rsidR="005E307C" w:rsidRPr="00AB52EE">
        <w:rPr>
          <w:rFonts w:cs="Arial"/>
          <w:szCs w:val="24"/>
        </w:rPr>
        <w:t xml:space="preserve">that </w:t>
      </w:r>
      <w:r w:rsidR="00040692" w:rsidRPr="00AB52EE">
        <w:rPr>
          <w:rFonts w:cs="Arial"/>
          <w:szCs w:val="24"/>
        </w:rPr>
        <w:t xml:space="preserve">those </w:t>
      </w:r>
      <w:r w:rsidR="005E307C" w:rsidRPr="00AB52EE">
        <w:rPr>
          <w:rFonts w:cs="Arial"/>
          <w:szCs w:val="24"/>
        </w:rPr>
        <w:t>found a</w:t>
      </w:r>
      <w:r w:rsidR="00A02BC7" w:rsidRPr="00AB52EE">
        <w:rPr>
          <w:rFonts w:cs="Arial"/>
          <w:szCs w:val="24"/>
        </w:rPr>
        <w:t>t</w:t>
      </w:r>
      <w:r w:rsidR="005E307C" w:rsidRPr="00AB52EE">
        <w:rPr>
          <w:rFonts w:cs="Arial"/>
          <w:szCs w:val="24"/>
        </w:rPr>
        <w:t xml:space="preserve"> Mr Case’s residence and </w:t>
      </w:r>
      <w:r w:rsidR="00040692" w:rsidRPr="00AB52EE">
        <w:rPr>
          <w:rFonts w:cs="Arial"/>
          <w:szCs w:val="24"/>
        </w:rPr>
        <w:t>permitted to be searched for relevant evidence were limited to those used by him</w:t>
      </w:r>
      <w:r w:rsidR="005E307C" w:rsidRPr="00AB52EE">
        <w:rPr>
          <w:rFonts w:cs="Arial"/>
          <w:szCs w:val="24"/>
        </w:rPr>
        <w:t xml:space="preserve">. These paragraphs </w:t>
      </w:r>
      <w:r w:rsidR="00040692" w:rsidRPr="00AB52EE">
        <w:rPr>
          <w:rFonts w:cs="Arial"/>
          <w:szCs w:val="24"/>
        </w:rPr>
        <w:t xml:space="preserve">were supplemented by paragraph 12, which </w:t>
      </w:r>
      <w:r w:rsidR="00040692" w:rsidRPr="00AB52EE">
        <w:rPr>
          <w:rFonts w:cs="Arial"/>
          <w:i/>
          <w:iCs/>
          <w:szCs w:val="24"/>
        </w:rPr>
        <w:t>inter alia</w:t>
      </w:r>
      <w:r w:rsidR="00040692" w:rsidRPr="00AB52EE">
        <w:rPr>
          <w:rFonts w:cs="Arial"/>
          <w:szCs w:val="24"/>
        </w:rPr>
        <w:t xml:space="preserve"> authorised the IT experts as follows:</w:t>
      </w:r>
    </w:p>
    <w:p w14:paraId="6F9E7976" w14:textId="3F5609EF" w:rsidR="00040692" w:rsidRPr="00AB52EE" w:rsidRDefault="00C71BA1" w:rsidP="00217050">
      <w:pPr>
        <w:pStyle w:val="HeadsQuote"/>
        <w:ind w:left="2160" w:hanging="720"/>
      </w:pPr>
      <w:r w:rsidRPr="00AB52EE">
        <w:t>“</w:t>
      </w:r>
      <w:r w:rsidR="00040692" w:rsidRPr="00AB52EE">
        <w:t>12.2.</w:t>
      </w:r>
      <w:r w:rsidR="00217050" w:rsidRPr="00AB52EE">
        <w:tab/>
      </w:r>
      <w:r w:rsidR="00040692" w:rsidRPr="00AB52EE">
        <w:t>to make and/or to capture images of more than the relevant evidence if that is the only feasible way of being able to make copies of the relevant evidence;</w:t>
      </w:r>
    </w:p>
    <w:p w14:paraId="7FFB161B" w14:textId="282BA1FF" w:rsidR="00040692" w:rsidRPr="00AB52EE" w:rsidRDefault="00040692" w:rsidP="00217050">
      <w:pPr>
        <w:pStyle w:val="HeadsQuote"/>
        <w:ind w:left="2160" w:hanging="720"/>
      </w:pPr>
      <w:r w:rsidRPr="00AB52EE">
        <w:t>12.3.</w:t>
      </w:r>
      <w:r w:rsidR="00217050" w:rsidRPr="00AB52EE">
        <w:tab/>
      </w:r>
      <w:r w:rsidRPr="00AB52EE">
        <w:t>to download, and/or save on a device, and/or make print-outs of any</w:t>
      </w:r>
      <w:r w:rsidR="00C71BA1" w:rsidRPr="00AB52EE">
        <w:t xml:space="preserve"> </w:t>
      </w:r>
      <w:r w:rsidRPr="00AB52EE">
        <w:t>relevant evidence if that is the only feasible way of being able to make</w:t>
      </w:r>
      <w:r w:rsidR="00C71BA1" w:rsidRPr="00AB52EE">
        <w:t xml:space="preserve"> </w:t>
      </w:r>
      <w:r w:rsidRPr="00AB52EE">
        <w:t>copies of the relevant evidence; and</w:t>
      </w:r>
    </w:p>
    <w:p w14:paraId="61AC09F0" w14:textId="6D759228" w:rsidR="00040692" w:rsidRPr="00AB52EE" w:rsidRDefault="00040692" w:rsidP="00217050">
      <w:pPr>
        <w:pStyle w:val="HeadsQuote"/>
        <w:ind w:left="2160" w:hanging="720"/>
      </w:pPr>
      <w:r w:rsidRPr="00AB52EE">
        <w:t xml:space="preserve">12.4. </w:t>
      </w:r>
      <w:r w:rsidR="00217050" w:rsidRPr="00AB52EE">
        <w:tab/>
      </w:r>
      <w:r w:rsidRPr="00AB52EE">
        <w:t>In the event that the forensic expert is unable to fulfil their function in</w:t>
      </w:r>
      <w:r w:rsidR="00C71BA1" w:rsidRPr="00AB52EE">
        <w:t xml:space="preserve"> </w:t>
      </w:r>
      <w:r w:rsidRPr="00AB52EE">
        <w:t xml:space="preserve">terms of this order by the close of business of the </w:t>
      </w:r>
      <w:r w:rsidR="00C71BA1" w:rsidRPr="00AB52EE">
        <w:t>d</w:t>
      </w:r>
      <w:r w:rsidRPr="00AB52EE">
        <w:t xml:space="preserve">ay on which </w:t>
      </w:r>
      <w:r w:rsidRPr="00AB52EE">
        <w:lastRenderedPageBreak/>
        <w:t>execution</w:t>
      </w:r>
      <w:r w:rsidR="00C71BA1" w:rsidRPr="00AB52EE">
        <w:t xml:space="preserve"> </w:t>
      </w:r>
      <w:r w:rsidRPr="00AB52EE">
        <w:t>commences, the Sheriff is authorised and directed to attach and seal the</w:t>
      </w:r>
      <w:r w:rsidR="00C71BA1" w:rsidRPr="00AB52EE">
        <w:t xml:space="preserve"> </w:t>
      </w:r>
      <w:r w:rsidRPr="00AB52EE">
        <w:t>device and/or media in question in order that the forensic investigation</w:t>
      </w:r>
      <w:r w:rsidR="00C71BA1" w:rsidRPr="00AB52EE">
        <w:t xml:space="preserve"> </w:t>
      </w:r>
      <w:r w:rsidRPr="00AB52EE">
        <w:t>as contemplated in this order continue the following business day in the</w:t>
      </w:r>
      <w:r w:rsidR="00C71BA1" w:rsidRPr="00AB52EE">
        <w:t xml:space="preserve"> </w:t>
      </w:r>
      <w:r w:rsidRPr="00AB52EE">
        <w:t>presence of the independent supervising attorney and the Sheriff.</w:t>
      </w:r>
      <w:r w:rsidR="00C71BA1" w:rsidRPr="00AB52EE">
        <w:t>”</w:t>
      </w:r>
    </w:p>
    <w:p w14:paraId="6512CCD2" w14:textId="32EFFE5C" w:rsidR="00C71BA1" w:rsidRPr="00AB52EE" w:rsidRDefault="00C71BA1" w:rsidP="007A27ED">
      <w:pPr>
        <w:pStyle w:val="LC1"/>
        <w:rPr>
          <w:rFonts w:cs="Arial"/>
          <w:szCs w:val="24"/>
        </w:rPr>
      </w:pPr>
      <w:r w:rsidRPr="00AB52EE">
        <w:rPr>
          <w:rFonts w:cs="Arial"/>
          <w:szCs w:val="24"/>
        </w:rPr>
        <w:t xml:space="preserve">Paragraph 13 provided </w:t>
      </w:r>
      <w:r w:rsidRPr="00AB52EE">
        <w:rPr>
          <w:rFonts w:cs="Arial"/>
          <w:i/>
          <w:iCs/>
          <w:szCs w:val="24"/>
        </w:rPr>
        <w:t>inter alia</w:t>
      </w:r>
      <w:r w:rsidRPr="00AB52EE">
        <w:rPr>
          <w:rFonts w:cs="Arial"/>
          <w:szCs w:val="24"/>
        </w:rPr>
        <w:t xml:space="preserve"> that if the occupants of </w:t>
      </w:r>
      <w:r w:rsidR="00981B92" w:rsidRPr="00AB52EE">
        <w:rPr>
          <w:rFonts w:cs="Arial"/>
          <w:szCs w:val="24"/>
        </w:rPr>
        <w:t xml:space="preserve">the </w:t>
      </w:r>
      <w:r w:rsidRPr="00AB52EE">
        <w:rPr>
          <w:rFonts w:cs="Arial"/>
          <w:szCs w:val="24"/>
        </w:rPr>
        <w:t xml:space="preserve">premises </w:t>
      </w:r>
      <w:r w:rsidR="00981B92" w:rsidRPr="00AB52EE">
        <w:rPr>
          <w:rFonts w:cs="Arial"/>
          <w:szCs w:val="24"/>
        </w:rPr>
        <w:t xml:space="preserve">to be searched </w:t>
      </w:r>
      <w:r w:rsidRPr="00AB52EE">
        <w:rPr>
          <w:rFonts w:cs="Arial"/>
          <w:szCs w:val="24"/>
        </w:rPr>
        <w:t>refused to grant access</w:t>
      </w:r>
      <w:r w:rsidR="005E307C" w:rsidRPr="00AB52EE">
        <w:rPr>
          <w:rFonts w:cs="Arial"/>
          <w:szCs w:val="24"/>
        </w:rPr>
        <w:t>,</w:t>
      </w:r>
      <w:r w:rsidRPr="00AB52EE">
        <w:rPr>
          <w:rFonts w:cs="Arial"/>
          <w:szCs w:val="24"/>
        </w:rPr>
        <w:t xml:space="preserve"> the search part</w:t>
      </w:r>
      <w:r w:rsidR="00981B92" w:rsidRPr="00AB52EE">
        <w:rPr>
          <w:rFonts w:cs="Arial"/>
          <w:szCs w:val="24"/>
        </w:rPr>
        <w:t>ies</w:t>
      </w:r>
      <w:r w:rsidRPr="00AB52EE">
        <w:rPr>
          <w:rFonts w:cs="Arial"/>
          <w:szCs w:val="24"/>
        </w:rPr>
        <w:t xml:space="preserve"> </w:t>
      </w:r>
      <w:r w:rsidR="00981B92" w:rsidRPr="00AB52EE">
        <w:rPr>
          <w:rFonts w:cs="Arial"/>
          <w:szCs w:val="24"/>
        </w:rPr>
        <w:t xml:space="preserve">were </w:t>
      </w:r>
      <w:r w:rsidRPr="00AB52EE">
        <w:rPr>
          <w:rFonts w:cs="Arial"/>
          <w:szCs w:val="24"/>
        </w:rPr>
        <w:t xml:space="preserve">“authorised and directed to gain access </w:t>
      </w:r>
      <w:r w:rsidR="005E307C" w:rsidRPr="00AB52EE">
        <w:rPr>
          <w:rFonts w:cs="Arial"/>
          <w:szCs w:val="24"/>
        </w:rPr>
        <w:t xml:space="preserve">and give effect to the execution of this Order </w:t>
      </w:r>
      <w:r w:rsidRPr="00AB52EE">
        <w:rPr>
          <w:rFonts w:cs="Arial"/>
          <w:szCs w:val="24"/>
        </w:rPr>
        <w:t>using the least invasive means at their disposal for such purpose, including if necessary summoning the South African Police Service [and] a locksmith”.</w:t>
      </w:r>
    </w:p>
    <w:p w14:paraId="06C429CE" w14:textId="1053F00A" w:rsidR="00DD447C" w:rsidRPr="00AB52EE" w:rsidRDefault="00DD447C" w:rsidP="007A27ED">
      <w:pPr>
        <w:pStyle w:val="LC1"/>
        <w:rPr>
          <w:rFonts w:cs="Arial"/>
          <w:szCs w:val="24"/>
        </w:rPr>
      </w:pPr>
      <w:r w:rsidRPr="00AB52EE">
        <w:rPr>
          <w:rFonts w:cs="Arial"/>
          <w:szCs w:val="24"/>
        </w:rPr>
        <w:t xml:space="preserve">Paragraph 14 stipulated that neither any representative of Supercart nor its attorneys should take part in the search. </w:t>
      </w:r>
      <w:r w:rsidR="00A02BC7" w:rsidRPr="00AB52EE">
        <w:rPr>
          <w:rFonts w:cs="Arial"/>
          <w:szCs w:val="24"/>
        </w:rPr>
        <w:t xml:space="preserve">However, it also </w:t>
      </w:r>
      <w:r w:rsidR="007A27ED" w:rsidRPr="00AB52EE">
        <w:rPr>
          <w:rFonts w:cs="Arial"/>
          <w:szCs w:val="24"/>
        </w:rPr>
        <w:t>require</w:t>
      </w:r>
      <w:r w:rsidR="00A02BC7" w:rsidRPr="00AB52EE">
        <w:rPr>
          <w:rFonts w:cs="Arial"/>
          <w:szCs w:val="24"/>
        </w:rPr>
        <w:t>d</w:t>
      </w:r>
      <w:r w:rsidRPr="00AB52EE">
        <w:rPr>
          <w:rFonts w:cs="Arial"/>
          <w:szCs w:val="24"/>
        </w:rPr>
        <w:t xml:space="preserve"> that “[e]ither must be available, outside the respective premises, in order to identify documents, records and so forth as being relevant evidence if and when called upon by any of the search party”.</w:t>
      </w:r>
    </w:p>
    <w:p w14:paraId="5E5B07B8" w14:textId="3BAAC340" w:rsidR="00097DED" w:rsidRPr="00AB52EE" w:rsidRDefault="00097DED" w:rsidP="007A27ED">
      <w:pPr>
        <w:pStyle w:val="LC1"/>
        <w:rPr>
          <w:rFonts w:cs="Arial"/>
          <w:szCs w:val="24"/>
        </w:rPr>
      </w:pPr>
      <w:r w:rsidRPr="00AB52EE">
        <w:rPr>
          <w:rFonts w:cs="Arial"/>
          <w:szCs w:val="24"/>
        </w:rPr>
        <w:t>Of central importance to my determination is the following paragraph</w:t>
      </w:r>
      <w:r w:rsidR="00A66381" w:rsidRPr="00AB52EE">
        <w:rPr>
          <w:rFonts w:cs="Arial"/>
          <w:szCs w:val="24"/>
        </w:rPr>
        <w:t>,</w:t>
      </w:r>
      <w:r w:rsidRPr="00AB52EE">
        <w:rPr>
          <w:rFonts w:cs="Arial"/>
          <w:szCs w:val="24"/>
        </w:rPr>
        <w:t xml:space="preserve"> which I shall refer to as </w:t>
      </w:r>
      <w:r w:rsidR="007A27ED" w:rsidRPr="00AB52EE">
        <w:rPr>
          <w:rFonts w:cs="Arial"/>
          <w:szCs w:val="24"/>
        </w:rPr>
        <w:t>“</w:t>
      </w:r>
      <w:r w:rsidRPr="00AB52EE">
        <w:rPr>
          <w:rFonts w:cs="Arial"/>
          <w:szCs w:val="24"/>
        </w:rPr>
        <w:t>paragraph 15</w:t>
      </w:r>
      <w:r w:rsidRPr="00AB52EE">
        <w:rPr>
          <w:rFonts w:cs="Arial"/>
          <w:i/>
          <w:iCs/>
          <w:szCs w:val="24"/>
        </w:rPr>
        <w:t>bis</w:t>
      </w:r>
      <w:r w:rsidR="007A27ED" w:rsidRPr="00AB52EE">
        <w:rPr>
          <w:rFonts w:cs="Arial"/>
          <w:szCs w:val="24"/>
        </w:rPr>
        <w:t>”</w:t>
      </w:r>
      <w:r w:rsidRPr="00AB52EE">
        <w:rPr>
          <w:rFonts w:cs="Arial"/>
          <w:szCs w:val="24"/>
        </w:rPr>
        <w:t>:</w:t>
      </w:r>
      <w:r w:rsidRPr="00AB52EE">
        <w:rPr>
          <w:rStyle w:val="FootnoteReference"/>
          <w:szCs w:val="24"/>
        </w:rPr>
        <w:footnoteReference w:id="8"/>
      </w:r>
    </w:p>
    <w:p w14:paraId="6544089D" w14:textId="5C5FCFA9" w:rsidR="00097DED" w:rsidRPr="00AB52EE" w:rsidRDefault="007A27ED" w:rsidP="007A27ED">
      <w:pPr>
        <w:pStyle w:val="HeadsQuote"/>
      </w:pPr>
      <w:r w:rsidRPr="00AB52EE">
        <w:rPr>
          <w:i/>
          <w:iCs/>
        </w:rPr>
        <w:t>“</w:t>
      </w:r>
      <w:r w:rsidR="00097DED" w:rsidRPr="00AB52EE">
        <w:t xml:space="preserve">Unless a different direction is obtained from the Court, </w:t>
      </w:r>
      <w:r w:rsidR="00752526" w:rsidRPr="00AB52EE">
        <w:t xml:space="preserve">[Supercart] </w:t>
      </w:r>
      <w:r w:rsidR="00097DED" w:rsidRPr="00AB52EE">
        <w:t xml:space="preserve">and </w:t>
      </w:r>
      <w:r w:rsidR="00752526" w:rsidRPr="00AB52EE">
        <w:t xml:space="preserve">[its] </w:t>
      </w:r>
      <w:r w:rsidR="00097DED" w:rsidRPr="00AB52EE">
        <w:t xml:space="preserve">attorney will, upon service of the Sheriffs inventory </w:t>
      </w:r>
      <w:r w:rsidR="005E307C" w:rsidRPr="00AB52EE">
        <w:t>referred to in 10.6 above</w:t>
      </w:r>
      <w:r w:rsidR="00097DED" w:rsidRPr="00AB52EE">
        <w:t xml:space="preserve">, become entitled to inspect any of the </w:t>
      </w:r>
      <w:r w:rsidR="005E307C" w:rsidRPr="00AB52EE">
        <w:t xml:space="preserve">relevant evidence copies of </w:t>
      </w:r>
      <w:r w:rsidR="00097DED" w:rsidRPr="00AB52EE">
        <w:t xml:space="preserve">which are in the possession of the Sheriff, and to make copies in order </w:t>
      </w:r>
      <w:r w:rsidR="00097DED" w:rsidRPr="00AB52EE">
        <w:lastRenderedPageBreak/>
        <w:t>to have them placed before the Court in [the contempt application].</w:t>
      </w:r>
      <w:r w:rsidRPr="00AB52EE">
        <w:rPr>
          <w:i/>
          <w:iCs/>
        </w:rPr>
        <w:t>”</w:t>
      </w:r>
    </w:p>
    <w:p w14:paraId="4DBAC733" w14:textId="183A3A59" w:rsidR="009734A8" w:rsidRPr="00AB52EE" w:rsidRDefault="009734A8" w:rsidP="007A27ED">
      <w:pPr>
        <w:pStyle w:val="LC1"/>
        <w:rPr>
          <w:rFonts w:cs="Arial"/>
          <w:szCs w:val="24"/>
        </w:rPr>
      </w:pPr>
      <w:r w:rsidRPr="00AB52EE">
        <w:rPr>
          <w:rFonts w:cs="Arial"/>
          <w:szCs w:val="24"/>
        </w:rPr>
        <w:t>Paragraph 16</w:t>
      </w:r>
      <w:r w:rsidRPr="00AB52EE">
        <w:rPr>
          <w:rFonts w:cs="Arial"/>
          <w:i/>
          <w:iCs/>
          <w:szCs w:val="24"/>
        </w:rPr>
        <w:t>bis</w:t>
      </w:r>
      <w:r w:rsidRPr="00AB52EE">
        <w:rPr>
          <w:rFonts w:cs="Arial"/>
          <w:szCs w:val="24"/>
        </w:rPr>
        <w:t>.3</w:t>
      </w:r>
      <w:r w:rsidRPr="00AB52EE">
        <w:rPr>
          <w:rStyle w:val="FootnoteReference"/>
          <w:szCs w:val="24"/>
        </w:rPr>
        <w:footnoteReference w:id="9"/>
      </w:r>
      <w:r w:rsidRPr="00AB52EE">
        <w:rPr>
          <w:rFonts w:cs="Arial"/>
          <w:szCs w:val="24"/>
        </w:rPr>
        <w:t xml:space="preserve"> of the </w:t>
      </w:r>
      <w:r w:rsidR="00F5069B" w:rsidRPr="00AB52EE">
        <w:rPr>
          <w:rFonts w:cs="Arial"/>
          <w:szCs w:val="24"/>
          <w:lang w:eastAsia="en-ZA"/>
        </w:rPr>
        <w:t xml:space="preserve">Anton Piller </w:t>
      </w:r>
      <w:r w:rsidRPr="00AB52EE">
        <w:rPr>
          <w:rFonts w:cs="Arial"/>
          <w:szCs w:val="24"/>
        </w:rPr>
        <w:t>order directed the independent supervising attorneys to file affidavit</w:t>
      </w:r>
      <w:r w:rsidR="00441882" w:rsidRPr="00AB52EE">
        <w:rPr>
          <w:rFonts w:cs="Arial"/>
          <w:szCs w:val="24"/>
        </w:rPr>
        <w:t>s</w:t>
      </w:r>
      <w:r w:rsidRPr="00AB52EE">
        <w:rPr>
          <w:rFonts w:cs="Arial"/>
          <w:szCs w:val="24"/>
        </w:rPr>
        <w:t xml:space="preserve"> with the </w:t>
      </w:r>
      <w:r w:rsidR="00A02BC7" w:rsidRPr="00AB52EE">
        <w:rPr>
          <w:rFonts w:cs="Arial"/>
          <w:szCs w:val="24"/>
        </w:rPr>
        <w:t xml:space="preserve">Court </w:t>
      </w:r>
      <w:r w:rsidRPr="00AB52EE">
        <w:rPr>
          <w:rFonts w:cs="Arial"/>
          <w:szCs w:val="24"/>
        </w:rPr>
        <w:t xml:space="preserve">and </w:t>
      </w:r>
      <w:r w:rsidR="00A02BC7" w:rsidRPr="00AB52EE">
        <w:rPr>
          <w:rFonts w:cs="Arial"/>
          <w:szCs w:val="24"/>
        </w:rPr>
        <w:t xml:space="preserve">to </w:t>
      </w:r>
      <w:r w:rsidRPr="00AB52EE">
        <w:rPr>
          <w:rFonts w:cs="Arial"/>
          <w:szCs w:val="24"/>
        </w:rPr>
        <w:t xml:space="preserve">serve </w:t>
      </w:r>
      <w:r w:rsidR="00441882" w:rsidRPr="00AB52EE">
        <w:rPr>
          <w:rFonts w:cs="Arial"/>
          <w:szCs w:val="24"/>
        </w:rPr>
        <w:t xml:space="preserve">copies </w:t>
      </w:r>
      <w:r w:rsidRPr="00AB52EE">
        <w:rPr>
          <w:rFonts w:cs="Arial"/>
          <w:szCs w:val="24"/>
        </w:rPr>
        <w:t>on the Sheriff within 5 days of conclusion of the execution of the order setting out fully the manner in which the order was executed, annexing inventor</w:t>
      </w:r>
      <w:r w:rsidR="00441882" w:rsidRPr="00AB52EE">
        <w:rPr>
          <w:rFonts w:cs="Arial"/>
          <w:szCs w:val="24"/>
        </w:rPr>
        <w:t>ies</w:t>
      </w:r>
      <w:r w:rsidRPr="00AB52EE">
        <w:rPr>
          <w:rFonts w:cs="Arial"/>
          <w:szCs w:val="24"/>
        </w:rPr>
        <w:t xml:space="preserve"> that they were  required to </w:t>
      </w:r>
      <w:r w:rsidR="005B4A98">
        <w:rPr>
          <w:rFonts w:cs="Arial"/>
          <w:szCs w:val="24"/>
        </w:rPr>
        <w:t xml:space="preserve">prepare </w:t>
      </w:r>
      <w:r w:rsidR="00A04F0D" w:rsidRPr="00AB52EE">
        <w:rPr>
          <w:rFonts w:cs="Arial"/>
          <w:szCs w:val="24"/>
        </w:rPr>
        <w:t>independently of the Sheriff</w:t>
      </w:r>
      <w:r w:rsidR="00441882" w:rsidRPr="00AB52EE">
        <w:rPr>
          <w:rFonts w:cs="Arial"/>
          <w:szCs w:val="24"/>
        </w:rPr>
        <w:t>s</w:t>
      </w:r>
      <w:r w:rsidR="00A04F0D" w:rsidRPr="00AB52EE">
        <w:rPr>
          <w:rFonts w:cs="Arial"/>
          <w:szCs w:val="24"/>
        </w:rPr>
        <w:t xml:space="preserve"> </w:t>
      </w:r>
      <w:r w:rsidRPr="00AB52EE">
        <w:rPr>
          <w:rFonts w:cs="Arial"/>
          <w:szCs w:val="24"/>
        </w:rPr>
        <w:t>“of all relevant evidence which comes to light during the execution” of the order, and “stating whether, in the independent supervising attorney's opinion, there occurred any abuse or breach of any provisions of [the] order</w:t>
      </w:r>
      <w:r w:rsidR="00A02BC7" w:rsidRPr="00AB52EE">
        <w:rPr>
          <w:rFonts w:cs="Arial"/>
          <w:szCs w:val="24"/>
        </w:rPr>
        <w:t>”</w:t>
      </w:r>
      <w:r w:rsidRPr="00AB52EE">
        <w:rPr>
          <w:rFonts w:cs="Arial"/>
          <w:szCs w:val="24"/>
        </w:rPr>
        <w:t>.</w:t>
      </w:r>
    </w:p>
    <w:p w14:paraId="294B135D" w14:textId="4E07E123" w:rsidR="00212703" w:rsidRPr="00AB52EE" w:rsidRDefault="000D78E1" w:rsidP="00D85020">
      <w:pPr>
        <w:pStyle w:val="LC1"/>
        <w:keepNext/>
        <w:numPr>
          <w:ilvl w:val="0"/>
          <w:numId w:val="0"/>
        </w:numPr>
        <w:rPr>
          <w:rFonts w:cs="Arial"/>
          <w:szCs w:val="24"/>
          <w:u w:val="single"/>
        </w:rPr>
      </w:pPr>
      <w:r w:rsidRPr="00AB52EE">
        <w:rPr>
          <w:rFonts w:cs="Arial"/>
          <w:szCs w:val="24"/>
          <w:u w:val="single"/>
        </w:rPr>
        <w:t>The partial e</w:t>
      </w:r>
      <w:r w:rsidR="00212703" w:rsidRPr="00AB52EE">
        <w:rPr>
          <w:rFonts w:cs="Arial"/>
          <w:szCs w:val="24"/>
          <w:u w:val="single"/>
        </w:rPr>
        <w:t>xecution of the Anton Piller order</w:t>
      </w:r>
      <w:r w:rsidRPr="00AB52EE">
        <w:rPr>
          <w:rFonts w:cs="Arial"/>
          <w:szCs w:val="24"/>
          <w:u w:val="single"/>
        </w:rPr>
        <w:t xml:space="preserve"> and the order in the variation application</w:t>
      </w:r>
    </w:p>
    <w:p w14:paraId="354AA8D7" w14:textId="277915F0" w:rsidR="000D78E1" w:rsidRPr="00AB52EE" w:rsidRDefault="000D78E1" w:rsidP="007A27ED">
      <w:pPr>
        <w:pStyle w:val="LC1"/>
        <w:rPr>
          <w:rFonts w:cs="Arial"/>
          <w:szCs w:val="24"/>
        </w:rPr>
      </w:pPr>
      <w:r w:rsidRPr="00AB52EE">
        <w:rPr>
          <w:rFonts w:cs="Arial"/>
          <w:szCs w:val="24"/>
        </w:rPr>
        <w:t>T</w:t>
      </w:r>
      <w:r w:rsidR="00967495" w:rsidRPr="00AB52EE">
        <w:rPr>
          <w:rFonts w:cs="Arial"/>
          <w:szCs w:val="24"/>
        </w:rPr>
        <w:t xml:space="preserve">he </w:t>
      </w:r>
      <w:r w:rsidRPr="00AB52EE">
        <w:rPr>
          <w:rFonts w:cs="Arial"/>
          <w:szCs w:val="24"/>
        </w:rPr>
        <w:t xml:space="preserve">seizures, </w:t>
      </w:r>
      <w:r w:rsidR="00967495" w:rsidRPr="00AB52EE">
        <w:rPr>
          <w:rFonts w:cs="Arial"/>
          <w:szCs w:val="24"/>
        </w:rPr>
        <w:t>searches</w:t>
      </w:r>
      <w:r w:rsidR="005E307C" w:rsidRPr="00AB52EE">
        <w:rPr>
          <w:rFonts w:cs="Arial"/>
          <w:szCs w:val="24"/>
        </w:rPr>
        <w:t xml:space="preserve"> and attachments </w:t>
      </w:r>
      <w:r w:rsidR="00967495" w:rsidRPr="00AB52EE">
        <w:rPr>
          <w:rFonts w:cs="Arial"/>
          <w:szCs w:val="24"/>
        </w:rPr>
        <w:t xml:space="preserve">authorised by the </w:t>
      </w:r>
      <w:r w:rsidR="00F5069B" w:rsidRPr="00AB52EE">
        <w:rPr>
          <w:rFonts w:cs="Arial"/>
          <w:szCs w:val="24"/>
          <w:lang w:eastAsia="en-ZA"/>
        </w:rPr>
        <w:t xml:space="preserve">Anton Piller </w:t>
      </w:r>
      <w:r w:rsidR="00967495" w:rsidRPr="00AB52EE">
        <w:rPr>
          <w:rFonts w:cs="Arial"/>
          <w:szCs w:val="24"/>
        </w:rPr>
        <w:t xml:space="preserve">order were conducted </w:t>
      </w:r>
      <w:r w:rsidRPr="00AB52EE">
        <w:rPr>
          <w:rFonts w:cs="Arial"/>
          <w:szCs w:val="24"/>
        </w:rPr>
        <w:t xml:space="preserve">between </w:t>
      </w:r>
      <w:r w:rsidR="00967495" w:rsidRPr="00AB52EE">
        <w:rPr>
          <w:rFonts w:cs="Arial"/>
          <w:szCs w:val="24"/>
        </w:rPr>
        <w:t>22</w:t>
      </w:r>
      <w:r w:rsidR="005279F3" w:rsidRPr="00AB52EE">
        <w:rPr>
          <w:rFonts w:cs="Arial"/>
          <w:szCs w:val="24"/>
        </w:rPr>
        <w:t xml:space="preserve"> </w:t>
      </w:r>
      <w:r w:rsidR="00967495" w:rsidRPr="00AB52EE">
        <w:rPr>
          <w:rFonts w:cs="Arial"/>
          <w:szCs w:val="24"/>
        </w:rPr>
        <w:t xml:space="preserve">October </w:t>
      </w:r>
      <w:r w:rsidRPr="00AB52EE">
        <w:rPr>
          <w:rFonts w:cs="Arial"/>
          <w:szCs w:val="24"/>
        </w:rPr>
        <w:t xml:space="preserve">and 2 November </w:t>
      </w:r>
      <w:r w:rsidR="00967495" w:rsidRPr="00AB52EE">
        <w:rPr>
          <w:rFonts w:cs="Arial"/>
          <w:szCs w:val="24"/>
        </w:rPr>
        <w:t xml:space="preserve">2021. </w:t>
      </w:r>
    </w:p>
    <w:p w14:paraId="3DF633A5" w14:textId="5D788073" w:rsidR="00A66381" w:rsidRPr="00AB52EE" w:rsidRDefault="00A66381" w:rsidP="007A27ED">
      <w:pPr>
        <w:pStyle w:val="LC1"/>
        <w:rPr>
          <w:rFonts w:cs="Arial"/>
          <w:szCs w:val="24"/>
        </w:rPr>
      </w:pPr>
      <w:r w:rsidRPr="00AB52EE">
        <w:rPr>
          <w:rFonts w:cs="Arial"/>
          <w:szCs w:val="24"/>
        </w:rPr>
        <w:t xml:space="preserve">Although the </w:t>
      </w:r>
      <w:r w:rsidR="00F5069B" w:rsidRPr="00AB52EE">
        <w:rPr>
          <w:rFonts w:cs="Arial"/>
          <w:szCs w:val="24"/>
          <w:lang w:eastAsia="en-ZA"/>
        </w:rPr>
        <w:t xml:space="preserve">Anton Piller </w:t>
      </w:r>
      <w:r w:rsidRPr="00AB52EE">
        <w:rPr>
          <w:rFonts w:cs="Arial"/>
          <w:szCs w:val="24"/>
        </w:rPr>
        <w:t>order did not provide for a return date,</w:t>
      </w:r>
      <w:r w:rsidR="006B38C6" w:rsidRPr="00AB52EE">
        <w:rPr>
          <w:rStyle w:val="FootnoteReference"/>
          <w:szCs w:val="24"/>
        </w:rPr>
        <w:footnoteReference w:id="10"/>
      </w:r>
      <w:r w:rsidRPr="00AB52EE">
        <w:rPr>
          <w:rFonts w:cs="Arial"/>
          <w:szCs w:val="24"/>
        </w:rPr>
        <w:t xml:space="preserve"> </w:t>
      </w:r>
      <w:r w:rsidR="00636C6A" w:rsidRPr="00AB52EE">
        <w:rPr>
          <w:rFonts w:cs="Arial"/>
          <w:szCs w:val="24"/>
        </w:rPr>
        <w:t xml:space="preserve">the respondents </w:t>
      </w:r>
      <w:r w:rsidR="00DE7F1D" w:rsidRPr="00AB52EE">
        <w:rPr>
          <w:rFonts w:cs="Arial"/>
          <w:szCs w:val="24"/>
        </w:rPr>
        <w:t xml:space="preserve">were </w:t>
      </w:r>
      <w:r w:rsidRPr="00AB52EE">
        <w:rPr>
          <w:rFonts w:cs="Arial"/>
          <w:szCs w:val="24"/>
        </w:rPr>
        <w:t>of course entitled to apply for its reconsideration in terms of Rules 6(8) and 6(12)(c) in the course of which Supercart’s entitlement to the order and the search</w:t>
      </w:r>
      <w:r w:rsidR="000D78E1" w:rsidRPr="00AB52EE">
        <w:rPr>
          <w:rFonts w:cs="Arial"/>
          <w:szCs w:val="24"/>
        </w:rPr>
        <w:t>,</w:t>
      </w:r>
      <w:r w:rsidRPr="00AB52EE">
        <w:rPr>
          <w:rFonts w:cs="Arial"/>
          <w:szCs w:val="24"/>
        </w:rPr>
        <w:t xml:space="preserve"> seizure</w:t>
      </w:r>
      <w:r w:rsidR="000D78E1" w:rsidRPr="00AB52EE">
        <w:rPr>
          <w:rFonts w:cs="Arial"/>
          <w:szCs w:val="24"/>
        </w:rPr>
        <w:t>, attachment and inspection</w:t>
      </w:r>
      <w:r w:rsidRPr="00AB52EE">
        <w:rPr>
          <w:rFonts w:cs="Arial"/>
          <w:szCs w:val="24"/>
        </w:rPr>
        <w:t xml:space="preserve"> that it had authorised would be determined. A similar course is also </w:t>
      </w:r>
      <w:r w:rsidR="004649FA" w:rsidRPr="00AB52EE">
        <w:rPr>
          <w:rFonts w:cs="Arial"/>
          <w:szCs w:val="24"/>
        </w:rPr>
        <w:t xml:space="preserve">foreshadowed </w:t>
      </w:r>
      <w:r w:rsidRPr="00AB52EE">
        <w:rPr>
          <w:rFonts w:cs="Arial"/>
          <w:szCs w:val="24"/>
        </w:rPr>
        <w:t>in paragraph 16.5 of the order, which directed that before executing it, the Sheriff</w:t>
      </w:r>
      <w:r w:rsidR="00A04F0D" w:rsidRPr="00AB52EE">
        <w:rPr>
          <w:rFonts w:cs="Arial"/>
          <w:szCs w:val="24"/>
        </w:rPr>
        <w:t>s</w:t>
      </w:r>
      <w:r w:rsidRPr="00AB52EE">
        <w:rPr>
          <w:rFonts w:cs="Arial"/>
          <w:szCs w:val="24"/>
        </w:rPr>
        <w:t xml:space="preserve"> </w:t>
      </w:r>
      <w:r w:rsidR="00A04F0D" w:rsidRPr="00AB52EE">
        <w:rPr>
          <w:rFonts w:cs="Arial"/>
          <w:szCs w:val="24"/>
        </w:rPr>
        <w:t xml:space="preserve">were </w:t>
      </w:r>
      <w:r w:rsidRPr="00AB52EE">
        <w:rPr>
          <w:rFonts w:cs="Arial"/>
          <w:szCs w:val="24"/>
        </w:rPr>
        <w:t xml:space="preserve">required to inform </w:t>
      </w:r>
      <w:r w:rsidR="00DE7F1D" w:rsidRPr="00AB52EE">
        <w:rPr>
          <w:rFonts w:cs="Arial"/>
          <w:szCs w:val="24"/>
        </w:rPr>
        <w:t>the occupants of the two premises</w:t>
      </w:r>
      <w:r w:rsidRPr="00AB52EE">
        <w:rPr>
          <w:rFonts w:cs="Arial"/>
          <w:szCs w:val="24"/>
        </w:rPr>
        <w:t xml:space="preserve"> </w:t>
      </w:r>
      <w:r w:rsidR="00DE7F1D" w:rsidRPr="00AB52EE">
        <w:rPr>
          <w:rFonts w:cs="Arial"/>
          <w:szCs w:val="24"/>
        </w:rPr>
        <w:t xml:space="preserve">and </w:t>
      </w:r>
      <w:r w:rsidRPr="00AB52EE">
        <w:rPr>
          <w:rFonts w:cs="Arial"/>
          <w:szCs w:val="24"/>
        </w:rPr>
        <w:t xml:space="preserve">“that [a]ny interested party may apply to this Court on not less than twenty-four (24) hours’ notice to [Supercart] </w:t>
      </w:r>
      <w:r w:rsidRPr="00AB52EE">
        <w:rPr>
          <w:rFonts w:cs="Arial"/>
          <w:szCs w:val="24"/>
        </w:rPr>
        <w:lastRenderedPageBreak/>
        <w:t xml:space="preserve">for a variation or setting aside of this order”. To a more limited extent, the opening words of paragraph </w:t>
      </w:r>
      <w:r w:rsidR="00D21ED8" w:rsidRPr="00AB52EE">
        <w:rPr>
          <w:rFonts w:cs="Arial"/>
          <w:szCs w:val="24"/>
        </w:rPr>
        <w:t>15</w:t>
      </w:r>
      <w:r w:rsidR="00D21ED8" w:rsidRPr="00AB52EE">
        <w:rPr>
          <w:rFonts w:cs="Arial"/>
          <w:i/>
          <w:iCs/>
          <w:szCs w:val="24"/>
        </w:rPr>
        <w:t>bis</w:t>
      </w:r>
      <w:r w:rsidRPr="00AB52EE">
        <w:rPr>
          <w:rFonts w:cs="Arial"/>
          <w:szCs w:val="24"/>
        </w:rPr>
        <w:t xml:space="preserve"> also contemplated an application to interrupt the operation of that paragraph. </w:t>
      </w:r>
      <w:r w:rsidR="00D459DA" w:rsidRPr="00AB52EE">
        <w:rPr>
          <w:rFonts w:cs="Arial"/>
          <w:szCs w:val="24"/>
        </w:rPr>
        <w:t xml:space="preserve">The </w:t>
      </w:r>
      <w:r w:rsidRPr="00AB52EE">
        <w:rPr>
          <w:rFonts w:cs="Arial"/>
          <w:szCs w:val="24"/>
        </w:rPr>
        <w:t>Sheriff</w:t>
      </w:r>
      <w:r w:rsidR="000D78E1" w:rsidRPr="00AB52EE">
        <w:rPr>
          <w:rFonts w:cs="Arial"/>
          <w:szCs w:val="24"/>
        </w:rPr>
        <w:t xml:space="preserve"> for Roodepoort was </w:t>
      </w:r>
      <w:r w:rsidRPr="00AB52EE">
        <w:rPr>
          <w:rFonts w:cs="Arial"/>
          <w:szCs w:val="24"/>
        </w:rPr>
        <w:t xml:space="preserve">initially prevailed upon to refuse to allow Supercart to inspect </w:t>
      </w:r>
      <w:r w:rsidR="000D78E1" w:rsidRPr="00AB52EE">
        <w:rPr>
          <w:rFonts w:cs="Arial"/>
          <w:szCs w:val="24"/>
        </w:rPr>
        <w:t xml:space="preserve">and copy </w:t>
      </w:r>
      <w:r w:rsidRPr="00AB52EE">
        <w:rPr>
          <w:rFonts w:cs="Arial"/>
          <w:szCs w:val="24"/>
        </w:rPr>
        <w:t xml:space="preserve">the </w:t>
      </w:r>
      <w:r w:rsidR="000D78E1" w:rsidRPr="00AB52EE">
        <w:rPr>
          <w:rFonts w:cs="Arial"/>
          <w:szCs w:val="24"/>
        </w:rPr>
        <w:t xml:space="preserve">attached </w:t>
      </w:r>
      <w:r w:rsidRPr="00AB52EE">
        <w:rPr>
          <w:rFonts w:cs="Arial"/>
          <w:szCs w:val="24"/>
        </w:rPr>
        <w:t xml:space="preserve">documents and make copies pending the determination of </w:t>
      </w:r>
      <w:r w:rsidR="000D78E1" w:rsidRPr="00AB52EE">
        <w:rPr>
          <w:rFonts w:cs="Arial"/>
          <w:szCs w:val="24"/>
        </w:rPr>
        <w:t xml:space="preserve">a reconsideration </w:t>
      </w:r>
      <w:r w:rsidR="004649FA" w:rsidRPr="00AB52EE">
        <w:rPr>
          <w:rFonts w:cs="Arial"/>
          <w:szCs w:val="24"/>
        </w:rPr>
        <w:t>of the Anton Piller</w:t>
      </w:r>
      <w:r w:rsidR="005B4A98">
        <w:rPr>
          <w:rFonts w:cs="Arial"/>
          <w:szCs w:val="24"/>
        </w:rPr>
        <w:t xml:space="preserve"> order</w:t>
      </w:r>
      <w:r w:rsidRPr="00AB52EE">
        <w:rPr>
          <w:rFonts w:cs="Arial"/>
          <w:szCs w:val="24"/>
        </w:rPr>
        <w:t xml:space="preserve">, which </w:t>
      </w:r>
      <w:r w:rsidR="00636C6A" w:rsidRPr="00AB52EE">
        <w:rPr>
          <w:rFonts w:cs="Arial"/>
          <w:szCs w:val="24"/>
        </w:rPr>
        <w:t xml:space="preserve">the respondents </w:t>
      </w:r>
      <w:r w:rsidRPr="00AB52EE">
        <w:rPr>
          <w:rFonts w:cs="Arial"/>
          <w:szCs w:val="24"/>
        </w:rPr>
        <w:t xml:space="preserve">contend (correctly in my view), </w:t>
      </w:r>
      <w:r w:rsidR="00DE7F1D" w:rsidRPr="00AB52EE">
        <w:rPr>
          <w:rFonts w:cs="Arial"/>
          <w:szCs w:val="24"/>
        </w:rPr>
        <w:t xml:space="preserve">they </w:t>
      </w:r>
      <w:r w:rsidRPr="00AB52EE">
        <w:rPr>
          <w:rFonts w:cs="Arial"/>
          <w:szCs w:val="24"/>
        </w:rPr>
        <w:t xml:space="preserve">could </w:t>
      </w:r>
      <w:r w:rsidR="004649FA" w:rsidRPr="00AB52EE">
        <w:rPr>
          <w:rFonts w:cs="Arial"/>
          <w:szCs w:val="24"/>
        </w:rPr>
        <w:t xml:space="preserve">not </w:t>
      </w:r>
      <w:r w:rsidRPr="00AB52EE">
        <w:rPr>
          <w:rFonts w:cs="Arial"/>
          <w:szCs w:val="24"/>
        </w:rPr>
        <w:t xml:space="preserve">have been expected to </w:t>
      </w:r>
      <w:r w:rsidR="004649FA" w:rsidRPr="00AB52EE">
        <w:rPr>
          <w:rFonts w:cs="Arial"/>
          <w:szCs w:val="24"/>
        </w:rPr>
        <w:t xml:space="preserve">seek before the </w:t>
      </w:r>
      <w:r w:rsidRPr="00AB52EE">
        <w:rPr>
          <w:rFonts w:cs="Arial"/>
          <w:szCs w:val="24"/>
        </w:rPr>
        <w:t xml:space="preserve">delivery of the </w:t>
      </w:r>
      <w:r w:rsidR="000D78E1" w:rsidRPr="00AB52EE">
        <w:rPr>
          <w:rFonts w:cs="Arial"/>
          <w:szCs w:val="24"/>
        </w:rPr>
        <w:t xml:space="preserve">Sheriffs’ inventories and </w:t>
      </w:r>
      <w:r w:rsidR="005279F3" w:rsidRPr="00AB52EE">
        <w:rPr>
          <w:rFonts w:cs="Arial"/>
          <w:szCs w:val="24"/>
        </w:rPr>
        <w:t>s</w:t>
      </w:r>
      <w:r w:rsidRPr="00AB52EE">
        <w:rPr>
          <w:rFonts w:cs="Arial"/>
          <w:szCs w:val="24"/>
        </w:rPr>
        <w:t xml:space="preserve">upervising </w:t>
      </w:r>
      <w:r w:rsidR="005279F3" w:rsidRPr="00AB52EE">
        <w:rPr>
          <w:rFonts w:cs="Arial"/>
          <w:szCs w:val="24"/>
        </w:rPr>
        <w:t>a</w:t>
      </w:r>
      <w:r w:rsidRPr="00AB52EE">
        <w:rPr>
          <w:rFonts w:cs="Arial"/>
          <w:szCs w:val="24"/>
        </w:rPr>
        <w:t>ttorneys</w:t>
      </w:r>
      <w:r w:rsidR="005279F3" w:rsidRPr="00AB52EE">
        <w:rPr>
          <w:rFonts w:cs="Arial"/>
          <w:szCs w:val="24"/>
        </w:rPr>
        <w:t>’</w:t>
      </w:r>
      <w:r w:rsidRPr="00AB52EE">
        <w:rPr>
          <w:rFonts w:cs="Arial"/>
          <w:szCs w:val="24"/>
        </w:rPr>
        <w:t xml:space="preserve"> affidavit</w:t>
      </w:r>
      <w:r w:rsidR="005279F3" w:rsidRPr="00AB52EE">
        <w:rPr>
          <w:rFonts w:cs="Arial"/>
          <w:szCs w:val="24"/>
        </w:rPr>
        <w:t>s</w:t>
      </w:r>
      <w:r w:rsidRPr="00AB52EE">
        <w:rPr>
          <w:rFonts w:cs="Arial"/>
          <w:szCs w:val="24"/>
        </w:rPr>
        <w:t xml:space="preserve">. However, in early November 2021, </w:t>
      </w:r>
      <w:r w:rsidR="005279F3" w:rsidRPr="00AB52EE">
        <w:rPr>
          <w:rFonts w:cs="Arial"/>
          <w:szCs w:val="24"/>
        </w:rPr>
        <w:t xml:space="preserve">the </w:t>
      </w:r>
      <w:r w:rsidRPr="00AB52EE">
        <w:rPr>
          <w:rFonts w:cs="Arial"/>
          <w:szCs w:val="24"/>
        </w:rPr>
        <w:t xml:space="preserve">Sheriff evidently had a change of heart and indicated that the inspection contemplated in paragraph </w:t>
      </w:r>
      <w:r w:rsidR="00D21ED8" w:rsidRPr="00AB52EE">
        <w:rPr>
          <w:rFonts w:cs="Arial"/>
          <w:szCs w:val="24"/>
        </w:rPr>
        <w:t>15</w:t>
      </w:r>
      <w:r w:rsidR="00D21ED8" w:rsidRPr="00AB52EE">
        <w:rPr>
          <w:rFonts w:cs="Arial"/>
          <w:i/>
          <w:iCs/>
          <w:szCs w:val="24"/>
        </w:rPr>
        <w:t>bis</w:t>
      </w:r>
      <w:r w:rsidRPr="00AB52EE">
        <w:rPr>
          <w:rFonts w:cs="Arial"/>
          <w:szCs w:val="24"/>
        </w:rPr>
        <w:t xml:space="preserve"> would indeed be allowed. </w:t>
      </w:r>
    </w:p>
    <w:p w14:paraId="52698454" w14:textId="1BE8398C" w:rsidR="004649FA" w:rsidRPr="00AB52EE" w:rsidRDefault="00A66381" w:rsidP="007A27ED">
      <w:pPr>
        <w:pStyle w:val="LC1"/>
        <w:rPr>
          <w:rFonts w:cs="Arial"/>
          <w:szCs w:val="24"/>
        </w:rPr>
      </w:pPr>
      <w:r w:rsidRPr="00AB52EE">
        <w:rPr>
          <w:rFonts w:cs="Arial"/>
          <w:szCs w:val="24"/>
        </w:rPr>
        <w:t xml:space="preserve">This prompted </w:t>
      </w:r>
      <w:r w:rsidR="00636C6A" w:rsidRPr="00AB52EE">
        <w:rPr>
          <w:rFonts w:cs="Arial"/>
          <w:szCs w:val="24"/>
        </w:rPr>
        <w:t xml:space="preserve">the respondents </w:t>
      </w:r>
      <w:r w:rsidRPr="00AB52EE">
        <w:rPr>
          <w:rFonts w:cs="Arial"/>
          <w:szCs w:val="24"/>
        </w:rPr>
        <w:t xml:space="preserve">to launch an urgent application </w:t>
      </w:r>
      <w:r w:rsidR="001037E6" w:rsidRPr="00AB52EE">
        <w:rPr>
          <w:rFonts w:cs="Arial"/>
          <w:szCs w:val="24"/>
        </w:rPr>
        <w:t xml:space="preserve">on </w:t>
      </w:r>
      <w:r w:rsidR="004F022A" w:rsidRPr="00AB52EE">
        <w:rPr>
          <w:rFonts w:cs="Arial"/>
          <w:szCs w:val="24"/>
        </w:rPr>
        <w:t>2</w:t>
      </w:r>
      <w:r w:rsidR="001037E6" w:rsidRPr="00AB52EE">
        <w:rPr>
          <w:rFonts w:cs="Arial"/>
          <w:szCs w:val="24"/>
        </w:rPr>
        <w:t xml:space="preserve"> November 2021 </w:t>
      </w:r>
      <w:r w:rsidRPr="00AB52EE">
        <w:rPr>
          <w:rFonts w:cs="Arial"/>
          <w:szCs w:val="24"/>
        </w:rPr>
        <w:t xml:space="preserve">for an order varying </w:t>
      </w:r>
      <w:r w:rsidR="000D78E1" w:rsidRPr="00AB52EE">
        <w:rPr>
          <w:rFonts w:cs="Arial"/>
          <w:szCs w:val="24"/>
        </w:rPr>
        <w:t>paragraph 15</w:t>
      </w:r>
      <w:r w:rsidR="000D78E1" w:rsidRPr="00AB52EE">
        <w:rPr>
          <w:rFonts w:cs="Arial"/>
          <w:i/>
          <w:iCs/>
          <w:szCs w:val="24"/>
        </w:rPr>
        <w:t>bis</w:t>
      </w:r>
      <w:r w:rsidR="000D78E1" w:rsidRPr="00AB52EE">
        <w:rPr>
          <w:rFonts w:cs="Arial"/>
          <w:szCs w:val="24"/>
        </w:rPr>
        <w:t xml:space="preserve"> </w:t>
      </w:r>
      <w:r w:rsidRPr="00AB52EE">
        <w:rPr>
          <w:rFonts w:cs="Arial"/>
          <w:szCs w:val="24"/>
        </w:rPr>
        <w:t xml:space="preserve">so as to prohibit either party from inspecting the </w:t>
      </w:r>
      <w:r w:rsidR="000D78E1" w:rsidRPr="00AB52EE">
        <w:rPr>
          <w:rFonts w:cs="Arial"/>
          <w:szCs w:val="24"/>
        </w:rPr>
        <w:t xml:space="preserve">attached </w:t>
      </w:r>
      <w:r w:rsidRPr="00AB52EE">
        <w:rPr>
          <w:rFonts w:cs="Arial"/>
          <w:szCs w:val="24"/>
        </w:rPr>
        <w:t>documents until such time as “the lawfulness”</w:t>
      </w:r>
      <w:r w:rsidR="005B4A98">
        <w:rPr>
          <w:rFonts w:cs="Arial"/>
          <w:szCs w:val="24"/>
        </w:rPr>
        <w:t xml:space="preserve"> of</w:t>
      </w:r>
      <w:r w:rsidRPr="00AB52EE">
        <w:rPr>
          <w:rFonts w:cs="Arial"/>
          <w:szCs w:val="24"/>
        </w:rPr>
        <w:t xml:space="preserve"> (i) the terms of the </w:t>
      </w:r>
      <w:r w:rsidR="00404C6B" w:rsidRPr="00AB52EE">
        <w:rPr>
          <w:rFonts w:cs="Arial"/>
          <w:szCs w:val="24"/>
          <w:lang w:eastAsia="en-ZA"/>
        </w:rPr>
        <w:t xml:space="preserve">Anton Piller </w:t>
      </w:r>
      <w:r w:rsidRPr="00AB52EE">
        <w:rPr>
          <w:rFonts w:cs="Arial"/>
          <w:szCs w:val="24"/>
        </w:rPr>
        <w:t xml:space="preserve">order; (ii) the granting of it; (iii) “the allegations contained in the founding affidavit”; and (iv) the execution of the order could be determined. </w:t>
      </w:r>
      <w:r w:rsidR="00636C6A" w:rsidRPr="00AB52EE">
        <w:rPr>
          <w:rFonts w:cs="Arial"/>
          <w:szCs w:val="24"/>
        </w:rPr>
        <w:t xml:space="preserve">The respondents </w:t>
      </w:r>
      <w:r w:rsidRPr="00AB52EE">
        <w:rPr>
          <w:rFonts w:cs="Arial"/>
          <w:szCs w:val="24"/>
        </w:rPr>
        <w:t xml:space="preserve">sought costs in the variation application on the attorney and client scale. Supercart counter-applied for orders permitting it to inspect and copy the </w:t>
      </w:r>
      <w:r w:rsidR="000D78E1" w:rsidRPr="00AB52EE">
        <w:rPr>
          <w:rFonts w:cs="Arial"/>
          <w:szCs w:val="24"/>
        </w:rPr>
        <w:t xml:space="preserve">attached documents </w:t>
      </w:r>
      <w:r w:rsidRPr="00AB52EE">
        <w:rPr>
          <w:rFonts w:cs="Arial"/>
          <w:szCs w:val="24"/>
        </w:rPr>
        <w:t xml:space="preserve">pursuant to paragraph </w:t>
      </w:r>
      <w:r w:rsidR="00D21ED8" w:rsidRPr="00AB52EE">
        <w:rPr>
          <w:rFonts w:cs="Arial"/>
          <w:szCs w:val="24"/>
        </w:rPr>
        <w:t>15</w:t>
      </w:r>
      <w:r w:rsidR="00D21ED8" w:rsidRPr="00AB52EE">
        <w:rPr>
          <w:rFonts w:cs="Arial"/>
          <w:i/>
          <w:iCs/>
          <w:szCs w:val="24"/>
        </w:rPr>
        <w:t>bis</w:t>
      </w:r>
      <w:r w:rsidRPr="00AB52EE">
        <w:rPr>
          <w:rFonts w:cs="Arial"/>
          <w:szCs w:val="24"/>
        </w:rPr>
        <w:t xml:space="preserve">, subject to the imposition of an obligation to keep the information </w:t>
      </w:r>
      <w:r w:rsidR="003D662A" w:rsidRPr="00AB52EE">
        <w:rPr>
          <w:rFonts w:cs="Arial"/>
          <w:szCs w:val="24"/>
        </w:rPr>
        <w:t xml:space="preserve">contained therein </w:t>
      </w:r>
      <w:r w:rsidRPr="00AB52EE">
        <w:rPr>
          <w:rFonts w:cs="Arial"/>
          <w:szCs w:val="24"/>
        </w:rPr>
        <w:t xml:space="preserve">confidential, “save that information relevant to the contempt proceedings is to be used for that purpose but that purpose only”. In the alternative, Supercart sought an order directing that the </w:t>
      </w:r>
      <w:r w:rsidR="005A3DF9" w:rsidRPr="00AB52EE">
        <w:rPr>
          <w:rFonts w:cs="Arial"/>
          <w:szCs w:val="24"/>
        </w:rPr>
        <w:t xml:space="preserve">attached </w:t>
      </w:r>
      <w:r w:rsidRPr="00AB52EE">
        <w:rPr>
          <w:rFonts w:cs="Arial"/>
          <w:szCs w:val="24"/>
        </w:rPr>
        <w:t xml:space="preserve">items be inspected by an independent advocate for the purposes of “confirming the existence or absence of evidence relevant to the contempt proceedings, [and] if the former, assort the evidence relevant to the contempt proceedings into a separately inventorised </w:t>
      </w:r>
      <w:r w:rsidRPr="00AB52EE">
        <w:rPr>
          <w:rFonts w:cs="Arial"/>
          <w:szCs w:val="24"/>
        </w:rPr>
        <w:lastRenderedPageBreak/>
        <w:t xml:space="preserve">bundle” and make it available to both parties. </w:t>
      </w:r>
    </w:p>
    <w:p w14:paraId="630D6DAC" w14:textId="7EAB28E5" w:rsidR="006B38C6" w:rsidRPr="00AB52EE" w:rsidRDefault="00A66381" w:rsidP="007A27ED">
      <w:pPr>
        <w:pStyle w:val="LC1"/>
        <w:rPr>
          <w:rFonts w:cs="Arial"/>
          <w:szCs w:val="24"/>
        </w:rPr>
      </w:pPr>
      <w:r w:rsidRPr="00AB52EE">
        <w:rPr>
          <w:rFonts w:cs="Arial"/>
          <w:szCs w:val="24"/>
        </w:rPr>
        <w:t>The variation application came before Wright J, who in a judgment delivered on 25 November 2021 declined to make any finding on the merits of either side</w:t>
      </w:r>
      <w:r w:rsidR="002A135E" w:rsidRPr="00AB52EE">
        <w:rPr>
          <w:rFonts w:cs="Arial"/>
          <w:szCs w:val="24"/>
        </w:rPr>
        <w:t>’</w:t>
      </w:r>
      <w:r w:rsidRPr="00AB52EE">
        <w:rPr>
          <w:rFonts w:cs="Arial"/>
          <w:szCs w:val="24"/>
        </w:rPr>
        <w:t xml:space="preserve">s case. However, since he concluded that it would be “unsatisfactory” to allow Supercart to inspect the </w:t>
      </w:r>
      <w:r w:rsidR="005A3DF9" w:rsidRPr="00AB52EE">
        <w:rPr>
          <w:rFonts w:cs="Arial"/>
          <w:szCs w:val="24"/>
        </w:rPr>
        <w:t>attached items</w:t>
      </w:r>
      <w:r w:rsidRPr="00AB52EE">
        <w:rPr>
          <w:rFonts w:cs="Arial"/>
          <w:szCs w:val="24"/>
        </w:rPr>
        <w:t xml:space="preserve"> for any purpose if it were subsequently found that it should not have been entitled to do so, he granted an order prohibiting Supercart </w:t>
      </w:r>
      <w:r w:rsidR="004649FA" w:rsidRPr="00AB52EE">
        <w:rPr>
          <w:rFonts w:cs="Arial"/>
          <w:szCs w:val="24"/>
        </w:rPr>
        <w:t xml:space="preserve">and its legal team or anyone acting on their behalf </w:t>
      </w:r>
      <w:r w:rsidRPr="00AB52EE">
        <w:rPr>
          <w:rFonts w:cs="Arial"/>
          <w:szCs w:val="24"/>
        </w:rPr>
        <w:t xml:space="preserve">from inspecting </w:t>
      </w:r>
      <w:r w:rsidR="004649FA" w:rsidRPr="00AB52EE">
        <w:rPr>
          <w:rFonts w:cs="Arial"/>
          <w:szCs w:val="24"/>
        </w:rPr>
        <w:t xml:space="preserve">or copying </w:t>
      </w:r>
      <w:r w:rsidRPr="00AB52EE">
        <w:rPr>
          <w:rFonts w:cs="Arial"/>
          <w:szCs w:val="24"/>
        </w:rPr>
        <w:t xml:space="preserve">the </w:t>
      </w:r>
      <w:r w:rsidR="005A3DF9" w:rsidRPr="00AB52EE">
        <w:rPr>
          <w:rFonts w:cs="Arial"/>
          <w:szCs w:val="24"/>
        </w:rPr>
        <w:t>attached items</w:t>
      </w:r>
      <w:r w:rsidRPr="00AB52EE">
        <w:rPr>
          <w:rFonts w:cs="Arial"/>
          <w:szCs w:val="24"/>
        </w:rPr>
        <w:t xml:space="preserve"> “until either there is written permission from Vanesco </w:t>
      </w:r>
      <w:r w:rsidR="004649FA" w:rsidRPr="00AB52EE">
        <w:rPr>
          <w:rFonts w:cs="Arial"/>
          <w:szCs w:val="24"/>
        </w:rPr>
        <w:t xml:space="preserve">and Mr Case or their attorneys </w:t>
      </w:r>
      <w:r w:rsidRPr="00AB52EE">
        <w:rPr>
          <w:rFonts w:cs="Arial"/>
          <w:szCs w:val="24"/>
        </w:rPr>
        <w:t xml:space="preserve">or a court orders otherwise”. In the replying affidavit filed by Supercart in the </w:t>
      </w:r>
      <w:r w:rsidR="004649FA" w:rsidRPr="00AB52EE">
        <w:rPr>
          <w:rFonts w:cs="Arial"/>
          <w:szCs w:val="24"/>
        </w:rPr>
        <w:t>reconsideration</w:t>
      </w:r>
      <w:r w:rsidRPr="00AB52EE">
        <w:rPr>
          <w:rFonts w:cs="Arial"/>
          <w:szCs w:val="24"/>
        </w:rPr>
        <w:t xml:space="preserve">, Mr Wolfe requests me to direct that the provisions of the </w:t>
      </w:r>
      <w:r w:rsidR="004649FA" w:rsidRPr="00AB52EE">
        <w:rPr>
          <w:rFonts w:cs="Arial"/>
          <w:szCs w:val="24"/>
        </w:rPr>
        <w:t xml:space="preserve">Anton Piller </w:t>
      </w:r>
      <w:r w:rsidRPr="00AB52EE">
        <w:rPr>
          <w:rFonts w:cs="Arial"/>
          <w:szCs w:val="24"/>
        </w:rPr>
        <w:t xml:space="preserve">order, including paragraph </w:t>
      </w:r>
      <w:r w:rsidR="00D21ED8" w:rsidRPr="00AB52EE">
        <w:rPr>
          <w:rFonts w:cs="Arial"/>
          <w:szCs w:val="24"/>
        </w:rPr>
        <w:t>15</w:t>
      </w:r>
      <w:r w:rsidR="00D21ED8" w:rsidRPr="00AB52EE">
        <w:rPr>
          <w:rFonts w:cs="Arial"/>
          <w:i/>
          <w:iCs/>
          <w:szCs w:val="24"/>
        </w:rPr>
        <w:t>bis</w:t>
      </w:r>
      <w:r w:rsidRPr="00AB52EE">
        <w:rPr>
          <w:rFonts w:cs="Arial"/>
          <w:szCs w:val="24"/>
        </w:rPr>
        <w:t>, be immediately effective. Despite the non-determination of the relief sought in the variation application</w:t>
      </w:r>
      <w:r w:rsidR="002A135E" w:rsidRPr="00AB52EE">
        <w:rPr>
          <w:rFonts w:cs="Arial"/>
          <w:szCs w:val="24"/>
        </w:rPr>
        <w:t>,</w:t>
      </w:r>
      <w:r w:rsidRPr="00AB52EE">
        <w:rPr>
          <w:rFonts w:cs="Arial"/>
          <w:szCs w:val="24"/>
        </w:rPr>
        <w:t xml:space="preserve"> it has now been overtaken </w:t>
      </w:r>
      <w:r w:rsidR="002A135E" w:rsidRPr="00AB52EE">
        <w:rPr>
          <w:rFonts w:cs="Arial"/>
          <w:szCs w:val="24"/>
        </w:rPr>
        <w:t xml:space="preserve">by the </w:t>
      </w:r>
      <w:r w:rsidRPr="00AB52EE">
        <w:rPr>
          <w:rFonts w:cs="Arial"/>
          <w:szCs w:val="24"/>
        </w:rPr>
        <w:t xml:space="preserve">current </w:t>
      </w:r>
      <w:r w:rsidR="002A135E" w:rsidRPr="00AB52EE">
        <w:rPr>
          <w:rFonts w:cs="Arial"/>
          <w:szCs w:val="24"/>
        </w:rPr>
        <w:t>reconsideration proceedings</w:t>
      </w:r>
      <w:r w:rsidRPr="00AB52EE">
        <w:rPr>
          <w:rFonts w:cs="Arial"/>
          <w:szCs w:val="24"/>
        </w:rPr>
        <w:t xml:space="preserve">, </w:t>
      </w:r>
      <w:r w:rsidR="002A135E" w:rsidRPr="00AB52EE">
        <w:rPr>
          <w:rFonts w:cs="Arial"/>
          <w:szCs w:val="24"/>
        </w:rPr>
        <w:t xml:space="preserve">and </w:t>
      </w:r>
      <w:r w:rsidRPr="00AB52EE">
        <w:rPr>
          <w:rFonts w:cs="Arial"/>
          <w:szCs w:val="24"/>
        </w:rPr>
        <w:t>the only remaining aspect thereof is the question of costs, which were reserved</w:t>
      </w:r>
      <w:r w:rsidR="004649FA" w:rsidRPr="00AB52EE">
        <w:rPr>
          <w:rFonts w:cs="Arial"/>
          <w:szCs w:val="24"/>
        </w:rPr>
        <w:t xml:space="preserve"> by Wright J</w:t>
      </w:r>
      <w:r w:rsidRPr="00AB52EE">
        <w:rPr>
          <w:rFonts w:cs="Arial"/>
          <w:szCs w:val="24"/>
        </w:rPr>
        <w:t>, and which I am asked to determine.</w:t>
      </w:r>
    </w:p>
    <w:p w14:paraId="536BFE3F" w14:textId="7EF494F0" w:rsidR="00CA1A59" w:rsidRPr="00AB52EE" w:rsidRDefault="00CA1A59" w:rsidP="00562889">
      <w:pPr>
        <w:pStyle w:val="LC1"/>
        <w:keepNext/>
        <w:numPr>
          <w:ilvl w:val="0"/>
          <w:numId w:val="0"/>
        </w:numPr>
        <w:rPr>
          <w:rFonts w:cs="Arial"/>
          <w:szCs w:val="24"/>
          <w:u w:val="single"/>
        </w:rPr>
      </w:pPr>
      <w:r w:rsidRPr="00AB52EE">
        <w:rPr>
          <w:rFonts w:cs="Arial"/>
          <w:szCs w:val="24"/>
          <w:u w:val="single"/>
        </w:rPr>
        <w:t>Delivery of the Sheriffs</w:t>
      </w:r>
      <w:r w:rsidR="00D85020" w:rsidRPr="00AB52EE">
        <w:rPr>
          <w:rFonts w:cs="Arial"/>
          <w:szCs w:val="24"/>
          <w:u w:val="single"/>
        </w:rPr>
        <w:t>’</w:t>
      </w:r>
      <w:r w:rsidRPr="00AB52EE">
        <w:rPr>
          <w:rFonts w:cs="Arial"/>
          <w:szCs w:val="24"/>
          <w:u w:val="single"/>
        </w:rPr>
        <w:t xml:space="preserve"> inventories and the supervising attorneys’ affidavits</w:t>
      </w:r>
    </w:p>
    <w:p w14:paraId="633E89CE" w14:textId="76FF0F6A" w:rsidR="00A70791" w:rsidRPr="00AB52EE" w:rsidRDefault="009734A8" w:rsidP="007A27ED">
      <w:pPr>
        <w:pStyle w:val="LC1"/>
        <w:rPr>
          <w:rFonts w:cs="Arial"/>
          <w:szCs w:val="24"/>
        </w:rPr>
      </w:pPr>
      <w:r w:rsidRPr="00AB52EE">
        <w:rPr>
          <w:rFonts w:cs="Arial"/>
          <w:szCs w:val="24"/>
        </w:rPr>
        <w:t>The Sheriffs</w:t>
      </w:r>
      <w:r w:rsidR="00A04F0D" w:rsidRPr="00AB52EE">
        <w:rPr>
          <w:rFonts w:cs="Arial"/>
          <w:szCs w:val="24"/>
        </w:rPr>
        <w:t>’</w:t>
      </w:r>
      <w:r w:rsidRPr="00AB52EE">
        <w:rPr>
          <w:rFonts w:cs="Arial"/>
          <w:szCs w:val="24"/>
        </w:rPr>
        <w:t xml:space="preserve"> inventories </w:t>
      </w:r>
      <w:r w:rsidR="003008E3" w:rsidRPr="00AB52EE">
        <w:rPr>
          <w:rFonts w:cs="Arial"/>
          <w:szCs w:val="24"/>
        </w:rPr>
        <w:t xml:space="preserve">and </w:t>
      </w:r>
      <w:r w:rsidRPr="00AB52EE">
        <w:rPr>
          <w:rFonts w:cs="Arial"/>
          <w:szCs w:val="24"/>
        </w:rPr>
        <w:t xml:space="preserve">the independent supervising attorneys’ affidavits were </w:t>
      </w:r>
      <w:r w:rsidR="003008E3" w:rsidRPr="00AB52EE">
        <w:rPr>
          <w:rFonts w:cs="Arial"/>
          <w:szCs w:val="24"/>
        </w:rPr>
        <w:t xml:space="preserve">filed </w:t>
      </w:r>
      <w:r w:rsidRPr="00AB52EE">
        <w:rPr>
          <w:rFonts w:cs="Arial"/>
          <w:szCs w:val="24"/>
        </w:rPr>
        <w:t xml:space="preserve">on </w:t>
      </w:r>
      <w:r w:rsidR="003008E3" w:rsidRPr="00AB52EE">
        <w:rPr>
          <w:rFonts w:cs="Arial"/>
          <w:szCs w:val="24"/>
        </w:rPr>
        <w:t xml:space="preserve">4 and 5 </w:t>
      </w:r>
      <w:r w:rsidRPr="00AB52EE">
        <w:rPr>
          <w:rFonts w:cs="Arial"/>
          <w:szCs w:val="24"/>
        </w:rPr>
        <w:t>November 2021</w:t>
      </w:r>
      <w:r w:rsidR="003008E3" w:rsidRPr="00AB52EE">
        <w:rPr>
          <w:rFonts w:cs="Arial"/>
          <w:szCs w:val="24"/>
        </w:rPr>
        <w:t xml:space="preserve"> respectively</w:t>
      </w:r>
      <w:r w:rsidRPr="00AB52EE">
        <w:rPr>
          <w:rFonts w:cs="Arial"/>
          <w:szCs w:val="24"/>
        </w:rPr>
        <w:t xml:space="preserve">, </w:t>
      </w:r>
      <w:r w:rsidR="003008E3" w:rsidRPr="00AB52EE">
        <w:rPr>
          <w:rFonts w:cs="Arial"/>
          <w:szCs w:val="24"/>
        </w:rPr>
        <w:t xml:space="preserve">during the period that </w:t>
      </w:r>
      <w:r w:rsidRPr="00AB52EE">
        <w:rPr>
          <w:rFonts w:cs="Arial"/>
          <w:szCs w:val="24"/>
        </w:rPr>
        <w:t>the variation application remained pending.</w:t>
      </w:r>
      <w:r w:rsidR="00556835" w:rsidRPr="00AB52EE">
        <w:rPr>
          <w:rFonts w:cs="Arial"/>
          <w:szCs w:val="24"/>
        </w:rPr>
        <w:t xml:space="preserve"> </w:t>
      </w:r>
      <w:r w:rsidR="00A70791" w:rsidRPr="00AB52EE">
        <w:rPr>
          <w:rFonts w:cs="Arial"/>
          <w:szCs w:val="24"/>
        </w:rPr>
        <w:t xml:space="preserve">These will be referred to below to the extent necessary </w:t>
      </w:r>
      <w:r w:rsidR="004649FA" w:rsidRPr="00AB52EE">
        <w:rPr>
          <w:rFonts w:cs="Arial"/>
          <w:szCs w:val="24"/>
        </w:rPr>
        <w:t xml:space="preserve">in </w:t>
      </w:r>
      <w:r w:rsidR="00A70791" w:rsidRPr="00AB52EE">
        <w:rPr>
          <w:rFonts w:cs="Arial"/>
          <w:szCs w:val="24"/>
        </w:rPr>
        <w:t>determin</w:t>
      </w:r>
      <w:r w:rsidR="004649FA" w:rsidRPr="00AB52EE">
        <w:rPr>
          <w:rFonts w:cs="Arial"/>
          <w:szCs w:val="24"/>
        </w:rPr>
        <w:t>ing</w:t>
      </w:r>
      <w:r w:rsidR="00A70791" w:rsidRPr="00AB52EE">
        <w:rPr>
          <w:rFonts w:cs="Arial"/>
          <w:szCs w:val="24"/>
        </w:rPr>
        <w:t xml:space="preserve"> </w:t>
      </w:r>
      <w:r w:rsidR="004649FA" w:rsidRPr="00AB52EE">
        <w:rPr>
          <w:rFonts w:cs="Arial"/>
          <w:szCs w:val="24"/>
        </w:rPr>
        <w:t xml:space="preserve">the merits </w:t>
      </w:r>
      <w:r w:rsidR="00A70791" w:rsidRPr="00AB52EE">
        <w:rPr>
          <w:rFonts w:cs="Arial"/>
          <w:szCs w:val="24"/>
        </w:rPr>
        <w:t xml:space="preserve">of </w:t>
      </w:r>
      <w:r w:rsidR="00636C6A" w:rsidRPr="00AB52EE">
        <w:rPr>
          <w:rFonts w:cs="Arial"/>
          <w:szCs w:val="24"/>
        </w:rPr>
        <w:t xml:space="preserve">the respondents’ </w:t>
      </w:r>
      <w:r w:rsidR="00A70791" w:rsidRPr="00AB52EE">
        <w:rPr>
          <w:rFonts w:cs="Arial"/>
          <w:szCs w:val="24"/>
        </w:rPr>
        <w:t xml:space="preserve">challenges to the grant of the </w:t>
      </w:r>
      <w:r w:rsidR="00404C6B" w:rsidRPr="00AB52EE">
        <w:rPr>
          <w:rFonts w:cs="Arial"/>
          <w:szCs w:val="24"/>
          <w:lang w:eastAsia="en-ZA"/>
        </w:rPr>
        <w:t xml:space="preserve">Anton Piller </w:t>
      </w:r>
      <w:r w:rsidR="00A70791" w:rsidRPr="00AB52EE">
        <w:rPr>
          <w:rFonts w:cs="Arial"/>
          <w:szCs w:val="24"/>
        </w:rPr>
        <w:t>order.</w:t>
      </w:r>
    </w:p>
    <w:p w14:paraId="7D44ED4F" w14:textId="18836A4A" w:rsidR="00CA1A59" w:rsidRPr="00AB52EE" w:rsidRDefault="00CA1A59" w:rsidP="00562889">
      <w:pPr>
        <w:pStyle w:val="LC1"/>
        <w:keepNext/>
        <w:numPr>
          <w:ilvl w:val="0"/>
          <w:numId w:val="0"/>
        </w:numPr>
        <w:rPr>
          <w:rFonts w:cs="Arial"/>
          <w:szCs w:val="24"/>
          <w:u w:val="single"/>
        </w:rPr>
      </w:pPr>
      <w:r w:rsidRPr="00AB52EE">
        <w:rPr>
          <w:rFonts w:cs="Arial"/>
          <w:szCs w:val="24"/>
          <w:u w:val="single"/>
        </w:rPr>
        <w:lastRenderedPageBreak/>
        <w:t xml:space="preserve">The answering affidavit and the </w:t>
      </w:r>
      <w:r w:rsidR="004649FA" w:rsidRPr="00AB52EE">
        <w:rPr>
          <w:rFonts w:cs="Arial"/>
          <w:szCs w:val="24"/>
          <w:u w:val="single"/>
        </w:rPr>
        <w:t xml:space="preserve">request for </w:t>
      </w:r>
      <w:r w:rsidRPr="00AB52EE">
        <w:rPr>
          <w:rFonts w:cs="Arial"/>
          <w:szCs w:val="24"/>
          <w:u w:val="single"/>
        </w:rPr>
        <w:t>reconsideration</w:t>
      </w:r>
    </w:p>
    <w:p w14:paraId="4493BA3D" w14:textId="24F9D647" w:rsidR="001037E6" w:rsidRPr="00AB52EE" w:rsidRDefault="00B07535" w:rsidP="007A27ED">
      <w:pPr>
        <w:pStyle w:val="LC1"/>
        <w:rPr>
          <w:rFonts w:cs="Arial"/>
          <w:szCs w:val="24"/>
        </w:rPr>
      </w:pPr>
      <w:r w:rsidRPr="00AB52EE">
        <w:rPr>
          <w:rFonts w:cs="Arial"/>
          <w:szCs w:val="24"/>
        </w:rPr>
        <w:t>D</w:t>
      </w:r>
      <w:r w:rsidR="006B38C6" w:rsidRPr="00AB52EE">
        <w:rPr>
          <w:rFonts w:cs="Arial"/>
          <w:szCs w:val="24"/>
        </w:rPr>
        <w:t xml:space="preserve">espite the </w:t>
      </w:r>
      <w:r w:rsidR="0013131C" w:rsidRPr="00AB52EE">
        <w:rPr>
          <w:rFonts w:cs="Arial"/>
          <w:szCs w:val="24"/>
        </w:rPr>
        <w:t xml:space="preserve">fact that the search and seizure provided for in the </w:t>
      </w:r>
      <w:r w:rsidRPr="00AB52EE">
        <w:rPr>
          <w:rFonts w:cs="Arial"/>
          <w:szCs w:val="24"/>
        </w:rPr>
        <w:t xml:space="preserve">Anton Piller </w:t>
      </w:r>
      <w:r w:rsidR="0013131C" w:rsidRPr="00AB52EE">
        <w:rPr>
          <w:rFonts w:cs="Arial"/>
          <w:szCs w:val="24"/>
        </w:rPr>
        <w:t>order had already been executed</w:t>
      </w:r>
      <w:r w:rsidR="001037E6" w:rsidRPr="00AB52EE">
        <w:rPr>
          <w:rFonts w:cs="Arial"/>
          <w:szCs w:val="24"/>
        </w:rPr>
        <w:t xml:space="preserve">, and despite the fact that the notice of motion in the </w:t>
      </w:r>
      <w:r w:rsidR="00040689" w:rsidRPr="00AB52EE">
        <w:rPr>
          <w:rFonts w:cs="Arial"/>
          <w:szCs w:val="24"/>
        </w:rPr>
        <w:t>Anton Piller</w:t>
      </w:r>
      <w:r w:rsidR="00040689" w:rsidRPr="00AB52EE">
        <w:rPr>
          <w:rFonts w:cs="Arial"/>
          <w:i/>
          <w:iCs/>
          <w:szCs w:val="24"/>
        </w:rPr>
        <w:t xml:space="preserve"> </w:t>
      </w:r>
      <w:r w:rsidR="001037E6" w:rsidRPr="00AB52EE">
        <w:rPr>
          <w:rFonts w:cs="Arial"/>
          <w:szCs w:val="24"/>
        </w:rPr>
        <w:t xml:space="preserve">application </w:t>
      </w:r>
      <w:r w:rsidR="00A70791" w:rsidRPr="00AB52EE">
        <w:rPr>
          <w:rFonts w:cs="Arial"/>
          <w:szCs w:val="24"/>
        </w:rPr>
        <w:t>(</w:t>
      </w:r>
      <w:r w:rsidR="002A135E" w:rsidRPr="00AB52EE">
        <w:rPr>
          <w:rFonts w:cs="Arial"/>
          <w:szCs w:val="24"/>
        </w:rPr>
        <w:t>correctly</w:t>
      </w:r>
      <w:r w:rsidR="00A70791" w:rsidRPr="00AB52EE">
        <w:rPr>
          <w:rFonts w:cs="Arial"/>
          <w:szCs w:val="24"/>
        </w:rPr>
        <w:t>)</w:t>
      </w:r>
      <w:r w:rsidR="001037E6" w:rsidRPr="00AB52EE">
        <w:rPr>
          <w:rFonts w:cs="Arial"/>
          <w:szCs w:val="24"/>
        </w:rPr>
        <w:t xml:space="preserve"> did not call upon </w:t>
      </w:r>
      <w:r w:rsidR="006B38C6" w:rsidRPr="00AB52EE">
        <w:rPr>
          <w:rFonts w:cs="Arial"/>
          <w:szCs w:val="24"/>
        </w:rPr>
        <w:t>Vanesco</w:t>
      </w:r>
      <w:r w:rsidR="0013131C" w:rsidRPr="00AB52EE">
        <w:rPr>
          <w:rFonts w:cs="Arial"/>
          <w:szCs w:val="24"/>
        </w:rPr>
        <w:t xml:space="preserve"> and Mr Case </w:t>
      </w:r>
      <w:r w:rsidR="001037E6" w:rsidRPr="00AB52EE">
        <w:rPr>
          <w:rFonts w:cs="Arial"/>
          <w:szCs w:val="24"/>
        </w:rPr>
        <w:t xml:space="preserve">to deliver any answering papers, they </w:t>
      </w:r>
      <w:r w:rsidR="0013131C" w:rsidRPr="00AB52EE">
        <w:rPr>
          <w:rFonts w:cs="Arial"/>
          <w:szCs w:val="24"/>
        </w:rPr>
        <w:t xml:space="preserve">delivered what they </w:t>
      </w:r>
      <w:r w:rsidR="00212703" w:rsidRPr="00AB52EE">
        <w:rPr>
          <w:rFonts w:cs="Arial"/>
          <w:szCs w:val="24"/>
        </w:rPr>
        <w:t xml:space="preserve">rightly </w:t>
      </w:r>
      <w:r w:rsidR="0013131C" w:rsidRPr="00AB52EE">
        <w:rPr>
          <w:rFonts w:cs="Arial"/>
          <w:szCs w:val="24"/>
        </w:rPr>
        <w:t xml:space="preserve">characterised as their “answering affidavit” in the </w:t>
      </w:r>
      <w:r w:rsidR="00040689" w:rsidRPr="00AB52EE">
        <w:rPr>
          <w:rFonts w:cs="Arial"/>
          <w:szCs w:val="24"/>
        </w:rPr>
        <w:t>Anton Piller</w:t>
      </w:r>
      <w:r w:rsidR="00040689" w:rsidRPr="00AB52EE">
        <w:rPr>
          <w:rFonts w:cs="Arial"/>
          <w:i/>
          <w:iCs/>
          <w:szCs w:val="24"/>
        </w:rPr>
        <w:t xml:space="preserve"> </w:t>
      </w:r>
      <w:r w:rsidR="0013131C" w:rsidRPr="00AB52EE">
        <w:rPr>
          <w:rFonts w:cs="Arial"/>
          <w:szCs w:val="24"/>
        </w:rPr>
        <w:t>application</w:t>
      </w:r>
      <w:r w:rsidRPr="00AB52EE">
        <w:rPr>
          <w:rFonts w:cs="Arial"/>
          <w:szCs w:val="24"/>
        </w:rPr>
        <w:t xml:space="preserve"> on 3 December 2021, together with </w:t>
      </w:r>
      <w:r w:rsidR="002A135E" w:rsidRPr="00AB52EE">
        <w:rPr>
          <w:rFonts w:cs="Arial"/>
          <w:szCs w:val="24"/>
        </w:rPr>
        <w:t xml:space="preserve">a </w:t>
      </w:r>
      <w:r w:rsidRPr="00AB52EE">
        <w:rPr>
          <w:rFonts w:cs="Arial"/>
          <w:szCs w:val="24"/>
        </w:rPr>
        <w:t>notice of motion seeking a reconsideration</w:t>
      </w:r>
      <w:r w:rsidR="004F022A" w:rsidRPr="00AB52EE">
        <w:rPr>
          <w:rFonts w:cs="Arial"/>
          <w:szCs w:val="24"/>
        </w:rPr>
        <w:t xml:space="preserve"> of the order</w:t>
      </w:r>
      <w:r w:rsidR="002A135E" w:rsidRPr="00AB52EE">
        <w:rPr>
          <w:rFonts w:cs="Arial"/>
          <w:szCs w:val="24"/>
        </w:rPr>
        <w:t xml:space="preserve"> under Rule 6(12)(c)</w:t>
      </w:r>
      <w:r w:rsidR="0013131C" w:rsidRPr="00AB52EE">
        <w:rPr>
          <w:rFonts w:cs="Arial"/>
          <w:szCs w:val="24"/>
        </w:rPr>
        <w:t xml:space="preserve">. </w:t>
      </w:r>
    </w:p>
    <w:p w14:paraId="4D5C1180" w14:textId="255EB176" w:rsidR="009E74C7" w:rsidRPr="00AB52EE" w:rsidRDefault="00691E98" w:rsidP="002A135E">
      <w:pPr>
        <w:pStyle w:val="LC1"/>
        <w:keepNext/>
        <w:numPr>
          <w:ilvl w:val="0"/>
          <w:numId w:val="0"/>
        </w:numPr>
        <w:rPr>
          <w:rFonts w:cs="Arial"/>
          <w:b/>
          <w:bCs/>
          <w:szCs w:val="24"/>
        </w:rPr>
      </w:pPr>
      <w:r w:rsidRPr="00AB52EE">
        <w:rPr>
          <w:rFonts w:cs="Arial"/>
          <w:b/>
          <w:bCs/>
          <w:szCs w:val="24"/>
        </w:rPr>
        <w:t>ANTON PILLER</w:t>
      </w:r>
      <w:r w:rsidR="00E93192" w:rsidRPr="00AB52EE">
        <w:rPr>
          <w:rFonts w:cs="Arial"/>
          <w:b/>
          <w:bCs/>
          <w:szCs w:val="24"/>
        </w:rPr>
        <w:t>-TYPE</w:t>
      </w:r>
      <w:r w:rsidRPr="00AB52EE">
        <w:rPr>
          <w:rFonts w:cs="Arial"/>
          <w:b/>
          <w:bCs/>
          <w:szCs w:val="24"/>
        </w:rPr>
        <w:t xml:space="preserve"> </w:t>
      </w:r>
      <w:r w:rsidR="009E74C7" w:rsidRPr="00AB52EE">
        <w:rPr>
          <w:rFonts w:cs="Arial"/>
          <w:b/>
          <w:bCs/>
          <w:szCs w:val="24"/>
        </w:rPr>
        <w:t>ORDERS</w:t>
      </w:r>
      <w:r w:rsidR="006C789D" w:rsidRPr="00AB52EE">
        <w:rPr>
          <w:rFonts w:cs="Arial"/>
          <w:b/>
          <w:bCs/>
          <w:szCs w:val="24"/>
        </w:rPr>
        <w:t xml:space="preserve"> AND THEIR </w:t>
      </w:r>
      <w:r w:rsidR="009F17E5" w:rsidRPr="00AB52EE">
        <w:rPr>
          <w:rFonts w:cs="Arial"/>
          <w:b/>
          <w:bCs/>
          <w:szCs w:val="24"/>
        </w:rPr>
        <w:t>REQUIREMENTS</w:t>
      </w:r>
    </w:p>
    <w:p w14:paraId="37E068D2" w14:textId="422DA80B" w:rsidR="00520264" w:rsidRPr="00AB52EE" w:rsidRDefault="00520264" w:rsidP="002A135E">
      <w:pPr>
        <w:pStyle w:val="LC1"/>
        <w:keepNext/>
        <w:numPr>
          <w:ilvl w:val="0"/>
          <w:numId w:val="0"/>
        </w:numPr>
        <w:ind w:left="720" w:hanging="720"/>
        <w:rPr>
          <w:rFonts w:cs="Arial"/>
          <w:szCs w:val="24"/>
          <w:u w:val="single"/>
        </w:rPr>
      </w:pPr>
      <w:r w:rsidRPr="00AB52EE">
        <w:rPr>
          <w:rFonts w:cs="Arial"/>
          <w:szCs w:val="24"/>
          <w:u w:val="single"/>
        </w:rPr>
        <w:t xml:space="preserve">The three threshold requirements at the </w:t>
      </w:r>
      <w:r w:rsidRPr="00AB52EE">
        <w:rPr>
          <w:rFonts w:cs="Arial"/>
          <w:i/>
          <w:iCs/>
          <w:szCs w:val="24"/>
          <w:u w:val="single"/>
        </w:rPr>
        <w:t>ex parte</w:t>
      </w:r>
      <w:r w:rsidRPr="00AB52EE">
        <w:rPr>
          <w:rFonts w:cs="Arial"/>
          <w:szCs w:val="24"/>
          <w:u w:val="single"/>
        </w:rPr>
        <w:t xml:space="preserve"> stage</w:t>
      </w:r>
    </w:p>
    <w:p w14:paraId="429E24ED" w14:textId="729ED0AA" w:rsidR="00327C18" w:rsidRPr="00AB52EE" w:rsidRDefault="00327C18" w:rsidP="007A27ED">
      <w:pPr>
        <w:pStyle w:val="LC1"/>
        <w:rPr>
          <w:rFonts w:cs="Arial"/>
          <w:szCs w:val="24"/>
        </w:rPr>
      </w:pPr>
      <w:r w:rsidRPr="00AB52EE">
        <w:rPr>
          <w:rFonts w:cs="Arial"/>
          <w:szCs w:val="24"/>
        </w:rPr>
        <w:t xml:space="preserve">The availability </w:t>
      </w:r>
      <w:r w:rsidR="002A135E" w:rsidRPr="00AB52EE">
        <w:rPr>
          <w:rFonts w:cs="Arial"/>
          <w:szCs w:val="24"/>
        </w:rPr>
        <w:t xml:space="preserve">under </w:t>
      </w:r>
      <w:r w:rsidRPr="00AB52EE">
        <w:rPr>
          <w:rFonts w:cs="Arial"/>
          <w:szCs w:val="24"/>
        </w:rPr>
        <w:t xml:space="preserve">South African law </w:t>
      </w:r>
      <w:r w:rsidR="0062092E" w:rsidRPr="00AB52EE">
        <w:rPr>
          <w:rFonts w:cs="Arial"/>
          <w:szCs w:val="24"/>
        </w:rPr>
        <w:t xml:space="preserve">of orders obtained </w:t>
      </w:r>
      <w:r w:rsidR="0062092E" w:rsidRPr="00AB52EE">
        <w:rPr>
          <w:rFonts w:cs="Arial"/>
          <w:i/>
          <w:iCs/>
          <w:szCs w:val="24"/>
        </w:rPr>
        <w:t>ex parte</w:t>
      </w:r>
      <w:r w:rsidR="0062092E" w:rsidRPr="00AB52EE">
        <w:rPr>
          <w:rFonts w:cs="Arial"/>
          <w:szCs w:val="24"/>
        </w:rPr>
        <w:t xml:space="preserve"> and </w:t>
      </w:r>
      <w:r w:rsidR="0062092E" w:rsidRPr="00AB52EE">
        <w:rPr>
          <w:rFonts w:cs="Arial"/>
          <w:i/>
          <w:iCs/>
          <w:szCs w:val="24"/>
        </w:rPr>
        <w:t>in camera</w:t>
      </w:r>
      <w:r w:rsidR="0062092E" w:rsidRPr="00AB52EE">
        <w:rPr>
          <w:rFonts w:cs="Arial"/>
          <w:szCs w:val="24"/>
        </w:rPr>
        <w:t xml:space="preserve"> for the attachment of documents and other things to which no right is claimed except that they should be preserved for and produced as evidence in intended litigation between the parties </w:t>
      </w:r>
      <w:r w:rsidRPr="00AB52EE">
        <w:rPr>
          <w:rFonts w:cs="Arial"/>
          <w:szCs w:val="24"/>
        </w:rPr>
        <w:t xml:space="preserve">was first recognised at the appellate level in </w:t>
      </w:r>
      <w:r w:rsidRPr="00AB52EE">
        <w:rPr>
          <w:rFonts w:cs="Arial"/>
          <w:i/>
          <w:iCs/>
          <w:szCs w:val="24"/>
        </w:rPr>
        <w:t>Universal City Studios</w:t>
      </w:r>
      <w:r w:rsidR="00B742D7" w:rsidRPr="00AB52EE">
        <w:rPr>
          <w:rFonts w:cs="Arial"/>
          <w:szCs w:val="24"/>
        </w:rPr>
        <w:t>.</w:t>
      </w:r>
      <w:r w:rsidRPr="00AB52EE">
        <w:rPr>
          <w:rFonts w:cs="Arial"/>
          <w:i/>
          <w:iCs/>
          <w:szCs w:val="24"/>
        </w:rPr>
        <w:t xml:space="preserve"> </w:t>
      </w:r>
      <w:r w:rsidR="00B742D7" w:rsidRPr="00AB52EE">
        <w:rPr>
          <w:rFonts w:cs="Arial"/>
          <w:szCs w:val="24"/>
        </w:rPr>
        <w:t xml:space="preserve">In that case, </w:t>
      </w:r>
      <w:r w:rsidRPr="00AB52EE">
        <w:rPr>
          <w:rFonts w:cs="Arial"/>
          <w:szCs w:val="24"/>
        </w:rPr>
        <w:t xml:space="preserve">the </w:t>
      </w:r>
      <w:r w:rsidR="00B742D7" w:rsidRPr="00AB52EE">
        <w:rPr>
          <w:rFonts w:cs="Arial"/>
          <w:szCs w:val="24"/>
        </w:rPr>
        <w:t xml:space="preserve">Appellate Division </w:t>
      </w:r>
      <w:r w:rsidR="00543E50" w:rsidRPr="00AB52EE">
        <w:rPr>
          <w:rFonts w:cs="Arial"/>
          <w:szCs w:val="24"/>
        </w:rPr>
        <w:t xml:space="preserve">per Corbett JA </w:t>
      </w:r>
      <w:r w:rsidR="00946513" w:rsidRPr="00AB52EE">
        <w:rPr>
          <w:rFonts w:cs="Arial"/>
          <w:szCs w:val="24"/>
        </w:rPr>
        <w:t xml:space="preserve">held </w:t>
      </w:r>
      <w:r w:rsidR="00F73C84" w:rsidRPr="00AB52EE">
        <w:rPr>
          <w:rFonts w:cs="Arial"/>
          <w:szCs w:val="24"/>
        </w:rPr>
        <w:t xml:space="preserve">(albeit in an </w:t>
      </w:r>
      <w:r w:rsidR="00F73C84" w:rsidRPr="00AB52EE">
        <w:rPr>
          <w:rFonts w:cs="Arial"/>
          <w:i/>
          <w:iCs/>
          <w:szCs w:val="24"/>
        </w:rPr>
        <w:t>obiter dictum</w:t>
      </w:r>
      <w:r w:rsidR="00F73C84" w:rsidRPr="00AB52EE">
        <w:rPr>
          <w:rFonts w:cs="Arial"/>
          <w:szCs w:val="24"/>
        </w:rPr>
        <w:t xml:space="preserve">) </w:t>
      </w:r>
      <w:r w:rsidR="00946513" w:rsidRPr="00AB52EE">
        <w:rPr>
          <w:rFonts w:cs="Arial"/>
          <w:szCs w:val="24"/>
        </w:rPr>
        <w:t xml:space="preserve">that </w:t>
      </w:r>
      <w:r w:rsidR="0062092E" w:rsidRPr="00AB52EE">
        <w:rPr>
          <w:rFonts w:cs="Arial"/>
          <w:szCs w:val="24"/>
        </w:rPr>
        <w:t xml:space="preserve">such </w:t>
      </w:r>
      <w:r w:rsidR="00946513" w:rsidRPr="00AB52EE">
        <w:rPr>
          <w:rFonts w:cs="Arial"/>
          <w:szCs w:val="24"/>
        </w:rPr>
        <w:t xml:space="preserve">orders </w:t>
      </w:r>
      <w:r w:rsidR="006925B8" w:rsidRPr="00AB52EE">
        <w:rPr>
          <w:rFonts w:cs="Arial"/>
          <w:szCs w:val="24"/>
        </w:rPr>
        <w:t xml:space="preserve">are </w:t>
      </w:r>
      <w:r w:rsidR="00543E50" w:rsidRPr="00AB52EE">
        <w:rPr>
          <w:rFonts w:cs="Arial"/>
          <w:szCs w:val="24"/>
        </w:rPr>
        <w:t xml:space="preserve">discretionary remedies that would </w:t>
      </w:r>
      <w:r w:rsidR="00946513" w:rsidRPr="00AB52EE">
        <w:rPr>
          <w:rFonts w:cs="Arial"/>
          <w:szCs w:val="24"/>
        </w:rPr>
        <w:t xml:space="preserve">in principle </w:t>
      </w:r>
      <w:r w:rsidR="002A135E" w:rsidRPr="00AB52EE">
        <w:rPr>
          <w:rFonts w:cs="Arial"/>
          <w:szCs w:val="24"/>
        </w:rPr>
        <w:t xml:space="preserve">be </w:t>
      </w:r>
      <w:r w:rsidR="00946513" w:rsidRPr="00AB52EE">
        <w:rPr>
          <w:rFonts w:cs="Arial"/>
          <w:szCs w:val="24"/>
        </w:rPr>
        <w:t>available</w:t>
      </w:r>
      <w:r w:rsidR="00543E50" w:rsidRPr="00AB52EE">
        <w:rPr>
          <w:rFonts w:cs="Arial"/>
          <w:szCs w:val="24"/>
        </w:rPr>
        <w:t xml:space="preserve"> </w:t>
      </w:r>
      <w:r w:rsidR="002A135E" w:rsidRPr="00AB52EE">
        <w:rPr>
          <w:rFonts w:cs="Arial"/>
          <w:szCs w:val="24"/>
        </w:rPr>
        <w:t xml:space="preserve">to an </w:t>
      </w:r>
      <w:r w:rsidR="002F4137" w:rsidRPr="00AB52EE">
        <w:rPr>
          <w:rFonts w:cs="Arial"/>
          <w:szCs w:val="24"/>
        </w:rPr>
        <w:t xml:space="preserve">applicant </w:t>
      </w:r>
      <w:r w:rsidR="00C77D2E">
        <w:rPr>
          <w:rFonts w:cs="Arial"/>
          <w:szCs w:val="24"/>
        </w:rPr>
        <w:t xml:space="preserve">who </w:t>
      </w:r>
      <w:r w:rsidR="002F4137" w:rsidRPr="00AB52EE">
        <w:rPr>
          <w:rFonts w:cs="Arial"/>
          <w:szCs w:val="24"/>
        </w:rPr>
        <w:t>establish</w:t>
      </w:r>
      <w:r w:rsidR="00C77D2E">
        <w:rPr>
          <w:rFonts w:cs="Arial"/>
          <w:szCs w:val="24"/>
        </w:rPr>
        <w:t>es</w:t>
      </w:r>
      <w:r w:rsidR="002F4137" w:rsidRPr="00AB52EE">
        <w:rPr>
          <w:rFonts w:cs="Arial"/>
          <w:szCs w:val="24"/>
        </w:rPr>
        <w:t xml:space="preserve"> the </w:t>
      </w:r>
      <w:r w:rsidRPr="00AB52EE">
        <w:rPr>
          <w:rFonts w:cs="Arial"/>
          <w:szCs w:val="24"/>
        </w:rPr>
        <w:t xml:space="preserve">following three </w:t>
      </w:r>
      <w:r w:rsidR="00520264" w:rsidRPr="00AB52EE">
        <w:rPr>
          <w:rFonts w:cs="Arial"/>
          <w:szCs w:val="24"/>
        </w:rPr>
        <w:t xml:space="preserve">threshold </w:t>
      </w:r>
      <w:r w:rsidRPr="00AB52EE">
        <w:rPr>
          <w:rFonts w:cs="Arial"/>
          <w:szCs w:val="24"/>
        </w:rPr>
        <w:t>requirements</w:t>
      </w:r>
      <w:r w:rsidR="00946513" w:rsidRPr="00AB52EE">
        <w:rPr>
          <w:rFonts w:cs="Arial"/>
          <w:szCs w:val="24"/>
        </w:rPr>
        <w:t xml:space="preserve"> </w:t>
      </w:r>
      <w:r w:rsidR="002F4137" w:rsidRPr="00AB52EE">
        <w:rPr>
          <w:rFonts w:cs="Arial"/>
          <w:szCs w:val="24"/>
        </w:rPr>
        <w:t xml:space="preserve">on a </w:t>
      </w:r>
      <w:r w:rsidR="002F4137" w:rsidRPr="00AB52EE">
        <w:rPr>
          <w:rFonts w:cs="Arial"/>
          <w:i/>
          <w:iCs/>
          <w:szCs w:val="24"/>
        </w:rPr>
        <w:t>prima facie</w:t>
      </w:r>
      <w:r w:rsidR="002F4137" w:rsidRPr="00AB52EE">
        <w:rPr>
          <w:rFonts w:cs="Arial"/>
          <w:szCs w:val="24"/>
        </w:rPr>
        <w:t xml:space="preserve"> basis</w:t>
      </w:r>
      <w:r w:rsidRPr="00AB52EE">
        <w:rPr>
          <w:rFonts w:cs="Arial"/>
          <w:szCs w:val="24"/>
        </w:rPr>
        <w:t>:</w:t>
      </w:r>
    </w:p>
    <w:p w14:paraId="47FB6E7D" w14:textId="3C478DC8" w:rsidR="00327C18" w:rsidRPr="00AB52EE" w:rsidRDefault="00327C18" w:rsidP="007A27ED">
      <w:pPr>
        <w:pStyle w:val="LC2"/>
        <w:rPr>
          <w:rFonts w:cs="Arial"/>
          <w:szCs w:val="24"/>
        </w:rPr>
      </w:pPr>
      <w:r w:rsidRPr="00AB52EE">
        <w:rPr>
          <w:rFonts w:cs="Arial"/>
          <w:szCs w:val="24"/>
        </w:rPr>
        <w:t xml:space="preserve">that the applicant has a </w:t>
      </w:r>
      <w:bookmarkStart w:id="11" w:name="_Hlk151493881"/>
      <w:r w:rsidRPr="00AB52EE">
        <w:rPr>
          <w:rFonts w:cs="Arial"/>
          <w:szCs w:val="24"/>
        </w:rPr>
        <w:t>cause of action against the respondent which it intends to pursue</w:t>
      </w:r>
      <w:bookmarkEnd w:id="11"/>
      <w:r w:rsidRPr="00AB52EE">
        <w:rPr>
          <w:rFonts w:cs="Arial"/>
          <w:szCs w:val="24"/>
        </w:rPr>
        <w:t>;</w:t>
      </w:r>
    </w:p>
    <w:p w14:paraId="13CA9BD0" w14:textId="0533FF42" w:rsidR="00327C18" w:rsidRPr="00AB52EE" w:rsidRDefault="00327C18" w:rsidP="007A27ED">
      <w:pPr>
        <w:pStyle w:val="LC2"/>
        <w:rPr>
          <w:rFonts w:cs="Arial"/>
          <w:szCs w:val="24"/>
        </w:rPr>
      </w:pPr>
      <w:r w:rsidRPr="00AB52EE">
        <w:rPr>
          <w:rFonts w:cs="Arial"/>
          <w:szCs w:val="24"/>
        </w:rPr>
        <w:t xml:space="preserve">that the respondent has in </w:t>
      </w:r>
      <w:r w:rsidR="002F4137" w:rsidRPr="00AB52EE">
        <w:rPr>
          <w:rFonts w:cs="Arial"/>
          <w:szCs w:val="24"/>
        </w:rPr>
        <w:t xml:space="preserve">its </w:t>
      </w:r>
      <w:r w:rsidRPr="00AB52EE">
        <w:rPr>
          <w:rFonts w:cs="Arial"/>
          <w:szCs w:val="24"/>
        </w:rPr>
        <w:t xml:space="preserve">possession specific documents or things which constitute vital evidence in substantiation of </w:t>
      </w:r>
      <w:r w:rsidR="002F4137" w:rsidRPr="00AB52EE">
        <w:rPr>
          <w:rFonts w:cs="Arial"/>
          <w:szCs w:val="24"/>
        </w:rPr>
        <w:t xml:space="preserve">the </w:t>
      </w:r>
      <w:r w:rsidRPr="00AB52EE">
        <w:rPr>
          <w:rFonts w:cs="Arial"/>
          <w:szCs w:val="24"/>
        </w:rPr>
        <w:t xml:space="preserve">applicant's cause of action (but </w:t>
      </w:r>
      <w:bookmarkStart w:id="12" w:name="_Hlk150091874"/>
      <w:r w:rsidRPr="00AB52EE">
        <w:rPr>
          <w:rFonts w:cs="Arial"/>
          <w:szCs w:val="24"/>
        </w:rPr>
        <w:t xml:space="preserve">in respect of which </w:t>
      </w:r>
      <w:r w:rsidR="002F4137" w:rsidRPr="00AB52EE">
        <w:rPr>
          <w:rFonts w:cs="Arial"/>
          <w:szCs w:val="24"/>
        </w:rPr>
        <w:t xml:space="preserve">it </w:t>
      </w:r>
      <w:r w:rsidRPr="00AB52EE">
        <w:rPr>
          <w:rFonts w:cs="Arial"/>
          <w:szCs w:val="24"/>
        </w:rPr>
        <w:t xml:space="preserve">can claim </w:t>
      </w:r>
      <w:r w:rsidR="002F4137" w:rsidRPr="00AB52EE">
        <w:rPr>
          <w:rFonts w:cs="Arial"/>
          <w:szCs w:val="24"/>
        </w:rPr>
        <w:t xml:space="preserve">no </w:t>
      </w:r>
      <w:r w:rsidRPr="00AB52EE">
        <w:rPr>
          <w:rFonts w:cs="Arial"/>
          <w:szCs w:val="24"/>
        </w:rPr>
        <w:t xml:space="preserve">real or personal </w:t>
      </w:r>
      <w:r w:rsidRPr="00AB52EE">
        <w:rPr>
          <w:rFonts w:cs="Arial"/>
          <w:szCs w:val="24"/>
        </w:rPr>
        <w:lastRenderedPageBreak/>
        <w:t>right</w:t>
      </w:r>
      <w:bookmarkEnd w:id="12"/>
      <w:r w:rsidRPr="00AB52EE">
        <w:rPr>
          <w:rFonts w:cs="Arial"/>
          <w:szCs w:val="24"/>
        </w:rPr>
        <w:t>); and</w:t>
      </w:r>
    </w:p>
    <w:p w14:paraId="5EC82B57" w14:textId="3DABB3A6" w:rsidR="00327C18" w:rsidRPr="00AB52EE" w:rsidRDefault="00327C18" w:rsidP="007A27ED">
      <w:pPr>
        <w:pStyle w:val="LC2"/>
        <w:rPr>
          <w:rFonts w:cs="Arial"/>
          <w:szCs w:val="24"/>
        </w:rPr>
      </w:pPr>
      <w:r w:rsidRPr="00AB52EE">
        <w:rPr>
          <w:rFonts w:cs="Arial"/>
          <w:szCs w:val="24"/>
        </w:rPr>
        <w:t xml:space="preserve">that there is a </w:t>
      </w:r>
      <w:bookmarkStart w:id="13" w:name="_Hlk150092287"/>
      <w:r w:rsidRPr="00AB52EE">
        <w:rPr>
          <w:rFonts w:cs="Arial"/>
          <w:szCs w:val="24"/>
        </w:rPr>
        <w:t>real and well-founded apprehension that this evidence may be hidden or destroyed or in some manner spirited away by the time the case comes to trial</w:t>
      </w:r>
      <w:r w:rsidR="002F4137" w:rsidRPr="00AB52EE">
        <w:rPr>
          <w:rFonts w:cs="Arial"/>
          <w:szCs w:val="24"/>
        </w:rPr>
        <w:t>,</w:t>
      </w:r>
      <w:r w:rsidRPr="00AB52EE">
        <w:rPr>
          <w:rFonts w:cs="Arial"/>
          <w:szCs w:val="24"/>
        </w:rPr>
        <w:t xml:space="preserve"> or </w:t>
      </w:r>
      <w:r w:rsidR="002F4137" w:rsidRPr="00AB52EE">
        <w:rPr>
          <w:rFonts w:cs="Arial"/>
          <w:szCs w:val="24"/>
        </w:rPr>
        <w:t xml:space="preserve">to </w:t>
      </w:r>
      <w:r w:rsidRPr="00AB52EE">
        <w:rPr>
          <w:rFonts w:cs="Arial"/>
          <w:szCs w:val="24"/>
        </w:rPr>
        <w:t>the stage of discovery</w:t>
      </w:r>
      <w:bookmarkEnd w:id="13"/>
      <w:r w:rsidRPr="00AB52EE">
        <w:rPr>
          <w:rFonts w:cs="Arial"/>
          <w:szCs w:val="24"/>
        </w:rPr>
        <w:t>.</w:t>
      </w:r>
      <w:r w:rsidRPr="00AB52EE">
        <w:rPr>
          <w:rStyle w:val="FootnoteReference"/>
          <w:szCs w:val="24"/>
        </w:rPr>
        <w:footnoteReference w:id="11"/>
      </w:r>
    </w:p>
    <w:p w14:paraId="7EF2F25A" w14:textId="77777777" w:rsidR="00623E8C" w:rsidRPr="00AB52EE" w:rsidRDefault="00543E50" w:rsidP="007A27ED">
      <w:pPr>
        <w:pStyle w:val="LC1"/>
        <w:rPr>
          <w:rFonts w:cs="Arial"/>
          <w:szCs w:val="24"/>
          <w:lang w:eastAsia="en-ZA"/>
        </w:rPr>
      </w:pPr>
      <w:bookmarkStart w:id="14" w:name="_Ref149320392"/>
      <w:r w:rsidRPr="00AB52EE">
        <w:rPr>
          <w:rFonts w:cs="Arial"/>
          <w:szCs w:val="24"/>
          <w:lang w:eastAsia="en-ZA"/>
        </w:rPr>
        <w:t>While t</w:t>
      </w:r>
      <w:r w:rsidR="002F4137" w:rsidRPr="00AB52EE">
        <w:rPr>
          <w:rFonts w:cs="Arial"/>
          <w:szCs w:val="24"/>
          <w:lang w:eastAsia="en-ZA"/>
        </w:rPr>
        <w:t xml:space="preserve">he </w:t>
      </w:r>
      <w:r w:rsidR="00A01AA1" w:rsidRPr="00AB52EE">
        <w:rPr>
          <w:rFonts w:cs="Arial"/>
          <w:szCs w:val="24"/>
          <w:lang w:eastAsia="en-ZA"/>
        </w:rPr>
        <w:t>C</w:t>
      </w:r>
      <w:r w:rsidR="002F4137" w:rsidRPr="00AB52EE">
        <w:rPr>
          <w:rFonts w:cs="Arial"/>
          <w:szCs w:val="24"/>
          <w:lang w:eastAsia="en-ZA"/>
        </w:rPr>
        <w:t xml:space="preserve">ourt furthermore </w:t>
      </w:r>
      <w:r w:rsidRPr="00AB52EE">
        <w:rPr>
          <w:rFonts w:cs="Arial"/>
          <w:szCs w:val="24"/>
          <w:lang w:eastAsia="en-ZA"/>
        </w:rPr>
        <w:t xml:space="preserve">contemplated </w:t>
      </w:r>
      <w:r w:rsidR="002F4137" w:rsidRPr="00AB52EE">
        <w:rPr>
          <w:rFonts w:cs="Arial"/>
          <w:szCs w:val="24"/>
          <w:lang w:eastAsia="en-ZA"/>
        </w:rPr>
        <w:t xml:space="preserve">that the grant of </w:t>
      </w:r>
      <w:r w:rsidRPr="00AB52EE">
        <w:rPr>
          <w:rFonts w:cs="Arial"/>
          <w:szCs w:val="24"/>
          <w:lang w:eastAsia="en-ZA"/>
        </w:rPr>
        <w:t xml:space="preserve">such an </w:t>
      </w:r>
      <w:r w:rsidR="002F4137" w:rsidRPr="00AB52EE">
        <w:rPr>
          <w:rFonts w:cs="Arial"/>
          <w:szCs w:val="24"/>
          <w:lang w:eastAsia="en-ZA"/>
        </w:rPr>
        <w:t xml:space="preserve">order </w:t>
      </w:r>
      <w:r w:rsidRPr="00AB52EE">
        <w:rPr>
          <w:rFonts w:cs="Arial"/>
          <w:szCs w:val="24"/>
          <w:lang w:eastAsia="en-ZA"/>
        </w:rPr>
        <w:t xml:space="preserve">might </w:t>
      </w:r>
      <w:r w:rsidR="002F4137" w:rsidRPr="00AB52EE">
        <w:rPr>
          <w:rFonts w:cs="Arial"/>
          <w:szCs w:val="24"/>
          <w:lang w:eastAsia="en-ZA"/>
        </w:rPr>
        <w:t>be “especially” appropriate “if there is no feasible alternative”</w:t>
      </w:r>
      <w:r w:rsidRPr="00AB52EE">
        <w:rPr>
          <w:rFonts w:cs="Arial"/>
          <w:szCs w:val="24"/>
          <w:lang w:eastAsia="en-ZA"/>
        </w:rPr>
        <w:t>,</w:t>
      </w:r>
      <w:r w:rsidR="002F4137" w:rsidRPr="00AB52EE">
        <w:rPr>
          <w:rStyle w:val="FootnoteReference"/>
          <w:szCs w:val="24"/>
          <w:lang w:eastAsia="en-ZA"/>
        </w:rPr>
        <w:footnoteReference w:id="12"/>
      </w:r>
      <w:r w:rsidRPr="00AB52EE">
        <w:rPr>
          <w:rFonts w:cs="Arial"/>
          <w:szCs w:val="24"/>
          <w:lang w:eastAsia="en-ZA"/>
        </w:rPr>
        <w:t xml:space="preserve"> this is not a</w:t>
      </w:r>
      <w:r w:rsidR="00B742D7" w:rsidRPr="00AB52EE">
        <w:rPr>
          <w:rFonts w:cs="Arial"/>
          <w:szCs w:val="24"/>
          <w:lang w:eastAsia="en-ZA"/>
        </w:rPr>
        <w:t xml:space="preserve">n actual prerequisite </w:t>
      </w:r>
      <w:r w:rsidRPr="00AB52EE">
        <w:rPr>
          <w:rFonts w:cs="Arial"/>
          <w:szCs w:val="24"/>
          <w:lang w:eastAsia="en-ZA"/>
        </w:rPr>
        <w:t>of the remedy. When t</w:t>
      </w:r>
      <w:r w:rsidR="000D22CA" w:rsidRPr="00AB52EE">
        <w:rPr>
          <w:rFonts w:cs="Arial"/>
          <w:szCs w:val="24"/>
        </w:rPr>
        <w:t xml:space="preserve">he requirements were </w:t>
      </w:r>
      <w:r w:rsidR="002A135E" w:rsidRPr="00AB52EE">
        <w:rPr>
          <w:rFonts w:cs="Arial"/>
          <w:szCs w:val="24"/>
        </w:rPr>
        <w:t xml:space="preserve">subsequently </w:t>
      </w:r>
      <w:r w:rsidR="000D22CA" w:rsidRPr="00AB52EE">
        <w:rPr>
          <w:rFonts w:cs="Arial"/>
          <w:szCs w:val="24"/>
        </w:rPr>
        <w:t xml:space="preserve">confirmed as part of the </w:t>
      </w:r>
      <w:r w:rsidR="000D22CA" w:rsidRPr="00AB52EE">
        <w:rPr>
          <w:rFonts w:cs="Arial"/>
          <w:i/>
          <w:iCs/>
          <w:szCs w:val="24"/>
        </w:rPr>
        <w:t>ratio decidendi</w:t>
      </w:r>
      <w:r w:rsidR="000D22CA" w:rsidRPr="00AB52EE">
        <w:rPr>
          <w:rFonts w:cs="Arial"/>
          <w:szCs w:val="24"/>
        </w:rPr>
        <w:t xml:space="preserve"> in </w:t>
      </w:r>
      <w:r w:rsidR="000D22CA" w:rsidRPr="00AB52EE">
        <w:rPr>
          <w:rFonts w:cs="Arial"/>
          <w:i/>
          <w:iCs/>
          <w:szCs w:val="24"/>
        </w:rPr>
        <w:t>Shoba</w:t>
      </w:r>
      <w:r w:rsidR="000D22CA" w:rsidRPr="00AB52EE">
        <w:rPr>
          <w:rFonts w:cs="Arial"/>
          <w:szCs w:val="24"/>
        </w:rPr>
        <w:t>,</w:t>
      </w:r>
      <w:r w:rsidR="000D22CA" w:rsidRPr="00AB52EE">
        <w:rPr>
          <w:rStyle w:val="FootnoteReference"/>
          <w:szCs w:val="24"/>
        </w:rPr>
        <w:footnoteReference w:id="13"/>
      </w:r>
      <w:r w:rsidR="000D22CA" w:rsidRPr="00AB52EE">
        <w:rPr>
          <w:rFonts w:cs="Arial"/>
          <w:szCs w:val="24"/>
        </w:rPr>
        <w:t xml:space="preserve"> </w:t>
      </w:r>
      <w:r w:rsidRPr="00AB52EE">
        <w:rPr>
          <w:rFonts w:cs="Arial"/>
          <w:szCs w:val="24"/>
        </w:rPr>
        <w:t xml:space="preserve">Corbett JA </w:t>
      </w:r>
      <w:r w:rsidR="00B742D7" w:rsidRPr="00AB52EE">
        <w:rPr>
          <w:rFonts w:cs="Arial"/>
          <w:szCs w:val="24"/>
        </w:rPr>
        <w:t xml:space="preserve">indicated </w:t>
      </w:r>
      <w:r w:rsidR="000D22CA" w:rsidRPr="00AB52EE">
        <w:rPr>
          <w:rFonts w:cs="Arial"/>
          <w:szCs w:val="24"/>
        </w:rPr>
        <w:t xml:space="preserve">that </w:t>
      </w:r>
      <w:r w:rsidRPr="00AB52EE">
        <w:rPr>
          <w:rFonts w:cs="Arial"/>
          <w:szCs w:val="24"/>
        </w:rPr>
        <w:t xml:space="preserve">he had used the </w:t>
      </w:r>
      <w:r w:rsidR="000D22CA" w:rsidRPr="00AB52EE">
        <w:rPr>
          <w:rFonts w:cs="Arial"/>
          <w:szCs w:val="24"/>
        </w:rPr>
        <w:t xml:space="preserve">phrase “vital evidence” </w:t>
      </w:r>
      <w:r w:rsidR="00B742D7" w:rsidRPr="00AB52EE">
        <w:rPr>
          <w:rFonts w:cs="Arial"/>
          <w:szCs w:val="24"/>
        </w:rPr>
        <w:t xml:space="preserve">in </w:t>
      </w:r>
      <w:r w:rsidR="00B742D7" w:rsidRPr="00AB52EE">
        <w:rPr>
          <w:rFonts w:cs="Arial"/>
          <w:i/>
          <w:iCs/>
          <w:szCs w:val="24"/>
        </w:rPr>
        <w:t>Universal City Studios</w:t>
      </w:r>
      <w:r w:rsidR="00B742D7" w:rsidRPr="00AB52EE">
        <w:rPr>
          <w:rFonts w:cs="Arial"/>
          <w:szCs w:val="24"/>
        </w:rPr>
        <w:t xml:space="preserve"> </w:t>
      </w:r>
      <w:r w:rsidR="000D22CA" w:rsidRPr="00AB52EE">
        <w:rPr>
          <w:rFonts w:cs="Arial"/>
          <w:szCs w:val="24"/>
        </w:rPr>
        <w:t>“</w:t>
      </w:r>
      <w:r w:rsidR="000D22CA" w:rsidRPr="00AB52EE">
        <w:rPr>
          <w:rFonts w:cs="Arial"/>
          <w:szCs w:val="24"/>
          <w:lang w:eastAsia="en-GB"/>
        </w:rPr>
        <w:t xml:space="preserve">in the sense of being evidence of great importance to the applicant's case” and that it would be “too stringent” to require an applicant </w:t>
      </w:r>
      <w:r w:rsidR="00623E8C" w:rsidRPr="00AB52EE">
        <w:rPr>
          <w:rFonts w:cs="Arial"/>
          <w:szCs w:val="24"/>
          <w:lang w:eastAsia="en-GB"/>
        </w:rPr>
        <w:t>“</w:t>
      </w:r>
      <w:r w:rsidR="000D22CA" w:rsidRPr="00AB52EE">
        <w:rPr>
          <w:rFonts w:cs="Arial"/>
          <w:szCs w:val="24"/>
          <w:lang w:eastAsia="en-GB"/>
        </w:rPr>
        <w:t xml:space="preserve">to show that the evidence was </w:t>
      </w:r>
      <w:r w:rsidR="00623E8C" w:rsidRPr="00AB52EE">
        <w:rPr>
          <w:rFonts w:cs="Arial"/>
          <w:szCs w:val="24"/>
          <w:lang w:eastAsia="en-GB"/>
        </w:rPr>
        <w:t>‘</w:t>
      </w:r>
      <w:r w:rsidR="000D22CA" w:rsidRPr="00AB52EE">
        <w:rPr>
          <w:rFonts w:cs="Arial"/>
          <w:szCs w:val="24"/>
          <w:lang w:eastAsia="en-GB"/>
        </w:rPr>
        <w:t>essential</w:t>
      </w:r>
      <w:r w:rsidR="00623E8C" w:rsidRPr="00AB52EE">
        <w:rPr>
          <w:rFonts w:cs="Arial"/>
          <w:szCs w:val="24"/>
          <w:lang w:eastAsia="en-GB"/>
        </w:rPr>
        <w:t>’</w:t>
      </w:r>
      <w:r w:rsidR="000D22CA" w:rsidRPr="00AB52EE">
        <w:rPr>
          <w:rFonts w:cs="Arial"/>
          <w:szCs w:val="24"/>
          <w:lang w:eastAsia="en-GB"/>
        </w:rPr>
        <w:t xml:space="preserve"> or </w:t>
      </w:r>
      <w:r w:rsidR="00623E8C" w:rsidRPr="00AB52EE">
        <w:rPr>
          <w:rFonts w:cs="Arial"/>
          <w:szCs w:val="24"/>
          <w:lang w:eastAsia="en-GB"/>
        </w:rPr>
        <w:t>‘</w:t>
      </w:r>
      <w:r w:rsidR="000D22CA" w:rsidRPr="00AB52EE">
        <w:rPr>
          <w:rFonts w:cs="Arial"/>
          <w:szCs w:val="24"/>
          <w:lang w:eastAsia="en-GB"/>
        </w:rPr>
        <w:t>absolutely necessary</w:t>
      </w:r>
      <w:r w:rsidR="00623E8C" w:rsidRPr="00AB52EE">
        <w:rPr>
          <w:rFonts w:cs="Arial"/>
          <w:szCs w:val="24"/>
          <w:lang w:eastAsia="en-GB"/>
        </w:rPr>
        <w:t>’</w:t>
      </w:r>
      <w:r w:rsidR="000D22CA" w:rsidRPr="00AB52EE">
        <w:rPr>
          <w:rFonts w:cs="Arial"/>
          <w:szCs w:val="24"/>
          <w:lang w:eastAsia="en-GB"/>
        </w:rPr>
        <w:t xml:space="preserve"> in order for him to prove his claim and that its non-availability at the trial would result in the administration of justice being defeated</w:t>
      </w:r>
      <w:r w:rsidR="00623E8C" w:rsidRPr="00AB52EE">
        <w:rPr>
          <w:rFonts w:cs="Arial"/>
          <w:szCs w:val="24"/>
          <w:lang w:eastAsia="en-GB"/>
        </w:rPr>
        <w:t>.”</w:t>
      </w:r>
      <w:r w:rsidR="000D22CA" w:rsidRPr="00AB52EE">
        <w:rPr>
          <w:rStyle w:val="FootnoteReference"/>
          <w:szCs w:val="24"/>
          <w:lang w:eastAsia="en-GB"/>
        </w:rPr>
        <w:footnoteReference w:id="14"/>
      </w:r>
      <w:r w:rsidR="00EC457F" w:rsidRPr="00AB52EE">
        <w:rPr>
          <w:rFonts w:cs="Arial"/>
          <w:szCs w:val="24"/>
          <w:lang w:eastAsia="en-GB"/>
        </w:rPr>
        <w:t xml:space="preserve"> </w:t>
      </w:r>
    </w:p>
    <w:p w14:paraId="59288EA4" w14:textId="7853B067" w:rsidR="000D22CA" w:rsidRPr="00AB52EE" w:rsidRDefault="00EC457F" w:rsidP="007A27ED">
      <w:pPr>
        <w:pStyle w:val="LC1"/>
        <w:rPr>
          <w:rFonts w:cs="Arial"/>
          <w:szCs w:val="24"/>
          <w:lang w:eastAsia="en-ZA"/>
        </w:rPr>
      </w:pPr>
      <w:r w:rsidRPr="00AB52EE">
        <w:rPr>
          <w:rFonts w:cs="Arial"/>
          <w:szCs w:val="24"/>
          <w:lang w:eastAsia="en-GB"/>
        </w:rPr>
        <w:t xml:space="preserve">In </w:t>
      </w:r>
      <w:r w:rsidRPr="00AB52EE">
        <w:rPr>
          <w:rFonts w:cs="Arial"/>
          <w:i/>
          <w:iCs/>
          <w:szCs w:val="24"/>
          <w:lang w:eastAsia="en-GB"/>
        </w:rPr>
        <w:t>Non-Detonating Solutions</w:t>
      </w:r>
      <w:r w:rsidRPr="00AB52EE">
        <w:rPr>
          <w:rFonts w:cs="Arial"/>
          <w:szCs w:val="24"/>
          <w:lang w:eastAsia="en-GB"/>
        </w:rPr>
        <w:t xml:space="preserve">, the SCA observed that </w:t>
      </w:r>
      <w:r w:rsidRPr="00AB52EE">
        <w:rPr>
          <w:rFonts w:cs="Arial"/>
          <w:szCs w:val="24"/>
        </w:rPr>
        <w:t xml:space="preserve">the </w:t>
      </w:r>
      <w:r w:rsidR="00623E8C" w:rsidRPr="00AB52EE">
        <w:rPr>
          <w:rFonts w:cs="Arial"/>
          <w:szCs w:val="24"/>
        </w:rPr>
        <w:t xml:space="preserve">first threshold </w:t>
      </w:r>
      <w:r w:rsidRPr="00AB52EE">
        <w:rPr>
          <w:rFonts w:cs="Arial"/>
          <w:szCs w:val="24"/>
        </w:rPr>
        <w:t xml:space="preserve">requirement of a </w:t>
      </w:r>
      <w:r w:rsidRPr="00AB52EE">
        <w:rPr>
          <w:rFonts w:cs="Arial"/>
          <w:i/>
          <w:iCs/>
          <w:szCs w:val="24"/>
        </w:rPr>
        <w:t>prima facie</w:t>
      </w:r>
      <w:r w:rsidRPr="00AB52EE">
        <w:rPr>
          <w:rFonts w:cs="Arial"/>
          <w:szCs w:val="24"/>
        </w:rPr>
        <w:t xml:space="preserve"> cause of action </w:t>
      </w:r>
      <w:r w:rsidR="00623E8C" w:rsidRPr="00AB52EE">
        <w:rPr>
          <w:rFonts w:cs="Arial"/>
          <w:szCs w:val="24"/>
        </w:rPr>
        <w:t xml:space="preserve">means </w:t>
      </w:r>
      <w:r w:rsidRPr="00AB52EE">
        <w:rPr>
          <w:rFonts w:cs="Arial"/>
          <w:szCs w:val="24"/>
        </w:rPr>
        <w:t xml:space="preserve">that an applicant </w:t>
      </w:r>
      <w:r w:rsidR="00623E8C" w:rsidRPr="00AB52EE">
        <w:rPr>
          <w:rFonts w:cs="Arial"/>
          <w:szCs w:val="24"/>
        </w:rPr>
        <w:t xml:space="preserve">need </w:t>
      </w:r>
      <w:r w:rsidRPr="00AB52EE">
        <w:rPr>
          <w:rFonts w:cs="Arial"/>
          <w:szCs w:val="24"/>
        </w:rPr>
        <w:t>show no more than that there is evidence which, if accepted, will establish a cause of action.</w:t>
      </w:r>
      <w:r w:rsidRPr="00AB52EE">
        <w:rPr>
          <w:rStyle w:val="FootnoteReference"/>
          <w:szCs w:val="24"/>
        </w:rPr>
        <w:footnoteReference w:id="15"/>
      </w:r>
      <w:r w:rsidRPr="00AB52EE">
        <w:rPr>
          <w:rFonts w:cs="Arial"/>
          <w:szCs w:val="24"/>
          <w:lang w:eastAsia="en-GB"/>
        </w:rPr>
        <w:t xml:space="preserve"> </w:t>
      </w:r>
    </w:p>
    <w:p w14:paraId="01D1C527" w14:textId="198AC43B" w:rsidR="00273984" w:rsidRPr="00AB52EE" w:rsidRDefault="00EC457F" w:rsidP="007378DD">
      <w:pPr>
        <w:pStyle w:val="LC1"/>
        <w:rPr>
          <w:rFonts w:cs="Arial"/>
          <w:szCs w:val="24"/>
        </w:rPr>
      </w:pPr>
      <w:r w:rsidRPr="00AB52EE">
        <w:rPr>
          <w:rFonts w:cs="Arial"/>
          <w:szCs w:val="24"/>
          <w:lang w:eastAsia="en-GB"/>
        </w:rPr>
        <w:t>T</w:t>
      </w:r>
      <w:r w:rsidR="00A73048" w:rsidRPr="00AB52EE">
        <w:rPr>
          <w:rFonts w:cs="Arial"/>
          <w:szCs w:val="24"/>
          <w:lang w:eastAsia="en-GB"/>
        </w:rPr>
        <w:t xml:space="preserve">he judgment in </w:t>
      </w:r>
      <w:r w:rsidR="00A73048" w:rsidRPr="00AB52EE">
        <w:rPr>
          <w:rFonts w:cs="Arial"/>
          <w:i/>
          <w:iCs/>
          <w:szCs w:val="24"/>
          <w:lang w:eastAsia="en-GB"/>
        </w:rPr>
        <w:t>Shoba</w:t>
      </w:r>
      <w:r w:rsidR="00A73048" w:rsidRPr="00AB52EE">
        <w:rPr>
          <w:rFonts w:cs="Arial"/>
          <w:szCs w:val="24"/>
          <w:lang w:eastAsia="en-GB"/>
        </w:rPr>
        <w:t xml:space="preserve"> clarified that the </w:t>
      </w:r>
      <w:r w:rsidR="000D294D" w:rsidRPr="00AB52EE">
        <w:rPr>
          <w:rFonts w:cs="Arial"/>
          <w:szCs w:val="24"/>
          <w:lang w:eastAsia="en-GB"/>
        </w:rPr>
        <w:t>reference to “</w:t>
      </w:r>
      <w:r w:rsidR="000D294D" w:rsidRPr="00AB52EE">
        <w:rPr>
          <w:rFonts w:cs="Arial"/>
          <w:szCs w:val="24"/>
        </w:rPr>
        <w:t xml:space="preserve">specific documents or </w:t>
      </w:r>
      <w:r w:rsidR="000D294D" w:rsidRPr="00AB52EE">
        <w:rPr>
          <w:rFonts w:cs="Arial"/>
          <w:szCs w:val="24"/>
        </w:rPr>
        <w:lastRenderedPageBreak/>
        <w:t xml:space="preserve">things” in the second </w:t>
      </w:r>
      <w:r w:rsidR="00AE3177" w:rsidRPr="00AB52EE">
        <w:rPr>
          <w:rFonts w:cs="Arial"/>
          <w:szCs w:val="24"/>
          <w:lang w:eastAsia="en-ZA"/>
        </w:rPr>
        <w:t xml:space="preserve">threshold </w:t>
      </w:r>
      <w:r w:rsidR="000D294D" w:rsidRPr="00AB52EE">
        <w:rPr>
          <w:rFonts w:cs="Arial"/>
          <w:szCs w:val="24"/>
        </w:rPr>
        <w:t xml:space="preserve">requirement </w:t>
      </w:r>
      <w:r w:rsidR="00A73048" w:rsidRPr="00AB52EE">
        <w:rPr>
          <w:rFonts w:cs="Arial"/>
          <w:szCs w:val="24"/>
        </w:rPr>
        <w:t xml:space="preserve">includes </w:t>
      </w:r>
      <w:r w:rsidR="00215954" w:rsidRPr="00AB52EE">
        <w:rPr>
          <w:rFonts w:cs="Arial"/>
          <w:szCs w:val="24"/>
        </w:rPr>
        <w:t xml:space="preserve">“specified” </w:t>
      </w:r>
      <w:r w:rsidR="000D294D" w:rsidRPr="00AB52EE">
        <w:rPr>
          <w:rFonts w:cs="Arial"/>
          <w:szCs w:val="24"/>
        </w:rPr>
        <w:t>items</w:t>
      </w:r>
      <w:r w:rsidR="00215954" w:rsidRPr="00AB52EE">
        <w:rPr>
          <w:rFonts w:cs="Arial"/>
          <w:szCs w:val="24"/>
        </w:rPr>
        <w:t xml:space="preserve">. The Supreme Court of </w:t>
      </w:r>
      <w:r w:rsidR="00C77D2E">
        <w:rPr>
          <w:rFonts w:cs="Arial"/>
          <w:szCs w:val="24"/>
        </w:rPr>
        <w:t>A</w:t>
      </w:r>
      <w:r w:rsidR="00215954" w:rsidRPr="00AB52EE">
        <w:rPr>
          <w:rFonts w:cs="Arial"/>
          <w:szCs w:val="24"/>
        </w:rPr>
        <w:t xml:space="preserve">ppeal has </w:t>
      </w:r>
      <w:r w:rsidR="00A73048" w:rsidRPr="00AB52EE">
        <w:rPr>
          <w:rFonts w:cs="Arial"/>
          <w:szCs w:val="24"/>
        </w:rPr>
        <w:t xml:space="preserve">subsequently confirmed </w:t>
      </w:r>
      <w:r w:rsidR="00215954" w:rsidRPr="00AB52EE">
        <w:rPr>
          <w:rFonts w:cs="Arial"/>
          <w:szCs w:val="24"/>
        </w:rPr>
        <w:t xml:space="preserve">that this </w:t>
      </w:r>
      <w:r w:rsidR="00A73048" w:rsidRPr="00AB52EE">
        <w:rPr>
          <w:rFonts w:cs="Arial"/>
          <w:szCs w:val="24"/>
        </w:rPr>
        <w:t>could include “specific classes”</w:t>
      </w:r>
      <w:r w:rsidR="00AA633B" w:rsidRPr="00AB52EE">
        <w:rPr>
          <w:rFonts w:cs="Arial"/>
          <w:szCs w:val="24"/>
        </w:rPr>
        <w:t xml:space="preserve"> of items</w:t>
      </w:r>
      <w:r w:rsidR="00A73048" w:rsidRPr="00AB52EE">
        <w:rPr>
          <w:rFonts w:cs="Arial"/>
          <w:szCs w:val="24"/>
        </w:rPr>
        <w:t xml:space="preserve">, as long as </w:t>
      </w:r>
      <w:r w:rsidR="00215954" w:rsidRPr="00AB52EE">
        <w:rPr>
          <w:rFonts w:cs="Arial"/>
          <w:szCs w:val="24"/>
        </w:rPr>
        <w:t xml:space="preserve">terms of the order </w:t>
      </w:r>
      <w:r w:rsidR="00A73048" w:rsidRPr="00AB52EE">
        <w:rPr>
          <w:rFonts w:cs="Arial"/>
          <w:szCs w:val="24"/>
        </w:rPr>
        <w:t xml:space="preserve">are </w:t>
      </w:r>
      <w:r w:rsidR="00215954" w:rsidRPr="00AB52EE">
        <w:rPr>
          <w:rFonts w:cs="Arial"/>
          <w:szCs w:val="24"/>
        </w:rPr>
        <w:t xml:space="preserve">“delimited appropriately and are not so general and wide as to afford </w:t>
      </w:r>
      <w:r w:rsidR="00A73048" w:rsidRPr="00AB52EE">
        <w:rPr>
          <w:rFonts w:cs="Arial"/>
          <w:szCs w:val="24"/>
        </w:rPr>
        <w:t xml:space="preserve">… </w:t>
      </w:r>
      <w:r w:rsidR="00215954" w:rsidRPr="00AB52EE">
        <w:rPr>
          <w:rFonts w:cs="Arial"/>
          <w:szCs w:val="24"/>
        </w:rPr>
        <w:t>access to</w:t>
      </w:r>
      <w:r w:rsidR="00A73048" w:rsidRPr="00AB52EE">
        <w:rPr>
          <w:rFonts w:cs="Arial"/>
          <w:szCs w:val="24"/>
        </w:rPr>
        <w:t xml:space="preserve"> </w:t>
      </w:r>
      <w:r w:rsidR="00215954" w:rsidRPr="00AB52EE">
        <w:rPr>
          <w:rFonts w:cs="Arial"/>
          <w:szCs w:val="24"/>
        </w:rPr>
        <w:t xml:space="preserve">documents, information and articles to which </w:t>
      </w:r>
      <w:r w:rsidR="00A73048" w:rsidRPr="00AB52EE">
        <w:rPr>
          <w:rFonts w:cs="Arial"/>
          <w:szCs w:val="24"/>
        </w:rPr>
        <w:t xml:space="preserve">[the applicant’s] </w:t>
      </w:r>
      <w:r w:rsidR="00215954" w:rsidRPr="00AB52EE">
        <w:rPr>
          <w:rFonts w:cs="Arial"/>
          <w:szCs w:val="24"/>
        </w:rPr>
        <w:t>evidence has not</w:t>
      </w:r>
      <w:r w:rsidR="00A73048" w:rsidRPr="00AB52EE">
        <w:rPr>
          <w:rFonts w:cs="Arial"/>
          <w:szCs w:val="24"/>
        </w:rPr>
        <w:t xml:space="preserve"> </w:t>
      </w:r>
      <w:r w:rsidR="00215954" w:rsidRPr="00AB52EE">
        <w:rPr>
          <w:rFonts w:cs="Arial"/>
          <w:szCs w:val="24"/>
        </w:rPr>
        <w:t xml:space="preserve">shown that </w:t>
      </w:r>
      <w:r w:rsidR="00A73048" w:rsidRPr="00AB52EE">
        <w:rPr>
          <w:rFonts w:cs="Arial"/>
          <w:szCs w:val="24"/>
        </w:rPr>
        <w:t xml:space="preserve">[it] </w:t>
      </w:r>
      <w:r w:rsidR="00215954" w:rsidRPr="00AB52EE">
        <w:rPr>
          <w:rFonts w:cs="Arial"/>
          <w:szCs w:val="24"/>
        </w:rPr>
        <w:t>is entitled</w:t>
      </w:r>
      <w:r w:rsidR="00A73048" w:rsidRPr="00AB52EE">
        <w:rPr>
          <w:rFonts w:cs="Arial"/>
          <w:szCs w:val="24"/>
        </w:rPr>
        <w:t>”.</w:t>
      </w:r>
      <w:r w:rsidR="00A73048" w:rsidRPr="00AB52EE">
        <w:rPr>
          <w:rStyle w:val="FootnoteReference"/>
          <w:szCs w:val="24"/>
        </w:rPr>
        <w:footnoteReference w:id="16"/>
      </w:r>
      <w:r w:rsidR="004B1678" w:rsidRPr="00AB52EE">
        <w:rPr>
          <w:rFonts w:cs="Arial"/>
          <w:szCs w:val="24"/>
        </w:rPr>
        <w:t xml:space="preserve"> </w:t>
      </w:r>
      <w:r w:rsidR="00FB1757" w:rsidRPr="00AB52EE">
        <w:rPr>
          <w:rFonts w:cs="Arial"/>
          <w:szCs w:val="24"/>
        </w:rPr>
        <w:t xml:space="preserve">In </w:t>
      </w:r>
      <w:r w:rsidR="00FB1757" w:rsidRPr="00AB52EE">
        <w:rPr>
          <w:rFonts w:cs="Arial"/>
          <w:i/>
          <w:iCs/>
          <w:szCs w:val="24"/>
        </w:rPr>
        <w:t>Viziya</w:t>
      </w:r>
      <w:r w:rsidR="00FB1757" w:rsidRPr="00AB52EE">
        <w:rPr>
          <w:rFonts w:cs="Arial"/>
          <w:szCs w:val="24"/>
        </w:rPr>
        <w:t>, the SCA confirmed that “considerations of practicality and convenience could render it appropriate to order imaging of hard drives and other storage facilities and subsequent searching thereof by independent persons with the use of keywords”, as long as the scope of the search is carefully limited.</w:t>
      </w:r>
      <w:r w:rsidR="00FB1757" w:rsidRPr="00AB52EE">
        <w:rPr>
          <w:rStyle w:val="FootnoteReference"/>
          <w:szCs w:val="24"/>
        </w:rPr>
        <w:footnoteReference w:id="17"/>
      </w:r>
      <w:r w:rsidR="00FB1757" w:rsidRPr="00AB52EE">
        <w:rPr>
          <w:rFonts w:cs="Arial"/>
          <w:szCs w:val="24"/>
        </w:rPr>
        <w:t xml:space="preserve"> </w:t>
      </w:r>
      <w:r w:rsidR="00BC49F6" w:rsidRPr="00AB52EE">
        <w:rPr>
          <w:rFonts w:cs="Arial"/>
          <w:szCs w:val="24"/>
        </w:rPr>
        <w:t xml:space="preserve">Where electronically stored information is </w:t>
      </w:r>
      <w:r w:rsidR="00623E8C" w:rsidRPr="00AB52EE">
        <w:rPr>
          <w:rFonts w:cs="Arial"/>
          <w:szCs w:val="24"/>
        </w:rPr>
        <w:t xml:space="preserve">sought to be </w:t>
      </w:r>
      <w:r w:rsidR="00FB1757" w:rsidRPr="00AB52EE">
        <w:rPr>
          <w:rFonts w:cs="Arial"/>
          <w:szCs w:val="24"/>
        </w:rPr>
        <w:t>seized and/or attached</w:t>
      </w:r>
      <w:r w:rsidR="00BC49F6" w:rsidRPr="00AB52EE">
        <w:rPr>
          <w:rFonts w:cs="Arial"/>
          <w:szCs w:val="24"/>
        </w:rPr>
        <w:t xml:space="preserve">, </w:t>
      </w:r>
      <w:r w:rsidR="00623E8C" w:rsidRPr="00AB52EE">
        <w:rPr>
          <w:rFonts w:cs="Arial"/>
          <w:szCs w:val="24"/>
        </w:rPr>
        <w:t xml:space="preserve">it seems to me that </w:t>
      </w:r>
      <w:r w:rsidR="00BC49F6" w:rsidRPr="00AB52EE">
        <w:rPr>
          <w:rFonts w:cs="Arial"/>
          <w:szCs w:val="24"/>
        </w:rPr>
        <w:t>w</w:t>
      </w:r>
      <w:r w:rsidR="004B1678" w:rsidRPr="00AB52EE">
        <w:rPr>
          <w:rFonts w:cs="Arial"/>
          <w:szCs w:val="24"/>
        </w:rPr>
        <w:t xml:space="preserve">hat </w:t>
      </w:r>
      <w:r w:rsidR="00234777" w:rsidRPr="00AB52EE">
        <w:rPr>
          <w:rFonts w:cs="Arial"/>
          <w:szCs w:val="24"/>
        </w:rPr>
        <w:t xml:space="preserve">is </w:t>
      </w:r>
      <w:r w:rsidR="004B1678" w:rsidRPr="00AB52EE">
        <w:rPr>
          <w:rFonts w:cs="Arial"/>
          <w:szCs w:val="24"/>
        </w:rPr>
        <w:t xml:space="preserve">of central importance is that </w:t>
      </w:r>
      <w:r w:rsidR="00BC49F6" w:rsidRPr="00AB52EE">
        <w:rPr>
          <w:rFonts w:cs="Arial"/>
          <w:szCs w:val="24"/>
        </w:rPr>
        <w:t xml:space="preserve">both </w:t>
      </w:r>
      <w:r w:rsidR="004B1678" w:rsidRPr="00AB52EE">
        <w:rPr>
          <w:rFonts w:cs="Arial"/>
          <w:szCs w:val="24"/>
        </w:rPr>
        <w:t xml:space="preserve">the </w:t>
      </w:r>
      <w:r w:rsidR="00082D42" w:rsidRPr="00AB52EE">
        <w:rPr>
          <w:rFonts w:cs="Arial"/>
          <w:szCs w:val="24"/>
        </w:rPr>
        <w:t xml:space="preserve">items </w:t>
      </w:r>
      <w:r w:rsidR="004B1678" w:rsidRPr="00AB52EE">
        <w:rPr>
          <w:rFonts w:cs="Arial"/>
          <w:szCs w:val="24"/>
        </w:rPr>
        <w:t>to be searched for</w:t>
      </w:r>
      <w:r w:rsidR="00082D42" w:rsidRPr="00AB52EE">
        <w:rPr>
          <w:rFonts w:cs="Arial"/>
          <w:szCs w:val="24"/>
        </w:rPr>
        <w:t>,</w:t>
      </w:r>
      <w:r w:rsidR="005A3DF9" w:rsidRPr="00AB52EE">
        <w:rPr>
          <w:rFonts w:cs="Arial"/>
          <w:szCs w:val="24"/>
        </w:rPr>
        <w:t xml:space="preserve"> </w:t>
      </w:r>
      <w:r w:rsidR="004B1678" w:rsidRPr="00AB52EE">
        <w:rPr>
          <w:rFonts w:cs="Arial"/>
          <w:szCs w:val="24"/>
        </w:rPr>
        <w:t xml:space="preserve">and </w:t>
      </w:r>
      <w:r w:rsidR="00CD5A62" w:rsidRPr="00AB52EE">
        <w:rPr>
          <w:rFonts w:cs="Arial"/>
          <w:szCs w:val="24"/>
        </w:rPr>
        <w:t>the methods of the search itself should be as accurately and carefully specified as possible so as to avoid indiscriminate searching</w:t>
      </w:r>
      <w:r w:rsidR="00623E8C" w:rsidRPr="00AB52EE">
        <w:rPr>
          <w:rFonts w:cs="Arial"/>
          <w:szCs w:val="24"/>
        </w:rPr>
        <w:t xml:space="preserve"> </w:t>
      </w:r>
      <w:r w:rsidR="00082D42" w:rsidRPr="00AB52EE">
        <w:rPr>
          <w:rFonts w:cs="Arial"/>
          <w:szCs w:val="24"/>
        </w:rPr>
        <w:t>or attachment</w:t>
      </w:r>
      <w:r w:rsidR="00CD5A62" w:rsidRPr="00AB52EE">
        <w:rPr>
          <w:rFonts w:cs="Arial"/>
          <w:szCs w:val="24"/>
        </w:rPr>
        <w:t xml:space="preserve">. </w:t>
      </w:r>
      <w:r w:rsidR="00623E8C" w:rsidRPr="00AB52EE">
        <w:rPr>
          <w:rFonts w:cs="Arial"/>
          <w:szCs w:val="24"/>
        </w:rPr>
        <w:t xml:space="preserve">As with the search of physical premises, </w:t>
      </w:r>
      <w:r w:rsidR="004B1678" w:rsidRPr="00AB52EE">
        <w:rPr>
          <w:rFonts w:cs="Arial"/>
          <w:szCs w:val="24"/>
        </w:rPr>
        <w:t xml:space="preserve">it is unavoidable that </w:t>
      </w:r>
      <w:r w:rsidR="00623E8C" w:rsidRPr="00AB52EE">
        <w:rPr>
          <w:rFonts w:cs="Arial"/>
          <w:szCs w:val="24"/>
        </w:rPr>
        <w:t xml:space="preserve">an independent search party </w:t>
      </w:r>
      <w:r w:rsidR="00CD5A62" w:rsidRPr="00AB52EE">
        <w:rPr>
          <w:rFonts w:cs="Arial"/>
          <w:szCs w:val="24"/>
        </w:rPr>
        <w:t xml:space="preserve">undertaking even an appropriately targeted search </w:t>
      </w:r>
      <w:r w:rsidR="004B1678" w:rsidRPr="00AB52EE">
        <w:rPr>
          <w:rFonts w:cs="Arial"/>
          <w:szCs w:val="24"/>
        </w:rPr>
        <w:t xml:space="preserve">will come across </w:t>
      </w:r>
      <w:r w:rsidR="00BC49F6" w:rsidRPr="00AB52EE">
        <w:rPr>
          <w:rFonts w:cs="Arial"/>
          <w:szCs w:val="24"/>
        </w:rPr>
        <w:t xml:space="preserve">or access </w:t>
      </w:r>
      <w:r w:rsidR="00082D42" w:rsidRPr="00AB52EE">
        <w:rPr>
          <w:rFonts w:cs="Arial"/>
          <w:szCs w:val="24"/>
        </w:rPr>
        <w:t xml:space="preserve">items </w:t>
      </w:r>
      <w:r w:rsidR="004B1678" w:rsidRPr="00AB52EE">
        <w:rPr>
          <w:rFonts w:cs="Arial"/>
          <w:szCs w:val="24"/>
        </w:rPr>
        <w:t xml:space="preserve">that </w:t>
      </w:r>
      <w:r w:rsidR="00623E8C" w:rsidRPr="00AB52EE">
        <w:rPr>
          <w:rFonts w:cs="Arial"/>
          <w:szCs w:val="24"/>
        </w:rPr>
        <w:t xml:space="preserve">are </w:t>
      </w:r>
      <w:r w:rsidR="004B1678" w:rsidRPr="00AB52EE">
        <w:rPr>
          <w:rFonts w:cs="Arial"/>
          <w:szCs w:val="24"/>
        </w:rPr>
        <w:t xml:space="preserve">not included within </w:t>
      </w:r>
      <w:r w:rsidR="00FB1757" w:rsidRPr="00AB52EE">
        <w:rPr>
          <w:rFonts w:cs="Arial"/>
          <w:szCs w:val="24"/>
        </w:rPr>
        <w:t xml:space="preserve">the </w:t>
      </w:r>
      <w:r w:rsidR="004B1678" w:rsidRPr="00AB52EE">
        <w:rPr>
          <w:rFonts w:cs="Arial"/>
          <w:szCs w:val="24"/>
        </w:rPr>
        <w:t>specification</w:t>
      </w:r>
      <w:r w:rsidR="00623E8C" w:rsidRPr="00AB52EE">
        <w:rPr>
          <w:rFonts w:cs="Arial"/>
          <w:szCs w:val="24"/>
        </w:rPr>
        <w:t>.</w:t>
      </w:r>
      <w:r w:rsidR="004B1678" w:rsidRPr="00AB52EE">
        <w:rPr>
          <w:rFonts w:cs="Arial"/>
          <w:szCs w:val="24"/>
        </w:rPr>
        <w:t xml:space="preserve"> </w:t>
      </w:r>
      <w:r w:rsidR="00623E8C" w:rsidRPr="00AB52EE">
        <w:rPr>
          <w:rFonts w:cs="Arial"/>
          <w:szCs w:val="24"/>
        </w:rPr>
        <w:t xml:space="preserve">But </w:t>
      </w:r>
      <w:r w:rsidR="00BC49F6" w:rsidRPr="00AB52EE">
        <w:rPr>
          <w:rFonts w:cs="Arial"/>
          <w:szCs w:val="24"/>
        </w:rPr>
        <w:t xml:space="preserve">every effort should be made </w:t>
      </w:r>
      <w:r w:rsidR="00623E8C" w:rsidRPr="00AB52EE">
        <w:rPr>
          <w:rFonts w:cs="Arial"/>
          <w:szCs w:val="24"/>
        </w:rPr>
        <w:t xml:space="preserve">in each case </w:t>
      </w:r>
      <w:r w:rsidR="00BC49F6" w:rsidRPr="00AB52EE">
        <w:rPr>
          <w:rFonts w:cs="Arial"/>
          <w:szCs w:val="24"/>
        </w:rPr>
        <w:t xml:space="preserve">to </w:t>
      </w:r>
      <w:r w:rsidR="00623E8C" w:rsidRPr="00AB52EE">
        <w:rPr>
          <w:rFonts w:cs="Arial"/>
          <w:szCs w:val="24"/>
        </w:rPr>
        <w:t xml:space="preserve">prevent </w:t>
      </w:r>
      <w:r w:rsidR="00234777" w:rsidRPr="00AB52EE">
        <w:rPr>
          <w:rFonts w:cs="Arial"/>
          <w:szCs w:val="24"/>
        </w:rPr>
        <w:t>the viewing</w:t>
      </w:r>
      <w:r w:rsidR="00082D42" w:rsidRPr="00AB52EE">
        <w:rPr>
          <w:rFonts w:cs="Arial"/>
          <w:szCs w:val="24"/>
        </w:rPr>
        <w:t>,</w:t>
      </w:r>
      <w:r w:rsidR="00234777" w:rsidRPr="00AB52EE">
        <w:rPr>
          <w:rFonts w:cs="Arial"/>
          <w:szCs w:val="24"/>
        </w:rPr>
        <w:t xml:space="preserve"> seizure </w:t>
      </w:r>
      <w:r w:rsidR="00082D42" w:rsidRPr="00AB52EE">
        <w:rPr>
          <w:rFonts w:cs="Arial"/>
          <w:szCs w:val="24"/>
        </w:rPr>
        <w:t xml:space="preserve">or attachment </w:t>
      </w:r>
      <w:r w:rsidR="00234777" w:rsidRPr="00AB52EE">
        <w:rPr>
          <w:rFonts w:cs="Arial"/>
          <w:szCs w:val="24"/>
        </w:rPr>
        <w:t xml:space="preserve">of </w:t>
      </w:r>
      <w:r w:rsidR="00BC49F6" w:rsidRPr="00AB52EE">
        <w:rPr>
          <w:rFonts w:cs="Arial"/>
          <w:szCs w:val="24"/>
        </w:rPr>
        <w:t xml:space="preserve">such </w:t>
      </w:r>
      <w:r w:rsidR="00082D42" w:rsidRPr="00AB52EE">
        <w:rPr>
          <w:rFonts w:cs="Arial"/>
          <w:szCs w:val="24"/>
        </w:rPr>
        <w:t>items</w:t>
      </w:r>
      <w:r w:rsidR="00CD5A62" w:rsidRPr="00AB52EE">
        <w:rPr>
          <w:rFonts w:cs="Arial"/>
          <w:szCs w:val="24"/>
        </w:rPr>
        <w:t xml:space="preserve">, for example by </w:t>
      </w:r>
      <w:r w:rsidR="00FB1757" w:rsidRPr="00AB52EE">
        <w:rPr>
          <w:rFonts w:cs="Arial"/>
          <w:szCs w:val="24"/>
        </w:rPr>
        <w:t xml:space="preserve">prohibiting </w:t>
      </w:r>
      <w:r w:rsidR="00BC49F6" w:rsidRPr="00AB52EE">
        <w:rPr>
          <w:rFonts w:cs="Arial"/>
          <w:szCs w:val="24"/>
        </w:rPr>
        <w:t>search</w:t>
      </w:r>
      <w:r w:rsidR="00234777" w:rsidRPr="00AB52EE">
        <w:rPr>
          <w:rFonts w:cs="Arial"/>
          <w:szCs w:val="24"/>
        </w:rPr>
        <w:t>es</w:t>
      </w:r>
      <w:r w:rsidR="00BC49F6" w:rsidRPr="00AB52EE">
        <w:rPr>
          <w:rFonts w:cs="Arial"/>
          <w:szCs w:val="24"/>
        </w:rPr>
        <w:t xml:space="preserve"> </w:t>
      </w:r>
      <w:r w:rsidR="004B1678" w:rsidRPr="00AB52EE">
        <w:rPr>
          <w:rFonts w:cs="Arial"/>
          <w:szCs w:val="24"/>
        </w:rPr>
        <w:t xml:space="preserve">in places </w:t>
      </w:r>
      <w:r w:rsidR="00623E8C" w:rsidRPr="00AB52EE">
        <w:rPr>
          <w:rFonts w:cs="Arial"/>
          <w:szCs w:val="24"/>
        </w:rPr>
        <w:t xml:space="preserve">where there is no basis for believing </w:t>
      </w:r>
      <w:r w:rsidR="00B417FD">
        <w:rPr>
          <w:rFonts w:cs="Arial"/>
          <w:szCs w:val="24"/>
        </w:rPr>
        <w:t xml:space="preserve">specified items </w:t>
      </w:r>
      <w:r w:rsidR="00623E8C" w:rsidRPr="00AB52EE">
        <w:rPr>
          <w:rFonts w:cs="Arial"/>
          <w:szCs w:val="24"/>
        </w:rPr>
        <w:t>are located</w:t>
      </w:r>
      <w:r w:rsidR="00CD5A62" w:rsidRPr="00AB52EE">
        <w:rPr>
          <w:rFonts w:cs="Arial"/>
          <w:szCs w:val="24"/>
        </w:rPr>
        <w:t>,</w:t>
      </w:r>
      <w:r w:rsidR="004B1678" w:rsidRPr="00AB52EE">
        <w:rPr>
          <w:rFonts w:cs="Arial"/>
          <w:szCs w:val="24"/>
        </w:rPr>
        <w:t xml:space="preserve"> </w:t>
      </w:r>
      <w:r w:rsidR="00FB1757" w:rsidRPr="00AB52EE">
        <w:rPr>
          <w:rFonts w:cs="Arial"/>
          <w:szCs w:val="24"/>
        </w:rPr>
        <w:t xml:space="preserve">or </w:t>
      </w:r>
      <w:r w:rsidR="00234777" w:rsidRPr="00AB52EE">
        <w:rPr>
          <w:rFonts w:cs="Arial"/>
          <w:szCs w:val="24"/>
        </w:rPr>
        <w:t xml:space="preserve">the use of search </w:t>
      </w:r>
      <w:r w:rsidR="00CD5A62" w:rsidRPr="00AB52EE">
        <w:rPr>
          <w:rFonts w:cs="Arial"/>
          <w:szCs w:val="24"/>
        </w:rPr>
        <w:t xml:space="preserve">methodologies that may </w:t>
      </w:r>
      <w:r w:rsidR="00FB1757" w:rsidRPr="00AB52EE">
        <w:rPr>
          <w:rFonts w:cs="Arial"/>
          <w:szCs w:val="24"/>
        </w:rPr>
        <w:t xml:space="preserve">unnecessarily </w:t>
      </w:r>
      <w:r w:rsidR="00CD5A62" w:rsidRPr="00AB52EE">
        <w:rPr>
          <w:rFonts w:cs="Arial"/>
          <w:szCs w:val="24"/>
        </w:rPr>
        <w:lastRenderedPageBreak/>
        <w:t xml:space="preserve">expose </w:t>
      </w:r>
      <w:r w:rsidR="00B417FD">
        <w:rPr>
          <w:rFonts w:cs="Arial"/>
          <w:szCs w:val="24"/>
        </w:rPr>
        <w:t xml:space="preserve">non-specified information </w:t>
      </w:r>
      <w:r w:rsidR="00CD5A62" w:rsidRPr="00AB52EE">
        <w:rPr>
          <w:rFonts w:cs="Arial"/>
          <w:szCs w:val="24"/>
        </w:rPr>
        <w:t>to view</w:t>
      </w:r>
      <w:r w:rsidR="00FB1757" w:rsidRPr="00AB52EE">
        <w:rPr>
          <w:rFonts w:cs="Arial"/>
          <w:szCs w:val="24"/>
        </w:rPr>
        <w:t>, even by an independent search party</w:t>
      </w:r>
      <w:r w:rsidR="004B1678" w:rsidRPr="00AB52EE">
        <w:rPr>
          <w:rFonts w:cs="Arial"/>
          <w:szCs w:val="24"/>
        </w:rPr>
        <w:t>.</w:t>
      </w:r>
      <w:r w:rsidR="005A02ED" w:rsidRPr="00AB52EE">
        <w:rPr>
          <w:rFonts w:cs="Arial"/>
          <w:szCs w:val="24"/>
        </w:rPr>
        <w:t xml:space="preserve"> </w:t>
      </w:r>
    </w:p>
    <w:p w14:paraId="5BCE20FE" w14:textId="50B9E81E" w:rsidR="00EC457F" w:rsidRPr="00AB52EE" w:rsidRDefault="00EC457F" w:rsidP="007A27ED">
      <w:pPr>
        <w:pStyle w:val="LC1"/>
        <w:rPr>
          <w:rFonts w:cs="Arial"/>
          <w:szCs w:val="24"/>
          <w:lang w:eastAsia="en-ZA"/>
        </w:rPr>
      </w:pPr>
      <w:r w:rsidRPr="00AB52EE">
        <w:rPr>
          <w:rFonts w:cs="Arial"/>
          <w:szCs w:val="24"/>
          <w:lang w:eastAsia="en-ZA"/>
        </w:rPr>
        <w:t xml:space="preserve">As to the third </w:t>
      </w:r>
      <w:r w:rsidR="00AE3177" w:rsidRPr="00AB52EE">
        <w:rPr>
          <w:rFonts w:cs="Arial"/>
          <w:szCs w:val="24"/>
          <w:lang w:eastAsia="en-ZA"/>
        </w:rPr>
        <w:t xml:space="preserve">threshold </w:t>
      </w:r>
      <w:r w:rsidRPr="00AB52EE">
        <w:rPr>
          <w:rFonts w:cs="Arial"/>
          <w:szCs w:val="24"/>
          <w:lang w:eastAsia="en-ZA"/>
        </w:rPr>
        <w:t>requirement, the Supreme Court of Appeal has held that “</w:t>
      </w:r>
      <w:r w:rsidRPr="00AB52EE">
        <w:rPr>
          <w:rFonts w:cs="Arial"/>
          <w:szCs w:val="24"/>
        </w:rPr>
        <w:t>[t]he test of a reasonable apprehension is an objective one and is based on the view of a reasonable person when confronted with the facts”.</w:t>
      </w:r>
      <w:r w:rsidRPr="00AB52EE">
        <w:rPr>
          <w:rStyle w:val="FootnoteReference"/>
          <w:szCs w:val="24"/>
        </w:rPr>
        <w:footnoteReference w:id="18"/>
      </w:r>
    </w:p>
    <w:p w14:paraId="19A788DB" w14:textId="3768D829" w:rsidR="00520264" w:rsidRPr="00AB52EE" w:rsidRDefault="00520264" w:rsidP="00520264">
      <w:pPr>
        <w:pStyle w:val="LC1"/>
        <w:numPr>
          <w:ilvl w:val="0"/>
          <w:numId w:val="0"/>
        </w:numPr>
        <w:rPr>
          <w:rFonts w:cs="Arial"/>
          <w:szCs w:val="24"/>
          <w:u w:val="single"/>
          <w:lang w:eastAsia="en-ZA"/>
        </w:rPr>
      </w:pPr>
      <w:r w:rsidRPr="00AB52EE">
        <w:rPr>
          <w:rFonts w:cs="Arial"/>
          <w:szCs w:val="24"/>
          <w:u w:val="single"/>
          <w:lang w:eastAsia="en-ZA"/>
        </w:rPr>
        <w:t>“Ordinary” Anton Piller orders differentiated from “Cerebos-type” orders</w:t>
      </w:r>
    </w:p>
    <w:p w14:paraId="0D354C54" w14:textId="7B96C3ED" w:rsidR="00E00E4F" w:rsidRPr="00AB52EE" w:rsidRDefault="00E00E4F" w:rsidP="007A27ED">
      <w:pPr>
        <w:pStyle w:val="LC1"/>
        <w:rPr>
          <w:rFonts w:cs="Arial"/>
          <w:szCs w:val="24"/>
          <w:lang w:eastAsia="en-ZA"/>
        </w:rPr>
      </w:pPr>
      <w:r w:rsidRPr="00AB52EE">
        <w:rPr>
          <w:rFonts w:cs="Arial"/>
          <w:szCs w:val="24"/>
          <w:lang w:eastAsia="en-ZA"/>
        </w:rPr>
        <w:t xml:space="preserve">Although orders </w:t>
      </w:r>
      <w:r w:rsidR="007F69B0" w:rsidRPr="00AB52EE">
        <w:rPr>
          <w:rFonts w:cs="Arial"/>
          <w:szCs w:val="24"/>
          <w:lang w:eastAsia="en-ZA"/>
        </w:rPr>
        <w:t xml:space="preserve">directed solely at </w:t>
      </w:r>
      <w:r w:rsidR="006C126C" w:rsidRPr="00AB52EE">
        <w:rPr>
          <w:rFonts w:cs="Arial"/>
          <w:szCs w:val="24"/>
          <w:lang w:eastAsia="en-ZA"/>
        </w:rPr>
        <w:t xml:space="preserve">the preservation of evidence </w:t>
      </w:r>
      <w:r w:rsidRPr="00AB52EE">
        <w:rPr>
          <w:rFonts w:cs="Arial"/>
          <w:szCs w:val="24"/>
          <w:lang w:eastAsia="en-ZA"/>
        </w:rPr>
        <w:t xml:space="preserve">have come to be known as </w:t>
      </w:r>
      <w:r w:rsidR="00BF5A38" w:rsidRPr="00AB52EE">
        <w:rPr>
          <w:rFonts w:cs="Arial"/>
          <w:szCs w:val="24"/>
          <w:lang w:eastAsia="en-ZA"/>
        </w:rPr>
        <w:t>“</w:t>
      </w:r>
      <w:r w:rsidRPr="00AB52EE">
        <w:rPr>
          <w:rFonts w:cs="Arial"/>
          <w:szCs w:val="24"/>
          <w:lang w:eastAsia="en-ZA"/>
        </w:rPr>
        <w:t>Anton Piller orders</w:t>
      </w:r>
      <w:r w:rsidR="00BF5A38" w:rsidRPr="00AB52EE">
        <w:rPr>
          <w:rFonts w:cs="Arial"/>
          <w:szCs w:val="24"/>
          <w:lang w:eastAsia="en-ZA"/>
        </w:rPr>
        <w:t>”</w:t>
      </w:r>
      <w:r w:rsidRPr="00AB52EE">
        <w:rPr>
          <w:rFonts w:cs="Arial"/>
          <w:szCs w:val="24"/>
          <w:lang w:eastAsia="en-ZA"/>
        </w:rPr>
        <w:t xml:space="preserve">, </w:t>
      </w:r>
      <w:r w:rsidR="00403F15">
        <w:rPr>
          <w:rFonts w:cs="Arial"/>
          <w:szCs w:val="24"/>
          <w:lang w:eastAsia="en-ZA"/>
        </w:rPr>
        <w:t xml:space="preserve">it </w:t>
      </w:r>
      <w:r w:rsidR="00C222FE">
        <w:rPr>
          <w:rFonts w:cs="Arial"/>
          <w:szCs w:val="24"/>
          <w:lang w:eastAsia="en-ZA"/>
        </w:rPr>
        <w:t xml:space="preserve">seems to me </w:t>
      </w:r>
      <w:r w:rsidR="00403F15">
        <w:rPr>
          <w:rFonts w:cs="Arial"/>
          <w:szCs w:val="24"/>
          <w:lang w:eastAsia="en-ZA"/>
        </w:rPr>
        <w:t xml:space="preserve">that </w:t>
      </w:r>
      <w:r w:rsidRPr="00AB52EE">
        <w:rPr>
          <w:rFonts w:cs="Arial"/>
          <w:szCs w:val="24"/>
          <w:lang w:eastAsia="en-ZA"/>
        </w:rPr>
        <w:t xml:space="preserve">this nomenclature arises </w:t>
      </w:r>
      <w:r w:rsidR="00B742D7" w:rsidRPr="00AB52EE">
        <w:rPr>
          <w:rFonts w:cs="Arial"/>
          <w:szCs w:val="24"/>
          <w:lang w:eastAsia="en-ZA"/>
        </w:rPr>
        <w:t xml:space="preserve">primarily </w:t>
      </w:r>
      <w:r w:rsidR="00BF5A38" w:rsidRPr="00AB52EE">
        <w:rPr>
          <w:rFonts w:cs="Arial"/>
          <w:szCs w:val="24"/>
          <w:lang w:eastAsia="en-ZA"/>
        </w:rPr>
        <w:t xml:space="preserve">from </w:t>
      </w:r>
      <w:r w:rsidRPr="00AB52EE">
        <w:rPr>
          <w:rFonts w:cs="Arial"/>
          <w:szCs w:val="24"/>
          <w:lang w:eastAsia="en-ZA"/>
        </w:rPr>
        <w:t>the exceptional procedural</w:t>
      </w:r>
      <w:r w:rsidR="00B51268" w:rsidRPr="00AB52EE">
        <w:rPr>
          <w:rFonts w:cs="Arial"/>
          <w:szCs w:val="24"/>
          <w:lang w:eastAsia="en-ZA"/>
        </w:rPr>
        <w:t>,</w:t>
      </w:r>
      <w:r w:rsidRPr="00AB52EE">
        <w:rPr>
          <w:rFonts w:cs="Arial"/>
          <w:szCs w:val="24"/>
          <w:lang w:eastAsia="en-ZA"/>
        </w:rPr>
        <w:t xml:space="preserve"> </w:t>
      </w:r>
      <w:r w:rsidR="0003414E" w:rsidRPr="00AB52EE">
        <w:rPr>
          <w:rFonts w:cs="Arial"/>
          <w:szCs w:val="24"/>
          <w:lang w:eastAsia="en-ZA"/>
        </w:rPr>
        <w:t>as</w:t>
      </w:r>
      <w:r w:rsidR="00640C79" w:rsidRPr="00AB52EE">
        <w:rPr>
          <w:rFonts w:cs="Arial"/>
          <w:szCs w:val="24"/>
          <w:lang w:eastAsia="en-ZA"/>
        </w:rPr>
        <w:t xml:space="preserve"> </w:t>
      </w:r>
      <w:r w:rsidR="0003414E" w:rsidRPr="00AB52EE">
        <w:rPr>
          <w:rFonts w:cs="Arial"/>
          <w:szCs w:val="24"/>
          <w:lang w:eastAsia="en-ZA"/>
        </w:rPr>
        <w:t xml:space="preserve">opposed </w:t>
      </w:r>
      <w:r w:rsidR="00FB1757" w:rsidRPr="00AB52EE">
        <w:rPr>
          <w:rFonts w:cs="Arial"/>
          <w:szCs w:val="24"/>
          <w:lang w:eastAsia="en-ZA"/>
        </w:rPr>
        <w:t xml:space="preserve">to </w:t>
      </w:r>
      <w:r w:rsidR="0003414E" w:rsidRPr="00AB52EE">
        <w:rPr>
          <w:rFonts w:cs="Arial"/>
          <w:szCs w:val="24"/>
          <w:lang w:eastAsia="en-ZA"/>
        </w:rPr>
        <w:t>substantive</w:t>
      </w:r>
      <w:r w:rsidR="00B51268" w:rsidRPr="00AB52EE">
        <w:rPr>
          <w:rFonts w:cs="Arial"/>
          <w:szCs w:val="24"/>
          <w:lang w:eastAsia="en-ZA"/>
        </w:rPr>
        <w:t>,</w:t>
      </w:r>
      <w:r w:rsidR="0003414E" w:rsidRPr="00AB52EE">
        <w:rPr>
          <w:rFonts w:cs="Arial"/>
          <w:szCs w:val="24"/>
          <w:lang w:eastAsia="en-ZA"/>
        </w:rPr>
        <w:t xml:space="preserve"> features </w:t>
      </w:r>
      <w:r w:rsidR="00B51268" w:rsidRPr="00AB52EE">
        <w:rPr>
          <w:rFonts w:cs="Arial"/>
          <w:szCs w:val="24"/>
          <w:lang w:eastAsia="en-ZA"/>
        </w:rPr>
        <w:t xml:space="preserve">that they derive from </w:t>
      </w:r>
      <w:r w:rsidR="00543E50" w:rsidRPr="00AB52EE">
        <w:rPr>
          <w:rFonts w:cs="Arial"/>
          <w:szCs w:val="24"/>
          <w:lang w:eastAsia="en-ZA"/>
        </w:rPr>
        <w:t>their jurisprudential progenitor,</w:t>
      </w:r>
      <w:r w:rsidR="00543E50" w:rsidRPr="00AB52EE">
        <w:rPr>
          <w:rFonts w:cs="Arial"/>
          <w:i/>
          <w:iCs/>
          <w:szCs w:val="24"/>
          <w:lang w:eastAsia="en-ZA"/>
        </w:rPr>
        <w:t xml:space="preserve"> </w:t>
      </w:r>
      <w:r w:rsidR="00B51268" w:rsidRPr="00AB52EE">
        <w:rPr>
          <w:rFonts w:cs="Arial"/>
          <w:i/>
          <w:iCs/>
          <w:szCs w:val="24"/>
          <w:lang w:eastAsia="en-ZA"/>
        </w:rPr>
        <w:t>Anton Piller KG v Manufacturing Processes Ltd</w:t>
      </w:r>
      <w:r w:rsidR="00B51268" w:rsidRPr="00AB52EE">
        <w:rPr>
          <w:rFonts w:cs="Arial"/>
          <w:szCs w:val="24"/>
          <w:lang w:eastAsia="en-ZA"/>
        </w:rPr>
        <w:t>.</w:t>
      </w:r>
      <w:r w:rsidR="00B51268" w:rsidRPr="00AB52EE">
        <w:rPr>
          <w:rStyle w:val="FootnoteReference"/>
          <w:szCs w:val="24"/>
          <w:lang w:eastAsia="en-ZA"/>
        </w:rPr>
        <w:footnoteReference w:id="19"/>
      </w:r>
      <w:r w:rsidR="0003414E" w:rsidRPr="00AB52EE">
        <w:rPr>
          <w:rFonts w:cs="Arial"/>
          <w:szCs w:val="24"/>
          <w:lang w:eastAsia="en-ZA"/>
        </w:rPr>
        <w:t xml:space="preserve"> </w:t>
      </w:r>
      <w:r w:rsidR="00D15AF6" w:rsidRPr="00AB52EE">
        <w:rPr>
          <w:rFonts w:cs="Arial"/>
          <w:szCs w:val="24"/>
          <w:lang w:eastAsia="en-ZA"/>
        </w:rPr>
        <w:t xml:space="preserve">Appropriately, in my view, </w:t>
      </w:r>
      <w:r w:rsidR="00FB1757" w:rsidRPr="00AB52EE">
        <w:rPr>
          <w:rFonts w:cs="Arial"/>
          <w:szCs w:val="24"/>
          <w:lang w:eastAsia="en-ZA"/>
        </w:rPr>
        <w:t xml:space="preserve">the Court in </w:t>
      </w:r>
      <w:r w:rsidR="00FB1757" w:rsidRPr="00AB52EE">
        <w:rPr>
          <w:rFonts w:cs="Arial"/>
          <w:i/>
          <w:iCs/>
          <w:szCs w:val="24"/>
          <w:lang w:eastAsia="en-ZA"/>
        </w:rPr>
        <w:t>Universal City Studios</w:t>
      </w:r>
      <w:r w:rsidR="00FB1757" w:rsidRPr="00AB52EE">
        <w:rPr>
          <w:rFonts w:cs="Arial"/>
          <w:szCs w:val="24"/>
          <w:lang w:eastAsia="en-ZA"/>
        </w:rPr>
        <w:t xml:space="preserve"> </w:t>
      </w:r>
      <w:r w:rsidR="007114D8" w:rsidRPr="00AB52EE">
        <w:rPr>
          <w:rFonts w:cs="Arial"/>
          <w:szCs w:val="24"/>
          <w:lang w:eastAsia="en-ZA"/>
        </w:rPr>
        <w:t xml:space="preserve">referred to orders granted in similar procedural circumstances as </w:t>
      </w:r>
      <w:r w:rsidR="007114D8" w:rsidRPr="00AB52EE">
        <w:rPr>
          <w:rFonts w:cs="Arial"/>
          <w:szCs w:val="24"/>
        </w:rPr>
        <w:t>“Anton Piller-type orders”.</w:t>
      </w:r>
      <w:r w:rsidR="007114D8" w:rsidRPr="00AB52EE">
        <w:rPr>
          <w:rStyle w:val="FootnoteReference"/>
          <w:szCs w:val="24"/>
        </w:rPr>
        <w:footnoteReference w:id="20"/>
      </w:r>
      <w:r w:rsidR="007114D8" w:rsidRPr="00AB52EE">
        <w:rPr>
          <w:rFonts w:cs="Arial"/>
          <w:szCs w:val="24"/>
        </w:rPr>
        <w:t xml:space="preserve"> </w:t>
      </w:r>
      <w:r w:rsidRPr="00AB52EE">
        <w:rPr>
          <w:rFonts w:cs="Arial"/>
          <w:szCs w:val="24"/>
        </w:rPr>
        <w:t>In the interests of seeking clarity of terminology</w:t>
      </w:r>
      <w:r w:rsidR="006C126C" w:rsidRPr="00AB52EE">
        <w:rPr>
          <w:rFonts w:cs="Arial"/>
          <w:szCs w:val="24"/>
        </w:rPr>
        <w:t xml:space="preserve">, it </w:t>
      </w:r>
      <w:r w:rsidR="00FB1757" w:rsidRPr="00AB52EE">
        <w:rPr>
          <w:rFonts w:cs="Arial"/>
          <w:szCs w:val="24"/>
        </w:rPr>
        <w:t xml:space="preserve">is </w:t>
      </w:r>
      <w:r w:rsidR="006C126C" w:rsidRPr="00AB52EE">
        <w:rPr>
          <w:rFonts w:cs="Arial"/>
          <w:szCs w:val="24"/>
        </w:rPr>
        <w:t xml:space="preserve">helpful to refer to </w:t>
      </w:r>
      <w:r w:rsidR="00D15AF6" w:rsidRPr="00AB52EE">
        <w:rPr>
          <w:rFonts w:cs="Arial"/>
          <w:szCs w:val="24"/>
        </w:rPr>
        <w:t xml:space="preserve">the substantive features of </w:t>
      </w:r>
      <w:r w:rsidR="00FB1757" w:rsidRPr="00AB52EE">
        <w:rPr>
          <w:rFonts w:cs="Arial"/>
          <w:szCs w:val="24"/>
        </w:rPr>
        <w:t xml:space="preserve">the </w:t>
      </w:r>
      <w:r w:rsidR="00B51268" w:rsidRPr="00AB52EE">
        <w:rPr>
          <w:rFonts w:cs="Arial"/>
          <w:szCs w:val="24"/>
        </w:rPr>
        <w:t xml:space="preserve">various </w:t>
      </w:r>
      <w:r w:rsidR="006C126C" w:rsidRPr="00AB52EE">
        <w:rPr>
          <w:rFonts w:cs="Arial"/>
          <w:szCs w:val="24"/>
        </w:rPr>
        <w:t xml:space="preserve">different </w:t>
      </w:r>
      <w:r w:rsidR="00D15AF6" w:rsidRPr="00AB52EE">
        <w:rPr>
          <w:rFonts w:cs="Arial"/>
          <w:szCs w:val="24"/>
        </w:rPr>
        <w:t>Anton Piller-type</w:t>
      </w:r>
      <w:r w:rsidR="00B51268" w:rsidRPr="00AB52EE">
        <w:rPr>
          <w:rFonts w:cs="Arial"/>
          <w:szCs w:val="24"/>
        </w:rPr>
        <w:t xml:space="preserve"> orders</w:t>
      </w:r>
      <w:r w:rsidR="006C126C" w:rsidRPr="00AB52EE">
        <w:rPr>
          <w:rStyle w:val="FootnoteReference"/>
          <w:szCs w:val="24"/>
        </w:rPr>
        <w:t xml:space="preserve"> </w:t>
      </w:r>
      <w:r w:rsidR="00CD7357">
        <w:rPr>
          <w:szCs w:val="24"/>
        </w:rPr>
        <w:t xml:space="preserve">discussed </w:t>
      </w:r>
      <w:r w:rsidR="006C126C" w:rsidRPr="00AB52EE">
        <w:rPr>
          <w:rFonts w:cs="Arial"/>
          <w:szCs w:val="24"/>
        </w:rPr>
        <w:t xml:space="preserve">in </w:t>
      </w:r>
      <w:r w:rsidR="007114D8" w:rsidRPr="00AB52EE">
        <w:rPr>
          <w:rFonts w:cs="Arial"/>
          <w:szCs w:val="24"/>
        </w:rPr>
        <w:t xml:space="preserve">the full bench decision of </w:t>
      </w:r>
      <w:r w:rsidR="007114D8" w:rsidRPr="00AB52EE">
        <w:rPr>
          <w:rFonts w:cs="Arial"/>
          <w:i/>
          <w:iCs/>
          <w:szCs w:val="24"/>
        </w:rPr>
        <w:t>Cerebos Food</w:t>
      </w:r>
      <w:r w:rsidR="006C126C" w:rsidRPr="00AB52EE">
        <w:rPr>
          <w:rFonts w:cs="Arial"/>
          <w:szCs w:val="24"/>
        </w:rPr>
        <w:t>,</w:t>
      </w:r>
      <w:r w:rsidR="006C126C" w:rsidRPr="00AB52EE">
        <w:rPr>
          <w:rStyle w:val="FootnoteReference"/>
          <w:szCs w:val="24"/>
        </w:rPr>
        <w:t xml:space="preserve"> </w:t>
      </w:r>
      <w:r w:rsidR="006C126C" w:rsidRPr="00AB52EE">
        <w:rPr>
          <w:rFonts w:cs="Arial"/>
          <w:szCs w:val="24"/>
        </w:rPr>
        <w:t xml:space="preserve">which </w:t>
      </w:r>
      <w:r w:rsidRPr="00AB52EE">
        <w:rPr>
          <w:rFonts w:cs="Arial"/>
          <w:szCs w:val="24"/>
        </w:rPr>
        <w:t xml:space="preserve">the </w:t>
      </w:r>
      <w:r w:rsidR="0003414E" w:rsidRPr="00AB52EE">
        <w:rPr>
          <w:rFonts w:cs="Arial"/>
          <w:szCs w:val="24"/>
        </w:rPr>
        <w:t xml:space="preserve">Appellate Division </w:t>
      </w:r>
      <w:r w:rsidR="00BF5A38" w:rsidRPr="00AB52EE">
        <w:rPr>
          <w:rFonts w:cs="Arial"/>
          <w:szCs w:val="24"/>
        </w:rPr>
        <w:t xml:space="preserve">subsequently </w:t>
      </w:r>
      <w:r w:rsidR="007114D8" w:rsidRPr="00AB52EE">
        <w:rPr>
          <w:rFonts w:cs="Arial"/>
          <w:szCs w:val="24"/>
        </w:rPr>
        <w:t xml:space="preserve">partially overruled in the course of recognising </w:t>
      </w:r>
      <w:r w:rsidR="00FB1757" w:rsidRPr="00AB52EE">
        <w:rPr>
          <w:rFonts w:cs="Arial"/>
          <w:szCs w:val="24"/>
        </w:rPr>
        <w:t xml:space="preserve">the availability of </w:t>
      </w:r>
      <w:r w:rsidR="007114D8" w:rsidRPr="00AB52EE">
        <w:rPr>
          <w:rFonts w:cs="Arial"/>
          <w:szCs w:val="24"/>
        </w:rPr>
        <w:t>Anton Piller</w:t>
      </w:r>
      <w:r w:rsidR="00FB1757" w:rsidRPr="00AB52EE">
        <w:rPr>
          <w:rFonts w:cs="Arial"/>
          <w:szCs w:val="24"/>
        </w:rPr>
        <w:t xml:space="preserve">-type orders </w:t>
      </w:r>
      <w:r w:rsidR="007114D8" w:rsidRPr="00AB52EE">
        <w:rPr>
          <w:rFonts w:cs="Arial"/>
          <w:szCs w:val="24"/>
        </w:rPr>
        <w:t>in South Africa for the purposes of preserving evidence</w:t>
      </w:r>
      <w:r w:rsidR="006C126C" w:rsidRPr="00AB52EE">
        <w:rPr>
          <w:rFonts w:cs="Arial"/>
          <w:szCs w:val="24"/>
        </w:rPr>
        <w:t>.</w:t>
      </w:r>
      <w:r w:rsidR="00640C79" w:rsidRPr="00AB52EE">
        <w:rPr>
          <w:rStyle w:val="FootnoteReference"/>
          <w:szCs w:val="24"/>
        </w:rPr>
        <w:footnoteReference w:id="21"/>
      </w:r>
      <w:r w:rsidRPr="00AB52EE">
        <w:rPr>
          <w:rFonts w:cs="Arial"/>
          <w:szCs w:val="24"/>
        </w:rPr>
        <w:t xml:space="preserve"> </w:t>
      </w:r>
      <w:r w:rsidR="00640C79" w:rsidRPr="00AB52EE">
        <w:rPr>
          <w:rFonts w:cs="Arial"/>
          <w:szCs w:val="24"/>
        </w:rPr>
        <w:t>The other Anton Piller</w:t>
      </w:r>
      <w:r w:rsidR="00FB1757" w:rsidRPr="00AB52EE">
        <w:rPr>
          <w:rFonts w:cs="Arial"/>
          <w:szCs w:val="24"/>
        </w:rPr>
        <w:t>-type</w:t>
      </w:r>
      <w:r w:rsidR="00640C79" w:rsidRPr="00AB52EE">
        <w:rPr>
          <w:rFonts w:cs="Arial"/>
          <w:szCs w:val="24"/>
        </w:rPr>
        <w:t xml:space="preserve"> orders </w:t>
      </w:r>
      <w:r w:rsidR="00CD7357" w:rsidRPr="00AB52EE">
        <w:rPr>
          <w:rFonts w:cs="Arial"/>
          <w:szCs w:val="24"/>
        </w:rPr>
        <w:t xml:space="preserve">identified by Van Dijkhorst J </w:t>
      </w:r>
      <w:r w:rsidR="00CD7357">
        <w:rPr>
          <w:rFonts w:cs="Arial"/>
          <w:szCs w:val="24"/>
        </w:rPr>
        <w:t xml:space="preserve">in </w:t>
      </w:r>
      <w:r w:rsidR="00CD7357" w:rsidRPr="00CD7357">
        <w:rPr>
          <w:rFonts w:cs="Arial"/>
          <w:i/>
          <w:iCs/>
          <w:szCs w:val="24"/>
        </w:rPr>
        <w:t>Cerebos Food</w:t>
      </w:r>
      <w:r w:rsidR="00CD7357">
        <w:rPr>
          <w:rFonts w:cs="Arial"/>
          <w:szCs w:val="24"/>
        </w:rPr>
        <w:t xml:space="preserve"> </w:t>
      </w:r>
      <w:r w:rsidR="00B742D7" w:rsidRPr="00AB52EE">
        <w:rPr>
          <w:rFonts w:cs="Arial"/>
          <w:szCs w:val="24"/>
        </w:rPr>
        <w:t xml:space="preserve">were </w:t>
      </w:r>
      <w:r w:rsidR="006C126C" w:rsidRPr="00AB52EE">
        <w:rPr>
          <w:rFonts w:cs="Arial"/>
          <w:szCs w:val="24"/>
        </w:rPr>
        <w:t>those</w:t>
      </w:r>
      <w:r w:rsidRPr="00AB52EE">
        <w:rPr>
          <w:rFonts w:cs="Arial"/>
          <w:szCs w:val="24"/>
        </w:rPr>
        <w:t>:</w:t>
      </w:r>
    </w:p>
    <w:p w14:paraId="50BDE7CA" w14:textId="04A7C424" w:rsidR="00E00E4F" w:rsidRPr="00AB52EE" w:rsidRDefault="00E00E4F" w:rsidP="007A27ED">
      <w:pPr>
        <w:pStyle w:val="LC2"/>
        <w:rPr>
          <w:rFonts w:cs="Arial"/>
          <w:szCs w:val="24"/>
          <w:lang w:eastAsia="en-ZA"/>
        </w:rPr>
      </w:pPr>
      <w:bookmarkStart w:id="15" w:name="_Ref150025950"/>
      <w:r w:rsidRPr="00AB52EE">
        <w:rPr>
          <w:rFonts w:cs="Arial"/>
          <w:szCs w:val="24"/>
          <w:lang w:eastAsia="en-ZA"/>
        </w:rPr>
        <w:lastRenderedPageBreak/>
        <w:t xml:space="preserve">attaching and allowing immediate delivery up of </w:t>
      </w:r>
      <w:r w:rsidR="00AA633B" w:rsidRPr="00AB52EE">
        <w:rPr>
          <w:rFonts w:cs="Arial"/>
          <w:szCs w:val="24"/>
          <w:lang w:eastAsia="en-ZA"/>
        </w:rPr>
        <w:t>items</w:t>
      </w:r>
      <w:r w:rsidR="00FB1757" w:rsidRPr="00AB52EE">
        <w:rPr>
          <w:rFonts w:cs="Arial"/>
          <w:szCs w:val="24"/>
          <w:lang w:eastAsia="en-ZA"/>
        </w:rPr>
        <w:t>,</w:t>
      </w:r>
      <w:r w:rsidRPr="00AB52EE">
        <w:rPr>
          <w:rFonts w:cs="Arial"/>
          <w:szCs w:val="24"/>
          <w:lang w:eastAsia="en-ZA"/>
        </w:rPr>
        <w:t xml:space="preserve"> including documents containing intellectual property</w:t>
      </w:r>
      <w:r w:rsidR="00FB1757" w:rsidRPr="00AB52EE">
        <w:rPr>
          <w:rFonts w:cs="Arial"/>
          <w:szCs w:val="24"/>
          <w:lang w:eastAsia="en-ZA"/>
        </w:rPr>
        <w:t>,</w:t>
      </w:r>
      <w:r w:rsidRPr="00AB52EE">
        <w:rPr>
          <w:rFonts w:cs="Arial"/>
          <w:szCs w:val="24"/>
          <w:lang w:eastAsia="en-ZA"/>
        </w:rPr>
        <w:t xml:space="preserve"> where the applicant claims a real or personal right to possess (or at least view) </w:t>
      </w:r>
      <w:r w:rsidR="00AA633B" w:rsidRPr="00AB52EE">
        <w:rPr>
          <w:rFonts w:cs="Arial"/>
          <w:szCs w:val="24"/>
          <w:lang w:eastAsia="en-ZA"/>
        </w:rPr>
        <w:t>them</w:t>
      </w:r>
      <w:r w:rsidR="00A25FDF" w:rsidRPr="00AB52EE">
        <w:rPr>
          <w:rFonts w:cs="Arial"/>
          <w:szCs w:val="24"/>
          <w:lang w:eastAsia="en-ZA"/>
        </w:rPr>
        <w:t>;</w:t>
      </w:r>
      <w:r w:rsidRPr="00AB52EE">
        <w:rPr>
          <w:rStyle w:val="FootnoteReference"/>
          <w:szCs w:val="24"/>
        </w:rPr>
        <w:footnoteReference w:id="22"/>
      </w:r>
      <w:bookmarkEnd w:id="15"/>
      <w:r w:rsidRPr="00AB52EE">
        <w:rPr>
          <w:rFonts w:cs="Arial"/>
          <w:szCs w:val="24"/>
        </w:rPr>
        <w:t xml:space="preserve"> </w:t>
      </w:r>
    </w:p>
    <w:p w14:paraId="20720FD8" w14:textId="215ADD2E" w:rsidR="00E00E4F" w:rsidRPr="00AB52EE" w:rsidRDefault="00E00E4F" w:rsidP="007A27ED">
      <w:pPr>
        <w:pStyle w:val="LC2"/>
        <w:rPr>
          <w:rFonts w:cs="Arial"/>
          <w:szCs w:val="24"/>
          <w:lang w:eastAsia="en-ZA"/>
        </w:rPr>
      </w:pPr>
      <w:r w:rsidRPr="00AB52EE">
        <w:rPr>
          <w:rFonts w:cs="Arial"/>
          <w:szCs w:val="24"/>
        </w:rPr>
        <w:t>for the disclosure of names of sources and retail outlets who enable the defendant to operate unlawfully, infringing on the claimant’s rights</w:t>
      </w:r>
      <w:r w:rsidR="00A25FDF" w:rsidRPr="00AB52EE">
        <w:rPr>
          <w:rFonts w:cs="Arial"/>
          <w:szCs w:val="24"/>
        </w:rPr>
        <w:t>;</w:t>
      </w:r>
      <w:r w:rsidRPr="00AB52EE">
        <w:rPr>
          <w:rStyle w:val="FootnoteReference"/>
          <w:szCs w:val="24"/>
        </w:rPr>
        <w:footnoteReference w:id="23"/>
      </w:r>
      <w:r w:rsidRPr="00AB52EE">
        <w:rPr>
          <w:rFonts w:cs="Arial"/>
          <w:szCs w:val="24"/>
        </w:rPr>
        <w:t xml:space="preserve"> and</w:t>
      </w:r>
    </w:p>
    <w:p w14:paraId="52D694AE" w14:textId="714083FD" w:rsidR="00E00E4F" w:rsidRPr="00AB52EE" w:rsidRDefault="0003414E" w:rsidP="007A27ED">
      <w:pPr>
        <w:pStyle w:val="LC2"/>
        <w:rPr>
          <w:rFonts w:cs="Arial"/>
          <w:szCs w:val="24"/>
          <w:lang w:eastAsia="en-ZA"/>
        </w:rPr>
      </w:pPr>
      <w:r w:rsidRPr="00AB52EE">
        <w:rPr>
          <w:rFonts w:cs="Arial"/>
          <w:szCs w:val="24"/>
        </w:rPr>
        <w:t xml:space="preserve">orders </w:t>
      </w:r>
      <w:r w:rsidR="00E00E4F" w:rsidRPr="00AB52EE">
        <w:rPr>
          <w:rFonts w:cs="Arial"/>
          <w:szCs w:val="24"/>
        </w:rPr>
        <w:t xml:space="preserve">for the </w:t>
      </w:r>
      <w:r w:rsidR="00D4036B" w:rsidRPr="00AB52EE">
        <w:rPr>
          <w:rFonts w:cs="Arial"/>
          <w:szCs w:val="24"/>
        </w:rPr>
        <w:t xml:space="preserve">attachment </w:t>
      </w:r>
      <w:r w:rsidR="00E00E4F" w:rsidRPr="00AB52EE">
        <w:rPr>
          <w:rFonts w:cs="Arial"/>
          <w:szCs w:val="24"/>
        </w:rPr>
        <w:t>of a thing to which no right is claimed</w:t>
      </w:r>
      <w:r w:rsidR="00D4036B" w:rsidRPr="00AB52EE">
        <w:rPr>
          <w:rFonts w:cs="Arial"/>
          <w:szCs w:val="24"/>
        </w:rPr>
        <w:t>,</w:t>
      </w:r>
      <w:r w:rsidR="00E00E4F" w:rsidRPr="00AB52EE">
        <w:rPr>
          <w:rFonts w:cs="Arial"/>
          <w:szCs w:val="24"/>
        </w:rPr>
        <w:t xml:space="preserve"> but as part of an interdict to make the interdict effective.</w:t>
      </w:r>
      <w:r w:rsidR="00E00E4F" w:rsidRPr="00AB52EE">
        <w:rPr>
          <w:rStyle w:val="FootnoteReference"/>
          <w:szCs w:val="24"/>
        </w:rPr>
        <w:footnoteReference w:id="24"/>
      </w:r>
      <w:r w:rsidR="00E00E4F" w:rsidRPr="00AB52EE">
        <w:rPr>
          <w:rFonts w:cs="Arial"/>
          <w:szCs w:val="24"/>
        </w:rPr>
        <w:t xml:space="preserve"> </w:t>
      </w:r>
    </w:p>
    <w:p w14:paraId="25B62490" w14:textId="76288530" w:rsidR="003C132D" w:rsidRPr="00AB52EE" w:rsidRDefault="000D294D" w:rsidP="007A27ED">
      <w:pPr>
        <w:pStyle w:val="LC1"/>
        <w:rPr>
          <w:rFonts w:cs="Arial"/>
          <w:szCs w:val="24"/>
        </w:rPr>
      </w:pPr>
      <w:r w:rsidRPr="00AB52EE">
        <w:rPr>
          <w:rFonts w:cs="Arial"/>
          <w:szCs w:val="24"/>
          <w:lang w:eastAsia="en-ZA"/>
        </w:rPr>
        <w:t>T</w:t>
      </w:r>
      <w:r w:rsidR="004B5462" w:rsidRPr="00AB52EE">
        <w:rPr>
          <w:rFonts w:cs="Arial"/>
          <w:szCs w:val="24"/>
          <w:lang w:eastAsia="en-ZA"/>
        </w:rPr>
        <w:t xml:space="preserve">he next occasion </w:t>
      </w:r>
      <w:r w:rsidRPr="00AB52EE">
        <w:rPr>
          <w:rFonts w:cs="Arial"/>
          <w:szCs w:val="24"/>
          <w:lang w:eastAsia="en-ZA"/>
        </w:rPr>
        <w:t xml:space="preserve">upon which </w:t>
      </w:r>
      <w:r w:rsidR="00F40194" w:rsidRPr="00AB52EE">
        <w:rPr>
          <w:rFonts w:cs="Arial"/>
          <w:szCs w:val="24"/>
          <w:lang w:eastAsia="en-ZA"/>
        </w:rPr>
        <w:t xml:space="preserve">an </w:t>
      </w:r>
      <w:r w:rsidR="00BF5A38" w:rsidRPr="00AB52EE">
        <w:rPr>
          <w:rFonts w:cs="Arial"/>
          <w:szCs w:val="24"/>
          <w:lang w:eastAsia="en-ZA"/>
        </w:rPr>
        <w:t>Anton Piller</w:t>
      </w:r>
      <w:r w:rsidR="00FB1757" w:rsidRPr="00AB52EE">
        <w:rPr>
          <w:rFonts w:cs="Arial"/>
          <w:szCs w:val="24"/>
          <w:lang w:eastAsia="en-ZA"/>
        </w:rPr>
        <w:t>-type</w:t>
      </w:r>
      <w:r w:rsidR="00BF5A38" w:rsidRPr="00AB52EE">
        <w:rPr>
          <w:rFonts w:cs="Arial"/>
          <w:szCs w:val="24"/>
          <w:lang w:eastAsia="en-ZA"/>
        </w:rPr>
        <w:t xml:space="preserve"> order </w:t>
      </w:r>
      <w:r w:rsidR="001861FD" w:rsidRPr="00AB52EE">
        <w:rPr>
          <w:rFonts w:cs="Arial"/>
          <w:szCs w:val="24"/>
          <w:lang w:eastAsia="en-ZA"/>
        </w:rPr>
        <w:t xml:space="preserve">came </w:t>
      </w:r>
      <w:r w:rsidR="004B5462" w:rsidRPr="00AB52EE">
        <w:rPr>
          <w:rFonts w:cs="Arial"/>
          <w:szCs w:val="24"/>
          <w:lang w:eastAsia="en-ZA"/>
        </w:rPr>
        <w:t xml:space="preserve">to be considered by </w:t>
      </w:r>
      <w:r w:rsidR="001861FD" w:rsidRPr="00AB52EE">
        <w:rPr>
          <w:rFonts w:cs="Arial"/>
          <w:szCs w:val="24"/>
          <w:lang w:eastAsia="en-ZA"/>
        </w:rPr>
        <w:t>the Supreme Court of Appeal</w:t>
      </w:r>
      <w:r w:rsidRPr="00AB52EE">
        <w:rPr>
          <w:rFonts w:cs="Arial"/>
          <w:szCs w:val="24"/>
          <w:lang w:eastAsia="en-ZA"/>
        </w:rPr>
        <w:t xml:space="preserve"> was in </w:t>
      </w:r>
      <w:r w:rsidRPr="00AB52EE">
        <w:rPr>
          <w:rFonts w:cs="Arial"/>
          <w:i/>
          <w:iCs/>
          <w:szCs w:val="24"/>
          <w:lang w:eastAsia="en-ZA"/>
        </w:rPr>
        <w:t>Memory Institute</w:t>
      </w:r>
      <w:r w:rsidRPr="00AB52EE">
        <w:rPr>
          <w:rFonts w:cs="Arial"/>
          <w:szCs w:val="24"/>
          <w:lang w:eastAsia="en-ZA"/>
        </w:rPr>
        <w:t>, where</w:t>
      </w:r>
      <w:r w:rsidR="004B5462" w:rsidRPr="00AB52EE">
        <w:rPr>
          <w:rFonts w:cs="Arial"/>
          <w:szCs w:val="24"/>
          <w:lang w:eastAsia="en-ZA"/>
        </w:rPr>
        <w:t xml:space="preserve"> </w:t>
      </w:r>
      <w:r w:rsidRPr="00AB52EE">
        <w:rPr>
          <w:rFonts w:cs="Arial"/>
          <w:szCs w:val="24"/>
          <w:lang w:eastAsia="en-ZA"/>
        </w:rPr>
        <w:t xml:space="preserve">the original </w:t>
      </w:r>
      <w:r w:rsidR="00680F01" w:rsidRPr="00AB52EE">
        <w:rPr>
          <w:rFonts w:cs="Arial"/>
          <w:i/>
          <w:iCs/>
          <w:szCs w:val="24"/>
          <w:lang w:eastAsia="en-ZA"/>
        </w:rPr>
        <w:t>ex parte</w:t>
      </w:r>
      <w:r w:rsidR="00680F01" w:rsidRPr="00AB52EE">
        <w:rPr>
          <w:rFonts w:cs="Arial"/>
          <w:szCs w:val="24"/>
          <w:lang w:eastAsia="en-ZA"/>
        </w:rPr>
        <w:t xml:space="preserve"> order </w:t>
      </w:r>
      <w:r w:rsidRPr="00AB52EE">
        <w:rPr>
          <w:rFonts w:cs="Arial"/>
          <w:szCs w:val="24"/>
          <w:lang w:eastAsia="en-ZA"/>
        </w:rPr>
        <w:t xml:space="preserve">had allowed </w:t>
      </w:r>
      <w:r w:rsidR="00680F01" w:rsidRPr="00AB52EE">
        <w:rPr>
          <w:rFonts w:cs="Arial"/>
          <w:szCs w:val="24"/>
          <w:lang w:eastAsia="en-ZA"/>
        </w:rPr>
        <w:t xml:space="preserve">the seized </w:t>
      </w:r>
      <w:r w:rsidR="00082D42" w:rsidRPr="00AB52EE">
        <w:rPr>
          <w:rFonts w:cs="Arial"/>
          <w:szCs w:val="24"/>
          <w:lang w:eastAsia="en-ZA"/>
        </w:rPr>
        <w:t xml:space="preserve">items </w:t>
      </w:r>
      <w:r w:rsidR="00680F01" w:rsidRPr="00AB52EE">
        <w:rPr>
          <w:rFonts w:cs="Arial"/>
          <w:szCs w:val="24"/>
          <w:lang w:eastAsia="en-ZA"/>
        </w:rPr>
        <w:t>to be handed over to the applicant prior to the return day</w:t>
      </w:r>
      <w:r w:rsidR="00FB1757" w:rsidRPr="00AB52EE">
        <w:rPr>
          <w:rFonts w:cs="Arial"/>
          <w:szCs w:val="24"/>
          <w:lang w:eastAsia="en-ZA"/>
        </w:rPr>
        <w:t xml:space="preserve"> of a </w:t>
      </w:r>
      <w:r w:rsidR="00FB1757" w:rsidRPr="00AB52EE">
        <w:rPr>
          <w:rFonts w:cs="Arial"/>
          <w:i/>
          <w:iCs/>
          <w:szCs w:val="24"/>
          <w:lang w:eastAsia="en-ZA"/>
        </w:rPr>
        <w:t>rule nisi</w:t>
      </w:r>
      <w:r w:rsidR="00680F01" w:rsidRPr="00AB52EE">
        <w:rPr>
          <w:rFonts w:cs="Arial"/>
          <w:szCs w:val="24"/>
          <w:lang w:eastAsia="en-ZA"/>
        </w:rPr>
        <w:t xml:space="preserve">, and this had </w:t>
      </w:r>
      <w:r w:rsidR="00BF5A38" w:rsidRPr="00AB52EE">
        <w:rPr>
          <w:rFonts w:cs="Arial"/>
          <w:szCs w:val="24"/>
          <w:lang w:eastAsia="en-ZA"/>
        </w:rPr>
        <w:t>occurred</w:t>
      </w:r>
      <w:r w:rsidR="00680F01" w:rsidRPr="00AB52EE">
        <w:rPr>
          <w:rFonts w:cs="Arial"/>
          <w:szCs w:val="24"/>
          <w:lang w:eastAsia="en-ZA"/>
        </w:rPr>
        <w:t xml:space="preserve">. The order was set aside on the return day, but the applicant appealed. </w:t>
      </w:r>
      <w:r w:rsidR="003C132D" w:rsidRPr="00AB52EE">
        <w:rPr>
          <w:rFonts w:cs="Arial"/>
          <w:szCs w:val="24"/>
          <w:lang w:eastAsia="en-ZA"/>
        </w:rPr>
        <w:t>The opening words of Harms JA’s judgment indicated exasperation: “the name of Anton Piller, once again, has been taken in vain”, and he considered it unnecessary to identify authorities for the following propositions</w:t>
      </w:r>
      <w:r w:rsidR="00403F15">
        <w:rPr>
          <w:rFonts w:cs="Arial"/>
          <w:szCs w:val="24"/>
          <w:lang w:eastAsia="en-ZA"/>
        </w:rPr>
        <w:t>,</w:t>
      </w:r>
      <w:r w:rsidR="003C132D" w:rsidRPr="00AB52EE">
        <w:rPr>
          <w:rFonts w:cs="Arial"/>
          <w:szCs w:val="24"/>
          <w:lang w:eastAsia="en-ZA"/>
        </w:rPr>
        <w:t xml:space="preserve"> “since those who care to look can find </w:t>
      </w:r>
      <w:r w:rsidR="003C132D" w:rsidRPr="00AB52EE">
        <w:rPr>
          <w:rFonts w:cs="Arial"/>
          <w:szCs w:val="24"/>
          <w:lang w:eastAsia="en-ZA"/>
        </w:rPr>
        <w:lastRenderedPageBreak/>
        <w:t>them easily”:</w:t>
      </w:r>
      <w:r w:rsidR="001861FD" w:rsidRPr="00AB52EE">
        <w:rPr>
          <w:rFonts w:cs="Arial"/>
          <w:szCs w:val="24"/>
          <w:lang w:eastAsia="en-ZA"/>
        </w:rPr>
        <w:t xml:space="preserve"> </w:t>
      </w:r>
    </w:p>
    <w:p w14:paraId="7DE1A480" w14:textId="03672D92" w:rsidR="003C132D" w:rsidRPr="00AB52EE" w:rsidRDefault="0051604B" w:rsidP="007A27ED">
      <w:pPr>
        <w:pStyle w:val="HeadsQuote"/>
      </w:pPr>
      <w:r w:rsidRPr="00AB52EE">
        <w:rPr>
          <w:lang w:eastAsia="en-ZA"/>
        </w:rPr>
        <w:t>“</w:t>
      </w:r>
      <w:r w:rsidR="00680F01" w:rsidRPr="00AB52EE">
        <w:rPr>
          <w:lang w:eastAsia="en-ZA"/>
        </w:rPr>
        <w:t xml:space="preserve">Anton Piller orders </w:t>
      </w:r>
      <w:r w:rsidR="001861FD" w:rsidRPr="00AB52EE">
        <w:rPr>
          <w:lang w:eastAsia="en-ZA"/>
        </w:rPr>
        <w:t xml:space="preserve">are </w:t>
      </w:r>
      <w:r w:rsidR="00D4036B" w:rsidRPr="00AB52EE">
        <w:rPr>
          <w:lang w:eastAsia="en-ZA"/>
        </w:rPr>
        <w:t>for the preservation of evidence and are not a substitute for possessory or proprietary claims</w:t>
      </w:r>
      <w:r w:rsidR="003C132D" w:rsidRPr="00AB52EE">
        <w:rPr>
          <w:lang w:eastAsia="en-ZA"/>
        </w:rPr>
        <w:t xml:space="preserve">. They require built-in protection measures such as the appointment of an independent attorney to supervise the execution of the order. An applicant and the own attorney are not to be part of the search party. </w:t>
      </w:r>
      <w:r w:rsidR="003C132D" w:rsidRPr="00AB52EE">
        <w:rPr>
          <w:u w:val="single"/>
          <w:lang w:eastAsia="en-ZA"/>
        </w:rPr>
        <w:t>T</w:t>
      </w:r>
      <w:r w:rsidR="00680F01" w:rsidRPr="00AB52EE">
        <w:rPr>
          <w:u w:val="single"/>
          <w:lang w:eastAsia="en-ZA"/>
        </w:rPr>
        <w:t>he goods seized should be kept in the possession of the Sheriff pending the Court's determination</w:t>
      </w:r>
      <w:r w:rsidR="00680F01" w:rsidRPr="00AB52EE">
        <w:rPr>
          <w:lang w:eastAsia="en-ZA"/>
        </w:rPr>
        <w:t xml:space="preserve">. Since it is the duty of an applicant to ensure that the order applied for does not go beyond what is </w:t>
      </w:r>
      <w:r w:rsidR="00680F01" w:rsidRPr="00AB52EE">
        <w:rPr>
          <w:u w:val="single"/>
          <w:lang w:eastAsia="en-ZA"/>
        </w:rPr>
        <w:t>permitted</w:t>
      </w:r>
      <w:r w:rsidR="00680F01" w:rsidRPr="00AB52EE">
        <w:rPr>
          <w:lang w:eastAsia="en-ZA"/>
        </w:rPr>
        <w:t xml:space="preserve"> (something that was not done in this case) and since [the judge who heard the ex parte application] granted a rule nisi he was </w:t>
      </w:r>
      <w:r w:rsidR="00680F01" w:rsidRPr="00AB52EE">
        <w:rPr>
          <w:u w:val="single"/>
          <w:lang w:eastAsia="en-ZA"/>
        </w:rPr>
        <w:t>not empowered</w:t>
      </w:r>
      <w:r w:rsidR="00680F01" w:rsidRPr="00AB52EE">
        <w:rPr>
          <w:lang w:eastAsia="en-ZA"/>
        </w:rPr>
        <w:t xml:space="preserve"> to grant, </w:t>
      </w:r>
      <w:r w:rsidR="00680F01" w:rsidRPr="00AB52EE">
        <w:rPr>
          <w:u w:val="single"/>
          <w:lang w:eastAsia="en-ZA"/>
        </w:rPr>
        <w:t>the setting aside</w:t>
      </w:r>
      <w:r w:rsidR="00680F01" w:rsidRPr="00AB52EE">
        <w:rPr>
          <w:lang w:eastAsia="en-ZA"/>
        </w:rPr>
        <w:t xml:space="preserve"> of the rule </w:t>
      </w:r>
      <w:r w:rsidR="00680F01" w:rsidRPr="00AB52EE">
        <w:rPr>
          <w:u w:val="single"/>
          <w:lang w:eastAsia="en-ZA"/>
        </w:rPr>
        <w:t>had to follow as a matter of course</w:t>
      </w:r>
      <w:r w:rsidR="001861FD" w:rsidRPr="00AB52EE">
        <w:rPr>
          <w:lang w:eastAsia="en-ZA"/>
        </w:rPr>
        <w:t>.</w:t>
      </w:r>
      <w:r w:rsidRPr="00AB52EE">
        <w:rPr>
          <w:lang w:eastAsia="en-ZA"/>
        </w:rPr>
        <w:t>”</w:t>
      </w:r>
      <w:r w:rsidR="00D4036B" w:rsidRPr="00AB52EE">
        <w:rPr>
          <w:rStyle w:val="FootnoteReference"/>
          <w:szCs w:val="24"/>
          <w:lang w:eastAsia="en-ZA"/>
        </w:rPr>
        <w:footnoteReference w:id="25"/>
      </w:r>
      <w:r w:rsidR="00C32BC2" w:rsidRPr="00AB52EE">
        <w:rPr>
          <w:lang w:eastAsia="en-ZA"/>
        </w:rPr>
        <w:t xml:space="preserve"> </w:t>
      </w:r>
    </w:p>
    <w:p w14:paraId="6B4357D1" w14:textId="05E7F5AF" w:rsidR="007F1ABB" w:rsidRPr="00AB52EE" w:rsidRDefault="003C132D" w:rsidP="007A27ED">
      <w:pPr>
        <w:pStyle w:val="LC1"/>
        <w:rPr>
          <w:rStyle w:val="FootnoteReference"/>
          <w:szCs w:val="24"/>
          <w:vertAlign w:val="baseline"/>
        </w:rPr>
      </w:pPr>
      <w:r w:rsidRPr="00AB52EE">
        <w:rPr>
          <w:rFonts w:cs="Arial"/>
          <w:szCs w:val="24"/>
          <w:lang w:eastAsia="en-ZA"/>
        </w:rPr>
        <w:t xml:space="preserve">The basis of the </w:t>
      </w:r>
      <w:r w:rsidR="00680F01" w:rsidRPr="00AB52EE">
        <w:rPr>
          <w:rFonts w:cs="Arial"/>
          <w:szCs w:val="24"/>
          <w:lang w:eastAsia="en-ZA"/>
        </w:rPr>
        <w:t>applicant</w:t>
      </w:r>
      <w:r w:rsidRPr="00AB52EE">
        <w:rPr>
          <w:rFonts w:cs="Arial"/>
          <w:szCs w:val="24"/>
          <w:lang w:eastAsia="en-ZA"/>
        </w:rPr>
        <w:t>’s</w:t>
      </w:r>
      <w:r w:rsidR="00D167DE" w:rsidRPr="00AB52EE">
        <w:rPr>
          <w:rFonts w:cs="Arial"/>
          <w:szCs w:val="24"/>
          <w:lang w:eastAsia="en-ZA"/>
        </w:rPr>
        <w:t xml:space="preserve"> </w:t>
      </w:r>
      <w:r w:rsidRPr="00AB52EE">
        <w:rPr>
          <w:rFonts w:cs="Arial"/>
          <w:szCs w:val="24"/>
          <w:lang w:eastAsia="en-ZA"/>
        </w:rPr>
        <w:t>appeal, however</w:t>
      </w:r>
      <w:r w:rsidR="000C7E25" w:rsidRPr="00AB52EE">
        <w:rPr>
          <w:rFonts w:cs="Arial"/>
          <w:szCs w:val="24"/>
          <w:lang w:eastAsia="en-ZA"/>
        </w:rPr>
        <w:t>,</w:t>
      </w:r>
      <w:r w:rsidRPr="00AB52EE">
        <w:rPr>
          <w:rFonts w:cs="Arial"/>
          <w:szCs w:val="24"/>
          <w:lang w:eastAsia="en-ZA"/>
        </w:rPr>
        <w:t xml:space="preserve"> was its contention </w:t>
      </w:r>
      <w:r w:rsidR="00680F01" w:rsidRPr="00AB52EE">
        <w:rPr>
          <w:rFonts w:cs="Arial"/>
          <w:szCs w:val="24"/>
          <w:lang w:eastAsia="en-ZA"/>
        </w:rPr>
        <w:t xml:space="preserve">that </w:t>
      </w:r>
      <w:r w:rsidR="00D167DE" w:rsidRPr="00AB52EE">
        <w:rPr>
          <w:rFonts w:cs="Arial"/>
          <w:szCs w:val="24"/>
          <w:lang w:eastAsia="en-ZA"/>
        </w:rPr>
        <w:t xml:space="preserve">it had been entitled to the order because the claims that it advanced were actually in the nature of </w:t>
      </w:r>
      <w:r w:rsidR="00680F01" w:rsidRPr="00AB52EE">
        <w:rPr>
          <w:rFonts w:cs="Arial"/>
          <w:szCs w:val="24"/>
          <w:lang w:eastAsia="en-ZA"/>
        </w:rPr>
        <w:t xml:space="preserve">real </w:t>
      </w:r>
      <w:r w:rsidR="00D167DE" w:rsidRPr="00AB52EE">
        <w:rPr>
          <w:rFonts w:cs="Arial"/>
          <w:szCs w:val="24"/>
          <w:lang w:eastAsia="en-ZA"/>
        </w:rPr>
        <w:t xml:space="preserve">and </w:t>
      </w:r>
      <w:r w:rsidR="00680F01" w:rsidRPr="00AB52EE">
        <w:rPr>
          <w:rFonts w:cs="Arial"/>
          <w:szCs w:val="24"/>
          <w:lang w:eastAsia="en-ZA"/>
        </w:rPr>
        <w:t>personal right</w:t>
      </w:r>
      <w:r w:rsidR="00D167DE" w:rsidRPr="00AB52EE">
        <w:rPr>
          <w:rFonts w:cs="Arial"/>
          <w:szCs w:val="24"/>
          <w:lang w:eastAsia="en-ZA"/>
        </w:rPr>
        <w:t>s</w:t>
      </w:r>
      <w:r w:rsidR="00680F01" w:rsidRPr="00AB52EE">
        <w:rPr>
          <w:rFonts w:cs="Arial"/>
          <w:szCs w:val="24"/>
          <w:lang w:eastAsia="en-ZA"/>
        </w:rPr>
        <w:t xml:space="preserve"> to the seized </w:t>
      </w:r>
      <w:r w:rsidR="00082D42" w:rsidRPr="00AB52EE">
        <w:rPr>
          <w:rFonts w:cs="Arial"/>
          <w:szCs w:val="24"/>
          <w:lang w:eastAsia="en-ZA"/>
        </w:rPr>
        <w:t>items</w:t>
      </w:r>
      <w:r w:rsidR="00D167DE" w:rsidRPr="00AB52EE">
        <w:rPr>
          <w:rFonts w:cs="Arial"/>
          <w:szCs w:val="24"/>
          <w:lang w:eastAsia="en-ZA"/>
        </w:rPr>
        <w:t>.</w:t>
      </w:r>
      <w:r w:rsidR="00680F01" w:rsidRPr="00AB52EE">
        <w:rPr>
          <w:rFonts w:cs="Arial"/>
          <w:szCs w:val="24"/>
          <w:lang w:eastAsia="en-ZA"/>
        </w:rPr>
        <w:t xml:space="preserve"> </w:t>
      </w:r>
      <w:r w:rsidR="00D167DE" w:rsidRPr="00AB52EE">
        <w:rPr>
          <w:rFonts w:cs="Arial"/>
          <w:szCs w:val="24"/>
          <w:lang w:eastAsia="en-ZA"/>
        </w:rPr>
        <w:t xml:space="preserve">Since </w:t>
      </w:r>
      <w:r w:rsidR="00680F01" w:rsidRPr="00AB52EE">
        <w:rPr>
          <w:rFonts w:cs="Arial"/>
          <w:szCs w:val="24"/>
          <w:lang w:eastAsia="en-ZA"/>
        </w:rPr>
        <w:t xml:space="preserve">the </w:t>
      </w:r>
      <w:r w:rsidR="00FB1757" w:rsidRPr="00AB52EE">
        <w:rPr>
          <w:rFonts w:cs="Arial"/>
          <w:szCs w:val="24"/>
          <w:lang w:eastAsia="en-ZA"/>
        </w:rPr>
        <w:t xml:space="preserve">SCA’s </w:t>
      </w:r>
      <w:r w:rsidR="00D167DE" w:rsidRPr="00AB52EE">
        <w:rPr>
          <w:rFonts w:cs="Arial"/>
          <w:szCs w:val="24"/>
          <w:lang w:eastAsia="en-ZA"/>
        </w:rPr>
        <w:t>refusal of the appeal was squarely based on its rejection of this contention</w:t>
      </w:r>
      <w:r w:rsidR="00EE348B" w:rsidRPr="00AB52EE">
        <w:rPr>
          <w:rFonts w:cs="Arial"/>
          <w:szCs w:val="24"/>
          <w:lang w:eastAsia="en-ZA"/>
        </w:rPr>
        <w:t>,</w:t>
      </w:r>
      <w:r w:rsidR="00B742D7" w:rsidRPr="00AB52EE">
        <w:rPr>
          <w:rStyle w:val="FootnoteReference"/>
          <w:szCs w:val="24"/>
          <w:lang w:eastAsia="en-ZA"/>
        </w:rPr>
        <w:footnoteReference w:id="26"/>
      </w:r>
      <w:r w:rsidR="00EE348B" w:rsidRPr="00AB52EE">
        <w:rPr>
          <w:rFonts w:cs="Arial"/>
          <w:szCs w:val="24"/>
          <w:lang w:eastAsia="en-ZA"/>
        </w:rPr>
        <w:t xml:space="preserve"> </w:t>
      </w:r>
      <w:r w:rsidR="00F40194" w:rsidRPr="00AB52EE">
        <w:rPr>
          <w:rFonts w:cs="Arial"/>
          <w:szCs w:val="24"/>
          <w:lang w:eastAsia="en-ZA"/>
        </w:rPr>
        <w:t xml:space="preserve">the underlined portions in the above quote are </w:t>
      </w:r>
      <w:r w:rsidR="001861FD" w:rsidRPr="00AB52EE">
        <w:rPr>
          <w:rFonts w:cs="Arial"/>
          <w:szCs w:val="24"/>
          <w:lang w:eastAsia="en-ZA"/>
        </w:rPr>
        <w:t>clear</w:t>
      </w:r>
      <w:r w:rsidR="006A3AF5" w:rsidRPr="00AB52EE">
        <w:rPr>
          <w:rFonts w:cs="Arial"/>
          <w:szCs w:val="24"/>
          <w:lang w:eastAsia="en-ZA"/>
        </w:rPr>
        <w:t xml:space="preserve"> </w:t>
      </w:r>
      <w:r w:rsidR="009E23AA" w:rsidRPr="00AB52EE">
        <w:rPr>
          <w:rFonts w:cs="Arial"/>
          <w:szCs w:val="24"/>
          <w:lang w:eastAsia="en-ZA"/>
        </w:rPr>
        <w:t>authority for the proposition that w</w:t>
      </w:r>
      <w:r w:rsidR="00A4170D" w:rsidRPr="00AB52EE">
        <w:rPr>
          <w:rFonts w:cs="Arial"/>
          <w:szCs w:val="24"/>
          <w:lang w:eastAsia="en-ZA"/>
        </w:rPr>
        <w:t>here the applicant for an Anton</w:t>
      </w:r>
      <w:r w:rsidR="00F40194" w:rsidRPr="00AB52EE">
        <w:rPr>
          <w:rFonts w:cs="Arial"/>
          <w:szCs w:val="24"/>
          <w:lang w:eastAsia="en-ZA"/>
        </w:rPr>
        <w:t xml:space="preserve"> </w:t>
      </w:r>
      <w:r w:rsidR="00A4170D" w:rsidRPr="00AB52EE">
        <w:rPr>
          <w:rFonts w:cs="Arial"/>
          <w:szCs w:val="24"/>
          <w:lang w:eastAsia="en-ZA"/>
        </w:rPr>
        <w:t>Piller</w:t>
      </w:r>
      <w:r w:rsidR="00F40194" w:rsidRPr="00AB52EE">
        <w:rPr>
          <w:rFonts w:cs="Arial"/>
          <w:szCs w:val="24"/>
          <w:lang w:eastAsia="en-ZA"/>
        </w:rPr>
        <w:t>-</w:t>
      </w:r>
      <w:r w:rsidR="00A4170D" w:rsidRPr="00AB52EE">
        <w:rPr>
          <w:rFonts w:cs="Arial"/>
          <w:szCs w:val="24"/>
          <w:lang w:eastAsia="en-ZA"/>
        </w:rPr>
        <w:t xml:space="preserve">type order </w:t>
      </w:r>
      <w:r w:rsidR="004B5462" w:rsidRPr="00AB52EE">
        <w:rPr>
          <w:rFonts w:cs="Arial"/>
          <w:szCs w:val="24"/>
          <w:lang w:eastAsia="en-ZA"/>
        </w:rPr>
        <w:t>can</w:t>
      </w:r>
      <w:r w:rsidR="00A4170D" w:rsidRPr="00AB52EE">
        <w:rPr>
          <w:rFonts w:cs="Arial"/>
          <w:szCs w:val="24"/>
          <w:lang w:eastAsia="en-ZA"/>
        </w:rPr>
        <w:t xml:space="preserve">not claim the existence of a real or personal right to possess or view the </w:t>
      </w:r>
      <w:r w:rsidR="006271A3" w:rsidRPr="00AB52EE">
        <w:rPr>
          <w:rFonts w:cs="Arial"/>
          <w:szCs w:val="24"/>
          <w:lang w:eastAsia="en-ZA"/>
        </w:rPr>
        <w:t>seized and/or attached items</w:t>
      </w:r>
      <w:r w:rsidR="00A4170D" w:rsidRPr="00AB52EE">
        <w:rPr>
          <w:rFonts w:cs="Arial"/>
          <w:szCs w:val="24"/>
          <w:lang w:eastAsia="en-ZA"/>
        </w:rPr>
        <w:t xml:space="preserve">, </w:t>
      </w:r>
      <w:r w:rsidR="00A01AA1" w:rsidRPr="00AB52EE">
        <w:rPr>
          <w:rFonts w:cs="Arial"/>
          <w:szCs w:val="24"/>
          <w:lang w:eastAsia="en-ZA"/>
        </w:rPr>
        <w:t xml:space="preserve">a </w:t>
      </w:r>
      <w:r w:rsidR="00A4170D" w:rsidRPr="00AB52EE">
        <w:rPr>
          <w:rFonts w:cs="Arial"/>
          <w:szCs w:val="24"/>
          <w:lang w:eastAsia="en-ZA"/>
        </w:rPr>
        <w:t xml:space="preserve">court </w:t>
      </w:r>
      <w:r w:rsidR="009D1CF2" w:rsidRPr="00AB52EE">
        <w:rPr>
          <w:rFonts w:cs="Arial"/>
          <w:szCs w:val="24"/>
          <w:lang w:eastAsia="en-ZA"/>
        </w:rPr>
        <w:t xml:space="preserve">is simply </w:t>
      </w:r>
      <w:r w:rsidR="001861FD" w:rsidRPr="00AB52EE">
        <w:rPr>
          <w:rFonts w:cs="Arial"/>
          <w:szCs w:val="24"/>
          <w:lang w:eastAsia="en-ZA"/>
        </w:rPr>
        <w:t>not “permitted”</w:t>
      </w:r>
      <w:r w:rsidR="009D1CF2" w:rsidRPr="00AB52EE">
        <w:rPr>
          <w:rFonts w:cs="Arial"/>
          <w:szCs w:val="24"/>
          <w:lang w:eastAsia="en-ZA"/>
        </w:rPr>
        <w:t xml:space="preserve"> </w:t>
      </w:r>
      <w:r w:rsidR="004B5462" w:rsidRPr="00AB52EE">
        <w:rPr>
          <w:rFonts w:cs="Arial"/>
          <w:szCs w:val="24"/>
          <w:lang w:eastAsia="en-ZA"/>
        </w:rPr>
        <w:t xml:space="preserve">or “empowered” </w:t>
      </w:r>
      <w:r w:rsidR="009D1CF2" w:rsidRPr="00AB52EE">
        <w:rPr>
          <w:rFonts w:cs="Arial"/>
          <w:szCs w:val="24"/>
          <w:lang w:eastAsia="en-ZA"/>
        </w:rPr>
        <w:t xml:space="preserve">to grant </w:t>
      </w:r>
      <w:r w:rsidR="00A4170D" w:rsidRPr="00AB52EE">
        <w:rPr>
          <w:rFonts w:cs="Arial"/>
          <w:szCs w:val="24"/>
          <w:lang w:eastAsia="en-ZA"/>
        </w:rPr>
        <w:t>an order allowing it to inspect or copy the</w:t>
      </w:r>
      <w:r w:rsidR="006271A3" w:rsidRPr="00AB52EE">
        <w:rPr>
          <w:rFonts w:cs="Arial"/>
          <w:szCs w:val="24"/>
          <w:lang w:eastAsia="en-ZA"/>
        </w:rPr>
        <w:t>m</w:t>
      </w:r>
      <w:r w:rsidR="00A4170D" w:rsidRPr="00AB52EE">
        <w:rPr>
          <w:rFonts w:cs="Arial"/>
          <w:szCs w:val="24"/>
          <w:lang w:eastAsia="en-ZA"/>
        </w:rPr>
        <w:t>.</w:t>
      </w:r>
      <w:r w:rsidR="000C7E25" w:rsidRPr="00AB52EE">
        <w:rPr>
          <w:rStyle w:val="FootnoteReference"/>
          <w:szCs w:val="24"/>
          <w:lang w:eastAsia="en-ZA"/>
        </w:rPr>
        <w:footnoteReference w:id="27"/>
      </w:r>
      <w:r w:rsidR="006A3AF5" w:rsidRPr="00AB52EE">
        <w:rPr>
          <w:rStyle w:val="FootnoteReference"/>
          <w:szCs w:val="24"/>
          <w:lang w:eastAsia="en-ZA"/>
        </w:rPr>
        <w:t xml:space="preserve"> </w:t>
      </w:r>
    </w:p>
    <w:p w14:paraId="1D720AB3" w14:textId="284BDB9C" w:rsidR="001861FD" w:rsidRPr="00AB52EE" w:rsidRDefault="00D167DE" w:rsidP="007A27ED">
      <w:pPr>
        <w:pStyle w:val="LC1"/>
        <w:rPr>
          <w:rFonts w:cs="Arial"/>
          <w:szCs w:val="24"/>
        </w:rPr>
      </w:pPr>
      <w:r w:rsidRPr="00AB52EE">
        <w:rPr>
          <w:rFonts w:cs="Arial"/>
          <w:szCs w:val="24"/>
        </w:rPr>
        <w:lastRenderedPageBreak/>
        <w:t xml:space="preserve">Remarkably, only three days </w:t>
      </w:r>
      <w:r w:rsidR="006A3AF5" w:rsidRPr="00AB52EE">
        <w:rPr>
          <w:rFonts w:cs="Arial"/>
          <w:szCs w:val="24"/>
        </w:rPr>
        <w:t xml:space="preserve">after </w:t>
      </w:r>
      <w:r w:rsidR="006A3AF5" w:rsidRPr="00AB52EE">
        <w:rPr>
          <w:rFonts w:cs="Arial"/>
          <w:i/>
          <w:iCs/>
          <w:szCs w:val="24"/>
        </w:rPr>
        <w:t>Memory Institute</w:t>
      </w:r>
      <w:r w:rsidR="006A3AF5" w:rsidRPr="00AB52EE">
        <w:rPr>
          <w:rFonts w:cs="Arial"/>
          <w:szCs w:val="24"/>
        </w:rPr>
        <w:t xml:space="preserve"> was handed down</w:t>
      </w:r>
      <w:r w:rsidRPr="00AB52EE">
        <w:rPr>
          <w:rFonts w:cs="Arial"/>
          <w:szCs w:val="24"/>
        </w:rPr>
        <w:t xml:space="preserve">, and apparently unaware of the </w:t>
      </w:r>
      <w:r w:rsidR="006A3AF5" w:rsidRPr="00AB52EE">
        <w:rPr>
          <w:rFonts w:cs="Arial"/>
          <w:szCs w:val="24"/>
        </w:rPr>
        <w:t xml:space="preserve">SCA’s </w:t>
      </w:r>
      <w:r w:rsidRPr="00AB52EE">
        <w:rPr>
          <w:rFonts w:cs="Arial"/>
          <w:szCs w:val="24"/>
        </w:rPr>
        <w:t>judgment, Schwar</w:t>
      </w:r>
      <w:r w:rsidR="00582CCE">
        <w:rPr>
          <w:rFonts w:cs="Arial"/>
          <w:szCs w:val="24"/>
        </w:rPr>
        <w:t>t</w:t>
      </w:r>
      <w:r w:rsidRPr="00AB52EE">
        <w:rPr>
          <w:rFonts w:cs="Arial"/>
          <w:szCs w:val="24"/>
        </w:rPr>
        <w:t xml:space="preserve">zman J reached a similar conclusion </w:t>
      </w:r>
      <w:r w:rsidR="006C1A54" w:rsidRPr="00AB52EE">
        <w:rPr>
          <w:rFonts w:cs="Arial"/>
          <w:szCs w:val="24"/>
        </w:rPr>
        <w:t xml:space="preserve">in </w:t>
      </w:r>
      <w:r w:rsidR="006C1A54" w:rsidRPr="00AB52EE">
        <w:rPr>
          <w:rFonts w:cs="Arial"/>
          <w:i/>
          <w:iCs/>
          <w:szCs w:val="24"/>
        </w:rPr>
        <w:t>Kebble</w:t>
      </w:r>
      <w:r w:rsidR="006C1A54" w:rsidRPr="00AB52EE">
        <w:rPr>
          <w:rFonts w:cs="Arial"/>
          <w:szCs w:val="24"/>
        </w:rPr>
        <w:t xml:space="preserve">, </w:t>
      </w:r>
      <w:r w:rsidRPr="00AB52EE">
        <w:rPr>
          <w:rFonts w:cs="Arial"/>
          <w:szCs w:val="24"/>
        </w:rPr>
        <w:t xml:space="preserve">but his slightly more tentative approach </w:t>
      </w:r>
      <w:r w:rsidR="00AE5B51" w:rsidRPr="00AB52EE">
        <w:rPr>
          <w:rFonts w:cs="Arial"/>
          <w:szCs w:val="24"/>
        </w:rPr>
        <w:t>(</w:t>
      </w:r>
      <w:r w:rsidRPr="00AB52EE">
        <w:rPr>
          <w:rFonts w:cs="Arial"/>
          <w:szCs w:val="24"/>
        </w:rPr>
        <w:t>suggesting that a court might potentially be able to depart from a “general rule” to this effect if the applicant was able to set out “special circumstances”</w:t>
      </w:r>
      <w:r w:rsidR="00AE5B51" w:rsidRPr="00AB52EE">
        <w:rPr>
          <w:rFonts w:cs="Arial"/>
          <w:szCs w:val="24"/>
        </w:rPr>
        <w:t>)</w:t>
      </w:r>
      <w:r w:rsidRPr="00AB52EE">
        <w:rPr>
          <w:rFonts w:cs="Arial"/>
          <w:szCs w:val="24"/>
        </w:rPr>
        <w:t xml:space="preserve"> must be regarded as incorrect in the light of </w:t>
      </w:r>
      <w:r w:rsidRPr="00AB52EE">
        <w:rPr>
          <w:rFonts w:cs="Arial"/>
          <w:i/>
          <w:iCs/>
          <w:szCs w:val="24"/>
        </w:rPr>
        <w:t>Memory Institute</w:t>
      </w:r>
      <w:r w:rsidRPr="00AB52EE">
        <w:rPr>
          <w:rFonts w:cs="Arial"/>
          <w:szCs w:val="24"/>
        </w:rPr>
        <w:t>.</w:t>
      </w:r>
      <w:r w:rsidRPr="00AB52EE">
        <w:rPr>
          <w:rStyle w:val="FootnoteReference"/>
          <w:szCs w:val="24"/>
        </w:rPr>
        <w:footnoteReference w:id="28"/>
      </w:r>
      <w:r w:rsidR="007F1ABB" w:rsidRPr="00AB52EE">
        <w:rPr>
          <w:rFonts w:cs="Arial"/>
          <w:szCs w:val="24"/>
        </w:rPr>
        <w:t xml:space="preserve"> To the extent that both </w:t>
      </w:r>
      <w:r w:rsidR="007F1ABB" w:rsidRPr="00AB52EE">
        <w:rPr>
          <w:rFonts w:cs="Arial"/>
          <w:i/>
          <w:iCs/>
          <w:szCs w:val="24"/>
        </w:rPr>
        <w:t>Eiser</w:t>
      </w:r>
      <w:r w:rsidR="007F1ABB" w:rsidRPr="00AB52EE">
        <w:rPr>
          <w:rStyle w:val="FootnoteReference"/>
          <w:szCs w:val="24"/>
        </w:rPr>
        <w:footnoteReference w:id="29"/>
      </w:r>
      <w:r w:rsidR="007F1ABB" w:rsidRPr="00AB52EE">
        <w:rPr>
          <w:rFonts w:cs="Arial"/>
          <w:i/>
          <w:iCs/>
          <w:szCs w:val="24"/>
        </w:rPr>
        <w:t xml:space="preserve"> </w:t>
      </w:r>
      <w:r w:rsidR="007F1ABB" w:rsidRPr="00AB52EE">
        <w:rPr>
          <w:rFonts w:cs="Arial"/>
          <w:szCs w:val="24"/>
        </w:rPr>
        <w:t>(which Schwar</w:t>
      </w:r>
      <w:r w:rsidR="00582CCE">
        <w:rPr>
          <w:rFonts w:cs="Arial"/>
          <w:szCs w:val="24"/>
        </w:rPr>
        <w:t>t</w:t>
      </w:r>
      <w:r w:rsidR="007F1ABB" w:rsidRPr="00AB52EE">
        <w:rPr>
          <w:rFonts w:cs="Arial"/>
          <w:szCs w:val="24"/>
        </w:rPr>
        <w:t xml:space="preserve">zman J declined to follow) and </w:t>
      </w:r>
      <w:r w:rsidR="007F1ABB" w:rsidRPr="00AB52EE">
        <w:rPr>
          <w:rFonts w:cs="Arial"/>
          <w:i/>
          <w:iCs/>
          <w:szCs w:val="24"/>
        </w:rPr>
        <w:t>The Reclamation Group</w:t>
      </w:r>
      <w:r w:rsidR="007F1ABB" w:rsidRPr="00AB52EE">
        <w:rPr>
          <w:rStyle w:val="FootnoteReference"/>
          <w:szCs w:val="24"/>
        </w:rPr>
        <w:footnoteReference w:id="30"/>
      </w:r>
      <w:r w:rsidR="007F1ABB" w:rsidRPr="00AB52EE">
        <w:rPr>
          <w:rFonts w:cs="Arial"/>
          <w:i/>
          <w:iCs/>
          <w:szCs w:val="24"/>
        </w:rPr>
        <w:t xml:space="preserve"> </w:t>
      </w:r>
      <w:r w:rsidR="007F1ABB" w:rsidRPr="00AB52EE">
        <w:rPr>
          <w:rFonts w:cs="Arial"/>
          <w:szCs w:val="24"/>
        </w:rPr>
        <w:t>allowed inspection in Anton Piller</w:t>
      </w:r>
      <w:r w:rsidR="00F40194" w:rsidRPr="00AB52EE">
        <w:rPr>
          <w:rFonts w:cs="Arial"/>
          <w:szCs w:val="24"/>
        </w:rPr>
        <w:t>-type</w:t>
      </w:r>
      <w:r w:rsidR="007F1ABB" w:rsidRPr="00AB52EE">
        <w:rPr>
          <w:rFonts w:cs="Arial"/>
          <w:szCs w:val="24"/>
        </w:rPr>
        <w:t xml:space="preserve"> </w:t>
      </w:r>
      <w:r w:rsidR="00F40194" w:rsidRPr="00AB52EE">
        <w:rPr>
          <w:rFonts w:cs="Arial"/>
          <w:szCs w:val="24"/>
        </w:rPr>
        <w:t xml:space="preserve">orders </w:t>
      </w:r>
      <w:r w:rsidR="007F1ABB" w:rsidRPr="00AB52EE">
        <w:rPr>
          <w:rFonts w:cs="Arial"/>
          <w:szCs w:val="24"/>
        </w:rPr>
        <w:t xml:space="preserve">not involving any claimed right to possess or view the </w:t>
      </w:r>
      <w:r w:rsidR="00082D42" w:rsidRPr="00AB52EE">
        <w:rPr>
          <w:rFonts w:cs="Arial"/>
          <w:szCs w:val="24"/>
        </w:rPr>
        <w:t>attached items</w:t>
      </w:r>
      <w:r w:rsidR="007F1ABB" w:rsidRPr="00AB52EE">
        <w:rPr>
          <w:rFonts w:cs="Arial"/>
          <w:szCs w:val="24"/>
        </w:rPr>
        <w:t xml:space="preserve">, they must also be regarded as having been overruled in </w:t>
      </w:r>
      <w:r w:rsidR="007F1ABB" w:rsidRPr="00AB52EE">
        <w:rPr>
          <w:rFonts w:cs="Arial"/>
          <w:i/>
          <w:iCs/>
          <w:szCs w:val="24"/>
        </w:rPr>
        <w:t>Memory Institute</w:t>
      </w:r>
      <w:r w:rsidR="007F1ABB" w:rsidRPr="00AB52EE">
        <w:rPr>
          <w:rFonts w:cs="Arial"/>
          <w:szCs w:val="24"/>
        </w:rPr>
        <w:t xml:space="preserve"> – and I have not found any judgment relying on either of them as authority for the proposition that such an order is competent. </w:t>
      </w:r>
      <w:r w:rsidR="000C142F" w:rsidRPr="00AB52EE">
        <w:rPr>
          <w:rFonts w:cs="Arial"/>
          <w:szCs w:val="24"/>
        </w:rPr>
        <w:t xml:space="preserve">A </w:t>
      </w:r>
      <w:r w:rsidR="007F1ABB" w:rsidRPr="00AB52EE">
        <w:rPr>
          <w:rFonts w:cs="Arial"/>
          <w:szCs w:val="24"/>
        </w:rPr>
        <w:t>line of pre-</w:t>
      </w:r>
      <w:r w:rsidR="007F1ABB" w:rsidRPr="00AB52EE">
        <w:rPr>
          <w:rFonts w:cs="Arial"/>
          <w:i/>
          <w:iCs/>
          <w:szCs w:val="24"/>
        </w:rPr>
        <w:t>Memory Institute</w:t>
      </w:r>
      <w:r w:rsidR="007F1ABB" w:rsidRPr="00AB52EE">
        <w:rPr>
          <w:rFonts w:cs="Arial"/>
          <w:szCs w:val="24"/>
        </w:rPr>
        <w:t xml:space="preserve"> cases in the Cape </w:t>
      </w:r>
      <w:r w:rsidR="000C142F" w:rsidRPr="00AB52EE">
        <w:rPr>
          <w:rFonts w:cs="Arial"/>
          <w:szCs w:val="24"/>
        </w:rPr>
        <w:t xml:space="preserve">also held </w:t>
      </w:r>
      <w:r w:rsidR="007F1ABB" w:rsidRPr="00AB52EE">
        <w:rPr>
          <w:rFonts w:cs="Arial"/>
          <w:szCs w:val="24"/>
        </w:rPr>
        <w:t>that such orders should not be granted.</w:t>
      </w:r>
      <w:r w:rsidR="00046503" w:rsidRPr="00AB52EE">
        <w:rPr>
          <w:rStyle w:val="FootnoteReference"/>
          <w:szCs w:val="24"/>
        </w:rPr>
        <w:footnoteReference w:id="31"/>
      </w:r>
      <w:r w:rsidR="006A3AF5" w:rsidRPr="00AB52EE">
        <w:rPr>
          <w:rFonts w:cs="Arial"/>
          <w:szCs w:val="24"/>
        </w:rPr>
        <w:t xml:space="preserve"> </w:t>
      </w:r>
    </w:p>
    <w:p w14:paraId="4D9CAFE4" w14:textId="0F5703FC" w:rsidR="002C3FF3" w:rsidRPr="00AB52EE" w:rsidRDefault="002C3FF3" w:rsidP="007A27ED">
      <w:pPr>
        <w:pStyle w:val="LC1"/>
        <w:rPr>
          <w:rFonts w:cs="Arial"/>
          <w:szCs w:val="24"/>
        </w:rPr>
      </w:pPr>
      <w:r w:rsidRPr="00AB52EE">
        <w:rPr>
          <w:rFonts w:cs="Arial"/>
          <w:szCs w:val="24"/>
        </w:rPr>
        <w:t xml:space="preserve">The limited purpose of </w:t>
      </w:r>
      <w:r w:rsidR="00405B42" w:rsidRPr="00AB52EE">
        <w:rPr>
          <w:rFonts w:cs="Arial"/>
          <w:szCs w:val="24"/>
        </w:rPr>
        <w:t xml:space="preserve">“an </w:t>
      </w:r>
      <w:r w:rsidRPr="00AB52EE">
        <w:rPr>
          <w:rFonts w:cs="Arial"/>
          <w:szCs w:val="24"/>
        </w:rPr>
        <w:t>Anton Piller order</w:t>
      </w:r>
      <w:r w:rsidR="00405B42" w:rsidRPr="00AB52EE">
        <w:rPr>
          <w:rFonts w:cs="Arial"/>
          <w:szCs w:val="24"/>
        </w:rPr>
        <w:t>”</w:t>
      </w:r>
      <w:r w:rsidRPr="00AB52EE">
        <w:rPr>
          <w:rFonts w:cs="Arial"/>
          <w:szCs w:val="24"/>
        </w:rPr>
        <w:t xml:space="preserve"> has most recently been </w:t>
      </w:r>
      <w:r w:rsidR="000C142F" w:rsidRPr="00AB52EE">
        <w:rPr>
          <w:rFonts w:cs="Arial"/>
          <w:szCs w:val="24"/>
        </w:rPr>
        <w:t xml:space="preserve">confirmed </w:t>
      </w:r>
      <w:r w:rsidRPr="00AB52EE">
        <w:rPr>
          <w:rFonts w:cs="Arial"/>
          <w:szCs w:val="24"/>
        </w:rPr>
        <w:t xml:space="preserve">by the Constitutional Court in </w:t>
      </w:r>
      <w:r w:rsidRPr="00AB52EE">
        <w:rPr>
          <w:rFonts w:cs="Arial"/>
          <w:i/>
          <w:iCs/>
          <w:szCs w:val="24"/>
        </w:rPr>
        <w:t>Mkhatshwa</w:t>
      </w:r>
      <w:r w:rsidRPr="00AB52EE">
        <w:rPr>
          <w:rFonts w:cs="Arial"/>
          <w:szCs w:val="24"/>
        </w:rPr>
        <w:t xml:space="preserve"> </w:t>
      </w:r>
      <w:r w:rsidR="002E5171" w:rsidRPr="00AB52EE">
        <w:rPr>
          <w:rFonts w:cs="Arial"/>
          <w:szCs w:val="24"/>
        </w:rPr>
        <w:t xml:space="preserve">as </w:t>
      </w:r>
      <w:r w:rsidR="00405B42" w:rsidRPr="00AB52EE">
        <w:rPr>
          <w:rFonts w:cs="Arial"/>
          <w:szCs w:val="24"/>
        </w:rPr>
        <w:t xml:space="preserve">being </w:t>
      </w:r>
      <w:r w:rsidR="000C142F" w:rsidRPr="00AB52EE">
        <w:rPr>
          <w:rFonts w:cs="Arial"/>
          <w:szCs w:val="24"/>
        </w:rPr>
        <w:t xml:space="preserve">to allow </w:t>
      </w:r>
      <w:r w:rsidRPr="00AB52EE">
        <w:rPr>
          <w:rFonts w:cs="Arial"/>
          <w:szCs w:val="24"/>
        </w:rPr>
        <w:t>“for the search of premises for crucial documentation or material for purposes of preserving important evidence for litigation, so that the documentation or material may be removed and safely kept, pending the ordinary discovery process and trial”.</w:t>
      </w:r>
      <w:r w:rsidRPr="00AB52EE">
        <w:rPr>
          <w:rStyle w:val="FootnoteReference"/>
          <w:szCs w:val="24"/>
        </w:rPr>
        <w:footnoteReference w:id="32"/>
      </w:r>
    </w:p>
    <w:p w14:paraId="2563E7FD" w14:textId="49325C0D" w:rsidR="002C3FF3" w:rsidRPr="00AB52EE" w:rsidRDefault="001861FD" w:rsidP="007A27ED">
      <w:pPr>
        <w:pStyle w:val="LC1"/>
        <w:rPr>
          <w:rFonts w:cs="Arial"/>
          <w:szCs w:val="24"/>
        </w:rPr>
      </w:pPr>
      <w:r w:rsidRPr="00AB52EE">
        <w:rPr>
          <w:rFonts w:cs="Arial"/>
          <w:szCs w:val="24"/>
          <w:lang w:eastAsia="en-ZA"/>
        </w:rPr>
        <w:lastRenderedPageBreak/>
        <w:t xml:space="preserve">I shall refer in </w:t>
      </w:r>
      <w:r w:rsidR="00404C6B" w:rsidRPr="00AB52EE">
        <w:rPr>
          <w:rFonts w:cs="Arial"/>
          <w:szCs w:val="24"/>
          <w:lang w:eastAsia="en-ZA"/>
        </w:rPr>
        <w:t xml:space="preserve">the remainder of this </w:t>
      </w:r>
      <w:r w:rsidRPr="00AB52EE">
        <w:rPr>
          <w:rFonts w:cs="Arial"/>
          <w:szCs w:val="24"/>
          <w:lang w:eastAsia="en-ZA"/>
        </w:rPr>
        <w:t xml:space="preserve">judgment to orders of the type approved in </w:t>
      </w:r>
      <w:r w:rsidRPr="00AB52EE">
        <w:rPr>
          <w:rFonts w:cs="Arial"/>
          <w:i/>
          <w:iCs/>
          <w:szCs w:val="24"/>
          <w:lang w:eastAsia="en-ZA"/>
        </w:rPr>
        <w:t>Universal City Studios</w:t>
      </w:r>
      <w:r w:rsidR="002C3FF3" w:rsidRPr="00AB52EE">
        <w:rPr>
          <w:rFonts w:cs="Arial"/>
          <w:szCs w:val="24"/>
          <w:lang w:eastAsia="en-ZA"/>
        </w:rPr>
        <w:t xml:space="preserve">, </w:t>
      </w:r>
      <w:r w:rsidRPr="00AB52EE">
        <w:rPr>
          <w:rFonts w:cs="Arial"/>
          <w:szCs w:val="24"/>
          <w:lang w:eastAsia="en-ZA"/>
        </w:rPr>
        <w:t xml:space="preserve">granted in </w:t>
      </w:r>
      <w:r w:rsidRPr="00AB52EE">
        <w:rPr>
          <w:rFonts w:cs="Arial"/>
          <w:i/>
          <w:iCs/>
          <w:szCs w:val="24"/>
          <w:lang w:eastAsia="en-ZA"/>
        </w:rPr>
        <w:t xml:space="preserve">Shoba </w:t>
      </w:r>
      <w:r w:rsidR="002C3FF3" w:rsidRPr="00AB52EE">
        <w:rPr>
          <w:rFonts w:cs="Arial"/>
          <w:szCs w:val="24"/>
          <w:lang w:eastAsia="en-ZA"/>
        </w:rPr>
        <w:t xml:space="preserve">and described in </w:t>
      </w:r>
      <w:r w:rsidR="002C3FF3" w:rsidRPr="00AB52EE">
        <w:rPr>
          <w:rFonts w:cs="Arial"/>
          <w:i/>
          <w:iCs/>
          <w:szCs w:val="24"/>
          <w:lang w:eastAsia="en-ZA"/>
        </w:rPr>
        <w:t>Mkhatshwa</w:t>
      </w:r>
      <w:r w:rsidR="002C3FF3" w:rsidRPr="00AB52EE">
        <w:rPr>
          <w:rFonts w:cs="Arial"/>
          <w:szCs w:val="24"/>
          <w:lang w:eastAsia="en-ZA"/>
        </w:rPr>
        <w:t xml:space="preserve"> </w:t>
      </w:r>
      <w:r w:rsidRPr="00AB52EE">
        <w:rPr>
          <w:rFonts w:cs="Arial"/>
          <w:szCs w:val="24"/>
          <w:lang w:eastAsia="en-ZA"/>
        </w:rPr>
        <w:t>as</w:t>
      </w:r>
      <w:r w:rsidRPr="00AB52EE">
        <w:rPr>
          <w:rFonts w:cs="Arial"/>
          <w:i/>
          <w:iCs/>
          <w:szCs w:val="24"/>
          <w:lang w:eastAsia="en-ZA"/>
        </w:rPr>
        <w:t xml:space="preserve"> </w:t>
      </w:r>
      <w:r w:rsidRPr="00AB52EE">
        <w:rPr>
          <w:rFonts w:cs="Arial"/>
          <w:szCs w:val="24"/>
          <w:lang w:eastAsia="en-ZA"/>
        </w:rPr>
        <w:t>“ordinary Anton Piller orders”</w:t>
      </w:r>
      <w:r w:rsidR="00654B2E" w:rsidRPr="00AB52EE">
        <w:rPr>
          <w:rFonts w:cs="Arial"/>
          <w:szCs w:val="24"/>
          <w:lang w:eastAsia="en-ZA"/>
        </w:rPr>
        <w:t>.</w:t>
      </w:r>
      <w:r w:rsidRPr="00AB52EE">
        <w:rPr>
          <w:rStyle w:val="FootnoteReference"/>
          <w:szCs w:val="24"/>
          <w:lang w:eastAsia="en-ZA"/>
        </w:rPr>
        <w:footnoteReference w:id="33"/>
      </w:r>
      <w:r w:rsidRPr="00AB52EE">
        <w:rPr>
          <w:rFonts w:cs="Arial"/>
          <w:szCs w:val="24"/>
          <w:lang w:eastAsia="en-ZA"/>
        </w:rPr>
        <w:t xml:space="preserve"> </w:t>
      </w:r>
      <w:r w:rsidR="00654B2E" w:rsidRPr="00AB52EE">
        <w:rPr>
          <w:rFonts w:cs="Arial"/>
          <w:szCs w:val="24"/>
          <w:lang w:eastAsia="en-ZA"/>
        </w:rPr>
        <w:t xml:space="preserve">On the other hand, I will refer </w:t>
      </w:r>
      <w:r w:rsidRPr="00AB52EE">
        <w:rPr>
          <w:rFonts w:cs="Arial"/>
          <w:szCs w:val="24"/>
          <w:lang w:eastAsia="en-ZA"/>
        </w:rPr>
        <w:t xml:space="preserve">to Anton Piller-type orders </w:t>
      </w:r>
      <w:r w:rsidR="00654B2E" w:rsidRPr="00AB52EE">
        <w:rPr>
          <w:rFonts w:cs="Arial"/>
          <w:szCs w:val="24"/>
          <w:lang w:eastAsia="en-ZA"/>
        </w:rPr>
        <w:t xml:space="preserve">related </w:t>
      </w:r>
      <w:r w:rsidRPr="00AB52EE">
        <w:rPr>
          <w:rFonts w:cs="Arial"/>
          <w:szCs w:val="24"/>
          <w:lang w:eastAsia="en-ZA"/>
        </w:rPr>
        <w:t xml:space="preserve">to possessory or proprietary claims (i.e. of the kind referred to in paragraph </w:t>
      </w:r>
      <w:r w:rsidRPr="00AB52EE">
        <w:rPr>
          <w:rFonts w:cs="Arial"/>
          <w:szCs w:val="24"/>
          <w:lang w:eastAsia="en-ZA"/>
        </w:rPr>
        <w:fldChar w:fldCharType="begin"/>
      </w:r>
      <w:r w:rsidRPr="00AB52EE">
        <w:rPr>
          <w:rFonts w:cs="Arial"/>
          <w:szCs w:val="24"/>
          <w:lang w:eastAsia="en-ZA"/>
        </w:rPr>
        <w:instrText xml:space="preserve"> REF _Ref150025950 \r \h  \* MERGEFORMAT </w:instrText>
      </w:r>
      <w:r w:rsidRPr="00AB52EE">
        <w:rPr>
          <w:rFonts w:cs="Arial"/>
          <w:szCs w:val="24"/>
          <w:lang w:eastAsia="en-ZA"/>
        </w:rPr>
      </w:r>
      <w:r w:rsidRPr="00AB52EE">
        <w:rPr>
          <w:rFonts w:cs="Arial"/>
          <w:szCs w:val="24"/>
          <w:lang w:eastAsia="en-ZA"/>
        </w:rPr>
        <w:fldChar w:fldCharType="separate"/>
      </w:r>
      <w:r w:rsidR="00214B4A">
        <w:rPr>
          <w:rFonts w:cs="Arial"/>
          <w:szCs w:val="24"/>
          <w:lang w:eastAsia="en-ZA"/>
        </w:rPr>
        <w:t>[38](a)</w:t>
      </w:r>
      <w:r w:rsidRPr="00AB52EE">
        <w:rPr>
          <w:rFonts w:cs="Arial"/>
          <w:szCs w:val="24"/>
          <w:lang w:eastAsia="en-ZA"/>
        </w:rPr>
        <w:fldChar w:fldCharType="end"/>
      </w:r>
      <w:r w:rsidRPr="00AB52EE">
        <w:rPr>
          <w:rFonts w:cs="Arial"/>
          <w:szCs w:val="24"/>
          <w:lang w:eastAsia="en-ZA"/>
        </w:rPr>
        <w:t xml:space="preserve"> above)</w:t>
      </w:r>
      <w:r w:rsidR="00654B2E" w:rsidRPr="00AB52EE">
        <w:rPr>
          <w:rFonts w:cs="Arial"/>
          <w:szCs w:val="24"/>
          <w:lang w:eastAsia="en-ZA"/>
        </w:rPr>
        <w:t>,</w:t>
      </w:r>
      <w:r w:rsidRPr="00AB52EE">
        <w:rPr>
          <w:rFonts w:cs="Arial"/>
          <w:szCs w:val="24"/>
          <w:lang w:eastAsia="en-ZA"/>
        </w:rPr>
        <w:t xml:space="preserve"> </w:t>
      </w:r>
      <w:r w:rsidR="004B5462" w:rsidRPr="00AB52EE">
        <w:rPr>
          <w:rFonts w:cs="Arial"/>
          <w:szCs w:val="24"/>
          <w:lang w:eastAsia="en-ZA"/>
        </w:rPr>
        <w:t xml:space="preserve">where the applicant </w:t>
      </w:r>
      <w:r w:rsidR="001407E6" w:rsidRPr="00AB52EE">
        <w:rPr>
          <w:rFonts w:cs="Arial"/>
          <w:szCs w:val="24"/>
          <w:lang w:eastAsia="en-ZA"/>
        </w:rPr>
        <w:t xml:space="preserve">might </w:t>
      </w:r>
      <w:r w:rsidR="004B5462" w:rsidRPr="00AB52EE">
        <w:rPr>
          <w:rFonts w:cs="Arial"/>
          <w:szCs w:val="24"/>
          <w:lang w:eastAsia="en-ZA"/>
        </w:rPr>
        <w:t xml:space="preserve">be granted access to the </w:t>
      </w:r>
      <w:r w:rsidR="00082D42" w:rsidRPr="00AB52EE">
        <w:rPr>
          <w:rFonts w:cs="Arial"/>
          <w:szCs w:val="24"/>
        </w:rPr>
        <w:t>seized and/or attached</w:t>
      </w:r>
      <w:r w:rsidR="004B5462" w:rsidRPr="00AB52EE">
        <w:rPr>
          <w:rFonts w:cs="Arial"/>
          <w:szCs w:val="24"/>
          <w:lang w:eastAsia="en-ZA"/>
        </w:rPr>
        <w:t xml:space="preserve"> </w:t>
      </w:r>
      <w:r w:rsidR="005A3DF9" w:rsidRPr="00AB52EE">
        <w:rPr>
          <w:rFonts w:cs="Arial"/>
          <w:szCs w:val="24"/>
          <w:lang w:eastAsia="en-ZA"/>
        </w:rPr>
        <w:t>items</w:t>
      </w:r>
      <w:r w:rsidR="00654B2E" w:rsidRPr="00AB52EE">
        <w:rPr>
          <w:rFonts w:cs="Arial"/>
          <w:szCs w:val="24"/>
          <w:lang w:eastAsia="en-ZA"/>
        </w:rPr>
        <w:t>,</w:t>
      </w:r>
      <w:r w:rsidR="004B5462" w:rsidRPr="00AB52EE">
        <w:rPr>
          <w:rFonts w:cs="Arial"/>
          <w:szCs w:val="24"/>
          <w:lang w:eastAsia="en-ZA"/>
        </w:rPr>
        <w:t xml:space="preserve"> </w:t>
      </w:r>
      <w:r w:rsidRPr="00AB52EE">
        <w:rPr>
          <w:rFonts w:cs="Arial"/>
          <w:szCs w:val="24"/>
          <w:lang w:eastAsia="en-ZA"/>
        </w:rPr>
        <w:t>as “Cerebos-type orders”</w:t>
      </w:r>
      <w:r w:rsidR="00654B2E" w:rsidRPr="00AB52EE">
        <w:rPr>
          <w:rFonts w:cs="Arial"/>
          <w:szCs w:val="24"/>
          <w:lang w:eastAsia="en-ZA"/>
        </w:rPr>
        <w:t xml:space="preserve"> – </w:t>
      </w:r>
      <w:r w:rsidRPr="00AB52EE">
        <w:rPr>
          <w:rFonts w:cs="Arial"/>
          <w:szCs w:val="24"/>
          <w:lang w:eastAsia="en-ZA"/>
        </w:rPr>
        <w:t>since</w:t>
      </w:r>
      <w:r w:rsidR="00654B2E" w:rsidRPr="00AB52EE">
        <w:rPr>
          <w:rFonts w:cs="Arial"/>
          <w:szCs w:val="24"/>
          <w:lang w:eastAsia="en-ZA"/>
        </w:rPr>
        <w:t xml:space="preserve"> </w:t>
      </w:r>
      <w:r w:rsidRPr="00AB52EE">
        <w:rPr>
          <w:rFonts w:cs="Arial"/>
          <w:szCs w:val="24"/>
          <w:lang w:eastAsia="en-ZA"/>
        </w:rPr>
        <w:t xml:space="preserve">that was the type of order actually granted by the full bench in </w:t>
      </w:r>
      <w:r w:rsidR="00654B2E" w:rsidRPr="00AB52EE">
        <w:rPr>
          <w:rFonts w:cs="Arial"/>
          <w:i/>
          <w:iCs/>
          <w:szCs w:val="24"/>
          <w:lang w:eastAsia="en-ZA"/>
        </w:rPr>
        <w:t>Cerebos</w:t>
      </w:r>
      <w:r w:rsidR="00CD7357">
        <w:rPr>
          <w:rFonts w:cs="Arial"/>
          <w:i/>
          <w:iCs/>
          <w:szCs w:val="24"/>
          <w:lang w:eastAsia="en-ZA"/>
        </w:rPr>
        <w:t xml:space="preserve"> Food</w:t>
      </w:r>
      <w:r w:rsidRPr="00AB52EE">
        <w:rPr>
          <w:rFonts w:cs="Arial"/>
          <w:szCs w:val="24"/>
          <w:lang w:eastAsia="en-ZA"/>
        </w:rPr>
        <w:t>.</w:t>
      </w:r>
      <w:r w:rsidR="00E7784B" w:rsidRPr="00AB52EE">
        <w:rPr>
          <w:rFonts w:cs="Arial"/>
          <w:szCs w:val="24"/>
          <w:lang w:eastAsia="en-ZA"/>
        </w:rPr>
        <w:t xml:space="preserve"> </w:t>
      </w:r>
    </w:p>
    <w:p w14:paraId="20819E0A" w14:textId="79DA284C" w:rsidR="001861FD" w:rsidRPr="00AB52EE" w:rsidRDefault="00E7784B" w:rsidP="007A27ED">
      <w:pPr>
        <w:pStyle w:val="LC1"/>
        <w:rPr>
          <w:rFonts w:cs="Arial"/>
          <w:szCs w:val="24"/>
        </w:rPr>
      </w:pPr>
      <w:r w:rsidRPr="00AB52EE">
        <w:rPr>
          <w:rFonts w:cs="Arial"/>
          <w:szCs w:val="24"/>
          <w:lang w:eastAsia="en-ZA"/>
        </w:rPr>
        <w:t xml:space="preserve">Supercart sought to make out no case </w:t>
      </w:r>
      <w:r w:rsidR="00827FB4" w:rsidRPr="00AB52EE">
        <w:rPr>
          <w:rFonts w:cs="Arial"/>
          <w:szCs w:val="24"/>
          <w:lang w:eastAsia="en-ZA"/>
        </w:rPr>
        <w:t xml:space="preserve">in these proceedings </w:t>
      </w:r>
      <w:r w:rsidR="00C37D05" w:rsidRPr="00AB52EE">
        <w:rPr>
          <w:rFonts w:cs="Arial"/>
          <w:szCs w:val="24"/>
          <w:lang w:eastAsia="en-ZA"/>
        </w:rPr>
        <w:t xml:space="preserve">that the order it </w:t>
      </w:r>
      <w:r w:rsidR="00961A78" w:rsidRPr="00AB52EE">
        <w:rPr>
          <w:rFonts w:cs="Arial"/>
          <w:szCs w:val="24"/>
          <w:lang w:eastAsia="en-ZA"/>
        </w:rPr>
        <w:t xml:space="preserve">sought and </w:t>
      </w:r>
      <w:r w:rsidR="00C37D05" w:rsidRPr="00AB52EE">
        <w:rPr>
          <w:rFonts w:cs="Arial"/>
          <w:szCs w:val="24"/>
          <w:lang w:eastAsia="en-ZA"/>
        </w:rPr>
        <w:t>obtained was a Cerebos-type one</w:t>
      </w:r>
      <w:r w:rsidR="00405B42" w:rsidRPr="00AB52EE">
        <w:rPr>
          <w:rFonts w:cs="Arial"/>
          <w:szCs w:val="24"/>
          <w:lang w:eastAsia="en-ZA"/>
        </w:rPr>
        <w:t xml:space="preserve"> – nor could it have</w:t>
      </w:r>
      <w:r w:rsidR="00D93215" w:rsidRPr="00AB52EE">
        <w:rPr>
          <w:rFonts w:cs="Arial"/>
          <w:szCs w:val="24"/>
          <w:lang w:eastAsia="en-ZA"/>
        </w:rPr>
        <w:t xml:space="preserve">, </w:t>
      </w:r>
      <w:r w:rsidR="00CD7357">
        <w:rPr>
          <w:rFonts w:cs="Arial"/>
          <w:szCs w:val="24"/>
          <w:lang w:eastAsia="en-ZA"/>
        </w:rPr>
        <w:t xml:space="preserve">even though </w:t>
      </w:r>
      <w:r w:rsidR="00D93215" w:rsidRPr="00AB52EE">
        <w:rPr>
          <w:rFonts w:cs="Arial"/>
          <w:szCs w:val="24"/>
          <w:lang w:eastAsia="en-ZA"/>
        </w:rPr>
        <w:t>its ultimate dispute with Vanesco arises from its assertion of intellectual property rights.</w:t>
      </w:r>
      <w:r w:rsidR="00405B42" w:rsidRPr="00AB52EE">
        <w:rPr>
          <w:rFonts w:cs="Arial"/>
          <w:szCs w:val="24"/>
          <w:lang w:eastAsia="en-ZA"/>
        </w:rPr>
        <w:t xml:space="preserve"> </w:t>
      </w:r>
      <w:r w:rsidRPr="00AB52EE">
        <w:rPr>
          <w:rFonts w:cs="Arial"/>
          <w:szCs w:val="24"/>
        </w:rPr>
        <w:t xml:space="preserve">It </w:t>
      </w:r>
      <w:r w:rsidR="00C37D05" w:rsidRPr="00AB52EE">
        <w:rPr>
          <w:rFonts w:cs="Arial"/>
          <w:szCs w:val="24"/>
        </w:rPr>
        <w:t xml:space="preserve">therefore </w:t>
      </w:r>
      <w:r w:rsidRPr="00AB52EE">
        <w:rPr>
          <w:rFonts w:cs="Arial"/>
          <w:szCs w:val="24"/>
        </w:rPr>
        <w:t xml:space="preserve">bears emphasis that </w:t>
      </w:r>
      <w:r w:rsidR="00C37D05" w:rsidRPr="00AB52EE">
        <w:rPr>
          <w:rFonts w:cs="Arial"/>
          <w:szCs w:val="24"/>
        </w:rPr>
        <w:t xml:space="preserve">while I have found it necessary to draw a clear distinction between ordinary Anton Piller orders and Cerebos-type orders, </w:t>
      </w:r>
      <w:r w:rsidR="00D459DA" w:rsidRPr="00AB52EE">
        <w:rPr>
          <w:rFonts w:cs="Arial"/>
          <w:szCs w:val="24"/>
        </w:rPr>
        <w:t xml:space="preserve">this judgment should not be taken as </w:t>
      </w:r>
      <w:r w:rsidR="00381899" w:rsidRPr="00AB52EE">
        <w:rPr>
          <w:rFonts w:cs="Arial"/>
          <w:szCs w:val="24"/>
        </w:rPr>
        <w:t>reach</w:t>
      </w:r>
      <w:r w:rsidR="00D459DA" w:rsidRPr="00AB52EE">
        <w:rPr>
          <w:rFonts w:cs="Arial"/>
          <w:szCs w:val="24"/>
        </w:rPr>
        <w:t>ing</w:t>
      </w:r>
      <w:r w:rsidR="00381899" w:rsidRPr="00AB52EE">
        <w:rPr>
          <w:rFonts w:cs="Arial"/>
          <w:szCs w:val="24"/>
        </w:rPr>
        <w:t xml:space="preserve"> </w:t>
      </w:r>
      <w:r w:rsidR="00D459DA" w:rsidRPr="00AB52EE">
        <w:rPr>
          <w:rFonts w:cs="Arial"/>
          <w:szCs w:val="24"/>
        </w:rPr>
        <w:t xml:space="preserve">any </w:t>
      </w:r>
      <w:r w:rsidR="00381899" w:rsidRPr="00AB52EE">
        <w:rPr>
          <w:rFonts w:cs="Arial"/>
          <w:szCs w:val="24"/>
        </w:rPr>
        <w:t xml:space="preserve">definitive conclusions </w:t>
      </w:r>
      <w:r w:rsidRPr="00AB52EE">
        <w:rPr>
          <w:rFonts w:cs="Arial"/>
          <w:szCs w:val="24"/>
        </w:rPr>
        <w:t xml:space="preserve">on either the general requirements </w:t>
      </w:r>
      <w:r w:rsidR="00961A78" w:rsidRPr="00AB52EE">
        <w:rPr>
          <w:rFonts w:cs="Arial"/>
          <w:szCs w:val="24"/>
        </w:rPr>
        <w:t xml:space="preserve">and appropriate safeguards </w:t>
      </w:r>
      <w:r w:rsidRPr="00AB52EE">
        <w:rPr>
          <w:rFonts w:cs="Arial"/>
          <w:szCs w:val="24"/>
        </w:rPr>
        <w:t>for Cerebos-type orders</w:t>
      </w:r>
      <w:r w:rsidR="002C3FF3" w:rsidRPr="00AB52EE">
        <w:rPr>
          <w:rFonts w:cs="Arial"/>
          <w:szCs w:val="24"/>
        </w:rPr>
        <w:t xml:space="preserve">, or </w:t>
      </w:r>
      <w:r w:rsidR="00961A78" w:rsidRPr="00AB52EE">
        <w:rPr>
          <w:rFonts w:cs="Arial"/>
          <w:szCs w:val="24"/>
        </w:rPr>
        <w:t xml:space="preserve">on </w:t>
      </w:r>
      <w:r w:rsidR="002C3FF3" w:rsidRPr="00AB52EE">
        <w:rPr>
          <w:rFonts w:cs="Arial"/>
          <w:szCs w:val="24"/>
        </w:rPr>
        <w:t xml:space="preserve">the nature of the enquiry that needs to be undertaken </w:t>
      </w:r>
      <w:r w:rsidR="00961A78" w:rsidRPr="00AB52EE">
        <w:rPr>
          <w:rFonts w:cs="Arial"/>
          <w:szCs w:val="24"/>
        </w:rPr>
        <w:t>up</w:t>
      </w:r>
      <w:r w:rsidR="002C3FF3" w:rsidRPr="00AB52EE">
        <w:rPr>
          <w:rFonts w:cs="Arial"/>
          <w:szCs w:val="24"/>
        </w:rPr>
        <w:t>on their reconsideration</w:t>
      </w:r>
      <w:r w:rsidR="00C37D05" w:rsidRPr="00AB52EE">
        <w:rPr>
          <w:rFonts w:cs="Arial"/>
          <w:szCs w:val="24"/>
        </w:rPr>
        <w:t>.</w:t>
      </w:r>
    </w:p>
    <w:p w14:paraId="076D5BE8" w14:textId="208FFD64" w:rsidR="00520264" w:rsidRPr="00AB52EE" w:rsidRDefault="00520264" w:rsidP="00520264">
      <w:pPr>
        <w:pStyle w:val="LC1"/>
        <w:keepNext/>
        <w:numPr>
          <w:ilvl w:val="0"/>
          <w:numId w:val="0"/>
        </w:numPr>
        <w:rPr>
          <w:rFonts w:cs="Arial"/>
          <w:szCs w:val="24"/>
          <w:u w:val="single"/>
        </w:rPr>
      </w:pPr>
      <w:r w:rsidRPr="00AB52EE">
        <w:rPr>
          <w:rFonts w:cs="Arial"/>
          <w:szCs w:val="24"/>
          <w:u w:val="single"/>
        </w:rPr>
        <w:t xml:space="preserve">Safeguards – the </w:t>
      </w:r>
      <w:r w:rsidR="00827FB4" w:rsidRPr="00AB52EE">
        <w:rPr>
          <w:rFonts w:cs="Arial"/>
          <w:szCs w:val="24"/>
          <w:u w:val="single"/>
        </w:rPr>
        <w:t>c</w:t>
      </w:r>
      <w:r w:rsidRPr="00AB52EE">
        <w:rPr>
          <w:rFonts w:cs="Arial"/>
          <w:szCs w:val="24"/>
          <w:u w:val="single"/>
        </w:rPr>
        <w:t>onstitutional dimension</w:t>
      </w:r>
    </w:p>
    <w:p w14:paraId="3E600B40" w14:textId="2CF275DB" w:rsidR="00D93215" w:rsidRPr="00AB52EE" w:rsidRDefault="00234777" w:rsidP="007A27ED">
      <w:pPr>
        <w:pStyle w:val="LC1"/>
        <w:rPr>
          <w:rFonts w:cs="Arial"/>
          <w:szCs w:val="24"/>
        </w:rPr>
      </w:pPr>
      <w:r w:rsidRPr="00AB52EE">
        <w:rPr>
          <w:rFonts w:cs="Arial"/>
          <w:szCs w:val="24"/>
        </w:rPr>
        <w:t>It has been observed that an Anton Piller</w:t>
      </w:r>
      <w:r w:rsidRPr="00AB52EE">
        <w:rPr>
          <w:rFonts w:cs="Arial"/>
          <w:i/>
          <w:iCs/>
          <w:szCs w:val="24"/>
        </w:rPr>
        <w:t xml:space="preserve"> </w:t>
      </w:r>
      <w:r w:rsidRPr="00AB52EE">
        <w:rPr>
          <w:rFonts w:cs="Arial"/>
          <w:szCs w:val="24"/>
        </w:rPr>
        <w:t>order constitutes procedural relief of an extraordinary kind that require</w:t>
      </w:r>
      <w:r w:rsidR="00827FB4" w:rsidRPr="00AB52EE">
        <w:rPr>
          <w:rFonts w:cs="Arial"/>
          <w:szCs w:val="24"/>
        </w:rPr>
        <w:t>s</w:t>
      </w:r>
      <w:r w:rsidRPr="00AB52EE">
        <w:rPr>
          <w:rFonts w:cs="Arial"/>
          <w:szCs w:val="24"/>
        </w:rPr>
        <w:t xml:space="preserve"> a court to adopt a cautious and circumspect approach. Should the application be justified, stringent safeguards must be built into the order.</w:t>
      </w:r>
      <w:r w:rsidRPr="00AB52EE">
        <w:rPr>
          <w:rStyle w:val="FootnoteReference"/>
          <w:szCs w:val="24"/>
        </w:rPr>
        <w:footnoteReference w:id="34"/>
      </w:r>
      <w:r w:rsidRPr="00AB52EE">
        <w:rPr>
          <w:rFonts w:cs="Arial"/>
          <w:szCs w:val="24"/>
        </w:rPr>
        <w:t xml:space="preserve"> </w:t>
      </w:r>
      <w:r w:rsidR="007A4C86" w:rsidRPr="00AB52EE">
        <w:rPr>
          <w:rFonts w:cs="Arial"/>
          <w:szCs w:val="24"/>
          <w:lang w:eastAsia="en-ZA"/>
        </w:rPr>
        <w:t>F</w:t>
      </w:r>
      <w:r w:rsidR="00961A78" w:rsidRPr="00AB52EE">
        <w:rPr>
          <w:rFonts w:cs="Arial"/>
          <w:szCs w:val="24"/>
          <w:lang w:eastAsia="en-ZA"/>
        </w:rPr>
        <w:t xml:space="preserve">or </w:t>
      </w:r>
      <w:r w:rsidRPr="00AB52EE">
        <w:rPr>
          <w:rFonts w:cs="Arial"/>
          <w:szCs w:val="24"/>
          <w:lang w:eastAsia="en-ZA"/>
        </w:rPr>
        <w:t xml:space="preserve">these </w:t>
      </w:r>
      <w:r w:rsidR="00961A78" w:rsidRPr="00AB52EE">
        <w:rPr>
          <w:rFonts w:cs="Arial"/>
          <w:szCs w:val="24"/>
          <w:lang w:eastAsia="en-ZA"/>
        </w:rPr>
        <w:t xml:space="preserve">reasons, </w:t>
      </w:r>
      <w:r w:rsidR="00D93215" w:rsidRPr="00AB52EE">
        <w:rPr>
          <w:rFonts w:cs="Arial"/>
          <w:szCs w:val="24"/>
          <w:lang w:eastAsia="en-ZA"/>
        </w:rPr>
        <w:t xml:space="preserve">Corbett JA contemplated </w:t>
      </w:r>
      <w:r w:rsidR="001578EA" w:rsidRPr="00AB52EE">
        <w:rPr>
          <w:rFonts w:cs="Arial"/>
          <w:szCs w:val="24"/>
          <w:lang w:eastAsia="en-ZA"/>
        </w:rPr>
        <w:t xml:space="preserve">in </w:t>
      </w:r>
      <w:r w:rsidR="001578EA" w:rsidRPr="00AB52EE">
        <w:rPr>
          <w:rFonts w:cs="Arial"/>
          <w:i/>
          <w:iCs/>
          <w:szCs w:val="24"/>
          <w:lang w:eastAsia="en-ZA"/>
        </w:rPr>
        <w:t xml:space="preserve">Universal City </w:t>
      </w:r>
      <w:r w:rsidR="001578EA" w:rsidRPr="00AB52EE">
        <w:rPr>
          <w:rFonts w:cs="Arial"/>
          <w:i/>
          <w:iCs/>
          <w:szCs w:val="24"/>
          <w:lang w:eastAsia="en-ZA"/>
        </w:rPr>
        <w:lastRenderedPageBreak/>
        <w:t>Studios</w:t>
      </w:r>
      <w:r w:rsidR="001578EA" w:rsidRPr="00AB52EE">
        <w:rPr>
          <w:rFonts w:cs="Arial"/>
          <w:szCs w:val="24"/>
          <w:lang w:eastAsia="en-ZA"/>
        </w:rPr>
        <w:t xml:space="preserve"> </w:t>
      </w:r>
      <w:r w:rsidR="00D93215" w:rsidRPr="00AB52EE">
        <w:rPr>
          <w:rFonts w:cs="Arial"/>
          <w:szCs w:val="24"/>
          <w:lang w:eastAsia="en-ZA"/>
        </w:rPr>
        <w:t>that</w:t>
      </w:r>
      <w:r w:rsidR="001578EA" w:rsidRPr="00AB52EE">
        <w:rPr>
          <w:rFonts w:cs="Arial"/>
          <w:szCs w:val="24"/>
          <w:lang w:eastAsia="en-ZA"/>
        </w:rPr>
        <w:t xml:space="preserve">, </w:t>
      </w:r>
      <w:r w:rsidR="00D93215" w:rsidRPr="00AB52EE">
        <w:rPr>
          <w:rFonts w:cs="Arial"/>
          <w:szCs w:val="24"/>
          <w:lang w:eastAsia="en-ZA"/>
        </w:rPr>
        <w:t xml:space="preserve">in addition to meeting the </w:t>
      </w:r>
      <w:r w:rsidR="00827FB4" w:rsidRPr="00AB52EE">
        <w:rPr>
          <w:rFonts w:cs="Arial"/>
          <w:szCs w:val="24"/>
          <w:lang w:eastAsia="en-ZA"/>
        </w:rPr>
        <w:t>three threshold requirements</w:t>
      </w:r>
      <w:r w:rsidR="00D93215" w:rsidRPr="00AB52EE">
        <w:rPr>
          <w:rFonts w:cs="Arial"/>
          <w:szCs w:val="24"/>
          <w:lang w:eastAsia="en-ZA"/>
        </w:rPr>
        <w:t>, “any such order would have to be hedged in with … safeguards … adopted … in the discretion of the Judge granting the order and would depend on the particular facts of the case under consideration” so as to ensure that the procedure is not abused, including in particular the grant of a rule</w:t>
      </w:r>
      <w:r w:rsidR="00D93215" w:rsidRPr="00AB52EE">
        <w:rPr>
          <w:rFonts w:cs="Arial"/>
          <w:i/>
          <w:iCs/>
          <w:szCs w:val="24"/>
          <w:lang w:eastAsia="en-ZA"/>
        </w:rPr>
        <w:t xml:space="preserve"> nisi</w:t>
      </w:r>
      <w:r w:rsidR="00D93215" w:rsidRPr="00AB52EE">
        <w:rPr>
          <w:rFonts w:cs="Arial"/>
          <w:szCs w:val="24"/>
          <w:lang w:eastAsia="en-ZA"/>
        </w:rPr>
        <w:t>.</w:t>
      </w:r>
      <w:r w:rsidR="00D93215" w:rsidRPr="00AB52EE">
        <w:rPr>
          <w:rStyle w:val="FootnoteReference"/>
          <w:szCs w:val="24"/>
          <w:lang w:eastAsia="en-ZA"/>
        </w:rPr>
        <w:footnoteReference w:id="35"/>
      </w:r>
    </w:p>
    <w:p w14:paraId="1CC60E75" w14:textId="2C4E4F4A" w:rsidR="009C252E" w:rsidRPr="00AB52EE" w:rsidRDefault="001578EA" w:rsidP="007A27ED">
      <w:pPr>
        <w:pStyle w:val="LC1"/>
        <w:rPr>
          <w:rFonts w:cs="Arial"/>
          <w:szCs w:val="24"/>
        </w:rPr>
      </w:pPr>
      <w:r w:rsidRPr="00AB52EE">
        <w:rPr>
          <w:rFonts w:cs="Arial"/>
          <w:szCs w:val="24"/>
          <w:lang w:eastAsia="en-ZA"/>
        </w:rPr>
        <w:t xml:space="preserve">The jurisprudential basis for the need to impose careful safeguards </w:t>
      </w:r>
      <w:r w:rsidR="007A4C86" w:rsidRPr="00AB52EE">
        <w:rPr>
          <w:rFonts w:cs="Arial"/>
          <w:szCs w:val="24"/>
          <w:lang w:eastAsia="en-ZA"/>
        </w:rPr>
        <w:t xml:space="preserve">on Anton Piller-type orders </w:t>
      </w:r>
      <w:r w:rsidRPr="00AB52EE">
        <w:rPr>
          <w:rFonts w:cs="Arial"/>
          <w:szCs w:val="24"/>
          <w:lang w:eastAsia="en-ZA"/>
        </w:rPr>
        <w:t xml:space="preserve">and ensure that </w:t>
      </w:r>
      <w:r w:rsidR="007A4C86" w:rsidRPr="00AB52EE">
        <w:rPr>
          <w:rFonts w:cs="Arial"/>
          <w:szCs w:val="24"/>
          <w:lang w:eastAsia="en-ZA"/>
        </w:rPr>
        <w:t xml:space="preserve">they </w:t>
      </w:r>
      <w:r w:rsidRPr="00AB52EE">
        <w:rPr>
          <w:rFonts w:cs="Arial"/>
          <w:szCs w:val="24"/>
          <w:lang w:eastAsia="en-ZA"/>
        </w:rPr>
        <w:t xml:space="preserve">are strictly complied with has shifted since the advent of the Constitution. </w:t>
      </w:r>
      <w:r w:rsidR="007A4C86" w:rsidRPr="00AB52EE">
        <w:rPr>
          <w:rFonts w:cs="Arial"/>
          <w:szCs w:val="24"/>
          <w:lang w:eastAsia="en-ZA"/>
        </w:rPr>
        <w:t xml:space="preserve">As </w:t>
      </w:r>
      <w:r w:rsidR="00C96CA9" w:rsidRPr="00AB52EE">
        <w:rPr>
          <w:rFonts w:cs="Arial"/>
          <w:szCs w:val="24"/>
        </w:rPr>
        <w:t xml:space="preserve">has been </w:t>
      </w:r>
      <w:r w:rsidR="00B7204F" w:rsidRPr="00AB52EE">
        <w:rPr>
          <w:rFonts w:cs="Arial"/>
          <w:szCs w:val="24"/>
        </w:rPr>
        <w:t xml:space="preserve">noted on </w:t>
      </w:r>
      <w:r w:rsidR="00C96CA9" w:rsidRPr="00AB52EE">
        <w:rPr>
          <w:rFonts w:cs="Arial"/>
          <w:szCs w:val="24"/>
        </w:rPr>
        <w:t xml:space="preserve">multiple </w:t>
      </w:r>
      <w:r w:rsidR="00B7204F" w:rsidRPr="00AB52EE">
        <w:rPr>
          <w:rFonts w:cs="Arial"/>
          <w:szCs w:val="24"/>
        </w:rPr>
        <w:t>occasions</w:t>
      </w:r>
      <w:r w:rsidR="007A4C86" w:rsidRPr="00AB52EE">
        <w:rPr>
          <w:rFonts w:cs="Arial"/>
          <w:szCs w:val="24"/>
        </w:rPr>
        <w:t>,</w:t>
      </w:r>
      <w:r w:rsidR="00234777" w:rsidRPr="00AB52EE">
        <w:rPr>
          <w:rStyle w:val="FootnoteReference"/>
          <w:szCs w:val="24"/>
        </w:rPr>
        <w:t xml:space="preserve"> </w:t>
      </w:r>
      <w:r w:rsidR="00CC1764" w:rsidRPr="00AB52EE">
        <w:rPr>
          <w:rFonts w:cs="Arial"/>
          <w:szCs w:val="24"/>
        </w:rPr>
        <w:t xml:space="preserve">the </w:t>
      </w:r>
      <w:r w:rsidR="00B7204F" w:rsidRPr="00AB52EE">
        <w:rPr>
          <w:rFonts w:cs="Arial"/>
          <w:szCs w:val="24"/>
        </w:rPr>
        <w:t xml:space="preserve">procedure </w:t>
      </w:r>
      <w:r w:rsidR="00821C3C" w:rsidRPr="00AB52EE">
        <w:rPr>
          <w:rFonts w:cs="Arial"/>
          <w:szCs w:val="24"/>
        </w:rPr>
        <w:t xml:space="preserve">almost always </w:t>
      </w:r>
      <w:r w:rsidR="00B7204F" w:rsidRPr="00AB52EE">
        <w:rPr>
          <w:rFonts w:cs="Arial"/>
          <w:szCs w:val="24"/>
        </w:rPr>
        <w:t>infringe</w:t>
      </w:r>
      <w:r w:rsidR="00C96CA9" w:rsidRPr="00AB52EE">
        <w:rPr>
          <w:rFonts w:cs="Arial"/>
          <w:szCs w:val="24"/>
        </w:rPr>
        <w:t>s</w:t>
      </w:r>
      <w:r w:rsidR="00B7204F" w:rsidRPr="00AB52EE">
        <w:rPr>
          <w:rFonts w:cs="Arial"/>
          <w:szCs w:val="24"/>
        </w:rPr>
        <w:t xml:space="preserve"> the right to privacy</w:t>
      </w:r>
      <w:r w:rsidR="007A4C86" w:rsidRPr="00AB52EE">
        <w:rPr>
          <w:rFonts w:cs="Arial"/>
          <w:szCs w:val="24"/>
        </w:rPr>
        <w:t xml:space="preserve"> (section 14 of the Bill of Rights) </w:t>
      </w:r>
      <w:r w:rsidR="00C96CA9" w:rsidRPr="00AB52EE">
        <w:rPr>
          <w:rFonts w:cs="Arial"/>
          <w:szCs w:val="24"/>
        </w:rPr>
        <w:t xml:space="preserve">and could </w:t>
      </w:r>
      <w:r w:rsidR="00821C3C" w:rsidRPr="00AB52EE">
        <w:rPr>
          <w:rFonts w:cs="Arial"/>
          <w:szCs w:val="24"/>
        </w:rPr>
        <w:t xml:space="preserve">also </w:t>
      </w:r>
      <w:r w:rsidR="00C96CA9" w:rsidRPr="00AB52EE">
        <w:rPr>
          <w:rFonts w:cs="Arial"/>
          <w:szCs w:val="24"/>
        </w:rPr>
        <w:t xml:space="preserve">potentially infringe </w:t>
      </w:r>
      <w:r w:rsidR="00821C3C" w:rsidRPr="00AB52EE">
        <w:rPr>
          <w:rFonts w:cs="Arial"/>
          <w:szCs w:val="24"/>
        </w:rPr>
        <w:t xml:space="preserve">the </w:t>
      </w:r>
      <w:r w:rsidR="00C96CA9" w:rsidRPr="00AB52EE">
        <w:rPr>
          <w:rFonts w:cs="Arial"/>
          <w:szCs w:val="24"/>
        </w:rPr>
        <w:t xml:space="preserve">rights to </w:t>
      </w:r>
      <w:r w:rsidR="007A4C86" w:rsidRPr="00AB52EE">
        <w:rPr>
          <w:rFonts w:cs="Arial"/>
          <w:szCs w:val="24"/>
        </w:rPr>
        <w:t xml:space="preserve">human </w:t>
      </w:r>
      <w:r w:rsidR="00C96CA9" w:rsidRPr="00AB52EE">
        <w:rPr>
          <w:rFonts w:cs="Arial"/>
          <w:szCs w:val="24"/>
        </w:rPr>
        <w:t>dignity</w:t>
      </w:r>
      <w:r w:rsidR="007A4C86" w:rsidRPr="00AB52EE">
        <w:rPr>
          <w:rFonts w:cs="Arial"/>
          <w:szCs w:val="24"/>
        </w:rPr>
        <w:t xml:space="preserve"> (section 10) and </w:t>
      </w:r>
      <w:r w:rsidR="00C96CA9" w:rsidRPr="00AB52EE">
        <w:rPr>
          <w:rFonts w:cs="Arial"/>
          <w:szCs w:val="24"/>
        </w:rPr>
        <w:t>property</w:t>
      </w:r>
      <w:r w:rsidR="007A4C86" w:rsidRPr="00AB52EE">
        <w:rPr>
          <w:rFonts w:cs="Arial"/>
          <w:szCs w:val="24"/>
        </w:rPr>
        <w:t xml:space="preserve"> (section 25). Given that the </w:t>
      </w:r>
      <w:r w:rsidR="005A3DF9" w:rsidRPr="00AB52EE">
        <w:rPr>
          <w:rFonts w:cs="Arial"/>
          <w:szCs w:val="24"/>
        </w:rPr>
        <w:t xml:space="preserve">attached items </w:t>
      </w:r>
      <w:r w:rsidR="00CD7357">
        <w:rPr>
          <w:rFonts w:cs="Arial"/>
          <w:szCs w:val="24"/>
        </w:rPr>
        <w:t xml:space="preserve">in this case </w:t>
      </w:r>
      <w:r w:rsidR="007A4C86" w:rsidRPr="00AB52EE">
        <w:rPr>
          <w:rFonts w:cs="Arial"/>
          <w:szCs w:val="24"/>
        </w:rPr>
        <w:t xml:space="preserve">are said to be relevant to the contempt application in which Supercart seeks the imposition of criminal sanctions, a further potentially implicated right in the current instance </w:t>
      </w:r>
      <w:r w:rsidR="00CD7357">
        <w:rPr>
          <w:rFonts w:cs="Arial"/>
          <w:szCs w:val="24"/>
        </w:rPr>
        <w:t xml:space="preserve">is </w:t>
      </w:r>
      <w:r w:rsidR="007A4C86" w:rsidRPr="00AB52EE">
        <w:rPr>
          <w:rFonts w:cs="Arial"/>
          <w:szCs w:val="24"/>
        </w:rPr>
        <w:t xml:space="preserve">the fair trial </w:t>
      </w:r>
      <w:r w:rsidR="00C96CA9" w:rsidRPr="00AB52EE">
        <w:rPr>
          <w:rFonts w:cs="Arial"/>
          <w:szCs w:val="24"/>
        </w:rPr>
        <w:t xml:space="preserve">right </w:t>
      </w:r>
      <w:r w:rsidR="007A4C86" w:rsidRPr="00AB52EE">
        <w:rPr>
          <w:rFonts w:cs="Arial"/>
          <w:szCs w:val="24"/>
        </w:rPr>
        <w:t>of accused persons not to be compelled to give self-incriminating evidence (section 35(3)(j))</w:t>
      </w:r>
      <w:r w:rsidR="00C96CA9" w:rsidRPr="00AB52EE">
        <w:rPr>
          <w:rFonts w:cs="Arial"/>
          <w:szCs w:val="24"/>
        </w:rPr>
        <w:t xml:space="preserve">. But the rights in the Bill of Rights are </w:t>
      </w:r>
      <w:r w:rsidR="009C6DB2" w:rsidRPr="00AB52EE">
        <w:rPr>
          <w:rFonts w:cs="Arial"/>
          <w:szCs w:val="24"/>
        </w:rPr>
        <w:t xml:space="preserve">not </w:t>
      </w:r>
      <w:r w:rsidR="00C96CA9" w:rsidRPr="00AB52EE">
        <w:rPr>
          <w:rFonts w:cs="Arial"/>
          <w:szCs w:val="24"/>
        </w:rPr>
        <w:t xml:space="preserve">absolute, </w:t>
      </w:r>
      <w:r w:rsidR="009C6DB2" w:rsidRPr="00AB52EE">
        <w:rPr>
          <w:rFonts w:cs="Arial"/>
          <w:szCs w:val="24"/>
        </w:rPr>
        <w:t xml:space="preserve">and </w:t>
      </w:r>
      <w:r w:rsidR="009C252E" w:rsidRPr="00AB52EE">
        <w:rPr>
          <w:rFonts w:cs="Arial"/>
          <w:szCs w:val="24"/>
        </w:rPr>
        <w:t xml:space="preserve">section 7(3) of the Constitution provides that </w:t>
      </w:r>
      <w:r w:rsidR="00827FB4" w:rsidRPr="00AB52EE">
        <w:rPr>
          <w:rFonts w:cs="Arial"/>
          <w:szCs w:val="24"/>
        </w:rPr>
        <w:t xml:space="preserve">they </w:t>
      </w:r>
      <w:r w:rsidR="009C252E" w:rsidRPr="00AB52EE">
        <w:rPr>
          <w:rFonts w:cs="Arial"/>
          <w:szCs w:val="24"/>
        </w:rPr>
        <w:t xml:space="preserve">may be limited </w:t>
      </w:r>
      <w:r w:rsidR="009C6DB2" w:rsidRPr="00AB52EE">
        <w:rPr>
          <w:rFonts w:cs="Arial"/>
          <w:szCs w:val="24"/>
        </w:rPr>
        <w:t xml:space="preserve">if </w:t>
      </w:r>
      <w:r w:rsidR="009C252E" w:rsidRPr="00AB52EE">
        <w:rPr>
          <w:rFonts w:cs="Arial"/>
          <w:szCs w:val="24"/>
        </w:rPr>
        <w:t xml:space="preserve">that is </w:t>
      </w:r>
      <w:r w:rsidR="009C6DB2" w:rsidRPr="00AB52EE">
        <w:rPr>
          <w:rFonts w:cs="Arial"/>
          <w:szCs w:val="24"/>
        </w:rPr>
        <w:t>justifiable under section 36</w:t>
      </w:r>
      <w:r w:rsidR="009C252E" w:rsidRPr="00AB52EE">
        <w:rPr>
          <w:rFonts w:cs="Arial"/>
          <w:szCs w:val="24"/>
        </w:rPr>
        <w:t>.</w:t>
      </w:r>
      <w:r w:rsidR="009C6DB2" w:rsidRPr="00AB52EE">
        <w:rPr>
          <w:rFonts w:cs="Arial"/>
          <w:szCs w:val="24"/>
        </w:rPr>
        <w:t xml:space="preserve"> </w:t>
      </w:r>
      <w:r w:rsidR="009C252E" w:rsidRPr="00AB52EE">
        <w:rPr>
          <w:rFonts w:cs="Arial"/>
          <w:szCs w:val="24"/>
        </w:rPr>
        <w:t>A</w:t>
      </w:r>
      <w:r w:rsidR="009C6DB2" w:rsidRPr="00AB52EE">
        <w:rPr>
          <w:rFonts w:cs="Arial"/>
          <w:szCs w:val="24"/>
        </w:rPr>
        <w:t xml:space="preserve">nd </w:t>
      </w:r>
      <w:r w:rsidR="00C96CA9" w:rsidRPr="00AB52EE">
        <w:rPr>
          <w:rFonts w:cs="Arial"/>
          <w:szCs w:val="24"/>
        </w:rPr>
        <w:t>it is also now accepted that although</w:t>
      </w:r>
      <w:r w:rsidR="009C6DB2" w:rsidRPr="00AB52EE">
        <w:rPr>
          <w:rFonts w:cs="Arial"/>
          <w:szCs w:val="24"/>
        </w:rPr>
        <w:t xml:space="preserve"> the Anton Piller procedure </w:t>
      </w:r>
      <w:r w:rsidR="009C252E" w:rsidRPr="00AB52EE">
        <w:rPr>
          <w:rFonts w:cs="Arial"/>
          <w:szCs w:val="24"/>
        </w:rPr>
        <w:t xml:space="preserve">was </w:t>
      </w:r>
      <w:r w:rsidR="009C6DB2" w:rsidRPr="00AB52EE">
        <w:rPr>
          <w:rFonts w:cs="Arial"/>
          <w:szCs w:val="24"/>
        </w:rPr>
        <w:t xml:space="preserve">created </w:t>
      </w:r>
      <w:r w:rsidR="009C252E" w:rsidRPr="00AB52EE">
        <w:rPr>
          <w:rFonts w:cs="Arial"/>
          <w:szCs w:val="24"/>
        </w:rPr>
        <w:t xml:space="preserve">by the courts </w:t>
      </w:r>
      <w:r w:rsidR="009C6DB2" w:rsidRPr="00AB52EE">
        <w:rPr>
          <w:rFonts w:cs="Arial"/>
          <w:szCs w:val="24"/>
        </w:rPr>
        <w:t>in the exercise of their inherent powers</w:t>
      </w:r>
      <w:r w:rsidR="00B7204F" w:rsidRPr="00AB52EE">
        <w:rPr>
          <w:rFonts w:cs="Arial"/>
          <w:szCs w:val="24"/>
        </w:rPr>
        <w:t xml:space="preserve"> it </w:t>
      </w:r>
      <w:r w:rsidR="00C96CA9" w:rsidRPr="00AB52EE">
        <w:rPr>
          <w:rFonts w:cs="Arial"/>
          <w:szCs w:val="24"/>
        </w:rPr>
        <w:t xml:space="preserve">nevertheless </w:t>
      </w:r>
      <w:r w:rsidR="00B7204F" w:rsidRPr="00AB52EE">
        <w:rPr>
          <w:rFonts w:cs="Arial"/>
          <w:szCs w:val="24"/>
        </w:rPr>
        <w:t>constitutes law of general application</w:t>
      </w:r>
      <w:r w:rsidR="009C6DB2" w:rsidRPr="00AB52EE">
        <w:rPr>
          <w:rFonts w:cs="Arial"/>
          <w:szCs w:val="24"/>
        </w:rPr>
        <w:t xml:space="preserve"> and may thus </w:t>
      </w:r>
      <w:r w:rsidR="009372B5" w:rsidRPr="00AB52EE">
        <w:rPr>
          <w:rFonts w:cs="Arial"/>
          <w:szCs w:val="24"/>
        </w:rPr>
        <w:t xml:space="preserve">constitute </w:t>
      </w:r>
      <w:r w:rsidR="00C96CA9" w:rsidRPr="00AB52EE">
        <w:rPr>
          <w:rFonts w:cs="Arial"/>
          <w:szCs w:val="24"/>
        </w:rPr>
        <w:t>a</w:t>
      </w:r>
      <w:r w:rsidR="009C6DB2" w:rsidRPr="00AB52EE">
        <w:rPr>
          <w:rFonts w:cs="Arial"/>
          <w:szCs w:val="24"/>
        </w:rPr>
        <w:t xml:space="preserve"> basis for such </w:t>
      </w:r>
      <w:r w:rsidR="003F2519" w:rsidRPr="00AB52EE">
        <w:rPr>
          <w:rFonts w:cs="Arial"/>
          <w:szCs w:val="24"/>
        </w:rPr>
        <w:t xml:space="preserve">justifiable </w:t>
      </w:r>
      <w:r w:rsidR="009C6DB2" w:rsidRPr="00AB52EE">
        <w:rPr>
          <w:rFonts w:cs="Arial"/>
          <w:szCs w:val="24"/>
        </w:rPr>
        <w:t>limitations</w:t>
      </w:r>
      <w:r w:rsidR="00B7204F" w:rsidRPr="00AB52EE">
        <w:rPr>
          <w:rFonts w:cs="Arial"/>
          <w:szCs w:val="24"/>
        </w:rPr>
        <w:t>.</w:t>
      </w:r>
      <w:r w:rsidR="00B7204F" w:rsidRPr="00AB52EE">
        <w:rPr>
          <w:rStyle w:val="FootnoteReference"/>
          <w:szCs w:val="24"/>
        </w:rPr>
        <w:footnoteReference w:id="36"/>
      </w:r>
      <w:r w:rsidR="00B7204F" w:rsidRPr="00AB52EE">
        <w:rPr>
          <w:rFonts w:cs="Arial"/>
          <w:szCs w:val="24"/>
        </w:rPr>
        <w:t xml:space="preserve"> </w:t>
      </w:r>
    </w:p>
    <w:p w14:paraId="3A62CCCC" w14:textId="5D8BA1A5" w:rsidR="0041543C" w:rsidRPr="00AB52EE" w:rsidRDefault="009372B5" w:rsidP="007A27ED">
      <w:pPr>
        <w:pStyle w:val="LC1"/>
        <w:rPr>
          <w:rFonts w:cs="Arial"/>
          <w:szCs w:val="24"/>
        </w:rPr>
      </w:pPr>
      <w:r w:rsidRPr="00AB52EE">
        <w:rPr>
          <w:rFonts w:cs="Arial"/>
          <w:szCs w:val="24"/>
        </w:rPr>
        <w:t xml:space="preserve">In order to ensure that </w:t>
      </w:r>
      <w:r w:rsidR="003123B3" w:rsidRPr="00AB52EE">
        <w:rPr>
          <w:rFonts w:cs="Arial"/>
          <w:szCs w:val="24"/>
        </w:rPr>
        <w:t xml:space="preserve">Anton Piller-type orders are </w:t>
      </w:r>
      <w:r w:rsidRPr="00AB52EE">
        <w:rPr>
          <w:rFonts w:cs="Arial"/>
          <w:szCs w:val="24"/>
        </w:rPr>
        <w:t xml:space="preserve">kept within constitutionally </w:t>
      </w:r>
      <w:r w:rsidRPr="00AB52EE">
        <w:rPr>
          <w:rFonts w:cs="Arial"/>
          <w:szCs w:val="24"/>
        </w:rPr>
        <w:lastRenderedPageBreak/>
        <w:t>acceptable limits, our courts have</w:t>
      </w:r>
      <w:r w:rsidR="009C252E" w:rsidRPr="00AB52EE">
        <w:rPr>
          <w:rFonts w:cs="Arial"/>
          <w:szCs w:val="24"/>
        </w:rPr>
        <w:t xml:space="preserve"> continued to build on </w:t>
      </w:r>
      <w:r w:rsidR="001407E6" w:rsidRPr="00AB52EE">
        <w:rPr>
          <w:rFonts w:cs="Arial"/>
          <w:szCs w:val="24"/>
        </w:rPr>
        <w:t xml:space="preserve">their </w:t>
      </w:r>
      <w:r w:rsidR="009C252E" w:rsidRPr="00AB52EE">
        <w:rPr>
          <w:rFonts w:cs="Arial"/>
          <w:szCs w:val="24"/>
        </w:rPr>
        <w:t>pre-constitutional foundations. I</w:t>
      </w:r>
      <w:r w:rsidRPr="00AB52EE">
        <w:rPr>
          <w:rFonts w:cs="Arial"/>
          <w:szCs w:val="24"/>
        </w:rPr>
        <w:t xml:space="preserve">n addition to the </w:t>
      </w:r>
      <w:r w:rsidR="003F2519" w:rsidRPr="00AB52EE">
        <w:rPr>
          <w:rFonts w:cs="Arial"/>
          <w:szCs w:val="24"/>
        </w:rPr>
        <w:t xml:space="preserve">three threshold </w:t>
      </w:r>
      <w:r w:rsidRPr="00AB52EE">
        <w:rPr>
          <w:rFonts w:cs="Arial"/>
          <w:szCs w:val="24"/>
        </w:rPr>
        <w:t xml:space="preserve">requirements laid down </w:t>
      </w:r>
      <w:r w:rsidR="003123B3" w:rsidRPr="00AB52EE">
        <w:rPr>
          <w:rFonts w:cs="Arial"/>
          <w:szCs w:val="24"/>
        </w:rPr>
        <w:t>as to when they may be issued</w:t>
      </w:r>
      <w:r w:rsidRPr="00AB52EE">
        <w:rPr>
          <w:rFonts w:cs="Arial"/>
          <w:szCs w:val="24"/>
        </w:rPr>
        <w:t>,</w:t>
      </w:r>
      <w:r w:rsidR="00821C3C" w:rsidRPr="00AB52EE">
        <w:rPr>
          <w:rFonts w:cs="Arial"/>
          <w:szCs w:val="24"/>
        </w:rPr>
        <w:t xml:space="preserve"> </w:t>
      </w:r>
      <w:r w:rsidR="009C252E" w:rsidRPr="00AB52EE">
        <w:rPr>
          <w:rFonts w:cs="Arial"/>
          <w:szCs w:val="24"/>
        </w:rPr>
        <w:t xml:space="preserve">the courts have </w:t>
      </w:r>
      <w:r w:rsidR="009C6DB2" w:rsidRPr="00AB52EE">
        <w:rPr>
          <w:rFonts w:cs="Arial"/>
          <w:szCs w:val="24"/>
        </w:rPr>
        <w:t xml:space="preserve">“fashioned a body of rules determining </w:t>
      </w:r>
      <w:r w:rsidR="003123B3" w:rsidRPr="00AB52EE">
        <w:rPr>
          <w:rFonts w:cs="Arial"/>
          <w:szCs w:val="24"/>
        </w:rPr>
        <w:t xml:space="preserve">… </w:t>
      </w:r>
      <w:r w:rsidR="009C6DB2" w:rsidRPr="00AB52EE">
        <w:rPr>
          <w:rFonts w:cs="Arial"/>
          <w:szCs w:val="24"/>
        </w:rPr>
        <w:t>in what form</w:t>
      </w:r>
      <w:r w:rsidR="003123B3" w:rsidRPr="00AB52EE">
        <w:rPr>
          <w:rFonts w:cs="Arial"/>
          <w:szCs w:val="24"/>
        </w:rPr>
        <w:t>”</w:t>
      </w:r>
      <w:r w:rsidR="009C6DB2" w:rsidRPr="00AB52EE">
        <w:rPr>
          <w:rFonts w:cs="Arial"/>
          <w:szCs w:val="24"/>
        </w:rPr>
        <w:t xml:space="preserve"> </w:t>
      </w:r>
      <w:r w:rsidR="003123B3" w:rsidRPr="00AB52EE">
        <w:rPr>
          <w:rFonts w:cs="Arial"/>
          <w:szCs w:val="24"/>
        </w:rPr>
        <w:t xml:space="preserve">they </w:t>
      </w:r>
      <w:r w:rsidR="009C6DB2" w:rsidRPr="00AB52EE">
        <w:rPr>
          <w:rFonts w:cs="Arial"/>
          <w:szCs w:val="24"/>
        </w:rPr>
        <w:t>may be issued.</w:t>
      </w:r>
      <w:r w:rsidR="009C6DB2" w:rsidRPr="00AB52EE">
        <w:rPr>
          <w:rStyle w:val="FootnoteReference"/>
          <w:szCs w:val="24"/>
        </w:rPr>
        <w:footnoteReference w:id="37"/>
      </w:r>
      <w:r w:rsidR="009C6DB2" w:rsidRPr="00AB52EE">
        <w:rPr>
          <w:rFonts w:cs="Arial"/>
          <w:szCs w:val="24"/>
        </w:rPr>
        <w:t xml:space="preserve"> This body of rules </w:t>
      </w:r>
      <w:r w:rsidR="0041425C" w:rsidRPr="00AB52EE">
        <w:rPr>
          <w:rFonts w:cs="Arial"/>
          <w:szCs w:val="24"/>
        </w:rPr>
        <w:t xml:space="preserve">identifies </w:t>
      </w:r>
      <w:r w:rsidR="00821C3C" w:rsidRPr="00AB52EE">
        <w:rPr>
          <w:rFonts w:cs="Arial"/>
          <w:szCs w:val="24"/>
        </w:rPr>
        <w:t xml:space="preserve">safeguards that should generally be </w:t>
      </w:r>
      <w:r w:rsidR="001A788C" w:rsidRPr="00AB52EE">
        <w:rPr>
          <w:rFonts w:cs="Arial"/>
          <w:szCs w:val="24"/>
        </w:rPr>
        <w:t xml:space="preserve">contained in </w:t>
      </w:r>
      <w:r w:rsidR="00821C3C" w:rsidRPr="00AB52EE">
        <w:rPr>
          <w:rFonts w:cs="Arial"/>
          <w:szCs w:val="24"/>
        </w:rPr>
        <w:t>such orders</w:t>
      </w:r>
      <w:r w:rsidR="003F2519" w:rsidRPr="00AB52EE">
        <w:rPr>
          <w:rFonts w:cs="Arial"/>
          <w:szCs w:val="24"/>
        </w:rPr>
        <w:t>,</w:t>
      </w:r>
      <w:r w:rsidR="008C5F2B" w:rsidRPr="00AB52EE">
        <w:rPr>
          <w:rFonts w:cs="Arial"/>
          <w:szCs w:val="24"/>
        </w:rPr>
        <w:t xml:space="preserve"> </w:t>
      </w:r>
      <w:r w:rsidR="003F2519" w:rsidRPr="00AB52EE">
        <w:rPr>
          <w:rFonts w:cs="Arial"/>
          <w:szCs w:val="24"/>
        </w:rPr>
        <w:t xml:space="preserve">for example (i) </w:t>
      </w:r>
      <w:r w:rsidR="0041425C" w:rsidRPr="00AB52EE">
        <w:rPr>
          <w:rFonts w:cs="Arial"/>
          <w:szCs w:val="24"/>
        </w:rPr>
        <w:t xml:space="preserve">undertakings </w:t>
      </w:r>
      <w:r w:rsidR="007F3497" w:rsidRPr="00AB52EE">
        <w:rPr>
          <w:rFonts w:cs="Arial"/>
          <w:szCs w:val="24"/>
        </w:rPr>
        <w:t xml:space="preserve">as to confidentiality and damages </w:t>
      </w:r>
      <w:r w:rsidR="00665C3B" w:rsidRPr="00AB52EE">
        <w:rPr>
          <w:rFonts w:cs="Arial"/>
          <w:szCs w:val="24"/>
        </w:rPr>
        <w:t xml:space="preserve">that must be </w:t>
      </w:r>
      <w:r w:rsidR="0041425C" w:rsidRPr="00AB52EE">
        <w:rPr>
          <w:rFonts w:cs="Arial"/>
          <w:szCs w:val="24"/>
        </w:rPr>
        <w:t>made on behalf of the applicant</w:t>
      </w:r>
      <w:r w:rsidR="008C5F2B" w:rsidRPr="00AB52EE">
        <w:rPr>
          <w:rFonts w:cs="Arial"/>
          <w:szCs w:val="24"/>
        </w:rPr>
        <w:t>;</w:t>
      </w:r>
      <w:r w:rsidR="0041425C" w:rsidRPr="00AB52EE">
        <w:rPr>
          <w:rFonts w:cs="Arial"/>
          <w:szCs w:val="24"/>
        </w:rPr>
        <w:t xml:space="preserve"> </w:t>
      </w:r>
      <w:r w:rsidR="003F2519" w:rsidRPr="00AB52EE">
        <w:rPr>
          <w:rFonts w:cs="Arial"/>
          <w:szCs w:val="24"/>
        </w:rPr>
        <w:t xml:space="preserve">(ii) </w:t>
      </w:r>
      <w:r w:rsidR="007F3497" w:rsidRPr="00AB52EE">
        <w:rPr>
          <w:rFonts w:cs="Arial"/>
          <w:szCs w:val="24"/>
        </w:rPr>
        <w:t xml:space="preserve">special rules as to </w:t>
      </w:r>
      <w:r w:rsidR="00387C50">
        <w:rPr>
          <w:rFonts w:cs="Arial"/>
          <w:szCs w:val="24"/>
        </w:rPr>
        <w:t xml:space="preserve">the </w:t>
      </w:r>
      <w:r w:rsidR="007F3497" w:rsidRPr="00AB52EE">
        <w:rPr>
          <w:rFonts w:cs="Arial"/>
          <w:szCs w:val="24"/>
        </w:rPr>
        <w:t xml:space="preserve">manner of </w:t>
      </w:r>
      <w:r w:rsidR="003F2519" w:rsidRPr="00AB52EE">
        <w:rPr>
          <w:rFonts w:cs="Arial"/>
          <w:szCs w:val="24"/>
        </w:rPr>
        <w:t xml:space="preserve">their </w:t>
      </w:r>
      <w:r w:rsidR="007F3497" w:rsidRPr="00AB52EE">
        <w:rPr>
          <w:rFonts w:cs="Arial"/>
          <w:szCs w:val="24"/>
        </w:rPr>
        <w:t xml:space="preserve">service; </w:t>
      </w:r>
      <w:r w:rsidR="003F2519" w:rsidRPr="00AB52EE">
        <w:rPr>
          <w:rFonts w:cs="Arial"/>
          <w:szCs w:val="24"/>
        </w:rPr>
        <w:t xml:space="preserve">(iii) </w:t>
      </w:r>
      <w:r w:rsidR="0041425C" w:rsidRPr="00AB52EE">
        <w:rPr>
          <w:rFonts w:cs="Arial"/>
          <w:szCs w:val="24"/>
        </w:rPr>
        <w:t xml:space="preserve">notification to the respondents of their rights to obtain legal representation and </w:t>
      </w:r>
      <w:r w:rsidR="001A788C" w:rsidRPr="00AB52EE">
        <w:rPr>
          <w:rFonts w:cs="Arial"/>
          <w:szCs w:val="24"/>
        </w:rPr>
        <w:t xml:space="preserve">to </w:t>
      </w:r>
      <w:r w:rsidR="0041425C" w:rsidRPr="00AB52EE">
        <w:rPr>
          <w:rFonts w:cs="Arial"/>
          <w:szCs w:val="24"/>
        </w:rPr>
        <w:t xml:space="preserve">seek </w:t>
      </w:r>
      <w:r w:rsidR="00387C50">
        <w:rPr>
          <w:rFonts w:cs="Arial"/>
          <w:szCs w:val="24"/>
        </w:rPr>
        <w:t xml:space="preserve">a </w:t>
      </w:r>
      <w:r w:rsidR="0041425C" w:rsidRPr="00AB52EE">
        <w:rPr>
          <w:rFonts w:cs="Arial"/>
          <w:szCs w:val="24"/>
        </w:rPr>
        <w:t>reconsideration</w:t>
      </w:r>
      <w:r w:rsidR="008C5F2B" w:rsidRPr="00AB52EE">
        <w:rPr>
          <w:rFonts w:cs="Arial"/>
          <w:szCs w:val="24"/>
        </w:rPr>
        <w:t xml:space="preserve"> of the order</w:t>
      </w:r>
      <w:r w:rsidR="0041425C" w:rsidRPr="00AB52EE">
        <w:rPr>
          <w:rFonts w:cs="Arial"/>
          <w:szCs w:val="24"/>
        </w:rPr>
        <w:t>;</w:t>
      </w:r>
      <w:r w:rsidR="001A788C" w:rsidRPr="00AB52EE">
        <w:rPr>
          <w:rStyle w:val="FootnoteReference"/>
          <w:szCs w:val="24"/>
        </w:rPr>
        <w:footnoteReference w:id="38"/>
      </w:r>
      <w:r w:rsidR="008C5F2B" w:rsidRPr="00AB52EE">
        <w:rPr>
          <w:rFonts w:cs="Arial"/>
          <w:szCs w:val="24"/>
        </w:rPr>
        <w:t xml:space="preserve"> </w:t>
      </w:r>
      <w:r w:rsidR="003F2519" w:rsidRPr="00AB52EE">
        <w:rPr>
          <w:rFonts w:cs="Arial"/>
          <w:szCs w:val="24"/>
        </w:rPr>
        <w:t>(i</w:t>
      </w:r>
      <w:r w:rsidR="00403F15">
        <w:rPr>
          <w:rFonts w:cs="Arial"/>
          <w:szCs w:val="24"/>
        </w:rPr>
        <w:t>v</w:t>
      </w:r>
      <w:r w:rsidR="003F2519" w:rsidRPr="00AB52EE">
        <w:rPr>
          <w:rFonts w:cs="Arial"/>
          <w:szCs w:val="24"/>
        </w:rPr>
        <w:t xml:space="preserve">) </w:t>
      </w:r>
      <w:r w:rsidR="008C5F2B" w:rsidRPr="00AB52EE">
        <w:rPr>
          <w:rFonts w:cs="Arial"/>
          <w:szCs w:val="24"/>
        </w:rPr>
        <w:t xml:space="preserve">a prohibition on </w:t>
      </w:r>
      <w:r w:rsidR="00665C3B" w:rsidRPr="00AB52EE">
        <w:rPr>
          <w:rFonts w:cs="Arial"/>
          <w:szCs w:val="24"/>
        </w:rPr>
        <w:t xml:space="preserve">the participation of the applicant or its attorneys in the search; and </w:t>
      </w:r>
      <w:r w:rsidR="003F2519" w:rsidRPr="00AB52EE">
        <w:rPr>
          <w:rFonts w:cs="Arial"/>
          <w:szCs w:val="24"/>
        </w:rPr>
        <w:t xml:space="preserve">(v) </w:t>
      </w:r>
      <w:r w:rsidR="0041425C" w:rsidRPr="00AB52EE">
        <w:rPr>
          <w:rFonts w:cs="Arial"/>
          <w:szCs w:val="24"/>
        </w:rPr>
        <w:t>the appointment of independent supervising attorneys to oversee the execution of the order</w:t>
      </w:r>
      <w:r w:rsidR="00B55963" w:rsidRPr="00AB52EE">
        <w:rPr>
          <w:rFonts w:cs="Arial"/>
          <w:szCs w:val="24"/>
        </w:rPr>
        <w:t xml:space="preserve">, make inventories of </w:t>
      </w:r>
      <w:r w:rsidR="006271A3" w:rsidRPr="00AB52EE">
        <w:rPr>
          <w:rFonts w:cs="Arial"/>
          <w:szCs w:val="24"/>
        </w:rPr>
        <w:t xml:space="preserve">the attached items </w:t>
      </w:r>
      <w:r w:rsidR="00B55963" w:rsidRPr="00AB52EE">
        <w:rPr>
          <w:rFonts w:cs="Arial"/>
          <w:szCs w:val="24"/>
        </w:rPr>
        <w:t xml:space="preserve">and </w:t>
      </w:r>
      <w:r w:rsidR="0041425C" w:rsidRPr="00AB52EE">
        <w:rPr>
          <w:rFonts w:cs="Arial"/>
          <w:szCs w:val="24"/>
        </w:rPr>
        <w:t xml:space="preserve">report back to the </w:t>
      </w:r>
      <w:r w:rsidR="00A01AA1" w:rsidRPr="00AB52EE">
        <w:rPr>
          <w:rFonts w:cs="Arial"/>
          <w:szCs w:val="24"/>
        </w:rPr>
        <w:t>C</w:t>
      </w:r>
      <w:r w:rsidR="0041425C" w:rsidRPr="00AB52EE">
        <w:rPr>
          <w:rFonts w:cs="Arial"/>
          <w:szCs w:val="24"/>
        </w:rPr>
        <w:t>ourt on affidavit.</w:t>
      </w:r>
      <w:r w:rsidR="00B55963" w:rsidRPr="00AB52EE">
        <w:rPr>
          <w:rStyle w:val="FootnoteReference"/>
          <w:szCs w:val="24"/>
        </w:rPr>
        <w:footnoteReference w:id="39"/>
      </w:r>
      <w:r w:rsidR="008C5F2B" w:rsidRPr="00AB52EE">
        <w:rPr>
          <w:rFonts w:cs="Arial"/>
          <w:szCs w:val="24"/>
        </w:rPr>
        <w:t xml:space="preserve"> It </w:t>
      </w:r>
      <w:r w:rsidR="00821C3C" w:rsidRPr="00AB52EE">
        <w:rPr>
          <w:rFonts w:cs="Arial"/>
          <w:szCs w:val="24"/>
        </w:rPr>
        <w:t xml:space="preserve">is unnecessary to attempt </w:t>
      </w:r>
      <w:r w:rsidR="00B55963" w:rsidRPr="00AB52EE">
        <w:rPr>
          <w:rFonts w:cs="Arial"/>
          <w:szCs w:val="24"/>
        </w:rPr>
        <w:t xml:space="preserve">to </w:t>
      </w:r>
      <w:r w:rsidR="00821C3C" w:rsidRPr="00AB52EE">
        <w:rPr>
          <w:rFonts w:cs="Arial"/>
          <w:szCs w:val="24"/>
        </w:rPr>
        <w:t>enumerate these comprehensively</w:t>
      </w:r>
      <w:r w:rsidR="003F2519" w:rsidRPr="00AB52EE">
        <w:rPr>
          <w:rFonts w:cs="Arial"/>
          <w:szCs w:val="24"/>
        </w:rPr>
        <w:t xml:space="preserve"> here</w:t>
      </w:r>
      <w:r w:rsidR="00821C3C" w:rsidRPr="00AB52EE">
        <w:rPr>
          <w:rFonts w:cs="Arial"/>
          <w:szCs w:val="24"/>
        </w:rPr>
        <w:t xml:space="preserve">: the provisions of the model order contained in Annexure B at paragraph 16.29 of this Division’s practice manual contains </w:t>
      </w:r>
      <w:r w:rsidR="00EE01C6" w:rsidRPr="00AB52EE">
        <w:rPr>
          <w:rFonts w:cs="Arial"/>
          <w:szCs w:val="24"/>
        </w:rPr>
        <w:t xml:space="preserve">some of </w:t>
      </w:r>
      <w:r w:rsidR="00821C3C" w:rsidRPr="00AB52EE">
        <w:rPr>
          <w:rFonts w:cs="Arial"/>
          <w:szCs w:val="24"/>
        </w:rPr>
        <w:t>the most important ones</w:t>
      </w:r>
      <w:r w:rsidR="008C5F2B" w:rsidRPr="00AB52EE">
        <w:rPr>
          <w:rFonts w:cs="Arial"/>
          <w:szCs w:val="24"/>
        </w:rPr>
        <w:t>.</w:t>
      </w:r>
      <w:r w:rsidR="00EE01C6" w:rsidRPr="00AB52EE">
        <w:rPr>
          <w:rFonts w:cs="Arial"/>
          <w:szCs w:val="24"/>
        </w:rPr>
        <w:t xml:space="preserve"> </w:t>
      </w:r>
      <w:r w:rsidR="0041543C" w:rsidRPr="00AB52EE">
        <w:rPr>
          <w:rFonts w:cs="Arial"/>
          <w:szCs w:val="24"/>
        </w:rPr>
        <w:t xml:space="preserve">While almost identical model orders are included in the </w:t>
      </w:r>
      <w:r w:rsidR="003F2519" w:rsidRPr="00AB52EE">
        <w:rPr>
          <w:rFonts w:cs="Arial"/>
          <w:szCs w:val="24"/>
        </w:rPr>
        <w:t>p</w:t>
      </w:r>
      <w:r w:rsidR="0041543C" w:rsidRPr="00AB52EE">
        <w:rPr>
          <w:rFonts w:cs="Arial"/>
          <w:szCs w:val="24"/>
        </w:rPr>
        <w:t xml:space="preserve">ractice </w:t>
      </w:r>
      <w:r w:rsidR="003F2519" w:rsidRPr="00AB52EE">
        <w:rPr>
          <w:rFonts w:cs="Arial"/>
          <w:szCs w:val="24"/>
        </w:rPr>
        <w:t>m</w:t>
      </w:r>
      <w:r w:rsidR="0041543C" w:rsidRPr="00AB52EE">
        <w:rPr>
          <w:rFonts w:cs="Arial"/>
          <w:szCs w:val="24"/>
        </w:rPr>
        <w:t xml:space="preserve">anuals of the Gauteng and Limpopo Divisions, the Western Cape </w:t>
      </w:r>
      <w:r w:rsidR="003F2519" w:rsidRPr="00AB52EE">
        <w:rPr>
          <w:rFonts w:cs="Arial"/>
          <w:szCs w:val="24"/>
        </w:rPr>
        <w:t>p</w:t>
      </w:r>
      <w:r w:rsidR="0041543C" w:rsidRPr="00AB52EE">
        <w:rPr>
          <w:rFonts w:cs="Arial"/>
          <w:szCs w:val="24"/>
        </w:rPr>
        <w:t xml:space="preserve">ractice </w:t>
      </w:r>
      <w:r w:rsidR="003F2519" w:rsidRPr="00AB52EE">
        <w:rPr>
          <w:rFonts w:cs="Arial"/>
          <w:szCs w:val="24"/>
        </w:rPr>
        <w:t>m</w:t>
      </w:r>
      <w:r w:rsidR="0041543C" w:rsidRPr="00AB52EE">
        <w:rPr>
          <w:rFonts w:cs="Arial"/>
          <w:szCs w:val="24"/>
        </w:rPr>
        <w:t>anual and model order are framed in different terms and contain yet other safeguards.</w:t>
      </w:r>
    </w:p>
    <w:p w14:paraId="0E404F7D" w14:textId="50C51EB8" w:rsidR="00AC7F14" w:rsidRPr="00AB52EE" w:rsidRDefault="008C5F2B" w:rsidP="007A27ED">
      <w:pPr>
        <w:pStyle w:val="LC1"/>
        <w:rPr>
          <w:rFonts w:cs="Arial"/>
          <w:szCs w:val="24"/>
        </w:rPr>
      </w:pPr>
      <w:r w:rsidRPr="00AB52EE">
        <w:rPr>
          <w:rFonts w:cs="Arial"/>
          <w:szCs w:val="24"/>
        </w:rPr>
        <w:t>It is importan</w:t>
      </w:r>
      <w:r w:rsidR="00387C50">
        <w:rPr>
          <w:rFonts w:cs="Arial"/>
          <w:szCs w:val="24"/>
        </w:rPr>
        <w:t>t</w:t>
      </w:r>
      <w:r w:rsidRPr="00AB52EE">
        <w:rPr>
          <w:rFonts w:cs="Arial"/>
          <w:szCs w:val="24"/>
        </w:rPr>
        <w:t xml:space="preserve"> to recognise, however, that the </w:t>
      </w:r>
      <w:r w:rsidR="00EE01C6" w:rsidRPr="00AB52EE">
        <w:rPr>
          <w:rFonts w:cs="Arial"/>
          <w:szCs w:val="24"/>
        </w:rPr>
        <w:t xml:space="preserve">Gauteng </w:t>
      </w:r>
      <w:r w:rsidR="00AC7F14" w:rsidRPr="00AB52EE">
        <w:rPr>
          <w:rFonts w:cs="Arial"/>
          <w:szCs w:val="24"/>
        </w:rPr>
        <w:t xml:space="preserve">and Limpopo </w:t>
      </w:r>
      <w:r w:rsidRPr="00AB52EE">
        <w:rPr>
          <w:rFonts w:cs="Arial"/>
          <w:szCs w:val="24"/>
        </w:rPr>
        <w:t>model order</w:t>
      </w:r>
      <w:r w:rsidR="003F2519" w:rsidRPr="00AB52EE">
        <w:rPr>
          <w:rFonts w:cs="Arial"/>
          <w:szCs w:val="24"/>
        </w:rPr>
        <w:t>s</w:t>
      </w:r>
      <w:r w:rsidR="00650591" w:rsidRPr="00AB52EE">
        <w:rPr>
          <w:rFonts w:cs="Arial"/>
          <w:szCs w:val="24"/>
        </w:rPr>
        <w:t>,</w:t>
      </w:r>
      <w:r w:rsidRPr="00AB52EE">
        <w:rPr>
          <w:rFonts w:cs="Arial"/>
          <w:szCs w:val="24"/>
        </w:rPr>
        <w:t xml:space="preserve"> </w:t>
      </w:r>
      <w:r w:rsidR="0041543C" w:rsidRPr="00AB52EE">
        <w:rPr>
          <w:rFonts w:cs="Arial"/>
          <w:szCs w:val="24"/>
        </w:rPr>
        <w:t>in particular</w:t>
      </w:r>
      <w:r w:rsidR="00650591" w:rsidRPr="00AB52EE">
        <w:rPr>
          <w:rFonts w:cs="Arial"/>
          <w:szCs w:val="24"/>
        </w:rPr>
        <w:t>,</w:t>
      </w:r>
      <w:r w:rsidR="0041543C" w:rsidRPr="00AB52EE">
        <w:rPr>
          <w:rFonts w:cs="Arial"/>
          <w:szCs w:val="24"/>
        </w:rPr>
        <w:t xml:space="preserve"> </w:t>
      </w:r>
      <w:r w:rsidRPr="00AB52EE">
        <w:rPr>
          <w:rFonts w:cs="Arial"/>
          <w:szCs w:val="24"/>
        </w:rPr>
        <w:t>must be treated with circumspection</w:t>
      </w:r>
      <w:r w:rsidR="00B447BF" w:rsidRPr="00AB52EE">
        <w:rPr>
          <w:rFonts w:cs="Arial"/>
          <w:szCs w:val="24"/>
        </w:rPr>
        <w:t>.</w:t>
      </w:r>
      <w:r w:rsidR="0041543C" w:rsidRPr="00AB52EE">
        <w:rPr>
          <w:rFonts w:cs="Arial"/>
          <w:szCs w:val="24"/>
        </w:rPr>
        <w:t xml:space="preserve"> </w:t>
      </w:r>
      <w:r w:rsidR="00C33025" w:rsidRPr="00AB52EE">
        <w:rPr>
          <w:rFonts w:cs="Arial"/>
          <w:szCs w:val="24"/>
        </w:rPr>
        <w:t xml:space="preserve">Despite the </w:t>
      </w:r>
      <w:r w:rsidR="003819AA" w:rsidRPr="00AB52EE">
        <w:rPr>
          <w:rFonts w:cs="Arial"/>
          <w:szCs w:val="24"/>
        </w:rPr>
        <w:t xml:space="preserve">clear warning sounded by </w:t>
      </w:r>
      <w:r w:rsidR="00C33025" w:rsidRPr="00AB52EE">
        <w:rPr>
          <w:rFonts w:cs="Arial"/>
          <w:szCs w:val="24"/>
        </w:rPr>
        <w:t>Schwar</w:t>
      </w:r>
      <w:r w:rsidR="00582CCE">
        <w:rPr>
          <w:rFonts w:cs="Arial"/>
          <w:szCs w:val="24"/>
        </w:rPr>
        <w:t>t</w:t>
      </w:r>
      <w:r w:rsidR="00C33025" w:rsidRPr="00AB52EE">
        <w:rPr>
          <w:rFonts w:cs="Arial"/>
          <w:szCs w:val="24"/>
        </w:rPr>
        <w:t xml:space="preserve">zman J twenty years ago in relation to </w:t>
      </w:r>
      <w:r w:rsidR="003F2519" w:rsidRPr="00AB52EE">
        <w:rPr>
          <w:rFonts w:cs="Arial"/>
          <w:szCs w:val="24"/>
        </w:rPr>
        <w:t xml:space="preserve">a </w:t>
      </w:r>
      <w:r w:rsidR="00C33025" w:rsidRPr="00AB52EE">
        <w:rPr>
          <w:rFonts w:cs="Arial"/>
          <w:szCs w:val="24"/>
        </w:rPr>
        <w:t xml:space="preserve">previous </w:t>
      </w:r>
      <w:r w:rsidR="00C33025" w:rsidRPr="00AB52EE">
        <w:rPr>
          <w:rFonts w:cs="Arial"/>
          <w:szCs w:val="24"/>
        </w:rPr>
        <w:lastRenderedPageBreak/>
        <w:t>iteration,</w:t>
      </w:r>
      <w:r w:rsidR="00C33025" w:rsidRPr="00AB52EE">
        <w:rPr>
          <w:rStyle w:val="FootnoteReference"/>
          <w:szCs w:val="24"/>
        </w:rPr>
        <w:footnoteReference w:id="40"/>
      </w:r>
      <w:r w:rsidR="00C33025" w:rsidRPr="00AB52EE">
        <w:rPr>
          <w:rFonts w:cs="Arial"/>
          <w:szCs w:val="24"/>
        </w:rPr>
        <w:t xml:space="preserve"> the </w:t>
      </w:r>
      <w:r w:rsidR="003F2519" w:rsidRPr="00AB52EE">
        <w:rPr>
          <w:rFonts w:cs="Arial"/>
          <w:szCs w:val="24"/>
        </w:rPr>
        <w:t xml:space="preserve">current </w:t>
      </w:r>
      <w:r w:rsidR="00C33025" w:rsidRPr="00AB52EE">
        <w:rPr>
          <w:rFonts w:cs="Arial"/>
          <w:szCs w:val="24"/>
        </w:rPr>
        <w:t>version</w:t>
      </w:r>
      <w:r w:rsidR="003F2519" w:rsidRPr="00AB52EE">
        <w:rPr>
          <w:rFonts w:cs="Arial"/>
          <w:szCs w:val="24"/>
        </w:rPr>
        <w:t>s</w:t>
      </w:r>
      <w:r w:rsidR="00C33025" w:rsidRPr="00AB52EE">
        <w:rPr>
          <w:rFonts w:cs="Arial"/>
          <w:szCs w:val="24"/>
        </w:rPr>
        <w:t xml:space="preserve"> continue to </w:t>
      </w:r>
      <w:r w:rsidRPr="00AB52EE">
        <w:rPr>
          <w:rFonts w:cs="Arial"/>
          <w:szCs w:val="24"/>
        </w:rPr>
        <w:t xml:space="preserve">include relief that a court is (in view of </w:t>
      </w:r>
      <w:r w:rsidRPr="00AB52EE">
        <w:rPr>
          <w:rFonts w:cs="Arial"/>
          <w:i/>
          <w:iCs/>
          <w:szCs w:val="24"/>
        </w:rPr>
        <w:t>Memory Institute</w:t>
      </w:r>
      <w:r w:rsidRPr="00AB52EE">
        <w:rPr>
          <w:rFonts w:cs="Arial"/>
          <w:szCs w:val="24"/>
        </w:rPr>
        <w:t>) not permitted to grant in an ordinary Anton Piller order</w:t>
      </w:r>
      <w:r w:rsidR="005D47FA" w:rsidRPr="00AB52EE">
        <w:rPr>
          <w:rFonts w:cs="Arial"/>
          <w:szCs w:val="24"/>
        </w:rPr>
        <w:t xml:space="preserve"> – </w:t>
      </w:r>
      <w:r w:rsidRPr="00AB52EE">
        <w:rPr>
          <w:rFonts w:cs="Arial"/>
          <w:szCs w:val="24"/>
        </w:rPr>
        <w:t>whether</w:t>
      </w:r>
      <w:r w:rsidR="005D47FA" w:rsidRPr="00AB52EE">
        <w:rPr>
          <w:rFonts w:cs="Arial"/>
          <w:szCs w:val="24"/>
        </w:rPr>
        <w:t xml:space="preserve"> </w:t>
      </w:r>
      <w:r w:rsidRPr="00AB52EE">
        <w:rPr>
          <w:rFonts w:cs="Arial"/>
          <w:szCs w:val="24"/>
        </w:rPr>
        <w:t xml:space="preserve">at the outset or upon </w:t>
      </w:r>
      <w:r w:rsidR="005D47FA" w:rsidRPr="00AB52EE">
        <w:rPr>
          <w:rFonts w:cs="Arial"/>
          <w:szCs w:val="24"/>
        </w:rPr>
        <w:t xml:space="preserve">a return date or application for </w:t>
      </w:r>
      <w:r w:rsidRPr="00AB52EE">
        <w:rPr>
          <w:rFonts w:cs="Arial"/>
          <w:szCs w:val="24"/>
        </w:rPr>
        <w:t xml:space="preserve">reconsideration. I refer in this regard to </w:t>
      </w:r>
      <w:r w:rsidR="005A3DF9" w:rsidRPr="00AB52EE">
        <w:rPr>
          <w:rFonts w:cs="Arial"/>
          <w:szCs w:val="24"/>
        </w:rPr>
        <w:t xml:space="preserve">(i) </w:t>
      </w:r>
      <w:r w:rsidRPr="00AB52EE">
        <w:rPr>
          <w:rFonts w:cs="Arial"/>
          <w:szCs w:val="24"/>
        </w:rPr>
        <w:t xml:space="preserve">the </w:t>
      </w:r>
      <w:r w:rsidR="00B637FB" w:rsidRPr="00AB52EE">
        <w:rPr>
          <w:rFonts w:cs="Arial"/>
          <w:szCs w:val="24"/>
        </w:rPr>
        <w:t xml:space="preserve">provision in paragraph 1.4 of the </w:t>
      </w:r>
      <w:r w:rsidR="003F2519" w:rsidRPr="00AB52EE">
        <w:rPr>
          <w:rFonts w:cs="Arial"/>
          <w:szCs w:val="24"/>
        </w:rPr>
        <w:t xml:space="preserve">Gauteng </w:t>
      </w:r>
      <w:r w:rsidR="00B637FB" w:rsidRPr="00AB52EE">
        <w:rPr>
          <w:rFonts w:cs="Arial"/>
          <w:szCs w:val="24"/>
        </w:rPr>
        <w:t xml:space="preserve">model order for the presence of a representative of the applicant and/or the applicant’s attorney who “shall not take part in the search”, “but may be called upon” by the </w:t>
      </w:r>
      <w:r w:rsidR="00A04F0D" w:rsidRPr="00AB52EE">
        <w:rPr>
          <w:rFonts w:cs="Arial"/>
          <w:szCs w:val="24"/>
        </w:rPr>
        <w:t>S</w:t>
      </w:r>
      <w:r w:rsidR="00B637FB" w:rsidRPr="00AB52EE">
        <w:rPr>
          <w:rFonts w:cs="Arial"/>
          <w:szCs w:val="24"/>
        </w:rPr>
        <w:t>heriff</w:t>
      </w:r>
      <w:r w:rsidR="00441882" w:rsidRPr="00AB52EE">
        <w:rPr>
          <w:rFonts w:cs="Arial"/>
          <w:szCs w:val="24"/>
        </w:rPr>
        <w:t>s</w:t>
      </w:r>
      <w:r w:rsidR="00B637FB" w:rsidRPr="00AB52EE">
        <w:rPr>
          <w:rFonts w:cs="Arial"/>
          <w:szCs w:val="24"/>
        </w:rPr>
        <w:t xml:space="preserve">, the </w:t>
      </w:r>
      <w:r w:rsidR="00441882" w:rsidRPr="00AB52EE">
        <w:rPr>
          <w:rFonts w:cs="Arial"/>
          <w:szCs w:val="24"/>
        </w:rPr>
        <w:t xml:space="preserve">independent </w:t>
      </w:r>
      <w:r w:rsidR="00B637FB" w:rsidRPr="00AB52EE">
        <w:rPr>
          <w:rFonts w:cs="Arial"/>
          <w:szCs w:val="24"/>
        </w:rPr>
        <w:t>supervising attorney</w:t>
      </w:r>
      <w:r w:rsidR="00441882" w:rsidRPr="00AB52EE">
        <w:rPr>
          <w:rFonts w:cs="Arial"/>
          <w:szCs w:val="24"/>
        </w:rPr>
        <w:t>s</w:t>
      </w:r>
      <w:r w:rsidR="00B637FB" w:rsidRPr="00AB52EE">
        <w:rPr>
          <w:rFonts w:cs="Arial"/>
          <w:szCs w:val="24"/>
        </w:rPr>
        <w:t xml:space="preserve"> and the forensic experts “to identify documents falling within the” scope of the order; </w:t>
      </w:r>
      <w:r w:rsidR="005A3DF9" w:rsidRPr="00AB52EE">
        <w:rPr>
          <w:rFonts w:cs="Arial"/>
          <w:szCs w:val="24"/>
        </w:rPr>
        <w:t xml:space="preserve">and (ii) the </w:t>
      </w:r>
      <w:r w:rsidR="005D47FA" w:rsidRPr="00AB52EE">
        <w:rPr>
          <w:rFonts w:cs="Arial"/>
          <w:szCs w:val="24"/>
        </w:rPr>
        <w:t xml:space="preserve">process for objection to </w:t>
      </w:r>
      <w:r w:rsidRPr="00AB52EE">
        <w:rPr>
          <w:rFonts w:cs="Arial"/>
          <w:szCs w:val="24"/>
        </w:rPr>
        <w:t xml:space="preserve">inspection and copying </w:t>
      </w:r>
      <w:r w:rsidR="005D47FA" w:rsidRPr="00AB52EE">
        <w:rPr>
          <w:rFonts w:cs="Arial"/>
          <w:szCs w:val="24"/>
        </w:rPr>
        <w:t xml:space="preserve">referred </w:t>
      </w:r>
      <w:r w:rsidRPr="00AB52EE">
        <w:rPr>
          <w:rFonts w:cs="Arial"/>
          <w:szCs w:val="24"/>
        </w:rPr>
        <w:t>in paragraph 13</w:t>
      </w:r>
      <w:r w:rsidR="00B447BF" w:rsidRPr="00AB52EE">
        <w:rPr>
          <w:rFonts w:cs="Arial"/>
          <w:szCs w:val="24"/>
        </w:rPr>
        <w:t>,</w:t>
      </w:r>
      <w:r w:rsidR="009C7347" w:rsidRPr="00AB52EE">
        <w:rPr>
          <w:rStyle w:val="FootnoteReference"/>
          <w:szCs w:val="24"/>
        </w:rPr>
        <w:t xml:space="preserve"> </w:t>
      </w:r>
      <w:r w:rsidR="005D47FA" w:rsidRPr="00AB52EE">
        <w:rPr>
          <w:rFonts w:cs="Arial"/>
          <w:szCs w:val="24"/>
        </w:rPr>
        <w:t xml:space="preserve">combined with the final order contemplated in paragraph 19.2 allowing the applicant to make copies of the </w:t>
      </w:r>
      <w:r w:rsidR="005A3DF9" w:rsidRPr="00AB52EE">
        <w:rPr>
          <w:rFonts w:cs="Arial"/>
          <w:szCs w:val="24"/>
        </w:rPr>
        <w:t>identified items and be furnished with forensic copies of electronic devices in the custody of the Sheriff</w:t>
      </w:r>
      <w:r w:rsidR="00187BB9" w:rsidRPr="00AB52EE">
        <w:rPr>
          <w:rFonts w:cs="Arial"/>
          <w:szCs w:val="24"/>
        </w:rPr>
        <w:t>.</w:t>
      </w:r>
      <w:r w:rsidR="00187BB9" w:rsidRPr="00AB52EE">
        <w:rPr>
          <w:rStyle w:val="FootnoteReference"/>
          <w:szCs w:val="24"/>
        </w:rPr>
        <w:footnoteReference w:id="41"/>
      </w:r>
      <w:r w:rsidR="005D47FA" w:rsidRPr="00AB52EE">
        <w:rPr>
          <w:rFonts w:cs="Arial"/>
          <w:szCs w:val="24"/>
        </w:rPr>
        <w:t xml:space="preserve"> </w:t>
      </w:r>
      <w:r w:rsidR="00B447BF" w:rsidRPr="00AB52EE">
        <w:rPr>
          <w:rFonts w:cs="Arial"/>
          <w:szCs w:val="24"/>
        </w:rPr>
        <w:t xml:space="preserve">These features indicate that </w:t>
      </w:r>
      <w:r w:rsidR="003F2519" w:rsidRPr="00AB52EE">
        <w:rPr>
          <w:rFonts w:cs="Arial"/>
          <w:szCs w:val="24"/>
        </w:rPr>
        <w:t xml:space="preserve">the Gauteng model order </w:t>
      </w:r>
      <w:r w:rsidR="00B447BF" w:rsidRPr="00AB52EE">
        <w:rPr>
          <w:rFonts w:cs="Arial"/>
          <w:szCs w:val="24"/>
        </w:rPr>
        <w:t xml:space="preserve">has been drafted with Cerebos-type relief in mind. In addition, even though </w:t>
      </w:r>
      <w:r w:rsidRPr="00AB52EE">
        <w:rPr>
          <w:rFonts w:cs="Arial"/>
          <w:szCs w:val="24"/>
        </w:rPr>
        <w:t xml:space="preserve">paragraph 10.1 </w:t>
      </w:r>
      <w:r w:rsidR="005D47FA" w:rsidRPr="00AB52EE">
        <w:rPr>
          <w:rFonts w:cs="Arial"/>
          <w:szCs w:val="24"/>
        </w:rPr>
        <w:t xml:space="preserve">of </w:t>
      </w:r>
      <w:r w:rsidR="001407E6" w:rsidRPr="00AB52EE">
        <w:rPr>
          <w:rFonts w:cs="Arial"/>
          <w:szCs w:val="24"/>
        </w:rPr>
        <w:t xml:space="preserve">this Division’s </w:t>
      </w:r>
      <w:r w:rsidR="005D47FA" w:rsidRPr="00AB52EE">
        <w:rPr>
          <w:rFonts w:cs="Arial"/>
          <w:szCs w:val="24"/>
        </w:rPr>
        <w:t>practice manual</w:t>
      </w:r>
      <w:r w:rsidR="001407E6" w:rsidRPr="00AB52EE">
        <w:rPr>
          <w:rFonts w:cs="Arial"/>
          <w:szCs w:val="24"/>
        </w:rPr>
        <w:t xml:space="preserve"> (</w:t>
      </w:r>
      <w:r w:rsidR="004C3FB7" w:rsidRPr="00AB52EE">
        <w:rPr>
          <w:rFonts w:cs="Arial"/>
          <w:szCs w:val="24"/>
        </w:rPr>
        <w:t>which is carefully entitled “Anton Piller</w:t>
      </w:r>
      <w:r w:rsidR="00B447BF" w:rsidRPr="00AB52EE">
        <w:rPr>
          <w:rFonts w:cs="Arial"/>
          <w:szCs w:val="24"/>
        </w:rPr>
        <w:t>-</w:t>
      </w:r>
      <w:r w:rsidR="004C3FB7" w:rsidRPr="00AB52EE">
        <w:rPr>
          <w:rFonts w:cs="Arial"/>
          <w:szCs w:val="24"/>
        </w:rPr>
        <w:t>type orders”</w:t>
      </w:r>
      <w:r w:rsidR="001407E6" w:rsidRPr="00AB52EE">
        <w:rPr>
          <w:rFonts w:cs="Arial"/>
          <w:szCs w:val="24"/>
        </w:rPr>
        <w:t>)</w:t>
      </w:r>
      <w:r w:rsidR="004C3FB7" w:rsidRPr="00AB52EE">
        <w:rPr>
          <w:rFonts w:cs="Arial"/>
          <w:szCs w:val="24"/>
        </w:rPr>
        <w:t xml:space="preserve"> </w:t>
      </w:r>
      <w:r w:rsidR="00B447BF" w:rsidRPr="00AB52EE">
        <w:rPr>
          <w:rFonts w:cs="Arial"/>
          <w:szCs w:val="24"/>
        </w:rPr>
        <w:t xml:space="preserve">does </w:t>
      </w:r>
      <w:r w:rsidR="003F2519" w:rsidRPr="00AB52EE">
        <w:rPr>
          <w:rFonts w:cs="Arial"/>
          <w:szCs w:val="24"/>
        </w:rPr>
        <w:t xml:space="preserve">remind practitioners and courts </w:t>
      </w:r>
      <w:r w:rsidR="005D47FA" w:rsidRPr="00AB52EE">
        <w:rPr>
          <w:rFonts w:cs="Arial"/>
          <w:szCs w:val="24"/>
        </w:rPr>
        <w:t xml:space="preserve">that the model order </w:t>
      </w:r>
      <w:r w:rsidRPr="00AB52EE">
        <w:rPr>
          <w:rFonts w:cs="Arial"/>
          <w:szCs w:val="24"/>
        </w:rPr>
        <w:t>“may be adapted according to circumstances</w:t>
      </w:r>
      <w:r w:rsidR="005D47FA" w:rsidRPr="00AB52EE">
        <w:rPr>
          <w:rFonts w:cs="Arial"/>
          <w:szCs w:val="24"/>
        </w:rPr>
        <w:t>”</w:t>
      </w:r>
      <w:r w:rsidR="00B447BF" w:rsidRPr="00AB52EE">
        <w:rPr>
          <w:rFonts w:cs="Arial"/>
          <w:szCs w:val="24"/>
        </w:rPr>
        <w:t>,</w:t>
      </w:r>
      <w:r w:rsidR="00AC7F14" w:rsidRPr="00AB52EE">
        <w:rPr>
          <w:rFonts w:cs="Arial"/>
          <w:szCs w:val="24"/>
        </w:rPr>
        <w:t xml:space="preserve"> </w:t>
      </w:r>
      <w:r w:rsidR="00B447BF" w:rsidRPr="00AB52EE">
        <w:rPr>
          <w:rFonts w:cs="Arial"/>
          <w:szCs w:val="24"/>
        </w:rPr>
        <w:t xml:space="preserve">its warning that “immediate preserving of evidence does not imply a need to allow the making of copies or other early discovery without the other party having a chance to be heard”, also points in the direction of Cerebos-type relief, given that such orders are not competent </w:t>
      </w:r>
      <w:r w:rsidR="003F2519" w:rsidRPr="00AB52EE">
        <w:rPr>
          <w:rFonts w:cs="Arial"/>
          <w:szCs w:val="24"/>
        </w:rPr>
        <w:t xml:space="preserve">at all </w:t>
      </w:r>
      <w:r w:rsidR="00B447BF" w:rsidRPr="00AB52EE">
        <w:rPr>
          <w:rFonts w:cs="Arial"/>
          <w:szCs w:val="24"/>
        </w:rPr>
        <w:t>in ordinary Anton Piller applications</w:t>
      </w:r>
      <w:r w:rsidR="001407E6" w:rsidRPr="00AB52EE">
        <w:rPr>
          <w:rFonts w:cs="Arial"/>
          <w:szCs w:val="24"/>
        </w:rPr>
        <w:t xml:space="preserve"> –</w:t>
      </w:r>
      <w:r w:rsidR="00B447BF" w:rsidRPr="00AB52EE">
        <w:rPr>
          <w:rFonts w:cs="Arial"/>
          <w:szCs w:val="24"/>
        </w:rPr>
        <w:t xml:space="preserve"> </w:t>
      </w:r>
      <w:r w:rsidR="001407E6" w:rsidRPr="00AB52EE">
        <w:rPr>
          <w:rFonts w:cs="Arial"/>
          <w:szCs w:val="24"/>
        </w:rPr>
        <w:t xml:space="preserve">even </w:t>
      </w:r>
      <w:r w:rsidR="00B447BF" w:rsidRPr="00AB52EE">
        <w:rPr>
          <w:rFonts w:cs="Arial"/>
          <w:szCs w:val="24"/>
        </w:rPr>
        <w:t xml:space="preserve">on the return date or upon reconsideration (i.e. after the respondent has been heard). The </w:t>
      </w:r>
      <w:r w:rsidR="003F2519" w:rsidRPr="00AB52EE">
        <w:rPr>
          <w:rFonts w:cs="Arial"/>
          <w:szCs w:val="24"/>
        </w:rPr>
        <w:lastRenderedPageBreak/>
        <w:t xml:space="preserve">Gauteng </w:t>
      </w:r>
      <w:r w:rsidR="00B447BF" w:rsidRPr="00AB52EE">
        <w:rPr>
          <w:rFonts w:cs="Arial"/>
          <w:szCs w:val="24"/>
        </w:rPr>
        <w:t xml:space="preserve">model order, </w:t>
      </w:r>
      <w:r w:rsidR="00A67A2C" w:rsidRPr="00AB52EE">
        <w:rPr>
          <w:rFonts w:cs="Arial"/>
          <w:szCs w:val="24"/>
        </w:rPr>
        <w:t>which is simply titled “Anton Piller order”</w:t>
      </w:r>
      <w:r w:rsidR="00B447BF" w:rsidRPr="00AB52EE">
        <w:rPr>
          <w:rFonts w:cs="Arial"/>
          <w:szCs w:val="24"/>
        </w:rPr>
        <w:t>,</w:t>
      </w:r>
      <w:r w:rsidR="00A67A2C" w:rsidRPr="00AB52EE">
        <w:rPr>
          <w:rFonts w:cs="Arial"/>
          <w:szCs w:val="24"/>
        </w:rPr>
        <w:t xml:space="preserve"> </w:t>
      </w:r>
      <w:r w:rsidR="00B447BF" w:rsidRPr="00AB52EE">
        <w:rPr>
          <w:rFonts w:cs="Arial"/>
          <w:szCs w:val="24"/>
        </w:rPr>
        <w:t xml:space="preserve">thus </w:t>
      </w:r>
      <w:r w:rsidR="004C3FB7" w:rsidRPr="00AB52EE">
        <w:rPr>
          <w:rFonts w:cs="Arial"/>
          <w:szCs w:val="24"/>
        </w:rPr>
        <w:t xml:space="preserve">has the </w:t>
      </w:r>
      <w:r w:rsidR="00B447BF" w:rsidRPr="00AB52EE">
        <w:rPr>
          <w:rFonts w:cs="Arial"/>
          <w:szCs w:val="24"/>
        </w:rPr>
        <w:t xml:space="preserve">unfortunate </w:t>
      </w:r>
      <w:r w:rsidR="004C3FB7" w:rsidRPr="00AB52EE">
        <w:rPr>
          <w:rFonts w:cs="Arial"/>
          <w:szCs w:val="24"/>
        </w:rPr>
        <w:t xml:space="preserve">potential to cause confusion </w:t>
      </w:r>
      <w:r w:rsidR="00B32CEE" w:rsidRPr="00AB52EE">
        <w:rPr>
          <w:rFonts w:cs="Arial"/>
          <w:szCs w:val="24"/>
        </w:rPr>
        <w:t xml:space="preserve">given </w:t>
      </w:r>
      <w:r w:rsidR="00A67A2C" w:rsidRPr="00AB52EE">
        <w:rPr>
          <w:rFonts w:cs="Arial"/>
          <w:szCs w:val="24"/>
        </w:rPr>
        <w:t xml:space="preserve">that </w:t>
      </w:r>
      <w:r w:rsidR="00F00387" w:rsidRPr="00AB52EE">
        <w:rPr>
          <w:rFonts w:cs="Arial"/>
          <w:szCs w:val="24"/>
        </w:rPr>
        <w:t xml:space="preserve">the </w:t>
      </w:r>
      <w:r w:rsidR="00A67A2C" w:rsidRPr="00AB52EE">
        <w:rPr>
          <w:rFonts w:cs="Arial"/>
          <w:szCs w:val="24"/>
        </w:rPr>
        <w:t xml:space="preserve">term </w:t>
      </w:r>
      <w:r w:rsidR="00F00387" w:rsidRPr="00AB52EE">
        <w:rPr>
          <w:rFonts w:cs="Arial"/>
          <w:szCs w:val="24"/>
        </w:rPr>
        <w:t xml:space="preserve">“Anton Piller order” </w:t>
      </w:r>
      <w:r w:rsidR="002900F2" w:rsidRPr="00AB52EE">
        <w:rPr>
          <w:rFonts w:cs="Arial"/>
          <w:szCs w:val="24"/>
        </w:rPr>
        <w:t xml:space="preserve">has come to be </w:t>
      </w:r>
      <w:r w:rsidR="00A67A2C" w:rsidRPr="00AB52EE">
        <w:rPr>
          <w:rFonts w:cs="Arial"/>
          <w:szCs w:val="24"/>
        </w:rPr>
        <w:t xml:space="preserve">used by our most senior courts to refer specifically to </w:t>
      </w:r>
      <w:r w:rsidR="00AC7F14" w:rsidRPr="00AB52EE">
        <w:rPr>
          <w:rFonts w:cs="Arial"/>
          <w:szCs w:val="24"/>
        </w:rPr>
        <w:t xml:space="preserve">what </w:t>
      </w:r>
      <w:r w:rsidR="00F0520F" w:rsidRPr="00AB52EE">
        <w:rPr>
          <w:rFonts w:cs="Arial"/>
          <w:szCs w:val="24"/>
        </w:rPr>
        <w:t xml:space="preserve">this judgment refers to as </w:t>
      </w:r>
      <w:r w:rsidR="00403F15">
        <w:rPr>
          <w:rFonts w:cs="Arial"/>
          <w:szCs w:val="24"/>
        </w:rPr>
        <w:t xml:space="preserve">an </w:t>
      </w:r>
      <w:r w:rsidR="00A67A2C" w:rsidRPr="00AB52EE">
        <w:rPr>
          <w:rFonts w:cs="Arial"/>
          <w:szCs w:val="24"/>
        </w:rPr>
        <w:t>ordinary Anton Piller order.</w:t>
      </w:r>
      <w:r w:rsidR="00E67158" w:rsidRPr="00AB52EE">
        <w:rPr>
          <w:rStyle w:val="FootnoteReference"/>
          <w:szCs w:val="24"/>
        </w:rPr>
        <w:footnoteReference w:id="42"/>
      </w:r>
    </w:p>
    <w:bookmarkEnd w:id="14"/>
    <w:p w14:paraId="646534C7" w14:textId="43BEF366" w:rsidR="00F0520F" w:rsidRPr="00AB52EE" w:rsidRDefault="005168CF" w:rsidP="00F0520F">
      <w:pPr>
        <w:pStyle w:val="LC1"/>
        <w:numPr>
          <w:ilvl w:val="0"/>
          <w:numId w:val="0"/>
        </w:numPr>
        <w:rPr>
          <w:rFonts w:cs="Arial"/>
          <w:szCs w:val="24"/>
          <w:u w:val="single"/>
        </w:rPr>
      </w:pPr>
      <w:r>
        <w:rPr>
          <w:rFonts w:cs="Arial"/>
          <w:szCs w:val="24"/>
          <w:u w:val="single"/>
        </w:rPr>
        <w:t>Summary</w:t>
      </w:r>
    </w:p>
    <w:p w14:paraId="658E46EE" w14:textId="241C901B" w:rsidR="0052738C" w:rsidRPr="00AB52EE" w:rsidRDefault="00422F71" w:rsidP="007A27ED">
      <w:pPr>
        <w:pStyle w:val="LC1"/>
        <w:rPr>
          <w:rFonts w:cs="Arial"/>
          <w:szCs w:val="24"/>
        </w:rPr>
      </w:pPr>
      <w:r w:rsidRPr="00AB52EE">
        <w:rPr>
          <w:rFonts w:cs="Arial"/>
          <w:szCs w:val="24"/>
        </w:rPr>
        <w:t>Our courts have consistently insisted, and must continue to insist, that the requirements for the grant of Anton Piller</w:t>
      </w:r>
      <w:r w:rsidR="00F0520F" w:rsidRPr="00AB52EE">
        <w:rPr>
          <w:rFonts w:cs="Arial"/>
          <w:szCs w:val="24"/>
        </w:rPr>
        <w:t>-type</w:t>
      </w:r>
      <w:r w:rsidRPr="00AB52EE">
        <w:rPr>
          <w:rFonts w:cs="Arial"/>
          <w:szCs w:val="24"/>
        </w:rPr>
        <w:t xml:space="preserve"> orders and </w:t>
      </w:r>
      <w:r w:rsidR="00F0520F" w:rsidRPr="00AB52EE">
        <w:rPr>
          <w:rFonts w:cs="Arial"/>
          <w:szCs w:val="24"/>
        </w:rPr>
        <w:t xml:space="preserve">their </w:t>
      </w:r>
      <w:r w:rsidRPr="00AB52EE">
        <w:rPr>
          <w:rFonts w:cs="Arial"/>
          <w:szCs w:val="24"/>
        </w:rPr>
        <w:t>established built-in safeguards are strictly observed and meticulously applied. The remedy and its requirements are not lightly be trifled with and adjusted in the face of practical problems that may prevent themselves in specific circumstances.</w:t>
      </w:r>
      <w:r w:rsidR="00234777" w:rsidRPr="00AB52EE">
        <w:rPr>
          <w:rFonts w:cs="Arial"/>
          <w:szCs w:val="24"/>
        </w:rPr>
        <w:t xml:space="preserve"> Invitations to expand, relax and innovate must be carefully considered and resisted unless properly justified. The remedy is an</w:t>
      </w:r>
      <w:r w:rsidR="00234777" w:rsidRPr="00AB52EE">
        <w:rPr>
          <w:rFonts w:cs="Arial"/>
          <w:szCs w:val="24"/>
          <w:lang w:eastAsia="en-ZA"/>
        </w:rPr>
        <w:t xml:space="preserve"> </w:t>
      </w:r>
      <w:r w:rsidR="00F0520F" w:rsidRPr="00AB52EE">
        <w:rPr>
          <w:rFonts w:cs="Arial"/>
          <w:szCs w:val="24"/>
          <w:lang w:eastAsia="en-ZA"/>
        </w:rPr>
        <w:t>“</w:t>
      </w:r>
      <w:r w:rsidR="00234777" w:rsidRPr="00AB52EE">
        <w:rPr>
          <w:rFonts w:cs="Arial"/>
          <w:szCs w:val="24"/>
          <w:lang w:eastAsia="en-ZA"/>
        </w:rPr>
        <w:t xml:space="preserve">unruly horse </w:t>
      </w:r>
      <w:r w:rsidR="00403F15">
        <w:rPr>
          <w:rFonts w:cs="Arial"/>
          <w:szCs w:val="24"/>
          <w:lang w:eastAsia="en-ZA"/>
        </w:rPr>
        <w:t xml:space="preserve">[that] </w:t>
      </w:r>
      <w:r w:rsidR="00234777" w:rsidRPr="00AB52EE">
        <w:rPr>
          <w:rFonts w:cs="Arial"/>
          <w:szCs w:val="24"/>
          <w:lang w:eastAsia="en-ZA"/>
        </w:rPr>
        <w:t>needs to be kept on a tight rein”</w:t>
      </w:r>
      <w:r w:rsidR="00F0520F" w:rsidRPr="00AB52EE">
        <w:rPr>
          <w:rFonts w:cs="Arial"/>
          <w:szCs w:val="24"/>
          <w:lang w:eastAsia="en-ZA"/>
        </w:rPr>
        <w:t>.</w:t>
      </w:r>
      <w:r w:rsidR="00234777" w:rsidRPr="00AB52EE">
        <w:rPr>
          <w:rStyle w:val="FootnoteReference"/>
          <w:szCs w:val="24"/>
          <w:lang w:eastAsia="en-ZA"/>
        </w:rPr>
        <w:footnoteReference w:id="43"/>
      </w:r>
      <w:r w:rsidR="00234777" w:rsidRPr="00AB52EE">
        <w:rPr>
          <w:rFonts w:cs="Arial"/>
          <w:szCs w:val="24"/>
          <w:lang w:eastAsia="en-ZA"/>
        </w:rPr>
        <w:t xml:space="preserve"> </w:t>
      </w:r>
      <w:r w:rsidR="00F0520F" w:rsidRPr="00AB52EE">
        <w:rPr>
          <w:rFonts w:cs="Arial"/>
          <w:szCs w:val="24"/>
          <w:lang w:eastAsia="en-ZA"/>
        </w:rPr>
        <w:t xml:space="preserve">What </w:t>
      </w:r>
      <w:r w:rsidR="00234777" w:rsidRPr="00AB52EE">
        <w:rPr>
          <w:rFonts w:cs="Arial"/>
          <w:szCs w:val="24"/>
        </w:rPr>
        <w:t xml:space="preserve">was undoubtedly true 50 years ago, is even more so in our </w:t>
      </w:r>
      <w:r w:rsidR="00F0520F" w:rsidRPr="00AB52EE">
        <w:rPr>
          <w:rFonts w:cs="Arial"/>
          <w:szCs w:val="24"/>
        </w:rPr>
        <w:t>c</w:t>
      </w:r>
      <w:r w:rsidR="00234777" w:rsidRPr="00AB52EE">
        <w:rPr>
          <w:rFonts w:cs="Arial"/>
          <w:szCs w:val="24"/>
        </w:rPr>
        <w:t>onstitutional democracy:</w:t>
      </w:r>
      <w:r w:rsidR="00234777" w:rsidRPr="00AB52EE">
        <w:rPr>
          <w:rFonts w:cs="Arial"/>
          <w:szCs w:val="24"/>
          <w:lang w:eastAsia="en-ZA"/>
        </w:rPr>
        <w:t xml:space="preserve"> </w:t>
      </w:r>
      <w:r w:rsidRPr="00AB52EE">
        <w:rPr>
          <w:rFonts w:cs="Arial"/>
          <w:szCs w:val="24"/>
        </w:rPr>
        <w:t xml:space="preserve">  </w:t>
      </w:r>
    </w:p>
    <w:p w14:paraId="15FD58A2" w14:textId="6249A309" w:rsidR="00234777" w:rsidRPr="00AB52EE" w:rsidRDefault="0051604B" w:rsidP="007A27ED">
      <w:pPr>
        <w:pStyle w:val="HeadsQuote"/>
        <w:rPr>
          <w:i/>
          <w:iCs/>
        </w:rPr>
      </w:pPr>
      <w:r w:rsidRPr="00AB52EE">
        <w:t>“</w:t>
      </w:r>
      <w:r w:rsidR="00234777" w:rsidRPr="00AB52EE">
        <w:t xml:space="preserve">The making of an order which affects the intended defendant's rights, in secret, in haste, and without the intended defendant having had any opportunity of being heard is grossly undesirable and contrary to fundamental principles of justice. It can lead to serious abuses and </w:t>
      </w:r>
      <w:r w:rsidR="00234777" w:rsidRPr="00AB52EE">
        <w:lastRenderedPageBreak/>
        <w:t>oppressive orders which may prejudice an intended defendant in various ways, including ways that may not be foreseeable.</w:t>
      </w:r>
      <w:r w:rsidRPr="00AB52EE">
        <w:t>”</w:t>
      </w:r>
      <w:r w:rsidR="00234777" w:rsidRPr="00AB52EE">
        <w:rPr>
          <w:rStyle w:val="FootnoteReference"/>
          <w:szCs w:val="24"/>
        </w:rPr>
        <w:footnoteReference w:id="44"/>
      </w:r>
    </w:p>
    <w:p w14:paraId="731B16B3" w14:textId="4230A93B" w:rsidR="003A2522" w:rsidRPr="00AB52EE" w:rsidRDefault="002649A9" w:rsidP="007A27ED">
      <w:pPr>
        <w:pStyle w:val="LC1"/>
        <w:numPr>
          <w:ilvl w:val="0"/>
          <w:numId w:val="0"/>
        </w:numPr>
        <w:rPr>
          <w:rFonts w:cs="Arial"/>
          <w:b/>
          <w:bCs/>
          <w:szCs w:val="24"/>
          <w:lang w:eastAsia="en-ZA"/>
        </w:rPr>
      </w:pPr>
      <w:r w:rsidRPr="00AB52EE">
        <w:rPr>
          <w:rFonts w:cs="Arial"/>
          <w:b/>
          <w:bCs/>
          <w:szCs w:val="24"/>
          <w:lang w:eastAsia="en-ZA"/>
        </w:rPr>
        <w:t xml:space="preserve">APPROACH ON </w:t>
      </w:r>
      <w:r w:rsidR="00F35C22" w:rsidRPr="00AB52EE">
        <w:rPr>
          <w:rFonts w:cs="Arial"/>
          <w:b/>
          <w:bCs/>
          <w:szCs w:val="24"/>
          <w:lang w:eastAsia="en-ZA"/>
        </w:rPr>
        <w:t xml:space="preserve">RECONSIDERATION </w:t>
      </w:r>
    </w:p>
    <w:p w14:paraId="4F07D9B8" w14:textId="77777777" w:rsidR="003D2710" w:rsidRPr="00AB52EE" w:rsidRDefault="00F0520F" w:rsidP="007A27ED">
      <w:pPr>
        <w:pStyle w:val="LC1"/>
        <w:rPr>
          <w:rFonts w:cs="Arial"/>
          <w:szCs w:val="24"/>
          <w:lang w:eastAsia="en-ZA"/>
        </w:rPr>
      </w:pPr>
      <w:r w:rsidRPr="00AB52EE">
        <w:rPr>
          <w:rFonts w:cs="Arial"/>
          <w:szCs w:val="24"/>
          <w:lang w:eastAsia="en-ZA"/>
        </w:rPr>
        <w:t xml:space="preserve">The </w:t>
      </w:r>
      <w:r w:rsidR="00F43421" w:rsidRPr="00AB52EE">
        <w:rPr>
          <w:rFonts w:cs="Arial"/>
          <w:szCs w:val="24"/>
          <w:lang w:eastAsia="en-ZA"/>
        </w:rPr>
        <w:t xml:space="preserve">aspect that has caused me </w:t>
      </w:r>
      <w:r w:rsidRPr="00AB52EE">
        <w:rPr>
          <w:rFonts w:cs="Arial"/>
          <w:szCs w:val="24"/>
          <w:lang w:eastAsia="en-ZA"/>
        </w:rPr>
        <w:t xml:space="preserve">the most </w:t>
      </w:r>
      <w:r w:rsidR="00F43421" w:rsidRPr="00AB52EE">
        <w:rPr>
          <w:rFonts w:cs="Arial"/>
          <w:szCs w:val="24"/>
          <w:lang w:eastAsia="en-ZA"/>
        </w:rPr>
        <w:t xml:space="preserve">difficulty in determining this matter is the proper approach to be taken in weighing the evidence </w:t>
      </w:r>
      <w:r w:rsidRPr="00AB52EE">
        <w:rPr>
          <w:rFonts w:cs="Arial"/>
          <w:szCs w:val="24"/>
          <w:lang w:eastAsia="en-ZA"/>
        </w:rPr>
        <w:t xml:space="preserve">when </w:t>
      </w:r>
      <w:r w:rsidR="00F43421" w:rsidRPr="00AB52EE">
        <w:rPr>
          <w:rFonts w:cs="Arial"/>
          <w:szCs w:val="24"/>
          <w:lang w:eastAsia="en-ZA"/>
        </w:rPr>
        <w:t>reconsider</w:t>
      </w:r>
      <w:r w:rsidR="004649FA" w:rsidRPr="00AB52EE">
        <w:rPr>
          <w:rFonts w:cs="Arial"/>
          <w:szCs w:val="24"/>
          <w:lang w:eastAsia="en-ZA"/>
        </w:rPr>
        <w:t>ing the Anton Piller order</w:t>
      </w:r>
      <w:r w:rsidR="00F43421" w:rsidRPr="00AB52EE">
        <w:rPr>
          <w:rFonts w:cs="Arial"/>
          <w:szCs w:val="24"/>
          <w:lang w:eastAsia="en-ZA"/>
        </w:rPr>
        <w:t xml:space="preserve">. </w:t>
      </w:r>
    </w:p>
    <w:p w14:paraId="2502B645" w14:textId="31626064" w:rsidR="00F43421" w:rsidRPr="00AB52EE" w:rsidRDefault="003D2710" w:rsidP="00A4210C">
      <w:pPr>
        <w:pStyle w:val="LC1"/>
        <w:rPr>
          <w:rFonts w:cs="Arial"/>
          <w:szCs w:val="24"/>
          <w:lang w:eastAsia="en-ZA"/>
        </w:rPr>
      </w:pPr>
      <w:r w:rsidRPr="00AB52EE">
        <w:rPr>
          <w:rFonts w:cs="Arial"/>
          <w:szCs w:val="24"/>
          <w:lang w:eastAsia="en-ZA"/>
        </w:rPr>
        <w:t xml:space="preserve">While the Cape High Court held in </w:t>
      </w:r>
      <w:r w:rsidRPr="00AB52EE">
        <w:rPr>
          <w:rFonts w:cs="Arial"/>
          <w:i/>
          <w:iCs/>
          <w:szCs w:val="24"/>
          <w:lang w:eastAsia="en-ZA"/>
        </w:rPr>
        <w:t>Sun World</w:t>
      </w:r>
      <w:r w:rsidRPr="00AB52EE">
        <w:rPr>
          <w:rFonts w:cs="Arial"/>
          <w:szCs w:val="24"/>
          <w:lang w:eastAsia="en-ZA"/>
        </w:rPr>
        <w:t xml:space="preserve"> that the grant of an </w:t>
      </w:r>
      <w:r w:rsidRPr="00AB52EE">
        <w:rPr>
          <w:rFonts w:cs="Arial"/>
          <w:i/>
          <w:iCs/>
          <w:szCs w:val="24"/>
          <w:lang w:eastAsia="en-ZA"/>
        </w:rPr>
        <w:t>ex parte</w:t>
      </w:r>
      <w:r w:rsidRPr="00AB52EE">
        <w:rPr>
          <w:rFonts w:cs="Arial"/>
          <w:szCs w:val="24"/>
          <w:lang w:eastAsia="en-ZA"/>
        </w:rPr>
        <w:t xml:space="preserve"> Anton Piller order </w:t>
      </w:r>
      <w:r w:rsidR="00403F15">
        <w:rPr>
          <w:rFonts w:cs="Arial"/>
          <w:szCs w:val="24"/>
          <w:lang w:eastAsia="en-ZA"/>
        </w:rPr>
        <w:t xml:space="preserve">containing a rule </w:t>
      </w:r>
      <w:r w:rsidR="00403F15" w:rsidRPr="00403F15">
        <w:rPr>
          <w:rFonts w:cs="Arial"/>
          <w:i/>
          <w:iCs/>
          <w:szCs w:val="24"/>
          <w:lang w:eastAsia="en-ZA"/>
        </w:rPr>
        <w:t>nisi</w:t>
      </w:r>
      <w:r w:rsidR="00403F15">
        <w:rPr>
          <w:rFonts w:cs="Arial"/>
          <w:szCs w:val="24"/>
          <w:lang w:eastAsia="en-ZA"/>
        </w:rPr>
        <w:t xml:space="preserve"> </w:t>
      </w:r>
      <w:r w:rsidRPr="00AB52EE">
        <w:rPr>
          <w:rFonts w:cs="Arial"/>
          <w:szCs w:val="24"/>
          <w:lang w:eastAsia="en-ZA"/>
        </w:rPr>
        <w:t xml:space="preserve">does </w:t>
      </w:r>
      <w:r w:rsidRPr="00387C50">
        <w:rPr>
          <w:rFonts w:cs="Arial"/>
          <w:szCs w:val="24"/>
          <w:lang w:eastAsia="en-ZA"/>
        </w:rPr>
        <w:t xml:space="preserve">“not cast any onus on the respondent that it would not otherwise have had and that </w:t>
      </w:r>
      <w:r w:rsidRPr="00387C50">
        <w:rPr>
          <w:rFonts w:cs="Arial"/>
          <w:szCs w:val="24"/>
          <w:lang w:eastAsia="en-GB"/>
        </w:rPr>
        <w:t>the overall onus of establishing its entitlement to the relief claimed remains with the applicant”</w:t>
      </w:r>
      <w:r w:rsidRPr="00387C50">
        <w:rPr>
          <w:rStyle w:val="FootnoteReference"/>
          <w:szCs w:val="24"/>
          <w:lang w:eastAsia="en-GB"/>
        </w:rPr>
        <w:footnoteReference w:id="45"/>
      </w:r>
      <w:r w:rsidRPr="00AB52EE">
        <w:rPr>
          <w:rFonts w:cs="Arial"/>
          <w:szCs w:val="24"/>
          <w:lang w:eastAsia="en-GB"/>
        </w:rPr>
        <w:t xml:space="preserve"> </w:t>
      </w:r>
      <w:r w:rsidRPr="00AB52EE">
        <w:rPr>
          <w:rFonts w:cs="Arial"/>
          <w:szCs w:val="24"/>
          <w:lang w:eastAsia="en-ZA"/>
        </w:rPr>
        <w:t>and the approach to be taken in a rule 6(12)(c) reconsideration should be no different,</w:t>
      </w:r>
      <w:r w:rsidRPr="00AB52EE">
        <w:rPr>
          <w:rStyle w:val="FootnoteReference"/>
          <w:szCs w:val="24"/>
          <w:lang w:eastAsia="en-ZA"/>
        </w:rPr>
        <w:footnoteReference w:id="46"/>
      </w:r>
      <w:r w:rsidRPr="00AB52EE">
        <w:rPr>
          <w:rFonts w:cs="Arial"/>
          <w:szCs w:val="24"/>
          <w:lang w:eastAsia="en-ZA"/>
        </w:rPr>
        <w:t xml:space="preserve"> t</w:t>
      </w:r>
      <w:r w:rsidR="00F43421" w:rsidRPr="00AB52EE">
        <w:rPr>
          <w:rFonts w:cs="Arial"/>
          <w:szCs w:val="24"/>
          <w:lang w:eastAsia="en-ZA"/>
        </w:rPr>
        <w:t xml:space="preserve">here </w:t>
      </w:r>
      <w:r w:rsidR="00D459DA" w:rsidRPr="00AB52EE">
        <w:rPr>
          <w:rFonts w:cs="Arial"/>
          <w:szCs w:val="24"/>
          <w:lang w:eastAsia="en-ZA"/>
        </w:rPr>
        <w:t xml:space="preserve">is </w:t>
      </w:r>
      <w:r w:rsidR="00F43421" w:rsidRPr="00AB52EE">
        <w:rPr>
          <w:rFonts w:cs="Arial"/>
          <w:szCs w:val="24"/>
          <w:lang w:eastAsia="en-ZA"/>
        </w:rPr>
        <w:t xml:space="preserve">a decided lack of clarity in the authorities to which I was referred </w:t>
      </w:r>
      <w:r w:rsidR="00F0520F" w:rsidRPr="00AB52EE">
        <w:rPr>
          <w:rFonts w:cs="Arial"/>
          <w:szCs w:val="24"/>
          <w:lang w:eastAsia="en-ZA"/>
        </w:rPr>
        <w:t xml:space="preserve">by the parties’ counsel </w:t>
      </w:r>
      <w:r w:rsidR="00F43421" w:rsidRPr="00AB52EE">
        <w:rPr>
          <w:rFonts w:cs="Arial"/>
          <w:szCs w:val="24"/>
          <w:lang w:eastAsia="en-ZA"/>
        </w:rPr>
        <w:t xml:space="preserve">and which I have consulted regarding the onuses that each </w:t>
      </w:r>
      <w:r w:rsidR="00B07535" w:rsidRPr="00AB52EE">
        <w:rPr>
          <w:rFonts w:cs="Arial"/>
          <w:szCs w:val="24"/>
          <w:lang w:eastAsia="en-ZA"/>
        </w:rPr>
        <w:t xml:space="preserve">party </w:t>
      </w:r>
      <w:r w:rsidR="00F43421" w:rsidRPr="00AB52EE">
        <w:rPr>
          <w:rFonts w:cs="Arial"/>
          <w:szCs w:val="24"/>
          <w:lang w:eastAsia="en-ZA"/>
        </w:rPr>
        <w:t>bear</w:t>
      </w:r>
      <w:r w:rsidR="00B07535" w:rsidRPr="00AB52EE">
        <w:rPr>
          <w:rFonts w:cs="Arial"/>
          <w:szCs w:val="24"/>
          <w:lang w:eastAsia="en-ZA"/>
        </w:rPr>
        <w:t>s</w:t>
      </w:r>
      <w:r w:rsidR="00F43421" w:rsidRPr="00AB52EE">
        <w:rPr>
          <w:rFonts w:cs="Arial"/>
          <w:szCs w:val="24"/>
          <w:lang w:eastAsia="en-ZA"/>
        </w:rPr>
        <w:t xml:space="preserve"> in relation to their competing contentions</w:t>
      </w:r>
      <w:r w:rsidR="00403F15" w:rsidRPr="00403F15">
        <w:rPr>
          <w:rFonts w:cs="Arial"/>
          <w:szCs w:val="24"/>
          <w:lang w:eastAsia="en-ZA"/>
        </w:rPr>
        <w:t xml:space="preserve"> </w:t>
      </w:r>
      <w:r w:rsidR="00403F15">
        <w:rPr>
          <w:rFonts w:cs="Arial"/>
          <w:szCs w:val="24"/>
          <w:lang w:eastAsia="en-ZA"/>
        </w:rPr>
        <w:t>upon reconsideration</w:t>
      </w:r>
      <w:r w:rsidR="00F43421" w:rsidRPr="00AB52EE">
        <w:rPr>
          <w:rFonts w:cs="Arial"/>
          <w:szCs w:val="24"/>
          <w:lang w:eastAsia="en-ZA"/>
        </w:rPr>
        <w:t xml:space="preserve">, and the </w:t>
      </w:r>
      <w:r w:rsidR="004649FA" w:rsidRPr="00AB52EE">
        <w:rPr>
          <w:rFonts w:cs="Arial"/>
          <w:szCs w:val="24"/>
          <w:lang w:eastAsia="en-ZA"/>
        </w:rPr>
        <w:t xml:space="preserve">evidential </w:t>
      </w:r>
      <w:r w:rsidR="00F43421" w:rsidRPr="00AB52EE">
        <w:rPr>
          <w:rFonts w:cs="Arial"/>
          <w:szCs w:val="24"/>
          <w:lang w:eastAsia="en-ZA"/>
        </w:rPr>
        <w:t>standard to which such onuses must be established.</w:t>
      </w:r>
    </w:p>
    <w:p w14:paraId="06D00691" w14:textId="7C5AC9D3" w:rsidR="00BD1D47" w:rsidRPr="00AB52EE" w:rsidRDefault="00636C6A" w:rsidP="008F522E">
      <w:pPr>
        <w:pStyle w:val="LC1"/>
        <w:rPr>
          <w:rFonts w:cs="Arial"/>
          <w:szCs w:val="24"/>
          <w:lang w:eastAsia="en-ZA"/>
        </w:rPr>
      </w:pPr>
      <w:r w:rsidRPr="00AB52EE">
        <w:rPr>
          <w:rFonts w:cs="Arial"/>
          <w:szCs w:val="24"/>
        </w:rPr>
        <w:t xml:space="preserve">The respondents’ counsel </w:t>
      </w:r>
      <w:r w:rsidRPr="00AB52EE">
        <w:rPr>
          <w:rFonts w:cs="Arial"/>
          <w:szCs w:val="24"/>
          <w:lang w:eastAsia="en-ZA"/>
        </w:rPr>
        <w:t>submits</w:t>
      </w:r>
      <w:r w:rsidR="00BD1D47" w:rsidRPr="00AB52EE">
        <w:rPr>
          <w:rFonts w:cs="Arial"/>
          <w:szCs w:val="24"/>
          <w:lang w:eastAsia="en-ZA"/>
        </w:rPr>
        <w:t xml:space="preserve"> that the question of whether the terms of the Anton Piller </w:t>
      </w:r>
      <w:r w:rsidR="00F0520F" w:rsidRPr="00AB52EE">
        <w:rPr>
          <w:rFonts w:cs="Arial"/>
          <w:szCs w:val="24"/>
          <w:lang w:eastAsia="en-ZA"/>
        </w:rPr>
        <w:t xml:space="preserve">order </w:t>
      </w:r>
      <w:r w:rsidR="00BD1D47" w:rsidRPr="00AB52EE">
        <w:rPr>
          <w:rFonts w:cs="Arial"/>
          <w:szCs w:val="24"/>
          <w:lang w:eastAsia="en-ZA"/>
        </w:rPr>
        <w:t xml:space="preserve">as granted were “lawful” is one that “usually” </w:t>
      </w:r>
      <w:r w:rsidR="008E5AE7" w:rsidRPr="00AB52EE">
        <w:rPr>
          <w:rFonts w:cs="Arial"/>
          <w:szCs w:val="24"/>
          <w:lang w:eastAsia="en-ZA"/>
        </w:rPr>
        <w:t xml:space="preserve">does not </w:t>
      </w:r>
      <w:r w:rsidR="00BD1D47" w:rsidRPr="00AB52EE">
        <w:rPr>
          <w:rFonts w:cs="Arial"/>
          <w:szCs w:val="24"/>
          <w:lang w:eastAsia="en-ZA"/>
        </w:rPr>
        <w:t xml:space="preserve">involve factual disputes and that no question of an onus </w:t>
      </w:r>
      <w:r w:rsidR="00F0520F" w:rsidRPr="00AB52EE">
        <w:rPr>
          <w:rFonts w:cs="Arial"/>
          <w:szCs w:val="24"/>
          <w:lang w:eastAsia="en-ZA"/>
        </w:rPr>
        <w:t xml:space="preserve">therefore </w:t>
      </w:r>
      <w:r w:rsidR="00BD1D47" w:rsidRPr="00AB52EE">
        <w:rPr>
          <w:rFonts w:cs="Arial"/>
          <w:szCs w:val="24"/>
          <w:lang w:eastAsia="en-ZA"/>
        </w:rPr>
        <w:t xml:space="preserve">arises upon reconsideration. </w:t>
      </w:r>
      <w:r w:rsidR="00D756D6" w:rsidRPr="00AB52EE">
        <w:rPr>
          <w:rFonts w:cs="Arial"/>
          <w:szCs w:val="24"/>
          <w:lang w:eastAsia="en-ZA"/>
        </w:rPr>
        <w:t>But w</w:t>
      </w:r>
      <w:r w:rsidR="00BD1D47" w:rsidRPr="00AB52EE">
        <w:rPr>
          <w:rFonts w:cs="Arial"/>
          <w:szCs w:val="24"/>
          <w:lang w:eastAsia="en-ZA"/>
        </w:rPr>
        <w:t xml:space="preserve">hile that may often be the case, </w:t>
      </w:r>
      <w:r w:rsidR="00D459DA" w:rsidRPr="00AB52EE">
        <w:rPr>
          <w:rFonts w:cs="Arial"/>
          <w:szCs w:val="24"/>
          <w:lang w:eastAsia="en-ZA"/>
        </w:rPr>
        <w:t xml:space="preserve">it </w:t>
      </w:r>
      <w:r w:rsidR="0059151B" w:rsidRPr="00AB52EE">
        <w:rPr>
          <w:rFonts w:cs="Arial"/>
          <w:szCs w:val="24"/>
          <w:lang w:eastAsia="en-ZA"/>
        </w:rPr>
        <w:t xml:space="preserve">will not </w:t>
      </w:r>
      <w:r w:rsidR="00D756D6" w:rsidRPr="00AB52EE">
        <w:rPr>
          <w:rFonts w:cs="Arial"/>
          <w:szCs w:val="24"/>
          <w:lang w:eastAsia="en-ZA"/>
        </w:rPr>
        <w:t xml:space="preserve">always </w:t>
      </w:r>
      <w:r w:rsidR="0059151B" w:rsidRPr="00AB52EE">
        <w:rPr>
          <w:rFonts w:cs="Arial"/>
          <w:szCs w:val="24"/>
          <w:lang w:eastAsia="en-ZA"/>
        </w:rPr>
        <w:t>be so</w:t>
      </w:r>
      <w:r w:rsidR="00BD1D47" w:rsidRPr="00AB52EE">
        <w:rPr>
          <w:rFonts w:cs="Arial"/>
          <w:szCs w:val="24"/>
          <w:lang w:eastAsia="en-ZA"/>
        </w:rPr>
        <w:t>.</w:t>
      </w:r>
      <w:r w:rsidR="008E5AE7" w:rsidRPr="00AB52EE">
        <w:rPr>
          <w:rFonts w:cs="Arial"/>
          <w:szCs w:val="24"/>
          <w:lang w:eastAsia="en-ZA"/>
        </w:rPr>
        <w:t xml:space="preserve"> </w:t>
      </w:r>
      <w:r w:rsidR="003D2710" w:rsidRPr="00AB52EE">
        <w:rPr>
          <w:rFonts w:cs="Arial"/>
          <w:szCs w:val="24"/>
          <w:lang w:eastAsia="en-ZA"/>
        </w:rPr>
        <w:t xml:space="preserve">The full bench in </w:t>
      </w:r>
      <w:r w:rsidR="0013131C" w:rsidRPr="00AB52EE">
        <w:rPr>
          <w:rFonts w:cs="Arial"/>
          <w:i/>
          <w:iCs/>
          <w:szCs w:val="24"/>
          <w:lang w:eastAsia="en-ZA"/>
        </w:rPr>
        <w:t>Mazetti</w:t>
      </w:r>
      <w:r w:rsidR="003D2710" w:rsidRPr="00AB52EE">
        <w:rPr>
          <w:rFonts w:cs="Arial"/>
          <w:i/>
          <w:iCs/>
          <w:szCs w:val="24"/>
          <w:lang w:eastAsia="en-ZA"/>
        </w:rPr>
        <w:t xml:space="preserve"> </w:t>
      </w:r>
      <w:r w:rsidR="003D2710" w:rsidRPr="00AB52EE">
        <w:rPr>
          <w:rFonts w:cs="Arial"/>
          <w:szCs w:val="24"/>
          <w:lang w:eastAsia="en-ZA"/>
        </w:rPr>
        <w:t xml:space="preserve">held </w:t>
      </w:r>
      <w:r w:rsidR="00BD1D47" w:rsidRPr="00AB52EE">
        <w:rPr>
          <w:rFonts w:cs="Arial"/>
          <w:szCs w:val="24"/>
          <w:lang w:eastAsia="en-ZA"/>
        </w:rPr>
        <w:t xml:space="preserve">that </w:t>
      </w:r>
      <w:r w:rsidR="00D756D6" w:rsidRPr="00AB52EE">
        <w:rPr>
          <w:rFonts w:cs="Arial"/>
          <w:szCs w:val="24"/>
          <w:lang w:eastAsia="en-ZA"/>
        </w:rPr>
        <w:t xml:space="preserve">a </w:t>
      </w:r>
      <w:r w:rsidR="00BD1D47" w:rsidRPr="00AB52EE">
        <w:rPr>
          <w:rFonts w:cs="Arial"/>
          <w:szCs w:val="24"/>
          <w:lang w:eastAsia="en-ZA"/>
        </w:rPr>
        <w:t xml:space="preserve">court undertaking a reconsideration is required to consider any additional factual allegations that have been put up by </w:t>
      </w:r>
      <w:r w:rsidR="00BD1D47" w:rsidRPr="00AB52EE">
        <w:rPr>
          <w:rFonts w:cs="Arial"/>
          <w:szCs w:val="24"/>
          <w:lang w:eastAsia="en-ZA"/>
        </w:rPr>
        <w:lastRenderedPageBreak/>
        <w:t xml:space="preserve">the </w:t>
      </w:r>
      <w:r w:rsidR="00752526" w:rsidRPr="00AB52EE">
        <w:rPr>
          <w:rFonts w:cs="Arial"/>
          <w:szCs w:val="24"/>
          <w:lang w:eastAsia="en-ZA"/>
        </w:rPr>
        <w:t xml:space="preserve">respondent in the </w:t>
      </w:r>
      <w:r w:rsidR="00BD1D47" w:rsidRPr="00AB52EE">
        <w:rPr>
          <w:rFonts w:cs="Arial"/>
          <w:szCs w:val="24"/>
          <w:lang w:eastAsia="en-ZA"/>
        </w:rPr>
        <w:t>reconsideration</w:t>
      </w:r>
      <w:r w:rsidR="00D756D6" w:rsidRPr="00AB52EE">
        <w:rPr>
          <w:rFonts w:cs="Arial"/>
          <w:szCs w:val="24"/>
          <w:lang w:eastAsia="en-ZA"/>
        </w:rPr>
        <w:t xml:space="preserve">, as well as the material put up </w:t>
      </w:r>
      <w:r w:rsidR="007B5C7E" w:rsidRPr="00AB52EE">
        <w:rPr>
          <w:rFonts w:cs="Arial"/>
          <w:szCs w:val="24"/>
          <w:lang w:eastAsia="en-ZA"/>
        </w:rPr>
        <w:t xml:space="preserve">by the applicant </w:t>
      </w:r>
      <w:r w:rsidR="00D756D6" w:rsidRPr="00AB52EE">
        <w:rPr>
          <w:rFonts w:cs="Arial"/>
          <w:szCs w:val="24"/>
          <w:lang w:eastAsia="en-ZA"/>
        </w:rPr>
        <w:t xml:space="preserve">in </w:t>
      </w:r>
      <w:r w:rsidR="00BD1D47" w:rsidRPr="00AB52EE">
        <w:rPr>
          <w:rFonts w:cs="Arial"/>
          <w:szCs w:val="24"/>
          <w:lang w:eastAsia="en-ZA"/>
        </w:rPr>
        <w:t>reply</w:t>
      </w:r>
      <w:r w:rsidR="0013131C" w:rsidRPr="00AB52EE">
        <w:rPr>
          <w:rFonts w:cs="Arial"/>
          <w:szCs w:val="24"/>
          <w:lang w:eastAsia="en-ZA"/>
        </w:rPr>
        <w:t xml:space="preserve"> thereto</w:t>
      </w:r>
      <w:r w:rsidR="00BD1D47" w:rsidRPr="00AB52EE">
        <w:rPr>
          <w:rFonts w:cs="Arial"/>
          <w:szCs w:val="24"/>
          <w:lang w:eastAsia="en-ZA"/>
        </w:rPr>
        <w:t>.</w:t>
      </w:r>
      <w:r w:rsidR="003D2710" w:rsidRPr="00AB52EE">
        <w:rPr>
          <w:rStyle w:val="FootnoteReference"/>
          <w:szCs w:val="24"/>
          <w:lang w:eastAsia="en-ZA"/>
        </w:rPr>
        <w:footnoteReference w:id="47"/>
      </w:r>
      <w:r w:rsidR="00BD1D47" w:rsidRPr="00AB52EE">
        <w:rPr>
          <w:rFonts w:cs="Arial"/>
          <w:szCs w:val="24"/>
          <w:lang w:eastAsia="en-ZA"/>
        </w:rPr>
        <w:t xml:space="preserve"> As the current matter demonstrates, this may well throw up factual disputes, and some mechanism is </w:t>
      </w:r>
      <w:r w:rsidR="00EA4D01" w:rsidRPr="00AB52EE">
        <w:rPr>
          <w:rFonts w:cs="Arial"/>
          <w:szCs w:val="24"/>
          <w:lang w:eastAsia="en-ZA"/>
        </w:rPr>
        <w:t xml:space="preserve">thus </w:t>
      </w:r>
      <w:r w:rsidR="00BD1D47" w:rsidRPr="00AB52EE">
        <w:rPr>
          <w:rFonts w:cs="Arial"/>
          <w:szCs w:val="24"/>
          <w:lang w:eastAsia="en-ZA"/>
        </w:rPr>
        <w:t xml:space="preserve">necessary to guide the </w:t>
      </w:r>
      <w:r w:rsidR="00A01AA1" w:rsidRPr="00AB52EE">
        <w:rPr>
          <w:rFonts w:cs="Arial"/>
          <w:szCs w:val="24"/>
          <w:lang w:eastAsia="en-ZA"/>
        </w:rPr>
        <w:t>C</w:t>
      </w:r>
      <w:r w:rsidR="00BD1D47" w:rsidRPr="00AB52EE">
        <w:rPr>
          <w:rFonts w:cs="Arial"/>
          <w:szCs w:val="24"/>
          <w:lang w:eastAsia="en-ZA"/>
        </w:rPr>
        <w:t xml:space="preserve">ourt in </w:t>
      </w:r>
      <w:r w:rsidR="0059151B" w:rsidRPr="00AB52EE">
        <w:rPr>
          <w:rFonts w:cs="Arial"/>
          <w:szCs w:val="24"/>
          <w:lang w:eastAsia="en-ZA"/>
        </w:rPr>
        <w:t xml:space="preserve">resolving </w:t>
      </w:r>
      <w:r w:rsidR="00EA4D01" w:rsidRPr="00AB52EE">
        <w:rPr>
          <w:rFonts w:cs="Arial"/>
          <w:szCs w:val="24"/>
          <w:lang w:eastAsia="en-ZA"/>
        </w:rPr>
        <w:t xml:space="preserve">them </w:t>
      </w:r>
      <w:r w:rsidR="00BD1D47" w:rsidRPr="00AB52EE">
        <w:rPr>
          <w:rFonts w:cs="Arial"/>
          <w:szCs w:val="24"/>
          <w:lang w:eastAsia="en-ZA"/>
        </w:rPr>
        <w:t>for the purposes of applying the relevant law to the facts</w:t>
      </w:r>
      <w:r w:rsidR="0059151B" w:rsidRPr="00AB52EE">
        <w:rPr>
          <w:rFonts w:cs="Arial"/>
          <w:szCs w:val="24"/>
          <w:lang w:eastAsia="en-ZA"/>
        </w:rPr>
        <w:t xml:space="preserve">. </w:t>
      </w:r>
      <w:r w:rsidR="00D459DA" w:rsidRPr="00AB52EE">
        <w:rPr>
          <w:rFonts w:cs="Arial"/>
          <w:szCs w:val="24"/>
          <w:lang w:eastAsia="en-ZA"/>
        </w:rPr>
        <w:t>T</w:t>
      </w:r>
      <w:r w:rsidR="0059151B" w:rsidRPr="00AB52EE">
        <w:rPr>
          <w:rFonts w:cs="Arial"/>
          <w:szCs w:val="24"/>
          <w:lang w:eastAsia="en-ZA"/>
        </w:rPr>
        <w:t>he question of what that mechanism should be</w:t>
      </w:r>
      <w:r w:rsidR="00EA4D01" w:rsidRPr="00AB52EE">
        <w:rPr>
          <w:rFonts w:cs="Arial"/>
          <w:szCs w:val="24"/>
          <w:lang w:eastAsia="en-ZA"/>
        </w:rPr>
        <w:t xml:space="preserve">, and in particular whether the well-known </w:t>
      </w:r>
      <w:r w:rsidR="00EA4D01" w:rsidRPr="00AB52EE">
        <w:rPr>
          <w:rFonts w:cs="Arial"/>
          <w:i/>
          <w:iCs/>
          <w:szCs w:val="24"/>
          <w:lang w:eastAsia="en-ZA"/>
        </w:rPr>
        <w:t>Plascon Evans</w:t>
      </w:r>
      <w:r w:rsidR="00EA4D01" w:rsidRPr="00AB52EE">
        <w:rPr>
          <w:rFonts w:cs="Arial"/>
          <w:szCs w:val="24"/>
          <w:lang w:eastAsia="en-ZA"/>
        </w:rPr>
        <w:t xml:space="preserve"> rule</w:t>
      </w:r>
      <w:r w:rsidR="00EA4D01" w:rsidRPr="00AB52EE">
        <w:rPr>
          <w:rStyle w:val="FootnoteReference"/>
          <w:szCs w:val="24"/>
          <w:lang w:eastAsia="en-ZA"/>
        </w:rPr>
        <w:footnoteReference w:id="48"/>
      </w:r>
      <w:r w:rsidR="00EA4D01" w:rsidRPr="00AB52EE">
        <w:rPr>
          <w:rFonts w:cs="Arial"/>
          <w:szCs w:val="24"/>
          <w:lang w:eastAsia="en-ZA"/>
        </w:rPr>
        <w:t xml:space="preserve"> should apply,</w:t>
      </w:r>
      <w:r w:rsidR="0059151B" w:rsidRPr="00AB52EE">
        <w:rPr>
          <w:rFonts w:cs="Arial"/>
          <w:szCs w:val="24"/>
          <w:lang w:eastAsia="en-ZA"/>
        </w:rPr>
        <w:t xml:space="preserve"> is a question of law that must be answered with reference to the </w:t>
      </w:r>
      <w:r w:rsidR="00DE0893" w:rsidRPr="00AB52EE">
        <w:rPr>
          <w:rFonts w:cs="Arial"/>
          <w:szCs w:val="24"/>
          <w:lang w:eastAsia="en-ZA"/>
        </w:rPr>
        <w:t xml:space="preserve">burden of proof that the applicant </w:t>
      </w:r>
      <w:r w:rsidR="0059151B" w:rsidRPr="00AB52EE">
        <w:rPr>
          <w:rFonts w:cs="Arial"/>
          <w:szCs w:val="24"/>
          <w:lang w:eastAsia="en-ZA"/>
        </w:rPr>
        <w:t>bear</w:t>
      </w:r>
      <w:r w:rsidR="00DE0893" w:rsidRPr="00AB52EE">
        <w:rPr>
          <w:rFonts w:cs="Arial"/>
          <w:szCs w:val="24"/>
          <w:lang w:eastAsia="en-ZA"/>
        </w:rPr>
        <w:t>s in discharging its overall onus</w:t>
      </w:r>
      <w:r w:rsidR="00273C6E">
        <w:rPr>
          <w:rFonts w:cs="Arial"/>
          <w:szCs w:val="24"/>
          <w:lang w:eastAsia="en-ZA"/>
        </w:rPr>
        <w:t xml:space="preserve"> that continues to subsist upon reconsideration</w:t>
      </w:r>
      <w:r w:rsidR="0059151B" w:rsidRPr="00AB52EE">
        <w:rPr>
          <w:rFonts w:cs="Arial"/>
          <w:szCs w:val="24"/>
          <w:lang w:eastAsia="en-ZA"/>
        </w:rPr>
        <w:t>.</w:t>
      </w:r>
    </w:p>
    <w:p w14:paraId="4508DD72" w14:textId="059C0ABE" w:rsidR="00A53ED1" w:rsidRPr="00AB52EE" w:rsidRDefault="00DE0893" w:rsidP="007A27ED">
      <w:pPr>
        <w:pStyle w:val="LC1"/>
        <w:rPr>
          <w:rFonts w:cs="Arial"/>
          <w:szCs w:val="24"/>
          <w:lang w:eastAsia="en-ZA"/>
        </w:rPr>
      </w:pPr>
      <w:r w:rsidRPr="00AB52EE">
        <w:rPr>
          <w:rFonts w:cs="Arial"/>
          <w:szCs w:val="24"/>
        </w:rPr>
        <w:t xml:space="preserve">It has been held in a number of cases that </w:t>
      </w:r>
      <w:r w:rsidR="00694EAF" w:rsidRPr="00AB52EE">
        <w:rPr>
          <w:rFonts w:cs="Arial"/>
          <w:szCs w:val="24"/>
          <w:lang w:eastAsia="en-ZA"/>
        </w:rPr>
        <w:t xml:space="preserve">upon reconsideration, the applicant must </w:t>
      </w:r>
      <w:r w:rsidR="003D2710" w:rsidRPr="00AB52EE">
        <w:rPr>
          <w:rFonts w:cs="Arial"/>
          <w:szCs w:val="24"/>
          <w:lang w:eastAsia="en-ZA"/>
        </w:rPr>
        <w:t xml:space="preserve">establish </w:t>
      </w:r>
      <w:r w:rsidR="00694EAF" w:rsidRPr="00AB52EE">
        <w:rPr>
          <w:rFonts w:cs="Arial"/>
          <w:szCs w:val="24"/>
          <w:lang w:eastAsia="en-ZA"/>
        </w:rPr>
        <w:t>all three</w:t>
      </w:r>
      <w:r w:rsidR="008B3F14" w:rsidRPr="00AB52EE">
        <w:rPr>
          <w:rFonts w:cs="Arial"/>
          <w:szCs w:val="24"/>
          <w:lang w:eastAsia="en-ZA"/>
        </w:rPr>
        <w:t xml:space="preserve"> of the </w:t>
      </w:r>
      <w:r w:rsidR="003D2710" w:rsidRPr="00AB52EE">
        <w:rPr>
          <w:rFonts w:cs="Arial"/>
          <w:szCs w:val="24"/>
          <w:lang w:eastAsia="en-ZA"/>
        </w:rPr>
        <w:t xml:space="preserve">threshold </w:t>
      </w:r>
      <w:r w:rsidR="008B3F14" w:rsidRPr="00AB52EE">
        <w:rPr>
          <w:rFonts w:cs="Arial"/>
          <w:szCs w:val="24"/>
          <w:lang w:eastAsia="en-ZA"/>
        </w:rPr>
        <w:t xml:space="preserve">requirements laid down in </w:t>
      </w:r>
      <w:r w:rsidR="008B3F14" w:rsidRPr="00AB52EE">
        <w:rPr>
          <w:rFonts w:cs="Arial"/>
          <w:i/>
          <w:iCs/>
          <w:szCs w:val="24"/>
          <w:lang w:eastAsia="en-ZA"/>
        </w:rPr>
        <w:t xml:space="preserve">Shoba </w:t>
      </w:r>
      <w:r w:rsidR="008B3F14" w:rsidRPr="00AB52EE">
        <w:rPr>
          <w:rFonts w:cs="Arial"/>
          <w:szCs w:val="24"/>
          <w:lang w:eastAsia="en-ZA"/>
        </w:rPr>
        <w:t xml:space="preserve">on a preponderance of probabilities in the light of </w:t>
      </w:r>
      <w:r w:rsidRPr="00AB52EE">
        <w:rPr>
          <w:rFonts w:cs="Arial"/>
          <w:szCs w:val="24"/>
          <w:lang w:eastAsia="en-ZA"/>
        </w:rPr>
        <w:t xml:space="preserve">the content of </w:t>
      </w:r>
      <w:r w:rsidR="008B3F14" w:rsidRPr="00AB52EE">
        <w:rPr>
          <w:rFonts w:cs="Arial"/>
          <w:szCs w:val="24"/>
          <w:lang w:eastAsia="en-ZA"/>
        </w:rPr>
        <w:t>all the affidavits</w:t>
      </w:r>
      <w:r w:rsidRPr="00AB52EE">
        <w:rPr>
          <w:rFonts w:cs="Arial"/>
          <w:szCs w:val="24"/>
          <w:lang w:eastAsia="en-ZA"/>
        </w:rPr>
        <w:t xml:space="preserve"> that have been filed</w:t>
      </w:r>
      <w:r w:rsidR="008B3F14" w:rsidRPr="00AB52EE">
        <w:rPr>
          <w:rFonts w:cs="Arial"/>
          <w:szCs w:val="24"/>
          <w:lang w:eastAsia="en-ZA"/>
        </w:rPr>
        <w:t>, but that the Court retains a discretion to allow the hearing of oral evidence if no such preponderance of probabilities appears from the papers</w:t>
      </w:r>
      <w:r w:rsidR="004C461E" w:rsidRPr="00AB52EE">
        <w:rPr>
          <w:rFonts w:cs="Arial"/>
          <w:szCs w:val="24"/>
          <w:lang w:eastAsia="en-ZA"/>
        </w:rPr>
        <w:t>.</w:t>
      </w:r>
      <w:r w:rsidR="0030292F" w:rsidRPr="00AB52EE">
        <w:rPr>
          <w:rFonts w:cs="Arial"/>
          <w:szCs w:val="24"/>
          <w:lang w:eastAsia="en-ZA"/>
        </w:rPr>
        <w:t xml:space="preserve"> </w:t>
      </w:r>
      <w:r w:rsidR="00976793" w:rsidRPr="00AB52EE">
        <w:rPr>
          <w:rFonts w:cs="Arial"/>
          <w:szCs w:val="24"/>
          <w:lang w:eastAsia="en-ZA"/>
        </w:rPr>
        <w:t xml:space="preserve">In my view this is not the correct approach. </w:t>
      </w:r>
      <w:r w:rsidR="005B20F0" w:rsidRPr="00AB52EE">
        <w:rPr>
          <w:rFonts w:cs="Arial"/>
          <w:szCs w:val="24"/>
          <w:lang w:eastAsia="en-ZA"/>
        </w:rPr>
        <w:t xml:space="preserve">I can do no better here than to quote the words of Froneman J while still a puisne judge in </w:t>
      </w:r>
      <w:r w:rsidR="005B20F0" w:rsidRPr="00AB52EE">
        <w:rPr>
          <w:rFonts w:cs="Arial"/>
          <w:i/>
          <w:iCs/>
          <w:szCs w:val="24"/>
          <w:lang w:eastAsia="en-ZA"/>
        </w:rPr>
        <w:t>The Reclamation Group</w:t>
      </w:r>
      <w:r w:rsidR="005B20F0" w:rsidRPr="00AB52EE">
        <w:rPr>
          <w:rFonts w:cs="Arial"/>
          <w:szCs w:val="24"/>
          <w:lang w:eastAsia="en-ZA"/>
        </w:rPr>
        <w:t>, with which I fully align myself:</w:t>
      </w:r>
    </w:p>
    <w:p w14:paraId="2009BC4C" w14:textId="046D8D02" w:rsidR="005B20F0" w:rsidRPr="00AB52EE" w:rsidRDefault="00B07535" w:rsidP="007A27ED">
      <w:pPr>
        <w:pStyle w:val="HeadsQuote"/>
        <w:rPr>
          <w:i/>
          <w:iCs/>
          <w:lang w:eastAsia="en-ZA"/>
        </w:rPr>
      </w:pPr>
      <w:r w:rsidRPr="00AB52EE">
        <w:t>“</w:t>
      </w:r>
      <w:r w:rsidR="005B20F0" w:rsidRPr="00AB52EE">
        <w:t xml:space="preserve">Such a general and undifferentiated approach would not, in my judgment, be appropriate. The 'evidential criteria' to be applied at this stage of reconsideration would depend, to a large extent, on what purpose the three requirements served at the </w:t>
      </w:r>
      <w:r w:rsidR="005B20F0" w:rsidRPr="00AB52EE">
        <w:rPr>
          <w:i/>
          <w:iCs/>
        </w:rPr>
        <w:t>ex parte</w:t>
      </w:r>
      <w:r w:rsidR="005B20F0" w:rsidRPr="00AB52EE">
        <w:t xml:space="preserve"> stage; what the purpose of the relief sought at that stage was; what purpose these requirements may still serve at the reconsideration stage; and what relief </w:t>
      </w:r>
      <w:r w:rsidR="005B20F0" w:rsidRPr="00AB52EE">
        <w:lastRenderedPageBreak/>
        <w:t>is sought by the applicant at present. In addition, if (such as in this case) the original order is attacked on the basis that it was obtained in bad faith, considerations of who bears the onus in that regard may well be different from that in respect of the requirements for an Anton Piller order.</w:t>
      </w:r>
      <w:r w:rsidRPr="00AB52EE">
        <w:t>”</w:t>
      </w:r>
      <w:r w:rsidR="005B20F0" w:rsidRPr="00AB52EE">
        <w:rPr>
          <w:rStyle w:val="FootnoteReference"/>
          <w:szCs w:val="24"/>
        </w:rPr>
        <w:footnoteReference w:id="49"/>
      </w:r>
    </w:p>
    <w:p w14:paraId="577C2A09" w14:textId="7D56AD08" w:rsidR="00A53ED1" w:rsidRPr="00AB52EE" w:rsidRDefault="003D2710" w:rsidP="007A27ED">
      <w:pPr>
        <w:pStyle w:val="LC1"/>
        <w:rPr>
          <w:rFonts w:cs="Arial"/>
          <w:szCs w:val="24"/>
          <w:lang w:eastAsia="en-ZA"/>
        </w:rPr>
      </w:pPr>
      <w:r w:rsidRPr="00AB52EE">
        <w:rPr>
          <w:rFonts w:cs="Arial"/>
          <w:szCs w:val="24"/>
          <w:lang w:eastAsia="en-ZA"/>
        </w:rPr>
        <w:t xml:space="preserve">Counsel for both Supercart and the respondents agree that the applicant need only establish the first threshold requirement on a </w:t>
      </w:r>
      <w:r w:rsidRPr="00AB52EE">
        <w:rPr>
          <w:rFonts w:cs="Arial"/>
          <w:i/>
          <w:iCs/>
          <w:szCs w:val="24"/>
          <w:lang w:eastAsia="en-ZA"/>
        </w:rPr>
        <w:t>prima facie</w:t>
      </w:r>
      <w:r w:rsidRPr="00AB52EE">
        <w:rPr>
          <w:rFonts w:cs="Arial"/>
          <w:szCs w:val="24"/>
          <w:lang w:eastAsia="en-ZA"/>
        </w:rPr>
        <w:t xml:space="preserve"> basis.</w:t>
      </w:r>
      <w:r w:rsidR="00A53ED1" w:rsidRPr="00AB52EE">
        <w:rPr>
          <w:rFonts w:cs="Arial"/>
          <w:szCs w:val="24"/>
          <w:lang w:eastAsia="en-ZA"/>
        </w:rPr>
        <w:t xml:space="preserve"> </w:t>
      </w:r>
      <w:r w:rsidRPr="00AB52EE">
        <w:rPr>
          <w:rFonts w:cs="Arial"/>
          <w:szCs w:val="24"/>
          <w:lang w:eastAsia="en-ZA"/>
        </w:rPr>
        <w:t xml:space="preserve">But that is where the consensus ends. </w:t>
      </w:r>
      <w:r w:rsidRPr="00AB52EE">
        <w:rPr>
          <w:rFonts w:cs="Arial"/>
          <w:szCs w:val="24"/>
        </w:rPr>
        <w:t>T</w:t>
      </w:r>
      <w:r w:rsidR="00A01AA1" w:rsidRPr="00AB52EE">
        <w:rPr>
          <w:rFonts w:cs="Arial"/>
          <w:szCs w:val="24"/>
        </w:rPr>
        <w:t xml:space="preserve">he respondents’ counsel </w:t>
      </w:r>
      <w:r w:rsidR="00387C50">
        <w:rPr>
          <w:rFonts w:cs="Arial"/>
          <w:szCs w:val="24"/>
          <w:lang w:eastAsia="en-ZA"/>
        </w:rPr>
        <w:t xml:space="preserve">refers to </w:t>
      </w:r>
      <w:r w:rsidR="00A53ED1" w:rsidRPr="00AB52EE">
        <w:rPr>
          <w:rFonts w:cs="Arial"/>
          <w:i/>
          <w:iCs/>
          <w:szCs w:val="24"/>
          <w:lang w:eastAsia="en-ZA"/>
        </w:rPr>
        <w:t>Friedshelf</w:t>
      </w:r>
      <w:r w:rsidR="00A53ED1" w:rsidRPr="00AB52EE">
        <w:rPr>
          <w:rFonts w:cs="Arial"/>
          <w:szCs w:val="24"/>
          <w:lang w:eastAsia="en-ZA"/>
        </w:rPr>
        <w:t xml:space="preserve"> for the proposition that upon reconsideration, the applicant is required to establish </w:t>
      </w:r>
      <w:r w:rsidRPr="00AB52EE">
        <w:rPr>
          <w:rFonts w:cs="Arial"/>
          <w:szCs w:val="24"/>
          <w:lang w:eastAsia="en-ZA"/>
        </w:rPr>
        <w:t xml:space="preserve">the facts it relies upon for </w:t>
      </w:r>
      <w:r w:rsidR="00A53ED1" w:rsidRPr="00AB52EE">
        <w:rPr>
          <w:rFonts w:cs="Arial"/>
          <w:szCs w:val="24"/>
          <w:lang w:eastAsia="en-ZA"/>
        </w:rPr>
        <w:t xml:space="preserve">both the second and third </w:t>
      </w:r>
      <w:r w:rsidR="00AE3177" w:rsidRPr="00AB52EE">
        <w:rPr>
          <w:rFonts w:cs="Arial"/>
          <w:szCs w:val="24"/>
          <w:lang w:eastAsia="en-ZA"/>
        </w:rPr>
        <w:t xml:space="preserve">threshold </w:t>
      </w:r>
      <w:r w:rsidR="00A53ED1" w:rsidRPr="00AB52EE">
        <w:rPr>
          <w:rFonts w:cs="Arial"/>
          <w:szCs w:val="24"/>
          <w:lang w:eastAsia="en-ZA"/>
        </w:rPr>
        <w:t xml:space="preserve">requirements of an Anton Piller order on a </w:t>
      </w:r>
      <w:r w:rsidR="00D1798F" w:rsidRPr="00AB52EE">
        <w:rPr>
          <w:rFonts w:cs="Arial"/>
          <w:szCs w:val="24"/>
          <w:lang w:eastAsia="en-ZA"/>
        </w:rPr>
        <w:t xml:space="preserve">preponderance </w:t>
      </w:r>
      <w:r w:rsidR="00A53ED1" w:rsidRPr="00AB52EE">
        <w:rPr>
          <w:rFonts w:cs="Arial"/>
          <w:szCs w:val="24"/>
          <w:lang w:eastAsia="en-ZA"/>
        </w:rPr>
        <w:t>of probabilities</w:t>
      </w:r>
      <w:r w:rsidRPr="00AB52EE">
        <w:rPr>
          <w:rFonts w:cs="Arial"/>
          <w:szCs w:val="24"/>
          <w:lang w:eastAsia="en-ZA"/>
        </w:rPr>
        <w:t>.</w:t>
      </w:r>
      <w:r w:rsidR="00A53ED1" w:rsidRPr="00AB52EE">
        <w:rPr>
          <w:rStyle w:val="FootnoteReference"/>
          <w:szCs w:val="24"/>
          <w:lang w:eastAsia="en-ZA"/>
        </w:rPr>
        <w:footnoteReference w:id="50"/>
      </w:r>
      <w:r w:rsidR="00A53ED1" w:rsidRPr="00AB52EE">
        <w:rPr>
          <w:rFonts w:cs="Arial"/>
          <w:szCs w:val="24"/>
          <w:lang w:eastAsia="en-ZA"/>
        </w:rPr>
        <w:t xml:space="preserve"> </w:t>
      </w:r>
      <w:r w:rsidRPr="00AB52EE">
        <w:rPr>
          <w:rFonts w:cs="Arial"/>
          <w:szCs w:val="24"/>
          <w:lang w:eastAsia="en-ZA"/>
        </w:rPr>
        <w:t xml:space="preserve">On the other hand, </w:t>
      </w:r>
      <w:r w:rsidR="00A53ED1" w:rsidRPr="00AB52EE">
        <w:rPr>
          <w:rFonts w:cs="Arial"/>
          <w:szCs w:val="24"/>
          <w:lang w:eastAsia="en-ZA"/>
        </w:rPr>
        <w:t>Supercart</w:t>
      </w:r>
      <w:r w:rsidRPr="00AB52EE">
        <w:rPr>
          <w:rFonts w:cs="Arial"/>
          <w:szCs w:val="24"/>
          <w:lang w:eastAsia="en-ZA"/>
        </w:rPr>
        <w:t>’s counsel</w:t>
      </w:r>
      <w:r w:rsidR="00A53ED1" w:rsidRPr="00AB52EE">
        <w:rPr>
          <w:rFonts w:cs="Arial"/>
          <w:szCs w:val="24"/>
          <w:lang w:eastAsia="en-ZA"/>
        </w:rPr>
        <w:t xml:space="preserve"> referred </w:t>
      </w:r>
      <w:r w:rsidR="000F0B6A" w:rsidRPr="00AB52EE">
        <w:rPr>
          <w:rFonts w:cs="Arial"/>
          <w:szCs w:val="24"/>
          <w:lang w:eastAsia="en-ZA"/>
        </w:rPr>
        <w:t xml:space="preserve">me </w:t>
      </w:r>
      <w:r w:rsidR="00A53ED1" w:rsidRPr="00AB52EE">
        <w:rPr>
          <w:rFonts w:cs="Arial"/>
          <w:szCs w:val="24"/>
          <w:lang w:eastAsia="en-ZA"/>
        </w:rPr>
        <w:t xml:space="preserve">to </w:t>
      </w:r>
      <w:r w:rsidR="00EA4D01" w:rsidRPr="00AB52EE">
        <w:rPr>
          <w:rFonts w:cs="Arial"/>
          <w:szCs w:val="24"/>
          <w:lang w:eastAsia="en-ZA"/>
        </w:rPr>
        <w:t xml:space="preserve">various paragraphs of the SCA’s judgment in </w:t>
      </w:r>
      <w:r w:rsidR="00A53ED1" w:rsidRPr="00AB52EE">
        <w:rPr>
          <w:rFonts w:cs="Arial"/>
          <w:i/>
          <w:iCs/>
          <w:szCs w:val="24"/>
          <w:lang w:eastAsia="en-ZA"/>
        </w:rPr>
        <w:t>Non-Detonating Solutions</w:t>
      </w:r>
      <w:r w:rsidR="00A53ED1" w:rsidRPr="00AB52EE">
        <w:rPr>
          <w:rStyle w:val="FootnoteReference"/>
          <w:szCs w:val="24"/>
          <w:lang w:eastAsia="en-ZA"/>
        </w:rPr>
        <w:footnoteReference w:id="51"/>
      </w:r>
      <w:r w:rsidR="00A53ED1" w:rsidRPr="00AB52EE">
        <w:rPr>
          <w:rFonts w:cs="Arial"/>
          <w:szCs w:val="24"/>
          <w:lang w:eastAsia="en-ZA"/>
        </w:rPr>
        <w:t xml:space="preserve"> in support of </w:t>
      </w:r>
      <w:r w:rsidRPr="00AB52EE">
        <w:rPr>
          <w:rFonts w:cs="Arial"/>
          <w:szCs w:val="24"/>
          <w:lang w:eastAsia="en-ZA"/>
        </w:rPr>
        <w:t xml:space="preserve">their submission </w:t>
      </w:r>
      <w:r w:rsidR="00A53ED1" w:rsidRPr="00AB52EE">
        <w:rPr>
          <w:rFonts w:cs="Arial"/>
          <w:szCs w:val="24"/>
          <w:lang w:eastAsia="en-ZA"/>
        </w:rPr>
        <w:t xml:space="preserve">that </w:t>
      </w:r>
      <w:r w:rsidRPr="00AB52EE">
        <w:rPr>
          <w:rFonts w:cs="Arial"/>
          <w:szCs w:val="24"/>
          <w:lang w:eastAsia="en-ZA"/>
        </w:rPr>
        <w:t xml:space="preserve">upon reconsideration the applicant need only establish the </w:t>
      </w:r>
      <w:r w:rsidR="00A53ED1" w:rsidRPr="00AB52EE">
        <w:rPr>
          <w:rFonts w:cs="Arial"/>
          <w:szCs w:val="24"/>
          <w:lang w:eastAsia="en-ZA"/>
        </w:rPr>
        <w:t xml:space="preserve">second </w:t>
      </w:r>
      <w:r w:rsidR="00AE3177" w:rsidRPr="00AB52EE">
        <w:rPr>
          <w:rFonts w:cs="Arial"/>
          <w:szCs w:val="24"/>
          <w:lang w:eastAsia="en-ZA"/>
        </w:rPr>
        <w:t xml:space="preserve">threshold </w:t>
      </w:r>
      <w:r w:rsidR="00A53ED1" w:rsidRPr="00AB52EE">
        <w:rPr>
          <w:rFonts w:cs="Arial"/>
          <w:szCs w:val="24"/>
          <w:lang w:eastAsia="en-ZA"/>
        </w:rPr>
        <w:t xml:space="preserve">requirement on a </w:t>
      </w:r>
      <w:r w:rsidR="00A53ED1" w:rsidRPr="00AB52EE">
        <w:rPr>
          <w:rFonts w:cs="Arial"/>
          <w:i/>
          <w:iCs/>
          <w:szCs w:val="24"/>
          <w:lang w:eastAsia="en-ZA"/>
        </w:rPr>
        <w:t>prima facie</w:t>
      </w:r>
      <w:r w:rsidR="00A53ED1" w:rsidRPr="00AB52EE">
        <w:rPr>
          <w:rFonts w:cs="Arial"/>
          <w:szCs w:val="24"/>
          <w:lang w:eastAsia="en-ZA"/>
        </w:rPr>
        <w:t xml:space="preserve"> basis</w:t>
      </w:r>
      <w:r w:rsidRPr="00AB52EE">
        <w:rPr>
          <w:rFonts w:cs="Arial"/>
          <w:szCs w:val="24"/>
          <w:lang w:eastAsia="en-ZA"/>
        </w:rPr>
        <w:t xml:space="preserve">, and that in reconsidering </w:t>
      </w:r>
      <w:r w:rsidR="00640954" w:rsidRPr="00AB52EE">
        <w:rPr>
          <w:rFonts w:cs="Arial"/>
          <w:szCs w:val="24"/>
          <w:lang w:eastAsia="en-ZA"/>
        </w:rPr>
        <w:t xml:space="preserve">the </w:t>
      </w:r>
      <w:r w:rsidR="00A53ED1" w:rsidRPr="00AB52EE">
        <w:rPr>
          <w:rFonts w:cs="Arial"/>
          <w:szCs w:val="24"/>
          <w:lang w:eastAsia="en-ZA"/>
        </w:rPr>
        <w:t xml:space="preserve">third </w:t>
      </w:r>
      <w:r w:rsidR="00AE3177" w:rsidRPr="00AB52EE">
        <w:rPr>
          <w:rFonts w:cs="Arial"/>
          <w:szCs w:val="24"/>
          <w:lang w:eastAsia="en-ZA"/>
        </w:rPr>
        <w:t xml:space="preserve">threshold </w:t>
      </w:r>
      <w:r w:rsidR="00A53ED1" w:rsidRPr="00AB52EE">
        <w:rPr>
          <w:rFonts w:cs="Arial"/>
          <w:szCs w:val="24"/>
          <w:lang w:eastAsia="en-ZA"/>
        </w:rPr>
        <w:t>requirement</w:t>
      </w:r>
      <w:r w:rsidRPr="00AB52EE">
        <w:rPr>
          <w:rFonts w:cs="Arial"/>
          <w:szCs w:val="24"/>
          <w:lang w:eastAsia="en-ZA"/>
        </w:rPr>
        <w:t xml:space="preserve">, the court </w:t>
      </w:r>
      <w:r w:rsidR="00640954" w:rsidRPr="00AB52EE">
        <w:rPr>
          <w:rFonts w:cs="Arial"/>
          <w:szCs w:val="24"/>
          <w:lang w:eastAsia="en-ZA"/>
        </w:rPr>
        <w:t xml:space="preserve">should ask </w:t>
      </w:r>
      <w:r w:rsidRPr="00AB52EE">
        <w:rPr>
          <w:rFonts w:cs="Arial"/>
          <w:szCs w:val="24"/>
          <w:lang w:eastAsia="en-ZA"/>
        </w:rPr>
        <w:t xml:space="preserve">itself </w:t>
      </w:r>
      <w:r w:rsidR="00640954" w:rsidRPr="00AB52EE">
        <w:rPr>
          <w:rFonts w:cs="Arial"/>
          <w:szCs w:val="24"/>
          <w:lang w:eastAsia="en-ZA"/>
        </w:rPr>
        <w:t xml:space="preserve">the </w:t>
      </w:r>
      <w:r w:rsidR="00AE3177" w:rsidRPr="00AB52EE">
        <w:rPr>
          <w:rFonts w:cs="Arial"/>
          <w:szCs w:val="24"/>
          <w:lang w:eastAsia="en-ZA"/>
        </w:rPr>
        <w:t xml:space="preserve">following </w:t>
      </w:r>
      <w:r w:rsidR="00640954" w:rsidRPr="00AB52EE">
        <w:rPr>
          <w:rFonts w:cs="Arial"/>
          <w:szCs w:val="24"/>
          <w:lang w:eastAsia="en-ZA"/>
        </w:rPr>
        <w:t xml:space="preserve">question </w:t>
      </w:r>
      <w:r w:rsidR="00A53ED1" w:rsidRPr="00AB52EE">
        <w:rPr>
          <w:rFonts w:cs="Arial"/>
          <w:szCs w:val="24"/>
          <w:lang w:eastAsia="en-ZA"/>
        </w:rPr>
        <w:t>“</w:t>
      </w:r>
      <w:r w:rsidRPr="00AB52EE">
        <w:rPr>
          <w:rFonts w:cs="Arial"/>
          <w:szCs w:val="24"/>
          <w:lang w:eastAsia="en-ZA"/>
        </w:rPr>
        <w:t>[a]s</w:t>
      </w:r>
      <w:r w:rsidR="00A53ED1" w:rsidRPr="00AB52EE">
        <w:rPr>
          <w:rFonts w:cs="Arial"/>
          <w:szCs w:val="24"/>
          <w:lang w:eastAsia="en-ZA"/>
        </w:rPr>
        <w:t>sess</w:t>
      </w:r>
      <w:r w:rsidR="00640954" w:rsidRPr="00AB52EE">
        <w:rPr>
          <w:rFonts w:cs="Arial"/>
          <w:szCs w:val="24"/>
          <w:lang w:eastAsia="en-ZA"/>
        </w:rPr>
        <w:t xml:space="preserve">ed on the basis of all the affidavits before </w:t>
      </w:r>
      <w:r w:rsidRPr="00AB52EE">
        <w:rPr>
          <w:rFonts w:cs="Arial"/>
          <w:szCs w:val="24"/>
          <w:lang w:eastAsia="en-ZA"/>
        </w:rPr>
        <w:t xml:space="preserve">the Court … </w:t>
      </w:r>
      <w:r w:rsidR="00640954" w:rsidRPr="00AB52EE">
        <w:rPr>
          <w:rFonts w:cs="Arial"/>
          <w:szCs w:val="24"/>
          <w:lang w:eastAsia="en-ZA"/>
        </w:rPr>
        <w:t xml:space="preserve">had there </w:t>
      </w:r>
      <w:r w:rsidR="00640954" w:rsidRPr="00AB52EE">
        <w:rPr>
          <w:rFonts w:cs="Arial"/>
          <w:szCs w:val="24"/>
        </w:rPr>
        <w:t>been a reasonable apprehension on the applicant’s behalf that the respondent might not discharge its duty to make full discovery?”</w:t>
      </w:r>
      <w:r w:rsidRPr="00AB52EE">
        <w:rPr>
          <w:rFonts w:cs="Arial"/>
          <w:szCs w:val="24"/>
        </w:rPr>
        <w:t>.</w:t>
      </w:r>
    </w:p>
    <w:p w14:paraId="586801F4" w14:textId="09DE3A19" w:rsidR="00A53ED1" w:rsidRPr="00AB52EE" w:rsidRDefault="00B07535" w:rsidP="00D85020">
      <w:pPr>
        <w:pStyle w:val="LC1"/>
        <w:keepNext/>
        <w:numPr>
          <w:ilvl w:val="0"/>
          <w:numId w:val="0"/>
        </w:numPr>
        <w:rPr>
          <w:rFonts w:cs="Arial"/>
          <w:szCs w:val="24"/>
          <w:u w:val="single"/>
          <w:lang w:eastAsia="en-ZA"/>
        </w:rPr>
      </w:pPr>
      <w:r w:rsidRPr="00AB52EE">
        <w:rPr>
          <w:rFonts w:cs="Arial"/>
          <w:szCs w:val="24"/>
          <w:u w:val="single"/>
          <w:lang w:eastAsia="en-ZA"/>
        </w:rPr>
        <w:t>Onus and standard of proof of t</w:t>
      </w:r>
      <w:r w:rsidR="00A53ED1" w:rsidRPr="00AB52EE">
        <w:rPr>
          <w:rFonts w:cs="Arial"/>
          <w:szCs w:val="24"/>
          <w:u w:val="single"/>
          <w:lang w:eastAsia="en-ZA"/>
        </w:rPr>
        <w:t>he first</w:t>
      </w:r>
      <w:r w:rsidR="008E0BAF" w:rsidRPr="00AB52EE">
        <w:rPr>
          <w:rFonts w:cs="Arial"/>
          <w:szCs w:val="24"/>
          <w:u w:val="single"/>
          <w:lang w:eastAsia="en-ZA"/>
        </w:rPr>
        <w:t xml:space="preserve"> threshold</w:t>
      </w:r>
      <w:r w:rsidR="00A53ED1" w:rsidRPr="00AB52EE">
        <w:rPr>
          <w:rFonts w:cs="Arial"/>
          <w:szCs w:val="24"/>
          <w:u w:val="single"/>
          <w:lang w:eastAsia="en-ZA"/>
        </w:rPr>
        <w:t xml:space="preserve"> requirement</w:t>
      </w:r>
      <w:r w:rsidRPr="00AB52EE">
        <w:rPr>
          <w:rFonts w:cs="Arial"/>
          <w:szCs w:val="24"/>
          <w:u w:val="single"/>
          <w:lang w:eastAsia="en-ZA"/>
        </w:rPr>
        <w:t xml:space="preserve"> upon reconsideration</w:t>
      </w:r>
    </w:p>
    <w:p w14:paraId="7D4442B0" w14:textId="0138F8A2" w:rsidR="003B3AC7" w:rsidRPr="00AB52EE" w:rsidRDefault="000F0B6A" w:rsidP="007A27ED">
      <w:pPr>
        <w:pStyle w:val="LC1"/>
        <w:rPr>
          <w:rFonts w:cs="Arial"/>
          <w:szCs w:val="24"/>
          <w:lang w:eastAsia="en-ZA"/>
        </w:rPr>
      </w:pPr>
      <w:r w:rsidRPr="00AB52EE">
        <w:rPr>
          <w:rFonts w:cs="Arial"/>
          <w:szCs w:val="24"/>
          <w:lang w:eastAsia="en-ZA"/>
        </w:rPr>
        <w:t xml:space="preserve">As </w:t>
      </w:r>
      <w:r w:rsidR="003D2710" w:rsidRPr="00AB52EE">
        <w:rPr>
          <w:rFonts w:cs="Arial"/>
          <w:szCs w:val="24"/>
          <w:lang w:eastAsia="en-ZA"/>
        </w:rPr>
        <w:t>indicated</w:t>
      </w:r>
      <w:r w:rsidRPr="00AB52EE">
        <w:rPr>
          <w:rFonts w:cs="Arial"/>
          <w:szCs w:val="24"/>
          <w:lang w:eastAsia="en-ZA"/>
        </w:rPr>
        <w:t>, b</w:t>
      </w:r>
      <w:r w:rsidR="00ED79FF" w:rsidRPr="00AB52EE">
        <w:rPr>
          <w:rFonts w:cs="Arial"/>
          <w:szCs w:val="24"/>
          <w:lang w:eastAsia="en-ZA"/>
        </w:rPr>
        <w:t xml:space="preserve">oth parties </w:t>
      </w:r>
      <w:r w:rsidRPr="00AB52EE">
        <w:rPr>
          <w:rFonts w:cs="Arial"/>
          <w:szCs w:val="24"/>
          <w:lang w:eastAsia="en-ZA"/>
        </w:rPr>
        <w:t xml:space="preserve">before me </w:t>
      </w:r>
      <w:r w:rsidR="00ED79FF" w:rsidRPr="00AB52EE">
        <w:rPr>
          <w:rFonts w:cs="Arial"/>
          <w:szCs w:val="24"/>
          <w:lang w:eastAsia="en-ZA"/>
        </w:rPr>
        <w:t xml:space="preserve">agree </w:t>
      </w:r>
      <w:r w:rsidR="008B3F14" w:rsidRPr="00AB52EE">
        <w:rPr>
          <w:rFonts w:cs="Arial"/>
          <w:szCs w:val="24"/>
          <w:lang w:eastAsia="en-ZA"/>
        </w:rPr>
        <w:t>that</w:t>
      </w:r>
      <w:r w:rsidRPr="00AB52EE">
        <w:rPr>
          <w:rFonts w:cs="Arial"/>
          <w:szCs w:val="24"/>
          <w:lang w:eastAsia="en-ZA"/>
        </w:rPr>
        <w:t>,</w:t>
      </w:r>
      <w:r w:rsidR="008B3F14" w:rsidRPr="00AB52EE">
        <w:rPr>
          <w:rFonts w:cs="Arial"/>
          <w:szCs w:val="24"/>
          <w:lang w:eastAsia="en-ZA"/>
        </w:rPr>
        <w:t xml:space="preserve"> </w:t>
      </w:r>
      <w:r w:rsidR="006C4B61" w:rsidRPr="00AB52EE">
        <w:rPr>
          <w:rFonts w:cs="Arial"/>
          <w:szCs w:val="24"/>
          <w:lang w:eastAsia="en-ZA"/>
        </w:rPr>
        <w:t xml:space="preserve">despite </w:t>
      </w:r>
      <w:r w:rsidR="006C4B61" w:rsidRPr="00AB52EE">
        <w:rPr>
          <w:rFonts w:cs="Arial"/>
          <w:i/>
          <w:iCs/>
          <w:szCs w:val="24"/>
          <w:lang w:eastAsia="en-ZA"/>
        </w:rPr>
        <w:t>dicta</w:t>
      </w:r>
      <w:r w:rsidR="006C4B61" w:rsidRPr="00AB52EE">
        <w:rPr>
          <w:rFonts w:cs="Arial"/>
          <w:szCs w:val="24"/>
          <w:lang w:eastAsia="en-ZA"/>
        </w:rPr>
        <w:t xml:space="preserve"> suggesting the </w:t>
      </w:r>
      <w:r w:rsidR="006C4B61" w:rsidRPr="00AB52EE">
        <w:rPr>
          <w:rFonts w:cs="Arial"/>
          <w:szCs w:val="24"/>
          <w:lang w:eastAsia="en-ZA"/>
        </w:rPr>
        <w:lastRenderedPageBreak/>
        <w:t>contrary,</w:t>
      </w:r>
      <w:r w:rsidR="006C4B61" w:rsidRPr="00AB52EE">
        <w:rPr>
          <w:rStyle w:val="FootnoteReference"/>
          <w:szCs w:val="24"/>
          <w:lang w:eastAsia="en-ZA"/>
        </w:rPr>
        <w:footnoteReference w:id="52"/>
      </w:r>
      <w:r w:rsidR="006C4B61" w:rsidRPr="00AB52EE">
        <w:rPr>
          <w:rFonts w:cs="Arial"/>
          <w:szCs w:val="24"/>
          <w:lang w:eastAsia="en-ZA"/>
        </w:rPr>
        <w:t xml:space="preserve"> and even upon reconsideration, the </w:t>
      </w:r>
      <w:r w:rsidR="008B3F14" w:rsidRPr="00AB52EE">
        <w:rPr>
          <w:rFonts w:cs="Arial"/>
          <w:szCs w:val="24"/>
          <w:lang w:eastAsia="en-ZA"/>
        </w:rPr>
        <w:t xml:space="preserve">first </w:t>
      </w:r>
      <w:r w:rsidR="008E0BAF" w:rsidRPr="00AB52EE">
        <w:rPr>
          <w:rFonts w:cs="Arial"/>
          <w:szCs w:val="24"/>
          <w:lang w:eastAsia="en-ZA"/>
        </w:rPr>
        <w:t xml:space="preserve">threshold </w:t>
      </w:r>
      <w:r w:rsidR="008B3F14" w:rsidRPr="00AB52EE">
        <w:rPr>
          <w:rFonts w:cs="Arial"/>
          <w:szCs w:val="24"/>
          <w:lang w:eastAsia="en-ZA"/>
        </w:rPr>
        <w:t>requirement</w:t>
      </w:r>
      <w:r w:rsidR="006C4B61" w:rsidRPr="00AB52EE">
        <w:rPr>
          <w:rFonts w:cs="Arial"/>
          <w:szCs w:val="24"/>
          <w:lang w:eastAsia="en-ZA"/>
        </w:rPr>
        <w:t xml:space="preserve"> </w:t>
      </w:r>
      <w:r w:rsidR="004C461E" w:rsidRPr="00AB52EE">
        <w:rPr>
          <w:rFonts w:cs="Arial"/>
          <w:szCs w:val="24"/>
          <w:lang w:eastAsia="en-ZA"/>
        </w:rPr>
        <w:t>need</w:t>
      </w:r>
      <w:r w:rsidR="005A68F4" w:rsidRPr="00AB52EE">
        <w:rPr>
          <w:rFonts w:cs="Arial"/>
          <w:szCs w:val="24"/>
          <w:lang w:eastAsia="en-ZA"/>
        </w:rPr>
        <w:t>s</w:t>
      </w:r>
      <w:r w:rsidR="004C461E" w:rsidRPr="00AB52EE">
        <w:rPr>
          <w:rFonts w:cs="Arial"/>
          <w:szCs w:val="24"/>
          <w:lang w:eastAsia="en-ZA"/>
        </w:rPr>
        <w:t xml:space="preserve"> only </w:t>
      </w:r>
      <w:r w:rsidR="005A68F4" w:rsidRPr="00AB52EE">
        <w:rPr>
          <w:rFonts w:cs="Arial"/>
          <w:szCs w:val="24"/>
          <w:lang w:eastAsia="en-ZA"/>
        </w:rPr>
        <w:t xml:space="preserve">to </w:t>
      </w:r>
      <w:r w:rsidR="004C461E" w:rsidRPr="00AB52EE">
        <w:rPr>
          <w:rFonts w:cs="Arial"/>
          <w:szCs w:val="24"/>
          <w:lang w:eastAsia="en-ZA"/>
        </w:rPr>
        <w:t xml:space="preserve">be established on a </w:t>
      </w:r>
      <w:r w:rsidR="004C461E" w:rsidRPr="00AB52EE">
        <w:rPr>
          <w:rFonts w:cs="Arial"/>
          <w:i/>
          <w:iCs/>
          <w:szCs w:val="24"/>
          <w:lang w:eastAsia="en-ZA"/>
        </w:rPr>
        <w:t>prima facie</w:t>
      </w:r>
      <w:r w:rsidR="004C461E" w:rsidRPr="00AB52EE">
        <w:rPr>
          <w:rFonts w:cs="Arial"/>
          <w:szCs w:val="24"/>
          <w:lang w:eastAsia="en-ZA"/>
        </w:rPr>
        <w:t xml:space="preserve"> basis. This was the approach taken </w:t>
      </w:r>
      <w:r w:rsidR="00ED79FF" w:rsidRPr="00AB52EE">
        <w:rPr>
          <w:rFonts w:cs="Arial"/>
          <w:szCs w:val="24"/>
          <w:lang w:eastAsia="en-ZA"/>
        </w:rPr>
        <w:t xml:space="preserve">by the Supreme Court of Appeal </w:t>
      </w:r>
      <w:r w:rsidR="004C461E" w:rsidRPr="00AB52EE">
        <w:rPr>
          <w:rFonts w:cs="Arial"/>
          <w:szCs w:val="24"/>
          <w:lang w:eastAsia="en-ZA"/>
        </w:rPr>
        <w:t xml:space="preserve">in </w:t>
      </w:r>
      <w:r w:rsidR="00ED79FF" w:rsidRPr="00AB52EE">
        <w:rPr>
          <w:rFonts w:cs="Arial"/>
          <w:i/>
          <w:iCs/>
          <w:szCs w:val="24"/>
          <w:lang w:eastAsia="en-ZA"/>
        </w:rPr>
        <w:t>Viziya</w:t>
      </w:r>
      <w:r w:rsidR="004C461E" w:rsidRPr="00AB52EE">
        <w:rPr>
          <w:rStyle w:val="FootnoteReference"/>
          <w:szCs w:val="24"/>
          <w:lang w:eastAsia="en-ZA"/>
        </w:rPr>
        <w:footnoteReference w:id="53"/>
      </w:r>
      <w:r w:rsidR="00962A74" w:rsidRPr="00AB52EE">
        <w:rPr>
          <w:rFonts w:cs="Arial"/>
          <w:szCs w:val="24"/>
          <w:lang w:eastAsia="en-ZA"/>
        </w:rPr>
        <w:t xml:space="preserve"> (which </w:t>
      </w:r>
      <w:r w:rsidR="00D459DA" w:rsidRPr="00AB52EE">
        <w:rPr>
          <w:rFonts w:cs="Arial"/>
          <w:szCs w:val="24"/>
          <w:lang w:eastAsia="en-ZA"/>
        </w:rPr>
        <w:t xml:space="preserve">was </w:t>
      </w:r>
      <w:r w:rsidR="00962A74" w:rsidRPr="00AB52EE">
        <w:rPr>
          <w:rFonts w:cs="Arial"/>
          <w:szCs w:val="24"/>
          <w:lang w:eastAsia="en-ZA"/>
        </w:rPr>
        <w:t xml:space="preserve">partially an ordinary Anton Piller application and partly a Cerebos-type one) and </w:t>
      </w:r>
      <w:r w:rsidR="000E16BB" w:rsidRPr="00AB52EE">
        <w:rPr>
          <w:rFonts w:cs="Arial"/>
          <w:szCs w:val="24"/>
          <w:lang w:eastAsia="en-ZA"/>
        </w:rPr>
        <w:t xml:space="preserve">its adoption is </w:t>
      </w:r>
      <w:r w:rsidR="00962A74" w:rsidRPr="00AB52EE">
        <w:rPr>
          <w:rFonts w:cs="Arial"/>
          <w:szCs w:val="24"/>
          <w:lang w:eastAsia="en-ZA"/>
        </w:rPr>
        <w:t xml:space="preserve">persuasively supported </w:t>
      </w:r>
      <w:r w:rsidR="000E16BB" w:rsidRPr="00AB52EE">
        <w:rPr>
          <w:rFonts w:cs="Arial"/>
          <w:szCs w:val="24"/>
          <w:lang w:eastAsia="en-ZA"/>
        </w:rPr>
        <w:t xml:space="preserve">in ordinary Anton Piller applications </w:t>
      </w:r>
      <w:r w:rsidR="00962A74" w:rsidRPr="00AB52EE">
        <w:rPr>
          <w:rFonts w:cs="Arial"/>
          <w:szCs w:val="24"/>
          <w:lang w:eastAsia="en-ZA"/>
        </w:rPr>
        <w:t xml:space="preserve">by the judgment of Froneman J in </w:t>
      </w:r>
      <w:r w:rsidR="00962A74" w:rsidRPr="00AB52EE">
        <w:rPr>
          <w:rFonts w:cs="Arial"/>
          <w:i/>
          <w:iCs/>
          <w:szCs w:val="24"/>
          <w:lang w:eastAsia="en-ZA"/>
        </w:rPr>
        <w:t>The Reclamation Group</w:t>
      </w:r>
      <w:r w:rsidR="003B3AC7" w:rsidRPr="00AB52EE">
        <w:rPr>
          <w:rFonts w:cs="Arial"/>
          <w:i/>
          <w:iCs/>
          <w:szCs w:val="24"/>
          <w:lang w:eastAsia="en-ZA"/>
        </w:rPr>
        <w:t xml:space="preserve"> </w:t>
      </w:r>
      <w:r w:rsidR="003B3AC7" w:rsidRPr="00AB52EE">
        <w:rPr>
          <w:rFonts w:cs="Arial"/>
          <w:szCs w:val="24"/>
          <w:lang w:eastAsia="en-ZA"/>
        </w:rPr>
        <w:t>on the basis that the determination is interim in nature as it relates to an issue which would have to be adjudicated upon in the forum hearing the main proceedings, and that “there is no need to prejudice that finding further at this stage”.</w:t>
      </w:r>
      <w:r w:rsidR="00962A74" w:rsidRPr="00AB52EE">
        <w:rPr>
          <w:rStyle w:val="FootnoteReference"/>
          <w:szCs w:val="24"/>
          <w:lang w:eastAsia="en-ZA"/>
        </w:rPr>
        <w:footnoteReference w:id="54"/>
      </w:r>
      <w:r w:rsidR="00962A74" w:rsidRPr="00AB52EE">
        <w:rPr>
          <w:rFonts w:cs="Arial"/>
          <w:szCs w:val="24"/>
          <w:lang w:eastAsia="en-ZA"/>
        </w:rPr>
        <w:t xml:space="preserve"> </w:t>
      </w:r>
    </w:p>
    <w:p w14:paraId="2F25A567" w14:textId="3F35794F" w:rsidR="003B3AC7" w:rsidRPr="00AB52EE" w:rsidRDefault="003B3AC7" w:rsidP="007A27ED">
      <w:pPr>
        <w:pStyle w:val="LC1"/>
        <w:rPr>
          <w:rFonts w:cs="Arial"/>
          <w:szCs w:val="24"/>
          <w:lang w:eastAsia="en-ZA"/>
        </w:rPr>
      </w:pPr>
      <w:r w:rsidRPr="00AB52EE">
        <w:rPr>
          <w:rFonts w:cs="Arial"/>
          <w:szCs w:val="24"/>
          <w:lang w:eastAsia="en-ZA"/>
        </w:rPr>
        <w:t xml:space="preserve">Although </w:t>
      </w:r>
      <w:r w:rsidR="00A01AA1" w:rsidRPr="00AB52EE">
        <w:rPr>
          <w:rFonts w:cs="Arial"/>
          <w:szCs w:val="24"/>
        </w:rPr>
        <w:t xml:space="preserve">the respondents </w:t>
      </w:r>
      <w:r w:rsidR="00DE7F1D" w:rsidRPr="00AB52EE">
        <w:rPr>
          <w:rFonts w:cs="Arial"/>
          <w:szCs w:val="24"/>
          <w:lang w:eastAsia="en-ZA"/>
        </w:rPr>
        <w:t xml:space="preserve">do </w:t>
      </w:r>
      <w:r w:rsidR="000F0B6A" w:rsidRPr="00AB52EE">
        <w:rPr>
          <w:rFonts w:cs="Arial"/>
          <w:szCs w:val="24"/>
          <w:lang w:eastAsia="en-ZA"/>
        </w:rPr>
        <w:t xml:space="preserve">not dispute that Supercart has established the first </w:t>
      </w:r>
      <w:r w:rsidR="008E0BAF" w:rsidRPr="00AB52EE">
        <w:rPr>
          <w:rFonts w:cs="Arial"/>
          <w:szCs w:val="24"/>
          <w:lang w:eastAsia="en-ZA"/>
        </w:rPr>
        <w:t xml:space="preserve">threshold </w:t>
      </w:r>
      <w:r w:rsidR="000F0B6A" w:rsidRPr="00AB52EE">
        <w:rPr>
          <w:rFonts w:cs="Arial"/>
          <w:szCs w:val="24"/>
          <w:lang w:eastAsia="en-ZA"/>
        </w:rPr>
        <w:t>requirement to the required standard</w:t>
      </w:r>
      <w:r w:rsidRPr="00AB52EE">
        <w:rPr>
          <w:rFonts w:cs="Arial"/>
          <w:szCs w:val="24"/>
          <w:lang w:eastAsia="en-ZA"/>
        </w:rPr>
        <w:t>,</w:t>
      </w:r>
      <w:r w:rsidR="000F0B6A" w:rsidRPr="00AB52EE">
        <w:rPr>
          <w:rStyle w:val="FootnoteReference"/>
          <w:szCs w:val="24"/>
          <w:lang w:eastAsia="en-ZA"/>
        </w:rPr>
        <w:footnoteReference w:id="55"/>
      </w:r>
      <w:r w:rsidRPr="00AB52EE">
        <w:rPr>
          <w:rFonts w:cs="Arial"/>
          <w:szCs w:val="24"/>
          <w:lang w:eastAsia="en-ZA"/>
        </w:rPr>
        <w:t xml:space="preserve"> it is nevertheless appropriate, given the central importance of </w:t>
      </w:r>
      <w:r w:rsidR="00C32BC2" w:rsidRPr="00AB52EE">
        <w:rPr>
          <w:rFonts w:cs="Arial"/>
          <w:szCs w:val="24"/>
          <w:lang w:eastAsia="en-ZA"/>
        </w:rPr>
        <w:t xml:space="preserve">the second sentence of paragraph 14 and </w:t>
      </w:r>
      <w:r w:rsidRPr="00AB52EE">
        <w:rPr>
          <w:rFonts w:cs="Arial"/>
          <w:szCs w:val="24"/>
          <w:lang w:eastAsia="en-ZA"/>
        </w:rPr>
        <w:t xml:space="preserve">paragraph </w:t>
      </w:r>
      <w:r w:rsidR="00D21ED8" w:rsidRPr="00AB52EE">
        <w:rPr>
          <w:rFonts w:cs="Arial"/>
          <w:szCs w:val="24"/>
        </w:rPr>
        <w:t>15</w:t>
      </w:r>
      <w:r w:rsidR="00D21ED8" w:rsidRPr="00AB52EE">
        <w:rPr>
          <w:rFonts w:cs="Arial"/>
          <w:i/>
          <w:iCs/>
          <w:szCs w:val="24"/>
        </w:rPr>
        <w:t>bis</w:t>
      </w:r>
      <w:r w:rsidRPr="00AB52EE">
        <w:rPr>
          <w:rFonts w:cs="Arial"/>
          <w:szCs w:val="24"/>
          <w:lang w:eastAsia="en-ZA"/>
        </w:rPr>
        <w:t xml:space="preserve"> </w:t>
      </w:r>
      <w:r w:rsidR="00276583" w:rsidRPr="00AB52EE">
        <w:rPr>
          <w:rFonts w:cs="Arial"/>
          <w:szCs w:val="24"/>
          <w:lang w:eastAsia="en-ZA"/>
        </w:rPr>
        <w:t xml:space="preserve">of the Anton Piller order granted in this case </w:t>
      </w:r>
      <w:r w:rsidRPr="00AB52EE">
        <w:rPr>
          <w:rFonts w:cs="Arial"/>
          <w:szCs w:val="24"/>
          <w:lang w:eastAsia="en-ZA"/>
        </w:rPr>
        <w:t xml:space="preserve">(and </w:t>
      </w:r>
      <w:r w:rsidR="00B32CEE" w:rsidRPr="00AB52EE">
        <w:rPr>
          <w:rFonts w:cs="Arial"/>
          <w:szCs w:val="24"/>
          <w:lang w:eastAsia="en-ZA"/>
        </w:rPr>
        <w:t xml:space="preserve">because </w:t>
      </w:r>
      <w:r w:rsidRPr="00AB52EE">
        <w:rPr>
          <w:rFonts w:cs="Arial"/>
          <w:szCs w:val="24"/>
          <w:lang w:eastAsia="en-ZA"/>
        </w:rPr>
        <w:t xml:space="preserve">a similar order had been granted in </w:t>
      </w:r>
      <w:r w:rsidRPr="00AB52EE">
        <w:rPr>
          <w:rFonts w:cs="Arial"/>
          <w:i/>
          <w:iCs/>
          <w:szCs w:val="24"/>
          <w:lang w:eastAsia="en-ZA"/>
        </w:rPr>
        <w:t>The Reclamation Group</w:t>
      </w:r>
      <w:r w:rsidRPr="00AB52EE">
        <w:rPr>
          <w:rFonts w:cs="Arial"/>
          <w:szCs w:val="24"/>
          <w:lang w:eastAsia="en-ZA"/>
        </w:rPr>
        <w:t xml:space="preserve">), to </w:t>
      </w:r>
      <w:r w:rsidR="00387C50">
        <w:rPr>
          <w:rFonts w:cs="Arial"/>
          <w:szCs w:val="24"/>
          <w:lang w:eastAsia="en-ZA"/>
        </w:rPr>
        <w:t xml:space="preserve">record </w:t>
      </w:r>
      <w:r w:rsidRPr="00AB52EE">
        <w:rPr>
          <w:rFonts w:cs="Arial"/>
          <w:szCs w:val="24"/>
          <w:lang w:eastAsia="en-ZA"/>
        </w:rPr>
        <w:t xml:space="preserve">my view that the standard of </w:t>
      </w:r>
      <w:r w:rsidRPr="00AB52EE">
        <w:rPr>
          <w:rFonts w:cs="Arial"/>
          <w:i/>
          <w:iCs/>
          <w:szCs w:val="24"/>
          <w:lang w:eastAsia="en-ZA"/>
        </w:rPr>
        <w:t>prima facie</w:t>
      </w:r>
      <w:r w:rsidRPr="00AB52EE">
        <w:rPr>
          <w:rFonts w:cs="Arial"/>
          <w:szCs w:val="24"/>
          <w:lang w:eastAsia="en-ZA"/>
        </w:rPr>
        <w:t xml:space="preserve"> proof </w:t>
      </w:r>
      <w:r w:rsidR="00DE269B" w:rsidRPr="00AB52EE">
        <w:rPr>
          <w:rFonts w:cs="Arial"/>
          <w:szCs w:val="24"/>
          <w:lang w:eastAsia="en-ZA"/>
        </w:rPr>
        <w:t xml:space="preserve">upon reconsideration </w:t>
      </w:r>
      <w:r w:rsidRPr="00AB52EE">
        <w:rPr>
          <w:rFonts w:cs="Arial"/>
          <w:szCs w:val="24"/>
          <w:lang w:eastAsia="en-ZA"/>
        </w:rPr>
        <w:t xml:space="preserve">can surely only apply </w:t>
      </w:r>
      <w:r w:rsidR="00DE269B" w:rsidRPr="00AB52EE">
        <w:rPr>
          <w:rFonts w:cs="Arial"/>
          <w:szCs w:val="24"/>
          <w:lang w:eastAsia="en-ZA"/>
        </w:rPr>
        <w:t xml:space="preserve">to any of the thee requirements </w:t>
      </w:r>
      <w:r w:rsidRPr="00AB52EE">
        <w:rPr>
          <w:rFonts w:cs="Arial"/>
          <w:szCs w:val="24"/>
          <w:lang w:eastAsia="en-ZA"/>
        </w:rPr>
        <w:t xml:space="preserve">insofar as the order in question is solely directed at the preservation of evidence, and does not allow inspection </w:t>
      </w:r>
      <w:r w:rsidRPr="00AB52EE">
        <w:rPr>
          <w:rFonts w:cs="Arial"/>
          <w:szCs w:val="24"/>
          <w:lang w:eastAsia="en-ZA"/>
        </w:rPr>
        <w:lastRenderedPageBreak/>
        <w:t xml:space="preserve">and copying of </w:t>
      </w:r>
      <w:r w:rsidR="006271A3" w:rsidRPr="00AB52EE">
        <w:rPr>
          <w:rFonts w:cs="Arial"/>
          <w:szCs w:val="24"/>
          <w:lang w:eastAsia="en-ZA"/>
        </w:rPr>
        <w:t xml:space="preserve">items </w:t>
      </w:r>
      <w:r w:rsidRPr="00AB52EE">
        <w:rPr>
          <w:rFonts w:cs="Arial"/>
          <w:szCs w:val="24"/>
          <w:lang w:eastAsia="en-ZA"/>
        </w:rPr>
        <w:t xml:space="preserve">in the respondent’s possession that it is not otherwise prepared willingly to disclose. This is because an order allowing inspection and copying of such </w:t>
      </w:r>
      <w:r w:rsidR="006271A3" w:rsidRPr="00AB52EE">
        <w:rPr>
          <w:rFonts w:cs="Arial"/>
          <w:szCs w:val="24"/>
          <w:lang w:eastAsia="en-ZA"/>
        </w:rPr>
        <w:t xml:space="preserve">items </w:t>
      </w:r>
      <w:r w:rsidRPr="00AB52EE">
        <w:rPr>
          <w:rFonts w:cs="Arial"/>
          <w:szCs w:val="24"/>
          <w:lang w:eastAsia="en-ZA"/>
        </w:rPr>
        <w:t>cannot be considered to be interim in nature.</w:t>
      </w:r>
      <w:r w:rsidRPr="00AB52EE">
        <w:rPr>
          <w:rStyle w:val="FootnoteReference"/>
          <w:szCs w:val="24"/>
          <w:lang w:eastAsia="en-ZA"/>
        </w:rPr>
        <w:t xml:space="preserve"> </w:t>
      </w:r>
      <w:r w:rsidRPr="00AB52EE">
        <w:rPr>
          <w:rFonts w:cs="Arial"/>
          <w:szCs w:val="24"/>
          <w:lang w:eastAsia="en-ZA"/>
        </w:rPr>
        <w:t>While it may have been sought on</w:t>
      </w:r>
      <w:r w:rsidR="00276583" w:rsidRPr="00AB52EE">
        <w:rPr>
          <w:rFonts w:cs="Arial"/>
          <w:szCs w:val="24"/>
          <w:lang w:eastAsia="en-ZA"/>
        </w:rPr>
        <w:t xml:space="preserve"> an</w:t>
      </w:r>
      <w:r w:rsidRPr="00AB52EE">
        <w:rPr>
          <w:rFonts w:cs="Arial"/>
          <w:szCs w:val="24"/>
          <w:lang w:eastAsia="en-ZA"/>
        </w:rPr>
        <w:t xml:space="preserve"> interlocutory basis</w:t>
      </w:r>
      <w:r w:rsidR="00276583" w:rsidRPr="00AB52EE">
        <w:rPr>
          <w:rFonts w:cs="Arial"/>
          <w:szCs w:val="24"/>
          <w:lang w:eastAsia="en-ZA"/>
        </w:rPr>
        <w:t>;</w:t>
      </w:r>
      <w:r w:rsidRPr="00AB52EE">
        <w:rPr>
          <w:rFonts w:cs="Arial"/>
          <w:szCs w:val="24"/>
          <w:lang w:eastAsia="en-ZA"/>
        </w:rPr>
        <w:t xml:space="preserve"> have been couched in ostensibly interim terms</w:t>
      </w:r>
      <w:r w:rsidR="00276583" w:rsidRPr="00AB52EE">
        <w:rPr>
          <w:rFonts w:cs="Arial"/>
          <w:szCs w:val="24"/>
          <w:lang w:eastAsia="en-ZA"/>
        </w:rPr>
        <w:t>;</w:t>
      </w:r>
      <w:r w:rsidRPr="00AB52EE">
        <w:rPr>
          <w:rFonts w:cs="Arial"/>
          <w:szCs w:val="24"/>
          <w:lang w:eastAsia="en-ZA"/>
        </w:rPr>
        <w:t xml:space="preserve"> and even if it has not been given effect to prior to the reconsideration, its practical consequences whether granted </w:t>
      </w:r>
      <w:r w:rsidRPr="00AB52EE">
        <w:rPr>
          <w:rFonts w:cs="Arial"/>
          <w:i/>
          <w:iCs/>
          <w:szCs w:val="24"/>
          <w:lang w:eastAsia="en-ZA"/>
        </w:rPr>
        <w:t>ex parte</w:t>
      </w:r>
      <w:r w:rsidRPr="00AB52EE">
        <w:rPr>
          <w:rFonts w:cs="Arial"/>
          <w:szCs w:val="24"/>
          <w:lang w:eastAsia="en-ZA"/>
        </w:rPr>
        <w:t xml:space="preserve"> or </w:t>
      </w:r>
      <w:r w:rsidR="00273C6E">
        <w:rPr>
          <w:rFonts w:cs="Arial"/>
          <w:szCs w:val="24"/>
          <w:lang w:eastAsia="en-ZA"/>
        </w:rPr>
        <w:t xml:space="preserve">upheld </w:t>
      </w:r>
      <w:r w:rsidRPr="00AB52EE">
        <w:rPr>
          <w:rFonts w:cs="Arial"/>
          <w:szCs w:val="24"/>
          <w:lang w:eastAsia="en-ZA"/>
        </w:rPr>
        <w:t>upon reconsideration would be final in effect.</w:t>
      </w:r>
      <w:r w:rsidRPr="00AB52EE">
        <w:rPr>
          <w:rStyle w:val="FootnoteReference"/>
          <w:szCs w:val="24"/>
          <w:lang w:eastAsia="en-ZA"/>
        </w:rPr>
        <w:footnoteReference w:id="56"/>
      </w:r>
      <w:r w:rsidRPr="00AB52EE">
        <w:rPr>
          <w:rFonts w:cs="Arial"/>
          <w:szCs w:val="24"/>
          <w:lang w:eastAsia="en-ZA"/>
        </w:rPr>
        <w:t xml:space="preserve"> The “cat would be let out of the bag”, and there would be no putting it back in the event that it were ultimately to be determined that the applicant was not </w:t>
      </w:r>
      <w:r w:rsidR="00B32CEE" w:rsidRPr="00AB52EE">
        <w:rPr>
          <w:rFonts w:cs="Arial"/>
          <w:szCs w:val="24"/>
          <w:lang w:eastAsia="en-ZA"/>
        </w:rPr>
        <w:t xml:space="preserve">legally </w:t>
      </w:r>
      <w:r w:rsidRPr="00AB52EE">
        <w:rPr>
          <w:rFonts w:cs="Arial"/>
          <w:szCs w:val="24"/>
          <w:lang w:eastAsia="en-ZA"/>
        </w:rPr>
        <w:t xml:space="preserve">entitled to </w:t>
      </w:r>
      <w:r w:rsidR="00276583" w:rsidRPr="00AB52EE">
        <w:rPr>
          <w:rFonts w:cs="Arial"/>
          <w:szCs w:val="24"/>
          <w:lang w:eastAsia="en-ZA"/>
        </w:rPr>
        <w:t xml:space="preserve">view </w:t>
      </w:r>
      <w:r w:rsidRPr="00AB52EE">
        <w:rPr>
          <w:rFonts w:cs="Arial"/>
          <w:szCs w:val="24"/>
          <w:lang w:eastAsia="en-ZA"/>
        </w:rPr>
        <w:t>it.</w:t>
      </w:r>
      <w:r w:rsidRPr="00AB52EE">
        <w:rPr>
          <w:rStyle w:val="FootnoteReference"/>
          <w:szCs w:val="24"/>
          <w:lang w:eastAsia="en-ZA"/>
        </w:rPr>
        <w:footnoteReference w:id="57"/>
      </w:r>
      <w:r w:rsidRPr="00AB52EE">
        <w:rPr>
          <w:rFonts w:cs="Arial"/>
          <w:szCs w:val="24"/>
          <w:lang w:eastAsia="en-ZA"/>
        </w:rPr>
        <w:t xml:space="preserve">  </w:t>
      </w:r>
    </w:p>
    <w:p w14:paraId="524735D6" w14:textId="6A571866" w:rsidR="003B3AC7" w:rsidRPr="00AB52EE" w:rsidRDefault="003B3AC7" w:rsidP="007A27ED">
      <w:pPr>
        <w:pStyle w:val="LC1"/>
        <w:rPr>
          <w:rFonts w:cs="Arial"/>
          <w:szCs w:val="24"/>
          <w:lang w:eastAsia="en-ZA"/>
        </w:rPr>
      </w:pPr>
      <w:r w:rsidRPr="00AB52EE">
        <w:rPr>
          <w:rFonts w:cs="Arial"/>
          <w:szCs w:val="24"/>
          <w:lang w:eastAsia="en-ZA"/>
        </w:rPr>
        <w:t>And an even more fundamental problem arises where order</w:t>
      </w:r>
      <w:r w:rsidR="00C32BC2" w:rsidRPr="00AB52EE">
        <w:rPr>
          <w:rFonts w:cs="Arial"/>
          <w:szCs w:val="24"/>
          <w:lang w:eastAsia="en-ZA"/>
        </w:rPr>
        <w:t>s</w:t>
      </w:r>
      <w:r w:rsidRPr="00AB52EE">
        <w:rPr>
          <w:rFonts w:cs="Arial"/>
          <w:szCs w:val="24"/>
          <w:lang w:eastAsia="en-ZA"/>
        </w:rPr>
        <w:t xml:space="preserve"> such as </w:t>
      </w:r>
      <w:r w:rsidR="00C32BC2" w:rsidRPr="00AB52EE">
        <w:rPr>
          <w:rFonts w:cs="Arial"/>
          <w:szCs w:val="24"/>
          <w:lang w:eastAsia="en-ZA"/>
        </w:rPr>
        <w:t xml:space="preserve">the second sentence of </w:t>
      </w:r>
      <w:r w:rsidRPr="00AB52EE">
        <w:rPr>
          <w:rFonts w:cs="Arial"/>
          <w:szCs w:val="24"/>
          <w:lang w:eastAsia="en-ZA"/>
        </w:rPr>
        <w:t xml:space="preserve">paragraph </w:t>
      </w:r>
      <w:r w:rsidR="00C32BC2" w:rsidRPr="00AB52EE">
        <w:rPr>
          <w:rFonts w:cs="Arial"/>
          <w:szCs w:val="24"/>
          <w:lang w:eastAsia="en-ZA"/>
        </w:rPr>
        <w:t xml:space="preserve">14 and </w:t>
      </w:r>
      <w:r w:rsidR="00D21ED8" w:rsidRPr="00AB52EE">
        <w:rPr>
          <w:rFonts w:cs="Arial"/>
          <w:szCs w:val="24"/>
        </w:rPr>
        <w:t>15</w:t>
      </w:r>
      <w:r w:rsidR="00D21ED8" w:rsidRPr="00AB52EE">
        <w:rPr>
          <w:rFonts w:cs="Arial"/>
          <w:i/>
          <w:iCs/>
          <w:szCs w:val="24"/>
        </w:rPr>
        <w:t>bis</w:t>
      </w:r>
      <w:r w:rsidRPr="00AB52EE">
        <w:rPr>
          <w:rFonts w:cs="Arial"/>
          <w:szCs w:val="24"/>
          <w:lang w:eastAsia="en-ZA"/>
        </w:rPr>
        <w:t xml:space="preserve"> </w:t>
      </w:r>
      <w:r w:rsidR="00C32BC2" w:rsidRPr="00AB52EE">
        <w:rPr>
          <w:rFonts w:cs="Arial"/>
          <w:szCs w:val="24"/>
          <w:lang w:eastAsia="en-ZA"/>
        </w:rPr>
        <w:t xml:space="preserve">have not only </w:t>
      </w:r>
      <w:r w:rsidRPr="00AB52EE">
        <w:rPr>
          <w:rFonts w:cs="Arial"/>
          <w:szCs w:val="24"/>
          <w:lang w:eastAsia="en-ZA"/>
        </w:rPr>
        <w:t>been granted in an ordinary Anton Piller application</w:t>
      </w:r>
      <w:r w:rsidR="00C32BC2" w:rsidRPr="00AB52EE">
        <w:rPr>
          <w:rFonts w:cs="Arial"/>
          <w:szCs w:val="24"/>
          <w:lang w:eastAsia="en-ZA"/>
        </w:rPr>
        <w:t xml:space="preserve"> but </w:t>
      </w:r>
      <w:r w:rsidR="00276583" w:rsidRPr="00AB52EE">
        <w:rPr>
          <w:rFonts w:cs="Arial"/>
          <w:szCs w:val="24"/>
          <w:lang w:eastAsia="en-ZA"/>
        </w:rPr>
        <w:t>executed</w:t>
      </w:r>
      <w:r w:rsidR="00520264" w:rsidRPr="00AB52EE">
        <w:rPr>
          <w:rFonts w:cs="Arial"/>
          <w:szCs w:val="24"/>
          <w:lang w:eastAsia="en-ZA"/>
        </w:rPr>
        <w:t xml:space="preserve">. </w:t>
      </w:r>
      <w:r w:rsidRPr="00AB52EE">
        <w:rPr>
          <w:rFonts w:cs="Arial"/>
          <w:szCs w:val="24"/>
          <w:lang w:eastAsia="en-ZA"/>
        </w:rPr>
        <w:t xml:space="preserve">In such cases there can simply be no question of onus on reconsideration because </w:t>
      </w:r>
      <w:r w:rsidR="00C32BC2" w:rsidRPr="00AB52EE">
        <w:rPr>
          <w:rFonts w:cs="Arial"/>
          <w:szCs w:val="24"/>
          <w:lang w:eastAsia="en-ZA"/>
        </w:rPr>
        <w:t xml:space="preserve">those </w:t>
      </w:r>
      <w:r w:rsidRPr="00AB52EE">
        <w:rPr>
          <w:rFonts w:cs="Arial"/>
          <w:szCs w:val="24"/>
          <w:lang w:eastAsia="en-ZA"/>
        </w:rPr>
        <w:t>order</w:t>
      </w:r>
      <w:r w:rsidR="00C32BC2" w:rsidRPr="00AB52EE">
        <w:rPr>
          <w:rFonts w:cs="Arial"/>
          <w:szCs w:val="24"/>
          <w:lang w:eastAsia="en-ZA"/>
        </w:rPr>
        <w:t>s</w:t>
      </w:r>
      <w:r w:rsidRPr="00AB52EE">
        <w:rPr>
          <w:rFonts w:cs="Arial"/>
          <w:szCs w:val="24"/>
          <w:lang w:eastAsia="en-ZA"/>
        </w:rPr>
        <w:t xml:space="preserve"> </w:t>
      </w:r>
      <w:r w:rsidR="00C32BC2" w:rsidRPr="00AB52EE">
        <w:rPr>
          <w:rFonts w:cs="Arial"/>
          <w:szCs w:val="24"/>
          <w:lang w:eastAsia="en-ZA"/>
        </w:rPr>
        <w:t xml:space="preserve">were </w:t>
      </w:r>
      <w:r w:rsidR="00DE269B" w:rsidRPr="00AB52EE">
        <w:rPr>
          <w:rFonts w:cs="Arial"/>
          <w:szCs w:val="24"/>
          <w:lang w:eastAsia="en-ZA"/>
        </w:rPr>
        <w:t xml:space="preserve">“not competent” </w:t>
      </w:r>
      <w:r w:rsidRPr="00AB52EE">
        <w:rPr>
          <w:rFonts w:cs="Arial"/>
          <w:szCs w:val="24"/>
          <w:lang w:eastAsia="en-ZA"/>
        </w:rPr>
        <w:t xml:space="preserve">in the first place, and </w:t>
      </w:r>
      <w:r w:rsidR="00C32BC2" w:rsidRPr="00AB52EE">
        <w:rPr>
          <w:rFonts w:cs="Arial"/>
          <w:szCs w:val="24"/>
          <w:lang w:eastAsia="en-ZA"/>
        </w:rPr>
        <w:t xml:space="preserve">they </w:t>
      </w:r>
      <w:r w:rsidRPr="00AB52EE">
        <w:rPr>
          <w:rFonts w:cs="Arial"/>
          <w:szCs w:val="24"/>
          <w:lang w:eastAsia="en-ZA"/>
        </w:rPr>
        <w:t xml:space="preserve">therefore </w:t>
      </w:r>
      <w:r w:rsidR="00276583" w:rsidRPr="00AB52EE">
        <w:rPr>
          <w:rFonts w:cs="Arial"/>
          <w:szCs w:val="24"/>
          <w:lang w:eastAsia="en-ZA"/>
        </w:rPr>
        <w:t>can</w:t>
      </w:r>
      <w:r w:rsidRPr="00AB52EE">
        <w:rPr>
          <w:rFonts w:cs="Arial"/>
          <w:szCs w:val="24"/>
          <w:lang w:eastAsia="en-ZA"/>
        </w:rPr>
        <w:t xml:space="preserve">not be “confirmed”. </w:t>
      </w:r>
      <w:r w:rsidRPr="00AB52EE">
        <w:rPr>
          <w:rFonts w:cs="Arial"/>
          <w:i/>
          <w:iCs/>
          <w:szCs w:val="24"/>
          <w:lang w:eastAsia="en-ZA"/>
        </w:rPr>
        <w:t>Memory Institute</w:t>
      </w:r>
      <w:r w:rsidRPr="00AB52EE">
        <w:rPr>
          <w:rFonts w:cs="Arial"/>
          <w:szCs w:val="24"/>
          <w:lang w:eastAsia="en-ZA"/>
        </w:rPr>
        <w:t xml:space="preserve"> makes it clear that where such order</w:t>
      </w:r>
      <w:r w:rsidR="00C32BC2" w:rsidRPr="00AB52EE">
        <w:rPr>
          <w:rFonts w:cs="Arial"/>
          <w:szCs w:val="24"/>
          <w:lang w:eastAsia="en-ZA"/>
        </w:rPr>
        <w:t>s</w:t>
      </w:r>
      <w:r w:rsidRPr="00AB52EE">
        <w:rPr>
          <w:rFonts w:cs="Arial"/>
          <w:szCs w:val="24"/>
          <w:lang w:eastAsia="en-ZA"/>
        </w:rPr>
        <w:t xml:space="preserve"> </w:t>
      </w:r>
      <w:r w:rsidR="00C32BC2" w:rsidRPr="00AB52EE">
        <w:rPr>
          <w:rFonts w:cs="Arial"/>
          <w:szCs w:val="24"/>
          <w:lang w:eastAsia="en-ZA"/>
        </w:rPr>
        <w:t xml:space="preserve">are </w:t>
      </w:r>
      <w:r w:rsidRPr="00AB52EE">
        <w:rPr>
          <w:rFonts w:cs="Arial"/>
          <w:szCs w:val="24"/>
          <w:lang w:eastAsia="en-ZA"/>
        </w:rPr>
        <w:t xml:space="preserve">granted in an ordinary Anton Piller application, a court has no choice </w:t>
      </w:r>
      <w:r w:rsidR="00520264" w:rsidRPr="00AB52EE">
        <w:rPr>
          <w:rFonts w:cs="Arial"/>
          <w:szCs w:val="24"/>
          <w:lang w:eastAsia="en-ZA"/>
        </w:rPr>
        <w:t xml:space="preserve">on reconsideration </w:t>
      </w:r>
      <w:r w:rsidRPr="00AB52EE">
        <w:rPr>
          <w:rFonts w:cs="Arial"/>
          <w:szCs w:val="24"/>
          <w:lang w:eastAsia="en-ZA"/>
        </w:rPr>
        <w:t xml:space="preserve">but to </w:t>
      </w:r>
      <w:r w:rsidR="00C32BC2" w:rsidRPr="00AB52EE">
        <w:rPr>
          <w:rFonts w:cs="Arial"/>
          <w:szCs w:val="24"/>
          <w:lang w:eastAsia="en-ZA"/>
        </w:rPr>
        <w:t>strike them out</w:t>
      </w:r>
      <w:r w:rsidRPr="00AB52EE">
        <w:rPr>
          <w:rFonts w:cs="Arial"/>
          <w:szCs w:val="24"/>
          <w:lang w:eastAsia="en-ZA"/>
        </w:rPr>
        <w:t xml:space="preserve">, with the only question being whether any portion of the remaining relief </w:t>
      </w:r>
      <w:r w:rsidRPr="00AB52EE">
        <w:rPr>
          <w:rFonts w:cs="Arial"/>
          <w:szCs w:val="24"/>
          <w:lang w:eastAsia="en-ZA"/>
        </w:rPr>
        <w:lastRenderedPageBreak/>
        <w:t>should be confirmed.</w:t>
      </w:r>
      <w:r w:rsidR="00C32BC2" w:rsidRPr="00AB52EE">
        <w:rPr>
          <w:rFonts w:cs="Arial"/>
          <w:szCs w:val="24"/>
          <w:lang w:eastAsia="en-ZA"/>
        </w:rPr>
        <w:t xml:space="preserve"> I </w:t>
      </w:r>
      <w:r w:rsidR="00520264" w:rsidRPr="00AB52EE">
        <w:rPr>
          <w:rFonts w:cs="Arial"/>
          <w:szCs w:val="24"/>
          <w:lang w:eastAsia="en-ZA"/>
        </w:rPr>
        <w:t xml:space="preserve">deal with </w:t>
      </w:r>
      <w:r w:rsidR="00C32BC2" w:rsidRPr="00AB52EE">
        <w:rPr>
          <w:rFonts w:cs="Arial"/>
          <w:szCs w:val="24"/>
          <w:lang w:eastAsia="en-ZA"/>
        </w:rPr>
        <w:t>that question below.</w:t>
      </w:r>
    </w:p>
    <w:p w14:paraId="29299102" w14:textId="4A032D2E" w:rsidR="00A53ED1" w:rsidRPr="00AB52EE" w:rsidRDefault="00B07535" w:rsidP="00D85020">
      <w:pPr>
        <w:pStyle w:val="LC1"/>
        <w:keepNext/>
        <w:numPr>
          <w:ilvl w:val="0"/>
          <w:numId w:val="0"/>
        </w:numPr>
        <w:rPr>
          <w:rFonts w:cs="Arial"/>
          <w:szCs w:val="24"/>
          <w:u w:val="single"/>
          <w:lang w:eastAsia="en-ZA"/>
        </w:rPr>
      </w:pPr>
      <w:r w:rsidRPr="00AB52EE">
        <w:rPr>
          <w:rFonts w:cs="Arial"/>
          <w:szCs w:val="24"/>
          <w:u w:val="single"/>
          <w:lang w:eastAsia="en-ZA"/>
        </w:rPr>
        <w:t>Onus and standard of proof of t</w:t>
      </w:r>
      <w:r w:rsidR="00A53ED1" w:rsidRPr="00AB52EE">
        <w:rPr>
          <w:rFonts w:cs="Arial"/>
          <w:szCs w:val="24"/>
          <w:u w:val="single"/>
          <w:lang w:eastAsia="en-ZA"/>
        </w:rPr>
        <w:t xml:space="preserve">he second </w:t>
      </w:r>
      <w:r w:rsidR="008E0BAF" w:rsidRPr="00AB52EE">
        <w:rPr>
          <w:rFonts w:cs="Arial"/>
          <w:szCs w:val="24"/>
          <w:u w:val="single"/>
          <w:lang w:eastAsia="en-ZA"/>
        </w:rPr>
        <w:t xml:space="preserve">threshold </w:t>
      </w:r>
      <w:r w:rsidR="00A53ED1" w:rsidRPr="00AB52EE">
        <w:rPr>
          <w:rFonts w:cs="Arial"/>
          <w:szCs w:val="24"/>
          <w:u w:val="single"/>
          <w:lang w:eastAsia="en-ZA"/>
        </w:rPr>
        <w:t>requirement</w:t>
      </w:r>
      <w:r w:rsidRPr="00AB52EE">
        <w:rPr>
          <w:rFonts w:cs="Arial"/>
          <w:szCs w:val="24"/>
          <w:u w:val="single"/>
          <w:lang w:eastAsia="en-ZA"/>
        </w:rPr>
        <w:t xml:space="preserve"> upon reconsideration</w:t>
      </w:r>
    </w:p>
    <w:p w14:paraId="026887F3" w14:textId="0569DF62" w:rsidR="00A73048" w:rsidRPr="00AB52EE" w:rsidRDefault="008D7962" w:rsidP="007A27ED">
      <w:pPr>
        <w:pStyle w:val="LC1"/>
        <w:rPr>
          <w:rFonts w:cs="Arial"/>
          <w:szCs w:val="24"/>
          <w:lang w:eastAsia="en-ZA"/>
        </w:rPr>
      </w:pPr>
      <w:r w:rsidRPr="00AB52EE">
        <w:rPr>
          <w:rFonts w:cs="Arial"/>
          <w:szCs w:val="24"/>
        </w:rPr>
        <w:t xml:space="preserve">I can divine no holding in the paragraphs of </w:t>
      </w:r>
      <w:r w:rsidRPr="00AB52EE">
        <w:rPr>
          <w:rFonts w:cs="Arial"/>
          <w:i/>
          <w:iCs/>
          <w:szCs w:val="24"/>
        </w:rPr>
        <w:t>Non-Detonating Solutions</w:t>
      </w:r>
      <w:r w:rsidRPr="00AB52EE">
        <w:rPr>
          <w:rFonts w:cs="Arial"/>
          <w:szCs w:val="24"/>
        </w:rPr>
        <w:t xml:space="preserve"> referred to by Supercart (or indeed from any other part of the judgment) that the applicant need</w:t>
      </w:r>
      <w:r w:rsidR="00276583" w:rsidRPr="00AB52EE">
        <w:rPr>
          <w:rFonts w:cs="Arial"/>
          <w:szCs w:val="24"/>
        </w:rPr>
        <w:t>s</w:t>
      </w:r>
      <w:r w:rsidRPr="00AB52EE">
        <w:rPr>
          <w:rFonts w:cs="Arial"/>
          <w:szCs w:val="24"/>
        </w:rPr>
        <w:t xml:space="preserve"> </w:t>
      </w:r>
      <w:r w:rsidR="00276583" w:rsidRPr="00AB52EE">
        <w:rPr>
          <w:rFonts w:cs="Arial"/>
          <w:szCs w:val="24"/>
        </w:rPr>
        <w:t xml:space="preserve">to </w:t>
      </w:r>
      <w:r w:rsidRPr="00AB52EE">
        <w:rPr>
          <w:rFonts w:cs="Arial"/>
          <w:szCs w:val="24"/>
        </w:rPr>
        <w:t xml:space="preserve">establish </w:t>
      </w:r>
      <w:r w:rsidR="00297315" w:rsidRPr="00AB52EE">
        <w:rPr>
          <w:rFonts w:cs="Arial"/>
          <w:szCs w:val="24"/>
        </w:rPr>
        <w:t xml:space="preserve">the second </w:t>
      </w:r>
      <w:r w:rsidR="008E0BAF" w:rsidRPr="00AB52EE">
        <w:rPr>
          <w:rFonts w:cs="Arial"/>
          <w:szCs w:val="24"/>
          <w:lang w:eastAsia="en-ZA"/>
        </w:rPr>
        <w:t xml:space="preserve">threshold </w:t>
      </w:r>
      <w:r w:rsidR="00297315" w:rsidRPr="00AB52EE">
        <w:rPr>
          <w:rFonts w:cs="Arial"/>
          <w:szCs w:val="24"/>
        </w:rPr>
        <w:t xml:space="preserve">requirement </w:t>
      </w:r>
      <w:r w:rsidR="00276583" w:rsidRPr="00AB52EE">
        <w:rPr>
          <w:rFonts w:cs="Arial"/>
          <w:szCs w:val="24"/>
        </w:rPr>
        <w:t xml:space="preserve">only </w:t>
      </w:r>
      <w:r w:rsidRPr="00AB52EE">
        <w:rPr>
          <w:rFonts w:cs="Arial"/>
          <w:szCs w:val="24"/>
        </w:rPr>
        <w:t xml:space="preserve">on a </w:t>
      </w:r>
      <w:r w:rsidRPr="00AB52EE">
        <w:rPr>
          <w:rFonts w:cs="Arial"/>
          <w:i/>
          <w:iCs/>
          <w:szCs w:val="24"/>
        </w:rPr>
        <w:t>prima facie</w:t>
      </w:r>
      <w:r w:rsidRPr="00AB52EE">
        <w:rPr>
          <w:rFonts w:cs="Arial"/>
          <w:szCs w:val="24"/>
        </w:rPr>
        <w:t xml:space="preserve"> basis. </w:t>
      </w:r>
      <w:r w:rsidR="000C7E25" w:rsidRPr="00AB52EE">
        <w:rPr>
          <w:rFonts w:cs="Arial"/>
          <w:szCs w:val="24"/>
        </w:rPr>
        <w:t>To the contrary, t</w:t>
      </w:r>
      <w:r w:rsidR="009D1CF2" w:rsidRPr="00AB52EE">
        <w:rPr>
          <w:rFonts w:cs="Arial"/>
          <w:szCs w:val="24"/>
        </w:rPr>
        <w:t xml:space="preserve">he section of the judgment dealing with </w:t>
      </w:r>
      <w:r w:rsidR="00276583" w:rsidRPr="00AB52EE">
        <w:rPr>
          <w:rFonts w:cs="Arial"/>
          <w:szCs w:val="24"/>
        </w:rPr>
        <w:t>t</w:t>
      </w:r>
      <w:r w:rsidR="009D1CF2" w:rsidRPr="00AB52EE">
        <w:rPr>
          <w:rFonts w:cs="Arial"/>
          <w:szCs w:val="24"/>
        </w:rPr>
        <w:t xml:space="preserve">his </w:t>
      </w:r>
      <w:r w:rsidR="000C7E25" w:rsidRPr="00AB52EE">
        <w:rPr>
          <w:rFonts w:cs="Arial"/>
          <w:szCs w:val="24"/>
        </w:rPr>
        <w:t xml:space="preserve">requirement </w:t>
      </w:r>
      <w:r w:rsidR="009D1CF2" w:rsidRPr="00AB52EE">
        <w:rPr>
          <w:rFonts w:cs="Arial"/>
          <w:szCs w:val="24"/>
        </w:rPr>
        <w:t>is introduced by the following blunt statement: “</w:t>
      </w:r>
      <w:r w:rsidR="00DD097B" w:rsidRPr="00AB52EE">
        <w:rPr>
          <w:rFonts w:cs="Arial"/>
          <w:szCs w:val="24"/>
        </w:rPr>
        <w:t>[i]</w:t>
      </w:r>
      <w:r w:rsidR="009D1CF2" w:rsidRPr="00AB52EE">
        <w:rPr>
          <w:rFonts w:cs="Arial"/>
          <w:szCs w:val="24"/>
        </w:rPr>
        <w:t xml:space="preserve">t is trite that </w:t>
      </w:r>
      <w:r w:rsidR="009D1CF2" w:rsidRPr="00AB52EE">
        <w:rPr>
          <w:rFonts w:cs="Arial"/>
          <w:szCs w:val="24"/>
          <w:u w:val="single"/>
        </w:rPr>
        <w:t>an applicant must establish</w:t>
      </w:r>
      <w:r w:rsidR="009D1CF2" w:rsidRPr="00AB52EE">
        <w:rPr>
          <w:rFonts w:cs="Arial"/>
          <w:szCs w:val="24"/>
        </w:rPr>
        <w:t xml:space="preserve"> that the respondent possesses specific documents or things that constitute vital evidence in substantiation of the applicant’s cause of action</w:t>
      </w:r>
      <w:r w:rsidR="00DB3A04" w:rsidRPr="00AB52EE">
        <w:rPr>
          <w:rFonts w:cs="Arial"/>
          <w:szCs w:val="24"/>
        </w:rPr>
        <w:t>. Strict compliance with this requirement is pivotal to the legality of the use of the procedure</w:t>
      </w:r>
      <w:r w:rsidR="009D1CF2" w:rsidRPr="00AB52EE">
        <w:rPr>
          <w:rFonts w:cs="Arial"/>
          <w:szCs w:val="24"/>
        </w:rPr>
        <w:t>”</w:t>
      </w:r>
      <w:r w:rsidR="00DD097B" w:rsidRPr="00AB52EE">
        <w:rPr>
          <w:rFonts w:cs="Arial"/>
          <w:szCs w:val="24"/>
        </w:rPr>
        <w:t>.</w:t>
      </w:r>
      <w:r w:rsidR="00DB3A04" w:rsidRPr="00AB52EE">
        <w:rPr>
          <w:rStyle w:val="FootnoteReference"/>
          <w:szCs w:val="24"/>
        </w:rPr>
        <w:footnoteReference w:id="58"/>
      </w:r>
      <w:r w:rsidR="00096CCC" w:rsidRPr="00AB52EE">
        <w:rPr>
          <w:rFonts w:cs="Arial"/>
          <w:szCs w:val="24"/>
        </w:rPr>
        <w:t xml:space="preserve"> Overall, I gain the impression from this passage and the remainder of the </w:t>
      </w:r>
      <w:r w:rsidR="006A4E09" w:rsidRPr="00AB52EE">
        <w:rPr>
          <w:rFonts w:cs="Arial"/>
          <w:szCs w:val="24"/>
        </w:rPr>
        <w:t xml:space="preserve">SCA’s </w:t>
      </w:r>
      <w:r w:rsidR="00096CCC" w:rsidRPr="00AB52EE">
        <w:rPr>
          <w:rFonts w:cs="Arial"/>
          <w:szCs w:val="24"/>
        </w:rPr>
        <w:t>judgment that it considered that</w:t>
      </w:r>
      <w:r w:rsidR="006A4E09" w:rsidRPr="00AB52EE">
        <w:rPr>
          <w:rFonts w:cs="Arial"/>
          <w:szCs w:val="24"/>
        </w:rPr>
        <w:t>,</w:t>
      </w:r>
      <w:r w:rsidR="00096CCC" w:rsidRPr="00AB52EE">
        <w:rPr>
          <w:rFonts w:cs="Arial"/>
          <w:szCs w:val="24"/>
        </w:rPr>
        <w:t xml:space="preserve"> </w:t>
      </w:r>
      <w:r w:rsidR="008E0BAF" w:rsidRPr="00AB52EE">
        <w:rPr>
          <w:rFonts w:cs="Arial"/>
          <w:szCs w:val="24"/>
        </w:rPr>
        <w:t xml:space="preserve">to the extent that the </w:t>
      </w:r>
      <w:r w:rsidR="006A4E09" w:rsidRPr="00AB52EE">
        <w:rPr>
          <w:rFonts w:cs="Arial"/>
          <w:szCs w:val="24"/>
        </w:rPr>
        <w:t xml:space="preserve">existence of the </w:t>
      </w:r>
      <w:r w:rsidR="00096CCC" w:rsidRPr="00AB52EE">
        <w:rPr>
          <w:rFonts w:cs="Arial"/>
          <w:szCs w:val="24"/>
        </w:rPr>
        <w:t xml:space="preserve">second </w:t>
      </w:r>
      <w:r w:rsidR="008E0BAF" w:rsidRPr="00AB52EE">
        <w:rPr>
          <w:rFonts w:cs="Arial"/>
          <w:szCs w:val="24"/>
          <w:lang w:eastAsia="en-ZA"/>
        </w:rPr>
        <w:t xml:space="preserve">threshold </w:t>
      </w:r>
      <w:r w:rsidR="00096CCC" w:rsidRPr="00AB52EE">
        <w:rPr>
          <w:rFonts w:cs="Arial"/>
          <w:szCs w:val="24"/>
        </w:rPr>
        <w:t xml:space="preserve">requirement </w:t>
      </w:r>
      <w:r w:rsidR="00B535D4">
        <w:rPr>
          <w:rFonts w:cs="Arial"/>
          <w:szCs w:val="24"/>
        </w:rPr>
        <w:t>is</w:t>
      </w:r>
      <w:r w:rsidR="008E0BAF" w:rsidRPr="00AB52EE">
        <w:rPr>
          <w:rFonts w:cs="Arial"/>
          <w:szCs w:val="24"/>
        </w:rPr>
        <w:t xml:space="preserve"> challenged</w:t>
      </w:r>
      <w:r w:rsidR="00B535D4">
        <w:rPr>
          <w:rFonts w:cs="Arial"/>
          <w:szCs w:val="24"/>
        </w:rPr>
        <w:t xml:space="preserve"> on reconsideration</w:t>
      </w:r>
      <w:r w:rsidR="008E0BAF" w:rsidRPr="00AB52EE">
        <w:rPr>
          <w:rFonts w:cs="Arial"/>
          <w:szCs w:val="24"/>
        </w:rPr>
        <w:t xml:space="preserve">, it </w:t>
      </w:r>
      <w:r w:rsidR="00096CCC" w:rsidRPr="00AB52EE">
        <w:rPr>
          <w:rFonts w:cs="Arial"/>
          <w:szCs w:val="24"/>
        </w:rPr>
        <w:t>ha</w:t>
      </w:r>
      <w:r w:rsidR="00B535D4">
        <w:rPr>
          <w:rFonts w:cs="Arial"/>
          <w:szCs w:val="24"/>
        </w:rPr>
        <w:t>s</w:t>
      </w:r>
      <w:r w:rsidR="00096CCC" w:rsidRPr="00AB52EE">
        <w:rPr>
          <w:rFonts w:cs="Arial"/>
          <w:szCs w:val="24"/>
        </w:rPr>
        <w:t xml:space="preserve"> to be established by the applicant on a </w:t>
      </w:r>
      <w:r w:rsidR="00D1798F" w:rsidRPr="00AB52EE">
        <w:rPr>
          <w:rFonts w:cs="Arial"/>
          <w:szCs w:val="24"/>
          <w:lang w:eastAsia="en-ZA"/>
        </w:rPr>
        <w:t xml:space="preserve">preponderance </w:t>
      </w:r>
      <w:r w:rsidR="00096CCC" w:rsidRPr="00AB52EE">
        <w:rPr>
          <w:rFonts w:cs="Arial"/>
          <w:szCs w:val="24"/>
        </w:rPr>
        <w:t xml:space="preserve">of probabilities. </w:t>
      </w:r>
    </w:p>
    <w:p w14:paraId="474DD82A" w14:textId="007A2B1B" w:rsidR="00A65E0B" w:rsidRPr="00AB52EE" w:rsidRDefault="006A4E09" w:rsidP="007A27ED">
      <w:pPr>
        <w:pStyle w:val="LC1"/>
        <w:rPr>
          <w:rFonts w:cs="Arial"/>
          <w:szCs w:val="24"/>
          <w:lang w:eastAsia="en-ZA"/>
        </w:rPr>
      </w:pPr>
      <w:r w:rsidRPr="00AB52EE">
        <w:rPr>
          <w:rFonts w:cs="Arial"/>
          <w:szCs w:val="24"/>
        </w:rPr>
        <w:t xml:space="preserve">Although </w:t>
      </w:r>
      <w:r w:rsidR="00096CCC" w:rsidRPr="00AB52EE">
        <w:rPr>
          <w:rFonts w:cs="Arial"/>
          <w:i/>
          <w:iCs/>
          <w:szCs w:val="24"/>
        </w:rPr>
        <w:t>Non-Detonating Solutions</w:t>
      </w:r>
      <w:r w:rsidR="00096CCC" w:rsidRPr="00AB52EE">
        <w:rPr>
          <w:rFonts w:cs="Arial"/>
          <w:szCs w:val="24"/>
        </w:rPr>
        <w:t xml:space="preserve"> </w:t>
      </w:r>
      <w:r w:rsidR="000C7E25" w:rsidRPr="00AB52EE">
        <w:rPr>
          <w:rFonts w:cs="Arial"/>
          <w:szCs w:val="24"/>
        </w:rPr>
        <w:t xml:space="preserve">was a Cerebos-type case, I </w:t>
      </w:r>
      <w:r w:rsidR="00CB3593" w:rsidRPr="00AB52EE">
        <w:rPr>
          <w:rFonts w:cs="Arial"/>
          <w:szCs w:val="24"/>
        </w:rPr>
        <w:t xml:space="preserve">can think of no reason of principle why the same standard should not apply in both types of </w:t>
      </w:r>
      <w:r w:rsidR="00273C6E">
        <w:rPr>
          <w:rFonts w:cs="Arial"/>
          <w:szCs w:val="24"/>
        </w:rPr>
        <w:t>applications</w:t>
      </w:r>
      <w:r w:rsidR="00CB3593" w:rsidRPr="00AB52EE">
        <w:rPr>
          <w:rFonts w:cs="Arial"/>
          <w:szCs w:val="24"/>
        </w:rPr>
        <w:t xml:space="preserve">. </w:t>
      </w:r>
      <w:r w:rsidR="00A73CE2" w:rsidRPr="00AB52EE">
        <w:rPr>
          <w:rFonts w:cs="Arial"/>
          <w:szCs w:val="24"/>
        </w:rPr>
        <w:t xml:space="preserve">It </w:t>
      </w:r>
      <w:r w:rsidR="00920F0C" w:rsidRPr="00AB52EE">
        <w:rPr>
          <w:rFonts w:cs="Arial"/>
          <w:szCs w:val="24"/>
        </w:rPr>
        <w:t xml:space="preserve">has </w:t>
      </w:r>
      <w:r w:rsidR="000C7E25" w:rsidRPr="00AB52EE">
        <w:rPr>
          <w:rFonts w:cs="Arial"/>
          <w:szCs w:val="24"/>
        </w:rPr>
        <w:t xml:space="preserve">been expressly held </w:t>
      </w:r>
      <w:r w:rsidR="00643DDE" w:rsidRPr="00AB52EE">
        <w:rPr>
          <w:rFonts w:cs="Arial"/>
          <w:szCs w:val="24"/>
        </w:rPr>
        <w:t xml:space="preserve">in a </w:t>
      </w:r>
      <w:r w:rsidR="00920F0C" w:rsidRPr="00AB52EE">
        <w:rPr>
          <w:rFonts w:cs="Arial"/>
          <w:szCs w:val="24"/>
        </w:rPr>
        <w:t xml:space="preserve">case involving </w:t>
      </w:r>
      <w:r w:rsidR="00643DDE" w:rsidRPr="00AB52EE">
        <w:rPr>
          <w:rFonts w:cs="Arial"/>
          <w:szCs w:val="24"/>
        </w:rPr>
        <w:t xml:space="preserve">an </w:t>
      </w:r>
      <w:r w:rsidR="00CB3593" w:rsidRPr="00AB52EE">
        <w:rPr>
          <w:rFonts w:cs="Arial"/>
          <w:szCs w:val="24"/>
        </w:rPr>
        <w:t xml:space="preserve">order of </w:t>
      </w:r>
      <w:r w:rsidR="00920F0C" w:rsidRPr="00AB52EE">
        <w:rPr>
          <w:rFonts w:cs="Arial"/>
          <w:szCs w:val="24"/>
        </w:rPr>
        <w:t>the ordinary</w:t>
      </w:r>
      <w:r w:rsidR="00CB3593" w:rsidRPr="00AB52EE">
        <w:rPr>
          <w:rFonts w:cs="Arial"/>
          <w:szCs w:val="24"/>
        </w:rPr>
        <w:t xml:space="preserve"> type</w:t>
      </w:r>
      <w:r w:rsidR="00A73CE2" w:rsidRPr="00AB52EE">
        <w:rPr>
          <w:rFonts w:cs="Arial"/>
          <w:szCs w:val="24"/>
        </w:rPr>
        <w:t xml:space="preserve"> that the applicant must establish the second </w:t>
      </w:r>
      <w:r w:rsidR="008E0BAF" w:rsidRPr="00AB52EE">
        <w:rPr>
          <w:rFonts w:cs="Arial"/>
          <w:szCs w:val="24"/>
          <w:lang w:eastAsia="en-ZA"/>
        </w:rPr>
        <w:t xml:space="preserve">threshold </w:t>
      </w:r>
      <w:r w:rsidR="00A73CE2" w:rsidRPr="00AB52EE">
        <w:rPr>
          <w:rFonts w:cs="Arial"/>
          <w:szCs w:val="24"/>
        </w:rPr>
        <w:t xml:space="preserve">requirement on a </w:t>
      </w:r>
      <w:r w:rsidR="00A07D19" w:rsidRPr="00AB52EE">
        <w:rPr>
          <w:rFonts w:cs="Arial"/>
          <w:szCs w:val="24"/>
          <w:lang w:eastAsia="en-ZA"/>
        </w:rPr>
        <w:t xml:space="preserve">preponderance </w:t>
      </w:r>
      <w:r w:rsidR="00A73CE2" w:rsidRPr="00AB52EE">
        <w:rPr>
          <w:rFonts w:cs="Arial"/>
          <w:szCs w:val="24"/>
        </w:rPr>
        <w:t>of probabilities upon reconsideration,</w:t>
      </w:r>
      <w:r w:rsidR="00920F0C" w:rsidRPr="00AB52EE">
        <w:rPr>
          <w:rStyle w:val="FootnoteReference"/>
          <w:szCs w:val="24"/>
        </w:rPr>
        <w:footnoteReference w:id="59"/>
      </w:r>
      <w:r w:rsidR="00A73CE2" w:rsidRPr="00AB52EE">
        <w:rPr>
          <w:rFonts w:cs="Arial"/>
          <w:szCs w:val="24"/>
        </w:rPr>
        <w:t xml:space="preserve"> </w:t>
      </w:r>
      <w:r w:rsidR="00CB3593" w:rsidRPr="00AB52EE">
        <w:rPr>
          <w:rFonts w:cs="Arial"/>
          <w:szCs w:val="24"/>
        </w:rPr>
        <w:t>and</w:t>
      </w:r>
      <w:r w:rsidR="00920F0C" w:rsidRPr="00AB52EE">
        <w:rPr>
          <w:rFonts w:cs="Arial"/>
          <w:szCs w:val="24"/>
        </w:rPr>
        <w:t xml:space="preserve"> I was not referred to any other authority to the contrary.</w:t>
      </w:r>
      <w:r w:rsidR="00CB3593" w:rsidRPr="00AB52EE">
        <w:rPr>
          <w:rFonts w:cs="Arial"/>
          <w:szCs w:val="24"/>
        </w:rPr>
        <w:t xml:space="preserve"> </w:t>
      </w:r>
      <w:r w:rsidR="00A73CE2" w:rsidRPr="00AB52EE">
        <w:rPr>
          <w:rFonts w:cs="Arial"/>
          <w:szCs w:val="24"/>
        </w:rPr>
        <w:t xml:space="preserve">In my view, this approach is correct. </w:t>
      </w:r>
    </w:p>
    <w:p w14:paraId="24816868" w14:textId="108D96EC" w:rsidR="007D5490" w:rsidRPr="00AB52EE" w:rsidRDefault="00A65E0B" w:rsidP="007A27ED">
      <w:pPr>
        <w:pStyle w:val="LC1"/>
        <w:rPr>
          <w:rFonts w:cs="Arial"/>
          <w:szCs w:val="24"/>
          <w:lang w:eastAsia="en-ZA"/>
        </w:rPr>
      </w:pPr>
      <w:r w:rsidRPr="00AB52EE">
        <w:rPr>
          <w:rFonts w:cs="Arial"/>
          <w:szCs w:val="24"/>
          <w:lang w:eastAsia="en-ZA"/>
        </w:rPr>
        <w:lastRenderedPageBreak/>
        <w:t xml:space="preserve">It seems to me that three questions </w:t>
      </w:r>
      <w:r w:rsidR="008E0BAF" w:rsidRPr="00AB52EE">
        <w:rPr>
          <w:rFonts w:cs="Arial"/>
          <w:szCs w:val="24"/>
          <w:lang w:eastAsia="en-ZA"/>
        </w:rPr>
        <w:t xml:space="preserve">potentially </w:t>
      </w:r>
      <w:r w:rsidRPr="00AB52EE">
        <w:rPr>
          <w:rFonts w:cs="Arial"/>
          <w:szCs w:val="24"/>
          <w:lang w:eastAsia="en-ZA"/>
        </w:rPr>
        <w:t xml:space="preserve">arise for determination </w:t>
      </w:r>
      <w:r w:rsidR="000E16BB" w:rsidRPr="00AB52EE">
        <w:rPr>
          <w:rFonts w:cs="Arial"/>
          <w:szCs w:val="24"/>
          <w:lang w:eastAsia="en-ZA"/>
        </w:rPr>
        <w:t xml:space="preserve">when </w:t>
      </w:r>
      <w:r w:rsidR="006A4E09" w:rsidRPr="00AB52EE">
        <w:rPr>
          <w:rFonts w:cs="Arial"/>
          <w:szCs w:val="24"/>
          <w:lang w:eastAsia="en-ZA"/>
        </w:rPr>
        <w:t>re</w:t>
      </w:r>
      <w:r w:rsidR="000E16BB" w:rsidRPr="00AB52EE">
        <w:rPr>
          <w:rFonts w:cs="Arial"/>
          <w:szCs w:val="24"/>
          <w:lang w:eastAsia="en-ZA"/>
        </w:rPr>
        <w:t xml:space="preserve">considering the second </w:t>
      </w:r>
      <w:r w:rsidR="008E0BAF" w:rsidRPr="00AB52EE">
        <w:rPr>
          <w:rFonts w:cs="Arial"/>
          <w:szCs w:val="24"/>
          <w:lang w:eastAsia="en-ZA"/>
        </w:rPr>
        <w:t xml:space="preserve">threshold </w:t>
      </w:r>
      <w:r w:rsidR="000E16BB" w:rsidRPr="00AB52EE">
        <w:rPr>
          <w:rFonts w:cs="Arial"/>
          <w:szCs w:val="24"/>
          <w:lang w:eastAsia="en-ZA"/>
        </w:rPr>
        <w:t>requirement</w:t>
      </w:r>
      <w:r w:rsidRPr="00AB52EE">
        <w:rPr>
          <w:rFonts w:cs="Arial"/>
          <w:szCs w:val="24"/>
          <w:lang w:eastAsia="en-ZA"/>
        </w:rPr>
        <w:t xml:space="preserve">: </w:t>
      </w:r>
      <w:r w:rsidR="00590D45" w:rsidRPr="00AB52EE">
        <w:rPr>
          <w:rFonts w:cs="Arial"/>
          <w:szCs w:val="24"/>
          <w:lang w:eastAsia="en-ZA"/>
        </w:rPr>
        <w:t>(i)</w:t>
      </w:r>
      <w:r w:rsidRPr="00AB52EE">
        <w:rPr>
          <w:rFonts w:cs="Arial"/>
          <w:szCs w:val="24"/>
          <w:lang w:eastAsia="en-ZA"/>
        </w:rPr>
        <w:t xml:space="preserve"> whether the order sufficiently specified the </w:t>
      </w:r>
      <w:r w:rsidR="00C12737" w:rsidRPr="00AB52EE">
        <w:rPr>
          <w:rFonts w:cs="Arial"/>
          <w:szCs w:val="24"/>
          <w:lang w:eastAsia="en-ZA"/>
        </w:rPr>
        <w:t xml:space="preserve">items </w:t>
      </w:r>
      <w:r w:rsidRPr="00AB52EE">
        <w:rPr>
          <w:rFonts w:cs="Arial"/>
          <w:szCs w:val="24"/>
          <w:lang w:eastAsia="en-ZA"/>
        </w:rPr>
        <w:t xml:space="preserve">to be </w:t>
      </w:r>
      <w:r w:rsidR="00DC3014" w:rsidRPr="00AB52EE">
        <w:rPr>
          <w:rFonts w:cs="Arial"/>
          <w:szCs w:val="24"/>
          <w:lang w:eastAsia="en-ZA"/>
        </w:rPr>
        <w:t>attached</w:t>
      </w:r>
      <w:r w:rsidRPr="00AB52EE">
        <w:rPr>
          <w:rFonts w:cs="Arial"/>
          <w:szCs w:val="24"/>
          <w:lang w:eastAsia="en-ZA"/>
        </w:rPr>
        <w:t xml:space="preserve"> (the specificity question); </w:t>
      </w:r>
      <w:r w:rsidR="00590D45" w:rsidRPr="00AB52EE">
        <w:rPr>
          <w:rFonts w:cs="Arial"/>
          <w:szCs w:val="24"/>
          <w:lang w:eastAsia="en-ZA"/>
        </w:rPr>
        <w:t>(ii)</w:t>
      </w:r>
      <w:r w:rsidRPr="00AB52EE">
        <w:rPr>
          <w:rFonts w:cs="Arial"/>
          <w:szCs w:val="24"/>
          <w:lang w:eastAsia="en-ZA"/>
        </w:rPr>
        <w:t xml:space="preserve"> whether the </w:t>
      </w:r>
      <w:r w:rsidR="00C12737" w:rsidRPr="00AB52EE">
        <w:rPr>
          <w:rFonts w:cs="Arial"/>
          <w:szCs w:val="24"/>
          <w:lang w:eastAsia="en-ZA"/>
        </w:rPr>
        <w:t xml:space="preserve">items </w:t>
      </w:r>
      <w:r w:rsidRPr="00AB52EE">
        <w:rPr>
          <w:rFonts w:cs="Arial"/>
          <w:szCs w:val="24"/>
          <w:lang w:eastAsia="en-ZA"/>
        </w:rPr>
        <w:t xml:space="preserve">so specified </w:t>
      </w:r>
      <w:r w:rsidR="00C12737" w:rsidRPr="00AB52EE">
        <w:rPr>
          <w:rFonts w:cs="Arial"/>
          <w:szCs w:val="24"/>
          <w:lang w:eastAsia="en-ZA"/>
        </w:rPr>
        <w:t xml:space="preserve">are </w:t>
      </w:r>
      <w:r w:rsidRPr="00AB52EE">
        <w:rPr>
          <w:rFonts w:cs="Arial"/>
          <w:szCs w:val="24"/>
          <w:lang w:eastAsia="en-ZA"/>
        </w:rPr>
        <w:t xml:space="preserve">“of </w:t>
      </w:r>
      <w:r w:rsidRPr="00AB52EE">
        <w:rPr>
          <w:rFonts w:cs="Arial"/>
          <w:szCs w:val="24"/>
          <w:lang w:eastAsia="en-GB"/>
        </w:rPr>
        <w:t xml:space="preserve">great importance” to the applicant's case (the importance question); and </w:t>
      </w:r>
      <w:r w:rsidR="00590D45" w:rsidRPr="00AB52EE">
        <w:rPr>
          <w:rFonts w:cs="Arial"/>
          <w:szCs w:val="24"/>
          <w:lang w:eastAsia="en-GB"/>
        </w:rPr>
        <w:t>(iii)</w:t>
      </w:r>
      <w:r w:rsidRPr="00AB52EE">
        <w:rPr>
          <w:rFonts w:cs="Arial"/>
          <w:szCs w:val="24"/>
          <w:lang w:eastAsia="en-GB"/>
        </w:rPr>
        <w:t xml:space="preserve"> </w:t>
      </w:r>
      <w:r w:rsidRPr="00AB52EE">
        <w:rPr>
          <w:rFonts w:cs="Arial"/>
          <w:szCs w:val="24"/>
          <w:lang w:eastAsia="en-ZA"/>
        </w:rPr>
        <w:t xml:space="preserve">whether the </w:t>
      </w:r>
      <w:r w:rsidR="00C12737" w:rsidRPr="00AB52EE">
        <w:rPr>
          <w:rFonts w:cs="Arial"/>
          <w:szCs w:val="24"/>
          <w:lang w:eastAsia="en-ZA"/>
        </w:rPr>
        <w:t xml:space="preserve">items </w:t>
      </w:r>
      <w:r w:rsidRPr="00AB52EE">
        <w:rPr>
          <w:rFonts w:cs="Arial"/>
          <w:szCs w:val="24"/>
          <w:lang w:eastAsia="en-ZA"/>
        </w:rPr>
        <w:t xml:space="preserve">that </w:t>
      </w:r>
      <w:r w:rsidR="00C12737" w:rsidRPr="00AB52EE">
        <w:rPr>
          <w:rFonts w:cs="Arial"/>
          <w:szCs w:val="24"/>
          <w:lang w:eastAsia="en-ZA"/>
        </w:rPr>
        <w:t xml:space="preserve">were </w:t>
      </w:r>
      <w:r w:rsidRPr="00AB52EE">
        <w:rPr>
          <w:rFonts w:cs="Arial"/>
          <w:szCs w:val="24"/>
          <w:lang w:eastAsia="en-ZA"/>
        </w:rPr>
        <w:t xml:space="preserve">in fact found in the respondent’s possession and </w:t>
      </w:r>
      <w:r w:rsidR="00DC3014" w:rsidRPr="00AB52EE">
        <w:rPr>
          <w:rFonts w:cs="Arial"/>
          <w:szCs w:val="24"/>
          <w:lang w:eastAsia="en-ZA"/>
        </w:rPr>
        <w:t xml:space="preserve">attached </w:t>
      </w:r>
      <w:r w:rsidRPr="00AB52EE">
        <w:rPr>
          <w:rFonts w:cs="Arial"/>
          <w:szCs w:val="24"/>
          <w:lang w:eastAsia="en-ZA"/>
        </w:rPr>
        <w:t xml:space="preserve">meet the specification (the possession question). </w:t>
      </w:r>
    </w:p>
    <w:p w14:paraId="4B9E8EED" w14:textId="69D44C00" w:rsidR="007D5490" w:rsidRPr="00AB52EE" w:rsidRDefault="007D5490" w:rsidP="007A27ED">
      <w:pPr>
        <w:pStyle w:val="LC1"/>
        <w:rPr>
          <w:rFonts w:cs="Arial"/>
          <w:szCs w:val="24"/>
          <w:lang w:eastAsia="en-ZA"/>
        </w:rPr>
      </w:pPr>
      <w:r w:rsidRPr="00AB52EE">
        <w:rPr>
          <w:rFonts w:cs="Arial"/>
          <w:szCs w:val="24"/>
        </w:rPr>
        <w:t xml:space="preserve">I pause here to </w:t>
      </w:r>
      <w:r w:rsidR="00555F62" w:rsidRPr="00AB52EE">
        <w:rPr>
          <w:rFonts w:cs="Arial"/>
          <w:szCs w:val="24"/>
        </w:rPr>
        <w:t xml:space="preserve">observe </w:t>
      </w:r>
      <w:r w:rsidRPr="00AB52EE">
        <w:rPr>
          <w:rFonts w:cs="Arial"/>
          <w:szCs w:val="24"/>
        </w:rPr>
        <w:t xml:space="preserve">that </w:t>
      </w:r>
      <w:r w:rsidR="00555F62" w:rsidRPr="00AB52EE">
        <w:rPr>
          <w:rFonts w:cs="Arial"/>
          <w:szCs w:val="24"/>
        </w:rPr>
        <w:t xml:space="preserve">this </w:t>
      </w:r>
      <w:r w:rsidRPr="00AB52EE">
        <w:rPr>
          <w:rFonts w:cs="Arial"/>
          <w:szCs w:val="24"/>
        </w:rPr>
        <w:t xml:space="preserve">formulation of the possession question upon reconsideration differs from its formulation at the </w:t>
      </w:r>
      <w:r w:rsidRPr="00AB52EE">
        <w:rPr>
          <w:rFonts w:cs="Arial"/>
          <w:i/>
          <w:iCs/>
          <w:szCs w:val="24"/>
        </w:rPr>
        <w:t>ex parte</w:t>
      </w:r>
      <w:r w:rsidRPr="00AB52EE">
        <w:rPr>
          <w:rFonts w:cs="Arial"/>
          <w:szCs w:val="24"/>
        </w:rPr>
        <w:t xml:space="preserve"> stage. While I recognise that this </w:t>
      </w:r>
      <w:r w:rsidR="00273C6E">
        <w:rPr>
          <w:rFonts w:cs="Arial"/>
          <w:szCs w:val="24"/>
        </w:rPr>
        <w:t xml:space="preserve">was not </w:t>
      </w:r>
      <w:r w:rsidRPr="00AB52EE">
        <w:rPr>
          <w:rFonts w:cs="Arial"/>
          <w:szCs w:val="24"/>
        </w:rPr>
        <w:t xml:space="preserve">the approach taken upon reconsideration by Froneman J in </w:t>
      </w:r>
      <w:r w:rsidRPr="00AB52EE">
        <w:rPr>
          <w:rFonts w:cs="Arial"/>
          <w:i/>
          <w:iCs/>
          <w:szCs w:val="24"/>
        </w:rPr>
        <w:t>The Reclamation Group</w:t>
      </w:r>
      <w:r w:rsidRPr="00AB52EE">
        <w:rPr>
          <w:rFonts w:cs="Arial"/>
          <w:szCs w:val="24"/>
        </w:rPr>
        <w:t>,</w:t>
      </w:r>
      <w:r w:rsidRPr="00AB52EE">
        <w:rPr>
          <w:rStyle w:val="FootnoteReference"/>
          <w:szCs w:val="24"/>
        </w:rPr>
        <w:footnoteReference w:id="60"/>
      </w:r>
      <w:r w:rsidRPr="00AB52EE">
        <w:rPr>
          <w:rFonts w:cs="Arial"/>
          <w:szCs w:val="24"/>
        </w:rPr>
        <w:t xml:space="preserve"> I respectfully consider that this is appropriate. Not only would it be artificial to ignore the </w:t>
      </w:r>
      <w:r w:rsidR="00555F62" w:rsidRPr="00AB52EE">
        <w:rPr>
          <w:rFonts w:cs="Arial"/>
          <w:szCs w:val="24"/>
        </w:rPr>
        <w:t>‘</w:t>
      </w:r>
      <w:r w:rsidRPr="00AB52EE">
        <w:rPr>
          <w:rFonts w:cs="Arial"/>
          <w:szCs w:val="24"/>
        </w:rPr>
        <w:t>fruits</w:t>
      </w:r>
      <w:r w:rsidR="00555F62" w:rsidRPr="00AB52EE">
        <w:rPr>
          <w:rFonts w:cs="Arial"/>
          <w:szCs w:val="24"/>
        </w:rPr>
        <w:t>’,</w:t>
      </w:r>
      <w:r w:rsidRPr="00AB52EE">
        <w:rPr>
          <w:rFonts w:cs="Arial"/>
          <w:szCs w:val="24"/>
        </w:rPr>
        <w:t xml:space="preserve"> or lack thereof</w:t>
      </w:r>
      <w:r w:rsidR="00555F62" w:rsidRPr="00AB52EE">
        <w:rPr>
          <w:rFonts w:cs="Arial"/>
          <w:szCs w:val="24"/>
        </w:rPr>
        <w:t>,</w:t>
      </w:r>
      <w:r w:rsidRPr="00AB52EE">
        <w:rPr>
          <w:rFonts w:cs="Arial"/>
          <w:szCs w:val="24"/>
        </w:rPr>
        <w:t xml:space="preserve"> of the search, but it would in my view unduly prejudice the applicant if it were prohibited from referring to them (of course only to the extent that their characteristics have been legitimately exposed in compliance with the terms of the original order, for example by means of the inventories, the reports of the supervising attorneys or by the respondent itself) in view of the standard of proof that Froneman J (correctly in my respectful view) applied to the second </w:t>
      </w:r>
      <w:r w:rsidRPr="00AB52EE">
        <w:rPr>
          <w:rFonts w:cs="Arial"/>
          <w:szCs w:val="24"/>
          <w:lang w:eastAsia="en-ZA"/>
        </w:rPr>
        <w:t xml:space="preserve">threshold </w:t>
      </w:r>
      <w:r w:rsidRPr="00AB52EE">
        <w:rPr>
          <w:rFonts w:cs="Arial"/>
          <w:szCs w:val="24"/>
        </w:rPr>
        <w:t>requirement at this stage.</w:t>
      </w:r>
      <w:r w:rsidRPr="00AB52EE">
        <w:rPr>
          <w:rStyle w:val="FootnoteReference"/>
          <w:szCs w:val="24"/>
        </w:rPr>
        <w:footnoteReference w:id="61"/>
      </w:r>
    </w:p>
    <w:p w14:paraId="1F272BFA" w14:textId="30270FDF" w:rsidR="00A65E0B" w:rsidRPr="00AB52EE" w:rsidRDefault="00AE3177" w:rsidP="007A27ED">
      <w:pPr>
        <w:pStyle w:val="LC1"/>
        <w:rPr>
          <w:rFonts w:cs="Arial"/>
          <w:szCs w:val="24"/>
          <w:lang w:eastAsia="en-ZA"/>
        </w:rPr>
      </w:pPr>
      <w:r w:rsidRPr="00AB52EE">
        <w:rPr>
          <w:rFonts w:cs="Arial"/>
          <w:szCs w:val="24"/>
          <w:lang w:eastAsia="en-ZA"/>
        </w:rPr>
        <w:t>M</w:t>
      </w:r>
      <w:r w:rsidR="00B708F5" w:rsidRPr="00AB52EE">
        <w:rPr>
          <w:rFonts w:cs="Arial"/>
          <w:szCs w:val="24"/>
          <w:lang w:eastAsia="en-ZA"/>
        </w:rPr>
        <w:t xml:space="preserve">aterial disputes of fact may </w:t>
      </w:r>
      <w:r w:rsidR="00A65E0B" w:rsidRPr="00AB52EE">
        <w:rPr>
          <w:rFonts w:cs="Arial"/>
          <w:szCs w:val="24"/>
          <w:lang w:eastAsia="en-ZA"/>
        </w:rPr>
        <w:t xml:space="preserve">well arise </w:t>
      </w:r>
      <w:r w:rsidR="00B708F5" w:rsidRPr="00AB52EE">
        <w:rPr>
          <w:rFonts w:cs="Arial"/>
          <w:szCs w:val="24"/>
          <w:lang w:eastAsia="en-ZA"/>
        </w:rPr>
        <w:t xml:space="preserve">in relation to these questions (especially the possession question) </w:t>
      </w:r>
      <w:r w:rsidR="00A65E0B" w:rsidRPr="00AB52EE">
        <w:rPr>
          <w:rFonts w:cs="Arial"/>
          <w:szCs w:val="24"/>
          <w:lang w:eastAsia="en-ZA"/>
        </w:rPr>
        <w:t>in ordinary Anton Piller cases where (</w:t>
      </w:r>
      <w:r w:rsidR="00A65E0B" w:rsidRPr="00AB52EE">
        <w:rPr>
          <w:rFonts w:cs="Arial"/>
          <w:i/>
          <w:iCs/>
          <w:szCs w:val="24"/>
        </w:rPr>
        <w:t>ex hypothesi</w:t>
      </w:r>
      <w:r w:rsidR="00D1798F" w:rsidRPr="00AB52EE">
        <w:rPr>
          <w:rFonts w:cs="Arial"/>
          <w:szCs w:val="24"/>
        </w:rPr>
        <w:t>,</w:t>
      </w:r>
      <w:r w:rsidR="00A65E0B" w:rsidRPr="00AB52EE">
        <w:rPr>
          <w:rFonts w:cs="Arial"/>
          <w:i/>
          <w:iCs/>
          <w:szCs w:val="24"/>
        </w:rPr>
        <w:t xml:space="preserve"> </w:t>
      </w:r>
      <w:r w:rsidR="00A65E0B" w:rsidRPr="00AB52EE">
        <w:rPr>
          <w:rFonts w:cs="Arial"/>
          <w:szCs w:val="24"/>
        </w:rPr>
        <w:t xml:space="preserve">in view of the findings made above), </w:t>
      </w:r>
      <w:r w:rsidR="00A65E0B" w:rsidRPr="00AB52EE">
        <w:rPr>
          <w:rFonts w:cs="Arial"/>
          <w:szCs w:val="24"/>
          <w:lang w:eastAsia="en-ZA"/>
        </w:rPr>
        <w:t xml:space="preserve">the applicant will </w:t>
      </w:r>
      <w:r w:rsidR="00A65E0B" w:rsidRPr="00AB52EE">
        <w:rPr>
          <w:rFonts w:cs="Arial"/>
          <w:szCs w:val="24"/>
        </w:rPr>
        <w:t xml:space="preserve">not have been able to </w:t>
      </w:r>
      <w:r w:rsidR="00A65E0B" w:rsidRPr="00AB52EE">
        <w:rPr>
          <w:rFonts w:cs="Arial"/>
          <w:szCs w:val="24"/>
        </w:rPr>
        <w:lastRenderedPageBreak/>
        <w:t xml:space="preserve">inspect the </w:t>
      </w:r>
      <w:r w:rsidR="00DC3014" w:rsidRPr="00AB52EE">
        <w:rPr>
          <w:rFonts w:cs="Arial"/>
          <w:szCs w:val="24"/>
        </w:rPr>
        <w:t xml:space="preserve">attached </w:t>
      </w:r>
      <w:r w:rsidR="00C12737" w:rsidRPr="00AB52EE">
        <w:rPr>
          <w:rFonts w:cs="Arial"/>
          <w:szCs w:val="24"/>
        </w:rPr>
        <w:t>items</w:t>
      </w:r>
      <w:r w:rsidR="00D1798F" w:rsidRPr="00AB52EE">
        <w:rPr>
          <w:rFonts w:cs="Arial"/>
          <w:szCs w:val="24"/>
        </w:rPr>
        <w:t xml:space="preserve"> and will not be able to put </w:t>
      </w:r>
      <w:r w:rsidR="00555F62" w:rsidRPr="00AB52EE">
        <w:rPr>
          <w:rFonts w:cs="Arial"/>
          <w:szCs w:val="24"/>
        </w:rPr>
        <w:t xml:space="preserve">them </w:t>
      </w:r>
      <w:r w:rsidR="00D1798F" w:rsidRPr="00AB52EE">
        <w:rPr>
          <w:rFonts w:cs="Arial"/>
          <w:szCs w:val="24"/>
        </w:rPr>
        <w:t xml:space="preserve">before the </w:t>
      </w:r>
      <w:r w:rsidR="00A01AA1" w:rsidRPr="00AB52EE">
        <w:rPr>
          <w:rFonts w:cs="Arial"/>
          <w:szCs w:val="24"/>
        </w:rPr>
        <w:t>C</w:t>
      </w:r>
      <w:r w:rsidR="00D1798F" w:rsidRPr="00AB52EE">
        <w:rPr>
          <w:rFonts w:cs="Arial"/>
          <w:szCs w:val="24"/>
        </w:rPr>
        <w:t xml:space="preserve">ourt deciding the </w:t>
      </w:r>
      <w:r w:rsidR="00B708F5" w:rsidRPr="00AB52EE">
        <w:rPr>
          <w:rFonts w:cs="Arial"/>
          <w:szCs w:val="24"/>
        </w:rPr>
        <w:t>issue.</w:t>
      </w:r>
      <w:r w:rsidR="00A65E0B" w:rsidRPr="00AB52EE">
        <w:rPr>
          <w:rFonts w:cs="Arial"/>
          <w:szCs w:val="24"/>
        </w:rPr>
        <w:t xml:space="preserve"> </w:t>
      </w:r>
    </w:p>
    <w:p w14:paraId="30BD186A" w14:textId="5B801864" w:rsidR="00A25BF2" w:rsidRPr="00AB52EE" w:rsidRDefault="00A65E0B" w:rsidP="007A27ED">
      <w:pPr>
        <w:pStyle w:val="LC1"/>
        <w:rPr>
          <w:rFonts w:cs="Arial"/>
          <w:szCs w:val="24"/>
          <w:lang w:eastAsia="en-ZA"/>
        </w:rPr>
      </w:pPr>
      <w:r w:rsidRPr="00AB52EE">
        <w:rPr>
          <w:rFonts w:cs="Arial"/>
          <w:szCs w:val="24"/>
        </w:rPr>
        <w:t xml:space="preserve">While </w:t>
      </w:r>
      <w:r w:rsidR="00A73CE2" w:rsidRPr="00AB52EE">
        <w:rPr>
          <w:rFonts w:cs="Arial"/>
          <w:szCs w:val="24"/>
        </w:rPr>
        <w:t xml:space="preserve">I recognise that an applicant in an ordinary Anton Piller </w:t>
      </w:r>
      <w:r w:rsidRPr="00AB52EE">
        <w:rPr>
          <w:rFonts w:cs="Arial"/>
          <w:szCs w:val="24"/>
        </w:rPr>
        <w:t xml:space="preserve">application </w:t>
      </w:r>
      <w:r w:rsidR="00A73CE2" w:rsidRPr="00AB52EE">
        <w:rPr>
          <w:rFonts w:cs="Arial"/>
          <w:szCs w:val="24"/>
        </w:rPr>
        <w:t xml:space="preserve">may </w:t>
      </w:r>
      <w:r w:rsidRPr="00AB52EE">
        <w:rPr>
          <w:rFonts w:cs="Arial"/>
          <w:szCs w:val="24"/>
        </w:rPr>
        <w:t xml:space="preserve">therefore </w:t>
      </w:r>
      <w:r w:rsidR="00A73CE2" w:rsidRPr="00AB52EE">
        <w:rPr>
          <w:rFonts w:cs="Arial"/>
          <w:szCs w:val="24"/>
        </w:rPr>
        <w:t xml:space="preserve">encounter practical difficulties in discharging its onus </w:t>
      </w:r>
      <w:r w:rsidR="00ED7E41" w:rsidRPr="00AB52EE">
        <w:rPr>
          <w:rFonts w:cs="Arial"/>
          <w:szCs w:val="24"/>
        </w:rPr>
        <w:t xml:space="preserve">regarding </w:t>
      </w:r>
      <w:r w:rsidR="00297315" w:rsidRPr="00AB52EE">
        <w:rPr>
          <w:rFonts w:cs="Arial"/>
          <w:szCs w:val="24"/>
        </w:rPr>
        <w:t>the possession question</w:t>
      </w:r>
      <w:r w:rsidR="00ED7E41" w:rsidRPr="00AB52EE">
        <w:rPr>
          <w:rFonts w:cs="Arial"/>
          <w:szCs w:val="24"/>
        </w:rPr>
        <w:t xml:space="preserve"> on a </w:t>
      </w:r>
      <w:r w:rsidR="00A07D19" w:rsidRPr="00AB52EE">
        <w:rPr>
          <w:rFonts w:cs="Arial"/>
          <w:szCs w:val="24"/>
          <w:lang w:eastAsia="en-ZA"/>
        </w:rPr>
        <w:t xml:space="preserve">preponderance </w:t>
      </w:r>
      <w:r w:rsidR="00ED7E41" w:rsidRPr="00AB52EE">
        <w:rPr>
          <w:rFonts w:cs="Arial"/>
          <w:szCs w:val="24"/>
        </w:rPr>
        <w:t>of probabilities</w:t>
      </w:r>
      <w:r w:rsidR="00590D45" w:rsidRPr="00AB52EE">
        <w:rPr>
          <w:rFonts w:cs="Arial"/>
          <w:szCs w:val="24"/>
        </w:rPr>
        <w:t xml:space="preserve"> and in motion proceedings</w:t>
      </w:r>
      <w:r w:rsidR="00A73CE2" w:rsidRPr="00AB52EE">
        <w:rPr>
          <w:rFonts w:cs="Arial"/>
          <w:szCs w:val="24"/>
        </w:rPr>
        <w:t xml:space="preserve">, </w:t>
      </w:r>
      <w:r w:rsidR="00ED7E41" w:rsidRPr="00AB52EE">
        <w:rPr>
          <w:rFonts w:cs="Arial"/>
          <w:szCs w:val="24"/>
        </w:rPr>
        <w:t>I don’t think that such potential difficulties require the imposition of a less onerous burden of proof</w:t>
      </w:r>
      <w:r w:rsidR="00A25BF2" w:rsidRPr="00AB52EE">
        <w:rPr>
          <w:rFonts w:cs="Arial"/>
          <w:szCs w:val="24"/>
        </w:rPr>
        <w:t xml:space="preserve"> that would entitle </w:t>
      </w:r>
      <w:r w:rsidR="007D5490" w:rsidRPr="00AB52EE">
        <w:rPr>
          <w:rFonts w:cs="Arial"/>
          <w:szCs w:val="24"/>
        </w:rPr>
        <w:t xml:space="preserve">it </w:t>
      </w:r>
      <w:r w:rsidR="00A25BF2" w:rsidRPr="00AB52EE">
        <w:rPr>
          <w:rFonts w:cs="Arial"/>
          <w:szCs w:val="24"/>
        </w:rPr>
        <w:t xml:space="preserve">to keep its order merely because the </w:t>
      </w:r>
      <w:r w:rsidR="00DC3014" w:rsidRPr="00AB52EE">
        <w:rPr>
          <w:rFonts w:cs="Arial"/>
          <w:szCs w:val="24"/>
        </w:rPr>
        <w:t xml:space="preserve">attached </w:t>
      </w:r>
      <w:r w:rsidR="00C12737" w:rsidRPr="00AB52EE">
        <w:rPr>
          <w:rFonts w:cs="Arial"/>
          <w:szCs w:val="24"/>
        </w:rPr>
        <w:t xml:space="preserve">items </w:t>
      </w:r>
      <w:r w:rsidR="00A25BF2" w:rsidRPr="00AB52EE">
        <w:rPr>
          <w:rFonts w:cs="Arial"/>
          <w:szCs w:val="24"/>
          <w:u w:val="single"/>
        </w:rPr>
        <w:t>might</w:t>
      </w:r>
      <w:r w:rsidR="00A25BF2" w:rsidRPr="00AB52EE">
        <w:rPr>
          <w:rFonts w:cs="Arial"/>
          <w:szCs w:val="24"/>
        </w:rPr>
        <w:t xml:space="preserve"> meet the specification</w:t>
      </w:r>
      <w:r w:rsidR="00590D45" w:rsidRPr="00AB52EE">
        <w:rPr>
          <w:rFonts w:cs="Arial"/>
          <w:szCs w:val="24"/>
        </w:rPr>
        <w:t xml:space="preserve"> in the order</w:t>
      </w:r>
      <w:r w:rsidR="00A25BF2" w:rsidRPr="00AB52EE">
        <w:rPr>
          <w:rFonts w:cs="Arial"/>
          <w:szCs w:val="24"/>
        </w:rPr>
        <w:t xml:space="preserve">. </w:t>
      </w:r>
      <w:r w:rsidR="00B535D4">
        <w:rPr>
          <w:rFonts w:cs="Arial"/>
          <w:szCs w:val="24"/>
        </w:rPr>
        <w:t xml:space="preserve">In my view, </w:t>
      </w:r>
      <w:r w:rsidR="00213258" w:rsidRPr="00AB52EE">
        <w:rPr>
          <w:rFonts w:cs="Arial"/>
          <w:szCs w:val="24"/>
        </w:rPr>
        <w:t xml:space="preserve">an applicant must be required to prove that they </w:t>
      </w:r>
      <w:r w:rsidR="00213258" w:rsidRPr="00AB52EE">
        <w:rPr>
          <w:rFonts w:cs="Arial"/>
          <w:szCs w:val="24"/>
          <w:u w:val="single"/>
        </w:rPr>
        <w:t>do</w:t>
      </w:r>
      <w:r w:rsidR="00213258" w:rsidRPr="00AB52EE">
        <w:rPr>
          <w:rFonts w:cs="Arial"/>
          <w:szCs w:val="24"/>
        </w:rPr>
        <w:t xml:space="preserve"> meet the specification.</w:t>
      </w:r>
      <w:r w:rsidR="00A25BF2" w:rsidRPr="00AB52EE">
        <w:rPr>
          <w:rFonts w:cs="Arial"/>
          <w:szCs w:val="24"/>
        </w:rPr>
        <w:t xml:space="preserve"> </w:t>
      </w:r>
    </w:p>
    <w:p w14:paraId="47288F47" w14:textId="19FF09AD" w:rsidR="00E20F1B" w:rsidRPr="00AB52EE" w:rsidRDefault="00ED7E41" w:rsidP="007A27ED">
      <w:pPr>
        <w:pStyle w:val="LC1"/>
        <w:rPr>
          <w:rFonts w:cs="Arial"/>
          <w:szCs w:val="24"/>
          <w:lang w:eastAsia="en-ZA"/>
        </w:rPr>
      </w:pPr>
      <w:r w:rsidRPr="00AB52EE">
        <w:rPr>
          <w:rFonts w:cs="Arial"/>
          <w:szCs w:val="24"/>
        </w:rPr>
        <w:t>It will be recalled that the requirements and safeguards laid down and adopted by our courts for Anton Piller</w:t>
      </w:r>
      <w:r w:rsidR="00E20F1B" w:rsidRPr="00AB52EE">
        <w:rPr>
          <w:rFonts w:cs="Arial"/>
          <w:szCs w:val="24"/>
        </w:rPr>
        <w:t>-type</w:t>
      </w:r>
      <w:r w:rsidRPr="00AB52EE">
        <w:rPr>
          <w:rFonts w:cs="Arial"/>
          <w:szCs w:val="24"/>
        </w:rPr>
        <w:t xml:space="preserve"> orders perform the critical function of justifying the </w:t>
      </w:r>
      <w:r w:rsidR="002205F7" w:rsidRPr="00AB52EE">
        <w:rPr>
          <w:rFonts w:cs="Arial"/>
          <w:szCs w:val="24"/>
        </w:rPr>
        <w:t xml:space="preserve">inherently invasive </w:t>
      </w:r>
      <w:r w:rsidRPr="00AB52EE">
        <w:rPr>
          <w:rFonts w:cs="Arial"/>
          <w:szCs w:val="24"/>
        </w:rPr>
        <w:t xml:space="preserve">limitation of </w:t>
      </w:r>
      <w:r w:rsidR="007D5490" w:rsidRPr="00AB52EE">
        <w:rPr>
          <w:rFonts w:cs="Arial"/>
          <w:szCs w:val="24"/>
        </w:rPr>
        <w:t>c</w:t>
      </w:r>
      <w:r w:rsidRPr="00AB52EE">
        <w:rPr>
          <w:rFonts w:cs="Arial"/>
          <w:szCs w:val="24"/>
        </w:rPr>
        <w:t xml:space="preserve">onstitutional rights that their employment involves. </w:t>
      </w:r>
      <w:r w:rsidR="002205F7" w:rsidRPr="00AB52EE">
        <w:rPr>
          <w:rFonts w:cs="Arial"/>
          <w:szCs w:val="24"/>
        </w:rPr>
        <w:t xml:space="preserve">Amongst the factors that section </w:t>
      </w:r>
      <w:r w:rsidR="007D5490" w:rsidRPr="00AB52EE">
        <w:rPr>
          <w:rFonts w:cs="Arial"/>
          <w:szCs w:val="24"/>
        </w:rPr>
        <w:t xml:space="preserve">36 of the Constitution </w:t>
      </w:r>
      <w:r w:rsidR="002205F7" w:rsidRPr="00AB52EE">
        <w:rPr>
          <w:rFonts w:cs="Arial"/>
          <w:szCs w:val="24"/>
        </w:rPr>
        <w:t xml:space="preserve">requires </w:t>
      </w:r>
      <w:r w:rsidR="00E20F1B" w:rsidRPr="00AB52EE">
        <w:rPr>
          <w:rFonts w:cs="Arial"/>
          <w:szCs w:val="24"/>
        </w:rPr>
        <w:t xml:space="preserve">courts </w:t>
      </w:r>
      <w:r w:rsidR="002205F7" w:rsidRPr="00AB52EE">
        <w:rPr>
          <w:rFonts w:cs="Arial"/>
          <w:szCs w:val="24"/>
        </w:rPr>
        <w:t xml:space="preserve">to </w:t>
      </w:r>
      <w:r w:rsidRPr="00AB52EE">
        <w:rPr>
          <w:rFonts w:cs="Arial"/>
          <w:szCs w:val="24"/>
        </w:rPr>
        <w:t xml:space="preserve">consider </w:t>
      </w:r>
      <w:r w:rsidR="002205F7" w:rsidRPr="00AB52EE">
        <w:rPr>
          <w:rFonts w:cs="Arial"/>
          <w:szCs w:val="24"/>
        </w:rPr>
        <w:t xml:space="preserve">in ensuring that </w:t>
      </w:r>
      <w:r w:rsidR="007D5490" w:rsidRPr="00AB52EE">
        <w:rPr>
          <w:rFonts w:cs="Arial"/>
          <w:szCs w:val="24"/>
        </w:rPr>
        <w:t xml:space="preserve">rights </w:t>
      </w:r>
      <w:r w:rsidR="002205F7" w:rsidRPr="00AB52EE">
        <w:rPr>
          <w:rFonts w:cs="Arial"/>
          <w:szCs w:val="24"/>
        </w:rPr>
        <w:t>limitation</w:t>
      </w:r>
      <w:r w:rsidR="007D5490" w:rsidRPr="00AB52EE">
        <w:rPr>
          <w:rFonts w:cs="Arial"/>
          <w:szCs w:val="24"/>
        </w:rPr>
        <w:t>s</w:t>
      </w:r>
      <w:r w:rsidR="002205F7" w:rsidRPr="00AB52EE">
        <w:rPr>
          <w:rFonts w:cs="Arial"/>
          <w:szCs w:val="24"/>
        </w:rPr>
        <w:t xml:space="preserve"> </w:t>
      </w:r>
      <w:r w:rsidR="007D5490" w:rsidRPr="00AB52EE">
        <w:rPr>
          <w:rFonts w:cs="Arial"/>
          <w:szCs w:val="24"/>
        </w:rPr>
        <w:t xml:space="preserve">are justifiable </w:t>
      </w:r>
      <w:r w:rsidR="002205F7" w:rsidRPr="00AB52EE">
        <w:rPr>
          <w:rFonts w:cs="Arial"/>
          <w:szCs w:val="24"/>
        </w:rPr>
        <w:t>in an open and democratic society based on human dignity, equality and freedom, are the importance and purpose of the limitation, the nature and extent of the limitation, the relationship between the limitation and its purpose</w:t>
      </w:r>
      <w:r w:rsidR="00E20F1B" w:rsidRPr="00AB52EE">
        <w:rPr>
          <w:rFonts w:cs="Arial"/>
          <w:szCs w:val="24"/>
        </w:rPr>
        <w:t>,</w:t>
      </w:r>
      <w:r w:rsidR="002205F7" w:rsidRPr="00AB52EE">
        <w:rPr>
          <w:rFonts w:cs="Arial"/>
          <w:szCs w:val="24"/>
        </w:rPr>
        <w:t xml:space="preserve"> and whether there are less restrictive means to achieve that purpose. In my view, the purpose of </w:t>
      </w:r>
      <w:r w:rsidR="00E20F1B" w:rsidRPr="00AB52EE">
        <w:rPr>
          <w:rFonts w:cs="Arial"/>
          <w:szCs w:val="24"/>
        </w:rPr>
        <w:t xml:space="preserve">ordinary </w:t>
      </w:r>
      <w:r w:rsidR="002205F7" w:rsidRPr="00AB52EE">
        <w:rPr>
          <w:rFonts w:cs="Arial"/>
          <w:szCs w:val="24"/>
        </w:rPr>
        <w:t xml:space="preserve">Anton Piller orders can be achieved by the </w:t>
      </w:r>
      <w:r w:rsidR="00A25BF2" w:rsidRPr="00AB52EE">
        <w:rPr>
          <w:rFonts w:cs="Arial"/>
          <w:szCs w:val="24"/>
        </w:rPr>
        <w:t>‘</w:t>
      </w:r>
      <w:r w:rsidR="002205F7" w:rsidRPr="00AB52EE">
        <w:rPr>
          <w:rFonts w:cs="Arial"/>
          <w:szCs w:val="24"/>
        </w:rPr>
        <w:t>less restrictive</w:t>
      </w:r>
      <w:r w:rsidR="00A25BF2" w:rsidRPr="00AB52EE">
        <w:rPr>
          <w:rFonts w:cs="Arial"/>
          <w:szCs w:val="24"/>
        </w:rPr>
        <w:t xml:space="preserve">’ (i.e. </w:t>
      </w:r>
      <w:r w:rsidR="00B535D4">
        <w:rPr>
          <w:rFonts w:cs="Arial"/>
          <w:szCs w:val="24"/>
        </w:rPr>
        <w:t xml:space="preserve">less restrictive </w:t>
      </w:r>
      <w:r w:rsidR="00A25BF2" w:rsidRPr="00AB52EE">
        <w:rPr>
          <w:rFonts w:cs="Arial"/>
          <w:szCs w:val="24"/>
        </w:rPr>
        <w:t xml:space="preserve">of the respondent’s </w:t>
      </w:r>
      <w:r w:rsidR="00B535D4">
        <w:rPr>
          <w:rFonts w:cs="Arial"/>
          <w:szCs w:val="24"/>
        </w:rPr>
        <w:t>c</w:t>
      </w:r>
      <w:r w:rsidR="00A25BF2" w:rsidRPr="00AB52EE">
        <w:rPr>
          <w:rFonts w:cs="Arial"/>
          <w:szCs w:val="24"/>
        </w:rPr>
        <w:t xml:space="preserve">onstitutional rights) means </w:t>
      </w:r>
      <w:r w:rsidR="002205F7" w:rsidRPr="00AB52EE">
        <w:rPr>
          <w:rFonts w:cs="Arial"/>
          <w:szCs w:val="24"/>
        </w:rPr>
        <w:t xml:space="preserve">of requiring the applicant to establish the </w:t>
      </w:r>
      <w:r w:rsidR="00AE3177" w:rsidRPr="00AB52EE">
        <w:rPr>
          <w:rFonts w:cs="Arial"/>
          <w:szCs w:val="24"/>
        </w:rPr>
        <w:t xml:space="preserve">challenged aspects of the </w:t>
      </w:r>
      <w:r w:rsidR="002205F7" w:rsidRPr="00AB52EE">
        <w:rPr>
          <w:rFonts w:cs="Arial"/>
          <w:szCs w:val="24"/>
        </w:rPr>
        <w:t xml:space="preserve">second </w:t>
      </w:r>
      <w:r w:rsidR="008E0BAF" w:rsidRPr="00AB52EE">
        <w:rPr>
          <w:rFonts w:cs="Arial"/>
          <w:szCs w:val="24"/>
          <w:lang w:eastAsia="en-ZA"/>
        </w:rPr>
        <w:t xml:space="preserve">threshold </w:t>
      </w:r>
      <w:r w:rsidR="002205F7" w:rsidRPr="00AB52EE">
        <w:rPr>
          <w:rFonts w:cs="Arial"/>
          <w:szCs w:val="24"/>
        </w:rPr>
        <w:t xml:space="preserve">requirement on a </w:t>
      </w:r>
      <w:r w:rsidR="00A07D19" w:rsidRPr="00AB52EE">
        <w:rPr>
          <w:rFonts w:cs="Arial"/>
          <w:szCs w:val="24"/>
          <w:lang w:eastAsia="en-ZA"/>
        </w:rPr>
        <w:t xml:space="preserve">preponderance </w:t>
      </w:r>
      <w:r w:rsidR="002205F7" w:rsidRPr="00AB52EE">
        <w:rPr>
          <w:rFonts w:cs="Arial"/>
          <w:szCs w:val="24"/>
        </w:rPr>
        <w:t>of probabilities</w:t>
      </w:r>
      <w:r w:rsidR="007D5490" w:rsidRPr="00AB52EE">
        <w:rPr>
          <w:rFonts w:cs="Arial"/>
          <w:szCs w:val="24"/>
        </w:rPr>
        <w:t>.</w:t>
      </w:r>
    </w:p>
    <w:p w14:paraId="45E4FA85" w14:textId="6822E638" w:rsidR="00A25BF2" w:rsidRPr="00AB52EE" w:rsidRDefault="00213258" w:rsidP="007A27ED">
      <w:pPr>
        <w:pStyle w:val="LC1"/>
        <w:rPr>
          <w:rFonts w:cs="Arial"/>
          <w:szCs w:val="24"/>
          <w:lang w:eastAsia="en-ZA"/>
        </w:rPr>
      </w:pPr>
      <w:r w:rsidRPr="00AB52EE">
        <w:rPr>
          <w:rFonts w:cs="Arial"/>
          <w:szCs w:val="24"/>
        </w:rPr>
        <w:t xml:space="preserve">The </w:t>
      </w:r>
      <w:r w:rsidR="00ED7E41" w:rsidRPr="00AB52EE">
        <w:rPr>
          <w:rFonts w:cs="Arial"/>
          <w:szCs w:val="24"/>
        </w:rPr>
        <w:t xml:space="preserve">practical problems </w:t>
      </w:r>
      <w:r w:rsidRPr="00AB52EE">
        <w:rPr>
          <w:rFonts w:cs="Arial"/>
          <w:szCs w:val="24"/>
        </w:rPr>
        <w:t xml:space="preserve">that might potentially be encountered in meeting the required standard of proof relating to </w:t>
      </w:r>
      <w:r w:rsidR="002205F7" w:rsidRPr="00AB52EE">
        <w:rPr>
          <w:rFonts w:cs="Arial"/>
          <w:szCs w:val="24"/>
        </w:rPr>
        <w:t xml:space="preserve">the possession question in ordinary Anton </w:t>
      </w:r>
      <w:r w:rsidR="002205F7" w:rsidRPr="00AB52EE">
        <w:rPr>
          <w:rFonts w:cs="Arial"/>
          <w:szCs w:val="24"/>
        </w:rPr>
        <w:lastRenderedPageBreak/>
        <w:t xml:space="preserve">Piller orders </w:t>
      </w:r>
      <w:r w:rsidR="00ED7E41" w:rsidRPr="00AB52EE">
        <w:rPr>
          <w:rFonts w:cs="Arial"/>
          <w:szCs w:val="24"/>
        </w:rPr>
        <w:t xml:space="preserve">are </w:t>
      </w:r>
      <w:r w:rsidR="002205F7" w:rsidRPr="00AB52EE">
        <w:rPr>
          <w:rFonts w:cs="Arial"/>
          <w:szCs w:val="24"/>
        </w:rPr>
        <w:t xml:space="preserve">reasonably </w:t>
      </w:r>
      <w:r w:rsidR="00ED7E41" w:rsidRPr="00AB52EE">
        <w:rPr>
          <w:rFonts w:cs="Arial"/>
          <w:szCs w:val="24"/>
        </w:rPr>
        <w:t>capable of being overcome</w:t>
      </w:r>
      <w:r w:rsidR="00A25BF2" w:rsidRPr="00AB52EE">
        <w:rPr>
          <w:rFonts w:cs="Arial"/>
          <w:szCs w:val="24"/>
        </w:rPr>
        <w:t xml:space="preserve"> by an applicant who takes </w:t>
      </w:r>
      <w:r w:rsidRPr="00AB52EE">
        <w:rPr>
          <w:rFonts w:cs="Arial"/>
          <w:szCs w:val="24"/>
        </w:rPr>
        <w:t>appropriate measures to do so</w:t>
      </w:r>
      <w:r w:rsidR="00A25BF2" w:rsidRPr="00AB52EE">
        <w:rPr>
          <w:rFonts w:cs="Arial"/>
          <w:szCs w:val="24"/>
        </w:rPr>
        <w:t>:</w:t>
      </w:r>
    </w:p>
    <w:p w14:paraId="7D786726" w14:textId="788D2650" w:rsidR="00337B11" w:rsidRPr="00AB52EE" w:rsidRDefault="00A25BF2" w:rsidP="007A27ED">
      <w:pPr>
        <w:pStyle w:val="LC2"/>
        <w:rPr>
          <w:rFonts w:cs="Arial"/>
          <w:szCs w:val="24"/>
          <w:lang w:eastAsia="en-ZA"/>
        </w:rPr>
      </w:pPr>
      <w:r w:rsidRPr="00AB52EE">
        <w:rPr>
          <w:rFonts w:cs="Arial"/>
          <w:szCs w:val="24"/>
        </w:rPr>
        <w:t xml:space="preserve">Firstly, </w:t>
      </w:r>
      <w:r w:rsidR="00213258" w:rsidRPr="00AB52EE">
        <w:rPr>
          <w:rFonts w:cs="Arial"/>
          <w:szCs w:val="24"/>
        </w:rPr>
        <w:t xml:space="preserve">the applicant </w:t>
      </w:r>
      <w:r w:rsidR="0055500B" w:rsidRPr="00AB52EE">
        <w:rPr>
          <w:rFonts w:cs="Arial"/>
          <w:szCs w:val="24"/>
        </w:rPr>
        <w:t xml:space="preserve">can and </w:t>
      </w:r>
      <w:r w:rsidR="00213258" w:rsidRPr="00AB52EE">
        <w:rPr>
          <w:rFonts w:cs="Arial"/>
          <w:szCs w:val="24"/>
        </w:rPr>
        <w:t xml:space="preserve">should ensure that the </w:t>
      </w:r>
      <w:r w:rsidR="00C12737" w:rsidRPr="00AB52EE">
        <w:rPr>
          <w:rFonts w:cs="Arial"/>
          <w:szCs w:val="24"/>
        </w:rPr>
        <w:t xml:space="preserve">items </w:t>
      </w:r>
      <w:r w:rsidRPr="00AB52EE">
        <w:rPr>
          <w:rFonts w:cs="Arial"/>
          <w:szCs w:val="24"/>
        </w:rPr>
        <w:t xml:space="preserve">to be searched for and </w:t>
      </w:r>
      <w:r w:rsidR="00DC3014" w:rsidRPr="00AB52EE">
        <w:rPr>
          <w:rFonts w:cs="Arial"/>
          <w:szCs w:val="24"/>
        </w:rPr>
        <w:t xml:space="preserve">attached </w:t>
      </w:r>
      <w:r w:rsidR="0055500B" w:rsidRPr="00AB52EE">
        <w:rPr>
          <w:rFonts w:cs="Arial"/>
          <w:szCs w:val="24"/>
        </w:rPr>
        <w:t xml:space="preserve">are </w:t>
      </w:r>
      <w:r w:rsidRPr="00AB52EE">
        <w:rPr>
          <w:rFonts w:cs="Arial"/>
          <w:szCs w:val="24"/>
        </w:rPr>
        <w:t>sufficiently specified</w:t>
      </w:r>
      <w:r w:rsidR="00213258" w:rsidRPr="00AB52EE">
        <w:rPr>
          <w:rFonts w:cs="Arial"/>
          <w:szCs w:val="24"/>
        </w:rPr>
        <w:t xml:space="preserve"> in the order</w:t>
      </w:r>
      <w:r w:rsidR="00B708F5" w:rsidRPr="00AB52EE">
        <w:rPr>
          <w:rFonts w:cs="Arial"/>
          <w:szCs w:val="24"/>
        </w:rPr>
        <w:t xml:space="preserve"> that it seeks and obtains</w:t>
      </w:r>
      <w:r w:rsidR="00213258" w:rsidRPr="00AB52EE">
        <w:rPr>
          <w:rFonts w:cs="Arial"/>
          <w:szCs w:val="24"/>
        </w:rPr>
        <w:t xml:space="preserve">. </w:t>
      </w:r>
    </w:p>
    <w:p w14:paraId="5A805B9B" w14:textId="32574BDC" w:rsidR="007D41CB" w:rsidRPr="00AB52EE" w:rsidRDefault="0055500B" w:rsidP="007A27ED">
      <w:pPr>
        <w:pStyle w:val="LC2"/>
        <w:rPr>
          <w:rFonts w:cs="Arial"/>
          <w:szCs w:val="24"/>
          <w:lang w:eastAsia="en-ZA"/>
        </w:rPr>
      </w:pPr>
      <w:r w:rsidRPr="00AB52EE">
        <w:rPr>
          <w:rFonts w:cs="Arial"/>
          <w:szCs w:val="24"/>
          <w:lang w:eastAsia="en-ZA"/>
        </w:rPr>
        <w:t>Secondly, the applicant can and should ensure that the affidavit</w:t>
      </w:r>
      <w:r w:rsidR="00337B11" w:rsidRPr="00AB52EE">
        <w:rPr>
          <w:rFonts w:cs="Arial"/>
          <w:szCs w:val="24"/>
          <w:lang w:eastAsia="en-ZA"/>
        </w:rPr>
        <w:t>s</w:t>
      </w:r>
      <w:r w:rsidRPr="00AB52EE">
        <w:rPr>
          <w:rFonts w:cs="Arial"/>
          <w:szCs w:val="24"/>
          <w:lang w:eastAsia="en-ZA"/>
        </w:rPr>
        <w:t xml:space="preserve"> filed by the </w:t>
      </w:r>
      <w:r w:rsidR="00441882" w:rsidRPr="00AB52EE">
        <w:rPr>
          <w:rFonts w:cs="Arial"/>
          <w:szCs w:val="24"/>
          <w:lang w:eastAsia="en-ZA"/>
        </w:rPr>
        <w:t xml:space="preserve">independent </w:t>
      </w:r>
      <w:r w:rsidRPr="00AB52EE">
        <w:rPr>
          <w:rFonts w:cs="Arial"/>
          <w:szCs w:val="24"/>
          <w:lang w:eastAsia="en-ZA"/>
        </w:rPr>
        <w:t xml:space="preserve">supervising attorney as a report to the </w:t>
      </w:r>
      <w:r w:rsidR="00A01AA1" w:rsidRPr="00AB52EE">
        <w:rPr>
          <w:rFonts w:cs="Arial"/>
          <w:szCs w:val="24"/>
          <w:lang w:eastAsia="en-ZA"/>
        </w:rPr>
        <w:t>C</w:t>
      </w:r>
      <w:r w:rsidRPr="00AB52EE">
        <w:rPr>
          <w:rFonts w:cs="Arial"/>
          <w:szCs w:val="24"/>
          <w:lang w:eastAsia="en-ZA"/>
        </w:rPr>
        <w:t>ourt</w:t>
      </w:r>
      <w:r w:rsidR="006477EC">
        <w:rPr>
          <w:rFonts w:cs="Arial"/>
          <w:szCs w:val="24"/>
          <w:lang w:eastAsia="en-ZA"/>
        </w:rPr>
        <w:t xml:space="preserve"> (which will effectively form part of the founding papers in any subsequent reconsideration)</w:t>
      </w:r>
      <w:r w:rsidR="007D41CB" w:rsidRPr="00AB52EE">
        <w:rPr>
          <w:rFonts w:cs="Arial"/>
          <w:szCs w:val="24"/>
          <w:lang w:eastAsia="en-ZA"/>
        </w:rPr>
        <w:t xml:space="preserve">: </w:t>
      </w:r>
    </w:p>
    <w:p w14:paraId="6F0AAD0E" w14:textId="64FBD9A0" w:rsidR="007D41CB" w:rsidRPr="00AB52EE" w:rsidRDefault="007D41CB">
      <w:pPr>
        <w:pStyle w:val="LC2"/>
        <w:numPr>
          <w:ilvl w:val="2"/>
          <w:numId w:val="3"/>
        </w:numPr>
        <w:rPr>
          <w:rFonts w:cs="Arial"/>
          <w:szCs w:val="24"/>
          <w:lang w:eastAsia="en-ZA"/>
        </w:rPr>
      </w:pPr>
      <w:r w:rsidRPr="00AB52EE">
        <w:rPr>
          <w:rFonts w:cs="Arial"/>
          <w:szCs w:val="24"/>
          <w:lang w:eastAsia="en-ZA"/>
        </w:rPr>
        <w:t xml:space="preserve">describe in sufficient detail </w:t>
      </w:r>
      <w:r w:rsidR="00337B11" w:rsidRPr="00AB52EE">
        <w:rPr>
          <w:rFonts w:cs="Arial"/>
          <w:szCs w:val="24"/>
        </w:rPr>
        <w:t>the methods that were employed by the independent persons who conducted the search</w:t>
      </w:r>
      <w:r w:rsidRPr="00AB52EE">
        <w:rPr>
          <w:rFonts w:cs="Arial"/>
          <w:szCs w:val="24"/>
        </w:rPr>
        <w:t xml:space="preserve"> </w:t>
      </w:r>
      <w:r w:rsidR="00337B11" w:rsidRPr="00AB52EE">
        <w:rPr>
          <w:rFonts w:cs="Arial"/>
          <w:szCs w:val="24"/>
        </w:rPr>
        <w:t xml:space="preserve">to determine whether the </w:t>
      </w:r>
      <w:r w:rsidR="00DC3014" w:rsidRPr="00AB52EE">
        <w:rPr>
          <w:rFonts w:cs="Arial"/>
          <w:szCs w:val="24"/>
        </w:rPr>
        <w:t xml:space="preserve">items </w:t>
      </w:r>
      <w:r w:rsidR="00337B11" w:rsidRPr="00AB52EE">
        <w:rPr>
          <w:rFonts w:cs="Arial"/>
          <w:szCs w:val="24"/>
        </w:rPr>
        <w:t xml:space="preserve">that </w:t>
      </w:r>
      <w:r w:rsidR="00DC3014" w:rsidRPr="00AB52EE">
        <w:rPr>
          <w:rFonts w:cs="Arial"/>
          <w:szCs w:val="24"/>
        </w:rPr>
        <w:t xml:space="preserve">were </w:t>
      </w:r>
      <w:r w:rsidR="00337B11" w:rsidRPr="00AB52EE">
        <w:rPr>
          <w:rFonts w:cs="Arial"/>
          <w:szCs w:val="24"/>
        </w:rPr>
        <w:t xml:space="preserve">found </w:t>
      </w:r>
      <w:r w:rsidRPr="00AB52EE">
        <w:rPr>
          <w:rFonts w:cs="Arial"/>
          <w:szCs w:val="24"/>
        </w:rPr>
        <w:t xml:space="preserve">met the </w:t>
      </w:r>
      <w:r w:rsidR="00337B11" w:rsidRPr="00AB52EE">
        <w:rPr>
          <w:rFonts w:cs="Arial"/>
          <w:szCs w:val="24"/>
        </w:rPr>
        <w:t>specification</w:t>
      </w:r>
      <w:r w:rsidRPr="00AB52EE">
        <w:rPr>
          <w:rFonts w:cs="Arial"/>
          <w:szCs w:val="24"/>
        </w:rPr>
        <w:t xml:space="preserve"> in the order and to ensure that only such </w:t>
      </w:r>
      <w:r w:rsidR="00C12737" w:rsidRPr="00AB52EE">
        <w:rPr>
          <w:rFonts w:cs="Arial"/>
          <w:szCs w:val="24"/>
        </w:rPr>
        <w:t xml:space="preserve">items were </w:t>
      </w:r>
      <w:r w:rsidR="00DC3014" w:rsidRPr="00AB52EE">
        <w:rPr>
          <w:rFonts w:cs="Arial"/>
          <w:szCs w:val="24"/>
        </w:rPr>
        <w:t>attached</w:t>
      </w:r>
      <w:r w:rsidRPr="00AB52EE">
        <w:rPr>
          <w:rFonts w:cs="Arial"/>
          <w:szCs w:val="24"/>
        </w:rPr>
        <w:t xml:space="preserve">; and </w:t>
      </w:r>
    </w:p>
    <w:p w14:paraId="1B67326A" w14:textId="311C998C" w:rsidR="00337B11" w:rsidRPr="00AB52EE" w:rsidRDefault="007D41CB">
      <w:pPr>
        <w:pStyle w:val="LC2"/>
        <w:numPr>
          <w:ilvl w:val="2"/>
          <w:numId w:val="3"/>
        </w:numPr>
        <w:rPr>
          <w:rFonts w:cs="Arial"/>
          <w:szCs w:val="24"/>
          <w:lang w:eastAsia="en-ZA"/>
        </w:rPr>
      </w:pPr>
      <w:r w:rsidRPr="00AB52EE">
        <w:rPr>
          <w:rFonts w:cs="Arial"/>
          <w:szCs w:val="24"/>
        </w:rPr>
        <w:t xml:space="preserve">state positively that </w:t>
      </w:r>
      <w:r w:rsidR="00B535D4">
        <w:rPr>
          <w:rFonts w:cs="Arial"/>
          <w:szCs w:val="24"/>
        </w:rPr>
        <w:t xml:space="preserve">such items and </w:t>
      </w:r>
      <w:r w:rsidRPr="00AB52EE">
        <w:rPr>
          <w:rFonts w:cs="Arial"/>
          <w:szCs w:val="24"/>
        </w:rPr>
        <w:t xml:space="preserve">only such </w:t>
      </w:r>
      <w:r w:rsidR="00C12737" w:rsidRPr="00AB52EE">
        <w:rPr>
          <w:rFonts w:cs="Arial"/>
          <w:szCs w:val="24"/>
        </w:rPr>
        <w:t xml:space="preserve">items </w:t>
      </w:r>
      <w:r w:rsidR="00DC3014" w:rsidRPr="00AB52EE">
        <w:rPr>
          <w:rFonts w:cs="Arial"/>
          <w:szCs w:val="24"/>
        </w:rPr>
        <w:t>were attached</w:t>
      </w:r>
      <w:r w:rsidR="003C4747" w:rsidRPr="00AB52EE">
        <w:rPr>
          <w:rFonts w:cs="Arial"/>
          <w:szCs w:val="24"/>
        </w:rPr>
        <w:t xml:space="preserve">, which will of course stand as sufficient proof </w:t>
      </w:r>
      <w:r w:rsidR="00B535D4">
        <w:rPr>
          <w:rFonts w:cs="Arial"/>
          <w:szCs w:val="24"/>
        </w:rPr>
        <w:t xml:space="preserve">unless </w:t>
      </w:r>
      <w:r w:rsidR="003C4747" w:rsidRPr="00AB52EE">
        <w:rPr>
          <w:rFonts w:cs="Arial"/>
          <w:szCs w:val="24"/>
        </w:rPr>
        <w:t>disputed by the respondent</w:t>
      </w:r>
      <w:r w:rsidRPr="00AB52EE">
        <w:rPr>
          <w:rFonts w:cs="Arial"/>
          <w:szCs w:val="24"/>
        </w:rPr>
        <w:t>.</w:t>
      </w:r>
    </w:p>
    <w:p w14:paraId="2992885F" w14:textId="61889755" w:rsidR="007D41CB" w:rsidRPr="00AB52EE" w:rsidRDefault="007D41CB" w:rsidP="007A27ED">
      <w:pPr>
        <w:pStyle w:val="LC2"/>
        <w:rPr>
          <w:rFonts w:cs="Arial"/>
          <w:szCs w:val="24"/>
          <w:lang w:eastAsia="en-ZA"/>
        </w:rPr>
      </w:pPr>
      <w:r w:rsidRPr="00AB52EE">
        <w:rPr>
          <w:rFonts w:cs="Arial"/>
          <w:szCs w:val="24"/>
          <w:lang w:eastAsia="en-ZA"/>
        </w:rPr>
        <w:t xml:space="preserve">Thirdly, the applicant can and should ensure not </w:t>
      </w:r>
      <w:r w:rsidR="003C4747" w:rsidRPr="00AB52EE">
        <w:rPr>
          <w:rFonts w:cs="Arial"/>
          <w:szCs w:val="24"/>
          <w:lang w:eastAsia="en-ZA"/>
        </w:rPr>
        <w:t xml:space="preserve">only </w:t>
      </w:r>
      <w:r w:rsidRPr="00AB52EE">
        <w:rPr>
          <w:rFonts w:cs="Arial"/>
          <w:szCs w:val="24"/>
          <w:lang w:eastAsia="en-ZA"/>
        </w:rPr>
        <w:t xml:space="preserve">that the </w:t>
      </w:r>
      <w:r w:rsidRPr="00AB52EE">
        <w:rPr>
          <w:rFonts w:cs="Arial"/>
          <w:szCs w:val="24"/>
        </w:rPr>
        <w:t>inventor</w:t>
      </w:r>
      <w:r w:rsidR="00FF29B8" w:rsidRPr="00AB52EE">
        <w:rPr>
          <w:rFonts w:cs="Arial"/>
          <w:szCs w:val="24"/>
        </w:rPr>
        <w:t>ies</w:t>
      </w:r>
      <w:r w:rsidRPr="00AB52EE">
        <w:rPr>
          <w:rFonts w:cs="Arial"/>
          <w:szCs w:val="24"/>
        </w:rPr>
        <w:t xml:space="preserve"> prepared by the </w:t>
      </w:r>
      <w:r w:rsidR="00A04F0D" w:rsidRPr="00AB52EE">
        <w:rPr>
          <w:rFonts w:cs="Arial"/>
          <w:szCs w:val="24"/>
        </w:rPr>
        <w:t>S</w:t>
      </w:r>
      <w:r w:rsidRPr="00AB52EE">
        <w:rPr>
          <w:rFonts w:cs="Arial"/>
          <w:szCs w:val="24"/>
        </w:rPr>
        <w:t xml:space="preserve">heriff </w:t>
      </w:r>
      <w:r w:rsidR="00FF29B8" w:rsidRPr="00AB52EE">
        <w:rPr>
          <w:rFonts w:cs="Arial"/>
          <w:szCs w:val="24"/>
        </w:rPr>
        <w:t xml:space="preserve">and </w:t>
      </w:r>
      <w:r w:rsidR="00441882" w:rsidRPr="00AB52EE">
        <w:rPr>
          <w:rFonts w:cs="Arial"/>
          <w:szCs w:val="24"/>
        </w:rPr>
        <w:t xml:space="preserve">independent </w:t>
      </w:r>
      <w:r w:rsidRPr="00AB52EE">
        <w:rPr>
          <w:rFonts w:cs="Arial"/>
          <w:szCs w:val="24"/>
        </w:rPr>
        <w:t xml:space="preserve">supervising attorney adequately identify the </w:t>
      </w:r>
      <w:r w:rsidR="00DC3014" w:rsidRPr="00AB52EE">
        <w:rPr>
          <w:rFonts w:cs="Arial"/>
          <w:szCs w:val="24"/>
        </w:rPr>
        <w:t>attached items</w:t>
      </w:r>
      <w:r w:rsidR="003C4747" w:rsidRPr="00AB52EE">
        <w:rPr>
          <w:rFonts w:cs="Arial"/>
          <w:szCs w:val="24"/>
        </w:rPr>
        <w:t>,</w:t>
      </w:r>
      <w:r w:rsidR="003C4747" w:rsidRPr="00AB52EE">
        <w:rPr>
          <w:rStyle w:val="FootnoteReference"/>
          <w:szCs w:val="24"/>
        </w:rPr>
        <w:footnoteReference w:id="62"/>
      </w:r>
      <w:r w:rsidR="003C4747" w:rsidRPr="00AB52EE">
        <w:rPr>
          <w:rFonts w:cs="Arial"/>
          <w:szCs w:val="24"/>
        </w:rPr>
        <w:t xml:space="preserve"> </w:t>
      </w:r>
      <w:r w:rsidRPr="00AB52EE">
        <w:rPr>
          <w:rFonts w:cs="Arial"/>
          <w:szCs w:val="24"/>
        </w:rPr>
        <w:t xml:space="preserve">but </w:t>
      </w:r>
      <w:r w:rsidR="003C4747" w:rsidRPr="00AB52EE">
        <w:rPr>
          <w:rFonts w:cs="Arial"/>
          <w:szCs w:val="24"/>
        </w:rPr>
        <w:t xml:space="preserve">also </w:t>
      </w:r>
      <w:r w:rsidRPr="00AB52EE">
        <w:rPr>
          <w:rFonts w:cs="Arial"/>
          <w:szCs w:val="24"/>
        </w:rPr>
        <w:t>that the respondent is given an opportunity to inspect the</w:t>
      </w:r>
      <w:r w:rsidR="00273C6E">
        <w:rPr>
          <w:rFonts w:cs="Arial"/>
          <w:szCs w:val="24"/>
        </w:rPr>
        <w:t>m</w:t>
      </w:r>
      <w:r w:rsidRPr="00AB52EE">
        <w:rPr>
          <w:rFonts w:cs="Arial"/>
          <w:szCs w:val="24"/>
        </w:rPr>
        <w:t xml:space="preserve"> prior to the delivery of its answering affidavit so that it may identify any </w:t>
      </w:r>
      <w:r w:rsidR="000C37E1" w:rsidRPr="00AB52EE">
        <w:rPr>
          <w:rFonts w:cs="Arial"/>
          <w:szCs w:val="24"/>
        </w:rPr>
        <w:t xml:space="preserve">that </w:t>
      </w:r>
      <w:r w:rsidR="00961577" w:rsidRPr="00AB52EE">
        <w:rPr>
          <w:rFonts w:cs="Arial"/>
          <w:szCs w:val="24"/>
        </w:rPr>
        <w:t xml:space="preserve">do </w:t>
      </w:r>
      <w:r w:rsidRPr="00AB52EE">
        <w:rPr>
          <w:rFonts w:cs="Arial"/>
          <w:szCs w:val="24"/>
        </w:rPr>
        <w:t xml:space="preserve">not meet </w:t>
      </w:r>
      <w:r w:rsidRPr="00AB52EE">
        <w:rPr>
          <w:rFonts w:cs="Arial"/>
          <w:szCs w:val="24"/>
        </w:rPr>
        <w:lastRenderedPageBreak/>
        <w:t>the specification in the order and raise this in its answering papers.</w:t>
      </w:r>
    </w:p>
    <w:p w14:paraId="62956FA9" w14:textId="18246A96" w:rsidR="003C4747" w:rsidRPr="00AB52EE" w:rsidRDefault="003C4747" w:rsidP="007A27ED">
      <w:pPr>
        <w:pStyle w:val="LC2"/>
        <w:rPr>
          <w:rFonts w:cs="Arial"/>
          <w:szCs w:val="24"/>
          <w:lang w:eastAsia="en-ZA"/>
        </w:rPr>
      </w:pPr>
      <w:r w:rsidRPr="00AB52EE">
        <w:rPr>
          <w:rFonts w:cs="Arial"/>
          <w:szCs w:val="24"/>
          <w:lang w:eastAsia="en-ZA"/>
        </w:rPr>
        <w:t xml:space="preserve">Fourthly, </w:t>
      </w:r>
      <w:r w:rsidR="00E20F1B" w:rsidRPr="00AB52EE">
        <w:rPr>
          <w:rFonts w:cs="Arial"/>
          <w:szCs w:val="24"/>
          <w:lang w:eastAsia="en-ZA"/>
        </w:rPr>
        <w:t xml:space="preserve">should </w:t>
      </w:r>
      <w:r w:rsidRPr="00AB52EE">
        <w:rPr>
          <w:rFonts w:cs="Arial"/>
          <w:szCs w:val="24"/>
          <w:lang w:eastAsia="en-ZA"/>
        </w:rPr>
        <w:t xml:space="preserve">the respondent dispute the positive statement of the independent supervising attorney that </w:t>
      </w:r>
      <w:r w:rsidR="00AE3177" w:rsidRPr="00AB52EE">
        <w:rPr>
          <w:rFonts w:cs="Arial"/>
          <w:szCs w:val="24"/>
          <w:lang w:eastAsia="en-ZA"/>
        </w:rPr>
        <w:t xml:space="preserve">no </w:t>
      </w:r>
      <w:r w:rsidRPr="00AB52EE">
        <w:rPr>
          <w:rFonts w:cs="Arial"/>
          <w:szCs w:val="24"/>
          <w:lang w:eastAsia="en-ZA"/>
        </w:rPr>
        <w:t xml:space="preserve">non-specified </w:t>
      </w:r>
      <w:r w:rsidR="00961577" w:rsidRPr="00AB52EE">
        <w:rPr>
          <w:rFonts w:cs="Arial"/>
          <w:szCs w:val="24"/>
          <w:lang w:eastAsia="en-ZA"/>
        </w:rPr>
        <w:t xml:space="preserve">items were </w:t>
      </w:r>
      <w:r w:rsidR="00DC3014" w:rsidRPr="00AB52EE">
        <w:rPr>
          <w:rFonts w:cs="Arial"/>
          <w:szCs w:val="24"/>
        </w:rPr>
        <w:t xml:space="preserve">attached </w:t>
      </w:r>
      <w:r w:rsidR="00E20F1B" w:rsidRPr="00AB52EE">
        <w:rPr>
          <w:rFonts w:cs="Arial"/>
          <w:szCs w:val="24"/>
          <w:lang w:eastAsia="en-ZA"/>
        </w:rPr>
        <w:t>(substantiated by the description of the methods employed to ensure this)</w:t>
      </w:r>
      <w:r w:rsidRPr="00AB52EE">
        <w:rPr>
          <w:rFonts w:cs="Arial"/>
          <w:szCs w:val="24"/>
          <w:lang w:eastAsia="en-ZA"/>
        </w:rPr>
        <w:t xml:space="preserve">, it will not be able to do so by means of bare, </w:t>
      </w:r>
      <w:r w:rsidR="00DC3014" w:rsidRPr="00AB52EE">
        <w:rPr>
          <w:rFonts w:cs="Arial"/>
          <w:szCs w:val="24"/>
          <w:lang w:eastAsia="en-ZA"/>
        </w:rPr>
        <w:t xml:space="preserve">speculative </w:t>
      </w:r>
      <w:r w:rsidRPr="00AB52EE">
        <w:rPr>
          <w:rFonts w:cs="Arial"/>
          <w:szCs w:val="24"/>
          <w:lang w:eastAsia="en-ZA"/>
        </w:rPr>
        <w:t>or otherwise far-fetched or clearly untenable allegations.</w:t>
      </w:r>
      <w:r w:rsidRPr="00AB52EE">
        <w:rPr>
          <w:rStyle w:val="FootnoteReference"/>
          <w:szCs w:val="24"/>
          <w:lang w:eastAsia="en-ZA"/>
        </w:rPr>
        <w:footnoteReference w:id="63"/>
      </w:r>
      <w:r w:rsidRPr="00AB52EE">
        <w:rPr>
          <w:rFonts w:cs="Arial"/>
          <w:szCs w:val="24"/>
          <w:lang w:eastAsia="en-ZA"/>
        </w:rPr>
        <w:t xml:space="preserve"> It will have to </w:t>
      </w:r>
      <w:r w:rsidR="00AE3177" w:rsidRPr="00AB52EE">
        <w:rPr>
          <w:rFonts w:cs="Arial"/>
          <w:szCs w:val="24"/>
          <w:lang w:eastAsia="en-ZA"/>
        </w:rPr>
        <w:t xml:space="preserve">cogently explain why any of </w:t>
      </w:r>
      <w:r w:rsidRPr="00AB52EE">
        <w:rPr>
          <w:rFonts w:cs="Arial"/>
          <w:szCs w:val="24"/>
          <w:lang w:eastAsia="en-ZA"/>
        </w:rPr>
        <w:t>the inventorised items falls outside the specification</w:t>
      </w:r>
      <w:r w:rsidR="00AE3177" w:rsidRPr="00AB52EE">
        <w:rPr>
          <w:rFonts w:cs="Arial"/>
          <w:szCs w:val="24"/>
          <w:lang w:eastAsia="en-ZA"/>
        </w:rPr>
        <w:t xml:space="preserve"> </w:t>
      </w:r>
      <w:r w:rsidRPr="00AB52EE">
        <w:rPr>
          <w:rFonts w:cs="Arial"/>
          <w:szCs w:val="24"/>
          <w:lang w:eastAsia="en-ZA"/>
        </w:rPr>
        <w:t>– even if it cannot be expected to go so far as attach</w:t>
      </w:r>
      <w:r w:rsidR="000C37E1" w:rsidRPr="00AB52EE">
        <w:rPr>
          <w:rFonts w:cs="Arial"/>
          <w:szCs w:val="24"/>
          <w:lang w:eastAsia="en-ZA"/>
        </w:rPr>
        <w:t>ing</w:t>
      </w:r>
      <w:r w:rsidRPr="00AB52EE">
        <w:rPr>
          <w:rFonts w:cs="Arial"/>
          <w:szCs w:val="24"/>
          <w:lang w:eastAsia="en-ZA"/>
        </w:rPr>
        <w:t xml:space="preserve"> the contested evidence to its affidavits. </w:t>
      </w:r>
    </w:p>
    <w:p w14:paraId="52A5FD81" w14:textId="68723D7D" w:rsidR="007D41CB" w:rsidRPr="00AB52EE" w:rsidRDefault="003C4747" w:rsidP="007A27ED">
      <w:pPr>
        <w:pStyle w:val="LC2"/>
        <w:rPr>
          <w:rFonts w:cs="Arial"/>
          <w:szCs w:val="24"/>
          <w:lang w:eastAsia="en-ZA"/>
        </w:rPr>
      </w:pPr>
      <w:r w:rsidRPr="00AB52EE">
        <w:rPr>
          <w:rFonts w:cs="Arial"/>
          <w:szCs w:val="24"/>
        </w:rPr>
        <w:t>Fifthly</w:t>
      </w:r>
      <w:r w:rsidR="007D41CB" w:rsidRPr="00AB52EE">
        <w:rPr>
          <w:rFonts w:cs="Arial"/>
          <w:szCs w:val="24"/>
        </w:rPr>
        <w:t xml:space="preserve">, when the applicant delivers its replying papers, there is no reason why it </w:t>
      </w:r>
      <w:r w:rsidR="000C37E1" w:rsidRPr="00AB52EE">
        <w:rPr>
          <w:rFonts w:cs="Arial"/>
          <w:szCs w:val="24"/>
        </w:rPr>
        <w:t xml:space="preserve">could not </w:t>
      </w:r>
      <w:r w:rsidR="007D41CB" w:rsidRPr="00AB52EE">
        <w:rPr>
          <w:rFonts w:cs="Arial"/>
          <w:szCs w:val="24"/>
        </w:rPr>
        <w:t xml:space="preserve">adduce affidavits deposed to by the </w:t>
      </w:r>
      <w:r w:rsidR="00AE3177" w:rsidRPr="00AB52EE">
        <w:rPr>
          <w:rFonts w:cs="Arial"/>
          <w:szCs w:val="24"/>
        </w:rPr>
        <w:t xml:space="preserve">members of the search party </w:t>
      </w:r>
      <w:r w:rsidR="007D41CB" w:rsidRPr="00AB52EE">
        <w:rPr>
          <w:rFonts w:cs="Arial"/>
          <w:szCs w:val="24"/>
        </w:rPr>
        <w:t xml:space="preserve">explaining why the respondent’s contention that non-specified </w:t>
      </w:r>
      <w:r w:rsidR="00961577" w:rsidRPr="00AB52EE">
        <w:rPr>
          <w:rFonts w:cs="Arial"/>
          <w:szCs w:val="24"/>
        </w:rPr>
        <w:t xml:space="preserve">items were </w:t>
      </w:r>
      <w:r w:rsidR="00DC3014" w:rsidRPr="00AB52EE">
        <w:rPr>
          <w:rFonts w:cs="Arial"/>
          <w:szCs w:val="24"/>
        </w:rPr>
        <w:t>attached</w:t>
      </w:r>
      <w:r w:rsidR="000C37E1" w:rsidRPr="00AB52EE">
        <w:rPr>
          <w:rFonts w:cs="Arial"/>
          <w:szCs w:val="24"/>
        </w:rPr>
        <w:t xml:space="preserve"> is factually incorrect</w:t>
      </w:r>
      <w:r w:rsidR="007D41CB" w:rsidRPr="00AB52EE">
        <w:rPr>
          <w:rFonts w:cs="Arial"/>
          <w:szCs w:val="24"/>
        </w:rPr>
        <w:t xml:space="preserve">.  </w:t>
      </w:r>
    </w:p>
    <w:p w14:paraId="3C6F6ED6" w14:textId="165904E7" w:rsidR="00A73048" w:rsidRPr="00AB52EE" w:rsidRDefault="003C4747" w:rsidP="007A27ED">
      <w:pPr>
        <w:pStyle w:val="LC2"/>
        <w:rPr>
          <w:rFonts w:cs="Arial"/>
          <w:szCs w:val="24"/>
          <w:lang w:eastAsia="en-ZA"/>
        </w:rPr>
      </w:pPr>
      <w:r w:rsidRPr="00AB52EE">
        <w:rPr>
          <w:rFonts w:cs="Arial"/>
          <w:szCs w:val="24"/>
          <w:lang w:eastAsia="en-ZA"/>
        </w:rPr>
        <w:t xml:space="preserve">Finally, </w:t>
      </w:r>
      <w:r w:rsidR="00E20F1B" w:rsidRPr="00AB52EE">
        <w:rPr>
          <w:rFonts w:cs="Arial"/>
          <w:szCs w:val="24"/>
          <w:lang w:eastAsia="en-ZA"/>
        </w:rPr>
        <w:t xml:space="preserve">if the factual disputes relating to the possession question cannot be resolved on the basis of the </w:t>
      </w:r>
      <w:r w:rsidR="00E20F1B" w:rsidRPr="00AB52EE">
        <w:rPr>
          <w:rFonts w:cs="Arial"/>
          <w:i/>
          <w:iCs/>
          <w:szCs w:val="24"/>
          <w:lang w:eastAsia="en-ZA"/>
        </w:rPr>
        <w:t>Plascon Evans</w:t>
      </w:r>
      <w:r w:rsidR="00E20F1B" w:rsidRPr="00AB52EE">
        <w:rPr>
          <w:rFonts w:cs="Arial"/>
          <w:szCs w:val="24"/>
          <w:lang w:eastAsia="en-ZA"/>
        </w:rPr>
        <w:t xml:space="preserve"> rule in the light of all the above information, it remains open to the applicant to seek a referral of the </w:t>
      </w:r>
      <w:r w:rsidR="00AE3177" w:rsidRPr="00AB52EE">
        <w:rPr>
          <w:rFonts w:cs="Arial"/>
          <w:szCs w:val="24"/>
          <w:lang w:eastAsia="en-ZA"/>
        </w:rPr>
        <w:t xml:space="preserve">issue </w:t>
      </w:r>
      <w:r w:rsidR="00E20F1B" w:rsidRPr="00AB52EE">
        <w:rPr>
          <w:rFonts w:cs="Arial"/>
          <w:szCs w:val="24"/>
          <w:lang w:eastAsia="en-ZA"/>
        </w:rPr>
        <w:t xml:space="preserve">to oral evidence. </w:t>
      </w:r>
    </w:p>
    <w:p w14:paraId="32DE9F10" w14:textId="393DFBA2" w:rsidR="00A53ED1" w:rsidRPr="00AB52EE" w:rsidRDefault="00A53ED1" w:rsidP="007A27ED">
      <w:pPr>
        <w:pStyle w:val="LC1"/>
        <w:rPr>
          <w:rFonts w:cs="Arial"/>
          <w:szCs w:val="24"/>
          <w:lang w:eastAsia="en-ZA"/>
        </w:rPr>
      </w:pPr>
      <w:r w:rsidRPr="00AB52EE">
        <w:rPr>
          <w:rFonts w:cs="Arial"/>
          <w:szCs w:val="24"/>
          <w:lang w:eastAsia="en-ZA"/>
        </w:rPr>
        <w:t>I therefore conclude that</w:t>
      </w:r>
      <w:r w:rsidR="00D1798F" w:rsidRPr="00AB52EE">
        <w:rPr>
          <w:rFonts w:cs="Arial"/>
          <w:szCs w:val="24"/>
          <w:lang w:eastAsia="en-ZA"/>
        </w:rPr>
        <w:t xml:space="preserve"> the applicant is required in reconsideration proceedings to establish the </w:t>
      </w:r>
      <w:r w:rsidR="00AE2A9D" w:rsidRPr="00AB52EE">
        <w:rPr>
          <w:rFonts w:cs="Arial"/>
          <w:szCs w:val="24"/>
          <w:lang w:eastAsia="en-ZA"/>
        </w:rPr>
        <w:t xml:space="preserve">challenged aspects of the </w:t>
      </w:r>
      <w:r w:rsidR="00D1798F" w:rsidRPr="00AB52EE">
        <w:rPr>
          <w:rFonts w:cs="Arial"/>
          <w:szCs w:val="24"/>
          <w:lang w:eastAsia="en-ZA"/>
        </w:rPr>
        <w:t xml:space="preserve">second </w:t>
      </w:r>
      <w:r w:rsidR="008E0BAF" w:rsidRPr="00AB52EE">
        <w:rPr>
          <w:rFonts w:cs="Arial"/>
          <w:szCs w:val="24"/>
          <w:lang w:eastAsia="en-ZA"/>
        </w:rPr>
        <w:t xml:space="preserve">threshold </w:t>
      </w:r>
      <w:r w:rsidR="00D1798F" w:rsidRPr="00AB52EE">
        <w:rPr>
          <w:rFonts w:cs="Arial"/>
          <w:szCs w:val="24"/>
          <w:lang w:eastAsia="en-ZA"/>
        </w:rPr>
        <w:t xml:space="preserve">requirement </w:t>
      </w:r>
      <w:r w:rsidR="008E0BAF" w:rsidRPr="00AB52EE">
        <w:rPr>
          <w:rFonts w:cs="Arial"/>
          <w:szCs w:val="24"/>
          <w:lang w:eastAsia="en-ZA"/>
        </w:rPr>
        <w:t xml:space="preserve">for </w:t>
      </w:r>
      <w:r w:rsidR="00D1798F" w:rsidRPr="00AB52EE">
        <w:rPr>
          <w:rFonts w:cs="Arial"/>
          <w:szCs w:val="24"/>
          <w:lang w:eastAsia="en-ZA"/>
        </w:rPr>
        <w:t>an Anton Piller order on a preponderance of probabilities</w:t>
      </w:r>
      <w:r w:rsidR="00A07D19" w:rsidRPr="00AB52EE">
        <w:rPr>
          <w:rFonts w:cs="Arial"/>
          <w:szCs w:val="24"/>
          <w:lang w:eastAsia="en-ZA"/>
        </w:rPr>
        <w:t>.</w:t>
      </w:r>
    </w:p>
    <w:p w14:paraId="717A1AC8" w14:textId="6ED10158" w:rsidR="00A53ED1" w:rsidRPr="00AB52EE" w:rsidRDefault="00B07535" w:rsidP="00D85020">
      <w:pPr>
        <w:pStyle w:val="LC1"/>
        <w:keepNext/>
        <w:numPr>
          <w:ilvl w:val="0"/>
          <w:numId w:val="0"/>
        </w:numPr>
        <w:rPr>
          <w:rFonts w:cs="Arial"/>
          <w:szCs w:val="24"/>
          <w:u w:val="single"/>
          <w:lang w:eastAsia="en-ZA"/>
        </w:rPr>
      </w:pPr>
      <w:r w:rsidRPr="00AB52EE">
        <w:rPr>
          <w:rFonts w:cs="Arial"/>
          <w:szCs w:val="24"/>
          <w:u w:val="single"/>
          <w:lang w:eastAsia="en-ZA"/>
        </w:rPr>
        <w:lastRenderedPageBreak/>
        <w:t>Onus and standard of proof of t</w:t>
      </w:r>
      <w:r w:rsidR="00A53ED1" w:rsidRPr="00AB52EE">
        <w:rPr>
          <w:rFonts w:cs="Arial"/>
          <w:szCs w:val="24"/>
          <w:u w:val="single"/>
          <w:lang w:eastAsia="en-ZA"/>
        </w:rPr>
        <w:t xml:space="preserve">he third </w:t>
      </w:r>
      <w:r w:rsidR="008E0BAF" w:rsidRPr="00AB52EE">
        <w:rPr>
          <w:rFonts w:cs="Arial"/>
          <w:szCs w:val="24"/>
          <w:u w:val="single"/>
          <w:lang w:eastAsia="en-ZA"/>
        </w:rPr>
        <w:t xml:space="preserve">threshold </w:t>
      </w:r>
      <w:r w:rsidR="00A53ED1" w:rsidRPr="00AB52EE">
        <w:rPr>
          <w:rFonts w:cs="Arial"/>
          <w:szCs w:val="24"/>
          <w:u w:val="single"/>
          <w:lang w:eastAsia="en-ZA"/>
        </w:rPr>
        <w:t>requirement</w:t>
      </w:r>
      <w:r w:rsidRPr="00AB52EE">
        <w:rPr>
          <w:rFonts w:cs="Arial"/>
          <w:szCs w:val="24"/>
          <w:u w:val="single"/>
          <w:lang w:eastAsia="en-ZA"/>
        </w:rPr>
        <w:t xml:space="preserve"> upon reconsideration</w:t>
      </w:r>
    </w:p>
    <w:p w14:paraId="4520844D" w14:textId="69AD6A4E" w:rsidR="00A07D19" w:rsidRPr="00AB52EE" w:rsidRDefault="00A07D19" w:rsidP="007A27ED">
      <w:pPr>
        <w:pStyle w:val="LC1"/>
        <w:rPr>
          <w:rFonts w:cs="Arial"/>
          <w:szCs w:val="24"/>
          <w:lang w:eastAsia="en-ZA"/>
        </w:rPr>
      </w:pPr>
      <w:r w:rsidRPr="00AB52EE">
        <w:rPr>
          <w:rFonts w:cs="Arial"/>
          <w:i/>
          <w:iCs/>
          <w:szCs w:val="24"/>
          <w:lang w:eastAsia="en-ZA"/>
        </w:rPr>
        <w:t>Non-Detonating Solutions</w:t>
      </w:r>
      <w:r w:rsidR="00640954" w:rsidRPr="00AB52EE">
        <w:rPr>
          <w:rFonts w:cs="Arial"/>
          <w:szCs w:val="24"/>
          <w:lang w:eastAsia="en-ZA"/>
        </w:rPr>
        <w:t xml:space="preserve"> </w:t>
      </w:r>
      <w:r w:rsidR="00AA633B" w:rsidRPr="00AB52EE">
        <w:rPr>
          <w:rFonts w:cs="Arial"/>
          <w:szCs w:val="24"/>
          <w:lang w:eastAsia="en-ZA"/>
        </w:rPr>
        <w:t xml:space="preserve">does not support </w:t>
      </w:r>
      <w:r w:rsidR="00640954" w:rsidRPr="00AB52EE">
        <w:rPr>
          <w:rFonts w:cs="Arial"/>
          <w:szCs w:val="24"/>
          <w:lang w:eastAsia="en-ZA"/>
        </w:rPr>
        <w:t xml:space="preserve">Supercart’s </w:t>
      </w:r>
      <w:r w:rsidR="00AA633B" w:rsidRPr="00AB52EE">
        <w:rPr>
          <w:rFonts w:cs="Arial"/>
          <w:szCs w:val="24"/>
          <w:lang w:eastAsia="en-ZA"/>
        </w:rPr>
        <w:t xml:space="preserve">submission </w:t>
      </w:r>
      <w:r w:rsidR="00640954" w:rsidRPr="00AB52EE">
        <w:rPr>
          <w:rFonts w:cs="Arial"/>
          <w:szCs w:val="24"/>
          <w:lang w:eastAsia="en-ZA"/>
        </w:rPr>
        <w:t xml:space="preserve">regarding the nature of the enquiry </w:t>
      </w:r>
      <w:r w:rsidR="00BC293A">
        <w:rPr>
          <w:rFonts w:cs="Arial"/>
          <w:szCs w:val="24"/>
          <w:lang w:eastAsia="en-ZA"/>
        </w:rPr>
        <w:t xml:space="preserve">into </w:t>
      </w:r>
      <w:r w:rsidR="00640954" w:rsidRPr="00AB52EE">
        <w:rPr>
          <w:rFonts w:cs="Arial"/>
          <w:szCs w:val="24"/>
          <w:lang w:eastAsia="en-ZA"/>
        </w:rPr>
        <w:t xml:space="preserve">the third </w:t>
      </w:r>
      <w:r w:rsidR="00AE3177" w:rsidRPr="00AB52EE">
        <w:rPr>
          <w:rFonts w:cs="Arial"/>
          <w:szCs w:val="24"/>
          <w:lang w:eastAsia="en-ZA"/>
        </w:rPr>
        <w:t xml:space="preserve">threshold </w:t>
      </w:r>
      <w:r w:rsidR="00640954" w:rsidRPr="00AB52EE">
        <w:rPr>
          <w:rFonts w:cs="Arial"/>
          <w:szCs w:val="24"/>
          <w:lang w:eastAsia="en-ZA"/>
        </w:rPr>
        <w:t>requirement upon reconsideration</w:t>
      </w:r>
      <w:r w:rsidR="002A0B16" w:rsidRPr="00AB52EE">
        <w:rPr>
          <w:rFonts w:cs="Arial"/>
          <w:szCs w:val="24"/>
          <w:lang w:eastAsia="en-ZA"/>
        </w:rPr>
        <w:t xml:space="preserve"> of an ordinary Anton Piller order</w:t>
      </w:r>
      <w:r w:rsidR="00AA633B" w:rsidRPr="00AB52EE">
        <w:rPr>
          <w:rFonts w:cs="Arial"/>
          <w:szCs w:val="24"/>
          <w:lang w:eastAsia="en-ZA"/>
        </w:rPr>
        <w:t xml:space="preserve"> in all respects</w:t>
      </w:r>
      <w:r w:rsidR="00640954" w:rsidRPr="00AB52EE">
        <w:rPr>
          <w:rFonts w:cs="Arial"/>
          <w:szCs w:val="24"/>
          <w:lang w:eastAsia="en-ZA"/>
        </w:rPr>
        <w:t xml:space="preserve">. </w:t>
      </w:r>
      <w:r w:rsidR="002A0B16" w:rsidRPr="00AB52EE">
        <w:rPr>
          <w:rFonts w:cs="Arial"/>
          <w:szCs w:val="24"/>
          <w:lang w:eastAsia="en-ZA"/>
        </w:rPr>
        <w:t xml:space="preserve">Apart from the fact that it was a Cerebos-type case, </w:t>
      </w:r>
      <w:r w:rsidRPr="00AB52EE">
        <w:rPr>
          <w:rFonts w:cs="Arial"/>
          <w:szCs w:val="24"/>
          <w:lang w:eastAsia="en-ZA"/>
        </w:rPr>
        <w:t xml:space="preserve">the </w:t>
      </w:r>
      <w:r w:rsidR="0049036D" w:rsidRPr="00AB52EE">
        <w:rPr>
          <w:rFonts w:cs="Arial"/>
          <w:szCs w:val="24"/>
          <w:lang w:eastAsia="en-ZA"/>
        </w:rPr>
        <w:t>SCA</w:t>
      </w:r>
      <w:r w:rsidR="00566B47" w:rsidRPr="00AB52EE">
        <w:rPr>
          <w:rFonts w:cs="Arial"/>
          <w:szCs w:val="24"/>
          <w:lang w:eastAsia="en-ZA"/>
        </w:rPr>
        <w:t>’s</w:t>
      </w:r>
      <w:r w:rsidR="0049036D" w:rsidRPr="00AB52EE">
        <w:rPr>
          <w:rFonts w:cs="Arial"/>
          <w:szCs w:val="24"/>
          <w:lang w:eastAsia="en-ZA"/>
        </w:rPr>
        <w:t xml:space="preserve"> finding </w:t>
      </w:r>
      <w:r w:rsidR="00B022C1" w:rsidRPr="00AB52EE">
        <w:rPr>
          <w:rFonts w:cs="Arial"/>
          <w:szCs w:val="24"/>
          <w:lang w:eastAsia="en-ZA"/>
        </w:rPr>
        <w:t xml:space="preserve">that the </w:t>
      </w:r>
      <w:r w:rsidR="00A01AA1" w:rsidRPr="00AB52EE">
        <w:rPr>
          <w:rFonts w:cs="Arial"/>
          <w:szCs w:val="24"/>
          <w:lang w:eastAsia="en-ZA"/>
        </w:rPr>
        <w:t>C</w:t>
      </w:r>
      <w:r w:rsidR="00B022C1" w:rsidRPr="00AB52EE">
        <w:rPr>
          <w:rFonts w:cs="Arial"/>
          <w:szCs w:val="24"/>
          <w:lang w:eastAsia="en-ZA"/>
        </w:rPr>
        <w:t xml:space="preserve">ourt </w:t>
      </w:r>
      <w:r w:rsidR="00B022C1" w:rsidRPr="00AB52EE">
        <w:rPr>
          <w:rFonts w:cs="Arial"/>
          <w:i/>
          <w:iCs/>
          <w:szCs w:val="24"/>
          <w:lang w:eastAsia="en-ZA"/>
        </w:rPr>
        <w:t>a quo</w:t>
      </w:r>
      <w:r w:rsidR="00B022C1" w:rsidRPr="00AB52EE">
        <w:rPr>
          <w:rFonts w:cs="Arial"/>
          <w:szCs w:val="24"/>
          <w:lang w:eastAsia="en-ZA"/>
        </w:rPr>
        <w:t xml:space="preserve"> </w:t>
      </w:r>
      <w:r w:rsidR="005D23AF" w:rsidRPr="00AB52EE">
        <w:rPr>
          <w:rFonts w:cs="Arial"/>
          <w:szCs w:val="24"/>
          <w:lang w:eastAsia="en-ZA"/>
        </w:rPr>
        <w:t xml:space="preserve">had </w:t>
      </w:r>
      <w:r w:rsidR="00B022C1" w:rsidRPr="00AB52EE">
        <w:rPr>
          <w:rFonts w:cs="Arial"/>
          <w:szCs w:val="24"/>
          <w:lang w:eastAsia="en-ZA"/>
        </w:rPr>
        <w:t xml:space="preserve">correctly </w:t>
      </w:r>
      <w:r w:rsidR="00AA633B" w:rsidRPr="00AB52EE">
        <w:rPr>
          <w:rFonts w:cs="Arial"/>
          <w:szCs w:val="24"/>
          <w:lang w:eastAsia="en-ZA"/>
        </w:rPr>
        <w:t xml:space="preserve">found </w:t>
      </w:r>
      <w:r w:rsidR="00B022C1" w:rsidRPr="00AB52EE">
        <w:rPr>
          <w:rFonts w:cs="Arial"/>
          <w:szCs w:val="24"/>
          <w:lang w:eastAsia="en-ZA"/>
        </w:rPr>
        <w:t>upon reconsideration that there was a real and well-founded apprehension that crucial or vital evidence may be hidden, destroyed or spirited away by the time the case came to trial</w:t>
      </w:r>
      <w:r w:rsidR="0049036D" w:rsidRPr="00AB52EE">
        <w:rPr>
          <w:rFonts w:cs="Arial"/>
          <w:szCs w:val="24"/>
          <w:lang w:eastAsia="en-ZA"/>
        </w:rPr>
        <w:t xml:space="preserve"> was made </w:t>
      </w:r>
      <w:r w:rsidR="002A0B16" w:rsidRPr="00AB52EE">
        <w:rPr>
          <w:rFonts w:cs="Arial"/>
          <w:szCs w:val="24"/>
          <w:lang w:eastAsia="en-ZA"/>
        </w:rPr>
        <w:t xml:space="preserve">on the basis that “the establishment of an element of dishonesty in the conduct of a respondent must ordinarily give rise to a fear that vital evidence might be concealed or that the respondent might not make full discovery” and that the respondent’s conduct </w:t>
      </w:r>
      <w:r w:rsidR="00AA633B" w:rsidRPr="00AB52EE">
        <w:rPr>
          <w:rFonts w:cs="Arial"/>
          <w:szCs w:val="24"/>
          <w:lang w:eastAsia="en-ZA"/>
        </w:rPr>
        <w:t xml:space="preserve">was </w:t>
      </w:r>
      <w:r w:rsidR="002A0B16" w:rsidRPr="00AB52EE">
        <w:rPr>
          <w:rFonts w:cs="Arial"/>
          <w:szCs w:val="24"/>
          <w:lang w:eastAsia="en-ZA"/>
        </w:rPr>
        <w:t>“clearly indicative of duplicity”.</w:t>
      </w:r>
      <w:r w:rsidR="002A0B16" w:rsidRPr="00AB52EE">
        <w:rPr>
          <w:rStyle w:val="FootnoteReference"/>
          <w:szCs w:val="24"/>
          <w:lang w:eastAsia="en-ZA"/>
        </w:rPr>
        <w:footnoteReference w:id="64"/>
      </w:r>
      <w:r w:rsidR="002A0B16" w:rsidRPr="00AB52EE">
        <w:rPr>
          <w:rFonts w:cs="Arial"/>
          <w:szCs w:val="24"/>
          <w:lang w:eastAsia="en-ZA"/>
        </w:rPr>
        <w:t xml:space="preserve"> </w:t>
      </w:r>
      <w:r w:rsidR="00BA2A3A" w:rsidRPr="00AB52EE">
        <w:rPr>
          <w:rFonts w:cs="Arial"/>
          <w:szCs w:val="24"/>
          <w:lang w:eastAsia="en-ZA"/>
        </w:rPr>
        <w:t xml:space="preserve">However, </w:t>
      </w:r>
      <w:r w:rsidR="00B90D81" w:rsidRPr="00AB52EE">
        <w:rPr>
          <w:rFonts w:cs="Arial"/>
          <w:szCs w:val="24"/>
          <w:lang w:eastAsia="en-ZA"/>
        </w:rPr>
        <w:t xml:space="preserve">the case </w:t>
      </w:r>
      <w:r w:rsidR="00AA633B" w:rsidRPr="00AB52EE">
        <w:rPr>
          <w:rFonts w:cs="Arial"/>
          <w:szCs w:val="24"/>
          <w:lang w:eastAsia="en-ZA"/>
        </w:rPr>
        <w:t xml:space="preserve">does not </w:t>
      </w:r>
      <w:r w:rsidR="00B90D81" w:rsidRPr="00AB52EE">
        <w:rPr>
          <w:rFonts w:cs="Arial"/>
          <w:szCs w:val="24"/>
          <w:lang w:eastAsia="en-ZA"/>
        </w:rPr>
        <w:t xml:space="preserve">provide </w:t>
      </w:r>
      <w:r w:rsidR="00566B47" w:rsidRPr="00AB52EE">
        <w:rPr>
          <w:rFonts w:cs="Arial"/>
          <w:szCs w:val="24"/>
          <w:lang w:eastAsia="en-ZA"/>
        </w:rPr>
        <w:t xml:space="preserve">clear </w:t>
      </w:r>
      <w:r w:rsidR="00B90D81" w:rsidRPr="00AB52EE">
        <w:rPr>
          <w:rFonts w:cs="Arial"/>
          <w:szCs w:val="24"/>
          <w:lang w:eastAsia="en-ZA"/>
        </w:rPr>
        <w:t xml:space="preserve">guidance </w:t>
      </w:r>
      <w:r w:rsidR="00B90D81" w:rsidRPr="00AB52EE">
        <w:rPr>
          <w:rFonts w:cs="Arial"/>
          <w:szCs w:val="24"/>
        </w:rPr>
        <w:t xml:space="preserve">regarding </w:t>
      </w:r>
      <w:r w:rsidR="0049036D" w:rsidRPr="00AB52EE">
        <w:rPr>
          <w:rFonts w:cs="Arial"/>
          <w:szCs w:val="24"/>
        </w:rPr>
        <w:t xml:space="preserve">the </w:t>
      </w:r>
      <w:r w:rsidR="00BC293A">
        <w:rPr>
          <w:rFonts w:cs="Arial"/>
          <w:szCs w:val="24"/>
        </w:rPr>
        <w:t xml:space="preserve">standard of </w:t>
      </w:r>
      <w:r w:rsidR="0049036D" w:rsidRPr="00AB52EE">
        <w:rPr>
          <w:rFonts w:cs="Arial"/>
          <w:szCs w:val="24"/>
        </w:rPr>
        <w:t>establishment of facts,</w:t>
      </w:r>
      <w:r w:rsidR="00B90D81" w:rsidRPr="00AB52EE">
        <w:rPr>
          <w:rFonts w:cs="Arial"/>
          <w:szCs w:val="24"/>
          <w:lang w:eastAsia="en-ZA"/>
        </w:rPr>
        <w:t xml:space="preserve"> as it does not deal expressly with the question, and the factual findings that it made </w:t>
      </w:r>
      <w:r w:rsidR="00AA633B" w:rsidRPr="00AB52EE">
        <w:rPr>
          <w:rFonts w:cs="Arial"/>
          <w:szCs w:val="24"/>
        </w:rPr>
        <w:t xml:space="preserve">are </w:t>
      </w:r>
      <w:r w:rsidR="00B022C1" w:rsidRPr="00AB52EE">
        <w:rPr>
          <w:rFonts w:cs="Arial"/>
          <w:szCs w:val="24"/>
          <w:lang w:eastAsia="en-ZA"/>
        </w:rPr>
        <w:t xml:space="preserve">equally consistent with the view that </w:t>
      </w:r>
      <w:r w:rsidR="0049036D" w:rsidRPr="00AB52EE">
        <w:rPr>
          <w:rFonts w:cs="Arial"/>
          <w:szCs w:val="24"/>
          <w:lang w:eastAsia="en-ZA"/>
        </w:rPr>
        <w:t xml:space="preserve">the relevant facts </w:t>
      </w:r>
      <w:r w:rsidR="00B022C1" w:rsidRPr="00AB52EE">
        <w:rPr>
          <w:rFonts w:cs="Arial"/>
          <w:szCs w:val="24"/>
          <w:lang w:eastAsia="en-ZA"/>
        </w:rPr>
        <w:t xml:space="preserve">need only </w:t>
      </w:r>
      <w:r w:rsidR="00AB625A" w:rsidRPr="00AB52EE">
        <w:rPr>
          <w:rFonts w:cs="Arial"/>
          <w:szCs w:val="24"/>
          <w:lang w:eastAsia="en-ZA"/>
        </w:rPr>
        <w:t xml:space="preserve">be </w:t>
      </w:r>
      <w:r w:rsidR="00B022C1" w:rsidRPr="00AB52EE">
        <w:rPr>
          <w:rFonts w:cs="Arial"/>
          <w:szCs w:val="24"/>
          <w:lang w:eastAsia="en-ZA"/>
        </w:rPr>
        <w:t xml:space="preserve">established on a </w:t>
      </w:r>
      <w:r w:rsidR="00B022C1" w:rsidRPr="00AB52EE">
        <w:rPr>
          <w:rFonts w:cs="Arial"/>
          <w:i/>
          <w:iCs/>
          <w:szCs w:val="24"/>
          <w:lang w:eastAsia="en-ZA"/>
        </w:rPr>
        <w:t>prima facie</w:t>
      </w:r>
      <w:r w:rsidR="00B022C1" w:rsidRPr="00AB52EE">
        <w:rPr>
          <w:rFonts w:cs="Arial"/>
          <w:szCs w:val="24"/>
          <w:lang w:eastAsia="en-ZA"/>
        </w:rPr>
        <w:t xml:space="preserve"> basis and the view that </w:t>
      </w:r>
      <w:r w:rsidR="00BC293A">
        <w:rPr>
          <w:rFonts w:cs="Arial"/>
          <w:szCs w:val="24"/>
          <w:lang w:eastAsia="en-ZA"/>
        </w:rPr>
        <w:t xml:space="preserve">the standard of </w:t>
      </w:r>
      <w:r w:rsidR="00B022C1" w:rsidRPr="00AB52EE">
        <w:rPr>
          <w:rFonts w:cs="Arial"/>
          <w:szCs w:val="24"/>
          <w:lang w:eastAsia="en-ZA"/>
        </w:rPr>
        <w:t xml:space="preserve">a </w:t>
      </w:r>
      <w:bookmarkStart w:id="16" w:name="_Hlk150600993"/>
      <w:r w:rsidR="00D1798F" w:rsidRPr="00AB52EE">
        <w:rPr>
          <w:rFonts w:cs="Arial"/>
          <w:szCs w:val="24"/>
          <w:lang w:eastAsia="en-ZA"/>
        </w:rPr>
        <w:t xml:space="preserve">preponderance </w:t>
      </w:r>
      <w:bookmarkEnd w:id="16"/>
      <w:r w:rsidR="00B022C1" w:rsidRPr="00AB52EE">
        <w:rPr>
          <w:rFonts w:cs="Arial"/>
          <w:szCs w:val="24"/>
          <w:lang w:eastAsia="en-ZA"/>
        </w:rPr>
        <w:t>of probabilities</w:t>
      </w:r>
      <w:r w:rsidR="00BC293A">
        <w:rPr>
          <w:rFonts w:cs="Arial"/>
          <w:szCs w:val="24"/>
          <w:lang w:eastAsia="en-ZA"/>
        </w:rPr>
        <w:t xml:space="preserve"> applies</w:t>
      </w:r>
      <w:r w:rsidR="00B90D81" w:rsidRPr="00AB52EE">
        <w:rPr>
          <w:rFonts w:cs="Arial"/>
          <w:szCs w:val="24"/>
          <w:lang w:eastAsia="en-ZA"/>
        </w:rPr>
        <w:t>.</w:t>
      </w:r>
    </w:p>
    <w:p w14:paraId="08E28E6A" w14:textId="502275C3" w:rsidR="0049036D" w:rsidRPr="00AB52EE" w:rsidRDefault="0049036D" w:rsidP="007A27ED">
      <w:pPr>
        <w:pStyle w:val="LC1"/>
        <w:rPr>
          <w:rFonts w:cs="Arial"/>
          <w:szCs w:val="24"/>
          <w:lang w:eastAsia="en-ZA"/>
        </w:rPr>
      </w:pPr>
      <w:r w:rsidRPr="00AB52EE">
        <w:rPr>
          <w:rFonts w:cs="Arial"/>
          <w:szCs w:val="24"/>
          <w:lang w:eastAsia="en-ZA"/>
        </w:rPr>
        <w:t xml:space="preserve">In </w:t>
      </w:r>
      <w:r w:rsidRPr="00AB52EE">
        <w:rPr>
          <w:rFonts w:cs="Arial"/>
          <w:i/>
          <w:iCs/>
          <w:szCs w:val="24"/>
          <w:lang w:eastAsia="en-ZA"/>
        </w:rPr>
        <w:t>Viziya</w:t>
      </w:r>
      <w:r w:rsidRPr="00AB52EE">
        <w:rPr>
          <w:rFonts w:cs="Arial"/>
          <w:szCs w:val="24"/>
          <w:lang w:eastAsia="en-ZA"/>
        </w:rPr>
        <w:t>, the Supreme Court of Appeal emphasised that “</w:t>
      </w:r>
      <w:r w:rsidRPr="00AB52EE">
        <w:rPr>
          <w:rFonts w:cs="Arial"/>
          <w:szCs w:val="24"/>
        </w:rPr>
        <w:t xml:space="preserve">[t]he test of a reasonable apprehension is an objective one and is based on the view of a reasonable person when confronted with the facts”. While it is apparent from this that either party may seek to establish any facts that may be relevant to the objective enquiry, </w:t>
      </w:r>
      <w:r w:rsidR="00566B47" w:rsidRPr="00AB52EE">
        <w:rPr>
          <w:rFonts w:cs="Arial"/>
          <w:szCs w:val="24"/>
        </w:rPr>
        <w:t xml:space="preserve">this </w:t>
      </w:r>
      <w:r w:rsidRPr="00AB52EE">
        <w:rPr>
          <w:rFonts w:cs="Arial"/>
          <w:szCs w:val="24"/>
        </w:rPr>
        <w:t xml:space="preserve">judgment </w:t>
      </w:r>
      <w:r w:rsidR="00566B47" w:rsidRPr="00AB52EE">
        <w:rPr>
          <w:rFonts w:cs="Arial"/>
          <w:szCs w:val="24"/>
        </w:rPr>
        <w:t xml:space="preserve">also </w:t>
      </w:r>
      <w:r w:rsidRPr="00AB52EE">
        <w:rPr>
          <w:rFonts w:cs="Arial"/>
          <w:szCs w:val="24"/>
          <w:lang w:eastAsia="en-ZA"/>
        </w:rPr>
        <w:t xml:space="preserve">does not </w:t>
      </w:r>
      <w:r w:rsidR="007066D6" w:rsidRPr="00AB52EE">
        <w:rPr>
          <w:rFonts w:cs="Arial"/>
          <w:szCs w:val="24"/>
          <w:lang w:eastAsia="en-ZA"/>
        </w:rPr>
        <w:t xml:space="preserve">expressly </w:t>
      </w:r>
      <w:r w:rsidRPr="00AB52EE">
        <w:rPr>
          <w:rFonts w:cs="Arial"/>
          <w:szCs w:val="24"/>
          <w:lang w:eastAsia="en-ZA"/>
        </w:rPr>
        <w:t xml:space="preserve">indicate the manner in which </w:t>
      </w:r>
      <w:r w:rsidR="00BC293A">
        <w:rPr>
          <w:rFonts w:cs="Arial"/>
          <w:szCs w:val="24"/>
          <w:lang w:eastAsia="en-ZA"/>
        </w:rPr>
        <w:t xml:space="preserve">such </w:t>
      </w:r>
      <w:r w:rsidRPr="00AB52EE">
        <w:rPr>
          <w:rFonts w:cs="Arial"/>
          <w:szCs w:val="24"/>
          <w:lang w:eastAsia="en-ZA"/>
        </w:rPr>
        <w:t xml:space="preserve">relevant facts are to be determined. The </w:t>
      </w:r>
      <w:r w:rsidR="00566B47" w:rsidRPr="00AB52EE">
        <w:rPr>
          <w:rFonts w:cs="Arial"/>
          <w:szCs w:val="24"/>
          <w:lang w:eastAsia="en-ZA"/>
        </w:rPr>
        <w:t>C</w:t>
      </w:r>
      <w:r w:rsidRPr="00AB52EE">
        <w:rPr>
          <w:rFonts w:cs="Arial"/>
          <w:szCs w:val="24"/>
          <w:lang w:eastAsia="en-ZA"/>
        </w:rPr>
        <w:t xml:space="preserve">ourt found that the </w:t>
      </w:r>
      <w:r w:rsidRPr="00AB52EE">
        <w:rPr>
          <w:rFonts w:cs="Arial"/>
          <w:szCs w:val="24"/>
          <w:lang w:eastAsia="en-ZA"/>
        </w:rPr>
        <w:lastRenderedPageBreak/>
        <w:t>applicant “failed to show” the required reasonable apprehension on the basis of its own affidavits which “were replete with speculation and conjecture” which “failed to set out any factual basis for an objective conclusion to be reached</w:t>
      </w:r>
      <w:r w:rsidR="000E4FA3" w:rsidRPr="00AB52EE">
        <w:rPr>
          <w:rFonts w:cs="Arial"/>
          <w:szCs w:val="24"/>
          <w:lang w:eastAsia="en-ZA"/>
        </w:rPr>
        <w:t xml:space="preserve"> on the well-founded and reasonable apprehension that evidence would be concealed</w:t>
      </w:r>
      <w:r w:rsidRPr="00AB52EE">
        <w:rPr>
          <w:rFonts w:cs="Arial"/>
          <w:szCs w:val="24"/>
          <w:lang w:eastAsia="en-ZA"/>
        </w:rPr>
        <w:t>”.</w:t>
      </w:r>
      <w:r w:rsidR="000E4FA3" w:rsidRPr="00AB52EE">
        <w:rPr>
          <w:rFonts w:cs="Arial"/>
          <w:szCs w:val="24"/>
          <w:lang w:eastAsia="en-ZA"/>
        </w:rPr>
        <w:t xml:space="preserve"> This was especially because the respondent’s contention was that it was entitled to market the products in relation to which the order was sought (and no order had been made that it couldn’t). The </w:t>
      </w:r>
      <w:r w:rsidR="00566B47" w:rsidRPr="00AB52EE">
        <w:rPr>
          <w:rFonts w:cs="Arial"/>
          <w:szCs w:val="24"/>
          <w:lang w:eastAsia="en-ZA"/>
        </w:rPr>
        <w:t>C</w:t>
      </w:r>
      <w:r w:rsidR="000E4FA3" w:rsidRPr="00AB52EE">
        <w:rPr>
          <w:rFonts w:cs="Arial"/>
          <w:szCs w:val="24"/>
          <w:lang w:eastAsia="en-ZA"/>
        </w:rPr>
        <w:t xml:space="preserve">ourt observed that </w:t>
      </w:r>
      <w:r w:rsidR="00566B47" w:rsidRPr="00AB52EE">
        <w:rPr>
          <w:rFonts w:cs="Arial"/>
          <w:szCs w:val="24"/>
          <w:lang w:eastAsia="en-ZA"/>
        </w:rPr>
        <w:t xml:space="preserve">it </w:t>
      </w:r>
      <w:r w:rsidR="000E4FA3" w:rsidRPr="00AB52EE">
        <w:rPr>
          <w:rFonts w:cs="Arial"/>
          <w:szCs w:val="24"/>
          <w:lang w:eastAsia="en-ZA"/>
        </w:rPr>
        <w:t xml:space="preserve">would make no sense for the respondent to </w:t>
      </w:r>
      <w:r w:rsidR="007066D6" w:rsidRPr="00AB52EE">
        <w:rPr>
          <w:rFonts w:cs="Arial"/>
          <w:szCs w:val="24"/>
          <w:lang w:eastAsia="en-ZA"/>
        </w:rPr>
        <w:t xml:space="preserve">destroy or conceal its documents </w:t>
      </w:r>
      <w:r w:rsidR="00AA633B" w:rsidRPr="00AB52EE">
        <w:rPr>
          <w:rFonts w:cs="Arial"/>
          <w:szCs w:val="24"/>
          <w:lang w:eastAsia="en-ZA"/>
        </w:rPr>
        <w:t xml:space="preserve">in those circumstances </w:t>
      </w:r>
      <w:r w:rsidR="007066D6" w:rsidRPr="00AB52EE">
        <w:rPr>
          <w:rFonts w:cs="Arial"/>
          <w:szCs w:val="24"/>
          <w:lang w:eastAsia="en-ZA"/>
        </w:rPr>
        <w:t xml:space="preserve">and there </w:t>
      </w:r>
      <w:r w:rsidR="00AA633B" w:rsidRPr="00AB52EE">
        <w:rPr>
          <w:rFonts w:cs="Arial"/>
          <w:szCs w:val="24"/>
          <w:lang w:eastAsia="en-ZA"/>
        </w:rPr>
        <w:t xml:space="preserve">was </w:t>
      </w:r>
      <w:r w:rsidR="00566B47" w:rsidRPr="00AB52EE">
        <w:rPr>
          <w:rFonts w:cs="Arial"/>
          <w:szCs w:val="24"/>
          <w:lang w:eastAsia="en-ZA"/>
        </w:rPr>
        <w:t xml:space="preserve">thus </w:t>
      </w:r>
      <w:r w:rsidR="007066D6" w:rsidRPr="00AB52EE">
        <w:rPr>
          <w:rFonts w:cs="Arial"/>
          <w:szCs w:val="24"/>
          <w:lang w:eastAsia="en-ZA"/>
        </w:rPr>
        <w:t xml:space="preserve">no </w:t>
      </w:r>
      <w:r w:rsidR="00566B47" w:rsidRPr="00AB52EE">
        <w:rPr>
          <w:rFonts w:cs="Arial"/>
          <w:szCs w:val="24"/>
          <w:lang w:eastAsia="en-ZA"/>
        </w:rPr>
        <w:t xml:space="preserve">objective basis </w:t>
      </w:r>
      <w:r w:rsidR="007066D6" w:rsidRPr="00AB52EE">
        <w:rPr>
          <w:rFonts w:cs="Arial"/>
          <w:szCs w:val="24"/>
          <w:lang w:eastAsia="en-ZA"/>
        </w:rPr>
        <w:t xml:space="preserve">to believe that it would do so. “As regards communications with third parties … it is inconceivable that they would destroy communications with [the respondent] or not produce them under </w:t>
      </w:r>
      <w:r w:rsidR="007066D6" w:rsidRPr="009D36BB">
        <w:rPr>
          <w:rFonts w:cs="Arial"/>
          <w:szCs w:val="24"/>
          <w:lang w:eastAsia="en-ZA"/>
        </w:rPr>
        <w:t>subpoena</w:t>
      </w:r>
      <w:r w:rsidR="007066D6" w:rsidRPr="006F2D18">
        <w:rPr>
          <w:rFonts w:cs="Arial"/>
          <w:i/>
          <w:iCs/>
          <w:szCs w:val="24"/>
          <w:lang w:eastAsia="en-ZA"/>
        </w:rPr>
        <w:t xml:space="preserve"> duces tecum</w:t>
      </w:r>
      <w:r w:rsidR="007066D6" w:rsidRPr="00AB52EE">
        <w:rPr>
          <w:rFonts w:cs="Arial"/>
          <w:szCs w:val="24"/>
          <w:lang w:eastAsia="en-ZA"/>
        </w:rPr>
        <w:t xml:space="preserve">. So there would again be no point in </w:t>
      </w:r>
      <w:r w:rsidR="00AA633B" w:rsidRPr="00AB52EE">
        <w:rPr>
          <w:rFonts w:cs="Arial"/>
          <w:szCs w:val="24"/>
          <w:lang w:eastAsia="en-ZA"/>
        </w:rPr>
        <w:t>[the respondent]</w:t>
      </w:r>
      <w:r w:rsidR="007066D6" w:rsidRPr="00AB52EE">
        <w:rPr>
          <w:rFonts w:cs="Arial"/>
          <w:szCs w:val="24"/>
          <w:lang w:eastAsia="en-ZA"/>
        </w:rPr>
        <w:t xml:space="preserve"> destroying these documents.” Although the </w:t>
      </w:r>
      <w:r w:rsidRPr="00AB52EE">
        <w:rPr>
          <w:rFonts w:cs="Arial"/>
          <w:szCs w:val="24"/>
          <w:lang w:eastAsia="en-ZA"/>
        </w:rPr>
        <w:t xml:space="preserve">applicant </w:t>
      </w:r>
      <w:r w:rsidR="007066D6" w:rsidRPr="00AB52EE">
        <w:rPr>
          <w:rFonts w:cs="Arial"/>
          <w:szCs w:val="24"/>
          <w:lang w:eastAsia="en-ZA"/>
        </w:rPr>
        <w:t xml:space="preserve">had </w:t>
      </w:r>
      <w:r w:rsidRPr="00AB52EE">
        <w:rPr>
          <w:rFonts w:cs="Arial"/>
          <w:szCs w:val="24"/>
          <w:lang w:eastAsia="en-ZA"/>
        </w:rPr>
        <w:t xml:space="preserve">sought to adduce evidence of </w:t>
      </w:r>
      <w:r w:rsidR="000E4FA3" w:rsidRPr="00AB52EE">
        <w:rPr>
          <w:rFonts w:cs="Arial"/>
          <w:szCs w:val="24"/>
          <w:lang w:eastAsia="en-ZA"/>
        </w:rPr>
        <w:t xml:space="preserve">the respondent’s untrustworthiness and </w:t>
      </w:r>
      <w:r w:rsidRPr="00AB52EE">
        <w:rPr>
          <w:rFonts w:cs="Arial"/>
          <w:szCs w:val="24"/>
          <w:lang w:eastAsia="en-ZA"/>
        </w:rPr>
        <w:t>dishonesty</w:t>
      </w:r>
      <w:r w:rsidR="00590D45" w:rsidRPr="00AB52EE">
        <w:rPr>
          <w:rFonts w:cs="Arial"/>
          <w:szCs w:val="24"/>
          <w:lang w:eastAsia="en-ZA"/>
        </w:rPr>
        <w:t xml:space="preserve">, it was found to be </w:t>
      </w:r>
      <w:r w:rsidR="000E4FA3" w:rsidRPr="00AB52EE">
        <w:rPr>
          <w:rFonts w:cs="Arial"/>
          <w:szCs w:val="24"/>
          <w:lang w:eastAsia="en-ZA"/>
        </w:rPr>
        <w:t xml:space="preserve">“replete with speculation and conjecture”, </w:t>
      </w:r>
      <w:r w:rsidRPr="00AB52EE">
        <w:rPr>
          <w:rFonts w:cs="Arial"/>
          <w:szCs w:val="24"/>
          <w:lang w:eastAsia="en-ZA"/>
        </w:rPr>
        <w:t xml:space="preserve">“flimsy” and </w:t>
      </w:r>
      <w:r w:rsidR="000E4FA3" w:rsidRPr="00AB52EE">
        <w:rPr>
          <w:rFonts w:cs="Arial"/>
          <w:szCs w:val="24"/>
          <w:lang w:eastAsia="en-ZA"/>
        </w:rPr>
        <w:t xml:space="preserve">that </w:t>
      </w:r>
      <w:r w:rsidRPr="00AB52EE">
        <w:rPr>
          <w:rFonts w:cs="Arial"/>
          <w:szCs w:val="24"/>
          <w:lang w:eastAsia="en-ZA"/>
        </w:rPr>
        <w:t>there was no “substantiated case of significant dishonesty”.</w:t>
      </w:r>
      <w:r w:rsidRPr="00AB52EE">
        <w:rPr>
          <w:rStyle w:val="FootnoteReference"/>
          <w:szCs w:val="24"/>
          <w:lang w:eastAsia="en-ZA"/>
        </w:rPr>
        <w:footnoteReference w:id="65"/>
      </w:r>
      <w:r w:rsidRPr="00AB52EE">
        <w:rPr>
          <w:rFonts w:cs="Arial"/>
          <w:szCs w:val="24"/>
          <w:lang w:eastAsia="en-ZA"/>
        </w:rPr>
        <w:t xml:space="preserve"> As with </w:t>
      </w:r>
      <w:r w:rsidRPr="00AB52EE">
        <w:rPr>
          <w:rFonts w:cs="Arial"/>
          <w:i/>
          <w:iCs/>
          <w:szCs w:val="24"/>
          <w:lang w:eastAsia="en-ZA"/>
        </w:rPr>
        <w:t xml:space="preserve">Non-Detonating </w:t>
      </w:r>
      <w:r w:rsidR="00BC293A">
        <w:rPr>
          <w:rFonts w:cs="Arial"/>
          <w:i/>
          <w:iCs/>
          <w:szCs w:val="24"/>
          <w:lang w:eastAsia="en-ZA"/>
        </w:rPr>
        <w:t>S</w:t>
      </w:r>
      <w:r w:rsidRPr="00AB52EE">
        <w:rPr>
          <w:rFonts w:cs="Arial"/>
          <w:i/>
          <w:iCs/>
          <w:szCs w:val="24"/>
          <w:lang w:eastAsia="en-ZA"/>
        </w:rPr>
        <w:t>olutions</w:t>
      </w:r>
      <w:r w:rsidRPr="00AB52EE">
        <w:rPr>
          <w:rFonts w:cs="Arial"/>
          <w:szCs w:val="24"/>
          <w:lang w:eastAsia="en-ZA"/>
        </w:rPr>
        <w:t xml:space="preserve">, these findings are not </w:t>
      </w:r>
      <w:r w:rsidR="00590D45" w:rsidRPr="00AB52EE">
        <w:rPr>
          <w:rFonts w:cs="Arial"/>
          <w:szCs w:val="24"/>
          <w:lang w:eastAsia="en-ZA"/>
        </w:rPr>
        <w:t xml:space="preserve">clearly indicative </w:t>
      </w:r>
      <w:r w:rsidRPr="00AB52EE">
        <w:rPr>
          <w:rFonts w:cs="Arial"/>
          <w:szCs w:val="24"/>
          <w:lang w:eastAsia="en-ZA"/>
        </w:rPr>
        <w:t xml:space="preserve">of the question regarding the </w:t>
      </w:r>
      <w:r w:rsidR="0046540E">
        <w:rPr>
          <w:rFonts w:cs="Arial"/>
          <w:szCs w:val="24"/>
          <w:lang w:eastAsia="en-ZA"/>
        </w:rPr>
        <w:t xml:space="preserve">standard to which </w:t>
      </w:r>
      <w:r w:rsidRPr="00AB52EE">
        <w:rPr>
          <w:rFonts w:cs="Arial"/>
          <w:szCs w:val="24"/>
          <w:lang w:eastAsia="en-ZA"/>
        </w:rPr>
        <w:t>facts</w:t>
      </w:r>
      <w:r w:rsidR="0046540E">
        <w:rPr>
          <w:rFonts w:cs="Arial"/>
          <w:szCs w:val="24"/>
          <w:lang w:eastAsia="en-ZA"/>
        </w:rPr>
        <w:t xml:space="preserve"> must be proved</w:t>
      </w:r>
      <w:r w:rsidRPr="00AB52EE">
        <w:rPr>
          <w:rFonts w:cs="Arial"/>
          <w:szCs w:val="24"/>
          <w:lang w:eastAsia="en-ZA"/>
        </w:rPr>
        <w:t>, as they are equally consistent with either standard of proof.</w:t>
      </w:r>
    </w:p>
    <w:p w14:paraId="60A2D026" w14:textId="3383EFF4" w:rsidR="0049036D" w:rsidRPr="00AB52EE" w:rsidRDefault="00AA633B" w:rsidP="007A27ED">
      <w:pPr>
        <w:pStyle w:val="LC1"/>
        <w:rPr>
          <w:rFonts w:cs="Arial"/>
          <w:szCs w:val="24"/>
          <w:lang w:eastAsia="en-ZA"/>
        </w:rPr>
      </w:pPr>
      <w:r w:rsidRPr="00AB52EE">
        <w:rPr>
          <w:rFonts w:cs="Arial"/>
          <w:szCs w:val="24"/>
          <w:lang w:eastAsia="en-ZA"/>
        </w:rPr>
        <w:t xml:space="preserve">These </w:t>
      </w:r>
      <w:r w:rsidR="00B708F5" w:rsidRPr="00AB52EE">
        <w:rPr>
          <w:rFonts w:cs="Arial"/>
          <w:szCs w:val="24"/>
          <w:lang w:eastAsia="en-ZA"/>
        </w:rPr>
        <w:t>cases do</w:t>
      </w:r>
      <w:r w:rsidRPr="00AB52EE">
        <w:rPr>
          <w:rFonts w:cs="Arial"/>
          <w:szCs w:val="24"/>
          <w:lang w:eastAsia="en-ZA"/>
        </w:rPr>
        <w:t>, however,</w:t>
      </w:r>
      <w:r w:rsidR="00B708F5" w:rsidRPr="00AB52EE">
        <w:rPr>
          <w:rFonts w:cs="Arial"/>
          <w:i/>
          <w:iCs/>
          <w:szCs w:val="24"/>
          <w:lang w:eastAsia="en-ZA"/>
        </w:rPr>
        <w:t xml:space="preserve"> </w:t>
      </w:r>
      <w:r w:rsidR="0049036D" w:rsidRPr="00AB52EE">
        <w:rPr>
          <w:rFonts w:cs="Arial"/>
          <w:szCs w:val="24"/>
          <w:lang w:eastAsia="en-ZA"/>
        </w:rPr>
        <w:t xml:space="preserve">clarify </w:t>
      </w:r>
      <w:r w:rsidR="007066D6" w:rsidRPr="00AB52EE">
        <w:rPr>
          <w:rFonts w:cs="Arial"/>
          <w:szCs w:val="24"/>
          <w:lang w:eastAsia="en-ZA"/>
        </w:rPr>
        <w:t xml:space="preserve">the following in respect of the third </w:t>
      </w:r>
      <w:r w:rsidR="00AE3177" w:rsidRPr="00AB52EE">
        <w:rPr>
          <w:rFonts w:cs="Arial"/>
          <w:szCs w:val="24"/>
          <w:lang w:eastAsia="en-ZA"/>
        </w:rPr>
        <w:t xml:space="preserve">threshold </w:t>
      </w:r>
      <w:r w:rsidR="007066D6" w:rsidRPr="00AB52EE">
        <w:rPr>
          <w:rFonts w:cs="Arial"/>
          <w:szCs w:val="24"/>
          <w:lang w:eastAsia="en-ZA"/>
        </w:rPr>
        <w:t xml:space="preserve">requirement: </w:t>
      </w:r>
      <w:r w:rsidR="0049036D" w:rsidRPr="00AB52EE">
        <w:rPr>
          <w:rFonts w:cs="Arial"/>
          <w:szCs w:val="24"/>
          <w:lang w:eastAsia="en-ZA"/>
        </w:rPr>
        <w:t xml:space="preserve">(i) the apprehension in question </w:t>
      </w:r>
      <w:r w:rsidR="00AE3177" w:rsidRPr="00AB52EE">
        <w:rPr>
          <w:rFonts w:cs="Arial"/>
          <w:szCs w:val="24"/>
          <w:lang w:eastAsia="en-ZA"/>
        </w:rPr>
        <w:t xml:space="preserve">must be </w:t>
      </w:r>
      <w:r w:rsidR="00B708F5" w:rsidRPr="00AB52EE">
        <w:rPr>
          <w:rFonts w:cs="Arial"/>
          <w:szCs w:val="24"/>
          <w:lang w:eastAsia="en-ZA"/>
        </w:rPr>
        <w:t xml:space="preserve">an </w:t>
      </w:r>
      <w:r w:rsidR="0049036D" w:rsidRPr="00AB52EE">
        <w:rPr>
          <w:rFonts w:cs="Arial"/>
          <w:szCs w:val="24"/>
          <w:lang w:eastAsia="en-ZA"/>
        </w:rPr>
        <w:t>objective one</w:t>
      </w:r>
      <w:r w:rsidR="00B708F5" w:rsidRPr="00AB52EE">
        <w:rPr>
          <w:rFonts w:cs="Arial"/>
          <w:szCs w:val="24"/>
          <w:lang w:eastAsia="en-ZA"/>
        </w:rPr>
        <w:t>,</w:t>
      </w:r>
      <w:r w:rsidR="0049036D" w:rsidRPr="00AB52EE">
        <w:rPr>
          <w:rFonts w:cs="Arial"/>
          <w:szCs w:val="24"/>
          <w:lang w:eastAsia="en-ZA"/>
        </w:rPr>
        <w:t xml:space="preserve"> viewed from the position of a reasonable person when confronted by the facts, not from the position of the applicant; </w:t>
      </w:r>
      <w:r w:rsidR="00B708F5" w:rsidRPr="00AB52EE">
        <w:rPr>
          <w:rFonts w:cs="Arial"/>
          <w:szCs w:val="24"/>
          <w:lang w:eastAsia="en-ZA"/>
        </w:rPr>
        <w:t xml:space="preserve">(ii) while either party may seek to establish facts </w:t>
      </w:r>
      <w:r w:rsidR="00B708F5" w:rsidRPr="00AB52EE">
        <w:rPr>
          <w:rFonts w:cs="Arial"/>
          <w:szCs w:val="24"/>
          <w:lang w:eastAsia="en-ZA"/>
        </w:rPr>
        <w:lastRenderedPageBreak/>
        <w:t xml:space="preserve">in support of the existence or not of the objective apprehension, </w:t>
      </w:r>
      <w:r w:rsidR="00590D45" w:rsidRPr="00AB52EE">
        <w:rPr>
          <w:rFonts w:cs="Arial"/>
          <w:szCs w:val="24"/>
          <w:lang w:eastAsia="en-ZA"/>
        </w:rPr>
        <w:t xml:space="preserve">the applicant bears an overall onus and if no relevant facts are established, then the requirement </w:t>
      </w:r>
      <w:r w:rsidR="00B708F5" w:rsidRPr="00AB52EE">
        <w:rPr>
          <w:rFonts w:cs="Arial"/>
          <w:szCs w:val="24"/>
          <w:lang w:eastAsia="en-ZA"/>
        </w:rPr>
        <w:t xml:space="preserve">will </w:t>
      </w:r>
      <w:r w:rsidRPr="00AB52EE">
        <w:rPr>
          <w:rFonts w:cs="Arial"/>
          <w:szCs w:val="24"/>
          <w:lang w:eastAsia="en-ZA"/>
        </w:rPr>
        <w:t xml:space="preserve">not </w:t>
      </w:r>
      <w:r w:rsidR="00B708F5" w:rsidRPr="00AB52EE">
        <w:rPr>
          <w:rFonts w:cs="Arial"/>
          <w:szCs w:val="24"/>
          <w:lang w:eastAsia="en-ZA"/>
        </w:rPr>
        <w:t xml:space="preserve">be found to have been met; </w:t>
      </w:r>
      <w:r w:rsidR="0049036D" w:rsidRPr="00AB52EE">
        <w:rPr>
          <w:rFonts w:cs="Arial"/>
          <w:szCs w:val="24"/>
          <w:lang w:eastAsia="en-ZA"/>
        </w:rPr>
        <w:t>(i</w:t>
      </w:r>
      <w:r w:rsidR="00B708F5" w:rsidRPr="00AB52EE">
        <w:rPr>
          <w:rFonts w:cs="Arial"/>
          <w:szCs w:val="24"/>
          <w:lang w:eastAsia="en-ZA"/>
        </w:rPr>
        <w:t>i</w:t>
      </w:r>
      <w:r w:rsidR="0049036D" w:rsidRPr="00AB52EE">
        <w:rPr>
          <w:rFonts w:cs="Arial"/>
          <w:szCs w:val="24"/>
          <w:lang w:eastAsia="en-ZA"/>
        </w:rPr>
        <w:t xml:space="preserve">i) </w:t>
      </w:r>
      <w:r w:rsidR="00B708F5" w:rsidRPr="00AB52EE">
        <w:rPr>
          <w:rFonts w:cs="Arial"/>
          <w:szCs w:val="24"/>
          <w:lang w:eastAsia="en-ZA"/>
        </w:rPr>
        <w:t xml:space="preserve">one fact that an applicant may seek to establish in support of the objective apprehension is </w:t>
      </w:r>
      <w:r w:rsidR="0049036D" w:rsidRPr="00AB52EE">
        <w:rPr>
          <w:rFonts w:cs="Arial"/>
          <w:szCs w:val="24"/>
          <w:lang w:eastAsia="en-ZA"/>
        </w:rPr>
        <w:t xml:space="preserve">the respondent’s dishonesty, </w:t>
      </w:r>
      <w:r w:rsidR="00B708F5" w:rsidRPr="00AB52EE">
        <w:rPr>
          <w:rFonts w:cs="Arial"/>
          <w:szCs w:val="24"/>
          <w:lang w:eastAsia="en-ZA"/>
        </w:rPr>
        <w:t xml:space="preserve">but </w:t>
      </w:r>
      <w:r w:rsidR="007066D6" w:rsidRPr="00AB52EE">
        <w:rPr>
          <w:rFonts w:cs="Arial"/>
          <w:szCs w:val="24"/>
          <w:lang w:eastAsia="en-ZA"/>
        </w:rPr>
        <w:t xml:space="preserve">in </w:t>
      </w:r>
      <w:r w:rsidR="00B708F5" w:rsidRPr="00AB52EE">
        <w:rPr>
          <w:rFonts w:cs="Arial"/>
          <w:szCs w:val="24"/>
          <w:lang w:eastAsia="en-ZA"/>
        </w:rPr>
        <w:t xml:space="preserve">order to be relevant, it </w:t>
      </w:r>
      <w:r w:rsidR="0049036D" w:rsidRPr="00AB52EE">
        <w:rPr>
          <w:rFonts w:cs="Arial"/>
          <w:szCs w:val="24"/>
          <w:lang w:eastAsia="en-ZA"/>
        </w:rPr>
        <w:t>must be “significant dishonesty”; and (i</w:t>
      </w:r>
      <w:r w:rsidR="00B708F5" w:rsidRPr="00AB52EE">
        <w:rPr>
          <w:rFonts w:cs="Arial"/>
          <w:szCs w:val="24"/>
          <w:lang w:eastAsia="en-ZA"/>
        </w:rPr>
        <w:t>v</w:t>
      </w:r>
      <w:r w:rsidR="0049036D" w:rsidRPr="00AB52EE">
        <w:rPr>
          <w:rFonts w:cs="Arial"/>
          <w:szCs w:val="24"/>
          <w:lang w:eastAsia="en-ZA"/>
        </w:rPr>
        <w:t xml:space="preserve">) there would ordinarily be no basis for an Anton Piller </w:t>
      </w:r>
      <w:r w:rsidRPr="00AB52EE">
        <w:rPr>
          <w:rFonts w:cs="Arial"/>
          <w:szCs w:val="24"/>
          <w:lang w:eastAsia="en-ZA"/>
        </w:rPr>
        <w:t xml:space="preserve">order </w:t>
      </w:r>
      <w:r w:rsidR="0049036D" w:rsidRPr="00AB52EE">
        <w:rPr>
          <w:rFonts w:cs="Arial"/>
          <w:szCs w:val="24"/>
          <w:lang w:eastAsia="en-ZA"/>
        </w:rPr>
        <w:t xml:space="preserve">to be granted in respect of </w:t>
      </w:r>
      <w:r w:rsidRPr="00AB52EE">
        <w:rPr>
          <w:rFonts w:cs="Arial"/>
          <w:szCs w:val="24"/>
          <w:lang w:eastAsia="en-ZA"/>
        </w:rPr>
        <w:t xml:space="preserve">items </w:t>
      </w:r>
      <w:r w:rsidR="0049036D" w:rsidRPr="00AB52EE">
        <w:rPr>
          <w:rFonts w:cs="Arial"/>
          <w:szCs w:val="24"/>
          <w:lang w:eastAsia="en-ZA"/>
        </w:rPr>
        <w:t xml:space="preserve">that could be obtained from disinterested third parties by </w:t>
      </w:r>
      <w:r w:rsidR="0049036D" w:rsidRPr="009D36BB">
        <w:rPr>
          <w:rFonts w:cs="Arial"/>
          <w:szCs w:val="24"/>
          <w:lang w:eastAsia="en-ZA"/>
        </w:rPr>
        <w:t>subpoena</w:t>
      </w:r>
      <w:r w:rsidR="0049036D" w:rsidRPr="00AB52EE">
        <w:rPr>
          <w:rFonts w:cs="Arial"/>
          <w:szCs w:val="24"/>
          <w:lang w:eastAsia="en-ZA"/>
        </w:rPr>
        <w:t xml:space="preserve"> because there would be no point in the respondent destroying or hiding such evidence.</w:t>
      </w:r>
    </w:p>
    <w:p w14:paraId="1E03DC13" w14:textId="02728629" w:rsidR="00643DDE" w:rsidRPr="00AB52EE" w:rsidRDefault="00AD0B12" w:rsidP="007A27ED">
      <w:pPr>
        <w:pStyle w:val="LC1"/>
        <w:rPr>
          <w:rFonts w:cs="Arial"/>
          <w:szCs w:val="24"/>
          <w:lang w:eastAsia="en-ZA"/>
        </w:rPr>
      </w:pPr>
      <w:r w:rsidRPr="00AB52EE">
        <w:rPr>
          <w:rFonts w:cs="Arial"/>
          <w:szCs w:val="24"/>
          <w:lang w:eastAsia="en-ZA"/>
        </w:rPr>
        <w:t xml:space="preserve">Amongst </w:t>
      </w:r>
      <w:r w:rsidR="00C1534D" w:rsidRPr="00AB52EE">
        <w:rPr>
          <w:rFonts w:cs="Arial"/>
          <w:szCs w:val="24"/>
          <w:lang w:eastAsia="en-ZA"/>
        </w:rPr>
        <w:t>all the other judgments that I was referred to</w:t>
      </w:r>
      <w:r w:rsidRPr="00AB52EE">
        <w:rPr>
          <w:rFonts w:cs="Arial"/>
          <w:szCs w:val="24"/>
          <w:lang w:eastAsia="en-ZA"/>
        </w:rPr>
        <w:t>,</w:t>
      </w:r>
      <w:r w:rsidR="00643DDE" w:rsidRPr="00AB52EE">
        <w:rPr>
          <w:rStyle w:val="FootnoteReference"/>
          <w:szCs w:val="24"/>
          <w:lang w:eastAsia="en-ZA"/>
        </w:rPr>
        <w:footnoteReference w:id="66"/>
      </w:r>
      <w:r w:rsidR="00C1534D" w:rsidRPr="00AB52EE">
        <w:rPr>
          <w:rFonts w:cs="Arial"/>
          <w:szCs w:val="24"/>
          <w:lang w:eastAsia="en-ZA"/>
        </w:rPr>
        <w:t xml:space="preserve"> or have been able to find, the only one that has grappled with the question </w:t>
      </w:r>
      <w:r w:rsidR="003A10C4" w:rsidRPr="00AB52EE">
        <w:rPr>
          <w:rFonts w:cs="Arial"/>
          <w:szCs w:val="24"/>
          <w:lang w:eastAsia="en-ZA"/>
        </w:rPr>
        <w:t xml:space="preserve">of the burden of </w:t>
      </w:r>
      <w:r w:rsidR="00CC0A9B" w:rsidRPr="00AB52EE">
        <w:rPr>
          <w:rFonts w:cs="Arial"/>
          <w:szCs w:val="24"/>
          <w:lang w:eastAsia="en-ZA"/>
        </w:rPr>
        <w:t xml:space="preserve">proving </w:t>
      </w:r>
      <w:r w:rsidR="007066D6" w:rsidRPr="00AB52EE">
        <w:rPr>
          <w:rFonts w:cs="Arial"/>
          <w:szCs w:val="24"/>
          <w:lang w:eastAsia="en-ZA"/>
        </w:rPr>
        <w:t xml:space="preserve">facts </w:t>
      </w:r>
      <w:r w:rsidR="00AE3177" w:rsidRPr="00AB52EE">
        <w:rPr>
          <w:rFonts w:cs="Arial"/>
          <w:szCs w:val="24"/>
          <w:lang w:eastAsia="en-ZA"/>
        </w:rPr>
        <w:t xml:space="preserve">relevant </w:t>
      </w:r>
      <w:r w:rsidR="007066D6" w:rsidRPr="00AB52EE">
        <w:rPr>
          <w:rFonts w:cs="Arial"/>
          <w:szCs w:val="24"/>
          <w:lang w:eastAsia="en-ZA"/>
        </w:rPr>
        <w:t xml:space="preserve">to the </w:t>
      </w:r>
      <w:r w:rsidR="003A10C4" w:rsidRPr="00AB52EE">
        <w:rPr>
          <w:rFonts w:cs="Arial"/>
          <w:szCs w:val="24"/>
          <w:lang w:eastAsia="en-ZA"/>
        </w:rPr>
        <w:t xml:space="preserve">third </w:t>
      </w:r>
      <w:r w:rsidR="00AE3177" w:rsidRPr="00AB52EE">
        <w:rPr>
          <w:rFonts w:cs="Arial"/>
          <w:szCs w:val="24"/>
          <w:lang w:eastAsia="en-ZA"/>
        </w:rPr>
        <w:t xml:space="preserve">threshold </w:t>
      </w:r>
      <w:r w:rsidR="000F5584" w:rsidRPr="00AB52EE">
        <w:rPr>
          <w:rFonts w:cs="Arial"/>
          <w:szCs w:val="24"/>
          <w:lang w:eastAsia="en-ZA"/>
        </w:rPr>
        <w:t xml:space="preserve">requirement </w:t>
      </w:r>
      <w:r w:rsidR="007066D6" w:rsidRPr="00AB52EE">
        <w:rPr>
          <w:rFonts w:cs="Arial"/>
          <w:szCs w:val="24"/>
          <w:lang w:eastAsia="en-ZA"/>
        </w:rPr>
        <w:t xml:space="preserve">in an ordinary Anton Piller application </w:t>
      </w:r>
      <w:r w:rsidR="00C1534D" w:rsidRPr="00AB52EE">
        <w:rPr>
          <w:rFonts w:cs="Arial"/>
          <w:szCs w:val="24"/>
          <w:lang w:eastAsia="en-ZA"/>
        </w:rPr>
        <w:t xml:space="preserve">in any detail is </w:t>
      </w:r>
      <w:r w:rsidR="00C1534D" w:rsidRPr="00AB52EE">
        <w:rPr>
          <w:rFonts w:cs="Arial"/>
          <w:i/>
          <w:iCs/>
          <w:szCs w:val="24"/>
          <w:lang w:eastAsia="en-ZA"/>
        </w:rPr>
        <w:t>The Reclamation Group</w:t>
      </w:r>
      <w:r w:rsidR="00C1534D" w:rsidRPr="00AB52EE">
        <w:rPr>
          <w:rFonts w:cs="Arial"/>
          <w:szCs w:val="24"/>
          <w:lang w:eastAsia="en-ZA"/>
        </w:rPr>
        <w:t>.</w:t>
      </w:r>
      <w:r w:rsidR="003A10C4" w:rsidRPr="00AB52EE">
        <w:rPr>
          <w:rFonts w:cs="Arial"/>
          <w:szCs w:val="24"/>
          <w:lang w:eastAsia="en-ZA"/>
        </w:rPr>
        <w:t xml:space="preserve"> In that case, </w:t>
      </w:r>
      <w:r w:rsidR="005B20F0" w:rsidRPr="00AB52EE">
        <w:rPr>
          <w:rFonts w:cs="Arial"/>
          <w:szCs w:val="24"/>
          <w:lang w:eastAsia="en-ZA"/>
        </w:rPr>
        <w:t xml:space="preserve">Froneman </w:t>
      </w:r>
      <w:r w:rsidR="006B3BA5" w:rsidRPr="00AB52EE">
        <w:rPr>
          <w:rFonts w:cs="Arial"/>
          <w:szCs w:val="24"/>
          <w:lang w:eastAsia="en-ZA"/>
        </w:rPr>
        <w:t xml:space="preserve">J observed that the third </w:t>
      </w:r>
      <w:r w:rsidR="00AE3177" w:rsidRPr="00AB52EE">
        <w:rPr>
          <w:rFonts w:cs="Arial"/>
          <w:szCs w:val="24"/>
          <w:lang w:eastAsia="en-ZA"/>
        </w:rPr>
        <w:t xml:space="preserve">threshold </w:t>
      </w:r>
      <w:r w:rsidR="006B3BA5" w:rsidRPr="00AB52EE">
        <w:rPr>
          <w:rFonts w:cs="Arial"/>
          <w:szCs w:val="24"/>
          <w:lang w:eastAsia="en-ZA"/>
        </w:rPr>
        <w:t>requirement (as with the second) is not an issue to be decided upon in the subsequent proceedings</w:t>
      </w:r>
      <w:r w:rsidR="00643DDE" w:rsidRPr="00AB52EE">
        <w:rPr>
          <w:rFonts w:cs="Arial"/>
          <w:szCs w:val="24"/>
          <w:lang w:eastAsia="en-ZA"/>
        </w:rPr>
        <w:t xml:space="preserve"> and there is </w:t>
      </w:r>
      <w:r w:rsidR="00AE3177" w:rsidRPr="00AB52EE">
        <w:rPr>
          <w:rFonts w:cs="Arial"/>
          <w:szCs w:val="24"/>
          <w:lang w:eastAsia="en-ZA"/>
        </w:rPr>
        <w:t xml:space="preserve">thus </w:t>
      </w:r>
      <w:r w:rsidR="00643DDE" w:rsidRPr="00AB52EE">
        <w:rPr>
          <w:rFonts w:cs="Arial"/>
          <w:szCs w:val="24"/>
          <w:lang w:eastAsia="en-ZA"/>
        </w:rPr>
        <w:t xml:space="preserve">no good reason why the normal civil standard of proof on a </w:t>
      </w:r>
      <w:r w:rsidR="00976793" w:rsidRPr="00AB52EE">
        <w:rPr>
          <w:rFonts w:cs="Arial"/>
          <w:szCs w:val="24"/>
          <w:lang w:eastAsia="en-ZA"/>
        </w:rPr>
        <w:t xml:space="preserve">preponderance </w:t>
      </w:r>
      <w:r w:rsidR="00643DDE" w:rsidRPr="00AB52EE">
        <w:rPr>
          <w:rFonts w:cs="Arial"/>
          <w:szCs w:val="24"/>
          <w:lang w:eastAsia="en-ZA"/>
        </w:rPr>
        <w:t>of probabilities should not apply</w:t>
      </w:r>
      <w:r w:rsidR="00AE3177" w:rsidRPr="00AB52EE">
        <w:rPr>
          <w:rFonts w:cs="Arial"/>
          <w:szCs w:val="24"/>
          <w:lang w:eastAsia="en-ZA"/>
        </w:rPr>
        <w:t xml:space="preserve"> to factual disputes</w:t>
      </w:r>
      <w:r w:rsidR="005048D7" w:rsidRPr="00AB52EE">
        <w:rPr>
          <w:rFonts w:cs="Arial"/>
          <w:szCs w:val="24"/>
          <w:lang w:eastAsia="en-ZA"/>
        </w:rPr>
        <w:t>.</w:t>
      </w:r>
      <w:r w:rsidR="005048D7" w:rsidRPr="00AB52EE">
        <w:rPr>
          <w:rStyle w:val="FootnoteReference"/>
          <w:szCs w:val="24"/>
          <w:lang w:eastAsia="en-ZA"/>
        </w:rPr>
        <w:footnoteReference w:id="67"/>
      </w:r>
      <w:r w:rsidR="00643DDE" w:rsidRPr="00AB52EE">
        <w:rPr>
          <w:rFonts w:cs="Arial"/>
          <w:szCs w:val="24"/>
          <w:lang w:eastAsia="en-ZA"/>
        </w:rPr>
        <w:t xml:space="preserve"> I agree</w:t>
      </w:r>
      <w:r w:rsidR="005048D7" w:rsidRPr="00AB52EE">
        <w:rPr>
          <w:rFonts w:cs="Arial"/>
          <w:szCs w:val="24"/>
          <w:lang w:eastAsia="en-ZA"/>
        </w:rPr>
        <w:t>,</w:t>
      </w:r>
      <w:r w:rsidR="00775D7A" w:rsidRPr="00AB52EE">
        <w:rPr>
          <w:rFonts w:cs="Arial"/>
          <w:szCs w:val="24"/>
          <w:lang w:eastAsia="en-ZA"/>
        </w:rPr>
        <w:t xml:space="preserve"> </w:t>
      </w:r>
      <w:r w:rsidR="005048D7" w:rsidRPr="00AB52EE">
        <w:rPr>
          <w:rFonts w:cs="Arial"/>
          <w:szCs w:val="24"/>
          <w:lang w:eastAsia="en-ZA"/>
        </w:rPr>
        <w:t xml:space="preserve">and would only add the </w:t>
      </w:r>
      <w:r w:rsidR="00775D7A" w:rsidRPr="00AB52EE">
        <w:rPr>
          <w:rFonts w:cs="Arial"/>
          <w:szCs w:val="24"/>
          <w:lang w:eastAsia="en-ZA"/>
        </w:rPr>
        <w:t xml:space="preserve">further reason set above in relation to the second </w:t>
      </w:r>
      <w:r w:rsidR="00566B47" w:rsidRPr="00AB52EE">
        <w:rPr>
          <w:rFonts w:cs="Arial"/>
          <w:szCs w:val="24"/>
          <w:lang w:eastAsia="en-ZA"/>
        </w:rPr>
        <w:t>threshold requirement</w:t>
      </w:r>
      <w:r w:rsidR="005048D7" w:rsidRPr="00AB52EE">
        <w:rPr>
          <w:rFonts w:cs="Arial"/>
          <w:szCs w:val="24"/>
          <w:lang w:eastAsia="en-ZA"/>
        </w:rPr>
        <w:t xml:space="preserve">, namely </w:t>
      </w:r>
      <w:r w:rsidR="00775D7A" w:rsidRPr="00AB52EE">
        <w:rPr>
          <w:rFonts w:cs="Arial"/>
          <w:szCs w:val="24"/>
          <w:lang w:eastAsia="en-ZA"/>
        </w:rPr>
        <w:t xml:space="preserve">the need to ensure that the remedy remains </w:t>
      </w:r>
      <w:r w:rsidR="00CC0A9B" w:rsidRPr="00AB52EE">
        <w:rPr>
          <w:rFonts w:cs="Arial"/>
          <w:szCs w:val="24"/>
          <w:lang w:eastAsia="en-ZA"/>
        </w:rPr>
        <w:t>c</w:t>
      </w:r>
      <w:r w:rsidR="00775D7A" w:rsidRPr="00AB52EE">
        <w:rPr>
          <w:rFonts w:cs="Arial"/>
          <w:szCs w:val="24"/>
          <w:lang w:eastAsia="en-ZA"/>
        </w:rPr>
        <w:t>onstitutionally compliant.</w:t>
      </w:r>
      <w:r w:rsidR="00643DDE" w:rsidRPr="00AB52EE">
        <w:rPr>
          <w:rStyle w:val="FootnoteReference"/>
          <w:szCs w:val="24"/>
          <w:lang w:eastAsia="en-ZA"/>
        </w:rPr>
        <w:footnoteReference w:id="68"/>
      </w:r>
      <w:r w:rsidR="00643DDE" w:rsidRPr="00AB52EE">
        <w:rPr>
          <w:rFonts w:cs="Arial"/>
          <w:szCs w:val="24"/>
          <w:lang w:eastAsia="en-ZA"/>
        </w:rPr>
        <w:t xml:space="preserve">  </w:t>
      </w:r>
    </w:p>
    <w:p w14:paraId="7EF2972E" w14:textId="2151D4D8" w:rsidR="00A52DF2" w:rsidRPr="00AB52EE" w:rsidRDefault="00A52DF2" w:rsidP="00D85020">
      <w:pPr>
        <w:pStyle w:val="LC1"/>
        <w:keepNext/>
        <w:numPr>
          <w:ilvl w:val="0"/>
          <w:numId w:val="0"/>
        </w:numPr>
        <w:rPr>
          <w:rFonts w:cs="Arial"/>
          <w:szCs w:val="24"/>
          <w:u w:val="single"/>
          <w:lang w:eastAsia="en-ZA"/>
        </w:rPr>
      </w:pPr>
      <w:r w:rsidRPr="00AB52EE">
        <w:rPr>
          <w:rFonts w:cs="Arial"/>
          <w:szCs w:val="24"/>
          <w:u w:val="single"/>
          <w:lang w:eastAsia="en-ZA"/>
        </w:rPr>
        <w:lastRenderedPageBreak/>
        <w:t>Variation</w:t>
      </w:r>
      <w:r w:rsidR="00520264" w:rsidRPr="00AB52EE">
        <w:rPr>
          <w:rFonts w:cs="Arial"/>
          <w:szCs w:val="24"/>
          <w:u w:val="single"/>
          <w:lang w:eastAsia="en-ZA"/>
        </w:rPr>
        <w:t xml:space="preserve"> of the order</w:t>
      </w:r>
      <w:r w:rsidR="00CC0A9B" w:rsidRPr="00AB52EE">
        <w:rPr>
          <w:rFonts w:cs="Arial"/>
          <w:szCs w:val="24"/>
          <w:u w:val="single"/>
          <w:lang w:eastAsia="en-ZA"/>
        </w:rPr>
        <w:t xml:space="preserve"> upon reconsideration</w:t>
      </w:r>
      <w:r w:rsidRPr="00AB52EE">
        <w:rPr>
          <w:rFonts w:cs="Arial"/>
          <w:szCs w:val="24"/>
          <w:u w:val="single"/>
          <w:lang w:eastAsia="en-ZA"/>
        </w:rPr>
        <w:t xml:space="preserve">, as opposed to setting </w:t>
      </w:r>
      <w:r w:rsidR="00520264" w:rsidRPr="00AB52EE">
        <w:rPr>
          <w:rFonts w:cs="Arial"/>
          <w:szCs w:val="24"/>
          <w:u w:val="single"/>
          <w:lang w:eastAsia="en-ZA"/>
        </w:rPr>
        <w:t>i</w:t>
      </w:r>
      <w:r w:rsidR="00CC0A9B" w:rsidRPr="00AB52EE">
        <w:rPr>
          <w:rFonts w:cs="Arial"/>
          <w:szCs w:val="24"/>
          <w:u w:val="single"/>
          <w:lang w:eastAsia="en-ZA"/>
        </w:rPr>
        <w:t>t</w:t>
      </w:r>
      <w:r w:rsidR="00520264" w:rsidRPr="00AB52EE">
        <w:rPr>
          <w:rFonts w:cs="Arial"/>
          <w:szCs w:val="24"/>
          <w:u w:val="single"/>
          <w:lang w:eastAsia="en-ZA"/>
        </w:rPr>
        <w:t xml:space="preserve"> </w:t>
      </w:r>
      <w:r w:rsidRPr="00AB52EE">
        <w:rPr>
          <w:rFonts w:cs="Arial"/>
          <w:szCs w:val="24"/>
          <w:u w:val="single"/>
          <w:lang w:eastAsia="en-ZA"/>
        </w:rPr>
        <w:t>aside</w:t>
      </w:r>
      <w:r w:rsidR="00CC0A9B" w:rsidRPr="00AB52EE">
        <w:rPr>
          <w:rFonts w:cs="Arial"/>
          <w:szCs w:val="24"/>
          <w:u w:val="single"/>
          <w:lang w:eastAsia="en-ZA"/>
        </w:rPr>
        <w:t xml:space="preserve"> completely</w:t>
      </w:r>
      <w:r w:rsidRPr="00AB52EE">
        <w:rPr>
          <w:rFonts w:cs="Arial"/>
          <w:szCs w:val="24"/>
          <w:u w:val="single"/>
          <w:lang w:eastAsia="en-ZA"/>
        </w:rPr>
        <w:t xml:space="preserve"> </w:t>
      </w:r>
    </w:p>
    <w:p w14:paraId="35F77C9B" w14:textId="5BABD3A9" w:rsidR="00A52DF2" w:rsidRPr="00AB52EE" w:rsidRDefault="00A52DF2" w:rsidP="007A27ED">
      <w:pPr>
        <w:pStyle w:val="LC1"/>
        <w:rPr>
          <w:rFonts w:cs="Arial"/>
          <w:szCs w:val="24"/>
          <w:u w:val="single"/>
          <w:lang w:eastAsia="en-ZA"/>
        </w:rPr>
      </w:pPr>
      <w:r w:rsidRPr="00AB52EE">
        <w:rPr>
          <w:rFonts w:cs="Arial"/>
          <w:szCs w:val="24"/>
          <w:lang w:eastAsia="en-ZA"/>
        </w:rPr>
        <w:t xml:space="preserve">In </w:t>
      </w:r>
      <w:r w:rsidRPr="00AB52EE">
        <w:rPr>
          <w:rFonts w:cs="Arial"/>
          <w:i/>
          <w:iCs/>
          <w:szCs w:val="24"/>
          <w:lang w:eastAsia="en-ZA"/>
        </w:rPr>
        <w:t>Non-Detonating Solutions</w:t>
      </w:r>
      <w:r w:rsidRPr="00AB52EE">
        <w:rPr>
          <w:rFonts w:cs="Arial"/>
          <w:szCs w:val="24"/>
          <w:lang w:eastAsia="en-ZA"/>
        </w:rPr>
        <w:t xml:space="preserve">, the SCA expressly </w:t>
      </w:r>
      <w:r w:rsidR="00752C94">
        <w:rPr>
          <w:rFonts w:cs="Arial"/>
          <w:szCs w:val="24"/>
          <w:lang w:eastAsia="en-ZA"/>
        </w:rPr>
        <w:t xml:space="preserve">found </w:t>
      </w:r>
      <w:r w:rsidRPr="00AB52EE">
        <w:rPr>
          <w:rFonts w:cs="Arial"/>
          <w:szCs w:val="24"/>
          <w:lang w:eastAsia="en-ZA"/>
        </w:rPr>
        <w:t xml:space="preserve">that the order that </w:t>
      </w:r>
      <w:r w:rsidR="00CC0A9B" w:rsidRPr="00AB52EE">
        <w:rPr>
          <w:rFonts w:cs="Arial"/>
          <w:szCs w:val="24"/>
          <w:lang w:eastAsia="en-ZA"/>
        </w:rPr>
        <w:t xml:space="preserve">had been </w:t>
      </w:r>
      <w:r w:rsidRPr="00AB52EE">
        <w:rPr>
          <w:rFonts w:cs="Arial"/>
          <w:szCs w:val="24"/>
          <w:lang w:eastAsia="en-ZA"/>
        </w:rPr>
        <w:t>sought and obtained “does not in some respects comply with the requirements for Anton Piller orders”</w:t>
      </w:r>
      <w:r w:rsidR="00CC0A9B" w:rsidRPr="00AB52EE">
        <w:rPr>
          <w:rFonts w:cs="Arial"/>
          <w:szCs w:val="24"/>
          <w:lang w:eastAsia="en-ZA"/>
        </w:rPr>
        <w:t>. Despite this,</w:t>
      </w:r>
      <w:r w:rsidRPr="00AB52EE">
        <w:rPr>
          <w:rFonts w:cs="Arial"/>
          <w:szCs w:val="24"/>
          <w:lang w:eastAsia="en-ZA"/>
        </w:rPr>
        <w:t xml:space="preserve"> it considered that </w:t>
      </w:r>
      <w:r w:rsidR="00A01AA1" w:rsidRPr="00AB52EE">
        <w:rPr>
          <w:rFonts w:cs="Arial"/>
          <w:szCs w:val="24"/>
          <w:lang w:eastAsia="en-ZA"/>
        </w:rPr>
        <w:t>the C</w:t>
      </w:r>
      <w:r w:rsidRPr="00AB52EE">
        <w:rPr>
          <w:rFonts w:cs="Arial"/>
          <w:szCs w:val="24"/>
          <w:lang w:eastAsia="en-ZA"/>
        </w:rPr>
        <w:t xml:space="preserve">ourt should have </w:t>
      </w:r>
      <w:r w:rsidR="00CC0A9B" w:rsidRPr="00AB52EE">
        <w:rPr>
          <w:rFonts w:cs="Arial"/>
          <w:szCs w:val="24"/>
          <w:lang w:eastAsia="en-ZA"/>
        </w:rPr>
        <w:t xml:space="preserve">upheld the reconsideration </w:t>
      </w:r>
      <w:r w:rsidRPr="00AB52EE">
        <w:rPr>
          <w:rFonts w:cs="Arial"/>
          <w:szCs w:val="24"/>
          <w:lang w:eastAsia="en-ZA"/>
        </w:rPr>
        <w:t>“subject to a few amendments which do not alter the substance of the order but further ensure that the forensic search is limited to relevant items”.</w:t>
      </w:r>
      <w:r w:rsidRPr="00AB52EE">
        <w:rPr>
          <w:rStyle w:val="FootnoteReference"/>
          <w:szCs w:val="24"/>
          <w:lang w:eastAsia="en-ZA"/>
        </w:rPr>
        <w:footnoteReference w:id="69"/>
      </w:r>
      <w:r w:rsidRPr="00AB52EE">
        <w:rPr>
          <w:rFonts w:cs="Arial"/>
          <w:szCs w:val="24"/>
          <w:lang w:eastAsia="en-ZA"/>
        </w:rPr>
        <w:t xml:space="preserve"> </w:t>
      </w:r>
    </w:p>
    <w:p w14:paraId="04A2974C" w14:textId="0191AD6C" w:rsidR="00A52DF2" w:rsidRPr="00AB52EE" w:rsidRDefault="00A52DF2" w:rsidP="007A27ED">
      <w:pPr>
        <w:pStyle w:val="LC1"/>
        <w:rPr>
          <w:rFonts w:cs="Arial"/>
          <w:szCs w:val="24"/>
          <w:u w:val="single"/>
          <w:lang w:eastAsia="en-ZA"/>
        </w:rPr>
      </w:pPr>
      <w:r w:rsidRPr="00AB52EE">
        <w:rPr>
          <w:rFonts w:cs="Arial"/>
          <w:szCs w:val="24"/>
          <w:lang w:eastAsia="en-ZA"/>
        </w:rPr>
        <w:t xml:space="preserve">Similarly, in </w:t>
      </w:r>
      <w:r w:rsidRPr="00AB52EE">
        <w:rPr>
          <w:rFonts w:cs="Arial"/>
          <w:i/>
          <w:iCs/>
          <w:szCs w:val="24"/>
          <w:lang w:eastAsia="en-ZA"/>
        </w:rPr>
        <w:t>Richards Bay Titanium</w:t>
      </w:r>
      <w:r w:rsidRPr="00AB52EE">
        <w:rPr>
          <w:rFonts w:cs="Arial"/>
          <w:szCs w:val="24"/>
          <w:lang w:eastAsia="en-ZA"/>
        </w:rPr>
        <w:t xml:space="preserve">, the </w:t>
      </w:r>
      <w:r w:rsidR="00A01AA1" w:rsidRPr="00AB52EE">
        <w:rPr>
          <w:rFonts w:cs="Arial"/>
          <w:szCs w:val="24"/>
          <w:lang w:eastAsia="en-ZA"/>
        </w:rPr>
        <w:t>C</w:t>
      </w:r>
      <w:r w:rsidRPr="00AB52EE">
        <w:rPr>
          <w:rFonts w:cs="Arial"/>
          <w:szCs w:val="24"/>
          <w:lang w:eastAsia="en-ZA"/>
        </w:rPr>
        <w:t xml:space="preserve">ourt found that the scope of the search was framed in terms that would impermissibly “drag innocent third parties into the fray” but nevertheless did not set it aside in its entirety, </w:t>
      </w:r>
      <w:r w:rsidR="00A20BFB" w:rsidRPr="00AB52EE">
        <w:rPr>
          <w:rFonts w:cs="Arial"/>
          <w:szCs w:val="24"/>
          <w:lang w:eastAsia="en-ZA"/>
        </w:rPr>
        <w:t xml:space="preserve">and instead </w:t>
      </w:r>
      <w:r w:rsidRPr="00AB52EE">
        <w:rPr>
          <w:rFonts w:cs="Arial"/>
          <w:szCs w:val="24"/>
          <w:lang w:eastAsia="en-ZA"/>
        </w:rPr>
        <w:t>amended it to render it legally compliant on the basis that “</w:t>
      </w:r>
      <w:r w:rsidR="00A20BFB" w:rsidRPr="00AB52EE">
        <w:rPr>
          <w:rFonts w:cs="Arial"/>
          <w:szCs w:val="24"/>
          <w:lang w:eastAsia="en-ZA"/>
        </w:rPr>
        <w:t>[s]</w:t>
      </w:r>
      <w:r w:rsidRPr="00AB52EE">
        <w:rPr>
          <w:rFonts w:cs="Arial"/>
          <w:szCs w:val="24"/>
          <w:lang w:eastAsia="en-ZA"/>
        </w:rPr>
        <w:t xml:space="preserve">ince the </w:t>
      </w:r>
      <w:r w:rsidR="00752C94">
        <w:rPr>
          <w:rFonts w:cs="Arial"/>
          <w:szCs w:val="24"/>
          <w:lang w:eastAsia="en-ZA"/>
        </w:rPr>
        <w:t>o</w:t>
      </w:r>
      <w:r w:rsidRPr="00AB52EE">
        <w:rPr>
          <w:rFonts w:cs="Arial"/>
          <w:szCs w:val="24"/>
          <w:lang w:eastAsia="en-ZA"/>
        </w:rPr>
        <w:t xml:space="preserve">rder is being reconsidered, this court is seized with the application and empowered to vary any aspect of the </w:t>
      </w:r>
      <w:r w:rsidR="00752C94">
        <w:rPr>
          <w:rFonts w:cs="Arial"/>
          <w:szCs w:val="24"/>
          <w:lang w:eastAsia="en-ZA"/>
        </w:rPr>
        <w:t>o</w:t>
      </w:r>
      <w:r w:rsidRPr="00AB52EE">
        <w:rPr>
          <w:rFonts w:cs="Arial"/>
          <w:szCs w:val="24"/>
          <w:lang w:eastAsia="en-ZA"/>
        </w:rPr>
        <w:t>rder granted”.</w:t>
      </w:r>
      <w:r w:rsidRPr="00AB52EE">
        <w:rPr>
          <w:rStyle w:val="FootnoteReference"/>
          <w:szCs w:val="24"/>
        </w:rPr>
        <w:footnoteReference w:id="70"/>
      </w:r>
    </w:p>
    <w:p w14:paraId="690B459E" w14:textId="4CDDE186" w:rsidR="00A52DF2" w:rsidRPr="00AB52EE" w:rsidRDefault="00A52DF2" w:rsidP="007A27ED">
      <w:pPr>
        <w:pStyle w:val="LC1"/>
        <w:rPr>
          <w:rFonts w:cs="Arial"/>
          <w:szCs w:val="24"/>
          <w:lang w:eastAsia="en-ZA"/>
        </w:rPr>
      </w:pPr>
      <w:r w:rsidRPr="00AB52EE">
        <w:rPr>
          <w:rFonts w:cs="Arial"/>
          <w:szCs w:val="24"/>
          <w:lang w:eastAsia="en-ZA"/>
        </w:rPr>
        <w:t xml:space="preserve">In my view, this approach is sensible, but each case must be carefully analysed to determine whether the variation will </w:t>
      </w:r>
      <w:r w:rsidR="00752C94">
        <w:rPr>
          <w:rFonts w:cs="Arial"/>
          <w:szCs w:val="24"/>
          <w:lang w:eastAsia="en-ZA"/>
        </w:rPr>
        <w:t xml:space="preserve">indeed </w:t>
      </w:r>
      <w:r w:rsidRPr="00AB52EE">
        <w:rPr>
          <w:rFonts w:cs="Arial"/>
          <w:szCs w:val="24"/>
          <w:lang w:eastAsia="en-ZA"/>
        </w:rPr>
        <w:t>ensur</w:t>
      </w:r>
      <w:r w:rsidR="00752C94">
        <w:rPr>
          <w:rFonts w:cs="Arial"/>
          <w:szCs w:val="24"/>
          <w:lang w:eastAsia="en-ZA"/>
        </w:rPr>
        <w:t>e</w:t>
      </w:r>
      <w:r w:rsidRPr="00AB52EE">
        <w:rPr>
          <w:rFonts w:cs="Arial"/>
          <w:szCs w:val="24"/>
          <w:lang w:eastAsia="en-ZA"/>
        </w:rPr>
        <w:t xml:space="preserve"> that the process remains within </w:t>
      </w:r>
      <w:r w:rsidR="00CC0A9B" w:rsidRPr="00AB52EE">
        <w:rPr>
          <w:rFonts w:cs="Arial"/>
          <w:szCs w:val="24"/>
          <w:lang w:eastAsia="en-ZA"/>
        </w:rPr>
        <w:t>c</w:t>
      </w:r>
      <w:r w:rsidRPr="00AB52EE">
        <w:rPr>
          <w:rFonts w:cs="Arial"/>
          <w:szCs w:val="24"/>
          <w:lang w:eastAsia="en-ZA"/>
        </w:rPr>
        <w:t>onstitutionally acceptable bounds and that it will not be a case of ‘closing the door after the horse has bolted’. For example, while it would be of little utility to set aside an impermissible immediate inspection order that has been executed</w:t>
      </w:r>
      <w:r w:rsidR="00CC0A9B" w:rsidRPr="00AB52EE">
        <w:rPr>
          <w:rFonts w:cs="Arial"/>
          <w:szCs w:val="24"/>
          <w:lang w:eastAsia="en-ZA"/>
        </w:rPr>
        <w:t xml:space="preserve"> and uphold the remainder of the order</w:t>
      </w:r>
      <w:r w:rsidR="00566B47" w:rsidRPr="00AB52EE">
        <w:rPr>
          <w:rFonts w:cs="Arial"/>
          <w:szCs w:val="24"/>
          <w:lang w:eastAsia="en-ZA"/>
        </w:rPr>
        <w:t>,</w:t>
      </w:r>
      <w:r w:rsidR="00055919" w:rsidRPr="00AB52EE">
        <w:rPr>
          <w:rFonts w:cs="Arial"/>
          <w:szCs w:val="24"/>
          <w:lang w:eastAsia="en-ZA"/>
        </w:rPr>
        <w:t xml:space="preserve"> </w:t>
      </w:r>
      <w:r w:rsidRPr="00AB52EE">
        <w:rPr>
          <w:rFonts w:cs="Arial"/>
          <w:szCs w:val="24"/>
          <w:lang w:eastAsia="en-ZA"/>
        </w:rPr>
        <w:t xml:space="preserve">if </w:t>
      </w:r>
      <w:r w:rsidR="003D662A" w:rsidRPr="00AB52EE">
        <w:rPr>
          <w:rFonts w:cs="Arial"/>
          <w:szCs w:val="24"/>
          <w:lang w:eastAsia="en-ZA"/>
        </w:rPr>
        <w:t xml:space="preserve">that has not occurred </w:t>
      </w:r>
      <w:r w:rsidRPr="00AB52EE">
        <w:rPr>
          <w:rFonts w:cs="Arial"/>
          <w:szCs w:val="24"/>
          <w:lang w:eastAsia="en-ZA"/>
        </w:rPr>
        <w:t xml:space="preserve">and </w:t>
      </w:r>
      <w:r w:rsidR="00566B47" w:rsidRPr="00AB52EE">
        <w:rPr>
          <w:rFonts w:cs="Arial"/>
          <w:szCs w:val="24"/>
          <w:lang w:eastAsia="en-ZA"/>
        </w:rPr>
        <w:t>t</w:t>
      </w:r>
      <w:r w:rsidR="00055919" w:rsidRPr="00AB52EE">
        <w:rPr>
          <w:rFonts w:cs="Arial"/>
          <w:szCs w:val="24"/>
          <w:lang w:eastAsia="en-ZA"/>
        </w:rPr>
        <w:t xml:space="preserve">here is no suggestion that </w:t>
      </w:r>
      <w:r w:rsidRPr="00AB52EE">
        <w:rPr>
          <w:rFonts w:cs="Arial"/>
          <w:szCs w:val="24"/>
          <w:lang w:eastAsia="en-ZA"/>
        </w:rPr>
        <w:t xml:space="preserve">the applicant </w:t>
      </w:r>
      <w:r w:rsidR="00CC0A9B" w:rsidRPr="00AB52EE">
        <w:rPr>
          <w:rFonts w:cs="Arial"/>
          <w:szCs w:val="24"/>
          <w:lang w:eastAsia="en-ZA"/>
        </w:rPr>
        <w:t xml:space="preserve">has </w:t>
      </w:r>
      <w:r w:rsidR="00055919" w:rsidRPr="00AB52EE">
        <w:rPr>
          <w:rFonts w:cs="Arial"/>
          <w:szCs w:val="24"/>
          <w:lang w:eastAsia="en-ZA"/>
        </w:rPr>
        <w:t xml:space="preserve">been able to access information that </w:t>
      </w:r>
      <w:r w:rsidR="00CC0A9B" w:rsidRPr="00AB52EE">
        <w:rPr>
          <w:rFonts w:cs="Arial"/>
          <w:szCs w:val="24"/>
          <w:lang w:eastAsia="en-ZA"/>
        </w:rPr>
        <w:t xml:space="preserve">it </w:t>
      </w:r>
      <w:r w:rsidR="00055919" w:rsidRPr="00AB52EE">
        <w:rPr>
          <w:rFonts w:cs="Arial"/>
          <w:szCs w:val="24"/>
          <w:lang w:eastAsia="en-ZA"/>
        </w:rPr>
        <w:t xml:space="preserve">should not have during the course of the search and its aftermath, there </w:t>
      </w:r>
      <w:r w:rsidR="00055919" w:rsidRPr="00AB52EE">
        <w:rPr>
          <w:rFonts w:cs="Arial"/>
          <w:szCs w:val="24"/>
          <w:lang w:eastAsia="en-ZA"/>
        </w:rPr>
        <w:lastRenderedPageBreak/>
        <w:t xml:space="preserve">is no reason in principle why </w:t>
      </w:r>
      <w:r w:rsidR="00566B47" w:rsidRPr="00AB52EE">
        <w:rPr>
          <w:rFonts w:cs="Arial"/>
          <w:szCs w:val="24"/>
          <w:lang w:eastAsia="en-ZA"/>
        </w:rPr>
        <w:t xml:space="preserve">a </w:t>
      </w:r>
      <w:r w:rsidR="00055919" w:rsidRPr="00AB52EE">
        <w:rPr>
          <w:rFonts w:cs="Arial"/>
          <w:szCs w:val="24"/>
          <w:lang w:eastAsia="en-ZA"/>
        </w:rPr>
        <w:t xml:space="preserve">court </w:t>
      </w:r>
      <w:r w:rsidR="00566B47" w:rsidRPr="00AB52EE">
        <w:rPr>
          <w:rFonts w:cs="Arial"/>
          <w:szCs w:val="24"/>
          <w:lang w:eastAsia="en-ZA"/>
        </w:rPr>
        <w:t>undertaking</w:t>
      </w:r>
      <w:r w:rsidR="00752C94">
        <w:rPr>
          <w:rFonts w:cs="Arial"/>
          <w:szCs w:val="24"/>
          <w:lang w:eastAsia="en-ZA"/>
        </w:rPr>
        <w:t xml:space="preserve"> a</w:t>
      </w:r>
      <w:r w:rsidR="00566B47" w:rsidRPr="00AB52EE">
        <w:rPr>
          <w:rFonts w:cs="Arial"/>
          <w:szCs w:val="24"/>
          <w:lang w:eastAsia="en-ZA"/>
        </w:rPr>
        <w:t xml:space="preserve"> </w:t>
      </w:r>
      <w:r w:rsidR="00055919" w:rsidRPr="00AB52EE">
        <w:rPr>
          <w:rFonts w:cs="Arial"/>
          <w:szCs w:val="24"/>
          <w:lang w:eastAsia="en-ZA"/>
        </w:rPr>
        <w:t xml:space="preserve">reconsideration should not set aside </w:t>
      </w:r>
      <w:r w:rsidR="00566B47" w:rsidRPr="00AB52EE">
        <w:rPr>
          <w:rFonts w:cs="Arial"/>
          <w:szCs w:val="24"/>
          <w:lang w:eastAsia="en-ZA"/>
        </w:rPr>
        <w:t xml:space="preserve">or vary </w:t>
      </w:r>
      <w:r w:rsidR="00055919" w:rsidRPr="00AB52EE">
        <w:rPr>
          <w:rFonts w:cs="Arial"/>
          <w:szCs w:val="24"/>
          <w:lang w:eastAsia="en-ZA"/>
        </w:rPr>
        <w:t xml:space="preserve">only the offending portions of the order and </w:t>
      </w:r>
      <w:r w:rsidR="00566B47" w:rsidRPr="00AB52EE">
        <w:rPr>
          <w:rFonts w:cs="Arial"/>
          <w:szCs w:val="24"/>
          <w:lang w:eastAsia="en-ZA"/>
        </w:rPr>
        <w:t xml:space="preserve">confirm </w:t>
      </w:r>
      <w:r w:rsidR="00055919" w:rsidRPr="00AB52EE">
        <w:rPr>
          <w:rFonts w:cs="Arial"/>
          <w:szCs w:val="24"/>
          <w:lang w:eastAsia="en-ZA"/>
        </w:rPr>
        <w:t xml:space="preserve">the other portions that are found to be unexceptionable. </w:t>
      </w:r>
    </w:p>
    <w:p w14:paraId="3CF67579" w14:textId="22357FF0" w:rsidR="00072A0B" w:rsidRPr="00AB52EE" w:rsidRDefault="00B07535" w:rsidP="00D85020">
      <w:pPr>
        <w:pStyle w:val="LC1"/>
        <w:keepNext/>
        <w:numPr>
          <w:ilvl w:val="0"/>
          <w:numId w:val="0"/>
        </w:numPr>
        <w:rPr>
          <w:rFonts w:cs="Arial"/>
          <w:szCs w:val="24"/>
          <w:u w:val="single"/>
          <w:lang w:eastAsia="en-ZA"/>
        </w:rPr>
      </w:pPr>
      <w:r w:rsidRPr="00AB52EE">
        <w:rPr>
          <w:rFonts w:cs="Arial"/>
          <w:szCs w:val="24"/>
          <w:u w:val="single"/>
          <w:lang w:eastAsia="en-ZA"/>
        </w:rPr>
        <w:t>Onus and standard of proof regarding n</w:t>
      </w:r>
      <w:r w:rsidR="00072A0B" w:rsidRPr="00AB52EE">
        <w:rPr>
          <w:rFonts w:cs="Arial"/>
          <w:szCs w:val="24"/>
          <w:u w:val="single"/>
          <w:lang w:eastAsia="en-ZA"/>
        </w:rPr>
        <w:t xml:space="preserve">on-disclosure </w:t>
      </w:r>
      <w:r w:rsidR="005B20F0" w:rsidRPr="00AB52EE">
        <w:rPr>
          <w:rFonts w:cs="Arial"/>
          <w:szCs w:val="24"/>
          <w:u w:val="single"/>
          <w:lang w:eastAsia="en-ZA"/>
        </w:rPr>
        <w:t xml:space="preserve">and </w:t>
      </w:r>
      <w:r w:rsidR="00D13465" w:rsidRPr="00AB52EE">
        <w:rPr>
          <w:rFonts w:cs="Arial"/>
          <w:szCs w:val="24"/>
          <w:u w:val="single"/>
          <w:lang w:eastAsia="en-ZA"/>
        </w:rPr>
        <w:t xml:space="preserve">non-compliant </w:t>
      </w:r>
      <w:r w:rsidR="00072A0B" w:rsidRPr="00AB52EE">
        <w:rPr>
          <w:rFonts w:cs="Arial"/>
          <w:szCs w:val="24"/>
          <w:u w:val="single"/>
          <w:lang w:eastAsia="en-ZA"/>
        </w:rPr>
        <w:t xml:space="preserve">execution </w:t>
      </w:r>
    </w:p>
    <w:p w14:paraId="12BE1F7F" w14:textId="5A6DE0F7" w:rsidR="00C875AC" w:rsidRPr="00AB52EE" w:rsidRDefault="00A01AA1" w:rsidP="007A27ED">
      <w:pPr>
        <w:pStyle w:val="LC1"/>
        <w:rPr>
          <w:rFonts w:cs="Arial"/>
          <w:szCs w:val="24"/>
          <w:lang w:eastAsia="en-ZA"/>
        </w:rPr>
      </w:pPr>
      <w:r w:rsidRPr="00AB52EE">
        <w:rPr>
          <w:rFonts w:cs="Arial"/>
          <w:szCs w:val="24"/>
        </w:rPr>
        <w:t xml:space="preserve">The respondents </w:t>
      </w:r>
      <w:r w:rsidR="005B20F0" w:rsidRPr="00AB52EE">
        <w:rPr>
          <w:rFonts w:cs="Arial"/>
          <w:szCs w:val="24"/>
          <w:lang w:eastAsia="en-ZA"/>
        </w:rPr>
        <w:t>rightly accept that w</w:t>
      </w:r>
      <w:r w:rsidR="00C875AC" w:rsidRPr="00AB52EE">
        <w:rPr>
          <w:rFonts w:cs="Arial"/>
          <w:szCs w:val="24"/>
          <w:lang w:eastAsia="en-ZA"/>
        </w:rPr>
        <w:t xml:space="preserve">here the original order is </w:t>
      </w:r>
      <w:r w:rsidR="00566B47" w:rsidRPr="00AB52EE">
        <w:rPr>
          <w:rFonts w:cs="Arial"/>
          <w:szCs w:val="24"/>
          <w:lang w:eastAsia="en-ZA"/>
        </w:rPr>
        <w:t xml:space="preserve">challenged </w:t>
      </w:r>
      <w:r w:rsidR="00C875AC" w:rsidRPr="00AB52EE">
        <w:rPr>
          <w:rFonts w:cs="Arial"/>
          <w:szCs w:val="24"/>
          <w:lang w:eastAsia="en-ZA"/>
        </w:rPr>
        <w:t>on the basis of absence of good faith or non-disclosur</w:t>
      </w:r>
      <w:r w:rsidR="00072A0B" w:rsidRPr="00AB52EE">
        <w:rPr>
          <w:rFonts w:cs="Arial"/>
          <w:szCs w:val="24"/>
          <w:lang w:eastAsia="en-ZA"/>
        </w:rPr>
        <w:t>e</w:t>
      </w:r>
      <w:r w:rsidR="00BA1ED3" w:rsidRPr="00AB52EE">
        <w:rPr>
          <w:rFonts w:cs="Arial"/>
          <w:szCs w:val="24"/>
          <w:lang w:eastAsia="en-ZA"/>
        </w:rPr>
        <w:t xml:space="preserve"> in the founding affidavit</w:t>
      </w:r>
      <w:r w:rsidR="00072A0B" w:rsidRPr="00AB52EE">
        <w:rPr>
          <w:rFonts w:cs="Arial"/>
          <w:szCs w:val="24"/>
          <w:lang w:eastAsia="en-ZA"/>
        </w:rPr>
        <w:t>, or where the allegation is that the order was not duly</w:t>
      </w:r>
      <w:r w:rsidR="00775D7A" w:rsidRPr="00AB52EE">
        <w:rPr>
          <w:rFonts w:cs="Arial"/>
          <w:szCs w:val="24"/>
          <w:lang w:eastAsia="en-ZA"/>
        </w:rPr>
        <w:t xml:space="preserve"> </w:t>
      </w:r>
      <w:r w:rsidR="00072A0B" w:rsidRPr="00AB52EE">
        <w:rPr>
          <w:rFonts w:cs="Arial"/>
          <w:szCs w:val="24"/>
          <w:lang w:eastAsia="en-ZA"/>
        </w:rPr>
        <w:t>executed</w:t>
      </w:r>
      <w:r w:rsidR="005B20F0" w:rsidRPr="00AB52EE">
        <w:rPr>
          <w:rFonts w:cs="Arial"/>
          <w:szCs w:val="24"/>
          <w:lang w:eastAsia="en-ZA"/>
        </w:rPr>
        <w:t>,</w:t>
      </w:r>
      <w:r w:rsidR="00072A0B" w:rsidRPr="00AB52EE">
        <w:rPr>
          <w:rFonts w:cs="Arial"/>
          <w:szCs w:val="24"/>
          <w:lang w:eastAsia="en-ZA"/>
        </w:rPr>
        <w:t xml:space="preserve"> </w:t>
      </w:r>
      <w:r w:rsidR="00C875AC" w:rsidRPr="00AB52EE">
        <w:rPr>
          <w:rFonts w:cs="Arial"/>
          <w:szCs w:val="24"/>
          <w:lang w:eastAsia="en-ZA"/>
        </w:rPr>
        <w:t xml:space="preserve">the onus will be on </w:t>
      </w:r>
      <w:r w:rsidR="005B20F0" w:rsidRPr="00AB52EE">
        <w:rPr>
          <w:rFonts w:cs="Arial"/>
          <w:szCs w:val="24"/>
          <w:lang w:eastAsia="en-ZA"/>
        </w:rPr>
        <w:t xml:space="preserve">respondent to prove </w:t>
      </w:r>
      <w:r w:rsidR="00F72F08" w:rsidRPr="00AB52EE">
        <w:rPr>
          <w:rFonts w:cs="Arial"/>
          <w:szCs w:val="24"/>
          <w:lang w:eastAsia="en-ZA"/>
        </w:rPr>
        <w:t xml:space="preserve">the relevant facts </w:t>
      </w:r>
      <w:r w:rsidR="008815BB" w:rsidRPr="00AB52EE">
        <w:rPr>
          <w:rFonts w:cs="Arial"/>
          <w:szCs w:val="24"/>
          <w:lang w:eastAsia="en-ZA"/>
        </w:rPr>
        <w:t xml:space="preserve">on the basis of a </w:t>
      </w:r>
      <w:r w:rsidR="00D1798F" w:rsidRPr="00AB52EE">
        <w:rPr>
          <w:rFonts w:cs="Arial"/>
          <w:szCs w:val="24"/>
          <w:lang w:eastAsia="en-ZA"/>
        </w:rPr>
        <w:t xml:space="preserve">preponderance </w:t>
      </w:r>
      <w:r w:rsidR="008815BB" w:rsidRPr="00AB52EE">
        <w:rPr>
          <w:rFonts w:cs="Arial"/>
          <w:szCs w:val="24"/>
          <w:lang w:eastAsia="en-ZA"/>
        </w:rPr>
        <w:t>of probabilit</w:t>
      </w:r>
      <w:r w:rsidR="00566B47" w:rsidRPr="00AB52EE">
        <w:rPr>
          <w:rFonts w:cs="Arial"/>
          <w:szCs w:val="24"/>
          <w:lang w:eastAsia="en-ZA"/>
        </w:rPr>
        <w:t>ies</w:t>
      </w:r>
      <w:r w:rsidR="008815BB" w:rsidRPr="00AB52EE">
        <w:rPr>
          <w:rFonts w:cs="Arial"/>
          <w:szCs w:val="24"/>
          <w:lang w:eastAsia="en-ZA"/>
        </w:rPr>
        <w:t>.</w:t>
      </w:r>
      <w:r w:rsidR="00C875AC" w:rsidRPr="00AB52EE">
        <w:rPr>
          <w:rStyle w:val="FootnoteReference"/>
          <w:szCs w:val="24"/>
          <w:lang w:eastAsia="en-ZA"/>
        </w:rPr>
        <w:footnoteReference w:id="71"/>
      </w:r>
      <w:r w:rsidR="003A2522" w:rsidRPr="00AB52EE">
        <w:rPr>
          <w:rFonts w:cs="Arial"/>
          <w:szCs w:val="24"/>
          <w:lang w:eastAsia="en-ZA"/>
        </w:rPr>
        <w:t xml:space="preserve"> </w:t>
      </w:r>
    </w:p>
    <w:p w14:paraId="4248AB82" w14:textId="3D14E294" w:rsidR="000C3610" w:rsidRPr="00AB52EE" w:rsidRDefault="007E2A19" w:rsidP="007A27ED">
      <w:pPr>
        <w:pStyle w:val="LC1"/>
        <w:rPr>
          <w:rFonts w:cs="Arial"/>
          <w:szCs w:val="24"/>
        </w:rPr>
      </w:pPr>
      <w:r w:rsidRPr="00AB52EE">
        <w:rPr>
          <w:rFonts w:cs="Arial"/>
          <w:szCs w:val="24"/>
          <w:lang w:eastAsia="en-ZA"/>
        </w:rPr>
        <w:t xml:space="preserve">It is trite that an applicant who approaches </w:t>
      </w:r>
      <w:r w:rsidR="00A01AA1" w:rsidRPr="00AB52EE">
        <w:rPr>
          <w:rFonts w:cs="Arial"/>
          <w:szCs w:val="24"/>
          <w:lang w:eastAsia="en-ZA"/>
        </w:rPr>
        <w:t>a c</w:t>
      </w:r>
      <w:r w:rsidRPr="00AB52EE">
        <w:rPr>
          <w:rFonts w:cs="Arial"/>
          <w:szCs w:val="24"/>
          <w:lang w:eastAsia="en-ZA"/>
        </w:rPr>
        <w:t xml:space="preserve">ourt on an </w:t>
      </w:r>
      <w:r w:rsidRPr="00AB52EE">
        <w:rPr>
          <w:rFonts w:cs="Arial"/>
          <w:i/>
          <w:iCs/>
          <w:szCs w:val="24"/>
          <w:lang w:eastAsia="en-ZA"/>
        </w:rPr>
        <w:t>ex parte</w:t>
      </w:r>
      <w:r w:rsidRPr="00AB52EE">
        <w:rPr>
          <w:rFonts w:cs="Arial"/>
          <w:szCs w:val="24"/>
          <w:lang w:eastAsia="en-ZA"/>
        </w:rPr>
        <w:t xml:space="preserve"> basis is required to act with the utmost good faith and must in particular disclose all material facts. The bar of materiality for non-disclosure is set relatively low – it only needs to be shown that disclosure of the facts in question might (not would) have influenced the </w:t>
      </w:r>
      <w:r w:rsidR="00A01AA1" w:rsidRPr="00AB52EE">
        <w:rPr>
          <w:rFonts w:cs="Arial"/>
          <w:szCs w:val="24"/>
          <w:lang w:eastAsia="en-ZA"/>
        </w:rPr>
        <w:t>C</w:t>
      </w:r>
      <w:r w:rsidRPr="00AB52EE">
        <w:rPr>
          <w:rFonts w:cs="Arial"/>
          <w:szCs w:val="24"/>
          <w:lang w:eastAsia="en-ZA"/>
        </w:rPr>
        <w:t xml:space="preserve">ourt in coming to its decision, and it is unnecessary to demonstrate that the non-disclosure or suppression was wilful or </w:t>
      </w:r>
      <w:r w:rsidRPr="00AB52EE">
        <w:rPr>
          <w:rFonts w:cs="Arial"/>
          <w:i/>
          <w:iCs/>
          <w:szCs w:val="24"/>
          <w:lang w:eastAsia="en-ZA"/>
        </w:rPr>
        <w:t>mala fide</w:t>
      </w:r>
      <w:r w:rsidRPr="00AB52EE">
        <w:rPr>
          <w:rFonts w:cs="Arial"/>
          <w:szCs w:val="24"/>
          <w:lang w:eastAsia="en-ZA"/>
        </w:rPr>
        <w:t>.</w:t>
      </w:r>
      <w:r w:rsidR="006319B3" w:rsidRPr="00AB52EE">
        <w:rPr>
          <w:rFonts w:cs="Arial"/>
          <w:szCs w:val="24"/>
          <w:lang w:eastAsia="en-ZA"/>
        </w:rPr>
        <w:t xml:space="preserve"> </w:t>
      </w:r>
      <w:r w:rsidR="000C3610" w:rsidRPr="00AB52EE">
        <w:rPr>
          <w:rFonts w:cs="Arial"/>
          <w:szCs w:val="24"/>
          <w:lang w:eastAsia="en-ZA"/>
        </w:rPr>
        <w:t>In exercising its discretion to set aside the order on the grounds of non-disclosure, a court must consider (i) t</w:t>
      </w:r>
      <w:r w:rsidR="000C3610" w:rsidRPr="00AB52EE">
        <w:rPr>
          <w:rFonts w:cs="Arial"/>
          <w:szCs w:val="24"/>
        </w:rPr>
        <w:t xml:space="preserve">he extent of the non-disclosure; (ii) whether the first court might have been influenced by a proper disclosure; (iii) the reasons for the non-disclosure; and (iv) </w:t>
      </w:r>
      <w:r w:rsidR="000C3610" w:rsidRPr="00AB52EE">
        <w:rPr>
          <w:rFonts w:cs="Arial"/>
          <w:szCs w:val="24"/>
          <w:lang w:eastAsia="en-ZA"/>
        </w:rPr>
        <w:t>the consequences of setting the order aside.</w:t>
      </w:r>
      <w:r w:rsidR="000C3610" w:rsidRPr="00AB52EE">
        <w:rPr>
          <w:rStyle w:val="FootnoteReference"/>
          <w:szCs w:val="24"/>
          <w:lang w:eastAsia="en-ZA"/>
        </w:rPr>
        <w:footnoteReference w:id="72"/>
      </w:r>
    </w:p>
    <w:p w14:paraId="53206571" w14:textId="3F6110CA" w:rsidR="00BA1ED3" w:rsidRPr="00AB52EE" w:rsidRDefault="000C3610" w:rsidP="007A27ED">
      <w:pPr>
        <w:pStyle w:val="LC1"/>
        <w:rPr>
          <w:rFonts w:cs="Arial"/>
          <w:szCs w:val="24"/>
        </w:rPr>
      </w:pPr>
      <w:r w:rsidRPr="005E7E51">
        <w:rPr>
          <w:rFonts w:cs="Arial"/>
          <w:szCs w:val="24"/>
        </w:rPr>
        <w:t>As to a failure</w:t>
      </w:r>
      <w:r w:rsidRPr="00AB52EE">
        <w:rPr>
          <w:rFonts w:cs="Arial"/>
          <w:szCs w:val="24"/>
        </w:rPr>
        <w:t xml:space="preserve"> to execute the order in strict compliance with its terms, “severe </w:t>
      </w:r>
      <w:r w:rsidRPr="00AB52EE">
        <w:rPr>
          <w:rFonts w:cs="Arial"/>
          <w:szCs w:val="24"/>
        </w:rPr>
        <w:lastRenderedPageBreak/>
        <w:t>sanctions are necessary to curb any abuse of stringent remedies”,</w:t>
      </w:r>
      <w:r w:rsidRPr="00AB52EE">
        <w:rPr>
          <w:rStyle w:val="FootnoteReference"/>
          <w:szCs w:val="24"/>
        </w:rPr>
        <w:footnoteReference w:id="73"/>
      </w:r>
      <w:r w:rsidRPr="00AB52EE">
        <w:rPr>
          <w:rFonts w:cs="Arial"/>
          <w:szCs w:val="24"/>
        </w:rPr>
        <w:t xml:space="preserve"> but setting aside is not the inevitable consequence of </w:t>
      </w:r>
      <w:r w:rsidR="00566B47" w:rsidRPr="00AB52EE">
        <w:rPr>
          <w:rFonts w:cs="Arial"/>
          <w:szCs w:val="24"/>
        </w:rPr>
        <w:t xml:space="preserve">every minor </w:t>
      </w:r>
      <w:r w:rsidRPr="00AB52EE">
        <w:rPr>
          <w:rFonts w:cs="Arial"/>
          <w:szCs w:val="24"/>
        </w:rPr>
        <w:t xml:space="preserve">non-compliance. Our courts continue to apply the approach adopted by Van der Westhuizen J </w:t>
      </w:r>
      <w:r w:rsidRPr="00AB52EE">
        <w:rPr>
          <w:rFonts w:cs="Arial"/>
          <w:szCs w:val="24"/>
          <w:lang w:eastAsia="en-ZA"/>
        </w:rPr>
        <w:t xml:space="preserve">while still a </w:t>
      </w:r>
      <w:r w:rsidRPr="005E7E51">
        <w:rPr>
          <w:rFonts w:cs="Arial"/>
          <w:i/>
          <w:iCs/>
          <w:szCs w:val="24"/>
          <w:lang w:eastAsia="en-ZA"/>
        </w:rPr>
        <w:t>puisne</w:t>
      </w:r>
      <w:r w:rsidRPr="00AB52EE">
        <w:rPr>
          <w:rFonts w:cs="Arial"/>
          <w:szCs w:val="24"/>
          <w:lang w:eastAsia="en-ZA"/>
        </w:rPr>
        <w:t xml:space="preserve"> judge in </w:t>
      </w:r>
      <w:r w:rsidRPr="00AB52EE">
        <w:rPr>
          <w:rFonts w:cs="Arial"/>
          <w:i/>
          <w:iCs/>
          <w:szCs w:val="24"/>
          <w:lang w:eastAsia="en-ZA"/>
        </w:rPr>
        <w:t>Retail Apparel</w:t>
      </w:r>
      <w:r w:rsidR="00CC0A9B" w:rsidRPr="00AB52EE">
        <w:rPr>
          <w:rFonts w:cs="Arial"/>
          <w:szCs w:val="24"/>
          <w:lang w:eastAsia="en-ZA"/>
        </w:rPr>
        <w:t>, and which merits repetition in full:</w:t>
      </w:r>
    </w:p>
    <w:p w14:paraId="31A66795" w14:textId="1ACDBB1B" w:rsidR="006B3BA5" w:rsidRPr="00AB52EE" w:rsidRDefault="0051604B" w:rsidP="00720427">
      <w:pPr>
        <w:pStyle w:val="HeadsQuote"/>
        <w:rPr>
          <w:i/>
          <w:iCs/>
        </w:rPr>
      </w:pPr>
      <w:r w:rsidRPr="00AB52EE">
        <w:t>“</w:t>
      </w:r>
      <w:r w:rsidR="000C3610" w:rsidRPr="00AB52EE">
        <w:t>In appropriate cases a Court can show its displeasure or disapproval by setting aside the order … to restrain the strong temptation which may exist on the part of an applicant to stretch the language of the order.</w:t>
      </w:r>
      <w:r w:rsidR="00720427">
        <w:t xml:space="preserve"> … </w:t>
      </w:r>
      <w:r w:rsidR="00BA1ED3" w:rsidRPr="00AB52EE">
        <w:t xml:space="preserve">The test seems to be whether the execution is so seriously flawed that the Court should show its displeasure or disapproval by setting aside the order. Obviously a serious flaw would include conduct which could be regarded as blatantly abusive, oppressive or contemptuous, but would not be limited to conduct of such extreme nature. </w:t>
      </w:r>
      <w:r w:rsidR="007F3497" w:rsidRPr="00AB52EE">
        <w:t xml:space="preserve">… </w:t>
      </w:r>
      <w:r w:rsidR="00BA1ED3" w:rsidRPr="00AB52EE">
        <w:t>It is also possible that non-compliance with the order as far as the execution is concerned may attract a punitive costs order. However, not every flaw seems to be regarded as equally serious and equally relevant by the Courts.</w:t>
      </w:r>
      <w:r w:rsidRPr="00AB52EE">
        <w:t>”</w:t>
      </w:r>
      <w:r w:rsidR="007F3497" w:rsidRPr="00AB52EE">
        <w:rPr>
          <w:rStyle w:val="FootnoteReference"/>
          <w:szCs w:val="24"/>
        </w:rPr>
        <w:footnoteReference w:id="74"/>
      </w:r>
    </w:p>
    <w:p w14:paraId="2ED96F5B" w14:textId="0249FDE6" w:rsidR="006976A4" w:rsidRPr="00AB52EE" w:rsidRDefault="00467B84" w:rsidP="00D85020">
      <w:pPr>
        <w:pStyle w:val="LC1"/>
        <w:keepNext/>
        <w:numPr>
          <w:ilvl w:val="0"/>
          <w:numId w:val="0"/>
        </w:numPr>
        <w:rPr>
          <w:rFonts w:cs="Arial"/>
          <w:b/>
          <w:bCs/>
          <w:szCs w:val="24"/>
          <w:lang w:eastAsia="en-ZA"/>
        </w:rPr>
      </w:pPr>
      <w:r w:rsidRPr="00AB52EE">
        <w:rPr>
          <w:rFonts w:cs="Arial"/>
          <w:b/>
          <w:bCs/>
          <w:szCs w:val="24"/>
          <w:lang w:eastAsia="en-ZA"/>
        </w:rPr>
        <w:t xml:space="preserve">ABUSE OF PROCESS </w:t>
      </w:r>
    </w:p>
    <w:p w14:paraId="334AAD9B" w14:textId="685AEBDF" w:rsidR="00FE2C35" w:rsidRPr="00AB52EE" w:rsidRDefault="00FE2C35" w:rsidP="007A27ED">
      <w:pPr>
        <w:pStyle w:val="LC1"/>
        <w:rPr>
          <w:rFonts w:cs="Arial"/>
          <w:szCs w:val="24"/>
          <w:lang w:eastAsia="en-ZA"/>
        </w:rPr>
      </w:pPr>
      <w:r w:rsidRPr="00AB52EE">
        <w:rPr>
          <w:rFonts w:cs="Arial"/>
          <w:szCs w:val="24"/>
          <w:lang w:eastAsia="en-ZA"/>
        </w:rPr>
        <w:t xml:space="preserve">I now turn to consider in turn each of </w:t>
      </w:r>
      <w:r w:rsidR="00566B47" w:rsidRPr="00AB52EE">
        <w:rPr>
          <w:rFonts w:cs="Arial"/>
          <w:szCs w:val="24"/>
          <w:lang w:eastAsia="en-ZA"/>
        </w:rPr>
        <w:t xml:space="preserve">the respondents’ </w:t>
      </w:r>
      <w:r w:rsidRPr="00AB52EE">
        <w:rPr>
          <w:rFonts w:cs="Arial"/>
          <w:szCs w:val="24"/>
          <w:lang w:eastAsia="en-ZA"/>
        </w:rPr>
        <w:t xml:space="preserve">specific challenges to the </w:t>
      </w:r>
      <w:r w:rsidR="00566B47" w:rsidRPr="00AB52EE">
        <w:rPr>
          <w:rFonts w:cs="Arial"/>
          <w:szCs w:val="24"/>
          <w:lang w:eastAsia="en-ZA"/>
        </w:rPr>
        <w:t xml:space="preserve">Anton Piller </w:t>
      </w:r>
      <w:r w:rsidRPr="00AB52EE">
        <w:rPr>
          <w:rFonts w:cs="Arial"/>
          <w:szCs w:val="24"/>
          <w:lang w:eastAsia="en-ZA"/>
        </w:rPr>
        <w:t xml:space="preserve">order that </w:t>
      </w:r>
      <w:r w:rsidR="00566B47" w:rsidRPr="00AB52EE">
        <w:rPr>
          <w:rFonts w:cs="Arial"/>
          <w:szCs w:val="24"/>
          <w:lang w:eastAsia="en-ZA"/>
        </w:rPr>
        <w:t xml:space="preserve">Supercart </w:t>
      </w:r>
      <w:r w:rsidRPr="00AB52EE">
        <w:rPr>
          <w:rFonts w:cs="Arial"/>
          <w:szCs w:val="24"/>
          <w:lang w:eastAsia="en-ZA"/>
        </w:rPr>
        <w:t xml:space="preserve">obtained and the execution thereof, as identified in </w:t>
      </w:r>
      <w:r w:rsidR="00566B47" w:rsidRPr="00AB52EE">
        <w:rPr>
          <w:rFonts w:cs="Arial"/>
          <w:szCs w:val="24"/>
          <w:lang w:eastAsia="en-ZA"/>
        </w:rPr>
        <w:t xml:space="preserve">Mr Case’s </w:t>
      </w:r>
      <w:r w:rsidR="008E723B" w:rsidRPr="00AB52EE">
        <w:rPr>
          <w:rFonts w:cs="Arial"/>
          <w:szCs w:val="24"/>
          <w:lang w:eastAsia="en-ZA"/>
        </w:rPr>
        <w:t xml:space="preserve">answering affidavit, </w:t>
      </w:r>
      <w:r w:rsidR="008A17E1" w:rsidRPr="00AB52EE">
        <w:rPr>
          <w:rFonts w:cs="Arial"/>
          <w:szCs w:val="24"/>
          <w:lang w:eastAsia="en-ZA"/>
        </w:rPr>
        <w:t xml:space="preserve">and </w:t>
      </w:r>
      <w:r w:rsidR="008E723B" w:rsidRPr="00AB52EE">
        <w:rPr>
          <w:rFonts w:cs="Arial"/>
          <w:szCs w:val="24"/>
          <w:lang w:eastAsia="en-ZA"/>
        </w:rPr>
        <w:t xml:space="preserve">distilled in </w:t>
      </w:r>
      <w:r w:rsidR="00C50F13" w:rsidRPr="00AB52EE">
        <w:rPr>
          <w:rFonts w:cs="Arial"/>
          <w:szCs w:val="24"/>
          <w:lang w:eastAsia="en-ZA"/>
        </w:rPr>
        <w:t xml:space="preserve">the respondents’ </w:t>
      </w:r>
      <w:r w:rsidRPr="00AB52EE">
        <w:rPr>
          <w:rFonts w:cs="Arial"/>
          <w:szCs w:val="24"/>
          <w:lang w:eastAsia="en-ZA"/>
        </w:rPr>
        <w:t>heads of argument</w:t>
      </w:r>
      <w:r w:rsidR="00397648" w:rsidRPr="00AB52EE">
        <w:rPr>
          <w:rFonts w:cs="Arial"/>
          <w:szCs w:val="24"/>
          <w:lang w:eastAsia="en-ZA"/>
        </w:rPr>
        <w:t xml:space="preserve"> and in the joint practice note filed by the parties </w:t>
      </w:r>
      <w:r w:rsidR="00C50F13" w:rsidRPr="00AB52EE">
        <w:rPr>
          <w:rFonts w:cs="Arial"/>
          <w:szCs w:val="24"/>
          <w:lang w:eastAsia="en-ZA"/>
        </w:rPr>
        <w:t xml:space="preserve">prior to </w:t>
      </w:r>
      <w:r w:rsidR="00C37D05" w:rsidRPr="00AB52EE">
        <w:rPr>
          <w:rFonts w:cs="Arial"/>
          <w:szCs w:val="24"/>
          <w:lang w:eastAsia="en-ZA"/>
        </w:rPr>
        <w:t>the hearing</w:t>
      </w:r>
      <w:r w:rsidRPr="00AB52EE">
        <w:rPr>
          <w:rFonts w:cs="Arial"/>
          <w:szCs w:val="24"/>
          <w:lang w:eastAsia="en-ZA"/>
        </w:rPr>
        <w:t xml:space="preserve">. </w:t>
      </w:r>
    </w:p>
    <w:p w14:paraId="15526CFA" w14:textId="688B0393" w:rsidR="00467B84" w:rsidRPr="00AB52EE" w:rsidRDefault="00566B47" w:rsidP="007A27ED">
      <w:pPr>
        <w:pStyle w:val="LC1"/>
        <w:rPr>
          <w:rFonts w:cs="Arial"/>
          <w:szCs w:val="24"/>
          <w:lang w:eastAsia="en-ZA"/>
        </w:rPr>
      </w:pPr>
      <w:r w:rsidRPr="00AB52EE">
        <w:rPr>
          <w:rFonts w:cs="Arial"/>
          <w:szCs w:val="24"/>
          <w:lang w:eastAsia="en-ZA"/>
        </w:rPr>
        <w:lastRenderedPageBreak/>
        <w:t xml:space="preserve">The respondents’ </w:t>
      </w:r>
      <w:r w:rsidR="00467B84" w:rsidRPr="00AB52EE">
        <w:rPr>
          <w:rFonts w:cs="Arial"/>
          <w:szCs w:val="24"/>
          <w:lang w:eastAsia="en-ZA"/>
        </w:rPr>
        <w:t xml:space="preserve">first </w:t>
      </w:r>
      <w:r w:rsidRPr="00AB52EE">
        <w:rPr>
          <w:rFonts w:cs="Arial"/>
          <w:szCs w:val="24"/>
          <w:lang w:eastAsia="en-ZA"/>
        </w:rPr>
        <w:t xml:space="preserve">challenge on </w:t>
      </w:r>
      <w:r w:rsidR="00467B84" w:rsidRPr="00AB52EE">
        <w:rPr>
          <w:rFonts w:cs="Arial"/>
          <w:szCs w:val="24"/>
          <w:lang w:eastAsia="en-ZA"/>
        </w:rPr>
        <w:t xml:space="preserve">reconsideration is that Supercart’s Anton Piller application was an abuse of the </w:t>
      </w:r>
      <w:r w:rsidR="00A01AA1" w:rsidRPr="00AB52EE">
        <w:rPr>
          <w:rFonts w:cs="Arial"/>
          <w:szCs w:val="24"/>
          <w:lang w:eastAsia="en-ZA"/>
        </w:rPr>
        <w:t>C</w:t>
      </w:r>
      <w:r w:rsidR="00467B84" w:rsidRPr="00AB52EE">
        <w:rPr>
          <w:rFonts w:cs="Arial"/>
          <w:szCs w:val="24"/>
          <w:lang w:eastAsia="en-ZA"/>
        </w:rPr>
        <w:t xml:space="preserve">ourt’s process. </w:t>
      </w:r>
      <w:r w:rsidRPr="00AB52EE">
        <w:rPr>
          <w:rFonts w:cs="Arial"/>
          <w:szCs w:val="24"/>
          <w:lang w:eastAsia="en-ZA"/>
        </w:rPr>
        <w:t xml:space="preserve">They </w:t>
      </w:r>
      <w:r w:rsidR="00467B84" w:rsidRPr="00AB52EE">
        <w:rPr>
          <w:rFonts w:cs="Arial"/>
          <w:szCs w:val="24"/>
          <w:lang w:eastAsia="en-ZA"/>
        </w:rPr>
        <w:t xml:space="preserve">advance this argument on </w:t>
      </w:r>
      <w:r w:rsidR="00BF3AC3" w:rsidRPr="00AB52EE">
        <w:rPr>
          <w:rFonts w:cs="Arial"/>
          <w:szCs w:val="24"/>
          <w:lang w:eastAsia="en-ZA"/>
        </w:rPr>
        <w:t xml:space="preserve">the </w:t>
      </w:r>
      <w:r w:rsidR="00467B84" w:rsidRPr="00AB52EE">
        <w:rPr>
          <w:rFonts w:cs="Arial"/>
          <w:szCs w:val="24"/>
          <w:lang w:eastAsia="en-ZA"/>
        </w:rPr>
        <w:t>ground</w:t>
      </w:r>
      <w:r w:rsidR="00BF3AC3" w:rsidRPr="00AB52EE">
        <w:rPr>
          <w:rFonts w:cs="Arial"/>
          <w:szCs w:val="24"/>
          <w:lang w:eastAsia="en-ZA"/>
        </w:rPr>
        <w:t xml:space="preserve"> </w:t>
      </w:r>
      <w:r w:rsidR="00467B84" w:rsidRPr="00AB52EE">
        <w:rPr>
          <w:rFonts w:cs="Arial"/>
          <w:szCs w:val="24"/>
          <w:lang w:eastAsia="en-ZA"/>
        </w:rPr>
        <w:t xml:space="preserve">that it </w:t>
      </w:r>
      <w:r w:rsidR="00C50F13" w:rsidRPr="00AB52EE">
        <w:rPr>
          <w:rFonts w:cs="Arial"/>
          <w:szCs w:val="24"/>
          <w:lang w:eastAsia="en-ZA"/>
        </w:rPr>
        <w:t xml:space="preserve">was </w:t>
      </w:r>
      <w:r w:rsidR="00467B84" w:rsidRPr="00AB52EE">
        <w:rPr>
          <w:rFonts w:cs="Arial"/>
          <w:szCs w:val="24"/>
          <w:lang w:eastAsia="en-ZA"/>
        </w:rPr>
        <w:t xml:space="preserve">improper for </w:t>
      </w:r>
      <w:r w:rsidR="00083375" w:rsidRPr="00AB52EE">
        <w:rPr>
          <w:rFonts w:cs="Arial"/>
          <w:szCs w:val="24"/>
          <w:lang w:eastAsia="en-ZA"/>
        </w:rPr>
        <w:t>Supercar</w:t>
      </w:r>
      <w:r w:rsidRPr="00AB52EE">
        <w:rPr>
          <w:rFonts w:cs="Arial"/>
          <w:szCs w:val="24"/>
          <w:lang w:eastAsia="en-ZA"/>
        </w:rPr>
        <w:t>t</w:t>
      </w:r>
      <w:r w:rsidR="00083375" w:rsidRPr="00AB52EE">
        <w:rPr>
          <w:rFonts w:cs="Arial"/>
          <w:szCs w:val="24"/>
          <w:lang w:eastAsia="en-ZA"/>
        </w:rPr>
        <w:t xml:space="preserve"> to have brought the Anton Piller </w:t>
      </w:r>
      <w:r w:rsidRPr="00AB52EE">
        <w:rPr>
          <w:rFonts w:cs="Arial"/>
          <w:szCs w:val="24"/>
          <w:lang w:eastAsia="en-ZA"/>
        </w:rPr>
        <w:t>a</w:t>
      </w:r>
      <w:r w:rsidR="00083375" w:rsidRPr="00AB52EE">
        <w:rPr>
          <w:rFonts w:cs="Arial"/>
          <w:szCs w:val="24"/>
          <w:lang w:eastAsia="en-ZA"/>
        </w:rPr>
        <w:t xml:space="preserve">pplication for purposes obtaining </w:t>
      </w:r>
      <w:r w:rsidR="006271A3" w:rsidRPr="00AB52EE">
        <w:rPr>
          <w:rFonts w:cs="Arial"/>
          <w:szCs w:val="24"/>
          <w:lang w:eastAsia="en-ZA"/>
        </w:rPr>
        <w:t xml:space="preserve">evidence for </w:t>
      </w:r>
      <w:r w:rsidR="00C37D05" w:rsidRPr="00AB52EE">
        <w:rPr>
          <w:rFonts w:cs="Arial"/>
          <w:szCs w:val="24"/>
          <w:lang w:eastAsia="en-ZA"/>
        </w:rPr>
        <w:t xml:space="preserve">inclusion </w:t>
      </w:r>
      <w:r w:rsidRPr="00AB52EE">
        <w:rPr>
          <w:rFonts w:cs="Arial"/>
          <w:szCs w:val="24"/>
          <w:lang w:eastAsia="en-ZA"/>
        </w:rPr>
        <w:t xml:space="preserve">in </w:t>
      </w:r>
      <w:r w:rsidR="00467B84" w:rsidRPr="00AB52EE">
        <w:rPr>
          <w:rFonts w:cs="Arial"/>
          <w:szCs w:val="24"/>
          <w:lang w:eastAsia="en-ZA"/>
        </w:rPr>
        <w:t>its replying affidavit in the contempt application</w:t>
      </w:r>
      <w:r w:rsidR="006271A3" w:rsidRPr="00AB52EE">
        <w:rPr>
          <w:rFonts w:cs="Arial"/>
          <w:szCs w:val="24"/>
          <w:lang w:eastAsia="en-ZA"/>
        </w:rPr>
        <w:t xml:space="preserve"> in circumstances where </w:t>
      </w:r>
      <w:r w:rsidR="00467B84" w:rsidRPr="00AB52EE">
        <w:rPr>
          <w:rFonts w:cs="Arial"/>
          <w:szCs w:val="24"/>
          <w:lang w:eastAsia="en-ZA"/>
        </w:rPr>
        <w:t>no direction regarding the application of discovery procedures in terms of Rule 35(13) ha</w:t>
      </w:r>
      <w:r w:rsidR="00C50F13" w:rsidRPr="00AB52EE">
        <w:rPr>
          <w:rFonts w:cs="Arial"/>
          <w:szCs w:val="24"/>
          <w:lang w:eastAsia="en-ZA"/>
        </w:rPr>
        <w:t>d</w:t>
      </w:r>
      <w:r w:rsidR="00467B84" w:rsidRPr="00AB52EE">
        <w:rPr>
          <w:rFonts w:cs="Arial"/>
          <w:szCs w:val="24"/>
          <w:lang w:eastAsia="en-ZA"/>
        </w:rPr>
        <w:t xml:space="preserve"> yet been sought or made in </w:t>
      </w:r>
      <w:r w:rsidR="006271A3" w:rsidRPr="00AB52EE">
        <w:rPr>
          <w:rFonts w:cs="Arial"/>
          <w:szCs w:val="24"/>
          <w:lang w:eastAsia="en-ZA"/>
        </w:rPr>
        <w:t xml:space="preserve">that </w:t>
      </w:r>
      <w:r w:rsidR="00467B84" w:rsidRPr="00AB52EE">
        <w:rPr>
          <w:rFonts w:cs="Arial"/>
          <w:szCs w:val="24"/>
          <w:lang w:eastAsia="en-ZA"/>
        </w:rPr>
        <w:t xml:space="preserve">application. </w:t>
      </w:r>
    </w:p>
    <w:p w14:paraId="33DD94EB" w14:textId="3D379A4C" w:rsidR="00467B84" w:rsidRPr="00AB52EE" w:rsidRDefault="00467B84" w:rsidP="007A27ED">
      <w:pPr>
        <w:pStyle w:val="LC1"/>
        <w:rPr>
          <w:rFonts w:cs="Arial"/>
          <w:szCs w:val="24"/>
          <w:lang w:eastAsia="en-ZA"/>
        </w:rPr>
      </w:pPr>
      <w:r w:rsidRPr="00AB52EE">
        <w:rPr>
          <w:rFonts w:cs="Arial"/>
          <w:szCs w:val="24"/>
          <w:lang w:eastAsia="en-ZA"/>
        </w:rPr>
        <w:t xml:space="preserve">Now, as I noted at the outset, there is no love lost between Supercart and Vanesco, and still less between their respective CEOs. It is clear that they are less than admiring of each other’s ethics and deeply suspicious of each other’s motives. The parties’ affidavits drip with the ink of laconic jibes and insults. For example, Mr Wolfe illogically seeks to characterise Mr Case’s criticism of the order of Unterhalter J </w:t>
      </w:r>
      <w:r w:rsidR="00566B47" w:rsidRPr="00AB52EE">
        <w:rPr>
          <w:rFonts w:cs="Arial"/>
          <w:szCs w:val="24"/>
          <w:lang w:eastAsia="en-ZA"/>
        </w:rPr>
        <w:t xml:space="preserve">as </w:t>
      </w:r>
      <w:r w:rsidRPr="00AB52EE">
        <w:rPr>
          <w:rFonts w:cs="Arial"/>
          <w:szCs w:val="24"/>
          <w:lang w:eastAsia="en-ZA"/>
        </w:rPr>
        <w:t xml:space="preserve">evidence of “an arrogant disdain for the sanctity of the </w:t>
      </w:r>
      <w:r w:rsidR="00A01AA1" w:rsidRPr="00AB52EE">
        <w:rPr>
          <w:rFonts w:cs="Arial"/>
          <w:szCs w:val="24"/>
          <w:lang w:eastAsia="en-ZA"/>
        </w:rPr>
        <w:t>C</w:t>
      </w:r>
      <w:r w:rsidRPr="00AB52EE">
        <w:rPr>
          <w:rFonts w:cs="Arial"/>
          <w:szCs w:val="24"/>
          <w:lang w:eastAsia="en-ZA"/>
        </w:rPr>
        <w:t xml:space="preserve">ourt and its procedures” which </w:t>
      </w:r>
      <w:r w:rsidR="00083375" w:rsidRPr="00AB52EE">
        <w:rPr>
          <w:rFonts w:cs="Arial"/>
          <w:szCs w:val="24"/>
          <w:lang w:eastAsia="en-ZA"/>
        </w:rPr>
        <w:t xml:space="preserve">he says </w:t>
      </w:r>
      <w:r w:rsidRPr="00AB52EE">
        <w:rPr>
          <w:rFonts w:cs="Arial"/>
          <w:szCs w:val="24"/>
          <w:lang w:eastAsia="en-ZA"/>
        </w:rPr>
        <w:t xml:space="preserve">shows that “Mr Case has little respect for the integrity of the Court” with the result that the “only rational explanation” for the breaches of the interim interdict is that they constituted “brazen contempt”. On the other hand, even amidst the </w:t>
      </w:r>
      <w:r w:rsidR="00566B47" w:rsidRPr="00AB52EE">
        <w:rPr>
          <w:rFonts w:cs="Arial"/>
          <w:szCs w:val="24"/>
          <w:lang w:eastAsia="en-ZA"/>
        </w:rPr>
        <w:t>‘</w:t>
      </w:r>
      <w:r w:rsidRPr="00AB52EE">
        <w:rPr>
          <w:rFonts w:cs="Arial"/>
          <w:szCs w:val="24"/>
          <w:lang w:eastAsia="en-ZA"/>
        </w:rPr>
        <w:t>sackcloth and ashes</w:t>
      </w:r>
      <w:r w:rsidR="00566B47" w:rsidRPr="00AB52EE">
        <w:rPr>
          <w:rFonts w:cs="Arial"/>
          <w:szCs w:val="24"/>
          <w:lang w:eastAsia="en-ZA"/>
        </w:rPr>
        <w:t>’</w:t>
      </w:r>
      <w:r w:rsidRPr="00AB52EE">
        <w:rPr>
          <w:rFonts w:cs="Arial"/>
          <w:szCs w:val="24"/>
          <w:lang w:eastAsia="en-ZA"/>
        </w:rPr>
        <w:t xml:space="preserve"> of </w:t>
      </w:r>
      <w:r w:rsidR="00C50F13" w:rsidRPr="00AB52EE">
        <w:rPr>
          <w:rFonts w:cs="Arial"/>
          <w:szCs w:val="24"/>
          <w:lang w:eastAsia="en-ZA"/>
        </w:rPr>
        <w:t xml:space="preserve">his </w:t>
      </w:r>
      <w:r w:rsidRPr="00AB52EE">
        <w:rPr>
          <w:rFonts w:cs="Arial"/>
          <w:i/>
          <w:iCs/>
          <w:szCs w:val="24"/>
          <w:lang w:eastAsia="en-ZA"/>
        </w:rPr>
        <w:t>mea culpa</w:t>
      </w:r>
      <w:r w:rsidRPr="00AB52EE">
        <w:rPr>
          <w:rFonts w:cs="Arial"/>
          <w:szCs w:val="24"/>
          <w:lang w:eastAsia="en-ZA"/>
        </w:rPr>
        <w:t xml:space="preserve"> in the contempt application (and even though he accepted that “it does not lie in my mouth to make this complaint”), </w:t>
      </w:r>
      <w:r w:rsidR="00C50F13" w:rsidRPr="00AB52EE">
        <w:rPr>
          <w:rFonts w:cs="Arial"/>
          <w:szCs w:val="24"/>
          <w:lang w:eastAsia="en-ZA"/>
        </w:rPr>
        <w:t xml:space="preserve">Mr Case </w:t>
      </w:r>
      <w:r w:rsidRPr="00AB52EE">
        <w:rPr>
          <w:rFonts w:cs="Arial"/>
          <w:szCs w:val="24"/>
          <w:lang w:eastAsia="en-ZA"/>
        </w:rPr>
        <w:t xml:space="preserve">could not resist irrelevantly alleging that Supercart’s exposure of </w:t>
      </w:r>
      <w:r w:rsidR="00C50F13" w:rsidRPr="00AB52EE">
        <w:rPr>
          <w:rFonts w:cs="Arial"/>
          <w:szCs w:val="24"/>
          <w:lang w:eastAsia="en-ZA"/>
        </w:rPr>
        <w:t xml:space="preserve">Vanesco’s </w:t>
      </w:r>
      <w:r w:rsidRPr="00AB52EE">
        <w:rPr>
          <w:rFonts w:cs="Arial"/>
          <w:szCs w:val="24"/>
          <w:lang w:eastAsia="en-ZA"/>
        </w:rPr>
        <w:t xml:space="preserve">breaches of the </w:t>
      </w:r>
      <w:r w:rsidR="00566B47" w:rsidRPr="00AB52EE">
        <w:rPr>
          <w:rFonts w:cs="Arial"/>
          <w:szCs w:val="24"/>
          <w:lang w:eastAsia="en-ZA"/>
        </w:rPr>
        <w:t xml:space="preserve">interim interdict </w:t>
      </w:r>
      <w:r w:rsidRPr="00AB52EE">
        <w:rPr>
          <w:rFonts w:cs="Arial"/>
          <w:szCs w:val="24"/>
          <w:lang w:eastAsia="en-ZA"/>
        </w:rPr>
        <w:t xml:space="preserve">was part of an “ultimate strategy” of “embarrassing [Vanesco] in order to extract commercial advantage”. He also saw fit to observe </w:t>
      </w:r>
      <w:r w:rsidRPr="00AB52EE">
        <w:rPr>
          <w:rFonts w:cs="Arial"/>
          <w:szCs w:val="24"/>
        </w:rPr>
        <w:t xml:space="preserve">that his business success and that of Vanesco “generates a significant amount of envy, jealousy and covetousness” on the part of Mr Wolfe and Supercart. </w:t>
      </w:r>
    </w:p>
    <w:p w14:paraId="56A6C8EC" w14:textId="2955C6E6" w:rsidR="00467B84" w:rsidRPr="00AB52EE" w:rsidRDefault="00467B84" w:rsidP="007A27ED">
      <w:pPr>
        <w:pStyle w:val="LC1"/>
        <w:rPr>
          <w:rFonts w:cs="Arial"/>
          <w:szCs w:val="24"/>
          <w:lang w:eastAsia="en-ZA"/>
        </w:rPr>
      </w:pPr>
      <w:r w:rsidRPr="00AB52EE">
        <w:rPr>
          <w:rFonts w:cs="Arial"/>
          <w:szCs w:val="24"/>
        </w:rPr>
        <w:lastRenderedPageBreak/>
        <w:t xml:space="preserve">In my view, the </w:t>
      </w:r>
      <w:r w:rsidR="00B262CC" w:rsidRPr="00AB52EE">
        <w:rPr>
          <w:rFonts w:cs="Arial"/>
          <w:szCs w:val="24"/>
        </w:rPr>
        <w:t xml:space="preserve">broad-brush </w:t>
      </w:r>
      <w:r w:rsidRPr="00AB52EE">
        <w:rPr>
          <w:rFonts w:cs="Arial"/>
          <w:szCs w:val="24"/>
        </w:rPr>
        <w:t xml:space="preserve">argument advanced by Supercart in seeking to meet </w:t>
      </w:r>
      <w:r w:rsidR="00566B47" w:rsidRPr="00AB52EE">
        <w:rPr>
          <w:rFonts w:cs="Arial"/>
          <w:szCs w:val="24"/>
        </w:rPr>
        <w:t xml:space="preserve">the respondents’ </w:t>
      </w:r>
      <w:r w:rsidRPr="00AB52EE">
        <w:rPr>
          <w:rFonts w:cs="Arial"/>
          <w:szCs w:val="24"/>
        </w:rPr>
        <w:t xml:space="preserve">allegation of abuse of process on </w:t>
      </w:r>
      <w:r w:rsidR="00083375" w:rsidRPr="00AB52EE">
        <w:rPr>
          <w:rFonts w:cs="Arial"/>
          <w:szCs w:val="24"/>
        </w:rPr>
        <w:t xml:space="preserve">the </w:t>
      </w:r>
      <w:r w:rsidRPr="00AB52EE">
        <w:rPr>
          <w:rFonts w:cs="Arial"/>
          <w:szCs w:val="24"/>
        </w:rPr>
        <w:t>narrowly</w:t>
      </w:r>
      <w:r w:rsidR="00566B47" w:rsidRPr="00AB52EE">
        <w:rPr>
          <w:rFonts w:cs="Arial"/>
          <w:szCs w:val="24"/>
        </w:rPr>
        <w:t>-</w:t>
      </w:r>
      <w:r w:rsidRPr="00AB52EE">
        <w:rPr>
          <w:rFonts w:cs="Arial"/>
          <w:szCs w:val="24"/>
        </w:rPr>
        <w:t xml:space="preserve">framed ground </w:t>
      </w:r>
      <w:r w:rsidR="00083375" w:rsidRPr="00AB52EE">
        <w:rPr>
          <w:rFonts w:cs="Arial"/>
          <w:szCs w:val="24"/>
        </w:rPr>
        <w:t xml:space="preserve">identified above </w:t>
      </w:r>
      <w:r w:rsidR="00742F61" w:rsidRPr="00AB52EE">
        <w:rPr>
          <w:rFonts w:cs="Arial"/>
          <w:szCs w:val="24"/>
        </w:rPr>
        <w:t xml:space="preserve">is simply </w:t>
      </w:r>
      <w:r w:rsidRPr="00AB52EE">
        <w:rPr>
          <w:rFonts w:cs="Arial"/>
          <w:szCs w:val="24"/>
        </w:rPr>
        <w:t xml:space="preserve">a continuation of this unhelpful squabbling. Supercart contends that the “overarching consideration” in relation to </w:t>
      </w:r>
      <w:r w:rsidR="009D67C5">
        <w:rPr>
          <w:rFonts w:cs="Arial"/>
          <w:szCs w:val="24"/>
        </w:rPr>
        <w:t xml:space="preserve">an </w:t>
      </w:r>
      <w:r w:rsidRPr="00AB52EE">
        <w:rPr>
          <w:rFonts w:cs="Arial"/>
          <w:szCs w:val="24"/>
        </w:rPr>
        <w:t xml:space="preserve">Anton Piller order is whether it would be </w:t>
      </w:r>
      <w:r w:rsidR="009D67C5">
        <w:rPr>
          <w:rFonts w:cs="Arial"/>
          <w:szCs w:val="24"/>
        </w:rPr>
        <w:t>“</w:t>
      </w:r>
      <w:r w:rsidRPr="00AB52EE">
        <w:rPr>
          <w:rFonts w:cs="Arial"/>
          <w:szCs w:val="24"/>
        </w:rPr>
        <w:t>in the interests of justice</w:t>
      </w:r>
      <w:r w:rsidR="009D67C5">
        <w:rPr>
          <w:rFonts w:cs="Arial"/>
          <w:szCs w:val="24"/>
        </w:rPr>
        <w:t>”</w:t>
      </w:r>
      <w:r w:rsidRPr="00AB52EE">
        <w:rPr>
          <w:rFonts w:cs="Arial"/>
          <w:szCs w:val="24"/>
        </w:rPr>
        <w:t xml:space="preserve"> to grant </w:t>
      </w:r>
      <w:r w:rsidR="009D67C5">
        <w:rPr>
          <w:rFonts w:cs="Arial"/>
          <w:szCs w:val="24"/>
        </w:rPr>
        <w:t>it</w:t>
      </w:r>
      <w:r w:rsidRPr="00AB52EE">
        <w:rPr>
          <w:rFonts w:cs="Arial"/>
          <w:szCs w:val="24"/>
        </w:rPr>
        <w:t>,</w:t>
      </w:r>
      <w:r w:rsidR="00B262CC" w:rsidRPr="00AB52EE">
        <w:rPr>
          <w:rStyle w:val="FootnoteReference"/>
          <w:szCs w:val="24"/>
        </w:rPr>
        <w:t xml:space="preserve"> </w:t>
      </w:r>
      <w:r w:rsidRPr="00AB52EE">
        <w:rPr>
          <w:rFonts w:cs="Arial"/>
          <w:szCs w:val="24"/>
        </w:rPr>
        <w:t xml:space="preserve">and that </w:t>
      </w:r>
      <w:r w:rsidR="00083375" w:rsidRPr="00AB52EE">
        <w:rPr>
          <w:rFonts w:cs="Arial"/>
          <w:szCs w:val="24"/>
        </w:rPr>
        <w:t xml:space="preserve">this </w:t>
      </w:r>
      <w:r w:rsidRPr="00AB52EE">
        <w:rPr>
          <w:rFonts w:cs="Arial"/>
          <w:szCs w:val="24"/>
        </w:rPr>
        <w:t xml:space="preserve">test would be met if I </w:t>
      </w:r>
      <w:r w:rsidR="00665CA5" w:rsidRPr="00AB52EE">
        <w:rPr>
          <w:rFonts w:cs="Arial"/>
          <w:szCs w:val="24"/>
        </w:rPr>
        <w:t xml:space="preserve">found </w:t>
      </w:r>
      <w:r w:rsidRPr="00AB52EE">
        <w:rPr>
          <w:rFonts w:cs="Arial"/>
          <w:szCs w:val="24"/>
        </w:rPr>
        <w:t xml:space="preserve">that Mr Case has been shown to be dishonest. Essentially, this boils down to a suggestion that Mr Case’s </w:t>
      </w:r>
      <w:r w:rsidR="00742F61" w:rsidRPr="00AB52EE">
        <w:rPr>
          <w:rFonts w:cs="Arial"/>
          <w:szCs w:val="24"/>
        </w:rPr>
        <w:t xml:space="preserve">allegedly </w:t>
      </w:r>
      <w:r w:rsidR="00083375" w:rsidRPr="00AB52EE">
        <w:rPr>
          <w:rFonts w:cs="Arial"/>
          <w:szCs w:val="24"/>
        </w:rPr>
        <w:t xml:space="preserve">dishonest </w:t>
      </w:r>
      <w:r w:rsidRPr="00AB52EE">
        <w:rPr>
          <w:rFonts w:cs="Arial"/>
          <w:szCs w:val="24"/>
        </w:rPr>
        <w:t>conduct means that I need not concern myself too deeply with analysing and applying the detailed requirements and safeguards laid down for the Anton Piller procedure</w:t>
      </w:r>
      <w:r w:rsidR="00665CA5" w:rsidRPr="00AB52EE">
        <w:rPr>
          <w:rFonts w:cs="Arial"/>
          <w:szCs w:val="24"/>
        </w:rPr>
        <w:t>,</w:t>
      </w:r>
      <w:r w:rsidRPr="00AB52EE">
        <w:rPr>
          <w:rFonts w:cs="Arial"/>
          <w:szCs w:val="24"/>
        </w:rPr>
        <w:t xml:space="preserve"> or pause to weigh its effect upon </w:t>
      </w:r>
      <w:r w:rsidR="00665CA5" w:rsidRPr="00AB52EE">
        <w:rPr>
          <w:rFonts w:cs="Arial"/>
          <w:szCs w:val="24"/>
        </w:rPr>
        <w:t xml:space="preserve">the respondents’ </w:t>
      </w:r>
      <w:r w:rsidR="009D67C5">
        <w:rPr>
          <w:rFonts w:cs="Arial"/>
          <w:szCs w:val="24"/>
        </w:rPr>
        <w:t>c</w:t>
      </w:r>
      <w:r w:rsidRPr="00AB52EE">
        <w:rPr>
          <w:rFonts w:cs="Arial"/>
          <w:szCs w:val="24"/>
        </w:rPr>
        <w:t>onstitutionally protected rights</w:t>
      </w:r>
      <w:r w:rsidR="005202EA" w:rsidRPr="00AB52EE">
        <w:rPr>
          <w:rFonts w:cs="Arial"/>
          <w:szCs w:val="24"/>
        </w:rPr>
        <w:t>.</w:t>
      </w:r>
    </w:p>
    <w:p w14:paraId="270F4A1F" w14:textId="1B87587D" w:rsidR="005202EA" w:rsidRPr="00AB52EE" w:rsidRDefault="00467B84" w:rsidP="007A27ED">
      <w:pPr>
        <w:pStyle w:val="LC1"/>
        <w:rPr>
          <w:rFonts w:cs="Arial"/>
          <w:szCs w:val="24"/>
          <w:lang w:eastAsia="en-ZA"/>
        </w:rPr>
      </w:pPr>
      <w:r w:rsidRPr="00AB52EE">
        <w:rPr>
          <w:rFonts w:cs="Arial"/>
          <w:szCs w:val="24"/>
        </w:rPr>
        <w:t>I disagree. Firstly, because the application of the law (even</w:t>
      </w:r>
      <w:r w:rsidR="00665CA5" w:rsidRPr="00AB52EE">
        <w:rPr>
          <w:rFonts w:cs="Arial"/>
          <w:szCs w:val="24"/>
        </w:rPr>
        <w:t xml:space="preserve">, </w:t>
      </w:r>
      <w:r w:rsidRPr="00AB52EE">
        <w:rPr>
          <w:rFonts w:cs="Arial"/>
          <w:szCs w:val="24"/>
        </w:rPr>
        <w:t>and perhaps especially</w:t>
      </w:r>
      <w:r w:rsidR="00665CA5" w:rsidRPr="00AB52EE">
        <w:rPr>
          <w:rFonts w:cs="Arial"/>
          <w:szCs w:val="24"/>
        </w:rPr>
        <w:t>,</w:t>
      </w:r>
      <w:r w:rsidRPr="00AB52EE">
        <w:rPr>
          <w:rFonts w:cs="Arial"/>
          <w:szCs w:val="24"/>
        </w:rPr>
        <w:t xml:space="preserve"> the interests of justice</w:t>
      </w:r>
      <w:r w:rsidR="00665CA5" w:rsidRPr="00AB52EE">
        <w:rPr>
          <w:rFonts w:cs="Arial"/>
          <w:szCs w:val="24"/>
        </w:rPr>
        <w:t xml:space="preserve"> – </w:t>
      </w:r>
      <w:r w:rsidRPr="00AB52EE">
        <w:rPr>
          <w:rFonts w:cs="Arial"/>
          <w:szCs w:val="24"/>
        </w:rPr>
        <w:t>if</w:t>
      </w:r>
      <w:r w:rsidR="00665CA5" w:rsidRPr="00AB52EE">
        <w:rPr>
          <w:rFonts w:cs="Arial"/>
          <w:szCs w:val="24"/>
        </w:rPr>
        <w:t xml:space="preserve"> </w:t>
      </w:r>
      <w:r w:rsidRPr="00AB52EE">
        <w:rPr>
          <w:rFonts w:cs="Arial"/>
          <w:szCs w:val="24"/>
        </w:rPr>
        <w:t xml:space="preserve">that </w:t>
      </w:r>
      <w:r w:rsidR="00B262CC" w:rsidRPr="00AB52EE">
        <w:rPr>
          <w:rFonts w:cs="Arial"/>
          <w:szCs w:val="24"/>
        </w:rPr>
        <w:t xml:space="preserve">were </w:t>
      </w:r>
      <w:r w:rsidRPr="00AB52EE">
        <w:rPr>
          <w:rFonts w:cs="Arial"/>
          <w:szCs w:val="24"/>
        </w:rPr>
        <w:t>indeed the legal test to be applied) is not an exercise in moralistic arm-waving, and the Anton Piller process is no exception. Secondly,</w:t>
      </w:r>
      <w:r w:rsidR="005202EA" w:rsidRPr="00AB52EE">
        <w:rPr>
          <w:rFonts w:cs="Arial"/>
          <w:szCs w:val="24"/>
        </w:rPr>
        <w:t xml:space="preserve"> w</w:t>
      </w:r>
      <w:r w:rsidRPr="00AB52EE">
        <w:rPr>
          <w:rFonts w:cs="Arial"/>
          <w:szCs w:val="24"/>
        </w:rPr>
        <w:t xml:space="preserve">hile it is undoubtedly true that the development </w:t>
      </w:r>
      <w:r w:rsidR="005202EA" w:rsidRPr="00AB52EE">
        <w:rPr>
          <w:rFonts w:cs="Arial"/>
          <w:szCs w:val="24"/>
        </w:rPr>
        <w:t xml:space="preserve">and acceptance </w:t>
      </w:r>
      <w:r w:rsidRPr="00AB52EE">
        <w:rPr>
          <w:rFonts w:cs="Arial"/>
          <w:szCs w:val="24"/>
        </w:rPr>
        <w:t xml:space="preserve">of the Anton Piller procedure is </w:t>
      </w:r>
      <w:r w:rsidR="00665CA5" w:rsidRPr="00AB52EE">
        <w:rPr>
          <w:rFonts w:cs="Arial"/>
          <w:szCs w:val="24"/>
        </w:rPr>
        <w:t xml:space="preserve">broadly </w:t>
      </w:r>
      <w:r w:rsidRPr="00AB52EE">
        <w:rPr>
          <w:rFonts w:cs="Arial"/>
          <w:szCs w:val="24"/>
        </w:rPr>
        <w:t>founded in considerations of justice in view of the practical reality that it seeks to address,</w:t>
      </w:r>
      <w:r w:rsidR="005202EA" w:rsidRPr="00AB52EE">
        <w:rPr>
          <w:rFonts w:cs="Arial"/>
          <w:szCs w:val="24"/>
        </w:rPr>
        <w:t xml:space="preserve"> and </w:t>
      </w:r>
      <w:r w:rsidR="00665CA5" w:rsidRPr="00AB52EE">
        <w:rPr>
          <w:rFonts w:cs="Arial"/>
          <w:szCs w:val="24"/>
        </w:rPr>
        <w:t xml:space="preserve">that </w:t>
      </w:r>
      <w:r w:rsidR="005202EA" w:rsidRPr="00AB52EE">
        <w:rPr>
          <w:rFonts w:cs="Arial"/>
          <w:szCs w:val="24"/>
        </w:rPr>
        <w:t>courts must be wary that the refusal to grant Anton Piller orders “could, in a deserving case, result in a denial of justice”,</w:t>
      </w:r>
      <w:r w:rsidRPr="00AB52EE">
        <w:rPr>
          <w:rStyle w:val="FootnoteReference"/>
          <w:szCs w:val="24"/>
        </w:rPr>
        <w:footnoteReference w:id="75"/>
      </w:r>
      <w:r w:rsidRPr="00AB52EE">
        <w:rPr>
          <w:rFonts w:cs="Arial"/>
          <w:szCs w:val="24"/>
        </w:rPr>
        <w:t xml:space="preserve"> that does not mean that </w:t>
      </w:r>
      <w:r w:rsidR="005202EA" w:rsidRPr="00AB52EE">
        <w:rPr>
          <w:rFonts w:cs="Arial"/>
          <w:szCs w:val="24"/>
        </w:rPr>
        <w:t xml:space="preserve">the standard of the interests of justice is the test that should be applied to determine </w:t>
      </w:r>
      <w:r w:rsidR="00742F61" w:rsidRPr="00AB52EE">
        <w:rPr>
          <w:rFonts w:cs="Arial"/>
          <w:szCs w:val="24"/>
        </w:rPr>
        <w:t>whether a particular case is indeed deserving.</w:t>
      </w:r>
      <w:r w:rsidR="00BA4D5F" w:rsidRPr="00AB52EE">
        <w:rPr>
          <w:rStyle w:val="FootnoteReference"/>
          <w:szCs w:val="24"/>
        </w:rPr>
        <w:footnoteReference w:id="76"/>
      </w:r>
      <w:r w:rsidR="00742F61" w:rsidRPr="00AB52EE">
        <w:rPr>
          <w:rFonts w:cs="Arial"/>
          <w:szCs w:val="24"/>
        </w:rPr>
        <w:t xml:space="preserve"> To the contrary, our courts consistently emphasise that the requirements laid down in </w:t>
      </w:r>
      <w:r w:rsidR="00742F61" w:rsidRPr="00AB52EE">
        <w:rPr>
          <w:rFonts w:cs="Arial"/>
          <w:i/>
          <w:iCs/>
          <w:szCs w:val="24"/>
        </w:rPr>
        <w:lastRenderedPageBreak/>
        <w:t>Universal City Studios</w:t>
      </w:r>
      <w:r w:rsidR="00742F61" w:rsidRPr="00AB52EE">
        <w:rPr>
          <w:rFonts w:cs="Arial"/>
          <w:szCs w:val="24"/>
        </w:rPr>
        <w:t xml:space="preserve"> and </w:t>
      </w:r>
      <w:r w:rsidR="00742F61" w:rsidRPr="00AB52EE">
        <w:rPr>
          <w:rFonts w:cs="Arial"/>
          <w:i/>
          <w:iCs/>
          <w:szCs w:val="24"/>
        </w:rPr>
        <w:t>Shoba</w:t>
      </w:r>
      <w:r w:rsidR="00742F61" w:rsidRPr="00AB52EE">
        <w:rPr>
          <w:rFonts w:cs="Arial"/>
          <w:szCs w:val="24"/>
        </w:rPr>
        <w:t xml:space="preserve"> must be strictly applied.</w:t>
      </w:r>
      <w:r w:rsidR="00742F61" w:rsidRPr="00AB52EE">
        <w:rPr>
          <w:rStyle w:val="FootnoteReference"/>
          <w:szCs w:val="24"/>
        </w:rPr>
        <w:footnoteReference w:id="77"/>
      </w:r>
      <w:r w:rsidR="00742F61" w:rsidRPr="00AB52EE">
        <w:rPr>
          <w:rFonts w:cs="Arial"/>
          <w:szCs w:val="24"/>
        </w:rPr>
        <w:t xml:space="preserve"> </w:t>
      </w:r>
    </w:p>
    <w:p w14:paraId="20AFF84B" w14:textId="28BA54B6" w:rsidR="002F0C87" w:rsidRPr="00AB52EE" w:rsidRDefault="00742F61" w:rsidP="007A27ED">
      <w:pPr>
        <w:pStyle w:val="LC1"/>
        <w:rPr>
          <w:rFonts w:cs="Arial"/>
          <w:szCs w:val="24"/>
          <w:lang w:eastAsia="en-ZA"/>
        </w:rPr>
      </w:pPr>
      <w:r w:rsidRPr="00AB52EE">
        <w:rPr>
          <w:rFonts w:cs="Arial"/>
          <w:szCs w:val="24"/>
        </w:rPr>
        <w:t>W</w:t>
      </w:r>
      <w:r w:rsidR="00467B84" w:rsidRPr="00AB52EE">
        <w:rPr>
          <w:rFonts w:cs="Arial"/>
          <w:szCs w:val="24"/>
        </w:rPr>
        <w:t xml:space="preserve">hile I thus decline to accept Supercart’s </w:t>
      </w:r>
      <w:r w:rsidR="009D67C5">
        <w:rPr>
          <w:rFonts w:cs="Arial"/>
          <w:szCs w:val="24"/>
        </w:rPr>
        <w:t>invitation to embark on an open-textured enquiry into whether the order under reconsideration was in the interests of justice or not</w:t>
      </w:r>
      <w:r w:rsidR="00467B84" w:rsidRPr="00AB52EE">
        <w:rPr>
          <w:rFonts w:cs="Arial"/>
          <w:szCs w:val="24"/>
        </w:rPr>
        <w:t xml:space="preserve">, I </w:t>
      </w:r>
      <w:r w:rsidRPr="00AB52EE">
        <w:rPr>
          <w:rFonts w:cs="Arial"/>
          <w:szCs w:val="24"/>
        </w:rPr>
        <w:t xml:space="preserve">nevertheless </w:t>
      </w:r>
      <w:r w:rsidR="00467B84" w:rsidRPr="00AB52EE">
        <w:rPr>
          <w:rFonts w:cs="Arial"/>
          <w:szCs w:val="24"/>
        </w:rPr>
        <w:t xml:space="preserve">don’t think that </w:t>
      </w:r>
      <w:r w:rsidR="00665CA5" w:rsidRPr="00AB52EE">
        <w:rPr>
          <w:rFonts w:cs="Arial"/>
          <w:szCs w:val="24"/>
        </w:rPr>
        <w:t xml:space="preserve">the respondents’ </w:t>
      </w:r>
      <w:r w:rsidR="00BA4D5F" w:rsidRPr="00AB52EE">
        <w:rPr>
          <w:rFonts w:cs="Arial"/>
          <w:szCs w:val="24"/>
        </w:rPr>
        <w:t xml:space="preserve">contention </w:t>
      </w:r>
      <w:r w:rsidR="00B262CC" w:rsidRPr="00AB52EE">
        <w:rPr>
          <w:rFonts w:cs="Arial"/>
          <w:szCs w:val="24"/>
        </w:rPr>
        <w:t xml:space="preserve">that </w:t>
      </w:r>
      <w:r w:rsidR="00BA4D5F" w:rsidRPr="00AB52EE">
        <w:rPr>
          <w:rFonts w:cs="Arial"/>
          <w:szCs w:val="24"/>
        </w:rPr>
        <w:t xml:space="preserve">the order should be set aside solely on the grounds that it </w:t>
      </w:r>
      <w:r w:rsidR="00027BCB" w:rsidRPr="00AB52EE">
        <w:rPr>
          <w:rFonts w:cs="Arial"/>
          <w:szCs w:val="24"/>
        </w:rPr>
        <w:t xml:space="preserve">constituted </w:t>
      </w:r>
      <w:r w:rsidR="00467B84" w:rsidRPr="00AB52EE">
        <w:rPr>
          <w:rFonts w:cs="Arial"/>
          <w:szCs w:val="24"/>
        </w:rPr>
        <w:t>an abuse of process is sustainable either.</w:t>
      </w:r>
      <w:r w:rsidR="002F0C87" w:rsidRPr="00AB52EE">
        <w:rPr>
          <w:rFonts w:cs="Arial"/>
          <w:szCs w:val="24"/>
        </w:rPr>
        <w:t xml:space="preserve"> </w:t>
      </w:r>
    </w:p>
    <w:p w14:paraId="1B9A7110" w14:textId="74BFDEC3" w:rsidR="00E10CA7" w:rsidRPr="00AB52EE" w:rsidRDefault="00C50F13" w:rsidP="007A27ED">
      <w:pPr>
        <w:pStyle w:val="LC1"/>
        <w:rPr>
          <w:rFonts w:cs="Arial"/>
          <w:szCs w:val="24"/>
          <w:lang w:eastAsia="en-ZA"/>
        </w:rPr>
      </w:pPr>
      <w:r w:rsidRPr="00AB52EE">
        <w:rPr>
          <w:rFonts w:cs="Arial"/>
          <w:szCs w:val="24"/>
        </w:rPr>
        <w:t xml:space="preserve">Supercart’s </w:t>
      </w:r>
      <w:r w:rsidR="002F0C87" w:rsidRPr="00AB52EE">
        <w:rPr>
          <w:rFonts w:cs="Arial"/>
          <w:szCs w:val="24"/>
        </w:rPr>
        <w:t xml:space="preserve">application </w:t>
      </w:r>
      <w:r w:rsidR="008D5BB1" w:rsidRPr="00AB52EE">
        <w:rPr>
          <w:rFonts w:cs="Arial"/>
          <w:szCs w:val="24"/>
        </w:rPr>
        <w:t xml:space="preserve">was </w:t>
      </w:r>
      <w:r w:rsidR="002F0C87" w:rsidRPr="00AB52EE">
        <w:rPr>
          <w:rFonts w:cs="Arial"/>
          <w:szCs w:val="24"/>
        </w:rPr>
        <w:t xml:space="preserve">not </w:t>
      </w:r>
      <w:r w:rsidR="002F0C87" w:rsidRPr="00AB52EE">
        <w:rPr>
          <w:rFonts w:cs="Arial"/>
          <w:i/>
          <w:iCs/>
          <w:szCs w:val="24"/>
        </w:rPr>
        <w:t>per se</w:t>
      </w:r>
      <w:r w:rsidR="002F0C87" w:rsidRPr="00AB52EE">
        <w:rPr>
          <w:rFonts w:cs="Arial"/>
          <w:szCs w:val="24"/>
        </w:rPr>
        <w:t xml:space="preserve"> abusive or improper simply because it </w:t>
      </w:r>
      <w:r w:rsidR="008D5BB1" w:rsidRPr="00AB52EE">
        <w:rPr>
          <w:rFonts w:cs="Arial"/>
          <w:szCs w:val="24"/>
        </w:rPr>
        <w:t xml:space="preserve">was </w:t>
      </w:r>
      <w:r w:rsidR="002F0C87" w:rsidRPr="00AB52EE">
        <w:rPr>
          <w:rFonts w:cs="Arial"/>
          <w:szCs w:val="24"/>
        </w:rPr>
        <w:t xml:space="preserve">launched only after the main proceedings (i.e. the contempt application) </w:t>
      </w:r>
      <w:r w:rsidR="008D5BB1" w:rsidRPr="00AB52EE">
        <w:rPr>
          <w:rFonts w:cs="Arial"/>
          <w:szCs w:val="24"/>
        </w:rPr>
        <w:t>were instituted</w:t>
      </w:r>
      <w:r w:rsidR="002F0C87" w:rsidRPr="00AB52EE">
        <w:rPr>
          <w:rFonts w:cs="Arial"/>
          <w:szCs w:val="24"/>
        </w:rPr>
        <w:t xml:space="preserve">. While Anton Piller applications are commonly launched in advance of the legal proceedings to which the evidence to be preserved is said to be relevant, </w:t>
      </w:r>
      <w:r w:rsidR="00027BCB" w:rsidRPr="00AB52EE">
        <w:rPr>
          <w:rFonts w:cs="Arial"/>
          <w:szCs w:val="24"/>
        </w:rPr>
        <w:t xml:space="preserve">the respondents refer to no authority </w:t>
      </w:r>
      <w:r w:rsidR="003E0BF8" w:rsidRPr="00AB52EE">
        <w:rPr>
          <w:rFonts w:cs="Arial"/>
          <w:szCs w:val="24"/>
        </w:rPr>
        <w:t xml:space="preserve">for the proposition </w:t>
      </w:r>
      <w:r w:rsidR="00027BCB" w:rsidRPr="00AB52EE">
        <w:rPr>
          <w:rFonts w:cs="Arial"/>
          <w:szCs w:val="24"/>
        </w:rPr>
        <w:t xml:space="preserve">that </w:t>
      </w:r>
      <w:r w:rsidR="002F0C87" w:rsidRPr="00AB52EE">
        <w:rPr>
          <w:rFonts w:cs="Arial"/>
          <w:szCs w:val="24"/>
        </w:rPr>
        <w:t xml:space="preserve">this </w:t>
      </w:r>
      <w:r w:rsidR="00027BCB" w:rsidRPr="00AB52EE">
        <w:rPr>
          <w:rFonts w:cs="Arial"/>
          <w:szCs w:val="24"/>
        </w:rPr>
        <w:t xml:space="preserve">must </w:t>
      </w:r>
      <w:r w:rsidR="00027D0D" w:rsidRPr="00AB52EE">
        <w:rPr>
          <w:rFonts w:cs="Arial"/>
          <w:szCs w:val="24"/>
        </w:rPr>
        <w:t xml:space="preserve">invariably </w:t>
      </w:r>
      <w:r w:rsidR="002F0C87" w:rsidRPr="00AB52EE">
        <w:rPr>
          <w:rFonts w:cs="Arial"/>
          <w:szCs w:val="24"/>
        </w:rPr>
        <w:t>be the case</w:t>
      </w:r>
      <w:r w:rsidR="00027D0D" w:rsidRPr="00AB52EE">
        <w:rPr>
          <w:rFonts w:cs="Arial"/>
          <w:szCs w:val="24"/>
        </w:rPr>
        <w:t>,</w:t>
      </w:r>
      <w:r w:rsidR="002F0C87" w:rsidRPr="00AB52EE">
        <w:rPr>
          <w:rStyle w:val="FootnoteReference"/>
          <w:szCs w:val="24"/>
        </w:rPr>
        <w:footnoteReference w:id="78"/>
      </w:r>
      <w:r w:rsidR="00742F61" w:rsidRPr="00AB52EE">
        <w:rPr>
          <w:rFonts w:cs="Arial"/>
          <w:szCs w:val="24"/>
        </w:rPr>
        <w:t xml:space="preserve"> </w:t>
      </w:r>
      <w:r w:rsidR="00027BCB" w:rsidRPr="00AB52EE">
        <w:rPr>
          <w:rFonts w:cs="Arial"/>
          <w:szCs w:val="24"/>
        </w:rPr>
        <w:t xml:space="preserve">or </w:t>
      </w:r>
      <w:r w:rsidR="003E0BF8" w:rsidRPr="00AB52EE">
        <w:rPr>
          <w:rFonts w:cs="Arial"/>
          <w:szCs w:val="24"/>
        </w:rPr>
        <w:t xml:space="preserve">for the proposition </w:t>
      </w:r>
      <w:r w:rsidR="00027BCB" w:rsidRPr="00AB52EE">
        <w:rPr>
          <w:rFonts w:cs="Arial"/>
          <w:szCs w:val="24"/>
        </w:rPr>
        <w:t>that ordinary Anton Piller orders may not be granted for the purposes of motion proceedings, other than the principle that the purpose of ordinary Anton Piller orders is solely to preserve evidence that may in due course be required to be discovered.</w:t>
      </w:r>
      <w:r w:rsidR="002F0C87" w:rsidRPr="00AB52EE">
        <w:rPr>
          <w:rFonts w:cs="Arial"/>
          <w:szCs w:val="24"/>
        </w:rPr>
        <w:t xml:space="preserve"> </w:t>
      </w:r>
      <w:r w:rsidR="00D855E6" w:rsidRPr="00AB52EE">
        <w:rPr>
          <w:rFonts w:cs="Arial"/>
          <w:szCs w:val="24"/>
        </w:rPr>
        <w:t>Indeed, the very</w:t>
      </w:r>
      <w:r w:rsidR="00D855E6" w:rsidRPr="00AB52EE">
        <w:rPr>
          <w:rFonts w:cs="Arial"/>
          <w:i/>
          <w:iCs/>
          <w:szCs w:val="24"/>
        </w:rPr>
        <w:t xml:space="preserve"> </w:t>
      </w:r>
      <w:r w:rsidR="00D855E6" w:rsidRPr="00AB52EE">
        <w:rPr>
          <w:rFonts w:cs="Arial"/>
          <w:szCs w:val="24"/>
        </w:rPr>
        <w:t xml:space="preserve">case upon which </w:t>
      </w:r>
      <w:r w:rsidR="00665CA5" w:rsidRPr="00AB52EE">
        <w:rPr>
          <w:rFonts w:cs="Arial"/>
          <w:szCs w:val="24"/>
        </w:rPr>
        <w:t xml:space="preserve">the respondents </w:t>
      </w:r>
      <w:r w:rsidR="00D855E6" w:rsidRPr="00AB52EE">
        <w:rPr>
          <w:rFonts w:cs="Arial"/>
          <w:szCs w:val="24"/>
        </w:rPr>
        <w:t xml:space="preserve">rely for the proposition that a Rule 35(13) directive should in general only be made once all the affidavits have been filed was </w:t>
      </w:r>
      <w:r w:rsidRPr="00AB52EE">
        <w:rPr>
          <w:rFonts w:cs="Arial"/>
          <w:szCs w:val="24"/>
        </w:rPr>
        <w:t xml:space="preserve">a motion </w:t>
      </w:r>
      <w:r w:rsidR="00D855E6" w:rsidRPr="00AB52EE">
        <w:rPr>
          <w:rFonts w:cs="Arial"/>
          <w:szCs w:val="24"/>
        </w:rPr>
        <w:t xml:space="preserve">in which an Anton Piller order had been granted in anticipation of </w:t>
      </w:r>
      <w:r w:rsidRPr="00AB52EE">
        <w:rPr>
          <w:rFonts w:cs="Arial"/>
          <w:szCs w:val="24"/>
        </w:rPr>
        <w:t xml:space="preserve">the </w:t>
      </w:r>
      <w:r w:rsidR="00D855E6" w:rsidRPr="00AB52EE">
        <w:rPr>
          <w:rFonts w:cs="Arial"/>
          <w:szCs w:val="24"/>
        </w:rPr>
        <w:t>proceedings.</w:t>
      </w:r>
      <w:r w:rsidR="00D855E6" w:rsidRPr="00AB52EE">
        <w:rPr>
          <w:rStyle w:val="FootnoteReference"/>
          <w:szCs w:val="24"/>
        </w:rPr>
        <w:footnoteReference w:id="79"/>
      </w:r>
    </w:p>
    <w:p w14:paraId="509C4B50" w14:textId="61F70470" w:rsidR="003E0BF8" w:rsidRPr="00AB52EE" w:rsidRDefault="003E0BF8" w:rsidP="007A27ED">
      <w:pPr>
        <w:pStyle w:val="LC1"/>
        <w:rPr>
          <w:rFonts w:cs="Arial"/>
          <w:szCs w:val="24"/>
          <w:lang w:eastAsia="en-ZA"/>
        </w:rPr>
      </w:pPr>
      <w:r w:rsidRPr="00AB52EE">
        <w:rPr>
          <w:rFonts w:cs="Arial"/>
          <w:szCs w:val="24"/>
        </w:rPr>
        <w:t xml:space="preserve">I can see no reason why the Anton Piller order granted in this instance (excluding the aspects allowing immediate access to the </w:t>
      </w:r>
      <w:r w:rsidR="00DC3014" w:rsidRPr="00AB52EE">
        <w:rPr>
          <w:rFonts w:cs="Arial"/>
          <w:szCs w:val="24"/>
        </w:rPr>
        <w:t xml:space="preserve">attached </w:t>
      </w:r>
      <w:r w:rsidR="00961577" w:rsidRPr="00AB52EE">
        <w:rPr>
          <w:rFonts w:cs="Arial"/>
          <w:szCs w:val="24"/>
        </w:rPr>
        <w:t>items</w:t>
      </w:r>
      <w:r w:rsidRPr="00AB52EE">
        <w:rPr>
          <w:rFonts w:cs="Arial"/>
          <w:szCs w:val="24"/>
        </w:rPr>
        <w:t xml:space="preserve">, which </w:t>
      </w:r>
      <w:r w:rsidRPr="00AB52EE">
        <w:rPr>
          <w:rFonts w:cs="Arial"/>
          <w:szCs w:val="24"/>
        </w:rPr>
        <w:lastRenderedPageBreak/>
        <w:t xml:space="preserve">I conclude below may be </w:t>
      </w:r>
      <w:r w:rsidR="00961577" w:rsidRPr="00AB52EE">
        <w:rPr>
          <w:rFonts w:cs="Arial"/>
          <w:szCs w:val="24"/>
        </w:rPr>
        <w:t xml:space="preserve">set aside </w:t>
      </w:r>
      <w:r w:rsidRPr="00AB52EE">
        <w:rPr>
          <w:rFonts w:cs="Arial"/>
          <w:szCs w:val="24"/>
        </w:rPr>
        <w:t xml:space="preserve">while retaining the remainder of the order </w:t>
      </w:r>
      <w:r w:rsidR="0009728F" w:rsidRPr="00AB52EE">
        <w:rPr>
          <w:rFonts w:cs="Arial"/>
          <w:szCs w:val="24"/>
        </w:rPr>
        <w:t xml:space="preserve">save in one further </w:t>
      </w:r>
      <w:r w:rsidRPr="00AB52EE">
        <w:rPr>
          <w:rFonts w:cs="Arial"/>
          <w:szCs w:val="24"/>
        </w:rPr>
        <w:t xml:space="preserve">material respect) could not have been granted on the basis that Supercart will in due course be required to obtain a direction under Rule 35(13) for the application of discovery procedures to those proceedings. </w:t>
      </w:r>
      <w:r w:rsidR="001736E4" w:rsidRPr="00AB52EE">
        <w:rPr>
          <w:rFonts w:cs="Arial"/>
          <w:szCs w:val="24"/>
        </w:rPr>
        <w:t xml:space="preserve">The </w:t>
      </w:r>
      <w:r w:rsidR="0009728F" w:rsidRPr="00AB52EE">
        <w:rPr>
          <w:rFonts w:cs="Arial"/>
          <w:szCs w:val="24"/>
        </w:rPr>
        <w:t xml:space="preserve">very </w:t>
      </w:r>
      <w:r w:rsidR="001736E4" w:rsidRPr="00AB52EE">
        <w:rPr>
          <w:rFonts w:cs="Arial"/>
          <w:szCs w:val="24"/>
        </w:rPr>
        <w:t xml:space="preserve">purpose of the Anton Piller procedure (i.e. to avoid alerting the party in possession of relevant </w:t>
      </w:r>
      <w:r w:rsidR="00665CA5" w:rsidRPr="00AB52EE">
        <w:rPr>
          <w:rFonts w:cs="Arial"/>
          <w:szCs w:val="24"/>
        </w:rPr>
        <w:t xml:space="preserve">evidence </w:t>
      </w:r>
      <w:r w:rsidR="001736E4" w:rsidRPr="00AB52EE">
        <w:rPr>
          <w:rFonts w:cs="Arial"/>
          <w:szCs w:val="24"/>
        </w:rPr>
        <w:t xml:space="preserve">that the other party </w:t>
      </w:r>
      <w:r w:rsidR="00665CA5" w:rsidRPr="00AB52EE">
        <w:rPr>
          <w:rFonts w:cs="Arial"/>
          <w:szCs w:val="24"/>
        </w:rPr>
        <w:t xml:space="preserve">may seek </w:t>
      </w:r>
      <w:r w:rsidR="001736E4" w:rsidRPr="00AB52EE">
        <w:rPr>
          <w:rFonts w:cs="Arial"/>
          <w:szCs w:val="24"/>
        </w:rPr>
        <w:t xml:space="preserve">to obtain through discovery) would be undermined if the party seeking </w:t>
      </w:r>
      <w:r w:rsidR="00665CA5" w:rsidRPr="00AB52EE">
        <w:rPr>
          <w:rFonts w:cs="Arial"/>
          <w:szCs w:val="24"/>
        </w:rPr>
        <w:t xml:space="preserve">preservation of </w:t>
      </w:r>
      <w:r w:rsidR="001736E4" w:rsidRPr="00AB52EE">
        <w:rPr>
          <w:rFonts w:cs="Arial"/>
          <w:szCs w:val="24"/>
        </w:rPr>
        <w:t xml:space="preserve">the </w:t>
      </w:r>
      <w:r w:rsidR="00665CA5" w:rsidRPr="00AB52EE">
        <w:rPr>
          <w:rFonts w:cs="Arial"/>
          <w:szCs w:val="24"/>
        </w:rPr>
        <w:t xml:space="preserve">evidence </w:t>
      </w:r>
      <w:r w:rsidR="001736E4" w:rsidRPr="00AB52EE">
        <w:rPr>
          <w:rFonts w:cs="Arial"/>
          <w:szCs w:val="24"/>
        </w:rPr>
        <w:t xml:space="preserve">were required to seek and obtain a Rule 35(13) </w:t>
      </w:r>
      <w:r w:rsidR="00DC3014" w:rsidRPr="00AB52EE">
        <w:rPr>
          <w:rFonts w:cs="Arial"/>
          <w:szCs w:val="24"/>
        </w:rPr>
        <w:t xml:space="preserve">direction </w:t>
      </w:r>
      <w:r w:rsidR="001736E4" w:rsidRPr="00AB52EE">
        <w:rPr>
          <w:rFonts w:cs="Arial"/>
          <w:szCs w:val="24"/>
        </w:rPr>
        <w:t>in advance. T</w:t>
      </w:r>
      <w:r w:rsidRPr="00AB52EE">
        <w:rPr>
          <w:rFonts w:cs="Arial"/>
          <w:szCs w:val="24"/>
        </w:rPr>
        <w:t xml:space="preserve">he situation </w:t>
      </w:r>
      <w:r w:rsidR="001736E4" w:rsidRPr="00AB52EE">
        <w:rPr>
          <w:rFonts w:cs="Arial"/>
          <w:szCs w:val="24"/>
        </w:rPr>
        <w:t xml:space="preserve">is no different in principle to </w:t>
      </w:r>
      <w:r w:rsidRPr="00AB52EE">
        <w:rPr>
          <w:rFonts w:cs="Arial"/>
          <w:szCs w:val="24"/>
        </w:rPr>
        <w:t xml:space="preserve">that </w:t>
      </w:r>
      <w:r w:rsidR="001736E4" w:rsidRPr="00AB52EE">
        <w:rPr>
          <w:rFonts w:cs="Arial"/>
          <w:szCs w:val="24"/>
        </w:rPr>
        <w:t xml:space="preserve">which </w:t>
      </w:r>
      <w:r w:rsidRPr="00AB52EE">
        <w:rPr>
          <w:rFonts w:cs="Arial"/>
          <w:szCs w:val="24"/>
        </w:rPr>
        <w:t>applies where such orders are sought and obtained in anticipation of action proceedings. In actions, discovery is required only upon the delivery of a Rule 35(1) notice</w:t>
      </w:r>
      <w:r w:rsidRPr="00AB52EE">
        <w:rPr>
          <w:rStyle w:val="FootnoteReference"/>
          <w:szCs w:val="24"/>
        </w:rPr>
        <w:t xml:space="preserve"> </w:t>
      </w:r>
      <w:r w:rsidRPr="00AB52EE">
        <w:rPr>
          <w:rFonts w:cs="Arial"/>
          <w:szCs w:val="24"/>
        </w:rPr>
        <w:t>or</w:t>
      </w:r>
      <w:r w:rsidR="00665CA5" w:rsidRPr="00AB52EE">
        <w:rPr>
          <w:rFonts w:cs="Arial"/>
          <w:szCs w:val="24"/>
        </w:rPr>
        <w:t xml:space="preserve">, </w:t>
      </w:r>
      <w:r w:rsidRPr="00AB52EE">
        <w:rPr>
          <w:rFonts w:cs="Arial"/>
          <w:szCs w:val="24"/>
        </w:rPr>
        <w:t xml:space="preserve">if </w:t>
      </w:r>
      <w:r w:rsidR="00665CA5" w:rsidRPr="00AB52EE">
        <w:rPr>
          <w:rFonts w:cs="Arial"/>
          <w:szCs w:val="24"/>
        </w:rPr>
        <w:t xml:space="preserve">discovery </w:t>
      </w:r>
      <w:r w:rsidRPr="00AB52EE">
        <w:rPr>
          <w:rFonts w:cs="Arial"/>
          <w:szCs w:val="24"/>
        </w:rPr>
        <w:t xml:space="preserve">is not properly made, pursuant to an order in terms of Rule 35(7). To the extent that it is contended that discovery would involve the disclosure of documents in circumstances where that would infringe the right against self-incrimination (which may or may not be the case in the current circumstances </w:t>
      </w:r>
      <w:r w:rsidR="009D67C5">
        <w:rPr>
          <w:rFonts w:cs="Arial"/>
          <w:szCs w:val="24"/>
        </w:rPr>
        <w:t xml:space="preserve">where </w:t>
      </w:r>
      <w:r w:rsidRPr="00AB52EE">
        <w:rPr>
          <w:rFonts w:cs="Arial"/>
          <w:szCs w:val="24"/>
        </w:rPr>
        <w:t xml:space="preserve">Supercart seeks to have </w:t>
      </w:r>
      <w:r w:rsidR="009D67C5">
        <w:rPr>
          <w:rFonts w:cs="Arial"/>
          <w:szCs w:val="24"/>
        </w:rPr>
        <w:t xml:space="preserve">criminal sanctions </w:t>
      </w:r>
      <w:r w:rsidRPr="00AB52EE">
        <w:rPr>
          <w:rFonts w:cs="Arial"/>
          <w:szCs w:val="24"/>
        </w:rPr>
        <w:t>imposed in the contempt application),</w:t>
      </w:r>
      <w:r w:rsidRPr="00AB52EE">
        <w:rPr>
          <w:rStyle w:val="FootnoteReference"/>
          <w:szCs w:val="24"/>
        </w:rPr>
        <w:footnoteReference w:id="80"/>
      </w:r>
      <w:r w:rsidRPr="00AB52EE">
        <w:rPr>
          <w:rFonts w:cs="Arial"/>
          <w:szCs w:val="24"/>
        </w:rPr>
        <w:t xml:space="preserve"> that would be a matter to be raised when a court considers issuing a Rule 35(13) direction</w:t>
      </w:r>
      <w:r w:rsidR="00665CA5" w:rsidRPr="00AB52EE">
        <w:rPr>
          <w:rFonts w:cs="Arial"/>
          <w:szCs w:val="24"/>
        </w:rPr>
        <w:t>,</w:t>
      </w:r>
      <w:r w:rsidRPr="00AB52EE">
        <w:rPr>
          <w:rFonts w:cs="Arial"/>
          <w:szCs w:val="24"/>
        </w:rPr>
        <w:t xml:space="preserve"> or is asked to make an order in terms of Rules 35(7), (12) or (14).</w:t>
      </w:r>
      <w:r w:rsidRPr="00AB52EE">
        <w:rPr>
          <w:rStyle w:val="FootnoteReference"/>
          <w:szCs w:val="24"/>
        </w:rPr>
        <w:footnoteReference w:id="81"/>
      </w:r>
      <w:r w:rsidRPr="00AB52EE">
        <w:rPr>
          <w:rFonts w:cs="Arial"/>
          <w:szCs w:val="24"/>
        </w:rPr>
        <w:t xml:space="preserve"> What is more, a party ordered to discover document</w:t>
      </w:r>
      <w:r w:rsidR="00105282" w:rsidRPr="00AB52EE">
        <w:rPr>
          <w:rFonts w:cs="Arial"/>
          <w:szCs w:val="24"/>
        </w:rPr>
        <w:t>s</w:t>
      </w:r>
      <w:r w:rsidRPr="00AB52EE">
        <w:rPr>
          <w:rFonts w:cs="Arial"/>
          <w:szCs w:val="24"/>
        </w:rPr>
        <w:t xml:space="preserve"> may still object to </w:t>
      </w:r>
      <w:r w:rsidR="00105282" w:rsidRPr="00AB52EE">
        <w:rPr>
          <w:rFonts w:cs="Arial"/>
          <w:szCs w:val="24"/>
        </w:rPr>
        <w:t xml:space="preserve">their </w:t>
      </w:r>
      <w:r w:rsidRPr="00AB52EE">
        <w:rPr>
          <w:rFonts w:cs="Arial"/>
          <w:szCs w:val="24"/>
        </w:rPr>
        <w:t xml:space="preserve">admissibility on a range of grounds, including privilege.  </w:t>
      </w:r>
      <w:r w:rsidR="0009728F" w:rsidRPr="00AB52EE">
        <w:rPr>
          <w:rFonts w:cs="Arial"/>
          <w:szCs w:val="24"/>
        </w:rPr>
        <w:t xml:space="preserve">And the respondents’ argument that allowing Anton Piller orders to be granted in the midst of motion proceedings would result in chaos because they would be </w:t>
      </w:r>
      <w:r w:rsidR="0009728F" w:rsidRPr="00AB52EE">
        <w:rPr>
          <w:rFonts w:cs="Arial"/>
          <w:szCs w:val="24"/>
        </w:rPr>
        <w:lastRenderedPageBreak/>
        <w:t xml:space="preserve">sought in every application is overstated: the applicant would still have to establish the onerous threshold requirements for such orders. </w:t>
      </w:r>
    </w:p>
    <w:p w14:paraId="21AB5C56" w14:textId="23364FF5" w:rsidR="003605ED" w:rsidRPr="00AB52EE" w:rsidRDefault="003E0BF8" w:rsidP="007A27ED">
      <w:pPr>
        <w:pStyle w:val="LC1"/>
        <w:rPr>
          <w:rFonts w:cs="Arial"/>
          <w:szCs w:val="24"/>
          <w:lang w:eastAsia="en-ZA"/>
        </w:rPr>
      </w:pPr>
      <w:r w:rsidRPr="00AB52EE">
        <w:rPr>
          <w:rFonts w:cs="Arial"/>
          <w:szCs w:val="24"/>
        </w:rPr>
        <w:t xml:space="preserve">In </w:t>
      </w:r>
      <w:r w:rsidR="00E518FD" w:rsidRPr="00AB52EE">
        <w:rPr>
          <w:rFonts w:cs="Arial"/>
          <w:szCs w:val="24"/>
        </w:rPr>
        <w:t xml:space="preserve">describing the </w:t>
      </w:r>
      <w:r w:rsidR="0009728F" w:rsidRPr="00AB52EE">
        <w:rPr>
          <w:rFonts w:cs="Arial"/>
          <w:szCs w:val="24"/>
        </w:rPr>
        <w:t xml:space="preserve">doctrine </w:t>
      </w:r>
      <w:r w:rsidR="00E518FD" w:rsidRPr="00AB52EE">
        <w:rPr>
          <w:rFonts w:cs="Arial"/>
          <w:szCs w:val="24"/>
        </w:rPr>
        <w:t>of abuse of process</w:t>
      </w:r>
      <w:r w:rsidR="00494667" w:rsidRPr="00AB52EE">
        <w:rPr>
          <w:rFonts w:cs="Arial"/>
          <w:szCs w:val="24"/>
        </w:rPr>
        <w:t xml:space="preserve"> in </w:t>
      </w:r>
      <w:r w:rsidR="00BA4D5F" w:rsidRPr="00AB52EE">
        <w:rPr>
          <w:rFonts w:cs="Arial"/>
          <w:i/>
          <w:iCs/>
          <w:szCs w:val="24"/>
        </w:rPr>
        <w:t>Mineral Sands Resources</w:t>
      </w:r>
      <w:r w:rsidR="00E518FD" w:rsidRPr="00AB52EE">
        <w:rPr>
          <w:rFonts w:cs="Arial"/>
          <w:szCs w:val="24"/>
        </w:rPr>
        <w:t xml:space="preserve">, the Constitutional Court impliedly accepted the submission that while </w:t>
      </w:r>
      <w:r w:rsidR="00E518FD" w:rsidRPr="00AB52EE">
        <w:rPr>
          <w:rFonts w:cs="Arial"/>
          <w:szCs w:val="24"/>
          <w:lang w:eastAsia="en-ZA"/>
        </w:rPr>
        <w:t xml:space="preserve">courts are allowed and required to consider ulterior motive when assessing whether a litigant has abused court proceedings, </w:t>
      </w:r>
      <w:r w:rsidRPr="00AB52EE">
        <w:rPr>
          <w:rFonts w:cs="Arial"/>
          <w:szCs w:val="24"/>
          <w:lang w:eastAsia="en-ZA"/>
        </w:rPr>
        <w:t xml:space="preserve">the existence of such an </w:t>
      </w:r>
      <w:r w:rsidR="00E518FD" w:rsidRPr="00AB52EE">
        <w:rPr>
          <w:rFonts w:cs="Arial"/>
          <w:szCs w:val="24"/>
          <w:lang w:eastAsia="en-ZA"/>
        </w:rPr>
        <w:t xml:space="preserve">ulterior motive will not always be determinative of abuse of process. Furthermore, even where an abuse of process is established, that will </w:t>
      </w:r>
      <w:r w:rsidR="00494667" w:rsidRPr="00AB52EE">
        <w:rPr>
          <w:rFonts w:cs="Arial"/>
          <w:szCs w:val="24"/>
          <w:lang w:eastAsia="en-ZA"/>
        </w:rPr>
        <w:t xml:space="preserve">only in “a rare instance” </w:t>
      </w:r>
      <w:r w:rsidR="00E518FD" w:rsidRPr="00AB52EE">
        <w:rPr>
          <w:rFonts w:cs="Arial"/>
          <w:szCs w:val="24"/>
          <w:lang w:eastAsia="en-ZA"/>
        </w:rPr>
        <w:t>result in the dismissal of the claim without any regard to the merits</w:t>
      </w:r>
      <w:r w:rsidR="00494667" w:rsidRPr="00AB52EE">
        <w:rPr>
          <w:rFonts w:cs="Arial"/>
          <w:szCs w:val="24"/>
          <w:lang w:eastAsia="en-ZA"/>
        </w:rPr>
        <w:t xml:space="preserve">, </w:t>
      </w:r>
      <w:r w:rsidR="0009728F" w:rsidRPr="00AB52EE">
        <w:rPr>
          <w:rFonts w:cs="Arial"/>
          <w:szCs w:val="24"/>
          <w:lang w:eastAsia="en-ZA"/>
        </w:rPr>
        <w:t xml:space="preserve">especially </w:t>
      </w:r>
      <w:r w:rsidR="00494667" w:rsidRPr="00AB52EE">
        <w:rPr>
          <w:rFonts w:cs="Arial"/>
          <w:szCs w:val="24"/>
          <w:lang w:eastAsia="en-ZA"/>
        </w:rPr>
        <w:t>bearing in mind</w:t>
      </w:r>
      <w:r w:rsidR="00E518FD" w:rsidRPr="00AB52EE">
        <w:rPr>
          <w:rFonts w:cs="Arial"/>
          <w:szCs w:val="24"/>
          <w:lang w:eastAsia="en-ZA"/>
        </w:rPr>
        <w:t xml:space="preserve"> that “abuse of process that impinges upon the </w:t>
      </w:r>
      <w:r w:rsidR="00A01AA1" w:rsidRPr="00AB52EE">
        <w:rPr>
          <w:rFonts w:cs="Arial"/>
          <w:szCs w:val="24"/>
          <w:lang w:eastAsia="en-ZA"/>
        </w:rPr>
        <w:t>c</w:t>
      </w:r>
      <w:r w:rsidR="00E518FD" w:rsidRPr="00AB52EE">
        <w:rPr>
          <w:rFonts w:cs="Arial"/>
          <w:szCs w:val="24"/>
          <w:lang w:eastAsia="en-ZA"/>
        </w:rPr>
        <w:t>ourt</w:t>
      </w:r>
      <w:r w:rsidR="0009728F" w:rsidRPr="00AB52EE">
        <w:rPr>
          <w:rFonts w:cs="Arial"/>
          <w:szCs w:val="24"/>
          <w:lang w:eastAsia="en-ZA"/>
        </w:rPr>
        <w:t>’</w:t>
      </w:r>
      <w:r w:rsidR="00E518FD" w:rsidRPr="00AB52EE">
        <w:rPr>
          <w:rFonts w:cs="Arial"/>
          <w:szCs w:val="24"/>
          <w:lang w:eastAsia="en-ZA"/>
        </w:rPr>
        <w:t>s integrity is quite distinct from abuse that is designed to cause harm to a party”.</w:t>
      </w:r>
      <w:r w:rsidR="00494667" w:rsidRPr="00AB52EE">
        <w:rPr>
          <w:rStyle w:val="FootnoteReference"/>
          <w:szCs w:val="24"/>
          <w:lang w:eastAsia="en-ZA"/>
        </w:rPr>
        <w:footnoteReference w:id="82"/>
      </w:r>
      <w:r w:rsidR="00E518FD" w:rsidRPr="00AB52EE">
        <w:rPr>
          <w:rFonts w:cs="Arial"/>
          <w:szCs w:val="24"/>
          <w:lang w:eastAsia="en-ZA"/>
        </w:rPr>
        <w:t xml:space="preserve"> </w:t>
      </w:r>
      <w:r w:rsidR="003605ED" w:rsidRPr="00AB52EE">
        <w:rPr>
          <w:rFonts w:cs="Arial"/>
          <w:szCs w:val="24"/>
          <w:lang w:eastAsia="en-ZA"/>
        </w:rPr>
        <w:t>The Constitutional Court also approved</w:t>
      </w:r>
      <w:r w:rsidR="003605ED" w:rsidRPr="00AB52EE">
        <w:rPr>
          <w:rStyle w:val="FootnoteReference"/>
          <w:szCs w:val="24"/>
          <w:lang w:eastAsia="en-ZA"/>
        </w:rPr>
        <w:footnoteReference w:id="83"/>
      </w:r>
      <w:r w:rsidR="003605ED" w:rsidRPr="00AB52EE">
        <w:rPr>
          <w:rFonts w:cs="Arial"/>
          <w:szCs w:val="24"/>
          <w:lang w:eastAsia="en-ZA"/>
        </w:rPr>
        <w:t xml:space="preserve"> the SCA’s statement in </w:t>
      </w:r>
      <w:r w:rsidR="003605ED" w:rsidRPr="00AB52EE">
        <w:rPr>
          <w:rFonts w:cs="Arial"/>
          <w:i/>
          <w:iCs/>
          <w:szCs w:val="24"/>
          <w:lang w:eastAsia="en-ZA"/>
        </w:rPr>
        <w:t>Price Waterhouse Coopers</w:t>
      </w:r>
      <w:r w:rsidR="003605ED" w:rsidRPr="00AB52EE">
        <w:rPr>
          <w:rFonts w:cs="Arial"/>
          <w:szCs w:val="24"/>
          <w:lang w:eastAsia="en-ZA"/>
        </w:rPr>
        <w:t xml:space="preserve">, that “[t]he mere application of a particular court procedure for a purpose other than that for which it was primarily intended is typical, but not complete proof, of </w:t>
      </w:r>
      <w:r w:rsidR="003605ED" w:rsidRPr="00AB52EE">
        <w:rPr>
          <w:rFonts w:cs="Arial"/>
          <w:i/>
          <w:iCs/>
          <w:szCs w:val="24"/>
          <w:lang w:eastAsia="en-ZA"/>
        </w:rPr>
        <w:t>mala fides</w:t>
      </w:r>
      <w:r w:rsidR="003605ED" w:rsidRPr="00AB52EE">
        <w:rPr>
          <w:rFonts w:cs="Arial"/>
          <w:szCs w:val="24"/>
          <w:lang w:eastAsia="en-ZA"/>
        </w:rPr>
        <w:t>” and that “[p]urpose or motive, even a mischievous or malicious motive, is not in general a criterion for unlawfulness or invalidity”.</w:t>
      </w:r>
      <w:r w:rsidR="003605ED" w:rsidRPr="00AB52EE">
        <w:rPr>
          <w:rStyle w:val="FootnoteReference"/>
          <w:szCs w:val="24"/>
          <w:lang w:eastAsia="en-ZA"/>
        </w:rPr>
        <w:footnoteReference w:id="84"/>
      </w:r>
    </w:p>
    <w:p w14:paraId="4D1430AB" w14:textId="519DBE48" w:rsidR="00423A21" w:rsidRPr="00AB52EE" w:rsidRDefault="004748CC" w:rsidP="007A27ED">
      <w:pPr>
        <w:pStyle w:val="LC1"/>
        <w:rPr>
          <w:rFonts w:cs="Arial"/>
          <w:szCs w:val="24"/>
          <w:lang w:eastAsia="en-ZA"/>
        </w:rPr>
      </w:pPr>
      <w:r w:rsidRPr="00AB52EE">
        <w:rPr>
          <w:rFonts w:cs="Arial"/>
          <w:szCs w:val="24"/>
        </w:rPr>
        <w:t>A</w:t>
      </w:r>
      <w:r w:rsidR="00423A21" w:rsidRPr="00AB52EE">
        <w:rPr>
          <w:rFonts w:cs="Arial"/>
          <w:szCs w:val="24"/>
        </w:rPr>
        <w:t xml:space="preserve">lthough </w:t>
      </w:r>
      <w:r w:rsidRPr="00AB52EE">
        <w:rPr>
          <w:rFonts w:cs="Arial"/>
          <w:szCs w:val="24"/>
        </w:rPr>
        <w:t xml:space="preserve">it is clear </w:t>
      </w:r>
      <w:r w:rsidR="00423A21" w:rsidRPr="00AB52EE">
        <w:rPr>
          <w:rFonts w:cs="Arial"/>
          <w:szCs w:val="24"/>
        </w:rPr>
        <w:t>that Supercart sought the Anton Piller order for purposes that go beyond purely the preservation of evidence</w:t>
      </w:r>
      <w:r w:rsidR="0009728F" w:rsidRPr="00AB52EE">
        <w:rPr>
          <w:rFonts w:cs="Arial"/>
          <w:szCs w:val="24"/>
        </w:rPr>
        <w:t>,</w:t>
      </w:r>
      <w:r w:rsidR="003E0BF8" w:rsidRPr="00AB52EE">
        <w:rPr>
          <w:rFonts w:cs="Arial"/>
          <w:szCs w:val="24"/>
        </w:rPr>
        <w:t xml:space="preserve"> </w:t>
      </w:r>
      <w:r w:rsidR="00665CA5" w:rsidRPr="00AB52EE">
        <w:rPr>
          <w:rFonts w:cs="Arial"/>
          <w:szCs w:val="24"/>
        </w:rPr>
        <w:t xml:space="preserve">and </w:t>
      </w:r>
      <w:r w:rsidR="003E0BF8" w:rsidRPr="00AB52EE">
        <w:rPr>
          <w:rFonts w:cs="Arial"/>
          <w:szCs w:val="24"/>
        </w:rPr>
        <w:t xml:space="preserve">in circumstances where it was not entitled to </w:t>
      </w:r>
      <w:r w:rsidR="003E0BF8" w:rsidRPr="00AB52EE">
        <w:rPr>
          <w:rFonts w:cs="Arial"/>
          <w:szCs w:val="24"/>
          <w:lang w:eastAsia="en-ZA"/>
        </w:rPr>
        <w:t xml:space="preserve">obtain immediate access to the </w:t>
      </w:r>
      <w:r w:rsidR="00DC3014" w:rsidRPr="00AB52EE">
        <w:rPr>
          <w:rFonts w:cs="Arial"/>
          <w:szCs w:val="24"/>
        </w:rPr>
        <w:t xml:space="preserve">attached </w:t>
      </w:r>
      <w:r w:rsidR="0046341C" w:rsidRPr="00AB52EE">
        <w:rPr>
          <w:rFonts w:cs="Arial"/>
          <w:szCs w:val="24"/>
          <w:lang w:eastAsia="en-ZA"/>
        </w:rPr>
        <w:t xml:space="preserve">items </w:t>
      </w:r>
      <w:r w:rsidR="003E0BF8" w:rsidRPr="00AB52EE">
        <w:rPr>
          <w:rFonts w:cs="Arial"/>
          <w:szCs w:val="24"/>
          <w:lang w:eastAsia="en-ZA"/>
        </w:rPr>
        <w:t xml:space="preserve">in </w:t>
      </w:r>
      <w:r w:rsidR="003E0BF8" w:rsidRPr="00AB52EE">
        <w:rPr>
          <w:rFonts w:cs="Arial"/>
          <w:szCs w:val="24"/>
          <w:lang w:eastAsia="en-ZA"/>
        </w:rPr>
        <w:lastRenderedPageBreak/>
        <w:t xml:space="preserve">advance of </w:t>
      </w:r>
      <w:r w:rsidR="00DC3014" w:rsidRPr="00AB52EE">
        <w:rPr>
          <w:rFonts w:cs="Arial"/>
          <w:szCs w:val="24"/>
          <w:lang w:eastAsia="en-ZA"/>
        </w:rPr>
        <w:t xml:space="preserve">a </w:t>
      </w:r>
      <w:r w:rsidR="0046341C" w:rsidRPr="00AB52EE">
        <w:rPr>
          <w:rFonts w:cs="Arial"/>
          <w:szCs w:val="24"/>
          <w:lang w:eastAsia="en-ZA"/>
        </w:rPr>
        <w:t xml:space="preserve">direction for the </w:t>
      </w:r>
      <w:r w:rsidR="003E0BF8" w:rsidRPr="00AB52EE">
        <w:rPr>
          <w:rFonts w:cs="Arial"/>
          <w:szCs w:val="24"/>
          <w:lang w:eastAsia="en-ZA"/>
        </w:rPr>
        <w:t>application of discovery procedures in motion proceedings</w:t>
      </w:r>
      <w:r w:rsidR="00423A21" w:rsidRPr="00AB52EE">
        <w:rPr>
          <w:rFonts w:cs="Arial"/>
          <w:szCs w:val="24"/>
        </w:rPr>
        <w:t xml:space="preserve">, </w:t>
      </w:r>
      <w:r w:rsidR="00665CA5" w:rsidRPr="00AB52EE">
        <w:rPr>
          <w:rFonts w:cs="Arial"/>
          <w:szCs w:val="24"/>
        </w:rPr>
        <w:t xml:space="preserve">I conclude below that </w:t>
      </w:r>
      <w:r w:rsidR="00423A21" w:rsidRPr="00AB52EE">
        <w:rPr>
          <w:rFonts w:cs="Arial"/>
          <w:szCs w:val="24"/>
        </w:rPr>
        <w:t xml:space="preserve">no harm has </w:t>
      </w:r>
      <w:r w:rsidR="00BA4D5F" w:rsidRPr="00AB52EE">
        <w:rPr>
          <w:rFonts w:cs="Arial"/>
          <w:szCs w:val="24"/>
        </w:rPr>
        <w:t>(</w:t>
      </w:r>
      <w:r w:rsidR="00423A21" w:rsidRPr="00AB52EE">
        <w:rPr>
          <w:rFonts w:cs="Arial"/>
          <w:szCs w:val="24"/>
        </w:rPr>
        <w:t>or will</w:t>
      </w:r>
      <w:r w:rsidR="00BA4D5F" w:rsidRPr="00AB52EE">
        <w:rPr>
          <w:rFonts w:cs="Arial"/>
          <w:szCs w:val="24"/>
        </w:rPr>
        <w:t>)</w:t>
      </w:r>
      <w:r w:rsidR="00423A21" w:rsidRPr="00AB52EE">
        <w:rPr>
          <w:rFonts w:cs="Arial"/>
          <w:szCs w:val="24"/>
        </w:rPr>
        <w:t xml:space="preserve"> </w:t>
      </w:r>
      <w:r w:rsidR="0009728F" w:rsidRPr="00AB52EE">
        <w:rPr>
          <w:rFonts w:cs="Arial"/>
          <w:szCs w:val="24"/>
        </w:rPr>
        <w:t xml:space="preserve">in fact </w:t>
      </w:r>
      <w:r w:rsidR="00423A21" w:rsidRPr="00AB52EE">
        <w:rPr>
          <w:rFonts w:cs="Arial"/>
          <w:szCs w:val="24"/>
        </w:rPr>
        <w:t xml:space="preserve">eventuate as a result of </w:t>
      </w:r>
      <w:r w:rsidR="0009728F" w:rsidRPr="00AB52EE">
        <w:rPr>
          <w:rFonts w:cs="Arial"/>
          <w:szCs w:val="24"/>
        </w:rPr>
        <w:t xml:space="preserve">its conduct </w:t>
      </w:r>
      <w:r w:rsidR="00665CA5" w:rsidRPr="00AB52EE">
        <w:rPr>
          <w:rFonts w:cs="Arial"/>
          <w:szCs w:val="24"/>
        </w:rPr>
        <w:t>in this case</w:t>
      </w:r>
      <w:r w:rsidR="00423A21" w:rsidRPr="00AB52EE">
        <w:rPr>
          <w:rFonts w:cs="Arial"/>
          <w:szCs w:val="24"/>
          <w:lang w:eastAsia="en-ZA"/>
        </w:rPr>
        <w:t xml:space="preserve">. In addition, I do not accept that Supercart was acting </w:t>
      </w:r>
      <w:r w:rsidR="00423A21" w:rsidRPr="00AB52EE">
        <w:rPr>
          <w:rFonts w:cs="Arial"/>
          <w:i/>
          <w:iCs/>
          <w:szCs w:val="24"/>
          <w:lang w:eastAsia="en-ZA"/>
        </w:rPr>
        <w:t>mala fide</w:t>
      </w:r>
      <w:r w:rsidR="00423A21" w:rsidRPr="00AB52EE">
        <w:rPr>
          <w:rFonts w:cs="Arial"/>
          <w:szCs w:val="24"/>
          <w:lang w:eastAsia="en-ZA"/>
        </w:rPr>
        <w:t xml:space="preserve"> when it sought the order: it expressly informed the </w:t>
      </w:r>
      <w:r w:rsidR="00665CA5" w:rsidRPr="00AB52EE">
        <w:rPr>
          <w:rFonts w:cs="Arial"/>
          <w:szCs w:val="24"/>
          <w:lang w:eastAsia="en-ZA"/>
        </w:rPr>
        <w:t>C</w:t>
      </w:r>
      <w:r w:rsidR="00423A21" w:rsidRPr="00AB52EE">
        <w:rPr>
          <w:rFonts w:cs="Arial"/>
          <w:szCs w:val="24"/>
          <w:lang w:eastAsia="en-ZA"/>
        </w:rPr>
        <w:t xml:space="preserve">ourt hearing the </w:t>
      </w:r>
      <w:r w:rsidR="00423A21" w:rsidRPr="00AB52EE">
        <w:rPr>
          <w:rFonts w:cs="Arial"/>
          <w:i/>
          <w:iCs/>
          <w:szCs w:val="24"/>
          <w:lang w:eastAsia="en-ZA"/>
        </w:rPr>
        <w:t>ex parte</w:t>
      </w:r>
      <w:r w:rsidR="00423A21" w:rsidRPr="00AB52EE">
        <w:rPr>
          <w:rFonts w:cs="Arial"/>
          <w:szCs w:val="24"/>
          <w:lang w:eastAsia="en-ZA"/>
        </w:rPr>
        <w:t xml:space="preserve"> matter of its intention to </w:t>
      </w:r>
      <w:r w:rsidR="009D67C5">
        <w:rPr>
          <w:rFonts w:cs="Arial"/>
          <w:szCs w:val="24"/>
          <w:lang w:eastAsia="en-ZA"/>
        </w:rPr>
        <w:t xml:space="preserve">refer to </w:t>
      </w:r>
      <w:r w:rsidR="00423A21" w:rsidRPr="00AB52EE">
        <w:rPr>
          <w:rFonts w:cs="Arial"/>
          <w:szCs w:val="24"/>
          <w:lang w:eastAsia="en-ZA"/>
        </w:rPr>
        <w:t xml:space="preserve">the </w:t>
      </w:r>
      <w:r w:rsidR="00DC3014" w:rsidRPr="00AB52EE">
        <w:rPr>
          <w:rFonts w:cs="Arial"/>
          <w:szCs w:val="24"/>
        </w:rPr>
        <w:t xml:space="preserve">attached </w:t>
      </w:r>
      <w:r w:rsidR="0046341C" w:rsidRPr="00AB52EE">
        <w:rPr>
          <w:rFonts w:cs="Arial"/>
          <w:szCs w:val="24"/>
          <w:lang w:eastAsia="en-ZA"/>
        </w:rPr>
        <w:t xml:space="preserve">items </w:t>
      </w:r>
      <w:r w:rsidR="00423A21" w:rsidRPr="00AB52EE">
        <w:rPr>
          <w:rFonts w:cs="Arial"/>
          <w:szCs w:val="24"/>
          <w:lang w:eastAsia="en-ZA"/>
        </w:rPr>
        <w:t xml:space="preserve">in </w:t>
      </w:r>
      <w:r w:rsidR="009D67C5">
        <w:rPr>
          <w:rFonts w:cs="Arial"/>
          <w:szCs w:val="24"/>
          <w:lang w:eastAsia="en-ZA"/>
        </w:rPr>
        <w:t>the replying affidavit in the contempt application</w:t>
      </w:r>
      <w:r w:rsidR="00423A21" w:rsidRPr="00AB52EE">
        <w:rPr>
          <w:rFonts w:cs="Arial"/>
          <w:szCs w:val="24"/>
          <w:lang w:eastAsia="en-ZA"/>
        </w:rPr>
        <w:t xml:space="preserve">. What is more, </w:t>
      </w:r>
      <w:r w:rsidR="00BA4D5F" w:rsidRPr="00AB52EE">
        <w:rPr>
          <w:rFonts w:cs="Arial"/>
          <w:szCs w:val="24"/>
          <w:lang w:eastAsia="en-ZA"/>
        </w:rPr>
        <w:t xml:space="preserve">Supercart and its legal representatives </w:t>
      </w:r>
      <w:r w:rsidR="00665CA5" w:rsidRPr="00AB52EE">
        <w:rPr>
          <w:rFonts w:cs="Arial"/>
          <w:szCs w:val="24"/>
          <w:lang w:eastAsia="en-ZA"/>
        </w:rPr>
        <w:t xml:space="preserve">evidently </w:t>
      </w:r>
      <w:r w:rsidR="00BA4D5F" w:rsidRPr="00AB52EE">
        <w:rPr>
          <w:rFonts w:cs="Arial"/>
          <w:szCs w:val="24"/>
          <w:lang w:eastAsia="en-ZA"/>
        </w:rPr>
        <w:t xml:space="preserve">took pains to </w:t>
      </w:r>
      <w:r w:rsidR="003E0BF8" w:rsidRPr="00AB52EE">
        <w:rPr>
          <w:rFonts w:cs="Arial"/>
          <w:szCs w:val="24"/>
          <w:lang w:eastAsia="en-ZA"/>
        </w:rPr>
        <w:t xml:space="preserve">comply </w:t>
      </w:r>
      <w:r w:rsidR="00BA4D5F" w:rsidRPr="00AB52EE">
        <w:rPr>
          <w:rFonts w:cs="Arial"/>
          <w:szCs w:val="24"/>
          <w:lang w:eastAsia="en-ZA"/>
        </w:rPr>
        <w:t xml:space="preserve">with </w:t>
      </w:r>
      <w:r w:rsidR="00423A21" w:rsidRPr="00AB52EE">
        <w:rPr>
          <w:rFonts w:cs="Arial"/>
          <w:szCs w:val="24"/>
          <w:lang w:eastAsia="en-ZA"/>
        </w:rPr>
        <w:t>the Gauteng practice manual and the model order</w:t>
      </w:r>
      <w:r w:rsidR="00BA4D5F" w:rsidRPr="00AB52EE">
        <w:rPr>
          <w:rFonts w:cs="Arial"/>
          <w:szCs w:val="24"/>
          <w:lang w:eastAsia="en-ZA"/>
        </w:rPr>
        <w:t xml:space="preserve"> which </w:t>
      </w:r>
      <w:r w:rsidR="00423A21" w:rsidRPr="00AB52EE">
        <w:rPr>
          <w:rFonts w:cs="Arial"/>
          <w:szCs w:val="24"/>
          <w:lang w:eastAsia="en-ZA"/>
        </w:rPr>
        <w:t>do not clearly differentiate between ordinary Anton Piller applications and Cerebos-type applications. To this</w:t>
      </w:r>
      <w:r w:rsidR="00665CA5" w:rsidRPr="00AB52EE">
        <w:rPr>
          <w:rFonts w:cs="Arial"/>
          <w:szCs w:val="24"/>
          <w:lang w:eastAsia="en-ZA"/>
        </w:rPr>
        <w:t>,</w:t>
      </w:r>
      <w:r w:rsidR="00423A21" w:rsidRPr="00AB52EE">
        <w:rPr>
          <w:rFonts w:cs="Arial"/>
          <w:szCs w:val="24"/>
          <w:lang w:eastAsia="en-ZA"/>
        </w:rPr>
        <w:t xml:space="preserve"> I would add that there appears to be widespread uncertainty </w:t>
      </w:r>
      <w:r w:rsidR="00BA4D5F" w:rsidRPr="00AB52EE">
        <w:rPr>
          <w:rFonts w:cs="Arial"/>
          <w:szCs w:val="24"/>
          <w:lang w:eastAsia="en-ZA"/>
        </w:rPr>
        <w:t>amongst South African legal practitioners and courts regarding that difference.</w:t>
      </w:r>
      <w:r w:rsidR="00AA6ED5" w:rsidRPr="00AB52EE">
        <w:rPr>
          <w:rFonts w:cs="Arial"/>
          <w:szCs w:val="24"/>
        </w:rPr>
        <w:t xml:space="preserve"> Furthermore, it will still be possible to impose </w:t>
      </w:r>
      <w:r w:rsidR="00AA6ED5" w:rsidRPr="00AB52EE">
        <w:rPr>
          <w:rFonts w:cs="Arial"/>
          <w:szCs w:val="24"/>
          <w:lang w:eastAsia="en-ZA"/>
        </w:rPr>
        <w:t>a censure in the form of an order for punitive costs against Supercart when the remaining reserved costs of the Anton Piller application are finally determined by the Court in the contempt application</w:t>
      </w:r>
      <w:r w:rsidR="009D67C5">
        <w:rPr>
          <w:rFonts w:cs="Arial"/>
          <w:szCs w:val="24"/>
          <w:lang w:eastAsia="en-ZA"/>
        </w:rPr>
        <w:t xml:space="preserve"> should it be found that the Anton Piller order was improperly obtained</w:t>
      </w:r>
      <w:r w:rsidR="00AA6ED5" w:rsidRPr="00AB52EE">
        <w:rPr>
          <w:rFonts w:cs="Arial"/>
          <w:szCs w:val="24"/>
          <w:lang w:eastAsia="en-ZA"/>
        </w:rPr>
        <w:t>.</w:t>
      </w:r>
      <w:r w:rsidR="00AA6ED5" w:rsidRPr="00AB52EE">
        <w:rPr>
          <w:rStyle w:val="FootnoteReference"/>
          <w:szCs w:val="24"/>
          <w:lang w:eastAsia="en-ZA"/>
        </w:rPr>
        <w:footnoteReference w:id="85"/>
      </w:r>
    </w:p>
    <w:p w14:paraId="7EDC2F64" w14:textId="687DDE10" w:rsidR="00027BCB" w:rsidRPr="00AB52EE" w:rsidRDefault="003E0BF8" w:rsidP="00F27792">
      <w:pPr>
        <w:pStyle w:val="LC1"/>
        <w:rPr>
          <w:rFonts w:cs="Arial"/>
          <w:szCs w:val="24"/>
          <w:lang w:eastAsia="en-ZA"/>
        </w:rPr>
      </w:pPr>
      <w:r w:rsidRPr="00AB52EE">
        <w:rPr>
          <w:rFonts w:cs="Arial"/>
          <w:szCs w:val="24"/>
          <w:lang w:eastAsia="en-ZA"/>
        </w:rPr>
        <w:t xml:space="preserve">In the circumstances, </w:t>
      </w:r>
      <w:r w:rsidRPr="00AB52EE">
        <w:rPr>
          <w:rFonts w:cs="Arial"/>
          <w:szCs w:val="24"/>
        </w:rPr>
        <w:t xml:space="preserve">this is </w:t>
      </w:r>
      <w:r w:rsidR="0009728F" w:rsidRPr="00AB52EE">
        <w:rPr>
          <w:rFonts w:cs="Arial"/>
          <w:szCs w:val="24"/>
        </w:rPr>
        <w:t xml:space="preserve">not </w:t>
      </w:r>
      <w:r w:rsidR="009D67C5">
        <w:rPr>
          <w:rFonts w:cs="Arial"/>
          <w:szCs w:val="24"/>
        </w:rPr>
        <w:t xml:space="preserve">an </w:t>
      </w:r>
      <w:r w:rsidRPr="00AB52EE">
        <w:rPr>
          <w:rFonts w:cs="Arial"/>
          <w:szCs w:val="24"/>
        </w:rPr>
        <w:t xml:space="preserve">appropriate case </w:t>
      </w:r>
      <w:r w:rsidR="009D67C5">
        <w:rPr>
          <w:rFonts w:cs="Arial"/>
          <w:szCs w:val="24"/>
        </w:rPr>
        <w:t xml:space="preserve">to </w:t>
      </w:r>
      <w:r w:rsidR="0009728F" w:rsidRPr="00AB52EE">
        <w:rPr>
          <w:rFonts w:cs="Arial"/>
          <w:szCs w:val="24"/>
        </w:rPr>
        <w:t xml:space="preserve">set aside </w:t>
      </w:r>
      <w:r w:rsidR="009D67C5" w:rsidRPr="00AB52EE">
        <w:rPr>
          <w:rFonts w:cs="Arial"/>
          <w:szCs w:val="24"/>
        </w:rPr>
        <w:t xml:space="preserve">the Anton Piller order </w:t>
      </w:r>
      <w:r w:rsidR="00665CA5" w:rsidRPr="00AB52EE">
        <w:rPr>
          <w:rFonts w:cs="Arial"/>
          <w:szCs w:val="24"/>
        </w:rPr>
        <w:t xml:space="preserve">upon reconsideration </w:t>
      </w:r>
      <w:r w:rsidRPr="00AB52EE">
        <w:rPr>
          <w:rFonts w:cs="Arial"/>
          <w:szCs w:val="24"/>
        </w:rPr>
        <w:t xml:space="preserve">without considering </w:t>
      </w:r>
      <w:r w:rsidR="00665CA5" w:rsidRPr="00AB52EE">
        <w:rPr>
          <w:rFonts w:cs="Arial"/>
          <w:szCs w:val="24"/>
        </w:rPr>
        <w:t xml:space="preserve">the </w:t>
      </w:r>
      <w:r w:rsidRPr="00AB52EE">
        <w:rPr>
          <w:rFonts w:cs="Arial"/>
          <w:szCs w:val="24"/>
        </w:rPr>
        <w:t>merits</w:t>
      </w:r>
      <w:r w:rsidR="00665CA5" w:rsidRPr="00AB52EE">
        <w:rPr>
          <w:rFonts w:cs="Arial"/>
          <w:szCs w:val="24"/>
        </w:rPr>
        <w:t xml:space="preserve"> of the </w:t>
      </w:r>
      <w:r w:rsidR="00AA6ED5" w:rsidRPr="00AB52EE">
        <w:rPr>
          <w:rFonts w:cs="Arial"/>
          <w:szCs w:val="24"/>
        </w:rPr>
        <w:t>matter</w:t>
      </w:r>
      <w:r w:rsidR="00027BCB" w:rsidRPr="00AB52EE">
        <w:rPr>
          <w:rFonts w:cs="Arial"/>
          <w:szCs w:val="24"/>
        </w:rPr>
        <w:t>.</w:t>
      </w:r>
    </w:p>
    <w:p w14:paraId="5CD58395" w14:textId="156DD811" w:rsidR="002E73F3" w:rsidRPr="00AB52EE" w:rsidRDefault="00EE348B" w:rsidP="00D85020">
      <w:pPr>
        <w:pStyle w:val="LC1"/>
        <w:keepNext/>
        <w:numPr>
          <w:ilvl w:val="0"/>
          <w:numId w:val="0"/>
        </w:numPr>
        <w:rPr>
          <w:rFonts w:cs="Arial"/>
          <w:b/>
          <w:bCs/>
          <w:szCs w:val="24"/>
          <w:lang w:eastAsia="en-ZA"/>
        </w:rPr>
      </w:pPr>
      <w:r w:rsidRPr="00AB52EE">
        <w:rPr>
          <w:rFonts w:cs="Arial"/>
          <w:b/>
          <w:bCs/>
          <w:szCs w:val="24"/>
          <w:lang w:eastAsia="en-ZA"/>
        </w:rPr>
        <w:t xml:space="preserve">ALLOWING </w:t>
      </w:r>
      <w:r w:rsidR="002E73F3" w:rsidRPr="00AB52EE">
        <w:rPr>
          <w:rFonts w:cs="Arial"/>
          <w:b/>
          <w:bCs/>
          <w:szCs w:val="24"/>
          <w:lang w:eastAsia="en-ZA"/>
        </w:rPr>
        <w:t xml:space="preserve">IMMEDIATE ACCESS TO THE </w:t>
      </w:r>
      <w:r w:rsidR="00DC3014" w:rsidRPr="00AB52EE">
        <w:rPr>
          <w:rFonts w:cs="Arial"/>
          <w:b/>
          <w:bCs/>
          <w:szCs w:val="24"/>
        </w:rPr>
        <w:t>ATTACHED</w:t>
      </w:r>
      <w:r w:rsidR="00DC3014" w:rsidRPr="00AB52EE">
        <w:rPr>
          <w:rFonts w:cs="Arial"/>
          <w:szCs w:val="24"/>
        </w:rPr>
        <w:t xml:space="preserve"> </w:t>
      </w:r>
      <w:r w:rsidR="0046341C" w:rsidRPr="00AB52EE">
        <w:rPr>
          <w:rFonts w:cs="Arial"/>
          <w:b/>
          <w:bCs/>
          <w:szCs w:val="24"/>
          <w:lang w:eastAsia="en-ZA"/>
        </w:rPr>
        <w:t>ITEMS</w:t>
      </w:r>
      <w:r w:rsidR="00520264" w:rsidRPr="00AB52EE">
        <w:rPr>
          <w:rFonts w:cs="Arial"/>
          <w:b/>
          <w:bCs/>
          <w:szCs w:val="24"/>
          <w:lang w:eastAsia="en-ZA"/>
        </w:rPr>
        <w:t xml:space="preserve">: PARA 14 &amp; </w:t>
      </w:r>
      <w:r w:rsidR="00D21ED8" w:rsidRPr="00AB52EE">
        <w:rPr>
          <w:rFonts w:cs="Arial"/>
          <w:b/>
          <w:bCs/>
          <w:szCs w:val="24"/>
        </w:rPr>
        <w:t>15</w:t>
      </w:r>
      <w:r w:rsidR="00D21ED8" w:rsidRPr="00AB52EE">
        <w:rPr>
          <w:rFonts w:cs="Arial"/>
          <w:b/>
          <w:bCs/>
          <w:i/>
          <w:iCs/>
          <w:szCs w:val="24"/>
        </w:rPr>
        <w:t>bis</w:t>
      </w:r>
      <w:r w:rsidR="002E73F3" w:rsidRPr="00AB52EE">
        <w:rPr>
          <w:rFonts w:cs="Arial"/>
          <w:b/>
          <w:bCs/>
          <w:szCs w:val="24"/>
          <w:lang w:eastAsia="en-ZA"/>
        </w:rPr>
        <w:t xml:space="preserve"> </w:t>
      </w:r>
    </w:p>
    <w:p w14:paraId="4A1D110B" w14:textId="31A70BC8" w:rsidR="007E2A19" w:rsidRPr="00AB52EE" w:rsidRDefault="00665CA5" w:rsidP="007A27ED">
      <w:pPr>
        <w:pStyle w:val="LC1"/>
        <w:rPr>
          <w:rFonts w:cs="Arial"/>
          <w:szCs w:val="24"/>
        </w:rPr>
      </w:pPr>
      <w:r w:rsidRPr="00AB52EE">
        <w:rPr>
          <w:rFonts w:cs="Arial"/>
          <w:szCs w:val="24"/>
          <w:lang w:eastAsia="en-ZA"/>
        </w:rPr>
        <w:t xml:space="preserve">The respondents </w:t>
      </w:r>
      <w:r w:rsidR="002E73F3" w:rsidRPr="00AB52EE">
        <w:rPr>
          <w:rFonts w:cs="Arial"/>
          <w:szCs w:val="24"/>
          <w:lang w:eastAsia="en-ZA"/>
        </w:rPr>
        <w:t xml:space="preserve">challenge paragraph </w:t>
      </w:r>
      <w:r w:rsidR="00D21ED8" w:rsidRPr="00AB52EE">
        <w:rPr>
          <w:rFonts w:cs="Arial"/>
          <w:szCs w:val="24"/>
        </w:rPr>
        <w:t>15</w:t>
      </w:r>
      <w:r w:rsidR="00D21ED8" w:rsidRPr="00AB52EE">
        <w:rPr>
          <w:rFonts w:cs="Arial"/>
          <w:i/>
          <w:iCs/>
          <w:szCs w:val="24"/>
        </w:rPr>
        <w:t>bis</w:t>
      </w:r>
      <w:r w:rsidR="002E73F3" w:rsidRPr="00AB52EE">
        <w:rPr>
          <w:rFonts w:cs="Arial"/>
          <w:szCs w:val="24"/>
          <w:lang w:eastAsia="en-ZA"/>
        </w:rPr>
        <w:t xml:space="preserve"> of the order</w:t>
      </w:r>
      <w:r w:rsidR="006147CA">
        <w:rPr>
          <w:rFonts w:cs="Arial"/>
          <w:szCs w:val="24"/>
          <w:lang w:eastAsia="en-ZA"/>
        </w:rPr>
        <w:t>,</w:t>
      </w:r>
      <w:r w:rsidR="002E73F3" w:rsidRPr="00AB52EE">
        <w:rPr>
          <w:rFonts w:cs="Arial"/>
          <w:szCs w:val="24"/>
          <w:lang w:eastAsia="en-ZA"/>
        </w:rPr>
        <w:t xml:space="preserve"> which </w:t>
      </w:r>
      <w:r w:rsidR="007E2A19" w:rsidRPr="00AB52EE">
        <w:rPr>
          <w:rFonts w:cs="Arial"/>
          <w:szCs w:val="24"/>
          <w:lang w:eastAsia="en-ZA"/>
        </w:rPr>
        <w:t xml:space="preserve">they correctly characterise </w:t>
      </w:r>
      <w:r w:rsidR="002E73F3" w:rsidRPr="00AB52EE">
        <w:rPr>
          <w:rFonts w:cs="Arial"/>
          <w:szCs w:val="24"/>
          <w:lang w:eastAsia="en-ZA"/>
        </w:rPr>
        <w:t xml:space="preserve">as allowing for the </w:t>
      </w:r>
      <w:r w:rsidR="002E73F3" w:rsidRPr="00AB52EE">
        <w:rPr>
          <w:rFonts w:cs="Arial"/>
          <w:szCs w:val="24"/>
        </w:rPr>
        <w:t>immediate access to documents upon the filing of the Sheriffs</w:t>
      </w:r>
      <w:r w:rsidR="005279F3" w:rsidRPr="00AB52EE">
        <w:rPr>
          <w:rFonts w:cs="Arial"/>
          <w:szCs w:val="24"/>
        </w:rPr>
        <w:t>’</w:t>
      </w:r>
      <w:r w:rsidR="002E73F3" w:rsidRPr="00AB52EE">
        <w:rPr>
          <w:rFonts w:cs="Arial"/>
          <w:szCs w:val="24"/>
        </w:rPr>
        <w:t xml:space="preserve"> inventor</w:t>
      </w:r>
      <w:r w:rsidR="005279F3" w:rsidRPr="00AB52EE">
        <w:rPr>
          <w:rFonts w:cs="Arial"/>
          <w:szCs w:val="24"/>
        </w:rPr>
        <w:t>ies</w:t>
      </w:r>
      <w:r w:rsidR="002E73F3" w:rsidRPr="00AB52EE">
        <w:rPr>
          <w:rFonts w:cs="Arial"/>
          <w:szCs w:val="24"/>
        </w:rPr>
        <w:t>.</w:t>
      </w:r>
      <w:r w:rsidR="00566F32" w:rsidRPr="00AB52EE">
        <w:rPr>
          <w:rStyle w:val="FootnoteReference"/>
          <w:szCs w:val="24"/>
        </w:rPr>
        <w:t xml:space="preserve"> </w:t>
      </w:r>
      <w:r w:rsidR="00C32BC2" w:rsidRPr="00AB52EE">
        <w:rPr>
          <w:rFonts w:cs="Arial"/>
          <w:szCs w:val="24"/>
        </w:rPr>
        <w:t xml:space="preserve">Although </w:t>
      </w:r>
      <w:r w:rsidR="00DE7F1D" w:rsidRPr="00AB52EE">
        <w:rPr>
          <w:rFonts w:cs="Arial"/>
          <w:szCs w:val="24"/>
        </w:rPr>
        <w:t xml:space="preserve">it is not </w:t>
      </w:r>
      <w:r w:rsidR="00C32BC2" w:rsidRPr="00AB52EE">
        <w:rPr>
          <w:rFonts w:cs="Arial"/>
          <w:szCs w:val="24"/>
        </w:rPr>
        <w:t xml:space="preserve">expressly </w:t>
      </w:r>
      <w:r w:rsidR="00DE7F1D" w:rsidRPr="00AB52EE">
        <w:rPr>
          <w:rFonts w:cs="Arial"/>
          <w:szCs w:val="24"/>
        </w:rPr>
        <w:t>challenged on this basis</w:t>
      </w:r>
      <w:r w:rsidR="00C32BC2" w:rsidRPr="00AB52EE">
        <w:rPr>
          <w:rFonts w:cs="Arial"/>
          <w:szCs w:val="24"/>
        </w:rPr>
        <w:t>, the second sentence of paragraph 14, if invoked</w:t>
      </w:r>
      <w:r w:rsidR="009934EE" w:rsidRPr="00AB52EE">
        <w:rPr>
          <w:rFonts w:cs="Arial"/>
          <w:szCs w:val="24"/>
        </w:rPr>
        <w:t xml:space="preserve"> to the letter</w:t>
      </w:r>
      <w:r w:rsidR="00C32BC2" w:rsidRPr="00AB52EE">
        <w:rPr>
          <w:rFonts w:cs="Arial"/>
          <w:szCs w:val="24"/>
        </w:rPr>
        <w:t xml:space="preserve">, </w:t>
      </w:r>
      <w:r w:rsidR="00D041D7" w:rsidRPr="00AB52EE">
        <w:rPr>
          <w:rFonts w:cs="Arial"/>
          <w:szCs w:val="24"/>
        </w:rPr>
        <w:t xml:space="preserve">could </w:t>
      </w:r>
      <w:r w:rsidR="006147CA">
        <w:rPr>
          <w:rFonts w:cs="Arial"/>
          <w:szCs w:val="24"/>
        </w:rPr>
        <w:t xml:space="preserve">in my view </w:t>
      </w:r>
      <w:r w:rsidR="00D041D7" w:rsidRPr="00AB52EE">
        <w:rPr>
          <w:rFonts w:cs="Arial"/>
          <w:szCs w:val="24"/>
        </w:rPr>
        <w:lastRenderedPageBreak/>
        <w:t xml:space="preserve">have </w:t>
      </w:r>
      <w:r w:rsidR="00C32BC2" w:rsidRPr="00AB52EE">
        <w:rPr>
          <w:rFonts w:cs="Arial"/>
          <w:szCs w:val="24"/>
        </w:rPr>
        <w:t>result</w:t>
      </w:r>
      <w:r w:rsidR="00D041D7" w:rsidRPr="00AB52EE">
        <w:rPr>
          <w:rFonts w:cs="Arial"/>
          <w:szCs w:val="24"/>
        </w:rPr>
        <w:t>ed</w:t>
      </w:r>
      <w:r w:rsidR="00C32BC2" w:rsidRPr="00AB52EE">
        <w:rPr>
          <w:rFonts w:cs="Arial"/>
          <w:szCs w:val="24"/>
        </w:rPr>
        <w:t xml:space="preserve"> in a similar situation</w:t>
      </w:r>
      <w:r w:rsidR="00D041D7" w:rsidRPr="00AB52EE">
        <w:rPr>
          <w:rFonts w:cs="Arial"/>
          <w:szCs w:val="24"/>
        </w:rPr>
        <w:t>, and indeed it appears from the founding affidavit that this was what was intended.</w:t>
      </w:r>
    </w:p>
    <w:p w14:paraId="3A8863D1" w14:textId="0A5DEA03" w:rsidR="00AA6ED5" w:rsidRPr="00BC3EC9" w:rsidRDefault="0068645D" w:rsidP="00465834">
      <w:pPr>
        <w:pStyle w:val="LC1"/>
        <w:rPr>
          <w:rFonts w:cs="Arial"/>
          <w:szCs w:val="24"/>
        </w:rPr>
      </w:pPr>
      <w:r w:rsidRPr="00BC3EC9">
        <w:rPr>
          <w:rFonts w:cs="Arial"/>
          <w:szCs w:val="24"/>
        </w:rPr>
        <w:t xml:space="preserve">While I am bound to set aside or vary these aspects of the order upon reconsideration in </w:t>
      </w:r>
      <w:r w:rsidR="00055919" w:rsidRPr="00BC3EC9">
        <w:rPr>
          <w:rFonts w:cs="Arial"/>
          <w:szCs w:val="24"/>
        </w:rPr>
        <w:t xml:space="preserve">view of </w:t>
      </w:r>
      <w:r w:rsidR="00AA6ED5" w:rsidRPr="00BC3EC9">
        <w:rPr>
          <w:rFonts w:cs="Arial"/>
          <w:szCs w:val="24"/>
        </w:rPr>
        <w:t xml:space="preserve">the SCA’s decision in </w:t>
      </w:r>
      <w:r w:rsidR="00AA6ED5" w:rsidRPr="00BC3EC9">
        <w:rPr>
          <w:rFonts w:cs="Arial"/>
          <w:i/>
          <w:iCs/>
          <w:szCs w:val="24"/>
        </w:rPr>
        <w:t>Memory Institute</w:t>
      </w:r>
      <w:r w:rsidR="00AA6ED5" w:rsidRPr="00BC3EC9">
        <w:rPr>
          <w:rFonts w:cs="Arial"/>
          <w:szCs w:val="24"/>
        </w:rPr>
        <w:t xml:space="preserve"> discussed above,</w:t>
      </w:r>
      <w:r w:rsidR="00BC3EC9">
        <w:rPr>
          <w:rStyle w:val="FootnoteReference"/>
        </w:rPr>
        <w:footnoteReference w:id="86"/>
      </w:r>
      <w:r w:rsidR="00BC3EC9" w:rsidRPr="00BC3EC9">
        <w:rPr>
          <w:rFonts w:cs="Arial"/>
          <w:szCs w:val="24"/>
        </w:rPr>
        <w:t xml:space="preserve"> </w:t>
      </w:r>
      <w:r w:rsidR="00AA6ED5" w:rsidRPr="00BC3EC9">
        <w:rPr>
          <w:rFonts w:cs="Arial"/>
          <w:szCs w:val="24"/>
        </w:rPr>
        <w:t xml:space="preserve">I do not think </w:t>
      </w:r>
      <w:r w:rsidRPr="00BC3EC9">
        <w:rPr>
          <w:rFonts w:cs="Arial"/>
          <w:szCs w:val="24"/>
        </w:rPr>
        <w:t xml:space="preserve">it necessary to </w:t>
      </w:r>
      <w:r w:rsidR="00AA6ED5" w:rsidRPr="00BC3EC9">
        <w:rPr>
          <w:rFonts w:cs="Arial"/>
          <w:szCs w:val="24"/>
        </w:rPr>
        <w:t xml:space="preserve">set aside </w:t>
      </w:r>
      <w:r w:rsidRPr="00BC3EC9">
        <w:rPr>
          <w:rFonts w:cs="Arial"/>
          <w:szCs w:val="24"/>
        </w:rPr>
        <w:t xml:space="preserve">the Anton Piller order </w:t>
      </w:r>
      <w:r w:rsidR="00AA6ED5" w:rsidRPr="00BC3EC9">
        <w:rPr>
          <w:rFonts w:cs="Arial"/>
          <w:szCs w:val="24"/>
        </w:rPr>
        <w:t>in its entirety</w:t>
      </w:r>
      <w:r w:rsidR="006147CA">
        <w:rPr>
          <w:rFonts w:cs="Arial"/>
          <w:szCs w:val="24"/>
        </w:rPr>
        <w:t xml:space="preserve"> for this reason in the current matter</w:t>
      </w:r>
      <w:r w:rsidR="00AA6ED5" w:rsidRPr="00BC3EC9">
        <w:rPr>
          <w:rFonts w:cs="Arial"/>
          <w:szCs w:val="24"/>
        </w:rPr>
        <w:t xml:space="preserve">. </w:t>
      </w:r>
    </w:p>
    <w:p w14:paraId="6A0634E8" w14:textId="005CCB4A" w:rsidR="00483098" w:rsidRPr="00AB52EE" w:rsidRDefault="00C50F13" w:rsidP="00441F9C">
      <w:pPr>
        <w:pStyle w:val="LC1"/>
        <w:rPr>
          <w:rFonts w:cs="Arial"/>
          <w:szCs w:val="24"/>
        </w:rPr>
      </w:pPr>
      <w:r w:rsidRPr="00AB52EE">
        <w:rPr>
          <w:rFonts w:cs="Arial"/>
          <w:szCs w:val="24"/>
          <w:lang w:eastAsia="en-ZA"/>
        </w:rPr>
        <w:t>A</w:t>
      </w:r>
      <w:r w:rsidR="00483098" w:rsidRPr="00AB52EE">
        <w:rPr>
          <w:rFonts w:cs="Arial"/>
          <w:szCs w:val="24"/>
          <w:lang w:eastAsia="en-ZA"/>
        </w:rPr>
        <w:t>s a result of the sensible intervention of Wright J in the variation application</w:t>
      </w:r>
      <w:r w:rsidRPr="00AB52EE">
        <w:rPr>
          <w:rFonts w:cs="Arial"/>
          <w:szCs w:val="24"/>
          <w:lang w:eastAsia="en-ZA"/>
        </w:rPr>
        <w:t>,</w:t>
      </w:r>
      <w:r w:rsidR="00483098" w:rsidRPr="00AB52EE">
        <w:rPr>
          <w:rFonts w:cs="Arial"/>
          <w:szCs w:val="24"/>
          <w:lang w:eastAsia="en-ZA"/>
        </w:rPr>
        <w:t xml:space="preserve"> paragraph 15</w:t>
      </w:r>
      <w:r w:rsidR="00483098" w:rsidRPr="00AB52EE">
        <w:rPr>
          <w:rFonts w:cs="Arial"/>
          <w:i/>
          <w:iCs/>
          <w:szCs w:val="24"/>
          <w:lang w:eastAsia="en-ZA"/>
        </w:rPr>
        <w:t>bis</w:t>
      </w:r>
      <w:r w:rsidR="00483098" w:rsidRPr="00AB52EE">
        <w:rPr>
          <w:rFonts w:cs="Arial"/>
          <w:szCs w:val="24"/>
          <w:lang w:eastAsia="en-ZA"/>
        </w:rPr>
        <w:t xml:space="preserve"> has not been </w:t>
      </w:r>
      <w:r w:rsidR="0046341C" w:rsidRPr="00AB52EE">
        <w:rPr>
          <w:rFonts w:cs="Arial"/>
          <w:szCs w:val="24"/>
          <w:lang w:eastAsia="en-ZA"/>
        </w:rPr>
        <w:t>executed</w:t>
      </w:r>
      <w:r w:rsidR="00483098" w:rsidRPr="00AB52EE">
        <w:rPr>
          <w:rFonts w:cs="Arial"/>
          <w:szCs w:val="24"/>
          <w:lang w:eastAsia="en-ZA"/>
        </w:rPr>
        <w:t xml:space="preserve">, and </w:t>
      </w:r>
      <w:r w:rsidR="0046341C" w:rsidRPr="00AB52EE">
        <w:rPr>
          <w:rFonts w:cs="Arial"/>
          <w:szCs w:val="24"/>
          <w:lang w:eastAsia="en-ZA"/>
        </w:rPr>
        <w:t xml:space="preserve">Supercart </w:t>
      </w:r>
      <w:r w:rsidR="00483098" w:rsidRPr="00AB52EE">
        <w:rPr>
          <w:rFonts w:cs="Arial"/>
          <w:szCs w:val="24"/>
          <w:lang w:eastAsia="en-ZA"/>
        </w:rPr>
        <w:t xml:space="preserve">has not been able to inspect </w:t>
      </w:r>
      <w:r w:rsidR="00DC3014" w:rsidRPr="00AB52EE">
        <w:rPr>
          <w:rFonts w:cs="Arial"/>
          <w:szCs w:val="24"/>
          <w:lang w:eastAsia="en-ZA"/>
        </w:rPr>
        <w:t xml:space="preserve">or copy </w:t>
      </w:r>
      <w:r w:rsidR="00483098" w:rsidRPr="00AB52EE">
        <w:rPr>
          <w:rFonts w:cs="Arial"/>
          <w:szCs w:val="24"/>
          <w:lang w:eastAsia="en-ZA"/>
        </w:rPr>
        <w:t xml:space="preserve">the </w:t>
      </w:r>
      <w:r w:rsidR="00DC3014" w:rsidRPr="00AB52EE">
        <w:rPr>
          <w:rFonts w:cs="Arial"/>
          <w:szCs w:val="24"/>
        </w:rPr>
        <w:t xml:space="preserve">attached </w:t>
      </w:r>
      <w:r w:rsidR="0046341C" w:rsidRPr="00AB52EE">
        <w:rPr>
          <w:rFonts w:cs="Arial"/>
          <w:szCs w:val="24"/>
          <w:lang w:eastAsia="en-ZA"/>
        </w:rPr>
        <w:t>items</w:t>
      </w:r>
      <w:r w:rsidR="00483098" w:rsidRPr="00AB52EE">
        <w:rPr>
          <w:rFonts w:cs="Arial"/>
          <w:szCs w:val="24"/>
          <w:lang w:eastAsia="en-ZA"/>
        </w:rPr>
        <w:t>.</w:t>
      </w:r>
      <w:r w:rsidR="00AA6ED5" w:rsidRPr="00AB52EE">
        <w:rPr>
          <w:rFonts w:cs="Arial"/>
          <w:szCs w:val="24"/>
          <w:lang w:eastAsia="en-ZA"/>
        </w:rPr>
        <w:t xml:space="preserve"> </w:t>
      </w:r>
      <w:r w:rsidR="00483098" w:rsidRPr="00AB52EE">
        <w:rPr>
          <w:rFonts w:cs="Arial"/>
          <w:szCs w:val="24"/>
        </w:rPr>
        <w:t xml:space="preserve">As for the second sentence in paragraph 14, Mr Case </w:t>
      </w:r>
      <w:r w:rsidR="00483098" w:rsidRPr="00AB52EE">
        <w:rPr>
          <w:rFonts w:cs="Arial"/>
          <w:szCs w:val="24"/>
          <w:lang w:eastAsia="en-ZA"/>
        </w:rPr>
        <w:t xml:space="preserve">alleges </w:t>
      </w:r>
      <w:r w:rsidR="00483098" w:rsidRPr="00AB52EE">
        <w:rPr>
          <w:rFonts w:cs="Arial"/>
          <w:szCs w:val="24"/>
        </w:rPr>
        <w:t xml:space="preserve">in his answering affidavit </w:t>
      </w:r>
      <w:r w:rsidR="00483098" w:rsidRPr="00AB52EE">
        <w:rPr>
          <w:rFonts w:cs="Arial"/>
          <w:szCs w:val="24"/>
          <w:lang w:eastAsia="en-ZA"/>
        </w:rPr>
        <w:t>that the assisting attorneys “</w:t>
      </w:r>
      <w:r w:rsidR="00483098" w:rsidRPr="00AB52EE">
        <w:rPr>
          <w:rFonts w:cs="Arial"/>
          <w:szCs w:val="24"/>
        </w:rPr>
        <w:t xml:space="preserve">fulfilled the role of a device to extend the arm of </w:t>
      </w:r>
      <w:r w:rsidR="00720427">
        <w:rPr>
          <w:rFonts w:cs="Arial"/>
          <w:szCs w:val="24"/>
        </w:rPr>
        <w:t xml:space="preserve">[Supercart] </w:t>
      </w:r>
      <w:r w:rsidR="00483098" w:rsidRPr="00AB52EE">
        <w:rPr>
          <w:rFonts w:cs="Arial"/>
          <w:szCs w:val="24"/>
        </w:rPr>
        <w:t>and its attorney such that they participated in the search”.</w:t>
      </w:r>
      <w:r w:rsidR="00AA6ED5" w:rsidRPr="00AB52EE">
        <w:rPr>
          <w:rStyle w:val="FootnoteReference"/>
          <w:szCs w:val="24"/>
        </w:rPr>
        <w:t xml:space="preserve"> </w:t>
      </w:r>
      <w:r w:rsidR="00483098" w:rsidRPr="00AB52EE">
        <w:rPr>
          <w:rFonts w:cs="Arial"/>
          <w:szCs w:val="24"/>
        </w:rPr>
        <w:t xml:space="preserve">He refers in particular to various portions of the affidavits of the supervising attorneys which record instances where </w:t>
      </w:r>
      <w:r w:rsidR="00720427">
        <w:rPr>
          <w:rFonts w:cs="Arial"/>
          <w:szCs w:val="24"/>
        </w:rPr>
        <w:t xml:space="preserve">Supercart’s </w:t>
      </w:r>
      <w:r w:rsidR="00483098" w:rsidRPr="00AB52EE">
        <w:rPr>
          <w:rFonts w:cs="Arial"/>
          <w:szCs w:val="24"/>
        </w:rPr>
        <w:t xml:space="preserve">attorneys were contacted during the search by the assisting attorneys. </w:t>
      </w:r>
      <w:r w:rsidR="00AA6ED5" w:rsidRPr="00AB52EE">
        <w:rPr>
          <w:rFonts w:cs="Arial"/>
          <w:szCs w:val="24"/>
        </w:rPr>
        <w:t xml:space="preserve">Having </w:t>
      </w:r>
      <w:r w:rsidR="00483098" w:rsidRPr="00AB52EE">
        <w:rPr>
          <w:rFonts w:cs="Arial"/>
          <w:szCs w:val="24"/>
        </w:rPr>
        <w:t xml:space="preserve">considered these carefully, </w:t>
      </w:r>
      <w:r w:rsidR="00E2330F" w:rsidRPr="00AB52EE">
        <w:rPr>
          <w:rFonts w:cs="Arial"/>
          <w:szCs w:val="24"/>
        </w:rPr>
        <w:t xml:space="preserve">I am of the view </w:t>
      </w:r>
      <w:r w:rsidR="00483098" w:rsidRPr="00AB52EE">
        <w:rPr>
          <w:rFonts w:cs="Arial"/>
          <w:szCs w:val="24"/>
        </w:rPr>
        <w:t xml:space="preserve">that none of </w:t>
      </w:r>
      <w:r w:rsidR="00E2330F" w:rsidRPr="00AB52EE">
        <w:rPr>
          <w:rFonts w:cs="Arial"/>
          <w:szCs w:val="24"/>
        </w:rPr>
        <w:t xml:space="preserve">them shows </w:t>
      </w:r>
      <w:r w:rsidR="00483098" w:rsidRPr="00AB52EE">
        <w:rPr>
          <w:rFonts w:cs="Arial"/>
          <w:szCs w:val="24"/>
        </w:rPr>
        <w:t xml:space="preserve">that </w:t>
      </w:r>
      <w:r w:rsidR="00E2330F" w:rsidRPr="00AB52EE">
        <w:rPr>
          <w:rFonts w:cs="Arial"/>
          <w:szCs w:val="24"/>
        </w:rPr>
        <w:t xml:space="preserve">any of the contents of </w:t>
      </w:r>
      <w:r w:rsidR="00483098" w:rsidRPr="00AB52EE">
        <w:rPr>
          <w:rFonts w:cs="Arial"/>
          <w:szCs w:val="24"/>
        </w:rPr>
        <w:t xml:space="preserve">the </w:t>
      </w:r>
      <w:r w:rsidR="0046341C" w:rsidRPr="00AB52EE">
        <w:rPr>
          <w:rFonts w:cs="Arial"/>
          <w:szCs w:val="24"/>
        </w:rPr>
        <w:t xml:space="preserve">items </w:t>
      </w:r>
      <w:r w:rsidR="00483098" w:rsidRPr="00AB52EE">
        <w:rPr>
          <w:rFonts w:cs="Arial"/>
          <w:szCs w:val="24"/>
        </w:rPr>
        <w:t xml:space="preserve">found in the search (whether </w:t>
      </w:r>
      <w:r w:rsidR="00DC3014" w:rsidRPr="00AB52EE">
        <w:rPr>
          <w:rFonts w:cs="Arial"/>
          <w:szCs w:val="24"/>
        </w:rPr>
        <w:t xml:space="preserve">attached </w:t>
      </w:r>
      <w:r w:rsidR="00483098" w:rsidRPr="00AB52EE">
        <w:rPr>
          <w:rFonts w:cs="Arial"/>
          <w:szCs w:val="24"/>
        </w:rPr>
        <w:t xml:space="preserve">or not) </w:t>
      </w:r>
      <w:r w:rsidR="00E2330F" w:rsidRPr="00AB52EE">
        <w:rPr>
          <w:rFonts w:cs="Arial"/>
          <w:szCs w:val="24"/>
        </w:rPr>
        <w:t xml:space="preserve">were </w:t>
      </w:r>
      <w:r w:rsidR="00483098" w:rsidRPr="00AB52EE">
        <w:rPr>
          <w:rFonts w:cs="Arial"/>
          <w:szCs w:val="24"/>
        </w:rPr>
        <w:t xml:space="preserve">disclosed to </w:t>
      </w:r>
      <w:r w:rsidR="0046341C" w:rsidRPr="00AB52EE">
        <w:rPr>
          <w:rFonts w:cs="Arial"/>
          <w:szCs w:val="24"/>
        </w:rPr>
        <w:t xml:space="preserve">Supercart’s </w:t>
      </w:r>
      <w:r w:rsidR="00483098" w:rsidRPr="00AB52EE">
        <w:rPr>
          <w:rFonts w:cs="Arial"/>
          <w:szCs w:val="24"/>
        </w:rPr>
        <w:t xml:space="preserve">attorneys – the discussions referred to were about practical matters relating to the manner of the search, not its </w:t>
      </w:r>
      <w:r w:rsidR="0046341C" w:rsidRPr="00AB52EE">
        <w:rPr>
          <w:rFonts w:cs="Arial"/>
          <w:szCs w:val="24"/>
        </w:rPr>
        <w:t>‘</w:t>
      </w:r>
      <w:r w:rsidR="00483098" w:rsidRPr="00AB52EE">
        <w:rPr>
          <w:rFonts w:cs="Arial"/>
          <w:szCs w:val="24"/>
        </w:rPr>
        <w:t>fruits</w:t>
      </w:r>
      <w:r w:rsidR="0046341C" w:rsidRPr="00AB52EE">
        <w:rPr>
          <w:rFonts w:cs="Arial"/>
          <w:szCs w:val="24"/>
        </w:rPr>
        <w:t>’</w:t>
      </w:r>
      <w:r w:rsidR="00483098" w:rsidRPr="00AB52EE">
        <w:rPr>
          <w:rFonts w:cs="Arial"/>
          <w:szCs w:val="24"/>
        </w:rPr>
        <w:t xml:space="preserve">. The assisting attorney (who has direct knowledge of what happened) expressly states on affidavit that she “did not disclose the contents of any items found during the course of the execution of the </w:t>
      </w:r>
      <w:r w:rsidR="006147CA">
        <w:rPr>
          <w:rFonts w:cs="Arial"/>
          <w:szCs w:val="24"/>
        </w:rPr>
        <w:t>o</w:t>
      </w:r>
      <w:r w:rsidR="00483098" w:rsidRPr="00AB52EE">
        <w:rPr>
          <w:rFonts w:cs="Arial"/>
          <w:szCs w:val="24"/>
        </w:rPr>
        <w:t>rder to any representative of [</w:t>
      </w:r>
      <w:r w:rsidR="00720427">
        <w:rPr>
          <w:rFonts w:cs="Arial"/>
          <w:szCs w:val="24"/>
        </w:rPr>
        <w:t>Supercart]</w:t>
      </w:r>
      <w:r w:rsidR="00483098" w:rsidRPr="00AB52EE">
        <w:rPr>
          <w:rFonts w:cs="Arial"/>
          <w:szCs w:val="24"/>
        </w:rPr>
        <w:t xml:space="preserve">”. The only response that Mr Case </w:t>
      </w:r>
      <w:r w:rsidR="006147CA">
        <w:rPr>
          <w:rFonts w:cs="Arial"/>
          <w:szCs w:val="24"/>
        </w:rPr>
        <w:t xml:space="preserve">has been </w:t>
      </w:r>
      <w:r w:rsidR="00483098" w:rsidRPr="00AB52EE">
        <w:rPr>
          <w:rFonts w:cs="Arial"/>
          <w:szCs w:val="24"/>
        </w:rPr>
        <w:t xml:space="preserve">able </w:t>
      </w:r>
      <w:r w:rsidR="00483098" w:rsidRPr="00AB52EE">
        <w:rPr>
          <w:rFonts w:cs="Arial"/>
          <w:szCs w:val="24"/>
        </w:rPr>
        <w:lastRenderedPageBreak/>
        <w:t xml:space="preserve">to muster in his further affidavit </w:t>
      </w:r>
      <w:r w:rsidR="00E2330F" w:rsidRPr="00AB52EE">
        <w:rPr>
          <w:rFonts w:cs="Arial"/>
          <w:szCs w:val="24"/>
        </w:rPr>
        <w:t xml:space="preserve">in response to this clear factual allegation </w:t>
      </w:r>
      <w:r w:rsidR="006147CA">
        <w:rPr>
          <w:rFonts w:cs="Arial"/>
          <w:szCs w:val="24"/>
        </w:rPr>
        <w:t xml:space="preserve">is </w:t>
      </w:r>
      <w:r w:rsidR="00483098" w:rsidRPr="00AB52EE">
        <w:rPr>
          <w:rFonts w:cs="Arial"/>
          <w:szCs w:val="24"/>
        </w:rPr>
        <w:t>the vague speculation that “no meaningful conversations could have happened without a discussion of what was being looked at and found”.</w:t>
      </w:r>
      <w:r w:rsidR="00E2330F" w:rsidRPr="00AB52EE">
        <w:rPr>
          <w:rFonts w:cs="Arial"/>
          <w:szCs w:val="24"/>
        </w:rPr>
        <w:t xml:space="preserve"> This is insufficient to raise a material dispute of fact. </w:t>
      </w:r>
      <w:r w:rsidR="00483098" w:rsidRPr="00AB52EE">
        <w:rPr>
          <w:rFonts w:cs="Arial"/>
          <w:szCs w:val="24"/>
        </w:rPr>
        <w:t xml:space="preserve">The </w:t>
      </w:r>
      <w:r w:rsidR="00E2330F" w:rsidRPr="00AB52EE">
        <w:rPr>
          <w:rFonts w:cs="Arial"/>
          <w:szCs w:val="24"/>
        </w:rPr>
        <w:t xml:space="preserve">further </w:t>
      </w:r>
      <w:r w:rsidR="00483098" w:rsidRPr="00AB52EE">
        <w:rPr>
          <w:rFonts w:cs="Arial"/>
          <w:szCs w:val="24"/>
        </w:rPr>
        <w:t xml:space="preserve">allegations in paragraph 39 of Mr Case’s answering affidavit are similarly speculative, and paragraph 40 is </w:t>
      </w:r>
      <w:r w:rsidR="00E2330F" w:rsidRPr="00AB52EE">
        <w:rPr>
          <w:rFonts w:cs="Arial"/>
          <w:szCs w:val="24"/>
        </w:rPr>
        <w:t xml:space="preserve">unsustainable given that </w:t>
      </w:r>
      <w:r w:rsidR="00566F32" w:rsidRPr="00AB52EE">
        <w:rPr>
          <w:rFonts w:cs="Arial"/>
          <w:szCs w:val="24"/>
        </w:rPr>
        <w:t xml:space="preserve">(as I find below) </w:t>
      </w:r>
      <w:r w:rsidR="00E2330F" w:rsidRPr="00AB52EE">
        <w:rPr>
          <w:rFonts w:cs="Arial"/>
          <w:szCs w:val="24"/>
        </w:rPr>
        <w:t xml:space="preserve">Mr </w:t>
      </w:r>
      <w:r w:rsidR="00483098" w:rsidRPr="00AB52EE">
        <w:rPr>
          <w:rFonts w:cs="Arial"/>
          <w:szCs w:val="24"/>
        </w:rPr>
        <w:t xml:space="preserve">Case </w:t>
      </w:r>
      <w:r w:rsidR="00E2330F" w:rsidRPr="00AB52EE">
        <w:rPr>
          <w:rFonts w:cs="Arial"/>
          <w:szCs w:val="24"/>
        </w:rPr>
        <w:t xml:space="preserve">makes no allegation that the physical documents attached pursuant to the search at Vanesco’s business premises and inventorised by the Sheriff do not constitute </w:t>
      </w:r>
      <w:r w:rsidR="00483098" w:rsidRPr="00AB52EE">
        <w:rPr>
          <w:rFonts w:cs="Arial"/>
          <w:szCs w:val="24"/>
        </w:rPr>
        <w:t>“relevant evidence”</w:t>
      </w:r>
      <w:r w:rsidR="00E2330F" w:rsidRPr="00AB52EE">
        <w:rPr>
          <w:rFonts w:cs="Arial"/>
          <w:szCs w:val="24"/>
        </w:rPr>
        <w:t xml:space="preserve"> within what I conclude below to be the legitimate scope of the order</w:t>
      </w:r>
      <w:r w:rsidR="00483098" w:rsidRPr="00AB52EE">
        <w:rPr>
          <w:rFonts w:cs="Arial"/>
          <w:szCs w:val="24"/>
        </w:rPr>
        <w:t>.</w:t>
      </w:r>
    </w:p>
    <w:p w14:paraId="423FEF63" w14:textId="5C721F24" w:rsidR="00B91375" w:rsidRPr="00AB52EE" w:rsidRDefault="00E2330F" w:rsidP="007A27ED">
      <w:pPr>
        <w:pStyle w:val="LC1"/>
        <w:rPr>
          <w:rFonts w:cs="Arial"/>
          <w:szCs w:val="24"/>
        </w:rPr>
      </w:pPr>
      <w:r w:rsidRPr="00AB52EE">
        <w:rPr>
          <w:rFonts w:cs="Arial"/>
          <w:szCs w:val="24"/>
          <w:lang w:eastAsia="en-ZA"/>
        </w:rPr>
        <w:t>With regard to the specific relief, p</w:t>
      </w:r>
      <w:r w:rsidR="00B91375" w:rsidRPr="00AB52EE">
        <w:rPr>
          <w:rFonts w:cs="Arial"/>
          <w:szCs w:val="24"/>
          <w:lang w:eastAsia="en-ZA"/>
        </w:rPr>
        <w:t xml:space="preserve">aragraph </w:t>
      </w:r>
      <w:r w:rsidR="00D21ED8" w:rsidRPr="00AB52EE">
        <w:rPr>
          <w:rFonts w:cs="Arial"/>
          <w:szCs w:val="24"/>
        </w:rPr>
        <w:t>15</w:t>
      </w:r>
      <w:r w:rsidR="00D21ED8" w:rsidRPr="00AB52EE">
        <w:rPr>
          <w:rFonts w:cs="Arial"/>
          <w:i/>
          <w:iCs/>
          <w:szCs w:val="24"/>
        </w:rPr>
        <w:t>bis</w:t>
      </w:r>
      <w:r w:rsidR="00B91375" w:rsidRPr="00AB52EE">
        <w:rPr>
          <w:rFonts w:cs="Arial"/>
          <w:szCs w:val="24"/>
          <w:lang w:eastAsia="en-ZA"/>
        </w:rPr>
        <w:t xml:space="preserve"> </w:t>
      </w:r>
      <w:r w:rsidRPr="00AB52EE">
        <w:rPr>
          <w:rFonts w:cs="Arial"/>
          <w:szCs w:val="24"/>
          <w:lang w:eastAsia="en-ZA"/>
        </w:rPr>
        <w:t xml:space="preserve">of the </w:t>
      </w:r>
      <w:r w:rsidR="00EC2D3C" w:rsidRPr="00AB52EE">
        <w:rPr>
          <w:rFonts w:cs="Arial"/>
          <w:szCs w:val="24"/>
          <w:lang w:eastAsia="en-ZA"/>
        </w:rPr>
        <w:t xml:space="preserve">Anton Piller </w:t>
      </w:r>
      <w:r w:rsidRPr="00AB52EE">
        <w:rPr>
          <w:rFonts w:cs="Arial"/>
          <w:szCs w:val="24"/>
          <w:lang w:eastAsia="en-ZA"/>
        </w:rPr>
        <w:t xml:space="preserve">order </w:t>
      </w:r>
      <w:r w:rsidR="00254C0C" w:rsidRPr="00AB52EE">
        <w:rPr>
          <w:rFonts w:cs="Arial"/>
          <w:szCs w:val="24"/>
          <w:lang w:eastAsia="en-ZA"/>
        </w:rPr>
        <w:t>must be set aside</w:t>
      </w:r>
      <w:r w:rsidR="00C03D79" w:rsidRPr="00AB52EE">
        <w:rPr>
          <w:rFonts w:cs="Arial"/>
          <w:szCs w:val="24"/>
          <w:lang w:eastAsia="en-ZA"/>
        </w:rPr>
        <w:t xml:space="preserve">. Although it will have </w:t>
      </w:r>
      <w:r w:rsidR="00EC2D3C" w:rsidRPr="00AB52EE">
        <w:rPr>
          <w:rFonts w:cs="Arial"/>
          <w:szCs w:val="24"/>
          <w:lang w:eastAsia="en-ZA"/>
        </w:rPr>
        <w:t xml:space="preserve">little </w:t>
      </w:r>
      <w:r w:rsidR="00C03D79" w:rsidRPr="00AB52EE">
        <w:rPr>
          <w:rFonts w:cs="Arial"/>
          <w:szCs w:val="24"/>
          <w:lang w:eastAsia="en-ZA"/>
        </w:rPr>
        <w:t xml:space="preserve">practical effect, it would </w:t>
      </w:r>
      <w:r w:rsidR="00EC2D3C" w:rsidRPr="00AB52EE">
        <w:rPr>
          <w:rFonts w:cs="Arial"/>
          <w:szCs w:val="24"/>
          <w:lang w:eastAsia="en-ZA"/>
        </w:rPr>
        <w:t xml:space="preserve">in my view also </w:t>
      </w:r>
      <w:r w:rsidR="00254C0C" w:rsidRPr="00AB52EE">
        <w:rPr>
          <w:rFonts w:cs="Arial"/>
          <w:szCs w:val="24"/>
          <w:lang w:eastAsia="en-ZA"/>
        </w:rPr>
        <w:t xml:space="preserve">be appropriate </w:t>
      </w:r>
      <w:r w:rsidR="00C03D79" w:rsidRPr="00AB52EE">
        <w:rPr>
          <w:rFonts w:cs="Arial"/>
          <w:szCs w:val="24"/>
          <w:lang w:eastAsia="en-ZA"/>
        </w:rPr>
        <w:t xml:space="preserve">for the sake of good order </w:t>
      </w:r>
      <w:r w:rsidR="00254C0C" w:rsidRPr="00AB52EE">
        <w:rPr>
          <w:rFonts w:cs="Arial"/>
          <w:szCs w:val="24"/>
          <w:lang w:eastAsia="en-ZA"/>
        </w:rPr>
        <w:t xml:space="preserve">to </w:t>
      </w:r>
      <w:r w:rsidR="00EC2D3C" w:rsidRPr="00AB52EE">
        <w:rPr>
          <w:rFonts w:cs="Arial"/>
          <w:szCs w:val="24"/>
          <w:lang w:eastAsia="en-ZA"/>
        </w:rPr>
        <w:t xml:space="preserve">vary </w:t>
      </w:r>
      <w:r w:rsidR="00B91375" w:rsidRPr="00AB52EE">
        <w:rPr>
          <w:rFonts w:cs="Arial"/>
          <w:szCs w:val="24"/>
          <w:lang w:eastAsia="en-ZA"/>
        </w:rPr>
        <w:t xml:space="preserve">the second </w:t>
      </w:r>
      <w:r w:rsidR="00C03D79" w:rsidRPr="00AB52EE">
        <w:rPr>
          <w:rFonts w:cs="Arial"/>
          <w:szCs w:val="24"/>
          <w:lang w:eastAsia="en-ZA"/>
        </w:rPr>
        <w:t xml:space="preserve">sentence </w:t>
      </w:r>
      <w:r w:rsidR="00B91375" w:rsidRPr="00AB52EE">
        <w:rPr>
          <w:rFonts w:cs="Arial"/>
          <w:szCs w:val="24"/>
          <w:lang w:eastAsia="en-ZA"/>
        </w:rPr>
        <w:t xml:space="preserve">of paragraph 14 </w:t>
      </w:r>
      <w:r w:rsidR="00EC2D3C" w:rsidRPr="00AB52EE">
        <w:rPr>
          <w:rFonts w:cs="Arial"/>
          <w:szCs w:val="24"/>
          <w:lang w:eastAsia="en-ZA"/>
        </w:rPr>
        <w:t xml:space="preserve">so as to </w:t>
      </w:r>
      <w:r w:rsidR="009934EE" w:rsidRPr="00AB52EE">
        <w:rPr>
          <w:rFonts w:cs="Arial"/>
          <w:szCs w:val="24"/>
          <w:lang w:eastAsia="en-ZA"/>
        </w:rPr>
        <w:t xml:space="preserve">clarify that the availability of </w:t>
      </w:r>
      <w:r w:rsidR="00720427">
        <w:rPr>
          <w:rFonts w:cs="Arial"/>
          <w:szCs w:val="24"/>
          <w:lang w:eastAsia="en-ZA"/>
        </w:rPr>
        <w:t xml:space="preserve">Supercart’s </w:t>
      </w:r>
      <w:r w:rsidR="009934EE" w:rsidRPr="00AB52EE">
        <w:rPr>
          <w:rFonts w:cs="Arial"/>
          <w:szCs w:val="24"/>
          <w:lang w:eastAsia="en-ZA"/>
        </w:rPr>
        <w:t xml:space="preserve">legal representatives </w:t>
      </w:r>
      <w:r w:rsidR="00254C0C" w:rsidRPr="00AB52EE">
        <w:rPr>
          <w:rFonts w:cs="Arial"/>
          <w:szCs w:val="24"/>
          <w:lang w:eastAsia="en-ZA"/>
        </w:rPr>
        <w:t xml:space="preserve">should have been </w:t>
      </w:r>
      <w:r w:rsidR="009934EE" w:rsidRPr="00AB52EE">
        <w:rPr>
          <w:rFonts w:cs="Arial"/>
          <w:szCs w:val="24"/>
          <w:lang w:eastAsia="en-ZA"/>
        </w:rPr>
        <w:t xml:space="preserve">limited to assisting with logistical matters relating to the search when requested </w:t>
      </w:r>
      <w:r w:rsidR="00A84440" w:rsidRPr="00AB52EE">
        <w:rPr>
          <w:rFonts w:cs="Arial"/>
          <w:szCs w:val="24"/>
          <w:lang w:eastAsia="en-ZA"/>
        </w:rPr>
        <w:t xml:space="preserve">through the medium of </w:t>
      </w:r>
      <w:r w:rsidR="009934EE" w:rsidRPr="00AB52EE">
        <w:rPr>
          <w:rFonts w:cs="Arial"/>
          <w:szCs w:val="24"/>
          <w:lang w:eastAsia="en-ZA"/>
        </w:rPr>
        <w:t xml:space="preserve">the supervising attorney, and that under no circumstances should </w:t>
      </w:r>
      <w:r w:rsidR="00692D17">
        <w:rPr>
          <w:rFonts w:cs="Arial"/>
          <w:szCs w:val="24"/>
          <w:lang w:eastAsia="en-ZA"/>
        </w:rPr>
        <w:t>th</w:t>
      </w:r>
      <w:r w:rsidR="009934EE" w:rsidRPr="00AB52EE">
        <w:rPr>
          <w:rFonts w:cs="Arial"/>
          <w:szCs w:val="24"/>
          <w:lang w:eastAsia="en-ZA"/>
        </w:rPr>
        <w:t xml:space="preserve">e content of the </w:t>
      </w:r>
      <w:r w:rsidR="006147CA">
        <w:rPr>
          <w:rFonts w:cs="Arial"/>
          <w:szCs w:val="24"/>
          <w:lang w:eastAsia="en-ZA"/>
        </w:rPr>
        <w:t xml:space="preserve">searched </w:t>
      </w:r>
      <w:r w:rsidR="009934EE" w:rsidRPr="00AB52EE">
        <w:rPr>
          <w:rFonts w:cs="Arial"/>
          <w:szCs w:val="24"/>
          <w:lang w:eastAsia="en-ZA"/>
        </w:rPr>
        <w:t xml:space="preserve">premises or anything found therein by the search party </w:t>
      </w:r>
      <w:r w:rsidR="00254C0C" w:rsidRPr="00AB52EE">
        <w:rPr>
          <w:rFonts w:cs="Arial"/>
          <w:szCs w:val="24"/>
          <w:lang w:eastAsia="en-ZA"/>
        </w:rPr>
        <w:t xml:space="preserve">have </w:t>
      </w:r>
      <w:r w:rsidR="009934EE" w:rsidRPr="00AB52EE">
        <w:rPr>
          <w:rFonts w:cs="Arial"/>
          <w:szCs w:val="24"/>
          <w:lang w:eastAsia="en-ZA"/>
        </w:rPr>
        <w:t>b</w:t>
      </w:r>
      <w:r w:rsidR="00254C0C" w:rsidRPr="00AB52EE">
        <w:rPr>
          <w:rFonts w:cs="Arial"/>
          <w:szCs w:val="24"/>
          <w:lang w:eastAsia="en-ZA"/>
        </w:rPr>
        <w:t>e</w:t>
      </w:r>
      <w:r w:rsidR="009934EE" w:rsidRPr="00AB52EE">
        <w:rPr>
          <w:rFonts w:cs="Arial"/>
          <w:szCs w:val="24"/>
          <w:lang w:eastAsia="en-ZA"/>
        </w:rPr>
        <w:t>e</w:t>
      </w:r>
      <w:r w:rsidR="00254C0C" w:rsidRPr="00AB52EE">
        <w:rPr>
          <w:rFonts w:cs="Arial"/>
          <w:szCs w:val="24"/>
          <w:lang w:eastAsia="en-ZA"/>
        </w:rPr>
        <w:t>n</w:t>
      </w:r>
      <w:r w:rsidR="009934EE" w:rsidRPr="00AB52EE">
        <w:rPr>
          <w:rFonts w:cs="Arial"/>
          <w:szCs w:val="24"/>
          <w:lang w:eastAsia="en-ZA"/>
        </w:rPr>
        <w:t xml:space="preserve"> disclosed to them</w:t>
      </w:r>
      <w:r w:rsidR="006753C6" w:rsidRPr="00AB52EE">
        <w:rPr>
          <w:rFonts w:cs="Arial"/>
          <w:szCs w:val="24"/>
          <w:lang w:eastAsia="en-ZA"/>
        </w:rPr>
        <w:t xml:space="preserve">. </w:t>
      </w:r>
    </w:p>
    <w:p w14:paraId="0FBC63E1" w14:textId="66BBA5A6" w:rsidR="00BF3AC3" w:rsidRPr="00AB52EE" w:rsidRDefault="00BF3AC3" w:rsidP="00D85020">
      <w:pPr>
        <w:pStyle w:val="LC1"/>
        <w:keepNext/>
        <w:numPr>
          <w:ilvl w:val="0"/>
          <w:numId w:val="0"/>
        </w:numPr>
        <w:rPr>
          <w:rFonts w:cs="Arial"/>
          <w:b/>
          <w:bCs/>
          <w:szCs w:val="24"/>
          <w:lang w:eastAsia="en-ZA"/>
        </w:rPr>
      </w:pPr>
      <w:r w:rsidRPr="00AB52EE">
        <w:rPr>
          <w:rFonts w:cs="Arial"/>
          <w:b/>
          <w:bCs/>
          <w:szCs w:val="24"/>
          <w:lang w:eastAsia="en-ZA"/>
        </w:rPr>
        <w:t xml:space="preserve">FAILURE TO DISCLOSE MATERIAL FACTS IN THE </w:t>
      </w:r>
      <w:r w:rsidRPr="00AB52EE">
        <w:rPr>
          <w:rFonts w:cs="Arial"/>
          <w:b/>
          <w:bCs/>
          <w:i/>
          <w:iCs/>
          <w:szCs w:val="24"/>
          <w:lang w:eastAsia="en-ZA"/>
        </w:rPr>
        <w:t>EX PARTE</w:t>
      </w:r>
      <w:r w:rsidRPr="00AB52EE">
        <w:rPr>
          <w:rFonts w:cs="Arial"/>
          <w:b/>
          <w:bCs/>
          <w:szCs w:val="24"/>
          <w:lang w:eastAsia="en-ZA"/>
        </w:rPr>
        <w:t xml:space="preserve"> APPLICATION</w:t>
      </w:r>
    </w:p>
    <w:p w14:paraId="34D5A855" w14:textId="6EDD3FDD" w:rsidR="006666F6" w:rsidRPr="00AB52EE" w:rsidRDefault="006666F6" w:rsidP="007A27ED">
      <w:pPr>
        <w:pStyle w:val="LC1"/>
        <w:rPr>
          <w:rFonts w:cs="Arial"/>
          <w:szCs w:val="24"/>
          <w:lang w:eastAsia="en-ZA"/>
        </w:rPr>
      </w:pPr>
      <w:r w:rsidRPr="00AB52EE">
        <w:rPr>
          <w:rFonts w:cs="Arial"/>
          <w:szCs w:val="24"/>
          <w:lang w:eastAsia="en-ZA"/>
        </w:rPr>
        <w:t xml:space="preserve">Vanesco’s contention </w:t>
      </w:r>
      <w:r w:rsidR="00BF3AC3" w:rsidRPr="00AB52EE">
        <w:rPr>
          <w:rFonts w:cs="Arial"/>
          <w:szCs w:val="24"/>
          <w:lang w:eastAsia="en-ZA"/>
        </w:rPr>
        <w:t xml:space="preserve">that </w:t>
      </w:r>
      <w:r w:rsidRPr="00AB52EE">
        <w:rPr>
          <w:rFonts w:cs="Arial"/>
          <w:szCs w:val="24"/>
          <w:lang w:eastAsia="en-ZA"/>
        </w:rPr>
        <w:t xml:space="preserve">the </w:t>
      </w:r>
      <w:r w:rsidR="00293470" w:rsidRPr="00AB52EE">
        <w:rPr>
          <w:rFonts w:cs="Arial"/>
          <w:szCs w:val="24"/>
          <w:lang w:eastAsia="en-ZA"/>
        </w:rPr>
        <w:t xml:space="preserve">Anton Piller </w:t>
      </w:r>
      <w:r w:rsidRPr="00AB52EE">
        <w:rPr>
          <w:rFonts w:cs="Arial"/>
          <w:szCs w:val="24"/>
          <w:lang w:eastAsia="en-ZA"/>
        </w:rPr>
        <w:t xml:space="preserve">order should be aside because </w:t>
      </w:r>
      <w:r w:rsidR="00BF3AC3" w:rsidRPr="00AB52EE">
        <w:rPr>
          <w:rFonts w:cs="Arial"/>
          <w:szCs w:val="24"/>
          <w:lang w:eastAsia="en-ZA"/>
        </w:rPr>
        <w:t xml:space="preserve">Supercart did not disclose </w:t>
      </w:r>
      <w:r w:rsidRPr="00AB52EE">
        <w:rPr>
          <w:rFonts w:cs="Arial"/>
          <w:szCs w:val="24"/>
          <w:lang w:eastAsia="en-ZA"/>
        </w:rPr>
        <w:t>various “</w:t>
      </w:r>
      <w:r w:rsidR="002E73F3" w:rsidRPr="00AB52EE">
        <w:rPr>
          <w:rFonts w:cs="Arial"/>
          <w:szCs w:val="24"/>
          <w:lang w:eastAsia="en-ZA"/>
        </w:rPr>
        <w:t>common cause facts</w:t>
      </w:r>
      <w:r w:rsidRPr="00AB52EE">
        <w:rPr>
          <w:rFonts w:cs="Arial"/>
          <w:szCs w:val="24"/>
          <w:lang w:eastAsia="en-ZA"/>
        </w:rPr>
        <w:t>”</w:t>
      </w:r>
      <w:r w:rsidR="002E73F3" w:rsidRPr="00AB52EE">
        <w:rPr>
          <w:rFonts w:cs="Arial"/>
          <w:szCs w:val="24"/>
          <w:lang w:eastAsia="en-ZA"/>
        </w:rPr>
        <w:t xml:space="preserve"> </w:t>
      </w:r>
      <w:r w:rsidR="00BF3AC3" w:rsidRPr="00AB52EE">
        <w:rPr>
          <w:rFonts w:cs="Arial"/>
          <w:szCs w:val="24"/>
          <w:lang w:eastAsia="en-ZA"/>
        </w:rPr>
        <w:t xml:space="preserve">in its founding affidavit </w:t>
      </w:r>
      <w:r w:rsidRPr="00AB52EE">
        <w:rPr>
          <w:rFonts w:cs="Arial"/>
          <w:szCs w:val="24"/>
          <w:lang w:eastAsia="en-ZA"/>
        </w:rPr>
        <w:t xml:space="preserve">in the </w:t>
      </w:r>
      <w:r w:rsidRPr="00AB52EE">
        <w:rPr>
          <w:rFonts w:cs="Arial"/>
          <w:i/>
          <w:iCs/>
          <w:szCs w:val="24"/>
          <w:lang w:eastAsia="en-ZA"/>
        </w:rPr>
        <w:t>ex parte</w:t>
      </w:r>
      <w:r w:rsidRPr="00AB52EE">
        <w:rPr>
          <w:rFonts w:cs="Arial"/>
          <w:szCs w:val="24"/>
          <w:lang w:eastAsia="en-ZA"/>
        </w:rPr>
        <w:t xml:space="preserve"> application cannot succeed. </w:t>
      </w:r>
    </w:p>
    <w:p w14:paraId="728E7A74" w14:textId="1294A8B8" w:rsidR="00EE7A67" w:rsidRPr="00AB52EE" w:rsidRDefault="006666F6" w:rsidP="007A27ED">
      <w:pPr>
        <w:pStyle w:val="LC1"/>
        <w:rPr>
          <w:rFonts w:cs="Arial"/>
          <w:szCs w:val="24"/>
          <w:lang w:eastAsia="en-ZA"/>
        </w:rPr>
      </w:pPr>
      <w:r w:rsidRPr="00AB52EE">
        <w:rPr>
          <w:rFonts w:cs="Arial"/>
          <w:szCs w:val="24"/>
          <w:lang w:eastAsia="en-ZA"/>
        </w:rPr>
        <w:t xml:space="preserve">In the first place, a number of the allegedly excluded facts were indeed disclosed. The fact that </w:t>
      </w:r>
      <w:r w:rsidR="002E73F3" w:rsidRPr="00AB52EE">
        <w:rPr>
          <w:rFonts w:cs="Arial"/>
          <w:szCs w:val="24"/>
          <w:lang w:eastAsia="en-ZA"/>
        </w:rPr>
        <w:t xml:space="preserve">Supercart and Vanesco are commercial competitors in </w:t>
      </w:r>
      <w:r w:rsidR="002E73F3" w:rsidRPr="00AB52EE">
        <w:rPr>
          <w:rFonts w:cs="Arial"/>
          <w:szCs w:val="24"/>
          <w:lang w:eastAsia="en-ZA"/>
        </w:rPr>
        <w:lastRenderedPageBreak/>
        <w:t>the manufacture and supply of shopping trolleys used by supermarkets and other retailers</w:t>
      </w:r>
      <w:r w:rsidRPr="00AB52EE">
        <w:rPr>
          <w:rFonts w:cs="Arial"/>
          <w:szCs w:val="24"/>
          <w:lang w:eastAsia="en-ZA"/>
        </w:rPr>
        <w:t xml:space="preserve"> is expressly stated in paragraph 5 of the founding affidavit</w:t>
      </w:r>
      <w:r w:rsidR="00EE7A67" w:rsidRPr="00AB52EE">
        <w:rPr>
          <w:rFonts w:cs="Arial"/>
          <w:szCs w:val="24"/>
          <w:lang w:eastAsia="en-ZA"/>
        </w:rPr>
        <w:t>.</w:t>
      </w:r>
      <w:r w:rsidRPr="00AB52EE">
        <w:rPr>
          <w:rFonts w:cs="Arial"/>
          <w:szCs w:val="24"/>
          <w:lang w:eastAsia="en-ZA"/>
        </w:rPr>
        <w:t xml:space="preserve"> </w:t>
      </w:r>
      <w:r w:rsidR="00EE7A67" w:rsidRPr="00AB52EE">
        <w:rPr>
          <w:rFonts w:cs="Arial"/>
          <w:szCs w:val="24"/>
          <w:lang w:eastAsia="en-ZA"/>
        </w:rPr>
        <w:t>T</w:t>
      </w:r>
      <w:r w:rsidR="00F912F2" w:rsidRPr="00AB52EE">
        <w:rPr>
          <w:rFonts w:cs="Arial"/>
          <w:szCs w:val="24"/>
          <w:lang w:eastAsia="en-ZA"/>
        </w:rPr>
        <w:t xml:space="preserve">he fact that the </w:t>
      </w:r>
      <w:r w:rsidR="00F912F2" w:rsidRPr="00AB52EE">
        <w:rPr>
          <w:rFonts w:cs="Arial"/>
          <w:szCs w:val="24"/>
        </w:rPr>
        <w:t xml:space="preserve">instances of breach of the interim interdict identified by Supercart were augmented by </w:t>
      </w:r>
      <w:r w:rsidR="00293470" w:rsidRPr="00AB52EE">
        <w:rPr>
          <w:rFonts w:cs="Arial"/>
          <w:szCs w:val="24"/>
        </w:rPr>
        <w:t xml:space="preserve">Mr </w:t>
      </w:r>
      <w:r w:rsidR="00F912F2" w:rsidRPr="00AB52EE">
        <w:rPr>
          <w:rFonts w:cs="Arial"/>
          <w:szCs w:val="24"/>
        </w:rPr>
        <w:t>Case</w:t>
      </w:r>
      <w:r w:rsidR="00293470" w:rsidRPr="00AB52EE">
        <w:rPr>
          <w:rFonts w:cs="Arial"/>
          <w:szCs w:val="24"/>
        </w:rPr>
        <w:t>’s</w:t>
      </w:r>
      <w:r w:rsidR="00F912F2" w:rsidRPr="00AB52EE">
        <w:rPr>
          <w:rFonts w:cs="Arial"/>
          <w:szCs w:val="24"/>
        </w:rPr>
        <w:t xml:space="preserve"> </w:t>
      </w:r>
      <w:r w:rsidR="00293470" w:rsidRPr="00AB52EE">
        <w:rPr>
          <w:rFonts w:cs="Arial"/>
          <w:szCs w:val="24"/>
        </w:rPr>
        <w:t xml:space="preserve">disclosure of </w:t>
      </w:r>
      <w:r w:rsidR="00F912F2" w:rsidRPr="00AB52EE">
        <w:rPr>
          <w:rFonts w:cs="Arial"/>
          <w:szCs w:val="24"/>
        </w:rPr>
        <w:t>the disposal of an additional 635 trolleys is also disclosed in the founding affidavit at paragraphs 61 and 62.</w:t>
      </w:r>
      <w:r w:rsidR="00EE7A67" w:rsidRPr="00AB52EE">
        <w:rPr>
          <w:rFonts w:cs="Arial"/>
          <w:szCs w:val="24"/>
        </w:rPr>
        <w:t xml:space="preserve"> </w:t>
      </w:r>
    </w:p>
    <w:p w14:paraId="59D5BDB4" w14:textId="2C18B8C6" w:rsidR="00EE7A67" w:rsidRPr="00AB52EE" w:rsidRDefault="00EE7A67" w:rsidP="007A27ED">
      <w:pPr>
        <w:pStyle w:val="LC1"/>
        <w:rPr>
          <w:rFonts w:cs="Arial"/>
          <w:szCs w:val="24"/>
          <w:lang w:eastAsia="en-ZA"/>
        </w:rPr>
      </w:pPr>
      <w:r w:rsidRPr="00AB52EE">
        <w:rPr>
          <w:rFonts w:cs="Arial"/>
          <w:szCs w:val="24"/>
        </w:rPr>
        <w:t>Secondly, the statement that Supercart</w:t>
      </w:r>
      <w:r w:rsidR="00BC6F3B" w:rsidRPr="00AB52EE">
        <w:rPr>
          <w:rFonts w:cs="Arial"/>
          <w:szCs w:val="24"/>
        </w:rPr>
        <w:t xml:space="preserve">, having engaged in merger discussions that were rebuffed by </w:t>
      </w:r>
      <w:r w:rsidR="00AA155B" w:rsidRPr="00AB52EE">
        <w:rPr>
          <w:rFonts w:cs="Arial"/>
          <w:szCs w:val="24"/>
        </w:rPr>
        <w:t xml:space="preserve">Mr </w:t>
      </w:r>
      <w:r w:rsidR="00BC6F3B" w:rsidRPr="00AB52EE">
        <w:rPr>
          <w:rFonts w:cs="Arial"/>
          <w:szCs w:val="24"/>
        </w:rPr>
        <w:t>Case</w:t>
      </w:r>
      <w:r w:rsidR="00AA155B" w:rsidRPr="00AB52EE">
        <w:rPr>
          <w:rFonts w:cs="Arial"/>
          <w:szCs w:val="24"/>
        </w:rPr>
        <w:t>,</w:t>
      </w:r>
      <w:r w:rsidR="00BC6F3B" w:rsidRPr="00AB52EE">
        <w:rPr>
          <w:rFonts w:cs="Arial"/>
          <w:szCs w:val="24"/>
        </w:rPr>
        <w:t xml:space="preserve"> </w:t>
      </w:r>
      <w:r w:rsidRPr="00AB52EE">
        <w:rPr>
          <w:rFonts w:cs="Arial"/>
          <w:szCs w:val="24"/>
        </w:rPr>
        <w:t xml:space="preserve">is intent on growing its market share by any means and has done so </w:t>
      </w:r>
      <w:r w:rsidR="00BC6F3B" w:rsidRPr="00AB52EE">
        <w:rPr>
          <w:rFonts w:cs="Arial"/>
          <w:szCs w:val="24"/>
        </w:rPr>
        <w:t xml:space="preserve">by </w:t>
      </w:r>
      <w:r w:rsidRPr="00AB52EE">
        <w:rPr>
          <w:rFonts w:cs="Arial"/>
          <w:szCs w:val="24"/>
        </w:rPr>
        <w:t xml:space="preserve">engaging in a process of lawfare to diminish Vanesco’s </w:t>
      </w:r>
      <w:r w:rsidR="00BC6F3B" w:rsidRPr="00AB52EE">
        <w:rPr>
          <w:rFonts w:cs="Arial"/>
          <w:szCs w:val="24"/>
        </w:rPr>
        <w:t xml:space="preserve">market share and Case’s </w:t>
      </w:r>
      <w:r w:rsidRPr="00AB52EE">
        <w:rPr>
          <w:rFonts w:cs="Arial"/>
          <w:szCs w:val="24"/>
        </w:rPr>
        <w:t xml:space="preserve">influence in the market, including by delaying the pursuit of its rights while the interim interdict remains in force pending the conclusion of the enforcement proceedings, is an </w:t>
      </w:r>
      <w:r w:rsidR="00BC6F3B" w:rsidRPr="00AB52EE">
        <w:rPr>
          <w:rFonts w:cs="Arial"/>
          <w:szCs w:val="24"/>
        </w:rPr>
        <w:t xml:space="preserve">unproven </w:t>
      </w:r>
      <w:r w:rsidRPr="00AB52EE">
        <w:rPr>
          <w:rFonts w:cs="Arial"/>
          <w:szCs w:val="24"/>
        </w:rPr>
        <w:t>opinion.</w:t>
      </w:r>
      <w:r w:rsidR="001736E4" w:rsidRPr="00AB52EE">
        <w:rPr>
          <w:rStyle w:val="FootnoteReference"/>
          <w:szCs w:val="24"/>
        </w:rPr>
        <w:footnoteReference w:id="87"/>
      </w:r>
      <w:r w:rsidRPr="00AB52EE">
        <w:rPr>
          <w:rFonts w:cs="Arial"/>
          <w:szCs w:val="24"/>
        </w:rPr>
        <w:t xml:space="preserve"> It cannot without further proof be regarded as a fac</w:t>
      </w:r>
      <w:r w:rsidR="00BC6F3B" w:rsidRPr="00AB52EE">
        <w:rPr>
          <w:rFonts w:cs="Arial"/>
          <w:szCs w:val="24"/>
        </w:rPr>
        <w:t xml:space="preserve">t. </w:t>
      </w:r>
      <w:r w:rsidR="00293470" w:rsidRPr="00AB52EE">
        <w:rPr>
          <w:rFonts w:cs="Arial"/>
          <w:szCs w:val="24"/>
        </w:rPr>
        <w:t>E</w:t>
      </w:r>
      <w:r w:rsidR="00AA155B" w:rsidRPr="00AB52EE">
        <w:rPr>
          <w:rFonts w:cs="Arial"/>
          <w:szCs w:val="24"/>
          <w:lang w:eastAsia="en-ZA"/>
        </w:rPr>
        <w:t xml:space="preserve">ven recognising the low </w:t>
      </w:r>
      <w:r w:rsidR="00DE7F1D" w:rsidRPr="00AB52EE">
        <w:rPr>
          <w:rFonts w:cs="Arial"/>
          <w:szCs w:val="24"/>
          <w:lang w:eastAsia="en-ZA"/>
        </w:rPr>
        <w:t xml:space="preserve">threshold </w:t>
      </w:r>
      <w:r w:rsidR="00AA155B" w:rsidRPr="00AB52EE">
        <w:rPr>
          <w:rFonts w:cs="Arial"/>
          <w:szCs w:val="24"/>
          <w:lang w:eastAsia="en-ZA"/>
        </w:rPr>
        <w:t xml:space="preserve">that </w:t>
      </w:r>
      <w:r w:rsidR="00665CA5" w:rsidRPr="00AB52EE">
        <w:rPr>
          <w:rFonts w:cs="Arial"/>
          <w:szCs w:val="24"/>
          <w:lang w:eastAsia="en-ZA"/>
        </w:rPr>
        <w:t xml:space="preserve">the respondents </w:t>
      </w:r>
      <w:r w:rsidR="00AA155B" w:rsidRPr="00AB52EE">
        <w:rPr>
          <w:rFonts w:cs="Arial"/>
          <w:szCs w:val="24"/>
          <w:lang w:eastAsia="en-ZA"/>
        </w:rPr>
        <w:t xml:space="preserve">need to </w:t>
      </w:r>
      <w:r w:rsidR="00DE7F1D" w:rsidRPr="00AB52EE">
        <w:rPr>
          <w:rFonts w:cs="Arial"/>
          <w:szCs w:val="24"/>
          <w:lang w:eastAsia="en-ZA"/>
        </w:rPr>
        <w:t>overcome</w:t>
      </w:r>
      <w:r w:rsidR="00AA155B" w:rsidRPr="00AB52EE">
        <w:rPr>
          <w:rFonts w:cs="Arial"/>
          <w:szCs w:val="24"/>
          <w:lang w:eastAsia="en-ZA"/>
        </w:rPr>
        <w:t xml:space="preserve">, it </w:t>
      </w:r>
      <w:r w:rsidR="005F0770">
        <w:rPr>
          <w:rFonts w:cs="Arial"/>
          <w:szCs w:val="24"/>
          <w:lang w:eastAsia="en-ZA"/>
        </w:rPr>
        <w:t xml:space="preserve">is </w:t>
      </w:r>
      <w:r w:rsidR="00293470" w:rsidRPr="00AB52EE">
        <w:rPr>
          <w:rFonts w:cs="Arial"/>
          <w:szCs w:val="24"/>
          <w:lang w:eastAsia="en-ZA"/>
        </w:rPr>
        <w:t xml:space="preserve">not </w:t>
      </w:r>
      <w:r w:rsidR="008D5A0C" w:rsidRPr="00AB52EE">
        <w:rPr>
          <w:rFonts w:cs="Arial"/>
          <w:szCs w:val="24"/>
          <w:lang w:eastAsia="en-ZA"/>
        </w:rPr>
        <w:t xml:space="preserve">sufficiently </w:t>
      </w:r>
      <w:r w:rsidR="00AA155B" w:rsidRPr="00AB52EE">
        <w:rPr>
          <w:rFonts w:cs="Arial"/>
          <w:szCs w:val="24"/>
          <w:lang w:eastAsia="en-ZA"/>
        </w:rPr>
        <w:t>material</w:t>
      </w:r>
      <w:r w:rsidR="008D5A0C" w:rsidRPr="00AB52EE">
        <w:rPr>
          <w:rFonts w:cs="Arial"/>
          <w:szCs w:val="24"/>
          <w:lang w:eastAsia="en-ZA"/>
        </w:rPr>
        <w:t xml:space="preserve"> for the exercise of my discretion to set the order aside</w:t>
      </w:r>
      <w:r w:rsidR="00AA155B" w:rsidRPr="00AB52EE">
        <w:rPr>
          <w:rFonts w:cs="Arial"/>
          <w:szCs w:val="24"/>
          <w:lang w:eastAsia="en-ZA"/>
        </w:rPr>
        <w:t xml:space="preserve">. </w:t>
      </w:r>
      <w:r w:rsidR="00AA155B" w:rsidRPr="00AB52EE">
        <w:rPr>
          <w:rFonts w:cs="Arial"/>
          <w:szCs w:val="24"/>
        </w:rPr>
        <w:t xml:space="preserve">Had the failed merger talks and </w:t>
      </w:r>
      <w:r w:rsidR="00DE7F1D" w:rsidRPr="00AB52EE">
        <w:rPr>
          <w:rFonts w:cs="Arial"/>
          <w:szCs w:val="24"/>
        </w:rPr>
        <w:t xml:space="preserve">the </w:t>
      </w:r>
      <w:r w:rsidR="00BC6F3B" w:rsidRPr="00AB52EE">
        <w:rPr>
          <w:rFonts w:cs="Arial"/>
          <w:szCs w:val="24"/>
        </w:rPr>
        <w:t xml:space="preserve">contentions in </w:t>
      </w:r>
      <w:r w:rsidR="00DE7F1D" w:rsidRPr="00AB52EE">
        <w:rPr>
          <w:rFonts w:cs="Arial"/>
          <w:szCs w:val="24"/>
        </w:rPr>
        <w:t xml:space="preserve">Vanesco’s </w:t>
      </w:r>
      <w:r w:rsidR="00BC6F3B" w:rsidRPr="00AB52EE">
        <w:rPr>
          <w:rFonts w:cs="Arial"/>
          <w:szCs w:val="24"/>
        </w:rPr>
        <w:t xml:space="preserve">letters of February 2021 been disclosed, that </w:t>
      </w:r>
      <w:r w:rsidRPr="00AB52EE">
        <w:rPr>
          <w:rFonts w:cs="Arial"/>
          <w:szCs w:val="24"/>
        </w:rPr>
        <w:t xml:space="preserve">would in my view have added </w:t>
      </w:r>
      <w:r w:rsidR="00293470" w:rsidRPr="00AB52EE">
        <w:rPr>
          <w:rFonts w:cs="Arial"/>
          <w:szCs w:val="24"/>
        </w:rPr>
        <w:t xml:space="preserve">noting </w:t>
      </w:r>
      <w:r w:rsidRPr="00AB52EE">
        <w:rPr>
          <w:rFonts w:cs="Arial"/>
          <w:szCs w:val="24"/>
        </w:rPr>
        <w:t xml:space="preserve">but </w:t>
      </w:r>
      <w:r w:rsidR="00AA155B" w:rsidRPr="00AB52EE">
        <w:rPr>
          <w:rFonts w:cs="Arial"/>
          <w:szCs w:val="24"/>
        </w:rPr>
        <w:t>“</w:t>
      </w:r>
      <w:r w:rsidRPr="00AB52EE">
        <w:rPr>
          <w:rFonts w:cs="Arial"/>
          <w:szCs w:val="24"/>
        </w:rPr>
        <w:t>atmosphere</w:t>
      </w:r>
      <w:r w:rsidR="00AA155B" w:rsidRPr="00AB52EE">
        <w:rPr>
          <w:rFonts w:cs="Arial"/>
          <w:szCs w:val="24"/>
        </w:rPr>
        <w:t>”</w:t>
      </w:r>
      <w:r w:rsidRPr="00AB52EE">
        <w:rPr>
          <w:rFonts w:cs="Arial"/>
          <w:szCs w:val="24"/>
        </w:rPr>
        <w:t xml:space="preserve"> to the </w:t>
      </w:r>
      <w:r w:rsidR="00A01AA1" w:rsidRPr="00AB52EE">
        <w:rPr>
          <w:rFonts w:cs="Arial"/>
          <w:szCs w:val="24"/>
        </w:rPr>
        <w:t>Co</w:t>
      </w:r>
      <w:r w:rsidRPr="00AB52EE">
        <w:rPr>
          <w:rFonts w:cs="Arial"/>
          <w:szCs w:val="24"/>
        </w:rPr>
        <w:t>urt’s</w:t>
      </w:r>
      <w:r w:rsidR="00B22628" w:rsidRPr="00AB52EE">
        <w:rPr>
          <w:rFonts w:cs="Arial"/>
          <w:szCs w:val="24"/>
        </w:rPr>
        <w:t xml:space="preserve"> consideration. </w:t>
      </w:r>
      <w:r w:rsidR="00AA155B" w:rsidRPr="00AB52EE">
        <w:rPr>
          <w:rFonts w:cs="Arial"/>
          <w:szCs w:val="24"/>
        </w:rPr>
        <w:t xml:space="preserve">At best, </w:t>
      </w:r>
      <w:r w:rsidR="00EC457F" w:rsidRPr="00AB52EE">
        <w:rPr>
          <w:rFonts w:cs="Arial"/>
          <w:szCs w:val="24"/>
        </w:rPr>
        <w:t xml:space="preserve">such </w:t>
      </w:r>
      <w:r w:rsidR="00B22628" w:rsidRPr="00AB52EE">
        <w:rPr>
          <w:rFonts w:cs="Arial"/>
          <w:szCs w:val="24"/>
        </w:rPr>
        <w:t xml:space="preserve">atmosphere </w:t>
      </w:r>
      <w:r w:rsidR="00AA155B" w:rsidRPr="00AB52EE">
        <w:rPr>
          <w:rFonts w:cs="Arial"/>
          <w:szCs w:val="24"/>
        </w:rPr>
        <w:t xml:space="preserve">might </w:t>
      </w:r>
      <w:r w:rsidR="00EC457F" w:rsidRPr="00AB52EE">
        <w:rPr>
          <w:rFonts w:cs="Arial"/>
          <w:szCs w:val="24"/>
        </w:rPr>
        <w:t xml:space="preserve">potentially have been relevant to the consideration of whether </w:t>
      </w:r>
      <w:r w:rsidR="00BC6F3B" w:rsidRPr="00AB52EE">
        <w:rPr>
          <w:rFonts w:cs="Arial"/>
          <w:szCs w:val="24"/>
        </w:rPr>
        <w:t>there was a real and well-founded apprehension that the relevant evidence m</w:t>
      </w:r>
      <w:r w:rsidR="005F0770">
        <w:rPr>
          <w:rFonts w:cs="Arial"/>
          <w:szCs w:val="24"/>
        </w:rPr>
        <w:t>ight</w:t>
      </w:r>
      <w:r w:rsidR="00BC6F3B" w:rsidRPr="00AB52EE">
        <w:rPr>
          <w:rFonts w:cs="Arial"/>
          <w:szCs w:val="24"/>
        </w:rPr>
        <w:t xml:space="preserve"> be concealed</w:t>
      </w:r>
      <w:r w:rsidR="00AA155B" w:rsidRPr="00AB52EE">
        <w:rPr>
          <w:rFonts w:cs="Arial"/>
          <w:szCs w:val="24"/>
        </w:rPr>
        <w:t>. But</w:t>
      </w:r>
      <w:r w:rsidR="00BC6F3B" w:rsidRPr="00AB52EE">
        <w:rPr>
          <w:rFonts w:cs="Arial"/>
          <w:szCs w:val="24"/>
        </w:rPr>
        <w:t xml:space="preserve"> </w:t>
      </w:r>
      <w:r w:rsidR="00293470" w:rsidRPr="00AB52EE">
        <w:rPr>
          <w:rFonts w:cs="Arial"/>
          <w:szCs w:val="24"/>
        </w:rPr>
        <w:t xml:space="preserve">there is no basis to conclude that that might </w:t>
      </w:r>
      <w:r w:rsidR="00AA155B" w:rsidRPr="00AB52EE">
        <w:rPr>
          <w:rFonts w:cs="Arial"/>
          <w:szCs w:val="24"/>
        </w:rPr>
        <w:t xml:space="preserve">have influenced the court’s decision: </w:t>
      </w:r>
      <w:r w:rsidR="00BC6F3B" w:rsidRPr="00AB52EE">
        <w:rPr>
          <w:rFonts w:cs="Arial"/>
          <w:szCs w:val="24"/>
        </w:rPr>
        <w:t xml:space="preserve">it would </w:t>
      </w:r>
      <w:r w:rsidR="00293470" w:rsidRPr="00AB52EE">
        <w:rPr>
          <w:rFonts w:cs="Arial"/>
          <w:szCs w:val="24"/>
        </w:rPr>
        <w:t xml:space="preserve">only have served to </w:t>
      </w:r>
      <w:r w:rsidRPr="00AB52EE">
        <w:rPr>
          <w:rFonts w:cs="Arial"/>
          <w:szCs w:val="24"/>
        </w:rPr>
        <w:t>confirm the animosity and distrust between the parties</w:t>
      </w:r>
      <w:r w:rsidR="00BC6F3B" w:rsidRPr="00AB52EE">
        <w:rPr>
          <w:rFonts w:cs="Arial"/>
          <w:szCs w:val="24"/>
        </w:rPr>
        <w:t xml:space="preserve"> and </w:t>
      </w:r>
      <w:r w:rsidRPr="00AB52EE">
        <w:rPr>
          <w:rFonts w:cs="Arial"/>
          <w:szCs w:val="24"/>
        </w:rPr>
        <w:t xml:space="preserve">contributed to, not detracted from, </w:t>
      </w:r>
      <w:r w:rsidR="005F0770">
        <w:rPr>
          <w:rFonts w:cs="Arial"/>
          <w:szCs w:val="24"/>
        </w:rPr>
        <w:t xml:space="preserve">the </w:t>
      </w:r>
      <w:r w:rsidRPr="00AB52EE">
        <w:rPr>
          <w:rFonts w:cs="Arial"/>
          <w:szCs w:val="24"/>
        </w:rPr>
        <w:t xml:space="preserve">conclusion that the </w:t>
      </w:r>
      <w:r w:rsidR="00293470" w:rsidRPr="00AB52EE">
        <w:rPr>
          <w:rFonts w:cs="Arial"/>
          <w:szCs w:val="24"/>
        </w:rPr>
        <w:t xml:space="preserve">third threshold </w:t>
      </w:r>
      <w:r w:rsidRPr="00AB52EE">
        <w:rPr>
          <w:rFonts w:cs="Arial"/>
          <w:szCs w:val="24"/>
        </w:rPr>
        <w:t xml:space="preserve">requirement for the Anton Piller order had been established </w:t>
      </w:r>
      <w:r w:rsidRPr="00AB52EE">
        <w:rPr>
          <w:rFonts w:cs="Arial"/>
          <w:szCs w:val="24"/>
        </w:rPr>
        <w:lastRenderedPageBreak/>
        <w:t xml:space="preserve">on a </w:t>
      </w:r>
      <w:r w:rsidRPr="00AB52EE">
        <w:rPr>
          <w:rFonts w:cs="Arial"/>
          <w:i/>
          <w:iCs/>
          <w:szCs w:val="24"/>
        </w:rPr>
        <w:t>prima facie</w:t>
      </w:r>
      <w:r w:rsidRPr="00AB52EE">
        <w:rPr>
          <w:rFonts w:cs="Arial"/>
          <w:szCs w:val="24"/>
        </w:rPr>
        <w:t xml:space="preserve"> basis.</w:t>
      </w:r>
      <w:r w:rsidRPr="00AB52EE">
        <w:rPr>
          <w:rStyle w:val="FootnoteReference"/>
          <w:szCs w:val="24"/>
        </w:rPr>
        <w:footnoteReference w:id="88"/>
      </w:r>
      <w:r w:rsidR="00BC6F3B" w:rsidRPr="00AB52EE">
        <w:rPr>
          <w:rFonts w:cs="Arial"/>
          <w:szCs w:val="24"/>
        </w:rPr>
        <w:t xml:space="preserve"> </w:t>
      </w:r>
    </w:p>
    <w:p w14:paraId="37DC39C9" w14:textId="37883B65" w:rsidR="00912191" w:rsidRPr="00AB52EE" w:rsidRDefault="003D662A" w:rsidP="00D85020">
      <w:pPr>
        <w:pStyle w:val="LC1"/>
        <w:keepNext/>
        <w:numPr>
          <w:ilvl w:val="0"/>
          <w:numId w:val="0"/>
        </w:numPr>
        <w:rPr>
          <w:rFonts w:cs="Arial"/>
          <w:b/>
          <w:bCs/>
          <w:szCs w:val="24"/>
          <w:lang w:eastAsia="en-ZA"/>
        </w:rPr>
      </w:pPr>
      <w:r w:rsidRPr="00AB52EE">
        <w:rPr>
          <w:rFonts w:cs="Arial"/>
          <w:b/>
          <w:bCs/>
          <w:szCs w:val="24"/>
          <w:lang w:eastAsia="en-ZA"/>
        </w:rPr>
        <w:t xml:space="preserve">THE SECOND THRESHOLD </w:t>
      </w:r>
      <w:r w:rsidR="00E449B3" w:rsidRPr="00AB52EE">
        <w:rPr>
          <w:rFonts w:cs="Arial"/>
          <w:b/>
          <w:bCs/>
          <w:szCs w:val="24"/>
          <w:lang w:eastAsia="en-ZA"/>
        </w:rPr>
        <w:t>REQUIREMENT</w:t>
      </w:r>
    </w:p>
    <w:p w14:paraId="09ECD7AD" w14:textId="1CD229DD" w:rsidR="00E449B3" w:rsidRPr="00AB52EE" w:rsidRDefault="00120BFC" w:rsidP="007A27ED">
      <w:pPr>
        <w:pStyle w:val="LC1"/>
        <w:rPr>
          <w:rFonts w:cs="Arial"/>
          <w:szCs w:val="24"/>
          <w:lang w:eastAsia="en-ZA"/>
        </w:rPr>
      </w:pPr>
      <w:r w:rsidRPr="00AB52EE">
        <w:rPr>
          <w:rFonts w:cs="Arial"/>
          <w:szCs w:val="24"/>
          <w:lang w:eastAsia="en-ZA"/>
        </w:rPr>
        <w:t xml:space="preserve">Predictably, </w:t>
      </w:r>
      <w:r w:rsidR="00293470" w:rsidRPr="00AB52EE">
        <w:rPr>
          <w:rFonts w:cs="Arial"/>
          <w:szCs w:val="24"/>
          <w:lang w:eastAsia="en-ZA"/>
        </w:rPr>
        <w:t xml:space="preserve">Mr Case and the respondent’s </w:t>
      </w:r>
      <w:r w:rsidR="006319B3" w:rsidRPr="00AB52EE">
        <w:rPr>
          <w:rFonts w:cs="Arial"/>
          <w:szCs w:val="24"/>
          <w:lang w:eastAsia="en-ZA"/>
        </w:rPr>
        <w:t>counsel in his</w:t>
      </w:r>
      <w:r w:rsidR="003D23C8" w:rsidRPr="00AB52EE">
        <w:rPr>
          <w:rFonts w:cs="Arial"/>
          <w:szCs w:val="24"/>
          <w:lang w:eastAsia="en-ZA"/>
        </w:rPr>
        <w:t xml:space="preserve"> heads of argument</w:t>
      </w:r>
      <w:r w:rsidRPr="00AB52EE">
        <w:rPr>
          <w:rFonts w:cs="Arial"/>
          <w:szCs w:val="24"/>
          <w:lang w:eastAsia="en-ZA"/>
        </w:rPr>
        <w:t xml:space="preserve"> describe the Anton Piller application as a “fishing expedition”</w:t>
      </w:r>
      <w:r w:rsidR="006319B3" w:rsidRPr="00AB52EE">
        <w:rPr>
          <w:rFonts w:cs="Arial"/>
          <w:szCs w:val="24"/>
          <w:lang w:eastAsia="en-ZA"/>
        </w:rPr>
        <w:t>,</w:t>
      </w:r>
      <w:r w:rsidRPr="00AB52EE">
        <w:rPr>
          <w:rStyle w:val="FootnoteReference"/>
          <w:szCs w:val="24"/>
        </w:rPr>
        <w:footnoteReference w:id="89"/>
      </w:r>
      <w:r w:rsidRPr="00AB52EE">
        <w:rPr>
          <w:rFonts w:cs="Arial"/>
          <w:szCs w:val="24"/>
          <w:lang w:eastAsia="en-ZA"/>
        </w:rPr>
        <w:t xml:space="preserve"> and </w:t>
      </w:r>
      <w:r w:rsidR="003D23C8" w:rsidRPr="00AB52EE">
        <w:rPr>
          <w:rFonts w:cs="Arial"/>
          <w:szCs w:val="24"/>
          <w:lang w:eastAsia="en-ZA"/>
        </w:rPr>
        <w:t xml:space="preserve">submit </w:t>
      </w:r>
      <w:r w:rsidRPr="00AB52EE">
        <w:rPr>
          <w:rFonts w:cs="Arial"/>
          <w:szCs w:val="24"/>
          <w:lang w:eastAsia="en-ZA"/>
        </w:rPr>
        <w:t xml:space="preserve">that the formulation of the “relevant evidence” set out in paragraph </w:t>
      </w:r>
      <w:r w:rsidR="005F0770">
        <w:rPr>
          <w:rFonts w:cs="Arial"/>
          <w:szCs w:val="24"/>
          <w:lang w:eastAsia="en-ZA"/>
        </w:rPr>
        <w:fldChar w:fldCharType="begin"/>
      </w:r>
      <w:r w:rsidR="005F0770">
        <w:rPr>
          <w:rFonts w:cs="Arial"/>
          <w:szCs w:val="24"/>
          <w:lang w:eastAsia="en-ZA"/>
        </w:rPr>
        <w:instrText xml:space="preserve"> REF _Ref151504426 \r \h </w:instrText>
      </w:r>
      <w:r w:rsidR="005F0770">
        <w:rPr>
          <w:rFonts w:cs="Arial"/>
          <w:szCs w:val="24"/>
          <w:lang w:eastAsia="en-ZA"/>
        </w:rPr>
      </w:r>
      <w:r w:rsidR="005F0770">
        <w:rPr>
          <w:rFonts w:cs="Arial"/>
          <w:szCs w:val="24"/>
          <w:lang w:eastAsia="en-ZA"/>
        </w:rPr>
        <w:fldChar w:fldCharType="separate"/>
      </w:r>
      <w:r w:rsidR="00214B4A">
        <w:rPr>
          <w:rFonts w:cs="Arial"/>
          <w:szCs w:val="24"/>
          <w:lang w:eastAsia="en-ZA"/>
        </w:rPr>
        <w:t>[20]</w:t>
      </w:r>
      <w:r w:rsidR="005F0770">
        <w:rPr>
          <w:rFonts w:cs="Arial"/>
          <w:szCs w:val="24"/>
          <w:lang w:eastAsia="en-ZA"/>
        </w:rPr>
        <w:fldChar w:fldCharType="end"/>
      </w:r>
      <w:r w:rsidRPr="00AB52EE">
        <w:rPr>
          <w:rFonts w:cs="Arial"/>
          <w:szCs w:val="24"/>
          <w:lang w:eastAsia="en-ZA"/>
        </w:rPr>
        <w:t xml:space="preserve"> above was “vague and imprecise”</w:t>
      </w:r>
      <w:r w:rsidR="003D23C8" w:rsidRPr="00AB52EE">
        <w:rPr>
          <w:rFonts w:cs="Arial"/>
          <w:szCs w:val="24"/>
          <w:lang w:eastAsia="en-ZA"/>
        </w:rPr>
        <w:t xml:space="preserve">. </w:t>
      </w:r>
      <w:r w:rsidR="00E449B3" w:rsidRPr="00AB52EE">
        <w:rPr>
          <w:rFonts w:cs="Arial"/>
          <w:szCs w:val="24"/>
          <w:lang w:eastAsia="en-ZA"/>
        </w:rPr>
        <w:t xml:space="preserve">While </w:t>
      </w:r>
      <w:r w:rsidR="003D23C8" w:rsidRPr="00AB52EE">
        <w:rPr>
          <w:rFonts w:cs="Arial"/>
          <w:szCs w:val="24"/>
          <w:lang w:eastAsia="en-ZA"/>
        </w:rPr>
        <w:t xml:space="preserve">this would suggest that </w:t>
      </w:r>
      <w:r w:rsidR="00E449B3" w:rsidRPr="00AB52EE">
        <w:rPr>
          <w:rFonts w:cs="Arial"/>
          <w:szCs w:val="24"/>
          <w:lang w:eastAsia="en-ZA"/>
        </w:rPr>
        <w:t xml:space="preserve">the burden of Vanesco’s attack in relation to this requirement </w:t>
      </w:r>
      <w:r w:rsidRPr="00AB52EE">
        <w:rPr>
          <w:rFonts w:cs="Arial"/>
          <w:szCs w:val="24"/>
          <w:lang w:eastAsia="en-ZA"/>
        </w:rPr>
        <w:t>emphasise</w:t>
      </w:r>
      <w:r w:rsidR="003D23C8" w:rsidRPr="00AB52EE">
        <w:rPr>
          <w:rFonts w:cs="Arial"/>
          <w:szCs w:val="24"/>
          <w:lang w:eastAsia="en-ZA"/>
        </w:rPr>
        <w:t>s</w:t>
      </w:r>
      <w:r w:rsidRPr="00AB52EE">
        <w:rPr>
          <w:rFonts w:cs="Arial"/>
          <w:szCs w:val="24"/>
          <w:lang w:eastAsia="en-ZA"/>
        </w:rPr>
        <w:t xml:space="preserve"> the </w:t>
      </w:r>
      <w:r w:rsidR="00E449B3" w:rsidRPr="00AB52EE">
        <w:rPr>
          <w:rFonts w:cs="Arial"/>
          <w:szCs w:val="24"/>
          <w:lang w:eastAsia="en-ZA"/>
        </w:rPr>
        <w:t>specificity question</w:t>
      </w:r>
      <w:r w:rsidR="00293470" w:rsidRPr="00AB52EE">
        <w:rPr>
          <w:rFonts w:cs="Arial"/>
          <w:szCs w:val="24"/>
          <w:lang w:eastAsia="en-ZA"/>
        </w:rPr>
        <w:t xml:space="preserve"> referred to above</w:t>
      </w:r>
      <w:r w:rsidRPr="00AB52EE">
        <w:rPr>
          <w:rFonts w:cs="Arial"/>
          <w:szCs w:val="24"/>
          <w:lang w:eastAsia="en-ZA"/>
        </w:rPr>
        <w:t xml:space="preserve">, some of its complaints also implicate the importance </w:t>
      </w:r>
      <w:r w:rsidR="00293470" w:rsidRPr="00AB52EE">
        <w:rPr>
          <w:rFonts w:cs="Arial"/>
          <w:szCs w:val="24"/>
          <w:lang w:eastAsia="en-ZA"/>
        </w:rPr>
        <w:t xml:space="preserve">and possession </w:t>
      </w:r>
      <w:r w:rsidRPr="00AB52EE">
        <w:rPr>
          <w:rFonts w:cs="Arial"/>
          <w:szCs w:val="24"/>
          <w:lang w:eastAsia="en-ZA"/>
        </w:rPr>
        <w:t>question</w:t>
      </w:r>
      <w:r w:rsidR="00293470" w:rsidRPr="00AB52EE">
        <w:rPr>
          <w:rFonts w:cs="Arial"/>
          <w:szCs w:val="24"/>
          <w:lang w:eastAsia="en-ZA"/>
        </w:rPr>
        <w:t>s</w:t>
      </w:r>
      <w:r w:rsidRPr="00AB52EE">
        <w:rPr>
          <w:rFonts w:cs="Arial"/>
          <w:szCs w:val="24"/>
          <w:lang w:eastAsia="en-ZA"/>
        </w:rPr>
        <w:t>.</w:t>
      </w:r>
      <w:r w:rsidR="003D23C8" w:rsidRPr="00AB52EE">
        <w:rPr>
          <w:rFonts w:cs="Arial"/>
          <w:szCs w:val="24"/>
          <w:lang w:eastAsia="en-ZA"/>
        </w:rPr>
        <w:t xml:space="preserve"> </w:t>
      </w:r>
    </w:p>
    <w:p w14:paraId="0C3C7B77" w14:textId="43B698D7" w:rsidR="00120BFC" w:rsidRPr="00AB52EE" w:rsidRDefault="007A0348" w:rsidP="002C7131">
      <w:pPr>
        <w:pStyle w:val="LC1"/>
        <w:keepNext/>
        <w:numPr>
          <w:ilvl w:val="0"/>
          <w:numId w:val="0"/>
        </w:numPr>
        <w:rPr>
          <w:rFonts w:cs="Arial"/>
          <w:szCs w:val="24"/>
          <w:u w:val="single"/>
          <w:lang w:eastAsia="en-ZA"/>
        </w:rPr>
      </w:pPr>
      <w:r w:rsidRPr="00AB52EE">
        <w:rPr>
          <w:rFonts w:cs="Arial"/>
          <w:szCs w:val="24"/>
          <w:u w:val="single"/>
          <w:lang w:eastAsia="en-ZA"/>
        </w:rPr>
        <w:t xml:space="preserve">Aspects </w:t>
      </w:r>
      <w:r w:rsidR="000B1174" w:rsidRPr="00AB52EE">
        <w:rPr>
          <w:rFonts w:cs="Arial"/>
          <w:szCs w:val="24"/>
          <w:u w:val="single"/>
          <w:lang w:eastAsia="en-ZA"/>
        </w:rPr>
        <w:t xml:space="preserve">of the order impugned on the basis of the </w:t>
      </w:r>
      <w:r w:rsidR="00120BFC" w:rsidRPr="00AB52EE">
        <w:rPr>
          <w:rFonts w:cs="Arial"/>
          <w:szCs w:val="24"/>
          <w:u w:val="single"/>
          <w:lang w:eastAsia="en-ZA"/>
        </w:rPr>
        <w:t>importance question</w:t>
      </w:r>
    </w:p>
    <w:p w14:paraId="530A9F36" w14:textId="5FFB4072" w:rsidR="0068257B" w:rsidRPr="00AB52EE" w:rsidRDefault="00665CA5" w:rsidP="007A27ED">
      <w:pPr>
        <w:pStyle w:val="LC1"/>
        <w:rPr>
          <w:rFonts w:cs="Arial"/>
          <w:szCs w:val="24"/>
          <w:lang w:eastAsia="en-ZA"/>
        </w:rPr>
      </w:pPr>
      <w:r w:rsidRPr="00AB52EE">
        <w:rPr>
          <w:rFonts w:cs="Arial"/>
          <w:szCs w:val="24"/>
          <w:lang w:eastAsia="en-ZA"/>
        </w:rPr>
        <w:t xml:space="preserve">The respondents’ </w:t>
      </w:r>
      <w:r w:rsidR="00A02A7A" w:rsidRPr="00AB52EE">
        <w:rPr>
          <w:rFonts w:cs="Arial"/>
          <w:szCs w:val="24"/>
          <w:lang w:eastAsia="en-ZA"/>
        </w:rPr>
        <w:t>first complaint regard</w:t>
      </w:r>
      <w:r w:rsidR="00C369EE" w:rsidRPr="00AB52EE">
        <w:rPr>
          <w:rFonts w:cs="Arial"/>
          <w:szCs w:val="24"/>
          <w:lang w:eastAsia="en-ZA"/>
        </w:rPr>
        <w:t xml:space="preserve">ing the second threshold question </w:t>
      </w:r>
      <w:r w:rsidR="00A02A7A" w:rsidRPr="00AB52EE">
        <w:rPr>
          <w:rFonts w:cs="Arial"/>
          <w:szCs w:val="24"/>
          <w:lang w:eastAsia="en-ZA"/>
        </w:rPr>
        <w:t xml:space="preserve">is that while Supercart’s professed </w:t>
      </w:r>
      <w:r w:rsidR="00C369EE" w:rsidRPr="00AB52EE">
        <w:rPr>
          <w:rFonts w:cs="Arial"/>
          <w:szCs w:val="24"/>
          <w:lang w:eastAsia="en-ZA"/>
        </w:rPr>
        <w:t xml:space="preserve">intention of </w:t>
      </w:r>
      <w:r w:rsidR="00A02A7A" w:rsidRPr="00AB52EE">
        <w:rPr>
          <w:rFonts w:cs="Arial"/>
          <w:szCs w:val="24"/>
          <w:lang w:eastAsia="en-ZA"/>
        </w:rPr>
        <w:t xml:space="preserve">bringing the Anton Piller application was to preserve evidence for the purposes of the contempt application, </w:t>
      </w:r>
      <w:r w:rsidR="00C369EE" w:rsidRPr="00AB52EE">
        <w:rPr>
          <w:rFonts w:cs="Arial"/>
          <w:szCs w:val="24"/>
          <w:lang w:eastAsia="en-ZA"/>
        </w:rPr>
        <w:t xml:space="preserve">it contends that </w:t>
      </w:r>
      <w:r w:rsidR="00A02A7A" w:rsidRPr="00AB52EE">
        <w:rPr>
          <w:rFonts w:cs="Arial"/>
          <w:szCs w:val="24"/>
        </w:rPr>
        <w:t xml:space="preserve">the order </w:t>
      </w:r>
      <w:r w:rsidR="0068257B" w:rsidRPr="00AB52EE">
        <w:rPr>
          <w:rFonts w:cs="Arial"/>
          <w:szCs w:val="24"/>
        </w:rPr>
        <w:t xml:space="preserve">as </w:t>
      </w:r>
      <w:r w:rsidR="00A02A7A" w:rsidRPr="00AB52EE">
        <w:rPr>
          <w:rFonts w:cs="Arial"/>
          <w:szCs w:val="24"/>
        </w:rPr>
        <w:t xml:space="preserve">granted permits the search for documents and articles “relating to” </w:t>
      </w:r>
      <w:r w:rsidR="0068257B" w:rsidRPr="00AB52EE">
        <w:rPr>
          <w:rFonts w:cs="Arial"/>
          <w:szCs w:val="24"/>
        </w:rPr>
        <w:t xml:space="preserve">four other </w:t>
      </w:r>
      <w:r w:rsidR="00A02A7A" w:rsidRPr="00AB52EE">
        <w:rPr>
          <w:rFonts w:cs="Arial"/>
          <w:szCs w:val="24"/>
        </w:rPr>
        <w:t>“sets of proceedings”.</w:t>
      </w:r>
      <w:r w:rsidR="0068257B" w:rsidRPr="00AB52EE">
        <w:rPr>
          <w:rFonts w:cs="Arial"/>
          <w:szCs w:val="24"/>
        </w:rPr>
        <w:t xml:space="preserve"> </w:t>
      </w:r>
      <w:r w:rsidR="00A02A7A" w:rsidRPr="00AB52EE">
        <w:rPr>
          <w:rFonts w:cs="Arial"/>
          <w:szCs w:val="24"/>
          <w:lang w:eastAsia="en-ZA"/>
        </w:rPr>
        <w:t xml:space="preserve">This </w:t>
      </w:r>
      <w:r w:rsidR="00C369EE" w:rsidRPr="00AB52EE">
        <w:rPr>
          <w:rFonts w:cs="Arial"/>
          <w:szCs w:val="24"/>
          <w:lang w:eastAsia="en-ZA"/>
        </w:rPr>
        <w:t xml:space="preserve">contention </w:t>
      </w:r>
      <w:r w:rsidR="00A02A7A" w:rsidRPr="00AB52EE">
        <w:rPr>
          <w:rFonts w:cs="Arial"/>
          <w:szCs w:val="24"/>
          <w:lang w:eastAsia="en-ZA"/>
        </w:rPr>
        <w:t xml:space="preserve">is </w:t>
      </w:r>
      <w:r w:rsidR="00C369EE" w:rsidRPr="00AB52EE">
        <w:rPr>
          <w:rFonts w:cs="Arial"/>
          <w:szCs w:val="24"/>
          <w:lang w:eastAsia="en-ZA"/>
        </w:rPr>
        <w:t xml:space="preserve">advanced </w:t>
      </w:r>
      <w:r w:rsidR="00A02A7A" w:rsidRPr="00AB52EE">
        <w:rPr>
          <w:rFonts w:cs="Arial"/>
          <w:szCs w:val="24"/>
          <w:lang w:eastAsia="en-ZA"/>
        </w:rPr>
        <w:t>on the basis of</w:t>
      </w:r>
      <w:r w:rsidR="00272FA3" w:rsidRPr="00AB52EE">
        <w:rPr>
          <w:rFonts w:cs="Arial"/>
          <w:szCs w:val="24"/>
          <w:lang w:eastAsia="en-ZA"/>
        </w:rPr>
        <w:t>:</w:t>
      </w:r>
      <w:r w:rsidR="00A02A7A" w:rsidRPr="00AB52EE">
        <w:rPr>
          <w:rFonts w:cs="Arial"/>
          <w:szCs w:val="24"/>
          <w:lang w:eastAsia="en-ZA"/>
        </w:rPr>
        <w:t xml:space="preserve"> </w:t>
      </w:r>
    </w:p>
    <w:p w14:paraId="17E138EA" w14:textId="0C64E497" w:rsidR="0068257B" w:rsidRPr="00AB52EE" w:rsidRDefault="0068257B" w:rsidP="007A27ED">
      <w:pPr>
        <w:pStyle w:val="LC2"/>
        <w:rPr>
          <w:rFonts w:cs="Arial"/>
          <w:szCs w:val="24"/>
          <w:lang w:eastAsia="en-ZA"/>
        </w:rPr>
      </w:pPr>
      <w:r w:rsidRPr="00AB52EE">
        <w:rPr>
          <w:rFonts w:cs="Arial"/>
          <w:szCs w:val="24"/>
          <w:lang w:eastAsia="en-ZA"/>
        </w:rPr>
        <w:t xml:space="preserve">paragraph 2 of the preamble to the order and paragraph 8 thereof, which records Supercart’s undertaking </w:t>
      </w:r>
      <w:r w:rsidR="00C369EE" w:rsidRPr="00AB52EE">
        <w:rPr>
          <w:rFonts w:cs="Arial"/>
          <w:szCs w:val="24"/>
          <w:lang w:eastAsia="en-ZA"/>
        </w:rPr>
        <w:t xml:space="preserve">and obligation </w:t>
      </w:r>
      <w:r w:rsidRPr="00AB52EE">
        <w:rPr>
          <w:rFonts w:cs="Arial"/>
          <w:szCs w:val="24"/>
          <w:lang w:eastAsia="en-ZA"/>
        </w:rPr>
        <w:t xml:space="preserve">to </w:t>
      </w:r>
      <w:r w:rsidRPr="00AB52EE">
        <w:rPr>
          <w:rFonts w:cs="Arial"/>
          <w:szCs w:val="24"/>
        </w:rPr>
        <w:t xml:space="preserve">prevent the </w:t>
      </w:r>
      <w:r w:rsidRPr="00AB52EE">
        <w:rPr>
          <w:rFonts w:cs="Arial"/>
          <w:szCs w:val="24"/>
        </w:rPr>
        <w:lastRenderedPageBreak/>
        <w:t xml:space="preserve">disclosure of information </w:t>
      </w:r>
      <w:r w:rsidR="003D662A" w:rsidRPr="00AB52EE">
        <w:rPr>
          <w:rFonts w:cs="Arial"/>
          <w:szCs w:val="24"/>
        </w:rPr>
        <w:t xml:space="preserve">obtained </w:t>
      </w:r>
      <w:r w:rsidRPr="00AB52EE">
        <w:rPr>
          <w:rFonts w:cs="Arial"/>
          <w:szCs w:val="24"/>
        </w:rPr>
        <w:t xml:space="preserve">during the execution except for the purposes </w:t>
      </w:r>
      <w:r w:rsidR="00C369EE" w:rsidRPr="00AB52EE">
        <w:rPr>
          <w:rFonts w:cs="Arial"/>
          <w:szCs w:val="24"/>
        </w:rPr>
        <w:t xml:space="preserve">of </w:t>
      </w:r>
      <w:r w:rsidRPr="00AB52EE">
        <w:rPr>
          <w:rFonts w:cs="Arial"/>
          <w:szCs w:val="24"/>
        </w:rPr>
        <w:t>the “further legal proceedings referred to in the Founding Affidavit” in circumstances where that affidavit “refers to” the contempt application, and four other proceedings (three applications and an action);</w:t>
      </w:r>
    </w:p>
    <w:p w14:paraId="7C98A317" w14:textId="4A862100" w:rsidR="0068257B" w:rsidRPr="00AB52EE" w:rsidRDefault="0068257B" w:rsidP="007A27ED">
      <w:pPr>
        <w:pStyle w:val="LC2"/>
        <w:rPr>
          <w:rFonts w:cs="Arial"/>
          <w:szCs w:val="24"/>
          <w:lang w:eastAsia="en-ZA"/>
        </w:rPr>
      </w:pPr>
      <w:r w:rsidRPr="00AB52EE">
        <w:rPr>
          <w:rFonts w:cs="Arial"/>
          <w:szCs w:val="24"/>
          <w:lang w:eastAsia="en-ZA"/>
        </w:rPr>
        <w:t>paragraph 16.3 of the order, which requires the Sheriff</w:t>
      </w:r>
      <w:r w:rsidR="00441882" w:rsidRPr="00AB52EE">
        <w:rPr>
          <w:rFonts w:cs="Arial"/>
          <w:szCs w:val="24"/>
          <w:lang w:eastAsia="en-ZA"/>
        </w:rPr>
        <w:t>s</w:t>
      </w:r>
      <w:r w:rsidRPr="00AB52EE">
        <w:rPr>
          <w:rFonts w:cs="Arial"/>
          <w:szCs w:val="24"/>
          <w:lang w:eastAsia="en-ZA"/>
        </w:rPr>
        <w:t xml:space="preserve"> to give the occupants of </w:t>
      </w:r>
      <w:r w:rsidR="00C369EE" w:rsidRPr="00AB52EE">
        <w:rPr>
          <w:rFonts w:cs="Arial"/>
          <w:szCs w:val="24"/>
          <w:lang w:eastAsia="en-ZA"/>
        </w:rPr>
        <w:t xml:space="preserve">the searched </w:t>
      </w:r>
      <w:r w:rsidRPr="00AB52EE">
        <w:rPr>
          <w:rFonts w:cs="Arial"/>
          <w:szCs w:val="24"/>
          <w:lang w:eastAsia="en-ZA"/>
        </w:rPr>
        <w:t>premises “a copy of each of the Bundles referenced in the founding affidavit”, in circumstances where that affidavit “</w:t>
      </w:r>
      <w:r w:rsidR="00C369EE" w:rsidRPr="00AB52EE">
        <w:rPr>
          <w:rFonts w:cs="Arial"/>
          <w:szCs w:val="24"/>
          <w:lang w:eastAsia="en-ZA"/>
        </w:rPr>
        <w:t>references</w:t>
      </w:r>
      <w:r w:rsidRPr="00AB52EE">
        <w:rPr>
          <w:rFonts w:cs="Arial"/>
          <w:szCs w:val="24"/>
          <w:lang w:eastAsia="en-ZA"/>
        </w:rPr>
        <w:t>” bundles relating to the contempt application and the other four proceedings</w:t>
      </w:r>
      <w:r w:rsidR="00C369EE" w:rsidRPr="00AB52EE">
        <w:rPr>
          <w:rFonts w:cs="Arial"/>
          <w:szCs w:val="24"/>
          <w:lang w:eastAsia="en-ZA"/>
        </w:rPr>
        <w:t>; and</w:t>
      </w:r>
      <w:r w:rsidRPr="00AB52EE">
        <w:rPr>
          <w:rFonts w:cs="Arial"/>
          <w:szCs w:val="24"/>
          <w:lang w:eastAsia="en-ZA"/>
        </w:rPr>
        <w:t xml:space="preserve"> </w:t>
      </w:r>
    </w:p>
    <w:p w14:paraId="66484E1F" w14:textId="4251D06A" w:rsidR="00171714" w:rsidRPr="00AB52EE" w:rsidRDefault="00171714" w:rsidP="007A27ED">
      <w:pPr>
        <w:pStyle w:val="LC2"/>
        <w:rPr>
          <w:rFonts w:cs="Arial"/>
          <w:szCs w:val="24"/>
          <w:lang w:eastAsia="en-ZA"/>
        </w:rPr>
      </w:pPr>
      <w:r w:rsidRPr="00AB52EE">
        <w:rPr>
          <w:rFonts w:cs="Arial"/>
          <w:szCs w:val="24"/>
          <w:lang w:eastAsia="en-ZA"/>
        </w:rPr>
        <w:t xml:space="preserve">Paragraph </w:t>
      </w:r>
      <w:r w:rsidR="0068257B" w:rsidRPr="00AB52EE">
        <w:rPr>
          <w:rFonts w:cs="Arial"/>
          <w:szCs w:val="24"/>
          <w:lang w:eastAsia="en-ZA"/>
        </w:rPr>
        <w:t>16.5.d of the order</w:t>
      </w:r>
      <w:r w:rsidRPr="00AB52EE">
        <w:rPr>
          <w:rFonts w:cs="Arial"/>
          <w:szCs w:val="24"/>
          <w:lang w:eastAsia="en-ZA"/>
        </w:rPr>
        <w:t xml:space="preserve">, which requires the </w:t>
      </w:r>
      <w:r w:rsidR="00A04F0D" w:rsidRPr="00AB52EE">
        <w:rPr>
          <w:rFonts w:cs="Arial"/>
          <w:szCs w:val="24"/>
          <w:lang w:eastAsia="en-ZA"/>
        </w:rPr>
        <w:t>S</w:t>
      </w:r>
      <w:r w:rsidRPr="00AB52EE">
        <w:rPr>
          <w:rFonts w:cs="Arial"/>
          <w:szCs w:val="24"/>
          <w:lang w:eastAsia="en-ZA"/>
        </w:rPr>
        <w:t>heriff</w:t>
      </w:r>
      <w:r w:rsidR="00441882" w:rsidRPr="00AB52EE">
        <w:rPr>
          <w:rFonts w:cs="Arial"/>
          <w:szCs w:val="24"/>
          <w:lang w:eastAsia="en-ZA"/>
        </w:rPr>
        <w:t>s</w:t>
      </w:r>
      <w:r w:rsidRPr="00AB52EE">
        <w:rPr>
          <w:rFonts w:cs="Arial"/>
          <w:szCs w:val="24"/>
          <w:lang w:eastAsia="en-ZA"/>
        </w:rPr>
        <w:t xml:space="preserve"> to inform the occupants of </w:t>
      </w:r>
      <w:r w:rsidR="00C369EE" w:rsidRPr="00AB52EE">
        <w:rPr>
          <w:rFonts w:cs="Arial"/>
          <w:szCs w:val="24"/>
          <w:lang w:eastAsia="en-ZA"/>
        </w:rPr>
        <w:t xml:space="preserve">the searched </w:t>
      </w:r>
      <w:r w:rsidRPr="00AB52EE">
        <w:rPr>
          <w:rFonts w:cs="Arial"/>
          <w:szCs w:val="24"/>
          <w:lang w:eastAsia="en-ZA"/>
        </w:rPr>
        <w:t>premises that “[t]</w:t>
      </w:r>
      <w:r w:rsidRPr="00AB52EE">
        <w:rPr>
          <w:rFonts w:cs="Arial"/>
          <w:szCs w:val="24"/>
        </w:rPr>
        <w:t>he execution of this order does not dispose of all the relief sought by the Applicant.”</w:t>
      </w:r>
    </w:p>
    <w:p w14:paraId="04C471DB" w14:textId="6334DCBF" w:rsidR="002C436E" w:rsidRPr="00AB52EE" w:rsidRDefault="00A02A7A" w:rsidP="007A27ED">
      <w:pPr>
        <w:pStyle w:val="LC1"/>
        <w:rPr>
          <w:rFonts w:cs="Arial"/>
          <w:szCs w:val="24"/>
          <w:lang w:eastAsia="en-ZA"/>
        </w:rPr>
      </w:pPr>
      <w:r w:rsidRPr="00AB52EE">
        <w:rPr>
          <w:rFonts w:cs="Arial"/>
          <w:szCs w:val="24"/>
          <w:lang w:eastAsia="en-ZA"/>
        </w:rPr>
        <w:t xml:space="preserve">Even if I accept that it is inappropriate to seek Anton Piller relief in respect of multiple different proceedings (I was referred to no authority for this proposition), I do not consider this </w:t>
      </w:r>
      <w:r w:rsidR="002C436E" w:rsidRPr="00AB52EE">
        <w:rPr>
          <w:rFonts w:cs="Arial"/>
          <w:szCs w:val="24"/>
          <w:lang w:eastAsia="en-ZA"/>
        </w:rPr>
        <w:t>challenge to be justified</w:t>
      </w:r>
      <w:r w:rsidRPr="00AB52EE">
        <w:rPr>
          <w:rFonts w:cs="Arial"/>
          <w:szCs w:val="24"/>
          <w:lang w:eastAsia="en-ZA"/>
        </w:rPr>
        <w:t>.</w:t>
      </w:r>
      <w:r w:rsidR="00272FA3" w:rsidRPr="00AB52EE">
        <w:rPr>
          <w:rFonts w:cs="Arial"/>
          <w:szCs w:val="24"/>
          <w:lang w:eastAsia="en-ZA"/>
        </w:rPr>
        <w:t xml:space="preserve"> </w:t>
      </w:r>
      <w:r w:rsidR="00665CA5" w:rsidRPr="00AB52EE">
        <w:rPr>
          <w:rFonts w:cs="Arial"/>
          <w:szCs w:val="24"/>
          <w:lang w:eastAsia="en-ZA"/>
        </w:rPr>
        <w:t xml:space="preserve">The respondents </w:t>
      </w:r>
      <w:r w:rsidR="00272FA3" w:rsidRPr="00AB52EE">
        <w:rPr>
          <w:rFonts w:cs="Arial"/>
          <w:szCs w:val="24"/>
          <w:lang w:eastAsia="en-ZA"/>
        </w:rPr>
        <w:t xml:space="preserve">are </w:t>
      </w:r>
      <w:r w:rsidR="00226B0C" w:rsidRPr="00AB52EE">
        <w:rPr>
          <w:rFonts w:cs="Arial"/>
          <w:szCs w:val="24"/>
          <w:lang w:eastAsia="en-ZA"/>
        </w:rPr>
        <w:t>overinterpreting the terms of the order</w:t>
      </w:r>
      <w:r w:rsidR="002108BB" w:rsidRPr="00AB52EE">
        <w:rPr>
          <w:rFonts w:cs="Arial"/>
          <w:szCs w:val="24"/>
          <w:lang w:eastAsia="en-ZA"/>
        </w:rPr>
        <w:t>:</w:t>
      </w:r>
      <w:r w:rsidR="00272FA3" w:rsidRPr="00AB52EE">
        <w:rPr>
          <w:rFonts w:cs="Arial"/>
          <w:szCs w:val="24"/>
          <w:lang w:eastAsia="en-ZA"/>
        </w:rPr>
        <w:t xml:space="preserve"> </w:t>
      </w:r>
    </w:p>
    <w:p w14:paraId="3F2B6343" w14:textId="57B55D34" w:rsidR="00A02A7A" w:rsidRPr="00AB52EE" w:rsidRDefault="00A02A7A" w:rsidP="007A27ED">
      <w:pPr>
        <w:pStyle w:val="LC2"/>
        <w:rPr>
          <w:rFonts w:cs="Arial"/>
          <w:szCs w:val="24"/>
          <w:lang w:eastAsia="en-ZA"/>
        </w:rPr>
      </w:pPr>
      <w:r w:rsidRPr="00AB52EE">
        <w:rPr>
          <w:rFonts w:cs="Arial"/>
          <w:szCs w:val="24"/>
          <w:lang w:eastAsia="en-ZA"/>
        </w:rPr>
        <w:t xml:space="preserve">Firstly, two of the proceedings </w:t>
      </w:r>
      <w:r w:rsidR="0013148E" w:rsidRPr="00AB52EE">
        <w:rPr>
          <w:rFonts w:cs="Arial"/>
          <w:szCs w:val="24"/>
          <w:lang w:eastAsia="en-ZA"/>
        </w:rPr>
        <w:t>(</w:t>
      </w:r>
      <w:r w:rsidRPr="00AB52EE">
        <w:rPr>
          <w:rFonts w:cs="Arial"/>
          <w:szCs w:val="24"/>
          <w:lang w:eastAsia="en-ZA"/>
        </w:rPr>
        <w:t>the interlocutory application to compel and the application for referral to trial</w:t>
      </w:r>
      <w:r w:rsidR="0013148E" w:rsidRPr="00AB52EE">
        <w:rPr>
          <w:rFonts w:cs="Arial"/>
          <w:szCs w:val="24"/>
          <w:lang w:eastAsia="en-ZA"/>
        </w:rPr>
        <w:t xml:space="preserve">) are already complete. </w:t>
      </w:r>
      <w:r w:rsidR="00272FA3" w:rsidRPr="00AB52EE">
        <w:rPr>
          <w:rFonts w:cs="Arial"/>
          <w:szCs w:val="24"/>
          <w:lang w:eastAsia="en-ZA"/>
        </w:rPr>
        <w:t xml:space="preserve">As such, the suggestion </w:t>
      </w:r>
      <w:r w:rsidR="0013148E" w:rsidRPr="00AB52EE">
        <w:rPr>
          <w:rFonts w:cs="Arial"/>
          <w:szCs w:val="24"/>
          <w:lang w:eastAsia="en-ZA"/>
        </w:rPr>
        <w:t xml:space="preserve">that the </w:t>
      </w:r>
      <w:r w:rsidR="00272FA3" w:rsidRPr="00AB52EE">
        <w:rPr>
          <w:rFonts w:cs="Arial"/>
          <w:szCs w:val="24"/>
          <w:lang w:eastAsia="en-ZA"/>
        </w:rPr>
        <w:t xml:space="preserve">Supercart’s intention was to utilise the </w:t>
      </w:r>
      <w:r w:rsidR="0013148E" w:rsidRPr="00AB52EE">
        <w:rPr>
          <w:rFonts w:cs="Arial"/>
          <w:szCs w:val="24"/>
          <w:lang w:eastAsia="en-ZA"/>
        </w:rPr>
        <w:t xml:space="preserve">fruits of the Anton Piller order </w:t>
      </w:r>
      <w:r w:rsidR="00272FA3" w:rsidRPr="00AB52EE">
        <w:rPr>
          <w:rFonts w:cs="Arial"/>
          <w:szCs w:val="24"/>
          <w:lang w:eastAsia="en-ZA"/>
        </w:rPr>
        <w:t xml:space="preserve">for </w:t>
      </w:r>
      <w:r w:rsidR="0013148E" w:rsidRPr="00AB52EE">
        <w:rPr>
          <w:rFonts w:cs="Arial"/>
          <w:szCs w:val="24"/>
          <w:lang w:eastAsia="en-ZA"/>
        </w:rPr>
        <w:t xml:space="preserve">the purposes of </w:t>
      </w:r>
      <w:r w:rsidR="00272FA3" w:rsidRPr="00AB52EE">
        <w:rPr>
          <w:rFonts w:cs="Arial"/>
          <w:szCs w:val="24"/>
          <w:lang w:eastAsia="en-ZA"/>
        </w:rPr>
        <w:t xml:space="preserve">those proceedings is unsustainable. </w:t>
      </w:r>
    </w:p>
    <w:p w14:paraId="300323CE" w14:textId="050AF6C6" w:rsidR="00D65B2E" w:rsidRPr="00AB52EE" w:rsidRDefault="00D65B2E" w:rsidP="007A27ED">
      <w:pPr>
        <w:pStyle w:val="LC2"/>
        <w:rPr>
          <w:rFonts w:cs="Arial"/>
          <w:szCs w:val="24"/>
          <w:lang w:eastAsia="en-ZA"/>
        </w:rPr>
      </w:pPr>
      <w:r w:rsidRPr="00AB52EE">
        <w:rPr>
          <w:rFonts w:cs="Arial"/>
          <w:szCs w:val="24"/>
          <w:lang w:eastAsia="en-ZA"/>
        </w:rPr>
        <w:t xml:space="preserve">Secondly, both of the above applications were interlocutory to the third </w:t>
      </w:r>
      <w:r w:rsidRPr="00AB52EE">
        <w:rPr>
          <w:rFonts w:cs="Arial"/>
          <w:szCs w:val="24"/>
          <w:lang w:eastAsia="en-ZA"/>
        </w:rPr>
        <w:lastRenderedPageBreak/>
        <w:t>application, which is the enforcement application that was referred to trial. In view of Vanesco’s defence in that mat</w:t>
      </w:r>
      <w:r w:rsidR="00226B0C" w:rsidRPr="00AB52EE">
        <w:rPr>
          <w:rFonts w:cs="Arial"/>
          <w:szCs w:val="24"/>
          <w:lang w:eastAsia="en-ZA"/>
        </w:rPr>
        <w:t>t</w:t>
      </w:r>
      <w:r w:rsidRPr="00AB52EE">
        <w:rPr>
          <w:rFonts w:cs="Arial"/>
          <w:szCs w:val="24"/>
          <w:lang w:eastAsia="en-ZA"/>
        </w:rPr>
        <w:t xml:space="preserve">er (i.e. that its manufacture and distribution of the </w:t>
      </w:r>
      <w:r w:rsidRPr="00AB52EE">
        <w:rPr>
          <w:rFonts w:cs="Arial"/>
          <w:szCs w:val="24"/>
        </w:rPr>
        <w:t>Hybrid 90L trolley is not unlawful)</w:t>
      </w:r>
      <w:r w:rsidRPr="00AB52EE">
        <w:rPr>
          <w:rFonts w:cs="Arial"/>
          <w:szCs w:val="24"/>
          <w:lang w:eastAsia="en-ZA"/>
        </w:rPr>
        <w:t xml:space="preserve">, the only circumstances under which the </w:t>
      </w:r>
      <w:r w:rsidR="00DC3014" w:rsidRPr="00AB52EE">
        <w:rPr>
          <w:rFonts w:cs="Arial"/>
          <w:szCs w:val="24"/>
        </w:rPr>
        <w:t xml:space="preserve">attached </w:t>
      </w:r>
      <w:r w:rsidR="0046341C" w:rsidRPr="00AB52EE">
        <w:rPr>
          <w:rFonts w:cs="Arial"/>
          <w:szCs w:val="24"/>
          <w:lang w:eastAsia="en-ZA"/>
        </w:rPr>
        <w:t xml:space="preserve">items </w:t>
      </w:r>
      <w:r w:rsidR="00226B0C" w:rsidRPr="00AB52EE">
        <w:rPr>
          <w:rFonts w:cs="Arial"/>
          <w:szCs w:val="24"/>
          <w:lang w:eastAsia="en-ZA"/>
        </w:rPr>
        <w:t xml:space="preserve">could ever be used for the purposes of that case </w:t>
      </w:r>
      <w:r w:rsidRPr="00AB52EE">
        <w:rPr>
          <w:rFonts w:cs="Arial"/>
          <w:szCs w:val="24"/>
          <w:lang w:eastAsia="en-ZA"/>
        </w:rPr>
        <w:t xml:space="preserve">would be if it were </w:t>
      </w:r>
      <w:r w:rsidR="00226B0C" w:rsidRPr="00AB52EE">
        <w:rPr>
          <w:rFonts w:cs="Arial"/>
          <w:szCs w:val="24"/>
          <w:lang w:eastAsia="en-ZA"/>
        </w:rPr>
        <w:t xml:space="preserve">to be </w:t>
      </w:r>
      <w:r w:rsidRPr="00AB52EE">
        <w:rPr>
          <w:rFonts w:cs="Arial"/>
          <w:szCs w:val="24"/>
          <w:lang w:eastAsia="en-ZA"/>
        </w:rPr>
        <w:t xml:space="preserve">found that </w:t>
      </w:r>
      <w:r w:rsidR="00226B0C" w:rsidRPr="00AB52EE">
        <w:rPr>
          <w:rFonts w:cs="Arial"/>
          <w:szCs w:val="24"/>
          <w:lang w:eastAsia="en-ZA"/>
        </w:rPr>
        <w:t xml:space="preserve">Vanesco’s conduct does indeed infringe Supercart’s registered design. </w:t>
      </w:r>
      <w:r w:rsidRPr="00AB52EE">
        <w:rPr>
          <w:rFonts w:cs="Arial"/>
          <w:szCs w:val="24"/>
          <w:lang w:eastAsia="en-ZA"/>
        </w:rPr>
        <w:t xml:space="preserve"> </w:t>
      </w:r>
    </w:p>
    <w:p w14:paraId="69C298FB" w14:textId="2956672E" w:rsidR="00D65B2E" w:rsidRPr="00AB52EE" w:rsidRDefault="00226B0C" w:rsidP="007A27ED">
      <w:pPr>
        <w:pStyle w:val="LC2"/>
        <w:rPr>
          <w:rFonts w:cs="Arial"/>
          <w:szCs w:val="24"/>
          <w:lang w:eastAsia="en-ZA"/>
        </w:rPr>
      </w:pPr>
      <w:r w:rsidRPr="00AB52EE">
        <w:rPr>
          <w:rFonts w:cs="Arial"/>
          <w:szCs w:val="24"/>
          <w:lang w:eastAsia="en-ZA"/>
        </w:rPr>
        <w:t>Thirdly</w:t>
      </w:r>
      <w:r w:rsidR="00D65B2E" w:rsidRPr="00AB52EE">
        <w:rPr>
          <w:rFonts w:cs="Arial"/>
          <w:szCs w:val="24"/>
          <w:lang w:eastAsia="en-ZA"/>
        </w:rPr>
        <w:t xml:space="preserve">, </w:t>
      </w:r>
      <w:r w:rsidRPr="00AB52EE">
        <w:rPr>
          <w:rFonts w:cs="Arial"/>
          <w:szCs w:val="24"/>
          <w:lang w:eastAsia="en-ZA"/>
        </w:rPr>
        <w:t xml:space="preserve">the same applies even more clearly to </w:t>
      </w:r>
      <w:r w:rsidR="00D65B2E" w:rsidRPr="00AB52EE">
        <w:rPr>
          <w:rFonts w:cs="Arial"/>
          <w:szCs w:val="24"/>
          <w:lang w:eastAsia="en-ZA"/>
        </w:rPr>
        <w:t>the action</w:t>
      </w:r>
      <w:r w:rsidRPr="00AB52EE">
        <w:rPr>
          <w:rFonts w:cs="Arial"/>
          <w:szCs w:val="24"/>
          <w:lang w:eastAsia="en-ZA"/>
        </w:rPr>
        <w:t xml:space="preserve"> referred to in the founding affidavit: it has nothing to with the </w:t>
      </w:r>
      <w:r w:rsidRPr="00AB52EE">
        <w:rPr>
          <w:rFonts w:cs="Arial"/>
          <w:szCs w:val="24"/>
        </w:rPr>
        <w:t>Hybrid 90</w:t>
      </w:r>
      <w:r w:rsidR="00C369EE" w:rsidRPr="00AB52EE">
        <w:rPr>
          <w:rFonts w:cs="Arial"/>
          <w:szCs w:val="24"/>
        </w:rPr>
        <w:t xml:space="preserve"> litre</w:t>
      </w:r>
      <w:r w:rsidRPr="00AB52EE">
        <w:rPr>
          <w:rFonts w:cs="Arial"/>
          <w:szCs w:val="24"/>
        </w:rPr>
        <w:t xml:space="preserve"> trolley, </w:t>
      </w:r>
      <w:r w:rsidR="00C369EE" w:rsidRPr="00AB52EE">
        <w:rPr>
          <w:rFonts w:cs="Arial"/>
          <w:szCs w:val="24"/>
        </w:rPr>
        <w:t xml:space="preserve">but </w:t>
      </w:r>
      <w:r w:rsidRPr="00AB52EE">
        <w:rPr>
          <w:rFonts w:cs="Arial"/>
          <w:szCs w:val="24"/>
        </w:rPr>
        <w:t xml:space="preserve">relates to the </w:t>
      </w:r>
      <w:r w:rsidR="00170CCE" w:rsidRPr="00AB52EE">
        <w:rPr>
          <w:rFonts w:cs="Arial"/>
          <w:szCs w:val="24"/>
        </w:rPr>
        <w:t xml:space="preserve">Hybrid </w:t>
      </w:r>
      <w:r w:rsidRPr="00AB52EE">
        <w:rPr>
          <w:rFonts w:cs="Arial"/>
          <w:szCs w:val="24"/>
        </w:rPr>
        <w:t>180</w:t>
      </w:r>
      <w:r w:rsidR="00C369EE" w:rsidRPr="00AB52EE">
        <w:rPr>
          <w:rFonts w:cs="Arial"/>
          <w:szCs w:val="24"/>
        </w:rPr>
        <w:t xml:space="preserve"> litre</w:t>
      </w:r>
      <w:r w:rsidRPr="00AB52EE">
        <w:rPr>
          <w:rFonts w:cs="Arial"/>
          <w:szCs w:val="24"/>
        </w:rPr>
        <w:t xml:space="preserve"> model. </w:t>
      </w:r>
    </w:p>
    <w:p w14:paraId="13BA8542" w14:textId="462B6499" w:rsidR="00907E9B" w:rsidRPr="00AB52EE" w:rsidRDefault="00226B0C" w:rsidP="007A27ED">
      <w:pPr>
        <w:pStyle w:val="LC2"/>
        <w:rPr>
          <w:rFonts w:cs="Arial"/>
          <w:szCs w:val="24"/>
          <w:lang w:eastAsia="en-ZA"/>
        </w:rPr>
      </w:pPr>
      <w:r w:rsidRPr="00AB52EE">
        <w:rPr>
          <w:rFonts w:cs="Arial"/>
          <w:szCs w:val="24"/>
          <w:lang w:eastAsia="en-ZA"/>
        </w:rPr>
        <w:t>Fourthly</w:t>
      </w:r>
      <w:r w:rsidR="00272FA3" w:rsidRPr="00AB52EE">
        <w:rPr>
          <w:rFonts w:cs="Arial"/>
          <w:szCs w:val="24"/>
          <w:lang w:eastAsia="en-ZA"/>
        </w:rPr>
        <w:t xml:space="preserve">, neither paragraph 16.3 </w:t>
      </w:r>
      <w:r w:rsidR="004649FA" w:rsidRPr="00AB52EE">
        <w:rPr>
          <w:rFonts w:cs="Arial"/>
          <w:szCs w:val="24"/>
          <w:lang w:eastAsia="en-ZA"/>
        </w:rPr>
        <w:t>n</w:t>
      </w:r>
      <w:r w:rsidR="00272FA3" w:rsidRPr="00AB52EE">
        <w:rPr>
          <w:rFonts w:cs="Arial"/>
          <w:szCs w:val="24"/>
          <w:lang w:eastAsia="en-ZA"/>
        </w:rPr>
        <w:t xml:space="preserve">or 16.5.d </w:t>
      </w:r>
      <w:r w:rsidR="00C369EE" w:rsidRPr="00AB52EE">
        <w:rPr>
          <w:rFonts w:cs="Arial"/>
          <w:szCs w:val="24"/>
          <w:lang w:eastAsia="en-ZA"/>
        </w:rPr>
        <w:t xml:space="preserve">of the order purports to specify </w:t>
      </w:r>
      <w:r w:rsidR="00272FA3" w:rsidRPr="00AB52EE">
        <w:rPr>
          <w:rFonts w:cs="Arial"/>
          <w:szCs w:val="24"/>
          <w:lang w:eastAsia="en-ZA"/>
        </w:rPr>
        <w:t xml:space="preserve">the purposes for which the </w:t>
      </w:r>
      <w:r w:rsidR="00DC3014" w:rsidRPr="00AB52EE">
        <w:rPr>
          <w:rFonts w:cs="Arial"/>
          <w:szCs w:val="24"/>
        </w:rPr>
        <w:t xml:space="preserve">attached </w:t>
      </w:r>
      <w:r w:rsidR="0046341C" w:rsidRPr="00AB52EE">
        <w:rPr>
          <w:rFonts w:cs="Arial"/>
          <w:szCs w:val="24"/>
          <w:lang w:eastAsia="en-ZA"/>
        </w:rPr>
        <w:t xml:space="preserve">items </w:t>
      </w:r>
      <w:r w:rsidR="004649FA" w:rsidRPr="00AB52EE">
        <w:rPr>
          <w:rFonts w:cs="Arial"/>
          <w:szCs w:val="24"/>
          <w:lang w:eastAsia="en-ZA"/>
        </w:rPr>
        <w:t xml:space="preserve">may </w:t>
      </w:r>
      <w:r w:rsidR="00272FA3" w:rsidRPr="00AB52EE">
        <w:rPr>
          <w:rFonts w:cs="Arial"/>
          <w:szCs w:val="24"/>
          <w:lang w:eastAsia="en-ZA"/>
        </w:rPr>
        <w:t>be used. Paragraph 16.3 was self-evidently included as a safeguard to ensure that</w:t>
      </w:r>
      <w:r w:rsidR="00665CA5" w:rsidRPr="00AB52EE">
        <w:rPr>
          <w:rFonts w:cs="Arial"/>
          <w:szCs w:val="24"/>
          <w:lang w:eastAsia="en-ZA"/>
        </w:rPr>
        <w:t xml:space="preserve"> the respondents </w:t>
      </w:r>
      <w:r w:rsidR="00272FA3" w:rsidRPr="00AB52EE">
        <w:rPr>
          <w:rFonts w:cs="Arial"/>
          <w:szCs w:val="24"/>
          <w:lang w:eastAsia="en-ZA"/>
        </w:rPr>
        <w:t xml:space="preserve">were duly </w:t>
      </w:r>
      <w:r w:rsidR="004649FA" w:rsidRPr="00AB52EE">
        <w:rPr>
          <w:rFonts w:cs="Arial"/>
          <w:szCs w:val="24"/>
          <w:lang w:eastAsia="en-ZA"/>
        </w:rPr>
        <w:t xml:space="preserve">furnished with </w:t>
      </w:r>
      <w:r w:rsidR="00272FA3" w:rsidRPr="00AB52EE">
        <w:rPr>
          <w:rFonts w:cs="Arial"/>
          <w:szCs w:val="24"/>
          <w:lang w:eastAsia="en-ZA"/>
        </w:rPr>
        <w:t xml:space="preserve">all information that was placed before the </w:t>
      </w:r>
      <w:r w:rsidR="00A01AA1" w:rsidRPr="00AB52EE">
        <w:rPr>
          <w:rFonts w:cs="Arial"/>
          <w:szCs w:val="24"/>
          <w:lang w:eastAsia="en-ZA"/>
        </w:rPr>
        <w:t>Co</w:t>
      </w:r>
      <w:r w:rsidR="00272FA3" w:rsidRPr="00AB52EE">
        <w:rPr>
          <w:rFonts w:cs="Arial"/>
          <w:szCs w:val="24"/>
          <w:lang w:eastAsia="en-ZA"/>
        </w:rPr>
        <w:t xml:space="preserve">urt which granted the Anton Piller order so as to enable them to consider and </w:t>
      </w:r>
      <w:r w:rsidR="004649FA" w:rsidRPr="00AB52EE">
        <w:rPr>
          <w:rFonts w:cs="Arial"/>
          <w:szCs w:val="24"/>
          <w:lang w:eastAsia="en-ZA"/>
        </w:rPr>
        <w:t xml:space="preserve">seek its </w:t>
      </w:r>
      <w:r w:rsidR="00272FA3" w:rsidRPr="00AB52EE">
        <w:rPr>
          <w:rFonts w:cs="Arial"/>
          <w:szCs w:val="24"/>
          <w:lang w:eastAsia="en-ZA"/>
        </w:rPr>
        <w:t xml:space="preserve">reconsideration. As for paragraph 16.5.d, I have little doubt that it was included as a </w:t>
      </w:r>
      <w:r w:rsidR="00907E9B" w:rsidRPr="00AB52EE">
        <w:rPr>
          <w:rFonts w:cs="Arial"/>
          <w:szCs w:val="24"/>
          <w:lang w:eastAsia="en-ZA"/>
        </w:rPr>
        <w:t>standard (albeit not very effectual) assur</w:t>
      </w:r>
      <w:r w:rsidR="004649FA" w:rsidRPr="00AB52EE">
        <w:rPr>
          <w:rFonts w:cs="Arial"/>
          <w:szCs w:val="24"/>
          <w:lang w:eastAsia="en-ZA"/>
        </w:rPr>
        <w:t>ance</w:t>
      </w:r>
      <w:r w:rsidR="00907E9B" w:rsidRPr="00AB52EE">
        <w:rPr>
          <w:rFonts w:cs="Arial"/>
          <w:szCs w:val="24"/>
          <w:lang w:eastAsia="en-ZA"/>
        </w:rPr>
        <w:t xml:space="preserve"> </w:t>
      </w:r>
      <w:r w:rsidR="004649FA" w:rsidRPr="00AB52EE">
        <w:rPr>
          <w:rFonts w:cs="Arial"/>
          <w:szCs w:val="24"/>
          <w:lang w:eastAsia="en-ZA"/>
        </w:rPr>
        <w:t xml:space="preserve">to </w:t>
      </w:r>
      <w:r w:rsidR="00907E9B" w:rsidRPr="00AB52EE">
        <w:rPr>
          <w:rFonts w:cs="Arial"/>
          <w:szCs w:val="24"/>
          <w:lang w:eastAsia="en-ZA"/>
        </w:rPr>
        <w:t xml:space="preserve">the respondents that the seizure of their documents </w:t>
      </w:r>
      <w:r w:rsidR="00746D3E" w:rsidRPr="00AB52EE">
        <w:rPr>
          <w:rFonts w:cs="Arial"/>
          <w:szCs w:val="24"/>
          <w:lang w:eastAsia="en-ZA"/>
        </w:rPr>
        <w:t xml:space="preserve">and devices </w:t>
      </w:r>
      <w:r w:rsidR="00907E9B" w:rsidRPr="00AB52EE">
        <w:rPr>
          <w:rFonts w:cs="Arial"/>
          <w:szCs w:val="24"/>
          <w:lang w:eastAsia="en-ZA"/>
        </w:rPr>
        <w:t xml:space="preserve">was not, in itself, the purpose of the order. </w:t>
      </w:r>
      <w:r w:rsidR="00746D3E" w:rsidRPr="00AB52EE">
        <w:rPr>
          <w:rFonts w:cs="Arial"/>
          <w:szCs w:val="24"/>
          <w:lang w:eastAsia="en-ZA"/>
        </w:rPr>
        <w:t xml:space="preserve">A similar provision </w:t>
      </w:r>
      <w:r w:rsidR="00907E9B" w:rsidRPr="00AB52EE">
        <w:rPr>
          <w:rFonts w:cs="Arial"/>
          <w:szCs w:val="24"/>
          <w:lang w:eastAsia="en-ZA"/>
        </w:rPr>
        <w:t xml:space="preserve">is contained in the model order </w:t>
      </w:r>
      <w:r w:rsidR="00832F68" w:rsidRPr="00AB52EE">
        <w:rPr>
          <w:rFonts w:cs="Arial"/>
          <w:szCs w:val="24"/>
          <w:lang w:eastAsia="en-ZA"/>
        </w:rPr>
        <w:t xml:space="preserve">annexed to </w:t>
      </w:r>
      <w:r w:rsidR="00907E9B" w:rsidRPr="00AB52EE">
        <w:rPr>
          <w:rFonts w:cs="Arial"/>
          <w:szCs w:val="24"/>
          <w:lang w:eastAsia="en-ZA"/>
        </w:rPr>
        <w:t xml:space="preserve">the Gauteng Practice Manual referred to above. </w:t>
      </w:r>
    </w:p>
    <w:p w14:paraId="2B18C229" w14:textId="71631D2E" w:rsidR="002108BB" w:rsidRPr="00AB52EE" w:rsidRDefault="00226B0C" w:rsidP="007A27ED">
      <w:pPr>
        <w:pStyle w:val="LC2"/>
        <w:rPr>
          <w:rFonts w:cs="Arial"/>
          <w:szCs w:val="24"/>
          <w:u w:val="single"/>
          <w:lang w:eastAsia="en-ZA"/>
        </w:rPr>
      </w:pPr>
      <w:r w:rsidRPr="00AB52EE">
        <w:rPr>
          <w:rFonts w:cs="Arial"/>
          <w:szCs w:val="24"/>
          <w:lang w:eastAsia="en-ZA"/>
        </w:rPr>
        <w:t>Finally,</w:t>
      </w:r>
      <w:r w:rsidR="0013148E" w:rsidRPr="00AB52EE">
        <w:rPr>
          <w:rFonts w:cs="Arial"/>
          <w:szCs w:val="24"/>
          <w:lang w:eastAsia="en-ZA"/>
        </w:rPr>
        <w:t xml:space="preserve"> </w:t>
      </w:r>
      <w:r w:rsidR="0013148E" w:rsidRPr="00AB52EE">
        <w:rPr>
          <w:rFonts w:cs="Arial"/>
          <w:szCs w:val="24"/>
        </w:rPr>
        <w:t>in his founding affidavit in the Anton Piller</w:t>
      </w:r>
      <w:r w:rsidR="0013148E" w:rsidRPr="00AB52EE">
        <w:rPr>
          <w:rFonts w:cs="Arial"/>
          <w:i/>
          <w:iCs/>
          <w:szCs w:val="24"/>
        </w:rPr>
        <w:t xml:space="preserve"> </w:t>
      </w:r>
      <w:r w:rsidR="0013148E" w:rsidRPr="00AB52EE">
        <w:rPr>
          <w:rFonts w:cs="Arial"/>
          <w:szCs w:val="24"/>
        </w:rPr>
        <w:t xml:space="preserve">application, Mr Wolfe </w:t>
      </w:r>
      <w:r w:rsidR="00907E9B" w:rsidRPr="00AB52EE">
        <w:rPr>
          <w:rFonts w:cs="Arial"/>
          <w:szCs w:val="24"/>
        </w:rPr>
        <w:t xml:space="preserve">explicitly </w:t>
      </w:r>
      <w:r w:rsidR="0013148E" w:rsidRPr="00AB52EE">
        <w:rPr>
          <w:rFonts w:cs="Arial"/>
          <w:szCs w:val="24"/>
        </w:rPr>
        <w:t xml:space="preserve">alleges that </w:t>
      </w:r>
      <w:r w:rsidR="00907E9B" w:rsidRPr="00AB52EE">
        <w:rPr>
          <w:rFonts w:cs="Arial"/>
          <w:szCs w:val="24"/>
        </w:rPr>
        <w:t xml:space="preserve">its </w:t>
      </w:r>
      <w:r w:rsidR="0013148E" w:rsidRPr="00AB52EE">
        <w:rPr>
          <w:rFonts w:cs="Arial"/>
          <w:szCs w:val="24"/>
        </w:rPr>
        <w:t xml:space="preserve">purpose was “to attach and preserve evidence … so that it can be placed before the Court in the contempt </w:t>
      </w:r>
      <w:r w:rsidR="0013148E" w:rsidRPr="00AB52EE">
        <w:rPr>
          <w:rFonts w:cs="Arial"/>
          <w:szCs w:val="24"/>
        </w:rPr>
        <w:lastRenderedPageBreak/>
        <w:t xml:space="preserve">proceedings” and this purpose is also identified in paragraph </w:t>
      </w:r>
      <w:r w:rsidR="00D21ED8" w:rsidRPr="00AB52EE">
        <w:rPr>
          <w:rFonts w:cs="Arial"/>
          <w:szCs w:val="24"/>
        </w:rPr>
        <w:t>15</w:t>
      </w:r>
      <w:r w:rsidR="00D21ED8" w:rsidRPr="00AB52EE">
        <w:rPr>
          <w:rFonts w:cs="Arial"/>
          <w:i/>
          <w:iCs/>
          <w:szCs w:val="24"/>
        </w:rPr>
        <w:t>bis</w:t>
      </w:r>
      <w:r w:rsidR="0013148E" w:rsidRPr="00AB52EE">
        <w:rPr>
          <w:rFonts w:cs="Arial"/>
          <w:szCs w:val="24"/>
        </w:rPr>
        <w:t xml:space="preserve"> of the order itself. </w:t>
      </w:r>
    </w:p>
    <w:p w14:paraId="1B17DC62" w14:textId="040FB34F" w:rsidR="002108BB" w:rsidRPr="00AB52EE" w:rsidRDefault="002108BB" w:rsidP="007A27ED">
      <w:pPr>
        <w:pStyle w:val="LC1"/>
        <w:rPr>
          <w:rFonts w:cs="Arial"/>
          <w:szCs w:val="24"/>
          <w:lang w:eastAsia="en-ZA"/>
        </w:rPr>
      </w:pPr>
      <w:r w:rsidRPr="00AB52EE">
        <w:rPr>
          <w:rFonts w:cs="Arial"/>
          <w:szCs w:val="24"/>
          <w:lang w:eastAsia="en-ZA"/>
        </w:rPr>
        <w:t xml:space="preserve">Be that as it may, </w:t>
      </w:r>
      <w:r w:rsidR="00C369EE" w:rsidRPr="00AB52EE">
        <w:rPr>
          <w:rFonts w:cs="Arial"/>
          <w:szCs w:val="24"/>
          <w:lang w:eastAsia="en-ZA"/>
        </w:rPr>
        <w:t xml:space="preserve">no </w:t>
      </w:r>
      <w:r w:rsidRPr="00AB52EE">
        <w:rPr>
          <w:rFonts w:cs="Arial"/>
          <w:szCs w:val="24"/>
          <w:lang w:eastAsia="en-ZA"/>
        </w:rPr>
        <w:t xml:space="preserve">harm </w:t>
      </w:r>
      <w:r w:rsidR="00C369EE" w:rsidRPr="00AB52EE">
        <w:rPr>
          <w:rFonts w:cs="Arial"/>
          <w:szCs w:val="24"/>
          <w:lang w:eastAsia="en-ZA"/>
        </w:rPr>
        <w:t xml:space="preserve">has yet eventuated from any possible confusion that might be caused by these drafting inelegancies, and there is no reason why </w:t>
      </w:r>
      <w:r w:rsidR="009376CB" w:rsidRPr="00AB52EE">
        <w:rPr>
          <w:rFonts w:cs="Arial"/>
          <w:szCs w:val="24"/>
          <w:lang w:eastAsia="en-ZA"/>
        </w:rPr>
        <w:t xml:space="preserve">the potentially confusing </w:t>
      </w:r>
      <w:r w:rsidRPr="00AB52EE">
        <w:rPr>
          <w:rFonts w:cs="Arial"/>
          <w:szCs w:val="24"/>
          <w:lang w:eastAsia="en-ZA"/>
        </w:rPr>
        <w:t xml:space="preserve">references to </w:t>
      </w:r>
      <w:r w:rsidR="009376CB" w:rsidRPr="00AB52EE">
        <w:rPr>
          <w:rFonts w:cs="Arial"/>
          <w:szCs w:val="24"/>
          <w:lang w:eastAsia="en-ZA"/>
        </w:rPr>
        <w:t>“</w:t>
      </w:r>
      <w:r w:rsidRPr="00AB52EE">
        <w:rPr>
          <w:rFonts w:cs="Arial"/>
          <w:szCs w:val="24"/>
          <w:lang w:eastAsia="en-ZA"/>
        </w:rPr>
        <w:t>further proceedings</w:t>
      </w:r>
      <w:r w:rsidR="009376CB" w:rsidRPr="00AB52EE">
        <w:rPr>
          <w:rFonts w:cs="Arial"/>
          <w:szCs w:val="24"/>
          <w:lang w:eastAsia="en-ZA"/>
        </w:rPr>
        <w:t>”</w:t>
      </w:r>
      <w:r w:rsidRPr="00AB52EE">
        <w:rPr>
          <w:rFonts w:cs="Arial"/>
          <w:szCs w:val="24"/>
          <w:lang w:eastAsia="en-ZA"/>
        </w:rPr>
        <w:t xml:space="preserve"> in paragraph 2 of the preamble and paragraph 8 </w:t>
      </w:r>
      <w:r w:rsidR="006319B3" w:rsidRPr="00AB52EE">
        <w:rPr>
          <w:rFonts w:cs="Arial"/>
          <w:szCs w:val="24"/>
          <w:lang w:eastAsia="en-ZA"/>
        </w:rPr>
        <w:t>of the order</w:t>
      </w:r>
      <w:r w:rsidR="009376CB" w:rsidRPr="00AB52EE">
        <w:rPr>
          <w:rFonts w:cs="Arial"/>
          <w:szCs w:val="24"/>
          <w:lang w:eastAsia="en-ZA"/>
        </w:rPr>
        <w:t xml:space="preserve"> should not be removed</w:t>
      </w:r>
      <w:r w:rsidRPr="00AB52EE">
        <w:rPr>
          <w:rFonts w:cs="Arial"/>
          <w:szCs w:val="24"/>
          <w:lang w:eastAsia="en-ZA"/>
        </w:rPr>
        <w:t xml:space="preserve">. An order to that effect will accordingly issue.  </w:t>
      </w:r>
    </w:p>
    <w:p w14:paraId="71330C81" w14:textId="76215187" w:rsidR="002108BB" w:rsidRPr="00AB52EE" w:rsidRDefault="00665CA5" w:rsidP="007A27ED">
      <w:pPr>
        <w:pStyle w:val="LC1"/>
        <w:rPr>
          <w:rFonts w:cs="Arial"/>
          <w:szCs w:val="24"/>
          <w:lang w:eastAsia="en-ZA"/>
        </w:rPr>
      </w:pPr>
      <w:r w:rsidRPr="00AB52EE">
        <w:rPr>
          <w:rFonts w:cs="Arial"/>
          <w:szCs w:val="24"/>
          <w:lang w:eastAsia="en-ZA"/>
        </w:rPr>
        <w:t xml:space="preserve">The respondents’ </w:t>
      </w:r>
      <w:r w:rsidR="002108BB" w:rsidRPr="00AB52EE">
        <w:rPr>
          <w:rFonts w:cs="Arial"/>
          <w:szCs w:val="24"/>
          <w:lang w:eastAsia="en-ZA"/>
        </w:rPr>
        <w:t xml:space="preserve">next </w:t>
      </w:r>
      <w:r w:rsidR="00226B0C" w:rsidRPr="00AB52EE">
        <w:rPr>
          <w:rFonts w:cs="Arial"/>
          <w:szCs w:val="24"/>
          <w:lang w:eastAsia="en-ZA"/>
        </w:rPr>
        <w:t xml:space="preserve">ground for reconsideration </w:t>
      </w:r>
      <w:r w:rsidR="006753C6" w:rsidRPr="00AB52EE">
        <w:rPr>
          <w:rFonts w:cs="Arial"/>
          <w:szCs w:val="24"/>
          <w:lang w:eastAsia="en-ZA"/>
        </w:rPr>
        <w:t xml:space="preserve">of the Anton Piller order </w:t>
      </w:r>
      <w:r w:rsidR="002108BB" w:rsidRPr="00AB52EE">
        <w:rPr>
          <w:rFonts w:cs="Arial"/>
          <w:szCs w:val="24"/>
          <w:lang w:eastAsia="en-ZA"/>
        </w:rPr>
        <w:t xml:space="preserve">under the rubric of the importance question is that a range of </w:t>
      </w:r>
      <w:r w:rsidR="006271A3" w:rsidRPr="00AB52EE">
        <w:rPr>
          <w:rFonts w:cs="Arial"/>
          <w:szCs w:val="24"/>
          <w:lang w:eastAsia="en-ZA"/>
        </w:rPr>
        <w:t xml:space="preserve">items </w:t>
      </w:r>
      <w:r w:rsidR="002108BB" w:rsidRPr="00AB52EE">
        <w:rPr>
          <w:rFonts w:cs="Arial"/>
          <w:szCs w:val="24"/>
          <w:lang w:eastAsia="en-ZA"/>
        </w:rPr>
        <w:t xml:space="preserve">included </w:t>
      </w:r>
      <w:r w:rsidR="006271A3" w:rsidRPr="00AB52EE">
        <w:rPr>
          <w:rFonts w:cs="Arial"/>
          <w:szCs w:val="24"/>
          <w:lang w:eastAsia="en-ZA"/>
        </w:rPr>
        <w:t>with</w:t>
      </w:r>
      <w:r w:rsidR="002108BB" w:rsidRPr="00AB52EE">
        <w:rPr>
          <w:rFonts w:cs="Arial"/>
          <w:szCs w:val="24"/>
          <w:lang w:eastAsia="en-ZA"/>
        </w:rPr>
        <w:t xml:space="preserve">in the definition of “relevant evidence” is not actually relevant to the contempt application. </w:t>
      </w:r>
    </w:p>
    <w:p w14:paraId="6AAFFF53" w14:textId="0E4EE458" w:rsidR="00120BFC" w:rsidRPr="00AB52EE" w:rsidRDefault="00935407" w:rsidP="007A27ED">
      <w:pPr>
        <w:pStyle w:val="LC1"/>
        <w:rPr>
          <w:rFonts w:cs="Arial"/>
          <w:szCs w:val="24"/>
          <w:u w:val="single"/>
          <w:lang w:eastAsia="en-ZA"/>
        </w:rPr>
      </w:pPr>
      <w:r w:rsidRPr="00AB52EE">
        <w:rPr>
          <w:rFonts w:cs="Arial"/>
          <w:szCs w:val="24"/>
          <w:lang w:eastAsia="en-ZA"/>
        </w:rPr>
        <w:t xml:space="preserve">Supercart </w:t>
      </w:r>
      <w:r w:rsidR="009376CB" w:rsidRPr="00AB52EE">
        <w:rPr>
          <w:rFonts w:cs="Arial"/>
          <w:szCs w:val="24"/>
          <w:lang w:eastAsia="en-ZA"/>
        </w:rPr>
        <w:t xml:space="preserve">contends </w:t>
      </w:r>
      <w:r w:rsidRPr="00AB52EE">
        <w:rPr>
          <w:rFonts w:cs="Arial"/>
          <w:szCs w:val="24"/>
          <w:lang w:eastAsia="en-ZA"/>
        </w:rPr>
        <w:t xml:space="preserve">that the </w:t>
      </w:r>
      <w:r w:rsidR="009376CB" w:rsidRPr="00AB52EE">
        <w:rPr>
          <w:rFonts w:cs="Arial"/>
          <w:szCs w:val="24"/>
          <w:lang w:eastAsia="en-ZA"/>
        </w:rPr>
        <w:t xml:space="preserve">attached </w:t>
      </w:r>
      <w:r w:rsidR="0046341C" w:rsidRPr="00AB52EE">
        <w:rPr>
          <w:rFonts w:cs="Arial"/>
          <w:szCs w:val="24"/>
          <w:lang w:eastAsia="en-ZA"/>
        </w:rPr>
        <w:t xml:space="preserve">items </w:t>
      </w:r>
      <w:r w:rsidR="009376CB" w:rsidRPr="00AB52EE">
        <w:rPr>
          <w:rFonts w:cs="Arial"/>
          <w:szCs w:val="24"/>
          <w:lang w:eastAsia="en-ZA"/>
        </w:rPr>
        <w:t xml:space="preserve">constitute evidence </w:t>
      </w:r>
      <w:r w:rsidR="00B66249" w:rsidRPr="00AB52EE">
        <w:rPr>
          <w:rFonts w:cs="Arial"/>
          <w:szCs w:val="24"/>
          <w:lang w:eastAsia="en-ZA"/>
        </w:rPr>
        <w:t xml:space="preserve">that is relevant </w:t>
      </w:r>
      <w:r w:rsidR="009376CB" w:rsidRPr="00AB52EE">
        <w:rPr>
          <w:rFonts w:cs="Arial"/>
          <w:szCs w:val="24"/>
          <w:lang w:eastAsia="en-ZA"/>
        </w:rPr>
        <w:t xml:space="preserve">to </w:t>
      </w:r>
      <w:r w:rsidRPr="00AB52EE">
        <w:rPr>
          <w:rFonts w:cs="Arial"/>
          <w:szCs w:val="24"/>
          <w:lang w:eastAsia="en-ZA"/>
        </w:rPr>
        <w:t xml:space="preserve">two </w:t>
      </w:r>
      <w:r w:rsidR="00120BFC" w:rsidRPr="00AB52EE">
        <w:rPr>
          <w:rFonts w:cs="Arial"/>
          <w:szCs w:val="24"/>
          <w:lang w:eastAsia="en-ZA"/>
        </w:rPr>
        <w:t xml:space="preserve">issues </w:t>
      </w:r>
      <w:r w:rsidR="00371242" w:rsidRPr="00AB52EE">
        <w:rPr>
          <w:rFonts w:cs="Arial"/>
          <w:szCs w:val="24"/>
          <w:lang w:eastAsia="en-ZA"/>
        </w:rPr>
        <w:t>(</w:t>
      </w:r>
      <w:r w:rsidR="00371242" w:rsidRPr="00AB52EE">
        <w:rPr>
          <w:rFonts w:cs="Arial"/>
          <w:i/>
          <w:iCs/>
          <w:szCs w:val="24"/>
          <w:lang w:eastAsia="en-ZA"/>
        </w:rPr>
        <w:t>facta probanda</w:t>
      </w:r>
      <w:r w:rsidR="00371242" w:rsidRPr="00AB52EE">
        <w:rPr>
          <w:rFonts w:cs="Arial"/>
          <w:szCs w:val="24"/>
          <w:lang w:eastAsia="en-ZA"/>
        </w:rPr>
        <w:t xml:space="preserve">) </w:t>
      </w:r>
      <w:r w:rsidR="00120BFC" w:rsidRPr="00AB52EE">
        <w:rPr>
          <w:rFonts w:cs="Arial"/>
          <w:szCs w:val="24"/>
          <w:lang w:eastAsia="en-ZA"/>
        </w:rPr>
        <w:t xml:space="preserve">in the contempt application, namely </w:t>
      </w:r>
      <w:r w:rsidR="002C0AC9" w:rsidRPr="00AB52EE">
        <w:rPr>
          <w:rFonts w:cs="Arial"/>
          <w:szCs w:val="24"/>
          <w:lang w:eastAsia="en-ZA"/>
        </w:rPr>
        <w:t xml:space="preserve">(i) whether there were any additional breaches of the interim interdict </w:t>
      </w:r>
      <w:r w:rsidR="00AE3B5A">
        <w:rPr>
          <w:rFonts w:cs="Arial"/>
          <w:szCs w:val="24"/>
          <w:lang w:eastAsia="en-ZA"/>
        </w:rPr>
        <w:t xml:space="preserve">on or </w:t>
      </w:r>
      <w:r w:rsidR="002C0AC9" w:rsidRPr="00AB52EE">
        <w:rPr>
          <w:rFonts w:cs="Arial"/>
          <w:szCs w:val="24"/>
          <w:lang w:eastAsia="en-ZA"/>
        </w:rPr>
        <w:t>after 2</w:t>
      </w:r>
      <w:r w:rsidR="00AE3B5A">
        <w:rPr>
          <w:rFonts w:cs="Arial"/>
          <w:szCs w:val="24"/>
          <w:lang w:eastAsia="en-ZA"/>
        </w:rPr>
        <w:t>4</w:t>
      </w:r>
      <w:r w:rsidR="002C0AC9" w:rsidRPr="00AB52EE">
        <w:rPr>
          <w:rFonts w:cs="Arial"/>
          <w:szCs w:val="24"/>
          <w:lang w:eastAsia="en-ZA"/>
        </w:rPr>
        <w:t xml:space="preserve"> May 2021 over and above those relating to the 635 referred to in the answering affidavit</w:t>
      </w:r>
      <w:r w:rsidR="00371242" w:rsidRPr="00AB52EE">
        <w:rPr>
          <w:rFonts w:cs="Arial"/>
          <w:szCs w:val="24"/>
          <w:lang w:eastAsia="en-ZA"/>
        </w:rPr>
        <w:t>, as Supercart contends in those proceedings</w:t>
      </w:r>
      <w:r w:rsidR="002C0AC9" w:rsidRPr="00AB52EE">
        <w:rPr>
          <w:rFonts w:cs="Arial"/>
          <w:szCs w:val="24"/>
          <w:lang w:eastAsia="en-ZA"/>
        </w:rPr>
        <w:t xml:space="preserve"> (the additional breaches issue); and </w:t>
      </w:r>
      <w:r w:rsidR="00120BFC" w:rsidRPr="00AB52EE">
        <w:rPr>
          <w:rFonts w:cs="Arial"/>
          <w:szCs w:val="24"/>
          <w:lang w:eastAsia="en-ZA"/>
        </w:rPr>
        <w:t>(</w:t>
      </w:r>
      <w:r w:rsidR="002C0AC9" w:rsidRPr="00AB52EE">
        <w:rPr>
          <w:rFonts w:cs="Arial"/>
          <w:szCs w:val="24"/>
          <w:lang w:eastAsia="en-ZA"/>
        </w:rPr>
        <w:t>i</w:t>
      </w:r>
      <w:r w:rsidR="00120BFC" w:rsidRPr="00AB52EE">
        <w:rPr>
          <w:rFonts w:cs="Arial"/>
          <w:szCs w:val="24"/>
          <w:lang w:eastAsia="en-ZA"/>
        </w:rPr>
        <w:t xml:space="preserve">i) whether, contrary to </w:t>
      </w:r>
      <w:r w:rsidRPr="00AB52EE">
        <w:rPr>
          <w:rFonts w:cs="Arial"/>
          <w:szCs w:val="24"/>
          <w:lang w:eastAsia="en-ZA"/>
        </w:rPr>
        <w:t xml:space="preserve">the </w:t>
      </w:r>
      <w:r w:rsidR="00120BFC" w:rsidRPr="00AB52EE">
        <w:rPr>
          <w:rFonts w:cs="Arial"/>
          <w:szCs w:val="24"/>
          <w:lang w:eastAsia="en-ZA"/>
        </w:rPr>
        <w:t>claim</w:t>
      </w:r>
      <w:r w:rsidRPr="00AB52EE">
        <w:rPr>
          <w:rFonts w:cs="Arial"/>
          <w:szCs w:val="24"/>
          <w:lang w:eastAsia="en-ZA"/>
        </w:rPr>
        <w:t xml:space="preserve"> in </w:t>
      </w:r>
      <w:r w:rsidR="0045596B" w:rsidRPr="00AB52EE">
        <w:rPr>
          <w:rFonts w:cs="Arial"/>
          <w:szCs w:val="24"/>
          <w:lang w:eastAsia="en-ZA"/>
        </w:rPr>
        <w:t xml:space="preserve">Mr Case’s answering </w:t>
      </w:r>
      <w:r w:rsidRPr="00AB52EE">
        <w:rPr>
          <w:rFonts w:cs="Arial"/>
          <w:szCs w:val="24"/>
          <w:lang w:eastAsia="en-ZA"/>
        </w:rPr>
        <w:t>affidavit</w:t>
      </w:r>
      <w:r w:rsidR="00120BFC" w:rsidRPr="00AB52EE">
        <w:rPr>
          <w:rFonts w:cs="Arial"/>
          <w:szCs w:val="24"/>
          <w:lang w:eastAsia="en-ZA"/>
        </w:rPr>
        <w:t xml:space="preserve">, </w:t>
      </w:r>
      <w:r w:rsidR="0045596B" w:rsidRPr="00AB52EE">
        <w:rPr>
          <w:rFonts w:cs="Arial"/>
          <w:szCs w:val="24"/>
          <w:lang w:eastAsia="en-ZA"/>
        </w:rPr>
        <w:t xml:space="preserve">he </w:t>
      </w:r>
      <w:r w:rsidR="00120BFC" w:rsidRPr="00AB52EE">
        <w:rPr>
          <w:rFonts w:cs="Arial"/>
          <w:szCs w:val="24"/>
          <w:lang w:eastAsia="en-ZA"/>
        </w:rPr>
        <w:t xml:space="preserve">was </w:t>
      </w:r>
      <w:r w:rsidR="0045596B" w:rsidRPr="00AB52EE">
        <w:rPr>
          <w:rFonts w:cs="Arial"/>
          <w:szCs w:val="24"/>
          <w:lang w:eastAsia="en-ZA"/>
        </w:rPr>
        <w:t xml:space="preserve">not </w:t>
      </w:r>
      <w:r w:rsidR="00120BFC" w:rsidRPr="00AB52EE">
        <w:rPr>
          <w:rFonts w:cs="Arial"/>
          <w:szCs w:val="24"/>
          <w:lang w:eastAsia="en-ZA"/>
        </w:rPr>
        <w:t xml:space="preserve">aware of Vanesco’s </w:t>
      </w:r>
      <w:r w:rsidRPr="00AB52EE">
        <w:rPr>
          <w:rFonts w:cs="Arial"/>
          <w:szCs w:val="24"/>
          <w:lang w:eastAsia="en-ZA"/>
        </w:rPr>
        <w:t xml:space="preserve">admitted </w:t>
      </w:r>
      <w:r w:rsidR="00120BFC" w:rsidRPr="00AB52EE">
        <w:rPr>
          <w:rFonts w:cs="Arial"/>
          <w:szCs w:val="24"/>
          <w:lang w:eastAsia="en-ZA"/>
        </w:rPr>
        <w:t>breaches of the interim interdict</w:t>
      </w:r>
      <w:r w:rsidR="002C0AC9" w:rsidRPr="00AB52EE">
        <w:rPr>
          <w:rFonts w:cs="Arial"/>
          <w:szCs w:val="24"/>
          <w:lang w:eastAsia="en-ZA"/>
        </w:rPr>
        <w:t xml:space="preserve"> </w:t>
      </w:r>
      <w:r w:rsidR="00CC58EB" w:rsidRPr="00AB52EE">
        <w:rPr>
          <w:rFonts w:cs="Arial"/>
          <w:szCs w:val="24"/>
          <w:lang w:eastAsia="en-ZA"/>
        </w:rPr>
        <w:t xml:space="preserve">and was thus not in wilful breach of the order </w:t>
      </w:r>
      <w:r w:rsidR="002C0AC9" w:rsidRPr="00AB52EE">
        <w:rPr>
          <w:rFonts w:cs="Arial"/>
          <w:szCs w:val="24"/>
          <w:lang w:eastAsia="en-ZA"/>
        </w:rPr>
        <w:t>(the awareness issue)</w:t>
      </w:r>
      <w:r w:rsidR="0045596B" w:rsidRPr="00AB52EE">
        <w:rPr>
          <w:rFonts w:cs="Arial"/>
          <w:szCs w:val="24"/>
          <w:lang w:eastAsia="en-ZA"/>
        </w:rPr>
        <w:t>.</w:t>
      </w:r>
    </w:p>
    <w:p w14:paraId="2AA12035" w14:textId="27EAD9D0" w:rsidR="0045596B" w:rsidRPr="00AB52EE" w:rsidRDefault="00FB665F" w:rsidP="008C6064">
      <w:pPr>
        <w:pStyle w:val="LC1"/>
        <w:rPr>
          <w:rFonts w:cs="Arial"/>
          <w:szCs w:val="24"/>
          <w:u w:val="single"/>
          <w:lang w:eastAsia="en-ZA"/>
        </w:rPr>
      </w:pPr>
      <w:r>
        <w:rPr>
          <w:rFonts w:cs="Arial"/>
          <w:szCs w:val="24"/>
          <w:lang w:eastAsia="en-ZA"/>
        </w:rPr>
        <w:t>I</w:t>
      </w:r>
      <w:r w:rsidR="00031A26" w:rsidRPr="00AB52EE">
        <w:rPr>
          <w:rFonts w:cs="Arial"/>
          <w:szCs w:val="24"/>
        </w:rPr>
        <w:t>n order for a party to be found to be in contempt</w:t>
      </w:r>
      <w:r w:rsidR="002C0AC9" w:rsidRPr="00AB52EE">
        <w:rPr>
          <w:rFonts w:cs="Arial"/>
          <w:szCs w:val="24"/>
        </w:rPr>
        <w:t xml:space="preserve"> of court</w:t>
      </w:r>
      <w:r w:rsidR="0045596B" w:rsidRPr="00AB52EE">
        <w:rPr>
          <w:rFonts w:cs="Arial"/>
          <w:szCs w:val="24"/>
        </w:rPr>
        <w:t xml:space="preserve"> in civil proceedings</w:t>
      </w:r>
      <w:r w:rsidR="00031A26" w:rsidRPr="00AB52EE">
        <w:rPr>
          <w:rFonts w:cs="Arial"/>
          <w:szCs w:val="24"/>
        </w:rPr>
        <w:t xml:space="preserve">, it must be established </w:t>
      </w:r>
      <w:r w:rsidR="00CC58EB" w:rsidRPr="00AB52EE">
        <w:rPr>
          <w:rFonts w:cs="Arial"/>
          <w:szCs w:val="24"/>
        </w:rPr>
        <w:t xml:space="preserve">on a preponderance of probabilities </w:t>
      </w:r>
      <w:r w:rsidR="00031A26" w:rsidRPr="00AB52EE">
        <w:rPr>
          <w:rFonts w:cs="Arial"/>
          <w:szCs w:val="24"/>
        </w:rPr>
        <w:t xml:space="preserve">that (i) an order was granted against it; (ii) it was served with the order or had knowledge of it; and (iii) it failed to comply with the order. </w:t>
      </w:r>
      <w:r w:rsidR="00031A26" w:rsidRPr="00AB52EE">
        <w:rPr>
          <w:rFonts w:cs="Arial"/>
          <w:color w:val="000000"/>
          <w:szCs w:val="24"/>
        </w:rPr>
        <w:t xml:space="preserve">Once these elements are established, wilfulness and </w:t>
      </w:r>
      <w:r w:rsidR="00031A26" w:rsidRPr="00AB52EE">
        <w:rPr>
          <w:rFonts w:cs="Arial"/>
          <w:i/>
          <w:iCs/>
          <w:color w:val="000000"/>
          <w:szCs w:val="24"/>
        </w:rPr>
        <w:t xml:space="preserve">mala fides </w:t>
      </w:r>
      <w:r w:rsidR="00031A26" w:rsidRPr="00AB52EE">
        <w:rPr>
          <w:rFonts w:cs="Arial"/>
          <w:color w:val="000000"/>
          <w:szCs w:val="24"/>
        </w:rPr>
        <w:t xml:space="preserve">are presumed, and the alleged contemnor bears an </w:t>
      </w:r>
      <w:r w:rsidR="00031A26" w:rsidRPr="00AB52EE">
        <w:rPr>
          <w:rFonts w:cs="Arial"/>
          <w:color w:val="000000"/>
          <w:szCs w:val="24"/>
        </w:rPr>
        <w:lastRenderedPageBreak/>
        <w:t xml:space="preserve">evidentiary burden to either establish a reasonable doubt or establish on a </w:t>
      </w:r>
      <w:r w:rsidR="00976793" w:rsidRPr="00AB52EE">
        <w:rPr>
          <w:rFonts w:cs="Arial"/>
          <w:color w:val="000000"/>
          <w:szCs w:val="24"/>
        </w:rPr>
        <w:t xml:space="preserve">preponderance </w:t>
      </w:r>
      <w:r w:rsidR="00031A26" w:rsidRPr="00AB52EE">
        <w:rPr>
          <w:rFonts w:cs="Arial"/>
          <w:color w:val="000000"/>
          <w:szCs w:val="24"/>
        </w:rPr>
        <w:t xml:space="preserve">of probabilities that its non-compliance was not wilful or </w:t>
      </w:r>
      <w:r w:rsidR="00031A26" w:rsidRPr="00AB52EE">
        <w:rPr>
          <w:rFonts w:cs="Arial"/>
          <w:i/>
          <w:iCs/>
          <w:color w:val="000000"/>
          <w:szCs w:val="24"/>
        </w:rPr>
        <w:t>mala fide</w:t>
      </w:r>
      <w:r w:rsidR="00031A26" w:rsidRPr="00AB52EE">
        <w:rPr>
          <w:rFonts w:cs="Arial"/>
          <w:color w:val="000000"/>
          <w:szCs w:val="24"/>
        </w:rPr>
        <w:t>. Should it fail to discharge this burden, contempt will have been established.</w:t>
      </w:r>
      <w:r w:rsidR="002C0AC9" w:rsidRPr="00AB52EE">
        <w:rPr>
          <w:rStyle w:val="FootnoteReference"/>
          <w:color w:val="000000"/>
          <w:szCs w:val="24"/>
        </w:rPr>
        <w:footnoteReference w:id="90"/>
      </w:r>
      <w:r w:rsidR="002C0AC9" w:rsidRPr="00AB52EE">
        <w:rPr>
          <w:rFonts w:cs="Arial"/>
          <w:color w:val="000000"/>
          <w:szCs w:val="24"/>
        </w:rPr>
        <w:t xml:space="preserve"> The question of whether the alleged contemnor needs merely to show a reasonable doubt or whether it must go further and prove absence of wilfulness or </w:t>
      </w:r>
      <w:r w:rsidR="002C0AC9" w:rsidRPr="00AB52EE">
        <w:rPr>
          <w:rFonts w:cs="Arial"/>
          <w:i/>
          <w:iCs/>
          <w:color w:val="000000"/>
          <w:szCs w:val="24"/>
        </w:rPr>
        <w:t>mala fides</w:t>
      </w:r>
      <w:r w:rsidR="002C0AC9" w:rsidRPr="00AB52EE">
        <w:rPr>
          <w:rFonts w:cs="Arial"/>
          <w:color w:val="000000"/>
          <w:szCs w:val="24"/>
        </w:rPr>
        <w:t xml:space="preserve"> on a </w:t>
      </w:r>
      <w:r w:rsidR="00976793" w:rsidRPr="00AB52EE">
        <w:rPr>
          <w:rFonts w:cs="Arial"/>
          <w:color w:val="000000"/>
          <w:szCs w:val="24"/>
        </w:rPr>
        <w:t xml:space="preserve">preponderance </w:t>
      </w:r>
      <w:r w:rsidR="002C0AC9" w:rsidRPr="00AB52EE">
        <w:rPr>
          <w:rFonts w:cs="Arial"/>
          <w:color w:val="000000"/>
          <w:szCs w:val="24"/>
        </w:rPr>
        <w:t>of probabilities depends on whether the order sought to be imposed involves “</w:t>
      </w:r>
      <w:r w:rsidR="0045596B" w:rsidRPr="00AB52EE">
        <w:rPr>
          <w:rFonts w:cs="Arial"/>
          <w:color w:val="000000"/>
          <w:szCs w:val="24"/>
        </w:rPr>
        <w:t xml:space="preserve">the </w:t>
      </w:r>
      <w:r w:rsidR="002C0AC9" w:rsidRPr="00AB52EE">
        <w:rPr>
          <w:rFonts w:cs="Arial"/>
          <w:color w:val="000000"/>
          <w:szCs w:val="24"/>
        </w:rPr>
        <w:t xml:space="preserve">civil contempt remedies </w:t>
      </w:r>
      <w:r w:rsidR="0045596B" w:rsidRPr="00AB52EE">
        <w:rPr>
          <w:rFonts w:cs="Arial"/>
          <w:color w:val="000000"/>
          <w:szCs w:val="24"/>
        </w:rPr>
        <w:t xml:space="preserve">of </w:t>
      </w:r>
      <w:r w:rsidR="002C0AC9" w:rsidRPr="00AB52EE">
        <w:rPr>
          <w:rFonts w:cs="Arial"/>
          <w:color w:val="000000"/>
          <w:szCs w:val="24"/>
        </w:rPr>
        <w:t>committal</w:t>
      </w:r>
      <w:r w:rsidR="0045596B" w:rsidRPr="00AB52EE">
        <w:rPr>
          <w:rFonts w:cs="Arial"/>
          <w:color w:val="000000"/>
          <w:szCs w:val="24"/>
        </w:rPr>
        <w:t xml:space="preserve"> or a fine</w:t>
      </w:r>
      <w:r w:rsidR="002C0AC9" w:rsidRPr="00AB52EE">
        <w:rPr>
          <w:rFonts w:cs="Arial"/>
          <w:color w:val="000000"/>
          <w:szCs w:val="24"/>
        </w:rPr>
        <w:t>”.</w:t>
      </w:r>
      <w:r w:rsidR="002C0AC9" w:rsidRPr="00AB52EE">
        <w:rPr>
          <w:rStyle w:val="FootnoteReference"/>
          <w:color w:val="000000"/>
          <w:szCs w:val="24"/>
        </w:rPr>
        <w:footnoteReference w:id="91"/>
      </w:r>
      <w:r w:rsidR="002C0AC9" w:rsidRPr="00AB52EE">
        <w:rPr>
          <w:rFonts w:cs="Arial"/>
          <w:color w:val="000000"/>
          <w:szCs w:val="24"/>
        </w:rPr>
        <w:t xml:space="preserve"> In such cases, it is the criminal standard of proof that applies, and the contemnor need only establish a reasonable doubt about its wilfulness or </w:t>
      </w:r>
      <w:r w:rsidR="002C0AC9" w:rsidRPr="00AB52EE">
        <w:rPr>
          <w:rFonts w:cs="Arial"/>
          <w:i/>
          <w:iCs/>
          <w:color w:val="000000"/>
          <w:szCs w:val="24"/>
        </w:rPr>
        <w:t>mala fides</w:t>
      </w:r>
      <w:r w:rsidR="002C0AC9" w:rsidRPr="00AB52EE">
        <w:rPr>
          <w:rFonts w:cs="Arial"/>
          <w:color w:val="000000"/>
          <w:szCs w:val="24"/>
        </w:rPr>
        <w:t>.</w:t>
      </w:r>
      <w:r w:rsidR="006753C6" w:rsidRPr="00AB52EE">
        <w:rPr>
          <w:rFonts w:cs="Arial"/>
          <w:color w:val="000000"/>
          <w:szCs w:val="24"/>
        </w:rPr>
        <w:t xml:space="preserve"> </w:t>
      </w:r>
      <w:r w:rsidR="002C0AC9" w:rsidRPr="00AB52EE">
        <w:rPr>
          <w:rFonts w:cs="Arial"/>
          <w:color w:val="000000"/>
          <w:szCs w:val="24"/>
        </w:rPr>
        <w:t xml:space="preserve">It would seem to me from this that </w:t>
      </w:r>
      <w:r w:rsidR="00CC58EB" w:rsidRPr="00AB52EE">
        <w:rPr>
          <w:rFonts w:cs="Arial"/>
          <w:color w:val="000000"/>
          <w:szCs w:val="24"/>
        </w:rPr>
        <w:t xml:space="preserve">whereas Supercart bears the overall onus, and is in particular required to establish any additional breaches on a preponderance of probabilities, </w:t>
      </w:r>
      <w:r w:rsidR="00665CA5" w:rsidRPr="00AB52EE">
        <w:rPr>
          <w:rFonts w:cs="Arial"/>
          <w:szCs w:val="24"/>
          <w:lang w:eastAsia="en-ZA"/>
        </w:rPr>
        <w:t xml:space="preserve">the respondents </w:t>
      </w:r>
      <w:r w:rsidR="0045596B" w:rsidRPr="00AB52EE">
        <w:rPr>
          <w:rFonts w:cs="Arial"/>
          <w:color w:val="000000"/>
          <w:szCs w:val="24"/>
        </w:rPr>
        <w:t>bear no evidential burden in relation to the additional breaches issue</w:t>
      </w:r>
      <w:r w:rsidR="00CC58EB" w:rsidRPr="00AB52EE">
        <w:rPr>
          <w:rFonts w:cs="Arial"/>
          <w:color w:val="000000"/>
          <w:szCs w:val="24"/>
        </w:rPr>
        <w:t xml:space="preserve">, but they do bear </w:t>
      </w:r>
      <w:r w:rsidR="006319B3" w:rsidRPr="00AB52EE">
        <w:rPr>
          <w:rFonts w:cs="Arial"/>
          <w:color w:val="000000"/>
          <w:szCs w:val="24"/>
        </w:rPr>
        <w:t xml:space="preserve">an </w:t>
      </w:r>
      <w:r w:rsidR="00CC58EB" w:rsidRPr="00AB52EE">
        <w:rPr>
          <w:rFonts w:cs="Arial"/>
          <w:color w:val="000000"/>
          <w:szCs w:val="24"/>
        </w:rPr>
        <w:t>evidentiary burden in relation to the awareness issue. However, that does not mean that Supercart would be precluded from adducing evidence in relation to the awareness issue.</w:t>
      </w:r>
    </w:p>
    <w:p w14:paraId="00365E7D" w14:textId="744F2E4F" w:rsidR="003B2686" w:rsidRPr="00AB52EE" w:rsidRDefault="00935407" w:rsidP="00000F6F">
      <w:pPr>
        <w:pStyle w:val="LC1"/>
        <w:rPr>
          <w:rFonts w:cs="Arial"/>
          <w:szCs w:val="24"/>
        </w:rPr>
      </w:pPr>
      <w:r w:rsidRPr="00AB52EE">
        <w:rPr>
          <w:rFonts w:cs="Arial"/>
          <w:szCs w:val="24"/>
        </w:rPr>
        <w:t xml:space="preserve">With regard to the </w:t>
      </w:r>
      <w:r w:rsidR="006271A3" w:rsidRPr="00AB52EE">
        <w:rPr>
          <w:rFonts w:cs="Arial"/>
          <w:szCs w:val="24"/>
        </w:rPr>
        <w:t xml:space="preserve">items </w:t>
      </w:r>
      <w:r w:rsidR="00B66249" w:rsidRPr="00AB52EE">
        <w:rPr>
          <w:rFonts w:cs="Arial"/>
          <w:szCs w:val="24"/>
        </w:rPr>
        <w:t>attached pursuant to the</w:t>
      </w:r>
      <w:r w:rsidR="00FB665F">
        <w:rPr>
          <w:rFonts w:cs="Arial"/>
          <w:szCs w:val="24"/>
        </w:rPr>
        <w:t xml:space="preserve"> portions of the</w:t>
      </w:r>
      <w:r w:rsidR="00B66249" w:rsidRPr="00AB52EE">
        <w:rPr>
          <w:rFonts w:cs="Arial"/>
          <w:szCs w:val="24"/>
        </w:rPr>
        <w:t xml:space="preserve"> specification </w:t>
      </w:r>
      <w:r w:rsidR="00FB665F">
        <w:rPr>
          <w:rFonts w:cs="Arial"/>
          <w:szCs w:val="24"/>
        </w:rPr>
        <w:t xml:space="preserve">referred to </w:t>
      </w:r>
      <w:r w:rsidR="00B66249" w:rsidRPr="00AB52EE">
        <w:rPr>
          <w:rFonts w:cs="Arial"/>
          <w:szCs w:val="24"/>
        </w:rPr>
        <w:t xml:space="preserve">in </w:t>
      </w:r>
      <w:r w:rsidRPr="00AB52EE">
        <w:rPr>
          <w:rFonts w:cs="Arial"/>
          <w:szCs w:val="24"/>
        </w:rPr>
        <w:t>paragraph</w:t>
      </w:r>
      <w:r w:rsidR="002108BB" w:rsidRPr="00AB52EE">
        <w:rPr>
          <w:rFonts w:cs="Arial"/>
          <w:szCs w:val="24"/>
        </w:rPr>
        <w:t>s</w:t>
      </w:r>
      <w:r w:rsidRPr="00AB52EE">
        <w:rPr>
          <w:rFonts w:cs="Arial"/>
          <w:szCs w:val="24"/>
        </w:rPr>
        <w:t xml:space="preserve"> </w:t>
      </w:r>
      <w:r w:rsidRPr="00AB52EE">
        <w:rPr>
          <w:rFonts w:cs="Arial"/>
          <w:szCs w:val="24"/>
        </w:rPr>
        <w:fldChar w:fldCharType="begin"/>
      </w:r>
      <w:r w:rsidRPr="00AB52EE">
        <w:rPr>
          <w:rFonts w:cs="Arial"/>
          <w:szCs w:val="24"/>
        </w:rPr>
        <w:instrText xml:space="preserve"> REF _Ref150691191 \r \h </w:instrText>
      </w:r>
      <w:r w:rsidR="00CD1BF6" w:rsidRPr="00AB52EE">
        <w:rPr>
          <w:rFonts w:cs="Arial"/>
          <w:szCs w:val="24"/>
        </w:rPr>
        <w:instrText xml:space="preserve"> \* MERGEFORMAT </w:instrText>
      </w:r>
      <w:r w:rsidRPr="00AB52EE">
        <w:rPr>
          <w:rFonts w:cs="Arial"/>
          <w:szCs w:val="24"/>
        </w:rPr>
      </w:r>
      <w:r w:rsidRPr="00AB52EE">
        <w:rPr>
          <w:rFonts w:cs="Arial"/>
          <w:szCs w:val="24"/>
        </w:rPr>
        <w:fldChar w:fldCharType="separate"/>
      </w:r>
      <w:r w:rsidR="00214B4A">
        <w:rPr>
          <w:rFonts w:cs="Arial"/>
          <w:szCs w:val="24"/>
        </w:rPr>
        <w:t>[20](a)</w:t>
      </w:r>
      <w:r w:rsidRPr="00AB52EE">
        <w:rPr>
          <w:rFonts w:cs="Arial"/>
          <w:szCs w:val="24"/>
        </w:rPr>
        <w:fldChar w:fldCharType="end"/>
      </w:r>
      <w:r w:rsidR="00AE3B5A">
        <w:rPr>
          <w:rFonts w:cs="Arial"/>
          <w:szCs w:val="24"/>
        </w:rPr>
        <w:t xml:space="preserve"> and</w:t>
      </w:r>
      <w:r w:rsidR="008F600E" w:rsidRPr="00AB52EE">
        <w:rPr>
          <w:rFonts w:cs="Arial"/>
          <w:szCs w:val="24"/>
        </w:rPr>
        <w:t xml:space="preserve"> </w:t>
      </w:r>
      <w:r w:rsidR="003D0E01" w:rsidRPr="00AB52EE">
        <w:rPr>
          <w:rFonts w:cs="Arial"/>
          <w:szCs w:val="24"/>
        </w:rPr>
        <w:fldChar w:fldCharType="begin"/>
      </w:r>
      <w:r w:rsidR="003D0E01" w:rsidRPr="00AB52EE">
        <w:rPr>
          <w:rFonts w:cs="Arial"/>
          <w:szCs w:val="24"/>
        </w:rPr>
        <w:instrText xml:space="preserve"> REF _Ref150698885 \r \h </w:instrText>
      </w:r>
      <w:r w:rsidR="00CD1BF6" w:rsidRPr="00AB52EE">
        <w:rPr>
          <w:rFonts w:cs="Arial"/>
          <w:szCs w:val="24"/>
        </w:rPr>
        <w:instrText xml:space="preserve"> \* MERGEFORMAT </w:instrText>
      </w:r>
      <w:r w:rsidR="003D0E01" w:rsidRPr="00AB52EE">
        <w:rPr>
          <w:rFonts w:cs="Arial"/>
          <w:szCs w:val="24"/>
        </w:rPr>
      </w:r>
      <w:r w:rsidR="003D0E01" w:rsidRPr="00AB52EE">
        <w:rPr>
          <w:rFonts w:cs="Arial"/>
          <w:szCs w:val="24"/>
        </w:rPr>
        <w:fldChar w:fldCharType="separate"/>
      </w:r>
      <w:r w:rsidR="00214B4A">
        <w:rPr>
          <w:rFonts w:cs="Arial"/>
          <w:szCs w:val="24"/>
        </w:rPr>
        <w:t>[20](b)</w:t>
      </w:r>
      <w:r w:rsidR="003D0E01" w:rsidRPr="00AB52EE">
        <w:rPr>
          <w:rFonts w:cs="Arial"/>
          <w:szCs w:val="24"/>
        </w:rPr>
        <w:fldChar w:fldCharType="end"/>
      </w:r>
      <w:r w:rsidR="003D0E01" w:rsidRPr="00AB52EE">
        <w:rPr>
          <w:rFonts w:cs="Arial"/>
          <w:szCs w:val="24"/>
        </w:rPr>
        <w:t xml:space="preserve"> </w:t>
      </w:r>
      <w:r w:rsidRPr="00AB52EE">
        <w:rPr>
          <w:rFonts w:cs="Arial"/>
          <w:szCs w:val="24"/>
        </w:rPr>
        <w:t xml:space="preserve">above, </w:t>
      </w:r>
      <w:r w:rsidR="00665CA5" w:rsidRPr="00AB52EE">
        <w:rPr>
          <w:rFonts w:cs="Arial"/>
          <w:szCs w:val="24"/>
          <w:lang w:eastAsia="en-ZA"/>
        </w:rPr>
        <w:t xml:space="preserve">the respondents </w:t>
      </w:r>
      <w:r w:rsidR="00665CA5" w:rsidRPr="00AB52EE">
        <w:rPr>
          <w:rFonts w:cs="Arial"/>
          <w:szCs w:val="24"/>
        </w:rPr>
        <w:t xml:space="preserve">contend </w:t>
      </w:r>
      <w:r w:rsidRPr="00AB52EE">
        <w:rPr>
          <w:rFonts w:cs="Arial"/>
          <w:szCs w:val="24"/>
        </w:rPr>
        <w:t xml:space="preserve">that quotations, purchase orders and credit notes </w:t>
      </w:r>
      <w:r w:rsidR="008F600E" w:rsidRPr="00AB52EE">
        <w:rPr>
          <w:rFonts w:cs="Arial"/>
          <w:szCs w:val="24"/>
        </w:rPr>
        <w:t xml:space="preserve">and other documents that merely reference or concern the manufacture or disposal of </w:t>
      </w:r>
      <w:r w:rsidR="00FB665F" w:rsidRPr="00AB52EE">
        <w:rPr>
          <w:rFonts w:cs="Arial"/>
          <w:szCs w:val="24"/>
        </w:rPr>
        <w:t xml:space="preserve">Hybrid 90 litre </w:t>
      </w:r>
      <w:r w:rsidR="008F600E" w:rsidRPr="00AB52EE">
        <w:rPr>
          <w:rFonts w:cs="Arial"/>
          <w:szCs w:val="24"/>
        </w:rPr>
        <w:t xml:space="preserve">trolleys </w:t>
      </w:r>
      <w:r w:rsidR="00AE3B5A">
        <w:rPr>
          <w:rFonts w:cs="Arial"/>
          <w:szCs w:val="24"/>
        </w:rPr>
        <w:t xml:space="preserve">on or </w:t>
      </w:r>
      <w:r w:rsidR="00FB665F">
        <w:rPr>
          <w:rFonts w:cs="Arial"/>
          <w:szCs w:val="24"/>
        </w:rPr>
        <w:t xml:space="preserve">after 24 May 2021 </w:t>
      </w:r>
      <w:r w:rsidRPr="00AB52EE">
        <w:rPr>
          <w:rFonts w:cs="Arial"/>
          <w:szCs w:val="24"/>
        </w:rPr>
        <w:t>“cannot conduce to prove”</w:t>
      </w:r>
      <w:r w:rsidR="00CC58EB" w:rsidRPr="00AB52EE">
        <w:rPr>
          <w:rFonts w:cs="Arial"/>
          <w:szCs w:val="24"/>
        </w:rPr>
        <w:t xml:space="preserve"> any additional </w:t>
      </w:r>
      <w:r w:rsidR="00CC58EB" w:rsidRPr="00AB52EE">
        <w:rPr>
          <w:rFonts w:cs="Arial"/>
          <w:szCs w:val="24"/>
        </w:rPr>
        <w:lastRenderedPageBreak/>
        <w:t xml:space="preserve">breaches </w:t>
      </w:r>
      <w:r w:rsidR="00031A26" w:rsidRPr="00AB52EE">
        <w:rPr>
          <w:rFonts w:cs="Arial"/>
          <w:szCs w:val="24"/>
        </w:rPr>
        <w:t xml:space="preserve">because </w:t>
      </w:r>
      <w:r w:rsidRPr="00AB52EE">
        <w:rPr>
          <w:rFonts w:cs="Arial"/>
          <w:szCs w:val="24"/>
        </w:rPr>
        <w:t>“it is reasonably foreseeable that there is an innocuous explanation for the existence of [such items]”</w:t>
      </w:r>
      <w:r w:rsidR="008F600E" w:rsidRPr="00AB52EE">
        <w:rPr>
          <w:rFonts w:cs="Arial"/>
          <w:szCs w:val="24"/>
        </w:rPr>
        <w:t xml:space="preserve"> or because “they would need to demonstrate the making or disposing”.</w:t>
      </w:r>
      <w:r w:rsidRPr="00AB52EE">
        <w:rPr>
          <w:rFonts w:cs="Arial"/>
          <w:szCs w:val="24"/>
        </w:rPr>
        <w:t xml:space="preserve"> </w:t>
      </w:r>
      <w:r w:rsidR="00B66249" w:rsidRPr="00AB52EE">
        <w:rPr>
          <w:rFonts w:cs="Arial"/>
          <w:szCs w:val="24"/>
        </w:rPr>
        <w:t xml:space="preserve">This is not correct. </w:t>
      </w:r>
      <w:r w:rsidR="00A57386" w:rsidRPr="00AB52EE">
        <w:rPr>
          <w:rFonts w:cs="Arial"/>
          <w:szCs w:val="24"/>
        </w:rPr>
        <w:t xml:space="preserve">A document will constitute evidence in substantiation of a cause of action and </w:t>
      </w:r>
      <w:r w:rsidR="007E35D8" w:rsidRPr="00AB52EE">
        <w:rPr>
          <w:rFonts w:cs="Arial"/>
          <w:szCs w:val="24"/>
        </w:rPr>
        <w:t xml:space="preserve">will </w:t>
      </w:r>
      <w:r w:rsidR="00A57386" w:rsidRPr="00AB52EE">
        <w:rPr>
          <w:rFonts w:cs="Arial"/>
          <w:szCs w:val="24"/>
        </w:rPr>
        <w:t xml:space="preserve">be discoverable if it is relevant, in the sense that it contains information that may, directly or indirectly, enable the party requiring it to either advance </w:t>
      </w:r>
      <w:r w:rsidR="007E35D8" w:rsidRPr="00AB52EE">
        <w:rPr>
          <w:rFonts w:cs="Arial"/>
          <w:szCs w:val="24"/>
        </w:rPr>
        <w:t xml:space="preserve">its </w:t>
      </w:r>
      <w:r w:rsidR="00A57386" w:rsidRPr="00AB52EE">
        <w:rPr>
          <w:rFonts w:cs="Arial"/>
          <w:szCs w:val="24"/>
        </w:rPr>
        <w:t xml:space="preserve">own case or damage the case of </w:t>
      </w:r>
      <w:r w:rsidR="007E35D8" w:rsidRPr="00AB52EE">
        <w:rPr>
          <w:rFonts w:cs="Arial"/>
          <w:szCs w:val="24"/>
        </w:rPr>
        <w:t xml:space="preserve">its </w:t>
      </w:r>
      <w:r w:rsidR="00A57386" w:rsidRPr="00AB52EE">
        <w:rPr>
          <w:rFonts w:cs="Arial"/>
          <w:szCs w:val="24"/>
        </w:rPr>
        <w:t>opponent.</w:t>
      </w:r>
      <w:r w:rsidR="00A57386" w:rsidRPr="00AB52EE">
        <w:rPr>
          <w:rStyle w:val="FootnoteReference"/>
          <w:szCs w:val="24"/>
        </w:rPr>
        <w:footnoteReference w:id="92"/>
      </w:r>
      <w:r w:rsidR="00A57386" w:rsidRPr="00AB52EE">
        <w:rPr>
          <w:rFonts w:cs="Arial"/>
          <w:szCs w:val="24"/>
        </w:rPr>
        <w:t xml:space="preserve"> More technically, relevance is shown by demonstrating that there is a sufficient nexus, based on “logic and experience”, between the evidence that is sought to be led and one or more </w:t>
      </w:r>
      <w:r w:rsidR="00A57386" w:rsidRPr="00AB52EE">
        <w:rPr>
          <w:rFonts w:cs="Arial"/>
          <w:i/>
          <w:iCs/>
          <w:szCs w:val="24"/>
        </w:rPr>
        <w:t>facta probanda</w:t>
      </w:r>
      <w:r w:rsidR="00A57386" w:rsidRPr="00AB52EE">
        <w:rPr>
          <w:rFonts w:cs="Arial"/>
          <w:szCs w:val="24"/>
        </w:rPr>
        <w:t xml:space="preserve"> before the adjudicator. This connection is established when the evidence is so related, “according to the common course of events”, to the pertinent </w:t>
      </w:r>
      <w:r w:rsidR="00A57386" w:rsidRPr="00AB52EE">
        <w:rPr>
          <w:rFonts w:cs="Arial"/>
          <w:i/>
          <w:iCs/>
          <w:szCs w:val="24"/>
        </w:rPr>
        <w:t>factum probandum</w:t>
      </w:r>
      <w:r w:rsidR="00A57386" w:rsidRPr="00AB52EE">
        <w:rPr>
          <w:rFonts w:cs="Arial"/>
          <w:szCs w:val="24"/>
        </w:rPr>
        <w:t xml:space="preserve"> that the establishment of the latter is thereby rendered more or less probable.</w:t>
      </w:r>
      <w:r w:rsidR="00A57386" w:rsidRPr="00AB52EE">
        <w:rPr>
          <w:rStyle w:val="FootnoteReference"/>
          <w:szCs w:val="24"/>
        </w:rPr>
        <w:footnoteReference w:id="93"/>
      </w:r>
      <w:r w:rsidR="00195936" w:rsidRPr="00AB52EE">
        <w:rPr>
          <w:rFonts w:cs="Arial"/>
          <w:szCs w:val="24"/>
        </w:rPr>
        <w:t xml:space="preserve"> There is no requirement that the evidence in question should </w:t>
      </w:r>
      <w:r w:rsidR="003B2686" w:rsidRPr="00AB52EE">
        <w:rPr>
          <w:rFonts w:cs="Arial"/>
          <w:szCs w:val="24"/>
        </w:rPr>
        <w:t xml:space="preserve">on its own actually </w:t>
      </w:r>
      <w:r w:rsidR="00195936" w:rsidRPr="00AB52EE">
        <w:rPr>
          <w:rFonts w:cs="Arial"/>
          <w:szCs w:val="24"/>
        </w:rPr>
        <w:t xml:space="preserve">prove </w:t>
      </w:r>
      <w:r w:rsidR="003B2686" w:rsidRPr="00AB52EE">
        <w:rPr>
          <w:rFonts w:cs="Arial"/>
          <w:szCs w:val="24"/>
        </w:rPr>
        <w:t xml:space="preserve">(or “demonstrate”) </w:t>
      </w:r>
      <w:r w:rsidR="00195936" w:rsidRPr="00AB52EE">
        <w:rPr>
          <w:rFonts w:cs="Arial"/>
          <w:szCs w:val="24"/>
        </w:rPr>
        <w:t xml:space="preserve">that </w:t>
      </w:r>
      <w:r w:rsidR="00195936" w:rsidRPr="00AB52EE">
        <w:rPr>
          <w:rFonts w:cs="Arial"/>
          <w:i/>
          <w:iCs/>
          <w:szCs w:val="24"/>
        </w:rPr>
        <w:t>factum probandum</w:t>
      </w:r>
      <w:r w:rsidR="003B2686" w:rsidRPr="00AB52EE">
        <w:rPr>
          <w:rFonts w:cs="Arial"/>
          <w:szCs w:val="24"/>
        </w:rPr>
        <w:t xml:space="preserve"> – </w:t>
      </w:r>
      <w:r w:rsidR="00195936" w:rsidRPr="00AB52EE">
        <w:rPr>
          <w:rFonts w:cs="Arial"/>
          <w:szCs w:val="24"/>
        </w:rPr>
        <w:t>even</w:t>
      </w:r>
      <w:r w:rsidR="003B2686" w:rsidRPr="00AB52EE">
        <w:rPr>
          <w:rFonts w:cs="Arial"/>
          <w:szCs w:val="24"/>
        </w:rPr>
        <w:t xml:space="preserve"> </w:t>
      </w:r>
      <w:r w:rsidR="00195936" w:rsidRPr="00AB52EE">
        <w:rPr>
          <w:rFonts w:cs="Arial"/>
          <w:szCs w:val="24"/>
        </w:rPr>
        <w:t xml:space="preserve">on a </w:t>
      </w:r>
      <w:r w:rsidR="00195936" w:rsidRPr="00AB52EE">
        <w:rPr>
          <w:rFonts w:cs="Arial"/>
          <w:i/>
          <w:iCs/>
          <w:szCs w:val="24"/>
        </w:rPr>
        <w:t>prima facie</w:t>
      </w:r>
      <w:r w:rsidR="00195936" w:rsidRPr="00AB52EE">
        <w:rPr>
          <w:rFonts w:cs="Arial"/>
          <w:szCs w:val="24"/>
        </w:rPr>
        <w:t xml:space="preserve"> basis (in the sense that if no contradictory evidence is led then the </w:t>
      </w:r>
      <w:r w:rsidR="00195936" w:rsidRPr="00AB52EE">
        <w:rPr>
          <w:rFonts w:cs="Arial"/>
          <w:i/>
          <w:iCs/>
          <w:szCs w:val="24"/>
        </w:rPr>
        <w:t>factum probandum</w:t>
      </w:r>
      <w:r w:rsidR="00195936" w:rsidRPr="00AB52EE">
        <w:rPr>
          <w:rFonts w:cs="Arial"/>
          <w:szCs w:val="24"/>
        </w:rPr>
        <w:t xml:space="preserve"> will be regarded as having been proved).</w:t>
      </w:r>
      <w:r w:rsidR="00195936" w:rsidRPr="00AB52EE">
        <w:rPr>
          <w:rStyle w:val="FootnoteReference"/>
          <w:szCs w:val="24"/>
        </w:rPr>
        <w:footnoteReference w:id="94"/>
      </w:r>
      <w:r w:rsidR="00A57386" w:rsidRPr="00AB52EE">
        <w:rPr>
          <w:rFonts w:cs="Arial"/>
          <w:szCs w:val="24"/>
        </w:rPr>
        <w:t xml:space="preserve"> </w:t>
      </w:r>
    </w:p>
    <w:p w14:paraId="56740C47" w14:textId="458CB418" w:rsidR="00B66249" w:rsidRPr="00AB52EE" w:rsidRDefault="00B66249" w:rsidP="00490B41">
      <w:pPr>
        <w:pStyle w:val="LC1"/>
        <w:rPr>
          <w:rFonts w:cs="Arial"/>
          <w:szCs w:val="24"/>
        </w:rPr>
      </w:pPr>
      <w:r w:rsidRPr="00AB52EE">
        <w:rPr>
          <w:rFonts w:cs="Arial"/>
          <w:szCs w:val="24"/>
        </w:rPr>
        <w:t xml:space="preserve">In my view, the existence of items attached by the Sheriff pursuant to the formulation set out in paragraphs </w:t>
      </w:r>
      <w:r w:rsidRPr="00AB52EE">
        <w:rPr>
          <w:rFonts w:cs="Arial"/>
          <w:szCs w:val="24"/>
        </w:rPr>
        <w:fldChar w:fldCharType="begin"/>
      </w:r>
      <w:r w:rsidRPr="00AB52EE">
        <w:rPr>
          <w:rFonts w:cs="Arial"/>
          <w:szCs w:val="24"/>
        </w:rPr>
        <w:instrText xml:space="preserve"> REF _Ref150691191 \r \h  \* MERGEFORMAT </w:instrText>
      </w:r>
      <w:r w:rsidRPr="00AB52EE">
        <w:rPr>
          <w:rFonts w:cs="Arial"/>
          <w:szCs w:val="24"/>
        </w:rPr>
      </w:r>
      <w:r w:rsidRPr="00AB52EE">
        <w:rPr>
          <w:rFonts w:cs="Arial"/>
          <w:szCs w:val="24"/>
        </w:rPr>
        <w:fldChar w:fldCharType="separate"/>
      </w:r>
      <w:r w:rsidR="00214B4A">
        <w:rPr>
          <w:rFonts w:cs="Arial"/>
          <w:szCs w:val="24"/>
        </w:rPr>
        <w:t>[20](a)</w:t>
      </w:r>
      <w:r w:rsidRPr="00AB52EE">
        <w:rPr>
          <w:rFonts w:cs="Arial"/>
          <w:szCs w:val="24"/>
        </w:rPr>
        <w:fldChar w:fldCharType="end"/>
      </w:r>
      <w:r w:rsidR="00AE3B5A">
        <w:rPr>
          <w:rFonts w:cs="Arial"/>
          <w:szCs w:val="24"/>
        </w:rPr>
        <w:t xml:space="preserve"> and </w:t>
      </w:r>
      <w:r w:rsidRPr="00AB52EE">
        <w:rPr>
          <w:rFonts w:cs="Arial"/>
          <w:szCs w:val="24"/>
        </w:rPr>
        <w:fldChar w:fldCharType="begin"/>
      </w:r>
      <w:r w:rsidRPr="00AB52EE">
        <w:rPr>
          <w:rFonts w:cs="Arial"/>
          <w:szCs w:val="24"/>
        </w:rPr>
        <w:instrText xml:space="preserve"> REF _Ref150698885 \r \h  \* MERGEFORMAT </w:instrText>
      </w:r>
      <w:r w:rsidRPr="00AB52EE">
        <w:rPr>
          <w:rFonts w:cs="Arial"/>
          <w:szCs w:val="24"/>
        </w:rPr>
      </w:r>
      <w:r w:rsidRPr="00AB52EE">
        <w:rPr>
          <w:rFonts w:cs="Arial"/>
          <w:szCs w:val="24"/>
        </w:rPr>
        <w:fldChar w:fldCharType="separate"/>
      </w:r>
      <w:r w:rsidR="00214B4A">
        <w:rPr>
          <w:rFonts w:cs="Arial"/>
          <w:szCs w:val="24"/>
        </w:rPr>
        <w:t>[20](b)</w:t>
      </w:r>
      <w:r w:rsidRPr="00AB52EE">
        <w:rPr>
          <w:rFonts w:cs="Arial"/>
          <w:szCs w:val="24"/>
        </w:rPr>
        <w:fldChar w:fldCharType="end"/>
      </w:r>
      <w:r w:rsidRPr="00AB52EE">
        <w:rPr>
          <w:rFonts w:cs="Arial"/>
          <w:szCs w:val="24"/>
        </w:rPr>
        <w:t xml:space="preserve"> in relation to </w:t>
      </w:r>
      <w:r w:rsidR="00AE3B5A">
        <w:rPr>
          <w:rFonts w:cs="Arial"/>
          <w:szCs w:val="24"/>
        </w:rPr>
        <w:t xml:space="preserve">the manufacture or disposal of </w:t>
      </w:r>
      <w:r w:rsidR="00AE3B5A" w:rsidRPr="00AB52EE">
        <w:rPr>
          <w:rFonts w:cs="Arial"/>
          <w:szCs w:val="24"/>
        </w:rPr>
        <w:t xml:space="preserve">Hybrid 90 litre </w:t>
      </w:r>
      <w:r w:rsidRPr="00AB52EE">
        <w:rPr>
          <w:rFonts w:cs="Arial"/>
          <w:szCs w:val="24"/>
        </w:rPr>
        <w:t xml:space="preserve">trolleys other than the 635 referred to by Mr Case would render the existence of additional breaches more probable based on logic and experience. These items are thus relevant and </w:t>
      </w:r>
      <w:r w:rsidRPr="00AB52EE">
        <w:rPr>
          <w:rFonts w:cs="Arial"/>
          <w:szCs w:val="24"/>
        </w:rPr>
        <w:lastRenderedPageBreak/>
        <w:t xml:space="preserve">discoverable. </w:t>
      </w:r>
    </w:p>
    <w:p w14:paraId="2307C0FA" w14:textId="2E218965" w:rsidR="00B66249" w:rsidRPr="00AB52EE" w:rsidRDefault="00B66249" w:rsidP="00000F6F">
      <w:pPr>
        <w:pStyle w:val="LC1"/>
        <w:rPr>
          <w:rFonts w:cs="Arial"/>
          <w:szCs w:val="24"/>
        </w:rPr>
      </w:pPr>
      <w:r w:rsidRPr="00AB52EE">
        <w:rPr>
          <w:rFonts w:cs="Arial"/>
          <w:szCs w:val="24"/>
        </w:rPr>
        <w:t xml:space="preserve">What is more, this evidence would be of great importance to Supercart: if it is able to demonstrate additional breaches, that will make all the difference to its case of contempt because it will undermine (even potentially nullify) the credibility of the version advanced by Mr Case and Vanesco, with the consequent result of undermining their defence of an </w:t>
      </w:r>
      <w:r w:rsidRPr="00AB52EE">
        <w:rPr>
          <w:rFonts w:cs="Arial"/>
          <w:color w:val="000000"/>
          <w:szCs w:val="24"/>
        </w:rPr>
        <w:t xml:space="preserve">absence of wilfulness or </w:t>
      </w:r>
      <w:r w:rsidRPr="00AB52EE">
        <w:rPr>
          <w:rFonts w:cs="Arial"/>
          <w:i/>
          <w:iCs/>
          <w:color w:val="000000"/>
          <w:szCs w:val="24"/>
        </w:rPr>
        <w:t>mala fides</w:t>
      </w:r>
      <w:r w:rsidRPr="00AB52EE">
        <w:rPr>
          <w:rFonts w:cs="Arial"/>
          <w:color w:val="000000"/>
          <w:szCs w:val="24"/>
        </w:rPr>
        <w:t>.</w:t>
      </w:r>
      <w:r w:rsidR="00BE640E" w:rsidRPr="00AB52EE">
        <w:rPr>
          <w:rFonts w:cs="Arial"/>
          <w:color w:val="000000"/>
          <w:szCs w:val="24"/>
        </w:rPr>
        <w:t xml:space="preserve"> </w:t>
      </w:r>
      <w:r w:rsidR="00BE640E" w:rsidRPr="00AB52EE">
        <w:rPr>
          <w:rFonts w:cs="Arial"/>
          <w:szCs w:val="24"/>
        </w:rPr>
        <w:t xml:space="preserve">The fact that </w:t>
      </w:r>
      <w:r w:rsidR="00BE640E" w:rsidRPr="00AB52EE">
        <w:rPr>
          <w:rFonts w:cs="Arial"/>
          <w:szCs w:val="24"/>
          <w:lang w:eastAsia="en-ZA"/>
        </w:rPr>
        <w:t xml:space="preserve">the respondents </w:t>
      </w:r>
      <w:r w:rsidR="00BE640E" w:rsidRPr="00AB52EE">
        <w:rPr>
          <w:rFonts w:cs="Arial"/>
          <w:szCs w:val="24"/>
        </w:rPr>
        <w:t>suggest that they might be able to adduce evidence of their own (i.e. an innocuous explanation) which renders the existence of additional breaches less probable does not detract from this conclusion.</w:t>
      </w:r>
    </w:p>
    <w:p w14:paraId="70955733" w14:textId="28BB6541" w:rsidR="00112B49" w:rsidRPr="00AB52EE" w:rsidRDefault="008F600E" w:rsidP="007A27ED">
      <w:pPr>
        <w:pStyle w:val="LC1"/>
        <w:rPr>
          <w:rFonts w:cs="Arial"/>
          <w:szCs w:val="24"/>
        </w:rPr>
      </w:pPr>
      <w:r w:rsidRPr="00AB52EE">
        <w:rPr>
          <w:rFonts w:cs="Arial"/>
          <w:szCs w:val="24"/>
        </w:rPr>
        <w:t xml:space="preserve">With regard to </w:t>
      </w:r>
      <w:r w:rsidR="006271A3" w:rsidRPr="00AB52EE">
        <w:rPr>
          <w:rFonts w:cs="Arial"/>
          <w:szCs w:val="24"/>
        </w:rPr>
        <w:t xml:space="preserve">items </w:t>
      </w:r>
      <w:r w:rsidR="00B66249" w:rsidRPr="00AB52EE">
        <w:rPr>
          <w:rFonts w:cs="Arial"/>
          <w:szCs w:val="24"/>
        </w:rPr>
        <w:t xml:space="preserve">attached pursuant to the specification </w:t>
      </w:r>
      <w:r w:rsidR="00BE640E" w:rsidRPr="00AB52EE">
        <w:rPr>
          <w:rFonts w:cs="Arial"/>
          <w:szCs w:val="24"/>
        </w:rPr>
        <w:t xml:space="preserve">set out </w:t>
      </w:r>
      <w:r w:rsidRPr="00AB52EE">
        <w:rPr>
          <w:rFonts w:cs="Arial"/>
          <w:szCs w:val="24"/>
        </w:rPr>
        <w:t xml:space="preserve">in paragraph </w:t>
      </w:r>
      <w:r w:rsidR="00E863B0" w:rsidRPr="00AB52EE">
        <w:rPr>
          <w:rFonts w:cs="Arial"/>
          <w:szCs w:val="24"/>
        </w:rPr>
        <w:t xml:space="preserve"> </w:t>
      </w:r>
      <w:r w:rsidR="00E863B0" w:rsidRPr="00AB52EE">
        <w:rPr>
          <w:rFonts w:cs="Arial"/>
          <w:szCs w:val="24"/>
        </w:rPr>
        <w:fldChar w:fldCharType="begin"/>
      </w:r>
      <w:r w:rsidR="00E863B0" w:rsidRPr="00AB52EE">
        <w:rPr>
          <w:rFonts w:cs="Arial"/>
          <w:szCs w:val="24"/>
        </w:rPr>
        <w:instrText xml:space="preserve"> REF _Ref150699049 \r \h </w:instrText>
      </w:r>
      <w:r w:rsidR="00CD1BF6" w:rsidRPr="00AB52EE">
        <w:rPr>
          <w:rFonts w:cs="Arial"/>
          <w:szCs w:val="24"/>
        </w:rPr>
        <w:instrText xml:space="preserve"> \* MERGEFORMAT </w:instrText>
      </w:r>
      <w:r w:rsidR="00E863B0" w:rsidRPr="00AB52EE">
        <w:rPr>
          <w:rFonts w:cs="Arial"/>
          <w:szCs w:val="24"/>
        </w:rPr>
      </w:r>
      <w:r w:rsidR="00E863B0" w:rsidRPr="00AB52EE">
        <w:rPr>
          <w:rFonts w:cs="Arial"/>
          <w:szCs w:val="24"/>
        </w:rPr>
        <w:fldChar w:fldCharType="separate"/>
      </w:r>
      <w:r w:rsidR="00214B4A">
        <w:rPr>
          <w:rFonts w:cs="Arial"/>
          <w:szCs w:val="24"/>
        </w:rPr>
        <w:t>[20](c)</w:t>
      </w:r>
      <w:r w:rsidR="00E863B0" w:rsidRPr="00AB52EE">
        <w:rPr>
          <w:rFonts w:cs="Arial"/>
          <w:szCs w:val="24"/>
        </w:rPr>
        <w:fldChar w:fldCharType="end"/>
      </w:r>
      <w:r w:rsidR="00E863B0" w:rsidRPr="00AB52EE">
        <w:rPr>
          <w:rFonts w:cs="Arial"/>
          <w:szCs w:val="24"/>
        </w:rPr>
        <w:t xml:space="preserve"> </w:t>
      </w:r>
      <w:r w:rsidRPr="00AB52EE">
        <w:rPr>
          <w:rFonts w:cs="Arial"/>
          <w:szCs w:val="24"/>
        </w:rPr>
        <w:t xml:space="preserve">above, </w:t>
      </w:r>
      <w:r w:rsidR="00636C6A" w:rsidRPr="00AB52EE">
        <w:rPr>
          <w:rFonts w:cs="Arial"/>
          <w:szCs w:val="24"/>
          <w:lang w:eastAsia="en-ZA"/>
        </w:rPr>
        <w:t xml:space="preserve">the respondents </w:t>
      </w:r>
      <w:r w:rsidR="002108BB" w:rsidRPr="00AB52EE">
        <w:rPr>
          <w:rFonts w:cs="Arial"/>
          <w:szCs w:val="24"/>
        </w:rPr>
        <w:t xml:space="preserve">also </w:t>
      </w:r>
      <w:r w:rsidR="00636C6A" w:rsidRPr="00AB52EE">
        <w:rPr>
          <w:rFonts w:cs="Arial"/>
          <w:szCs w:val="24"/>
        </w:rPr>
        <w:t xml:space="preserve">contend </w:t>
      </w:r>
      <w:r w:rsidRPr="00AB52EE">
        <w:rPr>
          <w:rFonts w:cs="Arial"/>
          <w:szCs w:val="24"/>
        </w:rPr>
        <w:t xml:space="preserve">that </w:t>
      </w:r>
      <w:r w:rsidR="0043006F" w:rsidRPr="00AB52EE">
        <w:rPr>
          <w:rFonts w:cs="Arial"/>
          <w:szCs w:val="24"/>
        </w:rPr>
        <w:t>“</w:t>
      </w:r>
      <w:r w:rsidRPr="00AB52EE">
        <w:rPr>
          <w:rFonts w:cs="Arial"/>
          <w:szCs w:val="24"/>
        </w:rPr>
        <w:t xml:space="preserve">the existence of the </w:t>
      </w:r>
      <w:r w:rsidR="0043006F" w:rsidRPr="00AB52EE">
        <w:rPr>
          <w:rFonts w:cs="Arial"/>
          <w:szCs w:val="24"/>
        </w:rPr>
        <w:t>[</w:t>
      </w:r>
      <w:r w:rsidRPr="00AB52EE">
        <w:rPr>
          <w:rFonts w:cs="Arial"/>
          <w:szCs w:val="24"/>
        </w:rPr>
        <w:t>software package</w:t>
      </w:r>
      <w:r w:rsidR="0043006F" w:rsidRPr="00AB52EE">
        <w:rPr>
          <w:rFonts w:cs="Arial"/>
          <w:szCs w:val="24"/>
        </w:rPr>
        <w:t>]</w:t>
      </w:r>
      <w:r w:rsidRPr="00AB52EE">
        <w:rPr>
          <w:rFonts w:cs="Arial"/>
          <w:szCs w:val="24"/>
        </w:rPr>
        <w:t xml:space="preserve"> or digital application</w:t>
      </w:r>
      <w:r w:rsidR="0043006F" w:rsidRPr="00AB52EE">
        <w:rPr>
          <w:rFonts w:cs="Arial"/>
          <w:szCs w:val="24"/>
        </w:rPr>
        <w:t xml:space="preserve">” that it allows to be </w:t>
      </w:r>
      <w:r w:rsidR="00082D42" w:rsidRPr="00AB52EE">
        <w:rPr>
          <w:rFonts w:cs="Arial"/>
          <w:szCs w:val="24"/>
        </w:rPr>
        <w:t xml:space="preserve">attached </w:t>
      </w:r>
      <w:r w:rsidR="0043006F" w:rsidRPr="00AB52EE">
        <w:rPr>
          <w:rFonts w:cs="Arial"/>
          <w:szCs w:val="24"/>
        </w:rPr>
        <w:t>“</w:t>
      </w:r>
      <w:r w:rsidRPr="00AB52EE">
        <w:rPr>
          <w:rFonts w:cs="Arial"/>
          <w:szCs w:val="24"/>
        </w:rPr>
        <w:t>does not conduce to prove what is required for the purposes of the contempt application</w:t>
      </w:r>
      <w:r w:rsidR="0043006F" w:rsidRPr="00AB52EE">
        <w:rPr>
          <w:rFonts w:cs="Arial"/>
          <w:szCs w:val="24"/>
        </w:rPr>
        <w:t>”</w:t>
      </w:r>
      <w:r w:rsidRPr="00AB52EE">
        <w:rPr>
          <w:rFonts w:cs="Arial"/>
          <w:szCs w:val="24"/>
        </w:rPr>
        <w:t>. Again, I disagree.</w:t>
      </w:r>
      <w:r w:rsidR="0043006F" w:rsidRPr="00AB52EE">
        <w:rPr>
          <w:rFonts w:cs="Arial"/>
          <w:szCs w:val="24"/>
        </w:rPr>
        <w:t xml:space="preserve"> It is not </w:t>
      </w:r>
      <w:r w:rsidR="00112B49" w:rsidRPr="00AB52EE">
        <w:rPr>
          <w:rFonts w:cs="Arial"/>
          <w:szCs w:val="24"/>
        </w:rPr>
        <w:t xml:space="preserve">merely the existence of </w:t>
      </w:r>
      <w:r w:rsidR="00AE3B5A">
        <w:rPr>
          <w:rFonts w:cs="Arial"/>
          <w:szCs w:val="24"/>
        </w:rPr>
        <w:t xml:space="preserve">such </w:t>
      </w:r>
      <w:r w:rsidR="00112B49" w:rsidRPr="00AB52EE">
        <w:rPr>
          <w:rFonts w:cs="Arial"/>
          <w:szCs w:val="24"/>
        </w:rPr>
        <w:t xml:space="preserve">items that renders them subject to </w:t>
      </w:r>
      <w:r w:rsidR="00B66249" w:rsidRPr="00AB52EE">
        <w:rPr>
          <w:rFonts w:cs="Arial"/>
          <w:szCs w:val="24"/>
        </w:rPr>
        <w:t xml:space="preserve">attachment </w:t>
      </w:r>
      <w:r w:rsidR="00112B49" w:rsidRPr="00AB52EE">
        <w:rPr>
          <w:rFonts w:cs="Arial"/>
          <w:szCs w:val="24"/>
        </w:rPr>
        <w:t xml:space="preserve">under the </w:t>
      </w:r>
      <w:r w:rsidR="00BE640E" w:rsidRPr="00AB52EE">
        <w:rPr>
          <w:rFonts w:cs="Arial"/>
          <w:szCs w:val="24"/>
        </w:rPr>
        <w:t xml:space="preserve">Anton Piller </w:t>
      </w:r>
      <w:r w:rsidR="00112B49" w:rsidRPr="00AB52EE">
        <w:rPr>
          <w:rFonts w:cs="Arial"/>
          <w:szCs w:val="24"/>
        </w:rPr>
        <w:t xml:space="preserve">order. </w:t>
      </w:r>
      <w:r w:rsidR="00BE640E" w:rsidRPr="00AB52EE">
        <w:rPr>
          <w:rFonts w:cs="Arial"/>
          <w:szCs w:val="24"/>
        </w:rPr>
        <w:t xml:space="preserve">The order </w:t>
      </w:r>
      <w:r w:rsidR="0043006F" w:rsidRPr="00AB52EE">
        <w:rPr>
          <w:rFonts w:cs="Arial"/>
          <w:szCs w:val="24"/>
        </w:rPr>
        <w:t xml:space="preserve">expressly specifies that each </w:t>
      </w:r>
      <w:r w:rsidR="00082D42" w:rsidRPr="00AB52EE">
        <w:rPr>
          <w:rFonts w:cs="Arial"/>
          <w:szCs w:val="24"/>
        </w:rPr>
        <w:t xml:space="preserve">attached </w:t>
      </w:r>
      <w:r w:rsidR="0043006F" w:rsidRPr="00AB52EE">
        <w:rPr>
          <w:rFonts w:cs="Arial"/>
          <w:szCs w:val="24"/>
        </w:rPr>
        <w:t xml:space="preserve">software package, program, module, platform and/or digital application must not only be one “at or from which, or whereby” Mr Case accessed information relating to, referencing or concerning the manufacture and/or disposal (excluding, self-evidently, directly to customers outside of South Africa) </w:t>
      </w:r>
      <w:r w:rsidR="00AE3B5A">
        <w:rPr>
          <w:rFonts w:cs="Arial"/>
          <w:szCs w:val="24"/>
        </w:rPr>
        <w:t xml:space="preserve">of </w:t>
      </w:r>
      <w:r w:rsidR="0043006F" w:rsidRPr="00AB52EE">
        <w:rPr>
          <w:rFonts w:cs="Arial"/>
          <w:szCs w:val="24"/>
        </w:rPr>
        <w:t>Hybrid 90 litre trolley</w:t>
      </w:r>
      <w:r w:rsidR="00AE3B5A">
        <w:rPr>
          <w:rFonts w:cs="Arial"/>
          <w:szCs w:val="24"/>
        </w:rPr>
        <w:t>s</w:t>
      </w:r>
      <w:r w:rsidR="0043006F" w:rsidRPr="00AB52EE">
        <w:rPr>
          <w:rFonts w:cs="Arial"/>
          <w:szCs w:val="24"/>
        </w:rPr>
        <w:t xml:space="preserve"> subsequent to 23 May 2021, but must also </w:t>
      </w:r>
      <w:r w:rsidR="00112B49" w:rsidRPr="00AB52EE">
        <w:rPr>
          <w:rFonts w:cs="Arial"/>
          <w:szCs w:val="24"/>
        </w:rPr>
        <w:t>“</w:t>
      </w:r>
      <w:r w:rsidR="0043006F" w:rsidRPr="00AB52EE">
        <w:rPr>
          <w:rFonts w:cs="Arial"/>
          <w:szCs w:val="24"/>
        </w:rPr>
        <w:t>evidence such access</w:t>
      </w:r>
      <w:r w:rsidR="00112B49" w:rsidRPr="00AB52EE">
        <w:rPr>
          <w:rFonts w:cs="Arial"/>
          <w:szCs w:val="24"/>
        </w:rPr>
        <w:t>”</w:t>
      </w:r>
      <w:r w:rsidR="0043006F" w:rsidRPr="00AB52EE">
        <w:rPr>
          <w:rFonts w:cs="Arial"/>
          <w:szCs w:val="24"/>
        </w:rPr>
        <w:t xml:space="preserve">. </w:t>
      </w:r>
      <w:r w:rsidR="00112B49" w:rsidRPr="00AB52EE">
        <w:rPr>
          <w:rFonts w:cs="Arial"/>
          <w:szCs w:val="24"/>
        </w:rPr>
        <w:t xml:space="preserve">If it does not meet both of these conditions, it may not be </w:t>
      </w:r>
      <w:r w:rsidR="00082D42" w:rsidRPr="00AB52EE">
        <w:rPr>
          <w:rFonts w:cs="Arial"/>
          <w:szCs w:val="24"/>
        </w:rPr>
        <w:t>attached</w:t>
      </w:r>
      <w:r w:rsidR="00112B49" w:rsidRPr="00AB52EE">
        <w:rPr>
          <w:rFonts w:cs="Arial"/>
          <w:szCs w:val="24"/>
        </w:rPr>
        <w:t xml:space="preserve">, and if it does, I cannot see how it would not be directly relevant to an important </w:t>
      </w:r>
      <w:r w:rsidR="00112B49" w:rsidRPr="00AB52EE">
        <w:rPr>
          <w:rFonts w:cs="Arial"/>
          <w:i/>
          <w:iCs/>
          <w:szCs w:val="24"/>
        </w:rPr>
        <w:t>factum probandum</w:t>
      </w:r>
      <w:r w:rsidR="00112B49" w:rsidRPr="00AB52EE">
        <w:rPr>
          <w:rFonts w:cs="Arial"/>
          <w:szCs w:val="24"/>
        </w:rPr>
        <w:t xml:space="preserve"> in the contempt application, namely that Mr </w:t>
      </w:r>
      <w:r w:rsidR="00112B49" w:rsidRPr="00AB52EE">
        <w:rPr>
          <w:rFonts w:cs="Arial"/>
          <w:szCs w:val="24"/>
        </w:rPr>
        <w:lastRenderedPageBreak/>
        <w:t xml:space="preserve">Case was indeed aware of the admitted breaches. </w:t>
      </w:r>
    </w:p>
    <w:p w14:paraId="5F978636" w14:textId="3A2902BB" w:rsidR="001813E8" w:rsidRPr="00AB52EE" w:rsidRDefault="003B2686" w:rsidP="007A27ED">
      <w:pPr>
        <w:pStyle w:val="LC1"/>
        <w:rPr>
          <w:rFonts w:cs="Arial"/>
          <w:szCs w:val="24"/>
        </w:rPr>
      </w:pPr>
      <w:r w:rsidRPr="00AB52EE">
        <w:rPr>
          <w:rFonts w:cs="Arial"/>
          <w:szCs w:val="24"/>
        </w:rPr>
        <w:t>What is more, the question at the stage of discovery (and still less at the stage of the reconsideration of an Anton Piller order) is not whether the relevant evidence sought to be discovered or preserved is inadmissible, either under an exclusionary rule or because it is overwhelmingly prejudicial.</w:t>
      </w:r>
      <w:r w:rsidRPr="00AB52EE">
        <w:rPr>
          <w:rStyle w:val="FootnoteReference"/>
          <w:szCs w:val="24"/>
          <w:lang w:eastAsia="en-ZA"/>
        </w:rPr>
        <w:footnoteReference w:id="95"/>
      </w:r>
      <w:r w:rsidRPr="00AB52EE">
        <w:rPr>
          <w:rFonts w:cs="Arial"/>
          <w:szCs w:val="24"/>
          <w:lang w:eastAsia="en-ZA"/>
        </w:rPr>
        <w:t xml:space="preserve"> </w:t>
      </w:r>
      <w:r w:rsidRPr="00AB52EE">
        <w:rPr>
          <w:rFonts w:cs="Arial"/>
          <w:szCs w:val="24"/>
        </w:rPr>
        <w:t xml:space="preserve">That is a question for the court asked to admit it, and </w:t>
      </w:r>
      <w:r w:rsidR="00636C6A" w:rsidRPr="00AB52EE">
        <w:rPr>
          <w:rFonts w:cs="Arial"/>
          <w:szCs w:val="24"/>
          <w:lang w:eastAsia="en-ZA"/>
        </w:rPr>
        <w:t xml:space="preserve">the respondents </w:t>
      </w:r>
      <w:r w:rsidRPr="00AB52EE">
        <w:rPr>
          <w:rFonts w:cs="Arial"/>
          <w:szCs w:val="24"/>
        </w:rPr>
        <w:t>correctly make no case in that regard before me</w:t>
      </w:r>
      <w:r w:rsidR="00BE640E" w:rsidRPr="00AB52EE">
        <w:rPr>
          <w:rFonts w:cs="Arial"/>
          <w:szCs w:val="24"/>
        </w:rPr>
        <w:t>.</w:t>
      </w:r>
      <w:r w:rsidR="001813E8" w:rsidRPr="00AB52EE">
        <w:rPr>
          <w:rFonts w:cs="Arial"/>
          <w:szCs w:val="24"/>
        </w:rPr>
        <w:t xml:space="preserve"> </w:t>
      </w:r>
      <w:r w:rsidR="00BE640E" w:rsidRPr="00AB52EE">
        <w:rPr>
          <w:rFonts w:cs="Arial"/>
          <w:szCs w:val="24"/>
        </w:rPr>
        <w:t xml:space="preserve">In any event, </w:t>
      </w:r>
      <w:r w:rsidR="001813E8" w:rsidRPr="00AB52EE">
        <w:rPr>
          <w:rFonts w:cs="Arial"/>
          <w:szCs w:val="24"/>
        </w:rPr>
        <w:t xml:space="preserve">the </w:t>
      </w:r>
      <w:r w:rsidR="00BE640E" w:rsidRPr="00AB52EE">
        <w:rPr>
          <w:rFonts w:cs="Arial"/>
          <w:szCs w:val="24"/>
        </w:rPr>
        <w:t>C</w:t>
      </w:r>
      <w:r w:rsidR="001813E8" w:rsidRPr="00AB52EE">
        <w:rPr>
          <w:rFonts w:cs="Arial"/>
          <w:szCs w:val="24"/>
        </w:rPr>
        <w:t xml:space="preserve">ourts </w:t>
      </w:r>
      <w:r w:rsidR="00BE640E" w:rsidRPr="00AB52EE">
        <w:rPr>
          <w:rFonts w:cs="Arial"/>
          <w:szCs w:val="24"/>
        </w:rPr>
        <w:t xml:space="preserve">that may be </w:t>
      </w:r>
      <w:r w:rsidR="001813E8" w:rsidRPr="00AB52EE">
        <w:rPr>
          <w:rFonts w:cs="Arial"/>
          <w:szCs w:val="24"/>
        </w:rPr>
        <w:t xml:space="preserve">requested to order discovery or allow admission of evidence could </w:t>
      </w:r>
      <w:r w:rsidR="00BE640E" w:rsidRPr="00AB52EE">
        <w:rPr>
          <w:rFonts w:cs="Arial"/>
          <w:szCs w:val="24"/>
        </w:rPr>
        <w:t xml:space="preserve">do so in a targeted manner by taking </w:t>
      </w:r>
      <w:r w:rsidR="001813E8" w:rsidRPr="00AB52EE">
        <w:rPr>
          <w:rFonts w:cs="Arial"/>
          <w:szCs w:val="24"/>
        </w:rPr>
        <w:t xml:space="preserve">practical steps to ensure that only that portion of the preserved evidence that is both relevant to a </w:t>
      </w:r>
      <w:r w:rsidR="001813E8" w:rsidRPr="00AB52EE">
        <w:rPr>
          <w:rFonts w:cs="Arial"/>
          <w:i/>
          <w:iCs/>
          <w:szCs w:val="24"/>
        </w:rPr>
        <w:t>factum probandum</w:t>
      </w:r>
      <w:r w:rsidR="001813E8" w:rsidRPr="00AB52EE">
        <w:rPr>
          <w:rFonts w:cs="Arial"/>
          <w:szCs w:val="24"/>
        </w:rPr>
        <w:t xml:space="preserve"> and admissible is discovered and admitted into evidence.</w:t>
      </w:r>
      <w:r w:rsidR="001813E8" w:rsidRPr="00AB52EE">
        <w:rPr>
          <w:rStyle w:val="FootnoteReference"/>
          <w:szCs w:val="24"/>
        </w:rPr>
        <w:footnoteReference w:id="96"/>
      </w:r>
    </w:p>
    <w:p w14:paraId="15E0944A" w14:textId="01E41BCC" w:rsidR="002108BB" w:rsidRPr="00AB52EE" w:rsidRDefault="002108BB" w:rsidP="007A27ED">
      <w:pPr>
        <w:pStyle w:val="LC1"/>
        <w:rPr>
          <w:rFonts w:cs="Arial"/>
          <w:szCs w:val="24"/>
          <w:lang w:eastAsia="en-ZA"/>
        </w:rPr>
      </w:pPr>
      <w:r w:rsidRPr="00AB52EE">
        <w:rPr>
          <w:rFonts w:cs="Arial"/>
          <w:szCs w:val="24"/>
          <w:lang w:eastAsia="en-ZA"/>
        </w:rPr>
        <w:t>In the circumstances, I conclude that the order is unobjectionable in</w:t>
      </w:r>
      <w:r w:rsidR="0061441D" w:rsidRPr="00AB52EE">
        <w:rPr>
          <w:rFonts w:cs="Arial"/>
          <w:szCs w:val="24"/>
          <w:lang w:eastAsia="en-ZA"/>
        </w:rPr>
        <w:t xml:space="preserve">sofar as the </w:t>
      </w:r>
      <w:r w:rsidR="002C7131" w:rsidRPr="00AB52EE">
        <w:rPr>
          <w:rFonts w:cs="Arial"/>
          <w:szCs w:val="24"/>
          <w:lang w:eastAsia="en-ZA"/>
        </w:rPr>
        <w:t xml:space="preserve">respondents’ challenges on the </w:t>
      </w:r>
      <w:r w:rsidR="0061441D" w:rsidRPr="00AB52EE">
        <w:rPr>
          <w:rFonts w:cs="Arial"/>
          <w:szCs w:val="24"/>
          <w:lang w:eastAsia="en-ZA"/>
        </w:rPr>
        <w:t xml:space="preserve">importance question </w:t>
      </w:r>
      <w:r w:rsidR="002C7131" w:rsidRPr="00AB52EE">
        <w:rPr>
          <w:rFonts w:cs="Arial"/>
          <w:szCs w:val="24"/>
          <w:lang w:eastAsia="en-ZA"/>
        </w:rPr>
        <w:t xml:space="preserve">are </w:t>
      </w:r>
      <w:r w:rsidR="0061441D" w:rsidRPr="00AB52EE">
        <w:rPr>
          <w:rFonts w:cs="Arial"/>
          <w:szCs w:val="24"/>
          <w:lang w:eastAsia="en-ZA"/>
        </w:rPr>
        <w:t>concerned.</w:t>
      </w:r>
      <w:r w:rsidRPr="00AB52EE">
        <w:rPr>
          <w:rFonts w:cs="Arial"/>
          <w:szCs w:val="24"/>
          <w:lang w:eastAsia="en-ZA"/>
        </w:rPr>
        <w:t xml:space="preserve">  </w:t>
      </w:r>
    </w:p>
    <w:p w14:paraId="19AF5AD0" w14:textId="0AF28B8F" w:rsidR="00E449B3" w:rsidRPr="00AB52EE" w:rsidRDefault="007A0348" w:rsidP="002C7131">
      <w:pPr>
        <w:pStyle w:val="LC1"/>
        <w:keepNext/>
        <w:numPr>
          <w:ilvl w:val="0"/>
          <w:numId w:val="0"/>
        </w:numPr>
        <w:rPr>
          <w:rFonts w:cs="Arial"/>
          <w:szCs w:val="24"/>
          <w:u w:val="single"/>
          <w:lang w:eastAsia="en-ZA"/>
        </w:rPr>
      </w:pPr>
      <w:r w:rsidRPr="00AB52EE">
        <w:rPr>
          <w:rFonts w:cs="Arial"/>
          <w:szCs w:val="24"/>
          <w:u w:val="single"/>
          <w:lang w:eastAsia="en-ZA"/>
        </w:rPr>
        <w:t xml:space="preserve">Aspects </w:t>
      </w:r>
      <w:r w:rsidR="000B1174" w:rsidRPr="00AB52EE">
        <w:rPr>
          <w:rFonts w:cs="Arial"/>
          <w:szCs w:val="24"/>
          <w:u w:val="single"/>
          <w:lang w:eastAsia="en-ZA"/>
        </w:rPr>
        <w:t xml:space="preserve">of the order impugned on the basis of the </w:t>
      </w:r>
      <w:r w:rsidR="00E449B3" w:rsidRPr="00AB52EE">
        <w:rPr>
          <w:rFonts w:cs="Arial"/>
          <w:szCs w:val="24"/>
          <w:u w:val="single"/>
          <w:lang w:eastAsia="en-ZA"/>
        </w:rPr>
        <w:t>specificity question</w:t>
      </w:r>
    </w:p>
    <w:p w14:paraId="38F1AA06" w14:textId="1D552FEA" w:rsidR="00E863B0" w:rsidRPr="00AB52EE" w:rsidRDefault="00636C6A" w:rsidP="007A27ED">
      <w:pPr>
        <w:pStyle w:val="LC1"/>
        <w:rPr>
          <w:rFonts w:cs="Arial"/>
          <w:szCs w:val="24"/>
        </w:rPr>
      </w:pPr>
      <w:r w:rsidRPr="00AB52EE">
        <w:rPr>
          <w:rFonts w:cs="Arial"/>
          <w:szCs w:val="24"/>
          <w:lang w:eastAsia="en-ZA"/>
        </w:rPr>
        <w:t xml:space="preserve">The respondents </w:t>
      </w:r>
      <w:r w:rsidR="00BE640E" w:rsidRPr="00AB52EE">
        <w:rPr>
          <w:rFonts w:cs="Arial"/>
          <w:szCs w:val="24"/>
          <w:lang w:eastAsia="en-ZA"/>
        </w:rPr>
        <w:t xml:space="preserve">next </w:t>
      </w:r>
      <w:r w:rsidRPr="00AB52EE">
        <w:rPr>
          <w:rFonts w:cs="Arial"/>
          <w:szCs w:val="24"/>
        </w:rPr>
        <w:t>contend</w:t>
      </w:r>
      <w:r w:rsidR="00E863B0" w:rsidRPr="00AB52EE">
        <w:rPr>
          <w:rFonts w:cs="Arial"/>
          <w:szCs w:val="24"/>
        </w:rPr>
        <w:t xml:space="preserve"> that the items </w:t>
      </w:r>
      <w:r w:rsidR="00082D42" w:rsidRPr="00AB52EE">
        <w:rPr>
          <w:rFonts w:cs="Arial"/>
          <w:szCs w:val="24"/>
        </w:rPr>
        <w:t xml:space="preserve">attached </w:t>
      </w:r>
      <w:r w:rsidR="0044293C" w:rsidRPr="00AB52EE">
        <w:rPr>
          <w:rFonts w:cs="Arial"/>
          <w:szCs w:val="24"/>
        </w:rPr>
        <w:t xml:space="preserve">pursuant to </w:t>
      </w:r>
      <w:r w:rsidR="00BE640E" w:rsidRPr="00AB52EE">
        <w:rPr>
          <w:rFonts w:cs="Arial"/>
          <w:szCs w:val="24"/>
        </w:rPr>
        <w:t xml:space="preserve">the formulation of “relevant evidence” in </w:t>
      </w:r>
      <w:r w:rsidR="00E863B0" w:rsidRPr="00AB52EE">
        <w:rPr>
          <w:rFonts w:cs="Arial"/>
          <w:szCs w:val="24"/>
        </w:rPr>
        <w:fldChar w:fldCharType="begin"/>
      </w:r>
      <w:r w:rsidR="00E863B0" w:rsidRPr="00AB52EE">
        <w:rPr>
          <w:rFonts w:cs="Arial"/>
          <w:szCs w:val="24"/>
        </w:rPr>
        <w:instrText xml:space="preserve"> REF _Ref150698885 \r \h </w:instrText>
      </w:r>
      <w:r w:rsidR="00CD1BF6" w:rsidRPr="00AB52EE">
        <w:rPr>
          <w:rFonts w:cs="Arial"/>
          <w:szCs w:val="24"/>
        </w:rPr>
        <w:instrText xml:space="preserve"> \* MERGEFORMAT </w:instrText>
      </w:r>
      <w:r w:rsidR="00E863B0" w:rsidRPr="00AB52EE">
        <w:rPr>
          <w:rFonts w:cs="Arial"/>
          <w:szCs w:val="24"/>
        </w:rPr>
      </w:r>
      <w:r w:rsidR="00E863B0" w:rsidRPr="00AB52EE">
        <w:rPr>
          <w:rFonts w:cs="Arial"/>
          <w:szCs w:val="24"/>
        </w:rPr>
        <w:fldChar w:fldCharType="separate"/>
      </w:r>
      <w:r w:rsidR="00214B4A">
        <w:rPr>
          <w:rFonts w:cs="Arial"/>
          <w:szCs w:val="24"/>
        </w:rPr>
        <w:t>[20](b)</w:t>
      </w:r>
      <w:r w:rsidR="00E863B0" w:rsidRPr="00AB52EE">
        <w:rPr>
          <w:rFonts w:cs="Arial"/>
          <w:szCs w:val="24"/>
        </w:rPr>
        <w:fldChar w:fldCharType="end"/>
      </w:r>
      <w:r w:rsidR="00E863B0" w:rsidRPr="00AB52EE">
        <w:rPr>
          <w:rFonts w:cs="Arial"/>
          <w:szCs w:val="24"/>
        </w:rPr>
        <w:t xml:space="preserve"> and </w:t>
      </w:r>
      <w:r w:rsidR="00E863B0" w:rsidRPr="00AB52EE">
        <w:rPr>
          <w:rFonts w:cs="Arial"/>
          <w:szCs w:val="24"/>
        </w:rPr>
        <w:fldChar w:fldCharType="begin"/>
      </w:r>
      <w:r w:rsidR="00E863B0" w:rsidRPr="00AB52EE">
        <w:rPr>
          <w:rFonts w:cs="Arial"/>
          <w:szCs w:val="24"/>
        </w:rPr>
        <w:instrText xml:space="preserve"> REF _Ref150699049 \r \h </w:instrText>
      </w:r>
      <w:r w:rsidR="00CD1BF6" w:rsidRPr="00AB52EE">
        <w:rPr>
          <w:rFonts w:cs="Arial"/>
          <w:szCs w:val="24"/>
        </w:rPr>
        <w:instrText xml:space="preserve"> \* MERGEFORMAT </w:instrText>
      </w:r>
      <w:r w:rsidR="00E863B0" w:rsidRPr="00AB52EE">
        <w:rPr>
          <w:rFonts w:cs="Arial"/>
          <w:szCs w:val="24"/>
        </w:rPr>
      </w:r>
      <w:r w:rsidR="00E863B0" w:rsidRPr="00AB52EE">
        <w:rPr>
          <w:rFonts w:cs="Arial"/>
          <w:szCs w:val="24"/>
        </w:rPr>
        <w:fldChar w:fldCharType="separate"/>
      </w:r>
      <w:r w:rsidR="00214B4A">
        <w:rPr>
          <w:rFonts w:cs="Arial"/>
          <w:szCs w:val="24"/>
        </w:rPr>
        <w:t>[20](c)</w:t>
      </w:r>
      <w:r w:rsidR="00E863B0" w:rsidRPr="00AB52EE">
        <w:rPr>
          <w:rFonts w:cs="Arial"/>
          <w:szCs w:val="24"/>
        </w:rPr>
        <w:fldChar w:fldCharType="end"/>
      </w:r>
      <w:r w:rsidR="00E863B0" w:rsidRPr="00AB52EE">
        <w:rPr>
          <w:rFonts w:cs="Arial"/>
          <w:szCs w:val="24"/>
        </w:rPr>
        <w:t xml:space="preserve"> </w:t>
      </w:r>
      <w:r w:rsidR="0044293C" w:rsidRPr="00AB52EE">
        <w:rPr>
          <w:rFonts w:cs="Arial"/>
          <w:szCs w:val="24"/>
        </w:rPr>
        <w:t xml:space="preserve">above </w:t>
      </w:r>
      <w:r w:rsidR="00E863B0" w:rsidRPr="00AB52EE">
        <w:rPr>
          <w:rFonts w:cs="Arial"/>
          <w:szCs w:val="24"/>
        </w:rPr>
        <w:t>“might only contain a passing reference to a 90 litre trolley” and “allow the applicant, a commercial competitor of the first respondent, to see a wealth of information that he is not entitled to see, including customers, discount percentages, volumes of purchase orders, and every aspect of business”.</w:t>
      </w:r>
      <w:r w:rsidR="0044293C" w:rsidRPr="00AB52EE">
        <w:rPr>
          <w:rFonts w:cs="Arial"/>
          <w:szCs w:val="24"/>
        </w:rPr>
        <w:t xml:space="preserve"> This is not correct.</w:t>
      </w:r>
    </w:p>
    <w:p w14:paraId="6CC453D6" w14:textId="21219BD8" w:rsidR="00BE1DDD" w:rsidRPr="00AB52EE" w:rsidRDefault="009644DD" w:rsidP="007A27ED">
      <w:pPr>
        <w:pStyle w:val="LC1"/>
        <w:rPr>
          <w:rFonts w:cs="Arial"/>
          <w:szCs w:val="24"/>
        </w:rPr>
      </w:pPr>
      <w:r>
        <w:rPr>
          <w:rFonts w:cs="Arial"/>
          <w:szCs w:val="24"/>
        </w:rPr>
        <w:t>T</w:t>
      </w:r>
      <w:r w:rsidR="00277802" w:rsidRPr="00AB52EE">
        <w:rPr>
          <w:rFonts w:cs="Arial"/>
          <w:szCs w:val="24"/>
        </w:rPr>
        <w:t xml:space="preserve">he formulation of neither of the </w:t>
      </w:r>
      <w:r w:rsidR="00BE640E" w:rsidRPr="00AB52EE">
        <w:rPr>
          <w:rFonts w:cs="Arial"/>
          <w:szCs w:val="24"/>
        </w:rPr>
        <w:t xml:space="preserve">specifications </w:t>
      </w:r>
      <w:r w:rsidR="00277802" w:rsidRPr="00AB52EE">
        <w:rPr>
          <w:rFonts w:cs="Arial"/>
          <w:szCs w:val="24"/>
        </w:rPr>
        <w:t xml:space="preserve">referred to in </w:t>
      </w:r>
      <w:r w:rsidR="00140E5D" w:rsidRPr="00AB52EE">
        <w:rPr>
          <w:rFonts w:cs="Arial"/>
          <w:szCs w:val="24"/>
        </w:rPr>
        <w:t>paragraph</w:t>
      </w:r>
      <w:r w:rsidR="00277802" w:rsidRPr="00AB52EE">
        <w:rPr>
          <w:rFonts w:cs="Arial"/>
          <w:szCs w:val="24"/>
        </w:rPr>
        <w:t>s</w:t>
      </w:r>
      <w:r w:rsidR="00140E5D" w:rsidRPr="00AB52EE">
        <w:rPr>
          <w:rFonts w:cs="Arial"/>
          <w:szCs w:val="24"/>
        </w:rPr>
        <w:t xml:space="preserve"> </w:t>
      </w:r>
      <w:r w:rsidR="00140E5D" w:rsidRPr="00AB52EE">
        <w:rPr>
          <w:rFonts w:cs="Arial"/>
          <w:szCs w:val="24"/>
        </w:rPr>
        <w:fldChar w:fldCharType="begin"/>
      </w:r>
      <w:r w:rsidR="00140E5D" w:rsidRPr="00AB52EE">
        <w:rPr>
          <w:rFonts w:cs="Arial"/>
          <w:szCs w:val="24"/>
        </w:rPr>
        <w:instrText xml:space="preserve"> REF _Ref150698885 \r \h </w:instrText>
      </w:r>
      <w:r w:rsidR="00CD1BF6" w:rsidRPr="00AB52EE">
        <w:rPr>
          <w:rFonts w:cs="Arial"/>
          <w:szCs w:val="24"/>
        </w:rPr>
        <w:instrText xml:space="preserve"> \* MERGEFORMAT </w:instrText>
      </w:r>
      <w:r w:rsidR="00140E5D" w:rsidRPr="00AB52EE">
        <w:rPr>
          <w:rFonts w:cs="Arial"/>
          <w:szCs w:val="24"/>
        </w:rPr>
      </w:r>
      <w:r w:rsidR="00140E5D" w:rsidRPr="00AB52EE">
        <w:rPr>
          <w:rFonts w:cs="Arial"/>
          <w:szCs w:val="24"/>
        </w:rPr>
        <w:fldChar w:fldCharType="separate"/>
      </w:r>
      <w:r w:rsidR="00214B4A">
        <w:rPr>
          <w:rFonts w:cs="Arial"/>
          <w:szCs w:val="24"/>
        </w:rPr>
        <w:t>[20](b)</w:t>
      </w:r>
      <w:r w:rsidR="00140E5D" w:rsidRPr="00AB52EE">
        <w:rPr>
          <w:rFonts w:cs="Arial"/>
          <w:szCs w:val="24"/>
        </w:rPr>
        <w:fldChar w:fldCharType="end"/>
      </w:r>
      <w:r w:rsidR="00140E5D" w:rsidRPr="00AB52EE">
        <w:rPr>
          <w:rFonts w:cs="Arial"/>
          <w:szCs w:val="24"/>
        </w:rPr>
        <w:t xml:space="preserve"> </w:t>
      </w:r>
      <w:r w:rsidR="00B11FA7">
        <w:rPr>
          <w:rFonts w:cs="Arial"/>
          <w:szCs w:val="24"/>
        </w:rPr>
        <w:lastRenderedPageBreak/>
        <w:t xml:space="preserve">or </w:t>
      </w:r>
      <w:r w:rsidR="00140E5D" w:rsidRPr="00AB52EE">
        <w:rPr>
          <w:rFonts w:cs="Arial"/>
          <w:szCs w:val="24"/>
        </w:rPr>
        <w:fldChar w:fldCharType="begin"/>
      </w:r>
      <w:r w:rsidR="00140E5D" w:rsidRPr="00AB52EE">
        <w:rPr>
          <w:rFonts w:cs="Arial"/>
          <w:szCs w:val="24"/>
        </w:rPr>
        <w:instrText xml:space="preserve"> REF _Ref150699049 \r \h </w:instrText>
      </w:r>
      <w:r w:rsidR="00CD1BF6" w:rsidRPr="00AB52EE">
        <w:rPr>
          <w:rFonts w:cs="Arial"/>
          <w:szCs w:val="24"/>
        </w:rPr>
        <w:instrText xml:space="preserve"> \* MERGEFORMAT </w:instrText>
      </w:r>
      <w:r w:rsidR="00140E5D" w:rsidRPr="00AB52EE">
        <w:rPr>
          <w:rFonts w:cs="Arial"/>
          <w:szCs w:val="24"/>
        </w:rPr>
      </w:r>
      <w:r w:rsidR="00140E5D" w:rsidRPr="00AB52EE">
        <w:rPr>
          <w:rFonts w:cs="Arial"/>
          <w:szCs w:val="24"/>
        </w:rPr>
        <w:fldChar w:fldCharType="separate"/>
      </w:r>
      <w:r w:rsidR="00214B4A">
        <w:rPr>
          <w:rFonts w:cs="Arial"/>
          <w:szCs w:val="24"/>
        </w:rPr>
        <w:t>[20](c)</w:t>
      </w:r>
      <w:r w:rsidR="00140E5D" w:rsidRPr="00AB52EE">
        <w:rPr>
          <w:rFonts w:cs="Arial"/>
          <w:szCs w:val="24"/>
        </w:rPr>
        <w:fldChar w:fldCharType="end"/>
      </w:r>
      <w:r w:rsidR="00140E5D" w:rsidRPr="00AB52EE">
        <w:rPr>
          <w:rFonts w:cs="Arial"/>
          <w:szCs w:val="24"/>
        </w:rPr>
        <w:t xml:space="preserve"> </w:t>
      </w:r>
      <w:r w:rsidR="00B11FA7">
        <w:rPr>
          <w:rFonts w:cs="Arial"/>
          <w:szCs w:val="24"/>
        </w:rPr>
        <w:t xml:space="preserve">above </w:t>
      </w:r>
      <w:r w:rsidR="00AC55DE" w:rsidRPr="00AB52EE">
        <w:rPr>
          <w:rFonts w:cs="Arial"/>
          <w:szCs w:val="24"/>
        </w:rPr>
        <w:t>allow</w:t>
      </w:r>
      <w:r w:rsidR="00140E5D" w:rsidRPr="00AB52EE">
        <w:rPr>
          <w:rFonts w:cs="Arial"/>
          <w:szCs w:val="24"/>
        </w:rPr>
        <w:t>s</w:t>
      </w:r>
      <w:r w:rsidR="00AC55DE" w:rsidRPr="00AB52EE">
        <w:rPr>
          <w:rFonts w:cs="Arial"/>
          <w:szCs w:val="24"/>
        </w:rPr>
        <w:t xml:space="preserve"> the </w:t>
      </w:r>
      <w:r w:rsidR="00BE640E" w:rsidRPr="00AB52EE">
        <w:rPr>
          <w:rFonts w:cs="Arial"/>
          <w:szCs w:val="24"/>
        </w:rPr>
        <w:t xml:space="preserve">attachment </w:t>
      </w:r>
      <w:r w:rsidR="00AC55DE" w:rsidRPr="00AB52EE">
        <w:rPr>
          <w:rFonts w:cs="Arial"/>
          <w:szCs w:val="24"/>
        </w:rPr>
        <w:t xml:space="preserve">of any </w:t>
      </w:r>
      <w:r w:rsidR="00140E5D" w:rsidRPr="00AB52EE">
        <w:rPr>
          <w:rFonts w:cs="Arial"/>
          <w:szCs w:val="24"/>
        </w:rPr>
        <w:t xml:space="preserve">item simply on the basis that it </w:t>
      </w:r>
      <w:r w:rsidR="00AC55DE" w:rsidRPr="00AB52EE">
        <w:rPr>
          <w:rFonts w:cs="Arial"/>
          <w:szCs w:val="24"/>
        </w:rPr>
        <w:t>contain</w:t>
      </w:r>
      <w:r w:rsidR="00140E5D" w:rsidRPr="00AB52EE">
        <w:rPr>
          <w:rFonts w:cs="Arial"/>
          <w:szCs w:val="24"/>
        </w:rPr>
        <w:t>s</w:t>
      </w:r>
      <w:r w:rsidR="00AC55DE" w:rsidRPr="00AB52EE">
        <w:rPr>
          <w:rFonts w:cs="Arial"/>
          <w:szCs w:val="24"/>
        </w:rPr>
        <w:t xml:space="preserve"> </w:t>
      </w:r>
      <w:r w:rsidR="00140E5D" w:rsidRPr="00AB52EE">
        <w:rPr>
          <w:rFonts w:cs="Arial"/>
          <w:szCs w:val="24"/>
        </w:rPr>
        <w:t xml:space="preserve">a </w:t>
      </w:r>
      <w:r w:rsidR="0044293C" w:rsidRPr="00AB52EE">
        <w:rPr>
          <w:rFonts w:cs="Arial"/>
          <w:szCs w:val="24"/>
        </w:rPr>
        <w:t>“passing reference to a 90 litre trolley”</w:t>
      </w:r>
      <w:r w:rsidR="0043006F" w:rsidRPr="00AB52EE">
        <w:rPr>
          <w:rFonts w:cs="Arial"/>
          <w:szCs w:val="24"/>
        </w:rPr>
        <w:t>.</w:t>
      </w:r>
      <w:r w:rsidR="0044293C" w:rsidRPr="00AB52EE">
        <w:rPr>
          <w:rFonts w:cs="Arial"/>
          <w:szCs w:val="24"/>
        </w:rPr>
        <w:t xml:space="preserve"> </w:t>
      </w:r>
      <w:r w:rsidR="00BE1DDD" w:rsidRPr="00AB52EE">
        <w:rPr>
          <w:rFonts w:cs="Arial"/>
          <w:szCs w:val="24"/>
        </w:rPr>
        <w:t xml:space="preserve">Paragraph </w:t>
      </w:r>
      <w:r w:rsidR="0043006F" w:rsidRPr="00AB52EE">
        <w:rPr>
          <w:rFonts w:cs="Arial"/>
          <w:szCs w:val="24"/>
        </w:rPr>
        <w:fldChar w:fldCharType="begin"/>
      </w:r>
      <w:r w:rsidR="0043006F" w:rsidRPr="00AB52EE">
        <w:rPr>
          <w:rFonts w:cs="Arial"/>
          <w:szCs w:val="24"/>
        </w:rPr>
        <w:instrText xml:space="preserve"> REF _Ref150698885 \r \h </w:instrText>
      </w:r>
      <w:r w:rsidR="00CD1BF6" w:rsidRPr="00AB52EE">
        <w:rPr>
          <w:rFonts w:cs="Arial"/>
          <w:szCs w:val="24"/>
        </w:rPr>
        <w:instrText xml:space="preserve"> \* MERGEFORMAT </w:instrText>
      </w:r>
      <w:r w:rsidR="0043006F" w:rsidRPr="00AB52EE">
        <w:rPr>
          <w:rFonts w:cs="Arial"/>
          <w:szCs w:val="24"/>
        </w:rPr>
      </w:r>
      <w:r w:rsidR="0043006F" w:rsidRPr="00AB52EE">
        <w:rPr>
          <w:rFonts w:cs="Arial"/>
          <w:szCs w:val="24"/>
        </w:rPr>
        <w:fldChar w:fldCharType="separate"/>
      </w:r>
      <w:r w:rsidR="00214B4A">
        <w:rPr>
          <w:rFonts w:cs="Arial"/>
          <w:szCs w:val="24"/>
        </w:rPr>
        <w:t>[20](b)</w:t>
      </w:r>
      <w:r w:rsidR="0043006F" w:rsidRPr="00AB52EE">
        <w:rPr>
          <w:rFonts w:cs="Arial"/>
          <w:szCs w:val="24"/>
        </w:rPr>
        <w:fldChar w:fldCharType="end"/>
      </w:r>
      <w:r w:rsidR="0043006F" w:rsidRPr="00AB52EE">
        <w:rPr>
          <w:rFonts w:cs="Arial"/>
          <w:szCs w:val="24"/>
        </w:rPr>
        <w:t xml:space="preserve"> </w:t>
      </w:r>
      <w:r w:rsidR="0044293C" w:rsidRPr="00AB52EE">
        <w:rPr>
          <w:rFonts w:cs="Arial"/>
          <w:szCs w:val="24"/>
        </w:rPr>
        <w:t xml:space="preserve">expressly specifies that </w:t>
      </w:r>
      <w:r w:rsidR="0043006F" w:rsidRPr="00AB52EE">
        <w:rPr>
          <w:rFonts w:cs="Arial"/>
          <w:szCs w:val="24"/>
        </w:rPr>
        <w:t xml:space="preserve">an </w:t>
      </w:r>
      <w:r w:rsidR="0044293C" w:rsidRPr="00AB52EE">
        <w:rPr>
          <w:rFonts w:cs="Arial"/>
          <w:szCs w:val="24"/>
        </w:rPr>
        <w:t xml:space="preserve">item </w:t>
      </w:r>
      <w:r w:rsidR="0043006F" w:rsidRPr="00AB52EE">
        <w:rPr>
          <w:rFonts w:cs="Arial"/>
          <w:szCs w:val="24"/>
        </w:rPr>
        <w:t xml:space="preserve">may only be </w:t>
      </w:r>
      <w:r w:rsidR="00082D42" w:rsidRPr="00AB52EE">
        <w:rPr>
          <w:rFonts w:cs="Arial"/>
          <w:szCs w:val="24"/>
        </w:rPr>
        <w:t xml:space="preserve">attached </w:t>
      </w:r>
      <w:r w:rsidR="0043006F" w:rsidRPr="00AB52EE">
        <w:rPr>
          <w:rFonts w:cs="Arial"/>
          <w:szCs w:val="24"/>
        </w:rPr>
        <w:t xml:space="preserve">if it </w:t>
      </w:r>
      <w:r w:rsidR="0044293C" w:rsidRPr="00AB52EE">
        <w:rPr>
          <w:rFonts w:cs="Arial"/>
          <w:szCs w:val="24"/>
        </w:rPr>
        <w:t>“relate</w:t>
      </w:r>
      <w:r w:rsidR="0043006F" w:rsidRPr="00AB52EE">
        <w:rPr>
          <w:rFonts w:cs="Arial"/>
          <w:szCs w:val="24"/>
        </w:rPr>
        <w:t>s</w:t>
      </w:r>
      <w:r w:rsidR="0044293C" w:rsidRPr="00AB52EE">
        <w:rPr>
          <w:rFonts w:cs="Arial"/>
          <w:szCs w:val="24"/>
        </w:rPr>
        <w:t xml:space="preserve"> to, reference</w:t>
      </w:r>
      <w:r w:rsidR="0043006F" w:rsidRPr="00AB52EE">
        <w:rPr>
          <w:rFonts w:cs="Arial"/>
          <w:szCs w:val="24"/>
        </w:rPr>
        <w:t>s</w:t>
      </w:r>
      <w:r w:rsidR="0044293C" w:rsidRPr="00AB52EE">
        <w:rPr>
          <w:rFonts w:cs="Arial"/>
          <w:szCs w:val="24"/>
        </w:rPr>
        <w:t xml:space="preserve"> or concern</w:t>
      </w:r>
      <w:r w:rsidR="0043006F" w:rsidRPr="00AB52EE">
        <w:rPr>
          <w:rFonts w:cs="Arial"/>
          <w:szCs w:val="24"/>
        </w:rPr>
        <w:t>s</w:t>
      </w:r>
      <w:r w:rsidR="0044293C" w:rsidRPr="00AB52EE">
        <w:rPr>
          <w:rFonts w:cs="Arial"/>
          <w:szCs w:val="24"/>
        </w:rPr>
        <w:t xml:space="preserve"> the manufacture and/or disposal (excluding, self-evidently, directly to customers outside of South Africa) of the Smartcart Hybrid 90 litre trolley as from 23 May 2021”</w:t>
      </w:r>
      <w:r w:rsidR="0043006F" w:rsidRPr="00AB52EE">
        <w:rPr>
          <w:rFonts w:cs="Arial"/>
          <w:szCs w:val="24"/>
        </w:rPr>
        <w:t xml:space="preserve">. If it does not, it may not be </w:t>
      </w:r>
      <w:r w:rsidR="00082D42" w:rsidRPr="00AB52EE">
        <w:rPr>
          <w:rFonts w:cs="Arial"/>
          <w:szCs w:val="24"/>
        </w:rPr>
        <w:t>attached</w:t>
      </w:r>
      <w:r w:rsidR="0043006F" w:rsidRPr="00AB52EE">
        <w:rPr>
          <w:rFonts w:cs="Arial"/>
          <w:szCs w:val="24"/>
        </w:rPr>
        <w:t xml:space="preserve">. </w:t>
      </w:r>
      <w:r w:rsidR="00BE1DDD" w:rsidRPr="00AB52EE">
        <w:rPr>
          <w:rFonts w:cs="Arial"/>
          <w:szCs w:val="24"/>
        </w:rPr>
        <w:t xml:space="preserve">Paragraph </w:t>
      </w:r>
      <w:r w:rsidR="0043006F" w:rsidRPr="00AB52EE">
        <w:rPr>
          <w:rFonts w:cs="Arial"/>
          <w:szCs w:val="24"/>
        </w:rPr>
        <w:fldChar w:fldCharType="begin"/>
      </w:r>
      <w:r w:rsidR="0043006F" w:rsidRPr="00AB52EE">
        <w:rPr>
          <w:rFonts w:cs="Arial"/>
          <w:szCs w:val="24"/>
        </w:rPr>
        <w:instrText xml:space="preserve"> REF _Ref150699049 \r \h </w:instrText>
      </w:r>
      <w:r w:rsidR="00CD1BF6" w:rsidRPr="00AB52EE">
        <w:rPr>
          <w:rFonts w:cs="Arial"/>
          <w:szCs w:val="24"/>
        </w:rPr>
        <w:instrText xml:space="preserve"> \* MERGEFORMAT </w:instrText>
      </w:r>
      <w:r w:rsidR="0043006F" w:rsidRPr="00AB52EE">
        <w:rPr>
          <w:rFonts w:cs="Arial"/>
          <w:szCs w:val="24"/>
        </w:rPr>
      </w:r>
      <w:r w:rsidR="0043006F" w:rsidRPr="00AB52EE">
        <w:rPr>
          <w:rFonts w:cs="Arial"/>
          <w:szCs w:val="24"/>
        </w:rPr>
        <w:fldChar w:fldCharType="separate"/>
      </w:r>
      <w:r w:rsidR="00214B4A">
        <w:rPr>
          <w:rFonts w:cs="Arial"/>
          <w:szCs w:val="24"/>
        </w:rPr>
        <w:t>[20](c)</w:t>
      </w:r>
      <w:r w:rsidR="0043006F" w:rsidRPr="00AB52EE">
        <w:rPr>
          <w:rFonts w:cs="Arial"/>
          <w:szCs w:val="24"/>
        </w:rPr>
        <w:fldChar w:fldCharType="end"/>
      </w:r>
      <w:r w:rsidR="0043006F" w:rsidRPr="00AB52EE">
        <w:rPr>
          <w:rFonts w:cs="Arial"/>
          <w:szCs w:val="24"/>
        </w:rPr>
        <w:t xml:space="preserve"> expressly specifies that each </w:t>
      </w:r>
      <w:r w:rsidR="00082D42" w:rsidRPr="00AB52EE">
        <w:rPr>
          <w:rFonts w:cs="Arial"/>
          <w:szCs w:val="24"/>
        </w:rPr>
        <w:t xml:space="preserve">attached </w:t>
      </w:r>
      <w:r w:rsidR="0043006F" w:rsidRPr="00AB52EE">
        <w:rPr>
          <w:rFonts w:cs="Arial"/>
          <w:szCs w:val="24"/>
        </w:rPr>
        <w:t xml:space="preserve">software package, program, module, platform and/or digital application must not only be one “at or from which, or whereby” Mr Case accessed information relating to, referencing or concerning the manufacture and/or disposal (excluding, self-evidently, directly to customers outside of South Africa) Hybrid 90 litre trolley subsequent to 23 May 2021, but must also evidence such access. If it does not, it may not be </w:t>
      </w:r>
      <w:r w:rsidR="00082D42" w:rsidRPr="00AB52EE">
        <w:rPr>
          <w:rFonts w:cs="Arial"/>
          <w:szCs w:val="24"/>
        </w:rPr>
        <w:t>attached</w:t>
      </w:r>
      <w:r w:rsidR="0043006F" w:rsidRPr="00AB52EE">
        <w:rPr>
          <w:rFonts w:cs="Arial"/>
          <w:szCs w:val="24"/>
        </w:rPr>
        <w:t xml:space="preserve">. </w:t>
      </w:r>
    </w:p>
    <w:p w14:paraId="54908F1C" w14:textId="02A5CF9D" w:rsidR="003F1B94" w:rsidRDefault="003F1B94" w:rsidP="003F1B94">
      <w:pPr>
        <w:pStyle w:val="LC1"/>
        <w:rPr>
          <w:rFonts w:cs="Arial"/>
          <w:szCs w:val="24"/>
        </w:rPr>
      </w:pPr>
      <w:r>
        <w:rPr>
          <w:rFonts w:cs="Arial"/>
          <w:szCs w:val="24"/>
        </w:rPr>
        <w:t>As to the complaint regarding privilege and confidential information, do</w:t>
      </w:r>
      <w:r w:rsidRPr="00AB52EE">
        <w:rPr>
          <w:rFonts w:cs="Arial"/>
          <w:szCs w:val="24"/>
        </w:rPr>
        <w:t xml:space="preserve">cuments containing confidential information are not </w:t>
      </w:r>
      <w:r w:rsidRPr="00AB52EE">
        <w:rPr>
          <w:rFonts w:cs="Arial"/>
          <w:i/>
          <w:iCs/>
          <w:szCs w:val="24"/>
        </w:rPr>
        <w:t>per se</w:t>
      </w:r>
      <w:r w:rsidRPr="00AB52EE">
        <w:rPr>
          <w:rFonts w:cs="Arial"/>
          <w:szCs w:val="24"/>
        </w:rPr>
        <w:t xml:space="preserve"> protected from discovery unless they are privileged or protected on some other basis,</w:t>
      </w:r>
      <w:r w:rsidRPr="00AB52EE">
        <w:rPr>
          <w:rStyle w:val="FootnoteReference"/>
          <w:szCs w:val="24"/>
        </w:rPr>
        <w:footnoteReference w:id="97"/>
      </w:r>
      <w:r w:rsidRPr="00AB52EE">
        <w:rPr>
          <w:rFonts w:cs="Arial"/>
          <w:szCs w:val="24"/>
        </w:rPr>
        <w:t xml:space="preserve"> </w:t>
      </w:r>
      <w:r w:rsidR="00B11FA7">
        <w:rPr>
          <w:rFonts w:cs="Arial"/>
          <w:szCs w:val="24"/>
        </w:rPr>
        <w:t xml:space="preserve">but as noted above, </w:t>
      </w:r>
      <w:r w:rsidRPr="00AB52EE">
        <w:rPr>
          <w:rFonts w:cs="Arial"/>
          <w:szCs w:val="24"/>
        </w:rPr>
        <w:t>the Court ordering discovery may do so in a targeted manner</w:t>
      </w:r>
      <w:r w:rsidR="00B11FA7">
        <w:rPr>
          <w:rFonts w:cs="Arial"/>
          <w:szCs w:val="24"/>
        </w:rPr>
        <w:t xml:space="preserve"> </w:t>
      </w:r>
      <w:r w:rsidR="00B11FA7" w:rsidRPr="00AB52EE">
        <w:rPr>
          <w:rFonts w:cs="Arial"/>
          <w:szCs w:val="24"/>
        </w:rPr>
        <w:t xml:space="preserve">to ensure that only that portion of the preserved evidence that is </w:t>
      </w:r>
      <w:r w:rsidR="00B11FA7">
        <w:rPr>
          <w:rFonts w:cs="Arial"/>
          <w:szCs w:val="24"/>
        </w:rPr>
        <w:t xml:space="preserve">not privileged </w:t>
      </w:r>
      <w:r w:rsidR="00B11FA7" w:rsidRPr="00AB52EE">
        <w:rPr>
          <w:rFonts w:cs="Arial"/>
          <w:szCs w:val="24"/>
        </w:rPr>
        <w:t>is discovered and admitted into evidence</w:t>
      </w:r>
      <w:r w:rsidR="00B11FA7">
        <w:rPr>
          <w:rFonts w:cs="Arial"/>
          <w:szCs w:val="24"/>
        </w:rPr>
        <w:t>.</w:t>
      </w:r>
    </w:p>
    <w:p w14:paraId="53D3448D" w14:textId="3D10F9E9" w:rsidR="00EA45BB" w:rsidRPr="00AB52EE" w:rsidRDefault="00EA45BB" w:rsidP="007A27ED">
      <w:pPr>
        <w:pStyle w:val="LC1"/>
        <w:rPr>
          <w:rFonts w:cs="Arial"/>
          <w:szCs w:val="24"/>
        </w:rPr>
      </w:pPr>
      <w:r w:rsidRPr="00AB52EE">
        <w:rPr>
          <w:rFonts w:cs="Arial"/>
          <w:szCs w:val="24"/>
        </w:rPr>
        <w:t>T</w:t>
      </w:r>
      <w:r w:rsidR="00636C6A" w:rsidRPr="00AB52EE">
        <w:rPr>
          <w:rFonts w:cs="Arial"/>
          <w:szCs w:val="24"/>
          <w:lang w:eastAsia="en-ZA"/>
        </w:rPr>
        <w:t xml:space="preserve">he respondents </w:t>
      </w:r>
      <w:r w:rsidRPr="00AB52EE">
        <w:rPr>
          <w:rFonts w:cs="Arial"/>
          <w:szCs w:val="24"/>
          <w:lang w:eastAsia="en-ZA"/>
        </w:rPr>
        <w:t xml:space="preserve">also </w:t>
      </w:r>
      <w:r w:rsidR="00140E5D" w:rsidRPr="00AB52EE">
        <w:rPr>
          <w:rFonts w:cs="Arial"/>
          <w:szCs w:val="24"/>
        </w:rPr>
        <w:t xml:space="preserve">submit that </w:t>
      </w:r>
      <w:r w:rsidR="00A92AAC" w:rsidRPr="00AB52EE">
        <w:rPr>
          <w:rFonts w:cs="Arial"/>
          <w:szCs w:val="24"/>
        </w:rPr>
        <w:t xml:space="preserve">the order allowing </w:t>
      </w:r>
      <w:r w:rsidR="00CD49AB" w:rsidRPr="00AB52EE">
        <w:rPr>
          <w:rFonts w:cs="Arial"/>
          <w:szCs w:val="24"/>
        </w:rPr>
        <w:t xml:space="preserve">attachment </w:t>
      </w:r>
      <w:r w:rsidR="00A92AAC" w:rsidRPr="00AB52EE">
        <w:rPr>
          <w:rFonts w:cs="Arial"/>
          <w:szCs w:val="24"/>
        </w:rPr>
        <w:t xml:space="preserve">of </w:t>
      </w:r>
      <w:r w:rsidR="00140E5D" w:rsidRPr="00AB52EE">
        <w:rPr>
          <w:rFonts w:cs="Arial"/>
          <w:szCs w:val="24"/>
        </w:rPr>
        <w:t xml:space="preserve">text messages </w:t>
      </w:r>
      <w:r w:rsidR="00981B92" w:rsidRPr="00AB52EE">
        <w:rPr>
          <w:rFonts w:cs="Arial"/>
          <w:szCs w:val="24"/>
        </w:rPr>
        <w:t xml:space="preserve">as set out in paragraph </w:t>
      </w:r>
      <w:r w:rsidR="00140E5D" w:rsidRPr="00AB52EE">
        <w:rPr>
          <w:rFonts w:cs="Arial"/>
          <w:szCs w:val="24"/>
        </w:rPr>
        <w:fldChar w:fldCharType="begin"/>
      </w:r>
      <w:r w:rsidR="00140E5D" w:rsidRPr="00AB52EE">
        <w:rPr>
          <w:rFonts w:cs="Arial"/>
          <w:szCs w:val="24"/>
        </w:rPr>
        <w:instrText xml:space="preserve"> REF _Ref150705476 \r \h </w:instrText>
      </w:r>
      <w:r w:rsidR="009F4D30" w:rsidRPr="00AB52EE">
        <w:rPr>
          <w:rFonts w:cs="Arial"/>
          <w:szCs w:val="24"/>
        </w:rPr>
        <w:instrText xml:space="preserve"> \* MERGEFORMAT </w:instrText>
      </w:r>
      <w:r w:rsidR="00140E5D" w:rsidRPr="00AB52EE">
        <w:rPr>
          <w:rFonts w:cs="Arial"/>
          <w:szCs w:val="24"/>
        </w:rPr>
      </w:r>
      <w:r w:rsidR="00140E5D" w:rsidRPr="00AB52EE">
        <w:rPr>
          <w:rFonts w:cs="Arial"/>
          <w:szCs w:val="24"/>
        </w:rPr>
        <w:fldChar w:fldCharType="separate"/>
      </w:r>
      <w:r w:rsidR="00214B4A">
        <w:rPr>
          <w:rFonts w:cs="Arial"/>
          <w:szCs w:val="24"/>
        </w:rPr>
        <w:t>[20](f)</w:t>
      </w:r>
      <w:r w:rsidR="00140E5D" w:rsidRPr="00AB52EE">
        <w:rPr>
          <w:rFonts w:cs="Arial"/>
          <w:szCs w:val="24"/>
        </w:rPr>
        <w:fldChar w:fldCharType="end"/>
      </w:r>
      <w:r w:rsidR="00140E5D" w:rsidRPr="00AB52EE">
        <w:rPr>
          <w:rFonts w:cs="Arial"/>
          <w:szCs w:val="24"/>
        </w:rPr>
        <w:t xml:space="preserve"> above</w:t>
      </w:r>
      <w:r w:rsidR="00A92AAC" w:rsidRPr="00AB52EE">
        <w:rPr>
          <w:rFonts w:cs="Arial"/>
          <w:szCs w:val="24"/>
        </w:rPr>
        <w:t xml:space="preserve"> </w:t>
      </w:r>
      <w:r w:rsidR="00B11FA7">
        <w:rPr>
          <w:rFonts w:cs="Arial"/>
          <w:szCs w:val="24"/>
        </w:rPr>
        <w:t xml:space="preserve">is </w:t>
      </w:r>
      <w:r w:rsidR="00A92AAC" w:rsidRPr="00AB52EE">
        <w:rPr>
          <w:rFonts w:cs="Arial"/>
          <w:szCs w:val="24"/>
        </w:rPr>
        <w:t xml:space="preserve">unduly vague, and that this may be demonstrated by the fact that </w:t>
      </w:r>
      <w:r w:rsidR="006F7F7B" w:rsidRPr="00AB52EE">
        <w:rPr>
          <w:rFonts w:cs="Arial"/>
          <w:szCs w:val="24"/>
        </w:rPr>
        <w:t xml:space="preserve">a dispute arose during the execution of the order as to </w:t>
      </w:r>
      <w:r w:rsidR="00BE640E" w:rsidRPr="00AB52EE">
        <w:rPr>
          <w:rFonts w:cs="Arial"/>
          <w:szCs w:val="24"/>
        </w:rPr>
        <w:t xml:space="preserve">whether </w:t>
      </w:r>
      <w:r w:rsidR="006F7F7B" w:rsidRPr="00AB52EE">
        <w:rPr>
          <w:rFonts w:cs="Arial"/>
          <w:szCs w:val="24"/>
        </w:rPr>
        <w:t xml:space="preserve">the electronic devices </w:t>
      </w:r>
      <w:r w:rsidR="00BE640E" w:rsidRPr="00AB52EE">
        <w:rPr>
          <w:rFonts w:cs="Arial"/>
          <w:szCs w:val="24"/>
        </w:rPr>
        <w:t xml:space="preserve">of Mrs Case and her daughter </w:t>
      </w:r>
      <w:r w:rsidR="006F7F7B" w:rsidRPr="00AB52EE">
        <w:rPr>
          <w:rFonts w:cs="Arial"/>
          <w:szCs w:val="24"/>
        </w:rPr>
        <w:lastRenderedPageBreak/>
        <w:t xml:space="preserve">could be </w:t>
      </w:r>
      <w:r w:rsidR="0046341C" w:rsidRPr="00AB52EE">
        <w:rPr>
          <w:rFonts w:cs="Arial"/>
          <w:szCs w:val="24"/>
        </w:rPr>
        <w:t xml:space="preserve">searched </w:t>
      </w:r>
      <w:r w:rsidR="006F7F7B" w:rsidRPr="00AB52EE">
        <w:rPr>
          <w:rFonts w:cs="Arial"/>
          <w:szCs w:val="24"/>
        </w:rPr>
        <w:t>by the search part</w:t>
      </w:r>
      <w:r w:rsidR="00981B92" w:rsidRPr="00AB52EE">
        <w:rPr>
          <w:rFonts w:cs="Arial"/>
          <w:szCs w:val="24"/>
        </w:rPr>
        <w:t>ies</w:t>
      </w:r>
      <w:r w:rsidR="00AE3F0E" w:rsidRPr="00AB52EE">
        <w:rPr>
          <w:rFonts w:cs="Arial"/>
          <w:szCs w:val="24"/>
        </w:rPr>
        <w:t xml:space="preserve">. </w:t>
      </w:r>
      <w:r w:rsidR="00541BB9" w:rsidRPr="00AB52EE">
        <w:rPr>
          <w:rFonts w:cs="Arial"/>
          <w:szCs w:val="24"/>
        </w:rPr>
        <w:t xml:space="preserve">Again, </w:t>
      </w:r>
      <w:r w:rsidR="009F4D30" w:rsidRPr="00AB52EE">
        <w:rPr>
          <w:rFonts w:cs="Arial"/>
          <w:szCs w:val="24"/>
        </w:rPr>
        <w:t xml:space="preserve">I disagree. </w:t>
      </w:r>
      <w:r w:rsidR="00AE3F0E" w:rsidRPr="00AB52EE">
        <w:rPr>
          <w:rFonts w:cs="Arial"/>
          <w:szCs w:val="24"/>
        </w:rPr>
        <w:t xml:space="preserve">In my view, the scope of the paragraph is clear: only messages sent to or from mobile phones “used by” Mr Case, Mr Stein and Mr Botes </w:t>
      </w:r>
      <w:r w:rsidR="009F4D30" w:rsidRPr="00AB52EE">
        <w:rPr>
          <w:rFonts w:cs="Arial"/>
          <w:szCs w:val="24"/>
        </w:rPr>
        <w:t xml:space="preserve">that related to the additional breaches issue </w:t>
      </w:r>
      <w:r w:rsidR="00AE3F0E" w:rsidRPr="00AB52EE">
        <w:rPr>
          <w:rFonts w:cs="Arial"/>
          <w:szCs w:val="24"/>
        </w:rPr>
        <w:t xml:space="preserve">constituted relevant evidence </w:t>
      </w:r>
      <w:r w:rsidR="009F4D30" w:rsidRPr="00AB52EE">
        <w:rPr>
          <w:rFonts w:cs="Arial"/>
          <w:szCs w:val="24"/>
        </w:rPr>
        <w:t xml:space="preserve">that </w:t>
      </w:r>
      <w:r w:rsidR="00AE3F0E" w:rsidRPr="00AB52EE">
        <w:rPr>
          <w:rFonts w:cs="Arial"/>
          <w:szCs w:val="24"/>
        </w:rPr>
        <w:t xml:space="preserve">could be </w:t>
      </w:r>
      <w:r w:rsidR="00082D42" w:rsidRPr="00AB52EE">
        <w:rPr>
          <w:rFonts w:cs="Arial"/>
          <w:szCs w:val="24"/>
        </w:rPr>
        <w:t>attached</w:t>
      </w:r>
      <w:r w:rsidR="00AE3F0E" w:rsidRPr="00AB52EE">
        <w:rPr>
          <w:rFonts w:cs="Arial"/>
          <w:szCs w:val="24"/>
        </w:rPr>
        <w:t xml:space="preserve"> pursuant to this paragraph of the order.</w:t>
      </w:r>
      <w:r w:rsidR="005D17EA" w:rsidRPr="00AB52EE">
        <w:rPr>
          <w:rStyle w:val="FootnoteReference"/>
          <w:szCs w:val="24"/>
        </w:rPr>
        <w:t xml:space="preserve"> </w:t>
      </w:r>
      <w:r w:rsidR="00144219" w:rsidRPr="00AB52EE">
        <w:rPr>
          <w:rFonts w:cs="Arial"/>
          <w:szCs w:val="24"/>
        </w:rPr>
        <w:t xml:space="preserve">While it appears from </w:t>
      </w:r>
      <w:r w:rsidR="00BE640E" w:rsidRPr="00AB52EE">
        <w:rPr>
          <w:rFonts w:cs="Arial"/>
          <w:szCs w:val="24"/>
        </w:rPr>
        <w:t xml:space="preserve">the affidavit of </w:t>
      </w:r>
      <w:r w:rsidR="00B11FA7">
        <w:rPr>
          <w:rFonts w:cs="Arial"/>
          <w:szCs w:val="24"/>
        </w:rPr>
        <w:t xml:space="preserve">Mr Shoba </w:t>
      </w:r>
      <w:r w:rsidR="00BE640E" w:rsidRPr="00AB52EE">
        <w:rPr>
          <w:rFonts w:cs="Arial"/>
          <w:szCs w:val="24"/>
        </w:rPr>
        <w:t xml:space="preserve">(one of the </w:t>
      </w:r>
      <w:r w:rsidR="00144219" w:rsidRPr="00AB52EE">
        <w:rPr>
          <w:rFonts w:cs="Arial"/>
          <w:szCs w:val="24"/>
        </w:rPr>
        <w:t>supervising attorneys</w:t>
      </w:r>
      <w:r w:rsidR="00BE640E" w:rsidRPr="00AB52EE">
        <w:rPr>
          <w:rFonts w:cs="Arial"/>
          <w:szCs w:val="24"/>
        </w:rPr>
        <w:t>)</w:t>
      </w:r>
      <w:r w:rsidR="00144219" w:rsidRPr="00AB52EE">
        <w:rPr>
          <w:rFonts w:cs="Arial"/>
          <w:szCs w:val="24"/>
        </w:rPr>
        <w:t xml:space="preserve"> that this aspect of the order did indeed give rise to some confusion in relation to the </w:t>
      </w:r>
      <w:r w:rsidR="00BE640E" w:rsidRPr="00AB52EE">
        <w:rPr>
          <w:rFonts w:cs="Arial"/>
          <w:szCs w:val="24"/>
        </w:rPr>
        <w:t xml:space="preserve">mobile </w:t>
      </w:r>
      <w:r w:rsidR="00144219" w:rsidRPr="00AB52EE">
        <w:rPr>
          <w:rFonts w:cs="Arial"/>
          <w:szCs w:val="24"/>
        </w:rPr>
        <w:t xml:space="preserve">phones of Mrs Case and her daughter, this was not because the order </w:t>
      </w:r>
      <w:r w:rsidR="005D17EA" w:rsidRPr="00AB52EE">
        <w:rPr>
          <w:rFonts w:cs="Arial"/>
          <w:szCs w:val="24"/>
        </w:rPr>
        <w:t xml:space="preserve">was </w:t>
      </w:r>
      <w:r w:rsidR="00144219" w:rsidRPr="00AB52EE">
        <w:rPr>
          <w:rFonts w:cs="Arial"/>
          <w:szCs w:val="24"/>
        </w:rPr>
        <w:t>insufficiently precise, but because it was misinterpreted by the search party. Ultimately, the phones in question were not searched</w:t>
      </w:r>
      <w:r w:rsidR="005D17EA" w:rsidRPr="00AB52EE">
        <w:rPr>
          <w:rFonts w:cs="Arial"/>
          <w:szCs w:val="24"/>
        </w:rPr>
        <w:t>, and Mr Case makes no clear allegation of non-compliant execution in this regard, an issue in respect of which the respondents bear an onus</w:t>
      </w:r>
      <w:r w:rsidR="00144219" w:rsidRPr="00AB52EE">
        <w:rPr>
          <w:rFonts w:cs="Arial"/>
          <w:szCs w:val="24"/>
        </w:rPr>
        <w:t xml:space="preserve">. </w:t>
      </w:r>
    </w:p>
    <w:p w14:paraId="6E36BD07" w14:textId="21D4FB68" w:rsidR="00144219" w:rsidRPr="00AB52EE" w:rsidRDefault="00144219" w:rsidP="007A27ED">
      <w:pPr>
        <w:pStyle w:val="LC1"/>
        <w:rPr>
          <w:rFonts w:cs="Arial"/>
          <w:szCs w:val="24"/>
        </w:rPr>
      </w:pPr>
      <w:r w:rsidRPr="00AB52EE">
        <w:rPr>
          <w:rFonts w:cs="Arial"/>
          <w:szCs w:val="24"/>
        </w:rPr>
        <w:t xml:space="preserve">As for the uncertainty regarding the requirements in the order in relation to COVID-19 vaccination and testing of the search parties, </w:t>
      </w:r>
      <w:r w:rsidR="00EA45BB" w:rsidRPr="00AB52EE">
        <w:rPr>
          <w:rFonts w:cs="Arial"/>
          <w:szCs w:val="24"/>
        </w:rPr>
        <w:t xml:space="preserve">even if I </w:t>
      </w:r>
      <w:r w:rsidRPr="00AB52EE">
        <w:rPr>
          <w:rFonts w:cs="Arial"/>
          <w:szCs w:val="24"/>
        </w:rPr>
        <w:t xml:space="preserve">accept that the order was not entirely clear, this is not a basis on which it may be found that the second </w:t>
      </w:r>
      <w:r w:rsidR="008E0BAF" w:rsidRPr="00AB52EE">
        <w:rPr>
          <w:rFonts w:cs="Arial"/>
          <w:szCs w:val="24"/>
          <w:lang w:eastAsia="en-ZA"/>
        </w:rPr>
        <w:t xml:space="preserve">threshold </w:t>
      </w:r>
      <w:r w:rsidRPr="00AB52EE">
        <w:rPr>
          <w:rFonts w:cs="Arial"/>
          <w:szCs w:val="24"/>
        </w:rPr>
        <w:t xml:space="preserve">requirement for </w:t>
      </w:r>
      <w:r w:rsidR="00B11FA7">
        <w:rPr>
          <w:rFonts w:cs="Arial"/>
          <w:szCs w:val="24"/>
        </w:rPr>
        <w:t xml:space="preserve">the </w:t>
      </w:r>
      <w:r w:rsidRPr="00AB52EE">
        <w:rPr>
          <w:rFonts w:cs="Arial"/>
          <w:szCs w:val="24"/>
        </w:rPr>
        <w:t>Anton Piller order was not met</w:t>
      </w:r>
      <w:r w:rsidR="00EA45BB" w:rsidRPr="00AB52EE">
        <w:rPr>
          <w:rFonts w:cs="Arial"/>
          <w:szCs w:val="24"/>
        </w:rPr>
        <w:t>, as there is no relationship between that lack of clarity and the question whether the specification of “relevant evidence” was sufficiently clear to enable the search teams to identify whether any items found during the search should be attached</w:t>
      </w:r>
      <w:r w:rsidR="005D17EA" w:rsidRPr="00AB52EE">
        <w:rPr>
          <w:rFonts w:cs="Arial"/>
          <w:szCs w:val="24"/>
        </w:rPr>
        <w:t>.</w:t>
      </w:r>
      <w:r w:rsidRPr="00AB52EE">
        <w:rPr>
          <w:rFonts w:cs="Arial"/>
          <w:szCs w:val="24"/>
        </w:rPr>
        <w:t xml:space="preserve"> </w:t>
      </w:r>
      <w:r w:rsidR="005D17EA" w:rsidRPr="00AB52EE">
        <w:rPr>
          <w:rFonts w:cs="Arial"/>
          <w:szCs w:val="24"/>
        </w:rPr>
        <w:t xml:space="preserve">Again, </w:t>
      </w:r>
      <w:r w:rsidRPr="00AB52EE">
        <w:rPr>
          <w:rFonts w:cs="Arial"/>
          <w:szCs w:val="24"/>
        </w:rPr>
        <w:t xml:space="preserve">no complaint is made that the execution of the search was improper in this respect. </w:t>
      </w:r>
    </w:p>
    <w:p w14:paraId="6CCC8D3B" w14:textId="0A1B1CF4" w:rsidR="00541BB9" w:rsidRPr="00AB52EE" w:rsidRDefault="00541BB9" w:rsidP="007A27ED">
      <w:pPr>
        <w:pStyle w:val="LC1"/>
        <w:rPr>
          <w:rFonts w:cs="Arial"/>
          <w:szCs w:val="24"/>
        </w:rPr>
      </w:pPr>
      <w:r w:rsidRPr="00AB52EE">
        <w:rPr>
          <w:rFonts w:cs="Arial"/>
          <w:szCs w:val="24"/>
        </w:rPr>
        <w:t xml:space="preserve">In considering all of these allegations, </w:t>
      </w:r>
      <w:r w:rsidR="00EA45BB" w:rsidRPr="00AB52EE">
        <w:rPr>
          <w:rFonts w:cs="Arial"/>
          <w:szCs w:val="24"/>
        </w:rPr>
        <w:t xml:space="preserve">it is in my view significant </w:t>
      </w:r>
      <w:r w:rsidRPr="00AB52EE">
        <w:rPr>
          <w:rFonts w:cs="Arial"/>
          <w:szCs w:val="24"/>
        </w:rPr>
        <w:t>that Mr Case alleges that the Sheriffs</w:t>
      </w:r>
      <w:r w:rsidR="0070312E" w:rsidRPr="00AB52EE">
        <w:rPr>
          <w:rFonts w:cs="Arial"/>
          <w:szCs w:val="24"/>
        </w:rPr>
        <w:t xml:space="preserve"> and </w:t>
      </w:r>
      <w:r w:rsidRPr="00AB52EE">
        <w:rPr>
          <w:rFonts w:cs="Arial"/>
          <w:szCs w:val="24"/>
        </w:rPr>
        <w:t>assisting attorneys</w:t>
      </w:r>
      <w:r w:rsidR="0070312E" w:rsidRPr="00AB52EE">
        <w:rPr>
          <w:rFonts w:cs="Arial"/>
          <w:szCs w:val="24"/>
        </w:rPr>
        <w:t xml:space="preserve"> </w:t>
      </w:r>
      <w:r w:rsidRPr="00AB52EE">
        <w:rPr>
          <w:rFonts w:cs="Arial"/>
          <w:szCs w:val="24"/>
        </w:rPr>
        <w:t xml:space="preserve">were </w:t>
      </w:r>
      <w:r w:rsidR="0070312E" w:rsidRPr="00AB52EE">
        <w:rPr>
          <w:rFonts w:cs="Arial"/>
          <w:szCs w:val="24"/>
        </w:rPr>
        <w:t xml:space="preserve">in some instances </w:t>
      </w:r>
      <w:r w:rsidRPr="00AB52EE">
        <w:rPr>
          <w:rFonts w:cs="Arial"/>
          <w:szCs w:val="24"/>
        </w:rPr>
        <w:t xml:space="preserve">“corrected” by the supervising attorneys. </w:t>
      </w:r>
      <w:r w:rsidR="00EA45BB" w:rsidRPr="00AB52EE">
        <w:rPr>
          <w:rFonts w:cs="Arial"/>
          <w:szCs w:val="24"/>
        </w:rPr>
        <w:t xml:space="preserve">The </w:t>
      </w:r>
      <w:r w:rsidRPr="00AB52EE">
        <w:rPr>
          <w:rFonts w:cs="Arial"/>
          <w:szCs w:val="24"/>
        </w:rPr>
        <w:t xml:space="preserve">fact that the supervising attorneys </w:t>
      </w:r>
      <w:r w:rsidRPr="00AB52EE">
        <w:rPr>
          <w:rFonts w:cs="Arial"/>
          <w:szCs w:val="24"/>
        </w:rPr>
        <w:lastRenderedPageBreak/>
        <w:t>were able to do this suggests that far from being vague and overbroad, the order was sufficiently specific to be implemented in practice.</w:t>
      </w:r>
    </w:p>
    <w:p w14:paraId="66A15068" w14:textId="3638D93D" w:rsidR="00C315CC" w:rsidRPr="00AB52EE" w:rsidRDefault="00541BB9" w:rsidP="007A27ED">
      <w:pPr>
        <w:pStyle w:val="LC1"/>
        <w:rPr>
          <w:rFonts w:cs="Arial"/>
          <w:szCs w:val="24"/>
        </w:rPr>
      </w:pPr>
      <w:r w:rsidRPr="00AB52EE">
        <w:rPr>
          <w:rFonts w:cs="Arial"/>
          <w:szCs w:val="24"/>
        </w:rPr>
        <w:t xml:space="preserve">I therefore find that </w:t>
      </w:r>
      <w:r w:rsidR="00C315CC" w:rsidRPr="00AB52EE">
        <w:rPr>
          <w:rFonts w:cs="Arial"/>
          <w:szCs w:val="24"/>
        </w:rPr>
        <w:t xml:space="preserve">the description of the relevant evidence was </w:t>
      </w:r>
      <w:r w:rsidR="006753C6" w:rsidRPr="00AB52EE">
        <w:rPr>
          <w:rFonts w:cs="Arial"/>
          <w:szCs w:val="24"/>
        </w:rPr>
        <w:t xml:space="preserve">sufficiently specific and was </w:t>
      </w:r>
      <w:r w:rsidR="00C315CC" w:rsidRPr="00AB52EE">
        <w:rPr>
          <w:rFonts w:cs="Arial"/>
          <w:szCs w:val="24"/>
        </w:rPr>
        <w:t>neither vague nor imprecise</w:t>
      </w:r>
      <w:r w:rsidR="002C7131" w:rsidRPr="00AB52EE">
        <w:rPr>
          <w:rFonts w:cs="Arial"/>
          <w:szCs w:val="24"/>
        </w:rPr>
        <w:t xml:space="preserve"> in the respects alleged by the respondents</w:t>
      </w:r>
      <w:r w:rsidR="00BE1DDD" w:rsidRPr="00AB52EE">
        <w:rPr>
          <w:rFonts w:cs="Arial"/>
          <w:szCs w:val="24"/>
        </w:rPr>
        <w:t xml:space="preserve">. </w:t>
      </w:r>
    </w:p>
    <w:p w14:paraId="76655BF2" w14:textId="11EF9B1B" w:rsidR="00681A35" w:rsidRPr="00AB52EE" w:rsidRDefault="007A0348" w:rsidP="002C7131">
      <w:pPr>
        <w:pStyle w:val="LC1"/>
        <w:keepNext/>
        <w:numPr>
          <w:ilvl w:val="0"/>
          <w:numId w:val="0"/>
        </w:numPr>
        <w:rPr>
          <w:rFonts w:cs="Arial"/>
          <w:szCs w:val="24"/>
          <w:u w:val="single"/>
          <w:lang w:eastAsia="en-ZA"/>
        </w:rPr>
      </w:pPr>
      <w:r w:rsidRPr="00AB52EE">
        <w:rPr>
          <w:rFonts w:cs="Arial"/>
          <w:szCs w:val="24"/>
          <w:u w:val="single"/>
          <w:lang w:eastAsia="en-ZA"/>
        </w:rPr>
        <w:t xml:space="preserve">Aspects </w:t>
      </w:r>
      <w:r w:rsidR="00681A35" w:rsidRPr="00AB52EE">
        <w:rPr>
          <w:rFonts w:cs="Arial"/>
          <w:szCs w:val="24"/>
          <w:u w:val="single"/>
          <w:lang w:eastAsia="en-ZA"/>
        </w:rPr>
        <w:t>of the order impugned on the basis of the possession question</w:t>
      </w:r>
    </w:p>
    <w:p w14:paraId="0BE15509" w14:textId="742E09B3" w:rsidR="005901BC" w:rsidRPr="00AB52EE" w:rsidRDefault="00FB7A02" w:rsidP="007A27ED">
      <w:pPr>
        <w:pStyle w:val="LC1"/>
        <w:rPr>
          <w:rFonts w:cs="Arial"/>
          <w:szCs w:val="24"/>
          <w:lang w:eastAsia="en-ZA"/>
        </w:rPr>
      </w:pPr>
      <w:r w:rsidRPr="00AB52EE">
        <w:rPr>
          <w:rFonts w:cs="Arial"/>
          <w:szCs w:val="24"/>
        </w:rPr>
        <w:t xml:space="preserve">Mr </w:t>
      </w:r>
      <w:r w:rsidR="006C109E" w:rsidRPr="00AB52EE">
        <w:rPr>
          <w:rFonts w:cs="Arial"/>
          <w:szCs w:val="24"/>
        </w:rPr>
        <w:t>C</w:t>
      </w:r>
      <w:r w:rsidRPr="00AB52EE">
        <w:rPr>
          <w:rFonts w:cs="Arial"/>
          <w:szCs w:val="24"/>
        </w:rPr>
        <w:t xml:space="preserve">ase </w:t>
      </w:r>
      <w:r w:rsidR="007A3DE6" w:rsidRPr="00AB52EE">
        <w:rPr>
          <w:rFonts w:cs="Arial"/>
          <w:szCs w:val="24"/>
        </w:rPr>
        <w:t>allege</w:t>
      </w:r>
      <w:r w:rsidR="00AA4223" w:rsidRPr="00AB52EE">
        <w:rPr>
          <w:rFonts w:cs="Arial"/>
          <w:szCs w:val="24"/>
        </w:rPr>
        <w:t>s</w:t>
      </w:r>
      <w:r w:rsidR="007A3DE6" w:rsidRPr="00AB52EE">
        <w:rPr>
          <w:rFonts w:cs="Arial"/>
          <w:szCs w:val="24"/>
        </w:rPr>
        <w:t xml:space="preserve"> </w:t>
      </w:r>
      <w:r w:rsidR="006C109E" w:rsidRPr="00AB52EE">
        <w:rPr>
          <w:rFonts w:cs="Arial"/>
          <w:szCs w:val="24"/>
        </w:rPr>
        <w:t xml:space="preserve">in paragraph 43 of his answering affidavit </w:t>
      </w:r>
      <w:r w:rsidR="007A3DE6" w:rsidRPr="00AB52EE">
        <w:rPr>
          <w:rFonts w:cs="Arial"/>
          <w:szCs w:val="24"/>
        </w:rPr>
        <w:t xml:space="preserve">that Supercart failed in the founding affidavit in the Anton Piller application to </w:t>
      </w:r>
      <w:r w:rsidR="005901BC" w:rsidRPr="00AB52EE">
        <w:rPr>
          <w:rFonts w:cs="Arial"/>
          <w:szCs w:val="24"/>
        </w:rPr>
        <w:t>establish (</w:t>
      </w:r>
      <w:r w:rsidR="00EA45BB" w:rsidRPr="00AB52EE">
        <w:rPr>
          <w:rFonts w:cs="Arial"/>
          <w:szCs w:val="24"/>
        </w:rPr>
        <w:t xml:space="preserve">i.e. </w:t>
      </w:r>
      <w:r w:rsidR="005901BC" w:rsidRPr="00AB52EE">
        <w:rPr>
          <w:rFonts w:cs="Arial"/>
          <w:szCs w:val="24"/>
        </w:rPr>
        <w:t xml:space="preserve">even on a </w:t>
      </w:r>
      <w:r w:rsidR="005901BC" w:rsidRPr="00AB52EE">
        <w:rPr>
          <w:rFonts w:cs="Arial"/>
          <w:i/>
          <w:iCs/>
          <w:szCs w:val="24"/>
        </w:rPr>
        <w:t>prima facie</w:t>
      </w:r>
      <w:r w:rsidR="005901BC" w:rsidRPr="00AB52EE">
        <w:rPr>
          <w:rFonts w:cs="Arial"/>
          <w:szCs w:val="24"/>
        </w:rPr>
        <w:t xml:space="preserve"> basis) that any </w:t>
      </w:r>
      <w:r w:rsidR="006271A3" w:rsidRPr="00AB52EE">
        <w:rPr>
          <w:rFonts w:cs="Arial"/>
          <w:szCs w:val="24"/>
        </w:rPr>
        <w:t xml:space="preserve">items specified as </w:t>
      </w:r>
      <w:r w:rsidR="005901BC" w:rsidRPr="00AB52EE">
        <w:rPr>
          <w:rFonts w:cs="Arial"/>
          <w:szCs w:val="24"/>
        </w:rPr>
        <w:t xml:space="preserve">relevant evidence </w:t>
      </w:r>
      <w:r w:rsidR="00EA45BB" w:rsidRPr="00AB52EE">
        <w:rPr>
          <w:rFonts w:cs="Arial"/>
          <w:szCs w:val="24"/>
        </w:rPr>
        <w:t xml:space="preserve">were </w:t>
      </w:r>
      <w:r w:rsidR="005901BC" w:rsidRPr="00AB52EE">
        <w:rPr>
          <w:rFonts w:cs="Arial"/>
          <w:szCs w:val="24"/>
        </w:rPr>
        <w:t xml:space="preserve">in the possession of the respondents at Vanesco’s </w:t>
      </w:r>
      <w:r w:rsidR="00C03D79" w:rsidRPr="00AB52EE">
        <w:rPr>
          <w:rFonts w:cs="Arial"/>
          <w:szCs w:val="24"/>
        </w:rPr>
        <w:t xml:space="preserve">business </w:t>
      </w:r>
      <w:r w:rsidR="005901BC" w:rsidRPr="00AB52EE">
        <w:rPr>
          <w:rFonts w:cs="Arial"/>
          <w:szCs w:val="24"/>
        </w:rPr>
        <w:t>premises</w:t>
      </w:r>
      <w:r w:rsidR="00124CC5" w:rsidRPr="00AB52EE">
        <w:rPr>
          <w:rFonts w:cs="Arial"/>
          <w:szCs w:val="24"/>
        </w:rPr>
        <w:t xml:space="preserve"> and Mr Case’s residence</w:t>
      </w:r>
      <w:r w:rsidR="005901BC" w:rsidRPr="00AB52EE">
        <w:rPr>
          <w:rFonts w:cs="Arial"/>
          <w:szCs w:val="24"/>
        </w:rPr>
        <w:t>.</w:t>
      </w:r>
    </w:p>
    <w:p w14:paraId="50059821" w14:textId="7221886C" w:rsidR="000B4984" w:rsidRPr="00AB52EE" w:rsidRDefault="005901BC" w:rsidP="0068645D">
      <w:pPr>
        <w:pStyle w:val="LC1"/>
        <w:rPr>
          <w:rFonts w:cs="Arial"/>
          <w:szCs w:val="24"/>
          <w:lang w:eastAsia="en-ZA"/>
        </w:rPr>
      </w:pPr>
      <w:r w:rsidRPr="00AB52EE">
        <w:rPr>
          <w:rFonts w:cs="Arial"/>
          <w:szCs w:val="24"/>
        </w:rPr>
        <w:t xml:space="preserve">Even if </w:t>
      </w:r>
      <w:r w:rsidR="007A3DE6" w:rsidRPr="00AB52EE">
        <w:rPr>
          <w:rFonts w:cs="Arial"/>
          <w:szCs w:val="24"/>
        </w:rPr>
        <w:t xml:space="preserve">that were </w:t>
      </w:r>
      <w:r w:rsidRPr="00AB52EE">
        <w:rPr>
          <w:rFonts w:cs="Arial"/>
          <w:szCs w:val="24"/>
        </w:rPr>
        <w:t>correct</w:t>
      </w:r>
      <w:r w:rsidR="0068645D" w:rsidRPr="00AB52EE">
        <w:rPr>
          <w:rFonts w:cs="Arial"/>
          <w:szCs w:val="24"/>
        </w:rPr>
        <w:t>,</w:t>
      </w:r>
      <w:r w:rsidRPr="00AB52EE">
        <w:rPr>
          <w:rFonts w:cs="Arial"/>
          <w:szCs w:val="24"/>
        </w:rPr>
        <w:t xml:space="preserve"> </w:t>
      </w:r>
      <w:r w:rsidR="00124CC5" w:rsidRPr="00AB52EE">
        <w:rPr>
          <w:rFonts w:cs="Arial"/>
          <w:szCs w:val="24"/>
        </w:rPr>
        <w:t xml:space="preserve">it </w:t>
      </w:r>
      <w:r w:rsidR="00DB0397" w:rsidRPr="00AB52EE">
        <w:rPr>
          <w:rFonts w:cs="Arial"/>
          <w:szCs w:val="24"/>
        </w:rPr>
        <w:t xml:space="preserve">is only </w:t>
      </w:r>
      <w:r w:rsidR="00CB392D">
        <w:rPr>
          <w:rFonts w:cs="Arial"/>
          <w:szCs w:val="24"/>
        </w:rPr>
        <w:t xml:space="preserve">potentially </w:t>
      </w:r>
      <w:r w:rsidR="000B4984" w:rsidRPr="00AB52EE">
        <w:rPr>
          <w:rFonts w:cs="Arial"/>
          <w:szCs w:val="24"/>
        </w:rPr>
        <w:t>relevant to this reconsideration</w:t>
      </w:r>
      <w:r w:rsidR="00DB0397" w:rsidRPr="00AB52EE">
        <w:rPr>
          <w:rFonts w:cs="Arial"/>
          <w:szCs w:val="24"/>
        </w:rPr>
        <w:t xml:space="preserve"> </w:t>
      </w:r>
      <w:r w:rsidR="004C554E" w:rsidRPr="00AB52EE">
        <w:rPr>
          <w:rFonts w:cs="Arial"/>
          <w:szCs w:val="24"/>
        </w:rPr>
        <w:t>in relation to the question of costs</w:t>
      </w:r>
      <w:r w:rsidR="0068645D" w:rsidRPr="00AB52EE">
        <w:rPr>
          <w:rFonts w:cs="Arial"/>
          <w:szCs w:val="24"/>
        </w:rPr>
        <w:t xml:space="preserve"> should the search </w:t>
      </w:r>
      <w:r w:rsidR="00DB0397" w:rsidRPr="00AB52EE">
        <w:rPr>
          <w:rFonts w:cs="Arial"/>
          <w:szCs w:val="24"/>
        </w:rPr>
        <w:t xml:space="preserve">at either premises </w:t>
      </w:r>
      <w:r w:rsidR="0068645D" w:rsidRPr="00AB52EE">
        <w:rPr>
          <w:rFonts w:cs="Arial"/>
          <w:szCs w:val="24"/>
        </w:rPr>
        <w:t xml:space="preserve">have proved </w:t>
      </w:r>
      <w:r w:rsidR="00B11FA7">
        <w:rPr>
          <w:rFonts w:cs="Arial"/>
          <w:szCs w:val="24"/>
        </w:rPr>
        <w:t xml:space="preserve">entirely </w:t>
      </w:r>
      <w:r w:rsidR="0068645D" w:rsidRPr="00AB52EE">
        <w:rPr>
          <w:rFonts w:cs="Arial"/>
          <w:szCs w:val="24"/>
        </w:rPr>
        <w:t>fruitless</w:t>
      </w:r>
      <w:r w:rsidRPr="00AB52EE">
        <w:rPr>
          <w:rFonts w:cs="Arial"/>
          <w:szCs w:val="24"/>
        </w:rPr>
        <w:t>. I have concluded above that</w:t>
      </w:r>
      <w:r w:rsidR="007A3DE6" w:rsidRPr="00AB52EE">
        <w:rPr>
          <w:rFonts w:cs="Arial"/>
          <w:szCs w:val="24"/>
        </w:rPr>
        <w:t xml:space="preserve"> </w:t>
      </w:r>
      <w:r w:rsidR="005B088D" w:rsidRPr="00AB52EE">
        <w:rPr>
          <w:rFonts w:cs="Arial"/>
          <w:szCs w:val="24"/>
        </w:rPr>
        <w:t xml:space="preserve">upon reconsideration of </w:t>
      </w:r>
      <w:r w:rsidR="00720427">
        <w:rPr>
          <w:rFonts w:cs="Arial"/>
          <w:szCs w:val="24"/>
        </w:rPr>
        <w:t xml:space="preserve">the </w:t>
      </w:r>
      <w:r w:rsidR="005B088D" w:rsidRPr="00AB52EE">
        <w:rPr>
          <w:rFonts w:cs="Arial"/>
          <w:szCs w:val="24"/>
        </w:rPr>
        <w:t xml:space="preserve">Anton Piller order, the </w:t>
      </w:r>
      <w:r w:rsidR="00720427">
        <w:rPr>
          <w:rFonts w:cs="Arial"/>
          <w:szCs w:val="24"/>
        </w:rPr>
        <w:t>C</w:t>
      </w:r>
      <w:r w:rsidR="005B088D" w:rsidRPr="00AB52EE">
        <w:rPr>
          <w:rFonts w:cs="Arial"/>
          <w:szCs w:val="24"/>
        </w:rPr>
        <w:t xml:space="preserve">ourt is required to consider </w:t>
      </w:r>
      <w:r w:rsidR="007A3DE6" w:rsidRPr="00AB52EE">
        <w:rPr>
          <w:rFonts w:cs="Arial"/>
          <w:szCs w:val="24"/>
        </w:rPr>
        <w:t>all the affidavits and documents that have been filed</w:t>
      </w:r>
      <w:r w:rsidR="005B088D" w:rsidRPr="00AB52EE">
        <w:rPr>
          <w:rFonts w:cs="Arial"/>
          <w:szCs w:val="24"/>
        </w:rPr>
        <w:t>, including</w:t>
      </w:r>
      <w:r w:rsidR="007A3DE6" w:rsidRPr="00AB52EE">
        <w:rPr>
          <w:rFonts w:cs="Arial"/>
          <w:szCs w:val="24"/>
        </w:rPr>
        <w:t xml:space="preserve"> </w:t>
      </w:r>
      <w:r w:rsidR="005B088D" w:rsidRPr="00AB52EE">
        <w:rPr>
          <w:rFonts w:cs="Arial"/>
          <w:szCs w:val="24"/>
        </w:rPr>
        <w:t xml:space="preserve">not only the founding affidavit filed by </w:t>
      </w:r>
      <w:r w:rsidR="00720427">
        <w:rPr>
          <w:rFonts w:cs="Arial"/>
          <w:szCs w:val="24"/>
        </w:rPr>
        <w:t xml:space="preserve">Supercart </w:t>
      </w:r>
      <w:r w:rsidR="007A3DE6" w:rsidRPr="00AB52EE">
        <w:rPr>
          <w:rFonts w:cs="Arial"/>
          <w:szCs w:val="24"/>
        </w:rPr>
        <w:t xml:space="preserve">in </w:t>
      </w:r>
      <w:r w:rsidR="005B088D" w:rsidRPr="00AB52EE">
        <w:rPr>
          <w:rFonts w:cs="Arial"/>
          <w:szCs w:val="24"/>
        </w:rPr>
        <w:t xml:space="preserve">the </w:t>
      </w:r>
      <w:r w:rsidR="005B088D" w:rsidRPr="00AB52EE">
        <w:rPr>
          <w:rFonts w:cs="Arial"/>
          <w:i/>
          <w:iCs/>
          <w:szCs w:val="24"/>
        </w:rPr>
        <w:t>ex parte</w:t>
      </w:r>
      <w:r w:rsidR="005B088D" w:rsidRPr="00AB52EE">
        <w:rPr>
          <w:rFonts w:cs="Arial"/>
          <w:szCs w:val="24"/>
        </w:rPr>
        <w:t xml:space="preserve"> application, but also the affidavits filed </w:t>
      </w:r>
      <w:r w:rsidR="007A3DE6" w:rsidRPr="00AB52EE">
        <w:rPr>
          <w:rFonts w:cs="Arial"/>
          <w:szCs w:val="24"/>
        </w:rPr>
        <w:t>pursuant to the execution of the order</w:t>
      </w:r>
      <w:r w:rsidR="005B088D" w:rsidRPr="00AB52EE">
        <w:rPr>
          <w:rFonts w:cs="Arial"/>
          <w:szCs w:val="24"/>
        </w:rPr>
        <w:t xml:space="preserve"> by </w:t>
      </w:r>
      <w:r w:rsidR="007A3DE6" w:rsidRPr="00AB52EE">
        <w:rPr>
          <w:rFonts w:cs="Arial"/>
          <w:szCs w:val="24"/>
        </w:rPr>
        <w:t>the independent supervising attorney</w:t>
      </w:r>
      <w:r w:rsidR="005B088D" w:rsidRPr="00AB52EE">
        <w:rPr>
          <w:rFonts w:cs="Arial"/>
          <w:szCs w:val="24"/>
        </w:rPr>
        <w:t xml:space="preserve">s and </w:t>
      </w:r>
      <w:r w:rsidR="007A3DE6" w:rsidRPr="00AB52EE">
        <w:rPr>
          <w:rFonts w:cs="Arial"/>
          <w:szCs w:val="24"/>
        </w:rPr>
        <w:t>the inventor</w:t>
      </w:r>
      <w:r w:rsidR="00720427">
        <w:rPr>
          <w:rFonts w:cs="Arial"/>
          <w:szCs w:val="24"/>
        </w:rPr>
        <w:t>ies</w:t>
      </w:r>
      <w:r w:rsidR="007A3DE6" w:rsidRPr="00AB52EE">
        <w:rPr>
          <w:rFonts w:cs="Arial"/>
          <w:szCs w:val="24"/>
        </w:rPr>
        <w:t xml:space="preserve"> prepared by the Sheriff</w:t>
      </w:r>
      <w:r w:rsidR="00720427">
        <w:rPr>
          <w:rFonts w:cs="Arial"/>
          <w:szCs w:val="24"/>
        </w:rPr>
        <w:t>s</w:t>
      </w:r>
      <w:r w:rsidR="005B088D" w:rsidRPr="00AB52EE">
        <w:rPr>
          <w:rFonts w:cs="Arial"/>
          <w:szCs w:val="24"/>
        </w:rPr>
        <w:t xml:space="preserve">, as well as the answering affidavit of </w:t>
      </w:r>
      <w:r w:rsidR="00720427">
        <w:rPr>
          <w:rFonts w:cs="Arial"/>
          <w:szCs w:val="24"/>
        </w:rPr>
        <w:t xml:space="preserve">Mr Case </w:t>
      </w:r>
      <w:r w:rsidR="005B088D" w:rsidRPr="00AB52EE">
        <w:rPr>
          <w:rFonts w:cs="Arial"/>
          <w:szCs w:val="24"/>
        </w:rPr>
        <w:t>and the replying affidavit</w:t>
      </w:r>
      <w:r w:rsidR="00720427">
        <w:rPr>
          <w:rFonts w:cs="Arial"/>
          <w:szCs w:val="24"/>
        </w:rPr>
        <w:t>s</w:t>
      </w:r>
      <w:r w:rsidR="005B088D" w:rsidRPr="00AB52EE">
        <w:rPr>
          <w:rFonts w:cs="Arial"/>
          <w:szCs w:val="24"/>
        </w:rPr>
        <w:t xml:space="preserve"> of </w:t>
      </w:r>
      <w:r w:rsidR="00720427">
        <w:rPr>
          <w:rFonts w:cs="Arial"/>
          <w:szCs w:val="24"/>
        </w:rPr>
        <w:t>Supercart</w:t>
      </w:r>
      <w:r w:rsidR="00AA4223" w:rsidRPr="00AB52EE">
        <w:rPr>
          <w:rFonts w:cs="Arial"/>
          <w:szCs w:val="24"/>
        </w:rPr>
        <w:t xml:space="preserve">. </w:t>
      </w:r>
    </w:p>
    <w:p w14:paraId="6212A8A1" w14:textId="4982ACB7" w:rsidR="00124CC5" w:rsidRPr="00AB52EE" w:rsidRDefault="00124CC5" w:rsidP="001F7449">
      <w:pPr>
        <w:pStyle w:val="LC1"/>
        <w:rPr>
          <w:rFonts w:cs="Arial"/>
          <w:szCs w:val="24"/>
          <w:lang w:eastAsia="en-ZA"/>
        </w:rPr>
      </w:pPr>
      <w:bookmarkStart w:id="18" w:name="_Hlk151578240"/>
      <w:r w:rsidRPr="00AB52EE">
        <w:rPr>
          <w:rFonts w:cs="Arial"/>
          <w:szCs w:val="24"/>
          <w:lang w:eastAsia="en-ZA"/>
        </w:rPr>
        <w:t xml:space="preserve">With regard to the attached items found at Vanesco’s business premises, </w:t>
      </w:r>
      <w:r w:rsidR="000B4984" w:rsidRPr="00AB52EE">
        <w:rPr>
          <w:rFonts w:cs="Arial"/>
          <w:szCs w:val="24"/>
          <w:lang w:eastAsia="en-ZA"/>
        </w:rPr>
        <w:t xml:space="preserve">Mr Case </w:t>
      </w:r>
      <w:r w:rsidRPr="00AB52EE">
        <w:rPr>
          <w:rFonts w:cs="Arial"/>
          <w:szCs w:val="24"/>
          <w:lang w:eastAsia="en-ZA"/>
        </w:rPr>
        <w:t xml:space="preserve">made </w:t>
      </w:r>
      <w:r w:rsidR="000B4984" w:rsidRPr="00AB52EE">
        <w:rPr>
          <w:rFonts w:cs="Arial"/>
          <w:szCs w:val="24"/>
          <w:lang w:eastAsia="en-ZA"/>
        </w:rPr>
        <w:t xml:space="preserve">no allegation </w:t>
      </w:r>
      <w:r w:rsidRPr="00AB52EE">
        <w:rPr>
          <w:rFonts w:cs="Arial"/>
          <w:szCs w:val="24"/>
          <w:lang w:eastAsia="en-ZA"/>
        </w:rPr>
        <w:t xml:space="preserve">in his answering affidavit </w:t>
      </w:r>
      <w:r w:rsidR="000B4984" w:rsidRPr="00AB52EE">
        <w:rPr>
          <w:rFonts w:cs="Arial"/>
          <w:szCs w:val="24"/>
        </w:rPr>
        <w:t xml:space="preserve">that any of </w:t>
      </w:r>
      <w:r w:rsidR="0068645D" w:rsidRPr="00AB52EE">
        <w:rPr>
          <w:rFonts w:cs="Arial"/>
          <w:szCs w:val="24"/>
        </w:rPr>
        <w:t xml:space="preserve">them </w:t>
      </w:r>
      <w:r w:rsidR="00554C7F" w:rsidRPr="00AB52EE">
        <w:rPr>
          <w:rFonts w:cs="Arial"/>
          <w:szCs w:val="24"/>
        </w:rPr>
        <w:t>are no</w:t>
      </w:r>
      <w:r w:rsidR="00DB0397" w:rsidRPr="00AB52EE">
        <w:rPr>
          <w:rFonts w:cs="Arial"/>
          <w:szCs w:val="24"/>
        </w:rPr>
        <w:t>t</w:t>
      </w:r>
      <w:r w:rsidR="00554C7F" w:rsidRPr="00AB52EE">
        <w:rPr>
          <w:rFonts w:cs="Arial"/>
          <w:szCs w:val="24"/>
        </w:rPr>
        <w:t xml:space="preserve"> </w:t>
      </w:r>
      <w:r w:rsidR="00DB0397" w:rsidRPr="00AB52EE">
        <w:rPr>
          <w:rFonts w:cs="Arial"/>
          <w:szCs w:val="24"/>
        </w:rPr>
        <w:t xml:space="preserve">covered by </w:t>
      </w:r>
      <w:r w:rsidR="000B4984" w:rsidRPr="00AB52EE">
        <w:rPr>
          <w:rFonts w:cs="Arial"/>
          <w:szCs w:val="24"/>
        </w:rPr>
        <w:t xml:space="preserve">what I have </w:t>
      </w:r>
      <w:r w:rsidRPr="00AB52EE">
        <w:rPr>
          <w:rFonts w:cs="Arial"/>
          <w:szCs w:val="24"/>
        </w:rPr>
        <w:t xml:space="preserve">already </w:t>
      </w:r>
      <w:r w:rsidR="000B4984" w:rsidRPr="00AB52EE">
        <w:rPr>
          <w:rFonts w:cs="Arial"/>
          <w:szCs w:val="24"/>
        </w:rPr>
        <w:t xml:space="preserve">found to be the legitimate scope and </w:t>
      </w:r>
      <w:r w:rsidRPr="00AB52EE">
        <w:rPr>
          <w:rFonts w:cs="Arial"/>
          <w:szCs w:val="24"/>
        </w:rPr>
        <w:lastRenderedPageBreak/>
        <w:t xml:space="preserve">specification </w:t>
      </w:r>
      <w:r w:rsidR="000B4984" w:rsidRPr="00AB52EE">
        <w:rPr>
          <w:rFonts w:cs="Arial"/>
          <w:szCs w:val="24"/>
        </w:rPr>
        <w:t>of “relevant evidence” that the Anton Piller order</w:t>
      </w:r>
      <w:r w:rsidR="00EA45BB" w:rsidRPr="00AB52EE">
        <w:rPr>
          <w:rFonts w:cs="Arial"/>
          <w:szCs w:val="24"/>
        </w:rPr>
        <w:t xml:space="preserve"> </w:t>
      </w:r>
      <w:r w:rsidRPr="00AB52EE">
        <w:rPr>
          <w:rFonts w:cs="Arial"/>
          <w:szCs w:val="24"/>
        </w:rPr>
        <w:t xml:space="preserve">required </w:t>
      </w:r>
      <w:r w:rsidR="00554C7F" w:rsidRPr="00AB52EE">
        <w:rPr>
          <w:rFonts w:cs="Arial"/>
          <w:szCs w:val="24"/>
        </w:rPr>
        <w:t xml:space="preserve">to be </w:t>
      </w:r>
      <w:r w:rsidR="00EA45BB" w:rsidRPr="00AB52EE">
        <w:rPr>
          <w:rFonts w:cs="Arial"/>
          <w:szCs w:val="24"/>
        </w:rPr>
        <w:t>attached</w:t>
      </w:r>
      <w:r w:rsidR="000B4984" w:rsidRPr="00AB52EE">
        <w:rPr>
          <w:rFonts w:cs="Arial"/>
          <w:szCs w:val="24"/>
        </w:rPr>
        <w:t xml:space="preserve">. </w:t>
      </w:r>
      <w:r w:rsidR="00554C7F" w:rsidRPr="00AB52EE">
        <w:rPr>
          <w:rFonts w:cs="Arial"/>
          <w:szCs w:val="24"/>
        </w:rPr>
        <w:t xml:space="preserve">The absence of such a denial is </w:t>
      </w:r>
      <w:r w:rsidR="000B4984" w:rsidRPr="00AB52EE">
        <w:rPr>
          <w:rFonts w:cs="Arial"/>
          <w:szCs w:val="24"/>
        </w:rPr>
        <w:t>unsurprising</w:t>
      </w:r>
      <w:r w:rsidR="00DB0397" w:rsidRPr="00AB52EE">
        <w:rPr>
          <w:rFonts w:cs="Arial"/>
          <w:szCs w:val="24"/>
        </w:rPr>
        <w:t>:</w:t>
      </w:r>
      <w:r w:rsidR="000B4984" w:rsidRPr="00AB52EE">
        <w:rPr>
          <w:rFonts w:cs="Arial"/>
          <w:szCs w:val="24"/>
        </w:rPr>
        <w:t xml:space="preserve"> </w:t>
      </w:r>
      <w:r w:rsidR="00DB0397" w:rsidRPr="00AB52EE">
        <w:rPr>
          <w:rFonts w:cs="Arial"/>
          <w:szCs w:val="24"/>
        </w:rPr>
        <w:t>t</w:t>
      </w:r>
      <w:r w:rsidRPr="00AB52EE">
        <w:rPr>
          <w:rFonts w:cs="Arial"/>
          <w:szCs w:val="24"/>
        </w:rPr>
        <w:t xml:space="preserve">he </w:t>
      </w:r>
      <w:r w:rsidR="000B4984" w:rsidRPr="00AB52EE">
        <w:rPr>
          <w:rFonts w:cs="Arial"/>
          <w:szCs w:val="24"/>
        </w:rPr>
        <w:t>supervising attorneys’ affidavits</w:t>
      </w:r>
      <w:r w:rsidR="0068645D" w:rsidRPr="00AB52EE">
        <w:rPr>
          <w:rFonts w:cs="Arial"/>
          <w:szCs w:val="24"/>
        </w:rPr>
        <w:t xml:space="preserve">, </w:t>
      </w:r>
      <w:r w:rsidR="005141FE" w:rsidRPr="00AB52EE">
        <w:rPr>
          <w:rFonts w:cs="Arial"/>
          <w:szCs w:val="24"/>
        </w:rPr>
        <w:t>which</w:t>
      </w:r>
      <w:r w:rsidR="000B4984" w:rsidRPr="00AB52EE">
        <w:rPr>
          <w:rFonts w:cs="Arial"/>
          <w:szCs w:val="24"/>
        </w:rPr>
        <w:t xml:space="preserve"> </w:t>
      </w:r>
      <w:r w:rsidRPr="00AB52EE">
        <w:rPr>
          <w:rFonts w:cs="Arial"/>
          <w:szCs w:val="24"/>
        </w:rPr>
        <w:t xml:space="preserve">effectively form part of Supercart’s founding papers, </w:t>
      </w:r>
      <w:r w:rsidR="00EA45BB" w:rsidRPr="00AB52EE">
        <w:rPr>
          <w:rFonts w:cs="Arial"/>
          <w:szCs w:val="24"/>
        </w:rPr>
        <w:t xml:space="preserve">contain </w:t>
      </w:r>
      <w:r w:rsidRPr="00AB52EE">
        <w:rPr>
          <w:rFonts w:cs="Arial"/>
          <w:szCs w:val="24"/>
        </w:rPr>
        <w:t xml:space="preserve">a multitude of </w:t>
      </w:r>
      <w:r w:rsidR="0068645D" w:rsidRPr="00AB52EE">
        <w:rPr>
          <w:rFonts w:cs="Arial"/>
          <w:szCs w:val="24"/>
        </w:rPr>
        <w:t xml:space="preserve">positive </w:t>
      </w:r>
      <w:r w:rsidR="00EA45BB" w:rsidRPr="00AB52EE">
        <w:rPr>
          <w:rFonts w:cs="Arial"/>
          <w:szCs w:val="24"/>
        </w:rPr>
        <w:t xml:space="preserve">allegations </w:t>
      </w:r>
      <w:r w:rsidRPr="00AB52EE">
        <w:rPr>
          <w:rFonts w:cs="Arial"/>
          <w:szCs w:val="24"/>
        </w:rPr>
        <w:t xml:space="preserve">evidencing </w:t>
      </w:r>
      <w:r w:rsidR="000B4984" w:rsidRPr="00AB52EE">
        <w:rPr>
          <w:rFonts w:cs="Arial"/>
          <w:szCs w:val="24"/>
        </w:rPr>
        <w:t xml:space="preserve">that </w:t>
      </w:r>
      <w:r w:rsidR="0068645D" w:rsidRPr="00AB52EE">
        <w:rPr>
          <w:rFonts w:cs="Arial"/>
          <w:szCs w:val="24"/>
        </w:rPr>
        <w:t xml:space="preserve">the physical and electronic documents found there </w:t>
      </w:r>
      <w:r w:rsidRPr="00AB52EE">
        <w:rPr>
          <w:rFonts w:cs="Arial"/>
          <w:szCs w:val="24"/>
        </w:rPr>
        <w:t xml:space="preserve">(in the case of the electronic documents, using what </w:t>
      </w:r>
      <w:r w:rsidR="0068645D" w:rsidRPr="00AB52EE">
        <w:rPr>
          <w:rFonts w:cs="Arial"/>
          <w:szCs w:val="24"/>
        </w:rPr>
        <w:t>are not contended by the respondents to be in</w:t>
      </w:r>
      <w:r w:rsidRPr="00AB52EE">
        <w:rPr>
          <w:rFonts w:cs="Arial"/>
          <w:szCs w:val="24"/>
        </w:rPr>
        <w:t xml:space="preserve">appropriate keyword searches of the mirrored devices) </w:t>
      </w:r>
      <w:r w:rsidR="0068645D" w:rsidRPr="00AB52EE">
        <w:rPr>
          <w:rFonts w:cs="Arial"/>
          <w:szCs w:val="24"/>
        </w:rPr>
        <w:t xml:space="preserve">were identified by the search party </w:t>
      </w:r>
      <w:r w:rsidR="006271A3" w:rsidRPr="00AB52EE">
        <w:rPr>
          <w:rFonts w:cs="Arial"/>
          <w:szCs w:val="24"/>
        </w:rPr>
        <w:t xml:space="preserve">as </w:t>
      </w:r>
      <w:r w:rsidR="0068645D" w:rsidRPr="00AB52EE">
        <w:rPr>
          <w:rFonts w:cs="Arial"/>
          <w:szCs w:val="24"/>
        </w:rPr>
        <w:t xml:space="preserve">constituting </w:t>
      </w:r>
      <w:r w:rsidR="000B4984" w:rsidRPr="00AB52EE">
        <w:rPr>
          <w:rFonts w:cs="Arial"/>
          <w:szCs w:val="24"/>
        </w:rPr>
        <w:t xml:space="preserve">relevant evidence </w:t>
      </w:r>
      <w:r w:rsidR="00082D42" w:rsidRPr="00AB52EE">
        <w:rPr>
          <w:rFonts w:cs="Arial"/>
          <w:szCs w:val="24"/>
        </w:rPr>
        <w:t xml:space="preserve">specified </w:t>
      </w:r>
      <w:r w:rsidRPr="00AB52EE">
        <w:rPr>
          <w:rFonts w:cs="Arial"/>
          <w:szCs w:val="24"/>
        </w:rPr>
        <w:t xml:space="preserve">in the order, and that these were the documents that have been </w:t>
      </w:r>
      <w:r w:rsidR="00EA45BB" w:rsidRPr="00AB52EE">
        <w:rPr>
          <w:rFonts w:cs="Arial"/>
          <w:szCs w:val="24"/>
        </w:rPr>
        <w:t>copied</w:t>
      </w:r>
      <w:r w:rsidR="0068645D" w:rsidRPr="00AB52EE">
        <w:rPr>
          <w:rFonts w:cs="Arial"/>
          <w:szCs w:val="24"/>
        </w:rPr>
        <w:t xml:space="preserve">, </w:t>
      </w:r>
      <w:r w:rsidR="00EA45BB" w:rsidRPr="00AB52EE">
        <w:rPr>
          <w:rFonts w:cs="Arial"/>
          <w:szCs w:val="24"/>
        </w:rPr>
        <w:t>attached</w:t>
      </w:r>
      <w:r w:rsidR="0068645D" w:rsidRPr="00AB52EE">
        <w:rPr>
          <w:rFonts w:cs="Arial"/>
          <w:szCs w:val="24"/>
        </w:rPr>
        <w:t xml:space="preserve"> and inventorised</w:t>
      </w:r>
      <w:r w:rsidRPr="00AB52EE">
        <w:rPr>
          <w:rFonts w:cs="Arial"/>
          <w:szCs w:val="24"/>
          <w:lang w:eastAsia="en-ZA"/>
        </w:rPr>
        <w:t>.</w:t>
      </w:r>
      <w:r w:rsidRPr="00AB52EE">
        <w:rPr>
          <w:rFonts w:cs="Arial"/>
          <w:szCs w:val="24"/>
        </w:rPr>
        <w:t xml:space="preserve"> </w:t>
      </w:r>
      <w:r w:rsidR="000B4984" w:rsidRPr="00AB52EE">
        <w:rPr>
          <w:rFonts w:cs="Arial"/>
          <w:szCs w:val="24"/>
        </w:rPr>
        <w:t xml:space="preserve">These affidavits also demonstrate that physical and electronic documents </w:t>
      </w:r>
      <w:r w:rsidR="0068645D" w:rsidRPr="00AB52EE">
        <w:rPr>
          <w:rFonts w:cs="Arial"/>
          <w:szCs w:val="24"/>
        </w:rPr>
        <w:t xml:space="preserve">found by the search party and </w:t>
      </w:r>
      <w:r w:rsidR="000B4984" w:rsidRPr="00AB52EE">
        <w:rPr>
          <w:rFonts w:cs="Arial"/>
          <w:szCs w:val="24"/>
        </w:rPr>
        <w:t xml:space="preserve">considered by </w:t>
      </w:r>
      <w:r w:rsidR="0068645D" w:rsidRPr="00AB52EE">
        <w:rPr>
          <w:rFonts w:cs="Arial"/>
          <w:szCs w:val="24"/>
        </w:rPr>
        <w:t xml:space="preserve">them </w:t>
      </w:r>
      <w:r w:rsidR="000B4984" w:rsidRPr="00AB52EE">
        <w:rPr>
          <w:rFonts w:cs="Arial"/>
          <w:szCs w:val="24"/>
        </w:rPr>
        <w:t xml:space="preserve">not to be relevant information were </w:t>
      </w:r>
      <w:r w:rsidR="00554C7F" w:rsidRPr="00AB52EE">
        <w:rPr>
          <w:rFonts w:cs="Arial"/>
          <w:szCs w:val="24"/>
        </w:rPr>
        <w:t xml:space="preserve">specifically </w:t>
      </w:r>
      <w:r w:rsidR="000B4984" w:rsidRPr="00AB52EE">
        <w:rPr>
          <w:rFonts w:cs="Arial"/>
          <w:szCs w:val="24"/>
        </w:rPr>
        <w:t xml:space="preserve">not </w:t>
      </w:r>
      <w:r w:rsidR="00082D42" w:rsidRPr="00AB52EE">
        <w:rPr>
          <w:rFonts w:cs="Arial"/>
          <w:szCs w:val="24"/>
        </w:rPr>
        <w:t>attached.</w:t>
      </w:r>
      <w:r w:rsidRPr="00AB52EE">
        <w:rPr>
          <w:rFonts w:cs="Arial"/>
          <w:szCs w:val="24"/>
        </w:rPr>
        <w:t xml:space="preserve"> </w:t>
      </w:r>
    </w:p>
    <w:bookmarkEnd w:id="18"/>
    <w:p w14:paraId="4959D40B" w14:textId="371C86D9" w:rsidR="007A3DE6" w:rsidRPr="00AB52EE" w:rsidRDefault="00124CC5" w:rsidP="001F7449">
      <w:pPr>
        <w:pStyle w:val="LC1"/>
        <w:rPr>
          <w:rFonts w:cs="Arial"/>
          <w:szCs w:val="24"/>
          <w:lang w:eastAsia="en-ZA"/>
        </w:rPr>
      </w:pPr>
      <w:r w:rsidRPr="00AB52EE">
        <w:rPr>
          <w:rFonts w:cs="Arial"/>
          <w:szCs w:val="24"/>
        </w:rPr>
        <w:t>Mr Case made no attempt to dispute these allegations in his answering affidavit – even in the form of a bare denial</w:t>
      </w:r>
      <w:r w:rsidR="00554C7F" w:rsidRPr="00AB52EE">
        <w:rPr>
          <w:rFonts w:cs="Arial"/>
          <w:szCs w:val="24"/>
        </w:rPr>
        <w:t>.</w:t>
      </w:r>
      <w:r w:rsidRPr="00AB52EE">
        <w:rPr>
          <w:rFonts w:cs="Arial"/>
          <w:szCs w:val="24"/>
        </w:rPr>
        <w:t xml:space="preserve"> </w:t>
      </w:r>
      <w:r w:rsidR="00554C7F" w:rsidRPr="00AB52EE">
        <w:rPr>
          <w:rFonts w:cs="Arial"/>
          <w:szCs w:val="24"/>
        </w:rPr>
        <w:t>I</w:t>
      </w:r>
      <w:r w:rsidR="0068645D" w:rsidRPr="00AB52EE">
        <w:rPr>
          <w:rFonts w:cs="Arial"/>
          <w:szCs w:val="24"/>
        </w:rPr>
        <w:t xml:space="preserve">t can only be concluded </w:t>
      </w:r>
      <w:r w:rsidRPr="00AB52EE">
        <w:rPr>
          <w:rFonts w:cs="Arial"/>
          <w:szCs w:val="24"/>
        </w:rPr>
        <w:t xml:space="preserve">that </w:t>
      </w:r>
      <w:r w:rsidR="005B088D" w:rsidRPr="00AB52EE">
        <w:rPr>
          <w:rFonts w:cs="Arial"/>
          <w:szCs w:val="24"/>
        </w:rPr>
        <w:t xml:space="preserve">Supercart </w:t>
      </w:r>
      <w:r w:rsidR="00AA4223" w:rsidRPr="00AB52EE">
        <w:rPr>
          <w:rFonts w:cs="Arial"/>
          <w:szCs w:val="24"/>
        </w:rPr>
        <w:t xml:space="preserve">has </w:t>
      </w:r>
      <w:r w:rsidR="005B088D" w:rsidRPr="00AB52EE">
        <w:rPr>
          <w:rFonts w:cs="Arial"/>
          <w:szCs w:val="24"/>
        </w:rPr>
        <w:t xml:space="preserve">discharged its onus of establishing the respondents’ possession of relevant evidence </w:t>
      </w:r>
      <w:r w:rsidRPr="00AB52EE">
        <w:rPr>
          <w:rFonts w:cs="Arial"/>
          <w:szCs w:val="24"/>
        </w:rPr>
        <w:t xml:space="preserve">in the form of the attached items </w:t>
      </w:r>
      <w:r w:rsidR="00B11FA7">
        <w:rPr>
          <w:rFonts w:cs="Arial"/>
          <w:szCs w:val="24"/>
        </w:rPr>
        <w:t xml:space="preserve">found </w:t>
      </w:r>
      <w:r w:rsidR="000B4984" w:rsidRPr="00AB52EE">
        <w:rPr>
          <w:rFonts w:cs="Arial"/>
          <w:szCs w:val="24"/>
        </w:rPr>
        <w:t xml:space="preserve">at Vanesco’s </w:t>
      </w:r>
      <w:r w:rsidR="00C03D79" w:rsidRPr="00AB52EE">
        <w:rPr>
          <w:rFonts w:cs="Arial"/>
          <w:szCs w:val="24"/>
        </w:rPr>
        <w:t xml:space="preserve">business </w:t>
      </w:r>
      <w:r w:rsidR="000B4984" w:rsidRPr="00AB52EE">
        <w:rPr>
          <w:rFonts w:cs="Arial"/>
          <w:szCs w:val="24"/>
        </w:rPr>
        <w:t xml:space="preserve">premises </w:t>
      </w:r>
      <w:r w:rsidR="005B088D" w:rsidRPr="00AB52EE">
        <w:rPr>
          <w:rFonts w:cs="Arial"/>
          <w:szCs w:val="24"/>
        </w:rPr>
        <w:t>on a preponderance of possibilities</w:t>
      </w:r>
      <w:r w:rsidR="00AA4223" w:rsidRPr="00AB52EE">
        <w:rPr>
          <w:rFonts w:cs="Arial"/>
          <w:szCs w:val="24"/>
        </w:rPr>
        <w:t xml:space="preserve">. </w:t>
      </w:r>
    </w:p>
    <w:p w14:paraId="5493AF06" w14:textId="1B9AB45C" w:rsidR="00124CC5" w:rsidRPr="00AB52EE" w:rsidRDefault="00DB0397" w:rsidP="00CC3628">
      <w:pPr>
        <w:pStyle w:val="LC1"/>
        <w:rPr>
          <w:rFonts w:cs="Arial"/>
          <w:szCs w:val="24"/>
          <w:lang w:eastAsia="en-ZA"/>
        </w:rPr>
      </w:pPr>
      <w:r w:rsidRPr="00AB52EE">
        <w:rPr>
          <w:rFonts w:cs="Arial"/>
          <w:szCs w:val="24"/>
          <w:lang w:eastAsia="en-ZA"/>
        </w:rPr>
        <w:t>However, t</w:t>
      </w:r>
      <w:r w:rsidR="00124CC5" w:rsidRPr="00AB52EE">
        <w:rPr>
          <w:rFonts w:cs="Arial"/>
          <w:szCs w:val="24"/>
          <w:lang w:eastAsia="en-ZA"/>
        </w:rPr>
        <w:t xml:space="preserve">he </w:t>
      </w:r>
      <w:r w:rsidRPr="00AB52EE">
        <w:rPr>
          <w:rFonts w:cs="Arial"/>
          <w:szCs w:val="24"/>
          <w:lang w:eastAsia="en-ZA"/>
        </w:rPr>
        <w:t xml:space="preserve">opposite applies </w:t>
      </w:r>
      <w:r w:rsidR="00124CC5" w:rsidRPr="00AB52EE">
        <w:rPr>
          <w:rFonts w:cs="Arial"/>
          <w:szCs w:val="24"/>
          <w:lang w:eastAsia="en-ZA"/>
        </w:rPr>
        <w:t xml:space="preserve">to the </w:t>
      </w:r>
      <w:r w:rsidR="00E15CD0" w:rsidRPr="00AB52EE">
        <w:rPr>
          <w:rFonts w:cs="Arial"/>
          <w:szCs w:val="24"/>
          <w:lang w:eastAsia="en-ZA"/>
        </w:rPr>
        <w:t xml:space="preserve">attached items found at Mr Case’s residence. Not only do the supervising attorneys affidavits not contain any allegations that any relevant evidence was found on the devices seized at Mr Case’s residence (no </w:t>
      </w:r>
      <w:r w:rsidR="00554C7F" w:rsidRPr="00AB52EE">
        <w:rPr>
          <w:rFonts w:cs="Arial"/>
          <w:szCs w:val="24"/>
          <w:lang w:eastAsia="en-ZA"/>
        </w:rPr>
        <w:t xml:space="preserve">physical </w:t>
      </w:r>
      <w:r w:rsidR="00E15CD0" w:rsidRPr="00AB52EE">
        <w:rPr>
          <w:rFonts w:cs="Arial"/>
          <w:szCs w:val="24"/>
          <w:lang w:eastAsia="en-ZA"/>
        </w:rPr>
        <w:t xml:space="preserve">documents appear to have been seized there and attached), </w:t>
      </w:r>
      <w:r w:rsidR="00E15CD0" w:rsidRPr="00AB52EE">
        <w:rPr>
          <w:rFonts w:cs="Arial"/>
          <w:szCs w:val="24"/>
        </w:rPr>
        <w:t xml:space="preserve">the allegation confidently made in paragraph 43.6 of Mr Case’s answering affidavit that “not a single document of relevance was found” at his residence is quite simply not disputed by Supercart in reply, even in the form of </w:t>
      </w:r>
      <w:r w:rsidR="00E15CD0" w:rsidRPr="00AB52EE">
        <w:rPr>
          <w:rFonts w:cs="Arial"/>
          <w:szCs w:val="24"/>
        </w:rPr>
        <w:lastRenderedPageBreak/>
        <w:t>a bald or vague denial.</w:t>
      </w:r>
    </w:p>
    <w:p w14:paraId="742B969F" w14:textId="3DC77B7F" w:rsidR="00C03D79" w:rsidRPr="00AB52EE" w:rsidRDefault="000B4984" w:rsidP="00CC3628">
      <w:pPr>
        <w:pStyle w:val="LC1"/>
        <w:rPr>
          <w:rFonts w:cs="Arial"/>
          <w:szCs w:val="24"/>
          <w:lang w:eastAsia="en-ZA"/>
        </w:rPr>
      </w:pPr>
      <w:r w:rsidRPr="00AB52EE">
        <w:rPr>
          <w:rFonts w:cs="Arial"/>
          <w:szCs w:val="24"/>
          <w:lang w:eastAsia="en-ZA"/>
        </w:rPr>
        <w:t>Supercart has</w:t>
      </w:r>
      <w:r w:rsidR="00E15CD0" w:rsidRPr="00AB52EE">
        <w:rPr>
          <w:rFonts w:cs="Arial"/>
          <w:szCs w:val="24"/>
          <w:lang w:eastAsia="en-ZA"/>
        </w:rPr>
        <w:t xml:space="preserve"> therefore </w:t>
      </w:r>
      <w:r w:rsidR="004C554E" w:rsidRPr="00AB52EE">
        <w:rPr>
          <w:rFonts w:cs="Arial"/>
          <w:szCs w:val="24"/>
          <w:lang w:eastAsia="en-ZA"/>
        </w:rPr>
        <w:t xml:space="preserve">failed to </w:t>
      </w:r>
      <w:r w:rsidRPr="00AB52EE">
        <w:rPr>
          <w:rFonts w:cs="Arial"/>
          <w:szCs w:val="24"/>
          <w:lang w:eastAsia="en-ZA"/>
        </w:rPr>
        <w:t xml:space="preserve">discharge its onus on this aspect in relation to </w:t>
      </w:r>
      <w:r w:rsidR="005141FE" w:rsidRPr="00AB52EE">
        <w:rPr>
          <w:rFonts w:cs="Arial"/>
          <w:szCs w:val="24"/>
          <w:lang w:eastAsia="en-ZA"/>
        </w:rPr>
        <w:t xml:space="preserve">the </w:t>
      </w:r>
      <w:r w:rsidR="00CD49AB" w:rsidRPr="00AB52EE">
        <w:rPr>
          <w:rFonts w:cs="Arial"/>
          <w:szCs w:val="24"/>
          <w:lang w:eastAsia="en-ZA"/>
        </w:rPr>
        <w:t xml:space="preserve">attached </w:t>
      </w:r>
      <w:r w:rsidR="005141FE" w:rsidRPr="00AB52EE">
        <w:rPr>
          <w:rFonts w:cs="Arial"/>
          <w:szCs w:val="24"/>
          <w:lang w:eastAsia="en-ZA"/>
        </w:rPr>
        <w:t xml:space="preserve">items </w:t>
      </w:r>
      <w:r w:rsidR="00CD49AB" w:rsidRPr="00AB52EE">
        <w:rPr>
          <w:rFonts w:cs="Arial"/>
          <w:szCs w:val="24"/>
          <w:lang w:eastAsia="en-ZA"/>
        </w:rPr>
        <w:t xml:space="preserve">found </w:t>
      </w:r>
      <w:r w:rsidR="005141FE" w:rsidRPr="00AB52EE">
        <w:rPr>
          <w:rFonts w:cs="Arial"/>
          <w:szCs w:val="24"/>
          <w:lang w:eastAsia="en-ZA"/>
        </w:rPr>
        <w:t xml:space="preserve">at Mr Case’s </w:t>
      </w:r>
      <w:r w:rsidR="004C554E" w:rsidRPr="00AB52EE">
        <w:rPr>
          <w:rFonts w:cs="Arial"/>
          <w:szCs w:val="24"/>
          <w:lang w:eastAsia="en-ZA"/>
        </w:rPr>
        <w:t>residence</w:t>
      </w:r>
      <w:r w:rsidR="00554C7F" w:rsidRPr="00AB52EE">
        <w:rPr>
          <w:rFonts w:cs="Arial"/>
          <w:szCs w:val="24"/>
          <w:lang w:eastAsia="en-ZA"/>
        </w:rPr>
        <w:t>.</w:t>
      </w:r>
      <w:r w:rsidR="00E15CD0" w:rsidRPr="00AB52EE">
        <w:rPr>
          <w:rFonts w:cs="Arial"/>
          <w:szCs w:val="24"/>
          <w:lang w:eastAsia="en-ZA"/>
        </w:rPr>
        <w:t xml:space="preserve"> </w:t>
      </w:r>
    </w:p>
    <w:p w14:paraId="18932A2E" w14:textId="199C665A" w:rsidR="0097498D" w:rsidRPr="00AB52EE" w:rsidRDefault="006753C6" w:rsidP="002C7131">
      <w:pPr>
        <w:pStyle w:val="LC1"/>
        <w:keepNext/>
        <w:numPr>
          <w:ilvl w:val="0"/>
          <w:numId w:val="0"/>
        </w:numPr>
        <w:rPr>
          <w:rFonts w:cs="Arial"/>
          <w:szCs w:val="24"/>
          <w:u w:val="single"/>
        </w:rPr>
      </w:pPr>
      <w:r w:rsidRPr="00AB52EE">
        <w:rPr>
          <w:rFonts w:cs="Arial"/>
          <w:szCs w:val="24"/>
          <w:u w:val="single"/>
        </w:rPr>
        <w:t xml:space="preserve">Conclusion on the second </w:t>
      </w:r>
      <w:r w:rsidR="008E0BAF" w:rsidRPr="00AB52EE">
        <w:rPr>
          <w:rFonts w:cs="Arial"/>
          <w:szCs w:val="24"/>
          <w:u w:val="single"/>
          <w:lang w:eastAsia="en-ZA"/>
        </w:rPr>
        <w:t xml:space="preserve">threshold </w:t>
      </w:r>
      <w:r w:rsidRPr="00AB52EE">
        <w:rPr>
          <w:rFonts w:cs="Arial"/>
          <w:szCs w:val="24"/>
          <w:u w:val="single"/>
        </w:rPr>
        <w:t>requirement</w:t>
      </w:r>
    </w:p>
    <w:p w14:paraId="3D8D3924" w14:textId="77777777" w:rsidR="00566F32" w:rsidRPr="00AB52EE" w:rsidRDefault="006753C6" w:rsidP="007A27ED">
      <w:pPr>
        <w:pStyle w:val="LC1"/>
        <w:rPr>
          <w:rFonts w:cs="Arial"/>
          <w:szCs w:val="24"/>
        </w:rPr>
      </w:pPr>
      <w:r w:rsidRPr="00AB52EE">
        <w:rPr>
          <w:rFonts w:cs="Arial"/>
          <w:szCs w:val="24"/>
        </w:rPr>
        <w:t xml:space="preserve">For the reasons set out above, I conclude that Supercart has duly established the second </w:t>
      </w:r>
      <w:r w:rsidR="008E0BAF" w:rsidRPr="00AB52EE">
        <w:rPr>
          <w:rFonts w:cs="Arial"/>
          <w:szCs w:val="24"/>
          <w:lang w:eastAsia="en-ZA"/>
        </w:rPr>
        <w:t xml:space="preserve">threshold </w:t>
      </w:r>
      <w:r w:rsidRPr="00AB52EE">
        <w:rPr>
          <w:rFonts w:cs="Arial"/>
          <w:szCs w:val="24"/>
        </w:rPr>
        <w:t xml:space="preserve">requirement in relation to the </w:t>
      </w:r>
      <w:r w:rsidR="00CD49AB" w:rsidRPr="00AB52EE">
        <w:rPr>
          <w:rFonts w:cs="Arial"/>
          <w:szCs w:val="24"/>
        </w:rPr>
        <w:t xml:space="preserve">attached </w:t>
      </w:r>
      <w:r w:rsidR="0046341C" w:rsidRPr="00AB52EE">
        <w:rPr>
          <w:rFonts w:cs="Arial"/>
          <w:szCs w:val="24"/>
        </w:rPr>
        <w:t xml:space="preserve">items </w:t>
      </w:r>
      <w:r w:rsidR="006271A3" w:rsidRPr="00AB52EE">
        <w:rPr>
          <w:rFonts w:cs="Arial"/>
          <w:szCs w:val="24"/>
        </w:rPr>
        <w:t xml:space="preserve">found </w:t>
      </w:r>
      <w:r w:rsidR="005141FE" w:rsidRPr="00AB52EE">
        <w:rPr>
          <w:rFonts w:cs="Arial"/>
          <w:szCs w:val="24"/>
        </w:rPr>
        <w:t xml:space="preserve">at Vanesco’s </w:t>
      </w:r>
      <w:r w:rsidR="00A02BC7" w:rsidRPr="00AB52EE">
        <w:rPr>
          <w:rFonts w:cs="Arial"/>
          <w:szCs w:val="24"/>
        </w:rPr>
        <w:t xml:space="preserve">business </w:t>
      </w:r>
      <w:r w:rsidR="005141FE" w:rsidRPr="00AB52EE">
        <w:rPr>
          <w:rFonts w:cs="Arial"/>
          <w:szCs w:val="24"/>
        </w:rPr>
        <w:t xml:space="preserve">premises, but has not done so </w:t>
      </w:r>
      <w:r w:rsidR="002C7131" w:rsidRPr="00AB52EE">
        <w:rPr>
          <w:rFonts w:cs="Arial"/>
          <w:szCs w:val="24"/>
        </w:rPr>
        <w:t xml:space="preserve">in </w:t>
      </w:r>
      <w:r w:rsidR="005141FE" w:rsidRPr="00AB52EE">
        <w:rPr>
          <w:rFonts w:cs="Arial"/>
          <w:szCs w:val="24"/>
        </w:rPr>
        <w:t xml:space="preserve">relation to the </w:t>
      </w:r>
      <w:r w:rsidR="00CD49AB" w:rsidRPr="00AB52EE">
        <w:rPr>
          <w:rFonts w:cs="Arial"/>
          <w:szCs w:val="24"/>
        </w:rPr>
        <w:t xml:space="preserve">attached </w:t>
      </w:r>
      <w:r w:rsidR="0046341C" w:rsidRPr="00AB52EE">
        <w:rPr>
          <w:rFonts w:cs="Arial"/>
          <w:szCs w:val="24"/>
        </w:rPr>
        <w:t xml:space="preserve">items </w:t>
      </w:r>
      <w:r w:rsidR="006271A3" w:rsidRPr="00AB52EE">
        <w:rPr>
          <w:rFonts w:cs="Arial"/>
          <w:szCs w:val="24"/>
        </w:rPr>
        <w:t>found</w:t>
      </w:r>
      <w:r w:rsidR="005141FE" w:rsidRPr="00AB52EE">
        <w:rPr>
          <w:rFonts w:cs="Arial"/>
          <w:szCs w:val="24"/>
        </w:rPr>
        <w:t xml:space="preserve"> at </w:t>
      </w:r>
      <w:r w:rsidR="0046341C" w:rsidRPr="00AB52EE">
        <w:rPr>
          <w:rFonts w:cs="Arial"/>
          <w:szCs w:val="24"/>
        </w:rPr>
        <w:t>Mr Case’s residence</w:t>
      </w:r>
      <w:r w:rsidR="005141FE" w:rsidRPr="00AB52EE">
        <w:rPr>
          <w:rFonts w:cs="Arial"/>
          <w:szCs w:val="24"/>
        </w:rPr>
        <w:t xml:space="preserve">. </w:t>
      </w:r>
    </w:p>
    <w:p w14:paraId="6E640C07" w14:textId="32CBC8BF" w:rsidR="00566F32" w:rsidRPr="00AB52EE" w:rsidRDefault="00566F32" w:rsidP="00566F32">
      <w:pPr>
        <w:pStyle w:val="LC1"/>
        <w:rPr>
          <w:rFonts w:cs="Arial"/>
          <w:szCs w:val="24"/>
          <w:lang w:eastAsia="en-ZA"/>
        </w:rPr>
      </w:pPr>
      <w:r w:rsidRPr="00AB52EE">
        <w:rPr>
          <w:rFonts w:cs="Arial"/>
          <w:szCs w:val="24"/>
          <w:lang w:eastAsia="en-ZA"/>
        </w:rPr>
        <w:t xml:space="preserve">In the circumstances, paragraph 5 of the order, which permitted the search at Mr Case’s home must be set aside </w:t>
      </w:r>
      <w:r w:rsidRPr="00AB52EE">
        <w:rPr>
          <w:rFonts w:cs="Arial"/>
          <w:szCs w:val="24"/>
        </w:rPr>
        <w:t>with appropriate provision for costs</w:t>
      </w:r>
      <w:r w:rsidR="00CB392D">
        <w:rPr>
          <w:rFonts w:cs="Arial"/>
          <w:szCs w:val="24"/>
        </w:rPr>
        <w:t>, which is discussed below</w:t>
      </w:r>
      <w:r w:rsidRPr="00AB52EE">
        <w:rPr>
          <w:rFonts w:cs="Arial"/>
          <w:szCs w:val="24"/>
          <w:lang w:eastAsia="en-ZA"/>
        </w:rPr>
        <w:t xml:space="preserve">. </w:t>
      </w:r>
      <w:r w:rsidRPr="00AB52EE">
        <w:rPr>
          <w:rFonts w:cs="Arial"/>
          <w:szCs w:val="24"/>
        </w:rPr>
        <w:t>An order will also be issued requiring the Sheriff to destroy or delete any items or copies thereof attached pursuant to that paragraph, or to return them to the persons from whom they were seized.</w:t>
      </w:r>
    </w:p>
    <w:p w14:paraId="0DC81781" w14:textId="005B7174" w:rsidR="00082032" w:rsidRPr="00AB52EE" w:rsidRDefault="003D662A" w:rsidP="002C7131">
      <w:pPr>
        <w:pStyle w:val="LC1"/>
        <w:keepNext/>
        <w:numPr>
          <w:ilvl w:val="0"/>
          <w:numId w:val="0"/>
        </w:numPr>
        <w:rPr>
          <w:rFonts w:cs="Arial"/>
          <w:b/>
          <w:bCs/>
          <w:szCs w:val="24"/>
        </w:rPr>
      </w:pPr>
      <w:r w:rsidRPr="00AB52EE">
        <w:rPr>
          <w:rFonts w:cs="Arial"/>
          <w:b/>
          <w:bCs/>
          <w:szCs w:val="24"/>
        </w:rPr>
        <w:t xml:space="preserve">THE THIRD THRESHOLD </w:t>
      </w:r>
      <w:r w:rsidR="00BF3AC3" w:rsidRPr="00AB52EE">
        <w:rPr>
          <w:rFonts w:cs="Arial"/>
          <w:b/>
          <w:bCs/>
          <w:szCs w:val="24"/>
        </w:rPr>
        <w:t>REQUIREMENT</w:t>
      </w:r>
    </w:p>
    <w:p w14:paraId="64440AD9" w14:textId="55666873" w:rsidR="003803B6" w:rsidRPr="00AB52EE" w:rsidRDefault="006926E9" w:rsidP="007A27ED">
      <w:pPr>
        <w:pStyle w:val="LC1"/>
        <w:rPr>
          <w:rFonts w:cs="Arial"/>
          <w:szCs w:val="24"/>
        </w:rPr>
      </w:pPr>
      <w:r w:rsidRPr="00AB52EE">
        <w:rPr>
          <w:rFonts w:cs="Arial"/>
          <w:szCs w:val="24"/>
        </w:rPr>
        <w:t xml:space="preserve">For the same reasons that applied in </w:t>
      </w:r>
      <w:r w:rsidRPr="00AB52EE">
        <w:rPr>
          <w:rFonts w:cs="Arial"/>
          <w:i/>
          <w:iCs/>
          <w:szCs w:val="24"/>
        </w:rPr>
        <w:t>Viziya</w:t>
      </w:r>
      <w:r w:rsidRPr="00AB52EE">
        <w:rPr>
          <w:rFonts w:cs="Arial"/>
          <w:szCs w:val="24"/>
        </w:rPr>
        <w:t xml:space="preserve"> and referred to above,</w:t>
      </w:r>
      <w:r w:rsidRPr="00AB52EE">
        <w:rPr>
          <w:rStyle w:val="FootnoteReference"/>
          <w:szCs w:val="24"/>
        </w:rPr>
        <w:t xml:space="preserve"> </w:t>
      </w:r>
      <w:r w:rsidR="000B1174" w:rsidRPr="00AB52EE">
        <w:rPr>
          <w:rFonts w:cs="Arial"/>
          <w:szCs w:val="24"/>
        </w:rPr>
        <w:t xml:space="preserve">I agree with </w:t>
      </w:r>
      <w:r w:rsidR="00636C6A" w:rsidRPr="00AB52EE">
        <w:rPr>
          <w:rFonts w:cs="Arial"/>
          <w:szCs w:val="24"/>
          <w:lang w:eastAsia="en-ZA"/>
        </w:rPr>
        <w:t xml:space="preserve">the respondents’ </w:t>
      </w:r>
      <w:r w:rsidR="000B1174" w:rsidRPr="00AB52EE">
        <w:rPr>
          <w:rFonts w:cs="Arial"/>
          <w:szCs w:val="24"/>
        </w:rPr>
        <w:t xml:space="preserve">argument that there can be no </w:t>
      </w:r>
      <w:r w:rsidR="0032601A" w:rsidRPr="00AB52EE">
        <w:rPr>
          <w:rFonts w:cs="Arial"/>
          <w:szCs w:val="24"/>
        </w:rPr>
        <w:t xml:space="preserve">objective </w:t>
      </w:r>
      <w:r w:rsidR="000B1174" w:rsidRPr="00AB52EE">
        <w:rPr>
          <w:rFonts w:cs="Arial"/>
          <w:szCs w:val="24"/>
        </w:rPr>
        <w:t xml:space="preserve">well-founded apprehension that the bank statements </w:t>
      </w:r>
      <w:r w:rsidR="009D36BB">
        <w:rPr>
          <w:rFonts w:cs="Arial"/>
          <w:szCs w:val="24"/>
        </w:rPr>
        <w:t xml:space="preserve">specified in the order as </w:t>
      </w:r>
      <w:r w:rsidR="0046341C" w:rsidRPr="00AB52EE">
        <w:rPr>
          <w:rFonts w:cs="Arial"/>
          <w:szCs w:val="24"/>
        </w:rPr>
        <w:t xml:space="preserve">referred </w:t>
      </w:r>
      <w:r w:rsidR="000B1174" w:rsidRPr="00AB52EE">
        <w:rPr>
          <w:rFonts w:cs="Arial"/>
          <w:szCs w:val="24"/>
        </w:rPr>
        <w:t xml:space="preserve">to </w:t>
      </w:r>
      <w:r w:rsidR="0046341C" w:rsidRPr="00AB52EE">
        <w:rPr>
          <w:rFonts w:cs="Arial"/>
          <w:szCs w:val="24"/>
        </w:rPr>
        <w:t xml:space="preserve">in </w:t>
      </w:r>
      <w:r w:rsidR="000B1174" w:rsidRPr="00AB52EE">
        <w:rPr>
          <w:rFonts w:cs="Arial"/>
          <w:szCs w:val="24"/>
        </w:rPr>
        <w:t xml:space="preserve">paragraph </w:t>
      </w:r>
      <w:r w:rsidR="000B1174" w:rsidRPr="00AB52EE">
        <w:rPr>
          <w:rFonts w:cs="Arial"/>
          <w:szCs w:val="24"/>
        </w:rPr>
        <w:fldChar w:fldCharType="begin"/>
      </w:r>
      <w:r w:rsidR="000B1174" w:rsidRPr="00AB52EE">
        <w:rPr>
          <w:rFonts w:cs="Arial"/>
          <w:szCs w:val="24"/>
        </w:rPr>
        <w:instrText xml:space="preserve"> REF _Ref150703594 \r \h </w:instrText>
      </w:r>
      <w:r w:rsidR="00CD1BF6" w:rsidRPr="00AB52EE">
        <w:rPr>
          <w:rFonts w:cs="Arial"/>
          <w:szCs w:val="24"/>
        </w:rPr>
        <w:instrText xml:space="preserve"> \* MERGEFORMAT </w:instrText>
      </w:r>
      <w:r w:rsidR="000B1174" w:rsidRPr="00AB52EE">
        <w:rPr>
          <w:rFonts w:cs="Arial"/>
          <w:szCs w:val="24"/>
        </w:rPr>
      </w:r>
      <w:r w:rsidR="000B1174" w:rsidRPr="00AB52EE">
        <w:rPr>
          <w:rFonts w:cs="Arial"/>
          <w:szCs w:val="24"/>
        </w:rPr>
        <w:fldChar w:fldCharType="separate"/>
      </w:r>
      <w:r w:rsidR="00214B4A">
        <w:rPr>
          <w:rFonts w:cs="Arial"/>
          <w:szCs w:val="24"/>
        </w:rPr>
        <w:t>[20](d)</w:t>
      </w:r>
      <w:r w:rsidR="000B1174" w:rsidRPr="00AB52EE">
        <w:rPr>
          <w:rFonts w:cs="Arial"/>
          <w:szCs w:val="24"/>
        </w:rPr>
        <w:fldChar w:fldCharType="end"/>
      </w:r>
      <w:r w:rsidR="000B1174" w:rsidRPr="00AB52EE">
        <w:rPr>
          <w:rFonts w:cs="Arial"/>
          <w:szCs w:val="24"/>
        </w:rPr>
        <w:t xml:space="preserve"> above would be concealed.</w:t>
      </w:r>
      <w:r w:rsidR="0032601A" w:rsidRPr="00AB52EE">
        <w:rPr>
          <w:rFonts w:cs="Arial"/>
          <w:szCs w:val="24"/>
        </w:rPr>
        <w:t xml:space="preserve"> </w:t>
      </w:r>
      <w:r w:rsidR="00E200D5">
        <w:rPr>
          <w:rFonts w:cs="Arial"/>
          <w:szCs w:val="24"/>
        </w:rPr>
        <w:t xml:space="preserve">Supercart’s argument that the bank statements should not be excluded because a subpoena is not available in motion proceedings is unsustainable, as it ignores the </w:t>
      </w:r>
      <w:r w:rsidR="009D36BB">
        <w:rPr>
          <w:rFonts w:cs="Arial"/>
          <w:szCs w:val="24"/>
        </w:rPr>
        <w:t xml:space="preserve">principle </w:t>
      </w:r>
      <w:r w:rsidR="00E200D5">
        <w:rPr>
          <w:rFonts w:cs="Arial"/>
          <w:szCs w:val="24"/>
        </w:rPr>
        <w:t>that Anton Piller order</w:t>
      </w:r>
      <w:r w:rsidR="009D36BB">
        <w:rPr>
          <w:rFonts w:cs="Arial"/>
          <w:szCs w:val="24"/>
        </w:rPr>
        <w:t>s</w:t>
      </w:r>
      <w:r w:rsidR="00E200D5">
        <w:rPr>
          <w:rFonts w:cs="Arial"/>
          <w:szCs w:val="24"/>
        </w:rPr>
        <w:t xml:space="preserve"> </w:t>
      </w:r>
      <w:r w:rsidR="009D36BB">
        <w:rPr>
          <w:rFonts w:cs="Arial"/>
          <w:szCs w:val="24"/>
        </w:rPr>
        <w:t xml:space="preserve">are </w:t>
      </w:r>
      <w:r w:rsidR="00E200D5">
        <w:rPr>
          <w:rFonts w:cs="Arial"/>
          <w:szCs w:val="24"/>
        </w:rPr>
        <w:t xml:space="preserve">aimed at preservation of evidence and </w:t>
      </w:r>
      <w:r w:rsidR="009D36BB">
        <w:rPr>
          <w:rFonts w:cs="Arial"/>
          <w:szCs w:val="24"/>
        </w:rPr>
        <w:t xml:space="preserve">are </w:t>
      </w:r>
      <w:r w:rsidR="00E200D5">
        <w:rPr>
          <w:rFonts w:cs="Arial"/>
          <w:szCs w:val="24"/>
        </w:rPr>
        <w:t xml:space="preserve">not a means of discovery. </w:t>
      </w:r>
      <w:r w:rsidR="009D36BB">
        <w:rPr>
          <w:rFonts w:cs="Arial"/>
          <w:szCs w:val="24"/>
        </w:rPr>
        <w:t xml:space="preserve">The difficulties that </w:t>
      </w:r>
      <w:r w:rsidR="00E200D5">
        <w:rPr>
          <w:rFonts w:cs="Arial"/>
          <w:szCs w:val="24"/>
        </w:rPr>
        <w:t xml:space="preserve">Supercart may experience as a result of the procedure that it has chosen </w:t>
      </w:r>
      <w:r w:rsidR="009D36BB">
        <w:rPr>
          <w:rFonts w:cs="Arial"/>
          <w:szCs w:val="24"/>
        </w:rPr>
        <w:t xml:space="preserve">to follow </w:t>
      </w:r>
      <w:r w:rsidR="00E200D5">
        <w:rPr>
          <w:rFonts w:cs="Arial"/>
          <w:szCs w:val="24"/>
        </w:rPr>
        <w:t xml:space="preserve">in the contempt proceedings is not a </w:t>
      </w:r>
      <w:r w:rsidR="00E200D5">
        <w:rPr>
          <w:rFonts w:cs="Arial"/>
          <w:szCs w:val="24"/>
        </w:rPr>
        <w:lastRenderedPageBreak/>
        <w:t xml:space="preserve">reason to relax the requirements for Anton Piller orders. </w:t>
      </w:r>
      <w:r w:rsidR="003803B6" w:rsidRPr="00AB52EE">
        <w:rPr>
          <w:rFonts w:cs="Arial"/>
          <w:szCs w:val="24"/>
        </w:rPr>
        <w:t>This portion of the order should thus not have been granted</w:t>
      </w:r>
      <w:r w:rsidR="009D36BB">
        <w:rPr>
          <w:rFonts w:cs="Arial"/>
          <w:szCs w:val="24"/>
        </w:rPr>
        <w:t>,</w:t>
      </w:r>
      <w:r w:rsidR="003803B6" w:rsidRPr="00AB52EE">
        <w:rPr>
          <w:rFonts w:cs="Arial"/>
          <w:szCs w:val="24"/>
        </w:rPr>
        <w:t xml:space="preserve"> and the paragraph appearing at the fourth bullet point of paragraph 4.1.2 should be </w:t>
      </w:r>
      <w:r w:rsidR="00277802" w:rsidRPr="00AB52EE">
        <w:rPr>
          <w:rFonts w:cs="Arial"/>
          <w:szCs w:val="24"/>
        </w:rPr>
        <w:t>set aside</w:t>
      </w:r>
      <w:r w:rsidR="003803B6" w:rsidRPr="00AB52EE">
        <w:rPr>
          <w:rFonts w:cs="Arial"/>
          <w:szCs w:val="24"/>
        </w:rPr>
        <w:t xml:space="preserve">. An order will </w:t>
      </w:r>
      <w:r w:rsidR="009D36BB">
        <w:rPr>
          <w:rFonts w:cs="Arial"/>
          <w:szCs w:val="24"/>
        </w:rPr>
        <w:t xml:space="preserve">also </w:t>
      </w:r>
      <w:r w:rsidR="003803B6" w:rsidRPr="00AB52EE">
        <w:rPr>
          <w:rFonts w:cs="Arial"/>
          <w:szCs w:val="24"/>
        </w:rPr>
        <w:t xml:space="preserve">be issued requiring the Sheriff </w:t>
      </w:r>
      <w:r w:rsidR="00CD49AB" w:rsidRPr="00AB52EE">
        <w:rPr>
          <w:rFonts w:cs="Arial"/>
          <w:szCs w:val="24"/>
        </w:rPr>
        <w:t>to destroy or delete any items or copies thereof attached pursuant to this paragraph, or to return them to the persons from whom they were seized</w:t>
      </w:r>
      <w:r w:rsidR="003803B6" w:rsidRPr="00AB52EE">
        <w:rPr>
          <w:rFonts w:cs="Arial"/>
          <w:szCs w:val="24"/>
        </w:rPr>
        <w:t>.</w:t>
      </w:r>
    </w:p>
    <w:p w14:paraId="35D2BCCE" w14:textId="2C45E93C" w:rsidR="0032601A" w:rsidRPr="00AB52EE" w:rsidRDefault="006926E9" w:rsidP="007A27ED">
      <w:pPr>
        <w:pStyle w:val="LC1"/>
        <w:rPr>
          <w:rFonts w:cs="Arial"/>
          <w:szCs w:val="24"/>
        </w:rPr>
      </w:pPr>
      <w:r w:rsidRPr="00AB52EE">
        <w:rPr>
          <w:rFonts w:cs="Arial"/>
          <w:szCs w:val="24"/>
        </w:rPr>
        <w:t>With the exception of the email address of Mr Case’s brother</w:t>
      </w:r>
      <w:r w:rsidR="00681A35" w:rsidRPr="00AB52EE">
        <w:rPr>
          <w:rFonts w:cs="Arial"/>
          <w:szCs w:val="24"/>
        </w:rPr>
        <w:t xml:space="preserve"> (</w:t>
      </w:r>
      <w:hyperlink r:id="rId10" w:history="1">
        <w:r w:rsidR="00681A35" w:rsidRPr="00AB52EE">
          <w:rPr>
            <w:rStyle w:val="Hyperlink"/>
            <w:rFonts w:cs="Arial"/>
            <w:szCs w:val="24"/>
          </w:rPr>
          <w:t>trolleydoctor@gmail.com</w:t>
        </w:r>
      </w:hyperlink>
      <w:r w:rsidR="00681A35" w:rsidRPr="00AB52EE">
        <w:rPr>
          <w:rFonts w:cs="Arial"/>
          <w:szCs w:val="24"/>
        </w:rPr>
        <w:t>)</w:t>
      </w:r>
      <w:r w:rsidR="00CD49AB" w:rsidRPr="00AB52EE">
        <w:rPr>
          <w:rFonts w:cs="Arial"/>
          <w:szCs w:val="24"/>
        </w:rPr>
        <w:t xml:space="preserve">, </w:t>
      </w:r>
      <w:r w:rsidR="006753C6" w:rsidRPr="00AB52EE">
        <w:rPr>
          <w:rFonts w:cs="Arial"/>
          <w:szCs w:val="24"/>
        </w:rPr>
        <w:t>which I consider further below</w:t>
      </w:r>
      <w:r w:rsidR="00681A35" w:rsidRPr="00AB52EE">
        <w:rPr>
          <w:rFonts w:cs="Arial"/>
          <w:szCs w:val="24"/>
        </w:rPr>
        <w:t xml:space="preserve">, </w:t>
      </w:r>
      <w:r w:rsidR="0032601A" w:rsidRPr="00AB52EE">
        <w:rPr>
          <w:rFonts w:cs="Arial"/>
          <w:szCs w:val="24"/>
        </w:rPr>
        <w:t xml:space="preserve">the same applies to </w:t>
      </w:r>
      <w:r w:rsidR="0046341C" w:rsidRPr="00AB52EE">
        <w:rPr>
          <w:rFonts w:cs="Arial"/>
          <w:szCs w:val="24"/>
        </w:rPr>
        <w:t xml:space="preserve">the any </w:t>
      </w:r>
      <w:r w:rsidR="0032601A" w:rsidRPr="00AB52EE">
        <w:rPr>
          <w:rFonts w:cs="Arial"/>
          <w:szCs w:val="24"/>
        </w:rPr>
        <w:t>emails to or from the third party email addresses</w:t>
      </w:r>
      <w:r w:rsidRPr="00AB52EE">
        <w:rPr>
          <w:rFonts w:cs="Arial"/>
          <w:szCs w:val="24"/>
        </w:rPr>
        <w:t xml:space="preserve"> </w:t>
      </w:r>
      <w:r w:rsidR="0046341C" w:rsidRPr="00AB52EE">
        <w:rPr>
          <w:rFonts w:cs="Arial"/>
          <w:szCs w:val="24"/>
        </w:rPr>
        <w:t xml:space="preserve">referred to </w:t>
      </w:r>
      <w:r w:rsidRPr="00AB52EE">
        <w:rPr>
          <w:rFonts w:cs="Arial"/>
          <w:szCs w:val="24"/>
        </w:rPr>
        <w:t xml:space="preserve">paragraph </w:t>
      </w:r>
      <w:r w:rsidRPr="00AB52EE">
        <w:rPr>
          <w:rFonts w:cs="Arial"/>
          <w:szCs w:val="24"/>
        </w:rPr>
        <w:fldChar w:fldCharType="begin"/>
      </w:r>
      <w:r w:rsidRPr="00AB52EE">
        <w:rPr>
          <w:rFonts w:cs="Arial"/>
          <w:szCs w:val="24"/>
        </w:rPr>
        <w:instrText xml:space="preserve"> REF _Ref150704386 \r \h </w:instrText>
      </w:r>
      <w:r w:rsidR="00CD1BF6" w:rsidRPr="00AB52EE">
        <w:rPr>
          <w:rFonts w:cs="Arial"/>
          <w:szCs w:val="24"/>
        </w:rPr>
        <w:instrText xml:space="preserve"> \* MERGEFORMAT </w:instrText>
      </w:r>
      <w:r w:rsidRPr="00AB52EE">
        <w:rPr>
          <w:rFonts w:cs="Arial"/>
          <w:szCs w:val="24"/>
        </w:rPr>
      </w:r>
      <w:r w:rsidRPr="00AB52EE">
        <w:rPr>
          <w:rFonts w:cs="Arial"/>
          <w:szCs w:val="24"/>
        </w:rPr>
        <w:fldChar w:fldCharType="separate"/>
      </w:r>
      <w:r w:rsidR="00214B4A">
        <w:rPr>
          <w:rFonts w:cs="Arial"/>
          <w:szCs w:val="24"/>
        </w:rPr>
        <w:t>[20](e)</w:t>
      </w:r>
      <w:r w:rsidRPr="00AB52EE">
        <w:rPr>
          <w:rFonts w:cs="Arial"/>
          <w:szCs w:val="24"/>
        </w:rPr>
        <w:fldChar w:fldCharType="end"/>
      </w:r>
      <w:r w:rsidRPr="00AB52EE">
        <w:rPr>
          <w:rFonts w:cs="Arial"/>
          <w:szCs w:val="24"/>
        </w:rPr>
        <w:t xml:space="preserve"> above</w:t>
      </w:r>
      <w:r w:rsidR="0046341C" w:rsidRPr="00AB52EE">
        <w:rPr>
          <w:rFonts w:cs="Arial"/>
          <w:szCs w:val="24"/>
        </w:rPr>
        <w:t xml:space="preserve"> that were </w:t>
      </w:r>
      <w:r w:rsidR="00CD49AB" w:rsidRPr="00AB52EE">
        <w:rPr>
          <w:rFonts w:cs="Arial"/>
          <w:szCs w:val="24"/>
        </w:rPr>
        <w:t>attached</w:t>
      </w:r>
      <w:r w:rsidR="0032601A" w:rsidRPr="00AB52EE">
        <w:rPr>
          <w:rFonts w:cs="Arial"/>
          <w:szCs w:val="24"/>
        </w:rPr>
        <w:t xml:space="preserve">. Supercart </w:t>
      </w:r>
      <w:r w:rsidRPr="00AB52EE">
        <w:rPr>
          <w:rFonts w:cs="Arial"/>
          <w:szCs w:val="24"/>
        </w:rPr>
        <w:t xml:space="preserve">made no allegation </w:t>
      </w:r>
      <w:r w:rsidR="00681A35" w:rsidRPr="00AB52EE">
        <w:rPr>
          <w:rFonts w:cs="Arial"/>
          <w:szCs w:val="24"/>
        </w:rPr>
        <w:t xml:space="preserve">that might give rise to a reasonable </w:t>
      </w:r>
      <w:r w:rsidR="00D32FED" w:rsidRPr="00AB52EE">
        <w:rPr>
          <w:rFonts w:cs="Arial"/>
          <w:szCs w:val="24"/>
        </w:rPr>
        <w:t xml:space="preserve">apprehension </w:t>
      </w:r>
      <w:r w:rsidR="00681A35" w:rsidRPr="00AB52EE">
        <w:rPr>
          <w:rFonts w:cs="Arial"/>
          <w:szCs w:val="24"/>
        </w:rPr>
        <w:t xml:space="preserve">that </w:t>
      </w:r>
      <w:r w:rsidRPr="00AB52EE">
        <w:rPr>
          <w:rFonts w:cs="Arial"/>
          <w:szCs w:val="24"/>
        </w:rPr>
        <w:t>the third parties</w:t>
      </w:r>
      <w:r w:rsidR="00566F32" w:rsidRPr="00AB52EE">
        <w:rPr>
          <w:rFonts w:cs="Arial"/>
          <w:szCs w:val="24"/>
        </w:rPr>
        <w:t>,</w:t>
      </w:r>
      <w:r w:rsidRPr="00AB52EE">
        <w:rPr>
          <w:rFonts w:cs="Arial"/>
          <w:szCs w:val="24"/>
        </w:rPr>
        <w:t xml:space="preserve"> </w:t>
      </w:r>
      <w:r w:rsidR="00566F32" w:rsidRPr="00AB52EE">
        <w:rPr>
          <w:rFonts w:cs="Arial"/>
          <w:szCs w:val="24"/>
        </w:rPr>
        <w:t xml:space="preserve">other than Roots Butcheries, </w:t>
      </w:r>
      <w:r w:rsidRPr="00AB52EE">
        <w:rPr>
          <w:rFonts w:cs="Arial"/>
          <w:szCs w:val="24"/>
        </w:rPr>
        <w:t xml:space="preserve">would collude with </w:t>
      </w:r>
      <w:r w:rsidR="00636C6A" w:rsidRPr="00AB52EE">
        <w:rPr>
          <w:rFonts w:cs="Arial"/>
          <w:szCs w:val="24"/>
          <w:lang w:eastAsia="en-ZA"/>
        </w:rPr>
        <w:t xml:space="preserve">the respondents </w:t>
      </w:r>
      <w:r w:rsidRPr="00AB52EE">
        <w:rPr>
          <w:rFonts w:cs="Arial"/>
          <w:szCs w:val="24"/>
        </w:rPr>
        <w:t xml:space="preserve">to </w:t>
      </w:r>
      <w:r w:rsidR="00E200D5">
        <w:rPr>
          <w:rFonts w:cs="Arial"/>
          <w:szCs w:val="24"/>
        </w:rPr>
        <w:t>destroy or conceal evidence</w:t>
      </w:r>
      <w:r w:rsidR="00D32FED" w:rsidRPr="00AB52EE">
        <w:rPr>
          <w:rFonts w:cs="Arial"/>
          <w:szCs w:val="24"/>
        </w:rPr>
        <w:t>.</w:t>
      </w:r>
      <w:r w:rsidRPr="00AB52EE">
        <w:rPr>
          <w:rFonts w:cs="Arial"/>
          <w:szCs w:val="24"/>
        </w:rPr>
        <w:t xml:space="preserve"> </w:t>
      </w:r>
      <w:r w:rsidR="00D32FED" w:rsidRPr="00AB52EE">
        <w:rPr>
          <w:rFonts w:cs="Arial"/>
          <w:szCs w:val="24"/>
        </w:rPr>
        <w:t xml:space="preserve">Mr Wolfe’s </w:t>
      </w:r>
      <w:r w:rsidRPr="00AB52EE">
        <w:rPr>
          <w:rFonts w:cs="Arial"/>
          <w:szCs w:val="24"/>
        </w:rPr>
        <w:t xml:space="preserve">allegation of a close personal </w:t>
      </w:r>
      <w:r w:rsidR="0032601A" w:rsidRPr="00AB52EE">
        <w:rPr>
          <w:rFonts w:cs="Arial"/>
          <w:szCs w:val="24"/>
        </w:rPr>
        <w:t xml:space="preserve">friendship between Mr Case and the proprietor </w:t>
      </w:r>
      <w:r w:rsidRPr="00AB52EE">
        <w:rPr>
          <w:rFonts w:cs="Arial"/>
          <w:szCs w:val="24"/>
        </w:rPr>
        <w:t xml:space="preserve">of Roots Butcheries </w:t>
      </w:r>
      <w:r w:rsidR="009D36BB">
        <w:rPr>
          <w:rFonts w:cs="Arial"/>
          <w:szCs w:val="24"/>
        </w:rPr>
        <w:t xml:space="preserve">is </w:t>
      </w:r>
      <w:r w:rsidRPr="00AB52EE">
        <w:rPr>
          <w:rFonts w:cs="Arial"/>
          <w:szCs w:val="24"/>
        </w:rPr>
        <w:t xml:space="preserve">not only hearsay but </w:t>
      </w:r>
      <w:r w:rsidR="009D36BB">
        <w:rPr>
          <w:rFonts w:cs="Arial"/>
          <w:szCs w:val="24"/>
        </w:rPr>
        <w:t xml:space="preserve">is </w:t>
      </w:r>
      <w:r w:rsidRPr="00AB52EE">
        <w:rPr>
          <w:rFonts w:cs="Arial"/>
          <w:szCs w:val="24"/>
        </w:rPr>
        <w:t xml:space="preserve">clearly denied. </w:t>
      </w:r>
    </w:p>
    <w:p w14:paraId="254CFFBD" w14:textId="2589F048" w:rsidR="0032601A" w:rsidRPr="00AB52EE" w:rsidRDefault="000B1174" w:rsidP="007A27ED">
      <w:pPr>
        <w:pStyle w:val="LC1"/>
        <w:rPr>
          <w:rFonts w:cs="Arial"/>
          <w:szCs w:val="24"/>
        </w:rPr>
      </w:pPr>
      <w:r w:rsidRPr="00AB52EE">
        <w:rPr>
          <w:rFonts w:cs="Arial"/>
          <w:szCs w:val="24"/>
        </w:rPr>
        <w:t>Th</w:t>
      </w:r>
      <w:r w:rsidR="006926E9" w:rsidRPr="00AB52EE">
        <w:rPr>
          <w:rFonts w:cs="Arial"/>
          <w:szCs w:val="24"/>
        </w:rPr>
        <w:t>ese</w:t>
      </w:r>
      <w:r w:rsidRPr="00AB52EE">
        <w:rPr>
          <w:rFonts w:cs="Arial"/>
          <w:szCs w:val="24"/>
        </w:rPr>
        <w:t xml:space="preserve"> portion</w:t>
      </w:r>
      <w:r w:rsidR="006926E9" w:rsidRPr="00AB52EE">
        <w:rPr>
          <w:rFonts w:cs="Arial"/>
          <w:szCs w:val="24"/>
        </w:rPr>
        <w:t>s</w:t>
      </w:r>
      <w:r w:rsidRPr="00AB52EE">
        <w:rPr>
          <w:rFonts w:cs="Arial"/>
          <w:szCs w:val="24"/>
        </w:rPr>
        <w:t xml:space="preserve"> of the order should </w:t>
      </w:r>
      <w:r w:rsidR="006926E9" w:rsidRPr="00AB52EE">
        <w:rPr>
          <w:rFonts w:cs="Arial"/>
          <w:szCs w:val="24"/>
        </w:rPr>
        <w:t xml:space="preserve">thus </w:t>
      </w:r>
      <w:r w:rsidR="009D36BB">
        <w:rPr>
          <w:rFonts w:cs="Arial"/>
          <w:szCs w:val="24"/>
        </w:rPr>
        <w:t xml:space="preserve">also </w:t>
      </w:r>
      <w:r w:rsidRPr="00AB52EE">
        <w:rPr>
          <w:rFonts w:cs="Arial"/>
          <w:szCs w:val="24"/>
        </w:rPr>
        <w:t>not have been granted</w:t>
      </w:r>
      <w:r w:rsidR="00D32FED" w:rsidRPr="00AB52EE">
        <w:rPr>
          <w:rFonts w:cs="Arial"/>
          <w:szCs w:val="24"/>
        </w:rPr>
        <w:t>,</w:t>
      </w:r>
      <w:r w:rsidR="0032601A" w:rsidRPr="00AB52EE">
        <w:rPr>
          <w:rFonts w:cs="Arial"/>
          <w:szCs w:val="24"/>
        </w:rPr>
        <w:t xml:space="preserve"> and the paragraph appearing at the </w:t>
      </w:r>
      <w:r w:rsidR="003803B6" w:rsidRPr="00AB52EE">
        <w:rPr>
          <w:rFonts w:cs="Arial"/>
          <w:szCs w:val="24"/>
        </w:rPr>
        <w:t xml:space="preserve">fifth bullet point of paragraph 4.1.2 </w:t>
      </w:r>
      <w:r w:rsidR="00AB2F36" w:rsidRPr="00AB52EE">
        <w:rPr>
          <w:rFonts w:cs="Arial"/>
          <w:szCs w:val="24"/>
        </w:rPr>
        <w:t xml:space="preserve">of the </w:t>
      </w:r>
      <w:r w:rsidR="0032601A" w:rsidRPr="00AB52EE">
        <w:rPr>
          <w:rFonts w:cs="Arial"/>
          <w:szCs w:val="24"/>
        </w:rPr>
        <w:t>order</w:t>
      </w:r>
      <w:r w:rsidR="006926E9" w:rsidRPr="00AB52EE">
        <w:rPr>
          <w:rFonts w:cs="Arial"/>
          <w:szCs w:val="24"/>
        </w:rPr>
        <w:t xml:space="preserve"> </w:t>
      </w:r>
      <w:r w:rsidR="0032601A" w:rsidRPr="00AB52EE">
        <w:rPr>
          <w:rFonts w:cs="Arial"/>
          <w:szCs w:val="24"/>
        </w:rPr>
        <w:t xml:space="preserve">should be </w:t>
      </w:r>
      <w:r w:rsidR="00AB2F36" w:rsidRPr="00AB52EE">
        <w:rPr>
          <w:rFonts w:cs="Arial"/>
          <w:szCs w:val="24"/>
        </w:rPr>
        <w:t>adjusted accordingly</w:t>
      </w:r>
      <w:r w:rsidR="0032601A" w:rsidRPr="00AB52EE">
        <w:rPr>
          <w:rFonts w:cs="Arial"/>
          <w:szCs w:val="24"/>
        </w:rPr>
        <w:t>.</w:t>
      </w:r>
      <w:r w:rsidR="001F2063" w:rsidRPr="00AB52EE">
        <w:rPr>
          <w:rFonts w:cs="Arial"/>
          <w:szCs w:val="24"/>
        </w:rPr>
        <w:t xml:space="preserve"> An order will furthermore be issued </w:t>
      </w:r>
      <w:r w:rsidR="003803B6" w:rsidRPr="00AB52EE">
        <w:rPr>
          <w:rFonts w:cs="Arial"/>
          <w:szCs w:val="24"/>
        </w:rPr>
        <w:t>requiring the</w:t>
      </w:r>
      <w:r w:rsidR="009E1AB9" w:rsidRPr="00AB52EE">
        <w:rPr>
          <w:rFonts w:cs="Arial"/>
          <w:szCs w:val="24"/>
        </w:rPr>
        <w:t xml:space="preserve"> </w:t>
      </w:r>
      <w:r w:rsidR="003803B6" w:rsidRPr="00AB52EE">
        <w:rPr>
          <w:rFonts w:cs="Arial"/>
          <w:szCs w:val="24"/>
        </w:rPr>
        <w:t xml:space="preserve">Sheriff to </w:t>
      </w:r>
      <w:r w:rsidR="00D32FED" w:rsidRPr="00AB52EE">
        <w:rPr>
          <w:rFonts w:cs="Arial"/>
          <w:szCs w:val="24"/>
        </w:rPr>
        <w:t xml:space="preserve">return, destroy or delete any documents or electronic files attached </w:t>
      </w:r>
      <w:r w:rsidR="003803B6" w:rsidRPr="00AB52EE">
        <w:rPr>
          <w:rFonts w:cs="Arial"/>
          <w:szCs w:val="24"/>
        </w:rPr>
        <w:t>pursuant to these portions of the order.</w:t>
      </w:r>
    </w:p>
    <w:p w14:paraId="2451F3D7" w14:textId="259C7FA2" w:rsidR="0097498D" w:rsidRPr="00AB52EE" w:rsidRDefault="00AB2F36" w:rsidP="007A27ED">
      <w:pPr>
        <w:pStyle w:val="LC1"/>
        <w:rPr>
          <w:rFonts w:cs="Arial"/>
          <w:szCs w:val="24"/>
        </w:rPr>
      </w:pPr>
      <w:r w:rsidRPr="00AB52EE">
        <w:rPr>
          <w:rFonts w:cs="Arial"/>
          <w:szCs w:val="24"/>
          <w:lang w:eastAsia="en-ZA"/>
        </w:rPr>
        <w:t xml:space="preserve">For the rest, </w:t>
      </w:r>
      <w:r w:rsidR="00082032" w:rsidRPr="00AB52EE">
        <w:rPr>
          <w:rFonts w:cs="Arial"/>
          <w:szCs w:val="24"/>
          <w:lang w:eastAsia="en-ZA"/>
        </w:rPr>
        <w:t>Supercart bas</w:t>
      </w:r>
      <w:r w:rsidR="00B55FF2" w:rsidRPr="00AB52EE">
        <w:rPr>
          <w:rFonts w:cs="Arial"/>
          <w:szCs w:val="24"/>
          <w:lang w:eastAsia="en-ZA"/>
        </w:rPr>
        <w:t>e</w:t>
      </w:r>
      <w:r w:rsidR="00082032" w:rsidRPr="00AB52EE">
        <w:rPr>
          <w:rFonts w:cs="Arial"/>
          <w:szCs w:val="24"/>
          <w:lang w:eastAsia="en-ZA"/>
        </w:rPr>
        <w:t xml:space="preserve">s its case </w:t>
      </w:r>
      <w:r w:rsidR="007D25F1" w:rsidRPr="00AB52EE">
        <w:rPr>
          <w:rFonts w:cs="Arial"/>
          <w:szCs w:val="24"/>
          <w:lang w:eastAsia="en-ZA"/>
        </w:rPr>
        <w:t xml:space="preserve">relating to the third </w:t>
      </w:r>
      <w:r w:rsidR="00AE3177" w:rsidRPr="00AB52EE">
        <w:rPr>
          <w:rFonts w:cs="Arial"/>
          <w:szCs w:val="24"/>
          <w:lang w:eastAsia="en-ZA"/>
        </w:rPr>
        <w:t xml:space="preserve">threshold </w:t>
      </w:r>
      <w:r w:rsidR="007D25F1" w:rsidRPr="00AB52EE">
        <w:rPr>
          <w:rFonts w:cs="Arial"/>
          <w:szCs w:val="24"/>
          <w:lang w:eastAsia="en-ZA"/>
        </w:rPr>
        <w:t xml:space="preserve">requirement on </w:t>
      </w:r>
      <w:r w:rsidR="00FE5100" w:rsidRPr="00AB52EE">
        <w:rPr>
          <w:rFonts w:cs="Arial"/>
          <w:szCs w:val="24"/>
          <w:lang w:eastAsia="en-ZA"/>
        </w:rPr>
        <w:t>the contention that</w:t>
      </w:r>
      <w:r w:rsidR="008D5BCB" w:rsidRPr="00AB52EE">
        <w:rPr>
          <w:rFonts w:cs="Arial"/>
          <w:szCs w:val="24"/>
          <w:lang w:eastAsia="en-ZA"/>
        </w:rPr>
        <w:t xml:space="preserve"> </w:t>
      </w:r>
      <w:r w:rsidR="008D5BCB" w:rsidRPr="00AB52EE">
        <w:rPr>
          <w:rFonts w:cs="Arial"/>
          <w:szCs w:val="24"/>
        </w:rPr>
        <w:t xml:space="preserve">Mr Case has “markedly” and intentionally “misled the Court” and been deceptive (i.e. dishonest) in his answering affidavit in the contempt application in a number of respects. </w:t>
      </w:r>
      <w:r w:rsidR="007D25F1" w:rsidRPr="00AB52EE">
        <w:rPr>
          <w:rFonts w:cs="Arial"/>
          <w:szCs w:val="24"/>
          <w:lang w:eastAsia="en-ZA"/>
        </w:rPr>
        <w:t xml:space="preserve">In evaluating this claim (of which there is no direct evidence), </w:t>
      </w:r>
      <w:r w:rsidR="008D5BCB" w:rsidRPr="00AB52EE">
        <w:rPr>
          <w:rFonts w:cs="Arial"/>
          <w:szCs w:val="24"/>
          <w:lang w:eastAsia="en-ZA"/>
        </w:rPr>
        <w:t xml:space="preserve">I am required to adopt the </w:t>
      </w:r>
      <w:r w:rsidR="007D25F1" w:rsidRPr="00AB52EE">
        <w:rPr>
          <w:rFonts w:cs="Arial"/>
          <w:szCs w:val="24"/>
        </w:rPr>
        <w:t xml:space="preserve">standard approach to </w:t>
      </w:r>
      <w:r w:rsidR="007D25F1" w:rsidRPr="00AB52EE">
        <w:rPr>
          <w:rFonts w:cs="Arial"/>
          <w:szCs w:val="24"/>
        </w:rPr>
        <w:lastRenderedPageBreak/>
        <w:t>inferential reasoning</w:t>
      </w:r>
      <w:r w:rsidR="00BE06BF" w:rsidRPr="00AB52EE">
        <w:rPr>
          <w:rFonts w:cs="Arial"/>
          <w:szCs w:val="24"/>
        </w:rPr>
        <w:t>.</w:t>
      </w:r>
      <w:r w:rsidR="007D25F1" w:rsidRPr="00AB52EE">
        <w:rPr>
          <w:rStyle w:val="FootnoteReference"/>
          <w:szCs w:val="24"/>
        </w:rPr>
        <w:footnoteReference w:id="98"/>
      </w:r>
    </w:p>
    <w:p w14:paraId="28C1D29E" w14:textId="4B8DBAAF" w:rsidR="00FE5100" w:rsidRPr="00AB52EE" w:rsidRDefault="001A652F" w:rsidP="007A27ED">
      <w:pPr>
        <w:pStyle w:val="LC1"/>
        <w:rPr>
          <w:rFonts w:cs="Arial"/>
          <w:szCs w:val="24"/>
        </w:rPr>
      </w:pPr>
      <w:r w:rsidRPr="00AB52EE">
        <w:rPr>
          <w:rFonts w:cs="Arial"/>
          <w:szCs w:val="24"/>
        </w:rPr>
        <w:t xml:space="preserve">In </w:t>
      </w:r>
      <w:r w:rsidR="00FE5100" w:rsidRPr="00AB52EE">
        <w:rPr>
          <w:rFonts w:cs="Arial"/>
          <w:szCs w:val="24"/>
        </w:rPr>
        <w:t xml:space="preserve">my view, the debate over </w:t>
      </w:r>
      <w:r w:rsidRPr="00AB52EE">
        <w:rPr>
          <w:rFonts w:cs="Arial"/>
          <w:szCs w:val="24"/>
        </w:rPr>
        <w:t xml:space="preserve">whether </w:t>
      </w:r>
      <w:r w:rsidR="00FE5100" w:rsidRPr="00AB52EE">
        <w:rPr>
          <w:rFonts w:cs="Arial"/>
          <w:szCs w:val="24"/>
        </w:rPr>
        <w:t>Mr Case</w:t>
      </w:r>
      <w:r w:rsidRPr="00AB52EE">
        <w:rPr>
          <w:rFonts w:cs="Arial"/>
          <w:szCs w:val="24"/>
        </w:rPr>
        <w:t xml:space="preserve"> lied when he made the </w:t>
      </w:r>
      <w:r w:rsidR="00FE5100" w:rsidRPr="00AB52EE">
        <w:rPr>
          <w:rFonts w:cs="Arial"/>
          <w:szCs w:val="24"/>
        </w:rPr>
        <w:t xml:space="preserve">statement that Mr Botes is “young and experienced” </w:t>
      </w:r>
      <w:r w:rsidR="00AB2F36" w:rsidRPr="00AB52EE">
        <w:rPr>
          <w:rFonts w:cs="Arial"/>
          <w:szCs w:val="24"/>
        </w:rPr>
        <w:t xml:space="preserve">and whether that </w:t>
      </w:r>
      <w:r w:rsidR="00FE5100" w:rsidRPr="00AB52EE">
        <w:rPr>
          <w:rFonts w:cs="Arial"/>
          <w:szCs w:val="24"/>
        </w:rPr>
        <w:t>adequately explains why he breached the court order is insufficient to establish a real and well-founded apprehension that the evidence may be hidden or destroyed is simply a matter of opinion.</w:t>
      </w:r>
      <w:r w:rsidR="00423F3D" w:rsidRPr="00AB52EE">
        <w:rPr>
          <w:rFonts w:cs="Arial"/>
          <w:szCs w:val="24"/>
        </w:rPr>
        <w:t xml:space="preserve"> </w:t>
      </w:r>
      <w:r w:rsidR="0028371F" w:rsidRPr="00AB52EE">
        <w:rPr>
          <w:rFonts w:cs="Arial"/>
          <w:szCs w:val="24"/>
        </w:rPr>
        <w:t xml:space="preserve">Even if it were to be accepted that Mr Botes is in his forties as Mr Wolfe alleges (the affidavit of </w:t>
      </w:r>
      <w:r w:rsidR="00720427">
        <w:rPr>
          <w:rFonts w:cs="Arial"/>
          <w:szCs w:val="24"/>
        </w:rPr>
        <w:t xml:space="preserve">Ms </w:t>
      </w:r>
      <w:r w:rsidR="0028371F" w:rsidRPr="00AB52EE">
        <w:rPr>
          <w:rFonts w:cs="Arial"/>
          <w:szCs w:val="24"/>
        </w:rPr>
        <w:t>Bloch</w:t>
      </w:r>
      <w:r w:rsidR="00B11FA7">
        <w:rPr>
          <w:rFonts w:cs="Arial"/>
          <w:szCs w:val="24"/>
        </w:rPr>
        <w:t>, the other supervising attorney,</w:t>
      </w:r>
      <w:r w:rsidR="0028371F" w:rsidRPr="00AB52EE">
        <w:rPr>
          <w:rFonts w:cs="Arial"/>
          <w:szCs w:val="24"/>
        </w:rPr>
        <w:t xml:space="preserve"> indicates that Mr Botes stated in her presence that he was 31 at the time of the search), i</w:t>
      </w:r>
      <w:r w:rsidR="00FE5100" w:rsidRPr="00AB52EE">
        <w:rPr>
          <w:rFonts w:cs="Arial"/>
          <w:szCs w:val="24"/>
        </w:rPr>
        <w:t>t is a truism that youth and experience are not a function of age</w:t>
      </w:r>
      <w:r w:rsidR="00423F3D" w:rsidRPr="00AB52EE">
        <w:rPr>
          <w:rFonts w:cs="Arial"/>
          <w:szCs w:val="24"/>
        </w:rPr>
        <w:t xml:space="preserve"> and</w:t>
      </w:r>
      <w:r w:rsidR="00FE5100" w:rsidRPr="00AB52EE">
        <w:rPr>
          <w:rFonts w:cs="Arial"/>
          <w:szCs w:val="24"/>
        </w:rPr>
        <w:t xml:space="preserve"> </w:t>
      </w:r>
      <w:r w:rsidR="008D5BCB" w:rsidRPr="00AB52EE">
        <w:rPr>
          <w:rFonts w:cs="Arial"/>
          <w:szCs w:val="24"/>
        </w:rPr>
        <w:t xml:space="preserve">that </w:t>
      </w:r>
      <w:r w:rsidR="00423F3D" w:rsidRPr="00AB52EE">
        <w:rPr>
          <w:rFonts w:cs="Arial"/>
          <w:szCs w:val="24"/>
        </w:rPr>
        <w:t>e</w:t>
      </w:r>
      <w:r w:rsidR="00FE5100" w:rsidRPr="00AB52EE">
        <w:rPr>
          <w:rFonts w:cs="Arial"/>
          <w:szCs w:val="24"/>
        </w:rPr>
        <w:t>xperience, in particular, depend</w:t>
      </w:r>
      <w:r w:rsidR="00423F3D" w:rsidRPr="00AB52EE">
        <w:rPr>
          <w:rFonts w:cs="Arial"/>
          <w:szCs w:val="24"/>
        </w:rPr>
        <w:t>s</w:t>
      </w:r>
      <w:r w:rsidR="00FE5100" w:rsidRPr="00AB52EE">
        <w:rPr>
          <w:rFonts w:cs="Arial"/>
          <w:szCs w:val="24"/>
        </w:rPr>
        <w:t xml:space="preserve"> on </w:t>
      </w:r>
      <w:r w:rsidR="009D36BB">
        <w:rPr>
          <w:rFonts w:cs="Arial"/>
          <w:szCs w:val="24"/>
        </w:rPr>
        <w:t xml:space="preserve">the </w:t>
      </w:r>
      <w:r w:rsidR="00FE5100" w:rsidRPr="00AB52EE">
        <w:rPr>
          <w:rFonts w:cs="Arial"/>
          <w:szCs w:val="24"/>
        </w:rPr>
        <w:t xml:space="preserve">kind of experience </w:t>
      </w:r>
      <w:r w:rsidR="009D36BB">
        <w:rPr>
          <w:rFonts w:cs="Arial"/>
          <w:szCs w:val="24"/>
        </w:rPr>
        <w:t xml:space="preserve">that </w:t>
      </w:r>
      <w:r w:rsidR="00FE5100" w:rsidRPr="00AB52EE">
        <w:rPr>
          <w:rFonts w:cs="Arial"/>
          <w:szCs w:val="24"/>
        </w:rPr>
        <w:t xml:space="preserve">is in issue. The only meaningful conclusion that I can draw from the fact that that Mr Botes has been Vanesco’s sales manager “for many years” (albeit that the precise number of years is not </w:t>
      </w:r>
      <w:r w:rsidR="006271A3" w:rsidRPr="00AB52EE">
        <w:rPr>
          <w:rFonts w:cs="Arial"/>
          <w:szCs w:val="24"/>
        </w:rPr>
        <w:t>stated</w:t>
      </w:r>
      <w:r w:rsidR="00FE5100" w:rsidRPr="00AB52EE">
        <w:rPr>
          <w:rFonts w:cs="Arial"/>
          <w:szCs w:val="24"/>
        </w:rPr>
        <w:t xml:space="preserve">, and is something less than 10) is that he is an experienced sales manager. That tells </w:t>
      </w:r>
      <w:r w:rsidR="008D5BCB" w:rsidRPr="00AB52EE">
        <w:rPr>
          <w:rFonts w:cs="Arial"/>
          <w:szCs w:val="24"/>
        </w:rPr>
        <w:t xml:space="preserve">one </w:t>
      </w:r>
      <w:r w:rsidR="00FE5100" w:rsidRPr="00AB52EE">
        <w:rPr>
          <w:rFonts w:cs="Arial"/>
          <w:szCs w:val="24"/>
        </w:rPr>
        <w:t>little about his experience of the likely content of court orders</w:t>
      </w:r>
      <w:r w:rsidR="008D5BCB" w:rsidRPr="00AB52EE">
        <w:rPr>
          <w:rFonts w:cs="Arial"/>
          <w:szCs w:val="24"/>
        </w:rPr>
        <w:t xml:space="preserve"> containing interim interdicts</w:t>
      </w:r>
      <w:r w:rsidR="00FE5100" w:rsidRPr="00AB52EE">
        <w:rPr>
          <w:rFonts w:cs="Arial"/>
          <w:szCs w:val="24"/>
        </w:rPr>
        <w:t xml:space="preserve">, which is really what </w:t>
      </w:r>
      <w:r w:rsidR="008D5BCB" w:rsidRPr="00AB52EE">
        <w:rPr>
          <w:rFonts w:cs="Arial"/>
          <w:szCs w:val="24"/>
        </w:rPr>
        <w:t xml:space="preserve">is necessary </w:t>
      </w:r>
      <w:r w:rsidR="00FE5100" w:rsidRPr="00AB52EE">
        <w:rPr>
          <w:rFonts w:cs="Arial"/>
          <w:szCs w:val="24"/>
        </w:rPr>
        <w:t>to consider in this instance</w:t>
      </w:r>
      <w:r w:rsidR="008D5BCB" w:rsidRPr="00AB52EE">
        <w:rPr>
          <w:rFonts w:cs="Arial"/>
          <w:szCs w:val="24"/>
        </w:rPr>
        <w:t>.</w:t>
      </w:r>
      <w:r w:rsidR="00FE5100" w:rsidRPr="00AB52EE">
        <w:rPr>
          <w:rFonts w:cs="Arial"/>
          <w:szCs w:val="24"/>
        </w:rPr>
        <w:t xml:space="preserve"> </w:t>
      </w:r>
    </w:p>
    <w:p w14:paraId="3CD140DD" w14:textId="3E5A059B" w:rsidR="00976793" w:rsidRPr="00AB52EE" w:rsidRDefault="00423F3D" w:rsidP="00976793">
      <w:pPr>
        <w:pStyle w:val="LC1"/>
        <w:rPr>
          <w:rFonts w:cs="Arial"/>
          <w:szCs w:val="24"/>
        </w:rPr>
      </w:pPr>
      <w:r w:rsidRPr="00AB52EE">
        <w:rPr>
          <w:rFonts w:cs="Arial"/>
          <w:szCs w:val="24"/>
        </w:rPr>
        <w:t xml:space="preserve">Mr Wolfe </w:t>
      </w:r>
      <w:r w:rsidR="008D5BCB" w:rsidRPr="00AB52EE">
        <w:rPr>
          <w:rFonts w:cs="Arial"/>
          <w:szCs w:val="24"/>
        </w:rPr>
        <w:t xml:space="preserve">furthermore alleges </w:t>
      </w:r>
      <w:r w:rsidR="00BE06BF" w:rsidRPr="00AB52EE">
        <w:rPr>
          <w:rFonts w:cs="Arial"/>
          <w:szCs w:val="24"/>
        </w:rPr>
        <w:t xml:space="preserve">in </w:t>
      </w:r>
      <w:r w:rsidR="008D5BCB" w:rsidRPr="00AB52EE">
        <w:rPr>
          <w:rFonts w:cs="Arial"/>
          <w:szCs w:val="24"/>
        </w:rPr>
        <w:t xml:space="preserve">his founding affidavit in the </w:t>
      </w:r>
      <w:r w:rsidR="00BE06BF" w:rsidRPr="00AB52EE">
        <w:rPr>
          <w:rFonts w:cs="Arial"/>
          <w:i/>
          <w:iCs/>
          <w:szCs w:val="24"/>
        </w:rPr>
        <w:t xml:space="preserve">Anton Piller </w:t>
      </w:r>
      <w:r w:rsidR="008D5BCB" w:rsidRPr="00AB52EE">
        <w:rPr>
          <w:rFonts w:cs="Arial"/>
          <w:szCs w:val="24"/>
        </w:rPr>
        <w:t xml:space="preserve">application that Mr Case’s account of the trolleys manufactured and disposed of by Vanesco </w:t>
      </w:r>
      <w:r w:rsidR="00AE3B5A">
        <w:rPr>
          <w:rFonts w:cs="Arial"/>
          <w:szCs w:val="24"/>
        </w:rPr>
        <w:t xml:space="preserve">on or </w:t>
      </w:r>
      <w:r w:rsidR="008D5BCB" w:rsidRPr="00AB52EE">
        <w:rPr>
          <w:rFonts w:cs="Arial"/>
          <w:szCs w:val="24"/>
        </w:rPr>
        <w:t>after 2</w:t>
      </w:r>
      <w:r w:rsidR="00AE3B5A">
        <w:rPr>
          <w:rFonts w:cs="Arial"/>
          <w:szCs w:val="24"/>
        </w:rPr>
        <w:t>4</w:t>
      </w:r>
      <w:r w:rsidR="008D5BCB" w:rsidRPr="00AB52EE">
        <w:rPr>
          <w:rFonts w:cs="Arial"/>
          <w:szCs w:val="24"/>
        </w:rPr>
        <w:t xml:space="preserve"> May 2021 is false, as it is “anything but complete and comprehensive”</w:t>
      </w:r>
      <w:r w:rsidR="000A28CE" w:rsidRPr="00AB52EE">
        <w:rPr>
          <w:rFonts w:cs="Arial"/>
          <w:szCs w:val="24"/>
        </w:rPr>
        <w:t>.</w:t>
      </w:r>
      <w:r w:rsidR="00AE3B5A">
        <w:rPr>
          <w:rFonts w:cs="Arial"/>
          <w:szCs w:val="24"/>
        </w:rPr>
        <w:t xml:space="preserve"> </w:t>
      </w:r>
      <w:r w:rsidR="001A652F" w:rsidRPr="00AB52EE">
        <w:rPr>
          <w:rFonts w:cs="Arial"/>
          <w:szCs w:val="24"/>
        </w:rPr>
        <w:t xml:space="preserve">In support of this, he has undertaken what he characterises as an “audit” of </w:t>
      </w:r>
      <w:r w:rsidR="009D36BB">
        <w:rPr>
          <w:rFonts w:cs="Arial"/>
          <w:szCs w:val="24"/>
        </w:rPr>
        <w:t xml:space="preserve">Mr Case’s </w:t>
      </w:r>
      <w:r w:rsidR="00976793" w:rsidRPr="00AB52EE">
        <w:rPr>
          <w:rFonts w:cs="Arial"/>
          <w:szCs w:val="24"/>
        </w:rPr>
        <w:t>bundle of documents (A3)</w:t>
      </w:r>
      <w:r w:rsidR="009D36BB">
        <w:rPr>
          <w:rFonts w:cs="Arial"/>
          <w:szCs w:val="24"/>
        </w:rPr>
        <w:t>.</w:t>
      </w:r>
    </w:p>
    <w:p w14:paraId="5ABC4FFE" w14:textId="1587F7DD" w:rsidR="001A652F" w:rsidRPr="00AB52EE" w:rsidRDefault="00976793" w:rsidP="007A27ED">
      <w:pPr>
        <w:pStyle w:val="LC1"/>
        <w:rPr>
          <w:rFonts w:cs="Arial"/>
          <w:szCs w:val="24"/>
        </w:rPr>
      </w:pPr>
      <w:r w:rsidRPr="00AB52EE">
        <w:rPr>
          <w:rFonts w:cs="Arial"/>
          <w:szCs w:val="24"/>
        </w:rPr>
        <w:t xml:space="preserve">The </w:t>
      </w:r>
      <w:r w:rsidR="009D36BB">
        <w:rPr>
          <w:rFonts w:cs="Arial"/>
          <w:szCs w:val="24"/>
        </w:rPr>
        <w:t xml:space="preserve">bundle contains a </w:t>
      </w:r>
      <w:r w:rsidRPr="00AB52EE">
        <w:rPr>
          <w:rFonts w:cs="Arial"/>
          <w:szCs w:val="24"/>
        </w:rPr>
        <w:t>“</w:t>
      </w:r>
      <w:r w:rsidR="001A652F" w:rsidRPr="00AB52EE">
        <w:rPr>
          <w:rFonts w:cs="Arial"/>
          <w:szCs w:val="24"/>
        </w:rPr>
        <w:t>summary sheet</w:t>
      </w:r>
      <w:r w:rsidRPr="00AB52EE">
        <w:rPr>
          <w:rFonts w:cs="Arial"/>
          <w:szCs w:val="24"/>
        </w:rPr>
        <w:t>”</w:t>
      </w:r>
      <w:r w:rsidR="001A652F" w:rsidRPr="00AB52EE">
        <w:rPr>
          <w:rFonts w:cs="Arial"/>
          <w:szCs w:val="24"/>
        </w:rPr>
        <w:t xml:space="preserve"> </w:t>
      </w:r>
      <w:r w:rsidR="009D36BB">
        <w:rPr>
          <w:rFonts w:cs="Arial"/>
          <w:szCs w:val="24"/>
        </w:rPr>
        <w:t xml:space="preserve">identifying </w:t>
      </w:r>
      <w:r w:rsidR="001A652F" w:rsidRPr="00AB52EE">
        <w:rPr>
          <w:rFonts w:cs="Arial"/>
          <w:szCs w:val="24"/>
        </w:rPr>
        <w:t xml:space="preserve">sales between 24 May 2021 </w:t>
      </w:r>
      <w:r w:rsidR="001A652F" w:rsidRPr="00AB52EE">
        <w:rPr>
          <w:rFonts w:cs="Arial"/>
          <w:szCs w:val="24"/>
        </w:rPr>
        <w:lastRenderedPageBreak/>
        <w:t>and 5 August 2021 totalling 635 Hybrid 90 litre trolleys, which</w:t>
      </w:r>
      <w:r w:rsidR="009D36BB">
        <w:rPr>
          <w:rFonts w:cs="Arial"/>
          <w:szCs w:val="24"/>
        </w:rPr>
        <w:t xml:space="preserve"> </w:t>
      </w:r>
      <w:r w:rsidR="001A652F" w:rsidRPr="00AB52EE">
        <w:rPr>
          <w:rFonts w:cs="Arial"/>
          <w:szCs w:val="24"/>
        </w:rPr>
        <w:t xml:space="preserve">Mr Case describes as having been extracted from “the relevant orders, delivery notes and invoices, suitably redacted”, which were also included in the bundle. </w:t>
      </w:r>
      <w:r w:rsidR="00ED4C55" w:rsidRPr="00AB52EE">
        <w:rPr>
          <w:rFonts w:cs="Arial"/>
          <w:szCs w:val="24"/>
        </w:rPr>
        <w:t xml:space="preserve">The facts that Mr Wolfe has gleaned from his “audit”, and </w:t>
      </w:r>
      <w:r w:rsidR="009D36BB">
        <w:rPr>
          <w:rFonts w:cs="Arial"/>
          <w:szCs w:val="24"/>
        </w:rPr>
        <w:t xml:space="preserve">my </w:t>
      </w:r>
      <w:r w:rsidR="00ED4C55" w:rsidRPr="00AB52EE">
        <w:rPr>
          <w:rFonts w:cs="Arial"/>
          <w:szCs w:val="24"/>
        </w:rPr>
        <w:t xml:space="preserve">conclusions regarding the </w:t>
      </w:r>
      <w:r w:rsidR="001A652F" w:rsidRPr="00AB52EE">
        <w:rPr>
          <w:rFonts w:cs="Arial"/>
          <w:szCs w:val="24"/>
        </w:rPr>
        <w:t xml:space="preserve">inferences </w:t>
      </w:r>
      <w:r w:rsidR="009D36BB">
        <w:rPr>
          <w:rFonts w:cs="Arial"/>
          <w:szCs w:val="24"/>
        </w:rPr>
        <w:t xml:space="preserve">of dishonesty </w:t>
      </w:r>
      <w:r w:rsidR="001A652F" w:rsidRPr="00AB52EE">
        <w:rPr>
          <w:rFonts w:cs="Arial"/>
          <w:szCs w:val="24"/>
        </w:rPr>
        <w:t xml:space="preserve">that </w:t>
      </w:r>
      <w:r w:rsidR="00ED4C55" w:rsidRPr="00AB52EE">
        <w:rPr>
          <w:rFonts w:cs="Arial"/>
          <w:szCs w:val="24"/>
        </w:rPr>
        <w:t xml:space="preserve">he </w:t>
      </w:r>
      <w:r w:rsidR="001A652F" w:rsidRPr="00AB52EE">
        <w:rPr>
          <w:rFonts w:cs="Arial"/>
          <w:szCs w:val="24"/>
        </w:rPr>
        <w:t xml:space="preserve">seeks to draw from them </w:t>
      </w:r>
      <w:r w:rsidR="009D36BB">
        <w:rPr>
          <w:rFonts w:cs="Arial"/>
          <w:szCs w:val="24"/>
        </w:rPr>
        <w:t xml:space="preserve">are </w:t>
      </w:r>
      <w:r w:rsidR="00ED4C55" w:rsidRPr="00AB52EE">
        <w:rPr>
          <w:rFonts w:cs="Arial"/>
          <w:szCs w:val="24"/>
        </w:rPr>
        <w:t>the following:</w:t>
      </w:r>
    </w:p>
    <w:p w14:paraId="2F229779" w14:textId="6BE32327" w:rsidR="001A652F" w:rsidRPr="00AB52EE" w:rsidRDefault="00892086" w:rsidP="007A27ED">
      <w:pPr>
        <w:pStyle w:val="LC2"/>
        <w:rPr>
          <w:rFonts w:cs="Arial"/>
          <w:szCs w:val="24"/>
        </w:rPr>
      </w:pPr>
      <w:r w:rsidRPr="00AB52EE">
        <w:rPr>
          <w:rFonts w:cs="Arial"/>
          <w:szCs w:val="24"/>
        </w:rPr>
        <w:t>F</w:t>
      </w:r>
      <w:r w:rsidR="001A652F" w:rsidRPr="00AB52EE">
        <w:rPr>
          <w:rFonts w:cs="Arial"/>
          <w:szCs w:val="24"/>
        </w:rPr>
        <w:t xml:space="preserve">irstly, </w:t>
      </w:r>
      <w:r w:rsidR="00F77C38" w:rsidRPr="00AB52EE">
        <w:rPr>
          <w:rFonts w:cs="Arial"/>
          <w:szCs w:val="24"/>
        </w:rPr>
        <w:t xml:space="preserve">Mr Wolfe notes that </w:t>
      </w:r>
      <w:r w:rsidR="001A652F" w:rsidRPr="00AB52EE">
        <w:rPr>
          <w:rFonts w:cs="Arial"/>
          <w:szCs w:val="24"/>
        </w:rPr>
        <w:t xml:space="preserve">whereas the </w:t>
      </w:r>
      <w:r w:rsidR="00976793" w:rsidRPr="00AB52EE">
        <w:rPr>
          <w:rFonts w:cs="Arial"/>
          <w:szCs w:val="24"/>
        </w:rPr>
        <w:t xml:space="preserve">summary </w:t>
      </w:r>
      <w:r w:rsidR="001A652F" w:rsidRPr="00AB52EE">
        <w:rPr>
          <w:rFonts w:cs="Arial"/>
          <w:szCs w:val="24"/>
        </w:rPr>
        <w:t xml:space="preserve">sheet records the delivery by Vanesco to Mega Super Spar of 50 Hybrid 90 litre trolleys on 5 August 2021 under an invoice and delivery note that both reference a quotation (RP12128, which is not included in the bundle), the bundle does include a quotation (RP12243) issued by Vanesco to Mega Super Spar on 19 July 2021 for 50 Hybrid 90 litre trolleys in respect of which there is no delivery note or invoice, and which does not appear to correspond with any other delivery recorded on the </w:t>
      </w:r>
      <w:r w:rsidR="00976793" w:rsidRPr="00AB52EE">
        <w:rPr>
          <w:rFonts w:cs="Arial"/>
          <w:szCs w:val="24"/>
        </w:rPr>
        <w:t xml:space="preserve">summary </w:t>
      </w:r>
      <w:r w:rsidR="001A652F" w:rsidRPr="00AB52EE">
        <w:rPr>
          <w:rFonts w:cs="Arial"/>
          <w:szCs w:val="24"/>
        </w:rPr>
        <w:t xml:space="preserve">sheet. </w:t>
      </w:r>
      <w:r w:rsidR="00F77C38" w:rsidRPr="00AB52EE">
        <w:rPr>
          <w:rFonts w:cs="Arial"/>
          <w:szCs w:val="24"/>
        </w:rPr>
        <w:t xml:space="preserve">Even though </w:t>
      </w:r>
      <w:r w:rsidR="001A652F" w:rsidRPr="00AB52EE">
        <w:rPr>
          <w:rFonts w:cs="Arial"/>
          <w:szCs w:val="24"/>
        </w:rPr>
        <w:t>Mr Wolf himself contemplates that there may be an innocent explanation for this, namely that it was a quotation that “was not completed into an order”</w:t>
      </w:r>
      <w:r w:rsidR="00F77C38" w:rsidRPr="00AB52EE">
        <w:rPr>
          <w:rFonts w:cs="Arial"/>
          <w:szCs w:val="24"/>
        </w:rPr>
        <w:t>,</w:t>
      </w:r>
      <w:r w:rsidR="001A652F" w:rsidRPr="00AB52EE">
        <w:rPr>
          <w:rFonts w:cs="Arial"/>
          <w:szCs w:val="24"/>
        </w:rPr>
        <w:t xml:space="preserve"> </w:t>
      </w:r>
      <w:r w:rsidR="00F77C38" w:rsidRPr="00AB52EE">
        <w:rPr>
          <w:rFonts w:cs="Arial"/>
          <w:szCs w:val="24"/>
        </w:rPr>
        <w:t xml:space="preserve">he </w:t>
      </w:r>
      <w:r w:rsidR="001A652F" w:rsidRPr="00AB52EE">
        <w:rPr>
          <w:rFonts w:cs="Arial"/>
          <w:szCs w:val="24"/>
        </w:rPr>
        <w:t>reject</w:t>
      </w:r>
      <w:r w:rsidR="00F77C38" w:rsidRPr="00AB52EE">
        <w:rPr>
          <w:rFonts w:cs="Arial"/>
          <w:szCs w:val="24"/>
        </w:rPr>
        <w:t>s</w:t>
      </w:r>
      <w:r w:rsidR="001A652F" w:rsidRPr="00AB52EE">
        <w:rPr>
          <w:rFonts w:cs="Arial"/>
          <w:szCs w:val="24"/>
        </w:rPr>
        <w:t xml:space="preserve"> this possibility on the basis that is unlikely that Mr Case would have included an irrelevant document in the bundle</w:t>
      </w:r>
      <w:r w:rsidR="00BE06BF" w:rsidRPr="00AB52EE">
        <w:rPr>
          <w:rFonts w:cs="Arial"/>
          <w:szCs w:val="24"/>
        </w:rPr>
        <w:t>.</w:t>
      </w:r>
      <w:r w:rsidR="001A652F" w:rsidRPr="00AB52EE">
        <w:rPr>
          <w:rFonts w:cs="Arial"/>
          <w:szCs w:val="24"/>
        </w:rPr>
        <w:t xml:space="preserve"> </w:t>
      </w:r>
      <w:r w:rsidR="00BE06BF" w:rsidRPr="00AB52EE">
        <w:rPr>
          <w:rFonts w:cs="Arial"/>
          <w:szCs w:val="24"/>
        </w:rPr>
        <w:t>H</w:t>
      </w:r>
      <w:r w:rsidR="001A652F" w:rsidRPr="00AB52EE">
        <w:rPr>
          <w:rFonts w:cs="Arial"/>
          <w:szCs w:val="24"/>
        </w:rPr>
        <w:t xml:space="preserve">is conclusion that it is “far more likely” there was a further delivery of 50 trolleys, is a “straw man” argument. It </w:t>
      </w:r>
      <w:r w:rsidR="00D459DA" w:rsidRPr="00AB52EE">
        <w:rPr>
          <w:rFonts w:cs="Arial"/>
          <w:szCs w:val="24"/>
        </w:rPr>
        <w:t xml:space="preserve">occurs </w:t>
      </w:r>
      <w:r w:rsidR="001A652F" w:rsidRPr="00AB52EE">
        <w:rPr>
          <w:rFonts w:cs="Arial"/>
          <w:szCs w:val="24"/>
        </w:rPr>
        <w:t xml:space="preserve">to me that at least two alternative inferences could be drawn that are consistent with quote RP12243 indeed being the relevant document, namely (i) that the inclusion of the reference to quote RP12128 in the invoice and delivery note was a simple administrative error (they appear to have been produced on the same date); or (ii) that two quotations were indeed produced in the course </w:t>
      </w:r>
      <w:r w:rsidR="001A652F" w:rsidRPr="00AB52EE">
        <w:rPr>
          <w:rFonts w:cs="Arial"/>
          <w:szCs w:val="24"/>
        </w:rPr>
        <w:lastRenderedPageBreak/>
        <w:t>of negotiations, and while the first (RP12128) was rejected, it had been the one recorded in Vanesco’s systems at the outset, whereas the second (RP12243) had not been so recorded by the time that the invoice and delivery note were produced.</w:t>
      </w:r>
    </w:p>
    <w:p w14:paraId="47BF7D6D" w14:textId="7138BF8E" w:rsidR="001A652F" w:rsidRPr="00AB52EE" w:rsidRDefault="00892086" w:rsidP="007A27ED">
      <w:pPr>
        <w:pStyle w:val="LC2"/>
        <w:rPr>
          <w:rFonts w:cs="Arial"/>
          <w:szCs w:val="24"/>
        </w:rPr>
      </w:pPr>
      <w:r w:rsidRPr="00AB52EE">
        <w:rPr>
          <w:rFonts w:cs="Arial"/>
          <w:szCs w:val="24"/>
        </w:rPr>
        <w:t xml:space="preserve">Secondly, </w:t>
      </w:r>
      <w:r w:rsidR="00BE06BF" w:rsidRPr="00AB52EE">
        <w:rPr>
          <w:rFonts w:cs="Arial"/>
          <w:szCs w:val="24"/>
        </w:rPr>
        <w:t xml:space="preserve">Mr Wolfe notes that </w:t>
      </w:r>
      <w:r w:rsidR="001A652F" w:rsidRPr="00AB52EE">
        <w:rPr>
          <w:rFonts w:cs="Arial"/>
          <w:szCs w:val="24"/>
        </w:rPr>
        <w:t xml:space="preserve">whereas the bundle includes a purchase order issued by Trolley Quip in August 2020 (i.e. before the interim interdict was granted) for 2,000 Hybrid 90 litre trolleys the </w:t>
      </w:r>
      <w:r w:rsidR="00976793" w:rsidRPr="00AB52EE">
        <w:rPr>
          <w:rFonts w:cs="Arial"/>
          <w:szCs w:val="24"/>
        </w:rPr>
        <w:t xml:space="preserve">summary </w:t>
      </w:r>
      <w:r w:rsidR="001A652F" w:rsidRPr="00AB52EE">
        <w:rPr>
          <w:rFonts w:cs="Arial"/>
          <w:szCs w:val="24"/>
        </w:rPr>
        <w:t xml:space="preserve">sheet only identifies deliveries of 105 such trolleys to Trolley Quip between 24 May 2021 and 5 August 2021. </w:t>
      </w:r>
      <w:r w:rsidRPr="00AB52EE">
        <w:rPr>
          <w:rFonts w:cs="Arial"/>
          <w:szCs w:val="24"/>
        </w:rPr>
        <w:t xml:space="preserve">Mr Wolfe’s conclusion that this shows that 1,895 trolleys are “not accounted for” is logically unsustainable. Not only does it assume without any basis that despite receiving a such a large order in August 2020, Vanesco had not delivered any trolleys in satisfaction thereof by 24 May 2021, some 9 months later, it seems to me that much depends on the meaning to be ascribed to Mr Case’s </w:t>
      </w:r>
      <w:r w:rsidR="00BE06BF" w:rsidRPr="00AB52EE">
        <w:rPr>
          <w:rFonts w:cs="Arial"/>
          <w:szCs w:val="24"/>
        </w:rPr>
        <w:t>assertion that “at the start of May 2021, there were many pre-existing orders”</w:t>
      </w:r>
      <w:r w:rsidRPr="00AB52EE">
        <w:rPr>
          <w:rFonts w:cs="Arial"/>
          <w:szCs w:val="24"/>
        </w:rPr>
        <w:t xml:space="preserve">. There is no reason whatsoever why the word “many” should be interpretated as a reference to the Trolley Quip order. And anyway, Mr Case was not required, </w:t>
      </w:r>
      <w:r w:rsidR="00BE06BF" w:rsidRPr="00AB52EE">
        <w:rPr>
          <w:rFonts w:cs="Arial"/>
          <w:szCs w:val="24"/>
        </w:rPr>
        <w:t xml:space="preserve">nor did he </w:t>
      </w:r>
      <w:r w:rsidRPr="00AB52EE">
        <w:rPr>
          <w:rFonts w:cs="Arial"/>
          <w:szCs w:val="24"/>
        </w:rPr>
        <w:t xml:space="preserve">attempt, to “account for” the pre-existing orders. Not only does Mr Wolfe himself acknowledge that this may have an explanation, namely that the August 2020 order from Trolley Quip was not pursued before 5 August 2021, this is not the only one: there is a range of other possibilities, including </w:t>
      </w:r>
      <w:r w:rsidR="00BE06BF" w:rsidRPr="00AB52EE">
        <w:rPr>
          <w:rFonts w:cs="Arial"/>
          <w:szCs w:val="24"/>
        </w:rPr>
        <w:t xml:space="preserve">(i) </w:t>
      </w:r>
      <w:r w:rsidRPr="00AB52EE">
        <w:rPr>
          <w:rFonts w:cs="Arial"/>
          <w:szCs w:val="24"/>
        </w:rPr>
        <w:t>that the Trolley Quip order had already been mostly fulfilled prior to the grant of the court order</w:t>
      </w:r>
      <w:r w:rsidR="00BE06BF" w:rsidRPr="00AB52EE">
        <w:rPr>
          <w:rFonts w:cs="Arial"/>
          <w:szCs w:val="24"/>
        </w:rPr>
        <w:t xml:space="preserve">; or (ii) </w:t>
      </w:r>
      <w:r w:rsidRPr="00AB52EE">
        <w:rPr>
          <w:rFonts w:cs="Arial"/>
          <w:szCs w:val="24"/>
        </w:rPr>
        <w:t xml:space="preserve">that while the “many pre-existing orders” fulfilled after the interim order was granted </w:t>
      </w:r>
      <w:r w:rsidRPr="00AB52EE">
        <w:rPr>
          <w:rFonts w:cs="Arial"/>
          <w:szCs w:val="24"/>
        </w:rPr>
        <w:lastRenderedPageBreak/>
        <w:t xml:space="preserve">could have included a portion of its earlier order, the majority of the “many pre-existing orders” were for other customers. Indeed, the fact that Trolley Quip placed additional orders for 725 additional trolleys in June and July would be consistent with this possibility, and Mr Wolfe </w:t>
      </w:r>
      <w:r w:rsidR="00BE06BF" w:rsidRPr="00AB52EE">
        <w:rPr>
          <w:rFonts w:cs="Arial"/>
          <w:szCs w:val="24"/>
        </w:rPr>
        <w:t xml:space="preserve">does not </w:t>
      </w:r>
      <w:r w:rsidRPr="00AB52EE">
        <w:rPr>
          <w:rFonts w:cs="Arial"/>
          <w:szCs w:val="24"/>
        </w:rPr>
        <w:t xml:space="preserve">attempt to lay a factual basis to conclude that Vanesco delivered all of these trolleys. </w:t>
      </w:r>
    </w:p>
    <w:p w14:paraId="6318BFBF" w14:textId="41FD6D0E" w:rsidR="001A652F" w:rsidRPr="00AB52EE" w:rsidRDefault="00F77C38" w:rsidP="007A27ED">
      <w:pPr>
        <w:pStyle w:val="LC2"/>
        <w:rPr>
          <w:rFonts w:cs="Arial"/>
          <w:szCs w:val="24"/>
        </w:rPr>
      </w:pPr>
      <w:r w:rsidRPr="00AB52EE">
        <w:rPr>
          <w:rFonts w:cs="Arial"/>
          <w:szCs w:val="24"/>
        </w:rPr>
        <w:t>Thirdly</w:t>
      </w:r>
      <w:r w:rsidR="00892086" w:rsidRPr="00AB52EE">
        <w:rPr>
          <w:rFonts w:cs="Arial"/>
          <w:szCs w:val="24"/>
        </w:rPr>
        <w:t xml:space="preserve">, Mr Wolfe notes that </w:t>
      </w:r>
      <w:r w:rsidR="001A652F" w:rsidRPr="00AB52EE">
        <w:rPr>
          <w:rFonts w:cs="Arial"/>
          <w:szCs w:val="24"/>
        </w:rPr>
        <w:t>the delivery by Vanesco to Roots Berea of 40 Hybrid 90 litre trolleys on 26 July 2021 is supported by a quotation that was issued five weeks previously</w:t>
      </w:r>
      <w:r w:rsidR="00892086" w:rsidRPr="00AB52EE">
        <w:rPr>
          <w:rFonts w:cs="Arial"/>
          <w:szCs w:val="24"/>
        </w:rPr>
        <w:t>. Although Mr Wolfe accepts that “there could be an innocent explanation” for the five</w:t>
      </w:r>
      <w:r w:rsidR="00A01AA1" w:rsidRPr="00AB52EE">
        <w:rPr>
          <w:rFonts w:cs="Arial"/>
          <w:szCs w:val="24"/>
        </w:rPr>
        <w:t>-</w:t>
      </w:r>
      <w:r w:rsidR="00892086" w:rsidRPr="00AB52EE">
        <w:rPr>
          <w:rFonts w:cs="Arial"/>
          <w:szCs w:val="24"/>
        </w:rPr>
        <w:t xml:space="preserve">week delay”, he nevertheless impermissibly seeks to draw the inference that “it is far more probable that the baskets for the trolleys needed to be manufactured” on a date </w:t>
      </w:r>
      <w:r w:rsidR="00AE3B5A">
        <w:rPr>
          <w:rFonts w:cs="Arial"/>
          <w:szCs w:val="24"/>
        </w:rPr>
        <w:t xml:space="preserve">on or </w:t>
      </w:r>
      <w:r w:rsidR="00892086" w:rsidRPr="00AB52EE">
        <w:rPr>
          <w:rFonts w:cs="Arial"/>
          <w:szCs w:val="24"/>
        </w:rPr>
        <w:t>after 2</w:t>
      </w:r>
      <w:r w:rsidR="00AE3B5A">
        <w:rPr>
          <w:rFonts w:cs="Arial"/>
          <w:szCs w:val="24"/>
        </w:rPr>
        <w:t>4</w:t>
      </w:r>
      <w:r w:rsidR="00892086" w:rsidRPr="00AB52EE">
        <w:rPr>
          <w:rFonts w:cs="Arial"/>
          <w:szCs w:val="24"/>
        </w:rPr>
        <w:t xml:space="preserve"> May 2021, solely on the basis that in </w:t>
      </w:r>
      <w:r w:rsidR="00D15D41" w:rsidRPr="00AB52EE">
        <w:rPr>
          <w:rFonts w:cs="Arial"/>
          <w:szCs w:val="24"/>
        </w:rPr>
        <w:t xml:space="preserve">one other </w:t>
      </w:r>
      <w:r w:rsidR="00892086" w:rsidRPr="00AB52EE">
        <w:rPr>
          <w:rFonts w:cs="Arial"/>
          <w:szCs w:val="24"/>
        </w:rPr>
        <w:t>instance around the same time, there was no such lead time. I do not think</w:t>
      </w:r>
      <w:r w:rsidR="00D15D41" w:rsidRPr="00AB52EE">
        <w:rPr>
          <w:rFonts w:cs="Arial"/>
          <w:szCs w:val="24"/>
        </w:rPr>
        <w:t xml:space="preserve"> that such an inference may be drawn.</w:t>
      </w:r>
    </w:p>
    <w:p w14:paraId="43B3A668" w14:textId="1C3CA21E" w:rsidR="000A28CE" w:rsidRPr="00AB52EE" w:rsidRDefault="00F77C38" w:rsidP="007A27ED">
      <w:pPr>
        <w:pStyle w:val="LC2"/>
        <w:rPr>
          <w:rFonts w:cs="Arial"/>
          <w:szCs w:val="24"/>
        </w:rPr>
      </w:pPr>
      <w:r w:rsidRPr="00AB52EE">
        <w:rPr>
          <w:rFonts w:cs="Arial"/>
          <w:szCs w:val="24"/>
        </w:rPr>
        <w:t>Finally</w:t>
      </w:r>
      <w:r w:rsidR="00D15D41" w:rsidRPr="00AB52EE">
        <w:rPr>
          <w:rFonts w:cs="Arial"/>
          <w:szCs w:val="24"/>
        </w:rPr>
        <w:t>, Mr Wolfe notes that a</w:t>
      </w:r>
      <w:r w:rsidR="001A652F" w:rsidRPr="00AB52EE">
        <w:rPr>
          <w:rFonts w:cs="Arial"/>
          <w:szCs w:val="24"/>
        </w:rPr>
        <w:t xml:space="preserve">lthough the </w:t>
      </w:r>
      <w:r w:rsidR="00976793" w:rsidRPr="00AB52EE">
        <w:rPr>
          <w:rFonts w:cs="Arial"/>
          <w:szCs w:val="24"/>
        </w:rPr>
        <w:t xml:space="preserve">summary </w:t>
      </w:r>
      <w:r w:rsidR="001A652F" w:rsidRPr="00AB52EE">
        <w:rPr>
          <w:rFonts w:cs="Arial"/>
          <w:szCs w:val="24"/>
        </w:rPr>
        <w:t xml:space="preserve">sheet includes “numerous” trolleys delivered to Roots Butcheries, the bundle contains no orders for such trolleys that pre-dated the </w:t>
      </w:r>
      <w:r w:rsidR="00A01AA1" w:rsidRPr="00AB52EE">
        <w:rPr>
          <w:rFonts w:cs="Arial"/>
          <w:szCs w:val="24"/>
        </w:rPr>
        <w:t xml:space="preserve">interim interdict </w:t>
      </w:r>
      <w:r w:rsidR="00D15D41" w:rsidRPr="00AB52EE">
        <w:rPr>
          <w:rFonts w:cs="Arial"/>
          <w:szCs w:val="24"/>
        </w:rPr>
        <w:t xml:space="preserve">and </w:t>
      </w:r>
      <w:r w:rsidR="001A652F" w:rsidRPr="00AB52EE">
        <w:rPr>
          <w:rFonts w:cs="Arial"/>
          <w:szCs w:val="24"/>
        </w:rPr>
        <w:t xml:space="preserve">that Mr Case had stated in his contempt answering affidavit that as a result of the unrest and looting that occurred between 7 and 15 July 2021, “existing customers phoned Mr Botes and begged him to supply them with ‘their trolleys’”. </w:t>
      </w:r>
      <w:r w:rsidR="000A28CE" w:rsidRPr="00AB52EE">
        <w:rPr>
          <w:rFonts w:cs="Arial"/>
          <w:szCs w:val="24"/>
        </w:rPr>
        <w:t xml:space="preserve">Mr Wolfe’s suspicion (he places his contention no higher) that the trolleys identified in the </w:t>
      </w:r>
      <w:r w:rsidR="00976793" w:rsidRPr="00AB52EE">
        <w:rPr>
          <w:rFonts w:cs="Arial"/>
          <w:szCs w:val="24"/>
        </w:rPr>
        <w:t xml:space="preserve">summary </w:t>
      </w:r>
      <w:r w:rsidR="000A28CE" w:rsidRPr="00AB52EE">
        <w:rPr>
          <w:rFonts w:cs="Arial"/>
          <w:szCs w:val="24"/>
        </w:rPr>
        <w:t xml:space="preserve">sheet as having been delivered to Roots Butcheries must have been </w:t>
      </w:r>
      <w:r w:rsidR="000A28CE" w:rsidRPr="00AB52EE">
        <w:rPr>
          <w:rFonts w:cs="Arial"/>
          <w:szCs w:val="24"/>
        </w:rPr>
        <w:lastRenderedPageBreak/>
        <w:t xml:space="preserve">manufactured after the date of the </w:t>
      </w:r>
      <w:r w:rsidR="00A01AA1" w:rsidRPr="00AB52EE">
        <w:rPr>
          <w:rFonts w:cs="Arial"/>
          <w:szCs w:val="24"/>
        </w:rPr>
        <w:t xml:space="preserve">interim interdict </w:t>
      </w:r>
      <w:r w:rsidR="000A28CE" w:rsidRPr="00AB52EE">
        <w:rPr>
          <w:rFonts w:cs="Arial"/>
          <w:szCs w:val="24"/>
        </w:rPr>
        <w:t>is, in my view, far-fetched – especially since Mr Wolfe accepts that it is possible that that Vanesco keeps stock on a speculative basis and Supercart does not claim to have found even one dispute trolley in the market that bears a mould date stamp after May 2021. He makes no attempt to substantiate his contention that “it is equally probably that the date stamps on the baskets were back-dated” with any facts</w:t>
      </w:r>
      <w:r w:rsidR="00D15D41" w:rsidRPr="00AB52EE">
        <w:rPr>
          <w:rFonts w:cs="Arial"/>
          <w:szCs w:val="24"/>
        </w:rPr>
        <w:t xml:space="preserve">. Indeed, </w:t>
      </w:r>
      <w:r w:rsidR="000A28CE" w:rsidRPr="00AB52EE">
        <w:rPr>
          <w:rFonts w:cs="Arial"/>
          <w:szCs w:val="24"/>
        </w:rPr>
        <w:t>Mr Wolfe himself considered such stamps as the primary guide (i.e. “more than”</w:t>
      </w:r>
      <w:r w:rsidR="00D15D41" w:rsidRPr="00AB52EE">
        <w:rPr>
          <w:rFonts w:cs="Arial"/>
          <w:szCs w:val="24"/>
        </w:rPr>
        <w:t xml:space="preserve"> the </w:t>
      </w:r>
      <w:r w:rsidR="000A28CE" w:rsidRPr="00AB52EE">
        <w:rPr>
          <w:rFonts w:cs="Arial"/>
          <w:szCs w:val="24"/>
        </w:rPr>
        <w:t>physical condition</w:t>
      </w:r>
      <w:r w:rsidR="00D15D41" w:rsidRPr="00AB52EE">
        <w:rPr>
          <w:rFonts w:cs="Arial"/>
          <w:szCs w:val="24"/>
        </w:rPr>
        <w:t xml:space="preserve"> of a particular trolley</w:t>
      </w:r>
      <w:r w:rsidR="000A28CE" w:rsidRPr="00AB52EE">
        <w:rPr>
          <w:rFonts w:cs="Arial"/>
          <w:szCs w:val="24"/>
        </w:rPr>
        <w:t xml:space="preserve">) making it “fairly easy to detect whether </w:t>
      </w:r>
      <w:r w:rsidR="00D15D41" w:rsidRPr="00AB52EE">
        <w:rPr>
          <w:rFonts w:cs="Arial"/>
          <w:szCs w:val="24"/>
        </w:rPr>
        <w:t xml:space="preserve">[it] </w:t>
      </w:r>
      <w:r w:rsidR="000A28CE" w:rsidRPr="00AB52EE">
        <w:rPr>
          <w:rFonts w:cs="Arial"/>
          <w:szCs w:val="24"/>
        </w:rPr>
        <w:t>is new” militates against such a conclusion.</w:t>
      </w:r>
    </w:p>
    <w:p w14:paraId="59D9177C" w14:textId="47ECBEDE" w:rsidR="00BE06BF" w:rsidRPr="00AB52EE" w:rsidRDefault="002F53F6" w:rsidP="007A27ED">
      <w:pPr>
        <w:pStyle w:val="LC1"/>
        <w:rPr>
          <w:rFonts w:cs="Arial"/>
          <w:szCs w:val="24"/>
          <w:lang w:eastAsia="en-ZA"/>
        </w:rPr>
      </w:pPr>
      <w:r w:rsidRPr="00AB52EE">
        <w:rPr>
          <w:rFonts w:cs="Arial"/>
          <w:szCs w:val="24"/>
        </w:rPr>
        <w:t xml:space="preserve">Even though Mr Case makes no attempt whatsoever </w:t>
      </w:r>
      <w:r w:rsidR="00ED4C55" w:rsidRPr="00AB52EE">
        <w:rPr>
          <w:rFonts w:cs="Arial"/>
          <w:szCs w:val="24"/>
        </w:rPr>
        <w:t xml:space="preserve">in his answering affidavit </w:t>
      </w:r>
      <w:r w:rsidRPr="00AB52EE">
        <w:rPr>
          <w:rFonts w:cs="Arial"/>
          <w:szCs w:val="24"/>
        </w:rPr>
        <w:t xml:space="preserve">to dispute </w:t>
      </w:r>
      <w:r w:rsidR="00ED4C55" w:rsidRPr="00AB52EE">
        <w:rPr>
          <w:rFonts w:cs="Arial"/>
          <w:szCs w:val="24"/>
        </w:rPr>
        <w:t xml:space="preserve">these </w:t>
      </w:r>
      <w:r w:rsidRPr="00AB52EE">
        <w:rPr>
          <w:rFonts w:cs="Arial"/>
          <w:szCs w:val="24"/>
        </w:rPr>
        <w:t xml:space="preserve">factual allegations </w:t>
      </w:r>
      <w:r w:rsidR="00ED4C55" w:rsidRPr="00AB52EE">
        <w:rPr>
          <w:rFonts w:cs="Arial"/>
          <w:szCs w:val="24"/>
        </w:rPr>
        <w:t xml:space="preserve">or dispute the inferences that Mr Wolfe seeks to draw from them, </w:t>
      </w:r>
      <w:r w:rsidR="00D15D41" w:rsidRPr="00AB52EE">
        <w:rPr>
          <w:rFonts w:cs="Arial"/>
          <w:szCs w:val="24"/>
          <w:lang w:eastAsia="en-ZA"/>
        </w:rPr>
        <w:t xml:space="preserve">I don’t think that it may be concluded that Mr Case lied on oath or misled the </w:t>
      </w:r>
      <w:r w:rsidR="00A01AA1" w:rsidRPr="00AB52EE">
        <w:rPr>
          <w:rFonts w:cs="Arial"/>
          <w:szCs w:val="24"/>
          <w:lang w:eastAsia="en-ZA"/>
        </w:rPr>
        <w:t>C</w:t>
      </w:r>
      <w:r w:rsidR="00D15D41" w:rsidRPr="00AB52EE">
        <w:rPr>
          <w:rFonts w:cs="Arial"/>
          <w:szCs w:val="24"/>
          <w:lang w:eastAsia="en-ZA"/>
        </w:rPr>
        <w:t>ourt</w:t>
      </w:r>
      <w:r w:rsidR="00924B73" w:rsidRPr="00AB52EE">
        <w:rPr>
          <w:rFonts w:cs="Arial"/>
          <w:szCs w:val="24"/>
          <w:lang w:eastAsia="en-ZA"/>
        </w:rPr>
        <w:t xml:space="preserve"> in his answering affidavit</w:t>
      </w:r>
      <w:r w:rsidR="00BE06BF" w:rsidRPr="00AB52EE">
        <w:rPr>
          <w:rFonts w:cs="Arial"/>
          <w:szCs w:val="24"/>
          <w:lang w:eastAsia="en-ZA"/>
        </w:rPr>
        <w:t xml:space="preserve"> in the above respects</w:t>
      </w:r>
      <w:r w:rsidR="00ED4C55" w:rsidRPr="00AB52EE">
        <w:rPr>
          <w:rFonts w:cs="Arial"/>
          <w:szCs w:val="24"/>
          <w:lang w:eastAsia="en-ZA"/>
        </w:rPr>
        <w:t xml:space="preserve">, </w:t>
      </w:r>
      <w:r w:rsidR="00ED4C55" w:rsidRPr="00AB52EE">
        <w:rPr>
          <w:rFonts w:cs="Arial"/>
          <w:szCs w:val="24"/>
        </w:rPr>
        <w:t>bearing in mind that a conclusion of dishonesty is not to be lightly inferred.</w:t>
      </w:r>
      <w:r w:rsidR="00ED4C55" w:rsidRPr="00AB52EE">
        <w:rPr>
          <w:rStyle w:val="FootnoteReference"/>
          <w:szCs w:val="24"/>
        </w:rPr>
        <w:footnoteReference w:id="99"/>
      </w:r>
    </w:p>
    <w:p w14:paraId="76C57E6B" w14:textId="067DA09B" w:rsidR="007D25F1" w:rsidRPr="00AB52EE" w:rsidRDefault="00BE06BF" w:rsidP="007A27ED">
      <w:pPr>
        <w:pStyle w:val="LC1"/>
        <w:rPr>
          <w:rFonts w:cs="Arial"/>
          <w:szCs w:val="24"/>
          <w:lang w:eastAsia="en-ZA"/>
        </w:rPr>
      </w:pPr>
      <w:r w:rsidRPr="00AB52EE">
        <w:rPr>
          <w:rFonts w:cs="Arial"/>
          <w:szCs w:val="24"/>
          <w:lang w:eastAsia="en-ZA"/>
        </w:rPr>
        <w:t xml:space="preserve">But proven dishonesty is </w:t>
      </w:r>
      <w:r w:rsidR="00D15D41" w:rsidRPr="00AB52EE">
        <w:rPr>
          <w:rFonts w:cs="Arial"/>
          <w:szCs w:val="24"/>
          <w:lang w:eastAsia="en-ZA"/>
        </w:rPr>
        <w:t xml:space="preserve">not the only basis upon which </w:t>
      </w:r>
      <w:r w:rsidR="005048D7" w:rsidRPr="00AB52EE">
        <w:rPr>
          <w:rFonts w:cs="Arial"/>
          <w:szCs w:val="24"/>
          <w:lang w:eastAsia="en-ZA"/>
        </w:rPr>
        <w:t xml:space="preserve">it may be found that </w:t>
      </w:r>
      <w:r w:rsidR="00D15D41" w:rsidRPr="00AB52EE">
        <w:rPr>
          <w:rFonts w:cs="Arial"/>
          <w:szCs w:val="24"/>
          <w:lang w:eastAsia="en-ZA"/>
        </w:rPr>
        <w:t xml:space="preserve">a reasonable apprehension </w:t>
      </w:r>
      <w:r w:rsidR="005048D7" w:rsidRPr="00AB52EE">
        <w:rPr>
          <w:rFonts w:cs="Arial"/>
          <w:szCs w:val="24"/>
          <w:lang w:eastAsia="en-ZA"/>
        </w:rPr>
        <w:t xml:space="preserve">exists </w:t>
      </w:r>
      <w:r w:rsidR="00D15D41" w:rsidRPr="00AB52EE">
        <w:rPr>
          <w:rFonts w:cs="Arial"/>
          <w:szCs w:val="24"/>
          <w:lang w:eastAsia="en-ZA"/>
        </w:rPr>
        <w:t xml:space="preserve">that </w:t>
      </w:r>
      <w:r w:rsidR="00636C6A" w:rsidRPr="00AB52EE">
        <w:rPr>
          <w:rFonts w:cs="Arial"/>
          <w:szCs w:val="24"/>
          <w:lang w:eastAsia="en-ZA"/>
        </w:rPr>
        <w:t xml:space="preserve">the respondents </w:t>
      </w:r>
      <w:r w:rsidR="00924B73" w:rsidRPr="00AB52EE">
        <w:rPr>
          <w:rFonts w:cs="Arial"/>
          <w:szCs w:val="24"/>
          <w:lang w:eastAsia="en-ZA"/>
        </w:rPr>
        <w:t xml:space="preserve">will hide or conceal </w:t>
      </w:r>
      <w:r w:rsidR="00D15D41" w:rsidRPr="00AB52EE">
        <w:rPr>
          <w:rFonts w:cs="Arial"/>
          <w:szCs w:val="24"/>
          <w:lang w:eastAsia="en-ZA"/>
        </w:rPr>
        <w:t>evidence</w:t>
      </w:r>
      <w:r w:rsidR="00924B73" w:rsidRPr="00AB52EE">
        <w:rPr>
          <w:rFonts w:cs="Arial"/>
          <w:szCs w:val="24"/>
          <w:lang w:eastAsia="en-ZA"/>
        </w:rPr>
        <w:t xml:space="preserve">. </w:t>
      </w:r>
      <w:r w:rsidR="00FB2157" w:rsidRPr="00AB52EE">
        <w:rPr>
          <w:rFonts w:cs="Arial"/>
          <w:szCs w:val="24"/>
          <w:lang w:eastAsia="en-ZA"/>
        </w:rPr>
        <w:t xml:space="preserve">In </w:t>
      </w:r>
      <w:r w:rsidR="00D15D41" w:rsidRPr="00AB52EE">
        <w:rPr>
          <w:rFonts w:cs="Arial"/>
          <w:szCs w:val="24"/>
          <w:lang w:eastAsia="en-ZA"/>
        </w:rPr>
        <w:t>my view</w:t>
      </w:r>
      <w:r w:rsidR="00FB2157" w:rsidRPr="00AB52EE">
        <w:rPr>
          <w:rFonts w:cs="Arial"/>
          <w:szCs w:val="24"/>
          <w:lang w:eastAsia="en-ZA"/>
        </w:rPr>
        <w:t xml:space="preserve">, </w:t>
      </w:r>
      <w:r w:rsidR="00924B73" w:rsidRPr="00AB52EE">
        <w:rPr>
          <w:rFonts w:cs="Arial"/>
          <w:szCs w:val="24"/>
          <w:lang w:eastAsia="en-ZA"/>
        </w:rPr>
        <w:t xml:space="preserve">it is </w:t>
      </w:r>
      <w:r w:rsidRPr="00AB52EE">
        <w:rPr>
          <w:rFonts w:cs="Arial"/>
          <w:szCs w:val="24"/>
          <w:lang w:eastAsia="en-ZA"/>
        </w:rPr>
        <w:t xml:space="preserve">indeed </w:t>
      </w:r>
      <w:r w:rsidR="00924B73" w:rsidRPr="00AB52EE">
        <w:rPr>
          <w:rFonts w:cs="Arial"/>
          <w:szCs w:val="24"/>
          <w:lang w:eastAsia="en-ZA"/>
        </w:rPr>
        <w:t>reasonable to apprehend that they will do so</w:t>
      </w:r>
      <w:r w:rsidR="00CA13C5" w:rsidRPr="00AB52EE">
        <w:rPr>
          <w:rFonts w:cs="Arial"/>
          <w:szCs w:val="24"/>
          <w:lang w:eastAsia="en-ZA"/>
        </w:rPr>
        <w:t>.</w:t>
      </w:r>
    </w:p>
    <w:p w14:paraId="6AB81DF5" w14:textId="59E4FA22" w:rsidR="00CA13C5" w:rsidRPr="00AB52EE" w:rsidRDefault="00ED4C55" w:rsidP="00CA13C5">
      <w:pPr>
        <w:pStyle w:val="LC1"/>
        <w:rPr>
          <w:rFonts w:cs="Arial"/>
          <w:szCs w:val="24"/>
        </w:rPr>
      </w:pPr>
      <w:r w:rsidRPr="00AB52EE">
        <w:rPr>
          <w:rFonts w:cs="Arial"/>
          <w:szCs w:val="24"/>
        </w:rPr>
        <w:t xml:space="preserve">In the first place, </w:t>
      </w:r>
      <w:r w:rsidR="00CA13C5" w:rsidRPr="00AB52EE">
        <w:rPr>
          <w:rFonts w:cs="Arial"/>
          <w:szCs w:val="24"/>
        </w:rPr>
        <w:t xml:space="preserve">while it may not be conclusively found that Mr Case is dishonest, he has shown himself to be economical with the truth, in the sense of </w:t>
      </w:r>
      <w:r w:rsidR="00BF40BC">
        <w:rPr>
          <w:rFonts w:cs="Arial"/>
          <w:szCs w:val="24"/>
        </w:rPr>
        <w:t xml:space="preserve">having </w:t>
      </w:r>
      <w:r w:rsidR="00CA13C5" w:rsidRPr="00AB52EE">
        <w:rPr>
          <w:rFonts w:cs="Arial"/>
          <w:szCs w:val="24"/>
        </w:rPr>
        <w:t xml:space="preserve">a tendency to avoid giving a full account if that is </w:t>
      </w:r>
      <w:r w:rsidR="00BF40BC">
        <w:rPr>
          <w:rFonts w:cs="Arial"/>
          <w:szCs w:val="24"/>
        </w:rPr>
        <w:t xml:space="preserve">at all </w:t>
      </w:r>
      <w:r w:rsidR="00CA13C5" w:rsidRPr="00AB52EE">
        <w:rPr>
          <w:rFonts w:cs="Arial"/>
          <w:szCs w:val="24"/>
        </w:rPr>
        <w:t xml:space="preserve">possible. This </w:t>
      </w:r>
      <w:r w:rsidR="00CA13C5" w:rsidRPr="00AB52EE">
        <w:rPr>
          <w:rFonts w:cs="Arial"/>
          <w:szCs w:val="24"/>
        </w:rPr>
        <w:lastRenderedPageBreak/>
        <w:t xml:space="preserve">appears from the following: </w:t>
      </w:r>
    </w:p>
    <w:p w14:paraId="38546248" w14:textId="405CC610" w:rsidR="00CA13C5" w:rsidRPr="00AB52EE" w:rsidRDefault="00CA13C5" w:rsidP="00ED4C55">
      <w:pPr>
        <w:pStyle w:val="LC2"/>
        <w:rPr>
          <w:rFonts w:cs="Arial"/>
          <w:szCs w:val="24"/>
        </w:rPr>
      </w:pPr>
      <w:r w:rsidRPr="00AB52EE">
        <w:rPr>
          <w:rFonts w:cs="Arial"/>
          <w:szCs w:val="24"/>
        </w:rPr>
        <w:t>In response to the allegation that he had previously told Mr Wolfe that he was able at any time to remotely access “any operational or financial data” of Vanesco by means of its electronic management accounting software, and could “see exactly orders, stock rotation, manufacturing, sales, deliveries and so forth”, Mr Case makes the following carefully curated statement: “I deny that I have ever conveyed the words referred to herein to Mr Wolfe. This is simply false”. He avoids pertinently or explicitly denying the real burden of Mr Wolfe’s allegation, namely that he has the ability to access such information in this way</w:t>
      </w:r>
      <w:r w:rsidR="00BF40BC">
        <w:rPr>
          <w:rFonts w:cs="Arial"/>
          <w:szCs w:val="24"/>
        </w:rPr>
        <w:t>,</w:t>
      </w:r>
      <w:r w:rsidRPr="00AB52EE">
        <w:rPr>
          <w:rFonts w:cs="Arial"/>
          <w:szCs w:val="24"/>
        </w:rPr>
        <w:t xml:space="preserve"> and that he has in fact done so.</w:t>
      </w:r>
    </w:p>
    <w:p w14:paraId="5A84C16C" w14:textId="77777777" w:rsidR="00CA13C5" w:rsidRPr="00AB52EE" w:rsidRDefault="00CA13C5" w:rsidP="00ED4C55">
      <w:pPr>
        <w:pStyle w:val="LC2"/>
        <w:rPr>
          <w:rFonts w:cs="Arial"/>
          <w:szCs w:val="24"/>
        </w:rPr>
      </w:pPr>
      <w:r w:rsidRPr="00AB52EE">
        <w:rPr>
          <w:rFonts w:cs="Arial"/>
          <w:szCs w:val="24"/>
        </w:rPr>
        <w:t xml:space="preserve">Although </w:t>
      </w:r>
      <w:r w:rsidR="00ED4C55" w:rsidRPr="00AB52EE">
        <w:rPr>
          <w:rFonts w:cs="Arial"/>
          <w:szCs w:val="24"/>
        </w:rPr>
        <w:t>Mr Case does not dispute the factual allegations underlying the inferences that Mr Wolfe seeks to draw</w:t>
      </w:r>
      <w:r w:rsidRPr="00AB52EE">
        <w:rPr>
          <w:rFonts w:cs="Arial"/>
          <w:szCs w:val="24"/>
        </w:rPr>
        <w:t xml:space="preserve"> regarding additional breaches</w:t>
      </w:r>
      <w:r w:rsidR="00ED4C55" w:rsidRPr="00AB52EE">
        <w:rPr>
          <w:rFonts w:cs="Arial"/>
          <w:szCs w:val="24"/>
        </w:rPr>
        <w:t xml:space="preserve">, he makes no attempt to resist those inferences with reference to alternative positive versions of his own. Instead, as will appear from </w:t>
      </w:r>
      <w:r w:rsidRPr="00AB52EE">
        <w:rPr>
          <w:rFonts w:cs="Arial"/>
          <w:szCs w:val="24"/>
        </w:rPr>
        <w:t xml:space="preserve">the discussion above, </w:t>
      </w:r>
      <w:r w:rsidR="00ED4C55" w:rsidRPr="00AB52EE">
        <w:rPr>
          <w:rFonts w:cs="Arial"/>
          <w:szCs w:val="24"/>
        </w:rPr>
        <w:t xml:space="preserve">I have been left to speculate as to what the explanations might be. </w:t>
      </w:r>
    </w:p>
    <w:p w14:paraId="7F802DAB" w14:textId="7F2221CB" w:rsidR="00D75591" w:rsidRPr="00AB52EE" w:rsidRDefault="00ED4C55" w:rsidP="00AB52EE">
      <w:pPr>
        <w:pStyle w:val="LC1"/>
        <w:rPr>
          <w:rFonts w:cs="Arial"/>
          <w:szCs w:val="24"/>
        </w:rPr>
      </w:pPr>
      <w:r w:rsidRPr="00AB52EE">
        <w:rPr>
          <w:rFonts w:cs="Arial"/>
          <w:szCs w:val="24"/>
        </w:rPr>
        <w:t xml:space="preserve">Secondly, at least one of </w:t>
      </w:r>
      <w:r w:rsidR="00C26FB3" w:rsidRPr="00AB52EE">
        <w:rPr>
          <w:rFonts w:cs="Arial"/>
          <w:szCs w:val="24"/>
        </w:rPr>
        <w:t xml:space="preserve">Mr Wolfe’s </w:t>
      </w:r>
      <w:r w:rsidRPr="00AB52EE">
        <w:rPr>
          <w:rFonts w:cs="Arial"/>
          <w:szCs w:val="24"/>
        </w:rPr>
        <w:t>inferences</w:t>
      </w:r>
      <w:r w:rsidR="00C26FB3" w:rsidRPr="00AB52EE">
        <w:rPr>
          <w:rFonts w:cs="Arial"/>
          <w:szCs w:val="24"/>
        </w:rPr>
        <w:t xml:space="preserve"> (albeit not relating to dishonesty in </w:t>
      </w:r>
      <w:r w:rsidR="00AB52EE" w:rsidRPr="00AB52EE">
        <w:rPr>
          <w:rFonts w:cs="Arial"/>
          <w:szCs w:val="24"/>
        </w:rPr>
        <w:t xml:space="preserve">an </w:t>
      </w:r>
      <w:r w:rsidR="00C26FB3" w:rsidRPr="00AB52EE">
        <w:rPr>
          <w:rFonts w:cs="Arial"/>
          <w:szCs w:val="24"/>
        </w:rPr>
        <w:t>affidavit) may legitimately be drawn</w:t>
      </w:r>
      <w:r w:rsidR="00CA13C5" w:rsidRPr="00AB52EE">
        <w:rPr>
          <w:rFonts w:cs="Arial"/>
          <w:szCs w:val="24"/>
        </w:rPr>
        <w:t>.</w:t>
      </w:r>
      <w:r w:rsidR="00C26FB3" w:rsidRPr="00AB52EE">
        <w:rPr>
          <w:rFonts w:cs="Arial"/>
          <w:szCs w:val="24"/>
        </w:rPr>
        <w:t xml:space="preserve"> </w:t>
      </w:r>
      <w:r w:rsidR="00CA13C5" w:rsidRPr="00AB52EE">
        <w:rPr>
          <w:rFonts w:cs="Arial"/>
          <w:szCs w:val="24"/>
        </w:rPr>
        <w:t xml:space="preserve">In </w:t>
      </w:r>
      <w:r w:rsidR="00C26FB3" w:rsidRPr="00AB52EE">
        <w:rPr>
          <w:rFonts w:cs="Arial"/>
          <w:szCs w:val="24"/>
        </w:rPr>
        <w:t xml:space="preserve">relation to the deliveries referred to on </w:t>
      </w:r>
      <w:r w:rsidR="00F77C38" w:rsidRPr="00AB52EE">
        <w:rPr>
          <w:rFonts w:cs="Arial"/>
          <w:szCs w:val="24"/>
        </w:rPr>
        <w:t xml:space="preserve">the </w:t>
      </w:r>
      <w:r w:rsidR="00976793" w:rsidRPr="00AB52EE">
        <w:rPr>
          <w:rFonts w:cs="Arial"/>
          <w:szCs w:val="24"/>
        </w:rPr>
        <w:t xml:space="preserve">summary </w:t>
      </w:r>
      <w:r w:rsidR="00F77C38" w:rsidRPr="00AB52EE">
        <w:rPr>
          <w:rFonts w:cs="Arial"/>
          <w:szCs w:val="24"/>
        </w:rPr>
        <w:t>sheet to “The Trolley Doctor CC”</w:t>
      </w:r>
      <w:r w:rsidR="00CA13C5" w:rsidRPr="00AB52EE">
        <w:rPr>
          <w:rFonts w:cs="Arial"/>
          <w:szCs w:val="24"/>
        </w:rPr>
        <w:t>, i</w:t>
      </w:r>
      <w:r w:rsidR="00C26FB3" w:rsidRPr="00AB52EE">
        <w:rPr>
          <w:rFonts w:cs="Arial"/>
          <w:szCs w:val="24"/>
        </w:rPr>
        <w:t xml:space="preserve">t is not </w:t>
      </w:r>
      <w:r w:rsidR="00CA13C5" w:rsidRPr="00AB52EE">
        <w:rPr>
          <w:rFonts w:cs="Arial"/>
          <w:szCs w:val="24"/>
        </w:rPr>
        <w:t xml:space="preserve">disputed </w:t>
      </w:r>
      <w:r w:rsidR="00C26FB3" w:rsidRPr="00AB52EE">
        <w:rPr>
          <w:rFonts w:cs="Arial"/>
          <w:szCs w:val="24"/>
        </w:rPr>
        <w:t xml:space="preserve">that </w:t>
      </w:r>
      <w:r w:rsidR="00F77C38" w:rsidRPr="00AB52EE">
        <w:rPr>
          <w:rFonts w:cs="Arial"/>
          <w:szCs w:val="24"/>
        </w:rPr>
        <w:t xml:space="preserve">no entity </w:t>
      </w:r>
      <w:r w:rsidR="00C26FB3" w:rsidRPr="00AB52EE">
        <w:rPr>
          <w:rFonts w:cs="Arial"/>
          <w:szCs w:val="24"/>
        </w:rPr>
        <w:t xml:space="preserve">by the name of The Trolley Doctor is </w:t>
      </w:r>
      <w:r w:rsidR="00F77C38" w:rsidRPr="00AB52EE">
        <w:rPr>
          <w:rFonts w:cs="Arial"/>
          <w:szCs w:val="24"/>
        </w:rPr>
        <w:t xml:space="preserve">registered in </w:t>
      </w:r>
      <w:r w:rsidR="00CA13C5" w:rsidRPr="00AB52EE">
        <w:rPr>
          <w:rFonts w:cs="Arial"/>
          <w:szCs w:val="24"/>
        </w:rPr>
        <w:t xml:space="preserve">the </w:t>
      </w:r>
      <w:r w:rsidR="00F77C38" w:rsidRPr="00AB52EE">
        <w:rPr>
          <w:rFonts w:cs="Arial"/>
          <w:szCs w:val="24"/>
        </w:rPr>
        <w:t>records of the Companies and Intellectual Property Commission</w:t>
      </w:r>
      <w:r w:rsidR="00C26FB3" w:rsidRPr="00AB52EE">
        <w:rPr>
          <w:rFonts w:cs="Arial"/>
          <w:szCs w:val="24"/>
        </w:rPr>
        <w:t xml:space="preserve"> and that the </w:t>
      </w:r>
      <w:r w:rsidR="00F77C38" w:rsidRPr="00AB52EE">
        <w:rPr>
          <w:rFonts w:cs="Arial"/>
          <w:szCs w:val="24"/>
        </w:rPr>
        <w:t xml:space="preserve">transactions were concluded on behalf of The Trolley Doctor by Mr Case’s brother, Charles. While none of this is sufficient basis to conclude on a </w:t>
      </w:r>
      <w:r w:rsidR="00976793" w:rsidRPr="00AB52EE">
        <w:rPr>
          <w:rFonts w:cs="Arial"/>
          <w:color w:val="000000"/>
          <w:szCs w:val="24"/>
        </w:rPr>
        <w:t xml:space="preserve">preponderance </w:t>
      </w:r>
      <w:r w:rsidR="00F77C38" w:rsidRPr="00AB52EE">
        <w:rPr>
          <w:rFonts w:cs="Arial"/>
          <w:szCs w:val="24"/>
        </w:rPr>
        <w:t xml:space="preserve">of </w:t>
      </w:r>
      <w:r w:rsidR="00F77C38" w:rsidRPr="00AB52EE">
        <w:rPr>
          <w:rFonts w:cs="Arial"/>
          <w:szCs w:val="24"/>
        </w:rPr>
        <w:lastRenderedPageBreak/>
        <w:t>probabilities that the trolleys in question were manufactured after 2</w:t>
      </w:r>
      <w:r w:rsidR="00AE3B5A">
        <w:rPr>
          <w:rFonts w:cs="Arial"/>
          <w:szCs w:val="24"/>
        </w:rPr>
        <w:t>2</w:t>
      </w:r>
      <w:r w:rsidR="00F77C38" w:rsidRPr="00AB52EE">
        <w:rPr>
          <w:rFonts w:cs="Arial"/>
          <w:szCs w:val="24"/>
        </w:rPr>
        <w:t xml:space="preserve"> May 2021, or that the </w:t>
      </w:r>
      <w:r w:rsidR="00976793" w:rsidRPr="00AB52EE">
        <w:rPr>
          <w:rFonts w:cs="Arial"/>
          <w:szCs w:val="24"/>
        </w:rPr>
        <w:t xml:space="preserve">summary </w:t>
      </w:r>
      <w:r w:rsidR="00F77C38" w:rsidRPr="00AB52EE">
        <w:rPr>
          <w:rFonts w:cs="Arial"/>
          <w:szCs w:val="24"/>
        </w:rPr>
        <w:t xml:space="preserve">sheet is deficient in any way, </w:t>
      </w:r>
      <w:r w:rsidR="00C26FB3" w:rsidRPr="00AB52EE">
        <w:rPr>
          <w:rFonts w:cs="Arial"/>
          <w:szCs w:val="24"/>
        </w:rPr>
        <w:t xml:space="preserve">I consider it significant that Mr Case has not attempted to dispute what I consider to be </w:t>
      </w:r>
      <w:r w:rsidR="00F77C38" w:rsidRPr="00AB52EE">
        <w:rPr>
          <w:rFonts w:cs="Arial"/>
          <w:szCs w:val="24"/>
        </w:rPr>
        <w:t>Mr Wolfe</w:t>
      </w:r>
      <w:r w:rsidR="00C26FB3" w:rsidRPr="00AB52EE">
        <w:rPr>
          <w:rFonts w:cs="Arial"/>
          <w:szCs w:val="24"/>
        </w:rPr>
        <w:t xml:space="preserve">’s </w:t>
      </w:r>
      <w:r w:rsidR="00AB52EE" w:rsidRPr="00AB52EE">
        <w:rPr>
          <w:rFonts w:cs="Arial"/>
          <w:szCs w:val="24"/>
        </w:rPr>
        <w:t xml:space="preserve">legitimate </w:t>
      </w:r>
      <w:r w:rsidR="00C26FB3" w:rsidRPr="00AB52EE">
        <w:rPr>
          <w:rFonts w:cs="Arial"/>
          <w:szCs w:val="24"/>
        </w:rPr>
        <w:t xml:space="preserve">inference that this entity </w:t>
      </w:r>
      <w:r w:rsidR="00F77C38" w:rsidRPr="00AB52EE">
        <w:rPr>
          <w:rFonts w:cs="Arial"/>
          <w:szCs w:val="24"/>
        </w:rPr>
        <w:t>“bears the hallmark of a front”.</w:t>
      </w:r>
      <w:r w:rsidR="00C26FB3" w:rsidRPr="00AB52EE">
        <w:rPr>
          <w:rFonts w:cs="Arial"/>
          <w:szCs w:val="24"/>
        </w:rPr>
        <w:t xml:space="preserve"> In my view, </w:t>
      </w:r>
      <w:r w:rsidR="00AB52EE" w:rsidRPr="00AB52EE">
        <w:rPr>
          <w:rFonts w:cs="Arial"/>
          <w:szCs w:val="24"/>
        </w:rPr>
        <w:t xml:space="preserve">the absence of a denial in this regard </w:t>
      </w:r>
      <w:r w:rsidR="00D75591" w:rsidRPr="00AB52EE">
        <w:rPr>
          <w:rFonts w:cs="Arial"/>
          <w:szCs w:val="24"/>
        </w:rPr>
        <w:t>is sufficient to give rise to an objectively well-founded apprehension that Mr Case and Vanesco would conceal evidence relating to their business if given the opportunity.</w:t>
      </w:r>
    </w:p>
    <w:p w14:paraId="2C10F007" w14:textId="360C9BA8" w:rsidR="00160474" w:rsidRPr="00AB52EE" w:rsidRDefault="00AB52EE" w:rsidP="00AB52EE">
      <w:pPr>
        <w:pStyle w:val="LC1"/>
        <w:rPr>
          <w:rFonts w:cs="Arial"/>
          <w:szCs w:val="24"/>
        </w:rPr>
      </w:pPr>
      <w:r w:rsidRPr="00AB52EE">
        <w:rPr>
          <w:rFonts w:cs="Arial"/>
          <w:szCs w:val="24"/>
        </w:rPr>
        <w:t>Thirdly</w:t>
      </w:r>
      <w:r w:rsidR="00160474" w:rsidRPr="00AB52EE">
        <w:rPr>
          <w:rFonts w:cs="Arial"/>
          <w:szCs w:val="24"/>
        </w:rPr>
        <w:t xml:space="preserve">, there are a number of aspects of the papers that give me the impression that Mr Case is not afraid to </w:t>
      </w:r>
      <w:r w:rsidR="00D5170B" w:rsidRPr="00AB52EE">
        <w:rPr>
          <w:rFonts w:cs="Arial"/>
          <w:szCs w:val="24"/>
        </w:rPr>
        <w:t xml:space="preserve">make unsubstantiated statements </w:t>
      </w:r>
      <w:r w:rsidR="00160474" w:rsidRPr="00AB52EE">
        <w:rPr>
          <w:rFonts w:cs="Arial"/>
          <w:szCs w:val="24"/>
        </w:rPr>
        <w:t xml:space="preserve">when he considers it strategic. One example here is his evidently </w:t>
      </w:r>
      <w:r w:rsidR="00D5170B" w:rsidRPr="00AB52EE">
        <w:rPr>
          <w:rFonts w:cs="Arial"/>
          <w:szCs w:val="24"/>
        </w:rPr>
        <w:t xml:space="preserve">incorrect </w:t>
      </w:r>
      <w:r w:rsidR="00160474" w:rsidRPr="00AB52EE">
        <w:rPr>
          <w:rFonts w:cs="Arial"/>
          <w:szCs w:val="24"/>
        </w:rPr>
        <w:t xml:space="preserve">statement to the </w:t>
      </w:r>
      <w:r w:rsidR="00A04F0D" w:rsidRPr="00AB52EE">
        <w:rPr>
          <w:rFonts w:cs="Arial"/>
          <w:szCs w:val="24"/>
        </w:rPr>
        <w:t>S</w:t>
      </w:r>
      <w:r w:rsidR="00160474" w:rsidRPr="00AB52EE">
        <w:rPr>
          <w:rFonts w:cs="Arial"/>
          <w:szCs w:val="24"/>
        </w:rPr>
        <w:t xml:space="preserve">heriff at the time that the search party sought to gain entry </w:t>
      </w:r>
      <w:r w:rsidR="00D5170B" w:rsidRPr="00AB52EE">
        <w:rPr>
          <w:rFonts w:cs="Arial"/>
          <w:szCs w:val="24"/>
        </w:rPr>
        <w:t xml:space="preserve">to his home </w:t>
      </w:r>
      <w:r w:rsidR="00160474" w:rsidRPr="00AB52EE">
        <w:rPr>
          <w:rFonts w:cs="Arial"/>
          <w:szCs w:val="24"/>
        </w:rPr>
        <w:t xml:space="preserve">that there was no </w:t>
      </w:r>
      <w:r w:rsidR="00D5170B" w:rsidRPr="00AB52EE">
        <w:rPr>
          <w:rFonts w:cs="Arial"/>
          <w:szCs w:val="24"/>
        </w:rPr>
        <w:t>domestic worker present</w:t>
      </w:r>
      <w:r w:rsidR="00160474" w:rsidRPr="00AB52EE">
        <w:rPr>
          <w:rFonts w:cs="Arial"/>
          <w:szCs w:val="24"/>
        </w:rPr>
        <w:t xml:space="preserve">. </w:t>
      </w:r>
      <w:r w:rsidR="00D5170B" w:rsidRPr="00AB52EE">
        <w:rPr>
          <w:rFonts w:cs="Arial"/>
          <w:szCs w:val="24"/>
        </w:rPr>
        <w:t xml:space="preserve">Mr Case </w:t>
      </w:r>
      <w:r w:rsidR="00160474" w:rsidRPr="00AB52EE">
        <w:rPr>
          <w:rFonts w:cs="Arial"/>
          <w:szCs w:val="24"/>
        </w:rPr>
        <w:t xml:space="preserve">makes no attempt to dispute this statement in </w:t>
      </w:r>
      <w:r w:rsidR="00AF2360" w:rsidRPr="00AB52EE">
        <w:rPr>
          <w:rFonts w:cs="Arial"/>
          <w:szCs w:val="24"/>
        </w:rPr>
        <w:t xml:space="preserve">Mr </w:t>
      </w:r>
      <w:r w:rsidR="00160474" w:rsidRPr="00AB52EE">
        <w:rPr>
          <w:rFonts w:cs="Arial"/>
          <w:szCs w:val="24"/>
        </w:rPr>
        <w:t>Shoba’s affidavit</w:t>
      </w:r>
      <w:r w:rsidR="00D5170B" w:rsidRPr="00AB52EE">
        <w:rPr>
          <w:rFonts w:cs="Arial"/>
          <w:szCs w:val="24"/>
        </w:rPr>
        <w:t>,</w:t>
      </w:r>
      <w:r w:rsidR="00160474" w:rsidRPr="00AB52EE">
        <w:rPr>
          <w:rFonts w:cs="Arial"/>
          <w:szCs w:val="24"/>
        </w:rPr>
        <w:t xml:space="preserve"> and </w:t>
      </w:r>
      <w:r w:rsidRPr="00AB52EE">
        <w:rPr>
          <w:rFonts w:cs="Arial"/>
          <w:szCs w:val="24"/>
        </w:rPr>
        <w:t xml:space="preserve">in fact </w:t>
      </w:r>
      <w:r w:rsidR="00160474" w:rsidRPr="00AB52EE">
        <w:rPr>
          <w:rFonts w:cs="Arial"/>
          <w:szCs w:val="24"/>
        </w:rPr>
        <w:t>incorporates it by reference in his answering affidavit.  Despite this, it is common cause (</w:t>
      </w:r>
      <w:r w:rsidRPr="00AB52EE">
        <w:rPr>
          <w:rFonts w:cs="Arial"/>
          <w:szCs w:val="24"/>
        </w:rPr>
        <w:t xml:space="preserve">and </w:t>
      </w:r>
      <w:r w:rsidR="00160474" w:rsidRPr="00AB52EE">
        <w:rPr>
          <w:rFonts w:cs="Arial"/>
          <w:szCs w:val="24"/>
        </w:rPr>
        <w:t xml:space="preserve">his own attorney testified under oath) that a domestic worker was indeed </w:t>
      </w:r>
      <w:r w:rsidR="00792892" w:rsidRPr="00AB52EE">
        <w:rPr>
          <w:rFonts w:cs="Arial"/>
          <w:szCs w:val="24"/>
        </w:rPr>
        <w:t xml:space="preserve">present </w:t>
      </w:r>
      <w:r w:rsidR="00160474" w:rsidRPr="00AB52EE">
        <w:rPr>
          <w:rFonts w:cs="Arial"/>
          <w:szCs w:val="24"/>
        </w:rPr>
        <w:t xml:space="preserve">on the premises and that she denied the </w:t>
      </w:r>
      <w:r w:rsidR="00A04F0D" w:rsidRPr="00AB52EE">
        <w:rPr>
          <w:rFonts w:cs="Arial"/>
          <w:szCs w:val="24"/>
        </w:rPr>
        <w:t>S</w:t>
      </w:r>
      <w:r w:rsidR="00160474" w:rsidRPr="00AB52EE">
        <w:rPr>
          <w:rFonts w:cs="Arial"/>
          <w:szCs w:val="24"/>
        </w:rPr>
        <w:t xml:space="preserve">heriff access. </w:t>
      </w:r>
    </w:p>
    <w:p w14:paraId="12BFBCBE" w14:textId="190ABAEF" w:rsidR="00F77C38" w:rsidRPr="00AB52EE" w:rsidRDefault="00F77C38" w:rsidP="00AB52EE">
      <w:pPr>
        <w:pStyle w:val="LC1"/>
        <w:rPr>
          <w:rFonts w:cs="Arial"/>
          <w:szCs w:val="24"/>
        </w:rPr>
      </w:pPr>
      <w:r w:rsidRPr="00AB52EE">
        <w:rPr>
          <w:rFonts w:cs="Arial"/>
          <w:szCs w:val="24"/>
        </w:rPr>
        <w:t>Finally, it is not inherently improbable that part</w:t>
      </w:r>
      <w:r w:rsidR="00792892" w:rsidRPr="00AB52EE">
        <w:rPr>
          <w:rFonts w:cs="Arial"/>
          <w:szCs w:val="24"/>
        </w:rPr>
        <w:t>ies</w:t>
      </w:r>
      <w:r w:rsidRPr="00AB52EE">
        <w:rPr>
          <w:rFonts w:cs="Arial"/>
          <w:szCs w:val="24"/>
        </w:rPr>
        <w:t xml:space="preserve"> in the position of Vanesco </w:t>
      </w:r>
      <w:r w:rsidR="00792892" w:rsidRPr="00AB52EE">
        <w:rPr>
          <w:rFonts w:cs="Arial"/>
          <w:szCs w:val="24"/>
        </w:rPr>
        <w:t xml:space="preserve">and Mr Case </w:t>
      </w:r>
      <w:r w:rsidRPr="00AB52EE">
        <w:rPr>
          <w:rFonts w:cs="Arial"/>
          <w:szCs w:val="24"/>
        </w:rPr>
        <w:t xml:space="preserve">would attempt to </w:t>
      </w:r>
      <w:r w:rsidR="00792892" w:rsidRPr="00AB52EE">
        <w:rPr>
          <w:rFonts w:cs="Arial"/>
          <w:szCs w:val="24"/>
        </w:rPr>
        <w:t>conceal evidence</w:t>
      </w:r>
      <w:r w:rsidRPr="00AB52EE">
        <w:rPr>
          <w:rFonts w:cs="Arial"/>
          <w:szCs w:val="24"/>
        </w:rPr>
        <w:t xml:space="preserve">. In particular, the mere fact that </w:t>
      </w:r>
      <w:r w:rsidR="00636C6A" w:rsidRPr="00AB52EE">
        <w:rPr>
          <w:rFonts w:cs="Arial"/>
          <w:szCs w:val="24"/>
          <w:lang w:eastAsia="en-ZA"/>
        </w:rPr>
        <w:t xml:space="preserve">the respondents </w:t>
      </w:r>
      <w:r w:rsidRPr="00AB52EE">
        <w:rPr>
          <w:rFonts w:cs="Arial"/>
          <w:szCs w:val="24"/>
        </w:rPr>
        <w:t xml:space="preserve">were aware of the contempt proceedings before the Anton Piller order was granted does not mean that they would not: they were not aware that Supercart would dispute Mr Case’s absence of knowledge and the extent of the admitted breaches, </w:t>
      </w:r>
      <w:r w:rsidR="00792892" w:rsidRPr="00AB52EE">
        <w:rPr>
          <w:rFonts w:cs="Arial"/>
          <w:szCs w:val="24"/>
        </w:rPr>
        <w:t xml:space="preserve">and it is unlikely that </w:t>
      </w:r>
      <w:r w:rsidR="00AB52EE" w:rsidRPr="00AB52EE">
        <w:rPr>
          <w:rFonts w:cs="Arial"/>
          <w:szCs w:val="24"/>
        </w:rPr>
        <w:t>t</w:t>
      </w:r>
      <w:r w:rsidR="00792892" w:rsidRPr="00AB52EE">
        <w:rPr>
          <w:rFonts w:cs="Arial"/>
          <w:szCs w:val="24"/>
        </w:rPr>
        <w:t>he</w:t>
      </w:r>
      <w:r w:rsidR="00AB52EE" w:rsidRPr="00AB52EE">
        <w:rPr>
          <w:rFonts w:cs="Arial"/>
          <w:szCs w:val="24"/>
        </w:rPr>
        <w:t>y</w:t>
      </w:r>
      <w:r w:rsidR="00792892" w:rsidRPr="00AB52EE">
        <w:rPr>
          <w:rFonts w:cs="Arial"/>
          <w:szCs w:val="24"/>
        </w:rPr>
        <w:t xml:space="preserve"> contemplated that </w:t>
      </w:r>
      <w:r w:rsidR="00AB52EE" w:rsidRPr="00AB52EE">
        <w:rPr>
          <w:rFonts w:cs="Arial"/>
          <w:szCs w:val="24"/>
        </w:rPr>
        <w:t xml:space="preserve">Supercart </w:t>
      </w:r>
      <w:r w:rsidR="00792892" w:rsidRPr="00AB52EE">
        <w:rPr>
          <w:rFonts w:cs="Arial"/>
          <w:szCs w:val="24"/>
        </w:rPr>
        <w:t xml:space="preserve">would </w:t>
      </w:r>
      <w:r w:rsidR="00AB52EE" w:rsidRPr="00AB52EE">
        <w:rPr>
          <w:rFonts w:cs="Arial"/>
          <w:szCs w:val="24"/>
        </w:rPr>
        <w:t xml:space="preserve">launch </w:t>
      </w:r>
      <w:r w:rsidR="00792892" w:rsidRPr="00AB52EE">
        <w:rPr>
          <w:rFonts w:cs="Arial"/>
          <w:szCs w:val="24"/>
        </w:rPr>
        <w:t xml:space="preserve">an Anton Piller application </w:t>
      </w:r>
      <w:r w:rsidR="00AB52EE" w:rsidRPr="00AB52EE">
        <w:rPr>
          <w:rFonts w:cs="Arial"/>
          <w:szCs w:val="24"/>
        </w:rPr>
        <w:t xml:space="preserve">before </w:t>
      </w:r>
      <w:r w:rsidRPr="00AB52EE">
        <w:rPr>
          <w:rFonts w:cs="Arial"/>
          <w:szCs w:val="24"/>
        </w:rPr>
        <w:t>seek</w:t>
      </w:r>
      <w:r w:rsidR="00AB52EE" w:rsidRPr="00AB52EE">
        <w:rPr>
          <w:rFonts w:cs="Arial"/>
          <w:szCs w:val="24"/>
        </w:rPr>
        <w:t>ing</w:t>
      </w:r>
      <w:r w:rsidRPr="00AB52EE">
        <w:rPr>
          <w:rFonts w:cs="Arial"/>
          <w:szCs w:val="24"/>
        </w:rPr>
        <w:t xml:space="preserve"> an order requiring discovery in the contempt application.</w:t>
      </w:r>
    </w:p>
    <w:p w14:paraId="5FFC8BB1" w14:textId="683EC8D3" w:rsidR="006753C6" w:rsidRPr="00AB52EE" w:rsidRDefault="006753C6" w:rsidP="007A27ED">
      <w:pPr>
        <w:pStyle w:val="LC1"/>
        <w:rPr>
          <w:rFonts w:cs="Arial"/>
          <w:szCs w:val="24"/>
        </w:rPr>
      </w:pPr>
      <w:r w:rsidRPr="00AB52EE">
        <w:rPr>
          <w:rFonts w:cs="Arial"/>
          <w:szCs w:val="24"/>
        </w:rPr>
        <w:lastRenderedPageBreak/>
        <w:t xml:space="preserve">I therefore conclude that the </w:t>
      </w:r>
      <w:r w:rsidR="00AB52EE" w:rsidRPr="00AB52EE">
        <w:rPr>
          <w:rFonts w:cs="Arial"/>
          <w:szCs w:val="24"/>
        </w:rPr>
        <w:t xml:space="preserve">respondent’s </w:t>
      </w:r>
      <w:r w:rsidRPr="00AB52EE">
        <w:rPr>
          <w:rFonts w:cs="Arial"/>
          <w:szCs w:val="24"/>
        </w:rPr>
        <w:t xml:space="preserve">challenge to the order on the basis of </w:t>
      </w:r>
      <w:r w:rsidR="001A268D" w:rsidRPr="00AB52EE">
        <w:rPr>
          <w:rFonts w:cs="Arial"/>
          <w:szCs w:val="24"/>
        </w:rPr>
        <w:t xml:space="preserve">Supercart’s alleged </w:t>
      </w:r>
      <w:r w:rsidRPr="00AB52EE">
        <w:rPr>
          <w:rFonts w:cs="Arial"/>
          <w:szCs w:val="24"/>
        </w:rPr>
        <w:t xml:space="preserve">failure to establish the third </w:t>
      </w:r>
      <w:r w:rsidR="00AE3177" w:rsidRPr="00AB52EE">
        <w:rPr>
          <w:rFonts w:cs="Arial"/>
          <w:szCs w:val="24"/>
          <w:lang w:eastAsia="en-ZA"/>
        </w:rPr>
        <w:t xml:space="preserve">threshold </w:t>
      </w:r>
      <w:r w:rsidRPr="00AB52EE">
        <w:rPr>
          <w:rFonts w:cs="Arial"/>
          <w:szCs w:val="24"/>
        </w:rPr>
        <w:t>requirement cannot succeed.</w:t>
      </w:r>
    </w:p>
    <w:p w14:paraId="0895F4E6" w14:textId="6121D5F1" w:rsidR="006976A4" w:rsidRPr="00AB52EE" w:rsidRDefault="00A03752" w:rsidP="007873ED">
      <w:pPr>
        <w:pStyle w:val="LC1"/>
        <w:keepNext/>
        <w:numPr>
          <w:ilvl w:val="0"/>
          <w:numId w:val="0"/>
        </w:numPr>
        <w:rPr>
          <w:rFonts w:cs="Arial"/>
          <w:b/>
          <w:bCs/>
          <w:szCs w:val="24"/>
          <w:lang w:eastAsia="en-ZA"/>
        </w:rPr>
      </w:pPr>
      <w:r w:rsidRPr="00AB52EE">
        <w:rPr>
          <w:rFonts w:cs="Arial"/>
          <w:b/>
          <w:bCs/>
          <w:szCs w:val="24"/>
          <w:lang w:eastAsia="en-ZA"/>
        </w:rPr>
        <w:t xml:space="preserve">SAFEGUARDS: THE </w:t>
      </w:r>
      <w:r w:rsidR="007873ED" w:rsidRPr="00AB52EE">
        <w:rPr>
          <w:rFonts w:cs="Arial"/>
          <w:b/>
          <w:bCs/>
          <w:szCs w:val="24"/>
          <w:lang w:eastAsia="en-ZA"/>
        </w:rPr>
        <w:t>APO</w:t>
      </w:r>
      <w:r w:rsidR="00483098" w:rsidRPr="00AB52EE">
        <w:rPr>
          <w:rFonts w:cs="Arial"/>
          <w:b/>
          <w:bCs/>
          <w:szCs w:val="24"/>
          <w:lang w:eastAsia="en-ZA"/>
        </w:rPr>
        <w:t>I</w:t>
      </w:r>
      <w:r w:rsidR="007873ED" w:rsidRPr="00AB52EE">
        <w:rPr>
          <w:rFonts w:cs="Arial"/>
          <w:b/>
          <w:bCs/>
          <w:szCs w:val="24"/>
          <w:lang w:eastAsia="en-ZA"/>
        </w:rPr>
        <w:t xml:space="preserve">NTMENT OF THE </w:t>
      </w:r>
      <w:r w:rsidRPr="00AB52EE">
        <w:rPr>
          <w:rFonts w:cs="Arial"/>
          <w:b/>
          <w:bCs/>
          <w:szCs w:val="24"/>
          <w:lang w:eastAsia="en-ZA"/>
        </w:rPr>
        <w:t>“ASSISTING ATTORNEYS”</w:t>
      </w:r>
    </w:p>
    <w:p w14:paraId="27F4C9E7" w14:textId="4BAB2F8D" w:rsidR="0014517B" w:rsidRPr="00AB52EE" w:rsidRDefault="00636C6A" w:rsidP="000B66B6">
      <w:pPr>
        <w:pStyle w:val="LC1"/>
        <w:rPr>
          <w:rFonts w:cs="Arial"/>
          <w:szCs w:val="24"/>
          <w:lang w:eastAsia="en-ZA"/>
        </w:rPr>
      </w:pPr>
      <w:r w:rsidRPr="00AB52EE">
        <w:rPr>
          <w:rFonts w:cs="Arial"/>
          <w:szCs w:val="24"/>
          <w:lang w:eastAsia="en-ZA"/>
        </w:rPr>
        <w:t xml:space="preserve">The respondents </w:t>
      </w:r>
      <w:r w:rsidR="006753C6" w:rsidRPr="00AB52EE">
        <w:rPr>
          <w:rFonts w:cs="Arial"/>
          <w:szCs w:val="24"/>
          <w:lang w:eastAsia="en-ZA"/>
        </w:rPr>
        <w:t xml:space="preserve">contend </w:t>
      </w:r>
      <w:r w:rsidR="000F3905" w:rsidRPr="00AB52EE">
        <w:rPr>
          <w:rFonts w:cs="Arial"/>
          <w:szCs w:val="24"/>
          <w:lang w:eastAsia="en-ZA"/>
        </w:rPr>
        <w:t xml:space="preserve">that </w:t>
      </w:r>
      <w:r w:rsidR="00874C99" w:rsidRPr="00AB52EE">
        <w:rPr>
          <w:rFonts w:cs="Arial"/>
          <w:szCs w:val="24"/>
          <w:lang w:eastAsia="en-ZA"/>
        </w:rPr>
        <w:t>paragraph</w:t>
      </w:r>
      <w:r w:rsidR="0057564E" w:rsidRPr="00AB52EE">
        <w:rPr>
          <w:rFonts w:cs="Arial"/>
          <w:szCs w:val="24"/>
          <w:lang w:eastAsia="en-ZA"/>
        </w:rPr>
        <w:t>s</w:t>
      </w:r>
      <w:r w:rsidR="00874C99" w:rsidRPr="00AB52EE">
        <w:rPr>
          <w:rFonts w:cs="Arial"/>
          <w:szCs w:val="24"/>
          <w:lang w:eastAsia="en-ZA"/>
        </w:rPr>
        <w:t xml:space="preserve"> </w:t>
      </w:r>
      <w:r w:rsidR="007873ED" w:rsidRPr="00AB52EE">
        <w:rPr>
          <w:rFonts w:cs="Arial"/>
          <w:szCs w:val="24"/>
          <w:lang w:eastAsia="en-ZA"/>
        </w:rPr>
        <w:t xml:space="preserve">2 </w:t>
      </w:r>
      <w:r w:rsidR="0057564E" w:rsidRPr="00AB52EE">
        <w:rPr>
          <w:rFonts w:cs="Arial"/>
          <w:szCs w:val="24"/>
          <w:lang w:eastAsia="en-ZA"/>
        </w:rPr>
        <w:t xml:space="preserve">and 11 </w:t>
      </w:r>
      <w:r w:rsidR="00874C99" w:rsidRPr="00AB52EE">
        <w:rPr>
          <w:rFonts w:cs="Arial"/>
          <w:szCs w:val="24"/>
          <w:lang w:eastAsia="en-ZA"/>
        </w:rPr>
        <w:t xml:space="preserve">of </w:t>
      </w:r>
      <w:r w:rsidR="0014517B" w:rsidRPr="00AB52EE">
        <w:rPr>
          <w:rFonts w:cs="Arial"/>
          <w:szCs w:val="24"/>
          <w:lang w:eastAsia="en-ZA"/>
        </w:rPr>
        <w:t xml:space="preserve">the </w:t>
      </w:r>
      <w:r w:rsidR="007873ED" w:rsidRPr="00AB52EE">
        <w:rPr>
          <w:rFonts w:cs="Arial"/>
          <w:szCs w:val="24"/>
          <w:lang w:eastAsia="en-ZA"/>
        </w:rPr>
        <w:t xml:space="preserve">Anton Piller </w:t>
      </w:r>
      <w:r w:rsidR="0014517B" w:rsidRPr="00AB52EE">
        <w:rPr>
          <w:rFonts w:cs="Arial"/>
          <w:szCs w:val="24"/>
          <w:lang w:eastAsia="en-ZA"/>
        </w:rPr>
        <w:t>order should not have provided for the appointment of “assisting attorneys” to assist the Sheriff</w:t>
      </w:r>
      <w:r w:rsidR="00A04F0D" w:rsidRPr="00AB52EE">
        <w:rPr>
          <w:rFonts w:cs="Arial"/>
          <w:szCs w:val="24"/>
          <w:lang w:eastAsia="en-ZA"/>
        </w:rPr>
        <w:t>s</w:t>
      </w:r>
      <w:r w:rsidR="0014517B" w:rsidRPr="00AB52EE">
        <w:rPr>
          <w:rFonts w:cs="Arial"/>
          <w:szCs w:val="24"/>
          <w:lang w:eastAsia="en-ZA"/>
        </w:rPr>
        <w:t xml:space="preserve"> in conducting the search and seizure </w:t>
      </w:r>
      <w:r w:rsidR="0057564E" w:rsidRPr="00AB52EE">
        <w:rPr>
          <w:rFonts w:cs="Arial"/>
          <w:szCs w:val="24"/>
          <w:lang w:eastAsia="en-ZA"/>
        </w:rPr>
        <w:t xml:space="preserve">and in inventorising and making copies of the </w:t>
      </w:r>
      <w:r w:rsidR="00CD49AB" w:rsidRPr="00AB52EE">
        <w:rPr>
          <w:rFonts w:cs="Arial"/>
          <w:szCs w:val="24"/>
          <w:lang w:eastAsia="en-ZA"/>
        </w:rPr>
        <w:t xml:space="preserve">attached </w:t>
      </w:r>
      <w:r w:rsidR="0046341C" w:rsidRPr="00AB52EE">
        <w:rPr>
          <w:rFonts w:cs="Arial"/>
          <w:szCs w:val="24"/>
          <w:lang w:eastAsia="en-ZA"/>
        </w:rPr>
        <w:t>items</w:t>
      </w:r>
      <w:r w:rsidR="00A60F68" w:rsidRPr="00AB52EE">
        <w:rPr>
          <w:rFonts w:cs="Arial"/>
          <w:szCs w:val="24"/>
          <w:lang w:eastAsia="en-ZA"/>
        </w:rPr>
        <w:t>.</w:t>
      </w:r>
      <w:r w:rsidR="00AB2F36" w:rsidRPr="00AB52EE">
        <w:rPr>
          <w:rStyle w:val="FootnoteReference"/>
          <w:szCs w:val="24"/>
          <w:lang w:eastAsia="en-ZA"/>
        </w:rPr>
        <w:t xml:space="preserve"> </w:t>
      </w:r>
    </w:p>
    <w:p w14:paraId="2FC7C531" w14:textId="56F85212" w:rsidR="006C106F" w:rsidRPr="00AB52EE" w:rsidRDefault="0057564E" w:rsidP="00666D25">
      <w:pPr>
        <w:pStyle w:val="LC1"/>
        <w:rPr>
          <w:rFonts w:cs="Arial"/>
          <w:szCs w:val="24"/>
          <w:lang w:eastAsia="en-ZA"/>
        </w:rPr>
      </w:pPr>
      <w:r w:rsidRPr="00AB52EE">
        <w:rPr>
          <w:rFonts w:cs="Arial"/>
          <w:szCs w:val="24"/>
          <w:lang w:eastAsia="en-ZA"/>
        </w:rPr>
        <w:t xml:space="preserve">I see no reason in principle why the appointment of </w:t>
      </w:r>
      <w:r w:rsidR="006926EC" w:rsidRPr="00AB52EE">
        <w:rPr>
          <w:rFonts w:cs="Arial"/>
          <w:szCs w:val="24"/>
          <w:lang w:eastAsia="en-ZA"/>
        </w:rPr>
        <w:t xml:space="preserve">independent </w:t>
      </w:r>
      <w:r w:rsidRPr="00AB52EE">
        <w:rPr>
          <w:rFonts w:cs="Arial"/>
          <w:szCs w:val="24"/>
          <w:lang w:eastAsia="en-ZA"/>
        </w:rPr>
        <w:t xml:space="preserve">attorneys </w:t>
      </w:r>
      <w:r w:rsidR="0050152A" w:rsidRPr="00AB52EE">
        <w:rPr>
          <w:rFonts w:cs="Arial"/>
          <w:szCs w:val="24"/>
          <w:lang w:eastAsia="en-ZA"/>
        </w:rPr>
        <w:t xml:space="preserve">to </w:t>
      </w:r>
      <w:r w:rsidR="006926EC" w:rsidRPr="00AB52EE">
        <w:rPr>
          <w:rFonts w:cs="Arial"/>
          <w:szCs w:val="24"/>
          <w:lang w:eastAsia="en-ZA"/>
        </w:rPr>
        <w:t xml:space="preserve">assist </w:t>
      </w:r>
      <w:r w:rsidR="003434D4" w:rsidRPr="00AB52EE">
        <w:rPr>
          <w:rFonts w:cs="Arial"/>
          <w:szCs w:val="24"/>
          <w:lang w:eastAsia="en-ZA"/>
        </w:rPr>
        <w:t xml:space="preserve">the </w:t>
      </w:r>
      <w:r w:rsidR="00A04F0D" w:rsidRPr="00AB52EE">
        <w:rPr>
          <w:rFonts w:cs="Arial"/>
          <w:szCs w:val="24"/>
          <w:lang w:eastAsia="en-ZA"/>
        </w:rPr>
        <w:t>S</w:t>
      </w:r>
      <w:r w:rsidR="003434D4" w:rsidRPr="00AB52EE">
        <w:rPr>
          <w:rFonts w:cs="Arial"/>
          <w:szCs w:val="24"/>
          <w:lang w:eastAsia="en-ZA"/>
        </w:rPr>
        <w:t>heriff</w:t>
      </w:r>
      <w:r w:rsidR="00A04F0D" w:rsidRPr="00AB52EE">
        <w:rPr>
          <w:rFonts w:cs="Arial"/>
          <w:szCs w:val="24"/>
          <w:lang w:eastAsia="en-ZA"/>
        </w:rPr>
        <w:t>s</w:t>
      </w:r>
      <w:r w:rsidR="003434D4" w:rsidRPr="00AB52EE">
        <w:rPr>
          <w:rFonts w:cs="Arial"/>
          <w:szCs w:val="24"/>
          <w:lang w:eastAsia="en-ZA"/>
        </w:rPr>
        <w:t xml:space="preserve"> </w:t>
      </w:r>
      <w:r w:rsidR="007873ED" w:rsidRPr="00AB52EE">
        <w:rPr>
          <w:rFonts w:cs="Arial"/>
          <w:szCs w:val="24"/>
          <w:lang w:eastAsia="en-ZA"/>
        </w:rPr>
        <w:t xml:space="preserve">to perform their functions </w:t>
      </w:r>
      <w:r w:rsidR="00666D25" w:rsidRPr="00AB52EE">
        <w:rPr>
          <w:rFonts w:cs="Arial"/>
          <w:szCs w:val="24"/>
          <w:lang w:eastAsia="en-ZA"/>
        </w:rPr>
        <w:t xml:space="preserve">(even significant portions thereof) </w:t>
      </w:r>
      <w:r w:rsidR="00AB52EE" w:rsidRPr="00AB52EE">
        <w:rPr>
          <w:rFonts w:cs="Arial"/>
          <w:szCs w:val="24"/>
          <w:lang w:eastAsia="en-ZA"/>
        </w:rPr>
        <w:t xml:space="preserve">is </w:t>
      </w:r>
      <w:r w:rsidR="006926EC" w:rsidRPr="00AB52EE">
        <w:rPr>
          <w:rFonts w:cs="Arial"/>
          <w:i/>
          <w:iCs/>
          <w:szCs w:val="24"/>
          <w:lang w:eastAsia="en-ZA"/>
        </w:rPr>
        <w:t>per se</w:t>
      </w:r>
      <w:r w:rsidR="006926EC" w:rsidRPr="00AB52EE">
        <w:rPr>
          <w:rFonts w:cs="Arial"/>
          <w:szCs w:val="24"/>
          <w:lang w:eastAsia="en-ZA"/>
        </w:rPr>
        <w:t xml:space="preserve"> objectionable</w:t>
      </w:r>
      <w:r w:rsidR="00801FC0" w:rsidRPr="00AB52EE">
        <w:rPr>
          <w:rFonts w:cs="Arial"/>
          <w:szCs w:val="24"/>
          <w:lang w:eastAsia="en-ZA"/>
        </w:rPr>
        <w:t>.</w:t>
      </w:r>
      <w:r w:rsidR="0050152A" w:rsidRPr="00AB52EE">
        <w:rPr>
          <w:rFonts w:cs="Arial"/>
          <w:szCs w:val="24"/>
          <w:lang w:eastAsia="en-ZA"/>
        </w:rPr>
        <w:t xml:space="preserve"> </w:t>
      </w:r>
      <w:r w:rsidR="00801FC0" w:rsidRPr="00AB52EE">
        <w:rPr>
          <w:rFonts w:cs="Arial"/>
          <w:szCs w:val="24"/>
          <w:lang w:eastAsia="en-ZA"/>
        </w:rPr>
        <w:t>In my view, the involvement of the assisting attorneys is justified by the nature of the task that the search parties were required to undertake in identifying the ‘relevant evidence’</w:t>
      </w:r>
      <w:r w:rsidR="00AB52EE" w:rsidRPr="00AB52EE">
        <w:rPr>
          <w:rFonts w:cs="Arial"/>
          <w:szCs w:val="24"/>
          <w:lang w:eastAsia="en-ZA"/>
        </w:rPr>
        <w:t xml:space="preserve"> in this case</w:t>
      </w:r>
      <w:r w:rsidR="00801FC0" w:rsidRPr="00AB52EE">
        <w:rPr>
          <w:rFonts w:cs="Arial"/>
          <w:szCs w:val="24"/>
          <w:lang w:eastAsia="en-ZA"/>
        </w:rPr>
        <w:t xml:space="preserve">. Although I have found that this was sufficiently specified, the functions to be performed by the search parties required the application of legal skills. While </w:t>
      </w:r>
      <w:r w:rsidR="00666D25" w:rsidRPr="00AB52EE">
        <w:rPr>
          <w:rFonts w:cs="Arial"/>
          <w:szCs w:val="24"/>
          <w:lang w:eastAsia="en-ZA"/>
        </w:rPr>
        <w:t xml:space="preserve">I have no doubt that some </w:t>
      </w:r>
      <w:r w:rsidR="00801FC0" w:rsidRPr="00AB52EE">
        <w:rPr>
          <w:rFonts w:cs="Arial"/>
          <w:szCs w:val="24"/>
          <w:lang w:eastAsia="en-ZA"/>
        </w:rPr>
        <w:t xml:space="preserve">Sheriffs possess such skills, </w:t>
      </w:r>
      <w:r w:rsidR="00BF40BC">
        <w:rPr>
          <w:rFonts w:cs="Arial"/>
          <w:szCs w:val="24"/>
          <w:lang w:eastAsia="en-ZA"/>
        </w:rPr>
        <w:t xml:space="preserve">it </w:t>
      </w:r>
      <w:r w:rsidR="00801FC0" w:rsidRPr="00AB52EE">
        <w:rPr>
          <w:rFonts w:cs="Arial"/>
          <w:szCs w:val="24"/>
          <w:lang w:eastAsia="en-ZA"/>
        </w:rPr>
        <w:t xml:space="preserve">is not a requisite for appointment </w:t>
      </w:r>
      <w:r w:rsidR="00267735" w:rsidRPr="00AB52EE">
        <w:rPr>
          <w:rFonts w:cs="Arial"/>
          <w:szCs w:val="24"/>
          <w:lang w:eastAsia="en-ZA"/>
        </w:rPr>
        <w:t xml:space="preserve">that </w:t>
      </w:r>
      <w:r w:rsidR="00BF40BC">
        <w:rPr>
          <w:rFonts w:cs="Arial"/>
          <w:szCs w:val="24"/>
          <w:lang w:eastAsia="en-ZA"/>
        </w:rPr>
        <w:t xml:space="preserve">Sheriffs </w:t>
      </w:r>
      <w:r w:rsidR="00267735" w:rsidRPr="00AB52EE">
        <w:rPr>
          <w:rFonts w:cs="Arial"/>
          <w:szCs w:val="24"/>
          <w:lang w:eastAsia="en-ZA"/>
        </w:rPr>
        <w:t>be legally qualified</w:t>
      </w:r>
      <w:r w:rsidR="00801FC0" w:rsidRPr="00AB52EE">
        <w:rPr>
          <w:rFonts w:cs="Arial"/>
          <w:szCs w:val="24"/>
          <w:lang w:eastAsia="en-ZA"/>
        </w:rPr>
        <w:t>.</w:t>
      </w:r>
      <w:r w:rsidR="001A3914" w:rsidRPr="00AB52EE">
        <w:rPr>
          <w:rStyle w:val="FootnoteReference"/>
          <w:szCs w:val="24"/>
          <w:lang w:eastAsia="en-ZA"/>
        </w:rPr>
        <w:footnoteReference w:id="100"/>
      </w:r>
      <w:r w:rsidR="00267735" w:rsidRPr="00AB52EE">
        <w:rPr>
          <w:rFonts w:cs="Arial"/>
          <w:szCs w:val="24"/>
          <w:lang w:eastAsia="en-ZA"/>
        </w:rPr>
        <w:t xml:space="preserve"> </w:t>
      </w:r>
      <w:r w:rsidR="00AB52EE" w:rsidRPr="00AB52EE">
        <w:rPr>
          <w:rFonts w:cs="Arial"/>
          <w:szCs w:val="24"/>
          <w:lang w:eastAsia="en-ZA"/>
        </w:rPr>
        <w:t>T</w:t>
      </w:r>
      <w:r w:rsidR="00267735" w:rsidRPr="00AB52EE">
        <w:rPr>
          <w:rFonts w:cs="Arial"/>
          <w:szCs w:val="24"/>
          <w:lang w:eastAsia="en-ZA"/>
        </w:rPr>
        <w:t>he role of an assisting attorney</w:t>
      </w:r>
      <w:r w:rsidR="00801FC0" w:rsidRPr="00AB52EE">
        <w:rPr>
          <w:rFonts w:cs="Arial"/>
          <w:szCs w:val="24"/>
          <w:lang w:eastAsia="en-ZA"/>
        </w:rPr>
        <w:t xml:space="preserve"> </w:t>
      </w:r>
      <w:r w:rsidR="00267735" w:rsidRPr="00AB52EE">
        <w:rPr>
          <w:rFonts w:cs="Arial"/>
          <w:szCs w:val="24"/>
          <w:lang w:eastAsia="en-ZA"/>
        </w:rPr>
        <w:t xml:space="preserve">is </w:t>
      </w:r>
      <w:r w:rsidR="00AB52EE" w:rsidRPr="00AB52EE">
        <w:rPr>
          <w:rFonts w:cs="Arial"/>
          <w:szCs w:val="24"/>
          <w:lang w:eastAsia="en-ZA"/>
        </w:rPr>
        <w:t xml:space="preserve">thus </w:t>
      </w:r>
      <w:r w:rsidR="00D459DA" w:rsidRPr="00AB52EE">
        <w:rPr>
          <w:rFonts w:cs="Arial"/>
          <w:szCs w:val="24"/>
          <w:lang w:eastAsia="en-ZA"/>
        </w:rPr>
        <w:t xml:space="preserve">in substance </w:t>
      </w:r>
      <w:r w:rsidR="00267735" w:rsidRPr="00AB52EE">
        <w:rPr>
          <w:rFonts w:cs="Arial"/>
          <w:szCs w:val="24"/>
          <w:lang w:eastAsia="en-ZA"/>
        </w:rPr>
        <w:t xml:space="preserve">little different </w:t>
      </w:r>
      <w:r w:rsidR="00D459DA" w:rsidRPr="00AB52EE">
        <w:rPr>
          <w:rFonts w:cs="Arial"/>
          <w:szCs w:val="24"/>
          <w:lang w:eastAsia="en-ZA"/>
        </w:rPr>
        <w:t xml:space="preserve">from </w:t>
      </w:r>
      <w:r w:rsidR="00267735" w:rsidRPr="00AB52EE">
        <w:rPr>
          <w:rFonts w:cs="Arial"/>
          <w:szCs w:val="24"/>
          <w:lang w:eastAsia="en-ZA"/>
        </w:rPr>
        <w:t xml:space="preserve">that of an IT expert, who possesses particular skills that the Sheriff may not. Furthermore, attorneys are </w:t>
      </w:r>
      <w:r w:rsidR="00CA2FAE" w:rsidRPr="00AB52EE">
        <w:rPr>
          <w:rFonts w:cs="Arial"/>
          <w:szCs w:val="24"/>
          <w:lang w:eastAsia="en-ZA"/>
        </w:rPr>
        <w:t xml:space="preserve">under specific duties to maintain the highest standard of honesty and integrity, failing which they face </w:t>
      </w:r>
      <w:r w:rsidR="00CA2FAE" w:rsidRPr="00AB52EE">
        <w:rPr>
          <w:rFonts w:cs="Arial"/>
          <w:szCs w:val="24"/>
          <w:lang w:eastAsia="en-ZA"/>
        </w:rPr>
        <w:lastRenderedPageBreak/>
        <w:t>severe consequences, “even in some circumstances of putting [their] professional career in jeopardy”</w:t>
      </w:r>
      <w:r w:rsidR="00483098" w:rsidRPr="00AB52EE">
        <w:rPr>
          <w:rFonts w:cs="Arial"/>
          <w:szCs w:val="24"/>
          <w:lang w:eastAsia="en-ZA"/>
        </w:rPr>
        <w:t>.</w:t>
      </w:r>
      <w:r w:rsidR="00CA2FAE" w:rsidRPr="00AB52EE">
        <w:rPr>
          <w:rStyle w:val="FootnoteReference"/>
          <w:szCs w:val="24"/>
          <w:lang w:eastAsia="en-ZA"/>
        </w:rPr>
        <w:footnoteReference w:id="101"/>
      </w:r>
      <w:r w:rsidR="00483098" w:rsidRPr="00AB52EE">
        <w:rPr>
          <w:rFonts w:cs="Arial"/>
          <w:szCs w:val="24"/>
          <w:lang w:eastAsia="en-ZA"/>
        </w:rPr>
        <w:t xml:space="preserve"> </w:t>
      </w:r>
    </w:p>
    <w:p w14:paraId="6C8881A8" w14:textId="523E4833" w:rsidR="00483098" w:rsidRPr="00AB52EE" w:rsidRDefault="00483098" w:rsidP="00666D25">
      <w:pPr>
        <w:pStyle w:val="LC1"/>
        <w:rPr>
          <w:rFonts w:cs="Arial"/>
          <w:szCs w:val="24"/>
          <w:lang w:eastAsia="en-ZA"/>
        </w:rPr>
      </w:pPr>
      <w:r w:rsidRPr="00AB52EE">
        <w:rPr>
          <w:rFonts w:cs="Arial"/>
          <w:szCs w:val="24"/>
          <w:lang w:eastAsia="en-ZA"/>
        </w:rPr>
        <w:t xml:space="preserve">I thus do not think that there is any merit in this challenge to the </w:t>
      </w:r>
      <w:r w:rsidR="00AB52EE" w:rsidRPr="00AB52EE">
        <w:rPr>
          <w:rFonts w:cs="Arial"/>
          <w:szCs w:val="24"/>
          <w:lang w:eastAsia="en-ZA"/>
        </w:rPr>
        <w:t xml:space="preserve">Anton Piller </w:t>
      </w:r>
      <w:r w:rsidRPr="00AB52EE">
        <w:rPr>
          <w:rFonts w:cs="Arial"/>
          <w:szCs w:val="24"/>
          <w:lang w:eastAsia="en-ZA"/>
        </w:rPr>
        <w:t>order.</w:t>
      </w:r>
    </w:p>
    <w:p w14:paraId="369BE713" w14:textId="4D72E0F9" w:rsidR="0050152A" w:rsidRPr="00AB52EE" w:rsidRDefault="00A03752" w:rsidP="002C7131">
      <w:pPr>
        <w:pStyle w:val="LC1"/>
        <w:keepNext/>
        <w:numPr>
          <w:ilvl w:val="0"/>
          <w:numId w:val="0"/>
        </w:numPr>
        <w:rPr>
          <w:rFonts w:cs="Arial"/>
          <w:b/>
          <w:bCs/>
          <w:szCs w:val="24"/>
          <w:lang w:eastAsia="en-ZA"/>
        </w:rPr>
      </w:pPr>
      <w:r w:rsidRPr="00AB52EE">
        <w:rPr>
          <w:rFonts w:cs="Arial"/>
          <w:b/>
          <w:bCs/>
          <w:szCs w:val="24"/>
          <w:lang w:eastAsia="en-ZA"/>
        </w:rPr>
        <w:t>SAFEGUARDS: INVOLVEMENT OF THE SAP</w:t>
      </w:r>
      <w:r w:rsidR="00CC27A4" w:rsidRPr="00AB52EE">
        <w:rPr>
          <w:rFonts w:cs="Arial"/>
          <w:b/>
          <w:bCs/>
          <w:szCs w:val="24"/>
          <w:lang w:eastAsia="en-ZA"/>
        </w:rPr>
        <w:t>S</w:t>
      </w:r>
    </w:p>
    <w:p w14:paraId="55848F2E" w14:textId="55D08E41" w:rsidR="00832F68" w:rsidRPr="00AB52EE" w:rsidRDefault="00D329BE" w:rsidP="007A27ED">
      <w:pPr>
        <w:pStyle w:val="LC1"/>
        <w:rPr>
          <w:rFonts w:cs="Arial"/>
          <w:szCs w:val="24"/>
          <w:lang w:eastAsia="en-ZA"/>
        </w:rPr>
      </w:pPr>
      <w:r w:rsidRPr="00AB52EE">
        <w:rPr>
          <w:rFonts w:cs="Arial"/>
          <w:szCs w:val="24"/>
          <w:lang w:eastAsia="en-ZA"/>
        </w:rPr>
        <w:t xml:space="preserve">The order is next </w:t>
      </w:r>
      <w:r w:rsidR="00BF40BC">
        <w:rPr>
          <w:rFonts w:cs="Arial"/>
          <w:szCs w:val="24"/>
          <w:lang w:eastAsia="en-ZA"/>
        </w:rPr>
        <w:t xml:space="preserve">challenged </w:t>
      </w:r>
      <w:r w:rsidR="00D47429" w:rsidRPr="00AB52EE">
        <w:rPr>
          <w:rFonts w:cs="Arial"/>
          <w:szCs w:val="24"/>
          <w:lang w:eastAsia="en-ZA"/>
        </w:rPr>
        <w:t xml:space="preserve">on the basis that there was no </w:t>
      </w:r>
      <w:r w:rsidR="00917D7A" w:rsidRPr="00AB52EE">
        <w:rPr>
          <w:rFonts w:cs="Arial"/>
          <w:szCs w:val="24"/>
          <w:lang w:eastAsia="en-ZA"/>
        </w:rPr>
        <w:t xml:space="preserve">justification </w:t>
      </w:r>
      <w:r w:rsidR="00D47429" w:rsidRPr="00AB52EE">
        <w:rPr>
          <w:rFonts w:cs="Arial"/>
          <w:szCs w:val="24"/>
          <w:lang w:eastAsia="en-ZA"/>
        </w:rPr>
        <w:t xml:space="preserve">for </w:t>
      </w:r>
      <w:r w:rsidR="003434D4" w:rsidRPr="00AB52EE">
        <w:rPr>
          <w:rFonts w:cs="Arial"/>
          <w:szCs w:val="24"/>
          <w:lang w:eastAsia="en-ZA"/>
        </w:rPr>
        <w:t xml:space="preserve">that part of </w:t>
      </w:r>
      <w:r w:rsidR="00D47429" w:rsidRPr="00AB52EE">
        <w:rPr>
          <w:rFonts w:cs="Arial"/>
          <w:szCs w:val="24"/>
          <w:lang w:eastAsia="en-ZA"/>
        </w:rPr>
        <w:t xml:space="preserve">paragraph </w:t>
      </w:r>
      <w:r w:rsidR="003434D4" w:rsidRPr="00AB52EE">
        <w:rPr>
          <w:rFonts w:cs="Arial"/>
          <w:szCs w:val="24"/>
          <w:lang w:eastAsia="en-ZA"/>
        </w:rPr>
        <w:t>13 which authorised the search part</w:t>
      </w:r>
      <w:r w:rsidR="00981B92" w:rsidRPr="00AB52EE">
        <w:rPr>
          <w:rFonts w:cs="Arial"/>
          <w:szCs w:val="24"/>
          <w:lang w:eastAsia="en-ZA"/>
        </w:rPr>
        <w:t>ies</w:t>
      </w:r>
      <w:r w:rsidR="003434D4" w:rsidRPr="00AB52EE">
        <w:rPr>
          <w:rFonts w:cs="Arial"/>
          <w:szCs w:val="24"/>
          <w:lang w:eastAsia="en-ZA"/>
        </w:rPr>
        <w:t xml:space="preserve"> to gain entry to the premises “</w:t>
      </w:r>
      <w:r w:rsidR="003434D4" w:rsidRPr="00AB52EE">
        <w:rPr>
          <w:rFonts w:cs="Arial"/>
          <w:szCs w:val="24"/>
        </w:rPr>
        <w:t>using the least invasive means at their disposal for such purpose, including if necessary summoning the South African Police Service …”.</w:t>
      </w:r>
      <w:r w:rsidRPr="00AB52EE">
        <w:rPr>
          <w:rFonts w:cs="Arial"/>
          <w:szCs w:val="24"/>
        </w:rPr>
        <w:t xml:space="preserve"> </w:t>
      </w:r>
    </w:p>
    <w:p w14:paraId="1F68EA0F" w14:textId="79A4F3C4" w:rsidR="00A97AB0" w:rsidRPr="00AB52EE" w:rsidRDefault="00845FB2" w:rsidP="007A27ED">
      <w:pPr>
        <w:pStyle w:val="LC1"/>
        <w:rPr>
          <w:rFonts w:cs="Arial"/>
          <w:szCs w:val="24"/>
          <w:lang w:eastAsia="en-ZA"/>
        </w:rPr>
      </w:pPr>
      <w:r w:rsidRPr="00AB52EE">
        <w:rPr>
          <w:rFonts w:cs="Arial"/>
          <w:szCs w:val="24"/>
          <w:lang w:eastAsia="en-ZA"/>
        </w:rPr>
        <w:t>Without citing any authority</w:t>
      </w:r>
      <w:r w:rsidR="00636C6A" w:rsidRPr="00AB52EE">
        <w:rPr>
          <w:rFonts w:cs="Arial"/>
          <w:szCs w:val="24"/>
          <w:lang w:eastAsia="en-ZA"/>
        </w:rPr>
        <w:t>,</w:t>
      </w:r>
      <w:r w:rsidRPr="00AB52EE">
        <w:rPr>
          <w:rFonts w:cs="Arial"/>
          <w:szCs w:val="24"/>
        </w:rPr>
        <w:t xml:space="preserve"> </w:t>
      </w:r>
      <w:r w:rsidR="00636C6A" w:rsidRPr="00AB52EE">
        <w:rPr>
          <w:rFonts w:cs="Arial"/>
          <w:szCs w:val="24"/>
          <w:lang w:eastAsia="en-ZA"/>
        </w:rPr>
        <w:t xml:space="preserve">the respondents </w:t>
      </w:r>
      <w:r w:rsidR="00BF40BC">
        <w:rPr>
          <w:rFonts w:cs="Arial"/>
          <w:szCs w:val="24"/>
          <w:lang w:eastAsia="en-ZA"/>
        </w:rPr>
        <w:t xml:space="preserve">impugn </w:t>
      </w:r>
      <w:r w:rsidR="00832F68" w:rsidRPr="00AB52EE">
        <w:rPr>
          <w:rFonts w:cs="Arial"/>
          <w:szCs w:val="24"/>
          <w:lang w:eastAsia="en-ZA"/>
        </w:rPr>
        <w:t xml:space="preserve">the inclusion of this </w:t>
      </w:r>
      <w:r w:rsidR="00C71BA1" w:rsidRPr="00AB52EE">
        <w:rPr>
          <w:rFonts w:cs="Arial"/>
          <w:szCs w:val="24"/>
          <w:lang w:eastAsia="en-ZA"/>
        </w:rPr>
        <w:t xml:space="preserve">provision </w:t>
      </w:r>
      <w:r w:rsidR="00D329BE" w:rsidRPr="00AB52EE">
        <w:rPr>
          <w:rFonts w:cs="Arial"/>
          <w:szCs w:val="24"/>
          <w:lang w:eastAsia="en-ZA"/>
        </w:rPr>
        <w:t xml:space="preserve">in the order </w:t>
      </w:r>
      <w:r w:rsidR="00D329BE" w:rsidRPr="00AB52EE">
        <w:rPr>
          <w:rFonts w:cs="Arial"/>
          <w:i/>
          <w:iCs/>
          <w:szCs w:val="24"/>
          <w:lang w:eastAsia="en-ZA"/>
        </w:rPr>
        <w:t>per se</w:t>
      </w:r>
      <w:r w:rsidR="00403DCA">
        <w:rPr>
          <w:rFonts w:cs="Arial"/>
          <w:i/>
          <w:iCs/>
          <w:szCs w:val="24"/>
          <w:lang w:eastAsia="en-ZA"/>
        </w:rPr>
        <w:t xml:space="preserve"> </w:t>
      </w:r>
      <w:r w:rsidR="00BF40BC">
        <w:rPr>
          <w:rFonts w:cs="Arial"/>
          <w:szCs w:val="24"/>
          <w:lang w:eastAsia="en-ZA"/>
        </w:rPr>
        <w:t xml:space="preserve">as </w:t>
      </w:r>
      <w:r w:rsidR="00D329BE" w:rsidRPr="00AB52EE">
        <w:rPr>
          <w:rFonts w:cs="Arial"/>
          <w:szCs w:val="24"/>
          <w:lang w:eastAsia="en-ZA"/>
        </w:rPr>
        <w:t>a “jack-booted approach”</w:t>
      </w:r>
      <w:r w:rsidR="00AB52EE">
        <w:rPr>
          <w:rFonts w:cs="Arial"/>
          <w:szCs w:val="24"/>
          <w:lang w:eastAsia="en-ZA"/>
        </w:rPr>
        <w:t>,</w:t>
      </w:r>
      <w:r w:rsidRPr="00AB52EE">
        <w:rPr>
          <w:rFonts w:cs="Arial"/>
          <w:szCs w:val="24"/>
          <w:lang w:eastAsia="en-ZA"/>
        </w:rPr>
        <w:t xml:space="preserve"> irrespective of the manner in which it was actually invoked. </w:t>
      </w:r>
      <w:r w:rsidR="00AB52EE">
        <w:rPr>
          <w:rFonts w:cs="Arial"/>
          <w:szCs w:val="24"/>
          <w:lang w:eastAsia="en-ZA"/>
        </w:rPr>
        <w:t xml:space="preserve">This </w:t>
      </w:r>
      <w:r w:rsidR="0020587B" w:rsidRPr="00AB52EE">
        <w:rPr>
          <w:rFonts w:cs="Arial"/>
          <w:szCs w:val="24"/>
          <w:lang w:eastAsia="en-ZA"/>
        </w:rPr>
        <w:t xml:space="preserve">objection cannot be sustained. </w:t>
      </w:r>
      <w:r w:rsidRPr="00AB52EE">
        <w:rPr>
          <w:rFonts w:cs="Arial"/>
          <w:szCs w:val="24"/>
          <w:lang w:eastAsia="en-ZA"/>
        </w:rPr>
        <w:t>I</w:t>
      </w:r>
      <w:r w:rsidR="0020587B" w:rsidRPr="00AB52EE">
        <w:rPr>
          <w:rFonts w:cs="Arial"/>
          <w:szCs w:val="24"/>
          <w:lang w:eastAsia="en-ZA"/>
        </w:rPr>
        <w:t xml:space="preserve">t is true that </w:t>
      </w:r>
      <w:r w:rsidR="00832F68" w:rsidRPr="00AB52EE">
        <w:rPr>
          <w:rFonts w:cs="Arial"/>
          <w:szCs w:val="24"/>
          <w:lang w:eastAsia="en-ZA"/>
        </w:rPr>
        <w:t xml:space="preserve">the SCA </w:t>
      </w:r>
      <w:r w:rsidR="00D459DA" w:rsidRPr="00AB52EE">
        <w:rPr>
          <w:rFonts w:cs="Arial"/>
          <w:szCs w:val="24"/>
          <w:lang w:eastAsia="en-ZA"/>
        </w:rPr>
        <w:t xml:space="preserve">was </w:t>
      </w:r>
      <w:r w:rsidR="0020587B" w:rsidRPr="00AB52EE">
        <w:rPr>
          <w:rFonts w:cs="Arial"/>
          <w:szCs w:val="24"/>
          <w:lang w:eastAsia="en-ZA"/>
        </w:rPr>
        <w:t xml:space="preserve">dubious about </w:t>
      </w:r>
      <w:r w:rsidR="00832F68" w:rsidRPr="00AB52EE">
        <w:rPr>
          <w:rFonts w:cs="Arial"/>
          <w:szCs w:val="24"/>
          <w:lang w:eastAsia="en-ZA"/>
        </w:rPr>
        <w:t xml:space="preserve">the inclusion of a similar paragraph in the order that it overturned in </w:t>
      </w:r>
      <w:r w:rsidR="00832F68" w:rsidRPr="00AB52EE">
        <w:rPr>
          <w:rFonts w:cs="Arial"/>
          <w:i/>
          <w:iCs/>
          <w:szCs w:val="24"/>
          <w:lang w:eastAsia="en-ZA"/>
        </w:rPr>
        <w:t>Memory Institute</w:t>
      </w:r>
      <w:r w:rsidR="00832F68" w:rsidRPr="00AB52EE">
        <w:rPr>
          <w:rFonts w:cs="Arial"/>
          <w:szCs w:val="24"/>
          <w:lang w:eastAsia="en-ZA"/>
        </w:rPr>
        <w:t>,</w:t>
      </w:r>
      <w:r w:rsidR="0020587B" w:rsidRPr="00AB52EE">
        <w:rPr>
          <w:rStyle w:val="FootnoteReference"/>
          <w:szCs w:val="24"/>
          <w:lang w:eastAsia="en-ZA"/>
        </w:rPr>
        <w:footnoteReference w:id="102"/>
      </w:r>
      <w:r w:rsidR="00832F68" w:rsidRPr="00AB52EE">
        <w:rPr>
          <w:rFonts w:cs="Arial"/>
          <w:szCs w:val="24"/>
          <w:lang w:eastAsia="en-ZA"/>
        </w:rPr>
        <w:t xml:space="preserve"> </w:t>
      </w:r>
      <w:r w:rsidRPr="00AB52EE">
        <w:rPr>
          <w:rFonts w:cs="Arial"/>
          <w:szCs w:val="24"/>
          <w:lang w:eastAsia="en-ZA"/>
        </w:rPr>
        <w:t xml:space="preserve">but </w:t>
      </w:r>
      <w:r w:rsidR="00832F68" w:rsidRPr="00AB52EE">
        <w:rPr>
          <w:rFonts w:cs="Arial"/>
          <w:szCs w:val="24"/>
          <w:lang w:eastAsia="en-ZA"/>
        </w:rPr>
        <w:t xml:space="preserve">I do not read that case as being </w:t>
      </w:r>
      <w:r w:rsidRPr="00AB52EE">
        <w:rPr>
          <w:rFonts w:cs="Arial"/>
          <w:szCs w:val="24"/>
          <w:lang w:eastAsia="en-ZA"/>
        </w:rPr>
        <w:t xml:space="preserve">clear </w:t>
      </w:r>
      <w:r w:rsidR="00832F68" w:rsidRPr="00AB52EE">
        <w:rPr>
          <w:rFonts w:cs="Arial"/>
          <w:szCs w:val="24"/>
          <w:lang w:eastAsia="en-ZA"/>
        </w:rPr>
        <w:t xml:space="preserve">authority </w:t>
      </w:r>
      <w:r w:rsidR="00CC27A4" w:rsidRPr="00AB52EE">
        <w:rPr>
          <w:rFonts w:cs="Arial"/>
          <w:szCs w:val="24"/>
          <w:lang w:eastAsia="en-ZA"/>
        </w:rPr>
        <w:t>f</w:t>
      </w:r>
      <w:r w:rsidR="00832F68" w:rsidRPr="00AB52EE">
        <w:rPr>
          <w:rFonts w:cs="Arial"/>
          <w:szCs w:val="24"/>
          <w:lang w:eastAsia="en-ZA"/>
        </w:rPr>
        <w:t xml:space="preserve">or the proposition that </w:t>
      </w:r>
      <w:r w:rsidR="0020587B" w:rsidRPr="00AB52EE">
        <w:rPr>
          <w:rFonts w:cs="Arial"/>
          <w:szCs w:val="24"/>
          <w:lang w:eastAsia="en-ZA"/>
        </w:rPr>
        <w:t xml:space="preserve">it is improper for a court to </w:t>
      </w:r>
      <w:r w:rsidR="00AB52EE">
        <w:rPr>
          <w:rFonts w:cs="Arial"/>
          <w:szCs w:val="24"/>
          <w:lang w:eastAsia="en-ZA"/>
        </w:rPr>
        <w:t>make such an order</w:t>
      </w:r>
      <w:r w:rsidR="0020587B" w:rsidRPr="00AB52EE">
        <w:rPr>
          <w:rFonts w:cs="Arial"/>
          <w:szCs w:val="24"/>
          <w:lang w:eastAsia="en-ZA"/>
        </w:rPr>
        <w:t xml:space="preserve">, or that such an order cannot be included unless it is specifically motivated for in the founding affidavit. </w:t>
      </w:r>
    </w:p>
    <w:p w14:paraId="2FEEE8DD" w14:textId="26D97107" w:rsidR="00832F68" w:rsidRPr="00AB52EE" w:rsidRDefault="0020587B" w:rsidP="007A27ED">
      <w:pPr>
        <w:pStyle w:val="LC1"/>
        <w:rPr>
          <w:rFonts w:cs="Arial"/>
          <w:szCs w:val="24"/>
          <w:lang w:eastAsia="en-ZA"/>
        </w:rPr>
      </w:pPr>
      <w:r w:rsidRPr="00AB52EE">
        <w:rPr>
          <w:rFonts w:cs="Arial"/>
          <w:szCs w:val="24"/>
          <w:lang w:eastAsia="en-ZA"/>
        </w:rPr>
        <w:t xml:space="preserve">In my view, the inclusion of this kind of </w:t>
      </w:r>
      <w:r w:rsidR="00A97AB0" w:rsidRPr="00AB52EE">
        <w:rPr>
          <w:rFonts w:cs="Arial"/>
          <w:szCs w:val="24"/>
          <w:lang w:eastAsia="en-ZA"/>
        </w:rPr>
        <w:t xml:space="preserve">provision in an Anton Piller-type order </w:t>
      </w:r>
      <w:r w:rsidR="005A499F" w:rsidRPr="00AB52EE">
        <w:rPr>
          <w:rFonts w:cs="Arial"/>
          <w:szCs w:val="24"/>
          <w:lang w:eastAsia="en-ZA"/>
        </w:rPr>
        <w:lastRenderedPageBreak/>
        <w:t>as a matter of course</w:t>
      </w:r>
      <w:r w:rsidR="005A499F" w:rsidRPr="00AB52EE">
        <w:rPr>
          <w:rStyle w:val="FootnoteReference"/>
          <w:szCs w:val="24"/>
          <w:lang w:eastAsia="en-ZA"/>
        </w:rPr>
        <w:footnoteReference w:id="103"/>
      </w:r>
      <w:r w:rsidR="005A499F" w:rsidRPr="00AB52EE">
        <w:rPr>
          <w:rFonts w:cs="Arial"/>
          <w:szCs w:val="24"/>
          <w:lang w:eastAsia="en-ZA"/>
        </w:rPr>
        <w:t xml:space="preserve"> </w:t>
      </w:r>
      <w:r w:rsidRPr="00AB52EE">
        <w:rPr>
          <w:rFonts w:cs="Arial"/>
          <w:szCs w:val="24"/>
          <w:lang w:eastAsia="en-ZA"/>
        </w:rPr>
        <w:t xml:space="preserve">is a salutary practice and an important safeguard of the rule of law. </w:t>
      </w:r>
      <w:r w:rsidR="005A499F" w:rsidRPr="00AB52EE">
        <w:rPr>
          <w:rFonts w:cs="Arial"/>
          <w:szCs w:val="24"/>
          <w:lang w:eastAsia="en-ZA"/>
        </w:rPr>
        <w:t>C</w:t>
      </w:r>
      <w:r w:rsidRPr="00AB52EE">
        <w:rPr>
          <w:rFonts w:cs="Arial"/>
          <w:szCs w:val="24"/>
          <w:lang w:eastAsia="en-ZA"/>
        </w:rPr>
        <w:t xml:space="preserve">ommon sense </w:t>
      </w:r>
      <w:r w:rsidR="005A499F" w:rsidRPr="00AB52EE">
        <w:rPr>
          <w:rFonts w:cs="Arial"/>
          <w:szCs w:val="24"/>
          <w:lang w:eastAsia="en-ZA"/>
        </w:rPr>
        <w:t xml:space="preserve">suggests </w:t>
      </w:r>
      <w:r w:rsidRPr="00AB52EE">
        <w:rPr>
          <w:rFonts w:cs="Arial"/>
          <w:szCs w:val="24"/>
          <w:lang w:eastAsia="en-ZA"/>
        </w:rPr>
        <w:t>that searches and seizures, even if court</w:t>
      </w:r>
      <w:r w:rsidR="00CC27A4" w:rsidRPr="00AB52EE">
        <w:rPr>
          <w:rFonts w:cs="Arial"/>
          <w:szCs w:val="24"/>
          <w:lang w:eastAsia="en-ZA"/>
        </w:rPr>
        <w:t>-</w:t>
      </w:r>
      <w:r w:rsidRPr="00AB52EE">
        <w:rPr>
          <w:rFonts w:cs="Arial"/>
          <w:szCs w:val="24"/>
          <w:lang w:eastAsia="en-ZA"/>
        </w:rPr>
        <w:t xml:space="preserve">ordered and conducted by the </w:t>
      </w:r>
      <w:r w:rsidR="00A04F0D" w:rsidRPr="00AB52EE">
        <w:rPr>
          <w:rFonts w:cs="Arial"/>
          <w:szCs w:val="24"/>
          <w:lang w:eastAsia="en-ZA"/>
        </w:rPr>
        <w:t>S</w:t>
      </w:r>
      <w:r w:rsidRPr="00AB52EE">
        <w:rPr>
          <w:rFonts w:cs="Arial"/>
          <w:szCs w:val="24"/>
          <w:lang w:eastAsia="en-ZA"/>
        </w:rPr>
        <w:t xml:space="preserve">heriff under the control of an independent supervising attorney, are potentially fraught with conflict. The </w:t>
      </w:r>
      <w:r w:rsidR="00CC27A4" w:rsidRPr="00AB52EE">
        <w:rPr>
          <w:rFonts w:cs="Arial"/>
          <w:szCs w:val="24"/>
          <w:lang w:eastAsia="en-ZA"/>
        </w:rPr>
        <w:t xml:space="preserve">occupants of the </w:t>
      </w:r>
      <w:r w:rsidRPr="00AB52EE">
        <w:rPr>
          <w:rFonts w:cs="Arial"/>
          <w:szCs w:val="24"/>
          <w:lang w:eastAsia="en-ZA"/>
        </w:rPr>
        <w:t>search</w:t>
      </w:r>
      <w:r w:rsidR="00CC27A4" w:rsidRPr="00AB52EE">
        <w:rPr>
          <w:rFonts w:cs="Arial"/>
          <w:szCs w:val="24"/>
          <w:lang w:eastAsia="en-ZA"/>
        </w:rPr>
        <w:t>ed</w:t>
      </w:r>
      <w:r w:rsidRPr="00AB52EE">
        <w:rPr>
          <w:rFonts w:cs="Arial"/>
          <w:szCs w:val="24"/>
          <w:lang w:eastAsia="en-ZA"/>
        </w:rPr>
        <w:t xml:space="preserve"> </w:t>
      </w:r>
      <w:r w:rsidR="00CC27A4" w:rsidRPr="00AB52EE">
        <w:rPr>
          <w:rFonts w:cs="Arial"/>
          <w:szCs w:val="24"/>
          <w:lang w:eastAsia="en-ZA"/>
        </w:rPr>
        <w:t>premises are</w:t>
      </w:r>
      <w:r w:rsidR="00C71BA1" w:rsidRPr="00AB52EE">
        <w:rPr>
          <w:rFonts w:cs="Arial"/>
          <w:szCs w:val="24"/>
          <w:lang w:eastAsia="en-ZA"/>
        </w:rPr>
        <w:t xml:space="preserve"> </w:t>
      </w:r>
      <w:r w:rsidRPr="00AB52EE">
        <w:rPr>
          <w:rFonts w:cs="Arial"/>
          <w:szCs w:val="24"/>
          <w:lang w:eastAsia="en-ZA"/>
        </w:rPr>
        <w:t xml:space="preserve">taken by surprise </w:t>
      </w:r>
      <w:r w:rsidR="00AB52EE" w:rsidRPr="00AB52EE">
        <w:rPr>
          <w:rFonts w:cs="Arial"/>
          <w:szCs w:val="24"/>
          <w:lang w:eastAsia="en-ZA"/>
        </w:rPr>
        <w:t xml:space="preserve">by design </w:t>
      </w:r>
      <w:r w:rsidRPr="00AB52EE">
        <w:rPr>
          <w:rFonts w:cs="Arial"/>
          <w:szCs w:val="24"/>
          <w:lang w:eastAsia="en-ZA"/>
        </w:rPr>
        <w:t xml:space="preserve">with an </w:t>
      </w:r>
      <w:r w:rsidR="00AB52EE">
        <w:rPr>
          <w:rFonts w:cs="Arial"/>
          <w:szCs w:val="24"/>
          <w:lang w:eastAsia="en-ZA"/>
        </w:rPr>
        <w:t xml:space="preserve">implied </w:t>
      </w:r>
      <w:r w:rsidRPr="00AB52EE">
        <w:rPr>
          <w:rFonts w:cs="Arial"/>
          <w:szCs w:val="24"/>
          <w:lang w:eastAsia="en-ZA"/>
        </w:rPr>
        <w:t>accusation of future wrongdoing (i.e. concealing evidence)</w:t>
      </w:r>
      <w:r w:rsidR="00AB52EE">
        <w:rPr>
          <w:rFonts w:cs="Arial"/>
          <w:szCs w:val="24"/>
          <w:lang w:eastAsia="en-ZA"/>
        </w:rPr>
        <w:t>.</w:t>
      </w:r>
      <w:r w:rsidRPr="00AB52EE">
        <w:rPr>
          <w:rFonts w:cs="Arial"/>
          <w:szCs w:val="24"/>
          <w:lang w:eastAsia="en-ZA"/>
        </w:rPr>
        <w:t xml:space="preserve"> </w:t>
      </w:r>
      <w:r w:rsidR="00AB52EE">
        <w:rPr>
          <w:rFonts w:cs="Arial"/>
          <w:szCs w:val="24"/>
          <w:lang w:eastAsia="en-ZA"/>
        </w:rPr>
        <w:t xml:space="preserve">The </w:t>
      </w:r>
      <w:r w:rsidRPr="00AB52EE">
        <w:rPr>
          <w:rFonts w:cs="Arial"/>
          <w:szCs w:val="24"/>
          <w:lang w:eastAsia="en-ZA"/>
        </w:rPr>
        <w:t xml:space="preserve">sense of invasion </w:t>
      </w:r>
      <w:r w:rsidR="00AB52EE">
        <w:rPr>
          <w:rFonts w:cs="Arial"/>
          <w:szCs w:val="24"/>
          <w:lang w:eastAsia="en-ZA"/>
        </w:rPr>
        <w:t xml:space="preserve">could </w:t>
      </w:r>
      <w:r w:rsidRPr="00AB52EE">
        <w:rPr>
          <w:rFonts w:cs="Arial"/>
          <w:szCs w:val="24"/>
          <w:lang w:eastAsia="en-ZA"/>
        </w:rPr>
        <w:t xml:space="preserve">be </w:t>
      </w:r>
      <w:r w:rsidR="00AB52EE">
        <w:rPr>
          <w:rFonts w:cs="Arial"/>
          <w:szCs w:val="24"/>
          <w:lang w:eastAsia="en-ZA"/>
        </w:rPr>
        <w:t xml:space="preserve">overwhelming </w:t>
      </w:r>
      <w:r w:rsidR="00AC176F">
        <w:rPr>
          <w:rFonts w:cs="Arial"/>
          <w:szCs w:val="24"/>
          <w:lang w:eastAsia="en-ZA"/>
        </w:rPr>
        <w:t xml:space="preserve">and stressful </w:t>
      </w:r>
      <w:r w:rsidR="00AB52EE">
        <w:rPr>
          <w:rFonts w:cs="Arial"/>
          <w:szCs w:val="24"/>
          <w:lang w:eastAsia="en-ZA"/>
        </w:rPr>
        <w:t>for many people</w:t>
      </w:r>
      <w:r w:rsidR="00AC176F">
        <w:rPr>
          <w:rFonts w:cs="Arial"/>
          <w:szCs w:val="24"/>
          <w:lang w:eastAsia="en-ZA"/>
        </w:rPr>
        <w:t xml:space="preserve"> and cause them to act in unpredictable ways</w:t>
      </w:r>
      <w:r w:rsidRPr="00AB52EE">
        <w:rPr>
          <w:rFonts w:cs="Arial"/>
          <w:szCs w:val="24"/>
          <w:lang w:eastAsia="en-ZA"/>
        </w:rPr>
        <w:t xml:space="preserve">. While </w:t>
      </w:r>
      <w:r w:rsidR="00AC176F" w:rsidRPr="00AB52EE">
        <w:rPr>
          <w:rFonts w:cs="Arial"/>
          <w:szCs w:val="24"/>
          <w:lang w:eastAsia="en-ZA"/>
        </w:rPr>
        <w:t>attorneys and sheriffs (who are often not formally attired)</w:t>
      </w:r>
      <w:r w:rsidR="00AC176F" w:rsidRPr="00AB52EE">
        <w:rPr>
          <w:rStyle w:val="FootnoteReference"/>
          <w:szCs w:val="24"/>
          <w:lang w:eastAsia="en-ZA"/>
        </w:rPr>
        <w:footnoteReference w:id="104"/>
      </w:r>
      <w:r w:rsidR="00AC176F" w:rsidRPr="00AB52EE">
        <w:rPr>
          <w:rFonts w:cs="Arial"/>
          <w:szCs w:val="24"/>
          <w:lang w:eastAsia="en-ZA"/>
        </w:rPr>
        <w:t xml:space="preserve"> </w:t>
      </w:r>
      <w:r w:rsidRPr="00AB52EE">
        <w:rPr>
          <w:rFonts w:cs="Arial"/>
          <w:szCs w:val="24"/>
          <w:lang w:eastAsia="en-ZA"/>
        </w:rPr>
        <w:t xml:space="preserve">are officers of the </w:t>
      </w:r>
      <w:r w:rsidR="00A01AA1" w:rsidRPr="00AB52EE">
        <w:rPr>
          <w:rFonts w:cs="Arial"/>
          <w:szCs w:val="24"/>
          <w:lang w:eastAsia="en-ZA"/>
        </w:rPr>
        <w:t>C</w:t>
      </w:r>
      <w:r w:rsidRPr="00AB52EE">
        <w:rPr>
          <w:rFonts w:cs="Arial"/>
          <w:szCs w:val="24"/>
          <w:lang w:eastAsia="en-ZA"/>
        </w:rPr>
        <w:t xml:space="preserve">ourt, my experience is that </w:t>
      </w:r>
      <w:r w:rsidR="00403DCA">
        <w:rPr>
          <w:rFonts w:cs="Arial"/>
          <w:szCs w:val="24"/>
          <w:lang w:eastAsia="en-ZA"/>
        </w:rPr>
        <w:t xml:space="preserve">they </w:t>
      </w:r>
      <w:r w:rsidRPr="00AB52EE">
        <w:rPr>
          <w:rFonts w:cs="Arial"/>
          <w:szCs w:val="24"/>
          <w:lang w:eastAsia="en-ZA"/>
        </w:rPr>
        <w:t xml:space="preserve">are not universally recognised by lay people in South Africa as officials that are entitled to command compliance, even when holding what appears to be a </w:t>
      </w:r>
      <w:r w:rsidR="00D459DA" w:rsidRPr="00AB52EE">
        <w:rPr>
          <w:rFonts w:cs="Arial"/>
          <w:szCs w:val="24"/>
          <w:lang w:eastAsia="en-ZA"/>
        </w:rPr>
        <w:t>duly</w:t>
      </w:r>
      <w:r w:rsidR="00AB52EE">
        <w:rPr>
          <w:rFonts w:cs="Arial"/>
          <w:szCs w:val="24"/>
          <w:lang w:eastAsia="en-ZA"/>
        </w:rPr>
        <w:t xml:space="preserve"> </w:t>
      </w:r>
      <w:r w:rsidR="00D459DA" w:rsidRPr="00AB52EE">
        <w:rPr>
          <w:rFonts w:cs="Arial"/>
          <w:szCs w:val="24"/>
          <w:lang w:eastAsia="en-ZA"/>
        </w:rPr>
        <w:t xml:space="preserve">issued </w:t>
      </w:r>
      <w:r w:rsidRPr="00AB52EE">
        <w:rPr>
          <w:rFonts w:cs="Arial"/>
          <w:szCs w:val="24"/>
          <w:lang w:eastAsia="en-ZA"/>
        </w:rPr>
        <w:t xml:space="preserve">stamped court order. On the other hand, </w:t>
      </w:r>
      <w:r w:rsidR="005A499F" w:rsidRPr="00AB52EE">
        <w:rPr>
          <w:rFonts w:cs="Arial"/>
          <w:szCs w:val="24"/>
          <w:lang w:eastAsia="en-ZA"/>
        </w:rPr>
        <w:t xml:space="preserve">while there are undoubtedly exceptions, </w:t>
      </w:r>
      <w:r w:rsidRPr="00AB52EE">
        <w:rPr>
          <w:rFonts w:cs="Arial"/>
          <w:szCs w:val="24"/>
          <w:lang w:eastAsia="en-ZA"/>
        </w:rPr>
        <w:t xml:space="preserve">members of the Police Services, especially when in uniform, are </w:t>
      </w:r>
      <w:r w:rsidR="00614FF5" w:rsidRPr="00AB52EE">
        <w:rPr>
          <w:rFonts w:cs="Arial"/>
          <w:szCs w:val="24"/>
          <w:lang w:eastAsia="en-ZA"/>
        </w:rPr>
        <w:t xml:space="preserve">almost universally understood to have such powers. Members of the public readily understand that when a uniformed and on-duty police official who is able to furnish </w:t>
      </w:r>
      <w:r w:rsidR="00A97AB0" w:rsidRPr="00AB52EE">
        <w:rPr>
          <w:rFonts w:cs="Arial"/>
          <w:szCs w:val="24"/>
          <w:lang w:eastAsia="en-ZA"/>
        </w:rPr>
        <w:t xml:space="preserve">their name, rank and </w:t>
      </w:r>
      <w:r w:rsidR="00614FF5" w:rsidRPr="00AB52EE">
        <w:rPr>
          <w:rFonts w:cs="Arial"/>
          <w:szCs w:val="24"/>
          <w:lang w:eastAsia="en-ZA"/>
        </w:rPr>
        <w:t xml:space="preserve">some </w:t>
      </w:r>
      <w:r w:rsidR="00A97AB0" w:rsidRPr="00AB52EE">
        <w:rPr>
          <w:rFonts w:cs="Arial"/>
          <w:szCs w:val="24"/>
          <w:lang w:eastAsia="en-ZA"/>
        </w:rPr>
        <w:t xml:space="preserve">basic </w:t>
      </w:r>
      <w:r w:rsidR="00614FF5" w:rsidRPr="00AB52EE">
        <w:rPr>
          <w:rFonts w:cs="Arial"/>
          <w:szCs w:val="24"/>
          <w:lang w:eastAsia="en-ZA"/>
        </w:rPr>
        <w:t>evidence of their credentials</w:t>
      </w:r>
      <w:r w:rsidR="00614FF5" w:rsidRPr="00AB52EE">
        <w:rPr>
          <w:rStyle w:val="FootnoteReference"/>
          <w:szCs w:val="24"/>
          <w:lang w:eastAsia="en-ZA"/>
        </w:rPr>
        <w:footnoteReference w:id="105"/>
      </w:r>
      <w:r w:rsidR="00614FF5" w:rsidRPr="00AB52EE">
        <w:rPr>
          <w:rFonts w:cs="Arial"/>
          <w:szCs w:val="24"/>
          <w:lang w:eastAsia="en-ZA"/>
        </w:rPr>
        <w:t xml:space="preserve"> requests entry to premises on the basis of what they contend to be a valid court order, they are </w:t>
      </w:r>
      <w:r w:rsidR="00A97AB0" w:rsidRPr="00AB52EE">
        <w:rPr>
          <w:rFonts w:cs="Arial"/>
          <w:szCs w:val="24"/>
          <w:lang w:eastAsia="en-ZA"/>
        </w:rPr>
        <w:t xml:space="preserve">acting </w:t>
      </w:r>
      <w:r w:rsidR="00614FF5" w:rsidRPr="00AB52EE">
        <w:rPr>
          <w:rFonts w:cs="Arial"/>
          <w:szCs w:val="24"/>
          <w:lang w:eastAsia="en-ZA"/>
        </w:rPr>
        <w:t>under strict</w:t>
      </w:r>
      <w:r w:rsidR="00A97AB0" w:rsidRPr="00AB52EE">
        <w:rPr>
          <w:rFonts w:cs="Arial"/>
          <w:szCs w:val="24"/>
          <w:lang w:eastAsia="en-ZA"/>
        </w:rPr>
        <w:t xml:space="preserve">ly enforced </w:t>
      </w:r>
      <w:r w:rsidR="00614FF5" w:rsidRPr="00AB52EE">
        <w:rPr>
          <w:rFonts w:cs="Arial"/>
          <w:szCs w:val="24"/>
          <w:lang w:eastAsia="en-ZA"/>
        </w:rPr>
        <w:t xml:space="preserve">rules of discipline, </w:t>
      </w:r>
      <w:r w:rsidR="00A97AB0" w:rsidRPr="00AB52EE">
        <w:rPr>
          <w:rFonts w:cs="Arial"/>
          <w:szCs w:val="24"/>
          <w:lang w:eastAsia="en-ZA"/>
        </w:rPr>
        <w:t xml:space="preserve">and that it is not only unlikely that they would be acting without due authority, but </w:t>
      </w:r>
      <w:r w:rsidR="00614FF5" w:rsidRPr="00AB52EE">
        <w:rPr>
          <w:rFonts w:cs="Arial"/>
          <w:szCs w:val="24"/>
          <w:lang w:eastAsia="en-ZA"/>
        </w:rPr>
        <w:t xml:space="preserve">that </w:t>
      </w:r>
      <w:r w:rsidR="00A97AB0" w:rsidRPr="00AB52EE">
        <w:rPr>
          <w:rFonts w:cs="Arial"/>
          <w:szCs w:val="24"/>
          <w:lang w:eastAsia="en-ZA"/>
        </w:rPr>
        <w:t>there would be serious consequences and the possibility of redress should the requirements of the law not be observed</w:t>
      </w:r>
      <w:r w:rsidR="00614FF5" w:rsidRPr="00AB52EE">
        <w:rPr>
          <w:rFonts w:cs="Arial"/>
          <w:szCs w:val="24"/>
          <w:lang w:eastAsia="en-ZA"/>
        </w:rPr>
        <w:t>.</w:t>
      </w:r>
      <w:r w:rsidRPr="00AB52EE">
        <w:rPr>
          <w:rFonts w:cs="Arial"/>
          <w:szCs w:val="24"/>
          <w:lang w:eastAsia="en-ZA"/>
        </w:rPr>
        <w:t xml:space="preserve"> </w:t>
      </w:r>
      <w:r w:rsidR="00A04F0D" w:rsidRPr="00AB52EE">
        <w:rPr>
          <w:rFonts w:cs="Arial"/>
          <w:szCs w:val="24"/>
          <w:lang w:eastAsia="en-ZA"/>
        </w:rPr>
        <w:t xml:space="preserve">In my view, the summoning of the SAPS is also less invasive than </w:t>
      </w:r>
      <w:r w:rsidR="00AB52EE">
        <w:rPr>
          <w:rFonts w:cs="Arial"/>
          <w:szCs w:val="24"/>
          <w:lang w:eastAsia="en-ZA"/>
        </w:rPr>
        <w:t xml:space="preserve">the </w:t>
      </w:r>
      <w:r w:rsidR="00A04F0D" w:rsidRPr="00AB52EE">
        <w:rPr>
          <w:rFonts w:cs="Arial"/>
          <w:szCs w:val="24"/>
          <w:lang w:eastAsia="en-ZA"/>
        </w:rPr>
        <w:t xml:space="preserve">alternative means of gaining entry </w:t>
      </w:r>
      <w:r w:rsidR="00AB52EE">
        <w:rPr>
          <w:rFonts w:cs="Arial"/>
          <w:szCs w:val="24"/>
          <w:lang w:eastAsia="en-ZA"/>
        </w:rPr>
        <w:t xml:space="preserve">provided </w:t>
      </w:r>
      <w:r w:rsidR="00AB52EE">
        <w:rPr>
          <w:rFonts w:cs="Arial"/>
          <w:szCs w:val="24"/>
          <w:lang w:eastAsia="en-ZA"/>
        </w:rPr>
        <w:lastRenderedPageBreak/>
        <w:t xml:space="preserve">for in the order, </w:t>
      </w:r>
      <w:r w:rsidR="00A04F0D" w:rsidRPr="00AB52EE">
        <w:rPr>
          <w:rFonts w:cs="Arial"/>
          <w:szCs w:val="24"/>
          <w:lang w:eastAsia="en-ZA"/>
        </w:rPr>
        <w:t>such as forced entry using a locksmith.</w:t>
      </w:r>
    </w:p>
    <w:p w14:paraId="32EE32D6" w14:textId="22EE5AF8" w:rsidR="00AD4D4C" w:rsidRPr="00AD4D4C" w:rsidRDefault="0051166F" w:rsidP="00543D84">
      <w:pPr>
        <w:pStyle w:val="LC1"/>
        <w:rPr>
          <w:rFonts w:cs="Arial"/>
          <w:szCs w:val="24"/>
          <w:lang w:eastAsia="en-ZA"/>
        </w:rPr>
      </w:pPr>
      <w:r w:rsidRPr="00AD4D4C">
        <w:rPr>
          <w:rFonts w:cs="Arial"/>
          <w:szCs w:val="24"/>
        </w:rPr>
        <w:t xml:space="preserve">What is more, </w:t>
      </w:r>
      <w:r w:rsidR="00160474" w:rsidRPr="00AD4D4C">
        <w:rPr>
          <w:rFonts w:cs="Arial"/>
          <w:szCs w:val="24"/>
        </w:rPr>
        <w:t>Mr Case</w:t>
      </w:r>
      <w:r w:rsidRPr="00AD4D4C">
        <w:rPr>
          <w:rFonts w:cs="Arial"/>
          <w:szCs w:val="24"/>
        </w:rPr>
        <w:t>’s</w:t>
      </w:r>
      <w:r w:rsidR="00160474" w:rsidRPr="00AD4D4C">
        <w:rPr>
          <w:rFonts w:cs="Arial"/>
          <w:szCs w:val="24"/>
        </w:rPr>
        <w:t xml:space="preserve"> refer</w:t>
      </w:r>
      <w:r w:rsidRPr="00AD4D4C">
        <w:rPr>
          <w:rFonts w:cs="Arial"/>
          <w:szCs w:val="24"/>
        </w:rPr>
        <w:t>ence</w:t>
      </w:r>
      <w:r w:rsidR="00160474" w:rsidRPr="00AD4D4C">
        <w:rPr>
          <w:rFonts w:cs="Arial"/>
          <w:szCs w:val="24"/>
        </w:rPr>
        <w:t xml:space="preserve"> to </w:t>
      </w:r>
      <w:r w:rsidR="00AB52EE" w:rsidRPr="00AD4D4C">
        <w:rPr>
          <w:rFonts w:cs="Arial"/>
          <w:szCs w:val="24"/>
        </w:rPr>
        <w:t xml:space="preserve">the contents of </w:t>
      </w:r>
      <w:r w:rsidR="00D329BE" w:rsidRPr="00AD4D4C">
        <w:rPr>
          <w:rFonts w:cs="Arial"/>
          <w:szCs w:val="24"/>
        </w:rPr>
        <w:t xml:space="preserve">the affidavit of </w:t>
      </w:r>
      <w:r w:rsidR="00AB52EE" w:rsidRPr="00AD4D4C">
        <w:rPr>
          <w:rFonts w:cs="Arial"/>
          <w:szCs w:val="24"/>
        </w:rPr>
        <w:t xml:space="preserve">Mr </w:t>
      </w:r>
      <w:r w:rsidR="00D329BE" w:rsidRPr="00AD4D4C">
        <w:rPr>
          <w:rFonts w:cs="Arial"/>
          <w:szCs w:val="24"/>
        </w:rPr>
        <w:t>Shoba</w:t>
      </w:r>
      <w:r w:rsidR="00720427">
        <w:rPr>
          <w:rFonts w:cs="Arial"/>
          <w:szCs w:val="24"/>
        </w:rPr>
        <w:t xml:space="preserve"> </w:t>
      </w:r>
      <w:r w:rsidRPr="00AD4D4C">
        <w:rPr>
          <w:rFonts w:cs="Arial"/>
          <w:szCs w:val="24"/>
        </w:rPr>
        <w:t xml:space="preserve">shows that the SAPS </w:t>
      </w:r>
      <w:r w:rsidR="002C4845" w:rsidRPr="00AD4D4C">
        <w:rPr>
          <w:rFonts w:cs="Arial"/>
          <w:szCs w:val="24"/>
        </w:rPr>
        <w:t xml:space="preserve">actually </w:t>
      </w:r>
      <w:r w:rsidR="00160474" w:rsidRPr="00AD4D4C">
        <w:rPr>
          <w:rFonts w:cs="Arial"/>
          <w:szCs w:val="24"/>
        </w:rPr>
        <w:t xml:space="preserve">played </w:t>
      </w:r>
      <w:r w:rsidRPr="00AD4D4C">
        <w:rPr>
          <w:rFonts w:cs="Arial"/>
          <w:szCs w:val="24"/>
        </w:rPr>
        <w:t xml:space="preserve">no role </w:t>
      </w:r>
      <w:r w:rsidR="00160474" w:rsidRPr="00AD4D4C">
        <w:rPr>
          <w:rFonts w:cs="Arial"/>
          <w:szCs w:val="24"/>
        </w:rPr>
        <w:t xml:space="preserve">in the execution of the </w:t>
      </w:r>
      <w:r w:rsidR="00F5069B" w:rsidRPr="00AD4D4C">
        <w:rPr>
          <w:rFonts w:cs="Arial"/>
          <w:szCs w:val="24"/>
          <w:lang w:eastAsia="en-ZA"/>
        </w:rPr>
        <w:t xml:space="preserve">Anton Piller </w:t>
      </w:r>
      <w:r w:rsidR="00160474" w:rsidRPr="00AD4D4C">
        <w:rPr>
          <w:rFonts w:cs="Arial"/>
          <w:szCs w:val="24"/>
        </w:rPr>
        <w:t xml:space="preserve">order. It appears from this affidavit that </w:t>
      </w:r>
      <w:r w:rsidR="008957E8" w:rsidRPr="00AD4D4C">
        <w:rPr>
          <w:rFonts w:cs="Arial"/>
          <w:szCs w:val="24"/>
        </w:rPr>
        <w:t xml:space="preserve">the </w:t>
      </w:r>
      <w:r w:rsidR="00A04F0D" w:rsidRPr="00AD4D4C">
        <w:rPr>
          <w:rFonts w:cs="Arial"/>
          <w:szCs w:val="24"/>
        </w:rPr>
        <w:t>S</w:t>
      </w:r>
      <w:r w:rsidR="00160474" w:rsidRPr="00AD4D4C">
        <w:rPr>
          <w:rFonts w:cs="Arial"/>
          <w:szCs w:val="24"/>
        </w:rPr>
        <w:t xml:space="preserve">heriff, the assisting attorney and the supervising attorney </w:t>
      </w:r>
      <w:r w:rsidR="008957E8" w:rsidRPr="00AD4D4C">
        <w:rPr>
          <w:rFonts w:cs="Arial"/>
          <w:szCs w:val="24"/>
        </w:rPr>
        <w:t xml:space="preserve">first rang the </w:t>
      </w:r>
      <w:r w:rsidR="00160474" w:rsidRPr="00AD4D4C">
        <w:rPr>
          <w:rFonts w:cs="Arial"/>
          <w:szCs w:val="24"/>
        </w:rPr>
        <w:t xml:space="preserve">intercom bell </w:t>
      </w:r>
      <w:r w:rsidR="008957E8" w:rsidRPr="00AD4D4C">
        <w:rPr>
          <w:rFonts w:cs="Arial"/>
          <w:szCs w:val="24"/>
        </w:rPr>
        <w:t xml:space="preserve">at Mr Case’s residence at approximately 12h50 on 22 October 2021 and that, despite the fact that a domestic worker was present at the residence, </w:t>
      </w:r>
      <w:r w:rsidR="00160474" w:rsidRPr="00AD4D4C">
        <w:rPr>
          <w:rFonts w:cs="Arial"/>
          <w:szCs w:val="24"/>
        </w:rPr>
        <w:t>they were not afforded entry</w:t>
      </w:r>
      <w:r w:rsidR="008957E8" w:rsidRPr="00AD4D4C">
        <w:rPr>
          <w:rFonts w:cs="Arial"/>
          <w:szCs w:val="24"/>
        </w:rPr>
        <w:t>.</w:t>
      </w:r>
      <w:r w:rsidR="00160474" w:rsidRPr="00AB52EE">
        <w:rPr>
          <w:rStyle w:val="FootnoteReference"/>
          <w:szCs w:val="24"/>
        </w:rPr>
        <w:footnoteReference w:id="106"/>
      </w:r>
      <w:r w:rsidR="00160474" w:rsidRPr="00AD4D4C">
        <w:rPr>
          <w:rFonts w:cs="Arial"/>
          <w:szCs w:val="24"/>
        </w:rPr>
        <w:t xml:space="preserve"> </w:t>
      </w:r>
      <w:r w:rsidR="008957E8" w:rsidRPr="00AD4D4C">
        <w:rPr>
          <w:rFonts w:cs="Arial"/>
          <w:szCs w:val="24"/>
        </w:rPr>
        <w:t xml:space="preserve"> After the </w:t>
      </w:r>
      <w:r w:rsidR="00A04F0D" w:rsidRPr="00AD4D4C">
        <w:rPr>
          <w:rFonts w:cs="Arial"/>
          <w:szCs w:val="24"/>
        </w:rPr>
        <w:t>S</w:t>
      </w:r>
      <w:r w:rsidR="008957E8" w:rsidRPr="00AD4D4C">
        <w:rPr>
          <w:rFonts w:cs="Arial"/>
          <w:szCs w:val="24"/>
        </w:rPr>
        <w:t xml:space="preserve">heriff </w:t>
      </w:r>
      <w:r w:rsidR="00160474" w:rsidRPr="00AD4D4C">
        <w:rPr>
          <w:rFonts w:cs="Arial"/>
          <w:szCs w:val="24"/>
        </w:rPr>
        <w:t xml:space="preserve">unsuccessfully </w:t>
      </w:r>
      <w:r w:rsidR="008957E8" w:rsidRPr="00AD4D4C">
        <w:rPr>
          <w:rFonts w:cs="Arial"/>
          <w:szCs w:val="24"/>
        </w:rPr>
        <w:t>attempted to summon the SAPS and Vanesco’s attorney telephonically</w:t>
      </w:r>
      <w:r w:rsidR="008B5440" w:rsidRPr="00AD4D4C">
        <w:rPr>
          <w:rFonts w:cs="Arial"/>
          <w:szCs w:val="24"/>
        </w:rPr>
        <w:t xml:space="preserve"> at approximately 13h30</w:t>
      </w:r>
      <w:r w:rsidR="008957E8" w:rsidRPr="00AD4D4C">
        <w:rPr>
          <w:rFonts w:cs="Arial"/>
          <w:szCs w:val="24"/>
        </w:rPr>
        <w:t xml:space="preserve">, he was able to speak on the </w:t>
      </w:r>
      <w:r w:rsidR="00160474" w:rsidRPr="00AD4D4C">
        <w:rPr>
          <w:rFonts w:cs="Arial"/>
          <w:szCs w:val="24"/>
        </w:rPr>
        <w:t xml:space="preserve">telephone </w:t>
      </w:r>
      <w:r w:rsidR="008957E8" w:rsidRPr="00AD4D4C">
        <w:rPr>
          <w:rFonts w:cs="Arial"/>
          <w:szCs w:val="24"/>
        </w:rPr>
        <w:t xml:space="preserve">to Mr Case himself </w:t>
      </w:r>
      <w:r w:rsidR="008B5440" w:rsidRPr="00AD4D4C">
        <w:rPr>
          <w:rFonts w:cs="Arial"/>
          <w:szCs w:val="24"/>
        </w:rPr>
        <w:t xml:space="preserve">at 13h51, </w:t>
      </w:r>
      <w:r w:rsidR="008957E8" w:rsidRPr="00AD4D4C">
        <w:rPr>
          <w:rFonts w:cs="Arial"/>
          <w:szCs w:val="24"/>
        </w:rPr>
        <w:t>who informed him that there was no one at his home and that he himself was not in Gauteng and would only be returning the following week.</w:t>
      </w:r>
      <w:r w:rsidR="00CC27A4" w:rsidRPr="00AD4D4C">
        <w:rPr>
          <w:rFonts w:cs="Arial"/>
          <w:szCs w:val="24"/>
        </w:rPr>
        <w:t xml:space="preserve"> </w:t>
      </w:r>
      <w:r w:rsidR="008B5440" w:rsidRPr="00AD4D4C">
        <w:rPr>
          <w:rFonts w:cs="Arial"/>
          <w:szCs w:val="24"/>
        </w:rPr>
        <w:t xml:space="preserve">The </w:t>
      </w:r>
      <w:r w:rsidR="00A04F0D" w:rsidRPr="00AD4D4C">
        <w:rPr>
          <w:rFonts w:cs="Arial"/>
          <w:szCs w:val="24"/>
        </w:rPr>
        <w:t>S</w:t>
      </w:r>
      <w:r w:rsidR="008B5440" w:rsidRPr="00AD4D4C">
        <w:rPr>
          <w:rFonts w:cs="Arial"/>
          <w:szCs w:val="24"/>
        </w:rPr>
        <w:t xml:space="preserve">heriff informed Mr Case that he intended to enter the premises in the absence of Mr Case. Members of the SAPS then arrived at 13h55 and a discussion ensued as to whether they should assist the search party in gaining access to the premises. Shortly after this, however, Mr Case advised the </w:t>
      </w:r>
      <w:r w:rsidR="00A04F0D" w:rsidRPr="00AD4D4C">
        <w:rPr>
          <w:rFonts w:cs="Arial"/>
          <w:szCs w:val="24"/>
        </w:rPr>
        <w:t>S</w:t>
      </w:r>
      <w:r w:rsidR="008B5440" w:rsidRPr="00AD4D4C">
        <w:rPr>
          <w:rFonts w:cs="Arial"/>
          <w:szCs w:val="24"/>
        </w:rPr>
        <w:t xml:space="preserve">heriff that his wife would be returning to the premises by about 14h40. In the circumstances, the </w:t>
      </w:r>
      <w:r w:rsidR="00A04F0D" w:rsidRPr="00AD4D4C">
        <w:rPr>
          <w:rFonts w:cs="Arial"/>
          <w:szCs w:val="24"/>
        </w:rPr>
        <w:t>S</w:t>
      </w:r>
      <w:r w:rsidR="008B5440" w:rsidRPr="00AD4D4C">
        <w:rPr>
          <w:rFonts w:cs="Arial"/>
          <w:szCs w:val="24"/>
        </w:rPr>
        <w:t xml:space="preserve">heriff indicated to the SAPS that </w:t>
      </w:r>
      <w:r w:rsidR="00CC27A4" w:rsidRPr="00AD4D4C">
        <w:rPr>
          <w:rFonts w:cs="Arial"/>
          <w:szCs w:val="24"/>
        </w:rPr>
        <w:t xml:space="preserve">their </w:t>
      </w:r>
      <w:r w:rsidR="008B5440" w:rsidRPr="00AD4D4C">
        <w:rPr>
          <w:rFonts w:cs="Arial"/>
          <w:szCs w:val="24"/>
        </w:rPr>
        <w:t>presence was no longer necessary</w:t>
      </w:r>
      <w:r w:rsidR="00845FB2" w:rsidRPr="00AD4D4C">
        <w:rPr>
          <w:rFonts w:cs="Arial"/>
          <w:szCs w:val="24"/>
        </w:rPr>
        <w:t>,</w:t>
      </w:r>
      <w:r w:rsidR="008B5440" w:rsidRPr="00AD4D4C">
        <w:rPr>
          <w:rFonts w:cs="Arial"/>
          <w:szCs w:val="24"/>
        </w:rPr>
        <w:t xml:space="preserve"> and they left. Mrs Case then returned to the property and the search party was allowed to enter. </w:t>
      </w:r>
      <w:r w:rsidR="00CC27A4" w:rsidRPr="00AD4D4C">
        <w:rPr>
          <w:rFonts w:cs="Arial"/>
          <w:szCs w:val="24"/>
          <w:lang w:eastAsia="en-ZA"/>
        </w:rPr>
        <w:t>I fail to detect any impropriety in this sequence of events</w:t>
      </w:r>
      <w:r w:rsidR="00AD4D4C">
        <w:rPr>
          <w:rFonts w:cs="Arial"/>
          <w:szCs w:val="24"/>
          <w:lang w:eastAsia="en-ZA"/>
        </w:rPr>
        <w:t>, especially bearing in mind that this is a matter of due execution of the order, in relation to which the respondents bear the onus.</w:t>
      </w:r>
    </w:p>
    <w:p w14:paraId="2F48AA3E" w14:textId="5A356021" w:rsidR="00FC3565" w:rsidRPr="00AB52EE" w:rsidRDefault="00AD4D4C" w:rsidP="007A27ED">
      <w:pPr>
        <w:pStyle w:val="LC1"/>
        <w:rPr>
          <w:rFonts w:cs="Arial"/>
          <w:szCs w:val="24"/>
          <w:lang w:eastAsia="en-ZA"/>
        </w:rPr>
      </w:pPr>
      <w:r>
        <w:rPr>
          <w:rFonts w:cs="Arial"/>
          <w:szCs w:val="24"/>
          <w:lang w:eastAsia="en-ZA"/>
        </w:rPr>
        <w:lastRenderedPageBreak/>
        <w:t xml:space="preserve">I thus conclude that </w:t>
      </w:r>
      <w:r w:rsidR="00845FB2" w:rsidRPr="00AB52EE">
        <w:rPr>
          <w:rFonts w:cs="Arial"/>
          <w:szCs w:val="24"/>
          <w:lang w:eastAsia="en-ZA"/>
        </w:rPr>
        <w:t xml:space="preserve">there is no merit in this challenge to the </w:t>
      </w:r>
      <w:r w:rsidR="00F5069B" w:rsidRPr="00AB52EE">
        <w:rPr>
          <w:rFonts w:cs="Arial"/>
          <w:szCs w:val="24"/>
          <w:lang w:eastAsia="en-ZA"/>
        </w:rPr>
        <w:t xml:space="preserve">Anton Piller </w:t>
      </w:r>
      <w:r w:rsidR="00845FB2" w:rsidRPr="00AB52EE">
        <w:rPr>
          <w:rFonts w:cs="Arial"/>
          <w:szCs w:val="24"/>
          <w:lang w:eastAsia="en-ZA"/>
        </w:rPr>
        <w:t>order under reconsideration</w:t>
      </w:r>
      <w:r w:rsidR="00CC27A4" w:rsidRPr="00AB52EE">
        <w:rPr>
          <w:rFonts w:cs="Arial"/>
          <w:szCs w:val="24"/>
          <w:lang w:eastAsia="en-ZA"/>
        </w:rPr>
        <w:t xml:space="preserve">. </w:t>
      </w:r>
    </w:p>
    <w:p w14:paraId="0A433581" w14:textId="3C64E3AD" w:rsidR="00666D25" w:rsidRPr="00AB52EE" w:rsidRDefault="00666D25" w:rsidP="00666D25">
      <w:pPr>
        <w:pStyle w:val="LC1"/>
        <w:keepNext/>
        <w:numPr>
          <w:ilvl w:val="0"/>
          <w:numId w:val="0"/>
        </w:numPr>
        <w:rPr>
          <w:rFonts w:cs="Arial"/>
          <w:b/>
          <w:bCs/>
          <w:szCs w:val="24"/>
        </w:rPr>
      </w:pPr>
      <w:r w:rsidRPr="00AB52EE">
        <w:rPr>
          <w:rFonts w:cs="Arial"/>
          <w:b/>
          <w:bCs/>
          <w:szCs w:val="24"/>
        </w:rPr>
        <w:t>EXECUTION: THE CONDUCT OF THE ASSISTING ATTORNEYS</w:t>
      </w:r>
    </w:p>
    <w:p w14:paraId="58E8F95A" w14:textId="77777777" w:rsidR="00483098" w:rsidRPr="00AB52EE" w:rsidRDefault="00666D25" w:rsidP="00142BB7">
      <w:pPr>
        <w:pStyle w:val="LC1"/>
        <w:rPr>
          <w:rFonts w:cs="Arial"/>
          <w:szCs w:val="24"/>
          <w:lang w:eastAsia="en-ZA"/>
        </w:rPr>
      </w:pPr>
      <w:r w:rsidRPr="00AB52EE">
        <w:rPr>
          <w:rFonts w:cs="Arial"/>
          <w:szCs w:val="24"/>
          <w:lang w:eastAsia="en-ZA"/>
        </w:rPr>
        <w:t xml:space="preserve">Although the respondents seek to make out no case that the supervising attorneys </w:t>
      </w:r>
      <w:r w:rsidR="00483098" w:rsidRPr="00AB52EE">
        <w:rPr>
          <w:rFonts w:cs="Arial"/>
          <w:szCs w:val="24"/>
          <w:lang w:eastAsia="en-ZA"/>
        </w:rPr>
        <w:t>failed to act appropriately during the search</w:t>
      </w:r>
      <w:r w:rsidRPr="00AB52EE">
        <w:rPr>
          <w:rFonts w:cs="Arial"/>
          <w:szCs w:val="24"/>
          <w:lang w:eastAsia="en-ZA"/>
        </w:rPr>
        <w:t>,</w:t>
      </w:r>
      <w:r w:rsidRPr="00AB52EE">
        <w:rPr>
          <w:rStyle w:val="FootnoteReference"/>
          <w:szCs w:val="24"/>
        </w:rPr>
        <w:footnoteReference w:id="107"/>
      </w:r>
      <w:r w:rsidRPr="00AB52EE">
        <w:rPr>
          <w:rFonts w:cs="Arial"/>
          <w:szCs w:val="24"/>
          <w:lang w:eastAsia="en-ZA"/>
        </w:rPr>
        <w:t xml:space="preserve"> Mr Case </w:t>
      </w:r>
      <w:r w:rsidR="00483098" w:rsidRPr="00AB52EE">
        <w:rPr>
          <w:rFonts w:cs="Arial"/>
          <w:szCs w:val="24"/>
          <w:lang w:eastAsia="en-ZA"/>
        </w:rPr>
        <w:t xml:space="preserve">alleges </w:t>
      </w:r>
      <w:r w:rsidRPr="00AB52EE">
        <w:rPr>
          <w:rFonts w:cs="Arial"/>
          <w:szCs w:val="24"/>
          <w:lang w:eastAsia="en-ZA"/>
        </w:rPr>
        <w:t xml:space="preserve">in his answering affidavit that </w:t>
      </w:r>
      <w:r w:rsidR="00483098" w:rsidRPr="00AB52EE">
        <w:rPr>
          <w:rFonts w:cs="Arial"/>
          <w:szCs w:val="24"/>
          <w:lang w:eastAsia="en-ZA"/>
        </w:rPr>
        <w:t xml:space="preserve">in this instance the assisting attorneys did not act independently and that Supercart and its attorneys </w:t>
      </w:r>
      <w:r w:rsidR="00483098" w:rsidRPr="00AB52EE">
        <w:rPr>
          <w:rFonts w:cs="Arial"/>
          <w:szCs w:val="24"/>
        </w:rPr>
        <w:t xml:space="preserve">“were steering the proceedings from outside the premises”. </w:t>
      </w:r>
    </w:p>
    <w:p w14:paraId="2904181D" w14:textId="616C5C54" w:rsidR="007049EE" w:rsidRPr="00AB52EE" w:rsidRDefault="00483098" w:rsidP="00352EC8">
      <w:pPr>
        <w:pStyle w:val="LC1"/>
        <w:rPr>
          <w:rFonts w:cs="Arial"/>
          <w:szCs w:val="24"/>
          <w:lang w:eastAsia="en-ZA"/>
        </w:rPr>
      </w:pPr>
      <w:r w:rsidRPr="00AB52EE">
        <w:rPr>
          <w:rFonts w:cs="Arial"/>
          <w:szCs w:val="24"/>
        </w:rPr>
        <w:t xml:space="preserve">In my view, </w:t>
      </w:r>
      <w:r w:rsidR="00AC176F" w:rsidRPr="00AB52EE">
        <w:rPr>
          <w:rFonts w:cs="Arial"/>
          <w:szCs w:val="24"/>
        </w:rPr>
        <w:t xml:space="preserve">(apart from not demonstrating that the assisting attorneys disclosed the content of anything found during the search, as I have found above) </w:t>
      </w:r>
      <w:r w:rsidRPr="00AB52EE">
        <w:rPr>
          <w:rFonts w:cs="Arial"/>
          <w:szCs w:val="24"/>
        </w:rPr>
        <w:t xml:space="preserve">the factual allegations put up by Mr Case in his answering affidavit are not sufficient to establish the onus borne by the respondents to show on a preponderance of probabilities </w:t>
      </w:r>
      <w:r w:rsidR="008F5D9E" w:rsidRPr="00AB52EE">
        <w:rPr>
          <w:rFonts w:cs="Arial"/>
          <w:szCs w:val="24"/>
        </w:rPr>
        <w:t xml:space="preserve">that the Anton Piller </w:t>
      </w:r>
      <w:r w:rsidR="00AC176F">
        <w:rPr>
          <w:rFonts w:cs="Arial"/>
          <w:szCs w:val="24"/>
        </w:rPr>
        <w:t xml:space="preserve">order </w:t>
      </w:r>
      <w:r w:rsidR="008F5D9E" w:rsidRPr="00AB52EE">
        <w:rPr>
          <w:rFonts w:cs="Arial"/>
          <w:szCs w:val="24"/>
        </w:rPr>
        <w:t xml:space="preserve">was </w:t>
      </w:r>
      <w:r w:rsidR="00AC176F">
        <w:rPr>
          <w:rFonts w:cs="Arial"/>
          <w:szCs w:val="24"/>
        </w:rPr>
        <w:t>executed in a manner that did not comply with its terms</w:t>
      </w:r>
      <w:r w:rsidRPr="00AB52EE">
        <w:rPr>
          <w:rFonts w:cs="Arial"/>
          <w:szCs w:val="24"/>
        </w:rPr>
        <w:t xml:space="preserve">. The instances where </w:t>
      </w:r>
      <w:r w:rsidR="008F5D9E" w:rsidRPr="00AB52EE">
        <w:rPr>
          <w:rFonts w:cs="Arial"/>
          <w:szCs w:val="24"/>
        </w:rPr>
        <w:t xml:space="preserve">the assisting </w:t>
      </w:r>
      <w:r w:rsidR="00AD4D4C">
        <w:rPr>
          <w:rFonts w:cs="Arial"/>
          <w:szCs w:val="24"/>
        </w:rPr>
        <w:t xml:space="preserve">attorneys </w:t>
      </w:r>
      <w:r w:rsidRPr="00AB52EE">
        <w:rPr>
          <w:rFonts w:cs="Arial"/>
          <w:szCs w:val="24"/>
        </w:rPr>
        <w:t xml:space="preserve">allegedly indicated that they needed to </w:t>
      </w:r>
      <w:r w:rsidR="008F5D9E" w:rsidRPr="00AB52EE">
        <w:rPr>
          <w:rFonts w:cs="Arial"/>
          <w:szCs w:val="24"/>
        </w:rPr>
        <w:t xml:space="preserve">communicate with </w:t>
      </w:r>
      <w:r w:rsidR="00720427">
        <w:rPr>
          <w:rFonts w:cs="Arial"/>
          <w:szCs w:val="24"/>
        </w:rPr>
        <w:t xml:space="preserve">Supercart’s </w:t>
      </w:r>
      <w:r w:rsidR="008F5D9E" w:rsidRPr="00AB52EE">
        <w:rPr>
          <w:rFonts w:cs="Arial"/>
          <w:szCs w:val="24"/>
        </w:rPr>
        <w:t xml:space="preserve">attorneys did not all involve </w:t>
      </w:r>
      <w:r w:rsidR="0085556D" w:rsidRPr="00AB52EE">
        <w:rPr>
          <w:rFonts w:cs="Arial"/>
          <w:szCs w:val="24"/>
        </w:rPr>
        <w:t xml:space="preserve">the assisting attorneys </w:t>
      </w:r>
      <w:r w:rsidR="008F5D9E" w:rsidRPr="00AB52EE">
        <w:rPr>
          <w:rFonts w:cs="Arial"/>
          <w:szCs w:val="24"/>
        </w:rPr>
        <w:t xml:space="preserve">taking </w:t>
      </w:r>
      <w:r w:rsidRPr="00AB52EE">
        <w:rPr>
          <w:rFonts w:cs="Arial"/>
          <w:szCs w:val="24"/>
        </w:rPr>
        <w:t xml:space="preserve">“instructions” </w:t>
      </w:r>
      <w:r w:rsidR="008F5D9E" w:rsidRPr="00AB52EE">
        <w:rPr>
          <w:rFonts w:cs="Arial"/>
          <w:szCs w:val="24"/>
        </w:rPr>
        <w:t xml:space="preserve">from </w:t>
      </w:r>
      <w:r w:rsidR="00720427">
        <w:rPr>
          <w:rFonts w:cs="Arial"/>
          <w:szCs w:val="24"/>
        </w:rPr>
        <w:t xml:space="preserve">Supercart’s </w:t>
      </w:r>
      <w:r w:rsidR="008F5D9E" w:rsidRPr="00AB52EE">
        <w:rPr>
          <w:rFonts w:cs="Arial"/>
          <w:szCs w:val="24"/>
        </w:rPr>
        <w:t>attorneys as Mr Case seeks to characterise them, but rather simply ob</w:t>
      </w:r>
      <w:r w:rsidR="008F5D9E" w:rsidRPr="00AC176F">
        <w:rPr>
          <w:rFonts w:cs="Arial"/>
          <w:szCs w:val="24"/>
        </w:rPr>
        <w:t xml:space="preserve">taining information such as “whether ... bundles referred to in paragraph 16.3 of the Court Order and referenced in the founding affidavit of Mr Michael Wolfe were furnished to the respondents”. </w:t>
      </w:r>
      <w:r w:rsidR="00477869" w:rsidRPr="00AC176F">
        <w:rPr>
          <w:rFonts w:cs="Arial"/>
          <w:szCs w:val="24"/>
        </w:rPr>
        <w:t>In other instances</w:t>
      </w:r>
      <w:r w:rsidR="00477869" w:rsidRPr="00AB52EE">
        <w:rPr>
          <w:rFonts w:cs="Arial"/>
          <w:szCs w:val="24"/>
        </w:rPr>
        <w:t xml:space="preserve">, while there are </w:t>
      </w:r>
      <w:r w:rsidR="00AD4D4C">
        <w:rPr>
          <w:rFonts w:cs="Arial"/>
          <w:szCs w:val="24"/>
        </w:rPr>
        <w:t xml:space="preserve">allegations </w:t>
      </w:r>
      <w:r w:rsidR="00477869" w:rsidRPr="00AB52EE">
        <w:rPr>
          <w:rFonts w:cs="Arial"/>
          <w:szCs w:val="24"/>
        </w:rPr>
        <w:t xml:space="preserve">that the assisting attorneys indicated that they would have to take instructions </w:t>
      </w:r>
      <w:r w:rsidR="00477869" w:rsidRPr="00AB52EE">
        <w:rPr>
          <w:rFonts w:cs="Arial"/>
          <w:szCs w:val="24"/>
        </w:rPr>
        <w:lastRenderedPageBreak/>
        <w:t xml:space="preserve">from Supercart’s attorneys (for example in relation to the two CDs found in a drawer in Mrs Case’s daughter’s cousin’s room), there is no allegation that such instructions were in fact sought or given. </w:t>
      </w:r>
      <w:r w:rsidR="007049EE" w:rsidRPr="00AB52EE">
        <w:rPr>
          <w:rFonts w:cs="Arial"/>
          <w:szCs w:val="24"/>
        </w:rPr>
        <w:t xml:space="preserve">For the rest, the assisting attorneys’ </w:t>
      </w:r>
      <w:r w:rsidR="0085556D" w:rsidRPr="00AB52EE">
        <w:rPr>
          <w:rFonts w:cs="Arial"/>
          <w:szCs w:val="24"/>
        </w:rPr>
        <w:t xml:space="preserve">communications with </w:t>
      </w:r>
      <w:r w:rsidR="00720427">
        <w:rPr>
          <w:rFonts w:cs="Arial"/>
          <w:szCs w:val="24"/>
        </w:rPr>
        <w:t xml:space="preserve">Supercart’s </w:t>
      </w:r>
      <w:r w:rsidR="0085556D" w:rsidRPr="00AB52EE">
        <w:rPr>
          <w:rFonts w:cs="Arial"/>
          <w:szCs w:val="24"/>
        </w:rPr>
        <w:t>attorneys</w:t>
      </w:r>
      <w:r w:rsidR="007049EE" w:rsidRPr="00AB52EE">
        <w:rPr>
          <w:rFonts w:cs="Arial"/>
          <w:szCs w:val="24"/>
        </w:rPr>
        <w:t xml:space="preserve"> </w:t>
      </w:r>
      <w:r w:rsidR="0085556D" w:rsidRPr="00AB52EE">
        <w:rPr>
          <w:rFonts w:cs="Arial"/>
          <w:szCs w:val="24"/>
        </w:rPr>
        <w:t xml:space="preserve">appear to have been </w:t>
      </w:r>
      <w:r w:rsidR="007049EE" w:rsidRPr="00AB52EE">
        <w:rPr>
          <w:rFonts w:cs="Arial"/>
          <w:szCs w:val="24"/>
        </w:rPr>
        <w:t>part of process</w:t>
      </w:r>
      <w:r w:rsidR="00156514" w:rsidRPr="00AB52EE">
        <w:rPr>
          <w:rFonts w:cs="Arial"/>
          <w:szCs w:val="24"/>
        </w:rPr>
        <w:t>es</w:t>
      </w:r>
      <w:r w:rsidR="007049EE" w:rsidRPr="00AB52EE">
        <w:rPr>
          <w:rFonts w:cs="Arial"/>
          <w:szCs w:val="24"/>
        </w:rPr>
        <w:t xml:space="preserve"> </w:t>
      </w:r>
      <w:r w:rsidR="00477869" w:rsidRPr="00AB52EE">
        <w:rPr>
          <w:rFonts w:cs="Arial"/>
          <w:szCs w:val="24"/>
        </w:rPr>
        <w:t xml:space="preserve">undertaken under the control of </w:t>
      </w:r>
      <w:r w:rsidR="007049EE" w:rsidRPr="00AB52EE">
        <w:rPr>
          <w:rFonts w:cs="Arial"/>
          <w:szCs w:val="24"/>
        </w:rPr>
        <w:t xml:space="preserve">the supervising attorneys </w:t>
      </w:r>
      <w:r w:rsidR="00477869" w:rsidRPr="00AB52EE">
        <w:rPr>
          <w:rFonts w:cs="Arial"/>
          <w:szCs w:val="24"/>
        </w:rPr>
        <w:t xml:space="preserve">to </w:t>
      </w:r>
      <w:r w:rsidR="0085556D" w:rsidRPr="00AB52EE">
        <w:rPr>
          <w:rFonts w:cs="Arial"/>
          <w:szCs w:val="24"/>
        </w:rPr>
        <w:t xml:space="preserve">resolve disputes by </w:t>
      </w:r>
      <w:r w:rsidR="00477869" w:rsidRPr="00AB52EE">
        <w:rPr>
          <w:rFonts w:cs="Arial"/>
          <w:szCs w:val="24"/>
        </w:rPr>
        <w:t>facilitat</w:t>
      </w:r>
      <w:r w:rsidR="0085556D" w:rsidRPr="00AB52EE">
        <w:rPr>
          <w:rFonts w:cs="Arial"/>
          <w:szCs w:val="24"/>
        </w:rPr>
        <w:t>ing</w:t>
      </w:r>
      <w:r w:rsidR="00477869" w:rsidRPr="00AB52EE">
        <w:rPr>
          <w:rFonts w:cs="Arial"/>
          <w:szCs w:val="24"/>
        </w:rPr>
        <w:t xml:space="preserve"> agreements </w:t>
      </w:r>
      <w:r w:rsidR="007049EE" w:rsidRPr="00AB52EE">
        <w:rPr>
          <w:rFonts w:cs="Arial"/>
          <w:szCs w:val="24"/>
        </w:rPr>
        <w:t>between the parties’ attorneys</w:t>
      </w:r>
      <w:r w:rsidR="00177537" w:rsidRPr="00AB52EE">
        <w:rPr>
          <w:rFonts w:cs="Arial"/>
          <w:szCs w:val="24"/>
        </w:rPr>
        <w:t>, the Sheriff</w:t>
      </w:r>
      <w:r w:rsidR="007049EE" w:rsidRPr="00AB52EE">
        <w:rPr>
          <w:rFonts w:cs="Arial"/>
          <w:szCs w:val="24"/>
        </w:rPr>
        <w:t xml:space="preserve"> and </w:t>
      </w:r>
      <w:r w:rsidR="0085556D" w:rsidRPr="00AB52EE">
        <w:rPr>
          <w:rFonts w:cs="Arial"/>
          <w:szCs w:val="24"/>
        </w:rPr>
        <w:t xml:space="preserve">representatives of the respondents themselves, including </w:t>
      </w:r>
      <w:r w:rsidR="007049EE" w:rsidRPr="00AB52EE">
        <w:rPr>
          <w:rFonts w:cs="Arial"/>
          <w:szCs w:val="24"/>
        </w:rPr>
        <w:t xml:space="preserve">Mr Case, with regard to the </w:t>
      </w:r>
      <w:r w:rsidR="0085556D" w:rsidRPr="00AB52EE">
        <w:rPr>
          <w:rFonts w:cs="Arial"/>
          <w:szCs w:val="24"/>
        </w:rPr>
        <w:t xml:space="preserve">manner in which </w:t>
      </w:r>
      <w:r w:rsidR="00AD4D4C">
        <w:rPr>
          <w:rFonts w:cs="Arial"/>
          <w:szCs w:val="24"/>
        </w:rPr>
        <w:t xml:space="preserve">the </w:t>
      </w:r>
      <w:r w:rsidR="007049EE" w:rsidRPr="00AB52EE">
        <w:rPr>
          <w:rFonts w:cs="Arial"/>
          <w:szCs w:val="24"/>
        </w:rPr>
        <w:t>order should be interpreted in relation to logistical matters</w:t>
      </w:r>
      <w:r w:rsidR="00477869" w:rsidRPr="00AB52EE">
        <w:rPr>
          <w:rFonts w:cs="Arial"/>
          <w:szCs w:val="24"/>
        </w:rPr>
        <w:t xml:space="preserve"> such as the requirement to produce COVID-19 vaccination certificates, whether the mobile phones of Mrs Case and her daughter could be searched, </w:t>
      </w:r>
      <w:r w:rsidR="0085556D" w:rsidRPr="00AB52EE">
        <w:rPr>
          <w:rFonts w:cs="Arial"/>
          <w:szCs w:val="24"/>
        </w:rPr>
        <w:t xml:space="preserve">whether mobile phones could be sealed while the extraction process was being undertaken, </w:t>
      </w:r>
      <w:r w:rsidR="00477869" w:rsidRPr="00AB52EE">
        <w:rPr>
          <w:rFonts w:cs="Arial"/>
          <w:szCs w:val="24"/>
        </w:rPr>
        <w:t>how the process of searching electronic devices should be undertaken by the IT experts</w:t>
      </w:r>
      <w:r w:rsidR="00177537" w:rsidRPr="00AB52EE">
        <w:rPr>
          <w:rFonts w:cs="Arial"/>
          <w:szCs w:val="24"/>
        </w:rPr>
        <w:t>,</w:t>
      </w:r>
      <w:r w:rsidR="00477869" w:rsidRPr="00AB52EE">
        <w:rPr>
          <w:rFonts w:cs="Arial"/>
          <w:szCs w:val="24"/>
        </w:rPr>
        <w:t xml:space="preserve"> and </w:t>
      </w:r>
      <w:r w:rsidR="00156514" w:rsidRPr="00AB52EE">
        <w:rPr>
          <w:rFonts w:cs="Arial"/>
          <w:szCs w:val="24"/>
        </w:rPr>
        <w:t xml:space="preserve">how the devices should be secured. </w:t>
      </w:r>
      <w:r w:rsidR="00477869" w:rsidRPr="00AB52EE">
        <w:rPr>
          <w:rFonts w:cs="Arial"/>
          <w:szCs w:val="24"/>
        </w:rPr>
        <w:t xml:space="preserve">All of </w:t>
      </w:r>
      <w:r w:rsidR="00156514" w:rsidRPr="00AB52EE">
        <w:rPr>
          <w:rFonts w:cs="Arial"/>
          <w:szCs w:val="24"/>
        </w:rPr>
        <w:t xml:space="preserve">these </w:t>
      </w:r>
      <w:r w:rsidR="0085556D" w:rsidRPr="00AB52EE">
        <w:rPr>
          <w:rFonts w:cs="Arial"/>
          <w:szCs w:val="24"/>
        </w:rPr>
        <w:t xml:space="preserve">disputes </w:t>
      </w:r>
      <w:r w:rsidR="00477869" w:rsidRPr="00AB52EE">
        <w:rPr>
          <w:rFonts w:cs="Arial"/>
          <w:szCs w:val="24"/>
        </w:rPr>
        <w:t xml:space="preserve">appear to have been resolved either by agreement </w:t>
      </w:r>
      <w:r w:rsidR="00156514" w:rsidRPr="00AB52EE">
        <w:rPr>
          <w:rFonts w:cs="Arial"/>
          <w:szCs w:val="24"/>
        </w:rPr>
        <w:t xml:space="preserve">between the parties </w:t>
      </w:r>
      <w:r w:rsidR="00477869" w:rsidRPr="00AB52EE">
        <w:rPr>
          <w:rFonts w:cs="Arial"/>
          <w:szCs w:val="24"/>
        </w:rPr>
        <w:t>or by the supervising attorneys themselves, which was their role.</w:t>
      </w:r>
      <w:r w:rsidR="007049EE" w:rsidRPr="00AB52EE">
        <w:rPr>
          <w:rFonts w:cs="Arial"/>
          <w:szCs w:val="24"/>
        </w:rPr>
        <w:t xml:space="preserve"> </w:t>
      </w:r>
    </w:p>
    <w:p w14:paraId="3D09823D" w14:textId="677F3281" w:rsidR="008F5D9E" w:rsidRPr="00AB52EE" w:rsidRDefault="008F5D9E" w:rsidP="00CB392D">
      <w:pPr>
        <w:pStyle w:val="LC1"/>
        <w:rPr>
          <w:rFonts w:cs="Arial"/>
          <w:szCs w:val="24"/>
          <w:lang w:eastAsia="en-ZA"/>
        </w:rPr>
      </w:pPr>
      <w:r w:rsidRPr="00CB392D">
        <w:rPr>
          <w:rFonts w:cs="Arial"/>
          <w:szCs w:val="24"/>
        </w:rPr>
        <w:t xml:space="preserve">While I </w:t>
      </w:r>
      <w:r w:rsidR="00177537" w:rsidRPr="00CB392D">
        <w:rPr>
          <w:rFonts w:cs="Arial"/>
          <w:szCs w:val="24"/>
        </w:rPr>
        <w:t xml:space="preserve">have indicated above that it would have been </w:t>
      </w:r>
      <w:r w:rsidR="00AD4D4C" w:rsidRPr="00CB392D">
        <w:rPr>
          <w:rFonts w:cs="Arial"/>
          <w:szCs w:val="24"/>
        </w:rPr>
        <w:t xml:space="preserve">more appropriate </w:t>
      </w:r>
      <w:r w:rsidR="00AC176F" w:rsidRPr="00CB392D">
        <w:rPr>
          <w:rFonts w:cs="Arial"/>
          <w:szCs w:val="24"/>
        </w:rPr>
        <w:t xml:space="preserve">for the order to have required </w:t>
      </w:r>
      <w:r w:rsidR="00177537" w:rsidRPr="00CB392D">
        <w:rPr>
          <w:rFonts w:cs="Arial"/>
          <w:szCs w:val="24"/>
        </w:rPr>
        <w:t xml:space="preserve">these communications to have been undertaken entirely through the intermediation of the supervising attorneys, I do not consider that they resulted in </w:t>
      </w:r>
      <w:r w:rsidR="00AC176F" w:rsidRPr="00CB392D">
        <w:rPr>
          <w:rFonts w:cs="Arial"/>
          <w:szCs w:val="24"/>
        </w:rPr>
        <w:t>a breach of the order as granted</w:t>
      </w:r>
      <w:r w:rsidR="00CB392D" w:rsidRPr="00CB392D">
        <w:rPr>
          <w:rFonts w:cs="Arial"/>
          <w:szCs w:val="24"/>
        </w:rPr>
        <w:t>,</w:t>
      </w:r>
      <w:r w:rsidR="00AC176F" w:rsidRPr="00CB392D">
        <w:rPr>
          <w:rFonts w:cs="Arial"/>
          <w:szCs w:val="24"/>
        </w:rPr>
        <w:t xml:space="preserve"> or </w:t>
      </w:r>
      <w:r w:rsidR="00177537" w:rsidRPr="00CB392D">
        <w:rPr>
          <w:rFonts w:cs="Arial"/>
          <w:szCs w:val="24"/>
        </w:rPr>
        <w:t xml:space="preserve">the search being </w:t>
      </w:r>
      <w:r w:rsidR="00CB392D" w:rsidRPr="00CB392D">
        <w:rPr>
          <w:rFonts w:cs="Arial"/>
          <w:szCs w:val="24"/>
        </w:rPr>
        <w:t>so seriously flawed as to justify setting it aside</w:t>
      </w:r>
      <w:r w:rsidR="00CB392D">
        <w:rPr>
          <w:rFonts w:cs="Arial"/>
          <w:szCs w:val="24"/>
        </w:rPr>
        <w:t xml:space="preserve"> as </w:t>
      </w:r>
      <w:r w:rsidR="00177537" w:rsidRPr="00AB52EE">
        <w:rPr>
          <w:rFonts w:cs="Arial"/>
          <w:szCs w:val="24"/>
        </w:rPr>
        <w:t xml:space="preserve">an unjustifiable breach </w:t>
      </w:r>
      <w:r w:rsidR="00AD4D4C">
        <w:rPr>
          <w:rFonts w:cs="Arial"/>
          <w:szCs w:val="24"/>
        </w:rPr>
        <w:t xml:space="preserve">of the </w:t>
      </w:r>
      <w:r w:rsidR="00177537" w:rsidRPr="00AB52EE">
        <w:rPr>
          <w:rFonts w:cs="Arial"/>
          <w:szCs w:val="24"/>
        </w:rPr>
        <w:t>respondents</w:t>
      </w:r>
      <w:r w:rsidR="00CB392D">
        <w:rPr>
          <w:rFonts w:cs="Arial"/>
          <w:szCs w:val="24"/>
        </w:rPr>
        <w:t>’</w:t>
      </w:r>
      <w:r w:rsidR="00177537" w:rsidRPr="00AB52EE">
        <w:rPr>
          <w:rFonts w:cs="Arial"/>
          <w:szCs w:val="24"/>
        </w:rPr>
        <w:t xml:space="preserve"> constitutional rights</w:t>
      </w:r>
      <w:r w:rsidR="00DE1E27" w:rsidRPr="00AB52EE">
        <w:rPr>
          <w:rFonts w:cs="Arial"/>
          <w:szCs w:val="24"/>
        </w:rPr>
        <w:t xml:space="preserve">. </w:t>
      </w:r>
      <w:r w:rsidR="00177537" w:rsidRPr="00AB52EE">
        <w:rPr>
          <w:rFonts w:cs="Arial"/>
          <w:szCs w:val="24"/>
        </w:rPr>
        <w:t xml:space="preserve">   </w:t>
      </w:r>
    </w:p>
    <w:p w14:paraId="36282C4B" w14:textId="4D1AF4A5" w:rsidR="00904D6A" w:rsidRDefault="00904D6A" w:rsidP="00904D6A">
      <w:pPr>
        <w:pStyle w:val="LC1"/>
        <w:rPr>
          <w:rFonts w:cs="Arial"/>
          <w:szCs w:val="24"/>
          <w:lang w:eastAsia="en-ZA"/>
        </w:rPr>
      </w:pPr>
      <w:r w:rsidRPr="00AB52EE">
        <w:rPr>
          <w:rFonts w:cs="Arial"/>
          <w:szCs w:val="24"/>
        </w:rPr>
        <w:t xml:space="preserve">As for the allegation in paragraph 40 of Mr Case’s </w:t>
      </w:r>
      <w:r w:rsidR="00CB392D">
        <w:rPr>
          <w:rFonts w:cs="Arial"/>
          <w:szCs w:val="24"/>
        </w:rPr>
        <w:t xml:space="preserve">further </w:t>
      </w:r>
      <w:r w:rsidRPr="00AB52EE">
        <w:rPr>
          <w:rFonts w:cs="Arial"/>
          <w:szCs w:val="24"/>
        </w:rPr>
        <w:t xml:space="preserve">affidavit that the assisting attorneys </w:t>
      </w:r>
      <w:r w:rsidR="004A28B9" w:rsidRPr="00AB52EE">
        <w:rPr>
          <w:rFonts w:cs="Arial"/>
          <w:szCs w:val="24"/>
        </w:rPr>
        <w:t xml:space="preserve">inappropriately </w:t>
      </w:r>
      <w:r w:rsidRPr="00AB52EE">
        <w:rPr>
          <w:rFonts w:cs="Arial"/>
          <w:szCs w:val="24"/>
        </w:rPr>
        <w:t xml:space="preserve">commented </w:t>
      </w:r>
      <w:r w:rsidR="008F2477" w:rsidRPr="00AB52EE">
        <w:rPr>
          <w:rFonts w:cs="Arial"/>
          <w:szCs w:val="24"/>
        </w:rPr>
        <w:t xml:space="preserve">in </w:t>
      </w:r>
      <w:r w:rsidR="004A28B9" w:rsidRPr="00AB52EE">
        <w:rPr>
          <w:rFonts w:cs="Arial"/>
          <w:szCs w:val="24"/>
        </w:rPr>
        <w:t xml:space="preserve">their </w:t>
      </w:r>
      <w:r w:rsidR="008F2477" w:rsidRPr="00AB52EE">
        <w:rPr>
          <w:rFonts w:cs="Arial"/>
          <w:szCs w:val="24"/>
        </w:rPr>
        <w:t xml:space="preserve">affidavits </w:t>
      </w:r>
      <w:r w:rsidRPr="00AB52EE">
        <w:rPr>
          <w:rFonts w:cs="Arial"/>
          <w:szCs w:val="24"/>
        </w:rPr>
        <w:t xml:space="preserve">on the relevance of the information that had been found (i.e. that it constituted </w:t>
      </w:r>
      <w:r w:rsidRPr="00AB52EE">
        <w:rPr>
          <w:rFonts w:cs="Arial"/>
          <w:szCs w:val="24"/>
        </w:rPr>
        <w:lastRenderedPageBreak/>
        <w:t>“relevant evidence”</w:t>
      </w:r>
      <w:r w:rsidR="008F2477" w:rsidRPr="00AB52EE">
        <w:rPr>
          <w:rFonts w:cs="Arial"/>
          <w:szCs w:val="24"/>
        </w:rPr>
        <w:t xml:space="preserve">), </w:t>
      </w:r>
      <w:r w:rsidRPr="00AB52EE">
        <w:rPr>
          <w:rFonts w:cs="Arial"/>
          <w:szCs w:val="24"/>
        </w:rPr>
        <w:t xml:space="preserve">I </w:t>
      </w:r>
      <w:r w:rsidR="008F2477" w:rsidRPr="00AB52EE">
        <w:rPr>
          <w:rFonts w:cs="Arial"/>
          <w:szCs w:val="24"/>
        </w:rPr>
        <w:t xml:space="preserve">have already concluded that this </w:t>
      </w:r>
      <w:r w:rsidRPr="00AB52EE">
        <w:rPr>
          <w:rFonts w:cs="Arial"/>
          <w:szCs w:val="24"/>
        </w:rPr>
        <w:t xml:space="preserve">was </w:t>
      </w:r>
      <w:r w:rsidR="008F2477" w:rsidRPr="00AB52EE">
        <w:rPr>
          <w:rFonts w:cs="Arial"/>
          <w:szCs w:val="24"/>
        </w:rPr>
        <w:t xml:space="preserve">part of </w:t>
      </w:r>
      <w:r w:rsidRPr="00AB52EE">
        <w:rPr>
          <w:rFonts w:cs="Arial"/>
          <w:szCs w:val="24"/>
        </w:rPr>
        <w:t xml:space="preserve">their </w:t>
      </w:r>
      <w:r w:rsidR="008F2477" w:rsidRPr="00AB52EE">
        <w:rPr>
          <w:rFonts w:cs="Arial"/>
          <w:szCs w:val="24"/>
        </w:rPr>
        <w:t xml:space="preserve">legitimate </w:t>
      </w:r>
      <w:r w:rsidRPr="00AB52EE">
        <w:rPr>
          <w:rFonts w:cs="Arial"/>
          <w:szCs w:val="24"/>
        </w:rPr>
        <w:t xml:space="preserve">role </w:t>
      </w:r>
      <w:r w:rsidR="008F2477" w:rsidRPr="00AB52EE">
        <w:rPr>
          <w:rFonts w:cs="Arial"/>
          <w:szCs w:val="24"/>
        </w:rPr>
        <w:t>in the search</w:t>
      </w:r>
      <w:r w:rsidR="00CB392D">
        <w:rPr>
          <w:rFonts w:cs="Arial"/>
          <w:szCs w:val="24"/>
        </w:rPr>
        <w:t>, and there is no reason why they should not be called upon to account for the performance of it in an affidavit in the reconsideration proceedings.</w:t>
      </w:r>
    </w:p>
    <w:p w14:paraId="11218BC2" w14:textId="4EFB3E0F" w:rsidR="00AD4D4C" w:rsidRPr="00AB52EE" w:rsidRDefault="00AD4D4C" w:rsidP="00AD4D4C">
      <w:pPr>
        <w:pStyle w:val="LC1"/>
        <w:rPr>
          <w:lang w:eastAsia="en-ZA"/>
        </w:rPr>
      </w:pPr>
      <w:r>
        <w:rPr>
          <w:lang w:eastAsia="en-ZA"/>
        </w:rPr>
        <w:t xml:space="preserve">I thus conclude that </w:t>
      </w:r>
      <w:r w:rsidRPr="00AB52EE">
        <w:rPr>
          <w:lang w:eastAsia="en-ZA"/>
        </w:rPr>
        <w:t>there is no merit in this challenge to the Anton Piller order under reconsideration.</w:t>
      </w:r>
    </w:p>
    <w:p w14:paraId="1375CDDC" w14:textId="5AF6E738" w:rsidR="00226A43" w:rsidRPr="00AB52EE" w:rsidRDefault="00A03752" w:rsidP="002C7131">
      <w:pPr>
        <w:pStyle w:val="LC1"/>
        <w:keepNext/>
        <w:numPr>
          <w:ilvl w:val="0"/>
          <w:numId w:val="0"/>
        </w:numPr>
        <w:rPr>
          <w:rFonts w:cs="Arial"/>
          <w:b/>
          <w:bCs/>
          <w:szCs w:val="24"/>
        </w:rPr>
      </w:pPr>
      <w:r w:rsidRPr="00AB52EE">
        <w:rPr>
          <w:rFonts w:cs="Arial"/>
          <w:b/>
          <w:bCs/>
          <w:szCs w:val="24"/>
        </w:rPr>
        <w:t xml:space="preserve">EXECUTION: BREACH OF THE ORDER </w:t>
      </w:r>
      <w:r w:rsidR="002C7131" w:rsidRPr="00AB52EE">
        <w:rPr>
          <w:rFonts w:cs="Arial"/>
          <w:b/>
          <w:bCs/>
          <w:szCs w:val="24"/>
        </w:rPr>
        <w:t>IN RELATION TO “</w:t>
      </w:r>
      <w:r w:rsidRPr="00AB52EE">
        <w:rPr>
          <w:rFonts w:cs="Arial"/>
          <w:b/>
          <w:bCs/>
          <w:szCs w:val="24"/>
        </w:rPr>
        <w:t>MIRRORING</w:t>
      </w:r>
      <w:r w:rsidR="002C7131" w:rsidRPr="00AB52EE">
        <w:rPr>
          <w:rFonts w:cs="Arial"/>
          <w:b/>
          <w:bCs/>
          <w:szCs w:val="24"/>
        </w:rPr>
        <w:t>”</w:t>
      </w:r>
    </w:p>
    <w:p w14:paraId="70EF181C" w14:textId="05D2EDBF" w:rsidR="002B2AFF" w:rsidRPr="00AB52EE" w:rsidRDefault="00CB392D" w:rsidP="00C14C58">
      <w:pPr>
        <w:pStyle w:val="LC1"/>
        <w:rPr>
          <w:rFonts w:cs="Arial"/>
          <w:szCs w:val="24"/>
        </w:rPr>
      </w:pPr>
      <w:r>
        <w:rPr>
          <w:rFonts w:cs="Arial"/>
          <w:szCs w:val="24"/>
        </w:rPr>
        <w:t>I</w:t>
      </w:r>
      <w:r w:rsidR="00E85847" w:rsidRPr="00AB52EE">
        <w:rPr>
          <w:rFonts w:cs="Arial"/>
          <w:szCs w:val="24"/>
        </w:rPr>
        <w:t>n relation to the electronic devices that were allowed to be searched,</w:t>
      </w:r>
      <w:r w:rsidR="00943282" w:rsidRPr="00AB52EE">
        <w:rPr>
          <w:rFonts w:cs="Arial"/>
          <w:szCs w:val="24"/>
        </w:rPr>
        <w:t xml:space="preserve"> paragraph 12.2 of the Anton Piller order authorised the IT experts to “make and/or capture images of more than the relevant evidence if that is the only feasible way of being able to make copies of the relevant evidence”. </w:t>
      </w:r>
    </w:p>
    <w:p w14:paraId="5D204FEC" w14:textId="436D9445" w:rsidR="00E85847" w:rsidRPr="00AB52EE" w:rsidRDefault="00636C6A" w:rsidP="00A77EB7">
      <w:pPr>
        <w:pStyle w:val="LC1"/>
        <w:rPr>
          <w:rFonts w:cs="Arial"/>
          <w:szCs w:val="24"/>
        </w:rPr>
      </w:pPr>
      <w:r w:rsidRPr="00AB52EE">
        <w:rPr>
          <w:rFonts w:cs="Arial"/>
          <w:szCs w:val="24"/>
          <w:lang w:eastAsia="en-ZA"/>
        </w:rPr>
        <w:t xml:space="preserve">The </w:t>
      </w:r>
      <w:r w:rsidR="00E85847" w:rsidRPr="00AB52EE">
        <w:rPr>
          <w:rFonts w:cs="Arial"/>
          <w:szCs w:val="24"/>
          <w:lang w:eastAsia="en-ZA"/>
        </w:rPr>
        <w:t xml:space="preserve">respondents </w:t>
      </w:r>
      <w:r w:rsidR="00943282" w:rsidRPr="00AB52EE">
        <w:rPr>
          <w:rFonts w:cs="Arial"/>
          <w:szCs w:val="24"/>
        </w:rPr>
        <w:t xml:space="preserve">submit that “the scheme of the order” is that </w:t>
      </w:r>
      <w:r w:rsidR="002B2AFF" w:rsidRPr="00AB52EE">
        <w:rPr>
          <w:rFonts w:cs="Arial"/>
          <w:szCs w:val="24"/>
        </w:rPr>
        <w:t xml:space="preserve">the authority provided for in these paragraphs </w:t>
      </w:r>
      <w:r w:rsidR="00E85847" w:rsidRPr="00AB52EE">
        <w:rPr>
          <w:rFonts w:cs="Arial"/>
          <w:szCs w:val="24"/>
        </w:rPr>
        <w:t xml:space="preserve">could only be invoked </w:t>
      </w:r>
      <w:r w:rsidR="00943282" w:rsidRPr="00AB52EE">
        <w:rPr>
          <w:rFonts w:cs="Arial"/>
          <w:szCs w:val="24"/>
        </w:rPr>
        <w:t>“if an objective determination is made that there is no feasible way to copy the relevant evidence</w:t>
      </w:r>
      <w:r w:rsidR="00E85847" w:rsidRPr="00AB52EE">
        <w:rPr>
          <w:rFonts w:cs="Arial"/>
          <w:szCs w:val="24"/>
        </w:rPr>
        <w:t>”.</w:t>
      </w:r>
    </w:p>
    <w:p w14:paraId="325BFF6E" w14:textId="2164794C" w:rsidR="00291CE1" w:rsidRPr="00AB52EE" w:rsidRDefault="003F2922" w:rsidP="00795F79">
      <w:pPr>
        <w:pStyle w:val="LC1"/>
        <w:rPr>
          <w:rFonts w:cs="Arial"/>
          <w:szCs w:val="24"/>
        </w:rPr>
      </w:pPr>
      <w:r w:rsidRPr="00AB52EE">
        <w:rPr>
          <w:rFonts w:cs="Arial"/>
          <w:szCs w:val="24"/>
        </w:rPr>
        <w:t xml:space="preserve">In seeking to make out a case of non-compliance with the order in this respect, Mr Case </w:t>
      </w:r>
      <w:r w:rsidR="00AD4D4C">
        <w:rPr>
          <w:rFonts w:cs="Arial"/>
          <w:szCs w:val="24"/>
        </w:rPr>
        <w:t xml:space="preserve">appears to have </w:t>
      </w:r>
      <w:r w:rsidRPr="00AB52EE">
        <w:rPr>
          <w:rFonts w:cs="Arial"/>
          <w:szCs w:val="24"/>
        </w:rPr>
        <w:t xml:space="preserve">ignored </w:t>
      </w:r>
      <w:r w:rsidR="00AD4D4C">
        <w:rPr>
          <w:rFonts w:cs="Arial"/>
          <w:szCs w:val="24"/>
        </w:rPr>
        <w:t xml:space="preserve">the explanation given by </w:t>
      </w:r>
      <w:r w:rsidRPr="00AB52EE">
        <w:rPr>
          <w:rFonts w:cs="Arial"/>
          <w:szCs w:val="24"/>
        </w:rPr>
        <w:t xml:space="preserve">Ms Bloch that the provisions of paragraph </w:t>
      </w:r>
      <w:r w:rsidR="00403DCA">
        <w:rPr>
          <w:rFonts w:cs="Arial"/>
          <w:szCs w:val="24"/>
        </w:rPr>
        <w:t>12</w:t>
      </w:r>
      <w:r w:rsidRPr="00AB52EE">
        <w:rPr>
          <w:rFonts w:cs="Arial"/>
          <w:szCs w:val="24"/>
        </w:rPr>
        <w:t xml:space="preserve">.2 were invoked because </w:t>
      </w:r>
      <w:r w:rsidR="00291CE1" w:rsidRPr="00AB52EE">
        <w:rPr>
          <w:rFonts w:cs="Arial"/>
          <w:szCs w:val="24"/>
        </w:rPr>
        <w:t xml:space="preserve">the IT expert advised that it would not be practicable to search on live devices due to time constraints. This statement is graphically supported by the </w:t>
      </w:r>
      <w:r w:rsidR="00AD4D4C">
        <w:rPr>
          <w:rFonts w:cs="Arial"/>
          <w:szCs w:val="24"/>
        </w:rPr>
        <w:t xml:space="preserve">remainder of </w:t>
      </w:r>
      <w:r w:rsidR="00291CE1" w:rsidRPr="00AB52EE">
        <w:rPr>
          <w:rFonts w:cs="Arial"/>
          <w:szCs w:val="24"/>
        </w:rPr>
        <w:t xml:space="preserve">Ms Bloch’s affidavit and that of </w:t>
      </w:r>
      <w:r w:rsidR="00AD4D4C">
        <w:rPr>
          <w:rFonts w:cs="Arial"/>
          <w:szCs w:val="24"/>
        </w:rPr>
        <w:t>Mr Shoba</w:t>
      </w:r>
      <w:r w:rsidR="00720427">
        <w:rPr>
          <w:rFonts w:cs="Arial"/>
          <w:szCs w:val="24"/>
        </w:rPr>
        <w:t xml:space="preserve"> </w:t>
      </w:r>
      <w:r w:rsidR="00291CE1" w:rsidRPr="00AB52EE">
        <w:rPr>
          <w:rFonts w:cs="Arial"/>
          <w:szCs w:val="24"/>
        </w:rPr>
        <w:t xml:space="preserve">relating the time-consuming nature of the exercise that had to be undertaken in searching the </w:t>
      </w:r>
      <w:r w:rsidR="00AD4D4C">
        <w:rPr>
          <w:rFonts w:cs="Arial"/>
          <w:szCs w:val="24"/>
        </w:rPr>
        <w:t>mirror images over a number of days.</w:t>
      </w:r>
    </w:p>
    <w:p w14:paraId="35491FC6" w14:textId="0B1C0D8F" w:rsidR="0051166F" w:rsidRPr="00AB52EE" w:rsidRDefault="00291CE1" w:rsidP="00795F79">
      <w:pPr>
        <w:pStyle w:val="LC1"/>
        <w:rPr>
          <w:rFonts w:cs="Arial"/>
          <w:szCs w:val="24"/>
        </w:rPr>
      </w:pPr>
      <w:r w:rsidRPr="00AB52EE">
        <w:rPr>
          <w:rFonts w:cs="Arial"/>
          <w:szCs w:val="24"/>
        </w:rPr>
        <w:t xml:space="preserve">Despite this, Mr Case </w:t>
      </w:r>
      <w:r w:rsidR="00E85847" w:rsidRPr="00AB52EE">
        <w:rPr>
          <w:rFonts w:cs="Arial"/>
          <w:szCs w:val="24"/>
        </w:rPr>
        <w:t xml:space="preserve">alleges that </w:t>
      </w:r>
      <w:r w:rsidR="002B2AFF" w:rsidRPr="00AB52EE">
        <w:rPr>
          <w:rFonts w:cs="Arial"/>
          <w:szCs w:val="24"/>
        </w:rPr>
        <w:t xml:space="preserve">the </w:t>
      </w:r>
      <w:r w:rsidR="00E85847" w:rsidRPr="00AB52EE">
        <w:rPr>
          <w:rFonts w:cs="Arial"/>
          <w:szCs w:val="24"/>
        </w:rPr>
        <w:t xml:space="preserve">search party “simply … proceeded to </w:t>
      </w:r>
      <w:r w:rsidR="00E85847" w:rsidRPr="00AB52EE">
        <w:rPr>
          <w:rFonts w:cs="Arial"/>
          <w:szCs w:val="24"/>
        </w:rPr>
        <w:lastRenderedPageBreak/>
        <w:t>make mirror images of what was on the digital devices</w:t>
      </w:r>
      <w:r w:rsidRPr="00AB52EE">
        <w:rPr>
          <w:rFonts w:cs="Arial"/>
          <w:szCs w:val="24"/>
        </w:rPr>
        <w:t>.</w:t>
      </w:r>
      <w:r w:rsidR="002B2AFF" w:rsidRPr="00AB52EE">
        <w:rPr>
          <w:rFonts w:cs="Arial"/>
          <w:szCs w:val="24"/>
        </w:rPr>
        <w:t xml:space="preserve"> </w:t>
      </w:r>
      <w:r w:rsidR="00E85847" w:rsidRPr="00AB52EE">
        <w:rPr>
          <w:rFonts w:cs="Arial"/>
          <w:szCs w:val="24"/>
        </w:rPr>
        <w:t>No effort was made to first determine whether every one of the devices had any re</w:t>
      </w:r>
      <w:r w:rsidR="00E85847" w:rsidRPr="00AB52EE">
        <w:rPr>
          <w:rFonts w:cs="Arial"/>
          <w:color w:val="3E3E3E"/>
          <w:szCs w:val="24"/>
        </w:rPr>
        <w:t>l</w:t>
      </w:r>
      <w:r w:rsidR="00E85847" w:rsidRPr="00AB52EE">
        <w:rPr>
          <w:rFonts w:cs="Arial"/>
          <w:szCs w:val="24"/>
        </w:rPr>
        <w:t>evant evidence on them at all, and then to extract that particular piece of evidence and create it in either a hard copy or digital format as the order mandated. No determination was made that there was no feasible way to copy the relevant evidence without copying more than that relevant evidence. None of the search party even attempted to observe this requirement of the order”.</w:t>
      </w:r>
      <w:r w:rsidR="002B2AFF" w:rsidRPr="00AB52EE">
        <w:rPr>
          <w:rFonts w:cs="Arial"/>
          <w:szCs w:val="24"/>
        </w:rPr>
        <w:t xml:space="preserve"> He also allege</w:t>
      </w:r>
      <w:r w:rsidR="0051166F" w:rsidRPr="00AB52EE">
        <w:rPr>
          <w:rFonts w:cs="Arial"/>
          <w:szCs w:val="24"/>
        </w:rPr>
        <w:t>s</w:t>
      </w:r>
      <w:r w:rsidR="002B2AFF" w:rsidRPr="00AB52EE">
        <w:rPr>
          <w:rFonts w:cs="Arial"/>
          <w:szCs w:val="24"/>
        </w:rPr>
        <w:t xml:space="preserve"> that that the information that was copied in this manner included </w:t>
      </w:r>
      <w:r w:rsidR="002F53F6" w:rsidRPr="00AB52EE">
        <w:rPr>
          <w:rFonts w:cs="Arial"/>
          <w:szCs w:val="24"/>
        </w:rPr>
        <w:t>“potentially privileged information, regardless of the level of privacy, confidentiality or relevance to the subject matter of what was being searched for” (i.e. the “relevant evidence” as defined).</w:t>
      </w:r>
      <w:r w:rsidR="0051166F" w:rsidRPr="00AB52EE">
        <w:rPr>
          <w:rFonts w:cs="Arial"/>
          <w:szCs w:val="24"/>
        </w:rPr>
        <w:t xml:space="preserve"> </w:t>
      </w:r>
    </w:p>
    <w:p w14:paraId="45B76ABB" w14:textId="5838023A" w:rsidR="00E07915" w:rsidRPr="00AB52EE" w:rsidRDefault="00AA54A9" w:rsidP="00E07915">
      <w:pPr>
        <w:pStyle w:val="LC1"/>
        <w:rPr>
          <w:rFonts w:cs="Arial"/>
          <w:szCs w:val="24"/>
        </w:rPr>
      </w:pPr>
      <w:r w:rsidRPr="00AB52EE">
        <w:rPr>
          <w:rFonts w:cs="Arial"/>
          <w:szCs w:val="24"/>
        </w:rPr>
        <w:t>T</w:t>
      </w:r>
      <w:r w:rsidR="001813E8" w:rsidRPr="00AB52EE">
        <w:rPr>
          <w:rFonts w:cs="Arial"/>
          <w:szCs w:val="24"/>
        </w:rPr>
        <w:t xml:space="preserve">he respondents’ </w:t>
      </w:r>
      <w:r w:rsidR="00CB392D">
        <w:rPr>
          <w:rFonts w:cs="Arial"/>
          <w:szCs w:val="24"/>
        </w:rPr>
        <w:t xml:space="preserve">counsel </w:t>
      </w:r>
      <w:r w:rsidR="001813E8" w:rsidRPr="00AB52EE">
        <w:rPr>
          <w:rFonts w:cs="Arial"/>
          <w:szCs w:val="24"/>
        </w:rPr>
        <w:t xml:space="preserve">‘cut and paste’ </w:t>
      </w:r>
      <w:r w:rsidR="004C655F" w:rsidRPr="00AB52EE">
        <w:rPr>
          <w:rFonts w:cs="Arial"/>
          <w:szCs w:val="24"/>
        </w:rPr>
        <w:t xml:space="preserve">these </w:t>
      </w:r>
      <w:r w:rsidR="001813E8" w:rsidRPr="00AB52EE">
        <w:rPr>
          <w:rFonts w:cs="Arial"/>
          <w:szCs w:val="24"/>
        </w:rPr>
        <w:t>factual allegations</w:t>
      </w:r>
      <w:r w:rsidR="00CB392D">
        <w:rPr>
          <w:rFonts w:cs="Arial"/>
          <w:szCs w:val="24"/>
        </w:rPr>
        <w:t xml:space="preserve"> into his </w:t>
      </w:r>
      <w:r w:rsidR="00CB392D" w:rsidRPr="00AB52EE">
        <w:rPr>
          <w:rFonts w:cs="Arial"/>
          <w:szCs w:val="24"/>
        </w:rPr>
        <w:t>heads of argument</w:t>
      </w:r>
      <w:r w:rsidR="00CB392D">
        <w:rPr>
          <w:rFonts w:cs="Arial"/>
          <w:szCs w:val="24"/>
        </w:rPr>
        <w:t xml:space="preserve"> </w:t>
      </w:r>
      <w:r w:rsidR="001813E8" w:rsidRPr="00AB52EE">
        <w:rPr>
          <w:rFonts w:cs="Arial"/>
          <w:szCs w:val="24"/>
        </w:rPr>
        <w:t>without reference to any authorit</w:t>
      </w:r>
      <w:r w:rsidR="003730DF" w:rsidRPr="00AB52EE">
        <w:rPr>
          <w:rFonts w:cs="Arial"/>
          <w:szCs w:val="24"/>
        </w:rPr>
        <w:t>y</w:t>
      </w:r>
      <w:r w:rsidR="001813E8" w:rsidRPr="00AB52EE">
        <w:rPr>
          <w:rFonts w:cs="Arial"/>
          <w:szCs w:val="24"/>
        </w:rPr>
        <w:t xml:space="preserve"> </w:t>
      </w:r>
      <w:r w:rsidRPr="00AB52EE">
        <w:rPr>
          <w:rFonts w:cs="Arial"/>
          <w:szCs w:val="24"/>
        </w:rPr>
        <w:t xml:space="preserve">that the search parties’ </w:t>
      </w:r>
      <w:r w:rsidR="001813E8" w:rsidRPr="00AB52EE">
        <w:rPr>
          <w:rFonts w:cs="Arial"/>
          <w:szCs w:val="24"/>
        </w:rPr>
        <w:t xml:space="preserve">non-compliance </w:t>
      </w:r>
      <w:r w:rsidR="00E07915" w:rsidRPr="00AB52EE">
        <w:rPr>
          <w:rFonts w:cs="Arial"/>
          <w:szCs w:val="24"/>
        </w:rPr>
        <w:t xml:space="preserve">with the requirement that imaging may only be undertaken if </w:t>
      </w:r>
      <w:r w:rsidR="00CD49AB" w:rsidRPr="00AB52EE">
        <w:rPr>
          <w:rFonts w:cs="Arial"/>
          <w:szCs w:val="24"/>
        </w:rPr>
        <w:t xml:space="preserve">that </w:t>
      </w:r>
      <w:r w:rsidR="00E07915" w:rsidRPr="00AB52EE">
        <w:rPr>
          <w:rFonts w:cs="Arial"/>
          <w:szCs w:val="24"/>
        </w:rPr>
        <w:t>is the only feasible way of mak</w:t>
      </w:r>
      <w:r w:rsidRPr="00AB52EE">
        <w:rPr>
          <w:rFonts w:cs="Arial"/>
          <w:szCs w:val="24"/>
        </w:rPr>
        <w:t>ing</w:t>
      </w:r>
      <w:r w:rsidR="00E07915" w:rsidRPr="00AB52EE">
        <w:rPr>
          <w:rFonts w:cs="Arial"/>
          <w:szCs w:val="24"/>
        </w:rPr>
        <w:t xml:space="preserve"> copies </w:t>
      </w:r>
      <w:r w:rsidR="00CB392D" w:rsidRPr="00AB52EE">
        <w:rPr>
          <w:rFonts w:cs="Arial"/>
          <w:szCs w:val="24"/>
        </w:rPr>
        <w:t xml:space="preserve">(if indeed </w:t>
      </w:r>
      <w:r w:rsidR="00692D17">
        <w:rPr>
          <w:rFonts w:cs="Arial"/>
          <w:szCs w:val="24"/>
        </w:rPr>
        <w:t xml:space="preserve">there was such </w:t>
      </w:r>
      <w:r w:rsidR="00CB392D" w:rsidRPr="00AB52EE">
        <w:rPr>
          <w:rFonts w:cs="Arial"/>
          <w:szCs w:val="24"/>
        </w:rPr>
        <w:t xml:space="preserve">non-compliance) </w:t>
      </w:r>
      <w:r w:rsidR="001813E8" w:rsidRPr="00AB52EE">
        <w:rPr>
          <w:rFonts w:cs="Arial"/>
          <w:szCs w:val="24"/>
        </w:rPr>
        <w:t>is of such a serious nature as to justify the Anton Piller being set aside</w:t>
      </w:r>
      <w:r w:rsidRPr="00AB52EE">
        <w:rPr>
          <w:rFonts w:cs="Arial"/>
          <w:szCs w:val="24"/>
        </w:rPr>
        <w:t xml:space="preserve"> – whether </w:t>
      </w:r>
      <w:r w:rsidR="001813E8" w:rsidRPr="00AB52EE">
        <w:rPr>
          <w:rFonts w:cs="Arial"/>
          <w:szCs w:val="24"/>
        </w:rPr>
        <w:t xml:space="preserve">only </w:t>
      </w:r>
      <w:r w:rsidRPr="00AB52EE">
        <w:rPr>
          <w:rFonts w:cs="Arial"/>
          <w:szCs w:val="24"/>
        </w:rPr>
        <w:t xml:space="preserve">in relation </w:t>
      </w:r>
      <w:r w:rsidR="001813E8" w:rsidRPr="00AB52EE">
        <w:rPr>
          <w:rFonts w:cs="Arial"/>
          <w:szCs w:val="24"/>
        </w:rPr>
        <w:t xml:space="preserve">to </w:t>
      </w:r>
      <w:r w:rsidR="00DC3014" w:rsidRPr="00AB52EE">
        <w:rPr>
          <w:rFonts w:cs="Arial"/>
          <w:szCs w:val="24"/>
        </w:rPr>
        <w:t xml:space="preserve">items </w:t>
      </w:r>
      <w:r w:rsidR="00CD49AB" w:rsidRPr="00AB52EE">
        <w:rPr>
          <w:rFonts w:cs="Arial"/>
          <w:szCs w:val="24"/>
        </w:rPr>
        <w:t xml:space="preserve">attached </w:t>
      </w:r>
      <w:r w:rsidR="001813E8" w:rsidRPr="00AB52EE">
        <w:rPr>
          <w:rFonts w:cs="Arial"/>
          <w:szCs w:val="24"/>
        </w:rPr>
        <w:t xml:space="preserve">as a result of the process that was followed, or in its entirety. </w:t>
      </w:r>
    </w:p>
    <w:p w14:paraId="304FF950" w14:textId="13DAC510" w:rsidR="00291CE1" w:rsidRPr="00AB52EE" w:rsidRDefault="003B3FD4" w:rsidP="00227244">
      <w:pPr>
        <w:pStyle w:val="LC1"/>
        <w:rPr>
          <w:rFonts w:cs="Arial"/>
          <w:szCs w:val="24"/>
        </w:rPr>
      </w:pPr>
      <w:r w:rsidRPr="00AB52EE">
        <w:rPr>
          <w:rFonts w:cs="Arial"/>
          <w:szCs w:val="24"/>
        </w:rPr>
        <w:t xml:space="preserve">In </w:t>
      </w:r>
      <w:r w:rsidR="003730DF" w:rsidRPr="00AB52EE">
        <w:rPr>
          <w:rFonts w:cs="Arial"/>
          <w:i/>
          <w:iCs/>
          <w:szCs w:val="24"/>
        </w:rPr>
        <w:t>Viziya</w:t>
      </w:r>
      <w:r w:rsidR="003730DF" w:rsidRPr="00AB52EE">
        <w:rPr>
          <w:rFonts w:cs="Arial"/>
          <w:szCs w:val="24"/>
        </w:rPr>
        <w:t xml:space="preserve">, the </w:t>
      </w:r>
      <w:r w:rsidR="00AA54A9" w:rsidRPr="00AB52EE">
        <w:rPr>
          <w:rFonts w:cs="Arial"/>
          <w:szCs w:val="24"/>
        </w:rPr>
        <w:t>SCA</w:t>
      </w:r>
      <w:r w:rsidR="003730DF" w:rsidRPr="00AB52EE">
        <w:rPr>
          <w:rFonts w:cs="Arial"/>
          <w:szCs w:val="24"/>
        </w:rPr>
        <w:t xml:space="preserve"> impliedly approved the process that was </w:t>
      </w:r>
      <w:r w:rsidR="00E07915" w:rsidRPr="00AB52EE">
        <w:rPr>
          <w:rFonts w:cs="Arial"/>
          <w:szCs w:val="24"/>
        </w:rPr>
        <w:t xml:space="preserve">followed </w:t>
      </w:r>
      <w:r w:rsidR="00AF2360" w:rsidRPr="00AB52EE">
        <w:rPr>
          <w:rFonts w:cs="Arial"/>
          <w:szCs w:val="24"/>
        </w:rPr>
        <w:t>by the search party</w:t>
      </w:r>
      <w:r w:rsidR="00AA54A9" w:rsidRPr="00AB52EE">
        <w:rPr>
          <w:rFonts w:cs="Arial"/>
          <w:szCs w:val="24"/>
        </w:rPr>
        <w:t xml:space="preserve">, </w:t>
      </w:r>
      <w:r w:rsidR="00E07915" w:rsidRPr="00AB52EE">
        <w:rPr>
          <w:rFonts w:cs="Arial"/>
          <w:szCs w:val="24"/>
        </w:rPr>
        <w:t>simply on the basis of “practicality or convenience”</w:t>
      </w:r>
      <w:r w:rsidR="00392124" w:rsidRPr="00AB52EE">
        <w:rPr>
          <w:rFonts w:cs="Arial"/>
          <w:szCs w:val="24"/>
        </w:rPr>
        <w:t>.</w:t>
      </w:r>
      <w:r w:rsidR="00E07915" w:rsidRPr="00AB52EE">
        <w:rPr>
          <w:rFonts w:cs="Arial"/>
          <w:szCs w:val="24"/>
        </w:rPr>
        <w:t xml:space="preserve"> </w:t>
      </w:r>
      <w:r w:rsidR="00291CE1" w:rsidRPr="00AB52EE">
        <w:rPr>
          <w:rFonts w:cs="Arial"/>
          <w:szCs w:val="24"/>
        </w:rPr>
        <w:t>Furthermore, t</w:t>
      </w:r>
      <w:r w:rsidR="00392124" w:rsidRPr="00AB52EE">
        <w:rPr>
          <w:rFonts w:cs="Arial"/>
          <w:szCs w:val="24"/>
        </w:rPr>
        <w:t xml:space="preserve">he </w:t>
      </w:r>
      <w:r w:rsidRPr="00AB52EE">
        <w:rPr>
          <w:rFonts w:cs="Arial"/>
          <w:szCs w:val="24"/>
        </w:rPr>
        <w:t xml:space="preserve">possibility </w:t>
      </w:r>
      <w:r w:rsidR="00392124" w:rsidRPr="00AB52EE">
        <w:rPr>
          <w:rFonts w:cs="Arial"/>
          <w:szCs w:val="24"/>
        </w:rPr>
        <w:t xml:space="preserve">that this </w:t>
      </w:r>
      <w:r w:rsidRPr="00AB52EE">
        <w:rPr>
          <w:rFonts w:cs="Arial"/>
          <w:szCs w:val="24"/>
        </w:rPr>
        <w:t xml:space="preserve">might </w:t>
      </w:r>
      <w:r w:rsidR="00392124" w:rsidRPr="00AB52EE">
        <w:rPr>
          <w:rFonts w:cs="Arial"/>
          <w:szCs w:val="24"/>
        </w:rPr>
        <w:t xml:space="preserve">have </w:t>
      </w:r>
      <w:r w:rsidR="00AA54A9" w:rsidRPr="00AB52EE">
        <w:rPr>
          <w:rFonts w:cs="Arial"/>
          <w:szCs w:val="24"/>
        </w:rPr>
        <w:t xml:space="preserve">resulted in </w:t>
      </w:r>
      <w:r w:rsidRPr="00AB52EE">
        <w:rPr>
          <w:rFonts w:cs="Arial"/>
          <w:szCs w:val="24"/>
        </w:rPr>
        <w:t xml:space="preserve">Supercart accessing the respondent’s </w:t>
      </w:r>
      <w:r w:rsidR="00392124" w:rsidRPr="00AB52EE">
        <w:rPr>
          <w:rFonts w:cs="Arial"/>
          <w:szCs w:val="24"/>
        </w:rPr>
        <w:t xml:space="preserve">privileged information in the current instance </w:t>
      </w:r>
      <w:r w:rsidRPr="00AB52EE">
        <w:rPr>
          <w:rFonts w:cs="Arial"/>
          <w:szCs w:val="24"/>
        </w:rPr>
        <w:t xml:space="preserve">is nullified </w:t>
      </w:r>
      <w:r w:rsidR="00392124" w:rsidRPr="00AB52EE">
        <w:rPr>
          <w:rFonts w:cs="Arial"/>
          <w:szCs w:val="24"/>
        </w:rPr>
        <w:t xml:space="preserve">by the </w:t>
      </w:r>
      <w:r w:rsidRPr="00AB52EE">
        <w:rPr>
          <w:rFonts w:cs="Arial"/>
          <w:szCs w:val="24"/>
        </w:rPr>
        <w:t xml:space="preserve">fact that the inspection order was not executed and has been </w:t>
      </w:r>
      <w:r w:rsidR="00BC3EC9">
        <w:rPr>
          <w:rFonts w:cs="Arial"/>
          <w:szCs w:val="24"/>
        </w:rPr>
        <w:t xml:space="preserve">set aside </w:t>
      </w:r>
      <w:r w:rsidR="00392124" w:rsidRPr="00AB52EE">
        <w:rPr>
          <w:rFonts w:cs="Arial"/>
          <w:szCs w:val="24"/>
        </w:rPr>
        <w:t xml:space="preserve">upon reconsideration, </w:t>
      </w:r>
      <w:r w:rsidRPr="00AB52EE">
        <w:rPr>
          <w:rFonts w:cs="Arial"/>
          <w:szCs w:val="24"/>
        </w:rPr>
        <w:t xml:space="preserve">together with </w:t>
      </w:r>
      <w:r w:rsidR="00392124" w:rsidRPr="00AB52EE">
        <w:rPr>
          <w:rFonts w:cs="Arial"/>
          <w:szCs w:val="24"/>
        </w:rPr>
        <w:t xml:space="preserve">the protections </w:t>
      </w:r>
      <w:r w:rsidRPr="00AB52EE">
        <w:rPr>
          <w:rFonts w:cs="Arial"/>
          <w:szCs w:val="24"/>
        </w:rPr>
        <w:t xml:space="preserve">that would be available </w:t>
      </w:r>
      <w:r w:rsidR="00392124" w:rsidRPr="00AB52EE">
        <w:rPr>
          <w:rFonts w:cs="Arial"/>
          <w:szCs w:val="24"/>
        </w:rPr>
        <w:t xml:space="preserve">to </w:t>
      </w:r>
      <w:r w:rsidRPr="00AB52EE">
        <w:rPr>
          <w:rFonts w:cs="Arial"/>
          <w:szCs w:val="24"/>
        </w:rPr>
        <w:t xml:space="preserve">the </w:t>
      </w:r>
      <w:r w:rsidRPr="00AB52EE">
        <w:rPr>
          <w:rFonts w:cs="Arial"/>
          <w:szCs w:val="24"/>
        </w:rPr>
        <w:lastRenderedPageBreak/>
        <w:t xml:space="preserve">respondents </w:t>
      </w:r>
      <w:r w:rsidR="00392124" w:rsidRPr="00AB52EE">
        <w:rPr>
          <w:rFonts w:cs="Arial"/>
          <w:szCs w:val="24"/>
        </w:rPr>
        <w:t xml:space="preserve">against discovery </w:t>
      </w:r>
      <w:r w:rsidR="00AA54A9" w:rsidRPr="00AB52EE">
        <w:rPr>
          <w:rFonts w:cs="Arial"/>
          <w:szCs w:val="24"/>
        </w:rPr>
        <w:t xml:space="preserve">and admission </w:t>
      </w:r>
      <w:r w:rsidR="00392124" w:rsidRPr="00AB52EE">
        <w:rPr>
          <w:rFonts w:cs="Arial"/>
          <w:szCs w:val="24"/>
        </w:rPr>
        <w:t>of such information</w:t>
      </w:r>
      <w:r w:rsidR="00291CE1" w:rsidRPr="00AB52EE">
        <w:rPr>
          <w:rFonts w:cs="Arial"/>
          <w:szCs w:val="24"/>
        </w:rPr>
        <w:t>.</w:t>
      </w:r>
      <w:r w:rsidR="00392124" w:rsidRPr="00AB52EE">
        <w:rPr>
          <w:rFonts w:cs="Arial"/>
          <w:szCs w:val="24"/>
        </w:rPr>
        <w:t xml:space="preserve"> </w:t>
      </w:r>
    </w:p>
    <w:p w14:paraId="13456FCC" w14:textId="74163724" w:rsidR="00E07915" w:rsidRPr="00AB52EE" w:rsidRDefault="00291CE1" w:rsidP="00227244">
      <w:pPr>
        <w:pStyle w:val="LC1"/>
        <w:rPr>
          <w:rFonts w:cs="Arial"/>
          <w:szCs w:val="24"/>
        </w:rPr>
      </w:pPr>
      <w:r w:rsidRPr="00AB52EE">
        <w:rPr>
          <w:rFonts w:cs="Arial"/>
          <w:szCs w:val="24"/>
        </w:rPr>
        <w:t xml:space="preserve">In the circumstances, </w:t>
      </w:r>
      <w:r w:rsidR="001813E8" w:rsidRPr="00AB52EE">
        <w:rPr>
          <w:rFonts w:cs="Arial"/>
          <w:szCs w:val="24"/>
        </w:rPr>
        <w:t xml:space="preserve">even if Mr Case’s allegations </w:t>
      </w:r>
      <w:r w:rsidR="00392124" w:rsidRPr="00AB52EE">
        <w:rPr>
          <w:rFonts w:cs="Arial"/>
          <w:szCs w:val="24"/>
        </w:rPr>
        <w:t xml:space="preserve">as to the procedure </w:t>
      </w:r>
      <w:r w:rsidR="003B3FD4" w:rsidRPr="00AB52EE">
        <w:rPr>
          <w:rFonts w:cs="Arial"/>
          <w:szCs w:val="24"/>
        </w:rPr>
        <w:t xml:space="preserve">actually </w:t>
      </w:r>
      <w:r w:rsidR="00392124" w:rsidRPr="00AB52EE">
        <w:rPr>
          <w:rFonts w:cs="Arial"/>
          <w:szCs w:val="24"/>
        </w:rPr>
        <w:t xml:space="preserve">followed </w:t>
      </w:r>
      <w:r w:rsidR="00BC3EC9">
        <w:rPr>
          <w:rFonts w:cs="Arial"/>
          <w:szCs w:val="24"/>
        </w:rPr>
        <w:t xml:space="preserve">had </w:t>
      </w:r>
      <w:r w:rsidRPr="00AB52EE">
        <w:rPr>
          <w:rFonts w:cs="Arial"/>
          <w:szCs w:val="24"/>
        </w:rPr>
        <w:t>stood undisputed</w:t>
      </w:r>
      <w:r w:rsidR="00BC3EC9">
        <w:rPr>
          <w:rStyle w:val="FootnoteReference"/>
          <w:szCs w:val="24"/>
        </w:rPr>
        <w:t xml:space="preserve"> </w:t>
      </w:r>
      <w:r w:rsidRPr="00AB52EE">
        <w:rPr>
          <w:rFonts w:cs="Arial"/>
          <w:szCs w:val="24"/>
        </w:rPr>
        <w:t>and could prevail despite the onus that the respondents bear</w:t>
      </w:r>
      <w:r w:rsidR="002662D1" w:rsidRPr="00AB52EE">
        <w:rPr>
          <w:rFonts w:cs="Arial"/>
          <w:szCs w:val="24"/>
        </w:rPr>
        <w:t>,</w:t>
      </w:r>
      <w:r w:rsidR="001813E8" w:rsidRPr="00AB52EE">
        <w:rPr>
          <w:rFonts w:cs="Arial"/>
          <w:szCs w:val="24"/>
        </w:rPr>
        <w:t xml:space="preserve"> </w:t>
      </w:r>
      <w:r w:rsidR="00E07915" w:rsidRPr="00AB52EE">
        <w:rPr>
          <w:rFonts w:cs="Arial"/>
          <w:szCs w:val="24"/>
        </w:rPr>
        <w:t xml:space="preserve">and even if I </w:t>
      </w:r>
      <w:r w:rsidR="003B3FD4" w:rsidRPr="00AB52EE">
        <w:rPr>
          <w:rFonts w:cs="Arial"/>
          <w:szCs w:val="24"/>
        </w:rPr>
        <w:t xml:space="preserve">were to </w:t>
      </w:r>
      <w:r w:rsidR="00E07915" w:rsidRPr="00AB52EE">
        <w:rPr>
          <w:rFonts w:cs="Arial"/>
          <w:szCs w:val="24"/>
        </w:rPr>
        <w:t xml:space="preserve">accept that </w:t>
      </w:r>
      <w:r w:rsidRPr="00AB52EE">
        <w:rPr>
          <w:rFonts w:cs="Arial"/>
          <w:szCs w:val="24"/>
        </w:rPr>
        <w:t xml:space="preserve">that process adopted in this respect </w:t>
      </w:r>
      <w:r w:rsidR="003B3FD4" w:rsidRPr="00AB52EE">
        <w:rPr>
          <w:rFonts w:cs="Arial"/>
          <w:szCs w:val="24"/>
        </w:rPr>
        <w:t xml:space="preserve">did not comply with </w:t>
      </w:r>
      <w:r w:rsidR="004C21E0" w:rsidRPr="00AB52EE">
        <w:rPr>
          <w:rFonts w:cs="Arial"/>
          <w:szCs w:val="24"/>
        </w:rPr>
        <w:t>the Anton Piller order</w:t>
      </w:r>
      <w:r w:rsidR="001813E8" w:rsidRPr="00AB52EE">
        <w:rPr>
          <w:rFonts w:cs="Arial"/>
          <w:szCs w:val="24"/>
        </w:rPr>
        <w:t xml:space="preserve">, </w:t>
      </w:r>
      <w:r w:rsidRPr="00AB52EE">
        <w:rPr>
          <w:rFonts w:cs="Arial"/>
          <w:szCs w:val="24"/>
        </w:rPr>
        <w:t xml:space="preserve">I am of the view that </w:t>
      </w:r>
      <w:r w:rsidR="004C21E0" w:rsidRPr="00AB52EE">
        <w:rPr>
          <w:rFonts w:cs="Arial"/>
          <w:szCs w:val="24"/>
        </w:rPr>
        <w:t xml:space="preserve">such non-compliance </w:t>
      </w:r>
      <w:r w:rsidR="00E07915" w:rsidRPr="00AB52EE">
        <w:rPr>
          <w:rFonts w:cs="Arial"/>
          <w:szCs w:val="24"/>
        </w:rPr>
        <w:t xml:space="preserve">was </w:t>
      </w:r>
      <w:r w:rsidR="00692D17">
        <w:rPr>
          <w:rFonts w:cs="Arial"/>
          <w:szCs w:val="24"/>
        </w:rPr>
        <w:t xml:space="preserve">not </w:t>
      </w:r>
      <w:r w:rsidR="004C21E0" w:rsidRPr="00AB52EE">
        <w:rPr>
          <w:rFonts w:cs="Arial"/>
          <w:szCs w:val="24"/>
        </w:rPr>
        <w:t xml:space="preserve">so serious </w:t>
      </w:r>
      <w:r w:rsidR="00E07915" w:rsidRPr="00AB52EE">
        <w:rPr>
          <w:rFonts w:cs="Arial"/>
          <w:szCs w:val="24"/>
        </w:rPr>
        <w:t xml:space="preserve">to justify </w:t>
      </w:r>
      <w:r w:rsidR="004C21E0" w:rsidRPr="00AB52EE">
        <w:rPr>
          <w:rFonts w:cs="Arial"/>
          <w:szCs w:val="24"/>
        </w:rPr>
        <w:t xml:space="preserve">its </w:t>
      </w:r>
      <w:r w:rsidR="00392124" w:rsidRPr="00AB52EE">
        <w:rPr>
          <w:rFonts w:cs="Arial"/>
          <w:szCs w:val="24"/>
        </w:rPr>
        <w:t>setting aside</w:t>
      </w:r>
      <w:r w:rsidR="003B3FD4" w:rsidRPr="00AB52EE">
        <w:rPr>
          <w:rFonts w:cs="Arial"/>
          <w:szCs w:val="24"/>
        </w:rPr>
        <w:t xml:space="preserve">, especially since there is no allegation in the current matter that the search party comprising independent assisting attorneys and IT experts failed to comply with the requirement to </w:t>
      </w:r>
      <w:r w:rsidR="00BC3EC9">
        <w:rPr>
          <w:rFonts w:cs="Arial"/>
          <w:szCs w:val="24"/>
        </w:rPr>
        <w:t xml:space="preserve">attach </w:t>
      </w:r>
      <w:r w:rsidR="003B3FD4" w:rsidRPr="00AB52EE">
        <w:rPr>
          <w:rFonts w:cs="Arial"/>
          <w:szCs w:val="24"/>
        </w:rPr>
        <w:t>only “relevant evidence”</w:t>
      </w:r>
      <w:r w:rsidR="004A28B9" w:rsidRPr="00AB52EE">
        <w:rPr>
          <w:rFonts w:cs="Arial"/>
          <w:szCs w:val="24"/>
        </w:rPr>
        <w:t xml:space="preserve"> at Vanesco’s </w:t>
      </w:r>
      <w:r w:rsidR="00A02BC7" w:rsidRPr="00AB52EE">
        <w:rPr>
          <w:rFonts w:cs="Arial"/>
          <w:szCs w:val="24"/>
        </w:rPr>
        <w:t xml:space="preserve">business </w:t>
      </w:r>
      <w:r w:rsidR="004A28B9" w:rsidRPr="00AB52EE">
        <w:rPr>
          <w:rFonts w:cs="Arial"/>
          <w:szCs w:val="24"/>
        </w:rPr>
        <w:t>premises</w:t>
      </w:r>
      <w:r w:rsidR="00392124" w:rsidRPr="00AB52EE">
        <w:rPr>
          <w:rFonts w:cs="Arial"/>
          <w:szCs w:val="24"/>
        </w:rPr>
        <w:t>.</w:t>
      </w:r>
    </w:p>
    <w:p w14:paraId="4FCD3691" w14:textId="4AC6C20A" w:rsidR="004B4B86" w:rsidRPr="00AB52EE" w:rsidRDefault="004B4B86" w:rsidP="008B351C">
      <w:pPr>
        <w:pStyle w:val="LC1"/>
        <w:rPr>
          <w:rFonts w:cs="Arial"/>
          <w:szCs w:val="24"/>
        </w:rPr>
      </w:pPr>
      <w:r w:rsidRPr="00AB52EE">
        <w:rPr>
          <w:rFonts w:cs="Arial"/>
          <w:szCs w:val="24"/>
        </w:rPr>
        <w:t>I conclude that the respondents have failed to discharge their onus of demonstrating the order should be set aside on the basis of this conduct.</w:t>
      </w:r>
    </w:p>
    <w:p w14:paraId="6683C91D" w14:textId="1FB1F1A6" w:rsidR="009706E0" w:rsidRPr="00AB52EE" w:rsidRDefault="00F35C22" w:rsidP="002C7131">
      <w:pPr>
        <w:pStyle w:val="LC1"/>
        <w:keepNext/>
        <w:numPr>
          <w:ilvl w:val="0"/>
          <w:numId w:val="0"/>
        </w:numPr>
        <w:rPr>
          <w:rFonts w:cs="Arial"/>
          <w:b/>
          <w:bCs/>
          <w:szCs w:val="24"/>
        </w:rPr>
      </w:pPr>
      <w:r w:rsidRPr="00AB52EE">
        <w:rPr>
          <w:rFonts w:cs="Arial"/>
          <w:b/>
          <w:bCs/>
          <w:szCs w:val="24"/>
        </w:rPr>
        <w:t>CONCLUSION AND COSTS</w:t>
      </w:r>
    </w:p>
    <w:p w14:paraId="14E83574" w14:textId="0D519229" w:rsidR="004B0C9B" w:rsidRPr="00BC3EC9" w:rsidRDefault="00DA1925" w:rsidP="001275AC">
      <w:pPr>
        <w:pStyle w:val="LC1"/>
        <w:rPr>
          <w:rFonts w:cs="Arial"/>
          <w:szCs w:val="24"/>
        </w:rPr>
      </w:pPr>
      <w:r w:rsidRPr="00BC3EC9">
        <w:rPr>
          <w:rFonts w:cs="Arial"/>
          <w:szCs w:val="24"/>
        </w:rPr>
        <w:t xml:space="preserve">In the </w:t>
      </w:r>
      <w:r w:rsidR="00043065" w:rsidRPr="00BC3EC9">
        <w:rPr>
          <w:rFonts w:cs="Arial"/>
          <w:szCs w:val="24"/>
        </w:rPr>
        <w:t>result</w:t>
      </w:r>
      <w:r w:rsidRPr="00BC3EC9">
        <w:rPr>
          <w:rFonts w:cs="Arial"/>
          <w:szCs w:val="24"/>
        </w:rPr>
        <w:t xml:space="preserve">, </w:t>
      </w:r>
      <w:r w:rsidR="004B0C9B" w:rsidRPr="00BC3EC9">
        <w:rPr>
          <w:rFonts w:cs="Arial"/>
          <w:szCs w:val="24"/>
        </w:rPr>
        <w:t xml:space="preserve">I am of the view that </w:t>
      </w:r>
      <w:r w:rsidRPr="00BC3EC9">
        <w:rPr>
          <w:rFonts w:cs="Arial"/>
          <w:szCs w:val="24"/>
        </w:rPr>
        <w:t xml:space="preserve">the Anton Piller order must be allowed to stand as granted </w:t>
      </w:r>
      <w:r w:rsidR="00CC481B" w:rsidRPr="00BC3EC9">
        <w:rPr>
          <w:rFonts w:cs="Arial"/>
          <w:szCs w:val="24"/>
        </w:rPr>
        <w:t xml:space="preserve">in all </w:t>
      </w:r>
      <w:r w:rsidR="004B0C9B" w:rsidRPr="00BC3EC9">
        <w:rPr>
          <w:rFonts w:cs="Arial"/>
          <w:szCs w:val="24"/>
        </w:rPr>
        <w:t xml:space="preserve">significant </w:t>
      </w:r>
      <w:r w:rsidR="00CC481B" w:rsidRPr="00BC3EC9">
        <w:rPr>
          <w:rFonts w:cs="Arial"/>
          <w:szCs w:val="24"/>
        </w:rPr>
        <w:t xml:space="preserve">respects </w:t>
      </w:r>
      <w:r w:rsidR="009F122D" w:rsidRPr="00BC3EC9">
        <w:rPr>
          <w:rFonts w:cs="Arial"/>
          <w:szCs w:val="24"/>
        </w:rPr>
        <w:t xml:space="preserve">save in relation to </w:t>
      </w:r>
      <w:r w:rsidR="00BC3EC9" w:rsidRPr="00BC3EC9">
        <w:rPr>
          <w:rFonts w:cs="Arial"/>
          <w:szCs w:val="24"/>
        </w:rPr>
        <w:t xml:space="preserve">(i) </w:t>
      </w:r>
      <w:r w:rsidR="009F122D" w:rsidRPr="00BC3EC9">
        <w:rPr>
          <w:rFonts w:cs="Arial"/>
          <w:szCs w:val="24"/>
        </w:rPr>
        <w:t xml:space="preserve">Supercart’s entitlement to inspect and copy the </w:t>
      </w:r>
      <w:r w:rsidR="00DC3014" w:rsidRPr="00BC3EC9">
        <w:rPr>
          <w:rFonts w:cs="Arial"/>
          <w:szCs w:val="24"/>
        </w:rPr>
        <w:t>attached items</w:t>
      </w:r>
      <w:r w:rsidR="009F122D" w:rsidRPr="00BC3EC9">
        <w:rPr>
          <w:rFonts w:cs="Arial"/>
          <w:szCs w:val="24"/>
        </w:rPr>
        <w:t>, which is a matter that falls to be determined pursuant to a procedure suitable to that end in the contempt proceedings</w:t>
      </w:r>
      <w:r w:rsidR="00BC3EC9" w:rsidRPr="00BC3EC9">
        <w:rPr>
          <w:rFonts w:cs="Arial"/>
          <w:szCs w:val="24"/>
        </w:rPr>
        <w:t>; and (ii) the execution of the order at Mr Case’s residence and the attachment of items pursuant thereto.</w:t>
      </w:r>
      <w:r w:rsidR="00BC3EC9">
        <w:rPr>
          <w:rFonts w:cs="Arial"/>
          <w:szCs w:val="24"/>
        </w:rPr>
        <w:t xml:space="preserve"> </w:t>
      </w:r>
      <w:r w:rsidR="004B0C9B" w:rsidRPr="00BC3EC9">
        <w:rPr>
          <w:rFonts w:cs="Arial"/>
          <w:szCs w:val="24"/>
        </w:rPr>
        <w:t xml:space="preserve">A number of further, but less significant, amendments are appropriate, for the reasons set out above. </w:t>
      </w:r>
    </w:p>
    <w:p w14:paraId="3EFE604F" w14:textId="779057E2" w:rsidR="00F56F7D" w:rsidRPr="00AB52EE" w:rsidRDefault="00C74CF4" w:rsidP="007A27ED">
      <w:pPr>
        <w:pStyle w:val="LC1"/>
        <w:rPr>
          <w:rFonts w:cs="Arial"/>
          <w:szCs w:val="24"/>
        </w:rPr>
      </w:pPr>
      <w:r w:rsidRPr="00AB52EE">
        <w:rPr>
          <w:rFonts w:cs="Arial"/>
          <w:szCs w:val="24"/>
        </w:rPr>
        <w:t xml:space="preserve">As to costs, </w:t>
      </w:r>
      <w:r w:rsidR="00CC481B" w:rsidRPr="00AB52EE">
        <w:rPr>
          <w:rFonts w:cs="Arial"/>
          <w:szCs w:val="24"/>
        </w:rPr>
        <w:t>w</w:t>
      </w:r>
      <w:r w:rsidRPr="00AB52EE">
        <w:rPr>
          <w:rFonts w:cs="Arial"/>
          <w:szCs w:val="24"/>
        </w:rPr>
        <w:t xml:space="preserve">hereas it is clear that </w:t>
      </w:r>
      <w:r w:rsidR="00636C6A" w:rsidRPr="00AB52EE">
        <w:rPr>
          <w:rFonts w:cs="Arial"/>
          <w:szCs w:val="24"/>
          <w:lang w:eastAsia="en-ZA"/>
        </w:rPr>
        <w:t xml:space="preserve">the respondents </w:t>
      </w:r>
      <w:r w:rsidRPr="00AB52EE">
        <w:rPr>
          <w:rFonts w:cs="Arial"/>
          <w:szCs w:val="24"/>
        </w:rPr>
        <w:t xml:space="preserve">have failed in their </w:t>
      </w:r>
      <w:r w:rsidR="000378DD" w:rsidRPr="00AB52EE">
        <w:rPr>
          <w:rFonts w:cs="Arial"/>
          <w:szCs w:val="24"/>
        </w:rPr>
        <w:t xml:space="preserve">main </w:t>
      </w:r>
      <w:r w:rsidRPr="00AB52EE">
        <w:rPr>
          <w:rFonts w:cs="Arial"/>
          <w:szCs w:val="24"/>
        </w:rPr>
        <w:t>goal of setting aside the search and seizure in its entirety</w:t>
      </w:r>
      <w:r w:rsidR="00CC481B" w:rsidRPr="00AB52EE">
        <w:rPr>
          <w:rFonts w:cs="Arial"/>
          <w:szCs w:val="24"/>
        </w:rPr>
        <w:t xml:space="preserve"> </w:t>
      </w:r>
      <w:r w:rsidR="00746D3E" w:rsidRPr="00AB52EE">
        <w:rPr>
          <w:rFonts w:cs="Arial"/>
          <w:szCs w:val="24"/>
        </w:rPr>
        <w:t xml:space="preserve">upon </w:t>
      </w:r>
      <w:r w:rsidR="00CC481B" w:rsidRPr="00AB52EE">
        <w:rPr>
          <w:rFonts w:cs="Arial"/>
          <w:szCs w:val="24"/>
        </w:rPr>
        <w:t xml:space="preserve">reconsideration, they have succeeded to </w:t>
      </w:r>
      <w:r w:rsidR="009808AA" w:rsidRPr="00AB52EE">
        <w:rPr>
          <w:rFonts w:cs="Arial"/>
          <w:szCs w:val="24"/>
        </w:rPr>
        <w:t xml:space="preserve">some </w:t>
      </w:r>
      <w:r w:rsidR="00CC481B" w:rsidRPr="00AB52EE">
        <w:rPr>
          <w:rFonts w:cs="Arial"/>
          <w:szCs w:val="24"/>
        </w:rPr>
        <w:t>extent</w:t>
      </w:r>
      <w:r w:rsidR="000378DD" w:rsidRPr="00AB52EE">
        <w:rPr>
          <w:rFonts w:cs="Arial"/>
          <w:szCs w:val="24"/>
        </w:rPr>
        <w:t>,</w:t>
      </w:r>
      <w:r w:rsidR="00CC481B" w:rsidRPr="00AB52EE">
        <w:rPr>
          <w:rFonts w:cs="Arial"/>
          <w:szCs w:val="24"/>
        </w:rPr>
        <w:t xml:space="preserve"> and in the process have </w:t>
      </w:r>
      <w:r w:rsidR="00F56F7D" w:rsidRPr="00AB52EE">
        <w:rPr>
          <w:rFonts w:cs="Arial"/>
          <w:szCs w:val="24"/>
        </w:rPr>
        <w:t xml:space="preserve">(at least for the moment) </w:t>
      </w:r>
      <w:r w:rsidR="00CC481B" w:rsidRPr="00AB52EE">
        <w:rPr>
          <w:rFonts w:cs="Arial"/>
          <w:szCs w:val="24"/>
        </w:rPr>
        <w:t xml:space="preserve">thwarted what was undoubtedly </w:t>
      </w:r>
      <w:r w:rsidRPr="00AB52EE">
        <w:rPr>
          <w:rFonts w:cs="Arial"/>
          <w:szCs w:val="24"/>
        </w:rPr>
        <w:t xml:space="preserve">Supercart’s primary goal </w:t>
      </w:r>
      <w:r w:rsidR="00CC481B" w:rsidRPr="00AB52EE">
        <w:rPr>
          <w:rFonts w:cs="Arial"/>
          <w:szCs w:val="24"/>
        </w:rPr>
        <w:t xml:space="preserve">in launching </w:t>
      </w:r>
      <w:r w:rsidR="00CC481B" w:rsidRPr="00AB52EE">
        <w:rPr>
          <w:rFonts w:cs="Arial"/>
          <w:szCs w:val="24"/>
        </w:rPr>
        <w:lastRenderedPageBreak/>
        <w:t xml:space="preserve">the Anton Piller application, namely to </w:t>
      </w:r>
      <w:r w:rsidRPr="00AB52EE">
        <w:rPr>
          <w:rFonts w:cs="Arial"/>
          <w:szCs w:val="24"/>
        </w:rPr>
        <w:t>secur</w:t>
      </w:r>
      <w:r w:rsidR="00CC481B" w:rsidRPr="00AB52EE">
        <w:rPr>
          <w:rFonts w:cs="Arial"/>
          <w:szCs w:val="24"/>
        </w:rPr>
        <w:t>e</w:t>
      </w:r>
      <w:r w:rsidRPr="00AB52EE">
        <w:rPr>
          <w:rFonts w:cs="Arial"/>
          <w:szCs w:val="24"/>
        </w:rPr>
        <w:t xml:space="preserve"> access to the </w:t>
      </w:r>
      <w:r w:rsidR="00DC3014" w:rsidRPr="00AB52EE">
        <w:rPr>
          <w:rFonts w:cs="Arial"/>
          <w:szCs w:val="24"/>
        </w:rPr>
        <w:t xml:space="preserve">attached items </w:t>
      </w:r>
      <w:r w:rsidR="00746D3E" w:rsidRPr="00AB52EE">
        <w:rPr>
          <w:rFonts w:cs="Arial"/>
          <w:szCs w:val="24"/>
        </w:rPr>
        <w:t xml:space="preserve">so that they </w:t>
      </w:r>
      <w:r w:rsidR="005168CF">
        <w:rPr>
          <w:rFonts w:cs="Arial"/>
          <w:szCs w:val="24"/>
        </w:rPr>
        <w:t xml:space="preserve">could </w:t>
      </w:r>
      <w:r w:rsidR="00746D3E" w:rsidRPr="00AB52EE">
        <w:rPr>
          <w:rFonts w:cs="Arial"/>
          <w:szCs w:val="24"/>
        </w:rPr>
        <w:t xml:space="preserve">be </w:t>
      </w:r>
      <w:r w:rsidR="00F56F7D" w:rsidRPr="00AB52EE">
        <w:rPr>
          <w:rFonts w:cs="Arial"/>
          <w:szCs w:val="24"/>
        </w:rPr>
        <w:t>refer</w:t>
      </w:r>
      <w:r w:rsidR="00746D3E" w:rsidRPr="00AB52EE">
        <w:rPr>
          <w:rFonts w:cs="Arial"/>
          <w:szCs w:val="24"/>
        </w:rPr>
        <w:t>red</w:t>
      </w:r>
      <w:r w:rsidR="00F56F7D" w:rsidRPr="00AB52EE">
        <w:rPr>
          <w:rFonts w:cs="Arial"/>
          <w:szCs w:val="24"/>
        </w:rPr>
        <w:t xml:space="preserve"> to </w:t>
      </w:r>
      <w:r w:rsidR="00746D3E" w:rsidRPr="00AB52EE">
        <w:rPr>
          <w:rFonts w:cs="Arial"/>
          <w:szCs w:val="24"/>
        </w:rPr>
        <w:t xml:space="preserve">without further ado </w:t>
      </w:r>
      <w:r w:rsidR="00F56F7D" w:rsidRPr="00AB52EE">
        <w:rPr>
          <w:rFonts w:cs="Arial"/>
          <w:szCs w:val="24"/>
        </w:rPr>
        <w:t xml:space="preserve">in </w:t>
      </w:r>
      <w:r w:rsidR="005168CF">
        <w:rPr>
          <w:rFonts w:cs="Arial"/>
          <w:szCs w:val="24"/>
        </w:rPr>
        <w:t xml:space="preserve">its </w:t>
      </w:r>
      <w:r w:rsidR="00746D3E" w:rsidRPr="00AB52EE">
        <w:rPr>
          <w:rFonts w:cs="Arial"/>
          <w:szCs w:val="24"/>
        </w:rPr>
        <w:t xml:space="preserve">replying </w:t>
      </w:r>
      <w:r w:rsidR="00F56F7D" w:rsidRPr="00AB52EE">
        <w:rPr>
          <w:rFonts w:cs="Arial"/>
          <w:szCs w:val="24"/>
        </w:rPr>
        <w:t xml:space="preserve">affidavit </w:t>
      </w:r>
      <w:r w:rsidRPr="00AB52EE">
        <w:rPr>
          <w:rFonts w:cs="Arial"/>
          <w:szCs w:val="24"/>
        </w:rPr>
        <w:t>in the contempt application</w:t>
      </w:r>
      <w:r w:rsidR="00CC481B" w:rsidRPr="00AB52EE">
        <w:rPr>
          <w:rFonts w:cs="Arial"/>
          <w:szCs w:val="24"/>
        </w:rPr>
        <w:t xml:space="preserve">. </w:t>
      </w:r>
      <w:r w:rsidR="000378DD" w:rsidRPr="00AB52EE">
        <w:rPr>
          <w:rFonts w:cs="Arial"/>
          <w:szCs w:val="24"/>
        </w:rPr>
        <w:t xml:space="preserve">While the achievement of </w:t>
      </w:r>
      <w:r w:rsidR="00CC481B" w:rsidRPr="00AB52EE">
        <w:rPr>
          <w:rFonts w:cs="Arial"/>
          <w:szCs w:val="24"/>
        </w:rPr>
        <w:t>Supercart</w:t>
      </w:r>
      <w:r w:rsidR="000378DD" w:rsidRPr="00AB52EE">
        <w:rPr>
          <w:rFonts w:cs="Arial"/>
          <w:szCs w:val="24"/>
        </w:rPr>
        <w:t>’s</w:t>
      </w:r>
      <w:r w:rsidR="00CC481B" w:rsidRPr="00AB52EE">
        <w:rPr>
          <w:rFonts w:cs="Arial"/>
          <w:szCs w:val="24"/>
        </w:rPr>
        <w:t xml:space="preserve"> secondary goal of </w:t>
      </w:r>
      <w:r w:rsidR="000378DD" w:rsidRPr="00AB52EE">
        <w:rPr>
          <w:rFonts w:cs="Arial"/>
          <w:szCs w:val="24"/>
        </w:rPr>
        <w:t xml:space="preserve">preserving the </w:t>
      </w:r>
      <w:r w:rsidR="00DC3014" w:rsidRPr="00AB52EE">
        <w:rPr>
          <w:rFonts w:cs="Arial"/>
          <w:szCs w:val="24"/>
        </w:rPr>
        <w:t xml:space="preserve">attached items </w:t>
      </w:r>
      <w:r w:rsidR="000378DD" w:rsidRPr="00AB52EE">
        <w:rPr>
          <w:rFonts w:cs="Arial"/>
          <w:szCs w:val="24"/>
        </w:rPr>
        <w:t>remains unaffected</w:t>
      </w:r>
      <w:r w:rsidR="009808AA" w:rsidRPr="00AB52EE">
        <w:rPr>
          <w:rFonts w:cs="Arial"/>
          <w:szCs w:val="24"/>
        </w:rPr>
        <w:t xml:space="preserve"> in relation to </w:t>
      </w:r>
      <w:r w:rsidR="00CB392D">
        <w:rPr>
          <w:rFonts w:cs="Arial"/>
          <w:szCs w:val="24"/>
        </w:rPr>
        <w:t xml:space="preserve">items found at </w:t>
      </w:r>
      <w:r w:rsidR="009808AA" w:rsidRPr="00AB52EE">
        <w:rPr>
          <w:rFonts w:cs="Arial"/>
          <w:szCs w:val="24"/>
        </w:rPr>
        <w:t>Vanesco</w:t>
      </w:r>
      <w:r w:rsidR="00CB392D">
        <w:rPr>
          <w:rFonts w:cs="Arial"/>
          <w:szCs w:val="24"/>
        </w:rPr>
        <w:t>’</w:t>
      </w:r>
      <w:r w:rsidR="009808AA" w:rsidRPr="00AB52EE">
        <w:rPr>
          <w:rFonts w:cs="Arial"/>
          <w:szCs w:val="24"/>
        </w:rPr>
        <w:t>s</w:t>
      </w:r>
      <w:r w:rsidR="00CB392D">
        <w:rPr>
          <w:rFonts w:cs="Arial"/>
          <w:szCs w:val="24"/>
        </w:rPr>
        <w:t xml:space="preserve"> business</w:t>
      </w:r>
      <w:r w:rsidR="009808AA" w:rsidRPr="00AB52EE">
        <w:rPr>
          <w:rFonts w:cs="Arial"/>
          <w:szCs w:val="24"/>
        </w:rPr>
        <w:t xml:space="preserve"> premises,</w:t>
      </w:r>
      <w:r w:rsidR="000378DD" w:rsidRPr="00AB52EE">
        <w:rPr>
          <w:rFonts w:cs="Arial"/>
          <w:szCs w:val="24"/>
        </w:rPr>
        <w:t xml:space="preserve"> it remains to be seen whether that will prove to be of any value to Supercart (i.e. whether it succeeds in having the documents </w:t>
      </w:r>
      <w:r w:rsidR="00CB392D">
        <w:rPr>
          <w:rFonts w:cs="Arial"/>
          <w:szCs w:val="24"/>
        </w:rPr>
        <w:t xml:space="preserve">discovered </w:t>
      </w:r>
      <w:r w:rsidR="002662D1" w:rsidRPr="00AB52EE">
        <w:rPr>
          <w:rFonts w:cs="Arial"/>
          <w:szCs w:val="24"/>
        </w:rPr>
        <w:t xml:space="preserve">and admitted </w:t>
      </w:r>
      <w:r w:rsidR="000378DD" w:rsidRPr="00AB52EE">
        <w:rPr>
          <w:rFonts w:cs="Arial"/>
          <w:szCs w:val="24"/>
        </w:rPr>
        <w:t>in the contempt application and, if so, what the consequences of that may be</w:t>
      </w:r>
      <w:r w:rsidR="00F56F7D" w:rsidRPr="00AB52EE">
        <w:rPr>
          <w:rFonts w:cs="Arial"/>
          <w:szCs w:val="24"/>
        </w:rPr>
        <w:t>)</w:t>
      </w:r>
      <w:r w:rsidR="000378DD" w:rsidRPr="00AB52EE">
        <w:rPr>
          <w:rFonts w:cs="Arial"/>
          <w:szCs w:val="24"/>
        </w:rPr>
        <w:t xml:space="preserve">. Since that is an evaluation that can only be made by the </w:t>
      </w:r>
      <w:r w:rsidR="00A01AA1" w:rsidRPr="00AB52EE">
        <w:rPr>
          <w:rFonts w:cs="Arial"/>
          <w:szCs w:val="24"/>
        </w:rPr>
        <w:t>C</w:t>
      </w:r>
      <w:r w:rsidR="000378DD" w:rsidRPr="00AB52EE">
        <w:rPr>
          <w:rFonts w:cs="Arial"/>
          <w:szCs w:val="24"/>
        </w:rPr>
        <w:t>ourt that ultimately decides the contempt application</w:t>
      </w:r>
      <w:r w:rsidR="00F56F7D" w:rsidRPr="00AB52EE">
        <w:rPr>
          <w:rFonts w:cs="Arial"/>
          <w:szCs w:val="24"/>
        </w:rPr>
        <w:t>,</w:t>
      </w:r>
      <w:r w:rsidR="000378DD" w:rsidRPr="00AB52EE">
        <w:rPr>
          <w:rFonts w:cs="Arial"/>
          <w:szCs w:val="24"/>
        </w:rPr>
        <w:t xml:space="preserve"> I consider </w:t>
      </w:r>
      <w:r w:rsidR="00CC481B" w:rsidRPr="00AB52EE">
        <w:rPr>
          <w:rFonts w:cs="Arial"/>
          <w:szCs w:val="24"/>
        </w:rPr>
        <w:t xml:space="preserve">the most appropriate </w:t>
      </w:r>
      <w:r w:rsidR="00CB392D">
        <w:rPr>
          <w:rFonts w:cs="Arial"/>
          <w:szCs w:val="24"/>
        </w:rPr>
        <w:t xml:space="preserve">costs </w:t>
      </w:r>
      <w:r w:rsidR="00CC481B" w:rsidRPr="00AB52EE">
        <w:rPr>
          <w:rFonts w:cs="Arial"/>
          <w:szCs w:val="24"/>
        </w:rPr>
        <w:t xml:space="preserve">order </w:t>
      </w:r>
      <w:r w:rsidR="002662D1" w:rsidRPr="00AB52EE">
        <w:rPr>
          <w:rFonts w:cs="Arial"/>
          <w:szCs w:val="24"/>
        </w:rPr>
        <w:t xml:space="preserve">would be </w:t>
      </w:r>
      <w:r w:rsidR="00CC481B" w:rsidRPr="00AB52EE">
        <w:rPr>
          <w:rFonts w:cs="Arial"/>
          <w:szCs w:val="24"/>
        </w:rPr>
        <w:t xml:space="preserve">to </w:t>
      </w:r>
      <w:r w:rsidR="00F56F7D" w:rsidRPr="00AB52EE">
        <w:rPr>
          <w:rFonts w:cs="Arial"/>
          <w:szCs w:val="24"/>
        </w:rPr>
        <w:t xml:space="preserve">retain paragraph 17 of the order </w:t>
      </w:r>
      <w:r w:rsidR="00CC481B" w:rsidRPr="00AB52EE">
        <w:rPr>
          <w:rFonts w:cs="Arial"/>
          <w:szCs w:val="24"/>
        </w:rPr>
        <w:t>reserv</w:t>
      </w:r>
      <w:r w:rsidR="00F56F7D" w:rsidRPr="00AB52EE">
        <w:rPr>
          <w:rFonts w:cs="Arial"/>
          <w:szCs w:val="24"/>
        </w:rPr>
        <w:t>ing</w:t>
      </w:r>
      <w:r w:rsidR="00CC481B" w:rsidRPr="00AB52EE">
        <w:rPr>
          <w:rFonts w:cs="Arial"/>
          <w:szCs w:val="24"/>
        </w:rPr>
        <w:t xml:space="preserve"> the costs of </w:t>
      </w:r>
      <w:r w:rsidR="000378DD" w:rsidRPr="00AB52EE">
        <w:rPr>
          <w:rFonts w:cs="Arial"/>
          <w:szCs w:val="24"/>
        </w:rPr>
        <w:t xml:space="preserve">the Anton Piller application </w:t>
      </w:r>
      <w:r w:rsidR="00F56F7D" w:rsidRPr="00AB52EE">
        <w:rPr>
          <w:rFonts w:cs="Arial"/>
          <w:szCs w:val="24"/>
        </w:rPr>
        <w:t xml:space="preserve">for determination in the contempt application, </w:t>
      </w:r>
      <w:r w:rsidR="002662D1" w:rsidRPr="00AB52EE">
        <w:rPr>
          <w:rFonts w:cs="Arial"/>
          <w:szCs w:val="24"/>
        </w:rPr>
        <w:t xml:space="preserve">and </w:t>
      </w:r>
      <w:r w:rsidR="00F56F7D" w:rsidRPr="00AB52EE">
        <w:rPr>
          <w:rFonts w:cs="Arial"/>
          <w:szCs w:val="24"/>
        </w:rPr>
        <w:t xml:space="preserve">extending it to </w:t>
      </w:r>
      <w:r w:rsidR="00CC481B" w:rsidRPr="00AB52EE">
        <w:rPr>
          <w:rFonts w:cs="Arial"/>
          <w:szCs w:val="24"/>
        </w:rPr>
        <w:t>this application</w:t>
      </w:r>
      <w:r w:rsidR="00F56F7D" w:rsidRPr="00AB52EE">
        <w:rPr>
          <w:rFonts w:cs="Arial"/>
          <w:szCs w:val="24"/>
        </w:rPr>
        <w:t xml:space="preserve">, save </w:t>
      </w:r>
      <w:r w:rsidR="002662D1" w:rsidRPr="00AB52EE">
        <w:rPr>
          <w:rFonts w:cs="Arial"/>
          <w:szCs w:val="24"/>
        </w:rPr>
        <w:t>in relation to the aspect</w:t>
      </w:r>
      <w:r w:rsidR="009808AA" w:rsidRPr="00AB52EE">
        <w:rPr>
          <w:rFonts w:cs="Arial"/>
          <w:szCs w:val="24"/>
        </w:rPr>
        <w:t>s</w:t>
      </w:r>
      <w:r w:rsidR="002662D1" w:rsidRPr="00AB52EE">
        <w:rPr>
          <w:rFonts w:cs="Arial"/>
          <w:szCs w:val="24"/>
        </w:rPr>
        <w:t xml:space="preserve"> </w:t>
      </w:r>
      <w:r w:rsidR="00F56F7D" w:rsidRPr="00AB52EE">
        <w:rPr>
          <w:rFonts w:cs="Arial"/>
          <w:szCs w:val="24"/>
        </w:rPr>
        <w:t>discussed in the following paragraph</w:t>
      </w:r>
      <w:r w:rsidR="00214B4A">
        <w:rPr>
          <w:rFonts w:cs="Arial"/>
          <w:szCs w:val="24"/>
        </w:rPr>
        <w:t>s</w:t>
      </w:r>
      <w:r w:rsidR="000378DD" w:rsidRPr="00AB52EE">
        <w:rPr>
          <w:rFonts w:cs="Arial"/>
          <w:szCs w:val="24"/>
        </w:rPr>
        <w:t>.</w:t>
      </w:r>
      <w:r w:rsidR="00F56F7D" w:rsidRPr="00AB52EE">
        <w:rPr>
          <w:rFonts w:cs="Arial"/>
          <w:szCs w:val="24"/>
        </w:rPr>
        <w:t xml:space="preserve"> </w:t>
      </w:r>
    </w:p>
    <w:p w14:paraId="505DFDA3" w14:textId="5117994E" w:rsidR="00CB392D" w:rsidRPr="00AB52EE" w:rsidRDefault="00CB392D" w:rsidP="00CB392D">
      <w:pPr>
        <w:pStyle w:val="LC1"/>
        <w:rPr>
          <w:rFonts w:cs="Arial"/>
          <w:szCs w:val="24"/>
        </w:rPr>
      </w:pPr>
      <w:r>
        <w:rPr>
          <w:rFonts w:cs="Arial"/>
          <w:szCs w:val="24"/>
        </w:rPr>
        <w:t xml:space="preserve">Even </w:t>
      </w:r>
      <w:r w:rsidRPr="00AB52EE">
        <w:rPr>
          <w:rFonts w:cs="Arial"/>
          <w:szCs w:val="24"/>
        </w:rPr>
        <w:t xml:space="preserve">on the most charitable reading, Mr Wolfe’s founding affidavit contained not even the vaguest allegation in support of a </w:t>
      </w:r>
      <w:r w:rsidRPr="00AB52EE">
        <w:rPr>
          <w:rFonts w:cs="Arial"/>
          <w:i/>
          <w:iCs/>
          <w:szCs w:val="24"/>
        </w:rPr>
        <w:t>prima facie</w:t>
      </w:r>
      <w:r w:rsidRPr="00AB52EE">
        <w:rPr>
          <w:rFonts w:cs="Arial"/>
          <w:szCs w:val="24"/>
        </w:rPr>
        <w:t xml:space="preserve"> conclusion that any of the relevant evidence was located at Mr Case’s residence. The allegations made by Mr Wolfe in reply that “it was entirely reasonable to assume that Mr Case would, from time to time, work from home … given the pandemic and the restrictions that have been put in place by the Government as a consequence” are expressly presumptuous, and only serve to show not only that no </w:t>
      </w:r>
      <w:r w:rsidRPr="00AB52EE">
        <w:rPr>
          <w:rFonts w:cs="Arial"/>
          <w:i/>
          <w:iCs/>
          <w:szCs w:val="24"/>
        </w:rPr>
        <w:t>prima face</w:t>
      </w:r>
      <w:r w:rsidRPr="00AB52EE">
        <w:rPr>
          <w:rFonts w:cs="Arial"/>
          <w:szCs w:val="24"/>
        </w:rPr>
        <w:t xml:space="preserve"> had been made out in this regard, but that none in fact existed. As for the statement that “Mr Case does not deny that he does work from home” (presumably with reference to his answering affidavit), that is beside the point, which is whether Supercart made out a </w:t>
      </w:r>
      <w:r w:rsidRPr="00AB52EE">
        <w:rPr>
          <w:rFonts w:cs="Arial"/>
          <w:i/>
          <w:iCs/>
          <w:szCs w:val="24"/>
        </w:rPr>
        <w:t>prima facie</w:t>
      </w:r>
      <w:r w:rsidRPr="00AB52EE">
        <w:rPr>
          <w:rFonts w:cs="Arial"/>
          <w:szCs w:val="24"/>
        </w:rPr>
        <w:t xml:space="preserve"> case in its founding papers that any relevant evidence was located at his residence. In any event, there is </w:t>
      </w:r>
      <w:r w:rsidRPr="00AB52EE">
        <w:rPr>
          <w:rFonts w:cs="Arial"/>
          <w:szCs w:val="24"/>
        </w:rPr>
        <w:lastRenderedPageBreak/>
        <w:t>no allegation in Mr Wolfe’s founding affidavit or in those of either of the supervising attorneys’ affidavits that would call for such a denial. To the contrary, the affidavit of Mr Shoba stated that Mr Case’s daughter “advised that Case does not work from his residence”.</w:t>
      </w:r>
    </w:p>
    <w:p w14:paraId="2B4ACCBE" w14:textId="57ABDED4" w:rsidR="00CB392D" w:rsidRPr="00AB52EE" w:rsidRDefault="00CB392D" w:rsidP="00CB392D">
      <w:pPr>
        <w:pStyle w:val="LC1"/>
        <w:rPr>
          <w:rFonts w:cs="Arial"/>
          <w:szCs w:val="24"/>
        </w:rPr>
      </w:pPr>
      <w:r w:rsidRPr="00AB52EE">
        <w:rPr>
          <w:rFonts w:cs="Arial"/>
          <w:szCs w:val="24"/>
        </w:rPr>
        <w:t xml:space="preserve">In the circumstances, it is </w:t>
      </w:r>
      <w:r>
        <w:rPr>
          <w:rFonts w:cs="Arial"/>
          <w:szCs w:val="24"/>
        </w:rPr>
        <w:t xml:space="preserve">readily </w:t>
      </w:r>
      <w:r w:rsidRPr="00AB52EE">
        <w:rPr>
          <w:rFonts w:cs="Arial"/>
          <w:szCs w:val="24"/>
        </w:rPr>
        <w:t xml:space="preserve">apparent </w:t>
      </w:r>
      <w:r>
        <w:rPr>
          <w:rFonts w:cs="Arial"/>
          <w:szCs w:val="24"/>
        </w:rPr>
        <w:t xml:space="preserve">at this stage </w:t>
      </w:r>
      <w:r w:rsidRPr="00AB52EE">
        <w:rPr>
          <w:rFonts w:cs="Arial"/>
          <w:szCs w:val="24"/>
        </w:rPr>
        <w:t xml:space="preserve">that Supercart should not be awarded its costs </w:t>
      </w:r>
      <w:r w:rsidR="00214B4A" w:rsidRPr="00AB52EE">
        <w:rPr>
          <w:rFonts w:cs="Arial"/>
          <w:szCs w:val="24"/>
        </w:rPr>
        <w:t>in relation to the execution of the order at Mr Case’s residence</w:t>
      </w:r>
      <w:r w:rsidRPr="00AB52EE">
        <w:rPr>
          <w:rFonts w:cs="Arial"/>
          <w:szCs w:val="24"/>
        </w:rPr>
        <w:t xml:space="preserve">, and the reservation of costs provided for in paragraph 17 of the order should therefore not stand in relation to </w:t>
      </w:r>
      <w:r w:rsidR="00214B4A">
        <w:rPr>
          <w:rFonts w:cs="Arial"/>
          <w:szCs w:val="24"/>
        </w:rPr>
        <w:t xml:space="preserve">those </w:t>
      </w:r>
      <w:r w:rsidRPr="00AB52EE">
        <w:rPr>
          <w:rFonts w:cs="Arial"/>
          <w:szCs w:val="24"/>
        </w:rPr>
        <w:t xml:space="preserve">costs. On the other hand, Vanesco and Mr Case should be awarded their costs in </w:t>
      </w:r>
      <w:r w:rsidR="00214B4A">
        <w:rPr>
          <w:rFonts w:cs="Arial"/>
          <w:szCs w:val="24"/>
        </w:rPr>
        <w:t xml:space="preserve">this respect </w:t>
      </w:r>
      <w:r w:rsidRPr="00AB52EE">
        <w:rPr>
          <w:rFonts w:cs="Arial"/>
          <w:szCs w:val="24"/>
        </w:rPr>
        <w:t xml:space="preserve">on a punitive scale. It is also necessary to further adjust paragraph 17 to set aside the portions </w:t>
      </w:r>
      <w:r w:rsidR="00214B4A">
        <w:rPr>
          <w:rFonts w:cs="Arial"/>
          <w:szCs w:val="24"/>
        </w:rPr>
        <w:t xml:space="preserve">reflecting an assumption </w:t>
      </w:r>
      <w:r w:rsidRPr="00AB52EE">
        <w:rPr>
          <w:rFonts w:cs="Arial"/>
          <w:szCs w:val="24"/>
        </w:rPr>
        <w:t>that the attached items will in fact be utilized in the replying affidavit, which remains open to question.</w:t>
      </w:r>
    </w:p>
    <w:p w14:paraId="24E92CEE" w14:textId="3B379BD5" w:rsidR="00052C5D" w:rsidRPr="00AB52EE" w:rsidRDefault="000378DD" w:rsidP="007A27ED">
      <w:pPr>
        <w:pStyle w:val="LC1"/>
        <w:rPr>
          <w:rFonts w:cs="Arial"/>
          <w:szCs w:val="24"/>
        </w:rPr>
      </w:pPr>
      <w:r w:rsidRPr="00AB52EE">
        <w:rPr>
          <w:rFonts w:cs="Arial"/>
          <w:szCs w:val="24"/>
        </w:rPr>
        <w:t>There is one final issue.</w:t>
      </w:r>
      <w:r w:rsidR="00474FEF" w:rsidRPr="00AB52EE">
        <w:rPr>
          <w:rFonts w:cs="Arial"/>
          <w:szCs w:val="24"/>
        </w:rPr>
        <w:t xml:space="preserve"> </w:t>
      </w:r>
      <w:r w:rsidRPr="00AB52EE">
        <w:rPr>
          <w:rFonts w:cs="Arial"/>
          <w:szCs w:val="24"/>
        </w:rPr>
        <w:t xml:space="preserve">Supercart sought </w:t>
      </w:r>
      <w:r w:rsidR="00474FEF" w:rsidRPr="00AB52EE">
        <w:rPr>
          <w:rFonts w:cs="Arial"/>
          <w:szCs w:val="24"/>
        </w:rPr>
        <w:t>the</w:t>
      </w:r>
      <w:r w:rsidRPr="00AB52EE">
        <w:rPr>
          <w:rFonts w:cs="Arial"/>
          <w:szCs w:val="24"/>
        </w:rPr>
        <w:t xml:space="preserve"> implementation </w:t>
      </w:r>
      <w:r w:rsidR="00474FEF" w:rsidRPr="00AB52EE">
        <w:rPr>
          <w:rFonts w:cs="Arial"/>
          <w:szCs w:val="24"/>
        </w:rPr>
        <w:t xml:space="preserve">of paragraph </w:t>
      </w:r>
      <w:r w:rsidR="00D21ED8" w:rsidRPr="00AB52EE">
        <w:rPr>
          <w:rFonts w:cs="Arial"/>
          <w:szCs w:val="24"/>
        </w:rPr>
        <w:t>15</w:t>
      </w:r>
      <w:r w:rsidR="00D21ED8" w:rsidRPr="00AB52EE">
        <w:rPr>
          <w:rFonts w:cs="Arial"/>
          <w:i/>
          <w:iCs/>
          <w:szCs w:val="24"/>
        </w:rPr>
        <w:t>bis</w:t>
      </w:r>
      <w:r w:rsidR="00474FEF" w:rsidRPr="00AB52EE">
        <w:rPr>
          <w:rFonts w:cs="Arial"/>
          <w:szCs w:val="24"/>
        </w:rPr>
        <w:t xml:space="preserve"> of the </w:t>
      </w:r>
      <w:r w:rsidR="00F5069B" w:rsidRPr="00AB52EE">
        <w:rPr>
          <w:rFonts w:cs="Arial"/>
          <w:szCs w:val="24"/>
          <w:lang w:eastAsia="en-ZA"/>
        </w:rPr>
        <w:t xml:space="preserve">Anton Piller </w:t>
      </w:r>
      <w:r w:rsidR="00474FEF" w:rsidRPr="00AB52EE">
        <w:rPr>
          <w:rFonts w:cs="Arial"/>
          <w:szCs w:val="24"/>
        </w:rPr>
        <w:t xml:space="preserve">order even </w:t>
      </w:r>
      <w:r w:rsidR="00052C5D" w:rsidRPr="00AB52EE">
        <w:rPr>
          <w:rFonts w:cs="Arial"/>
          <w:szCs w:val="24"/>
        </w:rPr>
        <w:t xml:space="preserve">before </w:t>
      </w:r>
      <w:r w:rsidR="00636C6A" w:rsidRPr="00AB52EE">
        <w:rPr>
          <w:rFonts w:cs="Arial"/>
          <w:szCs w:val="24"/>
          <w:lang w:eastAsia="en-ZA"/>
        </w:rPr>
        <w:t xml:space="preserve">the respondents </w:t>
      </w:r>
      <w:r w:rsidR="00052C5D" w:rsidRPr="00AB52EE">
        <w:rPr>
          <w:rFonts w:cs="Arial"/>
          <w:szCs w:val="24"/>
        </w:rPr>
        <w:t xml:space="preserve">could reasonably have been expected to </w:t>
      </w:r>
      <w:r w:rsidR="002662D1" w:rsidRPr="00AB52EE">
        <w:rPr>
          <w:rFonts w:cs="Arial"/>
          <w:szCs w:val="24"/>
        </w:rPr>
        <w:t xml:space="preserve">seek an order for its </w:t>
      </w:r>
      <w:r w:rsidR="00052C5D" w:rsidRPr="00AB52EE">
        <w:rPr>
          <w:rFonts w:cs="Arial"/>
          <w:szCs w:val="24"/>
        </w:rPr>
        <w:t xml:space="preserve">reconsideration. </w:t>
      </w:r>
      <w:r w:rsidR="00F56F7D" w:rsidRPr="00AB52EE">
        <w:rPr>
          <w:rFonts w:cs="Arial"/>
          <w:szCs w:val="24"/>
        </w:rPr>
        <w:t xml:space="preserve">This left </w:t>
      </w:r>
      <w:r w:rsidR="00636C6A" w:rsidRPr="00AB52EE">
        <w:rPr>
          <w:rFonts w:cs="Arial"/>
          <w:szCs w:val="24"/>
          <w:lang w:eastAsia="en-ZA"/>
        </w:rPr>
        <w:t xml:space="preserve">the respondents </w:t>
      </w:r>
      <w:r w:rsidR="00052C5D" w:rsidRPr="00AB52EE">
        <w:rPr>
          <w:rFonts w:cs="Arial"/>
          <w:szCs w:val="24"/>
        </w:rPr>
        <w:t xml:space="preserve">with no alternative but to launch the urgent variation application </w:t>
      </w:r>
      <w:r w:rsidR="00746D3E" w:rsidRPr="00AB52EE">
        <w:rPr>
          <w:rFonts w:cs="Arial"/>
          <w:szCs w:val="24"/>
        </w:rPr>
        <w:t xml:space="preserve">before Wright J </w:t>
      </w:r>
      <w:r w:rsidR="00052C5D" w:rsidRPr="00AB52EE">
        <w:rPr>
          <w:rFonts w:cs="Arial"/>
          <w:szCs w:val="24"/>
        </w:rPr>
        <w:t xml:space="preserve">that </w:t>
      </w:r>
      <w:r w:rsidR="00F56F7D" w:rsidRPr="00AB52EE">
        <w:rPr>
          <w:rFonts w:cs="Arial"/>
          <w:szCs w:val="24"/>
        </w:rPr>
        <w:t xml:space="preserve">paragraph </w:t>
      </w:r>
      <w:r w:rsidR="00D21ED8" w:rsidRPr="00AB52EE">
        <w:rPr>
          <w:rFonts w:cs="Arial"/>
          <w:szCs w:val="24"/>
        </w:rPr>
        <w:t>15</w:t>
      </w:r>
      <w:r w:rsidR="00D21ED8" w:rsidRPr="00AB52EE">
        <w:rPr>
          <w:rFonts w:cs="Arial"/>
          <w:i/>
          <w:iCs/>
          <w:szCs w:val="24"/>
        </w:rPr>
        <w:t>bis</w:t>
      </w:r>
      <w:r w:rsidR="00F56F7D" w:rsidRPr="00AB52EE">
        <w:rPr>
          <w:rFonts w:cs="Arial"/>
          <w:szCs w:val="24"/>
        </w:rPr>
        <w:t xml:space="preserve"> </w:t>
      </w:r>
      <w:r w:rsidR="00052C5D" w:rsidRPr="00AB52EE">
        <w:rPr>
          <w:rFonts w:cs="Arial"/>
          <w:szCs w:val="24"/>
        </w:rPr>
        <w:t>itself contemplated</w:t>
      </w:r>
      <w:r w:rsidR="002662D1" w:rsidRPr="00AB52EE">
        <w:rPr>
          <w:rFonts w:cs="Arial"/>
          <w:szCs w:val="24"/>
        </w:rPr>
        <w:t xml:space="preserve">. </w:t>
      </w:r>
      <w:r w:rsidR="00746D3E" w:rsidRPr="00AB52EE">
        <w:rPr>
          <w:rFonts w:cs="Arial"/>
          <w:szCs w:val="24"/>
        </w:rPr>
        <w:t xml:space="preserve">What is more, </w:t>
      </w:r>
      <w:r w:rsidR="00052C5D" w:rsidRPr="00AB52EE">
        <w:rPr>
          <w:rFonts w:cs="Arial"/>
          <w:szCs w:val="24"/>
        </w:rPr>
        <w:t xml:space="preserve">Supercart did not content itself </w:t>
      </w:r>
      <w:r w:rsidR="00F56F7D" w:rsidRPr="00AB52EE">
        <w:rPr>
          <w:rFonts w:cs="Arial"/>
          <w:szCs w:val="24"/>
        </w:rPr>
        <w:t xml:space="preserve">merely </w:t>
      </w:r>
      <w:r w:rsidR="00052C5D" w:rsidRPr="00AB52EE">
        <w:rPr>
          <w:rFonts w:cs="Arial"/>
          <w:szCs w:val="24"/>
        </w:rPr>
        <w:t>in opposing the variation application</w:t>
      </w:r>
      <w:r w:rsidR="00F56F7D" w:rsidRPr="00AB52EE">
        <w:rPr>
          <w:rFonts w:cs="Arial"/>
          <w:szCs w:val="24"/>
        </w:rPr>
        <w:t>,</w:t>
      </w:r>
      <w:r w:rsidR="00052C5D" w:rsidRPr="00AB52EE">
        <w:rPr>
          <w:rFonts w:cs="Arial"/>
          <w:szCs w:val="24"/>
        </w:rPr>
        <w:t xml:space="preserve"> but launched a counterapplication seeking either </w:t>
      </w:r>
      <w:r w:rsidR="00F56F7D" w:rsidRPr="00AB52EE">
        <w:rPr>
          <w:rFonts w:cs="Arial"/>
          <w:szCs w:val="24"/>
        </w:rPr>
        <w:t xml:space="preserve">the immediate </w:t>
      </w:r>
      <w:r w:rsidR="005C0824" w:rsidRPr="00AB52EE">
        <w:rPr>
          <w:rFonts w:cs="Arial"/>
          <w:szCs w:val="24"/>
        </w:rPr>
        <w:t>implement</w:t>
      </w:r>
      <w:r w:rsidR="00F56F7D" w:rsidRPr="00AB52EE">
        <w:rPr>
          <w:rFonts w:cs="Arial"/>
          <w:szCs w:val="24"/>
        </w:rPr>
        <w:t>ation of</w:t>
      </w:r>
      <w:r w:rsidR="005C0824" w:rsidRPr="00AB52EE">
        <w:rPr>
          <w:rFonts w:cs="Arial"/>
          <w:szCs w:val="24"/>
        </w:rPr>
        <w:t xml:space="preserve"> paragraph </w:t>
      </w:r>
      <w:r w:rsidR="00D21ED8" w:rsidRPr="00AB52EE">
        <w:rPr>
          <w:rFonts w:cs="Arial"/>
          <w:szCs w:val="24"/>
        </w:rPr>
        <w:t>15</w:t>
      </w:r>
      <w:r w:rsidR="00D21ED8" w:rsidRPr="00AB52EE">
        <w:rPr>
          <w:rFonts w:cs="Arial"/>
          <w:i/>
          <w:iCs/>
          <w:szCs w:val="24"/>
        </w:rPr>
        <w:t>bis</w:t>
      </w:r>
      <w:r w:rsidR="005C0824" w:rsidRPr="00AB52EE">
        <w:rPr>
          <w:rFonts w:cs="Arial"/>
          <w:szCs w:val="24"/>
        </w:rPr>
        <w:t xml:space="preserve"> in its terms,</w:t>
      </w:r>
      <w:r w:rsidR="00052C5D" w:rsidRPr="00AB52EE">
        <w:rPr>
          <w:rFonts w:cs="Arial"/>
          <w:szCs w:val="24"/>
        </w:rPr>
        <w:t xml:space="preserve"> or </w:t>
      </w:r>
      <w:r w:rsidR="00746D3E" w:rsidRPr="00AB52EE">
        <w:rPr>
          <w:rFonts w:cs="Arial"/>
          <w:szCs w:val="24"/>
        </w:rPr>
        <w:t xml:space="preserve">its </w:t>
      </w:r>
      <w:r w:rsidR="00052C5D" w:rsidRPr="00AB52EE">
        <w:rPr>
          <w:rFonts w:cs="Arial"/>
          <w:szCs w:val="24"/>
        </w:rPr>
        <w:t xml:space="preserve">variation </w:t>
      </w:r>
      <w:r w:rsidR="001E4CDA" w:rsidRPr="00AB52EE">
        <w:rPr>
          <w:rFonts w:cs="Arial"/>
          <w:szCs w:val="24"/>
        </w:rPr>
        <w:t>to a slightly less invasive version thereof</w:t>
      </w:r>
      <w:r w:rsidR="00052C5D" w:rsidRPr="00AB52EE">
        <w:rPr>
          <w:rFonts w:cs="Arial"/>
          <w:szCs w:val="24"/>
        </w:rPr>
        <w:t>.</w:t>
      </w:r>
      <w:r w:rsidR="005C0824" w:rsidRPr="00AB52EE">
        <w:rPr>
          <w:rFonts w:cs="Arial"/>
          <w:szCs w:val="24"/>
        </w:rPr>
        <w:t xml:space="preserve"> </w:t>
      </w:r>
      <w:r w:rsidR="001E4CDA" w:rsidRPr="00AB52EE">
        <w:rPr>
          <w:rFonts w:cs="Arial"/>
          <w:szCs w:val="24"/>
        </w:rPr>
        <w:t xml:space="preserve">While </w:t>
      </w:r>
      <w:r w:rsidR="005C0824" w:rsidRPr="00AB52EE">
        <w:rPr>
          <w:rFonts w:cs="Arial"/>
          <w:szCs w:val="24"/>
        </w:rPr>
        <w:t xml:space="preserve">Wright J </w:t>
      </w:r>
      <w:r w:rsidR="001E4CDA" w:rsidRPr="00AB52EE">
        <w:rPr>
          <w:rFonts w:cs="Arial"/>
          <w:szCs w:val="24"/>
        </w:rPr>
        <w:t xml:space="preserve">expressly made </w:t>
      </w:r>
      <w:r w:rsidR="005C0824" w:rsidRPr="00AB52EE">
        <w:rPr>
          <w:rFonts w:cs="Arial"/>
          <w:szCs w:val="24"/>
        </w:rPr>
        <w:t>no finding on the merits of either party’s case</w:t>
      </w:r>
      <w:r w:rsidR="001E4CDA" w:rsidRPr="00AB52EE">
        <w:rPr>
          <w:rFonts w:cs="Arial"/>
          <w:szCs w:val="24"/>
        </w:rPr>
        <w:t xml:space="preserve"> in granting the order that he did</w:t>
      </w:r>
      <w:r w:rsidR="00474FEF" w:rsidRPr="00AB52EE">
        <w:rPr>
          <w:rFonts w:cs="Arial"/>
          <w:szCs w:val="24"/>
        </w:rPr>
        <w:t xml:space="preserve">, and </w:t>
      </w:r>
      <w:r w:rsidR="005C0824" w:rsidRPr="00AB52EE">
        <w:rPr>
          <w:rFonts w:cs="Arial"/>
          <w:szCs w:val="24"/>
        </w:rPr>
        <w:t xml:space="preserve">reserved the costs, I have </w:t>
      </w:r>
      <w:r w:rsidR="00474FEF" w:rsidRPr="00AB52EE">
        <w:rPr>
          <w:rFonts w:cs="Arial"/>
          <w:szCs w:val="24"/>
        </w:rPr>
        <w:t xml:space="preserve">in this application </w:t>
      </w:r>
      <w:r w:rsidR="005C0824" w:rsidRPr="00AB52EE">
        <w:rPr>
          <w:rFonts w:cs="Arial"/>
          <w:szCs w:val="24"/>
        </w:rPr>
        <w:t xml:space="preserve">found that paragraph </w:t>
      </w:r>
      <w:r w:rsidR="00D21ED8" w:rsidRPr="00AB52EE">
        <w:rPr>
          <w:rFonts w:cs="Arial"/>
          <w:szCs w:val="24"/>
        </w:rPr>
        <w:t>15</w:t>
      </w:r>
      <w:r w:rsidR="00D21ED8" w:rsidRPr="00AB52EE">
        <w:rPr>
          <w:rFonts w:cs="Arial"/>
          <w:i/>
          <w:iCs/>
          <w:szCs w:val="24"/>
        </w:rPr>
        <w:t>bis</w:t>
      </w:r>
      <w:r w:rsidR="00474FEF" w:rsidRPr="00AB52EE">
        <w:rPr>
          <w:rFonts w:cs="Arial"/>
          <w:szCs w:val="24"/>
        </w:rPr>
        <w:t xml:space="preserve"> should never have been sought </w:t>
      </w:r>
      <w:r w:rsidR="005168CF">
        <w:rPr>
          <w:rFonts w:cs="Arial"/>
          <w:szCs w:val="24"/>
        </w:rPr>
        <w:t xml:space="preserve">by Supercart </w:t>
      </w:r>
      <w:r w:rsidR="00474FEF" w:rsidRPr="00AB52EE">
        <w:rPr>
          <w:rFonts w:cs="Arial"/>
          <w:szCs w:val="24"/>
        </w:rPr>
        <w:t xml:space="preserve">in the first place. In those circumstances, it is appropriate that </w:t>
      </w:r>
      <w:r w:rsidR="00474FEF" w:rsidRPr="00AB52EE">
        <w:rPr>
          <w:rFonts w:cs="Arial"/>
          <w:szCs w:val="24"/>
        </w:rPr>
        <w:lastRenderedPageBreak/>
        <w:t xml:space="preserve">Vanesco </w:t>
      </w:r>
      <w:r w:rsidR="00FB7A02" w:rsidRPr="00AB52EE">
        <w:rPr>
          <w:rFonts w:cs="Arial"/>
          <w:szCs w:val="24"/>
        </w:rPr>
        <w:t xml:space="preserve">and Mr Case </w:t>
      </w:r>
      <w:r w:rsidR="00474FEF" w:rsidRPr="00AB52EE">
        <w:rPr>
          <w:rFonts w:cs="Arial"/>
          <w:szCs w:val="24"/>
        </w:rPr>
        <w:t xml:space="preserve">be awarded </w:t>
      </w:r>
      <w:r w:rsidR="00FB7A02" w:rsidRPr="00AB52EE">
        <w:rPr>
          <w:rFonts w:cs="Arial"/>
          <w:szCs w:val="24"/>
        </w:rPr>
        <w:t xml:space="preserve">their </w:t>
      </w:r>
      <w:r w:rsidR="00474FEF" w:rsidRPr="00AB52EE">
        <w:rPr>
          <w:rFonts w:cs="Arial"/>
          <w:szCs w:val="24"/>
        </w:rPr>
        <w:t xml:space="preserve">costs in </w:t>
      </w:r>
      <w:r w:rsidR="002662D1" w:rsidRPr="00AB52EE">
        <w:rPr>
          <w:rFonts w:cs="Arial"/>
          <w:szCs w:val="24"/>
        </w:rPr>
        <w:t xml:space="preserve">the variation </w:t>
      </w:r>
      <w:r w:rsidR="00474FEF" w:rsidRPr="00AB52EE">
        <w:rPr>
          <w:rFonts w:cs="Arial"/>
          <w:szCs w:val="24"/>
        </w:rPr>
        <w:t xml:space="preserve">application. Furthermore, even if I had found that paragraph </w:t>
      </w:r>
      <w:r w:rsidR="00D21ED8" w:rsidRPr="00AB52EE">
        <w:rPr>
          <w:rFonts w:cs="Arial"/>
          <w:szCs w:val="24"/>
        </w:rPr>
        <w:t>15</w:t>
      </w:r>
      <w:r w:rsidR="00D21ED8" w:rsidRPr="00AB52EE">
        <w:rPr>
          <w:rFonts w:cs="Arial"/>
          <w:i/>
          <w:iCs/>
          <w:szCs w:val="24"/>
        </w:rPr>
        <w:t>bis</w:t>
      </w:r>
      <w:r w:rsidR="00474FEF" w:rsidRPr="00AB52EE">
        <w:rPr>
          <w:rFonts w:cs="Arial"/>
          <w:szCs w:val="24"/>
        </w:rPr>
        <w:t xml:space="preserve"> should be retained, </w:t>
      </w:r>
      <w:r w:rsidR="002662D1" w:rsidRPr="00AB52EE">
        <w:rPr>
          <w:rFonts w:cs="Arial"/>
          <w:szCs w:val="24"/>
        </w:rPr>
        <w:t>t</w:t>
      </w:r>
      <w:r w:rsidR="00052C5D" w:rsidRPr="00AB52EE">
        <w:rPr>
          <w:rFonts w:cs="Arial"/>
          <w:szCs w:val="24"/>
        </w:rPr>
        <w:t>he evidence was preserved</w:t>
      </w:r>
      <w:r w:rsidR="00474FEF" w:rsidRPr="00AB52EE">
        <w:rPr>
          <w:rFonts w:cs="Arial"/>
          <w:szCs w:val="24"/>
        </w:rPr>
        <w:t>,</w:t>
      </w:r>
      <w:r w:rsidR="00052C5D" w:rsidRPr="00AB52EE">
        <w:rPr>
          <w:rFonts w:cs="Arial"/>
          <w:szCs w:val="24"/>
        </w:rPr>
        <w:t xml:space="preserve"> and any urgency that may have accompanied the contempt application had long since dissipated. </w:t>
      </w:r>
      <w:r w:rsidR="001E4CDA" w:rsidRPr="00AB52EE">
        <w:rPr>
          <w:rFonts w:cs="Arial"/>
          <w:szCs w:val="24"/>
        </w:rPr>
        <w:t xml:space="preserve">There was no reason to doubt that </w:t>
      </w:r>
      <w:r w:rsidR="00746D3E" w:rsidRPr="00AB52EE">
        <w:rPr>
          <w:rFonts w:cs="Arial"/>
          <w:szCs w:val="24"/>
        </w:rPr>
        <w:t xml:space="preserve">the respondents would seek a </w:t>
      </w:r>
      <w:r w:rsidR="001E4CDA" w:rsidRPr="00AB52EE">
        <w:rPr>
          <w:rFonts w:cs="Arial"/>
          <w:szCs w:val="24"/>
        </w:rPr>
        <w:t xml:space="preserve">reconsideration </w:t>
      </w:r>
      <w:r w:rsidR="00746D3E" w:rsidRPr="00AB52EE">
        <w:rPr>
          <w:rFonts w:cs="Arial"/>
          <w:szCs w:val="24"/>
        </w:rPr>
        <w:t xml:space="preserve">of the Anton Piller order </w:t>
      </w:r>
      <w:r w:rsidR="001E4CDA" w:rsidRPr="00AB52EE">
        <w:rPr>
          <w:rFonts w:cs="Arial"/>
          <w:szCs w:val="24"/>
        </w:rPr>
        <w:t xml:space="preserve">as soon as reasonably possible after the </w:t>
      </w:r>
      <w:r w:rsidR="005168CF">
        <w:rPr>
          <w:rFonts w:cs="Arial"/>
          <w:szCs w:val="24"/>
        </w:rPr>
        <w:t xml:space="preserve">Sheriffs’ inventories and the </w:t>
      </w:r>
      <w:r w:rsidR="001E4CDA" w:rsidRPr="00AB52EE">
        <w:rPr>
          <w:rFonts w:cs="Arial"/>
          <w:szCs w:val="24"/>
        </w:rPr>
        <w:t xml:space="preserve">supervising attorneys’ reports were available. </w:t>
      </w:r>
      <w:r w:rsidR="005C0824" w:rsidRPr="00AB52EE">
        <w:rPr>
          <w:rFonts w:cs="Arial"/>
          <w:szCs w:val="24"/>
        </w:rPr>
        <w:t xml:space="preserve">There was </w:t>
      </w:r>
      <w:r w:rsidR="00746D3E" w:rsidRPr="00AB52EE">
        <w:rPr>
          <w:rFonts w:cs="Arial"/>
          <w:szCs w:val="24"/>
        </w:rPr>
        <w:t xml:space="preserve">thus </w:t>
      </w:r>
      <w:r w:rsidR="005C0824" w:rsidRPr="00AB52EE">
        <w:rPr>
          <w:rFonts w:cs="Arial"/>
          <w:szCs w:val="24"/>
        </w:rPr>
        <w:t xml:space="preserve">no justification for </w:t>
      </w:r>
      <w:r w:rsidR="00474FEF" w:rsidRPr="00AB52EE">
        <w:rPr>
          <w:rFonts w:cs="Arial"/>
          <w:szCs w:val="24"/>
        </w:rPr>
        <w:t xml:space="preserve">Supercart’s </w:t>
      </w:r>
      <w:r w:rsidR="005C0824" w:rsidRPr="00AB52EE">
        <w:rPr>
          <w:rFonts w:cs="Arial"/>
          <w:szCs w:val="24"/>
        </w:rPr>
        <w:t>precipitate conduct</w:t>
      </w:r>
      <w:r w:rsidR="001E4CDA" w:rsidRPr="00AB52EE">
        <w:rPr>
          <w:rFonts w:cs="Arial"/>
          <w:szCs w:val="24"/>
        </w:rPr>
        <w:t>,</w:t>
      </w:r>
      <w:r w:rsidR="00474FEF" w:rsidRPr="00AB52EE">
        <w:rPr>
          <w:rFonts w:cs="Arial"/>
          <w:szCs w:val="24"/>
        </w:rPr>
        <w:t xml:space="preserve"> and I consider it appropriate to mark this </w:t>
      </w:r>
      <w:r w:rsidR="00746D3E" w:rsidRPr="00AB52EE">
        <w:rPr>
          <w:rFonts w:cs="Arial"/>
          <w:szCs w:val="24"/>
        </w:rPr>
        <w:t>C</w:t>
      </w:r>
      <w:r w:rsidR="00474FEF" w:rsidRPr="00AB52EE">
        <w:rPr>
          <w:rFonts w:cs="Arial"/>
          <w:szCs w:val="24"/>
        </w:rPr>
        <w:t xml:space="preserve">ourt’s disapproval </w:t>
      </w:r>
      <w:r w:rsidR="001E4CDA" w:rsidRPr="00AB52EE">
        <w:rPr>
          <w:rFonts w:cs="Arial"/>
          <w:szCs w:val="24"/>
        </w:rPr>
        <w:t>there</w:t>
      </w:r>
      <w:r w:rsidR="00474FEF" w:rsidRPr="00AB52EE">
        <w:rPr>
          <w:rFonts w:cs="Arial"/>
          <w:szCs w:val="24"/>
        </w:rPr>
        <w:t>of by means of a punitive costs order</w:t>
      </w:r>
      <w:r w:rsidR="002662D1" w:rsidRPr="00AB52EE">
        <w:rPr>
          <w:rFonts w:cs="Arial"/>
          <w:szCs w:val="24"/>
        </w:rPr>
        <w:t xml:space="preserve"> in the variation application</w:t>
      </w:r>
      <w:r w:rsidR="00474FEF" w:rsidRPr="00AB52EE">
        <w:rPr>
          <w:rFonts w:cs="Arial"/>
          <w:szCs w:val="24"/>
        </w:rPr>
        <w:t xml:space="preserve">. </w:t>
      </w:r>
    </w:p>
    <w:p w14:paraId="0B715FF8" w14:textId="7B3957DF" w:rsidR="00F35C22" w:rsidRPr="00AB52EE" w:rsidRDefault="00043065" w:rsidP="007A27ED">
      <w:pPr>
        <w:pStyle w:val="LC1"/>
        <w:rPr>
          <w:rFonts w:cs="Arial"/>
          <w:szCs w:val="24"/>
        </w:rPr>
      </w:pPr>
      <w:r w:rsidRPr="00AB52EE">
        <w:rPr>
          <w:rFonts w:cs="Arial"/>
          <w:szCs w:val="24"/>
        </w:rPr>
        <w:t xml:space="preserve">The </w:t>
      </w:r>
      <w:r w:rsidR="00030DC0" w:rsidRPr="00AB52EE">
        <w:rPr>
          <w:rFonts w:cs="Arial"/>
          <w:szCs w:val="24"/>
        </w:rPr>
        <w:t>following order</w:t>
      </w:r>
      <w:r w:rsidR="001E4CDA" w:rsidRPr="00AB52EE">
        <w:rPr>
          <w:rFonts w:cs="Arial"/>
          <w:szCs w:val="24"/>
        </w:rPr>
        <w:t xml:space="preserve"> </w:t>
      </w:r>
      <w:r w:rsidRPr="00AB52EE">
        <w:rPr>
          <w:rFonts w:cs="Arial"/>
          <w:szCs w:val="24"/>
        </w:rPr>
        <w:t>is issued</w:t>
      </w:r>
      <w:r w:rsidR="00030DC0" w:rsidRPr="00AB52EE">
        <w:rPr>
          <w:rFonts w:cs="Arial"/>
          <w:szCs w:val="24"/>
        </w:rPr>
        <w:t>:</w:t>
      </w:r>
    </w:p>
    <w:p w14:paraId="726E3BA2" w14:textId="418497E2" w:rsidR="00F35C22" w:rsidRPr="00AB52EE" w:rsidRDefault="006A1C7E" w:rsidP="007A27ED">
      <w:pPr>
        <w:pStyle w:val="ORDER"/>
        <w:rPr>
          <w:rFonts w:cs="Arial"/>
          <w:szCs w:val="24"/>
        </w:rPr>
      </w:pPr>
      <w:bookmarkStart w:id="19" w:name="_Ref151406422"/>
      <w:r w:rsidRPr="00AB52EE">
        <w:rPr>
          <w:rFonts w:cs="Arial"/>
          <w:szCs w:val="24"/>
        </w:rPr>
        <w:t xml:space="preserve">The </w:t>
      </w:r>
      <w:r w:rsidR="000E6D8C" w:rsidRPr="00AB52EE">
        <w:rPr>
          <w:rFonts w:cs="Arial"/>
          <w:i/>
          <w:iCs/>
          <w:szCs w:val="24"/>
        </w:rPr>
        <w:t>ex parte</w:t>
      </w:r>
      <w:r w:rsidR="000E6D8C" w:rsidRPr="00AB52EE">
        <w:rPr>
          <w:rFonts w:cs="Arial"/>
          <w:szCs w:val="24"/>
        </w:rPr>
        <w:t xml:space="preserve"> </w:t>
      </w:r>
      <w:r w:rsidR="00F5069B" w:rsidRPr="00AB52EE">
        <w:rPr>
          <w:rFonts w:cs="Arial"/>
          <w:szCs w:val="24"/>
          <w:lang w:eastAsia="en-ZA"/>
        </w:rPr>
        <w:t xml:space="preserve">Anton Piller </w:t>
      </w:r>
      <w:r w:rsidRPr="00AB52EE">
        <w:rPr>
          <w:rFonts w:cs="Arial"/>
          <w:szCs w:val="24"/>
        </w:rPr>
        <w:t>order granted on 21 October 2021</w:t>
      </w:r>
      <w:r w:rsidR="00412232" w:rsidRPr="00AB52EE">
        <w:rPr>
          <w:rFonts w:cs="Arial"/>
          <w:szCs w:val="24"/>
        </w:rPr>
        <w:t xml:space="preserve">, </w:t>
      </w:r>
      <w:r w:rsidRPr="00AB52EE">
        <w:rPr>
          <w:rFonts w:cs="Arial"/>
          <w:szCs w:val="24"/>
        </w:rPr>
        <w:t>as varied on 22 October 2021</w:t>
      </w:r>
      <w:r w:rsidR="00412232" w:rsidRPr="00AB52EE">
        <w:rPr>
          <w:rFonts w:cs="Arial"/>
          <w:szCs w:val="24"/>
        </w:rPr>
        <w:t xml:space="preserve"> </w:t>
      </w:r>
      <w:r w:rsidR="00C12737" w:rsidRPr="00AB52EE">
        <w:rPr>
          <w:rFonts w:cs="Arial"/>
          <w:szCs w:val="24"/>
        </w:rPr>
        <w:t>(the Anton Piller order),</w:t>
      </w:r>
      <w:r w:rsidRPr="00AB52EE">
        <w:rPr>
          <w:rFonts w:cs="Arial"/>
          <w:szCs w:val="24"/>
        </w:rPr>
        <w:t xml:space="preserve"> is </w:t>
      </w:r>
      <w:r w:rsidR="00412232" w:rsidRPr="00AB52EE">
        <w:rPr>
          <w:rFonts w:cs="Arial"/>
          <w:szCs w:val="24"/>
        </w:rPr>
        <w:t xml:space="preserve">reconsidered and </w:t>
      </w:r>
      <w:r w:rsidRPr="00AB52EE">
        <w:rPr>
          <w:rFonts w:cs="Arial"/>
          <w:szCs w:val="24"/>
        </w:rPr>
        <w:t>varied in the following respects:</w:t>
      </w:r>
      <w:bookmarkEnd w:id="19"/>
    </w:p>
    <w:p w14:paraId="4E7D829E" w14:textId="33B07B68" w:rsidR="0011336A" w:rsidRPr="00AB52EE" w:rsidRDefault="0011336A" w:rsidP="005A3DF9">
      <w:pPr>
        <w:pStyle w:val="ORDERa"/>
        <w:rPr>
          <w:rFonts w:cs="Arial"/>
          <w:szCs w:val="24"/>
        </w:rPr>
      </w:pPr>
      <w:r w:rsidRPr="00AB52EE">
        <w:rPr>
          <w:rFonts w:cs="Arial"/>
          <w:szCs w:val="24"/>
        </w:rPr>
        <w:t>the words “and the further legal proceedings referred to in the founding affidavit</w:t>
      </w:r>
      <w:r w:rsidR="00E6001E" w:rsidRPr="00AB52EE">
        <w:rPr>
          <w:rFonts w:cs="Arial"/>
          <w:szCs w:val="24"/>
        </w:rPr>
        <w:t xml:space="preserve"> by Michael Wolfe</w:t>
      </w:r>
      <w:r w:rsidRPr="00AB52EE">
        <w:rPr>
          <w:rFonts w:cs="Arial"/>
          <w:szCs w:val="24"/>
        </w:rPr>
        <w:t>” in paragraph 2 of the preamble</w:t>
      </w:r>
      <w:r w:rsidR="00E6001E" w:rsidRPr="00AB52EE">
        <w:rPr>
          <w:rFonts w:cs="Arial"/>
          <w:szCs w:val="24"/>
        </w:rPr>
        <w:t xml:space="preserve"> thereof</w:t>
      </w:r>
      <w:r w:rsidR="00412232" w:rsidRPr="00AB52EE">
        <w:rPr>
          <w:rFonts w:cs="Arial"/>
          <w:szCs w:val="24"/>
        </w:rPr>
        <w:t xml:space="preserve"> are set aside and replaced </w:t>
      </w:r>
      <w:r w:rsidRPr="00AB52EE">
        <w:rPr>
          <w:rFonts w:cs="Arial"/>
          <w:szCs w:val="24"/>
        </w:rPr>
        <w:t>with the following words “under case number 21/40545”</w:t>
      </w:r>
      <w:r w:rsidR="00A40A87" w:rsidRPr="00AB52EE">
        <w:rPr>
          <w:rFonts w:cs="Arial"/>
          <w:szCs w:val="24"/>
        </w:rPr>
        <w:t>;</w:t>
      </w:r>
    </w:p>
    <w:p w14:paraId="2CEAFC50" w14:textId="1DDA56E4" w:rsidR="00573DC4" w:rsidRPr="00AB52EE" w:rsidRDefault="00573DC4" w:rsidP="005A3DF9">
      <w:pPr>
        <w:pStyle w:val="ORDERa"/>
        <w:rPr>
          <w:rFonts w:cs="Arial"/>
          <w:szCs w:val="24"/>
        </w:rPr>
      </w:pPr>
      <w:bookmarkStart w:id="20" w:name="_Ref151406498"/>
      <w:r w:rsidRPr="00AB52EE">
        <w:rPr>
          <w:rFonts w:cs="Arial"/>
          <w:szCs w:val="24"/>
        </w:rPr>
        <w:t>the paragraph appearing at the fourth bullet point of paragraph 4.1.2 thereof</w:t>
      </w:r>
      <w:r w:rsidR="00412232" w:rsidRPr="00AB52EE">
        <w:rPr>
          <w:rFonts w:cs="Arial"/>
          <w:szCs w:val="24"/>
        </w:rPr>
        <w:t xml:space="preserve"> is set aside in its entirety</w:t>
      </w:r>
      <w:bookmarkEnd w:id="20"/>
      <w:r w:rsidR="00412232" w:rsidRPr="00AB52EE">
        <w:rPr>
          <w:rFonts w:cs="Arial"/>
          <w:szCs w:val="24"/>
        </w:rPr>
        <w:t>;</w:t>
      </w:r>
    </w:p>
    <w:p w14:paraId="37467B6D" w14:textId="1ADB85A0" w:rsidR="00681A35" w:rsidRPr="00AB52EE" w:rsidRDefault="00681A35" w:rsidP="005A3DF9">
      <w:pPr>
        <w:pStyle w:val="ORDERa"/>
        <w:rPr>
          <w:rFonts w:cs="Arial"/>
          <w:szCs w:val="24"/>
        </w:rPr>
      </w:pPr>
      <w:bookmarkStart w:id="21" w:name="_Ref151508310"/>
      <w:r w:rsidRPr="00AB52EE">
        <w:rPr>
          <w:rFonts w:cs="Arial"/>
          <w:szCs w:val="24"/>
        </w:rPr>
        <w:t xml:space="preserve">the paragraph appearing at the fifth bullet point of paragraph 4.1.2 thereof </w:t>
      </w:r>
      <w:r w:rsidR="00412232" w:rsidRPr="00AB52EE">
        <w:rPr>
          <w:rFonts w:cs="Arial"/>
          <w:szCs w:val="24"/>
        </w:rPr>
        <w:t xml:space="preserve">is set aside and </w:t>
      </w:r>
      <w:r w:rsidRPr="00AB52EE">
        <w:rPr>
          <w:rFonts w:cs="Arial"/>
          <w:szCs w:val="24"/>
        </w:rPr>
        <w:t>replace</w:t>
      </w:r>
      <w:r w:rsidR="00412232" w:rsidRPr="00AB52EE">
        <w:rPr>
          <w:rFonts w:cs="Arial"/>
          <w:szCs w:val="24"/>
        </w:rPr>
        <w:t>d</w:t>
      </w:r>
      <w:r w:rsidRPr="00AB52EE">
        <w:rPr>
          <w:rFonts w:cs="Arial"/>
          <w:szCs w:val="24"/>
        </w:rPr>
        <w:t xml:space="preserve"> with the following paragraph:</w:t>
      </w:r>
      <w:bookmarkEnd w:id="21"/>
    </w:p>
    <w:p w14:paraId="072BE49E" w14:textId="77777777" w:rsidR="00681A35" w:rsidRPr="00AB52EE" w:rsidRDefault="00681A35">
      <w:pPr>
        <w:pStyle w:val="ORDER"/>
        <w:numPr>
          <w:ilvl w:val="0"/>
          <w:numId w:val="6"/>
        </w:numPr>
        <w:ind w:left="2061"/>
        <w:rPr>
          <w:rFonts w:cs="Arial"/>
          <w:szCs w:val="24"/>
        </w:rPr>
      </w:pPr>
      <w:r w:rsidRPr="00AB52EE">
        <w:rPr>
          <w:rFonts w:cs="Arial"/>
          <w:szCs w:val="24"/>
        </w:rPr>
        <w:t xml:space="preserve">Emails to and/or from the following addresses set out hereunder </w:t>
      </w:r>
      <w:r w:rsidRPr="00AB52EE">
        <w:rPr>
          <w:rFonts w:cs="Arial"/>
          <w:szCs w:val="24"/>
        </w:rPr>
        <w:lastRenderedPageBreak/>
        <w:t>relating to, referencing or concerning the manufacture and/or disposal (excluding, self-evidently, directly to customers outside of South Africa) of the Smartcart Hybrid 90 litre trolley subsequent to 23 May 2021:</w:t>
      </w:r>
    </w:p>
    <w:p w14:paraId="3806C96C" w14:textId="771E7FE5" w:rsidR="00681A35" w:rsidRPr="00AB52EE" w:rsidRDefault="003E461B" w:rsidP="005A3DF9">
      <w:pPr>
        <w:pStyle w:val="ORDER"/>
        <w:numPr>
          <w:ilvl w:val="0"/>
          <w:numId w:val="0"/>
        </w:numPr>
        <w:spacing w:before="0"/>
        <w:ind w:left="2781"/>
        <w:rPr>
          <w:rFonts w:cs="Arial"/>
          <w:szCs w:val="24"/>
        </w:rPr>
      </w:pPr>
      <w:hyperlink r:id="rId11" w:history="1">
        <w:r w:rsidR="00681A35" w:rsidRPr="00AB52EE">
          <w:rPr>
            <w:rStyle w:val="Hyperlink"/>
            <w:rFonts w:cs="Arial"/>
            <w:szCs w:val="24"/>
          </w:rPr>
          <w:t>trolley@vanesco.co.za</w:t>
        </w:r>
      </w:hyperlink>
      <w:r w:rsidR="00681A35" w:rsidRPr="00AB52EE">
        <w:rPr>
          <w:rFonts w:cs="Arial"/>
          <w:szCs w:val="24"/>
        </w:rPr>
        <w:t xml:space="preserve"> </w:t>
      </w:r>
    </w:p>
    <w:p w14:paraId="3CE31C88" w14:textId="4B9728FE" w:rsidR="00681A35" w:rsidRPr="00AB52EE" w:rsidRDefault="003E461B" w:rsidP="005A3DF9">
      <w:pPr>
        <w:pStyle w:val="ORDER"/>
        <w:numPr>
          <w:ilvl w:val="0"/>
          <w:numId w:val="0"/>
        </w:numPr>
        <w:spacing w:before="0"/>
        <w:ind w:left="2781"/>
        <w:rPr>
          <w:rFonts w:cs="Arial"/>
          <w:szCs w:val="24"/>
        </w:rPr>
      </w:pPr>
      <w:hyperlink r:id="rId12" w:history="1">
        <w:r w:rsidR="00681A35" w:rsidRPr="00AB52EE">
          <w:rPr>
            <w:rStyle w:val="Hyperlink"/>
            <w:rFonts w:cs="Arial"/>
            <w:szCs w:val="24"/>
          </w:rPr>
          <w:t>vanesco@icon.co.za</w:t>
        </w:r>
      </w:hyperlink>
      <w:r w:rsidR="00681A35" w:rsidRPr="00AB52EE">
        <w:rPr>
          <w:rFonts w:cs="Arial"/>
          <w:szCs w:val="24"/>
        </w:rPr>
        <w:t xml:space="preserve"> </w:t>
      </w:r>
    </w:p>
    <w:p w14:paraId="2948BA0F" w14:textId="550CB982" w:rsidR="00681A35" w:rsidRPr="00AB52EE" w:rsidRDefault="003E461B" w:rsidP="005A3DF9">
      <w:pPr>
        <w:pStyle w:val="ORDER"/>
        <w:numPr>
          <w:ilvl w:val="0"/>
          <w:numId w:val="0"/>
        </w:numPr>
        <w:spacing w:before="0"/>
        <w:ind w:left="2781"/>
        <w:rPr>
          <w:rFonts w:cs="Arial"/>
          <w:szCs w:val="24"/>
        </w:rPr>
      </w:pPr>
      <w:hyperlink r:id="rId13" w:history="1">
        <w:r w:rsidR="00681A35" w:rsidRPr="00AB52EE">
          <w:rPr>
            <w:rStyle w:val="Hyperlink"/>
            <w:rFonts w:cs="Arial"/>
            <w:szCs w:val="24"/>
          </w:rPr>
          <w:t>sales@vanesco.co.za</w:t>
        </w:r>
      </w:hyperlink>
      <w:r w:rsidR="00681A35" w:rsidRPr="00AB52EE">
        <w:rPr>
          <w:rFonts w:cs="Arial"/>
          <w:szCs w:val="24"/>
        </w:rPr>
        <w:t xml:space="preserve"> </w:t>
      </w:r>
    </w:p>
    <w:p w14:paraId="11B4001D" w14:textId="77405150" w:rsidR="00681A35" w:rsidRPr="00AB52EE" w:rsidRDefault="003E461B" w:rsidP="005A3DF9">
      <w:pPr>
        <w:pStyle w:val="ORDER"/>
        <w:numPr>
          <w:ilvl w:val="0"/>
          <w:numId w:val="0"/>
        </w:numPr>
        <w:spacing w:before="0"/>
        <w:ind w:left="2781"/>
        <w:rPr>
          <w:rFonts w:cs="Arial"/>
          <w:szCs w:val="24"/>
        </w:rPr>
      </w:pPr>
      <w:hyperlink r:id="rId14" w:history="1">
        <w:r w:rsidR="00681A35" w:rsidRPr="00AB52EE">
          <w:rPr>
            <w:rStyle w:val="Hyperlink"/>
            <w:rFonts w:cs="Arial"/>
            <w:szCs w:val="24"/>
          </w:rPr>
          <w:t>hybrid@vanesco.co.za</w:t>
        </w:r>
      </w:hyperlink>
      <w:r w:rsidR="00681A35" w:rsidRPr="00AB52EE">
        <w:rPr>
          <w:rFonts w:cs="Arial"/>
          <w:szCs w:val="24"/>
        </w:rPr>
        <w:t xml:space="preserve"> </w:t>
      </w:r>
    </w:p>
    <w:p w14:paraId="0AF8D2A0" w14:textId="36197809" w:rsidR="00681A35" w:rsidRPr="00AB52EE" w:rsidRDefault="003E461B" w:rsidP="005A3DF9">
      <w:pPr>
        <w:pStyle w:val="ORDER"/>
        <w:numPr>
          <w:ilvl w:val="0"/>
          <w:numId w:val="0"/>
        </w:numPr>
        <w:spacing w:before="0"/>
        <w:ind w:left="2781"/>
        <w:rPr>
          <w:rFonts w:cs="Arial"/>
          <w:szCs w:val="24"/>
        </w:rPr>
      </w:pPr>
      <w:hyperlink r:id="rId15" w:history="1">
        <w:r w:rsidR="00681A35" w:rsidRPr="00AB52EE">
          <w:rPr>
            <w:rStyle w:val="Hyperlink"/>
            <w:rFonts w:cs="Arial"/>
            <w:szCs w:val="24"/>
          </w:rPr>
          <w:t>trolleydoctor@qmail.com</w:t>
        </w:r>
      </w:hyperlink>
      <w:r w:rsidR="00A40A87" w:rsidRPr="00AB52EE">
        <w:rPr>
          <w:rStyle w:val="Hyperlink"/>
          <w:rFonts w:cs="Arial"/>
          <w:color w:val="auto"/>
          <w:szCs w:val="24"/>
          <w:u w:val="none"/>
        </w:rPr>
        <w:t>;</w:t>
      </w:r>
    </w:p>
    <w:p w14:paraId="64DCC587" w14:textId="6AC7D1D6" w:rsidR="00C47A7D" w:rsidRPr="00AB52EE" w:rsidRDefault="00C47A7D" w:rsidP="005A3DF9">
      <w:pPr>
        <w:pStyle w:val="ORDERa"/>
        <w:rPr>
          <w:rFonts w:cs="Arial"/>
          <w:szCs w:val="24"/>
        </w:rPr>
      </w:pPr>
      <w:bookmarkStart w:id="22" w:name="_Ref151406501"/>
      <w:r w:rsidRPr="00AB52EE">
        <w:rPr>
          <w:rFonts w:cs="Arial"/>
          <w:szCs w:val="24"/>
        </w:rPr>
        <w:t xml:space="preserve">paragraph </w:t>
      </w:r>
      <w:r w:rsidR="009808AA" w:rsidRPr="00AB52EE">
        <w:rPr>
          <w:rFonts w:cs="Arial"/>
          <w:szCs w:val="24"/>
        </w:rPr>
        <w:t xml:space="preserve">5 </w:t>
      </w:r>
      <w:r w:rsidRPr="00AB52EE">
        <w:rPr>
          <w:rFonts w:cs="Arial"/>
          <w:szCs w:val="24"/>
        </w:rPr>
        <w:t xml:space="preserve">thereof </w:t>
      </w:r>
      <w:r w:rsidR="00412232" w:rsidRPr="00AB52EE">
        <w:rPr>
          <w:rFonts w:cs="Arial"/>
          <w:szCs w:val="24"/>
        </w:rPr>
        <w:t xml:space="preserve">is set aside in </w:t>
      </w:r>
      <w:r w:rsidRPr="00AB52EE">
        <w:rPr>
          <w:rFonts w:cs="Arial"/>
          <w:szCs w:val="24"/>
        </w:rPr>
        <w:t>its entirety;</w:t>
      </w:r>
    </w:p>
    <w:p w14:paraId="0351392A" w14:textId="5EB69226" w:rsidR="00E6001E" w:rsidRPr="00AB52EE" w:rsidRDefault="00E6001E" w:rsidP="005A3DF9">
      <w:pPr>
        <w:pStyle w:val="ORDERa"/>
        <w:rPr>
          <w:rFonts w:cs="Arial"/>
          <w:szCs w:val="24"/>
        </w:rPr>
      </w:pPr>
      <w:r w:rsidRPr="00AB52EE">
        <w:rPr>
          <w:rFonts w:cs="Arial"/>
          <w:szCs w:val="24"/>
        </w:rPr>
        <w:t>the words “and the further legal proceedings as referred to in the founding affidavit by Michael Wolfe” in paragraph 8 thereof</w:t>
      </w:r>
      <w:r w:rsidR="00412232" w:rsidRPr="00AB52EE">
        <w:rPr>
          <w:rFonts w:cs="Arial"/>
          <w:szCs w:val="24"/>
        </w:rPr>
        <w:t xml:space="preserve"> are set aside </w:t>
      </w:r>
      <w:r w:rsidRPr="00AB52EE">
        <w:rPr>
          <w:rFonts w:cs="Arial"/>
          <w:szCs w:val="24"/>
        </w:rPr>
        <w:t xml:space="preserve">and </w:t>
      </w:r>
      <w:r w:rsidR="00412232" w:rsidRPr="00AB52EE">
        <w:rPr>
          <w:rFonts w:cs="Arial"/>
          <w:szCs w:val="24"/>
        </w:rPr>
        <w:t xml:space="preserve">replaced </w:t>
      </w:r>
      <w:r w:rsidRPr="00AB52EE">
        <w:rPr>
          <w:rFonts w:cs="Arial"/>
          <w:szCs w:val="24"/>
        </w:rPr>
        <w:t>with the words “under case number 21/40545”</w:t>
      </w:r>
      <w:r w:rsidR="00A40A87" w:rsidRPr="00AB52EE">
        <w:rPr>
          <w:rFonts w:cs="Arial"/>
          <w:szCs w:val="24"/>
        </w:rPr>
        <w:t>;</w:t>
      </w:r>
      <w:bookmarkEnd w:id="22"/>
      <w:r w:rsidR="00A40A87" w:rsidRPr="00AB52EE">
        <w:rPr>
          <w:rFonts w:cs="Arial"/>
          <w:szCs w:val="24"/>
        </w:rPr>
        <w:t xml:space="preserve"> </w:t>
      </w:r>
    </w:p>
    <w:p w14:paraId="7B8D8099" w14:textId="6A46BED8" w:rsidR="000E6D8C" w:rsidRPr="00AB52EE" w:rsidRDefault="00474FEF" w:rsidP="005A3DF9">
      <w:pPr>
        <w:pStyle w:val="ORDERa"/>
        <w:rPr>
          <w:rFonts w:cs="Arial"/>
          <w:szCs w:val="24"/>
        </w:rPr>
      </w:pPr>
      <w:r w:rsidRPr="00AB52EE">
        <w:rPr>
          <w:rFonts w:cs="Arial"/>
          <w:szCs w:val="24"/>
        </w:rPr>
        <w:t>paragraph</w:t>
      </w:r>
      <w:r w:rsidR="000E6D8C" w:rsidRPr="00AB52EE">
        <w:rPr>
          <w:rFonts w:cs="Arial"/>
          <w:szCs w:val="24"/>
        </w:rPr>
        <w:t xml:space="preserve"> 10</w:t>
      </w:r>
      <w:r w:rsidR="006D167B" w:rsidRPr="00AB52EE">
        <w:rPr>
          <w:rFonts w:cs="Arial"/>
          <w:szCs w:val="24"/>
        </w:rPr>
        <w:t>.</w:t>
      </w:r>
      <w:r w:rsidR="000E6D8C" w:rsidRPr="00AB52EE">
        <w:rPr>
          <w:rFonts w:cs="Arial"/>
          <w:szCs w:val="24"/>
        </w:rPr>
        <w:t>5 thereof</w:t>
      </w:r>
      <w:r w:rsidR="00412232" w:rsidRPr="00AB52EE">
        <w:rPr>
          <w:rFonts w:cs="Arial"/>
          <w:szCs w:val="24"/>
        </w:rPr>
        <w:t xml:space="preserve"> is set aside and </w:t>
      </w:r>
      <w:r w:rsidR="000E6D8C" w:rsidRPr="00AB52EE">
        <w:rPr>
          <w:rFonts w:cs="Arial"/>
          <w:szCs w:val="24"/>
        </w:rPr>
        <w:t>replace</w:t>
      </w:r>
      <w:r w:rsidR="00412232" w:rsidRPr="00AB52EE">
        <w:rPr>
          <w:rFonts w:cs="Arial"/>
          <w:szCs w:val="24"/>
        </w:rPr>
        <w:t>d</w:t>
      </w:r>
      <w:r w:rsidR="000E6D8C" w:rsidRPr="00AB52EE">
        <w:rPr>
          <w:rFonts w:cs="Arial"/>
          <w:szCs w:val="24"/>
        </w:rPr>
        <w:t xml:space="preserve"> with the following paragraph:</w:t>
      </w:r>
    </w:p>
    <w:p w14:paraId="55A054EE" w14:textId="5EDBAA27" w:rsidR="000E6D8C" w:rsidRPr="00AB52EE" w:rsidRDefault="000E6D8C" w:rsidP="002F0996">
      <w:pPr>
        <w:pStyle w:val="ORDER"/>
        <w:numPr>
          <w:ilvl w:val="0"/>
          <w:numId w:val="0"/>
        </w:numPr>
        <w:ind w:left="2880" w:hanging="720"/>
        <w:rPr>
          <w:rFonts w:cs="Arial"/>
          <w:szCs w:val="24"/>
        </w:rPr>
      </w:pPr>
      <w:r w:rsidRPr="00AB52EE">
        <w:rPr>
          <w:rFonts w:cs="Arial"/>
          <w:szCs w:val="24"/>
        </w:rPr>
        <w:t>“10.5</w:t>
      </w:r>
      <w:r w:rsidR="002F0996" w:rsidRPr="00AB52EE">
        <w:rPr>
          <w:rFonts w:cs="Arial"/>
          <w:szCs w:val="24"/>
        </w:rPr>
        <w:t>.</w:t>
      </w:r>
      <w:r w:rsidRPr="00AB52EE">
        <w:rPr>
          <w:rFonts w:cs="Arial"/>
          <w:szCs w:val="24"/>
        </w:rPr>
        <w:tab/>
        <w:t xml:space="preserve">to keep the copies made of the relevant evidence duly secured and to prevent any person from inspecting or accessing them pending the making of an order in case number 21/40545 directing that they, or copies thereof, be released to any person;” </w:t>
      </w:r>
    </w:p>
    <w:p w14:paraId="03CD9B9B" w14:textId="77777777" w:rsidR="00412232" w:rsidRPr="00AB52EE" w:rsidRDefault="00B637FB" w:rsidP="005A3DF9">
      <w:pPr>
        <w:pStyle w:val="ORDERa"/>
        <w:rPr>
          <w:rFonts w:cs="Arial"/>
          <w:szCs w:val="24"/>
        </w:rPr>
      </w:pPr>
      <w:r w:rsidRPr="00AB52EE">
        <w:rPr>
          <w:rFonts w:cs="Arial"/>
          <w:szCs w:val="24"/>
        </w:rPr>
        <w:t>the second sentence in paragraph 14 thereof</w:t>
      </w:r>
      <w:r w:rsidR="009934EE" w:rsidRPr="00AB52EE">
        <w:rPr>
          <w:rFonts w:cs="Arial"/>
          <w:szCs w:val="24"/>
        </w:rPr>
        <w:t xml:space="preserve"> </w:t>
      </w:r>
      <w:r w:rsidR="00412232" w:rsidRPr="00AB52EE">
        <w:rPr>
          <w:rFonts w:cs="Arial"/>
          <w:szCs w:val="24"/>
        </w:rPr>
        <w:t xml:space="preserve">is set aside and replaced </w:t>
      </w:r>
      <w:r w:rsidR="009934EE" w:rsidRPr="00AB52EE">
        <w:rPr>
          <w:rFonts w:cs="Arial"/>
          <w:szCs w:val="24"/>
        </w:rPr>
        <w:t xml:space="preserve">with the following sentence: </w:t>
      </w:r>
    </w:p>
    <w:p w14:paraId="3216BCD8" w14:textId="77BA3D30" w:rsidR="00B637FB" w:rsidRPr="00AB52EE" w:rsidRDefault="009934EE" w:rsidP="00412232">
      <w:pPr>
        <w:pStyle w:val="ORDERa"/>
        <w:numPr>
          <w:ilvl w:val="0"/>
          <w:numId w:val="0"/>
        </w:numPr>
        <w:ind w:left="2160"/>
        <w:rPr>
          <w:rFonts w:cs="Arial"/>
          <w:szCs w:val="24"/>
        </w:rPr>
      </w:pPr>
      <w:r w:rsidRPr="00AB52EE">
        <w:rPr>
          <w:rFonts w:cs="Arial"/>
          <w:szCs w:val="24"/>
        </w:rPr>
        <w:t xml:space="preserve">“The Applicant’s legal representative must be available outside </w:t>
      </w:r>
      <w:r w:rsidRPr="00AB52EE">
        <w:rPr>
          <w:rFonts w:cs="Arial"/>
          <w:szCs w:val="24"/>
        </w:rPr>
        <w:lastRenderedPageBreak/>
        <w:t>the respective premises in order to assist</w:t>
      </w:r>
      <w:r w:rsidR="00A84440" w:rsidRPr="00AB52EE">
        <w:rPr>
          <w:rFonts w:cs="Arial"/>
          <w:szCs w:val="24"/>
        </w:rPr>
        <w:t xml:space="preserve"> if called upon by the search party, solely through the intermediation of the independent supervising attorney, </w:t>
      </w:r>
      <w:r w:rsidRPr="00AB52EE">
        <w:rPr>
          <w:rFonts w:cs="Arial"/>
          <w:szCs w:val="24"/>
        </w:rPr>
        <w:t>with logistical matters relating to the search</w:t>
      </w:r>
      <w:r w:rsidR="00A84440" w:rsidRPr="00AB52EE">
        <w:rPr>
          <w:rFonts w:cs="Arial"/>
          <w:szCs w:val="24"/>
          <w:lang w:eastAsia="en-ZA"/>
        </w:rPr>
        <w:t xml:space="preserve">, but under no circumstances should </w:t>
      </w:r>
      <w:r w:rsidR="00692D17">
        <w:rPr>
          <w:rFonts w:cs="Arial"/>
          <w:szCs w:val="24"/>
          <w:lang w:eastAsia="en-ZA"/>
        </w:rPr>
        <w:t>th</w:t>
      </w:r>
      <w:r w:rsidR="00A84440" w:rsidRPr="00AB52EE">
        <w:rPr>
          <w:rFonts w:cs="Arial"/>
          <w:szCs w:val="24"/>
          <w:lang w:eastAsia="en-ZA"/>
        </w:rPr>
        <w:t>e content of the respective premises or anything found therein by the search party be disclosed in any manner to any representative of the Applicant or its legal representatives</w:t>
      </w:r>
      <w:r w:rsidRPr="00AB52EE">
        <w:rPr>
          <w:rFonts w:cs="Arial"/>
          <w:szCs w:val="24"/>
        </w:rPr>
        <w:t>.”</w:t>
      </w:r>
      <w:r w:rsidR="00B637FB" w:rsidRPr="00AB52EE">
        <w:rPr>
          <w:rFonts w:cs="Arial"/>
          <w:szCs w:val="24"/>
        </w:rPr>
        <w:t>;</w:t>
      </w:r>
    </w:p>
    <w:p w14:paraId="38829CA2" w14:textId="331AC43D" w:rsidR="00474FEF" w:rsidRPr="00AB52EE" w:rsidRDefault="000E6D8C" w:rsidP="005A3DF9">
      <w:pPr>
        <w:pStyle w:val="ORDERa"/>
        <w:rPr>
          <w:rFonts w:cs="Arial"/>
          <w:szCs w:val="24"/>
        </w:rPr>
      </w:pPr>
      <w:r w:rsidRPr="00AB52EE">
        <w:rPr>
          <w:rFonts w:cs="Arial"/>
          <w:szCs w:val="24"/>
        </w:rPr>
        <w:t xml:space="preserve">paragraph </w:t>
      </w:r>
      <w:r w:rsidR="00D21ED8" w:rsidRPr="00AB52EE">
        <w:rPr>
          <w:rFonts w:cs="Arial"/>
          <w:szCs w:val="24"/>
        </w:rPr>
        <w:t>15</w:t>
      </w:r>
      <w:r w:rsidR="00D21ED8" w:rsidRPr="00AB52EE">
        <w:rPr>
          <w:rFonts w:cs="Arial"/>
          <w:i/>
          <w:iCs/>
          <w:szCs w:val="24"/>
        </w:rPr>
        <w:t>bis</w:t>
      </w:r>
      <w:r w:rsidRPr="00AB52EE">
        <w:rPr>
          <w:rFonts w:cs="Arial"/>
          <w:szCs w:val="24"/>
        </w:rPr>
        <w:t xml:space="preserve"> thereof</w:t>
      </w:r>
      <w:r w:rsidR="006D167B" w:rsidRPr="00AB52EE">
        <w:rPr>
          <w:rFonts w:cs="Arial"/>
          <w:szCs w:val="24"/>
        </w:rPr>
        <w:t xml:space="preserve"> (being the paragraph commencing with the words “Unless a different direction is obtained from the Court …”</w:t>
      </w:r>
      <w:r w:rsidR="009808AA" w:rsidRPr="00AB52EE">
        <w:rPr>
          <w:rFonts w:cs="Arial"/>
          <w:szCs w:val="24"/>
        </w:rPr>
        <w:t xml:space="preserve"> </w:t>
      </w:r>
      <w:r w:rsidR="00412232" w:rsidRPr="00AB52EE">
        <w:rPr>
          <w:rFonts w:cs="Arial"/>
          <w:szCs w:val="24"/>
        </w:rPr>
        <w:t xml:space="preserve">is set aside </w:t>
      </w:r>
      <w:r w:rsidR="009808AA" w:rsidRPr="00AB52EE">
        <w:rPr>
          <w:rFonts w:cs="Arial"/>
          <w:szCs w:val="24"/>
        </w:rPr>
        <w:t>in its entirety</w:t>
      </w:r>
      <w:r w:rsidR="00A40A87" w:rsidRPr="00AB52EE">
        <w:rPr>
          <w:rFonts w:cs="Arial"/>
          <w:szCs w:val="24"/>
        </w:rPr>
        <w:t>; and</w:t>
      </w:r>
    </w:p>
    <w:p w14:paraId="75AD0CE6" w14:textId="61F0BEBC" w:rsidR="000E6D8C" w:rsidRPr="00AB52EE" w:rsidRDefault="000E6D8C" w:rsidP="005A3DF9">
      <w:pPr>
        <w:pStyle w:val="ORDERa"/>
        <w:rPr>
          <w:rFonts w:cs="Arial"/>
          <w:szCs w:val="24"/>
        </w:rPr>
      </w:pPr>
      <w:r w:rsidRPr="00AB52EE">
        <w:rPr>
          <w:rFonts w:cs="Arial"/>
          <w:szCs w:val="24"/>
        </w:rPr>
        <w:t xml:space="preserve">paragraph </w:t>
      </w:r>
      <w:r w:rsidR="009F122D" w:rsidRPr="00AB52EE">
        <w:rPr>
          <w:rFonts w:cs="Arial"/>
          <w:szCs w:val="24"/>
        </w:rPr>
        <w:t xml:space="preserve">17 </w:t>
      </w:r>
      <w:r w:rsidRPr="00AB52EE">
        <w:rPr>
          <w:rFonts w:cs="Arial"/>
          <w:szCs w:val="24"/>
        </w:rPr>
        <w:t xml:space="preserve">thereof </w:t>
      </w:r>
      <w:r w:rsidR="00412232" w:rsidRPr="00AB52EE">
        <w:rPr>
          <w:rFonts w:cs="Arial"/>
          <w:szCs w:val="24"/>
        </w:rPr>
        <w:t xml:space="preserve">is set aside and </w:t>
      </w:r>
      <w:r w:rsidRPr="00AB52EE">
        <w:rPr>
          <w:rFonts w:cs="Arial"/>
          <w:szCs w:val="24"/>
        </w:rPr>
        <w:t>replace</w:t>
      </w:r>
      <w:r w:rsidR="00412232" w:rsidRPr="00AB52EE">
        <w:rPr>
          <w:rFonts w:cs="Arial"/>
          <w:szCs w:val="24"/>
        </w:rPr>
        <w:t>d</w:t>
      </w:r>
      <w:r w:rsidRPr="00AB52EE">
        <w:rPr>
          <w:rFonts w:cs="Arial"/>
          <w:szCs w:val="24"/>
        </w:rPr>
        <w:t xml:space="preserve"> with the following paragraph</w:t>
      </w:r>
      <w:r w:rsidR="00A40A87" w:rsidRPr="00AB52EE">
        <w:rPr>
          <w:rFonts w:cs="Arial"/>
          <w:szCs w:val="24"/>
        </w:rPr>
        <w:t>:</w:t>
      </w:r>
    </w:p>
    <w:p w14:paraId="66A3E97F" w14:textId="0E64B1AC" w:rsidR="00402CE2" w:rsidRPr="00AB52EE" w:rsidRDefault="006D167B" w:rsidP="002F0996">
      <w:pPr>
        <w:pStyle w:val="ORDER"/>
        <w:numPr>
          <w:ilvl w:val="0"/>
          <w:numId w:val="0"/>
        </w:numPr>
        <w:ind w:left="2880" w:hanging="720"/>
        <w:rPr>
          <w:rFonts w:cs="Arial"/>
          <w:szCs w:val="24"/>
        </w:rPr>
      </w:pPr>
      <w:r w:rsidRPr="00AB52EE">
        <w:rPr>
          <w:rFonts w:cs="Arial"/>
          <w:szCs w:val="24"/>
        </w:rPr>
        <w:t>“17.</w:t>
      </w:r>
      <w:r w:rsidRPr="00AB52EE">
        <w:rPr>
          <w:rFonts w:cs="Arial"/>
          <w:szCs w:val="24"/>
        </w:rPr>
        <w:tab/>
      </w:r>
      <w:r w:rsidR="003A063A" w:rsidRPr="00AB52EE">
        <w:rPr>
          <w:rFonts w:cs="Arial"/>
          <w:szCs w:val="24"/>
        </w:rPr>
        <w:t>S</w:t>
      </w:r>
      <w:r w:rsidR="00402CE2" w:rsidRPr="00AB52EE">
        <w:rPr>
          <w:rFonts w:cs="Arial"/>
          <w:szCs w:val="24"/>
        </w:rPr>
        <w:t xml:space="preserve">ave for the </w:t>
      </w:r>
      <w:r w:rsidR="00254C0C" w:rsidRPr="00AB52EE">
        <w:rPr>
          <w:rFonts w:cs="Arial"/>
          <w:szCs w:val="24"/>
        </w:rPr>
        <w:t xml:space="preserve">Applicant’s </w:t>
      </w:r>
      <w:r w:rsidR="00402CE2" w:rsidRPr="00AB52EE">
        <w:rPr>
          <w:rFonts w:cs="Arial"/>
          <w:szCs w:val="24"/>
        </w:rPr>
        <w:t xml:space="preserve">costs </w:t>
      </w:r>
      <w:r w:rsidR="009E0BB0">
        <w:rPr>
          <w:rFonts w:cs="Arial"/>
          <w:szCs w:val="24"/>
        </w:rPr>
        <w:t xml:space="preserve">in relation </w:t>
      </w:r>
      <w:r w:rsidR="00254C0C" w:rsidRPr="00AB52EE">
        <w:rPr>
          <w:rFonts w:cs="Arial"/>
          <w:szCs w:val="24"/>
        </w:rPr>
        <w:t xml:space="preserve">to </w:t>
      </w:r>
      <w:r w:rsidR="00554C7F" w:rsidRPr="00AB52EE">
        <w:rPr>
          <w:rFonts w:cs="Arial"/>
          <w:szCs w:val="24"/>
        </w:rPr>
        <w:t xml:space="preserve">the </w:t>
      </w:r>
      <w:r w:rsidR="004B16B4" w:rsidRPr="00AB52EE">
        <w:rPr>
          <w:rFonts w:cs="Arial"/>
          <w:szCs w:val="24"/>
        </w:rPr>
        <w:t xml:space="preserve">execution </w:t>
      </w:r>
      <w:r w:rsidR="00554C7F" w:rsidRPr="00AB52EE">
        <w:rPr>
          <w:rFonts w:cs="Arial"/>
          <w:szCs w:val="24"/>
        </w:rPr>
        <w:t xml:space="preserve">of this </w:t>
      </w:r>
      <w:r w:rsidR="003A063A" w:rsidRPr="00AB52EE">
        <w:rPr>
          <w:rFonts w:cs="Arial"/>
          <w:szCs w:val="24"/>
        </w:rPr>
        <w:t xml:space="preserve">order </w:t>
      </w:r>
      <w:r w:rsidR="004B16B4" w:rsidRPr="00AB52EE">
        <w:rPr>
          <w:rFonts w:cs="Arial"/>
          <w:szCs w:val="24"/>
        </w:rPr>
        <w:t xml:space="preserve">at the residence of Mr Case (which </w:t>
      </w:r>
      <w:r w:rsidR="003A063A" w:rsidRPr="00AB52EE">
        <w:rPr>
          <w:rFonts w:cs="Arial"/>
          <w:szCs w:val="24"/>
        </w:rPr>
        <w:t xml:space="preserve">costs are not reserved and in respect of which </w:t>
      </w:r>
      <w:r w:rsidR="004B16B4" w:rsidRPr="00AB52EE">
        <w:rPr>
          <w:rFonts w:cs="Arial"/>
          <w:szCs w:val="24"/>
        </w:rPr>
        <w:t xml:space="preserve">no order is made) and </w:t>
      </w:r>
      <w:r w:rsidR="003A063A" w:rsidRPr="00AB52EE">
        <w:rPr>
          <w:rFonts w:cs="Arial"/>
          <w:szCs w:val="24"/>
        </w:rPr>
        <w:t xml:space="preserve">save </w:t>
      </w:r>
      <w:r w:rsidR="004B16B4" w:rsidRPr="00AB52EE">
        <w:rPr>
          <w:rFonts w:cs="Arial"/>
          <w:szCs w:val="24"/>
        </w:rPr>
        <w:t xml:space="preserve">as provided for in paragraph </w:t>
      </w:r>
      <w:r w:rsidR="004B16B4" w:rsidRPr="00AB52EE">
        <w:rPr>
          <w:rFonts w:cs="Arial"/>
          <w:szCs w:val="24"/>
        </w:rPr>
        <w:fldChar w:fldCharType="begin"/>
      </w:r>
      <w:r w:rsidR="004B16B4" w:rsidRPr="00AB52EE">
        <w:rPr>
          <w:rFonts w:cs="Arial"/>
          <w:szCs w:val="24"/>
        </w:rPr>
        <w:instrText xml:space="preserve"> REF _Ref151406403 \r \h </w:instrText>
      </w:r>
      <w:r w:rsidR="00DB0397" w:rsidRPr="00AB52EE">
        <w:rPr>
          <w:rFonts w:cs="Arial"/>
          <w:szCs w:val="24"/>
        </w:rPr>
        <w:instrText xml:space="preserve"> \* MERGEFORMAT </w:instrText>
      </w:r>
      <w:r w:rsidR="004B16B4" w:rsidRPr="00AB52EE">
        <w:rPr>
          <w:rFonts w:cs="Arial"/>
          <w:szCs w:val="24"/>
        </w:rPr>
      </w:r>
      <w:r w:rsidR="004B16B4" w:rsidRPr="00AB52EE">
        <w:rPr>
          <w:rFonts w:cs="Arial"/>
          <w:szCs w:val="24"/>
        </w:rPr>
        <w:fldChar w:fldCharType="separate"/>
      </w:r>
      <w:r w:rsidR="00214B4A">
        <w:rPr>
          <w:rFonts w:cs="Arial"/>
          <w:szCs w:val="24"/>
        </w:rPr>
        <w:t>4</w:t>
      </w:r>
      <w:r w:rsidR="004B16B4" w:rsidRPr="00AB52EE">
        <w:rPr>
          <w:rFonts w:cs="Arial"/>
          <w:szCs w:val="24"/>
        </w:rPr>
        <w:fldChar w:fldCharType="end"/>
      </w:r>
      <w:r w:rsidR="004B16B4" w:rsidRPr="00AB52EE">
        <w:rPr>
          <w:rFonts w:cs="Arial"/>
          <w:szCs w:val="24"/>
        </w:rPr>
        <w:t xml:space="preserve"> of the order granted in the reconsideration proceedings, </w:t>
      </w:r>
      <w:r w:rsidR="003A063A" w:rsidRPr="00AB52EE">
        <w:rPr>
          <w:rFonts w:cs="Arial"/>
          <w:szCs w:val="24"/>
        </w:rPr>
        <w:t xml:space="preserve">the costs of this application </w:t>
      </w:r>
      <w:r w:rsidR="004B16B4" w:rsidRPr="00AB52EE">
        <w:rPr>
          <w:rFonts w:cs="Arial"/>
          <w:szCs w:val="24"/>
        </w:rPr>
        <w:t>are reserved for determination in Case Number 21/4054</w:t>
      </w:r>
      <w:r w:rsidR="009E0BB0">
        <w:rPr>
          <w:rFonts w:cs="Arial"/>
          <w:szCs w:val="24"/>
        </w:rPr>
        <w:t>5</w:t>
      </w:r>
      <w:r w:rsidR="004B16B4" w:rsidRPr="00AB52EE">
        <w:rPr>
          <w:rFonts w:cs="Arial"/>
          <w:szCs w:val="24"/>
        </w:rPr>
        <w:t>;</w:t>
      </w:r>
      <w:r w:rsidR="009E0BB0">
        <w:rPr>
          <w:rFonts w:cs="Arial"/>
          <w:szCs w:val="24"/>
        </w:rPr>
        <w:t>”</w:t>
      </w:r>
    </w:p>
    <w:p w14:paraId="0C49E2CA" w14:textId="53ED2A8B" w:rsidR="001F2063" w:rsidRPr="00AB52EE" w:rsidRDefault="001F2063" w:rsidP="007A27ED">
      <w:pPr>
        <w:pStyle w:val="ORDER"/>
        <w:rPr>
          <w:rFonts w:cs="Arial"/>
          <w:szCs w:val="24"/>
        </w:rPr>
      </w:pPr>
      <w:bookmarkStart w:id="23" w:name="_Ref151406424"/>
      <w:r w:rsidRPr="00AB52EE">
        <w:rPr>
          <w:rFonts w:cs="Arial"/>
          <w:szCs w:val="24"/>
        </w:rPr>
        <w:t>The Sheriff</w:t>
      </w:r>
      <w:r w:rsidR="00412232" w:rsidRPr="00AB52EE">
        <w:rPr>
          <w:rFonts w:cs="Arial"/>
          <w:szCs w:val="24"/>
        </w:rPr>
        <w:t>/s</w:t>
      </w:r>
      <w:r w:rsidRPr="00AB52EE">
        <w:rPr>
          <w:rFonts w:cs="Arial"/>
          <w:szCs w:val="24"/>
        </w:rPr>
        <w:t xml:space="preserve"> </w:t>
      </w:r>
      <w:r w:rsidR="00412232" w:rsidRPr="00AB52EE">
        <w:rPr>
          <w:rFonts w:cs="Arial"/>
          <w:szCs w:val="24"/>
        </w:rPr>
        <w:t xml:space="preserve">with custody </w:t>
      </w:r>
      <w:r w:rsidR="00A04F0D" w:rsidRPr="00AB52EE">
        <w:rPr>
          <w:rFonts w:cs="Arial"/>
          <w:szCs w:val="24"/>
        </w:rPr>
        <w:t xml:space="preserve">of </w:t>
      </w:r>
      <w:r w:rsidR="00DC3014" w:rsidRPr="00AB52EE">
        <w:rPr>
          <w:rFonts w:cs="Arial"/>
          <w:szCs w:val="24"/>
        </w:rPr>
        <w:t xml:space="preserve">any of </w:t>
      </w:r>
      <w:r w:rsidR="00A04F0D" w:rsidRPr="00AB52EE">
        <w:rPr>
          <w:rFonts w:cs="Arial"/>
          <w:szCs w:val="24"/>
        </w:rPr>
        <w:t xml:space="preserve">the </w:t>
      </w:r>
      <w:r w:rsidRPr="00AB52EE">
        <w:rPr>
          <w:rFonts w:cs="Arial"/>
          <w:szCs w:val="24"/>
        </w:rPr>
        <w:t xml:space="preserve">items </w:t>
      </w:r>
      <w:r w:rsidR="00DC3014" w:rsidRPr="00AB52EE">
        <w:rPr>
          <w:rFonts w:cs="Arial"/>
          <w:szCs w:val="24"/>
        </w:rPr>
        <w:t xml:space="preserve">excluded from the scope of the Anton Piller order pursuant to the variations referred to in paragraphs </w:t>
      </w:r>
      <w:r w:rsidR="00DC3014" w:rsidRPr="00AB52EE">
        <w:rPr>
          <w:rFonts w:cs="Arial"/>
          <w:szCs w:val="24"/>
        </w:rPr>
        <w:fldChar w:fldCharType="begin"/>
      </w:r>
      <w:r w:rsidR="00DC3014" w:rsidRPr="00AB52EE">
        <w:rPr>
          <w:rFonts w:cs="Arial"/>
          <w:szCs w:val="24"/>
        </w:rPr>
        <w:instrText xml:space="preserve"> REF _Ref151406498 \r \h </w:instrText>
      </w:r>
      <w:r w:rsidR="00DB0397" w:rsidRPr="00AB52EE">
        <w:rPr>
          <w:rFonts w:cs="Arial"/>
          <w:szCs w:val="24"/>
        </w:rPr>
        <w:instrText xml:space="preserve"> \* MERGEFORMAT </w:instrText>
      </w:r>
      <w:r w:rsidR="00DC3014" w:rsidRPr="00AB52EE">
        <w:rPr>
          <w:rFonts w:cs="Arial"/>
          <w:szCs w:val="24"/>
        </w:rPr>
      </w:r>
      <w:r w:rsidR="00DC3014" w:rsidRPr="00AB52EE">
        <w:rPr>
          <w:rFonts w:cs="Arial"/>
          <w:szCs w:val="24"/>
        </w:rPr>
        <w:fldChar w:fldCharType="separate"/>
      </w:r>
      <w:r w:rsidR="00214B4A">
        <w:rPr>
          <w:rFonts w:cs="Arial"/>
          <w:szCs w:val="24"/>
        </w:rPr>
        <w:t>1.b</w:t>
      </w:r>
      <w:r w:rsidR="00DC3014" w:rsidRPr="00AB52EE">
        <w:rPr>
          <w:rFonts w:cs="Arial"/>
          <w:szCs w:val="24"/>
        </w:rPr>
        <w:fldChar w:fldCharType="end"/>
      </w:r>
      <w:r w:rsidR="00DC3014" w:rsidRPr="00AB52EE">
        <w:rPr>
          <w:rFonts w:cs="Arial"/>
          <w:szCs w:val="24"/>
        </w:rPr>
        <w:t xml:space="preserve">, </w:t>
      </w:r>
      <w:r w:rsidR="00DC3014" w:rsidRPr="00AB52EE">
        <w:rPr>
          <w:rFonts w:cs="Arial"/>
          <w:szCs w:val="24"/>
        </w:rPr>
        <w:fldChar w:fldCharType="begin"/>
      </w:r>
      <w:r w:rsidR="00DC3014" w:rsidRPr="00AB52EE">
        <w:rPr>
          <w:rFonts w:cs="Arial"/>
          <w:szCs w:val="24"/>
        </w:rPr>
        <w:instrText xml:space="preserve"> REF _Ref151508310 \r \h </w:instrText>
      </w:r>
      <w:r w:rsidR="00DB0397" w:rsidRPr="00AB52EE">
        <w:rPr>
          <w:rFonts w:cs="Arial"/>
          <w:szCs w:val="24"/>
        </w:rPr>
        <w:instrText xml:space="preserve"> \* MERGEFORMAT </w:instrText>
      </w:r>
      <w:r w:rsidR="00DC3014" w:rsidRPr="00AB52EE">
        <w:rPr>
          <w:rFonts w:cs="Arial"/>
          <w:szCs w:val="24"/>
        </w:rPr>
      </w:r>
      <w:r w:rsidR="00DC3014" w:rsidRPr="00AB52EE">
        <w:rPr>
          <w:rFonts w:cs="Arial"/>
          <w:szCs w:val="24"/>
        </w:rPr>
        <w:fldChar w:fldCharType="separate"/>
      </w:r>
      <w:r w:rsidR="00214B4A">
        <w:rPr>
          <w:rFonts w:cs="Arial"/>
          <w:szCs w:val="24"/>
        </w:rPr>
        <w:t>1.c</w:t>
      </w:r>
      <w:r w:rsidR="00DC3014" w:rsidRPr="00AB52EE">
        <w:rPr>
          <w:rFonts w:cs="Arial"/>
          <w:szCs w:val="24"/>
        </w:rPr>
        <w:fldChar w:fldCharType="end"/>
      </w:r>
      <w:r w:rsidR="00DC3014" w:rsidRPr="00AB52EE">
        <w:rPr>
          <w:rFonts w:cs="Arial"/>
          <w:szCs w:val="24"/>
        </w:rPr>
        <w:t xml:space="preserve"> and </w:t>
      </w:r>
      <w:r w:rsidR="00DC3014" w:rsidRPr="00AB52EE">
        <w:rPr>
          <w:rFonts w:cs="Arial"/>
          <w:szCs w:val="24"/>
        </w:rPr>
        <w:fldChar w:fldCharType="begin"/>
      </w:r>
      <w:r w:rsidR="00DC3014" w:rsidRPr="00AB52EE">
        <w:rPr>
          <w:rFonts w:cs="Arial"/>
          <w:szCs w:val="24"/>
        </w:rPr>
        <w:instrText xml:space="preserve"> REF _Ref151406501 \r \h </w:instrText>
      </w:r>
      <w:r w:rsidR="00DB0397" w:rsidRPr="00AB52EE">
        <w:rPr>
          <w:rFonts w:cs="Arial"/>
          <w:szCs w:val="24"/>
        </w:rPr>
        <w:instrText xml:space="preserve"> \* MERGEFORMAT </w:instrText>
      </w:r>
      <w:r w:rsidR="00DC3014" w:rsidRPr="00AB52EE">
        <w:rPr>
          <w:rFonts w:cs="Arial"/>
          <w:szCs w:val="24"/>
        </w:rPr>
      </w:r>
      <w:r w:rsidR="00DC3014" w:rsidRPr="00AB52EE">
        <w:rPr>
          <w:rFonts w:cs="Arial"/>
          <w:szCs w:val="24"/>
        </w:rPr>
        <w:fldChar w:fldCharType="separate"/>
      </w:r>
      <w:r w:rsidR="00214B4A">
        <w:rPr>
          <w:rFonts w:cs="Arial"/>
          <w:szCs w:val="24"/>
        </w:rPr>
        <w:t>1.d</w:t>
      </w:r>
      <w:r w:rsidR="00DC3014" w:rsidRPr="00AB52EE">
        <w:rPr>
          <w:rFonts w:cs="Arial"/>
          <w:szCs w:val="24"/>
        </w:rPr>
        <w:fldChar w:fldCharType="end"/>
      </w:r>
      <w:r w:rsidR="00DC3014" w:rsidRPr="00AB52EE">
        <w:rPr>
          <w:rFonts w:cs="Arial"/>
          <w:szCs w:val="24"/>
        </w:rPr>
        <w:t xml:space="preserve"> above but </w:t>
      </w:r>
      <w:r w:rsidR="00412232" w:rsidRPr="00AB52EE">
        <w:rPr>
          <w:rFonts w:cs="Arial"/>
          <w:szCs w:val="24"/>
        </w:rPr>
        <w:t xml:space="preserve">attached </w:t>
      </w:r>
      <w:r w:rsidRPr="00AB52EE">
        <w:rPr>
          <w:rFonts w:cs="Arial"/>
          <w:szCs w:val="24"/>
        </w:rPr>
        <w:t xml:space="preserve">pursuant </w:t>
      </w:r>
      <w:r w:rsidR="00DC3014" w:rsidRPr="00AB52EE">
        <w:rPr>
          <w:rFonts w:cs="Arial"/>
          <w:szCs w:val="24"/>
        </w:rPr>
        <w:t xml:space="preserve">thereto, </w:t>
      </w:r>
      <w:r w:rsidR="009E1AB9" w:rsidRPr="00AB52EE">
        <w:rPr>
          <w:rFonts w:cs="Arial"/>
          <w:szCs w:val="24"/>
        </w:rPr>
        <w:t xml:space="preserve">are </w:t>
      </w:r>
      <w:r w:rsidR="00A04F0D" w:rsidRPr="00AB52EE">
        <w:rPr>
          <w:rFonts w:cs="Arial"/>
          <w:szCs w:val="24"/>
        </w:rPr>
        <w:t xml:space="preserve">ordered to </w:t>
      </w:r>
      <w:r w:rsidR="001C2CE4" w:rsidRPr="00AB52EE">
        <w:rPr>
          <w:rFonts w:cs="Arial"/>
          <w:szCs w:val="24"/>
        </w:rPr>
        <w:t xml:space="preserve">destroy or delete </w:t>
      </w:r>
      <w:r w:rsidR="00412232" w:rsidRPr="00AB52EE">
        <w:rPr>
          <w:rFonts w:cs="Arial"/>
          <w:szCs w:val="24"/>
        </w:rPr>
        <w:t xml:space="preserve">such </w:t>
      </w:r>
      <w:r w:rsidR="00A04F0D" w:rsidRPr="00AB52EE">
        <w:rPr>
          <w:rFonts w:cs="Arial"/>
          <w:szCs w:val="24"/>
        </w:rPr>
        <w:t xml:space="preserve">items </w:t>
      </w:r>
      <w:r w:rsidR="00DC3014" w:rsidRPr="00AB52EE">
        <w:rPr>
          <w:rFonts w:cs="Arial"/>
          <w:szCs w:val="24"/>
        </w:rPr>
        <w:t>and/or copies thereof</w:t>
      </w:r>
      <w:bookmarkEnd w:id="23"/>
      <w:r w:rsidR="00DC3014" w:rsidRPr="00AB52EE">
        <w:rPr>
          <w:rFonts w:cs="Arial"/>
          <w:szCs w:val="24"/>
        </w:rPr>
        <w:t xml:space="preserve"> or return them to the persons from whom they were seized</w:t>
      </w:r>
      <w:r w:rsidRPr="00AB52EE">
        <w:rPr>
          <w:rFonts w:cs="Arial"/>
          <w:szCs w:val="24"/>
        </w:rPr>
        <w:t>.</w:t>
      </w:r>
    </w:p>
    <w:p w14:paraId="422EB094" w14:textId="40EB45CA" w:rsidR="006A1C7E" w:rsidRPr="00AB52EE" w:rsidRDefault="006A1C7E" w:rsidP="007A27ED">
      <w:pPr>
        <w:pStyle w:val="ORDER"/>
        <w:rPr>
          <w:rFonts w:cs="Arial"/>
          <w:szCs w:val="24"/>
        </w:rPr>
      </w:pPr>
      <w:r w:rsidRPr="00AB52EE">
        <w:rPr>
          <w:rFonts w:cs="Arial"/>
          <w:szCs w:val="24"/>
        </w:rPr>
        <w:lastRenderedPageBreak/>
        <w:t xml:space="preserve">Save as set out in </w:t>
      </w:r>
      <w:r w:rsidR="001E4CDA" w:rsidRPr="00AB52EE">
        <w:rPr>
          <w:rFonts w:cs="Arial"/>
          <w:szCs w:val="24"/>
        </w:rPr>
        <w:t>paragraph</w:t>
      </w:r>
      <w:r w:rsidR="001F2063" w:rsidRPr="00AB52EE">
        <w:rPr>
          <w:rFonts w:cs="Arial"/>
          <w:szCs w:val="24"/>
        </w:rPr>
        <w:t>s</w:t>
      </w:r>
      <w:r w:rsidR="001E4CDA" w:rsidRPr="00AB52EE">
        <w:rPr>
          <w:rFonts w:cs="Arial"/>
          <w:szCs w:val="24"/>
        </w:rPr>
        <w:t xml:space="preserve"> </w:t>
      </w:r>
      <w:r w:rsidR="001F2063" w:rsidRPr="00AB52EE">
        <w:rPr>
          <w:rFonts w:cs="Arial"/>
          <w:szCs w:val="24"/>
        </w:rPr>
        <w:fldChar w:fldCharType="begin"/>
      </w:r>
      <w:r w:rsidR="001F2063" w:rsidRPr="00AB52EE">
        <w:rPr>
          <w:rFonts w:cs="Arial"/>
          <w:szCs w:val="24"/>
        </w:rPr>
        <w:instrText xml:space="preserve"> REF _Ref151406422 \r \h </w:instrText>
      </w:r>
      <w:r w:rsidR="00DB0397" w:rsidRPr="00AB52EE">
        <w:rPr>
          <w:rFonts w:cs="Arial"/>
          <w:szCs w:val="24"/>
        </w:rPr>
        <w:instrText xml:space="preserve"> \* MERGEFORMAT </w:instrText>
      </w:r>
      <w:r w:rsidR="001F2063" w:rsidRPr="00AB52EE">
        <w:rPr>
          <w:rFonts w:cs="Arial"/>
          <w:szCs w:val="24"/>
        </w:rPr>
      </w:r>
      <w:r w:rsidR="001F2063" w:rsidRPr="00AB52EE">
        <w:rPr>
          <w:rFonts w:cs="Arial"/>
          <w:szCs w:val="24"/>
        </w:rPr>
        <w:fldChar w:fldCharType="separate"/>
      </w:r>
      <w:r w:rsidR="00214B4A">
        <w:rPr>
          <w:rFonts w:cs="Arial"/>
          <w:szCs w:val="24"/>
        </w:rPr>
        <w:t>1</w:t>
      </w:r>
      <w:r w:rsidR="001F2063" w:rsidRPr="00AB52EE">
        <w:rPr>
          <w:rFonts w:cs="Arial"/>
          <w:szCs w:val="24"/>
        </w:rPr>
        <w:fldChar w:fldCharType="end"/>
      </w:r>
      <w:r w:rsidR="001F2063" w:rsidRPr="00AB52EE">
        <w:rPr>
          <w:rFonts w:cs="Arial"/>
          <w:szCs w:val="24"/>
        </w:rPr>
        <w:t xml:space="preserve"> </w:t>
      </w:r>
      <w:r w:rsidR="00412232" w:rsidRPr="00AB52EE">
        <w:rPr>
          <w:rFonts w:cs="Arial"/>
          <w:szCs w:val="24"/>
        </w:rPr>
        <w:t xml:space="preserve">and </w:t>
      </w:r>
      <w:r w:rsidR="001F2063" w:rsidRPr="00AB52EE">
        <w:rPr>
          <w:rFonts w:cs="Arial"/>
          <w:szCs w:val="24"/>
        </w:rPr>
        <w:fldChar w:fldCharType="begin"/>
      </w:r>
      <w:r w:rsidR="001F2063" w:rsidRPr="00AB52EE">
        <w:rPr>
          <w:rFonts w:cs="Arial"/>
          <w:szCs w:val="24"/>
        </w:rPr>
        <w:instrText xml:space="preserve"> REF _Ref151406424 \r \h </w:instrText>
      </w:r>
      <w:r w:rsidR="00DB0397" w:rsidRPr="00AB52EE">
        <w:rPr>
          <w:rFonts w:cs="Arial"/>
          <w:szCs w:val="24"/>
        </w:rPr>
        <w:instrText xml:space="preserve"> \* MERGEFORMAT </w:instrText>
      </w:r>
      <w:r w:rsidR="001F2063" w:rsidRPr="00AB52EE">
        <w:rPr>
          <w:rFonts w:cs="Arial"/>
          <w:szCs w:val="24"/>
        </w:rPr>
      </w:r>
      <w:r w:rsidR="001F2063" w:rsidRPr="00AB52EE">
        <w:rPr>
          <w:rFonts w:cs="Arial"/>
          <w:szCs w:val="24"/>
        </w:rPr>
        <w:fldChar w:fldCharType="separate"/>
      </w:r>
      <w:r w:rsidR="00214B4A">
        <w:rPr>
          <w:rFonts w:cs="Arial"/>
          <w:szCs w:val="24"/>
        </w:rPr>
        <w:t>2</w:t>
      </w:r>
      <w:r w:rsidR="001F2063" w:rsidRPr="00AB52EE">
        <w:rPr>
          <w:rFonts w:cs="Arial"/>
          <w:szCs w:val="24"/>
        </w:rPr>
        <w:fldChar w:fldCharType="end"/>
      </w:r>
      <w:r w:rsidR="001F2063" w:rsidRPr="00AB52EE">
        <w:rPr>
          <w:rFonts w:cs="Arial"/>
          <w:szCs w:val="24"/>
        </w:rPr>
        <w:t xml:space="preserve"> </w:t>
      </w:r>
      <w:r w:rsidRPr="00AB52EE">
        <w:rPr>
          <w:rFonts w:cs="Arial"/>
          <w:szCs w:val="24"/>
        </w:rPr>
        <w:t xml:space="preserve">above, </w:t>
      </w:r>
      <w:r w:rsidR="008E7521" w:rsidRPr="00AB52EE">
        <w:rPr>
          <w:rFonts w:cs="Arial"/>
          <w:szCs w:val="24"/>
        </w:rPr>
        <w:t xml:space="preserve">the </w:t>
      </w:r>
      <w:r w:rsidRPr="00AB52EE">
        <w:rPr>
          <w:rFonts w:cs="Arial"/>
          <w:szCs w:val="24"/>
        </w:rPr>
        <w:t xml:space="preserve">reconsideration </w:t>
      </w:r>
      <w:r w:rsidR="00412232" w:rsidRPr="00AB52EE">
        <w:rPr>
          <w:rFonts w:cs="Arial"/>
          <w:szCs w:val="24"/>
        </w:rPr>
        <w:t xml:space="preserve">sought </w:t>
      </w:r>
      <w:r w:rsidR="001E4CDA" w:rsidRPr="00AB52EE">
        <w:rPr>
          <w:rFonts w:cs="Arial"/>
          <w:szCs w:val="24"/>
        </w:rPr>
        <w:t xml:space="preserve">by </w:t>
      </w:r>
      <w:r w:rsidR="008E7521" w:rsidRPr="00AB52EE">
        <w:rPr>
          <w:rFonts w:cs="Arial"/>
          <w:szCs w:val="24"/>
        </w:rPr>
        <w:t xml:space="preserve">Vanesco and Mr Case </w:t>
      </w:r>
      <w:r w:rsidR="001E4CDA" w:rsidRPr="00AB52EE">
        <w:rPr>
          <w:rFonts w:cs="Arial"/>
          <w:szCs w:val="24"/>
        </w:rPr>
        <w:t>is dismissed</w:t>
      </w:r>
      <w:r w:rsidRPr="00AB52EE">
        <w:rPr>
          <w:rFonts w:cs="Arial"/>
          <w:szCs w:val="24"/>
        </w:rPr>
        <w:t>.</w:t>
      </w:r>
    </w:p>
    <w:p w14:paraId="3EC1F475" w14:textId="53EACB97" w:rsidR="009808AA" w:rsidRPr="00AB52EE" w:rsidRDefault="008E7521" w:rsidP="007A27ED">
      <w:pPr>
        <w:pStyle w:val="ORDER"/>
        <w:rPr>
          <w:rFonts w:cs="Arial"/>
          <w:szCs w:val="24"/>
        </w:rPr>
      </w:pPr>
      <w:bookmarkStart w:id="24" w:name="_Ref151406403"/>
      <w:r w:rsidRPr="00AB52EE">
        <w:rPr>
          <w:rFonts w:cs="Arial"/>
          <w:szCs w:val="24"/>
        </w:rPr>
        <w:t xml:space="preserve">Supercart </w:t>
      </w:r>
      <w:r w:rsidR="001E4CDA" w:rsidRPr="00AB52EE">
        <w:rPr>
          <w:rFonts w:cs="Arial"/>
          <w:szCs w:val="24"/>
        </w:rPr>
        <w:t xml:space="preserve">is directed to pay </w:t>
      </w:r>
      <w:r w:rsidR="00FB7A02" w:rsidRPr="00AB52EE">
        <w:rPr>
          <w:rFonts w:cs="Arial"/>
          <w:szCs w:val="24"/>
        </w:rPr>
        <w:t xml:space="preserve">the costs of </w:t>
      </w:r>
      <w:r w:rsidRPr="00AB52EE">
        <w:rPr>
          <w:rFonts w:cs="Arial"/>
          <w:szCs w:val="24"/>
        </w:rPr>
        <w:t>Vanesco and Mr Case</w:t>
      </w:r>
      <w:r w:rsidR="00FB7A02" w:rsidRPr="00AB52EE">
        <w:rPr>
          <w:rFonts w:cs="Arial"/>
          <w:szCs w:val="24"/>
        </w:rPr>
        <w:t xml:space="preserve"> </w:t>
      </w:r>
      <w:r w:rsidR="001E4CDA" w:rsidRPr="00AB52EE">
        <w:rPr>
          <w:rFonts w:cs="Arial"/>
          <w:szCs w:val="24"/>
        </w:rPr>
        <w:t>associated with</w:t>
      </w:r>
      <w:r w:rsidR="00412232" w:rsidRPr="00AB52EE">
        <w:rPr>
          <w:rFonts w:cs="Arial"/>
          <w:szCs w:val="24"/>
        </w:rPr>
        <w:t>:</w:t>
      </w:r>
      <w:r w:rsidR="001E4CDA" w:rsidRPr="00AB52EE">
        <w:rPr>
          <w:rFonts w:cs="Arial"/>
          <w:szCs w:val="24"/>
        </w:rPr>
        <w:t xml:space="preserve"> </w:t>
      </w:r>
    </w:p>
    <w:p w14:paraId="529DAF35" w14:textId="561A7DA9" w:rsidR="009808AA" w:rsidRPr="00AB52EE" w:rsidRDefault="009808AA" w:rsidP="00412232">
      <w:pPr>
        <w:pStyle w:val="ORDERa"/>
        <w:rPr>
          <w:rFonts w:cs="Arial"/>
          <w:szCs w:val="24"/>
        </w:rPr>
      </w:pPr>
      <w:r w:rsidRPr="00AB52EE">
        <w:rPr>
          <w:rFonts w:cs="Arial"/>
          <w:szCs w:val="24"/>
        </w:rPr>
        <w:t xml:space="preserve">the execution of the Anton Piller order at the </w:t>
      </w:r>
      <w:r w:rsidR="00412232" w:rsidRPr="00AB52EE">
        <w:rPr>
          <w:rFonts w:cs="Arial"/>
          <w:szCs w:val="24"/>
        </w:rPr>
        <w:t>r</w:t>
      </w:r>
      <w:r w:rsidRPr="00AB52EE">
        <w:rPr>
          <w:rFonts w:cs="Arial"/>
          <w:szCs w:val="24"/>
        </w:rPr>
        <w:t xml:space="preserve">esidence of Mr Case; and </w:t>
      </w:r>
    </w:p>
    <w:p w14:paraId="615741AA" w14:textId="517A8548" w:rsidR="009808AA" w:rsidRPr="00AB52EE" w:rsidRDefault="001E4CDA" w:rsidP="00412232">
      <w:pPr>
        <w:pStyle w:val="ORDERa"/>
        <w:rPr>
          <w:rFonts w:cs="Arial"/>
          <w:szCs w:val="24"/>
        </w:rPr>
      </w:pPr>
      <w:r w:rsidRPr="00AB52EE">
        <w:rPr>
          <w:rFonts w:cs="Arial"/>
          <w:szCs w:val="24"/>
        </w:rPr>
        <w:t xml:space="preserve">the urgent application launched by </w:t>
      </w:r>
      <w:r w:rsidR="00412232" w:rsidRPr="00AB52EE">
        <w:rPr>
          <w:rFonts w:cs="Arial"/>
          <w:szCs w:val="24"/>
        </w:rPr>
        <w:t xml:space="preserve">Vanesco and Mr Case </w:t>
      </w:r>
      <w:r w:rsidRPr="00AB52EE">
        <w:rPr>
          <w:rFonts w:cs="Arial"/>
          <w:szCs w:val="24"/>
        </w:rPr>
        <w:t xml:space="preserve">on </w:t>
      </w:r>
      <w:r w:rsidR="004F022A" w:rsidRPr="00AB52EE">
        <w:rPr>
          <w:rFonts w:cs="Arial"/>
          <w:szCs w:val="24"/>
        </w:rPr>
        <w:t>2</w:t>
      </w:r>
      <w:r w:rsidRPr="00AB52EE">
        <w:rPr>
          <w:rFonts w:cs="Arial"/>
          <w:szCs w:val="24"/>
        </w:rPr>
        <w:t xml:space="preserve"> November 2021</w:t>
      </w:r>
      <w:r w:rsidR="00043065" w:rsidRPr="00AB52EE">
        <w:rPr>
          <w:rFonts w:cs="Arial"/>
          <w:szCs w:val="24"/>
        </w:rPr>
        <w:t xml:space="preserve">, including the </w:t>
      </w:r>
      <w:r w:rsidR="008C55B6" w:rsidRPr="00AB52EE">
        <w:rPr>
          <w:rFonts w:cs="Arial"/>
          <w:szCs w:val="24"/>
        </w:rPr>
        <w:t xml:space="preserve">costs of the </w:t>
      </w:r>
      <w:r w:rsidRPr="00AB52EE">
        <w:rPr>
          <w:rFonts w:cs="Arial"/>
          <w:szCs w:val="24"/>
        </w:rPr>
        <w:t>counterapplication therein</w:t>
      </w:r>
    </w:p>
    <w:p w14:paraId="069A3898" w14:textId="5F4125E2" w:rsidR="001E4CDA" w:rsidRPr="00AB52EE" w:rsidRDefault="00043065" w:rsidP="009808AA">
      <w:pPr>
        <w:pStyle w:val="ORDER"/>
        <w:numPr>
          <w:ilvl w:val="0"/>
          <w:numId w:val="0"/>
        </w:numPr>
        <w:tabs>
          <w:tab w:val="left" w:pos="1985"/>
        </w:tabs>
        <w:ind w:left="1276"/>
        <w:rPr>
          <w:rFonts w:cs="Arial"/>
          <w:szCs w:val="24"/>
        </w:rPr>
      </w:pPr>
      <w:r w:rsidRPr="00AB52EE">
        <w:rPr>
          <w:rFonts w:cs="Arial"/>
          <w:szCs w:val="24"/>
        </w:rPr>
        <w:t>on the attorney and client scale.</w:t>
      </w:r>
      <w:bookmarkEnd w:id="24"/>
    </w:p>
    <w:p w14:paraId="49A28BB0" w14:textId="77777777" w:rsidR="00F35C22" w:rsidRPr="00AB52EE" w:rsidRDefault="00F35C22" w:rsidP="007A27ED">
      <w:pPr>
        <w:pStyle w:val="LC1"/>
        <w:numPr>
          <w:ilvl w:val="0"/>
          <w:numId w:val="0"/>
        </w:numPr>
        <w:ind w:left="720"/>
        <w:rPr>
          <w:rFonts w:cs="Arial"/>
          <w:szCs w:val="24"/>
        </w:rPr>
      </w:pPr>
    </w:p>
    <w:p w14:paraId="52ACCD6E" w14:textId="3429E84D" w:rsidR="00D202C2" w:rsidRPr="00AB52EE" w:rsidRDefault="00B928FE" w:rsidP="00A40A87">
      <w:pPr>
        <w:keepNext/>
        <w:spacing w:after="120" w:line="360" w:lineRule="auto"/>
        <w:jc w:val="right"/>
        <w:rPr>
          <w:rFonts w:ascii="Arial" w:hAnsi="Arial" w:cs="Arial"/>
          <w:sz w:val="24"/>
          <w:szCs w:val="24"/>
          <w:u w:val="single"/>
        </w:rPr>
      </w:pPr>
      <w:r w:rsidRPr="00AB52EE">
        <w:rPr>
          <w:rFonts w:ascii="Arial" w:hAnsi="Arial" w:cs="Arial"/>
          <w:sz w:val="24"/>
          <w:szCs w:val="24"/>
          <w:u w:val="single"/>
        </w:rPr>
        <w:t>______</w:t>
      </w:r>
      <w:r w:rsidR="00044A38" w:rsidRPr="00AB52EE">
        <w:rPr>
          <w:rFonts w:ascii="Arial" w:hAnsi="Arial" w:cs="Arial"/>
          <w:sz w:val="24"/>
          <w:szCs w:val="24"/>
          <w:u w:val="single"/>
        </w:rPr>
        <w:t>_________</w:t>
      </w:r>
      <w:r w:rsidRPr="00AB52EE">
        <w:rPr>
          <w:rFonts w:ascii="Arial" w:hAnsi="Arial" w:cs="Arial"/>
          <w:sz w:val="24"/>
          <w:szCs w:val="24"/>
          <w:u w:val="single"/>
        </w:rPr>
        <w:t>________</w:t>
      </w:r>
    </w:p>
    <w:p w14:paraId="4A51D625" w14:textId="79407158" w:rsidR="00D202C2" w:rsidRPr="00AB52EE" w:rsidRDefault="001A42D3" w:rsidP="00A40A87">
      <w:pPr>
        <w:keepNext/>
        <w:autoSpaceDE w:val="0"/>
        <w:autoSpaceDN w:val="0"/>
        <w:adjustRightInd w:val="0"/>
        <w:spacing w:after="120" w:line="360" w:lineRule="auto"/>
        <w:jc w:val="right"/>
        <w:rPr>
          <w:rFonts w:ascii="Arial" w:hAnsi="Arial" w:cs="Arial"/>
          <w:b/>
          <w:bCs/>
          <w:sz w:val="24"/>
          <w:szCs w:val="24"/>
        </w:rPr>
      </w:pPr>
      <w:r w:rsidRPr="00AB52EE">
        <w:rPr>
          <w:rFonts w:ascii="Arial" w:hAnsi="Arial" w:cs="Arial"/>
          <w:b/>
          <w:bCs/>
          <w:sz w:val="24"/>
          <w:szCs w:val="24"/>
        </w:rPr>
        <w:t xml:space="preserve">RJ </w:t>
      </w:r>
      <w:r w:rsidR="00166E9B" w:rsidRPr="00AB52EE">
        <w:rPr>
          <w:rFonts w:ascii="Arial" w:hAnsi="Arial" w:cs="Arial"/>
          <w:b/>
          <w:bCs/>
          <w:sz w:val="24"/>
          <w:szCs w:val="24"/>
        </w:rPr>
        <w:t xml:space="preserve">MOULTRIE </w:t>
      </w:r>
      <w:r w:rsidR="00D202C2" w:rsidRPr="00AB52EE">
        <w:rPr>
          <w:rFonts w:ascii="Arial" w:hAnsi="Arial" w:cs="Arial"/>
          <w:b/>
          <w:bCs/>
          <w:sz w:val="24"/>
          <w:szCs w:val="24"/>
        </w:rPr>
        <w:t>AJ</w:t>
      </w:r>
    </w:p>
    <w:p w14:paraId="40911379" w14:textId="77777777" w:rsidR="00D202C2" w:rsidRPr="00AB52EE" w:rsidRDefault="00D202C2" w:rsidP="00A40A87">
      <w:pPr>
        <w:keepNext/>
        <w:autoSpaceDE w:val="0"/>
        <w:autoSpaceDN w:val="0"/>
        <w:adjustRightInd w:val="0"/>
        <w:spacing w:after="120" w:line="360" w:lineRule="auto"/>
        <w:jc w:val="right"/>
        <w:rPr>
          <w:rFonts w:ascii="Arial" w:hAnsi="Arial" w:cs="Arial"/>
          <w:sz w:val="24"/>
          <w:szCs w:val="24"/>
        </w:rPr>
      </w:pPr>
      <w:r w:rsidRPr="00AB52EE">
        <w:rPr>
          <w:rFonts w:ascii="Arial" w:hAnsi="Arial" w:cs="Arial"/>
          <w:sz w:val="24"/>
          <w:szCs w:val="24"/>
        </w:rPr>
        <w:t xml:space="preserve">Acting Judge of the </w:t>
      </w:r>
      <w:r w:rsidR="007D51E5" w:rsidRPr="00AB52EE">
        <w:rPr>
          <w:rFonts w:ascii="Arial" w:hAnsi="Arial" w:cs="Arial"/>
          <w:sz w:val="24"/>
          <w:szCs w:val="24"/>
        </w:rPr>
        <w:t xml:space="preserve">High </w:t>
      </w:r>
      <w:r w:rsidRPr="00AB52EE">
        <w:rPr>
          <w:rFonts w:ascii="Arial" w:hAnsi="Arial" w:cs="Arial"/>
          <w:sz w:val="24"/>
          <w:szCs w:val="24"/>
        </w:rPr>
        <w:t xml:space="preserve">Court </w:t>
      </w:r>
    </w:p>
    <w:p w14:paraId="18A4CE1E" w14:textId="54BA15B5" w:rsidR="007D51E5" w:rsidRPr="00AB52EE" w:rsidRDefault="007D51E5" w:rsidP="00A40A87">
      <w:pPr>
        <w:autoSpaceDE w:val="0"/>
        <w:autoSpaceDN w:val="0"/>
        <w:adjustRightInd w:val="0"/>
        <w:spacing w:after="120" w:line="360" w:lineRule="auto"/>
        <w:jc w:val="right"/>
        <w:rPr>
          <w:rFonts w:ascii="Arial" w:hAnsi="Arial" w:cs="Arial"/>
          <w:sz w:val="24"/>
          <w:szCs w:val="24"/>
        </w:rPr>
      </w:pPr>
      <w:r w:rsidRPr="00AB52EE">
        <w:rPr>
          <w:rFonts w:ascii="Arial" w:hAnsi="Arial" w:cs="Arial"/>
          <w:sz w:val="24"/>
          <w:szCs w:val="24"/>
        </w:rPr>
        <w:t xml:space="preserve">Gauteng Division, </w:t>
      </w:r>
      <w:r w:rsidR="00001F4A" w:rsidRPr="00AB52EE">
        <w:rPr>
          <w:rFonts w:ascii="Arial" w:hAnsi="Arial" w:cs="Arial"/>
          <w:sz w:val="24"/>
          <w:szCs w:val="24"/>
        </w:rPr>
        <w:t>Johannesburg</w:t>
      </w:r>
    </w:p>
    <w:p w14:paraId="76FC8D32" w14:textId="77777777" w:rsidR="009216AB" w:rsidRPr="00AB52EE" w:rsidRDefault="009216AB" w:rsidP="009216AB">
      <w:pPr>
        <w:keepNext/>
        <w:spacing w:before="240" w:line="240" w:lineRule="auto"/>
        <w:jc w:val="left"/>
        <w:rPr>
          <w:rFonts w:ascii="Arial" w:hAnsi="Arial" w:cs="Arial"/>
          <w:sz w:val="24"/>
          <w:szCs w:val="24"/>
        </w:rPr>
      </w:pPr>
    </w:p>
    <w:p w14:paraId="38FCBFB2" w14:textId="287C5FEA" w:rsidR="00001F4A" w:rsidRPr="00AB52EE" w:rsidRDefault="00001F4A" w:rsidP="00BD1B12">
      <w:pPr>
        <w:keepNext/>
        <w:spacing w:before="240" w:line="360" w:lineRule="auto"/>
        <w:jc w:val="left"/>
        <w:rPr>
          <w:rFonts w:ascii="Arial" w:hAnsi="Arial" w:cs="Arial"/>
          <w:sz w:val="24"/>
          <w:szCs w:val="24"/>
        </w:rPr>
      </w:pPr>
      <w:r w:rsidRPr="00AB52EE">
        <w:rPr>
          <w:rFonts w:ascii="Arial" w:hAnsi="Arial" w:cs="Arial"/>
          <w:sz w:val="24"/>
          <w:szCs w:val="24"/>
        </w:rPr>
        <w:t>DATE HEARD:</w:t>
      </w:r>
      <w:r w:rsidRPr="00AB52EE">
        <w:rPr>
          <w:rFonts w:ascii="Arial" w:hAnsi="Arial" w:cs="Arial"/>
          <w:sz w:val="24"/>
          <w:szCs w:val="24"/>
        </w:rPr>
        <w:tab/>
      </w:r>
      <w:r w:rsidRPr="00AB52EE">
        <w:rPr>
          <w:rFonts w:ascii="Arial" w:hAnsi="Arial" w:cs="Arial"/>
          <w:sz w:val="24"/>
          <w:szCs w:val="24"/>
        </w:rPr>
        <w:tab/>
      </w:r>
      <w:r w:rsidRPr="00AB52EE">
        <w:rPr>
          <w:rFonts w:ascii="Arial" w:hAnsi="Arial" w:cs="Arial"/>
          <w:sz w:val="24"/>
          <w:szCs w:val="24"/>
        </w:rPr>
        <w:tab/>
      </w:r>
      <w:r w:rsidR="00F95AEC" w:rsidRPr="00AB52EE">
        <w:rPr>
          <w:rFonts w:ascii="Arial" w:hAnsi="Arial" w:cs="Arial"/>
          <w:sz w:val="24"/>
          <w:szCs w:val="24"/>
        </w:rPr>
        <w:t>13</w:t>
      </w:r>
      <w:r w:rsidR="008C55B6" w:rsidRPr="00AB52EE">
        <w:rPr>
          <w:rFonts w:ascii="Arial" w:hAnsi="Arial" w:cs="Arial"/>
          <w:sz w:val="24"/>
          <w:szCs w:val="24"/>
        </w:rPr>
        <w:t xml:space="preserve"> </w:t>
      </w:r>
      <w:r w:rsidR="00F95AEC" w:rsidRPr="00AB52EE">
        <w:rPr>
          <w:rFonts w:ascii="Arial" w:hAnsi="Arial" w:cs="Arial"/>
          <w:sz w:val="24"/>
          <w:szCs w:val="24"/>
        </w:rPr>
        <w:t xml:space="preserve">&amp; 14 March </w:t>
      </w:r>
      <w:r w:rsidR="000E7787" w:rsidRPr="00AB52EE">
        <w:rPr>
          <w:rFonts w:ascii="Arial" w:hAnsi="Arial" w:cs="Arial"/>
          <w:sz w:val="24"/>
          <w:szCs w:val="24"/>
        </w:rPr>
        <w:t xml:space="preserve">and 6 April </w:t>
      </w:r>
      <w:r w:rsidR="004D60BE" w:rsidRPr="00AB52EE">
        <w:rPr>
          <w:rFonts w:ascii="Arial" w:hAnsi="Arial" w:cs="Arial"/>
          <w:sz w:val="24"/>
          <w:szCs w:val="24"/>
        </w:rPr>
        <w:t>2</w:t>
      </w:r>
      <w:r w:rsidRPr="00AB52EE">
        <w:rPr>
          <w:rFonts w:ascii="Arial" w:hAnsi="Arial" w:cs="Arial"/>
          <w:sz w:val="24"/>
          <w:szCs w:val="24"/>
        </w:rPr>
        <w:t>02</w:t>
      </w:r>
      <w:r w:rsidR="00AE38D8" w:rsidRPr="00AB52EE">
        <w:rPr>
          <w:rFonts w:ascii="Arial" w:hAnsi="Arial" w:cs="Arial"/>
          <w:sz w:val="24"/>
          <w:szCs w:val="24"/>
        </w:rPr>
        <w:t>3</w:t>
      </w:r>
    </w:p>
    <w:p w14:paraId="74389E3A" w14:textId="71E0E8D0" w:rsidR="00FE6761" w:rsidRPr="00AB52EE" w:rsidRDefault="00F95AEC" w:rsidP="00FE6761">
      <w:pPr>
        <w:spacing w:line="360" w:lineRule="auto"/>
        <w:jc w:val="left"/>
        <w:rPr>
          <w:rFonts w:ascii="Arial" w:hAnsi="Arial" w:cs="Arial"/>
          <w:sz w:val="24"/>
          <w:szCs w:val="24"/>
        </w:rPr>
      </w:pPr>
      <w:r w:rsidRPr="00AB52EE">
        <w:rPr>
          <w:rFonts w:ascii="Arial" w:hAnsi="Arial" w:cs="Arial"/>
          <w:sz w:val="24"/>
          <w:szCs w:val="24"/>
        </w:rPr>
        <w:t>JUDGMENT</w:t>
      </w:r>
      <w:r w:rsidR="00FE6761" w:rsidRPr="00AB52EE">
        <w:rPr>
          <w:rFonts w:ascii="Arial" w:hAnsi="Arial" w:cs="Arial"/>
          <w:sz w:val="24"/>
          <w:szCs w:val="24"/>
        </w:rPr>
        <w:t>:</w:t>
      </w:r>
      <w:r w:rsidR="00FE6761" w:rsidRPr="00AB52EE">
        <w:rPr>
          <w:rFonts w:ascii="Arial" w:hAnsi="Arial" w:cs="Arial"/>
          <w:sz w:val="24"/>
          <w:szCs w:val="24"/>
        </w:rPr>
        <w:tab/>
      </w:r>
      <w:r w:rsidR="00FE6761" w:rsidRPr="00AB52EE">
        <w:rPr>
          <w:rFonts w:ascii="Arial" w:hAnsi="Arial" w:cs="Arial"/>
          <w:sz w:val="24"/>
          <w:szCs w:val="24"/>
        </w:rPr>
        <w:tab/>
      </w:r>
      <w:r w:rsidR="00FE6761" w:rsidRPr="00AB52EE">
        <w:rPr>
          <w:rFonts w:ascii="Arial" w:hAnsi="Arial" w:cs="Arial"/>
          <w:sz w:val="24"/>
          <w:szCs w:val="24"/>
        </w:rPr>
        <w:tab/>
      </w:r>
      <w:r w:rsidR="00FE6761" w:rsidRPr="00AB52EE">
        <w:rPr>
          <w:rFonts w:ascii="Arial" w:hAnsi="Arial" w:cs="Arial"/>
          <w:sz w:val="24"/>
          <w:szCs w:val="24"/>
        </w:rPr>
        <w:tab/>
      </w:r>
      <w:r w:rsidR="0012530E" w:rsidRPr="00AB52EE">
        <w:rPr>
          <w:rFonts w:ascii="Arial" w:hAnsi="Arial" w:cs="Arial"/>
          <w:sz w:val="24"/>
          <w:szCs w:val="24"/>
        </w:rPr>
        <w:t>2</w:t>
      </w:r>
      <w:r w:rsidR="00BC606E">
        <w:rPr>
          <w:rFonts w:ascii="Arial" w:hAnsi="Arial" w:cs="Arial"/>
          <w:sz w:val="24"/>
          <w:szCs w:val="24"/>
        </w:rPr>
        <w:t>3</w:t>
      </w:r>
      <w:r w:rsidR="0012530E" w:rsidRPr="00AB52EE">
        <w:rPr>
          <w:rFonts w:ascii="Arial" w:hAnsi="Arial" w:cs="Arial"/>
          <w:sz w:val="24"/>
          <w:szCs w:val="24"/>
        </w:rPr>
        <w:t xml:space="preserve"> November </w:t>
      </w:r>
      <w:r w:rsidR="00FE6761" w:rsidRPr="00AB52EE">
        <w:rPr>
          <w:rFonts w:ascii="Arial" w:hAnsi="Arial" w:cs="Arial"/>
          <w:sz w:val="24"/>
          <w:szCs w:val="24"/>
        </w:rPr>
        <w:t>2023</w:t>
      </w:r>
      <w:r w:rsidR="00692D17">
        <w:rPr>
          <w:rFonts w:ascii="Arial" w:hAnsi="Arial" w:cs="Arial"/>
          <w:sz w:val="24"/>
          <w:szCs w:val="24"/>
        </w:rPr>
        <w:t xml:space="preserve"> (revised 26 November 2023)</w:t>
      </w:r>
    </w:p>
    <w:p w14:paraId="14143EA4" w14:textId="0C756D95" w:rsidR="009216AB" w:rsidRPr="00AB52EE" w:rsidRDefault="009216AB" w:rsidP="009216AB">
      <w:pPr>
        <w:widowControl w:val="0"/>
        <w:spacing w:after="120" w:line="240" w:lineRule="auto"/>
        <w:jc w:val="left"/>
        <w:rPr>
          <w:rFonts w:ascii="Arial" w:hAnsi="Arial" w:cs="Arial"/>
          <w:sz w:val="24"/>
          <w:szCs w:val="24"/>
        </w:rPr>
      </w:pPr>
    </w:p>
    <w:p w14:paraId="0FF9B01E" w14:textId="77777777" w:rsidR="00F95AEC" w:rsidRPr="00AB52EE" w:rsidRDefault="00F95AEC" w:rsidP="009216AB">
      <w:pPr>
        <w:widowControl w:val="0"/>
        <w:spacing w:after="120" w:line="240" w:lineRule="auto"/>
        <w:jc w:val="left"/>
        <w:rPr>
          <w:rFonts w:ascii="Arial" w:hAnsi="Arial" w:cs="Arial"/>
          <w:sz w:val="24"/>
          <w:szCs w:val="24"/>
          <w:u w:val="single"/>
        </w:rPr>
      </w:pPr>
    </w:p>
    <w:p w14:paraId="127291A0" w14:textId="634974D7" w:rsidR="00D202C2" w:rsidRPr="00AB52EE" w:rsidRDefault="00D202C2" w:rsidP="006E477C">
      <w:pPr>
        <w:widowControl w:val="0"/>
        <w:spacing w:after="120" w:line="360" w:lineRule="auto"/>
        <w:jc w:val="left"/>
        <w:rPr>
          <w:rFonts w:ascii="Arial" w:hAnsi="Arial" w:cs="Arial"/>
          <w:sz w:val="24"/>
          <w:szCs w:val="24"/>
        </w:rPr>
      </w:pPr>
      <w:r w:rsidRPr="00AB52EE">
        <w:rPr>
          <w:rFonts w:ascii="Arial" w:hAnsi="Arial" w:cs="Arial"/>
          <w:sz w:val="24"/>
          <w:szCs w:val="24"/>
          <w:u w:val="single"/>
        </w:rPr>
        <w:t>APPEARANCES</w:t>
      </w:r>
    </w:p>
    <w:p w14:paraId="4015F546" w14:textId="35D762DA" w:rsidR="003A6A01" w:rsidRPr="00AB52EE" w:rsidRDefault="00FE6761" w:rsidP="00F35BCB">
      <w:pPr>
        <w:widowControl w:val="0"/>
        <w:autoSpaceDE w:val="0"/>
        <w:autoSpaceDN w:val="0"/>
        <w:adjustRightInd w:val="0"/>
        <w:spacing w:before="240" w:line="360" w:lineRule="auto"/>
        <w:ind w:left="5040" w:hanging="5040"/>
        <w:rPr>
          <w:rFonts w:ascii="Arial" w:hAnsi="Arial" w:cs="Arial"/>
          <w:sz w:val="24"/>
          <w:szCs w:val="24"/>
        </w:rPr>
      </w:pPr>
      <w:bookmarkStart w:id="25" w:name="_Hlk151581821"/>
      <w:r w:rsidRPr="00AB52EE">
        <w:rPr>
          <w:rFonts w:ascii="Arial" w:hAnsi="Arial" w:cs="Arial"/>
          <w:sz w:val="24"/>
          <w:szCs w:val="24"/>
        </w:rPr>
        <w:t xml:space="preserve">For </w:t>
      </w:r>
      <w:r w:rsidR="00636C6A" w:rsidRPr="00AB52EE">
        <w:rPr>
          <w:rFonts w:ascii="Arial" w:hAnsi="Arial" w:cs="Arial"/>
          <w:sz w:val="24"/>
          <w:szCs w:val="24"/>
        </w:rPr>
        <w:t>the applicant</w:t>
      </w:r>
      <w:r w:rsidR="00F35BCB">
        <w:rPr>
          <w:rFonts w:ascii="Arial" w:hAnsi="Arial" w:cs="Arial"/>
          <w:sz w:val="24"/>
          <w:szCs w:val="24"/>
        </w:rPr>
        <w:t xml:space="preserve"> </w:t>
      </w:r>
      <w:r w:rsidR="00F35BCB" w:rsidRPr="00AB52EE">
        <w:rPr>
          <w:rFonts w:ascii="Arial" w:hAnsi="Arial" w:cs="Arial"/>
          <w:sz w:val="24"/>
          <w:szCs w:val="24"/>
        </w:rPr>
        <w:t>(Supercart):</w:t>
      </w:r>
      <w:r w:rsidR="00636C6A" w:rsidRPr="00AB52EE">
        <w:rPr>
          <w:rFonts w:ascii="Arial" w:hAnsi="Arial" w:cs="Arial"/>
          <w:sz w:val="24"/>
          <w:szCs w:val="24"/>
        </w:rPr>
        <w:tab/>
        <w:t>O Salmon SC &amp; K Iles instructed by Werksmans</w:t>
      </w:r>
      <w:r w:rsidR="00F35BCB">
        <w:rPr>
          <w:rFonts w:ascii="Arial" w:hAnsi="Arial" w:cs="Arial"/>
          <w:sz w:val="24"/>
          <w:szCs w:val="24"/>
        </w:rPr>
        <w:t xml:space="preserve"> </w:t>
      </w:r>
      <w:r w:rsidRPr="00AB52EE">
        <w:rPr>
          <w:rFonts w:ascii="Arial" w:hAnsi="Arial" w:cs="Arial"/>
          <w:sz w:val="24"/>
          <w:szCs w:val="24"/>
        </w:rPr>
        <w:tab/>
      </w:r>
      <w:r w:rsidR="00F95AEC" w:rsidRPr="00AB52EE">
        <w:rPr>
          <w:rFonts w:ascii="Arial" w:hAnsi="Arial" w:cs="Arial"/>
          <w:sz w:val="24"/>
          <w:szCs w:val="24"/>
        </w:rPr>
        <w:t xml:space="preserve"> Attorneys</w:t>
      </w:r>
    </w:p>
    <w:p w14:paraId="779AB613" w14:textId="02CDB15F" w:rsidR="00636C6A" w:rsidRPr="00AB52EE" w:rsidRDefault="00636C6A" w:rsidP="00214B4A">
      <w:pPr>
        <w:widowControl w:val="0"/>
        <w:autoSpaceDE w:val="0"/>
        <w:autoSpaceDN w:val="0"/>
        <w:adjustRightInd w:val="0"/>
        <w:spacing w:before="240" w:line="360" w:lineRule="auto"/>
        <w:ind w:left="5040" w:hanging="5040"/>
        <w:rPr>
          <w:rFonts w:ascii="Arial" w:hAnsi="Arial" w:cs="Arial"/>
          <w:sz w:val="24"/>
          <w:szCs w:val="24"/>
        </w:rPr>
      </w:pPr>
      <w:r w:rsidRPr="00AB52EE">
        <w:rPr>
          <w:rFonts w:ascii="Arial" w:hAnsi="Arial" w:cs="Arial"/>
          <w:sz w:val="24"/>
          <w:szCs w:val="24"/>
        </w:rPr>
        <w:t xml:space="preserve">For the respondents </w:t>
      </w:r>
      <w:r w:rsidR="00F35BCB" w:rsidRPr="00AB52EE">
        <w:rPr>
          <w:rFonts w:ascii="Arial" w:hAnsi="Arial" w:cs="Arial"/>
          <w:sz w:val="24"/>
          <w:szCs w:val="24"/>
        </w:rPr>
        <w:t>(Vanesco and Mr Case):</w:t>
      </w:r>
      <w:r w:rsidRPr="00AB52EE">
        <w:rPr>
          <w:rFonts w:ascii="Arial" w:hAnsi="Arial" w:cs="Arial"/>
          <w:sz w:val="24"/>
          <w:szCs w:val="24"/>
        </w:rPr>
        <w:tab/>
        <w:t>D Vetten instructed by Martini-Patlansky Attorneys</w:t>
      </w:r>
      <w:bookmarkEnd w:id="25"/>
    </w:p>
    <w:sectPr w:rsidR="00636C6A" w:rsidRPr="00AB52EE" w:rsidSect="008B50FE">
      <w:headerReference w:type="even" r:id="rId16"/>
      <w:headerReference w:type="default" r:id="rId17"/>
      <w:pgSz w:w="11906" w:h="16838"/>
      <w:pgMar w:top="1440" w:right="1440" w:bottom="1440"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1">
      <wne:acd wne:acdName="acd2"/>
    </wne:keymap>
  </wne:keymaps>
  <wne:toolbars>
    <wne:acdManifest>
      <wne:acdEntry wne:acdName="acd0"/>
      <wne:acdEntry wne:acdName="acd1"/>
      <wne:acdEntry wne:acdName="acd2"/>
    </wne:acdManifest>
  </wne:toolbars>
  <wne:acds>
    <wne:acd wne:acdName="acd0" wne:fciIndexBasedOn="0065"/>
    <wne:acd wne:argValue="AgBMAEMAMgA=" wne:acdName="acd1" wne:fciIndexBasedOn="0065"/>
    <wne:acd wne:argValue="AgBMAEMAM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D1EBF" w14:textId="77777777" w:rsidR="003E461B" w:rsidRDefault="003E461B" w:rsidP="00D202C2">
      <w:pPr>
        <w:spacing w:line="240" w:lineRule="auto"/>
      </w:pPr>
      <w:r>
        <w:separator/>
      </w:r>
    </w:p>
  </w:endnote>
  <w:endnote w:type="continuationSeparator" w:id="0">
    <w:p w14:paraId="2AEBFEB1" w14:textId="77777777" w:rsidR="003E461B" w:rsidRDefault="003E461B" w:rsidP="00D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BE15A" w14:textId="77777777" w:rsidR="003E461B" w:rsidRDefault="003E461B" w:rsidP="00D202C2">
      <w:pPr>
        <w:spacing w:line="240" w:lineRule="auto"/>
      </w:pPr>
      <w:r>
        <w:separator/>
      </w:r>
    </w:p>
  </w:footnote>
  <w:footnote w:type="continuationSeparator" w:id="0">
    <w:p w14:paraId="10351904" w14:textId="77777777" w:rsidR="003E461B" w:rsidRDefault="003E461B" w:rsidP="00D202C2">
      <w:pPr>
        <w:spacing w:line="240" w:lineRule="auto"/>
      </w:pPr>
      <w:r>
        <w:continuationSeparator/>
      </w:r>
    </w:p>
  </w:footnote>
  <w:footnote w:id="1">
    <w:p w14:paraId="6E9F44D4" w14:textId="363A1DE8" w:rsidR="00CA0D4C" w:rsidRPr="005142F1" w:rsidRDefault="00CA0D4C">
      <w:pPr>
        <w:pStyle w:val="FootnoteText"/>
        <w:rPr>
          <w:rFonts w:cs="Arial"/>
          <w:szCs w:val="20"/>
        </w:rPr>
      </w:pPr>
      <w:r w:rsidRPr="005142F1">
        <w:rPr>
          <w:rStyle w:val="FootnoteReference"/>
        </w:rPr>
        <w:footnoteRef/>
      </w:r>
      <w:r w:rsidRPr="005142F1">
        <w:rPr>
          <w:rFonts w:cs="Arial"/>
          <w:szCs w:val="20"/>
        </w:rPr>
        <w:t xml:space="preserve"> Vanesco and Mr Case are cited in the headings </w:t>
      </w:r>
      <w:r w:rsidR="002A135E">
        <w:rPr>
          <w:rFonts w:cs="Arial"/>
          <w:szCs w:val="20"/>
        </w:rPr>
        <w:t xml:space="preserve">and bodies </w:t>
      </w:r>
      <w:r w:rsidRPr="005142F1">
        <w:rPr>
          <w:rFonts w:cs="Arial"/>
          <w:szCs w:val="20"/>
        </w:rPr>
        <w:t xml:space="preserve">of the various affidavits filed in the reconsideration </w:t>
      </w:r>
      <w:r w:rsidR="002A135E">
        <w:rPr>
          <w:rFonts w:cs="Arial"/>
          <w:szCs w:val="20"/>
        </w:rPr>
        <w:t xml:space="preserve">proceedings </w:t>
      </w:r>
      <w:r w:rsidRPr="005142F1">
        <w:rPr>
          <w:rFonts w:cs="Arial"/>
          <w:szCs w:val="20"/>
        </w:rPr>
        <w:t xml:space="preserve">as the “first applicant” and “second applicant” respectively, and Supercart is cited as “the respondent”. In my view, these </w:t>
      </w:r>
      <w:r w:rsidR="002A135E">
        <w:rPr>
          <w:rFonts w:cs="Arial"/>
          <w:szCs w:val="20"/>
        </w:rPr>
        <w:t xml:space="preserve">appellations </w:t>
      </w:r>
      <w:r w:rsidRPr="005142F1">
        <w:rPr>
          <w:rFonts w:cs="Arial"/>
          <w:szCs w:val="20"/>
        </w:rPr>
        <w:t xml:space="preserve">are </w:t>
      </w:r>
      <w:r w:rsidR="00C117AE">
        <w:rPr>
          <w:rFonts w:cs="Arial"/>
          <w:szCs w:val="20"/>
        </w:rPr>
        <w:t xml:space="preserve">somewhat </w:t>
      </w:r>
      <w:r w:rsidRPr="005142F1">
        <w:rPr>
          <w:rFonts w:cs="Arial"/>
          <w:szCs w:val="20"/>
        </w:rPr>
        <w:t xml:space="preserve">confusing and potentially misleading. I have thus followed the convention adopted </w:t>
      </w:r>
      <w:r w:rsidR="00F0520F">
        <w:rPr>
          <w:rFonts w:cs="Arial"/>
          <w:szCs w:val="20"/>
        </w:rPr>
        <w:t xml:space="preserve">by a full bench of this Division </w:t>
      </w:r>
      <w:r w:rsidRPr="005142F1">
        <w:rPr>
          <w:rFonts w:cs="Arial"/>
          <w:szCs w:val="20"/>
        </w:rPr>
        <w:t xml:space="preserve">in </w:t>
      </w:r>
      <w:r w:rsidR="00F0520F" w:rsidRPr="005142F1">
        <w:rPr>
          <w:rFonts w:cs="Arial"/>
          <w:i/>
          <w:iCs/>
          <w:szCs w:val="20"/>
        </w:rPr>
        <w:t>Mazetti Management Services (Pty) Ltd and another v Amabhungane Centre for Investigative Journalism NPC and others</w:t>
      </w:r>
      <w:r w:rsidR="00F0520F" w:rsidRPr="005142F1">
        <w:rPr>
          <w:rFonts w:cs="Arial"/>
          <w:szCs w:val="20"/>
        </w:rPr>
        <w:t xml:space="preserve"> 2023 JDR 2338 (GJ) </w:t>
      </w:r>
      <w:r w:rsidRPr="005142F1">
        <w:rPr>
          <w:rFonts w:cs="Arial"/>
          <w:szCs w:val="20"/>
        </w:rPr>
        <w:t xml:space="preserve">of referring </w:t>
      </w:r>
      <w:r w:rsidR="005142F1">
        <w:rPr>
          <w:rFonts w:cs="Arial"/>
          <w:szCs w:val="20"/>
        </w:rPr>
        <w:t xml:space="preserve">in </w:t>
      </w:r>
      <w:r w:rsidR="00C117AE">
        <w:rPr>
          <w:rFonts w:cs="Arial"/>
          <w:szCs w:val="20"/>
        </w:rPr>
        <w:t xml:space="preserve">both </w:t>
      </w:r>
      <w:r w:rsidR="005142F1">
        <w:rPr>
          <w:rFonts w:cs="Arial"/>
          <w:szCs w:val="20"/>
        </w:rPr>
        <w:t>the heading and body of this judgment</w:t>
      </w:r>
      <w:r w:rsidR="005142F1" w:rsidRPr="005142F1">
        <w:rPr>
          <w:rFonts w:cs="Arial"/>
          <w:szCs w:val="20"/>
        </w:rPr>
        <w:t xml:space="preserve"> </w:t>
      </w:r>
      <w:r w:rsidRPr="005142F1">
        <w:rPr>
          <w:rFonts w:cs="Arial"/>
          <w:szCs w:val="20"/>
        </w:rPr>
        <w:t>to Supercart</w:t>
      </w:r>
      <w:r w:rsidR="002A135E">
        <w:rPr>
          <w:rFonts w:cs="Arial"/>
          <w:szCs w:val="20"/>
        </w:rPr>
        <w:t xml:space="preserve">, </w:t>
      </w:r>
      <w:r w:rsidRPr="005142F1">
        <w:rPr>
          <w:rFonts w:cs="Arial"/>
          <w:szCs w:val="20"/>
        </w:rPr>
        <w:t xml:space="preserve">which applied for and obtained the </w:t>
      </w:r>
      <w:r w:rsidRPr="005142F1">
        <w:rPr>
          <w:rFonts w:cs="Arial"/>
          <w:i/>
          <w:iCs/>
          <w:szCs w:val="20"/>
        </w:rPr>
        <w:t>ex parte</w:t>
      </w:r>
      <w:r w:rsidRPr="005142F1">
        <w:rPr>
          <w:rFonts w:cs="Arial"/>
          <w:szCs w:val="20"/>
        </w:rPr>
        <w:t xml:space="preserve"> order</w:t>
      </w:r>
      <w:r w:rsidR="002A135E">
        <w:rPr>
          <w:rFonts w:cs="Arial"/>
          <w:szCs w:val="20"/>
        </w:rPr>
        <w:t>,</w:t>
      </w:r>
      <w:r w:rsidRPr="005142F1">
        <w:rPr>
          <w:rFonts w:cs="Arial"/>
          <w:szCs w:val="20"/>
        </w:rPr>
        <w:t xml:space="preserve"> as the “applicant”, and to Vanesco and Mr Case</w:t>
      </w:r>
      <w:r w:rsidR="002A135E">
        <w:rPr>
          <w:rFonts w:cs="Arial"/>
          <w:szCs w:val="20"/>
        </w:rPr>
        <w:t>,</w:t>
      </w:r>
      <w:r w:rsidRPr="005142F1">
        <w:rPr>
          <w:rFonts w:cs="Arial"/>
          <w:szCs w:val="20"/>
        </w:rPr>
        <w:t xml:space="preserve"> who seek its reconsideration</w:t>
      </w:r>
      <w:r w:rsidR="002A135E">
        <w:rPr>
          <w:rFonts w:cs="Arial"/>
          <w:szCs w:val="20"/>
        </w:rPr>
        <w:t>,</w:t>
      </w:r>
      <w:r w:rsidRPr="005142F1">
        <w:rPr>
          <w:rFonts w:cs="Arial"/>
          <w:szCs w:val="20"/>
        </w:rPr>
        <w:t xml:space="preserve"> as “the respondents”.</w:t>
      </w:r>
    </w:p>
  </w:footnote>
  <w:footnote w:id="2">
    <w:p w14:paraId="1628B28A" w14:textId="455BEAB9" w:rsidR="00D066B9" w:rsidRPr="005142F1" w:rsidRDefault="00D066B9">
      <w:pPr>
        <w:pStyle w:val="FootnoteText"/>
        <w:rPr>
          <w:rFonts w:cs="Arial"/>
          <w:szCs w:val="20"/>
        </w:rPr>
      </w:pPr>
      <w:r w:rsidRPr="005142F1">
        <w:rPr>
          <w:rStyle w:val="FootnoteReference"/>
        </w:rPr>
        <w:footnoteRef/>
      </w:r>
      <w:r w:rsidRPr="005142F1">
        <w:rPr>
          <w:rFonts w:cs="Arial"/>
          <w:szCs w:val="20"/>
        </w:rPr>
        <w:t xml:space="preserve"> The</w:t>
      </w:r>
      <w:r w:rsidR="00F5069B" w:rsidRPr="005142F1">
        <w:rPr>
          <w:rFonts w:cs="Arial"/>
          <w:szCs w:val="20"/>
        </w:rPr>
        <w:t xml:space="preserve"> </w:t>
      </w:r>
      <w:r w:rsidR="00F5069B" w:rsidRPr="005142F1">
        <w:rPr>
          <w:rFonts w:cs="Arial"/>
          <w:szCs w:val="20"/>
          <w:lang w:eastAsia="en-ZA"/>
        </w:rPr>
        <w:t>Anton Piller</w:t>
      </w:r>
      <w:r w:rsidRPr="005142F1">
        <w:rPr>
          <w:rFonts w:cs="Arial"/>
          <w:szCs w:val="20"/>
        </w:rPr>
        <w:t xml:space="preserve"> order as amended is (as may be expected in such matters) extensive, running to more than 15 typescript pages and while it is challenged in its entirety, </w:t>
      </w:r>
      <w:r w:rsidR="00A02BC7">
        <w:rPr>
          <w:rFonts w:cs="Arial"/>
          <w:szCs w:val="20"/>
        </w:rPr>
        <w:t xml:space="preserve">many </w:t>
      </w:r>
      <w:r w:rsidRPr="005142F1">
        <w:rPr>
          <w:rFonts w:cs="Arial"/>
          <w:szCs w:val="20"/>
        </w:rPr>
        <w:t xml:space="preserve">of its provisions are uncontroversial in their own right. </w:t>
      </w:r>
      <w:r w:rsidR="000E14D0">
        <w:rPr>
          <w:rFonts w:cs="Arial"/>
          <w:szCs w:val="20"/>
        </w:rPr>
        <w:t xml:space="preserve">I </w:t>
      </w:r>
      <w:r w:rsidRPr="005142F1">
        <w:rPr>
          <w:rFonts w:cs="Arial"/>
          <w:szCs w:val="20"/>
        </w:rPr>
        <w:t xml:space="preserve">therefore </w:t>
      </w:r>
      <w:r w:rsidR="000E14D0">
        <w:rPr>
          <w:rFonts w:cs="Arial"/>
          <w:szCs w:val="20"/>
        </w:rPr>
        <w:t xml:space="preserve">do not </w:t>
      </w:r>
      <w:r w:rsidRPr="005142F1">
        <w:rPr>
          <w:rFonts w:cs="Arial"/>
          <w:szCs w:val="20"/>
        </w:rPr>
        <w:t xml:space="preserve">repeat it </w:t>
      </w:r>
      <w:r w:rsidRPr="005142F1">
        <w:rPr>
          <w:rFonts w:cs="Arial"/>
          <w:i/>
          <w:iCs/>
          <w:szCs w:val="20"/>
        </w:rPr>
        <w:t>in extenso</w:t>
      </w:r>
      <w:r w:rsidRPr="005142F1">
        <w:rPr>
          <w:rFonts w:cs="Arial"/>
          <w:szCs w:val="20"/>
        </w:rPr>
        <w:t xml:space="preserve"> in the body of this judgment. </w:t>
      </w:r>
      <w:r w:rsidR="005E307C">
        <w:rPr>
          <w:rFonts w:cs="Arial"/>
          <w:szCs w:val="20"/>
        </w:rPr>
        <w:t xml:space="preserve">The </w:t>
      </w:r>
      <w:r w:rsidRPr="005142F1">
        <w:rPr>
          <w:rFonts w:cs="Arial"/>
          <w:szCs w:val="20"/>
        </w:rPr>
        <w:t xml:space="preserve">wording of </w:t>
      </w:r>
      <w:r w:rsidR="005E307C">
        <w:rPr>
          <w:rFonts w:cs="Arial"/>
          <w:szCs w:val="20"/>
        </w:rPr>
        <w:t xml:space="preserve">the </w:t>
      </w:r>
      <w:r w:rsidRPr="005142F1">
        <w:rPr>
          <w:rFonts w:cs="Arial"/>
          <w:szCs w:val="20"/>
        </w:rPr>
        <w:t xml:space="preserve">specific </w:t>
      </w:r>
      <w:r w:rsidR="00D720DB" w:rsidRPr="005142F1">
        <w:rPr>
          <w:rFonts w:cs="Arial"/>
          <w:szCs w:val="20"/>
        </w:rPr>
        <w:t xml:space="preserve">paragraphs </w:t>
      </w:r>
      <w:r w:rsidR="005E307C">
        <w:rPr>
          <w:rFonts w:cs="Arial"/>
          <w:szCs w:val="20"/>
        </w:rPr>
        <w:t xml:space="preserve">that </w:t>
      </w:r>
      <w:r w:rsidRPr="005142F1">
        <w:rPr>
          <w:rFonts w:cs="Arial"/>
          <w:szCs w:val="20"/>
        </w:rPr>
        <w:t>require consideration</w:t>
      </w:r>
      <w:r w:rsidR="005E307C">
        <w:rPr>
          <w:rFonts w:cs="Arial"/>
          <w:szCs w:val="20"/>
        </w:rPr>
        <w:t xml:space="preserve"> are </w:t>
      </w:r>
      <w:r w:rsidRPr="005142F1">
        <w:rPr>
          <w:rFonts w:cs="Arial"/>
          <w:szCs w:val="20"/>
        </w:rPr>
        <w:t>quoted</w:t>
      </w:r>
      <w:r w:rsidR="005E307C">
        <w:rPr>
          <w:rFonts w:cs="Arial"/>
          <w:szCs w:val="20"/>
        </w:rPr>
        <w:t xml:space="preserve"> below</w:t>
      </w:r>
      <w:r w:rsidRPr="005142F1">
        <w:rPr>
          <w:rFonts w:cs="Arial"/>
          <w:szCs w:val="20"/>
        </w:rPr>
        <w:t>.</w:t>
      </w:r>
    </w:p>
  </w:footnote>
  <w:footnote w:id="3">
    <w:p w14:paraId="2FB30CEE" w14:textId="6AEFD416" w:rsidR="000E14D0" w:rsidRDefault="000E14D0">
      <w:pPr>
        <w:pStyle w:val="FootnoteText"/>
      </w:pPr>
      <w:r>
        <w:rPr>
          <w:rStyle w:val="FootnoteReference"/>
        </w:rPr>
        <w:footnoteRef/>
      </w:r>
      <w:r>
        <w:t xml:space="preserve"> The respondents allege that certain members of the search parties were not independent. This is </w:t>
      </w:r>
      <w:r w:rsidR="0050312D">
        <w:t xml:space="preserve">considered </w:t>
      </w:r>
      <w:r>
        <w:t>below.</w:t>
      </w:r>
    </w:p>
  </w:footnote>
  <w:footnote w:id="4">
    <w:p w14:paraId="31E92D5C" w14:textId="44A9F4C9" w:rsidR="00246A22" w:rsidRPr="005142F1" w:rsidRDefault="00246A22" w:rsidP="00246A22">
      <w:pPr>
        <w:pStyle w:val="FootnoteText"/>
        <w:rPr>
          <w:rFonts w:cs="Arial"/>
          <w:szCs w:val="20"/>
        </w:rPr>
      </w:pPr>
      <w:r w:rsidRPr="005142F1">
        <w:rPr>
          <w:rStyle w:val="FootnoteReference"/>
        </w:rPr>
        <w:footnoteRef/>
      </w:r>
      <w:r w:rsidRPr="005142F1">
        <w:rPr>
          <w:rFonts w:cs="Arial"/>
          <w:szCs w:val="20"/>
        </w:rPr>
        <w:t xml:space="preserve"> Winston Churchill, radio broadcast 1 October 1939: “</w:t>
      </w:r>
      <w:r w:rsidRPr="005142F1">
        <w:rPr>
          <w:rFonts w:cs="Arial"/>
          <w:i/>
          <w:iCs/>
          <w:szCs w:val="20"/>
        </w:rPr>
        <w:t>I cannot forecast to you the action of Russia. It is a riddle, wrapped in a mystery, inside an enigma</w:t>
      </w:r>
      <w:r w:rsidR="002A135E">
        <w:rPr>
          <w:rFonts w:cs="Arial"/>
          <w:i/>
          <w:iCs/>
          <w:szCs w:val="20"/>
        </w:rPr>
        <w:t>…</w:t>
      </w:r>
      <w:r w:rsidRPr="005142F1">
        <w:rPr>
          <w:rFonts w:cs="Arial"/>
          <w:i/>
          <w:iCs/>
          <w:szCs w:val="20"/>
        </w:rPr>
        <w:t>.</w:t>
      </w:r>
      <w:r w:rsidRPr="005142F1">
        <w:rPr>
          <w:rFonts w:cs="Arial"/>
          <w:szCs w:val="20"/>
        </w:rPr>
        <w:t xml:space="preserve">” </w:t>
      </w:r>
    </w:p>
  </w:footnote>
  <w:footnote w:id="5">
    <w:p w14:paraId="0CD0B7DF" w14:textId="56F342EB" w:rsidR="001F44B3" w:rsidRPr="005142F1" w:rsidRDefault="001F44B3" w:rsidP="001F44B3">
      <w:pPr>
        <w:pStyle w:val="FootnoteText"/>
        <w:rPr>
          <w:rFonts w:cs="Arial"/>
          <w:szCs w:val="20"/>
        </w:rPr>
      </w:pPr>
      <w:r w:rsidRPr="005142F1">
        <w:rPr>
          <w:rStyle w:val="FootnoteReference"/>
        </w:rPr>
        <w:footnoteRef/>
      </w:r>
      <w:r w:rsidRPr="005142F1">
        <w:rPr>
          <w:rFonts w:cs="Arial"/>
          <w:szCs w:val="20"/>
        </w:rPr>
        <w:t xml:space="preserve"> </w:t>
      </w:r>
      <w:r w:rsidR="006753C6" w:rsidRPr="005142F1">
        <w:rPr>
          <w:rFonts w:cs="Arial"/>
          <w:szCs w:val="20"/>
        </w:rPr>
        <w:t>See</w:t>
      </w:r>
      <w:r w:rsidRPr="005142F1">
        <w:rPr>
          <w:rFonts w:cs="Arial"/>
          <w:szCs w:val="20"/>
        </w:rPr>
        <w:t xml:space="preserve"> </w:t>
      </w:r>
      <w:r w:rsidRPr="005142F1">
        <w:rPr>
          <w:rFonts w:cs="Arial"/>
          <w:i/>
          <w:iCs/>
          <w:szCs w:val="20"/>
        </w:rPr>
        <w:t>AllPay Cons Inv Holdings (Pty) Ltd v CEO, SASSA</w:t>
      </w:r>
      <w:r w:rsidRPr="005142F1">
        <w:rPr>
          <w:rFonts w:cs="Arial"/>
          <w:szCs w:val="20"/>
        </w:rPr>
        <w:t xml:space="preserve"> 2013 (4) SA 557 (SCA) para 15.</w:t>
      </w:r>
    </w:p>
  </w:footnote>
  <w:footnote w:id="6">
    <w:p w14:paraId="573E9D6D" w14:textId="43BA8532" w:rsidR="007B4D40" w:rsidRPr="005142F1" w:rsidRDefault="007B4D40">
      <w:pPr>
        <w:pStyle w:val="FootnoteText"/>
        <w:rPr>
          <w:rFonts w:cs="Arial"/>
          <w:szCs w:val="20"/>
        </w:rPr>
      </w:pPr>
      <w:r w:rsidRPr="005142F1">
        <w:rPr>
          <w:rStyle w:val="FootnoteReference"/>
        </w:rPr>
        <w:footnoteRef/>
      </w:r>
      <w:r w:rsidRPr="005142F1">
        <w:rPr>
          <w:rFonts w:cs="Arial"/>
          <w:szCs w:val="20"/>
        </w:rPr>
        <w:t xml:space="preserve"> Now reported as </w:t>
      </w:r>
      <w:r w:rsidRPr="005142F1">
        <w:rPr>
          <w:rFonts w:cs="Arial"/>
          <w:i/>
          <w:iCs/>
          <w:szCs w:val="20"/>
        </w:rPr>
        <w:t>M</w:t>
      </w:r>
      <w:r w:rsidR="00A02BC7">
        <w:rPr>
          <w:rFonts w:cs="Arial"/>
          <w:i/>
          <w:iCs/>
          <w:szCs w:val="20"/>
        </w:rPr>
        <w:t>TN</w:t>
      </w:r>
      <w:r w:rsidRPr="005142F1">
        <w:rPr>
          <w:rFonts w:cs="Arial"/>
          <w:i/>
          <w:iCs/>
          <w:szCs w:val="20"/>
        </w:rPr>
        <w:t xml:space="preserve"> (Pty) Ltd v Madzonga and Others</w:t>
      </w:r>
      <w:r w:rsidRPr="005142F1">
        <w:rPr>
          <w:rFonts w:cs="Arial"/>
          <w:szCs w:val="20"/>
        </w:rPr>
        <w:t xml:space="preserve"> 2023 (5) SA 548 (GJ).</w:t>
      </w:r>
    </w:p>
  </w:footnote>
  <w:footnote w:id="7">
    <w:p w14:paraId="77EF1A07" w14:textId="103F738C" w:rsidR="00455E30" w:rsidRPr="005142F1" w:rsidRDefault="00455E30">
      <w:pPr>
        <w:pStyle w:val="FootnoteText"/>
        <w:rPr>
          <w:rFonts w:cs="Arial"/>
          <w:szCs w:val="20"/>
        </w:rPr>
      </w:pPr>
      <w:r w:rsidRPr="005142F1">
        <w:rPr>
          <w:rStyle w:val="FootnoteReference"/>
        </w:rPr>
        <w:footnoteRef/>
      </w:r>
      <w:r w:rsidRPr="005142F1">
        <w:rPr>
          <w:rFonts w:cs="Arial"/>
          <w:szCs w:val="20"/>
        </w:rPr>
        <w:t xml:space="preserve"> The </w:t>
      </w:r>
      <w:r w:rsidR="00F43690" w:rsidRPr="005142F1">
        <w:rPr>
          <w:rFonts w:cs="Arial"/>
          <w:szCs w:val="20"/>
        </w:rPr>
        <w:t xml:space="preserve">reasons given by </w:t>
      </w:r>
      <w:r w:rsidRPr="005142F1">
        <w:rPr>
          <w:rFonts w:cs="Arial"/>
          <w:szCs w:val="20"/>
        </w:rPr>
        <w:t xml:space="preserve">Unterhalter J </w:t>
      </w:r>
      <w:r w:rsidR="00F43690" w:rsidRPr="005142F1">
        <w:rPr>
          <w:rFonts w:cs="Arial"/>
          <w:szCs w:val="20"/>
        </w:rPr>
        <w:t xml:space="preserve">for the order granted by him did not form part of the papers </w:t>
      </w:r>
      <w:r w:rsidRPr="005142F1">
        <w:rPr>
          <w:rFonts w:cs="Arial"/>
          <w:szCs w:val="20"/>
        </w:rPr>
        <w:t xml:space="preserve">that served before me. I glean from the judgment of Gumbi </w:t>
      </w:r>
      <w:r w:rsidR="00F43690" w:rsidRPr="005142F1">
        <w:rPr>
          <w:rFonts w:cs="Arial"/>
          <w:szCs w:val="20"/>
        </w:rPr>
        <w:t>A</w:t>
      </w:r>
      <w:r w:rsidRPr="005142F1">
        <w:rPr>
          <w:rFonts w:cs="Arial"/>
          <w:szCs w:val="20"/>
        </w:rPr>
        <w:t xml:space="preserve">J (below) however, that the order was </w:t>
      </w:r>
      <w:r w:rsidR="00AF474E" w:rsidRPr="005142F1">
        <w:rPr>
          <w:rFonts w:cs="Arial"/>
          <w:szCs w:val="20"/>
        </w:rPr>
        <w:t>sought in terms of Rules 35(12) and (14)</w:t>
      </w:r>
      <w:r w:rsidR="00F43690" w:rsidRPr="005142F1">
        <w:rPr>
          <w:rFonts w:cs="Arial"/>
          <w:szCs w:val="20"/>
        </w:rPr>
        <w:t>.</w:t>
      </w:r>
      <w:r w:rsidR="00AF474E" w:rsidRPr="005142F1">
        <w:rPr>
          <w:rFonts w:cs="Arial"/>
          <w:szCs w:val="20"/>
        </w:rPr>
        <w:t xml:space="preserve"> </w:t>
      </w:r>
      <w:r w:rsidRPr="005142F1">
        <w:rPr>
          <w:rFonts w:cs="Arial"/>
          <w:szCs w:val="20"/>
        </w:rPr>
        <w:t xml:space="preserve">Whatever the precise relief </w:t>
      </w:r>
      <w:r w:rsidR="00AF474E" w:rsidRPr="005142F1">
        <w:rPr>
          <w:rFonts w:cs="Arial"/>
          <w:szCs w:val="20"/>
        </w:rPr>
        <w:t xml:space="preserve">and </w:t>
      </w:r>
      <w:r w:rsidRPr="005142F1">
        <w:rPr>
          <w:rFonts w:cs="Arial"/>
          <w:szCs w:val="20"/>
        </w:rPr>
        <w:t xml:space="preserve">basis </w:t>
      </w:r>
      <w:r w:rsidR="00AF474E" w:rsidRPr="005142F1">
        <w:rPr>
          <w:rFonts w:cs="Arial"/>
          <w:szCs w:val="20"/>
        </w:rPr>
        <w:t xml:space="preserve">for granting it </w:t>
      </w:r>
      <w:r w:rsidRPr="005142F1">
        <w:rPr>
          <w:rFonts w:cs="Arial"/>
          <w:szCs w:val="20"/>
        </w:rPr>
        <w:t>may have been</w:t>
      </w:r>
      <w:r w:rsidR="00AF474E" w:rsidRPr="005142F1">
        <w:rPr>
          <w:rFonts w:cs="Arial"/>
          <w:szCs w:val="20"/>
        </w:rPr>
        <w:t xml:space="preserve"> (Mr Case describe</w:t>
      </w:r>
      <w:r w:rsidR="00E43492" w:rsidRPr="005142F1">
        <w:rPr>
          <w:rFonts w:cs="Arial"/>
          <w:szCs w:val="20"/>
        </w:rPr>
        <w:t>s</w:t>
      </w:r>
      <w:r w:rsidR="00AF474E" w:rsidRPr="005142F1">
        <w:rPr>
          <w:rFonts w:cs="Arial"/>
          <w:szCs w:val="20"/>
        </w:rPr>
        <w:t xml:space="preserve"> it as a “novel extension of the law as it had been interpreted up until that time”)</w:t>
      </w:r>
      <w:r w:rsidRPr="005142F1">
        <w:rPr>
          <w:rFonts w:cs="Arial"/>
          <w:szCs w:val="20"/>
        </w:rPr>
        <w:t xml:space="preserve">, </w:t>
      </w:r>
      <w:r w:rsidR="00AF474E" w:rsidRPr="005142F1">
        <w:rPr>
          <w:rFonts w:cs="Arial"/>
          <w:szCs w:val="20"/>
        </w:rPr>
        <w:t xml:space="preserve">it is reasonable to assume that the </w:t>
      </w:r>
      <w:r w:rsidR="00A01AA1" w:rsidRPr="005142F1">
        <w:rPr>
          <w:rFonts w:cs="Arial"/>
          <w:szCs w:val="20"/>
        </w:rPr>
        <w:t>C</w:t>
      </w:r>
      <w:r w:rsidR="00AF474E" w:rsidRPr="005142F1">
        <w:rPr>
          <w:rFonts w:cs="Arial"/>
          <w:szCs w:val="20"/>
        </w:rPr>
        <w:t xml:space="preserve">ourt </w:t>
      </w:r>
      <w:r w:rsidR="009A5D24" w:rsidRPr="005142F1">
        <w:rPr>
          <w:rFonts w:cs="Arial"/>
          <w:szCs w:val="20"/>
        </w:rPr>
        <w:t>applied the principles applicable to Rule 35(13)</w:t>
      </w:r>
      <w:r w:rsidR="006753C6" w:rsidRPr="005142F1">
        <w:rPr>
          <w:rFonts w:cs="Arial"/>
          <w:szCs w:val="20"/>
        </w:rPr>
        <w:t>,</w:t>
      </w:r>
      <w:r w:rsidR="009A5D24" w:rsidRPr="005142F1">
        <w:rPr>
          <w:rFonts w:cs="Arial"/>
          <w:szCs w:val="20"/>
        </w:rPr>
        <w:t xml:space="preserve"> and </w:t>
      </w:r>
      <w:r w:rsidR="00AF474E" w:rsidRPr="005142F1">
        <w:rPr>
          <w:rFonts w:cs="Arial"/>
          <w:szCs w:val="20"/>
        </w:rPr>
        <w:t xml:space="preserve">was satisfied that </w:t>
      </w:r>
      <w:r w:rsidR="009A5D24" w:rsidRPr="005142F1">
        <w:rPr>
          <w:rFonts w:cs="Arial"/>
          <w:szCs w:val="20"/>
        </w:rPr>
        <w:t xml:space="preserve">Supercart had established </w:t>
      </w:r>
      <w:r w:rsidR="00AF474E" w:rsidRPr="005142F1">
        <w:rPr>
          <w:rFonts w:cs="Arial"/>
          <w:szCs w:val="20"/>
        </w:rPr>
        <w:t>exceptional circumstances</w:t>
      </w:r>
      <w:r w:rsidR="009A5D24" w:rsidRPr="005142F1">
        <w:rPr>
          <w:rFonts w:cs="Arial"/>
          <w:szCs w:val="20"/>
        </w:rPr>
        <w:t xml:space="preserve"> for the order </w:t>
      </w:r>
      <w:r w:rsidR="00F5069B" w:rsidRPr="005142F1">
        <w:rPr>
          <w:rFonts w:cs="Arial"/>
          <w:szCs w:val="20"/>
        </w:rPr>
        <w:t xml:space="preserve">granted </w:t>
      </w:r>
      <w:r w:rsidRPr="005142F1">
        <w:rPr>
          <w:rFonts w:cs="Arial"/>
          <w:szCs w:val="20"/>
        </w:rPr>
        <w:t>(</w:t>
      </w:r>
      <w:r w:rsidR="00AF474E" w:rsidRPr="005142F1">
        <w:rPr>
          <w:rFonts w:cs="Arial"/>
          <w:szCs w:val="20"/>
        </w:rPr>
        <w:t>cf.</w:t>
      </w:r>
      <w:r w:rsidRPr="005142F1">
        <w:rPr>
          <w:rFonts w:cs="Arial"/>
          <w:szCs w:val="20"/>
        </w:rPr>
        <w:t xml:space="preserve"> </w:t>
      </w:r>
      <w:r w:rsidRPr="005142F1">
        <w:rPr>
          <w:rFonts w:cs="Arial"/>
          <w:i/>
          <w:iCs/>
          <w:szCs w:val="20"/>
        </w:rPr>
        <w:t>STT</w:t>
      </w:r>
      <w:r w:rsidR="00AF474E" w:rsidRPr="005142F1">
        <w:rPr>
          <w:rFonts w:cs="Arial"/>
          <w:i/>
          <w:iCs/>
          <w:szCs w:val="20"/>
        </w:rPr>
        <w:t xml:space="preserve"> Sales (Pty) Ltd v Fourie and Others</w:t>
      </w:r>
      <w:r w:rsidR="00AF474E" w:rsidRPr="005142F1">
        <w:rPr>
          <w:rFonts w:cs="Arial"/>
          <w:szCs w:val="20"/>
        </w:rPr>
        <w:t xml:space="preserve"> 2010 (6) SA 272 (GSJ) para 13</w:t>
      </w:r>
      <w:r w:rsidRPr="005142F1">
        <w:rPr>
          <w:rFonts w:cs="Arial"/>
          <w:szCs w:val="20"/>
        </w:rPr>
        <w:t>)</w:t>
      </w:r>
      <w:r w:rsidR="00AF474E" w:rsidRPr="005142F1">
        <w:rPr>
          <w:rFonts w:cs="Arial"/>
          <w:szCs w:val="20"/>
        </w:rPr>
        <w:t>.</w:t>
      </w:r>
    </w:p>
  </w:footnote>
  <w:footnote w:id="8">
    <w:p w14:paraId="34D9EED5" w14:textId="47B09FC4" w:rsidR="00097DED" w:rsidRPr="005142F1" w:rsidRDefault="00097DED" w:rsidP="00097DED">
      <w:pPr>
        <w:pStyle w:val="FootnoteText"/>
        <w:rPr>
          <w:rFonts w:cs="Arial"/>
          <w:szCs w:val="20"/>
        </w:rPr>
      </w:pPr>
      <w:r w:rsidRPr="005142F1">
        <w:rPr>
          <w:rStyle w:val="FootnoteReference"/>
        </w:rPr>
        <w:footnoteRef/>
      </w:r>
      <w:r w:rsidRPr="005142F1">
        <w:rPr>
          <w:rFonts w:cs="Arial"/>
          <w:szCs w:val="20"/>
        </w:rPr>
        <w:t xml:space="preserve"> This is because the</w:t>
      </w:r>
      <w:r w:rsidR="00F5069B" w:rsidRPr="005142F1">
        <w:rPr>
          <w:rFonts w:cs="Arial"/>
          <w:szCs w:val="20"/>
        </w:rPr>
        <w:t xml:space="preserve"> </w:t>
      </w:r>
      <w:r w:rsidR="00F5069B" w:rsidRPr="005142F1">
        <w:rPr>
          <w:rFonts w:cs="Arial"/>
          <w:szCs w:val="20"/>
          <w:lang w:eastAsia="en-ZA"/>
        </w:rPr>
        <w:t>Anton Piller</w:t>
      </w:r>
      <w:r w:rsidRPr="005142F1">
        <w:rPr>
          <w:rFonts w:cs="Arial"/>
          <w:szCs w:val="20"/>
        </w:rPr>
        <w:t xml:space="preserve"> order contains two paragraphs numbered 15.</w:t>
      </w:r>
    </w:p>
  </w:footnote>
  <w:footnote w:id="9">
    <w:p w14:paraId="1178BC55" w14:textId="54EFDEAB" w:rsidR="009734A8" w:rsidRPr="005142F1" w:rsidRDefault="009734A8" w:rsidP="009734A8">
      <w:pPr>
        <w:pStyle w:val="FootnoteText"/>
        <w:rPr>
          <w:rFonts w:cs="Arial"/>
          <w:szCs w:val="20"/>
        </w:rPr>
      </w:pPr>
      <w:r w:rsidRPr="005142F1">
        <w:rPr>
          <w:rStyle w:val="FootnoteReference"/>
        </w:rPr>
        <w:footnoteRef/>
      </w:r>
      <w:r w:rsidRPr="005142F1">
        <w:rPr>
          <w:rFonts w:cs="Arial"/>
          <w:szCs w:val="20"/>
        </w:rPr>
        <w:t xml:space="preserve"> The </w:t>
      </w:r>
      <w:r w:rsidR="00F5069B" w:rsidRPr="005142F1">
        <w:rPr>
          <w:rFonts w:cs="Arial"/>
          <w:szCs w:val="20"/>
          <w:lang w:eastAsia="en-ZA"/>
        </w:rPr>
        <w:t xml:space="preserve">Anton Piller </w:t>
      </w:r>
      <w:r w:rsidRPr="005142F1">
        <w:rPr>
          <w:rFonts w:cs="Arial"/>
          <w:szCs w:val="20"/>
        </w:rPr>
        <w:t>order also contains two paragraphs numbered 16. This is a reference to the second of the two.</w:t>
      </w:r>
    </w:p>
  </w:footnote>
  <w:footnote w:id="10">
    <w:p w14:paraId="4B6124C7" w14:textId="61F56296" w:rsidR="006B38C6" w:rsidRPr="005142F1" w:rsidRDefault="006B38C6">
      <w:pPr>
        <w:pStyle w:val="FootnoteText"/>
        <w:rPr>
          <w:rFonts w:cs="Arial"/>
          <w:szCs w:val="20"/>
        </w:rPr>
      </w:pPr>
      <w:r w:rsidRPr="005142F1">
        <w:rPr>
          <w:rStyle w:val="FootnoteReference"/>
        </w:rPr>
        <w:footnoteRef/>
      </w:r>
      <w:r w:rsidRPr="005142F1">
        <w:rPr>
          <w:rFonts w:cs="Arial"/>
          <w:szCs w:val="20"/>
        </w:rPr>
        <w:t xml:space="preserve"> As I set out below with reference to the judgment in </w:t>
      </w:r>
      <w:r w:rsidRPr="005142F1">
        <w:rPr>
          <w:rFonts w:cs="Arial"/>
          <w:i/>
          <w:iCs/>
          <w:szCs w:val="20"/>
          <w:lang w:eastAsia="en-ZA"/>
        </w:rPr>
        <w:t>Retail Apparel (Pty) Ltd v Ensemble Trading 2243 CC and Others</w:t>
      </w:r>
      <w:r w:rsidRPr="005142F1">
        <w:rPr>
          <w:rFonts w:cs="Arial"/>
          <w:szCs w:val="20"/>
          <w:lang w:eastAsia="en-ZA"/>
        </w:rPr>
        <w:t xml:space="preserve"> 2001 (4) SA 228 (T) at 233F,</w:t>
      </w:r>
      <w:r w:rsidRPr="005142F1">
        <w:rPr>
          <w:rFonts w:cs="Arial"/>
          <w:szCs w:val="20"/>
        </w:rPr>
        <w:t xml:space="preserve"> this was not necessary. </w:t>
      </w:r>
    </w:p>
  </w:footnote>
  <w:footnote w:id="11">
    <w:p w14:paraId="40338BF6" w14:textId="1C040A04" w:rsidR="00327C18" w:rsidRPr="005142F1" w:rsidRDefault="00327C18" w:rsidP="00327C18">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Universal City Studios Inc. v Network Video</w:t>
      </w:r>
      <w:r w:rsidRPr="005142F1">
        <w:rPr>
          <w:rFonts w:cs="Arial"/>
          <w:szCs w:val="20"/>
        </w:rPr>
        <w:t xml:space="preserve"> 1986 (2) SA 734 (A) at </w:t>
      </w:r>
      <w:r w:rsidR="00F73C84" w:rsidRPr="005142F1">
        <w:rPr>
          <w:rFonts w:cs="Arial"/>
          <w:szCs w:val="20"/>
        </w:rPr>
        <w:t xml:space="preserve">751G-H and 754E – </w:t>
      </w:r>
      <w:r w:rsidRPr="005142F1">
        <w:rPr>
          <w:rFonts w:cs="Arial"/>
          <w:szCs w:val="20"/>
        </w:rPr>
        <w:t>755</w:t>
      </w:r>
      <w:r w:rsidR="001B3C80" w:rsidRPr="005142F1">
        <w:rPr>
          <w:rFonts w:cs="Arial"/>
          <w:szCs w:val="20"/>
        </w:rPr>
        <w:t>B</w:t>
      </w:r>
      <w:r w:rsidRPr="005142F1">
        <w:rPr>
          <w:rFonts w:cs="Arial"/>
          <w:szCs w:val="20"/>
        </w:rPr>
        <w:t xml:space="preserve">. </w:t>
      </w:r>
    </w:p>
  </w:footnote>
  <w:footnote w:id="12">
    <w:p w14:paraId="14A4A86D" w14:textId="01387737" w:rsidR="002F4137" w:rsidRPr="005142F1" w:rsidRDefault="002F4137" w:rsidP="002F4137">
      <w:pPr>
        <w:pStyle w:val="FootnoteText"/>
        <w:rPr>
          <w:rFonts w:cs="Arial"/>
          <w:szCs w:val="20"/>
        </w:rPr>
      </w:pPr>
      <w:r w:rsidRPr="005142F1">
        <w:rPr>
          <w:rStyle w:val="FootnoteReference"/>
        </w:rPr>
        <w:footnoteRef/>
      </w:r>
      <w:r w:rsidRPr="005142F1">
        <w:rPr>
          <w:rFonts w:cs="Arial"/>
          <w:szCs w:val="20"/>
        </w:rPr>
        <w:t xml:space="preserve"> </w:t>
      </w:r>
      <w:r w:rsidR="002A135E" w:rsidRPr="005142F1">
        <w:rPr>
          <w:rFonts w:cs="Arial"/>
          <w:i/>
          <w:iCs/>
          <w:szCs w:val="20"/>
        </w:rPr>
        <w:t xml:space="preserve">Universal City Studios </w:t>
      </w:r>
      <w:r w:rsidR="002A135E" w:rsidRPr="005142F1">
        <w:rPr>
          <w:rFonts w:cs="Arial"/>
          <w:szCs w:val="20"/>
        </w:rPr>
        <w:t>(above)</w:t>
      </w:r>
      <w:r w:rsidR="002A135E" w:rsidRPr="005142F1">
        <w:rPr>
          <w:rFonts w:cs="Arial"/>
          <w:i/>
          <w:iCs/>
          <w:szCs w:val="20"/>
        </w:rPr>
        <w:t xml:space="preserve"> </w:t>
      </w:r>
      <w:r w:rsidRPr="005142F1">
        <w:rPr>
          <w:rFonts w:cs="Arial"/>
          <w:szCs w:val="20"/>
        </w:rPr>
        <w:t>at 755C.</w:t>
      </w:r>
    </w:p>
  </w:footnote>
  <w:footnote w:id="13">
    <w:p w14:paraId="3AEB5DB9" w14:textId="6B0A467D" w:rsidR="000D22CA" w:rsidRPr="005142F1" w:rsidRDefault="000D22CA">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Shoba</w:t>
      </w:r>
      <w:r w:rsidRPr="005142F1">
        <w:rPr>
          <w:rFonts w:cs="Arial"/>
          <w:szCs w:val="20"/>
        </w:rPr>
        <w:t xml:space="preserve"> </w:t>
      </w:r>
      <w:r w:rsidRPr="005142F1">
        <w:rPr>
          <w:rFonts w:cs="Arial"/>
          <w:i/>
          <w:iCs/>
          <w:szCs w:val="20"/>
        </w:rPr>
        <w:t>v Officer Commanding, Temporary Police Camp, Wagendrift Dam, and Another; Maphanga v Officer Commanding, South African Police Murder and Robbery Unit, Pietermaritzburg, and Others</w:t>
      </w:r>
      <w:r w:rsidRPr="005142F1">
        <w:rPr>
          <w:rFonts w:cs="Arial"/>
          <w:szCs w:val="20"/>
        </w:rPr>
        <w:t xml:space="preserve"> 1995 (4) SA 1 (A) at 15G-I.</w:t>
      </w:r>
    </w:p>
  </w:footnote>
  <w:footnote w:id="14">
    <w:p w14:paraId="1F9F8685" w14:textId="23A6596E" w:rsidR="000D22CA" w:rsidRPr="005142F1" w:rsidRDefault="000D22CA">
      <w:pPr>
        <w:pStyle w:val="FootnoteText"/>
        <w:rPr>
          <w:rFonts w:cs="Arial"/>
          <w:szCs w:val="20"/>
        </w:rPr>
      </w:pPr>
      <w:r w:rsidRPr="005142F1">
        <w:rPr>
          <w:rStyle w:val="FootnoteReference"/>
        </w:rPr>
        <w:footnoteRef/>
      </w:r>
      <w:r w:rsidRPr="005142F1">
        <w:rPr>
          <w:rFonts w:cs="Arial"/>
          <w:szCs w:val="20"/>
        </w:rPr>
        <w:t xml:space="preserve"> </w:t>
      </w:r>
      <w:r w:rsidR="002A135E" w:rsidRPr="00C97476">
        <w:rPr>
          <w:rFonts w:cs="Arial"/>
          <w:i/>
          <w:iCs/>
          <w:szCs w:val="20"/>
        </w:rPr>
        <w:t>Shoba</w:t>
      </w:r>
      <w:r w:rsidR="002A135E">
        <w:rPr>
          <w:rFonts w:cs="Arial"/>
          <w:szCs w:val="20"/>
        </w:rPr>
        <w:t xml:space="preserve"> (above) </w:t>
      </w:r>
      <w:r w:rsidRPr="005142F1">
        <w:rPr>
          <w:rFonts w:cs="Arial"/>
          <w:szCs w:val="20"/>
        </w:rPr>
        <w:t>at 16</w:t>
      </w:r>
      <w:r w:rsidR="002A135E">
        <w:rPr>
          <w:rFonts w:cs="Arial"/>
          <w:szCs w:val="20"/>
        </w:rPr>
        <w:t>A</w:t>
      </w:r>
      <w:r w:rsidRPr="005142F1">
        <w:rPr>
          <w:rFonts w:cs="Arial"/>
          <w:szCs w:val="20"/>
        </w:rPr>
        <w:t>.</w:t>
      </w:r>
    </w:p>
  </w:footnote>
  <w:footnote w:id="15">
    <w:p w14:paraId="0401D67F" w14:textId="1B1190F1" w:rsidR="00EC457F" w:rsidRPr="005142F1" w:rsidRDefault="00EC457F">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Non-Detonating Solutions (Pty) Ltd v Durie</w:t>
      </w:r>
      <w:r w:rsidRPr="005142F1">
        <w:rPr>
          <w:rFonts w:cs="Arial"/>
          <w:szCs w:val="20"/>
        </w:rPr>
        <w:t> 2016 (3) SA 445 (SCA) para 21.</w:t>
      </w:r>
    </w:p>
  </w:footnote>
  <w:footnote w:id="16">
    <w:p w14:paraId="40F70196" w14:textId="510EC244" w:rsidR="00A73048" w:rsidRPr="005142F1" w:rsidRDefault="00A73048">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Non-Detonating Solutions </w:t>
      </w:r>
      <w:r w:rsidRPr="005142F1">
        <w:rPr>
          <w:rFonts w:cs="Arial"/>
          <w:szCs w:val="20"/>
        </w:rPr>
        <w:t>(</w:t>
      </w:r>
      <w:r w:rsidR="00EC457F" w:rsidRPr="005142F1">
        <w:rPr>
          <w:rFonts w:cs="Arial"/>
          <w:szCs w:val="20"/>
        </w:rPr>
        <w:t>above</w:t>
      </w:r>
      <w:r w:rsidRPr="005142F1">
        <w:rPr>
          <w:rFonts w:cs="Arial"/>
          <w:szCs w:val="20"/>
        </w:rPr>
        <w:t xml:space="preserve">) para 36, approving </w:t>
      </w:r>
      <w:r w:rsidRPr="005142F1">
        <w:rPr>
          <w:rFonts w:cs="Arial"/>
          <w:i/>
          <w:iCs/>
          <w:szCs w:val="20"/>
        </w:rPr>
        <w:t>Roamer Watch Co SA and Another v African Textile Distributors also t/a MK Patel Wholesale Merchants and Direct Importers</w:t>
      </w:r>
      <w:r w:rsidRPr="005142F1">
        <w:rPr>
          <w:rFonts w:cs="Arial"/>
          <w:szCs w:val="20"/>
        </w:rPr>
        <w:t xml:space="preserve"> 1980 (2) SA 254 (W) at 273C–274F</w:t>
      </w:r>
      <w:r w:rsidR="00E16BC8" w:rsidRPr="005142F1">
        <w:rPr>
          <w:rFonts w:cs="Arial"/>
          <w:szCs w:val="20"/>
        </w:rPr>
        <w:t xml:space="preserve">. </w:t>
      </w:r>
    </w:p>
  </w:footnote>
  <w:footnote w:id="17">
    <w:p w14:paraId="7C7402BF" w14:textId="17003724" w:rsidR="00FB1757" w:rsidRPr="005142F1" w:rsidRDefault="00FB1757" w:rsidP="00FB175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Viziya v Collaborit</w:t>
      </w:r>
      <w:r w:rsidRPr="005142F1">
        <w:rPr>
          <w:rFonts w:cs="Arial"/>
          <w:szCs w:val="20"/>
        </w:rPr>
        <w:t xml:space="preserve"> 2019 (3) SA 173 (SCA) para 39. </w:t>
      </w:r>
      <w:r w:rsidR="00C50F13">
        <w:rPr>
          <w:rFonts w:cs="Arial"/>
          <w:szCs w:val="20"/>
        </w:rPr>
        <w:t>T</w:t>
      </w:r>
      <w:r w:rsidRPr="005142F1">
        <w:rPr>
          <w:rFonts w:cs="Arial"/>
          <w:szCs w:val="20"/>
        </w:rPr>
        <w:t xml:space="preserve">he Court recognised that the scope of the search in that case (via 149 keywords) would always need to be comprehensive, but set aside the order for lack of specificity, </w:t>
      </w:r>
      <w:r w:rsidR="00C50F13">
        <w:rPr>
          <w:rFonts w:cs="Arial"/>
          <w:szCs w:val="20"/>
        </w:rPr>
        <w:t xml:space="preserve">because </w:t>
      </w:r>
      <w:r w:rsidRPr="005142F1">
        <w:rPr>
          <w:rFonts w:cs="Arial"/>
          <w:szCs w:val="20"/>
        </w:rPr>
        <w:t xml:space="preserve">the searchers would not be able to identify which of the information obtained as a result of the application of the keywords </w:t>
      </w:r>
      <w:r w:rsidR="00C50F13">
        <w:rPr>
          <w:rFonts w:cs="Arial"/>
          <w:szCs w:val="20"/>
        </w:rPr>
        <w:t xml:space="preserve">would be </w:t>
      </w:r>
      <w:r w:rsidRPr="005142F1">
        <w:rPr>
          <w:rFonts w:cs="Arial"/>
          <w:szCs w:val="20"/>
        </w:rPr>
        <w:t>allowed to be extracted</w:t>
      </w:r>
      <w:r w:rsidR="00C50F13">
        <w:rPr>
          <w:rFonts w:cs="Arial"/>
          <w:szCs w:val="20"/>
        </w:rPr>
        <w:t xml:space="preserve">: see paras </w:t>
      </w:r>
      <w:r w:rsidR="00C50F13" w:rsidRPr="005142F1">
        <w:rPr>
          <w:rFonts w:cs="Arial"/>
          <w:szCs w:val="20"/>
        </w:rPr>
        <w:t>31 and 32</w:t>
      </w:r>
      <w:r w:rsidRPr="005142F1">
        <w:rPr>
          <w:rFonts w:cs="Arial"/>
          <w:szCs w:val="20"/>
        </w:rPr>
        <w:t xml:space="preserve">. See also </w:t>
      </w:r>
      <w:r w:rsidRPr="005142F1">
        <w:rPr>
          <w:rFonts w:cs="Arial"/>
          <w:i/>
          <w:iCs/>
          <w:szCs w:val="20"/>
        </w:rPr>
        <w:t>Van Der Merwe and Others v Van Wyk Auditors and Others</w:t>
      </w:r>
      <w:r w:rsidRPr="005142F1">
        <w:rPr>
          <w:rFonts w:cs="Arial"/>
          <w:szCs w:val="20"/>
        </w:rPr>
        <w:t xml:space="preserve"> 2022 JDR 2032 (GP) paras 52, 79 and 80.</w:t>
      </w:r>
    </w:p>
  </w:footnote>
  <w:footnote w:id="18">
    <w:p w14:paraId="3F77A566" w14:textId="36A4726B" w:rsidR="00EC457F" w:rsidRPr="005142F1" w:rsidRDefault="00EC457F">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Viziya </w:t>
      </w:r>
      <w:r w:rsidRPr="005142F1">
        <w:rPr>
          <w:rFonts w:cs="Arial"/>
          <w:szCs w:val="20"/>
        </w:rPr>
        <w:t>(</w:t>
      </w:r>
      <w:r w:rsidR="00C315CC" w:rsidRPr="005142F1">
        <w:rPr>
          <w:rFonts w:cs="Arial"/>
          <w:szCs w:val="20"/>
        </w:rPr>
        <w:t>above</w:t>
      </w:r>
      <w:r w:rsidRPr="005142F1">
        <w:rPr>
          <w:rFonts w:cs="Arial"/>
          <w:szCs w:val="20"/>
        </w:rPr>
        <w:t>) para 45.</w:t>
      </w:r>
    </w:p>
  </w:footnote>
  <w:footnote w:id="19">
    <w:p w14:paraId="1F98A1B5" w14:textId="77777777" w:rsidR="00B51268" w:rsidRPr="005142F1" w:rsidRDefault="00B51268" w:rsidP="00B51268">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Anton Piller KG v Manufacturing Processes Ltd</w:t>
      </w:r>
      <w:r w:rsidRPr="005142F1">
        <w:rPr>
          <w:rFonts w:cs="Arial"/>
          <w:szCs w:val="20"/>
        </w:rPr>
        <w:t xml:space="preserve"> [1976] Ch. 55 (EWCA).</w:t>
      </w:r>
    </w:p>
  </w:footnote>
  <w:footnote w:id="20">
    <w:p w14:paraId="6F24546C" w14:textId="77777777" w:rsidR="007114D8" w:rsidRPr="005142F1" w:rsidRDefault="007114D8" w:rsidP="007114D8">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Universal City Studios </w:t>
      </w:r>
      <w:r w:rsidRPr="005142F1">
        <w:rPr>
          <w:rFonts w:cs="Arial"/>
          <w:szCs w:val="20"/>
        </w:rPr>
        <w:t>(above)</w:t>
      </w:r>
      <w:r w:rsidRPr="005142F1">
        <w:rPr>
          <w:rFonts w:cs="Arial"/>
          <w:i/>
          <w:iCs/>
          <w:szCs w:val="20"/>
        </w:rPr>
        <w:t xml:space="preserve"> </w:t>
      </w:r>
      <w:r w:rsidRPr="005142F1">
        <w:rPr>
          <w:rFonts w:cs="Arial"/>
          <w:szCs w:val="20"/>
        </w:rPr>
        <w:t>at 747F and 750G.</w:t>
      </w:r>
    </w:p>
  </w:footnote>
  <w:footnote w:id="21">
    <w:p w14:paraId="62328BCC" w14:textId="2874C2EB" w:rsidR="00640C79" w:rsidRPr="005142F1" w:rsidRDefault="00640C79">
      <w:pPr>
        <w:pStyle w:val="FootnoteText"/>
        <w:rPr>
          <w:rFonts w:cs="Arial"/>
          <w:szCs w:val="20"/>
        </w:rPr>
      </w:pPr>
      <w:r w:rsidRPr="005142F1">
        <w:rPr>
          <w:rStyle w:val="FootnoteReference"/>
        </w:rPr>
        <w:footnoteRef/>
      </w:r>
      <w:r w:rsidRPr="005142F1">
        <w:rPr>
          <w:rFonts w:cs="Arial"/>
          <w:szCs w:val="20"/>
        </w:rPr>
        <w:t xml:space="preserve"> </w:t>
      </w:r>
      <w:r w:rsidR="006C126C" w:rsidRPr="005142F1">
        <w:rPr>
          <w:rFonts w:cs="Arial"/>
          <w:i/>
          <w:iCs/>
          <w:szCs w:val="20"/>
        </w:rPr>
        <w:t xml:space="preserve">Cerebos Food Corporation Ltd v Diverse Foods SA (Pty) Ltd and Another </w:t>
      </w:r>
      <w:r w:rsidR="006C126C" w:rsidRPr="005142F1">
        <w:rPr>
          <w:rFonts w:cs="Arial"/>
          <w:szCs w:val="20"/>
        </w:rPr>
        <w:t xml:space="preserve">1984 (4) SA 149 (T) </w:t>
      </w:r>
      <w:r w:rsidRPr="005142F1">
        <w:rPr>
          <w:rFonts w:cs="Arial"/>
          <w:szCs w:val="20"/>
        </w:rPr>
        <w:t>at 164A-C.</w:t>
      </w:r>
      <w:r w:rsidR="006C126C" w:rsidRPr="005142F1">
        <w:rPr>
          <w:rFonts w:cs="Arial"/>
          <w:szCs w:val="20"/>
        </w:rPr>
        <w:t xml:space="preserve"> The </w:t>
      </w:r>
      <w:r w:rsidR="00BF5A38" w:rsidRPr="005142F1">
        <w:rPr>
          <w:rFonts w:cs="Arial"/>
          <w:szCs w:val="20"/>
        </w:rPr>
        <w:t xml:space="preserve">specific </w:t>
      </w:r>
      <w:r w:rsidR="006C126C" w:rsidRPr="005142F1">
        <w:rPr>
          <w:rFonts w:cs="Arial"/>
          <w:szCs w:val="20"/>
        </w:rPr>
        <w:t xml:space="preserve">type of order approved in </w:t>
      </w:r>
      <w:r w:rsidR="006C126C" w:rsidRPr="005142F1">
        <w:rPr>
          <w:rFonts w:cs="Arial"/>
          <w:i/>
          <w:iCs/>
          <w:szCs w:val="20"/>
        </w:rPr>
        <w:t>Universal City Studios</w:t>
      </w:r>
      <w:r w:rsidR="006C126C" w:rsidRPr="005142F1">
        <w:rPr>
          <w:rFonts w:cs="Arial"/>
          <w:szCs w:val="20"/>
        </w:rPr>
        <w:t xml:space="preserve"> and </w:t>
      </w:r>
      <w:r w:rsidR="006C126C" w:rsidRPr="005142F1">
        <w:rPr>
          <w:rFonts w:cs="Arial"/>
          <w:i/>
          <w:iCs/>
          <w:szCs w:val="20"/>
        </w:rPr>
        <w:t>Shoba</w:t>
      </w:r>
      <w:r w:rsidR="006C126C" w:rsidRPr="005142F1">
        <w:rPr>
          <w:rFonts w:cs="Arial"/>
          <w:szCs w:val="20"/>
        </w:rPr>
        <w:t xml:space="preserve"> </w:t>
      </w:r>
      <w:r w:rsidR="00B742D7" w:rsidRPr="005142F1">
        <w:rPr>
          <w:rFonts w:cs="Arial"/>
          <w:szCs w:val="20"/>
        </w:rPr>
        <w:t xml:space="preserve">and </w:t>
      </w:r>
      <w:r w:rsidR="00520264" w:rsidRPr="005142F1">
        <w:rPr>
          <w:rFonts w:cs="Arial"/>
          <w:szCs w:val="20"/>
        </w:rPr>
        <w:t xml:space="preserve">the order </w:t>
      </w:r>
      <w:r w:rsidR="00B742D7" w:rsidRPr="005142F1">
        <w:rPr>
          <w:rFonts w:cs="Arial"/>
          <w:szCs w:val="20"/>
        </w:rPr>
        <w:t xml:space="preserve">under </w:t>
      </w:r>
      <w:r w:rsidR="00520264" w:rsidRPr="005142F1">
        <w:rPr>
          <w:rFonts w:cs="Arial"/>
          <w:szCs w:val="20"/>
        </w:rPr>
        <w:t>re</w:t>
      </w:r>
      <w:r w:rsidR="00B742D7" w:rsidRPr="005142F1">
        <w:rPr>
          <w:rFonts w:cs="Arial"/>
          <w:szCs w:val="20"/>
        </w:rPr>
        <w:t xml:space="preserve">consideration in this matter </w:t>
      </w:r>
      <w:r w:rsidR="006C126C" w:rsidRPr="005142F1">
        <w:rPr>
          <w:rFonts w:cs="Arial"/>
          <w:szCs w:val="20"/>
        </w:rPr>
        <w:t>was discussed (</w:t>
      </w:r>
      <w:r w:rsidR="00CD7357">
        <w:rPr>
          <w:rFonts w:cs="Arial"/>
          <w:szCs w:val="20"/>
        </w:rPr>
        <w:t>but</w:t>
      </w:r>
      <w:r w:rsidR="006C126C" w:rsidRPr="005142F1">
        <w:rPr>
          <w:rFonts w:cs="Arial"/>
          <w:szCs w:val="20"/>
        </w:rPr>
        <w:t xml:space="preserve"> rejected) by Van Dijkhorst J at 168B to 173F.</w:t>
      </w:r>
    </w:p>
  </w:footnote>
  <w:footnote w:id="22">
    <w:p w14:paraId="20BA75EC" w14:textId="69B5FB3C" w:rsidR="00E00E4F" w:rsidRPr="00FB1757" w:rsidRDefault="00E00E4F" w:rsidP="00E00E4F">
      <w:pPr>
        <w:pStyle w:val="FootnoteText"/>
        <w:rPr>
          <w:rFonts w:cs="Arial"/>
          <w:szCs w:val="20"/>
        </w:rPr>
      </w:pPr>
      <w:r w:rsidRPr="005142F1">
        <w:rPr>
          <w:rStyle w:val="FootnoteReference"/>
        </w:rPr>
        <w:footnoteRef/>
      </w:r>
      <w:r w:rsidRPr="005142F1">
        <w:rPr>
          <w:rFonts w:cs="Arial"/>
          <w:szCs w:val="20"/>
        </w:rPr>
        <w:t xml:space="preserve"> </w:t>
      </w:r>
      <w:r w:rsidR="00640C79" w:rsidRPr="005142F1">
        <w:rPr>
          <w:rFonts w:cs="Arial"/>
          <w:i/>
          <w:iCs/>
          <w:szCs w:val="20"/>
        </w:rPr>
        <w:t xml:space="preserve">Universal City Studios </w:t>
      </w:r>
      <w:r w:rsidR="00640C79" w:rsidRPr="005142F1">
        <w:rPr>
          <w:rFonts w:cs="Arial"/>
          <w:szCs w:val="20"/>
        </w:rPr>
        <w:t>(above)</w:t>
      </w:r>
      <w:r w:rsidR="00640C79" w:rsidRPr="005142F1">
        <w:rPr>
          <w:rFonts w:cs="Arial"/>
          <w:i/>
          <w:iCs/>
          <w:szCs w:val="20"/>
        </w:rPr>
        <w:t xml:space="preserve"> </w:t>
      </w:r>
      <w:r w:rsidRPr="005142F1">
        <w:rPr>
          <w:rFonts w:cs="Arial"/>
          <w:szCs w:val="20"/>
        </w:rPr>
        <w:t xml:space="preserve">at 751E-F and 753G-754B. This was the </w:t>
      </w:r>
      <w:r w:rsidR="00A25FDF" w:rsidRPr="005142F1">
        <w:rPr>
          <w:rFonts w:cs="Arial"/>
          <w:szCs w:val="20"/>
        </w:rPr>
        <w:t>“first” Anton Piller-</w:t>
      </w:r>
      <w:r w:rsidR="004E669A" w:rsidRPr="005142F1">
        <w:rPr>
          <w:rFonts w:cs="Arial"/>
          <w:szCs w:val="20"/>
        </w:rPr>
        <w:t xml:space="preserve">type </w:t>
      </w:r>
      <w:r w:rsidR="00A25FDF" w:rsidRPr="005142F1">
        <w:rPr>
          <w:rFonts w:cs="Arial"/>
          <w:szCs w:val="20"/>
        </w:rPr>
        <w:t xml:space="preserve">order </w:t>
      </w:r>
      <w:r w:rsidR="004E669A" w:rsidRPr="005142F1">
        <w:rPr>
          <w:rFonts w:cs="Arial"/>
          <w:szCs w:val="20"/>
        </w:rPr>
        <w:t xml:space="preserve">identified </w:t>
      </w:r>
      <w:r w:rsidR="00640C79" w:rsidRPr="005142F1">
        <w:rPr>
          <w:rFonts w:cs="Arial"/>
          <w:szCs w:val="20"/>
        </w:rPr>
        <w:t xml:space="preserve">in </w:t>
      </w:r>
      <w:r w:rsidR="00640C79" w:rsidRPr="005142F1">
        <w:rPr>
          <w:rFonts w:cs="Arial"/>
          <w:i/>
          <w:iCs/>
          <w:szCs w:val="20"/>
        </w:rPr>
        <w:t>Cerebos Food</w:t>
      </w:r>
      <w:r w:rsidRPr="005142F1">
        <w:rPr>
          <w:rFonts w:cs="Arial"/>
          <w:szCs w:val="20"/>
        </w:rPr>
        <w:t xml:space="preserve">, and is dealt with in that judgment at 164D-F. </w:t>
      </w:r>
      <w:r w:rsidRPr="005142F1">
        <w:rPr>
          <w:rFonts w:cs="Arial"/>
          <w:szCs w:val="20"/>
          <w:lang w:eastAsia="en-ZA"/>
        </w:rPr>
        <w:t xml:space="preserve">Somewhat confusingly to my mind, </w:t>
      </w:r>
      <w:r w:rsidRPr="005142F1">
        <w:rPr>
          <w:rFonts w:cs="Arial"/>
          <w:szCs w:val="20"/>
        </w:rPr>
        <w:t xml:space="preserve">Van Dijkhorst J stated that this type of </w:t>
      </w:r>
      <w:r w:rsidR="00A25FDF" w:rsidRPr="005142F1">
        <w:rPr>
          <w:rFonts w:cs="Arial"/>
          <w:szCs w:val="20"/>
        </w:rPr>
        <w:t xml:space="preserve">order </w:t>
      </w:r>
      <w:r w:rsidRPr="005142F1">
        <w:rPr>
          <w:rFonts w:cs="Arial"/>
          <w:szCs w:val="20"/>
        </w:rPr>
        <w:t xml:space="preserve">is “not a true </w:t>
      </w:r>
      <w:r w:rsidRPr="005142F1">
        <w:rPr>
          <w:rFonts w:cs="Arial"/>
          <w:i/>
          <w:iCs/>
          <w:szCs w:val="20"/>
        </w:rPr>
        <w:t>Anton Piller</w:t>
      </w:r>
      <w:r w:rsidRPr="005142F1">
        <w:rPr>
          <w:rFonts w:cs="Arial"/>
          <w:szCs w:val="20"/>
        </w:rPr>
        <w:t xml:space="preserve"> remedy” – despite that fact that</w:t>
      </w:r>
      <w:r w:rsidR="00A25FDF" w:rsidRPr="005142F1">
        <w:rPr>
          <w:rFonts w:cs="Arial"/>
          <w:szCs w:val="20"/>
        </w:rPr>
        <w:t xml:space="preserve"> it </w:t>
      </w:r>
      <w:r w:rsidRPr="005142F1">
        <w:rPr>
          <w:rFonts w:cs="Arial"/>
          <w:szCs w:val="20"/>
        </w:rPr>
        <w:t xml:space="preserve">was exactly the kind of order that had been granted by the Court of Appeal in the original </w:t>
      </w:r>
      <w:r w:rsidRPr="005142F1">
        <w:rPr>
          <w:rFonts w:cs="Arial"/>
          <w:i/>
          <w:iCs/>
          <w:szCs w:val="20"/>
        </w:rPr>
        <w:t>Anton Piller</w:t>
      </w:r>
      <w:r w:rsidRPr="005142F1">
        <w:rPr>
          <w:rFonts w:cs="Arial"/>
          <w:szCs w:val="20"/>
        </w:rPr>
        <w:t xml:space="preserve"> case.</w:t>
      </w:r>
      <w:r w:rsidR="00AF2360">
        <w:rPr>
          <w:rFonts w:cs="Arial"/>
          <w:szCs w:val="20"/>
        </w:rPr>
        <w:t xml:space="preserve"> In his judgment at </w:t>
      </w:r>
      <w:r w:rsidRPr="005142F1">
        <w:rPr>
          <w:rFonts w:cs="Arial"/>
          <w:szCs w:val="20"/>
        </w:rPr>
        <w:t xml:space="preserve">160D, Van Dijkhorst J </w:t>
      </w:r>
      <w:r w:rsidR="00FB1757">
        <w:rPr>
          <w:rFonts w:cs="Arial"/>
          <w:szCs w:val="20"/>
        </w:rPr>
        <w:t xml:space="preserve">accurately </w:t>
      </w:r>
      <w:r w:rsidRPr="005142F1">
        <w:rPr>
          <w:rFonts w:cs="Arial"/>
          <w:szCs w:val="20"/>
        </w:rPr>
        <w:t xml:space="preserve">described the order granted in that case as being one “requiring the defendants to permit the plaintiffs to </w:t>
      </w:r>
      <w:r w:rsidRPr="00FB1757">
        <w:rPr>
          <w:rFonts w:cs="Arial"/>
          <w:szCs w:val="20"/>
        </w:rPr>
        <w:t xml:space="preserve">enter the defendants' premises in order to inspect, remove or make copies of documents belonging to the plaintiffs”. </w:t>
      </w:r>
    </w:p>
  </w:footnote>
  <w:footnote w:id="23">
    <w:p w14:paraId="2C4AAEE9" w14:textId="0D5CAFC4" w:rsidR="00E00E4F" w:rsidRPr="005142F1" w:rsidRDefault="00E00E4F" w:rsidP="00E00E4F">
      <w:pPr>
        <w:pStyle w:val="FootnoteText"/>
        <w:rPr>
          <w:rFonts w:cs="Arial"/>
          <w:szCs w:val="20"/>
        </w:rPr>
      </w:pPr>
      <w:r w:rsidRPr="005142F1">
        <w:rPr>
          <w:rStyle w:val="FootnoteReference"/>
        </w:rPr>
        <w:footnoteRef/>
      </w:r>
      <w:r w:rsidRPr="005142F1">
        <w:rPr>
          <w:rFonts w:cs="Arial"/>
          <w:szCs w:val="20"/>
        </w:rPr>
        <w:t xml:space="preserve"> </w:t>
      </w:r>
      <w:r w:rsidR="00D4036B" w:rsidRPr="005142F1">
        <w:rPr>
          <w:rFonts w:cs="Arial"/>
          <w:i/>
          <w:iCs/>
          <w:szCs w:val="20"/>
        </w:rPr>
        <w:t xml:space="preserve">Universal City Studios </w:t>
      </w:r>
      <w:r w:rsidR="00D4036B" w:rsidRPr="005142F1">
        <w:rPr>
          <w:rFonts w:cs="Arial"/>
          <w:szCs w:val="20"/>
        </w:rPr>
        <w:t>(above)</w:t>
      </w:r>
      <w:r w:rsidR="00D4036B" w:rsidRPr="005142F1">
        <w:rPr>
          <w:rFonts w:cs="Arial"/>
          <w:i/>
          <w:iCs/>
          <w:szCs w:val="20"/>
        </w:rPr>
        <w:t xml:space="preserve"> </w:t>
      </w:r>
      <w:r w:rsidRPr="005142F1">
        <w:rPr>
          <w:rFonts w:cs="Arial"/>
          <w:szCs w:val="20"/>
        </w:rPr>
        <w:t>at 751G. This was the “second</w:t>
      </w:r>
      <w:r w:rsidR="00D4036B" w:rsidRPr="005142F1">
        <w:rPr>
          <w:rFonts w:cs="Arial"/>
          <w:szCs w:val="20"/>
        </w:rPr>
        <w:t>”</w:t>
      </w:r>
      <w:r w:rsidRPr="005142F1">
        <w:rPr>
          <w:rFonts w:cs="Arial"/>
          <w:szCs w:val="20"/>
        </w:rPr>
        <w:t xml:space="preserve"> </w:t>
      </w:r>
      <w:r w:rsidR="00D4036B" w:rsidRPr="005142F1">
        <w:rPr>
          <w:rFonts w:cs="Arial"/>
          <w:szCs w:val="20"/>
        </w:rPr>
        <w:t xml:space="preserve">Anton Piller-type order </w:t>
      </w:r>
      <w:r w:rsidRPr="005142F1">
        <w:rPr>
          <w:rFonts w:cs="Arial"/>
          <w:szCs w:val="20"/>
        </w:rPr>
        <w:t xml:space="preserve">dealt with in </w:t>
      </w:r>
      <w:r w:rsidRPr="005142F1">
        <w:rPr>
          <w:rFonts w:cs="Arial"/>
          <w:i/>
          <w:iCs/>
          <w:szCs w:val="20"/>
        </w:rPr>
        <w:t>Cerebos Food</w:t>
      </w:r>
      <w:r w:rsidRPr="005142F1">
        <w:rPr>
          <w:rFonts w:cs="Arial"/>
          <w:szCs w:val="20"/>
        </w:rPr>
        <w:t xml:space="preserve"> (above) at 164G to 168A. The availability of such orders was approved by Cilliers AJ in </w:t>
      </w:r>
      <w:r w:rsidR="00D4036B" w:rsidRPr="005142F1">
        <w:rPr>
          <w:rFonts w:cs="Arial"/>
          <w:i/>
          <w:iCs/>
          <w:szCs w:val="20"/>
        </w:rPr>
        <w:t xml:space="preserve">Roamer Watch </w:t>
      </w:r>
      <w:r w:rsidR="00234777" w:rsidRPr="005142F1">
        <w:rPr>
          <w:rFonts w:cs="Arial"/>
          <w:szCs w:val="20"/>
        </w:rPr>
        <w:t>(above)</w:t>
      </w:r>
      <w:r w:rsidR="00234777" w:rsidRPr="005142F1">
        <w:rPr>
          <w:rFonts w:cs="Arial"/>
          <w:i/>
          <w:iCs/>
          <w:szCs w:val="20"/>
        </w:rPr>
        <w:t xml:space="preserve"> </w:t>
      </w:r>
      <w:r w:rsidRPr="005142F1">
        <w:rPr>
          <w:rFonts w:cs="Arial"/>
          <w:szCs w:val="20"/>
        </w:rPr>
        <w:t xml:space="preserve">at 277G – 282H and again more recently by Unterhalter J in </w:t>
      </w:r>
      <w:r w:rsidR="00D4036B" w:rsidRPr="005142F1">
        <w:rPr>
          <w:rFonts w:cs="Arial"/>
          <w:i/>
          <w:iCs/>
          <w:szCs w:val="20"/>
        </w:rPr>
        <w:t>Nampak Glass (Pty) Ltd v Vodacom (Pty) Ltd and Others</w:t>
      </w:r>
      <w:r w:rsidR="00D4036B" w:rsidRPr="005142F1">
        <w:rPr>
          <w:rFonts w:cs="Arial"/>
          <w:szCs w:val="20"/>
        </w:rPr>
        <w:t xml:space="preserve"> 2019 (1) SA 257 (GJ).</w:t>
      </w:r>
      <w:r w:rsidRPr="005142F1">
        <w:rPr>
          <w:rFonts w:cs="Arial"/>
          <w:szCs w:val="20"/>
        </w:rPr>
        <w:t xml:space="preserve"> </w:t>
      </w:r>
      <w:r w:rsidRPr="005142F1">
        <w:rPr>
          <w:rStyle w:val="FootnoteReference"/>
          <w:i/>
          <w:iCs/>
        </w:rPr>
        <w:t xml:space="preserve"> </w:t>
      </w:r>
      <w:r w:rsidR="00D4036B" w:rsidRPr="005142F1">
        <w:rPr>
          <w:rFonts w:cs="Arial"/>
          <w:szCs w:val="20"/>
        </w:rPr>
        <w:t xml:space="preserve">Such relief is sometimes </w:t>
      </w:r>
      <w:r w:rsidRPr="005142F1">
        <w:rPr>
          <w:rFonts w:cs="Arial"/>
          <w:szCs w:val="20"/>
        </w:rPr>
        <w:t>referred to as “</w:t>
      </w:r>
      <w:r w:rsidRPr="005142F1">
        <w:rPr>
          <w:rFonts w:cs="Arial"/>
          <w:i/>
          <w:iCs/>
          <w:szCs w:val="20"/>
        </w:rPr>
        <w:t>Norwich Pharmacal</w:t>
      </w:r>
      <w:r w:rsidRPr="005142F1">
        <w:rPr>
          <w:rFonts w:cs="Arial"/>
          <w:szCs w:val="20"/>
        </w:rPr>
        <w:t xml:space="preserve"> relief”, after </w:t>
      </w:r>
      <w:r w:rsidR="00D4036B" w:rsidRPr="005142F1">
        <w:rPr>
          <w:rFonts w:cs="Arial"/>
          <w:i/>
          <w:iCs/>
          <w:szCs w:val="20"/>
        </w:rPr>
        <w:t>Norwich Pharmacal Co and Others v Customs and Excise Commissioners</w:t>
      </w:r>
      <w:r w:rsidR="00D4036B" w:rsidRPr="005142F1">
        <w:rPr>
          <w:rFonts w:cs="Arial"/>
          <w:szCs w:val="20"/>
        </w:rPr>
        <w:t xml:space="preserve"> 1974 AC 133 (HL).</w:t>
      </w:r>
    </w:p>
  </w:footnote>
  <w:footnote w:id="24">
    <w:p w14:paraId="4824E1C2" w14:textId="48D1CA5C" w:rsidR="00E00E4F" w:rsidRPr="005142F1" w:rsidRDefault="00E00E4F" w:rsidP="00E00E4F">
      <w:pPr>
        <w:pStyle w:val="FootnoteText"/>
        <w:rPr>
          <w:rFonts w:cs="Arial"/>
          <w:szCs w:val="20"/>
        </w:rPr>
      </w:pPr>
      <w:r w:rsidRPr="005142F1">
        <w:rPr>
          <w:rStyle w:val="FootnoteReference"/>
        </w:rPr>
        <w:footnoteRef/>
      </w:r>
      <w:r w:rsidRPr="005142F1">
        <w:rPr>
          <w:rFonts w:cs="Arial"/>
          <w:szCs w:val="20"/>
        </w:rPr>
        <w:t xml:space="preserve"> </w:t>
      </w:r>
      <w:r w:rsidR="00B51268" w:rsidRPr="005142F1">
        <w:rPr>
          <w:rFonts w:cs="Arial"/>
          <w:i/>
          <w:iCs/>
          <w:szCs w:val="20"/>
        </w:rPr>
        <w:t xml:space="preserve">Universal City Studios </w:t>
      </w:r>
      <w:r w:rsidR="00B51268" w:rsidRPr="005142F1">
        <w:rPr>
          <w:rFonts w:cs="Arial"/>
          <w:szCs w:val="20"/>
        </w:rPr>
        <w:t>(above)</w:t>
      </w:r>
      <w:r w:rsidR="00B51268" w:rsidRPr="005142F1">
        <w:rPr>
          <w:rFonts w:cs="Arial"/>
          <w:i/>
          <w:iCs/>
          <w:szCs w:val="20"/>
        </w:rPr>
        <w:t xml:space="preserve"> </w:t>
      </w:r>
      <w:r w:rsidR="00B51268" w:rsidRPr="005142F1">
        <w:rPr>
          <w:rFonts w:cs="Arial"/>
          <w:szCs w:val="20"/>
        </w:rPr>
        <w:t>at</w:t>
      </w:r>
      <w:r w:rsidR="00B51268" w:rsidRPr="005142F1">
        <w:rPr>
          <w:rFonts w:cs="Arial"/>
          <w:i/>
          <w:iCs/>
          <w:szCs w:val="20"/>
        </w:rPr>
        <w:t xml:space="preserve"> </w:t>
      </w:r>
      <w:r w:rsidRPr="005142F1">
        <w:rPr>
          <w:rFonts w:cs="Arial"/>
          <w:szCs w:val="20"/>
        </w:rPr>
        <w:t>751H</w:t>
      </w:r>
      <w:r w:rsidR="00B51268" w:rsidRPr="005142F1">
        <w:rPr>
          <w:rFonts w:cs="Arial"/>
          <w:szCs w:val="20"/>
        </w:rPr>
        <w:t xml:space="preserve">. </w:t>
      </w:r>
      <w:r w:rsidRPr="005142F1">
        <w:rPr>
          <w:rFonts w:cs="Arial"/>
          <w:szCs w:val="20"/>
        </w:rPr>
        <w:t xml:space="preserve"> </w:t>
      </w:r>
      <w:r w:rsidR="00B51268" w:rsidRPr="005142F1">
        <w:rPr>
          <w:rFonts w:cs="Arial"/>
          <w:szCs w:val="20"/>
        </w:rPr>
        <w:t xml:space="preserve">This was the </w:t>
      </w:r>
      <w:r w:rsidRPr="005142F1">
        <w:rPr>
          <w:rFonts w:cs="Arial"/>
          <w:szCs w:val="20"/>
        </w:rPr>
        <w:t>“fourth</w:t>
      </w:r>
      <w:r w:rsidR="00B51268" w:rsidRPr="005142F1">
        <w:rPr>
          <w:rFonts w:cs="Arial"/>
          <w:szCs w:val="20"/>
        </w:rPr>
        <w:t>”</w:t>
      </w:r>
      <w:r w:rsidRPr="005142F1">
        <w:rPr>
          <w:rFonts w:cs="Arial"/>
          <w:szCs w:val="20"/>
        </w:rPr>
        <w:t xml:space="preserve"> </w:t>
      </w:r>
      <w:r w:rsidR="00B51268" w:rsidRPr="005142F1">
        <w:rPr>
          <w:rFonts w:cs="Arial"/>
          <w:szCs w:val="20"/>
        </w:rPr>
        <w:t xml:space="preserve">Anton Piller-type order </w:t>
      </w:r>
      <w:r w:rsidRPr="005142F1">
        <w:rPr>
          <w:rFonts w:cs="Arial"/>
          <w:szCs w:val="20"/>
        </w:rPr>
        <w:t xml:space="preserve">referred to in </w:t>
      </w:r>
      <w:r w:rsidRPr="005142F1">
        <w:rPr>
          <w:rFonts w:cs="Arial"/>
          <w:i/>
          <w:iCs/>
          <w:szCs w:val="20"/>
        </w:rPr>
        <w:t>Cerebos Food</w:t>
      </w:r>
      <w:r w:rsidRPr="005142F1">
        <w:rPr>
          <w:rFonts w:cs="Arial"/>
          <w:szCs w:val="20"/>
        </w:rPr>
        <w:t xml:space="preserve"> at 173G to 174A. </w:t>
      </w:r>
    </w:p>
  </w:footnote>
  <w:footnote w:id="25">
    <w:p w14:paraId="016B0E73" w14:textId="6081D0DE" w:rsidR="00D4036B" w:rsidRPr="005142F1" w:rsidRDefault="00D4036B" w:rsidP="00D4036B">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lang w:eastAsia="en-ZA"/>
        </w:rPr>
        <w:t xml:space="preserve">Memory Institute SA CC t/a SA Memory Institute v Hansen </w:t>
      </w:r>
      <w:r w:rsidRPr="005142F1">
        <w:rPr>
          <w:rFonts w:cs="Arial"/>
          <w:szCs w:val="20"/>
          <w:lang w:eastAsia="en-ZA"/>
        </w:rPr>
        <w:t>2004 (2) SA 630 (SCA) para</w:t>
      </w:r>
      <w:r w:rsidR="003C132D" w:rsidRPr="005142F1">
        <w:rPr>
          <w:rFonts w:cs="Arial"/>
          <w:szCs w:val="20"/>
          <w:lang w:eastAsia="en-ZA"/>
        </w:rPr>
        <w:t xml:space="preserve">s 1 </w:t>
      </w:r>
      <w:r w:rsidR="00F72F08" w:rsidRPr="005142F1">
        <w:rPr>
          <w:rFonts w:cs="Arial"/>
          <w:szCs w:val="20"/>
          <w:lang w:eastAsia="en-ZA"/>
        </w:rPr>
        <w:t xml:space="preserve">&amp; </w:t>
      </w:r>
      <w:r w:rsidR="001861FD" w:rsidRPr="005142F1">
        <w:rPr>
          <w:rFonts w:cs="Arial"/>
          <w:szCs w:val="20"/>
          <w:lang w:eastAsia="en-ZA"/>
        </w:rPr>
        <w:t>3</w:t>
      </w:r>
      <w:r w:rsidR="005E7E51">
        <w:rPr>
          <w:rFonts w:cs="Arial"/>
          <w:szCs w:val="20"/>
          <w:lang w:eastAsia="en-ZA"/>
        </w:rPr>
        <w:t xml:space="preserve"> </w:t>
      </w:r>
      <w:r w:rsidR="005E7E51" w:rsidRPr="00AB52EE">
        <w:rPr>
          <w:lang w:eastAsia="en-ZA"/>
        </w:rPr>
        <w:t>[emphasis supplied]</w:t>
      </w:r>
      <w:r w:rsidRPr="005142F1">
        <w:rPr>
          <w:rFonts w:cs="Arial"/>
          <w:szCs w:val="20"/>
          <w:lang w:eastAsia="en-ZA"/>
        </w:rPr>
        <w:t>.</w:t>
      </w:r>
    </w:p>
  </w:footnote>
  <w:footnote w:id="26">
    <w:p w14:paraId="48CF6189" w14:textId="2E41E6B0" w:rsidR="00B742D7" w:rsidRPr="005142F1" w:rsidRDefault="00B742D7">
      <w:pPr>
        <w:pStyle w:val="FootnoteText"/>
        <w:rPr>
          <w:rFonts w:cs="Arial"/>
          <w:szCs w:val="20"/>
        </w:rPr>
      </w:pPr>
      <w:r w:rsidRPr="005142F1">
        <w:rPr>
          <w:rStyle w:val="FootnoteReference"/>
        </w:rPr>
        <w:footnoteRef/>
      </w:r>
      <w:r w:rsidRPr="005142F1">
        <w:rPr>
          <w:rFonts w:cs="Arial"/>
          <w:szCs w:val="20"/>
        </w:rPr>
        <w:t xml:space="preserve"> </w:t>
      </w:r>
      <w:r w:rsidR="00F40194" w:rsidRPr="005142F1">
        <w:rPr>
          <w:rFonts w:cs="Arial"/>
          <w:i/>
          <w:iCs/>
          <w:szCs w:val="20"/>
          <w:lang w:eastAsia="en-ZA"/>
        </w:rPr>
        <w:t>Memory Institute</w:t>
      </w:r>
      <w:r w:rsidR="00F40194">
        <w:rPr>
          <w:rFonts w:cs="Arial"/>
          <w:szCs w:val="20"/>
        </w:rPr>
        <w:t xml:space="preserve"> (above)</w:t>
      </w:r>
      <w:r w:rsidRPr="005142F1">
        <w:rPr>
          <w:rFonts w:cs="Arial"/>
          <w:szCs w:val="20"/>
        </w:rPr>
        <w:t xml:space="preserve"> paras </w:t>
      </w:r>
      <w:r w:rsidR="00F33E34" w:rsidRPr="005142F1">
        <w:rPr>
          <w:rFonts w:cs="Arial"/>
          <w:szCs w:val="20"/>
        </w:rPr>
        <w:t>4 to 8.</w:t>
      </w:r>
      <w:r w:rsidRPr="005142F1">
        <w:rPr>
          <w:rFonts w:cs="Arial"/>
          <w:szCs w:val="20"/>
        </w:rPr>
        <w:t xml:space="preserve"> </w:t>
      </w:r>
    </w:p>
  </w:footnote>
  <w:footnote w:id="27">
    <w:p w14:paraId="5C8DF9FA" w14:textId="7E5012F3" w:rsidR="000C7E25" w:rsidRPr="005142F1" w:rsidRDefault="000C7E25">
      <w:pPr>
        <w:pStyle w:val="FootnoteText"/>
        <w:rPr>
          <w:rFonts w:cs="Arial"/>
          <w:szCs w:val="20"/>
        </w:rPr>
      </w:pPr>
      <w:r w:rsidRPr="005142F1">
        <w:rPr>
          <w:rStyle w:val="FootnoteReference"/>
        </w:rPr>
        <w:footnoteRef/>
      </w:r>
      <w:r w:rsidRPr="005142F1">
        <w:rPr>
          <w:rFonts w:cs="Arial"/>
          <w:szCs w:val="20"/>
        </w:rPr>
        <w:t xml:space="preserve"> </w:t>
      </w:r>
      <w:r w:rsidR="00CD5A62" w:rsidRPr="005142F1">
        <w:rPr>
          <w:rFonts w:cs="Arial"/>
          <w:szCs w:val="20"/>
        </w:rPr>
        <w:t xml:space="preserve">The </w:t>
      </w:r>
      <w:r w:rsidR="00F5069B" w:rsidRPr="005142F1">
        <w:rPr>
          <w:rFonts w:cs="Arial"/>
          <w:szCs w:val="20"/>
          <w:lang w:eastAsia="en-ZA"/>
        </w:rPr>
        <w:t xml:space="preserve">Anton Piller </w:t>
      </w:r>
      <w:r w:rsidRPr="005142F1">
        <w:rPr>
          <w:rFonts w:cs="Arial"/>
          <w:szCs w:val="20"/>
        </w:rPr>
        <w:t xml:space="preserve">order </w:t>
      </w:r>
      <w:r w:rsidR="00F40194">
        <w:rPr>
          <w:rFonts w:cs="Arial"/>
          <w:szCs w:val="20"/>
        </w:rPr>
        <w:t xml:space="preserve">subsequently </w:t>
      </w:r>
      <w:r w:rsidRPr="005142F1">
        <w:rPr>
          <w:rFonts w:cs="Arial"/>
          <w:szCs w:val="20"/>
        </w:rPr>
        <w:t xml:space="preserve">considered by the SCA in </w:t>
      </w:r>
      <w:r w:rsidRPr="005142F1">
        <w:rPr>
          <w:rFonts w:cs="Arial"/>
          <w:i/>
          <w:iCs/>
          <w:szCs w:val="20"/>
        </w:rPr>
        <w:t>Non-Detonating Solutions</w:t>
      </w:r>
      <w:r w:rsidRPr="005142F1">
        <w:rPr>
          <w:rFonts w:cs="Arial"/>
          <w:szCs w:val="20"/>
        </w:rPr>
        <w:t xml:space="preserve"> (above) had been obtained in contemplation of litigation in which the applicant was seeking to protect its </w:t>
      </w:r>
      <w:r w:rsidRPr="00F40194">
        <w:rPr>
          <w:rFonts w:cs="Arial"/>
          <w:szCs w:val="20"/>
        </w:rPr>
        <w:t>own</w:t>
      </w:r>
      <w:r w:rsidRPr="005142F1">
        <w:rPr>
          <w:rFonts w:cs="Arial"/>
          <w:szCs w:val="20"/>
        </w:rPr>
        <w:t xml:space="preserve"> “proprietary” information and “confidential” comprising copyrighted material recorded in the </w:t>
      </w:r>
      <w:r w:rsidR="00CD49AB">
        <w:rPr>
          <w:rFonts w:cs="Arial"/>
          <w:szCs w:val="20"/>
        </w:rPr>
        <w:t xml:space="preserve">attached </w:t>
      </w:r>
      <w:r w:rsidRPr="005142F1">
        <w:rPr>
          <w:rFonts w:cs="Arial"/>
          <w:szCs w:val="20"/>
        </w:rPr>
        <w:t>items (see paras 6, 7</w:t>
      </w:r>
      <w:r w:rsidR="00F72F08" w:rsidRPr="005142F1">
        <w:rPr>
          <w:rFonts w:cs="Arial"/>
          <w:szCs w:val="20"/>
        </w:rPr>
        <w:t>,</w:t>
      </w:r>
      <w:r w:rsidRPr="005142F1">
        <w:rPr>
          <w:rFonts w:cs="Arial"/>
          <w:szCs w:val="20"/>
        </w:rPr>
        <w:t xml:space="preserve"> 17 and 22)</w:t>
      </w:r>
      <w:r w:rsidR="000829D2">
        <w:rPr>
          <w:rFonts w:cs="Arial"/>
          <w:szCs w:val="20"/>
        </w:rPr>
        <w:t>,</w:t>
      </w:r>
      <w:r w:rsidRPr="005142F1">
        <w:rPr>
          <w:rStyle w:val="FootnoteReference"/>
        </w:rPr>
        <w:t xml:space="preserve"> </w:t>
      </w:r>
      <w:r w:rsidRPr="005142F1">
        <w:rPr>
          <w:rFonts w:cs="Arial"/>
          <w:szCs w:val="20"/>
        </w:rPr>
        <w:t xml:space="preserve">the content of which it was of course already well-aware. Unsurprisingly therefore, the </w:t>
      </w:r>
      <w:r w:rsidR="00A01AA1" w:rsidRPr="005142F1">
        <w:rPr>
          <w:rFonts w:cs="Arial"/>
          <w:szCs w:val="20"/>
        </w:rPr>
        <w:t>C</w:t>
      </w:r>
      <w:r w:rsidRPr="005142F1">
        <w:rPr>
          <w:rFonts w:cs="Arial"/>
          <w:szCs w:val="20"/>
        </w:rPr>
        <w:t xml:space="preserve">ourt raised no eyebrow at the fact that the </w:t>
      </w:r>
      <w:r w:rsidR="00F5069B" w:rsidRPr="005142F1">
        <w:rPr>
          <w:rFonts w:cs="Arial"/>
          <w:szCs w:val="20"/>
          <w:lang w:eastAsia="en-ZA"/>
        </w:rPr>
        <w:t xml:space="preserve">Anton Piller </w:t>
      </w:r>
      <w:r w:rsidRPr="005142F1">
        <w:rPr>
          <w:rFonts w:cs="Arial"/>
          <w:szCs w:val="20"/>
        </w:rPr>
        <w:t xml:space="preserve">order had allowed it to inspect the </w:t>
      </w:r>
      <w:r w:rsidR="00CD49AB">
        <w:rPr>
          <w:rFonts w:cs="Arial"/>
          <w:szCs w:val="20"/>
        </w:rPr>
        <w:t>attached items</w:t>
      </w:r>
      <w:r w:rsidRPr="005142F1">
        <w:rPr>
          <w:rFonts w:cs="Arial"/>
          <w:szCs w:val="20"/>
        </w:rPr>
        <w:t>.</w:t>
      </w:r>
    </w:p>
  </w:footnote>
  <w:footnote w:id="28">
    <w:p w14:paraId="0F1723E5" w14:textId="1CDC68CC" w:rsidR="00D167DE" w:rsidRPr="005142F1" w:rsidRDefault="00D167DE">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Kebble &amp; others v Wellesley-Wood &amp; others</w:t>
      </w:r>
      <w:r w:rsidRPr="005142F1">
        <w:rPr>
          <w:rFonts w:cs="Arial"/>
          <w:szCs w:val="20"/>
        </w:rPr>
        <w:t xml:space="preserve"> 2004 (5) SA 274 (W) at para 9.3</w:t>
      </w:r>
      <w:r w:rsidR="006C1A54" w:rsidRPr="005142F1">
        <w:rPr>
          <w:rFonts w:cs="Arial"/>
          <w:szCs w:val="20"/>
        </w:rPr>
        <w:t xml:space="preserve"> and 9.4</w:t>
      </w:r>
      <w:r w:rsidR="009F6DF8" w:rsidRPr="005142F1">
        <w:rPr>
          <w:rFonts w:cs="Arial"/>
          <w:szCs w:val="20"/>
        </w:rPr>
        <w:t>.</w:t>
      </w:r>
      <w:r w:rsidR="006C1A54" w:rsidRPr="005142F1">
        <w:rPr>
          <w:rFonts w:cs="Arial"/>
          <w:szCs w:val="20"/>
        </w:rPr>
        <w:t xml:space="preserve"> Schwar</w:t>
      </w:r>
      <w:r w:rsidR="00582CCE">
        <w:rPr>
          <w:rFonts w:cs="Arial"/>
          <w:szCs w:val="20"/>
        </w:rPr>
        <w:t>t</w:t>
      </w:r>
      <w:r w:rsidR="006C1A54" w:rsidRPr="005142F1">
        <w:rPr>
          <w:rFonts w:cs="Arial"/>
          <w:szCs w:val="20"/>
        </w:rPr>
        <w:t xml:space="preserve">zman J’s decision </w:t>
      </w:r>
      <w:r w:rsidR="000C142F">
        <w:rPr>
          <w:rFonts w:cs="Arial"/>
          <w:szCs w:val="20"/>
        </w:rPr>
        <w:t xml:space="preserve">was </w:t>
      </w:r>
      <w:r w:rsidR="006C1A54" w:rsidRPr="005142F1">
        <w:rPr>
          <w:rFonts w:cs="Arial"/>
          <w:szCs w:val="20"/>
        </w:rPr>
        <w:t>grounded in his observation that “our jurisprudence has developed two types of Anton Piller orders”.</w:t>
      </w:r>
    </w:p>
  </w:footnote>
  <w:footnote w:id="29">
    <w:p w14:paraId="5F592A52" w14:textId="0A4D8985" w:rsidR="007F1ABB" w:rsidRPr="005142F1" w:rsidRDefault="007F1ABB">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Eiser v Vuna Health Care (Pty) Ltd</w:t>
      </w:r>
      <w:r w:rsidRPr="005142F1">
        <w:rPr>
          <w:rFonts w:cs="Arial"/>
          <w:szCs w:val="20"/>
        </w:rPr>
        <w:t xml:space="preserve"> 1998 (3) SA 139 (W).</w:t>
      </w:r>
    </w:p>
  </w:footnote>
  <w:footnote w:id="30">
    <w:p w14:paraId="1F0FD0C2" w14:textId="4A6A77B5" w:rsidR="007F1ABB" w:rsidRPr="005142F1" w:rsidRDefault="007F1ABB">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The Reclamation Group (Pty) Ltd v Smit</w:t>
      </w:r>
      <w:r w:rsidRPr="005142F1">
        <w:rPr>
          <w:rFonts w:cs="Arial"/>
          <w:szCs w:val="20"/>
        </w:rPr>
        <w:t xml:space="preserve"> 2004 (1) SA 215 (SE).</w:t>
      </w:r>
    </w:p>
  </w:footnote>
  <w:footnote w:id="31">
    <w:p w14:paraId="31A2BFD6" w14:textId="00411DD5" w:rsidR="00046503" w:rsidRPr="005142F1" w:rsidRDefault="00046503">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lang w:eastAsia="en-ZA"/>
        </w:rPr>
        <w:t>Sun World International Inc v Unifruco Ltd</w:t>
      </w:r>
      <w:r w:rsidRPr="005142F1">
        <w:rPr>
          <w:rFonts w:cs="Arial"/>
          <w:szCs w:val="20"/>
          <w:lang w:eastAsia="en-ZA"/>
        </w:rPr>
        <w:t xml:space="preserve"> 1998 (3) SA 151 (C) at 171E – 173C </w:t>
      </w:r>
      <w:r w:rsidRPr="005142F1">
        <w:rPr>
          <w:rFonts w:cs="Arial"/>
          <w:szCs w:val="20"/>
        </w:rPr>
        <w:t>and the cases referred to there.</w:t>
      </w:r>
    </w:p>
  </w:footnote>
  <w:footnote w:id="32">
    <w:p w14:paraId="22EEB999" w14:textId="349819D7" w:rsidR="002C3FF3" w:rsidRPr="005142F1" w:rsidRDefault="002C3FF3" w:rsidP="002C3FF3">
      <w:pPr>
        <w:pStyle w:val="FootnoteText"/>
        <w:rPr>
          <w:rFonts w:cs="Arial"/>
          <w:szCs w:val="20"/>
        </w:rPr>
      </w:pPr>
      <w:r w:rsidRPr="005142F1">
        <w:rPr>
          <w:rStyle w:val="FootnoteReference"/>
        </w:rPr>
        <w:footnoteRef/>
      </w:r>
      <w:r w:rsidR="00381899" w:rsidRPr="005142F1">
        <w:rPr>
          <w:rFonts w:cs="Arial"/>
          <w:szCs w:val="20"/>
        </w:rPr>
        <w:t xml:space="preserve"> </w:t>
      </w:r>
      <w:r w:rsidR="00381899" w:rsidRPr="005142F1">
        <w:rPr>
          <w:rFonts w:cs="Arial"/>
          <w:i/>
          <w:iCs/>
          <w:szCs w:val="20"/>
        </w:rPr>
        <w:t>Mkhatshwa v Mkhatshwa</w:t>
      </w:r>
      <w:r w:rsidR="00381899" w:rsidRPr="005142F1">
        <w:rPr>
          <w:rFonts w:cs="Arial"/>
          <w:szCs w:val="20"/>
        </w:rPr>
        <w:t xml:space="preserve"> 2021 (5) SA 447 (CC)</w:t>
      </w:r>
      <w:r w:rsidR="006B3BA5" w:rsidRPr="005142F1">
        <w:rPr>
          <w:rFonts w:cs="Arial"/>
          <w:szCs w:val="20"/>
        </w:rPr>
        <w:t>, para 1</w:t>
      </w:r>
      <w:r w:rsidR="000C142F">
        <w:rPr>
          <w:rFonts w:cs="Arial"/>
          <w:szCs w:val="20"/>
        </w:rPr>
        <w:t>,</w:t>
      </w:r>
      <w:r w:rsidR="006B3BA5" w:rsidRPr="005142F1">
        <w:rPr>
          <w:rFonts w:cs="Arial"/>
          <w:szCs w:val="20"/>
        </w:rPr>
        <w:t xml:space="preserve"> fn 1. </w:t>
      </w:r>
    </w:p>
  </w:footnote>
  <w:footnote w:id="33">
    <w:p w14:paraId="28444A29" w14:textId="0021D89A" w:rsidR="001861FD" w:rsidRPr="005142F1" w:rsidRDefault="001861FD" w:rsidP="001861FD">
      <w:pPr>
        <w:pStyle w:val="FootnoteText"/>
        <w:rPr>
          <w:rFonts w:cs="Arial"/>
          <w:szCs w:val="20"/>
        </w:rPr>
      </w:pPr>
      <w:r w:rsidRPr="005142F1">
        <w:rPr>
          <w:rStyle w:val="FootnoteReference"/>
        </w:rPr>
        <w:footnoteRef/>
      </w:r>
      <w:r w:rsidRPr="005142F1">
        <w:rPr>
          <w:rFonts w:cs="Arial"/>
          <w:szCs w:val="20"/>
        </w:rPr>
        <w:t xml:space="preserve"> It may be that there is a </w:t>
      </w:r>
      <w:r w:rsidR="00381899" w:rsidRPr="005142F1">
        <w:rPr>
          <w:rFonts w:cs="Arial"/>
          <w:szCs w:val="20"/>
        </w:rPr>
        <w:t xml:space="preserve">better (i.e. both </w:t>
      </w:r>
      <w:r w:rsidRPr="005142F1">
        <w:rPr>
          <w:rFonts w:cs="Arial"/>
          <w:szCs w:val="20"/>
        </w:rPr>
        <w:t>pithier</w:t>
      </w:r>
      <w:r w:rsidR="00381899" w:rsidRPr="005142F1">
        <w:rPr>
          <w:rFonts w:cs="Arial"/>
          <w:szCs w:val="20"/>
        </w:rPr>
        <w:t xml:space="preserve"> and more accurate) </w:t>
      </w:r>
      <w:r w:rsidRPr="005142F1">
        <w:rPr>
          <w:rFonts w:cs="Arial"/>
          <w:szCs w:val="20"/>
        </w:rPr>
        <w:t>label for this type of order, but I leave that to others to suggest.</w:t>
      </w:r>
    </w:p>
  </w:footnote>
  <w:footnote w:id="34">
    <w:p w14:paraId="49DAAF1E" w14:textId="56BBB056" w:rsidR="00234777" w:rsidRPr="005142F1" w:rsidRDefault="00234777" w:rsidP="0023477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Roamer Watch </w:t>
      </w:r>
      <w:r w:rsidRPr="005142F1">
        <w:rPr>
          <w:rFonts w:cs="Arial"/>
          <w:szCs w:val="20"/>
        </w:rPr>
        <w:t>(above) at 272C - 275B.</w:t>
      </w:r>
    </w:p>
  </w:footnote>
  <w:footnote w:id="35">
    <w:p w14:paraId="5A3D99CA" w14:textId="3B658D17" w:rsidR="00D93215" w:rsidRPr="005142F1" w:rsidRDefault="00D93215" w:rsidP="00D93215">
      <w:pPr>
        <w:pStyle w:val="FootnoteText"/>
        <w:rPr>
          <w:rFonts w:cs="Arial"/>
          <w:szCs w:val="20"/>
        </w:rPr>
      </w:pPr>
      <w:r w:rsidRPr="005142F1">
        <w:rPr>
          <w:rStyle w:val="FootnoteReference"/>
        </w:rPr>
        <w:footnoteRef/>
      </w:r>
      <w:r w:rsidRPr="005142F1">
        <w:rPr>
          <w:rFonts w:cs="Arial"/>
          <w:szCs w:val="20"/>
        </w:rPr>
        <w:t xml:space="preserve"> </w:t>
      </w:r>
      <w:r w:rsidR="00DE269B" w:rsidRPr="005142F1">
        <w:rPr>
          <w:rFonts w:cs="Arial"/>
          <w:i/>
          <w:iCs/>
          <w:szCs w:val="20"/>
        </w:rPr>
        <w:t xml:space="preserve">Universal City Studios </w:t>
      </w:r>
      <w:r w:rsidR="00DE269B" w:rsidRPr="005142F1">
        <w:rPr>
          <w:rFonts w:cs="Arial"/>
          <w:szCs w:val="20"/>
        </w:rPr>
        <w:t>(above)</w:t>
      </w:r>
      <w:r w:rsidR="00DE269B" w:rsidRPr="005142F1">
        <w:rPr>
          <w:rFonts w:cs="Arial"/>
          <w:i/>
          <w:iCs/>
          <w:szCs w:val="20"/>
        </w:rPr>
        <w:t xml:space="preserve"> </w:t>
      </w:r>
      <w:r w:rsidRPr="005142F1">
        <w:rPr>
          <w:rFonts w:cs="Arial"/>
          <w:szCs w:val="20"/>
        </w:rPr>
        <w:t xml:space="preserve">at 755F-G. </w:t>
      </w:r>
      <w:r w:rsidR="00827FB4">
        <w:rPr>
          <w:rFonts w:cs="Arial"/>
          <w:szCs w:val="20"/>
        </w:rPr>
        <w:t xml:space="preserve">This is explained by the fact that </w:t>
      </w:r>
      <w:r w:rsidRPr="005142F1">
        <w:rPr>
          <w:rFonts w:cs="Arial"/>
          <w:szCs w:val="20"/>
        </w:rPr>
        <w:t>Uniform Rule 6(12)(c) did not exist at the time</w:t>
      </w:r>
      <w:r w:rsidR="00AE5B51" w:rsidRPr="005142F1">
        <w:rPr>
          <w:rFonts w:cs="Arial"/>
          <w:szCs w:val="20"/>
        </w:rPr>
        <w:t>,</w:t>
      </w:r>
      <w:r w:rsidR="001A788C" w:rsidRPr="005142F1">
        <w:rPr>
          <w:rFonts w:cs="Arial"/>
          <w:szCs w:val="20"/>
        </w:rPr>
        <w:t xml:space="preserve"> and Rule 6(8) only applies in the event that a rule </w:t>
      </w:r>
      <w:r w:rsidR="001A788C" w:rsidRPr="005142F1">
        <w:rPr>
          <w:rFonts w:cs="Arial"/>
          <w:i/>
          <w:iCs/>
          <w:szCs w:val="20"/>
        </w:rPr>
        <w:t>nisi</w:t>
      </w:r>
      <w:r w:rsidR="001A788C" w:rsidRPr="005142F1">
        <w:rPr>
          <w:rFonts w:cs="Arial"/>
          <w:szCs w:val="20"/>
        </w:rPr>
        <w:t xml:space="preserve"> </w:t>
      </w:r>
      <w:r w:rsidR="00AE5B51" w:rsidRPr="005142F1">
        <w:rPr>
          <w:rFonts w:cs="Arial"/>
          <w:szCs w:val="20"/>
        </w:rPr>
        <w:t xml:space="preserve">is </w:t>
      </w:r>
      <w:r w:rsidR="001A788C" w:rsidRPr="005142F1">
        <w:rPr>
          <w:rFonts w:cs="Arial"/>
          <w:szCs w:val="20"/>
        </w:rPr>
        <w:t xml:space="preserve">granted. </w:t>
      </w:r>
    </w:p>
  </w:footnote>
  <w:footnote w:id="36">
    <w:p w14:paraId="07D4ACC5" w14:textId="7CC924B2" w:rsidR="00B7204F" w:rsidRPr="005142F1" w:rsidRDefault="00B7204F" w:rsidP="00B7204F">
      <w:pPr>
        <w:pStyle w:val="FootnoteText"/>
        <w:rPr>
          <w:rFonts w:cs="Arial"/>
          <w:szCs w:val="20"/>
        </w:rPr>
      </w:pPr>
      <w:r w:rsidRPr="005142F1">
        <w:rPr>
          <w:rStyle w:val="FootnoteReference"/>
        </w:rPr>
        <w:footnoteRef/>
      </w:r>
      <w:r w:rsidRPr="005142F1">
        <w:rPr>
          <w:rFonts w:cs="Arial"/>
          <w:szCs w:val="20"/>
        </w:rPr>
        <w:t xml:space="preserve"> </w:t>
      </w:r>
      <w:r w:rsidR="0052738C" w:rsidRPr="005142F1">
        <w:rPr>
          <w:rFonts w:cs="Arial"/>
          <w:i/>
          <w:iCs/>
          <w:szCs w:val="20"/>
        </w:rPr>
        <w:t xml:space="preserve">Non-Detonating Solutions </w:t>
      </w:r>
      <w:r w:rsidR="0052738C" w:rsidRPr="005142F1">
        <w:rPr>
          <w:rFonts w:cs="Arial"/>
          <w:szCs w:val="20"/>
        </w:rPr>
        <w:t xml:space="preserve">(above) para 20; </w:t>
      </w:r>
      <w:r w:rsidR="0052738C" w:rsidRPr="005142F1">
        <w:rPr>
          <w:rFonts w:cs="Arial"/>
          <w:i/>
          <w:iCs/>
          <w:szCs w:val="20"/>
        </w:rPr>
        <w:t>Mathias International Ltd v Baillache</w:t>
      </w:r>
      <w:r w:rsidR="0052738C" w:rsidRPr="005142F1">
        <w:rPr>
          <w:rFonts w:cs="Arial"/>
          <w:szCs w:val="20"/>
        </w:rPr>
        <w:t xml:space="preserve"> 2015 (2) SA 357 (WCC) per Binns-Ward J paras 16 and 18; </w:t>
      </w:r>
      <w:r w:rsidR="0052738C" w:rsidRPr="005142F1">
        <w:rPr>
          <w:rFonts w:cs="Arial"/>
          <w:i/>
          <w:iCs/>
          <w:szCs w:val="20"/>
        </w:rPr>
        <w:t>Dabelstein and Others v Hildebrandt and Others</w:t>
      </w:r>
      <w:r w:rsidR="0052738C" w:rsidRPr="005142F1">
        <w:rPr>
          <w:rFonts w:cs="Arial"/>
          <w:szCs w:val="20"/>
        </w:rPr>
        <w:t xml:space="preserve"> 1996 (3) SA 42 (C) at 65E</w:t>
      </w:r>
      <w:r w:rsidR="003F2519">
        <w:rPr>
          <w:rFonts w:cs="Arial"/>
          <w:szCs w:val="20"/>
        </w:rPr>
        <w:t>.</w:t>
      </w:r>
    </w:p>
  </w:footnote>
  <w:footnote w:id="37">
    <w:p w14:paraId="56431A8F" w14:textId="647C9230" w:rsidR="009C6DB2" w:rsidRPr="005142F1" w:rsidRDefault="009C6DB2" w:rsidP="009C6DB2">
      <w:pPr>
        <w:pStyle w:val="FootnoteText"/>
        <w:rPr>
          <w:rFonts w:cs="Arial"/>
          <w:szCs w:val="20"/>
        </w:rPr>
      </w:pPr>
      <w:r w:rsidRPr="005142F1">
        <w:rPr>
          <w:rStyle w:val="FootnoteReference"/>
        </w:rPr>
        <w:footnoteRef/>
      </w:r>
      <w:r w:rsidRPr="005142F1">
        <w:rPr>
          <w:rFonts w:cs="Arial"/>
          <w:szCs w:val="20"/>
        </w:rPr>
        <w:t xml:space="preserve"> </w:t>
      </w:r>
      <w:r w:rsidR="004A7288" w:rsidRPr="005142F1">
        <w:rPr>
          <w:rFonts w:cs="Arial"/>
          <w:i/>
          <w:iCs/>
          <w:szCs w:val="20"/>
        </w:rPr>
        <w:t xml:space="preserve">National Director of Public Prosecutions and Others v Zuma and Another </w:t>
      </w:r>
      <w:r w:rsidR="004A7288" w:rsidRPr="005142F1">
        <w:rPr>
          <w:rFonts w:cs="Arial"/>
          <w:szCs w:val="20"/>
        </w:rPr>
        <w:t>[2008] 1 All SA 197 (SCA)</w:t>
      </w:r>
      <w:r w:rsidR="004A7288" w:rsidRPr="005142F1">
        <w:rPr>
          <w:rFonts w:cs="Arial"/>
          <w:i/>
          <w:iCs/>
          <w:szCs w:val="20"/>
        </w:rPr>
        <w:t xml:space="preserve"> </w:t>
      </w:r>
      <w:r w:rsidRPr="005142F1">
        <w:rPr>
          <w:rFonts w:cs="Arial"/>
          <w:szCs w:val="20"/>
        </w:rPr>
        <w:t xml:space="preserve">para 73. </w:t>
      </w:r>
    </w:p>
  </w:footnote>
  <w:footnote w:id="38">
    <w:p w14:paraId="7B7BD00A" w14:textId="5EE44A34" w:rsidR="001A788C" w:rsidRPr="005142F1" w:rsidRDefault="001A788C">
      <w:pPr>
        <w:pStyle w:val="FootnoteText"/>
        <w:rPr>
          <w:rFonts w:cs="Arial"/>
          <w:szCs w:val="20"/>
        </w:rPr>
      </w:pPr>
      <w:r w:rsidRPr="005142F1">
        <w:rPr>
          <w:rStyle w:val="FootnoteReference"/>
        </w:rPr>
        <w:footnoteRef/>
      </w:r>
      <w:r w:rsidRPr="005142F1">
        <w:rPr>
          <w:rFonts w:cs="Arial"/>
          <w:szCs w:val="20"/>
        </w:rPr>
        <w:t xml:space="preserve"> </w:t>
      </w:r>
      <w:r w:rsidR="007F3497" w:rsidRPr="005142F1">
        <w:rPr>
          <w:rFonts w:cs="Arial"/>
          <w:szCs w:val="20"/>
        </w:rPr>
        <w:t xml:space="preserve">The </w:t>
      </w:r>
      <w:r w:rsidRPr="005142F1">
        <w:rPr>
          <w:rFonts w:cs="Arial"/>
          <w:szCs w:val="20"/>
        </w:rPr>
        <w:t>inclusion of this safeguard</w:t>
      </w:r>
      <w:r w:rsidR="00AE5B51" w:rsidRPr="005142F1">
        <w:rPr>
          <w:rFonts w:cs="Arial"/>
          <w:szCs w:val="20"/>
        </w:rPr>
        <w:t>,</w:t>
      </w:r>
      <w:r w:rsidRPr="005142F1">
        <w:rPr>
          <w:rFonts w:cs="Arial"/>
          <w:szCs w:val="20"/>
        </w:rPr>
        <w:t xml:space="preserve"> combined with the advent of Rule 6(12)(c) </w:t>
      </w:r>
      <w:r w:rsidR="003F2519">
        <w:rPr>
          <w:rFonts w:cs="Arial"/>
          <w:szCs w:val="20"/>
        </w:rPr>
        <w:t xml:space="preserve">pursuant to </w:t>
      </w:r>
      <w:r w:rsidR="00AE5B51" w:rsidRPr="005142F1">
        <w:rPr>
          <w:rFonts w:cs="Arial"/>
          <w:szCs w:val="20"/>
        </w:rPr>
        <w:t xml:space="preserve">GN R13653 of 29 November 1991 </w:t>
      </w:r>
      <w:r w:rsidRPr="005142F1">
        <w:rPr>
          <w:rFonts w:cs="Arial"/>
          <w:szCs w:val="20"/>
        </w:rPr>
        <w:t xml:space="preserve">means that it is </w:t>
      </w:r>
      <w:r w:rsidR="003F2519">
        <w:rPr>
          <w:rFonts w:cs="Arial"/>
          <w:szCs w:val="20"/>
        </w:rPr>
        <w:t xml:space="preserve">no longer </w:t>
      </w:r>
      <w:r w:rsidRPr="005142F1">
        <w:rPr>
          <w:rFonts w:cs="Arial"/>
          <w:szCs w:val="20"/>
        </w:rPr>
        <w:t xml:space="preserve">essential that a rule </w:t>
      </w:r>
      <w:r w:rsidRPr="005142F1">
        <w:rPr>
          <w:rFonts w:cs="Arial"/>
          <w:i/>
          <w:iCs/>
          <w:szCs w:val="20"/>
        </w:rPr>
        <w:t>nisi</w:t>
      </w:r>
      <w:r w:rsidRPr="005142F1">
        <w:rPr>
          <w:rFonts w:cs="Arial"/>
          <w:szCs w:val="20"/>
        </w:rPr>
        <w:t xml:space="preserve"> be issued</w:t>
      </w:r>
      <w:r w:rsidR="007F3497" w:rsidRPr="005142F1">
        <w:rPr>
          <w:rFonts w:cs="Arial"/>
          <w:szCs w:val="20"/>
        </w:rPr>
        <w:t xml:space="preserve">: </w:t>
      </w:r>
      <w:r w:rsidR="00C63D1A" w:rsidRPr="005142F1">
        <w:rPr>
          <w:rFonts w:cs="Arial"/>
          <w:i/>
          <w:iCs/>
          <w:szCs w:val="20"/>
          <w:lang w:eastAsia="en-ZA"/>
        </w:rPr>
        <w:t xml:space="preserve">Retail Apparel </w:t>
      </w:r>
      <w:r w:rsidR="00C63D1A" w:rsidRPr="005142F1">
        <w:rPr>
          <w:rFonts w:cs="Arial"/>
          <w:szCs w:val="20"/>
          <w:lang w:eastAsia="en-ZA"/>
        </w:rPr>
        <w:t>(</w:t>
      </w:r>
      <w:r w:rsidR="006B38C6" w:rsidRPr="005142F1">
        <w:rPr>
          <w:rFonts w:cs="Arial"/>
          <w:szCs w:val="20"/>
          <w:lang w:eastAsia="en-ZA"/>
        </w:rPr>
        <w:t>above</w:t>
      </w:r>
      <w:r w:rsidR="00C63D1A" w:rsidRPr="005142F1">
        <w:rPr>
          <w:rFonts w:cs="Arial"/>
          <w:szCs w:val="20"/>
          <w:lang w:eastAsia="en-ZA"/>
        </w:rPr>
        <w:t>) at 233F</w:t>
      </w:r>
      <w:r w:rsidR="006B38C6" w:rsidRPr="005142F1">
        <w:rPr>
          <w:rFonts w:cs="Arial"/>
          <w:szCs w:val="20"/>
          <w:lang w:eastAsia="en-ZA"/>
        </w:rPr>
        <w:t xml:space="preserve">. </w:t>
      </w:r>
    </w:p>
  </w:footnote>
  <w:footnote w:id="39">
    <w:p w14:paraId="4880F4F9" w14:textId="6706F99C" w:rsidR="00B55963" w:rsidRPr="005142F1" w:rsidRDefault="00B55963">
      <w:pPr>
        <w:pStyle w:val="FootnoteText"/>
        <w:rPr>
          <w:rFonts w:cs="Arial"/>
          <w:szCs w:val="20"/>
        </w:rPr>
      </w:pPr>
      <w:r w:rsidRPr="005142F1">
        <w:rPr>
          <w:rStyle w:val="FootnoteReference"/>
        </w:rPr>
        <w:footnoteRef/>
      </w:r>
      <w:r w:rsidRPr="005142F1">
        <w:rPr>
          <w:rFonts w:cs="Arial"/>
          <w:szCs w:val="20"/>
        </w:rPr>
        <w:t xml:space="preserve"> See Van Loggerenberg et al. </w:t>
      </w:r>
      <w:r w:rsidRPr="005142F1">
        <w:rPr>
          <w:rFonts w:cs="Arial"/>
          <w:szCs w:val="20"/>
          <w:u w:val="single"/>
        </w:rPr>
        <w:t>Superior Court Practice</w:t>
      </w:r>
      <w:r w:rsidRPr="005142F1">
        <w:rPr>
          <w:rFonts w:cs="Arial"/>
          <w:szCs w:val="20"/>
        </w:rPr>
        <w:t>. Looseleaf RS17 (Juta, 2021) at D8-7</w:t>
      </w:r>
      <w:r w:rsidR="0025042B" w:rsidRPr="005142F1">
        <w:rPr>
          <w:rFonts w:cs="Arial"/>
          <w:szCs w:val="20"/>
        </w:rPr>
        <w:t>.</w:t>
      </w:r>
    </w:p>
  </w:footnote>
  <w:footnote w:id="40">
    <w:p w14:paraId="2CC988FC" w14:textId="0B5BE1EF" w:rsidR="00C33025" w:rsidRPr="005142F1" w:rsidRDefault="00C33025">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Kebble &amp; others v Wellesley-Wood &amp; others</w:t>
      </w:r>
      <w:r w:rsidRPr="005142F1">
        <w:rPr>
          <w:rFonts w:cs="Arial"/>
          <w:szCs w:val="20"/>
        </w:rPr>
        <w:t xml:space="preserve"> 2004 (5) SA 274 (W) para</w:t>
      </w:r>
      <w:r w:rsidR="003819AA" w:rsidRPr="005142F1">
        <w:rPr>
          <w:rFonts w:cs="Arial"/>
          <w:szCs w:val="20"/>
        </w:rPr>
        <w:t>s</w:t>
      </w:r>
      <w:r w:rsidRPr="005142F1">
        <w:rPr>
          <w:rFonts w:cs="Arial"/>
          <w:szCs w:val="20"/>
        </w:rPr>
        <w:t xml:space="preserve"> 9.1</w:t>
      </w:r>
      <w:r w:rsidR="003819AA" w:rsidRPr="005142F1">
        <w:rPr>
          <w:rFonts w:cs="Arial"/>
          <w:szCs w:val="20"/>
        </w:rPr>
        <w:t xml:space="preserve"> and 9.4</w:t>
      </w:r>
      <w:r w:rsidRPr="005142F1">
        <w:rPr>
          <w:rFonts w:cs="Arial"/>
          <w:szCs w:val="20"/>
        </w:rPr>
        <w:t>.</w:t>
      </w:r>
    </w:p>
  </w:footnote>
  <w:footnote w:id="41">
    <w:p w14:paraId="1A659AAC" w14:textId="3478F6BA" w:rsidR="00187BB9" w:rsidRPr="005142F1" w:rsidRDefault="00187BB9" w:rsidP="00187BB9">
      <w:pPr>
        <w:pStyle w:val="FootnoteText"/>
        <w:rPr>
          <w:rFonts w:cs="Arial"/>
          <w:szCs w:val="20"/>
        </w:rPr>
      </w:pPr>
      <w:r w:rsidRPr="005142F1">
        <w:rPr>
          <w:rStyle w:val="FootnoteReference"/>
        </w:rPr>
        <w:footnoteRef/>
      </w:r>
      <w:r w:rsidRPr="005142F1">
        <w:rPr>
          <w:rFonts w:cs="Arial"/>
          <w:szCs w:val="20"/>
        </w:rPr>
        <w:t xml:space="preserve"> A further peculiarity </w:t>
      </w:r>
      <w:r w:rsidR="00167510" w:rsidRPr="005142F1">
        <w:rPr>
          <w:rFonts w:cs="Arial"/>
          <w:szCs w:val="20"/>
        </w:rPr>
        <w:t xml:space="preserve">here </w:t>
      </w:r>
      <w:r w:rsidRPr="005142F1">
        <w:rPr>
          <w:rFonts w:cs="Arial"/>
          <w:szCs w:val="20"/>
        </w:rPr>
        <w:t xml:space="preserve">is the reference to the use of the </w:t>
      </w:r>
      <w:r w:rsidR="006271A3">
        <w:rPr>
          <w:rFonts w:cs="Arial"/>
          <w:szCs w:val="20"/>
        </w:rPr>
        <w:t xml:space="preserve">attached items </w:t>
      </w:r>
      <w:r w:rsidRPr="005142F1">
        <w:rPr>
          <w:rFonts w:cs="Arial"/>
          <w:szCs w:val="20"/>
        </w:rPr>
        <w:t xml:space="preserve">for the purpose of “instituting” (as opposed to adducing evidence in) further proceedings. In </w:t>
      </w:r>
      <w:r w:rsidRPr="005142F1">
        <w:rPr>
          <w:rFonts w:cs="Arial"/>
          <w:i/>
          <w:iCs/>
          <w:szCs w:val="20"/>
        </w:rPr>
        <w:t xml:space="preserve">Viziya </w:t>
      </w:r>
      <w:r w:rsidRPr="005142F1">
        <w:rPr>
          <w:rFonts w:cs="Arial"/>
          <w:szCs w:val="20"/>
        </w:rPr>
        <w:t>(</w:t>
      </w:r>
      <w:r w:rsidR="00EC457F" w:rsidRPr="005142F1">
        <w:rPr>
          <w:rFonts w:cs="Arial"/>
          <w:szCs w:val="20"/>
        </w:rPr>
        <w:t>above</w:t>
      </w:r>
      <w:r w:rsidRPr="005142F1">
        <w:rPr>
          <w:rFonts w:cs="Arial"/>
          <w:szCs w:val="20"/>
        </w:rPr>
        <w:t xml:space="preserve">) para 23, the Supreme Court of Appeal emphasised that Anton Piller orders are </w:t>
      </w:r>
      <w:r w:rsidRPr="003F2519">
        <w:rPr>
          <w:rFonts w:cs="Arial"/>
          <w:szCs w:val="20"/>
        </w:rPr>
        <w:t>not</w:t>
      </w:r>
      <w:r w:rsidRPr="005142F1">
        <w:rPr>
          <w:rFonts w:cs="Arial"/>
          <w:szCs w:val="20"/>
        </w:rPr>
        <w:t xml:space="preserve"> “a mechanism for a plaintiff to ascertain whether </w:t>
      </w:r>
      <w:r w:rsidR="00BC6F3B" w:rsidRPr="005142F1">
        <w:rPr>
          <w:rFonts w:cs="Arial"/>
          <w:szCs w:val="20"/>
        </w:rPr>
        <w:t xml:space="preserve">it </w:t>
      </w:r>
      <w:r w:rsidRPr="005142F1">
        <w:rPr>
          <w:rFonts w:cs="Arial"/>
          <w:szCs w:val="20"/>
        </w:rPr>
        <w:t>may have a cause of action”.</w:t>
      </w:r>
      <w:r w:rsidR="00167510" w:rsidRPr="005142F1">
        <w:rPr>
          <w:rFonts w:cs="Arial"/>
          <w:szCs w:val="20"/>
        </w:rPr>
        <w:t xml:space="preserve"> </w:t>
      </w:r>
      <w:r w:rsidR="00BC6F3B" w:rsidRPr="005142F1">
        <w:rPr>
          <w:rFonts w:cs="Arial"/>
          <w:szCs w:val="20"/>
        </w:rPr>
        <w:t xml:space="preserve">In </w:t>
      </w:r>
      <w:r w:rsidR="00167510" w:rsidRPr="005142F1">
        <w:rPr>
          <w:rFonts w:cs="Arial"/>
          <w:szCs w:val="20"/>
        </w:rPr>
        <w:t xml:space="preserve">view of the fact that at least part of the </w:t>
      </w:r>
      <w:r w:rsidR="00F5069B" w:rsidRPr="005142F1">
        <w:rPr>
          <w:rFonts w:cs="Arial"/>
          <w:szCs w:val="20"/>
          <w:lang w:eastAsia="en-ZA"/>
        </w:rPr>
        <w:t xml:space="preserve">Anton Piller </w:t>
      </w:r>
      <w:r w:rsidR="00167510" w:rsidRPr="005142F1">
        <w:rPr>
          <w:rFonts w:cs="Arial"/>
          <w:szCs w:val="20"/>
        </w:rPr>
        <w:t xml:space="preserve">order found by the SCA to have been correctly set aside on reconsideration </w:t>
      </w:r>
      <w:r w:rsidR="00D459DA">
        <w:rPr>
          <w:rFonts w:cs="Arial"/>
          <w:szCs w:val="20"/>
        </w:rPr>
        <w:t xml:space="preserve">was </w:t>
      </w:r>
      <w:r w:rsidR="00167510" w:rsidRPr="005142F1">
        <w:rPr>
          <w:rFonts w:cs="Arial"/>
          <w:szCs w:val="20"/>
        </w:rPr>
        <w:t>Cerebos-type relief</w:t>
      </w:r>
      <w:r w:rsidR="00BC6F3B" w:rsidRPr="005142F1">
        <w:rPr>
          <w:rFonts w:cs="Arial"/>
          <w:szCs w:val="20"/>
        </w:rPr>
        <w:t>, this seems to be a general proposition relating to all Anton Piller-type orders</w:t>
      </w:r>
      <w:r w:rsidR="00167510" w:rsidRPr="005142F1">
        <w:rPr>
          <w:rFonts w:cs="Arial"/>
          <w:szCs w:val="20"/>
        </w:rPr>
        <w:t>.</w:t>
      </w:r>
    </w:p>
  </w:footnote>
  <w:footnote w:id="42">
    <w:p w14:paraId="50CC481D" w14:textId="1227FA41" w:rsidR="00E67158" w:rsidRPr="005142F1" w:rsidRDefault="00E67158">
      <w:pPr>
        <w:pStyle w:val="FootnoteText"/>
        <w:rPr>
          <w:rFonts w:cs="Arial"/>
          <w:szCs w:val="20"/>
        </w:rPr>
      </w:pPr>
      <w:r w:rsidRPr="005142F1">
        <w:rPr>
          <w:rStyle w:val="FootnoteReference"/>
        </w:rPr>
        <w:footnoteRef/>
      </w:r>
      <w:r w:rsidRPr="005142F1">
        <w:rPr>
          <w:rFonts w:cs="Arial"/>
          <w:szCs w:val="20"/>
        </w:rPr>
        <w:t xml:space="preserve"> Such confusion arose in the current matter. Supercart</w:t>
      </w:r>
      <w:r w:rsidR="00F0520F">
        <w:rPr>
          <w:rFonts w:cs="Arial"/>
          <w:szCs w:val="20"/>
        </w:rPr>
        <w:t>’s counsel</w:t>
      </w:r>
      <w:r w:rsidRPr="005142F1">
        <w:rPr>
          <w:rFonts w:cs="Arial"/>
          <w:szCs w:val="20"/>
        </w:rPr>
        <w:t xml:space="preserve"> relied extensively on the provisions of the model order, and even annexed a copy to </w:t>
      </w:r>
      <w:r w:rsidR="00F0520F">
        <w:rPr>
          <w:rFonts w:cs="Arial"/>
          <w:szCs w:val="20"/>
        </w:rPr>
        <w:t xml:space="preserve">their </w:t>
      </w:r>
      <w:r w:rsidRPr="005142F1">
        <w:rPr>
          <w:rFonts w:cs="Arial"/>
          <w:szCs w:val="20"/>
        </w:rPr>
        <w:t xml:space="preserve">heads of argument. I am not surprised: I confess that that the performance of my own role was initially bedevilled by confusion arising from the model order, and resulted in my having to redraft large portions of this judgement. It is undesirable that a document evidently benevolently intended to provide useful guidance to practitioners and judicial officers working under pressure, usually in urgent circumstances and without the benefit of opposing counsel, should have this effect. Indeed, given the lack of uniformity across the various divisions of the High Court, I venture to suggest that the issue might </w:t>
      </w:r>
      <w:r w:rsidR="00B55963" w:rsidRPr="005142F1">
        <w:rPr>
          <w:rFonts w:cs="Arial"/>
          <w:szCs w:val="20"/>
        </w:rPr>
        <w:t xml:space="preserve">merit </w:t>
      </w:r>
      <w:r w:rsidRPr="005142F1">
        <w:rPr>
          <w:rFonts w:cs="Arial"/>
          <w:szCs w:val="20"/>
        </w:rPr>
        <w:t xml:space="preserve">the consideration of the Rules Board for possible inclusion of </w:t>
      </w:r>
      <w:r w:rsidR="00B55963" w:rsidRPr="005142F1">
        <w:rPr>
          <w:rFonts w:cs="Arial"/>
          <w:szCs w:val="20"/>
        </w:rPr>
        <w:t xml:space="preserve">one or more </w:t>
      </w:r>
      <w:r w:rsidRPr="005142F1">
        <w:rPr>
          <w:rFonts w:cs="Arial"/>
          <w:szCs w:val="20"/>
        </w:rPr>
        <w:t>suitably framed Rul</w:t>
      </w:r>
      <w:r w:rsidR="00B55963" w:rsidRPr="005142F1">
        <w:rPr>
          <w:rFonts w:cs="Arial"/>
          <w:szCs w:val="20"/>
        </w:rPr>
        <w:t>es</w:t>
      </w:r>
      <w:r w:rsidRPr="005142F1">
        <w:rPr>
          <w:rFonts w:cs="Arial"/>
          <w:szCs w:val="20"/>
        </w:rPr>
        <w:t xml:space="preserve"> in the Uniform Rules</w:t>
      </w:r>
      <w:r w:rsidR="00B55963" w:rsidRPr="005142F1">
        <w:rPr>
          <w:rFonts w:cs="Arial"/>
          <w:szCs w:val="20"/>
        </w:rPr>
        <w:t xml:space="preserve"> setting out appropriate (but not rigid) forms of orders that might be granted in different types of Anton Piller applications</w:t>
      </w:r>
      <w:r w:rsidRPr="005142F1">
        <w:rPr>
          <w:rFonts w:cs="Arial"/>
          <w:szCs w:val="20"/>
        </w:rPr>
        <w:t xml:space="preserve">. This would also have the advantage of placing all Anton Piller-type orders on a firmer </w:t>
      </w:r>
      <w:r w:rsidR="00F0520F">
        <w:rPr>
          <w:rFonts w:cs="Arial"/>
          <w:szCs w:val="20"/>
        </w:rPr>
        <w:t>c</w:t>
      </w:r>
      <w:r w:rsidRPr="005142F1">
        <w:rPr>
          <w:rFonts w:cs="Arial"/>
          <w:szCs w:val="20"/>
        </w:rPr>
        <w:t>onstitutional footing.</w:t>
      </w:r>
    </w:p>
  </w:footnote>
  <w:footnote w:id="43">
    <w:p w14:paraId="1AA666E2" w14:textId="3B44E3F6" w:rsidR="00234777" w:rsidRPr="005142F1" w:rsidRDefault="00234777" w:rsidP="00234777">
      <w:pPr>
        <w:pStyle w:val="FootnoteText"/>
        <w:rPr>
          <w:rFonts w:cs="Arial"/>
          <w:szCs w:val="20"/>
        </w:rPr>
      </w:pPr>
      <w:r w:rsidRPr="005142F1">
        <w:rPr>
          <w:rStyle w:val="FootnoteReference"/>
        </w:rPr>
        <w:footnoteRef/>
      </w:r>
      <w:r w:rsidRPr="005142F1">
        <w:rPr>
          <w:rFonts w:cs="Arial"/>
          <w:szCs w:val="20"/>
        </w:rPr>
        <w:t xml:space="preserve"> </w:t>
      </w:r>
      <w:r w:rsidRPr="00F0520F">
        <w:rPr>
          <w:rFonts w:cs="Arial"/>
          <w:i/>
          <w:iCs/>
          <w:szCs w:val="20"/>
        </w:rPr>
        <w:t xml:space="preserve">Petre &amp; Madco </w:t>
      </w:r>
      <w:r w:rsidR="00F0520F" w:rsidRPr="00F0520F">
        <w:rPr>
          <w:rFonts w:cs="Arial"/>
          <w:i/>
          <w:iCs/>
          <w:szCs w:val="20"/>
        </w:rPr>
        <w:t xml:space="preserve">(Pty) Ltd t/a T-Chem v Sanderson-Kasner </w:t>
      </w:r>
      <w:r w:rsidR="00F0520F">
        <w:rPr>
          <w:rFonts w:cs="Arial"/>
          <w:szCs w:val="20"/>
        </w:rPr>
        <w:t xml:space="preserve">1984 (3) SA 850 (W) </w:t>
      </w:r>
      <w:r w:rsidRPr="005142F1">
        <w:rPr>
          <w:rFonts w:cs="Arial"/>
          <w:szCs w:val="20"/>
        </w:rPr>
        <w:t>at 855B and E.</w:t>
      </w:r>
    </w:p>
  </w:footnote>
  <w:footnote w:id="44">
    <w:p w14:paraId="333DFCBE" w14:textId="22B85047" w:rsidR="00234777" w:rsidRPr="005142F1" w:rsidRDefault="00234777" w:rsidP="0023477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Knox D' Arcy Ltd and Others v Jamieson and Others</w:t>
      </w:r>
      <w:r w:rsidRPr="005142F1">
        <w:rPr>
          <w:rFonts w:cs="Arial"/>
          <w:szCs w:val="20"/>
        </w:rPr>
        <w:t xml:space="preserve"> 1974 (3) SA 700 (W) at 707J-708A.</w:t>
      </w:r>
    </w:p>
  </w:footnote>
  <w:footnote w:id="45">
    <w:p w14:paraId="35F8D43E" w14:textId="77777777" w:rsidR="003D2710" w:rsidRPr="005142F1" w:rsidRDefault="003D2710" w:rsidP="003D2710">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lang w:eastAsia="en-ZA"/>
        </w:rPr>
        <w:t>Sun World International Inc v Unifruco Ltd</w:t>
      </w:r>
      <w:r w:rsidRPr="005142F1">
        <w:rPr>
          <w:rFonts w:cs="Arial"/>
          <w:szCs w:val="20"/>
          <w:lang w:eastAsia="en-ZA"/>
        </w:rPr>
        <w:t xml:space="preserve"> 1998 (3) SA 151 (C) at 163D.</w:t>
      </w:r>
    </w:p>
  </w:footnote>
  <w:footnote w:id="46">
    <w:p w14:paraId="25F30E4A" w14:textId="77777777" w:rsidR="003D2710" w:rsidRPr="005142F1" w:rsidRDefault="003D2710" w:rsidP="003D2710">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Friedshelf 1509 (Pty) Ltd t/a RTT Group &amp; others v Kalianji</w:t>
      </w:r>
      <w:r w:rsidRPr="005142F1">
        <w:rPr>
          <w:rFonts w:cs="Arial"/>
          <w:szCs w:val="20"/>
        </w:rPr>
        <w:t xml:space="preserve"> 2015 (4) SA 163 (GJ) para 55.</w:t>
      </w:r>
    </w:p>
  </w:footnote>
  <w:footnote w:id="47">
    <w:p w14:paraId="402AE6A0" w14:textId="7BC7A609" w:rsidR="003D2710" w:rsidRDefault="003D2710">
      <w:pPr>
        <w:pStyle w:val="FootnoteText"/>
      </w:pPr>
      <w:r>
        <w:rPr>
          <w:rStyle w:val="FootnoteReference"/>
        </w:rPr>
        <w:footnoteRef/>
      </w:r>
      <w:r>
        <w:t xml:space="preserve"> </w:t>
      </w:r>
      <w:r w:rsidRPr="003D2710">
        <w:rPr>
          <w:i/>
          <w:iCs/>
        </w:rPr>
        <w:t>Mazetti</w:t>
      </w:r>
      <w:r>
        <w:t xml:space="preserve"> (above) para 14.</w:t>
      </w:r>
    </w:p>
  </w:footnote>
  <w:footnote w:id="48">
    <w:p w14:paraId="7F1D3CE8" w14:textId="3FB0FDF7" w:rsidR="00EA4D01" w:rsidRPr="005142F1" w:rsidRDefault="00EA4D01">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Plascon-Evans Paints Ltd v Van Riebeeck Paints (Pty) Ltd</w:t>
      </w:r>
      <w:r w:rsidRPr="005142F1">
        <w:rPr>
          <w:rFonts w:cs="Arial"/>
          <w:szCs w:val="20"/>
        </w:rPr>
        <w:t xml:space="preserve"> 1984 (3) SA 623 (A) at 634H – 635C.</w:t>
      </w:r>
    </w:p>
  </w:footnote>
  <w:footnote w:id="49">
    <w:p w14:paraId="711B8DDF" w14:textId="7169B76D" w:rsidR="005B20F0" w:rsidRPr="005142F1" w:rsidRDefault="005B20F0">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The Reclamation Group</w:t>
      </w:r>
      <w:r w:rsidRPr="005142F1">
        <w:rPr>
          <w:rFonts w:cs="Arial"/>
          <w:szCs w:val="20"/>
        </w:rPr>
        <w:t xml:space="preserve"> (above) at 221C-D.</w:t>
      </w:r>
    </w:p>
  </w:footnote>
  <w:footnote w:id="50">
    <w:p w14:paraId="51657542" w14:textId="3D4645B1" w:rsidR="00A53ED1" w:rsidRPr="005142F1" w:rsidRDefault="00A53ED1" w:rsidP="00A53ED1">
      <w:pPr>
        <w:pStyle w:val="FootnoteText"/>
        <w:rPr>
          <w:rFonts w:cs="Arial"/>
          <w:szCs w:val="20"/>
        </w:rPr>
      </w:pPr>
      <w:r w:rsidRPr="005142F1">
        <w:rPr>
          <w:rStyle w:val="FootnoteReference"/>
        </w:rPr>
        <w:footnoteRef/>
      </w:r>
      <w:r w:rsidRPr="005142F1">
        <w:rPr>
          <w:rFonts w:cs="Arial"/>
          <w:szCs w:val="20"/>
        </w:rPr>
        <w:t xml:space="preserve"> </w:t>
      </w:r>
      <w:r w:rsidR="00EA4D01" w:rsidRPr="005142F1">
        <w:rPr>
          <w:rFonts w:cs="Arial"/>
          <w:i/>
          <w:iCs/>
          <w:szCs w:val="20"/>
        </w:rPr>
        <w:t>Friedshelf</w:t>
      </w:r>
      <w:r w:rsidR="00EA4D01" w:rsidRPr="005142F1">
        <w:rPr>
          <w:rFonts w:cs="Arial"/>
          <w:szCs w:val="20"/>
        </w:rPr>
        <w:t xml:space="preserve"> (above) para 57. </w:t>
      </w:r>
    </w:p>
  </w:footnote>
  <w:footnote w:id="51">
    <w:p w14:paraId="371DCEDF" w14:textId="1337A517" w:rsidR="00A53ED1" w:rsidRPr="005142F1" w:rsidRDefault="00A53ED1" w:rsidP="00A53ED1">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Non-Detonating Solutions</w:t>
      </w:r>
      <w:r w:rsidRPr="005142F1">
        <w:rPr>
          <w:rFonts w:cs="Arial"/>
          <w:szCs w:val="20"/>
        </w:rPr>
        <w:t xml:space="preserve"> (above) paras 28, 42 and 44. </w:t>
      </w:r>
    </w:p>
  </w:footnote>
  <w:footnote w:id="52">
    <w:p w14:paraId="5FF9861D" w14:textId="032DC1BF" w:rsidR="006C4B61" w:rsidRPr="005142F1" w:rsidRDefault="006C4B61" w:rsidP="006C4B61">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lang w:eastAsia="en-ZA"/>
        </w:rPr>
        <w:t xml:space="preserve">Sun World </w:t>
      </w:r>
      <w:r w:rsidRPr="005142F1">
        <w:rPr>
          <w:rFonts w:cs="Arial"/>
          <w:szCs w:val="20"/>
          <w:lang w:eastAsia="en-ZA"/>
        </w:rPr>
        <w:t xml:space="preserve">(above) at 162I–163C (the observation here appears to have been </w:t>
      </w:r>
      <w:r w:rsidRPr="005142F1">
        <w:rPr>
          <w:rFonts w:cs="Arial"/>
          <w:i/>
          <w:iCs/>
          <w:szCs w:val="20"/>
          <w:lang w:eastAsia="en-ZA"/>
        </w:rPr>
        <w:t>obiter</w:t>
      </w:r>
      <w:r w:rsidRPr="005142F1">
        <w:rPr>
          <w:rFonts w:cs="Arial"/>
          <w:szCs w:val="20"/>
          <w:lang w:eastAsia="en-ZA"/>
        </w:rPr>
        <w:t xml:space="preserve">); </w:t>
      </w:r>
      <w:r w:rsidRPr="005142F1">
        <w:rPr>
          <w:rFonts w:cs="Arial"/>
          <w:i/>
          <w:iCs/>
          <w:szCs w:val="20"/>
          <w:lang w:eastAsia="en-ZA"/>
        </w:rPr>
        <w:t>Frangos v Corpcapital Ltd and Others</w:t>
      </w:r>
      <w:r w:rsidRPr="005142F1">
        <w:rPr>
          <w:rFonts w:cs="Arial"/>
          <w:szCs w:val="20"/>
          <w:lang w:eastAsia="en-ZA"/>
        </w:rPr>
        <w:t xml:space="preserve"> 2004 (2) SA 643 (T) at 648H-649C and 653C (where the </w:t>
      </w:r>
      <w:r w:rsidR="00A01AA1" w:rsidRPr="005142F1">
        <w:rPr>
          <w:rFonts w:cs="Arial"/>
          <w:szCs w:val="20"/>
          <w:lang w:eastAsia="en-ZA"/>
        </w:rPr>
        <w:t>C</w:t>
      </w:r>
      <w:r w:rsidRPr="005142F1">
        <w:rPr>
          <w:rFonts w:cs="Arial"/>
          <w:szCs w:val="20"/>
          <w:lang w:eastAsia="en-ZA"/>
        </w:rPr>
        <w:t xml:space="preserve">ourt applied the </w:t>
      </w:r>
      <w:r w:rsidR="00A07D19" w:rsidRPr="005142F1">
        <w:rPr>
          <w:rFonts w:cs="Arial"/>
          <w:szCs w:val="20"/>
          <w:lang w:eastAsia="en-ZA"/>
        </w:rPr>
        <w:t xml:space="preserve">preponderance </w:t>
      </w:r>
      <w:r w:rsidRPr="005142F1">
        <w:rPr>
          <w:rFonts w:cs="Arial"/>
          <w:szCs w:val="20"/>
          <w:lang w:eastAsia="en-ZA"/>
        </w:rPr>
        <w:t xml:space="preserve">of probabilities standard and the </w:t>
      </w:r>
      <w:r w:rsidRPr="005142F1">
        <w:rPr>
          <w:rFonts w:cs="Arial"/>
          <w:i/>
          <w:iCs/>
          <w:szCs w:val="20"/>
          <w:lang w:eastAsia="en-ZA"/>
        </w:rPr>
        <w:t>Plascon Evans</w:t>
      </w:r>
      <w:r w:rsidRPr="005142F1">
        <w:rPr>
          <w:rFonts w:cs="Arial"/>
          <w:szCs w:val="20"/>
          <w:lang w:eastAsia="en-ZA"/>
        </w:rPr>
        <w:t xml:space="preserve"> rule to all three requirements)</w:t>
      </w:r>
      <w:r w:rsidR="00276583">
        <w:rPr>
          <w:rFonts w:cs="Arial"/>
          <w:szCs w:val="20"/>
          <w:lang w:eastAsia="en-ZA"/>
        </w:rPr>
        <w:t xml:space="preserve"> and</w:t>
      </w:r>
      <w:r w:rsidRPr="005142F1">
        <w:rPr>
          <w:rFonts w:cs="Arial"/>
          <w:szCs w:val="20"/>
          <w:lang w:eastAsia="en-ZA"/>
        </w:rPr>
        <w:t xml:space="preserve"> </w:t>
      </w:r>
      <w:r w:rsidRPr="005142F1">
        <w:rPr>
          <w:rFonts w:cs="Arial"/>
          <w:i/>
          <w:iCs/>
          <w:szCs w:val="20"/>
          <w:lang w:eastAsia="en-ZA"/>
        </w:rPr>
        <w:t>Direct Channel Holdings (Pty) Limited v Shaik Investment Holdings (Pty) Limited</w:t>
      </w:r>
      <w:r w:rsidRPr="005142F1">
        <w:rPr>
          <w:rFonts w:cs="Arial"/>
          <w:szCs w:val="20"/>
          <w:lang w:eastAsia="en-ZA"/>
        </w:rPr>
        <w:t xml:space="preserve"> 2019 JDR 1396 (GJ) para 14.</w:t>
      </w:r>
    </w:p>
  </w:footnote>
  <w:footnote w:id="53">
    <w:p w14:paraId="735C3BA0" w14:textId="109049A9" w:rsidR="004C461E" w:rsidRPr="005142F1" w:rsidRDefault="004C461E">
      <w:pPr>
        <w:pStyle w:val="FootnoteText"/>
        <w:rPr>
          <w:rFonts w:cs="Arial"/>
          <w:szCs w:val="20"/>
        </w:rPr>
      </w:pPr>
      <w:r w:rsidRPr="005142F1">
        <w:rPr>
          <w:rStyle w:val="FootnoteReference"/>
        </w:rPr>
        <w:footnoteRef/>
      </w:r>
      <w:r w:rsidRPr="005142F1">
        <w:rPr>
          <w:rFonts w:cs="Arial"/>
          <w:szCs w:val="20"/>
        </w:rPr>
        <w:t xml:space="preserve"> </w:t>
      </w:r>
      <w:r w:rsidR="00D33BD9" w:rsidRPr="005142F1">
        <w:rPr>
          <w:rFonts w:cs="Arial"/>
          <w:i/>
          <w:iCs/>
          <w:szCs w:val="20"/>
        </w:rPr>
        <w:t xml:space="preserve">Viziya </w:t>
      </w:r>
      <w:r w:rsidRPr="005142F1">
        <w:rPr>
          <w:rFonts w:cs="Arial"/>
          <w:szCs w:val="20"/>
        </w:rPr>
        <w:t>(</w:t>
      </w:r>
      <w:r w:rsidR="00A30100" w:rsidRPr="005142F1">
        <w:rPr>
          <w:rFonts w:cs="Arial"/>
          <w:szCs w:val="20"/>
        </w:rPr>
        <w:t>above</w:t>
      </w:r>
      <w:r w:rsidRPr="005142F1">
        <w:rPr>
          <w:rFonts w:cs="Arial"/>
          <w:szCs w:val="20"/>
        </w:rPr>
        <w:t>) paras 61 – 69</w:t>
      </w:r>
      <w:r w:rsidR="00B34E7F" w:rsidRPr="005142F1">
        <w:rPr>
          <w:rFonts w:cs="Arial"/>
          <w:szCs w:val="20"/>
        </w:rPr>
        <w:t xml:space="preserve">. </w:t>
      </w:r>
      <w:r w:rsidR="00962A74" w:rsidRPr="005142F1">
        <w:rPr>
          <w:rFonts w:cs="Arial"/>
          <w:szCs w:val="20"/>
        </w:rPr>
        <w:t>See also</w:t>
      </w:r>
      <w:r w:rsidR="000E16BB" w:rsidRPr="005142F1">
        <w:rPr>
          <w:rFonts w:cs="Arial"/>
          <w:szCs w:val="20"/>
        </w:rPr>
        <w:t xml:space="preserve"> </w:t>
      </w:r>
      <w:r w:rsidR="000E16BB" w:rsidRPr="005142F1">
        <w:rPr>
          <w:rFonts w:cs="Arial"/>
          <w:i/>
          <w:iCs/>
          <w:szCs w:val="20"/>
        </w:rPr>
        <w:t>Friedshelf</w:t>
      </w:r>
      <w:r w:rsidR="000E16BB" w:rsidRPr="005142F1">
        <w:rPr>
          <w:rFonts w:cs="Arial"/>
          <w:szCs w:val="20"/>
        </w:rPr>
        <w:t xml:space="preserve"> (above) paras 58 – 69 and </w:t>
      </w:r>
      <w:r w:rsidR="00962A74" w:rsidRPr="005142F1">
        <w:rPr>
          <w:rFonts w:cs="Arial"/>
          <w:i/>
          <w:iCs/>
          <w:szCs w:val="20"/>
        </w:rPr>
        <w:t>Hudaco Trading (Pty) Ltd v Apex Superior Quality Parts (Pty) Ltd</w:t>
      </w:r>
      <w:r w:rsidR="00962A74" w:rsidRPr="005142F1">
        <w:rPr>
          <w:rFonts w:cs="Arial"/>
          <w:szCs w:val="20"/>
        </w:rPr>
        <w:t xml:space="preserve"> 2021 JDR 0707 (GJ) paras 14 – 18.</w:t>
      </w:r>
    </w:p>
  </w:footnote>
  <w:footnote w:id="54">
    <w:p w14:paraId="18F643B1" w14:textId="3D57C49C" w:rsidR="00962A74" w:rsidRPr="005142F1" w:rsidRDefault="00962A74">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The Reclamation Group</w:t>
      </w:r>
      <w:r w:rsidRPr="005142F1">
        <w:rPr>
          <w:rFonts w:cs="Arial"/>
          <w:szCs w:val="20"/>
        </w:rPr>
        <w:t xml:space="preserve"> (above) at 221H – 222A.</w:t>
      </w:r>
    </w:p>
  </w:footnote>
  <w:footnote w:id="55">
    <w:p w14:paraId="149DFBFB" w14:textId="70E1533D" w:rsidR="000F0B6A" w:rsidRPr="005142F1" w:rsidRDefault="000F0B6A" w:rsidP="000F0B6A">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szCs w:val="20"/>
          <w:lang w:eastAsia="en-ZA"/>
        </w:rPr>
        <w:t>For this reason, I decline to reach a conclusion as to whether</w:t>
      </w:r>
      <w:r w:rsidR="00D33BD9" w:rsidRPr="005142F1">
        <w:rPr>
          <w:rFonts w:cs="Arial"/>
          <w:szCs w:val="20"/>
          <w:lang w:eastAsia="en-ZA"/>
        </w:rPr>
        <w:t xml:space="preserve"> </w:t>
      </w:r>
      <w:r w:rsidRPr="005142F1">
        <w:rPr>
          <w:rFonts w:cs="Arial"/>
          <w:szCs w:val="20"/>
          <w:lang w:eastAsia="en-ZA"/>
        </w:rPr>
        <w:t>there is</w:t>
      </w:r>
      <w:r w:rsidR="00D33BD9" w:rsidRPr="005142F1">
        <w:rPr>
          <w:rFonts w:cs="Arial"/>
          <w:szCs w:val="20"/>
          <w:lang w:eastAsia="en-ZA"/>
        </w:rPr>
        <w:t xml:space="preserve">, as some authorities including </w:t>
      </w:r>
      <w:r w:rsidR="00D33BD9" w:rsidRPr="005142F1">
        <w:rPr>
          <w:rFonts w:cs="Arial"/>
          <w:i/>
          <w:iCs/>
          <w:szCs w:val="20"/>
          <w:lang w:eastAsia="en-ZA"/>
        </w:rPr>
        <w:t>Friedshelf</w:t>
      </w:r>
      <w:r w:rsidR="00D33BD9" w:rsidRPr="005142F1">
        <w:rPr>
          <w:rFonts w:cs="Arial"/>
          <w:szCs w:val="20"/>
          <w:lang w:eastAsia="en-ZA"/>
        </w:rPr>
        <w:t xml:space="preserve"> have accepted, </w:t>
      </w:r>
      <w:r w:rsidRPr="005142F1">
        <w:rPr>
          <w:rFonts w:cs="Arial"/>
          <w:szCs w:val="20"/>
          <w:lang w:eastAsia="en-ZA"/>
        </w:rPr>
        <w:t xml:space="preserve">an additional qualifier (e.g. “extremely strong” or “strong”) regarding the nature of the </w:t>
      </w:r>
      <w:r w:rsidRPr="005142F1">
        <w:rPr>
          <w:rFonts w:cs="Arial"/>
          <w:i/>
          <w:iCs/>
          <w:szCs w:val="20"/>
          <w:lang w:eastAsia="en-ZA"/>
        </w:rPr>
        <w:t>prima facie</w:t>
      </w:r>
      <w:r w:rsidRPr="005142F1">
        <w:rPr>
          <w:rFonts w:cs="Arial"/>
          <w:szCs w:val="20"/>
          <w:lang w:eastAsia="en-ZA"/>
        </w:rPr>
        <w:t xml:space="preserve"> case that has to be made out in an ordinary Anton Piller application, either at the initial stage or upon confirmation. Supercart confidently submitted that it has been authoritatively held by the SCA in both </w:t>
      </w:r>
      <w:r w:rsidRPr="005142F1">
        <w:rPr>
          <w:rFonts w:cs="Arial"/>
          <w:i/>
          <w:iCs/>
          <w:szCs w:val="20"/>
          <w:lang w:eastAsia="en-ZA"/>
        </w:rPr>
        <w:t>Non-Detonating Solutions</w:t>
      </w:r>
      <w:r w:rsidRPr="005142F1">
        <w:rPr>
          <w:rStyle w:val="FootnoteReference"/>
          <w:i/>
          <w:iCs/>
          <w:lang w:eastAsia="en-ZA"/>
        </w:rPr>
        <w:t xml:space="preserve"> </w:t>
      </w:r>
      <w:r w:rsidRPr="005142F1">
        <w:rPr>
          <w:rFonts w:cs="Arial"/>
          <w:szCs w:val="20"/>
          <w:lang w:eastAsia="en-ZA"/>
        </w:rPr>
        <w:t xml:space="preserve">and </w:t>
      </w:r>
      <w:r w:rsidRPr="005142F1">
        <w:rPr>
          <w:rFonts w:cs="Arial"/>
          <w:i/>
          <w:iCs/>
          <w:szCs w:val="20"/>
          <w:lang w:eastAsia="en-ZA"/>
        </w:rPr>
        <w:t xml:space="preserve">Viziya </w:t>
      </w:r>
      <w:r w:rsidRPr="005142F1">
        <w:rPr>
          <w:rFonts w:cs="Arial"/>
          <w:szCs w:val="20"/>
          <w:lang w:eastAsia="en-ZA"/>
        </w:rPr>
        <w:t>(above)</w:t>
      </w:r>
      <w:r w:rsidR="00D33BD9" w:rsidRPr="005142F1">
        <w:rPr>
          <w:rFonts w:cs="Arial"/>
          <w:szCs w:val="20"/>
          <w:lang w:eastAsia="en-ZA"/>
        </w:rPr>
        <w:t xml:space="preserve"> </w:t>
      </w:r>
      <w:r w:rsidRPr="005142F1">
        <w:rPr>
          <w:rFonts w:cs="Arial"/>
          <w:szCs w:val="20"/>
          <w:lang w:eastAsia="en-ZA"/>
        </w:rPr>
        <w:t xml:space="preserve">that this is not the case. I am not </w:t>
      </w:r>
      <w:r w:rsidR="00D33BD9" w:rsidRPr="005142F1">
        <w:rPr>
          <w:rFonts w:cs="Arial"/>
          <w:szCs w:val="20"/>
          <w:lang w:eastAsia="en-ZA"/>
        </w:rPr>
        <w:t xml:space="preserve">as </w:t>
      </w:r>
      <w:r w:rsidRPr="005142F1">
        <w:rPr>
          <w:rFonts w:cs="Arial"/>
          <w:szCs w:val="20"/>
          <w:lang w:eastAsia="en-ZA"/>
        </w:rPr>
        <w:t xml:space="preserve">certain – both of those judgments at least </w:t>
      </w:r>
      <w:r w:rsidR="00276583">
        <w:rPr>
          <w:rFonts w:cs="Arial"/>
          <w:szCs w:val="20"/>
          <w:lang w:eastAsia="en-ZA"/>
        </w:rPr>
        <w:t xml:space="preserve">partly </w:t>
      </w:r>
      <w:r w:rsidRPr="005142F1">
        <w:rPr>
          <w:rFonts w:cs="Arial"/>
          <w:szCs w:val="20"/>
          <w:lang w:eastAsia="en-ZA"/>
        </w:rPr>
        <w:t xml:space="preserve">involved Cerebos-type orders, as did the judgment of Ormrod LJ in </w:t>
      </w:r>
      <w:r w:rsidRPr="005142F1">
        <w:rPr>
          <w:rFonts w:cs="Arial"/>
          <w:i/>
          <w:iCs/>
          <w:szCs w:val="20"/>
          <w:lang w:eastAsia="en-ZA"/>
        </w:rPr>
        <w:t>Anton Piller KG</w:t>
      </w:r>
      <w:r w:rsidRPr="005142F1">
        <w:rPr>
          <w:rFonts w:cs="Arial"/>
          <w:szCs w:val="20"/>
          <w:lang w:eastAsia="en-ZA"/>
        </w:rPr>
        <w:t xml:space="preserve"> itself, which is usually cited as the source of this proposition.</w:t>
      </w:r>
    </w:p>
  </w:footnote>
  <w:footnote w:id="56">
    <w:p w14:paraId="10E92F48" w14:textId="77777777" w:rsidR="003B3AC7" w:rsidRPr="005142F1" w:rsidRDefault="003B3AC7" w:rsidP="003B3AC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szCs w:val="20"/>
        </w:rPr>
        <w:t>BHT Water Treatment (Pty) Ltd v Leslie</w:t>
      </w:r>
      <w:r w:rsidRPr="005142F1">
        <w:rPr>
          <w:rFonts w:cs="Arial"/>
          <w:szCs w:val="20"/>
        </w:rPr>
        <w:t xml:space="preserve"> 1993 (1) SA 47 (W) 55A-F; </w:t>
      </w:r>
      <w:r w:rsidRPr="005142F1">
        <w:rPr>
          <w:rFonts w:cs="Arial"/>
          <w:i/>
          <w:szCs w:val="20"/>
        </w:rPr>
        <w:t>Cape Tex Engineering Works (Pty) Ltd v SAB Lines (Pty) Ltd</w:t>
      </w:r>
      <w:r w:rsidRPr="005142F1">
        <w:rPr>
          <w:rFonts w:cs="Arial"/>
          <w:szCs w:val="20"/>
        </w:rPr>
        <w:t xml:space="preserve"> 1968 (2) SA 528 (C) 529G - 530C; </w:t>
      </w:r>
      <w:r w:rsidRPr="005142F1">
        <w:rPr>
          <w:rFonts w:cs="Arial"/>
          <w:i/>
          <w:szCs w:val="20"/>
        </w:rPr>
        <w:t>Reddy v Siemens Telecommunications (Pty) Ltd</w:t>
      </w:r>
      <w:r w:rsidRPr="005142F1">
        <w:rPr>
          <w:rFonts w:cs="Arial"/>
          <w:szCs w:val="20"/>
        </w:rPr>
        <w:t xml:space="preserve"> 2007 (2) SA 486 (SCA) para 4.</w:t>
      </w:r>
    </w:p>
  </w:footnote>
  <w:footnote w:id="57">
    <w:p w14:paraId="5CC79D25" w14:textId="37C4E09F" w:rsidR="003B3AC7" w:rsidRPr="005142F1" w:rsidRDefault="003B3AC7" w:rsidP="003B3AC7">
      <w:pPr>
        <w:pStyle w:val="FootnoteText"/>
        <w:rPr>
          <w:rFonts w:cs="Arial"/>
          <w:szCs w:val="20"/>
        </w:rPr>
      </w:pPr>
      <w:r w:rsidRPr="005142F1">
        <w:rPr>
          <w:rStyle w:val="FootnoteReference"/>
        </w:rPr>
        <w:footnoteRef/>
      </w:r>
      <w:r w:rsidRPr="005142F1">
        <w:rPr>
          <w:rFonts w:cs="Arial"/>
          <w:szCs w:val="20"/>
        </w:rPr>
        <w:t xml:space="preserve"> </w:t>
      </w:r>
      <w:r w:rsidR="00276583">
        <w:rPr>
          <w:rFonts w:cs="Arial"/>
          <w:szCs w:val="20"/>
        </w:rPr>
        <w:t xml:space="preserve">It seems to me that </w:t>
      </w:r>
      <w:r w:rsidR="00C222FE">
        <w:rPr>
          <w:rFonts w:cs="Arial"/>
          <w:szCs w:val="20"/>
        </w:rPr>
        <w:t xml:space="preserve">the </w:t>
      </w:r>
      <w:r w:rsidRPr="005142F1">
        <w:rPr>
          <w:rFonts w:cs="Arial"/>
          <w:szCs w:val="20"/>
        </w:rPr>
        <w:t xml:space="preserve">same </w:t>
      </w:r>
      <w:r w:rsidR="00276583">
        <w:rPr>
          <w:rFonts w:cs="Arial"/>
          <w:szCs w:val="20"/>
        </w:rPr>
        <w:t xml:space="preserve">considerations apply </w:t>
      </w:r>
      <w:r w:rsidRPr="005142F1">
        <w:rPr>
          <w:rFonts w:cs="Arial"/>
          <w:szCs w:val="20"/>
        </w:rPr>
        <w:t xml:space="preserve">to Cerebos-type cases and as such, even where the applicant alleges in the </w:t>
      </w:r>
      <w:r w:rsidRPr="005142F1">
        <w:rPr>
          <w:rFonts w:cs="Arial"/>
          <w:i/>
          <w:iCs/>
          <w:szCs w:val="20"/>
        </w:rPr>
        <w:t>ex parte</w:t>
      </w:r>
      <w:r w:rsidRPr="005142F1">
        <w:rPr>
          <w:rFonts w:cs="Arial"/>
          <w:szCs w:val="20"/>
        </w:rPr>
        <w:t xml:space="preserve"> application that it has in fact already seen the </w:t>
      </w:r>
      <w:r w:rsidR="006271A3">
        <w:rPr>
          <w:rFonts w:cs="Arial"/>
          <w:szCs w:val="20"/>
        </w:rPr>
        <w:t>seized and/or attached items</w:t>
      </w:r>
      <w:r w:rsidRPr="005142F1">
        <w:rPr>
          <w:rFonts w:cs="Arial"/>
          <w:szCs w:val="20"/>
        </w:rPr>
        <w:t xml:space="preserve">, it would probably have to be a requirement of the initial </w:t>
      </w:r>
      <w:r w:rsidRPr="005142F1">
        <w:rPr>
          <w:rFonts w:cs="Arial"/>
          <w:i/>
          <w:iCs/>
          <w:szCs w:val="20"/>
        </w:rPr>
        <w:t>ex parte</w:t>
      </w:r>
      <w:r w:rsidRPr="005142F1">
        <w:rPr>
          <w:rFonts w:cs="Arial"/>
          <w:szCs w:val="20"/>
        </w:rPr>
        <w:t xml:space="preserve"> relief </w:t>
      </w:r>
      <w:r w:rsidR="00276583">
        <w:rPr>
          <w:rFonts w:cs="Arial"/>
          <w:szCs w:val="20"/>
        </w:rPr>
        <w:t xml:space="preserve">in such cases </w:t>
      </w:r>
      <w:r w:rsidRPr="005142F1">
        <w:rPr>
          <w:rFonts w:cs="Arial"/>
          <w:szCs w:val="20"/>
        </w:rPr>
        <w:t>that the seized</w:t>
      </w:r>
      <w:r w:rsidR="00CD49AB">
        <w:rPr>
          <w:rFonts w:cs="Arial"/>
          <w:szCs w:val="20"/>
        </w:rPr>
        <w:t xml:space="preserve"> and/or attached</w:t>
      </w:r>
      <w:r w:rsidRPr="005142F1">
        <w:rPr>
          <w:rFonts w:cs="Arial"/>
          <w:szCs w:val="20"/>
        </w:rPr>
        <w:t xml:space="preserve"> </w:t>
      </w:r>
      <w:r w:rsidR="00CD49AB">
        <w:rPr>
          <w:rFonts w:cs="Arial"/>
          <w:szCs w:val="20"/>
        </w:rPr>
        <w:t xml:space="preserve">items </w:t>
      </w:r>
      <w:r w:rsidR="00C222FE">
        <w:rPr>
          <w:rFonts w:cs="Arial"/>
          <w:szCs w:val="20"/>
        </w:rPr>
        <w:t xml:space="preserve">may </w:t>
      </w:r>
      <w:r w:rsidRPr="005142F1">
        <w:rPr>
          <w:rFonts w:cs="Arial"/>
          <w:szCs w:val="20"/>
        </w:rPr>
        <w:t xml:space="preserve">not be inspected or copied until such time as </w:t>
      </w:r>
      <w:r w:rsidR="00276583">
        <w:rPr>
          <w:rFonts w:cs="Arial"/>
          <w:szCs w:val="20"/>
        </w:rPr>
        <w:t xml:space="preserve">the order </w:t>
      </w:r>
      <w:r w:rsidRPr="005142F1">
        <w:rPr>
          <w:rFonts w:cs="Arial"/>
          <w:szCs w:val="20"/>
        </w:rPr>
        <w:t xml:space="preserve">is confirmed on a return date or upon reconsideration and the respondent has been given an opportunity to deliver an answering affidavit. This </w:t>
      </w:r>
      <w:r w:rsidR="00D459DA">
        <w:rPr>
          <w:rFonts w:cs="Arial"/>
          <w:szCs w:val="20"/>
        </w:rPr>
        <w:t xml:space="preserve">was </w:t>
      </w:r>
      <w:r w:rsidRPr="005142F1">
        <w:rPr>
          <w:rFonts w:cs="Arial"/>
          <w:szCs w:val="20"/>
        </w:rPr>
        <w:t xml:space="preserve">the partial basis for the decision in </w:t>
      </w:r>
      <w:r w:rsidRPr="005142F1">
        <w:rPr>
          <w:rFonts w:cs="Arial"/>
          <w:i/>
          <w:iCs/>
          <w:szCs w:val="20"/>
        </w:rPr>
        <w:t>Air &amp; Allied Technologies CC v Advanced Air Control Technologies (Pty) Ltd</w:t>
      </w:r>
      <w:r w:rsidRPr="005142F1">
        <w:rPr>
          <w:rFonts w:cs="Arial"/>
          <w:szCs w:val="20"/>
        </w:rPr>
        <w:t xml:space="preserve"> 2020 JDR 0678 (GJ) paras 48 to 55 which (notwithstanding the reference to </w:t>
      </w:r>
      <w:r w:rsidRPr="005142F1">
        <w:rPr>
          <w:rFonts w:cs="Arial"/>
          <w:i/>
          <w:iCs/>
          <w:szCs w:val="20"/>
        </w:rPr>
        <w:t>Memory Institute</w:t>
      </w:r>
      <w:r w:rsidRPr="005142F1">
        <w:rPr>
          <w:rFonts w:cs="Arial"/>
          <w:szCs w:val="20"/>
        </w:rPr>
        <w:t xml:space="preserve">) was a Cerebos-type case. I reiterate that I express no definitive view in the current judgment on either the general requirements or the required safeguards for Cerebos-type orders. Although the SCA held in </w:t>
      </w:r>
      <w:r w:rsidRPr="005142F1">
        <w:rPr>
          <w:rFonts w:cs="Arial"/>
          <w:i/>
          <w:iCs/>
          <w:szCs w:val="20"/>
        </w:rPr>
        <w:t>Van Niekerk v Van Niekerk</w:t>
      </w:r>
      <w:r w:rsidRPr="005142F1">
        <w:rPr>
          <w:rFonts w:cs="Arial"/>
          <w:szCs w:val="20"/>
        </w:rPr>
        <w:t xml:space="preserve"> 2008 (1) SA 76 (SCA) that a decision to confirm an Anton Piller order is not final in effect and therefore not appealable, I deduce from paragraph 11 </w:t>
      </w:r>
      <w:r w:rsidR="00276583">
        <w:rPr>
          <w:rFonts w:cs="Arial"/>
          <w:szCs w:val="20"/>
        </w:rPr>
        <w:t xml:space="preserve">of the judgment </w:t>
      </w:r>
      <w:r w:rsidRPr="005142F1">
        <w:rPr>
          <w:rFonts w:cs="Arial"/>
          <w:szCs w:val="20"/>
        </w:rPr>
        <w:t xml:space="preserve">that </w:t>
      </w:r>
      <w:r w:rsidR="00276583">
        <w:rPr>
          <w:rFonts w:cs="Arial"/>
          <w:szCs w:val="20"/>
        </w:rPr>
        <w:t xml:space="preserve">the order under reconsideration had </w:t>
      </w:r>
      <w:r w:rsidRPr="005142F1">
        <w:rPr>
          <w:rFonts w:cs="Arial"/>
          <w:szCs w:val="20"/>
        </w:rPr>
        <w:t xml:space="preserve">not </w:t>
      </w:r>
      <w:r w:rsidR="00276583">
        <w:rPr>
          <w:rFonts w:cs="Arial"/>
          <w:szCs w:val="20"/>
        </w:rPr>
        <w:t xml:space="preserve">permitted </w:t>
      </w:r>
      <w:r w:rsidRPr="005142F1">
        <w:rPr>
          <w:rFonts w:cs="Arial"/>
          <w:szCs w:val="20"/>
        </w:rPr>
        <w:t>inspection.</w:t>
      </w:r>
    </w:p>
  </w:footnote>
  <w:footnote w:id="58">
    <w:p w14:paraId="43ED57C1" w14:textId="48A24779" w:rsidR="00DB3A04" w:rsidRPr="005142F1" w:rsidRDefault="00DB3A04">
      <w:pPr>
        <w:pStyle w:val="FootnoteText"/>
        <w:rPr>
          <w:rFonts w:cs="Arial"/>
          <w:szCs w:val="20"/>
        </w:rPr>
      </w:pPr>
      <w:r w:rsidRPr="005142F1">
        <w:rPr>
          <w:rStyle w:val="FootnoteReference"/>
        </w:rPr>
        <w:footnoteRef/>
      </w:r>
      <w:r w:rsidRPr="005142F1">
        <w:rPr>
          <w:rFonts w:cs="Arial"/>
          <w:szCs w:val="20"/>
        </w:rPr>
        <w:t xml:space="preserve"> </w:t>
      </w:r>
      <w:r w:rsidR="008456F8" w:rsidRPr="005142F1">
        <w:rPr>
          <w:rFonts w:cs="Arial"/>
          <w:i/>
          <w:iCs/>
          <w:szCs w:val="20"/>
        </w:rPr>
        <w:t>Non-Detonating Solutions</w:t>
      </w:r>
      <w:r w:rsidR="008456F8" w:rsidRPr="005142F1">
        <w:rPr>
          <w:rFonts w:cs="Arial"/>
          <w:szCs w:val="20"/>
        </w:rPr>
        <w:t xml:space="preserve"> (above)</w:t>
      </w:r>
      <w:r w:rsidRPr="005142F1">
        <w:rPr>
          <w:rFonts w:cs="Arial"/>
          <w:szCs w:val="20"/>
        </w:rPr>
        <w:t xml:space="preserve"> para 30</w:t>
      </w:r>
      <w:r w:rsidR="00276583">
        <w:rPr>
          <w:rFonts w:cs="Arial"/>
          <w:szCs w:val="20"/>
        </w:rPr>
        <w:t xml:space="preserve"> [emphasis supplied]</w:t>
      </w:r>
      <w:r w:rsidRPr="005142F1">
        <w:rPr>
          <w:rFonts w:cs="Arial"/>
          <w:szCs w:val="20"/>
        </w:rPr>
        <w:t>.</w:t>
      </w:r>
    </w:p>
  </w:footnote>
  <w:footnote w:id="59">
    <w:p w14:paraId="26FF7FC4" w14:textId="76BA702B" w:rsidR="00920F0C" w:rsidRPr="005142F1" w:rsidRDefault="00920F0C">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The Reclamation Group</w:t>
      </w:r>
      <w:r w:rsidRPr="005142F1">
        <w:rPr>
          <w:rFonts w:cs="Arial"/>
          <w:szCs w:val="20"/>
        </w:rPr>
        <w:t xml:space="preserve"> (above) at 222D.</w:t>
      </w:r>
      <w:r w:rsidR="00A53ED1" w:rsidRPr="005142F1">
        <w:rPr>
          <w:rFonts w:cs="Arial"/>
          <w:szCs w:val="20"/>
        </w:rPr>
        <w:t xml:space="preserve"> </w:t>
      </w:r>
    </w:p>
  </w:footnote>
  <w:footnote w:id="60">
    <w:p w14:paraId="7D002214" w14:textId="426C7C48" w:rsidR="007D5490" w:rsidRDefault="007D5490">
      <w:pPr>
        <w:pStyle w:val="FootnoteText"/>
      </w:pPr>
      <w:r>
        <w:rPr>
          <w:rStyle w:val="FootnoteReference"/>
        </w:rPr>
        <w:footnoteRef/>
      </w:r>
      <w:r>
        <w:t xml:space="preserve"> </w:t>
      </w:r>
      <w:r w:rsidRPr="005142F1">
        <w:rPr>
          <w:rFonts w:cs="Arial"/>
          <w:i/>
          <w:iCs/>
          <w:szCs w:val="20"/>
        </w:rPr>
        <w:t>The Reclamation Group</w:t>
      </w:r>
      <w:r w:rsidRPr="005142F1">
        <w:rPr>
          <w:rFonts w:cs="Arial"/>
          <w:szCs w:val="20"/>
        </w:rPr>
        <w:t xml:space="preserve"> (above) at 222G and 223J-224A</w:t>
      </w:r>
      <w:r>
        <w:rPr>
          <w:rFonts w:cs="Arial"/>
          <w:szCs w:val="20"/>
        </w:rPr>
        <w:t>.</w:t>
      </w:r>
    </w:p>
  </w:footnote>
  <w:footnote w:id="61">
    <w:p w14:paraId="61CCF98D" w14:textId="4B4867E0" w:rsidR="007D5490" w:rsidRDefault="007D5490">
      <w:pPr>
        <w:pStyle w:val="FootnoteText"/>
      </w:pPr>
      <w:r>
        <w:rPr>
          <w:rStyle w:val="FootnoteReference"/>
        </w:rPr>
        <w:footnoteRef/>
      </w:r>
      <w:r>
        <w:t xml:space="preserve"> </w:t>
      </w:r>
      <w:r w:rsidRPr="005142F1">
        <w:rPr>
          <w:rFonts w:cs="Arial"/>
          <w:szCs w:val="20"/>
        </w:rPr>
        <w:t xml:space="preserve">See also </w:t>
      </w:r>
      <w:r w:rsidRPr="006A4E09">
        <w:rPr>
          <w:rFonts w:cs="Arial"/>
          <w:i/>
          <w:iCs/>
          <w:szCs w:val="20"/>
        </w:rPr>
        <w:t>Van Der Merwe</w:t>
      </w:r>
      <w:r w:rsidRPr="005142F1">
        <w:rPr>
          <w:rFonts w:cs="Arial"/>
          <w:szCs w:val="20"/>
        </w:rPr>
        <w:t xml:space="preserve"> (above) paras 46 and 47</w:t>
      </w:r>
      <w:r>
        <w:rPr>
          <w:rFonts w:cs="Arial"/>
          <w:szCs w:val="20"/>
        </w:rPr>
        <w:t>.</w:t>
      </w:r>
    </w:p>
  </w:footnote>
  <w:footnote w:id="62">
    <w:p w14:paraId="486AB814" w14:textId="416BF7A3" w:rsidR="003C4747" w:rsidRPr="005142F1" w:rsidRDefault="003C4747">
      <w:pPr>
        <w:pStyle w:val="FootnoteText"/>
        <w:rPr>
          <w:rFonts w:cs="Arial"/>
          <w:szCs w:val="20"/>
        </w:rPr>
      </w:pPr>
      <w:r w:rsidRPr="005142F1">
        <w:rPr>
          <w:rStyle w:val="FootnoteReference"/>
        </w:rPr>
        <w:footnoteRef/>
      </w:r>
      <w:r w:rsidRPr="005142F1">
        <w:rPr>
          <w:rFonts w:cs="Arial"/>
          <w:szCs w:val="20"/>
        </w:rPr>
        <w:t xml:space="preserve"> </w:t>
      </w:r>
      <w:r w:rsidR="00DE269B" w:rsidRPr="005142F1">
        <w:rPr>
          <w:rFonts w:cs="Arial"/>
          <w:szCs w:val="20"/>
        </w:rPr>
        <w:t xml:space="preserve">Compare the perspicacious observations in this regard by </w:t>
      </w:r>
      <w:r w:rsidR="008456F8" w:rsidRPr="005142F1">
        <w:rPr>
          <w:rFonts w:cs="Arial"/>
          <w:szCs w:val="20"/>
        </w:rPr>
        <w:t xml:space="preserve">Strathern AJ </w:t>
      </w:r>
      <w:r w:rsidR="00DE269B" w:rsidRPr="005142F1">
        <w:rPr>
          <w:rFonts w:cs="Arial"/>
          <w:szCs w:val="20"/>
        </w:rPr>
        <w:t xml:space="preserve">in </w:t>
      </w:r>
      <w:r w:rsidRPr="005142F1">
        <w:rPr>
          <w:rFonts w:cs="Arial"/>
          <w:i/>
          <w:iCs/>
          <w:szCs w:val="20"/>
        </w:rPr>
        <w:t>Friedshelf</w:t>
      </w:r>
      <w:r w:rsidRPr="005142F1">
        <w:rPr>
          <w:rFonts w:cs="Arial"/>
          <w:szCs w:val="20"/>
        </w:rPr>
        <w:t xml:space="preserve"> (above) para 78.</w:t>
      </w:r>
    </w:p>
  </w:footnote>
  <w:footnote w:id="63">
    <w:p w14:paraId="67E9CD19" w14:textId="51F0DB75" w:rsidR="003C4747" w:rsidRPr="005142F1" w:rsidRDefault="003C474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Plascon-Evans </w:t>
      </w:r>
      <w:r w:rsidRPr="005142F1">
        <w:rPr>
          <w:rFonts w:cs="Arial"/>
          <w:szCs w:val="20"/>
        </w:rPr>
        <w:t>(</w:t>
      </w:r>
      <w:r w:rsidR="00EA4D01" w:rsidRPr="005142F1">
        <w:rPr>
          <w:rFonts w:cs="Arial"/>
          <w:szCs w:val="20"/>
        </w:rPr>
        <w:t>above</w:t>
      </w:r>
      <w:r w:rsidRPr="005142F1">
        <w:rPr>
          <w:rFonts w:cs="Arial"/>
          <w:szCs w:val="20"/>
        </w:rPr>
        <w:t xml:space="preserve">) </w:t>
      </w:r>
      <w:r w:rsidR="00EA4D01" w:rsidRPr="005142F1">
        <w:rPr>
          <w:rFonts w:cs="Arial"/>
          <w:szCs w:val="20"/>
        </w:rPr>
        <w:t>at 634E-635C</w:t>
      </w:r>
    </w:p>
  </w:footnote>
  <w:footnote w:id="64">
    <w:p w14:paraId="539FF8FF" w14:textId="77777777" w:rsidR="002A0B16" w:rsidRPr="005142F1" w:rsidRDefault="002A0B16" w:rsidP="002A0B16">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Non-Detonating Solutions</w:t>
      </w:r>
      <w:r w:rsidRPr="005142F1">
        <w:rPr>
          <w:rFonts w:cs="Arial"/>
          <w:szCs w:val="20"/>
        </w:rPr>
        <w:t xml:space="preserve"> (above) para 28.</w:t>
      </w:r>
    </w:p>
  </w:footnote>
  <w:footnote w:id="65">
    <w:p w14:paraId="23EED46C" w14:textId="77777777" w:rsidR="0049036D" w:rsidRPr="005142F1" w:rsidRDefault="0049036D" w:rsidP="0049036D">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Viziya </w:t>
      </w:r>
      <w:r w:rsidRPr="005142F1">
        <w:rPr>
          <w:rFonts w:cs="Arial"/>
          <w:szCs w:val="20"/>
        </w:rPr>
        <w:t>(above) paras 45 – 47.</w:t>
      </w:r>
    </w:p>
  </w:footnote>
  <w:footnote w:id="66">
    <w:p w14:paraId="20228088" w14:textId="300B9B28" w:rsidR="00643DDE" w:rsidRPr="005142F1" w:rsidRDefault="00643DDE">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szCs w:val="20"/>
          <w:lang w:eastAsia="en-ZA"/>
        </w:rPr>
        <w:t xml:space="preserve">In </w:t>
      </w:r>
      <w:r w:rsidRPr="005142F1">
        <w:rPr>
          <w:rFonts w:cs="Arial"/>
          <w:i/>
          <w:iCs/>
          <w:szCs w:val="20"/>
        </w:rPr>
        <w:t>Friedshelf</w:t>
      </w:r>
      <w:r w:rsidRPr="005142F1">
        <w:rPr>
          <w:rFonts w:cs="Arial"/>
          <w:szCs w:val="20"/>
        </w:rPr>
        <w:t xml:space="preserve"> </w:t>
      </w:r>
      <w:r w:rsidR="00CC0A9B">
        <w:rPr>
          <w:rFonts w:cs="Arial"/>
          <w:szCs w:val="20"/>
        </w:rPr>
        <w:t xml:space="preserve">(above) para 57 </w:t>
      </w:r>
      <w:r w:rsidRPr="005142F1">
        <w:rPr>
          <w:rFonts w:cs="Arial"/>
          <w:szCs w:val="20"/>
        </w:rPr>
        <w:t>(</w:t>
      </w:r>
      <w:r w:rsidRPr="005142F1">
        <w:rPr>
          <w:rFonts w:cs="Arial"/>
          <w:szCs w:val="20"/>
          <w:lang w:eastAsia="en-ZA"/>
        </w:rPr>
        <w:t xml:space="preserve">relied upon by Vanesco), the </w:t>
      </w:r>
      <w:r w:rsidR="00A01AA1" w:rsidRPr="005142F1">
        <w:rPr>
          <w:rFonts w:cs="Arial"/>
          <w:szCs w:val="20"/>
          <w:lang w:eastAsia="en-ZA"/>
        </w:rPr>
        <w:t>C</w:t>
      </w:r>
      <w:r w:rsidRPr="005142F1">
        <w:rPr>
          <w:rFonts w:cs="Arial"/>
          <w:szCs w:val="20"/>
          <w:lang w:eastAsia="en-ZA"/>
        </w:rPr>
        <w:t xml:space="preserve">ourt </w:t>
      </w:r>
      <w:r w:rsidRPr="005142F1">
        <w:rPr>
          <w:rFonts w:cs="Arial"/>
          <w:szCs w:val="20"/>
        </w:rPr>
        <w:t>made no finding of its own in this regard, but simply proceeded on the basis that both sets of counsel had agreed that proof on a preponderance of probabilities is required: para 57.</w:t>
      </w:r>
    </w:p>
  </w:footnote>
  <w:footnote w:id="67">
    <w:p w14:paraId="7273DFF2" w14:textId="3A9073B0" w:rsidR="005048D7" w:rsidRPr="005142F1" w:rsidRDefault="005048D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The Reclamation Group </w:t>
      </w:r>
      <w:r w:rsidRPr="005142F1">
        <w:rPr>
          <w:rFonts w:cs="Arial"/>
          <w:szCs w:val="20"/>
        </w:rPr>
        <w:t>(above)</w:t>
      </w:r>
      <w:r w:rsidRPr="005142F1">
        <w:rPr>
          <w:rFonts w:cs="Arial"/>
          <w:szCs w:val="20"/>
          <w:lang w:eastAsia="en-ZA"/>
        </w:rPr>
        <w:t xml:space="preserve"> at 222F–G.</w:t>
      </w:r>
    </w:p>
  </w:footnote>
  <w:footnote w:id="68">
    <w:p w14:paraId="4DA3AB69" w14:textId="330B9818" w:rsidR="00643DDE" w:rsidRPr="005142F1" w:rsidRDefault="00643DDE" w:rsidP="00643DDE">
      <w:pPr>
        <w:pStyle w:val="FootnoteText"/>
        <w:rPr>
          <w:rFonts w:cs="Arial"/>
          <w:szCs w:val="20"/>
        </w:rPr>
      </w:pPr>
      <w:r w:rsidRPr="005142F1">
        <w:rPr>
          <w:rStyle w:val="FootnoteReference"/>
        </w:rPr>
        <w:footnoteRef/>
      </w:r>
      <w:r w:rsidRPr="005142F1">
        <w:rPr>
          <w:rFonts w:cs="Arial"/>
          <w:szCs w:val="20"/>
          <w:lang w:eastAsia="en-ZA"/>
        </w:rPr>
        <w:t xml:space="preserve"> </w:t>
      </w:r>
      <w:r w:rsidR="00CC0A9B">
        <w:rPr>
          <w:rFonts w:cs="Arial"/>
          <w:szCs w:val="20"/>
          <w:lang w:eastAsia="en-ZA"/>
        </w:rPr>
        <w:t>I</w:t>
      </w:r>
      <w:r w:rsidRPr="005142F1">
        <w:rPr>
          <w:rFonts w:cs="Arial"/>
          <w:szCs w:val="20"/>
          <w:lang w:eastAsia="en-ZA"/>
        </w:rPr>
        <w:t xml:space="preserve">n view of the test as laid down in </w:t>
      </w:r>
      <w:r w:rsidRPr="005142F1">
        <w:rPr>
          <w:rFonts w:cs="Arial"/>
          <w:i/>
          <w:iCs/>
          <w:szCs w:val="20"/>
          <w:lang w:eastAsia="en-ZA"/>
        </w:rPr>
        <w:t>Viziya</w:t>
      </w:r>
      <w:r w:rsidR="002169FE" w:rsidRPr="005142F1">
        <w:rPr>
          <w:rFonts w:cs="Arial"/>
          <w:szCs w:val="20"/>
          <w:lang w:eastAsia="en-ZA"/>
        </w:rPr>
        <w:t xml:space="preserve"> (above)</w:t>
      </w:r>
      <w:r w:rsidRPr="005142F1">
        <w:rPr>
          <w:rFonts w:cs="Arial"/>
          <w:szCs w:val="20"/>
          <w:lang w:eastAsia="en-ZA"/>
        </w:rPr>
        <w:t xml:space="preserve">, the applicant is not required to prove the third </w:t>
      </w:r>
      <w:r w:rsidR="00AE3177" w:rsidRPr="005142F1">
        <w:rPr>
          <w:rFonts w:cs="Arial"/>
          <w:szCs w:val="20"/>
          <w:lang w:eastAsia="en-ZA"/>
        </w:rPr>
        <w:t xml:space="preserve">threshold </w:t>
      </w:r>
      <w:r w:rsidRPr="005142F1">
        <w:rPr>
          <w:rFonts w:cs="Arial"/>
          <w:szCs w:val="20"/>
          <w:lang w:eastAsia="en-ZA"/>
        </w:rPr>
        <w:t xml:space="preserve">requirement itself on a </w:t>
      </w:r>
      <w:r w:rsidR="001B2593" w:rsidRPr="005142F1">
        <w:rPr>
          <w:rFonts w:cs="Arial"/>
          <w:color w:val="000000"/>
          <w:szCs w:val="20"/>
        </w:rPr>
        <w:t xml:space="preserve">preponderance </w:t>
      </w:r>
      <w:r w:rsidRPr="005142F1">
        <w:rPr>
          <w:rFonts w:cs="Arial"/>
          <w:szCs w:val="20"/>
          <w:lang w:eastAsia="en-ZA"/>
        </w:rPr>
        <w:t>of probabilities</w:t>
      </w:r>
      <w:r w:rsidR="00CC0A9B">
        <w:rPr>
          <w:rFonts w:cs="Arial"/>
          <w:szCs w:val="20"/>
          <w:lang w:eastAsia="en-ZA"/>
        </w:rPr>
        <w:t xml:space="preserve"> – </w:t>
      </w:r>
      <w:r w:rsidRPr="005142F1">
        <w:rPr>
          <w:rFonts w:cs="Arial"/>
          <w:szCs w:val="20"/>
          <w:lang w:eastAsia="en-ZA"/>
        </w:rPr>
        <w:t>only</w:t>
      </w:r>
      <w:r w:rsidR="00CC0A9B">
        <w:rPr>
          <w:rFonts w:cs="Arial"/>
          <w:szCs w:val="20"/>
          <w:lang w:eastAsia="en-ZA"/>
        </w:rPr>
        <w:t xml:space="preserve"> </w:t>
      </w:r>
      <w:r w:rsidRPr="005142F1">
        <w:rPr>
          <w:rFonts w:cs="Arial"/>
          <w:szCs w:val="20"/>
          <w:lang w:eastAsia="en-ZA"/>
        </w:rPr>
        <w:t xml:space="preserve">those facts upon which it seeks to rely for the purposes of </w:t>
      </w:r>
      <w:r w:rsidR="00CC0A9B">
        <w:rPr>
          <w:rFonts w:cs="Arial"/>
          <w:szCs w:val="20"/>
          <w:lang w:eastAsia="en-ZA"/>
        </w:rPr>
        <w:t xml:space="preserve">establishing </w:t>
      </w:r>
      <w:r w:rsidRPr="005142F1">
        <w:rPr>
          <w:rFonts w:cs="Arial"/>
          <w:szCs w:val="20"/>
          <w:lang w:eastAsia="en-ZA"/>
        </w:rPr>
        <w:t xml:space="preserve">the existence of the </w:t>
      </w:r>
      <w:r w:rsidR="00AE3177" w:rsidRPr="005142F1">
        <w:rPr>
          <w:rFonts w:cs="Arial"/>
          <w:szCs w:val="20"/>
          <w:lang w:eastAsia="en-ZA"/>
        </w:rPr>
        <w:t xml:space="preserve">objectively </w:t>
      </w:r>
      <w:r w:rsidRPr="005142F1">
        <w:rPr>
          <w:rFonts w:cs="Arial"/>
          <w:szCs w:val="20"/>
          <w:lang w:eastAsia="en-ZA"/>
        </w:rPr>
        <w:t>reasonable apprehension.</w:t>
      </w:r>
    </w:p>
  </w:footnote>
  <w:footnote w:id="69">
    <w:p w14:paraId="5DD97697" w14:textId="77777777" w:rsidR="00A52DF2" w:rsidRPr="005142F1" w:rsidRDefault="00A52DF2" w:rsidP="00A52DF2">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Non-Detonating Solutions</w:t>
      </w:r>
      <w:r w:rsidRPr="005142F1">
        <w:rPr>
          <w:rFonts w:cs="Arial"/>
          <w:szCs w:val="20"/>
        </w:rPr>
        <w:t xml:space="preserve"> (above) para 41.</w:t>
      </w:r>
    </w:p>
  </w:footnote>
  <w:footnote w:id="70">
    <w:p w14:paraId="7AA777DD" w14:textId="153AF298" w:rsidR="00A52DF2" w:rsidRPr="005142F1" w:rsidRDefault="00A52DF2" w:rsidP="00A52DF2">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Richards Bay Titanium (Pty) Ltd and another v Cosco Shipping Logistics Africa (Pty) Ltd and others</w:t>
      </w:r>
      <w:r w:rsidRPr="005142F1">
        <w:rPr>
          <w:rFonts w:cs="Arial"/>
          <w:szCs w:val="20"/>
        </w:rPr>
        <w:t xml:space="preserve"> 2023 JDR 2076 (GP) para 82</w:t>
      </w:r>
      <w:r w:rsidR="00A20BFB" w:rsidRPr="005142F1">
        <w:rPr>
          <w:rFonts w:cs="Arial"/>
          <w:szCs w:val="20"/>
        </w:rPr>
        <w:t xml:space="preserve">. See also </w:t>
      </w:r>
      <w:r w:rsidR="00A20BFB" w:rsidRPr="005142F1">
        <w:rPr>
          <w:rFonts w:cs="Arial"/>
          <w:i/>
          <w:iCs/>
          <w:szCs w:val="20"/>
        </w:rPr>
        <w:t>Dabelstein</w:t>
      </w:r>
      <w:r w:rsidR="00A20BFB" w:rsidRPr="005142F1">
        <w:rPr>
          <w:rFonts w:cs="Arial"/>
          <w:szCs w:val="20"/>
        </w:rPr>
        <w:t xml:space="preserve"> (above) at 69H.</w:t>
      </w:r>
    </w:p>
  </w:footnote>
  <w:footnote w:id="71">
    <w:p w14:paraId="0D8B6628" w14:textId="0742A2A2" w:rsidR="00C875AC" w:rsidRPr="005142F1" w:rsidRDefault="00C875AC" w:rsidP="00C875AC">
      <w:pPr>
        <w:pStyle w:val="FootnoteText"/>
        <w:rPr>
          <w:rFonts w:cs="Arial"/>
          <w:szCs w:val="20"/>
        </w:rPr>
      </w:pPr>
      <w:r w:rsidRPr="005142F1">
        <w:rPr>
          <w:rStyle w:val="FootnoteReference"/>
        </w:rPr>
        <w:footnoteRef/>
      </w:r>
      <w:r w:rsidRPr="005142F1">
        <w:rPr>
          <w:rFonts w:cs="Arial"/>
          <w:szCs w:val="20"/>
        </w:rPr>
        <w:t xml:space="preserve"> </w:t>
      </w:r>
      <w:r w:rsidR="005B20F0" w:rsidRPr="005142F1">
        <w:rPr>
          <w:rFonts w:cs="Arial"/>
          <w:i/>
          <w:iCs/>
          <w:szCs w:val="20"/>
        </w:rPr>
        <w:t>The</w:t>
      </w:r>
      <w:r w:rsidR="005B20F0" w:rsidRPr="005142F1">
        <w:rPr>
          <w:rFonts w:cs="Arial"/>
          <w:szCs w:val="20"/>
        </w:rPr>
        <w:t xml:space="preserve"> </w:t>
      </w:r>
      <w:r w:rsidRPr="005142F1">
        <w:rPr>
          <w:rFonts w:cs="Arial"/>
          <w:i/>
          <w:iCs/>
          <w:szCs w:val="20"/>
        </w:rPr>
        <w:t>Reclamation Group</w:t>
      </w:r>
      <w:r w:rsidRPr="005142F1">
        <w:rPr>
          <w:rFonts w:cs="Arial"/>
          <w:szCs w:val="20"/>
        </w:rPr>
        <w:t xml:space="preserve"> (above) </w:t>
      </w:r>
      <w:r w:rsidRPr="005142F1">
        <w:rPr>
          <w:rFonts w:cs="Arial"/>
          <w:szCs w:val="20"/>
          <w:lang w:eastAsia="en-ZA"/>
        </w:rPr>
        <w:t>at 221F–G</w:t>
      </w:r>
      <w:r w:rsidR="00EC00AB" w:rsidRPr="005142F1">
        <w:rPr>
          <w:rFonts w:cs="Arial"/>
          <w:szCs w:val="20"/>
          <w:lang w:eastAsia="en-ZA"/>
        </w:rPr>
        <w:t xml:space="preserve">. For this reason, </w:t>
      </w:r>
      <w:r w:rsidR="00752C94">
        <w:rPr>
          <w:rFonts w:cs="Arial"/>
          <w:szCs w:val="20"/>
          <w:lang w:eastAsia="en-ZA"/>
        </w:rPr>
        <w:t xml:space="preserve">in cases where the order is challenged on these grounds, </w:t>
      </w:r>
      <w:r w:rsidR="00EC00AB" w:rsidRPr="005142F1">
        <w:rPr>
          <w:rFonts w:cs="Arial"/>
          <w:szCs w:val="20"/>
          <w:lang w:eastAsia="en-ZA"/>
        </w:rPr>
        <w:t xml:space="preserve">it </w:t>
      </w:r>
      <w:r w:rsidR="00752C94">
        <w:rPr>
          <w:rFonts w:cs="Arial"/>
          <w:szCs w:val="20"/>
          <w:lang w:eastAsia="en-ZA"/>
        </w:rPr>
        <w:t xml:space="preserve">would </w:t>
      </w:r>
      <w:r w:rsidR="00EC00AB" w:rsidRPr="005142F1">
        <w:rPr>
          <w:rFonts w:cs="Arial"/>
          <w:szCs w:val="20"/>
          <w:lang w:eastAsia="en-ZA"/>
        </w:rPr>
        <w:t xml:space="preserve">be appropriate </w:t>
      </w:r>
      <w:r w:rsidR="00752C94">
        <w:rPr>
          <w:rFonts w:cs="Arial"/>
          <w:szCs w:val="20"/>
          <w:lang w:eastAsia="en-ZA"/>
        </w:rPr>
        <w:t xml:space="preserve">to allow </w:t>
      </w:r>
      <w:r w:rsidR="00EC00AB" w:rsidRPr="005142F1">
        <w:rPr>
          <w:rFonts w:cs="Arial"/>
          <w:szCs w:val="20"/>
          <w:lang w:eastAsia="en-ZA"/>
        </w:rPr>
        <w:t xml:space="preserve">the respondent </w:t>
      </w:r>
      <w:r w:rsidR="00752C94">
        <w:rPr>
          <w:rFonts w:cs="Arial"/>
          <w:szCs w:val="20"/>
          <w:lang w:eastAsia="en-ZA"/>
        </w:rPr>
        <w:t xml:space="preserve">a further opportunity to </w:t>
      </w:r>
      <w:r w:rsidR="00EC00AB" w:rsidRPr="005142F1">
        <w:rPr>
          <w:rFonts w:cs="Arial"/>
          <w:szCs w:val="20"/>
          <w:lang w:eastAsia="en-ZA"/>
        </w:rPr>
        <w:t>file affidavit</w:t>
      </w:r>
      <w:r w:rsidR="00752C94">
        <w:rPr>
          <w:rFonts w:cs="Arial"/>
          <w:szCs w:val="20"/>
          <w:lang w:eastAsia="en-ZA"/>
        </w:rPr>
        <w:t>s</w:t>
      </w:r>
      <w:r w:rsidR="00EC00AB" w:rsidRPr="005142F1">
        <w:rPr>
          <w:rFonts w:cs="Arial"/>
          <w:szCs w:val="20"/>
          <w:lang w:eastAsia="en-ZA"/>
        </w:rPr>
        <w:t xml:space="preserve"> after the applicant has filed its reply</w:t>
      </w:r>
      <w:r w:rsidR="00752C94">
        <w:rPr>
          <w:rFonts w:cs="Arial"/>
          <w:szCs w:val="20"/>
          <w:lang w:eastAsia="en-ZA"/>
        </w:rPr>
        <w:t>ing papers</w:t>
      </w:r>
      <w:r w:rsidR="00EC00AB" w:rsidRPr="005142F1">
        <w:rPr>
          <w:rFonts w:cs="Arial"/>
          <w:szCs w:val="20"/>
          <w:lang w:eastAsia="en-ZA"/>
        </w:rPr>
        <w:t>, as occurred in the current matter, but it should be strictly limited to the issues upon which it bears an onus.</w:t>
      </w:r>
    </w:p>
  </w:footnote>
  <w:footnote w:id="72">
    <w:p w14:paraId="05F661AA" w14:textId="77777777" w:rsidR="000C3610" w:rsidRPr="005142F1" w:rsidRDefault="000C3610" w:rsidP="000C3610">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lang w:eastAsia="en-ZA"/>
        </w:rPr>
        <w:t>Phillips and Others v National Director of Public Prosecutions</w:t>
      </w:r>
      <w:r w:rsidRPr="005142F1">
        <w:rPr>
          <w:rFonts w:cs="Arial"/>
          <w:szCs w:val="20"/>
          <w:lang w:eastAsia="en-ZA"/>
        </w:rPr>
        <w:t xml:space="preserve"> 2003 (6) SA 447 (SCA) at 455 para 29</w:t>
      </w:r>
    </w:p>
  </w:footnote>
  <w:footnote w:id="73">
    <w:p w14:paraId="63A30A74" w14:textId="55977EAB" w:rsidR="000C3610" w:rsidRPr="005142F1" w:rsidRDefault="000C3610">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Petre &amp; Madco</w:t>
      </w:r>
      <w:r w:rsidRPr="005142F1">
        <w:rPr>
          <w:rFonts w:cs="Arial"/>
          <w:szCs w:val="20"/>
        </w:rPr>
        <w:t xml:space="preserve"> (above) at 855E.</w:t>
      </w:r>
    </w:p>
  </w:footnote>
  <w:footnote w:id="74">
    <w:p w14:paraId="7EEF2A71" w14:textId="00F20DD2" w:rsidR="007F3497" w:rsidRPr="005142F1" w:rsidRDefault="007F349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lang w:eastAsia="en-ZA"/>
        </w:rPr>
        <w:t>Retail Apparel</w:t>
      </w:r>
      <w:r w:rsidRPr="005142F1">
        <w:rPr>
          <w:rFonts w:cs="Arial"/>
          <w:szCs w:val="20"/>
          <w:lang w:eastAsia="en-ZA"/>
        </w:rPr>
        <w:t xml:space="preserve"> (above) at 234A-C, </w:t>
      </w:r>
      <w:r w:rsidRPr="005142F1">
        <w:rPr>
          <w:rFonts w:cs="Arial"/>
          <w:szCs w:val="20"/>
        </w:rPr>
        <w:t xml:space="preserve">referring to </w:t>
      </w:r>
      <w:r w:rsidRPr="005142F1">
        <w:rPr>
          <w:rFonts w:cs="Arial"/>
          <w:i/>
          <w:iCs/>
          <w:szCs w:val="20"/>
        </w:rPr>
        <w:t xml:space="preserve">Hall v Heyns </w:t>
      </w:r>
      <w:r w:rsidRPr="005142F1">
        <w:rPr>
          <w:rFonts w:cs="Arial"/>
          <w:szCs w:val="20"/>
        </w:rPr>
        <w:t>1991 (1) SA 381 (C)</w:t>
      </w:r>
      <w:r w:rsidR="00CD1BF6" w:rsidRPr="005142F1">
        <w:rPr>
          <w:rFonts w:cs="Arial"/>
          <w:szCs w:val="20"/>
        </w:rPr>
        <w:t>.</w:t>
      </w:r>
    </w:p>
  </w:footnote>
  <w:footnote w:id="75">
    <w:p w14:paraId="59942357" w14:textId="48F85B14" w:rsidR="00467B84" w:rsidRPr="005142F1" w:rsidRDefault="00467B84" w:rsidP="00467B84">
      <w:pPr>
        <w:pStyle w:val="FootnoteText"/>
        <w:rPr>
          <w:rFonts w:cs="Arial"/>
          <w:szCs w:val="20"/>
        </w:rPr>
      </w:pPr>
      <w:r w:rsidRPr="005142F1">
        <w:rPr>
          <w:rStyle w:val="FootnoteReference"/>
        </w:rPr>
        <w:footnoteRef/>
      </w:r>
      <w:r w:rsidRPr="005142F1">
        <w:rPr>
          <w:rFonts w:cs="Arial"/>
          <w:szCs w:val="20"/>
        </w:rPr>
        <w:t xml:space="preserve"> </w:t>
      </w:r>
      <w:r w:rsidR="00742F61" w:rsidRPr="005142F1">
        <w:rPr>
          <w:rFonts w:cs="Arial"/>
          <w:i/>
          <w:iCs/>
          <w:szCs w:val="20"/>
        </w:rPr>
        <w:t xml:space="preserve">Non-Detonating Solutions </w:t>
      </w:r>
      <w:r w:rsidR="00742F61" w:rsidRPr="005142F1">
        <w:rPr>
          <w:rFonts w:cs="Arial"/>
          <w:szCs w:val="20"/>
        </w:rPr>
        <w:t>(above) para 20.</w:t>
      </w:r>
    </w:p>
  </w:footnote>
  <w:footnote w:id="76">
    <w:p w14:paraId="4DB366AB" w14:textId="208732A8" w:rsidR="00BA4D5F" w:rsidRPr="005142F1" w:rsidRDefault="00BA4D5F">
      <w:pPr>
        <w:pStyle w:val="FootnoteText"/>
        <w:rPr>
          <w:rFonts w:cs="Arial"/>
          <w:szCs w:val="20"/>
        </w:rPr>
      </w:pPr>
      <w:r w:rsidRPr="005142F1">
        <w:rPr>
          <w:rStyle w:val="FootnoteReference"/>
        </w:rPr>
        <w:footnoteRef/>
      </w:r>
      <w:r w:rsidRPr="005142F1">
        <w:rPr>
          <w:rFonts w:cs="Arial"/>
          <w:szCs w:val="20"/>
        </w:rPr>
        <w:t xml:space="preserve"> Compare, for example, </w:t>
      </w:r>
      <w:r w:rsidRPr="005142F1">
        <w:rPr>
          <w:rFonts w:cs="Arial"/>
          <w:i/>
          <w:iCs/>
          <w:szCs w:val="20"/>
        </w:rPr>
        <w:t>Pienaar v Rabie</w:t>
      </w:r>
      <w:r w:rsidRPr="005142F1">
        <w:rPr>
          <w:rFonts w:cs="Arial"/>
          <w:szCs w:val="20"/>
        </w:rPr>
        <w:t xml:space="preserve"> 1983 (3) SA 126 (A) at 138H.</w:t>
      </w:r>
    </w:p>
  </w:footnote>
  <w:footnote w:id="77">
    <w:p w14:paraId="10F1754A" w14:textId="7E937657" w:rsidR="00742F61" w:rsidRPr="005142F1" w:rsidRDefault="00742F61">
      <w:pPr>
        <w:pStyle w:val="FootnoteText"/>
        <w:rPr>
          <w:rFonts w:cs="Arial"/>
          <w:szCs w:val="20"/>
        </w:rPr>
      </w:pPr>
      <w:r w:rsidRPr="005142F1">
        <w:rPr>
          <w:rStyle w:val="FootnoteReference"/>
        </w:rPr>
        <w:footnoteRef/>
      </w:r>
      <w:r w:rsidRPr="005142F1">
        <w:rPr>
          <w:rFonts w:cs="Arial"/>
          <w:szCs w:val="20"/>
        </w:rPr>
        <w:t xml:space="preserve"> See, for example</w:t>
      </w:r>
      <w:r w:rsidR="00CD1BF6" w:rsidRPr="005142F1">
        <w:rPr>
          <w:rFonts w:cs="Arial"/>
          <w:szCs w:val="20"/>
        </w:rPr>
        <w:t>,</w:t>
      </w:r>
      <w:r w:rsidRPr="005142F1">
        <w:rPr>
          <w:rFonts w:cs="Arial"/>
          <w:szCs w:val="20"/>
        </w:rPr>
        <w:t xml:space="preserve"> </w:t>
      </w:r>
      <w:r w:rsidRPr="005142F1">
        <w:rPr>
          <w:rFonts w:cs="Arial"/>
          <w:i/>
          <w:iCs/>
          <w:szCs w:val="20"/>
        </w:rPr>
        <w:t xml:space="preserve">Non-Detonating Solutions </w:t>
      </w:r>
      <w:r w:rsidRPr="005142F1">
        <w:rPr>
          <w:rFonts w:cs="Arial"/>
          <w:szCs w:val="20"/>
        </w:rPr>
        <w:t>(above) para 30.</w:t>
      </w:r>
    </w:p>
  </w:footnote>
  <w:footnote w:id="78">
    <w:p w14:paraId="7F1D8234" w14:textId="0F509293" w:rsidR="002F0C87" w:rsidRPr="005142F1" w:rsidRDefault="002F0C87">
      <w:pPr>
        <w:pStyle w:val="FootnoteText"/>
        <w:rPr>
          <w:rFonts w:cs="Arial"/>
          <w:szCs w:val="20"/>
        </w:rPr>
      </w:pPr>
      <w:r w:rsidRPr="005142F1">
        <w:rPr>
          <w:rStyle w:val="FootnoteReference"/>
        </w:rPr>
        <w:footnoteRef/>
      </w:r>
      <w:r w:rsidRPr="005142F1">
        <w:rPr>
          <w:rFonts w:cs="Arial"/>
          <w:szCs w:val="20"/>
        </w:rPr>
        <w:t xml:space="preserve"> </w:t>
      </w:r>
      <w:r w:rsidR="00742F61" w:rsidRPr="005142F1">
        <w:rPr>
          <w:rFonts w:cs="Arial"/>
          <w:szCs w:val="20"/>
        </w:rPr>
        <w:t>Anton Piller orders have been granted and upheld even for the purposes of enforcing a prior order and where no contempt application has been brought: see</w:t>
      </w:r>
      <w:r w:rsidR="00742F61" w:rsidRPr="005142F1">
        <w:rPr>
          <w:rFonts w:cs="Arial"/>
          <w:i/>
          <w:iCs/>
          <w:szCs w:val="20"/>
        </w:rPr>
        <w:t xml:space="preserve"> </w:t>
      </w:r>
      <w:r w:rsidRPr="005142F1">
        <w:rPr>
          <w:rFonts w:cs="Arial"/>
          <w:i/>
          <w:iCs/>
          <w:szCs w:val="20"/>
        </w:rPr>
        <w:t>Van Der Merwe</w:t>
      </w:r>
      <w:r w:rsidRPr="005142F1">
        <w:rPr>
          <w:rFonts w:cs="Arial"/>
          <w:szCs w:val="20"/>
        </w:rPr>
        <w:t xml:space="preserve"> (</w:t>
      </w:r>
      <w:r w:rsidR="00783E8B" w:rsidRPr="005142F1">
        <w:rPr>
          <w:rFonts w:cs="Arial"/>
          <w:szCs w:val="20"/>
        </w:rPr>
        <w:t>above</w:t>
      </w:r>
      <w:r w:rsidRPr="005142F1">
        <w:rPr>
          <w:rFonts w:cs="Arial"/>
          <w:szCs w:val="20"/>
        </w:rPr>
        <w:t>) para</w:t>
      </w:r>
      <w:r w:rsidR="00783E8B" w:rsidRPr="005142F1">
        <w:rPr>
          <w:rFonts w:cs="Arial"/>
          <w:szCs w:val="20"/>
        </w:rPr>
        <w:t xml:space="preserve">s </w:t>
      </w:r>
      <w:r w:rsidR="00A73F66" w:rsidRPr="005142F1">
        <w:rPr>
          <w:rFonts w:cs="Arial"/>
          <w:szCs w:val="20"/>
        </w:rPr>
        <w:t>29 – 38.</w:t>
      </w:r>
      <w:r w:rsidRPr="005142F1">
        <w:rPr>
          <w:rFonts w:cs="Arial"/>
          <w:szCs w:val="20"/>
        </w:rPr>
        <w:t xml:space="preserve"> </w:t>
      </w:r>
    </w:p>
  </w:footnote>
  <w:footnote w:id="79">
    <w:p w14:paraId="1F5508AF" w14:textId="0AB7DC38" w:rsidR="00D855E6" w:rsidRPr="005142F1" w:rsidRDefault="00D855E6">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STT Sales </w:t>
      </w:r>
      <w:r w:rsidRPr="005142F1">
        <w:rPr>
          <w:rFonts w:cs="Arial"/>
          <w:szCs w:val="20"/>
        </w:rPr>
        <w:t>(</w:t>
      </w:r>
      <w:r w:rsidR="006753C6" w:rsidRPr="005142F1">
        <w:rPr>
          <w:rFonts w:cs="Arial"/>
          <w:szCs w:val="20"/>
        </w:rPr>
        <w:t>above</w:t>
      </w:r>
      <w:r w:rsidRPr="005142F1">
        <w:rPr>
          <w:rFonts w:cs="Arial"/>
          <w:szCs w:val="20"/>
        </w:rPr>
        <w:t>) paras 1 and 6.</w:t>
      </w:r>
    </w:p>
  </w:footnote>
  <w:footnote w:id="80">
    <w:p w14:paraId="17022258" w14:textId="01E62AA0" w:rsidR="003E0BF8" w:rsidRPr="005142F1" w:rsidRDefault="003E0BF8" w:rsidP="003E0BF8">
      <w:pPr>
        <w:pStyle w:val="FootnoteText"/>
        <w:rPr>
          <w:rFonts w:cs="Arial"/>
          <w:szCs w:val="20"/>
        </w:rPr>
      </w:pPr>
      <w:r w:rsidRPr="005142F1">
        <w:rPr>
          <w:rStyle w:val="FootnoteReference"/>
        </w:rPr>
        <w:footnoteRef/>
      </w:r>
      <w:r w:rsidRPr="005142F1">
        <w:rPr>
          <w:rFonts w:cs="Arial"/>
          <w:szCs w:val="20"/>
        </w:rPr>
        <w:t xml:space="preserve"> </w:t>
      </w:r>
      <w:r w:rsidR="00A20BFB" w:rsidRPr="005142F1">
        <w:rPr>
          <w:rFonts w:cs="Arial"/>
          <w:szCs w:val="20"/>
        </w:rPr>
        <w:t xml:space="preserve">In view of the approach that I have taken in relation to the provisions of the order allowing immediate inspection, </w:t>
      </w:r>
      <w:r w:rsidRPr="005142F1">
        <w:rPr>
          <w:rFonts w:cs="Arial"/>
          <w:szCs w:val="20"/>
        </w:rPr>
        <w:t>I conclude that there is no need for me to decide this question now</w:t>
      </w:r>
      <w:r w:rsidR="00105282" w:rsidRPr="005142F1">
        <w:rPr>
          <w:rFonts w:cs="Arial"/>
          <w:szCs w:val="20"/>
        </w:rPr>
        <w:t xml:space="preserve">: see </w:t>
      </w:r>
      <w:r w:rsidR="00105282" w:rsidRPr="005142F1">
        <w:rPr>
          <w:rFonts w:cs="Arial"/>
          <w:i/>
          <w:iCs/>
          <w:szCs w:val="20"/>
        </w:rPr>
        <w:t>Dabelstein</w:t>
      </w:r>
      <w:r w:rsidRPr="005142F1">
        <w:rPr>
          <w:rFonts w:cs="Arial"/>
          <w:szCs w:val="20"/>
        </w:rPr>
        <w:t xml:space="preserve"> </w:t>
      </w:r>
      <w:r w:rsidR="008A17E1" w:rsidRPr="005142F1">
        <w:rPr>
          <w:rFonts w:cs="Arial"/>
          <w:szCs w:val="20"/>
        </w:rPr>
        <w:t>(above) at 66I-77A.</w:t>
      </w:r>
      <w:r w:rsidR="00A20BFB" w:rsidRPr="005142F1">
        <w:rPr>
          <w:rFonts w:cs="Arial"/>
          <w:szCs w:val="20"/>
        </w:rPr>
        <w:t xml:space="preserve"> </w:t>
      </w:r>
    </w:p>
  </w:footnote>
  <w:footnote w:id="81">
    <w:p w14:paraId="47EC3B1F" w14:textId="77777777" w:rsidR="003E0BF8" w:rsidRPr="005142F1" w:rsidRDefault="003E0BF8" w:rsidP="003E0BF8">
      <w:pPr>
        <w:pStyle w:val="FootnoteText"/>
        <w:rPr>
          <w:rFonts w:cs="Arial"/>
          <w:szCs w:val="20"/>
        </w:rPr>
      </w:pPr>
      <w:r w:rsidRPr="005142F1">
        <w:rPr>
          <w:rStyle w:val="FootnoteReference"/>
        </w:rPr>
        <w:footnoteRef/>
      </w:r>
      <w:r w:rsidRPr="005142F1">
        <w:rPr>
          <w:rFonts w:cs="Arial"/>
          <w:szCs w:val="20"/>
        </w:rPr>
        <w:t xml:space="preserve"> See </w:t>
      </w:r>
      <w:r w:rsidRPr="005142F1">
        <w:rPr>
          <w:rFonts w:cs="Arial"/>
          <w:i/>
          <w:iCs/>
          <w:szCs w:val="20"/>
        </w:rPr>
        <w:t>Madzonga</w:t>
      </w:r>
      <w:r w:rsidRPr="005142F1">
        <w:rPr>
          <w:rFonts w:cs="Arial"/>
          <w:szCs w:val="20"/>
        </w:rPr>
        <w:t xml:space="preserve"> (above).</w:t>
      </w:r>
    </w:p>
  </w:footnote>
  <w:footnote w:id="82">
    <w:p w14:paraId="4844C418" w14:textId="5A46D8CB" w:rsidR="00494667" w:rsidRPr="005142F1" w:rsidRDefault="0049466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Mineral Sands Resources (Pty) Ltd v Reddell</w:t>
      </w:r>
      <w:r w:rsidRPr="005142F1">
        <w:rPr>
          <w:rFonts w:cs="Arial"/>
          <w:szCs w:val="20"/>
        </w:rPr>
        <w:t xml:space="preserve"> 2023 (2) SA 68 (CC) paras 46 to 52.</w:t>
      </w:r>
      <w:r w:rsidR="004E26C1" w:rsidRPr="005142F1">
        <w:rPr>
          <w:rFonts w:cs="Arial"/>
          <w:szCs w:val="20"/>
        </w:rPr>
        <w:t xml:space="preserve"> </w:t>
      </w:r>
      <w:r w:rsidR="00BA4D5F" w:rsidRPr="005142F1">
        <w:rPr>
          <w:rFonts w:cs="Arial"/>
          <w:szCs w:val="20"/>
        </w:rPr>
        <w:t xml:space="preserve">See also </w:t>
      </w:r>
      <w:r w:rsidR="00BA4D5F" w:rsidRPr="005142F1">
        <w:rPr>
          <w:rFonts w:cs="Arial"/>
          <w:i/>
          <w:iCs/>
          <w:szCs w:val="20"/>
        </w:rPr>
        <w:t>Hudson v Hudson and Another</w:t>
      </w:r>
      <w:r w:rsidR="00BA4D5F" w:rsidRPr="005142F1">
        <w:rPr>
          <w:rFonts w:cs="Arial"/>
          <w:szCs w:val="20"/>
        </w:rPr>
        <w:t xml:space="preserve"> 1927 AD 259 at 268: “When … the Court finds an attempt made to use for ulterior purposes machinery devised for the better administration of justice, it is the duty of the Court to prevent such abuse. But it is a power which has to be exercised with great caution, and only in a clear case</w:t>
      </w:r>
      <w:r w:rsidR="008A17E1" w:rsidRPr="005142F1">
        <w:rPr>
          <w:rFonts w:cs="Arial"/>
          <w:szCs w:val="20"/>
        </w:rPr>
        <w:t>.</w:t>
      </w:r>
      <w:r w:rsidR="00BA4D5F" w:rsidRPr="005142F1">
        <w:rPr>
          <w:rFonts w:cs="Arial"/>
          <w:szCs w:val="20"/>
        </w:rPr>
        <w:t>”</w:t>
      </w:r>
    </w:p>
  </w:footnote>
  <w:footnote w:id="83">
    <w:p w14:paraId="3A06A143" w14:textId="6D84E549" w:rsidR="003605ED" w:rsidRPr="005142F1" w:rsidRDefault="003605ED">
      <w:pPr>
        <w:pStyle w:val="FootnoteText"/>
        <w:rPr>
          <w:rFonts w:cs="Arial"/>
          <w:szCs w:val="20"/>
        </w:rPr>
      </w:pPr>
      <w:r w:rsidRPr="005142F1">
        <w:rPr>
          <w:rStyle w:val="FootnoteReference"/>
        </w:rPr>
        <w:footnoteRef/>
      </w:r>
      <w:r w:rsidRPr="005142F1">
        <w:rPr>
          <w:rFonts w:cs="Arial"/>
          <w:szCs w:val="20"/>
        </w:rPr>
        <w:t xml:space="preserve"> </w:t>
      </w:r>
      <w:r w:rsidR="00BA4D5F" w:rsidRPr="005142F1">
        <w:rPr>
          <w:rFonts w:cs="Arial"/>
          <w:i/>
          <w:iCs/>
          <w:szCs w:val="20"/>
        </w:rPr>
        <w:t>Mineral Sands Resources</w:t>
      </w:r>
      <w:r w:rsidR="00BA4D5F" w:rsidRPr="005142F1">
        <w:rPr>
          <w:rFonts w:cs="Arial"/>
          <w:szCs w:val="20"/>
        </w:rPr>
        <w:t xml:space="preserve"> (above) </w:t>
      </w:r>
      <w:r w:rsidRPr="005142F1">
        <w:rPr>
          <w:rFonts w:cs="Arial"/>
          <w:szCs w:val="20"/>
        </w:rPr>
        <w:t>para 74.</w:t>
      </w:r>
    </w:p>
  </w:footnote>
  <w:footnote w:id="84">
    <w:p w14:paraId="1F1D9381" w14:textId="061A482C" w:rsidR="003605ED" w:rsidRPr="005142F1" w:rsidRDefault="003605ED">
      <w:pPr>
        <w:pStyle w:val="FootnoteText"/>
        <w:rPr>
          <w:rFonts w:cs="Arial"/>
          <w:szCs w:val="20"/>
        </w:rPr>
      </w:pPr>
      <w:r w:rsidRPr="005142F1">
        <w:rPr>
          <w:rStyle w:val="FootnoteReference"/>
        </w:rPr>
        <w:footnoteRef/>
      </w:r>
      <w:r w:rsidRPr="005142F1">
        <w:rPr>
          <w:rFonts w:cs="Arial"/>
          <w:szCs w:val="20"/>
        </w:rPr>
        <w:t xml:space="preserve"> </w:t>
      </w:r>
      <w:r w:rsidR="00423A21" w:rsidRPr="005142F1">
        <w:rPr>
          <w:rFonts w:cs="Arial"/>
          <w:i/>
          <w:iCs/>
          <w:szCs w:val="20"/>
        </w:rPr>
        <w:t>Price Waterhouse Coopers Inc and Others v National Potato Co-Operative Ltd</w:t>
      </w:r>
      <w:r w:rsidR="00423A21" w:rsidRPr="005142F1">
        <w:rPr>
          <w:rFonts w:cs="Arial"/>
          <w:szCs w:val="20"/>
        </w:rPr>
        <w:t xml:space="preserve"> 2004 (6) SA 66 (SCA) para 50.</w:t>
      </w:r>
    </w:p>
  </w:footnote>
  <w:footnote w:id="85">
    <w:p w14:paraId="6E76E8E9" w14:textId="77777777" w:rsidR="00AA6ED5" w:rsidRPr="005142F1" w:rsidRDefault="00AA6ED5" w:rsidP="00AA6ED5">
      <w:pPr>
        <w:pStyle w:val="FootnoteText"/>
        <w:rPr>
          <w:rFonts w:cs="Arial"/>
          <w:szCs w:val="20"/>
        </w:rPr>
      </w:pPr>
      <w:r w:rsidRPr="005142F1">
        <w:rPr>
          <w:rStyle w:val="FootnoteReference"/>
        </w:rPr>
        <w:footnoteRef/>
      </w:r>
      <w:r w:rsidRPr="005142F1">
        <w:rPr>
          <w:rFonts w:cs="Arial"/>
          <w:szCs w:val="20"/>
        </w:rPr>
        <w:t xml:space="preserve"> See, for example, </w:t>
      </w:r>
      <w:r w:rsidRPr="005142F1">
        <w:rPr>
          <w:rFonts w:cs="Arial"/>
          <w:i/>
          <w:iCs/>
          <w:szCs w:val="20"/>
        </w:rPr>
        <w:t>Ingosstrakh v Global Aviation Investments (Pty) Ltd and Others</w:t>
      </w:r>
      <w:r w:rsidRPr="005142F1">
        <w:rPr>
          <w:rFonts w:cs="Arial"/>
          <w:szCs w:val="20"/>
        </w:rPr>
        <w:t xml:space="preserve"> 2021 (6) SA 352 (SCA) para 26.</w:t>
      </w:r>
    </w:p>
  </w:footnote>
  <w:footnote w:id="86">
    <w:p w14:paraId="0B0EDF6C" w14:textId="7FEA33AB" w:rsidR="00BC3EC9" w:rsidRDefault="00BC3EC9">
      <w:pPr>
        <w:pStyle w:val="FootnoteText"/>
      </w:pPr>
      <w:r>
        <w:rPr>
          <w:rStyle w:val="FootnoteReference"/>
        </w:rPr>
        <w:footnoteRef/>
      </w:r>
      <w:r>
        <w:t xml:space="preserve"> </w:t>
      </w:r>
      <w:r w:rsidRPr="00BC3EC9">
        <w:t xml:space="preserve">Paragraph 10.5 </w:t>
      </w:r>
      <w:r>
        <w:t xml:space="preserve">of the order </w:t>
      </w:r>
      <w:r w:rsidRPr="00BC3EC9">
        <w:t xml:space="preserve">must also be altered to make it clear that the attached items must remain preserved in the </w:t>
      </w:r>
      <w:r>
        <w:t xml:space="preserve">custody </w:t>
      </w:r>
      <w:r w:rsidRPr="00BC3EC9">
        <w:t>of the Sheriff and may not be inspected or accessed by, or released to, any person until such time as an order is made in the contempt application as to what should happen to them</w:t>
      </w:r>
      <w:r>
        <w:t>.</w:t>
      </w:r>
    </w:p>
  </w:footnote>
  <w:footnote w:id="87">
    <w:p w14:paraId="3B118C94" w14:textId="5DB54454" w:rsidR="001736E4" w:rsidRPr="005142F1" w:rsidRDefault="001736E4">
      <w:pPr>
        <w:pStyle w:val="FootnoteText"/>
        <w:rPr>
          <w:rFonts w:cs="Arial"/>
          <w:szCs w:val="20"/>
        </w:rPr>
      </w:pPr>
      <w:r w:rsidRPr="005142F1">
        <w:rPr>
          <w:rStyle w:val="FootnoteReference"/>
        </w:rPr>
        <w:footnoteRef/>
      </w:r>
      <w:r w:rsidRPr="005142F1">
        <w:rPr>
          <w:rFonts w:cs="Arial"/>
          <w:szCs w:val="20"/>
        </w:rPr>
        <w:t xml:space="preserve"> I am also not clear as to why the enforcement proceedings (now referred to trial) cannot proceed until such time as the contempt application is resolved.</w:t>
      </w:r>
    </w:p>
  </w:footnote>
  <w:footnote w:id="88">
    <w:p w14:paraId="3B7BA69F" w14:textId="23742BFE" w:rsidR="00EE7A67" w:rsidRPr="005142F1" w:rsidRDefault="00EE7A67" w:rsidP="00EE7A67">
      <w:pPr>
        <w:pStyle w:val="FootnoteText"/>
        <w:rPr>
          <w:rFonts w:cs="Arial"/>
          <w:szCs w:val="20"/>
        </w:rPr>
      </w:pPr>
      <w:r w:rsidRPr="005142F1">
        <w:rPr>
          <w:rStyle w:val="FootnoteReference"/>
        </w:rPr>
        <w:footnoteRef/>
      </w:r>
      <w:r w:rsidRPr="005142F1">
        <w:rPr>
          <w:rFonts w:cs="Arial"/>
          <w:szCs w:val="20"/>
        </w:rPr>
        <w:t xml:space="preserve"> </w:t>
      </w:r>
      <w:r w:rsidR="00293470">
        <w:rPr>
          <w:rFonts w:cs="Arial"/>
          <w:szCs w:val="20"/>
        </w:rPr>
        <w:t xml:space="preserve">Compare </w:t>
      </w:r>
      <w:r w:rsidRPr="005142F1">
        <w:rPr>
          <w:rFonts w:cs="Arial"/>
          <w:i/>
          <w:iCs/>
          <w:szCs w:val="20"/>
        </w:rPr>
        <w:t>Van der Merwe</w:t>
      </w:r>
      <w:r w:rsidRPr="005142F1">
        <w:rPr>
          <w:rFonts w:cs="Arial"/>
          <w:szCs w:val="20"/>
        </w:rPr>
        <w:t xml:space="preserve"> (above) para 52.</w:t>
      </w:r>
    </w:p>
  </w:footnote>
  <w:footnote w:id="89">
    <w:p w14:paraId="08B72288" w14:textId="348A3D44" w:rsidR="00120BFC" w:rsidRPr="005142F1" w:rsidRDefault="00120BFC" w:rsidP="00120BFC">
      <w:pPr>
        <w:pStyle w:val="FootnoteText"/>
        <w:rPr>
          <w:rFonts w:cs="Arial"/>
          <w:szCs w:val="20"/>
        </w:rPr>
      </w:pPr>
      <w:r w:rsidRPr="005142F1">
        <w:rPr>
          <w:rStyle w:val="FootnoteReference"/>
        </w:rPr>
        <w:footnoteRef/>
      </w:r>
      <w:r w:rsidRPr="005142F1">
        <w:rPr>
          <w:rFonts w:cs="Arial"/>
          <w:szCs w:val="20"/>
        </w:rPr>
        <w:t xml:space="preserve"> </w:t>
      </w:r>
      <w:r w:rsidR="00293470">
        <w:rPr>
          <w:rFonts w:cs="Arial"/>
          <w:szCs w:val="20"/>
        </w:rPr>
        <w:t xml:space="preserve">In my view, the </w:t>
      </w:r>
      <w:r w:rsidRPr="005142F1">
        <w:rPr>
          <w:rFonts w:cs="Arial"/>
          <w:szCs w:val="20"/>
        </w:rPr>
        <w:t xml:space="preserve">frequent use of the term “fishing expedition” in this context </w:t>
      </w:r>
      <w:r w:rsidR="00293470">
        <w:rPr>
          <w:rFonts w:cs="Arial"/>
          <w:szCs w:val="20"/>
        </w:rPr>
        <w:t xml:space="preserve">is </w:t>
      </w:r>
      <w:r w:rsidRPr="005142F1">
        <w:rPr>
          <w:rFonts w:cs="Arial"/>
          <w:szCs w:val="20"/>
        </w:rPr>
        <w:t>unhelpful</w:t>
      </w:r>
      <w:r w:rsidR="00592216">
        <w:rPr>
          <w:rFonts w:cs="Arial"/>
          <w:szCs w:val="20"/>
        </w:rPr>
        <w:t xml:space="preserve">. </w:t>
      </w:r>
      <w:r w:rsidR="00CB70DC">
        <w:rPr>
          <w:rFonts w:cs="Arial"/>
          <w:szCs w:val="20"/>
        </w:rPr>
        <w:t>Supercart’s counsel state in their heads of argument that litigants commonly “misunderstand what this means”</w:t>
      </w:r>
      <w:r w:rsidR="00AE24BB">
        <w:rPr>
          <w:rFonts w:cs="Arial"/>
          <w:szCs w:val="20"/>
        </w:rPr>
        <w:t>, and indeed,</w:t>
      </w:r>
      <w:r w:rsidR="00592216">
        <w:rPr>
          <w:rFonts w:cs="Arial"/>
          <w:szCs w:val="20"/>
        </w:rPr>
        <w:t xml:space="preserve"> </w:t>
      </w:r>
      <w:r w:rsidR="00AE24BB">
        <w:rPr>
          <w:rFonts w:cs="Arial"/>
          <w:szCs w:val="20"/>
        </w:rPr>
        <w:t>t</w:t>
      </w:r>
      <w:r w:rsidRPr="005142F1">
        <w:rPr>
          <w:rFonts w:cs="Arial"/>
          <w:szCs w:val="20"/>
        </w:rPr>
        <w:t xml:space="preserve">he manner in which such enterprises are conducted </w:t>
      </w:r>
      <w:r w:rsidR="006925A9" w:rsidRPr="005142F1">
        <w:rPr>
          <w:rFonts w:cs="Arial"/>
          <w:szCs w:val="20"/>
        </w:rPr>
        <w:t xml:space="preserve">in real life </w:t>
      </w:r>
      <w:r w:rsidRPr="005142F1">
        <w:rPr>
          <w:rFonts w:cs="Arial"/>
          <w:szCs w:val="20"/>
        </w:rPr>
        <w:t>var</w:t>
      </w:r>
      <w:r w:rsidR="006925A9">
        <w:rPr>
          <w:rFonts w:cs="Arial"/>
          <w:szCs w:val="20"/>
        </w:rPr>
        <w:t>ies</w:t>
      </w:r>
      <w:r w:rsidRPr="005142F1">
        <w:rPr>
          <w:rFonts w:cs="Arial"/>
          <w:szCs w:val="20"/>
        </w:rPr>
        <w:t xml:space="preserve"> considerably</w:t>
      </w:r>
      <w:r w:rsidR="00293470">
        <w:rPr>
          <w:rFonts w:cs="Arial"/>
          <w:szCs w:val="20"/>
        </w:rPr>
        <w:t>.</w:t>
      </w:r>
      <w:r w:rsidRPr="005142F1">
        <w:rPr>
          <w:rFonts w:cs="Arial"/>
          <w:szCs w:val="20"/>
        </w:rPr>
        <w:t xml:space="preserve"> Whereas personal experience would suggest </w:t>
      </w:r>
      <w:r w:rsidR="00293470">
        <w:rPr>
          <w:rFonts w:cs="Arial"/>
          <w:szCs w:val="20"/>
        </w:rPr>
        <w:t xml:space="preserve">an </w:t>
      </w:r>
      <w:r w:rsidRPr="005142F1">
        <w:rPr>
          <w:rFonts w:cs="Arial"/>
          <w:szCs w:val="20"/>
        </w:rPr>
        <w:t xml:space="preserve">almost invariably unsuccessful exercise in blind luck, I understand that modern methods of leisure fishing are far more predictable and fruitful. On the other end of the scale, one wonders whether the </w:t>
      </w:r>
      <w:r w:rsidR="00CB70DC">
        <w:rPr>
          <w:rFonts w:cs="Arial"/>
          <w:szCs w:val="20"/>
        </w:rPr>
        <w:t xml:space="preserve">marketing </w:t>
      </w:r>
      <w:r w:rsidRPr="005142F1">
        <w:rPr>
          <w:rFonts w:cs="Arial"/>
          <w:szCs w:val="20"/>
        </w:rPr>
        <w:t xml:space="preserve">of “dolphin friendly” tuna implies that industrial fishing methods are capable of ensuring that the wrong catch is </w:t>
      </w:r>
      <w:r w:rsidR="00AE24BB">
        <w:rPr>
          <w:rFonts w:cs="Arial"/>
          <w:szCs w:val="20"/>
        </w:rPr>
        <w:t xml:space="preserve">never </w:t>
      </w:r>
      <w:r w:rsidR="00CB70DC">
        <w:rPr>
          <w:rFonts w:cs="Arial"/>
          <w:szCs w:val="20"/>
        </w:rPr>
        <w:t>landed</w:t>
      </w:r>
      <w:r w:rsidRPr="005142F1">
        <w:rPr>
          <w:rFonts w:cs="Arial"/>
          <w:szCs w:val="20"/>
        </w:rPr>
        <w:t>.</w:t>
      </w:r>
    </w:p>
  </w:footnote>
  <w:footnote w:id="90">
    <w:p w14:paraId="1D28614E" w14:textId="2B665B25" w:rsidR="002C0AC9" w:rsidRPr="005142F1" w:rsidRDefault="002C0AC9">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Secretary, Judicial Commission of Inquiry into Allegations of State Capture v Zuma</w:t>
      </w:r>
      <w:r w:rsidRPr="005142F1">
        <w:rPr>
          <w:rFonts w:cs="Arial"/>
          <w:szCs w:val="20"/>
        </w:rPr>
        <w:t xml:space="preserve"> 2021 (5) SA 327 (CC) para 37.</w:t>
      </w:r>
    </w:p>
  </w:footnote>
  <w:footnote w:id="91">
    <w:p w14:paraId="22400898" w14:textId="6FFFFFCE" w:rsidR="002C0AC9" w:rsidRPr="005142F1" w:rsidRDefault="002C0AC9">
      <w:pPr>
        <w:pStyle w:val="FootnoteText"/>
        <w:rPr>
          <w:rFonts w:cs="Arial"/>
          <w:szCs w:val="20"/>
        </w:rPr>
      </w:pPr>
      <w:r w:rsidRPr="005142F1">
        <w:rPr>
          <w:rStyle w:val="FootnoteReference"/>
        </w:rPr>
        <w:footnoteRef/>
      </w:r>
      <w:r w:rsidRPr="005142F1">
        <w:rPr>
          <w:rFonts w:cs="Arial"/>
          <w:szCs w:val="20"/>
        </w:rPr>
        <w:t xml:space="preserve"> </w:t>
      </w:r>
      <w:r w:rsidR="0045596B" w:rsidRPr="005142F1">
        <w:rPr>
          <w:rFonts w:cs="Arial"/>
          <w:i/>
          <w:iCs/>
          <w:szCs w:val="20"/>
        </w:rPr>
        <w:t>Matjhabeng Local Municipality v Eskom Holdings Ltd and Others</w:t>
      </w:r>
      <w:r w:rsidR="0045596B" w:rsidRPr="005142F1">
        <w:rPr>
          <w:rFonts w:cs="Arial"/>
          <w:szCs w:val="20"/>
        </w:rPr>
        <w:t xml:space="preserve"> 2018 (1) SA 1 (CC) para 67. </w:t>
      </w:r>
      <w:r w:rsidR="00D459DA">
        <w:rPr>
          <w:rFonts w:cs="Arial"/>
          <w:szCs w:val="20"/>
        </w:rPr>
        <w:t>T</w:t>
      </w:r>
      <w:r w:rsidR="0045596B" w:rsidRPr="005142F1">
        <w:rPr>
          <w:rFonts w:cs="Arial"/>
          <w:szCs w:val="20"/>
        </w:rPr>
        <w:t xml:space="preserve">his </w:t>
      </w:r>
      <w:r w:rsidR="00D459DA">
        <w:rPr>
          <w:rFonts w:cs="Arial"/>
          <w:szCs w:val="20"/>
        </w:rPr>
        <w:t xml:space="preserve">judgment </w:t>
      </w:r>
      <w:r w:rsidR="0045596B" w:rsidRPr="005142F1">
        <w:rPr>
          <w:rFonts w:cs="Arial"/>
          <w:szCs w:val="20"/>
        </w:rPr>
        <w:t xml:space="preserve">appears to </w:t>
      </w:r>
      <w:r w:rsidR="00D459DA">
        <w:rPr>
          <w:rFonts w:cs="Arial"/>
          <w:szCs w:val="20"/>
        </w:rPr>
        <w:t xml:space="preserve">have </w:t>
      </w:r>
      <w:r w:rsidR="0045596B" w:rsidRPr="005142F1">
        <w:rPr>
          <w:rFonts w:cs="Arial"/>
          <w:szCs w:val="20"/>
        </w:rPr>
        <w:t>partially overrule</w:t>
      </w:r>
      <w:r w:rsidR="00D459DA">
        <w:rPr>
          <w:rFonts w:cs="Arial"/>
          <w:szCs w:val="20"/>
        </w:rPr>
        <w:t>d</w:t>
      </w:r>
      <w:r w:rsidR="0045596B" w:rsidRPr="005142F1">
        <w:rPr>
          <w:rFonts w:cs="Arial"/>
          <w:szCs w:val="20"/>
        </w:rPr>
        <w:t xml:space="preserve"> the earlier decision in </w:t>
      </w:r>
      <w:r w:rsidR="0045596B" w:rsidRPr="005142F1">
        <w:rPr>
          <w:rFonts w:cs="Arial"/>
          <w:i/>
          <w:iCs/>
          <w:szCs w:val="20"/>
        </w:rPr>
        <w:t>Pheko v Ekurhuleni City</w:t>
      </w:r>
      <w:r w:rsidR="0045596B" w:rsidRPr="005142F1">
        <w:rPr>
          <w:rFonts w:cs="Arial"/>
          <w:szCs w:val="20"/>
        </w:rPr>
        <w:t xml:space="preserve"> 2015 (5) SA 600 (CC) para 37 which to limit</w:t>
      </w:r>
      <w:r w:rsidR="00D459DA">
        <w:rPr>
          <w:rFonts w:cs="Arial"/>
          <w:szCs w:val="20"/>
        </w:rPr>
        <w:t>ed</w:t>
      </w:r>
      <w:r w:rsidR="0045596B" w:rsidRPr="005142F1">
        <w:rPr>
          <w:rFonts w:cs="Arial"/>
          <w:szCs w:val="20"/>
        </w:rPr>
        <w:t xml:space="preserve"> this to </w:t>
      </w:r>
      <w:r w:rsidR="00D459DA">
        <w:rPr>
          <w:rFonts w:cs="Arial"/>
          <w:szCs w:val="20"/>
        </w:rPr>
        <w:t xml:space="preserve">a </w:t>
      </w:r>
      <w:r w:rsidR="0045596B" w:rsidRPr="005142F1">
        <w:rPr>
          <w:rFonts w:cs="Arial"/>
          <w:szCs w:val="20"/>
        </w:rPr>
        <w:t xml:space="preserve">sanction of </w:t>
      </w:r>
      <w:r w:rsidR="00D459DA">
        <w:rPr>
          <w:rFonts w:cs="Arial"/>
          <w:szCs w:val="20"/>
        </w:rPr>
        <w:t>imprisonment</w:t>
      </w:r>
      <w:r w:rsidR="0045596B" w:rsidRPr="005142F1">
        <w:rPr>
          <w:rFonts w:cs="Arial"/>
          <w:szCs w:val="20"/>
        </w:rPr>
        <w:t>.</w:t>
      </w:r>
    </w:p>
  </w:footnote>
  <w:footnote w:id="92">
    <w:p w14:paraId="08919E48" w14:textId="77777777" w:rsidR="00A57386" w:rsidRPr="005142F1" w:rsidRDefault="00A57386" w:rsidP="00A57386">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Swissborough Diamond Mines (Pty) Ltd and Others v Government of the Republic of South Africa and others</w:t>
      </w:r>
      <w:bookmarkStart w:id="17" w:name="0-0-0-140291"/>
      <w:bookmarkEnd w:id="17"/>
      <w:r w:rsidRPr="005142F1">
        <w:rPr>
          <w:rFonts w:cs="Arial"/>
          <w:szCs w:val="20"/>
        </w:rPr>
        <w:t xml:space="preserve"> 1999 (2) SA 274 (T) at 316E-H, quoting with approval </w:t>
      </w:r>
      <w:r w:rsidRPr="005142F1">
        <w:rPr>
          <w:rFonts w:cs="Arial"/>
          <w:i/>
          <w:iCs/>
          <w:szCs w:val="20"/>
        </w:rPr>
        <w:t xml:space="preserve">Rellams (Pty) Ltd v James Brown and Hamer Ltd </w:t>
      </w:r>
      <w:r w:rsidRPr="005142F1">
        <w:rPr>
          <w:rFonts w:cs="Arial"/>
          <w:szCs w:val="20"/>
        </w:rPr>
        <w:t xml:space="preserve">1983 (1) SA 556 (N) at 564A and </w:t>
      </w:r>
      <w:r w:rsidRPr="005142F1">
        <w:rPr>
          <w:rFonts w:cs="Arial"/>
          <w:i/>
          <w:iCs/>
          <w:szCs w:val="20"/>
        </w:rPr>
        <w:t>Compagnie Financiere et Commerciale du Pacifique v Peruvian Guano Co</w:t>
      </w:r>
      <w:r w:rsidRPr="005142F1">
        <w:rPr>
          <w:rFonts w:cs="Arial"/>
          <w:szCs w:val="20"/>
        </w:rPr>
        <w:t xml:space="preserve"> (1882) 11 QBD 55 at 61 – 62.</w:t>
      </w:r>
    </w:p>
  </w:footnote>
  <w:footnote w:id="93">
    <w:p w14:paraId="786FEE2C" w14:textId="6BDF10D9" w:rsidR="00A57386" w:rsidRPr="005142F1" w:rsidRDefault="00A57386" w:rsidP="00A57386">
      <w:pPr>
        <w:pStyle w:val="FootnoteText"/>
        <w:rPr>
          <w:rFonts w:cs="Arial"/>
          <w:szCs w:val="20"/>
        </w:rPr>
      </w:pPr>
      <w:r w:rsidRPr="005142F1">
        <w:rPr>
          <w:rStyle w:val="FootnoteReference"/>
        </w:rPr>
        <w:footnoteRef/>
      </w:r>
      <w:r w:rsidRPr="005142F1">
        <w:rPr>
          <w:rFonts w:cs="Arial"/>
          <w:szCs w:val="20"/>
        </w:rPr>
        <w:t xml:space="preserve"> </w:t>
      </w:r>
      <w:r w:rsidR="002C7131" w:rsidRPr="005142F1">
        <w:rPr>
          <w:rFonts w:cs="Arial"/>
          <w:szCs w:val="20"/>
        </w:rPr>
        <w:t xml:space="preserve">Schwikkard et al. </w:t>
      </w:r>
      <w:r w:rsidR="002C7131" w:rsidRPr="005142F1">
        <w:rPr>
          <w:rFonts w:cs="Arial"/>
          <w:szCs w:val="20"/>
          <w:u w:val="single"/>
        </w:rPr>
        <w:t>Principles of Evidence</w:t>
      </w:r>
      <w:r w:rsidR="002C7131" w:rsidRPr="005142F1">
        <w:rPr>
          <w:rFonts w:cs="Arial"/>
          <w:szCs w:val="20"/>
        </w:rPr>
        <w:t xml:space="preserve">. 5 ed. (Juta, 2022) </w:t>
      </w:r>
      <w:r w:rsidRPr="005142F1">
        <w:rPr>
          <w:rFonts w:cs="Arial"/>
          <w:szCs w:val="20"/>
        </w:rPr>
        <w:t>at 5-50.</w:t>
      </w:r>
    </w:p>
  </w:footnote>
  <w:footnote w:id="94">
    <w:p w14:paraId="7CBEBA21" w14:textId="250E620A" w:rsidR="00195936" w:rsidRPr="005142F1" w:rsidRDefault="00195936">
      <w:pPr>
        <w:pStyle w:val="FootnoteText"/>
        <w:rPr>
          <w:rFonts w:cs="Arial"/>
          <w:szCs w:val="20"/>
        </w:rPr>
      </w:pPr>
      <w:r w:rsidRPr="005142F1">
        <w:rPr>
          <w:rStyle w:val="FootnoteReference"/>
        </w:rPr>
        <w:footnoteRef/>
      </w:r>
      <w:r w:rsidRPr="005142F1">
        <w:rPr>
          <w:rFonts w:cs="Arial"/>
          <w:szCs w:val="20"/>
        </w:rPr>
        <w:t xml:space="preserve"> </w:t>
      </w:r>
      <w:r w:rsidR="001E17AA" w:rsidRPr="005142F1">
        <w:rPr>
          <w:rFonts w:cs="Arial"/>
          <w:szCs w:val="20"/>
        </w:rPr>
        <w:t xml:space="preserve">See, for example, </w:t>
      </w:r>
      <w:r w:rsidR="001E17AA" w:rsidRPr="005142F1">
        <w:rPr>
          <w:rFonts w:cs="Arial"/>
          <w:i/>
          <w:iCs/>
          <w:szCs w:val="20"/>
        </w:rPr>
        <w:t>Mashinini v MEC For Health, Gauteng</w:t>
      </w:r>
      <w:r w:rsidR="001E17AA" w:rsidRPr="005142F1">
        <w:rPr>
          <w:rFonts w:cs="Arial"/>
          <w:szCs w:val="20"/>
        </w:rPr>
        <w:t xml:space="preserve"> 2023 (5) SA 137 (SCA) paras 10 and 26. </w:t>
      </w:r>
    </w:p>
  </w:footnote>
  <w:footnote w:id="95">
    <w:p w14:paraId="0C6CEDD9" w14:textId="495B9362" w:rsidR="003B2686" w:rsidRPr="005142F1" w:rsidRDefault="003B2686" w:rsidP="003B2686">
      <w:pPr>
        <w:pStyle w:val="FootnoteText"/>
        <w:rPr>
          <w:rFonts w:cs="Arial"/>
          <w:szCs w:val="20"/>
        </w:rPr>
      </w:pPr>
      <w:r w:rsidRPr="005142F1">
        <w:rPr>
          <w:rStyle w:val="FootnoteReference"/>
        </w:rPr>
        <w:footnoteRef/>
      </w:r>
      <w:r w:rsidRPr="005142F1">
        <w:rPr>
          <w:rFonts w:cs="Arial"/>
          <w:szCs w:val="20"/>
        </w:rPr>
        <w:t xml:space="preserve"> Schwikkard (</w:t>
      </w:r>
      <w:r w:rsidR="002C7131" w:rsidRPr="005142F1">
        <w:rPr>
          <w:rFonts w:cs="Arial"/>
          <w:szCs w:val="20"/>
        </w:rPr>
        <w:t>above</w:t>
      </w:r>
      <w:r w:rsidRPr="005142F1">
        <w:rPr>
          <w:rFonts w:cs="Arial"/>
          <w:szCs w:val="20"/>
        </w:rPr>
        <w:t>) at 5-49.</w:t>
      </w:r>
    </w:p>
  </w:footnote>
  <w:footnote w:id="96">
    <w:p w14:paraId="607E8C3A" w14:textId="4A9BE0E7" w:rsidR="001813E8" w:rsidRPr="005142F1" w:rsidRDefault="001813E8">
      <w:pPr>
        <w:pStyle w:val="FootnoteText"/>
        <w:rPr>
          <w:rFonts w:cs="Arial"/>
          <w:szCs w:val="20"/>
        </w:rPr>
      </w:pPr>
      <w:r w:rsidRPr="005142F1">
        <w:rPr>
          <w:rStyle w:val="FootnoteReference"/>
        </w:rPr>
        <w:footnoteRef/>
      </w:r>
      <w:r w:rsidRPr="005142F1">
        <w:rPr>
          <w:rFonts w:cs="Arial"/>
          <w:szCs w:val="20"/>
        </w:rPr>
        <w:t xml:space="preserve"> See</w:t>
      </w:r>
      <w:r w:rsidR="00BE640E">
        <w:rPr>
          <w:rFonts w:cs="Arial"/>
          <w:szCs w:val="20"/>
        </w:rPr>
        <w:t>, for example,</w:t>
      </w:r>
      <w:r w:rsidRPr="005142F1">
        <w:rPr>
          <w:rFonts w:cs="Arial"/>
          <w:szCs w:val="20"/>
        </w:rPr>
        <w:t xml:space="preserve"> </w:t>
      </w:r>
      <w:r w:rsidRPr="005142F1">
        <w:rPr>
          <w:rFonts w:cs="Arial"/>
          <w:i/>
          <w:iCs/>
          <w:szCs w:val="20"/>
        </w:rPr>
        <w:t>Makate v Vodacom (Pty) Ltd</w:t>
      </w:r>
      <w:r w:rsidRPr="005142F1">
        <w:rPr>
          <w:rFonts w:cs="Arial"/>
          <w:szCs w:val="20"/>
        </w:rPr>
        <w:t xml:space="preserve"> 2014 (1) SA 191 (GSJ) para 39.</w:t>
      </w:r>
    </w:p>
  </w:footnote>
  <w:footnote w:id="97">
    <w:p w14:paraId="48CF19E9" w14:textId="77777777" w:rsidR="003F1B94" w:rsidRPr="005142F1" w:rsidRDefault="003F1B94" w:rsidP="003F1B94">
      <w:pPr>
        <w:pStyle w:val="FootnoteText"/>
        <w:rPr>
          <w:rFonts w:cs="Arial"/>
          <w:szCs w:val="20"/>
        </w:rPr>
      </w:pPr>
      <w:r w:rsidRPr="005142F1">
        <w:rPr>
          <w:rStyle w:val="FootnoteReference"/>
        </w:rPr>
        <w:footnoteRef/>
      </w:r>
      <w:r w:rsidRPr="005142F1">
        <w:rPr>
          <w:rFonts w:cs="Arial"/>
          <w:szCs w:val="20"/>
        </w:rPr>
        <w:t xml:space="preserve"> </w:t>
      </w:r>
      <w:r>
        <w:t>The “</w:t>
      </w:r>
      <w:r w:rsidRPr="00CD1BF6">
        <w:t>normal rule is full inspection</w:t>
      </w:r>
      <w:r>
        <w:t xml:space="preserve">”: </w:t>
      </w:r>
      <w:r w:rsidRPr="005142F1">
        <w:rPr>
          <w:rFonts w:eastAsia="Calibri" w:cs="Arial"/>
          <w:i/>
          <w:iCs/>
          <w:szCs w:val="20"/>
        </w:rPr>
        <w:t>Crown Cork &amp; Seal Co Inc and Another v Rheem South</w:t>
      </w:r>
      <w:r w:rsidRPr="005142F1">
        <w:rPr>
          <w:rFonts w:eastAsia="Calibri" w:cs="Arial"/>
          <w:szCs w:val="20"/>
        </w:rPr>
        <w:t xml:space="preserve"> </w:t>
      </w:r>
      <w:r w:rsidRPr="005142F1">
        <w:rPr>
          <w:rFonts w:eastAsia="Calibri" w:cs="Arial"/>
          <w:i/>
          <w:iCs/>
          <w:szCs w:val="20"/>
        </w:rPr>
        <w:t>Africa (Pty) Ltd and Another</w:t>
      </w:r>
      <w:r w:rsidRPr="005142F1">
        <w:rPr>
          <w:rFonts w:eastAsia="Calibri" w:cs="Arial"/>
          <w:szCs w:val="20"/>
        </w:rPr>
        <w:t xml:space="preserve"> 1980 (3) SA 1093 (W) at 1100D; </w:t>
      </w:r>
      <w:r w:rsidRPr="005142F1">
        <w:rPr>
          <w:rFonts w:eastAsia="Calibri" w:cs="Arial"/>
          <w:i/>
          <w:iCs/>
          <w:szCs w:val="20"/>
        </w:rPr>
        <w:t>Unilever v Polagric (Pty) Ltd</w:t>
      </w:r>
      <w:r w:rsidRPr="005142F1">
        <w:rPr>
          <w:rFonts w:eastAsia="Calibri" w:cs="Arial"/>
          <w:szCs w:val="20"/>
        </w:rPr>
        <w:t> 2001 (2) SA 329 (C) at 339 -340G–J and 341B-342A.</w:t>
      </w:r>
    </w:p>
  </w:footnote>
  <w:footnote w:id="98">
    <w:p w14:paraId="4661FF87" w14:textId="77777777" w:rsidR="007D25F1" w:rsidRPr="005142F1" w:rsidRDefault="007D25F1" w:rsidP="007D25F1">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South British Insurance Co Ltd v Unicorn Shipping Lines (Pty) Ltd</w:t>
      </w:r>
      <w:r w:rsidRPr="005142F1">
        <w:rPr>
          <w:rFonts w:cs="Arial"/>
          <w:szCs w:val="20"/>
        </w:rPr>
        <w:t xml:space="preserve"> 1976 (1) SA 708 (A) at 713E-H.</w:t>
      </w:r>
    </w:p>
  </w:footnote>
  <w:footnote w:id="99">
    <w:p w14:paraId="5D265CC5" w14:textId="31B63798" w:rsidR="00ED4C55" w:rsidRPr="005142F1" w:rsidRDefault="00ED4C55" w:rsidP="00ED4C55">
      <w:pPr>
        <w:pStyle w:val="FootnoteText"/>
        <w:rPr>
          <w:rFonts w:cs="Arial"/>
          <w:szCs w:val="20"/>
        </w:rPr>
      </w:pPr>
      <w:r w:rsidRPr="005142F1">
        <w:rPr>
          <w:rStyle w:val="FootnoteReference"/>
        </w:rPr>
        <w:footnoteRef/>
      </w:r>
      <w:r w:rsidRPr="005142F1">
        <w:rPr>
          <w:rFonts w:cs="Arial"/>
          <w:szCs w:val="20"/>
        </w:rPr>
        <w:t xml:space="preserve"> See </w:t>
      </w:r>
      <w:r w:rsidRPr="005142F1">
        <w:rPr>
          <w:rFonts w:cs="Arial"/>
          <w:i/>
          <w:iCs/>
          <w:szCs w:val="20"/>
        </w:rPr>
        <w:t>Motswai v RAF</w:t>
      </w:r>
      <w:r w:rsidRPr="005142F1">
        <w:rPr>
          <w:rFonts w:cs="Arial"/>
          <w:szCs w:val="20"/>
        </w:rPr>
        <w:t xml:space="preserve"> 2014 (6) SA 360 (SCA) para 46 and </w:t>
      </w:r>
      <w:r w:rsidRPr="005142F1">
        <w:rPr>
          <w:rFonts w:cs="Arial"/>
          <w:i/>
          <w:iCs/>
          <w:szCs w:val="20"/>
        </w:rPr>
        <w:t>Gates v Gates</w:t>
      </w:r>
      <w:r w:rsidRPr="005142F1">
        <w:rPr>
          <w:rFonts w:cs="Arial"/>
          <w:szCs w:val="20"/>
        </w:rPr>
        <w:t xml:space="preserve"> 1939 AD 150 at 155. </w:t>
      </w:r>
    </w:p>
  </w:footnote>
  <w:footnote w:id="100">
    <w:p w14:paraId="27B76456" w14:textId="67CBC618" w:rsidR="001A3914" w:rsidRPr="005142F1" w:rsidRDefault="001A3914">
      <w:pPr>
        <w:pStyle w:val="FootnoteText"/>
        <w:rPr>
          <w:rFonts w:cs="Arial"/>
          <w:szCs w:val="20"/>
        </w:rPr>
      </w:pPr>
      <w:r w:rsidRPr="005142F1">
        <w:rPr>
          <w:rStyle w:val="FootnoteReference"/>
        </w:rPr>
        <w:footnoteRef/>
      </w:r>
      <w:r w:rsidRPr="005142F1">
        <w:rPr>
          <w:rFonts w:cs="Arial"/>
          <w:szCs w:val="20"/>
        </w:rPr>
        <w:t xml:space="preserve"> </w:t>
      </w:r>
      <w:r w:rsidR="00D73D3B" w:rsidRPr="005142F1">
        <w:rPr>
          <w:rFonts w:cs="Arial"/>
          <w:szCs w:val="20"/>
        </w:rPr>
        <w:t xml:space="preserve">The relevant </w:t>
      </w:r>
      <w:r w:rsidR="00AF2360">
        <w:rPr>
          <w:rFonts w:cs="Arial"/>
          <w:szCs w:val="20"/>
        </w:rPr>
        <w:t xml:space="preserve">provisions </w:t>
      </w:r>
      <w:r w:rsidR="00D73D3B" w:rsidRPr="005142F1">
        <w:rPr>
          <w:rFonts w:cs="Arial"/>
          <w:szCs w:val="20"/>
        </w:rPr>
        <w:t>of r</w:t>
      </w:r>
      <w:r w:rsidRPr="005142F1">
        <w:rPr>
          <w:rFonts w:cs="Arial"/>
          <w:szCs w:val="20"/>
        </w:rPr>
        <w:t>egulation 2</w:t>
      </w:r>
      <w:r w:rsidRPr="005142F1">
        <w:rPr>
          <w:rFonts w:cs="Arial"/>
          <w:i/>
          <w:iCs/>
          <w:szCs w:val="20"/>
        </w:rPr>
        <w:t xml:space="preserve">bis </w:t>
      </w:r>
      <w:r w:rsidR="00D73D3B" w:rsidRPr="005142F1">
        <w:rPr>
          <w:rFonts w:cs="Arial"/>
          <w:szCs w:val="20"/>
        </w:rPr>
        <w:t>of the Regulations promulgated under the Sheriffs Act,</w:t>
      </w:r>
      <w:r w:rsidR="00AF2360">
        <w:rPr>
          <w:rFonts w:cs="Arial"/>
          <w:szCs w:val="20"/>
        </w:rPr>
        <w:t xml:space="preserve"> </w:t>
      </w:r>
      <w:r w:rsidR="00D73D3B" w:rsidRPr="005142F1">
        <w:rPr>
          <w:rFonts w:cs="Arial"/>
          <w:szCs w:val="20"/>
        </w:rPr>
        <w:t>90 of 1986 stipulate only that a person may not be appointed as a sheriff unless he or she (i) “is a fit and proper person to hold the office of sheriff”; (ii) demonstrates the requisite financial and other ability to establish and operate an office; (i</w:t>
      </w:r>
      <w:r w:rsidR="00AF2360">
        <w:rPr>
          <w:rFonts w:cs="Arial"/>
          <w:szCs w:val="20"/>
        </w:rPr>
        <w:t>ii</w:t>
      </w:r>
      <w:r w:rsidR="00D73D3B" w:rsidRPr="005142F1">
        <w:rPr>
          <w:rFonts w:cs="Arial"/>
          <w:szCs w:val="20"/>
        </w:rPr>
        <w:t>) “is competent to conduct the business of sheriff”; and (</w:t>
      </w:r>
      <w:r w:rsidR="00AF2360">
        <w:rPr>
          <w:rFonts w:cs="Arial"/>
          <w:szCs w:val="20"/>
        </w:rPr>
        <w:t>i</w:t>
      </w:r>
      <w:r w:rsidR="00D73D3B" w:rsidRPr="005142F1">
        <w:rPr>
          <w:rFonts w:cs="Arial"/>
          <w:szCs w:val="20"/>
        </w:rPr>
        <w:t>v) has at least “an appropriate post Grade 12 qualification”</w:t>
      </w:r>
      <w:r w:rsidR="00AF2360">
        <w:rPr>
          <w:rFonts w:cs="Arial"/>
          <w:szCs w:val="20"/>
        </w:rPr>
        <w:t>,</w:t>
      </w:r>
      <w:r w:rsidR="00D73D3B" w:rsidRPr="005142F1">
        <w:rPr>
          <w:rFonts w:cs="Arial"/>
          <w:szCs w:val="20"/>
        </w:rPr>
        <w:t xml:space="preserve"> “an understanding of civil law”</w:t>
      </w:r>
      <w:r w:rsidR="00AF2360">
        <w:rPr>
          <w:rFonts w:cs="Arial"/>
          <w:szCs w:val="20"/>
        </w:rPr>
        <w:t>,</w:t>
      </w:r>
      <w:r w:rsidR="00D73D3B" w:rsidRPr="005142F1">
        <w:rPr>
          <w:rFonts w:cs="Arial"/>
          <w:szCs w:val="20"/>
        </w:rPr>
        <w:t xml:space="preserve"> and “knowledge and understanding of the relevant aspects of” </w:t>
      </w:r>
      <w:r w:rsidR="00D73D3B" w:rsidRPr="005142F1">
        <w:rPr>
          <w:rFonts w:cs="Arial"/>
          <w:i/>
          <w:iCs/>
          <w:szCs w:val="20"/>
        </w:rPr>
        <w:t>inter alia</w:t>
      </w:r>
      <w:r w:rsidR="00D73D3B" w:rsidRPr="005142F1">
        <w:rPr>
          <w:rFonts w:cs="Arial"/>
          <w:szCs w:val="20"/>
        </w:rPr>
        <w:t xml:space="preserve"> the Constitution, the Superior Courts Act and the Uniform Rules of Court.   </w:t>
      </w:r>
    </w:p>
  </w:footnote>
  <w:footnote w:id="101">
    <w:p w14:paraId="78FD8334" w14:textId="15C91AEB" w:rsidR="00CA2FAE" w:rsidRPr="005142F1" w:rsidRDefault="00CA2FAE">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szCs w:val="20"/>
          <w:u w:val="single"/>
        </w:rPr>
        <w:t>Code of Conduct for Legal Practitioners</w:t>
      </w:r>
      <w:r w:rsidRPr="005142F1">
        <w:rPr>
          <w:rFonts w:cs="Arial"/>
          <w:szCs w:val="20"/>
        </w:rPr>
        <w:t xml:space="preserve"> (GenN 168 published in GG 42337 of 29 March 2019 as amended) para 3.1; </w:t>
      </w:r>
      <w:r w:rsidR="00D041D7" w:rsidRPr="005142F1">
        <w:rPr>
          <w:rFonts w:cs="Arial"/>
          <w:i/>
          <w:iCs/>
          <w:szCs w:val="20"/>
        </w:rPr>
        <w:t>Chappell v United Kingdom</w:t>
      </w:r>
      <w:r w:rsidR="00D041D7" w:rsidRPr="005142F1">
        <w:rPr>
          <w:rFonts w:cs="Arial"/>
          <w:szCs w:val="20"/>
        </w:rPr>
        <w:t xml:space="preserve"> [1990] 12 EHRR para 61.</w:t>
      </w:r>
      <w:r w:rsidR="00666D25" w:rsidRPr="005142F1">
        <w:rPr>
          <w:rFonts w:cs="Arial"/>
          <w:szCs w:val="20"/>
        </w:rPr>
        <w:t xml:space="preserve"> The additional contention that, </w:t>
      </w:r>
      <w:r w:rsidR="00666D25" w:rsidRPr="005142F1">
        <w:rPr>
          <w:rFonts w:cs="Arial"/>
          <w:szCs w:val="20"/>
          <w:lang w:eastAsia="en-ZA"/>
        </w:rPr>
        <w:t xml:space="preserve">even if the appointment of assisting attorneys is found to be unobjectionable in principle, the specific persons appointed in that capacity in this instance did not in fact perform their role with sufficient independence and were no more than the agents of Supercart, is one relating to the execution of the order, and upon which the respondents bear </w:t>
      </w:r>
      <w:r w:rsidR="00AF2360">
        <w:rPr>
          <w:rFonts w:cs="Arial"/>
          <w:szCs w:val="20"/>
          <w:lang w:eastAsia="en-ZA"/>
        </w:rPr>
        <w:t xml:space="preserve">the </w:t>
      </w:r>
      <w:r w:rsidR="00666D25" w:rsidRPr="005142F1">
        <w:rPr>
          <w:rFonts w:cs="Arial"/>
          <w:szCs w:val="20"/>
          <w:lang w:eastAsia="en-ZA"/>
        </w:rPr>
        <w:t>onus. It is dealt with below.</w:t>
      </w:r>
    </w:p>
  </w:footnote>
  <w:footnote w:id="102">
    <w:p w14:paraId="0DA6CC1F" w14:textId="6DD56999" w:rsidR="0020587B" w:rsidRPr="005142F1" w:rsidRDefault="0020587B">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Memory Institute</w:t>
      </w:r>
      <w:r w:rsidRPr="005142F1">
        <w:rPr>
          <w:rFonts w:cs="Arial"/>
          <w:szCs w:val="20"/>
        </w:rPr>
        <w:t xml:space="preserve"> (above) para 3.</w:t>
      </w:r>
    </w:p>
  </w:footnote>
  <w:footnote w:id="103">
    <w:p w14:paraId="357A9581" w14:textId="77777777" w:rsidR="005A499F" w:rsidRPr="005142F1" w:rsidRDefault="005A499F" w:rsidP="005A499F">
      <w:pPr>
        <w:pStyle w:val="FootnoteText"/>
        <w:rPr>
          <w:rFonts w:cs="Arial"/>
          <w:szCs w:val="20"/>
        </w:rPr>
      </w:pPr>
      <w:r w:rsidRPr="005142F1">
        <w:rPr>
          <w:rStyle w:val="FootnoteReference"/>
        </w:rPr>
        <w:footnoteRef/>
      </w:r>
      <w:r w:rsidRPr="005142F1">
        <w:rPr>
          <w:rFonts w:cs="Arial"/>
          <w:szCs w:val="20"/>
        </w:rPr>
        <w:t xml:space="preserve"> The wording employed in the order is not dissimilar to paragraph 4 of the model order annexed to the Gauteng Practice Manual.</w:t>
      </w:r>
    </w:p>
  </w:footnote>
  <w:footnote w:id="104">
    <w:p w14:paraId="0E54F531" w14:textId="77777777" w:rsidR="00AC176F" w:rsidRPr="005142F1" w:rsidRDefault="00AC176F" w:rsidP="00AC176F">
      <w:pPr>
        <w:pStyle w:val="FootnoteText"/>
        <w:rPr>
          <w:rFonts w:cs="Arial"/>
          <w:szCs w:val="20"/>
        </w:rPr>
      </w:pPr>
      <w:r w:rsidRPr="005142F1">
        <w:rPr>
          <w:rStyle w:val="FootnoteReference"/>
        </w:rPr>
        <w:footnoteRef/>
      </w:r>
      <w:r w:rsidRPr="005142F1">
        <w:rPr>
          <w:rFonts w:cs="Arial"/>
          <w:szCs w:val="20"/>
        </w:rPr>
        <w:t xml:space="preserve"> </w:t>
      </w:r>
      <w:r>
        <w:rPr>
          <w:rFonts w:cs="Arial"/>
          <w:szCs w:val="20"/>
        </w:rPr>
        <w:t>N</w:t>
      </w:r>
      <w:r w:rsidRPr="005142F1">
        <w:rPr>
          <w:rFonts w:cs="Arial"/>
          <w:szCs w:val="20"/>
        </w:rPr>
        <w:t>either the Sheriffs Act</w:t>
      </w:r>
      <w:r>
        <w:rPr>
          <w:rFonts w:cs="Arial"/>
          <w:szCs w:val="20"/>
        </w:rPr>
        <w:t xml:space="preserve"> </w:t>
      </w:r>
      <w:r w:rsidRPr="005142F1">
        <w:rPr>
          <w:rFonts w:cs="Arial"/>
          <w:szCs w:val="20"/>
        </w:rPr>
        <w:t xml:space="preserve">nor the regulations thereunder contain any provisions regarding the attire of sheriffs or the means by which they should demonstrate their authority when performing their functions. </w:t>
      </w:r>
    </w:p>
  </w:footnote>
  <w:footnote w:id="105">
    <w:p w14:paraId="15E06B23" w14:textId="33C83D34" w:rsidR="00614FF5" w:rsidRPr="005142F1" w:rsidRDefault="00614FF5">
      <w:pPr>
        <w:pStyle w:val="FootnoteText"/>
        <w:rPr>
          <w:rFonts w:cs="Arial"/>
          <w:szCs w:val="20"/>
        </w:rPr>
      </w:pPr>
      <w:r w:rsidRPr="005142F1">
        <w:rPr>
          <w:rStyle w:val="FootnoteReference"/>
        </w:rPr>
        <w:footnoteRef/>
      </w:r>
      <w:r w:rsidRPr="005142F1">
        <w:rPr>
          <w:rFonts w:cs="Arial"/>
          <w:szCs w:val="20"/>
        </w:rPr>
        <w:t xml:space="preserve"> Compare </w:t>
      </w:r>
      <w:r w:rsidRPr="005142F1">
        <w:rPr>
          <w:rFonts w:cs="Arial"/>
          <w:i/>
          <w:iCs/>
          <w:szCs w:val="20"/>
        </w:rPr>
        <w:t>Loureiro v iMvula Quality Protection (Pty) Ltd</w:t>
      </w:r>
      <w:r w:rsidRPr="005142F1">
        <w:rPr>
          <w:rFonts w:cs="Arial"/>
          <w:szCs w:val="20"/>
        </w:rPr>
        <w:t xml:space="preserve"> 2014 (3) SA 394 (CC) para 63</w:t>
      </w:r>
      <w:r w:rsidR="00A97AB0" w:rsidRPr="005142F1">
        <w:rPr>
          <w:rFonts w:cs="Arial"/>
          <w:szCs w:val="20"/>
        </w:rPr>
        <w:t>.</w:t>
      </w:r>
    </w:p>
  </w:footnote>
  <w:footnote w:id="106">
    <w:p w14:paraId="273AF6AB" w14:textId="77777777" w:rsidR="00160474" w:rsidRPr="005142F1" w:rsidRDefault="00160474" w:rsidP="00160474">
      <w:pPr>
        <w:pStyle w:val="FootnoteText"/>
        <w:rPr>
          <w:rFonts w:cs="Arial"/>
          <w:szCs w:val="20"/>
        </w:rPr>
      </w:pPr>
      <w:r w:rsidRPr="005142F1">
        <w:rPr>
          <w:rStyle w:val="FootnoteReference"/>
        </w:rPr>
        <w:footnoteRef/>
      </w:r>
      <w:r w:rsidRPr="005142F1">
        <w:rPr>
          <w:rFonts w:cs="Arial"/>
          <w:szCs w:val="20"/>
        </w:rPr>
        <w:t xml:space="preserve"> This is confirmed in the founding affidavit deposed to by Vanesco’s attorney in the variation application. </w:t>
      </w:r>
    </w:p>
  </w:footnote>
  <w:footnote w:id="107">
    <w:p w14:paraId="7F71ADEB" w14:textId="3D99B21C" w:rsidR="00666D25" w:rsidRPr="005142F1" w:rsidRDefault="00666D25" w:rsidP="00666D25">
      <w:pPr>
        <w:pStyle w:val="FootnoteText"/>
        <w:rPr>
          <w:rFonts w:cs="Arial"/>
          <w:szCs w:val="20"/>
        </w:rPr>
      </w:pPr>
      <w:r w:rsidRPr="005142F1">
        <w:rPr>
          <w:rStyle w:val="FootnoteReference"/>
        </w:rPr>
        <w:footnoteRef/>
      </w:r>
      <w:r w:rsidRPr="005142F1">
        <w:rPr>
          <w:rFonts w:cs="Arial"/>
          <w:szCs w:val="20"/>
        </w:rPr>
        <w:t xml:space="preserve"> Mr Case tendentiously alleges </w:t>
      </w:r>
      <w:r w:rsidR="00AD4D4C">
        <w:rPr>
          <w:rFonts w:cs="Arial"/>
          <w:szCs w:val="20"/>
        </w:rPr>
        <w:t xml:space="preserve">in </w:t>
      </w:r>
      <w:r w:rsidRPr="005142F1">
        <w:rPr>
          <w:rFonts w:cs="Arial"/>
          <w:szCs w:val="20"/>
        </w:rPr>
        <w:t xml:space="preserve">his answering affidavit that one of the supervising attorneys “showed herself not to be independent in that she checks [the assisting attorney’s] and the sheriff’s work and corrects them when they have overstepped the mark”. The respondents’ counsel wisely sought to make out no case in this regard: after all, this is precisely why supervising attorneys are appointed.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AC33" w14:textId="77777777" w:rsidR="00FC0780" w:rsidRDefault="00FC0780">
    <w:pPr>
      <w:pStyle w:val="Header"/>
    </w:pPr>
  </w:p>
  <w:p w14:paraId="6310E163" w14:textId="77777777" w:rsidR="0034019B" w:rsidRDefault="0034019B"/>
  <w:p w14:paraId="41ECA29C" w14:textId="77777777" w:rsidR="00DE4DCB" w:rsidRDefault="00DE4D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C47E" w14:textId="5A0B0EF8" w:rsidR="00DE4DCB" w:rsidRPr="008B50FE" w:rsidRDefault="00FC0780" w:rsidP="008B50FE">
    <w:pPr>
      <w:pStyle w:val="Header"/>
      <w:jc w:val="right"/>
      <w:rPr>
        <w:rFonts w:ascii="Arial" w:hAnsi="Arial" w:cs="Arial"/>
        <w:sz w:val="24"/>
        <w:szCs w:val="24"/>
      </w:rPr>
    </w:pPr>
    <w:r w:rsidRPr="007405CA">
      <w:rPr>
        <w:rFonts w:ascii="Arial" w:hAnsi="Arial" w:cs="Arial"/>
        <w:sz w:val="24"/>
        <w:szCs w:val="24"/>
      </w:rPr>
      <w:fldChar w:fldCharType="begin"/>
    </w:r>
    <w:r w:rsidRPr="007405CA">
      <w:rPr>
        <w:rFonts w:ascii="Arial" w:hAnsi="Arial" w:cs="Arial"/>
        <w:sz w:val="24"/>
        <w:szCs w:val="24"/>
      </w:rPr>
      <w:instrText xml:space="preserve"> PAGE   \* MERGEFORMAT </w:instrText>
    </w:r>
    <w:r w:rsidRPr="007405CA">
      <w:rPr>
        <w:rFonts w:ascii="Arial" w:hAnsi="Arial" w:cs="Arial"/>
        <w:sz w:val="24"/>
        <w:szCs w:val="24"/>
      </w:rPr>
      <w:fldChar w:fldCharType="separate"/>
    </w:r>
    <w:r w:rsidR="008B0046">
      <w:rPr>
        <w:rFonts w:ascii="Arial" w:hAnsi="Arial" w:cs="Arial"/>
        <w:noProof/>
        <w:sz w:val="24"/>
        <w:szCs w:val="24"/>
      </w:rPr>
      <w:t>95</w:t>
    </w:r>
    <w:r w:rsidRPr="007405CA">
      <w:rP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19B09B3"/>
    <w:multiLevelType w:val="hybridMultilevel"/>
    <w:tmpl w:val="37729AE0"/>
    <w:lvl w:ilvl="0" w:tplc="CE541D46">
      <w:start w:val="1"/>
      <w:numFmt w:val="decimal"/>
      <w:pStyle w:val="LC1"/>
      <w:lvlText w:val="[%1]"/>
      <w:lvlJc w:val="left"/>
      <w:pPr>
        <w:ind w:left="720" w:hanging="360"/>
      </w:pPr>
      <w:rPr>
        <w:rFonts w:ascii="Arial" w:hAnsi="Arial" w:cs="Arial" w:hint="default"/>
        <w:b w:val="0"/>
        <w:i w:val="0"/>
        <w:iCs w:val="0"/>
        <w:sz w:val="24"/>
        <w:szCs w:val="24"/>
      </w:rPr>
    </w:lvl>
    <w:lvl w:ilvl="1" w:tplc="85964766">
      <w:start w:val="1"/>
      <w:numFmt w:val="lowerLetter"/>
      <w:pStyle w:val="LC2"/>
      <w:lvlText w:val="(%2)"/>
      <w:lvlJc w:val="left"/>
      <w:pPr>
        <w:ind w:left="1440" w:hanging="360"/>
      </w:pPr>
      <w:rPr>
        <w:rFonts w:hint="default"/>
      </w:rPr>
    </w:lvl>
    <w:lvl w:ilvl="2" w:tplc="1C09001B">
      <w:start w:val="1"/>
      <w:numFmt w:val="lowerRoman"/>
      <w:lvlText w:val="%3."/>
      <w:lvlJc w:val="right"/>
      <w:pPr>
        <w:ind w:left="2160" w:hanging="180"/>
      </w:pPr>
    </w:lvl>
    <w:lvl w:ilvl="3" w:tplc="342CFB9A">
      <w:start w:val="1"/>
      <w:numFmt w:val="decimal"/>
      <w:pStyle w:val="ORDER"/>
      <w:lvlText w:val="%4."/>
      <w:lvlJc w:val="left"/>
      <w:pPr>
        <w:ind w:left="2880" w:hanging="360"/>
      </w:pPr>
    </w:lvl>
    <w:lvl w:ilvl="4" w:tplc="16340702">
      <w:start w:val="1"/>
      <w:numFmt w:val="lowerLetter"/>
      <w:pStyle w:val="ORDERa"/>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143C46"/>
    <w:multiLevelType w:val="multilevel"/>
    <w:tmpl w:val="50322838"/>
    <w:lvl w:ilvl="0">
      <w:start w:val="1"/>
      <w:numFmt w:val="decimal"/>
      <w:pStyle w:val="Style1"/>
      <w:lvlText w:val="%1."/>
      <w:lvlJc w:val="left"/>
      <w:pPr>
        <w:tabs>
          <w:tab w:val="num" w:pos="720"/>
        </w:tabs>
        <w:ind w:left="720" w:hanging="720"/>
      </w:pPr>
      <w:rPr>
        <w:rFonts w:hint="default"/>
        <w:b w:val="0"/>
        <w:sz w:val="24"/>
        <w:szCs w:val="24"/>
      </w:rPr>
    </w:lvl>
    <w:lvl w:ilvl="1">
      <w:start w:val="1"/>
      <w:numFmt w:val="decimal"/>
      <w:pStyle w:val="Style2"/>
      <w:lvlText w:val="%1.%2"/>
      <w:lvlJc w:val="left"/>
      <w:pPr>
        <w:tabs>
          <w:tab w:val="num" w:pos="1440"/>
        </w:tabs>
        <w:ind w:left="1440" w:hanging="1440"/>
      </w:pPr>
      <w:rPr>
        <w:rFonts w:ascii="Arial" w:hAnsi="Arial" w:hint="default"/>
        <w:b w:val="0"/>
        <w:sz w:val="24"/>
        <w:szCs w:val="24"/>
      </w:rPr>
    </w:lvl>
    <w:lvl w:ilvl="2">
      <w:start w:val="1"/>
      <w:numFmt w:val="decimal"/>
      <w:pStyle w:val="Style3"/>
      <w:lvlText w:val="%1.%2.%3"/>
      <w:lvlJc w:val="left"/>
      <w:pPr>
        <w:tabs>
          <w:tab w:val="num" w:pos="2160"/>
        </w:tabs>
        <w:ind w:left="2160" w:hanging="2160"/>
      </w:pPr>
      <w:rPr>
        <w:rFonts w:ascii="Arial" w:hAnsi="Arial" w:hint="default"/>
        <w:b w:val="0"/>
        <w:sz w:val="24"/>
        <w:szCs w:val="24"/>
      </w:rPr>
    </w:lvl>
    <w:lvl w:ilvl="3">
      <w:start w:val="1"/>
      <w:numFmt w:val="decimal"/>
      <w:pStyle w:val="Style4"/>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3" w15:restartNumberingAfterBreak="0">
    <w:nsid w:val="2EC32EAB"/>
    <w:multiLevelType w:val="multilevel"/>
    <w:tmpl w:val="ED4AC72E"/>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621B7EE1"/>
    <w:multiLevelType w:val="multilevel"/>
    <w:tmpl w:val="802C7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3F467B"/>
    <w:multiLevelType w:val="hybridMultilevel"/>
    <w:tmpl w:val="3AC4C646"/>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1C"/>
    <w:rsid w:val="000012A6"/>
    <w:rsid w:val="00001F4A"/>
    <w:rsid w:val="00002272"/>
    <w:rsid w:val="00003782"/>
    <w:rsid w:val="00003803"/>
    <w:rsid w:val="00004549"/>
    <w:rsid w:val="00004D23"/>
    <w:rsid w:val="0000706E"/>
    <w:rsid w:val="000073C9"/>
    <w:rsid w:val="0001167B"/>
    <w:rsid w:val="000123E9"/>
    <w:rsid w:val="000141CE"/>
    <w:rsid w:val="00014382"/>
    <w:rsid w:val="0001502E"/>
    <w:rsid w:val="00016FA2"/>
    <w:rsid w:val="000171D0"/>
    <w:rsid w:val="0002226B"/>
    <w:rsid w:val="00022F6D"/>
    <w:rsid w:val="0002662D"/>
    <w:rsid w:val="0002788F"/>
    <w:rsid w:val="00027BCB"/>
    <w:rsid w:val="00027D0D"/>
    <w:rsid w:val="00030DC0"/>
    <w:rsid w:val="00031365"/>
    <w:rsid w:val="00031A26"/>
    <w:rsid w:val="00031BDD"/>
    <w:rsid w:val="0003212C"/>
    <w:rsid w:val="000332BD"/>
    <w:rsid w:val="0003414E"/>
    <w:rsid w:val="00034E66"/>
    <w:rsid w:val="000351B2"/>
    <w:rsid w:val="00036367"/>
    <w:rsid w:val="00036D1E"/>
    <w:rsid w:val="000378DD"/>
    <w:rsid w:val="00040689"/>
    <w:rsid w:val="00040692"/>
    <w:rsid w:val="000409A6"/>
    <w:rsid w:val="00041846"/>
    <w:rsid w:val="00043065"/>
    <w:rsid w:val="00044A38"/>
    <w:rsid w:val="000459C7"/>
    <w:rsid w:val="00045FEF"/>
    <w:rsid w:val="00046503"/>
    <w:rsid w:val="00047515"/>
    <w:rsid w:val="000503EE"/>
    <w:rsid w:val="00050AD8"/>
    <w:rsid w:val="000510E6"/>
    <w:rsid w:val="00052081"/>
    <w:rsid w:val="000520DA"/>
    <w:rsid w:val="00052C5D"/>
    <w:rsid w:val="00054E3D"/>
    <w:rsid w:val="00055919"/>
    <w:rsid w:val="00056BA0"/>
    <w:rsid w:val="000570F0"/>
    <w:rsid w:val="00057D8F"/>
    <w:rsid w:val="0006394C"/>
    <w:rsid w:val="00064401"/>
    <w:rsid w:val="00065E5C"/>
    <w:rsid w:val="00066807"/>
    <w:rsid w:val="00070100"/>
    <w:rsid w:val="00070375"/>
    <w:rsid w:val="000716A9"/>
    <w:rsid w:val="00072A0B"/>
    <w:rsid w:val="00072AB8"/>
    <w:rsid w:val="00075CC1"/>
    <w:rsid w:val="00076382"/>
    <w:rsid w:val="00077868"/>
    <w:rsid w:val="000812AA"/>
    <w:rsid w:val="00081BA6"/>
    <w:rsid w:val="00082032"/>
    <w:rsid w:val="000824F1"/>
    <w:rsid w:val="000829D2"/>
    <w:rsid w:val="00082D42"/>
    <w:rsid w:val="00082F4A"/>
    <w:rsid w:val="000831B3"/>
    <w:rsid w:val="00083375"/>
    <w:rsid w:val="000833AD"/>
    <w:rsid w:val="0008377F"/>
    <w:rsid w:val="000851D1"/>
    <w:rsid w:val="00085E78"/>
    <w:rsid w:val="000874D5"/>
    <w:rsid w:val="00090833"/>
    <w:rsid w:val="00093277"/>
    <w:rsid w:val="00094012"/>
    <w:rsid w:val="00094DFD"/>
    <w:rsid w:val="00096471"/>
    <w:rsid w:val="00096CCC"/>
    <w:rsid w:val="0009728F"/>
    <w:rsid w:val="00097DED"/>
    <w:rsid w:val="000A2519"/>
    <w:rsid w:val="000A28CE"/>
    <w:rsid w:val="000A5461"/>
    <w:rsid w:val="000A6817"/>
    <w:rsid w:val="000B1174"/>
    <w:rsid w:val="000B1421"/>
    <w:rsid w:val="000B3E04"/>
    <w:rsid w:val="000B4984"/>
    <w:rsid w:val="000B670C"/>
    <w:rsid w:val="000B73FD"/>
    <w:rsid w:val="000C0393"/>
    <w:rsid w:val="000C142F"/>
    <w:rsid w:val="000C3610"/>
    <w:rsid w:val="000C37E1"/>
    <w:rsid w:val="000C5455"/>
    <w:rsid w:val="000C6122"/>
    <w:rsid w:val="000C785F"/>
    <w:rsid w:val="000C7B37"/>
    <w:rsid w:val="000C7D79"/>
    <w:rsid w:val="000C7E25"/>
    <w:rsid w:val="000D0102"/>
    <w:rsid w:val="000D011D"/>
    <w:rsid w:val="000D10C3"/>
    <w:rsid w:val="000D19BF"/>
    <w:rsid w:val="000D22CA"/>
    <w:rsid w:val="000D294D"/>
    <w:rsid w:val="000D3349"/>
    <w:rsid w:val="000D4DA4"/>
    <w:rsid w:val="000D67C6"/>
    <w:rsid w:val="000D6B38"/>
    <w:rsid w:val="000D6DA6"/>
    <w:rsid w:val="000D75E8"/>
    <w:rsid w:val="000D78E1"/>
    <w:rsid w:val="000E14D0"/>
    <w:rsid w:val="000E16BB"/>
    <w:rsid w:val="000E2737"/>
    <w:rsid w:val="000E3458"/>
    <w:rsid w:val="000E37F3"/>
    <w:rsid w:val="000E3FA9"/>
    <w:rsid w:val="000E4FA3"/>
    <w:rsid w:val="000E6595"/>
    <w:rsid w:val="000E6B70"/>
    <w:rsid w:val="000E6CBA"/>
    <w:rsid w:val="000E6D8C"/>
    <w:rsid w:val="000E7787"/>
    <w:rsid w:val="000E77CD"/>
    <w:rsid w:val="000F0B6A"/>
    <w:rsid w:val="000F20C7"/>
    <w:rsid w:val="000F2126"/>
    <w:rsid w:val="000F3905"/>
    <w:rsid w:val="000F4C5D"/>
    <w:rsid w:val="000F5584"/>
    <w:rsid w:val="000F7A03"/>
    <w:rsid w:val="000F7C73"/>
    <w:rsid w:val="00100D7D"/>
    <w:rsid w:val="001036AB"/>
    <w:rsid w:val="001037E6"/>
    <w:rsid w:val="0010464A"/>
    <w:rsid w:val="00105282"/>
    <w:rsid w:val="00110166"/>
    <w:rsid w:val="00111F99"/>
    <w:rsid w:val="001129AE"/>
    <w:rsid w:val="00112B49"/>
    <w:rsid w:val="0011336A"/>
    <w:rsid w:val="00113C31"/>
    <w:rsid w:val="0011497C"/>
    <w:rsid w:val="001161A7"/>
    <w:rsid w:val="00117061"/>
    <w:rsid w:val="00120BFC"/>
    <w:rsid w:val="001228A0"/>
    <w:rsid w:val="00122E7C"/>
    <w:rsid w:val="001247D8"/>
    <w:rsid w:val="00124CC5"/>
    <w:rsid w:val="0012530E"/>
    <w:rsid w:val="00125B62"/>
    <w:rsid w:val="0013131C"/>
    <w:rsid w:val="0013148E"/>
    <w:rsid w:val="001317DB"/>
    <w:rsid w:val="001321FD"/>
    <w:rsid w:val="00132EBE"/>
    <w:rsid w:val="00133185"/>
    <w:rsid w:val="0013376C"/>
    <w:rsid w:val="0013396B"/>
    <w:rsid w:val="00134416"/>
    <w:rsid w:val="0013446D"/>
    <w:rsid w:val="00137D1B"/>
    <w:rsid w:val="001407E6"/>
    <w:rsid w:val="00140E5D"/>
    <w:rsid w:val="00141CA5"/>
    <w:rsid w:val="00143153"/>
    <w:rsid w:val="00143762"/>
    <w:rsid w:val="00144219"/>
    <w:rsid w:val="00144C74"/>
    <w:rsid w:val="00144D8F"/>
    <w:rsid w:val="0014517B"/>
    <w:rsid w:val="00151595"/>
    <w:rsid w:val="001525A0"/>
    <w:rsid w:val="00153263"/>
    <w:rsid w:val="00155545"/>
    <w:rsid w:val="00156514"/>
    <w:rsid w:val="001578EA"/>
    <w:rsid w:val="00160474"/>
    <w:rsid w:val="00161742"/>
    <w:rsid w:val="00161768"/>
    <w:rsid w:val="00166AB8"/>
    <w:rsid w:val="00166E9B"/>
    <w:rsid w:val="00167510"/>
    <w:rsid w:val="0016775F"/>
    <w:rsid w:val="00167DCF"/>
    <w:rsid w:val="00170CCE"/>
    <w:rsid w:val="00171714"/>
    <w:rsid w:val="001736E4"/>
    <w:rsid w:val="0017488E"/>
    <w:rsid w:val="00175605"/>
    <w:rsid w:val="0017713C"/>
    <w:rsid w:val="001772D1"/>
    <w:rsid w:val="00177537"/>
    <w:rsid w:val="00177A2D"/>
    <w:rsid w:val="001813E8"/>
    <w:rsid w:val="00184BF6"/>
    <w:rsid w:val="00185305"/>
    <w:rsid w:val="0018559B"/>
    <w:rsid w:val="00185D04"/>
    <w:rsid w:val="001861FD"/>
    <w:rsid w:val="001869B1"/>
    <w:rsid w:val="00187351"/>
    <w:rsid w:val="0018761E"/>
    <w:rsid w:val="00187BB9"/>
    <w:rsid w:val="00190099"/>
    <w:rsid w:val="00190A46"/>
    <w:rsid w:val="00190F5B"/>
    <w:rsid w:val="001913F8"/>
    <w:rsid w:val="00191693"/>
    <w:rsid w:val="001938E9"/>
    <w:rsid w:val="0019412F"/>
    <w:rsid w:val="001941AE"/>
    <w:rsid w:val="00194624"/>
    <w:rsid w:val="00195936"/>
    <w:rsid w:val="00195948"/>
    <w:rsid w:val="001A03F9"/>
    <w:rsid w:val="001A066C"/>
    <w:rsid w:val="001A268D"/>
    <w:rsid w:val="001A2909"/>
    <w:rsid w:val="001A3914"/>
    <w:rsid w:val="001A42D3"/>
    <w:rsid w:val="001A55DB"/>
    <w:rsid w:val="001A652F"/>
    <w:rsid w:val="001A66FF"/>
    <w:rsid w:val="001A788C"/>
    <w:rsid w:val="001B05F3"/>
    <w:rsid w:val="001B2593"/>
    <w:rsid w:val="001B3C80"/>
    <w:rsid w:val="001B5CB4"/>
    <w:rsid w:val="001B66D5"/>
    <w:rsid w:val="001B7FDB"/>
    <w:rsid w:val="001C090A"/>
    <w:rsid w:val="001C0EBD"/>
    <w:rsid w:val="001C2CE4"/>
    <w:rsid w:val="001C2F2F"/>
    <w:rsid w:val="001C338F"/>
    <w:rsid w:val="001C5C62"/>
    <w:rsid w:val="001C714D"/>
    <w:rsid w:val="001D2FCD"/>
    <w:rsid w:val="001D32B6"/>
    <w:rsid w:val="001D3CAA"/>
    <w:rsid w:val="001D3DE1"/>
    <w:rsid w:val="001D5064"/>
    <w:rsid w:val="001D73D1"/>
    <w:rsid w:val="001E17AA"/>
    <w:rsid w:val="001E1934"/>
    <w:rsid w:val="001E1DDE"/>
    <w:rsid w:val="001E2746"/>
    <w:rsid w:val="001E30BE"/>
    <w:rsid w:val="001E3C4A"/>
    <w:rsid w:val="001E4CDA"/>
    <w:rsid w:val="001E6505"/>
    <w:rsid w:val="001F2063"/>
    <w:rsid w:val="001F3346"/>
    <w:rsid w:val="001F40A2"/>
    <w:rsid w:val="001F41FC"/>
    <w:rsid w:val="001F44B3"/>
    <w:rsid w:val="001F6AAC"/>
    <w:rsid w:val="001F6FCF"/>
    <w:rsid w:val="002000EA"/>
    <w:rsid w:val="0020038A"/>
    <w:rsid w:val="002011CA"/>
    <w:rsid w:val="00201D94"/>
    <w:rsid w:val="0020371B"/>
    <w:rsid w:val="0020470F"/>
    <w:rsid w:val="0020587B"/>
    <w:rsid w:val="002067D6"/>
    <w:rsid w:val="002079F3"/>
    <w:rsid w:val="002108BB"/>
    <w:rsid w:val="00212703"/>
    <w:rsid w:val="00212E42"/>
    <w:rsid w:val="002131B0"/>
    <w:rsid w:val="00213258"/>
    <w:rsid w:val="00214702"/>
    <w:rsid w:val="00214B4A"/>
    <w:rsid w:val="002153EB"/>
    <w:rsid w:val="00215954"/>
    <w:rsid w:val="0021615D"/>
    <w:rsid w:val="002169FE"/>
    <w:rsid w:val="00217050"/>
    <w:rsid w:val="002204D4"/>
    <w:rsid w:val="002205F7"/>
    <w:rsid w:val="0022201A"/>
    <w:rsid w:val="00222662"/>
    <w:rsid w:val="00223659"/>
    <w:rsid w:val="002236D8"/>
    <w:rsid w:val="00223722"/>
    <w:rsid w:val="00225C87"/>
    <w:rsid w:val="0022691E"/>
    <w:rsid w:val="00226A43"/>
    <w:rsid w:val="00226B0C"/>
    <w:rsid w:val="002307DC"/>
    <w:rsid w:val="00231758"/>
    <w:rsid w:val="00232AAA"/>
    <w:rsid w:val="00234777"/>
    <w:rsid w:val="002354C7"/>
    <w:rsid w:val="0023710F"/>
    <w:rsid w:val="0024029F"/>
    <w:rsid w:val="00241983"/>
    <w:rsid w:val="00242378"/>
    <w:rsid w:val="00242C83"/>
    <w:rsid w:val="00243FFB"/>
    <w:rsid w:val="002442A7"/>
    <w:rsid w:val="002458DA"/>
    <w:rsid w:val="00245AA0"/>
    <w:rsid w:val="00246A22"/>
    <w:rsid w:val="00247065"/>
    <w:rsid w:val="0025042B"/>
    <w:rsid w:val="002505AB"/>
    <w:rsid w:val="002507E7"/>
    <w:rsid w:val="00250CA2"/>
    <w:rsid w:val="00250F8F"/>
    <w:rsid w:val="00252EA0"/>
    <w:rsid w:val="00254A2A"/>
    <w:rsid w:val="00254C0C"/>
    <w:rsid w:val="0025656C"/>
    <w:rsid w:val="002566F5"/>
    <w:rsid w:val="002568A5"/>
    <w:rsid w:val="00257038"/>
    <w:rsid w:val="00257F71"/>
    <w:rsid w:val="00261518"/>
    <w:rsid w:val="00262145"/>
    <w:rsid w:val="00264164"/>
    <w:rsid w:val="002649A9"/>
    <w:rsid w:val="00264DBD"/>
    <w:rsid w:val="002662D1"/>
    <w:rsid w:val="0026630F"/>
    <w:rsid w:val="00267735"/>
    <w:rsid w:val="00270238"/>
    <w:rsid w:val="002710E0"/>
    <w:rsid w:val="00272CC9"/>
    <w:rsid w:val="00272FA3"/>
    <w:rsid w:val="002738F6"/>
    <w:rsid w:val="00273984"/>
    <w:rsid w:val="00273C6E"/>
    <w:rsid w:val="0027476A"/>
    <w:rsid w:val="00275348"/>
    <w:rsid w:val="00276583"/>
    <w:rsid w:val="00276764"/>
    <w:rsid w:val="00277802"/>
    <w:rsid w:val="00280F09"/>
    <w:rsid w:val="002819FD"/>
    <w:rsid w:val="00281AA5"/>
    <w:rsid w:val="0028371F"/>
    <w:rsid w:val="00283AE9"/>
    <w:rsid w:val="00284935"/>
    <w:rsid w:val="00284A25"/>
    <w:rsid w:val="0028506A"/>
    <w:rsid w:val="00287983"/>
    <w:rsid w:val="002900F2"/>
    <w:rsid w:val="002904E8"/>
    <w:rsid w:val="00291CE1"/>
    <w:rsid w:val="0029342D"/>
    <w:rsid w:val="00293470"/>
    <w:rsid w:val="002943CC"/>
    <w:rsid w:val="00294703"/>
    <w:rsid w:val="00294C24"/>
    <w:rsid w:val="002951E4"/>
    <w:rsid w:val="00295932"/>
    <w:rsid w:val="00297315"/>
    <w:rsid w:val="002A0395"/>
    <w:rsid w:val="002A0630"/>
    <w:rsid w:val="002A06A9"/>
    <w:rsid w:val="002A0B16"/>
    <w:rsid w:val="002A0C34"/>
    <w:rsid w:val="002A135E"/>
    <w:rsid w:val="002A263A"/>
    <w:rsid w:val="002A2834"/>
    <w:rsid w:val="002A4BA5"/>
    <w:rsid w:val="002A5354"/>
    <w:rsid w:val="002A5F1F"/>
    <w:rsid w:val="002A62FC"/>
    <w:rsid w:val="002A6A82"/>
    <w:rsid w:val="002B074C"/>
    <w:rsid w:val="002B10B0"/>
    <w:rsid w:val="002B29E2"/>
    <w:rsid w:val="002B2AFF"/>
    <w:rsid w:val="002B4682"/>
    <w:rsid w:val="002B57D5"/>
    <w:rsid w:val="002C0AC9"/>
    <w:rsid w:val="002C1DA5"/>
    <w:rsid w:val="002C3638"/>
    <w:rsid w:val="002C3FF3"/>
    <w:rsid w:val="002C4033"/>
    <w:rsid w:val="002C436E"/>
    <w:rsid w:val="002C4845"/>
    <w:rsid w:val="002C4D66"/>
    <w:rsid w:val="002C5F34"/>
    <w:rsid w:val="002C611F"/>
    <w:rsid w:val="002C6395"/>
    <w:rsid w:val="002C7131"/>
    <w:rsid w:val="002D15DF"/>
    <w:rsid w:val="002D16ED"/>
    <w:rsid w:val="002D39B6"/>
    <w:rsid w:val="002D425A"/>
    <w:rsid w:val="002D5D07"/>
    <w:rsid w:val="002D73BF"/>
    <w:rsid w:val="002E3F6F"/>
    <w:rsid w:val="002E5171"/>
    <w:rsid w:val="002E534E"/>
    <w:rsid w:val="002E7349"/>
    <w:rsid w:val="002E73F3"/>
    <w:rsid w:val="002F0996"/>
    <w:rsid w:val="002F0C87"/>
    <w:rsid w:val="002F1953"/>
    <w:rsid w:val="002F4137"/>
    <w:rsid w:val="002F4DAA"/>
    <w:rsid w:val="002F53F6"/>
    <w:rsid w:val="002F5681"/>
    <w:rsid w:val="002F7EA9"/>
    <w:rsid w:val="003008E3"/>
    <w:rsid w:val="00300BE1"/>
    <w:rsid w:val="00300C56"/>
    <w:rsid w:val="0030292F"/>
    <w:rsid w:val="00302B56"/>
    <w:rsid w:val="003031DE"/>
    <w:rsid w:val="00303C39"/>
    <w:rsid w:val="00305719"/>
    <w:rsid w:val="0030632A"/>
    <w:rsid w:val="00306A29"/>
    <w:rsid w:val="0030779C"/>
    <w:rsid w:val="00311B83"/>
    <w:rsid w:val="003123B3"/>
    <w:rsid w:val="00313B0E"/>
    <w:rsid w:val="00316134"/>
    <w:rsid w:val="00316A03"/>
    <w:rsid w:val="00316BB4"/>
    <w:rsid w:val="00316EB2"/>
    <w:rsid w:val="00323262"/>
    <w:rsid w:val="00323CEC"/>
    <w:rsid w:val="0032529E"/>
    <w:rsid w:val="0032601A"/>
    <w:rsid w:val="003263B4"/>
    <w:rsid w:val="00327C18"/>
    <w:rsid w:val="00330E90"/>
    <w:rsid w:val="003318AF"/>
    <w:rsid w:val="00333F6D"/>
    <w:rsid w:val="00334249"/>
    <w:rsid w:val="003370D2"/>
    <w:rsid w:val="00337B11"/>
    <w:rsid w:val="0034019B"/>
    <w:rsid w:val="0034240A"/>
    <w:rsid w:val="00342CE8"/>
    <w:rsid w:val="003434D4"/>
    <w:rsid w:val="0034350B"/>
    <w:rsid w:val="00343523"/>
    <w:rsid w:val="003438A1"/>
    <w:rsid w:val="00344610"/>
    <w:rsid w:val="00350AB6"/>
    <w:rsid w:val="0035787D"/>
    <w:rsid w:val="003605ED"/>
    <w:rsid w:val="003669F1"/>
    <w:rsid w:val="00366EC7"/>
    <w:rsid w:val="00367FE4"/>
    <w:rsid w:val="00371242"/>
    <w:rsid w:val="00371EAC"/>
    <w:rsid w:val="0037250A"/>
    <w:rsid w:val="003730DF"/>
    <w:rsid w:val="00374424"/>
    <w:rsid w:val="00375189"/>
    <w:rsid w:val="00377E20"/>
    <w:rsid w:val="003803B6"/>
    <w:rsid w:val="00381899"/>
    <w:rsid w:val="003819AA"/>
    <w:rsid w:val="0038375C"/>
    <w:rsid w:val="00383DE0"/>
    <w:rsid w:val="003843A1"/>
    <w:rsid w:val="003844CD"/>
    <w:rsid w:val="0038584A"/>
    <w:rsid w:val="00387C50"/>
    <w:rsid w:val="00387D95"/>
    <w:rsid w:val="00387E2B"/>
    <w:rsid w:val="00390FEA"/>
    <w:rsid w:val="003911A7"/>
    <w:rsid w:val="00392124"/>
    <w:rsid w:val="00393CFC"/>
    <w:rsid w:val="00394257"/>
    <w:rsid w:val="00394A38"/>
    <w:rsid w:val="0039695C"/>
    <w:rsid w:val="00397648"/>
    <w:rsid w:val="003A063A"/>
    <w:rsid w:val="003A10C4"/>
    <w:rsid w:val="003A1345"/>
    <w:rsid w:val="003A18A9"/>
    <w:rsid w:val="003A1E5C"/>
    <w:rsid w:val="003A2522"/>
    <w:rsid w:val="003A25F7"/>
    <w:rsid w:val="003A2784"/>
    <w:rsid w:val="003A40B7"/>
    <w:rsid w:val="003A6568"/>
    <w:rsid w:val="003A65D2"/>
    <w:rsid w:val="003A6A01"/>
    <w:rsid w:val="003B0295"/>
    <w:rsid w:val="003B03B4"/>
    <w:rsid w:val="003B06F3"/>
    <w:rsid w:val="003B1C0D"/>
    <w:rsid w:val="003B2686"/>
    <w:rsid w:val="003B39F8"/>
    <w:rsid w:val="003B3AC7"/>
    <w:rsid w:val="003B3FD4"/>
    <w:rsid w:val="003B44DD"/>
    <w:rsid w:val="003B5ACF"/>
    <w:rsid w:val="003B7448"/>
    <w:rsid w:val="003C0FEE"/>
    <w:rsid w:val="003C132D"/>
    <w:rsid w:val="003C133F"/>
    <w:rsid w:val="003C327B"/>
    <w:rsid w:val="003C39BB"/>
    <w:rsid w:val="003C4747"/>
    <w:rsid w:val="003C4764"/>
    <w:rsid w:val="003C4F1C"/>
    <w:rsid w:val="003D0E01"/>
    <w:rsid w:val="003D23C8"/>
    <w:rsid w:val="003D2710"/>
    <w:rsid w:val="003D2AD1"/>
    <w:rsid w:val="003D662A"/>
    <w:rsid w:val="003D6B4C"/>
    <w:rsid w:val="003D72E0"/>
    <w:rsid w:val="003D736C"/>
    <w:rsid w:val="003D7372"/>
    <w:rsid w:val="003E0BF8"/>
    <w:rsid w:val="003E17E7"/>
    <w:rsid w:val="003E18D0"/>
    <w:rsid w:val="003E2BBB"/>
    <w:rsid w:val="003E4340"/>
    <w:rsid w:val="003E461B"/>
    <w:rsid w:val="003E5CCD"/>
    <w:rsid w:val="003E6F2D"/>
    <w:rsid w:val="003E7B1C"/>
    <w:rsid w:val="003F0485"/>
    <w:rsid w:val="003F0A4D"/>
    <w:rsid w:val="003F1021"/>
    <w:rsid w:val="003F1406"/>
    <w:rsid w:val="003F1B94"/>
    <w:rsid w:val="003F2519"/>
    <w:rsid w:val="003F2922"/>
    <w:rsid w:val="003F30B9"/>
    <w:rsid w:val="003F74A9"/>
    <w:rsid w:val="003F74E6"/>
    <w:rsid w:val="003F7818"/>
    <w:rsid w:val="003F7CBD"/>
    <w:rsid w:val="004005B6"/>
    <w:rsid w:val="00400C5A"/>
    <w:rsid w:val="004013FF"/>
    <w:rsid w:val="00401C97"/>
    <w:rsid w:val="00402CE2"/>
    <w:rsid w:val="00403DCA"/>
    <w:rsid w:val="00403F15"/>
    <w:rsid w:val="00404C6B"/>
    <w:rsid w:val="00405325"/>
    <w:rsid w:val="00405B42"/>
    <w:rsid w:val="00406476"/>
    <w:rsid w:val="00406895"/>
    <w:rsid w:val="004071E9"/>
    <w:rsid w:val="00407CEB"/>
    <w:rsid w:val="0041132B"/>
    <w:rsid w:val="00412232"/>
    <w:rsid w:val="00412EC0"/>
    <w:rsid w:val="0041425C"/>
    <w:rsid w:val="0041543C"/>
    <w:rsid w:val="004209D8"/>
    <w:rsid w:val="0042221E"/>
    <w:rsid w:val="004229C3"/>
    <w:rsid w:val="00422F71"/>
    <w:rsid w:val="00423A21"/>
    <w:rsid w:val="00423F3D"/>
    <w:rsid w:val="00424B50"/>
    <w:rsid w:val="004268B9"/>
    <w:rsid w:val="00427510"/>
    <w:rsid w:val="0042753E"/>
    <w:rsid w:val="00427C68"/>
    <w:rsid w:val="0043006F"/>
    <w:rsid w:val="00430A1E"/>
    <w:rsid w:val="004341D0"/>
    <w:rsid w:val="004341D8"/>
    <w:rsid w:val="00434A43"/>
    <w:rsid w:val="0043517E"/>
    <w:rsid w:val="00435736"/>
    <w:rsid w:val="0044008C"/>
    <w:rsid w:val="00441882"/>
    <w:rsid w:val="00442158"/>
    <w:rsid w:val="0044293C"/>
    <w:rsid w:val="0044293F"/>
    <w:rsid w:val="004462CD"/>
    <w:rsid w:val="00446D7E"/>
    <w:rsid w:val="0044726A"/>
    <w:rsid w:val="00447795"/>
    <w:rsid w:val="00450395"/>
    <w:rsid w:val="004550B6"/>
    <w:rsid w:val="004554A6"/>
    <w:rsid w:val="0045596B"/>
    <w:rsid w:val="00455E30"/>
    <w:rsid w:val="004574CF"/>
    <w:rsid w:val="00457C05"/>
    <w:rsid w:val="00461445"/>
    <w:rsid w:val="00461C58"/>
    <w:rsid w:val="004631CF"/>
    <w:rsid w:val="00463289"/>
    <w:rsid w:val="0046341C"/>
    <w:rsid w:val="004639B4"/>
    <w:rsid w:val="004649FA"/>
    <w:rsid w:val="0046540E"/>
    <w:rsid w:val="00466AFA"/>
    <w:rsid w:val="00467B84"/>
    <w:rsid w:val="00467FAE"/>
    <w:rsid w:val="00470CB2"/>
    <w:rsid w:val="004748CC"/>
    <w:rsid w:val="00474FEF"/>
    <w:rsid w:val="004761CE"/>
    <w:rsid w:val="00476A10"/>
    <w:rsid w:val="00477869"/>
    <w:rsid w:val="00483098"/>
    <w:rsid w:val="004836EE"/>
    <w:rsid w:val="00485082"/>
    <w:rsid w:val="004850F2"/>
    <w:rsid w:val="00485A06"/>
    <w:rsid w:val="00485BE2"/>
    <w:rsid w:val="00485D51"/>
    <w:rsid w:val="00486E26"/>
    <w:rsid w:val="004871E9"/>
    <w:rsid w:val="00487500"/>
    <w:rsid w:val="004875AA"/>
    <w:rsid w:val="0049036D"/>
    <w:rsid w:val="0049213A"/>
    <w:rsid w:val="004930D2"/>
    <w:rsid w:val="00493927"/>
    <w:rsid w:val="0049403D"/>
    <w:rsid w:val="00494667"/>
    <w:rsid w:val="004951DB"/>
    <w:rsid w:val="004965B2"/>
    <w:rsid w:val="00497D3D"/>
    <w:rsid w:val="004A2894"/>
    <w:rsid w:val="004A28B9"/>
    <w:rsid w:val="004A2CB0"/>
    <w:rsid w:val="004A2E49"/>
    <w:rsid w:val="004A4011"/>
    <w:rsid w:val="004A482E"/>
    <w:rsid w:val="004A61E8"/>
    <w:rsid w:val="004A7288"/>
    <w:rsid w:val="004A72C3"/>
    <w:rsid w:val="004B0C9B"/>
    <w:rsid w:val="004B1046"/>
    <w:rsid w:val="004B1610"/>
    <w:rsid w:val="004B1678"/>
    <w:rsid w:val="004B16B4"/>
    <w:rsid w:val="004B1830"/>
    <w:rsid w:val="004B3172"/>
    <w:rsid w:val="004B4B86"/>
    <w:rsid w:val="004B5462"/>
    <w:rsid w:val="004B70F3"/>
    <w:rsid w:val="004B73FF"/>
    <w:rsid w:val="004B7CF9"/>
    <w:rsid w:val="004C01A3"/>
    <w:rsid w:val="004C1163"/>
    <w:rsid w:val="004C209D"/>
    <w:rsid w:val="004C21E0"/>
    <w:rsid w:val="004C3FB7"/>
    <w:rsid w:val="004C461E"/>
    <w:rsid w:val="004C554E"/>
    <w:rsid w:val="004C655F"/>
    <w:rsid w:val="004C71D5"/>
    <w:rsid w:val="004D059C"/>
    <w:rsid w:val="004D25AC"/>
    <w:rsid w:val="004D26B8"/>
    <w:rsid w:val="004D2CC7"/>
    <w:rsid w:val="004D4A30"/>
    <w:rsid w:val="004D60BE"/>
    <w:rsid w:val="004D617D"/>
    <w:rsid w:val="004D62D4"/>
    <w:rsid w:val="004D7420"/>
    <w:rsid w:val="004E2571"/>
    <w:rsid w:val="004E26C1"/>
    <w:rsid w:val="004E2B12"/>
    <w:rsid w:val="004E3832"/>
    <w:rsid w:val="004E3B4E"/>
    <w:rsid w:val="004E4A55"/>
    <w:rsid w:val="004E4E42"/>
    <w:rsid w:val="004E55EE"/>
    <w:rsid w:val="004E61AC"/>
    <w:rsid w:val="004E669A"/>
    <w:rsid w:val="004E6DBC"/>
    <w:rsid w:val="004E74AB"/>
    <w:rsid w:val="004F022A"/>
    <w:rsid w:val="004F239B"/>
    <w:rsid w:val="004F4CC1"/>
    <w:rsid w:val="004F4D7E"/>
    <w:rsid w:val="004F4E24"/>
    <w:rsid w:val="004F7F49"/>
    <w:rsid w:val="0050152A"/>
    <w:rsid w:val="00502297"/>
    <w:rsid w:val="00502B24"/>
    <w:rsid w:val="00502C6E"/>
    <w:rsid w:val="0050312D"/>
    <w:rsid w:val="00503FAE"/>
    <w:rsid w:val="005048D7"/>
    <w:rsid w:val="00504B76"/>
    <w:rsid w:val="00505F2B"/>
    <w:rsid w:val="00506722"/>
    <w:rsid w:val="0050762B"/>
    <w:rsid w:val="00510EE5"/>
    <w:rsid w:val="0051166F"/>
    <w:rsid w:val="00511E9A"/>
    <w:rsid w:val="0051292F"/>
    <w:rsid w:val="005141FE"/>
    <w:rsid w:val="005142F1"/>
    <w:rsid w:val="0051604B"/>
    <w:rsid w:val="005168CF"/>
    <w:rsid w:val="00516941"/>
    <w:rsid w:val="00516A81"/>
    <w:rsid w:val="00520264"/>
    <w:rsid w:val="005202EA"/>
    <w:rsid w:val="005236FE"/>
    <w:rsid w:val="005244B7"/>
    <w:rsid w:val="005255F5"/>
    <w:rsid w:val="0052738C"/>
    <w:rsid w:val="005279F3"/>
    <w:rsid w:val="005306C8"/>
    <w:rsid w:val="00531A72"/>
    <w:rsid w:val="00535053"/>
    <w:rsid w:val="005357A4"/>
    <w:rsid w:val="00536906"/>
    <w:rsid w:val="005374AC"/>
    <w:rsid w:val="00541BB9"/>
    <w:rsid w:val="00541EE3"/>
    <w:rsid w:val="00543E50"/>
    <w:rsid w:val="0055113E"/>
    <w:rsid w:val="00554368"/>
    <w:rsid w:val="00554C7F"/>
    <w:rsid w:val="0055500B"/>
    <w:rsid w:val="00555228"/>
    <w:rsid w:val="00555F62"/>
    <w:rsid w:val="00555FDE"/>
    <w:rsid w:val="00556835"/>
    <w:rsid w:val="0055724B"/>
    <w:rsid w:val="00560305"/>
    <w:rsid w:val="00560AE9"/>
    <w:rsid w:val="00560C0B"/>
    <w:rsid w:val="00560CB2"/>
    <w:rsid w:val="00560E1C"/>
    <w:rsid w:val="00562889"/>
    <w:rsid w:val="00564164"/>
    <w:rsid w:val="00564761"/>
    <w:rsid w:val="00564B17"/>
    <w:rsid w:val="00564B8A"/>
    <w:rsid w:val="0056687A"/>
    <w:rsid w:val="00566915"/>
    <w:rsid w:val="00566A8C"/>
    <w:rsid w:val="00566B47"/>
    <w:rsid w:val="00566F32"/>
    <w:rsid w:val="0056772F"/>
    <w:rsid w:val="00567801"/>
    <w:rsid w:val="005708F6"/>
    <w:rsid w:val="005714E1"/>
    <w:rsid w:val="00573912"/>
    <w:rsid w:val="00573DC4"/>
    <w:rsid w:val="0057564E"/>
    <w:rsid w:val="0057634C"/>
    <w:rsid w:val="005768A7"/>
    <w:rsid w:val="00576DC0"/>
    <w:rsid w:val="0058008A"/>
    <w:rsid w:val="00580179"/>
    <w:rsid w:val="00580F08"/>
    <w:rsid w:val="005822A7"/>
    <w:rsid w:val="00582CCE"/>
    <w:rsid w:val="0058318E"/>
    <w:rsid w:val="00583873"/>
    <w:rsid w:val="00584B23"/>
    <w:rsid w:val="00586825"/>
    <w:rsid w:val="005901BC"/>
    <w:rsid w:val="00590502"/>
    <w:rsid w:val="00590D45"/>
    <w:rsid w:val="0059151B"/>
    <w:rsid w:val="00592216"/>
    <w:rsid w:val="0059364E"/>
    <w:rsid w:val="005938AC"/>
    <w:rsid w:val="0059397B"/>
    <w:rsid w:val="005953FD"/>
    <w:rsid w:val="005956E9"/>
    <w:rsid w:val="00595D58"/>
    <w:rsid w:val="00596448"/>
    <w:rsid w:val="005A02ED"/>
    <w:rsid w:val="005A3DF9"/>
    <w:rsid w:val="005A3E6A"/>
    <w:rsid w:val="005A4288"/>
    <w:rsid w:val="005A499F"/>
    <w:rsid w:val="005A502D"/>
    <w:rsid w:val="005A68F4"/>
    <w:rsid w:val="005A7917"/>
    <w:rsid w:val="005B088D"/>
    <w:rsid w:val="005B095A"/>
    <w:rsid w:val="005B1663"/>
    <w:rsid w:val="005B20F0"/>
    <w:rsid w:val="005B32B4"/>
    <w:rsid w:val="005B32F4"/>
    <w:rsid w:val="005B3C6E"/>
    <w:rsid w:val="005B42E1"/>
    <w:rsid w:val="005B4A98"/>
    <w:rsid w:val="005B68C9"/>
    <w:rsid w:val="005C0824"/>
    <w:rsid w:val="005C1AA6"/>
    <w:rsid w:val="005C6B73"/>
    <w:rsid w:val="005C740A"/>
    <w:rsid w:val="005D09E3"/>
    <w:rsid w:val="005D1628"/>
    <w:rsid w:val="005D17EA"/>
    <w:rsid w:val="005D2253"/>
    <w:rsid w:val="005D23AF"/>
    <w:rsid w:val="005D2F27"/>
    <w:rsid w:val="005D3B41"/>
    <w:rsid w:val="005D40D5"/>
    <w:rsid w:val="005D47FA"/>
    <w:rsid w:val="005D6850"/>
    <w:rsid w:val="005D7623"/>
    <w:rsid w:val="005E307C"/>
    <w:rsid w:val="005E4F44"/>
    <w:rsid w:val="005E52B8"/>
    <w:rsid w:val="005E7E51"/>
    <w:rsid w:val="005F03D5"/>
    <w:rsid w:val="005F0770"/>
    <w:rsid w:val="005F1181"/>
    <w:rsid w:val="005F20BA"/>
    <w:rsid w:val="005F2700"/>
    <w:rsid w:val="005F30A0"/>
    <w:rsid w:val="005F41AF"/>
    <w:rsid w:val="005F514C"/>
    <w:rsid w:val="005F6D20"/>
    <w:rsid w:val="005F6E00"/>
    <w:rsid w:val="005F7A71"/>
    <w:rsid w:val="005F7C9A"/>
    <w:rsid w:val="006017D4"/>
    <w:rsid w:val="00602402"/>
    <w:rsid w:val="00606093"/>
    <w:rsid w:val="0060783F"/>
    <w:rsid w:val="00607CB9"/>
    <w:rsid w:val="00607DAF"/>
    <w:rsid w:val="00610740"/>
    <w:rsid w:val="00612618"/>
    <w:rsid w:val="0061441D"/>
    <w:rsid w:val="006144DF"/>
    <w:rsid w:val="006147CA"/>
    <w:rsid w:val="00614FF5"/>
    <w:rsid w:val="00615C8B"/>
    <w:rsid w:val="0062043B"/>
    <w:rsid w:val="00620527"/>
    <w:rsid w:val="0062053B"/>
    <w:rsid w:val="00620927"/>
    <w:rsid w:val="0062092E"/>
    <w:rsid w:val="00620A35"/>
    <w:rsid w:val="00620C55"/>
    <w:rsid w:val="00620C69"/>
    <w:rsid w:val="0062116D"/>
    <w:rsid w:val="00623306"/>
    <w:rsid w:val="00623E8C"/>
    <w:rsid w:val="00625E75"/>
    <w:rsid w:val="00626354"/>
    <w:rsid w:val="006271A3"/>
    <w:rsid w:val="00630CBE"/>
    <w:rsid w:val="006319B3"/>
    <w:rsid w:val="00631A43"/>
    <w:rsid w:val="00635E5A"/>
    <w:rsid w:val="00636C6A"/>
    <w:rsid w:val="00640954"/>
    <w:rsid w:val="00640C79"/>
    <w:rsid w:val="00643DDE"/>
    <w:rsid w:val="00644951"/>
    <w:rsid w:val="00644ECD"/>
    <w:rsid w:val="00645DA3"/>
    <w:rsid w:val="0064691B"/>
    <w:rsid w:val="0064732B"/>
    <w:rsid w:val="006477EC"/>
    <w:rsid w:val="00650039"/>
    <w:rsid w:val="00650591"/>
    <w:rsid w:val="00650965"/>
    <w:rsid w:val="00650C12"/>
    <w:rsid w:val="00650E84"/>
    <w:rsid w:val="00651CEC"/>
    <w:rsid w:val="00652EF0"/>
    <w:rsid w:val="00653B17"/>
    <w:rsid w:val="0065459F"/>
    <w:rsid w:val="00654B2E"/>
    <w:rsid w:val="00656584"/>
    <w:rsid w:val="00660038"/>
    <w:rsid w:val="00660D19"/>
    <w:rsid w:val="00662151"/>
    <w:rsid w:val="00662878"/>
    <w:rsid w:val="00663206"/>
    <w:rsid w:val="0066404C"/>
    <w:rsid w:val="0066411D"/>
    <w:rsid w:val="006641F1"/>
    <w:rsid w:val="00664551"/>
    <w:rsid w:val="00665B87"/>
    <w:rsid w:val="00665C3B"/>
    <w:rsid w:val="00665CA5"/>
    <w:rsid w:val="006666F6"/>
    <w:rsid w:val="00666D25"/>
    <w:rsid w:val="00666D98"/>
    <w:rsid w:val="006678CC"/>
    <w:rsid w:val="00671349"/>
    <w:rsid w:val="00671E88"/>
    <w:rsid w:val="00672225"/>
    <w:rsid w:val="00672E25"/>
    <w:rsid w:val="00673672"/>
    <w:rsid w:val="00673B11"/>
    <w:rsid w:val="00675086"/>
    <w:rsid w:val="0067538C"/>
    <w:rsid w:val="006753C6"/>
    <w:rsid w:val="00675D4C"/>
    <w:rsid w:val="00675FDD"/>
    <w:rsid w:val="00676329"/>
    <w:rsid w:val="00676964"/>
    <w:rsid w:val="00677B48"/>
    <w:rsid w:val="00680F01"/>
    <w:rsid w:val="0068156F"/>
    <w:rsid w:val="00681A35"/>
    <w:rsid w:val="00681DB6"/>
    <w:rsid w:val="0068257B"/>
    <w:rsid w:val="00682C1D"/>
    <w:rsid w:val="00682E24"/>
    <w:rsid w:val="00685A78"/>
    <w:rsid w:val="00685BFC"/>
    <w:rsid w:val="00685F17"/>
    <w:rsid w:val="0068645D"/>
    <w:rsid w:val="00686791"/>
    <w:rsid w:val="0068720F"/>
    <w:rsid w:val="006910D5"/>
    <w:rsid w:val="00691BB1"/>
    <w:rsid w:val="00691E98"/>
    <w:rsid w:val="006925A9"/>
    <w:rsid w:val="006925B8"/>
    <w:rsid w:val="006926E9"/>
    <w:rsid w:val="006926EC"/>
    <w:rsid w:val="00692D17"/>
    <w:rsid w:val="00693017"/>
    <w:rsid w:val="00693406"/>
    <w:rsid w:val="00694EAF"/>
    <w:rsid w:val="00694EDB"/>
    <w:rsid w:val="00694F9E"/>
    <w:rsid w:val="006976A4"/>
    <w:rsid w:val="006A19A2"/>
    <w:rsid w:val="006A1C7E"/>
    <w:rsid w:val="006A3AF5"/>
    <w:rsid w:val="006A4E09"/>
    <w:rsid w:val="006A5165"/>
    <w:rsid w:val="006A62B2"/>
    <w:rsid w:val="006B005F"/>
    <w:rsid w:val="006B00FC"/>
    <w:rsid w:val="006B1C26"/>
    <w:rsid w:val="006B3770"/>
    <w:rsid w:val="006B38C6"/>
    <w:rsid w:val="006B3BA5"/>
    <w:rsid w:val="006B612E"/>
    <w:rsid w:val="006C106F"/>
    <w:rsid w:val="006C109E"/>
    <w:rsid w:val="006C126C"/>
    <w:rsid w:val="006C1A54"/>
    <w:rsid w:val="006C2292"/>
    <w:rsid w:val="006C2910"/>
    <w:rsid w:val="006C49A0"/>
    <w:rsid w:val="006C4B61"/>
    <w:rsid w:val="006C50B9"/>
    <w:rsid w:val="006C7710"/>
    <w:rsid w:val="006C789D"/>
    <w:rsid w:val="006C790B"/>
    <w:rsid w:val="006C7A09"/>
    <w:rsid w:val="006D0190"/>
    <w:rsid w:val="006D0194"/>
    <w:rsid w:val="006D05EB"/>
    <w:rsid w:val="006D167B"/>
    <w:rsid w:val="006D1DEE"/>
    <w:rsid w:val="006D562E"/>
    <w:rsid w:val="006E0398"/>
    <w:rsid w:val="006E1439"/>
    <w:rsid w:val="006E19FB"/>
    <w:rsid w:val="006E25BF"/>
    <w:rsid w:val="006E406F"/>
    <w:rsid w:val="006E477C"/>
    <w:rsid w:val="006E50DF"/>
    <w:rsid w:val="006E637D"/>
    <w:rsid w:val="006F2D18"/>
    <w:rsid w:val="006F3A65"/>
    <w:rsid w:val="006F3C07"/>
    <w:rsid w:val="006F4575"/>
    <w:rsid w:val="006F471F"/>
    <w:rsid w:val="006F7F7B"/>
    <w:rsid w:val="00700DA5"/>
    <w:rsid w:val="0070312E"/>
    <w:rsid w:val="007046ED"/>
    <w:rsid w:val="007049EE"/>
    <w:rsid w:val="00704CE7"/>
    <w:rsid w:val="007055B5"/>
    <w:rsid w:val="007066D6"/>
    <w:rsid w:val="00706851"/>
    <w:rsid w:val="00706DEF"/>
    <w:rsid w:val="00707F03"/>
    <w:rsid w:val="007114D8"/>
    <w:rsid w:val="00717608"/>
    <w:rsid w:val="00720427"/>
    <w:rsid w:val="007223BF"/>
    <w:rsid w:val="0072490A"/>
    <w:rsid w:val="00725E3A"/>
    <w:rsid w:val="007272E8"/>
    <w:rsid w:val="00727BC2"/>
    <w:rsid w:val="00730BAC"/>
    <w:rsid w:val="00731CD4"/>
    <w:rsid w:val="007324EA"/>
    <w:rsid w:val="00734456"/>
    <w:rsid w:val="00734A3F"/>
    <w:rsid w:val="0073729E"/>
    <w:rsid w:val="00737457"/>
    <w:rsid w:val="0074167A"/>
    <w:rsid w:val="00741F01"/>
    <w:rsid w:val="00742F61"/>
    <w:rsid w:val="00745C12"/>
    <w:rsid w:val="0074639A"/>
    <w:rsid w:val="00746D3E"/>
    <w:rsid w:val="0075147D"/>
    <w:rsid w:val="00752526"/>
    <w:rsid w:val="00752C94"/>
    <w:rsid w:val="007532D7"/>
    <w:rsid w:val="007539E6"/>
    <w:rsid w:val="00753D4C"/>
    <w:rsid w:val="00760412"/>
    <w:rsid w:val="00760602"/>
    <w:rsid w:val="007613D7"/>
    <w:rsid w:val="007623A2"/>
    <w:rsid w:val="00762AE2"/>
    <w:rsid w:val="00763359"/>
    <w:rsid w:val="007662B3"/>
    <w:rsid w:val="007666C1"/>
    <w:rsid w:val="00767537"/>
    <w:rsid w:val="0076754C"/>
    <w:rsid w:val="007734C2"/>
    <w:rsid w:val="00773793"/>
    <w:rsid w:val="007742F0"/>
    <w:rsid w:val="00775D7A"/>
    <w:rsid w:val="00776390"/>
    <w:rsid w:val="007779D1"/>
    <w:rsid w:val="00781AF9"/>
    <w:rsid w:val="00782133"/>
    <w:rsid w:val="007835C0"/>
    <w:rsid w:val="00783E8B"/>
    <w:rsid w:val="00785DCD"/>
    <w:rsid w:val="0078656D"/>
    <w:rsid w:val="007873ED"/>
    <w:rsid w:val="0079152D"/>
    <w:rsid w:val="007917EC"/>
    <w:rsid w:val="00792892"/>
    <w:rsid w:val="007928D5"/>
    <w:rsid w:val="00792BFA"/>
    <w:rsid w:val="00792E9F"/>
    <w:rsid w:val="0079426F"/>
    <w:rsid w:val="0079576A"/>
    <w:rsid w:val="00795994"/>
    <w:rsid w:val="00796A89"/>
    <w:rsid w:val="007A0348"/>
    <w:rsid w:val="007A27ED"/>
    <w:rsid w:val="007A36C8"/>
    <w:rsid w:val="007A3DE6"/>
    <w:rsid w:val="007A4A21"/>
    <w:rsid w:val="007A4C86"/>
    <w:rsid w:val="007A4DE5"/>
    <w:rsid w:val="007A5A73"/>
    <w:rsid w:val="007A5DD7"/>
    <w:rsid w:val="007A5E17"/>
    <w:rsid w:val="007A6630"/>
    <w:rsid w:val="007B07F7"/>
    <w:rsid w:val="007B34C8"/>
    <w:rsid w:val="007B3BA2"/>
    <w:rsid w:val="007B42C5"/>
    <w:rsid w:val="007B4D40"/>
    <w:rsid w:val="007B5C7E"/>
    <w:rsid w:val="007B6259"/>
    <w:rsid w:val="007B70A2"/>
    <w:rsid w:val="007B798F"/>
    <w:rsid w:val="007C03FB"/>
    <w:rsid w:val="007C207B"/>
    <w:rsid w:val="007C280E"/>
    <w:rsid w:val="007C2DD4"/>
    <w:rsid w:val="007C3650"/>
    <w:rsid w:val="007C4413"/>
    <w:rsid w:val="007C45BA"/>
    <w:rsid w:val="007C54A7"/>
    <w:rsid w:val="007D0658"/>
    <w:rsid w:val="007D20CC"/>
    <w:rsid w:val="007D25F1"/>
    <w:rsid w:val="007D3888"/>
    <w:rsid w:val="007D41CB"/>
    <w:rsid w:val="007D42D7"/>
    <w:rsid w:val="007D4B04"/>
    <w:rsid w:val="007D51E5"/>
    <w:rsid w:val="007D5490"/>
    <w:rsid w:val="007D5F2C"/>
    <w:rsid w:val="007D71FD"/>
    <w:rsid w:val="007D736B"/>
    <w:rsid w:val="007E0C74"/>
    <w:rsid w:val="007E2A19"/>
    <w:rsid w:val="007E2A9E"/>
    <w:rsid w:val="007E35D8"/>
    <w:rsid w:val="007E3918"/>
    <w:rsid w:val="007E686C"/>
    <w:rsid w:val="007E6AAD"/>
    <w:rsid w:val="007E7881"/>
    <w:rsid w:val="007F1ABB"/>
    <w:rsid w:val="007F2047"/>
    <w:rsid w:val="007F3497"/>
    <w:rsid w:val="007F69B0"/>
    <w:rsid w:val="007F6C16"/>
    <w:rsid w:val="007F70DC"/>
    <w:rsid w:val="0080031B"/>
    <w:rsid w:val="008006CF"/>
    <w:rsid w:val="00801B76"/>
    <w:rsid w:val="00801FC0"/>
    <w:rsid w:val="00802253"/>
    <w:rsid w:val="0080247F"/>
    <w:rsid w:val="0080454C"/>
    <w:rsid w:val="0080467A"/>
    <w:rsid w:val="00805798"/>
    <w:rsid w:val="00806058"/>
    <w:rsid w:val="00807B64"/>
    <w:rsid w:val="0081091C"/>
    <w:rsid w:val="0081217D"/>
    <w:rsid w:val="008140DD"/>
    <w:rsid w:val="00816F6D"/>
    <w:rsid w:val="00817F18"/>
    <w:rsid w:val="008219AD"/>
    <w:rsid w:val="00821C3C"/>
    <w:rsid w:val="00822EAD"/>
    <w:rsid w:val="008254FE"/>
    <w:rsid w:val="0082557F"/>
    <w:rsid w:val="00826605"/>
    <w:rsid w:val="00826917"/>
    <w:rsid w:val="00826B16"/>
    <w:rsid w:val="00827FB4"/>
    <w:rsid w:val="00830C9E"/>
    <w:rsid w:val="00831041"/>
    <w:rsid w:val="008316C9"/>
    <w:rsid w:val="0083275B"/>
    <w:rsid w:val="008328BE"/>
    <w:rsid w:val="00832F68"/>
    <w:rsid w:val="00833CEF"/>
    <w:rsid w:val="00833DAB"/>
    <w:rsid w:val="00833FC0"/>
    <w:rsid w:val="0083515A"/>
    <w:rsid w:val="0083587D"/>
    <w:rsid w:val="00835906"/>
    <w:rsid w:val="008371CF"/>
    <w:rsid w:val="008435C3"/>
    <w:rsid w:val="008436FD"/>
    <w:rsid w:val="0084389A"/>
    <w:rsid w:val="0084518E"/>
    <w:rsid w:val="008456F8"/>
    <w:rsid w:val="008459E9"/>
    <w:rsid w:val="00845FB2"/>
    <w:rsid w:val="00851F01"/>
    <w:rsid w:val="0085474E"/>
    <w:rsid w:val="00854E6D"/>
    <w:rsid w:val="0085556D"/>
    <w:rsid w:val="00857B95"/>
    <w:rsid w:val="00857BA7"/>
    <w:rsid w:val="00860E3A"/>
    <w:rsid w:val="00861A51"/>
    <w:rsid w:val="00865F5D"/>
    <w:rsid w:val="008700AC"/>
    <w:rsid w:val="00870882"/>
    <w:rsid w:val="00870F7B"/>
    <w:rsid w:val="0087198C"/>
    <w:rsid w:val="00872FB8"/>
    <w:rsid w:val="00873184"/>
    <w:rsid w:val="00874A3C"/>
    <w:rsid w:val="00874C99"/>
    <w:rsid w:val="00874D3C"/>
    <w:rsid w:val="0087624D"/>
    <w:rsid w:val="008767FE"/>
    <w:rsid w:val="0087737B"/>
    <w:rsid w:val="008775CD"/>
    <w:rsid w:val="00880050"/>
    <w:rsid w:val="008815BB"/>
    <w:rsid w:val="008837AE"/>
    <w:rsid w:val="0088606C"/>
    <w:rsid w:val="00891496"/>
    <w:rsid w:val="00892086"/>
    <w:rsid w:val="008921E9"/>
    <w:rsid w:val="008924A6"/>
    <w:rsid w:val="00892C1F"/>
    <w:rsid w:val="008942BE"/>
    <w:rsid w:val="008945BF"/>
    <w:rsid w:val="008957E8"/>
    <w:rsid w:val="00896270"/>
    <w:rsid w:val="00897805"/>
    <w:rsid w:val="00897BC9"/>
    <w:rsid w:val="008A0969"/>
    <w:rsid w:val="008A0D0F"/>
    <w:rsid w:val="008A17E1"/>
    <w:rsid w:val="008A23A7"/>
    <w:rsid w:val="008A4C2C"/>
    <w:rsid w:val="008A686A"/>
    <w:rsid w:val="008A6CBE"/>
    <w:rsid w:val="008A6D65"/>
    <w:rsid w:val="008B0046"/>
    <w:rsid w:val="008B0530"/>
    <w:rsid w:val="008B0831"/>
    <w:rsid w:val="008B1866"/>
    <w:rsid w:val="008B20F6"/>
    <w:rsid w:val="008B3F14"/>
    <w:rsid w:val="008B4FC4"/>
    <w:rsid w:val="008B50FE"/>
    <w:rsid w:val="008B5440"/>
    <w:rsid w:val="008B6EF8"/>
    <w:rsid w:val="008B785B"/>
    <w:rsid w:val="008C1035"/>
    <w:rsid w:val="008C14F2"/>
    <w:rsid w:val="008C4D76"/>
    <w:rsid w:val="008C55B6"/>
    <w:rsid w:val="008C5790"/>
    <w:rsid w:val="008C5F2B"/>
    <w:rsid w:val="008C6FA5"/>
    <w:rsid w:val="008C7EC0"/>
    <w:rsid w:val="008D231D"/>
    <w:rsid w:val="008D4038"/>
    <w:rsid w:val="008D4C28"/>
    <w:rsid w:val="008D59B4"/>
    <w:rsid w:val="008D5A0C"/>
    <w:rsid w:val="008D5BB1"/>
    <w:rsid w:val="008D5BCB"/>
    <w:rsid w:val="008D7962"/>
    <w:rsid w:val="008E0BAF"/>
    <w:rsid w:val="008E174F"/>
    <w:rsid w:val="008E1C4F"/>
    <w:rsid w:val="008E3B6A"/>
    <w:rsid w:val="008E5AE7"/>
    <w:rsid w:val="008E5F6E"/>
    <w:rsid w:val="008E7216"/>
    <w:rsid w:val="008E723B"/>
    <w:rsid w:val="008E7521"/>
    <w:rsid w:val="008F02CB"/>
    <w:rsid w:val="008F0CFF"/>
    <w:rsid w:val="008F2477"/>
    <w:rsid w:val="008F38AE"/>
    <w:rsid w:val="008F5D48"/>
    <w:rsid w:val="008F5D9E"/>
    <w:rsid w:val="008F600E"/>
    <w:rsid w:val="008F70A7"/>
    <w:rsid w:val="00900684"/>
    <w:rsid w:val="00900E59"/>
    <w:rsid w:val="00901B1F"/>
    <w:rsid w:val="009023DA"/>
    <w:rsid w:val="00904073"/>
    <w:rsid w:val="00904D6A"/>
    <w:rsid w:val="00906D03"/>
    <w:rsid w:val="00907E9B"/>
    <w:rsid w:val="00910236"/>
    <w:rsid w:val="00910B04"/>
    <w:rsid w:val="00910FEA"/>
    <w:rsid w:val="00912191"/>
    <w:rsid w:val="0091431D"/>
    <w:rsid w:val="0091457F"/>
    <w:rsid w:val="00914D9D"/>
    <w:rsid w:val="00914E23"/>
    <w:rsid w:val="00916CCA"/>
    <w:rsid w:val="00916ECD"/>
    <w:rsid w:val="00917D7A"/>
    <w:rsid w:val="009202B3"/>
    <w:rsid w:val="00920F0C"/>
    <w:rsid w:val="009216AB"/>
    <w:rsid w:val="00923D42"/>
    <w:rsid w:val="00924366"/>
    <w:rsid w:val="009243BB"/>
    <w:rsid w:val="009248EF"/>
    <w:rsid w:val="00924B73"/>
    <w:rsid w:val="00924EAF"/>
    <w:rsid w:val="00925584"/>
    <w:rsid w:val="00931C18"/>
    <w:rsid w:val="00931C25"/>
    <w:rsid w:val="009323AE"/>
    <w:rsid w:val="00935407"/>
    <w:rsid w:val="00936678"/>
    <w:rsid w:val="00936774"/>
    <w:rsid w:val="00936991"/>
    <w:rsid w:val="009372B5"/>
    <w:rsid w:val="009376CB"/>
    <w:rsid w:val="00943282"/>
    <w:rsid w:val="009441CD"/>
    <w:rsid w:val="00944432"/>
    <w:rsid w:val="009460C8"/>
    <w:rsid w:val="00946513"/>
    <w:rsid w:val="0095025A"/>
    <w:rsid w:val="009510D8"/>
    <w:rsid w:val="009523E2"/>
    <w:rsid w:val="0095634A"/>
    <w:rsid w:val="00956E98"/>
    <w:rsid w:val="00960664"/>
    <w:rsid w:val="00961577"/>
    <w:rsid w:val="00961A78"/>
    <w:rsid w:val="00962A74"/>
    <w:rsid w:val="00963D63"/>
    <w:rsid w:val="009644DD"/>
    <w:rsid w:val="009648E8"/>
    <w:rsid w:val="00964EF7"/>
    <w:rsid w:val="00964FA1"/>
    <w:rsid w:val="00966980"/>
    <w:rsid w:val="00967495"/>
    <w:rsid w:val="009706E0"/>
    <w:rsid w:val="009727AC"/>
    <w:rsid w:val="009734A8"/>
    <w:rsid w:val="00973690"/>
    <w:rsid w:val="0097498D"/>
    <w:rsid w:val="009757B1"/>
    <w:rsid w:val="009763F3"/>
    <w:rsid w:val="00976793"/>
    <w:rsid w:val="009801D2"/>
    <w:rsid w:val="009808AA"/>
    <w:rsid w:val="00980A53"/>
    <w:rsid w:val="009816F5"/>
    <w:rsid w:val="00981B8C"/>
    <w:rsid w:val="00981B92"/>
    <w:rsid w:val="00985105"/>
    <w:rsid w:val="00985E6C"/>
    <w:rsid w:val="00987BBD"/>
    <w:rsid w:val="009907D3"/>
    <w:rsid w:val="009911A3"/>
    <w:rsid w:val="00991799"/>
    <w:rsid w:val="00991FF4"/>
    <w:rsid w:val="00992C8C"/>
    <w:rsid w:val="009934EE"/>
    <w:rsid w:val="00997901"/>
    <w:rsid w:val="009A09F7"/>
    <w:rsid w:val="009A121F"/>
    <w:rsid w:val="009A1C92"/>
    <w:rsid w:val="009A3508"/>
    <w:rsid w:val="009A3820"/>
    <w:rsid w:val="009A52F7"/>
    <w:rsid w:val="009A5D24"/>
    <w:rsid w:val="009B2079"/>
    <w:rsid w:val="009B5C15"/>
    <w:rsid w:val="009B7C78"/>
    <w:rsid w:val="009C124F"/>
    <w:rsid w:val="009C15A2"/>
    <w:rsid w:val="009C252E"/>
    <w:rsid w:val="009C2EC7"/>
    <w:rsid w:val="009C45C5"/>
    <w:rsid w:val="009C47A0"/>
    <w:rsid w:val="009C49D4"/>
    <w:rsid w:val="009C5800"/>
    <w:rsid w:val="009C6DB2"/>
    <w:rsid w:val="009C7076"/>
    <w:rsid w:val="009C7347"/>
    <w:rsid w:val="009C7F7B"/>
    <w:rsid w:val="009D0B45"/>
    <w:rsid w:val="009D0CE9"/>
    <w:rsid w:val="009D1353"/>
    <w:rsid w:val="009D18DB"/>
    <w:rsid w:val="009D1CF2"/>
    <w:rsid w:val="009D36BB"/>
    <w:rsid w:val="009D67C5"/>
    <w:rsid w:val="009D70E7"/>
    <w:rsid w:val="009D788E"/>
    <w:rsid w:val="009D7A14"/>
    <w:rsid w:val="009D7BD8"/>
    <w:rsid w:val="009D7CF6"/>
    <w:rsid w:val="009E0BB0"/>
    <w:rsid w:val="009E13F7"/>
    <w:rsid w:val="009E1AB9"/>
    <w:rsid w:val="009E23AA"/>
    <w:rsid w:val="009E74C7"/>
    <w:rsid w:val="009F01EF"/>
    <w:rsid w:val="009F10AD"/>
    <w:rsid w:val="009F122D"/>
    <w:rsid w:val="009F17E5"/>
    <w:rsid w:val="009F1D04"/>
    <w:rsid w:val="009F1D47"/>
    <w:rsid w:val="009F45E3"/>
    <w:rsid w:val="009F4D30"/>
    <w:rsid w:val="009F620C"/>
    <w:rsid w:val="009F6DF8"/>
    <w:rsid w:val="009F7AA8"/>
    <w:rsid w:val="009F7CAE"/>
    <w:rsid w:val="00A01AA1"/>
    <w:rsid w:val="00A02A7A"/>
    <w:rsid w:val="00A02BC7"/>
    <w:rsid w:val="00A03752"/>
    <w:rsid w:val="00A04205"/>
    <w:rsid w:val="00A042F2"/>
    <w:rsid w:val="00A04F0D"/>
    <w:rsid w:val="00A05805"/>
    <w:rsid w:val="00A06932"/>
    <w:rsid w:val="00A0725F"/>
    <w:rsid w:val="00A078DF"/>
    <w:rsid w:val="00A07D19"/>
    <w:rsid w:val="00A10787"/>
    <w:rsid w:val="00A11B68"/>
    <w:rsid w:val="00A11D0C"/>
    <w:rsid w:val="00A11E84"/>
    <w:rsid w:val="00A139A3"/>
    <w:rsid w:val="00A13F42"/>
    <w:rsid w:val="00A15981"/>
    <w:rsid w:val="00A20BFB"/>
    <w:rsid w:val="00A20C8C"/>
    <w:rsid w:val="00A21420"/>
    <w:rsid w:val="00A21B35"/>
    <w:rsid w:val="00A25BF2"/>
    <w:rsid w:val="00A25FDF"/>
    <w:rsid w:val="00A30100"/>
    <w:rsid w:val="00A310FB"/>
    <w:rsid w:val="00A3124C"/>
    <w:rsid w:val="00A31F5E"/>
    <w:rsid w:val="00A35B20"/>
    <w:rsid w:val="00A35DC4"/>
    <w:rsid w:val="00A360BD"/>
    <w:rsid w:val="00A36F91"/>
    <w:rsid w:val="00A4041D"/>
    <w:rsid w:val="00A40A87"/>
    <w:rsid w:val="00A4170D"/>
    <w:rsid w:val="00A42CF6"/>
    <w:rsid w:val="00A45E00"/>
    <w:rsid w:val="00A47311"/>
    <w:rsid w:val="00A47848"/>
    <w:rsid w:val="00A47A4D"/>
    <w:rsid w:val="00A52642"/>
    <w:rsid w:val="00A52923"/>
    <w:rsid w:val="00A52DF2"/>
    <w:rsid w:val="00A53A13"/>
    <w:rsid w:val="00A53ED1"/>
    <w:rsid w:val="00A55D38"/>
    <w:rsid w:val="00A55E36"/>
    <w:rsid w:val="00A57386"/>
    <w:rsid w:val="00A60F68"/>
    <w:rsid w:val="00A6482E"/>
    <w:rsid w:val="00A65E0B"/>
    <w:rsid w:val="00A66381"/>
    <w:rsid w:val="00A67A2C"/>
    <w:rsid w:val="00A7026E"/>
    <w:rsid w:val="00A70791"/>
    <w:rsid w:val="00A70ED0"/>
    <w:rsid w:val="00A71003"/>
    <w:rsid w:val="00A71443"/>
    <w:rsid w:val="00A72418"/>
    <w:rsid w:val="00A72538"/>
    <w:rsid w:val="00A73048"/>
    <w:rsid w:val="00A736C9"/>
    <w:rsid w:val="00A73A75"/>
    <w:rsid w:val="00A73CE2"/>
    <w:rsid w:val="00A73F66"/>
    <w:rsid w:val="00A73FDA"/>
    <w:rsid w:val="00A746F8"/>
    <w:rsid w:val="00A7609F"/>
    <w:rsid w:val="00A76673"/>
    <w:rsid w:val="00A76AF1"/>
    <w:rsid w:val="00A80612"/>
    <w:rsid w:val="00A80BD7"/>
    <w:rsid w:val="00A80CF7"/>
    <w:rsid w:val="00A81979"/>
    <w:rsid w:val="00A82040"/>
    <w:rsid w:val="00A82384"/>
    <w:rsid w:val="00A836AD"/>
    <w:rsid w:val="00A84440"/>
    <w:rsid w:val="00A8464D"/>
    <w:rsid w:val="00A90277"/>
    <w:rsid w:val="00A922DB"/>
    <w:rsid w:val="00A92AAC"/>
    <w:rsid w:val="00A935E0"/>
    <w:rsid w:val="00A938D8"/>
    <w:rsid w:val="00A96288"/>
    <w:rsid w:val="00A97819"/>
    <w:rsid w:val="00A97AB0"/>
    <w:rsid w:val="00AA0451"/>
    <w:rsid w:val="00AA155B"/>
    <w:rsid w:val="00AA2504"/>
    <w:rsid w:val="00AA2AC3"/>
    <w:rsid w:val="00AA4223"/>
    <w:rsid w:val="00AA47A4"/>
    <w:rsid w:val="00AA49EA"/>
    <w:rsid w:val="00AA54A9"/>
    <w:rsid w:val="00AA5CB0"/>
    <w:rsid w:val="00AA633B"/>
    <w:rsid w:val="00AA6804"/>
    <w:rsid w:val="00AA6ED5"/>
    <w:rsid w:val="00AB2F36"/>
    <w:rsid w:val="00AB3AF8"/>
    <w:rsid w:val="00AB4A29"/>
    <w:rsid w:val="00AB52EE"/>
    <w:rsid w:val="00AB5583"/>
    <w:rsid w:val="00AB625A"/>
    <w:rsid w:val="00AB71D3"/>
    <w:rsid w:val="00AB785C"/>
    <w:rsid w:val="00AC176F"/>
    <w:rsid w:val="00AC2651"/>
    <w:rsid w:val="00AC55DE"/>
    <w:rsid w:val="00AC66A9"/>
    <w:rsid w:val="00AC67C4"/>
    <w:rsid w:val="00AC7F14"/>
    <w:rsid w:val="00AD0267"/>
    <w:rsid w:val="00AD0A60"/>
    <w:rsid w:val="00AD0B12"/>
    <w:rsid w:val="00AD2477"/>
    <w:rsid w:val="00AD3077"/>
    <w:rsid w:val="00AD3C04"/>
    <w:rsid w:val="00AD41E5"/>
    <w:rsid w:val="00AD4978"/>
    <w:rsid w:val="00AD4D36"/>
    <w:rsid w:val="00AD4D4C"/>
    <w:rsid w:val="00AD5993"/>
    <w:rsid w:val="00AE08B4"/>
    <w:rsid w:val="00AE24BB"/>
    <w:rsid w:val="00AE2A9D"/>
    <w:rsid w:val="00AE2AC9"/>
    <w:rsid w:val="00AE3028"/>
    <w:rsid w:val="00AE3126"/>
    <w:rsid w:val="00AE3177"/>
    <w:rsid w:val="00AE37A7"/>
    <w:rsid w:val="00AE38D8"/>
    <w:rsid w:val="00AE3B5A"/>
    <w:rsid w:val="00AE3F0E"/>
    <w:rsid w:val="00AE5B51"/>
    <w:rsid w:val="00AE6A1B"/>
    <w:rsid w:val="00AE7205"/>
    <w:rsid w:val="00AE7C92"/>
    <w:rsid w:val="00AF2360"/>
    <w:rsid w:val="00AF474E"/>
    <w:rsid w:val="00AF6DB0"/>
    <w:rsid w:val="00AF77F5"/>
    <w:rsid w:val="00B01B99"/>
    <w:rsid w:val="00B022C1"/>
    <w:rsid w:val="00B07535"/>
    <w:rsid w:val="00B10B20"/>
    <w:rsid w:val="00B10BEF"/>
    <w:rsid w:val="00B11FA7"/>
    <w:rsid w:val="00B14F5E"/>
    <w:rsid w:val="00B156C3"/>
    <w:rsid w:val="00B204F9"/>
    <w:rsid w:val="00B20D91"/>
    <w:rsid w:val="00B21782"/>
    <w:rsid w:val="00B217BF"/>
    <w:rsid w:val="00B22628"/>
    <w:rsid w:val="00B262CC"/>
    <w:rsid w:val="00B26FD9"/>
    <w:rsid w:val="00B278AE"/>
    <w:rsid w:val="00B27B3A"/>
    <w:rsid w:val="00B30AB7"/>
    <w:rsid w:val="00B30DAD"/>
    <w:rsid w:val="00B3256D"/>
    <w:rsid w:val="00B326BB"/>
    <w:rsid w:val="00B32CEE"/>
    <w:rsid w:val="00B34E7F"/>
    <w:rsid w:val="00B3577A"/>
    <w:rsid w:val="00B37BFF"/>
    <w:rsid w:val="00B415BA"/>
    <w:rsid w:val="00B417FD"/>
    <w:rsid w:val="00B41E04"/>
    <w:rsid w:val="00B447BF"/>
    <w:rsid w:val="00B448E7"/>
    <w:rsid w:val="00B45B44"/>
    <w:rsid w:val="00B47657"/>
    <w:rsid w:val="00B51268"/>
    <w:rsid w:val="00B51EEC"/>
    <w:rsid w:val="00B52A6C"/>
    <w:rsid w:val="00B535D4"/>
    <w:rsid w:val="00B55963"/>
    <w:rsid w:val="00B55FF2"/>
    <w:rsid w:val="00B56288"/>
    <w:rsid w:val="00B5665E"/>
    <w:rsid w:val="00B56C02"/>
    <w:rsid w:val="00B57413"/>
    <w:rsid w:val="00B57EFA"/>
    <w:rsid w:val="00B63782"/>
    <w:rsid w:val="00B637FB"/>
    <w:rsid w:val="00B642EA"/>
    <w:rsid w:val="00B64B9A"/>
    <w:rsid w:val="00B66249"/>
    <w:rsid w:val="00B66FAC"/>
    <w:rsid w:val="00B67FB7"/>
    <w:rsid w:val="00B708F5"/>
    <w:rsid w:val="00B71D61"/>
    <w:rsid w:val="00B7204F"/>
    <w:rsid w:val="00B73B13"/>
    <w:rsid w:val="00B742D7"/>
    <w:rsid w:val="00B74B5C"/>
    <w:rsid w:val="00B75F1E"/>
    <w:rsid w:val="00B778A0"/>
    <w:rsid w:val="00B81055"/>
    <w:rsid w:val="00B8132B"/>
    <w:rsid w:val="00B8255A"/>
    <w:rsid w:val="00B82CD0"/>
    <w:rsid w:val="00B83190"/>
    <w:rsid w:val="00B844F6"/>
    <w:rsid w:val="00B84E72"/>
    <w:rsid w:val="00B8589B"/>
    <w:rsid w:val="00B85B67"/>
    <w:rsid w:val="00B8759F"/>
    <w:rsid w:val="00B87B16"/>
    <w:rsid w:val="00B90D81"/>
    <w:rsid w:val="00B91375"/>
    <w:rsid w:val="00B9165F"/>
    <w:rsid w:val="00B91EE3"/>
    <w:rsid w:val="00B928FE"/>
    <w:rsid w:val="00B95210"/>
    <w:rsid w:val="00B95486"/>
    <w:rsid w:val="00B95B6C"/>
    <w:rsid w:val="00B9616D"/>
    <w:rsid w:val="00B9624D"/>
    <w:rsid w:val="00B964B2"/>
    <w:rsid w:val="00B97DAC"/>
    <w:rsid w:val="00BA1ED3"/>
    <w:rsid w:val="00BA2A3A"/>
    <w:rsid w:val="00BA3743"/>
    <w:rsid w:val="00BA4D5F"/>
    <w:rsid w:val="00BA5033"/>
    <w:rsid w:val="00BA607E"/>
    <w:rsid w:val="00BA70C5"/>
    <w:rsid w:val="00BA74AA"/>
    <w:rsid w:val="00BB0109"/>
    <w:rsid w:val="00BB0459"/>
    <w:rsid w:val="00BB094D"/>
    <w:rsid w:val="00BB0A7E"/>
    <w:rsid w:val="00BB0C4C"/>
    <w:rsid w:val="00BB12A0"/>
    <w:rsid w:val="00BB2D24"/>
    <w:rsid w:val="00BB2EE7"/>
    <w:rsid w:val="00BB4BC9"/>
    <w:rsid w:val="00BB4E90"/>
    <w:rsid w:val="00BB5382"/>
    <w:rsid w:val="00BB6EC9"/>
    <w:rsid w:val="00BC06C9"/>
    <w:rsid w:val="00BC1D27"/>
    <w:rsid w:val="00BC1DA7"/>
    <w:rsid w:val="00BC293A"/>
    <w:rsid w:val="00BC3EC9"/>
    <w:rsid w:val="00BC49F6"/>
    <w:rsid w:val="00BC5BCD"/>
    <w:rsid w:val="00BC606E"/>
    <w:rsid w:val="00BC6F3B"/>
    <w:rsid w:val="00BC7272"/>
    <w:rsid w:val="00BD1B12"/>
    <w:rsid w:val="00BD1D47"/>
    <w:rsid w:val="00BD2C41"/>
    <w:rsid w:val="00BD31D0"/>
    <w:rsid w:val="00BD4082"/>
    <w:rsid w:val="00BD4A24"/>
    <w:rsid w:val="00BD4E4B"/>
    <w:rsid w:val="00BD7CF0"/>
    <w:rsid w:val="00BE06BF"/>
    <w:rsid w:val="00BE0F7F"/>
    <w:rsid w:val="00BE1DDD"/>
    <w:rsid w:val="00BE25CA"/>
    <w:rsid w:val="00BE35B0"/>
    <w:rsid w:val="00BE377D"/>
    <w:rsid w:val="00BE640E"/>
    <w:rsid w:val="00BE6577"/>
    <w:rsid w:val="00BE68B9"/>
    <w:rsid w:val="00BE7533"/>
    <w:rsid w:val="00BF05B7"/>
    <w:rsid w:val="00BF1076"/>
    <w:rsid w:val="00BF2F61"/>
    <w:rsid w:val="00BF3AC3"/>
    <w:rsid w:val="00BF40BC"/>
    <w:rsid w:val="00BF5A38"/>
    <w:rsid w:val="00C01589"/>
    <w:rsid w:val="00C03D79"/>
    <w:rsid w:val="00C041C8"/>
    <w:rsid w:val="00C04BCD"/>
    <w:rsid w:val="00C06B16"/>
    <w:rsid w:val="00C1151B"/>
    <w:rsid w:val="00C117AE"/>
    <w:rsid w:val="00C12737"/>
    <w:rsid w:val="00C13C48"/>
    <w:rsid w:val="00C13F3A"/>
    <w:rsid w:val="00C1478D"/>
    <w:rsid w:val="00C1534D"/>
    <w:rsid w:val="00C15A10"/>
    <w:rsid w:val="00C16299"/>
    <w:rsid w:val="00C222FE"/>
    <w:rsid w:val="00C2381F"/>
    <w:rsid w:val="00C258FF"/>
    <w:rsid w:val="00C26FB3"/>
    <w:rsid w:val="00C271ED"/>
    <w:rsid w:val="00C279EC"/>
    <w:rsid w:val="00C315CC"/>
    <w:rsid w:val="00C32BC2"/>
    <w:rsid w:val="00C32ED5"/>
    <w:rsid w:val="00C33025"/>
    <w:rsid w:val="00C35D89"/>
    <w:rsid w:val="00C36071"/>
    <w:rsid w:val="00C368AB"/>
    <w:rsid w:val="00C369EE"/>
    <w:rsid w:val="00C371A1"/>
    <w:rsid w:val="00C37D05"/>
    <w:rsid w:val="00C404DA"/>
    <w:rsid w:val="00C42C0D"/>
    <w:rsid w:val="00C43547"/>
    <w:rsid w:val="00C46918"/>
    <w:rsid w:val="00C47A7D"/>
    <w:rsid w:val="00C50F13"/>
    <w:rsid w:val="00C53FB4"/>
    <w:rsid w:val="00C54027"/>
    <w:rsid w:val="00C5435D"/>
    <w:rsid w:val="00C60F1E"/>
    <w:rsid w:val="00C61E72"/>
    <w:rsid w:val="00C6317F"/>
    <w:rsid w:val="00C63D1A"/>
    <w:rsid w:val="00C64174"/>
    <w:rsid w:val="00C64C13"/>
    <w:rsid w:val="00C65E33"/>
    <w:rsid w:val="00C66376"/>
    <w:rsid w:val="00C67BDC"/>
    <w:rsid w:val="00C70E56"/>
    <w:rsid w:val="00C71BA1"/>
    <w:rsid w:val="00C73765"/>
    <w:rsid w:val="00C74CF4"/>
    <w:rsid w:val="00C77D2E"/>
    <w:rsid w:val="00C800DC"/>
    <w:rsid w:val="00C806C7"/>
    <w:rsid w:val="00C8127A"/>
    <w:rsid w:val="00C818D7"/>
    <w:rsid w:val="00C82011"/>
    <w:rsid w:val="00C860B7"/>
    <w:rsid w:val="00C862AE"/>
    <w:rsid w:val="00C86642"/>
    <w:rsid w:val="00C875AC"/>
    <w:rsid w:val="00C909B9"/>
    <w:rsid w:val="00C941B5"/>
    <w:rsid w:val="00C966DF"/>
    <w:rsid w:val="00C96CA9"/>
    <w:rsid w:val="00C97476"/>
    <w:rsid w:val="00CA0462"/>
    <w:rsid w:val="00CA095C"/>
    <w:rsid w:val="00CA0C3D"/>
    <w:rsid w:val="00CA0D4C"/>
    <w:rsid w:val="00CA0F01"/>
    <w:rsid w:val="00CA13C5"/>
    <w:rsid w:val="00CA1A59"/>
    <w:rsid w:val="00CA2FAE"/>
    <w:rsid w:val="00CA35DA"/>
    <w:rsid w:val="00CA37AB"/>
    <w:rsid w:val="00CA39A3"/>
    <w:rsid w:val="00CA430B"/>
    <w:rsid w:val="00CA4C56"/>
    <w:rsid w:val="00CA6F9B"/>
    <w:rsid w:val="00CB0291"/>
    <w:rsid w:val="00CB17E6"/>
    <w:rsid w:val="00CB3593"/>
    <w:rsid w:val="00CB37F4"/>
    <w:rsid w:val="00CB392D"/>
    <w:rsid w:val="00CB40FB"/>
    <w:rsid w:val="00CB5E16"/>
    <w:rsid w:val="00CB69C5"/>
    <w:rsid w:val="00CB70DC"/>
    <w:rsid w:val="00CC0A9B"/>
    <w:rsid w:val="00CC1187"/>
    <w:rsid w:val="00CC1764"/>
    <w:rsid w:val="00CC24A7"/>
    <w:rsid w:val="00CC27A4"/>
    <w:rsid w:val="00CC2AFD"/>
    <w:rsid w:val="00CC45B5"/>
    <w:rsid w:val="00CC481B"/>
    <w:rsid w:val="00CC58EB"/>
    <w:rsid w:val="00CC7C3D"/>
    <w:rsid w:val="00CD0FFD"/>
    <w:rsid w:val="00CD1BF6"/>
    <w:rsid w:val="00CD1EF6"/>
    <w:rsid w:val="00CD291C"/>
    <w:rsid w:val="00CD36F5"/>
    <w:rsid w:val="00CD49AB"/>
    <w:rsid w:val="00CD5A62"/>
    <w:rsid w:val="00CD5EF8"/>
    <w:rsid w:val="00CD7357"/>
    <w:rsid w:val="00CE0DD0"/>
    <w:rsid w:val="00CE4C76"/>
    <w:rsid w:val="00CF0561"/>
    <w:rsid w:val="00CF0F7A"/>
    <w:rsid w:val="00CF1AFD"/>
    <w:rsid w:val="00CF3ECB"/>
    <w:rsid w:val="00CF4DB6"/>
    <w:rsid w:val="00CF6791"/>
    <w:rsid w:val="00D0072F"/>
    <w:rsid w:val="00D00DF6"/>
    <w:rsid w:val="00D01E65"/>
    <w:rsid w:val="00D03C0F"/>
    <w:rsid w:val="00D041D7"/>
    <w:rsid w:val="00D0437E"/>
    <w:rsid w:val="00D057EE"/>
    <w:rsid w:val="00D066B9"/>
    <w:rsid w:val="00D068B3"/>
    <w:rsid w:val="00D06B97"/>
    <w:rsid w:val="00D100C9"/>
    <w:rsid w:val="00D114AB"/>
    <w:rsid w:val="00D126A6"/>
    <w:rsid w:val="00D13465"/>
    <w:rsid w:val="00D1418F"/>
    <w:rsid w:val="00D15AF6"/>
    <w:rsid w:val="00D15D41"/>
    <w:rsid w:val="00D15FB1"/>
    <w:rsid w:val="00D167DE"/>
    <w:rsid w:val="00D1700F"/>
    <w:rsid w:val="00D1798F"/>
    <w:rsid w:val="00D20183"/>
    <w:rsid w:val="00D202C2"/>
    <w:rsid w:val="00D2110F"/>
    <w:rsid w:val="00D21ED8"/>
    <w:rsid w:val="00D22617"/>
    <w:rsid w:val="00D24C63"/>
    <w:rsid w:val="00D24F67"/>
    <w:rsid w:val="00D273F4"/>
    <w:rsid w:val="00D27A8F"/>
    <w:rsid w:val="00D30CB0"/>
    <w:rsid w:val="00D30E33"/>
    <w:rsid w:val="00D31151"/>
    <w:rsid w:val="00D31D9B"/>
    <w:rsid w:val="00D329BE"/>
    <w:rsid w:val="00D32D05"/>
    <w:rsid w:val="00D32FED"/>
    <w:rsid w:val="00D338B1"/>
    <w:rsid w:val="00D33BD9"/>
    <w:rsid w:val="00D35415"/>
    <w:rsid w:val="00D35488"/>
    <w:rsid w:val="00D4036B"/>
    <w:rsid w:val="00D41294"/>
    <w:rsid w:val="00D4408A"/>
    <w:rsid w:val="00D445CC"/>
    <w:rsid w:val="00D452B7"/>
    <w:rsid w:val="00D459DA"/>
    <w:rsid w:val="00D46056"/>
    <w:rsid w:val="00D47429"/>
    <w:rsid w:val="00D475B0"/>
    <w:rsid w:val="00D510CF"/>
    <w:rsid w:val="00D5170B"/>
    <w:rsid w:val="00D51D38"/>
    <w:rsid w:val="00D527E5"/>
    <w:rsid w:val="00D54234"/>
    <w:rsid w:val="00D55AD5"/>
    <w:rsid w:val="00D563AD"/>
    <w:rsid w:val="00D5640B"/>
    <w:rsid w:val="00D57C5D"/>
    <w:rsid w:val="00D60529"/>
    <w:rsid w:val="00D6411C"/>
    <w:rsid w:val="00D64230"/>
    <w:rsid w:val="00D64FF2"/>
    <w:rsid w:val="00D65B2E"/>
    <w:rsid w:val="00D65E92"/>
    <w:rsid w:val="00D67E03"/>
    <w:rsid w:val="00D705C4"/>
    <w:rsid w:val="00D710B6"/>
    <w:rsid w:val="00D720DB"/>
    <w:rsid w:val="00D73D3B"/>
    <w:rsid w:val="00D74B7F"/>
    <w:rsid w:val="00D74F4C"/>
    <w:rsid w:val="00D7529B"/>
    <w:rsid w:val="00D75591"/>
    <w:rsid w:val="00D756D6"/>
    <w:rsid w:val="00D809B6"/>
    <w:rsid w:val="00D85020"/>
    <w:rsid w:val="00D852CC"/>
    <w:rsid w:val="00D855E6"/>
    <w:rsid w:val="00D87A87"/>
    <w:rsid w:val="00D9006B"/>
    <w:rsid w:val="00D91DC4"/>
    <w:rsid w:val="00D93215"/>
    <w:rsid w:val="00D93CC5"/>
    <w:rsid w:val="00D943C6"/>
    <w:rsid w:val="00D95578"/>
    <w:rsid w:val="00D958BA"/>
    <w:rsid w:val="00D95C12"/>
    <w:rsid w:val="00DA1925"/>
    <w:rsid w:val="00DA4901"/>
    <w:rsid w:val="00DA72C1"/>
    <w:rsid w:val="00DA7691"/>
    <w:rsid w:val="00DA79A7"/>
    <w:rsid w:val="00DB0397"/>
    <w:rsid w:val="00DB09C1"/>
    <w:rsid w:val="00DB14B7"/>
    <w:rsid w:val="00DB2D11"/>
    <w:rsid w:val="00DB3A04"/>
    <w:rsid w:val="00DB3C17"/>
    <w:rsid w:val="00DB6535"/>
    <w:rsid w:val="00DB6A62"/>
    <w:rsid w:val="00DB6BEF"/>
    <w:rsid w:val="00DC0EDA"/>
    <w:rsid w:val="00DC14F1"/>
    <w:rsid w:val="00DC2A38"/>
    <w:rsid w:val="00DC3014"/>
    <w:rsid w:val="00DD097B"/>
    <w:rsid w:val="00DD3FB7"/>
    <w:rsid w:val="00DD447C"/>
    <w:rsid w:val="00DD4565"/>
    <w:rsid w:val="00DD6D2F"/>
    <w:rsid w:val="00DD7668"/>
    <w:rsid w:val="00DE0893"/>
    <w:rsid w:val="00DE1333"/>
    <w:rsid w:val="00DE1A6C"/>
    <w:rsid w:val="00DE1E27"/>
    <w:rsid w:val="00DE269B"/>
    <w:rsid w:val="00DE3314"/>
    <w:rsid w:val="00DE416A"/>
    <w:rsid w:val="00DE4DCB"/>
    <w:rsid w:val="00DE5CB0"/>
    <w:rsid w:val="00DE65B7"/>
    <w:rsid w:val="00DE7197"/>
    <w:rsid w:val="00DE78C3"/>
    <w:rsid w:val="00DE7F1D"/>
    <w:rsid w:val="00DF10E7"/>
    <w:rsid w:val="00DF4404"/>
    <w:rsid w:val="00DF569F"/>
    <w:rsid w:val="00E00E4F"/>
    <w:rsid w:val="00E0119F"/>
    <w:rsid w:val="00E0601A"/>
    <w:rsid w:val="00E0618C"/>
    <w:rsid w:val="00E07915"/>
    <w:rsid w:val="00E07A85"/>
    <w:rsid w:val="00E10CA7"/>
    <w:rsid w:val="00E1109A"/>
    <w:rsid w:val="00E12C78"/>
    <w:rsid w:val="00E154A6"/>
    <w:rsid w:val="00E15990"/>
    <w:rsid w:val="00E15CD0"/>
    <w:rsid w:val="00E15D50"/>
    <w:rsid w:val="00E164ED"/>
    <w:rsid w:val="00E16BC8"/>
    <w:rsid w:val="00E1726B"/>
    <w:rsid w:val="00E177ED"/>
    <w:rsid w:val="00E200D5"/>
    <w:rsid w:val="00E20ADE"/>
    <w:rsid w:val="00E20F1B"/>
    <w:rsid w:val="00E211DA"/>
    <w:rsid w:val="00E2330F"/>
    <w:rsid w:val="00E2383B"/>
    <w:rsid w:val="00E255EC"/>
    <w:rsid w:val="00E25D8C"/>
    <w:rsid w:val="00E26783"/>
    <w:rsid w:val="00E27860"/>
    <w:rsid w:val="00E3256D"/>
    <w:rsid w:val="00E33622"/>
    <w:rsid w:val="00E37B8A"/>
    <w:rsid w:val="00E422BE"/>
    <w:rsid w:val="00E42A07"/>
    <w:rsid w:val="00E42E15"/>
    <w:rsid w:val="00E43492"/>
    <w:rsid w:val="00E44049"/>
    <w:rsid w:val="00E449B3"/>
    <w:rsid w:val="00E4580E"/>
    <w:rsid w:val="00E45909"/>
    <w:rsid w:val="00E47765"/>
    <w:rsid w:val="00E478CE"/>
    <w:rsid w:val="00E479CF"/>
    <w:rsid w:val="00E47D84"/>
    <w:rsid w:val="00E50F85"/>
    <w:rsid w:val="00E518FD"/>
    <w:rsid w:val="00E52A36"/>
    <w:rsid w:val="00E52B41"/>
    <w:rsid w:val="00E549D8"/>
    <w:rsid w:val="00E568E8"/>
    <w:rsid w:val="00E57975"/>
    <w:rsid w:val="00E6001E"/>
    <w:rsid w:val="00E60DE9"/>
    <w:rsid w:val="00E6258E"/>
    <w:rsid w:val="00E62CA0"/>
    <w:rsid w:val="00E64210"/>
    <w:rsid w:val="00E64DCF"/>
    <w:rsid w:val="00E6611A"/>
    <w:rsid w:val="00E66D99"/>
    <w:rsid w:val="00E67158"/>
    <w:rsid w:val="00E704B2"/>
    <w:rsid w:val="00E70BC0"/>
    <w:rsid w:val="00E7225B"/>
    <w:rsid w:val="00E7241D"/>
    <w:rsid w:val="00E72C1D"/>
    <w:rsid w:val="00E75462"/>
    <w:rsid w:val="00E766DA"/>
    <w:rsid w:val="00E7784B"/>
    <w:rsid w:val="00E802AD"/>
    <w:rsid w:val="00E81838"/>
    <w:rsid w:val="00E85223"/>
    <w:rsid w:val="00E85847"/>
    <w:rsid w:val="00E863B0"/>
    <w:rsid w:val="00E93192"/>
    <w:rsid w:val="00E95C7B"/>
    <w:rsid w:val="00E966FC"/>
    <w:rsid w:val="00E970E4"/>
    <w:rsid w:val="00EA03A9"/>
    <w:rsid w:val="00EA13B0"/>
    <w:rsid w:val="00EA311A"/>
    <w:rsid w:val="00EA3F95"/>
    <w:rsid w:val="00EA45BB"/>
    <w:rsid w:val="00EA4BFF"/>
    <w:rsid w:val="00EA4D01"/>
    <w:rsid w:val="00EA6165"/>
    <w:rsid w:val="00EA68B5"/>
    <w:rsid w:val="00EA7091"/>
    <w:rsid w:val="00EB483D"/>
    <w:rsid w:val="00EB63A0"/>
    <w:rsid w:val="00EB74BF"/>
    <w:rsid w:val="00EC00AB"/>
    <w:rsid w:val="00EC0D3D"/>
    <w:rsid w:val="00EC2D3C"/>
    <w:rsid w:val="00EC457F"/>
    <w:rsid w:val="00EC5978"/>
    <w:rsid w:val="00EC64BC"/>
    <w:rsid w:val="00EC7D31"/>
    <w:rsid w:val="00EC7E2F"/>
    <w:rsid w:val="00ED21EB"/>
    <w:rsid w:val="00ED2A04"/>
    <w:rsid w:val="00ED4C55"/>
    <w:rsid w:val="00ED79FF"/>
    <w:rsid w:val="00ED7D08"/>
    <w:rsid w:val="00ED7E41"/>
    <w:rsid w:val="00EE01C6"/>
    <w:rsid w:val="00EE0A65"/>
    <w:rsid w:val="00EE21D0"/>
    <w:rsid w:val="00EE348B"/>
    <w:rsid w:val="00EE3990"/>
    <w:rsid w:val="00EE5601"/>
    <w:rsid w:val="00EE7A67"/>
    <w:rsid w:val="00EF1D60"/>
    <w:rsid w:val="00EF21BD"/>
    <w:rsid w:val="00EF3A1D"/>
    <w:rsid w:val="00EF3C04"/>
    <w:rsid w:val="00EF5E15"/>
    <w:rsid w:val="00EF6106"/>
    <w:rsid w:val="00EF710F"/>
    <w:rsid w:val="00EF7C76"/>
    <w:rsid w:val="00F00387"/>
    <w:rsid w:val="00F02171"/>
    <w:rsid w:val="00F021EA"/>
    <w:rsid w:val="00F02879"/>
    <w:rsid w:val="00F03456"/>
    <w:rsid w:val="00F03ACA"/>
    <w:rsid w:val="00F04643"/>
    <w:rsid w:val="00F0520F"/>
    <w:rsid w:val="00F0535E"/>
    <w:rsid w:val="00F053C9"/>
    <w:rsid w:val="00F06C40"/>
    <w:rsid w:val="00F06E42"/>
    <w:rsid w:val="00F1092D"/>
    <w:rsid w:val="00F17F92"/>
    <w:rsid w:val="00F20399"/>
    <w:rsid w:val="00F206D6"/>
    <w:rsid w:val="00F222AD"/>
    <w:rsid w:val="00F23E10"/>
    <w:rsid w:val="00F24555"/>
    <w:rsid w:val="00F25788"/>
    <w:rsid w:val="00F27254"/>
    <w:rsid w:val="00F27299"/>
    <w:rsid w:val="00F27FC0"/>
    <w:rsid w:val="00F300F5"/>
    <w:rsid w:val="00F31B2C"/>
    <w:rsid w:val="00F31B91"/>
    <w:rsid w:val="00F33E34"/>
    <w:rsid w:val="00F35BCB"/>
    <w:rsid w:val="00F35C22"/>
    <w:rsid w:val="00F3780F"/>
    <w:rsid w:val="00F40194"/>
    <w:rsid w:val="00F41889"/>
    <w:rsid w:val="00F42B22"/>
    <w:rsid w:val="00F43177"/>
    <w:rsid w:val="00F43421"/>
    <w:rsid w:val="00F4363E"/>
    <w:rsid w:val="00F43690"/>
    <w:rsid w:val="00F45305"/>
    <w:rsid w:val="00F46C6C"/>
    <w:rsid w:val="00F4730B"/>
    <w:rsid w:val="00F504E6"/>
    <w:rsid w:val="00F5069B"/>
    <w:rsid w:val="00F50F05"/>
    <w:rsid w:val="00F513D1"/>
    <w:rsid w:val="00F536CF"/>
    <w:rsid w:val="00F5383E"/>
    <w:rsid w:val="00F548D3"/>
    <w:rsid w:val="00F54CDB"/>
    <w:rsid w:val="00F56F7D"/>
    <w:rsid w:val="00F576D7"/>
    <w:rsid w:val="00F67879"/>
    <w:rsid w:val="00F67D00"/>
    <w:rsid w:val="00F70037"/>
    <w:rsid w:val="00F728E8"/>
    <w:rsid w:val="00F72F08"/>
    <w:rsid w:val="00F73C84"/>
    <w:rsid w:val="00F77C38"/>
    <w:rsid w:val="00F80F95"/>
    <w:rsid w:val="00F82561"/>
    <w:rsid w:val="00F837C4"/>
    <w:rsid w:val="00F839A0"/>
    <w:rsid w:val="00F84543"/>
    <w:rsid w:val="00F90FDB"/>
    <w:rsid w:val="00F912F2"/>
    <w:rsid w:val="00F91645"/>
    <w:rsid w:val="00F91787"/>
    <w:rsid w:val="00F918C6"/>
    <w:rsid w:val="00F91E1B"/>
    <w:rsid w:val="00F94515"/>
    <w:rsid w:val="00F952D0"/>
    <w:rsid w:val="00F95AEC"/>
    <w:rsid w:val="00FA0787"/>
    <w:rsid w:val="00FA191C"/>
    <w:rsid w:val="00FA29DD"/>
    <w:rsid w:val="00FA2C32"/>
    <w:rsid w:val="00FA31D3"/>
    <w:rsid w:val="00FA40AC"/>
    <w:rsid w:val="00FA4FAB"/>
    <w:rsid w:val="00FA5859"/>
    <w:rsid w:val="00FA6D38"/>
    <w:rsid w:val="00FB1757"/>
    <w:rsid w:val="00FB2157"/>
    <w:rsid w:val="00FB5DE7"/>
    <w:rsid w:val="00FB665F"/>
    <w:rsid w:val="00FB7410"/>
    <w:rsid w:val="00FB7A02"/>
    <w:rsid w:val="00FB7F6D"/>
    <w:rsid w:val="00FC008E"/>
    <w:rsid w:val="00FC0489"/>
    <w:rsid w:val="00FC0780"/>
    <w:rsid w:val="00FC211D"/>
    <w:rsid w:val="00FC3565"/>
    <w:rsid w:val="00FC519F"/>
    <w:rsid w:val="00FC5EBE"/>
    <w:rsid w:val="00FC78ED"/>
    <w:rsid w:val="00FD0316"/>
    <w:rsid w:val="00FD3BB6"/>
    <w:rsid w:val="00FE0474"/>
    <w:rsid w:val="00FE2C35"/>
    <w:rsid w:val="00FE3282"/>
    <w:rsid w:val="00FE5033"/>
    <w:rsid w:val="00FE5100"/>
    <w:rsid w:val="00FE578F"/>
    <w:rsid w:val="00FE6761"/>
    <w:rsid w:val="00FE6E40"/>
    <w:rsid w:val="00FF29B8"/>
    <w:rsid w:val="00FF3D16"/>
    <w:rsid w:val="00FF437F"/>
    <w:rsid w:val="00FF5076"/>
    <w:rsid w:val="00FF5957"/>
    <w:rsid w:val="00FF5ACF"/>
    <w:rsid w:val="00FF63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F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FB7"/>
    <w:pPr>
      <w:spacing w:after="0" w:line="480" w:lineRule="auto"/>
      <w:jc w:val="both"/>
    </w:pPr>
    <w:rPr>
      <w:rFonts w:eastAsia="Times New Roman" w:cs="Times New Roman"/>
    </w:rPr>
  </w:style>
  <w:style w:type="paragraph" w:styleId="Heading1">
    <w:name w:val="heading 1"/>
    <w:basedOn w:val="Normal"/>
    <w:next w:val="Normal"/>
    <w:link w:val="Heading1Char"/>
    <w:qFormat/>
    <w:rsid w:val="00FB7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30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32AAA"/>
    <w:pPr>
      <w:widowControl w:val="0"/>
      <w:numPr>
        <w:ilvl w:val="2"/>
        <w:numId w:val="1"/>
      </w:numPr>
      <w:spacing w:before="240"/>
      <w:ind w:hanging="2160"/>
      <w:outlineLvl w:val="2"/>
    </w:pPr>
    <w:rPr>
      <w:rFonts w:ascii="Arial" w:eastAsiaTheme="majorEastAsia"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link w:val="Style3Char"/>
    <w:qFormat/>
    <w:rsid w:val="00A042F2"/>
    <w:pPr>
      <w:numPr>
        <w:ilvl w:val="2"/>
        <w:numId w:val="2"/>
      </w:numPr>
      <w:tabs>
        <w:tab w:val="clear" w:pos="2160"/>
        <w:tab w:val="num" w:pos="2835"/>
      </w:tabs>
      <w:spacing w:before="240"/>
      <w:ind w:left="2835" w:hanging="2126"/>
      <w:outlineLvl w:val="2"/>
    </w:pPr>
    <w:rPr>
      <w:rFonts w:ascii="Arial" w:hAnsi="Arial"/>
      <w:sz w:val="24"/>
      <w:szCs w:val="20"/>
      <w:lang w:val="en-GB"/>
    </w:rPr>
  </w:style>
  <w:style w:type="character" w:customStyle="1" w:styleId="Style3Char">
    <w:name w:val="Style3 Char"/>
    <w:link w:val="Style3"/>
    <w:rsid w:val="00A042F2"/>
    <w:rPr>
      <w:rFonts w:ascii="Arial" w:eastAsia="Times New Roman" w:hAnsi="Arial" w:cs="Times New Roman"/>
      <w:sz w:val="24"/>
      <w:szCs w:val="20"/>
      <w:lang w:val="en-GB"/>
    </w:rPr>
  </w:style>
  <w:style w:type="paragraph" w:customStyle="1" w:styleId="Style2">
    <w:name w:val="Style2"/>
    <w:basedOn w:val="Normal"/>
    <w:next w:val="Normal"/>
    <w:qFormat/>
    <w:rsid w:val="00A042F2"/>
    <w:pPr>
      <w:widowControl w:val="0"/>
      <w:numPr>
        <w:ilvl w:val="1"/>
        <w:numId w:val="2"/>
      </w:numPr>
      <w:tabs>
        <w:tab w:val="clear" w:pos="1440"/>
      </w:tabs>
      <w:spacing w:before="240"/>
      <w:ind w:left="2127"/>
      <w:outlineLvl w:val="1"/>
    </w:pPr>
    <w:rPr>
      <w:rFonts w:ascii="Arial" w:hAnsi="Arial"/>
      <w:sz w:val="24"/>
      <w:szCs w:val="20"/>
      <w:lang w:val="en-GB"/>
    </w:rPr>
  </w:style>
  <w:style w:type="paragraph" w:customStyle="1" w:styleId="Style1">
    <w:name w:val="Style1"/>
    <w:basedOn w:val="Style2"/>
    <w:next w:val="Normal"/>
    <w:qFormat/>
    <w:rsid w:val="00A042F2"/>
    <w:pPr>
      <w:numPr>
        <w:ilvl w:val="0"/>
      </w:numPr>
      <w:tabs>
        <w:tab w:val="clear" w:pos="720"/>
        <w:tab w:val="num" w:pos="1418"/>
      </w:tabs>
      <w:ind w:left="1418"/>
    </w:pPr>
  </w:style>
  <w:style w:type="paragraph" w:customStyle="1" w:styleId="Style4">
    <w:name w:val="Style4"/>
    <w:basedOn w:val="Normal"/>
    <w:next w:val="Normal"/>
    <w:qFormat/>
    <w:rsid w:val="00A042F2"/>
    <w:pPr>
      <w:widowControl w:val="0"/>
      <w:numPr>
        <w:ilvl w:val="3"/>
        <w:numId w:val="2"/>
      </w:numPr>
      <w:tabs>
        <w:tab w:val="clear" w:pos="2880"/>
        <w:tab w:val="center" w:pos="3686"/>
      </w:tabs>
      <w:spacing w:before="240"/>
      <w:ind w:left="3686" w:hanging="2977"/>
      <w:outlineLvl w:val="3"/>
    </w:pPr>
    <w:rPr>
      <w:rFonts w:ascii="Arial" w:eastAsia="Cambria" w:hAnsi="Arial"/>
      <w:sz w:val="24"/>
      <w:szCs w:val="24"/>
    </w:rPr>
  </w:style>
  <w:style w:type="paragraph" w:customStyle="1" w:styleId="HeadsQuote">
    <w:name w:val="Heads Quote"/>
    <w:basedOn w:val="Normal"/>
    <w:link w:val="HeadsQuoteChar"/>
    <w:qFormat/>
    <w:rsid w:val="00217050"/>
    <w:pPr>
      <w:keepNext/>
      <w:widowControl w:val="0"/>
      <w:spacing w:before="240"/>
      <w:ind w:left="1440"/>
      <w:outlineLvl w:val="2"/>
    </w:pPr>
    <w:rPr>
      <w:rFonts w:ascii="Arial" w:eastAsia="Cambria" w:hAnsi="Arial" w:cs="Arial"/>
      <w:sz w:val="24"/>
      <w:szCs w:val="24"/>
    </w:rPr>
  </w:style>
  <w:style w:type="character" w:customStyle="1" w:styleId="HeadsQuoteChar">
    <w:name w:val="Heads Quote Char"/>
    <w:link w:val="HeadsQuote"/>
    <w:rsid w:val="00217050"/>
    <w:rPr>
      <w:rFonts w:ascii="Arial" w:hAnsi="Arial" w:cs="Arial"/>
      <w:sz w:val="24"/>
      <w:szCs w:val="24"/>
    </w:rPr>
  </w:style>
  <w:style w:type="character" w:customStyle="1" w:styleId="Heading3Char">
    <w:name w:val="Heading 3 Char"/>
    <w:basedOn w:val="DefaultParagraphFont"/>
    <w:link w:val="Heading3"/>
    <w:rsid w:val="00232AAA"/>
    <w:rPr>
      <w:rFonts w:ascii="Arial" w:eastAsiaTheme="majorEastAsia" w:hAnsi="Arial" w:cs="Times New Roman"/>
      <w:bCs/>
      <w:sz w:val="24"/>
      <w:szCs w:val="24"/>
    </w:rPr>
  </w:style>
  <w:style w:type="paragraph" w:styleId="Quote">
    <w:name w:val="Quote"/>
    <w:basedOn w:val="Normal"/>
    <w:next w:val="Normal"/>
    <w:link w:val="QuoteChar"/>
    <w:uiPriority w:val="29"/>
    <w:qFormat/>
    <w:rsid w:val="004E4A55"/>
    <w:pPr>
      <w:spacing w:line="360" w:lineRule="auto"/>
      <w:ind w:left="862" w:right="862"/>
    </w:pPr>
    <w:rPr>
      <w:rFonts w:ascii="Arial" w:hAnsi="Arial"/>
      <w:i/>
      <w:iCs/>
      <w:sz w:val="24"/>
      <w:szCs w:val="20"/>
    </w:rPr>
  </w:style>
  <w:style w:type="character" w:customStyle="1" w:styleId="QuoteChar">
    <w:name w:val="Quote Char"/>
    <w:basedOn w:val="DefaultParagraphFont"/>
    <w:link w:val="Quote"/>
    <w:uiPriority w:val="29"/>
    <w:rsid w:val="004E4A55"/>
    <w:rPr>
      <w:rFonts w:ascii="Arial" w:eastAsia="Times New Roman" w:hAnsi="Arial" w:cs="Times New Roman"/>
      <w:i/>
      <w:iCs/>
      <w:sz w:val="24"/>
      <w:szCs w:val="20"/>
    </w:r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iPriority w:val="99"/>
    <w:unhideWhenUsed/>
    <w:qFormat/>
    <w:rsid w:val="00E4580E"/>
    <w:pPr>
      <w:widowControl w:val="0"/>
      <w:spacing w:before="120" w:line="240" w:lineRule="auto"/>
    </w:pPr>
    <w:rPr>
      <w:rFonts w:ascii="Arial" w:eastAsia="Cambria" w:hAnsi="Arial"/>
      <w:sz w:val="20"/>
      <w:szCs w:val="24"/>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E4580E"/>
    <w:rPr>
      <w:rFonts w:ascii="Arial" w:hAnsi="Arial" w:cs="Times New Roman"/>
      <w:sz w:val="20"/>
      <w:szCs w:val="24"/>
    </w:rPr>
  </w:style>
  <w:style w:type="character" w:styleId="FootnoteReference">
    <w:name w:val="footnote reference"/>
    <w:uiPriority w:val="99"/>
    <w:semiHidden/>
    <w:rsid w:val="00B67FB7"/>
    <w:rPr>
      <w:rFonts w:cs="Arial"/>
      <w:szCs w:val="20"/>
      <w:vertAlign w:val="superscript"/>
    </w:rPr>
  </w:style>
  <w:style w:type="paragraph" w:styleId="TOC1">
    <w:name w:val="toc 1"/>
    <w:basedOn w:val="Normal"/>
    <w:next w:val="Normal"/>
    <w:autoRedefine/>
    <w:uiPriority w:val="39"/>
    <w:unhideWhenUsed/>
    <w:rsid w:val="008E1C4F"/>
    <w:pPr>
      <w:spacing w:before="240" w:after="100" w:line="360" w:lineRule="auto"/>
    </w:pPr>
    <w:rPr>
      <w:rFonts w:ascii="Arial" w:eastAsia="Cambria" w:hAnsi="Arial"/>
      <w:sz w:val="24"/>
      <w:szCs w:val="24"/>
    </w:rPr>
  </w:style>
  <w:style w:type="paragraph" w:styleId="TOC2">
    <w:name w:val="toc 2"/>
    <w:basedOn w:val="Normal"/>
    <w:next w:val="Normal"/>
    <w:autoRedefine/>
    <w:uiPriority w:val="39"/>
    <w:unhideWhenUsed/>
    <w:rsid w:val="008E1C4F"/>
    <w:pPr>
      <w:tabs>
        <w:tab w:val="right" w:leader="dot" w:pos="9016"/>
      </w:tabs>
      <w:spacing w:before="240" w:line="240" w:lineRule="auto"/>
      <w:ind w:left="567"/>
    </w:pPr>
    <w:rPr>
      <w:rFonts w:ascii="Arial" w:eastAsia="Cambria" w:hAnsi="Arial"/>
      <w:i/>
      <w:sz w:val="24"/>
      <w:szCs w:val="24"/>
    </w:rPr>
  </w:style>
  <w:style w:type="paragraph" w:styleId="Header">
    <w:name w:val="header"/>
    <w:basedOn w:val="Normal"/>
    <w:link w:val="HeaderChar"/>
    <w:uiPriority w:val="99"/>
    <w:unhideWhenUsed/>
    <w:rsid w:val="00D202C2"/>
    <w:pPr>
      <w:tabs>
        <w:tab w:val="center" w:pos="4680"/>
        <w:tab w:val="right" w:pos="9360"/>
      </w:tabs>
      <w:spacing w:line="240" w:lineRule="auto"/>
    </w:pPr>
  </w:style>
  <w:style w:type="character" w:customStyle="1" w:styleId="HeaderChar">
    <w:name w:val="Header Char"/>
    <w:basedOn w:val="DefaultParagraphFont"/>
    <w:link w:val="Header"/>
    <w:uiPriority w:val="99"/>
    <w:rsid w:val="00D202C2"/>
    <w:rPr>
      <w:rFonts w:eastAsia="Times New Roman" w:cs="Times New Roman"/>
    </w:rPr>
  </w:style>
  <w:style w:type="paragraph" w:styleId="Footer">
    <w:name w:val="footer"/>
    <w:basedOn w:val="Normal"/>
    <w:link w:val="FooterChar"/>
    <w:uiPriority w:val="99"/>
    <w:unhideWhenUsed/>
    <w:rsid w:val="00D202C2"/>
    <w:pPr>
      <w:tabs>
        <w:tab w:val="center" w:pos="4680"/>
        <w:tab w:val="right" w:pos="9360"/>
      </w:tabs>
      <w:spacing w:line="240" w:lineRule="auto"/>
    </w:pPr>
  </w:style>
  <w:style w:type="character" w:customStyle="1" w:styleId="FooterChar">
    <w:name w:val="Footer Char"/>
    <w:basedOn w:val="DefaultParagraphFont"/>
    <w:link w:val="Footer"/>
    <w:uiPriority w:val="99"/>
    <w:rsid w:val="00D202C2"/>
    <w:rPr>
      <w:rFonts w:eastAsia="Times New Roman" w:cs="Times New Roman"/>
    </w:rPr>
  </w:style>
  <w:style w:type="paragraph" w:customStyle="1" w:styleId="LC1">
    <w:name w:val="LC1"/>
    <w:basedOn w:val="Style1"/>
    <w:link w:val="LC1Char"/>
    <w:qFormat/>
    <w:rsid w:val="007A27ED"/>
    <w:pPr>
      <w:numPr>
        <w:numId w:val="3"/>
      </w:numPr>
      <w:ind w:hanging="720"/>
    </w:pPr>
    <w:rPr>
      <w:rFonts w:eastAsia="Cambria"/>
      <w:lang w:val="en-ZA"/>
    </w:rPr>
  </w:style>
  <w:style w:type="character" w:customStyle="1" w:styleId="LC1Char">
    <w:name w:val="LC1 Char"/>
    <w:basedOn w:val="DefaultParagraphFont"/>
    <w:link w:val="LC1"/>
    <w:rsid w:val="007A27ED"/>
    <w:rPr>
      <w:rFonts w:ascii="Arial" w:hAnsi="Arial" w:cs="Times New Roman"/>
      <w:sz w:val="24"/>
      <w:szCs w:val="20"/>
    </w:rPr>
  </w:style>
  <w:style w:type="paragraph" w:customStyle="1" w:styleId="LCQuote">
    <w:name w:val="LC Quote"/>
    <w:basedOn w:val="Normal"/>
    <w:link w:val="LCQuoteChar"/>
    <w:qFormat/>
    <w:rsid w:val="001E6505"/>
    <w:pPr>
      <w:spacing w:before="240" w:after="120" w:line="360" w:lineRule="auto"/>
      <w:ind w:left="1134"/>
    </w:pPr>
    <w:rPr>
      <w:rFonts w:ascii="Arial" w:hAnsi="Arial" w:cs="Arial"/>
      <w:i/>
      <w:sz w:val="24"/>
      <w:szCs w:val="24"/>
    </w:rPr>
  </w:style>
  <w:style w:type="character" w:customStyle="1" w:styleId="LCQuoteChar">
    <w:name w:val="LC Quote Char"/>
    <w:basedOn w:val="DefaultParagraphFont"/>
    <w:link w:val="LCQuote"/>
    <w:rsid w:val="001E6505"/>
    <w:rPr>
      <w:rFonts w:ascii="Arial" w:eastAsia="Times New Roman" w:hAnsi="Arial" w:cs="Arial"/>
      <w:i/>
      <w:sz w:val="24"/>
      <w:szCs w:val="24"/>
    </w:rPr>
  </w:style>
  <w:style w:type="paragraph" w:styleId="ListParagraph">
    <w:name w:val="List Paragraph"/>
    <w:basedOn w:val="Normal"/>
    <w:uiPriority w:val="34"/>
    <w:qFormat/>
    <w:rsid w:val="00991FF4"/>
    <w:pPr>
      <w:ind w:left="720"/>
      <w:contextualSpacing/>
    </w:pPr>
  </w:style>
  <w:style w:type="paragraph" w:styleId="BalloonText">
    <w:name w:val="Balloon Text"/>
    <w:basedOn w:val="Normal"/>
    <w:link w:val="BalloonTextChar"/>
    <w:uiPriority w:val="99"/>
    <w:semiHidden/>
    <w:unhideWhenUsed/>
    <w:rsid w:val="00AC26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5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D3077"/>
    <w:rPr>
      <w:rFonts w:asciiTheme="majorHAnsi" w:eastAsiaTheme="majorEastAsia" w:hAnsiTheme="majorHAnsi" w:cstheme="majorBidi"/>
      <w:color w:val="2E74B5" w:themeColor="accent1" w:themeShade="BF"/>
      <w:sz w:val="26"/>
      <w:szCs w:val="26"/>
    </w:rPr>
  </w:style>
  <w:style w:type="character" w:customStyle="1" w:styleId="mc">
    <w:name w:val="mc"/>
    <w:basedOn w:val="DefaultParagraphFont"/>
    <w:rsid w:val="00564B8A"/>
  </w:style>
  <w:style w:type="character" w:customStyle="1" w:styleId="Heading1Char">
    <w:name w:val="Heading 1 Char"/>
    <w:basedOn w:val="DefaultParagraphFont"/>
    <w:link w:val="Heading1"/>
    <w:uiPriority w:val="9"/>
    <w:rsid w:val="00FB7410"/>
    <w:rPr>
      <w:rFonts w:asciiTheme="majorHAnsi" w:eastAsiaTheme="majorEastAsia" w:hAnsiTheme="majorHAnsi" w:cstheme="majorBidi"/>
      <w:color w:val="2E74B5" w:themeColor="accent1" w:themeShade="BF"/>
      <w:sz w:val="32"/>
      <w:szCs w:val="32"/>
    </w:rPr>
  </w:style>
  <w:style w:type="paragraph" w:customStyle="1" w:styleId="LC2">
    <w:name w:val="LC2"/>
    <w:basedOn w:val="LC1"/>
    <w:link w:val="LC2Char"/>
    <w:qFormat/>
    <w:rsid w:val="004B1830"/>
    <w:pPr>
      <w:numPr>
        <w:ilvl w:val="1"/>
      </w:numPr>
      <w:ind w:left="1701" w:hanging="993"/>
    </w:pPr>
  </w:style>
  <w:style w:type="paragraph" w:customStyle="1" w:styleId="LCORder">
    <w:name w:val="LC ORder"/>
    <w:basedOn w:val="LC1"/>
    <w:link w:val="LCORderChar"/>
    <w:qFormat/>
    <w:rsid w:val="00400C5A"/>
    <w:pPr>
      <w:numPr>
        <w:numId w:val="0"/>
      </w:numPr>
      <w:spacing w:after="120"/>
    </w:pPr>
    <w:rPr>
      <w:rFonts w:cs="Arial"/>
      <w:szCs w:val="24"/>
    </w:rPr>
  </w:style>
  <w:style w:type="character" w:customStyle="1" w:styleId="LC2Char">
    <w:name w:val="LC2 Char"/>
    <w:basedOn w:val="LC1Char"/>
    <w:link w:val="LC2"/>
    <w:rsid w:val="004B1830"/>
    <w:rPr>
      <w:rFonts w:ascii="Arial" w:hAnsi="Arial" w:cs="Times New Roman"/>
      <w:sz w:val="24"/>
      <w:szCs w:val="20"/>
    </w:rPr>
  </w:style>
  <w:style w:type="character" w:customStyle="1" w:styleId="LCORderChar">
    <w:name w:val="LC ORder Char"/>
    <w:basedOn w:val="LC1Char"/>
    <w:link w:val="LCORder"/>
    <w:rsid w:val="00400C5A"/>
    <w:rPr>
      <w:rFonts w:ascii="Arial" w:eastAsia="Times New Roman" w:hAnsi="Arial" w:cs="Arial"/>
      <w:sz w:val="24"/>
      <w:szCs w:val="24"/>
    </w:rPr>
  </w:style>
  <w:style w:type="character" w:styleId="Hyperlink">
    <w:name w:val="Hyperlink"/>
    <w:basedOn w:val="DefaultParagraphFont"/>
    <w:uiPriority w:val="99"/>
    <w:unhideWhenUsed/>
    <w:rsid w:val="00070375"/>
    <w:rPr>
      <w:color w:val="0563C1" w:themeColor="hyperlink"/>
      <w:u w:val="single"/>
    </w:rPr>
  </w:style>
  <w:style w:type="paragraph" w:customStyle="1" w:styleId="normaltext">
    <w:name w:val="normaltext"/>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ra-a">
    <w:name w:val="para-a"/>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footnote-x">
    <w:name w:val="footnote-x"/>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genumber">
    <w:name w:val="pagenumber"/>
    <w:basedOn w:val="Normal"/>
    <w:rsid w:val="007C3650"/>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0073C9"/>
    <w:pPr>
      <w:spacing w:before="100" w:beforeAutospacing="1" w:after="100" w:afterAutospacing="1" w:line="240" w:lineRule="auto"/>
      <w:jc w:val="left"/>
    </w:pPr>
    <w:rPr>
      <w:rFonts w:ascii="Times New Roman" w:hAnsi="Times New Roman"/>
      <w:sz w:val="24"/>
      <w:szCs w:val="24"/>
      <w:lang w:eastAsia="en-ZA"/>
    </w:rPr>
  </w:style>
  <w:style w:type="character" w:customStyle="1" w:styleId="g1">
    <w:name w:val="g1"/>
    <w:basedOn w:val="DefaultParagraphFont"/>
    <w:rsid w:val="00AD0267"/>
  </w:style>
  <w:style w:type="paragraph" w:styleId="NoSpacing">
    <w:name w:val="No Spacing"/>
    <w:uiPriority w:val="1"/>
    <w:qFormat/>
    <w:rsid w:val="004071E9"/>
    <w:pPr>
      <w:spacing w:after="0" w:line="240" w:lineRule="auto"/>
    </w:pPr>
    <w:rPr>
      <w:rFonts w:ascii="Calibri" w:eastAsia="Calibri" w:hAnsi="Calibri" w:cs="Arial"/>
    </w:rPr>
  </w:style>
  <w:style w:type="paragraph" w:styleId="Revision">
    <w:name w:val="Revision"/>
    <w:hidden/>
    <w:uiPriority w:val="99"/>
    <w:semiHidden/>
    <w:rsid w:val="00650965"/>
    <w:pPr>
      <w:spacing w:after="0" w:line="240" w:lineRule="auto"/>
    </w:pPr>
    <w:rPr>
      <w:rFonts w:eastAsia="Times New Roman" w:cs="Times New Roman"/>
    </w:rPr>
  </w:style>
  <w:style w:type="character" w:customStyle="1" w:styleId="UnresolvedMention">
    <w:name w:val="Unresolved Mention"/>
    <w:basedOn w:val="DefaultParagraphFont"/>
    <w:uiPriority w:val="99"/>
    <w:semiHidden/>
    <w:unhideWhenUsed/>
    <w:rsid w:val="00FE6761"/>
    <w:rPr>
      <w:color w:val="605E5C"/>
      <w:shd w:val="clear" w:color="auto" w:fill="E1DFDD"/>
    </w:rPr>
  </w:style>
  <w:style w:type="paragraph" w:customStyle="1" w:styleId="1">
    <w:name w:val="1"/>
    <w:basedOn w:val="BodyText"/>
    <w:link w:val="1Char"/>
    <w:qFormat/>
    <w:rsid w:val="00041846"/>
    <w:pPr>
      <w:numPr>
        <w:numId w:val="5"/>
      </w:numPr>
      <w:spacing w:before="480" w:after="0"/>
    </w:pPr>
    <w:rPr>
      <w:rFonts w:ascii="Arial" w:hAnsi="Arial" w:cstheme="minorBidi"/>
      <w:iCs/>
      <w:color w:val="000000"/>
      <w:sz w:val="24"/>
      <w:lang w:val="en-GB"/>
    </w:rPr>
  </w:style>
  <w:style w:type="paragraph" w:customStyle="1" w:styleId="3">
    <w:name w:val="3"/>
    <w:basedOn w:val="2"/>
    <w:qFormat/>
    <w:rsid w:val="00041846"/>
    <w:pPr>
      <w:numPr>
        <w:ilvl w:val="2"/>
      </w:numPr>
      <w:tabs>
        <w:tab w:val="clear" w:pos="2552"/>
        <w:tab w:val="num" w:pos="2160"/>
      </w:tabs>
      <w:ind w:left="2160" w:hanging="2160"/>
    </w:pPr>
  </w:style>
  <w:style w:type="paragraph" w:customStyle="1" w:styleId="4">
    <w:name w:val="4"/>
    <w:basedOn w:val="2"/>
    <w:qFormat/>
    <w:rsid w:val="00041846"/>
    <w:pPr>
      <w:numPr>
        <w:ilvl w:val="3"/>
      </w:numPr>
      <w:tabs>
        <w:tab w:val="clear" w:pos="3062"/>
        <w:tab w:val="num" w:pos="2880"/>
      </w:tabs>
      <w:ind w:left="2880" w:hanging="2880"/>
    </w:pPr>
    <w:rPr>
      <w:iCs w:val="0"/>
    </w:rPr>
  </w:style>
  <w:style w:type="paragraph" w:customStyle="1" w:styleId="5">
    <w:name w:val="5"/>
    <w:basedOn w:val="4"/>
    <w:qFormat/>
    <w:rsid w:val="00041846"/>
    <w:pPr>
      <w:numPr>
        <w:ilvl w:val="4"/>
      </w:numPr>
      <w:tabs>
        <w:tab w:val="clear" w:pos="3515"/>
        <w:tab w:val="num" w:pos="3600"/>
      </w:tabs>
      <w:ind w:left="3600" w:hanging="3600"/>
    </w:pPr>
    <w:rPr>
      <w:iCs/>
      <w:szCs w:val="16"/>
      <w:lang w:eastAsia="en-ZA"/>
    </w:rPr>
  </w:style>
  <w:style w:type="paragraph" w:customStyle="1" w:styleId="2">
    <w:name w:val="2"/>
    <w:basedOn w:val="1"/>
    <w:qFormat/>
    <w:rsid w:val="00041846"/>
    <w:pPr>
      <w:numPr>
        <w:ilvl w:val="1"/>
      </w:numPr>
      <w:tabs>
        <w:tab w:val="clear" w:pos="1588"/>
        <w:tab w:val="num" w:pos="1440"/>
      </w:tabs>
      <w:spacing w:before="240"/>
      <w:ind w:left="1440" w:hanging="1440"/>
    </w:pPr>
  </w:style>
  <w:style w:type="character" w:customStyle="1" w:styleId="1Char">
    <w:name w:val="1 Char"/>
    <w:basedOn w:val="DefaultParagraphFont"/>
    <w:link w:val="1"/>
    <w:rsid w:val="00041846"/>
    <w:rPr>
      <w:rFonts w:ascii="Arial" w:eastAsia="Times New Roman" w:hAnsi="Arial"/>
      <w:iCs/>
      <w:color w:val="000000"/>
      <w:sz w:val="24"/>
      <w:lang w:val="en-GB"/>
    </w:rPr>
  </w:style>
  <w:style w:type="paragraph" w:styleId="BodyText">
    <w:name w:val="Body Text"/>
    <w:basedOn w:val="Normal"/>
    <w:link w:val="BodyTextChar"/>
    <w:uiPriority w:val="99"/>
    <w:semiHidden/>
    <w:unhideWhenUsed/>
    <w:rsid w:val="00041846"/>
    <w:pPr>
      <w:spacing w:after="120"/>
    </w:pPr>
  </w:style>
  <w:style w:type="character" w:customStyle="1" w:styleId="BodyTextChar">
    <w:name w:val="Body Text Char"/>
    <w:basedOn w:val="DefaultParagraphFont"/>
    <w:link w:val="BodyText"/>
    <w:uiPriority w:val="99"/>
    <w:semiHidden/>
    <w:rsid w:val="00041846"/>
    <w:rPr>
      <w:rFonts w:eastAsia="Times New Roman" w:cs="Times New Roman"/>
    </w:rPr>
  </w:style>
  <w:style w:type="character" w:styleId="CommentReference">
    <w:name w:val="annotation reference"/>
    <w:basedOn w:val="DefaultParagraphFont"/>
    <w:uiPriority w:val="99"/>
    <w:semiHidden/>
    <w:unhideWhenUsed/>
    <w:rsid w:val="007A4DE5"/>
    <w:rPr>
      <w:sz w:val="16"/>
      <w:szCs w:val="16"/>
    </w:rPr>
  </w:style>
  <w:style w:type="paragraph" w:styleId="CommentText">
    <w:name w:val="annotation text"/>
    <w:basedOn w:val="Normal"/>
    <w:link w:val="CommentTextChar"/>
    <w:uiPriority w:val="99"/>
    <w:semiHidden/>
    <w:unhideWhenUsed/>
    <w:rsid w:val="007A4DE5"/>
    <w:pPr>
      <w:spacing w:line="240" w:lineRule="auto"/>
    </w:pPr>
    <w:rPr>
      <w:sz w:val="20"/>
      <w:szCs w:val="20"/>
    </w:rPr>
  </w:style>
  <w:style w:type="character" w:customStyle="1" w:styleId="CommentTextChar">
    <w:name w:val="Comment Text Char"/>
    <w:basedOn w:val="DefaultParagraphFont"/>
    <w:link w:val="CommentText"/>
    <w:uiPriority w:val="99"/>
    <w:semiHidden/>
    <w:rsid w:val="007A4DE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4DE5"/>
    <w:rPr>
      <w:b/>
      <w:bCs/>
    </w:rPr>
  </w:style>
  <w:style w:type="character" w:customStyle="1" w:styleId="CommentSubjectChar">
    <w:name w:val="Comment Subject Char"/>
    <w:basedOn w:val="CommentTextChar"/>
    <w:link w:val="CommentSubject"/>
    <w:uiPriority w:val="99"/>
    <w:semiHidden/>
    <w:rsid w:val="007A4DE5"/>
    <w:rPr>
      <w:rFonts w:eastAsia="Times New Roman" w:cs="Times New Roman"/>
      <w:b/>
      <w:bCs/>
      <w:sz w:val="20"/>
      <w:szCs w:val="20"/>
    </w:rPr>
  </w:style>
  <w:style w:type="paragraph" w:customStyle="1" w:styleId="ORDER">
    <w:name w:val="ORDER"/>
    <w:basedOn w:val="LC1"/>
    <w:link w:val="ORDERChar"/>
    <w:qFormat/>
    <w:rsid w:val="00143762"/>
    <w:pPr>
      <w:numPr>
        <w:ilvl w:val="3"/>
      </w:numPr>
      <w:ind w:left="1276" w:hanging="567"/>
    </w:pPr>
  </w:style>
  <w:style w:type="character" w:customStyle="1" w:styleId="ORDERChar">
    <w:name w:val="ORDER Char"/>
    <w:basedOn w:val="LC1Char"/>
    <w:link w:val="ORDER"/>
    <w:rsid w:val="00143762"/>
    <w:rPr>
      <w:rFonts w:ascii="Arial" w:hAnsi="Arial" w:cs="Times New Roman"/>
      <w:sz w:val="24"/>
      <w:szCs w:val="20"/>
    </w:rPr>
  </w:style>
  <w:style w:type="paragraph" w:customStyle="1" w:styleId="Default">
    <w:name w:val="Default"/>
    <w:rsid w:val="00072A0B"/>
    <w:pPr>
      <w:autoSpaceDE w:val="0"/>
      <w:autoSpaceDN w:val="0"/>
      <w:adjustRightInd w:val="0"/>
      <w:spacing w:after="0" w:line="240" w:lineRule="auto"/>
    </w:pPr>
    <w:rPr>
      <w:rFonts w:ascii="Verdana" w:hAnsi="Verdana" w:cs="Verdana"/>
      <w:color w:val="000000"/>
      <w:sz w:val="24"/>
      <w:szCs w:val="24"/>
    </w:rPr>
  </w:style>
  <w:style w:type="paragraph" w:customStyle="1" w:styleId="CM27">
    <w:name w:val="CM27"/>
    <w:basedOn w:val="Default"/>
    <w:next w:val="Default"/>
    <w:uiPriority w:val="99"/>
    <w:rsid w:val="00072A0B"/>
    <w:rPr>
      <w:rFonts w:cstheme="minorBidi"/>
      <w:color w:val="auto"/>
    </w:rPr>
  </w:style>
  <w:style w:type="paragraph" w:customStyle="1" w:styleId="ORDERa">
    <w:name w:val="ORDER a"/>
    <w:basedOn w:val="ORDER"/>
    <w:link w:val="ORDERaChar"/>
    <w:qFormat/>
    <w:rsid w:val="005A3DF9"/>
    <w:pPr>
      <w:numPr>
        <w:ilvl w:val="4"/>
      </w:numPr>
      <w:ind w:left="1701"/>
    </w:pPr>
  </w:style>
  <w:style w:type="character" w:customStyle="1" w:styleId="ORDERaChar">
    <w:name w:val="ORDER a Char"/>
    <w:basedOn w:val="ORDERChar"/>
    <w:link w:val="ORDERa"/>
    <w:rsid w:val="005A3DF9"/>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1996">
      <w:bodyDiv w:val="1"/>
      <w:marLeft w:val="0"/>
      <w:marRight w:val="0"/>
      <w:marTop w:val="0"/>
      <w:marBottom w:val="0"/>
      <w:divBdr>
        <w:top w:val="none" w:sz="0" w:space="0" w:color="auto"/>
        <w:left w:val="none" w:sz="0" w:space="0" w:color="auto"/>
        <w:bottom w:val="none" w:sz="0" w:space="0" w:color="auto"/>
        <w:right w:val="none" w:sz="0" w:space="0" w:color="auto"/>
      </w:divBdr>
      <w:divsChild>
        <w:div w:id="632716509">
          <w:marLeft w:val="0"/>
          <w:marRight w:val="0"/>
          <w:marTop w:val="0"/>
          <w:marBottom w:val="0"/>
          <w:divBdr>
            <w:top w:val="none" w:sz="0" w:space="0" w:color="auto"/>
            <w:left w:val="none" w:sz="0" w:space="0" w:color="auto"/>
            <w:bottom w:val="none" w:sz="0" w:space="0" w:color="auto"/>
            <w:right w:val="none" w:sz="0" w:space="0" w:color="auto"/>
          </w:divBdr>
        </w:div>
        <w:div w:id="1549565550">
          <w:marLeft w:val="0"/>
          <w:marRight w:val="0"/>
          <w:marTop w:val="0"/>
          <w:marBottom w:val="0"/>
          <w:divBdr>
            <w:top w:val="none" w:sz="0" w:space="0" w:color="auto"/>
            <w:left w:val="none" w:sz="0" w:space="0" w:color="auto"/>
            <w:bottom w:val="none" w:sz="0" w:space="0" w:color="auto"/>
            <w:right w:val="none" w:sz="0" w:space="0" w:color="auto"/>
          </w:divBdr>
        </w:div>
        <w:div w:id="2142067106">
          <w:marLeft w:val="0"/>
          <w:marRight w:val="0"/>
          <w:marTop w:val="0"/>
          <w:marBottom w:val="0"/>
          <w:divBdr>
            <w:top w:val="none" w:sz="0" w:space="0" w:color="auto"/>
            <w:left w:val="none" w:sz="0" w:space="0" w:color="auto"/>
            <w:bottom w:val="none" w:sz="0" w:space="0" w:color="auto"/>
            <w:right w:val="none" w:sz="0" w:space="0" w:color="auto"/>
          </w:divBdr>
        </w:div>
        <w:div w:id="1019812558">
          <w:marLeft w:val="0"/>
          <w:marRight w:val="0"/>
          <w:marTop w:val="0"/>
          <w:marBottom w:val="0"/>
          <w:divBdr>
            <w:top w:val="none" w:sz="0" w:space="0" w:color="auto"/>
            <w:left w:val="none" w:sz="0" w:space="0" w:color="auto"/>
            <w:bottom w:val="none" w:sz="0" w:space="0" w:color="auto"/>
            <w:right w:val="none" w:sz="0" w:space="0" w:color="auto"/>
          </w:divBdr>
        </w:div>
        <w:div w:id="1701278451">
          <w:marLeft w:val="0"/>
          <w:marRight w:val="0"/>
          <w:marTop w:val="0"/>
          <w:marBottom w:val="0"/>
          <w:divBdr>
            <w:top w:val="none" w:sz="0" w:space="0" w:color="auto"/>
            <w:left w:val="none" w:sz="0" w:space="0" w:color="auto"/>
            <w:bottom w:val="none" w:sz="0" w:space="0" w:color="auto"/>
            <w:right w:val="none" w:sz="0" w:space="0" w:color="auto"/>
          </w:divBdr>
        </w:div>
        <w:div w:id="54278814">
          <w:marLeft w:val="0"/>
          <w:marRight w:val="0"/>
          <w:marTop w:val="0"/>
          <w:marBottom w:val="0"/>
          <w:divBdr>
            <w:top w:val="none" w:sz="0" w:space="0" w:color="auto"/>
            <w:left w:val="none" w:sz="0" w:space="0" w:color="auto"/>
            <w:bottom w:val="none" w:sz="0" w:space="0" w:color="auto"/>
            <w:right w:val="none" w:sz="0" w:space="0" w:color="auto"/>
          </w:divBdr>
        </w:div>
        <w:div w:id="1811172879">
          <w:marLeft w:val="0"/>
          <w:marRight w:val="0"/>
          <w:marTop w:val="0"/>
          <w:marBottom w:val="0"/>
          <w:divBdr>
            <w:top w:val="none" w:sz="0" w:space="0" w:color="auto"/>
            <w:left w:val="none" w:sz="0" w:space="0" w:color="auto"/>
            <w:bottom w:val="none" w:sz="0" w:space="0" w:color="auto"/>
            <w:right w:val="none" w:sz="0" w:space="0" w:color="auto"/>
          </w:divBdr>
        </w:div>
        <w:div w:id="563876191">
          <w:marLeft w:val="0"/>
          <w:marRight w:val="0"/>
          <w:marTop w:val="0"/>
          <w:marBottom w:val="0"/>
          <w:divBdr>
            <w:top w:val="none" w:sz="0" w:space="0" w:color="auto"/>
            <w:left w:val="none" w:sz="0" w:space="0" w:color="auto"/>
            <w:bottom w:val="none" w:sz="0" w:space="0" w:color="auto"/>
            <w:right w:val="none" w:sz="0" w:space="0" w:color="auto"/>
          </w:divBdr>
        </w:div>
      </w:divsChild>
    </w:div>
    <w:div w:id="125513372">
      <w:bodyDiv w:val="1"/>
      <w:marLeft w:val="0"/>
      <w:marRight w:val="0"/>
      <w:marTop w:val="0"/>
      <w:marBottom w:val="0"/>
      <w:divBdr>
        <w:top w:val="none" w:sz="0" w:space="0" w:color="auto"/>
        <w:left w:val="none" w:sz="0" w:space="0" w:color="auto"/>
        <w:bottom w:val="none" w:sz="0" w:space="0" w:color="auto"/>
        <w:right w:val="none" w:sz="0" w:space="0" w:color="auto"/>
      </w:divBdr>
      <w:divsChild>
        <w:div w:id="20281497">
          <w:marLeft w:val="0"/>
          <w:marRight w:val="0"/>
          <w:marTop w:val="0"/>
          <w:marBottom w:val="0"/>
          <w:divBdr>
            <w:top w:val="none" w:sz="0" w:space="0" w:color="auto"/>
            <w:left w:val="none" w:sz="0" w:space="0" w:color="auto"/>
            <w:bottom w:val="none" w:sz="0" w:space="0" w:color="auto"/>
            <w:right w:val="none" w:sz="0" w:space="0" w:color="auto"/>
          </w:divBdr>
        </w:div>
        <w:div w:id="585892424">
          <w:marLeft w:val="0"/>
          <w:marRight w:val="0"/>
          <w:marTop w:val="0"/>
          <w:marBottom w:val="0"/>
          <w:divBdr>
            <w:top w:val="none" w:sz="0" w:space="0" w:color="auto"/>
            <w:left w:val="none" w:sz="0" w:space="0" w:color="auto"/>
            <w:bottom w:val="none" w:sz="0" w:space="0" w:color="auto"/>
            <w:right w:val="none" w:sz="0" w:space="0" w:color="auto"/>
          </w:divBdr>
        </w:div>
        <w:div w:id="338771899">
          <w:marLeft w:val="0"/>
          <w:marRight w:val="0"/>
          <w:marTop w:val="0"/>
          <w:marBottom w:val="0"/>
          <w:divBdr>
            <w:top w:val="none" w:sz="0" w:space="0" w:color="auto"/>
            <w:left w:val="none" w:sz="0" w:space="0" w:color="auto"/>
            <w:bottom w:val="none" w:sz="0" w:space="0" w:color="auto"/>
            <w:right w:val="none" w:sz="0" w:space="0" w:color="auto"/>
          </w:divBdr>
        </w:div>
        <w:div w:id="1985964649">
          <w:marLeft w:val="0"/>
          <w:marRight w:val="0"/>
          <w:marTop w:val="0"/>
          <w:marBottom w:val="0"/>
          <w:divBdr>
            <w:top w:val="none" w:sz="0" w:space="0" w:color="auto"/>
            <w:left w:val="none" w:sz="0" w:space="0" w:color="auto"/>
            <w:bottom w:val="none" w:sz="0" w:space="0" w:color="auto"/>
            <w:right w:val="none" w:sz="0" w:space="0" w:color="auto"/>
          </w:divBdr>
        </w:div>
        <w:div w:id="2029791523">
          <w:marLeft w:val="0"/>
          <w:marRight w:val="0"/>
          <w:marTop w:val="0"/>
          <w:marBottom w:val="0"/>
          <w:divBdr>
            <w:top w:val="none" w:sz="0" w:space="0" w:color="auto"/>
            <w:left w:val="none" w:sz="0" w:space="0" w:color="auto"/>
            <w:bottom w:val="none" w:sz="0" w:space="0" w:color="auto"/>
            <w:right w:val="none" w:sz="0" w:space="0" w:color="auto"/>
          </w:divBdr>
        </w:div>
        <w:div w:id="1174761123">
          <w:marLeft w:val="0"/>
          <w:marRight w:val="0"/>
          <w:marTop w:val="0"/>
          <w:marBottom w:val="0"/>
          <w:divBdr>
            <w:top w:val="none" w:sz="0" w:space="0" w:color="auto"/>
            <w:left w:val="none" w:sz="0" w:space="0" w:color="auto"/>
            <w:bottom w:val="none" w:sz="0" w:space="0" w:color="auto"/>
            <w:right w:val="none" w:sz="0" w:space="0" w:color="auto"/>
          </w:divBdr>
        </w:div>
      </w:divsChild>
    </w:div>
    <w:div w:id="144013706">
      <w:bodyDiv w:val="1"/>
      <w:marLeft w:val="0"/>
      <w:marRight w:val="0"/>
      <w:marTop w:val="0"/>
      <w:marBottom w:val="0"/>
      <w:divBdr>
        <w:top w:val="none" w:sz="0" w:space="0" w:color="auto"/>
        <w:left w:val="none" w:sz="0" w:space="0" w:color="auto"/>
        <w:bottom w:val="none" w:sz="0" w:space="0" w:color="auto"/>
        <w:right w:val="none" w:sz="0" w:space="0" w:color="auto"/>
      </w:divBdr>
      <w:divsChild>
        <w:div w:id="927271151">
          <w:marLeft w:val="0"/>
          <w:marRight w:val="0"/>
          <w:marTop w:val="0"/>
          <w:marBottom w:val="0"/>
          <w:divBdr>
            <w:top w:val="none" w:sz="0" w:space="0" w:color="auto"/>
            <w:left w:val="none" w:sz="0" w:space="0" w:color="auto"/>
            <w:bottom w:val="none" w:sz="0" w:space="0" w:color="auto"/>
            <w:right w:val="none" w:sz="0" w:space="0" w:color="auto"/>
          </w:divBdr>
        </w:div>
        <w:div w:id="1434201348">
          <w:marLeft w:val="0"/>
          <w:marRight w:val="0"/>
          <w:marTop w:val="0"/>
          <w:marBottom w:val="0"/>
          <w:divBdr>
            <w:top w:val="none" w:sz="0" w:space="0" w:color="auto"/>
            <w:left w:val="none" w:sz="0" w:space="0" w:color="auto"/>
            <w:bottom w:val="none" w:sz="0" w:space="0" w:color="auto"/>
            <w:right w:val="none" w:sz="0" w:space="0" w:color="auto"/>
          </w:divBdr>
        </w:div>
      </w:divsChild>
    </w:div>
    <w:div w:id="238294125">
      <w:bodyDiv w:val="1"/>
      <w:marLeft w:val="0"/>
      <w:marRight w:val="0"/>
      <w:marTop w:val="0"/>
      <w:marBottom w:val="0"/>
      <w:divBdr>
        <w:top w:val="none" w:sz="0" w:space="0" w:color="auto"/>
        <w:left w:val="none" w:sz="0" w:space="0" w:color="auto"/>
        <w:bottom w:val="none" w:sz="0" w:space="0" w:color="auto"/>
        <w:right w:val="none" w:sz="0" w:space="0" w:color="auto"/>
      </w:divBdr>
      <w:divsChild>
        <w:div w:id="1642466894">
          <w:marLeft w:val="0"/>
          <w:marRight w:val="0"/>
          <w:marTop w:val="0"/>
          <w:marBottom w:val="0"/>
          <w:divBdr>
            <w:top w:val="none" w:sz="0" w:space="0" w:color="auto"/>
            <w:left w:val="none" w:sz="0" w:space="0" w:color="auto"/>
            <w:bottom w:val="none" w:sz="0" w:space="0" w:color="auto"/>
            <w:right w:val="none" w:sz="0" w:space="0" w:color="auto"/>
          </w:divBdr>
        </w:div>
        <w:div w:id="1250769080">
          <w:marLeft w:val="0"/>
          <w:marRight w:val="0"/>
          <w:marTop w:val="0"/>
          <w:marBottom w:val="0"/>
          <w:divBdr>
            <w:top w:val="none" w:sz="0" w:space="0" w:color="auto"/>
            <w:left w:val="none" w:sz="0" w:space="0" w:color="auto"/>
            <w:bottom w:val="none" w:sz="0" w:space="0" w:color="auto"/>
            <w:right w:val="none" w:sz="0" w:space="0" w:color="auto"/>
          </w:divBdr>
        </w:div>
        <w:div w:id="238297684">
          <w:marLeft w:val="0"/>
          <w:marRight w:val="0"/>
          <w:marTop w:val="0"/>
          <w:marBottom w:val="0"/>
          <w:divBdr>
            <w:top w:val="none" w:sz="0" w:space="0" w:color="auto"/>
            <w:left w:val="none" w:sz="0" w:space="0" w:color="auto"/>
            <w:bottom w:val="none" w:sz="0" w:space="0" w:color="auto"/>
            <w:right w:val="none" w:sz="0" w:space="0" w:color="auto"/>
          </w:divBdr>
        </w:div>
      </w:divsChild>
    </w:div>
    <w:div w:id="253055834">
      <w:bodyDiv w:val="1"/>
      <w:marLeft w:val="0"/>
      <w:marRight w:val="0"/>
      <w:marTop w:val="0"/>
      <w:marBottom w:val="0"/>
      <w:divBdr>
        <w:top w:val="none" w:sz="0" w:space="0" w:color="auto"/>
        <w:left w:val="none" w:sz="0" w:space="0" w:color="auto"/>
        <w:bottom w:val="none" w:sz="0" w:space="0" w:color="auto"/>
        <w:right w:val="none" w:sz="0" w:space="0" w:color="auto"/>
      </w:divBdr>
      <w:divsChild>
        <w:div w:id="557278072">
          <w:marLeft w:val="0"/>
          <w:marRight w:val="0"/>
          <w:marTop w:val="0"/>
          <w:marBottom w:val="0"/>
          <w:divBdr>
            <w:top w:val="none" w:sz="0" w:space="0" w:color="auto"/>
            <w:left w:val="none" w:sz="0" w:space="0" w:color="auto"/>
            <w:bottom w:val="none" w:sz="0" w:space="0" w:color="auto"/>
            <w:right w:val="none" w:sz="0" w:space="0" w:color="auto"/>
          </w:divBdr>
        </w:div>
        <w:div w:id="551818198">
          <w:marLeft w:val="0"/>
          <w:marRight w:val="0"/>
          <w:marTop w:val="0"/>
          <w:marBottom w:val="0"/>
          <w:divBdr>
            <w:top w:val="none" w:sz="0" w:space="0" w:color="auto"/>
            <w:left w:val="none" w:sz="0" w:space="0" w:color="auto"/>
            <w:bottom w:val="none" w:sz="0" w:space="0" w:color="auto"/>
            <w:right w:val="none" w:sz="0" w:space="0" w:color="auto"/>
          </w:divBdr>
        </w:div>
        <w:div w:id="52971922">
          <w:marLeft w:val="0"/>
          <w:marRight w:val="0"/>
          <w:marTop w:val="0"/>
          <w:marBottom w:val="0"/>
          <w:divBdr>
            <w:top w:val="none" w:sz="0" w:space="0" w:color="auto"/>
            <w:left w:val="none" w:sz="0" w:space="0" w:color="auto"/>
            <w:bottom w:val="none" w:sz="0" w:space="0" w:color="auto"/>
            <w:right w:val="none" w:sz="0" w:space="0" w:color="auto"/>
          </w:divBdr>
        </w:div>
        <w:div w:id="180896642">
          <w:marLeft w:val="0"/>
          <w:marRight w:val="0"/>
          <w:marTop w:val="0"/>
          <w:marBottom w:val="0"/>
          <w:divBdr>
            <w:top w:val="none" w:sz="0" w:space="0" w:color="auto"/>
            <w:left w:val="none" w:sz="0" w:space="0" w:color="auto"/>
            <w:bottom w:val="none" w:sz="0" w:space="0" w:color="auto"/>
            <w:right w:val="none" w:sz="0" w:space="0" w:color="auto"/>
          </w:divBdr>
        </w:div>
        <w:div w:id="2082603685">
          <w:marLeft w:val="0"/>
          <w:marRight w:val="0"/>
          <w:marTop w:val="0"/>
          <w:marBottom w:val="0"/>
          <w:divBdr>
            <w:top w:val="none" w:sz="0" w:space="0" w:color="auto"/>
            <w:left w:val="none" w:sz="0" w:space="0" w:color="auto"/>
            <w:bottom w:val="none" w:sz="0" w:space="0" w:color="auto"/>
            <w:right w:val="none" w:sz="0" w:space="0" w:color="auto"/>
          </w:divBdr>
        </w:div>
      </w:divsChild>
    </w:div>
    <w:div w:id="268051193">
      <w:bodyDiv w:val="1"/>
      <w:marLeft w:val="0"/>
      <w:marRight w:val="0"/>
      <w:marTop w:val="0"/>
      <w:marBottom w:val="0"/>
      <w:divBdr>
        <w:top w:val="none" w:sz="0" w:space="0" w:color="auto"/>
        <w:left w:val="none" w:sz="0" w:space="0" w:color="auto"/>
        <w:bottom w:val="none" w:sz="0" w:space="0" w:color="auto"/>
        <w:right w:val="none" w:sz="0" w:space="0" w:color="auto"/>
      </w:divBdr>
    </w:div>
    <w:div w:id="279259738">
      <w:bodyDiv w:val="1"/>
      <w:marLeft w:val="0"/>
      <w:marRight w:val="0"/>
      <w:marTop w:val="0"/>
      <w:marBottom w:val="0"/>
      <w:divBdr>
        <w:top w:val="none" w:sz="0" w:space="0" w:color="auto"/>
        <w:left w:val="none" w:sz="0" w:space="0" w:color="auto"/>
        <w:bottom w:val="none" w:sz="0" w:space="0" w:color="auto"/>
        <w:right w:val="none" w:sz="0" w:space="0" w:color="auto"/>
      </w:divBdr>
      <w:divsChild>
        <w:div w:id="1400444433">
          <w:marLeft w:val="0"/>
          <w:marRight w:val="0"/>
          <w:marTop w:val="0"/>
          <w:marBottom w:val="0"/>
          <w:divBdr>
            <w:top w:val="none" w:sz="0" w:space="0" w:color="auto"/>
            <w:left w:val="none" w:sz="0" w:space="0" w:color="auto"/>
            <w:bottom w:val="none" w:sz="0" w:space="0" w:color="auto"/>
            <w:right w:val="none" w:sz="0" w:space="0" w:color="auto"/>
          </w:divBdr>
        </w:div>
        <w:div w:id="231429223">
          <w:marLeft w:val="0"/>
          <w:marRight w:val="0"/>
          <w:marTop w:val="0"/>
          <w:marBottom w:val="0"/>
          <w:divBdr>
            <w:top w:val="none" w:sz="0" w:space="0" w:color="auto"/>
            <w:left w:val="none" w:sz="0" w:space="0" w:color="auto"/>
            <w:bottom w:val="none" w:sz="0" w:space="0" w:color="auto"/>
            <w:right w:val="none" w:sz="0" w:space="0" w:color="auto"/>
          </w:divBdr>
        </w:div>
      </w:divsChild>
    </w:div>
    <w:div w:id="301346730">
      <w:bodyDiv w:val="1"/>
      <w:marLeft w:val="0"/>
      <w:marRight w:val="0"/>
      <w:marTop w:val="0"/>
      <w:marBottom w:val="0"/>
      <w:divBdr>
        <w:top w:val="none" w:sz="0" w:space="0" w:color="auto"/>
        <w:left w:val="none" w:sz="0" w:space="0" w:color="auto"/>
        <w:bottom w:val="none" w:sz="0" w:space="0" w:color="auto"/>
        <w:right w:val="none" w:sz="0" w:space="0" w:color="auto"/>
      </w:divBdr>
      <w:divsChild>
        <w:div w:id="1561210540">
          <w:marLeft w:val="0"/>
          <w:marRight w:val="0"/>
          <w:marTop w:val="0"/>
          <w:marBottom w:val="0"/>
          <w:divBdr>
            <w:top w:val="none" w:sz="0" w:space="0" w:color="auto"/>
            <w:left w:val="none" w:sz="0" w:space="0" w:color="auto"/>
            <w:bottom w:val="none" w:sz="0" w:space="0" w:color="auto"/>
            <w:right w:val="none" w:sz="0" w:space="0" w:color="auto"/>
          </w:divBdr>
          <w:divsChild>
            <w:div w:id="952906634">
              <w:marLeft w:val="0"/>
              <w:marRight w:val="0"/>
              <w:marTop w:val="0"/>
              <w:marBottom w:val="0"/>
              <w:divBdr>
                <w:top w:val="none" w:sz="0" w:space="0" w:color="auto"/>
                <w:left w:val="none" w:sz="0" w:space="0" w:color="auto"/>
                <w:bottom w:val="none" w:sz="0" w:space="0" w:color="auto"/>
                <w:right w:val="none" w:sz="0" w:space="0" w:color="auto"/>
              </w:divBdr>
              <w:divsChild>
                <w:div w:id="1222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13887">
      <w:bodyDiv w:val="1"/>
      <w:marLeft w:val="0"/>
      <w:marRight w:val="0"/>
      <w:marTop w:val="0"/>
      <w:marBottom w:val="0"/>
      <w:divBdr>
        <w:top w:val="none" w:sz="0" w:space="0" w:color="auto"/>
        <w:left w:val="none" w:sz="0" w:space="0" w:color="auto"/>
        <w:bottom w:val="none" w:sz="0" w:space="0" w:color="auto"/>
        <w:right w:val="none" w:sz="0" w:space="0" w:color="auto"/>
      </w:divBdr>
    </w:div>
    <w:div w:id="320542999">
      <w:bodyDiv w:val="1"/>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sChild>
                <w:div w:id="12750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8753">
      <w:bodyDiv w:val="1"/>
      <w:marLeft w:val="0"/>
      <w:marRight w:val="0"/>
      <w:marTop w:val="0"/>
      <w:marBottom w:val="0"/>
      <w:divBdr>
        <w:top w:val="none" w:sz="0" w:space="0" w:color="auto"/>
        <w:left w:val="none" w:sz="0" w:space="0" w:color="auto"/>
        <w:bottom w:val="none" w:sz="0" w:space="0" w:color="auto"/>
        <w:right w:val="none" w:sz="0" w:space="0" w:color="auto"/>
      </w:divBdr>
      <w:divsChild>
        <w:div w:id="194272014">
          <w:marLeft w:val="0"/>
          <w:marRight w:val="0"/>
          <w:marTop w:val="0"/>
          <w:marBottom w:val="0"/>
          <w:divBdr>
            <w:top w:val="none" w:sz="0" w:space="0" w:color="auto"/>
            <w:left w:val="none" w:sz="0" w:space="0" w:color="auto"/>
            <w:bottom w:val="none" w:sz="0" w:space="0" w:color="auto"/>
            <w:right w:val="none" w:sz="0" w:space="0" w:color="auto"/>
          </w:divBdr>
        </w:div>
        <w:div w:id="1267228726">
          <w:marLeft w:val="0"/>
          <w:marRight w:val="0"/>
          <w:marTop w:val="0"/>
          <w:marBottom w:val="0"/>
          <w:divBdr>
            <w:top w:val="none" w:sz="0" w:space="0" w:color="auto"/>
            <w:left w:val="none" w:sz="0" w:space="0" w:color="auto"/>
            <w:bottom w:val="none" w:sz="0" w:space="0" w:color="auto"/>
            <w:right w:val="none" w:sz="0" w:space="0" w:color="auto"/>
          </w:divBdr>
        </w:div>
        <w:div w:id="744568322">
          <w:marLeft w:val="0"/>
          <w:marRight w:val="0"/>
          <w:marTop w:val="0"/>
          <w:marBottom w:val="0"/>
          <w:divBdr>
            <w:top w:val="none" w:sz="0" w:space="0" w:color="auto"/>
            <w:left w:val="none" w:sz="0" w:space="0" w:color="auto"/>
            <w:bottom w:val="none" w:sz="0" w:space="0" w:color="auto"/>
            <w:right w:val="none" w:sz="0" w:space="0" w:color="auto"/>
          </w:divBdr>
        </w:div>
        <w:div w:id="2089646077">
          <w:marLeft w:val="0"/>
          <w:marRight w:val="0"/>
          <w:marTop w:val="0"/>
          <w:marBottom w:val="0"/>
          <w:divBdr>
            <w:top w:val="none" w:sz="0" w:space="0" w:color="auto"/>
            <w:left w:val="none" w:sz="0" w:space="0" w:color="auto"/>
            <w:bottom w:val="none" w:sz="0" w:space="0" w:color="auto"/>
            <w:right w:val="none" w:sz="0" w:space="0" w:color="auto"/>
          </w:divBdr>
        </w:div>
        <w:div w:id="1486238424">
          <w:marLeft w:val="0"/>
          <w:marRight w:val="0"/>
          <w:marTop w:val="0"/>
          <w:marBottom w:val="0"/>
          <w:divBdr>
            <w:top w:val="none" w:sz="0" w:space="0" w:color="auto"/>
            <w:left w:val="none" w:sz="0" w:space="0" w:color="auto"/>
            <w:bottom w:val="none" w:sz="0" w:space="0" w:color="auto"/>
            <w:right w:val="none" w:sz="0" w:space="0" w:color="auto"/>
          </w:divBdr>
        </w:div>
        <w:div w:id="763501257">
          <w:marLeft w:val="0"/>
          <w:marRight w:val="0"/>
          <w:marTop w:val="0"/>
          <w:marBottom w:val="0"/>
          <w:divBdr>
            <w:top w:val="none" w:sz="0" w:space="0" w:color="auto"/>
            <w:left w:val="none" w:sz="0" w:space="0" w:color="auto"/>
            <w:bottom w:val="none" w:sz="0" w:space="0" w:color="auto"/>
            <w:right w:val="none" w:sz="0" w:space="0" w:color="auto"/>
          </w:divBdr>
        </w:div>
      </w:divsChild>
    </w:div>
    <w:div w:id="405035146">
      <w:bodyDiv w:val="1"/>
      <w:marLeft w:val="0"/>
      <w:marRight w:val="0"/>
      <w:marTop w:val="0"/>
      <w:marBottom w:val="0"/>
      <w:divBdr>
        <w:top w:val="none" w:sz="0" w:space="0" w:color="auto"/>
        <w:left w:val="none" w:sz="0" w:space="0" w:color="auto"/>
        <w:bottom w:val="none" w:sz="0" w:space="0" w:color="auto"/>
        <w:right w:val="none" w:sz="0" w:space="0" w:color="auto"/>
      </w:divBdr>
    </w:div>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1615139068">
          <w:marLeft w:val="0"/>
          <w:marRight w:val="0"/>
          <w:marTop w:val="0"/>
          <w:marBottom w:val="0"/>
          <w:divBdr>
            <w:top w:val="none" w:sz="0" w:space="0" w:color="auto"/>
            <w:left w:val="none" w:sz="0" w:space="0" w:color="auto"/>
            <w:bottom w:val="none" w:sz="0" w:space="0" w:color="auto"/>
            <w:right w:val="none" w:sz="0" w:space="0" w:color="auto"/>
          </w:divBdr>
          <w:divsChild>
            <w:div w:id="1732145913">
              <w:marLeft w:val="0"/>
              <w:marRight w:val="0"/>
              <w:marTop w:val="0"/>
              <w:marBottom w:val="0"/>
              <w:divBdr>
                <w:top w:val="none" w:sz="0" w:space="0" w:color="auto"/>
                <w:left w:val="none" w:sz="0" w:space="0" w:color="auto"/>
                <w:bottom w:val="none" w:sz="0" w:space="0" w:color="auto"/>
                <w:right w:val="none" w:sz="0" w:space="0" w:color="auto"/>
              </w:divBdr>
              <w:divsChild>
                <w:div w:id="1579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03543">
      <w:bodyDiv w:val="1"/>
      <w:marLeft w:val="0"/>
      <w:marRight w:val="0"/>
      <w:marTop w:val="0"/>
      <w:marBottom w:val="0"/>
      <w:divBdr>
        <w:top w:val="none" w:sz="0" w:space="0" w:color="auto"/>
        <w:left w:val="none" w:sz="0" w:space="0" w:color="auto"/>
        <w:bottom w:val="none" w:sz="0" w:space="0" w:color="auto"/>
        <w:right w:val="none" w:sz="0" w:space="0" w:color="auto"/>
      </w:divBdr>
    </w:div>
    <w:div w:id="421145134">
      <w:bodyDiv w:val="1"/>
      <w:marLeft w:val="0"/>
      <w:marRight w:val="0"/>
      <w:marTop w:val="0"/>
      <w:marBottom w:val="0"/>
      <w:divBdr>
        <w:top w:val="none" w:sz="0" w:space="0" w:color="auto"/>
        <w:left w:val="none" w:sz="0" w:space="0" w:color="auto"/>
        <w:bottom w:val="none" w:sz="0" w:space="0" w:color="auto"/>
        <w:right w:val="none" w:sz="0" w:space="0" w:color="auto"/>
      </w:divBdr>
      <w:divsChild>
        <w:div w:id="1928802238">
          <w:marLeft w:val="0"/>
          <w:marRight w:val="0"/>
          <w:marTop w:val="0"/>
          <w:marBottom w:val="0"/>
          <w:divBdr>
            <w:top w:val="none" w:sz="0" w:space="0" w:color="auto"/>
            <w:left w:val="none" w:sz="0" w:space="0" w:color="auto"/>
            <w:bottom w:val="none" w:sz="0" w:space="0" w:color="auto"/>
            <w:right w:val="none" w:sz="0" w:space="0" w:color="auto"/>
          </w:divBdr>
          <w:divsChild>
            <w:div w:id="894198353">
              <w:marLeft w:val="0"/>
              <w:marRight w:val="0"/>
              <w:marTop w:val="0"/>
              <w:marBottom w:val="0"/>
              <w:divBdr>
                <w:top w:val="none" w:sz="0" w:space="0" w:color="auto"/>
                <w:left w:val="none" w:sz="0" w:space="0" w:color="auto"/>
                <w:bottom w:val="none" w:sz="0" w:space="0" w:color="auto"/>
                <w:right w:val="none" w:sz="0" w:space="0" w:color="auto"/>
              </w:divBdr>
              <w:divsChild>
                <w:div w:id="1433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6433">
      <w:bodyDiv w:val="1"/>
      <w:marLeft w:val="0"/>
      <w:marRight w:val="0"/>
      <w:marTop w:val="0"/>
      <w:marBottom w:val="0"/>
      <w:divBdr>
        <w:top w:val="none" w:sz="0" w:space="0" w:color="auto"/>
        <w:left w:val="none" w:sz="0" w:space="0" w:color="auto"/>
        <w:bottom w:val="none" w:sz="0" w:space="0" w:color="auto"/>
        <w:right w:val="none" w:sz="0" w:space="0" w:color="auto"/>
      </w:divBdr>
      <w:divsChild>
        <w:div w:id="684327867">
          <w:marLeft w:val="0"/>
          <w:marRight w:val="0"/>
          <w:marTop w:val="0"/>
          <w:marBottom w:val="0"/>
          <w:divBdr>
            <w:top w:val="none" w:sz="0" w:space="0" w:color="auto"/>
            <w:left w:val="none" w:sz="0" w:space="0" w:color="auto"/>
            <w:bottom w:val="none" w:sz="0" w:space="0" w:color="auto"/>
            <w:right w:val="none" w:sz="0" w:space="0" w:color="auto"/>
          </w:divBdr>
          <w:divsChild>
            <w:div w:id="1340549327">
              <w:marLeft w:val="0"/>
              <w:marRight w:val="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1943">
      <w:bodyDiv w:val="1"/>
      <w:marLeft w:val="0"/>
      <w:marRight w:val="0"/>
      <w:marTop w:val="0"/>
      <w:marBottom w:val="0"/>
      <w:divBdr>
        <w:top w:val="none" w:sz="0" w:space="0" w:color="auto"/>
        <w:left w:val="none" w:sz="0" w:space="0" w:color="auto"/>
        <w:bottom w:val="none" w:sz="0" w:space="0" w:color="auto"/>
        <w:right w:val="none" w:sz="0" w:space="0" w:color="auto"/>
      </w:divBdr>
      <w:divsChild>
        <w:div w:id="1437602262">
          <w:marLeft w:val="0"/>
          <w:marRight w:val="0"/>
          <w:marTop w:val="0"/>
          <w:marBottom w:val="0"/>
          <w:divBdr>
            <w:top w:val="none" w:sz="0" w:space="0" w:color="auto"/>
            <w:left w:val="none" w:sz="0" w:space="0" w:color="auto"/>
            <w:bottom w:val="none" w:sz="0" w:space="0" w:color="auto"/>
            <w:right w:val="none" w:sz="0" w:space="0" w:color="auto"/>
          </w:divBdr>
        </w:div>
        <w:div w:id="960652097">
          <w:marLeft w:val="0"/>
          <w:marRight w:val="0"/>
          <w:marTop w:val="0"/>
          <w:marBottom w:val="0"/>
          <w:divBdr>
            <w:top w:val="none" w:sz="0" w:space="0" w:color="auto"/>
            <w:left w:val="none" w:sz="0" w:space="0" w:color="auto"/>
            <w:bottom w:val="none" w:sz="0" w:space="0" w:color="auto"/>
            <w:right w:val="none" w:sz="0" w:space="0" w:color="auto"/>
          </w:divBdr>
        </w:div>
        <w:div w:id="1290208037">
          <w:marLeft w:val="0"/>
          <w:marRight w:val="0"/>
          <w:marTop w:val="0"/>
          <w:marBottom w:val="0"/>
          <w:divBdr>
            <w:top w:val="none" w:sz="0" w:space="0" w:color="auto"/>
            <w:left w:val="none" w:sz="0" w:space="0" w:color="auto"/>
            <w:bottom w:val="none" w:sz="0" w:space="0" w:color="auto"/>
            <w:right w:val="none" w:sz="0" w:space="0" w:color="auto"/>
          </w:divBdr>
        </w:div>
      </w:divsChild>
    </w:div>
    <w:div w:id="610550229">
      <w:bodyDiv w:val="1"/>
      <w:marLeft w:val="0"/>
      <w:marRight w:val="0"/>
      <w:marTop w:val="0"/>
      <w:marBottom w:val="0"/>
      <w:divBdr>
        <w:top w:val="none" w:sz="0" w:space="0" w:color="auto"/>
        <w:left w:val="none" w:sz="0" w:space="0" w:color="auto"/>
        <w:bottom w:val="none" w:sz="0" w:space="0" w:color="auto"/>
        <w:right w:val="none" w:sz="0" w:space="0" w:color="auto"/>
      </w:divBdr>
      <w:divsChild>
        <w:div w:id="59183061">
          <w:marLeft w:val="0"/>
          <w:marRight w:val="0"/>
          <w:marTop w:val="0"/>
          <w:marBottom w:val="0"/>
          <w:divBdr>
            <w:top w:val="none" w:sz="0" w:space="0" w:color="auto"/>
            <w:left w:val="none" w:sz="0" w:space="0" w:color="auto"/>
            <w:bottom w:val="none" w:sz="0" w:space="0" w:color="auto"/>
            <w:right w:val="none" w:sz="0" w:space="0" w:color="auto"/>
          </w:divBdr>
        </w:div>
        <w:div w:id="1685979614">
          <w:marLeft w:val="0"/>
          <w:marRight w:val="0"/>
          <w:marTop w:val="0"/>
          <w:marBottom w:val="0"/>
          <w:divBdr>
            <w:top w:val="none" w:sz="0" w:space="0" w:color="auto"/>
            <w:left w:val="none" w:sz="0" w:space="0" w:color="auto"/>
            <w:bottom w:val="none" w:sz="0" w:space="0" w:color="auto"/>
            <w:right w:val="none" w:sz="0" w:space="0" w:color="auto"/>
          </w:divBdr>
        </w:div>
      </w:divsChild>
    </w:div>
    <w:div w:id="617176444">
      <w:bodyDiv w:val="1"/>
      <w:marLeft w:val="0"/>
      <w:marRight w:val="0"/>
      <w:marTop w:val="0"/>
      <w:marBottom w:val="0"/>
      <w:divBdr>
        <w:top w:val="none" w:sz="0" w:space="0" w:color="auto"/>
        <w:left w:val="none" w:sz="0" w:space="0" w:color="auto"/>
        <w:bottom w:val="none" w:sz="0" w:space="0" w:color="auto"/>
        <w:right w:val="none" w:sz="0" w:space="0" w:color="auto"/>
      </w:divBdr>
      <w:divsChild>
        <w:div w:id="629899097">
          <w:marLeft w:val="0"/>
          <w:marRight w:val="0"/>
          <w:marTop w:val="0"/>
          <w:marBottom w:val="0"/>
          <w:divBdr>
            <w:top w:val="none" w:sz="0" w:space="0" w:color="auto"/>
            <w:left w:val="none" w:sz="0" w:space="0" w:color="auto"/>
            <w:bottom w:val="none" w:sz="0" w:space="0" w:color="auto"/>
            <w:right w:val="none" w:sz="0" w:space="0" w:color="auto"/>
          </w:divBdr>
          <w:divsChild>
            <w:div w:id="1528132854">
              <w:marLeft w:val="0"/>
              <w:marRight w:val="0"/>
              <w:marTop w:val="0"/>
              <w:marBottom w:val="0"/>
              <w:divBdr>
                <w:top w:val="none" w:sz="0" w:space="0" w:color="auto"/>
                <w:left w:val="none" w:sz="0" w:space="0" w:color="auto"/>
                <w:bottom w:val="none" w:sz="0" w:space="0" w:color="auto"/>
                <w:right w:val="none" w:sz="0" w:space="0" w:color="auto"/>
              </w:divBdr>
              <w:divsChild>
                <w:div w:id="687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8576">
      <w:bodyDiv w:val="1"/>
      <w:marLeft w:val="0"/>
      <w:marRight w:val="0"/>
      <w:marTop w:val="0"/>
      <w:marBottom w:val="0"/>
      <w:divBdr>
        <w:top w:val="none" w:sz="0" w:space="0" w:color="auto"/>
        <w:left w:val="none" w:sz="0" w:space="0" w:color="auto"/>
        <w:bottom w:val="none" w:sz="0" w:space="0" w:color="auto"/>
        <w:right w:val="none" w:sz="0" w:space="0" w:color="auto"/>
      </w:divBdr>
    </w:div>
    <w:div w:id="642007607">
      <w:bodyDiv w:val="1"/>
      <w:marLeft w:val="0"/>
      <w:marRight w:val="0"/>
      <w:marTop w:val="0"/>
      <w:marBottom w:val="0"/>
      <w:divBdr>
        <w:top w:val="none" w:sz="0" w:space="0" w:color="auto"/>
        <w:left w:val="none" w:sz="0" w:space="0" w:color="auto"/>
        <w:bottom w:val="none" w:sz="0" w:space="0" w:color="auto"/>
        <w:right w:val="none" w:sz="0" w:space="0" w:color="auto"/>
      </w:divBdr>
    </w:div>
    <w:div w:id="763887979">
      <w:bodyDiv w:val="1"/>
      <w:marLeft w:val="0"/>
      <w:marRight w:val="0"/>
      <w:marTop w:val="0"/>
      <w:marBottom w:val="0"/>
      <w:divBdr>
        <w:top w:val="none" w:sz="0" w:space="0" w:color="auto"/>
        <w:left w:val="none" w:sz="0" w:space="0" w:color="auto"/>
        <w:bottom w:val="none" w:sz="0" w:space="0" w:color="auto"/>
        <w:right w:val="none" w:sz="0" w:space="0" w:color="auto"/>
      </w:divBdr>
      <w:divsChild>
        <w:div w:id="1947076680">
          <w:marLeft w:val="0"/>
          <w:marRight w:val="0"/>
          <w:marTop w:val="0"/>
          <w:marBottom w:val="0"/>
          <w:divBdr>
            <w:top w:val="none" w:sz="0" w:space="0" w:color="auto"/>
            <w:left w:val="none" w:sz="0" w:space="0" w:color="auto"/>
            <w:bottom w:val="none" w:sz="0" w:space="0" w:color="auto"/>
            <w:right w:val="none" w:sz="0" w:space="0" w:color="auto"/>
          </w:divBdr>
          <w:divsChild>
            <w:div w:id="1274048059">
              <w:marLeft w:val="0"/>
              <w:marRight w:val="0"/>
              <w:marTop w:val="0"/>
              <w:marBottom w:val="0"/>
              <w:divBdr>
                <w:top w:val="none" w:sz="0" w:space="0" w:color="auto"/>
                <w:left w:val="none" w:sz="0" w:space="0" w:color="auto"/>
                <w:bottom w:val="none" w:sz="0" w:space="0" w:color="auto"/>
                <w:right w:val="none" w:sz="0" w:space="0" w:color="auto"/>
              </w:divBdr>
              <w:divsChild>
                <w:div w:id="1578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7513">
      <w:bodyDiv w:val="1"/>
      <w:marLeft w:val="0"/>
      <w:marRight w:val="0"/>
      <w:marTop w:val="0"/>
      <w:marBottom w:val="0"/>
      <w:divBdr>
        <w:top w:val="none" w:sz="0" w:space="0" w:color="auto"/>
        <w:left w:val="none" w:sz="0" w:space="0" w:color="auto"/>
        <w:bottom w:val="none" w:sz="0" w:space="0" w:color="auto"/>
        <w:right w:val="none" w:sz="0" w:space="0" w:color="auto"/>
      </w:divBdr>
      <w:divsChild>
        <w:div w:id="1776710639">
          <w:marLeft w:val="0"/>
          <w:marRight w:val="0"/>
          <w:marTop w:val="0"/>
          <w:marBottom w:val="0"/>
          <w:divBdr>
            <w:top w:val="none" w:sz="0" w:space="0" w:color="auto"/>
            <w:left w:val="none" w:sz="0" w:space="0" w:color="auto"/>
            <w:bottom w:val="none" w:sz="0" w:space="0" w:color="auto"/>
            <w:right w:val="none" w:sz="0" w:space="0" w:color="auto"/>
          </w:divBdr>
        </w:div>
        <w:div w:id="1110273136">
          <w:marLeft w:val="0"/>
          <w:marRight w:val="0"/>
          <w:marTop w:val="0"/>
          <w:marBottom w:val="0"/>
          <w:divBdr>
            <w:top w:val="none" w:sz="0" w:space="0" w:color="auto"/>
            <w:left w:val="none" w:sz="0" w:space="0" w:color="auto"/>
            <w:bottom w:val="none" w:sz="0" w:space="0" w:color="auto"/>
            <w:right w:val="none" w:sz="0" w:space="0" w:color="auto"/>
          </w:divBdr>
        </w:div>
      </w:divsChild>
    </w:div>
    <w:div w:id="81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022">
          <w:marLeft w:val="0"/>
          <w:marRight w:val="0"/>
          <w:marTop w:val="0"/>
          <w:marBottom w:val="0"/>
          <w:divBdr>
            <w:top w:val="none" w:sz="0" w:space="0" w:color="auto"/>
            <w:left w:val="none" w:sz="0" w:space="0" w:color="auto"/>
            <w:bottom w:val="none" w:sz="0" w:space="0" w:color="auto"/>
            <w:right w:val="none" w:sz="0" w:space="0" w:color="auto"/>
          </w:divBdr>
          <w:divsChild>
            <w:div w:id="1598752760">
              <w:marLeft w:val="0"/>
              <w:marRight w:val="0"/>
              <w:marTop w:val="0"/>
              <w:marBottom w:val="0"/>
              <w:divBdr>
                <w:top w:val="none" w:sz="0" w:space="0" w:color="auto"/>
                <w:left w:val="none" w:sz="0" w:space="0" w:color="auto"/>
                <w:bottom w:val="none" w:sz="0" w:space="0" w:color="auto"/>
                <w:right w:val="none" w:sz="0" w:space="0" w:color="auto"/>
              </w:divBdr>
              <w:divsChild>
                <w:div w:id="2107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2155">
      <w:bodyDiv w:val="1"/>
      <w:marLeft w:val="0"/>
      <w:marRight w:val="0"/>
      <w:marTop w:val="0"/>
      <w:marBottom w:val="0"/>
      <w:divBdr>
        <w:top w:val="none" w:sz="0" w:space="0" w:color="auto"/>
        <w:left w:val="none" w:sz="0" w:space="0" w:color="auto"/>
        <w:bottom w:val="none" w:sz="0" w:space="0" w:color="auto"/>
        <w:right w:val="none" w:sz="0" w:space="0" w:color="auto"/>
      </w:divBdr>
      <w:divsChild>
        <w:div w:id="1297681050">
          <w:marLeft w:val="0"/>
          <w:marRight w:val="0"/>
          <w:marTop w:val="0"/>
          <w:marBottom w:val="0"/>
          <w:divBdr>
            <w:top w:val="none" w:sz="0" w:space="0" w:color="auto"/>
            <w:left w:val="none" w:sz="0" w:space="0" w:color="auto"/>
            <w:bottom w:val="none" w:sz="0" w:space="0" w:color="auto"/>
            <w:right w:val="none" w:sz="0" w:space="0" w:color="auto"/>
          </w:divBdr>
        </w:div>
        <w:div w:id="1116564261">
          <w:marLeft w:val="0"/>
          <w:marRight w:val="0"/>
          <w:marTop w:val="0"/>
          <w:marBottom w:val="0"/>
          <w:divBdr>
            <w:top w:val="none" w:sz="0" w:space="0" w:color="auto"/>
            <w:left w:val="none" w:sz="0" w:space="0" w:color="auto"/>
            <w:bottom w:val="none" w:sz="0" w:space="0" w:color="auto"/>
            <w:right w:val="none" w:sz="0" w:space="0" w:color="auto"/>
          </w:divBdr>
        </w:div>
        <w:div w:id="230389643">
          <w:marLeft w:val="0"/>
          <w:marRight w:val="0"/>
          <w:marTop w:val="0"/>
          <w:marBottom w:val="0"/>
          <w:divBdr>
            <w:top w:val="none" w:sz="0" w:space="0" w:color="auto"/>
            <w:left w:val="none" w:sz="0" w:space="0" w:color="auto"/>
            <w:bottom w:val="none" w:sz="0" w:space="0" w:color="auto"/>
            <w:right w:val="none" w:sz="0" w:space="0" w:color="auto"/>
          </w:divBdr>
        </w:div>
      </w:divsChild>
    </w:div>
    <w:div w:id="830146149">
      <w:bodyDiv w:val="1"/>
      <w:marLeft w:val="0"/>
      <w:marRight w:val="0"/>
      <w:marTop w:val="0"/>
      <w:marBottom w:val="0"/>
      <w:divBdr>
        <w:top w:val="none" w:sz="0" w:space="0" w:color="auto"/>
        <w:left w:val="none" w:sz="0" w:space="0" w:color="auto"/>
        <w:bottom w:val="none" w:sz="0" w:space="0" w:color="auto"/>
        <w:right w:val="none" w:sz="0" w:space="0" w:color="auto"/>
      </w:divBdr>
      <w:divsChild>
        <w:div w:id="1972396377">
          <w:marLeft w:val="0"/>
          <w:marRight w:val="0"/>
          <w:marTop w:val="0"/>
          <w:marBottom w:val="0"/>
          <w:divBdr>
            <w:top w:val="none" w:sz="0" w:space="0" w:color="auto"/>
            <w:left w:val="none" w:sz="0" w:space="0" w:color="auto"/>
            <w:bottom w:val="none" w:sz="0" w:space="0" w:color="auto"/>
            <w:right w:val="none" w:sz="0" w:space="0" w:color="auto"/>
          </w:divBdr>
          <w:divsChild>
            <w:div w:id="1219902391">
              <w:marLeft w:val="0"/>
              <w:marRight w:val="0"/>
              <w:marTop w:val="0"/>
              <w:marBottom w:val="0"/>
              <w:divBdr>
                <w:top w:val="none" w:sz="0" w:space="0" w:color="auto"/>
                <w:left w:val="none" w:sz="0" w:space="0" w:color="auto"/>
                <w:bottom w:val="none" w:sz="0" w:space="0" w:color="auto"/>
                <w:right w:val="none" w:sz="0" w:space="0" w:color="auto"/>
              </w:divBdr>
              <w:divsChild>
                <w:div w:id="53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6507">
      <w:bodyDiv w:val="1"/>
      <w:marLeft w:val="0"/>
      <w:marRight w:val="0"/>
      <w:marTop w:val="0"/>
      <w:marBottom w:val="0"/>
      <w:divBdr>
        <w:top w:val="none" w:sz="0" w:space="0" w:color="auto"/>
        <w:left w:val="none" w:sz="0" w:space="0" w:color="auto"/>
        <w:bottom w:val="none" w:sz="0" w:space="0" w:color="auto"/>
        <w:right w:val="none" w:sz="0" w:space="0" w:color="auto"/>
      </w:divBdr>
      <w:divsChild>
        <w:div w:id="152110664">
          <w:marLeft w:val="0"/>
          <w:marRight w:val="0"/>
          <w:marTop w:val="0"/>
          <w:marBottom w:val="0"/>
          <w:divBdr>
            <w:top w:val="none" w:sz="0" w:space="0" w:color="auto"/>
            <w:left w:val="none" w:sz="0" w:space="0" w:color="auto"/>
            <w:bottom w:val="none" w:sz="0" w:space="0" w:color="auto"/>
            <w:right w:val="none" w:sz="0" w:space="0" w:color="auto"/>
          </w:divBdr>
        </w:div>
        <w:div w:id="1946382482">
          <w:marLeft w:val="0"/>
          <w:marRight w:val="0"/>
          <w:marTop w:val="0"/>
          <w:marBottom w:val="0"/>
          <w:divBdr>
            <w:top w:val="none" w:sz="0" w:space="0" w:color="auto"/>
            <w:left w:val="none" w:sz="0" w:space="0" w:color="auto"/>
            <w:bottom w:val="none" w:sz="0" w:space="0" w:color="auto"/>
            <w:right w:val="none" w:sz="0" w:space="0" w:color="auto"/>
          </w:divBdr>
        </w:div>
      </w:divsChild>
    </w:div>
    <w:div w:id="903220655">
      <w:bodyDiv w:val="1"/>
      <w:marLeft w:val="0"/>
      <w:marRight w:val="0"/>
      <w:marTop w:val="0"/>
      <w:marBottom w:val="0"/>
      <w:divBdr>
        <w:top w:val="none" w:sz="0" w:space="0" w:color="auto"/>
        <w:left w:val="none" w:sz="0" w:space="0" w:color="auto"/>
        <w:bottom w:val="none" w:sz="0" w:space="0" w:color="auto"/>
        <w:right w:val="none" w:sz="0" w:space="0" w:color="auto"/>
      </w:divBdr>
      <w:divsChild>
        <w:div w:id="887424275">
          <w:marLeft w:val="0"/>
          <w:marRight w:val="0"/>
          <w:marTop w:val="0"/>
          <w:marBottom w:val="0"/>
          <w:divBdr>
            <w:top w:val="none" w:sz="0" w:space="0" w:color="auto"/>
            <w:left w:val="none" w:sz="0" w:space="0" w:color="auto"/>
            <w:bottom w:val="none" w:sz="0" w:space="0" w:color="auto"/>
            <w:right w:val="none" w:sz="0" w:space="0" w:color="auto"/>
          </w:divBdr>
          <w:divsChild>
            <w:div w:id="1504853131">
              <w:marLeft w:val="0"/>
              <w:marRight w:val="0"/>
              <w:marTop w:val="0"/>
              <w:marBottom w:val="0"/>
              <w:divBdr>
                <w:top w:val="none" w:sz="0" w:space="0" w:color="auto"/>
                <w:left w:val="none" w:sz="0" w:space="0" w:color="auto"/>
                <w:bottom w:val="none" w:sz="0" w:space="0" w:color="auto"/>
                <w:right w:val="none" w:sz="0" w:space="0" w:color="auto"/>
              </w:divBdr>
              <w:divsChild>
                <w:div w:id="399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5583">
      <w:bodyDiv w:val="1"/>
      <w:marLeft w:val="0"/>
      <w:marRight w:val="0"/>
      <w:marTop w:val="0"/>
      <w:marBottom w:val="0"/>
      <w:divBdr>
        <w:top w:val="none" w:sz="0" w:space="0" w:color="auto"/>
        <w:left w:val="none" w:sz="0" w:space="0" w:color="auto"/>
        <w:bottom w:val="none" w:sz="0" w:space="0" w:color="auto"/>
        <w:right w:val="none" w:sz="0" w:space="0" w:color="auto"/>
      </w:divBdr>
      <w:divsChild>
        <w:div w:id="1258176465">
          <w:marLeft w:val="0"/>
          <w:marRight w:val="0"/>
          <w:marTop w:val="0"/>
          <w:marBottom w:val="0"/>
          <w:divBdr>
            <w:top w:val="none" w:sz="0" w:space="0" w:color="auto"/>
            <w:left w:val="none" w:sz="0" w:space="0" w:color="auto"/>
            <w:bottom w:val="none" w:sz="0" w:space="0" w:color="auto"/>
            <w:right w:val="none" w:sz="0" w:space="0" w:color="auto"/>
          </w:divBdr>
          <w:divsChild>
            <w:div w:id="137650338">
              <w:marLeft w:val="0"/>
              <w:marRight w:val="0"/>
              <w:marTop w:val="0"/>
              <w:marBottom w:val="0"/>
              <w:divBdr>
                <w:top w:val="none" w:sz="0" w:space="0" w:color="auto"/>
                <w:left w:val="none" w:sz="0" w:space="0" w:color="auto"/>
                <w:bottom w:val="none" w:sz="0" w:space="0" w:color="auto"/>
                <w:right w:val="none" w:sz="0" w:space="0" w:color="auto"/>
              </w:divBdr>
              <w:divsChild>
                <w:div w:id="1771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3762">
      <w:bodyDiv w:val="1"/>
      <w:marLeft w:val="0"/>
      <w:marRight w:val="0"/>
      <w:marTop w:val="0"/>
      <w:marBottom w:val="0"/>
      <w:divBdr>
        <w:top w:val="none" w:sz="0" w:space="0" w:color="auto"/>
        <w:left w:val="none" w:sz="0" w:space="0" w:color="auto"/>
        <w:bottom w:val="none" w:sz="0" w:space="0" w:color="auto"/>
        <w:right w:val="none" w:sz="0" w:space="0" w:color="auto"/>
      </w:divBdr>
      <w:divsChild>
        <w:div w:id="9335131">
          <w:marLeft w:val="0"/>
          <w:marRight w:val="0"/>
          <w:marTop w:val="0"/>
          <w:marBottom w:val="0"/>
          <w:divBdr>
            <w:top w:val="none" w:sz="0" w:space="0" w:color="auto"/>
            <w:left w:val="none" w:sz="0" w:space="0" w:color="auto"/>
            <w:bottom w:val="none" w:sz="0" w:space="0" w:color="auto"/>
            <w:right w:val="none" w:sz="0" w:space="0" w:color="auto"/>
          </w:divBdr>
        </w:div>
        <w:div w:id="1576278450">
          <w:marLeft w:val="0"/>
          <w:marRight w:val="0"/>
          <w:marTop w:val="0"/>
          <w:marBottom w:val="0"/>
          <w:divBdr>
            <w:top w:val="none" w:sz="0" w:space="0" w:color="auto"/>
            <w:left w:val="none" w:sz="0" w:space="0" w:color="auto"/>
            <w:bottom w:val="none" w:sz="0" w:space="0" w:color="auto"/>
            <w:right w:val="none" w:sz="0" w:space="0" w:color="auto"/>
          </w:divBdr>
        </w:div>
        <w:div w:id="1662733497">
          <w:marLeft w:val="0"/>
          <w:marRight w:val="0"/>
          <w:marTop w:val="0"/>
          <w:marBottom w:val="0"/>
          <w:divBdr>
            <w:top w:val="none" w:sz="0" w:space="0" w:color="auto"/>
            <w:left w:val="none" w:sz="0" w:space="0" w:color="auto"/>
            <w:bottom w:val="none" w:sz="0" w:space="0" w:color="auto"/>
            <w:right w:val="none" w:sz="0" w:space="0" w:color="auto"/>
          </w:divBdr>
        </w:div>
        <w:div w:id="1658804136">
          <w:marLeft w:val="0"/>
          <w:marRight w:val="0"/>
          <w:marTop w:val="0"/>
          <w:marBottom w:val="0"/>
          <w:divBdr>
            <w:top w:val="none" w:sz="0" w:space="0" w:color="auto"/>
            <w:left w:val="none" w:sz="0" w:space="0" w:color="auto"/>
            <w:bottom w:val="none" w:sz="0" w:space="0" w:color="auto"/>
            <w:right w:val="none" w:sz="0" w:space="0" w:color="auto"/>
          </w:divBdr>
        </w:div>
        <w:div w:id="1483740255">
          <w:marLeft w:val="0"/>
          <w:marRight w:val="0"/>
          <w:marTop w:val="0"/>
          <w:marBottom w:val="0"/>
          <w:divBdr>
            <w:top w:val="none" w:sz="0" w:space="0" w:color="auto"/>
            <w:left w:val="none" w:sz="0" w:space="0" w:color="auto"/>
            <w:bottom w:val="none" w:sz="0" w:space="0" w:color="auto"/>
            <w:right w:val="none" w:sz="0" w:space="0" w:color="auto"/>
          </w:divBdr>
        </w:div>
        <w:div w:id="318970923">
          <w:marLeft w:val="0"/>
          <w:marRight w:val="0"/>
          <w:marTop w:val="0"/>
          <w:marBottom w:val="0"/>
          <w:divBdr>
            <w:top w:val="none" w:sz="0" w:space="0" w:color="auto"/>
            <w:left w:val="none" w:sz="0" w:space="0" w:color="auto"/>
            <w:bottom w:val="none" w:sz="0" w:space="0" w:color="auto"/>
            <w:right w:val="none" w:sz="0" w:space="0" w:color="auto"/>
          </w:divBdr>
        </w:div>
      </w:divsChild>
    </w:div>
    <w:div w:id="1112482186">
      <w:bodyDiv w:val="1"/>
      <w:marLeft w:val="0"/>
      <w:marRight w:val="0"/>
      <w:marTop w:val="0"/>
      <w:marBottom w:val="0"/>
      <w:divBdr>
        <w:top w:val="none" w:sz="0" w:space="0" w:color="auto"/>
        <w:left w:val="none" w:sz="0" w:space="0" w:color="auto"/>
        <w:bottom w:val="none" w:sz="0" w:space="0" w:color="auto"/>
        <w:right w:val="none" w:sz="0" w:space="0" w:color="auto"/>
      </w:divBdr>
      <w:divsChild>
        <w:div w:id="659043028">
          <w:marLeft w:val="0"/>
          <w:marRight w:val="0"/>
          <w:marTop w:val="0"/>
          <w:marBottom w:val="0"/>
          <w:divBdr>
            <w:top w:val="none" w:sz="0" w:space="0" w:color="auto"/>
            <w:left w:val="none" w:sz="0" w:space="0" w:color="auto"/>
            <w:bottom w:val="none" w:sz="0" w:space="0" w:color="auto"/>
            <w:right w:val="none" w:sz="0" w:space="0" w:color="auto"/>
          </w:divBdr>
        </w:div>
        <w:div w:id="2146121357">
          <w:marLeft w:val="0"/>
          <w:marRight w:val="0"/>
          <w:marTop w:val="0"/>
          <w:marBottom w:val="0"/>
          <w:divBdr>
            <w:top w:val="none" w:sz="0" w:space="0" w:color="auto"/>
            <w:left w:val="none" w:sz="0" w:space="0" w:color="auto"/>
            <w:bottom w:val="none" w:sz="0" w:space="0" w:color="auto"/>
            <w:right w:val="none" w:sz="0" w:space="0" w:color="auto"/>
          </w:divBdr>
        </w:div>
        <w:div w:id="1558585141">
          <w:marLeft w:val="0"/>
          <w:marRight w:val="0"/>
          <w:marTop w:val="0"/>
          <w:marBottom w:val="0"/>
          <w:divBdr>
            <w:top w:val="none" w:sz="0" w:space="0" w:color="auto"/>
            <w:left w:val="none" w:sz="0" w:space="0" w:color="auto"/>
            <w:bottom w:val="none" w:sz="0" w:space="0" w:color="auto"/>
            <w:right w:val="none" w:sz="0" w:space="0" w:color="auto"/>
          </w:divBdr>
        </w:div>
        <w:div w:id="865338054">
          <w:marLeft w:val="0"/>
          <w:marRight w:val="0"/>
          <w:marTop w:val="0"/>
          <w:marBottom w:val="0"/>
          <w:divBdr>
            <w:top w:val="none" w:sz="0" w:space="0" w:color="auto"/>
            <w:left w:val="none" w:sz="0" w:space="0" w:color="auto"/>
            <w:bottom w:val="none" w:sz="0" w:space="0" w:color="auto"/>
            <w:right w:val="none" w:sz="0" w:space="0" w:color="auto"/>
          </w:divBdr>
        </w:div>
        <w:div w:id="1639450886">
          <w:marLeft w:val="0"/>
          <w:marRight w:val="0"/>
          <w:marTop w:val="0"/>
          <w:marBottom w:val="0"/>
          <w:divBdr>
            <w:top w:val="none" w:sz="0" w:space="0" w:color="auto"/>
            <w:left w:val="none" w:sz="0" w:space="0" w:color="auto"/>
            <w:bottom w:val="none" w:sz="0" w:space="0" w:color="auto"/>
            <w:right w:val="none" w:sz="0" w:space="0" w:color="auto"/>
          </w:divBdr>
        </w:div>
      </w:divsChild>
    </w:div>
    <w:div w:id="1119569020">
      <w:bodyDiv w:val="1"/>
      <w:marLeft w:val="0"/>
      <w:marRight w:val="0"/>
      <w:marTop w:val="0"/>
      <w:marBottom w:val="0"/>
      <w:divBdr>
        <w:top w:val="none" w:sz="0" w:space="0" w:color="auto"/>
        <w:left w:val="none" w:sz="0" w:space="0" w:color="auto"/>
        <w:bottom w:val="none" w:sz="0" w:space="0" w:color="auto"/>
        <w:right w:val="none" w:sz="0" w:space="0" w:color="auto"/>
      </w:divBdr>
    </w:div>
    <w:div w:id="1130366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 w:id="1135175142">
      <w:bodyDiv w:val="1"/>
      <w:marLeft w:val="0"/>
      <w:marRight w:val="0"/>
      <w:marTop w:val="0"/>
      <w:marBottom w:val="0"/>
      <w:divBdr>
        <w:top w:val="none" w:sz="0" w:space="0" w:color="auto"/>
        <w:left w:val="none" w:sz="0" w:space="0" w:color="auto"/>
        <w:bottom w:val="none" w:sz="0" w:space="0" w:color="auto"/>
        <w:right w:val="none" w:sz="0" w:space="0" w:color="auto"/>
      </w:divBdr>
      <w:divsChild>
        <w:div w:id="794837975">
          <w:marLeft w:val="0"/>
          <w:marRight w:val="0"/>
          <w:marTop w:val="0"/>
          <w:marBottom w:val="0"/>
          <w:divBdr>
            <w:top w:val="none" w:sz="0" w:space="0" w:color="auto"/>
            <w:left w:val="none" w:sz="0" w:space="0" w:color="auto"/>
            <w:bottom w:val="none" w:sz="0" w:space="0" w:color="auto"/>
            <w:right w:val="none" w:sz="0" w:space="0" w:color="auto"/>
          </w:divBdr>
        </w:div>
        <w:div w:id="772744742">
          <w:marLeft w:val="0"/>
          <w:marRight w:val="0"/>
          <w:marTop w:val="0"/>
          <w:marBottom w:val="0"/>
          <w:divBdr>
            <w:top w:val="none" w:sz="0" w:space="0" w:color="auto"/>
            <w:left w:val="none" w:sz="0" w:space="0" w:color="auto"/>
            <w:bottom w:val="none" w:sz="0" w:space="0" w:color="auto"/>
            <w:right w:val="none" w:sz="0" w:space="0" w:color="auto"/>
          </w:divBdr>
        </w:div>
        <w:div w:id="286132957">
          <w:marLeft w:val="0"/>
          <w:marRight w:val="0"/>
          <w:marTop w:val="0"/>
          <w:marBottom w:val="0"/>
          <w:divBdr>
            <w:top w:val="none" w:sz="0" w:space="0" w:color="auto"/>
            <w:left w:val="none" w:sz="0" w:space="0" w:color="auto"/>
            <w:bottom w:val="none" w:sz="0" w:space="0" w:color="auto"/>
            <w:right w:val="none" w:sz="0" w:space="0" w:color="auto"/>
          </w:divBdr>
        </w:div>
      </w:divsChild>
    </w:div>
    <w:div w:id="11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475944715">
          <w:marLeft w:val="0"/>
          <w:marRight w:val="0"/>
          <w:marTop w:val="0"/>
          <w:marBottom w:val="0"/>
          <w:divBdr>
            <w:top w:val="none" w:sz="0" w:space="0" w:color="auto"/>
            <w:left w:val="none" w:sz="0" w:space="0" w:color="auto"/>
            <w:bottom w:val="none" w:sz="0" w:space="0" w:color="auto"/>
            <w:right w:val="none" w:sz="0" w:space="0" w:color="auto"/>
          </w:divBdr>
          <w:divsChild>
            <w:div w:id="1338121881">
              <w:marLeft w:val="0"/>
              <w:marRight w:val="0"/>
              <w:marTop w:val="0"/>
              <w:marBottom w:val="0"/>
              <w:divBdr>
                <w:top w:val="none" w:sz="0" w:space="0" w:color="auto"/>
                <w:left w:val="none" w:sz="0" w:space="0" w:color="auto"/>
                <w:bottom w:val="none" w:sz="0" w:space="0" w:color="auto"/>
                <w:right w:val="none" w:sz="0" w:space="0" w:color="auto"/>
              </w:divBdr>
              <w:divsChild>
                <w:div w:id="2020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2980">
      <w:bodyDiv w:val="1"/>
      <w:marLeft w:val="0"/>
      <w:marRight w:val="0"/>
      <w:marTop w:val="0"/>
      <w:marBottom w:val="0"/>
      <w:divBdr>
        <w:top w:val="none" w:sz="0" w:space="0" w:color="auto"/>
        <w:left w:val="none" w:sz="0" w:space="0" w:color="auto"/>
        <w:bottom w:val="none" w:sz="0" w:space="0" w:color="auto"/>
        <w:right w:val="none" w:sz="0" w:space="0" w:color="auto"/>
      </w:divBdr>
      <w:divsChild>
        <w:div w:id="316152107">
          <w:marLeft w:val="0"/>
          <w:marRight w:val="0"/>
          <w:marTop w:val="0"/>
          <w:marBottom w:val="0"/>
          <w:divBdr>
            <w:top w:val="none" w:sz="0" w:space="0" w:color="auto"/>
            <w:left w:val="none" w:sz="0" w:space="0" w:color="auto"/>
            <w:bottom w:val="none" w:sz="0" w:space="0" w:color="auto"/>
            <w:right w:val="none" w:sz="0" w:space="0" w:color="auto"/>
          </w:divBdr>
        </w:div>
        <w:div w:id="420300203">
          <w:marLeft w:val="0"/>
          <w:marRight w:val="0"/>
          <w:marTop w:val="0"/>
          <w:marBottom w:val="0"/>
          <w:divBdr>
            <w:top w:val="none" w:sz="0" w:space="0" w:color="auto"/>
            <w:left w:val="none" w:sz="0" w:space="0" w:color="auto"/>
            <w:bottom w:val="none" w:sz="0" w:space="0" w:color="auto"/>
            <w:right w:val="none" w:sz="0" w:space="0" w:color="auto"/>
          </w:divBdr>
        </w:div>
      </w:divsChild>
    </w:div>
    <w:div w:id="1216896219">
      <w:bodyDiv w:val="1"/>
      <w:marLeft w:val="0"/>
      <w:marRight w:val="0"/>
      <w:marTop w:val="0"/>
      <w:marBottom w:val="0"/>
      <w:divBdr>
        <w:top w:val="none" w:sz="0" w:space="0" w:color="auto"/>
        <w:left w:val="none" w:sz="0" w:space="0" w:color="auto"/>
        <w:bottom w:val="none" w:sz="0" w:space="0" w:color="auto"/>
        <w:right w:val="none" w:sz="0" w:space="0" w:color="auto"/>
      </w:divBdr>
      <w:divsChild>
        <w:div w:id="852451260">
          <w:marLeft w:val="0"/>
          <w:marRight w:val="0"/>
          <w:marTop w:val="0"/>
          <w:marBottom w:val="0"/>
          <w:divBdr>
            <w:top w:val="none" w:sz="0" w:space="0" w:color="auto"/>
            <w:left w:val="none" w:sz="0" w:space="0" w:color="auto"/>
            <w:bottom w:val="none" w:sz="0" w:space="0" w:color="auto"/>
            <w:right w:val="none" w:sz="0" w:space="0" w:color="auto"/>
          </w:divBdr>
          <w:divsChild>
            <w:div w:id="1474635927">
              <w:marLeft w:val="0"/>
              <w:marRight w:val="0"/>
              <w:marTop w:val="0"/>
              <w:marBottom w:val="0"/>
              <w:divBdr>
                <w:top w:val="none" w:sz="0" w:space="0" w:color="auto"/>
                <w:left w:val="none" w:sz="0" w:space="0" w:color="auto"/>
                <w:bottom w:val="none" w:sz="0" w:space="0" w:color="auto"/>
                <w:right w:val="none" w:sz="0" w:space="0" w:color="auto"/>
              </w:divBdr>
              <w:divsChild>
                <w:div w:id="677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604">
      <w:bodyDiv w:val="1"/>
      <w:marLeft w:val="0"/>
      <w:marRight w:val="0"/>
      <w:marTop w:val="0"/>
      <w:marBottom w:val="0"/>
      <w:divBdr>
        <w:top w:val="none" w:sz="0" w:space="0" w:color="auto"/>
        <w:left w:val="none" w:sz="0" w:space="0" w:color="auto"/>
        <w:bottom w:val="none" w:sz="0" w:space="0" w:color="auto"/>
        <w:right w:val="none" w:sz="0" w:space="0" w:color="auto"/>
      </w:divBdr>
      <w:divsChild>
        <w:div w:id="834689989">
          <w:marLeft w:val="0"/>
          <w:marRight w:val="0"/>
          <w:marTop w:val="0"/>
          <w:marBottom w:val="0"/>
          <w:divBdr>
            <w:top w:val="none" w:sz="0" w:space="0" w:color="auto"/>
            <w:left w:val="none" w:sz="0" w:space="0" w:color="auto"/>
            <w:bottom w:val="none" w:sz="0" w:space="0" w:color="auto"/>
            <w:right w:val="none" w:sz="0" w:space="0" w:color="auto"/>
          </w:divBdr>
          <w:divsChild>
            <w:div w:id="681007251">
              <w:marLeft w:val="0"/>
              <w:marRight w:val="0"/>
              <w:marTop w:val="0"/>
              <w:marBottom w:val="0"/>
              <w:divBdr>
                <w:top w:val="none" w:sz="0" w:space="0" w:color="auto"/>
                <w:left w:val="none" w:sz="0" w:space="0" w:color="auto"/>
                <w:bottom w:val="none" w:sz="0" w:space="0" w:color="auto"/>
                <w:right w:val="none" w:sz="0" w:space="0" w:color="auto"/>
              </w:divBdr>
              <w:divsChild>
                <w:div w:id="1002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580">
      <w:bodyDiv w:val="1"/>
      <w:marLeft w:val="0"/>
      <w:marRight w:val="0"/>
      <w:marTop w:val="0"/>
      <w:marBottom w:val="0"/>
      <w:divBdr>
        <w:top w:val="none" w:sz="0" w:space="0" w:color="auto"/>
        <w:left w:val="none" w:sz="0" w:space="0" w:color="auto"/>
        <w:bottom w:val="none" w:sz="0" w:space="0" w:color="auto"/>
        <w:right w:val="none" w:sz="0" w:space="0" w:color="auto"/>
      </w:divBdr>
    </w:div>
    <w:div w:id="1377392671">
      <w:bodyDiv w:val="1"/>
      <w:marLeft w:val="0"/>
      <w:marRight w:val="0"/>
      <w:marTop w:val="0"/>
      <w:marBottom w:val="0"/>
      <w:divBdr>
        <w:top w:val="none" w:sz="0" w:space="0" w:color="auto"/>
        <w:left w:val="none" w:sz="0" w:space="0" w:color="auto"/>
        <w:bottom w:val="none" w:sz="0" w:space="0" w:color="auto"/>
        <w:right w:val="none" w:sz="0" w:space="0" w:color="auto"/>
      </w:divBdr>
    </w:div>
    <w:div w:id="1398016446">
      <w:bodyDiv w:val="1"/>
      <w:marLeft w:val="0"/>
      <w:marRight w:val="0"/>
      <w:marTop w:val="0"/>
      <w:marBottom w:val="0"/>
      <w:divBdr>
        <w:top w:val="none" w:sz="0" w:space="0" w:color="auto"/>
        <w:left w:val="none" w:sz="0" w:space="0" w:color="auto"/>
        <w:bottom w:val="none" w:sz="0" w:space="0" w:color="auto"/>
        <w:right w:val="none" w:sz="0" w:space="0" w:color="auto"/>
      </w:divBdr>
      <w:divsChild>
        <w:div w:id="84881484">
          <w:marLeft w:val="0"/>
          <w:marRight w:val="0"/>
          <w:marTop w:val="0"/>
          <w:marBottom w:val="0"/>
          <w:divBdr>
            <w:top w:val="none" w:sz="0" w:space="0" w:color="auto"/>
            <w:left w:val="none" w:sz="0" w:space="0" w:color="auto"/>
            <w:bottom w:val="none" w:sz="0" w:space="0" w:color="auto"/>
            <w:right w:val="none" w:sz="0" w:space="0" w:color="auto"/>
          </w:divBdr>
        </w:div>
        <w:div w:id="1838303845">
          <w:marLeft w:val="0"/>
          <w:marRight w:val="0"/>
          <w:marTop w:val="0"/>
          <w:marBottom w:val="0"/>
          <w:divBdr>
            <w:top w:val="none" w:sz="0" w:space="0" w:color="auto"/>
            <w:left w:val="none" w:sz="0" w:space="0" w:color="auto"/>
            <w:bottom w:val="none" w:sz="0" w:space="0" w:color="auto"/>
            <w:right w:val="none" w:sz="0" w:space="0" w:color="auto"/>
          </w:divBdr>
        </w:div>
        <w:div w:id="302388909">
          <w:marLeft w:val="0"/>
          <w:marRight w:val="0"/>
          <w:marTop w:val="0"/>
          <w:marBottom w:val="0"/>
          <w:divBdr>
            <w:top w:val="none" w:sz="0" w:space="0" w:color="auto"/>
            <w:left w:val="none" w:sz="0" w:space="0" w:color="auto"/>
            <w:bottom w:val="none" w:sz="0" w:space="0" w:color="auto"/>
            <w:right w:val="none" w:sz="0" w:space="0" w:color="auto"/>
          </w:divBdr>
        </w:div>
        <w:div w:id="1791708543">
          <w:marLeft w:val="0"/>
          <w:marRight w:val="0"/>
          <w:marTop w:val="0"/>
          <w:marBottom w:val="0"/>
          <w:divBdr>
            <w:top w:val="none" w:sz="0" w:space="0" w:color="auto"/>
            <w:left w:val="none" w:sz="0" w:space="0" w:color="auto"/>
            <w:bottom w:val="none" w:sz="0" w:space="0" w:color="auto"/>
            <w:right w:val="none" w:sz="0" w:space="0" w:color="auto"/>
          </w:divBdr>
        </w:div>
        <w:div w:id="764764205">
          <w:marLeft w:val="0"/>
          <w:marRight w:val="0"/>
          <w:marTop w:val="0"/>
          <w:marBottom w:val="0"/>
          <w:divBdr>
            <w:top w:val="none" w:sz="0" w:space="0" w:color="auto"/>
            <w:left w:val="none" w:sz="0" w:space="0" w:color="auto"/>
            <w:bottom w:val="none" w:sz="0" w:space="0" w:color="auto"/>
            <w:right w:val="none" w:sz="0" w:space="0" w:color="auto"/>
          </w:divBdr>
        </w:div>
      </w:divsChild>
    </w:div>
    <w:div w:id="1420171645">
      <w:bodyDiv w:val="1"/>
      <w:marLeft w:val="0"/>
      <w:marRight w:val="0"/>
      <w:marTop w:val="0"/>
      <w:marBottom w:val="0"/>
      <w:divBdr>
        <w:top w:val="none" w:sz="0" w:space="0" w:color="auto"/>
        <w:left w:val="none" w:sz="0" w:space="0" w:color="auto"/>
        <w:bottom w:val="none" w:sz="0" w:space="0" w:color="auto"/>
        <w:right w:val="none" w:sz="0" w:space="0" w:color="auto"/>
      </w:divBdr>
      <w:divsChild>
        <w:div w:id="203253706">
          <w:marLeft w:val="0"/>
          <w:marRight w:val="0"/>
          <w:marTop w:val="0"/>
          <w:marBottom w:val="0"/>
          <w:divBdr>
            <w:top w:val="none" w:sz="0" w:space="0" w:color="auto"/>
            <w:left w:val="none" w:sz="0" w:space="0" w:color="auto"/>
            <w:bottom w:val="none" w:sz="0" w:space="0" w:color="auto"/>
            <w:right w:val="none" w:sz="0" w:space="0" w:color="auto"/>
          </w:divBdr>
        </w:div>
      </w:divsChild>
    </w:div>
    <w:div w:id="1482770482">
      <w:bodyDiv w:val="1"/>
      <w:marLeft w:val="0"/>
      <w:marRight w:val="0"/>
      <w:marTop w:val="0"/>
      <w:marBottom w:val="0"/>
      <w:divBdr>
        <w:top w:val="none" w:sz="0" w:space="0" w:color="auto"/>
        <w:left w:val="none" w:sz="0" w:space="0" w:color="auto"/>
        <w:bottom w:val="none" w:sz="0" w:space="0" w:color="auto"/>
        <w:right w:val="none" w:sz="0" w:space="0" w:color="auto"/>
      </w:divBdr>
      <w:divsChild>
        <w:div w:id="4526153">
          <w:marLeft w:val="0"/>
          <w:marRight w:val="0"/>
          <w:marTop w:val="0"/>
          <w:marBottom w:val="0"/>
          <w:divBdr>
            <w:top w:val="none" w:sz="0" w:space="0" w:color="auto"/>
            <w:left w:val="none" w:sz="0" w:space="0" w:color="auto"/>
            <w:bottom w:val="none" w:sz="0" w:space="0" w:color="auto"/>
            <w:right w:val="none" w:sz="0" w:space="0" w:color="auto"/>
          </w:divBdr>
          <w:divsChild>
            <w:div w:id="1206019549">
              <w:marLeft w:val="0"/>
              <w:marRight w:val="0"/>
              <w:marTop w:val="0"/>
              <w:marBottom w:val="0"/>
              <w:divBdr>
                <w:top w:val="none" w:sz="0" w:space="0" w:color="auto"/>
                <w:left w:val="none" w:sz="0" w:space="0" w:color="auto"/>
                <w:bottom w:val="none" w:sz="0" w:space="0" w:color="auto"/>
                <w:right w:val="none" w:sz="0" w:space="0" w:color="auto"/>
              </w:divBdr>
              <w:divsChild>
                <w:div w:id="63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168">
      <w:bodyDiv w:val="1"/>
      <w:marLeft w:val="0"/>
      <w:marRight w:val="0"/>
      <w:marTop w:val="0"/>
      <w:marBottom w:val="0"/>
      <w:divBdr>
        <w:top w:val="none" w:sz="0" w:space="0" w:color="auto"/>
        <w:left w:val="none" w:sz="0" w:space="0" w:color="auto"/>
        <w:bottom w:val="none" w:sz="0" w:space="0" w:color="auto"/>
        <w:right w:val="none" w:sz="0" w:space="0" w:color="auto"/>
      </w:divBdr>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487477800">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sChild>
                <w:div w:id="97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5439">
      <w:bodyDiv w:val="1"/>
      <w:marLeft w:val="0"/>
      <w:marRight w:val="0"/>
      <w:marTop w:val="0"/>
      <w:marBottom w:val="0"/>
      <w:divBdr>
        <w:top w:val="none" w:sz="0" w:space="0" w:color="auto"/>
        <w:left w:val="none" w:sz="0" w:space="0" w:color="auto"/>
        <w:bottom w:val="none" w:sz="0" w:space="0" w:color="auto"/>
        <w:right w:val="none" w:sz="0" w:space="0" w:color="auto"/>
      </w:divBdr>
      <w:divsChild>
        <w:div w:id="596979995">
          <w:marLeft w:val="0"/>
          <w:marRight w:val="0"/>
          <w:marTop w:val="0"/>
          <w:marBottom w:val="0"/>
          <w:divBdr>
            <w:top w:val="none" w:sz="0" w:space="0" w:color="auto"/>
            <w:left w:val="none" w:sz="0" w:space="0" w:color="auto"/>
            <w:bottom w:val="none" w:sz="0" w:space="0" w:color="auto"/>
            <w:right w:val="none" w:sz="0" w:space="0" w:color="auto"/>
          </w:divBdr>
          <w:divsChild>
            <w:div w:id="1823737350">
              <w:marLeft w:val="0"/>
              <w:marRight w:val="0"/>
              <w:marTop w:val="0"/>
              <w:marBottom w:val="0"/>
              <w:divBdr>
                <w:top w:val="none" w:sz="0" w:space="0" w:color="auto"/>
                <w:left w:val="none" w:sz="0" w:space="0" w:color="auto"/>
                <w:bottom w:val="none" w:sz="0" w:space="0" w:color="auto"/>
                <w:right w:val="none" w:sz="0" w:space="0" w:color="auto"/>
              </w:divBdr>
              <w:divsChild>
                <w:div w:id="206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28">
      <w:bodyDiv w:val="1"/>
      <w:marLeft w:val="0"/>
      <w:marRight w:val="0"/>
      <w:marTop w:val="0"/>
      <w:marBottom w:val="0"/>
      <w:divBdr>
        <w:top w:val="none" w:sz="0" w:space="0" w:color="auto"/>
        <w:left w:val="none" w:sz="0" w:space="0" w:color="auto"/>
        <w:bottom w:val="none" w:sz="0" w:space="0" w:color="auto"/>
        <w:right w:val="none" w:sz="0" w:space="0" w:color="auto"/>
      </w:divBdr>
      <w:divsChild>
        <w:div w:id="114302160">
          <w:marLeft w:val="0"/>
          <w:marRight w:val="0"/>
          <w:marTop w:val="0"/>
          <w:marBottom w:val="0"/>
          <w:divBdr>
            <w:top w:val="none" w:sz="0" w:space="0" w:color="auto"/>
            <w:left w:val="none" w:sz="0" w:space="0" w:color="auto"/>
            <w:bottom w:val="none" w:sz="0" w:space="0" w:color="auto"/>
            <w:right w:val="none" w:sz="0" w:space="0" w:color="auto"/>
          </w:divBdr>
          <w:divsChild>
            <w:div w:id="1951275553">
              <w:marLeft w:val="0"/>
              <w:marRight w:val="0"/>
              <w:marTop w:val="0"/>
              <w:marBottom w:val="0"/>
              <w:divBdr>
                <w:top w:val="none" w:sz="0" w:space="0" w:color="auto"/>
                <w:left w:val="none" w:sz="0" w:space="0" w:color="auto"/>
                <w:bottom w:val="none" w:sz="0" w:space="0" w:color="auto"/>
                <w:right w:val="none" w:sz="0" w:space="0" w:color="auto"/>
              </w:divBdr>
              <w:divsChild>
                <w:div w:id="1987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379">
      <w:bodyDiv w:val="1"/>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611396910">
              <w:marLeft w:val="0"/>
              <w:marRight w:val="0"/>
              <w:marTop w:val="0"/>
              <w:marBottom w:val="0"/>
              <w:divBdr>
                <w:top w:val="none" w:sz="0" w:space="0" w:color="auto"/>
                <w:left w:val="none" w:sz="0" w:space="0" w:color="auto"/>
                <w:bottom w:val="none" w:sz="0" w:space="0" w:color="auto"/>
                <w:right w:val="none" w:sz="0" w:space="0" w:color="auto"/>
              </w:divBdr>
              <w:divsChild>
                <w:div w:id="160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2512">
      <w:bodyDiv w:val="1"/>
      <w:marLeft w:val="0"/>
      <w:marRight w:val="0"/>
      <w:marTop w:val="0"/>
      <w:marBottom w:val="0"/>
      <w:divBdr>
        <w:top w:val="none" w:sz="0" w:space="0" w:color="auto"/>
        <w:left w:val="none" w:sz="0" w:space="0" w:color="auto"/>
        <w:bottom w:val="none" w:sz="0" w:space="0" w:color="auto"/>
        <w:right w:val="none" w:sz="0" w:space="0" w:color="auto"/>
      </w:divBdr>
      <w:divsChild>
        <w:div w:id="387800837">
          <w:marLeft w:val="0"/>
          <w:marRight w:val="0"/>
          <w:marTop w:val="0"/>
          <w:marBottom w:val="0"/>
          <w:divBdr>
            <w:top w:val="none" w:sz="0" w:space="0" w:color="auto"/>
            <w:left w:val="none" w:sz="0" w:space="0" w:color="auto"/>
            <w:bottom w:val="none" w:sz="0" w:space="0" w:color="auto"/>
            <w:right w:val="none" w:sz="0" w:space="0" w:color="auto"/>
          </w:divBdr>
          <w:divsChild>
            <w:div w:id="2128039361">
              <w:marLeft w:val="0"/>
              <w:marRight w:val="0"/>
              <w:marTop w:val="0"/>
              <w:marBottom w:val="0"/>
              <w:divBdr>
                <w:top w:val="none" w:sz="0" w:space="0" w:color="auto"/>
                <w:left w:val="none" w:sz="0" w:space="0" w:color="auto"/>
                <w:bottom w:val="none" w:sz="0" w:space="0" w:color="auto"/>
                <w:right w:val="none" w:sz="0" w:space="0" w:color="auto"/>
              </w:divBdr>
              <w:divsChild>
                <w:div w:id="353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4686">
      <w:bodyDiv w:val="1"/>
      <w:marLeft w:val="0"/>
      <w:marRight w:val="0"/>
      <w:marTop w:val="0"/>
      <w:marBottom w:val="0"/>
      <w:divBdr>
        <w:top w:val="none" w:sz="0" w:space="0" w:color="auto"/>
        <w:left w:val="none" w:sz="0" w:space="0" w:color="auto"/>
        <w:bottom w:val="none" w:sz="0" w:space="0" w:color="auto"/>
        <w:right w:val="none" w:sz="0" w:space="0" w:color="auto"/>
      </w:divBdr>
      <w:divsChild>
        <w:div w:id="1079210846">
          <w:marLeft w:val="0"/>
          <w:marRight w:val="0"/>
          <w:marTop w:val="0"/>
          <w:marBottom w:val="0"/>
          <w:divBdr>
            <w:top w:val="none" w:sz="0" w:space="0" w:color="auto"/>
            <w:left w:val="none" w:sz="0" w:space="0" w:color="auto"/>
            <w:bottom w:val="none" w:sz="0" w:space="0" w:color="auto"/>
            <w:right w:val="none" w:sz="0" w:space="0" w:color="auto"/>
          </w:divBdr>
        </w:div>
        <w:div w:id="2058508955">
          <w:marLeft w:val="0"/>
          <w:marRight w:val="0"/>
          <w:marTop w:val="0"/>
          <w:marBottom w:val="0"/>
          <w:divBdr>
            <w:top w:val="none" w:sz="0" w:space="0" w:color="auto"/>
            <w:left w:val="none" w:sz="0" w:space="0" w:color="auto"/>
            <w:bottom w:val="none" w:sz="0" w:space="0" w:color="auto"/>
            <w:right w:val="none" w:sz="0" w:space="0" w:color="auto"/>
          </w:divBdr>
        </w:div>
        <w:div w:id="2131045882">
          <w:marLeft w:val="0"/>
          <w:marRight w:val="0"/>
          <w:marTop w:val="0"/>
          <w:marBottom w:val="0"/>
          <w:divBdr>
            <w:top w:val="none" w:sz="0" w:space="0" w:color="auto"/>
            <w:left w:val="none" w:sz="0" w:space="0" w:color="auto"/>
            <w:bottom w:val="none" w:sz="0" w:space="0" w:color="auto"/>
            <w:right w:val="none" w:sz="0" w:space="0" w:color="auto"/>
          </w:divBdr>
        </w:div>
        <w:div w:id="1438016022">
          <w:marLeft w:val="0"/>
          <w:marRight w:val="0"/>
          <w:marTop w:val="0"/>
          <w:marBottom w:val="0"/>
          <w:divBdr>
            <w:top w:val="none" w:sz="0" w:space="0" w:color="auto"/>
            <w:left w:val="none" w:sz="0" w:space="0" w:color="auto"/>
            <w:bottom w:val="none" w:sz="0" w:space="0" w:color="auto"/>
            <w:right w:val="none" w:sz="0" w:space="0" w:color="auto"/>
          </w:divBdr>
        </w:div>
        <w:div w:id="270673892">
          <w:marLeft w:val="0"/>
          <w:marRight w:val="0"/>
          <w:marTop w:val="0"/>
          <w:marBottom w:val="0"/>
          <w:divBdr>
            <w:top w:val="none" w:sz="0" w:space="0" w:color="auto"/>
            <w:left w:val="none" w:sz="0" w:space="0" w:color="auto"/>
            <w:bottom w:val="none" w:sz="0" w:space="0" w:color="auto"/>
            <w:right w:val="none" w:sz="0" w:space="0" w:color="auto"/>
          </w:divBdr>
        </w:div>
      </w:divsChild>
    </w:div>
    <w:div w:id="1718358131">
      <w:bodyDiv w:val="1"/>
      <w:marLeft w:val="0"/>
      <w:marRight w:val="0"/>
      <w:marTop w:val="0"/>
      <w:marBottom w:val="0"/>
      <w:divBdr>
        <w:top w:val="none" w:sz="0" w:space="0" w:color="auto"/>
        <w:left w:val="none" w:sz="0" w:space="0" w:color="auto"/>
        <w:bottom w:val="none" w:sz="0" w:space="0" w:color="auto"/>
        <w:right w:val="none" w:sz="0" w:space="0" w:color="auto"/>
      </w:divBdr>
      <w:divsChild>
        <w:div w:id="287591383">
          <w:marLeft w:val="0"/>
          <w:marRight w:val="0"/>
          <w:marTop w:val="0"/>
          <w:marBottom w:val="0"/>
          <w:divBdr>
            <w:top w:val="none" w:sz="0" w:space="0" w:color="auto"/>
            <w:left w:val="none" w:sz="0" w:space="0" w:color="auto"/>
            <w:bottom w:val="none" w:sz="0" w:space="0" w:color="auto"/>
            <w:right w:val="none" w:sz="0" w:space="0" w:color="auto"/>
          </w:divBdr>
        </w:div>
        <w:div w:id="485170985">
          <w:marLeft w:val="0"/>
          <w:marRight w:val="0"/>
          <w:marTop w:val="0"/>
          <w:marBottom w:val="0"/>
          <w:divBdr>
            <w:top w:val="none" w:sz="0" w:space="0" w:color="auto"/>
            <w:left w:val="none" w:sz="0" w:space="0" w:color="auto"/>
            <w:bottom w:val="none" w:sz="0" w:space="0" w:color="auto"/>
            <w:right w:val="none" w:sz="0" w:space="0" w:color="auto"/>
          </w:divBdr>
        </w:div>
        <w:div w:id="144519685">
          <w:marLeft w:val="0"/>
          <w:marRight w:val="0"/>
          <w:marTop w:val="0"/>
          <w:marBottom w:val="0"/>
          <w:divBdr>
            <w:top w:val="none" w:sz="0" w:space="0" w:color="auto"/>
            <w:left w:val="none" w:sz="0" w:space="0" w:color="auto"/>
            <w:bottom w:val="none" w:sz="0" w:space="0" w:color="auto"/>
            <w:right w:val="none" w:sz="0" w:space="0" w:color="auto"/>
          </w:divBdr>
        </w:div>
        <w:div w:id="256713543">
          <w:marLeft w:val="0"/>
          <w:marRight w:val="0"/>
          <w:marTop w:val="0"/>
          <w:marBottom w:val="0"/>
          <w:divBdr>
            <w:top w:val="none" w:sz="0" w:space="0" w:color="auto"/>
            <w:left w:val="none" w:sz="0" w:space="0" w:color="auto"/>
            <w:bottom w:val="none" w:sz="0" w:space="0" w:color="auto"/>
            <w:right w:val="none" w:sz="0" w:space="0" w:color="auto"/>
          </w:divBdr>
        </w:div>
      </w:divsChild>
    </w:div>
    <w:div w:id="1748113325">
      <w:bodyDiv w:val="1"/>
      <w:marLeft w:val="0"/>
      <w:marRight w:val="0"/>
      <w:marTop w:val="0"/>
      <w:marBottom w:val="0"/>
      <w:divBdr>
        <w:top w:val="none" w:sz="0" w:space="0" w:color="auto"/>
        <w:left w:val="none" w:sz="0" w:space="0" w:color="auto"/>
        <w:bottom w:val="none" w:sz="0" w:space="0" w:color="auto"/>
        <w:right w:val="none" w:sz="0" w:space="0" w:color="auto"/>
      </w:divBdr>
      <w:divsChild>
        <w:div w:id="653878260">
          <w:marLeft w:val="0"/>
          <w:marRight w:val="0"/>
          <w:marTop w:val="0"/>
          <w:marBottom w:val="0"/>
          <w:divBdr>
            <w:top w:val="none" w:sz="0" w:space="0" w:color="auto"/>
            <w:left w:val="none" w:sz="0" w:space="0" w:color="auto"/>
            <w:bottom w:val="none" w:sz="0" w:space="0" w:color="auto"/>
            <w:right w:val="none" w:sz="0" w:space="0" w:color="auto"/>
          </w:divBdr>
        </w:div>
        <w:div w:id="982926393">
          <w:marLeft w:val="0"/>
          <w:marRight w:val="0"/>
          <w:marTop w:val="0"/>
          <w:marBottom w:val="0"/>
          <w:divBdr>
            <w:top w:val="none" w:sz="0" w:space="0" w:color="auto"/>
            <w:left w:val="none" w:sz="0" w:space="0" w:color="auto"/>
            <w:bottom w:val="none" w:sz="0" w:space="0" w:color="auto"/>
            <w:right w:val="none" w:sz="0" w:space="0" w:color="auto"/>
          </w:divBdr>
        </w:div>
        <w:div w:id="1769155765">
          <w:marLeft w:val="0"/>
          <w:marRight w:val="0"/>
          <w:marTop w:val="0"/>
          <w:marBottom w:val="0"/>
          <w:divBdr>
            <w:top w:val="none" w:sz="0" w:space="0" w:color="auto"/>
            <w:left w:val="none" w:sz="0" w:space="0" w:color="auto"/>
            <w:bottom w:val="none" w:sz="0" w:space="0" w:color="auto"/>
            <w:right w:val="none" w:sz="0" w:space="0" w:color="auto"/>
          </w:divBdr>
        </w:div>
        <w:div w:id="816844003">
          <w:marLeft w:val="0"/>
          <w:marRight w:val="0"/>
          <w:marTop w:val="0"/>
          <w:marBottom w:val="0"/>
          <w:divBdr>
            <w:top w:val="none" w:sz="0" w:space="0" w:color="auto"/>
            <w:left w:val="none" w:sz="0" w:space="0" w:color="auto"/>
            <w:bottom w:val="none" w:sz="0" w:space="0" w:color="auto"/>
            <w:right w:val="none" w:sz="0" w:space="0" w:color="auto"/>
          </w:divBdr>
        </w:div>
      </w:divsChild>
    </w:div>
    <w:div w:id="1756628752">
      <w:bodyDiv w:val="1"/>
      <w:marLeft w:val="0"/>
      <w:marRight w:val="0"/>
      <w:marTop w:val="0"/>
      <w:marBottom w:val="0"/>
      <w:divBdr>
        <w:top w:val="none" w:sz="0" w:space="0" w:color="auto"/>
        <w:left w:val="none" w:sz="0" w:space="0" w:color="auto"/>
        <w:bottom w:val="none" w:sz="0" w:space="0" w:color="auto"/>
        <w:right w:val="none" w:sz="0" w:space="0" w:color="auto"/>
      </w:divBdr>
      <w:divsChild>
        <w:div w:id="1945649247">
          <w:marLeft w:val="0"/>
          <w:marRight w:val="0"/>
          <w:marTop w:val="0"/>
          <w:marBottom w:val="0"/>
          <w:divBdr>
            <w:top w:val="none" w:sz="0" w:space="0" w:color="auto"/>
            <w:left w:val="none" w:sz="0" w:space="0" w:color="auto"/>
            <w:bottom w:val="none" w:sz="0" w:space="0" w:color="auto"/>
            <w:right w:val="none" w:sz="0" w:space="0" w:color="auto"/>
          </w:divBdr>
        </w:div>
        <w:div w:id="486092053">
          <w:marLeft w:val="0"/>
          <w:marRight w:val="0"/>
          <w:marTop w:val="0"/>
          <w:marBottom w:val="0"/>
          <w:divBdr>
            <w:top w:val="none" w:sz="0" w:space="0" w:color="auto"/>
            <w:left w:val="none" w:sz="0" w:space="0" w:color="auto"/>
            <w:bottom w:val="none" w:sz="0" w:space="0" w:color="auto"/>
            <w:right w:val="none" w:sz="0" w:space="0" w:color="auto"/>
          </w:divBdr>
        </w:div>
        <w:div w:id="37440994">
          <w:marLeft w:val="0"/>
          <w:marRight w:val="0"/>
          <w:marTop w:val="0"/>
          <w:marBottom w:val="0"/>
          <w:divBdr>
            <w:top w:val="none" w:sz="0" w:space="0" w:color="auto"/>
            <w:left w:val="none" w:sz="0" w:space="0" w:color="auto"/>
            <w:bottom w:val="none" w:sz="0" w:space="0" w:color="auto"/>
            <w:right w:val="none" w:sz="0" w:space="0" w:color="auto"/>
          </w:divBdr>
        </w:div>
        <w:div w:id="2082483541">
          <w:marLeft w:val="0"/>
          <w:marRight w:val="0"/>
          <w:marTop w:val="0"/>
          <w:marBottom w:val="0"/>
          <w:divBdr>
            <w:top w:val="none" w:sz="0" w:space="0" w:color="auto"/>
            <w:left w:val="none" w:sz="0" w:space="0" w:color="auto"/>
            <w:bottom w:val="none" w:sz="0" w:space="0" w:color="auto"/>
            <w:right w:val="none" w:sz="0" w:space="0" w:color="auto"/>
          </w:divBdr>
        </w:div>
        <w:div w:id="1044603823">
          <w:marLeft w:val="0"/>
          <w:marRight w:val="0"/>
          <w:marTop w:val="0"/>
          <w:marBottom w:val="0"/>
          <w:divBdr>
            <w:top w:val="none" w:sz="0" w:space="0" w:color="auto"/>
            <w:left w:val="none" w:sz="0" w:space="0" w:color="auto"/>
            <w:bottom w:val="none" w:sz="0" w:space="0" w:color="auto"/>
            <w:right w:val="none" w:sz="0" w:space="0" w:color="auto"/>
          </w:divBdr>
        </w:div>
      </w:divsChild>
    </w:div>
    <w:div w:id="1781223280">
      <w:bodyDiv w:val="1"/>
      <w:marLeft w:val="0"/>
      <w:marRight w:val="0"/>
      <w:marTop w:val="0"/>
      <w:marBottom w:val="0"/>
      <w:divBdr>
        <w:top w:val="none" w:sz="0" w:space="0" w:color="auto"/>
        <w:left w:val="none" w:sz="0" w:space="0" w:color="auto"/>
        <w:bottom w:val="none" w:sz="0" w:space="0" w:color="auto"/>
        <w:right w:val="none" w:sz="0" w:space="0" w:color="auto"/>
      </w:divBdr>
      <w:divsChild>
        <w:div w:id="1371611732">
          <w:marLeft w:val="0"/>
          <w:marRight w:val="0"/>
          <w:marTop w:val="0"/>
          <w:marBottom w:val="0"/>
          <w:divBdr>
            <w:top w:val="none" w:sz="0" w:space="0" w:color="auto"/>
            <w:left w:val="none" w:sz="0" w:space="0" w:color="auto"/>
            <w:bottom w:val="none" w:sz="0" w:space="0" w:color="auto"/>
            <w:right w:val="none" w:sz="0" w:space="0" w:color="auto"/>
          </w:divBdr>
        </w:div>
        <w:div w:id="2065058914">
          <w:marLeft w:val="0"/>
          <w:marRight w:val="0"/>
          <w:marTop w:val="0"/>
          <w:marBottom w:val="0"/>
          <w:divBdr>
            <w:top w:val="none" w:sz="0" w:space="0" w:color="auto"/>
            <w:left w:val="none" w:sz="0" w:space="0" w:color="auto"/>
            <w:bottom w:val="none" w:sz="0" w:space="0" w:color="auto"/>
            <w:right w:val="none" w:sz="0" w:space="0" w:color="auto"/>
          </w:divBdr>
        </w:div>
        <w:div w:id="1813717761">
          <w:marLeft w:val="0"/>
          <w:marRight w:val="0"/>
          <w:marTop w:val="0"/>
          <w:marBottom w:val="0"/>
          <w:divBdr>
            <w:top w:val="none" w:sz="0" w:space="0" w:color="auto"/>
            <w:left w:val="none" w:sz="0" w:space="0" w:color="auto"/>
            <w:bottom w:val="none" w:sz="0" w:space="0" w:color="auto"/>
            <w:right w:val="none" w:sz="0" w:space="0" w:color="auto"/>
          </w:divBdr>
        </w:div>
        <w:div w:id="1851218149">
          <w:marLeft w:val="0"/>
          <w:marRight w:val="0"/>
          <w:marTop w:val="0"/>
          <w:marBottom w:val="0"/>
          <w:divBdr>
            <w:top w:val="none" w:sz="0" w:space="0" w:color="auto"/>
            <w:left w:val="none" w:sz="0" w:space="0" w:color="auto"/>
            <w:bottom w:val="none" w:sz="0" w:space="0" w:color="auto"/>
            <w:right w:val="none" w:sz="0" w:space="0" w:color="auto"/>
          </w:divBdr>
        </w:div>
      </w:divsChild>
    </w:div>
    <w:div w:id="1901163757">
      <w:bodyDiv w:val="1"/>
      <w:marLeft w:val="0"/>
      <w:marRight w:val="0"/>
      <w:marTop w:val="0"/>
      <w:marBottom w:val="0"/>
      <w:divBdr>
        <w:top w:val="none" w:sz="0" w:space="0" w:color="auto"/>
        <w:left w:val="none" w:sz="0" w:space="0" w:color="auto"/>
        <w:bottom w:val="none" w:sz="0" w:space="0" w:color="auto"/>
        <w:right w:val="none" w:sz="0" w:space="0" w:color="auto"/>
      </w:divBdr>
    </w:div>
    <w:div w:id="1923946739">
      <w:bodyDiv w:val="1"/>
      <w:marLeft w:val="0"/>
      <w:marRight w:val="0"/>
      <w:marTop w:val="0"/>
      <w:marBottom w:val="0"/>
      <w:divBdr>
        <w:top w:val="none" w:sz="0" w:space="0" w:color="auto"/>
        <w:left w:val="none" w:sz="0" w:space="0" w:color="auto"/>
        <w:bottom w:val="none" w:sz="0" w:space="0" w:color="auto"/>
        <w:right w:val="none" w:sz="0" w:space="0" w:color="auto"/>
      </w:divBdr>
      <w:divsChild>
        <w:div w:id="662853087">
          <w:marLeft w:val="0"/>
          <w:marRight w:val="0"/>
          <w:marTop w:val="0"/>
          <w:marBottom w:val="0"/>
          <w:divBdr>
            <w:top w:val="none" w:sz="0" w:space="0" w:color="auto"/>
            <w:left w:val="none" w:sz="0" w:space="0" w:color="auto"/>
            <w:bottom w:val="none" w:sz="0" w:space="0" w:color="auto"/>
            <w:right w:val="none" w:sz="0" w:space="0" w:color="auto"/>
          </w:divBdr>
          <w:divsChild>
            <w:div w:id="1275479219">
              <w:marLeft w:val="0"/>
              <w:marRight w:val="0"/>
              <w:marTop w:val="0"/>
              <w:marBottom w:val="0"/>
              <w:divBdr>
                <w:top w:val="none" w:sz="0" w:space="0" w:color="auto"/>
                <w:left w:val="none" w:sz="0" w:space="0" w:color="auto"/>
                <w:bottom w:val="none" w:sz="0" w:space="0" w:color="auto"/>
                <w:right w:val="none" w:sz="0" w:space="0" w:color="auto"/>
              </w:divBdr>
              <w:divsChild>
                <w:div w:id="2113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195">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
    <w:div w:id="2059547941">
      <w:bodyDiv w:val="1"/>
      <w:marLeft w:val="0"/>
      <w:marRight w:val="0"/>
      <w:marTop w:val="0"/>
      <w:marBottom w:val="0"/>
      <w:divBdr>
        <w:top w:val="none" w:sz="0" w:space="0" w:color="auto"/>
        <w:left w:val="none" w:sz="0" w:space="0" w:color="auto"/>
        <w:bottom w:val="none" w:sz="0" w:space="0" w:color="auto"/>
        <w:right w:val="none" w:sz="0" w:space="0" w:color="auto"/>
      </w:divBdr>
      <w:divsChild>
        <w:div w:id="1877694468">
          <w:marLeft w:val="0"/>
          <w:marRight w:val="0"/>
          <w:marTop w:val="0"/>
          <w:marBottom w:val="0"/>
          <w:divBdr>
            <w:top w:val="none" w:sz="0" w:space="0" w:color="auto"/>
            <w:left w:val="none" w:sz="0" w:space="0" w:color="auto"/>
            <w:bottom w:val="none" w:sz="0" w:space="0" w:color="auto"/>
            <w:right w:val="none" w:sz="0" w:space="0" w:color="auto"/>
          </w:divBdr>
        </w:div>
        <w:div w:id="545989895">
          <w:marLeft w:val="0"/>
          <w:marRight w:val="0"/>
          <w:marTop w:val="0"/>
          <w:marBottom w:val="0"/>
          <w:divBdr>
            <w:top w:val="none" w:sz="0" w:space="0" w:color="auto"/>
            <w:left w:val="none" w:sz="0" w:space="0" w:color="auto"/>
            <w:bottom w:val="none" w:sz="0" w:space="0" w:color="auto"/>
            <w:right w:val="none" w:sz="0" w:space="0" w:color="auto"/>
          </w:divBdr>
        </w:div>
        <w:div w:id="183595459">
          <w:marLeft w:val="0"/>
          <w:marRight w:val="0"/>
          <w:marTop w:val="0"/>
          <w:marBottom w:val="0"/>
          <w:divBdr>
            <w:top w:val="none" w:sz="0" w:space="0" w:color="auto"/>
            <w:left w:val="none" w:sz="0" w:space="0" w:color="auto"/>
            <w:bottom w:val="none" w:sz="0" w:space="0" w:color="auto"/>
            <w:right w:val="none" w:sz="0" w:space="0" w:color="auto"/>
          </w:divBdr>
        </w:div>
      </w:divsChild>
    </w:div>
    <w:div w:id="2090156833">
      <w:bodyDiv w:val="1"/>
      <w:marLeft w:val="0"/>
      <w:marRight w:val="0"/>
      <w:marTop w:val="0"/>
      <w:marBottom w:val="0"/>
      <w:divBdr>
        <w:top w:val="none" w:sz="0" w:space="0" w:color="auto"/>
        <w:left w:val="none" w:sz="0" w:space="0" w:color="auto"/>
        <w:bottom w:val="none" w:sz="0" w:space="0" w:color="auto"/>
        <w:right w:val="none" w:sz="0" w:space="0" w:color="auto"/>
      </w:divBdr>
    </w:div>
    <w:div w:id="2138447288">
      <w:bodyDiv w:val="1"/>
      <w:marLeft w:val="0"/>
      <w:marRight w:val="0"/>
      <w:marTop w:val="0"/>
      <w:marBottom w:val="0"/>
      <w:divBdr>
        <w:top w:val="none" w:sz="0" w:space="0" w:color="auto"/>
        <w:left w:val="none" w:sz="0" w:space="0" w:color="auto"/>
        <w:bottom w:val="none" w:sz="0" w:space="0" w:color="auto"/>
        <w:right w:val="none" w:sz="0" w:space="0" w:color="auto"/>
      </w:divBdr>
      <w:divsChild>
        <w:div w:id="1438679005">
          <w:marLeft w:val="0"/>
          <w:marRight w:val="0"/>
          <w:marTop w:val="0"/>
          <w:marBottom w:val="0"/>
          <w:divBdr>
            <w:top w:val="none" w:sz="0" w:space="0" w:color="auto"/>
            <w:left w:val="none" w:sz="0" w:space="0" w:color="auto"/>
            <w:bottom w:val="none" w:sz="0" w:space="0" w:color="auto"/>
            <w:right w:val="none" w:sz="0" w:space="0" w:color="auto"/>
          </w:divBdr>
        </w:div>
        <w:div w:id="14889452">
          <w:marLeft w:val="0"/>
          <w:marRight w:val="0"/>
          <w:marTop w:val="0"/>
          <w:marBottom w:val="0"/>
          <w:divBdr>
            <w:top w:val="none" w:sz="0" w:space="0" w:color="auto"/>
            <w:left w:val="none" w:sz="0" w:space="0" w:color="auto"/>
            <w:bottom w:val="none" w:sz="0" w:space="0" w:color="auto"/>
            <w:right w:val="none" w:sz="0" w:space="0" w:color="auto"/>
          </w:divBdr>
        </w:div>
        <w:div w:id="110441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es@vanesco.co.z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anesco@icon.co.za"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rolley@vanesco.co.za" TargetMode="External"/><Relationship Id="rId5" Type="http://schemas.openxmlformats.org/officeDocument/2006/relationships/settings" Target="settings.xml"/><Relationship Id="rId15" Type="http://schemas.openxmlformats.org/officeDocument/2006/relationships/hyperlink" Target="mailto:trolleydoctor@qmail.com" TargetMode="External"/><Relationship Id="rId10" Type="http://schemas.openxmlformats.org/officeDocument/2006/relationships/hyperlink" Target="mailto:trolleydoctor@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hybrid@vanesco.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239B-AD98-4591-9789-A18DA8A0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22255</Words>
  <Characters>126855</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2023-11-29T05:51:00Z</dcterms:created>
  <dcterms:modified xsi:type="dcterms:W3CDTF">2023-11-29T05:51:00Z</dcterms:modified>
</cp:coreProperties>
</file>