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397416AD" w14:textId="5A65CB7D" w:rsidR="00CE32B5" w:rsidRDefault="00CE32B5" w:rsidP="00CE32B5">
      <w:pPr>
        <w:tabs>
          <w:tab w:val="right" w:pos="9029"/>
        </w:tabs>
        <w:spacing w:after="0" w:line="240" w:lineRule="auto"/>
        <w:ind w:left="0"/>
        <w:jc w:val="right"/>
        <w:rPr>
          <w:rFonts w:eastAsia="Times New Roman" w:cs="Arial"/>
          <w:szCs w:val="24"/>
          <w:lang w:val="en-ZA"/>
        </w:rPr>
      </w:pPr>
      <w:r w:rsidRPr="007B7F59">
        <w:rPr>
          <w:rFonts w:eastAsia="Times New Roman" w:cs="Arial"/>
          <w:bCs/>
          <w:szCs w:val="24"/>
          <w:lang w:val="en-ZA"/>
        </w:rPr>
        <w:t xml:space="preserve">Case Number: </w:t>
      </w:r>
      <w:r>
        <w:rPr>
          <w:rFonts w:eastAsia="Times New Roman" w:cs="Arial"/>
          <w:bCs/>
          <w:szCs w:val="24"/>
          <w:lang w:val="en-ZA"/>
        </w:rPr>
        <w:t>A034592/2023</w:t>
      </w:r>
    </w:p>
    <w:p w14:paraId="558A505A" w14:textId="219AA2C0" w:rsidR="00614B56" w:rsidRPr="00614B56" w:rsidRDefault="00C0309A" w:rsidP="003B2AA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bookmarkStart w:id="1" w:name="_Hlk151385106"/>
      <w:r w:rsidR="00614B56" w:rsidRPr="00614B56">
        <w:rPr>
          <w:rFonts w:eastAsia="Times New Roman" w:cs="Arial"/>
          <w:bCs/>
          <w:szCs w:val="24"/>
          <w:lang w:val="en-ZA"/>
        </w:rPr>
        <w:t xml:space="preserve">Court </w:t>
      </w:r>
      <w:r w:rsidR="00614B56" w:rsidRPr="00614B56">
        <w:rPr>
          <w:rFonts w:eastAsia="Times New Roman" w:cs="Arial"/>
          <w:bCs/>
          <w:i/>
          <w:iCs/>
          <w:szCs w:val="24"/>
          <w:lang w:val="en-ZA"/>
        </w:rPr>
        <w:t xml:space="preserve">a quo </w:t>
      </w:r>
      <w:r w:rsidR="00614B56" w:rsidRPr="00614B56">
        <w:rPr>
          <w:rFonts w:eastAsia="Times New Roman" w:cs="Arial"/>
          <w:bCs/>
          <w:szCs w:val="24"/>
          <w:lang w:val="en-ZA"/>
        </w:rPr>
        <w:t>Case Number: 30299/2013</w:t>
      </w:r>
    </w:p>
    <w:p w14:paraId="4E5F2451" w14:textId="5502806F" w:rsidR="003B2AAA" w:rsidRPr="003B2AAA" w:rsidRDefault="003B2AAA" w:rsidP="003B2AAA">
      <w:pPr>
        <w:tabs>
          <w:tab w:val="right" w:pos="9029"/>
        </w:tabs>
        <w:spacing w:after="0" w:line="240" w:lineRule="auto"/>
        <w:ind w:left="0"/>
        <w:rPr>
          <w:rFonts w:eastAsia="Times New Roman" w:cs="Arial"/>
          <w:bCs/>
          <w:szCs w:val="24"/>
          <w:lang w:val="en-ZA"/>
        </w:rPr>
      </w:pPr>
      <w:bookmarkStart w:id="2" w:name="_Hlk151391075"/>
      <w:bookmarkEnd w:id="1"/>
    </w:p>
    <w:bookmarkEnd w:id="2"/>
    <w:p w14:paraId="1F3CACF4" w14:textId="77777777"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0B19FFE" wp14:editId="795398F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1ADB450C" w:rsidR="00C0309A" w:rsidRPr="009433D9" w:rsidRDefault="00580912" w:rsidP="00580912">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37E30248" w:rsidR="00C0309A" w:rsidRPr="009433D9" w:rsidRDefault="00580912" w:rsidP="00580912">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637C7009" w:rsidR="00C0309A" w:rsidRPr="009433D9" w:rsidRDefault="00580912" w:rsidP="00580912">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 xml:space="preserve">REVISED: </w:t>
                            </w:r>
                            <w:r w:rsidR="00AA74DA">
                              <w:rPr>
                                <w:rFonts w:cs="Arial"/>
                                <w:sz w:val="18"/>
                                <w:szCs w:val="20"/>
                              </w:rPr>
                              <w:t>YES/</w:t>
                            </w:r>
                            <w:r w:rsidR="00C0309A" w:rsidRPr="009433D9">
                              <w:rPr>
                                <w:rFonts w:cs="Arial"/>
                                <w:sz w:val="18"/>
                                <w:szCs w:val="20"/>
                              </w:rPr>
                              <w:t>NO</w:t>
                            </w:r>
                          </w:p>
                          <w:p w14:paraId="69EFF85C" w14:textId="6F4AFCB7" w:rsidR="00C0309A" w:rsidRPr="003B746C" w:rsidRDefault="00E27F79" w:rsidP="00E27F79">
                            <w:pPr>
                              <w:spacing w:before="240" w:after="0"/>
                              <w:ind w:left="0"/>
                              <w:rPr>
                                <w:rFonts w:cs="Arial"/>
                                <w:b/>
                                <w:sz w:val="18"/>
                                <w:szCs w:val="20"/>
                              </w:rPr>
                            </w:pPr>
                            <w:r>
                              <w:rPr>
                                <w:rFonts w:cs="Arial"/>
                                <w:b/>
                                <w:sz w:val="18"/>
                                <w:szCs w:val="20"/>
                              </w:rPr>
                              <w:t xml:space="preserve">       23 </w:t>
                            </w:r>
                            <w:r w:rsidR="00D027D6">
                              <w:rPr>
                                <w:rFonts w:cs="Arial"/>
                                <w:b/>
                                <w:sz w:val="18"/>
                                <w:szCs w:val="20"/>
                              </w:rPr>
                              <w:t>Novem</w:t>
                            </w:r>
                            <w:r w:rsidR="009C63B5">
                              <w:rPr>
                                <w:rFonts w:cs="Arial"/>
                                <w:b/>
                                <w:sz w:val="18"/>
                                <w:szCs w:val="20"/>
                              </w:rPr>
                              <w:t>ber</w:t>
                            </w:r>
                            <w:r w:rsidR="002068A8">
                              <w:rPr>
                                <w:rFonts w:cs="Arial"/>
                                <w:b/>
                                <w:sz w:val="18"/>
                                <w:szCs w:val="20"/>
                              </w:rPr>
                              <w:t xml:space="preserve"> 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1ADB450C" w:rsidR="00C0309A" w:rsidRPr="009433D9" w:rsidRDefault="00580912" w:rsidP="00580912">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37E30248" w:rsidR="00C0309A" w:rsidRPr="009433D9" w:rsidRDefault="00580912" w:rsidP="00580912">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637C7009" w:rsidR="00C0309A" w:rsidRPr="009433D9" w:rsidRDefault="00580912" w:rsidP="00580912">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 xml:space="preserve">REVISED: </w:t>
                      </w:r>
                      <w:r w:rsidR="00AA74DA">
                        <w:rPr>
                          <w:rFonts w:cs="Arial"/>
                          <w:sz w:val="18"/>
                          <w:szCs w:val="20"/>
                        </w:rPr>
                        <w:t>YES/</w:t>
                      </w:r>
                      <w:r w:rsidR="00C0309A" w:rsidRPr="009433D9">
                        <w:rPr>
                          <w:rFonts w:cs="Arial"/>
                          <w:sz w:val="18"/>
                          <w:szCs w:val="20"/>
                        </w:rPr>
                        <w:t>NO</w:t>
                      </w:r>
                    </w:p>
                    <w:p w14:paraId="69EFF85C" w14:textId="6F4AFCB7" w:rsidR="00C0309A" w:rsidRPr="003B746C" w:rsidRDefault="00E27F79" w:rsidP="00E27F79">
                      <w:pPr>
                        <w:spacing w:before="240" w:after="0"/>
                        <w:ind w:left="0"/>
                        <w:rPr>
                          <w:rFonts w:cs="Arial"/>
                          <w:b/>
                          <w:sz w:val="18"/>
                          <w:szCs w:val="20"/>
                        </w:rPr>
                      </w:pPr>
                      <w:r>
                        <w:rPr>
                          <w:rFonts w:cs="Arial"/>
                          <w:b/>
                          <w:sz w:val="18"/>
                          <w:szCs w:val="20"/>
                        </w:rPr>
                        <w:t xml:space="preserve">       23 </w:t>
                      </w:r>
                      <w:r w:rsidR="00D027D6">
                        <w:rPr>
                          <w:rFonts w:cs="Arial"/>
                          <w:b/>
                          <w:sz w:val="18"/>
                          <w:szCs w:val="20"/>
                        </w:rPr>
                        <w:t>Novem</w:t>
                      </w:r>
                      <w:r w:rsidR="009C63B5">
                        <w:rPr>
                          <w:rFonts w:cs="Arial"/>
                          <w:b/>
                          <w:sz w:val="18"/>
                          <w:szCs w:val="20"/>
                        </w:rPr>
                        <w:t>ber</w:t>
                      </w:r>
                      <w:r w:rsidR="002068A8">
                        <w:rPr>
                          <w:rFonts w:cs="Arial"/>
                          <w:b/>
                          <w:sz w:val="18"/>
                          <w:szCs w:val="20"/>
                        </w:rPr>
                        <w:t xml:space="preserve"> 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47DF1B6A" w14:textId="77CECF6D" w:rsidR="004E17F7" w:rsidRPr="004E17F7" w:rsidRDefault="004E17F7" w:rsidP="00C0309A">
      <w:pPr>
        <w:tabs>
          <w:tab w:val="right" w:pos="9029"/>
        </w:tabs>
        <w:spacing w:after="0" w:line="240" w:lineRule="auto"/>
        <w:ind w:left="0"/>
        <w:contextualSpacing/>
        <w:rPr>
          <w:rFonts w:eastAsia="Times New Roman" w:cs="Arial"/>
          <w:b/>
          <w:bCs/>
          <w:szCs w:val="24"/>
          <w:lang w:val="en-ZA"/>
        </w:rPr>
      </w:pPr>
    </w:p>
    <w:p w14:paraId="7FE74585" w14:textId="77777777" w:rsidR="004E17F7" w:rsidRDefault="004E17F7" w:rsidP="00C0309A">
      <w:pPr>
        <w:tabs>
          <w:tab w:val="right" w:pos="9029"/>
        </w:tabs>
        <w:spacing w:after="0" w:line="240" w:lineRule="auto"/>
        <w:ind w:left="0"/>
        <w:contextualSpacing/>
        <w:rPr>
          <w:rFonts w:eastAsia="Times New Roman" w:cs="Arial"/>
          <w:szCs w:val="24"/>
          <w:lang w:val="en-ZA"/>
        </w:rPr>
      </w:pPr>
    </w:p>
    <w:p w14:paraId="788132C7" w14:textId="552B79AA"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78D3C95" w14:textId="77777777" w:rsidR="00340BDD" w:rsidRDefault="00340BDD" w:rsidP="00EE3A1F">
      <w:pPr>
        <w:tabs>
          <w:tab w:val="right" w:pos="9029"/>
        </w:tabs>
        <w:spacing w:after="0" w:line="240" w:lineRule="auto"/>
        <w:ind w:left="0"/>
        <w:contextualSpacing/>
        <w:rPr>
          <w:rFonts w:cs="Arial"/>
          <w:b/>
          <w:szCs w:val="24"/>
        </w:rPr>
      </w:pPr>
      <w:bookmarkStart w:id="3" w:name="_Hlk140479949"/>
      <w:bookmarkStart w:id="4" w:name="_Hlk140479922"/>
    </w:p>
    <w:p w14:paraId="31883BB0" w14:textId="1A17C741" w:rsidR="00EE3A1F" w:rsidRPr="00722C87" w:rsidRDefault="003B2AAA" w:rsidP="00EE3A1F">
      <w:pPr>
        <w:tabs>
          <w:tab w:val="right" w:pos="9029"/>
        </w:tabs>
        <w:spacing w:after="0" w:line="240" w:lineRule="auto"/>
        <w:ind w:left="0"/>
        <w:contextualSpacing/>
        <w:rPr>
          <w:rFonts w:eastAsia="Times New Roman" w:cs="Arial"/>
          <w:bCs/>
          <w:szCs w:val="24"/>
          <w:lang w:val="en-ZA"/>
        </w:rPr>
      </w:pPr>
      <w:bookmarkStart w:id="5" w:name="_Hlk150941235"/>
      <w:bookmarkEnd w:id="3"/>
      <w:bookmarkEnd w:id="4"/>
      <w:r w:rsidRPr="00CE32B5">
        <w:rPr>
          <w:rFonts w:eastAsia="Times New Roman" w:cs="Arial"/>
          <w:b/>
          <w:bCs/>
          <w:szCs w:val="24"/>
          <w:lang w:val="en-ZA"/>
        </w:rPr>
        <w:t>NATIONAL HOME BUILDERS REGISTRATION COUNCIL</w:t>
      </w:r>
      <w:r w:rsidR="00EE3A1F" w:rsidRPr="007B7F59">
        <w:rPr>
          <w:rFonts w:eastAsia="Times New Roman" w:cs="Arial"/>
          <w:b/>
          <w:szCs w:val="24"/>
          <w:lang w:val="en-ZA"/>
        </w:rPr>
        <w:tab/>
      </w:r>
      <w:r w:rsidR="00BF69C0">
        <w:rPr>
          <w:rFonts w:eastAsia="Times New Roman" w:cs="Arial"/>
          <w:bCs/>
          <w:szCs w:val="24"/>
          <w:lang w:val="en-ZA"/>
        </w:rPr>
        <w:t>App</w:t>
      </w:r>
      <w:r w:rsidR="00CE32B5">
        <w:rPr>
          <w:rFonts w:eastAsia="Times New Roman" w:cs="Arial"/>
          <w:bCs/>
          <w:szCs w:val="24"/>
          <w:lang w:val="en-ZA"/>
        </w:rPr>
        <w:t>ellant</w:t>
      </w:r>
    </w:p>
    <w:p w14:paraId="6C069837" w14:textId="6512A38D" w:rsidR="002068A8" w:rsidRPr="009C63B5" w:rsidRDefault="002068A8" w:rsidP="002068A8">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2F07A421" w14:textId="03F69FD4" w:rsidR="005D07DB" w:rsidRPr="00CE32B5" w:rsidRDefault="005D07DB" w:rsidP="002068A8">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r w:rsidR="00CE32B5">
        <w:rPr>
          <w:rFonts w:eastAsia="Times New Roman" w:cs="Arial"/>
          <w:bCs/>
          <w:szCs w:val="24"/>
          <w:lang w:val="en-ZA"/>
        </w:rPr>
        <w:t xml:space="preserve">(Applicant </w:t>
      </w:r>
      <w:r w:rsidR="00CE32B5">
        <w:rPr>
          <w:rFonts w:eastAsia="Times New Roman" w:cs="Arial"/>
          <w:bCs/>
          <w:i/>
          <w:iCs/>
          <w:szCs w:val="24"/>
          <w:lang w:val="en-ZA"/>
        </w:rPr>
        <w:t>a quo</w:t>
      </w:r>
      <w:r w:rsidR="00CE32B5">
        <w:rPr>
          <w:rFonts w:eastAsia="Times New Roman" w:cs="Arial"/>
          <w:bCs/>
          <w:szCs w:val="24"/>
          <w:lang w:val="en-ZA"/>
        </w:rPr>
        <w:t>)</w:t>
      </w:r>
    </w:p>
    <w:p w14:paraId="3EF90EFF" w14:textId="77777777" w:rsidR="005D07DB" w:rsidRDefault="005D07DB" w:rsidP="002068A8">
      <w:pPr>
        <w:tabs>
          <w:tab w:val="right" w:pos="9029"/>
        </w:tabs>
        <w:spacing w:after="0" w:line="240" w:lineRule="auto"/>
        <w:ind w:left="0"/>
        <w:contextualSpacing/>
        <w:rPr>
          <w:rFonts w:eastAsia="Times New Roman" w:cs="Arial"/>
          <w:b/>
          <w:szCs w:val="24"/>
          <w:lang w:val="en-ZA"/>
        </w:rPr>
      </w:pPr>
    </w:p>
    <w:bookmarkEnd w:id="5"/>
    <w:p w14:paraId="3AD67CEE" w14:textId="256AB7A1" w:rsidR="00BF69C0" w:rsidRPr="00BF69C0" w:rsidRDefault="00BF69C0" w:rsidP="00BF69C0">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3DD0DC54" w14:textId="77777777" w:rsidR="00BF69C0" w:rsidRDefault="00BF69C0" w:rsidP="00BF69C0">
      <w:pPr>
        <w:tabs>
          <w:tab w:val="right" w:pos="9029"/>
        </w:tabs>
        <w:spacing w:after="0" w:line="240" w:lineRule="auto"/>
        <w:ind w:left="0"/>
        <w:contextualSpacing/>
        <w:rPr>
          <w:rFonts w:eastAsia="Times New Roman" w:cs="Arial"/>
          <w:b/>
          <w:szCs w:val="24"/>
          <w:lang w:val="en-ZA"/>
        </w:rPr>
      </w:pPr>
    </w:p>
    <w:p w14:paraId="679AA111" w14:textId="47416AC0" w:rsidR="00BF69C0" w:rsidRPr="00F22813" w:rsidRDefault="00F24142" w:rsidP="00BF69C0">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VERSATILE POLYCRETE HOUSING CC</w:t>
      </w:r>
      <w:r w:rsidR="00BF69C0" w:rsidRPr="007B7F59">
        <w:rPr>
          <w:rFonts w:eastAsia="Times New Roman" w:cs="Arial"/>
          <w:b/>
          <w:szCs w:val="24"/>
          <w:lang w:val="en-ZA"/>
        </w:rPr>
        <w:tab/>
      </w:r>
      <w:r>
        <w:rPr>
          <w:rFonts w:eastAsia="Times New Roman" w:cs="Arial"/>
          <w:bCs/>
          <w:szCs w:val="24"/>
          <w:lang w:val="en-ZA"/>
        </w:rPr>
        <w:t>Respondent</w:t>
      </w:r>
    </w:p>
    <w:p w14:paraId="32220316" w14:textId="77777777" w:rsidR="00BF69C0" w:rsidRDefault="00BF69C0" w:rsidP="00BF69C0">
      <w:pPr>
        <w:tabs>
          <w:tab w:val="right" w:pos="9029"/>
        </w:tabs>
        <w:spacing w:after="0" w:line="240" w:lineRule="auto"/>
        <w:ind w:left="0"/>
        <w:contextualSpacing/>
        <w:rPr>
          <w:rFonts w:eastAsia="Times New Roman" w:cs="Arial"/>
          <w:bCs/>
          <w:szCs w:val="24"/>
          <w:lang w:val="en-ZA"/>
        </w:rPr>
      </w:pPr>
    </w:p>
    <w:p w14:paraId="3E67513D" w14:textId="6A0B31E4" w:rsidR="00C0309A" w:rsidRPr="009B6DFE" w:rsidRDefault="00BF69C0" w:rsidP="009B6DFE">
      <w:pPr>
        <w:tabs>
          <w:tab w:val="right" w:pos="9029"/>
        </w:tabs>
        <w:spacing w:after="0" w:line="240" w:lineRule="auto"/>
        <w:ind w:left="0"/>
        <w:contextualSpacing/>
        <w:rPr>
          <w:rFonts w:eastAsia="Times New Roman" w:cs="Arial"/>
          <w:szCs w:val="24"/>
          <w:lang w:val="en-ZA"/>
        </w:rPr>
      </w:pPr>
      <w:r w:rsidRPr="007B7F59">
        <w:rPr>
          <w:rFonts w:eastAsia="Times New Roman" w:cs="Arial"/>
          <w:b/>
          <w:szCs w:val="24"/>
          <w:lang w:val="en-ZA"/>
        </w:rPr>
        <w:tab/>
      </w:r>
      <w:r w:rsidR="00F24142">
        <w:rPr>
          <w:rFonts w:eastAsia="Times New Roman" w:cs="Arial"/>
          <w:bCs/>
          <w:szCs w:val="24"/>
          <w:lang w:val="en-ZA"/>
        </w:rPr>
        <w:t xml:space="preserve">(Respondent </w:t>
      </w:r>
      <w:r w:rsidR="00F24142">
        <w:rPr>
          <w:rFonts w:eastAsia="Times New Roman" w:cs="Arial"/>
          <w:bCs/>
          <w:i/>
          <w:iCs/>
          <w:szCs w:val="24"/>
          <w:lang w:val="en-ZA"/>
        </w:rPr>
        <w:t>a quo</w:t>
      </w:r>
      <w:r w:rsidR="00F24142">
        <w:rPr>
          <w:rFonts w:eastAsia="Times New Roman" w:cs="Arial"/>
          <w:bCs/>
          <w:szCs w:val="24"/>
          <w:lang w:val="en-ZA"/>
        </w:rPr>
        <w:t>)</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20726558" w14:textId="211CAE01" w:rsidR="00D87AA7" w:rsidRDefault="00F24142" w:rsidP="00F24142">
      <w:pPr>
        <w:spacing w:after="0" w:line="240" w:lineRule="auto"/>
        <w:ind w:left="0"/>
        <w:jc w:val="left"/>
        <w:rPr>
          <w:rFonts w:cs="Arial"/>
          <w:szCs w:val="24"/>
        </w:rPr>
      </w:pPr>
      <w:r>
        <w:rPr>
          <w:rFonts w:cs="Arial"/>
          <w:szCs w:val="24"/>
        </w:rPr>
        <w:t>THE COURT</w:t>
      </w:r>
    </w:p>
    <w:p w14:paraId="57A91E84" w14:textId="77777777" w:rsidR="00F24142" w:rsidRPr="00F24142" w:rsidRDefault="00F24142" w:rsidP="00F24142">
      <w:pPr>
        <w:pStyle w:val="JudgmentNumbered"/>
        <w:numPr>
          <w:ilvl w:val="0"/>
          <w:numId w:val="0"/>
        </w:numPr>
        <w:ind w:left="567" w:hanging="567"/>
      </w:pPr>
    </w:p>
    <w:p w14:paraId="766D3411" w14:textId="0837AAF0" w:rsidR="00F24142" w:rsidRPr="00F24142" w:rsidRDefault="00F24142" w:rsidP="00F24142">
      <w:pPr>
        <w:pStyle w:val="JudgmentNumbered"/>
        <w:numPr>
          <w:ilvl w:val="0"/>
          <w:numId w:val="0"/>
        </w:numPr>
        <w:ind w:left="567" w:hanging="567"/>
        <w:rPr>
          <w:i/>
          <w:iCs/>
        </w:rPr>
      </w:pPr>
      <w:r>
        <w:rPr>
          <w:i/>
          <w:iCs/>
        </w:rPr>
        <w:t>Introduction</w:t>
      </w:r>
    </w:p>
    <w:p w14:paraId="1C7BA8F7" w14:textId="7C6901F1" w:rsidR="00583747" w:rsidRPr="00F24142" w:rsidRDefault="00580912" w:rsidP="00580912">
      <w:pPr>
        <w:pStyle w:val="JudgmentNumbered"/>
        <w:numPr>
          <w:ilvl w:val="0"/>
          <w:numId w:val="0"/>
        </w:numPr>
        <w:ind w:left="720" w:hanging="720"/>
        <w:rPr>
          <w:lang w:val="en-ZA"/>
        </w:rPr>
      </w:pPr>
      <w:r w:rsidRPr="00F24142">
        <w:rPr>
          <w:lang w:val="en-ZA"/>
        </w:rPr>
        <w:lastRenderedPageBreak/>
        <w:t>[1]</w:t>
      </w:r>
      <w:r w:rsidRPr="00F24142">
        <w:rPr>
          <w:lang w:val="en-ZA"/>
        </w:rPr>
        <w:tab/>
      </w:r>
      <w:r w:rsidR="00F24142" w:rsidRPr="00F24142">
        <w:rPr>
          <w:lang w:val="en-ZA"/>
        </w:rPr>
        <w:t>This appeal is with the leave of the Supreme Court of Appeal. The appeal lies against the whole of the judgment and order granted by Senyatsi J on 31</w:t>
      </w:r>
      <w:r w:rsidR="00F24142">
        <w:rPr>
          <w:lang w:val="en-ZA"/>
        </w:rPr>
        <w:t> </w:t>
      </w:r>
      <w:r w:rsidR="00F24142" w:rsidRPr="00F24142">
        <w:rPr>
          <w:lang w:val="en-ZA"/>
        </w:rPr>
        <w:t>January</w:t>
      </w:r>
      <w:r w:rsidR="00F24142">
        <w:rPr>
          <w:lang w:val="en-ZA"/>
        </w:rPr>
        <w:t> </w:t>
      </w:r>
      <w:r w:rsidR="00F24142" w:rsidRPr="00F24142">
        <w:rPr>
          <w:lang w:val="en-ZA"/>
        </w:rPr>
        <w:t>2022 in terms of which he refused an application to rescind an order of Tsoka J granted on 06</w:t>
      </w:r>
      <w:r w:rsidR="00F24142">
        <w:rPr>
          <w:lang w:val="en-ZA"/>
        </w:rPr>
        <w:t> </w:t>
      </w:r>
      <w:r w:rsidR="00F24142" w:rsidRPr="00F24142">
        <w:rPr>
          <w:lang w:val="en-ZA"/>
        </w:rPr>
        <w:t>February</w:t>
      </w:r>
      <w:r w:rsidR="00F24142">
        <w:rPr>
          <w:lang w:val="en-ZA"/>
        </w:rPr>
        <w:t> </w:t>
      </w:r>
      <w:r w:rsidR="00F24142" w:rsidRPr="00F24142">
        <w:rPr>
          <w:lang w:val="en-ZA"/>
        </w:rPr>
        <w:t>2022 which struck out the appellants defences in an action for damages.</w:t>
      </w:r>
    </w:p>
    <w:p w14:paraId="39127B1A" w14:textId="0F0A7AFE" w:rsidR="00583747" w:rsidRPr="00583747" w:rsidRDefault="00F24142" w:rsidP="00583747">
      <w:pPr>
        <w:pStyle w:val="JudgmentNumbered"/>
        <w:numPr>
          <w:ilvl w:val="0"/>
          <w:numId w:val="0"/>
        </w:numPr>
        <w:rPr>
          <w:i/>
          <w:iCs/>
        </w:rPr>
      </w:pPr>
      <w:r>
        <w:rPr>
          <w:i/>
          <w:iCs/>
        </w:rPr>
        <w:t>B</w:t>
      </w:r>
      <w:r w:rsidR="00583747">
        <w:rPr>
          <w:i/>
          <w:iCs/>
        </w:rPr>
        <w:t>ackground</w:t>
      </w:r>
    </w:p>
    <w:p w14:paraId="54956141" w14:textId="10FAB11B" w:rsidR="00F24142" w:rsidRPr="00F24142" w:rsidRDefault="00580912" w:rsidP="00580912">
      <w:pPr>
        <w:pStyle w:val="JudgmentNumbered"/>
        <w:numPr>
          <w:ilvl w:val="0"/>
          <w:numId w:val="0"/>
        </w:numPr>
        <w:ind w:left="720" w:hanging="720"/>
        <w:rPr>
          <w:lang w:val="en-ZA"/>
        </w:rPr>
      </w:pPr>
      <w:r w:rsidRPr="00F24142">
        <w:rPr>
          <w:lang w:val="en-ZA"/>
        </w:rPr>
        <w:t>[2]</w:t>
      </w:r>
      <w:r w:rsidRPr="00F24142">
        <w:rPr>
          <w:lang w:val="en-ZA"/>
        </w:rPr>
        <w:tab/>
      </w:r>
      <w:r w:rsidR="00583747" w:rsidRPr="00583747">
        <w:t xml:space="preserve">The </w:t>
      </w:r>
      <w:r w:rsidR="00F24142" w:rsidRPr="00F24142">
        <w:rPr>
          <w:lang w:val="en-ZA"/>
        </w:rPr>
        <w:t>appellant is the National Home Builders Registration Council which is established in terms of section 2 of the Housing Consumers Protection Measures Act.</w:t>
      </w:r>
      <w:r w:rsidR="00F24142">
        <w:rPr>
          <w:rStyle w:val="FootnoteReference"/>
          <w:lang w:val="en-ZA"/>
        </w:rPr>
        <w:footnoteReference w:id="1"/>
      </w:r>
      <w:r w:rsidR="00F24142" w:rsidRPr="00F24142">
        <w:rPr>
          <w:lang w:val="en-ZA"/>
        </w:rPr>
        <w:t xml:space="preserve"> It is mandated, </w:t>
      </w:r>
      <w:r w:rsidR="00F24142" w:rsidRPr="00F24142">
        <w:rPr>
          <w:i/>
          <w:iCs/>
          <w:lang w:val="en-ZA"/>
        </w:rPr>
        <w:t>inter alia</w:t>
      </w:r>
      <w:r w:rsidR="00F24142" w:rsidRPr="00F24142">
        <w:rPr>
          <w:lang w:val="en-ZA"/>
        </w:rPr>
        <w:t>, to regulate the home building industry and it has powers to discipline home builders who fail to comply with the Act.</w:t>
      </w:r>
    </w:p>
    <w:p w14:paraId="01C0D79A" w14:textId="7B6C9E1D" w:rsidR="00F24142" w:rsidRPr="00F24142" w:rsidRDefault="00580912" w:rsidP="00580912">
      <w:pPr>
        <w:pStyle w:val="JudgmentNumbered"/>
        <w:numPr>
          <w:ilvl w:val="0"/>
          <w:numId w:val="0"/>
        </w:numPr>
        <w:ind w:left="720" w:hanging="720"/>
        <w:rPr>
          <w:lang w:val="en-ZA"/>
        </w:rPr>
      </w:pPr>
      <w:r w:rsidRPr="00F24142">
        <w:rPr>
          <w:lang w:val="en-ZA"/>
        </w:rPr>
        <w:t>[3]</w:t>
      </w:r>
      <w:r w:rsidRPr="00F24142">
        <w:rPr>
          <w:lang w:val="en-ZA"/>
        </w:rPr>
        <w:tab/>
      </w:r>
      <w:r w:rsidR="00F24142" w:rsidRPr="00F24142">
        <w:rPr>
          <w:lang w:val="en-ZA"/>
        </w:rPr>
        <w:t>In 2008, in terms of its disciplinary powers, the appellant suspended the registration of the respondent for a period of 1221 days.</w:t>
      </w:r>
    </w:p>
    <w:p w14:paraId="5E1BF261" w14:textId="68896ECD" w:rsidR="00F24142" w:rsidRPr="00F24142" w:rsidRDefault="00580912" w:rsidP="00580912">
      <w:pPr>
        <w:pStyle w:val="JudgmentNumbered"/>
        <w:numPr>
          <w:ilvl w:val="0"/>
          <w:numId w:val="0"/>
        </w:numPr>
        <w:ind w:left="720" w:hanging="720"/>
        <w:rPr>
          <w:lang w:val="en-ZA"/>
        </w:rPr>
      </w:pPr>
      <w:r w:rsidRPr="00F24142">
        <w:rPr>
          <w:lang w:val="en-ZA"/>
        </w:rPr>
        <w:t>[4]</w:t>
      </w:r>
      <w:r w:rsidRPr="00F24142">
        <w:rPr>
          <w:lang w:val="en-ZA"/>
        </w:rPr>
        <w:tab/>
      </w:r>
      <w:r w:rsidR="00F24142" w:rsidRPr="00F24142">
        <w:rPr>
          <w:lang w:val="en-ZA"/>
        </w:rPr>
        <w:t>In that period the respondent was unable to trade, and it alleges that as a result it suffered damages in the amount of R</w:t>
      </w:r>
      <w:r w:rsidR="00F24142">
        <w:rPr>
          <w:lang w:val="en-ZA"/>
        </w:rPr>
        <w:t> </w:t>
      </w:r>
      <w:r w:rsidR="00F24142" w:rsidRPr="00F24142">
        <w:rPr>
          <w:lang w:val="en-ZA"/>
        </w:rPr>
        <w:t>7 796 550.</w:t>
      </w:r>
    </w:p>
    <w:p w14:paraId="583DC943" w14:textId="549162D5" w:rsidR="00F24142" w:rsidRPr="00F24142" w:rsidRDefault="00580912" w:rsidP="00580912">
      <w:pPr>
        <w:pStyle w:val="JudgmentNumbered"/>
        <w:numPr>
          <w:ilvl w:val="0"/>
          <w:numId w:val="0"/>
        </w:numPr>
        <w:ind w:left="720" w:hanging="720"/>
        <w:rPr>
          <w:lang w:val="en-ZA"/>
        </w:rPr>
      </w:pPr>
      <w:r w:rsidRPr="00F24142">
        <w:rPr>
          <w:lang w:val="en-ZA"/>
        </w:rPr>
        <w:t>[5]</w:t>
      </w:r>
      <w:r w:rsidRPr="00F24142">
        <w:rPr>
          <w:lang w:val="en-ZA"/>
        </w:rPr>
        <w:tab/>
      </w:r>
      <w:r w:rsidR="00F24142" w:rsidRPr="00F24142">
        <w:rPr>
          <w:lang w:val="en-ZA"/>
        </w:rPr>
        <w:t xml:space="preserve">Five years later in 2013, the respondent instituted an action for recovery of these alleged damages. The appellant raised good defences in well drafted pleadings. The respondent contended that the pleadings were closed and invoked the discovery and trial preparation provisions in the </w:t>
      </w:r>
      <w:r w:rsidR="00F24142">
        <w:rPr>
          <w:lang w:val="en-ZA"/>
        </w:rPr>
        <w:t>U</w:t>
      </w:r>
      <w:r w:rsidR="00F24142" w:rsidRPr="00F24142">
        <w:rPr>
          <w:lang w:val="en-ZA"/>
        </w:rPr>
        <w:t xml:space="preserve">niform </w:t>
      </w:r>
      <w:r w:rsidR="00F24142">
        <w:rPr>
          <w:lang w:val="en-ZA"/>
        </w:rPr>
        <w:t>R</w:t>
      </w:r>
      <w:r w:rsidR="00F24142" w:rsidRPr="00F24142">
        <w:rPr>
          <w:lang w:val="en-ZA"/>
        </w:rPr>
        <w:t xml:space="preserve">ules of </w:t>
      </w:r>
      <w:r w:rsidR="00F24142">
        <w:rPr>
          <w:lang w:val="en-ZA"/>
        </w:rPr>
        <w:t>C</w:t>
      </w:r>
      <w:r w:rsidR="00F24142" w:rsidRPr="00F24142">
        <w:rPr>
          <w:lang w:val="en-ZA"/>
        </w:rPr>
        <w:t>ourt.</w:t>
      </w:r>
    </w:p>
    <w:p w14:paraId="555EE4E8" w14:textId="4247B902" w:rsidR="00F24142" w:rsidRPr="00F24142" w:rsidRDefault="00580912" w:rsidP="00580912">
      <w:pPr>
        <w:pStyle w:val="JudgmentNumbered"/>
        <w:numPr>
          <w:ilvl w:val="0"/>
          <w:numId w:val="0"/>
        </w:numPr>
        <w:ind w:left="720" w:hanging="720"/>
        <w:rPr>
          <w:lang w:val="en-ZA"/>
        </w:rPr>
      </w:pPr>
      <w:r w:rsidRPr="00F24142">
        <w:rPr>
          <w:lang w:val="en-ZA"/>
        </w:rPr>
        <w:t>[6]</w:t>
      </w:r>
      <w:r w:rsidRPr="00F24142">
        <w:rPr>
          <w:lang w:val="en-ZA"/>
        </w:rPr>
        <w:tab/>
      </w:r>
      <w:r w:rsidR="00F24142" w:rsidRPr="00F24142">
        <w:rPr>
          <w:lang w:val="en-ZA"/>
        </w:rPr>
        <w:t>The subsequent attendances (or rather non</w:t>
      </w:r>
      <w:r w:rsidR="00F24142">
        <w:rPr>
          <w:lang w:val="en-ZA"/>
        </w:rPr>
        <w:noBreakHyphen/>
      </w:r>
      <w:r w:rsidR="00F24142" w:rsidRPr="00F24142">
        <w:rPr>
          <w:lang w:val="en-ZA"/>
        </w:rPr>
        <w:t>attendances) to the matter by the legal representatives of the appellant represent a high</w:t>
      </w:r>
      <w:r w:rsidR="00F24142">
        <w:rPr>
          <w:lang w:val="en-ZA"/>
        </w:rPr>
        <w:noBreakHyphen/>
      </w:r>
      <w:r w:rsidR="00F24142" w:rsidRPr="00F24142">
        <w:rPr>
          <w:lang w:val="en-ZA"/>
        </w:rPr>
        <w:t>water mark of delinquency in relation to the adherence to the rules of court.</w:t>
      </w:r>
    </w:p>
    <w:p w14:paraId="348082C1" w14:textId="3F8A9375" w:rsidR="00F24142" w:rsidRPr="00F24142" w:rsidRDefault="00580912" w:rsidP="00580912">
      <w:pPr>
        <w:pStyle w:val="JudgmentNumbered"/>
        <w:numPr>
          <w:ilvl w:val="0"/>
          <w:numId w:val="0"/>
        </w:numPr>
        <w:ind w:left="720" w:hanging="720"/>
        <w:rPr>
          <w:lang w:val="en-ZA"/>
        </w:rPr>
      </w:pPr>
      <w:r w:rsidRPr="00F24142">
        <w:rPr>
          <w:lang w:val="en-ZA"/>
        </w:rPr>
        <w:t>[7]</w:t>
      </w:r>
      <w:r w:rsidRPr="00F24142">
        <w:rPr>
          <w:lang w:val="en-ZA"/>
        </w:rPr>
        <w:tab/>
      </w:r>
      <w:r w:rsidR="00F24142" w:rsidRPr="00F24142">
        <w:rPr>
          <w:lang w:val="en-ZA"/>
        </w:rPr>
        <w:t xml:space="preserve">The court </w:t>
      </w:r>
      <w:r w:rsidR="00F24142" w:rsidRPr="00F24142">
        <w:rPr>
          <w:i/>
          <w:iCs/>
          <w:lang w:val="en-ZA"/>
        </w:rPr>
        <w:t>a quo</w:t>
      </w:r>
      <w:r w:rsidR="00F24142" w:rsidRPr="00F24142">
        <w:rPr>
          <w:lang w:val="en-ZA"/>
        </w:rPr>
        <w:t xml:space="preserve"> was justifiably of the view that the explanation by the appellant to the effect that it simply left the matter in the hands of its attorneys for years without being alerted to the chaos that was being meted out in the discovery and trial preparation phase of the matter was untenable. We agree with the </w:t>
      </w:r>
      <w:r w:rsidR="00F24142" w:rsidRPr="00F24142">
        <w:rPr>
          <w:lang w:val="en-ZA"/>
        </w:rPr>
        <w:lastRenderedPageBreak/>
        <w:t>court that this position is particularly egregious, especially given that the appellant is equipped with in</w:t>
      </w:r>
      <w:r w:rsidR="00F24142">
        <w:rPr>
          <w:lang w:val="en-ZA"/>
        </w:rPr>
        <w:noBreakHyphen/>
      </w:r>
      <w:r w:rsidR="00F24142" w:rsidRPr="00F24142">
        <w:rPr>
          <w:lang w:val="en-ZA"/>
        </w:rPr>
        <w:t>house legal assistance.</w:t>
      </w:r>
    </w:p>
    <w:p w14:paraId="18A50886" w14:textId="5A927475" w:rsidR="00F24142" w:rsidRPr="00F24142" w:rsidRDefault="00580912" w:rsidP="00580912">
      <w:pPr>
        <w:pStyle w:val="JudgmentNumbered"/>
        <w:numPr>
          <w:ilvl w:val="0"/>
          <w:numId w:val="0"/>
        </w:numPr>
        <w:ind w:left="720" w:hanging="720"/>
        <w:rPr>
          <w:lang w:val="en-ZA"/>
        </w:rPr>
      </w:pPr>
      <w:r w:rsidRPr="00F24142">
        <w:rPr>
          <w:lang w:val="en-ZA"/>
        </w:rPr>
        <w:t>[8]</w:t>
      </w:r>
      <w:r w:rsidRPr="00F24142">
        <w:rPr>
          <w:lang w:val="en-ZA"/>
        </w:rPr>
        <w:tab/>
      </w:r>
      <w:r w:rsidR="00F24142" w:rsidRPr="00F24142">
        <w:rPr>
          <w:lang w:val="en-ZA"/>
        </w:rPr>
        <w:t>The court a quo, continued:</w:t>
      </w:r>
    </w:p>
    <w:p w14:paraId="547D4CD3" w14:textId="5D24A353" w:rsidR="00F24142" w:rsidRPr="00C83710" w:rsidRDefault="00F24142" w:rsidP="00C83710">
      <w:pPr>
        <w:pStyle w:val="JudgmentNumbered"/>
        <w:numPr>
          <w:ilvl w:val="0"/>
          <w:numId w:val="0"/>
        </w:numPr>
        <w:ind w:left="1440"/>
        <w:rPr>
          <w:sz w:val="22"/>
          <w:lang w:val="en-ZA"/>
        </w:rPr>
      </w:pPr>
      <w:r w:rsidRPr="00C83710">
        <w:rPr>
          <w:lang w:val="en-ZA"/>
        </w:rPr>
        <w:t>“</w:t>
      </w:r>
      <w:r w:rsidRPr="00C83710">
        <w:rPr>
          <w:sz w:val="22"/>
          <w:lang w:val="en-ZA"/>
        </w:rPr>
        <w:t>Even if I am incorrect in coming to the decision based on the abovementioned grounds another consideration I have given, is the evidence adduced by the respondent on the background of the litigation.</w:t>
      </w:r>
      <w:r w:rsidR="00C83710" w:rsidRPr="00C83710">
        <w:rPr>
          <w:sz w:val="22"/>
          <w:lang w:val="en-ZA"/>
        </w:rPr>
        <w:t xml:space="preserve"> </w:t>
      </w:r>
      <w:r w:rsidRPr="00C83710">
        <w:rPr>
          <w:i/>
          <w:iCs/>
          <w:sz w:val="22"/>
          <w:lang w:val="en-ZA"/>
        </w:rPr>
        <w:t>… Having regard to the background I hold the view that the applicant has failed to provide it has a good defence to the claim.</w:t>
      </w:r>
      <w:r w:rsidR="00C83710" w:rsidRPr="00C83710">
        <w:rPr>
          <w:i/>
          <w:iCs/>
          <w:sz w:val="22"/>
          <w:lang w:val="en-ZA"/>
        </w:rPr>
        <w:t xml:space="preserve"> </w:t>
      </w:r>
      <w:r w:rsidRPr="00C83710">
        <w:rPr>
          <w:sz w:val="22"/>
          <w:lang w:val="en-ZA"/>
        </w:rPr>
        <w:t>The application for recission must fail.” (Emphasis added</w:t>
      </w:r>
      <w:r w:rsidR="00C83710" w:rsidRPr="00C83710">
        <w:rPr>
          <w:sz w:val="22"/>
          <w:lang w:val="en-ZA"/>
        </w:rPr>
        <w:t>.</w:t>
      </w:r>
      <w:r w:rsidRPr="00C83710">
        <w:rPr>
          <w:sz w:val="22"/>
          <w:lang w:val="en-ZA"/>
        </w:rPr>
        <w:t>)</w:t>
      </w:r>
    </w:p>
    <w:p w14:paraId="7DE87B48" w14:textId="42BCA854" w:rsidR="00C83710" w:rsidRPr="00C83710" w:rsidRDefault="00580912" w:rsidP="00580912">
      <w:pPr>
        <w:pStyle w:val="JudgmentNumbered"/>
        <w:numPr>
          <w:ilvl w:val="0"/>
          <w:numId w:val="0"/>
        </w:numPr>
        <w:ind w:left="720" w:hanging="720"/>
        <w:rPr>
          <w:lang w:val="en-ZA"/>
        </w:rPr>
      </w:pPr>
      <w:r w:rsidRPr="00C83710">
        <w:rPr>
          <w:lang w:val="en-ZA"/>
        </w:rPr>
        <w:t>[9]</w:t>
      </w:r>
      <w:r w:rsidRPr="00C83710">
        <w:rPr>
          <w:lang w:val="en-ZA"/>
        </w:rPr>
        <w:tab/>
      </w:r>
      <w:r w:rsidR="00C83710">
        <w:t>A</w:t>
      </w:r>
      <w:r w:rsidR="00C83710" w:rsidRPr="00C83710">
        <w:rPr>
          <w:lang w:val="en-ZA"/>
        </w:rPr>
        <w:t>n applicant for recission of a judgment granted by default, must demonstrate good/sufficient</w:t>
      </w:r>
      <w:r w:rsidR="00C83710">
        <w:rPr>
          <w:lang w:val="en-ZA"/>
        </w:rPr>
        <w:t xml:space="preserve"> </w:t>
      </w:r>
      <w:r w:rsidR="00C83710" w:rsidRPr="00C83710">
        <w:rPr>
          <w:lang w:val="en-ZA"/>
        </w:rPr>
        <w:t>cause.</w:t>
      </w:r>
      <w:r w:rsidR="00C83710" w:rsidRPr="00C83710">
        <w:rPr>
          <w:vertAlign w:val="superscript"/>
          <w:lang w:val="en-ZA"/>
        </w:rPr>
        <w:footnoteReference w:id="2"/>
      </w:r>
      <w:r w:rsidR="00C83710">
        <w:rPr>
          <w:lang w:val="en-ZA"/>
        </w:rPr>
        <w:t xml:space="preserve"> </w:t>
      </w:r>
      <w:r w:rsidR="00C83710" w:rsidRPr="00C83710">
        <w:rPr>
          <w:lang w:val="en-ZA"/>
        </w:rPr>
        <w:t>The terms good or sufficient cause are used interchangeably.</w:t>
      </w:r>
    </w:p>
    <w:p w14:paraId="5ACE7922" w14:textId="17B62BD7" w:rsidR="00C83710" w:rsidRPr="00C83710" w:rsidRDefault="00580912" w:rsidP="00580912">
      <w:pPr>
        <w:pStyle w:val="JudgmentNumbered"/>
        <w:numPr>
          <w:ilvl w:val="0"/>
          <w:numId w:val="0"/>
        </w:numPr>
        <w:ind w:left="720" w:hanging="720"/>
        <w:rPr>
          <w:lang w:val="en-ZA"/>
        </w:rPr>
      </w:pPr>
      <w:r w:rsidRPr="00C83710">
        <w:rPr>
          <w:lang w:val="en-ZA"/>
        </w:rPr>
        <w:t>[10]</w:t>
      </w:r>
      <w:r w:rsidRPr="00C83710">
        <w:rPr>
          <w:lang w:val="en-ZA"/>
        </w:rPr>
        <w:tab/>
      </w:r>
      <w:r w:rsidR="00C83710" w:rsidRPr="00C83710">
        <w:rPr>
          <w:lang w:val="en-ZA"/>
        </w:rPr>
        <w:t xml:space="preserve">The Constitutional Court in the </w:t>
      </w:r>
      <w:r w:rsidR="00C83710" w:rsidRPr="00C83710">
        <w:rPr>
          <w:i/>
          <w:iCs/>
          <w:lang w:val="en-ZA"/>
        </w:rPr>
        <w:t>Zuma</w:t>
      </w:r>
      <w:r w:rsidR="00C83710" w:rsidRPr="00C83710">
        <w:rPr>
          <w:lang w:val="en-ZA"/>
        </w:rPr>
        <w:t>,</w:t>
      </w:r>
      <w:r w:rsidR="00C83710" w:rsidRPr="00C83710">
        <w:rPr>
          <w:vertAlign w:val="superscript"/>
          <w:lang w:val="en-ZA"/>
        </w:rPr>
        <w:footnoteReference w:id="3"/>
      </w:r>
      <w:r w:rsidR="00C83710" w:rsidRPr="00C83710">
        <w:rPr>
          <w:lang w:val="en-ZA"/>
        </w:rPr>
        <w:t xml:space="preserve"> restated the requirements for the granting of an application for recission to be satisfied as follows</w:t>
      </w:r>
      <w:r w:rsidR="003B2AAA">
        <w:rPr>
          <w:lang w:val="en-ZA"/>
        </w:rPr>
        <w:t>:</w:t>
      </w:r>
    </w:p>
    <w:p w14:paraId="2FC5F272" w14:textId="715050AE" w:rsidR="00C83710" w:rsidRPr="00AB2434" w:rsidRDefault="00AB2434" w:rsidP="00AB2434">
      <w:pPr>
        <w:pStyle w:val="JudgmentNumbered"/>
        <w:numPr>
          <w:ilvl w:val="0"/>
          <w:numId w:val="0"/>
        </w:numPr>
        <w:ind w:left="1440"/>
        <w:rPr>
          <w:sz w:val="22"/>
        </w:rPr>
      </w:pPr>
      <w:r w:rsidRPr="00AB2434">
        <w:rPr>
          <w:sz w:val="22"/>
        </w:rPr>
        <w:t>“First, the applicant must furnish a reasonable and satisfactory explanation for its default. Second, it must show that on the merits it has a bona fide defence which prima facie carries some prospect of success. Proof of these requirements is taken as showing that there is sufficient cause for an order to be rescinded. A failure to meet one of them may result in refusal of the request to rescind.”</w:t>
      </w:r>
      <w:r>
        <w:rPr>
          <w:rStyle w:val="FootnoteReference"/>
          <w:sz w:val="22"/>
        </w:rPr>
        <w:footnoteReference w:id="4"/>
      </w:r>
    </w:p>
    <w:p w14:paraId="32B9C89D" w14:textId="38D9D466" w:rsidR="00015E44" w:rsidRPr="00015E44" w:rsidRDefault="00580912" w:rsidP="00580912">
      <w:pPr>
        <w:pStyle w:val="JudgmentNumbered"/>
        <w:numPr>
          <w:ilvl w:val="0"/>
          <w:numId w:val="0"/>
        </w:numPr>
        <w:ind w:left="720" w:hanging="720"/>
        <w:rPr>
          <w:lang w:val="en-ZA"/>
        </w:rPr>
      </w:pPr>
      <w:r w:rsidRPr="00015E44">
        <w:rPr>
          <w:lang w:val="en-ZA"/>
        </w:rPr>
        <w:t>[11]</w:t>
      </w:r>
      <w:r w:rsidRPr="00015E44">
        <w:rPr>
          <w:lang w:val="en-ZA"/>
        </w:rPr>
        <w:tab/>
      </w:r>
      <w:r w:rsidR="00015E44">
        <w:rPr>
          <w:lang w:val="en-ZA"/>
        </w:rPr>
        <w:t xml:space="preserve">The </w:t>
      </w:r>
      <w:r w:rsidR="00015E44" w:rsidRPr="00015E44">
        <w:rPr>
          <w:lang w:val="en-ZA"/>
        </w:rPr>
        <w:t>appellant alleged that although its attorney informed it of a trial date, he did not inform it of the order compelling it to respond to the request for further a particulars. Had it known of the order it would have complied. As stated above this barely passes muster.</w:t>
      </w:r>
    </w:p>
    <w:p w14:paraId="4D1820A3" w14:textId="74AA0049" w:rsidR="00AB2434" w:rsidRPr="00AB2434" w:rsidRDefault="00580912" w:rsidP="00580912">
      <w:pPr>
        <w:pStyle w:val="JudgmentNumbered"/>
        <w:numPr>
          <w:ilvl w:val="0"/>
          <w:numId w:val="0"/>
        </w:numPr>
        <w:ind w:left="720" w:hanging="720"/>
        <w:rPr>
          <w:lang w:val="en-ZA"/>
        </w:rPr>
      </w:pPr>
      <w:r w:rsidRPr="00AB2434">
        <w:rPr>
          <w:lang w:val="en-ZA"/>
        </w:rPr>
        <w:t>[12]</w:t>
      </w:r>
      <w:r w:rsidRPr="00AB2434">
        <w:rPr>
          <w:lang w:val="en-ZA"/>
        </w:rPr>
        <w:tab/>
      </w:r>
      <w:r w:rsidR="00015E44">
        <w:rPr>
          <w:lang w:val="en-ZA"/>
        </w:rPr>
        <w:t xml:space="preserve">Having </w:t>
      </w:r>
      <w:r w:rsidR="00AB2434" w:rsidRPr="00AB2434">
        <w:rPr>
          <w:lang w:val="en-ZA"/>
        </w:rPr>
        <w:t>said this, there is redemption to be found in the pleadings in the action. The pleadings formed part of the documents to be considered by the court.</w:t>
      </w:r>
    </w:p>
    <w:p w14:paraId="31A8DED0" w14:textId="6B6DF702" w:rsidR="00AB2434" w:rsidRPr="00AB2434" w:rsidRDefault="00580912" w:rsidP="00580912">
      <w:pPr>
        <w:pStyle w:val="JudgmentNumbered"/>
        <w:numPr>
          <w:ilvl w:val="0"/>
          <w:numId w:val="0"/>
        </w:numPr>
        <w:ind w:left="720" w:hanging="720"/>
        <w:rPr>
          <w:lang w:val="en-ZA"/>
        </w:rPr>
      </w:pPr>
      <w:r w:rsidRPr="00AB2434">
        <w:rPr>
          <w:lang w:val="en-ZA"/>
        </w:rPr>
        <w:lastRenderedPageBreak/>
        <w:t>[13]</w:t>
      </w:r>
      <w:r w:rsidRPr="00AB2434">
        <w:rPr>
          <w:lang w:val="en-ZA"/>
        </w:rPr>
        <w:tab/>
      </w:r>
      <w:r w:rsidR="00AB2434" w:rsidRPr="00AB2434">
        <w:rPr>
          <w:lang w:val="en-ZA"/>
        </w:rPr>
        <w:t>Reference to the pleadings evidences an engagement with the case of the respondent in the action that is such that it discloses a number of triable issues.</w:t>
      </w:r>
    </w:p>
    <w:p w14:paraId="3678A3FC" w14:textId="20F17DA5" w:rsidR="00AB2434" w:rsidRPr="00AB2434" w:rsidRDefault="00580912" w:rsidP="00580912">
      <w:pPr>
        <w:pStyle w:val="JudgmentNumbered"/>
        <w:numPr>
          <w:ilvl w:val="0"/>
          <w:numId w:val="0"/>
        </w:numPr>
        <w:ind w:left="720" w:hanging="720"/>
        <w:rPr>
          <w:lang w:val="en-ZA"/>
        </w:rPr>
      </w:pPr>
      <w:r w:rsidRPr="00AB2434">
        <w:rPr>
          <w:lang w:val="en-ZA"/>
        </w:rPr>
        <w:t>[14]</w:t>
      </w:r>
      <w:r w:rsidRPr="00AB2434">
        <w:rPr>
          <w:lang w:val="en-ZA"/>
        </w:rPr>
        <w:tab/>
      </w:r>
      <w:r w:rsidR="00AB2434" w:rsidRPr="00AB2434">
        <w:rPr>
          <w:lang w:val="en-ZA"/>
        </w:rPr>
        <w:t>These triable issues include a defence of prescription raised by way of special plea. The respondent did not replicate to the special plea. This leaves the plea unanswered.</w:t>
      </w:r>
    </w:p>
    <w:p w14:paraId="4D37CCE5" w14:textId="2C85B806" w:rsidR="00AB2434" w:rsidRPr="00AB2434" w:rsidRDefault="00580912" w:rsidP="00580912">
      <w:pPr>
        <w:pStyle w:val="JudgmentNumbered"/>
        <w:numPr>
          <w:ilvl w:val="0"/>
          <w:numId w:val="0"/>
        </w:numPr>
        <w:ind w:left="720" w:hanging="720"/>
        <w:rPr>
          <w:lang w:val="en-ZA"/>
        </w:rPr>
      </w:pPr>
      <w:r w:rsidRPr="00AB2434">
        <w:rPr>
          <w:lang w:val="en-ZA"/>
        </w:rPr>
        <w:t>[15]</w:t>
      </w:r>
      <w:r w:rsidRPr="00AB2434">
        <w:rPr>
          <w:lang w:val="en-ZA"/>
        </w:rPr>
        <w:tab/>
      </w:r>
      <w:r w:rsidR="00AB2434" w:rsidRPr="00AB2434">
        <w:rPr>
          <w:lang w:val="en-ZA"/>
        </w:rPr>
        <w:t>This could mean either that there is no answer (in which event the plea must succeed) or that the respondent had,</w:t>
      </w:r>
      <w:r w:rsidR="00AB2434">
        <w:rPr>
          <w:lang w:val="en-ZA"/>
        </w:rPr>
        <w:t xml:space="preserve"> </w:t>
      </w:r>
      <w:r w:rsidR="00AB2434" w:rsidRPr="00AB2434">
        <w:rPr>
          <w:lang w:val="en-ZA"/>
        </w:rPr>
        <w:t>itself, neglected to plead its case. In the latter event the pleadings would not have been closed and the respondent thus not entitled to the compelling orders relied on to strike out the defe</w:t>
      </w:r>
      <w:r w:rsidR="00AB2434">
        <w:rPr>
          <w:lang w:val="en-ZA"/>
        </w:rPr>
        <w:t>n</w:t>
      </w:r>
      <w:r w:rsidR="00AB2434" w:rsidRPr="00AB2434">
        <w:rPr>
          <w:lang w:val="en-ZA"/>
        </w:rPr>
        <w:t xml:space="preserve">ces. </w:t>
      </w:r>
    </w:p>
    <w:p w14:paraId="70BC3891" w14:textId="6DA6A145" w:rsidR="00AB2434" w:rsidRPr="00AB2434" w:rsidRDefault="00580912" w:rsidP="00580912">
      <w:pPr>
        <w:pStyle w:val="JudgmentNumbered"/>
        <w:numPr>
          <w:ilvl w:val="0"/>
          <w:numId w:val="0"/>
        </w:numPr>
        <w:ind w:left="720" w:hanging="720"/>
        <w:rPr>
          <w:lang w:val="en-ZA"/>
        </w:rPr>
      </w:pPr>
      <w:r w:rsidRPr="00AB2434">
        <w:rPr>
          <w:lang w:val="en-ZA"/>
        </w:rPr>
        <w:t>[16]</w:t>
      </w:r>
      <w:r w:rsidRPr="00AB2434">
        <w:rPr>
          <w:lang w:val="en-ZA"/>
        </w:rPr>
        <w:tab/>
      </w:r>
      <w:r w:rsidR="00AB2434" w:rsidRPr="00AB2434">
        <w:rPr>
          <w:lang w:val="en-ZA"/>
        </w:rPr>
        <w:t xml:space="preserve">In relation to the second </w:t>
      </w:r>
      <w:r w:rsidR="00A52BDF" w:rsidRPr="00AB2434">
        <w:rPr>
          <w:lang w:val="en-ZA"/>
        </w:rPr>
        <w:t>defence raised</w:t>
      </w:r>
      <w:r w:rsidR="00AB2434" w:rsidRPr="00AB2434">
        <w:rPr>
          <w:lang w:val="en-ZA"/>
        </w:rPr>
        <w:t xml:space="preserve"> a similar lack of engagement with the defence by the respondent emerges. It is not in </w:t>
      </w:r>
      <w:r w:rsidR="00A52BDF" w:rsidRPr="00AB2434">
        <w:rPr>
          <w:lang w:val="en-ZA"/>
        </w:rPr>
        <w:t>dispute that</w:t>
      </w:r>
      <w:r w:rsidR="00AB2434" w:rsidRPr="00AB2434">
        <w:rPr>
          <w:lang w:val="en-ZA"/>
        </w:rPr>
        <w:t xml:space="preserve"> the loss allegedly suffered arose because of the appellant’s disciplinary action.</w:t>
      </w:r>
    </w:p>
    <w:p w14:paraId="7FD30889" w14:textId="43FD760D" w:rsidR="00AB2434" w:rsidRPr="00AB2434" w:rsidRDefault="00580912" w:rsidP="00580912">
      <w:pPr>
        <w:pStyle w:val="JudgmentNumbered"/>
        <w:numPr>
          <w:ilvl w:val="0"/>
          <w:numId w:val="0"/>
        </w:numPr>
        <w:ind w:left="720" w:hanging="720"/>
        <w:rPr>
          <w:lang w:val="en-ZA"/>
        </w:rPr>
      </w:pPr>
      <w:r w:rsidRPr="00AB2434">
        <w:rPr>
          <w:lang w:val="en-ZA"/>
        </w:rPr>
        <w:t>[17]</w:t>
      </w:r>
      <w:r w:rsidRPr="00AB2434">
        <w:rPr>
          <w:lang w:val="en-ZA"/>
        </w:rPr>
        <w:tab/>
      </w:r>
      <w:r w:rsidR="00AB2434" w:rsidRPr="00AB2434">
        <w:rPr>
          <w:lang w:val="en-ZA"/>
        </w:rPr>
        <w:t>The appellant acted in terms of the powers vested in it in terms of the Housing Consumers Protection Measures Act (the Act).</w:t>
      </w:r>
      <w:r w:rsidR="00A52BDF">
        <w:rPr>
          <w:rStyle w:val="FootnoteReference"/>
          <w:lang w:val="en-ZA"/>
        </w:rPr>
        <w:footnoteReference w:id="5"/>
      </w:r>
      <w:r w:rsidR="00AB2434" w:rsidRPr="00AB2434">
        <w:rPr>
          <w:lang w:val="en-ZA"/>
        </w:rPr>
        <w:t xml:space="preserve"> In terms of section 10(5) of the Act the </w:t>
      </w:r>
      <w:r w:rsidR="00A52BDF" w:rsidRPr="00AB2434">
        <w:rPr>
          <w:lang w:val="en-ZA"/>
        </w:rPr>
        <w:t>defendant’s liability</w:t>
      </w:r>
      <w:r w:rsidR="00AB2434" w:rsidRPr="00AB2434">
        <w:rPr>
          <w:lang w:val="en-ZA"/>
        </w:rPr>
        <w:t xml:space="preserve"> for loss or damage arising from anything done or omitted to be done in good faith is excluded.</w:t>
      </w:r>
    </w:p>
    <w:p w14:paraId="5DFB6555" w14:textId="7FF70EBD" w:rsidR="00AB2434" w:rsidRPr="00AB2434" w:rsidRDefault="00580912" w:rsidP="00580912">
      <w:pPr>
        <w:pStyle w:val="JudgmentNumbered"/>
        <w:numPr>
          <w:ilvl w:val="0"/>
          <w:numId w:val="0"/>
        </w:numPr>
        <w:ind w:left="720" w:hanging="720"/>
        <w:rPr>
          <w:lang w:val="en-ZA"/>
        </w:rPr>
      </w:pPr>
      <w:r w:rsidRPr="00AB2434">
        <w:rPr>
          <w:lang w:val="en-ZA"/>
        </w:rPr>
        <w:t>[18]</w:t>
      </w:r>
      <w:r w:rsidRPr="00AB2434">
        <w:rPr>
          <w:lang w:val="en-ZA"/>
        </w:rPr>
        <w:tab/>
      </w:r>
      <w:r w:rsidR="00AB2434" w:rsidRPr="00AB2434">
        <w:rPr>
          <w:lang w:val="en-ZA"/>
        </w:rPr>
        <w:t>Once again, the respondent made no replication to this defence and it stands unanswered. If the respondent wished to rely on bad faith this would have to be pleaded.</w:t>
      </w:r>
    </w:p>
    <w:p w14:paraId="7EA56FC5" w14:textId="4D884620" w:rsidR="00AB2434" w:rsidRPr="00AB2434" w:rsidRDefault="00580912" w:rsidP="00580912">
      <w:pPr>
        <w:pStyle w:val="JudgmentNumbered"/>
        <w:numPr>
          <w:ilvl w:val="0"/>
          <w:numId w:val="0"/>
        </w:numPr>
        <w:ind w:left="720" w:hanging="720"/>
        <w:rPr>
          <w:lang w:val="en-ZA"/>
        </w:rPr>
      </w:pPr>
      <w:r w:rsidRPr="00AB2434">
        <w:rPr>
          <w:lang w:val="en-ZA"/>
        </w:rPr>
        <w:t>[19]</w:t>
      </w:r>
      <w:r w:rsidRPr="00AB2434">
        <w:rPr>
          <w:lang w:val="en-ZA"/>
        </w:rPr>
        <w:tab/>
      </w:r>
      <w:r w:rsidR="00AB2434" w:rsidRPr="00AB2434">
        <w:rPr>
          <w:lang w:val="en-ZA"/>
        </w:rPr>
        <w:t>The upshot is that the appellant has pleaded two good defences which remain unanswered.</w:t>
      </w:r>
    </w:p>
    <w:p w14:paraId="2BBDE090" w14:textId="054BF1CF" w:rsidR="00AB2434" w:rsidRPr="00AB2434" w:rsidRDefault="00580912" w:rsidP="00580912">
      <w:pPr>
        <w:pStyle w:val="JudgmentNumbered"/>
        <w:numPr>
          <w:ilvl w:val="0"/>
          <w:numId w:val="0"/>
        </w:numPr>
        <w:ind w:left="720" w:hanging="720"/>
        <w:rPr>
          <w:lang w:val="en-ZA"/>
        </w:rPr>
      </w:pPr>
      <w:r w:rsidRPr="00AB2434">
        <w:rPr>
          <w:lang w:val="en-ZA"/>
        </w:rPr>
        <w:t>[20]</w:t>
      </w:r>
      <w:r w:rsidRPr="00AB2434">
        <w:rPr>
          <w:lang w:val="en-ZA"/>
        </w:rPr>
        <w:tab/>
      </w:r>
      <w:r w:rsidR="00AB2434" w:rsidRPr="00AB2434">
        <w:rPr>
          <w:lang w:val="en-ZA"/>
        </w:rPr>
        <w:t xml:space="preserve">In </w:t>
      </w:r>
      <w:bookmarkStart w:id="6" w:name="_Hlk151387737"/>
      <w:r w:rsidR="00AB2434" w:rsidRPr="00AB2434">
        <w:rPr>
          <w:i/>
          <w:iCs/>
          <w:lang w:val="en-ZA"/>
        </w:rPr>
        <w:t xml:space="preserve">Harris v ABSA Bank Ltd </w:t>
      </w:r>
      <w:r w:rsidR="00A52BDF" w:rsidRPr="00A52BDF">
        <w:rPr>
          <w:i/>
          <w:iCs/>
          <w:lang w:val="en-ZA"/>
        </w:rPr>
        <w:t xml:space="preserve">t/a </w:t>
      </w:r>
      <w:r w:rsidR="00AB2434" w:rsidRPr="00AB2434">
        <w:rPr>
          <w:i/>
          <w:iCs/>
          <w:lang w:val="en-ZA"/>
        </w:rPr>
        <w:t>Volkskas</w:t>
      </w:r>
      <w:bookmarkEnd w:id="6"/>
      <w:r w:rsidR="00AB2434" w:rsidRPr="00AB2434">
        <w:rPr>
          <w:lang w:val="en-ZA"/>
        </w:rPr>
        <w:t>,</w:t>
      </w:r>
      <w:r w:rsidR="00AB2434" w:rsidRPr="00AB2434">
        <w:rPr>
          <w:vertAlign w:val="superscript"/>
          <w:lang w:val="en-ZA"/>
        </w:rPr>
        <w:footnoteReference w:id="6"/>
      </w:r>
      <w:r w:rsidR="00AB2434" w:rsidRPr="00AB2434">
        <w:rPr>
          <w:lang w:val="en-ZA"/>
        </w:rPr>
        <w:t xml:space="preserve"> Moseneke J, stated that:</w:t>
      </w:r>
    </w:p>
    <w:p w14:paraId="7E94384D" w14:textId="6BA697C8" w:rsidR="00015E44" w:rsidRDefault="00A52BDF" w:rsidP="00A52BDF">
      <w:pPr>
        <w:pStyle w:val="JudgmentNumbered"/>
        <w:numPr>
          <w:ilvl w:val="0"/>
          <w:numId w:val="0"/>
        </w:numPr>
        <w:ind w:left="1440"/>
        <w:rPr>
          <w:rFonts w:ascii="Verdana" w:hAnsi="Verdana" w:cstheme="minorBidi"/>
          <w:color w:val="000000"/>
          <w:sz w:val="16"/>
          <w:szCs w:val="16"/>
        </w:rPr>
      </w:pPr>
      <w:r w:rsidRPr="00A52BDF">
        <w:rPr>
          <w:sz w:val="22"/>
          <w:lang w:val="en-ZA"/>
        </w:rPr>
        <w:t>“</w:t>
      </w:r>
      <w:r w:rsidRPr="00A52BDF">
        <w:rPr>
          <w:sz w:val="22"/>
        </w:rPr>
        <w:t>A steady body of judicial authorities has held that a court seized with an application for rescission of judgment should not, in determining whether good or sufficient cause has been proven, look at the adequacy or otherwise of the explanation of the default or failure in isolation</w:t>
      </w:r>
      <w:r w:rsidRPr="00A52BDF">
        <w:rPr>
          <w:rFonts w:ascii="Verdana" w:hAnsi="Verdana" w:cstheme="minorBidi"/>
          <w:color w:val="000000"/>
          <w:sz w:val="16"/>
          <w:szCs w:val="16"/>
        </w:rPr>
        <w:t xml:space="preserve"> </w:t>
      </w:r>
    </w:p>
    <w:p w14:paraId="7B02DF30" w14:textId="04B8B204" w:rsidR="00AB2434" w:rsidRPr="00A52BDF" w:rsidRDefault="00015E44" w:rsidP="00A52BDF">
      <w:pPr>
        <w:pStyle w:val="JudgmentNumbered"/>
        <w:numPr>
          <w:ilvl w:val="0"/>
          <w:numId w:val="0"/>
        </w:numPr>
        <w:ind w:left="1440"/>
        <w:rPr>
          <w:sz w:val="22"/>
          <w:lang w:val="en-ZA"/>
        </w:rPr>
      </w:pPr>
      <w:r>
        <w:rPr>
          <w:sz w:val="22"/>
        </w:rPr>
        <w:lastRenderedPageBreak/>
        <w:t>‘</w:t>
      </w:r>
      <w:r w:rsidR="00A52BDF" w:rsidRPr="00A52BDF">
        <w:rPr>
          <w:sz w:val="22"/>
        </w:rPr>
        <w:t>Instead, the explanation, be it good, bad, or indifferent, must be considered in the light of the nature of the defence, which is an</w:t>
      </w:r>
      <w:r w:rsidR="00A52BDF">
        <w:rPr>
          <w:sz w:val="22"/>
        </w:rPr>
        <w:t xml:space="preserve"> </w:t>
      </w:r>
      <w:r w:rsidR="00A52BDF" w:rsidRPr="00A52BDF">
        <w:rPr>
          <w:sz w:val="22"/>
        </w:rPr>
        <w:t>important consideration, and in the light of all the facts and circumstances of the case as a whole</w:t>
      </w:r>
      <w:r>
        <w:rPr>
          <w:sz w:val="22"/>
        </w:rPr>
        <w:t>’”</w:t>
      </w:r>
      <w:r w:rsidR="00A52BDF" w:rsidRPr="00A52BDF">
        <w:rPr>
          <w:sz w:val="22"/>
        </w:rPr>
        <w:t>.</w:t>
      </w:r>
      <w:r w:rsidR="00A52BDF">
        <w:rPr>
          <w:rStyle w:val="FootnoteReference"/>
          <w:sz w:val="22"/>
        </w:rPr>
        <w:footnoteReference w:id="7"/>
      </w:r>
    </w:p>
    <w:p w14:paraId="692442A8" w14:textId="170065BE" w:rsidR="00015E44" w:rsidRPr="00015E44" w:rsidRDefault="00580912" w:rsidP="00580912">
      <w:pPr>
        <w:pStyle w:val="JudgmentNumbered"/>
        <w:numPr>
          <w:ilvl w:val="0"/>
          <w:numId w:val="0"/>
        </w:numPr>
        <w:ind w:left="720" w:hanging="720"/>
        <w:rPr>
          <w:lang w:val="en-ZA"/>
        </w:rPr>
      </w:pPr>
      <w:r w:rsidRPr="00015E44">
        <w:rPr>
          <w:lang w:val="en-ZA"/>
        </w:rPr>
        <w:t>[21]</w:t>
      </w:r>
      <w:r w:rsidRPr="00015E44">
        <w:rPr>
          <w:lang w:val="en-ZA"/>
        </w:rPr>
        <w:tab/>
      </w:r>
      <w:r w:rsidR="00015E44" w:rsidRPr="00015E44">
        <w:rPr>
          <w:lang w:val="en-ZA"/>
        </w:rPr>
        <w:t xml:space="preserve">We are of the view that the court </w:t>
      </w:r>
      <w:r w:rsidR="00015E44" w:rsidRPr="00015E44">
        <w:rPr>
          <w:i/>
          <w:iCs/>
          <w:lang w:val="en-ZA"/>
        </w:rPr>
        <w:t>a quo</w:t>
      </w:r>
      <w:r w:rsidR="00015E44" w:rsidRPr="00015E44">
        <w:rPr>
          <w:lang w:val="en-ZA"/>
        </w:rPr>
        <w:t xml:space="preserve"> did not weigh the admittedly poor explanation for default against the nature and strength of the defences raised. It focused only on the explanation proffered, which is a misdirection.</w:t>
      </w:r>
    </w:p>
    <w:p w14:paraId="2F2AE4A1" w14:textId="194213DB" w:rsidR="00015E44" w:rsidRPr="00015E44" w:rsidRDefault="00580912" w:rsidP="00580912">
      <w:pPr>
        <w:pStyle w:val="JudgmentNumbered"/>
        <w:numPr>
          <w:ilvl w:val="0"/>
          <w:numId w:val="0"/>
        </w:numPr>
        <w:ind w:left="720" w:hanging="720"/>
        <w:rPr>
          <w:lang w:val="en-ZA"/>
        </w:rPr>
      </w:pPr>
      <w:r w:rsidRPr="00015E44">
        <w:rPr>
          <w:lang w:val="en-ZA"/>
        </w:rPr>
        <w:t>[22]</w:t>
      </w:r>
      <w:r w:rsidRPr="00015E44">
        <w:rPr>
          <w:lang w:val="en-ZA"/>
        </w:rPr>
        <w:tab/>
      </w:r>
      <w:r w:rsidR="00015E44" w:rsidRPr="00015E44">
        <w:rPr>
          <w:lang w:val="en-ZA"/>
        </w:rPr>
        <w:t>The defences raised demonstrate a high probability of success.</w:t>
      </w:r>
    </w:p>
    <w:p w14:paraId="1B91CEA1" w14:textId="20C0A336" w:rsidR="00015E44" w:rsidRPr="00015E44" w:rsidRDefault="00580912" w:rsidP="00580912">
      <w:pPr>
        <w:pStyle w:val="JudgmentNumbered"/>
        <w:numPr>
          <w:ilvl w:val="0"/>
          <w:numId w:val="0"/>
        </w:numPr>
        <w:ind w:left="720" w:hanging="720"/>
        <w:rPr>
          <w:lang w:val="en-ZA"/>
        </w:rPr>
      </w:pPr>
      <w:r w:rsidRPr="00015E44">
        <w:rPr>
          <w:lang w:val="en-ZA"/>
        </w:rPr>
        <w:t>[23]</w:t>
      </w:r>
      <w:r w:rsidRPr="00015E44">
        <w:rPr>
          <w:lang w:val="en-ZA"/>
        </w:rPr>
        <w:tab/>
      </w:r>
      <w:r w:rsidR="00015E44" w:rsidRPr="00015E44">
        <w:rPr>
          <w:lang w:val="en-ZA"/>
        </w:rPr>
        <w:t>At the hearing the respondent’s counsel was unable to respond to the court’s questions as to whether, it was even open to the respondent, to apply for the special plea of prescription to be struck out in the light of the lack of answer thereto.</w:t>
      </w:r>
    </w:p>
    <w:p w14:paraId="43B0BDAC" w14:textId="26337FF5" w:rsidR="00015E44" w:rsidRPr="00015E44" w:rsidRDefault="00580912" w:rsidP="00580912">
      <w:pPr>
        <w:pStyle w:val="JudgmentNumbered"/>
        <w:numPr>
          <w:ilvl w:val="0"/>
          <w:numId w:val="0"/>
        </w:numPr>
        <w:ind w:left="720" w:hanging="720"/>
        <w:rPr>
          <w:lang w:val="en-ZA"/>
        </w:rPr>
      </w:pPr>
      <w:r w:rsidRPr="00015E44">
        <w:rPr>
          <w:lang w:val="en-ZA"/>
        </w:rPr>
        <w:t>[24]</w:t>
      </w:r>
      <w:r w:rsidRPr="00015E44">
        <w:rPr>
          <w:lang w:val="en-ZA"/>
        </w:rPr>
        <w:tab/>
      </w:r>
      <w:r w:rsidR="00015E44" w:rsidRPr="00015E44">
        <w:rPr>
          <w:lang w:val="en-ZA"/>
        </w:rPr>
        <w:t>A court hearing an application to strike out a defence is not at liberty to ignore a defence made out simply on the basis that a litigant has failed to take an important procedural step</w:t>
      </w:r>
      <w:r w:rsidR="00015E44">
        <w:rPr>
          <w:lang w:val="en-ZA"/>
        </w:rPr>
        <w:t>.</w:t>
      </w:r>
      <w:r w:rsidR="00015E44" w:rsidRPr="00015E44">
        <w:rPr>
          <w:vertAlign w:val="superscript"/>
          <w:lang w:val="en-ZA"/>
        </w:rPr>
        <w:footnoteReference w:id="8"/>
      </w:r>
    </w:p>
    <w:p w14:paraId="0BB1EAB6" w14:textId="17A2EB65" w:rsidR="00015E44" w:rsidRPr="00983D64" w:rsidRDefault="00983D64" w:rsidP="00983D64">
      <w:pPr>
        <w:pStyle w:val="JudgmentNumbered"/>
        <w:numPr>
          <w:ilvl w:val="0"/>
          <w:numId w:val="0"/>
        </w:numPr>
        <w:rPr>
          <w:i/>
          <w:iCs/>
          <w:lang w:val="en-ZA"/>
        </w:rPr>
      </w:pPr>
      <w:r>
        <w:rPr>
          <w:i/>
          <w:iCs/>
          <w:lang w:val="en-ZA"/>
        </w:rPr>
        <w:t>Conclusion</w:t>
      </w:r>
    </w:p>
    <w:p w14:paraId="2DF0918E" w14:textId="30AD5B5B" w:rsidR="00983D64" w:rsidRPr="00983D64" w:rsidRDefault="00580912" w:rsidP="00580912">
      <w:pPr>
        <w:pStyle w:val="JudgmentNumbered"/>
        <w:numPr>
          <w:ilvl w:val="0"/>
          <w:numId w:val="0"/>
        </w:numPr>
        <w:ind w:left="720" w:hanging="720"/>
        <w:rPr>
          <w:lang w:val="en-ZA"/>
        </w:rPr>
      </w:pPr>
      <w:r w:rsidRPr="00983D64">
        <w:rPr>
          <w:lang w:val="en-ZA"/>
        </w:rPr>
        <w:t>[25]</w:t>
      </w:r>
      <w:r w:rsidRPr="00983D64">
        <w:rPr>
          <w:lang w:val="en-ZA"/>
        </w:rPr>
        <w:tab/>
      </w:r>
      <w:r w:rsidR="00983D64" w:rsidRPr="00983D64">
        <w:rPr>
          <w:lang w:val="en-ZA"/>
        </w:rPr>
        <w:t>We are of the view that the appellant’s albeit weak explanation to the effect that it trusted that its attorney was dealing with the matter under circumstances where he had actually abandoned his practice ought to have been accepted, particularly in the light of its complete defences.</w:t>
      </w:r>
    </w:p>
    <w:p w14:paraId="010CD339" w14:textId="5F2F3266" w:rsidR="00983D64" w:rsidRPr="00983D64" w:rsidRDefault="00580912" w:rsidP="00580912">
      <w:pPr>
        <w:pStyle w:val="JudgmentNumbered"/>
        <w:numPr>
          <w:ilvl w:val="0"/>
          <w:numId w:val="0"/>
        </w:numPr>
        <w:ind w:left="720" w:hanging="720"/>
        <w:rPr>
          <w:lang w:val="en-ZA"/>
        </w:rPr>
      </w:pPr>
      <w:r w:rsidRPr="00983D64">
        <w:rPr>
          <w:lang w:val="en-ZA"/>
        </w:rPr>
        <w:t>[26]</w:t>
      </w:r>
      <w:r w:rsidRPr="00983D64">
        <w:rPr>
          <w:lang w:val="en-ZA"/>
        </w:rPr>
        <w:tab/>
      </w:r>
      <w:r w:rsidR="00983D64" w:rsidRPr="00983D64">
        <w:rPr>
          <w:lang w:val="en-ZA"/>
        </w:rPr>
        <w:t xml:space="preserve">The court </w:t>
      </w:r>
      <w:r w:rsidR="00983D64" w:rsidRPr="00983D64">
        <w:rPr>
          <w:i/>
          <w:iCs/>
          <w:lang w:val="en-ZA"/>
        </w:rPr>
        <w:t>a quo</w:t>
      </w:r>
      <w:r w:rsidR="00983D64" w:rsidRPr="00983D64">
        <w:rPr>
          <w:lang w:val="en-ZA"/>
        </w:rPr>
        <w:t xml:space="preserve"> did not weigh the explanation given against the defences raised.</w:t>
      </w:r>
    </w:p>
    <w:p w14:paraId="640FF4FE" w14:textId="097B6DC7" w:rsidR="00983D64" w:rsidRPr="00983D64" w:rsidRDefault="00580912" w:rsidP="00580912">
      <w:pPr>
        <w:pStyle w:val="JudgmentNumbered"/>
        <w:numPr>
          <w:ilvl w:val="0"/>
          <w:numId w:val="0"/>
        </w:numPr>
        <w:ind w:left="720" w:hanging="720"/>
        <w:rPr>
          <w:lang w:val="en-ZA"/>
        </w:rPr>
      </w:pPr>
      <w:r w:rsidRPr="00983D64">
        <w:rPr>
          <w:lang w:val="en-ZA"/>
        </w:rPr>
        <w:t>[27]</w:t>
      </w:r>
      <w:r w:rsidRPr="00983D64">
        <w:rPr>
          <w:lang w:val="en-ZA"/>
        </w:rPr>
        <w:tab/>
      </w:r>
      <w:r w:rsidR="00983D64" w:rsidRPr="00983D64">
        <w:rPr>
          <w:lang w:val="en-ZA"/>
        </w:rPr>
        <w:t xml:space="preserve">We are satisfied that the court </w:t>
      </w:r>
      <w:r w:rsidR="00983D64" w:rsidRPr="00983D64">
        <w:rPr>
          <w:i/>
          <w:iCs/>
          <w:lang w:val="en-ZA"/>
        </w:rPr>
        <w:t>a quo</w:t>
      </w:r>
      <w:r w:rsidR="00983D64" w:rsidRPr="00983D64">
        <w:rPr>
          <w:lang w:val="en-ZA"/>
        </w:rPr>
        <w:t xml:space="preserve"> misdirected itself and that the recission ought to have been granted.</w:t>
      </w:r>
    </w:p>
    <w:p w14:paraId="1DDA3E9F" w14:textId="0E40F941" w:rsidR="00983D64" w:rsidRPr="00983D64" w:rsidRDefault="00983D64" w:rsidP="00983D64">
      <w:pPr>
        <w:pStyle w:val="JudgmentNumbered"/>
        <w:numPr>
          <w:ilvl w:val="0"/>
          <w:numId w:val="0"/>
        </w:numPr>
        <w:rPr>
          <w:i/>
          <w:iCs/>
          <w:lang w:val="en-ZA"/>
        </w:rPr>
      </w:pPr>
      <w:r>
        <w:rPr>
          <w:i/>
          <w:iCs/>
          <w:lang w:val="en-ZA"/>
        </w:rPr>
        <w:t>Costs</w:t>
      </w:r>
    </w:p>
    <w:p w14:paraId="0EA24C53" w14:textId="1D601111" w:rsidR="00983D64" w:rsidRDefault="00580912" w:rsidP="00580912">
      <w:pPr>
        <w:pStyle w:val="JudgmentNumbered"/>
        <w:numPr>
          <w:ilvl w:val="0"/>
          <w:numId w:val="0"/>
        </w:numPr>
        <w:ind w:left="720" w:hanging="720"/>
        <w:rPr>
          <w:lang w:val="en-ZA"/>
        </w:rPr>
      </w:pPr>
      <w:r>
        <w:rPr>
          <w:lang w:val="en-ZA"/>
        </w:rPr>
        <w:t>[28]</w:t>
      </w:r>
      <w:r>
        <w:rPr>
          <w:lang w:val="en-ZA"/>
        </w:rPr>
        <w:tab/>
      </w:r>
      <w:r w:rsidR="00983D64">
        <w:rPr>
          <w:lang w:val="en-ZA"/>
        </w:rPr>
        <w:t>There is no reason why the costs should not follow the result.</w:t>
      </w:r>
    </w:p>
    <w:p w14:paraId="2349C594" w14:textId="0F46DCDA" w:rsidR="0071709A" w:rsidRPr="00983D64" w:rsidRDefault="00983D64" w:rsidP="0071709A">
      <w:pPr>
        <w:pStyle w:val="JudgmentNumbered"/>
        <w:numPr>
          <w:ilvl w:val="0"/>
          <w:numId w:val="0"/>
        </w:numPr>
        <w:rPr>
          <w:i/>
          <w:iCs/>
          <w:lang w:val="en-ZA"/>
        </w:rPr>
      </w:pPr>
      <w:r>
        <w:rPr>
          <w:i/>
          <w:iCs/>
          <w:lang w:val="en-ZA"/>
        </w:rPr>
        <w:lastRenderedPageBreak/>
        <w:t>Order</w:t>
      </w:r>
    </w:p>
    <w:p w14:paraId="65B42835" w14:textId="1CB9C24F" w:rsidR="00915964" w:rsidRPr="0071709A" w:rsidRDefault="00580912" w:rsidP="00580912">
      <w:pPr>
        <w:pStyle w:val="JudgmentNumbered"/>
        <w:numPr>
          <w:ilvl w:val="0"/>
          <w:numId w:val="0"/>
        </w:numPr>
        <w:ind w:left="720" w:hanging="720"/>
      </w:pPr>
      <w:r w:rsidRPr="0071709A">
        <w:t>[29]</w:t>
      </w:r>
      <w:r w:rsidRPr="0071709A">
        <w:tab/>
      </w:r>
      <w:r w:rsidR="00915964">
        <w:t xml:space="preserve">In </w:t>
      </w:r>
      <w:r w:rsidR="00983D64">
        <w:t>the premises, the following order is made:</w:t>
      </w:r>
    </w:p>
    <w:p w14:paraId="748D595F" w14:textId="103BEC85" w:rsidR="00983D64" w:rsidRDefault="00580912" w:rsidP="00580912">
      <w:pPr>
        <w:pStyle w:val="JudgmentNumbered"/>
        <w:numPr>
          <w:ilvl w:val="0"/>
          <w:numId w:val="0"/>
        </w:numPr>
        <w:ind w:left="1429" w:hanging="720"/>
      </w:pPr>
      <w:bookmarkStart w:id="7" w:name="_Hlk142415608"/>
      <w:bookmarkStart w:id="8" w:name="_Hlk140479139"/>
      <w:bookmarkStart w:id="9" w:name="_Hlk142415644"/>
      <w:r>
        <w:t>[1]</w:t>
      </w:r>
      <w:r>
        <w:tab/>
      </w:r>
      <w:r w:rsidR="003A0271" w:rsidRPr="003A0271">
        <w:t xml:space="preserve">The </w:t>
      </w:r>
      <w:r w:rsidR="00983D64">
        <w:t>appeal is upheld with costs.</w:t>
      </w:r>
    </w:p>
    <w:p w14:paraId="20B837F4" w14:textId="2E04FBC8" w:rsidR="00983D64" w:rsidRDefault="00580912" w:rsidP="00580912">
      <w:pPr>
        <w:pStyle w:val="JudgmentNumbered"/>
        <w:numPr>
          <w:ilvl w:val="0"/>
          <w:numId w:val="0"/>
        </w:numPr>
        <w:ind w:left="1429" w:hanging="720"/>
      </w:pPr>
      <w:r>
        <w:t>[2]</w:t>
      </w:r>
      <w:r>
        <w:tab/>
      </w:r>
      <w:r w:rsidR="00983D64">
        <w:t xml:space="preserve">The order of the court </w:t>
      </w:r>
      <w:r w:rsidR="00983D64">
        <w:rPr>
          <w:i/>
          <w:iCs/>
        </w:rPr>
        <w:t xml:space="preserve">a quo </w:t>
      </w:r>
      <w:r w:rsidR="00983D64">
        <w:t>is set aside and replaced with an order in the following terms:</w:t>
      </w:r>
    </w:p>
    <w:p w14:paraId="06C5EE24" w14:textId="5267F1A2" w:rsidR="00983D64" w:rsidRDefault="00983D64" w:rsidP="00983D64">
      <w:pPr>
        <w:pStyle w:val="JudgmentNumbered"/>
        <w:numPr>
          <w:ilvl w:val="0"/>
          <w:numId w:val="0"/>
        </w:numPr>
        <w:ind w:left="1429"/>
      </w:pPr>
      <w:r>
        <w:t>“</w:t>
      </w:r>
      <w:r w:rsidRPr="00983D64">
        <w:rPr>
          <w:i/>
          <w:iCs/>
        </w:rPr>
        <w:t xml:space="preserve">The order of the court striking out the </w:t>
      </w:r>
      <w:r w:rsidR="001E1ED1" w:rsidRPr="00983D64">
        <w:rPr>
          <w:i/>
          <w:iCs/>
        </w:rPr>
        <w:t>appellant’s</w:t>
      </w:r>
      <w:r w:rsidRPr="00983D64">
        <w:rPr>
          <w:i/>
          <w:iCs/>
        </w:rPr>
        <w:t xml:space="preserve"> defence is rescinded and set aside with costs</w:t>
      </w:r>
      <w:r>
        <w:t>”.</w:t>
      </w:r>
    </w:p>
    <w:bookmarkEnd w:id="7"/>
    <w:bookmarkEnd w:id="8"/>
    <w:bookmarkEnd w:id="9"/>
    <w:p w14:paraId="0944661B" w14:textId="43D156B7" w:rsidR="005818DD" w:rsidRDefault="005818DD" w:rsidP="00854AE6">
      <w:pPr>
        <w:pStyle w:val="JudgmentNumbered"/>
        <w:numPr>
          <w:ilvl w:val="0"/>
          <w:numId w:val="0"/>
        </w:numPr>
      </w:pPr>
    </w:p>
    <w:p w14:paraId="377C8457" w14:textId="77777777" w:rsidR="005818DD" w:rsidRDefault="005818DD" w:rsidP="005818DD">
      <w:pPr>
        <w:pStyle w:val="JudgmentNumbered"/>
        <w:numPr>
          <w:ilvl w:val="0"/>
          <w:numId w:val="0"/>
        </w:numPr>
        <w:spacing w:after="0"/>
        <w:ind w:left="567" w:hanging="567"/>
        <w:jc w:val="right"/>
      </w:pPr>
      <w:r>
        <w:t>___________________________</w:t>
      </w:r>
    </w:p>
    <w:p w14:paraId="3EEDC72F" w14:textId="0D89CAC9" w:rsidR="005818DD" w:rsidRDefault="00614B56" w:rsidP="005818DD">
      <w:pPr>
        <w:pStyle w:val="JudgmentNumbered"/>
        <w:numPr>
          <w:ilvl w:val="0"/>
          <w:numId w:val="0"/>
        </w:numPr>
        <w:spacing w:after="0"/>
        <w:ind w:left="567" w:hanging="567"/>
        <w:jc w:val="right"/>
        <w:rPr>
          <w:b/>
        </w:rPr>
      </w:pPr>
      <w:r>
        <w:rPr>
          <w:b/>
        </w:rPr>
        <w:t>M L</w:t>
      </w:r>
      <w:r w:rsidR="005818DD">
        <w:rPr>
          <w:b/>
        </w:rPr>
        <w:t xml:space="preserve"> </w:t>
      </w:r>
      <w:r>
        <w:rPr>
          <w:b/>
        </w:rPr>
        <w:t>TWALA</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75F0AF6B" w14:textId="77777777" w:rsidR="001E1ED1" w:rsidRDefault="001E1ED1" w:rsidP="005818DD">
      <w:pPr>
        <w:pStyle w:val="JudgmentNumbered"/>
        <w:numPr>
          <w:ilvl w:val="0"/>
          <w:numId w:val="0"/>
        </w:numPr>
        <w:spacing w:after="0"/>
        <w:ind w:left="567" w:hanging="567"/>
        <w:jc w:val="right"/>
        <w:rPr>
          <w:b/>
        </w:rPr>
      </w:pPr>
    </w:p>
    <w:p w14:paraId="502508B6" w14:textId="77777777" w:rsidR="009B6DFE" w:rsidRDefault="009B6DFE" w:rsidP="005818DD">
      <w:pPr>
        <w:pStyle w:val="JudgmentNumbered"/>
        <w:numPr>
          <w:ilvl w:val="0"/>
          <w:numId w:val="0"/>
        </w:numPr>
        <w:spacing w:after="0"/>
        <w:ind w:left="567" w:hanging="567"/>
        <w:jc w:val="right"/>
        <w:rPr>
          <w:b/>
        </w:rPr>
      </w:pPr>
    </w:p>
    <w:p w14:paraId="2F9FD978" w14:textId="77777777" w:rsidR="001E1ED1" w:rsidRDefault="001E1ED1" w:rsidP="001E1ED1">
      <w:pPr>
        <w:pStyle w:val="JudgmentNumbered"/>
        <w:numPr>
          <w:ilvl w:val="0"/>
          <w:numId w:val="0"/>
        </w:numPr>
        <w:spacing w:after="0"/>
        <w:ind w:left="567" w:hanging="567"/>
        <w:jc w:val="right"/>
      </w:pPr>
      <w:r>
        <w:t>___________________________</w:t>
      </w:r>
    </w:p>
    <w:p w14:paraId="2266A6FD" w14:textId="071D8F98" w:rsidR="001E1ED1" w:rsidRDefault="00614B56" w:rsidP="001E1ED1">
      <w:pPr>
        <w:pStyle w:val="JudgmentNumbered"/>
        <w:numPr>
          <w:ilvl w:val="0"/>
          <w:numId w:val="0"/>
        </w:numPr>
        <w:spacing w:after="0"/>
        <w:ind w:left="567" w:hanging="567"/>
        <w:jc w:val="right"/>
        <w:rPr>
          <w:b/>
        </w:rPr>
      </w:pPr>
      <w:r>
        <w:rPr>
          <w:b/>
        </w:rPr>
        <w:t>D</w:t>
      </w:r>
      <w:r w:rsidR="001E1ED1">
        <w:rPr>
          <w:b/>
        </w:rPr>
        <w:t xml:space="preserve"> </w:t>
      </w:r>
      <w:r>
        <w:rPr>
          <w:b/>
        </w:rPr>
        <w:t>FISHER</w:t>
      </w:r>
    </w:p>
    <w:p w14:paraId="5720FBF2" w14:textId="77777777" w:rsidR="001E1ED1" w:rsidRDefault="001E1ED1" w:rsidP="001E1ED1">
      <w:pPr>
        <w:pStyle w:val="JudgmentNumbered"/>
        <w:numPr>
          <w:ilvl w:val="0"/>
          <w:numId w:val="0"/>
        </w:numPr>
        <w:spacing w:after="0"/>
        <w:ind w:left="567" w:hanging="567"/>
        <w:jc w:val="right"/>
        <w:rPr>
          <w:b/>
        </w:rPr>
      </w:pPr>
      <w:r>
        <w:rPr>
          <w:b/>
        </w:rPr>
        <w:t>JUDGE OF THE HIGH COURT</w:t>
      </w:r>
    </w:p>
    <w:p w14:paraId="276E4A0F" w14:textId="77777777" w:rsidR="001E1ED1" w:rsidRDefault="001E1ED1" w:rsidP="001E1ED1">
      <w:pPr>
        <w:pStyle w:val="JudgmentNumbered"/>
        <w:numPr>
          <w:ilvl w:val="0"/>
          <w:numId w:val="0"/>
        </w:numPr>
        <w:spacing w:after="0"/>
        <w:ind w:left="567" w:hanging="567"/>
        <w:jc w:val="right"/>
        <w:rPr>
          <w:b/>
        </w:rPr>
      </w:pPr>
      <w:r>
        <w:rPr>
          <w:b/>
        </w:rPr>
        <w:t>JOHANNESBURG</w:t>
      </w:r>
    </w:p>
    <w:p w14:paraId="1E2FECE5" w14:textId="77777777" w:rsidR="001E1ED1" w:rsidRDefault="001E1ED1" w:rsidP="005818DD">
      <w:pPr>
        <w:pStyle w:val="JudgmentNumbered"/>
        <w:numPr>
          <w:ilvl w:val="0"/>
          <w:numId w:val="0"/>
        </w:numPr>
        <w:spacing w:after="0"/>
        <w:ind w:left="567" w:hanging="567"/>
        <w:jc w:val="right"/>
        <w:rPr>
          <w:b/>
        </w:rPr>
      </w:pPr>
    </w:p>
    <w:p w14:paraId="41316958" w14:textId="77777777" w:rsidR="001E1ED1" w:rsidRDefault="001E1ED1" w:rsidP="001E1ED1">
      <w:pPr>
        <w:pStyle w:val="JudgmentNumbered"/>
        <w:numPr>
          <w:ilvl w:val="0"/>
          <w:numId w:val="0"/>
        </w:numPr>
        <w:spacing w:after="0"/>
        <w:ind w:left="567" w:hanging="567"/>
        <w:jc w:val="center"/>
        <w:rPr>
          <w:b/>
        </w:rPr>
      </w:pPr>
    </w:p>
    <w:p w14:paraId="5CA3570C" w14:textId="77777777" w:rsidR="001E1ED1" w:rsidRDefault="001E1ED1" w:rsidP="001E1ED1">
      <w:pPr>
        <w:pStyle w:val="JudgmentNumbered"/>
        <w:numPr>
          <w:ilvl w:val="0"/>
          <w:numId w:val="0"/>
        </w:numPr>
        <w:spacing w:after="0"/>
        <w:ind w:left="567" w:hanging="567"/>
        <w:jc w:val="right"/>
      </w:pPr>
      <w:r>
        <w:t>___________________________</w:t>
      </w:r>
    </w:p>
    <w:p w14:paraId="014F5189" w14:textId="7F5F0EFB" w:rsidR="001E1ED1" w:rsidRDefault="009B6DFE" w:rsidP="001E1ED1">
      <w:pPr>
        <w:pStyle w:val="JudgmentNumbered"/>
        <w:numPr>
          <w:ilvl w:val="0"/>
          <w:numId w:val="0"/>
        </w:numPr>
        <w:spacing w:after="0"/>
        <w:ind w:left="567" w:hanging="567"/>
        <w:jc w:val="right"/>
        <w:rPr>
          <w:b/>
        </w:rPr>
      </w:pPr>
      <w:r>
        <w:rPr>
          <w:b/>
        </w:rPr>
        <w:t xml:space="preserve">S </w:t>
      </w:r>
      <w:r w:rsidR="001E1ED1">
        <w:rPr>
          <w:b/>
        </w:rPr>
        <w:t>M</w:t>
      </w:r>
      <w:r w:rsidR="009107D9">
        <w:rPr>
          <w:b/>
        </w:rPr>
        <w:t>A</w:t>
      </w:r>
      <w:r w:rsidR="001E1ED1">
        <w:rPr>
          <w:b/>
        </w:rPr>
        <w:t>H</w:t>
      </w:r>
      <w:r w:rsidR="009107D9">
        <w:rPr>
          <w:b/>
        </w:rPr>
        <w:t>O</w:t>
      </w:r>
      <w:r w:rsidR="001E1ED1">
        <w:rPr>
          <w:b/>
        </w:rPr>
        <w:t>MED</w:t>
      </w:r>
    </w:p>
    <w:p w14:paraId="5AF7B701" w14:textId="6B9DE346" w:rsidR="001E1ED1" w:rsidRDefault="001E1ED1" w:rsidP="001E1ED1">
      <w:pPr>
        <w:pStyle w:val="JudgmentNumbered"/>
        <w:numPr>
          <w:ilvl w:val="0"/>
          <w:numId w:val="0"/>
        </w:numPr>
        <w:spacing w:after="0"/>
        <w:ind w:left="567" w:hanging="567"/>
        <w:jc w:val="right"/>
        <w:rPr>
          <w:b/>
        </w:rPr>
      </w:pPr>
      <w:r>
        <w:rPr>
          <w:b/>
        </w:rPr>
        <w:t>ACTING JUDGE OF THE HIGH COURT</w:t>
      </w:r>
    </w:p>
    <w:p w14:paraId="006984D5" w14:textId="65231F92" w:rsidR="005818DD" w:rsidRDefault="001E1ED1" w:rsidP="001E1ED1">
      <w:pPr>
        <w:pStyle w:val="JudgmentNumbered"/>
        <w:numPr>
          <w:ilvl w:val="0"/>
          <w:numId w:val="0"/>
        </w:numPr>
        <w:spacing w:after="0"/>
        <w:ind w:left="567" w:hanging="567"/>
        <w:jc w:val="right"/>
        <w:rPr>
          <w:b/>
        </w:rPr>
      </w:pPr>
      <w:r>
        <w:rPr>
          <w:b/>
        </w:rPr>
        <w:t>JOHANNESBURG</w:t>
      </w:r>
    </w:p>
    <w:p w14:paraId="15E9F1E5" w14:textId="77777777" w:rsidR="001E1ED1" w:rsidRPr="001E1ED1" w:rsidRDefault="001E1ED1" w:rsidP="001E1ED1">
      <w:pPr>
        <w:pStyle w:val="JudgmentNumbered"/>
        <w:numPr>
          <w:ilvl w:val="0"/>
          <w:numId w:val="0"/>
        </w:numPr>
        <w:spacing w:after="0"/>
        <w:ind w:left="567" w:hanging="567"/>
        <w:jc w:val="right"/>
        <w:rPr>
          <w:b/>
        </w:rPr>
      </w:pPr>
    </w:p>
    <w:p w14:paraId="39EF05DC" w14:textId="1974083F" w:rsidR="00983D64" w:rsidRDefault="00427058" w:rsidP="00427058">
      <w:pPr>
        <w:pStyle w:val="JudgmentNumbered"/>
        <w:numPr>
          <w:ilvl w:val="0"/>
          <w:numId w:val="0"/>
        </w:numPr>
        <w:rPr>
          <w:b/>
          <w:bCs/>
        </w:rPr>
      </w:pPr>
      <w:r>
        <w:rPr>
          <w:b/>
          <w:bCs/>
        </w:rPr>
        <w:t xml:space="preserve">Delivered: </w:t>
      </w:r>
      <w:r w:rsidR="00983D64" w:rsidRPr="00983D64">
        <w:rPr>
          <w:b/>
          <w:bCs/>
        </w:rPr>
        <w:t xml:space="preserve">This judgment was prepared and authored by </w:t>
      </w:r>
      <w:r w:rsidR="009107D9">
        <w:rPr>
          <w:b/>
          <w:bCs/>
        </w:rPr>
        <w:t xml:space="preserve">the Court. </w:t>
      </w:r>
      <w:r w:rsidR="00983D64" w:rsidRPr="00983D64">
        <w:rPr>
          <w:b/>
          <w:bCs/>
        </w:rPr>
        <w:t xml:space="preserve">It is handed down electronically by circulation to the parties or their legal representatives by email and by uploading it to the electronic file of this matter on Caselines. The date for hand-down is deemed to be </w:t>
      </w:r>
      <w:r w:rsidR="00E27F79">
        <w:rPr>
          <w:b/>
          <w:bCs/>
        </w:rPr>
        <w:t xml:space="preserve">23 </w:t>
      </w:r>
      <w:r w:rsidR="00983D64" w:rsidRPr="00983D64">
        <w:rPr>
          <w:b/>
          <w:bCs/>
        </w:rPr>
        <w:t>November</w:t>
      </w:r>
      <w:r w:rsidR="001E1ED1">
        <w:rPr>
          <w:b/>
          <w:bCs/>
        </w:rPr>
        <w:t> </w:t>
      </w:r>
      <w:r w:rsidR="00983D64" w:rsidRPr="00983D64">
        <w:rPr>
          <w:b/>
          <w:bCs/>
        </w:rPr>
        <w:t>2023.</w:t>
      </w:r>
    </w:p>
    <w:p w14:paraId="6B1981B2" w14:textId="0E25F197" w:rsidR="005818DD" w:rsidRPr="00722C87" w:rsidRDefault="005818DD" w:rsidP="006704F5">
      <w:pPr>
        <w:tabs>
          <w:tab w:val="left" w:pos="3969"/>
          <w:tab w:val="left" w:pos="4536"/>
        </w:tabs>
        <w:ind w:left="0"/>
        <w:rPr>
          <w:rFonts w:eastAsia="Calibri" w:cs="Arial"/>
          <w:bCs/>
        </w:rPr>
      </w:pPr>
      <w:r>
        <w:rPr>
          <w:rFonts w:eastAsia="Calibri" w:cs="Arial"/>
          <w:b/>
        </w:rPr>
        <w:lastRenderedPageBreak/>
        <w:t>Heard:</w:t>
      </w:r>
      <w:r w:rsidR="006704F5">
        <w:rPr>
          <w:rFonts w:eastAsia="Calibri" w:cs="Arial"/>
          <w:b/>
        </w:rPr>
        <w:tab/>
      </w:r>
      <w:r w:rsidR="006704F5">
        <w:rPr>
          <w:rFonts w:eastAsia="Calibri" w:cs="Arial"/>
          <w:b/>
        </w:rPr>
        <w:tab/>
      </w:r>
      <w:r w:rsidR="00B42DDA">
        <w:rPr>
          <w:rFonts w:eastAsia="Calibri" w:cs="Arial"/>
          <w:bCs/>
        </w:rPr>
        <w:t>25 October</w:t>
      </w:r>
      <w:r w:rsidR="005E749E">
        <w:rPr>
          <w:rFonts w:eastAsia="Calibri" w:cs="Arial"/>
          <w:bCs/>
        </w:rPr>
        <w:t xml:space="preserve"> </w:t>
      </w:r>
      <w:r w:rsidR="00722C87">
        <w:rPr>
          <w:rFonts w:eastAsia="Calibri" w:cs="Arial"/>
          <w:bCs/>
        </w:rPr>
        <w:t>2023</w:t>
      </w:r>
    </w:p>
    <w:p w14:paraId="4C916AD9" w14:textId="6776375E" w:rsidR="005818DD" w:rsidRDefault="005818DD" w:rsidP="00B564A2">
      <w:pPr>
        <w:tabs>
          <w:tab w:val="left" w:pos="4111"/>
          <w:tab w:val="left" w:pos="4395"/>
          <w:tab w:val="left" w:pos="4536"/>
        </w:tabs>
        <w:ind w:hanging="567"/>
        <w:rPr>
          <w:rFonts w:eastAsia="Calibri" w:cs="Arial"/>
          <w:b/>
        </w:rPr>
      </w:pPr>
      <w:r>
        <w:rPr>
          <w:rFonts w:eastAsia="Calibri" w:cs="Arial"/>
          <w:b/>
        </w:rPr>
        <w:t>Delivered:</w:t>
      </w:r>
      <w:r w:rsidR="00B564A2">
        <w:rPr>
          <w:rFonts w:eastAsia="Calibri" w:cs="Arial"/>
          <w:b/>
        </w:rPr>
        <w:tab/>
      </w:r>
      <w:r w:rsidR="00B564A2">
        <w:rPr>
          <w:rFonts w:eastAsia="Calibri" w:cs="Arial"/>
          <w:b/>
        </w:rPr>
        <w:tab/>
      </w:r>
      <w:r w:rsidR="00B564A2">
        <w:rPr>
          <w:rFonts w:eastAsia="Calibri" w:cs="Arial"/>
          <w:b/>
        </w:rPr>
        <w:tab/>
      </w:r>
      <w:r w:rsidR="00E27F79">
        <w:rPr>
          <w:rFonts w:eastAsia="Calibri" w:cs="Arial"/>
          <w:b/>
        </w:rPr>
        <w:t>23</w:t>
      </w:r>
      <w:r w:rsidR="005E749E" w:rsidRPr="005E749E">
        <w:rPr>
          <w:rFonts w:eastAsia="Calibri" w:cs="Arial"/>
          <w:bCs/>
        </w:rPr>
        <w:t xml:space="preserve"> November 2023</w:t>
      </w:r>
    </w:p>
    <w:p w14:paraId="01BCDF54" w14:textId="77777777" w:rsidR="005818DD" w:rsidRDefault="005818DD" w:rsidP="005818DD">
      <w:pPr>
        <w:ind w:hanging="567"/>
        <w:rPr>
          <w:rFonts w:eastAsia="Calibri" w:cs="Arial"/>
          <w:b/>
        </w:rPr>
      </w:pPr>
      <w:r>
        <w:rPr>
          <w:rFonts w:eastAsia="Calibri" w:cs="Arial"/>
          <w:b/>
        </w:rPr>
        <w:t>APPEARANCES:</w:t>
      </w:r>
    </w:p>
    <w:p w14:paraId="79812717" w14:textId="7D2243A8" w:rsidR="00C84568" w:rsidRDefault="005818DD" w:rsidP="00854AE6">
      <w:pPr>
        <w:tabs>
          <w:tab w:val="left" w:pos="3969"/>
          <w:tab w:val="left" w:pos="4536"/>
        </w:tabs>
        <w:ind w:hanging="567"/>
        <w:rPr>
          <w:rFonts w:eastAsia="Calibri" w:cs="Arial"/>
          <w:bCs/>
        </w:rPr>
      </w:pPr>
      <w:r>
        <w:rPr>
          <w:rFonts w:eastAsia="Calibri" w:cs="Arial"/>
          <w:b/>
        </w:rPr>
        <w:t xml:space="preserve">For the </w:t>
      </w:r>
      <w:r w:rsidR="005E749E">
        <w:rPr>
          <w:rFonts w:eastAsia="Calibri" w:cs="Arial"/>
          <w:b/>
        </w:rPr>
        <w:t>A</w:t>
      </w:r>
      <w:r w:rsidR="000204C0">
        <w:rPr>
          <w:rFonts w:eastAsia="Calibri" w:cs="Arial"/>
          <w:b/>
        </w:rPr>
        <w:t>pp</w:t>
      </w:r>
      <w:r w:rsidR="00B42DDA">
        <w:rPr>
          <w:rFonts w:eastAsia="Calibri" w:cs="Arial"/>
          <w:b/>
        </w:rPr>
        <w:t>ella</w:t>
      </w:r>
      <w:r w:rsidR="00574025">
        <w:rPr>
          <w:rFonts w:eastAsia="Calibri" w:cs="Arial"/>
          <w:b/>
        </w:rPr>
        <w:t>nt</w:t>
      </w:r>
      <w:r>
        <w:rPr>
          <w:rFonts w:eastAsia="Calibri" w:cs="Arial"/>
          <w:b/>
        </w:rPr>
        <w:t>:</w:t>
      </w:r>
      <w:r w:rsidR="000204C0">
        <w:rPr>
          <w:rFonts w:eastAsia="Calibri" w:cs="Arial"/>
          <w:b/>
        </w:rPr>
        <w:tab/>
      </w:r>
      <w:r w:rsidRPr="000204C0">
        <w:rPr>
          <w:rFonts w:eastAsia="Calibri" w:cs="Arial"/>
          <w:bCs/>
        </w:rPr>
        <w:tab/>
      </w:r>
      <w:r w:rsidR="00B42DDA" w:rsidRPr="00B42DDA">
        <w:rPr>
          <w:rFonts w:eastAsia="Calibri" w:cs="Arial"/>
          <w:bCs/>
          <w:lang w:val="en-ZA"/>
        </w:rPr>
        <w:t>Advocate R Soloman SC</w:t>
      </w:r>
    </w:p>
    <w:p w14:paraId="0BBE62E2" w14:textId="03C11437" w:rsidR="00496314" w:rsidRDefault="005818DD" w:rsidP="006704F5">
      <w:pPr>
        <w:tabs>
          <w:tab w:val="left" w:pos="3969"/>
          <w:tab w:val="left" w:pos="4536"/>
        </w:tabs>
        <w:ind w:left="0"/>
        <w:rPr>
          <w:rFonts w:eastAsia="Calibri" w:cs="Arial"/>
          <w:bCs/>
        </w:rPr>
      </w:pPr>
      <w:r>
        <w:rPr>
          <w:rFonts w:eastAsia="Calibri" w:cs="Arial"/>
          <w:bCs/>
        </w:rPr>
        <w:t>Instructed by:</w:t>
      </w:r>
      <w:r w:rsidR="000204C0">
        <w:rPr>
          <w:rFonts w:eastAsia="Calibri" w:cs="Arial"/>
          <w:bCs/>
        </w:rPr>
        <w:tab/>
      </w:r>
      <w:r w:rsidR="006704F5">
        <w:rPr>
          <w:rFonts w:eastAsia="Calibri" w:cs="Arial"/>
          <w:bCs/>
        </w:rPr>
        <w:tab/>
      </w:r>
      <w:r w:rsidR="00B42DDA" w:rsidRPr="00B42DDA">
        <w:rPr>
          <w:rFonts w:eastAsia="Calibri" w:cs="Arial"/>
          <w:bCs/>
          <w:lang w:val="en-ZA"/>
        </w:rPr>
        <w:t>Gildenh</w:t>
      </w:r>
      <w:r w:rsidR="00B42DDA">
        <w:rPr>
          <w:rFonts w:eastAsia="Calibri" w:cs="Arial"/>
          <w:bCs/>
          <w:lang w:val="en-ZA"/>
        </w:rPr>
        <w:t>u</w:t>
      </w:r>
      <w:r w:rsidR="00B42DDA" w:rsidRPr="00B42DDA">
        <w:rPr>
          <w:rFonts w:eastAsia="Calibri" w:cs="Arial"/>
          <w:bCs/>
          <w:lang w:val="en-ZA"/>
        </w:rPr>
        <w:t>ys Malatji Inc Attorneys</w:t>
      </w:r>
    </w:p>
    <w:p w14:paraId="60386AD3" w14:textId="35AC2F32" w:rsidR="008564B8" w:rsidRDefault="00496314" w:rsidP="005E749E">
      <w:pPr>
        <w:tabs>
          <w:tab w:val="left" w:pos="3969"/>
          <w:tab w:val="left" w:pos="4536"/>
        </w:tabs>
        <w:ind w:hanging="567"/>
        <w:rPr>
          <w:rFonts w:eastAsia="Calibri" w:cs="Arial"/>
          <w:bCs/>
        </w:rPr>
      </w:pPr>
      <w:r>
        <w:rPr>
          <w:rFonts w:eastAsia="Calibri" w:cs="Arial"/>
          <w:b/>
        </w:rPr>
        <w:t>For the</w:t>
      </w:r>
      <w:r w:rsidR="00BB4D4A">
        <w:rPr>
          <w:rFonts w:eastAsia="Calibri" w:cs="Arial"/>
          <w:b/>
        </w:rPr>
        <w:t xml:space="preserve"> </w:t>
      </w:r>
      <w:r w:rsidR="005E749E">
        <w:rPr>
          <w:rFonts w:eastAsia="Calibri" w:cs="Arial"/>
          <w:b/>
        </w:rPr>
        <w:t>R</w:t>
      </w:r>
      <w:r w:rsidR="000204C0">
        <w:rPr>
          <w:rFonts w:eastAsia="Calibri" w:cs="Arial"/>
          <w:b/>
        </w:rPr>
        <w:t>espondent</w:t>
      </w:r>
      <w:r>
        <w:rPr>
          <w:rFonts w:eastAsia="Calibri" w:cs="Arial"/>
          <w:b/>
        </w:rPr>
        <w:t>:</w:t>
      </w:r>
      <w:r w:rsidR="006704F5">
        <w:rPr>
          <w:rFonts w:eastAsia="Calibri" w:cs="Arial"/>
          <w:b/>
        </w:rPr>
        <w:t xml:space="preserve"> </w:t>
      </w:r>
      <w:r w:rsidR="000446F7">
        <w:rPr>
          <w:rFonts w:eastAsia="Calibri" w:cs="Arial"/>
          <w:b/>
        </w:rPr>
        <w:tab/>
      </w:r>
      <w:r w:rsidR="0065585A">
        <w:rPr>
          <w:rFonts w:eastAsia="Calibri" w:cs="Arial"/>
          <w:b/>
        </w:rPr>
        <w:tab/>
      </w:r>
      <w:r w:rsidR="00B42DDA" w:rsidRPr="00B42DDA">
        <w:rPr>
          <w:rFonts w:eastAsia="Calibri" w:cs="Arial"/>
          <w:bCs/>
          <w:lang w:val="en-ZA"/>
        </w:rPr>
        <w:t>Advocate van Rooyen</w:t>
      </w:r>
    </w:p>
    <w:p w14:paraId="0FEE5B7A" w14:textId="49E545EE" w:rsidR="00B42DDA" w:rsidRPr="001E1ED1" w:rsidRDefault="00B42DDA" w:rsidP="001E1ED1">
      <w:pPr>
        <w:tabs>
          <w:tab w:val="left" w:pos="3969"/>
          <w:tab w:val="left" w:pos="4536"/>
        </w:tabs>
        <w:ind w:left="0"/>
        <w:rPr>
          <w:rFonts w:eastAsia="Calibri" w:cs="Arial"/>
          <w:bCs/>
          <w:lang w:val="en-ZA"/>
        </w:rPr>
      </w:pPr>
      <w:r>
        <w:rPr>
          <w:rFonts w:eastAsia="Calibri" w:cs="Arial"/>
          <w:bCs/>
        </w:rPr>
        <w:t>Instructed by:</w:t>
      </w:r>
      <w:r>
        <w:rPr>
          <w:rFonts w:eastAsia="Calibri" w:cs="Arial"/>
          <w:bCs/>
        </w:rPr>
        <w:tab/>
      </w:r>
      <w:r>
        <w:rPr>
          <w:rFonts w:eastAsia="Calibri" w:cs="Arial"/>
          <w:bCs/>
        </w:rPr>
        <w:tab/>
      </w:r>
      <w:r w:rsidRPr="00B42DDA">
        <w:rPr>
          <w:rFonts w:eastAsia="Calibri" w:cs="Arial"/>
          <w:bCs/>
          <w:lang w:val="en-ZA"/>
        </w:rPr>
        <w:t>Greyling Orchard Attorneys</w:t>
      </w:r>
    </w:p>
    <w:sectPr w:rsidR="00B42DDA" w:rsidRPr="001E1ED1" w:rsidSect="008F6C9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081A" w14:textId="77777777" w:rsidR="00B01692" w:rsidRDefault="00B01692" w:rsidP="00C0309A">
      <w:pPr>
        <w:spacing w:after="0" w:line="240" w:lineRule="auto"/>
      </w:pPr>
      <w:r>
        <w:separator/>
      </w:r>
    </w:p>
  </w:endnote>
  <w:endnote w:type="continuationSeparator" w:id="0">
    <w:p w14:paraId="1B3EEAAA" w14:textId="77777777" w:rsidR="00B01692" w:rsidRDefault="00B01692"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0DAE6057" w:rsidR="008F6C98" w:rsidRDefault="008F6C98">
        <w:pPr>
          <w:pStyle w:val="Footer"/>
          <w:jc w:val="right"/>
        </w:pPr>
        <w:r>
          <w:fldChar w:fldCharType="begin"/>
        </w:r>
        <w:r>
          <w:instrText xml:space="preserve"> PAGE   \* MERGEFORMAT </w:instrText>
        </w:r>
        <w:r>
          <w:fldChar w:fldCharType="separate"/>
        </w:r>
        <w:r w:rsidR="00580912">
          <w:rPr>
            <w:noProof/>
          </w:rPr>
          <w:t>7</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0165" w14:textId="77777777" w:rsidR="00B01692" w:rsidRDefault="00B01692" w:rsidP="006779AB">
      <w:pPr>
        <w:spacing w:after="0" w:line="240" w:lineRule="auto"/>
        <w:ind w:left="0"/>
      </w:pPr>
      <w:r>
        <w:separator/>
      </w:r>
    </w:p>
  </w:footnote>
  <w:footnote w:type="continuationSeparator" w:id="0">
    <w:p w14:paraId="7FCFE751" w14:textId="77777777" w:rsidR="00B01692" w:rsidRDefault="00B01692" w:rsidP="00C0309A">
      <w:pPr>
        <w:spacing w:after="0" w:line="240" w:lineRule="auto"/>
      </w:pPr>
      <w:r>
        <w:continuationSeparator/>
      </w:r>
    </w:p>
  </w:footnote>
  <w:footnote w:id="1">
    <w:p w14:paraId="74D73E5F" w14:textId="38F914CC" w:rsidR="00F24142" w:rsidRPr="00983D64" w:rsidRDefault="00F24142" w:rsidP="00F24142">
      <w:pPr>
        <w:pStyle w:val="FootnoteText"/>
        <w:ind w:left="0"/>
        <w:rPr>
          <w:sz w:val="18"/>
          <w:szCs w:val="18"/>
          <w:lang w:val="en-ZA"/>
        </w:rPr>
      </w:pPr>
      <w:r w:rsidRPr="00983D64">
        <w:rPr>
          <w:rStyle w:val="FootnoteReference"/>
          <w:sz w:val="18"/>
          <w:szCs w:val="18"/>
        </w:rPr>
        <w:footnoteRef/>
      </w:r>
      <w:r w:rsidRPr="00983D64">
        <w:rPr>
          <w:sz w:val="18"/>
          <w:szCs w:val="18"/>
        </w:rPr>
        <w:t xml:space="preserve"> </w:t>
      </w:r>
      <w:r w:rsidRPr="00983D64">
        <w:rPr>
          <w:sz w:val="18"/>
          <w:szCs w:val="18"/>
          <w:lang w:val="en-ZA"/>
        </w:rPr>
        <w:t>95 of 1998.</w:t>
      </w:r>
    </w:p>
  </w:footnote>
  <w:footnote w:id="2">
    <w:p w14:paraId="1E5B8470" w14:textId="19DE9F1C" w:rsidR="00C83710" w:rsidRPr="00983D64" w:rsidRDefault="00C83710" w:rsidP="00C83710">
      <w:pPr>
        <w:pStyle w:val="FootnoteText"/>
        <w:ind w:left="0"/>
        <w:rPr>
          <w:sz w:val="18"/>
          <w:szCs w:val="18"/>
          <w:lang w:val="en-ZA"/>
        </w:rPr>
      </w:pPr>
      <w:r w:rsidRPr="00983D64">
        <w:rPr>
          <w:rStyle w:val="FootnoteReference"/>
          <w:sz w:val="18"/>
          <w:szCs w:val="18"/>
        </w:rPr>
        <w:footnoteRef/>
      </w:r>
      <w:r w:rsidRPr="00983D64">
        <w:rPr>
          <w:sz w:val="18"/>
          <w:szCs w:val="18"/>
        </w:rPr>
        <w:t xml:space="preserve"> </w:t>
      </w:r>
      <w:r w:rsidRPr="00983D64">
        <w:rPr>
          <w:i/>
          <w:sz w:val="18"/>
          <w:szCs w:val="18"/>
        </w:rPr>
        <w:t>Colyn v Tiger Food Industries Ltd t/a Meadow Feed Mills (Cape)</w:t>
      </w:r>
      <w:r w:rsidRPr="00983D64">
        <w:rPr>
          <w:sz w:val="18"/>
          <w:szCs w:val="18"/>
        </w:rPr>
        <w:t xml:space="preserve"> </w:t>
      </w:r>
      <w:r w:rsidR="003B2AAA" w:rsidRPr="00983D64">
        <w:rPr>
          <w:sz w:val="18"/>
          <w:szCs w:val="18"/>
          <w:lang w:val="en-ZA"/>
        </w:rPr>
        <w:t xml:space="preserve">[2003] ZASCA 36; </w:t>
      </w:r>
      <w:r w:rsidRPr="00983D64">
        <w:rPr>
          <w:sz w:val="18"/>
          <w:szCs w:val="18"/>
        </w:rPr>
        <w:t>2003 (6) SA 1 (SCA) at 9C</w:t>
      </w:r>
      <w:r w:rsidR="00AB2434" w:rsidRPr="00983D64">
        <w:rPr>
          <w:sz w:val="18"/>
          <w:szCs w:val="18"/>
        </w:rPr>
        <w:t xml:space="preserve"> and </w:t>
      </w:r>
      <w:r w:rsidRPr="00983D64">
        <w:rPr>
          <w:i/>
          <w:iCs/>
          <w:sz w:val="18"/>
          <w:szCs w:val="18"/>
        </w:rPr>
        <w:t>Zuma v Secretary of the Judicial Commission of Inquiry into Allegations of State Capture, Corruption and Fraud in the Public Sector Including Organs of State</w:t>
      </w:r>
      <w:r w:rsidRPr="00983D64">
        <w:rPr>
          <w:sz w:val="18"/>
          <w:szCs w:val="18"/>
        </w:rPr>
        <w:t xml:space="preserve"> </w:t>
      </w:r>
      <w:r w:rsidR="003B2AAA" w:rsidRPr="00983D64">
        <w:rPr>
          <w:sz w:val="18"/>
          <w:szCs w:val="18"/>
          <w:lang w:val="en-ZA"/>
        </w:rPr>
        <w:t>[2021] ZACC 28;</w:t>
      </w:r>
      <w:r w:rsidR="00AB2434" w:rsidRPr="00983D64">
        <w:rPr>
          <w:rFonts w:ascii="Verdana" w:hAnsi="Verdana"/>
          <w:color w:val="000000"/>
          <w:sz w:val="18"/>
          <w:szCs w:val="18"/>
        </w:rPr>
        <w:t xml:space="preserve"> </w:t>
      </w:r>
      <w:r w:rsidR="00AB2434" w:rsidRPr="00983D64">
        <w:rPr>
          <w:sz w:val="18"/>
          <w:szCs w:val="18"/>
        </w:rPr>
        <w:t>2021 JDR 2069 (CC);</w:t>
      </w:r>
      <w:r w:rsidR="003B2AAA" w:rsidRPr="00983D64">
        <w:rPr>
          <w:sz w:val="18"/>
          <w:szCs w:val="18"/>
          <w:lang w:val="en-ZA"/>
        </w:rPr>
        <w:t xml:space="preserve"> </w:t>
      </w:r>
      <w:r w:rsidRPr="00983D64">
        <w:rPr>
          <w:sz w:val="18"/>
          <w:szCs w:val="18"/>
        </w:rPr>
        <w:t xml:space="preserve">2021 (11) BCLR 1263 (CC) </w:t>
      </w:r>
      <w:r w:rsidR="00AB2434" w:rsidRPr="00983D64">
        <w:rPr>
          <w:sz w:val="18"/>
          <w:szCs w:val="18"/>
        </w:rPr>
        <w:t>(“</w:t>
      </w:r>
      <w:r w:rsidR="00AB2434" w:rsidRPr="009B6DFE">
        <w:rPr>
          <w:i/>
          <w:iCs/>
          <w:sz w:val="18"/>
          <w:szCs w:val="18"/>
        </w:rPr>
        <w:t>Zuma</w:t>
      </w:r>
      <w:r w:rsidR="00AB2434" w:rsidRPr="00983D64">
        <w:rPr>
          <w:sz w:val="18"/>
          <w:szCs w:val="18"/>
        </w:rPr>
        <w:t xml:space="preserve">”) </w:t>
      </w:r>
      <w:r w:rsidRPr="00983D64">
        <w:rPr>
          <w:sz w:val="18"/>
          <w:szCs w:val="18"/>
        </w:rPr>
        <w:t>at para 71</w:t>
      </w:r>
      <w:r w:rsidR="003B2AAA" w:rsidRPr="00983D64">
        <w:rPr>
          <w:sz w:val="18"/>
          <w:szCs w:val="18"/>
        </w:rPr>
        <w:t>.</w:t>
      </w:r>
    </w:p>
  </w:footnote>
  <w:footnote w:id="3">
    <w:p w14:paraId="37F489CA" w14:textId="76F510B2" w:rsidR="00C83710" w:rsidRPr="00983D64" w:rsidRDefault="00C83710" w:rsidP="003B2AAA">
      <w:pPr>
        <w:pStyle w:val="FootnoteText"/>
        <w:ind w:left="0"/>
        <w:rPr>
          <w:sz w:val="18"/>
          <w:szCs w:val="18"/>
        </w:rPr>
      </w:pPr>
      <w:r w:rsidRPr="00983D64">
        <w:rPr>
          <w:rStyle w:val="FootnoteReference"/>
          <w:sz w:val="18"/>
          <w:szCs w:val="18"/>
        </w:rPr>
        <w:footnoteRef/>
      </w:r>
      <w:r w:rsidRPr="00983D64">
        <w:rPr>
          <w:sz w:val="18"/>
          <w:szCs w:val="18"/>
        </w:rPr>
        <w:t xml:space="preserve"> I</w:t>
      </w:r>
      <w:r w:rsidR="00AB2434" w:rsidRPr="00983D64">
        <w:rPr>
          <w:sz w:val="18"/>
          <w:szCs w:val="18"/>
        </w:rPr>
        <w:t>d.</w:t>
      </w:r>
    </w:p>
  </w:footnote>
  <w:footnote w:id="4">
    <w:p w14:paraId="313426DC" w14:textId="477EA26D" w:rsidR="00AB2434" w:rsidRPr="00983D64" w:rsidRDefault="00AB2434" w:rsidP="00AB2434">
      <w:pPr>
        <w:pStyle w:val="FootnoteText"/>
        <w:ind w:left="0"/>
        <w:rPr>
          <w:sz w:val="18"/>
          <w:szCs w:val="18"/>
          <w:lang w:val="en-ZA"/>
        </w:rPr>
      </w:pPr>
      <w:r w:rsidRPr="00983D64">
        <w:rPr>
          <w:rStyle w:val="FootnoteReference"/>
          <w:sz w:val="18"/>
          <w:szCs w:val="18"/>
        </w:rPr>
        <w:footnoteRef/>
      </w:r>
      <w:r w:rsidRPr="00983D64">
        <w:rPr>
          <w:sz w:val="18"/>
          <w:szCs w:val="18"/>
        </w:rPr>
        <w:t xml:space="preserve"> See </w:t>
      </w:r>
      <w:r w:rsidRPr="00983D64">
        <w:rPr>
          <w:i/>
          <w:iCs/>
          <w:sz w:val="18"/>
          <w:szCs w:val="18"/>
        </w:rPr>
        <w:t xml:space="preserve">Zuma </w:t>
      </w:r>
      <w:r w:rsidRPr="00983D64">
        <w:rPr>
          <w:sz w:val="18"/>
          <w:szCs w:val="18"/>
        </w:rPr>
        <w:t>(fn 2) at para 71.</w:t>
      </w:r>
    </w:p>
  </w:footnote>
  <w:footnote w:id="5">
    <w:p w14:paraId="0FF94DE6" w14:textId="2C133CB2" w:rsidR="00A52BDF" w:rsidRPr="00983D64" w:rsidRDefault="00A52BDF" w:rsidP="00A52BDF">
      <w:pPr>
        <w:pStyle w:val="FootnoteText"/>
        <w:ind w:left="0"/>
        <w:rPr>
          <w:sz w:val="18"/>
          <w:szCs w:val="18"/>
          <w:lang w:val="en-ZA"/>
        </w:rPr>
      </w:pPr>
      <w:r w:rsidRPr="00983D64">
        <w:rPr>
          <w:rStyle w:val="FootnoteReference"/>
          <w:sz w:val="18"/>
          <w:szCs w:val="18"/>
        </w:rPr>
        <w:footnoteRef/>
      </w:r>
      <w:r w:rsidRPr="00983D64">
        <w:rPr>
          <w:sz w:val="18"/>
          <w:szCs w:val="18"/>
        </w:rPr>
        <w:t xml:space="preserve"> </w:t>
      </w:r>
      <w:r w:rsidRPr="00AB2434">
        <w:rPr>
          <w:sz w:val="18"/>
          <w:szCs w:val="18"/>
          <w:lang w:val="en-ZA"/>
        </w:rPr>
        <w:t>95 of 1998</w:t>
      </w:r>
      <w:r w:rsidRPr="00983D64">
        <w:rPr>
          <w:sz w:val="18"/>
          <w:szCs w:val="18"/>
          <w:lang w:val="en-ZA"/>
        </w:rPr>
        <w:t>.</w:t>
      </w:r>
    </w:p>
  </w:footnote>
  <w:footnote w:id="6">
    <w:p w14:paraId="3786150D" w14:textId="627EA1BA" w:rsidR="00AB2434" w:rsidRPr="00983D64" w:rsidRDefault="00AB2434" w:rsidP="00A52BDF">
      <w:pPr>
        <w:pStyle w:val="FootnoteText"/>
        <w:ind w:left="0"/>
        <w:rPr>
          <w:sz w:val="18"/>
          <w:szCs w:val="18"/>
        </w:rPr>
      </w:pPr>
      <w:r w:rsidRPr="00983D64">
        <w:rPr>
          <w:rStyle w:val="FootnoteReference"/>
          <w:sz w:val="18"/>
          <w:szCs w:val="18"/>
        </w:rPr>
        <w:footnoteRef/>
      </w:r>
      <w:r w:rsidRPr="00983D64">
        <w:rPr>
          <w:sz w:val="18"/>
          <w:szCs w:val="18"/>
        </w:rPr>
        <w:t xml:space="preserve"> </w:t>
      </w:r>
      <w:r w:rsidR="00A52BDF" w:rsidRPr="00AB2434">
        <w:rPr>
          <w:i/>
          <w:iCs/>
          <w:sz w:val="18"/>
          <w:szCs w:val="18"/>
          <w:lang w:val="en-ZA"/>
        </w:rPr>
        <w:t xml:space="preserve">Harris v ABSA Bank Ltd </w:t>
      </w:r>
      <w:r w:rsidR="00A52BDF" w:rsidRPr="00983D64">
        <w:rPr>
          <w:i/>
          <w:iCs/>
          <w:sz w:val="18"/>
          <w:szCs w:val="18"/>
          <w:lang w:val="en-ZA"/>
        </w:rPr>
        <w:t xml:space="preserve">t/a </w:t>
      </w:r>
      <w:r w:rsidR="00A52BDF" w:rsidRPr="00AB2434">
        <w:rPr>
          <w:i/>
          <w:iCs/>
          <w:sz w:val="18"/>
          <w:szCs w:val="18"/>
          <w:lang w:val="en-ZA"/>
        </w:rPr>
        <w:t>Volkskas</w:t>
      </w:r>
      <w:r w:rsidR="00A52BDF" w:rsidRPr="00983D64">
        <w:rPr>
          <w:sz w:val="18"/>
          <w:szCs w:val="18"/>
        </w:rPr>
        <w:t xml:space="preserve"> </w:t>
      </w:r>
      <w:r w:rsidRPr="00983D64">
        <w:rPr>
          <w:sz w:val="18"/>
          <w:szCs w:val="18"/>
        </w:rPr>
        <w:t>2006 (4) SA 527 (T)</w:t>
      </w:r>
      <w:r w:rsidR="00A52BDF" w:rsidRPr="00983D64">
        <w:rPr>
          <w:sz w:val="18"/>
          <w:szCs w:val="18"/>
        </w:rPr>
        <w:t>.</w:t>
      </w:r>
    </w:p>
  </w:footnote>
  <w:footnote w:id="7">
    <w:p w14:paraId="4540D3CE" w14:textId="4C6E9CBF" w:rsidR="00A52BDF" w:rsidRPr="00983D64" w:rsidRDefault="00A52BDF" w:rsidP="00A52BDF">
      <w:pPr>
        <w:pStyle w:val="FootnoteText"/>
        <w:ind w:left="0"/>
        <w:rPr>
          <w:sz w:val="18"/>
          <w:szCs w:val="18"/>
          <w:lang w:val="en-ZA"/>
        </w:rPr>
      </w:pPr>
      <w:r w:rsidRPr="00983D64">
        <w:rPr>
          <w:rStyle w:val="FootnoteReference"/>
          <w:sz w:val="18"/>
          <w:szCs w:val="18"/>
        </w:rPr>
        <w:footnoteRef/>
      </w:r>
      <w:r w:rsidRPr="00983D64">
        <w:rPr>
          <w:sz w:val="18"/>
          <w:szCs w:val="18"/>
        </w:rPr>
        <w:t xml:space="preserve"> Id at para 10.</w:t>
      </w:r>
    </w:p>
  </w:footnote>
  <w:footnote w:id="8">
    <w:p w14:paraId="55A5240D" w14:textId="4AF10370" w:rsidR="00015E44" w:rsidRPr="00983D64" w:rsidRDefault="00015E44" w:rsidP="00015E44">
      <w:pPr>
        <w:pStyle w:val="FootnoteText"/>
        <w:ind w:left="0"/>
        <w:rPr>
          <w:sz w:val="18"/>
          <w:szCs w:val="18"/>
          <w:lang w:val="en-US"/>
        </w:rPr>
      </w:pPr>
      <w:r w:rsidRPr="00983D64">
        <w:rPr>
          <w:rStyle w:val="FootnoteReference"/>
          <w:sz w:val="18"/>
          <w:szCs w:val="18"/>
        </w:rPr>
        <w:footnoteRef/>
      </w:r>
      <w:r w:rsidRPr="00983D64">
        <w:rPr>
          <w:sz w:val="18"/>
          <w:szCs w:val="18"/>
        </w:rPr>
        <w:t xml:space="preserve"> See </w:t>
      </w:r>
      <w:r w:rsidRPr="00983D64">
        <w:rPr>
          <w:i/>
          <w:iCs/>
          <w:sz w:val="18"/>
          <w:szCs w:val="18"/>
          <w:lang w:val="en-US"/>
        </w:rPr>
        <w:t xml:space="preserve">Capitec Bank </w:t>
      </w:r>
      <w:r w:rsidR="00983D64">
        <w:rPr>
          <w:i/>
          <w:iCs/>
          <w:sz w:val="18"/>
          <w:szCs w:val="18"/>
          <w:lang w:val="en-US"/>
        </w:rPr>
        <w:t xml:space="preserve">Limited </w:t>
      </w:r>
      <w:r w:rsidRPr="00983D64">
        <w:rPr>
          <w:i/>
          <w:iCs/>
          <w:sz w:val="18"/>
          <w:szCs w:val="18"/>
          <w:lang w:val="en-US"/>
        </w:rPr>
        <w:t>v Mangena</w:t>
      </w:r>
      <w:r w:rsidRPr="00983D64">
        <w:rPr>
          <w:sz w:val="18"/>
          <w:szCs w:val="18"/>
          <w:lang w:val="en-US"/>
        </w:rPr>
        <w:t xml:space="preserve">, unreported judgment of </w:t>
      </w:r>
      <w:r w:rsidR="00983D64" w:rsidRPr="00983D64">
        <w:rPr>
          <w:sz w:val="18"/>
          <w:szCs w:val="18"/>
          <w:lang w:val="en-US"/>
        </w:rPr>
        <w:t xml:space="preserve">Wilson J of </w:t>
      </w:r>
      <w:r w:rsidRPr="00983D64">
        <w:rPr>
          <w:sz w:val="18"/>
          <w:szCs w:val="18"/>
          <w:lang w:val="en-US"/>
        </w:rPr>
        <w:t>the South Gauteng High Court, Johannesburg</w:t>
      </w:r>
      <w:r w:rsidR="00983D64" w:rsidRPr="00983D64">
        <w:rPr>
          <w:sz w:val="18"/>
          <w:szCs w:val="18"/>
          <w:lang w:val="en-US"/>
        </w:rPr>
        <w:t xml:space="preserve"> </w:t>
      </w:r>
      <w:r w:rsidRPr="00983D64">
        <w:rPr>
          <w:sz w:val="18"/>
          <w:szCs w:val="18"/>
          <w:lang w:val="en-US"/>
        </w:rPr>
        <w:t>handed down under Case No 28660/2021 on 16 March 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B1A"/>
    <w:multiLevelType w:val="hybridMultilevel"/>
    <w:tmpl w:val="36140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8845F5"/>
    <w:multiLevelType w:val="hybridMultilevel"/>
    <w:tmpl w:val="7E527A6C"/>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45473B"/>
    <w:multiLevelType w:val="multilevel"/>
    <w:tmpl w:val="B63CD3EC"/>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03D6C25"/>
    <w:multiLevelType w:val="hybridMultilevel"/>
    <w:tmpl w:val="48AA11C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1" w15:restartNumberingAfterBreak="0">
    <w:nsid w:val="287E34D6"/>
    <w:multiLevelType w:val="hybridMultilevel"/>
    <w:tmpl w:val="8C16B5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15:restartNumberingAfterBreak="0">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3E16A6"/>
    <w:multiLevelType w:val="hybridMultilevel"/>
    <w:tmpl w:val="A132A492"/>
    <w:lvl w:ilvl="0" w:tplc="D55A9448">
      <w:start w:val="1"/>
      <w:numFmt w:val="decimal"/>
      <w:lvlText w:val="[1.5.%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5"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6" w15:restartNumberingAfterBreak="0">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7B40A6"/>
    <w:multiLevelType w:val="hybridMultilevel"/>
    <w:tmpl w:val="B9FA26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24" w15:restartNumberingAfterBreak="0">
    <w:nsid w:val="72AA25D7"/>
    <w:multiLevelType w:val="hybridMultilevel"/>
    <w:tmpl w:val="0FD6CD3E"/>
    <w:lvl w:ilvl="0" w:tplc="CF28CB8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0"/>
  </w:num>
  <w:num w:numId="7">
    <w:abstractNumId w:val="22"/>
  </w:num>
  <w:num w:numId="8">
    <w:abstractNumId w:val="12"/>
  </w:num>
  <w:num w:numId="9">
    <w:abstractNumId w:val="13"/>
  </w:num>
  <w:num w:numId="10">
    <w:abstractNumId w:val="4"/>
  </w:num>
  <w:num w:numId="11">
    <w:abstractNumId w:val="9"/>
  </w:num>
  <w:num w:numId="12">
    <w:abstractNumId w:val="25"/>
  </w:num>
  <w:num w:numId="13">
    <w:abstractNumId w:val="6"/>
  </w:num>
  <w:num w:numId="14">
    <w:abstractNumId w:val="16"/>
  </w:num>
  <w:num w:numId="15">
    <w:abstractNumId w:val="17"/>
  </w:num>
  <w:num w:numId="16">
    <w:abstractNumId w:val="18"/>
  </w:num>
  <w:num w:numId="17">
    <w:abstractNumId w:val="20"/>
  </w:num>
  <w:num w:numId="18">
    <w:abstractNumId w:val="26"/>
  </w:num>
  <w:num w:numId="19">
    <w:abstractNumId w:val="3"/>
  </w:num>
  <w:num w:numId="20">
    <w:abstractNumId w:val="19"/>
  </w:num>
  <w:num w:numId="21">
    <w:abstractNumId w:val="23"/>
  </w:num>
  <w:num w:numId="22">
    <w:abstractNumId w:val="21"/>
  </w:num>
  <w:num w:numId="23">
    <w:abstractNumId w:val="2"/>
  </w:num>
  <w:num w:numId="24">
    <w:abstractNumId w:val="14"/>
  </w:num>
  <w:num w:numId="25">
    <w:abstractNumId w:val="24"/>
  </w:num>
  <w:num w:numId="26">
    <w:abstractNumId w:val="0"/>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049E3"/>
    <w:rsid w:val="00015E44"/>
    <w:rsid w:val="000204C0"/>
    <w:rsid w:val="0003515A"/>
    <w:rsid w:val="000425F0"/>
    <w:rsid w:val="000446F7"/>
    <w:rsid w:val="00057E4A"/>
    <w:rsid w:val="000874CB"/>
    <w:rsid w:val="000A3FF0"/>
    <w:rsid w:val="000A5B20"/>
    <w:rsid w:val="000C1011"/>
    <w:rsid w:val="000F4568"/>
    <w:rsid w:val="0010364C"/>
    <w:rsid w:val="00112A1F"/>
    <w:rsid w:val="00122CA2"/>
    <w:rsid w:val="001348B2"/>
    <w:rsid w:val="0018166A"/>
    <w:rsid w:val="00195844"/>
    <w:rsid w:val="0019666E"/>
    <w:rsid w:val="001D0DF1"/>
    <w:rsid w:val="001D78F2"/>
    <w:rsid w:val="001E1ED1"/>
    <w:rsid w:val="001E3DFF"/>
    <w:rsid w:val="001F7CE3"/>
    <w:rsid w:val="002011C8"/>
    <w:rsid w:val="002068A8"/>
    <w:rsid w:val="00223874"/>
    <w:rsid w:val="00234BCC"/>
    <w:rsid w:val="00267D1E"/>
    <w:rsid w:val="00273B86"/>
    <w:rsid w:val="00282BBE"/>
    <w:rsid w:val="00283FA6"/>
    <w:rsid w:val="0029685E"/>
    <w:rsid w:val="002C085A"/>
    <w:rsid w:val="002D55BA"/>
    <w:rsid w:val="002E3551"/>
    <w:rsid w:val="002E3D66"/>
    <w:rsid w:val="00340BDD"/>
    <w:rsid w:val="003701E4"/>
    <w:rsid w:val="00390892"/>
    <w:rsid w:val="003A0271"/>
    <w:rsid w:val="003B2AAA"/>
    <w:rsid w:val="003B417F"/>
    <w:rsid w:val="003B507F"/>
    <w:rsid w:val="003C35FF"/>
    <w:rsid w:val="003C3F15"/>
    <w:rsid w:val="003E0C7F"/>
    <w:rsid w:val="003F32F6"/>
    <w:rsid w:val="004003FB"/>
    <w:rsid w:val="00410868"/>
    <w:rsid w:val="0042582B"/>
    <w:rsid w:val="00427058"/>
    <w:rsid w:val="00447130"/>
    <w:rsid w:val="00450287"/>
    <w:rsid w:val="00467819"/>
    <w:rsid w:val="00482758"/>
    <w:rsid w:val="00496314"/>
    <w:rsid w:val="00496C4A"/>
    <w:rsid w:val="004A0FC4"/>
    <w:rsid w:val="004A1729"/>
    <w:rsid w:val="004D1FAE"/>
    <w:rsid w:val="004E17F7"/>
    <w:rsid w:val="004F3FF8"/>
    <w:rsid w:val="00500C58"/>
    <w:rsid w:val="0052748D"/>
    <w:rsid w:val="00553A72"/>
    <w:rsid w:val="00574025"/>
    <w:rsid w:val="00580912"/>
    <w:rsid w:val="005818DD"/>
    <w:rsid w:val="00583747"/>
    <w:rsid w:val="005854DF"/>
    <w:rsid w:val="005A5732"/>
    <w:rsid w:val="005B2792"/>
    <w:rsid w:val="005C2DBD"/>
    <w:rsid w:val="005C6769"/>
    <w:rsid w:val="005D07DB"/>
    <w:rsid w:val="005E749E"/>
    <w:rsid w:val="005F1397"/>
    <w:rsid w:val="00607E25"/>
    <w:rsid w:val="0061468A"/>
    <w:rsid w:val="00614B56"/>
    <w:rsid w:val="00616F14"/>
    <w:rsid w:val="006314FF"/>
    <w:rsid w:val="0065585A"/>
    <w:rsid w:val="00656F49"/>
    <w:rsid w:val="00661188"/>
    <w:rsid w:val="006704F5"/>
    <w:rsid w:val="006779AB"/>
    <w:rsid w:val="00685AC6"/>
    <w:rsid w:val="006A09B3"/>
    <w:rsid w:val="006F1A4B"/>
    <w:rsid w:val="006F72FE"/>
    <w:rsid w:val="00712467"/>
    <w:rsid w:val="0071709A"/>
    <w:rsid w:val="00722C87"/>
    <w:rsid w:val="00730E59"/>
    <w:rsid w:val="007452FF"/>
    <w:rsid w:val="00747223"/>
    <w:rsid w:val="0075338F"/>
    <w:rsid w:val="00755D4D"/>
    <w:rsid w:val="00757F10"/>
    <w:rsid w:val="0076454B"/>
    <w:rsid w:val="007858AB"/>
    <w:rsid w:val="007B14A8"/>
    <w:rsid w:val="007C31CC"/>
    <w:rsid w:val="007D6365"/>
    <w:rsid w:val="007F5361"/>
    <w:rsid w:val="00817A5D"/>
    <w:rsid w:val="0082606B"/>
    <w:rsid w:val="00831A30"/>
    <w:rsid w:val="008544A2"/>
    <w:rsid w:val="00854AE6"/>
    <w:rsid w:val="008564B8"/>
    <w:rsid w:val="008618BF"/>
    <w:rsid w:val="00891250"/>
    <w:rsid w:val="008C339E"/>
    <w:rsid w:val="008C56B4"/>
    <w:rsid w:val="008C6354"/>
    <w:rsid w:val="008F6C98"/>
    <w:rsid w:val="009079A7"/>
    <w:rsid w:val="009107D9"/>
    <w:rsid w:val="00915964"/>
    <w:rsid w:val="00954634"/>
    <w:rsid w:val="0095605A"/>
    <w:rsid w:val="009639CA"/>
    <w:rsid w:val="0096777B"/>
    <w:rsid w:val="00983D64"/>
    <w:rsid w:val="009B554C"/>
    <w:rsid w:val="009B6DFE"/>
    <w:rsid w:val="009C63B5"/>
    <w:rsid w:val="00A1695F"/>
    <w:rsid w:val="00A52BDF"/>
    <w:rsid w:val="00A54E84"/>
    <w:rsid w:val="00A7294C"/>
    <w:rsid w:val="00A7516D"/>
    <w:rsid w:val="00AA74DA"/>
    <w:rsid w:val="00AB2434"/>
    <w:rsid w:val="00AC4EFC"/>
    <w:rsid w:val="00AE1F2D"/>
    <w:rsid w:val="00AF22B7"/>
    <w:rsid w:val="00AF4AA1"/>
    <w:rsid w:val="00B01692"/>
    <w:rsid w:val="00B42DDA"/>
    <w:rsid w:val="00B548D2"/>
    <w:rsid w:val="00B564A2"/>
    <w:rsid w:val="00B67D1F"/>
    <w:rsid w:val="00BB4D4A"/>
    <w:rsid w:val="00BF5455"/>
    <w:rsid w:val="00BF69C0"/>
    <w:rsid w:val="00C0309A"/>
    <w:rsid w:val="00C55FCD"/>
    <w:rsid w:val="00C77725"/>
    <w:rsid w:val="00C83710"/>
    <w:rsid w:val="00C84568"/>
    <w:rsid w:val="00C870C3"/>
    <w:rsid w:val="00CA4130"/>
    <w:rsid w:val="00CB1BB3"/>
    <w:rsid w:val="00CB6F93"/>
    <w:rsid w:val="00CC4D63"/>
    <w:rsid w:val="00CE32B5"/>
    <w:rsid w:val="00D0157D"/>
    <w:rsid w:val="00D027D6"/>
    <w:rsid w:val="00D223BF"/>
    <w:rsid w:val="00D24C20"/>
    <w:rsid w:val="00D27E60"/>
    <w:rsid w:val="00D40BBB"/>
    <w:rsid w:val="00D54019"/>
    <w:rsid w:val="00D65E0B"/>
    <w:rsid w:val="00D83F57"/>
    <w:rsid w:val="00D87AA7"/>
    <w:rsid w:val="00D92EED"/>
    <w:rsid w:val="00DC2151"/>
    <w:rsid w:val="00DF1871"/>
    <w:rsid w:val="00E27F79"/>
    <w:rsid w:val="00E6695B"/>
    <w:rsid w:val="00EB1E1F"/>
    <w:rsid w:val="00EE3A1F"/>
    <w:rsid w:val="00F22813"/>
    <w:rsid w:val="00F24142"/>
    <w:rsid w:val="00F26E68"/>
    <w:rsid w:val="00F553A5"/>
    <w:rsid w:val="00F87C5F"/>
    <w:rsid w:val="00FA7ABA"/>
    <w:rsid w:val="00FC03AA"/>
    <w:rsid w:val="00FD650B"/>
    <w:rsid w:val="00FE12EE"/>
    <w:rsid w:val="00FE13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1">
    <w:name w:val="heading 1"/>
    <w:basedOn w:val="Normal"/>
    <w:next w:val="Normal"/>
    <w:link w:val="Heading1Char"/>
    <w:uiPriority w:val="9"/>
    <w:qFormat/>
    <w:rsid w:val="0071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3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669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1"/>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aliases w:val="Ref,de nota al pie,註腳內容,Footnotes refss,Footnote Reference + Superscript"/>
    <w:basedOn w:val="DefaultParagraphFont"/>
    <w:uiPriority w:val="99"/>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D66"/>
    <w:pPr>
      <w:spacing w:after="0" w:line="240" w:lineRule="auto"/>
    </w:pPr>
    <w:rPr>
      <w:rFonts w:ascii="Arial" w:hAnsi="Arial"/>
      <w:kern w:val="0"/>
      <w:sz w:val="24"/>
      <w:lang w:val="en-GB"/>
      <w14:ligatures w14:val="none"/>
    </w:rPr>
  </w:style>
  <w:style w:type="character" w:customStyle="1" w:styleId="Heading1Char">
    <w:name w:val="Heading 1 Char"/>
    <w:basedOn w:val="DefaultParagraphFont"/>
    <w:link w:val="Heading1"/>
    <w:uiPriority w:val="9"/>
    <w:rsid w:val="00712467"/>
    <w:rPr>
      <w:rFonts w:asciiTheme="majorHAnsi" w:eastAsiaTheme="majorEastAsia" w:hAnsiTheme="majorHAnsi" w:cstheme="majorBidi"/>
      <w:color w:val="2F5496" w:themeColor="accent1" w:themeShade="BF"/>
      <w:kern w:val="0"/>
      <w:sz w:val="32"/>
      <w:szCs w:val="32"/>
      <w:lang w:val="en-GB"/>
      <w14:ligatures w14:val="none"/>
    </w:rPr>
  </w:style>
  <w:style w:type="character" w:styleId="Hyperlink">
    <w:name w:val="Hyperlink"/>
    <w:basedOn w:val="DefaultParagraphFont"/>
    <w:uiPriority w:val="99"/>
    <w:unhideWhenUsed/>
    <w:rsid w:val="00831A30"/>
    <w:rPr>
      <w:color w:val="0563C1" w:themeColor="hyperlink"/>
      <w:u w:val="single"/>
    </w:rPr>
  </w:style>
  <w:style w:type="character" w:customStyle="1" w:styleId="UnresolvedMention">
    <w:name w:val="Unresolved Mention"/>
    <w:basedOn w:val="DefaultParagraphFont"/>
    <w:uiPriority w:val="99"/>
    <w:semiHidden/>
    <w:unhideWhenUsed/>
    <w:rsid w:val="00831A30"/>
    <w:rPr>
      <w:color w:val="605E5C"/>
      <w:shd w:val="clear" w:color="auto" w:fill="E1DFDD"/>
    </w:rPr>
  </w:style>
  <w:style w:type="character" w:customStyle="1" w:styleId="Heading4Char">
    <w:name w:val="Heading 4 Char"/>
    <w:basedOn w:val="DefaultParagraphFont"/>
    <w:link w:val="Heading4"/>
    <w:uiPriority w:val="9"/>
    <w:semiHidden/>
    <w:rsid w:val="00E6695B"/>
    <w:rPr>
      <w:rFonts w:asciiTheme="majorHAnsi" w:eastAsiaTheme="majorEastAsia" w:hAnsiTheme="majorHAnsi" w:cstheme="majorBidi"/>
      <w:i/>
      <w:iCs/>
      <w:color w:val="2F5496" w:themeColor="accent1" w:themeShade="BF"/>
      <w:kern w:val="0"/>
      <w:sz w:val="24"/>
      <w:lang w:val="en-GB"/>
      <w14:ligatures w14:val="none"/>
    </w:rPr>
  </w:style>
  <w:style w:type="character" w:customStyle="1" w:styleId="Heading2Char">
    <w:name w:val="Heading 2 Char"/>
    <w:basedOn w:val="DefaultParagraphFont"/>
    <w:link w:val="Heading2"/>
    <w:uiPriority w:val="9"/>
    <w:semiHidden/>
    <w:rsid w:val="001E3DFF"/>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602079886">
      <w:bodyDiv w:val="1"/>
      <w:marLeft w:val="0"/>
      <w:marRight w:val="0"/>
      <w:marTop w:val="0"/>
      <w:marBottom w:val="0"/>
      <w:divBdr>
        <w:top w:val="none" w:sz="0" w:space="0" w:color="auto"/>
        <w:left w:val="none" w:sz="0" w:space="0" w:color="auto"/>
        <w:bottom w:val="none" w:sz="0" w:space="0" w:color="auto"/>
        <w:right w:val="none" w:sz="0" w:space="0" w:color="auto"/>
      </w:divBdr>
    </w:div>
    <w:div w:id="691034047">
      <w:bodyDiv w:val="1"/>
      <w:marLeft w:val="0"/>
      <w:marRight w:val="0"/>
      <w:marTop w:val="0"/>
      <w:marBottom w:val="0"/>
      <w:divBdr>
        <w:top w:val="none" w:sz="0" w:space="0" w:color="auto"/>
        <w:left w:val="none" w:sz="0" w:space="0" w:color="auto"/>
        <w:bottom w:val="none" w:sz="0" w:space="0" w:color="auto"/>
        <w:right w:val="none" w:sz="0" w:space="0" w:color="auto"/>
      </w:divBdr>
    </w:div>
    <w:div w:id="719981385">
      <w:bodyDiv w:val="1"/>
      <w:marLeft w:val="0"/>
      <w:marRight w:val="0"/>
      <w:marTop w:val="0"/>
      <w:marBottom w:val="0"/>
      <w:divBdr>
        <w:top w:val="none" w:sz="0" w:space="0" w:color="auto"/>
        <w:left w:val="none" w:sz="0" w:space="0" w:color="auto"/>
        <w:bottom w:val="none" w:sz="0" w:space="0" w:color="auto"/>
        <w:right w:val="none" w:sz="0" w:space="0" w:color="auto"/>
      </w:divBdr>
    </w:div>
    <w:div w:id="731663802">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440836462">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8329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E675-7540-42F4-8B34-93C47885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3</cp:revision>
  <dcterms:created xsi:type="dcterms:W3CDTF">2023-11-24T05:48:00Z</dcterms:created>
  <dcterms:modified xsi:type="dcterms:W3CDTF">2023-11-24T17:42:00Z</dcterms:modified>
</cp:coreProperties>
</file>