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1EEE8" w14:textId="77777777" w:rsidR="008906F4" w:rsidRPr="008906F4" w:rsidRDefault="008906F4" w:rsidP="009D710B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8906F4">
        <w:rPr>
          <w:b/>
          <w:sz w:val="26"/>
          <w:szCs w:val="26"/>
        </w:rPr>
        <w:t>REPUBLIC OF SOUTH AFRICA</w:t>
      </w:r>
    </w:p>
    <w:p w14:paraId="452CDF04" w14:textId="77777777" w:rsidR="008906F4" w:rsidRDefault="008906F4" w:rsidP="009D710B">
      <w:pPr>
        <w:spacing w:after="0" w:line="240" w:lineRule="auto"/>
        <w:jc w:val="center"/>
        <w:rPr>
          <w:b/>
          <w:sz w:val="26"/>
          <w:szCs w:val="26"/>
        </w:rPr>
      </w:pPr>
    </w:p>
    <w:p w14:paraId="205715CA" w14:textId="5C070E20" w:rsidR="00BD6237" w:rsidRDefault="00BD6237" w:rsidP="00AF090B">
      <w:pPr>
        <w:spacing w:after="0" w:line="240" w:lineRule="auto"/>
        <w:jc w:val="center"/>
        <w:rPr>
          <w:b/>
          <w:sz w:val="26"/>
          <w:szCs w:val="26"/>
        </w:rPr>
      </w:pPr>
      <w:r>
        <w:rPr>
          <w:noProof/>
          <w:lang w:eastAsia="en-ZA"/>
        </w:rPr>
        <w:drawing>
          <wp:inline distT="0" distB="0" distL="0" distR="0" wp14:anchorId="0E109D9D" wp14:editId="2E7B51D3">
            <wp:extent cx="1352550" cy="1019175"/>
            <wp:effectExtent l="0" t="0" r="0" b="9525"/>
            <wp:docPr id="2" name="Picture 2" descr="Description: cid:image001.png@01D076AF.8E67B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cid:image001.png@01D076AF.8E67B52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5C548" w14:textId="77777777" w:rsidR="008906F4" w:rsidRDefault="008906F4" w:rsidP="00AF090B">
      <w:pPr>
        <w:spacing w:after="0" w:line="240" w:lineRule="auto"/>
        <w:jc w:val="center"/>
        <w:rPr>
          <w:b/>
          <w:sz w:val="26"/>
          <w:szCs w:val="26"/>
        </w:rPr>
      </w:pPr>
    </w:p>
    <w:p w14:paraId="513BAFD3" w14:textId="4DD5DB9E" w:rsidR="0031154F" w:rsidRDefault="00AF090B" w:rsidP="00AF090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 THE HIGH COURT OF SOUTH AFRICA</w:t>
      </w:r>
    </w:p>
    <w:p w14:paraId="0247D657" w14:textId="2D9FD0FC" w:rsidR="00AF090B" w:rsidRDefault="00AF090B" w:rsidP="00637DE0">
      <w:pPr>
        <w:spacing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GAUTENG LOCAL DIVISION, JOHANNESBURG</w:t>
      </w:r>
    </w:p>
    <w:p w14:paraId="25F5F92F" w14:textId="64A5AFD8" w:rsidR="006E1088" w:rsidRPr="006E1088" w:rsidRDefault="000F7E69" w:rsidP="006E1088">
      <w:pPr>
        <w:spacing w:after="0" w:line="24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="006E1088" w:rsidRPr="006E1088">
        <w:rPr>
          <w:b/>
          <w:sz w:val="26"/>
          <w:szCs w:val="26"/>
        </w:rPr>
        <w:t xml:space="preserve">ASE NO:  </w:t>
      </w:r>
      <w:r w:rsidR="000E4A53">
        <w:rPr>
          <w:b/>
          <w:sz w:val="26"/>
          <w:szCs w:val="26"/>
        </w:rPr>
        <w:t>2020/23294</w:t>
      </w:r>
    </w:p>
    <w:p w14:paraId="1F7542A6" w14:textId="5BFF99DA" w:rsidR="00AF090B" w:rsidRDefault="00AF090B" w:rsidP="006E1088">
      <w:pPr>
        <w:spacing w:line="240" w:lineRule="auto"/>
        <w:jc w:val="right"/>
        <w:rPr>
          <w:sz w:val="26"/>
          <w:szCs w:val="26"/>
        </w:rPr>
      </w:pPr>
    </w:p>
    <w:tbl>
      <w:tblPr>
        <w:tblStyle w:val="TableGrid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977"/>
        <w:gridCol w:w="2110"/>
        <w:gridCol w:w="31"/>
      </w:tblGrid>
      <w:tr w:rsidR="003800C4" w14:paraId="39714E44" w14:textId="77777777" w:rsidTr="00F62EA4">
        <w:trPr>
          <w:gridAfter w:val="1"/>
          <w:wAfter w:w="31" w:type="dxa"/>
          <w:trHeight w:val="20"/>
        </w:trPr>
        <w:tc>
          <w:tcPr>
            <w:tcW w:w="7078" w:type="dxa"/>
            <w:gridSpan w:val="2"/>
          </w:tcPr>
          <w:p w14:paraId="4087A5F4" w14:textId="77777777" w:rsidR="003800C4" w:rsidRDefault="003800C4" w:rsidP="00AF090B">
            <w:pPr>
              <w:rPr>
                <w:sz w:val="26"/>
                <w:szCs w:val="26"/>
              </w:rPr>
            </w:pPr>
          </w:p>
        </w:tc>
        <w:tc>
          <w:tcPr>
            <w:tcW w:w="2110" w:type="dxa"/>
          </w:tcPr>
          <w:p w14:paraId="5D94F3D3" w14:textId="77777777" w:rsidR="003800C4" w:rsidRDefault="003800C4" w:rsidP="003943A1">
            <w:pPr>
              <w:jc w:val="right"/>
              <w:rPr>
                <w:sz w:val="26"/>
                <w:szCs w:val="26"/>
              </w:rPr>
            </w:pPr>
          </w:p>
          <w:p w14:paraId="2EF64993" w14:textId="7B0A84C8" w:rsidR="00122A1A" w:rsidRDefault="00122A1A" w:rsidP="003943A1">
            <w:pPr>
              <w:jc w:val="right"/>
              <w:rPr>
                <w:sz w:val="26"/>
                <w:szCs w:val="26"/>
              </w:rPr>
            </w:pPr>
          </w:p>
        </w:tc>
      </w:tr>
      <w:tr w:rsidR="002146DE" w14:paraId="6C17C19F" w14:textId="77777777" w:rsidTr="00F62EA4">
        <w:trPr>
          <w:gridAfter w:val="1"/>
          <w:wAfter w:w="31" w:type="dxa"/>
          <w:trHeight w:val="826"/>
        </w:trPr>
        <w:tc>
          <w:tcPr>
            <w:tcW w:w="7078" w:type="dxa"/>
            <w:gridSpan w:val="2"/>
          </w:tcPr>
          <w:p w14:paraId="26903488" w14:textId="5CB4D608" w:rsidR="002146DE" w:rsidRDefault="00013D27" w:rsidP="00AF090B">
            <w:pPr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en-ZA"/>
              </w:rPr>
              <w:drawing>
                <wp:inline distT="0" distB="0" distL="0" distR="0" wp14:anchorId="2083E220" wp14:editId="7E86AAB5">
                  <wp:extent cx="2614295" cy="908635"/>
                  <wp:effectExtent l="0" t="0" r="0" b="6350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295" cy="908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22A1A" w:rsidRPr="00B46AC7">
              <w:rPr>
                <w:noProof/>
                <w:sz w:val="26"/>
                <w:szCs w:val="2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C85EDA" wp14:editId="69ABE38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-127635</wp:posOffset>
                      </wp:positionV>
                      <wp:extent cx="2809875" cy="13430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67C656" w14:textId="26DAF397" w:rsidR="00C23151" w:rsidRPr="00790F96" w:rsidRDefault="00A055B6" w:rsidP="00A055B6">
                                  <w:pPr>
                                    <w:spacing w:line="240" w:lineRule="auto"/>
                                    <w:ind w:left="567" w:hanging="567"/>
                                    <w:jc w:val="left"/>
                                  </w:pPr>
                                  <w:r w:rsidRPr="00790F96">
                                    <w:t>(1)</w:t>
                                  </w:r>
                                  <w:r w:rsidRPr="00790F96">
                                    <w:tab/>
                                  </w:r>
                                  <w:r w:rsidR="00C23151" w:rsidRPr="00790F96">
                                    <w:t>REPORTABLE:</w:t>
                                  </w:r>
                                  <w:r w:rsidR="00C23151" w:rsidRPr="00A055B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C23151" w:rsidRPr="00831C60">
                                    <w:t>NO</w:t>
                                  </w:r>
                                </w:p>
                                <w:p w14:paraId="48309B92" w14:textId="0409A29C" w:rsidR="00C23151" w:rsidRDefault="00A055B6" w:rsidP="00A055B6">
                                  <w:pPr>
                                    <w:spacing w:line="240" w:lineRule="auto"/>
                                    <w:ind w:left="567" w:hanging="567"/>
                                    <w:jc w:val="left"/>
                                  </w:pPr>
                                  <w:r>
                                    <w:t>(2)</w:t>
                                  </w:r>
                                  <w:r>
                                    <w:tab/>
                                  </w:r>
                                  <w:r w:rsidR="00C23151" w:rsidRPr="00790F96">
                                    <w:t>OF INTEREST TO OTHER JUDGES:</w:t>
                                  </w:r>
                                  <w:r w:rsidR="00C23151">
                                    <w:t xml:space="preserve"> </w:t>
                                  </w:r>
                                  <w:r w:rsidR="00C23151" w:rsidRPr="00831C60">
                                    <w:t>NO</w:t>
                                  </w:r>
                                </w:p>
                                <w:p w14:paraId="0BCD1113" w14:textId="6B6E0FA3" w:rsidR="00C23151" w:rsidRDefault="00A055B6" w:rsidP="00A055B6">
                                  <w:pPr>
                                    <w:spacing w:line="240" w:lineRule="auto"/>
                                    <w:ind w:left="567" w:hanging="567"/>
                                    <w:jc w:val="left"/>
                                  </w:pPr>
                                  <w:r>
                                    <w:t>(3)</w:t>
                                  </w:r>
                                  <w:r>
                                    <w:tab/>
                                  </w:r>
                                  <w:r w:rsidR="00C23151">
                                    <w:t>REVISED</w:t>
                                  </w:r>
                                </w:p>
                                <w:p w14:paraId="5514C1FE" w14:textId="77777777" w:rsidR="00C23151" w:rsidRDefault="00C23151" w:rsidP="00C23151">
                                  <w:pPr>
                                    <w:spacing w:after="0" w:line="240" w:lineRule="auto"/>
                                    <w:jc w:val="left"/>
                                  </w:pPr>
                                  <w:r>
                                    <w:t>…………………………</w:t>
                                  </w:r>
                                  <w:r>
                                    <w:tab/>
                                    <w:t xml:space="preserve">          ……………………………….</w:t>
                                  </w:r>
                                </w:p>
                                <w:p w14:paraId="1863210A" w14:textId="77777777" w:rsidR="00C23151" w:rsidRPr="00790F96" w:rsidRDefault="00C23151" w:rsidP="00C23151">
                                  <w:pPr>
                                    <w:spacing w:line="240" w:lineRule="auto"/>
                                    <w:jc w:val="left"/>
                                  </w:pPr>
                                  <w:r>
                                    <w:t xml:space="preserve">DATE                     </w:t>
                                  </w:r>
                                  <w:r>
                                    <w:tab/>
                                    <w:t xml:space="preserve">           SIGNATURE</w:t>
                                  </w:r>
                                </w:p>
                                <w:p w14:paraId="18F82FE4" w14:textId="30BEBD0F" w:rsidR="00122A1A" w:rsidRPr="00790F96" w:rsidRDefault="00122A1A" w:rsidP="00122A1A">
                                  <w:pPr>
                                    <w:spacing w:line="240" w:lineRule="auto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85EDA" id="Rectangle 3" o:spid="_x0000_s1026" style="position:absolute;left:0;text-align:left;margin-left:-.15pt;margin-top:-10.05pt;width:221.2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" fillcolor="window" strokecolor="#70ad47" strokeweight="1pt">
                      <v:textbox>
                        <w:txbxContent>
                          <w:p w14:paraId="2067C656" w14:textId="26DAF397" w:rsidR="00C23151" w:rsidRPr="00790F96" w:rsidRDefault="00A055B6" w:rsidP="00A055B6">
                            <w:pPr>
                              <w:spacing w:line="240" w:lineRule="auto"/>
                              <w:ind w:left="567" w:hanging="567"/>
                              <w:jc w:val="left"/>
                            </w:pPr>
                            <w:r w:rsidRPr="00790F96">
                              <w:t>(1)</w:t>
                            </w:r>
                            <w:r w:rsidRPr="00790F96">
                              <w:tab/>
                            </w:r>
                            <w:r w:rsidR="00C23151" w:rsidRPr="00790F96">
                              <w:t>REPORTABLE:</w:t>
                            </w:r>
                            <w:r w:rsidR="00C23151" w:rsidRPr="00A055B6">
                              <w:rPr>
                                <w:b/>
                              </w:rPr>
                              <w:t xml:space="preserve"> </w:t>
                            </w:r>
                            <w:r w:rsidR="00C23151" w:rsidRPr="00831C60">
                              <w:t>NO</w:t>
                            </w:r>
                          </w:p>
                          <w:p w14:paraId="48309B92" w14:textId="0409A29C" w:rsidR="00C23151" w:rsidRDefault="00A055B6" w:rsidP="00A055B6">
                            <w:pPr>
                              <w:spacing w:line="240" w:lineRule="auto"/>
                              <w:ind w:left="567" w:hanging="567"/>
                              <w:jc w:val="left"/>
                            </w:pPr>
                            <w:r>
                              <w:t>(2)</w:t>
                            </w:r>
                            <w:r>
                              <w:tab/>
                            </w:r>
                            <w:r w:rsidR="00C23151" w:rsidRPr="00790F96">
                              <w:t>OF INTEREST TO OTHER JUDGES:</w:t>
                            </w:r>
                            <w:r w:rsidR="00C23151">
                              <w:t xml:space="preserve"> </w:t>
                            </w:r>
                            <w:r w:rsidR="00C23151" w:rsidRPr="00831C60">
                              <w:t>NO</w:t>
                            </w:r>
                          </w:p>
                          <w:p w14:paraId="0BCD1113" w14:textId="6B6E0FA3" w:rsidR="00C23151" w:rsidRDefault="00A055B6" w:rsidP="00A055B6">
                            <w:pPr>
                              <w:spacing w:line="240" w:lineRule="auto"/>
                              <w:ind w:left="567" w:hanging="567"/>
                              <w:jc w:val="left"/>
                            </w:pPr>
                            <w:r>
                              <w:t>(3)</w:t>
                            </w:r>
                            <w:r>
                              <w:tab/>
                            </w:r>
                            <w:r w:rsidR="00C23151">
                              <w:t>REVISED</w:t>
                            </w:r>
                          </w:p>
                          <w:p w14:paraId="5514C1FE" w14:textId="77777777" w:rsidR="00C23151" w:rsidRDefault="00C23151" w:rsidP="00C23151">
                            <w:pPr>
                              <w:spacing w:after="0" w:line="240" w:lineRule="auto"/>
                              <w:jc w:val="left"/>
                            </w:pPr>
                            <w:r>
                              <w:t>…………………………</w:t>
                            </w:r>
                            <w:r>
                              <w:tab/>
                              <w:t xml:space="preserve">          ……………………………….</w:t>
                            </w:r>
                          </w:p>
                          <w:p w14:paraId="1863210A" w14:textId="77777777" w:rsidR="00C23151" w:rsidRPr="00790F96" w:rsidRDefault="00C23151" w:rsidP="00C23151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DATE                     </w:t>
                            </w:r>
                            <w:r>
                              <w:tab/>
                              <w:t xml:space="preserve">           SIGNATURE</w:t>
                            </w:r>
                          </w:p>
                          <w:p w14:paraId="18F82FE4" w14:textId="30BEBD0F" w:rsidR="00122A1A" w:rsidRPr="00790F96" w:rsidRDefault="00122A1A" w:rsidP="00122A1A">
                            <w:pPr>
                              <w:spacing w:line="240" w:lineRule="auto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10" w:type="dxa"/>
          </w:tcPr>
          <w:p w14:paraId="053C0EFD" w14:textId="77777777" w:rsidR="002146DE" w:rsidRDefault="002146DE" w:rsidP="003943A1">
            <w:pPr>
              <w:jc w:val="right"/>
              <w:rPr>
                <w:sz w:val="26"/>
                <w:szCs w:val="26"/>
              </w:rPr>
            </w:pPr>
          </w:p>
        </w:tc>
      </w:tr>
      <w:tr w:rsidR="003800C4" w14:paraId="173E32E0" w14:textId="77777777" w:rsidTr="00F62EA4">
        <w:trPr>
          <w:gridAfter w:val="1"/>
          <w:wAfter w:w="31" w:type="dxa"/>
          <w:trHeight w:val="567"/>
        </w:trPr>
        <w:tc>
          <w:tcPr>
            <w:tcW w:w="7078" w:type="dxa"/>
            <w:gridSpan w:val="2"/>
          </w:tcPr>
          <w:p w14:paraId="157C5901" w14:textId="77777777" w:rsidR="00D62F57" w:rsidRDefault="00D62F57" w:rsidP="00AF090B">
            <w:pPr>
              <w:rPr>
                <w:sz w:val="26"/>
                <w:szCs w:val="26"/>
              </w:rPr>
            </w:pPr>
          </w:p>
          <w:p w14:paraId="6A1FC2E1" w14:textId="77777777" w:rsidR="00D62F57" w:rsidRDefault="00D62F57" w:rsidP="00AF090B">
            <w:pPr>
              <w:rPr>
                <w:sz w:val="26"/>
                <w:szCs w:val="26"/>
              </w:rPr>
            </w:pPr>
          </w:p>
          <w:p w14:paraId="79CF74BB" w14:textId="77777777" w:rsidR="00122A1A" w:rsidRDefault="00122A1A" w:rsidP="006E1088">
            <w:pPr>
              <w:spacing w:line="480" w:lineRule="auto"/>
              <w:rPr>
                <w:sz w:val="26"/>
                <w:szCs w:val="26"/>
              </w:rPr>
            </w:pPr>
          </w:p>
          <w:p w14:paraId="13BE833D" w14:textId="26BE2F62" w:rsidR="003800C4" w:rsidRDefault="00453A82" w:rsidP="006E1088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the matter of:</w:t>
            </w:r>
          </w:p>
        </w:tc>
        <w:tc>
          <w:tcPr>
            <w:tcW w:w="2110" w:type="dxa"/>
          </w:tcPr>
          <w:p w14:paraId="56596970" w14:textId="77777777" w:rsidR="003800C4" w:rsidRDefault="003800C4" w:rsidP="003943A1">
            <w:pPr>
              <w:jc w:val="right"/>
              <w:rPr>
                <w:sz w:val="26"/>
                <w:szCs w:val="26"/>
              </w:rPr>
            </w:pPr>
          </w:p>
          <w:p w14:paraId="04246FA1" w14:textId="77777777" w:rsidR="00122A1A" w:rsidRDefault="00122A1A" w:rsidP="003943A1">
            <w:pPr>
              <w:jc w:val="right"/>
              <w:rPr>
                <w:sz w:val="26"/>
                <w:szCs w:val="26"/>
              </w:rPr>
            </w:pPr>
          </w:p>
          <w:p w14:paraId="0EBD8258" w14:textId="21C5E450" w:rsidR="00122A1A" w:rsidRDefault="00122A1A" w:rsidP="00122A1A">
            <w:pPr>
              <w:rPr>
                <w:sz w:val="26"/>
                <w:szCs w:val="26"/>
              </w:rPr>
            </w:pPr>
          </w:p>
        </w:tc>
      </w:tr>
      <w:tr w:rsidR="00774574" w14:paraId="173A52C6" w14:textId="77777777" w:rsidTr="00F62EA4">
        <w:trPr>
          <w:gridAfter w:val="1"/>
          <w:wAfter w:w="31" w:type="dxa"/>
          <w:trHeight w:val="439"/>
        </w:trPr>
        <w:tc>
          <w:tcPr>
            <w:tcW w:w="7078" w:type="dxa"/>
            <w:gridSpan w:val="2"/>
          </w:tcPr>
          <w:p w14:paraId="4F58773C" w14:textId="609DD2A1" w:rsidR="00774574" w:rsidRDefault="000E4A53" w:rsidP="007745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SUHAIL ESSACK</w:t>
            </w:r>
          </w:p>
        </w:tc>
        <w:tc>
          <w:tcPr>
            <w:tcW w:w="2110" w:type="dxa"/>
          </w:tcPr>
          <w:p w14:paraId="0FE31F74" w14:textId="5F3A94FF" w:rsidR="00774574" w:rsidRDefault="00774574" w:rsidP="007745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First </w:t>
            </w:r>
            <w:r w:rsidR="00D90AE2">
              <w:rPr>
                <w:sz w:val="26"/>
                <w:szCs w:val="26"/>
              </w:rPr>
              <w:t xml:space="preserve">Plaintiff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74574" w14:paraId="17FF8883" w14:textId="77777777" w:rsidTr="00F62EA4">
        <w:trPr>
          <w:gridAfter w:val="1"/>
          <w:wAfter w:w="31" w:type="dxa"/>
          <w:trHeight w:val="709"/>
        </w:trPr>
        <w:tc>
          <w:tcPr>
            <w:tcW w:w="7078" w:type="dxa"/>
            <w:gridSpan w:val="2"/>
          </w:tcPr>
          <w:p w14:paraId="224B8710" w14:textId="4217F751" w:rsidR="00774574" w:rsidRDefault="000E4A53" w:rsidP="0077457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NASEERA CASSIM</w:t>
            </w:r>
          </w:p>
        </w:tc>
        <w:tc>
          <w:tcPr>
            <w:tcW w:w="2110" w:type="dxa"/>
          </w:tcPr>
          <w:p w14:paraId="46892FE7" w14:textId="1B32D19F" w:rsidR="00774574" w:rsidRDefault="00774574" w:rsidP="007745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Second </w:t>
            </w:r>
            <w:r w:rsidR="00021E58">
              <w:rPr>
                <w:sz w:val="26"/>
                <w:szCs w:val="26"/>
              </w:rPr>
              <w:t xml:space="preserve">Plaintiff </w:t>
            </w:r>
          </w:p>
        </w:tc>
      </w:tr>
      <w:tr w:rsidR="00774574" w14:paraId="159F5576" w14:textId="77777777" w:rsidTr="00F62EA4">
        <w:trPr>
          <w:gridAfter w:val="1"/>
          <w:wAfter w:w="31" w:type="dxa"/>
          <w:trHeight w:val="712"/>
        </w:trPr>
        <w:tc>
          <w:tcPr>
            <w:tcW w:w="7078" w:type="dxa"/>
            <w:gridSpan w:val="2"/>
          </w:tcPr>
          <w:p w14:paraId="0A9BA4D0" w14:textId="0CB6AACA" w:rsidR="00774574" w:rsidRPr="00D03C5E" w:rsidRDefault="00BB04BE" w:rsidP="007745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774574">
              <w:rPr>
                <w:sz w:val="26"/>
                <w:szCs w:val="26"/>
              </w:rPr>
              <w:t>nd</w:t>
            </w:r>
          </w:p>
        </w:tc>
        <w:tc>
          <w:tcPr>
            <w:tcW w:w="2110" w:type="dxa"/>
          </w:tcPr>
          <w:p w14:paraId="100E74B1" w14:textId="77777777" w:rsidR="00774574" w:rsidRDefault="00774574" w:rsidP="00774574">
            <w:pPr>
              <w:jc w:val="right"/>
              <w:rPr>
                <w:sz w:val="26"/>
                <w:szCs w:val="26"/>
              </w:rPr>
            </w:pPr>
          </w:p>
        </w:tc>
      </w:tr>
      <w:tr w:rsidR="00DC51FF" w14:paraId="2DCA910A" w14:textId="77777777" w:rsidTr="00F62EA4">
        <w:trPr>
          <w:trHeight w:val="541"/>
        </w:trPr>
        <w:tc>
          <w:tcPr>
            <w:tcW w:w="6101" w:type="dxa"/>
          </w:tcPr>
          <w:p w14:paraId="622681E3" w14:textId="225A626E" w:rsidR="00DC51FF" w:rsidRPr="00DC51FF" w:rsidRDefault="000E4A53" w:rsidP="00E270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SUN INTERNATIONAL SOUTH AFRICA (PTY</w:t>
            </w:r>
            <w:r w:rsidR="00634C41">
              <w:rPr>
                <w:b/>
                <w:sz w:val="26"/>
                <w:szCs w:val="26"/>
              </w:rPr>
              <w:t>) LTD</w:t>
            </w:r>
          </w:p>
        </w:tc>
        <w:tc>
          <w:tcPr>
            <w:tcW w:w="3118" w:type="dxa"/>
            <w:gridSpan w:val="3"/>
          </w:tcPr>
          <w:p w14:paraId="7A51C39E" w14:textId="6B386BBE" w:rsidR="00DC51FF" w:rsidRDefault="00DC51FF" w:rsidP="00DC51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Defendant</w:t>
            </w:r>
          </w:p>
        </w:tc>
      </w:tr>
      <w:tr w:rsidR="00DC51FF" w14:paraId="16B215E7" w14:textId="77777777" w:rsidTr="00F62EA4">
        <w:trPr>
          <w:trHeight w:val="600"/>
        </w:trPr>
        <w:tc>
          <w:tcPr>
            <w:tcW w:w="6101" w:type="dxa"/>
          </w:tcPr>
          <w:p w14:paraId="04D2CFC4" w14:textId="24D0405B" w:rsidR="00DC51FF" w:rsidRDefault="00634C41" w:rsidP="00E270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NORTH WEST GAMBLING BOARD</w:t>
            </w:r>
            <w:r w:rsidR="00021E5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gridSpan w:val="3"/>
          </w:tcPr>
          <w:p w14:paraId="26794E00" w14:textId="091169AB" w:rsidR="00DC51FF" w:rsidRDefault="00DC51FF" w:rsidP="00DC51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Second Defendant</w:t>
            </w:r>
          </w:p>
        </w:tc>
      </w:tr>
      <w:tr w:rsidR="00634C41" w14:paraId="58530248" w14:textId="77777777" w:rsidTr="00F62EA4">
        <w:tc>
          <w:tcPr>
            <w:tcW w:w="6101" w:type="dxa"/>
          </w:tcPr>
          <w:p w14:paraId="533AB739" w14:textId="3E02C11F" w:rsidR="00634C41" w:rsidRDefault="00B950FB" w:rsidP="00E270D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NATIONAL GAMBLING BOARD</w:t>
            </w:r>
          </w:p>
        </w:tc>
        <w:tc>
          <w:tcPr>
            <w:tcW w:w="3118" w:type="dxa"/>
            <w:gridSpan w:val="3"/>
          </w:tcPr>
          <w:p w14:paraId="4C2DCDB6" w14:textId="77777777" w:rsidR="00634C41" w:rsidRDefault="00B950FB" w:rsidP="00DC51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Third Defendant</w:t>
            </w:r>
          </w:p>
          <w:p w14:paraId="0E93D4AF" w14:textId="45183172" w:rsidR="00B950FB" w:rsidRDefault="00B950FB" w:rsidP="00DC51FF">
            <w:pPr>
              <w:jc w:val="right"/>
              <w:rPr>
                <w:sz w:val="26"/>
                <w:szCs w:val="26"/>
              </w:rPr>
            </w:pPr>
          </w:p>
        </w:tc>
      </w:tr>
    </w:tbl>
    <w:p w14:paraId="22822D57" w14:textId="77123613" w:rsidR="002979D9" w:rsidRDefault="009F33C9" w:rsidP="002979D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pict w14:anchorId="10B15E15">
          <v:rect id="_x0000_i1025" style="width:0;height:1.5pt" o:hralign="center" o:hrstd="t" o:hr="t" fillcolor="#a0a0a0" stroked="f"/>
        </w:pict>
      </w:r>
    </w:p>
    <w:p w14:paraId="389970D2" w14:textId="7E75BBC5" w:rsidR="008348DA" w:rsidRDefault="008348DA" w:rsidP="002979D9">
      <w:pPr>
        <w:spacing w:after="0" w:line="240" w:lineRule="auto"/>
        <w:rPr>
          <w:b/>
          <w:sz w:val="26"/>
          <w:szCs w:val="26"/>
        </w:rPr>
      </w:pPr>
    </w:p>
    <w:p w14:paraId="05B1797E" w14:textId="26950B8F" w:rsidR="002979D9" w:rsidRDefault="002979D9" w:rsidP="002979D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JUDGMENT</w:t>
      </w:r>
    </w:p>
    <w:p w14:paraId="5B7F9BBF" w14:textId="1A48A166" w:rsidR="002979D9" w:rsidRDefault="009F33C9" w:rsidP="002979D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pict w14:anchorId="1483AB20">
          <v:rect id="_x0000_i1026" style="width:0;height:1.5pt" o:hralign="center" o:hrstd="t" o:hr="t" fillcolor="#a0a0a0" stroked="f"/>
        </w:pict>
      </w:r>
    </w:p>
    <w:p w14:paraId="3EE939E7" w14:textId="0112147B" w:rsidR="002979D9" w:rsidRDefault="002979D9" w:rsidP="002979D9">
      <w:pPr>
        <w:spacing w:after="0" w:line="240" w:lineRule="auto"/>
        <w:rPr>
          <w:sz w:val="26"/>
          <w:szCs w:val="26"/>
        </w:rPr>
      </w:pPr>
    </w:p>
    <w:p w14:paraId="2DA86B1B" w14:textId="2A448AF3" w:rsidR="002979D9" w:rsidRPr="007E201B" w:rsidRDefault="007E201B" w:rsidP="00271C78">
      <w:pPr>
        <w:tabs>
          <w:tab w:val="left" w:pos="851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BESTER AJ</w:t>
      </w:r>
    </w:p>
    <w:p w14:paraId="293BE6C7" w14:textId="19FE70D0" w:rsidR="008B76C1" w:rsidRPr="00A055B6" w:rsidRDefault="00A055B6" w:rsidP="00A055B6">
      <w:pPr>
        <w:tabs>
          <w:tab w:val="left" w:pos="851"/>
        </w:tabs>
        <w:ind w:left="851" w:hanging="851"/>
        <w:rPr>
          <w:sz w:val="26"/>
          <w:szCs w:val="26"/>
        </w:rPr>
      </w:pPr>
      <w:r>
        <w:rPr>
          <w:sz w:val="26"/>
          <w:szCs w:val="26"/>
        </w:rPr>
        <w:t>[1]</w:t>
      </w:r>
      <w:r>
        <w:rPr>
          <w:sz w:val="26"/>
          <w:szCs w:val="26"/>
        </w:rPr>
        <w:tab/>
      </w:r>
      <w:r w:rsidR="00533258" w:rsidRPr="00A055B6">
        <w:rPr>
          <w:sz w:val="26"/>
          <w:szCs w:val="26"/>
        </w:rPr>
        <w:t>The plaintiffs sue</w:t>
      </w:r>
      <w:r w:rsidR="00280E15" w:rsidRPr="00A055B6">
        <w:rPr>
          <w:sz w:val="26"/>
          <w:szCs w:val="26"/>
        </w:rPr>
        <w:t>d</w:t>
      </w:r>
      <w:r w:rsidR="00533258" w:rsidRPr="00A055B6">
        <w:rPr>
          <w:sz w:val="26"/>
          <w:szCs w:val="26"/>
        </w:rPr>
        <w:t xml:space="preserve"> the first defendant for losses incurred by the </w:t>
      </w:r>
      <w:r w:rsidR="00EF3D78" w:rsidRPr="00A055B6">
        <w:rPr>
          <w:sz w:val="26"/>
          <w:szCs w:val="26"/>
        </w:rPr>
        <w:t xml:space="preserve">first </w:t>
      </w:r>
      <w:r w:rsidR="00BB11E3" w:rsidRPr="00A055B6">
        <w:rPr>
          <w:sz w:val="26"/>
          <w:szCs w:val="26"/>
        </w:rPr>
        <w:t xml:space="preserve">plaintiff </w:t>
      </w:r>
      <w:r w:rsidR="00EF3D78" w:rsidRPr="00A055B6">
        <w:rPr>
          <w:sz w:val="26"/>
          <w:szCs w:val="26"/>
        </w:rPr>
        <w:t xml:space="preserve">gambling at Sun City, a casino owned by the first defendant.  </w:t>
      </w:r>
      <w:r w:rsidR="00902EFD" w:rsidRPr="00A055B6">
        <w:rPr>
          <w:sz w:val="26"/>
          <w:szCs w:val="26"/>
        </w:rPr>
        <w:t xml:space="preserve">The first defendant delivered an exception to the </w:t>
      </w:r>
      <w:r w:rsidR="000354B2" w:rsidRPr="00A055B6">
        <w:rPr>
          <w:sz w:val="26"/>
          <w:szCs w:val="26"/>
        </w:rPr>
        <w:t xml:space="preserve">amended </w:t>
      </w:r>
      <w:r w:rsidR="00902EFD" w:rsidRPr="00A055B6">
        <w:rPr>
          <w:sz w:val="26"/>
          <w:szCs w:val="26"/>
        </w:rPr>
        <w:t xml:space="preserve">particulars of claim.  </w:t>
      </w:r>
    </w:p>
    <w:p w14:paraId="0B7F6A01" w14:textId="52565106" w:rsidR="00FE06C2" w:rsidRPr="00A055B6" w:rsidRDefault="00A055B6" w:rsidP="00A055B6">
      <w:pPr>
        <w:tabs>
          <w:tab w:val="left" w:pos="851"/>
        </w:tabs>
        <w:ind w:left="851" w:hanging="851"/>
        <w:rPr>
          <w:sz w:val="26"/>
          <w:szCs w:val="26"/>
        </w:rPr>
      </w:pPr>
      <w:r>
        <w:rPr>
          <w:sz w:val="26"/>
          <w:szCs w:val="26"/>
        </w:rPr>
        <w:t>[2]</w:t>
      </w:r>
      <w:r>
        <w:rPr>
          <w:sz w:val="26"/>
          <w:szCs w:val="26"/>
        </w:rPr>
        <w:tab/>
      </w:r>
      <w:r w:rsidR="00FE06C2" w:rsidRPr="00A055B6">
        <w:rPr>
          <w:sz w:val="26"/>
          <w:szCs w:val="26"/>
        </w:rPr>
        <w:t>In a judgment dated 24 May 2022</w:t>
      </w:r>
      <w:r w:rsidR="00280E15" w:rsidRPr="00A055B6">
        <w:rPr>
          <w:sz w:val="26"/>
          <w:szCs w:val="26"/>
        </w:rPr>
        <w:t>,</w:t>
      </w:r>
      <w:r w:rsidR="00FE06C2" w:rsidRPr="00A055B6">
        <w:rPr>
          <w:sz w:val="26"/>
          <w:szCs w:val="26"/>
        </w:rPr>
        <w:t xml:space="preserve"> I upheld the exception.  </w:t>
      </w:r>
      <w:r w:rsidR="00D94087" w:rsidRPr="00A055B6">
        <w:rPr>
          <w:sz w:val="26"/>
          <w:szCs w:val="26"/>
        </w:rPr>
        <w:t xml:space="preserve">Pursuant thereto, the plaintiffs delivered an application for leave to appeal.  At the hearing of that </w:t>
      </w:r>
      <w:r w:rsidR="00A61B9F" w:rsidRPr="00A055B6">
        <w:rPr>
          <w:sz w:val="26"/>
          <w:szCs w:val="26"/>
        </w:rPr>
        <w:t xml:space="preserve">application, Mr Pincus SC informed me that the second plaintiff </w:t>
      </w:r>
      <w:r w:rsidR="00280E15" w:rsidRPr="00A055B6">
        <w:rPr>
          <w:sz w:val="26"/>
          <w:szCs w:val="26"/>
        </w:rPr>
        <w:t xml:space="preserve">had </w:t>
      </w:r>
      <w:r w:rsidR="00A61B9F" w:rsidRPr="00A055B6">
        <w:rPr>
          <w:sz w:val="26"/>
          <w:szCs w:val="26"/>
        </w:rPr>
        <w:t>withdraw</w:t>
      </w:r>
      <w:r w:rsidR="00280E15" w:rsidRPr="00A055B6">
        <w:rPr>
          <w:sz w:val="26"/>
          <w:szCs w:val="26"/>
        </w:rPr>
        <w:t>n</w:t>
      </w:r>
      <w:r w:rsidR="00A61B9F" w:rsidRPr="00A055B6">
        <w:rPr>
          <w:sz w:val="26"/>
          <w:szCs w:val="26"/>
        </w:rPr>
        <w:t xml:space="preserve"> her application for leave to appeal and </w:t>
      </w:r>
      <w:r w:rsidR="00280E15" w:rsidRPr="00A055B6">
        <w:rPr>
          <w:sz w:val="26"/>
          <w:szCs w:val="26"/>
        </w:rPr>
        <w:t>tendered the wasted costs.  Thus,</w:t>
      </w:r>
      <w:r w:rsidR="00A61B9F" w:rsidRPr="00A055B6">
        <w:rPr>
          <w:sz w:val="26"/>
          <w:szCs w:val="26"/>
        </w:rPr>
        <w:t xml:space="preserve"> only the first plaintiff persists with the application.  </w:t>
      </w:r>
    </w:p>
    <w:p w14:paraId="337A6B60" w14:textId="6996BC50" w:rsidR="002C498F" w:rsidRPr="00A055B6" w:rsidRDefault="00A055B6" w:rsidP="00A055B6">
      <w:pPr>
        <w:tabs>
          <w:tab w:val="left" w:pos="851"/>
        </w:tabs>
        <w:ind w:left="851" w:hanging="851"/>
        <w:rPr>
          <w:sz w:val="26"/>
          <w:szCs w:val="26"/>
        </w:rPr>
      </w:pPr>
      <w:r>
        <w:rPr>
          <w:sz w:val="26"/>
          <w:szCs w:val="26"/>
        </w:rPr>
        <w:t>[3]</w:t>
      </w:r>
      <w:r>
        <w:rPr>
          <w:sz w:val="26"/>
          <w:szCs w:val="26"/>
        </w:rPr>
        <w:tab/>
      </w:r>
      <w:r w:rsidR="002C498F" w:rsidRPr="00A055B6">
        <w:rPr>
          <w:sz w:val="26"/>
          <w:szCs w:val="26"/>
        </w:rPr>
        <w:t xml:space="preserve">The first plaintiff </w:t>
      </w:r>
      <w:r w:rsidR="00280E15" w:rsidRPr="00A055B6">
        <w:rPr>
          <w:sz w:val="26"/>
          <w:szCs w:val="26"/>
        </w:rPr>
        <w:t>seeks</w:t>
      </w:r>
      <w:r w:rsidR="002C498F" w:rsidRPr="00A055B6">
        <w:rPr>
          <w:sz w:val="26"/>
          <w:szCs w:val="26"/>
        </w:rPr>
        <w:t xml:space="preserve"> leave to appeal both on the basis that the appeal would have a reasonable prospect of success,</w:t>
      </w:r>
      <w:r w:rsidR="002C498F">
        <w:rPr>
          <w:rStyle w:val="FootnoteReference"/>
          <w:sz w:val="26"/>
          <w:szCs w:val="26"/>
        </w:rPr>
        <w:footnoteReference w:id="2"/>
      </w:r>
      <w:r w:rsidR="002C498F" w:rsidRPr="00A055B6">
        <w:rPr>
          <w:sz w:val="26"/>
          <w:szCs w:val="26"/>
        </w:rPr>
        <w:t xml:space="preserve"> </w:t>
      </w:r>
      <w:r w:rsidR="00C65736" w:rsidRPr="00A055B6">
        <w:rPr>
          <w:sz w:val="26"/>
          <w:szCs w:val="26"/>
        </w:rPr>
        <w:t>and that there is some other compelling reason why the appeal should be heard.</w:t>
      </w:r>
      <w:r w:rsidR="00C65736">
        <w:rPr>
          <w:rStyle w:val="FootnoteReference"/>
          <w:sz w:val="26"/>
          <w:szCs w:val="26"/>
        </w:rPr>
        <w:footnoteReference w:id="3"/>
      </w:r>
    </w:p>
    <w:p w14:paraId="6A99EB69" w14:textId="4E49CB85" w:rsidR="00B92F1C" w:rsidRPr="00A055B6" w:rsidRDefault="00A055B6" w:rsidP="00A055B6">
      <w:pPr>
        <w:tabs>
          <w:tab w:val="left" w:pos="851"/>
        </w:tabs>
        <w:ind w:left="851" w:hanging="851"/>
        <w:rPr>
          <w:sz w:val="26"/>
          <w:szCs w:val="26"/>
        </w:rPr>
      </w:pPr>
      <w:r>
        <w:rPr>
          <w:sz w:val="26"/>
          <w:szCs w:val="26"/>
        </w:rPr>
        <w:t>[4]</w:t>
      </w:r>
      <w:r>
        <w:rPr>
          <w:sz w:val="26"/>
          <w:szCs w:val="26"/>
        </w:rPr>
        <w:tab/>
      </w:r>
      <w:r w:rsidR="008D13DA" w:rsidRPr="00A055B6">
        <w:rPr>
          <w:sz w:val="26"/>
          <w:szCs w:val="26"/>
        </w:rPr>
        <w:t xml:space="preserve">Mr Pincus SC accepted that the only statutory provisions relied upon by the first plaintiff for his attempted statutory claim, are the provisions of </w:t>
      </w:r>
      <w:r w:rsidR="003F0924" w:rsidRPr="00A055B6">
        <w:rPr>
          <w:sz w:val="26"/>
          <w:szCs w:val="26"/>
        </w:rPr>
        <w:t>North</w:t>
      </w:r>
      <w:r w:rsidR="00280E15" w:rsidRPr="00A055B6">
        <w:rPr>
          <w:sz w:val="26"/>
          <w:szCs w:val="26"/>
        </w:rPr>
        <w:t xml:space="preserve"> W</w:t>
      </w:r>
      <w:r w:rsidR="003F0924" w:rsidRPr="00A055B6">
        <w:rPr>
          <w:sz w:val="26"/>
          <w:szCs w:val="26"/>
        </w:rPr>
        <w:t>est</w:t>
      </w:r>
      <w:r w:rsidR="008D13DA" w:rsidRPr="00A055B6">
        <w:rPr>
          <w:sz w:val="26"/>
          <w:szCs w:val="26"/>
        </w:rPr>
        <w:t xml:space="preserve"> Gambling Regulation 2</w:t>
      </w:r>
      <w:r w:rsidR="003F0924" w:rsidRPr="00A055B6">
        <w:rPr>
          <w:sz w:val="26"/>
          <w:szCs w:val="26"/>
        </w:rPr>
        <w:t>3.</w:t>
      </w:r>
      <w:r w:rsidR="00280E15">
        <w:rPr>
          <w:rStyle w:val="FootnoteReference"/>
          <w:sz w:val="26"/>
          <w:szCs w:val="26"/>
        </w:rPr>
        <w:footnoteReference w:id="4"/>
      </w:r>
      <w:r w:rsidR="003F0924" w:rsidRPr="00A055B6">
        <w:rPr>
          <w:sz w:val="26"/>
          <w:szCs w:val="26"/>
        </w:rPr>
        <w:t xml:space="preserve">  He correctly pointed out that the particulars of claim under scrutiny ought to be considered in the context of </w:t>
      </w:r>
      <w:r w:rsidR="000C7118" w:rsidRPr="00A055B6">
        <w:rPr>
          <w:sz w:val="26"/>
          <w:szCs w:val="26"/>
        </w:rPr>
        <w:t>two alternatives: a claim based on the breach of the statutory duties per</w:t>
      </w:r>
      <w:r w:rsidR="00200A5E" w:rsidRPr="00A055B6">
        <w:rPr>
          <w:sz w:val="26"/>
          <w:szCs w:val="26"/>
        </w:rPr>
        <w:t xml:space="preserve"> </w:t>
      </w:r>
      <w:r w:rsidR="000C7118" w:rsidRPr="00A055B6">
        <w:rPr>
          <w:sz w:val="26"/>
          <w:szCs w:val="26"/>
        </w:rPr>
        <w:t xml:space="preserve">se, as well </w:t>
      </w:r>
      <w:r w:rsidR="000C7118" w:rsidRPr="00A055B6">
        <w:rPr>
          <w:sz w:val="26"/>
          <w:szCs w:val="26"/>
        </w:rPr>
        <w:lastRenderedPageBreak/>
        <w:t>as a cla</w:t>
      </w:r>
      <w:r w:rsidR="00200A5E" w:rsidRPr="00A055B6">
        <w:rPr>
          <w:sz w:val="26"/>
          <w:szCs w:val="26"/>
        </w:rPr>
        <w:t xml:space="preserve">im for the negligent breach thereof. </w:t>
      </w:r>
      <w:r w:rsidR="00680113" w:rsidRPr="00A055B6">
        <w:rPr>
          <w:sz w:val="26"/>
          <w:szCs w:val="26"/>
        </w:rPr>
        <w:t xml:space="preserve"> However, </w:t>
      </w:r>
      <w:r w:rsidR="00B92F1C" w:rsidRPr="00A055B6">
        <w:rPr>
          <w:sz w:val="26"/>
          <w:szCs w:val="26"/>
        </w:rPr>
        <w:t xml:space="preserve">I remain unconvinced that an appeal would have reasonable prospects of success.  </w:t>
      </w:r>
    </w:p>
    <w:p w14:paraId="583AD775" w14:textId="1A635C4B" w:rsidR="0045478F" w:rsidRPr="00A055B6" w:rsidRDefault="00A055B6" w:rsidP="00A055B6">
      <w:pPr>
        <w:tabs>
          <w:tab w:val="left" w:pos="851"/>
        </w:tabs>
        <w:ind w:left="851" w:hanging="851"/>
        <w:rPr>
          <w:sz w:val="26"/>
          <w:szCs w:val="26"/>
        </w:rPr>
      </w:pPr>
      <w:r>
        <w:rPr>
          <w:sz w:val="26"/>
          <w:szCs w:val="26"/>
        </w:rPr>
        <w:t>[5]</w:t>
      </w:r>
      <w:r>
        <w:rPr>
          <w:sz w:val="26"/>
          <w:szCs w:val="26"/>
        </w:rPr>
        <w:tab/>
      </w:r>
      <w:r w:rsidR="00B92F1C" w:rsidRPr="00A055B6">
        <w:rPr>
          <w:sz w:val="26"/>
          <w:szCs w:val="26"/>
        </w:rPr>
        <w:t xml:space="preserve">Regulation 23 imposes a duty on the first defendant, as </w:t>
      </w:r>
      <w:r w:rsidR="006360F7" w:rsidRPr="00A055B6">
        <w:rPr>
          <w:sz w:val="26"/>
          <w:szCs w:val="26"/>
        </w:rPr>
        <w:t xml:space="preserve">licensee, to prevent </w:t>
      </w:r>
      <w:r w:rsidR="006360F7" w:rsidRPr="00A055B6">
        <w:rPr>
          <w:sz w:val="26"/>
          <w:szCs w:val="26"/>
          <w:u w:val="single"/>
        </w:rPr>
        <w:t>identified</w:t>
      </w:r>
      <w:r w:rsidR="006360F7" w:rsidRPr="00A055B6">
        <w:rPr>
          <w:sz w:val="26"/>
          <w:szCs w:val="26"/>
        </w:rPr>
        <w:t xml:space="preserve"> excluded persons</w:t>
      </w:r>
      <w:r w:rsidR="007F7257" w:rsidRPr="00A055B6">
        <w:rPr>
          <w:sz w:val="26"/>
          <w:szCs w:val="26"/>
        </w:rPr>
        <w:t xml:space="preserve"> from entering the premises,</w:t>
      </w:r>
      <w:r w:rsidR="00A148FC">
        <w:rPr>
          <w:rStyle w:val="FootnoteReference"/>
          <w:sz w:val="26"/>
          <w:szCs w:val="26"/>
        </w:rPr>
        <w:footnoteReference w:id="5"/>
      </w:r>
      <w:r w:rsidR="007F7257" w:rsidRPr="00A055B6">
        <w:rPr>
          <w:sz w:val="26"/>
          <w:szCs w:val="26"/>
        </w:rPr>
        <w:t xml:space="preserve"> and prohibits it </w:t>
      </w:r>
      <w:r w:rsidR="001C62CC" w:rsidRPr="00A055B6">
        <w:rPr>
          <w:sz w:val="26"/>
          <w:szCs w:val="26"/>
        </w:rPr>
        <w:t xml:space="preserve">from </w:t>
      </w:r>
      <w:r w:rsidR="001C62CC" w:rsidRPr="00A055B6">
        <w:rPr>
          <w:sz w:val="26"/>
          <w:szCs w:val="26"/>
          <w:u w:val="single"/>
        </w:rPr>
        <w:t>knowingly</w:t>
      </w:r>
      <w:r w:rsidR="001C62CC" w:rsidRPr="00A055B6">
        <w:rPr>
          <w:sz w:val="26"/>
          <w:szCs w:val="26"/>
        </w:rPr>
        <w:t xml:space="preserve"> allowing an excluded person to partake in any gambling.</w:t>
      </w:r>
      <w:r w:rsidR="00C40533">
        <w:rPr>
          <w:rStyle w:val="FootnoteReference"/>
          <w:sz w:val="26"/>
          <w:szCs w:val="26"/>
        </w:rPr>
        <w:footnoteReference w:id="6"/>
      </w:r>
      <w:r w:rsidR="001C62CC" w:rsidRPr="00A055B6">
        <w:rPr>
          <w:sz w:val="26"/>
          <w:szCs w:val="26"/>
        </w:rPr>
        <w:t xml:space="preserve">  Mr Pincus accepted that knowledge </w:t>
      </w:r>
      <w:r w:rsidR="006751B6" w:rsidRPr="00A055B6">
        <w:rPr>
          <w:sz w:val="26"/>
          <w:szCs w:val="26"/>
        </w:rPr>
        <w:t xml:space="preserve">on the part of the first defendant </w:t>
      </w:r>
      <w:r w:rsidR="001C62CC" w:rsidRPr="00A055B6">
        <w:rPr>
          <w:sz w:val="26"/>
          <w:szCs w:val="26"/>
        </w:rPr>
        <w:t xml:space="preserve">forms the basis of both regulations </w:t>
      </w:r>
      <w:r w:rsidR="00620D06" w:rsidRPr="00A055B6">
        <w:rPr>
          <w:sz w:val="26"/>
          <w:szCs w:val="26"/>
        </w:rPr>
        <w:t xml:space="preserve">23(1) and </w:t>
      </w:r>
      <w:r w:rsidR="00861B8E" w:rsidRPr="00A055B6">
        <w:rPr>
          <w:sz w:val="26"/>
          <w:szCs w:val="26"/>
        </w:rPr>
        <w:t>23</w:t>
      </w:r>
      <w:r w:rsidR="00620D06" w:rsidRPr="00A055B6">
        <w:rPr>
          <w:sz w:val="26"/>
          <w:szCs w:val="26"/>
        </w:rPr>
        <w:t xml:space="preserve">(2).  Thus, to rely on </w:t>
      </w:r>
      <w:r w:rsidR="00C40533" w:rsidRPr="00A055B6">
        <w:rPr>
          <w:sz w:val="26"/>
          <w:szCs w:val="26"/>
        </w:rPr>
        <w:t>either</w:t>
      </w:r>
      <w:r w:rsidR="00620D06" w:rsidRPr="00A055B6">
        <w:rPr>
          <w:sz w:val="26"/>
          <w:szCs w:val="26"/>
        </w:rPr>
        <w:t xml:space="preserve"> the mere breach of these duties, </w:t>
      </w:r>
      <w:r w:rsidR="00C40533" w:rsidRPr="00A055B6">
        <w:rPr>
          <w:sz w:val="26"/>
          <w:szCs w:val="26"/>
        </w:rPr>
        <w:t xml:space="preserve">or on their negligent breach, </w:t>
      </w:r>
      <w:r w:rsidR="00620D06" w:rsidRPr="00A055B6">
        <w:rPr>
          <w:sz w:val="26"/>
          <w:szCs w:val="26"/>
        </w:rPr>
        <w:t>the first plaintiff ha</w:t>
      </w:r>
      <w:r w:rsidR="00C40533" w:rsidRPr="00A055B6">
        <w:rPr>
          <w:sz w:val="26"/>
          <w:szCs w:val="26"/>
        </w:rPr>
        <w:t>s</w:t>
      </w:r>
      <w:r w:rsidR="00620D06" w:rsidRPr="00A055B6">
        <w:rPr>
          <w:sz w:val="26"/>
          <w:szCs w:val="26"/>
        </w:rPr>
        <w:t xml:space="preserve"> to plead </w:t>
      </w:r>
      <w:r w:rsidR="0045478F" w:rsidRPr="00A055B6">
        <w:rPr>
          <w:sz w:val="26"/>
          <w:szCs w:val="26"/>
        </w:rPr>
        <w:t xml:space="preserve">the requisite knowledge on the part of the first defendant.  </w:t>
      </w:r>
      <w:r w:rsidR="00C40533" w:rsidRPr="00A055B6">
        <w:rPr>
          <w:sz w:val="26"/>
          <w:szCs w:val="26"/>
        </w:rPr>
        <w:t>He</w:t>
      </w:r>
      <w:r w:rsidR="0045478F" w:rsidRPr="00A055B6">
        <w:rPr>
          <w:sz w:val="26"/>
          <w:szCs w:val="26"/>
        </w:rPr>
        <w:t xml:space="preserve"> has not done</w:t>
      </w:r>
      <w:r w:rsidR="00C40533" w:rsidRPr="00A055B6">
        <w:rPr>
          <w:sz w:val="26"/>
          <w:szCs w:val="26"/>
        </w:rPr>
        <w:t xml:space="preserve"> so</w:t>
      </w:r>
      <w:r w:rsidR="0045478F" w:rsidRPr="00A055B6">
        <w:rPr>
          <w:sz w:val="26"/>
          <w:szCs w:val="26"/>
        </w:rPr>
        <w:t xml:space="preserve">. </w:t>
      </w:r>
      <w:r w:rsidR="004648DE" w:rsidRPr="00A055B6">
        <w:rPr>
          <w:sz w:val="26"/>
          <w:szCs w:val="26"/>
        </w:rPr>
        <w:t xml:space="preserve"> I might add that the first plaintiff in any event ha</w:t>
      </w:r>
      <w:r w:rsidR="00861B8E" w:rsidRPr="00A055B6">
        <w:rPr>
          <w:sz w:val="26"/>
          <w:szCs w:val="26"/>
        </w:rPr>
        <w:t>s</w:t>
      </w:r>
      <w:r w:rsidR="004648DE" w:rsidRPr="00A055B6">
        <w:rPr>
          <w:sz w:val="26"/>
          <w:szCs w:val="26"/>
        </w:rPr>
        <w:t xml:space="preserve"> not pleaded that the first defendant was negligent, nor presented any averments in support thereof.</w:t>
      </w:r>
    </w:p>
    <w:p w14:paraId="1CA93E2D" w14:textId="67DF2CBB" w:rsidR="005C76CD" w:rsidRPr="00A055B6" w:rsidRDefault="00A055B6" w:rsidP="00A055B6">
      <w:pPr>
        <w:tabs>
          <w:tab w:val="left" w:pos="851"/>
        </w:tabs>
        <w:ind w:left="851" w:hanging="851"/>
        <w:rPr>
          <w:sz w:val="26"/>
          <w:szCs w:val="26"/>
        </w:rPr>
      </w:pPr>
      <w:r w:rsidRPr="00855261">
        <w:rPr>
          <w:sz w:val="26"/>
          <w:szCs w:val="26"/>
        </w:rPr>
        <w:t>[6]</w:t>
      </w:r>
      <w:r w:rsidRPr="00855261">
        <w:rPr>
          <w:sz w:val="26"/>
          <w:szCs w:val="26"/>
        </w:rPr>
        <w:tab/>
      </w:r>
      <w:r w:rsidR="004648DE" w:rsidRPr="00A055B6">
        <w:rPr>
          <w:sz w:val="26"/>
          <w:szCs w:val="26"/>
        </w:rPr>
        <w:t xml:space="preserve">As for the proposed claim based on Aquilian liability, Mr Pincus </w:t>
      </w:r>
      <w:r w:rsidR="00612D57" w:rsidRPr="00A055B6">
        <w:rPr>
          <w:sz w:val="26"/>
          <w:szCs w:val="26"/>
        </w:rPr>
        <w:t>SC readily accepted that a development of the common law would be required in this regard.  Yet again the first plaintiff is faced with a case that he has not pleaded.  The common law cannot be developed in a factual vacuum.</w:t>
      </w:r>
      <w:r w:rsidR="00612D57">
        <w:rPr>
          <w:rStyle w:val="FootnoteReference"/>
          <w:sz w:val="26"/>
          <w:szCs w:val="26"/>
        </w:rPr>
        <w:footnoteReference w:id="7"/>
      </w:r>
      <w:r w:rsidR="00612D57" w:rsidRPr="00A055B6">
        <w:rPr>
          <w:sz w:val="26"/>
          <w:szCs w:val="26"/>
        </w:rPr>
        <w:t xml:space="preserve">  </w:t>
      </w:r>
      <w:r w:rsidR="00A033AE" w:rsidRPr="00A055B6">
        <w:rPr>
          <w:sz w:val="26"/>
          <w:szCs w:val="26"/>
        </w:rPr>
        <w:t xml:space="preserve">A party relying on the </w:t>
      </w:r>
      <w:r w:rsidR="005D56B7" w:rsidRPr="00A055B6">
        <w:rPr>
          <w:sz w:val="26"/>
          <w:szCs w:val="26"/>
        </w:rPr>
        <w:t>development of the common law should plead that case.</w:t>
      </w:r>
      <w:r w:rsidR="005D56B7">
        <w:rPr>
          <w:rStyle w:val="FootnoteReference"/>
          <w:sz w:val="26"/>
          <w:szCs w:val="26"/>
        </w:rPr>
        <w:footnoteReference w:id="8"/>
      </w:r>
      <w:r w:rsidR="005C76CD" w:rsidRPr="00A055B6">
        <w:rPr>
          <w:sz w:val="26"/>
          <w:szCs w:val="26"/>
        </w:rPr>
        <w:t xml:space="preserve"> </w:t>
      </w:r>
      <w:r w:rsidR="00C40533" w:rsidRPr="00A055B6">
        <w:rPr>
          <w:sz w:val="26"/>
          <w:szCs w:val="26"/>
        </w:rPr>
        <w:t>As</w:t>
      </w:r>
      <w:r w:rsidR="005C76CD" w:rsidRPr="00A055B6">
        <w:rPr>
          <w:sz w:val="26"/>
          <w:szCs w:val="26"/>
        </w:rPr>
        <w:t xml:space="preserve"> Mr </w:t>
      </w:r>
      <w:r w:rsidR="005C76CD" w:rsidRPr="00A055B6">
        <w:rPr>
          <w:sz w:val="26"/>
          <w:szCs w:val="26"/>
        </w:rPr>
        <w:lastRenderedPageBreak/>
        <w:t xml:space="preserve">Friedman, who appeared for the first defendant, rightly pointed out, even at this stage the first plaintiff has not </w:t>
      </w:r>
      <w:r w:rsidR="00855261" w:rsidRPr="00A055B6">
        <w:rPr>
          <w:sz w:val="26"/>
          <w:szCs w:val="26"/>
        </w:rPr>
        <w:t>set out</w:t>
      </w:r>
      <w:r w:rsidR="005C76CD" w:rsidRPr="00A055B6">
        <w:rPr>
          <w:sz w:val="26"/>
          <w:szCs w:val="26"/>
        </w:rPr>
        <w:t xml:space="preserve"> what the development would </w:t>
      </w:r>
      <w:r w:rsidR="00C40533" w:rsidRPr="00A055B6">
        <w:rPr>
          <w:sz w:val="26"/>
          <w:szCs w:val="26"/>
        </w:rPr>
        <w:t>entail</w:t>
      </w:r>
      <w:r w:rsidR="005C76CD" w:rsidRPr="00A055B6">
        <w:rPr>
          <w:sz w:val="26"/>
          <w:szCs w:val="26"/>
        </w:rPr>
        <w:t xml:space="preserve">.    </w:t>
      </w:r>
    </w:p>
    <w:p w14:paraId="7BB9CA26" w14:textId="21EEA9F8" w:rsidR="005C76CD" w:rsidRPr="00A055B6" w:rsidRDefault="00A055B6" w:rsidP="00A055B6">
      <w:pPr>
        <w:tabs>
          <w:tab w:val="left" w:pos="851"/>
        </w:tabs>
        <w:ind w:left="851" w:hanging="851"/>
        <w:rPr>
          <w:sz w:val="26"/>
          <w:szCs w:val="26"/>
        </w:rPr>
      </w:pPr>
      <w:r>
        <w:rPr>
          <w:sz w:val="26"/>
          <w:szCs w:val="26"/>
        </w:rPr>
        <w:t>[7]</w:t>
      </w:r>
      <w:r>
        <w:rPr>
          <w:sz w:val="26"/>
          <w:szCs w:val="26"/>
        </w:rPr>
        <w:tab/>
      </w:r>
      <w:r w:rsidR="005C76CD" w:rsidRPr="00A055B6">
        <w:rPr>
          <w:sz w:val="26"/>
          <w:szCs w:val="26"/>
        </w:rPr>
        <w:t xml:space="preserve">The first plaintiff argued that </w:t>
      </w:r>
      <w:r w:rsidR="00D07931" w:rsidRPr="00A055B6">
        <w:rPr>
          <w:sz w:val="26"/>
          <w:szCs w:val="26"/>
        </w:rPr>
        <w:t xml:space="preserve">I wrongly relied upon the </w:t>
      </w:r>
      <w:r w:rsidR="00D07931" w:rsidRPr="00A055B6">
        <w:rPr>
          <w:i/>
          <w:iCs/>
          <w:sz w:val="26"/>
          <w:szCs w:val="26"/>
        </w:rPr>
        <w:t>Ju</w:t>
      </w:r>
      <w:r w:rsidR="009C7AD2" w:rsidRPr="00A055B6">
        <w:rPr>
          <w:i/>
          <w:iCs/>
          <w:sz w:val="26"/>
          <w:szCs w:val="26"/>
        </w:rPr>
        <w:t>n</w:t>
      </w:r>
      <w:r w:rsidR="00D07931" w:rsidRPr="00A055B6">
        <w:rPr>
          <w:i/>
          <w:iCs/>
          <w:sz w:val="26"/>
          <w:szCs w:val="26"/>
        </w:rPr>
        <w:t>mao</w:t>
      </w:r>
      <w:r w:rsidR="00D07931" w:rsidRPr="00A055B6">
        <w:rPr>
          <w:sz w:val="26"/>
          <w:szCs w:val="26"/>
        </w:rPr>
        <w:t xml:space="preserve"> case</w:t>
      </w:r>
      <w:r w:rsidR="00C40533" w:rsidRPr="00A055B6">
        <w:rPr>
          <w:sz w:val="26"/>
          <w:szCs w:val="26"/>
        </w:rPr>
        <w:t>.</w:t>
      </w:r>
      <w:r w:rsidR="00D07931">
        <w:rPr>
          <w:rStyle w:val="FootnoteReference"/>
          <w:sz w:val="26"/>
          <w:szCs w:val="26"/>
        </w:rPr>
        <w:footnoteReference w:id="9"/>
      </w:r>
      <w:r w:rsidR="00F21591" w:rsidRPr="00A055B6">
        <w:rPr>
          <w:sz w:val="26"/>
          <w:szCs w:val="26"/>
        </w:rPr>
        <w:t xml:space="preserve"> </w:t>
      </w:r>
      <w:r w:rsidR="00C40533" w:rsidRPr="00A055B6">
        <w:rPr>
          <w:sz w:val="26"/>
          <w:szCs w:val="26"/>
        </w:rPr>
        <w:t xml:space="preserve"> T</w:t>
      </w:r>
      <w:r w:rsidR="00F21591" w:rsidRPr="00A055B6">
        <w:rPr>
          <w:sz w:val="26"/>
          <w:szCs w:val="26"/>
        </w:rPr>
        <w:t xml:space="preserve">he argument advanced, was that </w:t>
      </w:r>
      <w:r w:rsidR="00F64C66" w:rsidRPr="00A055B6">
        <w:rPr>
          <w:sz w:val="26"/>
          <w:szCs w:val="26"/>
        </w:rPr>
        <w:t xml:space="preserve">the </w:t>
      </w:r>
      <w:r w:rsidR="00F64C66" w:rsidRPr="00A055B6">
        <w:rPr>
          <w:i/>
          <w:iCs/>
          <w:sz w:val="26"/>
          <w:szCs w:val="26"/>
        </w:rPr>
        <w:t>Ju</w:t>
      </w:r>
      <w:r w:rsidR="009C7AD2" w:rsidRPr="00A055B6">
        <w:rPr>
          <w:i/>
          <w:iCs/>
          <w:sz w:val="26"/>
          <w:szCs w:val="26"/>
        </w:rPr>
        <w:t>n</w:t>
      </w:r>
      <w:r w:rsidR="00F64C66" w:rsidRPr="00A055B6">
        <w:rPr>
          <w:i/>
          <w:iCs/>
          <w:sz w:val="26"/>
          <w:szCs w:val="26"/>
        </w:rPr>
        <w:t>mao</w:t>
      </w:r>
      <w:r w:rsidR="00F64C66" w:rsidRPr="00A055B6">
        <w:rPr>
          <w:sz w:val="26"/>
          <w:szCs w:val="26"/>
        </w:rPr>
        <w:t xml:space="preserve"> decision did not take into account the </w:t>
      </w:r>
      <w:r w:rsidR="00CB401F" w:rsidRPr="00A055B6">
        <w:rPr>
          <w:sz w:val="26"/>
          <w:szCs w:val="26"/>
        </w:rPr>
        <w:t>current National Gambling Act,</w:t>
      </w:r>
      <w:r w:rsidR="00CB401F">
        <w:rPr>
          <w:rStyle w:val="FootnoteReference"/>
          <w:sz w:val="26"/>
          <w:szCs w:val="26"/>
        </w:rPr>
        <w:footnoteReference w:id="10"/>
      </w:r>
      <w:r w:rsidR="00CB401F" w:rsidRPr="00A055B6">
        <w:rPr>
          <w:sz w:val="26"/>
          <w:szCs w:val="26"/>
        </w:rPr>
        <w:t xml:space="preserve"> which only came into operation after the hearing of that matter.  In particular, reliance was placed on section 16.  The first hurdle faced by the first plaintiff is obvious: he has not pleaded any reliance on this section.  Secondly, he has not shown how this section affords him a remedy within the context of North</w:t>
      </w:r>
      <w:r w:rsidR="00C40533" w:rsidRPr="00A055B6">
        <w:rPr>
          <w:sz w:val="26"/>
          <w:szCs w:val="26"/>
        </w:rPr>
        <w:t xml:space="preserve"> W</w:t>
      </w:r>
      <w:r w:rsidR="00CB401F" w:rsidRPr="00A055B6">
        <w:rPr>
          <w:sz w:val="26"/>
          <w:szCs w:val="26"/>
        </w:rPr>
        <w:t>est Gambling Regulation 23.</w:t>
      </w:r>
    </w:p>
    <w:p w14:paraId="4AFA68DB" w14:textId="3D808166" w:rsidR="00CB401F" w:rsidRPr="00A055B6" w:rsidRDefault="00A055B6" w:rsidP="00A055B6">
      <w:pPr>
        <w:tabs>
          <w:tab w:val="left" w:pos="851"/>
        </w:tabs>
        <w:ind w:left="851" w:hanging="851"/>
        <w:rPr>
          <w:sz w:val="26"/>
          <w:szCs w:val="26"/>
        </w:rPr>
      </w:pPr>
      <w:r>
        <w:rPr>
          <w:sz w:val="26"/>
          <w:szCs w:val="26"/>
        </w:rPr>
        <w:t>[8]</w:t>
      </w:r>
      <w:r>
        <w:rPr>
          <w:sz w:val="26"/>
          <w:szCs w:val="26"/>
        </w:rPr>
        <w:tab/>
      </w:r>
      <w:r w:rsidR="00CB401F" w:rsidRPr="00A055B6">
        <w:rPr>
          <w:sz w:val="26"/>
          <w:szCs w:val="26"/>
        </w:rPr>
        <w:t xml:space="preserve">Essentially, the first plaintiff </w:t>
      </w:r>
      <w:r w:rsidR="00B1699D" w:rsidRPr="00A055B6">
        <w:rPr>
          <w:sz w:val="26"/>
          <w:szCs w:val="26"/>
        </w:rPr>
        <w:t xml:space="preserve">seems to rely on section 16 of the National Gambling Act in an effort to counter the conclusion I reached that </w:t>
      </w:r>
      <w:r w:rsidR="00DD2715" w:rsidRPr="00A055B6">
        <w:rPr>
          <w:sz w:val="26"/>
          <w:szCs w:val="26"/>
        </w:rPr>
        <w:t xml:space="preserve">there is no provision in terms of which the converse of what the first plaintiff claims, namely repayment of winnings by him to the first defendant, could take place.  </w:t>
      </w:r>
      <w:r w:rsidR="00E619A2" w:rsidRPr="00A055B6">
        <w:rPr>
          <w:sz w:val="26"/>
          <w:szCs w:val="26"/>
        </w:rPr>
        <w:t>As Mr Friedman pointed out, section 16 however is not of assistance to the first plaintiff, because it deals with an ‘excluded person’, which is defined as a person excluded in terms of the Nation</w:t>
      </w:r>
      <w:r w:rsidR="00C40533" w:rsidRPr="00A055B6">
        <w:rPr>
          <w:sz w:val="26"/>
          <w:szCs w:val="26"/>
        </w:rPr>
        <w:t>al Gambling</w:t>
      </w:r>
      <w:r w:rsidR="00E619A2" w:rsidRPr="00A055B6">
        <w:rPr>
          <w:sz w:val="26"/>
          <w:szCs w:val="26"/>
        </w:rPr>
        <w:t xml:space="preserve"> Act</w:t>
      </w:r>
      <w:r w:rsidR="00C40533" w:rsidRPr="00A055B6">
        <w:rPr>
          <w:sz w:val="26"/>
          <w:szCs w:val="26"/>
        </w:rPr>
        <w:t xml:space="preserve">.  </w:t>
      </w:r>
      <w:r w:rsidR="00DC493E" w:rsidRPr="00A055B6">
        <w:rPr>
          <w:sz w:val="26"/>
          <w:szCs w:val="26"/>
        </w:rPr>
        <w:t xml:space="preserve">Because </w:t>
      </w:r>
      <w:r w:rsidR="00E619A2" w:rsidRPr="00A055B6">
        <w:rPr>
          <w:sz w:val="26"/>
          <w:szCs w:val="26"/>
        </w:rPr>
        <w:t xml:space="preserve">no National Register, required </w:t>
      </w:r>
      <w:r w:rsidR="0021427E" w:rsidRPr="00A055B6">
        <w:rPr>
          <w:sz w:val="26"/>
          <w:szCs w:val="26"/>
        </w:rPr>
        <w:t xml:space="preserve">in terms of the </w:t>
      </w:r>
      <w:r w:rsidR="00146E79" w:rsidRPr="00A055B6">
        <w:rPr>
          <w:sz w:val="26"/>
          <w:szCs w:val="26"/>
        </w:rPr>
        <w:t>National Gambling</w:t>
      </w:r>
      <w:r w:rsidR="0021427E" w:rsidRPr="00A055B6">
        <w:rPr>
          <w:sz w:val="26"/>
          <w:szCs w:val="26"/>
        </w:rPr>
        <w:t xml:space="preserve"> Act, has yet been established</w:t>
      </w:r>
      <w:r w:rsidR="00146E79" w:rsidRPr="00A055B6">
        <w:rPr>
          <w:sz w:val="26"/>
          <w:szCs w:val="26"/>
        </w:rPr>
        <w:t xml:space="preserve">, </w:t>
      </w:r>
      <w:r w:rsidR="00404211" w:rsidRPr="00A055B6">
        <w:rPr>
          <w:sz w:val="26"/>
          <w:szCs w:val="26"/>
        </w:rPr>
        <w:t>section 16 is</w:t>
      </w:r>
      <w:r w:rsidR="00AE4A4B" w:rsidRPr="00A055B6">
        <w:rPr>
          <w:sz w:val="26"/>
          <w:szCs w:val="26"/>
        </w:rPr>
        <w:t xml:space="preserve"> in any event </w:t>
      </w:r>
      <w:r w:rsidR="0021427E" w:rsidRPr="00A055B6">
        <w:rPr>
          <w:sz w:val="26"/>
          <w:szCs w:val="26"/>
        </w:rPr>
        <w:t xml:space="preserve">not </w:t>
      </w:r>
      <w:r w:rsidR="005443B4" w:rsidRPr="00A055B6">
        <w:rPr>
          <w:sz w:val="26"/>
          <w:szCs w:val="26"/>
        </w:rPr>
        <w:t>practicably</w:t>
      </w:r>
      <w:r w:rsidR="0021427E" w:rsidRPr="00A055B6">
        <w:rPr>
          <w:sz w:val="26"/>
          <w:szCs w:val="26"/>
        </w:rPr>
        <w:t xml:space="preserve"> enforceable.  I should add that this section merely provides that a person may not </w:t>
      </w:r>
      <w:r w:rsidR="0021427E" w:rsidRPr="00A055B6">
        <w:rPr>
          <w:sz w:val="26"/>
          <w:szCs w:val="26"/>
          <w:u w:val="single"/>
        </w:rPr>
        <w:t>knowingly</w:t>
      </w:r>
      <w:r w:rsidR="0021427E" w:rsidRPr="00A055B6">
        <w:rPr>
          <w:sz w:val="26"/>
          <w:szCs w:val="26"/>
        </w:rPr>
        <w:t xml:space="preserve"> pay any </w:t>
      </w:r>
      <w:r w:rsidR="0021427E" w:rsidRPr="00A055B6">
        <w:rPr>
          <w:sz w:val="26"/>
          <w:szCs w:val="26"/>
        </w:rPr>
        <w:lastRenderedPageBreak/>
        <w:t>winnings to an excluded person, and that a debt incurred by an excluded person is not enforceable.  Neither of these provisions however deal with reimbursements.</w:t>
      </w:r>
    </w:p>
    <w:p w14:paraId="62013736" w14:textId="2DBEC6CC" w:rsidR="0021427E" w:rsidRPr="00A055B6" w:rsidRDefault="00A055B6" w:rsidP="00A055B6">
      <w:pPr>
        <w:tabs>
          <w:tab w:val="left" w:pos="851"/>
        </w:tabs>
        <w:ind w:left="851" w:hanging="851"/>
        <w:rPr>
          <w:sz w:val="26"/>
          <w:szCs w:val="26"/>
        </w:rPr>
      </w:pPr>
      <w:r>
        <w:rPr>
          <w:sz w:val="26"/>
          <w:szCs w:val="26"/>
        </w:rPr>
        <w:t>[9]</w:t>
      </w:r>
      <w:r>
        <w:rPr>
          <w:sz w:val="26"/>
          <w:szCs w:val="26"/>
        </w:rPr>
        <w:tab/>
      </w:r>
      <w:r w:rsidR="005A241E" w:rsidRPr="00A055B6">
        <w:rPr>
          <w:sz w:val="26"/>
          <w:szCs w:val="26"/>
        </w:rPr>
        <w:t>In the result, I am of the opinion that the proposed appeal would not have a reasonable prosect of success.</w:t>
      </w:r>
    </w:p>
    <w:p w14:paraId="0EC7CAD0" w14:textId="1C051B02" w:rsidR="005A241E" w:rsidRPr="00A055B6" w:rsidRDefault="00A055B6" w:rsidP="00A055B6">
      <w:pPr>
        <w:tabs>
          <w:tab w:val="left" w:pos="851"/>
        </w:tabs>
        <w:ind w:left="851" w:hanging="851"/>
        <w:rPr>
          <w:sz w:val="26"/>
          <w:szCs w:val="26"/>
        </w:rPr>
      </w:pPr>
      <w:r>
        <w:rPr>
          <w:sz w:val="26"/>
          <w:szCs w:val="26"/>
        </w:rPr>
        <w:t>[10]</w:t>
      </w:r>
      <w:r>
        <w:rPr>
          <w:sz w:val="26"/>
          <w:szCs w:val="26"/>
        </w:rPr>
        <w:tab/>
      </w:r>
      <w:r w:rsidR="005A241E" w:rsidRPr="00A055B6">
        <w:rPr>
          <w:sz w:val="26"/>
          <w:szCs w:val="26"/>
        </w:rPr>
        <w:t xml:space="preserve">The first plaintiff also sought to obtain leave to appeal on the basis that there is a compelling reason to do so.  This is so, contends the first </w:t>
      </w:r>
      <w:r w:rsidR="005443B4" w:rsidRPr="00A055B6">
        <w:rPr>
          <w:sz w:val="26"/>
          <w:szCs w:val="26"/>
        </w:rPr>
        <w:t>plaintiff</w:t>
      </w:r>
      <w:r w:rsidR="005A241E" w:rsidRPr="00A055B6">
        <w:rPr>
          <w:sz w:val="26"/>
          <w:szCs w:val="26"/>
        </w:rPr>
        <w:t xml:space="preserve">, because the matter raises novel legal issues of public importance.  However, the only </w:t>
      </w:r>
      <w:r w:rsidR="009C22FB" w:rsidRPr="00A055B6">
        <w:rPr>
          <w:sz w:val="26"/>
          <w:szCs w:val="26"/>
        </w:rPr>
        <w:t xml:space="preserve">question he actually identified as novel, was </w:t>
      </w:r>
      <w:r w:rsidR="00544CC2" w:rsidRPr="00A055B6">
        <w:rPr>
          <w:sz w:val="26"/>
          <w:szCs w:val="26"/>
        </w:rPr>
        <w:t>“</w:t>
      </w:r>
      <w:r w:rsidR="009C22FB" w:rsidRPr="00A055B6">
        <w:rPr>
          <w:sz w:val="26"/>
          <w:szCs w:val="26"/>
        </w:rPr>
        <w:t>questions concerning the development of the common law”.  As pointed out above, these questions</w:t>
      </w:r>
      <w:r w:rsidR="00F70BA8" w:rsidRPr="00A055B6">
        <w:rPr>
          <w:sz w:val="26"/>
          <w:szCs w:val="26"/>
        </w:rPr>
        <w:t xml:space="preserve"> have not been formulated, and have not been pleaded.  It would not be useful or proper to allow an appeal in a vacuum.  I am therefore of the opinion that there is no compelling reason why the appeal should be heard.  </w:t>
      </w:r>
    </w:p>
    <w:p w14:paraId="62C2A3A9" w14:textId="517B3754" w:rsidR="0080621D" w:rsidRPr="00A055B6" w:rsidRDefault="00A055B6" w:rsidP="00A055B6">
      <w:pPr>
        <w:tabs>
          <w:tab w:val="left" w:pos="851"/>
        </w:tabs>
        <w:ind w:left="851" w:hanging="851"/>
        <w:rPr>
          <w:sz w:val="26"/>
          <w:szCs w:val="26"/>
        </w:rPr>
      </w:pPr>
      <w:r>
        <w:rPr>
          <w:sz w:val="26"/>
          <w:szCs w:val="26"/>
        </w:rPr>
        <w:t>[11]</w:t>
      </w:r>
      <w:r>
        <w:rPr>
          <w:sz w:val="26"/>
          <w:szCs w:val="26"/>
        </w:rPr>
        <w:tab/>
      </w:r>
      <w:r w:rsidR="0080621D" w:rsidRPr="00A055B6">
        <w:rPr>
          <w:sz w:val="26"/>
          <w:szCs w:val="26"/>
        </w:rPr>
        <w:t xml:space="preserve">In the result, the application for leave to appeal is dismissed with costs.  </w:t>
      </w:r>
    </w:p>
    <w:p w14:paraId="46670F5C" w14:textId="77777777" w:rsidR="00525113" w:rsidRDefault="00525113" w:rsidP="000B48F5">
      <w:pPr>
        <w:spacing w:after="0" w:line="240" w:lineRule="auto"/>
        <w:rPr>
          <w:sz w:val="26"/>
          <w:szCs w:val="26"/>
        </w:rPr>
      </w:pPr>
    </w:p>
    <w:p w14:paraId="7341F90C" w14:textId="77777777" w:rsidR="00525113" w:rsidRDefault="00525113" w:rsidP="000B48F5">
      <w:pPr>
        <w:spacing w:after="0" w:line="240" w:lineRule="auto"/>
        <w:rPr>
          <w:sz w:val="26"/>
          <w:szCs w:val="26"/>
        </w:rPr>
      </w:pPr>
    </w:p>
    <w:p w14:paraId="778C9F38" w14:textId="7AC50446" w:rsidR="000B48F5" w:rsidRDefault="000B48F5" w:rsidP="000B48F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14:paraId="68C51962" w14:textId="77777777" w:rsidR="000B48F5" w:rsidRPr="002653D6" w:rsidRDefault="000B48F5" w:rsidP="000B48F5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 Bester</w:t>
      </w:r>
    </w:p>
    <w:p w14:paraId="6C6BB01F" w14:textId="77777777" w:rsidR="000B48F5" w:rsidRDefault="000B48F5" w:rsidP="000B48F5">
      <w:pPr>
        <w:spacing w:after="0" w:line="240" w:lineRule="auto"/>
        <w:rPr>
          <w:b/>
          <w:sz w:val="26"/>
          <w:szCs w:val="26"/>
        </w:rPr>
      </w:pPr>
      <w:r w:rsidRPr="006B2625">
        <w:rPr>
          <w:b/>
          <w:sz w:val="26"/>
          <w:szCs w:val="26"/>
        </w:rPr>
        <w:t xml:space="preserve">Acting Judge </w:t>
      </w:r>
      <w:r>
        <w:rPr>
          <w:b/>
          <w:sz w:val="26"/>
          <w:szCs w:val="26"/>
        </w:rPr>
        <w:t>o</w:t>
      </w:r>
      <w:r w:rsidRPr="006B2625">
        <w:rPr>
          <w:b/>
          <w:sz w:val="26"/>
          <w:szCs w:val="26"/>
        </w:rPr>
        <w:t xml:space="preserve">f </w:t>
      </w:r>
      <w:r>
        <w:rPr>
          <w:b/>
          <w:sz w:val="26"/>
          <w:szCs w:val="26"/>
        </w:rPr>
        <w:t>t</w:t>
      </w:r>
      <w:r w:rsidRPr="006B2625">
        <w:rPr>
          <w:b/>
          <w:sz w:val="26"/>
          <w:szCs w:val="26"/>
        </w:rPr>
        <w:t>he High Court</w:t>
      </w:r>
      <w:r>
        <w:rPr>
          <w:b/>
          <w:sz w:val="26"/>
          <w:szCs w:val="26"/>
        </w:rPr>
        <w:t xml:space="preserve"> of South Africa</w:t>
      </w:r>
    </w:p>
    <w:p w14:paraId="7A508833" w14:textId="77777777" w:rsidR="000B48F5" w:rsidRDefault="000B48F5" w:rsidP="000B48F5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Gauteng Local Division, Johannesburg</w:t>
      </w:r>
    </w:p>
    <w:p w14:paraId="7E85FEF0" w14:textId="77777777" w:rsidR="000B48F5" w:rsidRDefault="000B48F5" w:rsidP="000B48F5">
      <w:pPr>
        <w:spacing w:after="0" w:line="240" w:lineRule="auto"/>
        <w:rPr>
          <w:sz w:val="26"/>
          <w:szCs w:val="26"/>
        </w:rPr>
      </w:pPr>
    </w:p>
    <w:p w14:paraId="75924B79" w14:textId="77777777" w:rsidR="000B48F5" w:rsidRDefault="000B48F5" w:rsidP="000B48F5">
      <w:pPr>
        <w:spacing w:after="0" w:line="240" w:lineRule="auto"/>
        <w:rPr>
          <w:sz w:val="26"/>
          <w:szCs w:val="26"/>
        </w:rPr>
      </w:pPr>
    </w:p>
    <w:p w14:paraId="10F9DF24" w14:textId="570C9FED" w:rsidR="000B48F5" w:rsidRPr="00770055" w:rsidRDefault="000B48F5" w:rsidP="000B48F5">
      <w:pPr>
        <w:spacing w:after="0" w:line="240" w:lineRule="auto"/>
        <w:rPr>
          <w:sz w:val="26"/>
          <w:szCs w:val="26"/>
        </w:rPr>
      </w:pPr>
      <w:r w:rsidRPr="00770055">
        <w:rPr>
          <w:sz w:val="26"/>
          <w:szCs w:val="26"/>
        </w:rPr>
        <w:t>Heard:</w:t>
      </w:r>
      <w:r w:rsidRPr="00770055">
        <w:rPr>
          <w:sz w:val="26"/>
          <w:szCs w:val="26"/>
        </w:rPr>
        <w:tab/>
      </w:r>
      <w:r w:rsidRPr="0077005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22CA3">
        <w:rPr>
          <w:sz w:val="26"/>
          <w:szCs w:val="26"/>
        </w:rPr>
        <w:t>2</w:t>
      </w:r>
      <w:r w:rsidR="00FE06C2">
        <w:rPr>
          <w:sz w:val="26"/>
          <w:szCs w:val="26"/>
        </w:rPr>
        <w:t>3</w:t>
      </w:r>
      <w:r w:rsidR="00822CA3">
        <w:rPr>
          <w:sz w:val="26"/>
          <w:szCs w:val="26"/>
        </w:rPr>
        <w:t xml:space="preserve"> March </w:t>
      </w:r>
      <w:r w:rsidR="00C80BEE">
        <w:rPr>
          <w:sz w:val="26"/>
          <w:szCs w:val="26"/>
        </w:rPr>
        <w:t>2023</w:t>
      </w:r>
    </w:p>
    <w:p w14:paraId="5CF219D4" w14:textId="3C69A6C7" w:rsidR="000B48F5" w:rsidRPr="00770055" w:rsidRDefault="000B48F5" w:rsidP="000B48F5">
      <w:pPr>
        <w:spacing w:after="0" w:line="240" w:lineRule="auto"/>
        <w:rPr>
          <w:sz w:val="26"/>
          <w:szCs w:val="26"/>
        </w:rPr>
      </w:pPr>
      <w:r w:rsidRPr="00770055">
        <w:rPr>
          <w:sz w:val="26"/>
          <w:szCs w:val="26"/>
        </w:rPr>
        <w:t>Judgment:</w:t>
      </w:r>
      <w:r w:rsidRPr="0077005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E06C2">
        <w:rPr>
          <w:sz w:val="26"/>
          <w:szCs w:val="26"/>
        </w:rPr>
        <w:t xml:space="preserve">15 November </w:t>
      </w:r>
      <w:r w:rsidR="00C80BEE">
        <w:rPr>
          <w:sz w:val="26"/>
          <w:szCs w:val="26"/>
        </w:rPr>
        <w:t>2023</w:t>
      </w:r>
      <w:r w:rsidR="00F62EA4">
        <w:rPr>
          <w:sz w:val="26"/>
          <w:szCs w:val="26"/>
        </w:rPr>
        <w:t xml:space="preserve"> </w:t>
      </w:r>
    </w:p>
    <w:p w14:paraId="4ED5CB3B" w14:textId="77777777" w:rsidR="000B48F5" w:rsidRDefault="000B48F5" w:rsidP="000B48F5">
      <w:pPr>
        <w:spacing w:after="0" w:line="240" w:lineRule="auto"/>
        <w:rPr>
          <w:sz w:val="26"/>
          <w:szCs w:val="26"/>
        </w:rPr>
      </w:pPr>
    </w:p>
    <w:p w14:paraId="7AE281E1" w14:textId="77777777" w:rsidR="000B48F5" w:rsidRDefault="000B48F5" w:rsidP="000B48F5">
      <w:pPr>
        <w:spacing w:after="0" w:line="240" w:lineRule="auto"/>
        <w:rPr>
          <w:sz w:val="26"/>
          <w:szCs w:val="26"/>
        </w:rPr>
      </w:pPr>
    </w:p>
    <w:p w14:paraId="630A3D36" w14:textId="77777777" w:rsidR="00812672" w:rsidRDefault="00812672" w:rsidP="00812672">
      <w:pPr>
        <w:spacing w:after="0" w:line="240" w:lineRule="auto"/>
        <w:rPr>
          <w:sz w:val="26"/>
          <w:szCs w:val="26"/>
        </w:rPr>
      </w:pPr>
    </w:p>
    <w:p w14:paraId="567E2BCA" w14:textId="026258E3" w:rsidR="00812672" w:rsidRPr="00770055" w:rsidRDefault="00812672" w:rsidP="0081267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Counsel f</w:t>
      </w:r>
      <w:r w:rsidRPr="00770055">
        <w:rPr>
          <w:sz w:val="26"/>
          <w:szCs w:val="26"/>
        </w:rPr>
        <w:t>or the</w:t>
      </w:r>
      <w:r w:rsidR="00822CA3">
        <w:rPr>
          <w:sz w:val="26"/>
          <w:szCs w:val="26"/>
        </w:rPr>
        <w:t xml:space="preserve"> First</w:t>
      </w:r>
      <w:r w:rsidRPr="00770055">
        <w:rPr>
          <w:sz w:val="26"/>
          <w:szCs w:val="26"/>
        </w:rPr>
        <w:t xml:space="preserve"> </w:t>
      </w:r>
      <w:r>
        <w:rPr>
          <w:sz w:val="26"/>
          <w:szCs w:val="26"/>
        </w:rPr>
        <w:t>Plaintiff</w:t>
      </w:r>
      <w:r w:rsidRPr="00770055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E06C2">
        <w:rPr>
          <w:sz w:val="26"/>
          <w:szCs w:val="26"/>
        </w:rPr>
        <w:t xml:space="preserve">Adv </w:t>
      </w:r>
      <w:r w:rsidR="00822CA3">
        <w:rPr>
          <w:sz w:val="26"/>
          <w:szCs w:val="26"/>
        </w:rPr>
        <w:t>S Pincus SC</w:t>
      </w:r>
    </w:p>
    <w:p w14:paraId="4162BB3A" w14:textId="77777777" w:rsidR="00812672" w:rsidRPr="006B2625" w:rsidRDefault="00812672" w:rsidP="00812672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I</w:t>
      </w:r>
      <w:r w:rsidRPr="00770055">
        <w:rPr>
          <w:sz w:val="26"/>
          <w:szCs w:val="26"/>
        </w:rPr>
        <w:t>nstructed by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Hajibey-Bhyat Inc</w:t>
      </w:r>
    </w:p>
    <w:p w14:paraId="5E9D80B5" w14:textId="77777777" w:rsidR="000B48F5" w:rsidRPr="00770055" w:rsidRDefault="000B48F5" w:rsidP="000B48F5">
      <w:pPr>
        <w:spacing w:after="0" w:line="240" w:lineRule="auto"/>
        <w:rPr>
          <w:sz w:val="26"/>
          <w:szCs w:val="26"/>
        </w:rPr>
      </w:pPr>
    </w:p>
    <w:p w14:paraId="42901953" w14:textId="77777777" w:rsidR="00812672" w:rsidRDefault="00812672" w:rsidP="000B48F5">
      <w:pPr>
        <w:spacing w:after="0" w:line="240" w:lineRule="auto"/>
        <w:rPr>
          <w:sz w:val="26"/>
          <w:szCs w:val="26"/>
        </w:rPr>
      </w:pPr>
    </w:p>
    <w:p w14:paraId="011324FA" w14:textId="77777777" w:rsidR="00812672" w:rsidRDefault="00812672" w:rsidP="000B48F5">
      <w:pPr>
        <w:spacing w:after="0" w:line="240" w:lineRule="auto"/>
        <w:rPr>
          <w:sz w:val="26"/>
          <w:szCs w:val="26"/>
        </w:rPr>
      </w:pPr>
    </w:p>
    <w:p w14:paraId="5B5F9637" w14:textId="434DB2E7" w:rsidR="000B48F5" w:rsidRPr="00770055" w:rsidRDefault="000B48F5" w:rsidP="000B48F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Counsel f</w:t>
      </w:r>
      <w:r w:rsidRPr="00770055">
        <w:rPr>
          <w:sz w:val="26"/>
          <w:szCs w:val="26"/>
        </w:rPr>
        <w:t xml:space="preserve">or the </w:t>
      </w:r>
      <w:r w:rsidR="00C52483">
        <w:rPr>
          <w:sz w:val="26"/>
          <w:szCs w:val="26"/>
        </w:rPr>
        <w:t>Excipient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FE06C2">
        <w:rPr>
          <w:sz w:val="26"/>
          <w:szCs w:val="26"/>
        </w:rPr>
        <w:tab/>
      </w:r>
      <w:r w:rsidR="00FE06C2">
        <w:rPr>
          <w:sz w:val="26"/>
          <w:szCs w:val="26"/>
        </w:rPr>
        <w:tab/>
      </w:r>
      <w:r w:rsidR="00C52483" w:rsidRPr="00770055">
        <w:rPr>
          <w:sz w:val="26"/>
          <w:szCs w:val="26"/>
        </w:rPr>
        <w:t xml:space="preserve">Adv </w:t>
      </w:r>
      <w:r w:rsidR="00C52483">
        <w:rPr>
          <w:sz w:val="26"/>
          <w:szCs w:val="26"/>
        </w:rPr>
        <w:t>A Friedman</w:t>
      </w:r>
      <w:r w:rsidR="00C52483" w:rsidRPr="00770055">
        <w:rPr>
          <w:sz w:val="26"/>
          <w:szCs w:val="26"/>
        </w:rPr>
        <w:t xml:space="preserve"> </w:t>
      </w:r>
    </w:p>
    <w:p w14:paraId="6C5A6F2B" w14:textId="2E5FC1C1" w:rsidR="006B2625" w:rsidRPr="006B2625" w:rsidRDefault="000B48F5" w:rsidP="00930708">
      <w:pPr>
        <w:spacing w:after="0" w:line="240" w:lineRule="auto"/>
        <w:ind w:left="5103" w:hanging="5103"/>
        <w:rPr>
          <w:b/>
          <w:sz w:val="26"/>
          <w:szCs w:val="26"/>
        </w:rPr>
      </w:pPr>
      <w:r>
        <w:rPr>
          <w:sz w:val="26"/>
          <w:szCs w:val="26"/>
        </w:rPr>
        <w:t>I</w:t>
      </w:r>
      <w:r w:rsidRPr="00770055">
        <w:rPr>
          <w:sz w:val="26"/>
          <w:szCs w:val="26"/>
        </w:rPr>
        <w:t>nstructed by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15B42">
        <w:rPr>
          <w:sz w:val="26"/>
          <w:szCs w:val="26"/>
        </w:rPr>
        <w:t>Herbert Smith Free Hills South Africa Attorneys Inc</w:t>
      </w:r>
    </w:p>
    <w:sectPr w:rsidR="006B2625" w:rsidRPr="006B2625" w:rsidSect="00453AE9">
      <w:head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948FD" w14:textId="77777777" w:rsidR="009F33C9" w:rsidRDefault="009F33C9" w:rsidP="00A47B82">
      <w:pPr>
        <w:spacing w:after="0" w:line="240" w:lineRule="auto"/>
      </w:pPr>
      <w:r>
        <w:separator/>
      </w:r>
    </w:p>
  </w:endnote>
  <w:endnote w:type="continuationSeparator" w:id="0">
    <w:p w14:paraId="285752CE" w14:textId="77777777" w:rsidR="009F33C9" w:rsidRDefault="009F33C9" w:rsidP="00A47B82">
      <w:pPr>
        <w:spacing w:after="0" w:line="240" w:lineRule="auto"/>
      </w:pPr>
      <w:r>
        <w:continuationSeparator/>
      </w:r>
    </w:p>
  </w:endnote>
  <w:endnote w:type="continuationNotice" w:id="1">
    <w:p w14:paraId="46B1B834" w14:textId="77777777" w:rsidR="009F33C9" w:rsidRDefault="009F33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6EB6B" w14:textId="77777777" w:rsidR="009F33C9" w:rsidRDefault="009F33C9" w:rsidP="00A47B82">
      <w:pPr>
        <w:spacing w:after="0" w:line="240" w:lineRule="auto"/>
      </w:pPr>
      <w:r>
        <w:separator/>
      </w:r>
    </w:p>
  </w:footnote>
  <w:footnote w:type="continuationSeparator" w:id="0">
    <w:p w14:paraId="315CCEC5" w14:textId="77777777" w:rsidR="009F33C9" w:rsidRDefault="009F33C9" w:rsidP="00A47B82">
      <w:pPr>
        <w:spacing w:after="0" w:line="240" w:lineRule="auto"/>
      </w:pPr>
      <w:r>
        <w:continuationSeparator/>
      </w:r>
    </w:p>
  </w:footnote>
  <w:footnote w:type="continuationNotice" w:id="1">
    <w:p w14:paraId="3824CFC5" w14:textId="77777777" w:rsidR="009F33C9" w:rsidRDefault="009F33C9">
      <w:pPr>
        <w:spacing w:after="0" w:line="240" w:lineRule="auto"/>
      </w:pPr>
    </w:p>
  </w:footnote>
  <w:footnote w:id="2">
    <w:p w14:paraId="11B66E2E" w14:textId="4A7C7F7A" w:rsidR="002C498F" w:rsidRDefault="002C498F" w:rsidP="00DC2865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Superior Courts Act</w:t>
      </w:r>
      <w:r w:rsidR="00DC2865">
        <w:t xml:space="preserve"> 10 of 2013, Section 17(1)(a)(i). </w:t>
      </w:r>
    </w:p>
  </w:footnote>
  <w:footnote w:id="3">
    <w:p w14:paraId="32FEA7A2" w14:textId="25E76CD3" w:rsidR="00C65736" w:rsidRDefault="00C65736" w:rsidP="00C65736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Section 17(1)(a)(ii).</w:t>
      </w:r>
    </w:p>
  </w:footnote>
  <w:footnote w:id="4">
    <w:p w14:paraId="1A03B4D5" w14:textId="4FB33BDF" w:rsidR="00280E15" w:rsidRDefault="00280E15" w:rsidP="00280E15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North West Gambling Regulations, 2002, published under GN353 of 2002 in PG5823</w:t>
      </w:r>
      <w:r w:rsidR="00A148FC">
        <w:t xml:space="preserve"> of 25 November 2002, as amended.</w:t>
      </w:r>
    </w:p>
  </w:footnote>
  <w:footnote w:id="5">
    <w:p w14:paraId="609DA3F2" w14:textId="7E9C0204" w:rsidR="00A148FC" w:rsidRDefault="00A148FC" w:rsidP="00A148FC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C40533">
        <w:t>Regulation 23(1).</w:t>
      </w:r>
    </w:p>
  </w:footnote>
  <w:footnote w:id="6">
    <w:p w14:paraId="099B9092" w14:textId="63E90EBE" w:rsidR="00C40533" w:rsidRDefault="00C40533" w:rsidP="00C40533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Regulation 23(2).</w:t>
      </w:r>
    </w:p>
  </w:footnote>
  <w:footnote w:id="7">
    <w:p w14:paraId="3F6615C7" w14:textId="594DA304" w:rsidR="00612D57" w:rsidRPr="00A033AE" w:rsidRDefault="00612D57" w:rsidP="00612D57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612D57">
        <w:rPr>
          <w:i/>
          <w:iCs/>
        </w:rPr>
        <w:t>Member of the Executive Council for Health &amp; Social Development, Gauteng v DZ obo WZ (Member of the Executive Council for Health, Eastern Cape and Another as amici</w:t>
      </w:r>
      <w:r>
        <w:rPr>
          <w:i/>
          <w:iCs/>
        </w:rPr>
        <w:t xml:space="preserve"> curi</w:t>
      </w:r>
      <w:r w:rsidR="00A033AE">
        <w:rPr>
          <w:i/>
          <w:iCs/>
        </w:rPr>
        <w:t xml:space="preserve">ae) </w:t>
      </w:r>
      <w:r w:rsidR="00A033AE">
        <w:t xml:space="preserve">2017 (12) BCLR 1528 (CC) in paras 27 – 33.  </w:t>
      </w:r>
    </w:p>
  </w:footnote>
  <w:footnote w:id="8">
    <w:p w14:paraId="43DE026D" w14:textId="1A116B33" w:rsidR="005D56B7" w:rsidRPr="005C76CD" w:rsidRDefault="005D56B7" w:rsidP="005D56B7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5C76CD">
        <w:rPr>
          <w:i/>
          <w:iCs/>
        </w:rPr>
        <w:t>Khumalo Masondo Attorneys Inc v Hahleketa Trading CC</w:t>
      </w:r>
      <w:r>
        <w:t xml:space="preserve"> 2018 JDR 08</w:t>
      </w:r>
      <w:r w:rsidR="005C76CD">
        <w:t xml:space="preserve">72 (GP) in [12]; </w:t>
      </w:r>
      <w:r w:rsidR="005C76CD">
        <w:rPr>
          <w:i/>
          <w:iCs/>
        </w:rPr>
        <w:t xml:space="preserve">Cajiao v Cajiao </w:t>
      </w:r>
      <w:r w:rsidR="005C76CD">
        <w:t>2022 JDR 3704 (GJ) in [28]</w:t>
      </w:r>
      <w:r w:rsidR="00C40533">
        <w:t xml:space="preserve">; </w:t>
      </w:r>
      <w:r w:rsidR="00C40533">
        <w:rPr>
          <w:i/>
          <w:iCs/>
        </w:rPr>
        <w:t>Everfresh Market Virginia (Pty) Ltd v Shoprite Checkers (Pty) Ltd</w:t>
      </w:r>
      <w:r w:rsidR="00C40533">
        <w:t xml:space="preserve"> 2012 (1) SA 256 (CC) in paras 63 – 66; </w:t>
      </w:r>
      <w:r w:rsidR="00C40533">
        <w:rPr>
          <w:i/>
          <w:iCs/>
        </w:rPr>
        <w:t>Crown Restaurant CC v Gold Reef City Theme Park (Pty) Ltd</w:t>
      </w:r>
      <w:r w:rsidR="00C40533">
        <w:t xml:space="preserve"> 2008 (4) SA 16 (CC)</w:t>
      </w:r>
      <w:r w:rsidR="005C76CD">
        <w:t xml:space="preserve">.  </w:t>
      </w:r>
    </w:p>
  </w:footnote>
  <w:footnote w:id="9">
    <w:p w14:paraId="1402521E" w14:textId="46150748" w:rsidR="00D07931" w:rsidRPr="00F21591" w:rsidRDefault="00D07931" w:rsidP="00D07931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i/>
          <w:iCs/>
        </w:rPr>
        <w:t>Ju</w:t>
      </w:r>
      <w:r w:rsidR="009C7AD2">
        <w:rPr>
          <w:i/>
          <w:iCs/>
        </w:rPr>
        <w:t>n</w:t>
      </w:r>
      <w:r>
        <w:rPr>
          <w:i/>
          <w:iCs/>
        </w:rPr>
        <w:t xml:space="preserve">mao v Akani-Egoli (Pty) Ltd t/a Gold Reef City Casino and Theme Park </w:t>
      </w:r>
      <w:r w:rsidR="00F21591">
        <w:t>2004 JER 0665 (W).</w:t>
      </w:r>
    </w:p>
  </w:footnote>
  <w:footnote w:id="10">
    <w:p w14:paraId="687E5365" w14:textId="39C3BCD3" w:rsidR="00CB401F" w:rsidRDefault="00CB401F" w:rsidP="00CB401F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>National Gambling Act, 7 of 2004.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330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82714B" w14:textId="76EC7AFB" w:rsidR="00A46E1C" w:rsidRDefault="00A46E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5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AF23D4" w14:textId="77777777" w:rsidR="00453AE9" w:rsidRDefault="00453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405"/>
    <w:multiLevelType w:val="multilevel"/>
    <w:tmpl w:val="1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E43DA9"/>
    <w:multiLevelType w:val="hybridMultilevel"/>
    <w:tmpl w:val="949EF7BC"/>
    <w:lvl w:ilvl="0" w:tplc="21087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6694"/>
    <w:multiLevelType w:val="multilevel"/>
    <w:tmpl w:val="A5FC355E"/>
    <w:lvl w:ilvl="0">
      <w:start w:val="1"/>
      <w:numFmt w:val="decimal"/>
      <w:lvlText w:val="[%1]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161FBC"/>
    <w:multiLevelType w:val="multilevel"/>
    <w:tmpl w:val="E13418B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FF9522F"/>
    <w:multiLevelType w:val="hybridMultilevel"/>
    <w:tmpl w:val="20AA9A68"/>
    <w:lvl w:ilvl="0" w:tplc="1C090011">
      <w:start w:val="1"/>
      <w:numFmt w:val="decimal"/>
      <w:lvlText w:val="%1)"/>
      <w:lvlJc w:val="left"/>
      <w:pPr>
        <w:ind w:left="2138" w:hanging="360"/>
      </w:p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</w:lvl>
    <w:lvl w:ilvl="3" w:tplc="1C09000F" w:tentative="1">
      <w:start w:val="1"/>
      <w:numFmt w:val="decimal"/>
      <w:lvlText w:val="%4."/>
      <w:lvlJc w:val="left"/>
      <w:pPr>
        <w:ind w:left="4298" w:hanging="360"/>
      </w:p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</w:lvl>
    <w:lvl w:ilvl="6" w:tplc="1C09000F" w:tentative="1">
      <w:start w:val="1"/>
      <w:numFmt w:val="decimal"/>
      <w:lvlText w:val="%7."/>
      <w:lvlJc w:val="left"/>
      <w:pPr>
        <w:ind w:left="6458" w:hanging="360"/>
      </w:p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63A20907"/>
    <w:multiLevelType w:val="multilevel"/>
    <w:tmpl w:val="FB3CF28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97B59D9"/>
    <w:multiLevelType w:val="multilevel"/>
    <w:tmpl w:val="1C09001D"/>
    <w:numStyleLink w:val="Style1"/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85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6B9372E-1718-4C6D-8396-DC9E938A3132}"/>
    <w:docVar w:name="dgnword-eventsink" w:val="2813865810880"/>
  </w:docVars>
  <w:rsids>
    <w:rsidRoot w:val="00D47BAD"/>
    <w:rsid w:val="0000013C"/>
    <w:rsid w:val="00004E48"/>
    <w:rsid w:val="0000536F"/>
    <w:rsid w:val="00006B5E"/>
    <w:rsid w:val="00010AD9"/>
    <w:rsid w:val="00011D8D"/>
    <w:rsid w:val="000135CC"/>
    <w:rsid w:val="00013D27"/>
    <w:rsid w:val="00016CA4"/>
    <w:rsid w:val="000176C7"/>
    <w:rsid w:val="00020EFA"/>
    <w:rsid w:val="00021245"/>
    <w:rsid w:val="00021BD6"/>
    <w:rsid w:val="00021E58"/>
    <w:rsid w:val="00026681"/>
    <w:rsid w:val="00026BFB"/>
    <w:rsid w:val="000275C3"/>
    <w:rsid w:val="000350A7"/>
    <w:rsid w:val="0003521D"/>
    <w:rsid w:val="000354B2"/>
    <w:rsid w:val="00037824"/>
    <w:rsid w:val="00041D72"/>
    <w:rsid w:val="000420F3"/>
    <w:rsid w:val="0004215E"/>
    <w:rsid w:val="00042DEF"/>
    <w:rsid w:val="0004557E"/>
    <w:rsid w:val="000500B3"/>
    <w:rsid w:val="0005022C"/>
    <w:rsid w:val="000514F2"/>
    <w:rsid w:val="00052612"/>
    <w:rsid w:val="00053431"/>
    <w:rsid w:val="0005669E"/>
    <w:rsid w:val="00057801"/>
    <w:rsid w:val="0006235E"/>
    <w:rsid w:val="00062E99"/>
    <w:rsid w:val="0006445D"/>
    <w:rsid w:val="00065F7D"/>
    <w:rsid w:val="000667C1"/>
    <w:rsid w:val="000673D1"/>
    <w:rsid w:val="00070C84"/>
    <w:rsid w:val="00071714"/>
    <w:rsid w:val="00071C85"/>
    <w:rsid w:val="00071EF7"/>
    <w:rsid w:val="00072644"/>
    <w:rsid w:val="000739DA"/>
    <w:rsid w:val="00075969"/>
    <w:rsid w:val="0007650E"/>
    <w:rsid w:val="000803E9"/>
    <w:rsid w:val="0008596D"/>
    <w:rsid w:val="0008635B"/>
    <w:rsid w:val="000879A6"/>
    <w:rsid w:val="00087D41"/>
    <w:rsid w:val="000923DF"/>
    <w:rsid w:val="00094852"/>
    <w:rsid w:val="000949C6"/>
    <w:rsid w:val="0009520C"/>
    <w:rsid w:val="00095277"/>
    <w:rsid w:val="000956CA"/>
    <w:rsid w:val="00096324"/>
    <w:rsid w:val="000A17A8"/>
    <w:rsid w:val="000A7F0B"/>
    <w:rsid w:val="000A7F94"/>
    <w:rsid w:val="000B042E"/>
    <w:rsid w:val="000B0942"/>
    <w:rsid w:val="000B18AF"/>
    <w:rsid w:val="000B34BF"/>
    <w:rsid w:val="000B3C7D"/>
    <w:rsid w:val="000B47EF"/>
    <w:rsid w:val="000B48F5"/>
    <w:rsid w:val="000B5275"/>
    <w:rsid w:val="000B5463"/>
    <w:rsid w:val="000B5C43"/>
    <w:rsid w:val="000B68F5"/>
    <w:rsid w:val="000C02B3"/>
    <w:rsid w:val="000C7118"/>
    <w:rsid w:val="000D028A"/>
    <w:rsid w:val="000D0DFE"/>
    <w:rsid w:val="000D26B7"/>
    <w:rsid w:val="000D2E66"/>
    <w:rsid w:val="000D32EC"/>
    <w:rsid w:val="000D3663"/>
    <w:rsid w:val="000D60B9"/>
    <w:rsid w:val="000D62C9"/>
    <w:rsid w:val="000D68E9"/>
    <w:rsid w:val="000D7481"/>
    <w:rsid w:val="000E3545"/>
    <w:rsid w:val="000E4A53"/>
    <w:rsid w:val="000E57AA"/>
    <w:rsid w:val="000E5E69"/>
    <w:rsid w:val="000E7263"/>
    <w:rsid w:val="000E7DEF"/>
    <w:rsid w:val="000F0CC4"/>
    <w:rsid w:val="000F30D5"/>
    <w:rsid w:val="000F3C4D"/>
    <w:rsid w:val="000F750F"/>
    <w:rsid w:val="000F7E69"/>
    <w:rsid w:val="00101048"/>
    <w:rsid w:val="00101A58"/>
    <w:rsid w:val="001044D0"/>
    <w:rsid w:val="00104519"/>
    <w:rsid w:val="00104937"/>
    <w:rsid w:val="00106586"/>
    <w:rsid w:val="00110692"/>
    <w:rsid w:val="00114174"/>
    <w:rsid w:val="001159B3"/>
    <w:rsid w:val="00115B42"/>
    <w:rsid w:val="00116C44"/>
    <w:rsid w:val="001178B7"/>
    <w:rsid w:val="001208F1"/>
    <w:rsid w:val="00122A1A"/>
    <w:rsid w:val="00123DCE"/>
    <w:rsid w:val="0013446C"/>
    <w:rsid w:val="00140245"/>
    <w:rsid w:val="001414AB"/>
    <w:rsid w:val="001424AE"/>
    <w:rsid w:val="00142E4F"/>
    <w:rsid w:val="00144672"/>
    <w:rsid w:val="001446EB"/>
    <w:rsid w:val="001463FF"/>
    <w:rsid w:val="00146E79"/>
    <w:rsid w:val="001478DF"/>
    <w:rsid w:val="001503EF"/>
    <w:rsid w:val="001505E2"/>
    <w:rsid w:val="00152929"/>
    <w:rsid w:val="001551BD"/>
    <w:rsid w:val="0015621F"/>
    <w:rsid w:val="00156F19"/>
    <w:rsid w:val="0016019A"/>
    <w:rsid w:val="00160369"/>
    <w:rsid w:val="00162F64"/>
    <w:rsid w:val="001637B9"/>
    <w:rsid w:val="00164215"/>
    <w:rsid w:val="00165C54"/>
    <w:rsid w:val="00165D2F"/>
    <w:rsid w:val="00165ECE"/>
    <w:rsid w:val="00165F99"/>
    <w:rsid w:val="001660A8"/>
    <w:rsid w:val="00170D2B"/>
    <w:rsid w:val="0017509C"/>
    <w:rsid w:val="00176D8E"/>
    <w:rsid w:val="00177507"/>
    <w:rsid w:val="00180395"/>
    <w:rsid w:val="00182043"/>
    <w:rsid w:val="001825C7"/>
    <w:rsid w:val="00183E64"/>
    <w:rsid w:val="001929F2"/>
    <w:rsid w:val="00192EC1"/>
    <w:rsid w:val="00193E86"/>
    <w:rsid w:val="001A1BE5"/>
    <w:rsid w:val="001A1EB4"/>
    <w:rsid w:val="001A23B7"/>
    <w:rsid w:val="001A2E10"/>
    <w:rsid w:val="001A2F75"/>
    <w:rsid w:val="001A4CFB"/>
    <w:rsid w:val="001B1EDE"/>
    <w:rsid w:val="001B4555"/>
    <w:rsid w:val="001B50AB"/>
    <w:rsid w:val="001B7731"/>
    <w:rsid w:val="001C1CF8"/>
    <w:rsid w:val="001C1F69"/>
    <w:rsid w:val="001C21FA"/>
    <w:rsid w:val="001C46BB"/>
    <w:rsid w:val="001C62CC"/>
    <w:rsid w:val="001C7E4D"/>
    <w:rsid w:val="001D25D6"/>
    <w:rsid w:val="001D4791"/>
    <w:rsid w:val="001D64E4"/>
    <w:rsid w:val="001E1BFA"/>
    <w:rsid w:val="001E320E"/>
    <w:rsid w:val="001E3321"/>
    <w:rsid w:val="001E7990"/>
    <w:rsid w:val="001F1666"/>
    <w:rsid w:val="001F225D"/>
    <w:rsid w:val="00200A5E"/>
    <w:rsid w:val="00202490"/>
    <w:rsid w:val="00202C45"/>
    <w:rsid w:val="0020408A"/>
    <w:rsid w:val="0020429D"/>
    <w:rsid w:val="00207637"/>
    <w:rsid w:val="00211542"/>
    <w:rsid w:val="00211D80"/>
    <w:rsid w:val="002129F9"/>
    <w:rsid w:val="00213851"/>
    <w:rsid w:val="0021427E"/>
    <w:rsid w:val="002146DE"/>
    <w:rsid w:val="00214FC5"/>
    <w:rsid w:val="002156FF"/>
    <w:rsid w:val="00216DEE"/>
    <w:rsid w:val="00217430"/>
    <w:rsid w:val="00222F3E"/>
    <w:rsid w:val="0022421F"/>
    <w:rsid w:val="00224D7C"/>
    <w:rsid w:val="00226261"/>
    <w:rsid w:val="002271F7"/>
    <w:rsid w:val="002301EC"/>
    <w:rsid w:val="002336AD"/>
    <w:rsid w:val="00235CC8"/>
    <w:rsid w:val="00237419"/>
    <w:rsid w:val="00237722"/>
    <w:rsid w:val="002404AF"/>
    <w:rsid w:val="00240CE3"/>
    <w:rsid w:val="00240ECE"/>
    <w:rsid w:val="0024222C"/>
    <w:rsid w:val="00244A86"/>
    <w:rsid w:val="00246371"/>
    <w:rsid w:val="00254CD0"/>
    <w:rsid w:val="002555D8"/>
    <w:rsid w:val="00257FA1"/>
    <w:rsid w:val="002601CC"/>
    <w:rsid w:val="00260B4E"/>
    <w:rsid w:val="002653D6"/>
    <w:rsid w:val="00266331"/>
    <w:rsid w:val="002665D8"/>
    <w:rsid w:val="0027015E"/>
    <w:rsid w:val="00270F11"/>
    <w:rsid w:val="00271400"/>
    <w:rsid w:val="00271A7F"/>
    <w:rsid w:val="00271C78"/>
    <w:rsid w:val="00272428"/>
    <w:rsid w:val="00273B33"/>
    <w:rsid w:val="00273BDE"/>
    <w:rsid w:val="0027728F"/>
    <w:rsid w:val="00280E15"/>
    <w:rsid w:val="002849B9"/>
    <w:rsid w:val="002859F7"/>
    <w:rsid w:val="00285BD7"/>
    <w:rsid w:val="00285DA0"/>
    <w:rsid w:val="002863D5"/>
    <w:rsid w:val="002927D7"/>
    <w:rsid w:val="002931F7"/>
    <w:rsid w:val="00293872"/>
    <w:rsid w:val="00296427"/>
    <w:rsid w:val="002979D9"/>
    <w:rsid w:val="002A0E06"/>
    <w:rsid w:val="002A1BEF"/>
    <w:rsid w:val="002A297A"/>
    <w:rsid w:val="002A2A5F"/>
    <w:rsid w:val="002A2C75"/>
    <w:rsid w:val="002A308D"/>
    <w:rsid w:val="002A354C"/>
    <w:rsid w:val="002A5595"/>
    <w:rsid w:val="002A654E"/>
    <w:rsid w:val="002A654F"/>
    <w:rsid w:val="002A79BA"/>
    <w:rsid w:val="002B091F"/>
    <w:rsid w:val="002B1147"/>
    <w:rsid w:val="002B2CE4"/>
    <w:rsid w:val="002B34D1"/>
    <w:rsid w:val="002B59D7"/>
    <w:rsid w:val="002B6885"/>
    <w:rsid w:val="002C0AAE"/>
    <w:rsid w:val="002C3A0A"/>
    <w:rsid w:val="002C47AF"/>
    <w:rsid w:val="002C498F"/>
    <w:rsid w:val="002D1C9B"/>
    <w:rsid w:val="002D1F0E"/>
    <w:rsid w:val="002D3E63"/>
    <w:rsid w:val="002D585E"/>
    <w:rsid w:val="002D7248"/>
    <w:rsid w:val="002D7631"/>
    <w:rsid w:val="002E2F7A"/>
    <w:rsid w:val="002E3464"/>
    <w:rsid w:val="002E5123"/>
    <w:rsid w:val="002F10B2"/>
    <w:rsid w:val="002F2EE5"/>
    <w:rsid w:val="002F345B"/>
    <w:rsid w:val="002F3615"/>
    <w:rsid w:val="002F56E3"/>
    <w:rsid w:val="002F57A2"/>
    <w:rsid w:val="002F7132"/>
    <w:rsid w:val="003029C3"/>
    <w:rsid w:val="00302E3F"/>
    <w:rsid w:val="003033C5"/>
    <w:rsid w:val="00305357"/>
    <w:rsid w:val="00305888"/>
    <w:rsid w:val="003062B2"/>
    <w:rsid w:val="00307EE5"/>
    <w:rsid w:val="00310862"/>
    <w:rsid w:val="003108A8"/>
    <w:rsid w:val="00310910"/>
    <w:rsid w:val="00311363"/>
    <w:rsid w:val="0031154F"/>
    <w:rsid w:val="00311EF5"/>
    <w:rsid w:val="00317680"/>
    <w:rsid w:val="003223A5"/>
    <w:rsid w:val="003224F0"/>
    <w:rsid w:val="003240B1"/>
    <w:rsid w:val="00331200"/>
    <w:rsid w:val="003320A4"/>
    <w:rsid w:val="003357EC"/>
    <w:rsid w:val="003443C1"/>
    <w:rsid w:val="003449AE"/>
    <w:rsid w:val="00345501"/>
    <w:rsid w:val="00345A86"/>
    <w:rsid w:val="00345F75"/>
    <w:rsid w:val="00346245"/>
    <w:rsid w:val="00351ADB"/>
    <w:rsid w:val="00352AF2"/>
    <w:rsid w:val="00353E58"/>
    <w:rsid w:val="003552DA"/>
    <w:rsid w:val="00356A0D"/>
    <w:rsid w:val="003606B5"/>
    <w:rsid w:val="0036166E"/>
    <w:rsid w:val="00366EC9"/>
    <w:rsid w:val="00371A20"/>
    <w:rsid w:val="00373282"/>
    <w:rsid w:val="003734F9"/>
    <w:rsid w:val="0037678A"/>
    <w:rsid w:val="003800C4"/>
    <w:rsid w:val="0038040B"/>
    <w:rsid w:val="00380FC3"/>
    <w:rsid w:val="00382DB4"/>
    <w:rsid w:val="003843EA"/>
    <w:rsid w:val="00387303"/>
    <w:rsid w:val="00387C72"/>
    <w:rsid w:val="003907DC"/>
    <w:rsid w:val="00392C73"/>
    <w:rsid w:val="00393DD0"/>
    <w:rsid w:val="00394064"/>
    <w:rsid w:val="003943A1"/>
    <w:rsid w:val="003A06BA"/>
    <w:rsid w:val="003A118B"/>
    <w:rsid w:val="003A14B4"/>
    <w:rsid w:val="003A2CA4"/>
    <w:rsid w:val="003A406B"/>
    <w:rsid w:val="003A564E"/>
    <w:rsid w:val="003A5FCF"/>
    <w:rsid w:val="003A7106"/>
    <w:rsid w:val="003A7709"/>
    <w:rsid w:val="003A78A0"/>
    <w:rsid w:val="003B4391"/>
    <w:rsid w:val="003B64EC"/>
    <w:rsid w:val="003B7D3D"/>
    <w:rsid w:val="003C1F2E"/>
    <w:rsid w:val="003C219F"/>
    <w:rsid w:val="003C5A3E"/>
    <w:rsid w:val="003C68B5"/>
    <w:rsid w:val="003D0E8C"/>
    <w:rsid w:val="003D1F16"/>
    <w:rsid w:val="003D3C18"/>
    <w:rsid w:val="003E04C8"/>
    <w:rsid w:val="003E1A02"/>
    <w:rsid w:val="003E2852"/>
    <w:rsid w:val="003E671F"/>
    <w:rsid w:val="003E6908"/>
    <w:rsid w:val="003E7A32"/>
    <w:rsid w:val="003F0924"/>
    <w:rsid w:val="003F10BA"/>
    <w:rsid w:val="003F144E"/>
    <w:rsid w:val="003F2E3B"/>
    <w:rsid w:val="003F5BC3"/>
    <w:rsid w:val="00401ED3"/>
    <w:rsid w:val="00403407"/>
    <w:rsid w:val="00403ECB"/>
    <w:rsid w:val="00404211"/>
    <w:rsid w:val="00405169"/>
    <w:rsid w:val="00407586"/>
    <w:rsid w:val="004123ED"/>
    <w:rsid w:val="00414144"/>
    <w:rsid w:val="0041619B"/>
    <w:rsid w:val="00416C0B"/>
    <w:rsid w:val="00417467"/>
    <w:rsid w:val="00417588"/>
    <w:rsid w:val="004238A5"/>
    <w:rsid w:val="00425B82"/>
    <w:rsid w:val="0042642F"/>
    <w:rsid w:val="004273EE"/>
    <w:rsid w:val="004308BD"/>
    <w:rsid w:val="00430DA0"/>
    <w:rsid w:val="00432B32"/>
    <w:rsid w:val="004330F2"/>
    <w:rsid w:val="00433688"/>
    <w:rsid w:val="004409F8"/>
    <w:rsid w:val="00441A70"/>
    <w:rsid w:val="00442184"/>
    <w:rsid w:val="0044250E"/>
    <w:rsid w:val="00443A23"/>
    <w:rsid w:val="004477CB"/>
    <w:rsid w:val="00447D02"/>
    <w:rsid w:val="00451376"/>
    <w:rsid w:val="00453A82"/>
    <w:rsid w:val="00453AE9"/>
    <w:rsid w:val="0045478F"/>
    <w:rsid w:val="00460D3C"/>
    <w:rsid w:val="00460EAC"/>
    <w:rsid w:val="00460F28"/>
    <w:rsid w:val="00461F64"/>
    <w:rsid w:val="004648DE"/>
    <w:rsid w:val="0046644E"/>
    <w:rsid w:val="00466CFC"/>
    <w:rsid w:val="004729AA"/>
    <w:rsid w:val="004746EF"/>
    <w:rsid w:val="00474B07"/>
    <w:rsid w:val="00474FA6"/>
    <w:rsid w:val="004758B4"/>
    <w:rsid w:val="0047593F"/>
    <w:rsid w:val="00475B80"/>
    <w:rsid w:val="00476D0F"/>
    <w:rsid w:val="00480424"/>
    <w:rsid w:val="004821D5"/>
    <w:rsid w:val="00482A65"/>
    <w:rsid w:val="00483430"/>
    <w:rsid w:val="00483D59"/>
    <w:rsid w:val="00484F70"/>
    <w:rsid w:val="004853D1"/>
    <w:rsid w:val="00485783"/>
    <w:rsid w:val="00485E8E"/>
    <w:rsid w:val="004874B8"/>
    <w:rsid w:val="00493C86"/>
    <w:rsid w:val="004943D7"/>
    <w:rsid w:val="004A22DA"/>
    <w:rsid w:val="004A405F"/>
    <w:rsid w:val="004A677F"/>
    <w:rsid w:val="004A6EFC"/>
    <w:rsid w:val="004A7E49"/>
    <w:rsid w:val="004B1F35"/>
    <w:rsid w:val="004B6A0E"/>
    <w:rsid w:val="004B7BFC"/>
    <w:rsid w:val="004C046F"/>
    <w:rsid w:val="004C0D71"/>
    <w:rsid w:val="004C741D"/>
    <w:rsid w:val="004D13B5"/>
    <w:rsid w:val="004D1AF9"/>
    <w:rsid w:val="004D5B35"/>
    <w:rsid w:val="004E5F5B"/>
    <w:rsid w:val="004E70EE"/>
    <w:rsid w:val="004F0136"/>
    <w:rsid w:val="004F0A7F"/>
    <w:rsid w:val="004F3E7E"/>
    <w:rsid w:val="0050230E"/>
    <w:rsid w:val="00504B68"/>
    <w:rsid w:val="005115E6"/>
    <w:rsid w:val="00511795"/>
    <w:rsid w:val="00515F33"/>
    <w:rsid w:val="00520223"/>
    <w:rsid w:val="005219A2"/>
    <w:rsid w:val="00524489"/>
    <w:rsid w:val="00525113"/>
    <w:rsid w:val="0052609D"/>
    <w:rsid w:val="00526258"/>
    <w:rsid w:val="00527109"/>
    <w:rsid w:val="00527DEB"/>
    <w:rsid w:val="00530C44"/>
    <w:rsid w:val="00532356"/>
    <w:rsid w:val="00533258"/>
    <w:rsid w:val="00540138"/>
    <w:rsid w:val="0054064C"/>
    <w:rsid w:val="00542B93"/>
    <w:rsid w:val="0054322D"/>
    <w:rsid w:val="00543586"/>
    <w:rsid w:val="00544027"/>
    <w:rsid w:val="005443B4"/>
    <w:rsid w:val="00544CC2"/>
    <w:rsid w:val="005450CB"/>
    <w:rsid w:val="00547690"/>
    <w:rsid w:val="005477B2"/>
    <w:rsid w:val="00547B79"/>
    <w:rsid w:val="00547E11"/>
    <w:rsid w:val="00553D73"/>
    <w:rsid w:val="00554C2D"/>
    <w:rsid w:val="00554DE5"/>
    <w:rsid w:val="00554E07"/>
    <w:rsid w:val="0055568E"/>
    <w:rsid w:val="00556EB1"/>
    <w:rsid w:val="00556FC4"/>
    <w:rsid w:val="00566FEE"/>
    <w:rsid w:val="00567C9E"/>
    <w:rsid w:val="005705AD"/>
    <w:rsid w:val="005707B6"/>
    <w:rsid w:val="005720DC"/>
    <w:rsid w:val="0057272C"/>
    <w:rsid w:val="00573BC5"/>
    <w:rsid w:val="005769CA"/>
    <w:rsid w:val="005777FA"/>
    <w:rsid w:val="0058028C"/>
    <w:rsid w:val="005811E3"/>
    <w:rsid w:val="00581785"/>
    <w:rsid w:val="00581DAF"/>
    <w:rsid w:val="00584138"/>
    <w:rsid w:val="0059029D"/>
    <w:rsid w:val="005906A8"/>
    <w:rsid w:val="005968A5"/>
    <w:rsid w:val="005973BC"/>
    <w:rsid w:val="005A1141"/>
    <w:rsid w:val="005A1D60"/>
    <w:rsid w:val="005A20D3"/>
    <w:rsid w:val="005A241E"/>
    <w:rsid w:val="005A2436"/>
    <w:rsid w:val="005A3B65"/>
    <w:rsid w:val="005A49F3"/>
    <w:rsid w:val="005A4CA9"/>
    <w:rsid w:val="005A5C5D"/>
    <w:rsid w:val="005A7208"/>
    <w:rsid w:val="005A7254"/>
    <w:rsid w:val="005A727E"/>
    <w:rsid w:val="005B17BD"/>
    <w:rsid w:val="005B2088"/>
    <w:rsid w:val="005B3995"/>
    <w:rsid w:val="005B5C35"/>
    <w:rsid w:val="005B740D"/>
    <w:rsid w:val="005B7ECD"/>
    <w:rsid w:val="005C03FC"/>
    <w:rsid w:val="005C07D5"/>
    <w:rsid w:val="005C1917"/>
    <w:rsid w:val="005C23F4"/>
    <w:rsid w:val="005C24CB"/>
    <w:rsid w:val="005C2C7E"/>
    <w:rsid w:val="005C2CA9"/>
    <w:rsid w:val="005C6365"/>
    <w:rsid w:val="005C76CD"/>
    <w:rsid w:val="005D13CE"/>
    <w:rsid w:val="005D4D20"/>
    <w:rsid w:val="005D4D3A"/>
    <w:rsid w:val="005D4EDE"/>
    <w:rsid w:val="005D56B7"/>
    <w:rsid w:val="005E1A1B"/>
    <w:rsid w:val="005E241D"/>
    <w:rsid w:val="005E32C4"/>
    <w:rsid w:val="005E4670"/>
    <w:rsid w:val="005F0CBA"/>
    <w:rsid w:val="005F40F1"/>
    <w:rsid w:val="005F4313"/>
    <w:rsid w:val="005F55B1"/>
    <w:rsid w:val="005F62BA"/>
    <w:rsid w:val="005F72B7"/>
    <w:rsid w:val="005F7BC9"/>
    <w:rsid w:val="0060698D"/>
    <w:rsid w:val="00606C01"/>
    <w:rsid w:val="0061052C"/>
    <w:rsid w:val="00610A44"/>
    <w:rsid w:val="00612C3A"/>
    <w:rsid w:val="00612D57"/>
    <w:rsid w:val="00612FFC"/>
    <w:rsid w:val="00614A2C"/>
    <w:rsid w:val="00620D06"/>
    <w:rsid w:val="00620EA8"/>
    <w:rsid w:val="006211BB"/>
    <w:rsid w:val="006213F6"/>
    <w:rsid w:val="00622022"/>
    <w:rsid w:val="00625B3E"/>
    <w:rsid w:val="0062739C"/>
    <w:rsid w:val="0062760D"/>
    <w:rsid w:val="00627F57"/>
    <w:rsid w:val="00630FE2"/>
    <w:rsid w:val="00631616"/>
    <w:rsid w:val="00633854"/>
    <w:rsid w:val="00634BF6"/>
    <w:rsid w:val="00634C41"/>
    <w:rsid w:val="006359D2"/>
    <w:rsid w:val="00635A0E"/>
    <w:rsid w:val="006360F7"/>
    <w:rsid w:val="00637DE0"/>
    <w:rsid w:val="006407A9"/>
    <w:rsid w:val="00643CA5"/>
    <w:rsid w:val="00644B42"/>
    <w:rsid w:val="0064515F"/>
    <w:rsid w:val="0065040F"/>
    <w:rsid w:val="0065084A"/>
    <w:rsid w:val="006510FB"/>
    <w:rsid w:val="00651DC7"/>
    <w:rsid w:val="0065327D"/>
    <w:rsid w:val="00656480"/>
    <w:rsid w:val="0065682C"/>
    <w:rsid w:val="00661859"/>
    <w:rsid w:val="00661FC9"/>
    <w:rsid w:val="0066487B"/>
    <w:rsid w:val="00666EB5"/>
    <w:rsid w:val="00672E7C"/>
    <w:rsid w:val="00673275"/>
    <w:rsid w:val="00675116"/>
    <w:rsid w:val="006751B6"/>
    <w:rsid w:val="00680113"/>
    <w:rsid w:val="0068331D"/>
    <w:rsid w:val="00687810"/>
    <w:rsid w:val="006878A5"/>
    <w:rsid w:val="00691316"/>
    <w:rsid w:val="00691319"/>
    <w:rsid w:val="00692C18"/>
    <w:rsid w:val="00693565"/>
    <w:rsid w:val="006937D2"/>
    <w:rsid w:val="006A0651"/>
    <w:rsid w:val="006A780B"/>
    <w:rsid w:val="006B0DB6"/>
    <w:rsid w:val="006B0F3A"/>
    <w:rsid w:val="006B2625"/>
    <w:rsid w:val="006B7AA9"/>
    <w:rsid w:val="006B7D45"/>
    <w:rsid w:val="006C0205"/>
    <w:rsid w:val="006C11A3"/>
    <w:rsid w:val="006C272A"/>
    <w:rsid w:val="006C4A4B"/>
    <w:rsid w:val="006D0016"/>
    <w:rsid w:val="006D20B4"/>
    <w:rsid w:val="006D27AC"/>
    <w:rsid w:val="006D6EAE"/>
    <w:rsid w:val="006D74A9"/>
    <w:rsid w:val="006E00F2"/>
    <w:rsid w:val="006E0A50"/>
    <w:rsid w:val="006E0B45"/>
    <w:rsid w:val="006E1088"/>
    <w:rsid w:val="006E2EC2"/>
    <w:rsid w:val="006E4A96"/>
    <w:rsid w:val="006E59FC"/>
    <w:rsid w:val="006E6085"/>
    <w:rsid w:val="006E639B"/>
    <w:rsid w:val="006E664F"/>
    <w:rsid w:val="006E6A9B"/>
    <w:rsid w:val="006F0C68"/>
    <w:rsid w:val="006F1890"/>
    <w:rsid w:val="006F3646"/>
    <w:rsid w:val="006F3723"/>
    <w:rsid w:val="006F56DD"/>
    <w:rsid w:val="006F58E5"/>
    <w:rsid w:val="006F7CFE"/>
    <w:rsid w:val="007019EC"/>
    <w:rsid w:val="00702BCB"/>
    <w:rsid w:val="0070345E"/>
    <w:rsid w:val="00704390"/>
    <w:rsid w:val="0070668D"/>
    <w:rsid w:val="00707CE3"/>
    <w:rsid w:val="00710368"/>
    <w:rsid w:val="00711275"/>
    <w:rsid w:val="0071190D"/>
    <w:rsid w:val="007123CF"/>
    <w:rsid w:val="0071499E"/>
    <w:rsid w:val="007151F0"/>
    <w:rsid w:val="00717B49"/>
    <w:rsid w:val="00720BCE"/>
    <w:rsid w:val="007238AA"/>
    <w:rsid w:val="00723E05"/>
    <w:rsid w:val="00735351"/>
    <w:rsid w:val="00735611"/>
    <w:rsid w:val="00737C09"/>
    <w:rsid w:val="00740DA2"/>
    <w:rsid w:val="00740FAD"/>
    <w:rsid w:val="00741DCE"/>
    <w:rsid w:val="007422FB"/>
    <w:rsid w:val="00745BFE"/>
    <w:rsid w:val="00747BDE"/>
    <w:rsid w:val="00747DB3"/>
    <w:rsid w:val="007522D4"/>
    <w:rsid w:val="00752B65"/>
    <w:rsid w:val="00753110"/>
    <w:rsid w:val="007549AA"/>
    <w:rsid w:val="00756564"/>
    <w:rsid w:val="00757E41"/>
    <w:rsid w:val="007615FB"/>
    <w:rsid w:val="0076289D"/>
    <w:rsid w:val="00763D02"/>
    <w:rsid w:val="00766483"/>
    <w:rsid w:val="00766561"/>
    <w:rsid w:val="00770055"/>
    <w:rsid w:val="00771DCC"/>
    <w:rsid w:val="007735D7"/>
    <w:rsid w:val="00774574"/>
    <w:rsid w:val="007749B2"/>
    <w:rsid w:val="007752F2"/>
    <w:rsid w:val="0078000A"/>
    <w:rsid w:val="007800E0"/>
    <w:rsid w:val="007844B2"/>
    <w:rsid w:val="00786981"/>
    <w:rsid w:val="00786F82"/>
    <w:rsid w:val="00787E57"/>
    <w:rsid w:val="0079144F"/>
    <w:rsid w:val="00791DD0"/>
    <w:rsid w:val="00792549"/>
    <w:rsid w:val="00793B19"/>
    <w:rsid w:val="00795F33"/>
    <w:rsid w:val="00797333"/>
    <w:rsid w:val="007A0592"/>
    <w:rsid w:val="007A0676"/>
    <w:rsid w:val="007A0777"/>
    <w:rsid w:val="007A1925"/>
    <w:rsid w:val="007A4AA9"/>
    <w:rsid w:val="007A5115"/>
    <w:rsid w:val="007A6AEE"/>
    <w:rsid w:val="007A7A8C"/>
    <w:rsid w:val="007B2A7B"/>
    <w:rsid w:val="007B3904"/>
    <w:rsid w:val="007B3CF8"/>
    <w:rsid w:val="007B3F9D"/>
    <w:rsid w:val="007B4B1E"/>
    <w:rsid w:val="007B65CD"/>
    <w:rsid w:val="007C0DC6"/>
    <w:rsid w:val="007C1C80"/>
    <w:rsid w:val="007C1F02"/>
    <w:rsid w:val="007C49BF"/>
    <w:rsid w:val="007C54D1"/>
    <w:rsid w:val="007C5CD2"/>
    <w:rsid w:val="007C5DEB"/>
    <w:rsid w:val="007C7337"/>
    <w:rsid w:val="007C799F"/>
    <w:rsid w:val="007C7B9D"/>
    <w:rsid w:val="007D2627"/>
    <w:rsid w:val="007D2AC2"/>
    <w:rsid w:val="007D417D"/>
    <w:rsid w:val="007D7657"/>
    <w:rsid w:val="007E15A0"/>
    <w:rsid w:val="007E165D"/>
    <w:rsid w:val="007E201B"/>
    <w:rsid w:val="007E4CE9"/>
    <w:rsid w:val="007E507B"/>
    <w:rsid w:val="007E51D7"/>
    <w:rsid w:val="007F0891"/>
    <w:rsid w:val="007F351C"/>
    <w:rsid w:val="007F7257"/>
    <w:rsid w:val="007F78FB"/>
    <w:rsid w:val="008009D8"/>
    <w:rsid w:val="00800A68"/>
    <w:rsid w:val="008026DE"/>
    <w:rsid w:val="008052AC"/>
    <w:rsid w:val="0080621D"/>
    <w:rsid w:val="008063EB"/>
    <w:rsid w:val="00807F2E"/>
    <w:rsid w:val="008109C6"/>
    <w:rsid w:val="00811C92"/>
    <w:rsid w:val="0081257A"/>
    <w:rsid w:val="00812672"/>
    <w:rsid w:val="008134C0"/>
    <w:rsid w:val="008140B8"/>
    <w:rsid w:val="00814294"/>
    <w:rsid w:val="00815EE1"/>
    <w:rsid w:val="00816546"/>
    <w:rsid w:val="00822291"/>
    <w:rsid w:val="00822CA3"/>
    <w:rsid w:val="0083003B"/>
    <w:rsid w:val="00830888"/>
    <w:rsid w:val="0083173F"/>
    <w:rsid w:val="00832E07"/>
    <w:rsid w:val="00833066"/>
    <w:rsid w:val="008332EB"/>
    <w:rsid w:val="008348DA"/>
    <w:rsid w:val="00842428"/>
    <w:rsid w:val="00843EEC"/>
    <w:rsid w:val="00844890"/>
    <w:rsid w:val="00845B44"/>
    <w:rsid w:val="00845F43"/>
    <w:rsid w:val="008467C2"/>
    <w:rsid w:val="00847285"/>
    <w:rsid w:val="00850325"/>
    <w:rsid w:val="00853B31"/>
    <w:rsid w:val="00855261"/>
    <w:rsid w:val="00855F71"/>
    <w:rsid w:val="0085645D"/>
    <w:rsid w:val="00860220"/>
    <w:rsid w:val="008613AD"/>
    <w:rsid w:val="00861B8E"/>
    <w:rsid w:val="00862C76"/>
    <w:rsid w:val="00864F4A"/>
    <w:rsid w:val="0086680C"/>
    <w:rsid w:val="0087202F"/>
    <w:rsid w:val="00872688"/>
    <w:rsid w:val="00873DEB"/>
    <w:rsid w:val="008741D9"/>
    <w:rsid w:val="00874BB9"/>
    <w:rsid w:val="00876E0D"/>
    <w:rsid w:val="008772C1"/>
    <w:rsid w:val="008772F4"/>
    <w:rsid w:val="00877D6F"/>
    <w:rsid w:val="00881BA9"/>
    <w:rsid w:val="00884C45"/>
    <w:rsid w:val="008873E5"/>
    <w:rsid w:val="008879DA"/>
    <w:rsid w:val="008902BA"/>
    <w:rsid w:val="008906CA"/>
    <w:rsid w:val="008906F4"/>
    <w:rsid w:val="008914DD"/>
    <w:rsid w:val="008948A7"/>
    <w:rsid w:val="0089546F"/>
    <w:rsid w:val="0089585B"/>
    <w:rsid w:val="00895AC2"/>
    <w:rsid w:val="00896F6B"/>
    <w:rsid w:val="00897220"/>
    <w:rsid w:val="008A0E64"/>
    <w:rsid w:val="008A31F6"/>
    <w:rsid w:val="008A419F"/>
    <w:rsid w:val="008A44D6"/>
    <w:rsid w:val="008A457D"/>
    <w:rsid w:val="008A4B1B"/>
    <w:rsid w:val="008A4FB7"/>
    <w:rsid w:val="008A6101"/>
    <w:rsid w:val="008B1777"/>
    <w:rsid w:val="008B3640"/>
    <w:rsid w:val="008B694F"/>
    <w:rsid w:val="008B76C1"/>
    <w:rsid w:val="008C053F"/>
    <w:rsid w:val="008C0897"/>
    <w:rsid w:val="008C2D19"/>
    <w:rsid w:val="008C396A"/>
    <w:rsid w:val="008C700C"/>
    <w:rsid w:val="008D0A95"/>
    <w:rsid w:val="008D0C9D"/>
    <w:rsid w:val="008D13DA"/>
    <w:rsid w:val="008D314A"/>
    <w:rsid w:val="008D3E5D"/>
    <w:rsid w:val="008D3E84"/>
    <w:rsid w:val="008D51B0"/>
    <w:rsid w:val="008D6727"/>
    <w:rsid w:val="008D7B0C"/>
    <w:rsid w:val="008E136B"/>
    <w:rsid w:val="008E1D8D"/>
    <w:rsid w:val="008E3463"/>
    <w:rsid w:val="008E375B"/>
    <w:rsid w:val="008E3879"/>
    <w:rsid w:val="008E38BB"/>
    <w:rsid w:val="008E3928"/>
    <w:rsid w:val="008E4291"/>
    <w:rsid w:val="008E4C0A"/>
    <w:rsid w:val="008E5E49"/>
    <w:rsid w:val="008E66A2"/>
    <w:rsid w:val="008F02B0"/>
    <w:rsid w:val="008F1877"/>
    <w:rsid w:val="008F18A7"/>
    <w:rsid w:val="008F297D"/>
    <w:rsid w:val="008F50D9"/>
    <w:rsid w:val="008F5920"/>
    <w:rsid w:val="008F61EC"/>
    <w:rsid w:val="008F6AFE"/>
    <w:rsid w:val="008F7EFE"/>
    <w:rsid w:val="009011B1"/>
    <w:rsid w:val="00902EFD"/>
    <w:rsid w:val="009044E4"/>
    <w:rsid w:val="009065EE"/>
    <w:rsid w:val="00907C7D"/>
    <w:rsid w:val="009100EE"/>
    <w:rsid w:val="0091687F"/>
    <w:rsid w:val="00916BCE"/>
    <w:rsid w:val="009177D0"/>
    <w:rsid w:val="00917E72"/>
    <w:rsid w:val="0092216D"/>
    <w:rsid w:val="00923157"/>
    <w:rsid w:val="00924AFF"/>
    <w:rsid w:val="00926500"/>
    <w:rsid w:val="00926828"/>
    <w:rsid w:val="009268CE"/>
    <w:rsid w:val="00930708"/>
    <w:rsid w:val="009319FE"/>
    <w:rsid w:val="00932222"/>
    <w:rsid w:val="009336D9"/>
    <w:rsid w:val="00935C51"/>
    <w:rsid w:val="009362BB"/>
    <w:rsid w:val="00942C87"/>
    <w:rsid w:val="00942D81"/>
    <w:rsid w:val="009443B1"/>
    <w:rsid w:val="009520F1"/>
    <w:rsid w:val="009540C4"/>
    <w:rsid w:val="0095447E"/>
    <w:rsid w:val="00955633"/>
    <w:rsid w:val="009609F1"/>
    <w:rsid w:val="009619AC"/>
    <w:rsid w:val="00964A1C"/>
    <w:rsid w:val="0096549D"/>
    <w:rsid w:val="00967AE4"/>
    <w:rsid w:val="00973306"/>
    <w:rsid w:val="0097583F"/>
    <w:rsid w:val="00981B64"/>
    <w:rsid w:val="009857BB"/>
    <w:rsid w:val="00985B6C"/>
    <w:rsid w:val="00986768"/>
    <w:rsid w:val="00992DDD"/>
    <w:rsid w:val="00994074"/>
    <w:rsid w:val="009A4A26"/>
    <w:rsid w:val="009A4FF0"/>
    <w:rsid w:val="009A5096"/>
    <w:rsid w:val="009B003B"/>
    <w:rsid w:val="009B2A2B"/>
    <w:rsid w:val="009B3AE7"/>
    <w:rsid w:val="009B3C79"/>
    <w:rsid w:val="009B47BC"/>
    <w:rsid w:val="009B5CC6"/>
    <w:rsid w:val="009B7FA5"/>
    <w:rsid w:val="009C22FB"/>
    <w:rsid w:val="009C3E93"/>
    <w:rsid w:val="009C5256"/>
    <w:rsid w:val="009C7498"/>
    <w:rsid w:val="009C7AD2"/>
    <w:rsid w:val="009D1199"/>
    <w:rsid w:val="009D1AD8"/>
    <w:rsid w:val="009D2FA3"/>
    <w:rsid w:val="009D4ACD"/>
    <w:rsid w:val="009D65A5"/>
    <w:rsid w:val="009D710B"/>
    <w:rsid w:val="009D7863"/>
    <w:rsid w:val="009E5A47"/>
    <w:rsid w:val="009E7A2C"/>
    <w:rsid w:val="009E7CB0"/>
    <w:rsid w:val="009F034D"/>
    <w:rsid w:val="009F07E8"/>
    <w:rsid w:val="009F1204"/>
    <w:rsid w:val="009F1E02"/>
    <w:rsid w:val="009F2697"/>
    <w:rsid w:val="009F33C9"/>
    <w:rsid w:val="009F67EF"/>
    <w:rsid w:val="009F6B05"/>
    <w:rsid w:val="00A033AE"/>
    <w:rsid w:val="00A04025"/>
    <w:rsid w:val="00A04FEA"/>
    <w:rsid w:val="00A055B6"/>
    <w:rsid w:val="00A07A6E"/>
    <w:rsid w:val="00A07B3A"/>
    <w:rsid w:val="00A148FC"/>
    <w:rsid w:val="00A14F8B"/>
    <w:rsid w:val="00A16D7B"/>
    <w:rsid w:val="00A170B0"/>
    <w:rsid w:val="00A17115"/>
    <w:rsid w:val="00A17CFC"/>
    <w:rsid w:val="00A24196"/>
    <w:rsid w:val="00A275E2"/>
    <w:rsid w:val="00A31207"/>
    <w:rsid w:val="00A319BF"/>
    <w:rsid w:val="00A33115"/>
    <w:rsid w:val="00A335DB"/>
    <w:rsid w:val="00A336ED"/>
    <w:rsid w:val="00A34987"/>
    <w:rsid w:val="00A36F3C"/>
    <w:rsid w:val="00A407F2"/>
    <w:rsid w:val="00A409AC"/>
    <w:rsid w:val="00A40E4B"/>
    <w:rsid w:val="00A417BF"/>
    <w:rsid w:val="00A4247B"/>
    <w:rsid w:val="00A447DE"/>
    <w:rsid w:val="00A449FE"/>
    <w:rsid w:val="00A44C9E"/>
    <w:rsid w:val="00A46337"/>
    <w:rsid w:val="00A46E1C"/>
    <w:rsid w:val="00A47B82"/>
    <w:rsid w:val="00A47DE2"/>
    <w:rsid w:val="00A5062A"/>
    <w:rsid w:val="00A53371"/>
    <w:rsid w:val="00A53996"/>
    <w:rsid w:val="00A53CAC"/>
    <w:rsid w:val="00A54A21"/>
    <w:rsid w:val="00A559EB"/>
    <w:rsid w:val="00A57646"/>
    <w:rsid w:val="00A578B2"/>
    <w:rsid w:val="00A57C18"/>
    <w:rsid w:val="00A60D2F"/>
    <w:rsid w:val="00A61B9F"/>
    <w:rsid w:val="00A61FFE"/>
    <w:rsid w:val="00A6237B"/>
    <w:rsid w:val="00A64393"/>
    <w:rsid w:val="00A65304"/>
    <w:rsid w:val="00A65528"/>
    <w:rsid w:val="00A678F3"/>
    <w:rsid w:val="00A72493"/>
    <w:rsid w:val="00A729B8"/>
    <w:rsid w:val="00A731AD"/>
    <w:rsid w:val="00A77BB2"/>
    <w:rsid w:val="00A818B5"/>
    <w:rsid w:val="00A81CBB"/>
    <w:rsid w:val="00A8424C"/>
    <w:rsid w:val="00A9151A"/>
    <w:rsid w:val="00A92DCF"/>
    <w:rsid w:val="00A93AA4"/>
    <w:rsid w:val="00A94778"/>
    <w:rsid w:val="00A9552C"/>
    <w:rsid w:val="00A95589"/>
    <w:rsid w:val="00A971C6"/>
    <w:rsid w:val="00A9776E"/>
    <w:rsid w:val="00AA0702"/>
    <w:rsid w:val="00AA0F00"/>
    <w:rsid w:val="00AA11DA"/>
    <w:rsid w:val="00AA3B89"/>
    <w:rsid w:val="00AA7E6B"/>
    <w:rsid w:val="00AB384D"/>
    <w:rsid w:val="00AC1373"/>
    <w:rsid w:val="00AC1EB8"/>
    <w:rsid w:val="00AC2873"/>
    <w:rsid w:val="00AC33BD"/>
    <w:rsid w:val="00AC3A67"/>
    <w:rsid w:val="00AC418D"/>
    <w:rsid w:val="00AC4BE9"/>
    <w:rsid w:val="00AC5A48"/>
    <w:rsid w:val="00AD064A"/>
    <w:rsid w:val="00AD25CE"/>
    <w:rsid w:val="00AD3048"/>
    <w:rsid w:val="00AD4954"/>
    <w:rsid w:val="00AE1A66"/>
    <w:rsid w:val="00AE2C8B"/>
    <w:rsid w:val="00AE4A4B"/>
    <w:rsid w:val="00AE65DC"/>
    <w:rsid w:val="00AF090B"/>
    <w:rsid w:val="00AF2843"/>
    <w:rsid w:val="00AF77D1"/>
    <w:rsid w:val="00B0578C"/>
    <w:rsid w:val="00B10D05"/>
    <w:rsid w:val="00B13272"/>
    <w:rsid w:val="00B13784"/>
    <w:rsid w:val="00B141C1"/>
    <w:rsid w:val="00B167F6"/>
    <w:rsid w:val="00B1699D"/>
    <w:rsid w:val="00B16B0A"/>
    <w:rsid w:val="00B17ACD"/>
    <w:rsid w:val="00B274CF"/>
    <w:rsid w:val="00B3131E"/>
    <w:rsid w:val="00B31DB9"/>
    <w:rsid w:val="00B3272B"/>
    <w:rsid w:val="00B3347B"/>
    <w:rsid w:val="00B36629"/>
    <w:rsid w:val="00B40481"/>
    <w:rsid w:val="00B42300"/>
    <w:rsid w:val="00B42604"/>
    <w:rsid w:val="00B428B0"/>
    <w:rsid w:val="00B50829"/>
    <w:rsid w:val="00B51D6C"/>
    <w:rsid w:val="00B5257C"/>
    <w:rsid w:val="00B52C1F"/>
    <w:rsid w:val="00B52CD1"/>
    <w:rsid w:val="00B578A3"/>
    <w:rsid w:val="00B60C6D"/>
    <w:rsid w:val="00B61870"/>
    <w:rsid w:val="00B63217"/>
    <w:rsid w:val="00B63577"/>
    <w:rsid w:val="00B63F14"/>
    <w:rsid w:val="00B70812"/>
    <w:rsid w:val="00B71165"/>
    <w:rsid w:val="00B7193F"/>
    <w:rsid w:val="00B71C85"/>
    <w:rsid w:val="00B73437"/>
    <w:rsid w:val="00B76380"/>
    <w:rsid w:val="00B77499"/>
    <w:rsid w:val="00B80BC4"/>
    <w:rsid w:val="00B85445"/>
    <w:rsid w:val="00B878B2"/>
    <w:rsid w:val="00B87E1C"/>
    <w:rsid w:val="00B90527"/>
    <w:rsid w:val="00B907EB"/>
    <w:rsid w:val="00B90D16"/>
    <w:rsid w:val="00B92F1C"/>
    <w:rsid w:val="00B9451D"/>
    <w:rsid w:val="00B950FB"/>
    <w:rsid w:val="00B95562"/>
    <w:rsid w:val="00B9575F"/>
    <w:rsid w:val="00B95C9F"/>
    <w:rsid w:val="00BA3E7D"/>
    <w:rsid w:val="00BA7002"/>
    <w:rsid w:val="00BB04BE"/>
    <w:rsid w:val="00BB04C5"/>
    <w:rsid w:val="00BB0FA2"/>
    <w:rsid w:val="00BB11E3"/>
    <w:rsid w:val="00BB2EB5"/>
    <w:rsid w:val="00BB65FF"/>
    <w:rsid w:val="00BB7A3A"/>
    <w:rsid w:val="00BB7B8A"/>
    <w:rsid w:val="00BC0F15"/>
    <w:rsid w:val="00BC169A"/>
    <w:rsid w:val="00BC1E84"/>
    <w:rsid w:val="00BC6DF7"/>
    <w:rsid w:val="00BC7705"/>
    <w:rsid w:val="00BD04FC"/>
    <w:rsid w:val="00BD1EEA"/>
    <w:rsid w:val="00BD510A"/>
    <w:rsid w:val="00BD5BCF"/>
    <w:rsid w:val="00BD6237"/>
    <w:rsid w:val="00BD6C00"/>
    <w:rsid w:val="00BE07CA"/>
    <w:rsid w:val="00BE3CF2"/>
    <w:rsid w:val="00BE6F58"/>
    <w:rsid w:val="00BE788C"/>
    <w:rsid w:val="00BE7DA2"/>
    <w:rsid w:val="00BF0A00"/>
    <w:rsid w:val="00BF148F"/>
    <w:rsid w:val="00BF293D"/>
    <w:rsid w:val="00BF61F2"/>
    <w:rsid w:val="00BF650D"/>
    <w:rsid w:val="00BF7890"/>
    <w:rsid w:val="00C00DF3"/>
    <w:rsid w:val="00C01BF5"/>
    <w:rsid w:val="00C03EBE"/>
    <w:rsid w:val="00C058F2"/>
    <w:rsid w:val="00C06B05"/>
    <w:rsid w:val="00C11CFA"/>
    <w:rsid w:val="00C11D46"/>
    <w:rsid w:val="00C125F3"/>
    <w:rsid w:val="00C148AB"/>
    <w:rsid w:val="00C15007"/>
    <w:rsid w:val="00C15FD5"/>
    <w:rsid w:val="00C20394"/>
    <w:rsid w:val="00C2200A"/>
    <w:rsid w:val="00C230A3"/>
    <w:rsid w:val="00C23151"/>
    <w:rsid w:val="00C23C4B"/>
    <w:rsid w:val="00C27712"/>
    <w:rsid w:val="00C308B0"/>
    <w:rsid w:val="00C31827"/>
    <w:rsid w:val="00C34D62"/>
    <w:rsid w:val="00C3765A"/>
    <w:rsid w:val="00C40533"/>
    <w:rsid w:val="00C40A1D"/>
    <w:rsid w:val="00C41134"/>
    <w:rsid w:val="00C425D9"/>
    <w:rsid w:val="00C42A38"/>
    <w:rsid w:val="00C437B1"/>
    <w:rsid w:val="00C52483"/>
    <w:rsid w:val="00C53D0E"/>
    <w:rsid w:val="00C5663D"/>
    <w:rsid w:val="00C57022"/>
    <w:rsid w:val="00C5725C"/>
    <w:rsid w:val="00C57B5C"/>
    <w:rsid w:val="00C6257B"/>
    <w:rsid w:val="00C63B97"/>
    <w:rsid w:val="00C65736"/>
    <w:rsid w:val="00C715DA"/>
    <w:rsid w:val="00C71FF2"/>
    <w:rsid w:val="00C73103"/>
    <w:rsid w:val="00C754F8"/>
    <w:rsid w:val="00C7728C"/>
    <w:rsid w:val="00C80BEE"/>
    <w:rsid w:val="00C81BD7"/>
    <w:rsid w:val="00C838D5"/>
    <w:rsid w:val="00C84724"/>
    <w:rsid w:val="00C86BE9"/>
    <w:rsid w:val="00C87724"/>
    <w:rsid w:val="00C9037C"/>
    <w:rsid w:val="00C905ED"/>
    <w:rsid w:val="00C90C06"/>
    <w:rsid w:val="00C90C8F"/>
    <w:rsid w:val="00C916F5"/>
    <w:rsid w:val="00C91C8A"/>
    <w:rsid w:val="00C930A8"/>
    <w:rsid w:val="00C9325B"/>
    <w:rsid w:val="00C9420C"/>
    <w:rsid w:val="00C95CEC"/>
    <w:rsid w:val="00C9788F"/>
    <w:rsid w:val="00CA57F7"/>
    <w:rsid w:val="00CA7C32"/>
    <w:rsid w:val="00CB18E4"/>
    <w:rsid w:val="00CB2545"/>
    <w:rsid w:val="00CB29CC"/>
    <w:rsid w:val="00CB3DD9"/>
    <w:rsid w:val="00CB401F"/>
    <w:rsid w:val="00CB75D4"/>
    <w:rsid w:val="00CB773B"/>
    <w:rsid w:val="00CC01EC"/>
    <w:rsid w:val="00CC36FE"/>
    <w:rsid w:val="00CC4029"/>
    <w:rsid w:val="00CC4A3F"/>
    <w:rsid w:val="00CC6874"/>
    <w:rsid w:val="00CC6E09"/>
    <w:rsid w:val="00CD15AB"/>
    <w:rsid w:val="00CD40B3"/>
    <w:rsid w:val="00CD547C"/>
    <w:rsid w:val="00CD6A3B"/>
    <w:rsid w:val="00CE09BB"/>
    <w:rsid w:val="00CE1850"/>
    <w:rsid w:val="00CE19ED"/>
    <w:rsid w:val="00CE49BE"/>
    <w:rsid w:val="00CE57C0"/>
    <w:rsid w:val="00CE63BE"/>
    <w:rsid w:val="00CF12C3"/>
    <w:rsid w:val="00CF1587"/>
    <w:rsid w:val="00CF183C"/>
    <w:rsid w:val="00CF24B5"/>
    <w:rsid w:val="00CF2B61"/>
    <w:rsid w:val="00CF39ED"/>
    <w:rsid w:val="00CF43C1"/>
    <w:rsid w:val="00CF6B99"/>
    <w:rsid w:val="00D00806"/>
    <w:rsid w:val="00D03C5E"/>
    <w:rsid w:val="00D046F3"/>
    <w:rsid w:val="00D04F84"/>
    <w:rsid w:val="00D073A2"/>
    <w:rsid w:val="00D07931"/>
    <w:rsid w:val="00D1104B"/>
    <w:rsid w:val="00D1178B"/>
    <w:rsid w:val="00D1202B"/>
    <w:rsid w:val="00D12091"/>
    <w:rsid w:val="00D13C4B"/>
    <w:rsid w:val="00D142DE"/>
    <w:rsid w:val="00D1754B"/>
    <w:rsid w:val="00D20EC0"/>
    <w:rsid w:val="00D21230"/>
    <w:rsid w:val="00D2123E"/>
    <w:rsid w:val="00D2761D"/>
    <w:rsid w:val="00D27D37"/>
    <w:rsid w:val="00D33315"/>
    <w:rsid w:val="00D35436"/>
    <w:rsid w:val="00D366D9"/>
    <w:rsid w:val="00D43F50"/>
    <w:rsid w:val="00D447C4"/>
    <w:rsid w:val="00D44D54"/>
    <w:rsid w:val="00D4547B"/>
    <w:rsid w:val="00D466CD"/>
    <w:rsid w:val="00D47BAD"/>
    <w:rsid w:val="00D51395"/>
    <w:rsid w:val="00D51BB5"/>
    <w:rsid w:val="00D51CB9"/>
    <w:rsid w:val="00D5399E"/>
    <w:rsid w:val="00D55CEC"/>
    <w:rsid w:val="00D5700A"/>
    <w:rsid w:val="00D62F57"/>
    <w:rsid w:val="00D63CF0"/>
    <w:rsid w:val="00D642EC"/>
    <w:rsid w:val="00D6517D"/>
    <w:rsid w:val="00D658AA"/>
    <w:rsid w:val="00D66248"/>
    <w:rsid w:val="00D6730D"/>
    <w:rsid w:val="00D71926"/>
    <w:rsid w:val="00D72FB7"/>
    <w:rsid w:val="00D739FD"/>
    <w:rsid w:val="00D76E24"/>
    <w:rsid w:val="00D80088"/>
    <w:rsid w:val="00D846B4"/>
    <w:rsid w:val="00D8547C"/>
    <w:rsid w:val="00D85562"/>
    <w:rsid w:val="00D86E38"/>
    <w:rsid w:val="00D90AE2"/>
    <w:rsid w:val="00D9117E"/>
    <w:rsid w:val="00D91634"/>
    <w:rsid w:val="00D94087"/>
    <w:rsid w:val="00D949D7"/>
    <w:rsid w:val="00D95BBA"/>
    <w:rsid w:val="00D96B59"/>
    <w:rsid w:val="00D96C81"/>
    <w:rsid w:val="00D971EC"/>
    <w:rsid w:val="00DA19E8"/>
    <w:rsid w:val="00DA2BDD"/>
    <w:rsid w:val="00DA4548"/>
    <w:rsid w:val="00DB503F"/>
    <w:rsid w:val="00DB562F"/>
    <w:rsid w:val="00DB5B38"/>
    <w:rsid w:val="00DB5E97"/>
    <w:rsid w:val="00DB7601"/>
    <w:rsid w:val="00DC1635"/>
    <w:rsid w:val="00DC23DF"/>
    <w:rsid w:val="00DC2865"/>
    <w:rsid w:val="00DC3DA6"/>
    <w:rsid w:val="00DC493E"/>
    <w:rsid w:val="00DC51FF"/>
    <w:rsid w:val="00DC5DE6"/>
    <w:rsid w:val="00DD0A7C"/>
    <w:rsid w:val="00DD2715"/>
    <w:rsid w:val="00DD39DB"/>
    <w:rsid w:val="00DD46EB"/>
    <w:rsid w:val="00DD6BEC"/>
    <w:rsid w:val="00DE40C0"/>
    <w:rsid w:val="00DE51AD"/>
    <w:rsid w:val="00DE6521"/>
    <w:rsid w:val="00DE6919"/>
    <w:rsid w:val="00DE7D75"/>
    <w:rsid w:val="00DF0AA3"/>
    <w:rsid w:val="00DF367F"/>
    <w:rsid w:val="00DF39CF"/>
    <w:rsid w:val="00DF44B4"/>
    <w:rsid w:val="00DF69DC"/>
    <w:rsid w:val="00DF7211"/>
    <w:rsid w:val="00DF7766"/>
    <w:rsid w:val="00E002A5"/>
    <w:rsid w:val="00E018BA"/>
    <w:rsid w:val="00E02085"/>
    <w:rsid w:val="00E03871"/>
    <w:rsid w:val="00E0390A"/>
    <w:rsid w:val="00E132F5"/>
    <w:rsid w:val="00E13A98"/>
    <w:rsid w:val="00E14C33"/>
    <w:rsid w:val="00E15D53"/>
    <w:rsid w:val="00E22382"/>
    <w:rsid w:val="00E270D9"/>
    <w:rsid w:val="00E34C3A"/>
    <w:rsid w:val="00E3703D"/>
    <w:rsid w:val="00E447D9"/>
    <w:rsid w:val="00E45E4F"/>
    <w:rsid w:val="00E51CF7"/>
    <w:rsid w:val="00E551C7"/>
    <w:rsid w:val="00E56322"/>
    <w:rsid w:val="00E5722B"/>
    <w:rsid w:val="00E6069B"/>
    <w:rsid w:val="00E60A40"/>
    <w:rsid w:val="00E61047"/>
    <w:rsid w:val="00E6114F"/>
    <w:rsid w:val="00E6153C"/>
    <w:rsid w:val="00E619A2"/>
    <w:rsid w:val="00E62CB6"/>
    <w:rsid w:val="00E64176"/>
    <w:rsid w:val="00E644F1"/>
    <w:rsid w:val="00E64864"/>
    <w:rsid w:val="00E6504B"/>
    <w:rsid w:val="00E65C6B"/>
    <w:rsid w:val="00E66BE9"/>
    <w:rsid w:val="00E767E4"/>
    <w:rsid w:val="00E84B41"/>
    <w:rsid w:val="00E8786D"/>
    <w:rsid w:val="00E87DF5"/>
    <w:rsid w:val="00E93D0F"/>
    <w:rsid w:val="00E94135"/>
    <w:rsid w:val="00E94A73"/>
    <w:rsid w:val="00E97E3C"/>
    <w:rsid w:val="00EA0351"/>
    <w:rsid w:val="00EA2AF8"/>
    <w:rsid w:val="00EA335B"/>
    <w:rsid w:val="00EA3629"/>
    <w:rsid w:val="00EA38EC"/>
    <w:rsid w:val="00EA4ADA"/>
    <w:rsid w:val="00EA55DC"/>
    <w:rsid w:val="00EA68EE"/>
    <w:rsid w:val="00EA78CF"/>
    <w:rsid w:val="00EB0519"/>
    <w:rsid w:val="00EB1D7C"/>
    <w:rsid w:val="00EB1DF2"/>
    <w:rsid w:val="00EB354E"/>
    <w:rsid w:val="00EB4121"/>
    <w:rsid w:val="00EC0037"/>
    <w:rsid w:val="00EC1A8F"/>
    <w:rsid w:val="00EC3AF1"/>
    <w:rsid w:val="00EC46DD"/>
    <w:rsid w:val="00EC57F8"/>
    <w:rsid w:val="00EC5A30"/>
    <w:rsid w:val="00EC6324"/>
    <w:rsid w:val="00ED085D"/>
    <w:rsid w:val="00ED1FF9"/>
    <w:rsid w:val="00ED6A9A"/>
    <w:rsid w:val="00ED7611"/>
    <w:rsid w:val="00ED787F"/>
    <w:rsid w:val="00EE0FEC"/>
    <w:rsid w:val="00EE177F"/>
    <w:rsid w:val="00EE231D"/>
    <w:rsid w:val="00EE3B18"/>
    <w:rsid w:val="00EE52D1"/>
    <w:rsid w:val="00EE6068"/>
    <w:rsid w:val="00EE6ABC"/>
    <w:rsid w:val="00EF3D78"/>
    <w:rsid w:val="00EF7C28"/>
    <w:rsid w:val="00F00A70"/>
    <w:rsid w:val="00F03911"/>
    <w:rsid w:val="00F03E34"/>
    <w:rsid w:val="00F07556"/>
    <w:rsid w:val="00F1024C"/>
    <w:rsid w:val="00F11922"/>
    <w:rsid w:val="00F1210B"/>
    <w:rsid w:val="00F17592"/>
    <w:rsid w:val="00F206E5"/>
    <w:rsid w:val="00F20EDB"/>
    <w:rsid w:val="00F21591"/>
    <w:rsid w:val="00F21799"/>
    <w:rsid w:val="00F220AE"/>
    <w:rsid w:val="00F25A14"/>
    <w:rsid w:val="00F25F93"/>
    <w:rsid w:val="00F26A61"/>
    <w:rsid w:val="00F26C0E"/>
    <w:rsid w:val="00F26EDC"/>
    <w:rsid w:val="00F27F72"/>
    <w:rsid w:val="00F31425"/>
    <w:rsid w:val="00F3264D"/>
    <w:rsid w:val="00F327E1"/>
    <w:rsid w:val="00F32EEC"/>
    <w:rsid w:val="00F3400F"/>
    <w:rsid w:val="00F348A1"/>
    <w:rsid w:val="00F37565"/>
    <w:rsid w:val="00F40065"/>
    <w:rsid w:val="00F4063E"/>
    <w:rsid w:val="00F43085"/>
    <w:rsid w:val="00F44D0F"/>
    <w:rsid w:val="00F47042"/>
    <w:rsid w:val="00F50468"/>
    <w:rsid w:val="00F51D46"/>
    <w:rsid w:val="00F570B0"/>
    <w:rsid w:val="00F60A4E"/>
    <w:rsid w:val="00F61564"/>
    <w:rsid w:val="00F6248B"/>
    <w:rsid w:val="00F62A16"/>
    <w:rsid w:val="00F62EA4"/>
    <w:rsid w:val="00F64C66"/>
    <w:rsid w:val="00F671A8"/>
    <w:rsid w:val="00F70BA8"/>
    <w:rsid w:val="00F7380D"/>
    <w:rsid w:val="00F73D47"/>
    <w:rsid w:val="00F74762"/>
    <w:rsid w:val="00F7507C"/>
    <w:rsid w:val="00F76280"/>
    <w:rsid w:val="00F77DD1"/>
    <w:rsid w:val="00F802E7"/>
    <w:rsid w:val="00F8036D"/>
    <w:rsid w:val="00F81655"/>
    <w:rsid w:val="00F81E38"/>
    <w:rsid w:val="00F83B7C"/>
    <w:rsid w:val="00F853EE"/>
    <w:rsid w:val="00F8712D"/>
    <w:rsid w:val="00F91BB0"/>
    <w:rsid w:val="00F91D46"/>
    <w:rsid w:val="00F94709"/>
    <w:rsid w:val="00F95742"/>
    <w:rsid w:val="00F95C8D"/>
    <w:rsid w:val="00F96616"/>
    <w:rsid w:val="00F9792E"/>
    <w:rsid w:val="00FA3916"/>
    <w:rsid w:val="00FA4499"/>
    <w:rsid w:val="00FA5574"/>
    <w:rsid w:val="00FA62C8"/>
    <w:rsid w:val="00FA7728"/>
    <w:rsid w:val="00FB07B5"/>
    <w:rsid w:val="00FB431E"/>
    <w:rsid w:val="00FB5D62"/>
    <w:rsid w:val="00FB695D"/>
    <w:rsid w:val="00FC01DC"/>
    <w:rsid w:val="00FC1B17"/>
    <w:rsid w:val="00FC22F8"/>
    <w:rsid w:val="00FC328F"/>
    <w:rsid w:val="00FC48E3"/>
    <w:rsid w:val="00FC4B0D"/>
    <w:rsid w:val="00FD258E"/>
    <w:rsid w:val="00FD2D0D"/>
    <w:rsid w:val="00FD3804"/>
    <w:rsid w:val="00FD6311"/>
    <w:rsid w:val="00FD6D65"/>
    <w:rsid w:val="00FD6DB8"/>
    <w:rsid w:val="00FD7228"/>
    <w:rsid w:val="00FD7525"/>
    <w:rsid w:val="00FD7A20"/>
    <w:rsid w:val="00FE0631"/>
    <w:rsid w:val="00FE06C2"/>
    <w:rsid w:val="00FE1AEC"/>
    <w:rsid w:val="00FE33E0"/>
    <w:rsid w:val="00FE3683"/>
    <w:rsid w:val="00FE61FC"/>
    <w:rsid w:val="00FE64EA"/>
    <w:rsid w:val="00FE7CF6"/>
    <w:rsid w:val="00FF02D9"/>
    <w:rsid w:val="00FF1CC2"/>
    <w:rsid w:val="00FF1D15"/>
    <w:rsid w:val="00FF2BDC"/>
    <w:rsid w:val="00FF5907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9D76FD"/>
  <w15:chartTrackingRefBased/>
  <w15:docId w15:val="{7F03120A-FF3C-4C5B-9B6D-8A9B7E22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3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27E"/>
    <w:pPr>
      <w:keepNext/>
      <w:keepLines/>
      <w:spacing w:before="360"/>
      <w:outlineLvl w:val="0"/>
    </w:pPr>
    <w:rPr>
      <w:rFonts w:ascii="Calibri" w:eastAsiaTheme="majorEastAsia" w:hAnsi="Calibri" w:cstheme="majorBidi"/>
      <w:b/>
      <w:color w:val="000000" w:themeColor="text1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475B8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75B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47B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B82"/>
    <w:rPr>
      <w:sz w:val="20"/>
      <w:szCs w:val="20"/>
    </w:rPr>
  </w:style>
  <w:style w:type="character" w:styleId="FootnoteReference">
    <w:name w:val="footnote reference"/>
    <w:aliases w:val="Footnote Reference + Superscript"/>
    <w:basedOn w:val="DefaultParagraphFont"/>
    <w:uiPriority w:val="99"/>
    <w:unhideWhenUsed/>
    <w:qFormat/>
    <w:rsid w:val="00A47B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3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E9"/>
  </w:style>
  <w:style w:type="paragraph" w:styleId="Footer">
    <w:name w:val="footer"/>
    <w:basedOn w:val="Normal"/>
    <w:link w:val="FooterChar"/>
    <w:uiPriority w:val="99"/>
    <w:unhideWhenUsed/>
    <w:rsid w:val="00453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AE9"/>
  </w:style>
  <w:style w:type="character" w:customStyle="1" w:styleId="Heading1Char">
    <w:name w:val="Heading 1 Char"/>
    <w:basedOn w:val="DefaultParagraphFont"/>
    <w:link w:val="Heading1"/>
    <w:uiPriority w:val="9"/>
    <w:rsid w:val="005A727E"/>
    <w:rPr>
      <w:rFonts w:ascii="Calibri" w:eastAsiaTheme="majorEastAsia" w:hAnsi="Calibri" w:cstheme="majorBidi"/>
      <w:b/>
      <w:color w:val="000000" w:themeColor="text1"/>
      <w:sz w:val="26"/>
      <w:szCs w:val="32"/>
    </w:rPr>
  </w:style>
  <w:style w:type="paragraph" w:customStyle="1" w:styleId="Default">
    <w:name w:val="Default"/>
    <w:rsid w:val="006C11A3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102A3.6AE54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D093-BB55-4E0B-81D1-EAEBBBE6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Nell</dc:creator>
  <cp:keywords/>
  <dc:description/>
  <cp:lastModifiedBy>Mary Bruce</cp:lastModifiedBy>
  <cp:revision>3</cp:revision>
  <cp:lastPrinted>2023-11-15T08:10:00Z</cp:lastPrinted>
  <dcterms:created xsi:type="dcterms:W3CDTF">2023-11-24T06:02:00Z</dcterms:created>
  <dcterms:modified xsi:type="dcterms:W3CDTF">2023-11-24T17:53:00Z</dcterms:modified>
</cp:coreProperties>
</file>